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880" w:rsidRPr="007F508A" w:rsidRDefault="00776880" w:rsidP="00F77953">
      <w:pPr>
        <w:pStyle w:val="XLargeGA"/>
        <w:spacing w:before="2400" w:after="120"/>
        <w:rPr>
          <w:rFonts w:hint="cs"/>
          <w:sz w:val="24"/>
          <w:szCs w:val="44"/>
          <w:rtl/>
        </w:rPr>
      </w:pPr>
      <w:r w:rsidRPr="007F508A">
        <w:rPr>
          <w:rFonts w:hint="cs"/>
          <w:noProof/>
          <w:sz w:val="24"/>
          <w:szCs w:val="44"/>
          <w:rtl/>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20.5pt;margin-top:33pt;width:106.5pt;height:94.5pt;z-index:1;mso-position-horizontal-relative:margin" o:allowincell="f" o:allowoverlap="f">
            <v:imagedata r:id="rId7" o:title="" croptop="-261f" cropbottom="-261f" cropleft="-327f" cropright="-327f"/>
            <w10:wrap anchorx="margin"/>
          </v:shape>
        </w:pict>
      </w:r>
      <w:r w:rsidRPr="007F508A">
        <w:rPr>
          <w:rFonts w:hint="cs"/>
          <w:sz w:val="24"/>
          <w:szCs w:val="44"/>
          <w:rtl/>
        </w:rPr>
        <w:t>الأمم المتحدة</w:t>
      </w:r>
    </w:p>
    <w:p w:rsidR="00776880" w:rsidRPr="00033DC8" w:rsidRDefault="00776880" w:rsidP="00776880">
      <w:pPr>
        <w:pStyle w:val="SLGA"/>
        <w:bidi/>
        <w:spacing w:before="1200" w:after="1200"/>
        <w:rPr>
          <w:rFonts w:hint="cs"/>
          <w:sz w:val="60"/>
          <w:szCs w:val="60"/>
          <w:rtl/>
        </w:rPr>
      </w:pPr>
      <w:r w:rsidRPr="00033DC8">
        <w:rPr>
          <w:rFonts w:hint="cs"/>
          <w:sz w:val="60"/>
          <w:szCs w:val="60"/>
          <w:rtl/>
        </w:rPr>
        <w:t xml:space="preserve">تقرير لجنة </w:t>
      </w:r>
      <w:r>
        <w:rPr>
          <w:rFonts w:hint="cs"/>
          <w:sz w:val="60"/>
          <w:szCs w:val="60"/>
          <w:rtl/>
        </w:rPr>
        <w:t>مناهضة التعذيب</w:t>
      </w:r>
    </w:p>
    <w:p w:rsidR="00776880" w:rsidRPr="00F77953" w:rsidRDefault="00776880" w:rsidP="00776880">
      <w:pPr>
        <w:pStyle w:val="HChGA"/>
        <w:spacing w:before="0" w:after="0"/>
        <w:ind w:left="2494"/>
        <w:rPr>
          <w:rFonts w:hint="cs"/>
          <w:sz w:val="26"/>
          <w:szCs w:val="36"/>
          <w:rtl/>
        </w:rPr>
      </w:pPr>
      <w:r w:rsidRPr="00F77953">
        <w:rPr>
          <w:rFonts w:hint="cs"/>
          <w:sz w:val="26"/>
          <w:szCs w:val="36"/>
          <w:rtl/>
        </w:rPr>
        <w:t>الدورة التاسعة والأربعون</w:t>
      </w:r>
    </w:p>
    <w:p w:rsidR="00776880" w:rsidRPr="00F77953" w:rsidRDefault="00776880" w:rsidP="00776880">
      <w:pPr>
        <w:pStyle w:val="HChGA"/>
        <w:spacing w:before="0"/>
        <w:ind w:left="2494"/>
        <w:rPr>
          <w:rFonts w:hint="cs"/>
          <w:sz w:val="26"/>
          <w:szCs w:val="36"/>
          <w:rtl/>
        </w:rPr>
      </w:pPr>
      <w:r w:rsidRPr="00F77953">
        <w:rPr>
          <w:rFonts w:hint="cs"/>
          <w:sz w:val="26"/>
          <w:szCs w:val="36"/>
          <w:rtl/>
        </w:rPr>
        <w:t>(29 تشرين الأول/أكتوبر - 23 تشرين الثاني/نوفمبر 2012)</w:t>
      </w:r>
    </w:p>
    <w:p w:rsidR="00776880" w:rsidRPr="00F77953" w:rsidRDefault="00776880" w:rsidP="00776880">
      <w:pPr>
        <w:pStyle w:val="HChGA"/>
        <w:spacing w:before="0" w:after="0"/>
        <w:ind w:left="2494"/>
        <w:rPr>
          <w:rFonts w:hint="cs"/>
          <w:sz w:val="26"/>
          <w:szCs w:val="36"/>
          <w:rtl/>
        </w:rPr>
      </w:pPr>
      <w:r w:rsidRPr="00F77953">
        <w:rPr>
          <w:rFonts w:hint="cs"/>
          <w:sz w:val="26"/>
          <w:szCs w:val="36"/>
          <w:rtl/>
        </w:rPr>
        <w:t>الدورة الخمسون</w:t>
      </w:r>
    </w:p>
    <w:p w:rsidR="00776880" w:rsidRPr="00F77953" w:rsidRDefault="00F77953" w:rsidP="00776880">
      <w:pPr>
        <w:pStyle w:val="HChGA"/>
        <w:spacing w:before="0" w:after="1800"/>
        <w:ind w:left="2494"/>
        <w:rPr>
          <w:rFonts w:hint="cs"/>
          <w:sz w:val="26"/>
          <w:szCs w:val="36"/>
          <w:rtl/>
        </w:rPr>
      </w:pPr>
      <w:r>
        <w:rPr>
          <w:rFonts w:hint="cs"/>
          <w:sz w:val="26"/>
          <w:szCs w:val="36"/>
          <w:rtl/>
        </w:rPr>
        <w:t>(6</w:t>
      </w:r>
      <w:r w:rsidR="00776880" w:rsidRPr="00F77953">
        <w:rPr>
          <w:rFonts w:hint="cs"/>
          <w:sz w:val="26"/>
          <w:szCs w:val="36"/>
          <w:rtl/>
        </w:rPr>
        <w:t>-31 أيار/مايو 2013)</w:t>
      </w:r>
    </w:p>
    <w:p w:rsidR="00776880" w:rsidRPr="000C5CFE" w:rsidRDefault="00776880" w:rsidP="00776880">
      <w:pPr>
        <w:pStyle w:val="XLargeGA"/>
        <w:keepNext w:val="0"/>
        <w:keepLines w:val="0"/>
        <w:suppressAutoHyphens w:val="0"/>
        <w:spacing w:before="720" w:after="0"/>
        <w:rPr>
          <w:rFonts w:hint="cs"/>
          <w:sz w:val="24"/>
          <w:szCs w:val="44"/>
          <w:rtl/>
        </w:rPr>
      </w:pPr>
      <w:r w:rsidRPr="000C5CFE">
        <w:rPr>
          <w:rFonts w:hint="cs"/>
          <w:sz w:val="24"/>
          <w:szCs w:val="44"/>
          <w:rtl/>
        </w:rPr>
        <w:t>الجمعية العامة</w:t>
      </w:r>
    </w:p>
    <w:p w:rsidR="00776880" w:rsidRPr="00033DC8" w:rsidRDefault="00776880" w:rsidP="00776880">
      <w:pPr>
        <w:pStyle w:val="HCh"/>
        <w:keepNext w:val="0"/>
        <w:keepLines w:val="0"/>
        <w:suppressAutoHyphens w:val="0"/>
        <w:spacing w:line="380" w:lineRule="exact"/>
        <w:ind w:left="1247" w:right="1247"/>
        <w:rPr>
          <w:rFonts w:hint="cs"/>
          <w:kern w:val="16"/>
          <w:sz w:val="22"/>
          <w:szCs w:val="32"/>
          <w:rtl/>
          <w:lang w:eastAsia="ar-SA"/>
        </w:rPr>
      </w:pPr>
      <w:r w:rsidRPr="00033DC8">
        <w:rPr>
          <w:rFonts w:hint="cs"/>
          <w:kern w:val="16"/>
          <w:sz w:val="22"/>
          <w:szCs w:val="32"/>
          <w:rtl/>
          <w:lang w:eastAsia="ar-SA"/>
        </w:rPr>
        <w:t>الوثائق الرسمية</w:t>
      </w:r>
    </w:p>
    <w:p w:rsidR="00776880" w:rsidRDefault="00776880" w:rsidP="00776880">
      <w:pPr>
        <w:pStyle w:val="HCh"/>
        <w:keepNext w:val="0"/>
        <w:keepLines w:val="0"/>
        <w:suppressAutoHyphens w:val="0"/>
        <w:spacing w:line="380" w:lineRule="exact"/>
        <w:ind w:left="1247" w:right="1247"/>
        <w:rPr>
          <w:rFonts w:hint="cs"/>
          <w:kern w:val="16"/>
          <w:sz w:val="22"/>
          <w:szCs w:val="32"/>
          <w:rtl/>
          <w:lang w:eastAsia="ar-SA"/>
        </w:rPr>
      </w:pPr>
      <w:r w:rsidRPr="00033DC8">
        <w:rPr>
          <w:rFonts w:hint="cs"/>
          <w:kern w:val="16"/>
          <w:sz w:val="22"/>
          <w:szCs w:val="32"/>
          <w:rtl/>
          <w:lang w:eastAsia="ar-SA"/>
        </w:rPr>
        <w:t>الدورة</w:t>
      </w:r>
      <w:r>
        <w:rPr>
          <w:rFonts w:hint="cs"/>
          <w:kern w:val="16"/>
          <w:sz w:val="22"/>
          <w:szCs w:val="32"/>
          <w:rtl/>
          <w:lang w:eastAsia="ar-SA"/>
        </w:rPr>
        <w:t xml:space="preserve"> الثامنة</w:t>
      </w:r>
      <w:r w:rsidRPr="00033DC8">
        <w:rPr>
          <w:rFonts w:hint="cs"/>
          <w:kern w:val="16"/>
          <w:sz w:val="22"/>
          <w:szCs w:val="32"/>
          <w:rtl/>
          <w:lang w:eastAsia="ar-SA"/>
        </w:rPr>
        <w:t xml:space="preserve"> والستون</w:t>
      </w:r>
    </w:p>
    <w:p w:rsidR="00F77953" w:rsidRPr="00F77953" w:rsidRDefault="00F77953" w:rsidP="00F77953">
      <w:pPr>
        <w:pStyle w:val="HCh"/>
        <w:keepNext w:val="0"/>
        <w:keepLines w:val="0"/>
        <w:suppressAutoHyphens w:val="0"/>
        <w:spacing w:line="380" w:lineRule="exact"/>
        <w:ind w:left="1247" w:right="1247"/>
        <w:rPr>
          <w:rFonts w:ascii="Times New Roman Bold" w:hAnsi="Times New Roman Bold" w:hint="cs"/>
          <w:sz w:val="22"/>
          <w:szCs w:val="32"/>
          <w:rtl/>
          <w:lang w:eastAsia="ar-SA"/>
        </w:rPr>
      </w:pPr>
      <w:r w:rsidRPr="00F77953">
        <w:rPr>
          <w:rFonts w:ascii="Times New Roman Bold" w:hAnsi="Times New Roman Bold"/>
          <w:sz w:val="22"/>
          <w:szCs w:val="32"/>
          <w:rtl/>
          <w:lang w:eastAsia="ar-SA"/>
        </w:rPr>
        <w:t>الملحق رقم 44 (</w:t>
      </w:r>
      <w:r w:rsidRPr="00DA5E6F">
        <w:rPr>
          <w:rFonts w:ascii="Times New Roman Bold" w:hAnsi="Times New Roman Bold"/>
          <w:sz w:val="20"/>
          <w:szCs w:val="30"/>
          <w:lang w:eastAsia="ar-SA"/>
        </w:rPr>
        <w:t>A/68/44</w:t>
      </w:r>
      <w:r w:rsidRPr="00F77953">
        <w:rPr>
          <w:rFonts w:ascii="Times New Roman Bold" w:hAnsi="Times New Roman Bold"/>
          <w:sz w:val="22"/>
          <w:szCs w:val="32"/>
          <w:rtl/>
          <w:lang w:eastAsia="ar-SA"/>
        </w:rPr>
        <w:t>)</w:t>
      </w:r>
    </w:p>
    <w:p w:rsidR="00776880" w:rsidRDefault="00776880" w:rsidP="00776880">
      <w:pPr>
        <w:spacing w:line="380" w:lineRule="exact"/>
        <w:rPr>
          <w:rFonts w:hint="cs"/>
          <w:rtl/>
        </w:rPr>
        <w:sectPr w:rsidR="00776880" w:rsidSect="00F77953">
          <w:headerReference w:type="even" r:id="rId8"/>
          <w:headerReference w:type="default" r:id="rId9"/>
          <w:footerReference w:type="even" r:id="rId10"/>
          <w:footerReference w:type="default" r:id="rId11"/>
          <w:headerReference w:type="first" r:id="rId12"/>
          <w:endnotePr>
            <w:numFmt w:val="decimal"/>
          </w:endnotePr>
          <w:pgSz w:w="11906" w:h="16838" w:code="9"/>
          <w:pgMar w:top="1701" w:right="1134" w:bottom="2268" w:left="1134" w:header="1134" w:footer="1701" w:gutter="0"/>
          <w:cols w:space="708"/>
          <w:titlePg/>
          <w:bidi/>
          <w:rtlGutter/>
          <w:docGrid w:linePitch="360"/>
        </w:sectPr>
      </w:pPr>
    </w:p>
    <w:p w:rsidR="00776880" w:rsidRDefault="00776880" w:rsidP="00F77953">
      <w:pPr>
        <w:bidi/>
        <w:spacing w:line="380" w:lineRule="exact"/>
        <w:rPr>
          <w:rFonts w:hint="cs"/>
          <w:rtl/>
        </w:rPr>
        <w:sectPr w:rsidR="00776880" w:rsidSect="00F77953">
          <w:headerReference w:type="first" r:id="rId13"/>
          <w:endnotePr>
            <w:numFmt w:val="decimal"/>
          </w:endnotePr>
          <w:pgSz w:w="11906" w:h="16838" w:code="9"/>
          <w:pgMar w:top="1701" w:right="1134" w:bottom="2268" w:left="1134" w:header="1134" w:footer="1701" w:gutter="0"/>
          <w:cols w:space="708"/>
          <w:titlePg/>
          <w:bidi/>
          <w:rtlGutter/>
          <w:docGrid w:linePitch="360"/>
        </w:sectPr>
      </w:pPr>
    </w:p>
    <w:p w:rsidR="00776880" w:rsidRPr="00F77953" w:rsidRDefault="00776880" w:rsidP="00776880">
      <w:pPr>
        <w:bidi/>
        <w:spacing w:before="600" w:line="360" w:lineRule="exact"/>
        <w:jc w:val="both"/>
        <w:rPr>
          <w:rFonts w:cs="Traditional Arabic" w:hint="cs"/>
          <w:b/>
          <w:bCs/>
          <w:szCs w:val="40"/>
          <w:rtl/>
        </w:rPr>
      </w:pPr>
      <w:r w:rsidRPr="00F77953">
        <w:rPr>
          <w:rFonts w:cs="Traditional Arabic" w:hint="cs"/>
          <w:b/>
          <w:bCs/>
          <w:szCs w:val="40"/>
          <w:rtl/>
        </w:rPr>
        <w:t>الجمعية العامة</w:t>
      </w:r>
    </w:p>
    <w:p w:rsidR="00776880" w:rsidRPr="00F77953" w:rsidRDefault="00776880" w:rsidP="00776880">
      <w:pPr>
        <w:bidi/>
        <w:spacing w:line="360" w:lineRule="exact"/>
        <w:jc w:val="both"/>
        <w:rPr>
          <w:rFonts w:cs="Traditional Arabic"/>
          <w:szCs w:val="32"/>
        </w:rPr>
      </w:pPr>
      <w:r w:rsidRPr="00F77953">
        <w:rPr>
          <w:rFonts w:cs="Traditional Arabic" w:hint="cs"/>
          <w:szCs w:val="32"/>
          <w:rtl/>
        </w:rPr>
        <w:t>الوثائق الرسمية</w:t>
      </w:r>
    </w:p>
    <w:p w:rsidR="00776880" w:rsidRPr="00F77953" w:rsidRDefault="00776880" w:rsidP="00776880">
      <w:pPr>
        <w:bidi/>
        <w:spacing w:line="360" w:lineRule="exact"/>
        <w:jc w:val="both"/>
        <w:rPr>
          <w:rFonts w:cs="Traditional Arabic" w:hint="cs"/>
          <w:szCs w:val="32"/>
          <w:rtl/>
        </w:rPr>
      </w:pPr>
      <w:r w:rsidRPr="00F77953">
        <w:rPr>
          <w:rFonts w:cs="Traditional Arabic" w:hint="cs"/>
          <w:szCs w:val="32"/>
          <w:rtl/>
        </w:rPr>
        <w:t>الدورة الثامنة والستون</w:t>
      </w:r>
    </w:p>
    <w:p w:rsidR="00776880" w:rsidRPr="00F77953" w:rsidRDefault="00776880" w:rsidP="00076D94">
      <w:pPr>
        <w:bidi/>
        <w:spacing w:after="1440"/>
        <w:jc w:val="both"/>
        <w:rPr>
          <w:rFonts w:cs="Traditional Arabic" w:hint="cs"/>
          <w:rtl/>
        </w:rPr>
      </w:pPr>
      <w:r w:rsidRPr="00F77953">
        <w:rPr>
          <w:rFonts w:cs="Traditional Arabic" w:hint="cs"/>
          <w:szCs w:val="32"/>
          <w:rtl/>
        </w:rPr>
        <w:t xml:space="preserve">الملحق رقم 44 </w:t>
      </w:r>
      <w:r w:rsidRPr="00F77953">
        <w:rPr>
          <w:rFonts w:cs="Traditional Arabic"/>
        </w:rPr>
        <w:t>(</w:t>
      </w:r>
      <w:r w:rsidRPr="00DA5E6F">
        <w:rPr>
          <w:rFonts w:cs="Traditional Arabic"/>
          <w:sz w:val="20"/>
          <w:szCs w:val="20"/>
        </w:rPr>
        <w:t>A/6</w:t>
      </w:r>
      <w:r w:rsidR="00076D94">
        <w:rPr>
          <w:rFonts w:cs="Traditional Arabic"/>
          <w:sz w:val="20"/>
          <w:szCs w:val="20"/>
        </w:rPr>
        <w:t>8</w:t>
      </w:r>
      <w:r w:rsidRPr="00DA5E6F">
        <w:rPr>
          <w:rFonts w:cs="Traditional Arabic"/>
          <w:sz w:val="20"/>
          <w:szCs w:val="20"/>
        </w:rPr>
        <w:t>/44</w:t>
      </w:r>
      <w:r w:rsidRPr="00DA5E6F">
        <w:rPr>
          <w:rFonts w:cs="Traditional Arabic"/>
          <w:sz w:val="22"/>
          <w:szCs w:val="22"/>
        </w:rPr>
        <w:t>)</w:t>
      </w:r>
    </w:p>
    <w:p w:rsidR="00776880" w:rsidRPr="00033DC8" w:rsidRDefault="00776880" w:rsidP="00776880">
      <w:pPr>
        <w:pStyle w:val="SLGA"/>
        <w:bidi/>
        <w:spacing w:after="480"/>
        <w:rPr>
          <w:rFonts w:hint="cs"/>
          <w:sz w:val="60"/>
          <w:szCs w:val="60"/>
          <w:rtl/>
        </w:rPr>
      </w:pPr>
      <w:r w:rsidRPr="00033DC8">
        <w:rPr>
          <w:rFonts w:hint="cs"/>
          <w:sz w:val="60"/>
          <w:szCs w:val="60"/>
          <w:rtl/>
        </w:rPr>
        <w:t xml:space="preserve">تقرير لجنة </w:t>
      </w:r>
      <w:r>
        <w:rPr>
          <w:rFonts w:hint="cs"/>
          <w:sz w:val="60"/>
          <w:szCs w:val="60"/>
          <w:rtl/>
        </w:rPr>
        <w:t>مناهضة التعذيب</w:t>
      </w:r>
    </w:p>
    <w:p w:rsidR="00776880" w:rsidRPr="00F77953" w:rsidRDefault="00776880" w:rsidP="00776880">
      <w:pPr>
        <w:pStyle w:val="HChGA"/>
        <w:spacing w:before="0" w:after="0"/>
        <w:ind w:left="2494"/>
        <w:rPr>
          <w:rFonts w:hint="cs"/>
          <w:sz w:val="26"/>
          <w:szCs w:val="36"/>
          <w:rtl/>
        </w:rPr>
      </w:pPr>
      <w:r w:rsidRPr="00F77953">
        <w:rPr>
          <w:rFonts w:hint="cs"/>
          <w:sz w:val="26"/>
          <w:szCs w:val="36"/>
          <w:rtl/>
        </w:rPr>
        <w:t>الدورة التاسعة والأربعون</w:t>
      </w:r>
    </w:p>
    <w:p w:rsidR="00776880" w:rsidRPr="00F77953" w:rsidRDefault="00776880" w:rsidP="00776880">
      <w:pPr>
        <w:pStyle w:val="HChGA"/>
        <w:spacing w:before="0"/>
        <w:ind w:left="2494"/>
        <w:rPr>
          <w:rFonts w:hint="cs"/>
          <w:sz w:val="26"/>
          <w:szCs w:val="36"/>
          <w:rtl/>
        </w:rPr>
      </w:pPr>
      <w:r w:rsidRPr="00F77953">
        <w:rPr>
          <w:rFonts w:hint="cs"/>
          <w:sz w:val="26"/>
          <w:szCs w:val="36"/>
          <w:rtl/>
        </w:rPr>
        <w:t>(29 تشرين الأول/أكتوبر - 23 تشرين الثاني/نوفمبر 2012)</w:t>
      </w:r>
    </w:p>
    <w:p w:rsidR="00776880" w:rsidRPr="00F77953" w:rsidRDefault="00776880" w:rsidP="00776880">
      <w:pPr>
        <w:pStyle w:val="HChGA"/>
        <w:spacing w:before="0" w:after="0"/>
        <w:ind w:left="2494"/>
        <w:rPr>
          <w:rFonts w:hint="cs"/>
          <w:sz w:val="26"/>
          <w:szCs w:val="36"/>
          <w:rtl/>
        </w:rPr>
      </w:pPr>
      <w:r w:rsidRPr="00F77953">
        <w:rPr>
          <w:rFonts w:hint="cs"/>
          <w:sz w:val="26"/>
          <w:szCs w:val="36"/>
          <w:rtl/>
        </w:rPr>
        <w:t>الدورة الخمسون</w:t>
      </w:r>
    </w:p>
    <w:p w:rsidR="00776880" w:rsidRPr="00F77953" w:rsidRDefault="00776880" w:rsidP="00776880">
      <w:pPr>
        <w:pStyle w:val="HChGA"/>
        <w:spacing w:before="0" w:after="1800"/>
        <w:ind w:left="2494"/>
        <w:rPr>
          <w:rFonts w:hint="cs"/>
          <w:sz w:val="26"/>
          <w:szCs w:val="36"/>
          <w:rtl/>
        </w:rPr>
      </w:pPr>
      <w:r w:rsidRPr="00F77953">
        <w:rPr>
          <w:rFonts w:hint="cs"/>
          <w:sz w:val="26"/>
          <w:szCs w:val="36"/>
          <w:rtl/>
        </w:rPr>
        <w:t>(</w:t>
      </w:r>
      <w:r w:rsidR="00F77953" w:rsidRPr="00F77953">
        <w:rPr>
          <w:rFonts w:hint="cs"/>
          <w:sz w:val="26"/>
          <w:szCs w:val="36"/>
          <w:rtl/>
        </w:rPr>
        <w:t>6</w:t>
      </w:r>
      <w:r w:rsidRPr="00F77953">
        <w:rPr>
          <w:rFonts w:hint="cs"/>
          <w:sz w:val="26"/>
          <w:szCs w:val="36"/>
          <w:rtl/>
        </w:rPr>
        <w:t>-31 أيار/مايو 2013)</w:t>
      </w:r>
    </w:p>
    <w:p w:rsidR="00776880" w:rsidRPr="00F77953" w:rsidRDefault="00F77953" w:rsidP="00F77953">
      <w:pPr>
        <w:bidi/>
        <w:spacing w:before="3480" w:after="120" w:line="380" w:lineRule="exact"/>
        <w:ind w:left="1247"/>
        <w:rPr>
          <w:rFonts w:cs="Traditional Arabic" w:hint="cs"/>
          <w:b/>
          <w:bCs/>
          <w:sz w:val="22"/>
          <w:szCs w:val="32"/>
          <w:rtl/>
        </w:rPr>
      </w:pPr>
      <w:r w:rsidRPr="00F77953">
        <w:rPr>
          <w:rFonts w:cs="Traditional Arabic"/>
          <w:b/>
          <w:bCs/>
          <w:noProof/>
          <w:sz w:val="22"/>
          <w:szCs w:val="32"/>
          <w:rtl/>
        </w:rPr>
        <w:pict>
          <v:shape id="_x0000_s2052" type="#_x0000_t75" style="position:absolute;left:0;text-align:left;margin-left:373.05pt;margin-top:128.3pt;width:45pt;height:46.8pt;z-index:2">
            <v:imagedata r:id="rId7" o:title="" croptop="-11581f" cropbottom="-261f" cropleft="-327f" cropright="-327f"/>
            <w10:anchorlock/>
          </v:shape>
        </w:pict>
      </w:r>
      <w:r w:rsidRPr="00F77953">
        <w:rPr>
          <w:rFonts w:cs="Traditional Arabic"/>
          <w:b/>
          <w:bCs/>
          <w:sz w:val="22"/>
          <w:szCs w:val="32"/>
          <w:rtl/>
        </w:rPr>
        <w:t xml:space="preserve">الأمم المتحدة  </w:t>
      </w:r>
      <w:r w:rsidRPr="00F77953">
        <w:rPr>
          <w:rFonts w:cs="Traditional Arabic" w:hint="cs"/>
          <w:b/>
          <w:bCs/>
          <w:sz w:val="22"/>
          <w:szCs w:val="32"/>
          <w:rtl/>
          <w:lang w:val="en-GB"/>
        </w:rPr>
        <w:t>•</w:t>
      </w:r>
      <w:r w:rsidRPr="00F77953">
        <w:rPr>
          <w:rFonts w:cs="Traditional Arabic"/>
          <w:b/>
          <w:bCs/>
          <w:sz w:val="22"/>
          <w:szCs w:val="32"/>
          <w:rtl/>
        </w:rPr>
        <w:t xml:space="preserve">  نيويورك، 2013</w:t>
      </w:r>
    </w:p>
    <w:p w:rsidR="00776880" w:rsidRDefault="00776880" w:rsidP="00776880">
      <w:pPr>
        <w:spacing w:line="380" w:lineRule="exact"/>
        <w:rPr>
          <w:rFonts w:hint="cs"/>
          <w:rtl/>
        </w:rPr>
        <w:sectPr w:rsidR="00776880" w:rsidSect="00F77953">
          <w:headerReference w:type="first" r:id="rId14"/>
          <w:footerReference w:type="first" r:id="rId15"/>
          <w:endnotePr>
            <w:numFmt w:val="decimal"/>
          </w:endnotePr>
          <w:pgSz w:w="11906" w:h="16838" w:code="9"/>
          <w:pgMar w:top="1701" w:right="1134" w:bottom="2268" w:left="1134" w:header="1134" w:footer="1701" w:gutter="0"/>
          <w:pgNumType w:fmt="lowerRoman" w:start="1"/>
          <w:cols w:space="708"/>
          <w:titlePg/>
          <w:bidi/>
          <w:rtlGutter/>
          <w:docGrid w:linePitch="360"/>
        </w:sectPr>
      </w:pPr>
    </w:p>
    <w:p w:rsidR="00776880" w:rsidRPr="00F96B1E" w:rsidRDefault="00776880" w:rsidP="00776880">
      <w:pPr>
        <w:pStyle w:val="SingleTxtGA"/>
        <w:spacing w:before="3720"/>
        <w:rPr>
          <w:rFonts w:hint="cs"/>
          <w:i/>
          <w:iCs/>
          <w:rtl/>
        </w:rPr>
      </w:pPr>
      <w:r w:rsidRPr="00F96B1E">
        <w:rPr>
          <w:rFonts w:hint="cs"/>
          <w:i/>
          <w:iCs/>
          <w:rtl/>
        </w:rPr>
        <w:t>ملحوظة</w:t>
      </w:r>
    </w:p>
    <w:p w:rsidR="00776880" w:rsidRDefault="00776880" w:rsidP="00D913CB">
      <w:pPr>
        <w:pStyle w:val="SingleTxtGA"/>
        <w:rPr>
          <w:rFonts w:hint="cs"/>
          <w:rtl/>
        </w:rPr>
      </w:pPr>
      <w:r w:rsidRPr="00780B1F">
        <w:rPr>
          <w:rFonts w:hint="cs"/>
          <w:rtl/>
        </w:rPr>
        <w:tab/>
      </w:r>
      <w:r w:rsidRPr="00F0535C">
        <w:rPr>
          <w:rFonts w:hint="cs"/>
          <w:rtl/>
        </w:rPr>
        <w:t>تتألف رموز وثائق الأمم المتحدة من حروف وأرقام. ويعني إيراد أي من هذه الرموز الإشارة إلى وثيقة من وثائق الأمم المتحدة.</w:t>
      </w:r>
    </w:p>
    <w:p w:rsidR="00776880" w:rsidRDefault="00776880" w:rsidP="00776880">
      <w:pPr>
        <w:spacing w:line="380" w:lineRule="exact"/>
        <w:rPr>
          <w:rtl/>
        </w:rPr>
        <w:sectPr w:rsidR="00776880" w:rsidSect="00B252D0">
          <w:headerReference w:type="first" r:id="rId16"/>
          <w:footerReference w:type="first" r:id="rId17"/>
          <w:endnotePr>
            <w:numFmt w:val="decimal"/>
          </w:endnotePr>
          <w:pgSz w:w="11906" w:h="16838" w:code="9"/>
          <w:pgMar w:top="1701" w:right="1134" w:bottom="2268" w:left="1134" w:header="1134" w:footer="1701" w:gutter="0"/>
          <w:pgNumType w:fmt="lowerRoman" w:start="2"/>
          <w:cols w:space="708"/>
          <w:titlePg/>
          <w:bidi/>
          <w:rtlGutter/>
          <w:docGrid w:linePitch="360"/>
        </w:sectPr>
      </w:pPr>
    </w:p>
    <w:p w:rsidR="00D913CB" w:rsidRPr="00982D8B" w:rsidRDefault="00D913CB" w:rsidP="007A1F1A">
      <w:pPr>
        <w:bidi/>
        <w:spacing w:after="240" w:line="360" w:lineRule="exact"/>
        <w:rPr>
          <w:rFonts w:cs="Traditional Arabic" w:hint="cs"/>
          <w:sz w:val="36"/>
          <w:szCs w:val="36"/>
          <w:rtl/>
        </w:rPr>
      </w:pPr>
      <w:r>
        <w:rPr>
          <w:rFonts w:cs="Traditional Arabic" w:hint="cs"/>
          <w:sz w:val="36"/>
          <w:szCs w:val="36"/>
          <w:rtl/>
        </w:rPr>
        <w:t>المحتويات</w:t>
      </w:r>
    </w:p>
    <w:p w:rsidR="00D913CB" w:rsidRPr="00E64ED3" w:rsidRDefault="00D913CB" w:rsidP="00D913CB">
      <w:pPr>
        <w:tabs>
          <w:tab w:val="left" w:pos="7917"/>
          <w:tab w:val="right" w:pos="9638"/>
        </w:tabs>
        <w:bidi/>
        <w:spacing w:before="120" w:after="120" w:line="240" w:lineRule="exact"/>
        <w:ind w:left="284"/>
        <w:rPr>
          <w:rFonts w:cs="Traditional Arabic" w:hint="cs"/>
          <w:iCs/>
          <w:sz w:val="20"/>
          <w:szCs w:val="28"/>
          <w:rtl/>
        </w:rPr>
      </w:pPr>
      <w:r w:rsidRPr="00E64ED3">
        <w:rPr>
          <w:i/>
          <w:sz w:val="20"/>
        </w:rPr>
        <w:tab/>
      </w:r>
      <w:r w:rsidRPr="00E64ED3">
        <w:rPr>
          <w:rFonts w:cs="Traditional Arabic" w:hint="cs"/>
          <w:iCs/>
          <w:sz w:val="20"/>
          <w:szCs w:val="28"/>
          <w:rtl/>
        </w:rPr>
        <w:t>الفقـرات</w:t>
      </w:r>
      <w:r w:rsidRPr="00E64ED3">
        <w:rPr>
          <w:i/>
          <w:sz w:val="20"/>
        </w:rPr>
        <w:tab/>
      </w:r>
      <w:r w:rsidRPr="00E64ED3">
        <w:rPr>
          <w:rFonts w:cs="Traditional Arabic" w:hint="cs"/>
          <w:iCs/>
          <w:sz w:val="20"/>
          <w:szCs w:val="28"/>
          <w:rtl/>
        </w:rPr>
        <w:t>الصفحة</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t>أولاً</w:t>
      </w:r>
      <w:r w:rsidRPr="009A767D">
        <w:rPr>
          <w:rFonts w:cs="Traditional Arabic" w:hint="cs"/>
          <w:sz w:val="18"/>
          <w:szCs w:val="28"/>
          <w:rtl/>
          <w:lang w:val="fr-CH"/>
        </w:rPr>
        <w:tab/>
        <w:t>-</w:t>
      </w:r>
      <w:r w:rsidRPr="009A767D">
        <w:rPr>
          <w:rFonts w:cs="Traditional Arabic" w:hint="cs"/>
          <w:sz w:val="18"/>
          <w:szCs w:val="28"/>
          <w:rtl/>
          <w:lang w:val="fr-CH"/>
        </w:rPr>
        <w:tab/>
      </w:r>
      <w:r w:rsidRPr="009A767D">
        <w:rPr>
          <w:rFonts w:cs="Traditional Arabic"/>
          <w:sz w:val="18"/>
          <w:szCs w:val="28"/>
          <w:rtl/>
          <w:lang w:val="fr-CH"/>
        </w:rPr>
        <w:t>المسائل التنظيمية ومسائل أخرى</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1-37</w:t>
      </w:r>
      <w:r w:rsidRPr="009A767D">
        <w:rPr>
          <w:rFonts w:cs="Traditional Arabic" w:hint="cs"/>
          <w:sz w:val="18"/>
          <w:szCs w:val="28"/>
          <w:rtl/>
          <w:lang w:val="fr-CH"/>
        </w:rPr>
        <w:tab/>
      </w:r>
      <w:r w:rsidR="001B2734">
        <w:rPr>
          <w:rFonts w:cs="Traditional Arabic" w:hint="cs"/>
          <w:sz w:val="18"/>
          <w:szCs w:val="28"/>
          <w:rtl/>
          <w:lang w:val="fr-CH"/>
        </w:rPr>
        <w:t>1</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sz w:val="18"/>
          <w:szCs w:val="28"/>
          <w:rtl/>
          <w:lang w:val="fr-CH"/>
        </w:rPr>
        <w:t>ألف</w:t>
      </w:r>
      <w:r w:rsidRPr="009A767D">
        <w:rPr>
          <w:rFonts w:cs="Traditional Arabic" w:hint="cs"/>
          <w:sz w:val="18"/>
          <w:szCs w:val="28"/>
          <w:rtl/>
          <w:lang w:val="fr-CH"/>
        </w:rPr>
        <w:tab/>
      </w:r>
      <w:r w:rsidRPr="009A767D">
        <w:rPr>
          <w:rFonts w:cs="Traditional Arabic"/>
          <w:sz w:val="18"/>
          <w:szCs w:val="28"/>
          <w:rtl/>
          <w:lang w:val="fr-CH"/>
        </w:rPr>
        <w:t>-</w:t>
      </w:r>
      <w:r w:rsidRPr="009A767D">
        <w:rPr>
          <w:rFonts w:cs="Traditional Arabic" w:hint="cs"/>
          <w:sz w:val="18"/>
          <w:szCs w:val="28"/>
          <w:rtl/>
          <w:lang w:val="fr-CH"/>
        </w:rPr>
        <w:tab/>
      </w:r>
      <w:r w:rsidRPr="009A767D">
        <w:rPr>
          <w:rFonts w:cs="Traditional Arabic"/>
          <w:sz w:val="18"/>
          <w:szCs w:val="28"/>
          <w:rtl/>
          <w:lang w:val="fr-CH"/>
        </w:rPr>
        <w:t xml:space="preserve">الدول الأطراف في </w:t>
      </w:r>
      <w:r w:rsidRPr="009A767D">
        <w:rPr>
          <w:rFonts w:cs="Traditional Arabic" w:hint="cs"/>
          <w:sz w:val="18"/>
          <w:szCs w:val="28"/>
          <w:rtl/>
          <w:lang w:val="fr-CH"/>
        </w:rPr>
        <w:t>الا</w:t>
      </w:r>
      <w:r w:rsidRPr="009A767D">
        <w:rPr>
          <w:rFonts w:cs="Traditional Arabic"/>
          <w:sz w:val="18"/>
          <w:szCs w:val="28"/>
          <w:rtl/>
          <w:lang w:val="fr-CH"/>
        </w:rPr>
        <w:t>تفاقية</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1-3</w:t>
      </w:r>
      <w:r w:rsidRPr="009A767D">
        <w:rPr>
          <w:rFonts w:cs="Traditional Arabic" w:hint="cs"/>
          <w:sz w:val="18"/>
          <w:szCs w:val="28"/>
          <w:rtl/>
          <w:lang w:val="fr-CH"/>
        </w:rPr>
        <w:tab/>
      </w:r>
      <w:r w:rsidR="001B2734">
        <w:rPr>
          <w:rFonts w:cs="Traditional Arabic" w:hint="cs"/>
          <w:sz w:val="18"/>
          <w:szCs w:val="28"/>
          <w:rtl/>
          <w:lang w:val="fr-CH"/>
        </w:rPr>
        <w:t>1</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sz w:val="18"/>
          <w:szCs w:val="28"/>
          <w:rtl/>
          <w:lang w:val="fr-CH"/>
        </w:rPr>
        <w:t>باء</w:t>
      </w:r>
      <w:r w:rsidRPr="009A767D">
        <w:rPr>
          <w:rFonts w:cs="Traditional Arabic" w:hint="cs"/>
          <w:sz w:val="18"/>
          <w:szCs w:val="28"/>
          <w:rtl/>
          <w:lang w:val="fr-CH"/>
        </w:rPr>
        <w:tab/>
      </w:r>
      <w:r w:rsidRPr="009A767D">
        <w:rPr>
          <w:rFonts w:cs="Traditional Arabic"/>
          <w:sz w:val="18"/>
          <w:szCs w:val="28"/>
          <w:rtl/>
          <w:lang w:val="fr-CH"/>
        </w:rPr>
        <w:t>-</w:t>
      </w:r>
      <w:r w:rsidRPr="009A767D">
        <w:rPr>
          <w:rFonts w:cs="Traditional Arabic" w:hint="cs"/>
          <w:sz w:val="18"/>
          <w:szCs w:val="28"/>
          <w:rtl/>
          <w:lang w:val="fr-CH"/>
        </w:rPr>
        <w:tab/>
      </w:r>
      <w:r w:rsidRPr="009A767D">
        <w:rPr>
          <w:rFonts w:cs="Traditional Arabic"/>
          <w:sz w:val="18"/>
          <w:szCs w:val="28"/>
          <w:rtl/>
          <w:lang w:val="fr-CH"/>
        </w:rPr>
        <w:t>دورت</w:t>
      </w:r>
      <w:r w:rsidRPr="009A767D">
        <w:rPr>
          <w:rFonts w:cs="Traditional Arabic" w:hint="cs"/>
          <w:sz w:val="18"/>
          <w:szCs w:val="28"/>
          <w:rtl/>
          <w:lang w:val="fr-CH"/>
        </w:rPr>
        <w:t>ا</w:t>
      </w:r>
      <w:r w:rsidRPr="009A767D">
        <w:rPr>
          <w:rFonts w:cs="Traditional Arabic"/>
          <w:sz w:val="18"/>
          <w:szCs w:val="28"/>
          <w:rtl/>
          <w:lang w:val="fr-CH"/>
        </w:rPr>
        <w:t xml:space="preserve"> </w:t>
      </w:r>
      <w:r w:rsidRPr="009A767D">
        <w:rPr>
          <w:rFonts w:cs="Traditional Arabic" w:hint="cs"/>
          <w:sz w:val="18"/>
          <w:szCs w:val="28"/>
          <w:rtl/>
          <w:lang w:val="fr-CH"/>
        </w:rPr>
        <w:t>ال</w:t>
      </w:r>
      <w:r w:rsidRPr="009A767D">
        <w:rPr>
          <w:rFonts w:cs="Traditional Arabic"/>
          <w:sz w:val="18"/>
          <w:szCs w:val="28"/>
          <w:rtl/>
          <w:lang w:val="fr-CH"/>
        </w:rPr>
        <w:t>لجنة</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4</w:t>
      </w:r>
      <w:r w:rsidRPr="009A767D">
        <w:rPr>
          <w:rFonts w:cs="Traditional Arabic" w:hint="cs"/>
          <w:sz w:val="18"/>
          <w:szCs w:val="28"/>
          <w:rtl/>
          <w:lang w:val="fr-CH"/>
        </w:rPr>
        <w:tab/>
      </w:r>
      <w:r w:rsidR="001B2734">
        <w:rPr>
          <w:rFonts w:cs="Traditional Arabic" w:hint="cs"/>
          <w:sz w:val="18"/>
          <w:szCs w:val="28"/>
          <w:rtl/>
          <w:lang w:val="fr-CH"/>
        </w:rPr>
        <w:t>1</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جيم</w:t>
      </w:r>
      <w:r w:rsidRPr="009A767D">
        <w:rPr>
          <w:rFonts w:cs="Traditional Arabic" w:hint="cs"/>
          <w:sz w:val="18"/>
          <w:szCs w:val="28"/>
          <w:rtl/>
          <w:lang w:val="fr-CH"/>
        </w:rPr>
        <w:tab/>
        <w:t>-</w:t>
      </w:r>
      <w:r w:rsidRPr="009A767D">
        <w:rPr>
          <w:rFonts w:cs="Traditional Arabic" w:hint="cs"/>
          <w:sz w:val="18"/>
          <w:szCs w:val="28"/>
          <w:rtl/>
          <w:lang w:val="fr-CH"/>
        </w:rPr>
        <w:tab/>
        <w:t>العضوية والحضور في الدورتين</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5</w:t>
      </w:r>
      <w:r w:rsidRPr="009A767D">
        <w:rPr>
          <w:rFonts w:cs="Traditional Arabic" w:hint="cs"/>
          <w:sz w:val="18"/>
          <w:szCs w:val="28"/>
          <w:rtl/>
          <w:lang w:val="fr-CH"/>
        </w:rPr>
        <w:tab/>
      </w:r>
      <w:r w:rsidR="001B2734">
        <w:rPr>
          <w:rFonts w:cs="Traditional Arabic" w:hint="cs"/>
          <w:sz w:val="18"/>
          <w:szCs w:val="28"/>
          <w:rtl/>
          <w:lang w:val="fr-CH"/>
        </w:rPr>
        <w:t>1</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دال</w:t>
      </w:r>
      <w:r w:rsidRPr="009A767D">
        <w:rPr>
          <w:rFonts w:cs="Traditional Arabic" w:hint="cs"/>
          <w:sz w:val="18"/>
          <w:szCs w:val="28"/>
          <w:rtl/>
          <w:lang w:val="fr-CH"/>
        </w:rPr>
        <w:tab/>
        <w:t>-</w:t>
      </w:r>
      <w:r w:rsidRPr="009A767D">
        <w:rPr>
          <w:rFonts w:cs="Traditional Arabic" w:hint="cs"/>
          <w:sz w:val="18"/>
          <w:szCs w:val="28"/>
          <w:rtl/>
          <w:lang w:val="fr-CH"/>
        </w:rPr>
        <w:tab/>
        <w:t>جدولا الأعمال</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6-7</w:t>
      </w:r>
      <w:r w:rsidRPr="009A767D">
        <w:rPr>
          <w:rFonts w:cs="Traditional Arabic" w:hint="cs"/>
          <w:sz w:val="18"/>
          <w:szCs w:val="28"/>
          <w:rtl/>
          <w:lang w:val="fr-CH"/>
        </w:rPr>
        <w:tab/>
      </w:r>
      <w:r w:rsidR="001B2734">
        <w:rPr>
          <w:rFonts w:cs="Traditional Arabic" w:hint="cs"/>
          <w:sz w:val="18"/>
          <w:szCs w:val="28"/>
          <w:rtl/>
          <w:lang w:val="fr-CH"/>
        </w:rPr>
        <w:t>2</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هاء</w:t>
      </w:r>
      <w:r w:rsidRPr="009A767D">
        <w:rPr>
          <w:rFonts w:cs="Traditional Arabic" w:hint="cs"/>
          <w:sz w:val="18"/>
          <w:szCs w:val="28"/>
          <w:rtl/>
          <w:lang w:val="fr-CH"/>
        </w:rPr>
        <w:tab/>
        <w:t>-</w:t>
      </w:r>
      <w:r w:rsidRPr="009A767D">
        <w:rPr>
          <w:rFonts w:cs="Traditional Arabic" w:hint="cs"/>
          <w:sz w:val="18"/>
          <w:szCs w:val="28"/>
          <w:rtl/>
          <w:lang w:val="fr-CH"/>
        </w:rPr>
        <w:tab/>
      </w:r>
      <w:r w:rsidRPr="009A767D">
        <w:rPr>
          <w:rFonts w:cs="Traditional Arabic" w:hint="eastAsia"/>
          <w:sz w:val="18"/>
          <w:szCs w:val="28"/>
          <w:rtl/>
          <w:lang w:val="fr-CH"/>
        </w:rPr>
        <w:t>مشاركة</w:t>
      </w:r>
      <w:r w:rsidRPr="009A767D">
        <w:rPr>
          <w:rFonts w:cs="Traditional Arabic"/>
          <w:sz w:val="18"/>
          <w:szCs w:val="28"/>
          <w:rtl/>
          <w:lang w:val="fr-CH"/>
        </w:rPr>
        <w:t xml:space="preserve"> أعضاء اللجنة في </w:t>
      </w:r>
      <w:r w:rsidRPr="009A767D">
        <w:rPr>
          <w:rFonts w:cs="Traditional Arabic" w:hint="eastAsia"/>
          <w:sz w:val="18"/>
          <w:szCs w:val="28"/>
          <w:rtl/>
          <w:lang w:val="fr-CH"/>
        </w:rPr>
        <w:t>اجتماعات</w:t>
      </w:r>
      <w:r w:rsidRPr="009A767D">
        <w:rPr>
          <w:rFonts w:cs="Traditional Arabic"/>
          <w:sz w:val="18"/>
          <w:szCs w:val="28"/>
          <w:rtl/>
          <w:lang w:val="fr-CH"/>
        </w:rPr>
        <w:t xml:space="preserve"> أخرى</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8-9</w:t>
      </w:r>
      <w:r w:rsidRPr="009A767D">
        <w:rPr>
          <w:rFonts w:cs="Traditional Arabic" w:hint="cs"/>
          <w:sz w:val="18"/>
          <w:szCs w:val="28"/>
          <w:rtl/>
          <w:lang w:val="fr-CH"/>
        </w:rPr>
        <w:tab/>
      </w:r>
      <w:r w:rsidR="001B2734">
        <w:rPr>
          <w:rFonts w:cs="Traditional Arabic" w:hint="cs"/>
          <w:sz w:val="18"/>
          <w:szCs w:val="28"/>
          <w:rtl/>
          <w:lang w:val="fr-CH"/>
        </w:rPr>
        <w:t>2</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واو</w:t>
      </w:r>
      <w:r w:rsidRPr="009A767D">
        <w:rPr>
          <w:rFonts w:cs="Traditional Arabic" w:hint="cs"/>
          <w:sz w:val="18"/>
          <w:szCs w:val="28"/>
          <w:rtl/>
          <w:lang w:val="fr-CH"/>
        </w:rPr>
        <w:tab/>
        <w:t>-</w:t>
      </w:r>
      <w:r w:rsidRPr="009A767D">
        <w:rPr>
          <w:rFonts w:cs="Traditional Arabic" w:hint="cs"/>
          <w:sz w:val="18"/>
          <w:szCs w:val="28"/>
          <w:rtl/>
          <w:lang w:val="fr-CH"/>
        </w:rPr>
        <w:tab/>
        <w:t>التقرير الشفوي المقدم من الرئيس إلى الجمعية العامة</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10</w:t>
      </w:r>
      <w:r w:rsidRPr="009A767D">
        <w:rPr>
          <w:rFonts w:cs="Traditional Arabic" w:hint="cs"/>
          <w:sz w:val="18"/>
          <w:szCs w:val="28"/>
          <w:rtl/>
          <w:lang w:val="fr-CH"/>
        </w:rPr>
        <w:tab/>
      </w:r>
      <w:r w:rsidR="001B2734">
        <w:rPr>
          <w:rFonts w:cs="Traditional Arabic" w:hint="cs"/>
          <w:sz w:val="18"/>
          <w:szCs w:val="28"/>
          <w:rtl/>
          <w:lang w:val="fr-CH"/>
        </w:rPr>
        <w:t>3</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زاي</w:t>
      </w:r>
      <w:r w:rsidRPr="009A767D">
        <w:rPr>
          <w:rFonts w:cs="Traditional Arabic" w:hint="cs"/>
          <w:sz w:val="18"/>
          <w:szCs w:val="28"/>
          <w:rtl/>
          <w:lang w:val="fr-CH"/>
        </w:rPr>
        <w:tab/>
        <w:t>-</w:t>
      </w:r>
      <w:r w:rsidRPr="009A767D">
        <w:rPr>
          <w:rFonts w:cs="Traditional Arabic" w:hint="cs"/>
          <w:sz w:val="18"/>
          <w:szCs w:val="28"/>
          <w:rtl/>
          <w:lang w:val="fr-CH"/>
        </w:rPr>
        <w:tab/>
        <w:t>أنشطة اللجنة فيما يتعلق بالبروتوكول الاختياري للاتفاقية</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11-15</w:t>
      </w:r>
      <w:r w:rsidRPr="009A767D">
        <w:rPr>
          <w:rFonts w:cs="Traditional Arabic" w:hint="cs"/>
          <w:sz w:val="18"/>
          <w:szCs w:val="28"/>
          <w:rtl/>
          <w:lang w:val="fr-CH"/>
        </w:rPr>
        <w:tab/>
      </w:r>
      <w:r w:rsidR="001B2734">
        <w:rPr>
          <w:rFonts w:cs="Traditional Arabic" w:hint="cs"/>
          <w:sz w:val="18"/>
          <w:szCs w:val="28"/>
          <w:rtl/>
          <w:lang w:val="fr-CH"/>
        </w:rPr>
        <w:t>3</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sz w:val="18"/>
          <w:szCs w:val="28"/>
          <w:rtl/>
          <w:lang w:val="fr-CH"/>
        </w:rPr>
        <w:tab/>
        <w:t>حاء</w:t>
      </w:r>
      <w:r w:rsidRPr="009A767D">
        <w:rPr>
          <w:rFonts w:cs="Traditional Arabic" w:hint="cs"/>
          <w:sz w:val="18"/>
          <w:szCs w:val="28"/>
          <w:rtl/>
          <w:lang w:val="fr-CH"/>
        </w:rPr>
        <w:tab/>
      </w:r>
      <w:r w:rsidRPr="009A767D">
        <w:rPr>
          <w:rFonts w:cs="Traditional Arabic"/>
          <w:sz w:val="18"/>
          <w:szCs w:val="28"/>
          <w:rtl/>
          <w:lang w:val="fr-CH"/>
        </w:rPr>
        <w:t>-</w:t>
      </w:r>
      <w:r w:rsidRPr="009A767D">
        <w:rPr>
          <w:rFonts w:cs="Traditional Arabic"/>
          <w:sz w:val="18"/>
          <w:szCs w:val="28"/>
          <w:rtl/>
          <w:lang w:val="fr-CH"/>
        </w:rPr>
        <w:tab/>
        <w:t>بيان مشترك بمناسبة يوم الأمم المتحدة الدولي لمساندة ضحايا التعذيب</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16</w:t>
      </w:r>
      <w:r w:rsidRPr="009A767D">
        <w:rPr>
          <w:rFonts w:cs="Traditional Arabic" w:hint="cs"/>
          <w:sz w:val="18"/>
          <w:szCs w:val="28"/>
          <w:rtl/>
          <w:lang w:val="fr-CH"/>
        </w:rPr>
        <w:tab/>
      </w:r>
      <w:r w:rsidR="001B2734">
        <w:rPr>
          <w:rFonts w:cs="Traditional Arabic" w:hint="cs"/>
          <w:sz w:val="18"/>
          <w:szCs w:val="28"/>
          <w:rtl/>
          <w:lang w:val="fr-CH"/>
        </w:rPr>
        <w:t>4</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sz w:val="18"/>
          <w:szCs w:val="28"/>
          <w:rtl/>
          <w:lang w:val="fr-CH"/>
        </w:rPr>
        <w:t>طاء</w:t>
      </w:r>
      <w:r w:rsidRPr="009A767D">
        <w:rPr>
          <w:rFonts w:cs="Traditional Arabic" w:hint="cs"/>
          <w:sz w:val="18"/>
          <w:szCs w:val="28"/>
          <w:rtl/>
          <w:lang w:val="fr-CH"/>
        </w:rPr>
        <w:tab/>
      </w:r>
      <w:r w:rsidRPr="009A767D">
        <w:rPr>
          <w:rFonts w:cs="Traditional Arabic"/>
          <w:sz w:val="18"/>
          <w:szCs w:val="28"/>
          <w:rtl/>
          <w:lang w:val="fr-CH"/>
        </w:rPr>
        <w:t>-</w:t>
      </w:r>
      <w:r w:rsidRPr="009A767D">
        <w:rPr>
          <w:rFonts w:cs="Traditional Arabic" w:hint="cs"/>
          <w:sz w:val="18"/>
          <w:szCs w:val="28"/>
          <w:rtl/>
          <w:lang w:val="fr-CH"/>
        </w:rPr>
        <w:tab/>
      </w:r>
      <w:r w:rsidRPr="009A767D">
        <w:rPr>
          <w:rFonts w:cs="Traditional Arabic"/>
          <w:sz w:val="18"/>
          <w:szCs w:val="28"/>
          <w:rtl/>
          <w:lang w:val="fr-CH"/>
        </w:rPr>
        <w:t>الاجتماع غير الرسمي مع الدول الأطراف في الاتفاقية</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17</w:t>
      </w:r>
      <w:r w:rsidRPr="009A767D">
        <w:rPr>
          <w:rFonts w:cs="Traditional Arabic" w:hint="cs"/>
          <w:sz w:val="18"/>
          <w:szCs w:val="28"/>
          <w:rtl/>
          <w:lang w:val="fr-CH"/>
        </w:rPr>
        <w:tab/>
      </w:r>
      <w:r w:rsidR="001B2734">
        <w:rPr>
          <w:rFonts w:cs="Traditional Arabic" w:hint="cs"/>
          <w:sz w:val="18"/>
          <w:szCs w:val="28"/>
          <w:rtl/>
          <w:lang w:val="fr-CH"/>
        </w:rPr>
        <w:t>5</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sz w:val="18"/>
          <w:szCs w:val="28"/>
          <w:rtl/>
          <w:lang w:val="fr-CH"/>
        </w:rPr>
        <w:tab/>
        <w:t>ياء</w:t>
      </w:r>
      <w:r w:rsidRPr="009A767D">
        <w:rPr>
          <w:rFonts w:cs="Traditional Arabic" w:hint="cs"/>
          <w:sz w:val="18"/>
          <w:szCs w:val="28"/>
          <w:rtl/>
          <w:lang w:val="fr-CH"/>
        </w:rPr>
        <w:tab/>
      </w:r>
      <w:r w:rsidRPr="009A767D">
        <w:rPr>
          <w:rFonts w:cs="Traditional Arabic"/>
          <w:sz w:val="18"/>
          <w:szCs w:val="28"/>
          <w:rtl/>
          <w:lang w:val="fr-CH"/>
        </w:rPr>
        <w:t>-</w:t>
      </w:r>
      <w:r w:rsidRPr="009A767D">
        <w:rPr>
          <w:rFonts w:cs="Traditional Arabic"/>
          <w:sz w:val="18"/>
          <w:szCs w:val="28"/>
          <w:rtl/>
          <w:lang w:val="fr-CH"/>
        </w:rPr>
        <w:tab/>
        <w:t>مشاركة المنظمات غير الحكومية</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18-19</w:t>
      </w:r>
      <w:r w:rsidRPr="009A767D">
        <w:rPr>
          <w:rFonts w:cs="Traditional Arabic" w:hint="cs"/>
          <w:sz w:val="18"/>
          <w:szCs w:val="28"/>
          <w:rtl/>
          <w:lang w:val="fr-CH"/>
        </w:rPr>
        <w:tab/>
      </w:r>
      <w:r w:rsidR="001B2734">
        <w:rPr>
          <w:rFonts w:cs="Traditional Arabic" w:hint="cs"/>
          <w:sz w:val="18"/>
          <w:szCs w:val="28"/>
          <w:rtl/>
          <w:lang w:val="fr-CH"/>
        </w:rPr>
        <w:t>5</w:t>
      </w:r>
    </w:p>
    <w:p w:rsidR="00AD18A8" w:rsidRPr="009A767D" w:rsidRDefault="00AD18A8" w:rsidP="007A1F1A">
      <w:pPr>
        <w:tabs>
          <w:tab w:val="right" w:pos="1021"/>
          <w:tab w:val="left" w:pos="1077"/>
          <w:tab w:val="left" w:pos="1525"/>
          <w:tab w:val="left" w:pos="1954"/>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sz w:val="18"/>
          <w:szCs w:val="28"/>
          <w:rtl/>
          <w:lang w:val="fr-CH"/>
        </w:rPr>
        <w:tab/>
        <w:t>كاف</w:t>
      </w:r>
      <w:r w:rsidRPr="009A767D">
        <w:rPr>
          <w:rFonts w:cs="Traditional Arabic" w:hint="cs"/>
          <w:sz w:val="18"/>
          <w:szCs w:val="28"/>
          <w:rtl/>
          <w:lang w:val="fr-CH"/>
        </w:rPr>
        <w:tab/>
        <w:t>-</w:t>
      </w:r>
      <w:r w:rsidRPr="009A767D">
        <w:rPr>
          <w:rFonts w:cs="Traditional Arabic"/>
          <w:sz w:val="18"/>
          <w:szCs w:val="28"/>
          <w:rtl/>
          <w:lang w:val="fr-CH"/>
        </w:rPr>
        <w:tab/>
        <w:t>مشاركة المؤسسات الوطنية لحقوق الإنسان</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20</w:t>
      </w:r>
      <w:r w:rsidRPr="009A767D">
        <w:rPr>
          <w:rFonts w:cs="Traditional Arabic" w:hint="cs"/>
          <w:sz w:val="18"/>
          <w:szCs w:val="28"/>
          <w:rtl/>
          <w:lang w:val="fr-CH"/>
        </w:rPr>
        <w:tab/>
      </w:r>
      <w:r w:rsidR="001B2734">
        <w:rPr>
          <w:rFonts w:cs="Traditional Arabic" w:hint="cs"/>
          <w:sz w:val="18"/>
          <w:szCs w:val="28"/>
          <w:rtl/>
          <w:lang w:val="fr-CH"/>
        </w:rPr>
        <w:t>5</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sz w:val="18"/>
          <w:szCs w:val="28"/>
          <w:rtl/>
          <w:lang w:val="fr-CH"/>
        </w:rPr>
        <w:tab/>
        <w:t>لام</w:t>
      </w:r>
      <w:r w:rsidRPr="009A767D">
        <w:rPr>
          <w:rFonts w:cs="Traditional Arabic" w:hint="cs"/>
          <w:sz w:val="18"/>
          <w:szCs w:val="28"/>
          <w:rtl/>
          <w:lang w:val="fr-CH"/>
        </w:rPr>
        <w:tab/>
      </w:r>
      <w:r w:rsidRPr="009A767D">
        <w:rPr>
          <w:rFonts w:cs="Traditional Arabic"/>
          <w:sz w:val="18"/>
          <w:szCs w:val="28"/>
          <w:rtl/>
          <w:lang w:val="fr-CH"/>
        </w:rPr>
        <w:t>-</w:t>
      </w:r>
      <w:r w:rsidRPr="009A767D">
        <w:rPr>
          <w:rFonts w:cs="Traditional Arabic"/>
          <w:sz w:val="18"/>
          <w:szCs w:val="28"/>
          <w:rtl/>
          <w:lang w:val="fr-CH"/>
        </w:rPr>
        <w:tab/>
        <w:t>تعليق عام بشأن المادة 14 من الاتفاقية</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21</w:t>
      </w:r>
      <w:r w:rsidRPr="009A767D">
        <w:rPr>
          <w:rFonts w:cs="Traditional Arabic" w:hint="cs"/>
          <w:sz w:val="18"/>
          <w:szCs w:val="28"/>
          <w:rtl/>
          <w:lang w:val="fr-CH"/>
        </w:rPr>
        <w:tab/>
      </w:r>
      <w:r w:rsidR="001B2734">
        <w:rPr>
          <w:rFonts w:cs="Traditional Arabic" w:hint="cs"/>
          <w:sz w:val="18"/>
          <w:szCs w:val="28"/>
          <w:rtl/>
          <w:lang w:val="fr-CH"/>
        </w:rPr>
        <w:t>6</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sz w:val="18"/>
          <w:szCs w:val="28"/>
          <w:rtl/>
          <w:lang w:val="fr-CH"/>
        </w:rPr>
        <w:tab/>
        <w:t>ميم</w:t>
      </w:r>
      <w:r w:rsidRPr="009A767D">
        <w:rPr>
          <w:rFonts w:cs="Traditional Arabic" w:hint="cs"/>
          <w:sz w:val="18"/>
          <w:szCs w:val="28"/>
          <w:rtl/>
          <w:lang w:val="fr-CH"/>
        </w:rPr>
        <w:tab/>
        <w:t>-</w:t>
      </w:r>
      <w:r w:rsidRPr="009A767D">
        <w:rPr>
          <w:rFonts w:cs="Traditional Arabic"/>
          <w:sz w:val="18"/>
          <w:szCs w:val="28"/>
          <w:rtl/>
          <w:lang w:val="fr-CH"/>
        </w:rPr>
        <w:tab/>
        <w:t>المبادئ التوجيهية المتعلقة بتقديم التقارير</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22</w:t>
      </w:r>
      <w:r w:rsidRPr="009A767D">
        <w:rPr>
          <w:rFonts w:cs="Traditional Arabic" w:hint="cs"/>
          <w:sz w:val="18"/>
          <w:szCs w:val="28"/>
          <w:rtl/>
          <w:lang w:val="fr-CH"/>
        </w:rPr>
        <w:tab/>
      </w:r>
      <w:r w:rsidR="001B2734">
        <w:rPr>
          <w:rFonts w:cs="Traditional Arabic" w:hint="cs"/>
          <w:sz w:val="18"/>
          <w:szCs w:val="28"/>
          <w:rtl/>
          <w:lang w:val="fr-CH"/>
        </w:rPr>
        <w:t>6</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sz w:val="18"/>
          <w:szCs w:val="28"/>
          <w:rtl/>
          <w:lang w:val="fr-CH"/>
        </w:rPr>
        <w:t>نون</w:t>
      </w:r>
      <w:r w:rsidRPr="009A767D">
        <w:rPr>
          <w:rFonts w:cs="Traditional Arabic" w:hint="cs"/>
          <w:sz w:val="18"/>
          <w:szCs w:val="28"/>
          <w:rtl/>
          <w:lang w:val="fr-CH"/>
        </w:rPr>
        <w:tab/>
        <w:t>-</w:t>
      </w:r>
      <w:r w:rsidRPr="009A767D">
        <w:rPr>
          <w:rFonts w:cs="Traditional Arabic" w:hint="cs"/>
          <w:sz w:val="18"/>
          <w:szCs w:val="28"/>
          <w:rtl/>
          <w:lang w:val="fr-CH"/>
        </w:rPr>
        <w:tab/>
      </w:r>
      <w:r w:rsidRPr="009A767D">
        <w:rPr>
          <w:rFonts w:cs="Traditional Arabic"/>
          <w:sz w:val="18"/>
          <w:szCs w:val="28"/>
          <w:rtl/>
          <w:lang w:val="fr-CH"/>
        </w:rPr>
        <w:t>قرار الجمعية العامة 67/232</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23-24</w:t>
      </w:r>
      <w:r w:rsidRPr="009A767D">
        <w:rPr>
          <w:rFonts w:cs="Traditional Arabic" w:hint="cs"/>
          <w:sz w:val="18"/>
          <w:szCs w:val="28"/>
          <w:rtl/>
          <w:lang w:val="fr-CH"/>
        </w:rPr>
        <w:tab/>
      </w:r>
      <w:r w:rsidR="001B2734">
        <w:rPr>
          <w:rFonts w:cs="Traditional Arabic" w:hint="cs"/>
          <w:sz w:val="18"/>
          <w:szCs w:val="28"/>
          <w:rtl/>
          <w:lang w:val="fr-CH"/>
        </w:rPr>
        <w:t>6</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sz w:val="18"/>
          <w:szCs w:val="28"/>
          <w:rtl/>
          <w:lang w:val="fr-CH"/>
        </w:rPr>
        <w:tab/>
        <w:t>سين</w:t>
      </w:r>
      <w:r w:rsidRPr="009A767D">
        <w:rPr>
          <w:rFonts w:cs="Traditional Arabic" w:hint="cs"/>
          <w:sz w:val="18"/>
          <w:szCs w:val="28"/>
          <w:rtl/>
          <w:lang w:val="fr-CH"/>
        </w:rPr>
        <w:tab/>
      </w:r>
      <w:r w:rsidRPr="009A767D">
        <w:rPr>
          <w:rFonts w:cs="Traditional Arabic"/>
          <w:sz w:val="18"/>
          <w:szCs w:val="28"/>
          <w:rtl/>
          <w:lang w:val="fr-CH"/>
        </w:rPr>
        <w:t>-</w:t>
      </w:r>
      <w:r w:rsidRPr="009A767D">
        <w:rPr>
          <w:rFonts w:cs="Traditional Arabic"/>
          <w:sz w:val="18"/>
          <w:szCs w:val="28"/>
          <w:rtl/>
          <w:lang w:val="fr-CH"/>
        </w:rPr>
        <w:tab/>
        <w:t>النظر في التقارير</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25</w:t>
      </w:r>
      <w:r w:rsidRPr="009A767D">
        <w:rPr>
          <w:rFonts w:cs="Traditional Arabic" w:hint="cs"/>
          <w:sz w:val="18"/>
          <w:szCs w:val="28"/>
          <w:rtl/>
          <w:lang w:val="fr-CH"/>
        </w:rPr>
        <w:tab/>
      </w:r>
      <w:r w:rsidR="001B2734">
        <w:rPr>
          <w:rFonts w:cs="Traditional Arabic" w:hint="cs"/>
          <w:sz w:val="18"/>
          <w:szCs w:val="28"/>
          <w:rtl/>
          <w:lang w:val="fr-CH"/>
        </w:rPr>
        <w:t>7</w:t>
      </w:r>
    </w:p>
    <w:p w:rsidR="008C6C7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sz w:val="18"/>
          <w:szCs w:val="28"/>
          <w:rtl/>
          <w:lang w:val="fr-CH"/>
        </w:rPr>
        <w:t>عين</w:t>
      </w:r>
      <w:r w:rsidRPr="009A767D">
        <w:rPr>
          <w:rFonts w:cs="Traditional Arabic" w:hint="cs"/>
          <w:sz w:val="18"/>
          <w:szCs w:val="28"/>
          <w:rtl/>
          <w:lang w:val="fr-CH"/>
        </w:rPr>
        <w:tab/>
        <w:t>-</w:t>
      </w:r>
      <w:r w:rsidRPr="009A767D">
        <w:rPr>
          <w:rFonts w:cs="Traditional Arabic" w:hint="cs"/>
          <w:sz w:val="18"/>
          <w:szCs w:val="28"/>
          <w:rtl/>
          <w:lang w:val="fr-CH"/>
        </w:rPr>
        <w:tab/>
      </w:r>
      <w:r w:rsidRPr="009A767D">
        <w:rPr>
          <w:rFonts w:cs="Traditional Arabic"/>
          <w:sz w:val="18"/>
          <w:szCs w:val="28"/>
          <w:rtl/>
          <w:lang w:val="fr-CH"/>
        </w:rPr>
        <w:t>التقرير الخاص المطلوب من الجمهورية العربية السورية</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26</w:t>
      </w:r>
      <w:r w:rsidRPr="009A767D">
        <w:rPr>
          <w:rFonts w:cs="Traditional Arabic" w:hint="cs"/>
          <w:sz w:val="18"/>
          <w:szCs w:val="28"/>
          <w:rtl/>
          <w:lang w:val="fr-CH"/>
        </w:rPr>
        <w:tab/>
      </w:r>
      <w:r w:rsidR="001B2734">
        <w:rPr>
          <w:rFonts w:cs="Traditional Arabic" w:hint="cs"/>
          <w:sz w:val="18"/>
          <w:szCs w:val="28"/>
          <w:rtl/>
          <w:lang w:val="fr-CH"/>
        </w:rPr>
        <w:t>7</w:t>
      </w:r>
    </w:p>
    <w:p w:rsidR="008C6C78" w:rsidRPr="009A767D" w:rsidRDefault="008C6C7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sz w:val="18"/>
          <w:szCs w:val="28"/>
          <w:rtl/>
          <w:lang w:val="fr-CH"/>
        </w:rPr>
        <w:tab/>
        <w:t>فاء</w:t>
      </w:r>
      <w:r w:rsidRPr="009A767D">
        <w:rPr>
          <w:rFonts w:cs="Traditional Arabic" w:hint="cs"/>
          <w:sz w:val="18"/>
          <w:szCs w:val="28"/>
          <w:rtl/>
          <w:lang w:val="fr-CH"/>
        </w:rPr>
        <w:tab/>
        <w:t>-</w:t>
      </w:r>
      <w:r w:rsidRPr="009A767D">
        <w:rPr>
          <w:rFonts w:cs="Traditional Arabic" w:hint="cs"/>
          <w:sz w:val="18"/>
          <w:szCs w:val="28"/>
          <w:rtl/>
          <w:lang w:val="fr-CH"/>
        </w:rPr>
        <w:tab/>
      </w:r>
      <w:r w:rsidRPr="009A767D">
        <w:rPr>
          <w:rFonts w:cs="Traditional Arabic"/>
          <w:sz w:val="18"/>
          <w:szCs w:val="28"/>
          <w:rtl/>
          <w:lang w:val="fr-CH"/>
        </w:rPr>
        <w:t>المقرران الخاصان المعنيان بالأعمال الانتقامية</w:t>
      </w:r>
      <w:r w:rsidRPr="009A767D">
        <w:rPr>
          <w:rFonts w:cs="Traditional Arabic" w:hint="cs"/>
          <w:sz w:val="18"/>
          <w:szCs w:val="28"/>
          <w:rtl/>
          <w:lang w:val="fr-CH"/>
        </w:rPr>
        <w:tab/>
      </w:r>
      <w:r w:rsidRPr="009A767D">
        <w:rPr>
          <w:rFonts w:cs="Traditional Arabic" w:hint="cs"/>
          <w:sz w:val="18"/>
          <w:szCs w:val="28"/>
          <w:rtl/>
          <w:lang w:val="fr-CH"/>
        </w:rPr>
        <w:tab/>
        <w:t>27-30</w:t>
      </w:r>
      <w:r w:rsidRPr="009A767D">
        <w:rPr>
          <w:rFonts w:cs="Traditional Arabic" w:hint="cs"/>
          <w:sz w:val="18"/>
          <w:szCs w:val="28"/>
          <w:rtl/>
          <w:lang w:val="fr-CH"/>
        </w:rPr>
        <w:tab/>
      </w:r>
      <w:r w:rsidR="001B2734">
        <w:rPr>
          <w:rFonts w:cs="Traditional Arabic" w:hint="cs"/>
          <w:sz w:val="18"/>
          <w:szCs w:val="28"/>
          <w:rtl/>
          <w:lang w:val="fr-CH"/>
        </w:rPr>
        <w:t>7</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sz w:val="18"/>
          <w:szCs w:val="28"/>
          <w:rtl/>
          <w:lang w:val="fr-CH"/>
        </w:rPr>
        <w:tab/>
        <w:t>صاد</w:t>
      </w:r>
      <w:r w:rsidRPr="009A767D">
        <w:rPr>
          <w:rFonts w:cs="Traditional Arabic" w:hint="cs"/>
          <w:sz w:val="18"/>
          <w:szCs w:val="28"/>
          <w:rtl/>
          <w:lang w:val="fr-CH"/>
        </w:rPr>
        <w:tab/>
        <w:t>-</w:t>
      </w:r>
      <w:r w:rsidRPr="009A767D">
        <w:rPr>
          <w:rFonts w:cs="Traditional Arabic" w:hint="cs"/>
          <w:sz w:val="18"/>
          <w:szCs w:val="28"/>
          <w:rtl/>
          <w:lang w:val="fr-CH"/>
        </w:rPr>
        <w:tab/>
      </w:r>
      <w:r w:rsidRPr="009A767D">
        <w:rPr>
          <w:rFonts w:cs="Traditional Arabic"/>
          <w:sz w:val="18"/>
          <w:szCs w:val="28"/>
          <w:rtl/>
          <w:lang w:val="fr-CH"/>
        </w:rPr>
        <w:t>عملية تعزيز هيئات المعاهدات</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31-34</w:t>
      </w:r>
      <w:r w:rsidR="008C6C78" w:rsidRPr="009A767D">
        <w:rPr>
          <w:rFonts w:cs="Traditional Arabic" w:hint="cs"/>
          <w:sz w:val="18"/>
          <w:szCs w:val="28"/>
          <w:rtl/>
          <w:lang w:val="fr-CH"/>
        </w:rPr>
        <w:tab/>
      </w:r>
      <w:r w:rsidR="001B2734">
        <w:rPr>
          <w:rFonts w:cs="Traditional Arabic" w:hint="cs"/>
          <w:sz w:val="18"/>
          <w:szCs w:val="28"/>
          <w:rtl/>
          <w:lang w:val="fr-CH"/>
        </w:rPr>
        <w:t>8</w:t>
      </w:r>
    </w:p>
    <w:p w:rsidR="00AD18A8" w:rsidRPr="009A767D" w:rsidRDefault="00AD18A8" w:rsidP="007A1F1A">
      <w:pPr>
        <w:tabs>
          <w:tab w:val="right" w:pos="1021"/>
          <w:tab w:val="left" w:pos="1077"/>
          <w:tab w:val="left" w:pos="1525"/>
          <w:tab w:val="left" w:pos="1898"/>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sz w:val="18"/>
          <w:szCs w:val="28"/>
          <w:rtl/>
          <w:lang w:val="fr-CH"/>
        </w:rPr>
        <w:tab/>
        <w:t>قاف</w:t>
      </w:r>
      <w:r w:rsidRPr="009A767D">
        <w:rPr>
          <w:rFonts w:cs="Traditional Arabic" w:hint="cs"/>
          <w:sz w:val="18"/>
          <w:szCs w:val="28"/>
          <w:rtl/>
          <w:lang w:val="fr-CH"/>
        </w:rPr>
        <w:tab/>
      </w:r>
      <w:r w:rsidRPr="009A767D">
        <w:rPr>
          <w:rFonts w:cs="Traditional Arabic"/>
          <w:sz w:val="18"/>
          <w:szCs w:val="28"/>
          <w:rtl/>
          <w:lang w:val="fr-CH"/>
        </w:rPr>
        <w:t>-</w:t>
      </w:r>
      <w:r w:rsidRPr="009A767D">
        <w:rPr>
          <w:rFonts w:cs="Traditional Arabic" w:hint="cs"/>
          <w:sz w:val="18"/>
          <w:szCs w:val="28"/>
          <w:rtl/>
          <w:lang w:val="fr-CH"/>
        </w:rPr>
        <w:tab/>
      </w:r>
      <w:r w:rsidRPr="009A767D">
        <w:rPr>
          <w:rFonts w:cs="Traditional Arabic"/>
          <w:sz w:val="18"/>
          <w:szCs w:val="28"/>
          <w:rtl/>
          <w:lang w:val="fr-CH"/>
        </w:rPr>
        <w:t>النظام الداخلي</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35</w:t>
      </w:r>
      <w:r w:rsidR="007A1F1A" w:rsidRPr="009A767D">
        <w:rPr>
          <w:rFonts w:cs="Traditional Arabic" w:hint="cs"/>
          <w:sz w:val="18"/>
          <w:szCs w:val="28"/>
          <w:rtl/>
          <w:lang w:val="fr-CH"/>
        </w:rPr>
        <w:tab/>
      </w:r>
      <w:r w:rsidR="001B2734">
        <w:rPr>
          <w:rFonts w:cs="Traditional Arabic" w:hint="cs"/>
          <w:sz w:val="18"/>
          <w:szCs w:val="28"/>
          <w:rtl/>
          <w:lang w:val="fr-CH"/>
        </w:rPr>
        <w:t>9</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1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sz w:val="18"/>
          <w:szCs w:val="28"/>
          <w:rtl/>
          <w:lang w:val="fr-CH"/>
        </w:rPr>
        <w:tab/>
        <w:t>راء</w:t>
      </w:r>
      <w:r w:rsidRPr="009A767D">
        <w:rPr>
          <w:rFonts w:cs="Traditional Arabic" w:hint="cs"/>
          <w:sz w:val="18"/>
          <w:szCs w:val="28"/>
          <w:rtl/>
          <w:lang w:val="fr-CH"/>
        </w:rPr>
        <w:tab/>
      </w:r>
      <w:r w:rsidRPr="009A767D">
        <w:rPr>
          <w:rFonts w:cs="Traditional Arabic"/>
          <w:sz w:val="18"/>
          <w:szCs w:val="28"/>
          <w:rtl/>
          <w:lang w:val="fr-CH"/>
        </w:rPr>
        <w:t>-</w:t>
      </w:r>
      <w:r w:rsidRPr="009A767D">
        <w:rPr>
          <w:rFonts w:cs="Traditional Arabic" w:hint="cs"/>
          <w:sz w:val="18"/>
          <w:szCs w:val="28"/>
          <w:rtl/>
          <w:lang w:val="fr-CH"/>
        </w:rPr>
        <w:tab/>
      </w:r>
      <w:r w:rsidRPr="009A767D">
        <w:rPr>
          <w:rFonts w:cs="Traditional Arabic"/>
          <w:sz w:val="18"/>
          <w:szCs w:val="28"/>
          <w:rtl/>
          <w:lang w:val="fr-CH"/>
        </w:rPr>
        <w:t>الذكرى الخامسة والعشرون لإنشاء اللجنة</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36-37</w:t>
      </w:r>
      <w:r w:rsidR="007A1F1A" w:rsidRPr="009A767D">
        <w:rPr>
          <w:rFonts w:cs="Traditional Arabic" w:hint="cs"/>
          <w:sz w:val="18"/>
          <w:szCs w:val="28"/>
          <w:rtl/>
          <w:lang w:val="fr-CH"/>
        </w:rPr>
        <w:tab/>
      </w:r>
      <w:r w:rsidR="001B2734">
        <w:rPr>
          <w:rFonts w:cs="Traditional Arabic" w:hint="cs"/>
          <w:sz w:val="18"/>
          <w:szCs w:val="28"/>
          <w:rtl/>
          <w:lang w:val="fr-CH"/>
        </w:rPr>
        <w:t>9</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t>ثانياً</w:t>
      </w:r>
      <w:r w:rsidRPr="009A767D">
        <w:rPr>
          <w:rFonts w:cs="Traditional Arabic" w:hint="cs"/>
          <w:sz w:val="18"/>
          <w:szCs w:val="28"/>
          <w:rtl/>
          <w:lang w:val="fr-CH"/>
        </w:rPr>
        <w:tab/>
        <w:t>-</w:t>
      </w:r>
      <w:r w:rsidRPr="009A767D">
        <w:rPr>
          <w:rFonts w:cs="Traditional Arabic" w:hint="cs"/>
          <w:sz w:val="18"/>
          <w:szCs w:val="28"/>
          <w:rtl/>
          <w:lang w:val="fr-CH"/>
        </w:rPr>
        <w:tab/>
        <w:t>تقديم الدول الأطراف للتقارير بموجب المادة 19 من الاتفاقية</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38-51</w:t>
      </w:r>
      <w:r w:rsidRPr="009A767D">
        <w:rPr>
          <w:rFonts w:cs="Traditional Arabic" w:hint="cs"/>
          <w:sz w:val="18"/>
          <w:szCs w:val="28"/>
          <w:rtl/>
          <w:lang w:val="fr-CH"/>
        </w:rPr>
        <w:tab/>
      </w:r>
      <w:r w:rsidR="001B2734">
        <w:rPr>
          <w:rFonts w:cs="Traditional Arabic" w:hint="cs"/>
          <w:sz w:val="18"/>
          <w:szCs w:val="28"/>
          <w:rtl/>
          <w:lang w:val="fr-CH"/>
        </w:rPr>
        <w:t>10</w:t>
      </w:r>
      <w:r w:rsidR="00673633">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ألف</w:t>
      </w:r>
      <w:r w:rsidRPr="009A767D">
        <w:rPr>
          <w:rFonts w:cs="Traditional Arabic" w:hint="cs"/>
          <w:sz w:val="18"/>
          <w:szCs w:val="28"/>
          <w:rtl/>
          <w:lang w:val="fr-CH"/>
        </w:rPr>
        <w:tab/>
        <w:t>-</w:t>
      </w:r>
      <w:r w:rsidRPr="009A767D">
        <w:rPr>
          <w:rFonts w:cs="Traditional Arabic" w:hint="cs"/>
          <w:sz w:val="18"/>
          <w:szCs w:val="28"/>
          <w:rtl/>
          <w:lang w:val="fr-CH"/>
        </w:rPr>
        <w:tab/>
        <w:t>دعوة إلى تقديم التقارير الدورية</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40-41</w:t>
      </w:r>
      <w:r w:rsidR="007A1F1A" w:rsidRPr="009A767D">
        <w:rPr>
          <w:rFonts w:cs="Traditional Arabic" w:hint="cs"/>
          <w:sz w:val="18"/>
          <w:szCs w:val="28"/>
          <w:rtl/>
          <w:lang w:val="fr-CH"/>
        </w:rPr>
        <w:tab/>
      </w:r>
      <w:r w:rsidR="001B2734">
        <w:rPr>
          <w:rFonts w:cs="Traditional Arabic" w:hint="cs"/>
          <w:sz w:val="18"/>
          <w:szCs w:val="28"/>
          <w:rtl/>
          <w:lang w:val="fr-CH"/>
        </w:rPr>
        <w:t>10</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باء</w:t>
      </w:r>
      <w:r w:rsidRPr="009A767D">
        <w:rPr>
          <w:rFonts w:cs="Traditional Arabic" w:hint="cs"/>
          <w:sz w:val="18"/>
          <w:szCs w:val="28"/>
          <w:rtl/>
          <w:lang w:val="fr-CH"/>
        </w:rPr>
        <w:tab/>
        <w:t>-</w:t>
      </w:r>
      <w:r w:rsidRPr="009A767D">
        <w:rPr>
          <w:rFonts w:cs="Traditional Arabic" w:hint="cs"/>
          <w:sz w:val="18"/>
          <w:szCs w:val="28"/>
          <w:rtl/>
          <w:lang w:val="fr-CH"/>
        </w:rPr>
        <w:tab/>
        <w:t>الإجراء الاختياري المتعلق بالإبلاغ</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42-46</w:t>
      </w:r>
      <w:r w:rsidRPr="009A767D">
        <w:rPr>
          <w:rFonts w:cs="Traditional Arabic" w:hint="cs"/>
          <w:sz w:val="18"/>
          <w:szCs w:val="28"/>
          <w:rtl/>
          <w:lang w:val="fr-CH"/>
        </w:rPr>
        <w:tab/>
      </w:r>
      <w:r w:rsidR="001B2734">
        <w:rPr>
          <w:rFonts w:cs="Traditional Arabic" w:hint="cs"/>
          <w:sz w:val="18"/>
          <w:szCs w:val="28"/>
          <w:rtl/>
          <w:lang w:val="fr-CH"/>
        </w:rPr>
        <w:t>10</w:t>
      </w:r>
      <w:r w:rsidR="00EE25A5"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جيم</w:t>
      </w:r>
      <w:r w:rsidRPr="009A767D">
        <w:rPr>
          <w:rFonts w:cs="Traditional Arabic" w:hint="cs"/>
          <w:sz w:val="18"/>
          <w:szCs w:val="28"/>
          <w:rtl/>
          <w:lang w:val="fr-CH"/>
        </w:rPr>
        <w:tab/>
        <w:t>-</w:t>
      </w:r>
      <w:r w:rsidRPr="009A767D">
        <w:rPr>
          <w:rFonts w:cs="Traditional Arabic" w:hint="cs"/>
          <w:sz w:val="18"/>
          <w:szCs w:val="28"/>
          <w:rtl/>
          <w:lang w:val="fr-CH"/>
        </w:rPr>
        <w:tab/>
        <w:t>التقييم الأولي للإجراء الاختياري المتعلق بالإبلاغ</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47-48</w:t>
      </w:r>
      <w:r w:rsidR="007A1F1A" w:rsidRPr="009A767D">
        <w:rPr>
          <w:rFonts w:cs="Traditional Arabic" w:hint="cs"/>
          <w:sz w:val="18"/>
          <w:szCs w:val="28"/>
          <w:rtl/>
          <w:lang w:val="fr-CH"/>
        </w:rPr>
        <w:tab/>
      </w:r>
      <w:r w:rsidR="001B2734">
        <w:rPr>
          <w:rFonts w:cs="Traditional Arabic" w:hint="cs"/>
          <w:sz w:val="18"/>
          <w:szCs w:val="28"/>
          <w:rtl/>
          <w:lang w:val="fr-CH"/>
        </w:rPr>
        <w:t>12</w:t>
      </w:r>
    </w:p>
    <w:p w:rsidR="00D913CB"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دال</w:t>
      </w:r>
      <w:r w:rsidRPr="009A767D">
        <w:rPr>
          <w:rFonts w:cs="Traditional Arabic" w:hint="cs"/>
          <w:sz w:val="18"/>
          <w:szCs w:val="28"/>
          <w:rtl/>
          <w:lang w:val="fr-CH"/>
        </w:rPr>
        <w:tab/>
        <w:t>-</w:t>
      </w:r>
      <w:r w:rsidRPr="009A767D">
        <w:rPr>
          <w:rFonts w:cs="Traditional Arabic" w:hint="cs"/>
          <w:sz w:val="18"/>
          <w:szCs w:val="28"/>
          <w:rtl/>
          <w:lang w:val="fr-CH"/>
        </w:rPr>
        <w:tab/>
        <w:t>رسائل تذكيرية بخصوص التقارير الأولية والدورية التي تأخر موعد تقديمها</w:t>
      </w:r>
      <w:r w:rsidRPr="009A767D">
        <w:rPr>
          <w:rFonts w:cs="Traditional Arabic" w:hint="cs"/>
          <w:sz w:val="18"/>
          <w:szCs w:val="28"/>
          <w:rtl/>
          <w:lang w:val="fr-CH"/>
        </w:rPr>
        <w:tab/>
      </w:r>
      <w:r w:rsidR="008C6C78" w:rsidRPr="009A767D">
        <w:rPr>
          <w:rFonts w:cs="Traditional Arabic" w:hint="cs"/>
          <w:sz w:val="18"/>
          <w:szCs w:val="28"/>
          <w:rtl/>
          <w:lang w:val="fr-CH"/>
        </w:rPr>
        <w:t>49-50</w:t>
      </w:r>
      <w:r w:rsidR="007A1F1A" w:rsidRPr="009A767D">
        <w:rPr>
          <w:rFonts w:cs="Traditional Arabic" w:hint="cs"/>
          <w:sz w:val="18"/>
          <w:szCs w:val="28"/>
          <w:rtl/>
          <w:lang w:val="fr-CH"/>
        </w:rPr>
        <w:tab/>
      </w:r>
      <w:r w:rsidR="001B2734">
        <w:rPr>
          <w:rFonts w:cs="Traditional Arabic" w:hint="cs"/>
          <w:sz w:val="18"/>
          <w:szCs w:val="28"/>
          <w:rtl/>
          <w:lang w:val="fr-CH"/>
        </w:rPr>
        <w:t>12</w:t>
      </w:r>
    </w:p>
    <w:p w:rsidR="00D913CB"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1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هاء</w:t>
      </w:r>
      <w:r w:rsidRPr="009A767D">
        <w:rPr>
          <w:rFonts w:cs="Traditional Arabic" w:hint="cs"/>
          <w:sz w:val="18"/>
          <w:szCs w:val="28"/>
          <w:rtl/>
          <w:lang w:val="fr-CH"/>
        </w:rPr>
        <w:tab/>
        <w:t>-</w:t>
      </w:r>
      <w:r w:rsidRPr="009A767D">
        <w:rPr>
          <w:rFonts w:cs="Traditional Arabic" w:hint="cs"/>
          <w:sz w:val="18"/>
          <w:szCs w:val="28"/>
          <w:rtl/>
          <w:lang w:val="fr-CH"/>
        </w:rPr>
        <w:tab/>
        <w:t>النظر في التدابير المُتّخَذة من دولة طرف في غياب تقرير</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51</w:t>
      </w:r>
      <w:r w:rsidR="007A1F1A" w:rsidRPr="009A767D">
        <w:rPr>
          <w:rFonts w:cs="Traditional Arabic" w:hint="cs"/>
          <w:sz w:val="18"/>
          <w:szCs w:val="28"/>
          <w:rtl/>
          <w:lang w:val="fr-CH"/>
        </w:rPr>
        <w:tab/>
      </w:r>
      <w:r w:rsidR="001B2734">
        <w:rPr>
          <w:rFonts w:cs="Traditional Arabic" w:hint="cs"/>
          <w:sz w:val="18"/>
          <w:szCs w:val="28"/>
          <w:rtl/>
          <w:lang w:val="fr-CH"/>
        </w:rPr>
        <w:t>12</w:t>
      </w:r>
    </w:p>
    <w:p w:rsidR="00AD18A8" w:rsidRPr="009A767D" w:rsidRDefault="00AD18A8" w:rsidP="007A1F1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t>ثالثاً</w:t>
      </w:r>
      <w:r w:rsidRPr="009A767D">
        <w:rPr>
          <w:rFonts w:cs="Traditional Arabic" w:hint="cs"/>
          <w:sz w:val="18"/>
          <w:szCs w:val="28"/>
          <w:rtl/>
          <w:lang w:val="fr-CH"/>
        </w:rPr>
        <w:tab/>
        <w:t>-</w:t>
      </w:r>
      <w:r w:rsidRPr="009A767D">
        <w:rPr>
          <w:rFonts w:cs="Traditional Arabic" w:hint="cs"/>
          <w:sz w:val="18"/>
          <w:szCs w:val="28"/>
          <w:rtl/>
          <w:lang w:val="fr-CH"/>
        </w:rPr>
        <w:tab/>
        <w:t>النظر في التقارير المقدمة من الدول الأطراف بموجب المادة</w:t>
      </w:r>
      <w:r w:rsidRPr="009A767D">
        <w:rPr>
          <w:rFonts w:cs="Traditional Arabic" w:hint="eastAsia"/>
          <w:sz w:val="18"/>
          <w:szCs w:val="28"/>
          <w:rtl/>
          <w:lang w:val="fr-CH"/>
        </w:rPr>
        <w:t> </w:t>
      </w:r>
      <w:r w:rsidRPr="009A767D">
        <w:rPr>
          <w:rFonts w:cs="Traditional Arabic" w:hint="cs"/>
          <w:sz w:val="18"/>
          <w:szCs w:val="28"/>
          <w:rtl/>
          <w:lang w:val="fr-CH"/>
        </w:rPr>
        <w:t>19 من</w:t>
      </w:r>
      <w:r w:rsidRPr="009A767D">
        <w:rPr>
          <w:rFonts w:cs="Traditional Arabic" w:hint="eastAsia"/>
          <w:sz w:val="18"/>
          <w:szCs w:val="28"/>
          <w:rtl/>
          <w:lang w:val="fr-CH"/>
        </w:rPr>
        <w:t> </w:t>
      </w:r>
      <w:r w:rsidRPr="009A767D">
        <w:rPr>
          <w:rFonts w:cs="Traditional Arabic" w:hint="cs"/>
          <w:sz w:val="18"/>
          <w:szCs w:val="28"/>
          <w:rtl/>
          <w:lang w:val="fr-CH"/>
        </w:rPr>
        <w:t>الاتفاقية</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52-75</w:t>
      </w:r>
      <w:r w:rsidRPr="009A767D">
        <w:rPr>
          <w:rFonts w:cs="Traditional Arabic" w:hint="cs"/>
          <w:sz w:val="18"/>
          <w:szCs w:val="28"/>
          <w:rtl/>
          <w:lang w:val="fr-CH"/>
        </w:rPr>
        <w:tab/>
      </w:r>
      <w:r w:rsidR="001B2734">
        <w:rPr>
          <w:rFonts w:cs="Traditional Arabic" w:hint="cs"/>
          <w:sz w:val="18"/>
          <w:szCs w:val="28"/>
          <w:rtl/>
          <w:lang w:val="fr-CH"/>
        </w:rPr>
        <w:t>14</w:t>
      </w:r>
      <w:r w:rsidR="00EE25A5"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ألف</w:t>
      </w:r>
      <w:r w:rsidRPr="009A767D">
        <w:rPr>
          <w:rFonts w:cs="Traditional Arabic" w:hint="cs"/>
          <w:sz w:val="18"/>
          <w:szCs w:val="28"/>
          <w:rtl/>
          <w:lang w:val="fr-CH"/>
        </w:rPr>
        <w:tab/>
        <w:t>-</w:t>
      </w:r>
      <w:r w:rsidRPr="009A767D">
        <w:rPr>
          <w:rFonts w:cs="Traditional Arabic" w:hint="cs"/>
          <w:sz w:val="18"/>
          <w:szCs w:val="28"/>
          <w:rtl/>
          <w:lang w:val="fr-CH"/>
        </w:rPr>
        <w:tab/>
        <w:t>النظر في التقارير المقدمة من الدول الأطراف</w:t>
      </w:r>
      <w:r w:rsidRPr="009A767D">
        <w:rPr>
          <w:rFonts w:cs="Traditional Arabic" w:hint="cs"/>
          <w:sz w:val="18"/>
          <w:szCs w:val="28"/>
          <w:rtl/>
          <w:lang w:val="fr-CH"/>
        </w:rPr>
        <w:tab/>
      </w:r>
      <w:r w:rsidRPr="009A767D">
        <w:rPr>
          <w:rFonts w:cs="Traditional Arabic" w:hint="cs"/>
          <w:sz w:val="18"/>
          <w:szCs w:val="28"/>
          <w:rtl/>
          <w:lang w:val="fr-CH"/>
        </w:rPr>
        <w:tab/>
      </w:r>
      <w:r w:rsidR="008C6C78" w:rsidRPr="009A767D">
        <w:rPr>
          <w:rFonts w:cs="Traditional Arabic" w:hint="cs"/>
          <w:sz w:val="18"/>
          <w:szCs w:val="28"/>
          <w:rtl/>
          <w:lang w:val="fr-CH"/>
        </w:rPr>
        <w:t>52-57</w:t>
      </w:r>
      <w:r w:rsidRPr="009A767D">
        <w:rPr>
          <w:rFonts w:cs="Traditional Arabic" w:hint="cs"/>
          <w:sz w:val="18"/>
          <w:szCs w:val="28"/>
          <w:rtl/>
          <w:lang w:val="fr-CH"/>
        </w:rPr>
        <w:tab/>
      </w:r>
      <w:r w:rsidR="001B2734">
        <w:rPr>
          <w:rFonts w:cs="Traditional Arabic" w:hint="cs"/>
          <w:sz w:val="18"/>
          <w:szCs w:val="28"/>
          <w:rtl/>
          <w:lang w:val="fr-CH"/>
        </w:rPr>
        <w:t>14</w:t>
      </w:r>
    </w:p>
    <w:p w:rsidR="00AD18A8" w:rsidRPr="009A767D" w:rsidRDefault="00AD18A8" w:rsidP="008C6C78">
      <w:pPr>
        <w:tabs>
          <w:tab w:val="left" w:leader="dot" w:pos="7469"/>
          <w:tab w:val="left" w:pos="7972"/>
          <w:tab w:val="right" w:pos="9638"/>
        </w:tabs>
        <w:bidi/>
        <w:spacing w:after="60" w:line="360" w:lineRule="exact"/>
        <w:ind w:left="2192"/>
        <w:rPr>
          <w:rFonts w:cs="Traditional Arabic" w:hint="cs"/>
          <w:sz w:val="18"/>
          <w:szCs w:val="28"/>
          <w:rtl/>
          <w:lang w:val="fr-CH"/>
        </w:rPr>
      </w:pPr>
    </w:p>
    <w:p w:rsidR="00AD18A8" w:rsidRPr="009A767D" w:rsidRDefault="00AD18A8" w:rsidP="007A1F1A">
      <w:pPr>
        <w:bidi/>
        <w:spacing w:after="60" w:line="360" w:lineRule="exact"/>
        <w:rPr>
          <w:rFonts w:cs="Traditional Arabic" w:hint="cs"/>
          <w:sz w:val="18"/>
          <w:szCs w:val="28"/>
          <w:lang w:val="fr-CH"/>
        </w:rPr>
        <w:sectPr w:rsidR="00AD18A8" w:rsidRPr="009A767D" w:rsidSect="00B927BD">
          <w:headerReference w:type="even" r:id="rId18"/>
          <w:headerReference w:type="default" r:id="rId19"/>
          <w:footerReference w:type="even" r:id="rId20"/>
          <w:footerReference w:type="default" r:id="rId21"/>
          <w:headerReference w:type="first" r:id="rId22"/>
          <w:footerReference w:type="first" r:id="rId23"/>
          <w:endnotePr>
            <w:numFmt w:val="decimal"/>
          </w:endnotePr>
          <w:pgSz w:w="11907" w:h="16840" w:code="9"/>
          <w:pgMar w:top="1701" w:right="1134" w:bottom="2268" w:left="1134" w:header="1134" w:footer="1701" w:gutter="0"/>
          <w:pgNumType w:fmt="lowerRoman" w:start="3"/>
          <w:cols w:space="720"/>
          <w:titlePg/>
          <w:bidi/>
          <w:rtlGutter/>
          <w:docGrid w:linePitch="360"/>
        </w:sectPr>
      </w:pPr>
    </w:p>
    <w:p w:rsidR="007A1F1A" w:rsidRPr="009A767D" w:rsidRDefault="007A1F1A" w:rsidP="009A767D">
      <w:pPr>
        <w:tabs>
          <w:tab w:val="right" w:pos="1021"/>
          <w:tab w:val="left" w:pos="1077"/>
          <w:tab w:val="left" w:pos="1525"/>
          <w:tab w:val="left" w:pos="1842"/>
          <w:tab w:val="left" w:pos="2206"/>
          <w:tab w:val="left" w:pos="2681"/>
          <w:tab w:val="left" w:leader="dot" w:pos="7469"/>
          <w:tab w:val="left" w:pos="7972"/>
          <w:tab w:val="right" w:pos="9638"/>
        </w:tabs>
        <w:bidi/>
        <w:spacing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باء</w:t>
      </w:r>
      <w:r w:rsidRPr="009A767D">
        <w:rPr>
          <w:rFonts w:cs="Traditional Arabic" w:hint="cs"/>
          <w:sz w:val="18"/>
          <w:szCs w:val="28"/>
          <w:rtl/>
          <w:lang w:val="fr-CH"/>
        </w:rPr>
        <w:tab/>
        <w:t>-</w:t>
      </w:r>
      <w:r w:rsidRPr="009A767D">
        <w:rPr>
          <w:rFonts w:cs="Traditional Arabic" w:hint="cs"/>
          <w:sz w:val="18"/>
          <w:szCs w:val="28"/>
          <w:rtl/>
          <w:lang w:val="fr-CH"/>
        </w:rPr>
        <w:tab/>
        <w:t>الملاحظات الختامية المتعلقة بتقارير الدول الأطراف</w:t>
      </w:r>
      <w:r w:rsidRPr="009A767D">
        <w:rPr>
          <w:rFonts w:cs="Traditional Arabic" w:hint="cs"/>
          <w:sz w:val="18"/>
          <w:szCs w:val="28"/>
          <w:rtl/>
          <w:lang w:val="fr-CH"/>
        </w:rPr>
        <w:tab/>
      </w:r>
      <w:r w:rsidRPr="009A767D">
        <w:rPr>
          <w:rFonts w:cs="Traditional Arabic" w:hint="cs"/>
          <w:sz w:val="18"/>
          <w:szCs w:val="28"/>
          <w:rtl/>
          <w:lang w:val="fr-CH"/>
        </w:rPr>
        <w:tab/>
        <w:t>58-75</w:t>
      </w:r>
      <w:r w:rsidR="001B2734">
        <w:rPr>
          <w:rFonts w:cs="Traditional Arabic" w:hint="cs"/>
          <w:sz w:val="18"/>
          <w:szCs w:val="28"/>
          <w:rtl/>
          <w:lang w:val="fr-CH"/>
        </w:rPr>
        <w:tab/>
        <w:t>15</w:t>
      </w:r>
    </w:p>
    <w:p w:rsidR="007A1F1A" w:rsidRPr="009A767D" w:rsidRDefault="007A1F1A" w:rsidP="001B2734">
      <w:pPr>
        <w:tabs>
          <w:tab w:val="left" w:leader="dot" w:pos="7469"/>
          <w:tab w:val="left" w:pos="7972"/>
          <w:tab w:val="right" w:pos="9638"/>
        </w:tabs>
        <w:bidi/>
        <w:spacing w:line="360" w:lineRule="exact"/>
        <w:ind w:left="2192"/>
        <w:rPr>
          <w:rFonts w:cs="Traditional Arabic" w:hint="cs"/>
          <w:sz w:val="18"/>
          <w:szCs w:val="28"/>
          <w:rtl/>
          <w:lang w:val="fr-CH"/>
        </w:rPr>
      </w:pPr>
      <w:r w:rsidRPr="009A767D">
        <w:rPr>
          <w:rFonts w:cs="Traditional Arabic" w:hint="cs"/>
          <w:sz w:val="18"/>
          <w:szCs w:val="28"/>
          <w:rtl/>
          <w:lang w:val="fr-CH"/>
        </w:rPr>
        <w:t>غابون</w:t>
      </w:r>
      <w:r w:rsidRPr="009A767D">
        <w:rPr>
          <w:rFonts w:cs="Traditional Arabic" w:hint="cs"/>
          <w:sz w:val="18"/>
          <w:szCs w:val="28"/>
          <w:rtl/>
          <w:lang w:val="fr-CH"/>
        </w:rPr>
        <w:tab/>
      </w:r>
      <w:r w:rsidRPr="009A767D">
        <w:rPr>
          <w:rFonts w:cs="Traditional Arabic" w:hint="cs"/>
          <w:sz w:val="18"/>
          <w:szCs w:val="28"/>
          <w:rtl/>
          <w:lang w:val="fr-CH"/>
        </w:rPr>
        <w:tab/>
        <w:t>59</w:t>
      </w:r>
      <w:r w:rsidRPr="009A767D">
        <w:rPr>
          <w:rFonts w:cs="Traditional Arabic" w:hint="cs"/>
          <w:sz w:val="18"/>
          <w:szCs w:val="28"/>
          <w:rtl/>
          <w:lang w:val="fr-CH"/>
        </w:rPr>
        <w:tab/>
      </w:r>
      <w:r w:rsidR="001B2734">
        <w:rPr>
          <w:rFonts w:cs="Traditional Arabic" w:hint="cs"/>
          <w:sz w:val="18"/>
          <w:szCs w:val="28"/>
          <w:rtl/>
          <w:lang w:val="fr-CH"/>
        </w:rPr>
        <w:t>16</w:t>
      </w:r>
    </w:p>
    <w:p w:rsidR="007A1F1A" w:rsidRPr="009A767D" w:rsidRDefault="007A1F1A" w:rsidP="009A767D">
      <w:pPr>
        <w:tabs>
          <w:tab w:val="left" w:leader="dot" w:pos="7469"/>
          <w:tab w:val="left" w:pos="7972"/>
          <w:tab w:val="right" w:pos="9638"/>
        </w:tabs>
        <w:bidi/>
        <w:spacing w:line="360" w:lineRule="exact"/>
        <w:ind w:left="2192"/>
        <w:rPr>
          <w:rFonts w:cs="Traditional Arabic" w:hint="cs"/>
          <w:sz w:val="18"/>
          <w:szCs w:val="28"/>
          <w:rtl/>
          <w:lang w:val="fr-CH"/>
        </w:rPr>
      </w:pPr>
      <w:r w:rsidRPr="009A767D">
        <w:rPr>
          <w:rFonts w:cs="Traditional Arabic" w:hint="cs"/>
          <w:sz w:val="18"/>
          <w:szCs w:val="28"/>
          <w:rtl/>
          <w:lang w:val="fr-CH"/>
        </w:rPr>
        <w:t>المكسيك</w:t>
      </w:r>
      <w:r w:rsidRPr="009A767D">
        <w:rPr>
          <w:rFonts w:cs="Traditional Arabic" w:hint="cs"/>
          <w:sz w:val="18"/>
          <w:szCs w:val="28"/>
          <w:rtl/>
          <w:lang w:val="fr-CH"/>
        </w:rPr>
        <w:tab/>
      </w:r>
      <w:r w:rsidRPr="009A767D">
        <w:rPr>
          <w:rFonts w:cs="Traditional Arabic" w:hint="cs"/>
          <w:sz w:val="18"/>
          <w:szCs w:val="28"/>
          <w:rtl/>
          <w:lang w:val="fr-CH"/>
        </w:rPr>
        <w:tab/>
        <w:t>60</w:t>
      </w:r>
      <w:r w:rsidR="001B2734">
        <w:rPr>
          <w:rFonts w:cs="Traditional Arabic" w:hint="cs"/>
          <w:sz w:val="18"/>
          <w:szCs w:val="28"/>
          <w:rtl/>
          <w:lang w:val="fr-CH"/>
        </w:rPr>
        <w:tab/>
        <w:t>28</w:t>
      </w:r>
    </w:p>
    <w:p w:rsidR="00AD18A8" w:rsidRPr="009A767D" w:rsidRDefault="00AD18A8" w:rsidP="009A767D">
      <w:pPr>
        <w:tabs>
          <w:tab w:val="left" w:leader="dot" w:pos="7469"/>
          <w:tab w:val="left" w:pos="7972"/>
          <w:tab w:val="right" w:pos="9638"/>
        </w:tabs>
        <w:bidi/>
        <w:spacing w:line="360" w:lineRule="exact"/>
        <w:ind w:left="2192"/>
        <w:rPr>
          <w:rFonts w:cs="Traditional Arabic" w:hint="cs"/>
          <w:sz w:val="18"/>
          <w:szCs w:val="28"/>
          <w:rtl/>
          <w:lang w:val="fr-CH"/>
        </w:rPr>
      </w:pPr>
      <w:r w:rsidRPr="009A767D">
        <w:rPr>
          <w:rFonts w:cs="Traditional Arabic" w:hint="cs"/>
          <w:sz w:val="18"/>
          <w:szCs w:val="28"/>
          <w:rtl/>
          <w:lang w:val="fr-CH"/>
        </w:rPr>
        <w:t>النرويج</w:t>
      </w:r>
      <w:r w:rsidRPr="009A767D">
        <w:rPr>
          <w:rFonts w:cs="Traditional Arabic" w:hint="cs"/>
          <w:sz w:val="18"/>
          <w:szCs w:val="28"/>
          <w:rtl/>
          <w:lang w:val="fr-CH"/>
        </w:rPr>
        <w:tab/>
      </w:r>
      <w:r w:rsidRPr="009A767D">
        <w:rPr>
          <w:rFonts w:cs="Traditional Arabic" w:hint="cs"/>
          <w:sz w:val="18"/>
          <w:szCs w:val="28"/>
          <w:rtl/>
          <w:lang w:val="fr-CH"/>
        </w:rPr>
        <w:tab/>
      </w:r>
      <w:r w:rsidR="007A1F1A" w:rsidRPr="009A767D">
        <w:rPr>
          <w:rFonts w:cs="Traditional Arabic" w:hint="cs"/>
          <w:sz w:val="18"/>
          <w:szCs w:val="28"/>
          <w:rtl/>
          <w:lang w:val="fr-CH"/>
        </w:rPr>
        <w:t>61</w:t>
      </w:r>
      <w:r w:rsidRPr="009A767D">
        <w:rPr>
          <w:rFonts w:cs="Traditional Arabic" w:hint="cs"/>
          <w:sz w:val="18"/>
          <w:szCs w:val="28"/>
          <w:rtl/>
          <w:lang w:val="fr-CH"/>
        </w:rPr>
        <w:tab/>
      </w:r>
      <w:r w:rsidR="00A97F91">
        <w:rPr>
          <w:rFonts w:cs="Traditional Arabic" w:hint="cs"/>
          <w:sz w:val="18"/>
          <w:szCs w:val="28"/>
          <w:rtl/>
          <w:lang w:val="fr-CH"/>
        </w:rPr>
        <w:t>41</w:t>
      </w:r>
    </w:p>
    <w:p w:rsidR="00AD18A8" w:rsidRPr="009A767D" w:rsidRDefault="00AD18A8" w:rsidP="009A767D">
      <w:pPr>
        <w:tabs>
          <w:tab w:val="left" w:leader="dot" w:pos="7469"/>
          <w:tab w:val="left" w:pos="7972"/>
          <w:tab w:val="right" w:pos="9638"/>
        </w:tabs>
        <w:bidi/>
        <w:spacing w:line="360" w:lineRule="exact"/>
        <w:ind w:left="2192"/>
        <w:rPr>
          <w:rFonts w:cs="Traditional Arabic"/>
          <w:sz w:val="18"/>
          <w:szCs w:val="28"/>
          <w:lang w:val="fr-CH"/>
        </w:rPr>
      </w:pPr>
      <w:r w:rsidRPr="009A767D">
        <w:rPr>
          <w:rFonts w:cs="Traditional Arabic" w:hint="cs"/>
          <w:sz w:val="18"/>
          <w:szCs w:val="28"/>
          <w:rtl/>
          <w:lang w:val="fr-CH"/>
        </w:rPr>
        <w:t>بيرو</w:t>
      </w:r>
      <w:r w:rsidR="00404C06" w:rsidRPr="009A767D">
        <w:rPr>
          <w:rFonts w:cs="Traditional Arabic" w:hint="cs"/>
          <w:sz w:val="18"/>
          <w:szCs w:val="28"/>
          <w:rtl/>
          <w:lang w:val="fr-CH"/>
        </w:rPr>
        <w:tab/>
      </w:r>
      <w:r w:rsidR="00404C06" w:rsidRPr="009A767D">
        <w:rPr>
          <w:rFonts w:cs="Traditional Arabic" w:hint="cs"/>
          <w:sz w:val="18"/>
          <w:szCs w:val="28"/>
          <w:rtl/>
          <w:lang w:val="fr-CH"/>
        </w:rPr>
        <w:tab/>
      </w:r>
      <w:r w:rsidR="007A1F1A" w:rsidRPr="009A767D">
        <w:rPr>
          <w:rFonts w:cs="Traditional Arabic" w:hint="cs"/>
          <w:sz w:val="18"/>
          <w:szCs w:val="28"/>
          <w:rtl/>
          <w:lang w:val="fr-CH"/>
        </w:rPr>
        <w:t>62</w:t>
      </w:r>
      <w:r w:rsidR="00404C06" w:rsidRPr="009A767D">
        <w:rPr>
          <w:rFonts w:cs="Traditional Arabic" w:hint="cs"/>
          <w:sz w:val="18"/>
          <w:szCs w:val="28"/>
          <w:rtl/>
          <w:lang w:val="fr-CH"/>
        </w:rPr>
        <w:tab/>
      </w:r>
      <w:r w:rsidR="00A97F91">
        <w:rPr>
          <w:rFonts w:cs="Traditional Arabic" w:hint="cs"/>
          <w:sz w:val="18"/>
          <w:szCs w:val="28"/>
          <w:rtl/>
          <w:lang w:val="fr-CH"/>
        </w:rPr>
        <w:t>51</w:t>
      </w:r>
    </w:p>
    <w:p w:rsidR="00AD18A8" w:rsidRPr="009A767D" w:rsidRDefault="00AD18A8" w:rsidP="009A767D">
      <w:pPr>
        <w:tabs>
          <w:tab w:val="left" w:leader="dot" w:pos="7469"/>
          <w:tab w:val="left" w:pos="7972"/>
          <w:tab w:val="right" w:pos="9638"/>
        </w:tabs>
        <w:bidi/>
        <w:spacing w:line="360" w:lineRule="exact"/>
        <w:ind w:left="2192"/>
        <w:rPr>
          <w:rFonts w:cs="Traditional Arabic" w:hint="cs"/>
          <w:sz w:val="18"/>
          <w:szCs w:val="28"/>
          <w:rtl/>
          <w:lang w:val="fr-CH"/>
        </w:rPr>
      </w:pPr>
      <w:r w:rsidRPr="009A767D">
        <w:rPr>
          <w:rFonts w:cs="Traditional Arabic" w:hint="cs"/>
          <w:sz w:val="18"/>
          <w:szCs w:val="28"/>
          <w:rtl/>
          <w:lang w:val="fr-CH"/>
        </w:rPr>
        <w:t>قطر</w:t>
      </w:r>
      <w:r w:rsidR="00404C06" w:rsidRPr="009A767D">
        <w:rPr>
          <w:rFonts w:cs="Traditional Arabic" w:hint="cs"/>
          <w:sz w:val="18"/>
          <w:szCs w:val="28"/>
          <w:rtl/>
          <w:lang w:val="fr-CH"/>
        </w:rPr>
        <w:tab/>
      </w:r>
      <w:r w:rsidR="00404C06" w:rsidRPr="009A767D">
        <w:rPr>
          <w:rFonts w:cs="Traditional Arabic" w:hint="cs"/>
          <w:sz w:val="18"/>
          <w:szCs w:val="28"/>
          <w:rtl/>
          <w:lang w:val="fr-CH"/>
        </w:rPr>
        <w:tab/>
      </w:r>
      <w:r w:rsidR="007A1F1A" w:rsidRPr="009A767D">
        <w:rPr>
          <w:rFonts w:cs="Traditional Arabic" w:hint="cs"/>
          <w:sz w:val="18"/>
          <w:szCs w:val="28"/>
          <w:rtl/>
          <w:lang w:val="fr-CH"/>
        </w:rPr>
        <w:t>63</w:t>
      </w:r>
      <w:r w:rsidR="00404C06" w:rsidRPr="009A767D">
        <w:rPr>
          <w:rFonts w:cs="Traditional Arabic" w:hint="cs"/>
          <w:sz w:val="18"/>
          <w:szCs w:val="28"/>
          <w:rtl/>
          <w:lang w:val="fr-CH"/>
        </w:rPr>
        <w:tab/>
      </w:r>
      <w:r w:rsidR="00A97F91">
        <w:rPr>
          <w:rFonts w:cs="Traditional Arabic" w:hint="cs"/>
          <w:sz w:val="18"/>
          <w:szCs w:val="28"/>
          <w:rtl/>
          <w:lang w:val="fr-CH"/>
        </w:rPr>
        <w:t>63</w:t>
      </w:r>
    </w:p>
    <w:p w:rsidR="00AD18A8" w:rsidRPr="009A767D" w:rsidRDefault="00AD18A8" w:rsidP="009A767D">
      <w:pPr>
        <w:tabs>
          <w:tab w:val="left" w:leader="dot" w:pos="7469"/>
          <w:tab w:val="left" w:pos="7972"/>
          <w:tab w:val="right" w:pos="9638"/>
        </w:tabs>
        <w:bidi/>
        <w:spacing w:line="360" w:lineRule="exact"/>
        <w:ind w:left="2192"/>
        <w:rPr>
          <w:rFonts w:cs="Traditional Arabic" w:hint="cs"/>
          <w:sz w:val="18"/>
          <w:szCs w:val="28"/>
          <w:rtl/>
          <w:lang w:val="fr-CH"/>
        </w:rPr>
      </w:pPr>
      <w:r w:rsidRPr="009A767D">
        <w:rPr>
          <w:rFonts w:cs="Traditional Arabic" w:hint="cs"/>
          <w:sz w:val="18"/>
          <w:szCs w:val="28"/>
          <w:rtl/>
          <w:lang w:val="fr-CH"/>
        </w:rPr>
        <w:t>الاتحاد الروسي</w:t>
      </w:r>
      <w:r w:rsidR="00404C06" w:rsidRPr="009A767D">
        <w:rPr>
          <w:rFonts w:cs="Traditional Arabic" w:hint="cs"/>
          <w:sz w:val="18"/>
          <w:szCs w:val="28"/>
          <w:rtl/>
          <w:lang w:val="fr-CH"/>
        </w:rPr>
        <w:tab/>
      </w:r>
      <w:r w:rsidR="00404C06" w:rsidRPr="009A767D">
        <w:rPr>
          <w:rFonts w:cs="Traditional Arabic" w:hint="cs"/>
          <w:sz w:val="18"/>
          <w:szCs w:val="28"/>
          <w:rtl/>
          <w:lang w:val="fr-CH"/>
        </w:rPr>
        <w:tab/>
      </w:r>
      <w:r w:rsidR="007A1F1A" w:rsidRPr="009A767D">
        <w:rPr>
          <w:rFonts w:cs="Traditional Arabic" w:hint="cs"/>
          <w:sz w:val="18"/>
          <w:szCs w:val="28"/>
          <w:rtl/>
          <w:lang w:val="fr-CH"/>
        </w:rPr>
        <w:t>64</w:t>
      </w:r>
      <w:r w:rsidR="00404C06" w:rsidRPr="009A767D">
        <w:rPr>
          <w:rFonts w:cs="Traditional Arabic" w:hint="cs"/>
          <w:sz w:val="18"/>
          <w:szCs w:val="28"/>
          <w:rtl/>
          <w:lang w:val="fr-CH"/>
        </w:rPr>
        <w:tab/>
      </w:r>
      <w:r w:rsidR="00A97F91">
        <w:rPr>
          <w:rFonts w:cs="Traditional Arabic" w:hint="cs"/>
          <w:sz w:val="18"/>
          <w:szCs w:val="28"/>
          <w:rtl/>
          <w:lang w:val="fr-CH"/>
        </w:rPr>
        <w:t>75</w:t>
      </w:r>
    </w:p>
    <w:p w:rsidR="00AD18A8" w:rsidRPr="009A767D" w:rsidRDefault="00AD18A8" w:rsidP="009A767D">
      <w:pPr>
        <w:tabs>
          <w:tab w:val="left" w:leader="dot" w:pos="7469"/>
          <w:tab w:val="left" w:pos="7972"/>
          <w:tab w:val="right" w:pos="9638"/>
        </w:tabs>
        <w:bidi/>
        <w:spacing w:line="360" w:lineRule="exact"/>
        <w:ind w:left="2192"/>
        <w:rPr>
          <w:rFonts w:cs="Traditional Arabic" w:hint="cs"/>
          <w:sz w:val="18"/>
          <w:szCs w:val="28"/>
          <w:rtl/>
          <w:lang w:val="fr-CH"/>
        </w:rPr>
      </w:pPr>
      <w:r w:rsidRPr="009A767D">
        <w:rPr>
          <w:rFonts w:cs="Traditional Arabic" w:hint="cs"/>
          <w:sz w:val="18"/>
          <w:szCs w:val="28"/>
          <w:rtl/>
          <w:lang w:val="fr-CH"/>
        </w:rPr>
        <w:t>السنغال</w:t>
      </w:r>
      <w:r w:rsidR="00404C06" w:rsidRPr="009A767D">
        <w:rPr>
          <w:rFonts w:cs="Traditional Arabic" w:hint="cs"/>
          <w:sz w:val="18"/>
          <w:szCs w:val="28"/>
          <w:rtl/>
          <w:lang w:val="fr-CH"/>
        </w:rPr>
        <w:tab/>
      </w:r>
      <w:r w:rsidR="00404C06" w:rsidRPr="009A767D">
        <w:rPr>
          <w:rFonts w:cs="Traditional Arabic" w:hint="cs"/>
          <w:sz w:val="18"/>
          <w:szCs w:val="28"/>
          <w:rtl/>
          <w:lang w:val="fr-CH"/>
        </w:rPr>
        <w:tab/>
      </w:r>
      <w:r w:rsidR="007A1F1A" w:rsidRPr="009A767D">
        <w:rPr>
          <w:rFonts w:cs="Traditional Arabic" w:hint="cs"/>
          <w:sz w:val="18"/>
          <w:szCs w:val="28"/>
          <w:rtl/>
          <w:lang w:val="fr-CH"/>
        </w:rPr>
        <w:t>65</w:t>
      </w:r>
      <w:r w:rsidR="00404C06" w:rsidRPr="009A767D">
        <w:rPr>
          <w:rFonts w:cs="Traditional Arabic" w:hint="cs"/>
          <w:sz w:val="18"/>
          <w:szCs w:val="28"/>
          <w:rtl/>
          <w:lang w:val="fr-CH"/>
        </w:rPr>
        <w:tab/>
      </w:r>
      <w:r w:rsidR="00A97F91">
        <w:rPr>
          <w:rFonts w:cs="Traditional Arabic" w:hint="cs"/>
          <w:sz w:val="18"/>
          <w:szCs w:val="28"/>
          <w:rtl/>
          <w:lang w:val="fr-CH"/>
        </w:rPr>
        <w:t>89</w:t>
      </w:r>
    </w:p>
    <w:p w:rsidR="00404C06" w:rsidRPr="009A767D" w:rsidRDefault="00404C06" w:rsidP="009A767D">
      <w:pPr>
        <w:tabs>
          <w:tab w:val="left" w:leader="dot" w:pos="7469"/>
          <w:tab w:val="left" w:pos="7972"/>
          <w:tab w:val="right" w:pos="9638"/>
        </w:tabs>
        <w:bidi/>
        <w:spacing w:line="360" w:lineRule="exact"/>
        <w:ind w:left="2192"/>
        <w:rPr>
          <w:rFonts w:cs="Traditional Arabic" w:hint="cs"/>
          <w:sz w:val="18"/>
          <w:szCs w:val="28"/>
          <w:rtl/>
          <w:lang w:val="fr-CH"/>
        </w:rPr>
      </w:pPr>
      <w:r w:rsidRPr="009A767D">
        <w:rPr>
          <w:rFonts w:cs="Traditional Arabic" w:hint="cs"/>
          <w:sz w:val="18"/>
          <w:szCs w:val="28"/>
          <w:rtl/>
          <w:lang w:val="fr-CH"/>
        </w:rPr>
        <w:t>طاجيكستان</w:t>
      </w:r>
      <w:r w:rsidRPr="009A767D">
        <w:rPr>
          <w:rFonts w:cs="Traditional Arabic" w:hint="cs"/>
          <w:sz w:val="18"/>
          <w:szCs w:val="28"/>
          <w:rtl/>
          <w:lang w:val="fr-CH"/>
        </w:rPr>
        <w:tab/>
      </w:r>
      <w:r w:rsidRPr="009A767D">
        <w:rPr>
          <w:rFonts w:cs="Traditional Arabic" w:hint="cs"/>
          <w:sz w:val="18"/>
          <w:szCs w:val="28"/>
          <w:rtl/>
          <w:lang w:val="fr-CH"/>
        </w:rPr>
        <w:tab/>
      </w:r>
      <w:r w:rsidR="007A1F1A" w:rsidRPr="009A767D">
        <w:rPr>
          <w:rFonts w:cs="Traditional Arabic" w:hint="cs"/>
          <w:sz w:val="18"/>
          <w:szCs w:val="28"/>
          <w:rtl/>
          <w:lang w:val="fr-CH"/>
        </w:rPr>
        <w:t>66</w:t>
      </w:r>
      <w:r w:rsidRPr="009A767D">
        <w:rPr>
          <w:rFonts w:cs="Traditional Arabic" w:hint="cs"/>
          <w:sz w:val="18"/>
          <w:szCs w:val="28"/>
          <w:rtl/>
          <w:lang w:val="fr-CH"/>
        </w:rPr>
        <w:tab/>
      </w:r>
      <w:r w:rsidR="00A97F91">
        <w:rPr>
          <w:rFonts w:cs="Traditional Arabic" w:hint="cs"/>
          <w:sz w:val="18"/>
          <w:szCs w:val="28"/>
          <w:rtl/>
          <w:lang w:val="fr-CH"/>
        </w:rPr>
        <w:t>100</w:t>
      </w:r>
    </w:p>
    <w:p w:rsidR="00404C06" w:rsidRPr="009A767D" w:rsidRDefault="00404C06" w:rsidP="009A767D">
      <w:pPr>
        <w:tabs>
          <w:tab w:val="left" w:leader="dot" w:pos="7469"/>
          <w:tab w:val="left" w:pos="7972"/>
          <w:tab w:val="right" w:pos="9638"/>
        </w:tabs>
        <w:bidi/>
        <w:spacing w:line="360" w:lineRule="exact"/>
        <w:ind w:left="2192"/>
        <w:rPr>
          <w:rFonts w:cs="Traditional Arabic" w:hint="cs"/>
          <w:sz w:val="18"/>
          <w:szCs w:val="28"/>
          <w:rtl/>
          <w:lang w:val="fr-CH"/>
        </w:rPr>
      </w:pPr>
      <w:r w:rsidRPr="009A767D">
        <w:rPr>
          <w:rFonts w:cs="Traditional Arabic" w:hint="cs"/>
          <w:sz w:val="18"/>
          <w:szCs w:val="28"/>
          <w:rtl/>
          <w:lang w:val="fr-CH"/>
        </w:rPr>
        <w:t>توغو</w:t>
      </w:r>
      <w:r w:rsidRPr="009A767D">
        <w:rPr>
          <w:rFonts w:cs="Traditional Arabic" w:hint="cs"/>
          <w:sz w:val="18"/>
          <w:szCs w:val="28"/>
          <w:rtl/>
          <w:lang w:val="fr-CH"/>
        </w:rPr>
        <w:tab/>
      </w:r>
      <w:r w:rsidRPr="009A767D">
        <w:rPr>
          <w:rFonts w:cs="Traditional Arabic" w:hint="cs"/>
          <w:sz w:val="18"/>
          <w:szCs w:val="28"/>
          <w:rtl/>
          <w:lang w:val="fr-CH"/>
        </w:rPr>
        <w:tab/>
      </w:r>
      <w:r w:rsidR="007A1F1A" w:rsidRPr="009A767D">
        <w:rPr>
          <w:rFonts w:cs="Traditional Arabic" w:hint="cs"/>
          <w:sz w:val="18"/>
          <w:szCs w:val="28"/>
          <w:rtl/>
          <w:lang w:val="fr-CH"/>
        </w:rPr>
        <w:t>67</w:t>
      </w:r>
      <w:r w:rsidRPr="009A767D">
        <w:rPr>
          <w:rFonts w:cs="Traditional Arabic" w:hint="cs"/>
          <w:sz w:val="18"/>
          <w:szCs w:val="28"/>
          <w:rtl/>
          <w:lang w:val="fr-CH"/>
        </w:rPr>
        <w:tab/>
      </w:r>
      <w:r w:rsidR="00A97F91">
        <w:rPr>
          <w:rFonts w:cs="Traditional Arabic" w:hint="cs"/>
          <w:sz w:val="18"/>
          <w:szCs w:val="28"/>
          <w:rtl/>
          <w:lang w:val="fr-CH"/>
        </w:rPr>
        <w:t>113</w:t>
      </w:r>
    </w:p>
    <w:p w:rsidR="00404C06" w:rsidRPr="009A767D" w:rsidRDefault="00404C06" w:rsidP="009A767D">
      <w:pPr>
        <w:tabs>
          <w:tab w:val="left" w:leader="dot" w:pos="7469"/>
          <w:tab w:val="left" w:pos="7972"/>
          <w:tab w:val="right" w:pos="9638"/>
        </w:tabs>
        <w:bidi/>
        <w:spacing w:line="360" w:lineRule="exact"/>
        <w:ind w:left="2192"/>
        <w:rPr>
          <w:rFonts w:cs="Traditional Arabic" w:hint="cs"/>
          <w:sz w:val="18"/>
          <w:szCs w:val="28"/>
          <w:rtl/>
          <w:lang w:val="fr-CH"/>
        </w:rPr>
      </w:pPr>
      <w:r w:rsidRPr="009A767D">
        <w:rPr>
          <w:rFonts w:cs="Traditional Arabic" w:hint="cs"/>
          <w:sz w:val="18"/>
          <w:szCs w:val="28"/>
          <w:rtl/>
          <w:lang w:val="fr-CH"/>
        </w:rPr>
        <w:t>دولة بوليفيا المتعددة القوميات</w:t>
      </w:r>
      <w:r w:rsidRPr="009A767D">
        <w:rPr>
          <w:rFonts w:cs="Traditional Arabic" w:hint="cs"/>
          <w:sz w:val="18"/>
          <w:szCs w:val="28"/>
          <w:rtl/>
          <w:lang w:val="fr-CH"/>
        </w:rPr>
        <w:tab/>
      </w:r>
      <w:r w:rsidRPr="009A767D">
        <w:rPr>
          <w:rFonts w:cs="Traditional Arabic" w:hint="cs"/>
          <w:sz w:val="18"/>
          <w:szCs w:val="28"/>
          <w:rtl/>
          <w:lang w:val="fr-CH"/>
        </w:rPr>
        <w:tab/>
      </w:r>
      <w:r w:rsidR="007A1F1A" w:rsidRPr="009A767D">
        <w:rPr>
          <w:rFonts w:cs="Traditional Arabic" w:hint="cs"/>
          <w:sz w:val="18"/>
          <w:szCs w:val="28"/>
          <w:rtl/>
          <w:lang w:val="fr-CH"/>
        </w:rPr>
        <w:t>68</w:t>
      </w:r>
      <w:r w:rsidRPr="009A767D">
        <w:rPr>
          <w:rFonts w:cs="Traditional Arabic" w:hint="cs"/>
          <w:sz w:val="18"/>
          <w:szCs w:val="28"/>
          <w:rtl/>
          <w:lang w:val="fr-CH"/>
        </w:rPr>
        <w:tab/>
      </w:r>
      <w:r w:rsidR="00A97F91">
        <w:rPr>
          <w:rFonts w:cs="Traditional Arabic" w:hint="cs"/>
          <w:sz w:val="18"/>
          <w:szCs w:val="28"/>
          <w:rtl/>
          <w:lang w:val="fr-CH"/>
        </w:rPr>
        <w:t>125</w:t>
      </w:r>
    </w:p>
    <w:p w:rsidR="00404C06" w:rsidRPr="009A767D" w:rsidRDefault="00404C06" w:rsidP="009A767D">
      <w:pPr>
        <w:tabs>
          <w:tab w:val="left" w:leader="dot" w:pos="7469"/>
          <w:tab w:val="left" w:pos="7972"/>
          <w:tab w:val="right" w:pos="9638"/>
        </w:tabs>
        <w:bidi/>
        <w:spacing w:line="360" w:lineRule="exact"/>
        <w:ind w:left="2192"/>
        <w:rPr>
          <w:rFonts w:cs="Traditional Arabic" w:hint="cs"/>
          <w:sz w:val="18"/>
          <w:szCs w:val="28"/>
          <w:rtl/>
          <w:lang w:val="fr-CH"/>
        </w:rPr>
      </w:pPr>
      <w:r w:rsidRPr="009A767D">
        <w:rPr>
          <w:rFonts w:cs="Traditional Arabic" w:hint="cs"/>
          <w:sz w:val="18"/>
          <w:szCs w:val="28"/>
          <w:rtl/>
          <w:lang w:val="fr-CH"/>
        </w:rPr>
        <w:t>إستونيا</w:t>
      </w:r>
      <w:r w:rsidRPr="009A767D">
        <w:rPr>
          <w:rFonts w:cs="Traditional Arabic" w:hint="cs"/>
          <w:sz w:val="18"/>
          <w:szCs w:val="28"/>
          <w:rtl/>
          <w:lang w:val="fr-CH"/>
        </w:rPr>
        <w:tab/>
      </w:r>
      <w:r w:rsidRPr="009A767D">
        <w:rPr>
          <w:rFonts w:cs="Traditional Arabic" w:hint="cs"/>
          <w:sz w:val="18"/>
          <w:szCs w:val="28"/>
          <w:rtl/>
          <w:lang w:val="fr-CH"/>
        </w:rPr>
        <w:tab/>
      </w:r>
      <w:r w:rsidR="007A1F1A" w:rsidRPr="009A767D">
        <w:rPr>
          <w:rFonts w:cs="Traditional Arabic" w:hint="cs"/>
          <w:sz w:val="18"/>
          <w:szCs w:val="28"/>
          <w:rtl/>
          <w:lang w:val="fr-CH"/>
        </w:rPr>
        <w:t>69</w:t>
      </w:r>
      <w:r w:rsidRPr="009A767D">
        <w:rPr>
          <w:rFonts w:cs="Traditional Arabic" w:hint="cs"/>
          <w:sz w:val="18"/>
          <w:szCs w:val="28"/>
          <w:rtl/>
          <w:lang w:val="fr-CH"/>
        </w:rPr>
        <w:tab/>
      </w:r>
      <w:r w:rsidR="00A97F91">
        <w:rPr>
          <w:rFonts w:cs="Traditional Arabic" w:hint="cs"/>
          <w:sz w:val="18"/>
          <w:szCs w:val="28"/>
          <w:rtl/>
          <w:lang w:val="fr-CH"/>
        </w:rPr>
        <w:t>138</w:t>
      </w:r>
    </w:p>
    <w:p w:rsidR="00404C06" w:rsidRPr="009A767D" w:rsidRDefault="00404C06" w:rsidP="009A767D">
      <w:pPr>
        <w:tabs>
          <w:tab w:val="left" w:leader="dot" w:pos="7469"/>
          <w:tab w:val="left" w:pos="7972"/>
          <w:tab w:val="right" w:pos="9638"/>
        </w:tabs>
        <w:bidi/>
        <w:spacing w:line="360" w:lineRule="exact"/>
        <w:ind w:left="2192"/>
        <w:rPr>
          <w:rFonts w:cs="Traditional Arabic" w:hint="cs"/>
          <w:sz w:val="18"/>
          <w:szCs w:val="28"/>
          <w:rtl/>
          <w:lang w:val="fr-CH"/>
        </w:rPr>
      </w:pPr>
      <w:r w:rsidRPr="009A767D">
        <w:rPr>
          <w:rFonts w:cs="Traditional Arabic" w:hint="cs"/>
          <w:sz w:val="18"/>
          <w:szCs w:val="28"/>
          <w:rtl/>
          <w:lang w:val="fr-CH"/>
        </w:rPr>
        <w:t>غواتيمالا</w:t>
      </w:r>
      <w:r w:rsidRPr="009A767D">
        <w:rPr>
          <w:rFonts w:cs="Traditional Arabic" w:hint="cs"/>
          <w:sz w:val="18"/>
          <w:szCs w:val="28"/>
          <w:rtl/>
          <w:lang w:val="fr-CH"/>
        </w:rPr>
        <w:tab/>
      </w:r>
      <w:r w:rsidRPr="009A767D">
        <w:rPr>
          <w:rFonts w:cs="Traditional Arabic" w:hint="cs"/>
          <w:sz w:val="18"/>
          <w:szCs w:val="28"/>
          <w:rtl/>
          <w:lang w:val="fr-CH"/>
        </w:rPr>
        <w:tab/>
      </w:r>
      <w:r w:rsidR="007A1F1A" w:rsidRPr="009A767D">
        <w:rPr>
          <w:rFonts w:cs="Traditional Arabic" w:hint="cs"/>
          <w:sz w:val="18"/>
          <w:szCs w:val="28"/>
          <w:rtl/>
          <w:lang w:val="fr-CH"/>
        </w:rPr>
        <w:t>70</w:t>
      </w:r>
      <w:r w:rsidRPr="009A767D">
        <w:rPr>
          <w:rFonts w:cs="Traditional Arabic" w:hint="cs"/>
          <w:sz w:val="18"/>
          <w:szCs w:val="28"/>
          <w:rtl/>
          <w:lang w:val="fr-CH"/>
        </w:rPr>
        <w:tab/>
      </w:r>
      <w:r w:rsidR="00A97F91">
        <w:rPr>
          <w:rFonts w:cs="Traditional Arabic" w:hint="cs"/>
          <w:sz w:val="18"/>
          <w:szCs w:val="28"/>
          <w:rtl/>
          <w:lang w:val="fr-CH"/>
        </w:rPr>
        <w:t>150</w:t>
      </w:r>
    </w:p>
    <w:p w:rsidR="00404C06" w:rsidRPr="009A767D" w:rsidRDefault="00404C06" w:rsidP="009A767D">
      <w:pPr>
        <w:tabs>
          <w:tab w:val="left" w:leader="dot" w:pos="7469"/>
          <w:tab w:val="left" w:pos="7972"/>
          <w:tab w:val="right" w:pos="9638"/>
        </w:tabs>
        <w:bidi/>
        <w:spacing w:line="360" w:lineRule="exact"/>
        <w:ind w:left="2192"/>
        <w:rPr>
          <w:rFonts w:cs="Traditional Arabic" w:hint="cs"/>
          <w:sz w:val="18"/>
          <w:szCs w:val="28"/>
          <w:rtl/>
          <w:lang w:val="fr-CH"/>
        </w:rPr>
      </w:pPr>
      <w:r w:rsidRPr="009A767D">
        <w:rPr>
          <w:rFonts w:cs="Traditional Arabic" w:hint="cs"/>
          <w:sz w:val="18"/>
          <w:szCs w:val="28"/>
          <w:rtl/>
          <w:lang w:val="fr-CH"/>
        </w:rPr>
        <w:t>اليابان</w:t>
      </w:r>
      <w:r w:rsidRPr="009A767D">
        <w:rPr>
          <w:rFonts w:cs="Traditional Arabic" w:hint="cs"/>
          <w:sz w:val="18"/>
          <w:szCs w:val="28"/>
          <w:rtl/>
          <w:lang w:val="fr-CH"/>
        </w:rPr>
        <w:tab/>
      </w:r>
      <w:r w:rsidRPr="009A767D">
        <w:rPr>
          <w:rFonts w:cs="Traditional Arabic" w:hint="cs"/>
          <w:sz w:val="18"/>
          <w:szCs w:val="28"/>
          <w:rtl/>
          <w:lang w:val="fr-CH"/>
        </w:rPr>
        <w:tab/>
      </w:r>
      <w:r w:rsidR="007A1F1A" w:rsidRPr="009A767D">
        <w:rPr>
          <w:rFonts w:cs="Traditional Arabic" w:hint="cs"/>
          <w:sz w:val="18"/>
          <w:szCs w:val="28"/>
          <w:rtl/>
          <w:lang w:val="fr-CH"/>
        </w:rPr>
        <w:t>71</w:t>
      </w:r>
      <w:r w:rsidRPr="009A767D">
        <w:rPr>
          <w:rFonts w:cs="Traditional Arabic" w:hint="cs"/>
          <w:sz w:val="18"/>
          <w:szCs w:val="28"/>
          <w:rtl/>
          <w:lang w:val="fr-CH"/>
        </w:rPr>
        <w:tab/>
      </w:r>
      <w:r w:rsidR="00A97F91">
        <w:rPr>
          <w:rFonts w:cs="Traditional Arabic" w:hint="cs"/>
          <w:sz w:val="18"/>
          <w:szCs w:val="28"/>
          <w:rtl/>
          <w:lang w:val="fr-CH"/>
        </w:rPr>
        <w:t>162</w:t>
      </w:r>
    </w:p>
    <w:p w:rsidR="00404C06" w:rsidRPr="009A767D" w:rsidRDefault="00404C06" w:rsidP="009A767D">
      <w:pPr>
        <w:tabs>
          <w:tab w:val="left" w:leader="dot" w:pos="7469"/>
          <w:tab w:val="left" w:pos="7972"/>
          <w:tab w:val="right" w:pos="9638"/>
        </w:tabs>
        <w:bidi/>
        <w:spacing w:line="360" w:lineRule="exact"/>
        <w:ind w:left="2192"/>
        <w:rPr>
          <w:rFonts w:cs="Traditional Arabic" w:hint="cs"/>
          <w:sz w:val="18"/>
          <w:szCs w:val="28"/>
          <w:rtl/>
          <w:lang w:val="fr-CH"/>
        </w:rPr>
      </w:pPr>
      <w:r w:rsidRPr="009A767D">
        <w:rPr>
          <w:rFonts w:cs="Traditional Arabic" w:hint="cs"/>
          <w:sz w:val="18"/>
          <w:szCs w:val="28"/>
          <w:rtl/>
          <w:lang w:val="fr-CH"/>
        </w:rPr>
        <w:t>كينيا</w:t>
      </w:r>
      <w:r w:rsidRPr="009A767D">
        <w:rPr>
          <w:rFonts w:cs="Traditional Arabic" w:hint="cs"/>
          <w:sz w:val="18"/>
          <w:szCs w:val="28"/>
          <w:rtl/>
          <w:lang w:val="fr-CH"/>
        </w:rPr>
        <w:tab/>
      </w:r>
      <w:r w:rsidRPr="009A767D">
        <w:rPr>
          <w:rFonts w:cs="Traditional Arabic" w:hint="cs"/>
          <w:sz w:val="18"/>
          <w:szCs w:val="28"/>
          <w:rtl/>
          <w:lang w:val="fr-CH"/>
        </w:rPr>
        <w:tab/>
      </w:r>
      <w:r w:rsidR="007A1F1A" w:rsidRPr="009A767D">
        <w:rPr>
          <w:rFonts w:cs="Traditional Arabic" w:hint="cs"/>
          <w:sz w:val="18"/>
          <w:szCs w:val="28"/>
          <w:rtl/>
          <w:lang w:val="fr-CH"/>
        </w:rPr>
        <w:t>72</w:t>
      </w:r>
      <w:r w:rsidRPr="009A767D">
        <w:rPr>
          <w:rFonts w:cs="Traditional Arabic" w:hint="cs"/>
          <w:sz w:val="18"/>
          <w:szCs w:val="28"/>
          <w:rtl/>
          <w:lang w:val="fr-CH"/>
        </w:rPr>
        <w:tab/>
      </w:r>
      <w:r w:rsidR="00A97F91">
        <w:rPr>
          <w:rFonts w:cs="Traditional Arabic" w:hint="cs"/>
          <w:sz w:val="18"/>
          <w:szCs w:val="28"/>
          <w:rtl/>
          <w:lang w:val="fr-CH"/>
        </w:rPr>
        <w:t>176</w:t>
      </w:r>
    </w:p>
    <w:p w:rsidR="00404C06" w:rsidRPr="009A767D" w:rsidRDefault="00404C06" w:rsidP="009A767D">
      <w:pPr>
        <w:tabs>
          <w:tab w:val="left" w:leader="dot" w:pos="7469"/>
          <w:tab w:val="left" w:pos="7972"/>
          <w:tab w:val="right" w:pos="9638"/>
        </w:tabs>
        <w:bidi/>
        <w:spacing w:line="360" w:lineRule="exact"/>
        <w:ind w:left="2192"/>
        <w:rPr>
          <w:rFonts w:cs="Traditional Arabic" w:hint="cs"/>
          <w:sz w:val="18"/>
          <w:szCs w:val="28"/>
          <w:rtl/>
          <w:lang w:val="fr-CH"/>
        </w:rPr>
      </w:pPr>
      <w:r w:rsidRPr="009A767D">
        <w:rPr>
          <w:rFonts w:cs="Traditional Arabic" w:hint="cs"/>
          <w:sz w:val="18"/>
          <w:szCs w:val="28"/>
          <w:rtl/>
          <w:lang w:val="fr-CH"/>
        </w:rPr>
        <w:t>موريتانيا</w:t>
      </w:r>
      <w:r w:rsidRPr="009A767D">
        <w:rPr>
          <w:rFonts w:cs="Traditional Arabic" w:hint="cs"/>
          <w:sz w:val="18"/>
          <w:szCs w:val="28"/>
          <w:rtl/>
          <w:lang w:val="fr-CH"/>
        </w:rPr>
        <w:tab/>
      </w:r>
      <w:r w:rsidRPr="009A767D">
        <w:rPr>
          <w:rFonts w:cs="Traditional Arabic" w:hint="cs"/>
          <w:sz w:val="18"/>
          <w:szCs w:val="28"/>
          <w:rtl/>
          <w:lang w:val="fr-CH"/>
        </w:rPr>
        <w:tab/>
      </w:r>
      <w:r w:rsidR="007A1F1A" w:rsidRPr="009A767D">
        <w:rPr>
          <w:rFonts w:cs="Traditional Arabic" w:hint="cs"/>
          <w:sz w:val="18"/>
          <w:szCs w:val="28"/>
          <w:rtl/>
          <w:lang w:val="fr-CH"/>
        </w:rPr>
        <w:t>73</w:t>
      </w:r>
      <w:r w:rsidRPr="009A767D">
        <w:rPr>
          <w:rFonts w:cs="Traditional Arabic" w:hint="cs"/>
          <w:sz w:val="18"/>
          <w:szCs w:val="28"/>
          <w:rtl/>
          <w:lang w:val="fr-CH"/>
        </w:rPr>
        <w:tab/>
      </w:r>
      <w:r w:rsidR="00A97F91">
        <w:rPr>
          <w:rFonts w:cs="Traditional Arabic" w:hint="cs"/>
          <w:sz w:val="18"/>
          <w:szCs w:val="28"/>
          <w:rtl/>
          <w:lang w:val="fr-CH"/>
        </w:rPr>
        <w:t>192</w:t>
      </w:r>
    </w:p>
    <w:p w:rsidR="00404C06" w:rsidRPr="009A767D" w:rsidRDefault="00404C06" w:rsidP="009A767D">
      <w:pPr>
        <w:tabs>
          <w:tab w:val="left" w:leader="dot" w:pos="7469"/>
          <w:tab w:val="left" w:pos="7972"/>
          <w:tab w:val="right" w:pos="9638"/>
        </w:tabs>
        <w:bidi/>
        <w:spacing w:line="360" w:lineRule="exact"/>
        <w:ind w:left="2192"/>
        <w:rPr>
          <w:rFonts w:cs="Traditional Arabic" w:hint="cs"/>
          <w:sz w:val="18"/>
          <w:szCs w:val="28"/>
          <w:rtl/>
          <w:lang w:val="fr-CH"/>
        </w:rPr>
      </w:pPr>
      <w:r w:rsidRPr="009A767D">
        <w:rPr>
          <w:rFonts w:cs="Traditional Arabic" w:hint="cs"/>
          <w:sz w:val="18"/>
          <w:szCs w:val="28"/>
          <w:rtl/>
          <w:lang w:val="fr-CH"/>
        </w:rPr>
        <w:t>هولندا</w:t>
      </w:r>
      <w:r w:rsidRPr="009A767D">
        <w:rPr>
          <w:rFonts w:cs="Traditional Arabic" w:hint="cs"/>
          <w:sz w:val="18"/>
          <w:szCs w:val="28"/>
          <w:rtl/>
          <w:lang w:val="fr-CH"/>
        </w:rPr>
        <w:tab/>
      </w:r>
      <w:r w:rsidRPr="009A767D">
        <w:rPr>
          <w:rFonts w:cs="Traditional Arabic" w:hint="cs"/>
          <w:sz w:val="18"/>
          <w:szCs w:val="28"/>
          <w:rtl/>
          <w:lang w:val="fr-CH"/>
        </w:rPr>
        <w:tab/>
      </w:r>
      <w:r w:rsidR="007A1F1A" w:rsidRPr="009A767D">
        <w:rPr>
          <w:rFonts w:cs="Traditional Arabic" w:hint="cs"/>
          <w:sz w:val="18"/>
          <w:szCs w:val="28"/>
          <w:rtl/>
          <w:lang w:val="fr-CH"/>
        </w:rPr>
        <w:t>74</w:t>
      </w:r>
      <w:r w:rsidRPr="009A767D">
        <w:rPr>
          <w:rFonts w:cs="Traditional Arabic" w:hint="cs"/>
          <w:sz w:val="18"/>
          <w:szCs w:val="28"/>
          <w:rtl/>
          <w:lang w:val="fr-CH"/>
        </w:rPr>
        <w:tab/>
      </w:r>
      <w:r w:rsidR="00A97F91">
        <w:rPr>
          <w:rFonts w:cs="Traditional Arabic" w:hint="cs"/>
          <w:sz w:val="18"/>
          <w:szCs w:val="28"/>
          <w:rtl/>
          <w:lang w:val="fr-CH"/>
        </w:rPr>
        <w:t>207</w:t>
      </w:r>
    </w:p>
    <w:p w:rsidR="00404C06" w:rsidRPr="009A767D" w:rsidRDefault="00404C06" w:rsidP="00CF2669">
      <w:pPr>
        <w:tabs>
          <w:tab w:val="left" w:leader="dot" w:pos="7469"/>
          <w:tab w:val="left" w:pos="7972"/>
          <w:tab w:val="right" w:pos="9638"/>
        </w:tabs>
        <w:bidi/>
        <w:spacing w:after="120" w:line="360" w:lineRule="exact"/>
        <w:ind w:left="2192"/>
        <w:rPr>
          <w:rFonts w:cs="Traditional Arabic" w:hint="cs"/>
          <w:sz w:val="18"/>
          <w:szCs w:val="28"/>
          <w:rtl/>
          <w:lang w:val="fr-CH"/>
        </w:rPr>
      </w:pPr>
      <w:r w:rsidRPr="009A767D">
        <w:rPr>
          <w:rFonts w:cs="Traditional Arabic" w:hint="cs"/>
          <w:sz w:val="18"/>
          <w:szCs w:val="28"/>
          <w:rtl/>
          <w:lang w:val="fr-CH"/>
        </w:rPr>
        <w:t>المملكة المتحدة لبريطانيا العظمى و</w:t>
      </w:r>
      <w:r w:rsidR="00CF2669" w:rsidRPr="009A767D">
        <w:rPr>
          <w:rFonts w:cs="Traditional Arabic" w:hint="cs"/>
          <w:sz w:val="18"/>
          <w:szCs w:val="28"/>
          <w:rtl/>
          <w:lang w:val="fr-CH"/>
        </w:rPr>
        <w:t>أ</w:t>
      </w:r>
      <w:r w:rsidRPr="009A767D">
        <w:rPr>
          <w:rFonts w:cs="Traditional Arabic" w:hint="cs"/>
          <w:sz w:val="18"/>
          <w:szCs w:val="28"/>
          <w:rtl/>
          <w:lang w:val="fr-CH"/>
        </w:rPr>
        <w:t>يرلندا الشمالية</w:t>
      </w:r>
      <w:r w:rsidRPr="009A767D">
        <w:rPr>
          <w:rFonts w:cs="Traditional Arabic" w:hint="cs"/>
          <w:sz w:val="18"/>
          <w:szCs w:val="28"/>
          <w:rtl/>
          <w:lang w:val="fr-CH"/>
        </w:rPr>
        <w:tab/>
      </w:r>
      <w:r w:rsidRPr="009A767D">
        <w:rPr>
          <w:rFonts w:cs="Traditional Arabic" w:hint="cs"/>
          <w:sz w:val="18"/>
          <w:szCs w:val="28"/>
          <w:rtl/>
          <w:lang w:val="fr-CH"/>
        </w:rPr>
        <w:tab/>
      </w:r>
      <w:r w:rsidR="007A1F1A" w:rsidRPr="009A767D">
        <w:rPr>
          <w:rFonts w:cs="Traditional Arabic" w:hint="cs"/>
          <w:sz w:val="18"/>
          <w:szCs w:val="28"/>
          <w:rtl/>
          <w:lang w:val="fr-CH"/>
        </w:rPr>
        <w:t>75</w:t>
      </w:r>
      <w:r w:rsidRPr="009A767D">
        <w:rPr>
          <w:rFonts w:cs="Traditional Arabic" w:hint="cs"/>
          <w:sz w:val="18"/>
          <w:szCs w:val="28"/>
          <w:rtl/>
          <w:lang w:val="fr-CH"/>
        </w:rPr>
        <w:tab/>
      </w:r>
      <w:r w:rsidR="00A97F91">
        <w:rPr>
          <w:rFonts w:cs="Traditional Arabic" w:hint="cs"/>
          <w:sz w:val="18"/>
          <w:szCs w:val="28"/>
          <w:rtl/>
          <w:lang w:val="fr-CH"/>
        </w:rPr>
        <w:t>222</w:t>
      </w:r>
    </w:p>
    <w:p w:rsidR="004506EA" w:rsidRPr="009A767D" w:rsidRDefault="004506EA" w:rsidP="004506EA">
      <w:pPr>
        <w:tabs>
          <w:tab w:val="right" w:pos="1021"/>
          <w:tab w:val="left" w:pos="1077"/>
          <w:tab w:val="left" w:pos="1525"/>
          <w:tab w:val="left" w:pos="1842"/>
          <w:tab w:val="left" w:pos="2206"/>
          <w:tab w:val="left" w:pos="2681"/>
          <w:tab w:val="left" w:leader="dot" w:pos="7469"/>
          <w:tab w:val="left" w:pos="7972"/>
          <w:tab w:val="right" w:pos="9638"/>
        </w:tabs>
        <w:bidi/>
        <w:spacing w:after="120" w:line="360" w:lineRule="exact"/>
        <w:rPr>
          <w:rFonts w:cs="Traditional Arabic" w:hint="cs"/>
          <w:sz w:val="18"/>
          <w:szCs w:val="28"/>
          <w:rtl/>
          <w:lang w:val="fr-CH"/>
        </w:rPr>
      </w:pPr>
      <w:r w:rsidRPr="009A767D">
        <w:rPr>
          <w:rFonts w:cs="Traditional Arabic" w:hint="cs"/>
          <w:sz w:val="18"/>
          <w:szCs w:val="28"/>
          <w:rtl/>
          <w:lang w:val="fr-CH"/>
        </w:rPr>
        <w:tab/>
        <w:t>رابعاً</w:t>
      </w:r>
      <w:r w:rsidRPr="009A767D">
        <w:rPr>
          <w:rFonts w:cs="Traditional Arabic" w:hint="cs"/>
          <w:sz w:val="18"/>
          <w:szCs w:val="28"/>
          <w:rtl/>
          <w:lang w:val="fr-CH"/>
        </w:rPr>
        <w:tab/>
        <w:t>-</w:t>
      </w:r>
      <w:r w:rsidRPr="009A767D">
        <w:rPr>
          <w:rFonts w:cs="Traditional Arabic" w:hint="cs"/>
          <w:sz w:val="18"/>
          <w:szCs w:val="28"/>
          <w:rtl/>
          <w:lang w:val="fr-CH"/>
        </w:rPr>
        <w:tab/>
        <w:t>متابعة الملاحظات الختامية بشأن تقارير الدول الأطراف</w:t>
      </w:r>
      <w:r w:rsidRPr="009A767D">
        <w:rPr>
          <w:rFonts w:cs="Traditional Arabic" w:hint="cs"/>
          <w:sz w:val="18"/>
          <w:szCs w:val="28"/>
          <w:rtl/>
          <w:lang w:val="fr-CH"/>
        </w:rPr>
        <w:tab/>
      </w:r>
      <w:r w:rsidRPr="009A767D">
        <w:rPr>
          <w:rFonts w:cs="Traditional Arabic" w:hint="cs"/>
          <w:sz w:val="18"/>
          <w:szCs w:val="28"/>
          <w:rtl/>
          <w:lang w:val="fr-CH"/>
        </w:rPr>
        <w:tab/>
        <w:t>76-95</w:t>
      </w:r>
      <w:r w:rsidRPr="009A767D">
        <w:rPr>
          <w:rFonts w:cs="Traditional Arabic" w:hint="cs"/>
          <w:sz w:val="18"/>
          <w:szCs w:val="28"/>
          <w:rtl/>
          <w:lang w:val="fr-CH"/>
        </w:rPr>
        <w:tab/>
      </w:r>
      <w:r w:rsidR="00A97F91">
        <w:rPr>
          <w:rFonts w:cs="Traditional Arabic" w:hint="cs"/>
          <w:sz w:val="18"/>
          <w:szCs w:val="28"/>
          <w:rtl/>
          <w:lang w:val="fr-CH"/>
        </w:rPr>
        <w:t>240</w:t>
      </w:r>
    </w:p>
    <w:p w:rsidR="004506EA" w:rsidRPr="009A767D" w:rsidRDefault="004506EA" w:rsidP="004506EA">
      <w:pPr>
        <w:tabs>
          <w:tab w:val="right" w:pos="1021"/>
          <w:tab w:val="left" w:pos="1077"/>
          <w:tab w:val="left" w:pos="1525"/>
          <w:tab w:val="left" w:pos="1842"/>
          <w:tab w:val="left" w:pos="2206"/>
          <w:tab w:val="left" w:pos="2681"/>
          <w:tab w:val="left" w:leader="dot" w:pos="7469"/>
          <w:tab w:val="left" w:pos="7972"/>
          <w:tab w:val="right" w:pos="9638"/>
        </w:tabs>
        <w:bidi/>
        <w:spacing w:after="120" w:line="360" w:lineRule="exact"/>
        <w:rPr>
          <w:rFonts w:cs="Traditional Arabic" w:hint="cs"/>
          <w:sz w:val="18"/>
          <w:szCs w:val="28"/>
          <w:rtl/>
          <w:lang w:val="fr-CH"/>
        </w:rPr>
      </w:pPr>
      <w:r w:rsidRPr="009A767D">
        <w:rPr>
          <w:rFonts w:cs="Traditional Arabic"/>
          <w:sz w:val="18"/>
          <w:szCs w:val="28"/>
          <w:rtl/>
          <w:lang w:val="fr-CH"/>
        </w:rPr>
        <w:tab/>
        <w:t>خامساً</w:t>
      </w:r>
      <w:r w:rsidRPr="009A767D">
        <w:rPr>
          <w:rFonts w:cs="Traditional Arabic" w:hint="cs"/>
          <w:sz w:val="18"/>
          <w:szCs w:val="28"/>
          <w:rtl/>
          <w:lang w:val="fr-CH"/>
        </w:rPr>
        <w:tab/>
      </w:r>
      <w:r w:rsidRPr="009A767D">
        <w:rPr>
          <w:rFonts w:cs="Traditional Arabic"/>
          <w:sz w:val="18"/>
          <w:szCs w:val="28"/>
          <w:rtl/>
          <w:lang w:val="fr-CH"/>
        </w:rPr>
        <w:t>-</w:t>
      </w:r>
      <w:r w:rsidRPr="009A767D">
        <w:rPr>
          <w:rFonts w:cs="Traditional Arabic"/>
          <w:sz w:val="18"/>
          <w:szCs w:val="28"/>
          <w:rtl/>
          <w:lang w:val="fr-CH"/>
        </w:rPr>
        <w:tab/>
        <w:t>أنشطة اللجنة بموجب المادة 20 من الاتفاقية</w:t>
      </w:r>
      <w:r w:rsidRPr="009A767D">
        <w:rPr>
          <w:rFonts w:cs="Traditional Arabic" w:hint="cs"/>
          <w:sz w:val="18"/>
          <w:szCs w:val="28"/>
          <w:rtl/>
          <w:lang w:val="fr-CH"/>
        </w:rPr>
        <w:tab/>
      </w:r>
      <w:r w:rsidRPr="009A767D">
        <w:rPr>
          <w:rFonts w:cs="Traditional Arabic" w:hint="cs"/>
          <w:sz w:val="18"/>
          <w:szCs w:val="28"/>
          <w:rtl/>
          <w:lang w:val="fr-CH"/>
        </w:rPr>
        <w:tab/>
        <w:t>96-101</w:t>
      </w:r>
      <w:r w:rsidRPr="009A767D">
        <w:rPr>
          <w:rFonts w:cs="Traditional Arabic" w:hint="cs"/>
          <w:sz w:val="18"/>
          <w:szCs w:val="28"/>
          <w:rtl/>
          <w:lang w:val="fr-CH"/>
        </w:rPr>
        <w:tab/>
      </w:r>
      <w:r w:rsidR="00A97F91">
        <w:rPr>
          <w:rFonts w:cs="Traditional Arabic" w:hint="cs"/>
          <w:sz w:val="18"/>
          <w:szCs w:val="28"/>
          <w:rtl/>
          <w:lang w:val="fr-CH"/>
        </w:rPr>
        <w:t>245</w:t>
      </w:r>
    </w:p>
    <w:p w:rsidR="004506EA" w:rsidRPr="009A767D" w:rsidRDefault="004506EA" w:rsidP="004506E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t>سادساً</w:t>
      </w:r>
      <w:r w:rsidRPr="009A767D">
        <w:rPr>
          <w:rFonts w:cs="Traditional Arabic" w:hint="cs"/>
          <w:sz w:val="18"/>
          <w:szCs w:val="28"/>
          <w:rtl/>
          <w:lang w:val="fr-CH"/>
        </w:rPr>
        <w:tab/>
        <w:t>-</w:t>
      </w:r>
      <w:r w:rsidRPr="009A767D">
        <w:rPr>
          <w:rFonts w:cs="Traditional Arabic" w:hint="cs"/>
          <w:sz w:val="18"/>
          <w:szCs w:val="28"/>
          <w:rtl/>
          <w:lang w:val="fr-CH"/>
        </w:rPr>
        <w:tab/>
        <w:t>النظر في الشكاوى المقدمة بموجب المادة 22 من الاتفاقية</w:t>
      </w:r>
      <w:r w:rsidRPr="009A767D">
        <w:rPr>
          <w:rFonts w:cs="Traditional Arabic" w:hint="cs"/>
          <w:sz w:val="18"/>
          <w:szCs w:val="28"/>
          <w:rtl/>
          <w:lang w:val="fr-CH"/>
        </w:rPr>
        <w:tab/>
      </w:r>
      <w:r w:rsidRPr="009A767D">
        <w:rPr>
          <w:rFonts w:cs="Traditional Arabic" w:hint="cs"/>
          <w:sz w:val="18"/>
          <w:szCs w:val="28"/>
          <w:rtl/>
          <w:lang w:val="fr-CH"/>
        </w:rPr>
        <w:tab/>
        <w:t>102-138</w:t>
      </w:r>
      <w:r w:rsidRPr="009A767D">
        <w:rPr>
          <w:rFonts w:cs="Traditional Arabic" w:hint="cs"/>
          <w:sz w:val="18"/>
          <w:szCs w:val="28"/>
          <w:rtl/>
          <w:lang w:val="fr-CH"/>
        </w:rPr>
        <w:tab/>
      </w:r>
      <w:r w:rsidR="00A97F91">
        <w:rPr>
          <w:rFonts w:cs="Traditional Arabic" w:hint="cs"/>
          <w:sz w:val="18"/>
          <w:szCs w:val="28"/>
          <w:rtl/>
          <w:lang w:val="fr-CH"/>
        </w:rPr>
        <w:t>246</w:t>
      </w:r>
    </w:p>
    <w:p w:rsidR="004506EA" w:rsidRPr="009A767D" w:rsidRDefault="004506EA" w:rsidP="004506EA">
      <w:pPr>
        <w:tabs>
          <w:tab w:val="right" w:pos="1021"/>
          <w:tab w:val="left" w:pos="1077"/>
          <w:tab w:val="left" w:pos="1525"/>
          <w:tab w:val="left" w:pos="1842"/>
          <w:tab w:val="left" w:pos="2206"/>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ألف</w:t>
      </w:r>
      <w:r w:rsidRPr="009A767D">
        <w:rPr>
          <w:rFonts w:cs="Traditional Arabic" w:hint="cs"/>
          <w:sz w:val="18"/>
          <w:szCs w:val="28"/>
          <w:rtl/>
          <w:lang w:val="fr-CH"/>
        </w:rPr>
        <w:tab/>
        <w:t>-</w:t>
      </w:r>
      <w:r w:rsidRPr="009A767D">
        <w:rPr>
          <w:rFonts w:cs="Traditional Arabic" w:hint="cs"/>
          <w:sz w:val="18"/>
          <w:szCs w:val="28"/>
          <w:rtl/>
          <w:lang w:val="fr-CH"/>
        </w:rPr>
        <w:tab/>
        <w:t>مقدمة</w:t>
      </w:r>
      <w:r w:rsidRPr="009A767D">
        <w:rPr>
          <w:rFonts w:cs="Traditional Arabic" w:hint="cs"/>
          <w:sz w:val="18"/>
          <w:szCs w:val="28"/>
          <w:rtl/>
          <w:lang w:val="fr-CH"/>
        </w:rPr>
        <w:tab/>
      </w:r>
      <w:r w:rsidRPr="009A767D">
        <w:rPr>
          <w:rFonts w:cs="Traditional Arabic" w:hint="cs"/>
          <w:sz w:val="18"/>
          <w:szCs w:val="28"/>
          <w:rtl/>
          <w:lang w:val="fr-CH"/>
        </w:rPr>
        <w:tab/>
        <w:t>102-106</w:t>
      </w:r>
      <w:r w:rsidRPr="009A767D">
        <w:rPr>
          <w:rFonts w:cs="Traditional Arabic" w:hint="cs"/>
          <w:sz w:val="18"/>
          <w:szCs w:val="28"/>
          <w:rtl/>
          <w:lang w:val="fr-CH"/>
        </w:rPr>
        <w:tab/>
      </w:r>
      <w:r w:rsidR="00A97F91">
        <w:rPr>
          <w:rFonts w:cs="Traditional Arabic" w:hint="cs"/>
          <w:sz w:val="18"/>
          <w:szCs w:val="28"/>
          <w:rtl/>
          <w:lang w:val="fr-CH"/>
        </w:rPr>
        <w:t>246</w:t>
      </w:r>
    </w:p>
    <w:p w:rsidR="004506EA" w:rsidRPr="009A767D" w:rsidRDefault="004506EA" w:rsidP="004506E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باء</w:t>
      </w:r>
      <w:r w:rsidRPr="009A767D">
        <w:rPr>
          <w:rFonts w:cs="Traditional Arabic" w:hint="cs"/>
          <w:sz w:val="18"/>
          <w:szCs w:val="28"/>
          <w:rtl/>
          <w:lang w:val="fr-CH"/>
        </w:rPr>
        <w:tab/>
        <w:t>-</w:t>
      </w:r>
      <w:r w:rsidRPr="009A767D">
        <w:rPr>
          <w:rFonts w:cs="Traditional Arabic" w:hint="cs"/>
          <w:sz w:val="18"/>
          <w:szCs w:val="28"/>
          <w:rtl/>
          <w:lang w:val="fr-CH"/>
        </w:rPr>
        <w:tab/>
        <w:t>تدابير الحماية المؤقتة</w:t>
      </w:r>
      <w:r w:rsidRPr="009A767D">
        <w:rPr>
          <w:rFonts w:cs="Traditional Arabic" w:hint="cs"/>
          <w:sz w:val="18"/>
          <w:szCs w:val="28"/>
          <w:rtl/>
          <w:lang w:val="fr-CH"/>
        </w:rPr>
        <w:tab/>
      </w:r>
      <w:r w:rsidRPr="009A767D">
        <w:rPr>
          <w:rFonts w:cs="Traditional Arabic" w:hint="cs"/>
          <w:sz w:val="18"/>
          <w:szCs w:val="28"/>
          <w:rtl/>
          <w:lang w:val="fr-CH"/>
        </w:rPr>
        <w:tab/>
        <w:t>107-110</w:t>
      </w:r>
      <w:r w:rsidRPr="009A767D">
        <w:rPr>
          <w:rFonts w:cs="Traditional Arabic" w:hint="cs"/>
          <w:sz w:val="18"/>
          <w:szCs w:val="28"/>
          <w:rtl/>
          <w:lang w:val="fr-CH"/>
        </w:rPr>
        <w:tab/>
      </w:r>
      <w:r w:rsidR="00A97F91">
        <w:rPr>
          <w:rFonts w:cs="Traditional Arabic" w:hint="cs"/>
          <w:sz w:val="18"/>
          <w:szCs w:val="28"/>
          <w:rtl/>
          <w:lang w:val="fr-CH"/>
        </w:rPr>
        <w:t>246</w:t>
      </w:r>
    </w:p>
    <w:p w:rsidR="004506EA" w:rsidRPr="009A767D" w:rsidRDefault="004506EA" w:rsidP="004506EA">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جيم</w:t>
      </w:r>
      <w:r w:rsidRPr="009A767D">
        <w:rPr>
          <w:rFonts w:cs="Traditional Arabic" w:hint="cs"/>
          <w:sz w:val="18"/>
          <w:szCs w:val="28"/>
          <w:rtl/>
          <w:lang w:val="fr-CH"/>
        </w:rPr>
        <w:tab/>
        <w:t>-</w:t>
      </w:r>
      <w:r w:rsidRPr="009A767D">
        <w:rPr>
          <w:rFonts w:cs="Traditional Arabic" w:hint="cs"/>
          <w:sz w:val="18"/>
          <w:szCs w:val="28"/>
          <w:rtl/>
          <w:lang w:val="fr-CH"/>
        </w:rPr>
        <w:tab/>
        <w:t>سير العمل</w:t>
      </w:r>
      <w:r w:rsidRPr="009A767D">
        <w:rPr>
          <w:rFonts w:cs="Traditional Arabic" w:hint="cs"/>
          <w:sz w:val="18"/>
          <w:szCs w:val="28"/>
          <w:rtl/>
          <w:lang w:val="fr-CH"/>
        </w:rPr>
        <w:tab/>
      </w:r>
      <w:r w:rsidRPr="009A767D">
        <w:rPr>
          <w:rFonts w:cs="Traditional Arabic" w:hint="cs"/>
          <w:sz w:val="18"/>
          <w:szCs w:val="28"/>
          <w:rtl/>
          <w:lang w:val="fr-CH"/>
        </w:rPr>
        <w:tab/>
        <w:t>111-136</w:t>
      </w:r>
      <w:r w:rsidRPr="009A767D">
        <w:rPr>
          <w:rFonts w:cs="Traditional Arabic" w:hint="cs"/>
          <w:sz w:val="18"/>
          <w:szCs w:val="28"/>
          <w:rtl/>
          <w:lang w:val="fr-CH"/>
        </w:rPr>
        <w:tab/>
      </w:r>
      <w:r w:rsidR="00A97F91">
        <w:rPr>
          <w:rFonts w:cs="Traditional Arabic" w:hint="cs"/>
          <w:sz w:val="18"/>
          <w:szCs w:val="28"/>
          <w:rtl/>
          <w:lang w:val="fr-CH"/>
        </w:rPr>
        <w:t>248</w:t>
      </w:r>
    </w:p>
    <w:p w:rsidR="009A767D" w:rsidRPr="009A767D" w:rsidRDefault="009A767D" w:rsidP="009A767D">
      <w:pPr>
        <w:tabs>
          <w:tab w:val="right" w:pos="1021"/>
          <w:tab w:val="left" w:pos="1077"/>
          <w:tab w:val="left" w:pos="1525"/>
          <w:tab w:val="left" w:pos="1842"/>
          <w:tab w:val="left" w:pos="2206"/>
          <w:tab w:val="left" w:pos="2681"/>
          <w:tab w:val="left" w:leader="dot" w:pos="7469"/>
          <w:tab w:val="left" w:pos="7972"/>
          <w:tab w:val="right" w:pos="9638"/>
        </w:tabs>
        <w:bidi/>
        <w:spacing w:after="1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دال</w:t>
      </w:r>
      <w:r w:rsidRPr="009A767D">
        <w:rPr>
          <w:rFonts w:cs="Traditional Arabic" w:hint="cs"/>
          <w:sz w:val="18"/>
          <w:szCs w:val="28"/>
          <w:rtl/>
          <w:lang w:val="fr-CH"/>
        </w:rPr>
        <w:tab/>
        <w:t>-</w:t>
      </w:r>
      <w:r w:rsidRPr="009A767D">
        <w:rPr>
          <w:rFonts w:cs="Traditional Arabic" w:hint="cs"/>
          <w:sz w:val="18"/>
          <w:szCs w:val="28"/>
          <w:rtl/>
          <w:lang w:val="fr-CH"/>
        </w:rPr>
        <w:tab/>
        <w:t>أنشطة المتابعة</w:t>
      </w:r>
      <w:r w:rsidRPr="009A767D">
        <w:rPr>
          <w:rFonts w:cs="Traditional Arabic" w:hint="cs"/>
          <w:sz w:val="18"/>
          <w:szCs w:val="28"/>
          <w:rtl/>
          <w:lang w:val="fr-CH"/>
        </w:rPr>
        <w:tab/>
      </w:r>
      <w:r w:rsidRPr="009A767D">
        <w:rPr>
          <w:rFonts w:cs="Traditional Arabic" w:hint="cs"/>
          <w:sz w:val="18"/>
          <w:szCs w:val="28"/>
          <w:rtl/>
          <w:lang w:val="fr-CH"/>
        </w:rPr>
        <w:tab/>
        <w:t>137-138</w:t>
      </w:r>
      <w:r w:rsidRPr="009A767D">
        <w:rPr>
          <w:rFonts w:cs="Traditional Arabic" w:hint="cs"/>
          <w:sz w:val="18"/>
          <w:szCs w:val="28"/>
          <w:rtl/>
          <w:lang w:val="fr-CH"/>
        </w:rPr>
        <w:tab/>
      </w:r>
      <w:r w:rsidR="00A97F91">
        <w:rPr>
          <w:rFonts w:cs="Traditional Arabic" w:hint="cs"/>
          <w:sz w:val="18"/>
          <w:szCs w:val="28"/>
          <w:rtl/>
          <w:lang w:val="fr-CH"/>
        </w:rPr>
        <w:t>259</w:t>
      </w:r>
    </w:p>
    <w:p w:rsidR="009A767D" w:rsidRPr="009A767D" w:rsidRDefault="009A767D" w:rsidP="009A767D">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sz w:val="18"/>
          <w:szCs w:val="28"/>
          <w:rtl/>
          <w:lang w:val="fr-CH"/>
        </w:rPr>
        <w:t>سابعاً</w:t>
      </w:r>
      <w:r w:rsidRPr="009A767D">
        <w:rPr>
          <w:rFonts w:cs="Traditional Arabic" w:hint="cs"/>
          <w:sz w:val="18"/>
          <w:szCs w:val="28"/>
          <w:rtl/>
          <w:lang w:val="fr-CH"/>
        </w:rPr>
        <w:tab/>
      </w:r>
      <w:r w:rsidRPr="009A767D">
        <w:rPr>
          <w:rFonts w:cs="Traditional Arabic"/>
          <w:sz w:val="18"/>
          <w:szCs w:val="28"/>
          <w:rtl/>
          <w:lang w:val="fr-CH"/>
        </w:rPr>
        <w:t>-</w:t>
      </w:r>
      <w:r w:rsidRPr="009A767D">
        <w:rPr>
          <w:rFonts w:cs="Traditional Arabic"/>
          <w:sz w:val="18"/>
          <w:szCs w:val="28"/>
          <w:rtl/>
          <w:lang w:val="fr-CH"/>
        </w:rPr>
        <w:tab/>
        <w:t>الاجتماعات المقبلة للجنة</w:t>
      </w:r>
      <w:r w:rsidRPr="009A767D">
        <w:rPr>
          <w:rFonts w:cs="Traditional Arabic" w:hint="cs"/>
          <w:sz w:val="18"/>
          <w:szCs w:val="28"/>
          <w:rtl/>
          <w:lang w:val="fr-CH"/>
        </w:rPr>
        <w:tab/>
      </w:r>
      <w:r w:rsidRPr="009A767D">
        <w:rPr>
          <w:rFonts w:cs="Traditional Arabic" w:hint="cs"/>
          <w:sz w:val="18"/>
          <w:szCs w:val="28"/>
          <w:rtl/>
          <w:lang w:val="fr-CH"/>
        </w:rPr>
        <w:tab/>
        <w:t>139-141</w:t>
      </w:r>
      <w:r w:rsidRPr="009A767D">
        <w:rPr>
          <w:rFonts w:cs="Traditional Arabic" w:hint="cs"/>
          <w:sz w:val="18"/>
          <w:szCs w:val="28"/>
          <w:rtl/>
          <w:lang w:val="fr-CH"/>
        </w:rPr>
        <w:tab/>
      </w:r>
      <w:r w:rsidR="00E97F79">
        <w:rPr>
          <w:rFonts w:cs="Traditional Arabic" w:hint="cs"/>
          <w:sz w:val="18"/>
          <w:szCs w:val="28"/>
          <w:rtl/>
          <w:lang w:val="fr-CH"/>
        </w:rPr>
        <w:t>280</w:t>
      </w:r>
    </w:p>
    <w:p w:rsidR="009A767D" w:rsidRPr="009A767D" w:rsidRDefault="009A767D" w:rsidP="009A767D">
      <w:pPr>
        <w:tabs>
          <w:tab w:val="right" w:pos="1021"/>
          <w:tab w:val="left" w:pos="1077"/>
          <w:tab w:val="left" w:pos="1525"/>
          <w:tab w:val="left" w:pos="1842"/>
          <w:tab w:val="left" w:pos="2206"/>
          <w:tab w:val="left" w:pos="2681"/>
          <w:tab w:val="left" w:leader="dot" w:pos="7469"/>
          <w:tab w:val="left" w:pos="7972"/>
          <w:tab w:val="right" w:pos="9638"/>
        </w:tabs>
        <w:bidi/>
        <w:spacing w:after="120" w:line="360" w:lineRule="exact"/>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تخصيص وقت إضافي للاجتماع في عامي 2013 و2014</w:t>
      </w:r>
      <w:r w:rsidRPr="009A767D">
        <w:rPr>
          <w:rFonts w:cs="Traditional Arabic" w:hint="cs"/>
          <w:sz w:val="18"/>
          <w:szCs w:val="28"/>
          <w:rtl/>
          <w:lang w:val="fr-CH"/>
        </w:rPr>
        <w:tab/>
      </w:r>
      <w:r w:rsidRPr="009A767D">
        <w:rPr>
          <w:rFonts w:cs="Traditional Arabic" w:hint="cs"/>
          <w:sz w:val="18"/>
          <w:szCs w:val="28"/>
          <w:rtl/>
          <w:lang w:val="fr-CH"/>
        </w:rPr>
        <w:tab/>
        <w:t>140-141</w:t>
      </w:r>
      <w:r w:rsidRPr="009A767D">
        <w:rPr>
          <w:rFonts w:cs="Traditional Arabic" w:hint="cs"/>
          <w:sz w:val="18"/>
          <w:szCs w:val="28"/>
          <w:rtl/>
          <w:lang w:val="fr-CH"/>
        </w:rPr>
        <w:tab/>
      </w:r>
      <w:r w:rsidR="00E97F79">
        <w:rPr>
          <w:rFonts w:cs="Traditional Arabic" w:hint="cs"/>
          <w:sz w:val="18"/>
          <w:szCs w:val="28"/>
          <w:rtl/>
          <w:lang w:val="fr-CH"/>
        </w:rPr>
        <w:t>280</w:t>
      </w:r>
    </w:p>
    <w:p w:rsidR="009A767D" w:rsidRPr="009A767D" w:rsidRDefault="009A767D" w:rsidP="009A767D">
      <w:pPr>
        <w:tabs>
          <w:tab w:val="right" w:pos="1021"/>
          <w:tab w:val="left" w:pos="1077"/>
          <w:tab w:val="left" w:pos="1525"/>
          <w:tab w:val="left" w:pos="1842"/>
          <w:tab w:val="left" w:pos="2206"/>
          <w:tab w:val="left" w:pos="2681"/>
          <w:tab w:val="left" w:leader="dot" w:pos="7469"/>
          <w:tab w:val="left" w:pos="7972"/>
          <w:tab w:val="right" w:pos="9638"/>
        </w:tabs>
        <w:bidi/>
        <w:spacing w:after="20" w:line="360" w:lineRule="exact"/>
        <w:rPr>
          <w:rFonts w:cs="Traditional Arabic" w:hint="cs"/>
          <w:sz w:val="18"/>
          <w:szCs w:val="28"/>
          <w:rtl/>
          <w:lang w:val="fr-CH"/>
        </w:rPr>
      </w:pPr>
      <w:r w:rsidRPr="009A767D">
        <w:rPr>
          <w:rFonts w:cs="Traditional Arabic" w:hint="cs"/>
          <w:sz w:val="18"/>
          <w:szCs w:val="28"/>
          <w:rtl/>
          <w:lang w:val="fr-CH"/>
        </w:rPr>
        <w:tab/>
        <w:t>ثامناً</w:t>
      </w:r>
      <w:r w:rsidRPr="009A767D">
        <w:rPr>
          <w:rFonts w:cs="Traditional Arabic" w:hint="cs"/>
          <w:sz w:val="18"/>
          <w:szCs w:val="28"/>
          <w:rtl/>
          <w:lang w:val="fr-CH"/>
        </w:rPr>
        <w:tab/>
        <w:t>-</w:t>
      </w:r>
      <w:r w:rsidRPr="009A767D">
        <w:rPr>
          <w:rFonts w:cs="Traditional Arabic" w:hint="cs"/>
          <w:sz w:val="18"/>
          <w:szCs w:val="28"/>
          <w:rtl/>
          <w:lang w:val="fr-CH"/>
        </w:rPr>
        <w:tab/>
        <w:t>اعتماد تقرير اللجنة السنوي عن أنشطتها</w:t>
      </w:r>
      <w:r w:rsidRPr="009A767D">
        <w:rPr>
          <w:rFonts w:cs="Traditional Arabic" w:hint="cs"/>
          <w:sz w:val="18"/>
          <w:szCs w:val="28"/>
          <w:rtl/>
          <w:lang w:val="fr-CH"/>
        </w:rPr>
        <w:tab/>
      </w:r>
      <w:r w:rsidRPr="009A767D">
        <w:rPr>
          <w:rFonts w:cs="Traditional Arabic" w:hint="cs"/>
          <w:sz w:val="18"/>
          <w:szCs w:val="28"/>
          <w:rtl/>
          <w:lang w:val="fr-CH"/>
        </w:rPr>
        <w:tab/>
        <w:t>142</w:t>
      </w:r>
      <w:r w:rsidRPr="009A767D">
        <w:rPr>
          <w:rFonts w:cs="Traditional Arabic" w:hint="cs"/>
          <w:sz w:val="18"/>
          <w:szCs w:val="28"/>
          <w:rtl/>
          <w:lang w:val="fr-CH"/>
        </w:rPr>
        <w:tab/>
      </w:r>
      <w:r w:rsidR="00E97F79">
        <w:rPr>
          <w:rFonts w:cs="Traditional Arabic" w:hint="cs"/>
          <w:sz w:val="18"/>
          <w:szCs w:val="28"/>
          <w:rtl/>
          <w:lang w:val="fr-CH"/>
        </w:rPr>
        <w:t>281</w:t>
      </w:r>
    </w:p>
    <w:p w:rsidR="008861AE" w:rsidRPr="009A767D" w:rsidRDefault="008861AE" w:rsidP="00091373">
      <w:pPr>
        <w:tabs>
          <w:tab w:val="right" w:pos="1021"/>
          <w:tab w:val="left" w:pos="1077"/>
          <w:tab w:val="left" w:pos="1525"/>
          <w:tab w:val="left" w:pos="1842"/>
          <w:tab w:val="left" w:pos="2206"/>
          <w:tab w:val="left" w:pos="2681"/>
          <w:tab w:val="left" w:leader="dot" w:pos="7469"/>
          <w:tab w:val="left" w:pos="7972"/>
          <w:tab w:val="right" w:pos="9638"/>
        </w:tabs>
        <w:bidi/>
        <w:spacing w:after="120" w:line="360" w:lineRule="exact"/>
        <w:rPr>
          <w:rFonts w:cs="Traditional Arabic" w:hint="cs"/>
          <w:sz w:val="18"/>
          <w:szCs w:val="28"/>
          <w:rtl/>
          <w:lang w:val="fr-CH"/>
        </w:rPr>
      </w:pPr>
      <w:r w:rsidRPr="009A767D">
        <w:rPr>
          <w:rFonts w:cs="Traditional Arabic" w:hint="cs"/>
          <w:sz w:val="18"/>
          <w:szCs w:val="28"/>
          <w:rtl/>
          <w:lang w:val="fr-CH"/>
        </w:rPr>
        <w:t>المرفقات</w:t>
      </w:r>
    </w:p>
    <w:p w:rsidR="009A767D" w:rsidRPr="009A767D" w:rsidRDefault="009A767D" w:rsidP="009A767D">
      <w:pPr>
        <w:tabs>
          <w:tab w:val="right" w:pos="1021"/>
          <w:tab w:val="left" w:pos="1077"/>
          <w:tab w:val="left" w:pos="1525"/>
          <w:tab w:val="left" w:pos="1842"/>
          <w:tab w:val="left" w:pos="2206"/>
          <w:tab w:val="left" w:pos="2681"/>
          <w:tab w:val="left" w:leader="dot" w:pos="8771"/>
          <w:tab w:val="right" w:pos="9638"/>
        </w:tabs>
        <w:bidi/>
        <w:spacing w:after="120" w:line="360" w:lineRule="exact"/>
        <w:ind w:left="1531" w:right="882" w:hanging="1531"/>
        <w:jc w:val="lowKashida"/>
        <w:rPr>
          <w:rFonts w:cs="Traditional Arabic" w:hint="cs"/>
          <w:sz w:val="18"/>
          <w:szCs w:val="28"/>
          <w:rtl/>
          <w:lang w:val="fr-CH"/>
        </w:rPr>
      </w:pPr>
      <w:r w:rsidRPr="009A767D">
        <w:rPr>
          <w:rFonts w:cs="Traditional Arabic"/>
          <w:sz w:val="18"/>
          <w:szCs w:val="28"/>
          <w:rtl/>
          <w:lang w:val="fr-CH"/>
        </w:rPr>
        <w:tab/>
      </w:r>
      <w:r w:rsidRPr="009A767D">
        <w:rPr>
          <w:rFonts w:cs="Traditional Arabic" w:hint="cs"/>
          <w:sz w:val="18"/>
          <w:szCs w:val="28"/>
          <w:rtl/>
          <w:lang w:val="fr-CH"/>
        </w:rPr>
        <w:t>الأول</w:t>
      </w:r>
      <w:r w:rsidRPr="009A767D">
        <w:rPr>
          <w:rFonts w:cs="Traditional Arabic" w:hint="cs"/>
          <w:sz w:val="18"/>
          <w:szCs w:val="28"/>
          <w:rtl/>
          <w:lang w:val="fr-CH"/>
        </w:rPr>
        <w:tab/>
        <w:t>-</w:t>
      </w:r>
      <w:r w:rsidRPr="009A767D">
        <w:rPr>
          <w:rFonts w:cs="Traditional Arabic"/>
          <w:sz w:val="18"/>
          <w:szCs w:val="28"/>
          <w:rtl/>
          <w:lang w:val="fr-CH"/>
        </w:rPr>
        <w:tab/>
        <w:t>الدول التي وقعت على اتفاقية مناهضة التعذيب وغيره من ضروب المعاملة أو العقوبة القاسية أو</w:t>
      </w:r>
      <w:r w:rsidRPr="009A767D">
        <w:rPr>
          <w:rFonts w:cs="Traditional Arabic" w:hint="cs"/>
          <w:sz w:val="18"/>
          <w:szCs w:val="28"/>
          <w:rtl/>
          <w:lang w:val="fr-CH"/>
        </w:rPr>
        <w:t> </w:t>
      </w:r>
      <w:r w:rsidRPr="009A767D">
        <w:rPr>
          <w:rFonts w:cs="Traditional Arabic"/>
          <w:sz w:val="18"/>
          <w:szCs w:val="28"/>
          <w:rtl/>
          <w:lang w:val="fr-CH"/>
        </w:rPr>
        <w:t>اللاإنسانية أو المهينة، أو صدقت عليها</w:t>
      </w:r>
      <w:r w:rsidRPr="009A767D">
        <w:rPr>
          <w:rFonts w:cs="Traditional Arabic" w:hint="cs"/>
          <w:sz w:val="18"/>
          <w:szCs w:val="28"/>
          <w:rtl/>
          <w:lang w:val="fr-CH"/>
        </w:rPr>
        <w:t xml:space="preserve"> </w:t>
      </w:r>
      <w:r w:rsidRPr="009A767D">
        <w:rPr>
          <w:rFonts w:cs="Traditional Arabic"/>
          <w:sz w:val="18"/>
          <w:szCs w:val="28"/>
          <w:rtl/>
          <w:lang w:val="fr-CH"/>
        </w:rPr>
        <w:t>أو</w:t>
      </w:r>
      <w:r w:rsidRPr="009A767D">
        <w:rPr>
          <w:rFonts w:cs="Traditional Arabic" w:hint="cs"/>
          <w:sz w:val="18"/>
          <w:szCs w:val="28"/>
          <w:rtl/>
          <w:lang w:val="fr-CH"/>
        </w:rPr>
        <w:t> </w:t>
      </w:r>
      <w:r w:rsidRPr="009A767D">
        <w:rPr>
          <w:rFonts w:cs="Traditional Arabic"/>
          <w:sz w:val="18"/>
          <w:szCs w:val="28"/>
          <w:rtl/>
          <w:lang w:val="fr-CH"/>
        </w:rPr>
        <w:t>انضمت إليها</w:t>
      </w:r>
      <w:r w:rsidR="00232971">
        <w:rPr>
          <w:rFonts w:cs="Traditional Arabic" w:hint="cs"/>
          <w:sz w:val="18"/>
          <w:szCs w:val="28"/>
          <w:rtl/>
          <w:lang w:val="fr-CH"/>
        </w:rPr>
        <w:t>،</w:t>
      </w:r>
      <w:r w:rsidRPr="009A767D">
        <w:rPr>
          <w:rFonts w:cs="Traditional Arabic"/>
          <w:sz w:val="18"/>
          <w:szCs w:val="28"/>
          <w:rtl/>
          <w:lang w:val="fr-CH"/>
        </w:rPr>
        <w:t xml:space="preserve"> حتى </w:t>
      </w:r>
      <w:r w:rsidRPr="009A767D">
        <w:rPr>
          <w:rFonts w:cs="Traditional Arabic" w:hint="cs"/>
          <w:sz w:val="18"/>
          <w:szCs w:val="28"/>
          <w:rtl/>
          <w:lang w:val="fr-CH"/>
        </w:rPr>
        <w:t>31</w:t>
      </w:r>
      <w:r w:rsidRPr="009A767D">
        <w:rPr>
          <w:rFonts w:cs="Traditional Arabic"/>
          <w:sz w:val="18"/>
          <w:szCs w:val="28"/>
          <w:rtl/>
          <w:lang w:val="fr-CH"/>
        </w:rPr>
        <w:t xml:space="preserve"> </w:t>
      </w:r>
      <w:r w:rsidRPr="009A767D">
        <w:rPr>
          <w:rFonts w:cs="Traditional Arabic" w:hint="cs"/>
          <w:sz w:val="18"/>
          <w:szCs w:val="28"/>
          <w:rtl/>
          <w:lang w:val="fr-CH"/>
        </w:rPr>
        <w:t>أيار</w:t>
      </w:r>
      <w:r w:rsidRPr="009A767D">
        <w:rPr>
          <w:rFonts w:cs="Traditional Arabic"/>
          <w:sz w:val="18"/>
          <w:szCs w:val="28"/>
          <w:rtl/>
          <w:lang w:val="fr-CH"/>
        </w:rPr>
        <w:t>/</w:t>
      </w:r>
      <w:r w:rsidRPr="009A767D">
        <w:rPr>
          <w:rFonts w:cs="Traditional Arabic" w:hint="cs"/>
          <w:sz w:val="18"/>
          <w:szCs w:val="28"/>
          <w:rtl/>
          <w:lang w:val="fr-CH"/>
        </w:rPr>
        <w:t>مايو 2013</w:t>
      </w:r>
      <w:r w:rsidRPr="009A767D">
        <w:rPr>
          <w:rFonts w:cs="Traditional Arabic" w:hint="cs"/>
          <w:sz w:val="18"/>
          <w:szCs w:val="28"/>
          <w:rtl/>
          <w:lang w:val="fr-CH"/>
        </w:rPr>
        <w:tab/>
      </w:r>
      <w:r w:rsidRPr="009A767D">
        <w:rPr>
          <w:rFonts w:cs="Traditional Arabic" w:hint="cs"/>
          <w:sz w:val="18"/>
          <w:szCs w:val="28"/>
          <w:rtl/>
          <w:lang w:val="fr-CH"/>
        </w:rPr>
        <w:tab/>
      </w:r>
      <w:r w:rsidR="00E97F79">
        <w:rPr>
          <w:rFonts w:cs="Traditional Arabic" w:hint="cs"/>
          <w:sz w:val="18"/>
          <w:szCs w:val="28"/>
          <w:rtl/>
          <w:lang w:val="fr-CH"/>
        </w:rPr>
        <w:t>282</w:t>
      </w:r>
    </w:p>
    <w:p w:rsidR="009A767D" w:rsidRPr="009A767D" w:rsidRDefault="009A767D" w:rsidP="009A767D">
      <w:pPr>
        <w:tabs>
          <w:tab w:val="right" w:pos="1021"/>
          <w:tab w:val="left" w:pos="1077"/>
          <w:tab w:val="left" w:pos="1525"/>
          <w:tab w:val="left" w:pos="1842"/>
          <w:tab w:val="left" w:pos="2206"/>
          <w:tab w:val="left" w:pos="2681"/>
          <w:tab w:val="left" w:leader="dot" w:pos="8771"/>
          <w:tab w:val="right" w:pos="9638"/>
        </w:tabs>
        <w:bidi/>
        <w:spacing w:after="120" w:line="360" w:lineRule="exact"/>
        <w:ind w:left="1531" w:right="882" w:hanging="1531"/>
        <w:jc w:val="lowKashida"/>
        <w:rPr>
          <w:rFonts w:cs="Traditional Arabic" w:hint="cs"/>
          <w:sz w:val="18"/>
          <w:szCs w:val="28"/>
          <w:rtl/>
          <w:lang w:val="fr-CH"/>
        </w:rPr>
      </w:pPr>
      <w:r w:rsidRPr="009A767D">
        <w:rPr>
          <w:rFonts w:cs="Traditional Arabic" w:hint="cs"/>
          <w:sz w:val="18"/>
          <w:szCs w:val="28"/>
          <w:rtl/>
          <w:lang w:val="fr-CH"/>
        </w:rPr>
        <w:tab/>
      </w:r>
      <w:r w:rsidRPr="009A767D">
        <w:rPr>
          <w:rFonts w:cs="Traditional Arabic"/>
          <w:sz w:val="18"/>
          <w:szCs w:val="28"/>
          <w:rtl/>
          <w:lang w:val="fr-CH"/>
        </w:rPr>
        <w:t>الثاني</w:t>
      </w:r>
      <w:r w:rsidRPr="009A767D">
        <w:rPr>
          <w:rFonts w:cs="Traditional Arabic" w:hint="cs"/>
          <w:sz w:val="18"/>
          <w:szCs w:val="28"/>
          <w:rtl/>
          <w:lang w:val="fr-CH"/>
        </w:rPr>
        <w:tab/>
        <w:t>-</w:t>
      </w:r>
      <w:r w:rsidRPr="009A767D">
        <w:rPr>
          <w:rFonts w:cs="Traditional Arabic" w:hint="cs"/>
          <w:sz w:val="18"/>
          <w:szCs w:val="28"/>
          <w:rtl/>
          <w:lang w:val="fr-CH"/>
        </w:rPr>
        <w:tab/>
      </w:r>
      <w:r w:rsidRPr="009A767D">
        <w:rPr>
          <w:rFonts w:cs="Traditional Arabic"/>
          <w:sz w:val="18"/>
          <w:szCs w:val="28"/>
          <w:rtl/>
          <w:lang w:val="fr-CH"/>
        </w:rPr>
        <w:t>الدول الأطراف التي أعلنت أنها لا</w:t>
      </w:r>
      <w:r w:rsidRPr="009A767D">
        <w:rPr>
          <w:rFonts w:cs="Traditional Arabic" w:hint="cs"/>
          <w:sz w:val="18"/>
          <w:szCs w:val="28"/>
          <w:rtl/>
          <w:lang w:val="fr-CH"/>
        </w:rPr>
        <w:t> </w:t>
      </w:r>
      <w:r w:rsidRPr="009A767D">
        <w:rPr>
          <w:rFonts w:cs="Traditional Arabic"/>
          <w:sz w:val="18"/>
          <w:szCs w:val="28"/>
          <w:rtl/>
          <w:lang w:val="fr-CH"/>
        </w:rPr>
        <w:t>تعترف باختصاص اللجنة الذي تنص عليه المادة 20 من الاتفاقية، حتى</w:t>
      </w:r>
      <w:r w:rsidRPr="009A767D">
        <w:rPr>
          <w:rFonts w:cs="Traditional Arabic" w:hint="cs"/>
          <w:sz w:val="18"/>
          <w:szCs w:val="28"/>
          <w:rtl/>
          <w:lang w:val="fr-CH"/>
        </w:rPr>
        <w:t> 31</w:t>
      </w:r>
      <w:r w:rsidRPr="009A767D">
        <w:rPr>
          <w:rFonts w:cs="Traditional Arabic"/>
          <w:sz w:val="18"/>
          <w:szCs w:val="28"/>
          <w:rtl/>
          <w:lang w:val="fr-CH"/>
        </w:rPr>
        <w:t xml:space="preserve"> </w:t>
      </w:r>
      <w:r w:rsidRPr="009A767D">
        <w:rPr>
          <w:rFonts w:cs="Traditional Arabic" w:hint="cs"/>
          <w:sz w:val="18"/>
          <w:szCs w:val="28"/>
          <w:rtl/>
          <w:lang w:val="fr-CH"/>
        </w:rPr>
        <w:t>أيار/مايو 2013</w:t>
      </w:r>
      <w:r w:rsidRPr="009A767D">
        <w:rPr>
          <w:rFonts w:cs="Traditional Arabic" w:hint="cs"/>
          <w:sz w:val="18"/>
          <w:szCs w:val="28"/>
          <w:rtl/>
          <w:lang w:val="fr-CH"/>
        </w:rPr>
        <w:tab/>
      </w:r>
      <w:r w:rsidRPr="009A767D">
        <w:rPr>
          <w:rFonts w:cs="Traditional Arabic" w:hint="cs"/>
          <w:sz w:val="18"/>
          <w:szCs w:val="28"/>
          <w:rtl/>
          <w:lang w:val="fr-CH"/>
        </w:rPr>
        <w:tab/>
      </w:r>
      <w:r w:rsidR="00A97F91">
        <w:rPr>
          <w:rFonts w:cs="Traditional Arabic" w:hint="cs"/>
          <w:sz w:val="18"/>
          <w:szCs w:val="28"/>
          <w:rtl/>
          <w:lang w:val="fr-CH"/>
        </w:rPr>
        <w:t>289</w:t>
      </w:r>
    </w:p>
    <w:p w:rsidR="009A767D" w:rsidRPr="009A767D" w:rsidRDefault="009A767D" w:rsidP="00232971">
      <w:pPr>
        <w:tabs>
          <w:tab w:val="right" w:pos="1021"/>
          <w:tab w:val="left" w:pos="1077"/>
          <w:tab w:val="left" w:pos="1525"/>
          <w:tab w:val="left" w:pos="1842"/>
          <w:tab w:val="left" w:pos="2206"/>
          <w:tab w:val="left" w:pos="2681"/>
          <w:tab w:val="left" w:leader="dot" w:pos="8771"/>
          <w:tab w:val="right" w:pos="9638"/>
        </w:tabs>
        <w:bidi/>
        <w:spacing w:after="100" w:line="360" w:lineRule="exact"/>
        <w:ind w:left="1531" w:right="885" w:hanging="1531"/>
        <w:jc w:val="lowKashida"/>
        <w:rPr>
          <w:rFonts w:cs="Traditional Arabic" w:hint="cs"/>
          <w:sz w:val="18"/>
          <w:szCs w:val="28"/>
          <w:rtl/>
          <w:lang w:val="fr-CH"/>
        </w:rPr>
      </w:pPr>
      <w:r w:rsidRPr="009A767D">
        <w:rPr>
          <w:rFonts w:cs="Traditional Arabic" w:hint="cs"/>
          <w:sz w:val="18"/>
          <w:szCs w:val="28"/>
          <w:rtl/>
          <w:lang w:val="fr-CH"/>
        </w:rPr>
        <w:tab/>
      </w:r>
      <w:r w:rsidRPr="009A767D">
        <w:rPr>
          <w:rFonts w:cs="Traditional Arabic"/>
          <w:sz w:val="18"/>
          <w:szCs w:val="28"/>
          <w:rtl/>
          <w:lang w:val="fr-CH"/>
        </w:rPr>
        <w:t>الثالث</w:t>
      </w:r>
      <w:r w:rsidRPr="009A767D">
        <w:rPr>
          <w:rFonts w:cs="Traditional Arabic" w:hint="cs"/>
          <w:sz w:val="18"/>
          <w:szCs w:val="28"/>
          <w:rtl/>
          <w:lang w:val="fr-CH"/>
        </w:rPr>
        <w:tab/>
        <w:t>-</w:t>
      </w:r>
      <w:r w:rsidRPr="009A767D">
        <w:rPr>
          <w:rFonts w:cs="Traditional Arabic" w:hint="cs"/>
          <w:sz w:val="18"/>
          <w:szCs w:val="28"/>
          <w:rtl/>
          <w:lang w:val="fr-CH"/>
        </w:rPr>
        <w:tab/>
      </w:r>
      <w:r w:rsidRPr="009A767D">
        <w:rPr>
          <w:rFonts w:cs="Traditional Arabic"/>
          <w:sz w:val="18"/>
          <w:szCs w:val="28"/>
          <w:rtl/>
          <w:lang w:val="fr-CH"/>
        </w:rPr>
        <w:t>الدول الأطراف التي أصدرت الإعلانين المنصوص عليهما في المادتين</w:t>
      </w:r>
      <w:r w:rsidRPr="009A767D">
        <w:rPr>
          <w:rFonts w:cs="Traditional Arabic" w:hint="cs"/>
          <w:sz w:val="18"/>
          <w:szCs w:val="28"/>
          <w:rtl/>
          <w:lang w:val="fr-CH"/>
        </w:rPr>
        <w:t xml:space="preserve"> </w:t>
      </w:r>
      <w:r w:rsidRPr="009A767D">
        <w:rPr>
          <w:rFonts w:cs="Traditional Arabic"/>
          <w:sz w:val="18"/>
          <w:szCs w:val="28"/>
          <w:rtl/>
          <w:lang w:val="fr-CH"/>
        </w:rPr>
        <w:t>21 و22 من الاتفاقية، حتى</w:t>
      </w:r>
      <w:r w:rsidR="00232971">
        <w:rPr>
          <w:rFonts w:cs="Traditional Arabic" w:hint="cs"/>
          <w:sz w:val="18"/>
          <w:szCs w:val="28"/>
          <w:rtl/>
          <w:lang w:val="fr-CH"/>
        </w:rPr>
        <w:t> </w:t>
      </w:r>
      <w:r w:rsidRPr="009A767D">
        <w:rPr>
          <w:rFonts w:cs="Traditional Arabic" w:hint="cs"/>
          <w:sz w:val="18"/>
          <w:szCs w:val="28"/>
          <w:rtl/>
          <w:lang w:val="fr-CH"/>
        </w:rPr>
        <w:t>31</w:t>
      </w:r>
      <w:r w:rsidRPr="009A767D">
        <w:rPr>
          <w:rFonts w:cs="Traditional Arabic"/>
          <w:sz w:val="18"/>
          <w:szCs w:val="28"/>
          <w:rtl/>
          <w:lang w:val="fr-CH"/>
        </w:rPr>
        <w:t xml:space="preserve"> </w:t>
      </w:r>
      <w:r w:rsidRPr="009A767D">
        <w:rPr>
          <w:rFonts w:cs="Traditional Arabic" w:hint="cs"/>
          <w:sz w:val="18"/>
          <w:szCs w:val="28"/>
          <w:rtl/>
          <w:lang w:val="fr-CH"/>
        </w:rPr>
        <w:t>أيار</w:t>
      </w:r>
      <w:r w:rsidRPr="009A767D">
        <w:rPr>
          <w:rFonts w:cs="Traditional Arabic"/>
          <w:sz w:val="18"/>
          <w:szCs w:val="28"/>
          <w:rtl/>
          <w:lang w:val="fr-CH"/>
        </w:rPr>
        <w:t>/</w:t>
      </w:r>
      <w:r w:rsidRPr="009A767D">
        <w:rPr>
          <w:rFonts w:cs="Traditional Arabic" w:hint="cs"/>
          <w:sz w:val="18"/>
          <w:szCs w:val="28"/>
          <w:rtl/>
          <w:lang w:val="fr-CH"/>
        </w:rPr>
        <w:t>مايو</w:t>
      </w:r>
      <w:r w:rsidRPr="009A767D">
        <w:rPr>
          <w:rFonts w:cs="Traditional Arabic"/>
          <w:sz w:val="18"/>
          <w:szCs w:val="28"/>
          <w:rtl/>
          <w:lang w:val="fr-CH"/>
        </w:rPr>
        <w:t xml:space="preserve"> 201</w:t>
      </w:r>
      <w:r w:rsidRPr="009A767D">
        <w:rPr>
          <w:rFonts w:cs="Traditional Arabic" w:hint="cs"/>
          <w:sz w:val="18"/>
          <w:szCs w:val="28"/>
          <w:rtl/>
          <w:lang w:val="fr-CH"/>
        </w:rPr>
        <w:t>3</w:t>
      </w:r>
      <w:r w:rsidRPr="009A767D">
        <w:rPr>
          <w:rFonts w:cs="Traditional Arabic" w:hint="cs"/>
          <w:sz w:val="18"/>
          <w:szCs w:val="28"/>
          <w:rtl/>
          <w:lang w:val="fr-CH"/>
        </w:rPr>
        <w:tab/>
      </w:r>
      <w:r w:rsidRPr="009A767D">
        <w:rPr>
          <w:rFonts w:cs="Traditional Arabic" w:hint="cs"/>
          <w:sz w:val="18"/>
          <w:szCs w:val="28"/>
          <w:rtl/>
          <w:lang w:val="fr-CH"/>
        </w:rPr>
        <w:tab/>
      </w:r>
      <w:r w:rsidR="00A97F91">
        <w:rPr>
          <w:rFonts w:cs="Traditional Arabic" w:hint="cs"/>
          <w:sz w:val="18"/>
          <w:szCs w:val="28"/>
          <w:rtl/>
          <w:lang w:val="fr-CH"/>
        </w:rPr>
        <w:t>290</w:t>
      </w:r>
    </w:p>
    <w:p w:rsidR="009A767D" w:rsidRPr="009A767D" w:rsidRDefault="009A767D" w:rsidP="00754543">
      <w:pPr>
        <w:tabs>
          <w:tab w:val="right" w:pos="1021"/>
          <w:tab w:val="left" w:pos="1077"/>
          <w:tab w:val="left" w:pos="1525"/>
          <w:tab w:val="left" w:pos="1842"/>
          <w:tab w:val="left" w:pos="2206"/>
          <w:tab w:val="left" w:pos="2681"/>
          <w:tab w:val="left" w:leader="dot" w:pos="8771"/>
          <w:tab w:val="right" w:pos="9638"/>
        </w:tabs>
        <w:bidi/>
        <w:spacing w:after="100" w:line="360" w:lineRule="exact"/>
        <w:ind w:left="1531" w:right="885" w:hanging="1531"/>
        <w:jc w:val="lowKashida"/>
        <w:rPr>
          <w:rFonts w:cs="Traditional Arabic" w:hint="cs"/>
          <w:sz w:val="18"/>
          <w:szCs w:val="28"/>
          <w:rtl/>
          <w:lang w:val="fr-CH"/>
        </w:rPr>
      </w:pPr>
      <w:r>
        <w:rPr>
          <w:rFonts w:cs="Traditional Arabic" w:hint="cs"/>
          <w:sz w:val="18"/>
          <w:szCs w:val="28"/>
          <w:rtl/>
          <w:lang w:val="fr-CH"/>
        </w:rPr>
        <w:tab/>
      </w:r>
      <w:r w:rsidRPr="009A767D">
        <w:rPr>
          <w:rFonts w:cs="Traditional Arabic"/>
          <w:sz w:val="18"/>
          <w:szCs w:val="28"/>
          <w:rtl/>
          <w:lang w:val="fr-CH"/>
        </w:rPr>
        <w:t>الرابع</w:t>
      </w:r>
      <w:r>
        <w:rPr>
          <w:rFonts w:cs="Traditional Arabic" w:hint="cs"/>
          <w:sz w:val="18"/>
          <w:szCs w:val="28"/>
          <w:rtl/>
          <w:lang w:val="fr-CH"/>
        </w:rPr>
        <w:tab/>
        <w:t>-</w:t>
      </w:r>
      <w:r>
        <w:rPr>
          <w:rFonts w:cs="Traditional Arabic" w:hint="cs"/>
          <w:sz w:val="18"/>
          <w:szCs w:val="28"/>
          <w:rtl/>
          <w:lang w:val="fr-CH"/>
        </w:rPr>
        <w:tab/>
      </w:r>
      <w:r w:rsidRPr="009A767D">
        <w:rPr>
          <w:rFonts w:cs="Traditional Arabic"/>
          <w:sz w:val="18"/>
          <w:szCs w:val="28"/>
          <w:rtl/>
          <w:lang w:val="fr-CH"/>
        </w:rPr>
        <w:t xml:space="preserve">أعضاء لجنة مناهضة التعذيب في عام </w:t>
      </w:r>
      <w:r w:rsidR="00754543">
        <w:rPr>
          <w:rFonts w:cs="Traditional Arabic" w:hint="cs"/>
          <w:sz w:val="18"/>
          <w:szCs w:val="28"/>
          <w:rtl/>
          <w:lang w:val="fr-CH"/>
        </w:rPr>
        <w:t>2013</w:t>
      </w:r>
      <w:r>
        <w:rPr>
          <w:rFonts w:cs="Traditional Arabic" w:hint="cs"/>
          <w:sz w:val="18"/>
          <w:szCs w:val="28"/>
          <w:rtl/>
          <w:lang w:val="fr-CH"/>
        </w:rPr>
        <w:tab/>
      </w:r>
      <w:r>
        <w:rPr>
          <w:rFonts w:cs="Traditional Arabic" w:hint="cs"/>
          <w:sz w:val="18"/>
          <w:szCs w:val="28"/>
          <w:rtl/>
          <w:lang w:val="fr-CH"/>
        </w:rPr>
        <w:tab/>
      </w:r>
      <w:r w:rsidR="00A97F91">
        <w:rPr>
          <w:rFonts w:cs="Traditional Arabic" w:hint="cs"/>
          <w:sz w:val="18"/>
          <w:szCs w:val="28"/>
          <w:rtl/>
          <w:lang w:val="fr-CH"/>
        </w:rPr>
        <w:t>293</w:t>
      </w:r>
    </w:p>
    <w:p w:rsidR="009A767D" w:rsidRPr="009A767D" w:rsidRDefault="009A767D" w:rsidP="00883037">
      <w:pPr>
        <w:tabs>
          <w:tab w:val="right" w:pos="1021"/>
          <w:tab w:val="left" w:pos="1077"/>
          <w:tab w:val="left" w:pos="1525"/>
          <w:tab w:val="left" w:pos="1842"/>
          <w:tab w:val="left" w:pos="2206"/>
          <w:tab w:val="left" w:pos="2681"/>
          <w:tab w:val="left" w:leader="dot" w:pos="8771"/>
          <w:tab w:val="right" w:pos="9638"/>
        </w:tabs>
        <w:bidi/>
        <w:spacing w:after="100" w:line="360" w:lineRule="exact"/>
        <w:ind w:left="1531" w:right="885" w:hanging="1531"/>
        <w:jc w:val="lowKashida"/>
        <w:rPr>
          <w:rFonts w:cs="Traditional Arabic" w:hint="cs"/>
          <w:sz w:val="18"/>
          <w:szCs w:val="28"/>
          <w:rtl/>
          <w:lang w:val="fr-CH"/>
        </w:rPr>
      </w:pPr>
      <w:r>
        <w:rPr>
          <w:rFonts w:cs="Traditional Arabic" w:hint="cs"/>
          <w:sz w:val="18"/>
          <w:szCs w:val="28"/>
          <w:rtl/>
          <w:lang w:val="fr-CH"/>
        </w:rPr>
        <w:tab/>
      </w:r>
      <w:r w:rsidRPr="009A767D">
        <w:rPr>
          <w:rFonts w:cs="Traditional Arabic"/>
          <w:sz w:val="18"/>
          <w:szCs w:val="28"/>
          <w:rtl/>
          <w:lang w:val="fr-CH"/>
        </w:rPr>
        <w:t>الخامس</w:t>
      </w:r>
      <w:r>
        <w:rPr>
          <w:rFonts w:cs="Traditional Arabic" w:hint="cs"/>
          <w:sz w:val="18"/>
          <w:szCs w:val="28"/>
          <w:rtl/>
          <w:lang w:val="fr-CH"/>
        </w:rPr>
        <w:tab/>
        <w:t>-</w:t>
      </w:r>
      <w:r>
        <w:rPr>
          <w:rFonts w:cs="Traditional Arabic" w:hint="cs"/>
          <w:sz w:val="18"/>
          <w:szCs w:val="28"/>
          <w:rtl/>
          <w:lang w:val="fr-CH"/>
        </w:rPr>
        <w:tab/>
      </w:r>
      <w:r w:rsidRPr="009A767D">
        <w:rPr>
          <w:rFonts w:cs="Traditional Arabic"/>
          <w:sz w:val="18"/>
          <w:szCs w:val="28"/>
          <w:rtl/>
          <w:lang w:val="fr-CH"/>
        </w:rPr>
        <w:t>الدول الأطراف التي وقّعت على البروتوكول الاختياري لاتفاقية مناهضة التعذيب وغيره من ضروب</w:t>
      </w:r>
      <w:r>
        <w:rPr>
          <w:rFonts w:cs="Traditional Arabic" w:hint="cs"/>
          <w:sz w:val="18"/>
          <w:szCs w:val="28"/>
          <w:rtl/>
          <w:lang w:val="fr-CH"/>
        </w:rPr>
        <w:t> </w:t>
      </w:r>
      <w:r w:rsidRPr="009A767D">
        <w:rPr>
          <w:rFonts w:cs="Traditional Arabic"/>
          <w:sz w:val="18"/>
          <w:szCs w:val="28"/>
          <w:rtl/>
          <w:lang w:val="fr-CH"/>
        </w:rPr>
        <w:t>المعاملة أو العقوبة القاسية أو</w:t>
      </w:r>
      <w:r w:rsidRPr="009A767D">
        <w:rPr>
          <w:rFonts w:cs="Traditional Arabic" w:hint="cs"/>
          <w:sz w:val="18"/>
          <w:szCs w:val="28"/>
          <w:rtl/>
          <w:lang w:val="fr-CH"/>
        </w:rPr>
        <w:t> </w:t>
      </w:r>
      <w:r w:rsidRPr="009A767D">
        <w:rPr>
          <w:rFonts w:cs="Traditional Arabic"/>
          <w:sz w:val="18"/>
          <w:szCs w:val="28"/>
          <w:rtl/>
          <w:lang w:val="fr-CH"/>
        </w:rPr>
        <w:t>اللاإنسانية أو المهينة، أو صدقت عليه أو انضمت إليه</w:t>
      </w:r>
      <w:r w:rsidR="00232971">
        <w:rPr>
          <w:rFonts w:cs="Traditional Arabic" w:hint="cs"/>
          <w:sz w:val="18"/>
          <w:szCs w:val="28"/>
          <w:rtl/>
          <w:lang w:val="fr-CH"/>
        </w:rPr>
        <w:t>،</w:t>
      </w:r>
      <w:r w:rsidRPr="009A767D">
        <w:rPr>
          <w:rFonts w:cs="Traditional Arabic"/>
          <w:sz w:val="18"/>
          <w:szCs w:val="28"/>
          <w:rtl/>
          <w:lang w:val="fr-CH"/>
        </w:rPr>
        <w:t xml:space="preserve"> حتى </w:t>
      </w:r>
      <w:r w:rsidRPr="009A767D">
        <w:rPr>
          <w:rFonts w:cs="Traditional Arabic" w:hint="cs"/>
          <w:sz w:val="18"/>
          <w:szCs w:val="28"/>
          <w:rtl/>
          <w:lang w:val="fr-CH"/>
        </w:rPr>
        <w:t>31</w:t>
      </w:r>
      <w:r w:rsidRPr="009A767D">
        <w:rPr>
          <w:rFonts w:cs="Traditional Arabic"/>
          <w:sz w:val="18"/>
          <w:szCs w:val="28"/>
          <w:rtl/>
          <w:lang w:val="fr-CH"/>
        </w:rPr>
        <w:t xml:space="preserve"> </w:t>
      </w:r>
      <w:r w:rsidRPr="009A767D">
        <w:rPr>
          <w:rFonts w:cs="Traditional Arabic" w:hint="cs"/>
          <w:sz w:val="18"/>
          <w:szCs w:val="28"/>
          <w:rtl/>
          <w:lang w:val="fr-CH"/>
        </w:rPr>
        <w:t>أيار</w:t>
      </w:r>
      <w:r w:rsidRPr="009A767D">
        <w:rPr>
          <w:rFonts w:cs="Traditional Arabic"/>
          <w:sz w:val="18"/>
          <w:szCs w:val="28"/>
          <w:rtl/>
          <w:lang w:val="fr-CH"/>
        </w:rPr>
        <w:t>/</w:t>
      </w:r>
      <w:r w:rsidRPr="009A767D">
        <w:rPr>
          <w:rFonts w:cs="Traditional Arabic" w:hint="cs"/>
          <w:sz w:val="18"/>
          <w:szCs w:val="28"/>
          <w:rtl/>
          <w:lang w:val="fr-CH"/>
        </w:rPr>
        <w:t>مايو</w:t>
      </w:r>
      <w:r w:rsidRPr="009A767D">
        <w:rPr>
          <w:rFonts w:cs="Traditional Arabic"/>
          <w:sz w:val="18"/>
          <w:szCs w:val="28"/>
          <w:rtl/>
          <w:lang w:val="fr-CH"/>
        </w:rPr>
        <w:t xml:space="preserve"> 201</w:t>
      </w:r>
      <w:r w:rsidRPr="009A767D">
        <w:rPr>
          <w:rFonts w:cs="Traditional Arabic" w:hint="cs"/>
          <w:sz w:val="18"/>
          <w:szCs w:val="28"/>
          <w:rtl/>
          <w:lang w:val="fr-CH"/>
        </w:rPr>
        <w:t>3</w:t>
      </w:r>
      <w:r>
        <w:rPr>
          <w:rFonts w:cs="Traditional Arabic" w:hint="cs"/>
          <w:sz w:val="18"/>
          <w:szCs w:val="28"/>
          <w:rtl/>
          <w:lang w:val="fr-CH"/>
        </w:rPr>
        <w:tab/>
      </w:r>
      <w:r>
        <w:rPr>
          <w:rFonts w:cs="Traditional Arabic" w:hint="cs"/>
          <w:sz w:val="18"/>
          <w:szCs w:val="28"/>
          <w:rtl/>
          <w:lang w:val="fr-CH"/>
        </w:rPr>
        <w:tab/>
      </w:r>
      <w:r w:rsidR="00A97F91">
        <w:rPr>
          <w:rFonts w:cs="Traditional Arabic" w:hint="cs"/>
          <w:sz w:val="18"/>
          <w:szCs w:val="28"/>
          <w:rtl/>
          <w:lang w:val="fr-CH"/>
        </w:rPr>
        <w:t>294</w:t>
      </w:r>
    </w:p>
    <w:p w:rsidR="009A767D" w:rsidRPr="009A767D" w:rsidRDefault="009A767D" w:rsidP="00883037">
      <w:pPr>
        <w:tabs>
          <w:tab w:val="right" w:pos="1021"/>
          <w:tab w:val="left" w:pos="1077"/>
          <w:tab w:val="left" w:pos="1525"/>
          <w:tab w:val="left" w:pos="1842"/>
          <w:tab w:val="left" w:pos="2206"/>
          <w:tab w:val="left" w:pos="2681"/>
          <w:tab w:val="left" w:leader="dot" w:pos="8771"/>
          <w:tab w:val="right" w:pos="9638"/>
        </w:tabs>
        <w:bidi/>
        <w:spacing w:after="100" w:line="360" w:lineRule="exact"/>
        <w:ind w:left="1531" w:right="885" w:hanging="1531"/>
        <w:jc w:val="lowKashida"/>
        <w:rPr>
          <w:rFonts w:cs="Traditional Arabic" w:hint="cs"/>
          <w:sz w:val="18"/>
          <w:szCs w:val="28"/>
          <w:rtl/>
          <w:lang w:val="fr-CH"/>
        </w:rPr>
      </w:pPr>
      <w:r>
        <w:rPr>
          <w:rFonts w:cs="Traditional Arabic" w:hint="cs"/>
          <w:sz w:val="18"/>
          <w:szCs w:val="28"/>
          <w:rtl/>
          <w:lang w:val="fr-CH"/>
        </w:rPr>
        <w:tab/>
      </w:r>
      <w:r w:rsidRPr="009A767D">
        <w:rPr>
          <w:rFonts w:cs="Traditional Arabic"/>
          <w:sz w:val="18"/>
          <w:szCs w:val="28"/>
          <w:rtl/>
          <w:lang w:val="fr-CH"/>
        </w:rPr>
        <w:t>السادس</w:t>
      </w:r>
      <w:r>
        <w:rPr>
          <w:rFonts w:cs="Traditional Arabic" w:hint="cs"/>
          <w:sz w:val="18"/>
          <w:szCs w:val="28"/>
          <w:rtl/>
          <w:lang w:val="fr-CH"/>
        </w:rPr>
        <w:tab/>
        <w:t>-</w:t>
      </w:r>
      <w:r>
        <w:rPr>
          <w:rFonts w:cs="Traditional Arabic" w:hint="cs"/>
          <w:sz w:val="18"/>
          <w:szCs w:val="28"/>
          <w:rtl/>
          <w:lang w:val="fr-CH"/>
        </w:rPr>
        <w:tab/>
      </w:r>
      <w:r w:rsidRPr="009A767D">
        <w:rPr>
          <w:rFonts w:cs="Traditional Arabic"/>
          <w:sz w:val="18"/>
          <w:szCs w:val="28"/>
          <w:rtl/>
          <w:lang w:val="fr-CH"/>
        </w:rPr>
        <w:t>أعضاء اللجنة الفرعية لمنع التعذيب وغيره من ضروب المعاملة أو</w:t>
      </w:r>
      <w:r w:rsidRPr="009A767D">
        <w:rPr>
          <w:rFonts w:cs="Traditional Arabic" w:hint="cs"/>
          <w:sz w:val="18"/>
          <w:szCs w:val="28"/>
          <w:rtl/>
          <w:lang w:val="fr-CH"/>
        </w:rPr>
        <w:t> </w:t>
      </w:r>
      <w:r w:rsidRPr="009A767D">
        <w:rPr>
          <w:rFonts w:cs="Traditional Arabic"/>
          <w:sz w:val="18"/>
          <w:szCs w:val="28"/>
          <w:rtl/>
          <w:lang w:val="fr-CH"/>
        </w:rPr>
        <w:t>العقوبة القاسية أو اللاإنسانية أو</w:t>
      </w:r>
      <w:r>
        <w:rPr>
          <w:rFonts w:cs="Traditional Arabic" w:hint="cs"/>
          <w:sz w:val="18"/>
          <w:szCs w:val="28"/>
          <w:rtl/>
          <w:lang w:val="fr-CH"/>
        </w:rPr>
        <w:t> </w:t>
      </w:r>
      <w:r w:rsidRPr="009A767D">
        <w:rPr>
          <w:rFonts w:cs="Traditional Arabic"/>
          <w:sz w:val="18"/>
          <w:szCs w:val="28"/>
          <w:rtl/>
          <w:lang w:val="fr-CH"/>
        </w:rPr>
        <w:t xml:space="preserve">المهينة في عام </w:t>
      </w:r>
      <w:r w:rsidRPr="009A767D">
        <w:rPr>
          <w:rFonts w:cs="Traditional Arabic" w:hint="cs"/>
          <w:sz w:val="18"/>
          <w:szCs w:val="28"/>
          <w:rtl/>
          <w:lang w:val="fr-CH"/>
        </w:rPr>
        <w:t>2013</w:t>
      </w:r>
      <w:r>
        <w:rPr>
          <w:rFonts w:cs="Traditional Arabic" w:hint="cs"/>
          <w:sz w:val="18"/>
          <w:szCs w:val="28"/>
          <w:rtl/>
          <w:lang w:val="fr-CH"/>
        </w:rPr>
        <w:tab/>
      </w:r>
      <w:r>
        <w:rPr>
          <w:rFonts w:cs="Traditional Arabic" w:hint="cs"/>
          <w:sz w:val="18"/>
          <w:szCs w:val="28"/>
          <w:rtl/>
          <w:lang w:val="fr-CH"/>
        </w:rPr>
        <w:tab/>
      </w:r>
      <w:r w:rsidR="00A97F91">
        <w:rPr>
          <w:rFonts w:cs="Traditional Arabic" w:hint="cs"/>
          <w:sz w:val="18"/>
          <w:szCs w:val="28"/>
          <w:rtl/>
          <w:lang w:val="fr-CH"/>
        </w:rPr>
        <w:t>298</w:t>
      </w:r>
    </w:p>
    <w:p w:rsidR="008861AE" w:rsidRPr="009A767D" w:rsidRDefault="008861AE" w:rsidP="00883037">
      <w:pPr>
        <w:tabs>
          <w:tab w:val="right" w:pos="1021"/>
          <w:tab w:val="left" w:pos="1077"/>
          <w:tab w:val="left" w:pos="1525"/>
          <w:tab w:val="left" w:pos="1842"/>
          <w:tab w:val="left" w:pos="2206"/>
          <w:tab w:val="left" w:pos="2681"/>
          <w:tab w:val="left" w:leader="dot" w:pos="8771"/>
          <w:tab w:val="right" w:pos="9638"/>
        </w:tabs>
        <w:bidi/>
        <w:spacing w:after="100" w:line="360" w:lineRule="exact"/>
        <w:ind w:left="1531" w:right="885" w:hanging="1531"/>
        <w:jc w:val="lowKashida"/>
        <w:rPr>
          <w:rFonts w:cs="Traditional Arabic" w:hint="cs"/>
          <w:sz w:val="18"/>
          <w:szCs w:val="28"/>
          <w:rtl/>
          <w:lang w:val="fr-CH"/>
        </w:rPr>
      </w:pPr>
      <w:r w:rsidRPr="009A767D">
        <w:rPr>
          <w:rFonts w:cs="Traditional Arabic" w:hint="cs"/>
          <w:b/>
          <w:bCs/>
          <w:sz w:val="18"/>
          <w:szCs w:val="28"/>
          <w:rtl/>
          <w:lang w:val="fr-CH"/>
        </w:rPr>
        <w:tab/>
      </w:r>
      <w:r w:rsidRPr="009A767D">
        <w:rPr>
          <w:rFonts w:cs="Traditional Arabic"/>
          <w:sz w:val="18"/>
          <w:szCs w:val="28"/>
          <w:rtl/>
          <w:lang w:val="fr-CH"/>
        </w:rPr>
        <w:t>السابع</w:t>
      </w:r>
      <w:r w:rsidRPr="009A767D">
        <w:rPr>
          <w:rFonts w:cs="Traditional Arabic" w:hint="cs"/>
          <w:b/>
          <w:bCs/>
          <w:sz w:val="18"/>
          <w:szCs w:val="28"/>
          <w:rtl/>
          <w:lang w:val="fr-CH"/>
        </w:rPr>
        <w:tab/>
        <w:t>-</w:t>
      </w:r>
      <w:r w:rsidRPr="009A767D">
        <w:rPr>
          <w:rFonts w:cs="Traditional Arabic" w:hint="cs"/>
          <w:b/>
          <w:bCs/>
          <w:sz w:val="18"/>
          <w:szCs w:val="28"/>
          <w:rtl/>
          <w:lang w:val="fr-CH"/>
        </w:rPr>
        <w:tab/>
      </w:r>
      <w:r w:rsidRPr="009A767D">
        <w:rPr>
          <w:rFonts w:cs="Traditional Arabic"/>
          <w:sz w:val="18"/>
          <w:szCs w:val="28"/>
          <w:rtl/>
          <w:lang w:val="fr-CH"/>
        </w:rPr>
        <w:t>التقرير السنوي ال</w:t>
      </w:r>
      <w:r w:rsidRPr="009A767D">
        <w:rPr>
          <w:rFonts w:cs="Traditional Arabic" w:hint="cs"/>
          <w:sz w:val="18"/>
          <w:szCs w:val="28"/>
          <w:rtl/>
          <w:lang w:val="fr-CH"/>
        </w:rPr>
        <w:t>سادس</w:t>
      </w:r>
      <w:r w:rsidRPr="009A767D">
        <w:rPr>
          <w:rFonts w:cs="Traditional Arabic"/>
          <w:sz w:val="18"/>
          <w:szCs w:val="28"/>
          <w:rtl/>
          <w:lang w:val="fr-CH"/>
        </w:rPr>
        <w:t xml:space="preserve"> للجنة الفرعية لمنع التعذيب وغيره من ضروب المعاملة أو العقوبة القاسية أو</w:t>
      </w:r>
      <w:r w:rsidRPr="009A767D">
        <w:rPr>
          <w:rFonts w:cs="Traditional Arabic" w:hint="cs"/>
          <w:sz w:val="18"/>
          <w:szCs w:val="28"/>
          <w:rtl/>
          <w:lang w:val="fr-CH"/>
        </w:rPr>
        <w:t> </w:t>
      </w:r>
      <w:r w:rsidRPr="009A767D">
        <w:rPr>
          <w:rFonts w:cs="Traditional Arabic"/>
          <w:sz w:val="18"/>
          <w:szCs w:val="28"/>
          <w:rtl/>
          <w:lang w:val="fr-CH"/>
        </w:rPr>
        <w:t xml:space="preserve">اللاإنسانية أو المهينة (كانون الثاني/يناير </w:t>
      </w:r>
      <w:r w:rsidRPr="009A767D">
        <w:rPr>
          <w:rFonts w:cs="Traditional Arabic" w:hint="cs"/>
          <w:sz w:val="18"/>
          <w:szCs w:val="28"/>
          <w:rtl/>
          <w:lang w:val="fr-CH"/>
        </w:rPr>
        <w:t>-</w:t>
      </w:r>
      <w:r w:rsidRPr="009A767D">
        <w:rPr>
          <w:rFonts w:cs="Traditional Arabic"/>
          <w:sz w:val="18"/>
          <w:szCs w:val="28"/>
          <w:rtl/>
          <w:lang w:val="fr-CH"/>
        </w:rPr>
        <w:t xml:space="preserve"> كانون الأول/ديسمبر 201</w:t>
      </w:r>
      <w:r w:rsidRPr="009A767D">
        <w:rPr>
          <w:rFonts w:cs="Traditional Arabic" w:hint="cs"/>
          <w:sz w:val="18"/>
          <w:szCs w:val="28"/>
          <w:rtl/>
          <w:lang w:val="fr-CH"/>
        </w:rPr>
        <w:t>2</w:t>
      </w:r>
      <w:r w:rsidRPr="009A767D">
        <w:rPr>
          <w:rFonts w:cs="Traditional Arabic"/>
          <w:sz w:val="18"/>
          <w:szCs w:val="28"/>
          <w:rtl/>
          <w:lang w:val="fr-CH"/>
        </w:rPr>
        <w:t>)</w:t>
      </w:r>
      <w:r w:rsidRPr="009A767D">
        <w:rPr>
          <w:rFonts w:cs="Traditional Arabic" w:hint="cs"/>
          <w:sz w:val="18"/>
          <w:szCs w:val="28"/>
          <w:rtl/>
          <w:lang w:val="fr-CH"/>
        </w:rPr>
        <w:tab/>
      </w:r>
      <w:r w:rsidRPr="009A767D">
        <w:rPr>
          <w:rFonts w:cs="Traditional Arabic" w:hint="cs"/>
          <w:sz w:val="18"/>
          <w:szCs w:val="28"/>
          <w:rtl/>
          <w:lang w:val="fr-CH"/>
        </w:rPr>
        <w:tab/>
      </w:r>
      <w:r w:rsidR="00A97F91">
        <w:rPr>
          <w:rFonts w:cs="Traditional Arabic" w:hint="cs"/>
          <w:sz w:val="18"/>
          <w:szCs w:val="28"/>
          <w:rtl/>
          <w:lang w:val="fr-CH"/>
        </w:rPr>
        <w:t>300</w:t>
      </w:r>
    </w:p>
    <w:p w:rsidR="008861AE" w:rsidRPr="009A767D" w:rsidRDefault="008861AE" w:rsidP="00883037">
      <w:pPr>
        <w:tabs>
          <w:tab w:val="right" w:pos="1021"/>
          <w:tab w:val="left" w:pos="1077"/>
          <w:tab w:val="left" w:pos="1525"/>
          <w:tab w:val="left" w:pos="1842"/>
          <w:tab w:val="left" w:pos="2206"/>
          <w:tab w:val="left" w:pos="2681"/>
          <w:tab w:val="left" w:leader="dot" w:pos="8771"/>
          <w:tab w:val="right" w:pos="9638"/>
        </w:tabs>
        <w:bidi/>
        <w:spacing w:after="100" w:line="360" w:lineRule="exact"/>
        <w:ind w:left="1531" w:right="885" w:hanging="1531"/>
        <w:jc w:val="lowKashida"/>
        <w:rPr>
          <w:rFonts w:cs="Traditional Arabic" w:hint="cs"/>
          <w:sz w:val="18"/>
          <w:szCs w:val="28"/>
          <w:rtl/>
          <w:lang w:val="fr-CH"/>
        </w:rPr>
      </w:pPr>
      <w:r w:rsidRPr="00232971">
        <w:rPr>
          <w:rFonts w:cs="Traditional Arabic" w:hint="cs"/>
          <w:spacing w:val="-4"/>
          <w:sz w:val="18"/>
          <w:szCs w:val="28"/>
          <w:rtl/>
          <w:lang w:val="fr-CH"/>
        </w:rPr>
        <w:tab/>
        <w:t>الثامن</w:t>
      </w:r>
      <w:r w:rsidRPr="00232971">
        <w:rPr>
          <w:rFonts w:cs="Traditional Arabic" w:hint="cs"/>
          <w:spacing w:val="-4"/>
          <w:sz w:val="18"/>
          <w:szCs w:val="28"/>
          <w:rtl/>
          <w:lang w:val="fr-CH"/>
        </w:rPr>
        <w:tab/>
        <w:t>-</w:t>
      </w:r>
      <w:r w:rsidRPr="00232971">
        <w:rPr>
          <w:rFonts w:cs="Traditional Arabic" w:hint="cs"/>
          <w:spacing w:val="-4"/>
          <w:sz w:val="18"/>
          <w:szCs w:val="28"/>
          <w:rtl/>
          <w:lang w:val="fr-CH"/>
        </w:rPr>
        <w:tab/>
        <w:t xml:space="preserve">قرار لجنة مناهضة التعذيب الذي اعتمدته في دورتها التاسعة والأربعين (29 تشرين الأول/أكتوبر - 23 </w:t>
      </w:r>
      <w:r w:rsidRPr="009A767D">
        <w:rPr>
          <w:rFonts w:cs="Traditional Arabic" w:hint="cs"/>
          <w:sz w:val="18"/>
          <w:szCs w:val="28"/>
          <w:rtl/>
          <w:lang w:val="fr-CH"/>
        </w:rPr>
        <w:t>تشرين الثاني/نوفمبر 2012) بشأن الطلب المقدم من رومانيا بموجب الفقرة 2 من المادة 24 من البروتوكول الاختياري لاتفاقية مناهضة التعذيب وغيره من ضروب المعاملة أو العقوبة القاسية أو</w:t>
      </w:r>
      <w:r w:rsidRPr="009A767D">
        <w:rPr>
          <w:rFonts w:cs="Traditional Arabic" w:hint="eastAsia"/>
          <w:sz w:val="18"/>
          <w:szCs w:val="28"/>
          <w:rtl/>
          <w:lang w:val="fr-CH"/>
        </w:rPr>
        <w:t> </w:t>
      </w:r>
      <w:r w:rsidRPr="009A767D">
        <w:rPr>
          <w:rFonts w:cs="Traditional Arabic" w:hint="cs"/>
          <w:sz w:val="18"/>
          <w:szCs w:val="28"/>
          <w:rtl/>
          <w:lang w:val="fr-CH"/>
        </w:rPr>
        <w:t>اللاإنسانية أو المهينة</w:t>
      </w:r>
      <w:r w:rsidRPr="009A767D">
        <w:rPr>
          <w:rFonts w:cs="Traditional Arabic" w:hint="cs"/>
          <w:sz w:val="18"/>
          <w:szCs w:val="28"/>
          <w:rtl/>
          <w:lang w:val="fr-CH"/>
        </w:rPr>
        <w:tab/>
      </w:r>
      <w:r w:rsidRPr="009A767D">
        <w:rPr>
          <w:rFonts w:cs="Traditional Arabic" w:hint="cs"/>
          <w:sz w:val="18"/>
          <w:szCs w:val="28"/>
          <w:rtl/>
          <w:lang w:val="fr-CH"/>
        </w:rPr>
        <w:tab/>
      </w:r>
      <w:r w:rsidR="00E22A1A">
        <w:rPr>
          <w:rFonts w:cs="Traditional Arabic" w:hint="cs"/>
          <w:sz w:val="18"/>
          <w:szCs w:val="28"/>
          <w:rtl/>
          <w:lang w:val="fr-CH"/>
        </w:rPr>
        <w:t>329</w:t>
      </w:r>
    </w:p>
    <w:p w:rsidR="008861AE" w:rsidRPr="009A767D" w:rsidRDefault="008861AE" w:rsidP="00883037">
      <w:pPr>
        <w:tabs>
          <w:tab w:val="right" w:pos="1021"/>
          <w:tab w:val="left" w:pos="1077"/>
          <w:tab w:val="left" w:pos="1525"/>
          <w:tab w:val="left" w:pos="1842"/>
          <w:tab w:val="left" w:pos="2206"/>
          <w:tab w:val="left" w:pos="2681"/>
          <w:tab w:val="left" w:leader="dot" w:pos="8771"/>
          <w:tab w:val="right" w:pos="9638"/>
        </w:tabs>
        <w:bidi/>
        <w:spacing w:after="100" w:line="360" w:lineRule="exact"/>
        <w:ind w:left="1531" w:right="885" w:hanging="1531"/>
        <w:jc w:val="lowKashida"/>
        <w:rPr>
          <w:rFonts w:cs="Traditional Arabic" w:hint="cs"/>
          <w:sz w:val="18"/>
          <w:szCs w:val="28"/>
          <w:rtl/>
          <w:lang w:val="fr-CH"/>
        </w:rPr>
      </w:pPr>
      <w:r w:rsidRPr="009A767D">
        <w:rPr>
          <w:rFonts w:cs="Traditional Arabic" w:hint="cs"/>
          <w:sz w:val="18"/>
          <w:szCs w:val="28"/>
          <w:rtl/>
          <w:lang w:val="fr-CH"/>
        </w:rPr>
        <w:tab/>
        <w:t>التاسع</w:t>
      </w:r>
      <w:r w:rsidRPr="009A767D">
        <w:rPr>
          <w:rFonts w:cs="Traditional Arabic" w:hint="cs"/>
          <w:sz w:val="18"/>
          <w:szCs w:val="28"/>
          <w:rtl/>
          <w:lang w:val="fr-CH"/>
        </w:rPr>
        <w:tab/>
        <w:t>-</w:t>
      </w:r>
      <w:r w:rsidRPr="009A767D">
        <w:rPr>
          <w:rFonts w:cs="Traditional Arabic" w:hint="cs"/>
          <w:sz w:val="18"/>
          <w:szCs w:val="28"/>
          <w:rtl/>
          <w:lang w:val="fr-CH"/>
        </w:rPr>
        <w:tab/>
        <w:t>بيان مشترك بمناسبة يوم الأمم المتحدة الدولي لمساندة ضحايا التعذيب</w:t>
      </w:r>
      <w:r w:rsidRPr="009A767D">
        <w:rPr>
          <w:rFonts w:cs="Traditional Arabic" w:hint="cs"/>
          <w:sz w:val="18"/>
          <w:szCs w:val="28"/>
          <w:rtl/>
          <w:lang w:val="fr-CH"/>
        </w:rPr>
        <w:tab/>
      </w:r>
      <w:r w:rsidRPr="009A767D">
        <w:rPr>
          <w:rFonts w:cs="Traditional Arabic" w:hint="cs"/>
          <w:sz w:val="18"/>
          <w:szCs w:val="28"/>
          <w:rtl/>
          <w:lang w:val="fr-CH"/>
        </w:rPr>
        <w:tab/>
      </w:r>
      <w:r w:rsidR="00E22A1A">
        <w:rPr>
          <w:rFonts w:cs="Traditional Arabic" w:hint="cs"/>
          <w:sz w:val="18"/>
          <w:szCs w:val="28"/>
          <w:rtl/>
          <w:lang w:val="fr-CH"/>
        </w:rPr>
        <w:t>330</w:t>
      </w:r>
    </w:p>
    <w:p w:rsidR="008861AE" w:rsidRPr="009A767D" w:rsidRDefault="008861AE" w:rsidP="00883037">
      <w:pPr>
        <w:tabs>
          <w:tab w:val="right" w:pos="1021"/>
          <w:tab w:val="left" w:pos="1077"/>
          <w:tab w:val="left" w:pos="1525"/>
          <w:tab w:val="left" w:pos="1842"/>
          <w:tab w:val="left" w:pos="2206"/>
          <w:tab w:val="left" w:pos="2681"/>
          <w:tab w:val="left" w:leader="dot" w:pos="8771"/>
          <w:tab w:val="right" w:pos="9638"/>
        </w:tabs>
        <w:bidi/>
        <w:spacing w:after="100" w:line="360" w:lineRule="exact"/>
        <w:ind w:left="1531" w:right="885" w:hanging="1531"/>
        <w:jc w:val="lowKashida"/>
        <w:rPr>
          <w:rFonts w:cs="Traditional Arabic" w:hint="cs"/>
          <w:sz w:val="18"/>
          <w:szCs w:val="28"/>
          <w:rtl/>
          <w:lang w:val="fr-CH"/>
        </w:rPr>
      </w:pPr>
      <w:r w:rsidRPr="009A767D">
        <w:rPr>
          <w:rFonts w:cs="Traditional Arabic" w:hint="cs"/>
          <w:sz w:val="18"/>
          <w:szCs w:val="28"/>
          <w:rtl/>
          <w:lang w:val="fr-CH"/>
        </w:rPr>
        <w:tab/>
        <w:t>العاشر</w:t>
      </w:r>
      <w:r w:rsidRPr="009A767D">
        <w:rPr>
          <w:rFonts w:cs="Traditional Arabic" w:hint="cs"/>
          <w:sz w:val="18"/>
          <w:szCs w:val="28"/>
          <w:rtl/>
          <w:lang w:val="fr-CH"/>
        </w:rPr>
        <w:tab/>
        <w:t>-</w:t>
      </w:r>
      <w:r w:rsidRPr="009A767D">
        <w:rPr>
          <w:rFonts w:cs="Traditional Arabic" w:hint="cs"/>
          <w:sz w:val="18"/>
          <w:szCs w:val="28"/>
          <w:rtl/>
          <w:lang w:val="fr-CH"/>
        </w:rPr>
        <w:tab/>
        <w:t>التعليق العام رقم 3(2012)</w:t>
      </w:r>
      <w:r w:rsidRPr="009A767D">
        <w:rPr>
          <w:rFonts w:cs="Traditional Arabic" w:hint="cs"/>
          <w:sz w:val="18"/>
          <w:szCs w:val="28"/>
          <w:rtl/>
          <w:lang w:val="fr-CH"/>
        </w:rPr>
        <w:tab/>
      </w:r>
      <w:r w:rsidRPr="009A767D">
        <w:rPr>
          <w:rFonts w:cs="Traditional Arabic" w:hint="cs"/>
          <w:sz w:val="18"/>
          <w:szCs w:val="28"/>
          <w:rtl/>
          <w:lang w:val="fr-CH"/>
        </w:rPr>
        <w:tab/>
      </w:r>
      <w:r w:rsidR="00E22A1A">
        <w:rPr>
          <w:rFonts w:cs="Traditional Arabic" w:hint="cs"/>
          <w:sz w:val="18"/>
          <w:szCs w:val="28"/>
          <w:rtl/>
          <w:lang w:val="fr-CH"/>
        </w:rPr>
        <w:t>332</w:t>
      </w:r>
    </w:p>
    <w:p w:rsidR="008861AE" w:rsidRPr="009A767D" w:rsidRDefault="008861AE" w:rsidP="00883037">
      <w:pPr>
        <w:tabs>
          <w:tab w:val="right" w:pos="1021"/>
          <w:tab w:val="left" w:pos="1077"/>
          <w:tab w:val="left" w:pos="1525"/>
          <w:tab w:val="left" w:pos="1842"/>
          <w:tab w:val="left" w:pos="2206"/>
          <w:tab w:val="left" w:pos="2681"/>
          <w:tab w:val="left" w:leader="dot" w:pos="8771"/>
          <w:tab w:val="right" w:pos="9638"/>
        </w:tabs>
        <w:bidi/>
        <w:spacing w:after="100" w:line="360" w:lineRule="exact"/>
        <w:ind w:left="1531" w:right="885" w:hanging="1531"/>
        <w:jc w:val="lowKashida"/>
        <w:rPr>
          <w:rFonts w:cs="Traditional Arabic" w:hint="cs"/>
          <w:sz w:val="18"/>
          <w:szCs w:val="28"/>
          <w:rtl/>
          <w:lang w:val="fr-CH"/>
        </w:rPr>
      </w:pPr>
      <w:r w:rsidRPr="009A767D">
        <w:rPr>
          <w:rFonts w:cs="Traditional Arabic" w:hint="cs"/>
          <w:sz w:val="18"/>
          <w:szCs w:val="28"/>
          <w:rtl/>
          <w:lang w:val="fr-CH"/>
        </w:rPr>
        <w:tab/>
        <w:t>الحادي عشر</w:t>
      </w:r>
      <w:r w:rsidRPr="009A767D">
        <w:rPr>
          <w:rFonts w:cs="Traditional Arabic" w:hint="cs"/>
          <w:sz w:val="18"/>
          <w:szCs w:val="28"/>
          <w:rtl/>
          <w:lang w:val="fr-CH"/>
        </w:rPr>
        <w:tab/>
        <w:t>-</w:t>
      </w:r>
      <w:r w:rsidRPr="009A767D">
        <w:rPr>
          <w:rFonts w:cs="Traditional Arabic" w:hint="cs"/>
          <w:sz w:val="18"/>
          <w:szCs w:val="28"/>
          <w:rtl/>
          <w:lang w:val="fr-CH"/>
        </w:rPr>
        <w:tab/>
        <w:t>بيان لجنـة مناهضة التعذيب الذي اعتمدته في دورتها التاسعة والأربعين (29 تشرين الأول/ أكتوبر</w:t>
      </w:r>
      <w:r w:rsidRPr="009A767D">
        <w:rPr>
          <w:rFonts w:cs="Traditional Arabic" w:hint="eastAsia"/>
          <w:sz w:val="18"/>
          <w:szCs w:val="28"/>
          <w:rtl/>
          <w:lang w:val="fr-CH"/>
        </w:rPr>
        <w:t> </w:t>
      </w:r>
      <w:r w:rsidRPr="009A767D">
        <w:rPr>
          <w:rFonts w:cs="Traditional Arabic" w:hint="cs"/>
          <w:sz w:val="18"/>
          <w:szCs w:val="28"/>
          <w:rtl/>
          <w:lang w:val="fr-CH"/>
        </w:rPr>
        <w:t>- 23 تشرين الثاني/نوفمبر</w:t>
      </w:r>
      <w:r w:rsidRPr="009A767D">
        <w:rPr>
          <w:rFonts w:cs="Traditional Arabic" w:hint="eastAsia"/>
          <w:sz w:val="18"/>
          <w:szCs w:val="28"/>
          <w:rtl/>
          <w:lang w:val="fr-CH"/>
        </w:rPr>
        <w:t> </w:t>
      </w:r>
      <w:r w:rsidRPr="009A767D">
        <w:rPr>
          <w:rFonts w:cs="Traditional Arabic" w:hint="cs"/>
          <w:sz w:val="18"/>
          <w:szCs w:val="28"/>
          <w:rtl/>
          <w:lang w:val="fr-CH"/>
        </w:rPr>
        <w:t>2012) بشأن</w:t>
      </w:r>
      <w:r w:rsidRPr="009A767D">
        <w:rPr>
          <w:rFonts w:cs="Traditional Arabic"/>
          <w:sz w:val="18"/>
          <w:szCs w:val="28"/>
          <w:rtl/>
          <w:lang w:val="fr-CH"/>
        </w:rPr>
        <w:t xml:space="preserve"> تقرير مفوضة الأمم المتحدة السامية</w:t>
      </w:r>
      <w:r w:rsidRPr="009A767D">
        <w:rPr>
          <w:rFonts w:cs="Traditional Arabic" w:hint="cs"/>
          <w:sz w:val="18"/>
          <w:szCs w:val="28"/>
          <w:rtl/>
          <w:lang w:val="fr-CH"/>
        </w:rPr>
        <w:t xml:space="preserve"> </w:t>
      </w:r>
      <w:r w:rsidRPr="009A767D">
        <w:rPr>
          <w:rFonts w:cs="Traditional Arabic"/>
          <w:sz w:val="18"/>
          <w:szCs w:val="28"/>
          <w:rtl/>
          <w:lang w:val="fr-CH"/>
        </w:rPr>
        <w:t xml:space="preserve">لحقوق الإنسان عن </w:t>
      </w:r>
      <w:r w:rsidRPr="009A767D">
        <w:rPr>
          <w:rFonts w:cs="Traditional Arabic" w:hint="cs"/>
          <w:sz w:val="18"/>
          <w:szCs w:val="28"/>
          <w:rtl/>
          <w:lang w:val="fr-CH"/>
        </w:rPr>
        <w:t>تعزيز هيئات معاهدات الأمم المتحدة لحقوق الإنسان (</w:t>
      </w:r>
      <w:r w:rsidRPr="009A767D">
        <w:rPr>
          <w:rFonts w:cs="Traditional Arabic"/>
          <w:sz w:val="18"/>
          <w:szCs w:val="28"/>
          <w:lang w:val="fr-CH"/>
        </w:rPr>
        <w:t>A/66/860</w:t>
      </w:r>
      <w:r w:rsidRPr="009A767D">
        <w:rPr>
          <w:rFonts w:cs="Traditional Arabic" w:hint="cs"/>
          <w:sz w:val="18"/>
          <w:szCs w:val="28"/>
          <w:rtl/>
          <w:lang w:val="fr-CH"/>
        </w:rPr>
        <w:t>)</w:t>
      </w:r>
      <w:r w:rsidRPr="009A767D">
        <w:rPr>
          <w:rFonts w:cs="Traditional Arabic" w:hint="cs"/>
          <w:sz w:val="18"/>
          <w:szCs w:val="28"/>
          <w:rtl/>
          <w:lang w:val="fr-CH"/>
        </w:rPr>
        <w:tab/>
      </w:r>
      <w:r w:rsidRPr="009A767D">
        <w:rPr>
          <w:rFonts w:cs="Traditional Arabic" w:hint="cs"/>
          <w:sz w:val="18"/>
          <w:szCs w:val="28"/>
          <w:rtl/>
          <w:lang w:val="fr-CH"/>
        </w:rPr>
        <w:tab/>
      </w:r>
      <w:r w:rsidR="00E22A1A">
        <w:rPr>
          <w:rFonts w:cs="Traditional Arabic" w:hint="cs"/>
          <w:sz w:val="18"/>
          <w:szCs w:val="28"/>
          <w:rtl/>
          <w:lang w:val="fr-CH"/>
        </w:rPr>
        <w:t>346</w:t>
      </w:r>
    </w:p>
    <w:p w:rsidR="008861AE" w:rsidRPr="009A767D" w:rsidRDefault="008861AE" w:rsidP="00883037">
      <w:pPr>
        <w:tabs>
          <w:tab w:val="right" w:pos="1021"/>
          <w:tab w:val="left" w:pos="1077"/>
          <w:tab w:val="left" w:pos="1525"/>
          <w:tab w:val="left" w:pos="1842"/>
          <w:tab w:val="left" w:pos="2206"/>
          <w:tab w:val="left" w:pos="2681"/>
          <w:tab w:val="left" w:leader="dot" w:pos="8771"/>
          <w:tab w:val="right" w:pos="9638"/>
        </w:tabs>
        <w:bidi/>
        <w:spacing w:after="100" w:line="360" w:lineRule="exact"/>
        <w:ind w:left="1531" w:right="885" w:hanging="1531"/>
        <w:jc w:val="lowKashida"/>
        <w:rPr>
          <w:rFonts w:cs="Traditional Arabic" w:hint="cs"/>
          <w:sz w:val="18"/>
          <w:szCs w:val="28"/>
          <w:lang w:val="fr-CH"/>
        </w:rPr>
      </w:pPr>
      <w:r w:rsidRPr="009A767D">
        <w:rPr>
          <w:rFonts w:cs="Traditional Arabic" w:hint="cs"/>
          <w:sz w:val="18"/>
          <w:szCs w:val="28"/>
          <w:rtl/>
          <w:lang w:val="fr-CH"/>
        </w:rPr>
        <w:tab/>
        <w:t>الثاني عشر</w:t>
      </w:r>
      <w:r w:rsidRPr="009A767D">
        <w:rPr>
          <w:rFonts w:cs="Traditional Arabic" w:hint="cs"/>
          <w:sz w:val="18"/>
          <w:szCs w:val="28"/>
          <w:rtl/>
          <w:lang w:val="fr-CH"/>
        </w:rPr>
        <w:tab/>
        <w:t>-</w:t>
      </w:r>
      <w:r w:rsidRPr="009A767D">
        <w:rPr>
          <w:rFonts w:cs="Traditional Arabic" w:hint="cs"/>
          <w:sz w:val="18"/>
          <w:szCs w:val="28"/>
          <w:rtl/>
          <w:lang w:val="fr-CH"/>
        </w:rPr>
        <w:tab/>
        <w:t>بيان لجنـة مناهضة التعذيب الذي اعتمدته في دورتها التاسعة والأربعين (29 تشرين الأول/ أكتوبر</w:t>
      </w:r>
      <w:r w:rsidRPr="009A767D">
        <w:rPr>
          <w:rFonts w:cs="Traditional Arabic" w:hint="eastAsia"/>
          <w:sz w:val="18"/>
          <w:szCs w:val="28"/>
          <w:rtl/>
          <w:lang w:val="fr-CH"/>
        </w:rPr>
        <w:t> </w:t>
      </w:r>
      <w:r w:rsidRPr="009A767D">
        <w:rPr>
          <w:rFonts w:cs="Traditional Arabic" w:hint="cs"/>
          <w:sz w:val="18"/>
          <w:szCs w:val="28"/>
          <w:rtl/>
          <w:lang w:val="fr-CH"/>
        </w:rPr>
        <w:t xml:space="preserve">- 23 تشرين الثاني/نوفمبر </w:t>
      </w:r>
      <w:r w:rsidRPr="009A767D">
        <w:rPr>
          <w:rFonts w:cs="Traditional Arabic"/>
          <w:sz w:val="18"/>
          <w:szCs w:val="28"/>
          <w:rtl/>
          <w:lang w:val="fr-CH"/>
        </w:rPr>
        <w:t xml:space="preserve">2012) بشأن المبادئ التوجيهية المتعلقة باستقلال </w:t>
      </w:r>
      <w:r w:rsidRPr="009A767D">
        <w:rPr>
          <w:rFonts w:cs="Traditional Arabic" w:hint="cs"/>
          <w:sz w:val="18"/>
          <w:szCs w:val="28"/>
          <w:rtl/>
          <w:lang w:val="fr-CH"/>
        </w:rPr>
        <w:t xml:space="preserve">وحياد </w:t>
      </w:r>
      <w:r w:rsidRPr="009A767D">
        <w:rPr>
          <w:rFonts w:cs="Traditional Arabic"/>
          <w:sz w:val="18"/>
          <w:szCs w:val="28"/>
          <w:rtl/>
          <w:lang w:val="fr-CH"/>
        </w:rPr>
        <w:t xml:space="preserve">أعضاء هيئات معاهدات حقوق الإنسان </w:t>
      </w:r>
      <w:r w:rsidRPr="009A767D">
        <w:rPr>
          <w:rFonts w:cs="Traditional Arabic" w:hint="cs"/>
          <w:sz w:val="18"/>
          <w:szCs w:val="28"/>
          <w:rtl/>
          <w:lang w:val="fr-CH"/>
        </w:rPr>
        <w:t>("مبادئ أديس أبابا التوجيهية")</w:t>
      </w:r>
      <w:r w:rsidRPr="009A767D">
        <w:rPr>
          <w:rFonts w:cs="Traditional Arabic" w:hint="cs"/>
          <w:sz w:val="18"/>
          <w:szCs w:val="28"/>
          <w:rtl/>
          <w:lang w:val="fr-CH"/>
        </w:rPr>
        <w:tab/>
      </w:r>
      <w:r w:rsidRPr="009A767D">
        <w:rPr>
          <w:rFonts w:cs="Traditional Arabic" w:hint="cs"/>
          <w:sz w:val="18"/>
          <w:szCs w:val="28"/>
          <w:rtl/>
          <w:lang w:val="fr-CH"/>
        </w:rPr>
        <w:tab/>
      </w:r>
      <w:r w:rsidR="00E22A1A">
        <w:rPr>
          <w:rFonts w:cs="Traditional Arabic" w:hint="cs"/>
          <w:sz w:val="18"/>
          <w:szCs w:val="28"/>
          <w:rtl/>
          <w:lang w:val="fr-CH"/>
        </w:rPr>
        <w:t>349</w:t>
      </w:r>
    </w:p>
    <w:p w:rsidR="008861AE" w:rsidRPr="009A767D" w:rsidRDefault="008861AE" w:rsidP="00883037">
      <w:pPr>
        <w:tabs>
          <w:tab w:val="right" w:pos="1021"/>
          <w:tab w:val="left" w:pos="1077"/>
          <w:tab w:val="left" w:pos="1525"/>
          <w:tab w:val="left" w:pos="1842"/>
          <w:tab w:val="left" w:pos="2206"/>
          <w:tab w:val="left" w:pos="2681"/>
          <w:tab w:val="left" w:leader="dot" w:pos="8771"/>
          <w:tab w:val="right" w:pos="9638"/>
        </w:tabs>
        <w:bidi/>
        <w:spacing w:after="100" w:line="360" w:lineRule="exact"/>
        <w:ind w:left="1531" w:right="885" w:hanging="1531"/>
        <w:jc w:val="lowKashida"/>
        <w:rPr>
          <w:rFonts w:cs="Traditional Arabic" w:hint="cs"/>
          <w:sz w:val="18"/>
          <w:szCs w:val="28"/>
          <w:lang w:val="fr-CH"/>
        </w:rPr>
      </w:pPr>
      <w:r w:rsidRPr="009A767D">
        <w:rPr>
          <w:rFonts w:cs="Traditional Arabic" w:hint="cs"/>
          <w:sz w:val="18"/>
          <w:szCs w:val="28"/>
          <w:rtl/>
          <w:lang w:val="fr-CH"/>
        </w:rPr>
        <w:tab/>
        <w:t>الثالث عشر</w:t>
      </w:r>
      <w:r w:rsidRPr="009A767D">
        <w:rPr>
          <w:rFonts w:cs="Traditional Arabic" w:hint="cs"/>
          <w:sz w:val="18"/>
          <w:szCs w:val="28"/>
          <w:rtl/>
          <w:lang w:val="fr-CH"/>
        </w:rPr>
        <w:tab/>
        <w:t>-</w:t>
      </w:r>
      <w:r w:rsidRPr="009A767D">
        <w:rPr>
          <w:rFonts w:cs="Traditional Arabic" w:hint="cs"/>
          <w:sz w:val="18"/>
          <w:szCs w:val="28"/>
          <w:rtl/>
          <w:lang w:val="fr-CH"/>
        </w:rPr>
        <w:tab/>
        <w:t xml:space="preserve">بيان لجنـة مناهضة التعذيب الذي اعتمدته في دورتها الخمسين </w:t>
      </w:r>
      <w:r w:rsidRPr="009A767D">
        <w:rPr>
          <w:rFonts w:cs="Traditional Arabic"/>
          <w:sz w:val="18"/>
          <w:szCs w:val="28"/>
          <w:rtl/>
          <w:lang w:val="fr-CH"/>
        </w:rPr>
        <w:t xml:space="preserve">بشأن المبادئ التوجيهية المتعلقة باستقلال </w:t>
      </w:r>
      <w:r w:rsidRPr="009A767D">
        <w:rPr>
          <w:rFonts w:cs="Traditional Arabic" w:hint="cs"/>
          <w:sz w:val="18"/>
          <w:szCs w:val="28"/>
          <w:rtl/>
          <w:lang w:val="fr-CH"/>
        </w:rPr>
        <w:t xml:space="preserve">وحياد </w:t>
      </w:r>
      <w:r w:rsidRPr="009A767D">
        <w:rPr>
          <w:rFonts w:cs="Traditional Arabic"/>
          <w:sz w:val="18"/>
          <w:szCs w:val="28"/>
          <w:rtl/>
          <w:lang w:val="fr-CH"/>
        </w:rPr>
        <w:t xml:space="preserve">أعضاء هيئات معاهدات حقوق الإنسان </w:t>
      </w:r>
      <w:r w:rsidRPr="009A767D">
        <w:rPr>
          <w:rFonts w:cs="Traditional Arabic" w:hint="cs"/>
          <w:sz w:val="18"/>
          <w:szCs w:val="28"/>
          <w:rtl/>
          <w:lang w:val="fr-CH"/>
        </w:rPr>
        <w:t>("مبادئ أديس أبابا التوجيهية") والتعديلات المدخلة على نظامها الداخلي</w:t>
      </w:r>
      <w:r w:rsidRPr="009A767D">
        <w:rPr>
          <w:rFonts w:cs="Traditional Arabic" w:hint="cs"/>
          <w:sz w:val="18"/>
          <w:szCs w:val="28"/>
          <w:rtl/>
          <w:lang w:val="fr-CH"/>
        </w:rPr>
        <w:tab/>
      </w:r>
      <w:r w:rsidRPr="009A767D">
        <w:rPr>
          <w:rFonts w:cs="Traditional Arabic" w:hint="cs"/>
          <w:sz w:val="18"/>
          <w:szCs w:val="28"/>
          <w:rtl/>
          <w:lang w:val="fr-CH"/>
        </w:rPr>
        <w:tab/>
      </w:r>
      <w:r w:rsidR="00E22A1A">
        <w:rPr>
          <w:rFonts w:cs="Traditional Arabic" w:hint="cs"/>
          <w:sz w:val="18"/>
          <w:szCs w:val="28"/>
          <w:rtl/>
          <w:lang w:val="fr-CH"/>
        </w:rPr>
        <w:t>351</w:t>
      </w:r>
    </w:p>
    <w:p w:rsidR="008861AE" w:rsidRPr="009A767D" w:rsidRDefault="008861AE" w:rsidP="00883037">
      <w:pPr>
        <w:tabs>
          <w:tab w:val="right" w:pos="1021"/>
          <w:tab w:val="left" w:pos="1077"/>
          <w:tab w:val="left" w:pos="1525"/>
          <w:tab w:val="left" w:pos="1842"/>
          <w:tab w:val="left" w:pos="2206"/>
          <w:tab w:val="left" w:pos="2681"/>
          <w:tab w:val="left" w:leader="dot" w:pos="8771"/>
          <w:tab w:val="right" w:pos="9638"/>
        </w:tabs>
        <w:bidi/>
        <w:spacing w:after="100" w:line="360" w:lineRule="exact"/>
        <w:ind w:left="1531" w:right="885" w:hanging="1531"/>
        <w:jc w:val="lowKashida"/>
        <w:rPr>
          <w:rFonts w:cs="Traditional Arabic" w:hint="cs"/>
          <w:sz w:val="18"/>
          <w:szCs w:val="28"/>
          <w:rtl/>
          <w:lang w:val="fr-CH"/>
        </w:rPr>
      </w:pPr>
      <w:r w:rsidRPr="009A767D">
        <w:rPr>
          <w:rFonts w:cs="Traditional Arabic" w:hint="cs"/>
          <w:sz w:val="18"/>
          <w:szCs w:val="28"/>
          <w:rtl/>
          <w:lang w:val="fr-CH"/>
        </w:rPr>
        <w:tab/>
        <w:t>الرابع عشر</w:t>
      </w:r>
      <w:r w:rsidRPr="009A767D">
        <w:rPr>
          <w:rFonts w:cs="Traditional Arabic" w:hint="cs"/>
          <w:sz w:val="18"/>
          <w:szCs w:val="28"/>
          <w:rtl/>
          <w:lang w:val="fr-CH"/>
        </w:rPr>
        <w:tab/>
        <w:t>-</w:t>
      </w:r>
      <w:r w:rsidRPr="009A767D">
        <w:rPr>
          <w:rFonts w:cs="Traditional Arabic" w:hint="cs"/>
          <w:sz w:val="18"/>
          <w:szCs w:val="28"/>
          <w:rtl/>
          <w:lang w:val="fr-CH"/>
        </w:rPr>
        <w:tab/>
        <w:t xml:space="preserve">المواد 14 و15 و109 من النظام الداخلي للجنة، بصيغتها المنقحة </w:t>
      </w:r>
      <w:r w:rsidRPr="009A767D">
        <w:rPr>
          <w:rFonts w:cs="Traditional Arabic"/>
          <w:sz w:val="18"/>
          <w:szCs w:val="28"/>
          <w:lang w:val="fr-CH"/>
        </w:rPr>
        <w:t>(CAT/C/3/Rev.6)</w:t>
      </w:r>
      <w:r w:rsidRPr="009A767D">
        <w:rPr>
          <w:rFonts w:cs="Traditional Arabic" w:hint="cs"/>
          <w:sz w:val="18"/>
          <w:szCs w:val="28"/>
          <w:rtl/>
          <w:lang w:val="fr-CH"/>
        </w:rPr>
        <w:tab/>
      </w:r>
      <w:r w:rsidRPr="009A767D">
        <w:rPr>
          <w:rFonts w:cs="Traditional Arabic" w:hint="cs"/>
          <w:sz w:val="18"/>
          <w:szCs w:val="28"/>
          <w:rtl/>
          <w:lang w:val="fr-CH"/>
        </w:rPr>
        <w:tab/>
      </w:r>
      <w:r w:rsidR="00E22A1A">
        <w:rPr>
          <w:rFonts w:cs="Traditional Arabic" w:hint="cs"/>
          <w:sz w:val="18"/>
          <w:szCs w:val="28"/>
          <w:rtl/>
          <w:lang w:val="fr-CH"/>
        </w:rPr>
        <w:t>352</w:t>
      </w:r>
    </w:p>
    <w:p w:rsidR="008861AE" w:rsidRPr="009A767D" w:rsidRDefault="008861AE" w:rsidP="00883037">
      <w:pPr>
        <w:tabs>
          <w:tab w:val="right" w:pos="1021"/>
          <w:tab w:val="left" w:pos="1077"/>
          <w:tab w:val="left" w:pos="1525"/>
          <w:tab w:val="left" w:pos="1842"/>
          <w:tab w:val="left" w:pos="2206"/>
          <w:tab w:val="left" w:pos="2681"/>
          <w:tab w:val="left" w:leader="dot" w:pos="8771"/>
          <w:tab w:val="right" w:pos="9638"/>
        </w:tabs>
        <w:bidi/>
        <w:spacing w:after="100" w:line="360" w:lineRule="exact"/>
        <w:ind w:left="1531" w:right="885" w:hanging="1531"/>
        <w:jc w:val="lowKashida"/>
        <w:rPr>
          <w:rFonts w:cs="Traditional Arabic" w:hint="cs"/>
          <w:sz w:val="18"/>
          <w:szCs w:val="28"/>
          <w:rtl/>
          <w:lang w:val="fr-CH"/>
        </w:rPr>
      </w:pPr>
      <w:r w:rsidRPr="009A767D">
        <w:rPr>
          <w:rFonts w:cs="Traditional Arabic" w:hint="cs"/>
          <w:sz w:val="18"/>
          <w:szCs w:val="28"/>
          <w:rtl/>
          <w:lang w:val="fr-CH"/>
        </w:rPr>
        <w:tab/>
        <w:t>الخامس عشر</w:t>
      </w:r>
      <w:r w:rsidRPr="009A767D">
        <w:rPr>
          <w:rFonts w:cs="Traditional Arabic" w:hint="cs"/>
          <w:sz w:val="18"/>
          <w:szCs w:val="28"/>
          <w:rtl/>
          <w:lang w:val="fr-CH"/>
        </w:rPr>
        <w:tab/>
        <w:t>-</w:t>
      </w:r>
      <w:r w:rsidRPr="009A767D">
        <w:rPr>
          <w:rFonts w:cs="Traditional Arabic" w:hint="cs"/>
          <w:sz w:val="18"/>
          <w:szCs w:val="28"/>
          <w:rtl/>
          <w:lang w:val="fr-CH"/>
        </w:rPr>
        <w:tab/>
        <w:t>الحالة فيما يتعلق بالتقارير، في 31 أيار/مايو 2013</w:t>
      </w:r>
      <w:r w:rsidRPr="009A767D">
        <w:rPr>
          <w:rFonts w:cs="Traditional Arabic" w:hint="cs"/>
          <w:sz w:val="18"/>
          <w:szCs w:val="28"/>
          <w:rtl/>
          <w:lang w:val="fr-CH"/>
        </w:rPr>
        <w:tab/>
      </w:r>
      <w:r w:rsidRPr="009A767D">
        <w:rPr>
          <w:rFonts w:cs="Traditional Arabic" w:hint="cs"/>
          <w:sz w:val="18"/>
          <w:szCs w:val="28"/>
          <w:rtl/>
          <w:lang w:val="fr-CH"/>
        </w:rPr>
        <w:tab/>
      </w:r>
      <w:r w:rsidR="00E22A1A">
        <w:rPr>
          <w:rFonts w:cs="Traditional Arabic" w:hint="cs"/>
          <w:sz w:val="18"/>
          <w:szCs w:val="28"/>
          <w:rtl/>
          <w:lang w:val="fr-CH"/>
        </w:rPr>
        <w:t>354</w:t>
      </w:r>
    </w:p>
    <w:p w:rsidR="00E930B7" w:rsidRPr="009A767D" w:rsidRDefault="00E930B7" w:rsidP="00883037">
      <w:pPr>
        <w:tabs>
          <w:tab w:val="right" w:pos="1021"/>
          <w:tab w:val="left" w:pos="1077"/>
          <w:tab w:val="left" w:pos="1525"/>
          <w:tab w:val="left" w:pos="1842"/>
          <w:tab w:val="left" w:pos="2206"/>
          <w:tab w:val="left" w:pos="2681"/>
          <w:tab w:val="left" w:leader="dot" w:pos="8771"/>
          <w:tab w:val="right" w:pos="9638"/>
        </w:tabs>
        <w:bidi/>
        <w:spacing w:after="100" w:line="360" w:lineRule="exact"/>
        <w:ind w:left="1531" w:right="885" w:hanging="1531"/>
        <w:jc w:val="lowKashida"/>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ألف</w:t>
      </w:r>
      <w:r w:rsidRPr="009A767D">
        <w:rPr>
          <w:rFonts w:cs="Traditional Arabic" w:hint="cs"/>
          <w:sz w:val="18"/>
          <w:szCs w:val="28"/>
          <w:rtl/>
          <w:lang w:val="fr-CH"/>
        </w:rPr>
        <w:tab/>
        <w:t>-</w:t>
      </w:r>
      <w:r w:rsidRPr="009A767D">
        <w:rPr>
          <w:rFonts w:cs="Traditional Arabic" w:hint="cs"/>
          <w:sz w:val="18"/>
          <w:szCs w:val="28"/>
          <w:rtl/>
          <w:lang w:val="fr-CH"/>
        </w:rPr>
        <w:tab/>
        <w:t>التقارير الأولية</w:t>
      </w:r>
      <w:r w:rsidRPr="009A767D">
        <w:rPr>
          <w:rFonts w:cs="Traditional Arabic" w:hint="cs"/>
          <w:sz w:val="18"/>
          <w:szCs w:val="28"/>
          <w:rtl/>
          <w:lang w:val="fr-CH"/>
        </w:rPr>
        <w:tab/>
      </w:r>
      <w:r w:rsidRPr="009A767D">
        <w:rPr>
          <w:rFonts w:cs="Traditional Arabic" w:hint="cs"/>
          <w:sz w:val="18"/>
          <w:szCs w:val="28"/>
          <w:rtl/>
          <w:lang w:val="fr-CH"/>
        </w:rPr>
        <w:tab/>
      </w:r>
      <w:r w:rsidR="00E22A1A">
        <w:rPr>
          <w:rFonts w:cs="Traditional Arabic" w:hint="cs"/>
          <w:sz w:val="18"/>
          <w:szCs w:val="28"/>
          <w:rtl/>
          <w:lang w:val="fr-CH"/>
        </w:rPr>
        <w:t>354</w:t>
      </w:r>
    </w:p>
    <w:p w:rsidR="00E930B7" w:rsidRPr="009A767D" w:rsidRDefault="00E930B7" w:rsidP="00883037">
      <w:pPr>
        <w:tabs>
          <w:tab w:val="right" w:pos="1021"/>
          <w:tab w:val="left" w:pos="1077"/>
          <w:tab w:val="left" w:pos="1525"/>
          <w:tab w:val="left" w:pos="1842"/>
          <w:tab w:val="left" w:pos="2206"/>
          <w:tab w:val="left" w:pos="2681"/>
          <w:tab w:val="left" w:leader="dot" w:pos="8771"/>
          <w:tab w:val="right" w:pos="9638"/>
        </w:tabs>
        <w:bidi/>
        <w:spacing w:after="100" w:line="360" w:lineRule="exact"/>
        <w:ind w:left="1531" w:right="885" w:hanging="1531"/>
        <w:jc w:val="lowKashida"/>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باء</w:t>
      </w:r>
      <w:r w:rsidRPr="009A767D">
        <w:rPr>
          <w:rFonts w:cs="Traditional Arabic" w:hint="cs"/>
          <w:sz w:val="18"/>
          <w:szCs w:val="28"/>
          <w:rtl/>
          <w:lang w:val="fr-CH"/>
        </w:rPr>
        <w:tab/>
        <w:t>-</w:t>
      </w:r>
      <w:r w:rsidRPr="009A767D">
        <w:rPr>
          <w:rFonts w:cs="Traditional Arabic" w:hint="cs"/>
          <w:sz w:val="18"/>
          <w:szCs w:val="28"/>
          <w:rtl/>
          <w:lang w:val="fr-CH"/>
        </w:rPr>
        <w:tab/>
        <w:t>التقارير الدورية</w:t>
      </w:r>
      <w:r w:rsidRPr="009A767D">
        <w:rPr>
          <w:rFonts w:cs="Traditional Arabic" w:hint="cs"/>
          <w:sz w:val="18"/>
          <w:szCs w:val="28"/>
          <w:rtl/>
          <w:lang w:val="fr-CH"/>
        </w:rPr>
        <w:tab/>
      </w:r>
      <w:r w:rsidRPr="009A767D">
        <w:rPr>
          <w:rFonts w:cs="Traditional Arabic" w:hint="cs"/>
          <w:sz w:val="18"/>
          <w:szCs w:val="28"/>
          <w:rtl/>
          <w:lang w:val="fr-CH"/>
        </w:rPr>
        <w:tab/>
      </w:r>
      <w:r w:rsidR="00E22A1A">
        <w:rPr>
          <w:rFonts w:cs="Traditional Arabic" w:hint="cs"/>
          <w:sz w:val="18"/>
          <w:szCs w:val="28"/>
          <w:rtl/>
          <w:lang w:val="fr-CH"/>
        </w:rPr>
        <w:t>355</w:t>
      </w:r>
    </w:p>
    <w:p w:rsidR="008861AE" w:rsidRPr="009A767D" w:rsidRDefault="008861AE" w:rsidP="00883037">
      <w:pPr>
        <w:tabs>
          <w:tab w:val="right" w:pos="1021"/>
          <w:tab w:val="left" w:pos="1077"/>
          <w:tab w:val="left" w:pos="1525"/>
          <w:tab w:val="left" w:pos="1842"/>
          <w:tab w:val="left" w:pos="2206"/>
          <w:tab w:val="left" w:pos="2681"/>
          <w:tab w:val="left" w:leader="dot" w:pos="8771"/>
          <w:tab w:val="right" w:pos="9638"/>
        </w:tabs>
        <w:bidi/>
        <w:spacing w:after="100" w:line="360" w:lineRule="exact"/>
        <w:ind w:left="1531" w:right="885" w:hanging="1531"/>
        <w:jc w:val="lowKashida"/>
        <w:rPr>
          <w:rFonts w:cs="Traditional Arabic" w:hint="cs"/>
          <w:sz w:val="18"/>
          <w:szCs w:val="28"/>
          <w:rtl/>
          <w:lang w:val="fr-CH"/>
        </w:rPr>
      </w:pPr>
      <w:r w:rsidRPr="009A767D">
        <w:rPr>
          <w:rFonts w:cs="Traditional Arabic" w:hint="cs"/>
          <w:sz w:val="18"/>
          <w:szCs w:val="28"/>
          <w:rtl/>
          <w:lang w:val="fr-CH"/>
        </w:rPr>
        <w:tab/>
        <w:t>السادس عشر</w:t>
      </w:r>
      <w:r w:rsidRPr="009A767D">
        <w:rPr>
          <w:rFonts w:cs="Traditional Arabic" w:hint="cs"/>
          <w:sz w:val="18"/>
          <w:szCs w:val="28"/>
          <w:rtl/>
          <w:lang w:val="fr-CH"/>
        </w:rPr>
        <w:tab/>
        <w:t>-</w:t>
      </w:r>
      <w:r w:rsidRPr="009A767D">
        <w:rPr>
          <w:rFonts w:cs="Traditional Arabic" w:hint="cs"/>
          <w:sz w:val="18"/>
          <w:szCs w:val="28"/>
          <w:rtl/>
          <w:lang w:val="fr-CH"/>
        </w:rPr>
        <w:tab/>
      </w:r>
      <w:r w:rsidRPr="009A767D">
        <w:rPr>
          <w:rFonts w:cs="Traditional Arabic"/>
          <w:sz w:val="18"/>
          <w:szCs w:val="28"/>
          <w:rtl/>
          <w:lang w:val="fr-CH"/>
        </w:rPr>
        <w:t>المقررون القطريون المعنيون بتقارير الدول الأطراف</w:t>
      </w:r>
      <w:r w:rsidRPr="009A767D">
        <w:rPr>
          <w:rFonts w:cs="Traditional Arabic" w:hint="cs"/>
          <w:sz w:val="18"/>
          <w:szCs w:val="28"/>
          <w:rtl/>
          <w:lang w:val="fr-CH"/>
        </w:rPr>
        <w:t xml:space="preserve"> </w:t>
      </w:r>
      <w:r w:rsidRPr="009A767D">
        <w:rPr>
          <w:rFonts w:cs="Traditional Arabic"/>
          <w:sz w:val="18"/>
          <w:szCs w:val="28"/>
          <w:rtl/>
          <w:lang w:val="fr-CH"/>
        </w:rPr>
        <w:t xml:space="preserve">التي نظرت فيها اللجنة في دورتيها </w:t>
      </w:r>
      <w:r w:rsidRPr="009A767D">
        <w:rPr>
          <w:rFonts w:cs="Traditional Arabic" w:hint="cs"/>
          <w:sz w:val="18"/>
          <w:szCs w:val="28"/>
          <w:rtl/>
          <w:lang w:val="fr-CH"/>
        </w:rPr>
        <w:t xml:space="preserve">التاسعة والأربعين والخمسين </w:t>
      </w:r>
      <w:r w:rsidRPr="009A767D">
        <w:rPr>
          <w:rFonts w:cs="Traditional Arabic"/>
          <w:sz w:val="18"/>
          <w:szCs w:val="28"/>
          <w:rtl/>
          <w:lang w:val="fr-CH"/>
        </w:rPr>
        <w:t xml:space="preserve">(بحسب </w:t>
      </w:r>
      <w:r w:rsidRPr="009A767D">
        <w:rPr>
          <w:rFonts w:cs="Traditional Arabic" w:hint="cs"/>
          <w:sz w:val="18"/>
          <w:szCs w:val="28"/>
          <w:rtl/>
          <w:lang w:val="fr-CH"/>
        </w:rPr>
        <w:t>ال</w:t>
      </w:r>
      <w:r w:rsidRPr="009A767D">
        <w:rPr>
          <w:rFonts w:cs="Traditional Arabic"/>
          <w:sz w:val="18"/>
          <w:szCs w:val="28"/>
          <w:rtl/>
          <w:lang w:val="fr-CH"/>
        </w:rPr>
        <w:t xml:space="preserve">ترتيب </w:t>
      </w:r>
      <w:r w:rsidRPr="009A767D">
        <w:rPr>
          <w:rFonts w:cs="Traditional Arabic" w:hint="cs"/>
          <w:sz w:val="18"/>
          <w:szCs w:val="28"/>
          <w:rtl/>
          <w:lang w:val="fr-CH"/>
        </w:rPr>
        <w:t>الأبجدي</w:t>
      </w:r>
      <w:r w:rsidRPr="009A767D">
        <w:rPr>
          <w:rFonts w:cs="Traditional Arabic"/>
          <w:sz w:val="18"/>
          <w:szCs w:val="28"/>
          <w:rtl/>
          <w:lang w:val="fr-CH"/>
        </w:rPr>
        <w:t>)</w:t>
      </w:r>
      <w:r w:rsidRPr="009A767D">
        <w:rPr>
          <w:rFonts w:cs="Traditional Arabic" w:hint="cs"/>
          <w:sz w:val="18"/>
          <w:szCs w:val="28"/>
          <w:rtl/>
          <w:lang w:val="fr-CH"/>
        </w:rPr>
        <w:tab/>
      </w:r>
      <w:r w:rsidRPr="009A767D">
        <w:rPr>
          <w:rFonts w:cs="Traditional Arabic" w:hint="cs"/>
          <w:sz w:val="18"/>
          <w:szCs w:val="28"/>
          <w:rtl/>
          <w:lang w:val="fr-CH"/>
        </w:rPr>
        <w:tab/>
      </w:r>
      <w:r w:rsidR="00E22A1A">
        <w:rPr>
          <w:rFonts w:cs="Traditional Arabic" w:hint="cs"/>
          <w:sz w:val="18"/>
          <w:szCs w:val="28"/>
          <w:rtl/>
          <w:lang w:val="fr-CH"/>
        </w:rPr>
        <w:t>366</w:t>
      </w:r>
    </w:p>
    <w:p w:rsidR="008861AE" w:rsidRPr="009A767D" w:rsidRDefault="008861AE" w:rsidP="00685F6F">
      <w:pPr>
        <w:tabs>
          <w:tab w:val="right" w:pos="1021"/>
          <w:tab w:val="left" w:pos="1077"/>
          <w:tab w:val="left" w:pos="1525"/>
          <w:tab w:val="left" w:pos="1842"/>
          <w:tab w:val="left" w:pos="2206"/>
          <w:tab w:val="left" w:pos="2681"/>
          <w:tab w:val="left" w:leader="dot" w:pos="8771"/>
          <w:tab w:val="right" w:pos="9638"/>
        </w:tabs>
        <w:bidi/>
        <w:spacing w:after="40" w:line="360" w:lineRule="exact"/>
        <w:ind w:left="1531" w:right="882" w:hanging="1531"/>
        <w:jc w:val="lowKashida"/>
        <w:rPr>
          <w:rFonts w:cs="Traditional Arabic" w:hint="cs"/>
          <w:sz w:val="18"/>
          <w:szCs w:val="28"/>
          <w:rtl/>
          <w:lang w:val="fr-CH"/>
        </w:rPr>
      </w:pPr>
      <w:r w:rsidRPr="009A767D">
        <w:rPr>
          <w:rFonts w:cs="Traditional Arabic" w:hint="cs"/>
          <w:sz w:val="18"/>
          <w:szCs w:val="28"/>
          <w:rtl/>
          <w:lang w:val="fr-CH"/>
        </w:rPr>
        <w:tab/>
        <w:t>السابع عشر</w:t>
      </w:r>
      <w:r w:rsidRPr="009A767D">
        <w:rPr>
          <w:rFonts w:cs="Traditional Arabic" w:hint="cs"/>
          <w:sz w:val="18"/>
          <w:szCs w:val="28"/>
          <w:rtl/>
          <w:lang w:val="fr-CH"/>
        </w:rPr>
        <w:tab/>
        <w:t>-</w:t>
      </w:r>
      <w:r w:rsidRPr="009A767D">
        <w:rPr>
          <w:rFonts w:cs="Traditional Arabic" w:hint="cs"/>
          <w:sz w:val="18"/>
          <w:szCs w:val="28"/>
          <w:rtl/>
          <w:lang w:val="fr-CH"/>
        </w:rPr>
        <w:tab/>
      </w:r>
      <w:r w:rsidRPr="009A767D">
        <w:rPr>
          <w:rFonts w:cs="Traditional Arabic"/>
          <w:sz w:val="18"/>
          <w:szCs w:val="28"/>
          <w:rtl/>
          <w:lang w:val="fr-CH"/>
        </w:rPr>
        <w:t>قرار</w:t>
      </w:r>
      <w:r w:rsidRPr="009A767D">
        <w:rPr>
          <w:rFonts w:cs="Traditional Arabic" w:hint="cs"/>
          <w:sz w:val="18"/>
          <w:szCs w:val="28"/>
          <w:rtl/>
          <w:lang w:val="fr-CH"/>
        </w:rPr>
        <w:t>ات</w:t>
      </w:r>
      <w:r w:rsidRPr="009A767D">
        <w:rPr>
          <w:rFonts w:cs="Traditional Arabic"/>
          <w:sz w:val="18"/>
          <w:szCs w:val="28"/>
          <w:rtl/>
          <w:lang w:val="fr-CH"/>
        </w:rPr>
        <w:t xml:space="preserve"> لجنة مناهضة </w:t>
      </w:r>
      <w:r w:rsidRPr="009A767D">
        <w:rPr>
          <w:rFonts w:cs="Traditional Arabic" w:hint="cs"/>
          <w:sz w:val="18"/>
          <w:szCs w:val="28"/>
          <w:rtl/>
          <w:lang w:val="fr-CH"/>
        </w:rPr>
        <w:t xml:space="preserve">التعذيب </w:t>
      </w:r>
      <w:r w:rsidRPr="009A767D">
        <w:rPr>
          <w:rFonts w:cs="Traditional Arabic"/>
          <w:sz w:val="18"/>
          <w:szCs w:val="28"/>
          <w:rtl/>
          <w:lang w:val="fr-CH"/>
        </w:rPr>
        <w:t xml:space="preserve">بموجب المادة 22 من </w:t>
      </w:r>
      <w:r w:rsidRPr="009A767D">
        <w:rPr>
          <w:rFonts w:cs="Traditional Arabic" w:hint="cs"/>
          <w:sz w:val="18"/>
          <w:szCs w:val="28"/>
          <w:rtl/>
          <w:lang w:val="fr-CH"/>
        </w:rPr>
        <w:t>ال</w:t>
      </w:r>
      <w:r w:rsidRPr="009A767D">
        <w:rPr>
          <w:rFonts w:cs="Traditional Arabic"/>
          <w:sz w:val="18"/>
          <w:szCs w:val="28"/>
          <w:rtl/>
          <w:lang w:val="fr-CH"/>
        </w:rPr>
        <w:t>اتفاقية</w:t>
      </w:r>
      <w:r w:rsidR="00E930B7" w:rsidRPr="009A767D">
        <w:rPr>
          <w:rFonts w:cs="Traditional Arabic" w:hint="cs"/>
          <w:sz w:val="18"/>
          <w:szCs w:val="28"/>
          <w:rtl/>
          <w:lang w:val="fr-CH"/>
        </w:rPr>
        <w:tab/>
      </w:r>
      <w:r w:rsidR="00E930B7" w:rsidRPr="009A767D">
        <w:rPr>
          <w:rFonts w:cs="Traditional Arabic" w:hint="cs"/>
          <w:sz w:val="18"/>
          <w:szCs w:val="28"/>
          <w:rtl/>
          <w:lang w:val="fr-CH"/>
        </w:rPr>
        <w:tab/>
      </w:r>
      <w:r w:rsidR="00E22A1A">
        <w:rPr>
          <w:rFonts w:cs="Traditional Arabic" w:hint="cs"/>
          <w:sz w:val="18"/>
          <w:szCs w:val="28"/>
          <w:rtl/>
          <w:lang w:val="fr-CH"/>
        </w:rPr>
        <w:t>368</w:t>
      </w:r>
    </w:p>
    <w:p w:rsidR="008861AE" w:rsidRPr="009A767D" w:rsidRDefault="00E930B7" w:rsidP="00685F6F">
      <w:pPr>
        <w:tabs>
          <w:tab w:val="right" w:pos="1021"/>
          <w:tab w:val="left" w:pos="1077"/>
          <w:tab w:val="left" w:pos="1525"/>
          <w:tab w:val="left" w:pos="1842"/>
          <w:tab w:val="left" w:pos="2206"/>
          <w:tab w:val="left" w:pos="2681"/>
          <w:tab w:val="left" w:leader="dot" w:pos="8771"/>
          <w:tab w:val="right" w:pos="9638"/>
        </w:tabs>
        <w:bidi/>
        <w:spacing w:after="40" w:line="360" w:lineRule="exact"/>
        <w:ind w:left="1531" w:right="882" w:hanging="1531"/>
        <w:jc w:val="lowKashida"/>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008861AE" w:rsidRPr="009A767D">
        <w:rPr>
          <w:rFonts w:cs="Traditional Arabic" w:hint="cs"/>
          <w:sz w:val="18"/>
          <w:szCs w:val="28"/>
          <w:rtl/>
          <w:lang w:val="fr-CH"/>
        </w:rPr>
        <w:tab/>
        <w:t>ألف</w:t>
      </w:r>
      <w:r w:rsidRPr="009A767D">
        <w:rPr>
          <w:rFonts w:cs="Traditional Arabic" w:hint="cs"/>
          <w:sz w:val="18"/>
          <w:szCs w:val="28"/>
          <w:rtl/>
          <w:lang w:val="fr-CH"/>
        </w:rPr>
        <w:tab/>
      </w:r>
      <w:r w:rsidR="008861AE" w:rsidRPr="009A767D">
        <w:rPr>
          <w:rFonts w:cs="Traditional Arabic" w:hint="cs"/>
          <w:sz w:val="18"/>
          <w:szCs w:val="28"/>
          <w:rtl/>
          <w:lang w:val="fr-CH"/>
        </w:rPr>
        <w:t>-</w:t>
      </w:r>
      <w:r w:rsidR="008861AE" w:rsidRPr="009A767D">
        <w:rPr>
          <w:rFonts w:cs="Traditional Arabic" w:hint="cs"/>
          <w:sz w:val="18"/>
          <w:szCs w:val="28"/>
          <w:rtl/>
          <w:lang w:val="fr-CH"/>
        </w:rPr>
        <w:tab/>
        <w:t>قرارات بشأن الأسس الموضوعية</w:t>
      </w:r>
      <w:r w:rsidR="00685F6F" w:rsidRPr="009A767D">
        <w:rPr>
          <w:rFonts w:cs="Traditional Arabic" w:hint="cs"/>
          <w:sz w:val="18"/>
          <w:szCs w:val="28"/>
          <w:rtl/>
          <w:lang w:val="fr-CH"/>
        </w:rPr>
        <w:tab/>
      </w:r>
      <w:r w:rsidR="00685F6F" w:rsidRPr="009A767D">
        <w:rPr>
          <w:rFonts w:cs="Traditional Arabic" w:hint="cs"/>
          <w:sz w:val="18"/>
          <w:szCs w:val="28"/>
          <w:rtl/>
          <w:lang w:val="fr-CH"/>
        </w:rPr>
        <w:tab/>
      </w:r>
      <w:r w:rsidR="00E22A1A">
        <w:rPr>
          <w:rFonts w:cs="Traditional Arabic" w:hint="cs"/>
          <w:sz w:val="18"/>
          <w:szCs w:val="28"/>
          <w:rtl/>
          <w:lang w:val="fr-CH"/>
        </w:rPr>
        <w:t>368</w:t>
      </w:r>
    </w:p>
    <w:p w:rsidR="008861AE" w:rsidRPr="009A767D" w:rsidRDefault="008861AE" w:rsidP="00685F6F">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385/2009: </w:t>
      </w:r>
      <w:r w:rsidRPr="009A767D">
        <w:rPr>
          <w:rFonts w:cs="Traditional Arabic" w:hint="cs"/>
          <w:i/>
          <w:iCs/>
          <w:sz w:val="18"/>
          <w:szCs w:val="28"/>
          <w:rtl/>
          <w:lang w:val="fr-CH"/>
        </w:rPr>
        <w:t>م. أ. ف. وآخرون ضد السويد</w:t>
      </w:r>
      <w:r w:rsidR="00E930B7" w:rsidRPr="009A767D">
        <w:rPr>
          <w:rFonts w:cs="Traditional Arabic" w:hint="cs"/>
          <w:sz w:val="18"/>
          <w:szCs w:val="28"/>
          <w:rtl/>
          <w:lang w:val="fr-CH"/>
        </w:rPr>
        <w:tab/>
      </w:r>
      <w:r w:rsidR="00E930B7" w:rsidRPr="009A767D">
        <w:rPr>
          <w:rFonts w:cs="Traditional Arabic" w:hint="cs"/>
          <w:sz w:val="18"/>
          <w:szCs w:val="28"/>
          <w:rtl/>
          <w:lang w:val="fr-CH"/>
        </w:rPr>
        <w:tab/>
      </w:r>
      <w:r w:rsidR="00E22A1A">
        <w:rPr>
          <w:rFonts w:cs="Traditional Arabic" w:hint="cs"/>
          <w:sz w:val="18"/>
          <w:szCs w:val="28"/>
          <w:rtl/>
          <w:lang w:val="fr-CH"/>
        </w:rPr>
        <w:t>368</w:t>
      </w:r>
    </w:p>
    <w:p w:rsidR="008861AE" w:rsidRPr="009A767D" w:rsidRDefault="008861AE" w:rsidP="00685F6F">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389/2009: </w:t>
      </w:r>
      <w:r w:rsidRPr="009A767D">
        <w:rPr>
          <w:rFonts w:cs="Traditional Arabic" w:hint="cs"/>
          <w:i/>
          <w:iCs/>
          <w:sz w:val="18"/>
          <w:szCs w:val="28"/>
          <w:rtl/>
          <w:lang w:val="fr-CH"/>
        </w:rPr>
        <w:t>ر. أ. ضد سويسرا</w:t>
      </w:r>
      <w:r w:rsidR="00E930B7" w:rsidRPr="009A767D">
        <w:rPr>
          <w:rFonts w:cs="Traditional Arabic" w:hint="cs"/>
          <w:sz w:val="18"/>
          <w:szCs w:val="28"/>
          <w:rtl/>
          <w:lang w:val="fr-CH"/>
        </w:rPr>
        <w:tab/>
      </w:r>
      <w:r w:rsidR="00E930B7" w:rsidRPr="009A767D">
        <w:rPr>
          <w:rFonts w:cs="Traditional Arabic" w:hint="cs"/>
          <w:sz w:val="18"/>
          <w:szCs w:val="28"/>
          <w:rtl/>
          <w:lang w:val="fr-CH"/>
        </w:rPr>
        <w:tab/>
      </w:r>
      <w:r w:rsidR="00E22A1A">
        <w:rPr>
          <w:rFonts w:cs="Traditional Arabic" w:hint="cs"/>
          <w:sz w:val="18"/>
          <w:szCs w:val="28"/>
          <w:rtl/>
          <w:lang w:val="fr-CH"/>
        </w:rPr>
        <w:t>379</w:t>
      </w:r>
    </w:p>
    <w:p w:rsidR="008861AE" w:rsidRPr="009A767D" w:rsidRDefault="008861AE" w:rsidP="00685F6F">
      <w:pPr>
        <w:tabs>
          <w:tab w:val="left" w:leader="dot" w:pos="8771"/>
          <w:tab w:val="right" w:pos="9638"/>
        </w:tabs>
        <w:bidi/>
        <w:spacing w:after="40" w:line="360" w:lineRule="exact"/>
        <w:ind w:left="2192" w:right="885"/>
        <w:jc w:val="lowKashida"/>
        <w:rPr>
          <w:rFonts w:cs="Traditional Arabic" w:hint="cs"/>
          <w:sz w:val="18"/>
          <w:szCs w:val="28"/>
          <w:lang w:val="fr-CH"/>
        </w:rPr>
      </w:pPr>
      <w:r w:rsidRPr="009A767D">
        <w:rPr>
          <w:rFonts w:cs="Traditional Arabic" w:hint="cs"/>
          <w:sz w:val="18"/>
          <w:szCs w:val="28"/>
          <w:rtl/>
          <w:lang w:val="fr-CH"/>
        </w:rPr>
        <w:t xml:space="preserve">البلاغ رقم 392/2009: </w:t>
      </w:r>
      <w:r w:rsidRPr="009A767D">
        <w:rPr>
          <w:rFonts w:cs="Traditional Arabic" w:hint="cs"/>
          <w:i/>
          <w:iCs/>
          <w:sz w:val="18"/>
          <w:szCs w:val="28"/>
          <w:rtl/>
          <w:lang w:val="fr-CH"/>
        </w:rPr>
        <w:t>ر. س. م. ضد كندا</w:t>
      </w:r>
      <w:r w:rsidR="00E930B7" w:rsidRPr="009A767D">
        <w:rPr>
          <w:rFonts w:cs="Traditional Arabic" w:hint="cs"/>
          <w:sz w:val="18"/>
          <w:szCs w:val="28"/>
          <w:rtl/>
          <w:lang w:val="fr-CH"/>
        </w:rPr>
        <w:tab/>
      </w:r>
      <w:r w:rsidR="00E930B7" w:rsidRPr="009A767D">
        <w:rPr>
          <w:rFonts w:cs="Traditional Arabic" w:hint="cs"/>
          <w:sz w:val="18"/>
          <w:szCs w:val="28"/>
          <w:rtl/>
          <w:lang w:val="fr-CH"/>
        </w:rPr>
        <w:tab/>
      </w:r>
      <w:r w:rsidR="00E22A1A">
        <w:rPr>
          <w:rFonts w:cs="Traditional Arabic" w:hint="cs"/>
          <w:sz w:val="18"/>
          <w:szCs w:val="28"/>
          <w:rtl/>
          <w:lang w:val="fr-CH"/>
        </w:rPr>
        <w:t>391</w:t>
      </w:r>
    </w:p>
    <w:p w:rsidR="008861AE" w:rsidRPr="009A767D" w:rsidRDefault="008861AE" w:rsidP="00685F6F">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406/2009: </w:t>
      </w:r>
      <w:r w:rsidRPr="009A767D">
        <w:rPr>
          <w:rFonts w:cs="Traditional Arabic" w:hint="cs"/>
          <w:i/>
          <w:iCs/>
          <w:sz w:val="18"/>
          <w:szCs w:val="28"/>
          <w:rtl/>
          <w:lang w:val="fr-CH"/>
        </w:rPr>
        <w:t>ص. م. ضد سويسرا</w:t>
      </w:r>
      <w:r w:rsidR="00E930B7" w:rsidRPr="009A767D">
        <w:rPr>
          <w:rFonts w:cs="Traditional Arabic" w:hint="cs"/>
          <w:sz w:val="18"/>
          <w:szCs w:val="28"/>
          <w:rtl/>
          <w:lang w:val="fr-CH"/>
        </w:rPr>
        <w:tab/>
      </w:r>
      <w:r w:rsidR="00E930B7" w:rsidRPr="009A767D">
        <w:rPr>
          <w:rFonts w:cs="Traditional Arabic" w:hint="cs"/>
          <w:sz w:val="18"/>
          <w:szCs w:val="28"/>
          <w:rtl/>
          <w:lang w:val="fr-CH"/>
        </w:rPr>
        <w:tab/>
      </w:r>
      <w:r w:rsidR="00E22A1A">
        <w:rPr>
          <w:rFonts w:cs="Traditional Arabic" w:hint="cs"/>
          <w:sz w:val="18"/>
          <w:szCs w:val="28"/>
          <w:rtl/>
          <w:lang w:val="fr-CH"/>
        </w:rPr>
        <w:t>401</w:t>
      </w:r>
    </w:p>
    <w:p w:rsidR="008861AE" w:rsidRPr="009A767D" w:rsidRDefault="008861AE" w:rsidP="00685F6F">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412/2010: </w:t>
      </w:r>
      <w:r w:rsidRPr="009A767D">
        <w:rPr>
          <w:rFonts w:cs="Traditional Arabic" w:hint="cs"/>
          <w:i/>
          <w:iCs/>
          <w:sz w:val="18"/>
          <w:szCs w:val="28"/>
          <w:rtl/>
          <w:lang w:val="fr-CH"/>
        </w:rPr>
        <w:t>ع. أ. ضد الدانمرك</w:t>
      </w:r>
      <w:r w:rsidR="00E930B7" w:rsidRPr="009A767D">
        <w:rPr>
          <w:rFonts w:cs="Traditional Arabic" w:hint="cs"/>
          <w:sz w:val="18"/>
          <w:szCs w:val="28"/>
          <w:rtl/>
          <w:lang w:val="fr-CH"/>
        </w:rPr>
        <w:tab/>
      </w:r>
      <w:r w:rsidR="00E930B7" w:rsidRPr="009A767D">
        <w:rPr>
          <w:rFonts w:cs="Traditional Arabic" w:hint="cs"/>
          <w:sz w:val="18"/>
          <w:szCs w:val="28"/>
          <w:rtl/>
          <w:lang w:val="fr-CH"/>
        </w:rPr>
        <w:tab/>
      </w:r>
      <w:r w:rsidR="00E22A1A">
        <w:rPr>
          <w:rFonts w:cs="Traditional Arabic" w:hint="cs"/>
          <w:sz w:val="18"/>
          <w:szCs w:val="28"/>
          <w:rtl/>
          <w:lang w:val="fr-CH"/>
        </w:rPr>
        <w:t>412</w:t>
      </w:r>
    </w:p>
    <w:p w:rsidR="008861AE" w:rsidRPr="009A767D" w:rsidRDefault="008861AE" w:rsidP="00685F6F">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416/2010: </w:t>
      </w:r>
      <w:r w:rsidRPr="009A767D">
        <w:rPr>
          <w:rFonts w:cs="Traditional Arabic" w:hint="cs"/>
          <w:i/>
          <w:iCs/>
          <w:sz w:val="18"/>
          <w:szCs w:val="28"/>
          <w:rtl/>
          <w:lang w:val="fr-CH"/>
        </w:rPr>
        <w:t>كي ضد أستراليا</w:t>
      </w:r>
      <w:r w:rsidR="00E930B7" w:rsidRPr="009A767D">
        <w:rPr>
          <w:rFonts w:cs="Traditional Arabic" w:hint="cs"/>
          <w:sz w:val="18"/>
          <w:szCs w:val="28"/>
          <w:rtl/>
          <w:lang w:val="fr-CH"/>
        </w:rPr>
        <w:tab/>
      </w:r>
      <w:r w:rsidR="00E930B7" w:rsidRPr="009A767D">
        <w:rPr>
          <w:rFonts w:cs="Traditional Arabic" w:hint="cs"/>
          <w:sz w:val="18"/>
          <w:szCs w:val="28"/>
          <w:rtl/>
          <w:lang w:val="fr-CH"/>
        </w:rPr>
        <w:tab/>
      </w:r>
      <w:r w:rsidR="00E22A1A">
        <w:rPr>
          <w:rFonts w:cs="Traditional Arabic" w:hint="cs"/>
          <w:sz w:val="18"/>
          <w:szCs w:val="28"/>
          <w:rtl/>
          <w:lang w:val="fr-CH"/>
        </w:rPr>
        <w:t>430</w:t>
      </w:r>
    </w:p>
    <w:p w:rsidR="008861AE" w:rsidRPr="009A767D" w:rsidRDefault="008861AE" w:rsidP="00E22A1A">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417/2010: </w:t>
      </w:r>
      <w:r w:rsidRPr="009A767D">
        <w:rPr>
          <w:rFonts w:cs="Traditional Arabic" w:hint="cs"/>
          <w:i/>
          <w:iCs/>
          <w:sz w:val="18"/>
          <w:szCs w:val="28"/>
          <w:rtl/>
          <w:lang w:val="fr-CH"/>
        </w:rPr>
        <w:t>ي. ر. س. ضد أستراليا</w:t>
      </w:r>
      <w:r w:rsidR="00E930B7" w:rsidRPr="009A767D">
        <w:rPr>
          <w:rFonts w:cs="Traditional Arabic" w:hint="cs"/>
          <w:sz w:val="18"/>
          <w:szCs w:val="28"/>
          <w:rtl/>
          <w:lang w:val="fr-CH"/>
        </w:rPr>
        <w:tab/>
      </w:r>
      <w:r w:rsidR="00E930B7" w:rsidRPr="009A767D">
        <w:rPr>
          <w:rFonts w:cs="Traditional Arabic" w:hint="cs"/>
          <w:sz w:val="18"/>
          <w:szCs w:val="28"/>
          <w:rtl/>
          <w:lang w:val="fr-CH"/>
        </w:rPr>
        <w:tab/>
      </w:r>
      <w:r w:rsidR="00E22A1A">
        <w:rPr>
          <w:rFonts w:cs="Traditional Arabic" w:hint="cs"/>
          <w:sz w:val="18"/>
          <w:szCs w:val="28"/>
          <w:rtl/>
          <w:lang w:val="fr-CH"/>
        </w:rPr>
        <w:t>442</w:t>
      </w:r>
    </w:p>
    <w:p w:rsidR="008861AE" w:rsidRPr="009A767D" w:rsidRDefault="008861AE" w:rsidP="00685F6F">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430/2010: </w:t>
      </w:r>
      <w:r w:rsidRPr="009A767D">
        <w:rPr>
          <w:rFonts w:cs="Traditional Arabic" w:hint="cs"/>
          <w:i/>
          <w:iCs/>
          <w:sz w:val="18"/>
          <w:szCs w:val="28"/>
          <w:rtl/>
          <w:lang w:val="fr-CH"/>
        </w:rPr>
        <w:t>عبيشو ضد ألمانيا</w:t>
      </w:r>
      <w:r w:rsidR="00E930B7" w:rsidRPr="009A767D">
        <w:rPr>
          <w:rFonts w:cs="Traditional Arabic" w:hint="cs"/>
          <w:sz w:val="18"/>
          <w:szCs w:val="28"/>
          <w:rtl/>
          <w:lang w:val="fr-CH"/>
        </w:rPr>
        <w:tab/>
      </w:r>
      <w:r w:rsidR="00E930B7" w:rsidRPr="009A767D">
        <w:rPr>
          <w:rFonts w:cs="Traditional Arabic" w:hint="cs"/>
          <w:sz w:val="18"/>
          <w:szCs w:val="28"/>
          <w:rtl/>
          <w:lang w:val="fr-CH"/>
        </w:rPr>
        <w:tab/>
      </w:r>
      <w:r w:rsidR="00E22A1A">
        <w:rPr>
          <w:rFonts w:cs="Traditional Arabic" w:hint="cs"/>
          <w:sz w:val="18"/>
          <w:szCs w:val="28"/>
          <w:rtl/>
          <w:lang w:val="fr-CH"/>
        </w:rPr>
        <w:t>456</w:t>
      </w:r>
    </w:p>
    <w:p w:rsidR="00E930B7" w:rsidRPr="009A767D" w:rsidRDefault="008861AE" w:rsidP="00685F6F">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431/2010: </w:t>
      </w:r>
      <w:r w:rsidRPr="009A767D">
        <w:rPr>
          <w:rFonts w:cs="Traditional Arabic" w:hint="cs"/>
          <w:i/>
          <w:iCs/>
          <w:sz w:val="18"/>
          <w:szCs w:val="28"/>
          <w:rtl/>
          <w:lang w:val="fr-CH"/>
        </w:rPr>
        <w:t>ي. ضد سويسرا</w:t>
      </w:r>
      <w:r w:rsidR="00E930B7" w:rsidRPr="009A767D">
        <w:rPr>
          <w:rFonts w:cs="Traditional Arabic" w:hint="cs"/>
          <w:sz w:val="18"/>
          <w:szCs w:val="28"/>
          <w:rtl/>
          <w:lang w:val="fr-CH"/>
        </w:rPr>
        <w:tab/>
      </w:r>
      <w:r w:rsidR="00E930B7" w:rsidRPr="009A767D">
        <w:rPr>
          <w:rFonts w:cs="Traditional Arabic" w:hint="cs"/>
          <w:sz w:val="18"/>
          <w:szCs w:val="28"/>
          <w:rtl/>
          <w:lang w:val="fr-CH"/>
        </w:rPr>
        <w:tab/>
      </w:r>
      <w:r w:rsidR="00E22A1A">
        <w:rPr>
          <w:rFonts w:cs="Traditional Arabic" w:hint="cs"/>
          <w:sz w:val="18"/>
          <w:szCs w:val="28"/>
          <w:rtl/>
          <w:lang w:val="fr-CH"/>
        </w:rPr>
        <w:t>476</w:t>
      </w:r>
    </w:p>
    <w:p w:rsidR="008861AE" w:rsidRPr="009A767D" w:rsidRDefault="008861AE" w:rsidP="00685F6F">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التذييل</w:t>
      </w:r>
      <w:r w:rsidR="00E930B7" w:rsidRPr="009A767D">
        <w:rPr>
          <w:rFonts w:cs="Traditional Arabic" w:hint="cs"/>
          <w:sz w:val="18"/>
          <w:szCs w:val="28"/>
          <w:rtl/>
          <w:lang w:val="fr-CH"/>
        </w:rPr>
        <w:tab/>
      </w:r>
      <w:r w:rsidR="00E930B7" w:rsidRPr="009A767D">
        <w:rPr>
          <w:rFonts w:cs="Traditional Arabic" w:hint="cs"/>
          <w:sz w:val="18"/>
          <w:szCs w:val="28"/>
          <w:rtl/>
          <w:lang w:val="fr-CH"/>
        </w:rPr>
        <w:tab/>
      </w:r>
      <w:r w:rsidR="00E22A1A">
        <w:rPr>
          <w:rFonts w:cs="Traditional Arabic" w:hint="cs"/>
          <w:sz w:val="18"/>
          <w:szCs w:val="28"/>
          <w:rtl/>
          <w:lang w:val="fr-CH"/>
        </w:rPr>
        <w:t>495</w:t>
      </w:r>
    </w:p>
    <w:p w:rsidR="00B06952" w:rsidRPr="009A767D" w:rsidRDefault="00B06952" w:rsidP="00685F6F">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432/2010: </w:t>
      </w:r>
      <w:r w:rsidRPr="009A767D">
        <w:rPr>
          <w:rFonts w:cs="Traditional Arabic" w:hint="cs"/>
          <w:i/>
          <w:iCs/>
          <w:sz w:val="18"/>
          <w:szCs w:val="28"/>
          <w:rtl/>
          <w:lang w:val="fr-CH"/>
        </w:rPr>
        <w:t>ح. ك. ضد سويسرا</w:t>
      </w:r>
      <w:r w:rsidRPr="009A767D">
        <w:rPr>
          <w:rFonts w:cs="Traditional Arabic" w:hint="cs"/>
          <w:sz w:val="18"/>
          <w:szCs w:val="28"/>
          <w:rtl/>
          <w:lang w:val="fr-CH"/>
        </w:rPr>
        <w:tab/>
      </w:r>
      <w:r w:rsidRPr="009A767D">
        <w:rPr>
          <w:rFonts w:cs="Traditional Arabic" w:hint="cs"/>
          <w:sz w:val="18"/>
          <w:szCs w:val="28"/>
          <w:rtl/>
          <w:lang w:val="fr-CH"/>
        </w:rPr>
        <w:tab/>
      </w:r>
      <w:r w:rsidR="00E22A1A">
        <w:rPr>
          <w:rFonts w:cs="Traditional Arabic" w:hint="cs"/>
          <w:sz w:val="18"/>
          <w:szCs w:val="28"/>
          <w:rtl/>
          <w:lang w:val="fr-CH"/>
        </w:rPr>
        <w:t>498</w:t>
      </w:r>
    </w:p>
    <w:p w:rsidR="00452F2A" w:rsidRPr="009A767D" w:rsidRDefault="00452F2A" w:rsidP="00685F6F">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435/2010: </w:t>
      </w:r>
      <w:r w:rsidRPr="009A767D">
        <w:rPr>
          <w:rFonts w:cs="Traditional Arabic" w:hint="cs"/>
          <w:i/>
          <w:iCs/>
          <w:sz w:val="18"/>
          <w:szCs w:val="28"/>
          <w:rtl/>
          <w:lang w:val="fr-CH"/>
        </w:rPr>
        <w:t>غ. ب. م. ضد السويد</w:t>
      </w:r>
      <w:r w:rsidR="00B06952" w:rsidRPr="009A767D">
        <w:rPr>
          <w:rFonts w:cs="Traditional Arabic" w:hint="cs"/>
          <w:sz w:val="18"/>
          <w:szCs w:val="28"/>
          <w:rtl/>
          <w:lang w:val="fr-CH"/>
        </w:rPr>
        <w:tab/>
      </w:r>
      <w:r w:rsidR="00B06952" w:rsidRPr="009A767D">
        <w:rPr>
          <w:rFonts w:cs="Traditional Arabic" w:hint="cs"/>
          <w:sz w:val="18"/>
          <w:szCs w:val="28"/>
          <w:rtl/>
          <w:lang w:val="fr-CH"/>
        </w:rPr>
        <w:tab/>
      </w:r>
      <w:r w:rsidR="00E22A1A">
        <w:rPr>
          <w:rFonts w:cs="Traditional Arabic" w:hint="cs"/>
          <w:sz w:val="18"/>
          <w:szCs w:val="28"/>
          <w:rtl/>
          <w:lang w:val="fr-CH"/>
        </w:rPr>
        <w:t>512</w:t>
      </w:r>
    </w:p>
    <w:p w:rsidR="00B06952" w:rsidRPr="009A767D" w:rsidRDefault="00B06952" w:rsidP="00685F6F">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439/2010: </w:t>
      </w:r>
      <w:r w:rsidRPr="009A767D">
        <w:rPr>
          <w:rFonts w:cs="Traditional Arabic" w:hint="cs"/>
          <w:i/>
          <w:iCs/>
          <w:sz w:val="18"/>
          <w:szCs w:val="28"/>
          <w:rtl/>
          <w:lang w:val="fr-CH"/>
        </w:rPr>
        <w:t>م. ب. ضد سويسرا</w:t>
      </w:r>
      <w:r w:rsidRPr="009A767D">
        <w:rPr>
          <w:rFonts w:cs="Traditional Arabic" w:hint="cs"/>
          <w:sz w:val="18"/>
          <w:szCs w:val="28"/>
          <w:rtl/>
          <w:lang w:val="fr-CH"/>
        </w:rPr>
        <w:tab/>
      </w:r>
      <w:r w:rsidRPr="009A767D">
        <w:rPr>
          <w:rFonts w:cs="Traditional Arabic" w:hint="cs"/>
          <w:sz w:val="18"/>
          <w:szCs w:val="28"/>
          <w:rtl/>
          <w:lang w:val="fr-CH"/>
        </w:rPr>
        <w:tab/>
      </w:r>
      <w:r w:rsidR="00E22A1A">
        <w:rPr>
          <w:rFonts w:cs="Traditional Arabic" w:hint="cs"/>
          <w:sz w:val="18"/>
          <w:szCs w:val="28"/>
          <w:rtl/>
          <w:lang w:val="fr-CH"/>
        </w:rPr>
        <w:t>524</w:t>
      </w:r>
    </w:p>
    <w:p w:rsidR="00452F2A" w:rsidRPr="009A767D" w:rsidRDefault="00452F2A" w:rsidP="00685F6F">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463/2011: </w:t>
      </w:r>
      <w:r w:rsidRPr="009A767D">
        <w:rPr>
          <w:rFonts w:cs="Traditional Arabic" w:hint="cs"/>
          <w:i/>
          <w:iCs/>
          <w:sz w:val="18"/>
          <w:szCs w:val="28"/>
          <w:rtl/>
          <w:lang w:val="fr-CH"/>
        </w:rPr>
        <w:t>د. واي. ضد السويد</w:t>
      </w:r>
      <w:r w:rsidR="00B06952" w:rsidRPr="009A767D">
        <w:rPr>
          <w:rFonts w:cs="Traditional Arabic" w:hint="cs"/>
          <w:sz w:val="18"/>
          <w:szCs w:val="28"/>
          <w:rtl/>
          <w:lang w:val="fr-CH"/>
        </w:rPr>
        <w:tab/>
      </w:r>
      <w:r w:rsidR="00B06952" w:rsidRPr="009A767D">
        <w:rPr>
          <w:rFonts w:cs="Traditional Arabic" w:hint="cs"/>
          <w:sz w:val="18"/>
          <w:szCs w:val="28"/>
          <w:rtl/>
          <w:lang w:val="fr-CH"/>
        </w:rPr>
        <w:tab/>
      </w:r>
      <w:r w:rsidR="00E22A1A">
        <w:rPr>
          <w:rFonts w:cs="Traditional Arabic" w:hint="cs"/>
          <w:sz w:val="18"/>
          <w:szCs w:val="28"/>
          <w:rtl/>
          <w:lang w:val="fr-CH"/>
        </w:rPr>
        <w:t>536</w:t>
      </w:r>
    </w:p>
    <w:p w:rsidR="00452F2A" w:rsidRPr="009A767D" w:rsidRDefault="00452F2A" w:rsidP="00685F6F">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464/2011: </w:t>
      </w:r>
      <w:r w:rsidRPr="009A767D">
        <w:rPr>
          <w:rFonts w:cs="Traditional Arabic" w:hint="cs"/>
          <w:i/>
          <w:iCs/>
          <w:sz w:val="18"/>
          <w:szCs w:val="28"/>
          <w:rtl/>
          <w:lang w:val="fr-CH"/>
        </w:rPr>
        <w:t>ك. ﻫ. ضد الدانمرك</w:t>
      </w:r>
      <w:r w:rsidR="00B06952" w:rsidRPr="009A767D">
        <w:rPr>
          <w:rFonts w:cs="Traditional Arabic" w:hint="cs"/>
          <w:sz w:val="18"/>
          <w:szCs w:val="28"/>
          <w:rtl/>
          <w:lang w:val="fr-CH"/>
        </w:rPr>
        <w:tab/>
      </w:r>
      <w:r w:rsidR="00B06952" w:rsidRPr="009A767D">
        <w:rPr>
          <w:rFonts w:cs="Traditional Arabic" w:hint="cs"/>
          <w:sz w:val="18"/>
          <w:szCs w:val="28"/>
          <w:rtl/>
          <w:lang w:val="fr-CH"/>
        </w:rPr>
        <w:tab/>
      </w:r>
      <w:r w:rsidR="00E22A1A">
        <w:rPr>
          <w:rFonts w:cs="Traditional Arabic" w:hint="cs"/>
          <w:sz w:val="18"/>
          <w:szCs w:val="28"/>
          <w:rtl/>
          <w:lang w:val="fr-CH"/>
        </w:rPr>
        <w:t>552</w:t>
      </w:r>
    </w:p>
    <w:p w:rsidR="00452F2A" w:rsidRPr="009A767D" w:rsidRDefault="00452F2A" w:rsidP="00685F6F">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467/2011: ي. ب. ف. </w:t>
      </w:r>
      <w:r w:rsidRPr="009A767D">
        <w:rPr>
          <w:rFonts w:cs="Traditional Arabic" w:hint="cs"/>
          <w:i/>
          <w:iCs/>
          <w:sz w:val="18"/>
          <w:szCs w:val="28"/>
          <w:rtl/>
          <w:lang w:val="fr-CH"/>
        </w:rPr>
        <w:t>وآخرون ضد سويسرا</w:t>
      </w:r>
      <w:r w:rsidR="00B06952" w:rsidRPr="009A767D">
        <w:rPr>
          <w:rFonts w:cs="Traditional Arabic" w:hint="cs"/>
          <w:sz w:val="18"/>
          <w:szCs w:val="28"/>
          <w:rtl/>
          <w:lang w:val="fr-CH"/>
        </w:rPr>
        <w:tab/>
      </w:r>
      <w:r w:rsidR="00B06952" w:rsidRPr="009A767D">
        <w:rPr>
          <w:rFonts w:cs="Traditional Arabic" w:hint="cs"/>
          <w:sz w:val="18"/>
          <w:szCs w:val="28"/>
          <w:rtl/>
          <w:lang w:val="fr-CH"/>
        </w:rPr>
        <w:tab/>
      </w:r>
      <w:r w:rsidR="00E22A1A">
        <w:rPr>
          <w:rFonts w:cs="Traditional Arabic" w:hint="cs"/>
          <w:sz w:val="18"/>
          <w:szCs w:val="28"/>
          <w:rtl/>
          <w:lang w:val="fr-CH"/>
        </w:rPr>
        <w:t>567</w:t>
      </w:r>
    </w:p>
    <w:p w:rsidR="00B06952" w:rsidRPr="009A767D" w:rsidRDefault="00685F6F" w:rsidP="00685F6F">
      <w:pPr>
        <w:tabs>
          <w:tab w:val="right" w:pos="1021"/>
          <w:tab w:val="left" w:pos="1077"/>
          <w:tab w:val="left" w:pos="1525"/>
          <w:tab w:val="left" w:pos="1842"/>
          <w:tab w:val="left" w:pos="2206"/>
          <w:tab w:val="left" w:pos="2681"/>
          <w:tab w:val="left" w:leader="dot" w:pos="8771"/>
          <w:tab w:val="right" w:pos="9638"/>
        </w:tabs>
        <w:bidi/>
        <w:spacing w:after="40" w:line="360" w:lineRule="exact"/>
        <w:ind w:left="1531" w:right="882" w:hanging="1531"/>
        <w:jc w:val="lowKashida"/>
        <w:rPr>
          <w:rFonts w:cs="Traditional Arabic" w:hint="cs"/>
          <w:sz w:val="18"/>
          <w:szCs w:val="28"/>
          <w:rtl/>
          <w:lang w:val="fr-CH"/>
        </w:rPr>
      </w:pPr>
      <w:r w:rsidRPr="009A767D">
        <w:rPr>
          <w:rFonts w:cs="Traditional Arabic" w:hint="cs"/>
          <w:sz w:val="18"/>
          <w:szCs w:val="28"/>
          <w:rtl/>
          <w:lang w:val="fr-CH"/>
        </w:rPr>
        <w:tab/>
      </w:r>
      <w:r w:rsidRPr="009A767D">
        <w:rPr>
          <w:rFonts w:cs="Traditional Arabic" w:hint="cs"/>
          <w:sz w:val="18"/>
          <w:szCs w:val="28"/>
          <w:rtl/>
          <w:lang w:val="fr-CH"/>
        </w:rPr>
        <w:tab/>
      </w:r>
      <w:r w:rsidRPr="009A767D">
        <w:rPr>
          <w:rFonts w:cs="Traditional Arabic" w:hint="cs"/>
          <w:sz w:val="18"/>
          <w:szCs w:val="28"/>
          <w:rtl/>
          <w:lang w:val="fr-CH"/>
        </w:rPr>
        <w:tab/>
        <w:t>باء</w:t>
      </w:r>
      <w:r w:rsidRPr="009A767D">
        <w:rPr>
          <w:rFonts w:cs="Traditional Arabic" w:hint="cs"/>
          <w:sz w:val="18"/>
          <w:szCs w:val="28"/>
          <w:rtl/>
          <w:lang w:val="fr-CH"/>
        </w:rPr>
        <w:tab/>
        <w:t>-</w:t>
      </w:r>
      <w:r w:rsidRPr="009A767D">
        <w:rPr>
          <w:rFonts w:cs="Traditional Arabic" w:hint="cs"/>
          <w:sz w:val="18"/>
          <w:szCs w:val="28"/>
          <w:rtl/>
          <w:lang w:val="fr-CH"/>
        </w:rPr>
        <w:tab/>
        <w:t>قرارات بشأن المقبولية</w:t>
      </w:r>
      <w:r w:rsidRPr="009A767D">
        <w:rPr>
          <w:rFonts w:cs="Traditional Arabic" w:hint="cs"/>
          <w:sz w:val="18"/>
          <w:szCs w:val="28"/>
          <w:rtl/>
          <w:lang w:val="fr-CH"/>
        </w:rPr>
        <w:tab/>
      </w:r>
      <w:r w:rsidRPr="009A767D">
        <w:rPr>
          <w:rFonts w:cs="Traditional Arabic" w:hint="cs"/>
          <w:sz w:val="18"/>
          <w:szCs w:val="28"/>
          <w:rtl/>
          <w:lang w:val="fr-CH"/>
        </w:rPr>
        <w:tab/>
      </w:r>
      <w:r w:rsidR="00E22A1A">
        <w:rPr>
          <w:rFonts w:cs="Traditional Arabic" w:hint="cs"/>
          <w:sz w:val="18"/>
          <w:szCs w:val="28"/>
          <w:rtl/>
          <w:lang w:val="fr-CH"/>
        </w:rPr>
        <w:t>584</w:t>
      </w:r>
    </w:p>
    <w:p w:rsidR="00452F2A" w:rsidRPr="009A767D" w:rsidRDefault="00452F2A" w:rsidP="00685F6F">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346/2008: </w:t>
      </w:r>
      <w:r w:rsidRPr="009A767D">
        <w:rPr>
          <w:rFonts w:cs="Traditional Arabic" w:hint="cs"/>
          <w:i/>
          <w:iCs/>
          <w:sz w:val="18"/>
          <w:szCs w:val="28"/>
          <w:rtl/>
          <w:lang w:val="fr-CH"/>
        </w:rPr>
        <w:t>س. أ. س. ضد موناكو</w:t>
      </w:r>
      <w:r w:rsidR="00B06952" w:rsidRPr="009A767D">
        <w:rPr>
          <w:rFonts w:cs="Traditional Arabic" w:hint="cs"/>
          <w:sz w:val="18"/>
          <w:szCs w:val="28"/>
          <w:rtl/>
          <w:lang w:val="fr-CH"/>
        </w:rPr>
        <w:tab/>
      </w:r>
      <w:r w:rsidR="00B06952" w:rsidRPr="009A767D">
        <w:rPr>
          <w:rFonts w:cs="Traditional Arabic" w:hint="cs"/>
          <w:sz w:val="18"/>
          <w:szCs w:val="28"/>
          <w:rtl/>
          <w:lang w:val="fr-CH"/>
        </w:rPr>
        <w:tab/>
      </w:r>
      <w:r w:rsidR="00E22A1A">
        <w:rPr>
          <w:rFonts w:cs="Traditional Arabic" w:hint="cs"/>
          <w:sz w:val="18"/>
          <w:szCs w:val="28"/>
          <w:rtl/>
          <w:lang w:val="fr-CH"/>
        </w:rPr>
        <w:t>584</w:t>
      </w:r>
    </w:p>
    <w:p w:rsidR="00452F2A" w:rsidRPr="009A767D" w:rsidRDefault="00452F2A" w:rsidP="00685F6F">
      <w:pPr>
        <w:tabs>
          <w:tab w:val="left" w:leader="dot" w:pos="8771"/>
          <w:tab w:val="right" w:pos="9638"/>
        </w:tabs>
        <w:bidi/>
        <w:spacing w:after="4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425/2010: </w:t>
      </w:r>
      <w:r w:rsidRPr="009A767D">
        <w:rPr>
          <w:rFonts w:cs="Traditional Arabic" w:hint="cs"/>
          <w:i/>
          <w:iCs/>
          <w:sz w:val="18"/>
          <w:szCs w:val="28"/>
          <w:rtl/>
          <w:lang w:val="fr-CH"/>
        </w:rPr>
        <w:t>إ. أ. ف. ب. ضد السويد</w:t>
      </w:r>
      <w:r w:rsidR="00B06952" w:rsidRPr="009A767D">
        <w:rPr>
          <w:rFonts w:cs="Traditional Arabic" w:hint="cs"/>
          <w:sz w:val="18"/>
          <w:szCs w:val="28"/>
          <w:rtl/>
          <w:lang w:val="fr-CH"/>
        </w:rPr>
        <w:tab/>
      </w:r>
      <w:r w:rsidR="00B06952" w:rsidRPr="009A767D">
        <w:rPr>
          <w:rFonts w:cs="Traditional Arabic" w:hint="cs"/>
          <w:sz w:val="18"/>
          <w:szCs w:val="28"/>
          <w:rtl/>
          <w:lang w:val="fr-CH"/>
        </w:rPr>
        <w:tab/>
      </w:r>
      <w:r w:rsidR="00E22A1A">
        <w:rPr>
          <w:rFonts w:cs="Traditional Arabic" w:hint="cs"/>
          <w:sz w:val="18"/>
          <w:szCs w:val="28"/>
          <w:rtl/>
          <w:lang w:val="fr-CH"/>
        </w:rPr>
        <w:t>593</w:t>
      </w:r>
    </w:p>
    <w:p w:rsidR="00452F2A" w:rsidRPr="009A767D" w:rsidRDefault="00452F2A" w:rsidP="00685F6F">
      <w:pPr>
        <w:tabs>
          <w:tab w:val="left" w:leader="dot" w:pos="8771"/>
          <w:tab w:val="right" w:pos="9638"/>
        </w:tabs>
        <w:bidi/>
        <w:spacing w:after="40" w:line="360" w:lineRule="exact"/>
        <w:ind w:left="2194" w:right="885"/>
        <w:jc w:val="lowKashida"/>
        <w:rPr>
          <w:rFonts w:cs="Traditional Arabic" w:hint="cs"/>
          <w:sz w:val="18"/>
          <w:szCs w:val="28"/>
          <w:rtl/>
          <w:lang w:val="fr-CH"/>
        </w:rPr>
      </w:pPr>
      <w:r w:rsidRPr="009A767D">
        <w:rPr>
          <w:rFonts w:cs="Traditional Arabic" w:hint="cs"/>
          <w:sz w:val="18"/>
          <w:szCs w:val="28"/>
          <w:rtl/>
          <w:lang w:val="fr-CH"/>
        </w:rPr>
        <w:t xml:space="preserve">البلاغ رقم 437/2010: </w:t>
      </w:r>
      <w:r w:rsidRPr="009A767D">
        <w:rPr>
          <w:rFonts w:cs="Traditional Arabic" w:hint="cs"/>
          <w:i/>
          <w:iCs/>
          <w:sz w:val="18"/>
          <w:szCs w:val="28"/>
          <w:rtl/>
          <w:lang w:val="fr-CH"/>
        </w:rPr>
        <w:t>ب. م. س. ضد السويد</w:t>
      </w:r>
      <w:r w:rsidR="00B06952" w:rsidRPr="009A767D">
        <w:rPr>
          <w:rFonts w:cs="Traditional Arabic" w:hint="cs"/>
          <w:sz w:val="18"/>
          <w:szCs w:val="28"/>
          <w:rtl/>
          <w:lang w:val="fr-CH"/>
        </w:rPr>
        <w:tab/>
      </w:r>
      <w:r w:rsidR="00B06952" w:rsidRPr="009A767D">
        <w:rPr>
          <w:rFonts w:cs="Traditional Arabic" w:hint="cs"/>
          <w:sz w:val="18"/>
          <w:szCs w:val="28"/>
          <w:rtl/>
          <w:lang w:val="fr-CH"/>
        </w:rPr>
        <w:tab/>
      </w:r>
      <w:r w:rsidR="00E22A1A">
        <w:rPr>
          <w:rFonts w:cs="Traditional Arabic" w:hint="cs"/>
          <w:sz w:val="18"/>
          <w:szCs w:val="28"/>
          <w:rtl/>
          <w:lang w:val="fr-CH"/>
        </w:rPr>
        <w:t>603</w:t>
      </w:r>
    </w:p>
    <w:p w:rsidR="00685F6F" w:rsidRPr="009A767D" w:rsidRDefault="00685F6F" w:rsidP="00685F6F">
      <w:pPr>
        <w:tabs>
          <w:tab w:val="left" w:leader="dot" w:pos="8771"/>
          <w:tab w:val="right" w:pos="9638"/>
        </w:tabs>
        <w:bidi/>
        <w:spacing w:after="120" w:line="360" w:lineRule="exact"/>
        <w:ind w:left="2192" w:right="885"/>
        <w:jc w:val="lowKashida"/>
        <w:rPr>
          <w:rFonts w:cs="Traditional Arabic" w:hint="cs"/>
          <w:sz w:val="18"/>
          <w:szCs w:val="28"/>
          <w:rtl/>
          <w:lang w:val="fr-CH"/>
        </w:rPr>
      </w:pPr>
      <w:r w:rsidRPr="009A767D">
        <w:rPr>
          <w:rFonts w:cs="Traditional Arabic" w:hint="cs"/>
          <w:sz w:val="18"/>
          <w:szCs w:val="28"/>
          <w:rtl/>
          <w:lang w:val="fr-CH"/>
        </w:rPr>
        <w:t xml:space="preserve">البلاغ رقم 479/2011: </w:t>
      </w:r>
      <w:r w:rsidRPr="009A767D">
        <w:rPr>
          <w:rFonts w:cs="Traditional Arabic" w:hint="cs"/>
          <w:i/>
          <w:iCs/>
          <w:sz w:val="18"/>
          <w:szCs w:val="28"/>
          <w:rtl/>
          <w:lang w:val="fr-CH"/>
        </w:rPr>
        <w:t>ي. ي. ضد الاتحاد الروسي</w:t>
      </w:r>
      <w:r w:rsidRPr="009A767D">
        <w:rPr>
          <w:rFonts w:cs="Traditional Arabic" w:hint="cs"/>
          <w:sz w:val="18"/>
          <w:szCs w:val="28"/>
          <w:rtl/>
          <w:lang w:val="fr-CH"/>
        </w:rPr>
        <w:tab/>
      </w:r>
      <w:r w:rsidRPr="009A767D">
        <w:rPr>
          <w:rFonts w:cs="Traditional Arabic" w:hint="cs"/>
          <w:sz w:val="18"/>
          <w:szCs w:val="28"/>
          <w:rtl/>
          <w:lang w:val="fr-CH"/>
        </w:rPr>
        <w:tab/>
      </w:r>
      <w:r w:rsidR="00E22A1A">
        <w:rPr>
          <w:rFonts w:cs="Traditional Arabic" w:hint="cs"/>
          <w:sz w:val="18"/>
          <w:szCs w:val="28"/>
          <w:rtl/>
          <w:lang w:val="fr-CH"/>
        </w:rPr>
        <w:t>610</w:t>
      </w:r>
    </w:p>
    <w:p w:rsidR="00AD18A8" w:rsidRDefault="00AD18A8" w:rsidP="00D913CB">
      <w:pPr>
        <w:pStyle w:val="SingleTxtGA"/>
        <w:rPr>
          <w:rFonts w:hint="cs"/>
          <w:rtl/>
        </w:rPr>
      </w:pPr>
    </w:p>
    <w:p w:rsidR="00AD18A8" w:rsidRDefault="00AD18A8" w:rsidP="00D913CB">
      <w:pPr>
        <w:pStyle w:val="SingleTxtGA"/>
        <w:rPr>
          <w:rFonts w:hint="cs"/>
          <w:rtl/>
        </w:rPr>
        <w:sectPr w:rsidR="00AD18A8" w:rsidSect="00B927BD">
          <w:headerReference w:type="even" r:id="rId24"/>
          <w:headerReference w:type="default" r:id="rId25"/>
          <w:footerReference w:type="even" r:id="rId26"/>
          <w:footerReference w:type="default" r:id="rId27"/>
          <w:endnotePr>
            <w:numFmt w:val="decimal"/>
          </w:endnotePr>
          <w:pgSz w:w="11907" w:h="16840" w:code="9"/>
          <w:pgMar w:top="1701" w:right="1134" w:bottom="2268" w:left="1134" w:header="1134" w:footer="1701" w:gutter="0"/>
          <w:pgNumType w:fmt="lowerRoman" w:start="4"/>
          <w:cols w:space="720"/>
          <w:bidi/>
          <w:rtlGutter/>
          <w:docGrid w:linePitch="360"/>
        </w:sectPr>
      </w:pPr>
    </w:p>
    <w:p w:rsidR="008D66CD" w:rsidRPr="004F087D" w:rsidRDefault="00B927BD" w:rsidP="00DB5483">
      <w:pPr>
        <w:pStyle w:val="HChGA"/>
        <w:spacing w:before="120"/>
        <w:rPr>
          <w:rFonts w:hint="cs"/>
          <w:rtl/>
        </w:rPr>
      </w:pPr>
      <w:r>
        <w:rPr>
          <w:rFonts w:hint="cs"/>
          <w:rtl/>
        </w:rPr>
        <w:tab/>
      </w:r>
      <w:r w:rsidR="008D66CD" w:rsidRPr="004F087D">
        <w:rPr>
          <w:rFonts w:hint="cs"/>
          <w:rtl/>
        </w:rPr>
        <w:t>أولاً</w:t>
      </w:r>
      <w:r>
        <w:rPr>
          <w:rFonts w:hint="cs"/>
          <w:rtl/>
        </w:rPr>
        <w:t>-</w:t>
      </w:r>
      <w:r w:rsidR="008D66CD" w:rsidRPr="004F087D">
        <w:rPr>
          <w:rFonts w:hint="cs"/>
          <w:rtl/>
        </w:rPr>
        <w:tab/>
      </w:r>
      <w:r w:rsidR="008D66CD" w:rsidRPr="004F087D">
        <w:rPr>
          <w:rtl/>
        </w:rPr>
        <w:t>المسائل التنظيمية ومسائل أخرى</w:t>
      </w:r>
    </w:p>
    <w:p w:rsidR="008D66CD" w:rsidRPr="004F087D" w:rsidRDefault="008D66CD" w:rsidP="00E470AE">
      <w:pPr>
        <w:pStyle w:val="H1GA"/>
        <w:rPr>
          <w:rFonts w:hint="cs"/>
          <w:rtl/>
        </w:rPr>
      </w:pPr>
      <w:r w:rsidRPr="004F087D">
        <w:rPr>
          <w:rFonts w:hint="cs"/>
          <w:rtl/>
        </w:rPr>
        <w:tab/>
      </w:r>
      <w:r w:rsidRPr="004F087D">
        <w:rPr>
          <w:rtl/>
        </w:rPr>
        <w:t>ألف-</w:t>
      </w:r>
      <w:r w:rsidRPr="004F087D">
        <w:rPr>
          <w:rFonts w:hint="cs"/>
          <w:rtl/>
        </w:rPr>
        <w:tab/>
      </w:r>
      <w:r w:rsidRPr="004F087D">
        <w:rPr>
          <w:rtl/>
        </w:rPr>
        <w:t xml:space="preserve">الدول الأطراف في </w:t>
      </w:r>
      <w:r w:rsidRPr="004F087D">
        <w:rPr>
          <w:rFonts w:hint="cs"/>
          <w:rtl/>
        </w:rPr>
        <w:t>الا</w:t>
      </w:r>
      <w:r w:rsidRPr="004F087D">
        <w:rPr>
          <w:rtl/>
        </w:rPr>
        <w:t>تفاقية</w:t>
      </w:r>
    </w:p>
    <w:p w:rsidR="008D66CD" w:rsidRPr="00EB7D49" w:rsidRDefault="008D66CD" w:rsidP="007E4A52">
      <w:pPr>
        <w:pStyle w:val="SingleTxtGA"/>
        <w:rPr>
          <w:rFonts w:hint="cs"/>
          <w:rtl/>
        </w:rPr>
      </w:pPr>
      <w:r w:rsidRPr="00EB7D49">
        <w:rPr>
          <w:rtl/>
        </w:rPr>
        <w:t>1</w:t>
      </w:r>
      <w:r w:rsidRPr="00EB7D49">
        <w:rPr>
          <w:rFonts w:hint="cs"/>
          <w:rtl/>
        </w:rPr>
        <w:t>-</w:t>
      </w:r>
      <w:r w:rsidRPr="00EB7D49">
        <w:rPr>
          <w:rtl/>
        </w:rPr>
        <w:tab/>
      </w:r>
      <w:r w:rsidRPr="00EB7D49">
        <w:rPr>
          <w:rFonts w:hint="cs"/>
          <w:rtl/>
        </w:rPr>
        <w:t>في 31 أيار/مايو 2013</w:t>
      </w:r>
      <w:r w:rsidRPr="00EB7D49">
        <w:rPr>
          <w:rtl/>
        </w:rPr>
        <w:t xml:space="preserve">، تاريخ اختتام الدورة </w:t>
      </w:r>
      <w:r w:rsidRPr="00EB7D49">
        <w:rPr>
          <w:rFonts w:hint="cs"/>
          <w:rtl/>
        </w:rPr>
        <w:t xml:space="preserve">الخمسين </w:t>
      </w:r>
      <w:r w:rsidRPr="00EB7D49">
        <w:rPr>
          <w:rtl/>
        </w:rPr>
        <w:t>للجنة مناهضة</w:t>
      </w:r>
      <w:r w:rsidRPr="00EB7D49">
        <w:rPr>
          <w:rFonts w:hint="cs"/>
          <w:rtl/>
        </w:rPr>
        <w:t> </w:t>
      </w:r>
      <w:r w:rsidRPr="00EB7D49">
        <w:rPr>
          <w:rtl/>
        </w:rPr>
        <w:t>التعذيب</w:t>
      </w:r>
      <w:r w:rsidRPr="00EB7D49">
        <w:rPr>
          <w:rFonts w:hint="cs"/>
          <w:rtl/>
        </w:rPr>
        <w:t xml:space="preserve"> (المشار إليها فيما يلي ﺑ "اللجنة")</w:t>
      </w:r>
      <w:r w:rsidRPr="00EB7D49">
        <w:rPr>
          <w:rtl/>
        </w:rPr>
        <w:t>،</w:t>
      </w:r>
      <w:r w:rsidRPr="00EB7D49">
        <w:rPr>
          <w:rFonts w:hint="cs"/>
          <w:rtl/>
        </w:rPr>
        <w:t xml:space="preserve"> بلغ عدد الدول الأطراف</w:t>
      </w:r>
      <w:r w:rsidRPr="00EB7D49">
        <w:rPr>
          <w:rtl/>
        </w:rPr>
        <w:t xml:space="preserve"> في اتفاقية مناهضة التعذيب</w:t>
      </w:r>
      <w:r w:rsidRPr="00EB7D49">
        <w:rPr>
          <w:rFonts w:hint="cs"/>
          <w:rtl/>
        </w:rPr>
        <w:t> </w:t>
      </w:r>
      <w:r w:rsidRPr="00EB7D49">
        <w:rPr>
          <w:rtl/>
        </w:rPr>
        <w:t>وغيره من ضروب المعاملة أو العقوبة القاسية أو اللاإنسانية أو المهينة</w:t>
      </w:r>
      <w:r w:rsidRPr="00EB7D49">
        <w:rPr>
          <w:rFonts w:hint="cs"/>
          <w:rtl/>
        </w:rPr>
        <w:t xml:space="preserve"> (المشار إليها فيما يلي ﺑ</w:t>
      </w:r>
      <w:r w:rsidRPr="00EB7D49">
        <w:rPr>
          <w:rFonts w:hint="eastAsia"/>
          <w:rtl/>
        </w:rPr>
        <w:t> </w:t>
      </w:r>
      <w:r w:rsidRPr="00EB7D49">
        <w:rPr>
          <w:rFonts w:hint="cs"/>
          <w:rtl/>
        </w:rPr>
        <w:t>"الاتفاقية")</w:t>
      </w:r>
      <w:r w:rsidRPr="00EB7D49">
        <w:rPr>
          <w:rtl/>
        </w:rPr>
        <w:t xml:space="preserve"> </w:t>
      </w:r>
      <w:r w:rsidRPr="00EB7D49">
        <w:rPr>
          <w:rFonts w:hint="cs"/>
          <w:rtl/>
        </w:rPr>
        <w:t xml:space="preserve">153 دولة. وكانت الجمعية العامة قد اعتمدت الاتفاقية </w:t>
      </w:r>
      <w:r w:rsidRPr="00EB7D49">
        <w:rPr>
          <w:rtl/>
        </w:rPr>
        <w:t>في قرارها</w:t>
      </w:r>
      <w:r w:rsidRPr="00EB7D49">
        <w:rPr>
          <w:rFonts w:hint="cs"/>
          <w:rtl/>
        </w:rPr>
        <w:t> </w:t>
      </w:r>
      <w:r w:rsidRPr="00EB7D49">
        <w:rPr>
          <w:rtl/>
        </w:rPr>
        <w:t>39/46</w:t>
      </w:r>
      <w:r w:rsidRPr="00EB7D49">
        <w:rPr>
          <w:rFonts w:hint="cs"/>
          <w:rtl/>
        </w:rPr>
        <w:t xml:space="preserve"> </w:t>
      </w:r>
      <w:r w:rsidRPr="00EB7D49">
        <w:rPr>
          <w:rtl/>
        </w:rPr>
        <w:t xml:space="preserve">المؤرخ 10 كانون الأول/ديسمبر </w:t>
      </w:r>
      <w:r w:rsidRPr="00EB7D49">
        <w:rPr>
          <w:rFonts w:hint="cs"/>
          <w:rtl/>
        </w:rPr>
        <w:t>1</w:t>
      </w:r>
      <w:r w:rsidRPr="00EB7D49">
        <w:rPr>
          <w:rtl/>
        </w:rPr>
        <w:t>984</w:t>
      </w:r>
      <w:r w:rsidRPr="00EB7D49">
        <w:rPr>
          <w:rFonts w:hint="cs"/>
          <w:rtl/>
        </w:rPr>
        <w:t>،</w:t>
      </w:r>
      <w:r w:rsidRPr="00EB7D49">
        <w:rPr>
          <w:rtl/>
        </w:rPr>
        <w:t xml:space="preserve"> وبدأ نفاذ</w:t>
      </w:r>
      <w:r w:rsidRPr="00EB7D49">
        <w:rPr>
          <w:rFonts w:hint="cs"/>
          <w:rtl/>
        </w:rPr>
        <w:t xml:space="preserve"> الاتفاقية</w:t>
      </w:r>
      <w:r w:rsidRPr="00EB7D49">
        <w:rPr>
          <w:rtl/>
        </w:rPr>
        <w:t xml:space="preserve"> في 26 حزيران/يونيه 1987</w:t>
      </w:r>
      <w:r w:rsidRPr="00EB7D49">
        <w:rPr>
          <w:rFonts w:hint="cs"/>
          <w:rtl/>
        </w:rPr>
        <w:t>.</w:t>
      </w:r>
    </w:p>
    <w:p w:rsidR="008D66CD" w:rsidRPr="004F087D" w:rsidRDefault="008D66CD" w:rsidP="007E4A52">
      <w:pPr>
        <w:pStyle w:val="SingleTxtGA"/>
        <w:rPr>
          <w:rtl/>
        </w:rPr>
      </w:pPr>
      <w:r w:rsidRPr="004F087D">
        <w:rPr>
          <w:rFonts w:hint="cs"/>
          <w:rtl/>
        </w:rPr>
        <w:t>2-</w:t>
      </w:r>
      <w:r w:rsidRPr="004F087D">
        <w:rPr>
          <w:rFonts w:hint="cs"/>
          <w:rtl/>
        </w:rPr>
        <w:tab/>
        <w:t xml:space="preserve">وترد في المرفق الأول لهذا التقرير قائمة بالدول التي وقعت أو صدقت على الاتفاقية أو انضمت إليها. أما قائمة الدول الأطراف التي أعلنت أنها لا تعترف باختصاص اللجنة المنصوص عليه في المادة 20 من الاتفاقية فترد في المرفق الثاني. وترد في المرفق الثالث قائمة بالدول الأطراف التي أصدرت الإعلانين المنصوص عليهما في المادتين </w:t>
      </w:r>
      <w:r w:rsidRPr="004F087D">
        <w:rPr>
          <w:rtl/>
        </w:rPr>
        <w:t>21</w:t>
      </w:r>
      <w:r w:rsidRPr="004F087D">
        <w:rPr>
          <w:rFonts w:hint="cs"/>
          <w:rtl/>
        </w:rPr>
        <w:t xml:space="preserve"> </w:t>
      </w:r>
      <w:r w:rsidRPr="004F087D">
        <w:rPr>
          <w:rtl/>
        </w:rPr>
        <w:t>و22 من الاتفاقية.</w:t>
      </w:r>
    </w:p>
    <w:p w:rsidR="008D66CD" w:rsidRPr="004F087D" w:rsidRDefault="008D66CD" w:rsidP="00E470AE">
      <w:pPr>
        <w:pStyle w:val="SingleTxtGA"/>
        <w:rPr>
          <w:rFonts w:hint="cs"/>
          <w:rtl/>
        </w:rPr>
      </w:pPr>
      <w:r w:rsidRPr="004F087D">
        <w:rPr>
          <w:rFonts w:hint="cs"/>
          <w:rtl/>
        </w:rPr>
        <w:t>3</w:t>
      </w:r>
      <w:r w:rsidRPr="004F087D">
        <w:rPr>
          <w:rtl/>
        </w:rPr>
        <w:t>-</w:t>
      </w:r>
      <w:r w:rsidRPr="004F087D">
        <w:rPr>
          <w:rtl/>
        </w:rPr>
        <w:tab/>
      </w:r>
      <w:r w:rsidRPr="004F087D">
        <w:rPr>
          <w:rFonts w:hint="cs"/>
          <w:rtl/>
        </w:rPr>
        <w:t xml:space="preserve">ويمكن الحصول على نص الإعلانات أو التحفظات أو الاعتراضات التي أبدتها الدول الأطراف فيما يتعلق بالاتفاقية من موقع الأمم المتحدة الشبكي </w:t>
      </w:r>
      <w:r w:rsidRPr="004F087D">
        <w:t>(http://treaties.un.org)</w:t>
      </w:r>
      <w:r w:rsidRPr="004F087D">
        <w:rPr>
          <w:rFonts w:hint="cs"/>
          <w:rtl/>
        </w:rPr>
        <w:t>.</w:t>
      </w:r>
    </w:p>
    <w:p w:rsidR="008D66CD" w:rsidRPr="004F087D" w:rsidRDefault="008D66CD" w:rsidP="007E4A52">
      <w:pPr>
        <w:pStyle w:val="H1GA"/>
        <w:rPr>
          <w:rFonts w:hint="cs"/>
          <w:rtl/>
        </w:rPr>
      </w:pPr>
      <w:r w:rsidRPr="004F087D">
        <w:rPr>
          <w:rFonts w:hint="cs"/>
          <w:rtl/>
        </w:rPr>
        <w:tab/>
      </w:r>
      <w:r w:rsidRPr="004F087D">
        <w:rPr>
          <w:rtl/>
        </w:rPr>
        <w:t>باء-</w:t>
      </w:r>
      <w:r w:rsidRPr="004F087D">
        <w:rPr>
          <w:rFonts w:hint="cs"/>
          <w:rtl/>
        </w:rPr>
        <w:tab/>
      </w:r>
      <w:r w:rsidRPr="004F087D">
        <w:rPr>
          <w:rtl/>
        </w:rPr>
        <w:t>دورت</w:t>
      </w:r>
      <w:r w:rsidRPr="004F087D">
        <w:rPr>
          <w:rFonts w:hint="cs"/>
          <w:rtl/>
        </w:rPr>
        <w:t>ا</w:t>
      </w:r>
      <w:r w:rsidRPr="004F087D">
        <w:rPr>
          <w:rtl/>
        </w:rPr>
        <w:t xml:space="preserve"> </w:t>
      </w:r>
      <w:r w:rsidRPr="004F087D">
        <w:rPr>
          <w:rFonts w:hint="cs"/>
          <w:rtl/>
        </w:rPr>
        <w:t>ال</w:t>
      </w:r>
      <w:r w:rsidRPr="004F087D">
        <w:rPr>
          <w:rtl/>
        </w:rPr>
        <w:t>لجنة</w:t>
      </w:r>
    </w:p>
    <w:p w:rsidR="008D66CD" w:rsidRPr="004F087D" w:rsidRDefault="008D66CD" w:rsidP="007E4A52">
      <w:pPr>
        <w:pStyle w:val="SingleTxtGA"/>
        <w:rPr>
          <w:rFonts w:hint="cs"/>
          <w:rtl/>
        </w:rPr>
      </w:pPr>
      <w:r w:rsidRPr="004F087D">
        <w:rPr>
          <w:rFonts w:hint="cs"/>
          <w:rtl/>
        </w:rPr>
        <w:t>4</w:t>
      </w:r>
      <w:r w:rsidRPr="004F087D">
        <w:rPr>
          <w:rtl/>
        </w:rPr>
        <w:t>-</w:t>
      </w:r>
      <w:r w:rsidRPr="004F087D">
        <w:rPr>
          <w:rtl/>
        </w:rPr>
        <w:tab/>
        <w:t xml:space="preserve">عقدت لجنة مناهضة التعذيب دورتين منذ اعتماد تقريرها السنوي </w:t>
      </w:r>
      <w:r w:rsidRPr="004F087D">
        <w:rPr>
          <w:rFonts w:hint="cs"/>
          <w:rtl/>
        </w:rPr>
        <w:t>الأخير.</w:t>
      </w:r>
      <w:r w:rsidRPr="004F087D">
        <w:rPr>
          <w:rtl/>
        </w:rPr>
        <w:t xml:space="preserve"> </w:t>
      </w:r>
      <w:r w:rsidRPr="004F087D">
        <w:rPr>
          <w:rFonts w:hint="cs"/>
          <w:rtl/>
        </w:rPr>
        <w:t xml:space="preserve">وقد </w:t>
      </w:r>
      <w:r w:rsidRPr="004F087D">
        <w:rPr>
          <w:rtl/>
        </w:rPr>
        <w:t>ع</w:t>
      </w:r>
      <w:r w:rsidRPr="004F087D">
        <w:rPr>
          <w:rFonts w:hint="cs"/>
          <w:rtl/>
        </w:rPr>
        <w:t>ُ</w:t>
      </w:r>
      <w:r w:rsidRPr="004F087D">
        <w:rPr>
          <w:rtl/>
        </w:rPr>
        <w:t>قدت الدور</w:t>
      </w:r>
      <w:r w:rsidRPr="004F087D">
        <w:rPr>
          <w:rFonts w:hint="cs"/>
          <w:rtl/>
        </w:rPr>
        <w:t>ة</w:t>
      </w:r>
      <w:r w:rsidRPr="004F087D">
        <w:rPr>
          <w:rtl/>
        </w:rPr>
        <w:t xml:space="preserve"> </w:t>
      </w:r>
      <w:r w:rsidRPr="004F087D">
        <w:rPr>
          <w:rFonts w:hint="cs"/>
          <w:rtl/>
        </w:rPr>
        <w:t>التاسعة والأربعون (الجلسات من 1094 إلى 1133) ب</w:t>
      </w:r>
      <w:r w:rsidRPr="004F087D">
        <w:rPr>
          <w:rtl/>
        </w:rPr>
        <w:t xml:space="preserve">مكتب الأمم المتحدة في جنيف </w:t>
      </w:r>
      <w:r w:rsidRPr="004F087D">
        <w:rPr>
          <w:rFonts w:hint="cs"/>
          <w:rtl/>
        </w:rPr>
        <w:t xml:space="preserve">في الفترة </w:t>
      </w:r>
      <w:r w:rsidRPr="004F087D">
        <w:rPr>
          <w:rtl/>
        </w:rPr>
        <w:t xml:space="preserve">من </w:t>
      </w:r>
      <w:r w:rsidRPr="004F087D">
        <w:rPr>
          <w:rFonts w:hint="cs"/>
          <w:rtl/>
        </w:rPr>
        <w:t>29 تشرين الأول/أكتوبر إلى 23</w:t>
      </w:r>
      <w:r w:rsidRPr="004F087D">
        <w:rPr>
          <w:rtl/>
        </w:rPr>
        <w:t xml:space="preserve"> تشرين الثاني/نوفمبر </w:t>
      </w:r>
      <w:r w:rsidRPr="004F087D">
        <w:rPr>
          <w:rFonts w:hint="cs"/>
          <w:rtl/>
        </w:rPr>
        <w:t>2012، وعُقدت الدورة الخمسون</w:t>
      </w:r>
      <w:r w:rsidRPr="004F087D">
        <w:rPr>
          <w:rtl/>
        </w:rPr>
        <w:t xml:space="preserve"> </w:t>
      </w:r>
      <w:r w:rsidRPr="004F087D">
        <w:rPr>
          <w:rFonts w:hint="cs"/>
          <w:rtl/>
        </w:rPr>
        <w:t xml:space="preserve">(الجلسات من 1134 إلى 1169) في الفترة من 6 إلى 31 أيار/مايو 2013. </w:t>
      </w:r>
      <w:r w:rsidRPr="004F087D">
        <w:rPr>
          <w:rtl/>
        </w:rPr>
        <w:t>و</w:t>
      </w:r>
      <w:r w:rsidRPr="004F087D">
        <w:rPr>
          <w:rFonts w:hint="cs"/>
          <w:rtl/>
        </w:rPr>
        <w:t>ي</w:t>
      </w:r>
      <w:r w:rsidRPr="004F087D">
        <w:rPr>
          <w:rtl/>
        </w:rPr>
        <w:t xml:space="preserve">رد عرض </w:t>
      </w:r>
      <w:r w:rsidRPr="004F087D">
        <w:rPr>
          <w:rFonts w:hint="cs"/>
          <w:rtl/>
        </w:rPr>
        <w:t xml:space="preserve">لمداولات اللجنة في هاتين الدورتين في المحاضر الموجزة ذات الصلة </w:t>
      </w:r>
      <w:r w:rsidRPr="004F087D">
        <w:rPr>
          <w:rtl/>
        </w:rPr>
        <w:t>(</w:t>
      </w:r>
      <w:r w:rsidRPr="004F087D">
        <w:t>CAT/C/SR.1094-1169</w:t>
      </w:r>
      <w:r w:rsidRPr="004F087D">
        <w:rPr>
          <w:rtl/>
        </w:rPr>
        <w:t>)</w:t>
      </w:r>
      <w:r w:rsidRPr="004F087D">
        <w:rPr>
          <w:rFonts w:hint="cs"/>
          <w:rtl/>
        </w:rPr>
        <w:t>.</w:t>
      </w:r>
    </w:p>
    <w:p w:rsidR="008D66CD" w:rsidRPr="004F087D" w:rsidRDefault="008D66CD" w:rsidP="007E4A52">
      <w:pPr>
        <w:pStyle w:val="H1GA"/>
        <w:rPr>
          <w:rFonts w:hint="cs"/>
          <w:rtl/>
        </w:rPr>
      </w:pPr>
      <w:r w:rsidRPr="004F087D">
        <w:rPr>
          <w:rFonts w:hint="cs"/>
          <w:rtl/>
        </w:rPr>
        <w:tab/>
        <w:t>جيم-</w:t>
      </w:r>
      <w:r w:rsidRPr="004F087D">
        <w:rPr>
          <w:rFonts w:hint="cs"/>
          <w:rtl/>
        </w:rPr>
        <w:tab/>
        <w:t>العضوية والحضور في الدورتين</w:t>
      </w:r>
    </w:p>
    <w:p w:rsidR="008D66CD" w:rsidRPr="004F087D" w:rsidRDefault="008D66CD" w:rsidP="007E4A52">
      <w:pPr>
        <w:pStyle w:val="SingleTxtGA"/>
        <w:rPr>
          <w:rFonts w:hint="cs"/>
          <w:rtl/>
        </w:rPr>
      </w:pPr>
      <w:r w:rsidRPr="004F087D">
        <w:rPr>
          <w:rFonts w:hint="cs"/>
          <w:rtl/>
        </w:rPr>
        <w:t>5-</w:t>
      </w:r>
      <w:r w:rsidRPr="004F087D">
        <w:rPr>
          <w:rFonts w:hint="cs"/>
          <w:rtl/>
        </w:rPr>
        <w:tab/>
        <w:t>ظلت عضوية اللجنة على حالها أثناء الدورة المشمولة بالتقرير. وترد في المرفق الرابع لهذا التقرير قائمة بالأعضاء ومدة ولايتهم.</w:t>
      </w:r>
    </w:p>
    <w:p w:rsidR="008D66CD" w:rsidRPr="004F087D" w:rsidRDefault="008D66CD" w:rsidP="007E4A52">
      <w:pPr>
        <w:pStyle w:val="H1GA"/>
        <w:spacing w:before="120"/>
        <w:rPr>
          <w:rFonts w:hint="cs"/>
          <w:rtl/>
        </w:rPr>
      </w:pPr>
      <w:r>
        <w:rPr>
          <w:rFonts w:hint="cs"/>
          <w:rtl/>
        </w:rPr>
        <w:tab/>
        <w:t>دال</w:t>
      </w:r>
      <w:r w:rsidRPr="004F087D">
        <w:rPr>
          <w:rFonts w:hint="cs"/>
          <w:rtl/>
        </w:rPr>
        <w:t>-</w:t>
      </w:r>
      <w:r w:rsidRPr="004F087D">
        <w:rPr>
          <w:rFonts w:hint="cs"/>
          <w:rtl/>
        </w:rPr>
        <w:tab/>
        <w:t>جدولا الأعمال</w:t>
      </w:r>
    </w:p>
    <w:p w:rsidR="008D66CD" w:rsidRPr="004F087D" w:rsidRDefault="008D66CD" w:rsidP="007E4A52">
      <w:pPr>
        <w:pStyle w:val="SingleTxtGA"/>
        <w:rPr>
          <w:rFonts w:hint="cs"/>
          <w:rtl/>
        </w:rPr>
      </w:pPr>
      <w:r w:rsidRPr="004F087D">
        <w:rPr>
          <w:rFonts w:hint="cs"/>
          <w:rtl/>
        </w:rPr>
        <w:t>6-</w:t>
      </w:r>
      <w:r w:rsidRPr="004F087D">
        <w:rPr>
          <w:rFonts w:hint="cs"/>
          <w:rtl/>
        </w:rPr>
        <w:tab/>
        <w:t xml:space="preserve">في الجلسة 1094، المعقودة في 29 تشرين الأول/أكتوبر 2012، اعتمدت اللجنة البنود المدرجة في جدول الأعمال المؤقت المقدم من الأمين العام </w:t>
      </w:r>
      <w:r w:rsidRPr="004F087D">
        <w:t>(CAT/C/49/1)</w:t>
      </w:r>
      <w:r w:rsidRPr="004F087D">
        <w:rPr>
          <w:rFonts w:hint="cs"/>
          <w:rtl/>
        </w:rPr>
        <w:t xml:space="preserve"> بوصفها جدول أعمال دورتها التاسعة والأربعين.</w:t>
      </w:r>
    </w:p>
    <w:p w:rsidR="008D66CD" w:rsidRPr="004F087D" w:rsidRDefault="008D66CD" w:rsidP="007E4A52">
      <w:pPr>
        <w:pStyle w:val="SingleTxtGA"/>
        <w:rPr>
          <w:rFonts w:hint="cs"/>
          <w:rtl/>
        </w:rPr>
      </w:pPr>
      <w:r w:rsidRPr="004F087D">
        <w:rPr>
          <w:rFonts w:hint="cs"/>
          <w:rtl/>
        </w:rPr>
        <w:t>7-</w:t>
      </w:r>
      <w:r w:rsidRPr="004F087D">
        <w:rPr>
          <w:rFonts w:hint="cs"/>
          <w:rtl/>
        </w:rPr>
        <w:tab/>
        <w:t xml:space="preserve">وفي الجلسة 1134، المعقودة في 6 أيار/مايو 2013، اعتمدت اللجنة البنود المدرجة في جدول الأعمال المؤقت المقدم من الأمين العام </w:t>
      </w:r>
      <w:r w:rsidRPr="004F087D">
        <w:rPr>
          <w:rtl/>
        </w:rPr>
        <w:t>(</w:t>
      </w:r>
      <w:r w:rsidRPr="004F087D">
        <w:t>CAT/C/50/1</w:t>
      </w:r>
      <w:r w:rsidRPr="004F087D">
        <w:rPr>
          <w:rtl/>
        </w:rPr>
        <w:t>)</w:t>
      </w:r>
      <w:r w:rsidRPr="004F087D">
        <w:rPr>
          <w:rFonts w:hint="cs"/>
          <w:rtl/>
        </w:rPr>
        <w:t xml:space="preserve"> بوصفها جدول أعمال دورتها الخمسين.</w:t>
      </w:r>
    </w:p>
    <w:p w:rsidR="008D66CD" w:rsidRPr="004F087D" w:rsidRDefault="008D66CD" w:rsidP="007E4A52">
      <w:pPr>
        <w:pStyle w:val="H1GA"/>
        <w:rPr>
          <w:rtl/>
        </w:rPr>
      </w:pPr>
      <w:r w:rsidRPr="004F087D">
        <w:rPr>
          <w:rFonts w:hint="cs"/>
          <w:rtl/>
        </w:rPr>
        <w:tab/>
        <w:t>هاء-</w:t>
      </w:r>
      <w:r w:rsidRPr="004F087D">
        <w:rPr>
          <w:rFonts w:hint="cs"/>
          <w:rtl/>
        </w:rPr>
        <w:tab/>
      </w:r>
      <w:r w:rsidRPr="004F087D">
        <w:rPr>
          <w:rFonts w:hint="eastAsia"/>
          <w:rtl/>
        </w:rPr>
        <w:t>مشاركة</w:t>
      </w:r>
      <w:r w:rsidRPr="004F087D">
        <w:rPr>
          <w:rtl/>
        </w:rPr>
        <w:t xml:space="preserve"> أعضاء اللجنة في </w:t>
      </w:r>
      <w:r w:rsidRPr="004F087D">
        <w:rPr>
          <w:rFonts w:hint="eastAsia"/>
          <w:rtl/>
        </w:rPr>
        <w:t>اجتماعات</w:t>
      </w:r>
      <w:r w:rsidRPr="004F087D">
        <w:rPr>
          <w:rtl/>
        </w:rPr>
        <w:t xml:space="preserve"> أخرى</w:t>
      </w:r>
    </w:p>
    <w:p w:rsidR="008D66CD" w:rsidRPr="004F087D" w:rsidRDefault="008D66CD" w:rsidP="007E4A52">
      <w:pPr>
        <w:pStyle w:val="SingleTxtGA"/>
        <w:rPr>
          <w:rFonts w:hint="cs"/>
          <w:rtl/>
        </w:rPr>
      </w:pPr>
      <w:r w:rsidRPr="004F087D">
        <w:rPr>
          <w:rFonts w:hint="cs"/>
          <w:rtl/>
        </w:rPr>
        <w:t>8</w:t>
      </w:r>
      <w:r w:rsidRPr="004F087D">
        <w:rPr>
          <w:rtl/>
        </w:rPr>
        <w:t>-</w:t>
      </w:r>
      <w:r w:rsidRPr="004F087D">
        <w:rPr>
          <w:rtl/>
        </w:rPr>
        <w:tab/>
      </w:r>
      <w:r w:rsidRPr="004F087D">
        <w:rPr>
          <w:rFonts w:hint="eastAsia"/>
          <w:rtl/>
        </w:rPr>
        <w:t>خلال</w:t>
      </w:r>
      <w:r w:rsidRPr="004F087D">
        <w:rPr>
          <w:rtl/>
        </w:rPr>
        <w:t xml:space="preserve"> الفترة قيد </w:t>
      </w:r>
      <w:r w:rsidRPr="004F087D">
        <w:rPr>
          <w:rFonts w:hint="cs"/>
          <w:rtl/>
        </w:rPr>
        <w:t>النظر،</w:t>
      </w:r>
      <w:r w:rsidRPr="004F087D">
        <w:rPr>
          <w:rtl/>
        </w:rPr>
        <w:t xml:space="preserve"> </w:t>
      </w:r>
      <w:r w:rsidRPr="004F087D">
        <w:rPr>
          <w:rFonts w:hint="cs"/>
          <w:rtl/>
        </w:rPr>
        <w:t>شارك أعضاء اللجنة في مختلف الاجتماعات التي نظمتها مفوضية الأمم</w:t>
      </w:r>
      <w:r>
        <w:rPr>
          <w:rFonts w:hint="cs"/>
          <w:rtl/>
        </w:rPr>
        <w:t xml:space="preserve"> المتحدة السامية لحقوق الإنسان:</w:t>
      </w:r>
    </w:p>
    <w:p w:rsidR="008D66CD" w:rsidRPr="004F087D" w:rsidRDefault="008D66CD" w:rsidP="007E4A52">
      <w:pPr>
        <w:pStyle w:val="SingleTxtGA"/>
        <w:rPr>
          <w:rFonts w:hint="cs"/>
          <w:rtl/>
        </w:rPr>
      </w:pPr>
      <w:r w:rsidRPr="004F087D">
        <w:rPr>
          <w:rFonts w:hint="cs"/>
          <w:rtl/>
        </w:rPr>
        <w:tab/>
        <w:t>(أ)</w:t>
      </w:r>
      <w:r w:rsidRPr="004F087D">
        <w:rPr>
          <w:rFonts w:hint="cs"/>
          <w:rtl/>
        </w:rPr>
        <w:tab/>
        <w:t>فقد حضرت السيدة فيليس غاير (نائبة الرئيس)، ممثلةً للجنة، الاجتماع الرابع والعشرين لر</w:t>
      </w:r>
      <w:r w:rsidRPr="004F087D">
        <w:rPr>
          <w:rFonts w:hint="cs"/>
          <w:rtl/>
          <w:lang/>
        </w:rPr>
        <w:t>ؤساء هيئات معاهدات حقوق الإنسان</w:t>
      </w:r>
      <w:r w:rsidRPr="004F087D">
        <w:rPr>
          <w:rFonts w:hint="cs"/>
          <w:rtl/>
        </w:rPr>
        <w:t>، المعقود في أديس أبابا في الفترة من</w:t>
      </w:r>
      <w:r>
        <w:rPr>
          <w:rFonts w:hint="eastAsia"/>
          <w:rtl/>
        </w:rPr>
        <w:t> </w:t>
      </w:r>
      <w:r w:rsidRPr="004F087D">
        <w:rPr>
          <w:rFonts w:hint="cs"/>
          <w:rtl/>
        </w:rPr>
        <w:t>25 إلى 29 حزيران/يونيه 2012؛</w:t>
      </w:r>
    </w:p>
    <w:p w:rsidR="008D66CD" w:rsidRDefault="008D66CD" w:rsidP="007E4A52">
      <w:pPr>
        <w:pStyle w:val="SingleTxtGA"/>
        <w:rPr>
          <w:rFonts w:hint="cs"/>
          <w:rtl/>
        </w:rPr>
      </w:pPr>
      <w:r w:rsidRPr="004F087D">
        <w:rPr>
          <w:rFonts w:hint="cs"/>
          <w:rtl/>
        </w:rPr>
        <w:tab/>
        <w:t>(ب)</w:t>
      </w:r>
      <w:r w:rsidRPr="004F087D">
        <w:rPr>
          <w:rFonts w:hint="cs"/>
          <w:rtl/>
        </w:rPr>
        <w:tab/>
        <w:t>وحضر السيد</w:t>
      </w:r>
      <w:r w:rsidR="00F049F9">
        <w:rPr>
          <w:rFonts w:hint="cs"/>
          <w:rtl/>
        </w:rPr>
        <w:t xml:space="preserve"> كلاوديو غروسمان (الرئيس) </w:t>
      </w:r>
      <w:r w:rsidR="00F049F9" w:rsidRPr="00F049F9">
        <w:rPr>
          <w:rtl/>
        </w:rPr>
        <w:t>حلقة النقاش التي عقدها مجلس حقوق الإنسان</w:t>
      </w:r>
      <w:r w:rsidR="00F049F9">
        <w:rPr>
          <w:rFonts w:hint="cs"/>
          <w:rtl/>
        </w:rPr>
        <w:t xml:space="preserve"> في 13 أيلول/سبتمبر 2012 بجنيف</w:t>
      </w:r>
      <w:r w:rsidR="00F049F9" w:rsidRPr="00F049F9">
        <w:rPr>
          <w:rtl/>
        </w:rPr>
        <w:t xml:space="preserve"> بشأن مسألة التخويف أو الانتقام المرتكب في حق الأفراد والجماعات </w:t>
      </w:r>
      <w:r w:rsidR="00F049F9">
        <w:rPr>
          <w:rFonts w:hint="cs"/>
          <w:rtl/>
        </w:rPr>
        <w:t xml:space="preserve">المتعاونين </w:t>
      </w:r>
      <w:r w:rsidR="00F049F9" w:rsidRPr="00F049F9">
        <w:rPr>
          <w:rtl/>
        </w:rPr>
        <w:t>مع الأمم المتحدة</w:t>
      </w:r>
      <w:r w:rsidR="002B1043">
        <w:rPr>
          <w:rFonts w:hint="cs"/>
          <w:rtl/>
        </w:rPr>
        <w:t>؛</w:t>
      </w:r>
    </w:p>
    <w:p w:rsidR="00F049F9" w:rsidRDefault="007E4A52" w:rsidP="007E4A52">
      <w:pPr>
        <w:pStyle w:val="SingleTxtGA"/>
        <w:rPr>
          <w:rFonts w:hint="cs"/>
          <w:rtl/>
        </w:rPr>
      </w:pPr>
      <w:r>
        <w:rPr>
          <w:rFonts w:hint="cs"/>
          <w:rtl/>
        </w:rPr>
        <w:tab/>
      </w:r>
      <w:r w:rsidR="00F049F9">
        <w:rPr>
          <w:rFonts w:hint="cs"/>
          <w:rtl/>
        </w:rPr>
        <w:t>(ج)</w:t>
      </w:r>
      <w:r>
        <w:rPr>
          <w:rFonts w:hint="cs"/>
          <w:rtl/>
        </w:rPr>
        <w:tab/>
      </w:r>
      <w:r w:rsidR="00F049F9">
        <w:rPr>
          <w:rFonts w:hint="cs"/>
          <w:rtl/>
        </w:rPr>
        <w:t>وحضرت السيدة غاير مشاورة الخبراء بشأن نوع الجنس والح</w:t>
      </w:r>
      <w:r w:rsidR="002F691F">
        <w:rPr>
          <w:rFonts w:hint="cs"/>
          <w:rtl/>
        </w:rPr>
        <w:t>رية الدينية، التي عقدها في 17 و</w:t>
      </w:r>
      <w:r w:rsidR="00F049F9">
        <w:rPr>
          <w:rFonts w:hint="cs"/>
          <w:rtl/>
        </w:rPr>
        <w:t xml:space="preserve">18 كانون الثاني/يناير 2013 بجنيف الفريق العامل المعني بمسألة التمييز ضد النساء في القانون والممارسة والمقرر الخاص المعني </w:t>
      </w:r>
      <w:r w:rsidR="002B1043">
        <w:rPr>
          <w:rFonts w:hint="cs"/>
          <w:rtl/>
        </w:rPr>
        <w:t>بحرية الدين أو المعتقد؛</w:t>
      </w:r>
    </w:p>
    <w:p w:rsidR="002B1043" w:rsidRDefault="00775784" w:rsidP="00076D94">
      <w:pPr>
        <w:pStyle w:val="SingleTxtGA"/>
        <w:rPr>
          <w:rFonts w:hint="cs"/>
          <w:rtl/>
        </w:rPr>
      </w:pPr>
      <w:r>
        <w:rPr>
          <w:rFonts w:hint="cs"/>
          <w:rtl/>
        </w:rPr>
        <w:tab/>
      </w:r>
      <w:r w:rsidR="002B1043">
        <w:rPr>
          <w:rFonts w:hint="cs"/>
          <w:rtl/>
        </w:rPr>
        <w:t>(د)</w:t>
      </w:r>
      <w:r>
        <w:rPr>
          <w:rFonts w:hint="cs"/>
          <w:rtl/>
        </w:rPr>
        <w:tab/>
      </w:r>
      <w:r w:rsidR="002B1043">
        <w:rPr>
          <w:rFonts w:hint="cs"/>
          <w:rtl/>
        </w:rPr>
        <w:t>وحضر السيد سييسيان وانغ (نائب الرئيس) مؤتمر الخبراء الدولي بشأن الآ</w:t>
      </w:r>
      <w:r>
        <w:rPr>
          <w:rFonts w:hint="cs"/>
          <w:rtl/>
        </w:rPr>
        <w:t>ليات المستقلة للتحقيق في التعذي</w:t>
      </w:r>
      <w:r w:rsidR="002B1043">
        <w:rPr>
          <w:rFonts w:hint="cs"/>
          <w:rtl/>
        </w:rPr>
        <w:t>ب في كازاخستان و</w:t>
      </w:r>
      <w:r w:rsidR="00076D94">
        <w:rPr>
          <w:rFonts w:hint="cs"/>
          <w:rtl/>
        </w:rPr>
        <w:t>قيرغيزستان</w:t>
      </w:r>
      <w:r w:rsidR="002B1043">
        <w:rPr>
          <w:rFonts w:hint="cs"/>
          <w:rtl/>
        </w:rPr>
        <w:t xml:space="preserve"> وطاجيكستان، المعقود في ألماتي، كازاخستان، في 22 شباط/فبراير 2013؛</w:t>
      </w:r>
    </w:p>
    <w:p w:rsidR="002B1043" w:rsidRDefault="00775784" w:rsidP="00775784">
      <w:pPr>
        <w:pStyle w:val="SingleTxtGA"/>
        <w:rPr>
          <w:rFonts w:hint="cs"/>
          <w:rtl/>
        </w:rPr>
      </w:pPr>
      <w:r>
        <w:rPr>
          <w:rFonts w:hint="cs"/>
          <w:rtl/>
        </w:rPr>
        <w:tab/>
      </w:r>
      <w:r w:rsidR="002B1043">
        <w:rPr>
          <w:rFonts w:hint="cs"/>
          <w:rtl/>
        </w:rPr>
        <w:t>(</w:t>
      </w:r>
      <w:r w:rsidRPr="00775784">
        <w:rPr>
          <w:rFonts w:hint="cs"/>
          <w:sz w:val="30"/>
          <w:rtl/>
        </w:rPr>
        <w:t>ﻫ</w:t>
      </w:r>
      <w:r>
        <w:rPr>
          <w:rFonts w:hint="cs"/>
          <w:rtl/>
        </w:rPr>
        <w:t>)</w:t>
      </w:r>
      <w:r>
        <w:rPr>
          <w:rFonts w:hint="cs"/>
          <w:rtl/>
        </w:rPr>
        <w:tab/>
      </w:r>
      <w:r w:rsidR="002B1043">
        <w:rPr>
          <w:rFonts w:hint="cs"/>
          <w:rtl/>
        </w:rPr>
        <w:t>وحضر السيد أليسيو بروني حلقة نقاش بشأن من</w:t>
      </w:r>
      <w:r w:rsidR="00000C7C">
        <w:rPr>
          <w:rFonts w:hint="cs"/>
          <w:rtl/>
        </w:rPr>
        <w:t>ع التعذيب وسوء المعاملة في مرافق</w:t>
      </w:r>
      <w:r w:rsidR="002B1043">
        <w:rPr>
          <w:rFonts w:hint="cs"/>
          <w:rtl/>
        </w:rPr>
        <w:t xml:space="preserve"> الرعاية الصحية، عقدت في 5 آذار/مارس 2013 في جنيف؛</w:t>
      </w:r>
    </w:p>
    <w:p w:rsidR="002B1043" w:rsidRPr="004F087D" w:rsidRDefault="00775784" w:rsidP="00775784">
      <w:pPr>
        <w:pStyle w:val="SingleTxtGA"/>
        <w:rPr>
          <w:rFonts w:hint="cs"/>
          <w:rtl/>
        </w:rPr>
      </w:pPr>
      <w:r>
        <w:rPr>
          <w:rFonts w:hint="cs"/>
          <w:rtl/>
        </w:rPr>
        <w:tab/>
      </w:r>
      <w:r w:rsidR="002B1043">
        <w:rPr>
          <w:rFonts w:hint="cs"/>
          <w:rtl/>
        </w:rPr>
        <w:t>(و)</w:t>
      </w:r>
      <w:r>
        <w:rPr>
          <w:rFonts w:hint="cs"/>
          <w:rtl/>
        </w:rPr>
        <w:tab/>
      </w:r>
      <w:r w:rsidR="00000C7C">
        <w:rPr>
          <w:rFonts w:hint="cs"/>
          <w:rtl/>
        </w:rPr>
        <w:t>وحضر السيد غروسمان الاجتماع الخامس والعشرين لرؤساء هيئات معاهدات حقوق الإنسان، المعقود في نيويورك، في الفترة من 20 إلى 24 أيار/مايو 2013، حيث انتخب رئيسا لذلك الاجتماع.</w:t>
      </w:r>
    </w:p>
    <w:p w:rsidR="008D66CD" w:rsidRPr="004F087D" w:rsidRDefault="008D66CD" w:rsidP="00775784">
      <w:pPr>
        <w:pStyle w:val="SingleTxtGA"/>
        <w:keepNext/>
        <w:keepLines/>
        <w:rPr>
          <w:rFonts w:hint="cs"/>
          <w:rtl/>
        </w:rPr>
      </w:pPr>
      <w:r w:rsidRPr="004F087D">
        <w:rPr>
          <w:rFonts w:hint="cs"/>
          <w:rtl/>
        </w:rPr>
        <w:t>9-</w:t>
      </w:r>
      <w:r w:rsidRPr="004F087D">
        <w:rPr>
          <w:rFonts w:hint="cs"/>
          <w:rtl/>
        </w:rPr>
        <w:tab/>
        <w:t xml:space="preserve">وفي سياق عملية تعزيز هيئات المعاهدات: </w:t>
      </w:r>
    </w:p>
    <w:p w:rsidR="008D66CD" w:rsidRPr="004F087D" w:rsidRDefault="008D66CD" w:rsidP="00775784">
      <w:pPr>
        <w:pStyle w:val="SingleTxtGA"/>
        <w:rPr>
          <w:rFonts w:hint="cs"/>
          <w:rtl/>
        </w:rPr>
      </w:pPr>
      <w:r w:rsidRPr="004F087D">
        <w:rPr>
          <w:rFonts w:hint="cs"/>
          <w:rtl/>
        </w:rPr>
        <w:tab/>
        <w:t>(أ)</w:t>
      </w:r>
      <w:r w:rsidRPr="004F087D">
        <w:rPr>
          <w:rFonts w:hint="cs"/>
          <w:rtl/>
        </w:rPr>
        <w:tab/>
        <w:t>شارك السيد غروسمان في جلسة المشاورات غير الرسمية في إطار العملية الحكومية الدولية</w:t>
      </w:r>
      <w:r w:rsidR="00000C7C">
        <w:rPr>
          <w:rFonts w:hint="cs"/>
          <w:rtl/>
        </w:rPr>
        <w:t xml:space="preserve"> التابعة للجمعية العامة</w:t>
      </w:r>
      <w:r w:rsidRPr="004F087D">
        <w:rPr>
          <w:rFonts w:hint="cs"/>
          <w:rtl/>
        </w:rPr>
        <w:t xml:space="preserve"> بشأن</w:t>
      </w:r>
      <w:r w:rsidR="00000C7C">
        <w:rPr>
          <w:rFonts w:hint="cs"/>
          <w:rtl/>
          <w:lang/>
        </w:rPr>
        <w:t xml:space="preserve"> تدعيم وتعزيز فعالية أداء نظام الهيئات المنشأة</w:t>
      </w:r>
      <w:r w:rsidR="00775784">
        <w:rPr>
          <w:rFonts w:hint="eastAsia"/>
          <w:rtl/>
          <w:lang/>
        </w:rPr>
        <w:t> </w:t>
      </w:r>
      <w:r w:rsidR="00000C7C">
        <w:rPr>
          <w:rFonts w:hint="cs"/>
          <w:rtl/>
          <w:lang/>
        </w:rPr>
        <w:t>بموجب معاهدات حقوق الإنسان</w:t>
      </w:r>
      <w:r w:rsidRPr="004F087D">
        <w:rPr>
          <w:rFonts w:hint="cs"/>
          <w:rtl/>
        </w:rPr>
        <w:t>، المعقودة في نيويورك في الفترة من 16 إلى</w:t>
      </w:r>
      <w:r>
        <w:rPr>
          <w:rFonts w:hint="eastAsia"/>
          <w:rtl/>
        </w:rPr>
        <w:t> </w:t>
      </w:r>
      <w:r w:rsidRPr="004F087D">
        <w:rPr>
          <w:rFonts w:hint="cs"/>
          <w:rtl/>
        </w:rPr>
        <w:t>18 تموز/</w:t>
      </w:r>
      <w:r w:rsidR="00775784">
        <w:rPr>
          <w:rFonts w:hint="cs"/>
          <w:rtl/>
        </w:rPr>
        <w:t xml:space="preserve"> </w:t>
      </w:r>
      <w:r w:rsidRPr="004F087D">
        <w:rPr>
          <w:rFonts w:hint="cs"/>
          <w:rtl/>
        </w:rPr>
        <w:t>يولي</w:t>
      </w:r>
      <w:r>
        <w:rPr>
          <w:rFonts w:hint="cs"/>
          <w:rtl/>
        </w:rPr>
        <w:t>ه</w:t>
      </w:r>
      <w:r w:rsidRPr="004F087D">
        <w:rPr>
          <w:rFonts w:hint="cs"/>
          <w:rtl/>
        </w:rPr>
        <w:t xml:space="preserve"> 2012؛</w:t>
      </w:r>
    </w:p>
    <w:p w:rsidR="008D66CD" w:rsidRDefault="008D66CD" w:rsidP="00E470AE">
      <w:pPr>
        <w:pStyle w:val="SingleTxtGA"/>
        <w:rPr>
          <w:rFonts w:hint="cs"/>
          <w:rtl/>
        </w:rPr>
      </w:pPr>
      <w:r w:rsidRPr="004F087D">
        <w:rPr>
          <w:rFonts w:hint="cs"/>
          <w:rtl/>
        </w:rPr>
        <w:tab/>
        <w:t>(ب)</w:t>
      </w:r>
      <w:r w:rsidRPr="004F087D">
        <w:rPr>
          <w:rFonts w:hint="cs"/>
          <w:rtl/>
        </w:rPr>
        <w:tab/>
        <w:t xml:space="preserve">وشاركت السيدة غاير في جلسة المشاورات غير الرسمية في إطار العملية الحكومية الدولية بشأن تعزيز </w:t>
      </w:r>
      <w:r w:rsidR="00000C7C">
        <w:rPr>
          <w:rFonts w:hint="cs"/>
          <w:rtl/>
        </w:rPr>
        <w:t xml:space="preserve">نظام </w:t>
      </w:r>
      <w:r w:rsidRPr="004F087D">
        <w:rPr>
          <w:rFonts w:hint="cs"/>
          <w:rtl/>
        </w:rPr>
        <w:t>هيئات المعاهدات، المعقودة في نيويورك يومي 19 و20 شباط/فبراير 2013</w:t>
      </w:r>
      <w:r w:rsidR="00000C7C">
        <w:rPr>
          <w:rFonts w:hint="cs"/>
          <w:rtl/>
        </w:rPr>
        <w:t>؛</w:t>
      </w:r>
    </w:p>
    <w:p w:rsidR="00000C7C" w:rsidRDefault="00775784" w:rsidP="00775784">
      <w:pPr>
        <w:pStyle w:val="SingleTxtGA"/>
        <w:rPr>
          <w:rFonts w:hint="cs"/>
          <w:rtl/>
        </w:rPr>
      </w:pPr>
      <w:r>
        <w:rPr>
          <w:rFonts w:hint="cs"/>
          <w:rtl/>
        </w:rPr>
        <w:tab/>
      </w:r>
      <w:r w:rsidR="00000C7C">
        <w:rPr>
          <w:rFonts w:hint="cs"/>
          <w:rtl/>
        </w:rPr>
        <w:t>(ج)</w:t>
      </w:r>
      <w:r>
        <w:rPr>
          <w:rFonts w:hint="cs"/>
          <w:rtl/>
        </w:rPr>
        <w:tab/>
      </w:r>
      <w:r w:rsidR="00000C7C" w:rsidRPr="004F087D">
        <w:rPr>
          <w:rFonts w:hint="cs"/>
          <w:rtl/>
        </w:rPr>
        <w:t xml:space="preserve">وشاركت السيدة غاير في جلسة المشاورات غير الرسمية في إطار العملية الحكومية الدولية بشأن تعزيز </w:t>
      </w:r>
      <w:r w:rsidR="00000C7C">
        <w:rPr>
          <w:rFonts w:hint="cs"/>
          <w:rtl/>
        </w:rPr>
        <w:t xml:space="preserve">نظام </w:t>
      </w:r>
      <w:r w:rsidR="00000C7C" w:rsidRPr="004F087D">
        <w:rPr>
          <w:rFonts w:hint="cs"/>
          <w:rtl/>
        </w:rPr>
        <w:t>هيئات المعاهدات، المعقودة في نيويورك</w:t>
      </w:r>
      <w:r>
        <w:rPr>
          <w:rFonts w:hint="cs"/>
          <w:rtl/>
        </w:rPr>
        <w:t xml:space="preserve"> في 11 و12 و16 و</w:t>
      </w:r>
      <w:r w:rsidR="00000C7C">
        <w:rPr>
          <w:rFonts w:hint="cs"/>
          <w:rtl/>
        </w:rPr>
        <w:t>17 نيسان/أبريل 2013؛</w:t>
      </w:r>
    </w:p>
    <w:p w:rsidR="00000C7C" w:rsidRPr="004F087D" w:rsidRDefault="00775784" w:rsidP="00775784">
      <w:pPr>
        <w:pStyle w:val="SingleTxtGA"/>
        <w:rPr>
          <w:rFonts w:hint="cs"/>
          <w:rtl/>
        </w:rPr>
      </w:pPr>
      <w:r w:rsidRPr="00B80DAE">
        <w:rPr>
          <w:rFonts w:hint="cs"/>
          <w:spacing w:val="-4"/>
          <w:rtl/>
        </w:rPr>
        <w:tab/>
      </w:r>
      <w:r w:rsidR="00000C7C" w:rsidRPr="00B80DAE">
        <w:rPr>
          <w:rFonts w:hint="cs"/>
          <w:spacing w:val="-4"/>
          <w:rtl/>
        </w:rPr>
        <w:t>(د)</w:t>
      </w:r>
      <w:r w:rsidRPr="00B80DAE">
        <w:rPr>
          <w:rFonts w:hint="cs"/>
          <w:spacing w:val="-4"/>
          <w:rtl/>
        </w:rPr>
        <w:tab/>
      </w:r>
      <w:r w:rsidR="00D140BB" w:rsidRPr="00B80DAE">
        <w:rPr>
          <w:rFonts w:hint="cs"/>
          <w:spacing w:val="-4"/>
          <w:rtl/>
        </w:rPr>
        <w:t xml:space="preserve">وشارك السيد بروني في جلسة المشاورات غير الرسمية في إطار العملية الحكومية </w:t>
      </w:r>
      <w:r w:rsidR="00D140BB" w:rsidRPr="004F087D">
        <w:rPr>
          <w:rFonts w:hint="cs"/>
          <w:rtl/>
        </w:rPr>
        <w:t xml:space="preserve">الدولية بشأن تعزيز </w:t>
      </w:r>
      <w:r w:rsidR="00D140BB">
        <w:rPr>
          <w:rFonts w:hint="cs"/>
          <w:rtl/>
        </w:rPr>
        <w:t xml:space="preserve">نظام </w:t>
      </w:r>
      <w:r w:rsidR="00D140BB" w:rsidRPr="004F087D">
        <w:rPr>
          <w:rFonts w:hint="cs"/>
          <w:rtl/>
        </w:rPr>
        <w:t>هيئات المعاهدات، المعقودة في</w:t>
      </w:r>
      <w:r w:rsidR="00D140BB">
        <w:rPr>
          <w:rFonts w:hint="cs"/>
          <w:rtl/>
        </w:rPr>
        <w:t xml:space="preserve"> جنيف في 19 نيسان/أبريل 2013.</w:t>
      </w:r>
    </w:p>
    <w:p w:rsidR="008D66CD" w:rsidRPr="004F087D" w:rsidRDefault="008D66CD" w:rsidP="00B80DAE">
      <w:pPr>
        <w:pStyle w:val="H1GA"/>
        <w:rPr>
          <w:rFonts w:hint="cs"/>
          <w:rtl/>
        </w:rPr>
      </w:pPr>
      <w:r w:rsidRPr="004F087D">
        <w:rPr>
          <w:rFonts w:hint="cs"/>
          <w:rtl/>
        </w:rPr>
        <w:tab/>
        <w:t>واو-</w:t>
      </w:r>
      <w:r w:rsidRPr="004F087D">
        <w:rPr>
          <w:rFonts w:hint="cs"/>
          <w:rtl/>
        </w:rPr>
        <w:tab/>
        <w:t>التقرير الشفوي المقدم من الرئيس إلى الجمعية العامة</w:t>
      </w:r>
    </w:p>
    <w:p w:rsidR="008D66CD" w:rsidRPr="004F087D" w:rsidRDefault="008D66CD" w:rsidP="00B80DAE">
      <w:pPr>
        <w:pStyle w:val="SingleTxtGA"/>
        <w:rPr>
          <w:rFonts w:hint="cs"/>
          <w:rtl/>
        </w:rPr>
      </w:pPr>
      <w:r w:rsidRPr="004F087D">
        <w:rPr>
          <w:rFonts w:hint="cs"/>
          <w:rtl/>
        </w:rPr>
        <w:t>10-</w:t>
      </w:r>
      <w:r w:rsidRPr="004F087D">
        <w:rPr>
          <w:rFonts w:hint="cs"/>
          <w:rtl/>
        </w:rPr>
        <w:tab/>
        <w:t xml:space="preserve">استجابةً لدعوة وُجّهت إلى رئيس اللجنة من أجل تقديم تقرير شفوي عن أعمال اللجنة وبدء حوار تفاعلي مع الجمعية العامة في دورتها السابعة والستين في إطار البند الفرعي المعنون "تنفيذ صكوك حقوق الإنسان" (الفقرة 29 من قرار الجمعية العامة 66/150)، قدّم رئيس اللجنة تقريراً شفوياً إلى الجمعية العامة في دورتها السابعة والستين في 23 تشرين الأول/أكتوبر 2012. ويمكن الاطلاع على التقرير في موقع المفوضية السامية لحقوق الإنسان على شبكة الإنترنت </w:t>
      </w:r>
      <w:r w:rsidRPr="004F087D">
        <w:rPr>
          <w:rtl/>
        </w:rPr>
        <w:t>(</w:t>
      </w:r>
      <w:r w:rsidRPr="004F087D">
        <w:t>http://www2.ohchr.org/english/bodies/cat/index.htm</w:t>
      </w:r>
      <w:r w:rsidRPr="004F087D">
        <w:rPr>
          <w:rtl/>
        </w:rPr>
        <w:t>).</w:t>
      </w:r>
    </w:p>
    <w:p w:rsidR="008D66CD" w:rsidRPr="004F087D" w:rsidRDefault="008D66CD" w:rsidP="00B80DAE">
      <w:pPr>
        <w:pStyle w:val="H1GA"/>
        <w:rPr>
          <w:rFonts w:hint="cs"/>
          <w:rtl/>
        </w:rPr>
      </w:pPr>
      <w:r w:rsidRPr="004F087D">
        <w:rPr>
          <w:rFonts w:hint="cs"/>
          <w:rtl/>
        </w:rPr>
        <w:tab/>
        <w:t>زاي-</w:t>
      </w:r>
      <w:r w:rsidRPr="004F087D">
        <w:rPr>
          <w:rFonts w:hint="cs"/>
          <w:rtl/>
        </w:rPr>
        <w:tab/>
        <w:t>أنشطة اللجنة فيما يتعلق بالبروتوكول الاختياري للاتفاقية</w:t>
      </w:r>
    </w:p>
    <w:p w:rsidR="008D66CD" w:rsidRPr="004F087D" w:rsidRDefault="008D66CD" w:rsidP="00B80DAE">
      <w:pPr>
        <w:pStyle w:val="SingleTxtGA"/>
        <w:rPr>
          <w:rFonts w:hint="cs"/>
          <w:rtl/>
        </w:rPr>
      </w:pPr>
      <w:r w:rsidRPr="004F087D">
        <w:rPr>
          <w:rFonts w:hint="cs"/>
          <w:rtl/>
        </w:rPr>
        <w:t>11-</w:t>
      </w:r>
      <w:r w:rsidRPr="004F087D">
        <w:rPr>
          <w:rFonts w:hint="cs"/>
          <w:rtl/>
        </w:rPr>
        <w:tab/>
        <w:t xml:space="preserve">في 31 أيار/مايو 2013، بلغ عدد الدول الأطراف في البروتوكول الاختياري </w:t>
      </w:r>
      <w:r w:rsidR="003F651F">
        <w:rPr>
          <w:rFonts w:hint="cs"/>
          <w:rtl/>
        </w:rPr>
        <w:t>68</w:t>
      </w:r>
      <w:r w:rsidR="003F651F" w:rsidRPr="004F087D">
        <w:rPr>
          <w:rFonts w:hint="cs"/>
          <w:rtl/>
        </w:rPr>
        <w:t xml:space="preserve"> </w:t>
      </w:r>
      <w:r w:rsidRPr="004F087D">
        <w:rPr>
          <w:rFonts w:hint="cs"/>
          <w:rtl/>
        </w:rPr>
        <w:t>دولة (انظر المرفق الخامس). وعملاً بما يقتضيه البروتوكول الاختياري للاتفاقية، عُقد في 14 تشرين الثاني/نوفمبر 2012 اجتماع مشترك بين أعضاء اللجنة ولجنتها الفرعية لمنع</w:t>
      </w:r>
      <w:r w:rsidRPr="004F087D">
        <w:rPr>
          <w:rFonts w:hint="eastAsia"/>
          <w:rtl/>
        </w:rPr>
        <w:t> </w:t>
      </w:r>
      <w:r w:rsidRPr="004F087D">
        <w:rPr>
          <w:rFonts w:hint="cs"/>
          <w:rtl/>
        </w:rPr>
        <w:t xml:space="preserve">التعذيب وغيره من ضروب المعاملة أو العقوبة القاسية أو اللاإنسانية أو المهينة (يُشار إليها فيما يلي باسم "اللجنة الفرعية لمنع التعذيب"). وواصلت اللجنة ولجنتها الفرعية لمنع التعذيب (ترد في المرفق السادس قائمة بأسماء أعضاء اللجنة الفرعية لمنع التعذيب) مناقشة مسألة تعزيز طرائق التعاون، من قبيل تبادل المعلومات، مع مراعاة شروط السرية. </w:t>
      </w:r>
    </w:p>
    <w:p w:rsidR="008D66CD" w:rsidRPr="004F087D" w:rsidRDefault="008D66CD" w:rsidP="00B80DAE">
      <w:pPr>
        <w:pStyle w:val="SingleTxtGA"/>
        <w:rPr>
          <w:rFonts w:hint="cs"/>
          <w:rtl/>
        </w:rPr>
      </w:pPr>
      <w:r w:rsidRPr="004F087D">
        <w:rPr>
          <w:rFonts w:hint="cs"/>
          <w:rtl/>
        </w:rPr>
        <w:t>12-</w:t>
      </w:r>
      <w:r w:rsidRPr="004F087D">
        <w:rPr>
          <w:rFonts w:hint="cs"/>
          <w:rtl/>
        </w:rPr>
        <w:tab/>
        <w:t>وعُقد اجتماع آخر بين اللجنة ورئيس اللجنة الفرعية لمنع التعذيب في 16 أيار/مايو</w:t>
      </w:r>
      <w:r w:rsidRPr="004F087D">
        <w:rPr>
          <w:rFonts w:hint="eastAsia"/>
          <w:rtl/>
        </w:rPr>
        <w:t> </w:t>
      </w:r>
      <w:r w:rsidR="00F37BC5">
        <w:rPr>
          <w:rFonts w:hint="cs"/>
          <w:rtl/>
        </w:rPr>
        <w:t>2013 قدّم</w:t>
      </w:r>
      <w:r w:rsidRPr="004F087D">
        <w:rPr>
          <w:rFonts w:hint="cs"/>
          <w:rtl/>
        </w:rPr>
        <w:t xml:space="preserve"> فيه</w:t>
      </w:r>
      <w:r w:rsidR="00105D4A">
        <w:rPr>
          <w:rFonts w:hint="cs"/>
          <w:rtl/>
        </w:rPr>
        <w:t xml:space="preserve"> هذا الأخير إلى</w:t>
      </w:r>
      <w:r w:rsidRPr="004F087D">
        <w:rPr>
          <w:rFonts w:hint="cs"/>
          <w:rtl/>
        </w:rPr>
        <w:t xml:space="preserve"> اللجنة </w:t>
      </w:r>
      <w:r w:rsidR="00105D4A">
        <w:rPr>
          <w:rFonts w:hint="cs"/>
          <w:rtl/>
        </w:rPr>
        <w:t>التقرير</w:t>
      </w:r>
      <w:r w:rsidRPr="004F087D">
        <w:rPr>
          <w:rFonts w:hint="cs"/>
          <w:rtl/>
        </w:rPr>
        <w:t xml:space="preserve"> السنوي العلني السادس </w:t>
      </w:r>
      <w:r w:rsidR="00105D4A">
        <w:rPr>
          <w:rFonts w:hint="cs"/>
          <w:rtl/>
        </w:rPr>
        <w:t>للجنة الفرعية</w:t>
      </w:r>
      <w:r w:rsidRPr="004F087D">
        <w:rPr>
          <w:rFonts w:hint="cs"/>
          <w:rtl/>
        </w:rPr>
        <w:t xml:space="preserve"> (</w:t>
      </w:r>
      <w:r w:rsidRPr="004F087D">
        <w:t>CAT/C/</w:t>
      </w:r>
      <w:r w:rsidR="00105D4A">
        <w:t>5</w:t>
      </w:r>
      <w:r w:rsidR="00105D4A" w:rsidRPr="004F087D">
        <w:t>0</w:t>
      </w:r>
      <w:r w:rsidRPr="004F087D">
        <w:t>/2</w:t>
      </w:r>
      <w:r w:rsidRPr="004F087D">
        <w:rPr>
          <w:rFonts w:hint="cs"/>
          <w:rtl/>
        </w:rPr>
        <w:t>). وقررت اللجنة أن تُدرج</w:t>
      </w:r>
      <w:r w:rsidR="00105D4A">
        <w:rPr>
          <w:rFonts w:hint="cs"/>
          <w:rtl/>
        </w:rPr>
        <w:t>ه</w:t>
      </w:r>
      <w:r w:rsidRPr="004F087D">
        <w:rPr>
          <w:rFonts w:hint="cs"/>
          <w:rtl/>
        </w:rPr>
        <w:t xml:space="preserve"> في هذا التقرير السنوي (انظر المرفق السابع) وأن تُحيله إلى الجمعية العامة.</w:t>
      </w:r>
    </w:p>
    <w:p w:rsidR="00105D4A" w:rsidRPr="00105D4A" w:rsidRDefault="008D66CD" w:rsidP="00B80DAE">
      <w:pPr>
        <w:pStyle w:val="H23GA"/>
        <w:rPr>
          <w:rFonts w:hint="cs"/>
          <w:rtl/>
        </w:rPr>
      </w:pPr>
      <w:r w:rsidRPr="004F087D">
        <w:rPr>
          <w:rFonts w:hint="cs"/>
          <w:rtl/>
        </w:rPr>
        <w:tab/>
      </w:r>
      <w:r w:rsidRPr="004F087D">
        <w:rPr>
          <w:rFonts w:hint="cs"/>
          <w:rtl/>
        </w:rPr>
        <w:tab/>
        <w:t>تأجيل إنشاء الآلية الوقائية الوطنية لرومانيا</w:t>
      </w:r>
    </w:p>
    <w:p w:rsidR="008D66CD" w:rsidRPr="004F087D" w:rsidRDefault="008D66CD" w:rsidP="00B80DAE">
      <w:pPr>
        <w:pStyle w:val="SingleTxtGA"/>
        <w:spacing w:line="370" w:lineRule="exact"/>
        <w:rPr>
          <w:rFonts w:hint="cs"/>
          <w:rtl/>
        </w:rPr>
      </w:pPr>
      <w:r w:rsidRPr="004F087D">
        <w:rPr>
          <w:rFonts w:hint="cs"/>
          <w:rtl/>
        </w:rPr>
        <w:t>13-</w:t>
      </w:r>
      <w:r w:rsidRPr="004F087D">
        <w:rPr>
          <w:rFonts w:hint="cs"/>
          <w:rtl/>
        </w:rPr>
        <w:tab/>
        <w:t>تلقت اللجنة طلبا</w:t>
      </w:r>
      <w:r>
        <w:rPr>
          <w:rFonts w:hint="cs"/>
          <w:rtl/>
        </w:rPr>
        <w:t>ً</w:t>
      </w:r>
      <w:r w:rsidRPr="004F087D">
        <w:rPr>
          <w:rFonts w:hint="cs"/>
          <w:rtl/>
        </w:rPr>
        <w:t xml:space="preserve"> من رومانيا، في إطار الفقرة 2 من المادة 24 من البروتوكول الاختياري لاتفاقية مناهضة التعذيب، تطلب فيه تمديد تأجيل إنشاء آليتها الوقائية الوطنية لسنتين جديدتين، وذلك بناء على إعلانها الذي قدمته عند التصديق على البروتوكول الاختياري بأنها سترجئ إنشاء آلية وقائية وطنية لمدة ثلاث سنوات، وفقا</w:t>
      </w:r>
      <w:r>
        <w:rPr>
          <w:rFonts w:hint="cs"/>
          <w:rtl/>
        </w:rPr>
        <w:t>ً</w:t>
      </w:r>
      <w:r w:rsidRPr="004F087D">
        <w:rPr>
          <w:rFonts w:hint="cs"/>
          <w:rtl/>
        </w:rPr>
        <w:t xml:space="preserve"> للفقرة 1 من المادة</w:t>
      </w:r>
      <w:r>
        <w:rPr>
          <w:rFonts w:hint="eastAsia"/>
          <w:rtl/>
        </w:rPr>
        <w:t> </w:t>
      </w:r>
      <w:r w:rsidRPr="004F087D">
        <w:rPr>
          <w:rFonts w:hint="cs"/>
          <w:rtl/>
        </w:rPr>
        <w:t>24 من البروتوكول الاختياري.</w:t>
      </w:r>
    </w:p>
    <w:p w:rsidR="008D66CD" w:rsidRPr="004F087D" w:rsidRDefault="008D66CD" w:rsidP="00B80DAE">
      <w:pPr>
        <w:pStyle w:val="SingleTxtGA"/>
        <w:spacing w:line="370" w:lineRule="exact"/>
        <w:rPr>
          <w:rFonts w:hint="cs"/>
          <w:rtl/>
        </w:rPr>
      </w:pPr>
      <w:r w:rsidRPr="004F087D">
        <w:rPr>
          <w:rFonts w:hint="cs"/>
          <w:rtl/>
        </w:rPr>
        <w:t>14-</w:t>
      </w:r>
      <w:r w:rsidRPr="004F087D">
        <w:rPr>
          <w:rFonts w:hint="cs"/>
          <w:rtl/>
        </w:rPr>
        <w:tab/>
        <w:t>و اتخذت اللجنة، في 23 تشرين الثاني/نوفمبر 2012 خلال دورتها التاسعة والأربعين، قراراً (انظر المرفق الثامن)، بعد التشاور في الموضوع مع اللجنة الفرعية لمنع التعذيب، بقبول طلب الدولة الطرف وبدعوتها إلى الدورة المقبلة</w:t>
      </w:r>
      <w:r w:rsidR="009E2EBC">
        <w:rPr>
          <w:rFonts w:hint="cs"/>
          <w:rtl/>
        </w:rPr>
        <w:t xml:space="preserve"> للجنة</w:t>
      </w:r>
      <w:r w:rsidRPr="004F087D">
        <w:rPr>
          <w:rFonts w:hint="cs"/>
          <w:rtl/>
        </w:rPr>
        <w:t xml:space="preserve"> المقرر عقدها في أيار/</w:t>
      </w:r>
      <w:r>
        <w:rPr>
          <w:rFonts w:hint="cs"/>
          <w:rtl/>
        </w:rPr>
        <w:t xml:space="preserve"> </w:t>
      </w:r>
      <w:r w:rsidRPr="004F087D">
        <w:rPr>
          <w:rFonts w:hint="cs"/>
          <w:rtl/>
        </w:rPr>
        <w:t>مايو</w:t>
      </w:r>
      <w:r>
        <w:rPr>
          <w:rFonts w:hint="eastAsia"/>
          <w:rtl/>
        </w:rPr>
        <w:t> </w:t>
      </w:r>
      <w:r w:rsidRPr="004F087D">
        <w:rPr>
          <w:rFonts w:hint="cs"/>
          <w:rtl/>
        </w:rPr>
        <w:t>2013 (الدورة الخمسون) لتقديم تقرير عن حالة التقدم في إنشاء الآلية الوقائية الوطنية وتقرير عن التقدم المحرز من سبيل تقديم تقريرها الدوري الثاني إلى اللجنة الذي طال انتظاره.</w:t>
      </w:r>
    </w:p>
    <w:p w:rsidR="00A66CBB" w:rsidRDefault="00B80DAE" w:rsidP="00B80DAE">
      <w:pPr>
        <w:pStyle w:val="SingleTxtGA"/>
        <w:spacing w:line="370" w:lineRule="exact"/>
        <w:rPr>
          <w:rtl/>
        </w:rPr>
      </w:pPr>
      <w:r>
        <w:rPr>
          <w:rtl/>
        </w:rPr>
        <w:t>15</w:t>
      </w:r>
      <w:r w:rsidR="00A66CBB">
        <w:rPr>
          <w:rtl/>
        </w:rPr>
        <w:t>-</w:t>
      </w:r>
      <w:r w:rsidR="00A66CBB">
        <w:rPr>
          <w:rtl/>
        </w:rPr>
        <w:tab/>
        <w:t xml:space="preserve">وعقدت اللجنة، في دورتها الخمسين </w:t>
      </w:r>
      <w:r w:rsidR="00C4543B">
        <w:rPr>
          <w:rtl/>
        </w:rPr>
        <w:t xml:space="preserve">المعقودة في 13 أيار/مايو 2013، </w:t>
      </w:r>
      <w:r w:rsidR="00A66CBB">
        <w:rPr>
          <w:rtl/>
        </w:rPr>
        <w:t>اجتماعا</w:t>
      </w:r>
      <w:r w:rsidR="00C4543B">
        <w:rPr>
          <w:rFonts w:hint="cs"/>
          <w:rtl/>
        </w:rPr>
        <w:t>ً</w:t>
      </w:r>
      <w:r w:rsidR="00A66CBB">
        <w:rPr>
          <w:rtl/>
        </w:rPr>
        <w:t xml:space="preserve"> مفتوحا</w:t>
      </w:r>
      <w:r w:rsidR="00C4543B">
        <w:rPr>
          <w:rFonts w:hint="cs"/>
          <w:rtl/>
        </w:rPr>
        <w:t>ً</w:t>
      </w:r>
      <w:r w:rsidR="00C4543B">
        <w:rPr>
          <w:rtl/>
        </w:rPr>
        <w:t xml:space="preserve"> مع وفد رومانيا لمناقشة تأجيل </w:t>
      </w:r>
      <w:r w:rsidR="00A66CBB">
        <w:rPr>
          <w:rtl/>
        </w:rPr>
        <w:t>دخول آليتها الوقائية الوطنية حيز النفاذ، والاستماع إلى شرح للأسباب التي حالت دون تقديمها لتقريرها الذي طال تأخيره إلى اللجنة. وأبلغ الوفد اللجنة بأن الدولة الطرف سوف تبذل قصاراها من أجل أن تدخل الآلية الوقائية الوطنية حيز النفاذ بحلول نهاية عام 2014، وأن التأخير راجع إلى كون القانون لم يعتمد بعدُ. وفيما يتعلق بتقرير الدولة الطرف إلى اللجنة، ذكر الوفد أن التقرير سيقدم بحلول أيلول/سبتمبر 2013، في إطار إجراء الإبلاغ الاختياري الذي قبلت به الدولة الطرف، وهو ما سهّل إعداد التقرير. وطلبت ا</w:t>
      </w:r>
      <w:r w:rsidR="00C4543B">
        <w:rPr>
          <w:rtl/>
        </w:rPr>
        <w:t xml:space="preserve">للجنة إلى الدولة الطرف أن تقدم </w:t>
      </w:r>
      <w:r w:rsidR="00A66CBB">
        <w:rPr>
          <w:rtl/>
        </w:rPr>
        <w:t>إليها خطيا</w:t>
      </w:r>
      <w:r w:rsidR="00C4543B">
        <w:rPr>
          <w:rFonts w:hint="cs"/>
          <w:rtl/>
        </w:rPr>
        <w:t>ً</w:t>
      </w:r>
      <w:r w:rsidR="00A66CBB">
        <w:rPr>
          <w:rtl/>
        </w:rPr>
        <w:t xml:space="preserve"> المعلومات المتعلقة بالآلية الوقائية الوطنية، ولا</w:t>
      </w:r>
      <w:r w:rsidR="00C4543B">
        <w:rPr>
          <w:rFonts w:hint="cs"/>
          <w:rtl/>
        </w:rPr>
        <w:t xml:space="preserve"> </w:t>
      </w:r>
      <w:r w:rsidR="00A66CBB">
        <w:rPr>
          <w:rtl/>
        </w:rPr>
        <w:t>سيما الآجال الزمنية لدخولها حيز النفاذ، في غضون ستة أسابيع، كي تعرض تلك المعلومات على اللجنة الفرعية لمنع التعذيب.</w:t>
      </w:r>
    </w:p>
    <w:p w:rsidR="00A66CBB" w:rsidRDefault="00A66CBB" w:rsidP="00B80DAE">
      <w:pPr>
        <w:pStyle w:val="H1GA"/>
        <w:rPr>
          <w:rtl/>
        </w:rPr>
      </w:pPr>
      <w:r>
        <w:rPr>
          <w:rtl/>
        </w:rPr>
        <w:tab/>
        <w:t>حاء-</w:t>
      </w:r>
      <w:r>
        <w:rPr>
          <w:rtl/>
        </w:rPr>
        <w:tab/>
        <w:t>بيان مشترك بمناسبة يوم الأمم المتحدة الدولي لمساندة ضحايا التعذيب</w:t>
      </w:r>
    </w:p>
    <w:p w:rsidR="00A66CBB" w:rsidRDefault="00B80DAE" w:rsidP="00B80DAE">
      <w:pPr>
        <w:pStyle w:val="SingleTxtGA"/>
        <w:rPr>
          <w:rtl/>
        </w:rPr>
      </w:pPr>
      <w:r>
        <w:rPr>
          <w:rtl/>
        </w:rPr>
        <w:t>16</w:t>
      </w:r>
      <w:r w:rsidR="00A66CBB">
        <w:rPr>
          <w:rtl/>
        </w:rPr>
        <w:t>-</w:t>
      </w:r>
      <w:r w:rsidR="00A66CBB">
        <w:rPr>
          <w:rtl/>
        </w:rPr>
        <w:tab/>
        <w:t>اعتُمد بيان مشترك عن اللجنة الفرعية لمنع التعذيب والمقرر الخاص المعني بمسألة التعذيب وغيره من ضروب المعاملة أو العقوبة القاسية أو اللاإنسانية أو المهينة ومجلس أمناء صندوق الأمم المتحدة للتبرعات لضحايا التعذيب والمقرر الخاص المعني بتعزيز الحقيقة والعدالة والجبر وضمانات عدم التكرار، وتقرّر صدوره في 26 حزيران/ يونيه 2012، وهو يوم الأمم المتحدة الدولي لمساندة ضحايا التعذيب (انظر المرفق التاسع من هذا التقرير).</w:t>
      </w:r>
    </w:p>
    <w:p w:rsidR="00A66CBB" w:rsidRDefault="00B80DAE" w:rsidP="00B80DAE">
      <w:pPr>
        <w:pStyle w:val="H1GA"/>
        <w:spacing w:before="120"/>
        <w:rPr>
          <w:rtl/>
        </w:rPr>
      </w:pPr>
      <w:r>
        <w:rPr>
          <w:rFonts w:hint="cs"/>
          <w:rtl/>
        </w:rPr>
        <w:tab/>
      </w:r>
      <w:r>
        <w:rPr>
          <w:rtl/>
        </w:rPr>
        <w:t>طاء</w:t>
      </w:r>
      <w:r w:rsidR="00A66CBB">
        <w:rPr>
          <w:rtl/>
        </w:rPr>
        <w:t>-</w:t>
      </w:r>
      <w:r>
        <w:rPr>
          <w:rFonts w:hint="cs"/>
          <w:rtl/>
        </w:rPr>
        <w:tab/>
      </w:r>
      <w:r w:rsidR="00A66CBB">
        <w:rPr>
          <w:rtl/>
        </w:rPr>
        <w:t>الاجتماع غير الرسمي مع الدول الأطراف في الاتفاقية</w:t>
      </w:r>
    </w:p>
    <w:p w:rsidR="00A66CBB" w:rsidRPr="003F7D5F" w:rsidRDefault="00B80DAE" w:rsidP="00B80DAE">
      <w:pPr>
        <w:pStyle w:val="SingleTxtGA"/>
        <w:rPr>
          <w:spacing w:val="-4"/>
          <w:rtl/>
        </w:rPr>
      </w:pPr>
      <w:r w:rsidRPr="003F7D5F">
        <w:rPr>
          <w:spacing w:val="-4"/>
          <w:rtl/>
        </w:rPr>
        <w:t>17</w:t>
      </w:r>
      <w:r w:rsidR="00A66CBB" w:rsidRPr="003F7D5F">
        <w:rPr>
          <w:spacing w:val="-4"/>
          <w:rtl/>
        </w:rPr>
        <w:t>-</w:t>
      </w:r>
      <w:r w:rsidR="00A66CBB" w:rsidRPr="003F7D5F">
        <w:rPr>
          <w:spacing w:val="-4"/>
          <w:rtl/>
        </w:rPr>
        <w:tab/>
        <w:t>عقدت اللجنة في 10 أيار/مايو 2013، خلال دورتها الخمسين، اجتماعاً غير رسمي مع الدول الأطراف في الاتفاقي</w:t>
      </w:r>
      <w:r w:rsidR="003F7D5F" w:rsidRPr="003F7D5F">
        <w:rPr>
          <w:spacing w:val="-4"/>
          <w:rtl/>
        </w:rPr>
        <w:t>ة حضره ممثلون عن 25 دولة طرفاً.</w:t>
      </w:r>
      <w:r w:rsidR="00A66CBB" w:rsidRPr="003F7D5F">
        <w:rPr>
          <w:spacing w:val="-4"/>
          <w:rtl/>
        </w:rPr>
        <w:t xml:space="preserve"> وناقشت اللجنة والدول الأطراف القضايا التالية: أساليب عمل اللجنة؛ والإجراء الاختياري للجنة المتعلق بالإبلاغ، الذي يتألف من قوائم</w:t>
      </w:r>
      <w:r w:rsidR="009912C3" w:rsidRPr="003F7D5F">
        <w:rPr>
          <w:rFonts w:hint="cs"/>
          <w:spacing w:val="-4"/>
          <w:rtl/>
        </w:rPr>
        <w:t xml:space="preserve"> القضايا السابقة</w:t>
      </w:r>
      <w:r w:rsidR="00A66CBB" w:rsidRPr="003F7D5F">
        <w:rPr>
          <w:spacing w:val="-4"/>
          <w:rtl/>
        </w:rPr>
        <w:t xml:space="preserve"> لتقديم التقارير الدورية؛ والمبادئ التوجيهية المتعلقـة باستقلالية وحيادية أعضاء لجان معاهدات حقوق الإنسان (المبادئ التوجيهية لأديس أبابا)؛ وعملية تعزيز هيئات المعاهدات؛ ودراسة حالة الدول في غياب تقرير؛ ومسالة الأعمال الانتقامية.</w:t>
      </w:r>
    </w:p>
    <w:p w:rsidR="00A66CBB" w:rsidRDefault="00A66CBB" w:rsidP="003F7D5F">
      <w:pPr>
        <w:pStyle w:val="H1GA"/>
        <w:rPr>
          <w:rtl/>
        </w:rPr>
      </w:pPr>
      <w:r>
        <w:rPr>
          <w:rtl/>
        </w:rPr>
        <w:tab/>
        <w:t>ياء-</w:t>
      </w:r>
      <w:r>
        <w:rPr>
          <w:rtl/>
        </w:rPr>
        <w:tab/>
        <w:t>مشاركة المنظمات غير الحكومية</w:t>
      </w:r>
    </w:p>
    <w:p w:rsidR="00A66CBB" w:rsidRDefault="003F7D5F" w:rsidP="00A66CBB">
      <w:pPr>
        <w:pStyle w:val="SingleTxtGA"/>
        <w:rPr>
          <w:rtl/>
        </w:rPr>
      </w:pPr>
      <w:r>
        <w:rPr>
          <w:rtl/>
        </w:rPr>
        <w:t>18</w:t>
      </w:r>
      <w:r w:rsidR="00A66CBB">
        <w:rPr>
          <w:rtl/>
        </w:rPr>
        <w:t>-</w:t>
      </w:r>
      <w:r w:rsidR="00A66CBB">
        <w:rPr>
          <w:rtl/>
        </w:rPr>
        <w:tab/>
        <w:t>عقدت اللجنة في 13 أيار/مايو 2013، خلال دورتها الخمسين، اجتماعاً غير رسمي مع ممثلي 12 منظمة غير حكومية من المنظمات التي دأبت على تقديم معلومات إلى اللجنة، وناقشت معها القضايا التالية: أساليب عمل اللجنة؛ وولاية المقررين المعنيين بالأعمال الانتقامية؛ وعملية تعزيز هيئات المعاهدات؛ والإجراء الاختياري للإبلاغ، بما في ذلك الحاجة إلى وضع مبادئ توجيهية للإجراءات المتعلقة بالمعلومات ذات الصلة الواردة من المنظمات غير الحكومية ونشرها في الموقع الشبكي للجنة؛ واستعراض القواعد النموذجية الدنيا لمعاملة السجناء؛ ومعايير اختيار المواضيع للتعليقات العامة (قدم اقتراح بشأن تعليق عام في المستقبل، إما على المادة 3 أو المادة 15 من الاتفاقية)؛ والتعاون بين لجنة مناهضة التعذيب واللجنة الفرعية لمنع التعذيب؛ والمعاملة غير الطوعية للأشخاص ذوي الإعاقة.</w:t>
      </w:r>
    </w:p>
    <w:p w:rsidR="00A66CBB" w:rsidRDefault="003F7D5F" w:rsidP="00A66CBB">
      <w:pPr>
        <w:pStyle w:val="SingleTxtGA"/>
        <w:rPr>
          <w:rtl/>
        </w:rPr>
      </w:pPr>
      <w:r>
        <w:rPr>
          <w:rtl/>
        </w:rPr>
        <w:t>19</w:t>
      </w:r>
      <w:r w:rsidR="00A66CBB">
        <w:rPr>
          <w:rtl/>
        </w:rPr>
        <w:t>-</w:t>
      </w:r>
      <w:r w:rsidR="00A66CBB">
        <w:rPr>
          <w:rtl/>
        </w:rPr>
        <w:tab/>
        <w:t>وقد اعترفت اللجنة منذ وقت طويل بعمل المنظمات غير الحكومية واجتمعت معها في جلسات خاصة، وُفّرت لها خدمات الترجمة الشفوية، في اليوم الذي يسبق مباشرة موعد النظر في تقرير كل دولة طرف</w:t>
      </w:r>
      <w:r w:rsidR="00C4543B">
        <w:rPr>
          <w:rtl/>
        </w:rPr>
        <w:t xml:space="preserve"> بموجب المادة 19 من الاتفاقية. </w:t>
      </w:r>
      <w:r w:rsidR="00A66CBB">
        <w:rPr>
          <w:rtl/>
        </w:rPr>
        <w:t>وتُعرب اللجنة عن تقديرها للمنظمات غير الحكومية لمشاركتها في هذه الجلسات وتقدّر بوجه خاص حضور المنظمات غير الحكومية الوطنية التي تُقدّم معلومات فورية ومباشرة.</w:t>
      </w:r>
    </w:p>
    <w:p w:rsidR="00A66CBB" w:rsidRDefault="00A66CBB" w:rsidP="003F7D5F">
      <w:pPr>
        <w:pStyle w:val="H1GA"/>
        <w:rPr>
          <w:rtl/>
        </w:rPr>
      </w:pPr>
      <w:r>
        <w:rPr>
          <w:rtl/>
        </w:rPr>
        <w:tab/>
      </w:r>
      <w:r w:rsidR="003F7D5F">
        <w:rPr>
          <w:rtl/>
        </w:rPr>
        <w:t>كاف</w:t>
      </w:r>
      <w:r w:rsidR="003F7D5F">
        <w:rPr>
          <w:rFonts w:hint="cs"/>
          <w:rtl/>
        </w:rPr>
        <w:t>-</w:t>
      </w:r>
      <w:r>
        <w:rPr>
          <w:rtl/>
        </w:rPr>
        <w:tab/>
        <w:t>مشاركة المؤسسات الوطنية لحقوق الإنسان</w:t>
      </w:r>
    </w:p>
    <w:p w:rsidR="00A66CBB" w:rsidRDefault="003F7D5F" w:rsidP="00A66CBB">
      <w:pPr>
        <w:pStyle w:val="SingleTxtGA"/>
        <w:rPr>
          <w:rtl/>
        </w:rPr>
      </w:pPr>
      <w:r>
        <w:rPr>
          <w:rtl/>
        </w:rPr>
        <w:t>20</w:t>
      </w:r>
      <w:r w:rsidR="00A66CBB">
        <w:rPr>
          <w:rtl/>
        </w:rPr>
        <w:t>-</w:t>
      </w:r>
      <w:r w:rsidR="00A66CBB">
        <w:rPr>
          <w:rtl/>
        </w:rPr>
        <w:tab/>
        <w:t>وعلى نفس المنوال، اعترفت اللجنة منذ وقت طويل بعمل المؤسسات الوطنية لحقوق الإنسان. ويجتمع المقررون القطريون، وكذلك أي عضو من أعضاء اللجنة ممن يرغبون في الحضور، مع ممثلي هذه المؤسسات، عند الطلب أو حسب الاقتضاء، قبل موعد النظر في تقرير كل دولة طرف</w:t>
      </w:r>
      <w:r>
        <w:rPr>
          <w:rtl/>
        </w:rPr>
        <w:t xml:space="preserve"> بموجب المادة 19 من الاتفاقية. </w:t>
      </w:r>
      <w:r w:rsidR="00A66CBB">
        <w:rPr>
          <w:rtl/>
        </w:rPr>
        <w:t xml:space="preserve">وتُعرب اللجنة عن تقديرها للمعلومات التي تتلقاها من هذه المؤسسات وتتطلع إلى مواصلة الاستفادة من المعلومات التي تستمدها من هذه الهيئات والتي عزّزت فهمها للقضايا المعروضة على اللجنة. </w:t>
      </w:r>
    </w:p>
    <w:p w:rsidR="00A66CBB" w:rsidRDefault="00A66CBB" w:rsidP="003F7D5F">
      <w:pPr>
        <w:pStyle w:val="H1GA"/>
        <w:rPr>
          <w:rtl/>
        </w:rPr>
      </w:pPr>
      <w:r>
        <w:rPr>
          <w:rtl/>
        </w:rPr>
        <w:tab/>
        <w:t>لام-</w:t>
      </w:r>
      <w:r>
        <w:rPr>
          <w:rtl/>
        </w:rPr>
        <w:tab/>
        <w:t>تعليق عام بشأن المادة 14 من الاتفاقية</w:t>
      </w:r>
    </w:p>
    <w:p w:rsidR="00A66CBB" w:rsidRDefault="003F7D5F" w:rsidP="00A25D78">
      <w:pPr>
        <w:pStyle w:val="SingleTxtGA"/>
        <w:rPr>
          <w:rFonts w:hint="cs"/>
          <w:rtl/>
        </w:rPr>
      </w:pPr>
      <w:r>
        <w:rPr>
          <w:rtl/>
        </w:rPr>
        <w:t>21</w:t>
      </w:r>
      <w:r w:rsidR="00A66CBB">
        <w:rPr>
          <w:rtl/>
        </w:rPr>
        <w:t>-</w:t>
      </w:r>
      <w:r w:rsidR="00A66CBB">
        <w:rPr>
          <w:rtl/>
        </w:rPr>
        <w:tab/>
        <w:t>تبعاً لعمل اللجنة الذي بلورته خلال الدورات السابقة، لا سيما من قبل الفريق العامل غير الرسمي المعني بالحق في الجبر، الذي أنشأته في دورتها الرابعة والأربعين، والمؤلف من السيدة غاير والسيد عبد الله غاي وا</w:t>
      </w:r>
      <w:r w:rsidR="00B42F87">
        <w:rPr>
          <w:rtl/>
        </w:rPr>
        <w:t>لسيد غروسمان والسيدة نورا سفياس</w:t>
      </w:r>
      <w:r w:rsidR="00A25D78" w:rsidRPr="00A25D78">
        <w:rPr>
          <w:rFonts w:hint="cs"/>
          <w:vertAlign w:val="superscript"/>
          <w:rtl/>
        </w:rPr>
        <w:t>(</w:t>
      </w:r>
      <w:r w:rsidR="00B42F87" w:rsidRPr="00A25D78">
        <w:rPr>
          <w:rStyle w:val="FootnoteReference"/>
          <w:rtl/>
        </w:rPr>
        <w:footnoteReference w:id="1"/>
      </w:r>
      <w:r w:rsidR="00A25D78" w:rsidRPr="00A25D78">
        <w:rPr>
          <w:rFonts w:hint="cs"/>
          <w:vertAlign w:val="superscript"/>
          <w:rtl/>
        </w:rPr>
        <w:t>)</w:t>
      </w:r>
      <w:r w:rsidR="00A25D78">
        <w:rPr>
          <w:rFonts w:hint="cs"/>
          <w:rtl/>
        </w:rPr>
        <w:t xml:space="preserve"> </w:t>
      </w:r>
      <w:r w:rsidR="00A66CBB">
        <w:rPr>
          <w:rtl/>
        </w:rPr>
        <w:t>اعتمدت اللجنة، في دورتها التاسعة والأربعين، بعد إجراء استشارة عامة مع الجهات صاحبة المصلحة في 22 تشرين الثاني/نوفمبر 2011 آخذة في اعتبارها التعليقات الخطية العديدة المقدمة من دول أطراف ووكالات تابعة للأمم المتحدة ومنظمات غير حكومية، وجهات أخرى، وبعد قراءة ختامية للنص، تعليقاً عاماً بشأن تنفيذ الدول الأطراف للمادة 14 من الاتفاقية (انظر</w:t>
      </w:r>
      <w:r w:rsidR="00C4543B">
        <w:rPr>
          <w:rtl/>
        </w:rPr>
        <w:t xml:space="preserve"> المرفق العاشر). ويمكن الاطلاع </w:t>
      </w:r>
      <w:r w:rsidR="00A66CBB">
        <w:rPr>
          <w:rtl/>
        </w:rPr>
        <w:t>أيضا</w:t>
      </w:r>
      <w:r w:rsidR="00C4543B">
        <w:rPr>
          <w:rFonts w:hint="cs"/>
          <w:rtl/>
        </w:rPr>
        <w:t>ً</w:t>
      </w:r>
      <w:r w:rsidR="00C4543B">
        <w:rPr>
          <w:rtl/>
        </w:rPr>
        <w:t xml:space="preserve"> على التعليق العام </w:t>
      </w:r>
      <w:r w:rsidR="00A66CBB">
        <w:rPr>
          <w:rtl/>
        </w:rPr>
        <w:t>في الموقع الشبكي للمفوضية (</w:t>
      </w:r>
      <w:r w:rsidR="00A66CBB">
        <w:t>http://www2.ohchr.org/english/bodies/cat/comments.htm</w:t>
      </w:r>
      <w:r w:rsidR="00A66CBB">
        <w:rPr>
          <w:rtl/>
        </w:rPr>
        <w:t>)</w:t>
      </w:r>
      <w:r w:rsidR="00C4543B">
        <w:rPr>
          <w:rFonts w:hint="cs"/>
          <w:rtl/>
        </w:rPr>
        <w:t>.</w:t>
      </w:r>
    </w:p>
    <w:p w:rsidR="00A66CBB" w:rsidRDefault="00A66CBB" w:rsidP="00A25D78">
      <w:pPr>
        <w:pStyle w:val="H1GA"/>
        <w:rPr>
          <w:rtl/>
        </w:rPr>
      </w:pPr>
      <w:r>
        <w:rPr>
          <w:rtl/>
        </w:rPr>
        <w:tab/>
        <w:t>ميم</w:t>
      </w:r>
      <w:r w:rsidR="00A25D78">
        <w:rPr>
          <w:rFonts w:hint="cs"/>
          <w:rtl/>
        </w:rPr>
        <w:t>-</w:t>
      </w:r>
      <w:r>
        <w:rPr>
          <w:rtl/>
        </w:rPr>
        <w:tab/>
        <w:t>المبادئ التوجيهية المتعلقة بتقديم التقارير</w:t>
      </w:r>
    </w:p>
    <w:p w:rsidR="00A66CBB" w:rsidRDefault="00A25D78" w:rsidP="00A25D78">
      <w:pPr>
        <w:pStyle w:val="SingleTxtGA"/>
        <w:rPr>
          <w:rtl/>
        </w:rPr>
      </w:pPr>
      <w:r>
        <w:rPr>
          <w:rtl/>
        </w:rPr>
        <w:t>22</w:t>
      </w:r>
      <w:r w:rsidR="00A66CBB">
        <w:rPr>
          <w:rtl/>
        </w:rPr>
        <w:t>-</w:t>
      </w:r>
      <w:r w:rsidR="00A66CBB">
        <w:rPr>
          <w:rtl/>
        </w:rPr>
        <w:tab/>
        <w:t>لم يتسنّ للجنة، في دورتيها التاسعة والأربعين والخمسين، بسبب عبء العمل المثقل جدا، أن تستمر في مناقشة تنقيح المبادئ التوجيهية المتعلقة بتقديم التقارير في ضوء الإجراء الاختياري للإبلاغ (</w:t>
      </w:r>
      <w:r>
        <w:rPr>
          <w:rFonts w:hint="cs"/>
          <w:rtl/>
        </w:rPr>
        <w:t>"</w:t>
      </w:r>
      <w:r w:rsidR="00A66CBB">
        <w:rPr>
          <w:rtl/>
        </w:rPr>
        <w:t>قائمة القضايا السابقة لتقديم التقارير</w:t>
      </w:r>
      <w:r>
        <w:rPr>
          <w:rFonts w:hint="cs"/>
          <w:rtl/>
        </w:rPr>
        <w:t>"</w:t>
      </w:r>
      <w:r w:rsidR="00A66CBB">
        <w:rPr>
          <w:rtl/>
        </w:rPr>
        <w:t xml:space="preserve">). </w:t>
      </w:r>
    </w:p>
    <w:p w:rsidR="00A66CBB" w:rsidRDefault="00A25D78" w:rsidP="00A25D78">
      <w:pPr>
        <w:pStyle w:val="H1GA"/>
        <w:rPr>
          <w:rtl/>
        </w:rPr>
      </w:pPr>
      <w:r>
        <w:rPr>
          <w:rFonts w:hint="cs"/>
          <w:rtl/>
        </w:rPr>
        <w:tab/>
      </w:r>
      <w:r w:rsidR="00A66CBB">
        <w:rPr>
          <w:rtl/>
        </w:rPr>
        <w:t>نون</w:t>
      </w:r>
      <w:r>
        <w:rPr>
          <w:rFonts w:hint="cs"/>
          <w:rtl/>
        </w:rPr>
        <w:t>-</w:t>
      </w:r>
      <w:r>
        <w:rPr>
          <w:rFonts w:hint="cs"/>
          <w:rtl/>
        </w:rPr>
        <w:tab/>
      </w:r>
      <w:r w:rsidR="00A66CBB">
        <w:rPr>
          <w:rtl/>
        </w:rPr>
        <w:t>قرار الجمعية العامة 67/232</w:t>
      </w:r>
    </w:p>
    <w:p w:rsidR="00A66CBB" w:rsidRDefault="00A25D78" w:rsidP="00A66CBB">
      <w:pPr>
        <w:pStyle w:val="SingleTxtGA"/>
        <w:rPr>
          <w:rtl/>
        </w:rPr>
      </w:pPr>
      <w:r>
        <w:rPr>
          <w:rtl/>
        </w:rPr>
        <w:t>23</w:t>
      </w:r>
      <w:r w:rsidR="00A66CBB">
        <w:rPr>
          <w:rtl/>
        </w:rPr>
        <w:t>-</w:t>
      </w:r>
      <w:r w:rsidR="00A66CBB">
        <w:rPr>
          <w:rtl/>
        </w:rPr>
        <w:tab/>
        <w:t>رحبت اللجنة، في دورتها الخمسين، بقرار الجمعية العامة 67/232 المؤرخ 24 كانون الأول/ديسمبر 2012، الذي أذنت فيه للجنة بأن تجتمع لمدة أسبوع إضافي في كل دورة، باعتبار ذلك تدبيراً مؤقتاً يسري اعتباراً من أيار/مايو 2013 إلى غاية نهاية تشرين الثاني/نوفمبر 2014، بغية تسوية مشكلة تراكم تقارير الدول الأطراف والشكاوى الفردية التي تنتظر النظر فيها، وذلك بناءً على طلب قدمته اللجنة إلى الجمعية العامة للحصول على الدعم المالي المناسب لهذا الغرض.</w:t>
      </w:r>
    </w:p>
    <w:p w:rsidR="00A66CBB" w:rsidRDefault="00A25D78" w:rsidP="00A66CBB">
      <w:pPr>
        <w:pStyle w:val="SingleTxtGA"/>
        <w:rPr>
          <w:rtl/>
        </w:rPr>
      </w:pPr>
      <w:r>
        <w:rPr>
          <w:rtl/>
        </w:rPr>
        <w:t>24</w:t>
      </w:r>
      <w:r w:rsidR="00A66CBB">
        <w:rPr>
          <w:rtl/>
        </w:rPr>
        <w:t>-</w:t>
      </w:r>
      <w:r w:rsidR="00A66CBB">
        <w:rPr>
          <w:rtl/>
        </w:rPr>
        <w:tab/>
        <w:t>وواصلت اللجنة، في الدورة نفسها، مناقشة التدابير الكفيلة بتحسين كفاءة أساليب وتكاليف عملها بغية التصرف على نحو أفضل في برامج عملها وما لديها من تقارير وش</w:t>
      </w:r>
      <w:r w:rsidR="00C4543B">
        <w:rPr>
          <w:rtl/>
        </w:rPr>
        <w:t xml:space="preserve">كاوى متراكمة لم تنظر فيها بعد. </w:t>
      </w:r>
      <w:r w:rsidR="00A66CBB">
        <w:rPr>
          <w:rtl/>
        </w:rPr>
        <w:t>وعلى هذا الأساس، قررت اللجنة، في جملة ما قررت، أن تواصل تقييم الإجراء الاختياري المتع</w:t>
      </w:r>
      <w:r w:rsidR="002F691F">
        <w:rPr>
          <w:rtl/>
        </w:rPr>
        <w:t>لق بالإبلاغ وتشجع الدول الأطراف</w:t>
      </w:r>
      <w:r w:rsidR="00A66CBB">
        <w:rPr>
          <w:rtl/>
        </w:rPr>
        <w:t>، عن طرق منها ملاحظاتها الختامية، على الإبلاغ وفق هذا الإجراء.</w:t>
      </w:r>
    </w:p>
    <w:p w:rsidR="00A66CBB" w:rsidRDefault="00A66CBB" w:rsidP="00A25D78">
      <w:pPr>
        <w:pStyle w:val="H1GA"/>
        <w:spacing w:before="120"/>
        <w:rPr>
          <w:rtl/>
        </w:rPr>
      </w:pPr>
      <w:r>
        <w:rPr>
          <w:rtl/>
        </w:rPr>
        <w:tab/>
        <w:t>سين-</w:t>
      </w:r>
      <w:r>
        <w:rPr>
          <w:rtl/>
        </w:rPr>
        <w:tab/>
        <w:t>النظر في التقارير</w:t>
      </w:r>
    </w:p>
    <w:p w:rsidR="00A66CBB" w:rsidRDefault="00A25D78" w:rsidP="00F37BC5">
      <w:pPr>
        <w:pStyle w:val="SingleTxtGA"/>
        <w:rPr>
          <w:rtl/>
        </w:rPr>
      </w:pPr>
      <w:r>
        <w:rPr>
          <w:rtl/>
        </w:rPr>
        <w:t>25</w:t>
      </w:r>
      <w:r w:rsidR="00A66CBB">
        <w:rPr>
          <w:rtl/>
        </w:rPr>
        <w:t>-</w:t>
      </w:r>
      <w:r w:rsidR="00A66CBB">
        <w:rPr>
          <w:rtl/>
        </w:rPr>
        <w:tab/>
        <w:t>قررت اللجنة، في دورتها الخمسين، في ضوء قرار الجمعية العامة 67/232 الذي أذنت فيه للجنة، كتدبير مؤقت، بأن تجتمع لمدة أسبوع إضافي في كل دورة، أن تواصل النظر في ثمانية تقارير لدول أطراف في دورتها لشهر أيار/مايو وفي تسعة تقار</w:t>
      </w:r>
      <w:r w:rsidR="00F37BC5">
        <w:rPr>
          <w:rtl/>
        </w:rPr>
        <w:t>ير في دورتها لشهر تشرين الثاني/</w:t>
      </w:r>
      <w:r w:rsidR="00A66CBB">
        <w:rPr>
          <w:rtl/>
        </w:rPr>
        <w:t>نوفمبر، مع الاحتفاظ بالحوار مع ممثلي الدول الأطراف لمدة خمس ساعات لكل</w:t>
      </w:r>
      <w:r w:rsidR="00F37BC5">
        <w:rPr>
          <w:rFonts w:hint="cs"/>
          <w:rtl/>
        </w:rPr>
        <w:t> </w:t>
      </w:r>
      <w:r w:rsidR="00A66CBB">
        <w:rPr>
          <w:rtl/>
        </w:rPr>
        <w:t xml:space="preserve">تقرير. </w:t>
      </w:r>
    </w:p>
    <w:p w:rsidR="00A66CBB" w:rsidRDefault="00A25D78" w:rsidP="00A25D78">
      <w:pPr>
        <w:pStyle w:val="H1GA"/>
        <w:rPr>
          <w:rtl/>
        </w:rPr>
      </w:pPr>
      <w:r>
        <w:rPr>
          <w:rFonts w:hint="cs"/>
          <w:rtl/>
        </w:rPr>
        <w:tab/>
      </w:r>
      <w:r w:rsidR="00A66CBB">
        <w:rPr>
          <w:rtl/>
        </w:rPr>
        <w:t>عين</w:t>
      </w:r>
      <w:r>
        <w:rPr>
          <w:rFonts w:hint="cs"/>
          <w:rtl/>
        </w:rPr>
        <w:t>-</w:t>
      </w:r>
      <w:r>
        <w:rPr>
          <w:rFonts w:hint="cs"/>
          <w:rtl/>
        </w:rPr>
        <w:tab/>
      </w:r>
      <w:r w:rsidR="00A66CBB">
        <w:rPr>
          <w:rtl/>
        </w:rPr>
        <w:t>التقرير الخاص المطلوب من الجمهورية العربية السورية</w:t>
      </w:r>
    </w:p>
    <w:p w:rsidR="00A66CBB" w:rsidRDefault="00A25D78" w:rsidP="00A25D78">
      <w:pPr>
        <w:pStyle w:val="SingleTxtGA"/>
        <w:rPr>
          <w:rtl/>
        </w:rPr>
      </w:pPr>
      <w:r>
        <w:rPr>
          <w:rtl/>
        </w:rPr>
        <w:t>26</w:t>
      </w:r>
      <w:r w:rsidR="00A66CBB">
        <w:rPr>
          <w:rtl/>
        </w:rPr>
        <w:t>-</w:t>
      </w:r>
      <w:r w:rsidR="00A66CBB">
        <w:rPr>
          <w:rtl/>
        </w:rPr>
        <w:tab/>
        <w:t>عطفا</w:t>
      </w:r>
      <w:r>
        <w:rPr>
          <w:rFonts w:hint="cs"/>
          <w:rtl/>
        </w:rPr>
        <w:t>ً</w:t>
      </w:r>
      <w:r w:rsidR="00A66CBB">
        <w:rPr>
          <w:rtl/>
        </w:rPr>
        <w:t xml:space="preserve"> على تقر</w:t>
      </w:r>
      <w:r>
        <w:rPr>
          <w:rtl/>
        </w:rPr>
        <w:t xml:space="preserve">ير المتابعة الخاص الذي طلب إلى </w:t>
      </w:r>
      <w:r w:rsidR="00A66CBB">
        <w:rPr>
          <w:rtl/>
        </w:rPr>
        <w:t>الجمهورية العربية السورية في أيار/</w:t>
      </w:r>
      <w:r>
        <w:rPr>
          <w:rFonts w:hint="cs"/>
          <w:rtl/>
        </w:rPr>
        <w:t xml:space="preserve"> </w:t>
      </w:r>
      <w:r w:rsidR="00A66CBB">
        <w:rPr>
          <w:rtl/>
        </w:rPr>
        <w:t xml:space="preserve">مايو 2012 (انظر </w:t>
      </w:r>
      <w:r w:rsidR="00A66CBB">
        <w:t>CAT/C/SYR/CO/1/Add.2</w:t>
      </w:r>
      <w:r w:rsidR="00A66CBB">
        <w:rPr>
          <w:rtl/>
        </w:rPr>
        <w:t>)، تعرب اللجنة عن الأسف لعدم تلقي معلومات من الدولة الطرف خلال الفترة قيد النظر. وللاطلاع على مزيد من المعلومات، يرجى الرجوع إلى الفصل الرابع من هذا التقرير.</w:t>
      </w:r>
    </w:p>
    <w:p w:rsidR="00A66CBB" w:rsidRDefault="00A66CBB" w:rsidP="00A25D78">
      <w:pPr>
        <w:pStyle w:val="H1GA"/>
        <w:rPr>
          <w:rtl/>
        </w:rPr>
      </w:pPr>
      <w:r>
        <w:rPr>
          <w:rtl/>
        </w:rPr>
        <w:tab/>
        <w:t>فاء</w:t>
      </w:r>
      <w:r w:rsidR="00A25D78">
        <w:rPr>
          <w:rFonts w:hint="cs"/>
          <w:rtl/>
        </w:rPr>
        <w:t>-</w:t>
      </w:r>
      <w:r w:rsidR="00A25D78">
        <w:rPr>
          <w:rFonts w:hint="cs"/>
          <w:rtl/>
        </w:rPr>
        <w:tab/>
      </w:r>
      <w:r>
        <w:rPr>
          <w:rtl/>
        </w:rPr>
        <w:t>المقرران الخاصان المعنيان بالأعمال الانتقامية</w:t>
      </w:r>
    </w:p>
    <w:p w:rsidR="00A66CBB" w:rsidRDefault="00A66CBB" w:rsidP="00A25D78">
      <w:pPr>
        <w:pStyle w:val="SingleTxtGA"/>
        <w:rPr>
          <w:rtl/>
        </w:rPr>
      </w:pPr>
      <w:r>
        <w:rPr>
          <w:rtl/>
        </w:rPr>
        <w:t>2</w:t>
      </w:r>
      <w:r w:rsidR="00A25D78">
        <w:rPr>
          <w:rtl/>
        </w:rPr>
        <w:t>7</w:t>
      </w:r>
      <w:r>
        <w:rPr>
          <w:rtl/>
        </w:rPr>
        <w:t>-</w:t>
      </w:r>
      <w:r>
        <w:rPr>
          <w:rtl/>
        </w:rPr>
        <w:tab/>
        <w:t>قررت اللجنة في دورتها التاسعة والأربعين اعتماد آلية لمنع الأعمال الانتقامية ورصدها ومتابعة حالات الانتقام ضد منظمات المجتمع المدني والمدافعين عن حقوق الإنسان والضحايا والشهود إثر مشاركتهم في نظام هيئات المعاهدات، عملا</w:t>
      </w:r>
      <w:r w:rsidR="00255B48">
        <w:rPr>
          <w:rFonts w:hint="cs"/>
          <w:rtl/>
        </w:rPr>
        <w:t>ً</w:t>
      </w:r>
      <w:r>
        <w:rPr>
          <w:rtl/>
        </w:rPr>
        <w:t xml:space="preserve"> بالتوصية الصادرة عن مفوضة الأمم المتحدة السامية لحقوق الإنسان في تقريرها المتعلق بتعزيز الهيئات المنشأة بمعاهدات حقوق الإنسان (</w:t>
      </w:r>
      <w:r>
        <w:t>A/66/860</w:t>
      </w:r>
      <w:r w:rsidR="00A25D78">
        <w:rPr>
          <w:rtl/>
        </w:rPr>
        <w:t>، الصفحتان 94</w:t>
      </w:r>
      <w:r>
        <w:rPr>
          <w:rtl/>
        </w:rPr>
        <w:t xml:space="preserve">-95). </w:t>
      </w:r>
    </w:p>
    <w:p w:rsidR="00A66CBB" w:rsidRDefault="00A25D78" w:rsidP="00A25D78">
      <w:pPr>
        <w:pStyle w:val="SingleTxtGA"/>
        <w:rPr>
          <w:rtl/>
        </w:rPr>
      </w:pPr>
      <w:r>
        <w:rPr>
          <w:rtl/>
        </w:rPr>
        <w:t>28</w:t>
      </w:r>
      <w:r w:rsidR="00A66CBB">
        <w:rPr>
          <w:rtl/>
        </w:rPr>
        <w:t>-</w:t>
      </w:r>
      <w:r w:rsidR="00A66CBB">
        <w:rPr>
          <w:rtl/>
        </w:rPr>
        <w:tab/>
        <w:t xml:space="preserve">وتشير اللجنة إلى أنه، بموجب المادة 13 من الاتفاقية، </w:t>
      </w:r>
      <w:r>
        <w:rPr>
          <w:rFonts w:hint="cs"/>
          <w:rtl/>
        </w:rPr>
        <w:t>"</w:t>
      </w:r>
      <w:r w:rsidR="00A66CBB">
        <w:rPr>
          <w:rtl/>
        </w:rPr>
        <w:t>تضمن كل دولة طرف لأي فرد يدعي بأنه قد تعرض للتعذيب في أي إقليم يخضع لولايتها القضائية، الحق في أن يرفع شكوى إلى سلطاتها المختصة وفى أن تنظر هذه السلطات في حالته على وجه السرعة وبنزاهة</w:t>
      </w:r>
      <w:r>
        <w:rPr>
          <w:rFonts w:hint="cs"/>
          <w:rtl/>
        </w:rPr>
        <w:t>"</w:t>
      </w:r>
      <w:r w:rsidR="00A66CBB">
        <w:rPr>
          <w:rtl/>
        </w:rPr>
        <w:t xml:space="preserve">، على أنه </w:t>
      </w:r>
      <w:r>
        <w:rPr>
          <w:rFonts w:hint="cs"/>
          <w:rtl/>
        </w:rPr>
        <w:t>"</w:t>
      </w:r>
      <w:r w:rsidR="00A66CBB">
        <w:rPr>
          <w:rtl/>
        </w:rPr>
        <w:t>ينبغي اتخاذ الخطوات اللازمة لضمان حماية مقدم الشكوى والشهود من كافة أنواع المعاملة السيئة أو التخويف نتيجة لشكواه أو لأي أدلة تقدم</w:t>
      </w:r>
      <w:r>
        <w:rPr>
          <w:rFonts w:hint="cs"/>
          <w:rtl/>
        </w:rPr>
        <w:t>"</w:t>
      </w:r>
      <w:r w:rsidR="00A66CBB">
        <w:rPr>
          <w:rtl/>
        </w:rPr>
        <w:t>. وينبغي أن تعتمد الدول الأطراف جميع التدابير اللازمة لمنع أي شكل من أشكال الانتقام ضد الأشخاص بسبب تعاونهم مع اللجنة. وعند حدوث أعمال انتقامية، ينبغي إجراء تحقيق كامل فيها ومقاضاة مرتكبيها ومعاقبة من تثبت مسؤوليتهم عن تلك الأعمال وفقا</w:t>
      </w:r>
      <w:r w:rsidR="00255B48">
        <w:rPr>
          <w:rFonts w:hint="cs"/>
          <w:rtl/>
        </w:rPr>
        <w:t>ً</w:t>
      </w:r>
      <w:r w:rsidR="00A66CBB">
        <w:rPr>
          <w:rtl/>
        </w:rPr>
        <w:t xml:space="preserve"> لذلك. وينبغي أن يحصل ضحايا الأعمال الانتقامية على ما يناسب من أشكال الحماية والجبْر.</w:t>
      </w:r>
    </w:p>
    <w:p w:rsidR="00A66CBB" w:rsidRPr="00347778" w:rsidRDefault="00A25D78" w:rsidP="00347778">
      <w:pPr>
        <w:pStyle w:val="SingleTxtGA"/>
        <w:rPr>
          <w:spacing w:val="-2"/>
          <w:rtl/>
        </w:rPr>
      </w:pPr>
      <w:r w:rsidRPr="00347778">
        <w:rPr>
          <w:spacing w:val="-2"/>
          <w:rtl/>
        </w:rPr>
        <w:t>29</w:t>
      </w:r>
      <w:r w:rsidR="00A66CBB" w:rsidRPr="00347778">
        <w:rPr>
          <w:spacing w:val="-2"/>
          <w:rtl/>
        </w:rPr>
        <w:t>-</w:t>
      </w:r>
      <w:r w:rsidR="00A66CBB" w:rsidRPr="00347778">
        <w:rPr>
          <w:spacing w:val="-2"/>
          <w:rtl/>
        </w:rPr>
        <w:tab/>
        <w:t>وقررت اللجنة، في دورتها التاسعة والأربعين، استحداث منصبين لمقررين اثنين معنيين بالأعمال الانتقامية، أحدهما معني بالأعمال الانتقامية بموجب الماد</w:t>
      </w:r>
      <w:r w:rsidR="00347778" w:rsidRPr="00347778">
        <w:rPr>
          <w:spacing w:val="-2"/>
          <w:rtl/>
        </w:rPr>
        <w:t xml:space="preserve">ة 19 من الاتفاقية، والآخر معني </w:t>
      </w:r>
      <w:r w:rsidR="00A66CBB" w:rsidRPr="00347778">
        <w:rPr>
          <w:spacing w:val="-2"/>
          <w:rtl/>
        </w:rPr>
        <w:t>بالأعمال الانتقامية بموجب المادة 22. وعينت السيد جورج توغوشي، مقررا</w:t>
      </w:r>
      <w:r w:rsidR="00347778" w:rsidRPr="00347778">
        <w:rPr>
          <w:rFonts w:hint="cs"/>
          <w:spacing w:val="-2"/>
          <w:rtl/>
        </w:rPr>
        <w:t>ً </w:t>
      </w:r>
      <w:r w:rsidR="00A66CBB" w:rsidRPr="00347778">
        <w:rPr>
          <w:spacing w:val="-2"/>
          <w:rtl/>
        </w:rPr>
        <w:t>معنيا</w:t>
      </w:r>
      <w:r w:rsidR="00347778" w:rsidRPr="00347778">
        <w:rPr>
          <w:rFonts w:hint="cs"/>
          <w:spacing w:val="-2"/>
          <w:rtl/>
        </w:rPr>
        <w:t>ً</w:t>
      </w:r>
      <w:r w:rsidR="00A66CBB" w:rsidRPr="00347778">
        <w:rPr>
          <w:spacing w:val="-2"/>
          <w:rtl/>
        </w:rPr>
        <w:t xml:space="preserve"> بالأعمال الانتقامية بموجب المادة 19، والسيد بروني، مقررا</w:t>
      </w:r>
      <w:r w:rsidR="00347778" w:rsidRPr="00347778">
        <w:rPr>
          <w:rFonts w:hint="cs"/>
          <w:spacing w:val="-2"/>
          <w:rtl/>
        </w:rPr>
        <w:t>ً</w:t>
      </w:r>
      <w:r w:rsidR="00A66CBB" w:rsidRPr="00347778">
        <w:rPr>
          <w:spacing w:val="-2"/>
          <w:rtl/>
        </w:rPr>
        <w:t xml:space="preserve"> معنيا</w:t>
      </w:r>
      <w:r w:rsidR="00347778" w:rsidRPr="00347778">
        <w:rPr>
          <w:rFonts w:hint="cs"/>
          <w:spacing w:val="-2"/>
          <w:rtl/>
        </w:rPr>
        <w:t>ً</w:t>
      </w:r>
      <w:r w:rsidR="00A66CBB" w:rsidRPr="00347778">
        <w:rPr>
          <w:spacing w:val="-2"/>
          <w:rtl/>
        </w:rPr>
        <w:t xml:space="preserve"> بالأعمال الانتقامية بموجب المادة 22. وسيُعين في مرحلة لاحقة مقرر معني بالأعمال الانتقامية بموجب المادة 20. وستُناقش المبادئ التوجيهية المتعلقة </w:t>
      </w:r>
      <w:r w:rsidR="00C4543B">
        <w:rPr>
          <w:spacing w:val="-2"/>
          <w:rtl/>
        </w:rPr>
        <w:t xml:space="preserve">بتنفيذ ولايات المقررين الخاصين </w:t>
      </w:r>
      <w:r w:rsidR="00A66CBB" w:rsidRPr="00347778">
        <w:rPr>
          <w:spacing w:val="-2"/>
          <w:rtl/>
        </w:rPr>
        <w:t xml:space="preserve">وتُعتمد في دورات مقبلة. </w:t>
      </w:r>
    </w:p>
    <w:p w:rsidR="00A66CBB" w:rsidRDefault="00347778" w:rsidP="00347778">
      <w:pPr>
        <w:pStyle w:val="SingleTxtGA"/>
        <w:rPr>
          <w:rFonts w:hint="cs"/>
          <w:rtl/>
        </w:rPr>
      </w:pPr>
      <w:r>
        <w:rPr>
          <w:rtl/>
        </w:rPr>
        <w:t>30</w:t>
      </w:r>
      <w:r w:rsidR="00A66CBB">
        <w:rPr>
          <w:rtl/>
        </w:rPr>
        <w:t>-</w:t>
      </w:r>
      <w:r w:rsidR="00A66CBB">
        <w:rPr>
          <w:rtl/>
        </w:rPr>
        <w:tab/>
        <w:t>وتلقت اللجنة ف</w:t>
      </w:r>
      <w:r w:rsidR="00C4543B">
        <w:rPr>
          <w:rtl/>
        </w:rPr>
        <w:t xml:space="preserve">ي دورتها الخمسين معلومات تتعلق </w:t>
      </w:r>
      <w:r w:rsidR="00A66CBB">
        <w:rPr>
          <w:rtl/>
        </w:rPr>
        <w:t>بأعمال انتقامية مزعومة، بموجب المادة 19 تخص الاتحاد الروسي. ووجهت الرسائل المتعلقة بمزاعم الأعمال الان</w:t>
      </w:r>
      <w:r w:rsidR="002F691F">
        <w:rPr>
          <w:rtl/>
        </w:rPr>
        <w:t>تقامية إلى الدولة الطرف في 17 و</w:t>
      </w:r>
      <w:r w:rsidR="00A66CBB">
        <w:rPr>
          <w:rtl/>
        </w:rPr>
        <w:t>28 أيار/مايو 2013. وقررت اللجنة أيضا</w:t>
      </w:r>
      <w:r w:rsidR="002F691F">
        <w:rPr>
          <w:rFonts w:hint="cs"/>
          <w:rtl/>
        </w:rPr>
        <w:t>ً</w:t>
      </w:r>
      <w:r w:rsidR="00A66CBB">
        <w:rPr>
          <w:rtl/>
        </w:rPr>
        <w:t xml:space="preserve"> استحداث صفحة شبكية مكرسة لنشر رسائل المقررين المتعلقة بادعاءات الانتقام وكذلك ردود الدول الأطراف عليها (</w:t>
      </w:r>
      <w:r w:rsidR="00A66CBB">
        <w:t>http://www2.ohchr.org/english/bodies/cat/reprisalsLetters.htm</w:t>
      </w:r>
      <w:r w:rsidR="00A66CBB">
        <w:rPr>
          <w:rtl/>
        </w:rPr>
        <w:t>)</w:t>
      </w:r>
      <w:r>
        <w:rPr>
          <w:rFonts w:hint="cs"/>
          <w:rtl/>
        </w:rPr>
        <w:t>.</w:t>
      </w:r>
    </w:p>
    <w:p w:rsidR="00A66CBB" w:rsidRDefault="00A66CBB" w:rsidP="00347778">
      <w:pPr>
        <w:pStyle w:val="H1GA"/>
        <w:rPr>
          <w:rFonts w:hint="cs"/>
          <w:rtl/>
        </w:rPr>
      </w:pPr>
      <w:r>
        <w:rPr>
          <w:rtl/>
        </w:rPr>
        <w:tab/>
        <w:t>صاد</w:t>
      </w:r>
      <w:r w:rsidR="00347778">
        <w:rPr>
          <w:rFonts w:hint="cs"/>
          <w:rtl/>
        </w:rPr>
        <w:t>-</w:t>
      </w:r>
      <w:r w:rsidR="00347778">
        <w:rPr>
          <w:rFonts w:hint="cs"/>
          <w:rtl/>
        </w:rPr>
        <w:tab/>
      </w:r>
      <w:r>
        <w:rPr>
          <w:rtl/>
        </w:rPr>
        <w:t>عملية تعزيز هيئات المعاهدات</w:t>
      </w:r>
    </w:p>
    <w:p w:rsidR="00A66CBB" w:rsidRDefault="00347778" w:rsidP="00347778">
      <w:pPr>
        <w:pStyle w:val="SingleTxtGA"/>
        <w:spacing w:line="370" w:lineRule="exact"/>
        <w:rPr>
          <w:rFonts w:hint="cs"/>
          <w:rtl/>
        </w:rPr>
      </w:pPr>
      <w:r>
        <w:rPr>
          <w:rtl/>
        </w:rPr>
        <w:t>31</w:t>
      </w:r>
      <w:r w:rsidR="00A66CBB">
        <w:rPr>
          <w:rtl/>
        </w:rPr>
        <w:t>-</w:t>
      </w:r>
      <w:r w:rsidR="00A66CBB">
        <w:rPr>
          <w:rtl/>
        </w:rPr>
        <w:tab/>
        <w:t>اعتمدت اللجنة، في دورتها التاسعة والأربعين، بياناً عن تقرير مفوضة الأمم المتحدة السامية لحقوق الإنسان بشأن تعزيز هيئات معاهدات حقوق الإ</w:t>
      </w:r>
      <w:r>
        <w:rPr>
          <w:rtl/>
        </w:rPr>
        <w:t xml:space="preserve">نسان (انظر المرفق الحادي عشر). </w:t>
      </w:r>
      <w:r w:rsidR="00A66CBB">
        <w:rPr>
          <w:rtl/>
        </w:rPr>
        <w:t>ورحبت بتقرير المفوضة السامية (</w:t>
      </w:r>
      <w:r w:rsidR="00A66CBB">
        <w:t>A/66/860</w:t>
      </w:r>
      <w:r w:rsidR="00A66CBB">
        <w:rPr>
          <w:rtl/>
        </w:rPr>
        <w:t xml:space="preserve">) الصادر في حزيران/يونيه 2012، وأعربت عن تقديرها للجهود التي بذلتها المفوضة السامية تبعاً لعملية تشاركية واسعة شملت جميع الجهات ذات المصلحة المعنية بهذا النظام. وأكدت اللجنة على أن الجهود الرامية إلى تعزيز نظام هيئات المعاهدات، بما في ذلك توفير الموارد الكافية، أمر ضروري من أجل فعالية عمل هذا النظام القائم على الالتزامات التعاهدية وعمليات تقييم الامتثال التي تقوم بها هيئات رقابية </w:t>
      </w:r>
      <w:r>
        <w:rPr>
          <w:rtl/>
        </w:rPr>
        <w:t xml:space="preserve">مستقلة مؤلفة من خبراء مستقلين. </w:t>
      </w:r>
      <w:r w:rsidR="00A66CBB">
        <w:rPr>
          <w:rtl/>
        </w:rPr>
        <w:t>ولاحظت أن غالبية المقترحات المقدمة سبق أن نفذتها اللجنة، بما فيها إجراء الإبلاغ المبسط، الذي أطلق في عام 2007 من خلال إجرائها الاختياري المتعلق بالإبلاغ الذي يتألف من قوائم القضايا السابقة لتقديم التقارير</w:t>
      </w:r>
      <w:r w:rsidRPr="00347778">
        <w:rPr>
          <w:rFonts w:hint="cs"/>
          <w:vertAlign w:val="superscript"/>
          <w:rtl/>
        </w:rPr>
        <w:t>(</w:t>
      </w:r>
      <w:r w:rsidR="00B42F87" w:rsidRPr="00347778">
        <w:rPr>
          <w:rStyle w:val="FootnoteReference"/>
          <w:rtl/>
        </w:rPr>
        <w:footnoteReference w:id="2"/>
      </w:r>
      <w:r w:rsidRPr="00347778">
        <w:rPr>
          <w:rFonts w:hint="cs"/>
          <w:vertAlign w:val="superscript"/>
          <w:rtl/>
        </w:rPr>
        <w:t>)</w:t>
      </w:r>
      <w:r>
        <w:rPr>
          <w:rFonts w:hint="cs"/>
          <w:rtl/>
        </w:rPr>
        <w:t>.</w:t>
      </w:r>
    </w:p>
    <w:p w:rsidR="00A66CBB" w:rsidRDefault="00347778" w:rsidP="00C4543B">
      <w:pPr>
        <w:pStyle w:val="SingleTxtGA"/>
        <w:spacing w:line="370" w:lineRule="exact"/>
        <w:rPr>
          <w:rtl/>
        </w:rPr>
      </w:pPr>
      <w:r>
        <w:rPr>
          <w:rtl/>
        </w:rPr>
        <w:t>32</w:t>
      </w:r>
      <w:r w:rsidR="00A66CBB">
        <w:rPr>
          <w:rtl/>
        </w:rPr>
        <w:t>-</w:t>
      </w:r>
      <w:r w:rsidR="00A66CBB">
        <w:rPr>
          <w:rtl/>
        </w:rPr>
        <w:tab/>
        <w:t>واعتمدت اللجنة، في دورتها التاسعة والأربعين، بياناً عن المبادئ التوجيهية المتعلقة باستقلالية أعضاء هيئات معاهدات حقوق الإنسان ونزاهتهم، (مبادئ أديس أبابا التوجي</w:t>
      </w:r>
      <w:r>
        <w:rPr>
          <w:rtl/>
        </w:rPr>
        <w:t xml:space="preserve">هية) (انظر المرفق الثاني عشر). </w:t>
      </w:r>
      <w:r w:rsidR="00A66CBB">
        <w:rPr>
          <w:rtl/>
        </w:rPr>
        <w:t>ورحبت بالم</w:t>
      </w:r>
      <w:r w:rsidR="00C4543B">
        <w:rPr>
          <w:rtl/>
        </w:rPr>
        <w:t xml:space="preserve">بادرة التي اتخذت في الاجتماعين </w:t>
      </w:r>
      <w:r w:rsidR="00A66CBB">
        <w:rPr>
          <w:rtl/>
        </w:rPr>
        <w:t>ال</w:t>
      </w:r>
      <w:r w:rsidR="00C4543B">
        <w:rPr>
          <w:rtl/>
        </w:rPr>
        <w:t xml:space="preserve">ثالث والعشرين والخامس والعشرين </w:t>
      </w:r>
      <w:r w:rsidR="00A66CBB">
        <w:rPr>
          <w:rtl/>
        </w:rPr>
        <w:t>لرؤساء هيئات المعاهدات حيث عكفوا على إعداد هذه المبادئ التوجيهية</w:t>
      </w:r>
      <w:r>
        <w:rPr>
          <w:rtl/>
        </w:rPr>
        <w:t xml:space="preserve"> وأوصوا بأن تنظر كل لجنة فيها. </w:t>
      </w:r>
      <w:r w:rsidR="00A66CBB">
        <w:rPr>
          <w:rtl/>
        </w:rPr>
        <w:t>ولاحظت أن اللجنة قد حددت بالفعل مستوىً رفيعا</w:t>
      </w:r>
      <w:r>
        <w:rPr>
          <w:rFonts w:hint="cs"/>
          <w:rtl/>
        </w:rPr>
        <w:t>ً</w:t>
      </w:r>
      <w:r w:rsidR="00A66CBB">
        <w:rPr>
          <w:rtl/>
        </w:rPr>
        <w:t xml:space="preserve"> من الاستقلالية والنزاهة لأعضائها في نظامها الداخلي (</w:t>
      </w:r>
      <w:r w:rsidR="00A66CBB">
        <w:t>CAT/C/3/Rev.5</w:t>
      </w:r>
      <w:r w:rsidR="00A66CBB">
        <w:rPr>
          <w:rtl/>
        </w:rPr>
        <w:t>)، ولا</w:t>
      </w:r>
      <w:r>
        <w:rPr>
          <w:rFonts w:hint="cs"/>
          <w:rtl/>
        </w:rPr>
        <w:t xml:space="preserve"> </w:t>
      </w:r>
      <w:r w:rsidR="00A66CBB">
        <w:rPr>
          <w:rtl/>
        </w:rPr>
        <w:t>سيما في المادتين</w:t>
      </w:r>
      <w:r w:rsidR="00C4543B">
        <w:rPr>
          <w:rFonts w:hint="cs"/>
          <w:rtl/>
        </w:rPr>
        <w:t> </w:t>
      </w:r>
      <w:r w:rsidR="00A66CBB">
        <w:rPr>
          <w:rtl/>
        </w:rPr>
        <w:t>15 و73 منه.</w:t>
      </w:r>
    </w:p>
    <w:p w:rsidR="00A66CBB" w:rsidRPr="00347778" w:rsidRDefault="00347778" w:rsidP="00347778">
      <w:pPr>
        <w:pStyle w:val="SingleTxtGA"/>
        <w:spacing w:line="370" w:lineRule="exact"/>
        <w:rPr>
          <w:spacing w:val="-2"/>
          <w:rtl/>
        </w:rPr>
      </w:pPr>
      <w:r>
        <w:rPr>
          <w:rtl/>
        </w:rPr>
        <w:t>33</w:t>
      </w:r>
      <w:r w:rsidR="00A66CBB">
        <w:rPr>
          <w:rtl/>
        </w:rPr>
        <w:t>-</w:t>
      </w:r>
      <w:r w:rsidR="00A66CBB">
        <w:rPr>
          <w:rtl/>
        </w:rPr>
        <w:tab/>
        <w:t>وكررت اللجنة في دورتها الخمسين، تأكيد دعمها القوي لاستقلال ونزاهة أعض</w:t>
      </w:r>
      <w:r>
        <w:rPr>
          <w:rtl/>
        </w:rPr>
        <w:t xml:space="preserve">اء هيئات معاهدات حقوق الإنسان، </w:t>
      </w:r>
      <w:r w:rsidR="00A66CBB">
        <w:rPr>
          <w:rtl/>
        </w:rPr>
        <w:t>على النحو المنصوص عليه في مبادئ أديس أبابا التوجيهية، واعتمدت قرارا بتعديل نظامها الداخلي، من أجل إرفاق هذه المبادئ التوجيهية به (المرفق الثالث عشر).</w:t>
      </w:r>
      <w:r w:rsidR="00A66CBB">
        <w:rPr>
          <w:rtl/>
        </w:rPr>
        <w:cr/>
      </w:r>
      <w:r>
        <w:rPr>
          <w:rtl/>
        </w:rPr>
        <w:t>34</w:t>
      </w:r>
      <w:r w:rsidR="00A66CBB">
        <w:rPr>
          <w:rtl/>
        </w:rPr>
        <w:t>-</w:t>
      </w:r>
      <w:r w:rsidR="00A66CBB">
        <w:rPr>
          <w:rtl/>
        </w:rPr>
        <w:tab/>
        <w:t xml:space="preserve">وفي الدورة الخمسين للجنة المعقودة في 22 أيار/مايو، شارك كل من السيد بروني، </w:t>
      </w:r>
      <w:r w:rsidR="00A66CBB" w:rsidRPr="00347778">
        <w:rPr>
          <w:spacing w:val="-2"/>
          <w:rtl/>
        </w:rPr>
        <w:t>والسيد ساتيابهوشون غوبت دوماه، والسيدة غاير (بصفتها رئيسة) والسيدة سفياس في مؤتمر عن طريق التداول بالفيديو مع مُيسري عملية تعزيز هيئات المعاهدات، المقيمين في نيويورك. وشدد أعضاء اللجنة على أهمية استقلال أعضاء هيئات المعاهدات، واختصاصهم في وضع أ</w:t>
      </w:r>
      <w:r w:rsidRPr="00347778">
        <w:rPr>
          <w:spacing w:val="-2"/>
          <w:rtl/>
        </w:rPr>
        <w:t xml:space="preserve">نظمتهم الداخلية وأساليب عملهم، </w:t>
      </w:r>
      <w:r w:rsidR="00A66CBB" w:rsidRPr="00347778">
        <w:rPr>
          <w:spacing w:val="-2"/>
          <w:rtl/>
        </w:rPr>
        <w:t xml:space="preserve">وأهمية مشاركتهم القوية في عملية تعزيز </w:t>
      </w:r>
      <w:r w:rsidRPr="00347778">
        <w:rPr>
          <w:spacing w:val="-2"/>
          <w:rtl/>
        </w:rPr>
        <w:t xml:space="preserve">هيئات المعاهدات، ودعم العملية، </w:t>
      </w:r>
      <w:r w:rsidR="00A66CBB" w:rsidRPr="00347778">
        <w:rPr>
          <w:spacing w:val="-2"/>
          <w:rtl/>
        </w:rPr>
        <w:t>فضلا</w:t>
      </w:r>
      <w:r w:rsidR="005C4AA8">
        <w:rPr>
          <w:rFonts w:hint="cs"/>
          <w:spacing w:val="-2"/>
          <w:rtl/>
        </w:rPr>
        <w:t>ً</w:t>
      </w:r>
      <w:r w:rsidR="00A66CBB" w:rsidRPr="00347778">
        <w:rPr>
          <w:spacing w:val="-2"/>
          <w:rtl/>
        </w:rPr>
        <w:t xml:space="preserve"> عن الجهود التي بذلوها من أجل تحسين أداء نظام هيئات المعاهدات، بوسائل منها ريادة منهجيات جديدة لتيس</w:t>
      </w:r>
      <w:r w:rsidRPr="00347778">
        <w:rPr>
          <w:spacing w:val="-2"/>
          <w:rtl/>
        </w:rPr>
        <w:t xml:space="preserve">ير تقديم تقارير الدول الأطراف، </w:t>
      </w:r>
      <w:r w:rsidR="00A66CBB" w:rsidRPr="00347778">
        <w:rPr>
          <w:spacing w:val="-2"/>
          <w:rtl/>
        </w:rPr>
        <w:t>مثل إجراء الإبلاغ الاختياري (قائمة القضايا السابقة لتقديم التقارير)، الذي يشكل إجراء الإبلاغ المبسط.</w:t>
      </w:r>
    </w:p>
    <w:p w:rsidR="00A66CBB" w:rsidRDefault="00347778" w:rsidP="00347778">
      <w:pPr>
        <w:pStyle w:val="H1GA"/>
        <w:rPr>
          <w:rFonts w:hint="cs"/>
          <w:rtl/>
        </w:rPr>
      </w:pPr>
      <w:r>
        <w:rPr>
          <w:rtl/>
        </w:rPr>
        <w:tab/>
        <w:t>قاف-</w:t>
      </w:r>
      <w:r>
        <w:rPr>
          <w:rFonts w:hint="cs"/>
          <w:rtl/>
        </w:rPr>
        <w:tab/>
      </w:r>
      <w:r>
        <w:rPr>
          <w:rtl/>
        </w:rPr>
        <w:t>النظام الداخلي</w:t>
      </w:r>
    </w:p>
    <w:p w:rsidR="00A66CBB" w:rsidRDefault="00347778" w:rsidP="00347778">
      <w:pPr>
        <w:pStyle w:val="SingleTxtGA"/>
        <w:rPr>
          <w:rtl/>
        </w:rPr>
      </w:pPr>
      <w:r>
        <w:rPr>
          <w:rtl/>
        </w:rPr>
        <w:t>35</w:t>
      </w:r>
      <w:r w:rsidR="00A66CBB">
        <w:rPr>
          <w:rtl/>
        </w:rPr>
        <w:t>-</w:t>
      </w:r>
      <w:r w:rsidR="00A66CBB">
        <w:rPr>
          <w:rtl/>
        </w:rPr>
        <w:tab/>
        <w:t>وعطفا</w:t>
      </w:r>
      <w:r>
        <w:rPr>
          <w:rFonts w:hint="cs"/>
          <w:rtl/>
        </w:rPr>
        <w:t>ً</w:t>
      </w:r>
      <w:r w:rsidR="00A66CBB">
        <w:rPr>
          <w:rtl/>
        </w:rPr>
        <w:t xml:space="preserve"> على المقرر الذي اتخذته اللجنة فيما يتعلق بمبادئ أديس أبابا التوجيهية، ق</w:t>
      </w:r>
      <w:r>
        <w:rPr>
          <w:rtl/>
        </w:rPr>
        <w:t>ررت اللجنة، في دورتها الخمسين، تعديل المواد 14 و15 و</w:t>
      </w:r>
      <w:r w:rsidR="00A66CBB">
        <w:rPr>
          <w:rtl/>
        </w:rPr>
        <w:t xml:space="preserve">109 من النظام الداخلي (انظر المرفق الرابع عشر)، من أجل تعزيز </w:t>
      </w:r>
      <w:r>
        <w:rPr>
          <w:rtl/>
        </w:rPr>
        <w:t xml:space="preserve">استقلال أعضاء اللجنة ونزاهتهم، بما في ذلك </w:t>
      </w:r>
      <w:r w:rsidR="00A66CBB">
        <w:rPr>
          <w:rtl/>
        </w:rPr>
        <w:t>تعديل أداء العهد الرسمي للأعضاء الجدد، وتعزيز إلزامية عدم مشاركة أو عدم حضور أحد الأعضاء أثناء النظر في الشكاوى الفردية. ويمكن الاطلاع على النظام الداخلي المعدل المُجمع في موقع المفوضية السامية على الإنترنت.</w:t>
      </w:r>
    </w:p>
    <w:p w:rsidR="00A66CBB" w:rsidRDefault="00A66CBB" w:rsidP="00347778">
      <w:pPr>
        <w:pStyle w:val="H1GA"/>
        <w:rPr>
          <w:rtl/>
        </w:rPr>
      </w:pPr>
      <w:r>
        <w:rPr>
          <w:rtl/>
        </w:rPr>
        <w:tab/>
        <w:t>ر</w:t>
      </w:r>
      <w:r w:rsidR="00347778">
        <w:rPr>
          <w:rtl/>
        </w:rPr>
        <w:t>اء-</w:t>
      </w:r>
      <w:r w:rsidR="00347778">
        <w:rPr>
          <w:rFonts w:hint="cs"/>
          <w:rtl/>
        </w:rPr>
        <w:tab/>
      </w:r>
      <w:r>
        <w:rPr>
          <w:rtl/>
        </w:rPr>
        <w:t>الذكرى الخامسة والعشرون لإنشاء اللجنة</w:t>
      </w:r>
    </w:p>
    <w:p w:rsidR="00A66CBB" w:rsidRDefault="00347778" w:rsidP="00347778">
      <w:pPr>
        <w:pStyle w:val="SingleTxtGA"/>
        <w:rPr>
          <w:rFonts w:hint="cs"/>
          <w:rtl/>
        </w:rPr>
      </w:pPr>
      <w:r>
        <w:rPr>
          <w:rtl/>
        </w:rPr>
        <w:t>36</w:t>
      </w:r>
      <w:r w:rsidR="00A66CBB">
        <w:rPr>
          <w:rtl/>
        </w:rPr>
        <w:t>-</w:t>
      </w:r>
      <w:r w:rsidR="00A66CBB">
        <w:rPr>
          <w:rtl/>
        </w:rPr>
        <w:tab/>
        <w:t>احتفلت اللجنة، في دورتها الخمسين،</w:t>
      </w:r>
      <w:r>
        <w:rPr>
          <w:rtl/>
        </w:rPr>
        <w:t xml:space="preserve"> المعقودة في 7 أيار/مايو 2013، </w:t>
      </w:r>
      <w:r w:rsidR="00A66CBB">
        <w:rPr>
          <w:rtl/>
        </w:rPr>
        <w:t>بذكراها السنوية الخامسة والعشرين في قصر الأمم، في جنيف. ونظمت اللجنة بتلك المناسبة حدثا</w:t>
      </w:r>
      <w:r>
        <w:rPr>
          <w:rFonts w:hint="cs"/>
          <w:rtl/>
        </w:rPr>
        <w:t>ً</w:t>
      </w:r>
      <w:r w:rsidR="00A66CBB">
        <w:rPr>
          <w:rtl/>
        </w:rPr>
        <w:t xml:space="preserve"> أتاح لها فرصة التفاعل مع مختلف أصحاب المصلحة من أجل الوقوف على الخبرة المكتسبة والتقدم الذي أحرزت</w:t>
      </w:r>
      <w:r>
        <w:rPr>
          <w:rtl/>
        </w:rPr>
        <w:t xml:space="preserve">ه اللجنة في الاضطلاع بولايتها، </w:t>
      </w:r>
      <w:r w:rsidR="00A66CBB">
        <w:rPr>
          <w:rtl/>
        </w:rPr>
        <w:t>وكذا النظر في تنفيذ الدول الأطراف لأحكام الاتفاقية. وقد جمعت هذه المناسبة بين الدول الأطراف في الاتفاقية، وآليات الأمم المتحدة وغيرها من الهيئات الحكومية الدولية، والمنظمات غير الحكومية، والدوائر الأكاديمية وخلافها من الجهات ا</w:t>
      </w:r>
      <w:r w:rsidR="00C4543B">
        <w:rPr>
          <w:rtl/>
        </w:rPr>
        <w:t>لمهتمة.</w:t>
      </w:r>
    </w:p>
    <w:p w:rsidR="00A66CBB" w:rsidRPr="00347778" w:rsidRDefault="00347778" w:rsidP="00347778">
      <w:pPr>
        <w:pStyle w:val="SingleTxtGA"/>
        <w:rPr>
          <w:spacing w:val="-2"/>
          <w:rtl/>
        </w:rPr>
      </w:pPr>
      <w:r w:rsidRPr="00347778">
        <w:rPr>
          <w:spacing w:val="-2"/>
          <w:rtl/>
        </w:rPr>
        <w:t>37</w:t>
      </w:r>
      <w:r w:rsidR="00A66CBB" w:rsidRPr="00347778">
        <w:rPr>
          <w:spacing w:val="-2"/>
          <w:rtl/>
        </w:rPr>
        <w:t>-</w:t>
      </w:r>
      <w:r w:rsidR="00A66CBB" w:rsidRPr="00347778">
        <w:rPr>
          <w:spacing w:val="-2"/>
          <w:rtl/>
        </w:rPr>
        <w:tab/>
        <w:t>وقُسّم الحدث إلى حلقتي نقاش، إحداهما لتحديد الإنجازات الرئيسية التي حققتها اللجنة، فضلا</w:t>
      </w:r>
      <w:r w:rsidR="00C4543B">
        <w:rPr>
          <w:rFonts w:hint="cs"/>
          <w:spacing w:val="-2"/>
          <w:rtl/>
        </w:rPr>
        <w:t>ً</w:t>
      </w:r>
      <w:r w:rsidR="00A66CBB" w:rsidRPr="00347778">
        <w:rPr>
          <w:spacing w:val="-2"/>
          <w:rtl/>
        </w:rPr>
        <w:t xml:space="preserve"> عن </w:t>
      </w:r>
      <w:r w:rsidR="00C4543B">
        <w:rPr>
          <w:spacing w:val="-2"/>
          <w:rtl/>
        </w:rPr>
        <w:t xml:space="preserve">القيود والتحديات التي تواجهها، </w:t>
      </w:r>
      <w:r w:rsidR="00A66CBB" w:rsidRPr="00347778">
        <w:rPr>
          <w:spacing w:val="-2"/>
          <w:rtl/>
        </w:rPr>
        <w:t>والأخرى مخصصة لتعميق النظر في التزامات الدول الأطراف بتوفير سبل انتصاف لضحايا التعذ</w:t>
      </w:r>
      <w:r w:rsidR="00C4543B">
        <w:rPr>
          <w:spacing w:val="-2"/>
          <w:rtl/>
        </w:rPr>
        <w:t xml:space="preserve">يب، </w:t>
      </w:r>
      <w:r w:rsidRPr="00347778">
        <w:rPr>
          <w:spacing w:val="-2"/>
          <w:rtl/>
        </w:rPr>
        <w:t>في ضوء التعليق العام رقم</w:t>
      </w:r>
      <w:r w:rsidRPr="00347778">
        <w:rPr>
          <w:rFonts w:hint="cs"/>
          <w:spacing w:val="-2"/>
          <w:rtl/>
        </w:rPr>
        <w:t> </w:t>
      </w:r>
      <w:r w:rsidRPr="00347778">
        <w:rPr>
          <w:spacing w:val="-2"/>
          <w:rtl/>
        </w:rPr>
        <w:t>3</w:t>
      </w:r>
      <w:r w:rsidR="00A66CBB" w:rsidRPr="00347778">
        <w:rPr>
          <w:spacing w:val="-2"/>
          <w:rtl/>
        </w:rPr>
        <w:t>(2012) بشأن تنفيذ المادة 14 من الدول الأطراف، الذي اعتمد مؤخرا. وقدم خبراء دوليون رفيعو المستوى عروضا في كلتا حلقتي النقاش، أعقبتها مناقشات عامة. ويمكن الاطلاع على برنامج الاحتفال ون</w:t>
      </w:r>
      <w:r w:rsidR="00C4543B">
        <w:rPr>
          <w:spacing w:val="-2"/>
          <w:rtl/>
        </w:rPr>
        <w:t xml:space="preserve">صوص المداخلات في موقع المفوضية </w:t>
      </w:r>
      <w:r w:rsidR="00A66CBB" w:rsidRPr="00347778">
        <w:rPr>
          <w:spacing w:val="-2"/>
          <w:rtl/>
        </w:rPr>
        <w:t>السامية على الإنترنت.</w:t>
      </w:r>
    </w:p>
    <w:p w:rsidR="008D66CD" w:rsidRPr="004E0A37" w:rsidRDefault="00551E54" w:rsidP="00A84348">
      <w:pPr>
        <w:pStyle w:val="HChGA"/>
        <w:spacing w:before="120"/>
        <w:rPr>
          <w:rFonts w:hint="cs"/>
          <w:rtl/>
        </w:rPr>
      </w:pPr>
      <w:r>
        <w:rPr>
          <w:rFonts w:hint="cs"/>
          <w:rtl/>
        </w:rPr>
        <w:tab/>
      </w:r>
      <w:r w:rsidR="008D66CD">
        <w:rPr>
          <w:rFonts w:hint="cs"/>
          <w:rtl/>
        </w:rPr>
        <w:t>ثانياً</w:t>
      </w:r>
      <w:r w:rsidR="00A84348">
        <w:rPr>
          <w:rFonts w:hint="cs"/>
          <w:rtl/>
        </w:rPr>
        <w:t>-</w:t>
      </w:r>
      <w:r w:rsidR="008D66CD" w:rsidRPr="004E0A37">
        <w:rPr>
          <w:rFonts w:hint="cs"/>
          <w:rtl/>
        </w:rPr>
        <w:tab/>
        <w:t>تقديم الدول الأطراف للتقارير بموجب المادة 19 من الاتفاقية</w:t>
      </w:r>
    </w:p>
    <w:p w:rsidR="008D66CD" w:rsidRPr="004E0A37" w:rsidRDefault="00A84348" w:rsidP="00A84348">
      <w:pPr>
        <w:pStyle w:val="SingleTxtGA"/>
        <w:rPr>
          <w:rFonts w:hint="cs"/>
          <w:rtl/>
        </w:rPr>
      </w:pPr>
      <w:r>
        <w:rPr>
          <w:rFonts w:hint="cs"/>
          <w:rtl/>
        </w:rPr>
        <w:t>38</w:t>
      </w:r>
      <w:r w:rsidR="00A66CBB">
        <w:rPr>
          <w:rFonts w:hint="cs"/>
          <w:rtl/>
        </w:rPr>
        <w:t>-</w:t>
      </w:r>
      <w:r w:rsidR="008D66CD" w:rsidRPr="004E0A37">
        <w:rPr>
          <w:rFonts w:hint="cs"/>
          <w:rtl/>
        </w:rPr>
        <w:tab/>
        <w:t xml:space="preserve">خلال الفترة التي يشملها هذا التقرير، قُدم إلى الأمين العام </w:t>
      </w:r>
      <w:r w:rsidR="007F00F4">
        <w:rPr>
          <w:rFonts w:hint="cs"/>
          <w:rtl/>
        </w:rPr>
        <w:t>17</w:t>
      </w:r>
      <w:r w:rsidR="007F00F4" w:rsidRPr="004E0A37">
        <w:rPr>
          <w:rFonts w:hint="cs"/>
          <w:rtl/>
        </w:rPr>
        <w:t xml:space="preserve"> </w:t>
      </w:r>
      <w:r w:rsidR="008D66CD" w:rsidRPr="004E0A37">
        <w:rPr>
          <w:rFonts w:hint="cs"/>
          <w:rtl/>
        </w:rPr>
        <w:t xml:space="preserve">تقريراً من الدول الأطراف بموجب المادة 19 من الاتفاقية. فقد قدم كل من </w:t>
      </w:r>
      <w:r w:rsidR="008D66CD">
        <w:rPr>
          <w:rFonts w:hint="cs"/>
          <w:rtl/>
        </w:rPr>
        <w:t>أندورا</w:t>
      </w:r>
      <w:r w:rsidR="008D66CD" w:rsidRPr="004E0A37">
        <w:rPr>
          <w:rFonts w:hint="cs"/>
          <w:rtl/>
        </w:rPr>
        <w:t xml:space="preserve"> و</w:t>
      </w:r>
      <w:r w:rsidR="008D66CD">
        <w:rPr>
          <w:rFonts w:hint="cs"/>
          <w:rtl/>
        </w:rPr>
        <w:t>بوركينا فاسو وتايلند وسيراليون والكرسي الرسولي وموزامبيق</w:t>
      </w:r>
      <w:r w:rsidR="008D66CD" w:rsidRPr="004E0A37">
        <w:rPr>
          <w:rFonts w:hint="cs"/>
          <w:rtl/>
        </w:rPr>
        <w:t xml:space="preserve"> تقريراً أولياً. وقدّم</w:t>
      </w:r>
      <w:r w:rsidR="008D66CD">
        <w:rPr>
          <w:rFonts w:hint="cs"/>
          <w:rtl/>
        </w:rPr>
        <w:t xml:space="preserve"> كل من الجبل الأسود وكينيا</w:t>
      </w:r>
      <w:r w:rsidR="008D66CD" w:rsidRPr="004E0A37">
        <w:rPr>
          <w:rFonts w:hint="cs"/>
          <w:rtl/>
        </w:rPr>
        <w:t xml:space="preserve"> تقريراً دورياً ثانياً. وقدمت أو</w:t>
      </w:r>
      <w:r w:rsidR="008D66CD">
        <w:rPr>
          <w:rFonts w:hint="cs"/>
          <w:rtl/>
        </w:rPr>
        <w:t>روغواي وبلجيكا</w:t>
      </w:r>
      <w:r w:rsidR="007F00F4">
        <w:rPr>
          <w:rFonts w:hint="cs"/>
          <w:rtl/>
        </w:rPr>
        <w:t xml:space="preserve"> وليتوانيا</w:t>
      </w:r>
      <w:r w:rsidR="008D66CD" w:rsidRPr="004E0A37">
        <w:rPr>
          <w:rFonts w:hint="cs"/>
          <w:rtl/>
        </w:rPr>
        <w:t xml:space="preserve"> تقريراً دورياً </w:t>
      </w:r>
      <w:r w:rsidR="008D66CD">
        <w:rPr>
          <w:rFonts w:hint="cs"/>
          <w:rtl/>
        </w:rPr>
        <w:t>ثالثاً</w:t>
      </w:r>
      <w:r w:rsidR="008D66CD" w:rsidRPr="004E0A37">
        <w:rPr>
          <w:rFonts w:hint="cs"/>
          <w:rtl/>
        </w:rPr>
        <w:t xml:space="preserve">. وقدمت </w:t>
      </w:r>
      <w:r w:rsidR="007F00F4">
        <w:rPr>
          <w:rFonts w:hint="cs"/>
          <w:rtl/>
        </w:rPr>
        <w:t xml:space="preserve">جمهورية </w:t>
      </w:r>
      <w:r w:rsidR="008D66CD">
        <w:rPr>
          <w:rFonts w:hint="cs"/>
          <w:rtl/>
        </w:rPr>
        <w:t>فنزويلا</w:t>
      </w:r>
      <w:r w:rsidR="008D66CD" w:rsidRPr="004E0A37">
        <w:rPr>
          <w:rFonts w:hint="cs"/>
          <w:rtl/>
        </w:rPr>
        <w:t xml:space="preserve"> </w:t>
      </w:r>
      <w:r w:rsidR="007F00F4">
        <w:rPr>
          <w:rFonts w:hint="cs"/>
          <w:rtl/>
        </w:rPr>
        <w:t xml:space="preserve">البوليفارية </w:t>
      </w:r>
      <w:r w:rsidR="008D66CD" w:rsidRPr="004E0A37">
        <w:rPr>
          <w:rFonts w:hint="cs"/>
          <w:rtl/>
          <w:lang/>
        </w:rPr>
        <w:t>تقريرا</w:t>
      </w:r>
      <w:r w:rsidR="008D66CD">
        <w:rPr>
          <w:rFonts w:hint="cs"/>
          <w:rtl/>
          <w:lang/>
        </w:rPr>
        <w:t xml:space="preserve">ً </w:t>
      </w:r>
      <w:r w:rsidR="007F00F4">
        <w:rPr>
          <w:rFonts w:hint="cs"/>
          <w:rtl/>
          <w:lang/>
        </w:rPr>
        <w:t>جامعا</w:t>
      </w:r>
      <w:r w:rsidR="008D66CD" w:rsidRPr="004E0A37">
        <w:rPr>
          <w:rFonts w:hint="cs"/>
          <w:rtl/>
          <w:lang/>
        </w:rPr>
        <w:t xml:space="preserve"> </w:t>
      </w:r>
      <w:r w:rsidR="007F00F4">
        <w:rPr>
          <w:rFonts w:hint="cs"/>
          <w:rtl/>
          <w:lang/>
        </w:rPr>
        <w:t>ل</w:t>
      </w:r>
      <w:r w:rsidR="008D66CD">
        <w:rPr>
          <w:rFonts w:hint="cs"/>
          <w:rtl/>
          <w:lang/>
        </w:rPr>
        <w:t>ل</w:t>
      </w:r>
      <w:r w:rsidR="008D66CD" w:rsidRPr="004E0A37">
        <w:rPr>
          <w:rFonts w:hint="cs"/>
          <w:rtl/>
          <w:lang/>
        </w:rPr>
        <w:t xml:space="preserve">تقريرين الدوريين </w:t>
      </w:r>
      <w:r w:rsidR="008D66CD">
        <w:rPr>
          <w:rFonts w:hint="cs"/>
          <w:rtl/>
          <w:lang/>
        </w:rPr>
        <w:t>الثالث والرابع</w:t>
      </w:r>
      <w:r w:rsidR="008D66CD" w:rsidRPr="004E0A37">
        <w:rPr>
          <w:rFonts w:hint="cs"/>
          <w:rtl/>
          <w:lang/>
        </w:rPr>
        <w:t xml:space="preserve">. وقدمت </w:t>
      </w:r>
      <w:r w:rsidR="008D66CD">
        <w:rPr>
          <w:rFonts w:hint="cs"/>
          <w:rtl/>
        </w:rPr>
        <w:t xml:space="preserve">قبرص </w:t>
      </w:r>
      <w:r w:rsidR="007F00F4">
        <w:rPr>
          <w:rFonts w:hint="cs"/>
          <w:rtl/>
        </w:rPr>
        <w:t>تقريرا</w:t>
      </w:r>
      <w:r>
        <w:rPr>
          <w:rFonts w:hint="cs"/>
          <w:rtl/>
        </w:rPr>
        <w:t>ً</w:t>
      </w:r>
      <w:r w:rsidR="007F00F4">
        <w:rPr>
          <w:rFonts w:hint="cs"/>
          <w:rtl/>
        </w:rPr>
        <w:t xml:space="preserve"> دوريا</w:t>
      </w:r>
      <w:r w:rsidR="00F37BC5">
        <w:rPr>
          <w:rFonts w:hint="cs"/>
          <w:rtl/>
        </w:rPr>
        <w:t>ً</w:t>
      </w:r>
      <w:r w:rsidR="007F00F4">
        <w:rPr>
          <w:rFonts w:hint="cs"/>
          <w:rtl/>
        </w:rPr>
        <w:t xml:space="preserve"> رابعا</w:t>
      </w:r>
      <w:r w:rsidR="00F37BC5">
        <w:rPr>
          <w:rFonts w:hint="cs"/>
          <w:rtl/>
        </w:rPr>
        <w:t>ً</w:t>
      </w:r>
      <w:r w:rsidR="007F00F4">
        <w:rPr>
          <w:rFonts w:hint="cs"/>
          <w:rtl/>
        </w:rPr>
        <w:t xml:space="preserve">. وقدمت </w:t>
      </w:r>
      <w:r w:rsidR="008D66CD">
        <w:rPr>
          <w:rFonts w:hint="cs"/>
          <w:rtl/>
        </w:rPr>
        <w:t>كرواتيا</w:t>
      </w:r>
      <w:r w:rsidR="008D66CD" w:rsidRPr="004E0A37">
        <w:rPr>
          <w:rFonts w:hint="cs"/>
          <w:rtl/>
        </w:rPr>
        <w:t xml:space="preserve"> </w:t>
      </w:r>
      <w:r w:rsidR="008D66CD" w:rsidRPr="004E0A37">
        <w:rPr>
          <w:rFonts w:hint="cs"/>
          <w:rtl/>
          <w:lang/>
        </w:rPr>
        <w:t>تقريرا</w:t>
      </w:r>
      <w:r w:rsidR="008D66CD">
        <w:rPr>
          <w:rFonts w:hint="cs"/>
          <w:rtl/>
          <w:lang/>
        </w:rPr>
        <w:t>ً</w:t>
      </w:r>
      <w:r w:rsidR="008D66CD" w:rsidRPr="004E0A37">
        <w:rPr>
          <w:rFonts w:hint="cs"/>
          <w:rtl/>
          <w:lang/>
        </w:rPr>
        <w:t xml:space="preserve"> </w:t>
      </w:r>
      <w:r w:rsidR="006011DB">
        <w:rPr>
          <w:rFonts w:hint="cs"/>
          <w:rtl/>
          <w:lang/>
        </w:rPr>
        <w:t>جامعا</w:t>
      </w:r>
      <w:r w:rsidR="00C4543B">
        <w:rPr>
          <w:rFonts w:hint="cs"/>
          <w:rtl/>
          <w:lang/>
        </w:rPr>
        <w:t>ً</w:t>
      </w:r>
      <w:r w:rsidR="006011DB">
        <w:rPr>
          <w:rFonts w:hint="cs"/>
          <w:rtl/>
          <w:lang/>
        </w:rPr>
        <w:t xml:space="preserve"> لل</w:t>
      </w:r>
      <w:r w:rsidR="008D66CD" w:rsidRPr="004E0A37">
        <w:rPr>
          <w:rFonts w:hint="cs"/>
          <w:rtl/>
          <w:lang/>
        </w:rPr>
        <w:t xml:space="preserve">تقريرين الدوريين </w:t>
      </w:r>
      <w:r w:rsidR="008D66CD">
        <w:rPr>
          <w:rFonts w:hint="cs"/>
          <w:rtl/>
          <w:lang/>
        </w:rPr>
        <w:t>الرابع والخامس</w:t>
      </w:r>
      <w:r w:rsidR="008D66CD" w:rsidRPr="004E0A37">
        <w:rPr>
          <w:rFonts w:hint="cs"/>
          <w:rtl/>
        </w:rPr>
        <w:t>. وقدمت ال</w:t>
      </w:r>
      <w:r w:rsidR="008D66CD">
        <w:rPr>
          <w:rFonts w:hint="cs"/>
          <w:rtl/>
        </w:rPr>
        <w:t>برتغال</w:t>
      </w:r>
      <w:r w:rsidR="008D66CD" w:rsidRPr="004E0A37">
        <w:rPr>
          <w:rFonts w:hint="cs"/>
          <w:rtl/>
        </w:rPr>
        <w:t xml:space="preserve"> </w:t>
      </w:r>
      <w:r w:rsidR="008D66CD" w:rsidRPr="004E0A37">
        <w:rPr>
          <w:rFonts w:hint="cs"/>
          <w:rtl/>
          <w:lang/>
        </w:rPr>
        <w:t>تقرير</w:t>
      </w:r>
      <w:r w:rsidR="008D66CD">
        <w:rPr>
          <w:rFonts w:hint="cs"/>
          <w:rtl/>
          <w:lang/>
        </w:rPr>
        <w:t>اً</w:t>
      </w:r>
      <w:r w:rsidR="006011DB">
        <w:rPr>
          <w:rFonts w:hint="cs"/>
          <w:rtl/>
          <w:lang/>
        </w:rPr>
        <w:t xml:space="preserve"> جامعا</w:t>
      </w:r>
      <w:r>
        <w:rPr>
          <w:rFonts w:hint="cs"/>
          <w:rtl/>
          <w:lang/>
        </w:rPr>
        <w:t>ً</w:t>
      </w:r>
      <w:r w:rsidR="006011DB">
        <w:rPr>
          <w:rFonts w:hint="cs"/>
          <w:rtl/>
          <w:lang/>
        </w:rPr>
        <w:t xml:space="preserve"> لل</w:t>
      </w:r>
      <w:r w:rsidR="008D66CD" w:rsidRPr="004E0A37">
        <w:rPr>
          <w:rFonts w:hint="cs"/>
          <w:rtl/>
          <w:lang/>
        </w:rPr>
        <w:t>تقريرين الدوريين ال</w:t>
      </w:r>
      <w:r w:rsidR="008D66CD">
        <w:rPr>
          <w:rFonts w:hint="cs"/>
          <w:rtl/>
          <w:lang/>
        </w:rPr>
        <w:t xml:space="preserve">خامس </w:t>
      </w:r>
      <w:r w:rsidR="008D66CD" w:rsidRPr="004E0A37">
        <w:rPr>
          <w:rFonts w:hint="cs"/>
          <w:rtl/>
          <w:lang/>
        </w:rPr>
        <w:t>والسا</w:t>
      </w:r>
      <w:r w:rsidR="008D66CD">
        <w:rPr>
          <w:rFonts w:hint="cs"/>
          <w:rtl/>
          <w:lang/>
        </w:rPr>
        <w:t>دس</w:t>
      </w:r>
      <w:r w:rsidR="008D66CD" w:rsidRPr="004E0A37">
        <w:rPr>
          <w:rFonts w:hint="cs"/>
          <w:rtl/>
        </w:rPr>
        <w:t>.</w:t>
      </w:r>
      <w:r>
        <w:rPr>
          <w:rFonts w:hint="cs"/>
          <w:rtl/>
        </w:rPr>
        <w:t xml:space="preserve"> وقدمت أوكرانيا تقرير</w:t>
      </w:r>
      <w:r w:rsidR="008D66CD">
        <w:rPr>
          <w:rFonts w:hint="cs"/>
          <w:rtl/>
        </w:rPr>
        <w:t>ا</w:t>
      </w:r>
      <w:r>
        <w:rPr>
          <w:rFonts w:hint="cs"/>
          <w:rtl/>
        </w:rPr>
        <w:t xml:space="preserve">ً دورياً </w:t>
      </w:r>
      <w:r w:rsidR="008D66CD">
        <w:rPr>
          <w:rFonts w:hint="cs"/>
          <w:rtl/>
        </w:rPr>
        <w:t xml:space="preserve">سادساً. وقدمت السويد </w:t>
      </w:r>
      <w:r w:rsidR="008D66CD" w:rsidRPr="004E0A37">
        <w:rPr>
          <w:rFonts w:hint="cs"/>
          <w:rtl/>
          <w:lang/>
        </w:rPr>
        <w:t>تقريرا</w:t>
      </w:r>
      <w:r w:rsidR="008D66CD">
        <w:rPr>
          <w:rFonts w:hint="cs"/>
          <w:rtl/>
          <w:lang/>
        </w:rPr>
        <w:t>ً</w:t>
      </w:r>
      <w:r w:rsidR="006011DB">
        <w:rPr>
          <w:rFonts w:hint="cs"/>
          <w:rtl/>
          <w:lang/>
        </w:rPr>
        <w:t xml:space="preserve"> جامعا</w:t>
      </w:r>
      <w:r w:rsidR="00F37BC5">
        <w:rPr>
          <w:rFonts w:hint="cs"/>
          <w:rtl/>
          <w:lang/>
        </w:rPr>
        <w:t>ً</w:t>
      </w:r>
      <w:r w:rsidR="006011DB">
        <w:rPr>
          <w:rFonts w:hint="cs"/>
          <w:rtl/>
          <w:lang/>
        </w:rPr>
        <w:t xml:space="preserve"> لل</w:t>
      </w:r>
      <w:r w:rsidR="008D66CD" w:rsidRPr="004E0A37">
        <w:rPr>
          <w:rFonts w:hint="cs"/>
          <w:rtl/>
          <w:lang/>
        </w:rPr>
        <w:t xml:space="preserve">تقريرين الدوريين </w:t>
      </w:r>
      <w:r w:rsidR="008D66CD">
        <w:rPr>
          <w:rFonts w:hint="cs"/>
          <w:rtl/>
          <w:lang/>
        </w:rPr>
        <w:t>السادس والسابع.</w:t>
      </w:r>
    </w:p>
    <w:p w:rsidR="008D66CD" w:rsidRPr="004E0A37" w:rsidRDefault="006011DB" w:rsidP="00A84348">
      <w:pPr>
        <w:pStyle w:val="SingleTxtGA"/>
        <w:rPr>
          <w:rFonts w:hint="cs"/>
          <w:rtl/>
        </w:rPr>
      </w:pPr>
      <w:r>
        <w:rPr>
          <w:rFonts w:hint="cs"/>
          <w:rtl/>
        </w:rPr>
        <w:t>39</w:t>
      </w:r>
      <w:r w:rsidR="008D66CD" w:rsidRPr="004E0A37">
        <w:rPr>
          <w:rFonts w:hint="cs"/>
          <w:rtl/>
        </w:rPr>
        <w:t>-</w:t>
      </w:r>
      <w:r w:rsidR="008D66CD" w:rsidRPr="004E0A37">
        <w:rPr>
          <w:rFonts w:hint="cs"/>
          <w:rtl/>
        </w:rPr>
        <w:tab/>
        <w:t xml:space="preserve">وحتى تاريخ </w:t>
      </w:r>
      <w:r w:rsidR="008D66CD">
        <w:rPr>
          <w:rFonts w:hint="cs"/>
          <w:rtl/>
        </w:rPr>
        <w:t>31</w:t>
      </w:r>
      <w:r w:rsidR="008D66CD" w:rsidRPr="004E0A37">
        <w:rPr>
          <w:rFonts w:hint="cs"/>
          <w:rtl/>
        </w:rPr>
        <w:t xml:space="preserve"> </w:t>
      </w:r>
      <w:r w:rsidR="008D66CD">
        <w:rPr>
          <w:rFonts w:hint="cs"/>
          <w:rtl/>
        </w:rPr>
        <w:t>أيار</w:t>
      </w:r>
      <w:r w:rsidR="008D66CD" w:rsidRPr="004E0A37">
        <w:rPr>
          <w:rFonts w:hint="cs"/>
          <w:rtl/>
        </w:rPr>
        <w:t>/</w:t>
      </w:r>
      <w:r w:rsidR="008D66CD">
        <w:rPr>
          <w:rFonts w:hint="cs"/>
          <w:rtl/>
        </w:rPr>
        <w:t>مايو</w:t>
      </w:r>
      <w:r w:rsidR="008D66CD" w:rsidRPr="004E0A37">
        <w:rPr>
          <w:rFonts w:hint="cs"/>
          <w:rtl/>
        </w:rPr>
        <w:t xml:space="preserve"> 201</w:t>
      </w:r>
      <w:r w:rsidR="008D66CD">
        <w:rPr>
          <w:rFonts w:hint="cs"/>
          <w:rtl/>
        </w:rPr>
        <w:t>3</w:t>
      </w:r>
      <w:r w:rsidR="008D66CD" w:rsidRPr="004E0A37">
        <w:rPr>
          <w:rFonts w:hint="cs"/>
          <w:rtl/>
        </w:rPr>
        <w:t xml:space="preserve">، كانت اللجنة قد تلقت ما مجموعه </w:t>
      </w:r>
      <w:r>
        <w:rPr>
          <w:rFonts w:hint="cs"/>
          <w:rtl/>
        </w:rPr>
        <w:t>349</w:t>
      </w:r>
      <w:r w:rsidRPr="004E0A37">
        <w:rPr>
          <w:rFonts w:hint="cs"/>
          <w:rtl/>
        </w:rPr>
        <w:t xml:space="preserve"> </w:t>
      </w:r>
      <w:r w:rsidR="008D66CD" w:rsidRPr="004E0A37">
        <w:rPr>
          <w:rFonts w:hint="cs"/>
          <w:rtl/>
        </w:rPr>
        <w:t xml:space="preserve">تقريراً ونظرت في </w:t>
      </w:r>
      <w:r>
        <w:rPr>
          <w:rFonts w:hint="cs"/>
          <w:rtl/>
        </w:rPr>
        <w:t>327</w:t>
      </w:r>
      <w:r w:rsidRPr="004E0A37">
        <w:rPr>
          <w:rFonts w:hint="cs"/>
          <w:rtl/>
        </w:rPr>
        <w:t xml:space="preserve"> </w:t>
      </w:r>
      <w:r w:rsidR="008D66CD">
        <w:rPr>
          <w:rFonts w:hint="cs"/>
          <w:rtl/>
        </w:rPr>
        <w:t>تقريراً</w:t>
      </w:r>
      <w:r w:rsidR="008D66CD" w:rsidRPr="004E0A37">
        <w:rPr>
          <w:rFonts w:hint="cs"/>
          <w:rtl/>
        </w:rPr>
        <w:t xml:space="preserve">؛ وقد فات موعد تقديم </w:t>
      </w:r>
      <w:r>
        <w:rPr>
          <w:rFonts w:hint="cs"/>
          <w:rtl/>
        </w:rPr>
        <w:t>التقارير الأولية بالنسبة لما مجموعه 26 دولة طرفا</w:t>
      </w:r>
      <w:r w:rsidR="008D66CD">
        <w:rPr>
          <w:rFonts w:hint="cs"/>
          <w:rtl/>
        </w:rPr>
        <w:t>ً</w:t>
      </w:r>
      <w:r w:rsidR="008D66CD" w:rsidRPr="004E0A37">
        <w:rPr>
          <w:rFonts w:hint="cs"/>
          <w:rtl/>
        </w:rPr>
        <w:t xml:space="preserve"> و</w:t>
      </w:r>
      <w:r>
        <w:rPr>
          <w:rFonts w:hint="cs"/>
          <w:rtl/>
        </w:rPr>
        <w:t>التقارير الدورية بالنسبة لما مجموعه 42 دولة طرفا</w:t>
      </w:r>
      <w:r w:rsidR="00DF34AB">
        <w:rPr>
          <w:rFonts w:hint="cs"/>
          <w:rtl/>
        </w:rPr>
        <w:t>ً</w:t>
      </w:r>
      <w:r>
        <w:rPr>
          <w:rFonts w:hint="cs"/>
          <w:rtl/>
        </w:rPr>
        <w:t>.</w:t>
      </w:r>
      <w:r w:rsidR="008D66CD" w:rsidRPr="004E0A37">
        <w:rPr>
          <w:rFonts w:hint="cs"/>
          <w:rtl/>
        </w:rPr>
        <w:t xml:space="preserve"> (انظر المرفق</w:t>
      </w:r>
      <w:r>
        <w:rPr>
          <w:rFonts w:hint="cs"/>
          <w:rtl/>
        </w:rPr>
        <w:t xml:space="preserve"> الخامس عشر).</w:t>
      </w:r>
    </w:p>
    <w:p w:rsidR="008D66CD" w:rsidRPr="004E0A37" w:rsidRDefault="008D66CD" w:rsidP="00A84348">
      <w:pPr>
        <w:pStyle w:val="H1GA"/>
        <w:rPr>
          <w:rFonts w:hint="cs"/>
          <w:rtl/>
          <w:lang/>
        </w:rPr>
      </w:pPr>
      <w:r w:rsidRPr="004E0A37">
        <w:rPr>
          <w:rFonts w:hint="cs"/>
          <w:rtl/>
        </w:rPr>
        <w:tab/>
        <w:t>ألف-</w:t>
      </w:r>
      <w:r w:rsidRPr="004E0A37">
        <w:rPr>
          <w:rFonts w:hint="cs"/>
          <w:rtl/>
        </w:rPr>
        <w:tab/>
      </w:r>
      <w:r w:rsidRPr="004E0A37">
        <w:rPr>
          <w:rFonts w:hint="cs"/>
          <w:rtl/>
          <w:lang/>
        </w:rPr>
        <w:t>دعوة إلى تقديم التقارير الدورية</w:t>
      </w:r>
    </w:p>
    <w:p w:rsidR="008D66CD" w:rsidRPr="004E0A37" w:rsidRDefault="006011DB" w:rsidP="00A84348">
      <w:pPr>
        <w:pStyle w:val="SingleTxtGA"/>
        <w:rPr>
          <w:rFonts w:hint="cs"/>
          <w:rtl/>
        </w:rPr>
      </w:pPr>
      <w:r>
        <w:rPr>
          <w:rFonts w:hint="cs"/>
          <w:rtl/>
        </w:rPr>
        <w:t>40</w:t>
      </w:r>
      <w:r w:rsidR="008D66CD" w:rsidRPr="004E0A37">
        <w:rPr>
          <w:rFonts w:hint="cs"/>
          <w:rtl/>
        </w:rPr>
        <w:t>-</w:t>
      </w:r>
      <w:r w:rsidR="008D66CD" w:rsidRPr="004E0A37">
        <w:rPr>
          <w:rFonts w:hint="cs"/>
          <w:rtl/>
        </w:rPr>
        <w:tab/>
        <w:t>عملاً بالقرار الذي اتخذته اللجنة في دورتها الحادية والأربعين</w:t>
      </w:r>
      <w:r w:rsidR="00A84348" w:rsidRPr="00A84348">
        <w:rPr>
          <w:rFonts w:hint="cs"/>
          <w:vertAlign w:val="superscript"/>
          <w:rtl/>
        </w:rPr>
        <w:t>(</w:t>
      </w:r>
      <w:r w:rsidRPr="00A84348">
        <w:rPr>
          <w:rStyle w:val="FootnoteReference"/>
          <w:rtl/>
        </w:rPr>
        <w:footnoteReference w:id="3"/>
      </w:r>
      <w:r w:rsidR="00A84348" w:rsidRPr="00A84348">
        <w:rPr>
          <w:rFonts w:hint="cs"/>
          <w:vertAlign w:val="superscript"/>
          <w:rtl/>
        </w:rPr>
        <w:t>)</w:t>
      </w:r>
      <w:r w:rsidR="008D66CD" w:rsidRPr="004E0A37">
        <w:rPr>
          <w:rFonts w:hint="cs"/>
          <w:rtl/>
        </w:rPr>
        <w:t>، واصلت اللجنة، في دورتيها ال</w:t>
      </w:r>
      <w:r w:rsidR="008D66CD">
        <w:rPr>
          <w:rFonts w:hint="cs"/>
          <w:rtl/>
        </w:rPr>
        <w:t>تاسعة</w:t>
      </w:r>
      <w:r w:rsidR="008D66CD" w:rsidRPr="004E0A37">
        <w:rPr>
          <w:rFonts w:hint="cs"/>
          <w:rtl/>
        </w:rPr>
        <w:t xml:space="preserve"> والأربعين </w:t>
      </w:r>
      <w:r w:rsidR="008D66CD">
        <w:rPr>
          <w:rFonts w:hint="cs"/>
          <w:rtl/>
        </w:rPr>
        <w:t>والخمسين</w:t>
      </w:r>
      <w:r w:rsidR="008D66CD" w:rsidRPr="004E0A37">
        <w:rPr>
          <w:rFonts w:hint="cs"/>
          <w:rtl/>
        </w:rPr>
        <w:t>، دعوة الدول الأطراف، في الفقرة الأخيرة من الملاحظات الختامية، إلى أن تقدِّم تقاريرها الدورية القادمة في غضون أربع سنوات من تاريخ اعتماد الملاحظات الختامية، مع ذكر الموعد الذي يحل فيه تقديم التقرير القادم في الفقرة ذاتها.</w:t>
      </w:r>
    </w:p>
    <w:p w:rsidR="008D66CD" w:rsidRPr="004E0A37" w:rsidRDefault="00B42F87" w:rsidP="00A84348">
      <w:pPr>
        <w:pStyle w:val="SingleTxtGA"/>
        <w:rPr>
          <w:rFonts w:hint="cs"/>
          <w:rtl/>
        </w:rPr>
      </w:pPr>
      <w:r>
        <w:rPr>
          <w:rFonts w:hint="cs"/>
          <w:rtl/>
        </w:rPr>
        <w:t>41</w:t>
      </w:r>
      <w:r w:rsidR="008D66CD" w:rsidRPr="004E0A37">
        <w:rPr>
          <w:rFonts w:hint="cs"/>
          <w:rtl/>
        </w:rPr>
        <w:t>-</w:t>
      </w:r>
      <w:r w:rsidR="008D66CD" w:rsidRPr="004E0A37">
        <w:rPr>
          <w:rFonts w:hint="cs"/>
          <w:rtl/>
        </w:rPr>
        <w:tab/>
      </w:r>
      <w:r>
        <w:rPr>
          <w:rFonts w:hint="cs"/>
          <w:rtl/>
        </w:rPr>
        <w:t>و</w:t>
      </w:r>
      <w:r w:rsidR="008D66CD" w:rsidRPr="004E0A37">
        <w:rPr>
          <w:rFonts w:hint="cs"/>
          <w:rtl/>
        </w:rPr>
        <w:t>إضافة إلى ذلك</w:t>
      </w:r>
      <w:r w:rsidR="008D66CD">
        <w:rPr>
          <w:rFonts w:hint="cs"/>
          <w:rtl/>
        </w:rPr>
        <w:t xml:space="preserve">، وعملاً بالقرار الذي اتخذته اللجنة </w:t>
      </w:r>
      <w:r w:rsidR="008D66CD" w:rsidRPr="004E0A37">
        <w:rPr>
          <w:rFonts w:hint="cs"/>
          <w:rtl/>
        </w:rPr>
        <w:t>في دورتها السابعة والأربعين</w:t>
      </w:r>
      <w:r w:rsidR="00A84348" w:rsidRPr="00A84348">
        <w:rPr>
          <w:rFonts w:hint="cs"/>
          <w:vertAlign w:val="superscript"/>
          <w:rtl/>
        </w:rPr>
        <w:t>(</w:t>
      </w:r>
      <w:r w:rsidRPr="00A84348">
        <w:rPr>
          <w:rStyle w:val="FootnoteReference"/>
          <w:rtl/>
        </w:rPr>
        <w:footnoteReference w:id="4"/>
      </w:r>
      <w:r w:rsidR="00A84348" w:rsidRPr="00A84348">
        <w:rPr>
          <w:rFonts w:hint="cs"/>
          <w:vertAlign w:val="superscript"/>
          <w:rtl/>
        </w:rPr>
        <w:t>)</w:t>
      </w:r>
      <w:r w:rsidR="008D66CD" w:rsidRPr="004E0A37">
        <w:rPr>
          <w:rFonts w:hint="cs"/>
          <w:rtl/>
        </w:rPr>
        <w:t xml:space="preserve">، </w:t>
      </w:r>
      <w:r w:rsidR="008D66CD">
        <w:rPr>
          <w:rFonts w:hint="cs"/>
          <w:rtl/>
        </w:rPr>
        <w:t xml:space="preserve">واصلت اللجنة، في </w:t>
      </w:r>
      <w:r w:rsidR="008D66CD" w:rsidRPr="004E0A37">
        <w:rPr>
          <w:rFonts w:hint="cs"/>
          <w:rtl/>
        </w:rPr>
        <w:t>دورتيها ال</w:t>
      </w:r>
      <w:r w:rsidR="008D66CD">
        <w:rPr>
          <w:rFonts w:hint="cs"/>
          <w:rtl/>
        </w:rPr>
        <w:t>تاسعة</w:t>
      </w:r>
      <w:r w:rsidR="008D66CD" w:rsidRPr="004E0A37">
        <w:rPr>
          <w:rFonts w:hint="cs"/>
          <w:rtl/>
        </w:rPr>
        <w:t xml:space="preserve"> والأربعين </w:t>
      </w:r>
      <w:r w:rsidR="008D66CD">
        <w:rPr>
          <w:rFonts w:hint="cs"/>
          <w:rtl/>
        </w:rPr>
        <w:t>والخمسين، دعوةَ</w:t>
      </w:r>
      <w:r w:rsidR="008D66CD" w:rsidRPr="004E0A37">
        <w:rPr>
          <w:rFonts w:hint="cs"/>
          <w:rtl/>
        </w:rPr>
        <w:t xml:space="preserve"> الدول الأطراف إلى أن توافق، في غضون سنة من تاريخ اعتماد ملاحظاتها الختامية، على تقديم تقاريرها</w:t>
      </w:r>
      <w:r w:rsidR="008D66CD">
        <w:rPr>
          <w:rFonts w:hint="cs"/>
          <w:rtl/>
        </w:rPr>
        <w:t xml:space="preserve"> وفقاً </w:t>
      </w:r>
      <w:r w:rsidR="008D66CD" w:rsidRPr="004E0A37">
        <w:rPr>
          <w:rFonts w:hint="cs"/>
          <w:rtl/>
        </w:rPr>
        <w:t>للإجراء الاختياري المتعلق بالإبلاغ أو، إذا كانت الدولة الطرف المعنية قد وافقت فعلاً على تقديم تقاريرها</w:t>
      </w:r>
      <w:r w:rsidR="008D66CD">
        <w:rPr>
          <w:rFonts w:hint="cs"/>
          <w:rtl/>
        </w:rPr>
        <w:t xml:space="preserve"> وفقاً </w:t>
      </w:r>
      <w:r w:rsidR="008D66CD" w:rsidRPr="004E0A37">
        <w:rPr>
          <w:rFonts w:hint="cs"/>
          <w:rtl/>
        </w:rPr>
        <w:t>لهذا الإجراء، أن تذكر أن اللجنة ستحيل للدولة الطرف، في الوقت المناسب، قائمة بالمسائل قبل تقديم تقريرها الدوري المقبل.</w:t>
      </w:r>
    </w:p>
    <w:p w:rsidR="008D66CD" w:rsidRPr="004E0A37" w:rsidRDefault="008D66CD" w:rsidP="00A84348">
      <w:pPr>
        <w:pStyle w:val="H1GA"/>
        <w:rPr>
          <w:rFonts w:hint="cs"/>
          <w:rtl/>
        </w:rPr>
      </w:pPr>
      <w:r w:rsidRPr="004E0A37">
        <w:rPr>
          <w:rFonts w:hint="cs"/>
          <w:rtl/>
          <w:lang/>
        </w:rPr>
        <w:tab/>
        <w:t>باء-</w:t>
      </w:r>
      <w:r w:rsidRPr="004E0A37">
        <w:rPr>
          <w:rFonts w:hint="cs"/>
          <w:rtl/>
          <w:lang/>
        </w:rPr>
        <w:tab/>
        <w:t>الإجراء الاختياري المتعلق</w:t>
      </w:r>
      <w:r w:rsidRPr="004E0A37">
        <w:rPr>
          <w:rFonts w:hint="cs"/>
          <w:rtl/>
        </w:rPr>
        <w:t xml:space="preserve"> بالإبلاغ</w:t>
      </w:r>
    </w:p>
    <w:p w:rsidR="008D66CD" w:rsidRPr="004E0A37" w:rsidRDefault="00B42F87" w:rsidP="009912C3">
      <w:pPr>
        <w:pStyle w:val="SingleTxtGA"/>
        <w:rPr>
          <w:rFonts w:hint="cs"/>
          <w:rtl/>
        </w:rPr>
      </w:pPr>
      <w:r>
        <w:rPr>
          <w:rFonts w:hint="cs"/>
          <w:rtl/>
        </w:rPr>
        <w:t>42</w:t>
      </w:r>
      <w:r w:rsidR="008D66CD" w:rsidRPr="004E0A37">
        <w:rPr>
          <w:rFonts w:hint="cs"/>
          <w:rtl/>
        </w:rPr>
        <w:t>-</w:t>
      </w:r>
      <w:r w:rsidR="008D66CD" w:rsidRPr="004E0A37">
        <w:rPr>
          <w:rFonts w:hint="cs"/>
          <w:rtl/>
        </w:rPr>
        <w:tab/>
        <w:t>ترحب اللجنة بالعدد الكبير من الدول الأطراف التي قبلت بهذا الإجراء الجديد الذي يقوم على إعداد واعتماد قائمة بالمسائل (تُعرف باسم "قائمة المسائل السابقة لتقديم التقرير") تُحال إلى الدول الأطراف قبل أن تقدم دولة طرف ما تقريرها الدوري. ويهدف هذا الإجراء إلى مساعدة الدول الأطراف في الوفاء بالتزاماتها المتعلقة بالإبلاغ باعتباره أداةً تعزز التعاون بين اللجنة والدول الأطراف</w:t>
      </w:r>
      <w:r w:rsidR="008D66CD">
        <w:rPr>
          <w:vertAlign w:val="superscript"/>
          <w:rtl/>
        </w:rPr>
        <w:t>(</w:t>
      </w:r>
      <w:r w:rsidR="008D66CD">
        <w:rPr>
          <w:rStyle w:val="FootnoteReference"/>
          <w:rtl/>
        </w:rPr>
        <w:footnoteReference w:id="5"/>
      </w:r>
      <w:r w:rsidR="008D66CD">
        <w:rPr>
          <w:vertAlign w:val="superscript"/>
          <w:rtl/>
        </w:rPr>
        <w:t>)</w:t>
      </w:r>
      <w:r w:rsidR="008D66CD" w:rsidRPr="004E0A37">
        <w:rPr>
          <w:rFonts w:hint="cs"/>
          <w:rtl/>
        </w:rPr>
        <w:t xml:space="preserve">. وبينما تدرك اللجنة أن اعتماد قوائم </w:t>
      </w:r>
      <w:r w:rsidR="009912C3">
        <w:rPr>
          <w:rFonts w:hint="cs"/>
          <w:rtl/>
        </w:rPr>
        <w:t>القضايا</w:t>
      </w:r>
      <w:r w:rsidR="008D66CD" w:rsidRPr="004E0A37">
        <w:rPr>
          <w:rFonts w:hint="cs"/>
          <w:rtl/>
        </w:rPr>
        <w:t xml:space="preserve"> السابقة لتقديم التقارير، منذ عام 2007، أمر يسهل على الدول الأطراف واجباتها </w:t>
      </w:r>
      <w:r w:rsidR="008D66CD">
        <w:rPr>
          <w:rFonts w:hint="cs"/>
          <w:rtl/>
        </w:rPr>
        <w:t>فيما </w:t>
      </w:r>
      <w:r w:rsidR="008D66CD" w:rsidRPr="004E0A37">
        <w:rPr>
          <w:rFonts w:hint="cs"/>
          <w:rtl/>
        </w:rPr>
        <w:t>يخص الإبلاغ، تود</w:t>
      </w:r>
      <w:r w:rsidR="008D66CD">
        <w:rPr>
          <w:rFonts w:hint="eastAsia"/>
          <w:rtl/>
        </w:rPr>
        <w:t> </w:t>
      </w:r>
      <w:r w:rsidR="008D66CD" w:rsidRPr="004E0A37">
        <w:rPr>
          <w:rFonts w:hint="cs"/>
          <w:rtl/>
        </w:rPr>
        <w:t>اللجنة مع ذلك أن تؤكد أن هذا الإجراء الجديد المتبع في صياغة قوائم</w:t>
      </w:r>
      <w:r w:rsidR="009912C3">
        <w:rPr>
          <w:rFonts w:hint="cs"/>
          <w:rtl/>
        </w:rPr>
        <w:t xml:space="preserve"> القضايا</w:t>
      </w:r>
      <w:r w:rsidR="008D66CD" w:rsidRPr="004E0A37">
        <w:rPr>
          <w:rFonts w:hint="cs"/>
          <w:rtl/>
        </w:rPr>
        <w:t xml:space="preserve"> السابقة لتقديم التقارير قد زاد من حجم أعمال اللجنة بقدر كبير لأن إعداد هذه القوائم يتطلب عملاً أكثر مما كانت تتطلبه الطريقة التقليدية المتمثلة في صياغة قوائم </w:t>
      </w:r>
      <w:r w:rsidR="009912C3">
        <w:rPr>
          <w:rFonts w:hint="cs"/>
          <w:rtl/>
        </w:rPr>
        <w:t>القضايا</w:t>
      </w:r>
      <w:r w:rsidR="008D66CD" w:rsidRPr="004E0A37">
        <w:rPr>
          <w:rFonts w:hint="cs"/>
          <w:rtl/>
        </w:rPr>
        <w:t xml:space="preserve"> بعد تقديم الدولة الطرف لتقريرها. وهذه مسألة بالغة الأهمية في لجنة ذات عضوية محدودة للغاية.</w:t>
      </w:r>
    </w:p>
    <w:p w:rsidR="008D66CD" w:rsidRPr="00A84348" w:rsidRDefault="00B42F87" w:rsidP="00E470AE">
      <w:pPr>
        <w:pStyle w:val="SingleTxtGA"/>
        <w:rPr>
          <w:rFonts w:hint="cs"/>
          <w:spacing w:val="-2"/>
          <w:rtl/>
        </w:rPr>
      </w:pPr>
      <w:r>
        <w:rPr>
          <w:rFonts w:hint="cs"/>
          <w:rtl/>
        </w:rPr>
        <w:t>43</w:t>
      </w:r>
      <w:r w:rsidR="008D66CD" w:rsidRPr="004E0A37">
        <w:rPr>
          <w:rFonts w:hint="cs"/>
          <w:rtl/>
        </w:rPr>
        <w:t>-</w:t>
      </w:r>
      <w:r w:rsidR="008D66CD" w:rsidRPr="004E0A37">
        <w:rPr>
          <w:rFonts w:hint="cs"/>
          <w:rtl/>
        </w:rPr>
        <w:tab/>
        <w:t>وتبعاً لقرار اللجنة مواصلة العمل بهذا الإجراء لدورة إبلاغ جديدة م</w:t>
      </w:r>
      <w:r w:rsidR="00A84348">
        <w:rPr>
          <w:rFonts w:hint="cs"/>
          <w:rtl/>
        </w:rPr>
        <w:t xml:space="preserve">دتها أربع </w:t>
      </w:r>
      <w:r w:rsidR="00A84348" w:rsidRPr="00A84348">
        <w:rPr>
          <w:rFonts w:hint="cs"/>
          <w:spacing w:val="-2"/>
          <w:rtl/>
        </w:rPr>
        <w:t>سنوات</w:t>
      </w:r>
      <w:r w:rsidR="00A84348" w:rsidRPr="00A84348">
        <w:rPr>
          <w:rFonts w:hint="cs"/>
          <w:spacing w:val="-2"/>
          <w:vertAlign w:val="superscript"/>
          <w:rtl/>
        </w:rPr>
        <w:t>(</w:t>
      </w:r>
      <w:r w:rsidR="0008063F" w:rsidRPr="00A84348">
        <w:rPr>
          <w:rStyle w:val="FootnoteReference"/>
          <w:spacing w:val="-2"/>
          <w:rtl/>
        </w:rPr>
        <w:footnoteReference w:id="6"/>
      </w:r>
      <w:r w:rsidR="00A84348" w:rsidRPr="00A84348">
        <w:rPr>
          <w:rFonts w:hint="cs"/>
          <w:spacing w:val="-2"/>
          <w:vertAlign w:val="superscript"/>
          <w:rtl/>
        </w:rPr>
        <w:t>)</w:t>
      </w:r>
      <w:r w:rsidR="00A84348" w:rsidRPr="00A84348">
        <w:rPr>
          <w:rFonts w:hint="cs"/>
          <w:spacing w:val="-2"/>
          <w:rtl/>
        </w:rPr>
        <w:t>،</w:t>
      </w:r>
      <w:r w:rsidR="008D66CD" w:rsidRPr="00A84348">
        <w:rPr>
          <w:rFonts w:hint="cs"/>
          <w:spacing w:val="-2"/>
          <w:rtl/>
        </w:rPr>
        <w:t xml:space="preserve"> قررت اللجنة، في دورتها التاسعة والأربعين، أن تدعو الدول الأطراف التالية إلى أن تقدم تقريرها الذي يحل موعده في عام 2014 وفقاً لهذا الإجراء: إثيوبيا، الأردن، إكوادور، البرازيل، البوسنة والهرسك، تركيا، الجمهورية العربية السورية، سويسرا، فرنسا، الكاميرون، كمبوديا، ليبيا، ليختنشتاين، المملكة العربية السعودية، منغوليا، النمسا، هنغاريا، اليمن.</w:t>
      </w:r>
    </w:p>
    <w:p w:rsidR="008D66CD" w:rsidRPr="00A84348" w:rsidRDefault="00B42F87" w:rsidP="00A84348">
      <w:pPr>
        <w:pStyle w:val="SingleTxtGA"/>
        <w:rPr>
          <w:rFonts w:hint="cs"/>
          <w:rtl/>
        </w:rPr>
      </w:pPr>
      <w:r w:rsidRPr="00A84348">
        <w:rPr>
          <w:rFonts w:hint="cs"/>
          <w:rtl/>
        </w:rPr>
        <w:t>44</w:t>
      </w:r>
      <w:r w:rsidR="008D66CD" w:rsidRPr="00A84348">
        <w:rPr>
          <w:rFonts w:hint="cs"/>
          <w:rtl/>
        </w:rPr>
        <w:t>-</w:t>
      </w:r>
      <w:r w:rsidR="008D66CD" w:rsidRPr="00A84348">
        <w:rPr>
          <w:rFonts w:hint="cs"/>
          <w:rtl/>
        </w:rPr>
        <w:tab/>
        <w:t xml:space="preserve">واعتمدت اللجنة، في دورتها التاسعة والأربعين، قوائم </w:t>
      </w:r>
      <w:r w:rsidR="009912C3" w:rsidRPr="00A84348">
        <w:rPr>
          <w:rFonts w:hint="cs"/>
          <w:rtl/>
        </w:rPr>
        <w:t>القضايا</w:t>
      </w:r>
      <w:r w:rsidR="008D66CD" w:rsidRPr="00A84348">
        <w:rPr>
          <w:rFonts w:hint="cs"/>
          <w:rtl/>
        </w:rPr>
        <w:t xml:space="preserve"> السابقة لتقديم التقارير</w:t>
      </w:r>
      <w:r w:rsidR="00A84348">
        <w:rPr>
          <w:rFonts w:hint="eastAsia"/>
          <w:rtl/>
        </w:rPr>
        <w:t> </w:t>
      </w:r>
      <w:r w:rsidR="008D66CD" w:rsidRPr="00A84348">
        <w:rPr>
          <w:rFonts w:hint="cs"/>
          <w:rtl/>
        </w:rPr>
        <w:t xml:space="preserve">تخص الدول الأطراف </w:t>
      </w:r>
      <w:r w:rsidR="00433B32" w:rsidRPr="00A84348">
        <w:rPr>
          <w:rFonts w:hint="cs"/>
          <w:rtl/>
        </w:rPr>
        <w:t xml:space="preserve">التسع </w:t>
      </w:r>
      <w:r w:rsidR="008D66CD" w:rsidRPr="00A84348">
        <w:rPr>
          <w:rFonts w:hint="cs"/>
          <w:rtl/>
        </w:rPr>
        <w:t>التي وافقت صراحةً على الدعوة التي وجهتها إليها اللجنة لتقديم تقريرها القادم، الذي يحل موعد تقديمه في 2014، وفقاً لهذا الإجراء، وهي</w:t>
      </w:r>
      <w:r w:rsidR="00A84348">
        <w:rPr>
          <w:rFonts w:hint="eastAsia"/>
          <w:rtl/>
        </w:rPr>
        <w:t> </w:t>
      </w:r>
      <w:r w:rsidR="00A84348" w:rsidRPr="00A84348">
        <w:rPr>
          <w:rFonts w:hint="cs"/>
          <w:rtl/>
        </w:rPr>
        <w:t xml:space="preserve">الأردن، إكوادور، </w:t>
      </w:r>
      <w:r w:rsidR="008D66CD" w:rsidRPr="00A84348">
        <w:rPr>
          <w:rFonts w:hint="cs"/>
          <w:rtl/>
        </w:rPr>
        <w:t>البوسنة وا</w:t>
      </w:r>
      <w:r w:rsidR="00C4543B">
        <w:rPr>
          <w:rFonts w:hint="cs"/>
          <w:rtl/>
        </w:rPr>
        <w:t xml:space="preserve">لهرسك، تركيا، سويسرا، كمبوديا، </w:t>
      </w:r>
      <w:r w:rsidR="008D66CD" w:rsidRPr="00A84348">
        <w:rPr>
          <w:rFonts w:hint="cs"/>
          <w:rtl/>
        </w:rPr>
        <w:t>ليختنشتاين، منغوليا،</w:t>
      </w:r>
      <w:r w:rsidR="00A84348">
        <w:rPr>
          <w:rFonts w:hint="eastAsia"/>
          <w:rtl/>
        </w:rPr>
        <w:t> </w:t>
      </w:r>
      <w:r w:rsidR="008D66CD" w:rsidRPr="00A84348">
        <w:rPr>
          <w:rFonts w:hint="cs"/>
          <w:rtl/>
        </w:rPr>
        <w:t>النمسا. ويُشار في هذا الصدد إلى أن إثيوبيا والجمهورية العربية السورية وفرنسا والكاميرون واليمن لم تستجب لدعـوة اللجنة. والمعلومـات المُحدَّثة المتعلقة بالإجراء</w:t>
      </w:r>
      <w:r w:rsidR="00A84348">
        <w:rPr>
          <w:rFonts w:hint="eastAsia"/>
          <w:rtl/>
        </w:rPr>
        <w:t> </w:t>
      </w:r>
      <w:r w:rsidR="008D66CD" w:rsidRPr="00A84348">
        <w:rPr>
          <w:rFonts w:hint="cs"/>
          <w:rtl/>
        </w:rPr>
        <w:t>متاحة على موقع على الإنترنت أُعِدَّ لهذا الغرض على العنوان التالي: (</w:t>
      </w:r>
      <w:r w:rsidR="008D66CD" w:rsidRPr="00A84348">
        <w:t>http://www2.ohchr.org/english/bodies/cat/reporting-procedure.htm</w:t>
      </w:r>
      <w:r w:rsidR="008D66CD" w:rsidRPr="00A84348">
        <w:rPr>
          <w:rFonts w:hint="cs"/>
          <w:rtl/>
        </w:rPr>
        <w:t>).</w:t>
      </w:r>
    </w:p>
    <w:p w:rsidR="008D66CD" w:rsidRPr="00A84348" w:rsidRDefault="00433B32" w:rsidP="00A84348">
      <w:pPr>
        <w:pStyle w:val="SingleTxtGA"/>
        <w:rPr>
          <w:rFonts w:hint="cs"/>
          <w:spacing w:val="-2"/>
          <w:rtl/>
        </w:rPr>
      </w:pPr>
      <w:r w:rsidRPr="00A84348">
        <w:rPr>
          <w:rFonts w:hint="cs"/>
          <w:spacing w:val="-2"/>
          <w:rtl/>
        </w:rPr>
        <w:t>45</w:t>
      </w:r>
      <w:r w:rsidR="008D66CD" w:rsidRPr="00A84348">
        <w:rPr>
          <w:rFonts w:hint="cs"/>
          <w:spacing w:val="-2"/>
          <w:rtl/>
        </w:rPr>
        <w:t>-</w:t>
      </w:r>
      <w:r w:rsidR="008D66CD" w:rsidRPr="00A84348">
        <w:rPr>
          <w:rFonts w:hint="cs"/>
          <w:spacing w:val="-2"/>
          <w:rtl/>
        </w:rPr>
        <w:tab/>
        <w:t>وفيما يتعلق بالتقارير التي يحل موعد تقديمها في 2015، قررت اللجنة، في دورتها الخمسين، أن تعد قائمة</w:t>
      </w:r>
      <w:r w:rsidR="009912C3" w:rsidRPr="00A84348">
        <w:rPr>
          <w:rFonts w:hint="cs"/>
          <w:spacing w:val="-2"/>
          <w:rtl/>
        </w:rPr>
        <w:t xml:space="preserve"> بالقضايا</w:t>
      </w:r>
      <w:r w:rsidR="008D66CD" w:rsidRPr="00A84348">
        <w:rPr>
          <w:rFonts w:hint="cs"/>
          <w:spacing w:val="-2"/>
          <w:rtl/>
        </w:rPr>
        <w:t xml:space="preserve"> السابقة لتقديم التقارير لكل دولة من الدول الأطراف</w:t>
      </w:r>
      <w:r w:rsidR="009F6B7E" w:rsidRPr="00A84348">
        <w:rPr>
          <w:rFonts w:hint="cs"/>
          <w:spacing w:val="-2"/>
          <w:rtl/>
        </w:rPr>
        <w:t xml:space="preserve"> الإحدى عشرة</w:t>
      </w:r>
      <w:r w:rsidR="008D66CD" w:rsidRPr="00A84348">
        <w:rPr>
          <w:rFonts w:hint="cs"/>
          <w:spacing w:val="-2"/>
          <w:rtl/>
        </w:rPr>
        <w:t xml:space="preserve"> التالية التي سبق لها أن وافقت على العمل بهذا الإجراء، وهي ألمانيا، </w:t>
      </w:r>
      <w:r w:rsidR="00A84348">
        <w:rPr>
          <w:rFonts w:hint="cs"/>
          <w:spacing w:val="-2"/>
          <w:rtl/>
        </w:rPr>
        <w:t>أ</w:t>
      </w:r>
      <w:r w:rsidR="008D66CD" w:rsidRPr="00A84348">
        <w:rPr>
          <w:rFonts w:hint="cs"/>
          <w:spacing w:val="-2"/>
          <w:rtl/>
        </w:rPr>
        <w:t>يرلندا، باراغواي، بلغاريا، بيلاروس، سلوفينيا، فنلندا، الكويت، المغرب، موريشيوس، موناكو.</w:t>
      </w:r>
      <w:r w:rsidR="009F6B7E" w:rsidRPr="00A84348">
        <w:rPr>
          <w:rFonts w:hint="cs"/>
          <w:spacing w:val="-2"/>
          <w:rtl/>
        </w:rPr>
        <w:t xml:space="preserve"> وفي الدورة نفسها، اعتمدت قوائم القضايا تلك، ما عدا قوائم القضايا الخاصة بكل من ألمانيا و</w:t>
      </w:r>
      <w:r w:rsidR="00A84348">
        <w:rPr>
          <w:rFonts w:hint="cs"/>
          <w:spacing w:val="-2"/>
          <w:rtl/>
        </w:rPr>
        <w:t>أ</w:t>
      </w:r>
      <w:r w:rsidR="009F6B7E" w:rsidRPr="00A84348">
        <w:rPr>
          <w:rFonts w:hint="cs"/>
          <w:spacing w:val="-2"/>
          <w:rtl/>
        </w:rPr>
        <w:t>يرلندا وبيلاروس، التي سوف تعتمد في الدورة الحادية والخمسين.</w:t>
      </w:r>
      <w:r w:rsidR="008D66CD" w:rsidRPr="00A84348">
        <w:rPr>
          <w:rFonts w:hint="cs"/>
          <w:spacing w:val="-2"/>
          <w:rtl/>
        </w:rPr>
        <w:t xml:space="preserve"> ولم تستجب البحرين، وجيبوتي</w:t>
      </w:r>
      <w:r w:rsidR="009F6B7E" w:rsidRPr="00A84348">
        <w:rPr>
          <w:rFonts w:hint="cs"/>
          <w:spacing w:val="-2"/>
          <w:rtl/>
        </w:rPr>
        <w:t xml:space="preserve"> </w:t>
      </w:r>
      <w:r w:rsidR="008D66CD" w:rsidRPr="00A84348">
        <w:rPr>
          <w:rFonts w:hint="cs"/>
          <w:spacing w:val="-2"/>
          <w:rtl/>
        </w:rPr>
        <w:t>ومدغشقر</w:t>
      </w:r>
      <w:r w:rsidR="00A84348" w:rsidRPr="00A84348">
        <w:rPr>
          <w:rFonts w:hint="cs"/>
          <w:spacing w:val="-2"/>
          <w:rtl/>
        </w:rPr>
        <w:t xml:space="preserve"> </w:t>
      </w:r>
      <w:r w:rsidR="008D66CD" w:rsidRPr="00A84348">
        <w:rPr>
          <w:rFonts w:hint="cs"/>
          <w:spacing w:val="-2"/>
          <w:rtl/>
        </w:rPr>
        <w:t>لدعـوة اللجنة.</w:t>
      </w:r>
      <w:r w:rsidR="009F6B7E" w:rsidRPr="00A84348">
        <w:rPr>
          <w:rFonts w:hint="cs"/>
          <w:spacing w:val="-2"/>
          <w:rtl/>
        </w:rPr>
        <w:t xml:space="preserve"> ولم تقبل سري</w:t>
      </w:r>
      <w:r w:rsidR="00A84348" w:rsidRPr="00A84348">
        <w:rPr>
          <w:rFonts w:hint="cs"/>
          <w:spacing w:val="-2"/>
          <w:rtl/>
        </w:rPr>
        <w:t xml:space="preserve"> </w:t>
      </w:r>
      <w:r w:rsidR="009F6B7E" w:rsidRPr="00A84348">
        <w:rPr>
          <w:rFonts w:hint="cs"/>
          <w:spacing w:val="-2"/>
          <w:rtl/>
        </w:rPr>
        <w:t>لانكا وناميبيا الإبلاغ في إطار هذا الإجراء.</w:t>
      </w:r>
      <w:r w:rsidR="008D66CD" w:rsidRPr="00A84348">
        <w:rPr>
          <w:rFonts w:hint="cs"/>
          <w:spacing w:val="-2"/>
          <w:rtl/>
        </w:rPr>
        <w:t xml:space="preserve"> والمعلومـات المُحدَّثة المتعلقة بالإجراء متاحة على موقع على الإنترنت أُعِدَّ لهذا الغرض على العنوان التالي: (</w:t>
      </w:r>
      <w:r w:rsidR="008D66CD" w:rsidRPr="00A84348">
        <w:rPr>
          <w:spacing w:val="-2"/>
        </w:rPr>
        <w:t>http://www2.ohchr.org/english/bodies/cat/reporting-procedure.htm</w:t>
      </w:r>
      <w:r w:rsidR="008D66CD" w:rsidRPr="00A84348">
        <w:rPr>
          <w:rFonts w:hint="cs"/>
          <w:spacing w:val="-2"/>
          <w:rtl/>
        </w:rPr>
        <w:t>).</w:t>
      </w:r>
    </w:p>
    <w:p w:rsidR="008D66CD" w:rsidRPr="004E0A37" w:rsidRDefault="009F6B7E" w:rsidP="009F6B7E">
      <w:pPr>
        <w:pStyle w:val="SingleTxtGA"/>
        <w:rPr>
          <w:rFonts w:hint="cs"/>
          <w:rtl/>
        </w:rPr>
      </w:pPr>
      <w:r>
        <w:rPr>
          <w:rFonts w:hint="cs"/>
          <w:rtl/>
        </w:rPr>
        <w:t>46</w:t>
      </w:r>
      <w:r w:rsidR="008D66CD" w:rsidRPr="004E0A37">
        <w:rPr>
          <w:rFonts w:hint="cs"/>
          <w:rtl/>
        </w:rPr>
        <w:t>-</w:t>
      </w:r>
      <w:r w:rsidR="008D66CD" w:rsidRPr="004E0A37">
        <w:rPr>
          <w:rFonts w:hint="cs"/>
          <w:rtl/>
        </w:rPr>
        <w:tab/>
        <w:t>وفي الأخير، قررت اللجنة أن ترسل إلى الدول الأطراف التالية رسائل تذكير بينت فيها أن</w:t>
      </w:r>
      <w:r w:rsidR="008D66CD">
        <w:rPr>
          <w:rFonts w:hint="cs"/>
          <w:rtl/>
        </w:rPr>
        <w:t>ها كانت تتوقع أن تتلقى تقاريرها</w:t>
      </w:r>
      <w:r w:rsidR="008D66CD" w:rsidRPr="004E0A37">
        <w:rPr>
          <w:rFonts w:hint="cs"/>
          <w:rtl/>
        </w:rPr>
        <w:t xml:space="preserve"> بموجب هذا الإجراء بعد أن وافقت كل دولة من هذه الدول على تقديم تقريرها الذي يحل موعده في عام 201</w:t>
      </w:r>
      <w:r w:rsidR="008D66CD">
        <w:rPr>
          <w:rFonts w:hint="cs"/>
          <w:rtl/>
        </w:rPr>
        <w:t xml:space="preserve">1 وفقاً </w:t>
      </w:r>
      <w:r w:rsidR="008D66CD" w:rsidRPr="004E0A37">
        <w:rPr>
          <w:rFonts w:hint="cs"/>
          <w:rtl/>
        </w:rPr>
        <w:t xml:space="preserve">للإجراء </w:t>
      </w:r>
      <w:r w:rsidR="008D66CD">
        <w:rPr>
          <w:rFonts w:hint="cs"/>
          <w:rtl/>
        </w:rPr>
        <w:t>المذكور: إيطاليا، البحرين، ب</w:t>
      </w:r>
      <w:r w:rsidR="00C4543B">
        <w:rPr>
          <w:rFonts w:hint="cs"/>
          <w:rtl/>
        </w:rPr>
        <w:t xml:space="preserve">نن، جورجيا، الدانمرك، لكسمبرغ، </w:t>
      </w:r>
      <w:r>
        <w:rPr>
          <w:rFonts w:hint="cs"/>
          <w:rtl/>
        </w:rPr>
        <w:t>و</w:t>
      </w:r>
      <w:r w:rsidR="008D66CD">
        <w:rPr>
          <w:rFonts w:hint="cs"/>
          <w:rtl/>
        </w:rPr>
        <w:t>الولايات المتحدة الأمريكية</w:t>
      </w:r>
      <w:r w:rsidR="008D66CD" w:rsidRPr="004E0A37">
        <w:rPr>
          <w:rFonts w:hint="cs"/>
          <w:rtl/>
        </w:rPr>
        <w:t>.</w:t>
      </w:r>
    </w:p>
    <w:p w:rsidR="008D66CD" w:rsidRPr="004E0A37" w:rsidRDefault="008D66CD" w:rsidP="003B2CC1">
      <w:pPr>
        <w:pStyle w:val="H1GA"/>
        <w:rPr>
          <w:rFonts w:hint="cs"/>
          <w:rtl/>
          <w:lang/>
        </w:rPr>
      </w:pPr>
      <w:r w:rsidRPr="004E0A37">
        <w:rPr>
          <w:rFonts w:hint="cs"/>
          <w:rtl/>
          <w:lang/>
        </w:rPr>
        <w:tab/>
        <w:t>جيم-</w:t>
      </w:r>
      <w:r w:rsidRPr="004E0A37">
        <w:rPr>
          <w:rFonts w:hint="cs"/>
          <w:rtl/>
          <w:lang/>
        </w:rPr>
        <w:tab/>
        <w:t>التقييم الأولي للإجراء الاختياري المتعلق بالإبلاغ</w:t>
      </w:r>
    </w:p>
    <w:p w:rsidR="008D66CD" w:rsidRPr="004E0A37" w:rsidRDefault="000B2E1E" w:rsidP="003B2CC1">
      <w:pPr>
        <w:pStyle w:val="SingleTxtGA"/>
        <w:spacing w:line="370" w:lineRule="exact"/>
        <w:rPr>
          <w:rFonts w:hint="cs"/>
          <w:rtl/>
        </w:rPr>
      </w:pPr>
      <w:r>
        <w:rPr>
          <w:rFonts w:hint="cs"/>
          <w:rtl/>
        </w:rPr>
        <w:t>47</w:t>
      </w:r>
      <w:r w:rsidR="008D66CD" w:rsidRPr="004E0A37">
        <w:rPr>
          <w:rFonts w:hint="cs"/>
          <w:rtl/>
        </w:rPr>
        <w:t>-</w:t>
      </w:r>
      <w:r w:rsidR="008D66CD">
        <w:rPr>
          <w:rFonts w:hint="cs"/>
          <w:rtl/>
        </w:rPr>
        <w:tab/>
        <w:t>ناقشت اللجنة، في دورتيها التاسع</w:t>
      </w:r>
      <w:r w:rsidR="008D66CD" w:rsidRPr="004E0A37">
        <w:rPr>
          <w:rFonts w:hint="cs"/>
          <w:rtl/>
        </w:rPr>
        <w:t xml:space="preserve">ة والأربعين </w:t>
      </w:r>
      <w:r w:rsidR="008D66CD">
        <w:rPr>
          <w:rFonts w:hint="cs"/>
          <w:rtl/>
        </w:rPr>
        <w:t>والخمسين</w:t>
      </w:r>
      <w:r w:rsidR="008D66CD" w:rsidRPr="004E0A37">
        <w:rPr>
          <w:rFonts w:hint="cs"/>
          <w:rtl/>
        </w:rPr>
        <w:t>، إجراءها الاختياري المتعلق بالإبلاغ بالاستناد إلى التقرير الذي طلبته اللجنة من الأمانة</w:t>
      </w:r>
      <w:r w:rsidR="008D66CD">
        <w:rPr>
          <w:vertAlign w:val="superscript"/>
          <w:rtl/>
        </w:rPr>
        <w:t>(</w:t>
      </w:r>
      <w:r w:rsidR="008D66CD">
        <w:rPr>
          <w:rStyle w:val="FootnoteReference"/>
          <w:rtl/>
        </w:rPr>
        <w:footnoteReference w:id="7"/>
      </w:r>
      <w:r w:rsidR="008D66CD">
        <w:rPr>
          <w:vertAlign w:val="superscript"/>
          <w:rtl/>
        </w:rPr>
        <w:t>)</w:t>
      </w:r>
      <w:r w:rsidR="008D66CD">
        <w:rPr>
          <w:rFonts w:hint="cs"/>
          <w:rtl/>
        </w:rPr>
        <w:t xml:space="preserve"> </w:t>
      </w:r>
      <w:r w:rsidR="008D66CD" w:rsidRPr="004E0A37">
        <w:rPr>
          <w:rFonts w:hint="cs"/>
          <w:rtl/>
        </w:rPr>
        <w:t xml:space="preserve">عن حالة الإجراء الاختياري المتعلق بالإبلاغ </w:t>
      </w:r>
      <w:r w:rsidR="008D66CD" w:rsidRPr="004E0A37">
        <w:t>(CAT/C/47/2)</w:t>
      </w:r>
      <w:r w:rsidR="008D66CD" w:rsidRPr="004E0A37">
        <w:rPr>
          <w:rFonts w:hint="cs"/>
          <w:rtl/>
        </w:rPr>
        <w:t xml:space="preserve">، وشمل معلومات عن المستجدات </w:t>
      </w:r>
      <w:r w:rsidR="008D66CD">
        <w:rPr>
          <w:rFonts w:hint="cs"/>
          <w:rtl/>
        </w:rPr>
        <w:t>ال</w:t>
      </w:r>
      <w:r w:rsidR="008D66CD" w:rsidRPr="004E0A37">
        <w:rPr>
          <w:rFonts w:hint="cs"/>
          <w:rtl/>
        </w:rPr>
        <w:t>متعلقة بالإجراء والخيارات الممكنة لتنقيحه.</w:t>
      </w:r>
    </w:p>
    <w:p w:rsidR="008D66CD" w:rsidRPr="004E0A37" w:rsidRDefault="000B2E1E" w:rsidP="003B2CC1">
      <w:pPr>
        <w:pStyle w:val="SingleTxtGA"/>
        <w:spacing w:line="370" w:lineRule="exact"/>
        <w:rPr>
          <w:rFonts w:hint="cs"/>
          <w:rtl/>
        </w:rPr>
      </w:pPr>
      <w:r>
        <w:rPr>
          <w:rFonts w:hint="cs"/>
          <w:rtl/>
        </w:rPr>
        <w:t>48</w:t>
      </w:r>
      <w:r w:rsidR="008D66CD" w:rsidRPr="004E0A37">
        <w:rPr>
          <w:rFonts w:hint="cs"/>
          <w:rtl/>
        </w:rPr>
        <w:t>-</w:t>
      </w:r>
      <w:r w:rsidR="008D66CD" w:rsidRPr="004E0A37">
        <w:rPr>
          <w:rFonts w:hint="cs"/>
          <w:rtl/>
        </w:rPr>
        <w:tab/>
        <w:t>وقررت اللجنة، بعد الإحاطة</w:t>
      </w:r>
      <w:r w:rsidR="008D66CD">
        <w:rPr>
          <w:rFonts w:hint="cs"/>
          <w:rtl/>
        </w:rPr>
        <w:t xml:space="preserve"> علماً </w:t>
      </w:r>
      <w:r w:rsidR="008D66CD" w:rsidRPr="004E0A37">
        <w:rPr>
          <w:rFonts w:hint="cs"/>
          <w:rtl/>
        </w:rPr>
        <w:t>بتقرير الأمانة والإعراب عن تقديرها للأمانة عن هذا التقرير الذي ضم أيضاً اقتراحات تتعلق بدورة الإبلاغ القادمة (2013-2016)، أن</w:t>
      </w:r>
      <w:r w:rsidR="008D66CD">
        <w:rPr>
          <w:rFonts w:hint="eastAsia"/>
          <w:rtl/>
        </w:rPr>
        <w:t> </w:t>
      </w:r>
      <w:r w:rsidR="008D66CD" w:rsidRPr="004E0A37">
        <w:rPr>
          <w:rFonts w:hint="cs"/>
          <w:rtl/>
        </w:rPr>
        <w:t>تواصل أثناء دوراتها المقبلة مناقشة تقييم إجرائها الاختياري المتعلق بالإبلاغ.</w:t>
      </w:r>
    </w:p>
    <w:p w:rsidR="008D66CD" w:rsidRPr="004E0A37" w:rsidRDefault="008D66CD" w:rsidP="00E470AE">
      <w:pPr>
        <w:pStyle w:val="H1GA"/>
        <w:rPr>
          <w:rFonts w:hint="cs"/>
          <w:rtl/>
          <w:lang/>
        </w:rPr>
      </w:pPr>
      <w:r w:rsidRPr="004E0A37">
        <w:rPr>
          <w:rFonts w:hint="cs"/>
          <w:rtl/>
          <w:lang/>
        </w:rPr>
        <w:tab/>
        <w:t>دال-</w:t>
      </w:r>
      <w:r w:rsidRPr="004E0A37">
        <w:rPr>
          <w:rFonts w:hint="cs"/>
          <w:rtl/>
          <w:lang/>
        </w:rPr>
        <w:tab/>
        <w:t>رسائل تذكيرية بخصوص التقارير</w:t>
      </w:r>
      <w:r>
        <w:rPr>
          <w:rFonts w:hint="cs"/>
          <w:rtl/>
          <w:lang/>
        </w:rPr>
        <w:t xml:space="preserve"> الأولية والدورية</w:t>
      </w:r>
      <w:r w:rsidRPr="004E0A37">
        <w:rPr>
          <w:rFonts w:hint="cs"/>
          <w:rtl/>
          <w:lang/>
        </w:rPr>
        <w:t xml:space="preserve"> التي تأخر موعد تقديمها</w:t>
      </w:r>
    </w:p>
    <w:p w:rsidR="008D66CD" w:rsidRPr="003B2CC1" w:rsidRDefault="000B2E1E" w:rsidP="003B2CC1">
      <w:pPr>
        <w:pStyle w:val="SingleTxtGA"/>
        <w:spacing w:line="370" w:lineRule="exact"/>
        <w:rPr>
          <w:rFonts w:hint="cs"/>
          <w:spacing w:val="-4"/>
          <w:rtl/>
        </w:rPr>
      </w:pPr>
      <w:r w:rsidRPr="003B2CC1">
        <w:rPr>
          <w:rFonts w:hint="cs"/>
          <w:spacing w:val="-4"/>
          <w:rtl/>
        </w:rPr>
        <w:t>49</w:t>
      </w:r>
      <w:r w:rsidR="008D66CD" w:rsidRPr="003B2CC1">
        <w:rPr>
          <w:rFonts w:hint="cs"/>
          <w:spacing w:val="-4"/>
          <w:rtl/>
        </w:rPr>
        <w:t>-</w:t>
      </w:r>
      <w:r w:rsidR="008D66CD" w:rsidRPr="003B2CC1">
        <w:rPr>
          <w:rFonts w:hint="cs"/>
          <w:spacing w:val="-4"/>
          <w:rtl/>
        </w:rPr>
        <w:tab/>
        <w:t>قررت اللجنة، في دورتها الخمسين، أن ترسل رسائل تذكيرية إلى جميع الدول التي تأخر تقديم تقاريرها الأولية</w:t>
      </w:r>
      <w:r w:rsidRPr="003B2CC1">
        <w:rPr>
          <w:rFonts w:hint="cs"/>
          <w:spacing w:val="-4"/>
          <w:rtl/>
        </w:rPr>
        <w:t xml:space="preserve"> وإلى جميع الدول التي تأخر تقديم تقاريرها الدورية بأربع سنوات أو أكثر.</w:t>
      </w:r>
      <w:r w:rsidR="008D66CD" w:rsidRPr="003B2CC1">
        <w:rPr>
          <w:rFonts w:hint="cs"/>
          <w:spacing w:val="-4"/>
          <w:rtl/>
        </w:rPr>
        <w:t xml:space="preserve"> </w:t>
      </w:r>
    </w:p>
    <w:p w:rsidR="008D66CD" w:rsidRPr="004E0A37" w:rsidRDefault="000B2E1E" w:rsidP="003B2CC1">
      <w:pPr>
        <w:pStyle w:val="SingleTxtGA"/>
        <w:spacing w:line="370" w:lineRule="exact"/>
        <w:rPr>
          <w:rFonts w:hint="cs"/>
          <w:rtl/>
        </w:rPr>
      </w:pPr>
      <w:r>
        <w:rPr>
          <w:rFonts w:hint="cs"/>
          <w:rtl/>
        </w:rPr>
        <w:t>50</w:t>
      </w:r>
      <w:r w:rsidR="008D66CD" w:rsidRPr="004E0A37">
        <w:rPr>
          <w:rFonts w:hint="cs"/>
          <w:rtl/>
        </w:rPr>
        <w:t>-</w:t>
      </w:r>
      <w:r w:rsidR="008D66CD" w:rsidRPr="004E0A37">
        <w:rPr>
          <w:rFonts w:hint="cs"/>
          <w:rtl/>
        </w:rPr>
        <w:tab/>
        <w:t xml:space="preserve">ووجهت اللجنة نظر هذه الدول الأطراف إلى كون التأخير في تقديم التقارير يعوِّق إلى حد بعيد تنفيذ الاتفاقية في الدول الأطراف ويحول دون أداء اللجنة وظيفتها المتمثلة في رصد التنفيذ. وطلبت اللجنة الحصول على معلومات بشأن التقدم الذي أحرزته هذه الدول الأطراف في مجال الوفاء بالتزاماتها المتعلقة بتقديم التقارير وبشأن العقبات التي قد تواجهها في ذلك الصدد. وأُبلغت تلك الدول أيضاً بأن اللجنة قد تقدم، بموجب المادة 67 من نظامها الداخلي، على استعراض حالة تنفيذ الاتفاقية في الدولة الطرف في غياب تقرير </w:t>
      </w:r>
      <w:r w:rsidR="008D66CD">
        <w:rPr>
          <w:rFonts w:hint="cs"/>
          <w:rtl/>
        </w:rPr>
        <w:t>م</w:t>
      </w:r>
      <w:r w:rsidR="008D66CD" w:rsidRPr="004E0A37">
        <w:rPr>
          <w:rFonts w:hint="cs"/>
          <w:rtl/>
        </w:rPr>
        <w:t>نها، وأن هذا الاستعراض يمكن أن يجرى على أساس المعلومات التي تتاح للجنة من مختلف المصادر، بما</w:t>
      </w:r>
      <w:r w:rsidR="008D66CD" w:rsidRPr="004E0A37">
        <w:rPr>
          <w:rFonts w:hint="eastAsia"/>
          <w:rtl/>
        </w:rPr>
        <w:t> </w:t>
      </w:r>
      <w:r w:rsidR="008D66CD" w:rsidRPr="004E0A37">
        <w:rPr>
          <w:rFonts w:hint="cs"/>
          <w:rtl/>
        </w:rPr>
        <w:t>فيها مصادر من خارج الأمم المتحدة.</w:t>
      </w:r>
    </w:p>
    <w:p w:rsidR="008D66CD" w:rsidRPr="004E0A37" w:rsidRDefault="008D66CD" w:rsidP="003B2CC1">
      <w:pPr>
        <w:pStyle w:val="H1GA"/>
        <w:rPr>
          <w:rFonts w:hint="cs"/>
          <w:rtl/>
          <w:lang/>
        </w:rPr>
      </w:pPr>
      <w:r w:rsidRPr="004E0A37">
        <w:rPr>
          <w:rFonts w:hint="cs"/>
          <w:rtl/>
          <w:lang/>
        </w:rPr>
        <w:tab/>
        <w:t>هاء-</w:t>
      </w:r>
      <w:r w:rsidRPr="004E0A37">
        <w:rPr>
          <w:rFonts w:hint="cs"/>
          <w:rtl/>
          <w:lang/>
        </w:rPr>
        <w:tab/>
        <w:t xml:space="preserve">النظر في التدابير المُتّخَذة من دولة طرف في غياب تقرير </w:t>
      </w:r>
    </w:p>
    <w:p w:rsidR="008D66CD" w:rsidRDefault="003B2CC1" w:rsidP="003B2CC1">
      <w:pPr>
        <w:pStyle w:val="SingleTxtGA"/>
        <w:rPr>
          <w:rFonts w:hint="cs"/>
          <w:spacing w:val="6"/>
          <w:kern w:val="16"/>
          <w:sz w:val="22"/>
          <w:rtl/>
        </w:rPr>
      </w:pPr>
      <w:r w:rsidRPr="003B2CC1">
        <w:rPr>
          <w:rFonts w:hint="cs"/>
          <w:spacing w:val="-2"/>
          <w:rtl/>
        </w:rPr>
        <w:t>51</w:t>
      </w:r>
      <w:r w:rsidR="008D66CD" w:rsidRPr="003B2CC1">
        <w:rPr>
          <w:rFonts w:hint="cs"/>
          <w:spacing w:val="-2"/>
          <w:rtl/>
        </w:rPr>
        <w:t>-</w:t>
      </w:r>
      <w:r w:rsidR="008D66CD" w:rsidRPr="003B2CC1">
        <w:rPr>
          <w:rFonts w:hint="cs"/>
          <w:spacing w:val="-2"/>
          <w:rtl/>
        </w:rPr>
        <w:tab/>
        <w:t>تبعاً لقرار اللجنة إرسالَ رسائل تذكيرية إلى جميع الدول الأطراف التي تأخرت في تقديم تقاريرها الأولية</w:t>
      </w:r>
      <w:r w:rsidRPr="003B2CC1">
        <w:rPr>
          <w:rFonts w:hint="cs"/>
          <w:spacing w:val="-2"/>
          <w:vertAlign w:val="superscript"/>
          <w:rtl/>
        </w:rPr>
        <w:t>(</w:t>
      </w:r>
      <w:r w:rsidR="00332E8E" w:rsidRPr="003B2CC1">
        <w:rPr>
          <w:rStyle w:val="FootnoteReference"/>
          <w:spacing w:val="-2"/>
          <w:rtl/>
        </w:rPr>
        <w:footnoteReference w:id="8"/>
      </w:r>
      <w:r w:rsidRPr="003B2CC1">
        <w:rPr>
          <w:rFonts w:hint="cs"/>
          <w:spacing w:val="-2"/>
          <w:vertAlign w:val="superscript"/>
          <w:rtl/>
        </w:rPr>
        <w:t>)</w:t>
      </w:r>
      <w:r w:rsidR="008D66CD" w:rsidRPr="003B2CC1">
        <w:rPr>
          <w:rFonts w:hint="cs"/>
          <w:spacing w:val="-2"/>
          <w:rtl/>
        </w:rPr>
        <w:t>، قررت اللجنة، في دورتها التاسعة والأربعين، اتخاذ إجراء بشأن الدول</w:t>
      </w:r>
      <w:r>
        <w:rPr>
          <w:rFonts w:hint="eastAsia"/>
          <w:spacing w:val="-2"/>
          <w:rtl/>
        </w:rPr>
        <w:t> </w:t>
      </w:r>
      <w:r w:rsidR="008D66CD" w:rsidRPr="003B2CC1">
        <w:rPr>
          <w:rFonts w:hint="cs"/>
          <w:spacing w:val="-2"/>
          <w:rtl/>
        </w:rPr>
        <w:t>الأطراف التي تأخرت كثيراً في تقديم تقاريرها الأولية. وإذ لاحظت أن غينيا قد تأخرت في تقديم تقريرها الأولي حيث كان من المقرر تقديمه في 8 تشرين الثاني/نوفمبر 1990 - أي أن التأخير زاد عن 22 عاماً، وهو أطول تأخير سجل بالنسبة لجميع التقارير</w:t>
      </w:r>
      <w:r w:rsidR="008D66CD" w:rsidRPr="004E0A37">
        <w:rPr>
          <w:rFonts w:hint="cs"/>
          <w:rtl/>
        </w:rPr>
        <w:t xml:space="preserve"> الأولية </w:t>
      </w:r>
      <w:r w:rsidR="008D66CD" w:rsidRPr="004E0A37">
        <w:rPr>
          <w:rtl/>
        </w:rPr>
        <w:t>-</w:t>
      </w:r>
      <w:r w:rsidR="008D66CD" w:rsidRPr="004E0A37">
        <w:rPr>
          <w:rFonts w:hint="cs"/>
          <w:rtl/>
        </w:rPr>
        <w:t xml:space="preserve"> قررت اللجنة</w:t>
      </w:r>
      <w:r w:rsidR="008D66CD">
        <w:rPr>
          <w:rFonts w:hint="cs"/>
          <w:rtl/>
        </w:rPr>
        <w:t xml:space="preserve"> أن تكلف رئيسها بلقاء الممثل الدائم لغينيا لدى مكتب الأمم المتحدة في جنيف لمناقشة المسألة. ووافقت الدولة الطرف على تقديم تقريرها الدوري قبل الدورة الحادية والخمسين للجنة التي تبدأ في 28 تشرين الأول/أكتوبر</w:t>
      </w:r>
      <w:r w:rsidR="00BC369A">
        <w:rPr>
          <w:rFonts w:hint="cs"/>
          <w:rtl/>
        </w:rPr>
        <w:t xml:space="preserve"> 2013</w:t>
      </w:r>
      <w:r w:rsidR="008D66CD">
        <w:rPr>
          <w:rFonts w:hint="cs"/>
          <w:rtl/>
        </w:rPr>
        <w:t>. وإذا تخلفت</w:t>
      </w:r>
      <w:r w:rsidR="008D66CD" w:rsidRPr="004E0A37">
        <w:rPr>
          <w:rFonts w:hint="cs"/>
          <w:rtl/>
        </w:rPr>
        <w:t xml:space="preserve"> الدولة الطرف</w:t>
      </w:r>
      <w:r w:rsidR="008D66CD">
        <w:rPr>
          <w:rFonts w:hint="cs"/>
          <w:rtl/>
        </w:rPr>
        <w:t xml:space="preserve"> عن تقديم تقريرها بحلول 28 تشرين الأول/أكتوبر</w:t>
      </w:r>
      <w:r w:rsidR="008D66CD" w:rsidRPr="004E0A37">
        <w:rPr>
          <w:rFonts w:hint="cs"/>
          <w:rtl/>
        </w:rPr>
        <w:t>، ت</w:t>
      </w:r>
      <w:r w:rsidR="008D66CD">
        <w:rPr>
          <w:rFonts w:hint="cs"/>
          <w:rtl/>
        </w:rPr>
        <w:t>نظر اللجنة</w:t>
      </w:r>
      <w:r w:rsidR="008D66CD" w:rsidRPr="004E0A37">
        <w:rPr>
          <w:rFonts w:hint="cs"/>
          <w:rtl/>
        </w:rPr>
        <w:t>، في دورتها</w:t>
      </w:r>
      <w:r w:rsidR="008D66CD">
        <w:rPr>
          <w:rFonts w:hint="cs"/>
          <w:rtl/>
        </w:rPr>
        <w:t xml:space="preserve"> الثانية</w:t>
      </w:r>
      <w:r w:rsidR="008D66CD" w:rsidRPr="004E0A37">
        <w:rPr>
          <w:rFonts w:hint="cs"/>
          <w:rtl/>
        </w:rPr>
        <w:t xml:space="preserve"> </w:t>
      </w:r>
      <w:r w:rsidR="008D66CD">
        <w:rPr>
          <w:rFonts w:hint="cs"/>
          <w:rtl/>
        </w:rPr>
        <w:t>و</w:t>
      </w:r>
      <w:r w:rsidR="008D66CD" w:rsidRPr="004E0A37">
        <w:rPr>
          <w:rFonts w:hint="cs"/>
          <w:rtl/>
        </w:rPr>
        <w:t>الخمسين المقرر عقدها في أيار/مايو 201</w:t>
      </w:r>
      <w:r w:rsidR="008D66CD">
        <w:rPr>
          <w:rFonts w:hint="cs"/>
          <w:rtl/>
        </w:rPr>
        <w:t>4</w:t>
      </w:r>
      <w:r w:rsidR="008D66CD" w:rsidRPr="004E0A37">
        <w:rPr>
          <w:rFonts w:hint="cs"/>
          <w:rtl/>
        </w:rPr>
        <w:t>، في التدابير التي اتخذتها غينيا</w:t>
      </w:r>
      <w:r w:rsidR="008D66CD">
        <w:rPr>
          <w:rFonts w:hint="cs"/>
          <w:rtl/>
        </w:rPr>
        <w:t xml:space="preserve"> لتنفيذ أحكام الاتفاقية داخل إقليمها</w:t>
      </w:r>
      <w:r w:rsidR="008D66CD" w:rsidRPr="004E0A37">
        <w:rPr>
          <w:rFonts w:hint="cs"/>
          <w:rtl/>
        </w:rPr>
        <w:t xml:space="preserve"> في غياب تقريرها، و</w:t>
      </w:r>
      <w:r w:rsidR="008D66CD">
        <w:rPr>
          <w:rFonts w:hint="cs"/>
          <w:rtl/>
        </w:rPr>
        <w:t xml:space="preserve">ذلك </w:t>
      </w:r>
      <w:r w:rsidR="008D66CD" w:rsidRPr="004E0A37">
        <w:rPr>
          <w:rFonts w:hint="cs"/>
          <w:rtl/>
        </w:rPr>
        <w:t>عمل</w:t>
      </w:r>
      <w:r w:rsidR="008D66CD">
        <w:rPr>
          <w:rFonts w:hint="cs"/>
          <w:rtl/>
        </w:rPr>
        <w:t xml:space="preserve">اً </w:t>
      </w:r>
      <w:r w:rsidR="008D66CD" w:rsidRPr="004E0A37">
        <w:rPr>
          <w:rFonts w:hint="cs"/>
          <w:rtl/>
        </w:rPr>
        <w:t>بالمادة 6</w:t>
      </w:r>
      <w:r w:rsidR="008D66CD">
        <w:rPr>
          <w:rFonts w:hint="cs"/>
          <w:rtl/>
        </w:rPr>
        <w:t>7</w:t>
      </w:r>
      <w:r w:rsidR="008D66CD" w:rsidRPr="004E0A37">
        <w:rPr>
          <w:rFonts w:hint="cs"/>
          <w:rtl/>
        </w:rPr>
        <w:t xml:space="preserve"> من </w:t>
      </w:r>
      <w:r w:rsidR="008D66CD">
        <w:rPr>
          <w:rFonts w:hint="cs"/>
          <w:rtl/>
        </w:rPr>
        <w:t>ال</w:t>
      </w:r>
      <w:r w:rsidR="008D66CD" w:rsidRPr="004E0A37">
        <w:rPr>
          <w:rFonts w:hint="cs"/>
          <w:rtl/>
        </w:rPr>
        <w:t>نظام الداخلي</w:t>
      </w:r>
      <w:r w:rsidR="008D66CD">
        <w:rPr>
          <w:rFonts w:hint="cs"/>
          <w:spacing w:val="6"/>
          <w:kern w:val="16"/>
          <w:sz w:val="22"/>
          <w:rtl/>
        </w:rPr>
        <w:t xml:space="preserve"> للجنة.</w:t>
      </w:r>
    </w:p>
    <w:p w:rsidR="00EE5D7D" w:rsidRPr="004E0A37" w:rsidRDefault="008D66CD" w:rsidP="00300C67">
      <w:pPr>
        <w:pStyle w:val="HChGA"/>
        <w:spacing w:before="120"/>
        <w:rPr>
          <w:rFonts w:hint="cs"/>
          <w:rtl/>
        </w:rPr>
      </w:pPr>
      <w:r>
        <w:rPr>
          <w:spacing w:val="6"/>
          <w:kern w:val="16"/>
          <w:sz w:val="22"/>
          <w:szCs w:val="30"/>
          <w:rtl/>
        </w:rPr>
        <w:br w:type="page"/>
      </w:r>
      <w:r w:rsidR="00EE5D7D" w:rsidRPr="004E0A37">
        <w:rPr>
          <w:rFonts w:hint="cs"/>
          <w:rtl/>
        </w:rPr>
        <w:tab/>
        <w:t>ثالثاً-</w:t>
      </w:r>
      <w:r w:rsidR="00EE5D7D">
        <w:rPr>
          <w:rFonts w:hint="cs"/>
          <w:rtl/>
        </w:rPr>
        <w:tab/>
      </w:r>
      <w:r w:rsidR="00EE5D7D" w:rsidRPr="004E0A37">
        <w:rPr>
          <w:rFonts w:hint="cs"/>
          <w:rtl/>
        </w:rPr>
        <w:t>النظر في التقارير المقدمة من الدول الأطراف بموجب المادة</w:t>
      </w:r>
      <w:r w:rsidR="00EE5D7D">
        <w:rPr>
          <w:rFonts w:hint="eastAsia"/>
          <w:rtl/>
        </w:rPr>
        <w:t> </w:t>
      </w:r>
      <w:r w:rsidR="00EE5D7D" w:rsidRPr="004E0A37">
        <w:rPr>
          <w:rFonts w:hint="cs"/>
          <w:rtl/>
        </w:rPr>
        <w:t>19 من</w:t>
      </w:r>
      <w:r w:rsidR="00EE5D7D" w:rsidRPr="004E0A37">
        <w:rPr>
          <w:rFonts w:hint="eastAsia"/>
          <w:rtl/>
        </w:rPr>
        <w:t> </w:t>
      </w:r>
      <w:r w:rsidR="00EE5D7D" w:rsidRPr="004E0A37">
        <w:rPr>
          <w:rFonts w:hint="cs"/>
          <w:rtl/>
        </w:rPr>
        <w:t>الاتفاقية</w:t>
      </w:r>
    </w:p>
    <w:p w:rsidR="00EE5D7D" w:rsidRPr="004E0A37" w:rsidRDefault="00EE5D7D" w:rsidP="00300C67">
      <w:pPr>
        <w:pStyle w:val="H1GA"/>
        <w:rPr>
          <w:rFonts w:hint="cs"/>
          <w:rtl/>
        </w:rPr>
      </w:pPr>
      <w:r w:rsidRPr="004E0A37">
        <w:rPr>
          <w:rFonts w:hint="cs"/>
          <w:rtl/>
        </w:rPr>
        <w:tab/>
        <w:t>ألف-</w:t>
      </w:r>
      <w:r w:rsidRPr="004E0A37">
        <w:rPr>
          <w:rFonts w:hint="cs"/>
          <w:rtl/>
        </w:rPr>
        <w:tab/>
        <w:t>النظر في التقارير المقدمة من الدول الأطراف</w:t>
      </w:r>
    </w:p>
    <w:p w:rsidR="00EE5D7D" w:rsidRDefault="00300C67" w:rsidP="00300C67">
      <w:pPr>
        <w:pStyle w:val="SingleTxtGA"/>
        <w:rPr>
          <w:rtl/>
        </w:rPr>
      </w:pPr>
      <w:r>
        <w:rPr>
          <w:rFonts w:hint="cs"/>
          <w:rtl/>
        </w:rPr>
        <w:t>52</w:t>
      </w:r>
      <w:r w:rsidR="00EE5D7D" w:rsidRPr="004E0A37">
        <w:rPr>
          <w:rFonts w:hint="cs"/>
          <w:rtl/>
        </w:rPr>
        <w:t>-</w:t>
      </w:r>
      <w:r w:rsidR="00EE5D7D" w:rsidRPr="004E0A37">
        <w:rPr>
          <w:rFonts w:hint="cs"/>
          <w:rtl/>
        </w:rPr>
        <w:tab/>
        <w:t>نظرت اللجنة، في دورتيها ال</w:t>
      </w:r>
      <w:r w:rsidR="00EE5D7D">
        <w:rPr>
          <w:rFonts w:hint="cs"/>
          <w:rtl/>
        </w:rPr>
        <w:t>تاسعة</w:t>
      </w:r>
      <w:r w:rsidR="00EE5D7D" w:rsidRPr="004E0A37">
        <w:rPr>
          <w:rFonts w:hint="cs"/>
          <w:rtl/>
        </w:rPr>
        <w:t xml:space="preserve"> والأربعين </w:t>
      </w:r>
      <w:r w:rsidR="00EE5D7D">
        <w:rPr>
          <w:rFonts w:hint="cs"/>
          <w:rtl/>
        </w:rPr>
        <w:t>والخمسين</w:t>
      </w:r>
      <w:r w:rsidR="00EE5D7D" w:rsidRPr="004E0A37">
        <w:rPr>
          <w:rFonts w:hint="cs"/>
          <w:rtl/>
        </w:rPr>
        <w:t>، في التقارير المقدمة</w:t>
      </w:r>
      <w:r w:rsidR="00EE5D7D" w:rsidRPr="004E0A37">
        <w:rPr>
          <w:rFonts w:hint="eastAsia"/>
          <w:rtl/>
        </w:rPr>
        <w:t> </w:t>
      </w:r>
      <w:r w:rsidR="00EE5D7D" w:rsidRPr="004E0A37">
        <w:rPr>
          <w:rFonts w:hint="cs"/>
          <w:rtl/>
        </w:rPr>
        <w:t>من 1</w:t>
      </w:r>
      <w:r w:rsidR="00EE5D7D">
        <w:rPr>
          <w:rFonts w:hint="cs"/>
          <w:rtl/>
        </w:rPr>
        <w:t>7</w:t>
      </w:r>
      <w:r w:rsidR="00EE5D7D" w:rsidRPr="004E0A37">
        <w:rPr>
          <w:rFonts w:hint="cs"/>
          <w:rtl/>
        </w:rPr>
        <w:t xml:space="preserve"> دولة من الدول الأطراف بموجب الفقرة 1 من المادة 19 من الاتفاقية، واعتمدت</w:t>
      </w:r>
      <w:r w:rsidR="00EE5D7D">
        <w:rPr>
          <w:rFonts w:hint="cs"/>
          <w:rtl/>
        </w:rPr>
        <w:t xml:space="preserve"> 17</w:t>
      </w:r>
      <w:r w:rsidR="00EE5D7D" w:rsidRPr="004E0A37">
        <w:rPr>
          <w:rFonts w:hint="cs"/>
          <w:rtl/>
        </w:rPr>
        <w:t xml:space="preserve"> مجموعة من </w:t>
      </w:r>
      <w:r w:rsidR="00EE5D7D">
        <w:rPr>
          <w:rFonts w:hint="cs"/>
          <w:rtl/>
        </w:rPr>
        <w:t>ال</w:t>
      </w:r>
      <w:r w:rsidR="00EE5D7D" w:rsidRPr="004E0A37">
        <w:rPr>
          <w:rFonts w:hint="cs"/>
          <w:rtl/>
        </w:rPr>
        <w:t>ملاحظ</w:t>
      </w:r>
      <w:r w:rsidR="00EE5D7D">
        <w:rPr>
          <w:rFonts w:hint="cs"/>
          <w:rtl/>
        </w:rPr>
        <w:t>ات</w:t>
      </w:r>
      <w:r w:rsidR="00EE5D7D" w:rsidRPr="004E0A37">
        <w:rPr>
          <w:rFonts w:hint="cs"/>
          <w:rtl/>
        </w:rPr>
        <w:t xml:space="preserve"> </w:t>
      </w:r>
      <w:r w:rsidR="00EE5D7D">
        <w:rPr>
          <w:rFonts w:hint="cs"/>
          <w:rtl/>
        </w:rPr>
        <w:t>ال</w:t>
      </w:r>
      <w:r w:rsidR="00EE5D7D" w:rsidRPr="004E0A37">
        <w:rPr>
          <w:rFonts w:hint="cs"/>
          <w:rtl/>
        </w:rPr>
        <w:t>ختامية. وعُرضت على اللجنة في دورتها ال</w:t>
      </w:r>
      <w:r w:rsidR="00EE5D7D">
        <w:rPr>
          <w:rFonts w:hint="cs"/>
          <w:rtl/>
        </w:rPr>
        <w:t>تاسعة</w:t>
      </w:r>
      <w:r w:rsidR="00EE5D7D" w:rsidRPr="004E0A37">
        <w:rPr>
          <w:rFonts w:hint="cs"/>
          <w:rtl/>
        </w:rPr>
        <w:t xml:space="preserve"> والأربعين التقارير التالية التي اعتمدت اللجنة ملاحظات ختامية بشأنها:</w:t>
      </w:r>
    </w:p>
    <w:tbl>
      <w:tblPr>
        <w:tblStyle w:val="TableGrid"/>
        <w:bidiVisual/>
        <w:tblW w:w="7256"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841"/>
        <w:gridCol w:w="2001"/>
        <w:gridCol w:w="1680"/>
        <w:gridCol w:w="1734"/>
      </w:tblGrid>
      <w:tr w:rsidR="00EE5D7D" w:rsidRPr="00300C67" w:rsidTr="00300C67">
        <w:tc>
          <w:tcPr>
            <w:tcW w:w="1841" w:type="dxa"/>
            <w:tcBorders>
              <w:top w:val="single" w:sz="4" w:space="0" w:color="auto"/>
              <w:bottom w:val="single" w:sz="12" w:space="0" w:color="auto"/>
            </w:tcBorders>
            <w:shd w:val="clear" w:color="auto" w:fill="auto"/>
          </w:tcPr>
          <w:p w:rsidR="00EE5D7D" w:rsidRPr="00300C67" w:rsidRDefault="00EE5D7D" w:rsidP="00E470AE">
            <w:pPr>
              <w:spacing w:before="60" w:after="60" w:line="300" w:lineRule="exact"/>
              <w:ind w:left="57"/>
              <w:jc w:val="left"/>
              <w:rPr>
                <w:rFonts w:cs="Traditional Arabic" w:hint="cs"/>
                <w:i/>
                <w:iCs/>
                <w:sz w:val="18"/>
                <w:szCs w:val="28"/>
                <w:rtl/>
              </w:rPr>
            </w:pPr>
            <w:r w:rsidRPr="00300C67">
              <w:rPr>
                <w:rFonts w:cs="Traditional Arabic"/>
                <w:sz w:val="18"/>
                <w:rtl/>
              </w:rPr>
              <w:br w:type="page"/>
            </w:r>
            <w:r w:rsidRPr="00300C67">
              <w:rPr>
                <w:rFonts w:cs="Traditional Arabic" w:hint="cs"/>
                <w:i/>
                <w:iCs/>
                <w:sz w:val="18"/>
                <w:szCs w:val="28"/>
                <w:rtl/>
              </w:rPr>
              <w:t>الدولة الطرف</w:t>
            </w:r>
          </w:p>
        </w:tc>
        <w:tc>
          <w:tcPr>
            <w:tcW w:w="2001" w:type="dxa"/>
            <w:tcBorders>
              <w:top w:val="single" w:sz="4" w:space="0" w:color="auto"/>
              <w:bottom w:val="single" w:sz="12" w:space="0" w:color="auto"/>
            </w:tcBorders>
            <w:shd w:val="clear" w:color="auto" w:fill="auto"/>
          </w:tcPr>
          <w:p w:rsidR="00EE5D7D" w:rsidRPr="00300C67" w:rsidRDefault="00EE5D7D" w:rsidP="00300C67">
            <w:pPr>
              <w:spacing w:before="60" w:after="60" w:line="300" w:lineRule="exact"/>
              <w:ind w:left="57" w:right="57"/>
              <w:jc w:val="left"/>
              <w:rPr>
                <w:rFonts w:cs="Traditional Arabic" w:hint="cs"/>
                <w:i/>
                <w:iCs/>
                <w:sz w:val="18"/>
                <w:szCs w:val="28"/>
                <w:rtl/>
              </w:rPr>
            </w:pPr>
            <w:r w:rsidRPr="00300C67">
              <w:rPr>
                <w:rFonts w:cs="Traditional Arabic" w:hint="cs"/>
                <w:i/>
                <w:iCs/>
                <w:sz w:val="18"/>
                <w:szCs w:val="28"/>
                <w:rtl/>
              </w:rPr>
              <w:t>التقرير</w:t>
            </w:r>
          </w:p>
        </w:tc>
        <w:tc>
          <w:tcPr>
            <w:tcW w:w="1680" w:type="dxa"/>
            <w:tcBorders>
              <w:top w:val="single" w:sz="4" w:space="0" w:color="auto"/>
              <w:bottom w:val="single" w:sz="12" w:space="0" w:color="auto"/>
            </w:tcBorders>
            <w:shd w:val="clear" w:color="auto" w:fill="auto"/>
          </w:tcPr>
          <w:p w:rsidR="00EE5D7D" w:rsidRPr="00300C67" w:rsidRDefault="00EE5D7D" w:rsidP="00E470AE">
            <w:pPr>
              <w:spacing w:before="60" w:after="60" w:line="300" w:lineRule="exact"/>
              <w:jc w:val="left"/>
              <w:rPr>
                <w:rFonts w:cs="Traditional Arabic" w:hint="cs"/>
                <w:i/>
                <w:iCs/>
                <w:sz w:val="18"/>
                <w:szCs w:val="28"/>
                <w:rtl/>
              </w:rPr>
            </w:pPr>
          </w:p>
        </w:tc>
        <w:tc>
          <w:tcPr>
            <w:tcW w:w="1734" w:type="dxa"/>
            <w:tcBorders>
              <w:top w:val="single" w:sz="4" w:space="0" w:color="auto"/>
              <w:bottom w:val="single" w:sz="12" w:space="0" w:color="auto"/>
            </w:tcBorders>
            <w:shd w:val="clear" w:color="auto" w:fill="auto"/>
          </w:tcPr>
          <w:p w:rsidR="00EE5D7D" w:rsidRPr="00300C67" w:rsidRDefault="00EE5D7D" w:rsidP="00E470AE">
            <w:pPr>
              <w:spacing w:before="60" w:after="60" w:line="300" w:lineRule="exact"/>
              <w:ind w:left="57"/>
              <w:jc w:val="left"/>
              <w:rPr>
                <w:rFonts w:cs="Traditional Arabic" w:hint="cs"/>
                <w:i/>
                <w:iCs/>
                <w:sz w:val="18"/>
                <w:szCs w:val="28"/>
              </w:rPr>
            </w:pPr>
            <w:r w:rsidRPr="00300C67">
              <w:rPr>
                <w:rFonts w:cs="Traditional Arabic" w:hint="cs"/>
                <w:i/>
                <w:iCs/>
                <w:sz w:val="18"/>
                <w:szCs w:val="28"/>
                <w:rtl/>
              </w:rPr>
              <w:t>الملاحظات الختامية</w:t>
            </w:r>
          </w:p>
        </w:tc>
      </w:tr>
      <w:tr w:rsidR="00EE5D7D" w:rsidRPr="00300C67" w:rsidTr="00300C67">
        <w:tc>
          <w:tcPr>
            <w:tcW w:w="1841" w:type="dxa"/>
            <w:tcBorders>
              <w:top w:val="single" w:sz="12" w:space="0" w:color="auto"/>
            </w:tcBorders>
            <w:shd w:val="clear" w:color="auto" w:fill="auto"/>
          </w:tcPr>
          <w:p w:rsidR="00EE5D7D" w:rsidRPr="00300C67" w:rsidRDefault="00EE5D7D" w:rsidP="00E470AE">
            <w:pPr>
              <w:spacing w:before="60" w:after="60" w:line="300" w:lineRule="exact"/>
              <w:ind w:left="57"/>
              <w:rPr>
                <w:rFonts w:cs="Traditional Arabic" w:hint="cs"/>
                <w:sz w:val="18"/>
                <w:szCs w:val="28"/>
                <w:rtl/>
              </w:rPr>
            </w:pPr>
            <w:r w:rsidRPr="00300C67">
              <w:rPr>
                <w:rFonts w:cs="Traditional Arabic" w:hint="cs"/>
                <w:sz w:val="18"/>
                <w:szCs w:val="28"/>
                <w:rtl/>
              </w:rPr>
              <w:t>الاتحاد الروسي</w:t>
            </w:r>
          </w:p>
        </w:tc>
        <w:tc>
          <w:tcPr>
            <w:tcW w:w="2001" w:type="dxa"/>
            <w:tcBorders>
              <w:top w:val="single" w:sz="12" w:space="0" w:color="auto"/>
            </w:tcBorders>
            <w:shd w:val="clear" w:color="auto" w:fill="auto"/>
          </w:tcPr>
          <w:p w:rsidR="00EE5D7D" w:rsidRPr="00300C67" w:rsidRDefault="00EE5D7D" w:rsidP="00300C67">
            <w:pPr>
              <w:spacing w:before="60" w:after="60" w:line="300" w:lineRule="exact"/>
              <w:ind w:left="57" w:right="57"/>
              <w:jc w:val="left"/>
              <w:rPr>
                <w:rFonts w:cs="Traditional Arabic"/>
                <w:sz w:val="18"/>
                <w:szCs w:val="28"/>
              </w:rPr>
            </w:pPr>
            <w:r w:rsidRPr="00300C67">
              <w:rPr>
                <w:rFonts w:cs="Traditional Arabic" w:hint="cs"/>
                <w:sz w:val="18"/>
                <w:szCs w:val="28"/>
                <w:rtl/>
              </w:rPr>
              <w:t>التقرير الدوري الخامس</w:t>
            </w:r>
          </w:p>
        </w:tc>
        <w:tc>
          <w:tcPr>
            <w:tcW w:w="1680" w:type="dxa"/>
            <w:tcBorders>
              <w:top w:val="single" w:sz="12" w:space="0" w:color="auto"/>
            </w:tcBorders>
            <w:shd w:val="clear" w:color="auto" w:fill="auto"/>
          </w:tcPr>
          <w:p w:rsidR="00EE5D7D" w:rsidRPr="00300C67" w:rsidRDefault="00EE5D7D" w:rsidP="00E470AE">
            <w:pPr>
              <w:spacing w:before="60" w:after="60" w:line="300" w:lineRule="exact"/>
              <w:ind w:left="57" w:right="57"/>
              <w:jc w:val="right"/>
              <w:rPr>
                <w:rFonts w:cs="Traditional Arabic"/>
                <w:sz w:val="18"/>
                <w:szCs w:val="28"/>
              </w:rPr>
            </w:pPr>
            <w:r w:rsidRPr="00300C67">
              <w:rPr>
                <w:rFonts w:cs="Traditional Arabic"/>
                <w:sz w:val="18"/>
                <w:szCs w:val="28"/>
              </w:rPr>
              <w:t>CAT/C/RUS/5</w:t>
            </w:r>
          </w:p>
        </w:tc>
        <w:tc>
          <w:tcPr>
            <w:tcW w:w="1734" w:type="dxa"/>
            <w:tcBorders>
              <w:top w:val="single" w:sz="12" w:space="0" w:color="auto"/>
            </w:tcBorders>
            <w:shd w:val="clear" w:color="auto" w:fill="auto"/>
          </w:tcPr>
          <w:p w:rsidR="00EE5D7D" w:rsidRPr="00300C67" w:rsidRDefault="00EE5D7D" w:rsidP="00E470AE">
            <w:pPr>
              <w:spacing w:before="60" w:after="60" w:line="300" w:lineRule="exact"/>
              <w:ind w:left="57" w:right="57"/>
              <w:jc w:val="right"/>
              <w:rPr>
                <w:rFonts w:cs="Traditional Arabic"/>
                <w:sz w:val="18"/>
                <w:szCs w:val="28"/>
              </w:rPr>
            </w:pPr>
            <w:r w:rsidRPr="00300C67">
              <w:rPr>
                <w:rFonts w:cs="Traditional Arabic"/>
                <w:sz w:val="18"/>
                <w:szCs w:val="28"/>
              </w:rPr>
              <w:t>CAT/C/RUS/CO/5</w:t>
            </w:r>
          </w:p>
        </w:tc>
      </w:tr>
      <w:tr w:rsidR="00EE5D7D" w:rsidRPr="00300C67" w:rsidTr="00300C67">
        <w:tc>
          <w:tcPr>
            <w:tcW w:w="1841" w:type="dxa"/>
            <w:shd w:val="clear" w:color="auto" w:fill="auto"/>
          </w:tcPr>
          <w:p w:rsidR="00EE5D7D" w:rsidRPr="00300C67" w:rsidRDefault="00EE5D7D" w:rsidP="00E470AE">
            <w:pPr>
              <w:spacing w:before="60" w:after="60" w:line="300" w:lineRule="exact"/>
              <w:ind w:left="57"/>
              <w:rPr>
                <w:rFonts w:cs="Traditional Arabic" w:hint="cs"/>
                <w:sz w:val="18"/>
                <w:szCs w:val="28"/>
                <w:rtl/>
              </w:rPr>
            </w:pPr>
            <w:r w:rsidRPr="00300C67">
              <w:rPr>
                <w:rFonts w:cs="Traditional Arabic" w:hint="cs"/>
                <w:sz w:val="18"/>
                <w:szCs w:val="28"/>
                <w:rtl/>
              </w:rPr>
              <w:t>بيرو</w:t>
            </w:r>
          </w:p>
        </w:tc>
        <w:tc>
          <w:tcPr>
            <w:tcW w:w="2001" w:type="dxa"/>
            <w:shd w:val="clear" w:color="auto" w:fill="auto"/>
          </w:tcPr>
          <w:p w:rsidR="00EE5D7D" w:rsidRPr="00300C67" w:rsidRDefault="00EE5D7D" w:rsidP="00300C67">
            <w:pPr>
              <w:spacing w:before="60" w:after="60" w:line="300" w:lineRule="exact"/>
              <w:ind w:left="57" w:right="57"/>
              <w:jc w:val="left"/>
              <w:rPr>
                <w:rFonts w:cs="Traditional Arabic" w:hint="cs"/>
                <w:sz w:val="18"/>
                <w:szCs w:val="28"/>
                <w:rtl/>
              </w:rPr>
            </w:pPr>
            <w:r w:rsidRPr="00300C67">
              <w:rPr>
                <w:rFonts w:cs="Traditional Arabic" w:hint="cs"/>
                <w:sz w:val="18"/>
                <w:szCs w:val="28"/>
                <w:rtl/>
              </w:rPr>
              <w:t>التقرر الجامع للتقريرين الدوريين الخامس والسادس</w:t>
            </w:r>
          </w:p>
        </w:tc>
        <w:tc>
          <w:tcPr>
            <w:tcW w:w="1680" w:type="dxa"/>
            <w:shd w:val="clear" w:color="auto" w:fill="auto"/>
          </w:tcPr>
          <w:p w:rsidR="00EE5D7D" w:rsidRPr="00300C67" w:rsidRDefault="00EE5D7D" w:rsidP="00E470AE">
            <w:pPr>
              <w:spacing w:before="60" w:after="60" w:line="300" w:lineRule="exact"/>
              <w:ind w:left="57" w:right="57"/>
              <w:jc w:val="right"/>
              <w:rPr>
                <w:rFonts w:cs="Traditional Arabic" w:hint="cs"/>
                <w:sz w:val="18"/>
                <w:szCs w:val="28"/>
              </w:rPr>
            </w:pPr>
            <w:r w:rsidRPr="00300C67">
              <w:rPr>
                <w:rFonts w:cs="Traditional Arabic"/>
                <w:sz w:val="18"/>
                <w:szCs w:val="28"/>
                <w:lang w:val="fr-CH"/>
              </w:rPr>
              <w:t>CAT/C/PER/6</w:t>
            </w:r>
          </w:p>
        </w:tc>
        <w:tc>
          <w:tcPr>
            <w:tcW w:w="1734" w:type="dxa"/>
            <w:shd w:val="clear" w:color="auto" w:fill="auto"/>
          </w:tcPr>
          <w:p w:rsidR="00EE5D7D" w:rsidRPr="00300C67" w:rsidRDefault="00EE5D7D" w:rsidP="00E470AE">
            <w:pPr>
              <w:spacing w:before="60" w:after="60" w:line="300" w:lineRule="exact"/>
              <w:ind w:left="57" w:right="57"/>
              <w:jc w:val="right"/>
              <w:rPr>
                <w:rFonts w:cs="Traditional Arabic"/>
                <w:sz w:val="18"/>
                <w:szCs w:val="28"/>
              </w:rPr>
            </w:pPr>
            <w:r w:rsidRPr="00300C67">
              <w:rPr>
                <w:rFonts w:cs="Traditional Arabic"/>
                <w:sz w:val="18"/>
                <w:szCs w:val="28"/>
                <w:lang w:val="fr-CH"/>
              </w:rPr>
              <w:t>CAT/C/PER/CO/5-6</w:t>
            </w:r>
          </w:p>
        </w:tc>
      </w:tr>
      <w:tr w:rsidR="00EE5D7D" w:rsidRPr="00300C67" w:rsidTr="00300C67">
        <w:tc>
          <w:tcPr>
            <w:tcW w:w="1841" w:type="dxa"/>
            <w:shd w:val="clear" w:color="auto" w:fill="auto"/>
          </w:tcPr>
          <w:p w:rsidR="00EE5D7D" w:rsidRPr="00300C67" w:rsidRDefault="00EE5D7D" w:rsidP="00E470AE">
            <w:pPr>
              <w:suppressAutoHyphens/>
              <w:spacing w:before="60" w:after="60" w:line="300" w:lineRule="exact"/>
              <w:ind w:left="57"/>
              <w:rPr>
                <w:rFonts w:cs="Traditional Arabic" w:hint="cs"/>
                <w:spacing w:val="-6"/>
                <w:sz w:val="18"/>
                <w:szCs w:val="28"/>
                <w:rtl/>
              </w:rPr>
            </w:pPr>
            <w:r w:rsidRPr="00300C67">
              <w:rPr>
                <w:rFonts w:cs="Traditional Arabic" w:hint="cs"/>
                <w:spacing w:val="-6"/>
                <w:sz w:val="18"/>
                <w:szCs w:val="28"/>
                <w:rtl/>
              </w:rPr>
              <w:t>توغو</w:t>
            </w:r>
          </w:p>
        </w:tc>
        <w:tc>
          <w:tcPr>
            <w:tcW w:w="2001" w:type="dxa"/>
            <w:shd w:val="clear" w:color="auto" w:fill="auto"/>
          </w:tcPr>
          <w:p w:rsidR="00EE5D7D" w:rsidRPr="00300C67" w:rsidRDefault="00EE5D7D" w:rsidP="00300C67">
            <w:pPr>
              <w:suppressAutoHyphens/>
              <w:spacing w:before="60" w:after="60" w:line="300" w:lineRule="exact"/>
              <w:ind w:left="57" w:right="57"/>
              <w:jc w:val="left"/>
              <w:rPr>
                <w:rFonts w:cs="Traditional Arabic"/>
                <w:sz w:val="18"/>
                <w:szCs w:val="28"/>
              </w:rPr>
            </w:pPr>
            <w:r w:rsidRPr="00300C67">
              <w:rPr>
                <w:rFonts w:cs="Traditional Arabic" w:hint="cs"/>
                <w:sz w:val="18"/>
                <w:szCs w:val="28"/>
                <w:rtl/>
              </w:rPr>
              <w:t>التقرير الدوري الثاني</w:t>
            </w:r>
          </w:p>
        </w:tc>
        <w:tc>
          <w:tcPr>
            <w:tcW w:w="1680" w:type="dxa"/>
            <w:shd w:val="clear" w:color="auto" w:fill="auto"/>
          </w:tcPr>
          <w:p w:rsidR="00EE5D7D" w:rsidRPr="00300C67" w:rsidRDefault="00EE5D7D" w:rsidP="00E470AE">
            <w:pPr>
              <w:suppressAutoHyphens/>
              <w:spacing w:before="60" w:after="60" w:line="300" w:lineRule="exact"/>
              <w:ind w:left="57" w:right="57"/>
              <w:jc w:val="right"/>
              <w:rPr>
                <w:rFonts w:cs="Traditional Arabic"/>
                <w:sz w:val="18"/>
                <w:szCs w:val="28"/>
              </w:rPr>
            </w:pPr>
            <w:r w:rsidRPr="00300C67">
              <w:rPr>
                <w:rFonts w:cs="Traditional Arabic"/>
                <w:sz w:val="18"/>
                <w:szCs w:val="28"/>
              </w:rPr>
              <w:t>CAT/C/TGO/2</w:t>
            </w:r>
          </w:p>
        </w:tc>
        <w:tc>
          <w:tcPr>
            <w:tcW w:w="1734" w:type="dxa"/>
            <w:shd w:val="clear" w:color="auto" w:fill="auto"/>
          </w:tcPr>
          <w:p w:rsidR="00EE5D7D" w:rsidRPr="00300C67" w:rsidRDefault="00EE5D7D" w:rsidP="00E470AE">
            <w:pPr>
              <w:suppressAutoHyphens/>
              <w:spacing w:before="60" w:after="60" w:line="300" w:lineRule="exact"/>
              <w:ind w:left="57" w:right="57"/>
              <w:jc w:val="right"/>
              <w:rPr>
                <w:rFonts w:cs="Traditional Arabic" w:hint="cs"/>
                <w:sz w:val="18"/>
                <w:szCs w:val="28"/>
              </w:rPr>
            </w:pPr>
            <w:r w:rsidRPr="00300C67">
              <w:rPr>
                <w:rFonts w:cs="Traditional Arabic"/>
                <w:sz w:val="18"/>
                <w:szCs w:val="28"/>
              </w:rPr>
              <w:t>CAT/C/TGO/CO/2</w:t>
            </w:r>
          </w:p>
        </w:tc>
      </w:tr>
      <w:tr w:rsidR="00EE5D7D" w:rsidRPr="00300C67" w:rsidTr="00300C67">
        <w:tc>
          <w:tcPr>
            <w:tcW w:w="1841" w:type="dxa"/>
            <w:shd w:val="clear" w:color="auto" w:fill="auto"/>
          </w:tcPr>
          <w:p w:rsidR="00EE5D7D" w:rsidRPr="00300C67" w:rsidRDefault="00EE5D7D" w:rsidP="00E470AE">
            <w:pPr>
              <w:spacing w:before="60" w:after="60" w:line="300" w:lineRule="exact"/>
              <w:ind w:left="57"/>
              <w:rPr>
                <w:rFonts w:cs="Traditional Arabic" w:hint="cs"/>
                <w:sz w:val="18"/>
                <w:szCs w:val="28"/>
                <w:rtl/>
              </w:rPr>
            </w:pPr>
            <w:r w:rsidRPr="00300C67">
              <w:rPr>
                <w:rFonts w:cs="Traditional Arabic" w:hint="cs"/>
                <w:sz w:val="18"/>
                <w:szCs w:val="28"/>
                <w:rtl/>
              </w:rPr>
              <w:t>السنغال</w:t>
            </w:r>
          </w:p>
        </w:tc>
        <w:tc>
          <w:tcPr>
            <w:tcW w:w="2001" w:type="dxa"/>
            <w:shd w:val="clear" w:color="auto" w:fill="auto"/>
          </w:tcPr>
          <w:p w:rsidR="00EE5D7D" w:rsidRPr="00300C67" w:rsidRDefault="00EE5D7D" w:rsidP="00300C67">
            <w:pPr>
              <w:spacing w:before="60" w:after="60" w:line="300" w:lineRule="exact"/>
              <w:ind w:left="57" w:right="57"/>
              <w:jc w:val="left"/>
              <w:rPr>
                <w:rFonts w:cs="Traditional Arabic" w:hint="cs"/>
                <w:sz w:val="18"/>
                <w:szCs w:val="28"/>
                <w:rtl/>
              </w:rPr>
            </w:pPr>
            <w:r w:rsidRPr="00300C67">
              <w:rPr>
                <w:rFonts w:cs="Traditional Arabic" w:hint="cs"/>
                <w:sz w:val="18"/>
                <w:szCs w:val="28"/>
                <w:rtl/>
              </w:rPr>
              <w:t>التقرير الدوري الثالث</w:t>
            </w:r>
          </w:p>
        </w:tc>
        <w:tc>
          <w:tcPr>
            <w:tcW w:w="1680" w:type="dxa"/>
            <w:shd w:val="clear" w:color="auto" w:fill="auto"/>
          </w:tcPr>
          <w:p w:rsidR="00EE5D7D" w:rsidRPr="00300C67" w:rsidRDefault="00EE5D7D" w:rsidP="00E470AE">
            <w:pPr>
              <w:spacing w:before="60" w:after="60" w:line="300" w:lineRule="exact"/>
              <w:ind w:left="57" w:right="57"/>
              <w:jc w:val="right"/>
              <w:rPr>
                <w:rFonts w:cs="Traditional Arabic" w:hint="cs"/>
                <w:sz w:val="18"/>
                <w:szCs w:val="28"/>
              </w:rPr>
            </w:pPr>
            <w:r w:rsidRPr="00300C67">
              <w:rPr>
                <w:rFonts w:cs="Traditional Arabic"/>
                <w:sz w:val="18"/>
                <w:szCs w:val="28"/>
              </w:rPr>
              <w:t>CAT/C/SEN/3</w:t>
            </w:r>
          </w:p>
        </w:tc>
        <w:tc>
          <w:tcPr>
            <w:tcW w:w="1734" w:type="dxa"/>
            <w:shd w:val="clear" w:color="auto" w:fill="auto"/>
          </w:tcPr>
          <w:p w:rsidR="00EE5D7D" w:rsidRPr="00300C67" w:rsidRDefault="00EE5D7D" w:rsidP="00E470AE">
            <w:pPr>
              <w:spacing w:before="60" w:after="60" w:line="300" w:lineRule="exact"/>
              <w:ind w:left="57" w:right="57"/>
              <w:jc w:val="right"/>
              <w:rPr>
                <w:rFonts w:cs="Traditional Arabic" w:hint="cs"/>
                <w:sz w:val="18"/>
                <w:szCs w:val="28"/>
              </w:rPr>
            </w:pPr>
            <w:r w:rsidRPr="00300C67">
              <w:rPr>
                <w:rFonts w:cs="Traditional Arabic"/>
                <w:sz w:val="18"/>
                <w:szCs w:val="28"/>
              </w:rPr>
              <w:t>CAT/C/SEN/CO/3</w:t>
            </w:r>
          </w:p>
        </w:tc>
      </w:tr>
      <w:tr w:rsidR="00EE5D7D" w:rsidRPr="00300C67" w:rsidTr="00300C67">
        <w:tc>
          <w:tcPr>
            <w:tcW w:w="1841" w:type="dxa"/>
            <w:shd w:val="clear" w:color="auto" w:fill="auto"/>
          </w:tcPr>
          <w:p w:rsidR="00EE5D7D" w:rsidRPr="00300C67" w:rsidRDefault="00EE5D7D" w:rsidP="00E470AE">
            <w:pPr>
              <w:spacing w:before="60" w:after="60" w:line="300" w:lineRule="exact"/>
              <w:ind w:left="57"/>
              <w:rPr>
                <w:rFonts w:cs="Traditional Arabic" w:hint="cs"/>
                <w:sz w:val="18"/>
                <w:szCs w:val="28"/>
                <w:rtl/>
              </w:rPr>
            </w:pPr>
            <w:r w:rsidRPr="00300C67">
              <w:rPr>
                <w:rFonts w:cs="Traditional Arabic" w:hint="cs"/>
                <w:sz w:val="18"/>
                <w:szCs w:val="28"/>
                <w:rtl/>
              </w:rPr>
              <w:t>طاجيكستان</w:t>
            </w:r>
          </w:p>
        </w:tc>
        <w:tc>
          <w:tcPr>
            <w:tcW w:w="2001" w:type="dxa"/>
            <w:shd w:val="clear" w:color="auto" w:fill="auto"/>
          </w:tcPr>
          <w:p w:rsidR="00EE5D7D" w:rsidRPr="00300C67" w:rsidRDefault="00EE5D7D" w:rsidP="00300C67">
            <w:pPr>
              <w:spacing w:before="60" w:after="60" w:line="300" w:lineRule="exact"/>
              <w:ind w:left="57" w:right="57"/>
              <w:jc w:val="left"/>
              <w:rPr>
                <w:rFonts w:cs="Traditional Arabic" w:hint="cs"/>
                <w:sz w:val="18"/>
                <w:szCs w:val="28"/>
              </w:rPr>
            </w:pPr>
            <w:r w:rsidRPr="00300C67">
              <w:rPr>
                <w:rFonts w:cs="Traditional Arabic" w:hint="cs"/>
                <w:sz w:val="18"/>
                <w:szCs w:val="28"/>
                <w:rtl/>
              </w:rPr>
              <w:t xml:space="preserve">التقرير الدوري الثاني </w:t>
            </w:r>
          </w:p>
        </w:tc>
        <w:tc>
          <w:tcPr>
            <w:tcW w:w="1680" w:type="dxa"/>
            <w:shd w:val="clear" w:color="auto" w:fill="auto"/>
          </w:tcPr>
          <w:p w:rsidR="00EE5D7D" w:rsidRPr="00300C67" w:rsidRDefault="00EE5D7D" w:rsidP="00E470AE">
            <w:pPr>
              <w:spacing w:before="60" w:after="60" w:line="300" w:lineRule="exact"/>
              <w:ind w:left="57" w:right="57"/>
              <w:jc w:val="right"/>
              <w:rPr>
                <w:rFonts w:cs="Traditional Arabic" w:hint="cs"/>
                <w:sz w:val="18"/>
                <w:szCs w:val="28"/>
              </w:rPr>
            </w:pPr>
            <w:r w:rsidRPr="00300C67">
              <w:rPr>
                <w:rFonts w:cs="Traditional Arabic"/>
                <w:sz w:val="18"/>
                <w:szCs w:val="28"/>
              </w:rPr>
              <w:t>CAT/C/TJK/2</w:t>
            </w:r>
          </w:p>
        </w:tc>
        <w:tc>
          <w:tcPr>
            <w:tcW w:w="1734" w:type="dxa"/>
            <w:shd w:val="clear" w:color="auto" w:fill="auto"/>
          </w:tcPr>
          <w:p w:rsidR="00EE5D7D" w:rsidRPr="00300C67" w:rsidRDefault="00EE5D7D" w:rsidP="00E470AE">
            <w:pPr>
              <w:spacing w:before="60" w:after="60" w:line="300" w:lineRule="exact"/>
              <w:ind w:left="57" w:right="57"/>
              <w:jc w:val="right"/>
              <w:rPr>
                <w:rFonts w:cs="Traditional Arabic"/>
                <w:sz w:val="18"/>
                <w:szCs w:val="28"/>
              </w:rPr>
            </w:pPr>
            <w:r w:rsidRPr="00300C67">
              <w:rPr>
                <w:rFonts w:cs="Traditional Arabic"/>
                <w:sz w:val="18"/>
                <w:szCs w:val="28"/>
              </w:rPr>
              <w:t>CAT/C/TJK/CO/2</w:t>
            </w:r>
          </w:p>
        </w:tc>
      </w:tr>
      <w:tr w:rsidR="00EE5D7D" w:rsidRPr="00300C67" w:rsidTr="00300C67">
        <w:tc>
          <w:tcPr>
            <w:tcW w:w="1841" w:type="dxa"/>
            <w:shd w:val="clear" w:color="auto" w:fill="auto"/>
          </w:tcPr>
          <w:p w:rsidR="00EE5D7D" w:rsidRPr="00300C67" w:rsidRDefault="00EE5D7D" w:rsidP="00E470AE">
            <w:pPr>
              <w:spacing w:before="60" w:after="60" w:line="300" w:lineRule="exact"/>
              <w:ind w:left="57"/>
              <w:rPr>
                <w:rFonts w:cs="Traditional Arabic" w:hint="cs"/>
                <w:sz w:val="18"/>
                <w:szCs w:val="28"/>
                <w:rtl/>
              </w:rPr>
            </w:pPr>
            <w:r w:rsidRPr="00300C67">
              <w:rPr>
                <w:rFonts w:cs="Traditional Arabic" w:hint="cs"/>
                <w:sz w:val="18"/>
                <w:szCs w:val="28"/>
                <w:rtl/>
              </w:rPr>
              <w:t>غابون</w:t>
            </w:r>
          </w:p>
        </w:tc>
        <w:tc>
          <w:tcPr>
            <w:tcW w:w="2001" w:type="dxa"/>
            <w:shd w:val="clear" w:color="auto" w:fill="auto"/>
          </w:tcPr>
          <w:p w:rsidR="00EE5D7D" w:rsidRPr="00300C67" w:rsidRDefault="00EE5D7D" w:rsidP="00300C67">
            <w:pPr>
              <w:spacing w:before="60" w:after="60" w:line="300" w:lineRule="exact"/>
              <w:ind w:left="57" w:right="57"/>
              <w:jc w:val="left"/>
              <w:rPr>
                <w:rFonts w:cs="Traditional Arabic" w:hint="cs"/>
                <w:sz w:val="18"/>
                <w:szCs w:val="28"/>
                <w:rtl/>
              </w:rPr>
            </w:pPr>
            <w:r w:rsidRPr="00300C67">
              <w:rPr>
                <w:rFonts w:cs="Traditional Arabic" w:hint="cs"/>
                <w:sz w:val="18"/>
                <w:szCs w:val="28"/>
                <w:rtl/>
              </w:rPr>
              <w:t>التقرير الأولي</w:t>
            </w:r>
          </w:p>
        </w:tc>
        <w:tc>
          <w:tcPr>
            <w:tcW w:w="1680" w:type="dxa"/>
            <w:shd w:val="clear" w:color="auto" w:fill="auto"/>
          </w:tcPr>
          <w:p w:rsidR="00EE5D7D" w:rsidRPr="00300C67" w:rsidRDefault="00EE5D7D" w:rsidP="00E470AE">
            <w:pPr>
              <w:spacing w:before="60" w:after="60" w:line="300" w:lineRule="exact"/>
              <w:ind w:left="57" w:right="57"/>
              <w:jc w:val="right"/>
              <w:rPr>
                <w:rFonts w:cs="Traditional Arabic"/>
                <w:sz w:val="18"/>
                <w:szCs w:val="28"/>
              </w:rPr>
            </w:pPr>
            <w:r w:rsidRPr="00300C67">
              <w:rPr>
                <w:rFonts w:cs="Traditional Arabic"/>
                <w:sz w:val="18"/>
                <w:szCs w:val="28"/>
              </w:rPr>
              <w:t>CAT/C/GAB/1</w:t>
            </w:r>
          </w:p>
        </w:tc>
        <w:tc>
          <w:tcPr>
            <w:tcW w:w="1734" w:type="dxa"/>
            <w:shd w:val="clear" w:color="auto" w:fill="auto"/>
          </w:tcPr>
          <w:p w:rsidR="00EE5D7D" w:rsidRPr="00300C67" w:rsidRDefault="00EE5D7D" w:rsidP="00E470AE">
            <w:pPr>
              <w:spacing w:before="60" w:after="60" w:line="300" w:lineRule="exact"/>
              <w:ind w:left="57" w:right="57"/>
              <w:jc w:val="right"/>
              <w:rPr>
                <w:rFonts w:cs="Traditional Arabic"/>
                <w:sz w:val="18"/>
                <w:szCs w:val="28"/>
              </w:rPr>
            </w:pPr>
            <w:r w:rsidRPr="00300C67">
              <w:rPr>
                <w:rFonts w:cs="Traditional Arabic"/>
                <w:sz w:val="18"/>
                <w:szCs w:val="28"/>
              </w:rPr>
              <w:t>CAT/C/GAB/CO/1</w:t>
            </w:r>
          </w:p>
        </w:tc>
      </w:tr>
      <w:tr w:rsidR="00EE5D7D" w:rsidRPr="00300C67" w:rsidTr="00300C67">
        <w:tc>
          <w:tcPr>
            <w:tcW w:w="1841" w:type="dxa"/>
            <w:shd w:val="clear" w:color="auto" w:fill="auto"/>
          </w:tcPr>
          <w:p w:rsidR="00EE5D7D" w:rsidRPr="00300C67" w:rsidRDefault="00EE5D7D" w:rsidP="00E470AE">
            <w:pPr>
              <w:spacing w:before="60" w:after="60" w:line="300" w:lineRule="exact"/>
              <w:ind w:left="57"/>
              <w:rPr>
                <w:rFonts w:cs="Traditional Arabic" w:hint="cs"/>
                <w:sz w:val="18"/>
                <w:szCs w:val="28"/>
                <w:rtl/>
              </w:rPr>
            </w:pPr>
            <w:r w:rsidRPr="00300C67">
              <w:rPr>
                <w:rFonts w:cs="Traditional Arabic" w:hint="cs"/>
                <w:sz w:val="18"/>
                <w:szCs w:val="28"/>
                <w:rtl/>
              </w:rPr>
              <w:t>قطر</w:t>
            </w:r>
          </w:p>
        </w:tc>
        <w:tc>
          <w:tcPr>
            <w:tcW w:w="2001" w:type="dxa"/>
            <w:shd w:val="clear" w:color="auto" w:fill="auto"/>
          </w:tcPr>
          <w:p w:rsidR="00EE5D7D" w:rsidRPr="00300C67" w:rsidRDefault="00EE5D7D" w:rsidP="00300C67">
            <w:pPr>
              <w:spacing w:before="60" w:after="60" w:line="300" w:lineRule="exact"/>
              <w:ind w:left="57" w:right="57"/>
              <w:jc w:val="left"/>
              <w:rPr>
                <w:rFonts w:cs="Traditional Arabic" w:hint="cs"/>
                <w:sz w:val="18"/>
                <w:szCs w:val="28"/>
                <w:rtl/>
              </w:rPr>
            </w:pPr>
            <w:r w:rsidRPr="00300C67">
              <w:rPr>
                <w:rFonts w:cs="Traditional Arabic" w:hint="cs"/>
                <w:sz w:val="18"/>
                <w:szCs w:val="28"/>
                <w:rtl/>
              </w:rPr>
              <w:t>التقرير الدوري الثاني</w:t>
            </w:r>
          </w:p>
        </w:tc>
        <w:tc>
          <w:tcPr>
            <w:tcW w:w="1680" w:type="dxa"/>
            <w:shd w:val="clear" w:color="auto" w:fill="auto"/>
          </w:tcPr>
          <w:p w:rsidR="00EE5D7D" w:rsidRPr="00300C67" w:rsidRDefault="00EE5D7D" w:rsidP="00E470AE">
            <w:pPr>
              <w:spacing w:before="60" w:after="60" w:line="300" w:lineRule="exact"/>
              <w:ind w:left="57" w:right="57"/>
              <w:jc w:val="right"/>
              <w:rPr>
                <w:rFonts w:cs="Traditional Arabic"/>
                <w:sz w:val="18"/>
                <w:szCs w:val="28"/>
              </w:rPr>
            </w:pPr>
            <w:r w:rsidRPr="00300C67">
              <w:rPr>
                <w:rFonts w:cs="Traditional Arabic"/>
                <w:sz w:val="18"/>
                <w:szCs w:val="28"/>
              </w:rPr>
              <w:t>CAT/C/QAT/2</w:t>
            </w:r>
            <w:r w:rsidR="00BC369A" w:rsidRPr="00300C67">
              <w:rPr>
                <w:rFonts w:cs="Traditional Arabic"/>
                <w:sz w:val="18"/>
                <w:szCs w:val="28"/>
              </w:rPr>
              <w:t>/Rev.1</w:t>
            </w:r>
          </w:p>
        </w:tc>
        <w:tc>
          <w:tcPr>
            <w:tcW w:w="1734" w:type="dxa"/>
            <w:shd w:val="clear" w:color="auto" w:fill="auto"/>
          </w:tcPr>
          <w:p w:rsidR="00EE5D7D" w:rsidRPr="00300C67" w:rsidRDefault="00EE5D7D" w:rsidP="00E470AE">
            <w:pPr>
              <w:spacing w:before="60" w:after="60" w:line="300" w:lineRule="exact"/>
              <w:ind w:left="57" w:right="57"/>
              <w:jc w:val="right"/>
              <w:rPr>
                <w:rFonts w:cs="Traditional Arabic" w:hint="cs"/>
                <w:sz w:val="18"/>
                <w:szCs w:val="28"/>
              </w:rPr>
            </w:pPr>
            <w:r w:rsidRPr="00300C67">
              <w:rPr>
                <w:rFonts w:cs="Traditional Arabic"/>
                <w:sz w:val="18"/>
                <w:szCs w:val="28"/>
              </w:rPr>
              <w:t>CAT/C/QAT/CO/2</w:t>
            </w:r>
          </w:p>
        </w:tc>
      </w:tr>
      <w:tr w:rsidR="00EE5D7D" w:rsidRPr="00300C67" w:rsidTr="00300C67">
        <w:tc>
          <w:tcPr>
            <w:tcW w:w="1841" w:type="dxa"/>
            <w:shd w:val="clear" w:color="auto" w:fill="auto"/>
          </w:tcPr>
          <w:p w:rsidR="00EE5D7D" w:rsidRPr="00300C67" w:rsidRDefault="00EE5D7D" w:rsidP="00E470AE">
            <w:pPr>
              <w:spacing w:before="60" w:after="60" w:line="300" w:lineRule="exact"/>
              <w:ind w:left="57"/>
              <w:rPr>
                <w:rFonts w:cs="Traditional Arabic" w:hint="cs"/>
                <w:sz w:val="18"/>
                <w:szCs w:val="28"/>
                <w:rtl/>
              </w:rPr>
            </w:pPr>
            <w:r w:rsidRPr="00300C67">
              <w:rPr>
                <w:rFonts w:cs="Traditional Arabic" w:hint="cs"/>
                <w:sz w:val="18"/>
                <w:szCs w:val="28"/>
                <w:rtl/>
              </w:rPr>
              <w:t>المكسيك</w:t>
            </w:r>
          </w:p>
        </w:tc>
        <w:tc>
          <w:tcPr>
            <w:tcW w:w="2001" w:type="dxa"/>
            <w:shd w:val="clear" w:color="auto" w:fill="auto"/>
          </w:tcPr>
          <w:p w:rsidR="00EE5D7D" w:rsidRPr="00300C67" w:rsidRDefault="00EE5D7D" w:rsidP="00300C67">
            <w:pPr>
              <w:spacing w:before="60" w:after="60" w:line="300" w:lineRule="exact"/>
              <w:ind w:left="57" w:right="57"/>
              <w:jc w:val="left"/>
              <w:rPr>
                <w:rFonts w:cs="Traditional Arabic" w:hint="cs"/>
                <w:sz w:val="18"/>
                <w:szCs w:val="28"/>
                <w:rtl/>
              </w:rPr>
            </w:pPr>
            <w:r w:rsidRPr="00300C67">
              <w:rPr>
                <w:rFonts w:cs="Traditional Arabic" w:hint="cs"/>
                <w:sz w:val="18"/>
                <w:szCs w:val="28"/>
                <w:rtl/>
              </w:rPr>
              <w:t>التقرر الجامع للتقريرين الدوريين الخامس والسادس</w:t>
            </w:r>
          </w:p>
        </w:tc>
        <w:tc>
          <w:tcPr>
            <w:tcW w:w="1680" w:type="dxa"/>
            <w:shd w:val="clear" w:color="auto" w:fill="auto"/>
          </w:tcPr>
          <w:p w:rsidR="00EE5D7D" w:rsidRPr="00300C67" w:rsidRDefault="00EE5D7D" w:rsidP="00E470AE">
            <w:pPr>
              <w:spacing w:before="60" w:after="60" w:line="300" w:lineRule="exact"/>
              <w:ind w:left="57" w:right="57"/>
              <w:jc w:val="right"/>
              <w:rPr>
                <w:rFonts w:cs="Traditional Arabic" w:hint="cs"/>
                <w:sz w:val="18"/>
                <w:szCs w:val="28"/>
                <w:rtl/>
              </w:rPr>
            </w:pPr>
            <w:r w:rsidRPr="00300C67">
              <w:rPr>
                <w:rFonts w:cs="Traditional Arabic"/>
                <w:sz w:val="18"/>
                <w:szCs w:val="28"/>
              </w:rPr>
              <w:t>CAT/C/MEX/5-6</w:t>
            </w:r>
          </w:p>
        </w:tc>
        <w:tc>
          <w:tcPr>
            <w:tcW w:w="1734" w:type="dxa"/>
            <w:shd w:val="clear" w:color="auto" w:fill="auto"/>
          </w:tcPr>
          <w:p w:rsidR="00EE5D7D" w:rsidRPr="00300C67" w:rsidRDefault="00EE5D7D" w:rsidP="00E470AE">
            <w:pPr>
              <w:spacing w:before="60" w:after="60" w:line="300" w:lineRule="exact"/>
              <w:ind w:left="57" w:right="57"/>
              <w:jc w:val="right"/>
              <w:rPr>
                <w:rFonts w:cs="Traditional Arabic"/>
                <w:sz w:val="18"/>
                <w:szCs w:val="28"/>
              </w:rPr>
            </w:pPr>
            <w:r w:rsidRPr="00300C67">
              <w:rPr>
                <w:rFonts w:cs="Traditional Arabic"/>
                <w:sz w:val="18"/>
                <w:szCs w:val="28"/>
              </w:rPr>
              <w:t>CAT/C/MEX/CO/5-6</w:t>
            </w:r>
          </w:p>
        </w:tc>
      </w:tr>
      <w:tr w:rsidR="00EE5D7D" w:rsidRPr="00300C67" w:rsidTr="00300C67">
        <w:tc>
          <w:tcPr>
            <w:tcW w:w="1841" w:type="dxa"/>
            <w:tcBorders>
              <w:bottom w:val="single" w:sz="12" w:space="0" w:color="auto"/>
            </w:tcBorders>
            <w:shd w:val="clear" w:color="auto" w:fill="auto"/>
          </w:tcPr>
          <w:p w:rsidR="00EE5D7D" w:rsidRPr="00300C67" w:rsidRDefault="00EE5D7D" w:rsidP="00E470AE">
            <w:pPr>
              <w:spacing w:before="60" w:after="60" w:line="300" w:lineRule="exact"/>
              <w:ind w:left="57"/>
              <w:rPr>
                <w:rFonts w:cs="Traditional Arabic" w:hint="cs"/>
                <w:sz w:val="18"/>
                <w:szCs w:val="28"/>
                <w:rtl/>
              </w:rPr>
            </w:pPr>
            <w:r w:rsidRPr="00300C67">
              <w:rPr>
                <w:rFonts w:cs="Traditional Arabic" w:hint="cs"/>
                <w:sz w:val="18"/>
                <w:szCs w:val="28"/>
                <w:rtl/>
              </w:rPr>
              <w:t>النرويج</w:t>
            </w:r>
          </w:p>
        </w:tc>
        <w:tc>
          <w:tcPr>
            <w:tcW w:w="2001" w:type="dxa"/>
            <w:tcBorders>
              <w:bottom w:val="single" w:sz="12" w:space="0" w:color="auto"/>
            </w:tcBorders>
            <w:shd w:val="clear" w:color="auto" w:fill="auto"/>
          </w:tcPr>
          <w:p w:rsidR="00EE5D7D" w:rsidRPr="00300C67" w:rsidRDefault="00EE5D7D" w:rsidP="00300C67">
            <w:pPr>
              <w:spacing w:before="60" w:after="60" w:line="300" w:lineRule="exact"/>
              <w:ind w:left="57" w:right="57"/>
              <w:jc w:val="left"/>
              <w:rPr>
                <w:rFonts w:cs="Traditional Arabic" w:hint="cs"/>
                <w:sz w:val="18"/>
                <w:szCs w:val="28"/>
                <w:rtl/>
              </w:rPr>
            </w:pPr>
            <w:r w:rsidRPr="00300C67">
              <w:rPr>
                <w:rFonts w:cs="Traditional Arabic" w:hint="cs"/>
                <w:sz w:val="18"/>
                <w:szCs w:val="28"/>
                <w:rtl/>
              </w:rPr>
              <w:t>التقرر الجامع للتقريرين الدوريين السادس والسابع</w:t>
            </w:r>
          </w:p>
        </w:tc>
        <w:tc>
          <w:tcPr>
            <w:tcW w:w="1680" w:type="dxa"/>
            <w:tcBorders>
              <w:bottom w:val="single" w:sz="12" w:space="0" w:color="auto"/>
            </w:tcBorders>
            <w:shd w:val="clear" w:color="auto" w:fill="auto"/>
          </w:tcPr>
          <w:p w:rsidR="00EE5D7D" w:rsidRPr="00300C67" w:rsidRDefault="00EE5D7D" w:rsidP="00E470AE">
            <w:pPr>
              <w:spacing w:before="60" w:after="60" w:line="300" w:lineRule="exact"/>
              <w:ind w:left="57" w:right="57"/>
              <w:jc w:val="right"/>
              <w:rPr>
                <w:rFonts w:cs="Traditional Arabic"/>
                <w:sz w:val="18"/>
                <w:szCs w:val="28"/>
              </w:rPr>
            </w:pPr>
            <w:r w:rsidRPr="00300C67">
              <w:rPr>
                <w:rFonts w:cs="Traditional Arabic"/>
                <w:sz w:val="18"/>
                <w:szCs w:val="28"/>
              </w:rPr>
              <w:t>CAT/C/NOR/6-7</w:t>
            </w:r>
          </w:p>
        </w:tc>
        <w:tc>
          <w:tcPr>
            <w:tcW w:w="1734" w:type="dxa"/>
            <w:tcBorders>
              <w:bottom w:val="single" w:sz="12" w:space="0" w:color="auto"/>
            </w:tcBorders>
            <w:shd w:val="clear" w:color="auto" w:fill="auto"/>
          </w:tcPr>
          <w:p w:rsidR="00EE5D7D" w:rsidRPr="00300C67" w:rsidRDefault="00EE5D7D" w:rsidP="00E470AE">
            <w:pPr>
              <w:spacing w:before="60" w:after="60" w:line="300" w:lineRule="exact"/>
              <w:ind w:left="57" w:right="57"/>
              <w:jc w:val="right"/>
              <w:rPr>
                <w:rFonts w:cs="Traditional Arabic"/>
                <w:sz w:val="18"/>
                <w:szCs w:val="28"/>
              </w:rPr>
            </w:pPr>
            <w:r w:rsidRPr="00300C67">
              <w:rPr>
                <w:rFonts w:cs="Traditional Arabic"/>
                <w:sz w:val="18"/>
                <w:szCs w:val="28"/>
              </w:rPr>
              <w:t>CAT/C/NOR/CO/6-7</w:t>
            </w:r>
          </w:p>
        </w:tc>
      </w:tr>
    </w:tbl>
    <w:p w:rsidR="00EE5D7D" w:rsidRPr="00426FC6" w:rsidRDefault="00BC369A" w:rsidP="00300C67">
      <w:pPr>
        <w:pStyle w:val="SingleTxtGA"/>
        <w:spacing w:before="240"/>
        <w:rPr>
          <w:rFonts w:hint="cs"/>
          <w:rtl/>
        </w:rPr>
      </w:pPr>
      <w:r>
        <w:rPr>
          <w:rFonts w:hint="cs"/>
          <w:rtl/>
        </w:rPr>
        <w:t>53</w:t>
      </w:r>
      <w:r w:rsidR="00EE5D7D" w:rsidRPr="00781CE0">
        <w:rPr>
          <w:rFonts w:hint="cs"/>
          <w:rtl/>
        </w:rPr>
        <w:t>-</w:t>
      </w:r>
      <w:r w:rsidR="00EE5D7D" w:rsidRPr="00426FC6">
        <w:rPr>
          <w:rtl/>
        </w:rPr>
        <w:tab/>
      </w:r>
      <w:r w:rsidR="00EE5D7D" w:rsidRPr="00426FC6">
        <w:rPr>
          <w:rFonts w:hint="cs"/>
          <w:rtl/>
        </w:rPr>
        <w:t>وعُرضت على اللجنة في دورتها الخمسين التقارير التالية التي واعتمدت اللجنة الملاحظات الختامية التالية</w:t>
      </w:r>
      <w:r w:rsidR="00EE5D7D" w:rsidRPr="00426FC6">
        <w:rPr>
          <w:rFonts w:hint="eastAsia"/>
          <w:rtl/>
        </w:rPr>
        <w:t> </w:t>
      </w:r>
      <w:r w:rsidR="00EE5D7D" w:rsidRPr="00426FC6">
        <w:rPr>
          <w:rFonts w:hint="cs"/>
          <w:rtl/>
        </w:rPr>
        <w:t>بشأنها:</w:t>
      </w:r>
    </w:p>
    <w:tbl>
      <w:tblPr>
        <w:tblStyle w:val="TableGrid"/>
        <w:bidiVisual/>
        <w:tblW w:w="7256"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827"/>
        <w:gridCol w:w="2029"/>
        <w:gridCol w:w="1666"/>
        <w:gridCol w:w="1734"/>
      </w:tblGrid>
      <w:tr w:rsidR="00EE5D7D" w:rsidRPr="00426FC6" w:rsidTr="00300C67">
        <w:trPr>
          <w:tblHeader/>
        </w:trPr>
        <w:tc>
          <w:tcPr>
            <w:tcW w:w="1827" w:type="dxa"/>
            <w:tcBorders>
              <w:top w:val="single" w:sz="4" w:space="0" w:color="auto"/>
              <w:bottom w:val="single" w:sz="12" w:space="0" w:color="auto"/>
            </w:tcBorders>
            <w:shd w:val="clear" w:color="auto" w:fill="auto"/>
          </w:tcPr>
          <w:p w:rsidR="00EE5D7D" w:rsidRPr="00426FC6" w:rsidRDefault="00EE5D7D" w:rsidP="00300C67">
            <w:pPr>
              <w:spacing w:before="60" w:after="60" w:line="300" w:lineRule="exact"/>
              <w:ind w:left="57" w:right="170"/>
              <w:rPr>
                <w:rFonts w:cs="Traditional Arabic" w:hint="cs"/>
                <w:i/>
                <w:iCs/>
                <w:sz w:val="18"/>
                <w:szCs w:val="28"/>
                <w:rtl/>
              </w:rPr>
            </w:pPr>
            <w:r w:rsidRPr="00426FC6">
              <w:rPr>
                <w:rFonts w:cs="Traditional Arabic" w:hint="cs"/>
                <w:i/>
                <w:iCs/>
                <w:sz w:val="18"/>
                <w:szCs w:val="28"/>
                <w:rtl/>
              </w:rPr>
              <w:t>الدولة الطرف</w:t>
            </w:r>
          </w:p>
        </w:tc>
        <w:tc>
          <w:tcPr>
            <w:tcW w:w="2029" w:type="dxa"/>
            <w:tcBorders>
              <w:top w:val="single" w:sz="4" w:space="0" w:color="auto"/>
              <w:bottom w:val="single" w:sz="12" w:space="0" w:color="auto"/>
            </w:tcBorders>
            <w:shd w:val="clear" w:color="auto" w:fill="auto"/>
          </w:tcPr>
          <w:p w:rsidR="00EE5D7D" w:rsidRPr="00426FC6" w:rsidRDefault="00EE5D7D" w:rsidP="00300C67">
            <w:pPr>
              <w:spacing w:before="60" w:after="60" w:line="300" w:lineRule="exact"/>
              <w:ind w:left="57" w:right="57"/>
              <w:rPr>
                <w:rFonts w:cs="Traditional Arabic" w:hint="cs"/>
                <w:i/>
                <w:iCs/>
                <w:sz w:val="18"/>
                <w:szCs w:val="28"/>
                <w:rtl/>
              </w:rPr>
            </w:pPr>
            <w:r w:rsidRPr="00426FC6">
              <w:rPr>
                <w:rFonts w:cs="Traditional Arabic" w:hint="cs"/>
                <w:i/>
                <w:iCs/>
                <w:sz w:val="18"/>
                <w:szCs w:val="28"/>
                <w:rtl/>
              </w:rPr>
              <w:t>التقرير</w:t>
            </w:r>
          </w:p>
        </w:tc>
        <w:tc>
          <w:tcPr>
            <w:tcW w:w="1666" w:type="dxa"/>
            <w:tcBorders>
              <w:top w:val="single" w:sz="4" w:space="0" w:color="auto"/>
              <w:bottom w:val="single" w:sz="12" w:space="0" w:color="auto"/>
            </w:tcBorders>
            <w:shd w:val="clear" w:color="auto" w:fill="auto"/>
          </w:tcPr>
          <w:p w:rsidR="00EE5D7D" w:rsidRPr="00426FC6" w:rsidRDefault="00EE5D7D" w:rsidP="00300C67">
            <w:pPr>
              <w:spacing w:before="60" w:after="60" w:line="300" w:lineRule="exact"/>
              <w:ind w:left="57" w:right="170"/>
              <w:rPr>
                <w:rFonts w:cs="Traditional Arabic"/>
                <w:i/>
                <w:iCs/>
                <w:sz w:val="18"/>
                <w:szCs w:val="28"/>
              </w:rPr>
            </w:pPr>
          </w:p>
        </w:tc>
        <w:tc>
          <w:tcPr>
            <w:tcW w:w="1734" w:type="dxa"/>
            <w:tcBorders>
              <w:top w:val="single" w:sz="4" w:space="0" w:color="auto"/>
              <w:bottom w:val="single" w:sz="12" w:space="0" w:color="auto"/>
            </w:tcBorders>
            <w:shd w:val="clear" w:color="auto" w:fill="auto"/>
          </w:tcPr>
          <w:p w:rsidR="00EE5D7D" w:rsidRPr="00426FC6" w:rsidRDefault="00EE5D7D" w:rsidP="00300C67">
            <w:pPr>
              <w:spacing w:before="60" w:after="60" w:line="300" w:lineRule="exact"/>
              <w:ind w:left="57" w:right="170"/>
              <w:rPr>
                <w:rFonts w:cs="Traditional Arabic"/>
                <w:i/>
                <w:iCs/>
                <w:sz w:val="18"/>
                <w:szCs w:val="28"/>
              </w:rPr>
            </w:pPr>
            <w:r w:rsidRPr="00426FC6">
              <w:rPr>
                <w:rFonts w:cs="Traditional Arabic" w:hint="cs"/>
                <w:i/>
                <w:iCs/>
                <w:sz w:val="18"/>
                <w:szCs w:val="28"/>
                <w:rtl/>
              </w:rPr>
              <w:t>الملاحظات الختامية</w:t>
            </w:r>
          </w:p>
        </w:tc>
      </w:tr>
      <w:tr w:rsidR="00EE5D7D" w:rsidRPr="00426FC6" w:rsidTr="00300C67">
        <w:tc>
          <w:tcPr>
            <w:tcW w:w="1827" w:type="dxa"/>
            <w:tcBorders>
              <w:top w:val="single" w:sz="12" w:space="0" w:color="auto"/>
            </w:tcBorders>
            <w:shd w:val="clear" w:color="auto" w:fill="auto"/>
          </w:tcPr>
          <w:p w:rsidR="00EE5D7D" w:rsidRPr="00426FC6" w:rsidRDefault="00EE5D7D" w:rsidP="00300C67">
            <w:pPr>
              <w:spacing w:before="40" w:after="40" w:line="300" w:lineRule="exact"/>
              <w:ind w:left="57" w:right="170"/>
              <w:rPr>
                <w:rFonts w:cs="Traditional Arabic" w:hint="cs"/>
                <w:sz w:val="18"/>
                <w:szCs w:val="28"/>
                <w:rtl/>
              </w:rPr>
            </w:pPr>
            <w:r w:rsidRPr="00426FC6">
              <w:rPr>
                <w:rFonts w:cs="Traditional Arabic" w:hint="cs"/>
                <w:sz w:val="18"/>
                <w:szCs w:val="28"/>
                <w:rtl/>
              </w:rPr>
              <w:t>إستونيا</w:t>
            </w:r>
          </w:p>
        </w:tc>
        <w:tc>
          <w:tcPr>
            <w:tcW w:w="2029" w:type="dxa"/>
            <w:tcBorders>
              <w:top w:val="single" w:sz="12" w:space="0" w:color="auto"/>
            </w:tcBorders>
            <w:shd w:val="clear" w:color="auto" w:fill="auto"/>
          </w:tcPr>
          <w:p w:rsidR="00EE5D7D" w:rsidRPr="00426FC6" w:rsidRDefault="00EE5D7D" w:rsidP="00300C67">
            <w:pPr>
              <w:spacing w:before="40" w:after="40" w:line="300" w:lineRule="exact"/>
              <w:ind w:left="57" w:right="57"/>
              <w:jc w:val="left"/>
              <w:rPr>
                <w:rFonts w:cs="Traditional Arabic"/>
                <w:sz w:val="18"/>
                <w:szCs w:val="28"/>
              </w:rPr>
            </w:pPr>
            <w:r w:rsidRPr="00426FC6">
              <w:rPr>
                <w:rFonts w:cs="Traditional Arabic" w:hint="cs"/>
                <w:sz w:val="18"/>
                <w:szCs w:val="28"/>
                <w:rtl/>
              </w:rPr>
              <w:t>التقرير الدوري الخامس</w:t>
            </w:r>
          </w:p>
        </w:tc>
        <w:tc>
          <w:tcPr>
            <w:tcW w:w="1666" w:type="dxa"/>
            <w:tcBorders>
              <w:top w:val="single" w:sz="12" w:space="0" w:color="auto"/>
            </w:tcBorders>
            <w:shd w:val="clear" w:color="auto" w:fill="auto"/>
          </w:tcPr>
          <w:p w:rsidR="00EE5D7D" w:rsidRPr="00426FC6" w:rsidRDefault="00EE5D7D" w:rsidP="00300C67">
            <w:pPr>
              <w:spacing w:before="40" w:after="40" w:line="300" w:lineRule="exact"/>
              <w:ind w:left="57" w:right="170"/>
              <w:jc w:val="right"/>
              <w:rPr>
                <w:rFonts w:cs="Traditional Arabic"/>
                <w:sz w:val="18"/>
                <w:szCs w:val="28"/>
              </w:rPr>
            </w:pPr>
            <w:r w:rsidRPr="00426FC6">
              <w:rPr>
                <w:rFonts w:cs="Traditional Arabic"/>
                <w:sz w:val="18"/>
                <w:szCs w:val="28"/>
              </w:rPr>
              <w:t>CAT/C/EST/5</w:t>
            </w:r>
          </w:p>
        </w:tc>
        <w:tc>
          <w:tcPr>
            <w:tcW w:w="1734" w:type="dxa"/>
            <w:tcBorders>
              <w:top w:val="single" w:sz="12" w:space="0" w:color="auto"/>
            </w:tcBorders>
            <w:shd w:val="clear" w:color="auto" w:fill="auto"/>
          </w:tcPr>
          <w:p w:rsidR="00EE5D7D" w:rsidRPr="00426FC6" w:rsidRDefault="00EE5D7D" w:rsidP="00300C67">
            <w:pPr>
              <w:spacing w:before="40" w:after="40" w:line="300" w:lineRule="exact"/>
              <w:ind w:right="57"/>
              <w:jc w:val="right"/>
              <w:rPr>
                <w:rFonts w:cs="Traditional Arabic"/>
                <w:sz w:val="18"/>
                <w:szCs w:val="28"/>
              </w:rPr>
            </w:pPr>
            <w:r w:rsidRPr="00426FC6">
              <w:rPr>
                <w:rFonts w:cs="Traditional Arabic"/>
                <w:sz w:val="18"/>
                <w:szCs w:val="28"/>
              </w:rPr>
              <w:t>CAT/C/EST/CO/5</w:t>
            </w:r>
          </w:p>
        </w:tc>
      </w:tr>
      <w:tr w:rsidR="00EE5D7D" w:rsidRPr="00426FC6" w:rsidTr="00300C67">
        <w:tc>
          <w:tcPr>
            <w:tcW w:w="1827" w:type="dxa"/>
            <w:shd w:val="clear" w:color="auto" w:fill="auto"/>
          </w:tcPr>
          <w:p w:rsidR="00EE5D7D" w:rsidRPr="00426FC6" w:rsidRDefault="00BC369A" w:rsidP="00300C67">
            <w:pPr>
              <w:spacing w:before="40" w:after="40" w:line="300" w:lineRule="exact"/>
              <w:ind w:left="57" w:right="170"/>
              <w:rPr>
                <w:rFonts w:cs="Traditional Arabic" w:hint="cs"/>
                <w:sz w:val="18"/>
                <w:szCs w:val="28"/>
                <w:rtl/>
              </w:rPr>
            </w:pPr>
            <w:r>
              <w:rPr>
                <w:rFonts w:cs="Traditional Arabic" w:hint="cs"/>
                <w:sz w:val="18"/>
                <w:szCs w:val="28"/>
                <w:rtl/>
              </w:rPr>
              <w:t xml:space="preserve">دولة </w:t>
            </w:r>
            <w:r w:rsidR="00EE5D7D" w:rsidRPr="00426FC6">
              <w:rPr>
                <w:rFonts w:cs="Traditional Arabic" w:hint="cs"/>
                <w:sz w:val="18"/>
                <w:szCs w:val="28"/>
                <w:rtl/>
              </w:rPr>
              <w:t>بوليفيا</w:t>
            </w:r>
            <w:r>
              <w:rPr>
                <w:rFonts w:cs="Traditional Arabic" w:hint="cs"/>
                <w:sz w:val="18"/>
                <w:szCs w:val="28"/>
                <w:rtl/>
              </w:rPr>
              <w:t xml:space="preserve"> المتعددة القوميات</w:t>
            </w:r>
          </w:p>
        </w:tc>
        <w:tc>
          <w:tcPr>
            <w:tcW w:w="2029" w:type="dxa"/>
            <w:shd w:val="clear" w:color="auto" w:fill="auto"/>
          </w:tcPr>
          <w:p w:rsidR="00EE5D7D" w:rsidRPr="00426FC6" w:rsidRDefault="00EE5D7D" w:rsidP="00300C67">
            <w:pPr>
              <w:spacing w:before="40" w:after="40" w:line="300" w:lineRule="exact"/>
              <w:ind w:left="57" w:right="57"/>
              <w:jc w:val="left"/>
              <w:rPr>
                <w:rFonts w:cs="Traditional Arabic" w:hint="cs"/>
                <w:sz w:val="18"/>
                <w:szCs w:val="28"/>
                <w:rtl/>
              </w:rPr>
            </w:pPr>
            <w:r w:rsidRPr="00426FC6">
              <w:rPr>
                <w:rFonts w:cs="Traditional Arabic" w:hint="cs"/>
                <w:sz w:val="18"/>
                <w:szCs w:val="28"/>
                <w:rtl/>
              </w:rPr>
              <w:t>التقرير الدوري الثاني</w:t>
            </w:r>
          </w:p>
        </w:tc>
        <w:tc>
          <w:tcPr>
            <w:tcW w:w="1666" w:type="dxa"/>
            <w:shd w:val="clear" w:color="auto" w:fill="auto"/>
          </w:tcPr>
          <w:p w:rsidR="00EE5D7D" w:rsidRPr="00426FC6" w:rsidRDefault="00EE5D7D" w:rsidP="00300C67">
            <w:pPr>
              <w:spacing w:before="40" w:after="40" w:line="300" w:lineRule="exact"/>
              <w:ind w:left="57" w:right="170"/>
              <w:jc w:val="right"/>
              <w:rPr>
                <w:rFonts w:cs="Traditional Arabic"/>
                <w:sz w:val="18"/>
                <w:szCs w:val="28"/>
              </w:rPr>
            </w:pPr>
            <w:r w:rsidRPr="00426FC6">
              <w:rPr>
                <w:rFonts w:cs="Traditional Arabic"/>
                <w:sz w:val="18"/>
                <w:szCs w:val="28"/>
              </w:rPr>
              <w:t>CAT/C/BOL/2</w:t>
            </w:r>
          </w:p>
        </w:tc>
        <w:tc>
          <w:tcPr>
            <w:tcW w:w="1734" w:type="dxa"/>
            <w:shd w:val="clear" w:color="auto" w:fill="auto"/>
          </w:tcPr>
          <w:p w:rsidR="00EE5D7D" w:rsidRPr="00426FC6" w:rsidRDefault="00EE5D7D" w:rsidP="00300C67">
            <w:pPr>
              <w:spacing w:before="40" w:after="40" w:line="300" w:lineRule="exact"/>
              <w:ind w:right="57"/>
              <w:jc w:val="right"/>
              <w:rPr>
                <w:rFonts w:cs="Traditional Arabic"/>
                <w:sz w:val="18"/>
                <w:szCs w:val="28"/>
              </w:rPr>
            </w:pPr>
            <w:r w:rsidRPr="00426FC6">
              <w:rPr>
                <w:rFonts w:cs="Traditional Arabic"/>
                <w:sz w:val="18"/>
                <w:szCs w:val="28"/>
              </w:rPr>
              <w:t>CAT/C/BOL/CO/2</w:t>
            </w:r>
          </w:p>
        </w:tc>
      </w:tr>
      <w:tr w:rsidR="00EE5D7D" w:rsidRPr="00426FC6" w:rsidTr="00300C67">
        <w:tc>
          <w:tcPr>
            <w:tcW w:w="1827" w:type="dxa"/>
            <w:shd w:val="clear" w:color="auto" w:fill="auto"/>
          </w:tcPr>
          <w:p w:rsidR="00EE5D7D" w:rsidRPr="00426FC6" w:rsidRDefault="00EE5D7D" w:rsidP="00300C67">
            <w:pPr>
              <w:spacing w:before="40" w:after="40" w:line="300" w:lineRule="exact"/>
              <w:ind w:left="57" w:right="170"/>
              <w:rPr>
                <w:rFonts w:cs="Traditional Arabic" w:hint="cs"/>
                <w:sz w:val="18"/>
                <w:szCs w:val="28"/>
                <w:rtl/>
              </w:rPr>
            </w:pPr>
            <w:r w:rsidRPr="00426FC6">
              <w:rPr>
                <w:rFonts w:cs="Traditional Arabic" w:hint="cs"/>
                <w:sz w:val="18"/>
                <w:szCs w:val="28"/>
                <w:rtl/>
              </w:rPr>
              <w:t>غواتيمالا</w:t>
            </w:r>
          </w:p>
        </w:tc>
        <w:tc>
          <w:tcPr>
            <w:tcW w:w="2029" w:type="dxa"/>
            <w:shd w:val="clear" w:color="auto" w:fill="auto"/>
          </w:tcPr>
          <w:p w:rsidR="00EE5D7D" w:rsidRPr="00426FC6" w:rsidRDefault="00EE5D7D" w:rsidP="00300C67">
            <w:pPr>
              <w:spacing w:before="40" w:after="40" w:line="300" w:lineRule="exact"/>
              <w:ind w:left="57" w:right="57"/>
              <w:jc w:val="left"/>
              <w:rPr>
                <w:rFonts w:cs="Traditional Arabic" w:hint="cs"/>
                <w:spacing w:val="-4"/>
                <w:sz w:val="18"/>
                <w:szCs w:val="28"/>
                <w:rtl/>
              </w:rPr>
            </w:pPr>
            <w:r w:rsidRPr="00426FC6">
              <w:rPr>
                <w:rFonts w:cs="Traditional Arabic" w:hint="cs"/>
                <w:spacing w:val="-4"/>
                <w:sz w:val="18"/>
                <w:szCs w:val="28"/>
                <w:rtl/>
              </w:rPr>
              <w:t xml:space="preserve">التقرير </w:t>
            </w:r>
            <w:r w:rsidR="00C72EB7">
              <w:rPr>
                <w:rFonts w:cs="Traditional Arabic" w:hint="cs"/>
                <w:spacing w:val="-4"/>
                <w:sz w:val="18"/>
                <w:szCs w:val="28"/>
                <w:rtl/>
              </w:rPr>
              <w:t>الجامع للتقريرين الدوريين الخامس و</w:t>
            </w:r>
            <w:r w:rsidRPr="00426FC6">
              <w:rPr>
                <w:rFonts w:cs="Traditional Arabic" w:hint="cs"/>
                <w:spacing w:val="-4"/>
                <w:sz w:val="18"/>
                <w:szCs w:val="28"/>
                <w:rtl/>
              </w:rPr>
              <w:t>السادس</w:t>
            </w:r>
          </w:p>
        </w:tc>
        <w:tc>
          <w:tcPr>
            <w:tcW w:w="1666" w:type="dxa"/>
            <w:shd w:val="clear" w:color="auto" w:fill="auto"/>
          </w:tcPr>
          <w:p w:rsidR="00EE5D7D" w:rsidRPr="00426FC6" w:rsidRDefault="00EE5D7D" w:rsidP="00300C67">
            <w:pPr>
              <w:spacing w:before="40" w:after="40" w:line="300" w:lineRule="exact"/>
              <w:ind w:left="57" w:right="170"/>
              <w:jc w:val="right"/>
              <w:rPr>
                <w:rFonts w:cs="Traditional Arabic"/>
                <w:sz w:val="18"/>
                <w:szCs w:val="28"/>
              </w:rPr>
            </w:pPr>
            <w:r w:rsidRPr="00426FC6">
              <w:rPr>
                <w:rFonts w:cs="Traditional Arabic"/>
                <w:sz w:val="18"/>
                <w:szCs w:val="28"/>
              </w:rPr>
              <w:t>CAT/C/GTM/</w:t>
            </w:r>
            <w:r w:rsidR="00C72EB7">
              <w:rPr>
                <w:rFonts w:cs="Traditional Arabic"/>
                <w:sz w:val="18"/>
                <w:szCs w:val="28"/>
              </w:rPr>
              <w:t>5-</w:t>
            </w:r>
            <w:r w:rsidRPr="00426FC6">
              <w:rPr>
                <w:rFonts w:cs="Traditional Arabic"/>
                <w:sz w:val="18"/>
                <w:szCs w:val="28"/>
              </w:rPr>
              <w:t>6</w:t>
            </w:r>
          </w:p>
        </w:tc>
        <w:tc>
          <w:tcPr>
            <w:tcW w:w="1734" w:type="dxa"/>
            <w:shd w:val="clear" w:color="auto" w:fill="auto"/>
          </w:tcPr>
          <w:p w:rsidR="00EE5D7D" w:rsidRPr="00426FC6" w:rsidRDefault="00EE5D7D" w:rsidP="00300C67">
            <w:pPr>
              <w:spacing w:before="40" w:after="40" w:line="300" w:lineRule="exact"/>
              <w:ind w:right="57"/>
              <w:jc w:val="right"/>
              <w:rPr>
                <w:rFonts w:cs="Traditional Arabic"/>
                <w:sz w:val="18"/>
                <w:szCs w:val="28"/>
              </w:rPr>
            </w:pPr>
            <w:r w:rsidRPr="00426FC6">
              <w:rPr>
                <w:rFonts w:cs="Traditional Arabic"/>
                <w:sz w:val="18"/>
                <w:szCs w:val="28"/>
              </w:rPr>
              <w:t>CAT/C/GTM/CO/</w:t>
            </w:r>
            <w:r w:rsidR="00C72EB7">
              <w:rPr>
                <w:rFonts w:cs="Traditional Arabic"/>
                <w:sz w:val="18"/>
                <w:szCs w:val="28"/>
              </w:rPr>
              <w:t>5-6</w:t>
            </w:r>
          </w:p>
        </w:tc>
      </w:tr>
      <w:tr w:rsidR="00EE5D7D" w:rsidRPr="00426FC6" w:rsidTr="00300C67">
        <w:tc>
          <w:tcPr>
            <w:tcW w:w="1827" w:type="dxa"/>
            <w:shd w:val="clear" w:color="auto" w:fill="auto"/>
          </w:tcPr>
          <w:p w:rsidR="00EE5D7D" w:rsidRPr="00426FC6" w:rsidRDefault="00EE5D7D" w:rsidP="00300C67">
            <w:pPr>
              <w:spacing w:before="40" w:after="40" w:line="280" w:lineRule="exact"/>
              <w:ind w:left="57" w:right="170"/>
              <w:jc w:val="left"/>
              <w:rPr>
                <w:rFonts w:cs="Traditional Arabic" w:hint="cs"/>
                <w:sz w:val="18"/>
                <w:szCs w:val="28"/>
                <w:rtl/>
              </w:rPr>
            </w:pPr>
            <w:r w:rsidRPr="00426FC6">
              <w:rPr>
                <w:rFonts w:cs="Traditional Arabic" w:hint="cs"/>
                <w:sz w:val="18"/>
                <w:szCs w:val="28"/>
                <w:rtl/>
              </w:rPr>
              <w:t>كينيا</w:t>
            </w:r>
          </w:p>
        </w:tc>
        <w:tc>
          <w:tcPr>
            <w:tcW w:w="2029" w:type="dxa"/>
            <w:shd w:val="clear" w:color="auto" w:fill="auto"/>
          </w:tcPr>
          <w:p w:rsidR="00EE5D7D" w:rsidRPr="00426FC6" w:rsidRDefault="00EE5D7D" w:rsidP="00300C67">
            <w:pPr>
              <w:spacing w:before="40" w:after="40" w:line="280" w:lineRule="exact"/>
              <w:ind w:left="57" w:right="57"/>
              <w:jc w:val="left"/>
              <w:rPr>
                <w:rFonts w:cs="Traditional Arabic" w:hint="cs"/>
                <w:spacing w:val="-4"/>
                <w:sz w:val="18"/>
                <w:szCs w:val="28"/>
                <w:rtl/>
              </w:rPr>
            </w:pPr>
            <w:r w:rsidRPr="00426FC6">
              <w:rPr>
                <w:rFonts w:cs="Traditional Arabic" w:hint="cs"/>
                <w:sz w:val="18"/>
                <w:szCs w:val="28"/>
                <w:rtl/>
              </w:rPr>
              <w:t>التقرير الدوري الثاني</w:t>
            </w:r>
          </w:p>
        </w:tc>
        <w:tc>
          <w:tcPr>
            <w:tcW w:w="1666" w:type="dxa"/>
            <w:shd w:val="clear" w:color="auto" w:fill="auto"/>
          </w:tcPr>
          <w:p w:rsidR="00EE5D7D" w:rsidRPr="00426FC6" w:rsidRDefault="00EE5D7D" w:rsidP="00300C67">
            <w:pPr>
              <w:spacing w:before="40" w:after="40" w:line="280" w:lineRule="exact"/>
              <w:ind w:left="57" w:right="170"/>
              <w:jc w:val="right"/>
              <w:rPr>
                <w:rFonts w:cs="Traditional Arabic"/>
                <w:spacing w:val="-2"/>
                <w:sz w:val="18"/>
                <w:szCs w:val="28"/>
              </w:rPr>
            </w:pPr>
            <w:r w:rsidRPr="00426FC6">
              <w:rPr>
                <w:rFonts w:cs="Traditional Arabic"/>
                <w:spacing w:val="-2"/>
                <w:sz w:val="18"/>
                <w:szCs w:val="28"/>
              </w:rPr>
              <w:t>CAT/C/KEN/2</w:t>
            </w:r>
          </w:p>
        </w:tc>
        <w:tc>
          <w:tcPr>
            <w:tcW w:w="1734" w:type="dxa"/>
            <w:shd w:val="clear" w:color="auto" w:fill="auto"/>
          </w:tcPr>
          <w:p w:rsidR="00EE5D7D" w:rsidRPr="00C72EB7" w:rsidRDefault="00EE5D7D" w:rsidP="00300C67">
            <w:pPr>
              <w:spacing w:before="40" w:after="40" w:line="280" w:lineRule="exact"/>
              <w:ind w:right="57"/>
              <w:jc w:val="right"/>
              <w:rPr>
                <w:rFonts w:cs="Traditional Arabic"/>
                <w:sz w:val="18"/>
                <w:szCs w:val="28"/>
              </w:rPr>
            </w:pPr>
            <w:r w:rsidRPr="00426FC6">
              <w:rPr>
                <w:rFonts w:cs="Traditional Arabic"/>
                <w:sz w:val="18"/>
                <w:szCs w:val="28"/>
              </w:rPr>
              <w:t>CAT/C/KEN/CO/2</w:t>
            </w:r>
            <w:r w:rsidR="00300C67">
              <w:rPr>
                <w:rFonts w:cs="Traditional Arabic"/>
                <w:sz w:val="18"/>
                <w:szCs w:val="28"/>
                <w:rtl/>
              </w:rPr>
              <w:br/>
            </w:r>
            <w:r w:rsidR="00C72EB7">
              <w:rPr>
                <w:rFonts w:cs="Traditional Arabic" w:hint="cs"/>
                <w:sz w:val="18"/>
                <w:szCs w:val="28"/>
                <w:rtl/>
              </w:rPr>
              <w:t>و</w:t>
            </w:r>
            <w:r w:rsidR="00C72EB7">
              <w:rPr>
                <w:rFonts w:cs="Traditional Arabic"/>
                <w:sz w:val="18"/>
                <w:szCs w:val="28"/>
              </w:rPr>
              <w:t>Corr.1</w:t>
            </w:r>
          </w:p>
        </w:tc>
      </w:tr>
      <w:tr w:rsidR="00EE5D7D" w:rsidRPr="00426FC6" w:rsidTr="00300C67">
        <w:tc>
          <w:tcPr>
            <w:tcW w:w="1827" w:type="dxa"/>
            <w:shd w:val="clear" w:color="auto" w:fill="auto"/>
          </w:tcPr>
          <w:p w:rsidR="00EE5D7D" w:rsidRPr="00300C67" w:rsidRDefault="00EE5D7D" w:rsidP="00300C67">
            <w:pPr>
              <w:spacing w:before="60" w:after="60" w:line="300" w:lineRule="exact"/>
              <w:ind w:left="57" w:right="57"/>
              <w:jc w:val="left"/>
              <w:rPr>
                <w:rFonts w:cs="Traditional Arabic" w:hint="cs"/>
                <w:spacing w:val="-4"/>
                <w:sz w:val="18"/>
                <w:szCs w:val="28"/>
                <w:rtl/>
              </w:rPr>
            </w:pPr>
            <w:r w:rsidRPr="00300C67">
              <w:rPr>
                <w:rFonts w:cs="Traditional Arabic" w:hint="cs"/>
                <w:spacing w:val="-4"/>
                <w:sz w:val="18"/>
                <w:szCs w:val="28"/>
                <w:rtl/>
              </w:rPr>
              <w:t>المملكة المتحدة</w:t>
            </w:r>
            <w:r w:rsidR="00C72EB7" w:rsidRPr="00300C67">
              <w:rPr>
                <w:rFonts w:cs="Traditional Arabic" w:hint="cs"/>
                <w:spacing w:val="-4"/>
                <w:sz w:val="18"/>
                <w:szCs w:val="28"/>
                <w:rtl/>
              </w:rPr>
              <w:t xml:space="preserve"> لبريطانيا العظمى و</w:t>
            </w:r>
            <w:r w:rsidR="00300C67" w:rsidRPr="00300C67">
              <w:rPr>
                <w:rFonts w:cs="Traditional Arabic" w:hint="cs"/>
                <w:spacing w:val="-4"/>
                <w:sz w:val="18"/>
                <w:szCs w:val="28"/>
                <w:rtl/>
              </w:rPr>
              <w:t>أ</w:t>
            </w:r>
            <w:r w:rsidR="00C72EB7" w:rsidRPr="00300C67">
              <w:rPr>
                <w:rFonts w:cs="Traditional Arabic" w:hint="cs"/>
                <w:spacing w:val="-4"/>
                <w:sz w:val="18"/>
                <w:szCs w:val="28"/>
                <w:rtl/>
              </w:rPr>
              <w:t>يرلندا الشمالية</w:t>
            </w:r>
          </w:p>
        </w:tc>
        <w:tc>
          <w:tcPr>
            <w:tcW w:w="2029" w:type="dxa"/>
            <w:shd w:val="clear" w:color="auto" w:fill="auto"/>
          </w:tcPr>
          <w:p w:rsidR="00EE5D7D" w:rsidRPr="00426FC6" w:rsidRDefault="00EE5D7D" w:rsidP="00300C67">
            <w:pPr>
              <w:spacing w:before="60" w:after="60" w:line="300" w:lineRule="exact"/>
              <w:ind w:left="57" w:right="57"/>
              <w:rPr>
                <w:rFonts w:cs="Traditional Arabic" w:hint="cs"/>
                <w:spacing w:val="-4"/>
                <w:sz w:val="18"/>
                <w:szCs w:val="28"/>
                <w:rtl/>
              </w:rPr>
            </w:pPr>
            <w:r w:rsidRPr="00426FC6">
              <w:rPr>
                <w:rFonts w:cs="Traditional Arabic" w:hint="cs"/>
                <w:spacing w:val="-4"/>
                <w:sz w:val="18"/>
                <w:szCs w:val="28"/>
                <w:rtl/>
              </w:rPr>
              <w:t>التقرير الدوري الخامس</w:t>
            </w:r>
          </w:p>
        </w:tc>
        <w:tc>
          <w:tcPr>
            <w:tcW w:w="1666" w:type="dxa"/>
            <w:shd w:val="clear" w:color="auto" w:fill="auto"/>
          </w:tcPr>
          <w:p w:rsidR="00EE5D7D" w:rsidRPr="00426FC6" w:rsidRDefault="00EE5D7D" w:rsidP="00E470AE">
            <w:pPr>
              <w:spacing w:before="60" w:after="60" w:line="300" w:lineRule="exact"/>
              <w:ind w:left="336" w:right="170"/>
              <w:jc w:val="left"/>
              <w:rPr>
                <w:rFonts w:cs="Traditional Arabic" w:hint="cs"/>
                <w:sz w:val="18"/>
                <w:szCs w:val="28"/>
                <w:rtl/>
              </w:rPr>
            </w:pPr>
            <w:r w:rsidRPr="00426FC6">
              <w:rPr>
                <w:rFonts w:cs="Traditional Arabic"/>
                <w:sz w:val="18"/>
                <w:szCs w:val="28"/>
              </w:rPr>
              <w:t>CAT/C/GBR/5</w:t>
            </w:r>
          </w:p>
        </w:tc>
        <w:tc>
          <w:tcPr>
            <w:tcW w:w="1734" w:type="dxa"/>
            <w:shd w:val="clear" w:color="auto" w:fill="auto"/>
          </w:tcPr>
          <w:p w:rsidR="00EE5D7D" w:rsidRPr="00426FC6" w:rsidRDefault="00EE5D7D" w:rsidP="00E470AE">
            <w:pPr>
              <w:spacing w:before="60" w:after="60" w:line="300" w:lineRule="exact"/>
              <w:ind w:right="57"/>
              <w:jc w:val="right"/>
              <w:rPr>
                <w:rFonts w:cs="Traditional Arabic"/>
                <w:spacing w:val="-4"/>
                <w:sz w:val="18"/>
                <w:szCs w:val="28"/>
              </w:rPr>
            </w:pPr>
            <w:r w:rsidRPr="00426FC6">
              <w:rPr>
                <w:rFonts w:cs="Traditional Arabic"/>
                <w:spacing w:val="-4"/>
                <w:sz w:val="18"/>
                <w:szCs w:val="28"/>
              </w:rPr>
              <w:t>CAT/C/GBR/CO/5</w:t>
            </w:r>
          </w:p>
        </w:tc>
      </w:tr>
      <w:tr w:rsidR="00EE5D7D" w:rsidRPr="00426FC6" w:rsidTr="00300C67">
        <w:tc>
          <w:tcPr>
            <w:tcW w:w="1827" w:type="dxa"/>
            <w:shd w:val="clear" w:color="auto" w:fill="auto"/>
          </w:tcPr>
          <w:p w:rsidR="00EE5D7D" w:rsidRPr="00426FC6" w:rsidRDefault="00EE5D7D" w:rsidP="00E470AE">
            <w:pPr>
              <w:spacing w:before="60" w:after="60" w:line="300" w:lineRule="exact"/>
              <w:ind w:left="57" w:right="170"/>
              <w:rPr>
                <w:rFonts w:cs="Traditional Arabic" w:hint="cs"/>
                <w:sz w:val="18"/>
                <w:szCs w:val="28"/>
                <w:rtl/>
              </w:rPr>
            </w:pPr>
            <w:r w:rsidRPr="00426FC6">
              <w:rPr>
                <w:rFonts w:cs="Traditional Arabic" w:hint="cs"/>
                <w:sz w:val="18"/>
                <w:szCs w:val="28"/>
                <w:rtl/>
              </w:rPr>
              <w:t>موريتانيا</w:t>
            </w:r>
          </w:p>
        </w:tc>
        <w:tc>
          <w:tcPr>
            <w:tcW w:w="2029" w:type="dxa"/>
            <w:shd w:val="clear" w:color="auto" w:fill="auto"/>
          </w:tcPr>
          <w:p w:rsidR="00EE5D7D" w:rsidRPr="00426FC6" w:rsidRDefault="00EE5D7D" w:rsidP="00300C67">
            <w:pPr>
              <w:spacing w:before="60" w:after="60" w:line="300" w:lineRule="exact"/>
              <w:ind w:left="57" w:right="57"/>
              <w:jc w:val="left"/>
              <w:rPr>
                <w:rFonts w:cs="Traditional Arabic" w:hint="cs"/>
                <w:spacing w:val="-4"/>
                <w:sz w:val="18"/>
                <w:szCs w:val="28"/>
                <w:rtl/>
              </w:rPr>
            </w:pPr>
            <w:r w:rsidRPr="00426FC6">
              <w:rPr>
                <w:rFonts w:cs="Traditional Arabic" w:hint="cs"/>
                <w:spacing w:val="-4"/>
                <w:sz w:val="18"/>
                <w:szCs w:val="28"/>
                <w:rtl/>
              </w:rPr>
              <w:t>التقرير الأولي</w:t>
            </w:r>
          </w:p>
        </w:tc>
        <w:tc>
          <w:tcPr>
            <w:tcW w:w="1666" w:type="dxa"/>
            <w:shd w:val="clear" w:color="auto" w:fill="auto"/>
          </w:tcPr>
          <w:p w:rsidR="00EE5D7D" w:rsidRPr="00426FC6" w:rsidRDefault="00EE5D7D" w:rsidP="00E470AE">
            <w:pPr>
              <w:spacing w:before="60" w:after="60" w:line="300" w:lineRule="exact"/>
              <w:ind w:left="57" w:right="170"/>
              <w:jc w:val="right"/>
              <w:rPr>
                <w:rFonts w:cs="Traditional Arabic"/>
                <w:spacing w:val="-2"/>
                <w:sz w:val="18"/>
                <w:szCs w:val="28"/>
              </w:rPr>
            </w:pPr>
            <w:r w:rsidRPr="00426FC6">
              <w:rPr>
                <w:rFonts w:cs="Traditional Arabic"/>
                <w:spacing w:val="-2"/>
                <w:sz w:val="18"/>
                <w:szCs w:val="28"/>
              </w:rPr>
              <w:t>CAT/C/MRT/1</w:t>
            </w:r>
          </w:p>
        </w:tc>
        <w:tc>
          <w:tcPr>
            <w:tcW w:w="1734" w:type="dxa"/>
            <w:shd w:val="clear" w:color="auto" w:fill="auto"/>
          </w:tcPr>
          <w:p w:rsidR="00EE5D7D" w:rsidRPr="00426FC6" w:rsidRDefault="00EE5D7D" w:rsidP="00E470AE">
            <w:pPr>
              <w:spacing w:before="60" w:after="60" w:line="300" w:lineRule="exact"/>
              <w:ind w:right="57"/>
              <w:jc w:val="right"/>
              <w:rPr>
                <w:rFonts w:cs="Traditional Arabic"/>
                <w:sz w:val="18"/>
                <w:szCs w:val="28"/>
              </w:rPr>
            </w:pPr>
            <w:r w:rsidRPr="00426FC6">
              <w:rPr>
                <w:rFonts w:cs="Traditional Arabic"/>
                <w:sz w:val="18"/>
                <w:szCs w:val="28"/>
              </w:rPr>
              <w:t>CAT/C/MRT/CO/1</w:t>
            </w:r>
          </w:p>
        </w:tc>
      </w:tr>
      <w:tr w:rsidR="00EE5D7D" w:rsidRPr="00426FC6" w:rsidTr="00300C67">
        <w:tc>
          <w:tcPr>
            <w:tcW w:w="1827" w:type="dxa"/>
            <w:shd w:val="clear" w:color="auto" w:fill="auto"/>
          </w:tcPr>
          <w:p w:rsidR="00EE5D7D" w:rsidRPr="00426FC6" w:rsidRDefault="00EE5D7D" w:rsidP="00E470AE">
            <w:pPr>
              <w:spacing w:before="60" w:after="60" w:line="300" w:lineRule="exact"/>
              <w:ind w:left="57" w:right="170"/>
              <w:rPr>
                <w:rFonts w:cs="Traditional Arabic" w:hint="cs"/>
                <w:sz w:val="18"/>
                <w:szCs w:val="28"/>
                <w:rtl/>
              </w:rPr>
            </w:pPr>
            <w:r w:rsidRPr="00426FC6">
              <w:rPr>
                <w:rFonts w:cs="Traditional Arabic" w:hint="cs"/>
                <w:sz w:val="18"/>
                <w:szCs w:val="28"/>
                <w:rtl/>
              </w:rPr>
              <w:t>هولندا</w:t>
            </w:r>
          </w:p>
        </w:tc>
        <w:tc>
          <w:tcPr>
            <w:tcW w:w="2029" w:type="dxa"/>
            <w:shd w:val="clear" w:color="auto" w:fill="auto"/>
          </w:tcPr>
          <w:p w:rsidR="00EE5D7D" w:rsidRPr="00300C67" w:rsidRDefault="00EE5D7D" w:rsidP="00300C67">
            <w:pPr>
              <w:spacing w:before="60" w:after="60" w:line="300" w:lineRule="exact"/>
              <w:ind w:left="57" w:right="57"/>
              <w:rPr>
                <w:rFonts w:cs="Traditional Arabic" w:hint="cs"/>
                <w:spacing w:val="-4"/>
                <w:sz w:val="18"/>
                <w:szCs w:val="28"/>
                <w:rtl/>
              </w:rPr>
            </w:pPr>
            <w:r w:rsidRPr="00300C67">
              <w:rPr>
                <w:rFonts w:cs="Traditional Arabic" w:hint="cs"/>
                <w:spacing w:val="-4"/>
                <w:sz w:val="18"/>
                <w:szCs w:val="28"/>
                <w:rtl/>
              </w:rPr>
              <w:t>التقرر الجامع للتقريرين الدوريين الخامس والسادس</w:t>
            </w:r>
          </w:p>
        </w:tc>
        <w:tc>
          <w:tcPr>
            <w:tcW w:w="1666" w:type="dxa"/>
            <w:shd w:val="clear" w:color="auto" w:fill="auto"/>
          </w:tcPr>
          <w:p w:rsidR="00EE5D7D" w:rsidRPr="00426FC6" w:rsidRDefault="00EE5D7D" w:rsidP="00E470AE">
            <w:pPr>
              <w:spacing w:before="60" w:after="60" w:line="300" w:lineRule="exact"/>
              <w:ind w:left="57" w:right="170"/>
              <w:jc w:val="right"/>
              <w:rPr>
                <w:rFonts w:cs="Traditional Arabic"/>
                <w:sz w:val="18"/>
                <w:szCs w:val="28"/>
              </w:rPr>
            </w:pPr>
            <w:r w:rsidRPr="00426FC6">
              <w:rPr>
                <w:rFonts w:cs="Traditional Arabic"/>
                <w:sz w:val="18"/>
                <w:szCs w:val="28"/>
              </w:rPr>
              <w:t>CAT/C/NLD/5-6</w:t>
            </w:r>
          </w:p>
        </w:tc>
        <w:tc>
          <w:tcPr>
            <w:tcW w:w="1734" w:type="dxa"/>
            <w:shd w:val="clear" w:color="auto" w:fill="auto"/>
          </w:tcPr>
          <w:p w:rsidR="00EE5D7D" w:rsidRPr="00426FC6" w:rsidRDefault="00EE5D7D" w:rsidP="00E470AE">
            <w:pPr>
              <w:spacing w:before="60" w:after="60" w:line="300" w:lineRule="exact"/>
              <w:ind w:right="57"/>
              <w:jc w:val="right"/>
              <w:rPr>
                <w:rFonts w:cs="Traditional Arabic"/>
                <w:sz w:val="18"/>
                <w:szCs w:val="28"/>
              </w:rPr>
            </w:pPr>
            <w:r w:rsidRPr="00426FC6">
              <w:rPr>
                <w:rFonts w:cs="Traditional Arabic"/>
                <w:sz w:val="18"/>
                <w:szCs w:val="28"/>
              </w:rPr>
              <w:t>CAT/C/NLD/CO/5-6</w:t>
            </w:r>
          </w:p>
        </w:tc>
      </w:tr>
      <w:tr w:rsidR="00EE5D7D" w:rsidRPr="00426FC6" w:rsidTr="00300C67">
        <w:tc>
          <w:tcPr>
            <w:tcW w:w="1827" w:type="dxa"/>
            <w:tcBorders>
              <w:bottom w:val="single" w:sz="12" w:space="0" w:color="auto"/>
            </w:tcBorders>
            <w:shd w:val="clear" w:color="auto" w:fill="auto"/>
          </w:tcPr>
          <w:p w:rsidR="00EE5D7D" w:rsidRPr="00426FC6" w:rsidDel="002C2F7D" w:rsidRDefault="00EE5D7D" w:rsidP="00E470AE">
            <w:pPr>
              <w:spacing w:before="60" w:after="60" w:line="300" w:lineRule="exact"/>
              <w:ind w:left="57" w:right="170"/>
              <w:rPr>
                <w:rFonts w:cs="Traditional Arabic" w:hint="cs"/>
                <w:sz w:val="18"/>
                <w:szCs w:val="28"/>
                <w:rtl/>
              </w:rPr>
            </w:pPr>
            <w:r w:rsidRPr="00426FC6">
              <w:rPr>
                <w:rFonts w:cs="Traditional Arabic" w:hint="cs"/>
                <w:sz w:val="18"/>
                <w:szCs w:val="28"/>
                <w:rtl/>
              </w:rPr>
              <w:t>اليابان</w:t>
            </w:r>
          </w:p>
        </w:tc>
        <w:tc>
          <w:tcPr>
            <w:tcW w:w="2029" w:type="dxa"/>
            <w:tcBorders>
              <w:bottom w:val="single" w:sz="12" w:space="0" w:color="auto"/>
            </w:tcBorders>
            <w:shd w:val="clear" w:color="auto" w:fill="auto"/>
          </w:tcPr>
          <w:p w:rsidR="00EE5D7D" w:rsidRPr="00426FC6" w:rsidRDefault="00EE5D7D" w:rsidP="00300C67">
            <w:pPr>
              <w:spacing w:before="60" w:after="60" w:line="300" w:lineRule="exact"/>
              <w:ind w:left="57" w:right="57"/>
              <w:jc w:val="left"/>
              <w:rPr>
                <w:rFonts w:cs="Traditional Arabic" w:hint="cs"/>
                <w:sz w:val="18"/>
                <w:szCs w:val="28"/>
                <w:rtl/>
              </w:rPr>
            </w:pPr>
            <w:r w:rsidRPr="00426FC6">
              <w:rPr>
                <w:rFonts w:cs="Traditional Arabic" w:hint="cs"/>
                <w:sz w:val="18"/>
                <w:szCs w:val="28"/>
                <w:rtl/>
              </w:rPr>
              <w:t>التقرير الدوري الثاني</w:t>
            </w:r>
          </w:p>
        </w:tc>
        <w:tc>
          <w:tcPr>
            <w:tcW w:w="1666" w:type="dxa"/>
            <w:tcBorders>
              <w:bottom w:val="single" w:sz="12" w:space="0" w:color="auto"/>
            </w:tcBorders>
            <w:shd w:val="clear" w:color="auto" w:fill="auto"/>
          </w:tcPr>
          <w:p w:rsidR="00EE5D7D" w:rsidRPr="00426FC6" w:rsidDel="002C2F7D" w:rsidRDefault="00EE5D7D" w:rsidP="00E470AE">
            <w:pPr>
              <w:spacing w:before="60" w:after="60" w:line="300" w:lineRule="exact"/>
              <w:ind w:left="57" w:right="170"/>
              <w:jc w:val="right"/>
              <w:rPr>
                <w:rFonts w:cs="Traditional Arabic"/>
                <w:sz w:val="18"/>
                <w:szCs w:val="28"/>
              </w:rPr>
            </w:pPr>
            <w:r w:rsidRPr="00426FC6">
              <w:rPr>
                <w:rFonts w:cs="Traditional Arabic"/>
                <w:sz w:val="18"/>
                <w:szCs w:val="28"/>
              </w:rPr>
              <w:t>CAT/C/JPN/2</w:t>
            </w:r>
          </w:p>
        </w:tc>
        <w:tc>
          <w:tcPr>
            <w:tcW w:w="1734" w:type="dxa"/>
            <w:tcBorders>
              <w:bottom w:val="single" w:sz="12" w:space="0" w:color="auto"/>
            </w:tcBorders>
            <w:shd w:val="clear" w:color="auto" w:fill="auto"/>
          </w:tcPr>
          <w:p w:rsidR="00EE5D7D" w:rsidRPr="00426FC6" w:rsidRDefault="00EE5D7D" w:rsidP="00E470AE">
            <w:pPr>
              <w:spacing w:before="60" w:after="60" w:line="300" w:lineRule="exact"/>
              <w:ind w:right="57"/>
              <w:jc w:val="right"/>
              <w:rPr>
                <w:rFonts w:cs="Traditional Arabic"/>
                <w:sz w:val="18"/>
                <w:szCs w:val="28"/>
              </w:rPr>
            </w:pPr>
            <w:r w:rsidRPr="00426FC6">
              <w:rPr>
                <w:rFonts w:cs="Traditional Arabic"/>
                <w:sz w:val="18"/>
                <w:szCs w:val="28"/>
              </w:rPr>
              <w:t>CAT/C/JPN/CO/2</w:t>
            </w:r>
          </w:p>
        </w:tc>
      </w:tr>
    </w:tbl>
    <w:p w:rsidR="00EE5D7D" w:rsidRPr="00426FC6" w:rsidRDefault="00C72EB7" w:rsidP="00300C67">
      <w:pPr>
        <w:pStyle w:val="SingleTxtGA"/>
        <w:spacing w:before="240"/>
        <w:rPr>
          <w:rFonts w:hint="cs"/>
          <w:rtl/>
        </w:rPr>
      </w:pPr>
      <w:r>
        <w:rPr>
          <w:rFonts w:hint="cs"/>
          <w:rtl/>
        </w:rPr>
        <w:t>54</w:t>
      </w:r>
      <w:r w:rsidR="00EE5D7D" w:rsidRPr="00426FC6">
        <w:rPr>
          <w:rFonts w:hint="cs"/>
          <w:rtl/>
        </w:rPr>
        <w:t>-</w:t>
      </w:r>
      <w:r w:rsidR="00EE5D7D" w:rsidRPr="00426FC6">
        <w:rPr>
          <w:rFonts w:hint="cs"/>
          <w:rtl/>
        </w:rPr>
        <w:tab/>
        <w:t>ووفقاً للمادة 68 من النظام الداخلي للجنة، دُعي ممثلون عن كل دولة من الدول التي قدمت تقارير إلى حضور جلسات اللجنة عند النظر في تقارير دولهم. وأرسلت جميع الدول الأطراف التي نظرت اللجنة في تقاريرها ممثلين لها للمشاركة في عملية النظر في تقاريرها. وأعربت اللجنة عن تقديرها لذلك في ملاحظاتها الختامية.</w:t>
      </w:r>
    </w:p>
    <w:p w:rsidR="00EE5D7D" w:rsidRPr="00426FC6" w:rsidRDefault="00C72EB7" w:rsidP="00300C67">
      <w:pPr>
        <w:pStyle w:val="SingleTxtGA"/>
        <w:rPr>
          <w:rFonts w:hint="cs"/>
          <w:rtl/>
        </w:rPr>
      </w:pPr>
      <w:r>
        <w:rPr>
          <w:rFonts w:hint="cs"/>
          <w:rtl/>
        </w:rPr>
        <w:t>55</w:t>
      </w:r>
      <w:r w:rsidR="00EE5D7D" w:rsidRPr="00426FC6">
        <w:rPr>
          <w:rFonts w:hint="cs"/>
          <w:rtl/>
        </w:rPr>
        <w:t>-</w:t>
      </w:r>
      <w:r w:rsidR="00EE5D7D" w:rsidRPr="00426FC6">
        <w:rPr>
          <w:rFonts w:hint="cs"/>
          <w:rtl/>
        </w:rPr>
        <w:tab/>
        <w:t>وعيّنت اللجنة مقرري</w:t>
      </w:r>
      <w:r>
        <w:rPr>
          <w:rFonts w:hint="cs"/>
          <w:rtl/>
        </w:rPr>
        <w:t>ْ</w:t>
      </w:r>
      <w:r w:rsidR="00EE5D7D" w:rsidRPr="00426FC6">
        <w:rPr>
          <w:rFonts w:hint="cs"/>
          <w:rtl/>
        </w:rPr>
        <w:t>ن قطريي</w:t>
      </w:r>
      <w:r>
        <w:rPr>
          <w:rFonts w:hint="cs"/>
          <w:rtl/>
        </w:rPr>
        <w:t>ْ</w:t>
      </w:r>
      <w:r w:rsidR="00EE5D7D" w:rsidRPr="00426FC6">
        <w:rPr>
          <w:rFonts w:hint="cs"/>
          <w:rtl/>
        </w:rPr>
        <w:t>ن لكل تقرير من التقارير قيد النظر. وترد القائمة في المرفق</w:t>
      </w:r>
      <w:r>
        <w:rPr>
          <w:rFonts w:hint="cs"/>
          <w:rtl/>
        </w:rPr>
        <w:t xml:space="preserve"> السادس</w:t>
      </w:r>
      <w:r w:rsidR="00EE5D7D" w:rsidRPr="00426FC6">
        <w:rPr>
          <w:rFonts w:hint="cs"/>
          <w:rtl/>
        </w:rPr>
        <w:t xml:space="preserve"> عشر بهذا التقرير.</w:t>
      </w:r>
    </w:p>
    <w:p w:rsidR="00EE5D7D" w:rsidRPr="00426FC6" w:rsidRDefault="00C72EB7" w:rsidP="00300C67">
      <w:pPr>
        <w:pStyle w:val="SingleTxtGA"/>
        <w:rPr>
          <w:rFonts w:hint="cs"/>
          <w:rtl/>
        </w:rPr>
      </w:pPr>
      <w:r>
        <w:rPr>
          <w:rFonts w:hint="cs"/>
          <w:rtl/>
        </w:rPr>
        <w:t>56</w:t>
      </w:r>
      <w:r w:rsidR="00EE5D7D" w:rsidRPr="00426FC6">
        <w:rPr>
          <w:rFonts w:hint="cs"/>
          <w:rtl/>
        </w:rPr>
        <w:t>-</w:t>
      </w:r>
      <w:r w:rsidR="00EE5D7D" w:rsidRPr="00426FC6">
        <w:rPr>
          <w:rFonts w:hint="cs"/>
          <w:rtl/>
        </w:rPr>
        <w:tab/>
        <w:t>وفيما يتعلق بالنظر في التقارير، عُرضت على اللجنة أيضاً الوثيقتان التاليتان:</w:t>
      </w:r>
    </w:p>
    <w:p w:rsidR="00EE5D7D" w:rsidRPr="00426FC6" w:rsidRDefault="00EE5D7D" w:rsidP="00300C67">
      <w:pPr>
        <w:pStyle w:val="SingleTxtGA"/>
        <w:rPr>
          <w:rFonts w:hint="cs"/>
          <w:rtl/>
        </w:rPr>
      </w:pPr>
      <w:r w:rsidRPr="00426FC6">
        <w:rPr>
          <w:rFonts w:hint="cs"/>
          <w:rtl/>
        </w:rPr>
        <w:tab/>
        <w:t>(أ)</w:t>
      </w:r>
      <w:r w:rsidRPr="00426FC6">
        <w:rPr>
          <w:rFonts w:hint="cs"/>
          <w:rtl/>
        </w:rPr>
        <w:tab/>
        <w:t xml:space="preserve">مبادئ توجيهية عامة بشأن شكل ومحتويات التقارير الأولية التي تقدمها الدول الأطراف بموجب الفقرة 1 من المادة 19 من الاتفاقية </w:t>
      </w:r>
      <w:r w:rsidRPr="00426FC6">
        <w:t>(CAT/C/4/Rev.3)</w:t>
      </w:r>
      <w:r w:rsidRPr="00426FC6">
        <w:rPr>
          <w:rFonts w:hint="cs"/>
          <w:rtl/>
        </w:rPr>
        <w:t>؛</w:t>
      </w:r>
    </w:p>
    <w:p w:rsidR="00EE5D7D" w:rsidRPr="00426FC6" w:rsidRDefault="00EE5D7D" w:rsidP="00300C67">
      <w:pPr>
        <w:pStyle w:val="SingleTxtGA"/>
        <w:rPr>
          <w:rFonts w:hint="cs"/>
          <w:rtl/>
        </w:rPr>
      </w:pPr>
      <w:r w:rsidRPr="00426FC6">
        <w:rPr>
          <w:rFonts w:hint="cs"/>
          <w:rtl/>
        </w:rPr>
        <w:tab/>
        <w:t>(ب)</w:t>
      </w:r>
      <w:r w:rsidRPr="00426FC6">
        <w:rPr>
          <w:rFonts w:hint="cs"/>
          <w:rtl/>
        </w:rPr>
        <w:tab/>
        <w:t xml:space="preserve">مبادئ توجيهية عامة بشأن شكل ومحتويات التقارير الدورية التي تقدمها الدول الأطراف بموجب المادة 19 من الاتفاقية </w:t>
      </w:r>
      <w:r w:rsidRPr="00426FC6">
        <w:t>(CAT/C/14/Rev.1)</w:t>
      </w:r>
      <w:r w:rsidRPr="00426FC6">
        <w:rPr>
          <w:rFonts w:hint="cs"/>
          <w:rtl/>
        </w:rPr>
        <w:t>.</w:t>
      </w:r>
    </w:p>
    <w:p w:rsidR="00EE5D7D" w:rsidRPr="00216CB1" w:rsidRDefault="00C72EB7" w:rsidP="00300C67">
      <w:pPr>
        <w:pStyle w:val="SingleTxtGA"/>
        <w:rPr>
          <w:rFonts w:hint="cs"/>
          <w:rtl/>
        </w:rPr>
      </w:pPr>
      <w:r>
        <w:rPr>
          <w:rFonts w:hint="cs"/>
          <w:rtl/>
        </w:rPr>
        <w:t>57</w:t>
      </w:r>
      <w:r w:rsidR="00EE5D7D" w:rsidRPr="00426FC6">
        <w:rPr>
          <w:rFonts w:hint="cs"/>
          <w:rtl/>
        </w:rPr>
        <w:t>-</w:t>
      </w:r>
      <w:r w:rsidR="00EE5D7D" w:rsidRPr="00426FC6">
        <w:rPr>
          <w:rFonts w:hint="cs"/>
          <w:rtl/>
        </w:rPr>
        <w:tab/>
        <w:t>وتعد اللجنة</w:t>
      </w:r>
      <w:r w:rsidR="00EE5D7D" w:rsidRPr="00216CB1">
        <w:rPr>
          <w:rFonts w:hint="cs"/>
          <w:rtl/>
        </w:rPr>
        <w:t xml:space="preserve"> منذ عام 2004 قوائم بالمسائل المطروحة للنقاش في إطار النظر في التقارير الدورية. وهي تلبي بذلك طلباً قدمه إليها ممثلو الدول الأطراف في اجتماع مع أعضاء اللجنة. وإذ تتفهّم اللجنة رغبة الدول الأطراف في إشعارها مسبقاً بالمسائل التي يتوقع مناقشتها في</w:t>
      </w:r>
      <w:r w:rsidR="00EE5D7D">
        <w:rPr>
          <w:rFonts w:hint="eastAsia"/>
          <w:rtl/>
        </w:rPr>
        <w:t> </w:t>
      </w:r>
      <w:r w:rsidR="00EE5D7D" w:rsidRPr="00216CB1">
        <w:rPr>
          <w:rFonts w:hint="cs"/>
          <w:rtl/>
        </w:rPr>
        <w:t>أثناء</w:t>
      </w:r>
      <w:r w:rsidR="00EE5D7D">
        <w:rPr>
          <w:rFonts w:hint="eastAsia"/>
          <w:rtl/>
        </w:rPr>
        <w:t> </w:t>
      </w:r>
      <w:r w:rsidR="00EE5D7D" w:rsidRPr="00216CB1">
        <w:rPr>
          <w:rFonts w:hint="cs"/>
          <w:rtl/>
        </w:rPr>
        <w:t>الحوار، لا بد أن تشير مع ذلك إلى أن صياغة قوائم</w:t>
      </w:r>
      <w:r w:rsidR="009912C3">
        <w:rPr>
          <w:rFonts w:hint="cs"/>
          <w:rtl/>
        </w:rPr>
        <w:t xml:space="preserve"> القضايا</w:t>
      </w:r>
      <w:r w:rsidR="00EE5D7D" w:rsidRPr="00216CB1">
        <w:rPr>
          <w:rFonts w:hint="cs"/>
          <w:rtl/>
        </w:rPr>
        <w:t xml:space="preserve"> أحدثت زيادة كبيرة في</w:t>
      </w:r>
      <w:r w:rsidR="00EE5D7D">
        <w:rPr>
          <w:rFonts w:hint="eastAsia"/>
          <w:rtl/>
        </w:rPr>
        <w:t> </w:t>
      </w:r>
      <w:r w:rsidR="00EE5D7D" w:rsidRPr="00216CB1">
        <w:rPr>
          <w:rFonts w:hint="cs"/>
          <w:rtl/>
        </w:rPr>
        <w:t>حجم العمل الذي تقوم به اللجنة. وهذه مسألة بالغة الأهمية في لجنة ذات عضوية محدودة</w:t>
      </w:r>
      <w:r w:rsidR="00EE5D7D">
        <w:rPr>
          <w:rFonts w:hint="eastAsia"/>
          <w:rtl/>
        </w:rPr>
        <w:t> </w:t>
      </w:r>
      <w:r w:rsidR="00EE5D7D" w:rsidRPr="00216CB1">
        <w:rPr>
          <w:rFonts w:hint="cs"/>
          <w:rtl/>
        </w:rPr>
        <w:t>للغاية.</w:t>
      </w:r>
    </w:p>
    <w:p w:rsidR="00EE5D7D" w:rsidRPr="004E0A37" w:rsidRDefault="00EE5D7D" w:rsidP="00300C67">
      <w:pPr>
        <w:pStyle w:val="H1GA"/>
        <w:rPr>
          <w:rFonts w:hint="cs"/>
          <w:rtl/>
        </w:rPr>
      </w:pPr>
      <w:r w:rsidRPr="004E0A37">
        <w:rPr>
          <w:rFonts w:hint="cs"/>
          <w:rtl/>
        </w:rPr>
        <w:tab/>
        <w:t>باء</w:t>
      </w:r>
      <w:r>
        <w:rPr>
          <w:rFonts w:hint="cs"/>
          <w:rtl/>
        </w:rPr>
        <w:t>-</w:t>
      </w:r>
      <w:r w:rsidRPr="004E0A37">
        <w:rPr>
          <w:rFonts w:hint="cs"/>
          <w:rtl/>
        </w:rPr>
        <w:tab/>
      </w:r>
      <w:r w:rsidRPr="004E0A37">
        <w:rPr>
          <w:rFonts w:hint="cs"/>
          <w:rtl/>
          <w:lang/>
        </w:rPr>
        <w:t>الملاحظات الختامية المتعلقة بتقارير الدول الأطراف</w:t>
      </w:r>
    </w:p>
    <w:p w:rsidR="00EE5D7D" w:rsidRDefault="00C72EB7" w:rsidP="00300C67">
      <w:pPr>
        <w:pStyle w:val="SingleTxtGA"/>
        <w:rPr>
          <w:rFonts w:hint="cs"/>
          <w:rtl/>
        </w:rPr>
      </w:pPr>
      <w:r>
        <w:rPr>
          <w:rFonts w:hint="cs"/>
          <w:rtl/>
        </w:rPr>
        <w:t>58</w:t>
      </w:r>
      <w:r w:rsidR="00EE5D7D">
        <w:rPr>
          <w:rFonts w:hint="cs"/>
          <w:rtl/>
        </w:rPr>
        <w:t>-</w:t>
      </w:r>
      <w:r w:rsidR="00EE5D7D">
        <w:rPr>
          <w:rFonts w:hint="cs"/>
          <w:rtl/>
        </w:rPr>
        <w:tab/>
      </w:r>
      <w:r w:rsidR="00EE5D7D" w:rsidRPr="002F4B82">
        <w:rPr>
          <w:rFonts w:hint="cs"/>
          <w:rtl/>
        </w:rPr>
        <w:t>يُستنسخ أدناه نص الملاحظات الختامية التي اعتمدتها اللجنة بشأن التقارير السالف ذكرها المقدمة من الدول الأطراف.</w:t>
      </w:r>
    </w:p>
    <w:p w:rsidR="00C72EB7" w:rsidRPr="00300C67" w:rsidRDefault="006B79F0" w:rsidP="00300C67">
      <w:pPr>
        <w:pStyle w:val="SingleTxtGA"/>
        <w:rPr>
          <w:rFonts w:hint="cs"/>
          <w:b/>
          <w:bCs/>
        </w:rPr>
      </w:pPr>
      <w:r>
        <w:rPr>
          <w:rtl/>
        </w:rPr>
        <w:br w:type="page"/>
      </w:r>
      <w:r w:rsidR="00300C67">
        <w:rPr>
          <w:rFonts w:hint="cs"/>
          <w:rtl/>
        </w:rPr>
        <w:t>59-</w:t>
      </w:r>
      <w:r w:rsidR="00300C67">
        <w:rPr>
          <w:rFonts w:hint="cs"/>
          <w:rtl/>
        </w:rPr>
        <w:tab/>
      </w:r>
      <w:r w:rsidR="00300C67">
        <w:rPr>
          <w:rFonts w:hint="cs"/>
          <w:b/>
          <w:bCs/>
          <w:rtl/>
        </w:rPr>
        <w:t>غابون</w:t>
      </w:r>
    </w:p>
    <w:p w:rsidR="00E470AE" w:rsidRPr="006F1337" w:rsidRDefault="00300C67" w:rsidP="00F37BC5">
      <w:pPr>
        <w:pStyle w:val="SingleTxtGA"/>
        <w:rPr>
          <w:rtl/>
        </w:rPr>
      </w:pPr>
      <w:r>
        <w:rPr>
          <w:rFonts w:hint="cs"/>
          <w:rtl/>
        </w:rPr>
        <w:t>(1)</w:t>
      </w:r>
      <w:r w:rsidR="00E470AE" w:rsidRPr="006F1337">
        <w:rPr>
          <w:rtl/>
        </w:rPr>
        <w:tab/>
        <w:t>نظرت لجنة مناهضة التعذيب في التقرير الأولي لغابون (</w:t>
      </w:r>
      <w:r w:rsidR="00E470AE" w:rsidRPr="006F1337">
        <w:t>CAT/C/GAB/</w:t>
      </w:r>
      <w:r w:rsidR="00E470AE">
        <w:t>1</w:t>
      </w:r>
      <w:r w:rsidR="00E470AE" w:rsidRPr="006F1337">
        <w:rPr>
          <w:rtl/>
        </w:rPr>
        <w:t>) في جلستيها</w:t>
      </w:r>
      <w:r w:rsidR="00E470AE" w:rsidRPr="006F1337">
        <w:rPr>
          <w:rFonts w:hint="cs"/>
          <w:rtl/>
        </w:rPr>
        <w:t> </w:t>
      </w:r>
      <w:r w:rsidR="00E470AE" w:rsidRPr="006F1337">
        <w:rPr>
          <w:rtl/>
        </w:rPr>
        <w:t>11</w:t>
      </w:r>
      <w:r w:rsidR="00E470AE" w:rsidRPr="006F1337">
        <w:rPr>
          <w:rFonts w:hint="cs"/>
          <w:rtl/>
        </w:rPr>
        <w:t>1</w:t>
      </w:r>
      <w:r w:rsidR="00E470AE" w:rsidRPr="006F1337">
        <w:rPr>
          <w:rtl/>
        </w:rPr>
        <w:t>0 و1113، (</w:t>
      </w:r>
      <w:r w:rsidR="00E470AE" w:rsidRPr="006F1337">
        <w:t>CAT/C/SR.1110</w:t>
      </w:r>
      <w:r w:rsidR="00E470AE" w:rsidRPr="006F1337">
        <w:rPr>
          <w:rtl/>
        </w:rPr>
        <w:t xml:space="preserve"> و</w:t>
      </w:r>
      <w:r w:rsidR="00E470AE" w:rsidRPr="006F1337">
        <w:t>1113</w:t>
      </w:r>
      <w:r w:rsidR="00E470AE" w:rsidRPr="006F1337">
        <w:rPr>
          <w:rtl/>
        </w:rPr>
        <w:t>)،المعقودتين في 8 و9 تشرين الثاني/</w:t>
      </w:r>
      <w:r w:rsidR="00E470AE">
        <w:rPr>
          <w:rFonts w:hint="cs"/>
          <w:rtl/>
        </w:rPr>
        <w:t xml:space="preserve"> </w:t>
      </w:r>
      <w:r w:rsidR="00E470AE" w:rsidRPr="006F1337">
        <w:rPr>
          <w:rtl/>
        </w:rPr>
        <w:t>نوفمبر 2012 واعتمدت في جلستها 1127 (</w:t>
      </w:r>
      <w:r w:rsidR="00E470AE" w:rsidRPr="006F1337">
        <w:t>CAT/C/SR.1127</w:t>
      </w:r>
      <w:r w:rsidR="00E470AE" w:rsidRPr="006F1337">
        <w:rPr>
          <w:rtl/>
        </w:rPr>
        <w:t>) المعقودة في 20 تشرين الثاني/نوفمبر 2012، الملاحظات الختامية التالية.</w:t>
      </w:r>
    </w:p>
    <w:p w:rsidR="00E470AE" w:rsidRPr="00300C67" w:rsidRDefault="009F2FC3" w:rsidP="009F2FC3">
      <w:pPr>
        <w:pStyle w:val="H23GA"/>
        <w:tabs>
          <w:tab w:val="left" w:pos="1926"/>
        </w:tabs>
        <w:rPr>
          <w:rtl/>
        </w:rPr>
      </w:pPr>
      <w:r>
        <w:rPr>
          <w:rFonts w:hint="cs"/>
          <w:rtl/>
        </w:rPr>
        <w:tab/>
      </w:r>
      <w:r>
        <w:rPr>
          <w:rFonts w:hint="cs"/>
          <w:rtl/>
        </w:rPr>
        <w:tab/>
      </w:r>
      <w:r w:rsidR="00E470AE" w:rsidRPr="00300C67">
        <w:rPr>
          <w:rtl/>
        </w:rPr>
        <w:t>ألف-</w:t>
      </w:r>
      <w:r w:rsidR="00E470AE" w:rsidRPr="00300C67">
        <w:rPr>
          <w:rtl/>
        </w:rPr>
        <w:tab/>
        <w:t>مقدمة</w:t>
      </w:r>
    </w:p>
    <w:p w:rsidR="00E470AE" w:rsidRDefault="00300C67" w:rsidP="00300C67">
      <w:pPr>
        <w:pStyle w:val="SingleTxtGA"/>
        <w:rPr>
          <w:rtl/>
        </w:rPr>
      </w:pPr>
      <w:r>
        <w:rPr>
          <w:rFonts w:hint="cs"/>
          <w:rtl/>
        </w:rPr>
        <w:t>(</w:t>
      </w:r>
      <w:r w:rsidR="00E470AE">
        <w:rPr>
          <w:rtl/>
        </w:rPr>
        <w:t>2</w:t>
      </w:r>
      <w:r>
        <w:rPr>
          <w:rFonts w:hint="cs"/>
          <w:rtl/>
        </w:rPr>
        <w:t>)</w:t>
      </w:r>
      <w:r w:rsidR="00E470AE">
        <w:rPr>
          <w:rtl/>
        </w:rPr>
        <w:tab/>
        <w:t>ترحب اللجنة بتقديم غابون لتقريرها الأولي. بيد أنها تلاحظ أن هذا التقرير لا</w:t>
      </w:r>
      <w:r w:rsidR="00E470AE">
        <w:rPr>
          <w:rFonts w:hint="cs"/>
          <w:rtl/>
        </w:rPr>
        <w:t> </w:t>
      </w:r>
      <w:r w:rsidR="00E470AE">
        <w:rPr>
          <w:rtl/>
        </w:rPr>
        <w:t>يلتزم تماما</w:t>
      </w:r>
      <w:r w:rsidR="00E470AE">
        <w:rPr>
          <w:rFonts w:hint="cs"/>
          <w:rtl/>
        </w:rPr>
        <w:t>ً</w:t>
      </w:r>
      <w:r w:rsidR="00E470AE">
        <w:rPr>
          <w:rtl/>
        </w:rPr>
        <w:t xml:space="preserve"> بالمبادئ التوجيهية </w:t>
      </w:r>
      <w:r w:rsidR="00E470AE">
        <w:rPr>
          <w:rFonts w:hint="cs"/>
          <w:rtl/>
        </w:rPr>
        <w:t xml:space="preserve">التي وضعتها </w:t>
      </w:r>
      <w:r w:rsidR="00E470AE">
        <w:rPr>
          <w:rtl/>
        </w:rPr>
        <w:t xml:space="preserve">فيما يتعلق بإعداد التقارير وتعرب عن أسفها </w:t>
      </w:r>
      <w:r w:rsidR="00E470AE">
        <w:rPr>
          <w:rFonts w:hint="cs"/>
          <w:rtl/>
        </w:rPr>
        <w:t xml:space="preserve">لتأخر </w:t>
      </w:r>
      <w:r w:rsidR="00E470AE">
        <w:rPr>
          <w:rtl/>
        </w:rPr>
        <w:t xml:space="preserve">الدولة </w:t>
      </w:r>
      <w:r w:rsidR="00E470AE">
        <w:rPr>
          <w:rFonts w:hint="cs"/>
          <w:rtl/>
        </w:rPr>
        <w:t xml:space="preserve">الطرف 11 </w:t>
      </w:r>
      <w:r w:rsidR="00E470AE">
        <w:rPr>
          <w:rtl/>
        </w:rPr>
        <w:t>سن</w:t>
      </w:r>
      <w:r w:rsidR="00E470AE">
        <w:rPr>
          <w:rFonts w:hint="cs"/>
          <w:rtl/>
        </w:rPr>
        <w:t>ة</w:t>
      </w:r>
      <w:r w:rsidR="00E470AE">
        <w:rPr>
          <w:rtl/>
        </w:rPr>
        <w:t xml:space="preserve"> في تقديم تقريرها. </w:t>
      </w:r>
    </w:p>
    <w:p w:rsidR="00E470AE" w:rsidRDefault="00300C67" w:rsidP="00300C67">
      <w:pPr>
        <w:pStyle w:val="SingleTxtGA"/>
        <w:rPr>
          <w:rtl/>
        </w:rPr>
      </w:pPr>
      <w:r>
        <w:rPr>
          <w:rFonts w:hint="cs"/>
          <w:rtl/>
        </w:rPr>
        <w:t>(</w:t>
      </w:r>
      <w:r w:rsidR="00E470AE">
        <w:rPr>
          <w:rtl/>
        </w:rPr>
        <w:t>3</w:t>
      </w:r>
      <w:r>
        <w:rPr>
          <w:rFonts w:hint="cs"/>
          <w:rtl/>
        </w:rPr>
        <w:t>)</w:t>
      </w:r>
      <w:r w:rsidR="00E470AE">
        <w:rPr>
          <w:rtl/>
        </w:rPr>
        <w:tab/>
        <w:t xml:space="preserve">وترحب اللجنة بالحوار المفتوح الذي أجرته مع وفد رفيع المستوى من الدولة الطرف، وترحب أيضاً بالردود الشفوية التي قدمتها على الأسئلة التي طرحها أعضاء اللجنة أثناء النظر في التقرير. </w:t>
      </w:r>
    </w:p>
    <w:p w:rsidR="00E470AE" w:rsidRPr="00300C67" w:rsidRDefault="009F2FC3" w:rsidP="009F2FC3">
      <w:pPr>
        <w:pStyle w:val="H23GA"/>
        <w:tabs>
          <w:tab w:val="left" w:pos="1954"/>
        </w:tabs>
        <w:rPr>
          <w:rtl/>
        </w:rPr>
      </w:pPr>
      <w:r>
        <w:rPr>
          <w:rFonts w:hint="cs"/>
          <w:rtl/>
        </w:rPr>
        <w:tab/>
      </w:r>
      <w:r>
        <w:rPr>
          <w:rFonts w:hint="cs"/>
          <w:rtl/>
        </w:rPr>
        <w:tab/>
      </w:r>
      <w:r w:rsidR="00E470AE" w:rsidRPr="00300C67">
        <w:rPr>
          <w:rtl/>
        </w:rPr>
        <w:t>باء-</w:t>
      </w:r>
      <w:r w:rsidR="00E470AE" w:rsidRPr="00300C67">
        <w:rPr>
          <w:rtl/>
        </w:rPr>
        <w:tab/>
        <w:t>الجوانب الإيجابية</w:t>
      </w:r>
    </w:p>
    <w:p w:rsidR="00E470AE" w:rsidRDefault="00AF2776" w:rsidP="00AF2776">
      <w:pPr>
        <w:pStyle w:val="SingleTxtGA"/>
        <w:rPr>
          <w:rtl/>
        </w:rPr>
      </w:pPr>
      <w:r>
        <w:rPr>
          <w:rFonts w:hint="cs"/>
          <w:rtl/>
        </w:rPr>
        <w:t>(</w:t>
      </w:r>
      <w:r w:rsidR="00E470AE">
        <w:rPr>
          <w:rtl/>
        </w:rPr>
        <w:t>4</w:t>
      </w:r>
      <w:r>
        <w:rPr>
          <w:rFonts w:hint="cs"/>
          <w:rtl/>
        </w:rPr>
        <w:t>)</w:t>
      </w:r>
      <w:r w:rsidR="00E470AE">
        <w:rPr>
          <w:rtl/>
        </w:rPr>
        <w:tab/>
      </w:r>
      <w:r w:rsidR="00E470AE">
        <w:rPr>
          <w:rFonts w:hint="cs"/>
          <w:rtl/>
        </w:rPr>
        <w:t xml:space="preserve">تلاحظ </w:t>
      </w:r>
      <w:r w:rsidR="00E470AE">
        <w:rPr>
          <w:rtl/>
        </w:rPr>
        <w:t xml:space="preserve">اللجنة </w:t>
      </w:r>
      <w:r w:rsidR="00E470AE">
        <w:rPr>
          <w:rFonts w:hint="cs"/>
          <w:rtl/>
        </w:rPr>
        <w:t xml:space="preserve">مع التقدير انضمام </w:t>
      </w:r>
      <w:r w:rsidR="00E470AE">
        <w:rPr>
          <w:rtl/>
        </w:rPr>
        <w:t>الدولة الطرف إلى الصكوك الدولية التالية أو</w:t>
      </w:r>
      <w:r w:rsidR="00E470AE">
        <w:rPr>
          <w:rFonts w:hint="cs"/>
          <w:rtl/>
        </w:rPr>
        <w:t> </w:t>
      </w:r>
      <w:r w:rsidR="00E470AE">
        <w:rPr>
          <w:rtl/>
        </w:rPr>
        <w:t>التصديق عليها:</w:t>
      </w:r>
    </w:p>
    <w:p w:rsidR="00E470AE" w:rsidRDefault="00E470AE" w:rsidP="00E470AE">
      <w:pPr>
        <w:pStyle w:val="SingleTxtGA"/>
        <w:rPr>
          <w:rtl/>
        </w:rPr>
      </w:pPr>
      <w:r>
        <w:rPr>
          <w:rtl/>
        </w:rPr>
        <w:tab/>
        <w:t>(أ)</w:t>
      </w:r>
      <w:r>
        <w:rPr>
          <w:rtl/>
        </w:rPr>
        <w:tab/>
        <w:t>الاتفاقية الدولية لحماية جميع الأشخاص من الاختفاء القسري (19 كانون الثاني/يناير 2011)؛</w:t>
      </w:r>
    </w:p>
    <w:p w:rsidR="00E470AE" w:rsidRDefault="00E470AE" w:rsidP="00E470AE">
      <w:pPr>
        <w:pStyle w:val="SingleTxtGA"/>
        <w:rPr>
          <w:rtl/>
        </w:rPr>
      </w:pPr>
      <w:r>
        <w:rPr>
          <w:rtl/>
        </w:rPr>
        <w:tab/>
        <w:t>(ب)</w:t>
      </w:r>
      <w:r>
        <w:rPr>
          <w:rtl/>
        </w:rPr>
        <w:tab/>
        <w:t>البروتوكول الاختياري لاتفاقية مناهضة التعذيب وغيره من ضروب المعاملة أو العقوبة القاسية أو اللاإنسانية أو المهينة (22 أيلول/سبتمبر 2010)؛</w:t>
      </w:r>
    </w:p>
    <w:p w:rsidR="00E470AE" w:rsidRDefault="00E470AE" w:rsidP="00E470AE">
      <w:pPr>
        <w:pStyle w:val="SingleTxtGA"/>
        <w:rPr>
          <w:rtl/>
        </w:rPr>
      </w:pPr>
      <w:r>
        <w:rPr>
          <w:rtl/>
        </w:rPr>
        <w:tab/>
        <w:t>(ج)</w:t>
      </w:r>
      <w:r>
        <w:rPr>
          <w:rtl/>
        </w:rPr>
        <w:tab/>
        <w:t>بروتوكول منع وقمع ومعاقبة الاتجار بالأشخاص، وبخاصة النساء والأطفال، المكمل لاتفاقية الأمم المتحدة لمكافحة الجريمة المنظمة عبر الوطنية (8 تشرين الأول/أكتوبر 2010)؛</w:t>
      </w:r>
    </w:p>
    <w:p w:rsidR="00E470AE" w:rsidRDefault="00E470AE" w:rsidP="00E470AE">
      <w:pPr>
        <w:pStyle w:val="SingleTxtGA"/>
        <w:rPr>
          <w:rtl/>
        </w:rPr>
      </w:pPr>
      <w:r>
        <w:rPr>
          <w:rFonts w:hint="cs"/>
          <w:rtl/>
        </w:rPr>
        <w:tab/>
      </w:r>
      <w:r>
        <w:rPr>
          <w:rtl/>
        </w:rPr>
        <w:t>(د)</w:t>
      </w:r>
      <w:r>
        <w:rPr>
          <w:rFonts w:hint="cs"/>
          <w:rtl/>
        </w:rPr>
        <w:tab/>
      </w:r>
      <w:r>
        <w:rPr>
          <w:rtl/>
        </w:rPr>
        <w:t>البروتوكول الاختياري لاتفاقية حقوق الطفل المتعلق بإشراك الأطفال في النزاعات المسلحة ( 21 أيلول/سبتمبر 2010)؛</w:t>
      </w:r>
    </w:p>
    <w:p w:rsidR="00E470AE" w:rsidRDefault="00E470AE" w:rsidP="00E470AE">
      <w:pPr>
        <w:pStyle w:val="SingleTxtGA"/>
        <w:rPr>
          <w:rtl/>
        </w:rPr>
      </w:pPr>
      <w:r>
        <w:rPr>
          <w:rFonts w:hint="cs"/>
          <w:rtl/>
        </w:rPr>
        <w:tab/>
      </w:r>
      <w:r>
        <w:rPr>
          <w:rtl/>
        </w:rPr>
        <w:t>(ه</w:t>
      </w:r>
      <w:r>
        <w:rPr>
          <w:rFonts w:hint="cs"/>
          <w:rtl/>
        </w:rPr>
        <w:t>‍(</w:t>
      </w:r>
      <w:r>
        <w:rPr>
          <w:rFonts w:hint="cs"/>
          <w:rtl/>
        </w:rPr>
        <w:tab/>
      </w:r>
      <w:r>
        <w:rPr>
          <w:rtl/>
        </w:rPr>
        <w:t>اتفاقية حقوق الأشخاص ذوي الإعاقة (17 أيلول/سبتمبر 2007)؛</w:t>
      </w:r>
    </w:p>
    <w:p w:rsidR="00E470AE" w:rsidRDefault="00E470AE" w:rsidP="00E470AE">
      <w:pPr>
        <w:pStyle w:val="SingleTxtGA"/>
        <w:rPr>
          <w:rtl/>
        </w:rPr>
      </w:pPr>
      <w:r>
        <w:rPr>
          <w:rFonts w:hint="cs"/>
          <w:rtl/>
        </w:rPr>
        <w:tab/>
      </w:r>
      <w:r>
        <w:rPr>
          <w:rtl/>
        </w:rPr>
        <w:t>(و)</w:t>
      </w:r>
      <w:r>
        <w:rPr>
          <w:rFonts w:hint="cs"/>
          <w:rtl/>
        </w:rPr>
        <w:tab/>
      </w:r>
      <w:r>
        <w:rPr>
          <w:rtl/>
        </w:rPr>
        <w:t>البروتوكول الاختيار</w:t>
      </w:r>
      <w:r>
        <w:rPr>
          <w:rFonts w:hint="cs"/>
          <w:rtl/>
        </w:rPr>
        <w:t>ي</w:t>
      </w:r>
      <w:r>
        <w:rPr>
          <w:rtl/>
        </w:rPr>
        <w:t xml:space="preserve"> لاتفاقية حقوق الطفل المتعلق ببيع الأطفال واستغلالهم في الدعارة و</w:t>
      </w:r>
      <w:r>
        <w:rPr>
          <w:rFonts w:hint="cs"/>
          <w:rtl/>
        </w:rPr>
        <w:t xml:space="preserve">في </w:t>
      </w:r>
      <w:r>
        <w:rPr>
          <w:rtl/>
        </w:rPr>
        <w:t>المواد الإباحية (10 أيلول/سبتمبر 2007)؛</w:t>
      </w:r>
    </w:p>
    <w:p w:rsidR="00E470AE" w:rsidRDefault="00E470AE" w:rsidP="00E470AE">
      <w:pPr>
        <w:pStyle w:val="SingleTxtGA"/>
        <w:rPr>
          <w:rtl/>
        </w:rPr>
      </w:pPr>
      <w:r>
        <w:rPr>
          <w:rFonts w:hint="cs"/>
          <w:rtl/>
        </w:rPr>
        <w:tab/>
      </w:r>
      <w:r>
        <w:rPr>
          <w:rtl/>
        </w:rPr>
        <w:t>(ز)</w:t>
      </w:r>
      <w:r>
        <w:rPr>
          <w:rFonts w:hint="cs"/>
          <w:rtl/>
        </w:rPr>
        <w:tab/>
      </w:r>
      <w:r>
        <w:rPr>
          <w:rtl/>
        </w:rPr>
        <w:t>اتفاقية الأمم المتحدة لمكافحة الجريمة المنظمة عبر الوطنية (10 كانون الأول/ديسمبر 2004)؛</w:t>
      </w:r>
    </w:p>
    <w:p w:rsidR="00E470AE" w:rsidRDefault="00E470AE" w:rsidP="00E470AE">
      <w:pPr>
        <w:pStyle w:val="SingleTxtGA"/>
        <w:rPr>
          <w:rtl/>
        </w:rPr>
      </w:pPr>
      <w:r>
        <w:rPr>
          <w:rFonts w:hint="cs"/>
          <w:rtl/>
        </w:rPr>
        <w:tab/>
      </w:r>
      <w:r>
        <w:rPr>
          <w:rtl/>
        </w:rPr>
        <w:t>(ح)</w:t>
      </w:r>
      <w:r>
        <w:rPr>
          <w:rFonts w:hint="cs"/>
          <w:rtl/>
        </w:rPr>
        <w:tab/>
      </w:r>
      <w:r>
        <w:rPr>
          <w:rtl/>
        </w:rPr>
        <w:t>البروتوكول الاختياري لاتفاقية القضاء على جميع أشكال التمييز ضد المرأة (5 تشرين الثاني/نوفمبر 2004)؛</w:t>
      </w:r>
    </w:p>
    <w:p w:rsidR="00E470AE" w:rsidRPr="002574A6" w:rsidRDefault="00E470AE" w:rsidP="00E470AE">
      <w:pPr>
        <w:pStyle w:val="SingleTxtGA"/>
        <w:rPr>
          <w:w w:val="91"/>
          <w:rtl/>
        </w:rPr>
      </w:pPr>
      <w:r w:rsidRPr="002574A6">
        <w:rPr>
          <w:rFonts w:hint="cs"/>
          <w:spacing w:val="-6"/>
          <w:rtl/>
        </w:rPr>
        <w:tab/>
      </w:r>
      <w:r w:rsidRPr="002574A6">
        <w:rPr>
          <w:spacing w:val="-6"/>
          <w:rtl/>
        </w:rPr>
        <w:t>(ط)</w:t>
      </w:r>
      <w:r w:rsidRPr="002574A6">
        <w:rPr>
          <w:rFonts w:hint="cs"/>
          <w:spacing w:val="-6"/>
          <w:rtl/>
        </w:rPr>
        <w:tab/>
      </w:r>
      <w:r w:rsidRPr="002574A6">
        <w:rPr>
          <w:w w:val="91"/>
          <w:rtl/>
        </w:rPr>
        <w:t xml:space="preserve">نظام روما الأساسي المنشئ للمحكمة الجنائية الدولية (20 أيلول/سبتمبر 2000). </w:t>
      </w:r>
    </w:p>
    <w:p w:rsidR="00E470AE" w:rsidRDefault="00AF2776" w:rsidP="00AF2776">
      <w:pPr>
        <w:pStyle w:val="SingleTxtGA"/>
        <w:rPr>
          <w:rtl/>
        </w:rPr>
      </w:pPr>
      <w:r>
        <w:rPr>
          <w:rFonts w:hint="cs"/>
          <w:rtl/>
        </w:rPr>
        <w:t>(</w:t>
      </w:r>
      <w:r w:rsidR="00E470AE">
        <w:rPr>
          <w:rtl/>
        </w:rPr>
        <w:t>5</w:t>
      </w:r>
      <w:r>
        <w:rPr>
          <w:rFonts w:hint="cs"/>
          <w:rtl/>
        </w:rPr>
        <w:t>)</w:t>
      </w:r>
      <w:r w:rsidR="00E470AE">
        <w:rPr>
          <w:rtl/>
        </w:rPr>
        <w:tab/>
        <w:t>و</w:t>
      </w:r>
      <w:r w:rsidR="00E470AE">
        <w:rPr>
          <w:rFonts w:hint="cs"/>
          <w:rtl/>
        </w:rPr>
        <w:t>تحيط</w:t>
      </w:r>
      <w:r w:rsidR="00E470AE">
        <w:rPr>
          <w:rtl/>
        </w:rPr>
        <w:t xml:space="preserve"> اللجنة </w:t>
      </w:r>
      <w:r w:rsidR="00E470AE">
        <w:rPr>
          <w:rFonts w:hint="cs"/>
          <w:rtl/>
        </w:rPr>
        <w:t xml:space="preserve">علماً </w:t>
      </w:r>
      <w:r w:rsidR="00E470AE">
        <w:rPr>
          <w:rtl/>
        </w:rPr>
        <w:t>بالجهود التي بذلتها الدولة الطرف لمراجعة تشريعاتها، ولا سيما:</w:t>
      </w:r>
    </w:p>
    <w:p w:rsidR="00E470AE" w:rsidRDefault="00E470AE" w:rsidP="00E470AE">
      <w:pPr>
        <w:pStyle w:val="SingleTxtGA"/>
        <w:rPr>
          <w:rtl/>
        </w:rPr>
      </w:pPr>
      <w:r>
        <w:rPr>
          <w:rtl/>
        </w:rPr>
        <w:tab/>
        <w:t>(أ)</w:t>
      </w:r>
      <w:r>
        <w:rPr>
          <w:rtl/>
        </w:rPr>
        <w:tab/>
        <w:t xml:space="preserve">اعتماد القانون رقم 36/10 المؤرخ 25 </w:t>
      </w:r>
      <w:r>
        <w:rPr>
          <w:rFonts w:hint="cs"/>
          <w:rtl/>
        </w:rPr>
        <w:t xml:space="preserve">تشرين الثاني/نوفمبر </w:t>
      </w:r>
      <w:r>
        <w:rPr>
          <w:rtl/>
        </w:rPr>
        <w:t>2010 والمتعلق بقانون الإجراءات الجنائية في غابون؛</w:t>
      </w:r>
    </w:p>
    <w:p w:rsidR="00E470AE" w:rsidRPr="002574A6" w:rsidRDefault="00E470AE" w:rsidP="00E470AE">
      <w:pPr>
        <w:pStyle w:val="SingleTxtGA"/>
        <w:rPr>
          <w:spacing w:val="-2"/>
          <w:rtl/>
        </w:rPr>
      </w:pPr>
      <w:r w:rsidRPr="002574A6">
        <w:rPr>
          <w:spacing w:val="-2"/>
          <w:rtl/>
        </w:rPr>
        <w:tab/>
        <w:t>(ب)</w:t>
      </w:r>
      <w:r w:rsidRPr="002574A6">
        <w:rPr>
          <w:spacing w:val="-2"/>
          <w:rtl/>
        </w:rPr>
        <w:tab/>
        <w:t xml:space="preserve">اعتماد القانون رقم 3/2010 </w:t>
      </w:r>
      <w:r w:rsidRPr="002574A6">
        <w:rPr>
          <w:rFonts w:hint="cs"/>
          <w:spacing w:val="-2"/>
          <w:rtl/>
        </w:rPr>
        <w:t xml:space="preserve">في عام </w:t>
      </w:r>
      <w:r w:rsidRPr="002574A6">
        <w:rPr>
          <w:spacing w:val="-2"/>
          <w:rtl/>
        </w:rPr>
        <w:t>2010 والمتعلق بإلغاء عقوبة الإعدام؛</w:t>
      </w:r>
    </w:p>
    <w:p w:rsidR="00E470AE" w:rsidRDefault="00E470AE" w:rsidP="00E470AE">
      <w:pPr>
        <w:pStyle w:val="SingleTxtGA"/>
        <w:rPr>
          <w:rtl/>
        </w:rPr>
      </w:pPr>
      <w:r>
        <w:rPr>
          <w:rFonts w:hint="cs"/>
          <w:rtl/>
        </w:rPr>
        <w:tab/>
      </w:r>
      <w:r>
        <w:rPr>
          <w:rtl/>
        </w:rPr>
        <w:t>(ج)</w:t>
      </w:r>
      <w:r>
        <w:rPr>
          <w:rFonts w:hint="cs"/>
          <w:rtl/>
        </w:rPr>
        <w:tab/>
      </w:r>
      <w:r>
        <w:rPr>
          <w:rtl/>
        </w:rPr>
        <w:t xml:space="preserve">اعتماد القانون رقم 0038/2008 المؤرخ 29 كانون الثاني/يناير 2009 والمتعلق بالتصدي لتشويه الأعضاء التناسلية </w:t>
      </w:r>
      <w:r>
        <w:rPr>
          <w:rFonts w:hint="cs"/>
          <w:rtl/>
        </w:rPr>
        <w:t xml:space="preserve">الأنثوية </w:t>
      </w:r>
      <w:r>
        <w:rPr>
          <w:rtl/>
        </w:rPr>
        <w:t>ومنعه؛</w:t>
      </w:r>
    </w:p>
    <w:p w:rsidR="00E470AE" w:rsidRDefault="00E470AE" w:rsidP="00E470AE">
      <w:pPr>
        <w:pStyle w:val="SingleTxtGA"/>
        <w:rPr>
          <w:rtl/>
        </w:rPr>
      </w:pPr>
      <w:r>
        <w:rPr>
          <w:rFonts w:hint="cs"/>
          <w:rtl/>
        </w:rPr>
        <w:tab/>
      </w:r>
      <w:r>
        <w:rPr>
          <w:rtl/>
        </w:rPr>
        <w:t>(د)</w:t>
      </w:r>
      <w:r>
        <w:rPr>
          <w:rFonts w:hint="cs"/>
          <w:rtl/>
        </w:rPr>
        <w:tab/>
      </w:r>
      <w:r>
        <w:rPr>
          <w:rtl/>
        </w:rPr>
        <w:t xml:space="preserve">اعتماد المرسوم رقم </w:t>
      </w:r>
      <w:r>
        <w:t>013/PR/2010</w:t>
      </w:r>
      <w:r>
        <w:rPr>
          <w:rtl/>
        </w:rPr>
        <w:t xml:space="preserve"> المؤرخ 9 نيسان/أبريل 2010 والمتعلق بالمركز الخاص لرجال الشرطة والذي تصنف المادة 135 منه مسؤولية رجال الشرطة عند ارتكاب الخطأ إلى صنفين وهما الخطأ التأديب</w:t>
      </w:r>
      <w:r>
        <w:rPr>
          <w:rFonts w:hint="cs"/>
          <w:rtl/>
        </w:rPr>
        <w:t>‍</w:t>
      </w:r>
      <w:r>
        <w:rPr>
          <w:rtl/>
        </w:rPr>
        <w:t>ي والخطأ المهني.</w:t>
      </w:r>
    </w:p>
    <w:p w:rsidR="00E470AE" w:rsidRPr="00F37671" w:rsidRDefault="005332AA" w:rsidP="005332AA">
      <w:pPr>
        <w:pStyle w:val="SingleTxtGA"/>
        <w:rPr>
          <w:spacing w:val="-4"/>
          <w:rtl/>
        </w:rPr>
      </w:pPr>
      <w:r>
        <w:rPr>
          <w:rFonts w:hint="cs"/>
          <w:spacing w:val="-4"/>
          <w:rtl/>
        </w:rPr>
        <w:t>(</w:t>
      </w:r>
      <w:r w:rsidR="00E470AE" w:rsidRPr="00F37671">
        <w:rPr>
          <w:spacing w:val="-4"/>
          <w:rtl/>
        </w:rPr>
        <w:t>6</w:t>
      </w:r>
      <w:r>
        <w:rPr>
          <w:rFonts w:hint="cs"/>
          <w:spacing w:val="-4"/>
          <w:rtl/>
        </w:rPr>
        <w:t>)</w:t>
      </w:r>
      <w:r w:rsidR="00E470AE" w:rsidRPr="00F37671">
        <w:rPr>
          <w:spacing w:val="-4"/>
          <w:rtl/>
        </w:rPr>
        <w:tab/>
        <w:t>وترحب اللجنة بإنشاء اللجنة الوطنية لصياغة تقارير حقوق الإنسان في غابون في كانون الثاني/يناير 2007</w:t>
      </w:r>
      <w:r w:rsidR="00E470AE">
        <w:rPr>
          <w:rFonts w:hint="cs"/>
          <w:spacing w:val="-4"/>
          <w:rtl/>
        </w:rPr>
        <w:t>،</w:t>
      </w:r>
      <w:r w:rsidR="00E470AE" w:rsidRPr="00F37671">
        <w:rPr>
          <w:spacing w:val="-4"/>
          <w:rtl/>
        </w:rPr>
        <w:t xml:space="preserve"> وبتوقيع الاتفاق المتعدد الأطراف للتعاون الإقليمي في مجال </w:t>
      </w:r>
      <w:r w:rsidR="00E470AE" w:rsidRPr="00F37671">
        <w:rPr>
          <w:rFonts w:hint="cs"/>
          <w:spacing w:val="-4"/>
          <w:rtl/>
        </w:rPr>
        <w:t xml:space="preserve">مكافحة </w:t>
      </w:r>
      <w:r w:rsidR="00E470AE" w:rsidRPr="00F37671">
        <w:rPr>
          <w:spacing w:val="-4"/>
          <w:rtl/>
        </w:rPr>
        <w:t>الاتجار بالبشر، وبخاصة النساء والأطفال، في غرب ووسط أفريقيا وباعتماد قرارها لمكافحة ا</w:t>
      </w:r>
      <w:r w:rsidR="00E470AE">
        <w:rPr>
          <w:spacing w:val="-4"/>
          <w:rtl/>
        </w:rPr>
        <w:t xml:space="preserve">لاتجار بالبشر. وترحب اللجنة أيضاً </w:t>
      </w:r>
      <w:r w:rsidR="00E470AE" w:rsidRPr="00F37671">
        <w:rPr>
          <w:spacing w:val="-4"/>
          <w:rtl/>
        </w:rPr>
        <w:t>بتعاون الدولة الطرف مع المقررة الخاصة المعنية بالاتجار بالأشخاص، لا</w:t>
      </w:r>
      <w:r w:rsidR="00E470AE">
        <w:rPr>
          <w:rFonts w:hint="cs"/>
          <w:spacing w:val="-4"/>
          <w:rtl/>
        </w:rPr>
        <w:t> </w:t>
      </w:r>
      <w:r w:rsidR="00E470AE" w:rsidRPr="00F37671">
        <w:rPr>
          <w:spacing w:val="-4"/>
          <w:rtl/>
        </w:rPr>
        <w:t xml:space="preserve">سيما النساء والأطفال، </w:t>
      </w:r>
      <w:r w:rsidR="00E470AE" w:rsidRPr="00F37671">
        <w:rPr>
          <w:rFonts w:hint="cs"/>
          <w:spacing w:val="-4"/>
          <w:rtl/>
        </w:rPr>
        <w:t xml:space="preserve">والتي زارت </w:t>
      </w:r>
      <w:r w:rsidR="00E470AE" w:rsidRPr="00F37671">
        <w:rPr>
          <w:spacing w:val="-4"/>
          <w:rtl/>
        </w:rPr>
        <w:t xml:space="preserve">غابون </w:t>
      </w:r>
      <w:r w:rsidR="00E470AE" w:rsidRPr="00F37671">
        <w:rPr>
          <w:rFonts w:hint="cs"/>
          <w:spacing w:val="-4"/>
          <w:rtl/>
        </w:rPr>
        <w:t xml:space="preserve">في الفترة </w:t>
      </w:r>
      <w:r w:rsidR="00E470AE" w:rsidRPr="00F37671">
        <w:rPr>
          <w:spacing w:val="-4"/>
          <w:rtl/>
        </w:rPr>
        <w:t xml:space="preserve">من 14 إلى 18 أيار/مايو 2012. </w:t>
      </w:r>
    </w:p>
    <w:p w:rsidR="00E470AE" w:rsidRPr="005332AA" w:rsidRDefault="009F2FC3" w:rsidP="009F2FC3">
      <w:pPr>
        <w:pStyle w:val="H23GA"/>
        <w:tabs>
          <w:tab w:val="left" w:pos="1940"/>
        </w:tabs>
        <w:rPr>
          <w:rtl/>
        </w:rPr>
      </w:pPr>
      <w:r>
        <w:rPr>
          <w:rFonts w:hint="cs"/>
          <w:rtl/>
        </w:rPr>
        <w:tab/>
      </w:r>
      <w:r>
        <w:rPr>
          <w:rFonts w:hint="cs"/>
          <w:rtl/>
        </w:rPr>
        <w:tab/>
      </w:r>
      <w:r w:rsidR="00E470AE" w:rsidRPr="005332AA">
        <w:rPr>
          <w:rtl/>
        </w:rPr>
        <w:t>جيم-</w:t>
      </w:r>
      <w:r w:rsidR="00E470AE" w:rsidRPr="005332AA">
        <w:rPr>
          <w:rtl/>
        </w:rPr>
        <w:tab/>
        <w:t>دواعي القلق الرئيسية والتوصيات</w:t>
      </w:r>
    </w:p>
    <w:p w:rsidR="00E470AE" w:rsidRPr="005332AA" w:rsidRDefault="009F2FC3" w:rsidP="009F2FC3">
      <w:pPr>
        <w:pStyle w:val="H23GA"/>
        <w:rPr>
          <w:rtl/>
        </w:rPr>
      </w:pPr>
      <w:r>
        <w:rPr>
          <w:rFonts w:hint="cs"/>
          <w:rtl/>
        </w:rPr>
        <w:tab/>
      </w:r>
      <w:r>
        <w:rPr>
          <w:rFonts w:hint="cs"/>
          <w:rtl/>
        </w:rPr>
        <w:tab/>
      </w:r>
      <w:r w:rsidR="00E470AE" w:rsidRPr="005332AA">
        <w:rPr>
          <w:rtl/>
        </w:rPr>
        <w:t xml:space="preserve">تعريف التعذيب </w:t>
      </w:r>
    </w:p>
    <w:p w:rsidR="00E470AE" w:rsidRPr="00F37671" w:rsidRDefault="005332AA" w:rsidP="005332AA">
      <w:pPr>
        <w:pStyle w:val="SingleTxtGA"/>
        <w:rPr>
          <w:spacing w:val="-2"/>
          <w:rtl/>
        </w:rPr>
      </w:pPr>
      <w:r>
        <w:rPr>
          <w:rFonts w:hint="cs"/>
          <w:spacing w:val="-2"/>
          <w:rtl/>
        </w:rPr>
        <w:t>(</w:t>
      </w:r>
      <w:r w:rsidR="00E470AE" w:rsidRPr="00F37671">
        <w:rPr>
          <w:spacing w:val="-2"/>
          <w:rtl/>
        </w:rPr>
        <w:t>7</w:t>
      </w:r>
      <w:r>
        <w:rPr>
          <w:rFonts w:hint="cs"/>
          <w:spacing w:val="-2"/>
          <w:rtl/>
        </w:rPr>
        <w:t>)</w:t>
      </w:r>
      <w:r w:rsidR="00E470AE" w:rsidRPr="00F37671">
        <w:rPr>
          <w:spacing w:val="-2"/>
          <w:rtl/>
        </w:rPr>
        <w:tab/>
      </w:r>
      <w:r w:rsidR="00E470AE" w:rsidRPr="00F37671">
        <w:rPr>
          <w:rFonts w:hint="cs"/>
          <w:spacing w:val="-2"/>
          <w:rtl/>
        </w:rPr>
        <w:t xml:space="preserve">تعرب </w:t>
      </w:r>
      <w:r w:rsidR="00E470AE" w:rsidRPr="00F37671">
        <w:rPr>
          <w:spacing w:val="-2"/>
          <w:rtl/>
        </w:rPr>
        <w:t xml:space="preserve">اللجنة </w:t>
      </w:r>
      <w:r w:rsidR="00E470AE" w:rsidRPr="00F37671">
        <w:rPr>
          <w:rFonts w:hint="cs"/>
          <w:spacing w:val="-2"/>
          <w:rtl/>
        </w:rPr>
        <w:t xml:space="preserve">عن قلقها لأن </w:t>
      </w:r>
      <w:r w:rsidR="00E470AE" w:rsidRPr="00F37671">
        <w:rPr>
          <w:spacing w:val="-2"/>
          <w:rtl/>
        </w:rPr>
        <w:t xml:space="preserve">الإشارة إلى مفهوم التعذيب في الفقرة 1 من المادة 1 من الباب التمهيدي للدستور والمادة 253 من القانون الجنائي في غابون لا تكرس تعريف التعذيب بما في ذلك </w:t>
      </w:r>
      <w:r w:rsidR="00E470AE" w:rsidRPr="00F37671">
        <w:rPr>
          <w:rFonts w:hint="cs"/>
          <w:spacing w:val="-2"/>
          <w:rtl/>
        </w:rPr>
        <w:t>ال</w:t>
      </w:r>
      <w:r w:rsidR="00E470AE" w:rsidRPr="00F37671">
        <w:rPr>
          <w:spacing w:val="-2"/>
          <w:rtl/>
        </w:rPr>
        <w:t>أفعال التي تلحق</w:t>
      </w:r>
      <w:r w:rsidR="00E470AE" w:rsidRPr="00F37671">
        <w:rPr>
          <w:rFonts w:hint="cs"/>
          <w:spacing w:val="-2"/>
          <w:rtl/>
        </w:rPr>
        <w:t xml:space="preserve"> آلاماً أو معاناة نفسية. ويقلقها كذلك أن </w:t>
      </w:r>
      <w:r w:rsidR="00E470AE" w:rsidRPr="00F37671">
        <w:rPr>
          <w:spacing w:val="-2"/>
          <w:rtl/>
        </w:rPr>
        <w:t xml:space="preserve">قانونها الجنائي </w:t>
      </w:r>
      <w:r w:rsidR="00E470AE" w:rsidRPr="00F37671">
        <w:rPr>
          <w:rFonts w:hint="cs"/>
          <w:spacing w:val="-2"/>
          <w:rtl/>
        </w:rPr>
        <w:t xml:space="preserve">لا يتضمن </w:t>
      </w:r>
      <w:r w:rsidR="00E470AE" w:rsidRPr="00F37671">
        <w:rPr>
          <w:spacing w:val="-2"/>
          <w:rtl/>
        </w:rPr>
        <w:t>تعريفا</w:t>
      </w:r>
      <w:r w:rsidR="00E470AE" w:rsidRPr="00F37671">
        <w:rPr>
          <w:rFonts w:hint="cs"/>
          <w:spacing w:val="-2"/>
          <w:rtl/>
        </w:rPr>
        <w:t>ً</w:t>
      </w:r>
      <w:r w:rsidR="00E470AE" w:rsidRPr="00F37671">
        <w:rPr>
          <w:spacing w:val="-2"/>
          <w:rtl/>
        </w:rPr>
        <w:t xml:space="preserve"> مع كل ما يصاحب ذلك من إخلال بالتزاماتها إزاء الاتفاقية (المادة 1).</w:t>
      </w:r>
      <w:r w:rsidR="00E470AE">
        <w:rPr>
          <w:spacing w:val="-2"/>
          <w:rtl/>
        </w:rPr>
        <w:t xml:space="preserve"> </w:t>
      </w:r>
    </w:p>
    <w:p w:rsidR="00E470AE" w:rsidRPr="00F37671" w:rsidRDefault="00E470AE" w:rsidP="00E470AE">
      <w:pPr>
        <w:pStyle w:val="SingleTxtGA"/>
        <w:rPr>
          <w:b/>
          <w:bCs/>
          <w:rtl/>
        </w:rPr>
      </w:pPr>
      <w:r w:rsidRPr="00F37671">
        <w:rPr>
          <w:b/>
          <w:bCs/>
          <w:rtl/>
        </w:rPr>
        <w:tab/>
        <w:t xml:space="preserve">يقع على الدولة الطرف التزام بمراجعة تشريعاتها، لا سيما قانونها الجنائي، بغية اعتماد تعريف للتعذيب بما في ذلك </w:t>
      </w:r>
      <w:r>
        <w:rPr>
          <w:rFonts w:hint="cs"/>
          <w:b/>
          <w:bCs/>
          <w:rtl/>
        </w:rPr>
        <w:t>ال</w:t>
      </w:r>
      <w:r w:rsidRPr="00F37671">
        <w:rPr>
          <w:b/>
          <w:bCs/>
          <w:rtl/>
        </w:rPr>
        <w:t xml:space="preserve">أفعال التي يترتب عليها إلحاق </w:t>
      </w:r>
      <w:r>
        <w:rPr>
          <w:rFonts w:hint="cs"/>
          <w:b/>
          <w:bCs/>
          <w:rtl/>
        </w:rPr>
        <w:t>آلام أو معاناة نفسية</w:t>
      </w:r>
      <w:r w:rsidRPr="00F37671">
        <w:rPr>
          <w:b/>
          <w:bCs/>
          <w:rtl/>
        </w:rPr>
        <w:t xml:space="preserve">، </w:t>
      </w:r>
      <w:r>
        <w:rPr>
          <w:rFonts w:hint="cs"/>
          <w:b/>
          <w:bCs/>
          <w:rtl/>
        </w:rPr>
        <w:t xml:space="preserve">طبقاً لأحكام </w:t>
      </w:r>
      <w:r w:rsidRPr="00F37671">
        <w:rPr>
          <w:b/>
          <w:bCs/>
          <w:rtl/>
        </w:rPr>
        <w:t>المادة 1 من الاتفاقية، وبتجريم التعذيب بو</w:t>
      </w:r>
      <w:r>
        <w:rPr>
          <w:b/>
          <w:bCs/>
          <w:rtl/>
        </w:rPr>
        <w:t xml:space="preserve">جه خاص. وينبغي للدولة الطرف أيضاً </w:t>
      </w:r>
      <w:r w:rsidRPr="00F37671">
        <w:rPr>
          <w:b/>
          <w:bCs/>
          <w:rtl/>
        </w:rPr>
        <w:t xml:space="preserve">أن تكفل </w:t>
      </w:r>
      <w:r>
        <w:rPr>
          <w:rFonts w:hint="cs"/>
          <w:b/>
          <w:bCs/>
          <w:rtl/>
        </w:rPr>
        <w:t xml:space="preserve">نصّ </w:t>
      </w:r>
      <w:r>
        <w:rPr>
          <w:b/>
          <w:bCs/>
          <w:rtl/>
        </w:rPr>
        <w:t xml:space="preserve">قانونها الجنائي </w:t>
      </w:r>
      <w:r w:rsidRPr="00F37671">
        <w:rPr>
          <w:b/>
          <w:bCs/>
          <w:rtl/>
        </w:rPr>
        <w:t>على عقوبات تتناسب مع أعمال التعذيب.</w:t>
      </w:r>
    </w:p>
    <w:p w:rsidR="00E470AE" w:rsidRDefault="00E470AE" w:rsidP="005332AA">
      <w:pPr>
        <w:pStyle w:val="H23GA"/>
        <w:rPr>
          <w:rtl/>
        </w:rPr>
      </w:pPr>
      <w:r>
        <w:rPr>
          <w:rFonts w:hint="cs"/>
          <w:rtl/>
        </w:rPr>
        <w:tab/>
      </w:r>
      <w:r>
        <w:rPr>
          <w:rtl/>
        </w:rPr>
        <w:tab/>
        <w:t xml:space="preserve">تجريم </w:t>
      </w:r>
      <w:r>
        <w:rPr>
          <w:rFonts w:hint="cs"/>
          <w:rtl/>
        </w:rPr>
        <w:t xml:space="preserve">محاولات </w:t>
      </w:r>
      <w:r>
        <w:rPr>
          <w:rtl/>
        </w:rPr>
        <w:t xml:space="preserve">الشروع في ارتكاب أعمال التعذيب </w:t>
      </w:r>
    </w:p>
    <w:p w:rsidR="00E470AE" w:rsidRDefault="005332AA" w:rsidP="005332AA">
      <w:pPr>
        <w:pStyle w:val="SingleTxtGA"/>
        <w:rPr>
          <w:rtl/>
        </w:rPr>
      </w:pPr>
      <w:r>
        <w:rPr>
          <w:rFonts w:hint="cs"/>
          <w:rtl/>
        </w:rPr>
        <w:t>(</w:t>
      </w:r>
      <w:r w:rsidR="00E470AE">
        <w:rPr>
          <w:rtl/>
        </w:rPr>
        <w:t>8</w:t>
      </w:r>
      <w:r>
        <w:rPr>
          <w:rFonts w:hint="cs"/>
          <w:rtl/>
        </w:rPr>
        <w:t>)</w:t>
      </w:r>
      <w:r w:rsidR="00E470AE">
        <w:rPr>
          <w:rtl/>
        </w:rPr>
        <w:tab/>
        <w:t xml:space="preserve">تشعر اللجنة بالقلق لأن أحكام المادتين 46 و47 من قانون الإجراءات الجنائية المعنيتين بإمكانية رفع شكوى واتخاذ إجراءات جنائية عن طريق </w:t>
      </w:r>
      <w:r w:rsidR="00E470AE">
        <w:rPr>
          <w:rFonts w:hint="cs"/>
          <w:rtl/>
        </w:rPr>
        <w:t xml:space="preserve">المدّعي العام للجمهورية </w:t>
      </w:r>
      <w:r w:rsidR="00E470AE">
        <w:rPr>
          <w:rtl/>
        </w:rPr>
        <w:t>لا</w:t>
      </w:r>
      <w:r w:rsidR="00E470AE">
        <w:rPr>
          <w:rFonts w:hint="cs"/>
          <w:rtl/>
        </w:rPr>
        <w:t xml:space="preserve"> تجرّم </w:t>
      </w:r>
      <w:r w:rsidR="00E470AE">
        <w:rPr>
          <w:rtl/>
        </w:rPr>
        <w:t xml:space="preserve">صراحة لا </w:t>
      </w:r>
      <w:r w:rsidR="00E470AE">
        <w:rPr>
          <w:rFonts w:hint="cs"/>
          <w:rtl/>
        </w:rPr>
        <w:t xml:space="preserve">محاولة </w:t>
      </w:r>
      <w:r w:rsidR="00E470AE">
        <w:rPr>
          <w:rtl/>
        </w:rPr>
        <w:t xml:space="preserve">الشروع في ارتكاب أعمال التعذيب ولا التواطؤ أو المشاركة في ارتكاب عمل من أعمال التعذيب وبالتالي </w:t>
      </w:r>
      <w:r w:rsidR="00E470AE">
        <w:rPr>
          <w:rFonts w:hint="cs"/>
          <w:rtl/>
        </w:rPr>
        <w:t xml:space="preserve">فإنها لا تفي </w:t>
      </w:r>
      <w:r w:rsidR="00E470AE">
        <w:rPr>
          <w:rtl/>
        </w:rPr>
        <w:t xml:space="preserve">بمقتضيات المادة 4 من الاتفاقية. </w:t>
      </w:r>
    </w:p>
    <w:p w:rsidR="00E470AE" w:rsidRPr="00F37671" w:rsidRDefault="00E470AE" w:rsidP="00E470AE">
      <w:pPr>
        <w:pStyle w:val="SingleTxtGA"/>
        <w:rPr>
          <w:b/>
          <w:bCs/>
          <w:rtl/>
        </w:rPr>
      </w:pPr>
      <w:r w:rsidRPr="00F37671">
        <w:rPr>
          <w:b/>
          <w:bCs/>
          <w:rtl/>
        </w:rPr>
        <w:tab/>
        <w:t xml:space="preserve">ينبغي للدولة الطرف أن تتخذ التدابير اللازمة كي </w:t>
      </w:r>
      <w:r>
        <w:rPr>
          <w:rFonts w:hint="cs"/>
          <w:b/>
          <w:bCs/>
          <w:rtl/>
        </w:rPr>
        <w:t xml:space="preserve">تجرم </w:t>
      </w:r>
      <w:r w:rsidRPr="00F37671">
        <w:rPr>
          <w:b/>
          <w:bCs/>
          <w:rtl/>
        </w:rPr>
        <w:t xml:space="preserve">بصورة واضحة في قانونها الجنائي </w:t>
      </w:r>
      <w:r>
        <w:rPr>
          <w:rFonts w:hint="cs"/>
          <w:b/>
          <w:bCs/>
          <w:rtl/>
        </w:rPr>
        <w:t xml:space="preserve">محاولة </w:t>
      </w:r>
      <w:r w:rsidRPr="00F37671">
        <w:rPr>
          <w:b/>
          <w:bCs/>
          <w:rtl/>
        </w:rPr>
        <w:t>الشروع في ارتكاب أعمال التعذيب والتواطؤ والمشاركة في ارتكاب أعمال التعذيب بموجب المادة 4 من الاتفاقية وأن ينص قانونها الجنائي على عقوبات ملائمة في هذا الصدد.</w:t>
      </w:r>
    </w:p>
    <w:p w:rsidR="00E470AE" w:rsidRDefault="00E470AE" w:rsidP="00E470AE">
      <w:pPr>
        <w:pStyle w:val="H23GA"/>
        <w:rPr>
          <w:rtl/>
        </w:rPr>
      </w:pPr>
      <w:r>
        <w:rPr>
          <w:rtl/>
        </w:rPr>
        <w:tab/>
      </w:r>
      <w:r>
        <w:rPr>
          <w:rtl/>
        </w:rPr>
        <w:tab/>
        <w:t>التطبيق المباشر للاتفاقية أمام المحاكم الوطنية</w:t>
      </w:r>
    </w:p>
    <w:p w:rsidR="00E470AE" w:rsidRDefault="005332AA" w:rsidP="005332AA">
      <w:pPr>
        <w:pStyle w:val="SingleTxtGA"/>
        <w:rPr>
          <w:rFonts w:hint="cs"/>
          <w:rtl/>
        </w:rPr>
      </w:pPr>
      <w:r>
        <w:rPr>
          <w:rFonts w:hint="cs"/>
          <w:rtl/>
        </w:rPr>
        <w:t>(</w:t>
      </w:r>
      <w:r w:rsidR="00E470AE">
        <w:rPr>
          <w:rtl/>
        </w:rPr>
        <w:t>9</w:t>
      </w:r>
      <w:r>
        <w:rPr>
          <w:rFonts w:hint="cs"/>
          <w:rtl/>
        </w:rPr>
        <w:t>)</w:t>
      </w:r>
      <w:r w:rsidR="00E470AE">
        <w:rPr>
          <w:rtl/>
        </w:rPr>
        <w:tab/>
        <w:t xml:space="preserve">في حين تحيط اللجنة علماً بالمعلومات الواردة إليها والتي تفيد بإمكانية احتجاج القاضي المحلي بالاتفاقية من باب الإطلاع فهي تعرب عن قلقها </w:t>
      </w:r>
      <w:r w:rsidR="00E470AE">
        <w:rPr>
          <w:rFonts w:hint="cs"/>
          <w:rtl/>
        </w:rPr>
        <w:t>لقلة ا</w:t>
      </w:r>
      <w:r w:rsidR="00E470AE">
        <w:rPr>
          <w:rtl/>
        </w:rPr>
        <w:t xml:space="preserve">لمعلومات بشأن القضايا التي طبقت فيها محاكم الدولة الطرف الاتفاقية أو التي </w:t>
      </w:r>
      <w:r w:rsidR="00E470AE">
        <w:rPr>
          <w:rFonts w:hint="cs"/>
          <w:rtl/>
        </w:rPr>
        <w:t xml:space="preserve">احتج </w:t>
      </w:r>
      <w:r w:rsidR="00E470AE">
        <w:rPr>
          <w:rtl/>
        </w:rPr>
        <w:t>بها فيها (المادة 2).</w:t>
      </w:r>
    </w:p>
    <w:p w:rsidR="00E470AE" w:rsidRPr="00F37671" w:rsidRDefault="00E470AE" w:rsidP="00E470AE">
      <w:pPr>
        <w:pStyle w:val="SingleTxtGA"/>
        <w:rPr>
          <w:b/>
          <w:bCs/>
          <w:rtl/>
        </w:rPr>
      </w:pPr>
      <w:r w:rsidRPr="00F37671">
        <w:rPr>
          <w:b/>
          <w:bCs/>
          <w:rtl/>
        </w:rPr>
        <w:tab/>
        <w:t>ينبغي للدولة الطرف أن توضح مركز الاتفاقية في نظامها ا</w:t>
      </w:r>
      <w:r>
        <w:rPr>
          <w:b/>
          <w:bCs/>
          <w:rtl/>
        </w:rPr>
        <w:t xml:space="preserve">لقانوني الداخلي. وينبغي لها أيضاً </w:t>
      </w:r>
      <w:r w:rsidRPr="00F37671">
        <w:rPr>
          <w:b/>
          <w:bCs/>
          <w:rtl/>
        </w:rPr>
        <w:t xml:space="preserve">أن تكفل تلقي الموظفين العموميين والقضاة وقضاة </w:t>
      </w:r>
      <w:r>
        <w:rPr>
          <w:rFonts w:hint="cs"/>
          <w:b/>
          <w:bCs/>
          <w:rtl/>
        </w:rPr>
        <w:t xml:space="preserve">محاكم </w:t>
      </w:r>
      <w:r w:rsidRPr="00F37671">
        <w:rPr>
          <w:b/>
          <w:bCs/>
          <w:rtl/>
        </w:rPr>
        <w:t xml:space="preserve">الصلح والمدعين العامين والمحامين التدريب على أحكام الاتفاقية لتيسير الاحتجاج بالحقوق الواردة فيها مباشرة أمام المحاكم الوطنية وضمان احترامها </w:t>
      </w:r>
      <w:r>
        <w:rPr>
          <w:b/>
          <w:bCs/>
          <w:rtl/>
        </w:rPr>
        <w:t xml:space="preserve">أمامها. وينبغي للدولة الطرف أيضاً </w:t>
      </w:r>
      <w:r w:rsidRPr="00F37671">
        <w:rPr>
          <w:b/>
          <w:bCs/>
          <w:rtl/>
        </w:rPr>
        <w:t xml:space="preserve">أن تزود اللجنة، في تقريرها الدوري المقبل، بأمثلة محددة وتوضيحية عن الحالات التي طبقت فيها الاتفاقية مباشرة أو </w:t>
      </w:r>
      <w:r>
        <w:rPr>
          <w:rFonts w:hint="cs"/>
          <w:b/>
          <w:bCs/>
          <w:rtl/>
        </w:rPr>
        <w:t xml:space="preserve">احتج </w:t>
      </w:r>
      <w:r w:rsidRPr="00F37671">
        <w:rPr>
          <w:b/>
          <w:bCs/>
          <w:rtl/>
        </w:rPr>
        <w:t xml:space="preserve">بها فيها. </w:t>
      </w:r>
    </w:p>
    <w:p w:rsidR="00E470AE" w:rsidRDefault="00E470AE" w:rsidP="00E470AE">
      <w:pPr>
        <w:pStyle w:val="H23GA"/>
        <w:spacing w:before="100" w:after="100"/>
        <w:rPr>
          <w:rtl/>
        </w:rPr>
      </w:pPr>
      <w:r>
        <w:rPr>
          <w:rtl/>
        </w:rPr>
        <w:tab/>
      </w:r>
      <w:r>
        <w:rPr>
          <w:rtl/>
        </w:rPr>
        <w:tab/>
        <w:t>الضمانات القانونية الأساسية</w:t>
      </w:r>
    </w:p>
    <w:p w:rsidR="00E470AE" w:rsidRDefault="005332AA" w:rsidP="005332AA">
      <w:pPr>
        <w:pStyle w:val="SingleTxtGA"/>
        <w:spacing w:after="100" w:line="370" w:lineRule="exact"/>
        <w:rPr>
          <w:rtl/>
        </w:rPr>
      </w:pPr>
      <w:r>
        <w:rPr>
          <w:rFonts w:hint="cs"/>
          <w:rtl/>
        </w:rPr>
        <w:t>(</w:t>
      </w:r>
      <w:r w:rsidR="00E470AE">
        <w:rPr>
          <w:rtl/>
        </w:rPr>
        <w:t>10</w:t>
      </w:r>
      <w:r>
        <w:rPr>
          <w:rFonts w:hint="cs"/>
          <w:rtl/>
        </w:rPr>
        <w:t>)</w:t>
      </w:r>
      <w:r w:rsidR="00E470AE">
        <w:rPr>
          <w:rtl/>
        </w:rPr>
        <w:tab/>
      </w:r>
      <w:r w:rsidR="00E470AE">
        <w:rPr>
          <w:rFonts w:hint="cs"/>
          <w:rtl/>
        </w:rPr>
        <w:t xml:space="preserve">في حين تلاحظ </w:t>
      </w:r>
      <w:r w:rsidR="00E470AE">
        <w:rPr>
          <w:rtl/>
        </w:rPr>
        <w:t xml:space="preserve">اللجنة </w:t>
      </w:r>
      <w:r w:rsidR="00E470AE">
        <w:rPr>
          <w:rFonts w:hint="cs"/>
          <w:rtl/>
        </w:rPr>
        <w:t xml:space="preserve">أن </w:t>
      </w:r>
      <w:r w:rsidR="00E470AE">
        <w:rPr>
          <w:rtl/>
        </w:rPr>
        <w:t xml:space="preserve">تشريع الدولة الطرف ينص على ضمانات قانونية أساسية للمحتجزين، </w:t>
      </w:r>
      <w:r w:rsidR="00E470AE">
        <w:rPr>
          <w:rFonts w:hint="cs"/>
          <w:rtl/>
        </w:rPr>
        <w:t>فإنها تشعر ب</w:t>
      </w:r>
      <w:r w:rsidR="00E470AE">
        <w:rPr>
          <w:rtl/>
        </w:rPr>
        <w:t xml:space="preserve">القلق إزاء التقارير التي تفيد بأن المحتجزين في مخافر الشرطة أو غيرها من مرافق الاحتجاز، لا يستفيدون بصورة منهجية من الضمانات القانونية الأساسية التي تنص عليها المادتان 53 و54 من قانون الإجراءات الجنائية، لا سيما إمكانية الوصول إلى محامٍ منذ بداية الاحتجاز وإمكانية الوصول إلى طبيب من اختيار الشخص المحتَجَز والحق في إخطار شخص من اختياره وفقاً للمعايير الدولية. </w:t>
      </w:r>
      <w:r w:rsidR="00E470AE">
        <w:rPr>
          <w:rFonts w:hint="cs"/>
          <w:rtl/>
        </w:rPr>
        <w:t xml:space="preserve">ولئن لاحظت </w:t>
      </w:r>
      <w:r w:rsidR="00E470AE">
        <w:rPr>
          <w:rtl/>
        </w:rPr>
        <w:t xml:space="preserve">اللجنة </w:t>
      </w:r>
      <w:r w:rsidR="00E470AE">
        <w:rPr>
          <w:rFonts w:hint="cs"/>
          <w:rtl/>
        </w:rPr>
        <w:t xml:space="preserve">أن </w:t>
      </w:r>
      <w:r w:rsidR="00E470AE">
        <w:rPr>
          <w:rtl/>
        </w:rPr>
        <w:t xml:space="preserve">مدة الحبس الاحتياطي المنصوص عليها في قانون الإجراءات الجنائية لا تتجاوز 48 ساعة، </w:t>
      </w:r>
      <w:r w:rsidR="00E470AE">
        <w:rPr>
          <w:rFonts w:hint="cs"/>
          <w:rtl/>
        </w:rPr>
        <w:t xml:space="preserve">فإنها تشعر بالقلق </w:t>
      </w:r>
      <w:r w:rsidR="00E470AE">
        <w:rPr>
          <w:rtl/>
        </w:rPr>
        <w:t xml:space="preserve">لأن </w:t>
      </w:r>
      <w:r w:rsidR="00E470AE">
        <w:rPr>
          <w:rFonts w:hint="cs"/>
          <w:rtl/>
        </w:rPr>
        <w:t xml:space="preserve">بإمكان </w:t>
      </w:r>
      <w:r w:rsidR="00E470AE">
        <w:rPr>
          <w:rtl/>
        </w:rPr>
        <w:t>الشرطة القضائية إصدار أمر احتجاز غير قابل للتجديد لمدة 8 أيام في بعض المناطق في انتظار مثول المتهم أمام قاضي التحقيق. و</w:t>
      </w:r>
      <w:r w:rsidR="00E470AE">
        <w:rPr>
          <w:rFonts w:hint="cs"/>
          <w:rtl/>
        </w:rPr>
        <w:t>تشعر</w:t>
      </w:r>
      <w:r w:rsidR="00E470AE">
        <w:rPr>
          <w:rtl/>
        </w:rPr>
        <w:t xml:space="preserve"> </w:t>
      </w:r>
      <w:r w:rsidR="00E470AE">
        <w:rPr>
          <w:rFonts w:hint="cs"/>
          <w:rtl/>
        </w:rPr>
        <w:t>ب</w:t>
      </w:r>
      <w:r w:rsidR="00E470AE">
        <w:rPr>
          <w:rtl/>
        </w:rPr>
        <w:t>القلق أيضاً لعدم وجود معلومات عن المدة القصوى للحبس الاحتياطي (المادة 2).</w:t>
      </w:r>
    </w:p>
    <w:p w:rsidR="00E470AE" w:rsidRPr="00F37671" w:rsidRDefault="00E470AE" w:rsidP="00E470AE">
      <w:pPr>
        <w:pStyle w:val="SingleTxtGA"/>
        <w:spacing w:after="100" w:line="370" w:lineRule="exact"/>
        <w:rPr>
          <w:b/>
          <w:bCs/>
          <w:rtl/>
        </w:rPr>
      </w:pPr>
      <w:r w:rsidRPr="00F37671">
        <w:rPr>
          <w:b/>
          <w:bCs/>
          <w:rtl/>
        </w:rPr>
        <w:tab/>
        <w:t xml:space="preserve">ينبغي للدولة الطرف أن تتخذ </w:t>
      </w:r>
      <w:r>
        <w:rPr>
          <w:rFonts w:hint="cs"/>
          <w:b/>
          <w:bCs/>
          <w:rtl/>
        </w:rPr>
        <w:t xml:space="preserve">بسرعة </w:t>
      </w:r>
      <w:r w:rsidRPr="00F37671">
        <w:rPr>
          <w:b/>
          <w:bCs/>
          <w:rtl/>
        </w:rPr>
        <w:t xml:space="preserve">تدابير فعالة لكي تكفل، </w:t>
      </w:r>
      <w:r>
        <w:rPr>
          <w:rFonts w:hint="cs"/>
          <w:b/>
          <w:bCs/>
          <w:rtl/>
        </w:rPr>
        <w:t>قانوناً وممارسة</w:t>
      </w:r>
      <w:r w:rsidRPr="00F37671">
        <w:rPr>
          <w:b/>
          <w:bCs/>
          <w:rtl/>
        </w:rPr>
        <w:t>، توفير جميع الضمانات القانونية الأساسية لجميع المحتجزين منذ الوهلة الأولى لاحتجازهم. ويشمل ذلك حقوق كل محتجز في أن يبلَّغ بأسباب اعتقاله، بما فيها أي تهم موجهة إليه؛ وفي الحصول بسرعة على محامٍ، وأن يتمكن من التشاور معه على انفراد؛ وأن يحصل على فحص طبي على يد طبيب من اختياره إذا أمكن؛ وفي إعلام أحد الأقارب باحتجازه؛ وفي الاستعانة بمحامٍ يحضر كل استجواب تجريه الشرطة معه؛ وفي الحصول على المساعدة من مترجم فوري، عند الضرورة؛ وفي المثول فوراً أمام قاضٍ وفي أن تستعرض محكمة مشروعية احتجازه. وينبغي للدولة الطرف أن تراجع تشريعاتها وفق</w:t>
      </w:r>
      <w:r>
        <w:rPr>
          <w:b/>
          <w:bCs/>
          <w:rtl/>
        </w:rPr>
        <w:t xml:space="preserve">اً </w:t>
      </w:r>
      <w:r w:rsidRPr="00F37671">
        <w:rPr>
          <w:b/>
          <w:bCs/>
          <w:rtl/>
        </w:rPr>
        <w:t xml:space="preserve">للمعايير الدولية بغية إلغاء حق الشرطة القضائية في إصدار أمر احتجاز لمدة </w:t>
      </w:r>
      <w:r>
        <w:rPr>
          <w:rFonts w:hint="cs"/>
          <w:b/>
          <w:bCs/>
          <w:rtl/>
        </w:rPr>
        <w:t xml:space="preserve">ثمانية </w:t>
      </w:r>
      <w:r w:rsidRPr="00F37671">
        <w:rPr>
          <w:b/>
          <w:bCs/>
          <w:rtl/>
        </w:rPr>
        <w:t xml:space="preserve">أيام. </w:t>
      </w:r>
    </w:p>
    <w:p w:rsidR="00E470AE" w:rsidRDefault="00E470AE" w:rsidP="00E470AE">
      <w:pPr>
        <w:pStyle w:val="H23GA"/>
        <w:spacing w:before="100" w:after="100"/>
        <w:rPr>
          <w:rFonts w:hint="cs"/>
          <w:rtl/>
        </w:rPr>
      </w:pPr>
      <w:r>
        <w:rPr>
          <w:rtl/>
        </w:rPr>
        <w:tab/>
      </w:r>
      <w:r>
        <w:rPr>
          <w:rtl/>
        </w:rPr>
        <w:tab/>
        <w:t xml:space="preserve">الأوامر الصادرة عن </w:t>
      </w:r>
      <w:r>
        <w:rPr>
          <w:rFonts w:hint="cs"/>
          <w:rtl/>
        </w:rPr>
        <w:t>رؤساء</w:t>
      </w:r>
    </w:p>
    <w:p w:rsidR="00E470AE" w:rsidRDefault="005332AA" w:rsidP="005332AA">
      <w:pPr>
        <w:pStyle w:val="SingleTxtGA"/>
        <w:spacing w:after="100" w:line="370" w:lineRule="exact"/>
        <w:rPr>
          <w:rFonts w:hint="cs"/>
          <w:rtl/>
        </w:rPr>
      </w:pPr>
      <w:r>
        <w:rPr>
          <w:rFonts w:hint="cs"/>
          <w:rtl/>
        </w:rPr>
        <w:t>(</w:t>
      </w:r>
      <w:r w:rsidR="00E470AE">
        <w:rPr>
          <w:rtl/>
        </w:rPr>
        <w:t>11</w:t>
      </w:r>
      <w:r>
        <w:rPr>
          <w:rFonts w:hint="cs"/>
          <w:rtl/>
        </w:rPr>
        <w:t>)</w:t>
      </w:r>
      <w:r w:rsidR="00E470AE">
        <w:rPr>
          <w:rtl/>
        </w:rPr>
        <w:tab/>
        <w:t xml:space="preserve">فيما تحيط اللجنة علماً بأن الدولة الطرف تعتبر أن أحكام المادتين 49 و49 </w:t>
      </w:r>
      <w:r w:rsidR="00E470AE" w:rsidRPr="00F37747">
        <w:rPr>
          <w:i/>
          <w:iCs/>
          <w:rtl/>
        </w:rPr>
        <w:t>مكرَراً</w:t>
      </w:r>
      <w:r w:rsidR="00E470AE">
        <w:rPr>
          <w:rtl/>
        </w:rPr>
        <w:t xml:space="preserve"> </w:t>
      </w:r>
      <w:r w:rsidR="00E470AE">
        <w:rPr>
          <w:rFonts w:hint="cs"/>
          <w:rtl/>
        </w:rPr>
        <w:t>من القانون الجنائي</w:t>
      </w:r>
      <w:r w:rsidR="00E470AE">
        <w:rPr>
          <w:rtl/>
        </w:rPr>
        <w:t xml:space="preserve"> تفي بالالتزام الذي يقضي بأن الأمر الصادر عن رئيس أو عن سلطة عامة لا يبرر ممارسة التعذيب، تشعر اللجنة بالقلق لأن هاتين المادتين لا تشملان الفقرة 3 من المادة</w:t>
      </w:r>
      <w:r w:rsidR="00E470AE">
        <w:rPr>
          <w:rFonts w:hint="cs"/>
          <w:rtl/>
        </w:rPr>
        <w:t> </w:t>
      </w:r>
      <w:r w:rsidR="00E470AE">
        <w:rPr>
          <w:rtl/>
        </w:rPr>
        <w:t xml:space="preserve">2 من الاتفاقية. </w:t>
      </w:r>
      <w:r w:rsidR="00E470AE">
        <w:rPr>
          <w:rFonts w:hint="cs"/>
          <w:rtl/>
        </w:rPr>
        <w:t>وتشعر بالقلق كذلك لأن أحكام المادتين 12 و15 من قانون الإجراءات الجنائية لا توفر آليات وإجراءات كافية لحماية المرؤوس الذي يرفض أوامر رئيسه بارتكاب أعمال تعذيب من الإجراءات الانتقامية (المادة 2).</w:t>
      </w:r>
    </w:p>
    <w:p w:rsidR="00E470AE" w:rsidRPr="00F76AE5" w:rsidRDefault="00E470AE" w:rsidP="00E470AE">
      <w:pPr>
        <w:pStyle w:val="SingleTxtGA"/>
        <w:spacing w:after="100" w:line="370" w:lineRule="exact"/>
        <w:rPr>
          <w:b/>
          <w:bCs/>
          <w:rtl/>
        </w:rPr>
      </w:pPr>
      <w:r>
        <w:rPr>
          <w:rFonts w:hint="cs"/>
          <w:rtl/>
        </w:rPr>
        <w:tab/>
      </w:r>
      <w:r w:rsidRPr="00F76AE5">
        <w:rPr>
          <w:b/>
          <w:bCs/>
          <w:rtl/>
        </w:rPr>
        <w:t xml:space="preserve">ينبغي للدولة الطرف أن تكفل، </w:t>
      </w:r>
      <w:r>
        <w:rPr>
          <w:rFonts w:hint="cs"/>
          <w:b/>
          <w:bCs/>
          <w:rtl/>
        </w:rPr>
        <w:t xml:space="preserve">قانوناً وممارسة، </w:t>
      </w:r>
      <w:r w:rsidRPr="00F76AE5">
        <w:rPr>
          <w:b/>
          <w:bCs/>
          <w:rtl/>
        </w:rPr>
        <w:t xml:space="preserve">حق المرؤوسين </w:t>
      </w:r>
      <w:r>
        <w:rPr>
          <w:rFonts w:hint="cs"/>
          <w:b/>
          <w:bCs/>
          <w:rtl/>
        </w:rPr>
        <w:t xml:space="preserve">في </w:t>
      </w:r>
      <w:r w:rsidRPr="00F76AE5">
        <w:rPr>
          <w:b/>
          <w:bCs/>
          <w:rtl/>
        </w:rPr>
        <w:t>رفض تنفيذ أمر صادر عن الرئيس يخالف أحكا</w:t>
      </w:r>
      <w:r>
        <w:rPr>
          <w:b/>
          <w:bCs/>
          <w:rtl/>
        </w:rPr>
        <w:t>م الاتفاقية. وينبغي أن تكفل أيض</w:t>
      </w:r>
      <w:r w:rsidRPr="00F76AE5">
        <w:rPr>
          <w:b/>
          <w:bCs/>
          <w:rtl/>
        </w:rPr>
        <w:t>ا</w:t>
      </w:r>
      <w:r>
        <w:rPr>
          <w:rFonts w:hint="cs"/>
          <w:b/>
          <w:bCs/>
          <w:rtl/>
        </w:rPr>
        <w:t>ً</w:t>
      </w:r>
      <w:r w:rsidRPr="00F76AE5">
        <w:rPr>
          <w:b/>
          <w:bCs/>
          <w:rtl/>
        </w:rPr>
        <w:t>، في الممارسة الفعلية، ألا</w:t>
      </w:r>
      <w:r>
        <w:rPr>
          <w:rFonts w:hint="cs"/>
          <w:b/>
          <w:bCs/>
          <w:rtl/>
        </w:rPr>
        <w:t> </w:t>
      </w:r>
      <w:r w:rsidRPr="00F76AE5">
        <w:rPr>
          <w:b/>
          <w:bCs/>
          <w:rtl/>
        </w:rPr>
        <w:t xml:space="preserve">يكون تنفيذ مثل هذا الأمر مبرراً لممارسة التعذيب، وذلك </w:t>
      </w:r>
      <w:r>
        <w:rPr>
          <w:rFonts w:hint="cs"/>
          <w:b/>
          <w:bCs/>
          <w:rtl/>
        </w:rPr>
        <w:t xml:space="preserve">على </w:t>
      </w:r>
      <w:r w:rsidRPr="00F76AE5">
        <w:rPr>
          <w:b/>
          <w:bCs/>
          <w:rtl/>
        </w:rPr>
        <w:t xml:space="preserve">سبيل الامتثال التام لأحكام الفقرة 3 من المادة 2 من الاتفاقية. وينبغي للدولة الطرف أن تنشئ آليات أو أن تتخذ إجراءات تسمح بحماية المرؤوسين الذين يرفضون الانصياع لأمر الرئيس الذي يخالف الاتفاقية من الأعمال الانتقامية. </w:t>
      </w:r>
    </w:p>
    <w:p w:rsidR="00E470AE" w:rsidRDefault="00E470AE" w:rsidP="00E470AE">
      <w:pPr>
        <w:pStyle w:val="H23GA"/>
        <w:rPr>
          <w:rtl/>
        </w:rPr>
      </w:pPr>
      <w:r>
        <w:rPr>
          <w:rtl/>
        </w:rPr>
        <w:tab/>
      </w:r>
      <w:r>
        <w:rPr>
          <w:rtl/>
        </w:rPr>
        <w:tab/>
        <w:t>اللجنة الوطنية لحقوق الإنسان</w:t>
      </w:r>
    </w:p>
    <w:p w:rsidR="00E470AE" w:rsidRDefault="005332AA" w:rsidP="005332AA">
      <w:pPr>
        <w:pStyle w:val="SingleTxtGA"/>
        <w:rPr>
          <w:rtl/>
        </w:rPr>
      </w:pPr>
      <w:r>
        <w:rPr>
          <w:rFonts w:hint="cs"/>
          <w:rtl/>
        </w:rPr>
        <w:t>(</w:t>
      </w:r>
      <w:r w:rsidR="00E470AE">
        <w:rPr>
          <w:rtl/>
        </w:rPr>
        <w:t>12</w:t>
      </w:r>
      <w:r>
        <w:rPr>
          <w:rFonts w:hint="cs"/>
          <w:rtl/>
        </w:rPr>
        <w:t>)</w:t>
      </w:r>
      <w:r w:rsidR="00E470AE">
        <w:rPr>
          <w:rtl/>
        </w:rPr>
        <w:tab/>
      </w:r>
      <w:r w:rsidR="00E470AE">
        <w:rPr>
          <w:rFonts w:hint="cs"/>
          <w:rtl/>
        </w:rPr>
        <w:t xml:space="preserve">تلاحظ </w:t>
      </w:r>
      <w:r w:rsidR="00E470AE">
        <w:rPr>
          <w:rtl/>
        </w:rPr>
        <w:t xml:space="preserve">اللجنة إنشاء الدولة الطرف للجنة الوطنية لحقوق الإنسان بموجب القانون رقم 19/2005 المؤرخ 3 كانون الثاني/يناير 2006 والمرسوم رقم </w:t>
      </w:r>
      <w:r w:rsidR="00E470AE">
        <w:t>303/PR/MCAEPRDH</w:t>
      </w:r>
      <w:r w:rsidR="00E470AE">
        <w:rPr>
          <w:rtl/>
        </w:rPr>
        <w:t xml:space="preserve"> المؤرخ 31 آذار/مارس 2008 الذي يحدد طرق تعيين أعضاء هذه اللجنة. غير </w:t>
      </w:r>
      <w:r w:rsidR="00E470AE">
        <w:rPr>
          <w:rFonts w:hint="cs"/>
          <w:rtl/>
        </w:rPr>
        <w:t xml:space="preserve">إنها </w:t>
      </w:r>
      <w:r w:rsidR="00E470AE">
        <w:rPr>
          <w:rtl/>
        </w:rPr>
        <w:t xml:space="preserve">تشعر بالقلق إزاء عدم وجود مقر </w:t>
      </w:r>
      <w:r w:rsidR="00E470AE">
        <w:rPr>
          <w:rFonts w:hint="cs"/>
          <w:rtl/>
        </w:rPr>
        <w:t xml:space="preserve">لتلك </w:t>
      </w:r>
      <w:r w:rsidR="00E470AE">
        <w:rPr>
          <w:rtl/>
        </w:rPr>
        <w:t xml:space="preserve">اللجنة إلى حد الساعة. إضافة إلى أن اللجنة تفتقر إلى الموارد المالية والبشرية وإلى ضمان استقلالية أعضائها، علاوة على عدم </w:t>
      </w:r>
      <w:r w:rsidR="00E470AE">
        <w:rPr>
          <w:rFonts w:hint="cs"/>
          <w:rtl/>
        </w:rPr>
        <w:t xml:space="preserve">حصولها </w:t>
      </w:r>
      <w:r w:rsidR="00E470AE">
        <w:rPr>
          <w:rtl/>
        </w:rPr>
        <w:t xml:space="preserve">على مركز لدى لجنة التنسيق بين المؤسسات الوطنية المعنية بحقوق الإنسان (المادة 2). </w:t>
      </w:r>
    </w:p>
    <w:p w:rsidR="00E470AE" w:rsidRPr="00EE4FBA" w:rsidRDefault="00E470AE" w:rsidP="00E470AE">
      <w:pPr>
        <w:pStyle w:val="SingleTxtGA"/>
        <w:rPr>
          <w:b/>
          <w:bCs/>
          <w:rtl/>
        </w:rPr>
      </w:pPr>
      <w:r w:rsidRPr="00EE4FBA">
        <w:rPr>
          <w:b/>
          <w:bCs/>
          <w:rtl/>
        </w:rPr>
        <w:tab/>
        <w:t xml:space="preserve">ينبغي للدولة الطرف </w:t>
      </w:r>
      <w:r>
        <w:rPr>
          <w:rFonts w:hint="cs"/>
          <w:b/>
          <w:bCs/>
          <w:rtl/>
        </w:rPr>
        <w:t>التعجيل ب</w:t>
      </w:r>
      <w:r w:rsidRPr="00EE4FBA">
        <w:rPr>
          <w:b/>
          <w:bCs/>
          <w:rtl/>
        </w:rPr>
        <w:t>اتخاذ التدابير الرامية إلى ضمان سير عمل اللجنة الوط</w:t>
      </w:r>
      <w:r>
        <w:rPr>
          <w:b/>
          <w:bCs/>
          <w:rtl/>
        </w:rPr>
        <w:t xml:space="preserve">نية لحقوق الإنسان واستقلاليتها </w:t>
      </w:r>
      <w:r w:rsidRPr="00EE4FBA">
        <w:rPr>
          <w:b/>
          <w:bCs/>
          <w:rtl/>
        </w:rPr>
        <w:t>و</w:t>
      </w:r>
      <w:r>
        <w:rPr>
          <w:rFonts w:hint="cs"/>
          <w:b/>
          <w:bCs/>
          <w:rtl/>
        </w:rPr>
        <w:t>تزويدها</w:t>
      </w:r>
      <w:r w:rsidRPr="00EE4FBA">
        <w:rPr>
          <w:b/>
          <w:bCs/>
          <w:rtl/>
        </w:rPr>
        <w:t xml:space="preserve"> بالموارد المالية والبشرية الكافية لتمكينها من الاضطلاع بمهمتها بفعالية، بشكل يتطابق بالكامل مع المبادئ المتعلقة بمركز المؤسسات الوطنية لتعزيز وحماية حقوق الإنسان (مبادئ باريس، قرار الجمعية العامة رقم</w:t>
      </w:r>
      <w:r>
        <w:rPr>
          <w:rFonts w:hint="cs"/>
          <w:b/>
          <w:bCs/>
          <w:rtl/>
        </w:rPr>
        <w:t> </w:t>
      </w:r>
      <w:r w:rsidRPr="00EE4FBA">
        <w:rPr>
          <w:b/>
          <w:bCs/>
          <w:rtl/>
        </w:rPr>
        <w:t>48/134). وينبغي للدولة الطرف أ</w:t>
      </w:r>
      <w:r>
        <w:rPr>
          <w:b/>
          <w:bCs/>
          <w:rtl/>
        </w:rPr>
        <w:t xml:space="preserve">يضاً </w:t>
      </w:r>
      <w:r w:rsidRPr="00EE4FBA">
        <w:rPr>
          <w:b/>
          <w:bCs/>
          <w:rtl/>
        </w:rPr>
        <w:t xml:space="preserve">أن تطلب اعتماد اللجنة لدى لجنة التنسيق بين المؤسسات الوطنية المعنية بحقوق الإنسان. </w:t>
      </w:r>
    </w:p>
    <w:p w:rsidR="00E470AE" w:rsidRDefault="00E470AE" w:rsidP="00E470AE">
      <w:pPr>
        <w:pStyle w:val="H23GA"/>
        <w:rPr>
          <w:rtl/>
        </w:rPr>
      </w:pPr>
      <w:r>
        <w:rPr>
          <w:rFonts w:hint="cs"/>
          <w:rtl/>
        </w:rPr>
        <w:tab/>
      </w:r>
      <w:r>
        <w:rPr>
          <w:rtl/>
        </w:rPr>
        <w:tab/>
        <w:t>الآلية الوطنية لمنع التعذيب</w:t>
      </w:r>
    </w:p>
    <w:p w:rsidR="00E470AE" w:rsidRDefault="005332AA" w:rsidP="005332AA">
      <w:pPr>
        <w:pStyle w:val="SingleTxtGA"/>
        <w:rPr>
          <w:rtl/>
        </w:rPr>
      </w:pPr>
      <w:r>
        <w:rPr>
          <w:rFonts w:hint="cs"/>
          <w:rtl/>
        </w:rPr>
        <w:t>(</w:t>
      </w:r>
      <w:r w:rsidR="00E470AE">
        <w:rPr>
          <w:rtl/>
        </w:rPr>
        <w:t>13</w:t>
      </w:r>
      <w:r>
        <w:rPr>
          <w:rFonts w:hint="cs"/>
          <w:rtl/>
        </w:rPr>
        <w:t>)</w:t>
      </w:r>
      <w:r w:rsidR="00E470AE">
        <w:rPr>
          <w:rFonts w:hint="cs"/>
          <w:rtl/>
        </w:rPr>
        <w:tab/>
      </w:r>
      <w:r w:rsidR="00E470AE">
        <w:rPr>
          <w:rtl/>
        </w:rPr>
        <w:t xml:space="preserve">تعرب اللجنة عن أسفها لأن الدولة الطرف لم تنشئ بعد آلية وطنية لمنع التعذيب بعد تصديقها في 22 أيلول/سبتمبر 2010 على البروتوكول الاختياري لاتفاقية مناهضة التعذيب وغيره من ضروب المعاملة أو العقوبة القاسية أو اللاإنسانية أو المهينة (المادة 2). </w:t>
      </w:r>
    </w:p>
    <w:p w:rsidR="00E470AE" w:rsidRPr="00EE4FBA" w:rsidRDefault="00E470AE" w:rsidP="00E470AE">
      <w:pPr>
        <w:pStyle w:val="SingleTxtGA"/>
        <w:rPr>
          <w:b/>
          <w:bCs/>
          <w:rtl/>
        </w:rPr>
      </w:pPr>
      <w:r w:rsidRPr="00EE4FBA">
        <w:rPr>
          <w:rFonts w:hint="cs"/>
          <w:b/>
          <w:bCs/>
          <w:rtl/>
        </w:rPr>
        <w:tab/>
      </w:r>
      <w:r w:rsidRPr="00EE4FBA">
        <w:rPr>
          <w:b/>
          <w:bCs/>
          <w:rtl/>
        </w:rPr>
        <w:t>ينبغي للدولة الطرف أن تتخذ على وجه الاستعجال، وبالتشاور مع جميع الأطراف المعنية، التدابير الملائمة بغية إنشاء آلية وطنية لمنع التعذيب تتطابق مع المادة 3 من البروتوكول الاختياري وتزويد هذه الآلية بما يكفي من موارد مالية وبشرية للسماح لها بالاضطلاع بمهامها بكل استقلالية، وفق</w:t>
      </w:r>
      <w:r>
        <w:rPr>
          <w:b/>
          <w:bCs/>
          <w:rtl/>
        </w:rPr>
        <w:t xml:space="preserve">اً </w:t>
      </w:r>
      <w:r w:rsidRPr="00EE4FBA">
        <w:rPr>
          <w:b/>
          <w:bCs/>
          <w:rtl/>
        </w:rPr>
        <w:t xml:space="preserve">لأحكام الفقرة 3 من المادة 18 من البروتوكول الاختياري والمبدأين التوجيهيين 11 و12 للجنة الفرعية لمنع التعذيب. </w:t>
      </w:r>
    </w:p>
    <w:p w:rsidR="00E470AE" w:rsidRDefault="00E470AE" w:rsidP="00E470AE">
      <w:pPr>
        <w:pStyle w:val="H23GA"/>
        <w:rPr>
          <w:rFonts w:hint="cs"/>
          <w:rtl/>
        </w:rPr>
      </w:pPr>
      <w:r>
        <w:rPr>
          <w:rFonts w:hint="cs"/>
          <w:rtl/>
        </w:rPr>
        <w:tab/>
      </w:r>
      <w:r>
        <w:rPr>
          <w:rFonts w:hint="cs"/>
          <w:rtl/>
        </w:rPr>
        <w:tab/>
      </w:r>
      <w:r>
        <w:rPr>
          <w:rtl/>
        </w:rPr>
        <w:t xml:space="preserve">إصلاح </w:t>
      </w:r>
      <w:r>
        <w:rPr>
          <w:rFonts w:hint="cs"/>
          <w:rtl/>
        </w:rPr>
        <w:t>السلطة القضائية</w:t>
      </w:r>
    </w:p>
    <w:p w:rsidR="00E470AE" w:rsidRDefault="005332AA" w:rsidP="005332AA">
      <w:pPr>
        <w:pStyle w:val="SingleTxtGA"/>
        <w:rPr>
          <w:rtl/>
        </w:rPr>
      </w:pPr>
      <w:r>
        <w:rPr>
          <w:rFonts w:hint="cs"/>
          <w:rtl/>
        </w:rPr>
        <w:t>(</w:t>
      </w:r>
      <w:r w:rsidR="00E470AE">
        <w:rPr>
          <w:rtl/>
        </w:rPr>
        <w:t>14</w:t>
      </w:r>
      <w:r>
        <w:rPr>
          <w:rFonts w:hint="cs"/>
          <w:rtl/>
        </w:rPr>
        <w:t>)</w:t>
      </w:r>
      <w:r w:rsidR="00E470AE">
        <w:rPr>
          <w:rFonts w:hint="cs"/>
          <w:rtl/>
        </w:rPr>
        <w:tab/>
      </w:r>
      <w:r w:rsidR="00E470AE">
        <w:rPr>
          <w:rtl/>
        </w:rPr>
        <w:t xml:space="preserve">في حين </w:t>
      </w:r>
      <w:r w:rsidR="00E470AE">
        <w:rPr>
          <w:rFonts w:hint="cs"/>
          <w:rtl/>
        </w:rPr>
        <w:t xml:space="preserve">تلاحظ </w:t>
      </w:r>
      <w:r w:rsidR="00E470AE">
        <w:rPr>
          <w:rtl/>
        </w:rPr>
        <w:t xml:space="preserve">اللجنة المعلومات التي قدمها وفد الدولة الطرف، </w:t>
      </w:r>
      <w:r w:rsidR="00E470AE">
        <w:rPr>
          <w:rFonts w:hint="cs"/>
          <w:rtl/>
        </w:rPr>
        <w:t>فإنها تشعر ب</w:t>
      </w:r>
      <w:r w:rsidR="00E470AE">
        <w:rPr>
          <w:rtl/>
        </w:rPr>
        <w:t xml:space="preserve">القلق إزاء المعلومات </w:t>
      </w:r>
      <w:r w:rsidR="00E470AE">
        <w:rPr>
          <w:rFonts w:hint="cs"/>
          <w:rtl/>
        </w:rPr>
        <w:t xml:space="preserve">الواردة في </w:t>
      </w:r>
      <w:r w:rsidR="00E470AE">
        <w:rPr>
          <w:rtl/>
        </w:rPr>
        <w:t>الفقرة 11 من التقرير الأولي للدولة الطرف و</w:t>
      </w:r>
      <w:r w:rsidR="00E470AE">
        <w:rPr>
          <w:rFonts w:hint="cs"/>
          <w:rtl/>
        </w:rPr>
        <w:t>التي تشير</w:t>
      </w:r>
      <w:r w:rsidR="00E470AE">
        <w:rPr>
          <w:rtl/>
        </w:rPr>
        <w:t xml:space="preserve"> إلى النقائص و</w:t>
      </w:r>
      <w:r w:rsidR="00E470AE">
        <w:rPr>
          <w:rFonts w:hint="cs"/>
          <w:rtl/>
        </w:rPr>
        <w:t>الانحرافات السلوكية</w:t>
      </w:r>
      <w:r w:rsidR="00E470AE">
        <w:rPr>
          <w:rtl/>
        </w:rPr>
        <w:t xml:space="preserve"> التي تشوب </w:t>
      </w:r>
      <w:r w:rsidR="00E470AE">
        <w:rPr>
          <w:rFonts w:hint="cs"/>
          <w:rtl/>
        </w:rPr>
        <w:t xml:space="preserve">جهاز القضاء </w:t>
      </w:r>
      <w:r w:rsidR="00E470AE">
        <w:rPr>
          <w:rtl/>
        </w:rPr>
        <w:t xml:space="preserve">وخاصة "ممارسات الفساد وسرقة وثائق القضايا بغرض التحايل والإفراج المؤقت والمشكوك فيه عن مجرمين خطرين دون وجود ضمان مثولهم مجدداً، واختفاء </w:t>
      </w:r>
      <w:r w:rsidR="00E470AE">
        <w:rPr>
          <w:rFonts w:hint="cs"/>
          <w:rtl/>
        </w:rPr>
        <w:t>ال</w:t>
      </w:r>
      <w:r w:rsidR="00E470AE">
        <w:rPr>
          <w:rtl/>
        </w:rPr>
        <w:t xml:space="preserve">ملفات </w:t>
      </w:r>
      <w:r w:rsidR="00E470AE">
        <w:rPr>
          <w:rFonts w:hint="cs"/>
          <w:rtl/>
        </w:rPr>
        <w:t>بإيعاز من ال</w:t>
      </w:r>
      <w:r w:rsidR="00E470AE">
        <w:rPr>
          <w:rtl/>
        </w:rPr>
        <w:t xml:space="preserve">قضاة أو أمناء سجل المحاكم، واختفاء </w:t>
      </w:r>
      <w:r w:rsidR="00E470AE">
        <w:rPr>
          <w:rFonts w:hint="cs"/>
          <w:rtl/>
        </w:rPr>
        <w:t>ال</w:t>
      </w:r>
      <w:r w:rsidR="00E470AE">
        <w:rPr>
          <w:rtl/>
        </w:rPr>
        <w:t>أختام و</w:t>
      </w:r>
      <w:r w:rsidR="00E470AE">
        <w:rPr>
          <w:rFonts w:hint="cs"/>
          <w:rtl/>
        </w:rPr>
        <w:t>ال</w:t>
      </w:r>
      <w:r w:rsidR="00E470AE">
        <w:rPr>
          <w:rtl/>
        </w:rPr>
        <w:t xml:space="preserve">مستندات </w:t>
      </w:r>
      <w:r w:rsidR="00E470AE">
        <w:rPr>
          <w:rFonts w:hint="cs"/>
          <w:rtl/>
        </w:rPr>
        <w:t>ال</w:t>
      </w:r>
      <w:r w:rsidR="00E470AE">
        <w:rPr>
          <w:rtl/>
        </w:rPr>
        <w:t xml:space="preserve">أخرى". ومن شأن هذه النقائص أن تعرقل تقديم الشكاوى المتعلقة بأعمال العنف وتقييم الأدلة وإجراء تحقيقات وتقديم الجناة للمحاكمة ومعاقبتهم ومن شأنها أيضاً أن </w:t>
      </w:r>
      <w:r w:rsidR="00E470AE">
        <w:rPr>
          <w:rFonts w:hint="cs"/>
          <w:rtl/>
        </w:rPr>
        <w:t>تعوق</w:t>
      </w:r>
      <w:r w:rsidR="00E470AE">
        <w:rPr>
          <w:rtl/>
        </w:rPr>
        <w:t xml:space="preserve"> تمتع المتقاضين التام بالحقوق الواردة في الاتفاقية و</w:t>
      </w:r>
      <w:r w:rsidR="00E470AE">
        <w:rPr>
          <w:rFonts w:hint="cs"/>
          <w:rtl/>
        </w:rPr>
        <w:t>حسن سير</w:t>
      </w:r>
      <w:r w:rsidR="00E470AE">
        <w:rPr>
          <w:rtl/>
        </w:rPr>
        <w:t xml:space="preserve"> </w:t>
      </w:r>
      <w:r w:rsidR="00E470AE">
        <w:rPr>
          <w:rFonts w:hint="cs"/>
          <w:rtl/>
        </w:rPr>
        <w:t>ا</w:t>
      </w:r>
      <w:r w:rsidR="00E470AE">
        <w:rPr>
          <w:rtl/>
        </w:rPr>
        <w:t>لقضاء. وتعرب</w:t>
      </w:r>
      <w:r w:rsidR="00E470AE">
        <w:rPr>
          <w:rFonts w:hint="cs"/>
          <w:rtl/>
        </w:rPr>
        <w:t> </w:t>
      </w:r>
      <w:r w:rsidR="00E470AE">
        <w:rPr>
          <w:rtl/>
        </w:rPr>
        <w:t xml:space="preserve">اللجنة عن قلقها أيضاً إزاء بعض أوجه القصور من قبيل عدم وجود ضمانات للاستقلال الحقيقي للسلطة القضائية والطابع المتقادم لمركز القضاة والافتقار </w:t>
      </w:r>
      <w:r w:rsidR="00E470AE">
        <w:rPr>
          <w:rFonts w:hint="cs"/>
          <w:rtl/>
        </w:rPr>
        <w:t>إلى ا</w:t>
      </w:r>
      <w:r w:rsidR="00E470AE">
        <w:rPr>
          <w:rtl/>
        </w:rPr>
        <w:t>لموظفين المؤهلين و</w:t>
      </w:r>
      <w:r w:rsidR="00E470AE">
        <w:rPr>
          <w:rFonts w:hint="cs"/>
          <w:rtl/>
        </w:rPr>
        <w:t>ا</w:t>
      </w:r>
      <w:r w:rsidR="00E470AE">
        <w:rPr>
          <w:rtl/>
        </w:rPr>
        <w:t xml:space="preserve">لتحقيقات المنهجية والعقوبات ضد القضاة المذنبين الذين من شأنهم عرقلة فعالية القضاء فيما يتعلق بالتصدي لأعمال التعذيب (المادة 2). </w:t>
      </w:r>
    </w:p>
    <w:p w:rsidR="00E470AE" w:rsidRPr="00DB5BB3" w:rsidRDefault="00E470AE" w:rsidP="00E470AE">
      <w:pPr>
        <w:pStyle w:val="SingleTxtGA"/>
        <w:rPr>
          <w:b/>
          <w:bCs/>
          <w:rtl/>
        </w:rPr>
      </w:pPr>
      <w:r w:rsidRPr="00DB5BB3">
        <w:rPr>
          <w:b/>
          <w:bCs/>
          <w:rtl/>
        </w:rPr>
        <w:tab/>
        <w:t>ينبغي للدولة الطرف أن تقوم بما يلي:</w:t>
      </w:r>
    </w:p>
    <w:p w:rsidR="00E470AE" w:rsidRPr="00EE4FBA" w:rsidRDefault="00E470AE" w:rsidP="00E470AE">
      <w:pPr>
        <w:pStyle w:val="SingleTxtGA"/>
        <w:rPr>
          <w:b/>
          <w:bCs/>
          <w:rtl/>
        </w:rPr>
      </w:pPr>
      <w:r w:rsidRPr="00EE4FBA">
        <w:rPr>
          <w:rFonts w:hint="cs"/>
          <w:b/>
          <w:bCs/>
          <w:rtl/>
        </w:rPr>
        <w:tab/>
        <w:t>(</w:t>
      </w:r>
      <w:r w:rsidRPr="00EE4FBA">
        <w:rPr>
          <w:b/>
          <w:bCs/>
          <w:rtl/>
        </w:rPr>
        <w:t>أ‌)</w:t>
      </w:r>
      <w:r w:rsidRPr="00EE4FBA">
        <w:rPr>
          <w:b/>
          <w:bCs/>
          <w:rtl/>
        </w:rPr>
        <w:tab/>
        <w:t>المضي قدم</w:t>
      </w:r>
      <w:r>
        <w:rPr>
          <w:b/>
          <w:bCs/>
          <w:rtl/>
        </w:rPr>
        <w:t xml:space="preserve">اً </w:t>
      </w:r>
      <w:r w:rsidRPr="00EE4FBA">
        <w:rPr>
          <w:b/>
          <w:bCs/>
          <w:rtl/>
        </w:rPr>
        <w:t xml:space="preserve">في إصلاح النظام القضائي التي بدأته بغية تحسين </w:t>
      </w:r>
      <w:r w:rsidRPr="00EE4FBA">
        <w:rPr>
          <w:rFonts w:hint="cs"/>
          <w:b/>
          <w:bCs/>
          <w:rtl/>
        </w:rPr>
        <w:t xml:space="preserve">عمل جهاز القضاء </w:t>
      </w:r>
      <w:r w:rsidRPr="00EE4FBA">
        <w:rPr>
          <w:b/>
          <w:bCs/>
          <w:rtl/>
        </w:rPr>
        <w:t xml:space="preserve">وتعزيز </w:t>
      </w:r>
      <w:r w:rsidRPr="00EE4FBA">
        <w:rPr>
          <w:rFonts w:hint="cs"/>
          <w:b/>
          <w:bCs/>
          <w:rtl/>
        </w:rPr>
        <w:t xml:space="preserve">أسسه </w:t>
      </w:r>
      <w:r w:rsidRPr="00EE4FBA">
        <w:rPr>
          <w:b/>
          <w:bCs/>
          <w:rtl/>
        </w:rPr>
        <w:t>المؤسساتية؛</w:t>
      </w:r>
    </w:p>
    <w:p w:rsidR="00E470AE" w:rsidRPr="00EE4FBA" w:rsidRDefault="00E470AE" w:rsidP="00E470AE">
      <w:pPr>
        <w:pStyle w:val="SingleTxtGA"/>
        <w:rPr>
          <w:b/>
          <w:bCs/>
          <w:rtl/>
        </w:rPr>
      </w:pPr>
      <w:r w:rsidRPr="00EE4FBA">
        <w:rPr>
          <w:rFonts w:hint="cs"/>
          <w:b/>
          <w:bCs/>
          <w:rtl/>
        </w:rPr>
        <w:tab/>
        <w:t>(</w:t>
      </w:r>
      <w:r w:rsidRPr="00EE4FBA">
        <w:rPr>
          <w:b/>
          <w:bCs/>
          <w:rtl/>
        </w:rPr>
        <w:t>ب‌)</w:t>
      </w:r>
      <w:r w:rsidRPr="00EE4FBA">
        <w:rPr>
          <w:b/>
          <w:bCs/>
          <w:rtl/>
        </w:rPr>
        <w:tab/>
      </w:r>
      <w:r w:rsidRPr="00EE4FBA">
        <w:rPr>
          <w:rFonts w:hint="cs"/>
          <w:b/>
          <w:bCs/>
          <w:rtl/>
        </w:rPr>
        <w:t xml:space="preserve">الحرص على </w:t>
      </w:r>
      <w:r w:rsidRPr="00EE4FBA">
        <w:rPr>
          <w:b/>
          <w:bCs/>
          <w:rtl/>
        </w:rPr>
        <w:t>ضمان وتعزيز استقلال القضاة ومنحهم الحماية من الفصل ومراجعة مركزهم بغية تحسينه وتعزيز القدرات البشرية من حيث العدد والنوعية ومنحهم تدريب</w:t>
      </w:r>
      <w:r>
        <w:rPr>
          <w:b/>
          <w:bCs/>
          <w:rtl/>
        </w:rPr>
        <w:t xml:space="preserve">اً </w:t>
      </w:r>
      <w:r w:rsidRPr="00EE4FBA">
        <w:rPr>
          <w:b/>
          <w:bCs/>
          <w:rtl/>
        </w:rPr>
        <w:t xml:space="preserve">أفضل بما في ذلك التدريب المتواصل مع مراعاة </w:t>
      </w:r>
      <w:r w:rsidRPr="00EE4FBA">
        <w:rPr>
          <w:rFonts w:hint="cs"/>
          <w:b/>
          <w:bCs/>
          <w:rtl/>
        </w:rPr>
        <w:t xml:space="preserve">الواقع السائد في </w:t>
      </w:r>
      <w:r w:rsidRPr="00EE4FBA">
        <w:rPr>
          <w:b/>
          <w:bCs/>
          <w:rtl/>
        </w:rPr>
        <w:t>الدولة الطرف وكذا أحكام الاتفاقية؛</w:t>
      </w:r>
      <w:r>
        <w:rPr>
          <w:b/>
          <w:bCs/>
          <w:rtl/>
        </w:rPr>
        <w:t xml:space="preserve"> </w:t>
      </w:r>
    </w:p>
    <w:p w:rsidR="00E470AE" w:rsidRPr="00EE4FBA" w:rsidRDefault="00E470AE" w:rsidP="00E470AE">
      <w:pPr>
        <w:pStyle w:val="SingleTxtGA"/>
        <w:rPr>
          <w:b/>
          <w:bCs/>
          <w:rtl/>
        </w:rPr>
      </w:pPr>
      <w:r w:rsidRPr="00EE4FBA">
        <w:rPr>
          <w:rFonts w:hint="cs"/>
          <w:b/>
          <w:bCs/>
          <w:rtl/>
        </w:rPr>
        <w:tab/>
        <w:t>(</w:t>
      </w:r>
      <w:r w:rsidRPr="00EE4FBA">
        <w:rPr>
          <w:b/>
          <w:bCs/>
          <w:rtl/>
        </w:rPr>
        <w:t>ج‌)</w:t>
      </w:r>
      <w:r w:rsidRPr="00EE4FBA">
        <w:rPr>
          <w:b/>
          <w:bCs/>
          <w:rtl/>
        </w:rPr>
        <w:tab/>
        <w:t xml:space="preserve">تعزيز التدابير الرامية إلى مكافحة </w:t>
      </w:r>
      <w:r w:rsidRPr="00EE4FBA">
        <w:rPr>
          <w:rFonts w:hint="cs"/>
          <w:b/>
          <w:bCs/>
          <w:rtl/>
        </w:rPr>
        <w:t xml:space="preserve">السلوكيات </w:t>
      </w:r>
      <w:r w:rsidRPr="00EE4FBA">
        <w:rPr>
          <w:b/>
          <w:bCs/>
          <w:rtl/>
        </w:rPr>
        <w:t xml:space="preserve">المنحرفة، لا سيما الفساد بجميع أشكاله، </w:t>
      </w:r>
      <w:r w:rsidRPr="00EE4FBA">
        <w:rPr>
          <w:rFonts w:hint="cs"/>
          <w:b/>
          <w:bCs/>
          <w:rtl/>
        </w:rPr>
        <w:t>و</w:t>
      </w:r>
      <w:r w:rsidRPr="00EE4FBA">
        <w:rPr>
          <w:b/>
          <w:bCs/>
          <w:rtl/>
        </w:rPr>
        <w:t xml:space="preserve">التي من شأنها عرقلة التحقيقات والمحاكمات المستقلة والنزيهة والملائمة بشأن أعمال التعذيب وإدانة الجناة، لا سيما من خلال إجراء تحقيقات وتقديمهم للمحاكمة أمام المجلس التأديبي وتوقيع العقوبات الملائمة عليهم. </w:t>
      </w:r>
    </w:p>
    <w:p w:rsidR="00E470AE" w:rsidRDefault="00E470AE" w:rsidP="00E470AE">
      <w:pPr>
        <w:pStyle w:val="H23GA"/>
        <w:rPr>
          <w:rtl/>
        </w:rPr>
      </w:pPr>
      <w:r>
        <w:rPr>
          <w:rFonts w:hint="cs"/>
          <w:rtl/>
        </w:rPr>
        <w:tab/>
      </w:r>
      <w:r>
        <w:rPr>
          <w:rFonts w:hint="cs"/>
          <w:rtl/>
        </w:rPr>
        <w:tab/>
      </w:r>
      <w:r>
        <w:rPr>
          <w:rtl/>
        </w:rPr>
        <w:t xml:space="preserve">عدم الإعادة القسرية للأجانب </w:t>
      </w:r>
      <w:r>
        <w:rPr>
          <w:rFonts w:hint="cs"/>
          <w:rtl/>
        </w:rPr>
        <w:t xml:space="preserve">الذين لا يملكون </w:t>
      </w:r>
      <w:r>
        <w:rPr>
          <w:rtl/>
        </w:rPr>
        <w:t>وثائق</w:t>
      </w:r>
    </w:p>
    <w:p w:rsidR="00E470AE" w:rsidRDefault="005332AA" w:rsidP="005332AA">
      <w:pPr>
        <w:pStyle w:val="SingleTxtGA"/>
        <w:rPr>
          <w:rtl/>
        </w:rPr>
      </w:pPr>
      <w:r>
        <w:rPr>
          <w:rFonts w:hint="cs"/>
          <w:rtl/>
        </w:rPr>
        <w:t>(</w:t>
      </w:r>
      <w:r w:rsidR="00E470AE">
        <w:rPr>
          <w:rtl/>
        </w:rPr>
        <w:t>15</w:t>
      </w:r>
      <w:r>
        <w:rPr>
          <w:rFonts w:hint="cs"/>
          <w:rtl/>
        </w:rPr>
        <w:t>)</w:t>
      </w:r>
      <w:r w:rsidR="00E470AE">
        <w:rPr>
          <w:rtl/>
        </w:rPr>
        <w:tab/>
        <w:t xml:space="preserve">تحيط اللجنة علماً بالمعلومات التي قدمتها الدولة الطرف بشأن طرد الأجانب </w:t>
      </w:r>
      <w:r w:rsidR="00E470AE">
        <w:rPr>
          <w:rFonts w:hint="cs"/>
          <w:rtl/>
        </w:rPr>
        <w:t xml:space="preserve">الذين لا يملكون </w:t>
      </w:r>
      <w:r w:rsidR="00E470AE">
        <w:rPr>
          <w:rtl/>
        </w:rPr>
        <w:t xml:space="preserve">وثائق من مدينة </w:t>
      </w:r>
      <w:r w:rsidR="00E470AE">
        <w:rPr>
          <w:rFonts w:hint="cs"/>
          <w:rtl/>
        </w:rPr>
        <w:t xml:space="preserve">منكيب‍ي </w:t>
      </w:r>
      <w:r w:rsidR="00E470AE">
        <w:rPr>
          <w:rtl/>
        </w:rPr>
        <w:t>في حزيران/يونيه 2011</w:t>
      </w:r>
      <w:r w:rsidR="00E470AE">
        <w:rPr>
          <w:rFonts w:hint="cs"/>
          <w:rtl/>
        </w:rPr>
        <w:t>،</w:t>
      </w:r>
      <w:r w:rsidR="00E470AE">
        <w:rPr>
          <w:rtl/>
        </w:rPr>
        <w:t xml:space="preserve"> وفقاً للتشريع الغابوني الذي ينص على استبعاد كل أجنبي قد يعرض النظام العام أو الأمن العام للخطر أو لا يحترم شروط إقامته، غير أن</w:t>
      </w:r>
      <w:r w:rsidR="00E470AE">
        <w:rPr>
          <w:rFonts w:hint="cs"/>
          <w:rtl/>
        </w:rPr>
        <w:t>ها</w:t>
      </w:r>
      <w:r w:rsidR="00E470AE">
        <w:rPr>
          <w:rtl/>
        </w:rPr>
        <w:t xml:space="preserve"> تعرب عن قلقها إزاء انعدام المعلومات عن ظروف استبعاد هؤلاء الأجانب وعدم معرفة ما إذا كانت عملية اتخاذ قرار الاستبعاد تمت على مستوى فردي </w:t>
      </w:r>
      <w:r w:rsidR="00E470AE">
        <w:rPr>
          <w:rFonts w:hint="cs"/>
          <w:rtl/>
        </w:rPr>
        <w:t xml:space="preserve">أو </w:t>
      </w:r>
      <w:r w:rsidR="00E470AE">
        <w:rPr>
          <w:rtl/>
        </w:rPr>
        <w:t>جماعي وما</w:t>
      </w:r>
      <w:r w:rsidR="00E470AE">
        <w:rPr>
          <w:rFonts w:hint="cs"/>
          <w:rtl/>
        </w:rPr>
        <w:t> </w:t>
      </w:r>
      <w:r w:rsidR="00E470AE">
        <w:rPr>
          <w:rtl/>
        </w:rPr>
        <w:t xml:space="preserve">إذا سنحت لهؤلاء الفرصة للطعن في هذا القرار ونتائج ذلك. </w:t>
      </w:r>
      <w:r w:rsidR="00E470AE">
        <w:rPr>
          <w:rFonts w:hint="cs"/>
          <w:rtl/>
        </w:rPr>
        <w:t>و</w:t>
      </w:r>
      <w:r w:rsidR="00E470AE">
        <w:rPr>
          <w:rtl/>
        </w:rPr>
        <w:t xml:space="preserve">يساور اللجنة القلق </w:t>
      </w:r>
      <w:r w:rsidR="00E470AE">
        <w:rPr>
          <w:rFonts w:hint="cs"/>
          <w:rtl/>
        </w:rPr>
        <w:t xml:space="preserve">أيضاً </w:t>
      </w:r>
      <w:r w:rsidR="00E470AE">
        <w:rPr>
          <w:rtl/>
        </w:rPr>
        <w:t xml:space="preserve">إزاء انعدام المعلومات بشأن احترام مبدأ عدم الإعادة القسرية لهؤلاء الأجانب (المادة 3). </w:t>
      </w:r>
    </w:p>
    <w:p w:rsidR="00E470AE" w:rsidRPr="00EE4FBA" w:rsidRDefault="00E470AE" w:rsidP="00E470AE">
      <w:pPr>
        <w:pStyle w:val="SingleTxtGA"/>
        <w:rPr>
          <w:b/>
          <w:bCs/>
          <w:rtl/>
        </w:rPr>
      </w:pPr>
      <w:r>
        <w:rPr>
          <w:rFonts w:hint="cs"/>
          <w:b/>
          <w:bCs/>
          <w:rtl/>
        </w:rPr>
        <w:tab/>
      </w:r>
      <w:r w:rsidRPr="00EE4FBA">
        <w:rPr>
          <w:b/>
          <w:bCs/>
          <w:rtl/>
        </w:rPr>
        <w:t xml:space="preserve">ينبغي للدولة الطرف أن </w:t>
      </w:r>
      <w:r>
        <w:rPr>
          <w:rFonts w:hint="cs"/>
          <w:b/>
          <w:bCs/>
          <w:rtl/>
        </w:rPr>
        <w:t xml:space="preserve">تحرص على </w:t>
      </w:r>
      <w:r w:rsidRPr="00EE4FBA">
        <w:rPr>
          <w:b/>
          <w:bCs/>
          <w:rtl/>
        </w:rPr>
        <w:t xml:space="preserve">عدم طرد أو تسليم أو إعادة أشخاص إلى دول </w:t>
      </w:r>
      <w:r>
        <w:rPr>
          <w:rFonts w:hint="cs"/>
          <w:b/>
          <w:bCs/>
          <w:rtl/>
        </w:rPr>
        <w:t>فيها من الأسباب ال</w:t>
      </w:r>
      <w:r w:rsidRPr="00EE4FBA">
        <w:rPr>
          <w:b/>
          <w:bCs/>
          <w:rtl/>
        </w:rPr>
        <w:t xml:space="preserve">حقيقية </w:t>
      </w:r>
      <w:r>
        <w:rPr>
          <w:rFonts w:hint="cs"/>
          <w:b/>
          <w:bCs/>
          <w:rtl/>
        </w:rPr>
        <w:t xml:space="preserve">ما يدعو </w:t>
      </w:r>
      <w:r w:rsidRPr="00EE4FBA">
        <w:rPr>
          <w:b/>
          <w:bCs/>
          <w:rtl/>
        </w:rPr>
        <w:t xml:space="preserve">إلى الاعتقاد بأنهم سيواجهون خطر التعرض للتعذيب، حتى </w:t>
      </w:r>
      <w:r>
        <w:rPr>
          <w:rFonts w:hint="cs"/>
          <w:b/>
          <w:bCs/>
          <w:rtl/>
        </w:rPr>
        <w:t xml:space="preserve">لو </w:t>
      </w:r>
      <w:r w:rsidRPr="00EE4FBA">
        <w:rPr>
          <w:b/>
          <w:bCs/>
          <w:rtl/>
        </w:rPr>
        <w:t xml:space="preserve">كان هؤلاء الأشخاص لا يملكون وثائق الإقامة فيها. وينبغي </w:t>
      </w:r>
      <w:r>
        <w:rPr>
          <w:rFonts w:hint="cs"/>
          <w:b/>
          <w:bCs/>
          <w:rtl/>
        </w:rPr>
        <w:t xml:space="preserve">لها </w:t>
      </w:r>
      <w:r w:rsidRPr="00EE4FBA">
        <w:rPr>
          <w:b/>
          <w:bCs/>
          <w:rtl/>
        </w:rPr>
        <w:t xml:space="preserve">أن تتخذ جميع التدابير لضمان تطبيق مبدأ عدم الإعادة القسرية في جميع الحالات، بما فيها </w:t>
      </w:r>
      <w:r>
        <w:rPr>
          <w:rFonts w:hint="cs"/>
          <w:b/>
          <w:bCs/>
          <w:rtl/>
        </w:rPr>
        <w:t xml:space="preserve">الحالات </w:t>
      </w:r>
      <w:r w:rsidRPr="00EE4FBA">
        <w:rPr>
          <w:b/>
          <w:bCs/>
          <w:rtl/>
        </w:rPr>
        <w:t xml:space="preserve">المشابهة </w:t>
      </w:r>
      <w:r>
        <w:rPr>
          <w:rFonts w:hint="cs"/>
          <w:b/>
          <w:bCs/>
          <w:rtl/>
        </w:rPr>
        <w:t xml:space="preserve">لما حدث في </w:t>
      </w:r>
      <w:r w:rsidRPr="00EE4FBA">
        <w:rPr>
          <w:b/>
          <w:bCs/>
          <w:rtl/>
        </w:rPr>
        <w:t>منكيب</w:t>
      </w:r>
      <w:r>
        <w:rPr>
          <w:rFonts w:hint="cs"/>
          <w:b/>
          <w:bCs/>
          <w:rtl/>
        </w:rPr>
        <w:t>‍</w:t>
      </w:r>
      <w:r w:rsidRPr="00EE4FBA">
        <w:rPr>
          <w:b/>
          <w:bCs/>
          <w:rtl/>
        </w:rPr>
        <w:t>ي طبق</w:t>
      </w:r>
      <w:r>
        <w:rPr>
          <w:b/>
          <w:bCs/>
          <w:rtl/>
        </w:rPr>
        <w:t xml:space="preserve">اً </w:t>
      </w:r>
      <w:r w:rsidRPr="00EE4FBA">
        <w:rPr>
          <w:b/>
          <w:bCs/>
          <w:rtl/>
        </w:rPr>
        <w:t>لالتزاماتها الدولية بموجب المادة 3 من الاتفاقية</w:t>
      </w:r>
      <w:r>
        <w:rPr>
          <w:b/>
          <w:bCs/>
          <w:rtl/>
        </w:rPr>
        <w:t xml:space="preserve"> </w:t>
      </w:r>
      <w:r w:rsidRPr="00EE4FBA">
        <w:rPr>
          <w:b/>
          <w:bCs/>
          <w:rtl/>
        </w:rPr>
        <w:t xml:space="preserve">وأن تُتََخذ القرارات بعد النظر فيها على مستوى فردي لا جماعي وأن يتمكن الأشخاص المعنيون من الطعن في هذه القرارات. </w:t>
      </w:r>
    </w:p>
    <w:p w:rsidR="00E470AE" w:rsidRDefault="00E470AE" w:rsidP="00E470AE">
      <w:pPr>
        <w:pStyle w:val="H23GA"/>
        <w:rPr>
          <w:rtl/>
        </w:rPr>
      </w:pPr>
      <w:r>
        <w:rPr>
          <w:rFonts w:hint="cs"/>
          <w:rtl/>
        </w:rPr>
        <w:tab/>
      </w:r>
      <w:r>
        <w:rPr>
          <w:rFonts w:hint="cs"/>
          <w:rtl/>
        </w:rPr>
        <w:tab/>
      </w:r>
      <w:r>
        <w:rPr>
          <w:rtl/>
        </w:rPr>
        <w:t>التدريب</w:t>
      </w:r>
    </w:p>
    <w:p w:rsidR="00E470AE" w:rsidRDefault="005332AA" w:rsidP="005332AA">
      <w:pPr>
        <w:pStyle w:val="SingleTxtGA"/>
        <w:spacing w:line="374" w:lineRule="exact"/>
        <w:rPr>
          <w:rFonts w:hint="cs"/>
          <w:rtl/>
        </w:rPr>
      </w:pPr>
      <w:r>
        <w:rPr>
          <w:rFonts w:hint="cs"/>
          <w:rtl/>
        </w:rPr>
        <w:t>(</w:t>
      </w:r>
      <w:r w:rsidR="00E470AE">
        <w:rPr>
          <w:rtl/>
        </w:rPr>
        <w:t>16</w:t>
      </w:r>
      <w:r>
        <w:rPr>
          <w:rFonts w:hint="cs"/>
          <w:rtl/>
        </w:rPr>
        <w:t>)</w:t>
      </w:r>
      <w:r w:rsidR="00E470AE">
        <w:rPr>
          <w:rFonts w:hint="cs"/>
          <w:rtl/>
        </w:rPr>
        <w:tab/>
      </w:r>
      <w:r w:rsidR="00E470AE">
        <w:rPr>
          <w:rtl/>
        </w:rPr>
        <w:t xml:space="preserve">تحيط اللجنة علماً بالمعلومات التي قدمتها الدولة الطرف بشأن التدريبات المقترحة على أفراد قوات الأمن وموظفي أمن السجون وضباط الشرطة والقضاة الجدد بخصوص حقوق </w:t>
      </w:r>
      <w:r w:rsidR="00E470AE">
        <w:rPr>
          <w:rFonts w:hint="cs"/>
          <w:rtl/>
        </w:rPr>
        <w:t xml:space="preserve">المواطنين </w:t>
      </w:r>
      <w:r w:rsidR="00E470AE">
        <w:rPr>
          <w:rtl/>
        </w:rPr>
        <w:t xml:space="preserve">الأساسية، غير </w:t>
      </w:r>
      <w:r w:rsidR="00E470AE">
        <w:rPr>
          <w:rFonts w:hint="cs"/>
          <w:rtl/>
        </w:rPr>
        <w:t xml:space="preserve">أنها </w:t>
      </w:r>
      <w:r w:rsidR="00E470AE">
        <w:rPr>
          <w:rtl/>
        </w:rPr>
        <w:t xml:space="preserve">تشعر بالقلق لأن هذا التدريب لا يشمل </w:t>
      </w:r>
      <w:r w:rsidR="00E470AE">
        <w:rPr>
          <w:rFonts w:hint="cs"/>
          <w:rtl/>
        </w:rPr>
        <w:t xml:space="preserve">جميع </w:t>
      </w:r>
      <w:r w:rsidR="00E470AE">
        <w:rPr>
          <w:rtl/>
        </w:rPr>
        <w:t>الموظفين المكلفين بإنفاذ القانون والعاملين في مجال الطب الذين يحق لهم التعامل مع المحتجزين</w:t>
      </w:r>
      <w:r w:rsidR="00E470AE">
        <w:rPr>
          <w:rFonts w:hint="cs"/>
          <w:rtl/>
        </w:rPr>
        <w:t>،</w:t>
      </w:r>
      <w:r w:rsidR="00E470AE">
        <w:rPr>
          <w:rtl/>
        </w:rPr>
        <w:t xml:space="preserve"> علاوة على عدم توافر الإرشاد اللازم في هذا المجال والتوعية العامة. وتعرب عن قلقها أيضاً إزاء نقص المعلومات بخصوص أثر هذه التدريبات في مجال مكافحة أعمال التعذيب وإساءة المعاملة وتقييمها. وتلاحظ بقلق أيضاً أن الدولة الطرف لم توضح ما إن كان هذا التدريب ينطوي على تطبيقٍ لمحتوى الدليل بغية التحقيق بفعالية في التعذيب وغيره من ضروب المعاملة أو</w:t>
      </w:r>
      <w:r w:rsidR="00E470AE">
        <w:rPr>
          <w:rFonts w:hint="cs"/>
          <w:rtl/>
        </w:rPr>
        <w:t> </w:t>
      </w:r>
      <w:r w:rsidR="00E470AE">
        <w:rPr>
          <w:rtl/>
        </w:rPr>
        <w:t xml:space="preserve">العقوبة القاسية أو اللاإنسانية أو المهينة (بروتوكول اسطنبول) </w:t>
      </w:r>
      <w:r>
        <w:rPr>
          <w:rFonts w:hint="cs"/>
          <w:rtl/>
        </w:rPr>
        <w:t>(</w:t>
      </w:r>
      <w:r w:rsidR="00E470AE">
        <w:rPr>
          <w:rtl/>
        </w:rPr>
        <w:t>المادة 10</w:t>
      </w:r>
      <w:r>
        <w:rPr>
          <w:rFonts w:hint="cs"/>
          <w:rtl/>
        </w:rPr>
        <w:t>)</w:t>
      </w:r>
      <w:r w:rsidR="00E470AE">
        <w:rPr>
          <w:rtl/>
        </w:rPr>
        <w:t>.</w:t>
      </w:r>
    </w:p>
    <w:p w:rsidR="00E470AE" w:rsidRPr="006F1337" w:rsidRDefault="00E470AE" w:rsidP="00E470AE">
      <w:pPr>
        <w:pStyle w:val="SingleTxtGA"/>
        <w:spacing w:line="374" w:lineRule="exact"/>
        <w:rPr>
          <w:rFonts w:hint="cs"/>
          <w:b/>
          <w:bCs/>
          <w:spacing w:val="-6"/>
          <w:rtl/>
        </w:rPr>
      </w:pPr>
      <w:r w:rsidRPr="006F1337">
        <w:rPr>
          <w:b/>
          <w:bCs/>
          <w:spacing w:val="-6"/>
          <w:rtl/>
        </w:rPr>
        <w:tab/>
        <w:t xml:space="preserve">ينبغي للدولة الطرف أن تعزز البرامج التدريبية الموجهة إلى موظفي إنفاذ القوانين والموظفين المدنيين والعسكريين والطبيين والموظفين العموميين وغيرهم </w:t>
      </w:r>
      <w:r w:rsidRPr="006F1337">
        <w:rPr>
          <w:rFonts w:hint="cs"/>
          <w:b/>
          <w:bCs/>
          <w:spacing w:val="-6"/>
          <w:rtl/>
        </w:rPr>
        <w:t>م</w:t>
      </w:r>
      <w:r w:rsidRPr="006F1337">
        <w:rPr>
          <w:b/>
          <w:bCs/>
          <w:spacing w:val="-6"/>
          <w:rtl/>
        </w:rPr>
        <w:t>م</w:t>
      </w:r>
      <w:r w:rsidRPr="006F1337">
        <w:rPr>
          <w:rFonts w:hint="cs"/>
          <w:b/>
          <w:bCs/>
          <w:spacing w:val="-6"/>
          <w:rtl/>
        </w:rPr>
        <w:t>ّ</w:t>
      </w:r>
      <w:r w:rsidRPr="006F1337">
        <w:rPr>
          <w:b/>
          <w:bCs/>
          <w:spacing w:val="-6"/>
          <w:rtl/>
        </w:rPr>
        <w:t>ن</w:t>
      </w:r>
      <w:r w:rsidRPr="006F1337">
        <w:rPr>
          <w:rFonts w:hint="cs"/>
          <w:b/>
          <w:bCs/>
          <w:spacing w:val="-6"/>
          <w:rtl/>
        </w:rPr>
        <w:t xml:space="preserve"> </w:t>
      </w:r>
      <w:r w:rsidRPr="006F1337">
        <w:rPr>
          <w:b/>
          <w:bCs/>
          <w:spacing w:val="-6"/>
          <w:rtl/>
        </w:rPr>
        <w:t>قد يشاركون في</w:t>
      </w:r>
      <w:r w:rsidRPr="006F1337">
        <w:rPr>
          <w:rFonts w:hint="cs"/>
          <w:b/>
          <w:bCs/>
          <w:spacing w:val="-6"/>
          <w:rtl/>
        </w:rPr>
        <w:t> </w:t>
      </w:r>
      <w:r w:rsidRPr="006F1337">
        <w:rPr>
          <w:b/>
          <w:bCs/>
          <w:spacing w:val="-6"/>
          <w:rtl/>
        </w:rPr>
        <w:t>عمليات حبس أو استجواب أو معاملة أشخاص معرضين للاعتقال أو</w:t>
      </w:r>
      <w:r w:rsidRPr="006F1337">
        <w:rPr>
          <w:rFonts w:hint="cs"/>
          <w:b/>
          <w:bCs/>
          <w:spacing w:val="-6"/>
          <w:rtl/>
        </w:rPr>
        <w:t> </w:t>
      </w:r>
      <w:r w:rsidRPr="006F1337">
        <w:rPr>
          <w:b/>
          <w:bCs/>
          <w:spacing w:val="-6"/>
          <w:rtl/>
        </w:rPr>
        <w:t>الاحتجاز</w:t>
      </w:r>
      <w:r w:rsidRPr="006F1337">
        <w:rPr>
          <w:rFonts w:hint="cs"/>
          <w:b/>
          <w:bCs/>
          <w:spacing w:val="-6"/>
          <w:rtl/>
        </w:rPr>
        <w:t xml:space="preserve"> أو</w:t>
      </w:r>
      <w:r w:rsidRPr="006F1337">
        <w:rPr>
          <w:rFonts w:hint="eastAsia"/>
          <w:b/>
          <w:bCs/>
          <w:spacing w:val="-6"/>
          <w:rtl/>
        </w:rPr>
        <w:t> </w:t>
      </w:r>
      <w:r w:rsidRPr="006F1337">
        <w:rPr>
          <w:rFonts w:hint="cs"/>
          <w:b/>
          <w:bCs/>
          <w:spacing w:val="-6"/>
          <w:rtl/>
        </w:rPr>
        <w:t>السجن</w:t>
      </w:r>
      <w:r w:rsidRPr="006F1337">
        <w:rPr>
          <w:b/>
          <w:bCs/>
          <w:spacing w:val="-6"/>
          <w:rtl/>
        </w:rPr>
        <w:t>. وينبغي للدولة الطرف تقييم فعالية التدريب المقدم وأن تكفل إدراج بروتوكول اسطنبول في البرامج التدريبية.</w:t>
      </w:r>
      <w:r w:rsidRPr="006F1337">
        <w:rPr>
          <w:rFonts w:hint="cs"/>
          <w:b/>
          <w:bCs/>
          <w:spacing w:val="-6"/>
          <w:rtl/>
        </w:rPr>
        <w:t xml:space="preserve"> وينبغي لها أيضاً أن تنظم حملات لتوعية السكان بخصوص منع التعذيب. </w:t>
      </w:r>
    </w:p>
    <w:p w:rsidR="00E470AE" w:rsidRDefault="00E470AE" w:rsidP="00E470AE">
      <w:pPr>
        <w:pStyle w:val="H23GA"/>
        <w:rPr>
          <w:rFonts w:hint="cs"/>
          <w:rtl/>
        </w:rPr>
      </w:pPr>
      <w:r>
        <w:rPr>
          <w:rFonts w:hint="cs"/>
          <w:rtl/>
        </w:rPr>
        <w:tab/>
      </w:r>
      <w:r>
        <w:rPr>
          <w:rFonts w:hint="cs"/>
          <w:rtl/>
        </w:rPr>
        <w:tab/>
      </w:r>
      <w:r>
        <w:rPr>
          <w:rFonts w:hint="eastAsia"/>
          <w:rtl/>
        </w:rPr>
        <w:t>الأوضاع</w:t>
      </w:r>
      <w:r>
        <w:rPr>
          <w:rtl/>
        </w:rPr>
        <w:t xml:space="preserve"> في السجون</w:t>
      </w:r>
    </w:p>
    <w:p w:rsidR="00E470AE" w:rsidRDefault="005332AA" w:rsidP="005332AA">
      <w:pPr>
        <w:pStyle w:val="SingleTxtGA"/>
        <w:spacing w:line="374" w:lineRule="exact"/>
        <w:rPr>
          <w:rFonts w:hint="cs"/>
          <w:rtl/>
          <w:lang w:val="fr-CH"/>
        </w:rPr>
      </w:pPr>
      <w:r>
        <w:rPr>
          <w:rFonts w:hint="cs"/>
          <w:rtl/>
          <w:lang w:val="fr-CH"/>
        </w:rPr>
        <w:t>(</w:t>
      </w:r>
      <w:r w:rsidR="00E470AE">
        <w:rPr>
          <w:rFonts w:hint="cs"/>
          <w:rtl/>
          <w:lang w:val="fr-CH"/>
        </w:rPr>
        <w:t>17</w:t>
      </w:r>
      <w:r>
        <w:rPr>
          <w:rFonts w:hint="cs"/>
          <w:rtl/>
          <w:lang w:val="fr-CH"/>
        </w:rPr>
        <w:t>)</w:t>
      </w:r>
      <w:r w:rsidR="00E470AE">
        <w:rPr>
          <w:rFonts w:hint="cs"/>
          <w:rtl/>
          <w:lang w:val="fr-CH"/>
        </w:rPr>
        <w:tab/>
      </w:r>
      <w:r w:rsidR="00E470AE">
        <w:rPr>
          <w:rFonts w:hint="cs"/>
          <w:rtl/>
        </w:rPr>
        <w:t xml:space="preserve">أحاطت </w:t>
      </w:r>
      <w:r w:rsidR="00E470AE">
        <w:rPr>
          <w:rtl/>
        </w:rPr>
        <w:t>اللجنة</w:t>
      </w:r>
      <w:r w:rsidR="00E470AE">
        <w:rPr>
          <w:rFonts w:hint="cs"/>
          <w:rtl/>
        </w:rPr>
        <w:t xml:space="preserve"> علماً</w:t>
      </w:r>
      <w:r w:rsidR="00E470AE">
        <w:rPr>
          <w:rtl/>
        </w:rPr>
        <w:t xml:space="preserve"> </w:t>
      </w:r>
      <w:r w:rsidR="00E470AE">
        <w:rPr>
          <w:rFonts w:hint="cs"/>
          <w:rtl/>
        </w:rPr>
        <w:t>ب</w:t>
      </w:r>
      <w:r w:rsidR="00E470AE">
        <w:rPr>
          <w:rtl/>
        </w:rPr>
        <w:t xml:space="preserve">جهود </w:t>
      </w:r>
      <w:r w:rsidR="00E470AE">
        <w:rPr>
          <w:rFonts w:hint="cs"/>
          <w:rtl/>
        </w:rPr>
        <w:t xml:space="preserve">الدولة الطرف في مجال أوضاع السجون، بما في ذلك مشروع بناء سجون جديدة </w:t>
      </w:r>
      <w:r w:rsidR="00E470AE">
        <w:rPr>
          <w:rFonts w:hint="cs"/>
          <w:rtl/>
          <w:lang w:val="fr-CH"/>
        </w:rPr>
        <w:t xml:space="preserve">وترميم السجون القديمة والتزام الدولة الطرف بالحد من اكتظاظ السجون بشكل كبير ابتداءًً من نهاية عام 2012. غير أنها تشعر بالقلق </w:t>
      </w:r>
      <w:r w:rsidR="00E470AE">
        <w:rPr>
          <w:rtl/>
        </w:rPr>
        <w:t xml:space="preserve">إزاء </w:t>
      </w:r>
      <w:r w:rsidR="00E470AE">
        <w:rPr>
          <w:rFonts w:hint="cs"/>
          <w:rtl/>
        </w:rPr>
        <w:t>تردّي ال</w:t>
      </w:r>
      <w:r w:rsidR="00E470AE">
        <w:rPr>
          <w:rtl/>
        </w:rPr>
        <w:t xml:space="preserve">ظروف </w:t>
      </w:r>
      <w:r w:rsidR="00E470AE">
        <w:rPr>
          <w:rFonts w:hint="cs"/>
          <w:rtl/>
        </w:rPr>
        <w:t>السائدة</w:t>
      </w:r>
      <w:r w:rsidR="00E470AE">
        <w:rPr>
          <w:rtl/>
        </w:rPr>
        <w:t xml:space="preserve"> </w:t>
      </w:r>
      <w:r w:rsidR="00E470AE">
        <w:rPr>
          <w:rFonts w:hint="cs"/>
          <w:rtl/>
        </w:rPr>
        <w:t>في السجون</w:t>
      </w:r>
      <w:r w:rsidR="00E470AE">
        <w:rPr>
          <w:rtl/>
        </w:rPr>
        <w:t xml:space="preserve">، لا سيما فيما يتعلق </w:t>
      </w:r>
      <w:r w:rsidR="00E470AE">
        <w:rPr>
          <w:rFonts w:hint="cs"/>
          <w:rtl/>
        </w:rPr>
        <w:t xml:space="preserve">بالنظافة </w:t>
      </w:r>
      <w:r w:rsidR="00E470AE">
        <w:rPr>
          <w:rtl/>
        </w:rPr>
        <w:t>وال</w:t>
      </w:r>
      <w:r w:rsidR="00E470AE">
        <w:rPr>
          <w:rFonts w:hint="cs"/>
          <w:rtl/>
        </w:rPr>
        <w:t>ح</w:t>
      </w:r>
      <w:r w:rsidR="00E470AE">
        <w:rPr>
          <w:rtl/>
        </w:rPr>
        <w:t xml:space="preserve">صول </w:t>
      </w:r>
      <w:r w:rsidR="00E470AE">
        <w:rPr>
          <w:rFonts w:hint="cs"/>
          <w:rtl/>
        </w:rPr>
        <w:t>عل</w:t>
      </w:r>
      <w:r w:rsidR="00E470AE">
        <w:rPr>
          <w:rtl/>
        </w:rPr>
        <w:t xml:space="preserve">ى </w:t>
      </w:r>
      <w:r w:rsidR="00E470AE">
        <w:rPr>
          <w:rFonts w:hint="cs"/>
          <w:rtl/>
        </w:rPr>
        <w:t xml:space="preserve">خدمات </w:t>
      </w:r>
      <w:r w:rsidR="00E470AE">
        <w:rPr>
          <w:rtl/>
        </w:rPr>
        <w:t>الرعاية الصحية والغذاء</w:t>
      </w:r>
      <w:r w:rsidR="00E470AE">
        <w:rPr>
          <w:rFonts w:hint="cs"/>
          <w:rtl/>
          <w:lang w:val="fr-CH"/>
        </w:rPr>
        <w:t xml:space="preserve"> السليم. </w:t>
      </w:r>
      <w:r w:rsidR="00E470AE">
        <w:rPr>
          <w:rtl/>
        </w:rPr>
        <w:t>ويساور</w:t>
      </w:r>
      <w:r w:rsidR="00E470AE">
        <w:rPr>
          <w:rFonts w:hint="cs"/>
          <w:rtl/>
        </w:rPr>
        <w:t>ها</w:t>
      </w:r>
      <w:r w:rsidR="00E470AE">
        <w:rPr>
          <w:rtl/>
        </w:rPr>
        <w:t xml:space="preserve"> القلق إزاء ارتفاع معدلات الاكتظاظ في السجون</w:t>
      </w:r>
      <w:r w:rsidR="00E470AE">
        <w:rPr>
          <w:rFonts w:hint="cs"/>
          <w:rtl/>
          <w:lang w:val="fr-CH"/>
        </w:rPr>
        <w:t xml:space="preserve">، لا سيما سجن مدينة </w:t>
      </w:r>
      <w:r w:rsidR="00E470AE">
        <w:rPr>
          <w:rtl/>
        </w:rPr>
        <w:t>ليبرفيل</w:t>
      </w:r>
      <w:r w:rsidR="00E470AE">
        <w:rPr>
          <w:rFonts w:hint="cs"/>
          <w:rtl/>
        </w:rPr>
        <w:t xml:space="preserve"> المركزي، وإزاء التقارير التي تفيد بعدم احترام مبدأ فصل السجناء</w:t>
      </w:r>
      <w:r w:rsidR="00E470AE">
        <w:rPr>
          <w:rFonts w:hint="cs"/>
          <w:rtl/>
          <w:lang w:val="fr-CH"/>
        </w:rPr>
        <w:t xml:space="preserve"> في سجون المناطق الريفية. وتعرب عن قلقها أيضاً إزاء انعدام المعلومات بشأن التطبيق الفعلي للقانون المعتمد في 26 كانون الأول/ديسمبر 2009 الذي ينص على متابعة أفضل للعقوبات وتحسين إدارة الأوضاع في السجون وإزاء معلومات محددة عن الشكاوى التي رفعها السجناء وعن المعاملة التي يعاملون بها (المادتان 11 و16). </w:t>
      </w:r>
    </w:p>
    <w:p w:rsidR="00E470AE" w:rsidRDefault="00E470AE" w:rsidP="00E470AE">
      <w:pPr>
        <w:pStyle w:val="SingleTxtGA"/>
        <w:spacing w:line="374" w:lineRule="exact"/>
        <w:rPr>
          <w:rFonts w:hint="cs"/>
          <w:b/>
          <w:bCs/>
          <w:rtl/>
        </w:rPr>
      </w:pPr>
      <w:r>
        <w:rPr>
          <w:rFonts w:hint="cs"/>
          <w:b/>
          <w:bCs/>
          <w:rtl/>
        </w:rPr>
        <w:tab/>
      </w:r>
      <w:r w:rsidRPr="007276A8">
        <w:rPr>
          <w:b/>
          <w:bCs/>
          <w:rtl/>
        </w:rPr>
        <w:t xml:space="preserve">ينبغي للدولة الطرف </w:t>
      </w:r>
      <w:r>
        <w:rPr>
          <w:rFonts w:hint="cs"/>
          <w:b/>
          <w:bCs/>
          <w:rtl/>
        </w:rPr>
        <w:t>مضاعفة جهودها</w:t>
      </w:r>
      <w:r w:rsidRPr="007276A8">
        <w:rPr>
          <w:b/>
          <w:bCs/>
          <w:rtl/>
        </w:rPr>
        <w:t xml:space="preserve"> </w:t>
      </w:r>
      <w:r>
        <w:rPr>
          <w:rFonts w:hint="cs"/>
          <w:b/>
          <w:bCs/>
          <w:rtl/>
        </w:rPr>
        <w:t>لتحسين</w:t>
      </w:r>
      <w:r w:rsidRPr="007276A8">
        <w:rPr>
          <w:b/>
          <w:bCs/>
          <w:rtl/>
        </w:rPr>
        <w:t xml:space="preserve"> </w:t>
      </w:r>
      <w:r>
        <w:rPr>
          <w:rFonts w:hint="cs"/>
          <w:b/>
          <w:bCs/>
          <w:rtl/>
        </w:rPr>
        <w:t>ال</w:t>
      </w:r>
      <w:r w:rsidRPr="007276A8">
        <w:rPr>
          <w:b/>
          <w:bCs/>
          <w:rtl/>
        </w:rPr>
        <w:t xml:space="preserve">ظروف </w:t>
      </w:r>
      <w:r>
        <w:rPr>
          <w:rFonts w:hint="cs"/>
          <w:b/>
          <w:bCs/>
          <w:rtl/>
        </w:rPr>
        <w:t>في السجون</w:t>
      </w:r>
      <w:r w:rsidRPr="007276A8">
        <w:rPr>
          <w:b/>
          <w:bCs/>
          <w:rtl/>
        </w:rPr>
        <w:t xml:space="preserve"> </w:t>
      </w:r>
      <w:r>
        <w:rPr>
          <w:rFonts w:hint="cs"/>
          <w:b/>
          <w:bCs/>
          <w:rtl/>
        </w:rPr>
        <w:t>والحرص على اتساقها</w:t>
      </w:r>
      <w:r w:rsidRPr="007276A8">
        <w:rPr>
          <w:b/>
          <w:bCs/>
          <w:rtl/>
        </w:rPr>
        <w:t xml:space="preserve"> مع القواعد النموذجية الدنيا لمعاملة السجناء التي أقرها المجلس الاقتصادي والاجت</w:t>
      </w:r>
      <w:r>
        <w:rPr>
          <w:b/>
          <w:bCs/>
          <w:rtl/>
        </w:rPr>
        <w:t>ماعي في قراريه 663 جيم(د-24) و</w:t>
      </w:r>
      <w:r w:rsidRPr="007276A8">
        <w:rPr>
          <w:b/>
          <w:bCs/>
          <w:rtl/>
        </w:rPr>
        <w:t>2076(د-62)</w:t>
      </w:r>
      <w:r>
        <w:rPr>
          <w:rFonts w:hint="cs"/>
          <w:b/>
          <w:bCs/>
          <w:rtl/>
        </w:rPr>
        <w:t>،</w:t>
      </w:r>
      <w:r w:rsidRPr="007276A8">
        <w:rPr>
          <w:b/>
          <w:bCs/>
          <w:rtl/>
        </w:rPr>
        <w:t xml:space="preserve"> و</w:t>
      </w:r>
      <w:r>
        <w:rPr>
          <w:rFonts w:hint="cs"/>
          <w:b/>
          <w:bCs/>
          <w:rtl/>
        </w:rPr>
        <w:t>ذلك على</w:t>
      </w:r>
      <w:r w:rsidRPr="007276A8">
        <w:rPr>
          <w:b/>
          <w:bCs/>
          <w:rtl/>
        </w:rPr>
        <w:t xml:space="preserve"> </w:t>
      </w:r>
      <w:r>
        <w:rPr>
          <w:rFonts w:hint="cs"/>
          <w:b/>
          <w:bCs/>
          <w:rtl/>
        </w:rPr>
        <w:t>النحو التالي:</w:t>
      </w:r>
    </w:p>
    <w:p w:rsidR="00E470AE" w:rsidRPr="004A29B6" w:rsidRDefault="00E470AE" w:rsidP="00E470AE">
      <w:pPr>
        <w:pStyle w:val="SingleTxtGA"/>
        <w:spacing w:line="374" w:lineRule="exact"/>
        <w:rPr>
          <w:rFonts w:hint="cs"/>
          <w:b/>
          <w:bCs/>
          <w:spacing w:val="-6"/>
          <w:rtl/>
        </w:rPr>
      </w:pPr>
      <w:r w:rsidRPr="004A29B6">
        <w:rPr>
          <w:b/>
          <w:bCs/>
          <w:spacing w:val="-6"/>
          <w:rtl/>
        </w:rPr>
        <w:tab/>
        <w:t>(أ)</w:t>
      </w:r>
      <w:r w:rsidRPr="004A29B6">
        <w:rPr>
          <w:b/>
          <w:bCs/>
          <w:spacing w:val="-6"/>
          <w:rtl/>
        </w:rPr>
        <w:tab/>
        <w:t>الحد</w:t>
      </w:r>
      <w:r w:rsidRPr="004A29B6">
        <w:rPr>
          <w:rFonts w:hint="cs"/>
          <w:b/>
          <w:bCs/>
          <w:spacing w:val="-6"/>
          <w:rtl/>
        </w:rPr>
        <w:t>، بشكل كبير،</w:t>
      </w:r>
      <w:r w:rsidRPr="004A29B6">
        <w:rPr>
          <w:b/>
          <w:bCs/>
          <w:spacing w:val="-6"/>
          <w:rtl/>
        </w:rPr>
        <w:t xml:space="preserve"> من </w:t>
      </w:r>
      <w:r w:rsidRPr="004A29B6">
        <w:rPr>
          <w:rFonts w:hint="cs"/>
          <w:b/>
          <w:bCs/>
          <w:spacing w:val="-6"/>
          <w:rtl/>
        </w:rPr>
        <w:t xml:space="preserve">ارتفاع </w:t>
      </w:r>
      <w:r w:rsidRPr="004A29B6">
        <w:rPr>
          <w:b/>
          <w:bCs/>
          <w:spacing w:val="-6"/>
          <w:rtl/>
        </w:rPr>
        <w:t xml:space="preserve">معدلات </w:t>
      </w:r>
      <w:r w:rsidRPr="004A29B6">
        <w:rPr>
          <w:rFonts w:hint="cs"/>
          <w:b/>
          <w:bCs/>
          <w:spacing w:val="-6"/>
          <w:rtl/>
        </w:rPr>
        <w:t>ا</w:t>
      </w:r>
      <w:r w:rsidRPr="004A29B6">
        <w:rPr>
          <w:b/>
          <w:bCs/>
          <w:spacing w:val="-6"/>
          <w:rtl/>
        </w:rPr>
        <w:t>لاكتظاظ في السجون</w:t>
      </w:r>
      <w:r w:rsidRPr="004A29B6">
        <w:rPr>
          <w:rFonts w:hint="cs"/>
          <w:b/>
          <w:bCs/>
          <w:spacing w:val="-6"/>
          <w:rtl/>
        </w:rPr>
        <w:t xml:space="preserve">، خاصة في سجن </w:t>
      </w:r>
      <w:r w:rsidRPr="004A29B6">
        <w:rPr>
          <w:rFonts w:hint="cs"/>
          <w:b/>
          <w:bCs/>
          <w:spacing w:val="-6"/>
          <w:rtl/>
          <w:lang w:val="fr-CH"/>
        </w:rPr>
        <w:t xml:space="preserve">مدينة </w:t>
      </w:r>
      <w:r w:rsidRPr="004A29B6">
        <w:rPr>
          <w:b/>
          <w:bCs/>
          <w:spacing w:val="-6"/>
          <w:rtl/>
        </w:rPr>
        <w:t>ليبرفيل</w:t>
      </w:r>
      <w:r w:rsidRPr="004A29B6">
        <w:rPr>
          <w:rFonts w:hint="cs"/>
          <w:b/>
          <w:bCs/>
          <w:spacing w:val="-6"/>
          <w:rtl/>
        </w:rPr>
        <w:t xml:space="preserve"> المركزي، بسبل منها </w:t>
      </w:r>
      <w:r w:rsidRPr="004A29B6">
        <w:rPr>
          <w:b/>
          <w:bCs/>
          <w:spacing w:val="-6"/>
          <w:rtl/>
        </w:rPr>
        <w:t xml:space="preserve">زيادة اللجوء إلى تدابير غير احتجازية كبديل للسجن، </w:t>
      </w:r>
      <w:r w:rsidRPr="004A29B6">
        <w:rPr>
          <w:rFonts w:hint="cs"/>
          <w:b/>
          <w:bCs/>
          <w:spacing w:val="-6"/>
          <w:rtl/>
        </w:rPr>
        <w:t>على</w:t>
      </w:r>
      <w:r w:rsidRPr="004A29B6">
        <w:rPr>
          <w:b/>
          <w:bCs/>
          <w:spacing w:val="-6"/>
          <w:rtl/>
        </w:rPr>
        <w:t xml:space="preserve"> ضوء قواعد الأمم المتحدة النموذجية الدنيا للتدابير غير الاحتجازية (قواعد طوكيو)؛ </w:t>
      </w:r>
    </w:p>
    <w:p w:rsidR="00E470AE" w:rsidRPr="007D588C" w:rsidRDefault="00E470AE" w:rsidP="00E470AE">
      <w:pPr>
        <w:pStyle w:val="SingleTxtGA"/>
        <w:rPr>
          <w:b/>
          <w:bCs/>
          <w:rtl/>
        </w:rPr>
      </w:pPr>
      <w:r w:rsidRPr="007D588C">
        <w:rPr>
          <w:b/>
          <w:bCs/>
          <w:rtl/>
        </w:rPr>
        <w:tab/>
        <w:t>(ب)</w:t>
      </w:r>
      <w:r w:rsidRPr="007D588C">
        <w:rPr>
          <w:b/>
          <w:bCs/>
          <w:rtl/>
        </w:rPr>
        <w:tab/>
      </w:r>
      <w:r w:rsidRPr="007F7D11">
        <w:rPr>
          <w:rFonts w:hint="cs"/>
          <w:b/>
          <w:bCs/>
          <w:rtl/>
          <w:lang/>
        </w:rPr>
        <w:t>خفض مدة الحبس الاحتياطي</w:t>
      </w:r>
      <w:r>
        <w:rPr>
          <w:rFonts w:hint="cs"/>
          <w:rtl/>
          <w:lang/>
        </w:rPr>
        <w:t xml:space="preserve"> و</w:t>
      </w:r>
      <w:r w:rsidRPr="007D588C">
        <w:rPr>
          <w:b/>
          <w:bCs/>
          <w:rtl/>
        </w:rPr>
        <w:t>الإفراج عن المحتجزين الذين أنه</w:t>
      </w:r>
      <w:r>
        <w:rPr>
          <w:b/>
          <w:bCs/>
          <w:rtl/>
        </w:rPr>
        <w:t>وا معظم مدة عقوبتهم والذين ت</w:t>
      </w:r>
      <w:r>
        <w:rPr>
          <w:rFonts w:hint="cs"/>
          <w:b/>
          <w:bCs/>
          <w:rtl/>
        </w:rPr>
        <w:t>رى</w:t>
      </w:r>
      <w:r w:rsidRPr="007D588C">
        <w:rPr>
          <w:b/>
          <w:bCs/>
          <w:rtl/>
        </w:rPr>
        <w:t xml:space="preserve"> السلطات المختصة أن</w:t>
      </w:r>
      <w:r>
        <w:rPr>
          <w:rFonts w:hint="cs"/>
          <w:b/>
          <w:bCs/>
          <w:rtl/>
        </w:rPr>
        <w:t>هم</w:t>
      </w:r>
      <w:r w:rsidRPr="007D588C">
        <w:rPr>
          <w:b/>
          <w:bCs/>
          <w:rtl/>
        </w:rPr>
        <w:t xml:space="preserve"> </w:t>
      </w:r>
      <w:r>
        <w:rPr>
          <w:rFonts w:hint="cs"/>
          <w:b/>
          <w:bCs/>
          <w:rtl/>
        </w:rPr>
        <w:t>أهل لإعادة</w:t>
      </w:r>
      <w:r w:rsidRPr="007D588C">
        <w:rPr>
          <w:b/>
          <w:bCs/>
          <w:rtl/>
        </w:rPr>
        <w:t xml:space="preserve"> إ</w:t>
      </w:r>
      <w:r>
        <w:rPr>
          <w:b/>
          <w:bCs/>
          <w:rtl/>
        </w:rPr>
        <w:t>دماجهم في المجتمع</w:t>
      </w:r>
      <w:r w:rsidRPr="007D588C">
        <w:rPr>
          <w:b/>
          <w:bCs/>
          <w:rtl/>
        </w:rPr>
        <w:t>؛</w:t>
      </w:r>
    </w:p>
    <w:p w:rsidR="00E470AE" w:rsidRDefault="00E470AE" w:rsidP="00E470AE">
      <w:pPr>
        <w:pStyle w:val="SingleTxtGA"/>
        <w:rPr>
          <w:rFonts w:hint="cs"/>
          <w:rtl/>
        </w:rPr>
      </w:pPr>
      <w:r w:rsidRPr="007D588C">
        <w:rPr>
          <w:b/>
          <w:bCs/>
          <w:rtl/>
        </w:rPr>
        <w:tab/>
        <w:t>(</w:t>
      </w:r>
      <w:r>
        <w:rPr>
          <w:rFonts w:hint="cs"/>
          <w:b/>
          <w:bCs/>
          <w:rtl/>
        </w:rPr>
        <w:t>ج</w:t>
      </w:r>
      <w:r w:rsidRPr="007D588C">
        <w:rPr>
          <w:b/>
          <w:bCs/>
          <w:rtl/>
        </w:rPr>
        <w:t>)</w:t>
      </w:r>
      <w:r w:rsidRPr="007D588C">
        <w:rPr>
          <w:b/>
          <w:bCs/>
          <w:rtl/>
        </w:rPr>
        <w:tab/>
      </w:r>
      <w:r>
        <w:rPr>
          <w:rFonts w:hint="cs"/>
          <w:b/>
          <w:bCs/>
          <w:rtl/>
        </w:rPr>
        <w:t>الحرص على</w:t>
      </w:r>
      <w:r w:rsidRPr="007D588C">
        <w:rPr>
          <w:b/>
          <w:bCs/>
          <w:rtl/>
        </w:rPr>
        <w:t xml:space="preserve"> فصل القص</w:t>
      </w:r>
      <w:r>
        <w:rPr>
          <w:rFonts w:hint="cs"/>
          <w:b/>
          <w:bCs/>
          <w:rtl/>
        </w:rPr>
        <w:t>َّ</w:t>
      </w:r>
      <w:r w:rsidRPr="007D588C">
        <w:rPr>
          <w:b/>
          <w:bCs/>
          <w:rtl/>
        </w:rPr>
        <w:t xml:space="preserve">ر </w:t>
      </w:r>
      <w:r>
        <w:rPr>
          <w:rFonts w:hint="cs"/>
          <w:b/>
          <w:bCs/>
          <w:rtl/>
        </w:rPr>
        <w:t xml:space="preserve">عن </w:t>
      </w:r>
      <w:r w:rsidRPr="007D588C">
        <w:rPr>
          <w:b/>
          <w:bCs/>
          <w:rtl/>
        </w:rPr>
        <w:t>البالغين</w:t>
      </w:r>
      <w:r>
        <w:rPr>
          <w:rFonts w:hint="cs"/>
          <w:b/>
          <w:bCs/>
          <w:rtl/>
        </w:rPr>
        <w:t xml:space="preserve"> وفقاً للمعايير الدولية</w:t>
      </w:r>
      <w:r w:rsidRPr="007D588C">
        <w:rPr>
          <w:b/>
          <w:bCs/>
          <w:rtl/>
        </w:rPr>
        <w:t xml:space="preserve"> وفصل </w:t>
      </w:r>
      <w:r w:rsidRPr="005C4D11">
        <w:rPr>
          <w:rFonts w:hint="cs"/>
          <w:b/>
          <w:bCs/>
          <w:rtl/>
          <w:lang/>
        </w:rPr>
        <w:t>الأشخاص المتهمين عن المدانين</w:t>
      </w:r>
      <w:r>
        <w:rPr>
          <w:rFonts w:hint="cs"/>
          <w:rtl/>
          <w:lang/>
        </w:rPr>
        <w:t xml:space="preserve"> </w:t>
      </w:r>
      <w:r>
        <w:rPr>
          <w:rFonts w:hint="cs"/>
          <w:b/>
          <w:bCs/>
          <w:rtl/>
          <w:lang/>
        </w:rPr>
        <w:t>والنساء عن الرجال</w:t>
      </w:r>
      <w:r>
        <w:rPr>
          <w:rFonts w:hint="cs"/>
          <w:b/>
          <w:bCs/>
          <w:rtl/>
        </w:rPr>
        <w:t>، لا سيما في سجون المناطق الريفية</w:t>
      </w:r>
      <w:r w:rsidRPr="007D588C">
        <w:rPr>
          <w:b/>
          <w:bCs/>
          <w:rtl/>
        </w:rPr>
        <w:t xml:space="preserve">؛ </w:t>
      </w:r>
    </w:p>
    <w:p w:rsidR="00E470AE" w:rsidRPr="004A29B6" w:rsidRDefault="00E470AE" w:rsidP="00E470AE">
      <w:pPr>
        <w:pStyle w:val="SingleTxtGA"/>
        <w:rPr>
          <w:rFonts w:hint="cs"/>
          <w:b/>
          <w:bCs/>
          <w:spacing w:val="-6"/>
          <w:rtl/>
        </w:rPr>
      </w:pPr>
      <w:r w:rsidRPr="004A29B6">
        <w:rPr>
          <w:rFonts w:hint="cs"/>
          <w:spacing w:val="-6"/>
          <w:rtl/>
        </w:rPr>
        <w:tab/>
      </w:r>
      <w:r w:rsidRPr="005E5176">
        <w:rPr>
          <w:rFonts w:hint="cs"/>
          <w:b/>
          <w:bCs/>
          <w:spacing w:val="-6"/>
          <w:rtl/>
        </w:rPr>
        <w:t>(د)</w:t>
      </w:r>
      <w:r w:rsidRPr="004A29B6">
        <w:rPr>
          <w:rFonts w:hint="cs"/>
          <w:b/>
          <w:bCs/>
          <w:spacing w:val="-6"/>
          <w:rtl/>
        </w:rPr>
        <w:tab/>
        <w:t>العمل على أن يتمكن السجناء بالفعل من رفع الشكاوى بخصوص أوضاعهم في السجن وسوء المعاملة التي يتلقونها وإجراء تحقيقات نزيهة وفورية ومستقلة بخصوصها؛</w:t>
      </w:r>
    </w:p>
    <w:p w:rsidR="00E470AE" w:rsidRDefault="00E470AE" w:rsidP="00E470AE">
      <w:pPr>
        <w:pStyle w:val="SingleTxtGA"/>
        <w:rPr>
          <w:rFonts w:hint="cs"/>
          <w:b/>
          <w:bCs/>
          <w:rtl/>
        </w:rPr>
      </w:pPr>
      <w:r>
        <w:rPr>
          <w:rFonts w:hint="cs"/>
          <w:rtl/>
        </w:rPr>
        <w:tab/>
      </w:r>
      <w:r w:rsidRPr="005E5176">
        <w:rPr>
          <w:rFonts w:hint="cs"/>
          <w:b/>
          <w:bCs/>
          <w:rtl/>
        </w:rPr>
        <w:t>(</w:t>
      </w:r>
      <w:r w:rsidRPr="005E5176">
        <w:rPr>
          <w:rFonts w:hint="cs"/>
          <w:b/>
          <w:bCs/>
          <w:sz w:val="30"/>
          <w:rtl/>
        </w:rPr>
        <w:t>ﻫ</w:t>
      </w:r>
      <w:r w:rsidRPr="005E5176">
        <w:rPr>
          <w:rFonts w:hint="cs"/>
          <w:b/>
          <w:bCs/>
          <w:rtl/>
        </w:rPr>
        <w:t>)</w:t>
      </w:r>
      <w:r>
        <w:rPr>
          <w:rFonts w:hint="cs"/>
          <w:b/>
          <w:bCs/>
          <w:rtl/>
        </w:rPr>
        <w:tab/>
        <w:t>ترشيد نظام العقوبات فيما يتعلق بالقصر، ووفقاً للمعايير الدولية؛</w:t>
      </w:r>
    </w:p>
    <w:p w:rsidR="00E470AE" w:rsidRDefault="00E470AE" w:rsidP="00E470AE">
      <w:pPr>
        <w:pStyle w:val="SingleTxtGA"/>
        <w:rPr>
          <w:rFonts w:hint="cs"/>
          <w:b/>
          <w:bCs/>
          <w:rtl/>
        </w:rPr>
      </w:pPr>
      <w:r>
        <w:rPr>
          <w:rFonts w:hint="cs"/>
          <w:rtl/>
        </w:rPr>
        <w:tab/>
      </w:r>
      <w:r w:rsidRPr="005E5176">
        <w:rPr>
          <w:rFonts w:hint="cs"/>
          <w:b/>
          <w:bCs/>
          <w:rtl/>
        </w:rPr>
        <w:t>(و)</w:t>
      </w:r>
      <w:r>
        <w:rPr>
          <w:rFonts w:hint="cs"/>
          <w:b/>
          <w:bCs/>
          <w:rtl/>
        </w:rPr>
        <w:tab/>
        <w:t>ضمان الحصول على الرعاية الصحية والغذاء اليومي الكافي.</w:t>
      </w:r>
    </w:p>
    <w:p w:rsidR="00E470AE" w:rsidRPr="00B524FF" w:rsidRDefault="00E470AE" w:rsidP="00E470AE">
      <w:pPr>
        <w:pStyle w:val="H23GA"/>
        <w:rPr>
          <w:rFonts w:hint="cs"/>
          <w:rtl/>
        </w:rPr>
      </w:pPr>
      <w:r>
        <w:rPr>
          <w:rFonts w:hint="cs"/>
          <w:rtl/>
        </w:rPr>
        <w:tab/>
      </w:r>
      <w:r>
        <w:rPr>
          <w:rFonts w:hint="cs"/>
          <w:rtl/>
        </w:rPr>
        <w:tab/>
      </w:r>
      <w:r w:rsidRPr="00B524FF">
        <w:rPr>
          <w:rFonts w:hint="eastAsia"/>
          <w:rtl/>
        </w:rPr>
        <w:t>قضاء</w:t>
      </w:r>
      <w:r w:rsidRPr="00B524FF">
        <w:rPr>
          <w:rtl/>
        </w:rPr>
        <w:t xml:space="preserve"> الأحداث</w:t>
      </w:r>
    </w:p>
    <w:p w:rsidR="00E470AE" w:rsidRPr="00E56FB4" w:rsidRDefault="005332AA" w:rsidP="005332AA">
      <w:pPr>
        <w:pStyle w:val="SingleTxtGA"/>
        <w:rPr>
          <w:rFonts w:hint="cs"/>
          <w:rtl/>
          <w:lang w:eastAsia="ar-SA"/>
        </w:rPr>
      </w:pPr>
      <w:r>
        <w:rPr>
          <w:rFonts w:hint="cs"/>
          <w:rtl/>
          <w:lang w:eastAsia="ar-SA"/>
        </w:rPr>
        <w:t>(</w:t>
      </w:r>
      <w:r w:rsidR="00E470AE" w:rsidRPr="00E56FB4">
        <w:rPr>
          <w:rFonts w:hint="cs"/>
          <w:rtl/>
          <w:lang w:eastAsia="ar-SA"/>
        </w:rPr>
        <w:t>18</w:t>
      </w:r>
      <w:r>
        <w:rPr>
          <w:rFonts w:hint="cs"/>
          <w:rtl/>
          <w:lang w:eastAsia="ar-SA"/>
        </w:rPr>
        <w:t>)</w:t>
      </w:r>
      <w:r w:rsidR="00E470AE" w:rsidRPr="00E56FB4">
        <w:rPr>
          <w:rFonts w:hint="cs"/>
          <w:rtl/>
        </w:rPr>
        <w:tab/>
      </w:r>
      <w:r w:rsidR="00E470AE" w:rsidRPr="00E56FB4">
        <w:rPr>
          <w:rFonts w:hint="cs"/>
          <w:rtl/>
          <w:lang w:eastAsia="ar-SA"/>
        </w:rPr>
        <w:t>تحيط اللجنة علماً بأن الدولة الطرف اعتمدت نظاماً قانونياً</w:t>
      </w:r>
      <w:r w:rsidR="00E470AE">
        <w:rPr>
          <w:rFonts w:hint="cs"/>
          <w:rtl/>
          <w:lang w:eastAsia="ar-SA"/>
        </w:rPr>
        <w:t xml:space="preserve"> جديد</w:t>
      </w:r>
      <w:r w:rsidR="00E470AE" w:rsidRPr="00E56FB4">
        <w:rPr>
          <w:rFonts w:hint="cs"/>
          <w:rtl/>
          <w:lang w:eastAsia="ar-SA"/>
        </w:rPr>
        <w:t>ا</w:t>
      </w:r>
      <w:r w:rsidR="00E470AE">
        <w:rPr>
          <w:rFonts w:hint="cs"/>
          <w:rtl/>
          <w:lang w:eastAsia="ar-SA"/>
        </w:rPr>
        <w:t>ً</w:t>
      </w:r>
      <w:r w:rsidR="00E470AE" w:rsidRPr="00E56FB4">
        <w:rPr>
          <w:rFonts w:hint="cs"/>
          <w:rtl/>
          <w:lang w:eastAsia="ar-SA"/>
        </w:rPr>
        <w:t xml:space="preserve"> خاصّاً بالقصر (من خلال القانون رقم 39/2010 المؤرخ 25 تشرين الثاني/نوفمبر 2010 المتعلق بالنظام القضائي المعني بحماية القصر والصادر بالمرسوم رقم </w:t>
      </w:r>
      <w:r w:rsidR="00E470AE">
        <w:rPr>
          <w:lang w:eastAsia="ar-SA"/>
        </w:rPr>
        <w:t>0806/</w:t>
      </w:r>
      <w:r w:rsidR="00E470AE" w:rsidRPr="00E56FB4">
        <w:rPr>
          <w:lang w:eastAsia="ar-SA"/>
        </w:rPr>
        <w:t>PR</w:t>
      </w:r>
      <w:r w:rsidR="00E470AE" w:rsidRPr="00E56FB4">
        <w:rPr>
          <w:rFonts w:hint="cs"/>
          <w:rtl/>
          <w:lang w:eastAsia="ar-SA"/>
        </w:rPr>
        <w:t xml:space="preserve"> المؤرخ 25 تشرين الثاني/</w:t>
      </w:r>
      <w:r>
        <w:rPr>
          <w:rFonts w:hint="cs"/>
          <w:rtl/>
          <w:lang w:eastAsia="ar-SA"/>
        </w:rPr>
        <w:t xml:space="preserve"> </w:t>
      </w:r>
      <w:r w:rsidR="00E470AE" w:rsidRPr="00E56FB4">
        <w:rPr>
          <w:rFonts w:hint="cs"/>
          <w:rtl/>
          <w:lang w:eastAsia="ar-SA"/>
        </w:rPr>
        <w:t xml:space="preserve">نوفمبر 2010 الذي ينشئ </w:t>
      </w:r>
      <w:r w:rsidR="00E470AE" w:rsidRPr="00E56FB4">
        <w:rPr>
          <w:rFonts w:hint="cs"/>
          <w:rtl/>
          <w:lang/>
        </w:rPr>
        <w:t xml:space="preserve">نظاماً استثنائياً من نظم القانون العام، لا سيما في مجال الحبس الاحتياطي وسنّ المسؤولية القانونية، غير أنها تعرب عن أسفها لأن هذا التشريع لا يدرج نظام عقوبات بديلة </w:t>
      </w:r>
      <w:r w:rsidR="00E470AE" w:rsidRPr="00E56FB4">
        <w:rPr>
          <w:rFonts w:hint="cs"/>
          <w:rtl/>
          <w:lang w:eastAsia="ar-SA"/>
        </w:rPr>
        <w:t xml:space="preserve">للاستعاضة بها عن حرمان القصر من حريتهم (المواد 2 و10 و16). </w:t>
      </w:r>
    </w:p>
    <w:p w:rsidR="00E470AE" w:rsidRPr="00E56FB4" w:rsidRDefault="00E470AE" w:rsidP="00E470AE">
      <w:pPr>
        <w:pStyle w:val="SingleTxtGA"/>
        <w:rPr>
          <w:rFonts w:hint="cs"/>
          <w:b/>
          <w:bCs/>
          <w:rtl/>
          <w:lang w:eastAsia="ar-SA"/>
        </w:rPr>
      </w:pPr>
      <w:r>
        <w:rPr>
          <w:rFonts w:hint="cs"/>
          <w:b/>
          <w:bCs/>
          <w:rtl/>
          <w:lang w:eastAsia="ar-SA"/>
        </w:rPr>
        <w:tab/>
      </w:r>
      <w:r w:rsidRPr="00E56FB4">
        <w:rPr>
          <w:rFonts w:hint="cs"/>
          <w:b/>
          <w:bCs/>
          <w:rtl/>
          <w:lang w:eastAsia="ar-SA"/>
        </w:rPr>
        <w:t>ينبغي للدولة الطرف أن تقوم بما يلي:</w:t>
      </w:r>
    </w:p>
    <w:p w:rsidR="00E470AE" w:rsidRPr="004A29B6" w:rsidRDefault="00E470AE" w:rsidP="00E470AE">
      <w:pPr>
        <w:pStyle w:val="SingleTxtGA"/>
        <w:rPr>
          <w:rFonts w:hint="cs"/>
          <w:b/>
          <w:bCs/>
          <w:spacing w:val="4"/>
          <w:rtl/>
          <w:lang w:eastAsia="ar-SA"/>
        </w:rPr>
      </w:pPr>
      <w:r w:rsidRPr="004A29B6">
        <w:rPr>
          <w:rFonts w:hint="cs"/>
          <w:b/>
          <w:bCs/>
          <w:spacing w:val="4"/>
          <w:rtl/>
          <w:lang w:eastAsia="ar-SA"/>
        </w:rPr>
        <w:tab/>
        <w:t>(أ)</w:t>
      </w:r>
      <w:r w:rsidRPr="004A29B6">
        <w:rPr>
          <w:rFonts w:hint="cs"/>
          <w:b/>
          <w:bCs/>
          <w:spacing w:val="4"/>
          <w:rtl/>
          <w:lang w:eastAsia="ar-SA"/>
        </w:rPr>
        <w:tab/>
        <w:t>وضع قوانينها مع إدراج تدابير بديلة في نظام قضاء الأحداث المخالفين للقانون؛</w:t>
      </w:r>
    </w:p>
    <w:p w:rsidR="00E470AE" w:rsidRPr="004A29B6" w:rsidRDefault="00E470AE" w:rsidP="00E470AE">
      <w:pPr>
        <w:pStyle w:val="SingleTxtGA"/>
        <w:rPr>
          <w:rFonts w:hint="cs"/>
          <w:b/>
          <w:bCs/>
          <w:spacing w:val="-4"/>
          <w:lang w:eastAsia="ar-SA"/>
        </w:rPr>
      </w:pPr>
      <w:r w:rsidRPr="004A29B6">
        <w:rPr>
          <w:rFonts w:hint="cs"/>
          <w:b/>
          <w:bCs/>
          <w:spacing w:val="-4"/>
          <w:rtl/>
          <w:lang w:eastAsia="ar-SA"/>
        </w:rPr>
        <w:tab/>
        <w:t>(ب)</w:t>
      </w:r>
      <w:r w:rsidRPr="004A29B6">
        <w:rPr>
          <w:rFonts w:hint="cs"/>
          <w:b/>
          <w:bCs/>
          <w:spacing w:val="-4"/>
          <w:rtl/>
          <w:lang w:eastAsia="ar-SA"/>
        </w:rPr>
        <w:tab/>
        <w:t>الحرص على ألاّ يُلجأ إلى حبس القصر إلا كملاذ أخير ولأقصر مدة ممكنة؛</w:t>
      </w:r>
    </w:p>
    <w:p w:rsidR="00E470AE" w:rsidRPr="00DC696C" w:rsidRDefault="00E470AE" w:rsidP="00E470AE">
      <w:pPr>
        <w:pStyle w:val="SingleTxtGA"/>
        <w:rPr>
          <w:b/>
          <w:bCs/>
          <w:rtl/>
          <w:lang w:eastAsia="ar-SA"/>
        </w:rPr>
      </w:pPr>
      <w:r>
        <w:rPr>
          <w:rFonts w:hint="cs"/>
          <w:b/>
          <w:bCs/>
          <w:rtl/>
          <w:lang w:eastAsia="ar-SA"/>
        </w:rPr>
        <w:tab/>
        <w:t>(ج)</w:t>
      </w:r>
      <w:r>
        <w:rPr>
          <w:rFonts w:hint="cs"/>
          <w:b/>
          <w:bCs/>
          <w:rtl/>
          <w:lang w:eastAsia="ar-SA"/>
        </w:rPr>
        <w:tab/>
        <w:t>الحرص على</w:t>
      </w:r>
      <w:r w:rsidRPr="00E56FB4">
        <w:rPr>
          <w:rFonts w:hint="cs"/>
          <w:b/>
          <w:bCs/>
          <w:rtl/>
          <w:lang w:eastAsia="ar-SA"/>
        </w:rPr>
        <w:t xml:space="preserve"> أن</w:t>
      </w:r>
      <w:r w:rsidRPr="00E56FB4">
        <w:rPr>
          <w:b/>
          <w:bCs/>
          <w:rtl/>
          <w:lang w:eastAsia="ar-SA"/>
        </w:rPr>
        <w:t xml:space="preserve"> </w:t>
      </w:r>
      <w:r w:rsidRPr="00E56FB4">
        <w:rPr>
          <w:rFonts w:hint="cs"/>
          <w:b/>
          <w:bCs/>
          <w:rtl/>
          <w:lang w:eastAsia="ar-SA"/>
        </w:rPr>
        <w:t>يتم</w:t>
      </w:r>
      <w:r w:rsidRPr="00E56FB4">
        <w:rPr>
          <w:b/>
          <w:bCs/>
          <w:rtl/>
          <w:lang w:eastAsia="ar-SA"/>
        </w:rPr>
        <w:t xml:space="preserve">تع </w:t>
      </w:r>
      <w:r w:rsidRPr="00E56FB4">
        <w:rPr>
          <w:rFonts w:hint="cs"/>
          <w:b/>
          <w:bCs/>
          <w:rtl/>
          <w:lang w:eastAsia="ar-SA"/>
        </w:rPr>
        <w:t>القصر</w:t>
      </w:r>
      <w:r w:rsidRPr="00E56FB4">
        <w:rPr>
          <w:b/>
          <w:bCs/>
          <w:rtl/>
          <w:lang w:eastAsia="ar-SA"/>
        </w:rPr>
        <w:t xml:space="preserve"> المحروم</w:t>
      </w:r>
      <w:r w:rsidRPr="00E56FB4">
        <w:rPr>
          <w:rFonts w:hint="cs"/>
          <w:b/>
          <w:bCs/>
          <w:rtl/>
          <w:lang w:eastAsia="ar-SA"/>
        </w:rPr>
        <w:t>و</w:t>
      </w:r>
      <w:r w:rsidRPr="00E56FB4">
        <w:rPr>
          <w:b/>
          <w:bCs/>
          <w:rtl/>
          <w:lang w:eastAsia="ar-SA"/>
        </w:rPr>
        <w:t xml:space="preserve">ن من الحرية بجميع الضمانات القانونية </w:t>
      </w:r>
      <w:r w:rsidRPr="00E56FB4">
        <w:rPr>
          <w:rFonts w:hint="cs"/>
          <w:b/>
          <w:bCs/>
          <w:rtl/>
          <w:lang w:eastAsia="ar-SA"/>
        </w:rPr>
        <w:t>واحتجازهم</w:t>
      </w:r>
      <w:r w:rsidRPr="00E56FB4">
        <w:rPr>
          <w:b/>
          <w:bCs/>
          <w:rtl/>
          <w:lang w:eastAsia="ar-SA"/>
        </w:rPr>
        <w:t xml:space="preserve">، في حال إدانتهم، </w:t>
      </w:r>
      <w:r w:rsidRPr="00E56FB4">
        <w:rPr>
          <w:rFonts w:hint="cs"/>
          <w:b/>
          <w:bCs/>
          <w:rtl/>
          <w:lang w:eastAsia="ar-SA"/>
        </w:rPr>
        <w:t xml:space="preserve">في مرافق </w:t>
      </w:r>
      <w:r w:rsidRPr="00E56FB4">
        <w:rPr>
          <w:b/>
          <w:bCs/>
          <w:rtl/>
          <w:lang w:eastAsia="ar-SA"/>
        </w:rPr>
        <w:t>منفصلة عن البالغين</w:t>
      </w:r>
      <w:r>
        <w:rPr>
          <w:rFonts w:hint="cs"/>
          <w:b/>
          <w:bCs/>
          <w:rtl/>
          <w:lang w:eastAsia="ar-SA"/>
        </w:rPr>
        <w:t xml:space="preserve"> والفصل بين الرجال والنساء وبين </w:t>
      </w:r>
      <w:r w:rsidRPr="005C4D11">
        <w:rPr>
          <w:rFonts w:hint="cs"/>
          <w:b/>
          <w:bCs/>
          <w:rtl/>
          <w:lang w:eastAsia="ar-SA"/>
        </w:rPr>
        <w:t xml:space="preserve">الأشخاص المتهمين </w:t>
      </w:r>
      <w:r>
        <w:rPr>
          <w:rFonts w:hint="cs"/>
          <w:b/>
          <w:bCs/>
          <w:rtl/>
          <w:lang w:eastAsia="ar-SA"/>
        </w:rPr>
        <w:t>و</w:t>
      </w:r>
      <w:r w:rsidRPr="005C4D11">
        <w:rPr>
          <w:rFonts w:hint="cs"/>
          <w:b/>
          <w:bCs/>
          <w:rtl/>
          <w:lang w:eastAsia="ar-SA"/>
        </w:rPr>
        <w:t>المدانين</w:t>
      </w:r>
      <w:r>
        <w:rPr>
          <w:rFonts w:hint="cs"/>
          <w:b/>
          <w:bCs/>
          <w:rtl/>
          <w:lang w:eastAsia="ar-SA"/>
        </w:rPr>
        <w:t xml:space="preserve"> بما </w:t>
      </w:r>
      <w:r w:rsidRPr="00DC696C">
        <w:rPr>
          <w:b/>
          <w:bCs/>
          <w:rtl/>
          <w:lang w:eastAsia="ar-SA"/>
        </w:rPr>
        <w:t>يتماشى مع قواعد الأمم المتحدة النموذجية الدنيا لإدارة شؤون قضاء الأحداث (قواعد</w:t>
      </w:r>
      <w:r>
        <w:rPr>
          <w:rFonts w:hint="cs"/>
          <w:b/>
          <w:bCs/>
          <w:rtl/>
          <w:lang w:eastAsia="ar-SA"/>
        </w:rPr>
        <w:t> </w:t>
      </w:r>
      <w:r w:rsidRPr="00DC696C">
        <w:rPr>
          <w:b/>
          <w:bCs/>
          <w:rtl/>
          <w:lang w:eastAsia="ar-SA"/>
        </w:rPr>
        <w:t xml:space="preserve">بيجين)، التي اعتمدتها الجمعية العامة بموجب قرارها 40/33 المؤرخ 29 تشرين الثاني/نوفمبر 1985، ومع مبادئ الأمم المتحدة التوجيهية لمنع جنوح الأحداث (مبادئ الرياض التوجيهية) التي اعتمدتها وأعلنتها الجمعية العامة بموجب قرارها 45/112 المؤرخ 14 كانون الأول/ديسمبر 1990. </w:t>
      </w:r>
    </w:p>
    <w:p w:rsidR="00E470AE" w:rsidRDefault="00E470AE" w:rsidP="00E470AE">
      <w:pPr>
        <w:pStyle w:val="SingleTxtGA"/>
        <w:rPr>
          <w:rFonts w:hint="cs"/>
          <w:b/>
          <w:bCs/>
          <w:rtl/>
          <w:lang w:eastAsia="ar-SA"/>
        </w:rPr>
      </w:pPr>
      <w:r>
        <w:rPr>
          <w:rFonts w:hint="cs"/>
          <w:b/>
          <w:bCs/>
          <w:rtl/>
          <w:lang w:eastAsia="ar-SA"/>
        </w:rPr>
        <w:tab/>
        <w:t>وينبغي للدولة الطرف أيضاً أن تدرب ما يكفي من الموظفين الأكفاء للتعامل مع القضايا المتعلقة بقضاء الأحداث.</w:t>
      </w:r>
      <w:r>
        <w:rPr>
          <w:rFonts w:hint="cs"/>
          <w:b/>
          <w:bCs/>
          <w:rtl/>
          <w:lang w:eastAsia="ar-SA"/>
        </w:rPr>
        <w:t xml:space="preserve"> </w:t>
      </w:r>
    </w:p>
    <w:p w:rsidR="00E470AE" w:rsidRDefault="00E470AE" w:rsidP="00E470AE">
      <w:pPr>
        <w:pStyle w:val="H23GA"/>
        <w:rPr>
          <w:rFonts w:hint="cs"/>
          <w:rtl/>
        </w:rPr>
      </w:pPr>
      <w:r>
        <w:rPr>
          <w:rFonts w:hint="cs"/>
          <w:rtl/>
        </w:rPr>
        <w:tab/>
      </w:r>
      <w:r>
        <w:rPr>
          <w:rFonts w:hint="cs"/>
          <w:rtl/>
        </w:rPr>
        <w:tab/>
        <w:t>الاتجار بالبشر</w:t>
      </w:r>
    </w:p>
    <w:p w:rsidR="00E470AE" w:rsidRDefault="005332AA" w:rsidP="005332AA">
      <w:pPr>
        <w:pStyle w:val="SingleTxtGA"/>
        <w:rPr>
          <w:rFonts w:hint="cs"/>
          <w:rtl/>
          <w:lang w:eastAsia="ar-SA"/>
        </w:rPr>
      </w:pPr>
      <w:r>
        <w:rPr>
          <w:rFonts w:hint="cs"/>
          <w:rtl/>
          <w:lang w:eastAsia="ar-SA"/>
        </w:rPr>
        <w:t>(</w:t>
      </w:r>
      <w:r w:rsidR="00E470AE">
        <w:rPr>
          <w:rFonts w:hint="cs"/>
          <w:rtl/>
          <w:lang w:eastAsia="ar-SA"/>
        </w:rPr>
        <w:t>19</w:t>
      </w:r>
      <w:r>
        <w:rPr>
          <w:rFonts w:hint="cs"/>
          <w:rtl/>
          <w:lang w:eastAsia="ar-SA"/>
        </w:rPr>
        <w:t>)</w:t>
      </w:r>
      <w:r w:rsidR="00E470AE">
        <w:rPr>
          <w:rFonts w:hint="cs"/>
          <w:rtl/>
          <w:lang w:eastAsia="ar-SA"/>
        </w:rPr>
        <w:tab/>
        <w:t xml:space="preserve">تحيط اللجنة علماً بالتدابير التشريعية والمؤسسية وتدابير التوعية العديدة التي اعتمدتها الدولة الطرف لمنع الاتجار بالبشر ومكافحته. غير أنها تشعر بالقلق إزاء استمرار الاتجار بالبشر في الدولة الطرف بما في ذلك الاتجار بالأطفال (30.6 في المائة) بغرض الاستغلال في مجال العمل والجنس. وتشعر بالقلق أيضاً إزاء نقص تدابير محاربة الاتجار، لا سيما عدم تجريم جميع أشكال الاتجار بموجب القانون رقم 09/2004 ولأن هذا القانون لا يجرم الاتجار بمن تتجاوز أعمارهم 18 سنة. ويساور اللجنة القلق أيضاً إزاء عدم وجود بيانات محددة بشأن حجم ظاهرة الاتجار وغياب التنظيم لفائدة الضحايا ونقص خبرة المحققين وانعدام المعلومات بخصوص الشكاوى المقدمة ونتائجها وافتقار المآوي للموارد المالية الكافية وإفلات الجناة من العقاب (المواد 2 و12 و13 و14 و16). </w:t>
      </w:r>
    </w:p>
    <w:p w:rsidR="00E470AE" w:rsidRPr="006057EF" w:rsidRDefault="00E470AE" w:rsidP="00E470AE">
      <w:pPr>
        <w:pStyle w:val="SingleTxtGA"/>
        <w:rPr>
          <w:rFonts w:hint="cs"/>
          <w:b/>
          <w:bCs/>
          <w:rtl/>
          <w:lang w:eastAsia="ar-SA"/>
        </w:rPr>
      </w:pPr>
      <w:r>
        <w:rPr>
          <w:rFonts w:hint="cs"/>
          <w:rtl/>
          <w:lang w:eastAsia="ar-SA"/>
        </w:rPr>
        <w:tab/>
      </w:r>
      <w:r w:rsidRPr="006057EF">
        <w:rPr>
          <w:rFonts w:hint="cs"/>
          <w:b/>
          <w:bCs/>
          <w:rtl/>
          <w:lang w:eastAsia="ar-SA"/>
        </w:rPr>
        <w:t>ينبغي للدولة الطرف أن تقوم بما يلي:</w:t>
      </w:r>
    </w:p>
    <w:p w:rsidR="00E470AE" w:rsidRDefault="00E470AE" w:rsidP="00E470AE">
      <w:pPr>
        <w:pStyle w:val="SingleTxtGA"/>
        <w:rPr>
          <w:rFonts w:hint="cs"/>
          <w:b/>
          <w:bCs/>
          <w:rtl/>
          <w:lang w:eastAsia="ar-SA"/>
        </w:rPr>
      </w:pPr>
      <w:r>
        <w:rPr>
          <w:rFonts w:hint="cs"/>
          <w:b/>
          <w:bCs/>
          <w:rtl/>
          <w:lang w:eastAsia="ar-SA"/>
        </w:rPr>
        <w:tab/>
        <w:t>(أ)</w:t>
      </w:r>
      <w:r>
        <w:rPr>
          <w:rFonts w:hint="cs"/>
          <w:b/>
          <w:bCs/>
          <w:rtl/>
          <w:lang w:eastAsia="ar-SA"/>
        </w:rPr>
        <w:tab/>
        <w:t>الحرص على التطبيق الفعلي للتشريع القائم لمكافحة الاتجار بالبشر، بما</w:t>
      </w:r>
      <w:r>
        <w:rPr>
          <w:rFonts w:hint="eastAsia"/>
          <w:b/>
          <w:bCs/>
          <w:rtl/>
          <w:lang w:eastAsia="ar-SA"/>
        </w:rPr>
        <w:t> </w:t>
      </w:r>
      <w:r>
        <w:rPr>
          <w:rFonts w:hint="cs"/>
          <w:b/>
          <w:bCs/>
          <w:rtl/>
          <w:lang w:eastAsia="ar-SA"/>
        </w:rPr>
        <w:t>يتطابق تطابقاً تاماً مع أحكام الاتفاقية؛</w:t>
      </w:r>
    </w:p>
    <w:p w:rsidR="00E470AE" w:rsidRDefault="00E470AE" w:rsidP="00E470AE">
      <w:pPr>
        <w:pStyle w:val="SingleTxtGA"/>
        <w:rPr>
          <w:rFonts w:hint="cs"/>
          <w:b/>
          <w:bCs/>
          <w:lang w:eastAsia="ar-SA"/>
        </w:rPr>
      </w:pPr>
      <w:r w:rsidRPr="004A29B6">
        <w:rPr>
          <w:rFonts w:hint="cs"/>
          <w:b/>
          <w:bCs/>
          <w:spacing w:val="-6"/>
          <w:rtl/>
          <w:lang w:eastAsia="ar-SA"/>
        </w:rPr>
        <w:tab/>
        <w:t>(ب)</w:t>
      </w:r>
      <w:r w:rsidRPr="004A29B6">
        <w:rPr>
          <w:rFonts w:hint="cs"/>
          <w:b/>
          <w:bCs/>
          <w:spacing w:val="-6"/>
          <w:rtl/>
          <w:lang w:eastAsia="ar-SA"/>
        </w:rPr>
        <w:tab/>
        <w:t>مراجعة القانون رقم 09/2004 بغية تجريم الاتجار بمن تتجاوز أعمارهم 18</w:t>
      </w:r>
      <w:r>
        <w:rPr>
          <w:rFonts w:hint="cs"/>
          <w:b/>
          <w:bCs/>
          <w:rtl/>
          <w:lang w:eastAsia="ar-SA"/>
        </w:rPr>
        <w:t xml:space="preserve"> سنة، خاصة في حالات الاستغلال الجنسي أو الاسترقاق؛</w:t>
      </w:r>
    </w:p>
    <w:p w:rsidR="00E470AE" w:rsidRDefault="00E470AE" w:rsidP="00E470AE">
      <w:pPr>
        <w:pStyle w:val="SingleTxtGA"/>
        <w:rPr>
          <w:rFonts w:hint="cs"/>
          <w:b/>
          <w:bCs/>
          <w:rtl/>
          <w:lang w:eastAsia="ar-SA"/>
        </w:rPr>
      </w:pPr>
      <w:r>
        <w:rPr>
          <w:rFonts w:hint="cs"/>
          <w:b/>
          <w:bCs/>
          <w:rtl/>
          <w:lang w:eastAsia="ar-SA"/>
        </w:rPr>
        <w:tab/>
        <w:t>(ج)</w:t>
      </w:r>
      <w:r>
        <w:rPr>
          <w:rFonts w:hint="cs"/>
          <w:b/>
          <w:bCs/>
          <w:rtl/>
          <w:lang w:eastAsia="ar-SA"/>
        </w:rPr>
        <w:tab/>
        <w:t>دراسة الحجم الحقيقي لظاهرة الاتجار بالبشر في الدولة الطرف وأسبابها؛</w:t>
      </w:r>
    </w:p>
    <w:p w:rsidR="00E470AE" w:rsidRDefault="00E470AE" w:rsidP="00E470AE">
      <w:pPr>
        <w:pStyle w:val="SingleTxtGA"/>
        <w:rPr>
          <w:rFonts w:hint="cs"/>
          <w:b/>
          <w:bCs/>
          <w:rtl/>
          <w:lang w:eastAsia="ar-SA"/>
        </w:rPr>
      </w:pPr>
      <w:r>
        <w:rPr>
          <w:rFonts w:hint="cs"/>
          <w:b/>
          <w:bCs/>
          <w:rtl/>
          <w:lang w:eastAsia="ar-SA"/>
        </w:rPr>
        <w:tab/>
        <w:t>(د)</w:t>
      </w:r>
      <w:r>
        <w:rPr>
          <w:rFonts w:hint="cs"/>
          <w:b/>
          <w:bCs/>
          <w:rtl/>
          <w:lang w:eastAsia="ar-SA"/>
        </w:rPr>
        <w:tab/>
        <w:t>وضع حد للإفلات من العقاب عن طريق التحقيق المنهجي في إدعاءات الاتجار ورفع دعاوى قضائية على مرتكبيه وفرض العقوبات المناسبة عليهم؛</w:t>
      </w:r>
    </w:p>
    <w:p w:rsidR="00E470AE" w:rsidRDefault="00E470AE" w:rsidP="00E470AE">
      <w:pPr>
        <w:pStyle w:val="SingleTxtGA"/>
        <w:rPr>
          <w:rFonts w:hint="cs"/>
          <w:b/>
          <w:bCs/>
          <w:rtl/>
          <w:lang w:eastAsia="ar-SA"/>
        </w:rPr>
      </w:pPr>
      <w:r>
        <w:rPr>
          <w:rFonts w:hint="cs"/>
          <w:b/>
          <w:bCs/>
          <w:rtl/>
          <w:lang w:eastAsia="ar-SA"/>
        </w:rPr>
        <w:tab/>
        <w:t>(</w:t>
      </w:r>
      <w:r w:rsidRPr="006057EF">
        <w:rPr>
          <w:rFonts w:hint="cs"/>
          <w:b/>
          <w:bCs/>
          <w:sz w:val="30"/>
          <w:rtl/>
          <w:lang w:eastAsia="ar-SA"/>
        </w:rPr>
        <w:t>ﻫ</w:t>
      </w:r>
      <w:r>
        <w:rPr>
          <w:rFonts w:hint="cs"/>
          <w:b/>
          <w:bCs/>
          <w:rtl/>
          <w:lang w:eastAsia="ar-SA"/>
        </w:rPr>
        <w:t>)</w:t>
      </w:r>
      <w:r>
        <w:rPr>
          <w:rFonts w:hint="cs"/>
          <w:b/>
          <w:bCs/>
          <w:rtl/>
          <w:lang w:eastAsia="ar-SA"/>
        </w:rPr>
        <w:tab/>
        <w:t>منح الضحايا الحماية وتعويضهم بشكل لائق وإعادة تأهيلهم إذا اقتضى الأمر ذلك، وتعزيز حملات التوعية؛</w:t>
      </w:r>
    </w:p>
    <w:p w:rsidR="00E470AE" w:rsidRDefault="00E470AE" w:rsidP="00E470AE">
      <w:pPr>
        <w:pStyle w:val="SingleTxtGA"/>
        <w:rPr>
          <w:rFonts w:hint="cs"/>
          <w:b/>
          <w:bCs/>
          <w:lang w:eastAsia="ar-SA"/>
        </w:rPr>
      </w:pPr>
      <w:r>
        <w:rPr>
          <w:rFonts w:hint="cs"/>
          <w:b/>
          <w:bCs/>
          <w:rtl/>
          <w:lang w:eastAsia="ar-SA"/>
        </w:rPr>
        <w:tab/>
        <w:t>(و)</w:t>
      </w:r>
      <w:r>
        <w:rPr>
          <w:rFonts w:hint="cs"/>
          <w:b/>
          <w:bCs/>
          <w:rtl/>
          <w:lang w:eastAsia="ar-SA"/>
        </w:rPr>
        <w:tab/>
        <w:t>تدريب المحققين والموظفين الذين يتعاطون مع ضحايا الاتجار، بما في ذلك مصالح الهجرة، وتزويد المآوي بالموارد الكافية.</w:t>
      </w:r>
    </w:p>
    <w:p w:rsidR="00E470AE" w:rsidRDefault="00E470AE" w:rsidP="00E470AE">
      <w:pPr>
        <w:pStyle w:val="H23GA"/>
        <w:rPr>
          <w:rFonts w:hint="cs"/>
          <w:rtl/>
        </w:rPr>
      </w:pPr>
      <w:r>
        <w:rPr>
          <w:rFonts w:hint="cs"/>
          <w:rtl/>
        </w:rPr>
        <w:tab/>
      </w:r>
      <w:r>
        <w:rPr>
          <w:rFonts w:hint="cs"/>
          <w:rtl/>
        </w:rPr>
        <w:tab/>
        <w:t>الجرائم الطقوسية</w:t>
      </w:r>
    </w:p>
    <w:p w:rsidR="00E470AE" w:rsidRDefault="005332AA" w:rsidP="005332AA">
      <w:pPr>
        <w:pStyle w:val="SingleTxtGA"/>
        <w:rPr>
          <w:rFonts w:hint="cs"/>
          <w:rtl/>
          <w:lang w:eastAsia="ar-SA"/>
        </w:rPr>
      </w:pPr>
      <w:r>
        <w:rPr>
          <w:rFonts w:hint="cs"/>
          <w:rtl/>
          <w:lang w:eastAsia="ar-SA"/>
        </w:rPr>
        <w:t>(</w:t>
      </w:r>
      <w:r w:rsidR="00E470AE">
        <w:rPr>
          <w:rFonts w:hint="cs"/>
          <w:rtl/>
          <w:lang w:eastAsia="ar-SA"/>
        </w:rPr>
        <w:t>20</w:t>
      </w:r>
      <w:r>
        <w:rPr>
          <w:rFonts w:hint="cs"/>
          <w:rtl/>
          <w:lang w:eastAsia="ar-SA"/>
        </w:rPr>
        <w:t>)</w:t>
      </w:r>
      <w:r w:rsidR="00E470AE">
        <w:rPr>
          <w:rFonts w:hint="cs"/>
          <w:rtl/>
          <w:lang w:eastAsia="ar-SA"/>
        </w:rPr>
        <w:tab/>
        <w:t>تحيط اللجنة علماً بالمعلومات التي قدمتها الدولة الطرف بخصوص التدابير المتخذة لمحاربة الجرائم الطقوسية. غير أنها تعرب عن قلقها إزاء استمرار تلك الجرائم التي يكون ضحاياها من الأطفال في الدولة الطرف. ويساورها القلق أيضاً إزاء انعدام معلومات محددة ومفصلة بخصوص حجم هذه الظاهرة والتحقيقات المضطلع بها والإجراءات القضائية المتخذة والمحاكمات التي خضع لها الجناة والعقوبات المفروضة عليهم وسبل الانتصاف المقدمة وتدابير التوعية المتخذة (المواد 2 و12 و13 و14 و16).</w:t>
      </w:r>
    </w:p>
    <w:p w:rsidR="00E470AE" w:rsidRPr="00807901" w:rsidRDefault="00E470AE" w:rsidP="00E470AE">
      <w:pPr>
        <w:pStyle w:val="SingleTxtGA"/>
        <w:rPr>
          <w:rFonts w:hint="cs"/>
          <w:b/>
          <w:bCs/>
          <w:spacing w:val="-5"/>
          <w:rtl/>
          <w:lang w:eastAsia="ar-SA"/>
        </w:rPr>
      </w:pPr>
      <w:r w:rsidRPr="00807901">
        <w:rPr>
          <w:rFonts w:hint="cs"/>
          <w:b/>
          <w:bCs/>
          <w:spacing w:val="-5"/>
          <w:rtl/>
          <w:lang w:eastAsia="ar-SA"/>
        </w:rPr>
        <w:tab/>
        <w:t>ينبغي للدولة الطرف أن تتخذ على وجه السرعة التدابير الرامية إلى منع الجرائم الطقوسية والحماية منها. وينبغي لها أن تجري دراسة بخصوص أبعاد هذه المشكلة وتعزيز حملات توعية السكان بشأنها. وينبغي لها أن تواصل التحقيق مع الجناة وملاحقتهم وتقديمهم للعدالة ومعاقبتهم وأن تبلغ اللجنة بتقدم الإجراءات القضائية في القضايا المعروضة على المحكمة. وينبغي لها، علاوة على ذلك، أن تتخذ تدابير جبر الضحايا وتعويضهم وإعادة تأهيلهم.</w:t>
      </w:r>
    </w:p>
    <w:p w:rsidR="00E470AE" w:rsidRDefault="00E470AE" w:rsidP="00E470AE">
      <w:pPr>
        <w:pStyle w:val="H23GA"/>
        <w:rPr>
          <w:rFonts w:hint="cs"/>
          <w:rtl/>
        </w:rPr>
      </w:pPr>
      <w:r>
        <w:rPr>
          <w:rFonts w:hint="cs"/>
          <w:rtl/>
        </w:rPr>
        <w:tab/>
      </w:r>
      <w:r>
        <w:rPr>
          <w:rFonts w:hint="cs"/>
          <w:rtl/>
        </w:rPr>
        <w:tab/>
        <w:t xml:space="preserve">تشويه الأعضاء التناسلية الأنثوية </w:t>
      </w:r>
    </w:p>
    <w:p w:rsidR="00E470AE" w:rsidRDefault="005332AA" w:rsidP="005332AA">
      <w:pPr>
        <w:pStyle w:val="SingleTxtGA"/>
        <w:rPr>
          <w:rFonts w:hint="cs"/>
          <w:rtl/>
          <w:lang w:eastAsia="ar-SA"/>
        </w:rPr>
      </w:pPr>
      <w:r>
        <w:rPr>
          <w:rFonts w:hint="cs"/>
          <w:rtl/>
          <w:lang w:eastAsia="ar-SA"/>
        </w:rPr>
        <w:t>(</w:t>
      </w:r>
      <w:r w:rsidR="00E470AE" w:rsidRPr="00CC7BB1">
        <w:rPr>
          <w:rFonts w:hint="cs"/>
          <w:rtl/>
          <w:lang w:eastAsia="ar-SA"/>
        </w:rPr>
        <w:t>21</w:t>
      </w:r>
      <w:r>
        <w:rPr>
          <w:rFonts w:hint="cs"/>
          <w:rtl/>
          <w:lang w:eastAsia="ar-SA"/>
        </w:rPr>
        <w:t>)</w:t>
      </w:r>
      <w:r w:rsidR="00E470AE" w:rsidRPr="00CC7BB1">
        <w:rPr>
          <w:rFonts w:hint="cs"/>
          <w:rtl/>
          <w:lang w:eastAsia="ar-SA"/>
        </w:rPr>
        <w:tab/>
        <w:t>لاحظت اللجنة التدابير التي اتخذتها الدولة الطرف، لا سيما سن القانون رقم</w:t>
      </w:r>
      <w:r w:rsidR="00E470AE">
        <w:rPr>
          <w:rFonts w:hint="eastAsia"/>
          <w:rtl/>
          <w:lang w:eastAsia="ar-SA"/>
        </w:rPr>
        <w:t> </w:t>
      </w:r>
      <w:r w:rsidR="00E470AE" w:rsidRPr="00CC7BB1">
        <w:rPr>
          <w:rFonts w:hint="cs"/>
          <w:rtl/>
          <w:lang w:eastAsia="ar-SA"/>
        </w:rPr>
        <w:t>0038/2008</w:t>
      </w:r>
      <w:r w:rsidR="00E470AE">
        <w:rPr>
          <w:rFonts w:hint="cs"/>
          <w:rtl/>
          <w:lang w:eastAsia="ar-SA"/>
        </w:rPr>
        <w:t xml:space="preserve"> المؤرخ 29 كانون الثاني/يناير 2009 المعني بمكافحة ومنع </w:t>
      </w:r>
      <w:r w:rsidR="00E470AE" w:rsidRPr="00D322B4">
        <w:rPr>
          <w:rFonts w:hint="cs"/>
          <w:rtl/>
          <w:lang w:eastAsia="ar-SA"/>
        </w:rPr>
        <w:t xml:space="preserve">تشويه الأعضاء التناسلية </w:t>
      </w:r>
      <w:r w:rsidR="00E470AE">
        <w:rPr>
          <w:rFonts w:hint="cs"/>
          <w:rtl/>
          <w:lang w:eastAsia="ar-SA"/>
        </w:rPr>
        <w:t>الأن</w:t>
      </w:r>
      <w:r w:rsidR="00E470AE" w:rsidRPr="00D322B4">
        <w:rPr>
          <w:rFonts w:hint="cs"/>
          <w:rtl/>
          <w:lang w:eastAsia="ar-SA"/>
        </w:rPr>
        <w:t>ث</w:t>
      </w:r>
      <w:r w:rsidR="00E470AE">
        <w:rPr>
          <w:rFonts w:hint="cs"/>
          <w:rtl/>
          <w:lang w:eastAsia="ar-SA"/>
        </w:rPr>
        <w:t xml:space="preserve">وية، وبالمعلومات التي قدمتها الدولة الطرف بخصوص أسباب هذه الممارسة، غير أنها تعرب عن قلقها إزاء استمرار ممارسة </w:t>
      </w:r>
      <w:r w:rsidR="00E470AE" w:rsidRPr="00D322B4">
        <w:rPr>
          <w:rFonts w:hint="cs"/>
          <w:rtl/>
          <w:lang w:eastAsia="ar-SA"/>
        </w:rPr>
        <w:t xml:space="preserve">تشويه الأعضاء التناسلية </w:t>
      </w:r>
      <w:r w:rsidR="00E470AE">
        <w:rPr>
          <w:rFonts w:hint="cs"/>
          <w:rtl/>
          <w:lang w:eastAsia="ar-SA"/>
        </w:rPr>
        <w:t>الأنثوية التي تطال الفتيات في الدولة الطرف.</w:t>
      </w:r>
      <w:r w:rsidR="00E470AE">
        <w:rPr>
          <w:rFonts w:hint="cs"/>
          <w:b/>
          <w:bCs/>
          <w:rtl/>
          <w:lang w:eastAsia="ar-SA"/>
        </w:rPr>
        <w:t xml:space="preserve"> </w:t>
      </w:r>
      <w:r w:rsidR="00E470AE">
        <w:rPr>
          <w:rFonts w:hint="cs"/>
          <w:rtl/>
          <w:lang w:eastAsia="ar-SA"/>
        </w:rPr>
        <w:t xml:space="preserve">ويساورها القلق أيضاً إزاء انعدام معلومات دقيقة بخصوص الشكاوى المقدمة والتحقيقات المضطلع بها والإجراءات القضائية المتخذة والعقوبات المفروضة على المسؤولين عن هذه الممارسة (المواد 2 و12 و13 و14 و16). </w:t>
      </w:r>
    </w:p>
    <w:p w:rsidR="00E470AE" w:rsidRPr="00EF03B6" w:rsidRDefault="00E470AE" w:rsidP="00E470AE">
      <w:pPr>
        <w:pStyle w:val="SingleTxtGA"/>
        <w:rPr>
          <w:rFonts w:hint="cs"/>
          <w:b/>
          <w:bCs/>
          <w:rtl/>
          <w:lang w:eastAsia="ar-SA"/>
        </w:rPr>
      </w:pPr>
      <w:r>
        <w:rPr>
          <w:rFonts w:hint="cs"/>
          <w:rtl/>
          <w:lang w:eastAsia="ar-SA"/>
        </w:rPr>
        <w:tab/>
      </w:r>
      <w:r w:rsidRPr="00EF03B6">
        <w:rPr>
          <w:rFonts w:hint="cs"/>
          <w:b/>
          <w:bCs/>
          <w:rtl/>
          <w:lang w:eastAsia="ar-SA"/>
        </w:rPr>
        <w:t xml:space="preserve">ينبغي للدولة الطرف أن تعزز </w:t>
      </w:r>
      <w:r>
        <w:rPr>
          <w:rFonts w:hint="cs"/>
          <w:b/>
          <w:bCs/>
          <w:rtl/>
          <w:lang w:eastAsia="ar-SA"/>
        </w:rPr>
        <w:t>القوانين و</w:t>
      </w:r>
      <w:r w:rsidRPr="00EF03B6">
        <w:rPr>
          <w:rFonts w:hint="cs"/>
          <w:b/>
          <w:bCs/>
          <w:rtl/>
          <w:lang w:eastAsia="ar-SA"/>
        </w:rPr>
        <w:t xml:space="preserve">التدابير </w:t>
      </w:r>
      <w:r>
        <w:rPr>
          <w:rFonts w:hint="cs"/>
          <w:b/>
          <w:bCs/>
          <w:rtl/>
          <w:lang w:eastAsia="ar-SA"/>
        </w:rPr>
        <w:t xml:space="preserve">الأخرى </w:t>
      </w:r>
      <w:r w:rsidRPr="00EF03B6">
        <w:rPr>
          <w:rFonts w:hint="cs"/>
          <w:b/>
          <w:bCs/>
          <w:rtl/>
          <w:lang w:eastAsia="ar-SA"/>
        </w:rPr>
        <w:t xml:space="preserve">الرامية إلى منع ممارسة تشويه الأعضاء التناسلية </w:t>
      </w:r>
      <w:r>
        <w:rPr>
          <w:rFonts w:hint="cs"/>
          <w:b/>
          <w:bCs/>
          <w:rtl/>
          <w:lang w:eastAsia="ar-SA"/>
        </w:rPr>
        <w:t>الأنثوية</w:t>
      </w:r>
      <w:r w:rsidRPr="00EF03B6">
        <w:rPr>
          <w:rFonts w:hint="cs"/>
          <w:b/>
          <w:bCs/>
          <w:rtl/>
          <w:lang w:eastAsia="ar-SA"/>
        </w:rPr>
        <w:t xml:space="preserve"> وال</w:t>
      </w:r>
      <w:r>
        <w:rPr>
          <w:rFonts w:hint="cs"/>
          <w:b/>
          <w:bCs/>
          <w:rtl/>
          <w:lang w:eastAsia="ar-SA"/>
        </w:rPr>
        <w:t>تخلص من</w:t>
      </w:r>
      <w:r w:rsidRPr="00EF03B6">
        <w:rPr>
          <w:rFonts w:hint="cs"/>
          <w:b/>
          <w:bCs/>
          <w:rtl/>
          <w:lang w:eastAsia="ar-SA"/>
        </w:rPr>
        <w:t xml:space="preserve">ها، وخاصة كفالة تطبيق قانونها المعني بهذا الموضوع، مما يتطابق مع أحكام الاتفاقية، بسبل منها تيسير عملية تقديم </w:t>
      </w:r>
      <w:r>
        <w:rPr>
          <w:rFonts w:hint="cs"/>
          <w:b/>
          <w:bCs/>
          <w:rtl/>
          <w:lang w:eastAsia="ar-SA"/>
        </w:rPr>
        <w:t>الضحايا ل</w:t>
      </w:r>
      <w:r w:rsidRPr="00EF03B6">
        <w:rPr>
          <w:rFonts w:hint="cs"/>
          <w:b/>
          <w:bCs/>
          <w:rtl/>
          <w:lang w:eastAsia="ar-SA"/>
        </w:rPr>
        <w:t>لشكاوى وإجراء تحقيقات وملاحقة الجناة قضائيا</w:t>
      </w:r>
      <w:r>
        <w:rPr>
          <w:rFonts w:hint="cs"/>
          <w:b/>
          <w:bCs/>
          <w:rtl/>
          <w:lang w:eastAsia="ar-SA"/>
        </w:rPr>
        <w:t>ً</w:t>
      </w:r>
      <w:r w:rsidRPr="00EF03B6">
        <w:rPr>
          <w:rFonts w:hint="cs"/>
          <w:b/>
          <w:bCs/>
          <w:rtl/>
          <w:lang w:eastAsia="ar-SA"/>
        </w:rPr>
        <w:t xml:space="preserve"> وفرض العقوبات المناسبة عليهم، ومنح الجبر اللائق والتعويض وإعادة التأهيل ل</w:t>
      </w:r>
      <w:r w:rsidR="00BE6C28">
        <w:rPr>
          <w:rFonts w:hint="cs"/>
          <w:b/>
          <w:bCs/>
          <w:rtl/>
          <w:lang w:eastAsia="ar-SA"/>
        </w:rPr>
        <w:t>لضحايا. وينبغي للدولة الطرف أيض</w:t>
      </w:r>
      <w:r w:rsidRPr="00EF03B6">
        <w:rPr>
          <w:rFonts w:hint="cs"/>
          <w:b/>
          <w:bCs/>
          <w:rtl/>
          <w:lang w:eastAsia="ar-SA"/>
        </w:rPr>
        <w:t>ا</w:t>
      </w:r>
      <w:r w:rsidR="00BE6C28">
        <w:rPr>
          <w:rFonts w:hint="cs"/>
          <w:b/>
          <w:bCs/>
          <w:rtl/>
          <w:lang w:eastAsia="ar-SA"/>
        </w:rPr>
        <w:t>ً</w:t>
      </w:r>
      <w:r w:rsidRPr="00EF03B6">
        <w:rPr>
          <w:rFonts w:hint="cs"/>
          <w:b/>
          <w:bCs/>
          <w:rtl/>
          <w:lang w:eastAsia="ar-SA"/>
        </w:rPr>
        <w:t xml:space="preserve"> توسيع نطاق حم</w:t>
      </w:r>
      <w:r>
        <w:rPr>
          <w:rFonts w:hint="cs"/>
          <w:b/>
          <w:bCs/>
          <w:rtl/>
          <w:lang w:eastAsia="ar-SA"/>
        </w:rPr>
        <w:t>لات التوعية بأضرار هذه الممارسة</w:t>
      </w:r>
      <w:r w:rsidRPr="00EF03B6">
        <w:rPr>
          <w:rFonts w:hint="cs"/>
          <w:b/>
          <w:bCs/>
          <w:rtl/>
          <w:lang w:eastAsia="ar-SA"/>
        </w:rPr>
        <w:t xml:space="preserve"> ل</w:t>
      </w:r>
      <w:r>
        <w:rPr>
          <w:rFonts w:hint="cs"/>
          <w:b/>
          <w:bCs/>
          <w:rtl/>
          <w:lang w:eastAsia="ar-SA"/>
        </w:rPr>
        <w:t>ي</w:t>
      </w:r>
      <w:r w:rsidRPr="00EF03B6">
        <w:rPr>
          <w:rFonts w:hint="cs"/>
          <w:b/>
          <w:bCs/>
          <w:rtl/>
          <w:lang w:eastAsia="ar-SA"/>
        </w:rPr>
        <w:t xml:space="preserve">شمل بوجه الخصوص العائلات. </w:t>
      </w:r>
    </w:p>
    <w:p w:rsidR="00E470AE" w:rsidRDefault="00E470AE" w:rsidP="00E470AE">
      <w:pPr>
        <w:pStyle w:val="H23GA"/>
        <w:rPr>
          <w:rFonts w:hint="cs"/>
          <w:rtl/>
        </w:rPr>
      </w:pPr>
      <w:r>
        <w:rPr>
          <w:rFonts w:hint="cs"/>
          <w:rtl/>
        </w:rPr>
        <w:tab/>
      </w:r>
      <w:r>
        <w:rPr>
          <w:rFonts w:hint="cs"/>
          <w:rtl/>
        </w:rPr>
        <w:tab/>
        <w:t>الشكاوى المتعلقة بالتعذيب</w:t>
      </w:r>
    </w:p>
    <w:p w:rsidR="00E470AE" w:rsidRDefault="005332AA" w:rsidP="005332AA">
      <w:pPr>
        <w:pStyle w:val="SingleTxtGA"/>
        <w:rPr>
          <w:rFonts w:hint="cs"/>
          <w:rtl/>
          <w:lang w:eastAsia="ar-SA"/>
        </w:rPr>
      </w:pPr>
      <w:r>
        <w:rPr>
          <w:rFonts w:hint="cs"/>
          <w:rtl/>
          <w:lang w:eastAsia="ar-SA"/>
        </w:rPr>
        <w:t>(</w:t>
      </w:r>
      <w:r w:rsidR="00E470AE">
        <w:rPr>
          <w:rFonts w:hint="cs"/>
          <w:rtl/>
          <w:lang w:eastAsia="ar-SA"/>
        </w:rPr>
        <w:t>22</w:t>
      </w:r>
      <w:r>
        <w:rPr>
          <w:rFonts w:hint="cs"/>
          <w:rtl/>
          <w:lang w:eastAsia="ar-SA"/>
        </w:rPr>
        <w:t>)</w:t>
      </w:r>
      <w:r w:rsidR="00E470AE">
        <w:rPr>
          <w:rFonts w:hint="cs"/>
          <w:rtl/>
          <w:lang w:eastAsia="ar-SA"/>
        </w:rPr>
        <w:tab/>
        <w:t xml:space="preserve">تعرب اللجنة عن قلقها إزاء عدم امتثال أحكام المادة 31 من قانون الإجراءات الجنائية لأحكام المادة 12 من الاتفاقية. وتنص المادة 31 من قانون الإجراءات الجنائية على "فتح تحقيق قضائي إذا طالبت الضحية بذلك" في حالة وجود ادعاء بارتكاب عمل من أعمال التعذيب. ويساورها القلق أيضاً إزاء انعدام آلية خاصة تسمح بتقديم شكوى بخصوص عمل من أعمال التعذيب، لا سيما تلك التي تمارسها قوات الأمن وتلك التي تحدث في جميع أماكن الاحتجاز، بما فيها السجون. وتود اللجنة استيضاح الطابع المستقل والنزيه للتحقيقات التي قد يجريها أحد أفراد الشرطة القضائية ضد الشرطة بخصوص عمل من أعمال التعذيب، كما تنص على ذلك المادة 3 من قانون الإجراءات الجنائية (المادتان 12 و13). </w:t>
      </w:r>
    </w:p>
    <w:p w:rsidR="00E470AE" w:rsidRPr="00EF03B6" w:rsidRDefault="00E470AE" w:rsidP="00E470AE">
      <w:pPr>
        <w:pStyle w:val="SingleTxtGA"/>
        <w:spacing w:after="100"/>
        <w:rPr>
          <w:rFonts w:hint="cs"/>
          <w:b/>
          <w:bCs/>
          <w:rtl/>
          <w:lang w:eastAsia="ar-SA"/>
        </w:rPr>
      </w:pPr>
      <w:r>
        <w:rPr>
          <w:rFonts w:hint="cs"/>
          <w:b/>
          <w:bCs/>
          <w:rtl/>
          <w:lang w:eastAsia="ar-SA"/>
        </w:rPr>
        <w:tab/>
      </w:r>
      <w:r w:rsidRPr="00EF03B6">
        <w:rPr>
          <w:rFonts w:hint="cs"/>
          <w:b/>
          <w:bCs/>
          <w:rtl/>
          <w:lang w:eastAsia="ar-SA"/>
        </w:rPr>
        <w:t xml:space="preserve">ينبغي للدولة الطرف أن تراجع قانونها الخاص بالإجراءات الجنائية بغية السماح بفتح تحقيق رسمي وفوري ونزيه عندما </w:t>
      </w:r>
      <w:r>
        <w:rPr>
          <w:rFonts w:hint="cs"/>
          <w:b/>
          <w:bCs/>
          <w:rtl/>
          <w:lang w:eastAsia="ar-SA"/>
        </w:rPr>
        <w:t>يكون هناك</w:t>
      </w:r>
      <w:r w:rsidRPr="00EF03B6">
        <w:rPr>
          <w:rFonts w:hint="cs"/>
          <w:b/>
          <w:bCs/>
          <w:rtl/>
          <w:lang w:eastAsia="ar-SA"/>
        </w:rPr>
        <w:t xml:space="preserve"> </w:t>
      </w:r>
      <w:r>
        <w:rPr>
          <w:rFonts w:hint="cs"/>
          <w:b/>
          <w:bCs/>
          <w:rtl/>
          <w:lang w:eastAsia="ar-SA"/>
        </w:rPr>
        <w:t xml:space="preserve">من الأسباب ما يدعو إلى الاعتقاد </w:t>
      </w:r>
      <w:r w:rsidRPr="00EF03B6">
        <w:rPr>
          <w:rFonts w:hint="cs"/>
          <w:b/>
          <w:bCs/>
          <w:rtl/>
          <w:lang w:eastAsia="ar-SA"/>
        </w:rPr>
        <w:t xml:space="preserve">بارتكاب عمل من أعمال التعذيب </w:t>
      </w:r>
      <w:r>
        <w:rPr>
          <w:rFonts w:hint="cs"/>
          <w:b/>
          <w:bCs/>
          <w:rtl/>
          <w:lang w:eastAsia="ar-SA"/>
        </w:rPr>
        <w:t>في إحدى المناطق الخاضعة</w:t>
      </w:r>
      <w:r w:rsidR="00BE6C28">
        <w:rPr>
          <w:rFonts w:hint="cs"/>
          <w:b/>
          <w:bCs/>
          <w:rtl/>
          <w:lang w:eastAsia="ar-SA"/>
        </w:rPr>
        <w:t xml:space="preserve"> لولايتها. وينبغي لها أيضاً</w:t>
      </w:r>
      <w:r w:rsidRPr="00EF03B6">
        <w:rPr>
          <w:rFonts w:hint="cs"/>
          <w:b/>
          <w:bCs/>
          <w:rtl/>
          <w:lang w:eastAsia="ar-SA"/>
        </w:rPr>
        <w:t xml:space="preserve"> أن</w:t>
      </w:r>
      <w:r>
        <w:rPr>
          <w:rFonts w:hint="eastAsia"/>
          <w:b/>
          <w:bCs/>
          <w:rtl/>
          <w:lang w:eastAsia="ar-SA"/>
        </w:rPr>
        <w:t> </w:t>
      </w:r>
      <w:r w:rsidRPr="00EF03B6">
        <w:rPr>
          <w:rFonts w:hint="cs"/>
          <w:b/>
          <w:bCs/>
          <w:rtl/>
          <w:lang w:eastAsia="ar-SA"/>
        </w:rPr>
        <w:t>تنشئ آلية مستقلة للشكاوى ضد أفراد قوات الأمن وأن تضمن التعامل الفوري والنزيه والمستقل مع هذه ا</w:t>
      </w:r>
      <w:r>
        <w:rPr>
          <w:rFonts w:hint="cs"/>
          <w:b/>
          <w:bCs/>
          <w:rtl/>
          <w:lang w:eastAsia="ar-SA"/>
        </w:rPr>
        <w:t>لشكاوى. وينبغي للدولة الطرف أيض</w:t>
      </w:r>
      <w:r w:rsidRPr="00EF03B6">
        <w:rPr>
          <w:rFonts w:hint="cs"/>
          <w:b/>
          <w:bCs/>
          <w:rtl/>
          <w:lang w:eastAsia="ar-SA"/>
        </w:rPr>
        <w:t>ا</w:t>
      </w:r>
      <w:r>
        <w:rPr>
          <w:rFonts w:hint="cs"/>
          <w:b/>
          <w:bCs/>
          <w:rtl/>
          <w:lang w:eastAsia="ar-SA"/>
        </w:rPr>
        <w:t>ً</w:t>
      </w:r>
      <w:r w:rsidRPr="00EF03B6">
        <w:rPr>
          <w:rFonts w:hint="cs"/>
          <w:b/>
          <w:bCs/>
          <w:rtl/>
          <w:lang w:eastAsia="ar-SA"/>
        </w:rPr>
        <w:t xml:space="preserve"> أن تتخذ التدابير اللازمة للسماح لضحايا التعذيب، بمن فيهم المحتجز</w:t>
      </w:r>
      <w:r>
        <w:rPr>
          <w:rFonts w:hint="cs"/>
          <w:b/>
          <w:bCs/>
          <w:rtl/>
          <w:lang w:eastAsia="ar-SA"/>
        </w:rPr>
        <w:t>و</w:t>
      </w:r>
      <w:r w:rsidRPr="00EF03B6">
        <w:rPr>
          <w:rFonts w:hint="cs"/>
          <w:b/>
          <w:bCs/>
          <w:rtl/>
          <w:lang w:eastAsia="ar-SA"/>
        </w:rPr>
        <w:t>ن، بتقديم شكوى دون خشية من الأعمال الانتقامية وأن تضمن أن يتم التعامل مع هذه الشكوى بصورة فورية ونزيهة.</w:t>
      </w:r>
    </w:p>
    <w:p w:rsidR="00E470AE" w:rsidRDefault="00E470AE" w:rsidP="00E470AE">
      <w:pPr>
        <w:pStyle w:val="H23GA"/>
        <w:spacing w:after="100"/>
        <w:rPr>
          <w:rFonts w:hint="cs"/>
          <w:rtl/>
        </w:rPr>
      </w:pPr>
      <w:r>
        <w:rPr>
          <w:rFonts w:hint="cs"/>
          <w:rtl/>
        </w:rPr>
        <w:tab/>
      </w:r>
      <w:r>
        <w:rPr>
          <w:rFonts w:hint="cs"/>
          <w:rtl/>
        </w:rPr>
        <w:tab/>
        <w:t>الجبر والتعويض وإعادة التأهيل</w:t>
      </w:r>
    </w:p>
    <w:p w:rsidR="00E470AE" w:rsidRDefault="005332AA" w:rsidP="005332AA">
      <w:pPr>
        <w:pStyle w:val="SingleTxtGA"/>
        <w:spacing w:after="100" w:line="370" w:lineRule="exact"/>
        <w:rPr>
          <w:rFonts w:hint="cs"/>
          <w:rtl/>
          <w:lang w:eastAsia="ar-SA"/>
        </w:rPr>
      </w:pPr>
      <w:r>
        <w:rPr>
          <w:rFonts w:hint="cs"/>
          <w:rtl/>
          <w:lang w:eastAsia="ar-SA"/>
        </w:rPr>
        <w:t>(</w:t>
      </w:r>
      <w:r w:rsidR="00E470AE">
        <w:rPr>
          <w:rFonts w:hint="cs"/>
          <w:rtl/>
          <w:lang w:eastAsia="ar-SA"/>
        </w:rPr>
        <w:t>23</w:t>
      </w:r>
      <w:r>
        <w:rPr>
          <w:rFonts w:hint="cs"/>
          <w:rtl/>
          <w:lang w:eastAsia="ar-SA"/>
        </w:rPr>
        <w:t>)</w:t>
      </w:r>
      <w:r w:rsidR="00E470AE">
        <w:rPr>
          <w:rFonts w:hint="cs"/>
          <w:rtl/>
          <w:lang w:eastAsia="ar-SA"/>
        </w:rPr>
        <w:tab/>
        <w:t>في حين تلاحظ اللجنة أن المادة 2 من قانون الإجراءات الجنائية تسمح باتخاذ الإجراءات المدنية كتعويض على الضرر الناتج عن ارتكاب جريمة أو مخالفة، فإنها تعرب عن أسفها إزاء عدم توافر معلومات محددة ومفصلة بخصوص الآليات القائمة في الدولة الطرف بغية كفالة تعويض عادل ولائق لفائدة الضحايا، بما في ذلك إعادة التأهيل. ويساور اللجنة القلق أيضاً إزاء عدم توافر معلومات خاصة بقضايا التعذيب أو إساءة المعاملة التي دفعت فيها الدولة الطرف تعويضاً على الضرر اللاحق بضحايا التعذيب أو التي اتخذت فيها الدولة الطرف تدابير إعادة التأهيل، إذا اقتضى الأمر ذلك (المادة 14).</w:t>
      </w:r>
    </w:p>
    <w:p w:rsidR="00E470AE" w:rsidRPr="00C21949" w:rsidRDefault="00E470AE" w:rsidP="00E470AE">
      <w:pPr>
        <w:pStyle w:val="SingleTxtGA"/>
        <w:spacing w:after="100" w:line="370" w:lineRule="exact"/>
        <w:rPr>
          <w:rFonts w:hint="cs"/>
          <w:b/>
          <w:bCs/>
          <w:rtl/>
          <w:lang w:eastAsia="ar-SA"/>
        </w:rPr>
      </w:pPr>
      <w:r w:rsidRPr="00C21949">
        <w:rPr>
          <w:rFonts w:hint="cs"/>
          <w:spacing w:val="-2"/>
          <w:rtl/>
          <w:lang w:eastAsia="ar-SA"/>
        </w:rPr>
        <w:tab/>
      </w:r>
      <w:r w:rsidRPr="00C21949">
        <w:rPr>
          <w:rFonts w:hint="cs"/>
          <w:b/>
          <w:bCs/>
          <w:spacing w:val="-2"/>
          <w:rtl/>
          <w:lang w:eastAsia="ar-SA"/>
        </w:rPr>
        <w:t>ينبغي للدولة الطرف أن توضح تشريعاتها وأن توفر آلية من شأنها أن تضمن مطالبة الضحايا بالحصول على تعويض منصف وحصولهم عليه، خاصة في الحالات التي يكون فيها أعوان الدولة ضالعين بوضع برامج إعادة تأهيل لفائدة الضحايا، بموجب المادة 14</w:t>
      </w:r>
      <w:r w:rsidRPr="00C21949">
        <w:rPr>
          <w:rFonts w:hint="cs"/>
          <w:b/>
          <w:bCs/>
          <w:rtl/>
          <w:lang w:eastAsia="ar-SA"/>
        </w:rPr>
        <w:t xml:space="preserve"> من الاتفاقية. وينبغي للدولة الطرف أن تقدم بيانات إحصائية مفصلة عن الحالات التي عوضت فيها الدولة الطرف ضحايا التعذيب أو إساءة المعاملة، مع تحديد </w:t>
      </w:r>
      <w:r>
        <w:rPr>
          <w:rFonts w:hint="cs"/>
          <w:b/>
          <w:bCs/>
          <w:rtl/>
          <w:lang w:eastAsia="ar-SA"/>
        </w:rPr>
        <w:t>مبلغ التعويضات التي مُنحت لهم.</w:t>
      </w:r>
    </w:p>
    <w:p w:rsidR="00E470AE" w:rsidRDefault="00E470AE" w:rsidP="00E470AE">
      <w:pPr>
        <w:pStyle w:val="SingleTxtGA"/>
        <w:spacing w:after="100" w:line="370" w:lineRule="exact"/>
        <w:rPr>
          <w:rFonts w:hint="cs"/>
          <w:b/>
          <w:bCs/>
          <w:rtl/>
          <w:lang w:eastAsia="ar-SA"/>
        </w:rPr>
      </w:pPr>
      <w:r>
        <w:rPr>
          <w:rFonts w:hint="cs"/>
          <w:b/>
          <w:bCs/>
          <w:spacing w:val="-2"/>
          <w:rtl/>
          <w:lang w:eastAsia="ar-SA"/>
        </w:rPr>
        <w:tab/>
      </w:r>
      <w:r w:rsidRPr="00C21949">
        <w:rPr>
          <w:rFonts w:hint="cs"/>
          <w:b/>
          <w:bCs/>
          <w:spacing w:val="-2"/>
          <w:rtl/>
          <w:lang w:eastAsia="ar-SA"/>
        </w:rPr>
        <w:t>وتلفت اللجنة انتباه الدولة الطرف إلى التوصية العامة بشأن المادة 14 التي اعتمدتها اللجنة مؤخرا</w:t>
      </w:r>
      <w:r>
        <w:rPr>
          <w:rFonts w:hint="cs"/>
          <w:b/>
          <w:bCs/>
          <w:spacing w:val="-2"/>
          <w:rtl/>
          <w:lang w:eastAsia="ar-SA"/>
        </w:rPr>
        <w:t>ً</w:t>
      </w:r>
      <w:r w:rsidRPr="00C21949">
        <w:rPr>
          <w:rFonts w:hint="cs"/>
          <w:b/>
          <w:bCs/>
          <w:spacing w:val="-2"/>
          <w:rtl/>
          <w:lang w:eastAsia="ar-SA"/>
        </w:rPr>
        <w:t xml:space="preserve"> </w:t>
      </w:r>
      <w:r w:rsidRPr="00C21949">
        <w:rPr>
          <w:b/>
          <w:bCs/>
          <w:spacing w:val="-2"/>
          <w:rtl/>
          <w:lang w:eastAsia="ar-SA"/>
        </w:rPr>
        <w:t>(</w:t>
      </w:r>
      <w:r w:rsidRPr="00C21949">
        <w:rPr>
          <w:b/>
          <w:bCs/>
          <w:spacing w:val="-2"/>
          <w:lang w:eastAsia="ar-SA"/>
        </w:rPr>
        <w:t>CAT/C/GC/3</w:t>
      </w:r>
      <w:r w:rsidRPr="00C21949">
        <w:rPr>
          <w:b/>
          <w:bCs/>
          <w:spacing w:val="-2"/>
          <w:rtl/>
          <w:lang w:eastAsia="ar-SA"/>
        </w:rPr>
        <w:t>)</w:t>
      </w:r>
      <w:r w:rsidRPr="00C21949">
        <w:rPr>
          <w:rFonts w:hint="cs"/>
          <w:b/>
          <w:bCs/>
          <w:spacing w:val="-2"/>
          <w:rtl/>
          <w:lang w:eastAsia="ar-SA"/>
        </w:rPr>
        <w:t>، والتي توضح فحوى ونطاق التزامات الدولة الطرف بغية تقديم الجبر لفائدة ضحايا التعذيب.</w:t>
      </w:r>
      <w:r>
        <w:rPr>
          <w:rFonts w:hint="cs"/>
          <w:b/>
          <w:bCs/>
          <w:rtl/>
          <w:lang w:eastAsia="ar-SA"/>
        </w:rPr>
        <w:t xml:space="preserve"> </w:t>
      </w:r>
    </w:p>
    <w:p w:rsidR="00E470AE" w:rsidRPr="00E17FBD" w:rsidRDefault="00E470AE" w:rsidP="00E470AE">
      <w:pPr>
        <w:pStyle w:val="H23GA"/>
        <w:spacing w:after="100" w:line="370" w:lineRule="exact"/>
        <w:rPr>
          <w:rFonts w:hint="cs"/>
          <w:rtl/>
        </w:rPr>
      </w:pPr>
      <w:r>
        <w:rPr>
          <w:rFonts w:hint="cs"/>
          <w:rtl/>
        </w:rPr>
        <w:tab/>
      </w:r>
      <w:r>
        <w:rPr>
          <w:rFonts w:hint="cs"/>
          <w:rtl/>
        </w:rPr>
        <w:tab/>
      </w:r>
      <w:r>
        <w:rPr>
          <w:rFonts w:hint="eastAsia"/>
          <w:rtl/>
        </w:rPr>
        <w:t>الاعترافات</w:t>
      </w:r>
      <w:r>
        <w:rPr>
          <w:rtl/>
        </w:rPr>
        <w:t xml:space="preserve"> المنتزعة بالإكراه</w:t>
      </w:r>
    </w:p>
    <w:p w:rsidR="00E470AE" w:rsidRDefault="009D60FC" w:rsidP="009D60FC">
      <w:pPr>
        <w:pStyle w:val="SingleTxtGA"/>
        <w:spacing w:after="100" w:line="370" w:lineRule="exact"/>
        <w:rPr>
          <w:rFonts w:hint="cs"/>
          <w:rtl/>
          <w:lang w:eastAsia="ar-SA"/>
        </w:rPr>
      </w:pPr>
      <w:r>
        <w:rPr>
          <w:rFonts w:hint="cs"/>
          <w:rtl/>
          <w:lang w:eastAsia="ar-SA"/>
        </w:rPr>
        <w:t>(</w:t>
      </w:r>
      <w:r w:rsidR="00E470AE">
        <w:rPr>
          <w:rFonts w:hint="cs"/>
          <w:rtl/>
          <w:lang w:eastAsia="ar-SA"/>
        </w:rPr>
        <w:t>24</w:t>
      </w:r>
      <w:r>
        <w:rPr>
          <w:rFonts w:hint="cs"/>
          <w:rtl/>
          <w:lang w:eastAsia="ar-SA"/>
        </w:rPr>
        <w:t>)</w:t>
      </w:r>
      <w:r w:rsidR="00E470AE">
        <w:rPr>
          <w:rFonts w:hint="cs"/>
          <w:rtl/>
          <w:lang w:eastAsia="ar-SA"/>
        </w:rPr>
        <w:tab/>
        <w:t xml:space="preserve">تعرب اللجنة عن قلقها إزاء المعلومات التي أوردتها الدولة الطرف في تقريرها والتي تفيد بعدم إمكانية الحصول على الأدلة بطرق غير قانونية، ولكن التشريعات الجنائية للدولة الطرف لا تتضمن قاعدةً واضحةً تمنع استناد المحاكم للإثباتات والاعترافات المنتزعة تحت التعذيب (المادة 15). </w:t>
      </w:r>
    </w:p>
    <w:p w:rsidR="00E470AE" w:rsidRPr="00807901" w:rsidRDefault="00E470AE" w:rsidP="00E470AE">
      <w:pPr>
        <w:pStyle w:val="SingleTxtGA"/>
        <w:spacing w:after="100" w:line="370" w:lineRule="exact"/>
        <w:rPr>
          <w:rFonts w:hint="cs"/>
          <w:b/>
          <w:bCs/>
          <w:spacing w:val="-4"/>
          <w:rtl/>
          <w:lang w:eastAsia="ar-SA"/>
        </w:rPr>
      </w:pPr>
      <w:r w:rsidRPr="00807901">
        <w:rPr>
          <w:rFonts w:hint="cs"/>
          <w:spacing w:val="-4"/>
          <w:rtl/>
          <w:lang w:eastAsia="ar-SA"/>
        </w:rPr>
        <w:tab/>
      </w:r>
      <w:r w:rsidRPr="00807901">
        <w:rPr>
          <w:rFonts w:hint="cs"/>
          <w:b/>
          <w:bCs/>
          <w:spacing w:val="-4"/>
          <w:rtl/>
          <w:lang w:eastAsia="ar-SA"/>
        </w:rPr>
        <w:t xml:space="preserve">ينبغي للدولة الطرف أن توضح تشريعاتها حتى لا تُعدّ الاعترافات والأقوال والعناصر التي صدرت عن صاحبها نتيجة التعذيب أو سوء المعاملة دليلاً يحتج به </w:t>
      </w:r>
      <w:r w:rsidRPr="00807901">
        <w:rPr>
          <w:rFonts w:hint="cs"/>
          <w:b/>
          <w:bCs/>
          <w:spacing w:val="-4"/>
          <w:rtl/>
          <w:lang/>
        </w:rPr>
        <w:t>ما لم يكن ضد شخص متهم بالتعذيب كدليل على صدور هذه الأقوال</w:t>
      </w:r>
      <w:r w:rsidRPr="00807901">
        <w:rPr>
          <w:rFonts w:hint="cs"/>
          <w:b/>
          <w:bCs/>
          <w:spacing w:val="-4"/>
          <w:rtl/>
          <w:lang w:eastAsia="ar-SA"/>
        </w:rPr>
        <w:t>. وينبغي للدولة الطرف التحقيق في الإدعاءات التي تفيد بانتزاع اعترافات تحت التعذيب</w:t>
      </w:r>
      <w:r w:rsidRPr="00807901">
        <w:rPr>
          <w:rFonts w:hint="cs"/>
          <w:b/>
          <w:bCs/>
          <w:spacing w:val="-4"/>
          <w:rtl/>
          <w:lang w:eastAsia="ar-SA"/>
        </w:rPr>
        <w:t xml:space="preserve"> وكفالة ملاحقة المسؤولين عن ذلك ومعاقبتهم. وينبغي لها إعادة النظر في القضايا التي يُستند فيها إلى اعترافات منتزعة نتيجة التعذيب أو سوء المعاملة، واتخاذ التدابير التصحيحية اللازمة وإبلاغ اللجنة بآرائها. </w:t>
      </w:r>
    </w:p>
    <w:p w:rsidR="00E470AE" w:rsidRDefault="00E470AE" w:rsidP="00E470AE">
      <w:pPr>
        <w:pStyle w:val="H23GA"/>
        <w:rPr>
          <w:rFonts w:hint="cs"/>
          <w:rtl/>
          <w:lang/>
        </w:rPr>
      </w:pPr>
      <w:r>
        <w:rPr>
          <w:rFonts w:hint="cs"/>
          <w:rtl/>
          <w:lang/>
        </w:rPr>
        <w:tab/>
      </w:r>
      <w:r>
        <w:rPr>
          <w:rFonts w:hint="cs"/>
          <w:rtl/>
          <w:lang/>
        </w:rPr>
        <w:tab/>
        <w:t>العقوبة البدنية التي تسلّط</w:t>
      </w:r>
      <w:r w:rsidRPr="00E17FBD">
        <w:rPr>
          <w:rFonts w:hint="cs"/>
          <w:rtl/>
          <w:lang/>
        </w:rPr>
        <w:t xml:space="preserve"> </w:t>
      </w:r>
      <w:r>
        <w:rPr>
          <w:rFonts w:hint="cs"/>
          <w:rtl/>
          <w:lang/>
        </w:rPr>
        <w:t>على</w:t>
      </w:r>
      <w:r w:rsidRPr="00E17FBD">
        <w:rPr>
          <w:rFonts w:hint="cs"/>
          <w:rtl/>
          <w:lang/>
        </w:rPr>
        <w:t xml:space="preserve"> الأطفال</w:t>
      </w:r>
    </w:p>
    <w:p w:rsidR="00E470AE" w:rsidRPr="00FC1DA4" w:rsidRDefault="009D60FC" w:rsidP="009D60FC">
      <w:pPr>
        <w:pStyle w:val="SingleTxtGA"/>
        <w:rPr>
          <w:rFonts w:hint="cs"/>
          <w:rtl/>
          <w:lang w:eastAsia="ar-SA"/>
        </w:rPr>
      </w:pPr>
      <w:r>
        <w:rPr>
          <w:rFonts w:hint="cs"/>
          <w:rtl/>
          <w:lang w:eastAsia="ar-SA"/>
        </w:rPr>
        <w:t>(</w:t>
      </w:r>
      <w:r w:rsidR="00E470AE" w:rsidRPr="00FC1DA4">
        <w:rPr>
          <w:rFonts w:hint="cs"/>
          <w:rtl/>
          <w:lang w:eastAsia="ar-SA"/>
        </w:rPr>
        <w:t>25</w:t>
      </w:r>
      <w:r>
        <w:rPr>
          <w:rFonts w:hint="cs"/>
          <w:rtl/>
          <w:lang w:eastAsia="ar-SA"/>
        </w:rPr>
        <w:t>)</w:t>
      </w:r>
      <w:r w:rsidR="00E470AE" w:rsidRPr="00FC1DA4">
        <w:rPr>
          <w:rFonts w:hint="cs"/>
          <w:rtl/>
          <w:lang w:eastAsia="ar-SA"/>
        </w:rPr>
        <w:tab/>
        <w:t xml:space="preserve">تحيط اللجنة علماً بالمعلومات التي قدمها وفد الدولة الطرف والتي تفيد بأن الأطفال يحظون بالحماية بموجب قانون حماية الطفولة والقانون الخاص الذي يجرم أشكال العنف المنزلي والمدرسي والمؤسسي وحملات التوعية التي يُضطَلَع بها في </w:t>
      </w:r>
      <w:r w:rsidR="00E470AE" w:rsidRPr="00FC1DA4">
        <w:rPr>
          <w:rtl/>
        </w:rPr>
        <w:t>ليبرفيل</w:t>
      </w:r>
      <w:r w:rsidR="00E470AE" w:rsidRPr="00FC1DA4">
        <w:rPr>
          <w:rFonts w:hint="cs"/>
          <w:rtl/>
          <w:lang/>
        </w:rPr>
        <w:t xml:space="preserve"> وأويندو وماكوكو وأوييم</w:t>
      </w:r>
      <w:r w:rsidR="00E470AE" w:rsidRPr="00FC1DA4">
        <w:rPr>
          <w:rFonts w:hint="cs"/>
          <w:rtl/>
          <w:lang w:eastAsia="ar-SA"/>
        </w:rPr>
        <w:t xml:space="preserve"> بخصوص أبشع أشكال العقوبة البدنية التي تسلّط على الأطفال في المدارس، إلا أنها تعرب عن</w:t>
      </w:r>
      <w:r w:rsidR="00E470AE">
        <w:rPr>
          <w:rFonts w:hint="eastAsia"/>
          <w:rtl/>
          <w:lang w:eastAsia="ar-SA"/>
        </w:rPr>
        <w:t> </w:t>
      </w:r>
      <w:r w:rsidR="00E470AE" w:rsidRPr="00FC1DA4">
        <w:rPr>
          <w:rFonts w:hint="cs"/>
          <w:rtl/>
          <w:lang w:eastAsia="ar-SA"/>
        </w:rPr>
        <w:t>قلقها إزاء التقارير التي تفيد باستمرار العقوبة البدنية في الأوساط المدرسية والأسرية (المادة</w:t>
      </w:r>
      <w:r w:rsidR="00E470AE">
        <w:rPr>
          <w:rFonts w:hint="eastAsia"/>
          <w:rtl/>
          <w:lang w:eastAsia="ar-SA"/>
        </w:rPr>
        <w:t> </w:t>
      </w:r>
      <w:r w:rsidR="00E470AE" w:rsidRPr="00FC1DA4">
        <w:rPr>
          <w:rFonts w:hint="cs"/>
          <w:rtl/>
          <w:lang w:eastAsia="ar-SA"/>
        </w:rPr>
        <w:t>16).</w:t>
      </w:r>
    </w:p>
    <w:p w:rsidR="00E470AE" w:rsidRPr="00452F3D" w:rsidRDefault="00E470AE" w:rsidP="00E470AE">
      <w:pPr>
        <w:pStyle w:val="SingleTxtGA"/>
        <w:rPr>
          <w:rFonts w:hint="cs"/>
          <w:b/>
          <w:bCs/>
          <w:rtl/>
          <w:lang w:eastAsia="ar-SA"/>
        </w:rPr>
      </w:pPr>
      <w:r w:rsidRPr="00452F3D">
        <w:rPr>
          <w:rFonts w:hint="cs"/>
          <w:b/>
          <w:bCs/>
          <w:rtl/>
          <w:lang w:eastAsia="ar-SA"/>
        </w:rPr>
        <w:tab/>
        <w:t>ينبغي للدولة الطرف اتخاذ تدابير من أجل تطبيق فعلي لتشريعاتها بغية ضمان عدم ممارسة العقوبة البدنية إطلاقا</w:t>
      </w:r>
      <w:r>
        <w:rPr>
          <w:rFonts w:hint="cs"/>
          <w:b/>
          <w:bCs/>
          <w:rtl/>
          <w:lang w:eastAsia="ar-SA"/>
        </w:rPr>
        <w:t>ً</w:t>
      </w:r>
      <w:r w:rsidRPr="00452F3D">
        <w:rPr>
          <w:rFonts w:hint="cs"/>
          <w:b/>
          <w:bCs/>
          <w:rtl/>
          <w:lang w:eastAsia="ar-SA"/>
        </w:rPr>
        <w:t>. وينبغي لها أ</w:t>
      </w:r>
      <w:r w:rsidR="00BE6C28">
        <w:rPr>
          <w:rFonts w:hint="cs"/>
          <w:b/>
          <w:bCs/>
          <w:rtl/>
          <w:lang w:eastAsia="ar-SA"/>
        </w:rPr>
        <w:t>يض</w:t>
      </w:r>
      <w:r w:rsidRPr="00452F3D">
        <w:rPr>
          <w:rFonts w:hint="cs"/>
          <w:b/>
          <w:bCs/>
          <w:rtl/>
          <w:lang w:eastAsia="ar-SA"/>
        </w:rPr>
        <w:t>ا</w:t>
      </w:r>
      <w:r w:rsidR="00BE6C28">
        <w:rPr>
          <w:rFonts w:hint="cs"/>
          <w:b/>
          <w:bCs/>
          <w:rtl/>
          <w:lang w:eastAsia="ar-SA"/>
        </w:rPr>
        <w:t>ً</w:t>
      </w:r>
      <w:r w:rsidRPr="00452F3D">
        <w:rPr>
          <w:rFonts w:hint="cs"/>
          <w:b/>
          <w:bCs/>
          <w:rtl/>
          <w:lang w:eastAsia="ar-SA"/>
        </w:rPr>
        <w:t xml:space="preserve"> أن تعزز حملات التوعية التي تقوم بها بخصوص الآثار الضارة </w:t>
      </w:r>
      <w:r>
        <w:rPr>
          <w:rFonts w:hint="cs"/>
          <w:b/>
          <w:bCs/>
          <w:rtl/>
          <w:lang w:eastAsia="ar-SA"/>
        </w:rPr>
        <w:t>المترتبة على ا</w:t>
      </w:r>
      <w:r w:rsidRPr="00452F3D">
        <w:rPr>
          <w:rFonts w:hint="cs"/>
          <w:b/>
          <w:bCs/>
          <w:rtl/>
          <w:lang w:eastAsia="ar-SA"/>
        </w:rPr>
        <w:t xml:space="preserve">لعقوبة البدنية ومنعها. </w:t>
      </w:r>
    </w:p>
    <w:p w:rsidR="00E470AE" w:rsidRDefault="00E470AE" w:rsidP="00E470AE">
      <w:pPr>
        <w:pStyle w:val="H23GA"/>
        <w:rPr>
          <w:rFonts w:hint="cs"/>
          <w:rtl/>
        </w:rPr>
      </w:pPr>
      <w:r>
        <w:rPr>
          <w:rtl/>
        </w:rPr>
        <w:tab/>
      </w:r>
      <w:r>
        <w:rPr>
          <w:rtl/>
        </w:rPr>
        <w:tab/>
        <w:t>جمع البيانات</w:t>
      </w:r>
    </w:p>
    <w:p w:rsidR="00E470AE" w:rsidRDefault="0052601A" w:rsidP="0052601A">
      <w:pPr>
        <w:pStyle w:val="SingleTxtGA"/>
        <w:rPr>
          <w:rFonts w:hint="cs"/>
          <w:rtl/>
        </w:rPr>
      </w:pPr>
      <w:r>
        <w:rPr>
          <w:rFonts w:hint="cs"/>
          <w:rtl/>
          <w:lang w:eastAsia="ar-SA"/>
        </w:rPr>
        <w:t>(</w:t>
      </w:r>
      <w:r w:rsidR="00E470AE">
        <w:rPr>
          <w:rFonts w:hint="cs"/>
          <w:rtl/>
          <w:lang w:eastAsia="ar-SA"/>
        </w:rPr>
        <w:t>26</w:t>
      </w:r>
      <w:r>
        <w:rPr>
          <w:rFonts w:hint="cs"/>
          <w:rtl/>
          <w:lang w:eastAsia="ar-SA"/>
        </w:rPr>
        <w:t>)</w:t>
      </w:r>
      <w:r w:rsidR="00E470AE">
        <w:rPr>
          <w:rFonts w:hint="cs"/>
          <w:rtl/>
          <w:lang w:eastAsia="ar-SA"/>
        </w:rPr>
        <w:tab/>
      </w:r>
      <w:r w:rsidR="00E470AE">
        <w:rPr>
          <w:rtl/>
        </w:rPr>
        <w:t xml:space="preserve">تعرب اللجنة عن أسفها لعدم وجود بيانات شاملة </w:t>
      </w:r>
      <w:r w:rsidR="00E470AE">
        <w:rPr>
          <w:rFonts w:hint="cs"/>
          <w:rtl/>
        </w:rPr>
        <w:t>وموثوقة</w:t>
      </w:r>
      <w:r w:rsidR="00E470AE">
        <w:rPr>
          <w:rtl/>
        </w:rPr>
        <w:t xml:space="preserve"> عن الشكاوى والتحقيقات والمحاكمات والإدانات في حالات التعذيب </w:t>
      </w:r>
      <w:r w:rsidR="00E470AE">
        <w:rPr>
          <w:rFonts w:hint="cs"/>
          <w:rtl/>
        </w:rPr>
        <w:t>أ</w:t>
      </w:r>
      <w:r w:rsidR="00E470AE">
        <w:rPr>
          <w:rtl/>
        </w:rPr>
        <w:t>و</w:t>
      </w:r>
      <w:r w:rsidR="00E470AE">
        <w:rPr>
          <w:rFonts w:hint="cs"/>
          <w:rtl/>
        </w:rPr>
        <w:t xml:space="preserve"> </w:t>
      </w:r>
      <w:r w:rsidR="00E470AE">
        <w:rPr>
          <w:rtl/>
        </w:rPr>
        <w:t xml:space="preserve">سوء المعاملة التي يرتكبها </w:t>
      </w:r>
      <w:r w:rsidR="00E470AE">
        <w:rPr>
          <w:rFonts w:hint="cs"/>
          <w:rtl/>
        </w:rPr>
        <w:t>أفراد قوات الأمن و</w:t>
      </w:r>
      <w:r w:rsidR="00E470AE">
        <w:rPr>
          <w:rtl/>
        </w:rPr>
        <w:t>موظفو السجون</w:t>
      </w:r>
      <w:r w:rsidR="00E470AE">
        <w:rPr>
          <w:rFonts w:hint="cs"/>
          <w:rtl/>
        </w:rPr>
        <w:t xml:space="preserve">. ويساورها القلق أيضاً إزاء عدم توافر نفس هذه المعلومات فيما يخص الاتجار بالبشر وقضاء الأحداث والعقوبة البدنية وتشويه الأعضاء التناسلية الأنثوية، فضلاً عن التعويضات التي يحصل عليها الضحايا وإعادة تأهيلهم. </w:t>
      </w:r>
    </w:p>
    <w:p w:rsidR="00E470AE" w:rsidRDefault="00E470AE" w:rsidP="00E470AE">
      <w:pPr>
        <w:pStyle w:val="SingleTxtGA"/>
        <w:rPr>
          <w:rFonts w:hint="cs"/>
          <w:b/>
          <w:bCs/>
          <w:rtl/>
        </w:rPr>
      </w:pPr>
      <w:r>
        <w:rPr>
          <w:rFonts w:hint="cs"/>
          <w:b/>
          <w:bCs/>
          <w:rtl/>
        </w:rPr>
        <w:tab/>
      </w:r>
      <w:r w:rsidRPr="00E249BE">
        <w:rPr>
          <w:b/>
          <w:bCs/>
          <w:rtl/>
        </w:rPr>
        <w:t xml:space="preserve">ينبغي للدولة الطرف أن تجمع بيانات إحصائية </w:t>
      </w:r>
      <w:r>
        <w:rPr>
          <w:rFonts w:hint="cs"/>
          <w:b/>
          <w:bCs/>
          <w:rtl/>
        </w:rPr>
        <w:t>بخصوص تقييم</w:t>
      </w:r>
      <w:r w:rsidRPr="00E249BE">
        <w:rPr>
          <w:b/>
          <w:bCs/>
          <w:rtl/>
        </w:rPr>
        <w:t xml:space="preserve"> تنفيذ الاتفاقية على الصعيد الوطني، بما في ذلك بيانات بشأن الشكاوى والتحقيقات والمحاكمات والإدانات المتعلقة بحالات التعذيب وسوء المعاملة</w:t>
      </w:r>
      <w:r>
        <w:rPr>
          <w:rFonts w:hint="cs"/>
          <w:b/>
          <w:bCs/>
          <w:rtl/>
        </w:rPr>
        <w:t>، فيما يخص أفراد قوات الأمن،</w:t>
      </w:r>
      <w:r w:rsidRPr="00E249BE">
        <w:rPr>
          <w:b/>
          <w:bCs/>
          <w:rtl/>
        </w:rPr>
        <w:t xml:space="preserve"> والاتجار بالبشر</w:t>
      </w:r>
      <w:r>
        <w:rPr>
          <w:rFonts w:hint="cs"/>
          <w:b/>
          <w:bCs/>
          <w:rtl/>
        </w:rPr>
        <w:t xml:space="preserve"> وقضاء الأحداث والعقوبة البدنية </w:t>
      </w:r>
      <w:r w:rsidRPr="00CC6C0D">
        <w:rPr>
          <w:rFonts w:hint="cs"/>
          <w:b/>
          <w:bCs/>
          <w:rtl/>
        </w:rPr>
        <w:t xml:space="preserve">وتشويه الأعضاء التناسلية </w:t>
      </w:r>
      <w:r>
        <w:rPr>
          <w:rFonts w:hint="cs"/>
          <w:b/>
          <w:bCs/>
          <w:rtl/>
        </w:rPr>
        <w:t>الأنثوية</w:t>
      </w:r>
      <w:r w:rsidRPr="00E249BE">
        <w:rPr>
          <w:b/>
          <w:bCs/>
          <w:rtl/>
        </w:rPr>
        <w:t>، وبشأن سبل جبر الضرر، بما في ذلك التعويضات المقدمة للضحايا و</w:t>
      </w:r>
      <w:r>
        <w:rPr>
          <w:rFonts w:hint="cs"/>
          <w:b/>
          <w:bCs/>
          <w:rtl/>
        </w:rPr>
        <w:t xml:space="preserve">سبل </w:t>
      </w:r>
      <w:r w:rsidRPr="00E249BE">
        <w:rPr>
          <w:b/>
          <w:bCs/>
          <w:rtl/>
        </w:rPr>
        <w:t>إعادة تأهيلهم.</w:t>
      </w:r>
    </w:p>
    <w:p w:rsidR="00E470AE" w:rsidRDefault="0052601A" w:rsidP="0052601A">
      <w:pPr>
        <w:pStyle w:val="SingleTxtGA"/>
        <w:rPr>
          <w:rFonts w:hint="cs"/>
          <w:rtl/>
          <w:lang w:val="fr-CH"/>
        </w:rPr>
      </w:pPr>
      <w:r>
        <w:rPr>
          <w:rFonts w:hint="cs"/>
          <w:rtl/>
          <w:lang w:val="fr-CH"/>
        </w:rPr>
        <w:t>(</w:t>
      </w:r>
      <w:r w:rsidR="00E470AE">
        <w:rPr>
          <w:rFonts w:hint="cs"/>
          <w:rtl/>
          <w:lang w:val="fr-CH"/>
        </w:rPr>
        <w:t>27</w:t>
      </w:r>
      <w:r>
        <w:rPr>
          <w:rFonts w:hint="cs"/>
          <w:rtl/>
          <w:lang w:val="fr-CH"/>
        </w:rPr>
        <w:t>)</w:t>
      </w:r>
      <w:r w:rsidR="00E470AE">
        <w:rPr>
          <w:rFonts w:hint="cs"/>
          <w:rtl/>
          <w:lang w:val="fr-CH"/>
        </w:rPr>
        <w:tab/>
      </w:r>
      <w:r w:rsidR="00E470AE" w:rsidRPr="0005688E">
        <w:rPr>
          <w:rFonts w:hint="cs"/>
          <w:rtl/>
          <w:lang w:val="fr-CH"/>
        </w:rPr>
        <w:t xml:space="preserve">وتوصي اللجنة الدولة الطرف </w:t>
      </w:r>
      <w:r w:rsidR="00E470AE">
        <w:rPr>
          <w:rFonts w:hint="cs"/>
          <w:rtl/>
          <w:lang w:val="fr-CH"/>
        </w:rPr>
        <w:t>بإصدار الإعلانين المنصوص عليهما</w:t>
      </w:r>
      <w:r w:rsidR="00E470AE" w:rsidRPr="0005688E">
        <w:rPr>
          <w:rFonts w:hint="cs"/>
          <w:rtl/>
          <w:lang w:val="fr-CH"/>
        </w:rPr>
        <w:t xml:space="preserve"> في المادتين 21 و22 من الاتفاقية، بغية الاعتراف باختصاص اللجنة بتلقي </w:t>
      </w:r>
      <w:r w:rsidR="00E470AE">
        <w:rPr>
          <w:rFonts w:hint="cs"/>
          <w:rtl/>
          <w:lang w:val="fr-CH"/>
        </w:rPr>
        <w:t>ال</w:t>
      </w:r>
      <w:r w:rsidR="00E470AE" w:rsidRPr="0005688E">
        <w:rPr>
          <w:rFonts w:hint="cs"/>
          <w:rtl/>
          <w:lang w:val="fr-CH"/>
        </w:rPr>
        <w:t xml:space="preserve">بلاغات </w:t>
      </w:r>
      <w:r w:rsidR="00E470AE">
        <w:rPr>
          <w:rFonts w:hint="cs"/>
          <w:rtl/>
          <w:lang w:val="fr-CH"/>
        </w:rPr>
        <w:t xml:space="preserve">ودراستها. </w:t>
      </w:r>
    </w:p>
    <w:p w:rsidR="00E470AE" w:rsidRPr="00FC1DA4" w:rsidRDefault="0052601A" w:rsidP="0052601A">
      <w:pPr>
        <w:pStyle w:val="SingleTxtGA"/>
        <w:rPr>
          <w:rFonts w:hint="cs"/>
          <w:spacing w:val="2"/>
          <w:rtl/>
          <w:lang w:val="fr-CH"/>
        </w:rPr>
      </w:pPr>
      <w:r>
        <w:rPr>
          <w:rFonts w:hint="cs"/>
          <w:spacing w:val="2"/>
          <w:rtl/>
          <w:lang w:val="fr-CH"/>
        </w:rPr>
        <w:t>(</w:t>
      </w:r>
      <w:r w:rsidR="00E470AE" w:rsidRPr="00FC1DA4">
        <w:rPr>
          <w:rFonts w:hint="cs"/>
          <w:spacing w:val="2"/>
          <w:rtl/>
          <w:lang w:val="fr-CH"/>
        </w:rPr>
        <w:t>28</w:t>
      </w:r>
      <w:r>
        <w:rPr>
          <w:rFonts w:hint="cs"/>
          <w:spacing w:val="2"/>
          <w:rtl/>
          <w:lang w:val="fr-CH"/>
        </w:rPr>
        <w:t>)</w:t>
      </w:r>
      <w:r w:rsidR="00E470AE" w:rsidRPr="00FC1DA4">
        <w:rPr>
          <w:rFonts w:hint="cs"/>
          <w:spacing w:val="2"/>
          <w:rtl/>
          <w:lang w:val="fr-CH"/>
        </w:rPr>
        <w:tab/>
        <w:t>ويرجى من الدولة الطرف نشر التقرير المقدم إلى اللجنة وكذلك الملاحظات الختامية للجنة، باللغات المناسبة، من خلال المواقع الشبكية الرسمية ووسائط الإعلام والمنظمات غير الحكومية.</w:t>
      </w:r>
    </w:p>
    <w:p w:rsidR="00E470AE" w:rsidRPr="00C6785B" w:rsidRDefault="0052601A" w:rsidP="0052601A">
      <w:pPr>
        <w:pStyle w:val="SingleTxtGA"/>
        <w:rPr>
          <w:rFonts w:hint="cs"/>
          <w:rtl/>
        </w:rPr>
      </w:pPr>
      <w:r>
        <w:rPr>
          <w:rFonts w:hint="cs"/>
          <w:spacing w:val="4"/>
          <w:rtl/>
        </w:rPr>
        <w:t>(</w:t>
      </w:r>
      <w:r w:rsidR="00E470AE">
        <w:rPr>
          <w:rFonts w:hint="cs"/>
          <w:spacing w:val="4"/>
          <w:rtl/>
        </w:rPr>
        <w:t>29</w:t>
      </w:r>
      <w:r>
        <w:rPr>
          <w:rFonts w:hint="cs"/>
          <w:spacing w:val="4"/>
          <w:rtl/>
        </w:rPr>
        <w:t>)</w:t>
      </w:r>
      <w:r w:rsidR="00E470AE">
        <w:rPr>
          <w:rFonts w:hint="cs"/>
          <w:spacing w:val="4"/>
          <w:rtl/>
        </w:rPr>
        <w:tab/>
        <w:t>وتناشد</w:t>
      </w:r>
      <w:r w:rsidR="00E470AE" w:rsidRPr="007466EF">
        <w:rPr>
          <w:spacing w:val="4"/>
          <w:rtl/>
        </w:rPr>
        <w:t xml:space="preserve"> اللجنة الدولة الطرف أن تقدم </w:t>
      </w:r>
      <w:r w:rsidR="00E470AE">
        <w:rPr>
          <w:rFonts w:hint="cs"/>
          <w:spacing w:val="4"/>
          <w:rtl/>
        </w:rPr>
        <w:t>في أجل أقصاه</w:t>
      </w:r>
      <w:r w:rsidR="00E470AE" w:rsidRPr="007466EF">
        <w:rPr>
          <w:spacing w:val="4"/>
          <w:rtl/>
        </w:rPr>
        <w:t xml:space="preserve"> </w:t>
      </w:r>
      <w:r w:rsidR="00E470AE">
        <w:rPr>
          <w:rFonts w:hint="cs"/>
          <w:spacing w:val="4"/>
          <w:rtl/>
        </w:rPr>
        <w:t>23</w:t>
      </w:r>
      <w:r w:rsidR="00E470AE" w:rsidRPr="007466EF">
        <w:rPr>
          <w:spacing w:val="4"/>
          <w:rtl/>
        </w:rPr>
        <w:t xml:space="preserve"> </w:t>
      </w:r>
      <w:r w:rsidR="00E470AE">
        <w:rPr>
          <w:rFonts w:hint="cs"/>
          <w:spacing w:val="4"/>
          <w:rtl/>
        </w:rPr>
        <w:t>تشرين الثاني</w:t>
      </w:r>
      <w:r w:rsidR="00E470AE" w:rsidRPr="007466EF">
        <w:rPr>
          <w:spacing w:val="4"/>
          <w:rtl/>
        </w:rPr>
        <w:t>/</w:t>
      </w:r>
      <w:r w:rsidR="00E470AE">
        <w:rPr>
          <w:rFonts w:hint="cs"/>
          <w:spacing w:val="4"/>
          <w:rtl/>
        </w:rPr>
        <w:t xml:space="preserve"> نوفمبر </w:t>
      </w:r>
      <w:r w:rsidR="00E470AE" w:rsidRPr="007466EF">
        <w:rPr>
          <w:spacing w:val="4"/>
          <w:rtl/>
        </w:rPr>
        <w:t xml:space="preserve">2013 معلومات متابعة رداً على توصيات اللجنة فيما يتعلق ب‍ </w:t>
      </w:r>
      <w:r w:rsidR="00E470AE">
        <w:rPr>
          <w:rFonts w:hint="cs"/>
          <w:spacing w:val="4"/>
          <w:rtl/>
        </w:rPr>
        <w:t>(أ)</w:t>
      </w:r>
      <w:r w:rsidR="00E470AE" w:rsidRPr="007466EF">
        <w:rPr>
          <w:spacing w:val="4"/>
          <w:rtl/>
        </w:rPr>
        <w:t xml:space="preserve"> </w:t>
      </w:r>
      <w:r w:rsidR="00E470AE">
        <w:rPr>
          <w:rFonts w:hint="cs"/>
          <w:spacing w:val="4"/>
          <w:rtl/>
        </w:rPr>
        <w:t>تجريم التعذيب</w:t>
      </w:r>
      <w:r w:rsidR="00E470AE" w:rsidRPr="007466EF">
        <w:rPr>
          <w:spacing w:val="4"/>
          <w:rtl/>
        </w:rPr>
        <w:t>؛</w:t>
      </w:r>
      <w:r w:rsidR="00E470AE">
        <w:rPr>
          <w:rFonts w:hint="cs"/>
          <w:spacing w:val="4"/>
          <w:rtl/>
        </w:rPr>
        <w:t xml:space="preserve"> </w:t>
      </w:r>
      <w:r w:rsidR="00E470AE" w:rsidRPr="00C6785B">
        <w:rPr>
          <w:rFonts w:hint="cs"/>
          <w:rtl/>
        </w:rPr>
        <w:t xml:space="preserve">(ب) توفير </w:t>
      </w:r>
      <w:r w:rsidR="00E470AE" w:rsidRPr="00C6785B">
        <w:rPr>
          <w:rtl/>
        </w:rPr>
        <w:t>ا</w:t>
      </w:r>
      <w:r w:rsidR="00E470AE" w:rsidRPr="00C6785B">
        <w:rPr>
          <w:rFonts w:hint="eastAsia"/>
          <w:rtl/>
        </w:rPr>
        <w:t>لضمانات</w:t>
      </w:r>
      <w:r w:rsidR="00E470AE" w:rsidRPr="00C6785B">
        <w:rPr>
          <w:rtl/>
        </w:rPr>
        <w:t xml:space="preserve"> القانون الأساسية للمحتجزين في مخافر الشرطة؛ </w:t>
      </w:r>
      <w:r w:rsidR="00E470AE" w:rsidRPr="00C6785B">
        <w:rPr>
          <w:rFonts w:hint="cs"/>
          <w:rtl/>
        </w:rPr>
        <w:t>(ج) الأوضاع في السجون</w:t>
      </w:r>
      <w:r w:rsidR="00E470AE" w:rsidRPr="00C6785B">
        <w:rPr>
          <w:rtl/>
        </w:rPr>
        <w:t>؛ و</w:t>
      </w:r>
      <w:r w:rsidR="00E470AE" w:rsidRPr="00C6785B">
        <w:rPr>
          <w:rFonts w:hint="cs"/>
          <w:rtl/>
        </w:rPr>
        <w:t>(</w:t>
      </w:r>
      <w:r w:rsidR="00E470AE" w:rsidRPr="00C6785B">
        <w:rPr>
          <w:rFonts w:hint="cs"/>
          <w:sz w:val="30"/>
          <w:rtl/>
        </w:rPr>
        <w:t>د</w:t>
      </w:r>
      <w:r w:rsidR="00E470AE" w:rsidRPr="00C6785B">
        <w:rPr>
          <w:rFonts w:hint="cs"/>
          <w:rtl/>
        </w:rPr>
        <w:t xml:space="preserve">) </w:t>
      </w:r>
      <w:r w:rsidR="00E470AE" w:rsidRPr="00C6785B">
        <w:rPr>
          <w:rtl/>
        </w:rPr>
        <w:t>ملاحقة المشتبه فيهم ومعاقبة مرتكب</w:t>
      </w:r>
      <w:r w:rsidR="00E470AE">
        <w:rPr>
          <w:rtl/>
        </w:rPr>
        <w:t>ي أفعال التعذيب أو سوء المعاملة</w:t>
      </w:r>
      <w:r w:rsidR="00E470AE" w:rsidRPr="00C6785B">
        <w:rPr>
          <w:rtl/>
        </w:rPr>
        <w:t xml:space="preserve">، على النحو الوارد في الفقرات </w:t>
      </w:r>
      <w:r w:rsidR="00E470AE" w:rsidRPr="00C6785B">
        <w:rPr>
          <w:rFonts w:hint="cs"/>
          <w:rtl/>
        </w:rPr>
        <w:t>8 و</w:t>
      </w:r>
      <w:r w:rsidR="00E470AE" w:rsidRPr="00C6785B">
        <w:rPr>
          <w:rtl/>
        </w:rPr>
        <w:t>10</w:t>
      </w:r>
      <w:r w:rsidR="00E470AE" w:rsidRPr="00C6785B">
        <w:rPr>
          <w:rFonts w:hint="cs"/>
          <w:rtl/>
        </w:rPr>
        <w:t xml:space="preserve"> و17 و(أ) و(</w:t>
      </w:r>
      <w:r w:rsidR="00E470AE" w:rsidRPr="00C6785B">
        <w:rPr>
          <w:rFonts w:hint="cs"/>
          <w:sz w:val="30"/>
          <w:rtl/>
        </w:rPr>
        <w:t>ﻫ</w:t>
      </w:r>
      <w:r w:rsidR="00E470AE" w:rsidRPr="00C6785B">
        <w:rPr>
          <w:rFonts w:hint="cs"/>
          <w:rtl/>
        </w:rPr>
        <w:t xml:space="preserve">) و22 </w:t>
      </w:r>
      <w:r w:rsidR="00E470AE" w:rsidRPr="00C6785B">
        <w:rPr>
          <w:rtl/>
        </w:rPr>
        <w:t xml:space="preserve">من </w:t>
      </w:r>
      <w:r w:rsidR="00E470AE" w:rsidRPr="00C6785B">
        <w:rPr>
          <w:rFonts w:hint="cs"/>
          <w:rtl/>
        </w:rPr>
        <w:t xml:space="preserve">هذه </w:t>
      </w:r>
      <w:r w:rsidR="00E470AE" w:rsidRPr="00C6785B">
        <w:rPr>
          <w:rtl/>
        </w:rPr>
        <w:t>الملاحظات الختامية.</w:t>
      </w:r>
    </w:p>
    <w:p w:rsidR="00E470AE" w:rsidRDefault="0052601A" w:rsidP="0052601A">
      <w:pPr>
        <w:pStyle w:val="SingleTxtGA"/>
        <w:rPr>
          <w:rFonts w:hint="cs"/>
          <w:rtl/>
        </w:rPr>
      </w:pPr>
      <w:r>
        <w:rPr>
          <w:rFonts w:hint="cs"/>
          <w:rtl/>
          <w:lang w:val="fr-CH"/>
        </w:rPr>
        <w:t>(</w:t>
      </w:r>
      <w:r w:rsidR="00E470AE">
        <w:rPr>
          <w:rFonts w:hint="cs"/>
          <w:rtl/>
          <w:lang w:val="fr-CH"/>
        </w:rPr>
        <w:t>30</w:t>
      </w:r>
      <w:r>
        <w:rPr>
          <w:rFonts w:hint="cs"/>
          <w:rtl/>
          <w:lang w:val="fr-CH"/>
        </w:rPr>
        <w:t>)</w:t>
      </w:r>
      <w:r w:rsidR="00E470AE">
        <w:rPr>
          <w:rFonts w:hint="cs"/>
          <w:rtl/>
          <w:lang w:val="fr-CH"/>
        </w:rPr>
        <w:tab/>
      </w:r>
      <w:r w:rsidR="00E470AE">
        <w:rPr>
          <w:rtl/>
        </w:rPr>
        <w:t xml:space="preserve">وتدعو اللجنة الدولة الطرف إلى تقديم تقريرها المقبل، الذي سيكون </w:t>
      </w:r>
      <w:r w:rsidR="00E470AE">
        <w:rPr>
          <w:rFonts w:hint="cs"/>
          <w:rtl/>
        </w:rPr>
        <w:t>موعد تقديم تقريرها</w:t>
      </w:r>
      <w:r w:rsidR="00E470AE">
        <w:rPr>
          <w:rtl/>
        </w:rPr>
        <w:t xml:space="preserve"> الدوري الثاني</w:t>
      </w:r>
      <w:r w:rsidR="00E470AE">
        <w:rPr>
          <w:rFonts w:hint="cs"/>
          <w:rtl/>
        </w:rPr>
        <w:t xml:space="preserve"> في </w:t>
      </w:r>
      <w:r w:rsidR="00E470AE">
        <w:rPr>
          <w:rFonts w:hint="cs"/>
          <w:spacing w:val="4"/>
          <w:rtl/>
        </w:rPr>
        <w:t>23</w:t>
      </w:r>
      <w:r w:rsidR="00E470AE" w:rsidRPr="007466EF">
        <w:rPr>
          <w:spacing w:val="4"/>
          <w:rtl/>
        </w:rPr>
        <w:t xml:space="preserve"> </w:t>
      </w:r>
      <w:r w:rsidR="00E470AE">
        <w:rPr>
          <w:rFonts w:hint="cs"/>
          <w:spacing w:val="4"/>
          <w:rtl/>
        </w:rPr>
        <w:t>تشرين الثاني</w:t>
      </w:r>
      <w:r w:rsidR="00E470AE" w:rsidRPr="007466EF">
        <w:rPr>
          <w:spacing w:val="4"/>
          <w:rtl/>
        </w:rPr>
        <w:t>/</w:t>
      </w:r>
      <w:r w:rsidR="00E470AE">
        <w:rPr>
          <w:rFonts w:hint="cs"/>
          <w:spacing w:val="4"/>
          <w:rtl/>
        </w:rPr>
        <w:t>نوفمبر 2016</w:t>
      </w:r>
      <w:r w:rsidR="00E470AE">
        <w:rPr>
          <w:rtl/>
        </w:rPr>
        <w:t>، ولهذا الغرض، تدعو اللجنة الدولة الطرف إلى أن توافق</w:t>
      </w:r>
      <w:r w:rsidR="00E470AE" w:rsidRPr="00CE7844">
        <w:rPr>
          <w:rFonts w:hint="cs"/>
          <w:spacing w:val="4"/>
          <w:rtl/>
        </w:rPr>
        <w:t xml:space="preserve"> </w:t>
      </w:r>
      <w:r w:rsidR="00E470AE">
        <w:rPr>
          <w:rFonts w:hint="cs"/>
          <w:spacing w:val="4"/>
          <w:rtl/>
        </w:rPr>
        <w:t>في أجل أقصاه</w:t>
      </w:r>
      <w:r w:rsidR="00E470AE" w:rsidRPr="007466EF">
        <w:rPr>
          <w:spacing w:val="4"/>
          <w:rtl/>
        </w:rPr>
        <w:t xml:space="preserve"> </w:t>
      </w:r>
      <w:r w:rsidR="00E470AE">
        <w:rPr>
          <w:rFonts w:hint="cs"/>
          <w:spacing w:val="4"/>
          <w:rtl/>
        </w:rPr>
        <w:t>23</w:t>
      </w:r>
      <w:r w:rsidR="00E470AE" w:rsidRPr="007466EF">
        <w:rPr>
          <w:spacing w:val="4"/>
          <w:rtl/>
        </w:rPr>
        <w:t xml:space="preserve"> </w:t>
      </w:r>
      <w:r w:rsidR="00E470AE">
        <w:rPr>
          <w:rFonts w:hint="cs"/>
          <w:spacing w:val="4"/>
          <w:rtl/>
        </w:rPr>
        <w:t>تشرين الثاني</w:t>
      </w:r>
      <w:r w:rsidR="00E470AE" w:rsidRPr="007466EF">
        <w:rPr>
          <w:spacing w:val="4"/>
          <w:rtl/>
        </w:rPr>
        <w:t>/</w:t>
      </w:r>
      <w:r w:rsidR="00E470AE">
        <w:rPr>
          <w:rFonts w:hint="cs"/>
          <w:spacing w:val="4"/>
          <w:rtl/>
        </w:rPr>
        <w:t>نوفمبر</w:t>
      </w:r>
      <w:r w:rsidR="00E470AE" w:rsidRPr="007466EF">
        <w:rPr>
          <w:spacing w:val="4"/>
          <w:rtl/>
        </w:rPr>
        <w:t xml:space="preserve"> 2013</w:t>
      </w:r>
      <w:r w:rsidR="00E470AE">
        <w:rPr>
          <w:rtl/>
        </w:rPr>
        <w:t>، على تقديم تقرير بموجب إجراء اللجنة الاختياري لتقديم التقاري</w:t>
      </w:r>
      <w:r w:rsidR="00E470AE">
        <w:rPr>
          <w:rFonts w:hint="eastAsia"/>
          <w:rtl/>
        </w:rPr>
        <w:t>ر،</w:t>
      </w:r>
      <w:r w:rsidR="00E470AE">
        <w:rPr>
          <w:rtl/>
        </w:rPr>
        <w:t xml:space="preserve"> المتمثل في إحالة قائمة</w:t>
      </w:r>
      <w:r w:rsidR="009912C3">
        <w:rPr>
          <w:rFonts w:hint="cs"/>
          <w:rtl/>
        </w:rPr>
        <w:t xml:space="preserve"> القضايا</w:t>
      </w:r>
      <w:r w:rsidR="00E470AE">
        <w:rPr>
          <w:rtl/>
        </w:rPr>
        <w:t xml:space="preserve"> من اللجنة إلى الدولة الطرف قبل تقديم تقريرها الدوري. وسوف يشكل رد الدولة الطرف على قائمة</w:t>
      </w:r>
      <w:r w:rsidR="009912C3">
        <w:rPr>
          <w:rFonts w:hint="cs"/>
          <w:rtl/>
        </w:rPr>
        <w:t xml:space="preserve"> القضايا</w:t>
      </w:r>
      <w:r w:rsidR="00E470AE">
        <w:rPr>
          <w:rtl/>
        </w:rPr>
        <w:t xml:space="preserve"> هذه، بموجب المادة 19 من الاتفاقية، تقريرها الدوري المقبل</w:t>
      </w:r>
      <w:r w:rsidR="00E470AE">
        <w:rPr>
          <w:rFonts w:hint="cs"/>
          <w:rtl/>
        </w:rPr>
        <w:t xml:space="preserve">. </w:t>
      </w:r>
    </w:p>
    <w:p w:rsidR="00AA45B7" w:rsidRPr="0052601A" w:rsidRDefault="0052601A" w:rsidP="0052601A">
      <w:pPr>
        <w:pStyle w:val="SingleTxtGA"/>
        <w:keepNext/>
        <w:keepLines/>
        <w:rPr>
          <w:rFonts w:hint="cs"/>
          <w:b/>
          <w:bCs/>
        </w:rPr>
      </w:pPr>
      <w:r>
        <w:rPr>
          <w:rFonts w:hint="cs"/>
          <w:rtl/>
        </w:rPr>
        <w:t>60</w:t>
      </w:r>
      <w:r w:rsidR="00C72EB7">
        <w:rPr>
          <w:rFonts w:hint="cs"/>
          <w:rtl/>
        </w:rPr>
        <w:t>-</w:t>
      </w:r>
      <w:r>
        <w:rPr>
          <w:rFonts w:hint="cs"/>
          <w:rtl/>
        </w:rPr>
        <w:tab/>
      </w:r>
      <w:r w:rsidR="00C72EB7" w:rsidRPr="0052601A">
        <w:rPr>
          <w:rFonts w:hint="cs"/>
          <w:b/>
          <w:bCs/>
          <w:rtl/>
        </w:rPr>
        <w:t>المكسيك</w:t>
      </w:r>
    </w:p>
    <w:p w:rsidR="00E470AE" w:rsidRDefault="0052601A" w:rsidP="0052601A">
      <w:pPr>
        <w:pStyle w:val="SingleTxtGA"/>
        <w:rPr>
          <w:rFonts w:hint="cs"/>
          <w:rtl/>
        </w:rPr>
      </w:pPr>
      <w:r>
        <w:rPr>
          <w:rFonts w:hint="cs"/>
          <w:rtl/>
        </w:rPr>
        <w:t>(</w:t>
      </w:r>
      <w:r w:rsidR="00E470AE">
        <w:rPr>
          <w:rFonts w:hint="cs"/>
          <w:rtl/>
        </w:rPr>
        <w:t>1</w:t>
      </w:r>
      <w:r>
        <w:rPr>
          <w:rFonts w:hint="cs"/>
          <w:rtl/>
        </w:rPr>
        <w:t>)</w:t>
      </w:r>
      <w:r w:rsidR="00E470AE">
        <w:rPr>
          <w:rFonts w:hint="cs"/>
          <w:rtl/>
        </w:rPr>
        <w:tab/>
        <w:t xml:space="preserve">نظرت لجنة مناهضة التعذيب في تقرير المكسيك الجامع لتقريريها الخامس والسادس </w:t>
      </w:r>
      <w:r w:rsidR="00E470AE">
        <w:t>(CAT/C/MEX/5-6)</w:t>
      </w:r>
      <w:r w:rsidR="00E470AE">
        <w:rPr>
          <w:rFonts w:hint="cs"/>
          <w:rtl/>
        </w:rPr>
        <w:t xml:space="preserve"> في جلستيها 1098 و1101 (</w:t>
      </w:r>
      <w:r w:rsidR="00E470AE">
        <w:t>CAT/C/SR.1098</w:t>
      </w:r>
      <w:r w:rsidR="00E470AE">
        <w:rPr>
          <w:rFonts w:hint="cs"/>
          <w:rtl/>
        </w:rPr>
        <w:t xml:space="preserve"> و</w:t>
      </w:r>
      <w:r w:rsidR="00E470AE">
        <w:t>CAT/C/SR.1101</w:t>
      </w:r>
      <w:r w:rsidR="00E470AE">
        <w:rPr>
          <w:rFonts w:hint="cs"/>
          <w:rtl/>
        </w:rPr>
        <w:t xml:space="preserve">) المعقودتين يومي 31 تشرين الأول/أكتوبر و1 تشرين الثاني/نوفمبر 2012، واعتمدت في جلساتها 1118 و1120 و1121 المعقودة في 14 و15 تشرين الثاني/نوفمبر 2012 </w:t>
      </w:r>
      <w:r w:rsidR="00E470AE">
        <w:t>(CAT/C/SR.1119, 1120 and 1121)</w:t>
      </w:r>
      <w:r w:rsidR="00E470AE">
        <w:rPr>
          <w:rFonts w:hint="cs"/>
          <w:rtl/>
        </w:rPr>
        <w:t>، الاستنتاجات والتوصيات التالية.</w:t>
      </w:r>
    </w:p>
    <w:p w:rsidR="00E470AE" w:rsidRPr="0001007E" w:rsidRDefault="009F2FC3" w:rsidP="009F2FC3">
      <w:pPr>
        <w:pStyle w:val="H23GA"/>
        <w:tabs>
          <w:tab w:val="left" w:pos="1926"/>
        </w:tabs>
        <w:rPr>
          <w:rFonts w:hint="cs"/>
          <w:rtl/>
        </w:rPr>
      </w:pPr>
      <w:r>
        <w:rPr>
          <w:rFonts w:hint="cs"/>
          <w:rtl/>
        </w:rPr>
        <w:tab/>
      </w:r>
      <w:r>
        <w:rPr>
          <w:rFonts w:hint="cs"/>
          <w:rtl/>
        </w:rPr>
        <w:tab/>
      </w:r>
      <w:r w:rsidR="00E470AE" w:rsidRPr="0001007E">
        <w:rPr>
          <w:rFonts w:hint="cs"/>
          <w:rtl/>
        </w:rPr>
        <w:t>ألف-</w:t>
      </w:r>
      <w:r w:rsidR="00E470AE" w:rsidRPr="0001007E">
        <w:rPr>
          <w:rFonts w:hint="cs"/>
          <w:rtl/>
        </w:rPr>
        <w:tab/>
        <w:t>مقدمة</w:t>
      </w:r>
    </w:p>
    <w:p w:rsidR="00E470AE" w:rsidRDefault="0001007E" w:rsidP="0001007E">
      <w:pPr>
        <w:pStyle w:val="SingleTxtGA"/>
        <w:rPr>
          <w:rFonts w:hint="cs"/>
          <w:rtl/>
        </w:rPr>
      </w:pPr>
      <w:r>
        <w:rPr>
          <w:rFonts w:hint="cs"/>
          <w:rtl/>
        </w:rPr>
        <w:t>(</w:t>
      </w:r>
      <w:r w:rsidR="00E470AE">
        <w:rPr>
          <w:rFonts w:hint="cs"/>
          <w:rtl/>
        </w:rPr>
        <w:t>2</w:t>
      </w:r>
      <w:r>
        <w:rPr>
          <w:rFonts w:hint="cs"/>
          <w:rtl/>
        </w:rPr>
        <w:t>)</w:t>
      </w:r>
      <w:r w:rsidR="00E470AE">
        <w:rPr>
          <w:rFonts w:hint="cs"/>
          <w:rtl/>
        </w:rPr>
        <w:tab/>
        <w:t xml:space="preserve">ترحّب اللجنة بالتقريرين الدوريين الخامس والسادس المقدمين من المكسيك ردّاً على قائمة </w:t>
      </w:r>
      <w:r w:rsidR="009912C3">
        <w:rPr>
          <w:rFonts w:hint="cs"/>
          <w:rtl/>
        </w:rPr>
        <w:t>القضايا</w:t>
      </w:r>
      <w:r w:rsidR="00E470AE">
        <w:rPr>
          <w:rFonts w:hint="cs"/>
          <w:rtl/>
        </w:rPr>
        <w:t xml:space="preserve"> الموجهة إليها قبل التقرير (</w:t>
      </w:r>
      <w:r w:rsidR="00E470AE">
        <w:t>CAT/C/MEX/Q/5-6</w:t>
      </w:r>
      <w:r w:rsidR="00E470AE">
        <w:rPr>
          <w:rFonts w:hint="cs"/>
          <w:rtl/>
        </w:rPr>
        <w:t>). وهي تشيد بقبول الدولة الطرف تقديم تقريرها الدوري بموجب الإجراء الاختياري الجديد لتقديم التقارير، الذي سمح بتوثيق التعاون بين الدولة الطرف واللجنة وبزيادة تركيز النظر على التقرير والحوار مع الوفد.</w:t>
      </w:r>
    </w:p>
    <w:p w:rsidR="00E470AE" w:rsidRDefault="0001007E" w:rsidP="0001007E">
      <w:pPr>
        <w:pStyle w:val="SingleTxtGA"/>
        <w:rPr>
          <w:rFonts w:hint="cs"/>
          <w:rtl/>
        </w:rPr>
      </w:pPr>
      <w:r>
        <w:rPr>
          <w:rFonts w:hint="cs"/>
          <w:rtl/>
        </w:rPr>
        <w:t>(</w:t>
      </w:r>
      <w:r w:rsidR="00E470AE">
        <w:rPr>
          <w:rFonts w:hint="cs"/>
          <w:rtl/>
        </w:rPr>
        <w:t>3</w:t>
      </w:r>
      <w:r>
        <w:rPr>
          <w:rFonts w:hint="cs"/>
          <w:rtl/>
        </w:rPr>
        <w:t>)</w:t>
      </w:r>
      <w:r w:rsidR="00E470AE">
        <w:rPr>
          <w:rFonts w:hint="cs"/>
          <w:rtl/>
        </w:rPr>
        <w:tab/>
        <w:t>وتعرب اللجنة عن تقديرها للحوار المفتوح والبنّاء الذي أجرته مع وفد الدولة الطرف ولما وردها من معلومات خلال نظرها في التقرير.</w:t>
      </w:r>
    </w:p>
    <w:p w:rsidR="00E470AE" w:rsidRPr="0001007E" w:rsidRDefault="009F2FC3" w:rsidP="009F2FC3">
      <w:pPr>
        <w:pStyle w:val="H23GA"/>
        <w:tabs>
          <w:tab w:val="left" w:pos="1926"/>
        </w:tabs>
        <w:rPr>
          <w:rFonts w:hint="cs"/>
          <w:rtl/>
        </w:rPr>
      </w:pPr>
      <w:r>
        <w:rPr>
          <w:rFonts w:hint="cs"/>
          <w:rtl/>
        </w:rPr>
        <w:tab/>
      </w:r>
      <w:r>
        <w:rPr>
          <w:rFonts w:hint="cs"/>
          <w:rtl/>
        </w:rPr>
        <w:tab/>
      </w:r>
      <w:r w:rsidR="00E470AE" w:rsidRPr="0001007E">
        <w:rPr>
          <w:rFonts w:hint="cs"/>
          <w:rtl/>
        </w:rPr>
        <w:t>باء-</w:t>
      </w:r>
      <w:r w:rsidR="00E470AE" w:rsidRPr="0001007E">
        <w:rPr>
          <w:rFonts w:hint="cs"/>
          <w:rtl/>
        </w:rPr>
        <w:tab/>
        <w:t>الجوانب الإيجابية</w:t>
      </w:r>
    </w:p>
    <w:p w:rsidR="00E470AE" w:rsidRDefault="0001007E" w:rsidP="0001007E">
      <w:pPr>
        <w:pStyle w:val="SingleTxtGA"/>
        <w:rPr>
          <w:rFonts w:hint="cs"/>
          <w:rtl/>
        </w:rPr>
      </w:pPr>
      <w:r>
        <w:rPr>
          <w:rFonts w:hint="cs"/>
          <w:rtl/>
        </w:rPr>
        <w:t>(</w:t>
      </w:r>
      <w:r w:rsidR="00E470AE">
        <w:rPr>
          <w:rFonts w:hint="cs"/>
          <w:rtl/>
        </w:rPr>
        <w:t>4</w:t>
      </w:r>
      <w:r>
        <w:rPr>
          <w:rFonts w:hint="cs"/>
          <w:rtl/>
        </w:rPr>
        <w:t>)</w:t>
      </w:r>
      <w:r w:rsidR="00E470AE">
        <w:rPr>
          <w:rFonts w:hint="cs"/>
          <w:rtl/>
        </w:rPr>
        <w:tab/>
        <w:t xml:space="preserve">تلاحظ اللجنة بارتياح أن الدولة الطرف صدّقت، منذ النظر في تقريرها الدوري الرابع، على الصكوك الدولية الآتية: </w:t>
      </w:r>
    </w:p>
    <w:p w:rsidR="00E470AE" w:rsidRDefault="00E470AE" w:rsidP="00E470AE">
      <w:pPr>
        <w:pStyle w:val="SingleTxtGA"/>
        <w:rPr>
          <w:rFonts w:hint="cs"/>
          <w:rtl/>
        </w:rPr>
      </w:pPr>
      <w:r>
        <w:rPr>
          <w:rFonts w:hint="cs"/>
          <w:rtl/>
        </w:rPr>
        <w:tab/>
        <w:t>(أ)</w:t>
      </w:r>
      <w:r>
        <w:rPr>
          <w:rFonts w:hint="cs"/>
          <w:rtl/>
        </w:rPr>
        <w:tab/>
        <w:t>البروتوكول الاختياري الثاني الملحق بالعهد الدولي الخاص بالحقوق المدنية والسياسية والهادف إلى إلغاء عقوبة الإعدام (أيلول/سبتمبر 2007)؛</w:t>
      </w:r>
    </w:p>
    <w:p w:rsidR="00E470AE" w:rsidRDefault="00E470AE" w:rsidP="00E470AE">
      <w:pPr>
        <w:pStyle w:val="SingleTxtGA"/>
        <w:rPr>
          <w:rFonts w:hint="cs"/>
          <w:rtl/>
        </w:rPr>
      </w:pPr>
      <w:r>
        <w:rPr>
          <w:rFonts w:hint="cs"/>
          <w:rtl/>
        </w:rPr>
        <w:tab/>
        <w:t>(ب)</w:t>
      </w:r>
      <w:r>
        <w:rPr>
          <w:rFonts w:hint="cs"/>
          <w:rtl/>
        </w:rPr>
        <w:tab/>
        <w:t>اتفاقية حقوق الأشخاص ذوي الإعاقة وبروتوكولها الاختياري (كانون الأول/ديسمبر 2007)؛</w:t>
      </w:r>
    </w:p>
    <w:p w:rsidR="00E470AE" w:rsidRDefault="00E470AE" w:rsidP="002F691F">
      <w:pPr>
        <w:pStyle w:val="SingleTxtGA"/>
        <w:rPr>
          <w:rFonts w:hint="cs"/>
          <w:rtl/>
        </w:rPr>
      </w:pPr>
      <w:r>
        <w:rPr>
          <w:rFonts w:hint="cs"/>
          <w:rtl/>
        </w:rPr>
        <w:tab/>
        <w:t>(ج)</w:t>
      </w:r>
      <w:r>
        <w:rPr>
          <w:rFonts w:hint="cs"/>
          <w:rtl/>
        </w:rPr>
        <w:tab/>
        <w:t>الاتفاقية الدولية لحماية جميع الأشخ</w:t>
      </w:r>
      <w:r w:rsidR="002F691F">
        <w:rPr>
          <w:rFonts w:hint="cs"/>
          <w:rtl/>
        </w:rPr>
        <w:t xml:space="preserve">اص من الاختفاء القسري (آذار/ </w:t>
      </w:r>
      <w:r>
        <w:rPr>
          <w:rFonts w:hint="cs"/>
          <w:rtl/>
        </w:rPr>
        <w:t>مارس</w:t>
      </w:r>
      <w:r w:rsidR="002F691F">
        <w:rPr>
          <w:rFonts w:hint="eastAsia"/>
          <w:rtl/>
        </w:rPr>
        <w:t> </w:t>
      </w:r>
      <w:r>
        <w:rPr>
          <w:rFonts w:hint="cs"/>
          <w:rtl/>
        </w:rPr>
        <w:t xml:space="preserve">2008). </w:t>
      </w:r>
    </w:p>
    <w:p w:rsidR="00E470AE" w:rsidRDefault="000210D0" w:rsidP="000210D0">
      <w:pPr>
        <w:pStyle w:val="SingleTxtGA"/>
        <w:rPr>
          <w:rFonts w:hint="cs"/>
          <w:rtl/>
        </w:rPr>
      </w:pPr>
      <w:r>
        <w:rPr>
          <w:rFonts w:hint="cs"/>
          <w:rtl/>
        </w:rPr>
        <w:t>(</w:t>
      </w:r>
      <w:r w:rsidR="00E470AE">
        <w:rPr>
          <w:rFonts w:hint="cs"/>
          <w:rtl/>
        </w:rPr>
        <w:t>5</w:t>
      </w:r>
      <w:r>
        <w:rPr>
          <w:rFonts w:hint="cs"/>
          <w:rtl/>
        </w:rPr>
        <w:t>)</w:t>
      </w:r>
      <w:r w:rsidR="00E470AE">
        <w:rPr>
          <w:rFonts w:hint="cs"/>
          <w:rtl/>
        </w:rPr>
        <w:tab/>
        <w:t>وترحّب اللجنة بنشر الدولة الطرف، في أيار/مايو 2010، تقريراً عن زيارة اللجنة الفرعية المعنية بمناهضة التعذيب إلى المكسيك في أيلول/سبتمبر 2008 (</w:t>
      </w:r>
      <w:r w:rsidR="00E470AE">
        <w:t>CAT/OP/MEX/1</w:t>
      </w:r>
      <w:r w:rsidR="00E470AE">
        <w:rPr>
          <w:rFonts w:hint="cs"/>
          <w:rtl/>
        </w:rPr>
        <w:t>) مشفوعاً بردّ السلطات المكسيكية على توصيات اللجنة الفرعية وأسئلتها (</w:t>
      </w:r>
      <w:r w:rsidR="00E470AE">
        <w:t>CAT/OP/MEX/1/Add.1</w:t>
      </w:r>
      <w:r w:rsidR="00E470AE">
        <w:rPr>
          <w:rFonts w:hint="cs"/>
          <w:rtl/>
        </w:rPr>
        <w:t xml:space="preserve">). </w:t>
      </w:r>
    </w:p>
    <w:p w:rsidR="00E470AE" w:rsidRDefault="000210D0" w:rsidP="000210D0">
      <w:pPr>
        <w:pStyle w:val="SingleTxtGA"/>
        <w:rPr>
          <w:rFonts w:hint="cs"/>
          <w:rtl/>
        </w:rPr>
      </w:pPr>
      <w:r>
        <w:rPr>
          <w:rFonts w:hint="cs"/>
          <w:rtl/>
        </w:rPr>
        <w:t>(</w:t>
      </w:r>
      <w:r w:rsidR="00E470AE">
        <w:rPr>
          <w:rFonts w:hint="cs"/>
          <w:rtl/>
        </w:rPr>
        <w:t>6</w:t>
      </w:r>
      <w:r>
        <w:rPr>
          <w:rFonts w:hint="cs"/>
          <w:rtl/>
        </w:rPr>
        <w:t>)</w:t>
      </w:r>
      <w:r w:rsidR="00E470AE">
        <w:rPr>
          <w:rFonts w:hint="cs"/>
          <w:rtl/>
        </w:rPr>
        <w:tab/>
        <w:t>وتحيط اللجنة علماً بالخطوات التي اتخذتها الدولة الطرف لتعديل تشريعاتها، وعلى وجه الخصوص:</w:t>
      </w:r>
    </w:p>
    <w:p w:rsidR="00E470AE" w:rsidRDefault="00E470AE" w:rsidP="00E470AE">
      <w:pPr>
        <w:pStyle w:val="SingleTxtGA"/>
        <w:rPr>
          <w:rFonts w:hint="cs"/>
          <w:rtl/>
        </w:rPr>
      </w:pPr>
      <w:r>
        <w:rPr>
          <w:rFonts w:hint="cs"/>
          <w:rtl/>
        </w:rPr>
        <w:tab/>
        <w:t>(أ)</w:t>
      </w:r>
      <w:r>
        <w:rPr>
          <w:rFonts w:hint="cs"/>
          <w:rtl/>
        </w:rPr>
        <w:tab/>
        <w:t>اعتماد القانون العام المتعلق بتمتع النساء بحياة خالية من العنف في عام</w:t>
      </w:r>
      <w:r>
        <w:rPr>
          <w:rFonts w:hint="eastAsia"/>
          <w:rtl/>
        </w:rPr>
        <w:t> </w:t>
      </w:r>
      <w:r>
        <w:rPr>
          <w:rFonts w:hint="cs"/>
          <w:rtl/>
        </w:rPr>
        <w:t>2007، واعتماد لوائحه التنفيذية في عام 2008؛</w:t>
      </w:r>
    </w:p>
    <w:p w:rsidR="00E470AE" w:rsidRPr="009F2FC3" w:rsidRDefault="00E470AE" w:rsidP="00E470AE">
      <w:pPr>
        <w:pStyle w:val="SingleTxtGA"/>
        <w:rPr>
          <w:rFonts w:hint="cs"/>
          <w:spacing w:val="-4"/>
          <w:rtl/>
        </w:rPr>
      </w:pPr>
      <w:r w:rsidRPr="009F2FC3">
        <w:rPr>
          <w:rFonts w:hint="cs"/>
          <w:spacing w:val="-4"/>
          <w:rtl/>
        </w:rPr>
        <w:tab/>
        <w:t>(ب)</w:t>
      </w:r>
      <w:r w:rsidRPr="009F2FC3">
        <w:rPr>
          <w:rFonts w:hint="cs"/>
          <w:spacing w:val="-4"/>
          <w:rtl/>
        </w:rPr>
        <w:tab/>
        <w:t>إدخال إصلاحات دستورية على القضاء الجنائي ونظام الأمن العام في 18 حزيران/يونيه 2008 بهدف اعتماد نظام قضائي جنائي جديد قائم على مبدأ المحاكمة الحضورية؛</w:t>
      </w:r>
    </w:p>
    <w:p w:rsidR="00E470AE" w:rsidRDefault="00E470AE" w:rsidP="00E470AE">
      <w:pPr>
        <w:pStyle w:val="SingleTxtGA"/>
        <w:rPr>
          <w:rFonts w:hint="cs"/>
          <w:rtl/>
        </w:rPr>
      </w:pPr>
      <w:r>
        <w:rPr>
          <w:rFonts w:hint="cs"/>
          <w:rtl/>
        </w:rPr>
        <w:tab/>
        <w:t>(ج)</w:t>
      </w:r>
      <w:r>
        <w:rPr>
          <w:rFonts w:hint="cs"/>
          <w:rtl/>
        </w:rPr>
        <w:tab/>
        <w:t>سنّ قانون بشأن اللاجئين والحماية التكميلية وقانون الهجرة</w:t>
      </w:r>
      <w:r w:rsidRPr="008C06E8">
        <w:rPr>
          <w:rFonts w:hint="cs"/>
          <w:rtl/>
        </w:rPr>
        <w:t xml:space="preserve"> </w:t>
      </w:r>
      <w:r>
        <w:rPr>
          <w:rFonts w:hint="cs"/>
          <w:rtl/>
        </w:rPr>
        <w:t>في عام</w:t>
      </w:r>
      <w:r>
        <w:rPr>
          <w:rFonts w:hint="eastAsia"/>
          <w:rtl/>
        </w:rPr>
        <w:t> </w:t>
      </w:r>
      <w:r>
        <w:rPr>
          <w:rFonts w:hint="cs"/>
          <w:rtl/>
        </w:rPr>
        <w:t>2011؛</w:t>
      </w:r>
    </w:p>
    <w:p w:rsidR="00E470AE" w:rsidRDefault="00E470AE" w:rsidP="00E470AE">
      <w:pPr>
        <w:pStyle w:val="SingleTxtGA"/>
        <w:rPr>
          <w:rFonts w:hint="cs"/>
          <w:rtl/>
        </w:rPr>
      </w:pPr>
      <w:r w:rsidRPr="00F9697D">
        <w:rPr>
          <w:rFonts w:hint="cs"/>
          <w:spacing w:val="-4"/>
          <w:rtl/>
        </w:rPr>
        <w:tab/>
        <w:t>(د)</w:t>
      </w:r>
      <w:r w:rsidRPr="00F9697D">
        <w:rPr>
          <w:rFonts w:hint="cs"/>
          <w:spacing w:val="-4"/>
          <w:rtl/>
        </w:rPr>
        <w:tab/>
        <w:t>إدخال إصلاح دستوري بشأن حقوق الإنسان في 10 حزيران/يونيه</w:t>
      </w:r>
      <w:r>
        <w:rPr>
          <w:rFonts w:hint="cs"/>
          <w:rtl/>
        </w:rPr>
        <w:t xml:space="preserve"> 2011 من أجل إضفاء صفة الحق الدستوري على كل حقوق الإنسان المكفولة في المعاهدات الدولية التي صدّقت عليها الدولة الطرف؛</w:t>
      </w:r>
    </w:p>
    <w:p w:rsidR="00E470AE" w:rsidRDefault="00E470AE" w:rsidP="00E470AE">
      <w:pPr>
        <w:pStyle w:val="SingleTxtGA"/>
        <w:rPr>
          <w:rFonts w:hint="cs"/>
          <w:rtl/>
        </w:rPr>
      </w:pPr>
      <w:r>
        <w:rPr>
          <w:rFonts w:hint="cs"/>
          <w:rtl/>
        </w:rPr>
        <w:tab/>
        <w:t>(</w:t>
      </w:r>
      <w:r w:rsidRPr="00F9697D">
        <w:rPr>
          <w:rFonts w:hint="cs"/>
          <w:sz w:val="30"/>
          <w:rtl/>
        </w:rPr>
        <w:t>ﻫ</w:t>
      </w:r>
      <w:r>
        <w:rPr>
          <w:rFonts w:hint="cs"/>
          <w:rtl/>
        </w:rPr>
        <w:t>)</w:t>
      </w:r>
      <w:r>
        <w:rPr>
          <w:rFonts w:hint="cs"/>
          <w:rtl/>
        </w:rPr>
        <w:tab/>
        <w:t>سن القانون العام المتعلق بالحماية من جرائم الاتجار بالبشر والقضاء عليها ومعاقبة مرتكبيها وبحماية الضحايا ومساعدتهم</w:t>
      </w:r>
      <w:r w:rsidRPr="000B4641">
        <w:rPr>
          <w:rFonts w:hint="cs"/>
          <w:rtl/>
        </w:rPr>
        <w:t xml:space="preserve"> </w:t>
      </w:r>
      <w:r>
        <w:rPr>
          <w:rFonts w:hint="cs"/>
          <w:rtl/>
        </w:rPr>
        <w:t>في عام 2012 ؛</w:t>
      </w:r>
    </w:p>
    <w:p w:rsidR="00E470AE" w:rsidRDefault="00E470AE" w:rsidP="00E470AE">
      <w:pPr>
        <w:pStyle w:val="SingleTxtGA"/>
        <w:rPr>
          <w:rFonts w:hint="cs"/>
          <w:rtl/>
        </w:rPr>
      </w:pPr>
      <w:r>
        <w:rPr>
          <w:rFonts w:hint="cs"/>
          <w:rtl/>
        </w:rPr>
        <w:tab/>
        <w:t>(و)</w:t>
      </w:r>
      <w:r>
        <w:rPr>
          <w:rFonts w:hint="cs"/>
          <w:rtl/>
        </w:rPr>
        <w:tab/>
        <w:t>سن قانون حماية الصحفيين والمدافعين عن حقوق الإنسان في عام 2012.</w:t>
      </w:r>
    </w:p>
    <w:p w:rsidR="00E470AE" w:rsidRDefault="000210D0" w:rsidP="000210D0">
      <w:pPr>
        <w:pStyle w:val="SingleTxtGA"/>
        <w:rPr>
          <w:rFonts w:hint="cs"/>
          <w:rtl/>
        </w:rPr>
      </w:pPr>
      <w:r>
        <w:rPr>
          <w:rFonts w:hint="cs"/>
          <w:rtl/>
        </w:rPr>
        <w:t>(</w:t>
      </w:r>
      <w:r w:rsidR="00E470AE">
        <w:rPr>
          <w:rFonts w:hint="cs"/>
          <w:rtl/>
        </w:rPr>
        <w:t>7</w:t>
      </w:r>
      <w:r>
        <w:rPr>
          <w:rFonts w:hint="cs"/>
          <w:rtl/>
        </w:rPr>
        <w:t>)</w:t>
      </w:r>
      <w:r w:rsidR="00E470AE">
        <w:rPr>
          <w:rFonts w:hint="cs"/>
          <w:rtl/>
        </w:rPr>
        <w:tab/>
        <w:t>وتشيد اللجنة أيضاً بالخطوات التي اتخذتها الدولة الطرف لتعديل سياساتها وإجراءاتها قصد تعزيز حماية حقوق الإنسان وتطبيق الاتفاقية. وفي هذا الصدد، تحيط اللجنة علماً، على وجه الخصوص، بالتدابير التالية:</w:t>
      </w:r>
    </w:p>
    <w:p w:rsidR="00E470AE" w:rsidRDefault="00E470AE" w:rsidP="00E470AE">
      <w:pPr>
        <w:pStyle w:val="SingleTxtGA"/>
        <w:rPr>
          <w:rFonts w:hint="cs"/>
          <w:rtl/>
        </w:rPr>
      </w:pPr>
      <w:r>
        <w:rPr>
          <w:rFonts w:hint="cs"/>
          <w:rtl/>
        </w:rPr>
        <w:tab/>
        <w:t>(أ)</w:t>
      </w:r>
      <w:r>
        <w:rPr>
          <w:rFonts w:hint="cs"/>
          <w:rtl/>
        </w:rPr>
        <w:tab/>
        <w:t>اعتماد البرنامج الوطني لحقوق الإنسان للفترة 2008-2012؛</w:t>
      </w:r>
    </w:p>
    <w:p w:rsidR="00E470AE" w:rsidRDefault="00E470AE" w:rsidP="00E470AE">
      <w:pPr>
        <w:pStyle w:val="SingleTxtGA"/>
        <w:rPr>
          <w:rFonts w:hint="cs"/>
          <w:rtl/>
        </w:rPr>
      </w:pPr>
      <w:r>
        <w:rPr>
          <w:rFonts w:hint="cs"/>
          <w:rtl/>
        </w:rPr>
        <w:tab/>
        <w:t>(ب)</w:t>
      </w:r>
      <w:r>
        <w:rPr>
          <w:rFonts w:hint="cs"/>
          <w:rtl/>
        </w:rPr>
        <w:tab/>
        <w:t>اعتماد استراتيجية إدارة السجون للفترة 2008-2012؛</w:t>
      </w:r>
    </w:p>
    <w:p w:rsidR="00E470AE" w:rsidRDefault="00E470AE" w:rsidP="00E470AE">
      <w:pPr>
        <w:pStyle w:val="SingleTxtGA"/>
        <w:rPr>
          <w:rFonts w:hint="cs"/>
          <w:rtl/>
        </w:rPr>
      </w:pPr>
      <w:r>
        <w:rPr>
          <w:rFonts w:hint="cs"/>
          <w:rtl/>
        </w:rPr>
        <w:tab/>
        <w:t>(ج)</w:t>
      </w:r>
      <w:r>
        <w:rPr>
          <w:rFonts w:hint="cs"/>
          <w:rtl/>
        </w:rPr>
        <w:tab/>
        <w:t>الموافقة على البرنامج الوطني لمكافحة الاتجار بالبشر ومعاقبة المتجرين للفترة</w:t>
      </w:r>
      <w:r>
        <w:rPr>
          <w:rFonts w:hint="eastAsia"/>
          <w:rtl/>
        </w:rPr>
        <w:t> </w:t>
      </w:r>
      <w:r>
        <w:rPr>
          <w:rFonts w:hint="cs"/>
          <w:rtl/>
        </w:rPr>
        <w:t>2010-2012.</w:t>
      </w:r>
    </w:p>
    <w:p w:rsidR="00E470AE" w:rsidRPr="000210D0" w:rsidRDefault="009F2FC3" w:rsidP="009F2FC3">
      <w:pPr>
        <w:pStyle w:val="H23GA"/>
        <w:tabs>
          <w:tab w:val="left" w:pos="1926"/>
        </w:tabs>
        <w:rPr>
          <w:rFonts w:hint="cs"/>
          <w:rtl/>
        </w:rPr>
      </w:pPr>
      <w:r>
        <w:rPr>
          <w:rFonts w:hint="cs"/>
          <w:rtl/>
        </w:rPr>
        <w:tab/>
      </w:r>
      <w:r>
        <w:rPr>
          <w:rFonts w:hint="cs"/>
          <w:rtl/>
        </w:rPr>
        <w:tab/>
      </w:r>
      <w:r w:rsidR="00E470AE" w:rsidRPr="000210D0">
        <w:rPr>
          <w:rFonts w:hint="cs"/>
          <w:rtl/>
        </w:rPr>
        <w:t>جيم-</w:t>
      </w:r>
      <w:r w:rsidR="00E470AE" w:rsidRPr="000210D0">
        <w:rPr>
          <w:rFonts w:hint="cs"/>
          <w:rtl/>
        </w:rPr>
        <w:tab/>
        <w:t>دواعي القلق الرئيسية والتوصيات</w:t>
      </w:r>
    </w:p>
    <w:p w:rsidR="00E470AE" w:rsidRDefault="00E470AE" w:rsidP="000210D0">
      <w:pPr>
        <w:pStyle w:val="H23GA"/>
        <w:rPr>
          <w:rFonts w:hint="cs"/>
          <w:rtl/>
        </w:rPr>
      </w:pPr>
      <w:r>
        <w:rPr>
          <w:rFonts w:hint="cs"/>
          <w:rtl/>
        </w:rPr>
        <w:tab/>
      </w:r>
      <w:r>
        <w:rPr>
          <w:rFonts w:hint="cs"/>
          <w:rtl/>
        </w:rPr>
        <w:tab/>
        <w:t>تعريف جريمة التعذيب</w:t>
      </w:r>
    </w:p>
    <w:p w:rsidR="00E470AE" w:rsidRDefault="000210D0" w:rsidP="000210D0">
      <w:pPr>
        <w:pStyle w:val="SingleTxtGA"/>
        <w:rPr>
          <w:rFonts w:hint="cs"/>
        </w:rPr>
      </w:pPr>
      <w:r>
        <w:rPr>
          <w:rFonts w:hint="cs"/>
          <w:rtl/>
        </w:rPr>
        <w:t>(</w:t>
      </w:r>
      <w:r w:rsidR="00E470AE">
        <w:rPr>
          <w:rFonts w:hint="cs"/>
          <w:rtl/>
        </w:rPr>
        <w:t>8</w:t>
      </w:r>
      <w:r>
        <w:rPr>
          <w:rFonts w:hint="cs"/>
          <w:rtl/>
        </w:rPr>
        <w:t>)</w:t>
      </w:r>
      <w:r w:rsidR="00E470AE">
        <w:rPr>
          <w:rFonts w:hint="cs"/>
          <w:rtl/>
        </w:rPr>
        <w:tab/>
        <w:t>تلاحظ اللجنة أن القانون الاتحادي المتعلق بمنع التعذيب والمعاقبة عليه يُعرّف التعذيب تعريفاً لا يعكس كلياً التعريف المنصوص عليه في المادة 1 من الاتفاقية. وتلاحظ أن تعريف جريمة التعذيب وعقوباتها على صعيد الولاية لا تتوافق كلياً في معظم الحالات مع المادتين 1 و4 من الاتفاقية. وفي ولاية غيريرو ما زال تعريف جريمة التعذيب منصوصاً عليه في قانون لا يدخل في نطاق القانون الجنائي كما أشارت إلى ذلك اللجنة في ملاحظاتها الختامية السابقة (</w:t>
      </w:r>
      <w:r w:rsidR="00E470AE">
        <w:t>CAT/C/MEX/CO/4</w:t>
      </w:r>
      <w:r w:rsidR="00E470AE">
        <w:rPr>
          <w:rFonts w:hint="cs"/>
          <w:rtl/>
        </w:rPr>
        <w:t>). وفي المقابل، تلاحظ اللجنة كذلك وجود أربعة اقتراحات لتعديل القانون الجنائي فيما يتعلق بعدم تقادم جرائم خطيرة عديدة منها جريمة التعذيب (المادتان 1 و4).</w:t>
      </w:r>
    </w:p>
    <w:p w:rsidR="00E470AE" w:rsidRPr="004F6BDD" w:rsidRDefault="00E470AE" w:rsidP="000210D0">
      <w:pPr>
        <w:pStyle w:val="SingleTxtGA"/>
        <w:keepNext/>
        <w:keepLines/>
        <w:rPr>
          <w:rFonts w:hint="cs"/>
          <w:b/>
          <w:bCs/>
          <w:rtl/>
        </w:rPr>
      </w:pPr>
      <w:r>
        <w:rPr>
          <w:rFonts w:hint="cs"/>
          <w:b/>
          <w:bCs/>
          <w:rtl/>
        </w:rPr>
        <w:tab/>
      </w:r>
      <w:r w:rsidRPr="004F6BDD">
        <w:rPr>
          <w:rFonts w:hint="cs"/>
          <w:b/>
          <w:bCs/>
          <w:rtl/>
        </w:rPr>
        <w:t>في ضوء الملاحظات الختامية السابقة تحث اللجنة الدولة الطرف على ما يلي:</w:t>
      </w:r>
    </w:p>
    <w:p w:rsidR="00E470AE" w:rsidRPr="004F6BDD" w:rsidRDefault="00E470AE" w:rsidP="000C1F8B">
      <w:pPr>
        <w:pStyle w:val="SingleTxtGA"/>
        <w:spacing w:line="370" w:lineRule="exact"/>
        <w:rPr>
          <w:rFonts w:hint="cs"/>
          <w:b/>
          <w:bCs/>
          <w:rtl/>
        </w:rPr>
      </w:pPr>
      <w:r>
        <w:rPr>
          <w:rFonts w:hint="cs"/>
          <w:b/>
          <w:bCs/>
          <w:rtl/>
        </w:rPr>
        <w:tab/>
        <w:t>(أ)</w:t>
      </w:r>
      <w:r>
        <w:rPr>
          <w:rFonts w:hint="cs"/>
          <w:b/>
          <w:bCs/>
          <w:rtl/>
        </w:rPr>
        <w:tab/>
      </w:r>
      <w:r w:rsidRPr="004F6BDD">
        <w:rPr>
          <w:rFonts w:hint="cs"/>
          <w:b/>
          <w:bCs/>
          <w:rtl/>
        </w:rPr>
        <w:t xml:space="preserve">تعديل القانون الاتحادي المتعلق </w:t>
      </w:r>
      <w:r>
        <w:rPr>
          <w:rFonts w:hint="cs"/>
          <w:b/>
          <w:bCs/>
          <w:rtl/>
        </w:rPr>
        <w:t xml:space="preserve">بمنع التعذيب والمعاقبة عليه بحيث </w:t>
      </w:r>
      <w:r w:rsidRPr="004F6BDD">
        <w:rPr>
          <w:rFonts w:hint="cs"/>
          <w:b/>
          <w:bCs/>
          <w:rtl/>
        </w:rPr>
        <w:t xml:space="preserve">يشمل تعريف التعذيب الوارد في المادة 3 من القانون كل العناصر المنصوص عليها في المادة 1 من </w:t>
      </w:r>
      <w:r>
        <w:rPr>
          <w:rFonts w:hint="cs"/>
          <w:b/>
          <w:bCs/>
          <w:rtl/>
        </w:rPr>
        <w:t>الاتفاقية، بما في ذلك: ‘1‘ أعمال</w:t>
      </w:r>
      <w:r w:rsidRPr="004F6BDD">
        <w:rPr>
          <w:rFonts w:hint="cs"/>
          <w:b/>
          <w:bCs/>
          <w:rtl/>
        </w:rPr>
        <w:t xml:space="preserve"> التعذيب </w:t>
      </w:r>
      <w:r>
        <w:rPr>
          <w:rFonts w:hint="cs"/>
          <w:b/>
          <w:bCs/>
          <w:rtl/>
        </w:rPr>
        <w:t>التي يرتكبها</w:t>
      </w:r>
      <w:r w:rsidRPr="004F6BDD">
        <w:rPr>
          <w:rFonts w:hint="cs"/>
          <w:b/>
          <w:bCs/>
          <w:rtl/>
        </w:rPr>
        <w:t xml:space="preserve"> شخص ثالث </w:t>
      </w:r>
      <w:r>
        <w:rPr>
          <w:rFonts w:hint="cs"/>
          <w:b/>
          <w:bCs/>
          <w:rtl/>
        </w:rPr>
        <w:t>و</w:t>
      </w:r>
      <w:r w:rsidRPr="004F6BDD">
        <w:rPr>
          <w:rFonts w:hint="cs"/>
          <w:b/>
          <w:bCs/>
          <w:rtl/>
        </w:rPr>
        <w:t>يحرض عليها أو ي</w:t>
      </w:r>
      <w:r>
        <w:rPr>
          <w:rFonts w:hint="cs"/>
          <w:b/>
          <w:bCs/>
          <w:rtl/>
        </w:rPr>
        <w:t>قبل</w:t>
      </w:r>
      <w:r w:rsidRPr="004F6BDD">
        <w:rPr>
          <w:rFonts w:hint="cs"/>
          <w:b/>
          <w:bCs/>
          <w:rtl/>
        </w:rPr>
        <w:t>ها أو يسكت عنها موظف رسمي؛ و</w:t>
      </w:r>
      <w:r>
        <w:rPr>
          <w:rFonts w:hint="cs"/>
          <w:b/>
          <w:bCs/>
          <w:rtl/>
        </w:rPr>
        <w:t>‘</w:t>
      </w:r>
      <w:r w:rsidRPr="004F6BDD">
        <w:rPr>
          <w:rFonts w:hint="cs"/>
          <w:b/>
          <w:bCs/>
          <w:rtl/>
        </w:rPr>
        <w:t xml:space="preserve">2‘ أعمال التعذيب </w:t>
      </w:r>
      <w:r>
        <w:rPr>
          <w:rFonts w:hint="cs"/>
          <w:b/>
          <w:bCs/>
          <w:rtl/>
        </w:rPr>
        <w:t xml:space="preserve">القائمة على </w:t>
      </w:r>
      <w:r w:rsidRPr="004F6BDD">
        <w:rPr>
          <w:rFonts w:hint="cs"/>
          <w:b/>
          <w:bCs/>
          <w:rtl/>
        </w:rPr>
        <w:t xml:space="preserve">أي </w:t>
      </w:r>
      <w:r>
        <w:rPr>
          <w:rFonts w:hint="cs"/>
          <w:b/>
          <w:bCs/>
          <w:rtl/>
        </w:rPr>
        <w:t>أساس من أسس</w:t>
      </w:r>
      <w:r w:rsidRPr="004F6BDD">
        <w:rPr>
          <w:rFonts w:hint="cs"/>
          <w:b/>
          <w:bCs/>
          <w:rtl/>
        </w:rPr>
        <w:t xml:space="preserve"> التمييز أي</w:t>
      </w:r>
      <w:r>
        <w:rPr>
          <w:rFonts w:hint="cs"/>
          <w:b/>
          <w:bCs/>
          <w:rtl/>
        </w:rPr>
        <w:t xml:space="preserve">اً </w:t>
      </w:r>
      <w:r w:rsidRPr="004F6BDD">
        <w:rPr>
          <w:rFonts w:hint="cs"/>
          <w:b/>
          <w:bCs/>
          <w:rtl/>
        </w:rPr>
        <w:t>كان نوعه؛</w:t>
      </w:r>
    </w:p>
    <w:p w:rsidR="00E470AE" w:rsidRPr="004F6BDD" w:rsidRDefault="00E470AE" w:rsidP="000C1F8B">
      <w:pPr>
        <w:pStyle w:val="SingleTxtGA"/>
        <w:spacing w:line="370" w:lineRule="exact"/>
        <w:rPr>
          <w:rFonts w:hint="cs"/>
          <w:b/>
          <w:bCs/>
        </w:rPr>
      </w:pPr>
      <w:r>
        <w:rPr>
          <w:rFonts w:hint="cs"/>
          <w:b/>
          <w:bCs/>
          <w:rtl/>
        </w:rPr>
        <w:tab/>
        <w:t>(ب)</w:t>
      </w:r>
      <w:r>
        <w:rPr>
          <w:rFonts w:hint="cs"/>
          <w:b/>
          <w:bCs/>
          <w:rtl/>
        </w:rPr>
        <w:tab/>
      </w:r>
      <w:r w:rsidRPr="004F6BDD">
        <w:rPr>
          <w:rFonts w:hint="cs"/>
          <w:b/>
          <w:bCs/>
          <w:rtl/>
        </w:rPr>
        <w:t>ضمان</w:t>
      </w:r>
      <w:r>
        <w:rPr>
          <w:rFonts w:hint="cs"/>
          <w:b/>
          <w:bCs/>
          <w:rtl/>
        </w:rPr>
        <w:t xml:space="preserve"> تطابق </w:t>
      </w:r>
      <w:r w:rsidRPr="004F6BDD">
        <w:rPr>
          <w:rFonts w:hint="cs"/>
          <w:b/>
          <w:bCs/>
          <w:rtl/>
        </w:rPr>
        <w:t>تعريف جريمة التعذيب عل</w:t>
      </w:r>
      <w:r>
        <w:rPr>
          <w:rFonts w:hint="cs"/>
          <w:b/>
          <w:bCs/>
          <w:rtl/>
        </w:rPr>
        <w:t>ى صعيد الولاية</w:t>
      </w:r>
      <w:r w:rsidRPr="004F6BDD">
        <w:rPr>
          <w:rFonts w:hint="cs"/>
          <w:b/>
          <w:bCs/>
          <w:rtl/>
        </w:rPr>
        <w:t xml:space="preserve"> مع التعريف المنصوص عليه في المادة 1 من الاتفاقية</w:t>
      </w:r>
      <w:r>
        <w:rPr>
          <w:rFonts w:hint="cs"/>
          <w:b/>
          <w:bCs/>
          <w:rtl/>
        </w:rPr>
        <w:t>،</w:t>
      </w:r>
      <w:r w:rsidRPr="004F6BDD">
        <w:rPr>
          <w:rFonts w:hint="cs"/>
          <w:b/>
          <w:bCs/>
          <w:rtl/>
        </w:rPr>
        <w:t xml:space="preserve"> و</w:t>
      </w:r>
      <w:r>
        <w:rPr>
          <w:rFonts w:hint="cs"/>
          <w:b/>
          <w:bCs/>
          <w:rtl/>
        </w:rPr>
        <w:t xml:space="preserve">تضمنه </w:t>
      </w:r>
      <w:r w:rsidRPr="004F6BDD">
        <w:rPr>
          <w:rFonts w:hint="cs"/>
          <w:b/>
          <w:bCs/>
          <w:rtl/>
        </w:rPr>
        <w:t xml:space="preserve">عقوبات </w:t>
      </w:r>
      <w:r>
        <w:rPr>
          <w:rFonts w:hint="cs"/>
          <w:b/>
          <w:bCs/>
          <w:rtl/>
        </w:rPr>
        <w:t>تتناسب مع خطورة الجريمة</w:t>
      </w:r>
      <w:r w:rsidRPr="004F6BDD">
        <w:rPr>
          <w:rFonts w:hint="cs"/>
          <w:b/>
          <w:bCs/>
          <w:rtl/>
        </w:rPr>
        <w:t xml:space="preserve"> </w:t>
      </w:r>
      <w:r>
        <w:rPr>
          <w:rFonts w:hint="cs"/>
          <w:b/>
          <w:bCs/>
          <w:rtl/>
        </w:rPr>
        <w:t>عملاً ب</w:t>
      </w:r>
      <w:r w:rsidRPr="004F6BDD">
        <w:rPr>
          <w:rFonts w:hint="cs"/>
          <w:b/>
          <w:bCs/>
          <w:rtl/>
        </w:rPr>
        <w:t>المادة 4 من الاتفاقية؛</w:t>
      </w:r>
    </w:p>
    <w:p w:rsidR="00E470AE" w:rsidRPr="002419C5" w:rsidRDefault="00E470AE" w:rsidP="000C1F8B">
      <w:pPr>
        <w:pStyle w:val="SingleTxtGA"/>
        <w:spacing w:line="370" w:lineRule="exact"/>
        <w:rPr>
          <w:rFonts w:hint="cs"/>
          <w:b/>
          <w:bCs/>
          <w:rtl/>
        </w:rPr>
      </w:pPr>
      <w:r>
        <w:rPr>
          <w:rFonts w:hint="cs"/>
          <w:b/>
          <w:bCs/>
          <w:rtl/>
        </w:rPr>
        <w:tab/>
      </w:r>
      <w:r w:rsidRPr="002419C5">
        <w:rPr>
          <w:rFonts w:hint="cs"/>
          <w:b/>
          <w:bCs/>
          <w:rtl/>
        </w:rPr>
        <w:t>(ج)</w:t>
      </w:r>
      <w:r>
        <w:rPr>
          <w:rFonts w:hint="cs"/>
          <w:b/>
          <w:bCs/>
          <w:rtl/>
        </w:rPr>
        <w:tab/>
      </w:r>
      <w:r w:rsidRPr="002419C5">
        <w:rPr>
          <w:rFonts w:hint="cs"/>
          <w:b/>
          <w:bCs/>
          <w:rtl/>
        </w:rPr>
        <w:t>إدراج جريمة التعذيب في القانون الجنائي لولاية غيريرو؛</w:t>
      </w:r>
    </w:p>
    <w:p w:rsidR="00E470AE" w:rsidRPr="002419C5" w:rsidRDefault="00E470AE" w:rsidP="000C1F8B">
      <w:pPr>
        <w:pStyle w:val="SingleTxtGA"/>
        <w:spacing w:line="370" w:lineRule="exact"/>
        <w:rPr>
          <w:rFonts w:hint="cs"/>
          <w:b/>
          <w:bCs/>
          <w:rtl/>
        </w:rPr>
      </w:pPr>
      <w:r>
        <w:rPr>
          <w:rFonts w:hint="cs"/>
          <w:b/>
          <w:bCs/>
          <w:rtl/>
        </w:rPr>
        <w:tab/>
      </w:r>
      <w:r w:rsidRPr="002419C5">
        <w:rPr>
          <w:rFonts w:hint="cs"/>
          <w:b/>
          <w:bCs/>
          <w:rtl/>
        </w:rPr>
        <w:t>(د)</w:t>
      </w:r>
      <w:r>
        <w:rPr>
          <w:rFonts w:hint="cs"/>
          <w:b/>
          <w:bCs/>
          <w:rtl/>
        </w:rPr>
        <w:tab/>
      </w:r>
      <w:r w:rsidRPr="002419C5">
        <w:rPr>
          <w:rFonts w:hint="cs"/>
          <w:b/>
          <w:bCs/>
          <w:rtl/>
        </w:rPr>
        <w:t xml:space="preserve">ضمان عدم تقادم جرائم التعذيب. </w:t>
      </w:r>
    </w:p>
    <w:p w:rsidR="00E470AE" w:rsidRPr="00C14E68" w:rsidRDefault="00E470AE" w:rsidP="000C1F8B">
      <w:pPr>
        <w:pStyle w:val="H23GA"/>
        <w:spacing w:line="370" w:lineRule="exact"/>
        <w:rPr>
          <w:rFonts w:hint="cs"/>
        </w:rPr>
      </w:pPr>
      <w:r>
        <w:rPr>
          <w:rFonts w:hint="cs"/>
          <w:rtl/>
        </w:rPr>
        <w:tab/>
      </w:r>
      <w:r>
        <w:rPr>
          <w:rFonts w:hint="cs"/>
          <w:rtl/>
        </w:rPr>
        <w:tab/>
      </w:r>
      <w:r w:rsidRPr="00C14E68">
        <w:rPr>
          <w:rFonts w:hint="cs"/>
          <w:rtl/>
        </w:rPr>
        <w:t>الضمانات القانونية الأساسية</w:t>
      </w:r>
    </w:p>
    <w:p w:rsidR="00E470AE" w:rsidRDefault="000210D0" w:rsidP="000C1F8B">
      <w:pPr>
        <w:pStyle w:val="SingleTxtGA"/>
        <w:spacing w:line="370" w:lineRule="exact"/>
        <w:rPr>
          <w:rFonts w:hint="cs"/>
        </w:rPr>
      </w:pPr>
      <w:r>
        <w:rPr>
          <w:rFonts w:hint="cs"/>
          <w:rtl/>
        </w:rPr>
        <w:t>(</w:t>
      </w:r>
      <w:r w:rsidR="00E470AE">
        <w:rPr>
          <w:rFonts w:hint="cs"/>
          <w:rtl/>
        </w:rPr>
        <w:t>9</w:t>
      </w:r>
      <w:r>
        <w:rPr>
          <w:rFonts w:hint="cs"/>
          <w:rtl/>
        </w:rPr>
        <w:t>)</w:t>
      </w:r>
      <w:r w:rsidR="00E470AE">
        <w:rPr>
          <w:rFonts w:hint="cs"/>
          <w:rtl/>
        </w:rPr>
        <w:tab/>
        <w:t>تحيط اللجنة علماً بقيام السلطات المكسيكية في نيسان/أبريل 2012 بنشر البروتوكولات المتعلقة باستخدام القوة والحفاظ على الأدلة ومثول المحتجزين أمام القاضي، لكنها تعرب عن قلقها إزاء التقارير التي تفيد بأن الدولة الطرف لا تضمن من الناحية العملية انتفاع جميع الأشخاص المحتجزين بكل الضمانات القانونية الأساسية حال احتجازهم. كما تعرب عن قلقها إزاء التقارير التي تفيد بمنع المحتجزين، في أغلب الأحيان، من الاتصال السريع بمحام ومن الخضوع لفحص طبي مستقل ومن الحق في إخطار أحد الأقارب بتوقيفهم والحق في المثول بسرعة أمام قاض. وتعرب اللجنة عن أسفها لأن الدولة الطرف لم تزودها بمعلومات رسمية عن الإجراءات التأديبية أو القضائية المتخذة فيما يتعلق بالتأخير غير المبرر في عرض المحتجزين على النيابة العامة فور توقيفهم (المادة 2).</w:t>
      </w:r>
    </w:p>
    <w:p w:rsidR="00E470AE" w:rsidRPr="000C1F8B" w:rsidRDefault="00E470AE" w:rsidP="000C1F8B">
      <w:pPr>
        <w:pStyle w:val="SingleTxtGA"/>
        <w:spacing w:line="370" w:lineRule="exact"/>
        <w:rPr>
          <w:rFonts w:ascii="Times New Roman Bold" w:hAnsi="Times New Roman Bold" w:hint="cs"/>
          <w:b/>
          <w:bCs/>
          <w:spacing w:val="-2"/>
          <w:rtl/>
        </w:rPr>
      </w:pPr>
      <w:r w:rsidRPr="000C1F8B">
        <w:rPr>
          <w:rFonts w:ascii="Times New Roman Bold" w:hAnsi="Times New Roman Bold" w:hint="cs"/>
          <w:b/>
          <w:bCs/>
          <w:spacing w:val="-2"/>
          <w:rtl/>
        </w:rPr>
        <w:tab/>
        <w:t>ينبغي للدولة الطرف أن تسرع في اتخاذ تدابير فعالة لضمان استفادة الشخص حال احتجازه من الضمانات القانونية الأساسية، بما فيها تلك المنصوص عليها في الفقرتين</w:t>
      </w:r>
      <w:r w:rsidRPr="000C1F8B">
        <w:rPr>
          <w:rFonts w:ascii="Times New Roman Bold" w:hAnsi="Times New Roman Bold" w:hint="eastAsia"/>
          <w:b/>
          <w:bCs/>
          <w:spacing w:val="-2"/>
          <w:rtl/>
        </w:rPr>
        <w:t> </w:t>
      </w:r>
      <w:r w:rsidRPr="000C1F8B">
        <w:rPr>
          <w:rFonts w:ascii="Times New Roman Bold" w:hAnsi="Times New Roman Bold" w:hint="cs"/>
          <w:b/>
          <w:bCs/>
          <w:spacing w:val="-2"/>
          <w:rtl/>
        </w:rPr>
        <w:t xml:space="preserve">13 و14 من تعليق اللجنة العام </w:t>
      </w:r>
      <w:r w:rsidR="00CB11DE" w:rsidRPr="000C1F8B">
        <w:rPr>
          <w:rFonts w:ascii="Times New Roman Bold" w:hAnsi="Times New Roman Bold" w:hint="cs"/>
          <w:b/>
          <w:bCs/>
          <w:spacing w:val="-2"/>
          <w:rtl/>
        </w:rPr>
        <w:t>رقم 2 (2007)</w:t>
      </w:r>
      <w:r w:rsidRPr="000C1F8B">
        <w:rPr>
          <w:rFonts w:ascii="Times New Roman Bold" w:hAnsi="Times New Roman Bold" w:hint="cs"/>
          <w:b/>
          <w:bCs/>
          <w:spacing w:val="-2"/>
          <w:rtl/>
        </w:rPr>
        <w:t xml:space="preserve"> بشأن تنفيذ الدول الأطراف للمادة</w:t>
      </w:r>
      <w:r w:rsidRPr="000C1F8B">
        <w:rPr>
          <w:rFonts w:ascii="Times New Roman Bold" w:hAnsi="Times New Roman Bold" w:hint="eastAsia"/>
          <w:b/>
          <w:bCs/>
          <w:spacing w:val="-2"/>
          <w:rtl/>
        </w:rPr>
        <w:t> </w:t>
      </w:r>
      <w:r w:rsidRPr="000C1F8B">
        <w:rPr>
          <w:rFonts w:ascii="Times New Roman Bold" w:hAnsi="Times New Roman Bold" w:hint="cs"/>
          <w:b/>
          <w:bCs/>
          <w:spacing w:val="-2"/>
          <w:rtl/>
        </w:rPr>
        <w:t>2.</w:t>
      </w:r>
    </w:p>
    <w:p w:rsidR="00E470AE" w:rsidRPr="002E0240" w:rsidRDefault="00E470AE" w:rsidP="000C1F8B">
      <w:pPr>
        <w:pStyle w:val="H23GA"/>
        <w:spacing w:line="370" w:lineRule="exact"/>
        <w:rPr>
          <w:rFonts w:hint="cs"/>
          <w:rtl/>
        </w:rPr>
      </w:pPr>
      <w:r>
        <w:rPr>
          <w:rFonts w:hint="cs"/>
          <w:rtl/>
        </w:rPr>
        <w:tab/>
      </w:r>
      <w:r>
        <w:rPr>
          <w:rFonts w:hint="cs"/>
          <w:rtl/>
        </w:rPr>
        <w:tab/>
      </w:r>
      <w:r w:rsidRPr="002E0240">
        <w:rPr>
          <w:rFonts w:hint="cs"/>
          <w:rtl/>
        </w:rPr>
        <w:t>ادعاءات التعذيب والاحتجاز التعسفي</w:t>
      </w:r>
    </w:p>
    <w:p w:rsidR="00E470AE" w:rsidRPr="000C1F8B" w:rsidRDefault="000C1F8B" w:rsidP="000C1F8B">
      <w:pPr>
        <w:pStyle w:val="SingleTxtGA"/>
        <w:spacing w:line="370" w:lineRule="exact"/>
        <w:rPr>
          <w:rFonts w:hint="cs"/>
          <w:spacing w:val="-2"/>
        </w:rPr>
      </w:pPr>
      <w:r w:rsidRPr="000C1F8B">
        <w:rPr>
          <w:rFonts w:hint="cs"/>
          <w:spacing w:val="-2"/>
          <w:rtl/>
        </w:rPr>
        <w:t>(</w:t>
      </w:r>
      <w:r w:rsidR="00E470AE" w:rsidRPr="000C1F8B">
        <w:rPr>
          <w:rFonts w:hint="cs"/>
          <w:spacing w:val="-2"/>
          <w:rtl/>
        </w:rPr>
        <w:t>10</w:t>
      </w:r>
      <w:r w:rsidRPr="000C1F8B">
        <w:rPr>
          <w:rFonts w:hint="cs"/>
          <w:spacing w:val="-2"/>
          <w:rtl/>
        </w:rPr>
        <w:t>)</w:t>
      </w:r>
      <w:r w:rsidR="00E470AE" w:rsidRPr="000C1F8B">
        <w:rPr>
          <w:rFonts w:hint="cs"/>
          <w:spacing w:val="-2"/>
          <w:rtl/>
        </w:rPr>
        <w:tab/>
        <w:t>تعرب اللجنة عن قلقها إزاء ما وردها من تقارير بشأن الزيادة المذهلة في اللجوء إلى التعذيب عند استجواب الأشخاص الذين تحتجزهم تعسفاً أفراد القوات المسلحة أو وكالات الأمن الحكومية خلال عمليات مشتركة لمكافحة الجريمة المنظّمة. كما تُعرب عن قلقها الشديد إزاء التقارير المتواترة التي تفيد بتعرض المحتجزين قبل إحالتهم إلى المدعي العام للتعذيب ولسوء المعاملة قصد إجبارهم على الإدلاء بأقوال وبيانات يدينون فيها أنفسهم وتستخدم لاحقاً للتستر على التجاوزات المرتكبة خلال فترة احتجازهم (المواد 2 و11</w:t>
      </w:r>
      <w:r w:rsidR="00E470AE" w:rsidRPr="000C1F8B">
        <w:rPr>
          <w:rFonts w:hint="eastAsia"/>
          <w:spacing w:val="-2"/>
          <w:rtl/>
        </w:rPr>
        <w:t> </w:t>
      </w:r>
      <w:r w:rsidR="00E470AE" w:rsidRPr="000C1F8B">
        <w:rPr>
          <w:rFonts w:hint="cs"/>
          <w:spacing w:val="-2"/>
          <w:rtl/>
        </w:rPr>
        <w:t>و15).</w:t>
      </w:r>
    </w:p>
    <w:p w:rsidR="00E470AE" w:rsidRPr="00CC3EEA" w:rsidRDefault="00E470AE" w:rsidP="00E470AE">
      <w:pPr>
        <w:pStyle w:val="SingleTxtGA"/>
        <w:rPr>
          <w:rFonts w:hint="cs"/>
          <w:b/>
          <w:bCs/>
          <w:rtl/>
        </w:rPr>
      </w:pPr>
      <w:r>
        <w:rPr>
          <w:rFonts w:hint="cs"/>
          <w:b/>
          <w:bCs/>
          <w:rtl/>
        </w:rPr>
        <w:tab/>
      </w:r>
      <w:r w:rsidRPr="00CC3EEA">
        <w:rPr>
          <w:rFonts w:hint="cs"/>
          <w:b/>
          <w:bCs/>
          <w:rtl/>
        </w:rPr>
        <w:t>ينبغي للدولة الطرف أن تقوم بما يلي:</w:t>
      </w:r>
    </w:p>
    <w:p w:rsidR="00E470AE" w:rsidRPr="00CC3EEA" w:rsidRDefault="00E470AE" w:rsidP="00E470AE">
      <w:pPr>
        <w:pStyle w:val="SingleTxtGA"/>
        <w:rPr>
          <w:rFonts w:hint="cs"/>
          <w:b/>
          <w:bCs/>
          <w:rtl/>
        </w:rPr>
      </w:pPr>
      <w:r>
        <w:rPr>
          <w:rFonts w:hint="cs"/>
          <w:b/>
          <w:bCs/>
          <w:rtl/>
        </w:rPr>
        <w:tab/>
        <w:t>(أ)</w:t>
      </w:r>
      <w:r>
        <w:rPr>
          <w:rFonts w:hint="cs"/>
          <w:b/>
          <w:bCs/>
          <w:rtl/>
        </w:rPr>
        <w:tab/>
      </w:r>
      <w:r w:rsidRPr="00CC3EEA">
        <w:rPr>
          <w:rFonts w:hint="cs"/>
          <w:b/>
          <w:bCs/>
          <w:rtl/>
        </w:rPr>
        <w:t>ضمان الإسراع في إحالة الأشخ</w:t>
      </w:r>
      <w:r>
        <w:rPr>
          <w:rFonts w:hint="cs"/>
          <w:b/>
          <w:bCs/>
          <w:rtl/>
        </w:rPr>
        <w:t>اص المعتقلين</w:t>
      </w:r>
      <w:r w:rsidRPr="00CC3EEA">
        <w:rPr>
          <w:rFonts w:hint="cs"/>
          <w:b/>
          <w:bCs/>
          <w:rtl/>
        </w:rPr>
        <w:t xml:space="preserve"> </w:t>
      </w:r>
      <w:r>
        <w:rPr>
          <w:rFonts w:hint="cs"/>
          <w:b/>
          <w:bCs/>
          <w:rtl/>
        </w:rPr>
        <w:t>إلى</w:t>
      </w:r>
      <w:r w:rsidRPr="00CC3EEA">
        <w:rPr>
          <w:rFonts w:hint="cs"/>
          <w:b/>
          <w:bCs/>
          <w:rtl/>
        </w:rPr>
        <w:t xml:space="preserve"> قاض أو تسليمهم إلى </w:t>
      </w:r>
      <w:r>
        <w:rPr>
          <w:rFonts w:hint="cs"/>
          <w:b/>
          <w:bCs/>
          <w:rtl/>
        </w:rPr>
        <w:t>النيابة العامة</w:t>
      </w:r>
      <w:r w:rsidRPr="00CC3EEA">
        <w:rPr>
          <w:rFonts w:hint="cs"/>
          <w:b/>
          <w:bCs/>
          <w:rtl/>
        </w:rPr>
        <w:t xml:space="preserve"> وفق</w:t>
      </w:r>
      <w:r>
        <w:rPr>
          <w:rFonts w:hint="cs"/>
          <w:b/>
          <w:bCs/>
          <w:rtl/>
        </w:rPr>
        <w:t xml:space="preserve">اً </w:t>
      </w:r>
      <w:r w:rsidRPr="00CC3EEA">
        <w:rPr>
          <w:rFonts w:hint="cs"/>
          <w:b/>
          <w:bCs/>
          <w:rtl/>
        </w:rPr>
        <w:t xml:space="preserve">للمادة 16 من دستور المكسيك والتحقيق في ادعاءات </w:t>
      </w:r>
      <w:r>
        <w:rPr>
          <w:rFonts w:hint="cs"/>
          <w:b/>
          <w:bCs/>
          <w:rtl/>
        </w:rPr>
        <w:t xml:space="preserve">تورط </w:t>
      </w:r>
      <w:r w:rsidRPr="00CC3EEA">
        <w:rPr>
          <w:rFonts w:hint="cs"/>
          <w:b/>
          <w:bCs/>
          <w:rtl/>
        </w:rPr>
        <w:t xml:space="preserve">أفراد القوات المسلحة أو وكالات الأمن الحكومية </w:t>
      </w:r>
      <w:r>
        <w:rPr>
          <w:rFonts w:hint="cs"/>
          <w:b/>
          <w:bCs/>
          <w:rtl/>
        </w:rPr>
        <w:t>في أعمال</w:t>
      </w:r>
      <w:r w:rsidRPr="00CC3EEA">
        <w:rPr>
          <w:rFonts w:hint="cs"/>
          <w:b/>
          <w:bCs/>
          <w:rtl/>
        </w:rPr>
        <w:t xml:space="preserve"> التعذيب أو سوء المعاملة ومعاقبة المسؤولين عنها؛</w:t>
      </w:r>
    </w:p>
    <w:p w:rsidR="00E470AE" w:rsidRPr="00CC3EEA" w:rsidRDefault="00E470AE" w:rsidP="00E470AE">
      <w:pPr>
        <w:pStyle w:val="SingleTxtGA"/>
        <w:rPr>
          <w:rFonts w:hint="cs"/>
          <w:b/>
          <w:bCs/>
        </w:rPr>
      </w:pPr>
      <w:r>
        <w:rPr>
          <w:rFonts w:hint="cs"/>
          <w:b/>
          <w:bCs/>
          <w:rtl/>
        </w:rPr>
        <w:tab/>
        <w:t>(ب)</w:t>
      </w:r>
      <w:r>
        <w:rPr>
          <w:rFonts w:hint="cs"/>
          <w:b/>
          <w:bCs/>
          <w:rtl/>
        </w:rPr>
        <w:tab/>
        <w:t xml:space="preserve">استخدام </w:t>
      </w:r>
      <w:r w:rsidRPr="00CC3EEA">
        <w:rPr>
          <w:rFonts w:hint="cs"/>
          <w:b/>
          <w:bCs/>
          <w:rtl/>
        </w:rPr>
        <w:t xml:space="preserve">التوقيف </w:t>
      </w:r>
      <w:r>
        <w:rPr>
          <w:rFonts w:hint="cs"/>
          <w:b/>
          <w:bCs/>
          <w:rtl/>
        </w:rPr>
        <w:t>في حالة تلبس</w:t>
      </w:r>
      <w:r w:rsidRPr="00CC3EEA">
        <w:rPr>
          <w:rFonts w:hint="cs"/>
          <w:b/>
          <w:bCs/>
          <w:rtl/>
        </w:rPr>
        <w:t xml:space="preserve"> </w:t>
      </w:r>
      <w:r>
        <w:rPr>
          <w:rFonts w:hint="cs"/>
          <w:b/>
          <w:bCs/>
          <w:rtl/>
        </w:rPr>
        <w:t>لحظة</w:t>
      </w:r>
      <w:r w:rsidRPr="00CC3EEA">
        <w:rPr>
          <w:rFonts w:hint="cs"/>
          <w:b/>
          <w:bCs/>
          <w:rtl/>
        </w:rPr>
        <w:t xml:space="preserve"> ارتكاب الجريمة </w:t>
      </w:r>
      <w:r>
        <w:rPr>
          <w:rFonts w:hint="cs"/>
          <w:b/>
          <w:bCs/>
          <w:rtl/>
        </w:rPr>
        <w:t xml:space="preserve">فقط </w:t>
      </w:r>
      <w:r w:rsidRPr="00CC3EEA">
        <w:rPr>
          <w:rFonts w:hint="cs"/>
          <w:b/>
          <w:bCs/>
          <w:rtl/>
        </w:rPr>
        <w:t xml:space="preserve">والتخلي عن </w:t>
      </w:r>
      <w:r>
        <w:rPr>
          <w:rFonts w:hint="cs"/>
          <w:b/>
          <w:bCs/>
          <w:rtl/>
        </w:rPr>
        <w:t>التوقيف فيما يشبه حالة التلبس</w:t>
      </w:r>
      <w:r w:rsidRPr="00CC3EEA">
        <w:rPr>
          <w:rFonts w:hint="cs"/>
          <w:b/>
          <w:bCs/>
          <w:rtl/>
        </w:rPr>
        <w:t>؛</w:t>
      </w:r>
    </w:p>
    <w:p w:rsidR="00E470AE" w:rsidRPr="00CC3EEA" w:rsidRDefault="00E470AE" w:rsidP="00E470AE">
      <w:pPr>
        <w:pStyle w:val="SingleTxtGA"/>
        <w:rPr>
          <w:rFonts w:hint="cs"/>
          <w:b/>
          <w:bCs/>
          <w:rtl/>
        </w:rPr>
      </w:pPr>
      <w:r>
        <w:rPr>
          <w:rFonts w:hint="cs"/>
          <w:b/>
          <w:bCs/>
          <w:rtl/>
        </w:rPr>
        <w:tab/>
      </w:r>
      <w:r w:rsidRPr="00CC3EEA">
        <w:rPr>
          <w:rFonts w:hint="cs"/>
          <w:b/>
          <w:bCs/>
          <w:rtl/>
        </w:rPr>
        <w:t>(ج)</w:t>
      </w:r>
      <w:r>
        <w:rPr>
          <w:rFonts w:hint="cs"/>
          <w:b/>
          <w:bCs/>
          <w:rtl/>
        </w:rPr>
        <w:tab/>
      </w:r>
      <w:r w:rsidRPr="00CC3EEA">
        <w:rPr>
          <w:rFonts w:hint="cs"/>
          <w:b/>
          <w:bCs/>
          <w:rtl/>
        </w:rPr>
        <w:t>ضمان التعرف بسهولة على أفراد القوات المسلحة ومركباتها؛</w:t>
      </w:r>
    </w:p>
    <w:p w:rsidR="00E470AE" w:rsidRPr="00CC3EEA" w:rsidRDefault="00E470AE" w:rsidP="00E470AE">
      <w:pPr>
        <w:pStyle w:val="SingleTxtGA"/>
        <w:rPr>
          <w:rFonts w:hint="cs"/>
          <w:b/>
          <w:bCs/>
          <w:rtl/>
        </w:rPr>
      </w:pPr>
      <w:r>
        <w:rPr>
          <w:rFonts w:hint="cs"/>
          <w:b/>
          <w:bCs/>
          <w:rtl/>
        </w:rPr>
        <w:tab/>
      </w:r>
      <w:r w:rsidRPr="00CC3EEA">
        <w:rPr>
          <w:rFonts w:hint="cs"/>
          <w:b/>
          <w:bCs/>
          <w:rtl/>
        </w:rPr>
        <w:t>(د)</w:t>
      </w:r>
      <w:r>
        <w:rPr>
          <w:rFonts w:hint="cs"/>
          <w:b/>
          <w:bCs/>
          <w:rtl/>
        </w:rPr>
        <w:tab/>
      </w:r>
      <w:r w:rsidRPr="00CC3EEA">
        <w:rPr>
          <w:rFonts w:hint="cs"/>
          <w:b/>
          <w:bCs/>
          <w:rtl/>
        </w:rPr>
        <w:t xml:space="preserve">ضمان </w:t>
      </w:r>
      <w:r>
        <w:rPr>
          <w:rFonts w:hint="cs"/>
          <w:b/>
          <w:bCs/>
          <w:rtl/>
        </w:rPr>
        <w:t>الإسراع في تسجيل</w:t>
      </w:r>
      <w:r w:rsidRPr="00CC3EEA">
        <w:rPr>
          <w:rFonts w:hint="cs"/>
          <w:b/>
          <w:bCs/>
          <w:rtl/>
        </w:rPr>
        <w:t xml:space="preserve"> جميع المشتبه فيهم المحقق معهم في سجل الاحتجاز ورصد </w:t>
      </w:r>
      <w:r>
        <w:rPr>
          <w:rFonts w:hint="cs"/>
          <w:b/>
          <w:bCs/>
          <w:rtl/>
        </w:rPr>
        <w:t xml:space="preserve">ملء </w:t>
      </w:r>
      <w:r w:rsidRPr="00CC3EEA">
        <w:rPr>
          <w:rFonts w:hint="cs"/>
          <w:b/>
          <w:bCs/>
          <w:rtl/>
        </w:rPr>
        <w:t xml:space="preserve">سجلات الاحتجاز عن كثب والنظر في إنشاء سجل مركزي </w:t>
      </w:r>
      <w:r>
        <w:rPr>
          <w:rFonts w:hint="cs"/>
          <w:b/>
          <w:bCs/>
          <w:rtl/>
        </w:rPr>
        <w:t xml:space="preserve">يضم </w:t>
      </w:r>
      <w:r w:rsidRPr="00CC3EEA">
        <w:rPr>
          <w:rFonts w:hint="cs"/>
          <w:b/>
          <w:bCs/>
          <w:rtl/>
        </w:rPr>
        <w:t>جميع الأشخاص المحتجزين رسميا</w:t>
      </w:r>
      <w:r>
        <w:rPr>
          <w:rFonts w:hint="cs"/>
          <w:b/>
          <w:bCs/>
          <w:rtl/>
        </w:rPr>
        <w:t>ً</w:t>
      </w:r>
      <w:r w:rsidRPr="00CC3EEA">
        <w:rPr>
          <w:rFonts w:hint="cs"/>
          <w:b/>
          <w:bCs/>
          <w:rtl/>
        </w:rPr>
        <w:t>؛</w:t>
      </w:r>
    </w:p>
    <w:p w:rsidR="00E470AE" w:rsidRPr="00205396" w:rsidRDefault="00E470AE" w:rsidP="00E470AE">
      <w:pPr>
        <w:pStyle w:val="SingleTxtGA"/>
        <w:rPr>
          <w:rFonts w:hint="cs"/>
          <w:b/>
          <w:bCs/>
          <w:rtl/>
        </w:rPr>
      </w:pPr>
      <w:r>
        <w:rPr>
          <w:rFonts w:hint="cs"/>
          <w:b/>
          <w:bCs/>
          <w:rtl/>
        </w:rPr>
        <w:tab/>
        <w:t>(</w:t>
      </w:r>
      <w:r w:rsidRPr="00623E38">
        <w:rPr>
          <w:rFonts w:hint="cs"/>
          <w:b/>
          <w:bCs/>
          <w:sz w:val="30"/>
          <w:rtl/>
        </w:rPr>
        <w:t>ﻫ</w:t>
      </w:r>
      <w:r w:rsidRPr="00205396">
        <w:rPr>
          <w:rFonts w:hint="cs"/>
          <w:b/>
          <w:bCs/>
          <w:rtl/>
        </w:rPr>
        <w:t>)</w:t>
      </w:r>
      <w:r>
        <w:rPr>
          <w:rFonts w:hint="cs"/>
          <w:b/>
          <w:bCs/>
          <w:rtl/>
        </w:rPr>
        <w:tab/>
      </w:r>
      <w:r w:rsidRPr="00205396">
        <w:rPr>
          <w:rFonts w:hint="cs"/>
          <w:b/>
          <w:bCs/>
          <w:rtl/>
        </w:rPr>
        <w:t xml:space="preserve">اعتماد التدابير الضرورية لضمان وصول جميع </w:t>
      </w:r>
      <w:r>
        <w:rPr>
          <w:rFonts w:hint="cs"/>
          <w:b/>
          <w:bCs/>
          <w:rtl/>
        </w:rPr>
        <w:t>المحرومين من حريتهم</w:t>
      </w:r>
      <w:r w:rsidRPr="00205396">
        <w:rPr>
          <w:rFonts w:hint="cs"/>
          <w:b/>
          <w:bCs/>
          <w:rtl/>
        </w:rPr>
        <w:t xml:space="preserve"> وصول</w:t>
      </w:r>
      <w:r>
        <w:rPr>
          <w:rFonts w:hint="cs"/>
          <w:b/>
          <w:bCs/>
          <w:rtl/>
        </w:rPr>
        <w:t xml:space="preserve">اً </w:t>
      </w:r>
      <w:r w:rsidRPr="00205396">
        <w:rPr>
          <w:rFonts w:hint="cs"/>
          <w:b/>
          <w:bCs/>
          <w:rtl/>
        </w:rPr>
        <w:t>حقيقي</w:t>
      </w:r>
      <w:r>
        <w:rPr>
          <w:rFonts w:hint="cs"/>
          <w:b/>
          <w:bCs/>
          <w:rtl/>
        </w:rPr>
        <w:t xml:space="preserve">اً </w:t>
      </w:r>
      <w:r w:rsidRPr="00205396">
        <w:rPr>
          <w:rFonts w:hint="cs"/>
          <w:b/>
          <w:bCs/>
          <w:rtl/>
        </w:rPr>
        <w:t>إلى سبل الانتصاف الفورية للطعن في شرعية احتجازهم.</w:t>
      </w:r>
    </w:p>
    <w:p w:rsidR="00E470AE" w:rsidRDefault="00E470AE" w:rsidP="00E470AE">
      <w:pPr>
        <w:pStyle w:val="H23GA"/>
        <w:rPr>
          <w:rFonts w:hint="cs"/>
          <w:rtl/>
        </w:rPr>
      </w:pPr>
      <w:r>
        <w:rPr>
          <w:rFonts w:hint="cs"/>
          <w:rtl/>
        </w:rPr>
        <w:tab/>
      </w:r>
      <w:r>
        <w:rPr>
          <w:rFonts w:hint="cs"/>
          <w:rtl/>
        </w:rPr>
        <w:tab/>
        <w:t xml:space="preserve">الحبس على ذمة التحقيق (الاحتجاز قصير الأجل) </w:t>
      </w:r>
    </w:p>
    <w:p w:rsidR="00E470AE" w:rsidRPr="000C1F8B" w:rsidRDefault="000C1F8B" w:rsidP="000C1F8B">
      <w:pPr>
        <w:pStyle w:val="SingleTxtGA"/>
        <w:rPr>
          <w:rFonts w:hint="cs"/>
          <w:spacing w:val="-2"/>
        </w:rPr>
      </w:pPr>
      <w:r w:rsidRPr="000C1F8B">
        <w:rPr>
          <w:rFonts w:hint="cs"/>
          <w:rtl/>
        </w:rPr>
        <w:t>(</w:t>
      </w:r>
      <w:r w:rsidR="00E470AE" w:rsidRPr="000C1F8B">
        <w:rPr>
          <w:rFonts w:hint="cs"/>
          <w:rtl/>
        </w:rPr>
        <w:t>11</w:t>
      </w:r>
      <w:r w:rsidRPr="000C1F8B">
        <w:rPr>
          <w:rFonts w:hint="cs"/>
          <w:rtl/>
        </w:rPr>
        <w:t>)</w:t>
      </w:r>
      <w:r w:rsidR="00E470AE" w:rsidRPr="000C1F8B">
        <w:rPr>
          <w:rFonts w:hint="cs"/>
          <w:rtl/>
        </w:rPr>
        <w:tab/>
        <w:t xml:space="preserve">تلاحظ اللجنة بقلق أن الدولة الطرف لم تراع التوصيات التي تضمنتها الملاحظات الختامية السابقة وأدرجت إجراء الحبس على ذمة التحقيق في دستورها في عام 2008. وتتضمن قوانين بعض الولايات، مثل ولاية غاليسكو، على هذا الإجراء. وتعرب اللجنة عن قلقها إزاء التقارير المتعلقة بتعذيب المحتجزين وسوء معاملتهم بموجب أوامر الحبس على ذمة التحقيق، وحدوث ذلك أحياناً في مرافق عسكرية. ورغم ما قدمه الوفد من ضمانات بشأن </w:t>
      </w:r>
      <w:r w:rsidR="00E470AE" w:rsidRPr="000C1F8B">
        <w:rPr>
          <w:rFonts w:hint="cs"/>
          <w:spacing w:val="-2"/>
          <w:rtl/>
        </w:rPr>
        <w:t>احترام الضمانات الأساسية في هذه الحالات، تلاحظ اللجنة بقلق أن لجنة حقوق الإنسان للمقاطعة الاتحادية تشير إلى عكس ذلك في توصيتها رقم 2/2011، وتندّد بتقييد الحقوق الأساسية غير الواجب، وبعدم رصد أوضاع المحتجزين على ذمة التحقيق، وغياب المراقبة الفعلية للنيابة العامة، وغياب معايير كفالة احترام مبدأ التناسب عند تحديد فترة الحبس على</w:t>
      </w:r>
      <w:r w:rsidRPr="000C1F8B">
        <w:rPr>
          <w:rFonts w:hint="cs"/>
          <w:spacing w:val="-2"/>
          <w:rtl/>
        </w:rPr>
        <w:t xml:space="preserve"> </w:t>
      </w:r>
      <w:r w:rsidR="00E470AE" w:rsidRPr="000C1F8B">
        <w:rPr>
          <w:rFonts w:hint="cs"/>
          <w:spacing w:val="-2"/>
          <w:rtl/>
        </w:rPr>
        <w:t>ذمة التحقيق. وتلاحظ لجنة مناهضة التعذيب أن سبيل الانتصاف المتمثل في الحماية المؤقتة لا</w:t>
      </w:r>
      <w:r w:rsidRPr="000C1F8B">
        <w:rPr>
          <w:rFonts w:hint="cs"/>
          <w:spacing w:val="-2"/>
          <w:rtl/>
        </w:rPr>
        <w:t xml:space="preserve"> </w:t>
      </w:r>
      <w:r w:rsidR="00E470AE" w:rsidRPr="000C1F8B">
        <w:rPr>
          <w:rFonts w:hint="cs"/>
          <w:spacing w:val="-2"/>
          <w:rtl/>
        </w:rPr>
        <w:t>يكون فعالاً في حالات الحبس على ذمة التحقيق. وتلاحظ كذلك أن الحبس على ذمة التحقيق أفضى إلى قبول الاعترافات المشتبه في انتزاعها تحت التعذيب كأدلة (المادتان</w:t>
      </w:r>
      <w:r w:rsidR="00E470AE" w:rsidRPr="000C1F8B">
        <w:rPr>
          <w:rFonts w:hint="eastAsia"/>
          <w:spacing w:val="-2"/>
          <w:rtl/>
        </w:rPr>
        <w:t> </w:t>
      </w:r>
      <w:r w:rsidR="00E470AE" w:rsidRPr="000C1F8B">
        <w:rPr>
          <w:rFonts w:hint="cs"/>
          <w:spacing w:val="-2"/>
          <w:rtl/>
        </w:rPr>
        <w:t>2</w:t>
      </w:r>
      <w:r w:rsidRPr="000C1F8B">
        <w:rPr>
          <w:rFonts w:hint="cs"/>
          <w:spacing w:val="-2"/>
          <w:rtl/>
        </w:rPr>
        <w:t xml:space="preserve"> </w:t>
      </w:r>
      <w:r w:rsidR="00E470AE" w:rsidRPr="000C1F8B">
        <w:rPr>
          <w:rFonts w:hint="cs"/>
          <w:spacing w:val="-2"/>
          <w:rtl/>
        </w:rPr>
        <w:t>و11).</w:t>
      </w:r>
    </w:p>
    <w:p w:rsidR="00E470AE" w:rsidRPr="009862FB" w:rsidRDefault="00E470AE" w:rsidP="00E470AE">
      <w:pPr>
        <w:pStyle w:val="SingleTxtGA"/>
        <w:rPr>
          <w:rFonts w:hint="cs"/>
          <w:b/>
          <w:bCs/>
          <w:rtl/>
        </w:rPr>
      </w:pPr>
      <w:r>
        <w:rPr>
          <w:rFonts w:hint="cs"/>
          <w:b/>
          <w:bCs/>
          <w:rtl/>
        </w:rPr>
        <w:tab/>
        <w:t>في ضوء الفقرة 2 من المادة 2 توصي</w:t>
      </w:r>
      <w:r w:rsidRPr="009862FB">
        <w:rPr>
          <w:rFonts w:hint="cs"/>
          <w:b/>
          <w:bCs/>
          <w:rtl/>
        </w:rPr>
        <w:t xml:space="preserve"> اللجنة </w:t>
      </w:r>
      <w:r>
        <w:rPr>
          <w:rFonts w:hint="cs"/>
          <w:b/>
          <w:bCs/>
          <w:rtl/>
        </w:rPr>
        <w:t>ا</w:t>
      </w:r>
      <w:r w:rsidRPr="009862FB">
        <w:rPr>
          <w:rFonts w:hint="cs"/>
          <w:b/>
          <w:bCs/>
          <w:rtl/>
        </w:rPr>
        <w:t xml:space="preserve">لدولة الطرف </w:t>
      </w:r>
      <w:r>
        <w:rPr>
          <w:rFonts w:hint="cs"/>
          <w:b/>
          <w:bCs/>
          <w:rtl/>
        </w:rPr>
        <w:t xml:space="preserve">مرة أخرى </w:t>
      </w:r>
      <w:r w:rsidRPr="009862FB">
        <w:rPr>
          <w:rFonts w:hint="cs"/>
          <w:b/>
          <w:bCs/>
          <w:rtl/>
        </w:rPr>
        <w:t xml:space="preserve">بأن تلغي إجراء </w:t>
      </w:r>
      <w:r>
        <w:rPr>
          <w:rFonts w:hint="cs"/>
          <w:b/>
          <w:bCs/>
          <w:rtl/>
        </w:rPr>
        <w:t>الحبس على ذمة التحقيق (</w:t>
      </w:r>
      <w:r w:rsidRPr="009862FB">
        <w:rPr>
          <w:rFonts w:hint="cs"/>
          <w:b/>
          <w:bCs/>
          <w:rtl/>
        </w:rPr>
        <w:t>الاحتجاز قصير الأجل</w:t>
      </w:r>
      <w:r>
        <w:rPr>
          <w:rFonts w:hint="cs"/>
          <w:b/>
          <w:bCs/>
          <w:rtl/>
        </w:rPr>
        <w:t>)</w:t>
      </w:r>
      <w:r w:rsidRPr="009862FB">
        <w:rPr>
          <w:rFonts w:hint="cs"/>
          <w:b/>
          <w:bCs/>
          <w:rtl/>
        </w:rPr>
        <w:t xml:space="preserve"> من تشريعاتها وممارسات</w:t>
      </w:r>
      <w:r>
        <w:rPr>
          <w:rFonts w:hint="cs"/>
          <w:b/>
          <w:bCs/>
          <w:rtl/>
        </w:rPr>
        <w:t>ها سواء على صعيد الاتحاد أو الولاية</w:t>
      </w:r>
      <w:r w:rsidRPr="009862FB">
        <w:rPr>
          <w:rFonts w:hint="cs"/>
          <w:b/>
          <w:bCs/>
          <w:rtl/>
        </w:rPr>
        <w:t>.</w:t>
      </w:r>
    </w:p>
    <w:p w:rsidR="00E470AE" w:rsidRPr="00A86FF2" w:rsidRDefault="00E470AE" w:rsidP="000C1F8B">
      <w:pPr>
        <w:pStyle w:val="H23GA"/>
        <w:rPr>
          <w:rFonts w:hint="cs"/>
          <w:rtl/>
        </w:rPr>
      </w:pPr>
      <w:r>
        <w:rPr>
          <w:rFonts w:hint="cs"/>
          <w:rtl/>
        </w:rPr>
        <w:tab/>
      </w:r>
      <w:r>
        <w:rPr>
          <w:rFonts w:hint="cs"/>
          <w:rtl/>
        </w:rPr>
        <w:tab/>
      </w:r>
      <w:r w:rsidRPr="00A86FF2">
        <w:rPr>
          <w:rFonts w:hint="cs"/>
          <w:rtl/>
        </w:rPr>
        <w:t>الاختفاء القسري</w:t>
      </w:r>
    </w:p>
    <w:p w:rsidR="00E470AE" w:rsidRDefault="000C1F8B" w:rsidP="000C1F8B">
      <w:pPr>
        <w:pStyle w:val="SingleTxtGA"/>
        <w:rPr>
          <w:rFonts w:hint="cs"/>
        </w:rPr>
      </w:pPr>
      <w:r>
        <w:rPr>
          <w:rFonts w:hint="cs"/>
          <w:rtl/>
        </w:rPr>
        <w:t>(</w:t>
      </w:r>
      <w:r w:rsidR="00E470AE">
        <w:rPr>
          <w:rFonts w:hint="cs"/>
          <w:rtl/>
        </w:rPr>
        <w:t>12</w:t>
      </w:r>
      <w:r>
        <w:rPr>
          <w:rFonts w:hint="cs"/>
          <w:rtl/>
        </w:rPr>
        <w:t>)</w:t>
      </w:r>
      <w:r w:rsidR="00E470AE">
        <w:rPr>
          <w:rFonts w:hint="cs"/>
          <w:rtl/>
        </w:rPr>
        <w:tab/>
        <w:t xml:space="preserve">تعرب اللجنة عن قلقها إزاء ما أفاد به الفريق العامل المعني بحالات الاختفاء القسري أو غير الطوعي (الفقرات من 16 إلى 31 من الوثيقة </w:t>
      </w:r>
      <w:r w:rsidR="00E470AE">
        <w:rPr>
          <w:lang w:val="fr-CH"/>
        </w:rPr>
        <w:t>A/HRC/19/58/Add.2</w:t>
      </w:r>
      <w:r w:rsidR="00E470AE">
        <w:rPr>
          <w:rFonts w:hint="cs"/>
          <w:rtl/>
        </w:rPr>
        <w:t xml:space="preserve">) من تزايد عدد حالات الاختفاء القسري التي تعزى فيما يبدو إلى السلطات العامة أو إلى جماعات إجرامية أو خاصة مدعومة بشكل مباشر أو غير مباشر من الموظفين الحكوميين في بعض الولايات مثل كواهويلا وغيريرو وتشيواهوا ونويغو ليون وتاموليباس (المادة 2). </w:t>
      </w:r>
    </w:p>
    <w:p w:rsidR="00E470AE" w:rsidRPr="00A22884" w:rsidRDefault="00E470AE" w:rsidP="00E470AE">
      <w:pPr>
        <w:pStyle w:val="SingleTxtGA"/>
        <w:rPr>
          <w:rFonts w:hint="cs"/>
          <w:b/>
          <w:bCs/>
          <w:rtl/>
        </w:rPr>
      </w:pPr>
      <w:r>
        <w:rPr>
          <w:rFonts w:hint="cs"/>
          <w:b/>
          <w:bCs/>
          <w:rtl/>
        </w:rPr>
        <w:tab/>
      </w:r>
      <w:r w:rsidRPr="00A22884">
        <w:rPr>
          <w:rFonts w:hint="cs"/>
          <w:b/>
          <w:bCs/>
          <w:rtl/>
        </w:rPr>
        <w:t xml:space="preserve">تحث اللجنة الدولة الطرف على </w:t>
      </w:r>
      <w:r>
        <w:rPr>
          <w:rFonts w:hint="cs"/>
          <w:b/>
          <w:bCs/>
          <w:rtl/>
        </w:rPr>
        <w:t>أن تواصل</w:t>
      </w:r>
      <w:r w:rsidRPr="00A22884">
        <w:rPr>
          <w:rFonts w:hint="cs"/>
          <w:b/>
          <w:bCs/>
          <w:rtl/>
        </w:rPr>
        <w:t xml:space="preserve"> </w:t>
      </w:r>
      <w:r>
        <w:rPr>
          <w:rFonts w:hint="cs"/>
          <w:b/>
          <w:bCs/>
          <w:rtl/>
        </w:rPr>
        <w:t>الأخذ</w:t>
      </w:r>
      <w:r w:rsidRPr="00A22884">
        <w:rPr>
          <w:rFonts w:hint="cs"/>
          <w:b/>
          <w:bCs/>
          <w:rtl/>
        </w:rPr>
        <w:t xml:space="preserve"> </w:t>
      </w:r>
      <w:r>
        <w:rPr>
          <w:rFonts w:hint="cs"/>
          <w:b/>
          <w:bCs/>
          <w:rtl/>
        </w:rPr>
        <w:t>ب</w:t>
      </w:r>
      <w:r w:rsidRPr="00A22884">
        <w:rPr>
          <w:rFonts w:hint="cs"/>
          <w:b/>
          <w:bCs/>
          <w:rtl/>
        </w:rPr>
        <w:t>توصيات الفريق العامل و</w:t>
      </w:r>
      <w:r>
        <w:rPr>
          <w:rFonts w:hint="cs"/>
          <w:b/>
          <w:bCs/>
          <w:rtl/>
        </w:rPr>
        <w:t>أن تقوم</w:t>
      </w:r>
      <w:r w:rsidRPr="00A22884">
        <w:rPr>
          <w:rFonts w:hint="cs"/>
          <w:b/>
          <w:bCs/>
          <w:rtl/>
        </w:rPr>
        <w:t xml:space="preserve"> على الخصوص بما يلي:</w:t>
      </w:r>
    </w:p>
    <w:p w:rsidR="00E470AE" w:rsidRPr="00A22884" w:rsidRDefault="00E470AE" w:rsidP="00E470AE">
      <w:pPr>
        <w:pStyle w:val="SingleTxtGA"/>
        <w:rPr>
          <w:rFonts w:hint="cs"/>
          <w:b/>
          <w:bCs/>
          <w:rtl/>
        </w:rPr>
      </w:pPr>
      <w:r>
        <w:rPr>
          <w:rFonts w:hint="cs"/>
          <w:b/>
          <w:bCs/>
          <w:rtl/>
        </w:rPr>
        <w:tab/>
        <w:t>(أ)</w:t>
      </w:r>
      <w:r>
        <w:rPr>
          <w:rFonts w:hint="cs"/>
          <w:b/>
          <w:bCs/>
          <w:rtl/>
        </w:rPr>
        <w:tab/>
      </w:r>
      <w:r w:rsidRPr="00A22884">
        <w:rPr>
          <w:rFonts w:hint="cs"/>
          <w:b/>
          <w:bCs/>
          <w:rtl/>
        </w:rPr>
        <w:t>اعتماد قانون عام بشأن الاختفاء القسري؛</w:t>
      </w:r>
    </w:p>
    <w:p w:rsidR="00E470AE" w:rsidRPr="00A22884" w:rsidRDefault="00E470AE" w:rsidP="00E470AE">
      <w:pPr>
        <w:pStyle w:val="SingleTxtGA"/>
        <w:rPr>
          <w:rFonts w:hint="cs"/>
          <w:b/>
          <w:bCs/>
          <w:rtl/>
        </w:rPr>
      </w:pPr>
      <w:r>
        <w:rPr>
          <w:rFonts w:hint="cs"/>
          <w:b/>
          <w:bCs/>
          <w:rtl/>
        </w:rPr>
        <w:tab/>
        <w:t>(ب)</w:t>
      </w:r>
      <w:r>
        <w:rPr>
          <w:rFonts w:hint="cs"/>
          <w:b/>
          <w:bCs/>
          <w:rtl/>
        </w:rPr>
        <w:tab/>
      </w:r>
      <w:r w:rsidRPr="00A22884">
        <w:rPr>
          <w:rFonts w:hint="cs"/>
          <w:b/>
          <w:bCs/>
          <w:rtl/>
        </w:rPr>
        <w:t xml:space="preserve">ضمان أن تضع </w:t>
      </w:r>
      <w:r>
        <w:rPr>
          <w:rFonts w:hint="cs"/>
          <w:b/>
          <w:bCs/>
          <w:rtl/>
        </w:rPr>
        <w:t>الولايات والمقاطعة الاتحادية تعاريف</w:t>
      </w:r>
      <w:r w:rsidRPr="00A22884">
        <w:rPr>
          <w:rFonts w:hint="cs"/>
          <w:b/>
          <w:bCs/>
          <w:rtl/>
        </w:rPr>
        <w:t xml:space="preserve"> قانونية لجريمة الاختفاء القسري وتحدد عقوبات</w:t>
      </w:r>
      <w:r>
        <w:rPr>
          <w:rFonts w:hint="cs"/>
          <w:b/>
          <w:bCs/>
          <w:rtl/>
        </w:rPr>
        <w:t>ها</w:t>
      </w:r>
      <w:r w:rsidRPr="00A22884">
        <w:rPr>
          <w:rFonts w:hint="cs"/>
          <w:b/>
          <w:bCs/>
          <w:rtl/>
        </w:rPr>
        <w:t xml:space="preserve"> </w:t>
      </w:r>
      <w:r>
        <w:rPr>
          <w:rFonts w:hint="cs"/>
          <w:b/>
          <w:bCs/>
          <w:rtl/>
        </w:rPr>
        <w:t>وفقاً ل</w:t>
      </w:r>
      <w:r w:rsidRPr="00A22884">
        <w:rPr>
          <w:rFonts w:hint="cs"/>
          <w:b/>
          <w:bCs/>
          <w:rtl/>
        </w:rPr>
        <w:t>لمعايير الدولية ذات الصلة؛</w:t>
      </w:r>
    </w:p>
    <w:p w:rsidR="00E470AE" w:rsidRPr="00A22884" w:rsidRDefault="00E470AE" w:rsidP="00E470AE">
      <w:pPr>
        <w:pStyle w:val="SingleTxtGA"/>
        <w:rPr>
          <w:rFonts w:hint="cs"/>
          <w:b/>
          <w:bCs/>
          <w:rtl/>
        </w:rPr>
      </w:pPr>
      <w:r>
        <w:rPr>
          <w:rFonts w:hint="cs"/>
          <w:b/>
          <w:bCs/>
          <w:rtl/>
        </w:rPr>
        <w:tab/>
      </w:r>
      <w:r w:rsidRPr="00A22884">
        <w:rPr>
          <w:rFonts w:hint="cs"/>
          <w:b/>
          <w:bCs/>
          <w:rtl/>
        </w:rPr>
        <w:t>(ج)</w:t>
      </w:r>
      <w:r>
        <w:rPr>
          <w:rFonts w:hint="cs"/>
          <w:b/>
          <w:bCs/>
          <w:rtl/>
        </w:rPr>
        <w:tab/>
      </w:r>
      <w:r w:rsidRPr="00A22884">
        <w:rPr>
          <w:rFonts w:hint="cs"/>
          <w:b/>
          <w:bCs/>
          <w:rtl/>
        </w:rPr>
        <w:t xml:space="preserve">ضمان التحقيق السريع والشامل والفعلي في حالات الاختفاء القسري ومحاكمة </w:t>
      </w:r>
      <w:r>
        <w:rPr>
          <w:rFonts w:hint="cs"/>
          <w:b/>
          <w:bCs/>
          <w:rtl/>
        </w:rPr>
        <w:t>المشتبه فيهم</w:t>
      </w:r>
      <w:r w:rsidRPr="00A22884">
        <w:rPr>
          <w:rFonts w:hint="cs"/>
          <w:b/>
          <w:bCs/>
          <w:rtl/>
        </w:rPr>
        <w:t xml:space="preserve"> ومعاقبة ال</w:t>
      </w:r>
      <w:r>
        <w:rPr>
          <w:rFonts w:hint="cs"/>
          <w:b/>
          <w:bCs/>
          <w:rtl/>
        </w:rPr>
        <w:t>مذنبين</w:t>
      </w:r>
      <w:r w:rsidRPr="00A22884">
        <w:rPr>
          <w:rFonts w:hint="cs"/>
          <w:b/>
          <w:bCs/>
          <w:rtl/>
        </w:rPr>
        <w:t xml:space="preserve"> عقوبات تتناسب وخطورة الجريمة؛</w:t>
      </w:r>
    </w:p>
    <w:p w:rsidR="00E470AE" w:rsidRPr="00A22884" w:rsidRDefault="00E470AE" w:rsidP="00E470AE">
      <w:pPr>
        <w:pStyle w:val="SingleTxtGA"/>
        <w:rPr>
          <w:rFonts w:hint="cs"/>
          <w:b/>
          <w:bCs/>
          <w:rtl/>
        </w:rPr>
      </w:pPr>
      <w:r>
        <w:rPr>
          <w:rFonts w:hint="cs"/>
          <w:b/>
          <w:bCs/>
          <w:rtl/>
        </w:rPr>
        <w:tab/>
      </w:r>
      <w:r w:rsidRPr="00A22884">
        <w:rPr>
          <w:rFonts w:hint="cs"/>
          <w:b/>
          <w:bCs/>
          <w:rtl/>
        </w:rPr>
        <w:t>(د)</w:t>
      </w:r>
      <w:r>
        <w:rPr>
          <w:rFonts w:hint="cs"/>
          <w:b/>
          <w:bCs/>
          <w:rtl/>
        </w:rPr>
        <w:tab/>
      </w:r>
      <w:r w:rsidRPr="00A22884">
        <w:rPr>
          <w:rFonts w:hint="cs"/>
          <w:b/>
          <w:bCs/>
          <w:rtl/>
        </w:rPr>
        <w:t>ضمان وصول جميع الضحايا المتضررين من الاختفاء القسري إلى المعلومات المتعلقة بمصير الشخص المختفي وحصولهم على الجبر بما في ذلك الحق في ال</w:t>
      </w:r>
      <w:r>
        <w:rPr>
          <w:rFonts w:hint="cs"/>
          <w:b/>
          <w:bCs/>
          <w:rtl/>
        </w:rPr>
        <w:t>حصول على تعويضات منصفة وكافية</w:t>
      </w:r>
      <w:r w:rsidRPr="00A22884">
        <w:rPr>
          <w:rFonts w:hint="cs"/>
          <w:b/>
          <w:bCs/>
          <w:rtl/>
        </w:rPr>
        <w:t>؛</w:t>
      </w:r>
    </w:p>
    <w:p w:rsidR="00E470AE" w:rsidRPr="00A22884" w:rsidRDefault="00E470AE" w:rsidP="00E470AE">
      <w:pPr>
        <w:pStyle w:val="SingleTxtGA"/>
        <w:rPr>
          <w:rFonts w:hint="cs"/>
          <w:b/>
          <w:bCs/>
          <w:rtl/>
        </w:rPr>
      </w:pPr>
      <w:r>
        <w:rPr>
          <w:rFonts w:hint="cs"/>
          <w:b/>
          <w:bCs/>
          <w:rtl/>
        </w:rPr>
        <w:tab/>
      </w:r>
      <w:r w:rsidRPr="00A22884">
        <w:rPr>
          <w:rFonts w:hint="cs"/>
          <w:b/>
          <w:bCs/>
          <w:rtl/>
        </w:rPr>
        <w:t>(</w:t>
      </w:r>
      <w:r w:rsidRPr="00F9697D">
        <w:rPr>
          <w:rFonts w:hint="cs"/>
          <w:b/>
          <w:bCs/>
          <w:sz w:val="30"/>
          <w:rtl/>
        </w:rPr>
        <w:t>ﻫ</w:t>
      </w:r>
      <w:r w:rsidRPr="00A22884">
        <w:rPr>
          <w:rFonts w:hint="cs"/>
          <w:b/>
          <w:bCs/>
          <w:rtl/>
        </w:rPr>
        <w:t>)</w:t>
      </w:r>
      <w:r>
        <w:rPr>
          <w:rFonts w:hint="cs"/>
          <w:b/>
          <w:bCs/>
          <w:rtl/>
        </w:rPr>
        <w:tab/>
      </w:r>
      <w:r w:rsidRPr="00A22884">
        <w:rPr>
          <w:rFonts w:hint="cs"/>
          <w:b/>
          <w:bCs/>
          <w:rtl/>
        </w:rPr>
        <w:t>اعتماد التدابير الل</w:t>
      </w:r>
      <w:r>
        <w:rPr>
          <w:rFonts w:hint="cs"/>
          <w:b/>
          <w:bCs/>
          <w:rtl/>
        </w:rPr>
        <w:t>ازمة لتسوية القضايا العالقة المعروضة على</w:t>
      </w:r>
      <w:r w:rsidRPr="00A22884">
        <w:rPr>
          <w:rFonts w:hint="cs"/>
          <w:b/>
          <w:bCs/>
          <w:rtl/>
        </w:rPr>
        <w:t xml:space="preserve"> الفريق العامل المعني بحالات الاختفاء القسري أو غير الطوعي.</w:t>
      </w:r>
    </w:p>
    <w:p w:rsidR="00E470AE" w:rsidRPr="00F352F8" w:rsidRDefault="00E470AE" w:rsidP="00E470AE">
      <w:pPr>
        <w:pStyle w:val="H23GA"/>
        <w:rPr>
          <w:rFonts w:hint="cs"/>
        </w:rPr>
      </w:pPr>
      <w:r>
        <w:rPr>
          <w:rFonts w:hint="cs"/>
          <w:rtl/>
        </w:rPr>
        <w:tab/>
      </w:r>
      <w:r>
        <w:rPr>
          <w:rFonts w:hint="cs"/>
          <w:rtl/>
        </w:rPr>
        <w:tab/>
      </w:r>
      <w:r w:rsidRPr="00F352F8">
        <w:rPr>
          <w:rFonts w:hint="cs"/>
          <w:rtl/>
        </w:rPr>
        <w:t>الإفلات من العقاب والعنف ضد المرأة</w:t>
      </w:r>
    </w:p>
    <w:p w:rsidR="00E470AE" w:rsidRDefault="002C1BA8" w:rsidP="001C7C70">
      <w:pPr>
        <w:pStyle w:val="SingleTxtGA"/>
        <w:rPr>
          <w:rFonts w:hint="cs"/>
        </w:rPr>
      </w:pPr>
      <w:r>
        <w:rPr>
          <w:rFonts w:hint="cs"/>
          <w:rtl/>
        </w:rPr>
        <w:t>(</w:t>
      </w:r>
      <w:r w:rsidR="00E470AE">
        <w:rPr>
          <w:rFonts w:hint="cs"/>
          <w:rtl/>
        </w:rPr>
        <w:t>13</w:t>
      </w:r>
      <w:r>
        <w:rPr>
          <w:rFonts w:hint="cs"/>
          <w:rtl/>
        </w:rPr>
        <w:t>)</w:t>
      </w:r>
      <w:r w:rsidR="00E470AE">
        <w:rPr>
          <w:rFonts w:hint="cs"/>
          <w:rtl/>
        </w:rPr>
        <w:tab/>
        <w:t>تعرب اللجنة عن قلقها إزاء التقارير التي تفيد باستمرار تعرض النساء لعمليات القتل والاختفاء على أساس نوع الجنس، لا سيما في ولايات تشيهواهوا وجاليسكو ومكسيكو ونويبو ليون. وفي حين تلاحظ اللجنة تقدماً كبيراً في وضع الوسائل القانونية والمؤسسية لمكافحة هذه الظاهرة وغيرها من ضروب العنف ضد المرأة، بما في ذلك قتل النساء، تعرب عن قلقها إزاء القرائن التي تفيد بعدم تطبيق ولايات عديدة الإطار القانوني الجديد تطبيقاً كلياً. وتعرب اللجنة عن أسفها إزاء استمرار إفلات مرتكبي أعمال العنف الخطيرة في حق النساء من العقاب، بما فيها الأعمال المرتكبة في عام 2006 في سان سلفادور أتنكو، كما</w:t>
      </w:r>
      <w:r w:rsidR="001C7C70">
        <w:rPr>
          <w:rFonts w:hint="eastAsia"/>
          <w:rtl/>
        </w:rPr>
        <w:t> </w:t>
      </w:r>
      <w:r w:rsidR="00E470AE">
        <w:rPr>
          <w:rFonts w:hint="cs"/>
          <w:rtl/>
        </w:rPr>
        <w:t xml:space="preserve">أشارت إلى ذلك مؤخراً اللجنة المعنية بالقضاء على التمييز ضد المرأة (الفقرتان 18 و19 من الوثيقة </w:t>
      </w:r>
      <w:r w:rsidR="00E470AE">
        <w:t>CEDAW/C/MEX/CO/7-8</w:t>
      </w:r>
      <w:r w:rsidR="00E470AE">
        <w:rPr>
          <w:rFonts w:hint="cs"/>
          <w:rtl/>
        </w:rPr>
        <w:t>) (المواد 2 و12 و13 و16).</w:t>
      </w:r>
    </w:p>
    <w:p w:rsidR="00E470AE" w:rsidRPr="00114262" w:rsidRDefault="00E470AE" w:rsidP="00E470AE">
      <w:pPr>
        <w:pStyle w:val="SingleTxtGA"/>
        <w:rPr>
          <w:rFonts w:hint="cs"/>
          <w:b/>
          <w:bCs/>
          <w:rtl/>
          <w:lang/>
        </w:rPr>
      </w:pPr>
      <w:r>
        <w:rPr>
          <w:rFonts w:hint="cs"/>
          <w:b/>
          <w:bCs/>
          <w:rtl/>
        </w:rPr>
        <w:tab/>
      </w:r>
      <w:r w:rsidRPr="00114262">
        <w:rPr>
          <w:rFonts w:hint="cs"/>
          <w:b/>
          <w:bCs/>
          <w:rtl/>
        </w:rPr>
        <w:t xml:space="preserve">تحث اللجنة الدولة الطرف على تكثيف جهودها في سبيل منع العنف ضد المرأة ومكافحته، بما في ذلك عمليات القتل والاختفاء على أساس </w:t>
      </w:r>
      <w:r>
        <w:rPr>
          <w:rFonts w:hint="cs"/>
          <w:b/>
          <w:bCs/>
          <w:rtl/>
        </w:rPr>
        <w:t xml:space="preserve">نوع </w:t>
      </w:r>
      <w:r w:rsidRPr="00114262">
        <w:rPr>
          <w:rFonts w:hint="cs"/>
          <w:b/>
          <w:bCs/>
          <w:rtl/>
        </w:rPr>
        <w:t>الج</w:t>
      </w:r>
      <w:r>
        <w:rPr>
          <w:rFonts w:hint="cs"/>
          <w:b/>
          <w:bCs/>
          <w:rtl/>
        </w:rPr>
        <w:t>نس، ومعاقبة مرتكبي مثل هذا الأعمال</w:t>
      </w:r>
      <w:r w:rsidRPr="00114262">
        <w:rPr>
          <w:rFonts w:hint="cs"/>
          <w:b/>
          <w:bCs/>
          <w:rtl/>
        </w:rPr>
        <w:t xml:space="preserve">، واتخاذ جميع التدابير اللازمة لتنفيذ جميع قرارات </w:t>
      </w:r>
      <w:r w:rsidRPr="00114262">
        <w:rPr>
          <w:rFonts w:hint="cs"/>
          <w:b/>
          <w:bCs/>
          <w:rtl/>
          <w:lang/>
        </w:rPr>
        <w:t xml:space="preserve">محكمة البلدان الأمريكية لحقوق الإنسان في هذا الصدد، بما في ذلك حكمها الصادر في 16 تشرين الثاني/نوفمبر </w:t>
      </w:r>
      <w:r>
        <w:rPr>
          <w:rFonts w:hint="cs"/>
          <w:b/>
          <w:bCs/>
          <w:rtl/>
          <w:lang/>
        </w:rPr>
        <w:t xml:space="preserve">2009 </w:t>
      </w:r>
      <w:r w:rsidRPr="00114262">
        <w:rPr>
          <w:rFonts w:hint="cs"/>
          <w:b/>
          <w:bCs/>
          <w:rtl/>
          <w:lang/>
        </w:rPr>
        <w:t xml:space="preserve">في قضية </w:t>
      </w:r>
      <w:r w:rsidRPr="00623E38">
        <w:rPr>
          <w:rFonts w:hint="cs"/>
          <w:b/>
          <w:bCs/>
          <w:i/>
          <w:iCs/>
          <w:rtl/>
          <w:lang/>
        </w:rPr>
        <w:t>غونزاليس وآخرين (حقل القطن) ضد المكسيك</w:t>
      </w:r>
      <w:r w:rsidRPr="00114262">
        <w:rPr>
          <w:rFonts w:hint="cs"/>
          <w:b/>
          <w:bCs/>
          <w:rtl/>
          <w:lang/>
        </w:rPr>
        <w:t>.</w:t>
      </w:r>
    </w:p>
    <w:p w:rsidR="00E470AE" w:rsidRPr="00EA7866" w:rsidRDefault="00E470AE" w:rsidP="00E470AE">
      <w:pPr>
        <w:pStyle w:val="H23GA"/>
        <w:rPr>
          <w:rFonts w:hint="cs"/>
        </w:rPr>
      </w:pPr>
      <w:r>
        <w:rPr>
          <w:rFonts w:hint="cs"/>
          <w:rtl/>
          <w:lang/>
        </w:rPr>
        <w:tab/>
      </w:r>
      <w:r>
        <w:rPr>
          <w:rFonts w:hint="cs"/>
          <w:rtl/>
          <w:lang/>
        </w:rPr>
        <w:tab/>
      </w:r>
      <w:r w:rsidRPr="00EA7866">
        <w:rPr>
          <w:rFonts w:hint="cs"/>
          <w:rtl/>
          <w:lang/>
        </w:rPr>
        <w:t>الصحفيون والمدافعون عن حقوق الإنسان</w:t>
      </w:r>
    </w:p>
    <w:p w:rsidR="00E470AE" w:rsidRPr="002C1BA8" w:rsidRDefault="002C1BA8" w:rsidP="002C1BA8">
      <w:pPr>
        <w:pStyle w:val="SingleTxtGA"/>
        <w:rPr>
          <w:rFonts w:hint="cs"/>
          <w:spacing w:val="-2"/>
        </w:rPr>
      </w:pPr>
      <w:r w:rsidRPr="002C1BA8">
        <w:rPr>
          <w:rFonts w:hint="cs"/>
          <w:spacing w:val="-2"/>
          <w:rtl/>
        </w:rPr>
        <w:t>(</w:t>
      </w:r>
      <w:r w:rsidR="00E470AE" w:rsidRPr="002C1BA8">
        <w:rPr>
          <w:rFonts w:hint="cs"/>
          <w:spacing w:val="-2"/>
          <w:rtl/>
        </w:rPr>
        <w:t>14</w:t>
      </w:r>
      <w:r w:rsidRPr="002C1BA8">
        <w:rPr>
          <w:rFonts w:hint="cs"/>
          <w:spacing w:val="-2"/>
          <w:rtl/>
        </w:rPr>
        <w:t>)</w:t>
      </w:r>
      <w:r w:rsidR="00E470AE" w:rsidRPr="002C1BA8">
        <w:rPr>
          <w:rFonts w:hint="cs"/>
          <w:spacing w:val="-2"/>
          <w:rtl/>
        </w:rPr>
        <w:tab/>
        <w:t>تحيط اللجنة علماً باعتماد الدولة الطرف مؤخراً قانون حماية الصحفيين والمدافعين عن حقوق الإنسان، لكنها تعرب عن استمرار قلقها الشديد إزاء ارتفاع عدد حالات قتل هؤلاء الأشخاص واختفائهم وترهيبهم ومضايقتهم. كما تعرب عن قلقها إزاء ما وردها من تقارير بشأن تفشي إفلات مرتكبي هذه الجرائم من العقاب، وتلاحظ أن معظم هذه الجرائم تعزى إلى منظمات إجرامية بيد أن بعض الحالات تضمنت قرائن تدل على احتمال ضلوع أفراد قوات الأمن فيها. وبناء عليه، تعرب اللجنة عن أسفها لأن الدولة الطرف لم</w:t>
      </w:r>
      <w:r w:rsidR="00E470AE" w:rsidRPr="002C1BA8">
        <w:rPr>
          <w:rFonts w:hint="eastAsia"/>
          <w:spacing w:val="-2"/>
          <w:rtl/>
        </w:rPr>
        <w:t> </w:t>
      </w:r>
      <w:r w:rsidR="00E470AE" w:rsidRPr="002C1BA8">
        <w:rPr>
          <w:rFonts w:hint="cs"/>
          <w:spacing w:val="-2"/>
          <w:rtl/>
        </w:rPr>
        <w:t>تزودها</w:t>
      </w:r>
      <w:r w:rsidR="00E470AE" w:rsidRPr="002C1BA8">
        <w:rPr>
          <w:rFonts w:hint="eastAsia"/>
          <w:spacing w:val="-2"/>
          <w:rtl/>
        </w:rPr>
        <w:t> </w:t>
      </w:r>
      <w:r w:rsidR="00E470AE" w:rsidRPr="002C1BA8">
        <w:rPr>
          <w:rFonts w:hint="cs"/>
          <w:spacing w:val="-2"/>
          <w:rtl/>
        </w:rPr>
        <w:t>بمعلومات محددة عن نتائج التحقيقات والإجراءات الجنائية الجارية (المواد 2 و12 و13 و16).</w:t>
      </w:r>
    </w:p>
    <w:p w:rsidR="00E470AE" w:rsidRPr="00456AF0" w:rsidRDefault="00E470AE" w:rsidP="00E470AE">
      <w:pPr>
        <w:pStyle w:val="SingleTxtGA"/>
        <w:rPr>
          <w:rFonts w:hint="cs"/>
          <w:b/>
          <w:bCs/>
          <w:rtl/>
        </w:rPr>
      </w:pPr>
      <w:r>
        <w:rPr>
          <w:rFonts w:hint="cs"/>
          <w:b/>
          <w:bCs/>
          <w:rtl/>
        </w:rPr>
        <w:tab/>
      </w:r>
      <w:r w:rsidRPr="00456AF0">
        <w:rPr>
          <w:rFonts w:hint="cs"/>
          <w:b/>
          <w:bCs/>
          <w:rtl/>
        </w:rPr>
        <w:t>تحث اللجنة الدولة الطرف على القيام بما يلي:</w:t>
      </w:r>
    </w:p>
    <w:p w:rsidR="00E470AE" w:rsidRPr="00456AF0" w:rsidRDefault="00E470AE" w:rsidP="00E470AE">
      <w:pPr>
        <w:pStyle w:val="SingleTxtGA"/>
        <w:rPr>
          <w:rFonts w:hint="cs"/>
          <w:b/>
          <w:bCs/>
          <w:rtl/>
        </w:rPr>
      </w:pPr>
      <w:r>
        <w:rPr>
          <w:rFonts w:hint="cs"/>
          <w:b/>
          <w:bCs/>
          <w:rtl/>
        </w:rPr>
        <w:tab/>
        <w:t>(أ)</w:t>
      </w:r>
      <w:r>
        <w:rPr>
          <w:rFonts w:hint="cs"/>
          <w:b/>
          <w:bCs/>
          <w:rtl/>
        </w:rPr>
        <w:tab/>
      </w:r>
      <w:r w:rsidRPr="00456AF0">
        <w:rPr>
          <w:rFonts w:hint="cs"/>
          <w:b/>
          <w:bCs/>
          <w:rtl/>
        </w:rPr>
        <w:t>اتخاذ الخطوات اللازمة لضمان أمن الصحفيين والمدافعين عن حقوق الإنسان وسلامته</w:t>
      </w:r>
      <w:r>
        <w:rPr>
          <w:rFonts w:hint="cs"/>
          <w:b/>
          <w:bCs/>
          <w:rtl/>
        </w:rPr>
        <w:t>م الجسدية من خلال حمايتهم من أي</w:t>
      </w:r>
      <w:r w:rsidRPr="00456AF0">
        <w:rPr>
          <w:rFonts w:hint="cs"/>
          <w:b/>
          <w:bCs/>
          <w:rtl/>
        </w:rPr>
        <w:t xml:space="preserve"> </w:t>
      </w:r>
      <w:r>
        <w:rPr>
          <w:rFonts w:hint="cs"/>
          <w:b/>
          <w:bCs/>
          <w:rtl/>
        </w:rPr>
        <w:t xml:space="preserve">أعمال ترهيب </w:t>
      </w:r>
      <w:r w:rsidRPr="00456AF0">
        <w:rPr>
          <w:rFonts w:hint="cs"/>
          <w:b/>
          <w:bCs/>
          <w:rtl/>
        </w:rPr>
        <w:t xml:space="preserve">أو أعمال عنف قد يتعرضون لها </w:t>
      </w:r>
      <w:r>
        <w:rPr>
          <w:rFonts w:hint="cs"/>
          <w:b/>
          <w:bCs/>
          <w:rtl/>
        </w:rPr>
        <w:t>أثناء</w:t>
      </w:r>
      <w:r w:rsidRPr="00456AF0">
        <w:rPr>
          <w:rFonts w:hint="cs"/>
          <w:b/>
          <w:bCs/>
          <w:rtl/>
        </w:rPr>
        <w:t xml:space="preserve"> مزاولة نشاطهم؛</w:t>
      </w:r>
    </w:p>
    <w:p w:rsidR="00E470AE" w:rsidRPr="00456AF0" w:rsidRDefault="00E470AE" w:rsidP="00E470AE">
      <w:pPr>
        <w:pStyle w:val="SingleTxtGA"/>
        <w:rPr>
          <w:rFonts w:hint="cs"/>
          <w:b/>
          <w:bCs/>
          <w:rtl/>
        </w:rPr>
      </w:pPr>
      <w:r>
        <w:rPr>
          <w:rFonts w:hint="cs"/>
          <w:b/>
          <w:bCs/>
          <w:rtl/>
        </w:rPr>
        <w:tab/>
      </w:r>
      <w:r w:rsidRPr="00456AF0">
        <w:rPr>
          <w:rFonts w:hint="cs"/>
          <w:b/>
          <w:bCs/>
          <w:rtl/>
        </w:rPr>
        <w:t>(ب)</w:t>
      </w:r>
      <w:r>
        <w:rPr>
          <w:rFonts w:hint="cs"/>
          <w:b/>
          <w:bCs/>
          <w:rtl/>
        </w:rPr>
        <w:tab/>
      </w:r>
      <w:r w:rsidRPr="00456AF0">
        <w:rPr>
          <w:rFonts w:hint="cs"/>
          <w:b/>
          <w:bCs/>
          <w:rtl/>
        </w:rPr>
        <w:t>الإسراع في إنشاء آلية الحماية المنصوص عليها في قانون حماية الص</w:t>
      </w:r>
      <w:r>
        <w:rPr>
          <w:rFonts w:hint="cs"/>
          <w:b/>
          <w:bCs/>
          <w:rtl/>
        </w:rPr>
        <w:t>حفي</w:t>
      </w:r>
      <w:r w:rsidRPr="00456AF0">
        <w:rPr>
          <w:rFonts w:hint="cs"/>
          <w:b/>
          <w:bCs/>
          <w:rtl/>
        </w:rPr>
        <w:t>ين والمدافعين عن حقوق الإنسان؛</w:t>
      </w:r>
    </w:p>
    <w:p w:rsidR="00E470AE" w:rsidRPr="00456AF0" w:rsidRDefault="00E470AE" w:rsidP="00E470AE">
      <w:pPr>
        <w:pStyle w:val="SingleTxtGA"/>
        <w:rPr>
          <w:rFonts w:hint="cs"/>
          <w:b/>
          <w:bCs/>
          <w:rtl/>
        </w:rPr>
      </w:pPr>
      <w:r>
        <w:rPr>
          <w:rFonts w:hint="cs"/>
          <w:b/>
          <w:bCs/>
          <w:rtl/>
        </w:rPr>
        <w:tab/>
      </w:r>
      <w:r w:rsidRPr="00456AF0">
        <w:rPr>
          <w:rFonts w:hint="cs"/>
          <w:b/>
          <w:bCs/>
          <w:rtl/>
        </w:rPr>
        <w:t>(ج)</w:t>
      </w:r>
      <w:r>
        <w:rPr>
          <w:rFonts w:hint="cs"/>
          <w:b/>
          <w:bCs/>
          <w:rtl/>
        </w:rPr>
        <w:tab/>
      </w:r>
      <w:r w:rsidRPr="00456AF0">
        <w:rPr>
          <w:rFonts w:hint="cs"/>
          <w:b/>
          <w:bCs/>
          <w:rtl/>
        </w:rPr>
        <w:t xml:space="preserve">اتخاذ خطوات لإجراء تحقيقات سريعة وشاملة وفعالة </w:t>
      </w:r>
      <w:r>
        <w:rPr>
          <w:rFonts w:hint="cs"/>
          <w:b/>
          <w:bCs/>
          <w:rtl/>
        </w:rPr>
        <w:t>في جميع أعمال الترهيب والعنف المرتكبة في حق</w:t>
      </w:r>
      <w:r w:rsidRPr="00456AF0">
        <w:rPr>
          <w:rFonts w:hint="cs"/>
          <w:b/>
          <w:bCs/>
          <w:rtl/>
        </w:rPr>
        <w:t xml:space="preserve"> صحفيين ومدافعين عن حقوق الإنسان وملاحقة المسؤولين عنها ومعاق</w:t>
      </w:r>
      <w:r>
        <w:rPr>
          <w:rFonts w:hint="cs"/>
          <w:b/>
          <w:bCs/>
          <w:rtl/>
        </w:rPr>
        <w:t>بتهم بعقوبات تتناسب وخطورة جرائمهم</w:t>
      </w:r>
      <w:r w:rsidRPr="00456AF0">
        <w:rPr>
          <w:rFonts w:hint="cs"/>
          <w:b/>
          <w:bCs/>
          <w:rtl/>
        </w:rPr>
        <w:t xml:space="preserve">. </w:t>
      </w:r>
    </w:p>
    <w:p w:rsidR="00E470AE" w:rsidRPr="00761E41" w:rsidRDefault="00E470AE" w:rsidP="00E470AE">
      <w:pPr>
        <w:pStyle w:val="H23GA"/>
        <w:rPr>
          <w:rFonts w:hint="cs"/>
        </w:rPr>
      </w:pPr>
      <w:r>
        <w:rPr>
          <w:rFonts w:hint="cs"/>
          <w:rtl/>
        </w:rPr>
        <w:tab/>
      </w:r>
      <w:r>
        <w:rPr>
          <w:rFonts w:hint="cs"/>
          <w:rtl/>
        </w:rPr>
        <w:tab/>
      </w:r>
      <w:r w:rsidRPr="00761E41">
        <w:rPr>
          <w:rFonts w:hint="cs"/>
          <w:rtl/>
        </w:rPr>
        <w:t>الاعترافات المنتزعة بالإكراه</w:t>
      </w:r>
    </w:p>
    <w:p w:rsidR="00E470AE" w:rsidRDefault="002C1BA8" w:rsidP="002C1BA8">
      <w:pPr>
        <w:pStyle w:val="SingleTxtGA"/>
        <w:rPr>
          <w:rFonts w:hint="cs"/>
        </w:rPr>
      </w:pPr>
      <w:r>
        <w:rPr>
          <w:rFonts w:hint="cs"/>
          <w:rtl/>
        </w:rPr>
        <w:t>(</w:t>
      </w:r>
      <w:r w:rsidR="00E470AE">
        <w:rPr>
          <w:rFonts w:hint="cs"/>
          <w:rtl/>
        </w:rPr>
        <w:t>15</w:t>
      </w:r>
      <w:r>
        <w:rPr>
          <w:rFonts w:hint="cs"/>
          <w:rtl/>
        </w:rPr>
        <w:t>)</w:t>
      </w:r>
      <w:r w:rsidR="00E470AE">
        <w:rPr>
          <w:rFonts w:hint="cs"/>
          <w:rtl/>
        </w:rPr>
        <w:tab/>
        <w:t xml:space="preserve">تحيط اللجنة علماً بالضمانات الدستورية المتعلقة بعدم مقبولية الأدلة المنتزعة على نحو ينتهك الحقوق الأساسية، لكنها تعرب عن أسفها لاستمرار بعض المحاكم في قبول الاعترافات المنتزعة فيما يبدو بالإكراه أو تحت التعذيب متذرعة في ذلك بمبدأ "سرعة الإجراءات". وتعتبر اللجنة قضية إسرائيل آرزاتي ميليندث دليلاً على استمرار هذه الممارسات حتى في الولايات القضائية التي يطبق فيها بالفعل نظام قانوني الجنائي. وتتابع اللجنة عن كثب هذه القضية التي تنظر فيها حالياً محكمة المكسيك العليا (المواد 2 و12 و13 و15 و16). </w:t>
      </w:r>
    </w:p>
    <w:p w:rsidR="00E470AE" w:rsidRPr="00FE053F" w:rsidRDefault="00E470AE" w:rsidP="00E470AE">
      <w:pPr>
        <w:pStyle w:val="SingleTxtGA"/>
        <w:rPr>
          <w:rFonts w:hint="cs"/>
          <w:b/>
          <w:bCs/>
          <w:rtl/>
        </w:rPr>
      </w:pPr>
      <w:r>
        <w:rPr>
          <w:rFonts w:hint="cs"/>
          <w:b/>
          <w:bCs/>
          <w:rtl/>
        </w:rPr>
        <w:tab/>
      </w:r>
      <w:r w:rsidRPr="00FE053F">
        <w:rPr>
          <w:rFonts w:hint="cs"/>
          <w:b/>
          <w:bCs/>
          <w:rtl/>
        </w:rPr>
        <w:t>ينبغي أن تسرع الدولة الطرف في اتخاذ تدابير فعالة من أجل:</w:t>
      </w:r>
    </w:p>
    <w:p w:rsidR="00E470AE" w:rsidRPr="00FE053F" w:rsidRDefault="00E470AE" w:rsidP="00E470AE">
      <w:pPr>
        <w:pStyle w:val="SingleTxtGA"/>
        <w:rPr>
          <w:rFonts w:hint="cs"/>
          <w:b/>
          <w:bCs/>
          <w:rtl/>
        </w:rPr>
      </w:pPr>
      <w:r>
        <w:rPr>
          <w:rFonts w:hint="cs"/>
          <w:b/>
          <w:bCs/>
          <w:rtl/>
        </w:rPr>
        <w:tab/>
        <w:t>(أ)</w:t>
      </w:r>
      <w:r>
        <w:rPr>
          <w:rFonts w:hint="cs"/>
          <w:b/>
          <w:bCs/>
          <w:rtl/>
        </w:rPr>
        <w:tab/>
      </w:r>
      <w:r w:rsidRPr="00FE053F">
        <w:rPr>
          <w:rFonts w:hint="cs"/>
          <w:b/>
          <w:bCs/>
          <w:rtl/>
        </w:rPr>
        <w:t>ضمان عدم استخدام الاعترافات المنتزعة تحت التعذيب أو سوء المعاملة كأدلة في أية إجراءات وفق</w:t>
      </w:r>
      <w:r>
        <w:rPr>
          <w:rFonts w:hint="cs"/>
          <w:b/>
          <w:bCs/>
          <w:rtl/>
        </w:rPr>
        <w:t xml:space="preserve">اً </w:t>
      </w:r>
      <w:r w:rsidRPr="00FE053F">
        <w:rPr>
          <w:rFonts w:hint="cs"/>
          <w:b/>
          <w:bCs/>
          <w:rtl/>
        </w:rPr>
        <w:t>للمادة 15 من الاتفاقية؛</w:t>
      </w:r>
    </w:p>
    <w:p w:rsidR="00E470AE" w:rsidRPr="00FE053F" w:rsidRDefault="00E470AE" w:rsidP="00E470AE">
      <w:pPr>
        <w:pStyle w:val="SingleTxtGA"/>
        <w:rPr>
          <w:rFonts w:hint="cs"/>
          <w:b/>
          <w:bCs/>
          <w:rtl/>
        </w:rPr>
      </w:pPr>
      <w:r>
        <w:rPr>
          <w:rFonts w:hint="cs"/>
          <w:b/>
          <w:bCs/>
          <w:rtl/>
        </w:rPr>
        <w:tab/>
        <w:t>(ب)</w:t>
      </w:r>
      <w:r>
        <w:rPr>
          <w:rFonts w:hint="cs"/>
          <w:b/>
          <w:bCs/>
          <w:rtl/>
        </w:rPr>
        <w:tab/>
      </w:r>
      <w:r w:rsidRPr="00FE053F">
        <w:rPr>
          <w:rFonts w:hint="cs"/>
          <w:b/>
          <w:bCs/>
          <w:rtl/>
        </w:rPr>
        <w:t>ضمان إجراء فحص طبي مستقل كل</w:t>
      </w:r>
      <w:r>
        <w:rPr>
          <w:rFonts w:hint="cs"/>
          <w:b/>
          <w:bCs/>
          <w:rtl/>
        </w:rPr>
        <w:t>ّ</w:t>
      </w:r>
      <w:r w:rsidRPr="00FE053F">
        <w:rPr>
          <w:rFonts w:hint="cs"/>
          <w:b/>
          <w:bCs/>
          <w:rtl/>
        </w:rPr>
        <w:t>ما طلب المشتبه فيه</w:t>
      </w:r>
      <w:r>
        <w:rPr>
          <w:rFonts w:hint="cs"/>
          <w:b/>
          <w:bCs/>
          <w:rtl/>
        </w:rPr>
        <w:t xml:space="preserve"> إلى</w:t>
      </w:r>
      <w:r w:rsidRPr="00FE053F">
        <w:rPr>
          <w:rFonts w:hint="cs"/>
          <w:b/>
          <w:bCs/>
          <w:rtl/>
        </w:rPr>
        <w:t xml:space="preserve"> المحكمة الأمر بإجراء هذا الفحص</w:t>
      </w:r>
      <w:r>
        <w:rPr>
          <w:rFonts w:hint="cs"/>
          <w:b/>
          <w:bCs/>
          <w:rtl/>
        </w:rPr>
        <w:t>،</w:t>
      </w:r>
      <w:r w:rsidRPr="00FE053F">
        <w:rPr>
          <w:rFonts w:hint="cs"/>
          <w:b/>
          <w:bCs/>
          <w:rtl/>
        </w:rPr>
        <w:t xml:space="preserve"> وإجراء تحقيق سريع ونزيه كل</w:t>
      </w:r>
      <w:r>
        <w:rPr>
          <w:rFonts w:hint="cs"/>
          <w:b/>
          <w:bCs/>
          <w:rtl/>
        </w:rPr>
        <w:t>ّ</w:t>
      </w:r>
      <w:r w:rsidRPr="00FE053F">
        <w:rPr>
          <w:rFonts w:hint="cs"/>
          <w:b/>
          <w:bCs/>
          <w:rtl/>
        </w:rPr>
        <w:t xml:space="preserve">ما وجدت أسباب معقولة </w:t>
      </w:r>
      <w:r>
        <w:rPr>
          <w:rFonts w:hint="cs"/>
          <w:b/>
          <w:bCs/>
          <w:rtl/>
        </w:rPr>
        <w:t>ل</w:t>
      </w:r>
      <w:r w:rsidRPr="00FE053F">
        <w:rPr>
          <w:rFonts w:hint="cs"/>
          <w:b/>
          <w:bCs/>
          <w:rtl/>
        </w:rPr>
        <w:t xml:space="preserve">لاعتقاد </w:t>
      </w:r>
      <w:r>
        <w:rPr>
          <w:rFonts w:hint="cs"/>
          <w:b/>
          <w:bCs/>
          <w:rtl/>
        </w:rPr>
        <w:t>بأن المشتبه فيه تعرض للتعذيب</w:t>
      </w:r>
      <w:r w:rsidRPr="00FE053F">
        <w:rPr>
          <w:rFonts w:hint="cs"/>
          <w:b/>
          <w:bCs/>
          <w:rtl/>
        </w:rPr>
        <w:t xml:space="preserve"> </w:t>
      </w:r>
      <w:r>
        <w:rPr>
          <w:rFonts w:hint="cs"/>
          <w:b/>
          <w:bCs/>
          <w:rtl/>
        </w:rPr>
        <w:t xml:space="preserve">لا </w:t>
      </w:r>
      <w:r w:rsidRPr="00FE053F">
        <w:rPr>
          <w:rFonts w:hint="cs"/>
          <w:b/>
          <w:bCs/>
          <w:rtl/>
        </w:rPr>
        <w:t>سيما إذا كانت الاعترافات هي دليل</w:t>
      </w:r>
      <w:r>
        <w:rPr>
          <w:rFonts w:hint="cs"/>
          <w:b/>
          <w:bCs/>
          <w:rtl/>
        </w:rPr>
        <w:t xml:space="preserve"> إدانته الوحيد. وفي هذه الحالة</w:t>
      </w:r>
      <w:r w:rsidRPr="00FE053F">
        <w:rPr>
          <w:rFonts w:hint="cs"/>
          <w:b/>
          <w:bCs/>
          <w:rtl/>
        </w:rPr>
        <w:t xml:space="preserve">، يجب أن </w:t>
      </w:r>
      <w:r>
        <w:rPr>
          <w:rFonts w:hint="cs"/>
          <w:b/>
          <w:bCs/>
          <w:rtl/>
        </w:rPr>
        <w:t>يقع عبء الإثبات على الشخص المدعي أنه ضحية</w:t>
      </w:r>
      <w:r w:rsidRPr="00FE053F">
        <w:rPr>
          <w:rFonts w:hint="cs"/>
          <w:b/>
          <w:bCs/>
          <w:rtl/>
        </w:rPr>
        <w:t>؛</w:t>
      </w:r>
    </w:p>
    <w:p w:rsidR="00E470AE" w:rsidRPr="00FE053F" w:rsidRDefault="00E470AE" w:rsidP="00E470AE">
      <w:pPr>
        <w:pStyle w:val="SingleTxtGA"/>
        <w:rPr>
          <w:rFonts w:hint="cs"/>
          <w:b/>
          <w:bCs/>
          <w:rtl/>
        </w:rPr>
      </w:pPr>
      <w:r>
        <w:rPr>
          <w:rFonts w:hint="cs"/>
          <w:b/>
          <w:bCs/>
          <w:rtl/>
        </w:rPr>
        <w:tab/>
      </w:r>
      <w:r w:rsidRPr="00FE053F">
        <w:rPr>
          <w:rFonts w:hint="cs"/>
          <w:b/>
          <w:bCs/>
          <w:rtl/>
        </w:rPr>
        <w:t>(ج)</w:t>
      </w:r>
      <w:r>
        <w:rPr>
          <w:rFonts w:hint="cs"/>
          <w:b/>
          <w:bCs/>
          <w:rtl/>
        </w:rPr>
        <w:tab/>
      </w:r>
      <w:r w:rsidRPr="00FE053F">
        <w:rPr>
          <w:rFonts w:hint="cs"/>
          <w:b/>
          <w:bCs/>
          <w:rtl/>
        </w:rPr>
        <w:t xml:space="preserve">ضمان مراجعة القضايا التي أدين فيها </w:t>
      </w:r>
      <w:r>
        <w:rPr>
          <w:rFonts w:hint="cs"/>
          <w:b/>
          <w:bCs/>
          <w:rtl/>
        </w:rPr>
        <w:t>المتهمون</w:t>
      </w:r>
      <w:r w:rsidRPr="00FE053F">
        <w:rPr>
          <w:rFonts w:hint="cs"/>
          <w:b/>
          <w:bCs/>
          <w:rtl/>
        </w:rPr>
        <w:t xml:space="preserve"> بناء</w:t>
      </w:r>
      <w:r>
        <w:rPr>
          <w:rFonts w:hint="cs"/>
          <w:b/>
          <w:bCs/>
          <w:rtl/>
        </w:rPr>
        <w:t>ً</w:t>
      </w:r>
      <w:r w:rsidRPr="00FE053F">
        <w:rPr>
          <w:rFonts w:hint="cs"/>
          <w:b/>
          <w:bCs/>
          <w:rtl/>
        </w:rPr>
        <w:t xml:space="preserve"> على اعترافاتهم فقط، بما أن الكثير من </w:t>
      </w:r>
      <w:r>
        <w:rPr>
          <w:rFonts w:hint="cs"/>
          <w:b/>
          <w:bCs/>
          <w:rtl/>
        </w:rPr>
        <w:t xml:space="preserve">هذه </w:t>
      </w:r>
      <w:r w:rsidRPr="00FE053F">
        <w:rPr>
          <w:rFonts w:hint="cs"/>
          <w:b/>
          <w:bCs/>
          <w:rtl/>
        </w:rPr>
        <w:t xml:space="preserve">الإدانات قد يكون </w:t>
      </w:r>
      <w:r>
        <w:rPr>
          <w:rFonts w:hint="cs"/>
          <w:b/>
          <w:bCs/>
          <w:rtl/>
        </w:rPr>
        <w:t xml:space="preserve">مستنداً </w:t>
      </w:r>
      <w:r w:rsidRPr="00FE053F">
        <w:rPr>
          <w:rFonts w:hint="cs"/>
          <w:b/>
          <w:bCs/>
          <w:rtl/>
        </w:rPr>
        <w:t>إلى أدلة منتزعة تحت التعذيب أو سوء المعاملة، وضمان إجراء تحقيقات مناسبة وسر</w:t>
      </w:r>
      <w:r>
        <w:rPr>
          <w:rFonts w:hint="cs"/>
          <w:b/>
          <w:bCs/>
          <w:rtl/>
        </w:rPr>
        <w:t>يعة ونزيهة في هذه الحالات واعتماد تدابير تصحيحية</w:t>
      </w:r>
      <w:r w:rsidRPr="00FE053F">
        <w:rPr>
          <w:rFonts w:hint="cs"/>
          <w:b/>
          <w:bCs/>
          <w:rtl/>
        </w:rPr>
        <w:t xml:space="preserve"> مناسبة؛</w:t>
      </w:r>
    </w:p>
    <w:p w:rsidR="00E470AE" w:rsidRPr="00FE053F" w:rsidRDefault="00E470AE" w:rsidP="00E470AE">
      <w:pPr>
        <w:pStyle w:val="SingleTxtGA"/>
        <w:rPr>
          <w:rFonts w:hint="cs"/>
          <w:b/>
          <w:bCs/>
          <w:rtl/>
        </w:rPr>
      </w:pPr>
      <w:r>
        <w:rPr>
          <w:rFonts w:hint="cs"/>
          <w:b/>
          <w:bCs/>
          <w:rtl/>
        </w:rPr>
        <w:tab/>
        <w:t>(د)</w:t>
      </w:r>
      <w:r>
        <w:rPr>
          <w:rFonts w:hint="cs"/>
          <w:b/>
          <w:bCs/>
          <w:rtl/>
        </w:rPr>
        <w:tab/>
        <w:t>المضي في</w:t>
      </w:r>
      <w:r w:rsidRPr="00FE053F">
        <w:rPr>
          <w:rFonts w:hint="cs"/>
          <w:b/>
          <w:bCs/>
          <w:rtl/>
        </w:rPr>
        <w:t xml:space="preserve"> تنفيذ برامج تدريب العاملين في مجال إقامة العدل على نظام القضا</w:t>
      </w:r>
      <w:r>
        <w:rPr>
          <w:rFonts w:hint="cs"/>
          <w:b/>
          <w:bCs/>
          <w:rtl/>
        </w:rPr>
        <w:t>ء</w:t>
      </w:r>
      <w:r w:rsidRPr="00FE053F">
        <w:rPr>
          <w:rFonts w:hint="cs"/>
          <w:b/>
          <w:bCs/>
          <w:rtl/>
        </w:rPr>
        <w:t xml:space="preserve"> الجنائي الجديد.</w:t>
      </w:r>
    </w:p>
    <w:p w:rsidR="00E470AE" w:rsidRPr="0095012F" w:rsidRDefault="00E470AE" w:rsidP="00E470AE">
      <w:pPr>
        <w:pStyle w:val="H23GA"/>
        <w:rPr>
          <w:rFonts w:hint="cs"/>
          <w:rtl/>
        </w:rPr>
      </w:pPr>
      <w:r>
        <w:rPr>
          <w:rFonts w:hint="cs"/>
          <w:rtl/>
        </w:rPr>
        <w:tab/>
      </w:r>
      <w:r>
        <w:rPr>
          <w:rFonts w:hint="cs"/>
          <w:rtl/>
        </w:rPr>
        <w:tab/>
      </w:r>
      <w:r w:rsidRPr="0095012F">
        <w:rPr>
          <w:rFonts w:hint="cs"/>
          <w:rtl/>
        </w:rPr>
        <w:t xml:space="preserve">الإفلات من العقاب </w:t>
      </w:r>
      <w:r>
        <w:rPr>
          <w:rFonts w:hint="cs"/>
          <w:rtl/>
        </w:rPr>
        <w:t>على أعمال</w:t>
      </w:r>
      <w:r w:rsidRPr="0095012F">
        <w:rPr>
          <w:rFonts w:hint="cs"/>
          <w:rtl/>
        </w:rPr>
        <w:t xml:space="preserve"> التعذيب وسوء المعاملة</w:t>
      </w:r>
      <w:r>
        <w:rPr>
          <w:rFonts w:hint="cs"/>
          <w:rtl/>
        </w:rPr>
        <w:t xml:space="preserve"> </w:t>
      </w:r>
    </w:p>
    <w:p w:rsidR="00E470AE" w:rsidRPr="00D560C9" w:rsidRDefault="00D560C9" w:rsidP="00D560C9">
      <w:pPr>
        <w:pStyle w:val="SingleTxtGA"/>
        <w:rPr>
          <w:rFonts w:hint="cs"/>
          <w:spacing w:val="-2"/>
        </w:rPr>
      </w:pPr>
      <w:r>
        <w:rPr>
          <w:rFonts w:hint="cs"/>
          <w:rtl/>
        </w:rPr>
        <w:t>(</w:t>
      </w:r>
      <w:r w:rsidR="00E470AE">
        <w:rPr>
          <w:rFonts w:hint="cs"/>
          <w:rtl/>
        </w:rPr>
        <w:t>16</w:t>
      </w:r>
      <w:r>
        <w:rPr>
          <w:rFonts w:hint="cs"/>
          <w:rtl/>
        </w:rPr>
        <w:t>)</w:t>
      </w:r>
      <w:r w:rsidR="00E470AE">
        <w:rPr>
          <w:rFonts w:hint="cs"/>
          <w:rtl/>
        </w:rPr>
        <w:tab/>
        <w:t>تحيط اللجنة علماً مع القلق بالمعلومات المقدمة من الدولة الطرف بخصوص إصدار المحاكم 6 قرارات فقط بشأن التعذيب منذ عام 2005، بالإضافة إلى 143 قراراً بشأن</w:t>
      </w:r>
      <w:r>
        <w:rPr>
          <w:rFonts w:hint="cs"/>
          <w:rtl/>
        </w:rPr>
        <w:t xml:space="preserve"> </w:t>
      </w:r>
      <w:r w:rsidR="00E470AE">
        <w:rPr>
          <w:rFonts w:hint="cs"/>
          <w:rtl/>
        </w:rPr>
        <w:t>إساءة استعمال السلطة و60 قراراً بشأن إساءة استعمال المناصب العامة و305 قرارات بشأن ممارسة السلطة العامة دون ترخيص. وتعرب اللجنة عن أسفها لعدم تضمن المعلومات المقدمة إليها إحصاءات مفصّلة تتعلق بالفترة المشمولة بالتقرير وتبين عدد الشكاوى المودعة لدى الهيئات المختصة أو بيانات محددة بشأن العقوبات المفروضة أو</w:t>
      </w:r>
      <w:r w:rsidR="00E470AE">
        <w:rPr>
          <w:rFonts w:hint="eastAsia"/>
          <w:rtl/>
        </w:rPr>
        <w:t> </w:t>
      </w:r>
      <w:r w:rsidR="00E470AE">
        <w:rPr>
          <w:rFonts w:hint="cs"/>
          <w:rtl/>
        </w:rPr>
        <w:t xml:space="preserve">التعويضات المقدمة فعلياً. </w:t>
      </w:r>
      <w:r w:rsidR="00E470AE" w:rsidRPr="00D560C9">
        <w:rPr>
          <w:rFonts w:hint="cs"/>
          <w:spacing w:val="-2"/>
          <w:rtl/>
        </w:rPr>
        <w:t>كما تعرب عن قلقها إزاء ما وردها من ادعاءات تواطؤ المدعين العامين مع شرطة التحقيق. وتعرب عن قلقها كذلك إزاء التقارير التي تفيد بأن المدعين العامين، وفي بعض الأحيان القضاة أنفسهم، يتجاهلون ادعاءات تعرض المتهمين للتعذيب أو يغلقون هذه الملفات باعتبارها لا تمثل جرائم خطيرة. وأخيراً، تعرب اللجنة عن أسفها لأن المعلومات المقدمة إليها</w:t>
      </w:r>
      <w:r w:rsidR="00E470AE" w:rsidRPr="00D560C9">
        <w:rPr>
          <w:rFonts w:hint="eastAsia"/>
          <w:spacing w:val="-2"/>
          <w:rtl/>
        </w:rPr>
        <w:t> </w:t>
      </w:r>
      <w:r w:rsidR="00E470AE" w:rsidRPr="00D560C9">
        <w:rPr>
          <w:rFonts w:hint="cs"/>
          <w:spacing w:val="-2"/>
          <w:rtl/>
        </w:rPr>
        <w:t>لا تحدد الإجراءات المتخذة لتنفيذ توصيات اللجنة الوطنية لحقوق الإنسان (المادتان 12 و13).</w:t>
      </w:r>
    </w:p>
    <w:p w:rsidR="00E470AE" w:rsidRPr="001C7D4C" w:rsidRDefault="00E470AE" w:rsidP="00E470AE">
      <w:pPr>
        <w:pStyle w:val="SingleTxtGA"/>
        <w:rPr>
          <w:rFonts w:hint="cs"/>
          <w:b/>
          <w:bCs/>
          <w:rtl/>
        </w:rPr>
      </w:pPr>
      <w:r>
        <w:rPr>
          <w:rFonts w:hint="cs"/>
          <w:b/>
          <w:bCs/>
          <w:rtl/>
        </w:rPr>
        <w:tab/>
      </w:r>
      <w:r w:rsidRPr="001C7D4C">
        <w:rPr>
          <w:rFonts w:hint="cs"/>
          <w:b/>
          <w:bCs/>
          <w:rtl/>
        </w:rPr>
        <w:t>تحث اللجنة الدولة الطرف على القيام بما يلي:</w:t>
      </w:r>
    </w:p>
    <w:p w:rsidR="00E470AE" w:rsidRPr="001C7D4C" w:rsidRDefault="00E470AE" w:rsidP="00E470AE">
      <w:pPr>
        <w:pStyle w:val="SingleTxtGA"/>
        <w:rPr>
          <w:rFonts w:hint="cs"/>
          <w:b/>
          <w:bCs/>
          <w:rtl/>
        </w:rPr>
      </w:pPr>
      <w:r>
        <w:rPr>
          <w:rFonts w:hint="cs"/>
          <w:b/>
          <w:bCs/>
          <w:rtl/>
        </w:rPr>
        <w:tab/>
        <w:t>(أ)</w:t>
      </w:r>
      <w:r>
        <w:rPr>
          <w:rFonts w:hint="cs"/>
          <w:b/>
          <w:bCs/>
          <w:rtl/>
        </w:rPr>
        <w:tab/>
      </w:r>
      <w:r w:rsidRPr="001C7D4C">
        <w:rPr>
          <w:rFonts w:hint="cs"/>
          <w:b/>
          <w:bCs/>
          <w:rtl/>
        </w:rPr>
        <w:t xml:space="preserve">تعزيز رصد قوات </w:t>
      </w:r>
      <w:r>
        <w:rPr>
          <w:rFonts w:hint="cs"/>
          <w:b/>
          <w:bCs/>
          <w:rtl/>
        </w:rPr>
        <w:t>ووكالات الأمن في الدولة الطرف ومراقبتها</w:t>
      </w:r>
      <w:r w:rsidRPr="001C7D4C">
        <w:rPr>
          <w:rFonts w:hint="cs"/>
          <w:b/>
          <w:bCs/>
          <w:rtl/>
        </w:rPr>
        <w:t xml:space="preserve"> من خلال القيام</w:t>
      </w:r>
      <w:r>
        <w:rPr>
          <w:rFonts w:hint="cs"/>
          <w:b/>
          <w:bCs/>
          <w:rtl/>
        </w:rPr>
        <w:t>،</w:t>
      </w:r>
      <w:r w:rsidRPr="001C7D4C">
        <w:rPr>
          <w:rFonts w:hint="cs"/>
          <w:b/>
          <w:bCs/>
          <w:rtl/>
        </w:rPr>
        <w:t xml:space="preserve"> على </w:t>
      </w:r>
      <w:r>
        <w:rPr>
          <w:rFonts w:hint="cs"/>
          <w:b/>
          <w:bCs/>
          <w:rtl/>
        </w:rPr>
        <w:t xml:space="preserve">وجه </w:t>
      </w:r>
      <w:r w:rsidRPr="001C7D4C">
        <w:rPr>
          <w:rFonts w:hint="cs"/>
          <w:b/>
          <w:bCs/>
          <w:rtl/>
        </w:rPr>
        <w:t>الخصوص</w:t>
      </w:r>
      <w:r>
        <w:rPr>
          <w:rFonts w:hint="cs"/>
          <w:b/>
          <w:bCs/>
          <w:rtl/>
        </w:rPr>
        <w:t>،</w:t>
      </w:r>
      <w:r w:rsidRPr="001C7D4C">
        <w:rPr>
          <w:rFonts w:hint="cs"/>
          <w:b/>
          <w:bCs/>
          <w:rtl/>
        </w:rPr>
        <w:t xml:space="preserve"> بإنشاء نظام فعال ومستقل </w:t>
      </w:r>
      <w:r>
        <w:rPr>
          <w:rFonts w:hint="cs"/>
          <w:b/>
          <w:bCs/>
          <w:rtl/>
        </w:rPr>
        <w:t>ومتيسر</w:t>
      </w:r>
      <w:r w:rsidRPr="001C7D4C">
        <w:rPr>
          <w:rFonts w:hint="cs"/>
          <w:b/>
          <w:bCs/>
          <w:rtl/>
        </w:rPr>
        <w:t xml:space="preserve"> لاستلام الشكاوى و</w:t>
      </w:r>
      <w:r>
        <w:rPr>
          <w:rFonts w:hint="cs"/>
          <w:b/>
          <w:bCs/>
          <w:rtl/>
        </w:rPr>
        <w:t>ب</w:t>
      </w:r>
      <w:r w:rsidRPr="001C7D4C">
        <w:rPr>
          <w:rFonts w:hint="cs"/>
          <w:b/>
          <w:bCs/>
          <w:rtl/>
        </w:rPr>
        <w:t xml:space="preserve">إجراء تحقيقات سريعة وشاملة ونزيهة في التقارير المتعلقة بالتعذيب أو سوء المعاملة. وينبغي </w:t>
      </w:r>
      <w:r>
        <w:rPr>
          <w:rFonts w:hint="cs"/>
          <w:b/>
          <w:bCs/>
          <w:rtl/>
        </w:rPr>
        <w:t>أن تضطلع بهذه</w:t>
      </w:r>
      <w:r w:rsidRPr="001C7D4C">
        <w:rPr>
          <w:rFonts w:hint="cs"/>
          <w:b/>
          <w:bCs/>
          <w:rtl/>
        </w:rPr>
        <w:t xml:space="preserve"> التحقيقات وكالة مستقلة لا تخضع للسلطة التنفيذية. وفي هذا الصدد، ينبغي التحقيق في </w:t>
      </w:r>
      <w:r>
        <w:rPr>
          <w:rFonts w:hint="cs"/>
          <w:b/>
          <w:bCs/>
          <w:rtl/>
        </w:rPr>
        <w:t>أي ادعاءات فساد</w:t>
      </w:r>
      <w:r w:rsidRPr="001C7D4C">
        <w:rPr>
          <w:rFonts w:hint="cs"/>
          <w:b/>
          <w:bCs/>
          <w:rtl/>
        </w:rPr>
        <w:t xml:space="preserve"> </w:t>
      </w:r>
      <w:r>
        <w:rPr>
          <w:rFonts w:hint="cs"/>
          <w:b/>
          <w:bCs/>
          <w:rtl/>
        </w:rPr>
        <w:t>وملاحقة من يثبت تورطهم فيه</w:t>
      </w:r>
      <w:r w:rsidRPr="001C7D4C">
        <w:rPr>
          <w:rFonts w:hint="cs"/>
          <w:b/>
          <w:bCs/>
          <w:rtl/>
        </w:rPr>
        <w:t>؛</w:t>
      </w:r>
    </w:p>
    <w:p w:rsidR="00E470AE" w:rsidRPr="001A2955" w:rsidRDefault="00E470AE" w:rsidP="00E470AE">
      <w:pPr>
        <w:pStyle w:val="SingleTxtGA"/>
        <w:rPr>
          <w:rFonts w:hint="cs"/>
          <w:b/>
          <w:bCs/>
          <w:rtl/>
        </w:rPr>
      </w:pPr>
      <w:r>
        <w:rPr>
          <w:rFonts w:hint="cs"/>
          <w:b/>
          <w:bCs/>
          <w:rtl/>
        </w:rPr>
        <w:tab/>
        <w:t>(ب)</w:t>
      </w:r>
      <w:r>
        <w:rPr>
          <w:rFonts w:hint="cs"/>
          <w:b/>
          <w:bCs/>
          <w:rtl/>
        </w:rPr>
        <w:tab/>
      </w:r>
      <w:r w:rsidRPr="001A2955">
        <w:rPr>
          <w:rFonts w:hint="cs"/>
          <w:b/>
          <w:bCs/>
          <w:rtl/>
        </w:rPr>
        <w:t xml:space="preserve">ضمان تقديم الشكاوى </w:t>
      </w:r>
      <w:r>
        <w:rPr>
          <w:rFonts w:hint="cs"/>
          <w:b/>
          <w:bCs/>
          <w:rtl/>
        </w:rPr>
        <w:t>كتابةً</w:t>
      </w:r>
      <w:r w:rsidRPr="001A2955">
        <w:rPr>
          <w:rFonts w:hint="cs"/>
          <w:b/>
          <w:bCs/>
          <w:rtl/>
        </w:rPr>
        <w:t xml:space="preserve"> والتحقيق فيها بما يكفي، و</w:t>
      </w:r>
      <w:r>
        <w:rPr>
          <w:rFonts w:hint="cs"/>
          <w:b/>
          <w:bCs/>
          <w:rtl/>
        </w:rPr>
        <w:t>إخضاع الأشخاص المدعي أنهم ضحايا</w:t>
      </w:r>
      <w:r w:rsidRPr="001A2955">
        <w:rPr>
          <w:rFonts w:hint="cs"/>
          <w:b/>
          <w:bCs/>
          <w:rtl/>
        </w:rPr>
        <w:t xml:space="preserve"> </w:t>
      </w:r>
      <w:r>
        <w:rPr>
          <w:rFonts w:hint="cs"/>
          <w:b/>
          <w:bCs/>
          <w:rtl/>
        </w:rPr>
        <w:t>ل</w:t>
      </w:r>
      <w:r w:rsidRPr="001A2955">
        <w:rPr>
          <w:rFonts w:hint="cs"/>
          <w:b/>
          <w:bCs/>
          <w:rtl/>
        </w:rPr>
        <w:t>فحص طبي فوري</w:t>
      </w:r>
      <w:r>
        <w:rPr>
          <w:rFonts w:hint="cs"/>
          <w:b/>
          <w:bCs/>
          <w:rtl/>
        </w:rPr>
        <w:t xml:space="preserve"> يضطلع به</w:t>
      </w:r>
      <w:r w:rsidRPr="001A2955">
        <w:rPr>
          <w:rFonts w:hint="cs"/>
          <w:b/>
          <w:bCs/>
          <w:rtl/>
        </w:rPr>
        <w:t xml:space="preserve"> طبيب شرعي؛</w:t>
      </w:r>
    </w:p>
    <w:p w:rsidR="00E470AE" w:rsidRPr="001A2955" w:rsidRDefault="00E470AE" w:rsidP="00D560C9">
      <w:pPr>
        <w:pStyle w:val="SingleTxtGA"/>
        <w:rPr>
          <w:rFonts w:hint="cs"/>
          <w:b/>
          <w:bCs/>
          <w:rtl/>
        </w:rPr>
      </w:pPr>
      <w:r>
        <w:rPr>
          <w:rFonts w:hint="cs"/>
          <w:b/>
          <w:bCs/>
          <w:rtl/>
        </w:rPr>
        <w:tab/>
      </w:r>
      <w:r w:rsidRPr="001A2955">
        <w:rPr>
          <w:rFonts w:hint="cs"/>
          <w:b/>
          <w:bCs/>
          <w:rtl/>
        </w:rPr>
        <w:t>(ج)</w:t>
      </w:r>
      <w:r>
        <w:rPr>
          <w:rFonts w:hint="cs"/>
          <w:b/>
          <w:bCs/>
          <w:rtl/>
        </w:rPr>
        <w:tab/>
        <w:t xml:space="preserve">المبادرة إلى </w:t>
      </w:r>
      <w:r w:rsidRPr="001A2955">
        <w:rPr>
          <w:rFonts w:hint="cs"/>
          <w:b/>
          <w:bCs/>
          <w:rtl/>
        </w:rPr>
        <w:t>فتح تحقيقات كلّما توافر</w:t>
      </w:r>
      <w:r>
        <w:rPr>
          <w:rFonts w:hint="cs"/>
          <w:b/>
          <w:bCs/>
          <w:rtl/>
        </w:rPr>
        <w:t>ت أسباب معقولة ل</w:t>
      </w:r>
      <w:r w:rsidRPr="001A2955">
        <w:rPr>
          <w:rFonts w:hint="cs"/>
          <w:b/>
          <w:bCs/>
          <w:rtl/>
        </w:rPr>
        <w:t xml:space="preserve">اعتقاد </w:t>
      </w:r>
      <w:r>
        <w:rPr>
          <w:rFonts w:hint="cs"/>
          <w:b/>
          <w:bCs/>
          <w:rtl/>
        </w:rPr>
        <w:t>بحدوث</w:t>
      </w:r>
      <w:r w:rsidR="00D560C9">
        <w:rPr>
          <w:rFonts w:hint="eastAsia"/>
          <w:b/>
          <w:bCs/>
          <w:rtl/>
        </w:rPr>
        <w:t> </w:t>
      </w:r>
      <w:r>
        <w:rPr>
          <w:rFonts w:hint="cs"/>
          <w:b/>
          <w:bCs/>
          <w:rtl/>
        </w:rPr>
        <w:t>تعذيب</w:t>
      </w:r>
      <w:r w:rsidRPr="001A2955">
        <w:rPr>
          <w:rFonts w:hint="cs"/>
          <w:b/>
          <w:bCs/>
          <w:rtl/>
        </w:rPr>
        <w:t>؛</w:t>
      </w:r>
    </w:p>
    <w:p w:rsidR="00E470AE" w:rsidRPr="001A2955" w:rsidRDefault="00E470AE" w:rsidP="00D560C9">
      <w:pPr>
        <w:pStyle w:val="SingleTxtGA"/>
        <w:spacing w:line="370" w:lineRule="exact"/>
        <w:rPr>
          <w:rFonts w:hint="cs"/>
          <w:b/>
          <w:bCs/>
          <w:rtl/>
        </w:rPr>
      </w:pPr>
      <w:r>
        <w:rPr>
          <w:rFonts w:hint="cs"/>
          <w:b/>
          <w:bCs/>
          <w:rtl/>
        </w:rPr>
        <w:tab/>
      </w:r>
      <w:r w:rsidRPr="001A2955">
        <w:rPr>
          <w:rFonts w:hint="cs"/>
          <w:b/>
          <w:bCs/>
          <w:rtl/>
        </w:rPr>
        <w:t>(د)</w:t>
      </w:r>
      <w:r>
        <w:rPr>
          <w:rFonts w:hint="cs"/>
          <w:b/>
          <w:bCs/>
          <w:rtl/>
        </w:rPr>
        <w:tab/>
      </w:r>
      <w:r w:rsidRPr="001A2955">
        <w:rPr>
          <w:rFonts w:hint="cs"/>
          <w:b/>
          <w:bCs/>
          <w:rtl/>
        </w:rPr>
        <w:t>القيام</w:t>
      </w:r>
      <w:r>
        <w:rPr>
          <w:rFonts w:hint="cs"/>
          <w:b/>
          <w:bCs/>
          <w:rtl/>
        </w:rPr>
        <w:t>،</w:t>
      </w:r>
      <w:r w:rsidRPr="001A2955">
        <w:rPr>
          <w:rFonts w:hint="cs"/>
          <w:b/>
          <w:bCs/>
          <w:rtl/>
        </w:rPr>
        <w:t xml:space="preserve"> في حالات التعذيب أو سوء المعاملة </w:t>
      </w:r>
      <w:r>
        <w:rPr>
          <w:rFonts w:hint="cs"/>
          <w:b/>
          <w:bCs/>
          <w:rtl/>
        </w:rPr>
        <w:t xml:space="preserve">المزعومة، </w:t>
      </w:r>
      <w:r w:rsidRPr="001A2955">
        <w:rPr>
          <w:rFonts w:hint="cs"/>
          <w:b/>
          <w:bCs/>
          <w:rtl/>
        </w:rPr>
        <w:t>ب</w:t>
      </w:r>
      <w:r>
        <w:rPr>
          <w:rFonts w:hint="cs"/>
          <w:b/>
          <w:bCs/>
          <w:rtl/>
        </w:rPr>
        <w:t xml:space="preserve">ضمان </w:t>
      </w:r>
      <w:r w:rsidRPr="001A2955">
        <w:rPr>
          <w:rFonts w:hint="cs"/>
          <w:b/>
          <w:bCs/>
          <w:rtl/>
        </w:rPr>
        <w:t>توقيف المشتبه فيهم عن العمل فور</w:t>
      </w:r>
      <w:r>
        <w:rPr>
          <w:rFonts w:hint="cs"/>
          <w:b/>
          <w:bCs/>
          <w:rtl/>
        </w:rPr>
        <w:t xml:space="preserve">اً </w:t>
      </w:r>
      <w:r w:rsidRPr="001A2955">
        <w:rPr>
          <w:rFonts w:hint="cs"/>
          <w:b/>
          <w:bCs/>
          <w:rtl/>
        </w:rPr>
        <w:t>وإلى حين انتهاء التحقيق،</w:t>
      </w:r>
      <w:r>
        <w:rPr>
          <w:rFonts w:hint="cs"/>
          <w:b/>
          <w:bCs/>
          <w:rtl/>
        </w:rPr>
        <w:t xml:space="preserve"> خاصة عند احتمال تكرار</w:t>
      </w:r>
      <w:r w:rsidRPr="001A2955">
        <w:rPr>
          <w:rFonts w:hint="cs"/>
          <w:b/>
          <w:bCs/>
          <w:rtl/>
        </w:rPr>
        <w:t xml:space="preserve"> ال</w:t>
      </w:r>
      <w:r>
        <w:rPr>
          <w:rFonts w:hint="cs"/>
          <w:b/>
          <w:bCs/>
          <w:rtl/>
        </w:rPr>
        <w:t>أعمال</w:t>
      </w:r>
      <w:r w:rsidRPr="001A2955">
        <w:rPr>
          <w:rFonts w:hint="cs"/>
          <w:b/>
          <w:bCs/>
          <w:rtl/>
        </w:rPr>
        <w:t xml:space="preserve"> </w:t>
      </w:r>
      <w:r>
        <w:rPr>
          <w:rFonts w:hint="cs"/>
          <w:b/>
          <w:bCs/>
          <w:rtl/>
        </w:rPr>
        <w:t>المزعومة</w:t>
      </w:r>
      <w:r w:rsidRPr="001A2955">
        <w:rPr>
          <w:rFonts w:hint="cs"/>
          <w:b/>
          <w:bCs/>
          <w:rtl/>
        </w:rPr>
        <w:t xml:space="preserve"> أو عرقل</w:t>
      </w:r>
      <w:r>
        <w:rPr>
          <w:rFonts w:hint="cs"/>
          <w:b/>
          <w:bCs/>
          <w:rtl/>
        </w:rPr>
        <w:t>ة</w:t>
      </w:r>
      <w:r w:rsidRPr="001A2955">
        <w:rPr>
          <w:rFonts w:hint="cs"/>
          <w:b/>
          <w:bCs/>
          <w:rtl/>
        </w:rPr>
        <w:t xml:space="preserve"> التحقيقات؛</w:t>
      </w:r>
    </w:p>
    <w:p w:rsidR="00E470AE" w:rsidRPr="001A2955" w:rsidRDefault="00E470AE" w:rsidP="00D560C9">
      <w:pPr>
        <w:pStyle w:val="SingleTxtGA"/>
        <w:spacing w:line="370" w:lineRule="exact"/>
        <w:rPr>
          <w:rFonts w:hint="cs"/>
          <w:b/>
          <w:bCs/>
          <w:rtl/>
        </w:rPr>
      </w:pPr>
      <w:r>
        <w:rPr>
          <w:rFonts w:hint="cs"/>
          <w:b/>
          <w:bCs/>
          <w:rtl/>
        </w:rPr>
        <w:tab/>
      </w:r>
      <w:r w:rsidRPr="001A2955">
        <w:rPr>
          <w:rFonts w:hint="cs"/>
          <w:b/>
          <w:bCs/>
          <w:rtl/>
        </w:rPr>
        <w:t>(</w:t>
      </w:r>
      <w:r w:rsidRPr="0083743D">
        <w:rPr>
          <w:rFonts w:hint="cs"/>
          <w:b/>
          <w:bCs/>
          <w:sz w:val="30"/>
          <w:rtl/>
        </w:rPr>
        <w:t>ﻫ</w:t>
      </w:r>
      <w:r w:rsidRPr="001A2955">
        <w:rPr>
          <w:rFonts w:hint="cs"/>
          <w:b/>
          <w:bCs/>
          <w:rtl/>
        </w:rPr>
        <w:t>)</w:t>
      </w:r>
      <w:r>
        <w:rPr>
          <w:rFonts w:hint="cs"/>
          <w:b/>
          <w:bCs/>
          <w:rtl/>
        </w:rPr>
        <w:tab/>
      </w:r>
      <w:r w:rsidRPr="001A2955">
        <w:rPr>
          <w:rFonts w:hint="cs"/>
          <w:b/>
          <w:bCs/>
          <w:rtl/>
        </w:rPr>
        <w:t xml:space="preserve">ملاحقة المتهمين بارتكاب أعمال التعذيب وسوء المعاملة وضمان </w:t>
      </w:r>
      <w:r>
        <w:rPr>
          <w:rFonts w:hint="cs"/>
          <w:b/>
          <w:bCs/>
          <w:rtl/>
        </w:rPr>
        <w:t xml:space="preserve">معاقبتهم </w:t>
      </w:r>
      <w:r w:rsidRPr="001A2955">
        <w:rPr>
          <w:rFonts w:hint="cs"/>
          <w:b/>
          <w:bCs/>
          <w:rtl/>
        </w:rPr>
        <w:t xml:space="preserve">في حال </w:t>
      </w:r>
      <w:r>
        <w:rPr>
          <w:rFonts w:hint="cs"/>
          <w:b/>
          <w:bCs/>
          <w:rtl/>
        </w:rPr>
        <w:t>إدانتهم</w:t>
      </w:r>
      <w:r w:rsidRPr="001A2955">
        <w:rPr>
          <w:rFonts w:hint="cs"/>
          <w:b/>
          <w:bCs/>
          <w:rtl/>
        </w:rPr>
        <w:t xml:space="preserve"> بعقوبات تتناسب وخطورة أعمالهم؛</w:t>
      </w:r>
    </w:p>
    <w:p w:rsidR="00E470AE" w:rsidRPr="001A2955" w:rsidRDefault="00E470AE" w:rsidP="00D560C9">
      <w:pPr>
        <w:pStyle w:val="SingleTxtGA"/>
        <w:spacing w:line="370" w:lineRule="exact"/>
        <w:rPr>
          <w:rFonts w:hint="cs"/>
          <w:b/>
          <w:bCs/>
          <w:rtl/>
        </w:rPr>
      </w:pPr>
      <w:r>
        <w:rPr>
          <w:rFonts w:hint="cs"/>
          <w:b/>
          <w:bCs/>
          <w:rtl/>
        </w:rPr>
        <w:tab/>
        <w:t>(و)</w:t>
      </w:r>
      <w:r>
        <w:rPr>
          <w:rFonts w:hint="cs"/>
          <w:b/>
          <w:bCs/>
          <w:rtl/>
        </w:rPr>
        <w:tab/>
        <w:t>إنشاء سجل مركزي ل</w:t>
      </w:r>
      <w:r w:rsidRPr="001A2955">
        <w:rPr>
          <w:rFonts w:hint="cs"/>
          <w:b/>
          <w:bCs/>
          <w:rtl/>
        </w:rPr>
        <w:t>تقارير التعذيب وسوء المعاملة.</w:t>
      </w:r>
    </w:p>
    <w:p w:rsidR="00E470AE" w:rsidRPr="008342D3" w:rsidRDefault="00E470AE" w:rsidP="00D560C9">
      <w:pPr>
        <w:pStyle w:val="H23GA"/>
        <w:spacing w:line="370" w:lineRule="exact"/>
        <w:rPr>
          <w:rFonts w:hint="cs"/>
        </w:rPr>
      </w:pPr>
      <w:r>
        <w:rPr>
          <w:rFonts w:hint="cs"/>
          <w:rtl/>
        </w:rPr>
        <w:tab/>
      </w:r>
      <w:r>
        <w:rPr>
          <w:rFonts w:hint="cs"/>
          <w:rtl/>
        </w:rPr>
        <w:tab/>
      </w:r>
      <w:r w:rsidRPr="008342D3">
        <w:rPr>
          <w:rFonts w:hint="cs"/>
          <w:rtl/>
        </w:rPr>
        <w:t xml:space="preserve">تطبيق برتوكول اسطنبول </w:t>
      </w:r>
      <w:r>
        <w:rPr>
          <w:rFonts w:hint="cs"/>
          <w:rtl/>
        </w:rPr>
        <w:t>في التحقيقات المتعلقة</w:t>
      </w:r>
      <w:r w:rsidRPr="008342D3">
        <w:rPr>
          <w:rFonts w:hint="cs"/>
          <w:rtl/>
        </w:rPr>
        <w:t xml:space="preserve"> </w:t>
      </w:r>
      <w:r>
        <w:rPr>
          <w:rFonts w:hint="cs"/>
          <w:rtl/>
        </w:rPr>
        <w:t>ب</w:t>
      </w:r>
      <w:r w:rsidRPr="008342D3">
        <w:rPr>
          <w:rFonts w:hint="cs"/>
          <w:rtl/>
        </w:rPr>
        <w:t>حالات التعذيب وسوء المعاملة</w:t>
      </w:r>
    </w:p>
    <w:p w:rsidR="00E470AE" w:rsidRDefault="00D560C9" w:rsidP="00D560C9">
      <w:pPr>
        <w:pStyle w:val="SingleTxtGA"/>
        <w:spacing w:line="370" w:lineRule="exact"/>
        <w:rPr>
          <w:rFonts w:hint="cs"/>
        </w:rPr>
      </w:pPr>
      <w:r>
        <w:rPr>
          <w:rFonts w:hint="cs"/>
          <w:rtl/>
        </w:rPr>
        <w:t>(</w:t>
      </w:r>
      <w:r w:rsidR="00E470AE">
        <w:rPr>
          <w:rFonts w:hint="cs"/>
          <w:rtl/>
        </w:rPr>
        <w:t>17</w:t>
      </w:r>
      <w:r>
        <w:rPr>
          <w:rFonts w:hint="cs"/>
          <w:rtl/>
        </w:rPr>
        <w:t>)</w:t>
      </w:r>
      <w:r w:rsidR="00E470AE">
        <w:rPr>
          <w:rFonts w:hint="cs"/>
          <w:rtl/>
        </w:rPr>
        <w:tab/>
        <w:t>تعرب اللجنة عن تقديرها لجهود الدولة الطرف في سبيل تكثيف دوراتها التدريبية المتعلقة بدليل التقصي والتوثيق الفعالين للتعذيب وغيره من ضروب المعاملة أو العقوبة القاسية أو اللاإنسانية أو المهينة (بروتوكول اسطنبول)، وتوسيع نطاق تطبيقه الفعلي بتكيف النيابة العامة للمكسيك وعدد من النيابات العامة المحلية بإعداد تقارير عن الحالة الصحية/النفسية. غير أنها تلاحظ بقلق أن تطبيق البروتوكول ما زال ضعيفاً ويشكل في بعض الأحيان خطوة استثنائية. وإذ تحيط اللجنة علماً بعزم الدولة الطرف على تعزيز الاستقلالية التقنية للخبراء الطبيين الرسميين من خلال إنشاء قسم للطب الشرعي داخل النيابة العامة، تظل قلقة إزاء المعلومات التي تفيد بأن الخبراء الرسميين قلّما يشيرون إلى الأمارات الجسدية أو النفسية الناجمة</w:t>
      </w:r>
      <w:r w:rsidR="00E470AE">
        <w:rPr>
          <w:rFonts w:hint="eastAsia"/>
          <w:rtl/>
        </w:rPr>
        <w:t> </w:t>
      </w:r>
      <w:r w:rsidR="00E470AE">
        <w:rPr>
          <w:rFonts w:hint="cs"/>
          <w:rtl/>
        </w:rPr>
        <w:t>عن التعذيب أو سوء المعاملة أو يعيرونها اهتماماً في تقاريرهم. كما تعرب اللجنة عن</w:t>
      </w:r>
      <w:r w:rsidR="00E470AE">
        <w:rPr>
          <w:rFonts w:hint="eastAsia"/>
          <w:rtl/>
        </w:rPr>
        <w:t> </w:t>
      </w:r>
      <w:r w:rsidR="00E470AE">
        <w:rPr>
          <w:rFonts w:hint="cs"/>
          <w:rtl/>
        </w:rPr>
        <w:t>قلقها</w:t>
      </w:r>
      <w:r w:rsidR="00E470AE">
        <w:rPr>
          <w:rFonts w:hint="eastAsia"/>
          <w:rtl/>
        </w:rPr>
        <w:t> </w:t>
      </w:r>
      <w:r w:rsidR="00E470AE">
        <w:rPr>
          <w:rFonts w:hint="cs"/>
          <w:rtl/>
        </w:rPr>
        <w:t xml:space="preserve">إزاء التقارير التي تفيد بحضور أفراد القوات المسلحة أثناء الفحوصات الطبية (المادتان 12 و13). </w:t>
      </w:r>
    </w:p>
    <w:p w:rsidR="00E470AE" w:rsidRPr="00FA6855" w:rsidRDefault="00E470AE" w:rsidP="00D560C9">
      <w:pPr>
        <w:pStyle w:val="SingleTxtGA"/>
        <w:spacing w:line="370" w:lineRule="exact"/>
        <w:rPr>
          <w:rFonts w:hint="cs"/>
          <w:b/>
          <w:bCs/>
          <w:rtl/>
        </w:rPr>
      </w:pPr>
      <w:r>
        <w:rPr>
          <w:rFonts w:hint="cs"/>
          <w:b/>
          <w:bCs/>
          <w:rtl/>
        </w:rPr>
        <w:tab/>
      </w:r>
      <w:r w:rsidRPr="00FA6855">
        <w:rPr>
          <w:rFonts w:hint="cs"/>
          <w:b/>
          <w:bCs/>
          <w:rtl/>
        </w:rPr>
        <w:t xml:space="preserve">ينبغي أن تتخذ الدولة الطرف جميع التدابير اللازمة لضمان خضوع جميع المحتجزين لفحوصات طبية شاملة ونزيهة. </w:t>
      </w:r>
      <w:r>
        <w:rPr>
          <w:rFonts w:hint="cs"/>
          <w:b/>
          <w:bCs/>
          <w:rtl/>
        </w:rPr>
        <w:t>وحرصاً على</w:t>
      </w:r>
      <w:r w:rsidRPr="00FA6855">
        <w:rPr>
          <w:rFonts w:hint="cs"/>
          <w:b/>
          <w:bCs/>
          <w:rtl/>
        </w:rPr>
        <w:t xml:space="preserve"> جودة تقييمات الطب الشرعي</w:t>
      </w:r>
      <w:r>
        <w:rPr>
          <w:rFonts w:hint="cs"/>
          <w:b/>
          <w:bCs/>
          <w:rtl/>
        </w:rPr>
        <w:t>،</w:t>
      </w:r>
      <w:r w:rsidRPr="00FA6855">
        <w:rPr>
          <w:rFonts w:hint="cs"/>
          <w:b/>
          <w:bCs/>
          <w:rtl/>
        </w:rPr>
        <w:t xml:space="preserve"> ينبغي للدولة الطرف أن تقوم بما يلي:</w:t>
      </w:r>
    </w:p>
    <w:p w:rsidR="00E470AE" w:rsidRPr="00FA6855" w:rsidRDefault="00E470AE" w:rsidP="00D560C9">
      <w:pPr>
        <w:pStyle w:val="SingleTxtGA"/>
        <w:spacing w:line="370" w:lineRule="exact"/>
        <w:rPr>
          <w:rFonts w:hint="cs"/>
          <w:b/>
          <w:bCs/>
          <w:rtl/>
        </w:rPr>
      </w:pPr>
      <w:r>
        <w:rPr>
          <w:rFonts w:hint="cs"/>
          <w:b/>
          <w:bCs/>
          <w:rtl/>
        </w:rPr>
        <w:tab/>
        <w:t>(أ)</w:t>
      </w:r>
      <w:r>
        <w:rPr>
          <w:rFonts w:hint="cs"/>
          <w:b/>
          <w:bCs/>
          <w:rtl/>
        </w:rPr>
        <w:tab/>
      </w:r>
      <w:r w:rsidRPr="00FA6855">
        <w:rPr>
          <w:rFonts w:hint="cs"/>
          <w:b/>
          <w:bCs/>
          <w:rtl/>
        </w:rPr>
        <w:t xml:space="preserve">ضمان إجراء الفحوصات </w:t>
      </w:r>
      <w:r>
        <w:rPr>
          <w:rFonts w:hint="cs"/>
          <w:b/>
          <w:bCs/>
          <w:rtl/>
        </w:rPr>
        <w:t>في كنف احترام</w:t>
      </w:r>
      <w:r w:rsidRPr="00FA6855">
        <w:rPr>
          <w:rFonts w:hint="cs"/>
          <w:b/>
          <w:bCs/>
          <w:rtl/>
        </w:rPr>
        <w:t xml:space="preserve"> مبدأي السرية والخصوصية؛ </w:t>
      </w:r>
    </w:p>
    <w:p w:rsidR="00E470AE" w:rsidRPr="00FA6855" w:rsidRDefault="00E470AE" w:rsidP="00D560C9">
      <w:pPr>
        <w:pStyle w:val="SingleTxtGA"/>
        <w:spacing w:line="370" w:lineRule="exact"/>
        <w:rPr>
          <w:rFonts w:hint="cs"/>
          <w:b/>
          <w:bCs/>
          <w:rtl/>
        </w:rPr>
      </w:pPr>
      <w:r>
        <w:rPr>
          <w:rFonts w:hint="cs"/>
          <w:b/>
          <w:bCs/>
          <w:rtl/>
        </w:rPr>
        <w:tab/>
        <w:t>(ب)</w:t>
      </w:r>
      <w:r>
        <w:rPr>
          <w:rFonts w:hint="cs"/>
          <w:b/>
          <w:bCs/>
          <w:rtl/>
        </w:rPr>
        <w:tab/>
      </w:r>
      <w:r w:rsidRPr="00FA6855">
        <w:rPr>
          <w:rFonts w:hint="cs"/>
          <w:b/>
          <w:bCs/>
          <w:rtl/>
        </w:rPr>
        <w:t xml:space="preserve">ضمان </w:t>
      </w:r>
      <w:r>
        <w:rPr>
          <w:rFonts w:hint="cs"/>
          <w:b/>
          <w:bCs/>
          <w:rtl/>
        </w:rPr>
        <w:t>استخدام</w:t>
      </w:r>
      <w:r w:rsidRPr="00FA6855">
        <w:rPr>
          <w:rFonts w:hint="cs"/>
          <w:b/>
          <w:bCs/>
          <w:rtl/>
        </w:rPr>
        <w:t xml:space="preserve"> </w:t>
      </w:r>
      <w:r>
        <w:rPr>
          <w:rFonts w:hint="cs"/>
          <w:b/>
          <w:bCs/>
          <w:rtl/>
        </w:rPr>
        <w:t>الخبراء الطبيين استمارات تتوافق مع المرفق الرابع ل</w:t>
      </w:r>
      <w:r w:rsidRPr="00FA6855">
        <w:rPr>
          <w:rFonts w:hint="cs"/>
          <w:b/>
          <w:bCs/>
          <w:rtl/>
        </w:rPr>
        <w:t>بروتوكول اسطنبول عند إع</w:t>
      </w:r>
      <w:r>
        <w:rPr>
          <w:rFonts w:hint="cs"/>
          <w:b/>
          <w:bCs/>
          <w:rtl/>
        </w:rPr>
        <w:t>داد تقييماتهم وتضمينها شرحاً لاستنتاجاتهم</w:t>
      </w:r>
      <w:r w:rsidRPr="00FA6855">
        <w:rPr>
          <w:rFonts w:hint="cs"/>
          <w:b/>
          <w:bCs/>
          <w:rtl/>
        </w:rPr>
        <w:t>؛</w:t>
      </w:r>
    </w:p>
    <w:p w:rsidR="00E470AE" w:rsidRPr="00FA6855" w:rsidRDefault="00E470AE" w:rsidP="00D560C9">
      <w:pPr>
        <w:pStyle w:val="SingleTxtGA"/>
        <w:spacing w:line="370" w:lineRule="exact"/>
        <w:rPr>
          <w:rFonts w:hint="cs"/>
          <w:b/>
          <w:bCs/>
          <w:rtl/>
        </w:rPr>
      </w:pPr>
      <w:r>
        <w:rPr>
          <w:rFonts w:hint="cs"/>
          <w:b/>
          <w:bCs/>
          <w:rtl/>
        </w:rPr>
        <w:tab/>
        <w:t>(ج)</w:t>
      </w:r>
      <w:r>
        <w:rPr>
          <w:rFonts w:hint="cs"/>
          <w:b/>
          <w:bCs/>
          <w:rtl/>
        </w:rPr>
        <w:tab/>
      </w:r>
      <w:r w:rsidRPr="00FA6855">
        <w:rPr>
          <w:rFonts w:hint="cs"/>
          <w:b/>
          <w:bCs/>
          <w:rtl/>
        </w:rPr>
        <w:t xml:space="preserve">إنشاء نظام يسمح للخبراء الطبيين الرسميين بأن </w:t>
      </w:r>
      <w:r>
        <w:rPr>
          <w:rFonts w:hint="cs"/>
          <w:b/>
          <w:bCs/>
          <w:rtl/>
        </w:rPr>
        <w:t>يطلبوا</w:t>
      </w:r>
      <w:r w:rsidRPr="00FA6855">
        <w:rPr>
          <w:rFonts w:hint="cs"/>
          <w:b/>
          <w:bCs/>
          <w:rtl/>
        </w:rPr>
        <w:t xml:space="preserve"> إجراء فحص طبي أشمل</w:t>
      </w:r>
      <w:r w:rsidRPr="003064D5">
        <w:rPr>
          <w:rFonts w:hint="cs"/>
          <w:b/>
          <w:bCs/>
          <w:rtl/>
        </w:rPr>
        <w:t xml:space="preserve"> </w:t>
      </w:r>
      <w:r w:rsidRPr="00FA6855">
        <w:rPr>
          <w:rFonts w:hint="cs"/>
          <w:b/>
          <w:bCs/>
          <w:rtl/>
        </w:rPr>
        <w:t>دون الإفصاح</w:t>
      </w:r>
      <w:r>
        <w:rPr>
          <w:rFonts w:hint="cs"/>
          <w:b/>
          <w:bCs/>
          <w:rtl/>
        </w:rPr>
        <w:t xml:space="preserve"> عن هويتهم</w:t>
      </w:r>
      <w:r w:rsidRPr="00FA6855">
        <w:rPr>
          <w:rFonts w:hint="cs"/>
          <w:b/>
          <w:bCs/>
          <w:rtl/>
        </w:rPr>
        <w:t>؛</w:t>
      </w:r>
    </w:p>
    <w:p w:rsidR="00E470AE" w:rsidRPr="00FA6855" w:rsidRDefault="00E470AE" w:rsidP="00D560C9">
      <w:pPr>
        <w:pStyle w:val="SingleTxtGA"/>
        <w:spacing w:line="370" w:lineRule="exact"/>
        <w:rPr>
          <w:rFonts w:hint="cs"/>
          <w:b/>
          <w:bCs/>
          <w:rtl/>
        </w:rPr>
      </w:pPr>
      <w:r>
        <w:rPr>
          <w:rFonts w:hint="cs"/>
          <w:b/>
          <w:bCs/>
          <w:rtl/>
        </w:rPr>
        <w:tab/>
      </w:r>
      <w:r w:rsidRPr="00FA6855">
        <w:rPr>
          <w:rFonts w:hint="cs"/>
          <w:b/>
          <w:bCs/>
          <w:rtl/>
        </w:rPr>
        <w:t>(د)</w:t>
      </w:r>
      <w:r>
        <w:rPr>
          <w:rFonts w:hint="cs"/>
          <w:b/>
          <w:bCs/>
          <w:rtl/>
        </w:rPr>
        <w:tab/>
      </w:r>
      <w:r w:rsidRPr="00FA6855">
        <w:rPr>
          <w:rFonts w:hint="cs"/>
          <w:b/>
          <w:bCs/>
          <w:rtl/>
        </w:rPr>
        <w:t xml:space="preserve">إدخال </w:t>
      </w:r>
      <w:r>
        <w:rPr>
          <w:rFonts w:hint="cs"/>
          <w:b/>
          <w:bCs/>
          <w:rtl/>
        </w:rPr>
        <w:t>التعديلات التشريعية اللازمة ل</w:t>
      </w:r>
      <w:r w:rsidRPr="00FA6855">
        <w:rPr>
          <w:rFonts w:hint="cs"/>
          <w:b/>
          <w:bCs/>
          <w:rtl/>
        </w:rPr>
        <w:t xml:space="preserve">منح </w:t>
      </w:r>
      <w:r>
        <w:rPr>
          <w:rFonts w:hint="cs"/>
          <w:b/>
          <w:bCs/>
          <w:rtl/>
        </w:rPr>
        <w:t xml:space="preserve">قيمة إثباتية </w:t>
      </w:r>
      <w:r w:rsidRPr="00FA6855">
        <w:rPr>
          <w:rFonts w:hint="cs"/>
          <w:b/>
          <w:bCs/>
          <w:rtl/>
        </w:rPr>
        <w:t xml:space="preserve">لتقارير الخبراء الطبيين المستقلين </w:t>
      </w:r>
      <w:r>
        <w:rPr>
          <w:rFonts w:hint="cs"/>
          <w:b/>
          <w:bCs/>
          <w:rtl/>
        </w:rPr>
        <w:t>قصد مساواتها</w:t>
      </w:r>
      <w:r w:rsidRPr="00FA6855">
        <w:rPr>
          <w:rFonts w:hint="cs"/>
          <w:b/>
          <w:bCs/>
          <w:rtl/>
        </w:rPr>
        <w:t xml:space="preserve"> مع تقارير الخبراء الطبيين الرسميين الذين تعيّنهم </w:t>
      </w:r>
      <w:r>
        <w:rPr>
          <w:rFonts w:hint="cs"/>
          <w:b/>
          <w:bCs/>
          <w:rtl/>
        </w:rPr>
        <w:t>النيابات</w:t>
      </w:r>
      <w:r w:rsidR="00D560C9">
        <w:rPr>
          <w:rFonts w:hint="eastAsia"/>
          <w:b/>
          <w:bCs/>
          <w:rtl/>
        </w:rPr>
        <w:t> </w:t>
      </w:r>
      <w:r>
        <w:rPr>
          <w:rFonts w:hint="cs"/>
          <w:b/>
          <w:bCs/>
          <w:rtl/>
        </w:rPr>
        <w:t>العامة</w:t>
      </w:r>
      <w:r w:rsidRPr="00FA6855">
        <w:rPr>
          <w:rFonts w:hint="cs"/>
          <w:b/>
          <w:bCs/>
          <w:rtl/>
        </w:rPr>
        <w:t>؛</w:t>
      </w:r>
    </w:p>
    <w:p w:rsidR="00E470AE" w:rsidRDefault="00E470AE" w:rsidP="00E470AE">
      <w:pPr>
        <w:pStyle w:val="SingleTxtGA"/>
        <w:rPr>
          <w:rFonts w:hint="cs"/>
          <w:rtl/>
        </w:rPr>
      </w:pPr>
      <w:r>
        <w:rPr>
          <w:rFonts w:hint="cs"/>
          <w:b/>
          <w:bCs/>
          <w:rtl/>
        </w:rPr>
        <w:tab/>
      </w:r>
      <w:r w:rsidRPr="00FA6855">
        <w:rPr>
          <w:rFonts w:hint="cs"/>
          <w:b/>
          <w:bCs/>
          <w:rtl/>
        </w:rPr>
        <w:t>(</w:t>
      </w:r>
      <w:r w:rsidRPr="0083743D">
        <w:rPr>
          <w:rFonts w:hint="cs"/>
          <w:b/>
          <w:bCs/>
          <w:sz w:val="30"/>
          <w:rtl/>
        </w:rPr>
        <w:t>ﻫ</w:t>
      </w:r>
      <w:r w:rsidRPr="00FA6855">
        <w:rPr>
          <w:rFonts w:hint="cs"/>
          <w:b/>
          <w:bCs/>
          <w:rtl/>
        </w:rPr>
        <w:t>)</w:t>
      </w:r>
      <w:r>
        <w:rPr>
          <w:rFonts w:hint="cs"/>
          <w:b/>
          <w:bCs/>
          <w:rtl/>
        </w:rPr>
        <w:tab/>
        <w:t>ضمان حصول جميع الأشخاص الموقوفين</w:t>
      </w:r>
      <w:r w:rsidRPr="00FA6855">
        <w:rPr>
          <w:rFonts w:hint="cs"/>
          <w:b/>
          <w:bCs/>
          <w:rtl/>
        </w:rPr>
        <w:t xml:space="preserve"> الذين يطلبون الخضوع لفحص على يد طبيب مستقل أو خبير طبي رسمي على نسخة من طلبهم ونسخة من التقرير الطبي أو من رأي الخبير (انظر بروتوكول اس</w:t>
      </w:r>
      <w:r>
        <w:rPr>
          <w:rFonts w:hint="cs"/>
          <w:b/>
          <w:bCs/>
          <w:rtl/>
        </w:rPr>
        <w:t>طنبول، المرفق</w:t>
      </w:r>
      <w:r w:rsidRPr="00FA6855">
        <w:rPr>
          <w:rFonts w:hint="cs"/>
          <w:b/>
          <w:bCs/>
          <w:rtl/>
        </w:rPr>
        <w:t xml:space="preserve"> الأول، الفقرة 6(ج)).</w:t>
      </w:r>
      <w:r>
        <w:rPr>
          <w:rFonts w:hint="cs"/>
          <w:rtl/>
        </w:rPr>
        <w:t xml:space="preserve"> </w:t>
      </w:r>
    </w:p>
    <w:p w:rsidR="00E470AE" w:rsidRPr="001030A8" w:rsidRDefault="00E470AE" w:rsidP="00E470AE">
      <w:pPr>
        <w:pStyle w:val="H23GA"/>
        <w:rPr>
          <w:rFonts w:hint="cs"/>
        </w:rPr>
      </w:pPr>
      <w:r>
        <w:rPr>
          <w:rFonts w:hint="cs"/>
          <w:rtl/>
        </w:rPr>
        <w:tab/>
      </w:r>
      <w:r>
        <w:rPr>
          <w:rFonts w:hint="cs"/>
          <w:rtl/>
        </w:rPr>
        <w:tab/>
      </w:r>
      <w:r w:rsidRPr="001030A8">
        <w:rPr>
          <w:rFonts w:hint="cs"/>
          <w:rtl/>
        </w:rPr>
        <w:t>إصلاح نظام القضاء العسكري</w:t>
      </w:r>
    </w:p>
    <w:p w:rsidR="00E470AE" w:rsidRDefault="00D560C9" w:rsidP="009F2FC3">
      <w:pPr>
        <w:pStyle w:val="SingleTxtGA"/>
        <w:rPr>
          <w:rFonts w:hint="cs"/>
        </w:rPr>
      </w:pPr>
      <w:r>
        <w:rPr>
          <w:rFonts w:hint="cs"/>
          <w:rtl/>
        </w:rPr>
        <w:t>(</w:t>
      </w:r>
      <w:r w:rsidR="00E470AE">
        <w:rPr>
          <w:rFonts w:hint="cs"/>
          <w:rtl/>
        </w:rPr>
        <w:t>18</w:t>
      </w:r>
      <w:r>
        <w:rPr>
          <w:rFonts w:hint="cs"/>
          <w:rtl/>
        </w:rPr>
        <w:t>)</w:t>
      </w:r>
      <w:r w:rsidR="00E470AE">
        <w:rPr>
          <w:rFonts w:hint="cs"/>
          <w:rtl/>
        </w:rPr>
        <w:tab/>
        <w:t>تحيط اللجنة علماً بما قدّمته الدولة الطرف من معلومات عن قرار المحكمة العليا الصادر في 21 آب/أغسطس 2012 بشأن قضية بونفيليو روبيو فييغاس، وهو قرار قضت فيه بعدم دستورية جزء من المادة 57 من القانون العسكري في ضوء الاجتهاد القضائي الذي كرّسته الأحكام الأربعة الصادرة عن محكمة البلدان الأمريكية لحقوق الإنسان، وبأن المحاكم العادية هي، من ثم، الوحيدة المخولة للفصل في القضايا المتعلقة بضلوع عسكريين في انتهاكات مزعومة لحقوق الإنسان. وتعرب اللجنة عن أسفها لأن التعديل المقترح لقانون القضاء العسكري لم يعتمد بعدُ. وعلاوة على ذلك، تحيط اللجنة علماً بأن المحاكم العسكرية تنازلت للمحاكم المدنية عن اختصاصها في إجراء 231 تحقيقاً أولياً والفصل في 66 قضية جنائية، لكنها تشعر بالانزعاج حيال اضطلاع النيابة العامة العسكرية، في الفترة من عام</w:t>
      </w:r>
      <w:r w:rsidR="00E470AE">
        <w:rPr>
          <w:rFonts w:hint="eastAsia"/>
          <w:rtl/>
        </w:rPr>
        <w:t> </w:t>
      </w:r>
      <w:r w:rsidR="00E470AE">
        <w:rPr>
          <w:rFonts w:hint="cs"/>
          <w:rtl/>
        </w:rPr>
        <w:t xml:space="preserve">2007 إلى حزيران/يونيه 2011، بالتحقيق في 671 3 قضية تتعلق بانتهاكات حقوق الإنسان لأفراد مدنيين وإدانتها 15 جندياً بسبب هذه الانتهاكات (الفقرة 1 من المادة 2). </w:t>
      </w:r>
    </w:p>
    <w:p w:rsidR="00E470AE" w:rsidRPr="00024730" w:rsidRDefault="00E470AE" w:rsidP="00E470AE">
      <w:pPr>
        <w:pStyle w:val="SingleTxtGA"/>
        <w:rPr>
          <w:b/>
          <w:bCs/>
        </w:rPr>
      </w:pPr>
      <w:r>
        <w:rPr>
          <w:rFonts w:hint="cs"/>
          <w:b/>
          <w:bCs/>
          <w:rtl/>
        </w:rPr>
        <w:tab/>
      </w:r>
      <w:r w:rsidRPr="00024730">
        <w:rPr>
          <w:rFonts w:hint="cs"/>
          <w:b/>
          <w:bCs/>
          <w:rtl/>
        </w:rPr>
        <w:t>عمل</w:t>
      </w:r>
      <w:r>
        <w:rPr>
          <w:rFonts w:hint="cs"/>
          <w:b/>
          <w:bCs/>
          <w:rtl/>
        </w:rPr>
        <w:t xml:space="preserve">اً </w:t>
      </w:r>
      <w:r w:rsidRPr="00024730">
        <w:rPr>
          <w:rFonts w:hint="cs"/>
          <w:b/>
          <w:bCs/>
          <w:rtl/>
        </w:rPr>
        <w:t xml:space="preserve">بالتوصيات التي سبق تقديمها </w:t>
      </w:r>
      <w:r>
        <w:rPr>
          <w:rFonts w:hint="cs"/>
          <w:b/>
          <w:bCs/>
          <w:rtl/>
        </w:rPr>
        <w:t xml:space="preserve">في </w:t>
      </w:r>
      <w:r w:rsidRPr="00024730">
        <w:rPr>
          <w:rFonts w:hint="cs"/>
          <w:b/>
          <w:bCs/>
          <w:rtl/>
        </w:rPr>
        <w:t xml:space="preserve">هذا الصدد، تحث اللجنة الدولة الطرف على تعديل قانون </w:t>
      </w:r>
      <w:r>
        <w:rPr>
          <w:rFonts w:hint="cs"/>
          <w:b/>
          <w:bCs/>
          <w:rtl/>
        </w:rPr>
        <w:t>قضائها</w:t>
      </w:r>
      <w:r w:rsidRPr="00024730">
        <w:rPr>
          <w:rFonts w:hint="cs"/>
          <w:b/>
          <w:bCs/>
          <w:rtl/>
        </w:rPr>
        <w:t xml:space="preserve"> العسكري وفق</w:t>
      </w:r>
      <w:r>
        <w:rPr>
          <w:rFonts w:hint="cs"/>
          <w:b/>
          <w:bCs/>
          <w:rtl/>
        </w:rPr>
        <w:t xml:space="preserve">اً </w:t>
      </w:r>
      <w:r w:rsidRPr="00024730">
        <w:rPr>
          <w:rFonts w:hint="cs"/>
          <w:b/>
          <w:bCs/>
          <w:rtl/>
        </w:rPr>
        <w:t>لأحكام محكمة البلدان الأمريكية لحقوق الإنس</w:t>
      </w:r>
      <w:r>
        <w:rPr>
          <w:rFonts w:hint="cs"/>
          <w:b/>
          <w:bCs/>
          <w:rtl/>
        </w:rPr>
        <w:t>ان والمحكمة العليا للمكسيك، وإلغاء</w:t>
      </w:r>
      <w:r w:rsidRPr="00024730">
        <w:rPr>
          <w:rFonts w:hint="cs"/>
          <w:b/>
          <w:bCs/>
          <w:rtl/>
        </w:rPr>
        <w:t xml:space="preserve"> إمكانية </w:t>
      </w:r>
      <w:r>
        <w:rPr>
          <w:rFonts w:hint="cs"/>
          <w:b/>
          <w:bCs/>
          <w:rtl/>
        </w:rPr>
        <w:t>فصل المحاكم العسكرية في</w:t>
      </w:r>
      <w:r w:rsidRPr="00024730">
        <w:rPr>
          <w:rFonts w:hint="cs"/>
          <w:b/>
          <w:bCs/>
          <w:rtl/>
        </w:rPr>
        <w:t xml:space="preserve"> القضايا المتعلقة ب</w:t>
      </w:r>
      <w:r>
        <w:rPr>
          <w:rFonts w:hint="cs"/>
          <w:b/>
          <w:bCs/>
          <w:rtl/>
        </w:rPr>
        <w:t xml:space="preserve">ضلوع </w:t>
      </w:r>
      <w:r w:rsidRPr="00024730">
        <w:rPr>
          <w:rFonts w:hint="cs"/>
          <w:b/>
          <w:bCs/>
          <w:rtl/>
        </w:rPr>
        <w:t>عسكريين في انتهاكات حقوق الإنسان و</w:t>
      </w:r>
      <w:r>
        <w:rPr>
          <w:rFonts w:hint="cs"/>
          <w:b/>
          <w:bCs/>
          <w:rtl/>
        </w:rPr>
        <w:t xml:space="preserve">في </w:t>
      </w:r>
      <w:r w:rsidRPr="00024730">
        <w:rPr>
          <w:rFonts w:hint="cs"/>
          <w:b/>
          <w:bCs/>
          <w:rtl/>
        </w:rPr>
        <w:t xml:space="preserve">جرائم </w:t>
      </w:r>
      <w:r>
        <w:rPr>
          <w:rFonts w:hint="cs"/>
          <w:b/>
          <w:bCs/>
          <w:rtl/>
        </w:rPr>
        <w:t>مرتكبة في حق مدنيين.</w:t>
      </w:r>
      <w:r w:rsidRPr="00024730">
        <w:rPr>
          <w:rFonts w:hint="cs"/>
          <w:b/>
          <w:bCs/>
          <w:rtl/>
        </w:rPr>
        <w:t xml:space="preserve"> </w:t>
      </w:r>
    </w:p>
    <w:p w:rsidR="00E470AE" w:rsidRPr="00D31914" w:rsidRDefault="00E470AE" w:rsidP="00E470AE">
      <w:pPr>
        <w:pStyle w:val="H23GA"/>
        <w:rPr>
          <w:rFonts w:hint="cs"/>
          <w:rtl/>
        </w:rPr>
      </w:pPr>
      <w:r>
        <w:rPr>
          <w:rFonts w:hint="cs"/>
          <w:rtl/>
        </w:rPr>
        <w:tab/>
      </w:r>
      <w:r>
        <w:rPr>
          <w:rFonts w:hint="cs"/>
          <w:rtl/>
        </w:rPr>
        <w:tab/>
      </w:r>
      <w:r w:rsidRPr="00D31914">
        <w:rPr>
          <w:rFonts w:hint="cs"/>
          <w:rtl/>
        </w:rPr>
        <w:t>ظروف الاحتجاز</w:t>
      </w:r>
    </w:p>
    <w:p w:rsidR="00E470AE" w:rsidRDefault="00D560C9" w:rsidP="00D560C9">
      <w:pPr>
        <w:pStyle w:val="SingleTxtGA"/>
        <w:rPr>
          <w:rFonts w:hint="cs"/>
        </w:rPr>
      </w:pPr>
      <w:r>
        <w:rPr>
          <w:rFonts w:hint="cs"/>
          <w:rtl/>
        </w:rPr>
        <w:t>(</w:t>
      </w:r>
      <w:r w:rsidR="00E470AE">
        <w:rPr>
          <w:rFonts w:hint="cs"/>
          <w:rtl/>
        </w:rPr>
        <w:t>19</w:t>
      </w:r>
      <w:r>
        <w:rPr>
          <w:rFonts w:hint="cs"/>
          <w:rtl/>
        </w:rPr>
        <w:t>)</w:t>
      </w:r>
      <w:r w:rsidR="00E470AE">
        <w:rPr>
          <w:rFonts w:hint="cs"/>
          <w:rtl/>
        </w:rPr>
        <w:tab/>
        <w:t>في حين تحيط اللجنة علماً بما قدمته الدولة الطرف من معلومات عن الجهود الرامية إلى إصلاح نظام القضاء وعن إنشاء صندوق يوفر التمويل اللازم لتحسين مرافق السجون على صعيد الولايات، تعرب عن قلقها المستمر إزاء التقارير المتعلقة بالاكتظاظ وتبادل العنف بين السجناء وتحكم السجناء أنفسهم في سير السجون المكسيكية وابتزاز أقارب المحتجزين. كما تعرب عن أسفها لعدم حيازة بيانات دقيقة بشأن عدد نزلاء مختلف أماكن الاحتجاز أو</w:t>
      </w:r>
      <w:r w:rsidR="00E470AE">
        <w:rPr>
          <w:rFonts w:hint="eastAsia"/>
          <w:rtl/>
        </w:rPr>
        <w:t> </w:t>
      </w:r>
      <w:r w:rsidR="00E470AE">
        <w:rPr>
          <w:rFonts w:hint="cs"/>
          <w:rtl/>
        </w:rPr>
        <w:t>معلومات حديثة عن الإجراءات المتخذة لمتابعة توصيات اللجنة الفرعية المعنية بمكافحة التعذيب أو توصيات اللجنة الوطنية لحقوق الإنسان باعتبارها الآلية الوطنية لمنع التعذيب. وتعرب عن أسفها أيضاً لعدم توافر بيانات بشأن الشكاوى المقدمة من السجناء وأسرهم ونتائج التحقيقات ذات الصلة (المواد 11 و12 و13 و16).</w:t>
      </w:r>
    </w:p>
    <w:p w:rsidR="00E470AE" w:rsidRPr="00D31914" w:rsidRDefault="00E470AE" w:rsidP="00D560C9">
      <w:pPr>
        <w:pStyle w:val="SingleTxtGA"/>
        <w:keepNext/>
        <w:keepLines/>
        <w:rPr>
          <w:rFonts w:hint="cs"/>
          <w:b/>
          <w:bCs/>
          <w:rtl/>
        </w:rPr>
      </w:pPr>
      <w:r>
        <w:rPr>
          <w:rFonts w:hint="cs"/>
          <w:b/>
          <w:bCs/>
          <w:rtl/>
        </w:rPr>
        <w:tab/>
      </w:r>
      <w:r w:rsidRPr="00D31914">
        <w:rPr>
          <w:rFonts w:hint="cs"/>
          <w:b/>
          <w:bCs/>
          <w:rtl/>
        </w:rPr>
        <w:t>توصي اللجنة بأن تقوم الدولة الطرف بما يلي:</w:t>
      </w:r>
      <w:r>
        <w:rPr>
          <w:rFonts w:hint="cs"/>
          <w:b/>
          <w:bCs/>
          <w:rtl/>
        </w:rPr>
        <w:t xml:space="preserve"> </w:t>
      </w:r>
    </w:p>
    <w:p w:rsidR="00E470AE" w:rsidRPr="009212DD" w:rsidRDefault="00E470AE" w:rsidP="00E470AE">
      <w:pPr>
        <w:pStyle w:val="SingleTxtGA"/>
        <w:rPr>
          <w:rFonts w:hint="cs"/>
          <w:b/>
          <w:bCs/>
        </w:rPr>
      </w:pPr>
      <w:r>
        <w:rPr>
          <w:rFonts w:hint="cs"/>
          <w:b/>
          <w:bCs/>
          <w:rtl/>
        </w:rPr>
        <w:tab/>
        <w:t>(أ)</w:t>
      </w:r>
      <w:r>
        <w:rPr>
          <w:rFonts w:hint="cs"/>
          <w:b/>
          <w:bCs/>
          <w:rtl/>
        </w:rPr>
        <w:tab/>
      </w:r>
      <w:r w:rsidRPr="009212DD">
        <w:rPr>
          <w:rFonts w:hint="cs"/>
          <w:b/>
          <w:bCs/>
          <w:rtl/>
        </w:rPr>
        <w:t>تكثيف جهودها الرامية إلى التخفيف من اكتظاظ السجون وغيرها من أماكن الاحتجاز من خلال اللجوء</w:t>
      </w:r>
      <w:r>
        <w:rPr>
          <w:rFonts w:hint="cs"/>
          <w:b/>
          <w:bCs/>
          <w:rtl/>
        </w:rPr>
        <w:t>،</w:t>
      </w:r>
      <w:r w:rsidRPr="009212DD">
        <w:rPr>
          <w:rFonts w:hint="cs"/>
          <w:b/>
          <w:bCs/>
          <w:rtl/>
        </w:rPr>
        <w:t xml:space="preserve"> على </w:t>
      </w:r>
      <w:r>
        <w:rPr>
          <w:rFonts w:hint="cs"/>
          <w:b/>
          <w:bCs/>
          <w:rtl/>
        </w:rPr>
        <w:t xml:space="preserve">وجه </w:t>
      </w:r>
      <w:r w:rsidRPr="009212DD">
        <w:rPr>
          <w:rFonts w:hint="cs"/>
          <w:b/>
          <w:bCs/>
          <w:rtl/>
        </w:rPr>
        <w:t>الخصوص</w:t>
      </w:r>
      <w:r>
        <w:rPr>
          <w:rFonts w:hint="cs"/>
          <w:b/>
          <w:bCs/>
          <w:rtl/>
        </w:rPr>
        <w:t>،</w:t>
      </w:r>
      <w:r w:rsidRPr="009212DD">
        <w:rPr>
          <w:rFonts w:hint="cs"/>
          <w:b/>
          <w:bCs/>
          <w:rtl/>
        </w:rPr>
        <w:t xml:space="preserve"> إلى </w:t>
      </w:r>
      <w:r>
        <w:rPr>
          <w:rFonts w:hint="cs"/>
          <w:b/>
          <w:bCs/>
          <w:rtl/>
        </w:rPr>
        <w:t>ال</w:t>
      </w:r>
      <w:r w:rsidRPr="009212DD">
        <w:rPr>
          <w:rFonts w:hint="cs"/>
          <w:b/>
          <w:bCs/>
          <w:rtl/>
        </w:rPr>
        <w:t>عقوبات غير ا</w:t>
      </w:r>
      <w:r>
        <w:rPr>
          <w:rFonts w:hint="cs"/>
          <w:b/>
          <w:bCs/>
          <w:rtl/>
        </w:rPr>
        <w:t>لا</w:t>
      </w:r>
      <w:r w:rsidRPr="009212DD">
        <w:rPr>
          <w:rFonts w:hint="cs"/>
          <w:b/>
          <w:bCs/>
          <w:rtl/>
        </w:rPr>
        <w:t xml:space="preserve">حتجازية كما تنص على ذلك </w:t>
      </w:r>
      <w:r>
        <w:rPr>
          <w:rFonts w:hint="cs"/>
          <w:b/>
          <w:bCs/>
          <w:rtl/>
        </w:rPr>
        <w:t>قواعد الأمم المتحدة النموذجية الدنيا للتدابير غير الاحتجازية</w:t>
      </w:r>
      <w:r w:rsidRPr="009212DD">
        <w:rPr>
          <w:rFonts w:hint="cs"/>
          <w:b/>
          <w:bCs/>
          <w:rtl/>
        </w:rPr>
        <w:t xml:space="preserve"> (قواعد طوكيو)؛</w:t>
      </w:r>
    </w:p>
    <w:p w:rsidR="00E470AE" w:rsidRPr="009212DD" w:rsidRDefault="00E470AE" w:rsidP="00E470AE">
      <w:pPr>
        <w:pStyle w:val="SingleTxtGA"/>
        <w:rPr>
          <w:rFonts w:hint="cs"/>
          <w:b/>
          <w:bCs/>
          <w:rtl/>
        </w:rPr>
      </w:pPr>
      <w:r>
        <w:rPr>
          <w:rFonts w:hint="cs"/>
          <w:b/>
          <w:bCs/>
          <w:rtl/>
        </w:rPr>
        <w:tab/>
        <w:t>(ب)</w:t>
      </w:r>
      <w:r>
        <w:rPr>
          <w:rFonts w:hint="cs"/>
          <w:b/>
          <w:bCs/>
          <w:rtl/>
        </w:rPr>
        <w:tab/>
      </w:r>
      <w:r w:rsidRPr="009212DD">
        <w:rPr>
          <w:rFonts w:hint="cs"/>
          <w:b/>
          <w:bCs/>
          <w:rtl/>
        </w:rPr>
        <w:t xml:space="preserve">المضي في تحسين البنية الأساسية للسجون وغيرها من أماكن الاحتجاز بما في ذلك مراكز </w:t>
      </w:r>
      <w:r>
        <w:rPr>
          <w:rFonts w:hint="cs"/>
          <w:b/>
          <w:bCs/>
          <w:rtl/>
        </w:rPr>
        <w:t>معاملة</w:t>
      </w:r>
      <w:r w:rsidRPr="009212DD">
        <w:rPr>
          <w:rFonts w:hint="cs"/>
          <w:b/>
          <w:bCs/>
          <w:rtl/>
        </w:rPr>
        <w:t xml:space="preserve"> الأحداث وضمان توافق ظروف الاحتجاز في الدولة الطرف مع </w:t>
      </w:r>
      <w:r w:rsidRPr="00030CFB">
        <w:rPr>
          <w:rFonts w:hint="cs"/>
          <w:b/>
          <w:bCs/>
          <w:rtl/>
          <w:lang/>
        </w:rPr>
        <w:t>قواعد الأمم المتحدة لمعاملة السجينات والتدابير غير الاحتجازية للمجرمات</w:t>
      </w:r>
      <w:r w:rsidRPr="009212DD">
        <w:rPr>
          <w:rFonts w:hint="cs"/>
          <w:b/>
          <w:bCs/>
          <w:rtl/>
        </w:rPr>
        <w:t xml:space="preserve"> (قواعد</w:t>
      </w:r>
      <w:r>
        <w:rPr>
          <w:rFonts w:hint="eastAsia"/>
          <w:b/>
          <w:bCs/>
          <w:rtl/>
        </w:rPr>
        <w:t> </w:t>
      </w:r>
      <w:r w:rsidRPr="009212DD">
        <w:rPr>
          <w:rFonts w:hint="cs"/>
          <w:b/>
          <w:bCs/>
          <w:rtl/>
        </w:rPr>
        <w:t>بان</w:t>
      </w:r>
      <w:r>
        <w:rPr>
          <w:rFonts w:hint="cs"/>
          <w:b/>
          <w:bCs/>
          <w:rtl/>
        </w:rPr>
        <w:t>ك</w:t>
      </w:r>
      <w:r w:rsidRPr="009212DD">
        <w:rPr>
          <w:rFonts w:hint="cs"/>
          <w:b/>
          <w:bCs/>
          <w:rtl/>
        </w:rPr>
        <w:t>وك)؛</w:t>
      </w:r>
    </w:p>
    <w:p w:rsidR="00E470AE" w:rsidRPr="00030CFB" w:rsidRDefault="00E470AE" w:rsidP="00E470AE">
      <w:pPr>
        <w:pStyle w:val="SingleTxtGA"/>
        <w:rPr>
          <w:rFonts w:hint="cs"/>
          <w:b/>
          <w:bCs/>
          <w:rtl/>
        </w:rPr>
      </w:pPr>
      <w:r>
        <w:rPr>
          <w:rFonts w:hint="cs"/>
          <w:b/>
          <w:bCs/>
          <w:rtl/>
        </w:rPr>
        <w:tab/>
      </w:r>
      <w:r w:rsidRPr="00030CFB">
        <w:rPr>
          <w:rFonts w:hint="cs"/>
          <w:b/>
          <w:bCs/>
          <w:rtl/>
        </w:rPr>
        <w:t>(ج)</w:t>
      </w:r>
      <w:r>
        <w:rPr>
          <w:rFonts w:hint="cs"/>
          <w:b/>
          <w:bCs/>
          <w:rtl/>
        </w:rPr>
        <w:tab/>
      </w:r>
      <w:r w:rsidRPr="00030CFB">
        <w:rPr>
          <w:rFonts w:hint="cs"/>
          <w:b/>
          <w:bCs/>
          <w:rtl/>
        </w:rPr>
        <w:t xml:space="preserve">وضع استراتيجيات للحد من تبادل العنف بين السجناء واتخاذ الخطوات </w:t>
      </w:r>
      <w:r>
        <w:rPr>
          <w:rFonts w:hint="cs"/>
          <w:b/>
          <w:bCs/>
          <w:rtl/>
        </w:rPr>
        <w:t>اللازمة لوقف</w:t>
      </w:r>
      <w:r w:rsidRPr="00030CFB">
        <w:rPr>
          <w:rFonts w:hint="cs"/>
          <w:b/>
          <w:bCs/>
          <w:rtl/>
        </w:rPr>
        <w:t xml:space="preserve"> </w:t>
      </w:r>
      <w:r>
        <w:rPr>
          <w:rFonts w:hint="cs"/>
          <w:b/>
          <w:bCs/>
          <w:rtl/>
        </w:rPr>
        <w:t>تحكم السجناء أنفسهم في سير السجون وابتزاز أقارب المحتجزين</w:t>
      </w:r>
      <w:r w:rsidRPr="00030CFB">
        <w:rPr>
          <w:rFonts w:hint="cs"/>
          <w:b/>
          <w:bCs/>
          <w:rtl/>
        </w:rPr>
        <w:t xml:space="preserve">. وتطلب اللجنة </w:t>
      </w:r>
      <w:r>
        <w:rPr>
          <w:rFonts w:hint="cs"/>
          <w:b/>
          <w:bCs/>
          <w:rtl/>
        </w:rPr>
        <w:t xml:space="preserve">إلى </w:t>
      </w:r>
      <w:r w:rsidRPr="00030CFB">
        <w:rPr>
          <w:rFonts w:hint="cs"/>
          <w:b/>
          <w:bCs/>
          <w:rtl/>
        </w:rPr>
        <w:t>الدولة الطرف تزويدها بمعلومات عن نتائج تطبيق استراتيجية إدارة السجون للفترة 2008-2012؛</w:t>
      </w:r>
    </w:p>
    <w:p w:rsidR="00E470AE" w:rsidRPr="00030CFB" w:rsidRDefault="00E470AE" w:rsidP="00E470AE">
      <w:pPr>
        <w:pStyle w:val="SingleTxtGA"/>
        <w:rPr>
          <w:rFonts w:hint="cs"/>
          <w:b/>
          <w:bCs/>
          <w:rtl/>
        </w:rPr>
      </w:pPr>
      <w:r>
        <w:rPr>
          <w:rFonts w:hint="cs"/>
          <w:b/>
          <w:bCs/>
          <w:rtl/>
        </w:rPr>
        <w:tab/>
      </w:r>
      <w:r w:rsidRPr="00030CFB">
        <w:rPr>
          <w:rFonts w:hint="cs"/>
          <w:b/>
          <w:bCs/>
          <w:rtl/>
        </w:rPr>
        <w:t>(د)</w:t>
      </w:r>
      <w:r>
        <w:rPr>
          <w:rFonts w:hint="cs"/>
          <w:b/>
          <w:bCs/>
          <w:rtl/>
        </w:rPr>
        <w:tab/>
      </w:r>
      <w:r w:rsidRPr="00030CFB">
        <w:rPr>
          <w:rFonts w:hint="cs"/>
          <w:b/>
          <w:bCs/>
          <w:rtl/>
        </w:rPr>
        <w:t xml:space="preserve">اتخاذ الخطوات الضرورية لتعزيز عمل اللجنة الوطنية لحقوق الإنسان </w:t>
      </w:r>
      <w:r>
        <w:rPr>
          <w:rFonts w:hint="cs"/>
          <w:b/>
          <w:bCs/>
          <w:rtl/>
        </w:rPr>
        <w:t>باعتبارها الآلية الوطنية لمنع</w:t>
      </w:r>
      <w:r w:rsidRPr="00030CFB">
        <w:rPr>
          <w:rFonts w:hint="cs"/>
          <w:b/>
          <w:bCs/>
          <w:rtl/>
        </w:rPr>
        <w:t xml:space="preserve"> التعذيب من خلال ضمان تنفيذ جميع توصياتها وتوصيات اللجنة الفرعية لمكافحة التعذيب. </w:t>
      </w:r>
    </w:p>
    <w:p w:rsidR="00E470AE" w:rsidRPr="00F32343" w:rsidRDefault="00E470AE" w:rsidP="00E470AE">
      <w:pPr>
        <w:pStyle w:val="H23GA"/>
        <w:rPr>
          <w:rFonts w:hint="cs"/>
        </w:rPr>
      </w:pPr>
      <w:r>
        <w:rPr>
          <w:rFonts w:hint="cs"/>
          <w:rtl/>
        </w:rPr>
        <w:tab/>
      </w:r>
      <w:r>
        <w:rPr>
          <w:rFonts w:hint="cs"/>
          <w:rtl/>
        </w:rPr>
        <w:tab/>
      </w:r>
      <w:r w:rsidRPr="00F32343">
        <w:rPr>
          <w:rFonts w:hint="cs"/>
          <w:rtl/>
        </w:rPr>
        <w:t>نظام قضاء الأحداث الجنائي</w:t>
      </w:r>
    </w:p>
    <w:p w:rsidR="00E470AE" w:rsidRDefault="00D560C9" w:rsidP="00D560C9">
      <w:pPr>
        <w:pStyle w:val="SingleTxtGA"/>
        <w:rPr>
          <w:rFonts w:hint="cs"/>
          <w:b/>
          <w:bCs/>
          <w:rtl/>
        </w:rPr>
      </w:pPr>
      <w:r>
        <w:rPr>
          <w:rFonts w:hint="cs"/>
          <w:rtl/>
        </w:rPr>
        <w:t>(</w:t>
      </w:r>
      <w:r w:rsidR="00E470AE">
        <w:rPr>
          <w:rFonts w:hint="cs"/>
          <w:rtl/>
        </w:rPr>
        <w:t>20</w:t>
      </w:r>
      <w:r>
        <w:rPr>
          <w:rFonts w:hint="cs"/>
          <w:rtl/>
        </w:rPr>
        <w:t>)</w:t>
      </w:r>
      <w:r w:rsidR="00E470AE">
        <w:rPr>
          <w:rFonts w:hint="cs"/>
          <w:rtl/>
        </w:rPr>
        <w:tab/>
        <w:t>تعرب اللجنة عن قلقها لأن القانون الاتحادي المتعلق بقضاء المراهقين</w:t>
      </w:r>
      <w:r w:rsidR="00E470AE" w:rsidRPr="000B54FD">
        <w:rPr>
          <w:rFonts w:hint="cs"/>
          <w:rtl/>
        </w:rPr>
        <w:t xml:space="preserve"> </w:t>
      </w:r>
      <w:r w:rsidR="00E470AE">
        <w:rPr>
          <w:rFonts w:hint="cs"/>
          <w:rtl/>
        </w:rPr>
        <w:t>لم يعتمد بعدُ، مما يعني استمرار الثغرة القانونية والمؤسسية في الدولة الطرف. وتعرب اللجنة عن أسفها لعدم توافر إحصاءات دقيقة عن عدد القصّر الموجودين في مراكز المعاملة ومعدلات امتلاء هذه المراكز. كما تعرب عن قلقها لعدم توافر معلومات عن عدد الأحداث المعتقلين إبّان العمليات الاتحادية الرامية إلى مكافحة الجريمة المنظّمة وعن أوضاع المجرمين على صعيد الاتحاد</w:t>
      </w:r>
      <w:r>
        <w:rPr>
          <w:rFonts w:hint="eastAsia"/>
          <w:rtl/>
        </w:rPr>
        <w:t> </w:t>
      </w:r>
      <w:r w:rsidR="00E470AE">
        <w:rPr>
          <w:rFonts w:hint="cs"/>
          <w:rtl/>
        </w:rPr>
        <w:t xml:space="preserve">(المادة 11). </w:t>
      </w:r>
    </w:p>
    <w:p w:rsidR="00E470AE" w:rsidRDefault="00E470AE" w:rsidP="00E470AE">
      <w:pPr>
        <w:pStyle w:val="SingleTxtGA"/>
        <w:rPr>
          <w:rFonts w:hint="cs"/>
          <w:b/>
          <w:bCs/>
          <w:rtl/>
        </w:rPr>
      </w:pPr>
      <w:r>
        <w:rPr>
          <w:rFonts w:hint="cs"/>
          <w:b/>
          <w:bCs/>
          <w:rtl/>
        </w:rPr>
        <w:tab/>
        <w:t>تحث اللجنة الدولة الطرف على أن تقوم بما يلي:</w:t>
      </w:r>
    </w:p>
    <w:p w:rsidR="00E470AE" w:rsidRDefault="00E470AE" w:rsidP="00E470AE">
      <w:pPr>
        <w:pStyle w:val="SingleTxtGA"/>
        <w:rPr>
          <w:rFonts w:hint="cs"/>
          <w:b/>
          <w:bCs/>
          <w:rtl/>
        </w:rPr>
      </w:pPr>
      <w:r>
        <w:rPr>
          <w:rFonts w:hint="cs"/>
          <w:b/>
          <w:bCs/>
          <w:rtl/>
        </w:rPr>
        <w:tab/>
        <w:t>(أ)</w:t>
      </w:r>
      <w:r>
        <w:rPr>
          <w:rFonts w:hint="cs"/>
          <w:b/>
          <w:bCs/>
          <w:rtl/>
        </w:rPr>
        <w:tab/>
        <w:t>اعتماد قانون القضاء الاتحادي المتعلق بالمراهقين؛</w:t>
      </w:r>
    </w:p>
    <w:p w:rsidR="00E470AE" w:rsidRDefault="00E470AE" w:rsidP="00E470AE">
      <w:pPr>
        <w:pStyle w:val="SingleTxtGA"/>
        <w:rPr>
          <w:rFonts w:hint="cs"/>
          <w:b/>
          <w:bCs/>
        </w:rPr>
      </w:pPr>
      <w:r>
        <w:rPr>
          <w:rFonts w:hint="cs"/>
          <w:b/>
          <w:bCs/>
          <w:rtl/>
        </w:rPr>
        <w:tab/>
        <w:t>(ب)</w:t>
      </w:r>
      <w:r>
        <w:rPr>
          <w:rFonts w:hint="cs"/>
          <w:b/>
          <w:bCs/>
          <w:rtl/>
        </w:rPr>
        <w:tab/>
        <w:t>المضي في إنشاء نظام قضائي للأحداث يشمل جميع المستويات بتعاون مع جهات منها صندوق الأمم المتحدة للطفولة (اليونيسيف)؛</w:t>
      </w:r>
    </w:p>
    <w:p w:rsidR="00E470AE" w:rsidRDefault="00E470AE" w:rsidP="00E470AE">
      <w:pPr>
        <w:pStyle w:val="SingleTxtGA"/>
        <w:rPr>
          <w:rFonts w:hint="cs"/>
          <w:b/>
          <w:bCs/>
          <w:rtl/>
        </w:rPr>
      </w:pPr>
      <w:r>
        <w:rPr>
          <w:rFonts w:hint="cs"/>
          <w:b/>
          <w:bCs/>
          <w:rtl/>
        </w:rPr>
        <w:tab/>
        <w:t>(ج)</w:t>
      </w:r>
      <w:r>
        <w:rPr>
          <w:rFonts w:hint="cs"/>
          <w:b/>
          <w:bCs/>
          <w:rtl/>
        </w:rPr>
        <w:tab/>
        <w:t>استخدام التدابير التي تشمل عدم اللجوء إلى الحرمان من الحرية إلا</w:t>
      </w:r>
      <w:r>
        <w:rPr>
          <w:rFonts w:hint="eastAsia"/>
          <w:b/>
          <w:bCs/>
          <w:rtl/>
        </w:rPr>
        <w:t> </w:t>
      </w:r>
      <w:r>
        <w:rPr>
          <w:rFonts w:hint="cs"/>
          <w:b/>
          <w:bCs/>
          <w:rtl/>
        </w:rPr>
        <w:t>كملاذ أخير ولأقصر فترة زمنية ممكنة ومراجعة هذه التدابير بانتظام بهدف إلغائها؛</w:t>
      </w:r>
    </w:p>
    <w:p w:rsidR="00E470AE" w:rsidRPr="00E47B6C" w:rsidRDefault="00E470AE" w:rsidP="00D560C9">
      <w:pPr>
        <w:pStyle w:val="SingleTxtGA"/>
        <w:spacing w:line="370" w:lineRule="exact"/>
        <w:rPr>
          <w:rFonts w:hint="cs"/>
          <w:b/>
          <w:bCs/>
          <w:spacing w:val="-4"/>
          <w:rtl/>
        </w:rPr>
      </w:pPr>
      <w:r w:rsidRPr="00E47B6C">
        <w:rPr>
          <w:rFonts w:hint="cs"/>
          <w:b/>
          <w:bCs/>
          <w:spacing w:val="-4"/>
          <w:rtl/>
        </w:rPr>
        <w:tab/>
        <w:t>(د)</w:t>
      </w:r>
      <w:r w:rsidRPr="00E47B6C">
        <w:rPr>
          <w:rFonts w:hint="cs"/>
          <w:b/>
          <w:bCs/>
          <w:spacing w:val="-4"/>
          <w:rtl/>
        </w:rPr>
        <w:tab/>
        <w:t>جمع إحصاءات مصنّفة بحسب الجنس والسن والأصل الإثني أو الجنسية عن عدد الأحداث المعتقلين على صعيد الاتحاد والولايات وأسباب اعتقالهم وفترة احتجازهم.</w:t>
      </w:r>
    </w:p>
    <w:p w:rsidR="00E470AE" w:rsidRDefault="00E470AE" w:rsidP="00D560C9">
      <w:pPr>
        <w:pStyle w:val="H23GA"/>
        <w:spacing w:line="370" w:lineRule="exact"/>
        <w:rPr>
          <w:rFonts w:hint="cs"/>
          <w:rtl/>
        </w:rPr>
      </w:pPr>
      <w:r>
        <w:rPr>
          <w:rFonts w:hint="cs"/>
          <w:rtl/>
        </w:rPr>
        <w:tab/>
      </w:r>
      <w:r>
        <w:rPr>
          <w:rFonts w:hint="cs"/>
          <w:rtl/>
        </w:rPr>
        <w:tab/>
        <w:t>الاحتجاز الإداري لملتمسي اللجوء والمهاجرين غير الحاملين لوثائق قانونية</w:t>
      </w:r>
    </w:p>
    <w:p w:rsidR="00E470AE" w:rsidRDefault="00D560C9" w:rsidP="00D560C9">
      <w:pPr>
        <w:pStyle w:val="SingleTxtGA"/>
        <w:spacing w:line="370" w:lineRule="exact"/>
        <w:rPr>
          <w:rFonts w:hint="cs"/>
        </w:rPr>
      </w:pPr>
      <w:r>
        <w:rPr>
          <w:rFonts w:hint="cs"/>
          <w:rtl/>
        </w:rPr>
        <w:t>(</w:t>
      </w:r>
      <w:r w:rsidR="00E470AE">
        <w:rPr>
          <w:rFonts w:hint="cs"/>
          <w:rtl/>
        </w:rPr>
        <w:t>21</w:t>
      </w:r>
      <w:r>
        <w:rPr>
          <w:rFonts w:hint="cs"/>
          <w:rtl/>
        </w:rPr>
        <w:t>)</w:t>
      </w:r>
      <w:r w:rsidR="00E470AE">
        <w:rPr>
          <w:rFonts w:hint="cs"/>
          <w:rtl/>
        </w:rPr>
        <w:tab/>
        <w:t>تعرب اللجنة عن قلقها إزاء ما وردها من تقارير عن تعذيب واختفاء مهاجرين موجودين في أراضي الدولة الطرف. كما تعرب عن قلقها إزاء التقارير المتعلقة بسوء المعاملة والاكتظاظ وتردّي ظروف الاحتجاز في العديد من مراكز احتجاز المهاجرين في الدولة الطرف حيث تنعدم النظافة والرعاية الطبية الكافية وقلّما يحتجز الرجال والنساء في مرافق منفصلة. وتلاحظ اللجنة الافتقار إلى آليات فعالة لتحديد هوية ضحايا الاتجار الذين قد يحتجزون في هذه المراكز</w:t>
      </w:r>
      <w:r w:rsidR="00E470AE" w:rsidRPr="00C37DD0">
        <w:rPr>
          <w:rFonts w:hint="cs"/>
          <w:rtl/>
        </w:rPr>
        <w:t xml:space="preserve"> </w:t>
      </w:r>
      <w:r w:rsidR="00E470AE">
        <w:rPr>
          <w:rFonts w:hint="cs"/>
          <w:rtl/>
        </w:rPr>
        <w:t>ثم إحالتهم. وتعرب اللجنة عن تقديرها للإجراء الأخير المتمثل في سن قانون اللاجئين والحماية التكميلية وقانون الهجرة، لكنها تعرب عن قلقها إزاء عدم تزويدها بإحصاءات مفصّلة عن عدد اللاجئين وملتمسي اللجوء وغيرهم من الأجانب الموجودين في الدولة الطرف. كما تعرب عن أسفها لعدم تطابق البيانات المقدمة في الاستمارات الخاصة بالتماس اللجوء مع الفترة المشمولة بالتقرير وعدم احتوائها معلومات عن عدد الأشخاص الذين أعيدوا أو رُحّلوا أو طُردوا (المواد 2 و3 و11 و16).</w:t>
      </w:r>
    </w:p>
    <w:p w:rsidR="00E470AE" w:rsidRPr="00C37DD0" w:rsidRDefault="00E470AE" w:rsidP="00D560C9">
      <w:pPr>
        <w:pStyle w:val="SingleTxtGA"/>
        <w:spacing w:line="370" w:lineRule="exact"/>
        <w:rPr>
          <w:rFonts w:hint="cs"/>
          <w:b/>
          <w:bCs/>
          <w:rtl/>
        </w:rPr>
      </w:pPr>
      <w:r>
        <w:rPr>
          <w:rFonts w:hint="cs"/>
          <w:b/>
          <w:bCs/>
          <w:rtl/>
        </w:rPr>
        <w:tab/>
      </w:r>
      <w:r w:rsidRPr="00C37DD0">
        <w:rPr>
          <w:rFonts w:hint="cs"/>
          <w:b/>
          <w:bCs/>
          <w:rtl/>
        </w:rPr>
        <w:t xml:space="preserve">ينبغي أن تقوم الدولة الطرف بما يلي: </w:t>
      </w:r>
    </w:p>
    <w:p w:rsidR="00E470AE" w:rsidRPr="00E47B6C" w:rsidRDefault="00E470AE" w:rsidP="00D560C9">
      <w:pPr>
        <w:pStyle w:val="SingleTxtGA"/>
        <w:spacing w:line="370" w:lineRule="exact"/>
        <w:rPr>
          <w:rFonts w:hint="cs"/>
          <w:b/>
          <w:bCs/>
          <w:spacing w:val="-4"/>
          <w:rtl/>
        </w:rPr>
      </w:pPr>
      <w:r w:rsidRPr="00E47B6C">
        <w:rPr>
          <w:rFonts w:hint="cs"/>
          <w:b/>
          <w:bCs/>
          <w:spacing w:val="-4"/>
          <w:rtl/>
        </w:rPr>
        <w:tab/>
        <w:t>(أ)</w:t>
      </w:r>
      <w:r w:rsidRPr="00E47B6C">
        <w:rPr>
          <w:rFonts w:hint="cs"/>
          <w:b/>
          <w:bCs/>
          <w:spacing w:val="-4"/>
          <w:rtl/>
        </w:rPr>
        <w:tab/>
        <w:t>ضمان إجراء تحقيقات شاملة في حالات التعذيب، بما فيها اختفاء اللاجئين وملتمسي اللجوء وأجانب آخرين موجودين في الدولة الطرف، وتعرضهم لسوء المعاملة؛</w:t>
      </w:r>
    </w:p>
    <w:p w:rsidR="00E470AE" w:rsidRDefault="00E470AE" w:rsidP="00D560C9">
      <w:pPr>
        <w:pStyle w:val="SingleTxtGA"/>
        <w:spacing w:line="370" w:lineRule="exact"/>
        <w:rPr>
          <w:rFonts w:hint="cs"/>
        </w:rPr>
      </w:pPr>
      <w:r>
        <w:rPr>
          <w:rFonts w:hint="cs"/>
          <w:b/>
          <w:bCs/>
          <w:rtl/>
        </w:rPr>
        <w:tab/>
        <w:t>(ب)</w:t>
      </w:r>
      <w:r>
        <w:rPr>
          <w:rFonts w:hint="cs"/>
          <w:b/>
          <w:bCs/>
          <w:rtl/>
        </w:rPr>
        <w:tab/>
      </w:r>
      <w:r w:rsidRPr="00C37DD0">
        <w:rPr>
          <w:rFonts w:hint="cs"/>
          <w:b/>
          <w:bCs/>
          <w:rtl/>
        </w:rPr>
        <w:t>تحسين ظروف الاحتجاز في مراكز احتجاز المهاجرين.</w:t>
      </w:r>
    </w:p>
    <w:p w:rsidR="00E470AE" w:rsidRPr="00966DC4" w:rsidRDefault="00E470AE" w:rsidP="00D560C9">
      <w:pPr>
        <w:pStyle w:val="SingleTxtGA"/>
        <w:spacing w:line="370" w:lineRule="exact"/>
        <w:rPr>
          <w:rFonts w:hint="cs"/>
          <w:b/>
          <w:bCs/>
          <w:rtl/>
        </w:rPr>
      </w:pPr>
      <w:r>
        <w:rPr>
          <w:rFonts w:hint="cs"/>
          <w:b/>
          <w:bCs/>
          <w:rtl/>
        </w:rPr>
        <w:tab/>
        <w:t>و</w:t>
      </w:r>
      <w:r w:rsidRPr="00966DC4">
        <w:rPr>
          <w:rFonts w:hint="cs"/>
          <w:b/>
          <w:bCs/>
          <w:rtl/>
        </w:rPr>
        <w:t>توصي اللجنة أيض</w:t>
      </w:r>
      <w:r>
        <w:rPr>
          <w:rFonts w:hint="cs"/>
          <w:b/>
          <w:bCs/>
          <w:rtl/>
        </w:rPr>
        <w:t>اً بأن تفي</w:t>
      </w:r>
      <w:r w:rsidRPr="00966DC4">
        <w:rPr>
          <w:rFonts w:hint="cs"/>
          <w:b/>
          <w:bCs/>
          <w:rtl/>
        </w:rPr>
        <w:t xml:space="preserve"> الدولة الط</w:t>
      </w:r>
      <w:r>
        <w:rPr>
          <w:rFonts w:hint="cs"/>
          <w:b/>
          <w:bCs/>
          <w:rtl/>
        </w:rPr>
        <w:t xml:space="preserve">رف </w:t>
      </w:r>
      <w:r w:rsidRPr="00966DC4">
        <w:rPr>
          <w:rFonts w:hint="cs"/>
          <w:b/>
          <w:bCs/>
          <w:rtl/>
        </w:rPr>
        <w:t xml:space="preserve">التزاماتها بموجب المادة 3 من الاتفاقية </w:t>
      </w:r>
      <w:r>
        <w:rPr>
          <w:rFonts w:hint="cs"/>
          <w:b/>
          <w:bCs/>
          <w:rtl/>
        </w:rPr>
        <w:t xml:space="preserve">وتقوم </w:t>
      </w:r>
      <w:r w:rsidRPr="00966DC4">
        <w:rPr>
          <w:rFonts w:hint="cs"/>
          <w:b/>
          <w:bCs/>
          <w:rtl/>
        </w:rPr>
        <w:t>بما يلي:</w:t>
      </w:r>
    </w:p>
    <w:p w:rsidR="00E470AE" w:rsidRPr="00966DC4" w:rsidRDefault="00E470AE" w:rsidP="00D560C9">
      <w:pPr>
        <w:pStyle w:val="SingleTxtGA"/>
        <w:spacing w:line="370" w:lineRule="exact"/>
        <w:rPr>
          <w:rFonts w:hint="cs"/>
          <w:b/>
          <w:bCs/>
          <w:rtl/>
        </w:rPr>
      </w:pPr>
      <w:r>
        <w:rPr>
          <w:rFonts w:hint="cs"/>
          <w:b/>
          <w:bCs/>
          <w:rtl/>
        </w:rPr>
        <w:tab/>
      </w:r>
      <w:r w:rsidRPr="00966DC4">
        <w:rPr>
          <w:rFonts w:hint="cs"/>
          <w:b/>
          <w:bCs/>
          <w:rtl/>
        </w:rPr>
        <w:t>(أ)</w:t>
      </w:r>
      <w:r>
        <w:rPr>
          <w:rFonts w:hint="cs"/>
          <w:b/>
          <w:bCs/>
          <w:rtl/>
        </w:rPr>
        <w:tab/>
      </w:r>
      <w:r w:rsidRPr="00966DC4">
        <w:rPr>
          <w:rFonts w:hint="cs"/>
          <w:b/>
          <w:bCs/>
          <w:rtl/>
        </w:rPr>
        <w:t>الإسراع في اعتماد تدابير فعالة لضمان معاملة جميع الأجانب الخاضعين لتشريعاتها معاملة منصفة و</w:t>
      </w:r>
      <w:r>
        <w:rPr>
          <w:rFonts w:hint="cs"/>
          <w:b/>
          <w:bCs/>
          <w:rtl/>
        </w:rPr>
        <w:t xml:space="preserve">تيسير </w:t>
      </w:r>
      <w:r w:rsidRPr="00966DC4">
        <w:rPr>
          <w:rFonts w:hint="cs"/>
          <w:b/>
          <w:bCs/>
          <w:rtl/>
        </w:rPr>
        <w:t>حصولهم على المساعدة القانونية في جميع مراحل الإجراءات ذات الصلة؛</w:t>
      </w:r>
    </w:p>
    <w:p w:rsidR="00E470AE" w:rsidRPr="00966DC4" w:rsidRDefault="00E470AE" w:rsidP="00D560C9">
      <w:pPr>
        <w:pStyle w:val="SingleTxtGA"/>
        <w:spacing w:line="370" w:lineRule="exact"/>
        <w:rPr>
          <w:rFonts w:hint="cs"/>
          <w:b/>
          <w:bCs/>
          <w:rtl/>
        </w:rPr>
      </w:pPr>
      <w:r>
        <w:rPr>
          <w:rFonts w:hint="cs"/>
          <w:b/>
          <w:bCs/>
          <w:rtl/>
        </w:rPr>
        <w:tab/>
        <w:t>(ب)</w:t>
      </w:r>
      <w:r>
        <w:rPr>
          <w:rFonts w:hint="cs"/>
          <w:b/>
          <w:bCs/>
          <w:rtl/>
        </w:rPr>
        <w:tab/>
      </w:r>
      <w:r w:rsidRPr="00966DC4">
        <w:rPr>
          <w:rFonts w:hint="cs"/>
          <w:b/>
          <w:bCs/>
          <w:rtl/>
        </w:rPr>
        <w:t>ا</w:t>
      </w:r>
      <w:r>
        <w:rPr>
          <w:rFonts w:hint="cs"/>
          <w:b/>
          <w:bCs/>
          <w:rtl/>
        </w:rPr>
        <w:t>لقيام، بالتعاون مع مفوضية</w:t>
      </w:r>
      <w:r w:rsidRPr="00966DC4">
        <w:rPr>
          <w:rFonts w:hint="cs"/>
          <w:b/>
          <w:bCs/>
          <w:rtl/>
        </w:rPr>
        <w:t xml:space="preserve"> الأمم المتحدة لشؤون اللاجئين، ب</w:t>
      </w:r>
      <w:r>
        <w:rPr>
          <w:rFonts w:hint="cs"/>
          <w:b/>
          <w:bCs/>
          <w:rtl/>
        </w:rPr>
        <w:t>التوسع في ال</w:t>
      </w:r>
      <w:r w:rsidRPr="00966DC4">
        <w:rPr>
          <w:rFonts w:hint="cs"/>
          <w:b/>
          <w:bCs/>
          <w:rtl/>
        </w:rPr>
        <w:t>آليات</w:t>
      </w:r>
      <w:r>
        <w:rPr>
          <w:rFonts w:hint="cs"/>
          <w:b/>
          <w:bCs/>
          <w:rtl/>
        </w:rPr>
        <w:t xml:space="preserve"> القائمة</w:t>
      </w:r>
      <w:r w:rsidRPr="00966DC4">
        <w:rPr>
          <w:rFonts w:hint="cs"/>
          <w:b/>
          <w:bCs/>
          <w:rtl/>
        </w:rPr>
        <w:t xml:space="preserve"> </w:t>
      </w:r>
      <w:r>
        <w:rPr>
          <w:rFonts w:hint="cs"/>
          <w:b/>
          <w:bCs/>
          <w:rtl/>
        </w:rPr>
        <w:t>ل</w:t>
      </w:r>
      <w:r w:rsidRPr="00966DC4">
        <w:rPr>
          <w:rFonts w:hint="cs"/>
          <w:b/>
          <w:bCs/>
          <w:rtl/>
        </w:rPr>
        <w:t xml:space="preserve">تحديد </w:t>
      </w:r>
      <w:r>
        <w:rPr>
          <w:rFonts w:hint="cs"/>
          <w:b/>
          <w:bCs/>
          <w:rtl/>
        </w:rPr>
        <w:t xml:space="preserve">هوية الضحايا </w:t>
      </w:r>
      <w:r w:rsidRPr="00966DC4">
        <w:rPr>
          <w:rFonts w:hint="cs"/>
          <w:b/>
          <w:bCs/>
          <w:rtl/>
        </w:rPr>
        <w:t>و</w:t>
      </w:r>
      <w:r>
        <w:rPr>
          <w:rFonts w:hint="cs"/>
          <w:b/>
          <w:bCs/>
          <w:rtl/>
        </w:rPr>
        <w:t>إحالتهم</w:t>
      </w:r>
      <w:r w:rsidRPr="00966DC4">
        <w:rPr>
          <w:rFonts w:hint="cs"/>
          <w:b/>
          <w:bCs/>
          <w:rtl/>
        </w:rPr>
        <w:t xml:space="preserve"> بهدف توفير الحماية والمساعدة اللازمتين</w:t>
      </w:r>
      <w:r>
        <w:rPr>
          <w:rFonts w:hint="cs"/>
          <w:b/>
          <w:bCs/>
          <w:rtl/>
        </w:rPr>
        <w:t xml:space="preserve"> لهم</w:t>
      </w:r>
      <w:r w:rsidRPr="00966DC4">
        <w:rPr>
          <w:rFonts w:hint="cs"/>
          <w:b/>
          <w:bCs/>
          <w:rtl/>
        </w:rPr>
        <w:t xml:space="preserve"> وبلوغ </w:t>
      </w:r>
      <w:r>
        <w:rPr>
          <w:rFonts w:hint="cs"/>
          <w:b/>
          <w:bCs/>
          <w:rtl/>
        </w:rPr>
        <w:t>المستوى الأمثل من ا</w:t>
      </w:r>
      <w:r w:rsidRPr="00966DC4">
        <w:rPr>
          <w:rFonts w:hint="cs"/>
          <w:b/>
          <w:bCs/>
          <w:rtl/>
        </w:rPr>
        <w:t>لتنسيق المشترك بين الوكالات؛</w:t>
      </w:r>
    </w:p>
    <w:p w:rsidR="00E470AE" w:rsidRPr="00966DC4" w:rsidRDefault="00E470AE" w:rsidP="00D560C9">
      <w:pPr>
        <w:pStyle w:val="SingleTxtGA"/>
        <w:spacing w:line="370" w:lineRule="exact"/>
        <w:rPr>
          <w:rFonts w:hint="cs"/>
          <w:b/>
          <w:bCs/>
          <w:rtl/>
        </w:rPr>
      </w:pPr>
      <w:r>
        <w:rPr>
          <w:rFonts w:hint="cs"/>
          <w:b/>
          <w:bCs/>
          <w:rtl/>
        </w:rPr>
        <w:tab/>
      </w:r>
      <w:r w:rsidRPr="00966DC4">
        <w:rPr>
          <w:rFonts w:hint="cs"/>
          <w:b/>
          <w:bCs/>
          <w:rtl/>
        </w:rPr>
        <w:t>(ج)</w:t>
      </w:r>
      <w:r>
        <w:rPr>
          <w:rFonts w:hint="cs"/>
          <w:b/>
          <w:bCs/>
          <w:rtl/>
        </w:rPr>
        <w:tab/>
      </w:r>
      <w:r w:rsidRPr="00966DC4">
        <w:rPr>
          <w:rFonts w:hint="cs"/>
          <w:b/>
          <w:bCs/>
          <w:rtl/>
        </w:rPr>
        <w:t xml:space="preserve">إنشاء نظام فعال لجمع بيانات </w:t>
      </w:r>
      <w:r>
        <w:rPr>
          <w:rFonts w:hint="cs"/>
          <w:b/>
          <w:bCs/>
          <w:rtl/>
        </w:rPr>
        <w:t xml:space="preserve">عن </w:t>
      </w:r>
      <w:r w:rsidRPr="00966DC4">
        <w:rPr>
          <w:rFonts w:hint="cs"/>
          <w:b/>
          <w:bCs/>
          <w:rtl/>
        </w:rPr>
        <w:t>وضع اللاجئين وملتمسي اللجوء والأشخاص عدي</w:t>
      </w:r>
      <w:r>
        <w:rPr>
          <w:rFonts w:hint="cs"/>
          <w:b/>
          <w:bCs/>
          <w:rtl/>
        </w:rPr>
        <w:t>مي الجنسية الموجودين في أراضي الدولة الطرف</w:t>
      </w:r>
      <w:r w:rsidRPr="00966DC4">
        <w:rPr>
          <w:rFonts w:hint="cs"/>
          <w:b/>
          <w:bCs/>
          <w:rtl/>
        </w:rPr>
        <w:t>؛</w:t>
      </w:r>
    </w:p>
    <w:p w:rsidR="00E470AE" w:rsidRDefault="00E470AE" w:rsidP="00D560C9">
      <w:pPr>
        <w:pStyle w:val="SingleTxtGA"/>
        <w:spacing w:line="370" w:lineRule="exact"/>
        <w:rPr>
          <w:rFonts w:hint="cs"/>
          <w:rtl/>
        </w:rPr>
      </w:pPr>
      <w:r>
        <w:rPr>
          <w:rFonts w:hint="cs"/>
          <w:b/>
          <w:bCs/>
          <w:rtl/>
        </w:rPr>
        <w:tab/>
      </w:r>
      <w:r w:rsidRPr="00966DC4">
        <w:rPr>
          <w:rFonts w:hint="cs"/>
          <w:b/>
          <w:bCs/>
          <w:rtl/>
        </w:rPr>
        <w:t>(د)</w:t>
      </w:r>
      <w:r>
        <w:rPr>
          <w:rFonts w:hint="cs"/>
          <w:b/>
          <w:bCs/>
          <w:rtl/>
        </w:rPr>
        <w:tab/>
      </w:r>
      <w:r w:rsidRPr="00966DC4">
        <w:rPr>
          <w:rFonts w:hint="cs"/>
          <w:b/>
          <w:bCs/>
          <w:rtl/>
        </w:rPr>
        <w:t>التصديق على اتفاقية خفض حالات انعدام الجنسية والنظر في إمكانية سحب تحفظاتها على المواد 17 و26 و31 (الفقرة 2) و32 من الاتفاقية الخاصة بوضع اللاجئين وعلى المواد 17 و31 و32 من اتفاقية وضع الأشخاص عديمي الجنسية.</w:t>
      </w:r>
    </w:p>
    <w:p w:rsidR="00E470AE" w:rsidRPr="00F71B10" w:rsidRDefault="00E470AE" w:rsidP="004967CD">
      <w:pPr>
        <w:pStyle w:val="H23GA"/>
        <w:rPr>
          <w:rFonts w:hint="cs"/>
          <w:rtl/>
        </w:rPr>
      </w:pPr>
      <w:r>
        <w:rPr>
          <w:rFonts w:hint="cs"/>
          <w:rtl/>
        </w:rPr>
        <w:tab/>
      </w:r>
      <w:r>
        <w:rPr>
          <w:rFonts w:hint="cs"/>
          <w:rtl/>
        </w:rPr>
        <w:tab/>
      </w:r>
      <w:r w:rsidRPr="00F71B10">
        <w:rPr>
          <w:rFonts w:hint="cs"/>
          <w:rtl/>
        </w:rPr>
        <w:t>مؤسسات العلاج النفسي</w:t>
      </w:r>
    </w:p>
    <w:p w:rsidR="00E470AE" w:rsidRDefault="00D560C9" w:rsidP="004967CD">
      <w:pPr>
        <w:pStyle w:val="SingleTxtGA"/>
        <w:rPr>
          <w:rFonts w:hint="cs"/>
        </w:rPr>
      </w:pPr>
      <w:r>
        <w:rPr>
          <w:rFonts w:hint="cs"/>
          <w:rtl/>
        </w:rPr>
        <w:t>(</w:t>
      </w:r>
      <w:r w:rsidR="00E470AE">
        <w:rPr>
          <w:rFonts w:hint="cs"/>
          <w:rtl/>
        </w:rPr>
        <w:t>22</w:t>
      </w:r>
      <w:r>
        <w:rPr>
          <w:rFonts w:hint="cs"/>
          <w:rtl/>
        </w:rPr>
        <w:t>)</w:t>
      </w:r>
      <w:r w:rsidR="00E470AE">
        <w:rPr>
          <w:rFonts w:hint="cs"/>
          <w:rtl/>
        </w:rPr>
        <w:tab/>
        <w:t>تعرب اللجنة عن قلقها إزاء ما وردها من تقارير بشأن سوء معاملة نزلاء مؤسسات العلاج النفسي وإزاء عدم حيازتها معلومات عن نتائج التحقيقات ذات الصلة. كما تعرب عن قلقها إزاء ما وردها من تقارير بشأن تدني ظروف الصيانة والنظافة في هذه المراكز. وفي الأخير، قالت اللجنة إنها لم تتلقّ معلومات تفيد بوجود أي بروتوكولات تنظم استخدام أساليب الاحتجاز في مؤسسات العلاج النفسي (المواد 2 و11 و16).</w:t>
      </w:r>
    </w:p>
    <w:p w:rsidR="00E470AE" w:rsidRPr="009850F6" w:rsidRDefault="00E470AE" w:rsidP="004967CD">
      <w:pPr>
        <w:pStyle w:val="SingleTxtGA"/>
        <w:rPr>
          <w:rFonts w:hint="cs"/>
          <w:b/>
          <w:bCs/>
          <w:rtl/>
        </w:rPr>
      </w:pPr>
      <w:r>
        <w:rPr>
          <w:rFonts w:hint="cs"/>
          <w:b/>
          <w:bCs/>
          <w:rtl/>
        </w:rPr>
        <w:tab/>
      </w:r>
      <w:r w:rsidRPr="009850F6">
        <w:rPr>
          <w:rFonts w:hint="cs"/>
          <w:b/>
          <w:bCs/>
          <w:rtl/>
        </w:rPr>
        <w:t>ينبغي أن تقوم الدولة الطرف بما يلي:</w:t>
      </w:r>
    </w:p>
    <w:p w:rsidR="00E470AE" w:rsidRPr="00E47B6C" w:rsidRDefault="00E470AE" w:rsidP="004967CD">
      <w:pPr>
        <w:pStyle w:val="SingleTxtGA"/>
        <w:rPr>
          <w:rFonts w:hint="cs"/>
          <w:b/>
          <w:bCs/>
          <w:spacing w:val="-4"/>
          <w:rtl/>
        </w:rPr>
      </w:pPr>
      <w:r w:rsidRPr="00E47B6C">
        <w:rPr>
          <w:rFonts w:hint="cs"/>
          <w:b/>
          <w:bCs/>
          <w:spacing w:val="-4"/>
          <w:rtl/>
        </w:rPr>
        <w:tab/>
        <w:t>(أ)</w:t>
      </w:r>
      <w:r w:rsidRPr="00E47B6C">
        <w:rPr>
          <w:rFonts w:hint="cs"/>
          <w:b/>
          <w:bCs/>
          <w:spacing w:val="-4"/>
          <w:rtl/>
        </w:rPr>
        <w:tab/>
        <w:t>ضمان التحقيق السريع والمحايد في جميع التقارير المتعلقة بسوء معاملة الأشخاص ذوي الإعاقة الموجودين في مؤسسات العلاج النفسي ومحاكمة المذنبين المزعومين؛</w:t>
      </w:r>
    </w:p>
    <w:p w:rsidR="00E470AE" w:rsidRPr="009850F6" w:rsidRDefault="00E470AE" w:rsidP="004967CD">
      <w:pPr>
        <w:pStyle w:val="SingleTxtGA"/>
        <w:rPr>
          <w:rFonts w:hint="cs"/>
          <w:b/>
          <w:bCs/>
        </w:rPr>
      </w:pPr>
      <w:r>
        <w:rPr>
          <w:rFonts w:hint="cs"/>
          <w:b/>
          <w:bCs/>
          <w:rtl/>
        </w:rPr>
        <w:tab/>
      </w:r>
      <w:r w:rsidRPr="009850F6">
        <w:rPr>
          <w:rFonts w:hint="cs"/>
          <w:b/>
          <w:bCs/>
          <w:rtl/>
        </w:rPr>
        <w:t>(ب)</w:t>
      </w:r>
      <w:r>
        <w:rPr>
          <w:rFonts w:hint="cs"/>
          <w:b/>
          <w:bCs/>
          <w:rtl/>
        </w:rPr>
        <w:tab/>
        <w:t>زيادة الموارد المتاحة</w:t>
      </w:r>
      <w:r w:rsidRPr="009850F6">
        <w:rPr>
          <w:rFonts w:hint="cs"/>
          <w:b/>
          <w:bCs/>
          <w:rtl/>
        </w:rPr>
        <w:t xml:space="preserve"> لإدخال تحسينات على المرافق ذات الصلة </w:t>
      </w:r>
      <w:r>
        <w:rPr>
          <w:rFonts w:hint="cs"/>
          <w:b/>
          <w:bCs/>
          <w:rtl/>
        </w:rPr>
        <w:t>تلبية</w:t>
      </w:r>
      <w:r w:rsidRPr="009850F6">
        <w:rPr>
          <w:rFonts w:hint="cs"/>
          <w:b/>
          <w:bCs/>
          <w:rtl/>
        </w:rPr>
        <w:t xml:space="preserve"> </w:t>
      </w:r>
      <w:r>
        <w:rPr>
          <w:rFonts w:hint="cs"/>
          <w:b/>
          <w:bCs/>
          <w:rtl/>
        </w:rPr>
        <w:t>ل</w:t>
      </w:r>
      <w:r w:rsidRPr="009850F6">
        <w:rPr>
          <w:rFonts w:hint="cs"/>
          <w:b/>
          <w:bCs/>
          <w:rtl/>
        </w:rPr>
        <w:t>احتياجات المرضى الأساسية فيما يتعلق بالرعاية الطبية والنظافة الصحية؛</w:t>
      </w:r>
    </w:p>
    <w:p w:rsidR="00E470AE" w:rsidRPr="00E47B6C" w:rsidRDefault="00E470AE" w:rsidP="004967CD">
      <w:pPr>
        <w:pStyle w:val="SingleTxtGA"/>
        <w:rPr>
          <w:rFonts w:hint="cs"/>
          <w:b/>
          <w:bCs/>
          <w:spacing w:val="-4"/>
          <w:rtl/>
        </w:rPr>
      </w:pPr>
      <w:r w:rsidRPr="00E47B6C">
        <w:rPr>
          <w:rFonts w:hint="cs"/>
          <w:b/>
          <w:bCs/>
          <w:spacing w:val="-4"/>
          <w:rtl/>
        </w:rPr>
        <w:tab/>
        <w:t>(ج)</w:t>
      </w:r>
      <w:r w:rsidRPr="00E47B6C">
        <w:rPr>
          <w:rFonts w:hint="cs"/>
          <w:b/>
          <w:bCs/>
          <w:spacing w:val="-4"/>
          <w:rtl/>
        </w:rPr>
        <w:tab/>
        <w:t>ضمان اضطلاع أجهزة المراقبة المستقلة بزيارات منتظمة إلى هذه المراكز؛</w:t>
      </w:r>
    </w:p>
    <w:p w:rsidR="00E470AE" w:rsidRPr="009850F6" w:rsidRDefault="00E470AE" w:rsidP="004967CD">
      <w:pPr>
        <w:pStyle w:val="SingleTxtGA"/>
        <w:rPr>
          <w:rFonts w:hint="cs"/>
          <w:b/>
          <w:bCs/>
          <w:rtl/>
        </w:rPr>
      </w:pPr>
      <w:r>
        <w:rPr>
          <w:rFonts w:hint="cs"/>
          <w:b/>
          <w:bCs/>
          <w:rtl/>
        </w:rPr>
        <w:tab/>
      </w:r>
      <w:r w:rsidRPr="009850F6">
        <w:rPr>
          <w:rFonts w:hint="cs"/>
          <w:b/>
          <w:bCs/>
          <w:rtl/>
        </w:rPr>
        <w:t>(د)</w:t>
      </w:r>
      <w:r>
        <w:rPr>
          <w:rFonts w:hint="cs"/>
          <w:b/>
          <w:bCs/>
          <w:rtl/>
        </w:rPr>
        <w:tab/>
        <w:t>تعزيز مراقبتها إلى أقصى حد فيما يتعلق</w:t>
      </w:r>
      <w:r w:rsidRPr="009850F6">
        <w:rPr>
          <w:rFonts w:hint="cs"/>
          <w:b/>
          <w:bCs/>
          <w:rtl/>
        </w:rPr>
        <w:t xml:space="preserve"> </w:t>
      </w:r>
      <w:r>
        <w:rPr>
          <w:rFonts w:hint="cs"/>
          <w:b/>
          <w:bCs/>
          <w:rtl/>
        </w:rPr>
        <w:t>ب</w:t>
      </w:r>
      <w:r w:rsidRPr="009850F6">
        <w:rPr>
          <w:rFonts w:hint="cs"/>
          <w:b/>
          <w:bCs/>
          <w:rtl/>
        </w:rPr>
        <w:t>استخدام أساليب الإكراه القائمة على بروتوكولات إجرائية مسبقة؛</w:t>
      </w:r>
    </w:p>
    <w:p w:rsidR="00E470AE" w:rsidRPr="00E47B6C" w:rsidRDefault="00E470AE" w:rsidP="004967CD">
      <w:pPr>
        <w:pStyle w:val="SingleTxtGA"/>
        <w:rPr>
          <w:rFonts w:hint="cs"/>
          <w:b/>
          <w:bCs/>
          <w:rtl/>
        </w:rPr>
      </w:pPr>
      <w:r w:rsidRPr="00E47B6C">
        <w:rPr>
          <w:rFonts w:hint="cs"/>
          <w:b/>
          <w:bCs/>
          <w:rtl/>
        </w:rPr>
        <w:tab/>
        <w:t>(و)</w:t>
      </w:r>
      <w:r w:rsidRPr="00E47B6C">
        <w:rPr>
          <w:rFonts w:hint="cs"/>
          <w:b/>
          <w:bCs/>
          <w:rtl/>
        </w:rPr>
        <w:tab/>
        <w:t>تشجيع اعتماد أشكال بديلة من المعاملة والأشكال المجتمعية على وجه</w:t>
      </w:r>
      <w:r w:rsidR="00D560C9">
        <w:rPr>
          <w:rFonts w:hint="eastAsia"/>
          <w:b/>
          <w:bCs/>
          <w:rtl/>
        </w:rPr>
        <w:t> </w:t>
      </w:r>
      <w:r w:rsidRPr="00E47B6C">
        <w:rPr>
          <w:rFonts w:hint="cs"/>
          <w:b/>
          <w:bCs/>
          <w:rtl/>
        </w:rPr>
        <w:t>الخصوص.</w:t>
      </w:r>
    </w:p>
    <w:p w:rsidR="00E470AE" w:rsidRPr="009850F6" w:rsidRDefault="00E470AE" w:rsidP="004967CD">
      <w:pPr>
        <w:pStyle w:val="H23GA"/>
        <w:rPr>
          <w:rFonts w:hint="cs"/>
          <w:rtl/>
        </w:rPr>
      </w:pPr>
      <w:r>
        <w:rPr>
          <w:rFonts w:hint="cs"/>
          <w:rtl/>
        </w:rPr>
        <w:tab/>
      </w:r>
      <w:r>
        <w:rPr>
          <w:rFonts w:hint="cs"/>
          <w:rtl/>
        </w:rPr>
        <w:tab/>
      </w:r>
      <w:r w:rsidRPr="009850F6">
        <w:rPr>
          <w:rFonts w:hint="cs"/>
          <w:rtl/>
        </w:rPr>
        <w:t>الولاية القضائية العالمية</w:t>
      </w:r>
    </w:p>
    <w:p w:rsidR="00E470AE" w:rsidRDefault="00D560C9" w:rsidP="004967CD">
      <w:pPr>
        <w:pStyle w:val="SingleTxtGA"/>
        <w:rPr>
          <w:rFonts w:hint="cs"/>
        </w:rPr>
      </w:pPr>
      <w:r>
        <w:rPr>
          <w:rFonts w:hint="cs"/>
          <w:rtl/>
        </w:rPr>
        <w:t>(</w:t>
      </w:r>
      <w:r w:rsidR="00E470AE">
        <w:rPr>
          <w:rFonts w:hint="cs"/>
          <w:rtl/>
        </w:rPr>
        <w:t>23</w:t>
      </w:r>
      <w:r>
        <w:rPr>
          <w:rFonts w:hint="cs"/>
          <w:rtl/>
        </w:rPr>
        <w:t>)</w:t>
      </w:r>
      <w:r w:rsidR="00E470AE">
        <w:rPr>
          <w:rFonts w:hint="cs"/>
          <w:rtl/>
        </w:rPr>
        <w:tab/>
        <w:t>تحيط اللجنة علماً بالمادة 6 من القانون الجنائي الاتحادي لكنها تلاحظ أن قوانين الدولة الطرف لا تتضمن أحكاماً تقر صراحة باختصاصها القضائي في التصدي لجرائم التعذيب (المواد 5 و6 و7 و8).</w:t>
      </w:r>
    </w:p>
    <w:p w:rsidR="00E470AE" w:rsidRPr="00277778" w:rsidRDefault="00E470AE" w:rsidP="004967CD">
      <w:pPr>
        <w:pStyle w:val="SingleTxtGA"/>
        <w:rPr>
          <w:rFonts w:hint="cs"/>
          <w:b/>
          <w:bCs/>
          <w:rtl/>
        </w:rPr>
      </w:pPr>
      <w:r>
        <w:rPr>
          <w:rFonts w:hint="cs"/>
          <w:b/>
          <w:bCs/>
          <w:rtl/>
        </w:rPr>
        <w:tab/>
      </w:r>
      <w:r w:rsidRPr="00277778">
        <w:rPr>
          <w:rFonts w:hint="cs"/>
          <w:b/>
          <w:bCs/>
          <w:rtl/>
        </w:rPr>
        <w:t xml:space="preserve">ينبغي أن تعتمد الدولة الطرف في تشريعاتها الجنائية </w:t>
      </w:r>
      <w:r>
        <w:rPr>
          <w:rFonts w:hint="cs"/>
          <w:b/>
          <w:bCs/>
          <w:rtl/>
        </w:rPr>
        <w:t xml:space="preserve">أحكاماً </w:t>
      </w:r>
      <w:r w:rsidRPr="00277778">
        <w:rPr>
          <w:rFonts w:hint="cs"/>
          <w:b/>
          <w:bCs/>
          <w:rtl/>
        </w:rPr>
        <w:t>تقر</w:t>
      </w:r>
      <w:r>
        <w:rPr>
          <w:rFonts w:hint="cs"/>
          <w:b/>
          <w:bCs/>
          <w:rtl/>
        </w:rPr>
        <w:t>ّ</w:t>
      </w:r>
      <w:r w:rsidRPr="00277778">
        <w:rPr>
          <w:rFonts w:hint="cs"/>
          <w:b/>
          <w:bCs/>
          <w:rtl/>
        </w:rPr>
        <w:t xml:space="preserve"> باختصاصها القضائي </w:t>
      </w:r>
      <w:r>
        <w:rPr>
          <w:rFonts w:hint="cs"/>
          <w:b/>
          <w:bCs/>
          <w:rtl/>
        </w:rPr>
        <w:t>في التصدي</w:t>
      </w:r>
      <w:r w:rsidRPr="00277778">
        <w:rPr>
          <w:rFonts w:hint="cs"/>
          <w:b/>
          <w:bCs/>
          <w:rtl/>
        </w:rPr>
        <w:t xml:space="preserve"> </w:t>
      </w:r>
      <w:r>
        <w:rPr>
          <w:rFonts w:hint="cs"/>
          <w:b/>
          <w:bCs/>
          <w:rtl/>
        </w:rPr>
        <w:t>لجرائم</w:t>
      </w:r>
      <w:r w:rsidRPr="00277778">
        <w:rPr>
          <w:rFonts w:hint="cs"/>
          <w:b/>
          <w:bCs/>
          <w:rtl/>
        </w:rPr>
        <w:t xml:space="preserve"> التعذيب وفق</w:t>
      </w:r>
      <w:r>
        <w:rPr>
          <w:rFonts w:hint="cs"/>
          <w:b/>
          <w:bCs/>
          <w:rtl/>
        </w:rPr>
        <w:t xml:space="preserve">اً </w:t>
      </w:r>
      <w:r w:rsidRPr="00277778">
        <w:rPr>
          <w:rFonts w:hint="cs"/>
          <w:b/>
          <w:bCs/>
          <w:rtl/>
        </w:rPr>
        <w:t xml:space="preserve">للمادة 5 من الاتفاقية، بما في ذلك الأحكام التي يجوز </w:t>
      </w:r>
      <w:r>
        <w:rPr>
          <w:rFonts w:hint="cs"/>
          <w:b/>
          <w:bCs/>
          <w:rtl/>
        </w:rPr>
        <w:t xml:space="preserve">بموجبها </w:t>
      </w:r>
      <w:r w:rsidRPr="00277778">
        <w:rPr>
          <w:rFonts w:hint="cs"/>
          <w:b/>
          <w:bCs/>
          <w:rtl/>
        </w:rPr>
        <w:t>للدولة الطرف القيام وفق</w:t>
      </w:r>
      <w:r>
        <w:rPr>
          <w:rFonts w:hint="cs"/>
          <w:b/>
          <w:bCs/>
          <w:rtl/>
        </w:rPr>
        <w:t xml:space="preserve">اً </w:t>
      </w:r>
      <w:r w:rsidRPr="00277778">
        <w:rPr>
          <w:rFonts w:hint="cs"/>
          <w:b/>
          <w:bCs/>
          <w:rtl/>
        </w:rPr>
        <w:t xml:space="preserve">للمادة 7 بملاحقة أجانب يرتكبون أعمال </w:t>
      </w:r>
      <w:r>
        <w:rPr>
          <w:rFonts w:hint="cs"/>
          <w:b/>
          <w:bCs/>
          <w:rtl/>
        </w:rPr>
        <w:t>تعذيب خارج أراضيها لكنهم موجودون في</w:t>
      </w:r>
      <w:r w:rsidRPr="00277778">
        <w:rPr>
          <w:rFonts w:hint="cs"/>
          <w:b/>
          <w:bCs/>
          <w:rtl/>
        </w:rPr>
        <w:t xml:space="preserve"> أراضيها ولم يرحّلوا.</w:t>
      </w:r>
    </w:p>
    <w:p w:rsidR="00E470AE" w:rsidRPr="00277778" w:rsidRDefault="00E470AE" w:rsidP="00E470AE">
      <w:pPr>
        <w:pStyle w:val="H23GA"/>
        <w:spacing w:line="360" w:lineRule="exact"/>
        <w:rPr>
          <w:rFonts w:hint="cs"/>
          <w:rtl/>
        </w:rPr>
      </w:pPr>
      <w:r>
        <w:rPr>
          <w:rFonts w:hint="cs"/>
          <w:rtl/>
        </w:rPr>
        <w:tab/>
      </w:r>
      <w:r>
        <w:rPr>
          <w:rFonts w:hint="cs"/>
          <w:rtl/>
        </w:rPr>
        <w:tab/>
      </w:r>
      <w:r w:rsidRPr="00277778">
        <w:rPr>
          <w:rFonts w:hint="cs"/>
          <w:rtl/>
        </w:rPr>
        <w:t>الجبر</w:t>
      </w:r>
    </w:p>
    <w:p w:rsidR="00E470AE" w:rsidRPr="005A3CED" w:rsidRDefault="005A3CED" w:rsidP="004967CD">
      <w:pPr>
        <w:pStyle w:val="SingleTxtGA"/>
        <w:rPr>
          <w:rFonts w:hint="cs"/>
        </w:rPr>
      </w:pPr>
      <w:r w:rsidRPr="005A3CED">
        <w:rPr>
          <w:rFonts w:hint="cs"/>
          <w:rtl/>
        </w:rPr>
        <w:t>(</w:t>
      </w:r>
      <w:r w:rsidR="00E470AE" w:rsidRPr="005A3CED">
        <w:rPr>
          <w:rFonts w:hint="cs"/>
          <w:rtl/>
        </w:rPr>
        <w:t>24</w:t>
      </w:r>
      <w:r w:rsidRPr="005A3CED">
        <w:rPr>
          <w:rFonts w:hint="cs"/>
          <w:rtl/>
        </w:rPr>
        <w:t>)</w:t>
      </w:r>
      <w:r w:rsidR="00E470AE" w:rsidRPr="005A3CED">
        <w:rPr>
          <w:rFonts w:hint="cs"/>
          <w:rtl/>
        </w:rPr>
        <w:tab/>
        <w:t>ترحب اللجنة باعتماد الدولة الطرف حكماً في الدستور يقر صراحة بأن من واجبها</w:t>
      </w:r>
      <w:r>
        <w:rPr>
          <w:rFonts w:hint="eastAsia"/>
          <w:rtl/>
        </w:rPr>
        <w:t> </w:t>
      </w:r>
      <w:r w:rsidR="00E470AE" w:rsidRPr="005A3CED">
        <w:rPr>
          <w:rFonts w:hint="cs"/>
          <w:rtl/>
        </w:rPr>
        <w:t>التصدي لانتهاكات حقوق الإنسان لكنها تعرب عن أسفها لعدم وجود قانون عام</w:t>
      </w:r>
      <w:r>
        <w:rPr>
          <w:rFonts w:hint="eastAsia"/>
          <w:rtl/>
        </w:rPr>
        <w:t> </w:t>
      </w:r>
      <w:r w:rsidR="00E470AE" w:rsidRPr="005A3CED">
        <w:rPr>
          <w:rFonts w:hint="cs"/>
          <w:rtl/>
        </w:rPr>
        <w:t>في هذا الصدد. وتعرب اللجنة عن قلقها لأن ضحايا التعذيب أو سوء المعاملة نادراً ما</w:t>
      </w:r>
      <w:r>
        <w:rPr>
          <w:rFonts w:hint="eastAsia"/>
          <w:rtl/>
        </w:rPr>
        <w:t> </w:t>
      </w:r>
      <w:r w:rsidR="00E470AE" w:rsidRPr="005A3CED">
        <w:rPr>
          <w:rFonts w:hint="cs"/>
          <w:rtl/>
        </w:rPr>
        <w:t>يحصلون على</w:t>
      </w:r>
      <w:r w:rsidRPr="005A3CED">
        <w:rPr>
          <w:rFonts w:hint="cs"/>
          <w:rtl/>
        </w:rPr>
        <w:t xml:space="preserve"> </w:t>
      </w:r>
      <w:r w:rsidR="00E470AE" w:rsidRPr="005A3CED">
        <w:rPr>
          <w:rFonts w:hint="cs"/>
          <w:rtl/>
        </w:rPr>
        <w:t>تعويض، وتعرب في هذا السياق عن انزعاجها من التقارير التي تفيد بأن السلطات تقوم</w:t>
      </w:r>
      <w:r>
        <w:rPr>
          <w:rFonts w:hint="cs"/>
          <w:rtl/>
        </w:rPr>
        <w:t xml:space="preserve"> </w:t>
      </w:r>
      <w:r w:rsidR="00E470AE" w:rsidRPr="005A3CED">
        <w:rPr>
          <w:rFonts w:hint="cs"/>
          <w:rtl/>
        </w:rPr>
        <w:t>- رغم التوصيات المقدمة من اللجنة الوطنية لحقوق الإنسان إلى مختلف الهيئات - بتقديم التعويضات مباشرة إلى الضحايا وتحرمهم بذلك من ممارسة حقهم في التماس الجبر أمام القضاء (المادة 14).</w:t>
      </w:r>
    </w:p>
    <w:p w:rsidR="00E470AE" w:rsidRPr="00E47B6C" w:rsidRDefault="00E470AE" w:rsidP="004967CD">
      <w:pPr>
        <w:pStyle w:val="SingleTxtGA"/>
        <w:rPr>
          <w:rFonts w:hint="cs"/>
          <w:b/>
          <w:bCs/>
          <w:spacing w:val="-2"/>
          <w:rtl/>
        </w:rPr>
      </w:pPr>
      <w:r w:rsidRPr="00E47B6C">
        <w:rPr>
          <w:rFonts w:hint="cs"/>
          <w:b/>
          <w:bCs/>
          <w:spacing w:val="-2"/>
          <w:rtl/>
        </w:rPr>
        <w:tab/>
        <w:t xml:space="preserve">ينبغي أن تكثف الدولة الطرف جهودها في سبيل إنصاف ضحايا التعذيب وسوء المعاملة بطرق منها تقديم تعويضات عادلة وكافية وتسخير وسائل إعادة تأهيلهم على أكمل وجه ممكن. وعليه تحث اللجنة الدولة الطرف على إتمام وضع إطارها التشريعي المنصوص عليه في الدستور من خلال اعتماد قانون يتماشى مع المعايير الدولية، بما فيها الاتفاقية. </w:t>
      </w:r>
    </w:p>
    <w:p w:rsidR="00E470AE" w:rsidRDefault="00E470AE" w:rsidP="004967CD">
      <w:pPr>
        <w:pStyle w:val="SingleTxtGA"/>
        <w:rPr>
          <w:rFonts w:hint="cs"/>
          <w:b/>
          <w:bCs/>
          <w:rtl/>
        </w:rPr>
      </w:pPr>
      <w:r>
        <w:rPr>
          <w:rFonts w:hint="cs"/>
          <w:b/>
          <w:bCs/>
          <w:rtl/>
        </w:rPr>
        <w:tab/>
        <w:t>وتوجّه اللجنة انتباه الدولة الطرف إلى تعليقها العام رقم 3(2012) بشأن تطبيق المادة 14 الذي اعتمدته مؤخراً والذي يوضح طبيعة ونطاق التزامات الدولة الطرف بإتاحة إمكانية جبر الضرر بالكامل لضحايا التعذيب.</w:t>
      </w:r>
    </w:p>
    <w:p w:rsidR="00E470AE" w:rsidRPr="00D56011" w:rsidRDefault="00E470AE" w:rsidP="004967CD">
      <w:pPr>
        <w:pStyle w:val="H23GA"/>
        <w:rPr>
          <w:rFonts w:hint="cs"/>
        </w:rPr>
      </w:pPr>
      <w:r>
        <w:rPr>
          <w:rFonts w:hint="cs"/>
          <w:rtl/>
        </w:rPr>
        <w:tab/>
      </w:r>
      <w:r>
        <w:rPr>
          <w:rFonts w:hint="cs"/>
          <w:rtl/>
        </w:rPr>
        <w:tab/>
        <w:t>التدريب</w:t>
      </w:r>
    </w:p>
    <w:p w:rsidR="00E470AE" w:rsidRDefault="004967CD" w:rsidP="004967CD">
      <w:pPr>
        <w:pStyle w:val="SingleTxtGA"/>
        <w:rPr>
          <w:rFonts w:hint="cs"/>
        </w:rPr>
      </w:pPr>
      <w:r>
        <w:rPr>
          <w:rFonts w:hint="cs"/>
          <w:rtl/>
        </w:rPr>
        <w:t>(</w:t>
      </w:r>
      <w:r w:rsidR="00E470AE">
        <w:rPr>
          <w:rFonts w:hint="cs"/>
          <w:rtl/>
        </w:rPr>
        <w:t>25</w:t>
      </w:r>
      <w:r>
        <w:rPr>
          <w:rFonts w:hint="cs"/>
          <w:rtl/>
        </w:rPr>
        <w:t>)</w:t>
      </w:r>
      <w:r w:rsidR="00E470AE">
        <w:rPr>
          <w:rFonts w:hint="cs"/>
          <w:rtl/>
        </w:rPr>
        <w:tab/>
        <w:t xml:space="preserve">تحيط اللجنة علماً بما قدمته الدولة الطرف من معلومات عن تدريب الموظفين المدنيين على استخدام </w:t>
      </w:r>
      <w:r w:rsidR="00E470AE">
        <w:rPr>
          <w:rFonts w:hint="cs"/>
          <w:rtl/>
          <w:lang/>
        </w:rPr>
        <w:t xml:space="preserve">كتيب </w:t>
      </w:r>
      <w:r w:rsidR="00E470AE" w:rsidRPr="00C83F1D">
        <w:rPr>
          <w:rFonts w:hint="cs"/>
          <w:i/>
          <w:iCs/>
          <w:rtl/>
          <w:lang/>
        </w:rPr>
        <w:t>التشخيص الطبي/النفساني الخاص بحالات التعذيب و/أو إساءة المعاملة ا</w:t>
      </w:r>
      <w:r w:rsidR="00E470AE">
        <w:rPr>
          <w:rFonts w:hint="cs"/>
          <w:rtl/>
          <w:lang/>
        </w:rPr>
        <w:t>لمفترضة الذي</w:t>
      </w:r>
      <w:r w:rsidR="00E470AE">
        <w:rPr>
          <w:rFonts w:hint="cs"/>
          <w:rtl/>
        </w:rPr>
        <w:t xml:space="preserve"> يستند إلى بروتوكول اسطنبول. غير أنها تعرب عن أسفها لقلة المعلومات عن محتوى برامج التدريب في مجال حقوق الإنسان ومنع التعذيب التي تنظمها وزارة الأمن العام ووزارة الدفاع ووزارة البحرية. كما تلاحظ اللجنة أن الدولة الطرف لم</w:t>
      </w:r>
      <w:r>
        <w:rPr>
          <w:rFonts w:hint="eastAsia"/>
          <w:rtl/>
        </w:rPr>
        <w:t> </w:t>
      </w:r>
      <w:r w:rsidR="00E470AE">
        <w:rPr>
          <w:rFonts w:hint="cs"/>
          <w:rtl/>
        </w:rPr>
        <w:t>تقدم أي معلومات عن مدى تأثير هذه الأنشطة والبرامج التدريبية في الحد من عدد حالات التعذيب أو سوء المعاملة (المادة 10).</w:t>
      </w:r>
    </w:p>
    <w:p w:rsidR="00E470AE" w:rsidRPr="00C11A32" w:rsidRDefault="00E470AE" w:rsidP="004967CD">
      <w:pPr>
        <w:pStyle w:val="SingleTxtGA"/>
        <w:rPr>
          <w:rFonts w:hint="cs"/>
          <w:b/>
          <w:bCs/>
          <w:rtl/>
        </w:rPr>
      </w:pPr>
      <w:r>
        <w:rPr>
          <w:rFonts w:hint="cs"/>
          <w:b/>
          <w:bCs/>
          <w:rtl/>
        </w:rPr>
        <w:tab/>
      </w:r>
      <w:r w:rsidRPr="00C11A32">
        <w:rPr>
          <w:rFonts w:hint="cs"/>
          <w:b/>
          <w:bCs/>
          <w:rtl/>
        </w:rPr>
        <w:t>وينبغي أن تقوم الدولة الطرف بما يلي:</w:t>
      </w:r>
    </w:p>
    <w:p w:rsidR="00E470AE" w:rsidRPr="00C11A32" w:rsidRDefault="00E470AE" w:rsidP="004967CD">
      <w:pPr>
        <w:pStyle w:val="SingleTxtGA"/>
        <w:rPr>
          <w:rFonts w:hint="cs"/>
          <w:b/>
          <w:bCs/>
          <w:rtl/>
        </w:rPr>
      </w:pPr>
      <w:r>
        <w:rPr>
          <w:rFonts w:hint="cs"/>
          <w:b/>
          <w:bCs/>
          <w:rtl/>
        </w:rPr>
        <w:tab/>
        <w:t>(أ)</w:t>
      </w:r>
      <w:r>
        <w:rPr>
          <w:rFonts w:hint="cs"/>
          <w:b/>
          <w:bCs/>
          <w:rtl/>
        </w:rPr>
        <w:tab/>
      </w:r>
      <w:r w:rsidRPr="00C11A32">
        <w:rPr>
          <w:rFonts w:hint="cs"/>
          <w:b/>
          <w:bCs/>
          <w:rtl/>
        </w:rPr>
        <w:t xml:space="preserve">المضي في توفير البرامج التدريبية الإجبارية لضمان </w:t>
      </w:r>
      <w:r>
        <w:rPr>
          <w:rFonts w:hint="cs"/>
          <w:b/>
          <w:bCs/>
          <w:rtl/>
        </w:rPr>
        <w:t>إلمام</w:t>
      </w:r>
      <w:r w:rsidRPr="00C11A32">
        <w:rPr>
          <w:rFonts w:hint="cs"/>
          <w:b/>
          <w:bCs/>
          <w:rtl/>
        </w:rPr>
        <w:t xml:space="preserve"> الموظفين العامين </w:t>
      </w:r>
      <w:r>
        <w:rPr>
          <w:rFonts w:hint="cs"/>
          <w:b/>
          <w:bCs/>
          <w:rtl/>
        </w:rPr>
        <w:t xml:space="preserve">إلماماً واسعاً </w:t>
      </w:r>
      <w:r w:rsidRPr="00C11A32">
        <w:rPr>
          <w:rFonts w:hint="cs"/>
          <w:b/>
          <w:bCs/>
          <w:rtl/>
        </w:rPr>
        <w:t>بأحكام الاتفاقية و</w:t>
      </w:r>
      <w:r>
        <w:rPr>
          <w:rFonts w:hint="cs"/>
          <w:b/>
          <w:bCs/>
          <w:rtl/>
        </w:rPr>
        <w:t xml:space="preserve">ضمان </w:t>
      </w:r>
      <w:r w:rsidRPr="00C11A32">
        <w:rPr>
          <w:rFonts w:hint="cs"/>
          <w:b/>
          <w:bCs/>
          <w:rtl/>
        </w:rPr>
        <w:t>وعي</w:t>
      </w:r>
      <w:r>
        <w:rPr>
          <w:rFonts w:hint="cs"/>
          <w:b/>
          <w:bCs/>
          <w:rtl/>
        </w:rPr>
        <w:t>هم</w:t>
      </w:r>
      <w:r w:rsidRPr="00C11A32">
        <w:rPr>
          <w:rFonts w:hint="cs"/>
          <w:b/>
          <w:bCs/>
          <w:rtl/>
        </w:rPr>
        <w:t xml:space="preserve"> </w:t>
      </w:r>
      <w:r>
        <w:rPr>
          <w:rFonts w:hint="cs"/>
          <w:b/>
          <w:bCs/>
          <w:rtl/>
        </w:rPr>
        <w:t>ال</w:t>
      </w:r>
      <w:r w:rsidRPr="00C11A32">
        <w:rPr>
          <w:rFonts w:hint="cs"/>
          <w:b/>
          <w:bCs/>
          <w:rtl/>
        </w:rPr>
        <w:t xml:space="preserve">كامل بأن الدولة </w:t>
      </w:r>
      <w:r>
        <w:rPr>
          <w:rFonts w:hint="cs"/>
          <w:b/>
          <w:bCs/>
          <w:rtl/>
        </w:rPr>
        <w:t>ستتصدى بصرامة</w:t>
      </w:r>
      <w:r w:rsidRPr="00C11A32">
        <w:rPr>
          <w:rFonts w:hint="cs"/>
          <w:b/>
          <w:bCs/>
          <w:rtl/>
        </w:rPr>
        <w:t xml:space="preserve"> </w:t>
      </w:r>
      <w:r>
        <w:rPr>
          <w:rFonts w:hint="cs"/>
          <w:b/>
          <w:bCs/>
          <w:rtl/>
        </w:rPr>
        <w:t>لل</w:t>
      </w:r>
      <w:r w:rsidRPr="00C11A32">
        <w:rPr>
          <w:rFonts w:hint="cs"/>
          <w:b/>
          <w:bCs/>
          <w:rtl/>
        </w:rPr>
        <w:t>انتهاكات وستحقق فيها وتلاحق ا</w:t>
      </w:r>
      <w:r>
        <w:rPr>
          <w:rFonts w:hint="cs"/>
          <w:b/>
          <w:bCs/>
          <w:rtl/>
        </w:rPr>
        <w:t xml:space="preserve">لمسؤولين عنها؛ </w:t>
      </w:r>
    </w:p>
    <w:p w:rsidR="00E470AE" w:rsidRPr="00DF2041" w:rsidRDefault="00E470AE" w:rsidP="004967CD">
      <w:pPr>
        <w:pStyle w:val="SingleTxtGA"/>
        <w:rPr>
          <w:rFonts w:hint="cs"/>
          <w:b/>
          <w:bCs/>
        </w:rPr>
      </w:pPr>
      <w:r>
        <w:rPr>
          <w:rFonts w:hint="cs"/>
          <w:b/>
          <w:bCs/>
          <w:rtl/>
        </w:rPr>
        <w:tab/>
      </w:r>
      <w:r w:rsidRPr="00DF2041">
        <w:rPr>
          <w:rFonts w:hint="cs"/>
          <w:b/>
          <w:bCs/>
          <w:rtl/>
        </w:rPr>
        <w:t>(ب)</w:t>
      </w:r>
      <w:r>
        <w:rPr>
          <w:rFonts w:hint="cs"/>
          <w:b/>
          <w:bCs/>
          <w:rtl/>
        </w:rPr>
        <w:tab/>
      </w:r>
      <w:r w:rsidRPr="00DF2041">
        <w:rPr>
          <w:rFonts w:hint="cs"/>
          <w:b/>
          <w:bCs/>
          <w:rtl/>
        </w:rPr>
        <w:t>وضع وتطبيق استراتيجية لتقييم مدى فعالية برامجه</w:t>
      </w:r>
      <w:r>
        <w:rPr>
          <w:rFonts w:hint="cs"/>
          <w:b/>
          <w:bCs/>
          <w:rtl/>
        </w:rPr>
        <w:t>ا التدريبية في الحد من عدد حالات التعذيب وسوء المعاملة.</w:t>
      </w:r>
    </w:p>
    <w:p w:rsidR="00E470AE" w:rsidRDefault="00320E91" w:rsidP="00320E91">
      <w:pPr>
        <w:pStyle w:val="SingleTxtGA"/>
        <w:rPr>
          <w:rFonts w:hint="cs"/>
        </w:rPr>
      </w:pPr>
      <w:r>
        <w:rPr>
          <w:rFonts w:hint="cs"/>
          <w:rtl/>
        </w:rPr>
        <w:t>(</w:t>
      </w:r>
      <w:r w:rsidR="00E470AE">
        <w:rPr>
          <w:rFonts w:hint="cs"/>
          <w:rtl/>
        </w:rPr>
        <w:t>26</w:t>
      </w:r>
      <w:r>
        <w:rPr>
          <w:rFonts w:hint="cs"/>
          <w:rtl/>
        </w:rPr>
        <w:t>)</w:t>
      </w:r>
      <w:r w:rsidR="00E470AE">
        <w:rPr>
          <w:rFonts w:hint="cs"/>
          <w:rtl/>
        </w:rPr>
        <w:tab/>
        <w:t>وتوصي اللجنة بأن تنشر الدولة الطرف على نطاق واسع التقارير التي تقدمها إلى اللجنة، وكذلك هذه الملاحظات الختامية، وذلك بوسائل منها النشر بلغات السكان الأصليين وعن طريق وسائط الإعلام الرسمية والمنظمات غير الحكومية.</w:t>
      </w:r>
    </w:p>
    <w:p w:rsidR="00E470AE" w:rsidRPr="005F4EAD" w:rsidRDefault="00320E91" w:rsidP="00320E91">
      <w:pPr>
        <w:pStyle w:val="SingleTxtGA"/>
        <w:rPr>
          <w:rFonts w:hint="cs"/>
          <w:b/>
          <w:bCs/>
          <w:spacing w:val="-4"/>
        </w:rPr>
      </w:pPr>
      <w:r>
        <w:rPr>
          <w:rFonts w:hint="cs"/>
          <w:rtl/>
          <w:lang/>
        </w:rPr>
        <w:t>(</w:t>
      </w:r>
      <w:r w:rsidR="00E470AE">
        <w:rPr>
          <w:rFonts w:hint="cs"/>
          <w:rtl/>
          <w:lang/>
        </w:rPr>
        <w:t>27</w:t>
      </w:r>
      <w:r>
        <w:rPr>
          <w:rFonts w:hint="cs"/>
          <w:rtl/>
          <w:lang/>
        </w:rPr>
        <w:t>)</w:t>
      </w:r>
      <w:r w:rsidR="00E470AE">
        <w:rPr>
          <w:rFonts w:hint="cs"/>
          <w:rtl/>
          <w:lang/>
        </w:rPr>
        <w:tab/>
        <w:t>وتطلب اللجنة إلى الدولة الطرف أن تقدم إليها، بحلول 24 تشري</w:t>
      </w:r>
      <w:r w:rsidR="004967CD">
        <w:rPr>
          <w:rFonts w:hint="cs"/>
          <w:rtl/>
          <w:lang/>
        </w:rPr>
        <w:t xml:space="preserve">ن الثاني/ </w:t>
      </w:r>
      <w:r w:rsidR="00E470AE">
        <w:rPr>
          <w:rFonts w:hint="cs"/>
          <w:rtl/>
          <w:lang/>
        </w:rPr>
        <w:t>نوفمبر</w:t>
      </w:r>
      <w:r w:rsidR="004967CD">
        <w:rPr>
          <w:rFonts w:hint="eastAsia"/>
          <w:rtl/>
          <w:lang/>
        </w:rPr>
        <w:t> </w:t>
      </w:r>
      <w:r w:rsidR="00E470AE">
        <w:rPr>
          <w:rFonts w:hint="cs"/>
          <w:rtl/>
          <w:lang/>
        </w:rPr>
        <w:t>2013، معلومات عن متابعة توصياتها الواردة في الفقرات 9 و10(د) و16(أ) من هذه الوثيقة، لا سيما المعلومات المتعلقة بالمسائل التالية: (أ) كفالة الضمانات القانونية الأساسية المتعلقة بالمحتجزين أو تعزيزها، (ب) إجراء تحقيقات سريعة ونزيهة وفعالة؛ (ج)</w:t>
      </w:r>
      <w:r w:rsidR="00E470AE">
        <w:rPr>
          <w:rFonts w:hint="eastAsia"/>
          <w:rtl/>
          <w:lang/>
        </w:rPr>
        <w:t> </w:t>
      </w:r>
      <w:r w:rsidR="00E470AE">
        <w:rPr>
          <w:rFonts w:hint="cs"/>
          <w:rtl/>
          <w:lang/>
        </w:rPr>
        <w:t xml:space="preserve">ملاحقة المشتبه في ارتكابهم أعمال تعذيب أو سوء معاملة ومعاقبة من يثبت تورطهم </w:t>
      </w:r>
      <w:r w:rsidR="00E470AE" w:rsidRPr="005F4EAD">
        <w:rPr>
          <w:rFonts w:hint="cs"/>
          <w:spacing w:val="-4"/>
          <w:rtl/>
          <w:lang/>
        </w:rPr>
        <w:t>فيها. كما تطلب اللجنة إلى الدولة الطرف أن تقدم إليها معلومات متابعة عما ستتخذه من تدابير لحماية حقوق الصحفيين والمدافعين عن حقوق الإنسان كما ورد في الفقرة 14(ب) أعلاه.</w:t>
      </w:r>
    </w:p>
    <w:p w:rsidR="00E470AE" w:rsidRDefault="004967CD" w:rsidP="004967CD">
      <w:pPr>
        <w:pStyle w:val="SingleTxtGA"/>
        <w:rPr>
          <w:rFonts w:hint="cs"/>
          <w:rtl/>
        </w:rPr>
      </w:pPr>
      <w:r>
        <w:rPr>
          <w:rFonts w:hint="cs"/>
          <w:rtl/>
        </w:rPr>
        <w:t>(</w:t>
      </w:r>
      <w:r w:rsidR="00E470AE">
        <w:rPr>
          <w:rFonts w:hint="cs"/>
          <w:rtl/>
        </w:rPr>
        <w:t>28</w:t>
      </w:r>
      <w:r>
        <w:rPr>
          <w:rFonts w:hint="cs"/>
          <w:rtl/>
        </w:rPr>
        <w:t>)</w:t>
      </w:r>
      <w:r w:rsidR="00E470AE">
        <w:rPr>
          <w:rFonts w:hint="cs"/>
          <w:rtl/>
        </w:rPr>
        <w:tab/>
        <w:t xml:space="preserve">وتدعو اللجنة الدولة الطرف إلى تقديم تقريرها الدوري السابع بحلول 23 تشرين الثاني/نوفمبر 2016. ولهذا الغرض، وبالنظر إلى قبول الدولة الطرف تقديم تقريرها إلى اللجنة بموجب </w:t>
      </w:r>
      <w:r w:rsidR="00E470AE">
        <w:rPr>
          <w:rFonts w:hint="cs"/>
          <w:rtl/>
          <w:lang/>
        </w:rPr>
        <w:t>إجراء الإبلاغ الاختياري الجديد، ستحيل اللجنة قائمة</w:t>
      </w:r>
      <w:r w:rsidR="009912C3">
        <w:rPr>
          <w:rFonts w:hint="cs"/>
          <w:rtl/>
          <w:lang/>
        </w:rPr>
        <w:t xml:space="preserve"> القضايا</w:t>
      </w:r>
      <w:r w:rsidR="00E470AE">
        <w:rPr>
          <w:rFonts w:hint="cs"/>
          <w:rtl/>
          <w:lang/>
        </w:rPr>
        <w:t xml:space="preserve"> إلى الدولة الطرف قبل تقديم تقريرها الدوري القادم.</w:t>
      </w:r>
    </w:p>
    <w:p w:rsidR="00EE5D7D" w:rsidRPr="004967CD" w:rsidRDefault="004967CD" w:rsidP="004967CD">
      <w:pPr>
        <w:pStyle w:val="SingleTxtGA"/>
        <w:rPr>
          <w:rFonts w:hint="cs"/>
          <w:b/>
          <w:bCs/>
          <w:rtl/>
        </w:rPr>
      </w:pPr>
      <w:r>
        <w:rPr>
          <w:rFonts w:hint="cs"/>
          <w:rtl/>
        </w:rPr>
        <w:t>61</w:t>
      </w:r>
      <w:r w:rsidR="00CB11DE">
        <w:rPr>
          <w:rFonts w:hint="cs"/>
          <w:rtl/>
        </w:rPr>
        <w:t>-</w:t>
      </w:r>
      <w:r>
        <w:rPr>
          <w:rFonts w:hint="cs"/>
          <w:rtl/>
        </w:rPr>
        <w:tab/>
      </w:r>
      <w:r w:rsidR="00EE5D7D" w:rsidRPr="004967CD">
        <w:rPr>
          <w:rFonts w:hint="cs"/>
          <w:b/>
          <w:bCs/>
          <w:rtl/>
        </w:rPr>
        <w:t>النرويج</w:t>
      </w:r>
    </w:p>
    <w:p w:rsidR="00BD1F3C" w:rsidRPr="00320E91" w:rsidRDefault="00320E91" w:rsidP="00320E91">
      <w:pPr>
        <w:pStyle w:val="SingleTxtGA"/>
        <w:rPr>
          <w:rFonts w:hint="cs"/>
          <w:spacing w:val="-2"/>
          <w:rtl/>
        </w:rPr>
      </w:pPr>
      <w:r>
        <w:rPr>
          <w:rFonts w:hint="cs"/>
          <w:kern w:val="10"/>
          <w:rtl/>
          <w:lang w:val="fr-CH"/>
        </w:rPr>
        <w:t>(</w:t>
      </w:r>
      <w:r w:rsidR="00BD1F3C" w:rsidRPr="005F3F9E">
        <w:rPr>
          <w:rFonts w:hint="cs"/>
          <w:kern w:val="10"/>
          <w:rtl/>
          <w:lang w:val="fr-CH"/>
        </w:rPr>
        <w:t>1</w:t>
      </w:r>
      <w:r>
        <w:rPr>
          <w:rFonts w:hint="cs"/>
          <w:kern w:val="10"/>
          <w:rtl/>
          <w:lang w:val="fr-CH"/>
        </w:rPr>
        <w:t>)</w:t>
      </w:r>
      <w:r w:rsidR="00BD1F3C" w:rsidRPr="005F3F9E">
        <w:rPr>
          <w:rFonts w:hint="cs"/>
          <w:kern w:val="10"/>
          <w:rtl/>
          <w:lang w:val="fr-CH"/>
        </w:rPr>
        <w:tab/>
        <w:t>نظرت لجنة مناهضة التعذيب في تقرير النرويج الجامع لتقريريها السادس والسابع</w:t>
      </w:r>
      <w:r>
        <w:rPr>
          <w:rFonts w:hint="eastAsia"/>
          <w:kern w:val="10"/>
          <w:rtl/>
          <w:lang w:val="fr-CH"/>
        </w:rPr>
        <w:t> </w:t>
      </w:r>
      <w:r w:rsidR="00BD1F3C" w:rsidRPr="00320E91">
        <w:rPr>
          <w:rFonts w:hint="cs"/>
          <w:spacing w:val="-2"/>
          <w:rtl/>
          <w:lang w:val="fr-CH"/>
        </w:rPr>
        <w:t>(</w:t>
      </w:r>
      <w:r w:rsidR="00BD1F3C" w:rsidRPr="00320E91">
        <w:rPr>
          <w:spacing w:val="-2"/>
        </w:rPr>
        <w:t>CAT/C/NOR/6-7</w:t>
      </w:r>
      <w:r w:rsidR="00BD1F3C" w:rsidRPr="00320E91">
        <w:rPr>
          <w:rFonts w:hint="cs"/>
          <w:spacing w:val="-2"/>
          <w:rtl/>
        </w:rPr>
        <w:t xml:space="preserve">) في جلستيها 1100 و1103 المعقودتين يومي 1 و2 </w:t>
      </w:r>
      <w:r w:rsidR="00BD1F3C" w:rsidRPr="00320E91">
        <w:rPr>
          <w:rFonts w:hint="cs"/>
          <w:spacing w:val="-2"/>
          <w:sz w:val="30"/>
          <w:rtl/>
        </w:rPr>
        <w:t>تشرين الثاني/نوفمبر</w:t>
      </w:r>
      <w:r w:rsidR="00BD1F3C" w:rsidRPr="00320E91">
        <w:rPr>
          <w:rFonts w:hint="cs"/>
          <w:spacing w:val="-2"/>
          <w:rtl/>
        </w:rPr>
        <w:t xml:space="preserve"> 2012 (</w:t>
      </w:r>
      <w:r w:rsidR="00BD1F3C" w:rsidRPr="00320E91">
        <w:rPr>
          <w:spacing w:val="-2"/>
        </w:rPr>
        <w:t>CAT/C/CR.1100</w:t>
      </w:r>
      <w:r w:rsidR="00BD1F3C" w:rsidRPr="00320E91">
        <w:rPr>
          <w:rFonts w:hint="cs"/>
          <w:spacing w:val="-2"/>
          <w:rtl/>
        </w:rPr>
        <w:t xml:space="preserve"> و</w:t>
      </w:r>
      <w:r w:rsidR="00BD1F3C" w:rsidRPr="00320E91">
        <w:rPr>
          <w:spacing w:val="-2"/>
        </w:rPr>
        <w:t>1103</w:t>
      </w:r>
      <w:r w:rsidR="00BD1F3C" w:rsidRPr="00320E91">
        <w:rPr>
          <w:rFonts w:hint="cs"/>
          <w:spacing w:val="-2"/>
          <w:rtl/>
        </w:rPr>
        <w:t>)، واعتمدت في جلستها 1123 (</w:t>
      </w:r>
      <w:r w:rsidR="00BD1F3C" w:rsidRPr="00320E91">
        <w:rPr>
          <w:spacing w:val="-2"/>
        </w:rPr>
        <w:t>CAT/C/SR.1123</w:t>
      </w:r>
      <w:r w:rsidR="00BD1F3C" w:rsidRPr="00320E91">
        <w:rPr>
          <w:rFonts w:hint="cs"/>
          <w:spacing w:val="-2"/>
          <w:rtl/>
        </w:rPr>
        <w:t xml:space="preserve">)، المعقودة في 16 </w:t>
      </w:r>
      <w:r w:rsidR="00BD1F3C" w:rsidRPr="00320E91">
        <w:rPr>
          <w:rFonts w:hint="cs"/>
          <w:spacing w:val="-2"/>
          <w:sz w:val="30"/>
          <w:rtl/>
        </w:rPr>
        <w:t xml:space="preserve">تشرين الثاني/نوفمبر </w:t>
      </w:r>
      <w:r w:rsidR="00BD1F3C" w:rsidRPr="00320E91">
        <w:rPr>
          <w:rFonts w:hint="cs"/>
          <w:spacing w:val="-2"/>
          <w:rtl/>
        </w:rPr>
        <w:t>2012، الملاحظات الختامية التالية.</w:t>
      </w:r>
    </w:p>
    <w:p w:rsidR="00BD1F3C" w:rsidRPr="00320E91" w:rsidRDefault="009F2FC3" w:rsidP="009F2FC3">
      <w:pPr>
        <w:pStyle w:val="H23GA"/>
        <w:tabs>
          <w:tab w:val="left" w:pos="1926"/>
        </w:tabs>
        <w:rPr>
          <w:rFonts w:hint="cs"/>
          <w:rtl/>
        </w:rPr>
      </w:pPr>
      <w:r>
        <w:rPr>
          <w:rFonts w:hint="cs"/>
          <w:rtl/>
        </w:rPr>
        <w:tab/>
      </w:r>
      <w:r>
        <w:rPr>
          <w:rFonts w:hint="cs"/>
          <w:rtl/>
        </w:rPr>
        <w:tab/>
      </w:r>
      <w:r w:rsidR="00BD1F3C" w:rsidRPr="00320E91">
        <w:rPr>
          <w:rFonts w:hint="cs"/>
          <w:rtl/>
        </w:rPr>
        <w:t>ألف-</w:t>
      </w:r>
      <w:r w:rsidR="00BD1F3C" w:rsidRPr="00320E91">
        <w:rPr>
          <w:rFonts w:hint="cs"/>
          <w:rtl/>
        </w:rPr>
        <w:tab/>
        <w:t>مقدمة</w:t>
      </w:r>
    </w:p>
    <w:p w:rsidR="00BD1F3C" w:rsidRPr="005F3F9E" w:rsidRDefault="008C2620" w:rsidP="008C2620">
      <w:pPr>
        <w:pStyle w:val="SingleTxtGA"/>
        <w:rPr>
          <w:rFonts w:hint="cs"/>
          <w:rtl/>
        </w:rPr>
      </w:pPr>
      <w:r>
        <w:rPr>
          <w:rFonts w:hint="cs"/>
          <w:rtl/>
        </w:rPr>
        <w:t>(</w:t>
      </w:r>
      <w:r w:rsidR="00BD1F3C" w:rsidRPr="005F3F9E">
        <w:rPr>
          <w:rFonts w:hint="cs"/>
          <w:rtl/>
        </w:rPr>
        <w:t>2</w:t>
      </w:r>
      <w:r>
        <w:rPr>
          <w:rFonts w:hint="cs"/>
          <w:rtl/>
        </w:rPr>
        <w:t>)</w:t>
      </w:r>
      <w:r w:rsidR="00BD1F3C" w:rsidRPr="005F3F9E">
        <w:rPr>
          <w:rFonts w:hint="cs"/>
          <w:rtl/>
        </w:rPr>
        <w:tab/>
        <w:t xml:space="preserve">تعرب اللجنة عن تقديرها للدولة الطرف لموافقتها على الإجراء الاختياري المتعلق بالإبلاغ </w:t>
      </w:r>
      <w:r w:rsidR="00BD1F3C">
        <w:rPr>
          <w:rFonts w:hint="cs"/>
          <w:rtl/>
        </w:rPr>
        <w:t>ولتقديمها تقريرها الدوري بموجبه</w:t>
      </w:r>
      <w:r w:rsidR="00BD1F3C" w:rsidRPr="005F3F9E">
        <w:rPr>
          <w:rFonts w:hint="cs"/>
          <w:rtl/>
        </w:rPr>
        <w:t>،</w:t>
      </w:r>
      <w:r w:rsidR="00BD1F3C">
        <w:rPr>
          <w:rFonts w:hint="cs"/>
          <w:rtl/>
        </w:rPr>
        <w:t xml:space="preserve"> </w:t>
      </w:r>
      <w:r w:rsidR="00BD1F3C" w:rsidRPr="005F3F9E">
        <w:rPr>
          <w:rFonts w:hint="cs"/>
          <w:rtl/>
        </w:rPr>
        <w:t xml:space="preserve">نظراً إلى أن هذا الإجراء يُحسن من التعاون بين الدولة الطرف واللجنة ويركز على دراسة التقرير وكذلك على الحوار مع الوفد. وترحب اللجنة بالردود المقدمة على قائمة </w:t>
      </w:r>
      <w:r w:rsidR="009912C3">
        <w:rPr>
          <w:rFonts w:hint="cs"/>
          <w:rtl/>
        </w:rPr>
        <w:t>القضايا</w:t>
      </w:r>
      <w:r w:rsidR="00BD1F3C" w:rsidRPr="005F3F9E">
        <w:rPr>
          <w:rFonts w:hint="cs"/>
          <w:rtl/>
        </w:rPr>
        <w:t xml:space="preserve"> في غضون الموعد النهائي المطلوب.</w:t>
      </w:r>
    </w:p>
    <w:p w:rsidR="00BD1F3C" w:rsidRPr="005F3F9E" w:rsidRDefault="008C2620" w:rsidP="008C2620">
      <w:pPr>
        <w:pStyle w:val="SingleTxtGA"/>
        <w:rPr>
          <w:rFonts w:hint="cs"/>
          <w:rtl/>
        </w:rPr>
      </w:pPr>
      <w:r>
        <w:rPr>
          <w:rFonts w:hint="cs"/>
          <w:rtl/>
        </w:rPr>
        <w:t>(</w:t>
      </w:r>
      <w:r w:rsidR="00BD1F3C" w:rsidRPr="005F3F9E">
        <w:rPr>
          <w:rFonts w:hint="cs"/>
          <w:rtl/>
        </w:rPr>
        <w:t>3</w:t>
      </w:r>
      <w:r>
        <w:rPr>
          <w:rFonts w:hint="cs"/>
          <w:rtl/>
        </w:rPr>
        <w:t>)</w:t>
      </w:r>
      <w:r w:rsidR="00BD1F3C" w:rsidRPr="005F3F9E">
        <w:rPr>
          <w:rFonts w:hint="cs"/>
          <w:rtl/>
        </w:rPr>
        <w:tab/>
        <w:t>وتعرب اللجنة عن تقديرها للحوار المفتوح والبناء الذي أجرته مع وفد الدولة الطرف الرفيع المستوى والمتعدد القطاعات، وكذلك بالمعلومات والشروح الإضافية التي قدمها الوفد إلى اللجنة.</w:t>
      </w:r>
    </w:p>
    <w:p w:rsidR="00BD1F3C" w:rsidRPr="008C2620" w:rsidRDefault="009F2FC3" w:rsidP="009F2FC3">
      <w:pPr>
        <w:pStyle w:val="H23GA"/>
        <w:tabs>
          <w:tab w:val="left" w:pos="1940"/>
        </w:tabs>
        <w:rPr>
          <w:rFonts w:hint="cs"/>
          <w:rtl/>
        </w:rPr>
      </w:pPr>
      <w:r>
        <w:rPr>
          <w:rFonts w:hint="cs"/>
          <w:rtl/>
        </w:rPr>
        <w:tab/>
      </w:r>
      <w:r>
        <w:rPr>
          <w:rFonts w:hint="cs"/>
          <w:rtl/>
        </w:rPr>
        <w:tab/>
      </w:r>
      <w:r w:rsidR="00BD1F3C" w:rsidRPr="008C2620">
        <w:rPr>
          <w:rFonts w:hint="cs"/>
          <w:rtl/>
        </w:rPr>
        <w:t>باء-</w:t>
      </w:r>
      <w:r w:rsidR="00BD1F3C" w:rsidRPr="008C2620">
        <w:rPr>
          <w:rFonts w:hint="cs"/>
          <w:rtl/>
        </w:rPr>
        <w:tab/>
        <w:t>الجوانب الإيجابية</w:t>
      </w:r>
    </w:p>
    <w:p w:rsidR="00BD1F3C" w:rsidRPr="005F3F9E" w:rsidRDefault="00F70D12" w:rsidP="00F70D12">
      <w:pPr>
        <w:pStyle w:val="SingleTxtGA"/>
        <w:rPr>
          <w:rFonts w:hint="cs"/>
          <w:rtl/>
        </w:rPr>
      </w:pPr>
      <w:r>
        <w:rPr>
          <w:rFonts w:hint="cs"/>
          <w:rtl/>
        </w:rPr>
        <w:t>(</w:t>
      </w:r>
      <w:r w:rsidR="00BD1F3C" w:rsidRPr="005F3F9E">
        <w:rPr>
          <w:rFonts w:hint="cs"/>
          <w:rtl/>
        </w:rPr>
        <w:t>4</w:t>
      </w:r>
      <w:r>
        <w:rPr>
          <w:rFonts w:hint="cs"/>
          <w:rtl/>
        </w:rPr>
        <w:t>)</w:t>
      </w:r>
      <w:r w:rsidR="00BD1F3C" w:rsidRPr="005F3F9E">
        <w:rPr>
          <w:rFonts w:hint="cs"/>
          <w:rtl/>
        </w:rPr>
        <w:tab/>
        <w:t>ترحب اللجنة بالجهود المستمرة التي تبذلها الدولة الطرف لمراجعة تشريعاتها لإنفاذ توصيات اللجنة وتعزيز تنفيذ الاتفاقية بما في ذلك اعتماد ما يلي:</w:t>
      </w:r>
    </w:p>
    <w:p w:rsidR="00BD1F3C" w:rsidRPr="005F3F9E" w:rsidRDefault="00BD1F3C" w:rsidP="00BD1F3C">
      <w:pPr>
        <w:pStyle w:val="SingleTxtGA"/>
        <w:rPr>
          <w:rFonts w:hint="cs"/>
          <w:rtl/>
        </w:rPr>
      </w:pPr>
      <w:r w:rsidRPr="005F3F9E">
        <w:rPr>
          <w:rFonts w:hint="cs"/>
          <w:rtl/>
        </w:rPr>
        <w:tab/>
        <w:t>(أ)</w:t>
      </w:r>
      <w:r w:rsidRPr="005F3F9E">
        <w:rPr>
          <w:rFonts w:hint="cs"/>
          <w:rtl/>
        </w:rPr>
        <w:tab/>
        <w:t xml:space="preserve">المرسوم الملكي المؤرخ 11 </w:t>
      </w:r>
      <w:r w:rsidRPr="005F3F9E">
        <w:rPr>
          <w:rFonts w:hint="cs"/>
          <w:sz w:val="30"/>
          <w:rtl/>
        </w:rPr>
        <w:t xml:space="preserve">نيسان/أبريل </w:t>
      </w:r>
      <w:r w:rsidRPr="005F3F9E">
        <w:rPr>
          <w:rFonts w:hint="cs"/>
          <w:rtl/>
        </w:rPr>
        <w:t xml:space="preserve">2008، الذي ينص على مجموعة شاملة من القواعد بشأن الأشخاص المودعين في مراكز الاحتجاز، بما في ذلك اللوائح التي تتناول شروط التقييد المؤقت لحقوق وحريات الأشخاص المودعين في مراكز الاحتجاز، وقانون الهجرة المؤرخ 15 </w:t>
      </w:r>
      <w:r w:rsidRPr="005F3F9E">
        <w:rPr>
          <w:rFonts w:hint="cs"/>
          <w:sz w:val="30"/>
          <w:rtl/>
        </w:rPr>
        <w:t xml:space="preserve">أيار/مايو </w:t>
      </w:r>
      <w:r w:rsidRPr="005F3F9E">
        <w:rPr>
          <w:rFonts w:hint="cs"/>
          <w:rtl/>
        </w:rPr>
        <w:t>2008 والمتعلق بمراكز احتجاز الأجانب، الذي يتضمن حقوقهم في استقبال الزوار، والوصول إلى الخدمات الصحية، والاتصال بالآخرين؛</w:t>
      </w:r>
    </w:p>
    <w:p w:rsidR="00BD1F3C" w:rsidRPr="005F3F9E" w:rsidRDefault="00BD1F3C" w:rsidP="00BD1F3C">
      <w:pPr>
        <w:pStyle w:val="SingleTxtGA"/>
        <w:rPr>
          <w:rFonts w:hint="cs"/>
          <w:rtl/>
        </w:rPr>
      </w:pPr>
      <w:r w:rsidRPr="005F3F9E">
        <w:rPr>
          <w:rFonts w:hint="cs"/>
          <w:rtl/>
        </w:rPr>
        <w:tab/>
        <w:t>(ب)</w:t>
      </w:r>
      <w:r w:rsidRPr="005F3F9E">
        <w:rPr>
          <w:rFonts w:hint="cs"/>
          <w:rtl/>
        </w:rPr>
        <w:tab/>
        <w:t xml:space="preserve">التعديلات التي أُدخلت على قانون الإجراءات الجنائية والتي دخلت حيز النفاذ في 1 </w:t>
      </w:r>
      <w:r w:rsidRPr="005F3F9E">
        <w:rPr>
          <w:rFonts w:hint="cs"/>
          <w:sz w:val="30"/>
          <w:rtl/>
        </w:rPr>
        <w:t xml:space="preserve">تموز/يوليه </w:t>
      </w:r>
      <w:r w:rsidR="002F691F">
        <w:rPr>
          <w:rFonts w:hint="cs"/>
          <w:rtl/>
        </w:rPr>
        <w:t>2008</w:t>
      </w:r>
      <w:r w:rsidRPr="005F3F9E">
        <w:rPr>
          <w:rFonts w:hint="cs"/>
          <w:rtl/>
        </w:rPr>
        <w:t>، وعززت حقوق الضحايا في الإجراءات الجنائية ولا سيما ضحايا الاعتداء الجنسي؛</w:t>
      </w:r>
    </w:p>
    <w:p w:rsidR="00BD1F3C" w:rsidRPr="005F3F9E" w:rsidRDefault="00BD1F3C" w:rsidP="00BD1F3C">
      <w:pPr>
        <w:pStyle w:val="SingleTxtGA"/>
        <w:rPr>
          <w:rFonts w:hint="cs"/>
          <w:rtl/>
        </w:rPr>
      </w:pPr>
      <w:r w:rsidRPr="005F3F9E">
        <w:rPr>
          <w:rFonts w:hint="cs"/>
          <w:rtl/>
        </w:rPr>
        <w:tab/>
        <w:t>(ج)</w:t>
      </w:r>
      <w:r w:rsidRPr="005F3F9E">
        <w:rPr>
          <w:rFonts w:hint="cs"/>
          <w:rtl/>
        </w:rPr>
        <w:tab/>
        <w:t xml:space="preserve">قانون عام 2009، المتعلق بمراكز الأزمات وتعزيز الحماية القانونية المقدمة لضحايا الاتجار من خلال قانون الهجرة الجديد المؤرخ 15 </w:t>
      </w:r>
      <w:r w:rsidRPr="005F3F9E">
        <w:rPr>
          <w:rFonts w:hint="cs"/>
          <w:sz w:val="30"/>
          <w:rtl/>
        </w:rPr>
        <w:t xml:space="preserve">أيار/مايو </w:t>
      </w:r>
      <w:r w:rsidRPr="005F3F9E">
        <w:rPr>
          <w:rFonts w:hint="cs"/>
          <w:rtl/>
        </w:rPr>
        <w:t xml:space="preserve">2008، ولوائح الهجرة المؤرخة 15 </w:t>
      </w:r>
      <w:r w:rsidRPr="005F3F9E">
        <w:rPr>
          <w:rFonts w:hint="cs"/>
          <w:sz w:val="30"/>
          <w:rtl/>
        </w:rPr>
        <w:t xml:space="preserve">تشرين الأول/أكتوبر </w:t>
      </w:r>
      <w:r w:rsidRPr="005F3F9E">
        <w:rPr>
          <w:rFonts w:hint="cs"/>
          <w:rtl/>
        </w:rPr>
        <w:t xml:space="preserve">2009، التي دخلت حيز النفاذ في 1 </w:t>
      </w:r>
      <w:r w:rsidRPr="005F3F9E">
        <w:rPr>
          <w:rFonts w:hint="cs"/>
          <w:sz w:val="30"/>
          <w:rtl/>
        </w:rPr>
        <w:t>كانون الثاني/</w:t>
      </w:r>
      <w:r>
        <w:rPr>
          <w:rFonts w:hint="cs"/>
          <w:sz w:val="30"/>
          <w:rtl/>
        </w:rPr>
        <w:t xml:space="preserve"> </w:t>
      </w:r>
      <w:r w:rsidRPr="005F3F9E">
        <w:rPr>
          <w:rFonts w:hint="cs"/>
          <w:sz w:val="30"/>
          <w:rtl/>
        </w:rPr>
        <w:t>يناير</w:t>
      </w:r>
      <w:r>
        <w:rPr>
          <w:rFonts w:hint="eastAsia"/>
          <w:sz w:val="30"/>
          <w:rtl/>
        </w:rPr>
        <w:t> </w:t>
      </w:r>
      <w:r w:rsidRPr="005F3F9E">
        <w:rPr>
          <w:rFonts w:hint="cs"/>
          <w:rtl/>
        </w:rPr>
        <w:t>2010.</w:t>
      </w:r>
    </w:p>
    <w:p w:rsidR="00BD1F3C" w:rsidRPr="005F3F9E" w:rsidRDefault="00F70D12" w:rsidP="00F70D12">
      <w:pPr>
        <w:pStyle w:val="SingleTxtGA"/>
        <w:rPr>
          <w:rFonts w:hint="cs"/>
          <w:rtl/>
        </w:rPr>
      </w:pPr>
      <w:r>
        <w:rPr>
          <w:rFonts w:hint="cs"/>
          <w:rtl/>
        </w:rPr>
        <w:t>(</w:t>
      </w:r>
      <w:r w:rsidR="00BD1F3C" w:rsidRPr="005F3F9E">
        <w:rPr>
          <w:rFonts w:hint="cs"/>
          <w:rtl/>
        </w:rPr>
        <w:t>5</w:t>
      </w:r>
      <w:r>
        <w:rPr>
          <w:rFonts w:hint="cs"/>
          <w:rtl/>
        </w:rPr>
        <w:t>)</w:t>
      </w:r>
      <w:r w:rsidR="00BD1F3C" w:rsidRPr="005F3F9E">
        <w:rPr>
          <w:rFonts w:hint="cs"/>
          <w:rtl/>
        </w:rPr>
        <w:tab/>
        <w:t xml:space="preserve">وترحب اللجنة أيضاً بجهود الدولة الطرف الرامية إلى تعديل سياساتها وبرامجها وتدابيرها الإدارية لضمان زيادة حماية حقوق الإنسان وتنفيذ الاتفاقية بما في ذلك </w:t>
      </w:r>
      <w:r w:rsidR="00BD1F3C">
        <w:rPr>
          <w:rFonts w:hint="cs"/>
          <w:rtl/>
        </w:rPr>
        <w:t>التدابير التالية</w:t>
      </w:r>
      <w:r w:rsidR="00BD1F3C" w:rsidRPr="005F3F9E">
        <w:rPr>
          <w:rFonts w:hint="cs"/>
          <w:rtl/>
        </w:rPr>
        <w:t>:</w:t>
      </w:r>
    </w:p>
    <w:p w:rsidR="00BD1F3C" w:rsidRPr="005F3F9E" w:rsidRDefault="00BD1F3C" w:rsidP="00BD1F3C">
      <w:pPr>
        <w:pStyle w:val="SingleTxtGA"/>
        <w:rPr>
          <w:rFonts w:hint="cs"/>
          <w:rtl/>
        </w:rPr>
      </w:pPr>
      <w:r w:rsidRPr="005F3F9E">
        <w:rPr>
          <w:rFonts w:hint="cs"/>
          <w:rtl/>
        </w:rPr>
        <w:tab/>
        <w:t>(أ)</w:t>
      </w:r>
      <w:r w:rsidRPr="005F3F9E">
        <w:rPr>
          <w:rFonts w:hint="cs"/>
          <w:rtl/>
        </w:rPr>
        <w:tab/>
        <w:t xml:space="preserve">إنشاء مجلس إشرافي لمركز شرطة احتجاز المهاجرين في تراندوم في </w:t>
      </w:r>
      <w:r w:rsidRPr="005F3F9E">
        <w:rPr>
          <w:rFonts w:hint="cs"/>
          <w:sz w:val="30"/>
          <w:rtl/>
        </w:rPr>
        <w:t>أيار/</w:t>
      </w:r>
      <w:r>
        <w:rPr>
          <w:rFonts w:hint="cs"/>
          <w:sz w:val="30"/>
          <w:rtl/>
        </w:rPr>
        <w:t xml:space="preserve"> </w:t>
      </w:r>
      <w:r w:rsidRPr="005F3F9E">
        <w:rPr>
          <w:rFonts w:hint="cs"/>
          <w:sz w:val="30"/>
          <w:rtl/>
        </w:rPr>
        <w:t>مايو</w:t>
      </w:r>
      <w:r>
        <w:rPr>
          <w:rFonts w:hint="eastAsia"/>
          <w:sz w:val="30"/>
          <w:rtl/>
        </w:rPr>
        <w:t> </w:t>
      </w:r>
      <w:r w:rsidRPr="005F3F9E">
        <w:rPr>
          <w:rFonts w:hint="cs"/>
          <w:rtl/>
        </w:rPr>
        <w:t>2008 ومنحه صلاحية ضمان حقوق الأجانب في المركز؛</w:t>
      </w:r>
    </w:p>
    <w:p w:rsidR="00BD1F3C" w:rsidRPr="005F3F9E" w:rsidRDefault="00BD1F3C" w:rsidP="00BD1F3C">
      <w:pPr>
        <w:pStyle w:val="SingleTxtGA"/>
        <w:rPr>
          <w:rFonts w:hint="cs"/>
          <w:rtl/>
        </w:rPr>
      </w:pPr>
      <w:r w:rsidRPr="005F3F9E">
        <w:rPr>
          <w:rFonts w:hint="cs"/>
          <w:rtl/>
        </w:rPr>
        <w:tab/>
        <w:t>(ب)</w:t>
      </w:r>
      <w:r w:rsidRPr="005F3F9E">
        <w:rPr>
          <w:rFonts w:hint="cs"/>
          <w:rtl/>
        </w:rPr>
        <w:tab/>
        <w:t>الشروع في تنفيذ مشاريع وخطط مصممة لضباط الشرطة مثل "الأمن والثقة" في عام 2008 و"التوعية تؤدي إلى الأمن" في عام 2011، ل</w:t>
      </w:r>
      <w:r>
        <w:rPr>
          <w:rFonts w:hint="cs"/>
          <w:rtl/>
        </w:rPr>
        <w:t>إذكاء</w:t>
      </w:r>
      <w:r w:rsidRPr="005F3F9E">
        <w:rPr>
          <w:rFonts w:hint="cs"/>
          <w:rtl/>
        </w:rPr>
        <w:t xml:space="preserve"> الوعي بشأن التنوع، والأقليات الإثنية، والعنصرية؛</w:t>
      </w:r>
    </w:p>
    <w:p w:rsidR="00BD1F3C" w:rsidRPr="005F3F9E" w:rsidRDefault="00BD1F3C" w:rsidP="00BD1F3C">
      <w:pPr>
        <w:pStyle w:val="SingleTxtGA"/>
        <w:rPr>
          <w:rFonts w:hint="cs"/>
          <w:rtl/>
        </w:rPr>
      </w:pPr>
      <w:r w:rsidRPr="005F3F9E">
        <w:rPr>
          <w:rFonts w:hint="cs"/>
          <w:rtl/>
        </w:rPr>
        <w:tab/>
        <w:t>(ج)</w:t>
      </w:r>
      <w:r w:rsidRPr="005F3F9E">
        <w:rPr>
          <w:rFonts w:hint="cs"/>
          <w:rtl/>
        </w:rPr>
        <w:tab/>
        <w:t xml:space="preserve">اتخاذ التدابير لتحسين حماية ضحايا الاتجار، مثل خطة العمل الوطنية لمكافحة الاتجار بالبشر، التي شرع فيها في </w:t>
      </w:r>
      <w:r w:rsidRPr="005F3F9E">
        <w:rPr>
          <w:rFonts w:hint="cs"/>
          <w:sz w:val="30"/>
          <w:rtl/>
        </w:rPr>
        <w:t xml:space="preserve">كانون الأول/ديسمبر </w:t>
      </w:r>
      <w:r>
        <w:rPr>
          <w:rFonts w:hint="cs"/>
          <w:rtl/>
        </w:rPr>
        <w:t>2010.</w:t>
      </w:r>
    </w:p>
    <w:p w:rsidR="00BD1F3C" w:rsidRPr="00F70D12" w:rsidRDefault="009F2FC3" w:rsidP="009F2FC3">
      <w:pPr>
        <w:pStyle w:val="H23GA"/>
        <w:tabs>
          <w:tab w:val="left" w:pos="1926"/>
        </w:tabs>
        <w:rPr>
          <w:rFonts w:hint="cs"/>
          <w:rtl/>
        </w:rPr>
      </w:pPr>
      <w:r>
        <w:rPr>
          <w:rFonts w:hint="cs"/>
          <w:rtl/>
        </w:rPr>
        <w:tab/>
      </w:r>
      <w:r>
        <w:rPr>
          <w:rFonts w:hint="cs"/>
          <w:rtl/>
        </w:rPr>
        <w:tab/>
      </w:r>
      <w:r w:rsidR="00BD1F3C" w:rsidRPr="00F70D12">
        <w:rPr>
          <w:rFonts w:hint="cs"/>
          <w:rtl/>
        </w:rPr>
        <w:t>جيم-</w:t>
      </w:r>
      <w:r w:rsidR="00BD1F3C" w:rsidRPr="00F70D12">
        <w:rPr>
          <w:rFonts w:hint="cs"/>
          <w:rtl/>
        </w:rPr>
        <w:tab/>
        <w:t>دواعي القلق الرئيسية والتوصيات</w:t>
      </w:r>
    </w:p>
    <w:p w:rsidR="00BD1F3C" w:rsidRPr="005F3F9E" w:rsidRDefault="00BD1F3C" w:rsidP="00BD1F3C">
      <w:pPr>
        <w:pStyle w:val="H23GA"/>
        <w:rPr>
          <w:rFonts w:hint="cs"/>
          <w:rtl/>
        </w:rPr>
      </w:pPr>
      <w:r w:rsidRPr="005F3F9E">
        <w:rPr>
          <w:rFonts w:hint="cs"/>
          <w:rtl/>
        </w:rPr>
        <w:tab/>
      </w:r>
      <w:r w:rsidRPr="005F3F9E">
        <w:rPr>
          <w:rFonts w:hint="cs"/>
          <w:rtl/>
        </w:rPr>
        <w:tab/>
        <w:t>إدماج الاتفاقية في القوانين المحلية</w:t>
      </w:r>
    </w:p>
    <w:p w:rsidR="00BD1F3C" w:rsidRPr="005F3F9E" w:rsidRDefault="00F70D12" w:rsidP="00F70D12">
      <w:pPr>
        <w:pStyle w:val="SingleTxtGA"/>
        <w:rPr>
          <w:rFonts w:hint="cs"/>
          <w:rtl/>
        </w:rPr>
      </w:pPr>
      <w:r>
        <w:rPr>
          <w:rFonts w:hint="cs"/>
          <w:rtl/>
        </w:rPr>
        <w:t>(</w:t>
      </w:r>
      <w:r w:rsidR="00BD1F3C" w:rsidRPr="005F3F9E">
        <w:rPr>
          <w:rFonts w:hint="cs"/>
          <w:rtl/>
        </w:rPr>
        <w:t>6</w:t>
      </w:r>
      <w:r>
        <w:rPr>
          <w:rFonts w:hint="cs"/>
          <w:rtl/>
        </w:rPr>
        <w:t>)</w:t>
      </w:r>
      <w:r w:rsidR="00BD1F3C" w:rsidRPr="005F3F9E">
        <w:rPr>
          <w:rFonts w:hint="cs"/>
          <w:rtl/>
        </w:rPr>
        <w:tab/>
        <w:t>في</w:t>
      </w:r>
      <w:r w:rsidR="00BD1F3C">
        <w:rPr>
          <w:rFonts w:hint="cs"/>
          <w:rtl/>
        </w:rPr>
        <w:t xml:space="preserve"> حين تلاحظ </w:t>
      </w:r>
      <w:r w:rsidR="00BD1F3C" w:rsidRPr="005F3F9E">
        <w:rPr>
          <w:rFonts w:hint="cs"/>
          <w:rtl/>
        </w:rPr>
        <w:t>اللجنة التفسير الذي قدمته الدولة الطرف فيما يخص مبادئها العامة المتعلقة بتحويل التزاماتها الدولية إلى قوانين وطنية، والأسباب التي استندت إليها لإدماج أعم الصكوك الدولية فقط في قانونها</w:t>
      </w:r>
      <w:r w:rsidR="00BD1F3C">
        <w:rPr>
          <w:rFonts w:hint="cs"/>
          <w:rtl/>
        </w:rPr>
        <w:t xml:space="preserve"> في مجال</w:t>
      </w:r>
      <w:r w:rsidR="00BD1F3C" w:rsidRPr="005F3F9E">
        <w:rPr>
          <w:rFonts w:hint="cs"/>
          <w:rtl/>
        </w:rPr>
        <w:t xml:space="preserve"> حقوق الإنسان، </w:t>
      </w:r>
      <w:r w:rsidR="00BD1F3C">
        <w:rPr>
          <w:rFonts w:hint="cs"/>
          <w:rtl/>
        </w:rPr>
        <w:t>فإنها تعرب عن أسفها لعدم تغيير</w:t>
      </w:r>
      <w:r w:rsidR="00BD1F3C" w:rsidRPr="005F3F9E">
        <w:rPr>
          <w:rFonts w:hint="cs"/>
          <w:rtl/>
        </w:rPr>
        <w:t xml:space="preserve"> الدولة الطرف </w:t>
      </w:r>
      <w:r w:rsidR="00BD1F3C">
        <w:rPr>
          <w:rFonts w:hint="cs"/>
          <w:rtl/>
        </w:rPr>
        <w:t>ل</w:t>
      </w:r>
      <w:r w:rsidR="00BD1F3C" w:rsidRPr="005F3F9E">
        <w:rPr>
          <w:rFonts w:hint="cs"/>
          <w:rtl/>
        </w:rPr>
        <w:t>موقفها حيال دمج أحكام الاتفاقية تحديداً في قوانينها المحلية (المادة 2).</w:t>
      </w:r>
    </w:p>
    <w:p w:rsidR="00BD1F3C" w:rsidRPr="005F3F9E" w:rsidRDefault="00BD1F3C" w:rsidP="00BD1F3C">
      <w:pPr>
        <w:pStyle w:val="SingleTxtGA"/>
        <w:rPr>
          <w:rFonts w:hint="cs"/>
          <w:b/>
          <w:bCs/>
          <w:rtl/>
        </w:rPr>
      </w:pPr>
      <w:r w:rsidRPr="005F3F9E">
        <w:rPr>
          <w:rFonts w:hint="cs"/>
          <w:b/>
          <w:bCs/>
          <w:rtl/>
        </w:rPr>
        <w:tab/>
        <w:t xml:space="preserve">ينبغي للدولة الطرف </w:t>
      </w:r>
      <w:r>
        <w:rPr>
          <w:rFonts w:hint="cs"/>
          <w:b/>
          <w:bCs/>
          <w:rtl/>
        </w:rPr>
        <w:t>إمعان</w:t>
      </w:r>
      <w:r w:rsidRPr="005F3F9E">
        <w:rPr>
          <w:rFonts w:hint="cs"/>
          <w:b/>
          <w:bCs/>
          <w:rtl/>
        </w:rPr>
        <w:t xml:space="preserve"> النظر في دمج جميع أحكام الاتفاقية في قوانينها المحلية حتى يتسنى التذرع بها مباشرة أمام المحاكم.</w:t>
      </w:r>
    </w:p>
    <w:p w:rsidR="00BD1F3C" w:rsidRPr="005F3F9E" w:rsidRDefault="00BD1F3C" w:rsidP="00BD1F3C">
      <w:pPr>
        <w:pStyle w:val="H23GA"/>
        <w:ind w:firstLine="0"/>
        <w:rPr>
          <w:rFonts w:hint="cs"/>
          <w:rtl/>
        </w:rPr>
      </w:pPr>
      <w:r w:rsidRPr="005F3F9E">
        <w:rPr>
          <w:rFonts w:hint="cs"/>
          <w:rtl/>
        </w:rPr>
        <w:t>تعريف التعذيب</w:t>
      </w:r>
    </w:p>
    <w:p w:rsidR="00BD1F3C" w:rsidRPr="005F3F9E" w:rsidRDefault="000469F1" w:rsidP="000469F1">
      <w:pPr>
        <w:pStyle w:val="SingleTxtGA"/>
        <w:rPr>
          <w:rFonts w:hint="cs"/>
          <w:rtl/>
        </w:rPr>
      </w:pPr>
      <w:r>
        <w:rPr>
          <w:rFonts w:hint="cs"/>
          <w:rtl/>
        </w:rPr>
        <w:t>(</w:t>
      </w:r>
      <w:r w:rsidR="00BD1F3C" w:rsidRPr="005F3F9E">
        <w:rPr>
          <w:rFonts w:hint="cs"/>
          <w:rtl/>
        </w:rPr>
        <w:t>7</w:t>
      </w:r>
      <w:r>
        <w:rPr>
          <w:rFonts w:hint="cs"/>
          <w:rtl/>
        </w:rPr>
        <w:t>)</w:t>
      </w:r>
      <w:r w:rsidR="00BD1F3C" w:rsidRPr="005F3F9E">
        <w:rPr>
          <w:rFonts w:hint="cs"/>
          <w:rtl/>
        </w:rPr>
        <w:tab/>
        <w:t>تلاحظ اللجنة أنه على الرغم من توصياتها السابقة، فإن تعريف التعذيب في القانون الجنائي لا يتمشى بالكامل مع أحكام المادة 1 من الاتفاقية، لأنه لا يزال يعدد الأفعال التي تستند إلى بعض الأشكال المحددة للتمييز فقط بدلاً من الإشارة إلى أي شكل من أشكال التمييز. وفي</w:t>
      </w:r>
      <w:r w:rsidR="00BD1F3C">
        <w:rPr>
          <w:rFonts w:hint="cs"/>
          <w:rtl/>
        </w:rPr>
        <w:t xml:space="preserve"> حين</w:t>
      </w:r>
      <w:r w:rsidR="00BD1F3C" w:rsidRPr="005F3F9E">
        <w:rPr>
          <w:rFonts w:hint="cs"/>
          <w:rtl/>
        </w:rPr>
        <w:t xml:space="preserve"> تلاحظ اللجنة أن الدولة الطرف بصدد صياغة قانون جنائي جديد يتضمن التمييز القائم على الآراء السياسية والميول الجنسية، </w:t>
      </w:r>
      <w:r w:rsidR="00BD1F3C">
        <w:rPr>
          <w:rFonts w:hint="cs"/>
          <w:rtl/>
        </w:rPr>
        <w:t xml:space="preserve">فإنها </w:t>
      </w:r>
      <w:r w:rsidR="00BD1F3C" w:rsidRPr="005F3F9E">
        <w:rPr>
          <w:rFonts w:hint="cs"/>
          <w:rtl/>
        </w:rPr>
        <w:t>تأسف لعدم الإشارة إلى "أي سبب من الأسباب يقوم على التمييز أياً كان نوعه" (المادة 1).</w:t>
      </w:r>
    </w:p>
    <w:p w:rsidR="00BD1F3C" w:rsidRPr="005F3F9E" w:rsidRDefault="00BD1F3C" w:rsidP="00BD1F3C">
      <w:pPr>
        <w:pStyle w:val="SingleTxtGA"/>
        <w:rPr>
          <w:rFonts w:hint="cs"/>
          <w:b/>
          <w:bCs/>
          <w:rtl/>
        </w:rPr>
      </w:pPr>
      <w:r w:rsidRPr="005F3F9E">
        <w:rPr>
          <w:rFonts w:hint="cs"/>
          <w:rtl/>
        </w:rPr>
        <w:tab/>
      </w:r>
      <w:r w:rsidRPr="005F3F9E">
        <w:rPr>
          <w:rFonts w:hint="cs"/>
          <w:b/>
          <w:bCs/>
          <w:rtl/>
        </w:rPr>
        <w:t>ينبغي للدولة الطرف أن تنظر في تعديل تعريفها الحالي للتعذيب لتضمينه أي شكل من أشكال التمييز كعنصر لتعريف التعذيب.</w:t>
      </w:r>
    </w:p>
    <w:p w:rsidR="00BD1F3C" w:rsidRPr="005F3F9E" w:rsidRDefault="00BD1F3C" w:rsidP="00BD1F3C">
      <w:pPr>
        <w:pStyle w:val="H23GA"/>
        <w:rPr>
          <w:rFonts w:hint="cs"/>
          <w:rtl/>
        </w:rPr>
      </w:pPr>
      <w:r w:rsidRPr="005F3F9E">
        <w:rPr>
          <w:rFonts w:hint="cs"/>
          <w:rtl/>
        </w:rPr>
        <w:tab/>
      </w:r>
      <w:r w:rsidRPr="005F3F9E">
        <w:rPr>
          <w:rFonts w:hint="cs"/>
          <w:rtl/>
        </w:rPr>
        <w:tab/>
        <w:t>المؤسسة الوطنية لحقوق الإنسان</w:t>
      </w:r>
    </w:p>
    <w:p w:rsidR="00BD1F3C" w:rsidRPr="005F3F9E" w:rsidRDefault="00FA74D8" w:rsidP="00FA74D8">
      <w:pPr>
        <w:pStyle w:val="SingleTxtGA"/>
        <w:rPr>
          <w:rFonts w:hint="cs"/>
          <w:rtl/>
        </w:rPr>
      </w:pPr>
      <w:r>
        <w:rPr>
          <w:rFonts w:hint="cs"/>
          <w:rtl/>
        </w:rPr>
        <w:t>(</w:t>
      </w:r>
      <w:r w:rsidR="00BD1F3C" w:rsidRPr="005F3F9E">
        <w:rPr>
          <w:rFonts w:hint="cs"/>
          <w:rtl/>
        </w:rPr>
        <w:t>8</w:t>
      </w:r>
      <w:r>
        <w:rPr>
          <w:rFonts w:hint="cs"/>
          <w:rtl/>
        </w:rPr>
        <w:t>)</w:t>
      </w:r>
      <w:r w:rsidR="00BD1F3C" w:rsidRPr="005F3F9E">
        <w:rPr>
          <w:rFonts w:hint="cs"/>
          <w:rtl/>
        </w:rPr>
        <w:tab/>
        <w:t>في</w:t>
      </w:r>
      <w:r w:rsidR="00BD1F3C">
        <w:rPr>
          <w:rFonts w:hint="cs"/>
          <w:rtl/>
        </w:rPr>
        <w:t xml:space="preserve"> حين تلاحظ </w:t>
      </w:r>
      <w:r w:rsidR="00BD1F3C" w:rsidRPr="005F3F9E">
        <w:rPr>
          <w:rFonts w:hint="cs"/>
          <w:rtl/>
        </w:rPr>
        <w:t>اللجنة ني</w:t>
      </w:r>
      <w:r w:rsidR="00BD1F3C">
        <w:rPr>
          <w:rFonts w:hint="cs"/>
          <w:rtl/>
        </w:rPr>
        <w:t>ّ</w:t>
      </w:r>
      <w:r w:rsidR="00BD1F3C" w:rsidRPr="005F3F9E">
        <w:rPr>
          <w:rFonts w:hint="cs"/>
          <w:rtl/>
        </w:rPr>
        <w:t xml:space="preserve">ة الدولة الطرف وضع </w:t>
      </w:r>
      <w:r w:rsidR="00BD1F3C">
        <w:rPr>
          <w:rFonts w:hint="cs"/>
          <w:rtl/>
        </w:rPr>
        <w:t>استراتيج</w:t>
      </w:r>
      <w:r w:rsidR="00BD1F3C" w:rsidRPr="005F3F9E">
        <w:rPr>
          <w:rFonts w:hint="cs"/>
          <w:rtl/>
        </w:rPr>
        <w:t>ية لإنشاء مؤسسة وطنية لحقوق الإنسان تتمشى بالكامل مع المبادئ المتعلقة بمركز المؤسسات الوطنية لتعزيز وحماية حقوق الإنسان (مبادئ باريس)</w:t>
      </w:r>
      <w:r w:rsidR="00BD1F3C">
        <w:rPr>
          <w:rFonts w:hint="cs"/>
          <w:rtl/>
        </w:rPr>
        <w:t>،</w:t>
      </w:r>
      <w:r w:rsidR="00BD1F3C" w:rsidRPr="005F3F9E">
        <w:rPr>
          <w:rFonts w:hint="cs"/>
          <w:rtl/>
        </w:rPr>
        <w:t xml:space="preserve"> </w:t>
      </w:r>
      <w:r w:rsidR="00BD1F3C">
        <w:rPr>
          <w:rFonts w:hint="cs"/>
          <w:rtl/>
        </w:rPr>
        <w:t xml:space="preserve">فإنها </w:t>
      </w:r>
      <w:r w:rsidR="00BD1F3C" w:rsidRPr="005F3F9E">
        <w:rPr>
          <w:rFonts w:hint="cs"/>
          <w:rtl/>
        </w:rPr>
        <w:t>تعرب عن قلقها لأن ذلك لم يحدث بعد (المادة 2).</w:t>
      </w:r>
    </w:p>
    <w:p w:rsidR="00BD1F3C" w:rsidRPr="005F3F9E" w:rsidRDefault="00BD1F3C" w:rsidP="00BD1F3C">
      <w:pPr>
        <w:pStyle w:val="SingleTxtGA"/>
        <w:rPr>
          <w:rFonts w:hint="cs"/>
          <w:b/>
          <w:bCs/>
          <w:rtl/>
        </w:rPr>
      </w:pPr>
      <w:r w:rsidRPr="005F3F9E">
        <w:rPr>
          <w:rFonts w:hint="cs"/>
          <w:rtl/>
        </w:rPr>
        <w:tab/>
      </w:r>
      <w:r w:rsidRPr="005F3F9E">
        <w:rPr>
          <w:rFonts w:hint="cs"/>
          <w:b/>
          <w:bCs/>
          <w:rtl/>
        </w:rPr>
        <w:t>تحث اللجنة الدولة الطرف على إنشاء مؤسسات وطنية لحقوق الإنسان تسند إليها مهمة وفقاً لمبادئ باريس وتزويدها بالموارد المالية والبشرية اللازمة.</w:t>
      </w:r>
    </w:p>
    <w:p w:rsidR="00BD1F3C" w:rsidRPr="005F3F9E" w:rsidRDefault="00BD1F3C" w:rsidP="00BD1F3C">
      <w:pPr>
        <w:pStyle w:val="H23GA"/>
        <w:rPr>
          <w:rFonts w:hint="cs"/>
          <w:rtl/>
        </w:rPr>
      </w:pPr>
      <w:r w:rsidRPr="005F3F9E">
        <w:rPr>
          <w:rFonts w:hint="cs"/>
          <w:rtl/>
        </w:rPr>
        <w:tab/>
      </w:r>
      <w:r w:rsidRPr="005F3F9E">
        <w:rPr>
          <w:rFonts w:hint="cs"/>
          <w:rtl/>
        </w:rPr>
        <w:tab/>
        <w:t>الحبس ال</w:t>
      </w:r>
      <w:r>
        <w:rPr>
          <w:rFonts w:hint="cs"/>
          <w:rtl/>
        </w:rPr>
        <w:t>وقائ</w:t>
      </w:r>
      <w:r w:rsidRPr="005F3F9E">
        <w:rPr>
          <w:rFonts w:hint="cs"/>
          <w:rtl/>
        </w:rPr>
        <w:t>ي</w:t>
      </w:r>
    </w:p>
    <w:p w:rsidR="00BD1F3C" w:rsidRPr="00FA74D8" w:rsidRDefault="00FA74D8" w:rsidP="00FA74D8">
      <w:pPr>
        <w:pStyle w:val="SingleTxtGA"/>
        <w:rPr>
          <w:rFonts w:hint="cs"/>
          <w:rtl/>
        </w:rPr>
      </w:pPr>
      <w:r w:rsidRPr="00FA74D8">
        <w:rPr>
          <w:rFonts w:hint="cs"/>
          <w:rtl/>
        </w:rPr>
        <w:t>(</w:t>
      </w:r>
      <w:r w:rsidR="00BD1F3C" w:rsidRPr="00FA74D8">
        <w:rPr>
          <w:rFonts w:hint="cs"/>
          <w:rtl/>
        </w:rPr>
        <w:t>9</w:t>
      </w:r>
      <w:r w:rsidRPr="00FA74D8">
        <w:rPr>
          <w:rFonts w:hint="cs"/>
          <w:rtl/>
        </w:rPr>
        <w:t>)</w:t>
      </w:r>
      <w:r w:rsidR="00BD1F3C" w:rsidRPr="00FA74D8">
        <w:rPr>
          <w:rFonts w:hint="cs"/>
          <w:rtl/>
        </w:rPr>
        <w:tab/>
        <w:t>تعرب اللجنة عن قلقها إزاء نظام الحبس الاحتياطي ولا سيما فيما يتعلق بتواتر استخدامه وكذلك طول مدته في بعض الحالات. وهي تلاحظ أيضا،ً مع الأسف، احتمال</w:t>
      </w:r>
      <w:r>
        <w:rPr>
          <w:rFonts w:hint="eastAsia"/>
          <w:rtl/>
        </w:rPr>
        <w:t> </w:t>
      </w:r>
      <w:r w:rsidR="00BD1F3C" w:rsidRPr="00FA74D8">
        <w:rPr>
          <w:rFonts w:hint="cs"/>
          <w:rtl/>
        </w:rPr>
        <w:t>إيداع القصَر الذين تتراوح أعمارهم بين 15 و18 عاماً في الحبس الاحتياطي (المواد</w:t>
      </w:r>
      <w:r>
        <w:rPr>
          <w:rFonts w:hint="eastAsia"/>
          <w:rtl/>
        </w:rPr>
        <w:t> </w:t>
      </w:r>
      <w:r w:rsidR="00BD1F3C" w:rsidRPr="00FA74D8">
        <w:rPr>
          <w:rFonts w:hint="cs"/>
          <w:rtl/>
        </w:rPr>
        <w:t>2 و11 و16).</w:t>
      </w:r>
    </w:p>
    <w:p w:rsidR="00BD1F3C" w:rsidRPr="005F3F9E" w:rsidRDefault="00BD1F3C" w:rsidP="00BD1F3C">
      <w:pPr>
        <w:pStyle w:val="SingleTxtGA"/>
        <w:rPr>
          <w:rFonts w:hint="cs"/>
          <w:b/>
          <w:bCs/>
          <w:rtl/>
        </w:rPr>
      </w:pPr>
      <w:r w:rsidRPr="005F3F9E">
        <w:rPr>
          <w:rFonts w:hint="cs"/>
          <w:b/>
          <w:bCs/>
          <w:rtl/>
        </w:rPr>
        <w:tab/>
        <w:t xml:space="preserve">ينبغي للدولة الطرف أن تعدل نظامها </w:t>
      </w:r>
      <w:r>
        <w:rPr>
          <w:rFonts w:hint="cs"/>
          <w:b/>
          <w:bCs/>
          <w:rtl/>
        </w:rPr>
        <w:t>الخاص با</w:t>
      </w:r>
      <w:r w:rsidRPr="005F3F9E">
        <w:rPr>
          <w:rFonts w:hint="cs"/>
          <w:b/>
          <w:bCs/>
          <w:rtl/>
        </w:rPr>
        <w:t>لحبس الاحتياطي وأن تحد من استخدامه إلى أدنى درجة. ومع مراعاة أحكام قواعد الأمم المتحدة النموذجية الدنيا لإدارة شؤون قضاء الأحداث (قواعد</w:t>
      </w:r>
      <w:r w:rsidRPr="005F3F9E">
        <w:rPr>
          <w:rFonts w:hint="cs"/>
          <w:rtl/>
          <w:lang/>
        </w:rPr>
        <w:t xml:space="preserve"> </w:t>
      </w:r>
      <w:r w:rsidRPr="005F3F9E">
        <w:rPr>
          <w:rFonts w:hint="cs"/>
          <w:b/>
          <w:bCs/>
          <w:rtl/>
          <w:lang/>
        </w:rPr>
        <w:t>بيجين</w:t>
      </w:r>
      <w:r w:rsidRPr="005F3F9E">
        <w:rPr>
          <w:rFonts w:hint="cs"/>
          <w:rtl/>
        </w:rPr>
        <w:t>)</w:t>
      </w:r>
      <w:r w:rsidRPr="005F3F9E">
        <w:rPr>
          <w:rFonts w:hint="cs"/>
          <w:b/>
          <w:bCs/>
          <w:rtl/>
        </w:rPr>
        <w:t>، ينبغي ل</w:t>
      </w:r>
      <w:r>
        <w:rPr>
          <w:rFonts w:hint="cs"/>
          <w:b/>
          <w:bCs/>
          <w:rtl/>
        </w:rPr>
        <w:t xml:space="preserve">ها </w:t>
      </w:r>
      <w:r w:rsidRPr="005F3F9E">
        <w:rPr>
          <w:rFonts w:hint="cs"/>
          <w:b/>
          <w:bCs/>
          <w:rtl/>
        </w:rPr>
        <w:t>أن تنظر أيضاً في إلغاء ممارسة إخضاع الجانحين الأحداث للحبس الاحتياطي على أن يقتصر ذلك على حالات استثنائية وغير عادية وفقاً لمعايير محددة وصارمة يحددها القانون.</w:t>
      </w:r>
    </w:p>
    <w:p w:rsidR="00BD1F3C" w:rsidRPr="005F3F9E" w:rsidRDefault="00BD1F3C" w:rsidP="00BD1F3C">
      <w:pPr>
        <w:pStyle w:val="H23GA"/>
        <w:rPr>
          <w:rFonts w:hint="cs"/>
          <w:rtl/>
        </w:rPr>
      </w:pPr>
      <w:r w:rsidRPr="005F3F9E">
        <w:rPr>
          <w:rFonts w:hint="cs"/>
          <w:rtl/>
        </w:rPr>
        <w:tab/>
      </w:r>
      <w:r w:rsidRPr="005F3F9E">
        <w:rPr>
          <w:rFonts w:hint="cs"/>
          <w:rtl/>
        </w:rPr>
        <w:tab/>
        <w:t>الحبس ال</w:t>
      </w:r>
      <w:r>
        <w:rPr>
          <w:rFonts w:hint="cs"/>
          <w:rtl/>
        </w:rPr>
        <w:t>سابق للمحاكمة</w:t>
      </w:r>
    </w:p>
    <w:p w:rsidR="00BD1F3C" w:rsidRPr="005F3F9E" w:rsidRDefault="00FA74D8" w:rsidP="00FA74D8">
      <w:pPr>
        <w:pStyle w:val="SingleTxtGA"/>
        <w:rPr>
          <w:rFonts w:hint="cs"/>
          <w:rtl/>
        </w:rPr>
      </w:pPr>
      <w:r>
        <w:rPr>
          <w:rFonts w:hint="cs"/>
          <w:rtl/>
        </w:rPr>
        <w:t>(</w:t>
      </w:r>
      <w:r w:rsidR="00BD1F3C" w:rsidRPr="005F3F9E">
        <w:rPr>
          <w:rFonts w:hint="cs"/>
          <w:rtl/>
        </w:rPr>
        <w:t>10</w:t>
      </w:r>
      <w:r>
        <w:rPr>
          <w:rFonts w:hint="cs"/>
          <w:rtl/>
        </w:rPr>
        <w:t>)</w:t>
      </w:r>
      <w:r w:rsidR="00BD1F3C" w:rsidRPr="005F3F9E">
        <w:rPr>
          <w:rFonts w:hint="cs"/>
          <w:rtl/>
        </w:rPr>
        <w:tab/>
        <w:t>تعرب اللجنة عن قلق بالغ إزاء الاستخدام المفرط لزنزانات الحبس في مخافر الشرطة لأغراض الحبس ال</w:t>
      </w:r>
      <w:r w:rsidR="00BD1F3C">
        <w:rPr>
          <w:rFonts w:hint="cs"/>
          <w:rtl/>
        </w:rPr>
        <w:t>سابق للمحاكمة</w:t>
      </w:r>
      <w:r w:rsidR="00BD1F3C" w:rsidRPr="005F3F9E">
        <w:rPr>
          <w:rFonts w:hint="cs"/>
          <w:rtl/>
        </w:rPr>
        <w:t xml:space="preserve"> لفتر</w:t>
      </w:r>
      <w:r w:rsidR="00BD1F3C">
        <w:rPr>
          <w:rFonts w:hint="cs"/>
          <w:rtl/>
        </w:rPr>
        <w:t>ة تتجاوز 48 ساعة وتأسف لأن القصّ</w:t>
      </w:r>
      <w:r w:rsidR="00BD1F3C" w:rsidRPr="005F3F9E">
        <w:rPr>
          <w:rFonts w:hint="cs"/>
          <w:rtl/>
        </w:rPr>
        <w:t xml:space="preserve">ر لا يزالون يتعرضون لهذه الممارسة. </w:t>
      </w:r>
      <w:r w:rsidR="00BD1F3C">
        <w:rPr>
          <w:rFonts w:hint="cs"/>
          <w:rtl/>
        </w:rPr>
        <w:t xml:space="preserve">كما </w:t>
      </w:r>
      <w:r w:rsidR="00BD1F3C" w:rsidRPr="005F3F9E">
        <w:rPr>
          <w:rFonts w:hint="cs"/>
          <w:rtl/>
        </w:rPr>
        <w:t xml:space="preserve">تأسف لعدم </w:t>
      </w:r>
      <w:r w:rsidR="00BD1F3C">
        <w:rPr>
          <w:rFonts w:hint="cs"/>
          <w:rtl/>
        </w:rPr>
        <w:t xml:space="preserve">وجود </w:t>
      </w:r>
      <w:r w:rsidR="00BD1F3C" w:rsidRPr="005F3F9E">
        <w:rPr>
          <w:rFonts w:hint="cs"/>
          <w:rtl/>
        </w:rPr>
        <w:t>إجراءات عامة ور</w:t>
      </w:r>
      <w:r w:rsidR="00BD1F3C">
        <w:rPr>
          <w:rFonts w:hint="cs"/>
          <w:rtl/>
        </w:rPr>
        <w:t>سمية بشأن كيفية التعامل مع القصّ</w:t>
      </w:r>
      <w:r w:rsidR="00BD1F3C" w:rsidRPr="005F3F9E">
        <w:rPr>
          <w:rFonts w:hint="cs"/>
          <w:rtl/>
        </w:rPr>
        <w:t>ر في الحبس ال</w:t>
      </w:r>
      <w:r w:rsidR="00BD1F3C">
        <w:rPr>
          <w:rFonts w:hint="cs"/>
          <w:rtl/>
        </w:rPr>
        <w:t>سابق للمحاكمة</w:t>
      </w:r>
      <w:r w:rsidR="00BD1F3C" w:rsidRPr="005F3F9E">
        <w:rPr>
          <w:rFonts w:hint="cs"/>
          <w:rtl/>
        </w:rPr>
        <w:t xml:space="preserve">، لأن أمين المظالم النرويجي المعني بالأطفال تلقى تقارير من جانب العديد من </w:t>
      </w:r>
      <w:r w:rsidR="00BD1F3C">
        <w:rPr>
          <w:rFonts w:hint="cs"/>
          <w:rtl/>
        </w:rPr>
        <w:t>القصّ</w:t>
      </w:r>
      <w:r w:rsidR="00BD1F3C" w:rsidRPr="005F3F9E">
        <w:rPr>
          <w:rFonts w:hint="cs"/>
          <w:rtl/>
        </w:rPr>
        <w:t>ر ي</w:t>
      </w:r>
      <w:r w:rsidR="00BD1F3C">
        <w:rPr>
          <w:rFonts w:hint="cs"/>
          <w:rtl/>
        </w:rPr>
        <w:t xml:space="preserve">بيّنون </w:t>
      </w:r>
      <w:r w:rsidR="00BD1F3C" w:rsidRPr="005F3F9E">
        <w:rPr>
          <w:rFonts w:hint="cs"/>
          <w:rtl/>
        </w:rPr>
        <w:t xml:space="preserve">فيها </w:t>
      </w:r>
      <w:r w:rsidR="00BD1F3C">
        <w:rPr>
          <w:rFonts w:hint="cs"/>
          <w:rtl/>
        </w:rPr>
        <w:t xml:space="preserve">أن </w:t>
      </w:r>
      <w:r w:rsidR="00BD1F3C" w:rsidRPr="005F3F9E">
        <w:rPr>
          <w:rFonts w:hint="cs"/>
          <w:rtl/>
        </w:rPr>
        <w:t xml:space="preserve">وجودهم </w:t>
      </w:r>
      <w:r w:rsidR="00BD1F3C">
        <w:rPr>
          <w:rFonts w:hint="cs"/>
          <w:rtl/>
        </w:rPr>
        <w:t xml:space="preserve">رهن </w:t>
      </w:r>
      <w:r w:rsidR="00BD1F3C" w:rsidRPr="005F3F9E">
        <w:rPr>
          <w:rFonts w:hint="cs"/>
          <w:rtl/>
        </w:rPr>
        <w:t>الحبس "مرهق للغاية" ويشيرون إلى عدم كفاية إجراءات المتابعة من جانب مرافق رفاه الطفل ورعايته الصحية (المواد 11 و12 و13 و16).</w:t>
      </w:r>
    </w:p>
    <w:p w:rsidR="00BD1F3C" w:rsidRPr="005F3F9E" w:rsidRDefault="00BD1F3C" w:rsidP="009F2FC3">
      <w:pPr>
        <w:pStyle w:val="SingleTxtGA"/>
        <w:spacing w:line="364" w:lineRule="exact"/>
        <w:rPr>
          <w:rFonts w:hint="cs"/>
          <w:b/>
          <w:bCs/>
          <w:rtl/>
        </w:rPr>
      </w:pPr>
      <w:r w:rsidRPr="005F3F9E">
        <w:rPr>
          <w:rFonts w:hint="cs"/>
          <w:b/>
          <w:bCs/>
          <w:rtl/>
        </w:rPr>
        <w:tab/>
        <w:t xml:space="preserve">ينبغي للدولة الطرف أن تلغي اللجوء على نطاق واسع إلى الاحتجاز في زنزانات مخافر الشرطة لفترة تتجاوز </w:t>
      </w:r>
      <w:r>
        <w:rPr>
          <w:rFonts w:hint="cs"/>
          <w:b/>
          <w:bCs/>
          <w:sz w:val="30"/>
          <w:rtl/>
        </w:rPr>
        <w:t>ا</w:t>
      </w:r>
      <w:r w:rsidRPr="00A02D5F">
        <w:rPr>
          <w:rFonts w:hint="cs"/>
          <w:b/>
          <w:bCs/>
          <w:sz w:val="30"/>
          <w:rtl/>
        </w:rPr>
        <w:t>ل‍</w:t>
      </w:r>
      <w:r>
        <w:rPr>
          <w:rFonts w:hint="cs"/>
          <w:b/>
          <w:bCs/>
          <w:rtl/>
        </w:rPr>
        <w:t xml:space="preserve"> </w:t>
      </w:r>
      <w:r w:rsidRPr="005F3F9E">
        <w:rPr>
          <w:rFonts w:hint="cs"/>
          <w:b/>
          <w:bCs/>
          <w:rtl/>
        </w:rPr>
        <w:t>48 ساعة المنصوص عليها في القانون. وينبغي لل</w:t>
      </w:r>
      <w:r>
        <w:rPr>
          <w:rFonts w:hint="cs"/>
          <w:b/>
          <w:bCs/>
          <w:rtl/>
        </w:rPr>
        <w:t>دولة الطرف أن تلجأ إلى حبس القصّ</w:t>
      </w:r>
      <w:r w:rsidRPr="005F3F9E">
        <w:rPr>
          <w:rFonts w:hint="cs"/>
          <w:b/>
          <w:bCs/>
          <w:rtl/>
        </w:rPr>
        <w:t>ر احتياطياً كتدبير تتخذه كملاذ أخير وينبغي لها أيضاً أن تكفل توفر مسؤولين في حالة الطوارئ معنيين برفاه الطفل في جميع مخافر الشرطة. و</w:t>
      </w:r>
      <w:r>
        <w:rPr>
          <w:rFonts w:hint="cs"/>
          <w:b/>
          <w:bCs/>
          <w:rtl/>
        </w:rPr>
        <w:t xml:space="preserve">ينبغي لها أن تضع إجراءات واضحة </w:t>
      </w:r>
      <w:r w:rsidRPr="005F3F9E">
        <w:rPr>
          <w:rFonts w:hint="cs"/>
          <w:b/>
          <w:bCs/>
          <w:rtl/>
        </w:rPr>
        <w:t>يمك</w:t>
      </w:r>
      <w:r>
        <w:rPr>
          <w:rFonts w:hint="cs"/>
          <w:b/>
          <w:bCs/>
          <w:rtl/>
        </w:rPr>
        <w:t>ن التنبؤ بها تتعلق بمعاملة القصّ</w:t>
      </w:r>
      <w:r w:rsidRPr="005F3F9E">
        <w:rPr>
          <w:rFonts w:hint="cs"/>
          <w:b/>
          <w:bCs/>
          <w:rtl/>
        </w:rPr>
        <w:t>ر في الحبس في مخافر الشرطة وأن تسهر على تنفيذها عملياً بشكل فعال.</w:t>
      </w:r>
    </w:p>
    <w:p w:rsidR="00BD1F3C" w:rsidRPr="005F3F9E" w:rsidRDefault="00BD1F3C" w:rsidP="009F2FC3">
      <w:pPr>
        <w:pStyle w:val="H23GA"/>
        <w:spacing w:line="364" w:lineRule="exact"/>
        <w:rPr>
          <w:rFonts w:hint="cs"/>
          <w:rtl/>
        </w:rPr>
      </w:pPr>
      <w:r w:rsidRPr="005F3F9E">
        <w:rPr>
          <w:rFonts w:hint="cs"/>
          <w:rtl/>
        </w:rPr>
        <w:tab/>
      </w:r>
      <w:r w:rsidRPr="005F3F9E">
        <w:rPr>
          <w:rFonts w:hint="cs"/>
          <w:rtl/>
        </w:rPr>
        <w:tab/>
        <w:t>الحبس الانفرادي</w:t>
      </w:r>
    </w:p>
    <w:p w:rsidR="00BD1F3C" w:rsidRPr="005F3F9E" w:rsidRDefault="00FA74D8" w:rsidP="009F2FC3">
      <w:pPr>
        <w:pStyle w:val="SingleTxtGA"/>
        <w:spacing w:line="364" w:lineRule="exact"/>
        <w:rPr>
          <w:rFonts w:hint="cs"/>
          <w:rtl/>
        </w:rPr>
      </w:pPr>
      <w:r>
        <w:rPr>
          <w:rFonts w:hint="cs"/>
          <w:rtl/>
        </w:rPr>
        <w:t>(</w:t>
      </w:r>
      <w:r w:rsidR="00BD1F3C" w:rsidRPr="005F3F9E">
        <w:rPr>
          <w:rFonts w:hint="cs"/>
          <w:rtl/>
        </w:rPr>
        <w:t>11</w:t>
      </w:r>
      <w:r>
        <w:rPr>
          <w:rFonts w:hint="cs"/>
          <w:rtl/>
        </w:rPr>
        <w:t>)</w:t>
      </w:r>
      <w:r w:rsidR="00BD1F3C" w:rsidRPr="005F3F9E">
        <w:rPr>
          <w:rFonts w:hint="cs"/>
          <w:rtl/>
        </w:rPr>
        <w:tab/>
        <w:t>تأسف اللجنة لانتشار اللجوء، في بعض الحالات، للحبس الانفرادي المطول الذي قد يشكل انتهاكاً للاتفاقية. وفي</w:t>
      </w:r>
      <w:r w:rsidR="00BD1F3C">
        <w:rPr>
          <w:rFonts w:hint="cs"/>
          <w:rtl/>
        </w:rPr>
        <w:t xml:space="preserve"> حين تلاحظ </w:t>
      </w:r>
      <w:r w:rsidR="00BD1F3C" w:rsidRPr="005F3F9E">
        <w:rPr>
          <w:rFonts w:hint="cs"/>
          <w:rtl/>
        </w:rPr>
        <w:t>اللجنة مع القلق أن ثلث الحالات تقريباً،</w:t>
      </w:r>
      <w:r w:rsidR="00BD1F3C">
        <w:rPr>
          <w:rFonts w:hint="cs"/>
          <w:rtl/>
        </w:rPr>
        <w:t xml:space="preserve"> </w:t>
      </w:r>
      <w:r w:rsidR="00BD1F3C" w:rsidRPr="005F3F9E">
        <w:rPr>
          <w:rFonts w:hint="cs"/>
          <w:rtl/>
        </w:rPr>
        <w:t xml:space="preserve">تتعلق بالسجناء في الحبس الاحتياطي، </w:t>
      </w:r>
      <w:r w:rsidR="00BD1F3C">
        <w:rPr>
          <w:rFonts w:hint="cs"/>
          <w:rtl/>
        </w:rPr>
        <w:t xml:space="preserve">فإنها </w:t>
      </w:r>
      <w:r w:rsidR="00BD1F3C" w:rsidRPr="005F3F9E">
        <w:rPr>
          <w:rFonts w:hint="cs"/>
          <w:rtl/>
        </w:rPr>
        <w:t>تأسف لعدم توفر إحصاءات مفصلة، حتى الآن، بشأن اللجوء إلى الحبس الانفرادي ومدته. وتعرب اللجنة أيضاً عن القلق إزاء الأساس القانوني المعمول به للجوء إلى الحبس الانفرادي، لأنه غير مصاغ بدقة كافية حيث إنه يترك المجال لاتخاذ قرارات تقديرية للغاية تحول دون إمكانية إشراف إداري أو قضائي. وتأسف اللجنة لأن المحتجزين لا يُعلمون دائماً، على النحو الواجب، بالأسس التي يُستند إليها لفرض الحبس الانفرادي ولأن نظم الإشراف والمراجعة لا تكفل، فيما يبدو، تمتعهم بحماية قانونية مناسبة (المواد 2 و11 و16).</w:t>
      </w:r>
    </w:p>
    <w:p w:rsidR="00BD1F3C" w:rsidRPr="005F3F9E" w:rsidRDefault="00BD1F3C" w:rsidP="009F2FC3">
      <w:pPr>
        <w:pStyle w:val="SingleTxtGA"/>
        <w:spacing w:line="364" w:lineRule="exact"/>
        <w:rPr>
          <w:rFonts w:hint="cs"/>
          <w:b/>
          <w:bCs/>
          <w:rtl/>
        </w:rPr>
      </w:pPr>
      <w:r w:rsidRPr="005F3F9E">
        <w:rPr>
          <w:rFonts w:hint="cs"/>
          <w:b/>
          <w:bCs/>
          <w:rtl/>
        </w:rPr>
        <w:tab/>
      </w:r>
      <w:r>
        <w:rPr>
          <w:rFonts w:hint="cs"/>
          <w:b/>
          <w:bCs/>
          <w:rtl/>
        </w:rPr>
        <w:t>ل</w:t>
      </w:r>
      <w:r w:rsidRPr="005F3F9E">
        <w:rPr>
          <w:rFonts w:hint="cs"/>
          <w:b/>
          <w:bCs/>
          <w:rtl/>
        </w:rPr>
        <w:t>ضمان الاتساق الكامل مع أحكام الاتفاقية ومع مراعاة أحكام قواعد الأمم المتحدة النموذجية الدنيا لمعاملة السجناء، تحث اللجنة الدولة الطرف على ما يلي:</w:t>
      </w:r>
    </w:p>
    <w:p w:rsidR="00BD1F3C" w:rsidRPr="005F3F9E" w:rsidRDefault="00BD1F3C" w:rsidP="009F2FC3">
      <w:pPr>
        <w:pStyle w:val="SingleTxtGA"/>
        <w:spacing w:line="364" w:lineRule="exact"/>
        <w:rPr>
          <w:rFonts w:hint="cs"/>
          <w:b/>
          <w:bCs/>
          <w:rtl/>
        </w:rPr>
      </w:pPr>
      <w:r w:rsidRPr="005F3F9E">
        <w:rPr>
          <w:rFonts w:hint="cs"/>
          <w:b/>
          <w:bCs/>
          <w:rtl/>
        </w:rPr>
        <w:tab/>
        <w:t>(أ)</w:t>
      </w:r>
      <w:r w:rsidRPr="005F3F9E">
        <w:rPr>
          <w:rFonts w:hint="cs"/>
          <w:b/>
          <w:bCs/>
          <w:rtl/>
        </w:rPr>
        <w:tab/>
        <w:t>الحد من اللجوء إلى الحبس الانفرادي ليقتصر على حالة الضرورة القصوى؛</w:t>
      </w:r>
    </w:p>
    <w:p w:rsidR="00BD1F3C" w:rsidRPr="005F3F9E" w:rsidRDefault="00BD1F3C" w:rsidP="009F2FC3">
      <w:pPr>
        <w:pStyle w:val="SingleTxtGA"/>
        <w:spacing w:line="364" w:lineRule="exact"/>
        <w:rPr>
          <w:rFonts w:hint="cs"/>
          <w:b/>
          <w:bCs/>
          <w:rtl/>
        </w:rPr>
      </w:pPr>
      <w:r w:rsidRPr="005F3F9E">
        <w:rPr>
          <w:rFonts w:hint="cs"/>
          <w:b/>
          <w:bCs/>
          <w:rtl/>
        </w:rPr>
        <w:tab/>
        <w:t>(ب)</w:t>
      </w:r>
      <w:r w:rsidRPr="005F3F9E">
        <w:rPr>
          <w:rFonts w:hint="cs"/>
          <w:b/>
          <w:bCs/>
          <w:rtl/>
        </w:rPr>
        <w:tab/>
        <w:t>تعديل إطارها التشريعي للحد من اللجوء إلى الحبس الانفرادي ليقتصر على الظروف الاستثنائية؛</w:t>
      </w:r>
    </w:p>
    <w:p w:rsidR="00BD1F3C" w:rsidRPr="005F3F9E" w:rsidRDefault="00BD1F3C" w:rsidP="009F2FC3">
      <w:pPr>
        <w:pStyle w:val="SingleTxtGA"/>
        <w:spacing w:line="364" w:lineRule="exact"/>
        <w:rPr>
          <w:rFonts w:hint="cs"/>
          <w:b/>
          <w:bCs/>
          <w:rtl/>
        </w:rPr>
      </w:pPr>
      <w:r w:rsidRPr="005F3F9E">
        <w:rPr>
          <w:rFonts w:hint="cs"/>
          <w:b/>
          <w:bCs/>
          <w:rtl/>
        </w:rPr>
        <w:tab/>
        <w:t>(ج)</w:t>
      </w:r>
      <w:r w:rsidRPr="005F3F9E">
        <w:rPr>
          <w:rFonts w:hint="cs"/>
          <w:b/>
          <w:bCs/>
          <w:rtl/>
        </w:rPr>
        <w:tab/>
        <w:t>ضمان حقوق المعاملة وفقاً للأصول القانونية فيما يتعلق بالحبس الانفرادي؛</w:t>
      </w:r>
    </w:p>
    <w:p w:rsidR="00BD1F3C" w:rsidRPr="005F3F9E" w:rsidRDefault="00BD1F3C" w:rsidP="009F2FC3">
      <w:pPr>
        <w:pStyle w:val="SingleTxtGA"/>
        <w:spacing w:line="364" w:lineRule="exact"/>
        <w:rPr>
          <w:rFonts w:hint="cs"/>
          <w:b/>
          <w:bCs/>
          <w:rtl/>
        </w:rPr>
      </w:pPr>
      <w:r w:rsidRPr="005F3F9E">
        <w:rPr>
          <w:rFonts w:hint="cs"/>
          <w:b/>
          <w:bCs/>
          <w:rtl/>
        </w:rPr>
        <w:tab/>
        <w:t>(د)</w:t>
      </w:r>
      <w:r w:rsidRPr="005F3F9E">
        <w:rPr>
          <w:rFonts w:hint="cs"/>
          <w:b/>
          <w:bCs/>
          <w:rtl/>
        </w:rPr>
        <w:tab/>
        <w:t>تقييم وتقدير الممارسة القائمة للجوء إلى الحبس الانفرادي ومراجعة الآليات القائمة للإشراف وسبل الانتصاف القانونية؛</w:t>
      </w:r>
    </w:p>
    <w:p w:rsidR="00BD1F3C" w:rsidRPr="005F3F9E" w:rsidRDefault="00BD1F3C" w:rsidP="009F2FC3">
      <w:pPr>
        <w:pStyle w:val="SingleTxtGA"/>
        <w:spacing w:line="364" w:lineRule="exact"/>
        <w:rPr>
          <w:rFonts w:hint="cs"/>
          <w:b/>
          <w:bCs/>
          <w:rtl/>
        </w:rPr>
      </w:pPr>
      <w:r w:rsidRPr="005F3F9E">
        <w:rPr>
          <w:rFonts w:hint="cs"/>
          <w:b/>
          <w:bCs/>
          <w:rtl/>
        </w:rPr>
        <w:tab/>
        <w:t>(</w:t>
      </w:r>
      <w:r w:rsidRPr="005F3F9E">
        <w:rPr>
          <w:rFonts w:hint="cs"/>
          <w:b/>
          <w:bCs/>
          <w:sz w:val="30"/>
          <w:rtl/>
        </w:rPr>
        <w:t>ﻫ</w:t>
      </w:r>
      <w:r w:rsidRPr="005F3F9E">
        <w:rPr>
          <w:rFonts w:hint="cs"/>
          <w:b/>
          <w:bCs/>
          <w:rtl/>
        </w:rPr>
        <w:t>)</w:t>
      </w:r>
      <w:r w:rsidRPr="005F3F9E">
        <w:rPr>
          <w:rFonts w:hint="cs"/>
          <w:b/>
          <w:bCs/>
          <w:rtl/>
        </w:rPr>
        <w:tab/>
        <w:t>إنشاء نظام لتقديم إحصاءات مفصلة عن اللجوء إلى الحبس الانفرادي ونشرها.</w:t>
      </w:r>
    </w:p>
    <w:p w:rsidR="00BD1F3C" w:rsidRPr="005F3F9E" w:rsidRDefault="00BD1F3C" w:rsidP="009F2FC3">
      <w:pPr>
        <w:pStyle w:val="H23GA"/>
        <w:spacing w:line="364" w:lineRule="exact"/>
        <w:rPr>
          <w:rFonts w:hint="cs"/>
          <w:rtl/>
        </w:rPr>
      </w:pPr>
      <w:r w:rsidRPr="005F3F9E">
        <w:rPr>
          <w:rFonts w:hint="cs"/>
          <w:rtl/>
        </w:rPr>
        <w:tab/>
      </w:r>
      <w:r w:rsidRPr="005F3F9E">
        <w:rPr>
          <w:rFonts w:hint="cs"/>
          <w:rtl/>
        </w:rPr>
        <w:tab/>
        <w:t xml:space="preserve">العنف ضد المرأة </w:t>
      </w:r>
    </w:p>
    <w:p w:rsidR="00BD1F3C" w:rsidRPr="005F3F9E" w:rsidRDefault="00FA74D8" w:rsidP="009F2FC3">
      <w:pPr>
        <w:pStyle w:val="SingleTxtGA"/>
        <w:spacing w:line="364" w:lineRule="exact"/>
        <w:rPr>
          <w:rFonts w:hint="cs"/>
          <w:rtl/>
        </w:rPr>
      </w:pPr>
      <w:r w:rsidRPr="009F2FC3">
        <w:rPr>
          <w:rFonts w:hint="cs"/>
          <w:spacing w:val="-2"/>
          <w:rtl/>
        </w:rPr>
        <w:t>(</w:t>
      </w:r>
      <w:r w:rsidR="00BD1F3C" w:rsidRPr="009F2FC3">
        <w:rPr>
          <w:rFonts w:hint="cs"/>
          <w:spacing w:val="-2"/>
          <w:rtl/>
        </w:rPr>
        <w:t>12</w:t>
      </w:r>
      <w:r w:rsidRPr="009F2FC3">
        <w:rPr>
          <w:rFonts w:hint="cs"/>
          <w:spacing w:val="-2"/>
          <w:rtl/>
        </w:rPr>
        <w:t>)</w:t>
      </w:r>
      <w:r w:rsidR="00BD1F3C" w:rsidRPr="009F2FC3">
        <w:rPr>
          <w:rFonts w:hint="cs"/>
          <w:spacing w:val="-2"/>
          <w:rtl/>
        </w:rPr>
        <w:tab/>
        <w:t>ترحب اللجنة بالتدابير المتخذة لمنع العنف الجنساني، بما في ذلك وضع خطة عمل وطنية رابعة لمكافحة العنف المنزلي. وعلى الرغم من هذا التطور الذي حدث، فقد تلقت</w:t>
      </w:r>
      <w:r w:rsidR="00BD1F3C" w:rsidRPr="005F3F9E">
        <w:rPr>
          <w:rFonts w:hint="cs"/>
          <w:rtl/>
        </w:rPr>
        <w:t xml:space="preserve"> اللجة تقارير عن </w:t>
      </w:r>
      <w:r w:rsidR="00BD1F3C">
        <w:rPr>
          <w:rFonts w:hint="cs"/>
          <w:rtl/>
        </w:rPr>
        <w:t>ت</w:t>
      </w:r>
      <w:r w:rsidR="00BD1F3C" w:rsidRPr="005F3F9E">
        <w:rPr>
          <w:rFonts w:hint="cs"/>
          <w:rtl/>
        </w:rPr>
        <w:t>ز</w:t>
      </w:r>
      <w:r w:rsidR="00BD1F3C">
        <w:rPr>
          <w:rFonts w:hint="cs"/>
          <w:rtl/>
        </w:rPr>
        <w:t>ا</w:t>
      </w:r>
      <w:r w:rsidR="00BD1F3C" w:rsidRPr="005F3F9E">
        <w:rPr>
          <w:rFonts w:hint="cs"/>
          <w:rtl/>
        </w:rPr>
        <w:t xml:space="preserve">يد معدلات </w:t>
      </w:r>
      <w:r w:rsidR="00BD1F3C">
        <w:rPr>
          <w:rFonts w:hint="cs"/>
          <w:rtl/>
        </w:rPr>
        <w:t>ا</w:t>
      </w:r>
      <w:r w:rsidR="00BD1F3C" w:rsidRPr="005F3F9E">
        <w:rPr>
          <w:rFonts w:hint="cs"/>
          <w:rtl/>
        </w:rPr>
        <w:t xml:space="preserve">لعنف </w:t>
      </w:r>
      <w:r w:rsidR="00BD1F3C">
        <w:rPr>
          <w:rFonts w:hint="cs"/>
          <w:rtl/>
        </w:rPr>
        <w:t xml:space="preserve">الممارس على </w:t>
      </w:r>
      <w:r w:rsidR="00BD1F3C" w:rsidRPr="005F3F9E">
        <w:rPr>
          <w:rFonts w:hint="cs"/>
          <w:rtl/>
        </w:rPr>
        <w:t>المرأة بما في ذلك الاغتصاب، وتلاحظ، مع القلق، انخفاض عدد الشكاوى والتحقيقات والملاحقات والإدانات في حالات ال</w:t>
      </w:r>
      <w:r w:rsidR="00BD1F3C">
        <w:rPr>
          <w:rFonts w:hint="cs"/>
          <w:rtl/>
        </w:rPr>
        <w:t>اغتصاب (المواد 2</w:t>
      </w:r>
      <w:r w:rsidR="00BD1F3C" w:rsidRPr="005F3F9E">
        <w:rPr>
          <w:rFonts w:hint="cs"/>
          <w:rtl/>
        </w:rPr>
        <w:t xml:space="preserve"> و12 و13 و16).</w:t>
      </w:r>
    </w:p>
    <w:p w:rsidR="00BD1F3C" w:rsidRPr="005F3F9E" w:rsidRDefault="00BD1F3C" w:rsidP="009F2FC3">
      <w:pPr>
        <w:pStyle w:val="SingleTxtGA"/>
        <w:spacing w:line="364" w:lineRule="exact"/>
        <w:rPr>
          <w:rFonts w:hint="cs"/>
          <w:b/>
          <w:bCs/>
          <w:rtl/>
        </w:rPr>
      </w:pPr>
      <w:r w:rsidRPr="005F3F9E">
        <w:rPr>
          <w:rFonts w:hint="cs"/>
          <w:rtl/>
        </w:rPr>
        <w:tab/>
      </w:r>
      <w:r w:rsidRPr="005F3F9E">
        <w:rPr>
          <w:rFonts w:hint="cs"/>
          <w:b/>
          <w:bCs/>
          <w:rtl/>
        </w:rPr>
        <w:t>تحث اللجنة الدولة الطرف على ما يلي:</w:t>
      </w:r>
    </w:p>
    <w:p w:rsidR="00BD1F3C" w:rsidRPr="009F2FC3" w:rsidRDefault="00BD1F3C" w:rsidP="009F2FC3">
      <w:pPr>
        <w:pStyle w:val="SingleTxtGA"/>
        <w:spacing w:line="364" w:lineRule="exact"/>
        <w:rPr>
          <w:rFonts w:ascii="Times New Roman Bold" w:hAnsi="Times New Roman Bold" w:hint="cs"/>
          <w:b/>
          <w:bCs/>
          <w:rtl/>
        </w:rPr>
      </w:pPr>
      <w:r w:rsidRPr="009F2FC3">
        <w:rPr>
          <w:rFonts w:ascii="Times New Roman Bold" w:hAnsi="Times New Roman Bold" w:hint="cs"/>
          <w:b/>
          <w:bCs/>
          <w:rtl/>
        </w:rPr>
        <w:tab/>
        <w:t>(أ)</w:t>
      </w:r>
      <w:r w:rsidRPr="009F2FC3">
        <w:rPr>
          <w:rFonts w:ascii="Times New Roman Bold" w:hAnsi="Times New Roman Bold" w:hint="cs"/>
          <w:b/>
          <w:bCs/>
          <w:rtl/>
        </w:rPr>
        <w:tab/>
        <w:t>اعتماد تعريف قانوني للاغتصاب في القانون الجنائي يعرف بوضوح الاغتصاب وغيره من أشكال العنف الجنسي على أنه أي تصرف جنسي يتم دون موافقة</w:t>
      </w:r>
      <w:r w:rsidR="009F2FC3">
        <w:rPr>
          <w:rFonts w:ascii="Times New Roman Bold" w:hAnsi="Times New Roman Bold" w:hint="eastAsia"/>
          <w:b/>
          <w:bCs/>
          <w:rtl/>
        </w:rPr>
        <w:t> </w:t>
      </w:r>
      <w:r w:rsidRPr="009F2FC3">
        <w:rPr>
          <w:rFonts w:ascii="Times New Roman Bold" w:hAnsi="Times New Roman Bold" w:hint="cs"/>
          <w:b/>
          <w:bCs/>
          <w:rtl/>
        </w:rPr>
        <w:t>الضحية؛</w:t>
      </w:r>
    </w:p>
    <w:p w:rsidR="00BD1F3C" w:rsidRPr="005F3F9E" w:rsidRDefault="00BD1F3C" w:rsidP="009F2FC3">
      <w:pPr>
        <w:pStyle w:val="SingleTxtGA"/>
        <w:spacing w:line="364" w:lineRule="exact"/>
        <w:rPr>
          <w:rFonts w:hint="cs"/>
          <w:b/>
          <w:bCs/>
          <w:rtl/>
        </w:rPr>
      </w:pPr>
      <w:r w:rsidRPr="005F3F9E">
        <w:rPr>
          <w:rFonts w:hint="cs"/>
          <w:b/>
          <w:bCs/>
          <w:rtl/>
        </w:rPr>
        <w:tab/>
        <w:t>(ب)</w:t>
      </w:r>
      <w:r w:rsidRPr="005F3F9E">
        <w:rPr>
          <w:rFonts w:hint="cs"/>
          <w:b/>
          <w:bCs/>
          <w:rtl/>
        </w:rPr>
        <w:tab/>
        <w:t xml:space="preserve">تعزيز جهودها لمنع العنف ضد المرأة </w:t>
      </w:r>
      <w:r>
        <w:rPr>
          <w:rFonts w:hint="cs"/>
          <w:b/>
          <w:bCs/>
          <w:rtl/>
        </w:rPr>
        <w:t>بجملة</w:t>
      </w:r>
      <w:r w:rsidRPr="005F3F9E">
        <w:rPr>
          <w:rFonts w:hint="cs"/>
          <w:b/>
          <w:bCs/>
          <w:rtl/>
        </w:rPr>
        <w:t xml:space="preserve"> أمور منها التنفيذ الفعال للورقة البيضاء </w:t>
      </w:r>
      <w:r w:rsidRPr="005F3F9E">
        <w:rPr>
          <w:b/>
          <w:bCs/>
          <w:i/>
          <w:iCs/>
        </w:rPr>
        <w:t>Fra Ord til Handing</w:t>
      </w:r>
      <w:r w:rsidRPr="005F3F9E">
        <w:rPr>
          <w:rFonts w:hint="cs"/>
          <w:b/>
          <w:bCs/>
          <w:i/>
          <w:iCs/>
          <w:rtl/>
        </w:rPr>
        <w:t xml:space="preserve"> </w:t>
      </w:r>
      <w:r>
        <w:rPr>
          <w:rFonts w:hint="cs"/>
          <w:b/>
          <w:bCs/>
          <w:rtl/>
        </w:rPr>
        <w:t>(</w:t>
      </w:r>
      <w:r w:rsidRPr="005F3F9E">
        <w:rPr>
          <w:rFonts w:hint="cs"/>
          <w:b/>
          <w:bCs/>
          <w:rtl/>
        </w:rPr>
        <w:t>من الأقوال إلى الأفعال) وإنشاء مراكز لضحايا الاعتداء الجنسي، في كل مقاطعة؛</w:t>
      </w:r>
    </w:p>
    <w:p w:rsidR="00BD1F3C" w:rsidRPr="005F3F9E" w:rsidRDefault="00BD1F3C" w:rsidP="009F2FC3">
      <w:pPr>
        <w:pStyle w:val="SingleTxtGA"/>
        <w:spacing w:line="364" w:lineRule="exact"/>
        <w:rPr>
          <w:rFonts w:hint="cs"/>
          <w:b/>
          <w:bCs/>
          <w:rtl/>
        </w:rPr>
      </w:pPr>
      <w:r w:rsidRPr="005F3F9E">
        <w:rPr>
          <w:rFonts w:hint="cs"/>
          <w:b/>
          <w:bCs/>
          <w:rtl/>
        </w:rPr>
        <w:tab/>
        <w:t>(ج)</w:t>
      </w:r>
      <w:r w:rsidRPr="005F3F9E">
        <w:rPr>
          <w:rFonts w:hint="cs"/>
          <w:b/>
          <w:bCs/>
          <w:rtl/>
        </w:rPr>
        <w:tab/>
        <w:t xml:space="preserve">مكافحة ممارسات الموظفين المكلفين بإعمال القانون </w:t>
      </w:r>
      <w:r>
        <w:rPr>
          <w:rFonts w:hint="cs"/>
          <w:b/>
          <w:bCs/>
          <w:rtl/>
        </w:rPr>
        <w:t>وآراءهم المسبقة ممّا</w:t>
      </w:r>
      <w:r>
        <w:rPr>
          <w:rFonts w:hint="eastAsia"/>
          <w:b/>
          <w:bCs/>
          <w:rtl/>
        </w:rPr>
        <w:t> </w:t>
      </w:r>
      <w:r>
        <w:rPr>
          <w:rFonts w:hint="cs"/>
          <w:b/>
          <w:bCs/>
          <w:rtl/>
        </w:rPr>
        <w:t>ي</w:t>
      </w:r>
      <w:r w:rsidRPr="005F3F9E">
        <w:rPr>
          <w:rFonts w:hint="cs"/>
          <w:b/>
          <w:bCs/>
          <w:rtl/>
        </w:rPr>
        <w:t xml:space="preserve">شكل عائقاً أمام الإبلاغ عن الاغتصاب والعنف الجنسي والعنف </w:t>
      </w:r>
      <w:r>
        <w:rPr>
          <w:rFonts w:hint="cs"/>
          <w:b/>
          <w:bCs/>
          <w:rtl/>
        </w:rPr>
        <w:t>الممارس على</w:t>
      </w:r>
      <w:r w:rsidRPr="005F3F9E">
        <w:rPr>
          <w:rFonts w:hint="cs"/>
          <w:b/>
          <w:bCs/>
          <w:rtl/>
        </w:rPr>
        <w:t xml:space="preserve"> المرأة؛</w:t>
      </w:r>
    </w:p>
    <w:p w:rsidR="00BD1F3C" w:rsidRPr="005F3F9E" w:rsidRDefault="00BD1F3C" w:rsidP="009F2FC3">
      <w:pPr>
        <w:pStyle w:val="SingleTxtGA"/>
        <w:spacing w:line="364" w:lineRule="exact"/>
        <w:rPr>
          <w:rFonts w:hint="cs"/>
          <w:b/>
          <w:bCs/>
          <w:rtl/>
        </w:rPr>
      </w:pPr>
      <w:r w:rsidRPr="005F3F9E">
        <w:rPr>
          <w:rFonts w:hint="cs"/>
          <w:b/>
          <w:bCs/>
          <w:rtl/>
        </w:rPr>
        <w:tab/>
        <w:t>(د)</w:t>
      </w:r>
      <w:r w:rsidRPr="005F3F9E">
        <w:rPr>
          <w:rFonts w:hint="cs"/>
          <w:b/>
          <w:bCs/>
          <w:rtl/>
        </w:rPr>
        <w:tab/>
        <w:t xml:space="preserve">شن حملات </w:t>
      </w:r>
      <w:r>
        <w:rPr>
          <w:rFonts w:hint="cs"/>
          <w:b/>
          <w:bCs/>
          <w:rtl/>
        </w:rPr>
        <w:t>أ</w:t>
      </w:r>
      <w:r w:rsidRPr="005F3F9E">
        <w:rPr>
          <w:rFonts w:hint="cs"/>
          <w:b/>
          <w:bCs/>
          <w:rtl/>
        </w:rPr>
        <w:t>وسع ل</w:t>
      </w:r>
      <w:r>
        <w:rPr>
          <w:rFonts w:hint="cs"/>
          <w:b/>
          <w:bCs/>
          <w:rtl/>
        </w:rPr>
        <w:t>إذكاء</w:t>
      </w:r>
      <w:r w:rsidRPr="005F3F9E">
        <w:rPr>
          <w:rFonts w:hint="cs"/>
          <w:b/>
          <w:bCs/>
          <w:rtl/>
        </w:rPr>
        <w:t xml:space="preserve"> الوعي والتدريب في مجال التصدي للعنف الجنسي لصالح الوكالات المكلفة بإنفاذ القانون، والقضاة، والمحامين، والعاملين الاجتماعيين، الذين هم على اتصال مباشر بالضحايا ولصالح الجمهور العام، لتهيئة جميع الظروف المناسبة للضحايا لإبلاغ السلطات عن مثل هذه الحالات؛</w:t>
      </w:r>
    </w:p>
    <w:p w:rsidR="00BD1F3C" w:rsidRPr="005F3F9E" w:rsidRDefault="00BD1F3C" w:rsidP="009F2FC3">
      <w:pPr>
        <w:pStyle w:val="SingleTxtGA"/>
        <w:spacing w:line="364" w:lineRule="exact"/>
        <w:rPr>
          <w:rFonts w:hint="cs"/>
          <w:b/>
          <w:bCs/>
          <w:rtl/>
        </w:rPr>
      </w:pPr>
      <w:r w:rsidRPr="005F3F9E">
        <w:rPr>
          <w:rFonts w:hint="cs"/>
          <w:b/>
          <w:bCs/>
          <w:rtl/>
        </w:rPr>
        <w:tab/>
        <w:t>(</w:t>
      </w:r>
      <w:r w:rsidRPr="005F3F9E">
        <w:rPr>
          <w:rFonts w:hint="cs"/>
          <w:b/>
          <w:bCs/>
          <w:sz w:val="30"/>
          <w:rtl/>
        </w:rPr>
        <w:t>ﻫ</w:t>
      </w:r>
      <w:r w:rsidRPr="005F3F9E">
        <w:rPr>
          <w:rFonts w:hint="cs"/>
          <w:b/>
          <w:bCs/>
          <w:rtl/>
        </w:rPr>
        <w:t>)</w:t>
      </w:r>
      <w:r w:rsidRPr="005F3F9E">
        <w:rPr>
          <w:rFonts w:hint="cs"/>
          <w:b/>
          <w:bCs/>
          <w:rtl/>
        </w:rPr>
        <w:tab/>
        <w:t xml:space="preserve">الشروع فوراً في عمليات تحقيق فعالة ومحايدة تتعلق بالحالات المزعومة للعنف </w:t>
      </w:r>
      <w:r>
        <w:rPr>
          <w:rFonts w:hint="cs"/>
          <w:b/>
          <w:bCs/>
          <w:rtl/>
        </w:rPr>
        <w:t>الممارس على</w:t>
      </w:r>
      <w:r w:rsidRPr="005F3F9E">
        <w:rPr>
          <w:rFonts w:hint="cs"/>
          <w:b/>
          <w:bCs/>
          <w:rtl/>
        </w:rPr>
        <w:t xml:space="preserve"> المرأة، وملاحقة ومعاقبة الجناة وفقاً لخطورة أفعالهم. </w:t>
      </w:r>
    </w:p>
    <w:p w:rsidR="00BD1F3C" w:rsidRPr="005F3F9E" w:rsidRDefault="00BD1F3C" w:rsidP="009F2FC3">
      <w:pPr>
        <w:pStyle w:val="H23GA"/>
        <w:spacing w:line="364" w:lineRule="exact"/>
        <w:rPr>
          <w:rFonts w:hint="cs"/>
          <w:rtl/>
        </w:rPr>
      </w:pPr>
      <w:r w:rsidRPr="005F3F9E">
        <w:rPr>
          <w:rFonts w:hint="cs"/>
          <w:rtl/>
        </w:rPr>
        <w:tab/>
      </w:r>
      <w:r w:rsidRPr="005F3F9E">
        <w:rPr>
          <w:rFonts w:hint="cs"/>
          <w:rtl/>
        </w:rPr>
        <w:tab/>
        <w:t>رعاية الصحة العقلية للسجناء</w:t>
      </w:r>
    </w:p>
    <w:p w:rsidR="00BD1F3C" w:rsidRPr="005F3F9E" w:rsidRDefault="00FE6A89" w:rsidP="009F2FC3">
      <w:pPr>
        <w:pStyle w:val="SingleTxtGA"/>
        <w:spacing w:line="364" w:lineRule="exact"/>
        <w:rPr>
          <w:rFonts w:hint="cs"/>
          <w:rtl/>
        </w:rPr>
      </w:pPr>
      <w:r>
        <w:rPr>
          <w:rFonts w:hint="cs"/>
          <w:rtl/>
        </w:rPr>
        <w:t>(</w:t>
      </w:r>
      <w:r w:rsidR="00BD1F3C" w:rsidRPr="005F3F9E">
        <w:rPr>
          <w:rFonts w:hint="cs"/>
          <w:rtl/>
        </w:rPr>
        <w:t>13</w:t>
      </w:r>
      <w:r>
        <w:rPr>
          <w:rFonts w:hint="cs"/>
          <w:rtl/>
        </w:rPr>
        <w:t>)</w:t>
      </w:r>
      <w:r w:rsidR="00BD1F3C" w:rsidRPr="005F3F9E">
        <w:rPr>
          <w:rFonts w:hint="cs"/>
          <w:rtl/>
        </w:rPr>
        <w:tab/>
        <w:t>تأسف اللجنة لأن السجناء الذين يعانون من مشاكل خطيرة تتعلق بالصحة العقلية لا يحصلون دائماً على الرعاية الصحية النفسية المناسبة. و</w:t>
      </w:r>
      <w:r w:rsidR="00BD1F3C">
        <w:rPr>
          <w:rFonts w:hint="cs"/>
          <w:rtl/>
        </w:rPr>
        <w:t xml:space="preserve">هي تشعر بقلق خاص لعدم قدرة أجنحة </w:t>
      </w:r>
      <w:r w:rsidR="00BD1F3C" w:rsidRPr="005F3F9E">
        <w:rPr>
          <w:rFonts w:hint="cs"/>
          <w:rtl/>
        </w:rPr>
        <w:t xml:space="preserve">الطب النفسي </w:t>
      </w:r>
      <w:r w:rsidR="00BD1F3C">
        <w:rPr>
          <w:rFonts w:hint="cs"/>
          <w:rtl/>
        </w:rPr>
        <w:t xml:space="preserve">على </w:t>
      </w:r>
      <w:r w:rsidR="00BD1F3C" w:rsidRPr="005F3F9E">
        <w:rPr>
          <w:rFonts w:hint="cs"/>
          <w:rtl/>
        </w:rPr>
        <w:t xml:space="preserve">استيعاب </w:t>
      </w:r>
      <w:r w:rsidR="00BD1F3C">
        <w:rPr>
          <w:rFonts w:hint="cs"/>
          <w:rtl/>
        </w:rPr>
        <w:t>أعداد كبيرة من ال</w:t>
      </w:r>
      <w:r w:rsidR="00BD1F3C" w:rsidRPr="005F3F9E">
        <w:rPr>
          <w:rFonts w:hint="cs"/>
          <w:rtl/>
        </w:rPr>
        <w:t xml:space="preserve">مرضى </w:t>
      </w:r>
      <w:r w:rsidR="00BD1F3C">
        <w:rPr>
          <w:rFonts w:hint="cs"/>
          <w:rtl/>
        </w:rPr>
        <w:t>ال</w:t>
      </w:r>
      <w:r w:rsidR="00BD1F3C" w:rsidRPr="005F3F9E">
        <w:rPr>
          <w:rFonts w:hint="cs"/>
          <w:rtl/>
        </w:rPr>
        <w:t>داخليين وقبول سجناء مصابين بأمراض عقلية خطيرة، وإزاء النقص الشديد في خدمات رعاية الصحة العقلية المتاحة والمقدمة إلى السجناء داخل مرافق السجون (المادتان 11 و16).</w:t>
      </w:r>
    </w:p>
    <w:p w:rsidR="00BD1F3C" w:rsidRPr="005F3F9E" w:rsidRDefault="00BD1F3C" w:rsidP="009F2FC3">
      <w:pPr>
        <w:pStyle w:val="SingleTxtGA"/>
        <w:spacing w:line="364" w:lineRule="exact"/>
        <w:rPr>
          <w:rFonts w:hint="cs"/>
          <w:b/>
          <w:bCs/>
          <w:rtl/>
        </w:rPr>
      </w:pPr>
      <w:r w:rsidRPr="005F3F9E">
        <w:rPr>
          <w:rFonts w:hint="cs"/>
          <w:rtl/>
        </w:rPr>
        <w:tab/>
      </w:r>
      <w:r w:rsidRPr="005F3F9E">
        <w:rPr>
          <w:rFonts w:hint="cs"/>
          <w:b/>
          <w:bCs/>
          <w:rtl/>
        </w:rPr>
        <w:t>ينبغي للدولة الطرف أن تتخذ جميع التدابير لضمان تلق</w:t>
      </w:r>
      <w:r>
        <w:rPr>
          <w:rFonts w:hint="cs"/>
          <w:b/>
          <w:bCs/>
          <w:rtl/>
        </w:rPr>
        <w:t>ي</w:t>
      </w:r>
      <w:r w:rsidRPr="005F3F9E">
        <w:rPr>
          <w:rFonts w:hint="cs"/>
          <w:b/>
          <w:bCs/>
          <w:rtl/>
        </w:rPr>
        <w:t xml:space="preserve"> السجناء الذين يعانون من </w:t>
      </w:r>
      <w:r>
        <w:rPr>
          <w:rFonts w:hint="cs"/>
          <w:b/>
          <w:bCs/>
          <w:rtl/>
        </w:rPr>
        <w:t>اضطرابات عقلية خطيرة، خدمات</w:t>
      </w:r>
      <w:r w:rsidRPr="005F3F9E">
        <w:rPr>
          <w:rFonts w:hint="cs"/>
          <w:b/>
          <w:bCs/>
          <w:rtl/>
        </w:rPr>
        <w:t xml:space="preserve"> </w:t>
      </w:r>
      <w:r>
        <w:rPr>
          <w:rFonts w:hint="cs"/>
          <w:b/>
          <w:bCs/>
          <w:rtl/>
        </w:rPr>
        <w:t>ال</w:t>
      </w:r>
      <w:r w:rsidRPr="005F3F9E">
        <w:rPr>
          <w:rFonts w:hint="cs"/>
          <w:b/>
          <w:bCs/>
          <w:rtl/>
        </w:rPr>
        <w:t>رعاية الصح</w:t>
      </w:r>
      <w:r>
        <w:rPr>
          <w:rFonts w:hint="cs"/>
          <w:b/>
          <w:bCs/>
          <w:rtl/>
        </w:rPr>
        <w:t>ي</w:t>
      </w:r>
      <w:r w:rsidRPr="005F3F9E">
        <w:rPr>
          <w:rFonts w:hint="cs"/>
          <w:b/>
          <w:bCs/>
          <w:rtl/>
        </w:rPr>
        <w:t xml:space="preserve">ة </w:t>
      </w:r>
      <w:r>
        <w:rPr>
          <w:rFonts w:hint="cs"/>
          <w:b/>
          <w:bCs/>
          <w:rtl/>
        </w:rPr>
        <w:t xml:space="preserve">المناسبة من خلال زيادة قدرات أجنحة الطب النفسي على استيعاب المرضى الداخليين وإتاحة فرص الاستفادة الكاملة من خدمات </w:t>
      </w:r>
      <w:r w:rsidRPr="005F3F9E">
        <w:rPr>
          <w:rFonts w:hint="cs"/>
          <w:b/>
          <w:bCs/>
          <w:rtl/>
        </w:rPr>
        <w:t xml:space="preserve">رعاية الصحة </w:t>
      </w:r>
      <w:r>
        <w:rPr>
          <w:rFonts w:hint="cs"/>
          <w:b/>
          <w:bCs/>
          <w:rtl/>
        </w:rPr>
        <w:t>العقلية داخل جميع مرافق السجون.</w:t>
      </w:r>
    </w:p>
    <w:p w:rsidR="00BD1F3C" w:rsidRPr="005F3F9E" w:rsidRDefault="00BD1F3C" w:rsidP="009F2FC3">
      <w:pPr>
        <w:pStyle w:val="H23GA"/>
        <w:spacing w:line="364" w:lineRule="exact"/>
        <w:rPr>
          <w:rFonts w:hint="cs"/>
          <w:rtl/>
          <w:lang w:val="fr-CH"/>
        </w:rPr>
      </w:pPr>
      <w:r w:rsidRPr="005F3F9E">
        <w:rPr>
          <w:rFonts w:hint="cs"/>
          <w:rtl/>
          <w:lang w:val="fr-CH"/>
        </w:rPr>
        <w:tab/>
      </w:r>
      <w:r w:rsidRPr="005F3F9E">
        <w:rPr>
          <w:rFonts w:hint="cs"/>
          <w:rtl/>
          <w:lang w:val="fr-CH"/>
        </w:rPr>
        <w:tab/>
        <w:t>اللجوء إلى تدابير قسري</w:t>
      </w:r>
      <w:r>
        <w:rPr>
          <w:rFonts w:hint="cs"/>
          <w:rtl/>
          <w:lang w:val="fr-CH"/>
        </w:rPr>
        <w:t>ة في مؤسسات رعاية الصحة النفسية</w:t>
      </w:r>
    </w:p>
    <w:p w:rsidR="00BD1F3C" w:rsidRPr="005F3F9E" w:rsidRDefault="00120327" w:rsidP="009F2FC3">
      <w:pPr>
        <w:pStyle w:val="SingleTxtGA"/>
        <w:spacing w:line="364" w:lineRule="exact"/>
        <w:rPr>
          <w:rFonts w:hint="cs"/>
          <w:rtl/>
          <w:lang w:val="fr-CH"/>
        </w:rPr>
      </w:pPr>
      <w:r>
        <w:rPr>
          <w:rFonts w:hint="cs"/>
          <w:rtl/>
          <w:lang w:val="fr-CH"/>
        </w:rPr>
        <w:t>(</w:t>
      </w:r>
      <w:r w:rsidR="00BD1F3C" w:rsidRPr="005F3F9E">
        <w:rPr>
          <w:rFonts w:hint="cs"/>
          <w:rtl/>
          <w:lang w:val="fr-CH"/>
        </w:rPr>
        <w:t>14</w:t>
      </w:r>
      <w:r>
        <w:rPr>
          <w:rFonts w:hint="cs"/>
          <w:rtl/>
          <w:lang w:val="fr-CH"/>
        </w:rPr>
        <w:t>)</w:t>
      </w:r>
      <w:r w:rsidR="00BD1F3C" w:rsidRPr="005F3F9E">
        <w:rPr>
          <w:rFonts w:hint="cs"/>
          <w:rtl/>
          <w:lang w:val="fr-CH"/>
        </w:rPr>
        <w:tab/>
        <w:t>في</w:t>
      </w:r>
      <w:r w:rsidR="00BD1F3C">
        <w:rPr>
          <w:rFonts w:hint="cs"/>
          <w:rtl/>
          <w:lang w:val="fr-CH"/>
        </w:rPr>
        <w:t xml:space="preserve"> حين تلاحظ </w:t>
      </w:r>
      <w:r w:rsidR="00BD1F3C" w:rsidRPr="005F3F9E">
        <w:rPr>
          <w:rFonts w:hint="cs"/>
          <w:rtl/>
          <w:lang w:val="fr-CH"/>
        </w:rPr>
        <w:t xml:space="preserve">اللجنة الخطوات الهامة التي اتخذتها الدولة الطرف للحد من اللجوء إلى التدابير القسرية في مؤسسات الصحة العقلية وضمان استخدامها بشكل صحيح، </w:t>
      </w:r>
      <w:r w:rsidR="00BD1F3C">
        <w:rPr>
          <w:rFonts w:hint="cs"/>
          <w:rtl/>
          <w:lang w:val="fr-CH"/>
        </w:rPr>
        <w:t xml:space="preserve">فإنها </w:t>
      </w:r>
      <w:r w:rsidR="00BD1F3C" w:rsidRPr="005F3F9E">
        <w:rPr>
          <w:rFonts w:hint="cs"/>
          <w:rtl/>
          <w:lang w:val="fr-CH"/>
        </w:rPr>
        <w:t>لا</w:t>
      </w:r>
      <w:r w:rsidR="00BD1F3C">
        <w:rPr>
          <w:rFonts w:hint="eastAsia"/>
          <w:rtl/>
          <w:lang w:val="fr-CH"/>
        </w:rPr>
        <w:t> </w:t>
      </w:r>
      <w:r w:rsidR="00BD1F3C" w:rsidRPr="005F3F9E">
        <w:rPr>
          <w:rFonts w:hint="cs"/>
          <w:rtl/>
          <w:lang w:val="fr-CH"/>
        </w:rPr>
        <w:t xml:space="preserve">تزال تشعر بالقلق إزاء </w:t>
      </w:r>
      <w:r w:rsidR="00BD1F3C">
        <w:rPr>
          <w:rFonts w:hint="cs"/>
          <w:rtl/>
          <w:lang w:val="fr-CH"/>
        </w:rPr>
        <w:t xml:space="preserve">كثرة اللجوء </w:t>
      </w:r>
      <w:r w:rsidR="00BD1F3C" w:rsidRPr="005F3F9E">
        <w:rPr>
          <w:rFonts w:hint="cs"/>
          <w:rtl/>
          <w:lang w:val="fr-CH"/>
        </w:rPr>
        <w:t xml:space="preserve">إلى أساليب تقييد الحرية وغيرها من الأساليب القسرية في مؤسسات الصحة النفسية، وكذلك إزاء عدم توفر بيانات إحصائية بشأنها بما في ذلك </w:t>
      </w:r>
      <w:r w:rsidR="00BD1F3C">
        <w:rPr>
          <w:rFonts w:hint="cs"/>
          <w:rtl/>
          <w:lang w:val="fr-CH"/>
        </w:rPr>
        <w:t xml:space="preserve">بيانات </w:t>
      </w:r>
      <w:r w:rsidR="00BD1F3C" w:rsidRPr="005F3F9E">
        <w:rPr>
          <w:rFonts w:hint="cs"/>
          <w:rtl/>
          <w:lang w:val="fr-CH"/>
        </w:rPr>
        <w:t>العلاج بالصدمات الكهربائية. ويساور اللجنة القلق لأن أحكام قانون رعاية الصحة العقلية التي تسمح بالإيداع والعلاج غير الطوعيين بالاستناد إما إلى "معيار العلاج"</w:t>
      </w:r>
      <w:r w:rsidR="00BD1F3C">
        <w:rPr>
          <w:rFonts w:hint="cs"/>
          <w:rtl/>
          <w:lang w:val="fr-CH"/>
        </w:rPr>
        <w:t xml:space="preserve"> </w:t>
      </w:r>
      <w:r w:rsidR="00BD1F3C" w:rsidRPr="005F3F9E">
        <w:rPr>
          <w:rFonts w:hint="cs"/>
          <w:rtl/>
          <w:lang w:val="fr-CH"/>
        </w:rPr>
        <w:t xml:space="preserve">أو "معيار الخطورة" تفسح المجال </w:t>
      </w:r>
      <w:r w:rsidR="00BD1F3C">
        <w:rPr>
          <w:rFonts w:hint="cs"/>
          <w:rtl/>
          <w:lang w:val="fr-CH"/>
        </w:rPr>
        <w:t>أمام</w:t>
      </w:r>
      <w:r w:rsidR="00BD1F3C" w:rsidRPr="005F3F9E">
        <w:rPr>
          <w:rFonts w:hint="cs"/>
          <w:rtl/>
          <w:lang w:val="fr-CH"/>
        </w:rPr>
        <w:t xml:space="preserve"> اتخاذ قرارات تقديرية بشكل كبير إلى درجة قد تؤدي إلى ممارسات تعسفية لا مبرر لها (المادتان 2 و16).</w:t>
      </w:r>
    </w:p>
    <w:p w:rsidR="00BD1F3C" w:rsidRPr="005F3F9E" w:rsidRDefault="00BD1F3C" w:rsidP="00BD1F3C">
      <w:pPr>
        <w:pStyle w:val="SingleTxtGA"/>
        <w:rPr>
          <w:rFonts w:hint="cs"/>
          <w:b/>
          <w:bCs/>
          <w:rtl/>
          <w:lang w:val="fr-CH"/>
        </w:rPr>
      </w:pPr>
      <w:r w:rsidRPr="005F3F9E">
        <w:rPr>
          <w:rFonts w:hint="cs"/>
          <w:b/>
          <w:bCs/>
          <w:rtl/>
          <w:lang w:val="fr-CH"/>
        </w:rPr>
        <w:tab/>
        <w:t>ينبغي للدولة الطرف أن ت</w:t>
      </w:r>
      <w:r>
        <w:rPr>
          <w:rFonts w:hint="cs"/>
          <w:b/>
          <w:bCs/>
          <w:rtl/>
          <w:lang w:val="fr-CH"/>
        </w:rPr>
        <w:t xml:space="preserve">حرص على </w:t>
      </w:r>
      <w:r w:rsidRPr="005F3F9E">
        <w:rPr>
          <w:rFonts w:hint="cs"/>
          <w:b/>
          <w:bCs/>
          <w:rtl/>
          <w:lang w:val="fr-CH"/>
        </w:rPr>
        <w:t>إعلام كل مريض قادر على الفهم</w:t>
      </w:r>
      <w:r>
        <w:rPr>
          <w:rFonts w:hint="cs"/>
          <w:b/>
          <w:bCs/>
          <w:rtl/>
          <w:lang w:val="fr-CH"/>
        </w:rPr>
        <w:t>،</w:t>
      </w:r>
      <w:r w:rsidRPr="005F3F9E">
        <w:rPr>
          <w:rFonts w:hint="cs"/>
          <w:b/>
          <w:bCs/>
          <w:rtl/>
          <w:lang w:val="fr-CH"/>
        </w:rPr>
        <w:t xml:space="preserve"> سواء تم إيداعه </w:t>
      </w:r>
      <w:r>
        <w:rPr>
          <w:rFonts w:hint="cs"/>
          <w:b/>
          <w:bCs/>
          <w:rtl/>
          <w:lang w:val="fr-CH"/>
        </w:rPr>
        <w:t>طوعاً أو كرهاً</w:t>
      </w:r>
      <w:r w:rsidRPr="005F3F9E">
        <w:rPr>
          <w:rFonts w:hint="cs"/>
          <w:b/>
          <w:bCs/>
          <w:rtl/>
          <w:lang w:val="fr-CH"/>
        </w:rPr>
        <w:t>، بالعلاج الذي يوصف له ومنحه فرصة لر</w:t>
      </w:r>
      <w:r w:rsidR="002F691F">
        <w:rPr>
          <w:rFonts w:hint="cs"/>
          <w:b/>
          <w:bCs/>
          <w:rtl/>
          <w:lang w:val="fr-CH"/>
        </w:rPr>
        <w:t>فض العلاج أو أي تدخل طبي آخر. و</w:t>
      </w:r>
      <w:r w:rsidRPr="005F3F9E">
        <w:rPr>
          <w:rFonts w:hint="cs"/>
          <w:b/>
          <w:bCs/>
          <w:rtl/>
          <w:lang w:val="fr-CH"/>
        </w:rPr>
        <w:t>ينبغي أن يستند أي استثناء لهذا المبدأ الأ</w:t>
      </w:r>
      <w:r>
        <w:rPr>
          <w:rFonts w:hint="cs"/>
          <w:b/>
          <w:bCs/>
          <w:rtl/>
          <w:lang w:val="fr-CH"/>
        </w:rPr>
        <w:t>ساسي</w:t>
      </w:r>
      <w:r w:rsidRPr="005F3F9E">
        <w:rPr>
          <w:rFonts w:hint="cs"/>
          <w:b/>
          <w:bCs/>
          <w:rtl/>
          <w:lang w:val="fr-CH"/>
        </w:rPr>
        <w:t xml:space="preserve"> إلى القانون وأن يتعلق حصراً بظروف استثنائية واضحة ومعر</w:t>
      </w:r>
      <w:r>
        <w:rPr>
          <w:rFonts w:hint="cs"/>
          <w:b/>
          <w:bCs/>
          <w:rtl/>
          <w:lang w:val="fr-CH"/>
        </w:rPr>
        <w:t>ّ</w:t>
      </w:r>
      <w:r w:rsidRPr="005F3F9E">
        <w:rPr>
          <w:rFonts w:hint="cs"/>
          <w:b/>
          <w:bCs/>
          <w:rtl/>
          <w:lang w:val="fr-CH"/>
        </w:rPr>
        <w:t>فة ب</w:t>
      </w:r>
      <w:r>
        <w:rPr>
          <w:rFonts w:hint="cs"/>
          <w:b/>
          <w:bCs/>
          <w:rtl/>
          <w:lang w:val="fr-CH"/>
        </w:rPr>
        <w:t>دقّة</w:t>
      </w:r>
      <w:r w:rsidRPr="005F3F9E">
        <w:rPr>
          <w:rFonts w:hint="cs"/>
          <w:b/>
          <w:bCs/>
          <w:rtl/>
          <w:lang w:val="fr-CH"/>
        </w:rPr>
        <w:t>. وينبغي للدولة الطرف أن تقدم لوائح واضحة ومفصلة بشأن فرض القيود وغيرها من السُبُل القسرية في مؤسسات الطب النفسي للحد من اللجوء إلى القيود إلى درجة كبيرة. وينبغي ل</w:t>
      </w:r>
      <w:r>
        <w:rPr>
          <w:rFonts w:hint="cs"/>
          <w:b/>
          <w:bCs/>
          <w:rtl/>
          <w:lang w:val="fr-CH"/>
        </w:rPr>
        <w:t xml:space="preserve">ها </w:t>
      </w:r>
      <w:r w:rsidRPr="005F3F9E">
        <w:rPr>
          <w:rFonts w:hint="cs"/>
          <w:b/>
          <w:bCs/>
          <w:rtl/>
          <w:lang w:val="fr-CH"/>
        </w:rPr>
        <w:t>أيضاً أن تنش</w:t>
      </w:r>
      <w:r>
        <w:rPr>
          <w:rFonts w:hint="cs"/>
          <w:b/>
          <w:bCs/>
          <w:rtl/>
          <w:lang w:val="fr-CH"/>
        </w:rPr>
        <w:t>ئ</w:t>
      </w:r>
      <w:r w:rsidRPr="005F3F9E">
        <w:rPr>
          <w:rFonts w:hint="cs"/>
          <w:b/>
          <w:bCs/>
          <w:rtl/>
          <w:lang w:val="fr-CH"/>
        </w:rPr>
        <w:t xml:space="preserve"> نظاماً لجمع ونشر معلومات إحصائية موحدة بشأن فرض القيود وغيرها من الأساليب القسرية الأخرى، بما</w:t>
      </w:r>
      <w:r>
        <w:rPr>
          <w:rFonts w:hint="eastAsia"/>
          <w:b/>
          <w:bCs/>
          <w:rtl/>
          <w:lang w:val="fr-CH"/>
        </w:rPr>
        <w:t> </w:t>
      </w:r>
      <w:r w:rsidRPr="005F3F9E">
        <w:rPr>
          <w:rFonts w:hint="cs"/>
          <w:b/>
          <w:bCs/>
          <w:rtl/>
          <w:lang w:val="fr-CH"/>
        </w:rPr>
        <w:t>في ذلك حالات العلاج بالصدمات الكهربائية.</w:t>
      </w:r>
    </w:p>
    <w:p w:rsidR="00BD1F3C" w:rsidRPr="005F3F9E" w:rsidRDefault="00BD1F3C" w:rsidP="00BD1F3C">
      <w:pPr>
        <w:pStyle w:val="H23GA"/>
        <w:rPr>
          <w:rFonts w:hint="cs"/>
          <w:rtl/>
          <w:lang w:val="fr-CH"/>
        </w:rPr>
      </w:pPr>
      <w:r w:rsidRPr="005F3F9E">
        <w:rPr>
          <w:rFonts w:hint="cs"/>
          <w:rtl/>
          <w:lang w:val="fr-CH"/>
        </w:rPr>
        <w:tab/>
      </w:r>
      <w:r w:rsidRPr="005F3F9E">
        <w:rPr>
          <w:rFonts w:hint="cs"/>
          <w:rtl/>
          <w:lang w:val="fr-CH"/>
        </w:rPr>
        <w:tab/>
        <w:t>احتجاز الأجانب وعدم الإعادة القسرية</w:t>
      </w:r>
    </w:p>
    <w:p w:rsidR="00BD1F3C" w:rsidRPr="005F3F9E" w:rsidRDefault="002B6DD7" w:rsidP="002B6DD7">
      <w:pPr>
        <w:pStyle w:val="SingleTxtGA"/>
        <w:rPr>
          <w:rFonts w:hint="cs"/>
          <w:rtl/>
          <w:lang w:val="fr-CH"/>
        </w:rPr>
      </w:pPr>
      <w:r>
        <w:rPr>
          <w:rFonts w:hint="cs"/>
          <w:rtl/>
          <w:lang w:val="fr-CH"/>
        </w:rPr>
        <w:t>(</w:t>
      </w:r>
      <w:r w:rsidR="00BD1F3C" w:rsidRPr="005F3F9E">
        <w:rPr>
          <w:rFonts w:hint="cs"/>
          <w:rtl/>
          <w:lang w:val="fr-CH"/>
        </w:rPr>
        <w:t>15</w:t>
      </w:r>
      <w:r>
        <w:rPr>
          <w:rFonts w:hint="cs"/>
          <w:rtl/>
          <w:lang w:val="fr-CH"/>
        </w:rPr>
        <w:t>)</w:t>
      </w:r>
      <w:r w:rsidR="00BD1F3C" w:rsidRPr="005F3F9E">
        <w:rPr>
          <w:rFonts w:hint="cs"/>
          <w:rtl/>
          <w:lang w:val="fr-CH"/>
        </w:rPr>
        <w:tab/>
        <w:t xml:space="preserve">تُعرب اللجنة عن قلقها إزاء اللجوء إلى الاحتجاز المطول لملتمسي اللجوء الذين يدخلون إلى الدولة الطرف بدون وثائق. وتأسف اللجنة أيضاً لعدم تقديم الحماية القانونية الكاملة للأشخاص الذين يفرون </w:t>
      </w:r>
      <w:r w:rsidR="00BD1F3C">
        <w:rPr>
          <w:rFonts w:hint="cs"/>
          <w:rtl/>
          <w:lang w:val="fr-CH"/>
        </w:rPr>
        <w:t xml:space="preserve">من دول </w:t>
      </w:r>
      <w:r w:rsidR="00BD1F3C" w:rsidRPr="005F3F9E">
        <w:rPr>
          <w:rFonts w:hint="cs"/>
          <w:rtl/>
          <w:lang w:val="fr-CH"/>
        </w:rPr>
        <w:t xml:space="preserve">بسبب انتشار العنف والذين لا يستطيعون إثبات تعرضهم للخطر بصورة فردية والذين لا يُعتبرون </w:t>
      </w:r>
      <w:r w:rsidR="00BD1F3C">
        <w:rPr>
          <w:rFonts w:hint="cs"/>
          <w:rtl/>
          <w:lang w:val="fr-CH"/>
        </w:rPr>
        <w:t xml:space="preserve">ممن هم معرّضون </w:t>
      </w:r>
      <w:r w:rsidR="00BD1F3C" w:rsidRPr="005F3F9E">
        <w:rPr>
          <w:rFonts w:hint="cs"/>
          <w:rtl/>
          <w:lang w:val="fr-CH"/>
        </w:rPr>
        <w:t>لخطر التعذيب في حال عودتهم، لأن المادة 2 من قانون الأجانب تنص على شرط تعرض الفرد لخطر بشكل انفرادي لكي يكون مؤهلاً للحصول على الحماية الإضافية (المواد 3 و11 و16).</w:t>
      </w:r>
    </w:p>
    <w:p w:rsidR="00BD1F3C" w:rsidRPr="005F3F9E" w:rsidRDefault="00BD1F3C" w:rsidP="00BD1F3C">
      <w:pPr>
        <w:pStyle w:val="SingleTxtGA"/>
        <w:rPr>
          <w:rFonts w:hint="cs"/>
          <w:b/>
          <w:bCs/>
          <w:rtl/>
          <w:lang w:val="fr-CH"/>
        </w:rPr>
      </w:pPr>
      <w:r w:rsidRPr="005F3F9E">
        <w:rPr>
          <w:rFonts w:hint="cs"/>
          <w:rtl/>
          <w:lang w:val="fr-CH"/>
        </w:rPr>
        <w:tab/>
      </w:r>
      <w:r w:rsidRPr="005F3F9E">
        <w:rPr>
          <w:rFonts w:hint="cs"/>
          <w:b/>
          <w:bCs/>
          <w:rtl/>
          <w:lang w:val="fr-CH"/>
        </w:rPr>
        <w:t>ينبغي للدولة الطرف أن تنظر في الحد من اللجوء إلى احتجاز ملتمسي اللجوء الذين يدخلون إلى البلد بدون وثائق ومدة هذا الاحتجاز. وينبغي للدولة الطرف أن تنظر في التوقف عن إعادة الأجانب إلى دول ت</w:t>
      </w:r>
      <w:r>
        <w:rPr>
          <w:rFonts w:hint="cs"/>
          <w:b/>
          <w:bCs/>
          <w:rtl/>
          <w:lang w:val="fr-CH"/>
        </w:rPr>
        <w:t xml:space="preserve">شهد نزاعات مسلحة داخلية </w:t>
      </w:r>
      <w:r w:rsidRPr="005F3F9E">
        <w:rPr>
          <w:rFonts w:hint="cs"/>
          <w:b/>
          <w:bCs/>
          <w:rtl/>
          <w:lang w:val="fr-CH"/>
        </w:rPr>
        <w:t>أو حالات عنف عام، بالاستناد إلى أسس إنسانية.</w:t>
      </w:r>
    </w:p>
    <w:p w:rsidR="00BD1F3C" w:rsidRPr="005F3F9E" w:rsidRDefault="002B6DD7" w:rsidP="002B6DD7">
      <w:pPr>
        <w:pStyle w:val="SingleTxtGA"/>
        <w:rPr>
          <w:rFonts w:hint="cs"/>
          <w:rtl/>
          <w:lang w:val="fr-CH"/>
        </w:rPr>
      </w:pPr>
      <w:r>
        <w:rPr>
          <w:rFonts w:hint="cs"/>
          <w:rtl/>
          <w:lang w:val="fr-CH"/>
        </w:rPr>
        <w:t>(</w:t>
      </w:r>
      <w:r w:rsidR="00BD1F3C" w:rsidRPr="005F3F9E">
        <w:rPr>
          <w:rFonts w:hint="cs"/>
          <w:rtl/>
          <w:lang w:val="fr-CH"/>
        </w:rPr>
        <w:t>16</w:t>
      </w:r>
      <w:r>
        <w:rPr>
          <w:rFonts w:hint="cs"/>
          <w:rtl/>
          <w:lang w:val="fr-CH"/>
        </w:rPr>
        <w:t>)</w:t>
      </w:r>
      <w:r w:rsidR="00BD1F3C" w:rsidRPr="005F3F9E">
        <w:rPr>
          <w:rFonts w:hint="cs"/>
          <w:rtl/>
          <w:lang w:val="fr-CH"/>
        </w:rPr>
        <w:tab/>
        <w:t>وتأسف اللجنة لأن الضمانات القانونية المنصوص عليها في القانون غير مكفولة دائماً لجميع ملتمسي اللجوء والأجانب بانتظار الطرد، مثل الحق في إعلامهم بحقوقهم بلغة يفهمونها والحق في الحصول على مساعدة قانونية مجانية في حالة الطرد. وت</w:t>
      </w:r>
      <w:r w:rsidR="00BD1F3C">
        <w:rPr>
          <w:rFonts w:hint="cs"/>
          <w:rtl/>
          <w:lang w:val="fr-CH"/>
        </w:rPr>
        <w:t xml:space="preserve">لاحظ </w:t>
      </w:r>
      <w:r w:rsidR="00BD1F3C" w:rsidRPr="005F3F9E">
        <w:rPr>
          <w:rFonts w:hint="cs"/>
          <w:rtl/>
          <w:lang w:val="fr-CH"/>
        </w:rPr>
        <w:t>اللجنة مع</w:t>
      </w:r>
      <w:r>
        <w:rPr>
          <w:rFonts w:hint="eastAsia"/>
          <w:rtl/>
          <w:lang w:val="fr-CH"/>
        </w:rPr>
        <w:t> </w:t>
      </w:r>
      <w:r w:rsidR="00BD1F3C" w:rsidRPr="005F3F9E">
        <w:rPr>
          <w:rFonts w:hint="cs"/>
          <w:rtl/>
          <w:lang w:val="fr-CH"/>
        </w:rPr>
        <w:t>القلق قيام الدولة الطرف بنشر ورقة للمشاورة تتعلق بإمكانية زيادة القيود المفروضة على الحق في الحصول على مساعدة قانونية مجانية (المواد 3 و11 و16).</w:t>
      </w:r>
    </w:p>
    <w:p w:rsidR="00BD1F3C" w:rsidRPr="005F3F9E" w:rsidRDefault="00BD1F3C" w:rsidP="009F2FC3">
      <w:pPr>
        <w:pStyle w:val="SingleTxtGA"/>
        <w:spacing w:line="370" w:lineRule="exact"/>
        <w:rPr>
          <w:rFonts w:hint="cs"/>
          <w:b/>
          <w:bCs/>
          <w:rtl/>
          <w:lang w:val="fr-CH"/>
        </w:rPr>
      </w:pPr>
      <w:r w:rsidRPr="005F3F9E">
        <w:rPr>
          <w:rFonts w:hint="cs"/>
          <w:b/>
          <w:bCs/>
          <w:rtl/>
          <w:lang w:val="fr-CH"/>
        </w:rPr>
        <w:tab/>
        <w:t xml:space="preserve">لكي تمتثل الدولة الطرف لالتزاماتها بموجب المادة 3 من العهد، يتعين عليها أن تكفل جميع الضمانات القانونية اللازمة لضمان حقوق الأشخاص الذين يواجهون الطرد أو العودة. وينبغي للدولة الطرف أيضاً أن تقدم </w:t>
      </w:r>
      <w:r>
        <w:rPr>
          <w:rFonts w:hint="cs"/>
          <w:b/>
          <w:bCs/>
          <w:rtl/>
          <w:lang w:val="fr-CH"/>
        </w:rPr>
        <w:t>ال</w:t>
      </w:r>
      <w:r w:rsidRPr="005F3F9E">
        <w:rPr>
          <w:rFonts w:hint="cs"/>
          <w:b/>
          <w:bCs/>
          <w:rtl/>
          <w:lang w:val="fr-CH"/>
        </w:rPr>
        <w:t xml:space="preserve">مساعدة </w:t>
      </w:r>
      <w:r>
        <w:rPr>
          <w:rFonts w:hint="cs"/>
          <w:b/>
          <w:bCs/>
          <w:rtl/>
          <w:lang w:val="fr-CH"/>
        </w:rPr>
        <w:t>ال</w:t>
      </w:r>
      <w:r w:rsidRPr="005F3F9E">
        <w:rPr>
          <w:rFonts w:hint="cs"/>
          <w:b/>
          <w:bCs/>
          <w:rtl/>
          <w:lang w:val="fr-CH"/>
        </w:rPr>
        <w:t xml:space="preserve">قانونية </w:t>
      </w:r>
      <w:r>
        <w:rPr>
          <w:rFonts w:hint="cs"/>
          <w:b/>
          <w:bCs/>
          <w:rtl/>
          <w:lang w:val="fr-CH"/>
        </w:rPr>
        <w:t>ال</w:t>
      </w:r>
      <w:r w:rsidRPr="005F3F9E">
        <w:rPr>
          <w:rFonts w:hint="cs"/>
          <w:b/>
          <w:bCs/>
          <w:rtl/>
          <w:lang w:val="fr-CH"/>
        </w:rPr>
        <w:t>مناسبة إلى الأجانب فيما</w:t>
      </w:r>
      <w:r>
        <w:rPr>
          <w:rFonts w:hint="eastAsia"/>
          <w:b/>
          <w:bCs/>
          <w:rtl/>
          <w:lang w:val="fr-CH"/>
        </w:rPr>
        <w:t> </w:t>
      </w:r>
      <w:r w:rsidRPr="005F3F9E">
        <w:rPr>
          <w:rFonts w:hint="cs"/>
          <w:b/>
          <w:bCs/>
          <w:rtl/>
          <w:lang w:val="fr-CH"/>
        </w:rPr>
        <w:t>يتعلق بجميع حالات الطرد إذا كانت ضرورية لضمان حقوقهم ووضع إجراءات لضمان إعلام الأجانب بحقوقهم بلغة يفهمونها.</w:t>
      </w:r>
    </w:p>
    <w:p w:rsidR="00BD1F3C" w:rsidRPr="005F3F9E" w:rsidRDefault="00BD1F3C" w:rsidP="009F2FC3">
      <w:pPr>
        <w:pStyle w:val="H23GA"/>
        <w:spacing w:line="370" w:lineRule="exact"/>
        <w:rPr>
          <w:rFonts w:hint="cs"/>
          <w:rtl/>
          <w:lang w:val="fr-CH"/>
        </w:rPr>
      </w:pPr>
      <w:r w:rsidRPr="005F3F9E">
        <w:rPr>
          <w:rFonts w:hint="cs"/>
          <w:rtl/>
          <w:lang w:val="fr-CH"/>
        </w:rPr>
        <w:tab/>
      </w:r>
      <w:r w:rsidRPr="005F3F9E">
        <w:rPr>
          <w:rFonts w:hint="cs"/>
          <w:rtl/>
          <w:lang w:val="fr-CH"/>
        </w:rPr>
        <w:tab/>
        <w:t>مركز تراندوم للاحتجاز</w:t>
      </w:r>
    </w:p>
    <w:p w:rsidR="00BD1F3C" w:rsidRPr="005F3F9E" w:rsidRDefault="002B6DD7" w:rsidP="009F2FC3">
      <w:pPr>
        <w:pStyle w:val="SingleTxtGA"/>
        <w:spacing w:line="370" w:lineRule="exact"/>
        <w:rPr>
          <w:rFonts w:hint="cs"/>
          <w:rtl/>
          <w:lang w:val="fr-CH"/>
        </w:rPr>
      </w:pPr>
      <w:r>
        <w:rPr>
          <w:rFonts w:hint="cs"/>
          <w:rtl/>
          <w:lang w:val="fr-CH"/>
        </w:rPr>
        <w:t>(</w:t>
      </w:r>
      <w:r w:rsidR="00BD1F3C" w:rsidRPr="005F3F9E">
        <w:rPr>
          <w:rFonts w:hint="cs"/>
          <w:rtl/>
          <w:lang w:val="fr-CH"/>
        </w:rPr>
        <w:t>17</w:t>
      </w:r>
      <w:r>
        <w:rPr>
          <w:rFonts w:hint="cs"/>
          <w:rtl/>
          <w:lang w:val="fr-CH"/>
        </w:rPr>
        <w:t>)</w:t>
      </w:r>
      <w:r w:rsidR="00BD1F3C" w:rsidRPr="005F3F9E">
        <w:rPr>
          <w:rFonts w:hint="cs"/>
          <w:rtl/>
          <w:lang w:val="fr-CH"/>
        </w:rPr>
        <w:tab/>
        <w:t>في</w:t>
      </w:r>
      <w:r w:rsidR="00BD1F3C">
        <w:rPr>
          <w:rFonts w:hint="cs"/>
          <w:rtl/>
          <w:lang w:val="fr-CH"/>
        </w:rPr>
        <w:t xml:space="preserve"> حين </w:t>
      </w:r>
      <w:r w:rsidR="00BD1F3C" w:rsidRPr="005F3F9E">
        <w:rPr>
          <w:rFonts w:hint="cs"/>
          <w:rtl/>
          <w:lang w:val="fr-CH"/>
        </w:rPr>
        <w:t>ترح</w:t>
      </w:r>
      <w:r w:rsidR="00BD1F3C">
        <w:rPr>
          <w:rFonts w:hint="cs"/>
          <w:rtl/>
          <w:lang w:val="fr-CH"/>
        </w:rPr>
        <w:t>ّ</w:t>
      </w:r>
      <w:r w:rsidR="00BD1F3C" w:rsidRPr="005F3F9E">
        <w:rPr>
          <w:rFonts w:hint="cs"/>
          <w:rtl/>
          <w:lang w:val="fr-CH"/>
        </w:rPr>
        <w:t xml:space="preserve">ب اللجنة مع التقدير بتحسين المرافق </w:t>
      </w:r>
      <w:r w:rsidR="00BD1F3C">
        <w:rPr>
          <w:rFonts w:hint="cs"/>
          <w:rtl/>
          <w:lang w:val="fr-CH"/>
        </w:rPr>
        <w:t xml:space="preserve">الكائنة </w:t>
      </w:r>
      <w:r w:rsidR="00BD1F3C" w:rsidRPr="005F3F9E">
        <w:rPr>
          <w:rFonts w:hint="cs"/>
          <w:rtl/>
          <w:lang w:val="fr-CH"/>
        </w:rPr>
        <w:t xml:space="preserve">في مركز تراندوم للاحتجاز، </w:t>
      </w:r>
      <w:r w:rsidR="00BD1F3C">
        <w:rPr>
          <w:rFonts w:hint="cs"/>
          <w:rtl/>
          <w:lang w:val="fr-CH"/>
        </w:rPr>
        <w:t xml:space="preserve">فإنها تلاحظ </w:t>
      </w:r>
      <w:r w:rsidR="00BD1F3C" w:rsidRPr="005F3F9E">
        <w:rPr>
          <w:rFonts w:hint="cs"/>
          <w:rtl/>
          <w:lang w:val="fr-CH"/>
        </w:rPr>
        <w:t xml:space="preserve">نتائج التقارير السنوية لمجلس </w:t>
      </w:r>
      <w:r w:rsidR="00BD1F3C">
        <w:rPr>
          <w:rFonts w:hint="cs"/>
          <w:rtl/>
          <w:lang w:val="fr-CH"/>
        </w:rPr>
        <w:t xml:space="preserve">مراقبة مركز </w:t>
      </w:r>
      <w:r w:rsidR="00BD1F3C" w:rsidRPr="005F3F9E">
        <w:rPr>
          <w:rFonts w:hint="cs"/>
          <w:rtl/>
          <w:lang w:val="fr-CH"/>
        </w:rPr>
        <w:t xml:space="preserve">شرطة احتجاز المهاجرين في تراندوم، التي لا تزال تثير القلق فيما يتعلق بالظروف الصحية العامة للاحتجاز في هذا المركز، ولا سيما فيما يتعلق بالمرافق الصحية غير الصحية والاكتظاظ. وفضلاً عن ذلك، تلاحظ اللجنة، مع القلق، زيادة أعداد المحتجزين في تراندوم، وكذلك الحالات القليلة للاحتجاز </w:t>
      </w:r>
      <w:r w:rsidR="00BD1F3C">
        <w:rPr>
          <w:rFonts w:hint="cs"/>
          <w:rtl/>
          <w:lang w:val="fr-CH"/>
        </w:rPr>
        <w:t xml:space="preserve">لفترات </w:t>
      </w:r>
      <w:r w:rsidR="00BD1F3C" w:rsidRPr="005F3F9E">
        <w:rPr>
          <w:rFonts w:hint="cs"/>
          <w:rtl/>
          <w:lang w:val="fr-CH"/>
        </w:rPr>
        <w:t>مطو</w:t>
      </w:r>
      <w:r w:rsidR="00BD1F3C">
        <w:rPr>
          <w:rFonts w:hint="cs"/>
          <w:rtl/>
          <w:lang w:val="fr-CH"/>
        </w:rPr>
        <w:t>ّ</w:t>
      </w:r>
      <w:r w:rsidR="00BD1F3C" w:rsidRPr="005F3F9E">
        <w:rPr>
          <w:rFonts w:hint="cs"/>
          <w:rtl/>
          <w:lang w:val="fr-CH"/>
        </w:rPr>
        <w:t xml:space="preserve">لة </w:t>
      </w:r>
      <w:r w:rsidR="00BD1F3C">
        <w:rPr>
          <w:rFonts w:hint="cs"/>
          <w:rtl/>
          <w:lang w:val="fr-CH"/>
        </w:rPr>
        <w:t xml:space="preserve">على نحو مفرط </w:t>
      </w:r>
      <w:r w:rsidR="00BD1F3C" w:rsidRPr="005F3F9E">
        <w:rPr>
          <w:rFonts w:hint="cs"/>
          <w:rtl/>
          <w:lang w:val="fr-CH"/>
        </w:rPr>
        <w:t>(المواد 10 و11 و16).</w:t>
      </w:r>
    </w:p>
    <w:p w:rsidR="00BD1F3C" w:rsidRPr="005F3F9E" w:rsidRDefault="00BD1F3C" w:rsidP="009F2FC3">
      <w:pPr>
        <w:pStyle w:val="SingleTxtGA"/>
        <w:spacing w:line="370" w:lineRule="exact"/>
        <w:rPr>
          <w:rFonts w:hint="cs"/>
          <w:b/>
          <w:bCs/>
          <w:rtl/>
          <w:lang w:val="fr-CH"/>
        </w:rPr>
      </w:pPr>
      <w:r w:rsidRPr="005F3F9E">
        <w:rPr>
          <w:rFonts w:hint="cs"/>
          <w:b/>
          <w:bCs/>
          <w:rtl/>
          <w:lang w:val="fr-CH"/>
        </w:rPr>
        <w:tab/>
        <w:t>ينبغي للدولة الطرف أن تكفل احتجاز الأشخاص في مركز تراندوم وفقاً للقانون وللمدد المنصوص عليها فيه. وينبغي ل</w:t>
      </w:r>
      <w:r>
        <w:rPr>
          <w:rFonts w:hint="cs"/>
          <w:b/>
          <w:bCs/>
          <w:rtl/>
          <w:lang w:val="fr-CH"/>
        </w:rPr>
        <w:t xml:space="preserve">ها </w:t>
      </w:r>
      <w:r w:rsidRPr="005F3F9E">
        <w:rPr>
          <w:rFonts w:hint="cs"/>
          <w:b/>
          <w:bCs/>
          <w:rtl/>
          <w:lang w:val="fr-CH"/>
        </w:rPr>
        <w:t>أن تكفل تطابق جميع ظروف الاحتجاز بالكامل مع المعايير الدولية بما في ذلك قواعد الأمم المتحدة النموذجية الدنيا لمعاملة السجناء، ولا</w:t>
      </w:r>
      <w:r>
        <w:rPr>
          <w:rFonts w:hint="eastAsia"/>
          <w:b/>
          <w:bCs/>
          <w:rtl/>
          <w:lang w:val="fr-CH"/>
        </w:rPr>
        <w:t> </w:t>
      </w:r>
      <w:r w:rsidRPr="005F3F9E">
        <w:rPr>
          <w:rFonts w:hint="cs"/>
          <w:b/>
          <w:bCs/>
          <w:rtl/>
          <w:lang w:val="fr-CH"/>
        </w:rPr>
        <w:t>سيما فيما يتعلق بالمرافق الصحية والاكتظاظ.</w:t>
      </w:r>
    </w:p>
    <w:p w:rsidR="00BD1F3C" w:rsidRPr="005F3F9E" w:rsidRDefault="00BD1F3C" w:rsidP="009F2FC3">
      <w:pPr>
        <w:pStyle w:val="H23GA"/>
        <w:spacing w:line="370" w:lineRule="exact"/>
        <w:rPr>
          <w:rFonts w:hint="cs"/>
          <w:rtl/>
          <w:lang w:val="fr-CH"/>
        </w:rPr>
      </w:pPr>
      <w:r w:rsidRPr="005F3F9E">
        <w:rPr>
          <w:rFonts w:hint="cs"/>
          <w:rtl/>
          <w:lang w:val="fr-CH"/>
        </w:rPr>
        <w:tab/>
      </w:r>
      <w:r w:rsidRPr="005F3F9E">
        <w:rPr>
          <w:rFonts w:hint="cs"/>
          <w:rtl/>
          <w:lang w:val="fr-CH"/>
        </w:rPr>
        <w:tab/>
        <w:t>التدريب على حظر التعذيب وسوء المعاملة</w:t>
      </w:r>
    </w:p>
    <w:p w:rsidR="00BD1F3C" w:rsidRPr="009F2FC3" w:rsidRDefault="002B6DD7" w:rsidP="009F2FC3">
      <w:pPr>
        <w:pStyle w:val="SingleTxtGA"/>
        <w:spacing w:line="370" w:lineRule="exact"/>
        <w:rPr>
          <w:rFonts w:hint="cs"/>
          <w:spacing w:val="-2"/>
          <w:rtl/>
          <w:lang w:val="fr-CH"/>
        </w:rPr>
      </w:pPr>
      <w:r w:rsidRPr="009F2FC3">
        <w:rPr>
          <w:rFonts w:hint="cs"/>
          <w:spacing w:val="-2"/>
          <w:rtl/>
          <w:lang w:val="fr-CH"/>
        </w:rPr>
        <w:t>(</w:t>
      </w:r>
      <w:r w:rsidR="00BD1F3C" w:rsidRPr="009F2FC3">
        <w:rPr>
          <w:rFonts w:hint="cs"/>
          <w:spacing w:val="-2"/>
          <w:rtl/>
          <w:lang w:val="fr-CH"/>
        </w:rPr>
        <w:t>18</w:t>
      </w:r>
      <w:r w:rsidRPr="009F2FC3">
        <w:rPr>
          <w:rFonts w:hint="cs"/>
          <w:spacing w:val="-2"/>
          <w:rtl/>
          <w:lang w:val="fr-CH"/>
        </w:rPr>
        <w:t>)</w:t>
      </w:r>
      <w:r w:rsidR="00BD1F3C" w:rsidRPr="009F2FC3">
        <w:rPr>
          <w:rFonts w:hint="cs"/>
          <w:spacing w:val="-2"/>
          <w:rtl/>
          <w:lang w:val="fr-CH"/>
        </w:rPr>
        <w:tab/>
        <w:t>في حين تلاحظ اللجنة تنظيم مختلف برامج التدريب المنهجي لصالح الموظفين المكلفين بإنفاذ القانون، بشأن أحكام الاتفاقية، فإنها تأسف لعدم توفر معلومات عن أثر برامج التدريب على الحد من حالات اللجوء إلى القوة المفرطة وسوء المعاملة. كما أنها تأسف لاقتصار التدريب إلى حد كبير على الجانب النظري، ولأنه لا يقدم إلا معلومات قليلة عن التطبيق العملي لأحكام حقوق الإنسان. ويساور اللجنة القلق أيضاً لأن العاملين في مجال الصحة العقلية لا يتلقون التدريب المنتظم على دليل التقصي والتوثيق الفعالين بشأن التعذيب وغيره من ضروب المعاملة أو العقوبة القاسية أو اللاإنسانية أو المهينة (بروتوكول اسطنبول) (المادة 10).</w:t>
      </w:r>
    </w:p>
    <w:p w:rsidR="00BD1F3C" w:rsidRPr="005F3F9E" w:rsidRDefault="00BD1F3C" w:rsidP="009F2FC3">
      <w:pPr>
        <w:pStyle w:val="SingleTxtGA"/>
        <w:spacing w:line="370" w:lineRule="exact"/>
        <w:rPr>
          <w:rFonts w:hint="cs"/>
          <w:b/>
          <w:bCs/>
          <w:rtl/>
          <w:lang w:val="fr-CH"/>
        </w:rPr>
      </w:pPr>
      <w:r w:rsidRPr="005F3F9E">
        <w:rPr>
          <w:rFonts w:hint="cs"/>
          <w:b/>
          <w:bCs/>
          <w:rtl/>
          <w:lang w:val="fr-CH"/>
        </w:rPr>
        <w:tab/>
        <w:t>ينبغي للدولة الطرف أن تكفل تنفيذ البرامج التثقيفية والمتعلقة بالتدريب العملي، بشكل منتظم، لصالح الموظفين المكلفين بإنفاذ القانون، على أحكام الاتفاقية، بما في ذلك فيما يتعلق بالقيود المفروضة على استخدام القوة، ومبادئ عدم التمييز، ومبدأ التناسب واستخدام القوة كملاذ أخير. وفضلاً عن ذلك، ينبغي للدولة الطرف أن تضع وتنفذ منهجية لتقييم فعالية وأثر البرامج التدريبية ذات الصلة على وقوع حالات التعذيب واللجوء إلى القوة المفرطة وسوء المعاملة. و</w:t>
      </w:r>
      <w:r>
        <w:rPr>
          <w:rFonts w:hint="cs"/>
          <w:b/>
          <w:bCs/>
          <w:rtl/>
          <w:lang w:val="fr-CH"/>
        </w:rPr>
        <w:t xml:space="preserve">علاوة على </w:t>
      </w:r>
      <w:r w:rsidRPr="005F3F9E">
        <w:rPr>
          <w:rFonts w:hint="cs"/>
          <w:b/>
          <w:bCs/>
          <w:rtl/>
          <w:lang w:val="fr-CH"/>
        </w:rPr>
        <w:t>ذلك، ينبغي للدولة الطرف أن ت</w:t>
      </w:r>
      <w:r>
        <w:rPr>
          <w:rFonts w:hint="cs"/>
          <w:b/>
          <w:bCs/>
          <w:rtl/>
          <w:lang w:val="fr-CH"/>
        </w:rPr>
        <w:t>وفر</w:t>
      </w:r>
      <w:r w:rsidRPr="005F3F9E">
        <w:rPr>
          <w:rFonts w:hint="cs"/>
          <w:b/>
          <w:bCs/>
          <w:rtl/>
          <w:lang w:val="fr-CH"/>
        </w:rPr>
        <w:t xml:space="preserve"> </w:t>
      </w:r>
      <w:r>
        <w:rPr>
          <w:rFonts w:hint="cs"/>
          <w:b/>
          <w:bCs/>
          <w:rtl/>
          <w:lang w:val="fr-CH"/>
        </w:rPr>
        <w:t>ل</w:t>
      </w:r>
      <w:r w:rsidRPr="005F3F9E">
        <w:rPr>
          <w:rFonts w:hint="cs"/>
          <w:b/>
          <w:bCs/>
          <w:rtl/>
          <w:lang w:val="fr-CH"/>
        </w:rPr>
        <w:t xml:space="preserve">جميع </w:t>
      </w:r>
      <w:r>
        <w:rPr>
          <w:rFonts w:hint="cs"/>
          <w:b/>
          <w:bCs/>
          <w:rtl/>
          <w:lang w:val="fr-CH"/>
        </w:rPr>
        <w:t>العاملين</w:t>
      </w:r>
      <w:r w:rsidRPr="005F3F9E">
        <w:rPr>
          <w:rFonts w:hint="cs"/>
          <w:b/>
          <w:bCs/>
          <w:rtl/>
          <w:lang w:val="fr-CH"/>
        </w:rPr>
        <w:t xml:space="preserve"> الصح</w:t>
      </w:r>
      <w:r>
        <w:rPr>
          <w:rFonts w:hint="cs"/>
          <w:b/>
          <w:bCs/>
          <w:rtl/>
          <w:lang w:val="fr-CH"/>
        </w:rPr>
        <w:t>يين</w:t>
      </w:r>
      <w:r w:rsidRPr="005F3F9E">
        <w:rPr>
          <w:rFonts w:hint="cs"/>
          <w:b/>
          <w:bCs/>
          <w:rtl/>
          <w:lang w:val="fr-CH"/>
        </w:rPr>
        <w:t xml:space="preserve"> المعنيين التدريب المن</w:t>
      </w:r>
      <w:r>
        <w:rPr>
          <w:rFonts w:hint="cs"/>
          <w:b/>
          <w:bCs/>
          <w:rtl/>
          <w:lang w:val="fr-CH"/>
        </w:rPr>
        <w:t>هجي</w:t>
      </w:r>
      <w:r w:rsidRPr="005F3F9E">
        <w:rPr>
          <w:rFonts w:hint="cs"/>
          <w:b/>
          <w:bCs/>
          <w:rtl/>
          <w:lang w:val="fr-CH"/>
        </w:rPr>
        <w:t xml:space="preserve"> والشامل والعملي على تطبيق بروتوكول اسطنبول.</w:t>
      </w:r>
    </w:p>
    <w:p w:rsidR="00BD1F3C" w:rsidRPr="005F3F9E" w:rsidRDefault="00BD1F3C" w:rsidP="00BD1F3C">
      <w:pPr>
        <w:pStyle w:val="H23GA"/>
        <w:rPr>
          <w:rFonts w:hint="cs"/>
          <w:rtl/>
          <w:lang w:val="fr-CH"/>
        </w:rPr>
      </w:pPr>
      <w:r w:rsidRPr="005F3F9E">
        <w:rPr>
          <w:rFonts w:hint="cs"/>
          <w:rtl/>
          <w:lang w:val="fr-CH"/>
        </w:rPr>
        <w:tab/>
      </w:r>
      <w:r w:rsidRPr="005F3F9E">
        <w:rPr>
          <w:rFonts w:hint="cs"/>
          <w:rtl/>
          <w:lang w:val="fr-CH"/>
        </w:rPr>
        <w:tab/>
        <w:t>اللجوء إلى القيود وأساليب ال</w:t>
      </w:r>
      <w:r>
        <w:rPr>
          <w:rFonts w:hint="cs"/>
          <w:rtl/>
          <w:lang w:val="fr-CH"/>
        </w:rPr>
        <w:t>اعتقال</w:t>
      </w:r>
    </w:p>
    <w:p w:rsidR="00BD1F3C" w:rsidRPr="005F3F9E" w:rsidRDefault="002B6DD7" w:rsidP="002B6DD7">
      <w:pPr>
        <w:pStyle w:val="SingleTxtGA"/>
        <w:rPr>
          <w:rFonts w:hint="cs"/>
          <w:rtl/>
          <w:lang w:val="fr-CH"/>
        </w:rPr>
      </w:pPr>
      <w:r>
        <w:rPr>
          <w:rFonts w:hint="cs"/>
          <w:rtl/>
          <w:lang w:val="fr-CH"/>
        </w:rPr>
        <w:t>(</w:t>
      </w:r>
      <w:r w:rsidR="00BD1F3C" w:rsidRPr="005F3F9E">
        <w:rPr>
          <w:rFonts w:hint="cs"/>
          <w:rtl/>
          <w:lang w:val="fr-CH"/>
        </w:rPr>
        <w:t>19</w:t>
      </w:r>
      <w:r>
        <w:rPr>
          <w:rFonts w:hint="cs"/>
          <w:rtl/>
          <w:lang w:val="fr-CH"/>
        </w:rPr>
        <w:t>)</w:t>
      </w:r>
      <w:r w:rsidR="00BD1F3C" w:rsidRPr="005F3F9E">
        <w:rPr>
          <w:rFonts w:hint="cs"/>
          <w:rtl/>
          <w:lang w:val="fr-CH"/>
        </w:rPr>
        <w:tab/>
        <w:t>في ضوء قضية السيد أوجين أوبيورا الذي توفي في عام 2006، بعد أن ألقى ضباط الشرطة</w:t>
      </w:r>
      <w:r w:rsidR="00BD1F3C" w:rsidRPr="00875D35">
        <w:rPr>
          <w:rFonts w:hint="cs"/>
          <w:rtl/>
          <w:lang w:val="fr-CH"/>
        </w:rPr>
        <w:t xml:space="preserve"> </w:t>
      </w:r>
      <w:r w:rsidR="00BD1F3C" w:rsidRPr="005F3F9E">
        <w:rPr>
          <w:rFonts w:hint="cs"/>
          <w:rtl/>
          <w:lang w:val="fr-CH"/>
        </w:rPr>
        <w:t xml:space="preserve">القبض عليه، </w:t>
      </w:r>
      <w:r w:rsidR="00BD1F3C">
        <w:rPr>
          <w:rFonts w:hint="cs"/>
          <w:rtl/>
          <w:lang w:val="fr-CH"/>
        </w:rPr>
        <w:t xml:space="preserve">تلاحظ </w:t>
      </w:r>
      <w:r w:rsidR="00BD1F3C" w:rsidRPr="005F3F9E">
        <w:rPr>
          <w:rFonts w:hint="cs"/>
          <w:rtl/>
          <w:lang w:val="fr-CH"/>
        </w:rPr>
        <w:t xml:space="preserve">اللجنة </w:t>
      </w:r>
      <w:r w:rsidR="00BD1F3C">
        <w:rPr>
          <w:rFonts w:hint="cs"/>
          <w:rtl/>
          <w:lang w:val="fr-CH"/>
        </w:rPr>
        <w:t>ال</w:t>
      </w:r>
      <w:r w:rsidR="00BD1F3C" w:rsidRPr="005F3F9E">
        <w:rPr>
          <w:rFonts w:hint="cs"/>
          <w:rtl/>
          <w:lang w:val="fr-CH"/>
        </w:rPr>
        <w:t>انتقادات</w:t>
      </w:r>
      <w:r w:rsidR="00BD1F3C">
        <w:rPr>
          <w:rFonts w:hint="cs"/>
          <w:rtl/>
          <w:lang w:val="fr-CH"/>
        </w:rPr>
        <w:t xml:space="preserve"> التي وجّهها</w:t>
      </w:r>
      <w:r w:rsidR="00BD1F3C" w:rsidRPr="005F3F9E">
        <w:rPr>
          <w:rFonts w:hint="cs"/>
          <w:rtl/>
          <w:lang w:val="fr-CH"/>
        </w:rPr>
        <w:t xml:space="preserve"> أمين المظالم البرلماني بشأن عدم امتثال الدولة الطرف </w:t>
      </w:r>
      <w:r w:rsidR="00BD1F3C">
        <w:rPr>
          <w:rFonts w:hint="cs"/>
          <w:rtl/>
          <w:lang w:val="fr-CH"/>
        </w:rPr>
        <w:t>على النحو الكامل</w:t>
      </w:r>
      <w:r w:rsidR="00BD1F3C" w:rsidRPr="005F3F9E">
        <w:rPr>
          <w:rFonts w:hint="cs"/>
          <w:rtl/>
          <w:lang w:val="fr-CH"/>
        </w:rPr>
        <w:t xml:space="preserve"> لالتزاماتها فيما يتعلق باللجوء إلى القيود المفروضة على شخص ما، وانعدام المعرفة المناسبة بأساليب </w:t>
      </w:r>
      <w:r w:rsidR="00BD1F3C">
        <w:rPr>
          <w:rFonts w:hint="cs"/>
          <w:rtl/>
          <w:lang w:val="fr-CH"/>
        </w:rPr>
        <w:t>الاعتقال</w:t>
      </w:r>
      <w:r w:rsidR="00BD1F3C" w:rsidRPr="005F3F9E">
        <w:rPr>
          <w:rFonts w:hint="cs"/>
          <w:rtl/>
          <w:lang w:val="fr-CH"/>
        </w:rPr>
        <w:t xml:space="preserve"> وانعدام التدريب المستمر (المواد 2 و10 </w:t>
      </w:r>
      <w:r w:rsidR="00BD1F3C">
        <w:rPr>
          <w:rFonts w:hint="cs"/>
          <w:rtl/>
          <w:lang w:val="fr-CH"/>
        </w:rPr>
        <w:t xml:space="preserve">و11 </w:t>
      </w:r>
      <w:r w:rsidR="00BD1F3C" w:rsidRPr="005F3F9E">
        <w:rPr>
          <w:rFonts w:hint="cs"/>
          <w:rtl/>
          <w:lang w:val="fr-CH"/>
        </w:rPr>
        <w:t>و16).</w:t>
      </w:r>
    </w:p>
    <w:p w:rsidR="00BD1F3C" w:rsidRPr="005F3F9E" w:rsidRDefault="00BD1F3C" w:rsidP="002B6DD7">
      <w:pPr>
        <w:pStyle w:val="SingleTxtGA"/>
        <w:rPr>
          <w:rFonts w:hint="cs"/>
          <w:b/>
          <w:bCs/>
          <w:rtl/>
          <w:lang w:val="fr-CH"/>
        </w:rPr>
      </w:pPr>
      <w:r w:rsidRPr="005F3F9E">
        <w:rPr>
          <w:rFonts w:hint="cs"/>
          <w:b/>
          <w:bCs/>
          <w:rtl/>
          <w:lang w:val="fr-CH"/>
        </w:rPr>
        <w:tab/>
        <w:t xml:space="preserve">ينبغي للدولة الطرف أن تتخذ خطوات فورية لتحسين وتحديث أساليب </w:t>
      </w:r>
      <w:r>
        <w:rPr>
          <w:rFonts w:hint="cs"/>
          <w:b/>
          <w:bCs/>
          <w:rtl/>
          <w:lang w:val="fr-CH"/>
        </w:rPr>
        <w:t>الاعتقال</w:t>
      </w:r>
      <w:r w:rsidR="002B6DD7">
        <w:rPr>
          <w:rFonts w:hint="eastAsia"/>
          <w:b/>
          <w:bCs/>
          <w:rtl/>
          <w:lang w:val="fr-CH"/>
        </w:rPr>
        <w:t> </w:t>
      </w:r>
      <w:r w:rsidRPr="005F3F9E">
        <w:rPr>
          <w:rFonts w:hint="cs"/>
          <w:b/>
          <w:bCs/>
          <w:rtl/>
          <w:lang w:val="fr-CH"/>
        </w:rPr>
        <w:t xml:space="preserve">لتجنب حالات تشبه حالة وفاة السيد أوبيورا وينبغي لها أن تحسن برامجها التدريبية لإبقاء الموظفين المكلفين بإنفاذ القانون على علم بآخر المعلومات المتعلقة بأساليب </w:t>
      </w:r>
      <w:r>
        <w:rPr>
          <w:rFonts w:hint="cs"/>
          <w:b/>
          <w:bCs/>
          <w:rtl/>
          <w:lang w:val="fr-CH"/>
        </w:rPr>
        <w:t>الاعتقال المناسبة</w:t>
      </w:r>
      <w:r w:rsidRPr="005F3F9E">
        <w:rPr>
          <w:rFonts w:hint="cs"/>
          <w:b/>
          <w:bCs/>
          <w:rtl/>
          <w:lang w:val="fr-CH"/>
        </w:rPr>
        <w:t>.</w:t>
      </w:r>
    </w:p>
    <w:p w:rsidR="00BD1F3C" w:rsidRPr="005F3F9E" w:rsidRDefault="00BD1F3C" w:rsidP="00BD1F3C">
      <w:pPr>
        <w:pStyle w:val="H23GA"/>
        <w:rPr>
          <w:rFonts w:hint="cs"/>
          <w:rtl/>
          <w:lang w:val="fr-CH"/>
        </w:rPr>
      </w:pPr>
      <w:r w:rsidRPr="005F3F9E">
        <w:rPr>
          <w:rFonts w:hint="cs"/>
          <w:rtl/>
          <w:lang w:val="fr-CH"/>
        </w:rPr>
        <w:tab/>
      </w:r>
      <w:r w:rsidRPr="005F3F9E">
        <w:rPr>
          <w:rFonts w:hint="cs"/>
          <w:rtl/>
          <w:lang w:val="fr-CH"/>
        </w:rPr>
        <w:tab/>
        <w:t>التحقيق العاجل والفعال والنزيه</w:t>
      </w:r>
    </w:p>
    <w:p w:rsidR="00BD1F3C" w:rsidRPr="005F3F9E" w:rsidRDefault="002B6DD7" w:rsidP="002B6DD7">
      <w:pPr>
        <w:pStyle w:val="SingleTxtGA"/>
        <w:rPr>
          <w:rFonts w:hint="cs"/>
          <w:rtl/>
          <w:lang w:val="fr-CH"/>
        </w:rPr>
      </w:pPr>
      <w:r>
        <w:rPr>
          <w:rFonts w:hint="cs"/>
          <w:rtl/>
          <w:lang w:val="fr-CH"/>
        </w:rPr>
        <w:t>(</w:t>
      </w:r>
      <w:r w:rsidR="00BD1F3C" w:rsidRPr="005F3F9E">
        <w:rPr>
          <w:rFonts w:hint="cs"/>
          <w:rtl/>
          <w:lang w:val="fr-CH"/>
        </w:rPr>
        <w:t>20</w:t>
      </w:r>
      <w:r>
        <w:rPr>
          <w:rFonts w:hint="cs"/>
          <w:rtl/>
          <w:lang w:val="fr-CH"/>
        </w:rPr>
        <w:t>)</w:t>
      </w:r>
      <w:r w:rsidR="00BD1F3C" w:rsidRPr="005F3F9E">
        <w:rPr>
          <w:rFonts w:hint="cs"/>
          <w:rtl/>
          <w:lang w:val="fr-CH"/>
        </w:rPr>
        <w:tab/>
        <w:t>ت</w:t>
      </w:r>
      <w:r w:rsidR="00BD1F3C">
        <w:rPr>
          <w:rFonts w:hint="cs"/>
          <w:rtl/>
          <w:lang w:val="fr-CH"/>
        </w:rPr>
        <w:t xml:space="preserve">لاحظ </w:t>
      </w:r>
      <w:r w:rsidR="00BD1F3C" w:rsidRPr="005F3F9E">
        <w:rPr>
          <w:rFonts w:hint="cs"/>
          <w:rtl/>
          <w:lang w:val="fr-CH"/>
        </w:rPr>
        <w:t xml:space="preserve">اللجنة </w:t>
      </w:r>
      <w:r w:rsidR="00BD1F3C">
        <w:rPr>
          <w:rFonts w:hint="cs"/>
          <w:rtl/>
          <w:lang w:val="fr-CH"/>
        </w:rPr>
        <w:t>اتخ</w:t>
      </w:r>
      <w:r w:rsidR="00BD1F3C" w:rsidRPr="005F3F9E">
        <w:rPr>
          <w:rFonts w:hint="cs"/>
          <w:rtl/>
          <w:lang w:val="fr-CH"/>
        </w:rPr>
        <w:t>اذ الدولة الطرف تدابير لزيادة تحسين الت</w:t>
      </w:r>
      <w:r w:rsidR="00BD1F3C">
        <w:rPr>
          <w:rFonts w:hint="cs"/>
          <w:rtl/>
          <w:lang w:val="fr-CH"/>
        </w:rPr>
        <w:t>عاطي مع</w:t>
      </w:r>
      <w:r w:rsidR="00BD1F3C" w:rsidRPr="005F3F9E">
        <w:rPr>
          <w:rFonts w:hint="cs"/>
          <w:rtl/>
          <w:lang w:val="fr-CH"/>
        </w:rPr>
        <w:t xml:space="preserve"> </w:t>
      </w:r>
      <w:r w:rsidR="00BD1F3C">
        <w:rPr>
          <w:rFonts w:hint="cs"/>
          <w:rtl/>
          <w:lang w:val="fr-CH"/>
        </w:rPr>
        <w:t>ا</w:t>
      </w:r>
      <w:r w:rsidR="00BD1F3C" w:rsidRPr="005F3F9E">
        <w:rPr>
          <w:rFonts w:hint="cs"/>
          <w:rtl/>
          <w:lang w:val="fr-CH"/>
        </w:rPr>
        <w:t>لشكاوى المقدمة ضد الشرطة فيما يتعلق بأفعال سوء المعاملة، والتحقيق في ادعاءات ذات صلة. ومع ذلك،</w:t>
      </w:r>
      <w:r w:rsidR="00BD1F3C">
        <w:rPr>
          <w:rFonts w:hint="cs"/>
          <w:rtl/>
          <w:lang w:val="fr-CH"/>
        </w:rPr>
        <w:t xml:space="preserve"> فإنها</w:t>
      </w:r>
      <w:r w:rsidR="00BD1F3C" w:rsidRPr="005F3F9E">
        <w:rPr>
          <w:rFonts w:hint="cs"/>
          <w:rtl/>
          <w:lang w:val="fr-CH"/>
        </w:rPr>
        <w:t xml:space="preserve"> لا تزال تشعر بالقلق إزاء الادعاءات المتعلقة بانتهاكات الاتفاقية من جانب الموظفين المكلفين بإنفاذ القوانين، بما في ذلك الادعاءات المتعلقة باللجوء إلى العنف بشكل عشوائي ومفرط وإزاء انعدام النزاهة في التحقيقات في هذه الحالات (المادتان 12 و13).</w:t>
      </w:r>
    </w:p>
    <w:p w:rsidR="00BD1F3C" w:rsidRPr="005F3F9E" w:rsidRDefault="00BD1F3C" w:rsidP="00BD1F3C">
      <w:pPr>
        <w:pStyle w:val="SingleTxtGA"/>
        <w:rPr>
          <w:rFonts w:hint="cs"/>
          <w:b/>
          <w:bCs/>
          <w:rtl/>
          <w:lang w:val="fr-CH"/>
        </w:rPr>
      </w:pPr>
      <w:r w:rsidRPr="005F3F9E">
        <w:rPr>
          <w:rFonts w:hint="cs"/>
          <w:b/>
          <w:bCs/>
          <w:rtl/>
          <w:lang w:val="fr-CH"/>
        </w:rPr>
        <w:tab/>
        <w:t xml:space="preserve">ينبغي للدولة الطرف أن ترصد عن كثب فعالية الإجراءات الجديدة المتعلقة بالتحقيق في الانتهاكات التي يُدعى </w:t>
      </w:r>
      <w:r>
        <w:rPr>
          <w:rFonts w:hint="cs"/>
          <w:b/>
          <w:bCs/>
          <w:rtl/>
          <w:lang w:val="fr-CH"/>
        </w:rPr>
        <w:t xml:space="preserve">ارتكابها من جانب </w:t>
      </w:r>
      <w:r w:rsidRPr="005F3F9E">
        <w:rPr>
          <w:rFonts w:hint="cs"/>
          <w:b/>
          <w:bCs/>
          <w:rtl/>
          <w:lang w:val="fr-CH"/>
        </w:rPr>
        <w:t>الموظفين المكلفين بإنفاذ القان</w:t>
      </w:r>
      <w:r>
        <w:rPr>
          <w:rFonts w:hint="cs"/>
          <w:b/>
          <w:bCs/>
          <w:rtl/>
          <w:lang w:val="fr-CH"/>
        </w:rPr>
        <w:t>ون</w:t>
      </w:r>
      <w:r w:rsidRPr="005F3F9E">
        <w:rPr>
          <w:rFonts w:hint="cs"/>
          <w:b/>
          <w:bCs/>
          <w:rtl/>
          <w:lang w:val="fr-CH"/>
        </w:rPr>
        <w:t>، لا</w:t>
      </w:r>
      <w:r>
        <w:rPr>
          <w:rFonts w:hint="eastAsia"/>
          <w:b/>
          <w:bCs/>
          <w:rtl/>
          <w:lang w:val="fr-CH"/>
        </w:rPr>
        <w:t> </w:t>
      </w:r>
      <w:r w:rsidRPr="005F3F9E">
        <w:rPr>
          <w:rFonts w:hint="cs"/>
          <w:b/>
          <w:bCs/>
          <w:rtl/>
          <w:lang w:val="fr-CH"/>
        </w:rPr>
        <w:t>سيما تلك التي تُدعى فيها معاملة تمييزية على أساس الانتماء العرقي. وتطلب اللجنة إلى الدولة الطرف أن تقدم معلومات مفصلة عن نتائج عملية الاستعراض الجاري.</w:t>
      </w:r>
    </w:p>
    <w:p w:rsidR="00BD1F3C" w:rsidRPr="005F3F9E" w:rsidRDefault="00BD1F3C" w:rsidP="00BD1F3C">
      <w:pPr>
        <w:pStyle w:val="H23GA"/>
        <w:rPr>
          <w:rFonts w:hint="cs"/>
          <w:rtl/>
          <w:lang w:val="fr-CH"/>
        </w:rPr>
      </w:pPr>
      <w:r w:rsidRPr="005F3F9E">
        <w:rPr>
          <w:rFonts w:hint="cs"/>
          <w:rtl/>
          <w:lang w:val="fr-CH"/>
        </w:rPr>
        <w:tab/>
      </w:r>
      <w:r w:rsidRPr="005F3F9E">
        <w:rPr>
          <w:rFonts w:hint="cs"/>
          <w:rtl/>
          <w:lang w:val="fr-CH"/>
        </w:rPr>
        <w:tab/>
        <w:t>الأقليات وغيرها من المجموعات المستضعفة</w:t>
      </w:r>
    </w:p>
    <w:p w:rsidR="00BD1F3C" w:rsidRPr="005F3F9E" w:rsidRDefault="002B6DD7" w:rsidP="002B6DD7">
      <w:pPr>
        <w:pStyle w:val="SingleTxtGA"/>
        <w:rPr>
          <w:rFonts w:hint="cs"/>
          <w:rtl/>
          <w:lang w:val="fr-CH"/>
        </w:rPr>
      </w:pPr>
      <w:r>
        <w:rPr>
          <w:rFonts w:hint="cs"/>
          <w:rtl/>
          <w:lang w:val="fr-CH"/>
        </w:rPr>
        <w:t>(</w:t>
      </w:r>
      <w:r w:rsidR="00BD1F3C" w:rsidRPr="005F3F9E">
        <w:rPr>
          <w:rFonts w:hint="cs"/>
          <w:rtl/>
          <w:lang w:val="fr-CH"/>
        </w:rPr>
        <w:t>21</w:t>
      </w:r>
      <w:r>
        <w:rPr>
          <w:rFonts w:hint="cs"/>
          <w:rtl/>
          <w:lang w:val="fr-CH"/>
        </w:rPr>
        <w:t>)</w:t>
      </w:r>
      <w:r w:rsidR="00BD1F3C" w:rsidRPr="005F3F9E">
        <w:rPr>
          <w:rFonts w:hint="cs"/>
          <w:rtl/>
          <w:lang w:val="fr-CH"/>
        </w:rPr>
        <w:tab/>
        <w:t>ت</w:t>
      </w:r>
      <w:r w:rsidR="00BD1F3C">
        <w:rPr>
          <w:rFonts w:hint="cs"/>
          <w:rtl/>
          <w:lang w:val="fr-CH"/>
        </w:rPr>
        <w:t>لاحظ</w:t>
      </w:r>
      <w:r w:rsidR="00BD1F3C" w:rsidRPr="005F3F9E">
        <w:rPr>
          <w:rFonts w:hint="cs"/>
          <w:rtl/>
          <w:lang w:val="fr-CH"/>
        </w:rPr>
        <w:t xml:space="preserve"> اللجنة مع القلق، الادعاءات المتعلقة بحالات سوء المعاملة والمضايقة والتحريض على العنف وخط</w:t>
      </w:r>
      <w:r w:rsidR="00BD1F3C">
        <w:rPr>
          <w:rFonts w:hint="cs"/>
          <w:rtl/>
          <w:lang w:val="fr-CH"/>
        </w:rPr>
        <w:t>ا</w:t>
      </w:r>
      <w:r w:rsidR="00BD1F3C" w:rsidRPr="005F3F9E">
        <w:rPr>
          <w:rFonts w:hint="cs"/>
          <w:rtl/>
          <w:lang w:val="fr-CH"/>
        </w:rPr>
        <w:t>ب</w:t>
      </w:r>
      <w:r w:rsidR="00BD1F3C">
        <w:rPr>
          <w:rFonts w:hint="cs"/>
          <w:rtl/>
          <w:lang w:val="fr-CH"/>
        </w:rPr>
        <w:t>ات</w:t>
      </w:r>
      <w:r w:rsidR="00BD1F3C" w:rsidRPr="005F3F9E">
        <w:rPr>
          <w:rFonts w:hint="cs"/>
          <w:rtl/>
          <w:lang w:val="fr-CH"/>
        </w:rPr>
        <w:t xml:space="preserve"> الكراهية الموجهة ضد الأقليات وغيرها من ال</w:t>
      </w:r>
      <w:r w:rsidR="00BD1F3C">
        <w:rPr>
          <w:rFonts w:hint="cs"/>
          <w:rtl/>
          <w:lang w:val="fr-CH"/>
        </w:rPr>
        <w:t>فئ</w:t>
      </w:r>
      <w:r w:rsidR="00BD1F3C" w:rsidRPr="005F3F9E">
        <w:rPr>
          <w:rFonts w:hint="cs"/>
          <w:rtl/>
          <w:lang w:val="fr-CH"/>
        </w:rPr>
        <w:t>ات المستضعفة في الدولة الطرف، بما في ذلك الأشخاص المنتم</w:t>
      </w:r>
      <w:r w:rsidR="00BD1F3C">
        <w:rPr>
          <w:rFonts w:hint="cs"/>
          <w:rtl/>
          <w:lang w:val="fr-CH"/>
        </w:rPr>
        <w:t>و</w:t>
      </w:r>
      <w:r w:rsidR="00BD1F3C" w:rsidRPr="005F3F9E">
        <w:rPr>
          <w:rFonts w:hint="cs"/>
          <w:rtl/>
          <w:lang w:val="fr-CH"/>
        </w:rPr>
        <w:t>ن ل</w:t>
      </w:r>
      <w:r w:rsidR="00BD1F3C">
        <w:rPr>
          <w:rFonts w:hint="cs"/>
          <w:rtl/>
          <w:lang w:val="fr-CH"/>
        </w:rPr>
        <w:t xml:space="preserve">فئة </w:t>
      </w:r>
      <w:r w:rsidR="00BD1F3C" w:rsidRPr="005F3F9E">
        <w:rPr>
          <w:rFonts w:hint="cs"/>
          <w:rtl/>
          <w:lang w:val="fr-CH"/>
        </w:rPr>
        <w:t>المثليات والمثليين وثنائي الجنس والمتحولين جنسياً (المادة 16).</w:t>
      </w:r>
    </w:p>
    <w:p w:rsidR="00BD1F3C" w:rsidRPr="005F3F9E" w:rsidRDefault="00BD1F3C" w:rsidP="002B6DD7">
      <w:pPr>
        <w:pStyle w:val="SingleTxtGA"/>
        <w:spacing w:line="370" w:lineRule="exact"/>
        <w:rPr>
          <w:rFonts w:hint="cs"/>
          <w:b/>
          <w:bCs/>
          <w:rtl/>
          <w:lang w:val="fr-CH"/>
        </w:rPr>
      </w:pPr>
      <w:r w:rsidRPr="005F3F9E">
        <w:rPr>
          <w:rFonts w:hint="cs"/>
          <w:b/>
          <w:bCs/>
          <w:rtl/>
          <w:lang w:val="fr-CH"/>
        </w:rPr>
        <w:tab/>
        <w:t>تذك</w:t>
      </w:r>
      <w:r>
        <w:rPr>
          <w:rFonts w:hint="cs"/>
          <w:b/>
          <w:bCs/>
          <w:rtl/>
          <w:lang w:val="fr-CH"/>
        </w:rPr>
        <w:t>ّ</w:t>
      </w:r>
      <w:r w:rsidRPr="005F3F9E">
        <w:rPr>
          <w:rFonts w:hint="cs"/>
          <w:b/>
          <w:bCs/>
          <w:rtl/>
          <w:lang w:val="fr-CH"/>
        </w:rPr>
        <w:t>ر اللجنة أنه، في ضوء تعليقها العام رقم 2(2007) بشأن تنفيذ المادة 2، تكون الحماية الخاصة بالأقليات أو الأفراد المهمشين أو ال</w:t>
      </w:r>
      <w:r>
        <w:rPr>
          <w:rFonts w:hint="cs"/>
          <w:b/>
          <w:bCs/>
          <w:rtl/>
          <w:lang w:val="fr-CH"/>
        </w:rPr>
        <w:t xml:space="preserve">فئات </w:t>
      </w:r>
      <w:r w:rsidRPr="005F3F9E">
        <w:rPr>
          <w:rFonts w:hint="cs"/>
          <w:b/>
          <w:bCs/>
          <w:rtl/>
          <w:lang w:val="fr-CH"/>
        </w:rPr>
        <w:t>المهمشة</w:t>
      </w:r>
      <w:r>
        <w:rPr>
          <w:rFonts w:hint="cs"/>
          <w:b/>
          <w:bCs/>
          <w:rtl/>
          <w:lang w:val="fr-CH"/>
        </w:rPr>
        <w:t>،</w:t>
      </w:r>
      <w:r w:rsidRPr="005F3F9E">
        <w:rPr>
          <w:rFonts w:hint="cs"/>
          <w:b/>
          <w:bCs/>
          <w:rtl/>
          <w:lang w:val="fr-CH"/>
        </w:rPr>
        <w:t xml:space="preserve"> لا سيما المعرضة للخطر</w:t>
      </w:r>
      <w:r>
        <w:rPr>
          <w:rFonts w:hint="cs"/>
          <w:b/>
          <w:bCs/>
          <w:rtl/>
          <w:lang w:val="fr-CH"/>
        </w:rPr>
        <w:t>،</w:t>
      </w:r>
      <w:r w:rsidRPr="005F3F9E">
        <w:rPr>
          <w:rFonts w:hint="cs"/>
          <w:b/>
          <w:bCs/>
          <w:rtl/>
          <w:lang w:val="fr-CH"/>
        </w:rPr>
        <w:t xml:space="preserve"> جزء</w:t>
      </w:r>
      <w:r>
        <w:rPr>
          <w:rFonts w:hint="cs"/>
          <w:b/>
          <w:bCs/>
          <w:rtl/>
          <w:lang w:val="fr-CH"/>
        </w:rPr>
        <w:t>ا</w:t>
      </w:r>
      <w:r w:rsidRPr="005F3F9E">
        <w:rPr>
          <w:rFonts w:hint="cs"/>
          <w:b/>
          <w:bCs/>
          <w:rtl/>
          <w:lang w:val="fr-CH"/>
        </w:rPr>
        <w:t>ً من التزام الدولة الطرف بمنع التعذيب أو سوء المعاملة. وفي هذا الصدد، ينبغي للدولة الطرف أن تعزز جهودها للقضاء على أي حالة من حالات العنف وسوء المعاملة التي تتعرض لها ال</w:t>
      </w:r>
      <w:r>
        <w:rPr>
          <w:rFonts w:hint="cs"/>
          <w:b/>
          <w:bCs/>
          <w:rtl/>
          <w:lang w:val="fr-CH"/>
        </w:rPr>
        <w:t>فئ</w:t>
      </w:r>
      <w:r w:rsidRPr="005F3F9E">
        <w:rPr>
          <w:rFonts w:hint="cs"/>
          <w:b/>
          <w:bCs/>
          <w:rtl/>
          <w:lang w:val="fr-CH"/>
        </w:rPr>
        <w:t>ات المستضعفة، بما في ذلك من خلال زيادة حملات التوعية والإعلام لتعزيز التسامح واحترام التنوع. وينبغي للدولة أن تكفل إجراء التحقيق بشكل منتظم وملاحقة ومعاقبة الجناة المزعومين، في حال إثبات الذنب وإدانتهم ومعاقبتهم بعقوبات تتناسب مع خطورة الجريمة.</w:t>
      </w:r>
    </w:p>
    <w:p w:rsidR="00BD1F3C" w:rsidRPr="005F3F9E" w:rsidRDefault="00BD1F3C" w:rsidP="002B6DD7">
      <w:pPr>
        <w:pStyle w:val="H23GA"/>
        <w:spacing w:line="370" w:lineRule="exact"/>
        <w:rPr>
          <w:rFonts w:hint="cs"/>
          <w:rtl/>
          <w:lang w:val="fr-CH"/>
        </w:rPr>
      </w:pPr>
      <w:r w:rsidRPr="005F3F9E">
        <w:rPr>
          <w:rFonts w:hint="cs"/>
          <w:rtl/>
          <w:lang w:val="fr-CH"/>
        </w:rPr>
        <w:tab/>
      </w:r>
      <w:r w:rsidRPr="005F3F9E">
        <w:rPr>
          <w:rFonts w:hint="cs"/>
          <w:rtl/>
          <w:lang w:val="fr-CH"/>
        </w:rPr>
        <w:tab/>
        <w:t>القص</w:t>
      </w:r>
      <w:r>
        <w:rPr>
          <w:rFonts w:hint="cs"/>
          <w:rtl/>
          <w:lang w:val="fr-CH"/>
        </w:rPr>
        <w:t>ّ</w:t>
      </w:r>
      <w:r w:rsidRPr="005F3F9E">
        <w:rPr>
          <w:rFonts w:hint="cs"/>
          <w:rtl/>
          <w:lang w:val="fr-CH"/>
        </w:rPr>
        <w:t>ر المفقود</w:t>
      </w:r>
      <w:r>
        <w:rPr>
          <w:rFonts w:hint="cs"/>
          <w:rtl/>
          <w:lang w:val="fr-CH"/>
        </w:rPr>
        <w:t>و</w:t>
      </w:r>
      <w:r w:rsidRPr="005F3F9E">
        <w:rPr>
          <w:rFonts w:hint="cs"/>
          <w:rtl/>
          <w:lang w:val="fr-CH"/>
        </w:rPr>
        <w:t>ن والاتجار</w:t>
      </w:r>
    </w:p>
    <w:p w:rsidR="00BD1F3C" w:rsidRPr="005F3F9E" w:rsidRDefault="002B6DD7" w:rsidP="002B6DD7">
      <w:pPr>
        <w:pStyle w:val="SingleTxtGA"/>
        <w:spacing w:line="370" w:lineRule="exact"/>
        <w:rPr>
          <w:rFonts w:hint="cs"/>
          <w:rtl/>
          <w:lang w:val="fr-CH"/>
        </w:rPr>
      </w:pPr>
      <w:r>
        <w:rPr>
          <w:rFonts w:hint="cs"/>
          <w:rtl/>
          <w:lang w:val="fr-CH"/>
        </w:rPr>
        <w:t>(</w:t>
      </w:r>
      <w:r w:rsidR="00BD1F3C" w:rsidRPr="005F3F9E">
        <w:rPr>
          <w:rFonts w:hint="cs"/>
          <w:rtl/>
          <w:lang w:val="fr-CH"/>
        </w:rPr>
        <w:t>22</w:t>
      </w:r>
      <w:r>
        <w:rPr>
          <w:rFonts w:hint="cs"/>
          <w:rtl/>
          <w:lang w:val="fr-CH"/>
        </w:rPr>
        <w:t>)</w:t>
      </w:r>
      <w:r w:rsidR="00BD1F3C" w:rsidRPr="005F3F9E">
        <w:rPr>
          <w:rFonts w:hint="cs"/>
          <w:rtl/>
          <w:lang w:val="fr-CH"/>
        </w:rPr>
        <w:tab/>
        <w:t>تلقت اللجنة من منظمات غير حكومية ت</w:t>
      </w:r>
      <w:r w:rsidR="00BD1F3C">
        <w:rPr>
          <w:rFonts w:hint="cs"/>
          <w:rtl/>
          <w:lang w:val="fr-CH"/>
        </w:rPr>
        <w:t>قارير مثيرة للقلق بشأن عدد القصّ</w:t>
      </w:r>
      <w:r w:rsidR="00BD1F3C" w:rsidRPr="005F3F9E">
        <w:rPr>
          <w:rFonts w:hint="cs"/>
          <w:rtl/>
          <w:lang w:val="fr-CH"/>
        </w:rPr>
        <w:t>ر غير المصحوبين الذين لم يعودوا إلى مراكز اللجوء في الدولة الطرف، بما في ذلك 68 طفلاً لا</w:t>
      </w:r>
      <w:r w:rsidR="00BD1F3C">
        <w:rPr>
          <w:rFonts w:hint="eastAsia"/>
          <w:rtl/>
          <w:lang w:val="fr-CH"/>
        </w:rPr>
        <w:t> </w:t>
      </w:r>
      <w:r w:rsidR="00BD1F3C" w:rsidRPr="005F3F9E">
        <w:rPr>
          <w:rFonts w:hint="cs"/>
          <w:rtl/>
          <w:lang w:val="fr-CH"/>
        </w:rPr>
        <w:t xml:space="preserve">يزالون مفقودين من هذه المراكز حتى 31 </w:t>
      </w:r>
      <w:r w:rsidR="00BD1F3C" w:rsidRPr="005F3F9E">
        <w:rPr>
          <w:rFonts w:hint="cs"/>
          <w:sz w:val="30"/>
          <w:rtl/>
          <w:lang w:val="fr-CH"/>
        </w:rPr>
        <w:t xml:space="preserve">آب/أغسطس </w:t>
      </w:r>
      <w:r w:rsidR="00BD1F3C" w:rsidRPr="005F3F9E">
        <w:rPr>
          <w:rFonts w:hint="cs"/>
          <w:rtl/>
          <w:lang w:val="fr-CH"/>
        </w:rPr>
        <w:t xml:space="preserve">2012. ويساور اللجنة القلق أيضاً إزاء النص في لوائح الهجرة (المادة 8-8) </w:t>
      </w:r>
      <w:r w:rsidR="00BD1F3C">
        <w:rPr>
          <w:rFonts w:hint="cs"/>
          <w:rtl/>
          <w:lang w:val="fr-CH"/>
        </w:rPr>
        <w:t>على منح الق</w:t>
      </w:r>
      <w:r w:rsidR="00BD1F3C" w:rsidRPr="005F3F9E">
        <w:rPr>
          <w:rFonts w:hint="cs"/>
          <w:rtl/>
          <w:lang w:val="fr-CH"/>
        </w:rPr>
        <w:t>ص</w:t>
      </w:r>
      <w:r w:rsidR="00BD1F3C">
        <w:rPr>
          <w:rFonts w:hint="cs"/>
          <w:rtl/>
          <w:lang w:val="fr-CH"/>
        </w:rPr>
        <w:t>ّ</w:t>
      </w:r>
      <w:r w:rsidR="00BD1F3C" w:rsidRPr="005F3F9E">
        <w:rPr>
          <w:rFonts w:hint="cs"/>
          <w:rtl/>
          <w:lang w:val="fr-CH"/>
        </w:rPr>
        <w:t xml:space="preserve">ر غير المصحوبين من ملتمسي اللجوء الذين تتراوح أعمارهم بين 16 و18 عاماً ترخيصاً مؤقتاً ينتهي عند بلوغهم سن الثامنة عشرة، لأن ذلك قد يشجع القاصر على مغادرة مراكز اللجوء قبل انتهاء مدة الترخيص. وفضلاً عن ذلك، وعلى الرغم من أن اللجنة ترحب بالتدابير المختلفة لمكافحة الاتجار بالبشر مثل خطة العمل الجديدة لمكافحة الاتجار بالبشر التي شرعت فيها الحكومة في </w:t>
      </w:r>
      <w:r w:rsidR="00BD1F3C" w:rsidRPr="005F3F9E">
        <w:rPr>
          <w:rFonts w:hint="cs"/>
          <w:sz w:val="30"/>
          <w:rtl/>
          <w:lang w:val="fr-CH"/>
        </w:rPr>
        <w:t xml:space="preserve">كانون الأول/ديسمبر </w:t>
      </w:r>
      <w:r w:rsidR="00BD1F3C" w:rsidRPr="005F3F9E">
        <w:rPr>
          <w:rFonts w:hint="cs"/>
          <w:rtl/>
          <w:lang w:val="fr-CH"/>
        </w:rPr>
        <w:t xml:space="preserve">2010، </w:t>
      </w:r>
      <w:r w:rsidR="00BD1F3C">
        <w:rPr>
          <w:rFonts w:hint="cs"/>
          <w:rtl/>
          <w:lang w:val="fr-CH"/>
        </w:rPr>
        <w:t xml:space="preserve">فإنها </w:t>
      </w:r>
      <w:r w:rsidR="00BD1F3C" w:rsidRPr="005F3F9E">
        <w:rPr>
          <w:rFonts w:hint="cs"/>
          <w:rtl/>
          <w:lang w:val="fr-CH"/>
        </w:rPr>
        <w:t>تلاحظ، مع الأسف، أن الاتجار بالأشخاص لا يزال ي</w:t>
      </w:r>
      <w:r w:rsidR="00BD1F3C">
        <w:rPr>
          <w:rFonts w:hint="cs"/>
          <w:rtl/>
          <w:lang w:val="fr-CH"/>
        </w:rPr>
        <w:t>مث</w:t>
      </w:r>
      <w:r w:rsidR="00BD1F3C" w:rsidRPr="005F3F9E">
        <w:rPr>
          <w:rFonts w:hint="cs"/>
          <w:rtl/>
          <w:lang w:val="fr-CH"/>
        </w:rPr>
        <w:t>ل مشكلة في الدولة الطرف ولا سيما فيما يتعلق بالفتيات (المادتان 2 و16).</w:t>
      </w:r>
    </w:p>
    <w:p w:rsidR="00BD1F3C" w:rsidRPr="005F3F9E" w:rsidRDefault="00BD1F3C" w:rsidP="002B6DD7">
      <w:pPr>
        <w:pStyle w:val="SingleTxtGA"/>
        <w:spacing w:line="370" w:lineRule="exact"/>
        <w:rPr>
          <w:rFonts w:hint="cs"/>
          <w:b/>
          <w:bCs/>
          <w:rtl/>
          <w:lang w:val="fr-CH"/>
        </w:rPr>
      </w:pPr>
      <w:r w:rsidRPr="005F3F9E">
        <w:rPr>
          <w:rFonts w:hint="cs"/>
          <w:b/>
          <w:bCs/>
          <w:rtl/>
          <w:lang w:val="fr-CH"/>
        </w:rPr>
        <w:tab/>
        <w:t>ينبغي للدولة الطرف أن تعزز جهودها للحيلولة دون ظه</w:t>
      </w:r>
      <w:r>
        <w:rPr>
          <w:rFonts w:hint="cs"/>
          <w:b/>
          <w:bCs/>
          <w:rtl/>
          <w:lang w:val="fr-CH"/>
        </w:rPr>
        <w:t>و</w:t>
      </w:r>
      <w:r w:rsidRPr="005F3F9E">
        <w:rPr>
          <w:rFonts w:hint="cs"/>
          <w:b/>
          <w:bCs/>
          <w:rtl/>
          <w:lang w:val="fr-CH"/>
        </w:rPr>
        <w:t xml:space="preserve">ر حالات </w:t>
      </w:r>
      <w:r>
        <w:rPr>
          <w:rFonts w:hint="cs"/>
          <w:b/>
          <w:bCs/>
          <w:rtl/>
          <w:lang w:val="fr-CH"/>
        </w:rPr>
        <w:t>يختفي فيها القصّ</w:t>
      </w:r>
      <w:r w:rsidRPr="005F3F9E">
        <w:rPr>
          <w:rFonts w:hint="cs"/>
          <w:b/>
          <w:bCs/>
          <w:rtl/>
          <w:lang w:val="fr-CH"/>
        </w:rPr>
        <w:t xml:space="preserve">ر من مراكز اللجوء </w:t>
      </w:r>
      <w:r>
        <w:rPr>
          <w:rFonts w:hint="cs"/>
          <w:b/>
          <w:bCs/>
          <w:rtl/>
          <w:lang w:val="fr-CH"/>
        </w:rPr>
        <w:t xml:space="preserve">وذلك بتزويد </w:t>
      </w:r>
      <w:r w:rsidRPr="005F3F9E">
        <w:rPr>
          <w:rFonts w:hint="cs"/>
          <w:b/>
          <w:bCs/>
          <w:rtl/>
          <w:lang w:val="fr-CH"/>
        </w:rPr>
        <w:t xml:space="preserve">سلطات الهجرة </w:t>
      </w:r>
      <w:r>
        <w:rPr>
          <w:rFonts w:hint="cs"/>
          <w:b/>
          <w:bCs/>
          <w:rtl/>
          <w:lang w:val="fr-CH"/>
        </w:rPr>
        <w:t xml:space="preserve">بالموارد الكافية </w:t>
      </w:r>
      <w:r w:rsidRPr="005F3F9E">
        <w:rPr>
          <w:rFonts w:hint="cs"/>
          <w:b/>
          <w:bCs/>
          <w:rtl/>
          <w:lang w:val="fr-CH"/>
        </w:rPr>
        <w:t xml:space="preserve">لمنع حالات </w:t>
      </w:r>
      <w:r>
        <w:rPr>
          <w:rFonts w:hint="cs"/>
          <w:b/>
          <w:bCs/>
          <w:rtl/>
          <w:lang w:val="fr-CH"/>
        </w:rPr>
        <w:t>اختفاء القصّ</w:t>
      </w:r>
      <w:r w:rsidRPr="005F3F9E">
        <w:rPr>
          <w:rFonts w:hint="cs"/>
          <w:b/>
          <w:bCs/>
          <w:rtl/>
          <w:lang w:val="fr-CH"/>
        </w:rPr>
        <w:t xml:space="preserve">ر والتحقيق في كل حالة </w:t>
      </w:r>
      <w:r>
        <w:rPr>
          <w:rFonts w:hint="cs"/>
          <w:b/>
          <w:bCs/>
          <w:rtl/>
          <w:lang w:val="fr-CH"/>
        </w:rPr>
        <w:t>اختفاء</w:t>
      </w:r>
      <w:r w:rsidRPr="005F3F9E">
        <w:rPr>
          <w:rFonts w:hint="cs"/>
          <w:b/>
          <w:bCs/>
          <w:rtl/>
          <w:lang w:val="fr-CH"/>
        </w:rPr>
        <w:t>. وينبغي تزويد الشرطة بالمواد الكافية لإجراء التحقيق والملاحقة في حالات الاتجار.</w:t>
      </w:r>
    </w:p>
    <w:p w:rsidR="00BD1F3C" w:rsidRPr="005F3F9E" w:rsidRDefault="00BD1F3C" w:rsidP="002B6DD7">
      <w:pPr>
        <w:pStyle w:val="H23GA"/>
        <w:spacing w:line="370" w:lineRule="exact"/>
        <w:rPr>
          <w:rFonts w:hint="cs"/>
          <w:rtl/>
          <w:lang w:val="fr-CH"/>
        </w:rPr>
      </w:pPr>
      <w:r>
        <w:rPr>
          <w:rFonts w:hint="cs"/>
          <w:rtl/>
          <w:lang w:val="fr-CH"/>
        </w:rPr>
        <w:tab/>
      </w:r>
      <w:r>
        <w:rPr>
          <w:rFonts w:hint="cs"/>
          <w:rtl/>
          <w:lang w:val="fr-CH"/>
        </w:rPr>
        <w:tab/>
        <w:t>احتجاز القصّ</w:t>
      </w:r>
      <w:r w:rsidRPr="005F3F9E">
        <w:rPr>
          <w:rFonts w:hint="cs"/>
          <w:rtl/>
          <w:lang w:val="fr-CH"/>
        </w:rPr>
        <w:t>ر</w:t>
      </w:r>
    </w:p>
    <w:p w:rsidR="00BD1F3C" w:rsidRPr="005F3F9E" w:rsidRDefault="002B6DD7" w:rsidP="002B6DD7">
      <w:pPr>
        <w:pStyle w:val="SingleTxtGA"/>
        <w:spacing w:line="370" w:lineRule="exact"/>
        <w:rPr>
          <w:rFonts w:hint="cs"/>
          <w:rtl/>
          <w:lang w:val="fr-CH"/>
        </w:rPr>
      </w:pPr>
      <w:r>
        <w:rPr>
          <w:rFonts w:hint="cs"/>
          <w:rtl/>
          <w:lang w:val="fr-CH"/>
        </w:rPr>
        <w:t>(</w:t>
      </w:r>
      <w:r w:rsidR="00BD1F3C" w:rsidRPr="005F3F9E">
        <w:rPr>
          <w:rFonts w:hint="cs"/>
          <w:rtl/>
          <w:lang w:val="fr-CH"/>
        </w:rPr>
        <w:t>23</w:t>
      </w:r>
      <w:r>
        <w:rPr>
          <w:rFonts w:hint="cs"/>
          <w:rtl/>
          <w:lang w:val="fr-CH"/>
        </w:rPr>
        <w:t>)</w:t>
      </w:r>
      <w:r w:rsidR="00BD1F3C" w:rsidRPr="005F3F9E">
        <w:rPr>
          <w:rFonts w:hint="cs"/>
          <w:rtl/>
          <w:lang w:val="fr-CH"/>
        </w:rPr>
        <w:tab/>
        <w:t>في</w:t>
      </w:r>
      <w:r w:rsidR="00BD1F3C">
        <w:rPr>
          <w:rFonts w:hint="cs"/>
          <w:rtl/>
          <w:lang w:val="fr-CH"/>
        </w:rPr>
        <w:t xml:space="preserve"> حين </w:t>
      </w:r>
      <w:r w:rsidR="00BD1F3C" w:rsidRPr="005F3F9E">
        <w:rPr>
          <w:rFonts w:hint="cs"/>
          <w:rtl/>
          <w:lang w:val="fr-CH"/>
        </w:rPr>
        <w:t>ترحب اللجنة بمواصلة الدولة الطرف بذل الجهود لإنشاء</w:t>
      </w:r>
      <w:r w:rsidR="00BD1F3C">
        <w:rPr>
          <w:rFonts w:hint="cs"/>
          <w:rtl/>
          <w:lang w:val="fr-CH"/>
        </w:rPr>
        <w:t xml:space="preserve"> وحدتين منفصلتين في السجون لقصّر</w:t>
      </w:r>
      <w:r w:rsidR="00BD1F3C" w:rsidRPr="005F3F9E">
        <w:rPr>
          <w:rFonts w:hint="cs"/>
          <w:rtl/>
          <w:lang w:val="fr-CH"/>
        </w:rPr>
        <w:t xml:space="preserve"> الجانحين، </w:t>
      </w:r>
      <w:r w:rsidR="00BD1F3C">
        <w:rPr>
          <w:rFonts w:hint="cs"/>
          <w:rtl/>
          <w:lang w:val="fr-CH"/>
        </w:rPr>
        <w:t xml:space="preserve">فإنها تلاحظ مع القلق أن الأطفال يحتجزون دائماً مع البالغين رغم انخفاض عددهم في السجون </w:t>
      </w:r>
      <w:r w:rsidR="00BD1F3C" w:rsidRPr="005F3F9E">
        <w:rPr>
          <w:rFonts w:hint="cs"/>
          <w:rtl/>
          <w:lang w:val="fr-CH"/>
        </w:rPr>
        <w:t>(المادتان 11 و16).</w:t>
      </w:r>
    </w:p>
    <w:p w:rsidR="00BD1F3C" w:rsidRPr="005F3F9E" w:rsidRDefault="00BD1F3C" w:rsidP="002B6DD7">
      <w:pPr>
        <w:pStyle w:val="SingleTxtGA"/>
        <w:spacing w:line="370" w:lineRule="exact"/>
        <w:rPr>
          <w:rFonts w:hint="cs"/>
          <w:b/>
          <w:bCs/>
          <w:rtl/>
          <w:lang w:val="fr-CH"/>
        </w:rPr>
      </w:pPr>
      <w:r w:rsidRPr="005F3F9E">
        <w:rPr>
          <w:rFonts w:hint="cs"/>
          <w:b/>
          <w:bCs/>
          <w:rtl/>
          <w:lang w:val="fr-CH"/>
        </w:rPr>
        <w:tab/>
        <w:t xml:space="preserve">ينبغي للدولة الطرف أن تكفل دائماً فصل الأطفال عن البالغين </w:t>
      </w:r>
      <w:r>
        <w:rPr>
          <w:rFonts w:hint="cs"/>
          <w:b/>
          <w:bCs/>
          <w:rtl/>
          <w:lang w:val="fr-CH"/>
        </w:rPr>
        <w:t xml:space="preserve">سواء من كانون رهن </w:t>
      </w:r>
      <w:r w:rsidRPr="005F3F9E">
        <w:rPr>
          <w:rFonts w:hint="cs"/>
          <w:b/>
          <w:bCs/>
          <w:rtl/>
          <w:lang w:val="fr-CH"/>
        </w:rPr>
        <w:t xml:space="preserve">الحبس </w:t>
      </w:r>
      <w:r>
        <w:rPr>
          <w:rFonts w:hint="cs"/>
          <w:b/>
          <w:bCs/>
          <w:rtl/>
          <w:lang w:val="fr-CH"/>
        </w:rPr>
        <w:t>قبل المحاكمة</w:t>
      </w:r>
      <w:r w:rsidRPr="005F3F9E">
        <w:rPr>
          <w:rFonts w:hint="cs"/>
          <w:b/>
          <w:bCs/>
          <w:rtl/>
          <w:lang w:val="fr-CH"/>
        </w:rPr>
        <w:t xml:space="preserve"> أو بعد إدان</w:t>
      </w:r>
      <w:r>
        <w:rPr>
          <w:rFonts w:hint="cs"/>
          <w:b/>
          <w:bCs/>
          <w:rtl/>
          <w:lang w:val="fr-CH"/>
        </w:rPr>
        <w:t>تهم</w:t>
      </w:r>
      <w:r w:rsidRPr="005F3F9E">
        <w:rPr>
          <w:rFonts w:hint="cs"/>
          <w:b/>
          <w:bCs/>
          <w:rtl/>
          <w:lang w:val="fr-CH"/>
        </w:rPr>
        <w:t>، و</w:t>
      </w:r>
      <w:r>
        <w:rPr>
          <w:rFonts w:hint="cs"/>
          <w:b/>
          <w:bCs/>
          <w:rtl/>
          <w:lang w:val="fr-CH"/>
        </w:rPr>
        <w:t>ذلك و</w:t>
      </w:r>
      <w:r w:rsidRPr="005F3F9E">
        <w:rPr>
          <w:rFonts w:hint="cs"/>
          <w:b/>
          <w:bCs/>
          <w:rtl/>
          <w:lang w:val="fr-CH"/>
        </w:rPr>
        <w:t>فقاً للمعايير الدولية، مثل قواعد الأمم المتحدة النموذجية الدنيا لمعاملة السجناء وقواعد الأمم المتحدة النموذجية لإدارة شؤون قضاء الأحداث (قواعد بيجين). وتحث اللجنة الدولة الطرف على إنشاء الوحدة الثانية لاحتجاز الأحداث في أسرع وقت ممكن.</w:t>
      </w:r>
    </w:p>
    <w:p w:rsidR="00BD1F3C" w:rsidRPr="005F3F9E" w:rsidRDefault="00BD1F3C" w:rsidP="00BD1F3C">
      <w:pPr>
        <w:pStyle w:val="H23GA"/>
        <w:rPr>
          <w:rFonts w:hint="cs"/>
          <w:rtl/>
          <w:lang w:val="fr-CH"/>
        </w:rPr>
      </w:pPr>
      <w:r w:rsidRPr="005F3F9E">
        <w:rPr>
          <w:rFonts w:hint="cs"/>
          <w:rtl/>
          <w:lang w:val="fr-CH"/>
        </w:rPr>
        <w:tab/>
      </w:r>
      <w:r w:rsidRPr="005F3F9E">
        <w:rPr>
          <w:rFonts w:hint="cs"/>
          <w:rtl/>
          <w:lang w:val="fr-CH"/>
        </w:rPr>
        <w:tab/>
        <w:t>جمع البيانات</w:t>
      </w:r>
    </w:p>
    <w:p w:rsidR="00BD1F3C" w:rsidRPr="005F3F9E" w:rsidRDefault="002B6DD7" w:rsidP="002B6DD7">
      <w:pPr>
        <w:pStyle w:val="SingleTxtGA"/>
        <w:rPr>
          <w:rFonts w:hint="cs"/>
          <w:rtl/>
          <w:lang w:val="fr-CH"/>
        </w:rPr>
      </w:pPr>
      <w:r>
        <w:rPr>
          <w:rFonts w:hint="cs"/>
          <w:rtl/>
          <w:lang w:val="fr-CH"/>
        </w:rPr>
        <w:t>(</w:t>
      </w:r>
      <w:r w:rsidR="00BD1F3C" w:rsidRPr="005F3F9E">
        <w:rPr>
          <w:rFonts w:hint="cs"/>
          <w:rtl/>
          <w:lang w:val="fr-CH"/>
        </w:rPr>
        <w:t>24</w:t>
      </w:r>
      <w:r>
        <w:rPr>
          <w:rFonts w:hint="cs"/>
          <w:rtl/>
          <w:lang w:val="fr-CH"/>
        </w:rPr>
        <w:t>)</w:t>
      </w:r>
      <w:r w:rsidR="00BD1F3C" w:rsidRPr="005F3F9E">
        <w:rPr>
          <w:rFonts w:hint="cs"/>
          <w:rtl/>
          <w:lang w:val="fr-CH"/>
        </w:rPr>
        <w:tab/>
        <w:t xml:space="preserve">تأسف اللجنة لعدم تقديم بيانات شاملة ومصنفة عن الشكاوى والتحقيقات والملاحقات القضائية والإدانات بشأن حالات التعذيب وسوء المعاملة من جانب الموظفين المكلفين بإنفاذ القوانين وموظفي الأمن والسجون وكذلك عن عدد ملتمسي اللجوء، واللجوء إلى الحبس الانفرادي ومدته وحدوث الاتجار والعنف المنزلي والجنسي بما في ذلك وسائل الانتصاف (المواد 2 و11 </w:t>
      </w:r>
      <w:r w:rsidR="00BD1F3C">
        <w:rPr>
          <w:rFonts w:hint="cs"/>
          <w:rtl/>
          <w:lang w:val="fr-CH"/>
        </w:rPr>
        <w:t xml:space="preserve">و12 </w:t>
      </w:r>
      <w:r w:rsidR="00BD1F3C" w:rsidRPr="005F3F9E">
        <w:rPr>
          <w:rFonts w:hint="cs"/>
          <w:rtl/>
          <w:lang w:val="fr-CH"/>
        </w:rPr>
        <w:t>و13 و14 و16).</w:t>
      </w:r>
    </w:p>
    <w:p w:rsidR="00BD1F3C" w:rsidRPr="002B6DD7" w:rsidRDefault="00BD1F3C" w:rsidP="00BD1F3C">
      <w:pPr>
        <w:pStyle w:val="SingleTxtGA"/>
        <w:rPr>
          <w:rFonts w:ascii="Times New Roman Bold" w:hAnsi="Times New Roman Bold" w:hint="cs"/>
          <w:b/>
          <w:bCs/>
          <w:spacing w:val="-2"/>
          <w:rtl/>
          <w:lang w:val="fr-CH"/>
        </w:rPr>
      </w:pPr>
      <w:r w:rsidRPr="002B6DD7">
        <w:rPr>
          <w:rFonts w:ascii="Times New Roman Bold" w:hAnsi="Times New Roman Bold" w:hint="cs"/>
          <w:b/>
          <w:bCs/>
          <w:spacing w:val="-2"/>
          <w:rtl/>
          <w:lang w:val="fr-CH"/>
        </w:rPr>
        <w:tab/>
        <w:t>ينبغي للدولة الطرف أن تقوم بجمع بيانات إحصائية ذات صلة برصد تنفيذ الاتفاقية على المستوى الوطني، بما في ذلك بيانات عن الشكاوى، والتحقيقات، والملاحقات والإدانات في حالات التعذيب وسوء المعاملة، وعدد ملتمسي اللجوء، واللجوء إلى الحبس الانفرادي، وظهور حالات الاتجار والعنف المنزلي والجنسي، وكذلك بشأن وسائل الانتصاف، بما في ذلك التعويض وخدمات إعادة التأهيل المقدمة إلى الضحايا.</w:t>
      </w:r>
    </w:p>
    <w:p w:rsidR="00BD1F3C" w:rsidRPr="005F3F9E" w:rsidRDefault="00BD1F3C" w:rsidP="00BD1F3C">
      <w:pPr>
        <w:pStyle w:val="SingleTxtGA"/>
        <w:rPr>
          <w:rFonts w:hint="cs"/>
          <w:b/>
          <w:bCs/>
          <w:rtl/>
          <w:lang w:val="fr-CH"/>
        </w:rPr>
      </w:pPr>
      <w:r w:rsidRPr="005F3F9E">
        <w:rPr>
          <w:rFonts w:hint="cs"/>
          <w:b/>
          <w:bCs/>
          <w:rtl/>
          <w:lang w:val="fr-CH"/>
        </w:rPr>
        <w:tab/>
        <w:t>وتلفت اللجنة انتباه الدولة الطرف إلى التعليق العام رقم 3(2012) الذي اعتمدته مؤخراً بشأن المادة 14 من الاتفاقية الذي يبين مضمون ونطاق التزام الدول الأطراف لتوفير الانتصاف الكامل لضحايا التعذيب.</w:t>
      </w:r>
    </w:p>
    <w:p w:rsidR="00BD1F3C" w:rsidRPr="005F3F9E" w:rsidRDefault="002B6DD7" w:rsidP="002B6DD7">
      <w:pPr>
        <w:pStyle w:val="SingleTxtGA"/>
        <w:rPr>
          <w:rFonts w:hint="cs"/>
          <w:rtl/>
          <w:lang w:val="fr-CH"/>
        </w:rPr>
      </w:pPr>
      <w:r>
        <w:rPr>
          <w:rFonts w:hint="cs"/>
          <w:rtl/>
          <w:lang w:val="fr-CH"/>
        </w:rPr>
        <w:t>(</w:t>
      </w:r>
      <w:r w:rsidR="00BD1F3C" w:rsidRPr="005F3F9E">
        <w:rPr>
          <w:rFonts w:hint="cs"/>
          <w:rtl/>
          <w:lang w:val="fr-CH"/>
        </w:rPr>
        <w:t>25</w:t>
      </w:r>
      <w:r>
        <w:rPr>
          <w:rFonts w:hint="cs"/>
          <w:rtl/>
          <w:lang w:val="fr-CH"/>
        </w:rPr>
        <w:t>)</w:t>
      </w:r>
      <w:r w:rsidR="00BD1F3C" w:rsidRPr="005F3F9E">
        <w:rPr>
          <w:rFonts w:hint="cs"/>
          <w:rtl/>
          <w:lang w:val="fr-CH"/>
        </w:rPr>
        <w:tab/>
        <w:t>تحث اللجنة الدولة الطرف على مواصلة جهودها الرامية إلى التصديق على البروتوكول الاختياري الملحق باتفاقية مناهضة التعذيب وغيره من ضروب المعاملة أو العقوبة القاسية واللاإنسانية، في أسرع وقت ممكن.</w:t>
      </w:r>
    </w:p>
    <w:p w:rsidR="00BD1F3C" w:rsidRPr="005F3F9E" w:rsidRDefault="00FB491A" w:rsidP="00FB491A">
      <w:pPr>
        <w:pStyle w:val="SingleTxtGA"/>
        <w:rPr>
          <w:rFonts w:hint="cs"/>
          <w:rtl/>
          <w:lang w:val="fr-CH"/>
        </w:rPr>
      </w:pPr>
      <w:r>
        <w:rPr>
          <w:rFonts w:hint="cs"/>
          <w:rtl/>
          <w:lang w:val="fr-CH"/>
        </w:rPr>
        <w:t>(</w:t>
      </w:r>
      <w:r w:rsidR="00BD1F3C" w:rsidRPr="005F3F9E">
        <w:rPr>
          <w:rFonts w:hint="cs"/>
          <w:rtl/>
          <w:lang w:val="fr-CH"/>
        </w:rPr>
        <w:t>26</w:t>
      </w:r>
      <w:r>
        <w:rPr>
          <w:rFonts w:hint="cs"/>
          <w:rtl/>
          <w:lang w:val="fr-CH"/>
        </w:rPr>
        <w:t>)</w:t>
      </w:r>
      <w:r w:rsidR="00BD1F3C" w:rsidRPr="005F3F9E">
        <w:rPr>
          <w:rFonts w:hint="cs"/>
          <w:rtl/>
          <w:lang w:val="fr-CH"/>
        </w:rPr>
        <w:tab/>
        <w:t>وتدعو اللجنة الدولة الطرف إلى التصديق على المعاهدات الأساسية للأمم المتحدة في مجال حقوق الإنسان التي لم تصبح طرفاً فيها بعد، ولا سيما البروتوكول الاختياري الملحق بالعهد الدولي الخاص بالحقوق الاقتصادية والاجتماعية والثقافية، والاتفاقية الدولية لحماية حقوق جميع العمال المهاجرين وأفراد أسرهم، واتفاقية حقوق الأشخاص ذوي الإعاقة، والبروتوكول الاختياري الملحق باتفاقية حقوق الأشخاص ذوي الإعاقة، والاتفاقية الدولية لحماية جميع الأشخاص من الاختفاء القسري.</w:t>
      </w:r>
    </w:p>
    <w:p w:rsidR="00BD1F3C" w:rsidRPr="005F3F9E" w:rsidRDefault="00FB491A" w:rsidP="00FB491A">
      <w:pPr>
        <w:pStyle w:val="SingleTxtGA"/>
        <w:rPr>
          <w:rFonts w:hint="cs"/>
          <w:rtl/>
          <w:lang w:val="fr-CH"/>
        </w:rPr>
      </w:pPr>
      <w:r>
        <w:rPr>
          <w:rFonts w:hint="cs"/>
          <w:rtl/>
          <w:lang w:val="fr-CH"/>
        </w:rPr>
        <w:t>(</w:t>
      </w:r>
      <w:r w:rsidR="00BD1F3C" w:rsidRPr="005F3F9E">
        <w:rPr>
          <w:rFonts w:hint="cs"/>
          <w:rtl/>
          <w:lang w:val="fr-CH"/>
        </w:rPr>
        <w:t>27</w:t>
      </w:r>
      <w:r>
        <w:rPr>
          <w:rFonts w:hint="cs"/>
          <w:rtl/>
          <w:lang w:val="fr-CH"/>
        </w:rPr>
        <w:t>)</w:t>
      </w:r>
      <w:r w:rsidR="00BD1F3C" w:rsidRPr="005F3F9E">
        <w:rPr>
          <w:rFonts w:hint="cs"/>
          <w:rtl/>
          <w:lang w:val="fr-CH"/>
        </w:rPr>
        <w:tab/>
        <w:t>وترجو اللجنة من الدولة الطرف أن تنشر على نطاق واسع التقرير المقدم إلى اللجنة وملاحظاتها الختامية، باللغات المناسبة، من خلال المواقع الشبكية الرسمية، ووسائل الإعلام والمنظمات غير الحكومية.</w:t>
      </w:r>
    </w:p>
    <w:p w:rsidR="00BD1F3C" w:rsidRPr="005F3F9E" w:rsidRDefault="00FB491A" w:rsidP="00FB491A">
      <w:pPr>
        <w:pStyle w:val="SingleTxtGA"/>
        <w:rPr>
          <w:rFonts w:hint="cs"/>
          <w:rtl/>
          <w:lang w:val="fr-CH"/>
        </w:rPr>
      </w:pPr>
      <w:r>
        <w:rPr>
          <w:rFonts w:hint="cs"/>
          <w:rtl/>
          <w:lang w:val="fr-CH"/>
        </w:rPr>
        <w:t>(</w:t>
      </w:r>
      <w:r w:rsidR="00BD1F3C" w:rsidRPr="005F3F9E">
        <w:rPr>
          <w:rFonts w:hint="cs"/>
          <w:rtl/>
          <w:lang w:val="fr-CH"/>
        </w:rPr>
        <w:t>28</w:t>
      </w:r>
      <w:r>
        <w:rPr>
          <w:rFonts w:hint="cs"/>
          <w:rtl/>
          <w:lang w:val="fr-CH"/>
        </w:rPr>
        <w:t>)</w:t>
      </w:r>
      <w:r w:rsidR="00BD1F3C" w:rsidRPr="005F3F9E">
        <w:rPr>
          <w:rFonts w:hint="cs"/>
          <w:rtl/>
          <w:lang w:val="fr-CH"/>
        </w:rPr>
        <w:tab/>
        <w:t>وترجو اللجنة من الدولة الطرف أن تقدم</w:t>
      </w:r>
      <w:r w:rsidR="00BD1F3C">
        <w:rPr>
          <w:rFonts w:hint="cs"/>
          <w:rtl/>
          <w:lang w:val="fr-CH"/>
        </w:rPr>
        <w:t>،</w:t>
      </w:r>
      <w:r w:rsidR="00BD1F3C" w:rsidRPr="005F3F9E">
        <w:rPr>
          <w:rFonts w:hint="cs"/>
          <w:rtl/>
          <w:lang w:val="fr-CH"/>
        </w:rPr>
        <w:t xml:space="preserve"> في موعد أقصاه 23 </w:t>
      </w:r>
      <w:r w:rsidR="00BD1F3C" w:rsidRPr="005F3F9E">
        <w:rPr>
          <w:rFonts w:hint="cs"/>
          <w:sz w:val="30"/>
          <w:rtl/>
          <w:lang w:val="fr-CH"/>
        </w:rPr>
        <w:t>تشرين الثاني/</w:t>
      </w:r>
      <w:r w:rsidR="00BD1F3C">
        <w:rPr>
          <w:rFonts w:hint="cs"/>
          <w:sz w:val="30"/>
          <w:rtl/>
          <w:lang w:val="fr-CH"/>
        </w:rPr>
        <w:t xml:space="preserve"> </w:t>
      </w:r>
      <w:r w:rsidR="00BD1F3C" w:rsidRPr="005F3F9E">
        <w:rPr>
          <w:rFonts w:hint="cs"/>
          <w:sz w:val="30"/>
          <w:rtl/>
          <w:lang w:val="fr-CH"/>
        </w:rPr>
        <w:t>نوفمبر</w:t>
      </w:r>
      <w:r w:rsidR="00BD1F3C">
        <w:rPr>
          <w:rFonts w:hint="eastAsia"/>
          <w:sz w:val="30"/>
          <w:rtl/>
          <w:lang w:val="fr-CH"/>
        </w:rPr>
        <w:t> </w:t>
      </w:r>
      <w:r w:rsidR="00BD1F3C" w:rsidRPr="005F3F9E">
        <w:rPr>
          <w:rFonts w:hint="cs"/>
          <w:rtl/>
          <w:lang w:val="fr-CH"/>
        </w:rPr>
        <w:t>2013، معلومات عن متابعة الإجراءات المتخذة استجابة لتوصيات اللجنة فيما يتعلق بالحبس الانفرادي، وحبس الأجانب، و</w:t>
      </w:r>
      <w:r w:rsidR="00BD1F3C">
        <w:rPr>
          <w:rFonts w:hint="cs"/>
          <w:rtl/>
          <w:lang w:val="fr-CH"/>
        </w:rPr>
        <w:t>اختفاء القص</w:t>
      </w:r>
      <w:r w:rsidR="00BD1F3C" w:rsidRPr="005F3F9E">
        <w:rPr>
          <w:rFonts w:hint="cs"/>
          <w:rtl/>
          <w:lang w:val="fr-CH"/>
        </w:rPr>
        <w:t>ر، والاتجار، على النحو الوارد في الفقرات 11 و15 و16 و22 أعلاه.</w:t>
      </w:r>
    </w:p>
    <w:p w:rsidR="00BD1F3C" w:rsidRPr="005F3F9E" w:rsidRDefault="002A6884" w:rsidP="002A6884">
      <w:pPr>
        <w:pStyle w:val="SingleTxtGA"/>
        <w:rPr>
          <w:rFonts w:hint="cs"/>
          <w:rtl/>
          <w:lang w:val="fr-CH"/>
        </w:rPr>
      </w:pPr>
      <w:r>
        <w:rPr>
          <w:rFonts w:hint="cs"/>
          <w:rtl/>
          <w:lang w:val="fr-CH"/>
        </w:rPr>
        <w:t>(</w:t>
      </w:r>
      <w:r w:rsidR="00BD1F3C" w:rsidRPr="005F3F9E">
        <w:rPr>
          <w:rFonts w:hint="cs"/>
          <w:rtl/>
          <w:lang w:val="fr-CH"/>
        </w:rPr>
        <w:t>29</w:t>
      </w:r>
      <w:r>
        <w:rPr>
          <w:rFonts w:hint="cs"/>
          <w:rtl/>
          <w:lang w:val="fr-CH"/>
        </w:rPr>
        <w:t>)</w:t>
      </w:r>
      <w:r w:rsidR="00BD1F3C" w:rsidRPr="005F3F9E">
        <w:rPr>
          <w:rFonts w:hint="cs"/>
          <w:rtl/>
          <w:lang w:val="fr-CH"/>
        </w:rPr>
        <w:tab/>
        <w:t xml:space="preserve">وتدعو اللجنة الدولة الطرف إلى تقديم تقريرها الدوري المقبل، الذي سيكون التقرير الدوري الثامن، في موعد أقصاه 23 </w:t>
      </w:r>
      <w:r w:rsidR="00BD1F3C" w:rsidRPr="005F3F9E">
        <w:rPr>
          <w:rFonts w:hint="cs"/>
          <w:sz w:val="30"/>
          <w:rtl/>
          <w:lang w:val="fr-CH"/>
        </w:rPr>
        <w:t xml:space="preserve">تشرين الثاني/نوفمبر </w:t>
      </w:r>
      <w:r w:rsidR="00BD1F3C" w:rsidRPr="005F3F9E">
        <w:rPr>
          <w:rFonts w:hint="cs"/>
          <w:rtl/>
          <w:lang w:val="fr-CH"/>
        </w:rPr>
        <w:t xml:space="preserve">2016. ولهذا الغرض، ستحيل اللجنة إلى الدولة الطرف في الوقت المناسب قائمة </w:t>
      </w:r>
      <w:r w:rsidR="009912C3">
        <w:rPr>
          <w:rFonts w:hint="cs"/>
          <w:rtl/>
          <w:lang w:val="fr-CH"/>
        </w:rPr>
        <w:t>القضايا</w:t>
      </w:r>
      <w:r w:rsidR="009912C3" w:rsidRPr="005F3F9E">
        <w:rPr>
          <w:rFonts w:hint="cs"/>
          <w:rtl/>
          <w:lang w:val="fr-CH"/>
        </w:rPr>
        <w:t xml:space="preserve"> </w:t>
      </w:r>
      <w:r w:rsidR="00BD1F3C" w:rsidRPr="005F3F9E">
        <w:rPr>
          <w:rFonts w:hint="cs"/>
          <w:rtl/>
          <w:lang w:val="fr-CH"/>
        </w:rPr>
        <w:t>قبل تقديم التقرير الدوري، ب</w:t>
      </w:r>
      <w:r w:rsidR="00BD1F3C">
        <w:rPr>
          <w:rFonts w:hint="cs"/>
          <w:rtl/>
          <w:lang w:val="fr-CH"/>
        </w:rPr>
        <w:t xml:space="preserve">ما أن </w:t>
      </w:r>
      <w:r w:rsidR="00BD1F3C" w:rsidRPr="005F3F9E">
        <w:rPr>
          <w:rFonts w:hint="cs"/>
          <w:rtl/>
          <w:lang w:val="fr-CH"/>
        </w:rPr>
        <w:t>الدولة الطرف قبلت الإجراء الاختياري لتقديم التقارير الدورية إلى اللجنة.</w:t>
      </w:r>
    </w:p>
    <w:p w:rsidR="00EE5D7D" w:rsidRPr="002A6884" w:rsidRDefault="003A10A1" w:rsidP="009F2FC3">
      <w:pPr>
        <w:pStyle w:val="SingleTxtGA"/>
        <w:keepNext/>
        <w:keepLines/>
        <w:rPr>
          <w:rFonts w:hint="cs"/>
          <w:b/>
          <w:bCs/>
          <w:rtl/>
        </w:rPr>
      </w:pPr>
      <w:r>
        <w:rPr>
          <w:rFonts w:hint="cs"/>
          <w:rtl/>
        </w:rPr>
        <w:t>62-</w:t>
      </w:r>
      <w:r w:rsidR="002A6884">
        <w:rPr>
          <w:rFonts w:hint="cs"/>
          <w:rtl/>
        </w:rPr>
        <w:tab/>
      </w:r>
      <w:r w:rsidR="00EE5D7D" w:rsidRPr="002A6884">
        <w:rPr>
          <w:rFonts w:hint="cs"/>
          <w:b/>
          <w:bCs/>
          <w:rtl/>
        </w:rPr>
        <w:t>بيرو</w:t>
      </w:r>
    </w:p>
    <w:p w:rsidR="00BD1F3C" w:rsidRDefault="002A6884" w:rsidP="002A6884">
      <w:pPr>
        <w:pStyle w:val="SingleTxtGA"/>
        <w:rPr>
          <w:rFonts w:hint="cs"/>
          <w:rtl/>
          <w:lang w:val="fr-CH"/>
        </w:rPr>
      </w:pPr>
      <w:r>
        <w:rPr>
          <w:rFonts w:hint="cs"/>
          <w:rtl/>
          <w:lang w:val="fr-CH"/>
        </w:rPr>
        <w:t>(</w:t>
      </w:r>
      <w:r w:rsidR="00BD1F3C">
        <w:rPr>
          <w:rFonts w:hint="cs"/>
          <w:rtl/>
          <w:lang w:val="fr-CH"/>
        </w:rPr>
        <w:t>1</w:t>
      </w:r>
      <w:r>
        <w:rPr>
          <w:rFonts w:hint="cs"/>
          <w:rtl/>
          <w:lang w:val="fr-CH"/>
        </w:rPr>
        <w:t>)</w:t>
      </w:r>
      <w:r w:rsidR="00BD1F3C">
        <w:rPr>
          <w:rFonts w:hint="cs"/>
          <w:rtl/>
          <w:lang w:val="fr-CH"/>
        </w:rPr>
        <w:tab/>
        <w:t>نظرت لجنة مناهضة التعذيب في التقرير الجامع للتقريرين الدوريين الخامس والسادس لبيرو، (</w:t>
      </w:r>
      <w:r w:rsidR="00BD1F3C">
        <w:t>CAT/C/PER/6</w:t>
      </w:r>
      <w:r w:rsidR="00BD1F3C">
        <w:rPr>
          <w:rFonts w:hint="cs"/>
          <w:rtl/>
        </w:rPr>
        <w:t xml:space="preserve">) في جلستيها 1096 و1099 المعقودتين يومي 30 و31 </w:t>
      </w:r>
      <w:r w:rsidR="00BD1F3C" w:rsidRPr="008542FC">
        <w:rPr>
          <w:rFonts w:hint="cs"/>
          <w:sz w:val="30"/>
          <w:rtl/>
        </w:rPr>
        <w:t>تشرين</w:t>
      </w:r>
      <w:r w:rsidR="00BD1F3C">
        <w:rPr>
          <w:rFonts w:hint="eastAsia"/>
          <w:sz w:val="30"/>
          <w:rtl/>
        </w:rPr>
        <w:t> </w:t>
      </w:r>
      <w:r w:rsidR="00BD1F3C" w:rsidRPr="008542FC">
        <w:rPr>
          <w:rFonts w:hint="cs"/>
          <w:sz w:val="30"/>
          <w:rtl/>
        </w:rPr>
        <w:t xml:space="preserve">الأول/أكتوبر </w:t>
      </w:r>
      <w:r w:rsidR="00BD1F3C">
        <w:rPr>
          <w:rFonts w:hint="cs"/>
          <w:rtl/>
        </w:rPr>
        <w:t>2012 (</w:t>
      </w:r>
      <w:r w:rsidR="00BD1F3C">
        <w:t>CAT/C/SR.1096</w:t>
      </w:r>
      <w:r w:rsidR="00BD1F3C">
        <w:rPr>
          <w:rFonts w:hint="cs"/>
          <w:rtl/>
        </w:rPr>
        <w:t xml:space="preserve"> و</w:t>
      </w:r>
      <w:r w:rsidR="00BD1F3C">
        <w:t>1099</w:t>
      </w:r>
      <w:r w:rsidR="00BD1F3C">
        <w:rPr>
          <w:rFonts w:hint="cs"/>
          <w:rtl/>
        </w:rPr>
        <w:t>). واعتمدت في جلساتها 1121 و1122 و1123 (</w:t>
      </w:r>
      <w:r w:rsidR="00BD1F3C">
        <w:t>CAT/C/SR.1121</w:t>
      </w:r>
      <w:r w:rsidR="00BD1F3C">
        <w:rPr>
          <w:rFonts w:hint="cs"/>
          <w:rtl/>
        </w:rPr>
        <w:t xml:space="preserve"> و</w:t>
      </w:r>
      <w:r w:rsidR="00BD1F3C">
        <w:rPr>
          <w:lang w:val="fr-CH"/>
        </w:rPr>
        <w:t>1122</w:t>
      </w:r>
      <w:r w:rsidR="00BD1F3C">
        <w:rPr>
          <w:rFonts w:hint="cs"/>
          <w:rtl/>
          <w:lang w:val="fr-CH"/>
        </w:rPr>
        <w:t xml:space="preserve"> و</w:t>
      </w:r>
      <w:r w:rsidR="00BD1F3C">
        <w:rPr>
          <w:lang w:val="fr-CH"/>
        </w:rPr>
        <w:t>1123</w:t>
      </w:r>
      <w:r w:rsidR="00BD1F3C">
        <w:rPr>
          <w:rFonts w:hint="cs"/>
          <w:rtl/>
          <w:lang w:val="fr-CH"/>
        </w:rPr>
        <w:t xml:space="preserve">)، المعقودة يومي 15 و16 </w:t>
      </w:r>
      <w:r w:rsidR="00BD1F3C" w:rsidRPr="008542FC">
        <w:rPr>
          <w:rFonts w:hint="cs"/>
          <w:sz w:val="30"/>
          <w:rtl/>
          <w:lang w:val="fr-CH"/>
        </w:rPr>
        <w:t xml:space="preserve">تشرين الثاني/نوفمبر </w:t>
      </w:r>
      <w:r w:rsidR="00BD1F3C">
        <w:rPr>
          <w:rFonts w:hint="cs"/>
          <w:rtl/>
          <w:lang w:val="fr-CH"/>
        </w:rPr>
        <w:t>2012، الملاحظات الختامية التالية.</w:t>
      </w:r>
    </w:p>
    <w:p w:rsidR="00BD1F3C" w:rsidRPr="002A6884" w:rsidRDefault="009F2FC3" w:rsidP="009F2FC3">
      <w:pPr>
        <w:pStyle w:val="H23GA"/>
        <w:tabs>
          <w:tab w:val="left" w:pos="1926"/>
        </w:tabs>
        <w:rPr>
          <w:rFonts w:hint="cs"/>
          <w:rtl/>
          <w:lang w:val="fr-CH"/>
        </w:rPr>
      </w:pPr>
      <w:r>
        <w:rPr>
          <w:rFonts w:hint="cs"/>
          <w:rtl/>
          <w:lang w:val="fr-CH"/>
        </w:rPr>
        <w:tab/>
      </w:r>
      <w:r>
        <w:rPr>
          <w:rFonts w:hint="cs"/>
          <w:rtl/>
          <w:lang w:val="fr-CH"/>
        </w:rPr>
        <w:tab/>
      </w:r>
      <w:r w:rsidR="00BD1F3C" w:rsidRPr="002A6884">
        <w:rPr>
          <w:rFonts w:hint="cs"/>
          <w:rtl/>
          <w:lang w:val="fr-CH"/>
        </w:rPr>
        <w:t>ألف-</w:t>
      </w:r>
      <w:r w:rsidR="00BD1F3C" w:rsidRPr="002A6884">
        <w:rPr>
          <w:rFonts w:hint="cs"/>
          <w:rtl/>
          <w:lang w:val="fr-CH"/>
        </w:rPr>
        <w:tab/>
        <w:t>مقدمة</w:t>
      </w:r>
    </w:p>
    <w:p w:rsidR="00BD1F3C" w:rsidRDefault="002A6884" w:rsidP="002A6884">
      <w:pPr>
        <w:pStyle w:val="SingleTxtGA"/>
        <w:rPr>
          <w:rFonts w:hint="cs"/>
          <w:rtl/>
        </w:rPr>
      </w:pPr>
      <w:r>
        <w:rPr>
          <w:rFonts w:hint="cs"/>
          <w:rtl/>
          <w:lang w:val="fr-CH"/>
        </w:rPr>
        <w:t>(</w:t>
      </w:r>
      <w:r w:rsidR="00BD1F3C">
        <w:rPr>
          <w:rFonts w:hint="cs"/>
          <w:rtl/>
          <w:lang w:val="fr-CH"/>
        </w:rPr>
        <w:t>2</w:t>
      </w:r>
      <w:r>
        <w:rPr>
          <w:rFonts w:hint="cs"/>
          <w:rtl/>
          <w:lang w:val="fr-CH"/>
        </w:rPr>
        <w:t>)</w:t>
      </w:r>
      <w:r w:rsidR="00BD1F3C">
        <w:rPr>
          <w:rFonts w:hint="cs"/>
          <w:rtl/>
          <w:lang w:val="fr-CH"/>
        </w:rPr>
        <w:tab/>
        <w:t>تعرب اللجنة عن ارتياحها لموافقة الدولة الطرف على الإجراء الاختياري لتقديم التقارير لتقديمها تقريرها الدوري السادس وتضمينه ردوداً مفصلة على قائمة</w:t>
      </w:r>
      <w:r w:rsidR="009912C3">
        <w:rPr>
          <w:rFonts w:hint="cs"/>
          <w:rtl/>
          <w:lang w:val="fr-CH"/>
        </w:rPr>
        <w:t xml:space="preserve"> القضايا</w:t>
      </w:r>
      <w:r w:rsidR="00BD1F3C">
        <w:rPr>
          <w:rFonts w:hint="cs"/>
          <w:rtl/>
          <w:lang w:val="fr-CH"/>
        </w:rPr>
        <w:t xml:space="preserve"> (</w:t>
      </w:r>
      <w:r w:rsidR="00BD1F3C">
        <w:t>CAT/C/PER/Q/6</w:t>
      </w:r>
      <w:r w:rsidR="00BD1F3C">
        <w:rPr>
          <w:rFonts w:hint="cs"/>
          <w:rtl/>
        </w:rPr>
        <w:t xml:space="preserve">)، لأن من شأن ذلك أن يحسن التعاون بين الدولة الطرف واللجنة ويفيد في جعل التركيز ينصب على النظر في التقرير وكذلك على الحوار مع الوفد. </w:t>
      </w:r>
    </w:p>
    <w:p w:rsidR="00BD1F3C" w:rsidRDefault="002A6884" w:rsidP="002A6884">
      <w:pPr>
        <w:pStyle w:val="SingleTxtGA"/>
        <w:rPr>
          <w:rFonts w:hint="cs"/>
          <w:rtl/>
        </w:rPr>
      </w:pPr>
      <w:r>
        <w:rPr>
          <w:rFonts w:hint="cs"/>
          <w:rtl/>
        </w:rPr>
        <w:t>(</w:t>
      </w:r>
      <w:r w:rsidR="00BD1F3C">
        <w:rPr>
          <w:rFonts w:hint="cs"/>
          <w:rtl/>
        </w:rPr>
        <w:t>3</w:t>
      </w:r>
      <w:r>
        <w:rPr>
          <w:rFonts w:hint="cs"/>
          <w:rtl/>
        </w:rPr>
        <w:t>)</w:t>
      </w:r>
      <w:r w:rsidR="00BD1F3C">
        <w:rPr>
          <w:rFonts w:hint="cs"/>
          <w:rtl/>
        </w:rPr>
        <w:tab/>
        <w:t>وتعرب اللجنة عن ارتياحها للحوار المفتوح والبناء مع وفد الدولة الطرف رفيع المستوى وللمعلومات الإضافية المقدمة.</w:t>
      </w:r>
    </w:p>
    <w:p w:rsidR="00BD1F3C" w:rsidRPr="002A6884" w:rsidRDefault="009F2FC3" w:rsidP="009F2FC3">
      <w:pPr>
        <w:pStyle w:val="H23GA"/>
        <w:tabs>
          <w:tab w:val="left" w:pos="1926"/>
        </w:tabs>
        <w:rPr>
          <w:rFonts w:hint="cs"/>
          <w:rtl/>
        </w:rPr>
      </w:pPr>
      <w:r>
        <w:rPr>
          <w:rFonts w:hint="cs"/>
          <w:rtl/>
        </w:rPr>
        <w:tab/>
      </w:r>
      <w:r>
        <w:rPr>
          <w:rFonts w:hint="cs"/>
          <w:rtl/>
        </w:rPr>
        <w:tab/>
      </w:r>
      <w:r w:rsidR="00BD1F3C" w:rsidRPr="002A6884">
        <w:rPr>
          <w:rFonts w:hint="cs"/>
          <w:rtl/>
        </w:rPr>
        <w:t>باء-</w:t>
      </w:r>
      <w:r w:rsidR="00BD1F3C" w:rsidRPr="002A6884">
        <w:rPr>
          <w:rFonts w:hint="cs"/>
          <w:rtl/>
        </w:rPr>
        <w:tab/>
        <w:t>الجوانب الإيجابية</w:t>
      </w:r>
    </w:p>
    <w:p w:rsidR="00BD1F3C" w:rsidRDefault="002A6884" w:rsidP="002A6884">
      <w:pPr>
        <w:pStyle w:val="SingleTxtGA"/>
        <w:rPr>
          <w:rFonts w:hint="cs"/>
          <w:rtl/>
        </w:rPr>
      </w:pPr>
      <w:r>
        <w:rPr>
          <w:rFonts w:hint="cs"/>
          <w:rtl/>
        </w:rPr>
        <w:t>(</w:t>
      </w:r>
      <w:r w:rsidR="00BD1F3C">
        <w:rPr>
          <w:rFonts w:hint="cs"/>
          <w:rtl/>
        </w:rPr>
        <w:t>4</w:t>
      </w:r>
      <w:r>
        <w:rPr>
          <w:rFonts w:hint="cs"/>
          <w:rtl/>
        </w:rPr>
        <w:t>)</w:t>
      </w:r>
      <w:r w:rsidR="00BD1F3C">
        <w:rPr>
          <w:rFonts w:hint="cs"/>
          <w:rtl/>
        </w:rPr>
        <w:tab/>
        <w:t>ترحب اللجنة بتصديق الدولة الطرف على الصكوك الدولية التالية أو</w:t>
      </w:r>
      <w:r w:rsidR="00BD1F3C">
        <w:rPr>
          <w:rtl/>
        </w:rPr>
        <w:t> </w:t>
      </w:r>
      <w:r w:rsidR="00BD1F3C">
        <w:rPr>
          <w:rFonts w:hint="cs"/>
          <w:rtl/>
        </w:rPr>
        <w:t>انضمامها إليها، منذ النظر في تقريرها الدوري الرابع:</w:t>
      </w:r>
    </w:p>
    <w:p w:rsidR="00BD1F3C" w:rsidRDefault="00BD1F3C" w:rsidP="00BD1F3C">
      <w:pPr>
        <w:pStyle w:val="SingleTxtGA"/>
        <w:rPr>
          <w:rFonts w:hint="cs"/>
          <w:rtl/>
        </w:rPr>
      </w:pPr>
      <w:r>
        <w:rPr>
          <w:rFonts w:hint="cs"/>
          <w:rtl/>
        </w:rPr>
        <w:tab/>
        <w:t>(أ)</w:t>
      </w:r>
      <w:r>
        <w:rPr>
          <w:rFonts w:hint="cs"/>
          <w:rtl/>
        </w:rPr>
        <w:tab/>
        <w:t>البروتوكول الاختياري لاتفاقية مناهضة التعذيب وغيره من ضروب المعاملة أو</w:t>
      </w:r>
      <w:r>
        <w:rPr>
          <w:rtl/>
        </w:rPr>
        <w:t> </w:t>
      </w:r>
      <w:r>
        <w:rPr>
          <w:rFonts w:hint="cs"/>
          <w:rtl/>
        </w:rPr>
        <w:t>العقوبة القاسية أو</w:t>
      </w:r>
      <w:r>
        <w:rPr>
          <w:rtl/>
        </w:rPr>
        <w:t> </w:t>
      </w:r>
      <w:r>
        <w:rPr>
          <w:rFonts w:hint="cs"/>
          <w:rtl/>
        </w:rPr>
        <w:t>اللاإنسانية أو</w:t>
      </w:r>
      <w:r>
        <w:rPr>
          <w:rtl/>
        </w:rPr>
        <w:t> </w:t>
      </w:r>
      <w:r>
        <w:rPr>
          <w:rFonts w:hint="cs"/>
          <w:rtl/>
        </w:rPr>
        <w:t xml:space="preserve">المهينة، في 14 </w:t>
      </w:r>
      <w:r w:rsidRPr="008542FC">
        <w:rPr>
          <w:rFonts w:hint="cs"/>
          <w:sz w:val="30"/>
          <w:rtl/>
        </w:rPr>
        <w:t xml:space="preserve">أيلول/سبتمبر </w:t>
      </w:r>
      <w:r>
        <w:rPr>
          <w:rFonts w:hint="cs"/>
          <w:rtl/>
        </w:rPr>
        <w:t>2006؛</w:t>
      </w:r>
    </w:p>
    <w:p w:rsidR="00BD1F3C" w:rsidRDefault="00BD1F3C" w:rsidP="00BD1F3C">
      <w:pPr>
        <w:pStyle w:val="SingleTxtGA"/>
        <w:rPr>
          <w:rFonts w:hint="cs"/>
          <w:rtl/>
        </w:rPr>
      </w:pPr>
      <w:r>
        <w:rPr>
          <w:rFonts w:hint="cs"/>
          <w:rtl/>
        </w:rPr>
        <w:tab/>
        <w:t>(ب)</w:t>
      </w:r>
      <w:r>
        <w:rPr>
          <w:rFonts w:hint="cs"/>
          <w:rtl/>
        </w:rPr>
        <w:tab/>
        <w:t xml:space="preserve">اتفاقية حقوق الأشخاص ذوي الإعاقة، في 30 </w:t>
      </w:r>
      <w:r w:rsidRPr="008542FC">
        <w:rPr>
          <w:rFonts w:hint="cs"/>
          <w:sz w:val="30"/>
          <w:rtl/>
        </w:rPr>
        <w:t xml:space="preserve">كانون الثاني/يناير </w:t>
      </w:r>
      <w:r>
        <w:rPr>
          <w:rFonts w:hint="cs"/>
          <w:rtl/>
        </w:rPr>
        <w:t>2008؛</w:t>
      </w:r>
    </w:p>
    <w:p w:rsidR="00BD1F3C" w:rsidRDefault="00BD1F3C" w:rsidP="00BD1F3C">
      <w:pPr>
        <w:pStyle w:val="SingleTxtGA"/>
        <w:rPr>
          <w:rFonts w:hint="cs"/>
          <w:rtl/>
        </w:rPr>
      </w:pPr>
      <w:r>
        <w:rPr>
          <w:rFonts w:hint="cs"/>
          <w:rtl/>
        </w:rPr>
        <w:tab/>
        <w:t>(ج)</w:t>
      </w:r>
      <w:r>
        <w:rPr>
          <w:rFonts w:hint="cs"/>
          <w:rtl/>
        </w:rPr>
        <w:tab/>
        <w:t xml:space="preserve">البروتوكول الاختياري لاتفاقية حقوق الأشخاص ذوي الإعاقة، في 30 </w:t>
      </w:r>
      <w:r w:rsidRPr="008542FC">
        <w:rPr>
          <w:rFonts w:hint="cs"/>
          <w:sz w:val="30"/>
          <w:rtl/>
        </w:rPr>
        <w:t xml:space="preserve">كانون الثاني/يناير </w:t>
      </w:r>
      <w:r>
        <w:rPr>
          <w:rFonts w:hint="cs"/>
          <w:rtl/>
        </w:rPr>
        <w:t>2008؛</w:t>
      </w:r>
    </w:p>
    <w:p w:rsidR="00BD1F3C" w:rsidRDefault="00BD1F3C" w:rsidP="00BD1F3C">
      <w:pPr>
        <w:pStyle w:val="SingleTxtGA"/>
        <w:rPr>
          <w:rFonts w:hint="cs"/>
          <w:rtl/>
        </w:rPr>
      </w:pPr>
      <w:r>
        <w:rPr>
          <w:rFonts w:hint="cs"/>
          <w:rtl/>
        </w:rPr>
        <w:tab/>
        <w:t>(د)</w:t>
      </w:r>
      <w:r>
        <w:rPr>
          <w:rFonts w:hint="cs"/>
          <w:rtl/>
        </w:rPr>
        <w:tab/>
        <w:t xml:space="preserve">الاتفاقية الدولية لحماية جميع الأشخاص من الاختفاء القسري، في 26 </w:t>
      </w:r>
      <w:r w:rsidRPr="008542FC">
        <w:rPr>
          <w:rFonts w:hint="cs"/>
          <w:sz w:val="30"/>
          <w:rtl/>
        </w:rPr>
        <w:t xml:space="preserve">أيلول/سبتمبر </w:t>
      </w:r>
      <w:r>
        <w:rPr>
          <w:rFonts w:hint="cs"/>
          <w:rtl/>
        </w:rPr>
        <w:t xml:space="preserve">2012. </w:t>
      </w:r>
    </w:p>
    <w:p w:rsidR="00BD1F3C" w:rsidRDefault="002A6884" w:rsidP="002A6884">
      <w:pPr>
        <w:pStyle w:val="SingleTxtGA"/>
        <w:rPr>
          <w:rFonts w:hint="cs"/>
          <w:rtl/>
        </w:rPr>
      </w:pPr>
      <w:r>
        <w:rPr>
          <w:rFonts w:hint="cs"/>
          <w:rtl/>
        </w:rPr>
        <w:t>(</w:t>
      </w:r>
      <w:r w:rsidR="00BD1F3C">
        <w:rPr>
          <w:rFonts w:hint="cs"/>
          <w:rtl/>
        </w:rPr>
        <w:t>5</w:t>
      </w:r>
      <w:r>
        <w:rPr>
          <w:rFonts w:hint="cs"/>
          <w:rtl/>
        </w:rPr>
        <w:t>)</w:t>
      </w:r>
      <w:r w:rsidR="00BD1F3C">
        <w:rPr>
          <w:rFonts w:hint="cs"/>
          <w:rtl/>
        </w:rPr>
        <w:tab/>
        <w:t>وترحب اللجنة بالجهود التي تبذلها الدولة الطرف لمراجعة تشريعاتها في مجالات ذات صلة بالاتفاقية، بما</w:t>
      </w:r>
      <w:r w:rsidR="00BD1F3C">
        <w:rPr>
          <w:rtl/>
        </w:rPr>
        <w:t> </w:t>
      </w:r>
      <w:r w:rsidR="00BD1F3C">
        <w:rPr>
          <w:rFonts w:hint="cs"/>
          <w:rtl/>
        </w:rPr>
        <w:t xml:space="preserve">في ذلك: </w:t>
      </w:r>
    </w:p>
    <w:p w:rsidR="00BD1F3C" w:rsidRDefault="00BD1F3C" w:rsidP="00BD1F3C">
      <w:pPr>
        <w:pStyle w:val="SingleTxtGA"/>
        <w:rPr>
          <w:rFonts w:hint="cs"/>
          <w:rtl/>
        </w:rPr>
      </w:pPr>
      <w:r>
        <w:rPr>
          <w:rFonts w:hint="cs"/>
          <w:rtl/>
        </w:rPr>
        <w:tab/>
        <w:t>(أ)</w:t>
      </w:r>
      <w:r>
        <w:rPr>
          <w:rFonts w:hint="cs"/>
          <w:rtl/>
        </w:rPr>
        <w:tab/>
        <w:t xml:space="preserve">دخول القانون الجديد للإجراءات الجنائية المعتمد بموجب المرسوم التشريعي رقم 957 الصادر في </w:t>
      </w:r>
      <w:r w:rsidRPr="008542FC">
        <w:rPr>
          <w:rFonts w:hint="cs"/>
          <w:sz w:val="30"/>
          <w:rtl/>
        </w:rPr>
        <w:t xml:space="preserve">تموز/يوليه </w:t>
      </w:r>
      <w:r>
        <w:rPr>
          <w:rFonts w:hint="cs"/>
          <w:rtl/>
        </w:rPr>
        <w:t xml:space="preserve">2004 حيز النفاذ في </w:t>
      </w:r>
      <w:r w:rsidRPr="008542FC">
        <w:rPr>
          <w:rFonts w:hint="cs"/>
          <w:sz w:val="30"/>
          <w:rtl/>
        </w:rPr>
        <w:t xml:space="preserve">تموز/يوليه </w:t>
      </w:r>
      <w:r>
        <w:rPr>
          <w:rFonts w:hint="cs"/>
          <w:rtl/>
        </w:rPr>
        <w:t>2006؛</w:t>
      </w:r>
    </w:p>
    <w:p w:rsidR="00BD1F3C" w:rsidRDefault="00BD1F3C" w:rsidP="00BD1F3C">
      <w:pPr>
        <w:pStyle w:val="SingleTxtGA"/>
        <w:rPr>
          <w:rFonts w:hint="cs"/>
          <w:rtl/>
        </w:rPr>
      </w:pPr>
      <w:r>
        <w:rPr>
          <w:rFonts w:hint="cs"/>
          <w:rtl/>
        </w:rPr>
        <w:tab/>
        <w:t>(ب)</w:t>
      </w:r>
      <w:r>
        <w:rPr>
          <w:rFonts w:hint="cs"/>
          <w:rtl/>
        </w:rPr>
        <w:tab/>
        <w:t xml:space="preserve">الموافقة، بموجب القانون رقم 592 28، على خطة شاملة للتعويضات، في </w:t>
      </w:r>
      <w:r w:rsidRPr="008542FC">
        <w:rPr>
          <w:rFonts w:hint="cs"/>
          <w:sz w:val="30"/>
          <w:rtl/>
        </w:rPr>
        <w:t xml:space="preserve">تموز/يوليه </w:t>
      </w:r>
      <w:r>
        <w:rPr>
          <w:rFonts w:hint="cs"/>
          <w:rtl/>
        </w:rPr>
        <w:t>2005؛</w:t>
      </w:r>
    </w:p>
    <w:p w:rsidR="00BD1F3C" w:rsidRDefault="00BD1F3C" w:rsidP="00BD1F3C">
      <w:pPr>
        <w:pStyle w:val="SingleTxtGA"/>
        <w:rPr>
          <w:rFonts w:hint="cs"/>
          <w:rtl/>
        </w:rPr>
      </w:pPr>
      <w:r>
        <w:rPr>
          <w:rFonts w:hint="cs"/>
          <w:rtl/>
        </w:rPr>
        <w:tab/>
        <w:t>(ج)</w:t>
      </w:r>
      <w:r>
        <w:rPr>
          <w:rFonts w:hint="cs"/>
          <w:rtl/>
        </w:rPr>
        <w:tab/>
        <w:t>إدراج جريمة قتل الإناث في المادة 107 من القانون الجنائي؛</w:t>
      </w:r>
    </w:p>
    <w:p w:rsidR="00BD1F3C" w:rsidRDefault="00BD1F3C" w:rsidP="00BD1F3C">
      <w:pPr>
        <w:pStyle w:val="SingleTxtGA"/>
        <w:rPr>
          <w:rFonts w:hint="cs"/>
          <w:rtl/>
        </w:rPr>
      </w:pPr>
      <w:r>
        <w:rPr>
          <w:rFonts w:hint="cs"/>
          <w:rtl/>
        </w:rPr>
        <w:tab/>
        <w:t>(د)</w:t>
      </w:r>
      <w:r>
        <w:rPr>
          <w:rFonts w:hint="cs"/>
          <w:rtl/>
        </w:rPr>
        <w:tab/>
        <w:t xml:space="preserve">إلغاء المرسوم التشريعي رقم 1097، في 15 </w:t>
      </w:r>
      <w:r w:rsidRPr="008542FC">
        <w:rPr>
          <w:rFonts w:hint="cs"/>
          <w:sz w:val="30"/>
          <w:rtl/>
        </w:rPr>
        <w:t xml:space="preserve">أيلول/سبتمبر </w:t>
      </w:r>
      <w:r>
        <w:rPr>
          <w:rFonts w:hint="cs"/>
          <w:rtl/>
        </w:rPr>
        <w:t>2010، الذي ينص على تطبيق اتفاقية عدم تقادم جرائم الحرب والجرائم المرتكبة ضد الإنسانية، ابتداءً من</w:t>
      </w:r>
      <w:r>
        <w:rPr>
          <w:rFonts w:hint="eastAsia"/>
          <w:rtl/>
        </w:rPr>
        <w:t> </w:t>
      </w:r>
      <w:r>
        <w:rPr>
          <w:rFonts w:hint="cs"/>
          <w:rtl/>
        </w:rPr>
        <w:t xml:space="preserve">9 </w:t>
      </w:r>
      <w:r w:rsidRPr="00A3134E">
        <w:rPr>
          <w:rFonts w:hint="cs"/>
          <w:sz w:val="30"/>
          <w:rtl/>
        </w:rPr>
        <w:t xml:space="preserve">تشرين الثاني/نوفمبر </w:t>
      </w:r>
      <w:r>
        <w:rPr>
          <w:rFonts w:hint="cs"/>
          <w:rtl/>
        </w:rPr>
        <w:t>2003؛</w:t>
      </w:r>
    </w:p>
    <w:p w:rsidR="00BD1F3C" w:rsidRDefault="00BD1F3C" w:rsidP="00BD1F3C">
      <w:pPr>
        <w:pStyle w:val="SingleTxtGA"/>
        <w:rPr>
          <w:rFonts w:hint="cs"/>
          <w:rtl/>
        </w:rPr>
      </w:pPr>
      <w:r>
        <w:rPr>
          <w:rFonts w:hint="cs"/>
          <w:rtl/>
        </w:rPr>
        <w:tab/>
        <w:t>(</w:t>
      </w:r>
      <w:r w:rsidRPr="00A3134E">
        <w:rPr>
          <w:rFonts w:hint="cs"/>
          <w:sz w:val="30"/>
          <w:rtl/>
        </w:rPr>
        <w:t>ﻫ</w:t>
      </w:r>
      <w:r>
        <w:rPr>
          <w:rFonts w:hint="cs"/>
          <w:rtl/>
        </w:rPr>
        <w:t>)</w:t>
      </w:r>
      <w:r>
        <w:rPr>
          <w:rFonts w:hint="cs"/>
          <w:rtl/>
        </w:rPr>
        <w:tab/>
        <w:t xml:space="preserve">اعتماد قانون اللاجئين رقم 891 27، في 20 </w:t>
      </w:r>
      <w:r w:rsidRPr="00A3134E">
        <w:rPr>
          <w:rFonts w:hint="cs"/>
          <w:sz w:val="30"/>
          <w:rtl/>
        </w:rPr>
        <w:t>كانون الأول/</w:t>
      </w:r>
      <w:r>
        <w:rPr>
          <w:rFonts w:hint="cs"/>
          <w:sz w:val="30"/>
          <w:rtl/>
        </w:rPr>
        <w:t xml:space="preserve"> </w:t>
      </w:r>
      <w:r w:rsidRPr="00A3134E">
        <w:rPr>
          <w:rFonts w:hint="cs"/>
          <w:sz w:val="30"/>
          <w:rtl/>
        </w:rPr>
        <w:t>ديسمبر</w:t>
      </w:r>
      <w:r>
        <w:rPr>
          <w:rFonts w:hint="eastAsia"/>
          <w:rtl/>
        </w:rPr>
        <w:t> </w:t>
      </w:r>
      <w:r>
        <w:rPr>
          <w:rFonts w:hint="cs"/>
          <w:rtl/>
        </w:rPr>
        <w:t>2002.</w:t>
      </w:r>
    </w:p>
    <w:p w:rsidR="00BD1F3C" w:rsidRDefault="002A6884" w:rsidP="002A6884">
      <w:pPr>
        <w:pStyle w:val="SingleTxtGA"/>
        <w:rPr>
          <w:rFonts w:hint="cs"/>
          <w:rtl/>
        </w:rPr>
      </w:pPr>
      <w:r>
        <w:rPr>
          <w:rFonts w:hint="cs"/>
          <w:rtl/>
        </w:rPr>
        <w:t>(</w:t>
      </w:r>
      <w:r w:rsidR="00BD1F3C">
        <w:rPr>
          <w:rFonts w:hint="cs"/>
          <w:rtl/>
        </w:rPr>
        <w:t>6</w:t>
      </w:r>
      <w:r>
        <w:rPr>
          <w:rFonts w:hint="cs"/>
          <w:rtl/>
        </w:rPr>
        <w:t>)</w:t>
      </w:r>
      <w:r w:rsidR="00BD1F3C">
        <w:rPr>
          <w:rFonts w:hint="cs"/>
          <w:rtl/>
        </w:rPr>
        <w:tab/>
        <w:t>وترحب اللجنة أيضاً بجهود الدولة الطرف الرامية إلى تعديل سياساتها وبرامجها وتدابيرها الإدارية بغية تنفيذ الاتفاقية، بما</w:t>
      </w:r>
      <w:r w:rsidR="00BD1F3C">
        <w:rPr>
          <w:rtl/>
        </w:rPr>
        <w:t> </w:t>
      </w:r>
      <w:r w:rsidR="00BD1F3C">
        <w:rPr>
          <w:rFonts w:hint="cs"/>
          <w:rtl/>
        </w:rPr>
        <w:t xml:space="preserve">في ذلك: </w:t>
      </w:r>
    </w:p>
    <w:p w:rsidR="00BD1F3C" w:rsidRDefault="00BD1F3C" w:rsidP="00BD1F3C">
      <w:pPr>
        <w:pStyle w:val="SingleTxtGA"/>
        <w:rPr>
          <w:rFonts w:hint="cs"/>
          <w:rtl/>
        </w:rPr>
      </w:pPr>
      <w:r>
        <w:rPr>
          <w:rFonts w:hint="cs"/>
          <w:rtl/>
        </w:rPr>
        <w:tab/>
        <w:t>(أ)</w:t>
      </w:r>
      <w:r>
        <w:rPr>
          <w:rFonts w:hint="cs"/>
          <w:rtl/>
        </w:rPr>
        <w:tab/>
        <w:t>إنشاء نظام فرعي للقضاء المتخصص في إطار مكتب الادعاء العام والهيئة القضائية بهدف ملاحقة انتهاكات حقوق الإنسان التي ارتكبت أثناء النزاع الداخلي المسلح؛</w:t>
      </w:r>
    </w:p>
    <w:p w:rsidR="00BD1F3C" w:rsidRDefault="00BD1F3C" w:rsidP="00BD1F3C">
      <w:pPr>
        <w:pStyle w:val="SingleTxtGA"/>
        <w:rPr>
          <w:rFonts w:hint="cs"/>
          <w:rtl/>
        </w:rPr>
      </w:pPr>
      <w:r>
        <w:rPr>
          <w:rFonts w:hint="cs"/>
          <w:rtl/>
        </w:rPr>
        <w:tab/>
        <w:t>(ب)</w:t>
      </w:r>
      <w:r>
        <w:rPr>
          <w:rFonts w:hint="cs"/>
          <w:rtl/>
        </w:rPr>
        <w:tab/>
        <w:t>إنشاء سجل مركزي للضحايا، في عام</w:t>
      </w:r>
      <w:r>
        <w:rPr>
          <w:rtl/>
        </w:rPr>
        <w:t> </w:t>
      </w:r>
      <w:r>
        <w:rPr>
          <w:rFonts w:hint="cs"/>
          <w:rtl/>
        </w:rPr>
        <w:t>2006، يكون مجلس التعويضات مسؤولاً عنه؛</w:t>
      </w:r>
    </w:p>
    <w:p w:rsidR="00BD1F3C" w:rsidRDefault="00BD1F3C" w:rsidP="00BD1F3C">
      <w:pPr>
        <w:pStyle w:val="SingleTxtGA"/>
        <w:rPr>
          <w:rFonts w:hint="cs"/>
          <w:rtl/>
        </w:rPr>
      </w:pPr>
      <w:r>
        <w:rPr>
          <w:rFonts w:hint="cs"/>
          <w:rtl/>
        </w:rPr>
        <w:tab/>
        <w:t>(ج)</w:t>
      </w:r>
      <w:r>
        <w:rPr>
          <w:rFonts w:hint="cs"/>
          <w:rtl/>
        </w:rPr>
        <w:tab/>
        <w:t>اعتماد الخطة الوطنية للصحة العقلية والخطة الوطنية المنسقة للصحة للفترة</w:t>
      </w:r>
      <w:r>
        <w:rPr>
          <w:rFonts w:hint="eastAsia"/>
          <w:rtl/>
        </w:rPr>
        <w:t> </w:t>
      </w:r>
      <w:r>
        <w:rPr>
          <w:rFonts w:hint="cs"/>
          <w:rtl/>
        </w:rPr>
        <w:t>2007-2020، والأهمية التي تولى بمقتضى ذلك لضحايا العنف السياسي على سبيل</w:t>
      </w:r>
      <w:r>
        <w:rPr>
          <w:rFonts w:hint="eastAsia"/>
          <w:rtl/>
        </w:rPr>
        <w:t> </w:t>
      </w:r>
      <w:r>
        <w:rPr>
          <w:rFonts w:hint="cs"/>
          <w:rtl/>
        </w:rPr>
        <w:t>الأولوية؛</w:t>
      </w:r>
    </w:p>
    <w:p w:rsidR="00BD1F3C" w:rsidRDefault="00BD1F3C" w:rsidP="00BD1F3C">
      <w:pPr>
        <w:pStyle w:val="SingleTxtGA"/>
        <w:rPr>
          <w:rFonts w:hint="cs"/>
          <w:rtl/>
        </w:rPr>
      </w:pPr>
      <w:r>
        <w:rPr>
          <w:rFonts w:hint="cs"/>
          <w:rtl/>
        </w:rPr>
        <w:tab/>
        <w:t>(د)</w:t>
      </w:r>
      <w:r>
        <w:rPr>
          <w:rFonts w:hint="cs"/>
          <w:rtl/>
        </w:rPr>
        <w:tab/>
        <w:t xml:space="preserve">إنشاء لجنة تقنية متعددة القطاعات في </w:t>
      </w:r>
      <w:r w:rsidRPr="00A3134E">
        <w:rPr>
          <w:rFonts w:hint="cs"/>
          <w:sz w:val="30"/>
          <w:rtl/>
        </w:rPr>
        <w:t xml:space="preserve">تشرين الأول/أكتوبر </w:t>
      </w:r>
      <w:r>
        <w:rPr>
          <w:rFonts w:hint="cs"/>
          <w:rtl/>
        </w:rPr>
        <w:t>2010 لصياغة مبادئ توجيهية ومنهجيات لتحديد المبالغ والإجراءات والشروط المتعلقة بالمدفوعات المقدمة في إطار برنامج التعويضات الاقتصادية؛</w:t>
      </w:r>
    </w:p>
    <w:p w:rsidR="00BD1F3C" w:rsidRDefault="00BD1F3C" w:rsidP="00BD1F3C">
      <w:pPr>
        <w:pStyle w:val="SingleTxtGA"/>
        <w:rPr>
          <w:rFonts w:hint="cs"/>
          <w:rtl/>
        </w:rPr>
      </w:pPr>
      <w:r>
        <w:rPr>
          <w:rFonts w:hint="cs"/>
          <w:rtl/>
        </w:rPr>
        <w:tab/>
        <w:t>(</w:t>
      </w:r>
      <w:r w:rsidRPr="00A3134E">
        <w:rPr>
          <w:rFonts w:hint="cs"/>
          <w:sz w:val="30"/>
          <w:rtl/>
        </w:rPr>
        <w:t>ﻫ</w:t>
      </w:r>
      <w:r>
        <w:rPr>
          <w:rFonts w:hint="cs"/>
          <w:rtl/>
        </w:rPr>
        <w:t>)</w:t>
      </w:r>
      <w:r>
        <w:rPr>
          <w:rFonts w:hint="cs"/>
          <w:rtl/>
        </w:rPr>
        <w:tab/>
        <w:t>استحداث منصب نائب وزير لحقوق الإنسان وتيسير اللجوء إلى العدالة ضمن وزارة العدل، في 7 كانون الأول/ديسمبر 2011؛</w:t>
      </w:r>
    </w:p>
    <w:p w:rsidR="00BD1F3C" w:rsidRDefault="00BD1F3C" w:rsidP="00BD1F3C">
      <w:pPr>
        <w:pStyle w:val="SingleTxtGA"/>
        <w:rPr>
          <w:rFonts w:hint="cs"/>
          <w:rtl/>
        </w:rPr>
      </w:pPr>
      <w:r>
        <w:rPr>
          <w:rFonts w:hint="cs"/>
          <w:rtl/>
        </w:rPr>
        <w:tab/>
        <w:t>(و)</w:t>
      </w:r>
      <w:r>
        <w:rPr>
          <w:rFonts w:hint="cs"/>
          <w:rtl/>
        </w:rPr>
        <w:tab/>
        <w:t>إنشاء لجنة خاصة للاجئين؛</w:t>
      </w:r>
    </w:p>
    <w:p w:rsidR="00BD1F3C" w:rsidRPr="003E6761" w:rsidRDefault="00BD1F3C" w:rsidP="00BD1F3C">
      <w:pPr>
        <w:pStyle w:val="SingleTxtGA"/>
        <w:rPr>
          <w:rFonts w:hint="cs"/>
          <w:spacing w:val="-6"/>
          <w:rtl/>
        </w:rPr>
      </w:pPr>
      <w:r w:rsidRPr="003E6761">
        <w:rPr>
          <w:rFonts w:hint="cs"/>
          <w:spacing w:val="-6"/>
          <w:rtl/>
        </w:rPr>
        <w:tab/>
        <w:t>(ز)</w:t>
      </w:r>
      <w:r w:rsidRPr="003E6761">
        <w:rPr>
          <w:rFonts w:hint="cs"/>
          <w:spacing w:val="-6"/>
          <w:rtl/>
        </w:rPr>
        <w:tab/>
        <w:t>اعتماد خطة عمل وطنية ثانية لمكافحة العنف ضد المرأة للفترة 2009-2015؛</w:t>
      </w:r>
    </w:p>
    <w:p w:rsidR="00BD1F3C" w:rsidRPr="003E6761" w:rsidRDefault="00BD1F3C" w:rsidP="00BD1F3C">
      <w:pPr>
        <w:pStyle w:val="SingleTxtGA"/>
        <w:rPr>
          <w:rFonts w:hint="cs"/>
          <w:spacing w:val="-4"/>
          <w:rtl/>
        </w:rPr>
      </w:pPr>
      <w:r w:rsidRPr="003E6761">
        <w:rPr>
          <w:rFonts w:hint="cs"/>
          <w:spacing w:val="-4"/>
          <w:rtl/>
        </w:rPr>
        <w:tab/>
        <w:t>(ح)</w:t>
      </w:r>
      <w:r w:rsidRPr="003E6761">
        <w:rPr>
          <w:rFonts w:hint="cs"/>
          <w:spacing w:val="-4"/>
          <w:rtl/>
        </w:rPr>
        <w:tab/>
        <w:t>اعتماد خطة عمل وطنية لمكافحة الاتجار بالأشخاص للفترة 2011-2016؛</w:t>
      </w:r>
    </w:p>
    <w:p w:rsidR="00BD1F3C" w:rsidRDefault="00BD1F3C" w:rsidP="00BD1F3C">
      <w:pPr>
        <w:pStyle w:val="SingleTxtGA"/>
        <w:rPr>
          <w:rFonts w:hint="cs"/>
          <w:rtl/>
        </w:rPr>
      </w:pPr>
      <w:r>
        <w:rPr>
          <w:rFonts w:hint="cs"/>
          <w:rtl/>
        </w:rPr>
        <w:tab/>
        <w:t>(ط)</w:t>
      </w:r>
      <w:r>
        <w:rPr>
          <w:rFonts w:hint="cs"/>
          <w:rtl/>
        </w:rPr>
        <w:tab/>
        <w:t>اعتماد خطة عمل وطنية لحقوق الإنسان للفترة 2012-2016.</w:t>
      </w:r>
    </w:p>
    <w:p w:rsidR="00BD1F3C" w:rsidRPr="00B84194" w:rsidRDefault="009F2FC3" w:rsidP="009F2FC3">
      <w:pPr>
        <w:pStyle w:val="H23GA"/>
        <w:tabs>
          <w:tab w:val="left" w:pos="1926"/>
        </w:tabs>
        <w:rPr>
          <w:rFonts w:hint="cs"/>
          <w:rtl/>
        </w:rPr>
      </w:pPr>
      <w:r>
        <w:rPr>
          <w:rFonts w:hint="cs"/>
          <w:rtl/>
        </w:rPr>
        <w:tab/>
      </w:r>
      <w:r>
        <w:rPr>
          <w:rFonts w:hint="cs"/>
          <w:rtl/>
        </w:rPr>
        <w:tab/>
      </w:r>
      <w:r w:rsidR="00BD1F3C" w:rsidRPr="00B84194">
        <w:rPr>
          <w:rFonts w:hint="cs"/>
          <w:rtl/>
        </w:rPr>
        <w:t>جيم-</w:t>
      </w:r>
      <w:r w:rsidR="00BD1F3C" w:rsidRPr="00B84194">
        <w:rPr>
          <w:rFonts w:hint="cs"/>
          <w:rtl/>
        </w:rPr>
        <w:tab/>
        <w:t>دواعي القلق الرئيسية والتوصيات</w:t>
      </w:r>
    </w:p>
    <w:p w:rsidR="00BD1F3C" w:rsidRDefault="00BD1F3C" w:rsidP="00BD1F3C">
      <w:pPr>
        <w:pStyle w:val="H23GA"/>
        <w:rPr>
          <w:rFonts w:hint="cs"/>
          <w:rtl/>
        </w:rPr>
      </w:pPr>
      <w:r>
        <w:rPr>
          <w:rFonts w:hint="cs"/>
          <w:rtl/>
        </w:rPr>
        <w:tab/>
      </w:r>
      <w:r>
        <w:rPr>
          <w:rFonts w:hint="cs"/>
          <w:rtl/>
        </w:rPr>
        <w:tab/>
        <w:t>تعريف التعذيب</w:t>
      </w:r>
    </w:p>
    <w:p w:rsidR="00BD1F3C" w:rsidRDefault="00B84194" w:rsidP="00B84194">
      <w:pPr>
        <w:pStyle w:val="SingleTxtGA"/>
        <w:rPr>
          <w:rFonts w:hint="cs"/>
          <w:rtl/>
        </w:rPr>
      </w:pPr>
      <w:r>
        <w:rPr>
          <w:rFonts w:hint="cs"/>
          <w:rtl/>
        </w:rPr>
        <w:t>(</w:t>
      </w:r>
      <w:r w:rsidR="00BD1F3C">
        <w:rPr>
          <w:rFonts w:hint="cs"/>
          <w:rtl/>
        </w:rPr>
        <w:t>7</w:t>
      </w:r>
      <w:r>
        <w:rPr>
          <w:rFonts w:hint="cs"/>
          <w:rtl/>
        </w:rPr>
        <w:t>)</w:t>
      </w:r>
      <w:r w:rsidR="00BD1F3C">
        <w:rPr>
          <w:rFonts w:hint="cs"/>
          <w:rtl/>
        </w:rPr>
        <w:tab/>
        <w:t>يساور اللجنة القلق لأن تعريف التعذيب الوارد في القانون الجنائي لا</w:t>
      </w:r>
      <w:r w:rsidR="00BD1F3C">
        <w:rPr>
          <w:rtl/>
        </w:rPr>
        <w:t> </w:t>
      </w:r>
      <w:r w:rsidR="00BD1F3C">
        <w:rPr>
          <w:rFonts w:hint="cs"/>
          <w:rtl/>
        </w:rPr>
        <w:t>يدرج التمييز، من أي نوع كان، كعنصر من عناصره (المادتان 1 و4).</w:t>
      </w:r>
    </w:p>
    <w:p w:rsidR="00BD1F3C" w:rsidRPr="00C31665" w:rsidRDefault="00BD1F3C" w:rsidP="00BD1F3C">
      <w:pPr>
        <w:pStyle w:val="SingleTxtGA"/>
        <w:rPr>
          <w:rFonts w:hint="cs"/>
          <w:b/>
          <w:bCs/>
          <w:rtl/>
        </w:rPr>
      </w:pPr>
      <w:r w:rsidRPr="00C31665">
        <w:rPr>
          <w:rFonts w:hint="cs"/>
          <w:b/>
          <w:bCs/>
          <w:rtl/>
        </w:rPr>
        <w:tab/>
        <w:t>توصي اللجنة الدولة الطرف بتعديل قانونها الجنائي لتضمينه تعريفاً للتعذيب يغطي جميع العناصر الواردة في المادة 1 من الاتفاقية.</w:t>
      </w:r>
    </w:p>
    <w:p w:rsidR="00BD1F3C" w:rsidRDefault="00BD1F3C" w:rsidP="00BD1F3C">
      <w:pPr>
        <w:pStyle w:val="H23GA"/>
        <w:rPr>
          <w:rFonts w:hint="cs"/>
          <w:rtl/>
        </w:rPr>
      </w:pPr>
      <w:r>
        <w:rPr>
          <w:rFonts w:hint="cs"/>
          <w:rtl/>
        </w:rPr>
        <w:tab/>
      </w:r>
      <w:r>
        <w:rPr>
          <w:rFonts w:hint="cs"/>
          <w:rtl/>
        </w:rPr>
        <w:tab/>
        <w:t>ادعاءات التعرض للتعذيب وسوء المعاملة، والضمانات القانونية الأساسية</w:t>
      </w:r>
    </w:p>
    <w:p w:rsidR="00BD1F3C" w:rsidRDefault="00B84194" w:rsidP="00B84194">
      <w:pPr>
        <w:pStyle w:val="SingleTxtGA"/>
        <w:rPr>
          <w:rFonts w:hint="cs"/>
          <w:rtl/>
        </w:rPr>
      </w:pPr>
      <w:r>
        <w:rPr>
          <w:rFonts w:hint="cs"/>
          <w:rtl/>
        </w:rPr>
        <w:t>(</w:t>
      </w:r>
      <w:r w:rsidR="00BD1F3C">
        <w:rPr>
          <w:rFonts w:hint="cs"/>
          <w:rtl/>
        </w:rPr>
        <w:t>8</w:t>
      </w:r>
      <w:r>
        <w:rPr>
          <w:rFonts w:hint="cs"/>
          <w:rtl/>
        </w:rPr>
        <w:t>)</w:t>
      </w:r>
      <w:r w:rsidR="00BD1F3C">
        <w:rPr>
          <w:rFonts w:hint="cs"/>
          <w:rtl/>
        </w:rPr>
        <w:tab/>
        <w:t>تحيط اللجنة علماً بالمعلومات المقدمة من الدولة الطرف بشأن الإدعاءات المتعددة بالتعرض للتعذيب وسوء المعاملة في الحبس على أيدي المكلفين بإنفاذ القانون ومسؤولي الأمن، لكنها تشعر بالقلق إزاء عدم إجراء تحقيقات شاملة وإزاء العدد القليل للإدانات الموجهة بموجب القانون الوطني. ويساور اللجنة القلق لأنه على الرغم من توجيه تهم في حالة السيد جيرسون فالا، الذي توفي في الحبس بعد مرور 48 ساعة من تعرضه للضرب في الاحتجاز، لم</w:t>
      </w:r>
      <w:r w:rsidR="00BD1F3C">
        <w:rPr>
          <w:rtl/>
        </w:rPr>
        <w:t> </w:t>
      </w:r>
      <w:r w:rsidR="00BD1F3C">
        <w:rPr>
          <w:rFonts w:hint="cs"/>
          <w:rtl/>
        </w:rPr>
        <w:t>تصدر أية إدانة ولم</w:t>
      </w:r>
      <w:r w:rsidR="00BD1F3C">
        <w:rPr>
          <w:rtl/>
        </w:rPr>
        <w:t> </w:t>
      </w:r>
      <w:r w:rsidR="00BD1F3C">
        <w:rPr>
          <w:rFonts w:hint="cs"/>
          <w:rtl/>
        </w:rPr>
        <w:t>يُحمّل أي شخص المسؤولية عن هذا الفعل. ويساور اللجنة القلق أيضاً إذ</w:t>
      </w:r>
      <w:r w:rsidR="00BD1F3C">
        <w:rPr>
          <w:rtl/>
        </w:rPr>
        <w:t> </w:t>
      </w:r>
      <w:r w:rsidR="00BD1F3C">
        <w:rPr>
          <w:rFonts w:hint="cs"/>
          <w:rtl/>
        </w:rPr>
        <w:t>قلما تحترم الضمانات القانونية الأساسية للأشخاص المحتجزين في مخافر الشرطة وتأسف لعدم وجود سجل خاص بحالات التعذيب وغيره من ضروب المعاملة أو</w:t>
      </w:r>
      <w:r w:rsidR="00BD1F3C">
        <w:rPr>
          <w:rtl/>
        </w:rPr>
        <w:t> </w:t>
      </w:r>
      <w:r w:rsidR="00BD1F3C">
        <w:rPr>
          <w:rFonts w:hint="cs"/>
          <w:rtl/>
        </w:rPr>
        <w:t>العقوبة القاسية أو</w:t>
      </w:r>
      <w:r w:rsidR="00BD1F3C">
        <w:rPr>
          <w:rtl/>
        </w:rPr>
        <w:t> </w:t>
      </w:r>
      <w:r w:rsidR="00BD1F3C">
        <w:rPr>
          <w:rFonts w:hint="cs"/>
          <w:rtl/>
        </w:rPr>
        <w:t>اللاإنسانية أو</w:t>
      </w:r>
      <w:r w:rsidR="00BD1F3C">
        <w:rPr>
          <w:rtl/>
        </w:rPr>
        <w:t> </w:t>
      </w:r>
      <w:r w:rsidR="00BD1F3C">
        <w:rPr>
          <w:rFonts w:hint="cs"/>
          <w:rtl/>
        </w:rPr>
        <w:t>المهينة. ويساور اللجنة القلق أيضاً إزاء التقارير التي تتحدث عن لجوء المكلفين بإنفاذ القوانين إلى العنف أثناء إلقاء القبض على الأشخاص. ولا</w:t>
      </w:r>
      <w:r w:rsidR="00BD1F3C">
        <w:rPr>
          <w:rtl/>
        </w:rPr>
        <w:t> </w:t>
      </w:r>
      <w:r w:rsidR="00BD1F3C">
        <w:rPr>
          <w:rFonts w:hint="cs"/>
          <w:rtl/>
        </w:rPr>
        <w:t>يبدو أن هناك عمليات تقييم منتظمة لحالات الادعاءات بتعذيب</w:t>
      </w:r>
      <w:r w:rsidR="00BD1F3C" w:rsidRPr="00FD1440">
        <w:rPr>
          <w:rFonts w:hint="cs"/>
          <w:rtl/>
        </w:rPr>
        <w:t xml:space="preserve"> </w:t>
      </w:r>
      <w:r w:rsidR="00BD1F3C">
        <w:rPr>
          <w:rFonts w:hint="cs"/>
          <w:rtl/>
        </w:rPr>
        <w:t>للأشخاص المحتجزين، بالاستناد إلى دليل التقصي والتوثيق الفعالين بشأن التعذيب وغيره من ضروب المعاملة أو</w:t>
      </w:r>
      <w:r w:rsidR="00BD1F3C">
        <w:rPr>
          <w:rtl/>
        </w:rPr>
        <w:t> </w:t>
      </w:r>
      <w:r w:rsidR="00BD1F3C">
        <w:rPr>
          <w:rFonts w:hint="cs"/>
          <w:rtl/>
        </w:rPr>
        <w:t>العقوبة القاسية أو</w:t>
      </w:r>
      <w:r w:rsidR="00BD1F3C">
        <w:rPr>
          <w:rtl/>
        </w:rPr>
        <w:t> </w:t>
      </w:r>
      <w:r w:rsidR="00BD1F3C">
        <w:rPr>
          <w:rFonts w:hint="cs"/>
          <w:rtl/>
        </w:rPr>
        <w:t>اللاإنسانية أو</w:t>
      </w:r>
      <w:r w:rsidR="00BD1F3C">
        <w:rPr>
          <w:rtl/>
        </w:rPr>
        <w:t> </w:t>
      </w:r>
      <w:r w:rsidR="00BD1F3C">
        <w:rPr>
          <w:rFonts w:hint="cs"/>
          <w:rtl/>
        </w:rPr>
        <w:t>المهينة (بروتوكول اسطنبول) (المواد 2 و10 و12 و13 و14).</w:t>
      </w:r>
    </w:p>
    <w:p w:rsidR="00BD1F3C" w:rsidRPr="00C31665" w:rsidRDefault="00BD1F3C" w:rsidP="00BD1F3C">
      <w:pPr>
        <w:pStyle w:val="SingleTxtGA"/>
        <w:rPr>
          <w:rFonts w:hint="cs"/>
          <w:b/>
          <w:bCs/>
          <w:rtl/>
        </w:rPr>
      </w:pPr>
      <w:r w:rsidRPr="00C31665">
        <w:rPr>
          <w:rFonts w:hint="cs"/>
          <w:b/>
          <w:bCs/>
          <w:rtl/>
        </w:rPr>
        <w:tab/>
        <w:t>ينبغي للدولة الطرف أن تتخذ تدابير فعالة للقيام</w:t>
      </w:r>
      <w:r>
        <w:rPr>
          <w:rFonts w:hint="cs"/>
          <w:b/>
          <w:bCs/>
          <w:rtl/>
        </w:rPr>
        <w:t xml:space="preserve"> بما</w:t>
      </w:r>
      <w:r>
        <w:rPr>
          <w:b/>
          <w:bCs/>
          <w:rtl/>
        </w:rPr>
        <w:t> </w:t>
      </w:r>
      <w:r w:rsidRPr="00C31665">
        <w:rPr>
          <w:rFonts w:hint="cs"/>
          <w:b/>
          <w:bCs/>
          <w:rtl/>
        </w:rPr>
        <w:t>يلي:</w:t>
      </w:r>
    </w:p>
    <w:p w:rsidR="00BD1F3C" w:rsidRPr="00C31665" w:rsidRDefault="00BD1F3C" w:rsidP="00BD1F3C">
      <w:pPr>
        <w:pStyle w:val="SingleTxtGA"/>
        <w:rPr>
          <w:rFonts w:hint="cs"/>
          <w:b/>
          <w:bCs/>
          <w:rtl/>
        </w:rPr>
      </w:pPr>
      <w:r w:rsidRPr="00C31665">
        <w:rPr>
          <w:rFonts w:hint="cs"/>
          <w:b/>
          <w:bCs/>
          <w:rtl/>
        </w:rPr>
        <w:tab/>
        <w:t>(أ)</w:t>
      </w:r>
      <w:r w:rsidRPr="00C31665">
        <w:rPr>
          <w:rFonts w:hint="cs"/>
          <w:b/>
          <w:bCs/>
          <w:rtl/>
        </w:rPr>
        <w:tab/>
        <w:t xml:space="preserve">إجراء تحقيق سريع ونزيه وفعال في جميع </w:t>
      </w:r>
      <w:r>
        <w:rPr>
          <w:rFonts w:hint="cs"/>
          <w:b/>
          <w:bCs/>
          <w:rtl/>
        </w:rPr>
        <w:t>بلاغات</w:t>
      </w:r>
      <w:r w:rsidRPr="00C31665">
        <w:rPr>
          <w:rFonts w:hint="cs"/>
          <w:b/>
          <w:bCs/>
          <w:rtl/>
        </w:rPr>
        <w:t xml:space="preserve"> التعذيب وسوء المعاملة وتقديم الجناة إلى القضاء ومعاقبتهم بعقوبات مناسبة؛</w:t>
      </w:r>
    </w:p>
    <w:p w:rsidR="00BD1F3C" w:rsidRPr="00C31665" w:rsidRDefault="00BD1F3C" w:rsidP="00BD1F3C">
      <w:pPr>
        <w:pStyle w:val="SingleTxtGA"/>
        <w:rPr>
          <w:rFonts w:hint="cs"/>
          <w:b/>
          <w:bCs/>
          <w:rtl/>
        </w:rPr>
      </w:pPr>
      <w:r w:rsidRPr="00C31665">
        <w:rPr>
          <w:rFonts w:hint="cs"/>
          <w:b/>
          <w:bCs/>
          <w:rtl/>
        </w:rPr>
        <w:tab/>
        <w:t>(ب)</w:t>
      </w:r>
      <w:r w:rsidRPr="00C31665">
        <w:rPr>
          <w:rFonts w:hint="cs"/>
          <w:b/>
          <w:bCs/>
          <w:rtl/>
        </w:rPr>
        <w:tab/>
        <w:t>ضمان تمتع الأشخاص المحرومين من حريتهم بالضمانات القانونية الأساسية منذ الوهلة الأولى لاحتجازهم وضمان تمكنهم من اللجوء إلى إجراء مستقل لتقديم الشكاوى؛</w:t>
      </w:r>
    </w:p>
    <w:p w:rsidR="00BD1F3C" w:rsidRPr="00C31665" w:rsidRDefault="00BD1F3C" w:rsidP="00BD1F3C">
      <w:pPr>
        <w:pStyle w:val="SingleTxtGA"/>
        <w:rPr>
          <w:rFonts w:hint="cs"/>
          <w:b/>
          <w:bCs/>
          <w:rtl/>
        </w:rPr>
      </w:pPr>
      <w:r w:rsidRPr="00C31665">
        <w:rPr>
          <w:rFonts w:hint="cs"/>
          <w:b/>
          <w:bCs/>
          <w:rtl/>
        </w:rPr>
        <w:tab/>
        <w:t>(ج)</w:t>
      </w:r>
      <w:r w:rsidRPr="00C31665">
        <w:rPr>
          <w:rFonts w:hint="cs"/>
          <w:b/>
          <w:bCs/>
          <w:rtl/>
        </w:rPr>
        <w:tab/>
        <w:t>ضمان تدريب الموظفين العاملين في مجال إنفاذ القانون على تقنيات مهنية تحد إلى أقصى درجة من تعرض الأشخاص المحتجزين للأذى؛</w:t>
      </w:r>
    </w:p>
    <w:p w:rsidR="00BD1F3C" w:rsidRPr="00C31665" w:rsidRDefault="00BD1F3C" w:rsidP="00BD1F3C">
      <w:pPr>
        <w:pStyle w:val="SingleTxtGA"/>
        <w:rPr>
          <w:rFonts w:hint="cs"/>
          <w:b/>
          <w:bCs/>
          <w:rtl/>
        </w:rPr>
      </w:pPr>
      <w:r w:rsidRPr="00C31665">
        <w:rPr>
          <w:rFonts w:hint="cs"/>
          <w:b/>
          <w:bCs/>
          <w:rtl/>
        </w:rPr>
        <w:tab/>
        <w:t>(د)</w:t>
      </w:r>
      <w:r w:rsidRPr="00C31665">
        <w:rPr>
          <w:rFonts w:hint="cs"/>
          <w:b/>
          <w:bCs/>
          <w:rtl/>
        </w:rPr>
        <w:tab/>
        <w:t>وضع سجل خاص لحالات التعذيب وغيره من ضروب المعاملة</w:t>
      </w:r>
      <w:r>
        <w:rPr>
          <w:rFonts w:hint="cs"/>
          <w:b/>
          <w:bCs/>
          <w:rtl/>
        </w:rPr>
        <w:t xml:space="preserve"> أو</w:t>
      </w:r>
      <w:r>
        <w:rPr>
          <w:b/>
          <w:bCs/>
          <w:rtl/>
        </w:rPr>
        <w:t> </w:t>
      </w:r>
      <w:r w:rsidRPr="00C31665">
        <w:rPr>
          <w:rFonts w:hint="cs"/>
          <w:b/>
          <w:bCs/>
          <w:rtl/>
        </w:rPr>
        <w:t>العقوبة القاسية</w:t>
      </w:r>
      <w:r>
        <w:rPr>
          <w:rFonts w:hint="cs"/>
          <w:b/>
          <w:bCs/>
          <w:rtl/>
        </w:rPr>
        <w:t xml:space="preserve"> أو</w:t>
      </w:r>
      <w:r>
        <w:rPr>
          <w:b/>
          <w:bCs/>
          <w:rtl/>
        </w:rPr>
        <w:t> </w:t>
      </w:r>
      <w:r w:rsidRPr="00C31665">
        <w:rPr>
          <w:rFonts w:hint="cs"/>
          <w:b/>
          <w:bCs/>
          <w:rtl/>
        </w:rPr>
        <w:t>اللاإنسانية</w:t>
      </w:r>
      <w:r>
        <w:rPr>
          <w:rFonts w:hint="cs"/>
          <w:b/>
          <w:bCs/>
          <w:rtl/>
        </w:rPr>
        <w:t xml:space="preserve"> أو</w:t>
      </w:r>
      <w:r>
        <w:rPr>
          <w:b/>
          <w:bCs/>
          <w:rtl/>
        </w:rPr>
        <w:t> </w:t>
      </w:r>
      <w:r w:rsidRPr="00C31665">
        <w:rPr>
          <w:rFonts w:hint="cs"/>
          <w:b/>
          <w:bCs/>
          <w:rtl/>
        </w:rPr>
        <w:t>المهينة؛</w:t>
      </w:r>
    </w:p>
    <w:p w:rsidR="00BD1F3C" w:rsidRPr="00C31665" w:rsidRDefault="00BD1F3C" w:rsidP="00BD1F3C">
      <w:pPr>
        <w:pStyle w:val="SingleTxtGA"/>
        <w:rPr>
          <w:rFonts w:hint="cs"/>
          <w:b/>
          <w:bCs/>
          <w:rtl/>
        </w:rPr>
      </w:pPr>
      <w:r w:rsidRPr="00C31665">
        <w:rPr>
          <w:rFonts w:hint="cs"/>
          <w:b/>
          <w:bCs/>
          <w:rtl/>
        </w:rPr>
        <w:tab/>
        <w:t>(</w:t>
      </w:r>
      <w:r w:rsidRPr="00C31665">
        <w:rPr>
          <w:rFonts w:hint="cs"/>
          <w:b/>
          <w:bCs/>
          <w:sz w:val="30"/>
          <w:rtl/>
        </w:rPr>
        <w:t>ﻫ</w:t>
      </w:r>
      <w:r w:rsidRPr="00C31665">
        <w:rPr>
          <w:rFonts w:hint="cs"/>
          <w:b/>
          <w:bCs/>
          <w:rtl/>
        </w:rPr>
        <w:t>)</w:t>
      </w:r>
      <w:r w:rsidRPr="00C31665">
        <w:rPr>
          <w:rFonts w:hint="cs"/>
          <w:b/>
          <w:bCs/>
          <w:rtl/>
        </w:rPr>
        <w:tab/>
        <w:t xml:space="preserve">ضمان </w:t>
      </w:r>
      <w:r>
        <w:rPr>
          <w:rFonts w:hint="cs"/>
          <w:b/>
          <w:bCs/>
          <w:rtl/>
        </w:rPr>
        <w:t xml:space="preserve">جعل </w:t>
      </w:r>
      <w:r w:rsidRPr="00C31665">
        <w:rPr>
          <w:rFonts w:hint="cs"/>
          <w:b/>
          <w:bCs/>
          <w:rtl/>
        </w:rPr>
        <w:t xml:space="preserve">بروتوكول اسطنبول جزءاً إلزامياً من التدريب المقدم لجميع المهنيين الطبيين الذين يشتركون في عمليات التوثيق والتحقيق في ادعاءات التعذيب وسوء المعاملة </w:t>
      </w:r>
      <w:r>
        <w:rPr>
          <w:rFonts w:hint="cs"/>
          <w:b/>
          <w:bCs/>
          <w:rtl/>
        </w:rPr>
        <w:t xml:space="preserve">من أجل إتاحة </w:t>
      </w:r>
      <w:r w:rsidRPr="00C31665">
        <w:rPr>
          <w:rFonts w:hint="cs"/>
          <w:b/>
          <w:bCs/>
          <w:rtl/>
        </w:rPr>
        <w:t>تشخيص علامات التعذيب</w:t>
      </w:r>
      <w:r>
        <w:rPr>
          <w:rFonts w:hint="cs"/>
          <w:b/>
          <w:bCs/>
          <w:rtl/>
        </w:rPr>
        <w:t xml:space="preserve"> تشخيصاً صحيحاً.</w:t>
      </w:r>
      <w:r w:rsidRPr="00C31665">
        <w:rPr>
          <w:rFonts w:hint="cs"/>
          <w:b/>
          <w:bCs/>
          <w:rtl/>
        </w:rPr>
        <w:t xml:space="preserve"> </w:t>
      </w:r>
    </w:p>
    <w:p w:rsidR="00BD1F3C" w:rsidRDefault="00BD1F3C" w:rsidP="00BD1F3C">
      <w:pPr>
        <w:pStyle w:val="H23GA"/>
        <w:rPr>
          <w:rFonts w:hint="cs"/>
          <w:rtl/>
        </w:rPr>
      </w:pPr>
      <w:r>
        <w:rPr>
          <w:rFonts w:hint="cs"/>
          <w:rtl/>
        </w:rPr>
        <w:tab/>
      </w:r>
      <w:r>
        <w:rPr>
          <w:rFonts w:hint="cs"/>
          <w:rtl/>
        </w:rPr>
        <w:tab/>
        <w:t>الحبس الاحتياطي</w:t>
      </w:r>
    </w:p>
    <w:p w:rsidR="00BD1F3C" w:rsidRDefault="00B84194" w:rsidP="00B84194">
      <w:pPr>
        <w:pStyle w:val="SingleTxtGA"/>
        <w:rPr>
          <w:rFonts w:hint="cs"/>
          <w:rtl/>
        </w:rPr>
      </w:pPr>
      <w:r>
        <w:rPr>
          <w:rFonts w:hint="cs"/>
          <w:rtl/>
        </w:rPr>
        <w:t>(</w:t>
      </w:r>
      <w:r w:rsidR="00BD1F3C">
        <w:rPr>
          <w:rFonts w:hint="cs"/>
          <w:rtl/>
        </w:rPr>
        <w:t>9</w:t>
      </w:r>
      <w:r>
        <w:rPr>
          <w:rFonts w:hint="cs"/>
          <w:rtl/>
        </w:rPr>
        <w:t>)</w:t>
      </w:r>
      <w:r w:rsidR="00BD1F3C">
        <w:rPr>
          <w:rFonts w:hint="cs"/>
          <w:rtl/>
        </w:rPr>
        <w:tab/>
        <w:t>يساور اللجنة القلق لأن قرابة 60 في المائة من جميع حالات الاحتجاز هي حالات تتعلق بالحبس الاحتياطي ولأن مدة بعضها قد تصل إلى 36 شهراً مما</w:t>
      </w:r>
      <w:r w:rsidR="00BD1F3C">
        <w:rPr>
          <w:rtl/>
        </w:rPr>
        <w:t> </w:t>
      </w:r>
      <w:r w:rsidR="00BD1F3C">
        <w:rPr>
          <w:rFonts w:hint="cs"/>
          <w:rtl/>
        </w:rPr>
        <w:t>يسهم في الاكتظاظ في مراكز الاحتجاز في جميع أنحاء البلاد (المواد 2 و11 و16).</w:t>
      </w:r>
    </w:p>
    <w:p w:rsidR="00BD1F3C" w:rsidRPr="00C31665" w:rsidRDefault="00BD1F3C" w:rsidP="00BD1F3C">
      <w:pPr>
        <w:pStyle w:val="SingleTxtGA"/>
        <w:rPr>
          <w:rFonts w:hint="cs"/>
          <w:b/>
          <w:bCs/>
          <w:rtl/>
        </w:rPr>
      </w:pPr>
      <w:r w:rsidRPr="00C31665">
        <w:rPr>
          <w:rFonts w:hint="cs"/>
          <w:b/>
          <w:bCs/>
          <w:rtl/>
        </w:rPr>
        <w:tab/>
        <w:t xml:space="preserve">ينبغي للدولة الطرف أن تتخذ تدابير فورية للحد من اللجوء إلى الحبس الاحتياطي وكذلك </w:t>
      </w:r>
      <w:r>
        <w:rPr>
          <w:rFonts w:hint="cs"/>
          <w:b/>
          <w:bCs/>
          <w:rtl/>
        </w:rPr>
        <w:t xml:space="preserve">تقليص </w:t>
      </w:r>
      <w:r w:rsidRPr="00C31665">
        <w:rPr>
          <w:rFonts w:hint="cs"/>
          <w:b/>
          <w:bCs/>
          <w:rtl/>
        </w:rPr>
        <w:t>مدته من خلال اللجوء إلى تدابير بديلة للسجن طبقاً لقواعد الأمم المتحدة النموذجية الدنيا للتدابير غير الاحتجازية (قواعد طوكيو).</w:t>
      </w:r>
    </w:p>
    <w:p w:rsidR="00BD1F3C" w:rsidRDefault="00BD1F3C" w:rsidP="00BD1F3C">
      <w:pPr>
        <w:pStyle w:val="H23GA"/>
        <w:rPr>
          <w:rFonts w:hint="cs"/>
          <w:rtl/>
        </w:rPr>
      </w:pPr>
      <w:r>
        <w:rPr>
          <w:rFonts w:hint="cs"/>
          <w:rtl/>
        </w:rPr>
        <w:tab/>
      </w:r>
      <w:r>
        <w:rPr>
          <w:rFonts w:hint="cs"/>
          <w:rtl/>
        </w:rPr>
        <w:tab/>
        <w:t>ظروف الاحتجاز</w:t>
      </w:r>
    </w:p>
    <w:p w:rsidR="00BD1F3C" w:rsidRDefault="00B84194" w:rsidP="00B84194">
      <w:pPr>
        <w:pStyle w:val="SingleTxtGA"/>
        <w:rPr>
          <w:rFonts w:hint="cs"/>
          <w:rtl/>
        </w:rPr>
      </w:pPr>
      <w:r>
        <w:rPr>
          <w:rFonts w:hint="cs"/>
          <w:rtl/>
        </w:rPr>
        <w:t>(</w:t>
      </w:r>
      <w:r w:rsidR="00BD1F3C">
        <w:rPr>
          <w:rFonts w:hint="cs"/>
          <w:rtl/>
        </w:rPr>
        <w:t>10</w:t>
      </w:r>
      <w:r>
        <w:rPr>
          <w:rFonts w:hint="cs"/>
          <w:rtl/>
        </w:rPr>
        <w:t>)</w:t>
      </w:r>
      <w:r w:rsidR="00BD1F3C">
        <w:rPr>
          <w:rFonts w:hint="cs"/>
          <w:rtl/>
        </w:rPr>
        <w:tab/>
        <w:t>يساور اللجنة القلق إزاء المعلومات المقدمة بشأن الظروف في مراكز الاحتجاز، بما</w:t>
      </w:r>
      <w:r w:rsidR="00BD1F3C">
        <w:rPr>
          <w:rtl/>
        </w:rPr>
        <w:t> </w:t>
      </w:r>
      <w:r w:rsidR="00BD1F3C">
        <w:rPr>
          <w:rFonts w:hint="cs"/>
          <w:rtl/>
        </w:rPr>
        <w:t>في ذلك الاكتظاظ بنسبة 114 في المائة، وتدهور الهياكل الأساسية، بما</w:t>
      </w:r>
      <w:r w:rsidR="00BD1F3C">
        <w:rPr>
          <w:rtl/>
        </w:rPr>
        <w:t> </w:t>
      </w:r>
      <w:r w:rsidR="00BD1F3C">
        <w:rPr>
          <w:rFonts w:hint="cs"/>
          <w:rtl/>
        </w:rPr>
        <w:t>في ذلك التدهور من حيث الوجبات الغذائية ودرجات الحرارة، وسوء ظروف الإصحاح ووجود 54 طبيباً فقط للتكفُّل بعلاج جميع نزلاء السجون. وبصفة خاصة، يساور اللجنة القلق إزاء الظروف في سجن كالاو في القاعدة البحرية الخاضع لحراسة مشددة والذي يمارس فيه السجن الانفرادي لفترات مطولة، والعزل الحسي الكامل، والمنع من الاتصال بالغير والسماح بزيارة الأسرة لنصف ساعة مرة واحدة في الشهر فقط، وإزاء الظروف في مركزي الاحتجاز جالابالكا ويانامايو (المواد 2 و11 و16).</w:t>
      </w:r>
    </w:p>
    <w:p w:rsidR="00BD1F3C" w:rsidRPr="00C31665" w:rsidRDefault="00BD1F3C" w:rsidP="00BD1F3C">
      <w:pPr>
        <w:pStyle w:val="SingleTxtGA"/>
        <w:rPr>
          <w:rFonts w:hint="cs"/>
          <w:b/>
          <w:bCs/>
          <w:rtl/>
        </w:rPr>
      </w:pPr>
      <w:r w:rsidRPr="00C31665">
        <w:rPr>
          <w:rFonts w:hint="cs"/>
          <w:b/>
          <w:bCs/>
          <w:rtl/>
        </w:rPr>
        <w:tab/>
        <w:t>ينبغي للدولة الطرف أن:</w:t>
      </w:r>
    </w:p>
    <w:p w:rsidR="00BD1F3C" w:rsidRPr="00C31665" w:rsidRDefault="00BD1F3C" w:rsidP="00BD1F3C">
      <w:pPr>
        <w:pStyle w:val="SingleTxtGA"/>
        <w:rPr>
          <w:rFonts w:hint="cs"/>
          <w:b/>
          <w:bCs/>
          <w:rtl/>
        </w:rPr>
      </w:pPr>
      <w:r w:rsidRPr="00C31665">
        <w:rPr>
          <w:rFonts w:hint="cs"/>
          <w:b/>
          <w:bCs/>
          <w:rtl/>
        </w:rPr>
        <w:tab/>
        <w:t>(أ)</w:t>
      </w:r>
      <w:r w:rsidRPr="00C31665">
        <w:rPr>
          <w:rFonts w:hint="cs"/>
          <w:b/>
          <w:bCs/>
          <w:rtl/>
        </w:rPr>
        <w:tab/>
        <w:t>تتخذ خطوات فورية للحد من الاكتظاظ في أماكن الاحتجاز،</w:t>
      </w:r>
      <w:r>
        <w:rPr>
          <w:rFonts w:hint="cs"/>
          <w:b/>
          <w:bCs/>
          <w:rtl/>
        </w:rPr>
        <w:t xml:space="preserve"> بما</w:t>
      </w:r>
      <w:r>
        <w:rPr>
          <w:b/>
          <w:bCs/>
          <w:rtl/>
        </w:rPr>
        <w:t> </w:t>
      </w:r>
      <w:r w:rsidRPr="00C31665">
        <w:rPr>
          <w:rFonts w:hint="cs"/>
          <w:b/>
          <w:bCs/>
          <w:rtl/>
        </w:rPr>
        <w:t xml:space="preserve">في ذلك من خلال تطبيق </w:t>
      </w:r>
      <w:r>
        <w:rPr>
          <w:rFonts w:hint="cs"/>
          <w:b/>
          <w:bCs/>
          <w:rtl/>
        </w:rPr>
        <w:t>حلول بديلة</w:t>
      </w:r>
      <w:r w:rsidRPr="00C31665">
        <w:rPr>
          <w:rFonts w:hint="cs"/>
          <w:b/>
          <w:bCs/>
          <w:rtl/>
        </w:rPr>
        <w:t xml:space="preserve"> </w:t>
      </w:r>
      <w:r>
        <w:rPr>
          <w:rFonts w:hint="cs"/>
          <w:b/>
          <w:bCs/>
          <w:rtl/>
        </w:rPr>
        <w:t>ل</w:t>
      </w:r>
      <w:r w:rsidRPr="00C31665">
        <w:rPr>
          <w:rFonts w:hint="cs"/>
          <w:b/>
          <w:bCs/>
          <w:rtl/>
        </w:rPr>
        <w:t>لسجن؛</w:t>
      </w:r>
    </w:p>
    <w:p w:rsidR="00BD1F3C" w:rsidRPr="00C31665" w:rsidRDefault="00BD1F3C" w:rsidP="00BD1F3C">
      <w:pPr>
        <w:pStyle w:val="SingleTxtGA"/>
        <w:rPr>
          <w:rFonts w:hint="cs"/>
          <w:b/>
          <w:bCs/>
          <w:rtl/>
        </w:rPr>
      </w:pPr>
      <w:r w:rsidRPr="00C31665">
        <w:rPr>
          <w:rFonts w:hint="cs"/>
          <w:b/>
          <w:bCs/>
          <w:rtl/>
        </w:rPr>
        <w:tab/>
        <w:t>(ب)</w:t>
      </w:r>
      <w:r w:rsidRPr="00C31665">
        <w:rPr>
          <w:rFonts w:hint="cs"/>
          <w:b/>
          <w:bCs/>
          <w:rtl/>
        </w:rPr>
        <w:tab/>
        <w:t>تعتمد أطراً زمنية معقولة لإنشاء سجون جديدة وتوسيع وتحديث أماكن الاحتجاز الموجودة؛</w:t>
      </w:r>
    </w:p>
    <w:p w:rsidR="00BD1F3C" w:rsidRPr="00C31665" w:rsidRDefault="00BD1F3C" w:rsidP="00BD1F3C">
      <w:pPr>
        <w:pStyle w:val="SingleTxtGA"/>
        <w:rPr>
          <w:rFonts w:hint="cs"/>
          <w:b/>
          <w:bCs/>
          <w:rtl/>
        </w:rPr>
      </w:pPr>
      <w:r w:rsidRPr="00C31665">
        <w:rPr>
          <w:rFonts w:hint="cs"/>
          <w:b/>
          <w:bCs/>
          <w:rtl/>
        </w:rPr>
        <w:tab/>
        <w:t>(ج)</w:t>
      </w:r>
      <w:r w:rsidRPr="00C31665">
        <w:rPr>
          <w:rFonts w:hint="cs"/>
          <w:b/>
          <w:bCs/>
          <w:rtl/>
        </w:rPr>
        <w:tab/>
        <w:t xml:space="preserve">تضمن </w:t>
      </w:r>
      <w:r>
        <w:rPr>
          <w:rFonts w:hint="cs"/>
          <w:b/>
          <w:bCs/>
          <w:rtl/>
        </w:rPr>
        <w:t xml:space="preserve">توفر </w:t>
      </w:r>
      <w:r w:rsidRPr="00C31665">
        <w:rPr>
          <w:rFonts w:hint="cs"/>
          <w:b/>
          <w:bCs/>
          <w:rtl/>
        </w:rPr>
        <w:t xml:space="preserve">أماكن الاحتجاز </w:t>
      </w:r>
      <w:r>
        <w:rPr>
          <w:rFonts w:hint="cs"/>
          <w:b/>
          <w:bCs/>
          <w:rtl/>
        </w:rPr>
        <w:t>على ما</w:t>
      </w:r>
      <w:r>
        <w:rPr>
          <w:b/>
          <w:bCs/>
          <w:rtl/>
        </w:rPr>
        <w:t> </w:t>
      </w:r>
      <w:r w:rsidRPr="00C31665">
        <w:rPr>
          <w:rFonts w:hint="cs"/>
          <w:b/>
          <w:bCs/>
          <w:rtl/>
        </w:rPr>
        <w:t xml:space="preserve">يكفي من </w:t>
      </w:r>
      <w:r>
        <w:rPr>
          <w:rFonts w:hint="cs"/>
          <w:b/>
          <w:bCs/>
          <w:rtl/>
        </w:rPr>
        <w:t>ال</w:t>
      </w:r>
      <w:r w:rsidRPr="00C31665">
        <w:rPr>
          <w:rFonts w:hint="cs"/>
          <w:b/>
          <w:bCs/>
          <w:rtl/>
        </w:rPr>
        <w:t xml:space="preserve">مهنيين </w:t>
      </w:r>
      <w:r>
        <w:rPr>
          <w:rFonts w:hint="cs"/>
          <w:b/>
          <w:bCs/>
          <w:rtl/>
        </w:rPr>
        <w:t>ال</w:t>
      </w:r>
      <w:r w:rsidRPr="00C31665">
        <w:rPr>
          <w:rFonts w:hint="cs"/>
          <w:b/>
          <w:bCs/>
          <w:rtl/>
        </w:rPr>
        <w:t>طبيين</w:t>
      </w:r>
      <w:r>
        <w:rPr>
          <w:rFonts w:hint="cs"/>
          <w:b/>
          <w:bCs/>
          <w:rtl/>
        </w:rPr>
        <w:t>،</w:t>
      </w:r>
      <w:r w:rsidRPr="00C31665">
        <w:rPr>
          <w:rFonts w:hint="cs"/>
          <w:b/>
          <w:bCs/>
          <w:rtl/>
        </w:rPr>
        <w:t xml:space="preserve"> بمن فيهم</w:t>
      </w:r>
      <w:r>
        <w:rPr>
          <w:rFonts w:hint="cs"/>
          <w:b/>
          <w:bCs/>
          <w:rtl/>
        </w:rPr>
        <w:t xml:space="preserve"> ال</w:t>
      </w:r>
      <w:r w:rsidRPr="00C31665">
        <w:rPr>
          <w:rFonts w:hint="cs"/>
          <w:b/>
          <w:bCs/>
          <w:rtl/>
        </w:rPr>
        <w:t>مهنيون في الصحة العقلية؛</w:t>
      </w:r>
    </w:p>
    <w:p w:rsidR="00BD1F3C" w:rsidRPr="00C31665" w:rsidRDefault="00BD1F3C" w:rsidP="00BD1F3C">
      <w:pPr>
        <w:pStyle w:val="SingleTxtGA"/>
        <w:rPr>
          <w:rFonts w:hint="cs"/>
          <w:b/>
          <w:bCs/>
          <w:rtl/>
        </w:rPr>
      </w:pPr>
      <w:r w:rsidRPr="00C31665">
        <w:rPr>
          <w:rFonts w:hint="cs"/>
          <w:b/>
          <w:bCs/>
          <w:rtl/>
        </w:rPr>
        <w:tab/>
        <w:t>(د)</w:t>
      </w:r>
      <w:r w:rsidRPr="00C31665">
        <w:rPr>
          <w:rFonts w:hint="cs"/>
          <w:b/>
          <w:bCs/>
          <w:rtl/>
        </w:rPr>
        <w:tab/>
      </w:r>
      <w:r>
        <w:rPr>
          <w:rFonts w:hint="cs"/>
          <w:b/>
          <w:bCs/>
          <w:rtl/>
        </w:rPr>
        <w:t xml:space="preserve">تحرص على عدم اللجوء </w:t>
      </w:r>
      <w:r w:rsidRPr="00C31665">
        <w:rPr>
          <w:rFonts w:hint="cs"/>
          <w:b/>
          <w:bCs/>
          <w:rtl/>
        </w:rPr>
        <w:t>إلى الحبس الانفرادي</w:t>
      </w:r>
      <w:r>
        <w:rPr>
          <w:rFonts w:hint="cs"/>
          <w:b/>
          <w:bCs/>
          <w:rtl/>
        </w:rPr>
        <w:t xml:space="preserve"> إلا</w:t>
      </w:r>
      <w:r>
        <w:rPr>
          <w:b/>
          <w:bCs/>
          <w:rtl/>
        </w:rPr>
        <w:t> </w:t>
      </w:r>
      <w:r w:rsidRPr="00C31665">
        <w:rPr>
          <w:rFonts w:hint="cs"/>
          <w:b/>
          <w:bCs/>
          <w:rtl/>
        </w:rPr>
        <w:t>كملاذ أخير</w:t>
      </w:r>
      <w:r>
        <w:rPr>
          <w:rFonts w:hint="cs"/>
          <w:b/>
          <w:bCs/>
          <w:rtl/>
        </w:rPr>
        <w:t>،</w:t>
      </w:r>
      <w:r w:rsidRPr="00C31665">
        <w:rPr>
          <w:rFonts w:hint="cs"/>
          <w:b/>
          <w:bCs/>
          <w:rtl/>
        </w:rPr>
        <w:t xml:space="preserve"> ولأقصر فترة ممكنة مع إمكانية المراقبة القضائية؛</w:t>
      </w:r>
    </w:p>
    <w:p w:rsidR="00BD1F3C" w:rsidRPr="00C31665" w:rsidRDefault="00BD1F3C" w:rsidP="00BD1F3C">
      <w:pPr>
        <w:pStyle w:val="SingleTxtGA"/>
        <w:rPr>
          <w:rFonts w:hint="cs"/>
          <w:b/>
          <w:bCs/>
          <w:rtl/>
        </w:rPr>
      </w:pPr>
      <w:r w:rsidRPr="00C31665">
        <w:rPr>
          <w:rFonts w:hint="cs"/>
          <w:b/>
          <w:bCs/>
          <w:rtl/>
        </w:rPr>
        <w:tab/>
        <w:t>(</w:t>
      </w:r>
      <w:r w:rsidRPr="00C31665">
        <w:rPr>
          <w:rFonts w:hint="cs"/>
          <w:b/>
          <w:bCs/>
          <w:sz w:val="30"/>
          <w:rtl/>
        </w:rPr>
        <w:t>ﻫ</w:t>
      </w:r>
      <w:r w:rsidRPr="00C31665">
        <w:rPr>
          <w:rFonts w:hint="cs"/>
          <w:b/>
          <w:bCs/>
          <w:rtl/>
        </w:rPr>
        <w:t>)</w:t>
      </w:r>
      <w:r w:rsidRPr="00C31665">
        <w:rPr>
          <w:rFonts w:hint="cs"/>
          <w:b/>
          <w:bCs/>
          <w:rtl/>
        </w:rPr>
        <w:tab/>
        <w:t>تضمن معاملة السجناء في سجن</w:t>
      </w:r>
      <w:r>
        <w:rPr>
          <w:rFonts w:hint="cs"/>
          <w:b/>
          <w:bCs/>
          <w:rtl/>
        </w:rPr>
        <w:t xml:space="preserve"> </w:t>
      </w:r>
      <w:r w:rsidRPr="00C31665">
        <w:rPr>
          <w:rFonts w:hint="cs"/>
          <w:b/>
          <w:bCs/>
          <w:rtl/>
        </w:rPr>
        <w:t xml:space="preserve">كالاو المشدد الحراسة معاملة </w:t>
      </w:r>
      <w:r>
        <w:rPr>
          <w:rFonts w:hint="cs"/>
          <w:b/>
          <w:bCs/>
          <w:rtl/>
        </w:rPr>
        <w:t xml:space="preserve">تتفق </w:t>
      </w:r>
      <w:r w:rsidRPr="00C31665">
        <w:rPr>
          <w:rFonts w:hint="cs"/>
          <w:b/>
          <w:bCs/>
          <w:rtl/>
        </w:rPr>
        <w:t>مع قواعد الأمم المتحدة النموذجية الدنيا لمعاملة السجناء؛</w:t>
      </w:r>
    </w:p>
    <w:p w:rsidR="00BD1F3C" w:rsidRPr="00C31665" w:rsidRDefault="00BD1F3C" w:rsidP="00BD1F3C">
      <w:pPr>
        <w:pStyle w:val="SingleTxtGA"/>
        <w:rPr>
          <w:rFonts w:hint="cs"/>
          <w:b/>
          <w:bCs/>
          <w:rtl/>
        </w:rPr>
      </w:pPr>
      <w:r w:rsidRPr="00C31665">
        <w:rPr>
          <w:rFonts w:hint="cs"/>
          <w:b/>
          <w:bCs/>
          <w:rtl/>
        </w:rPr>
        <w:tab/>
        <w:t>(و)</w:t>
      </w:r>
      <w:r w:rsidRPr="00C31665">
        <w:rPr>
          <w:rFonts w:hint="cs"/>
          <w:b/>
          <w:bCs/>
          <w:rtl/>
        </w:rPr>
        <w:tab/>
        <w:t xml:space="preserve">النظر في </w:t>
      </w:r>
      <w:r>
        <w:rPr>
          <w:rFonts w:hint="cs"/>
          <w:b/>
          <w:bCs/>
          <w:rtl/>
        </w:rPr>
        <w:t xml:space="preserve">إمكانية </w:t>
      </w:r>
      <w:r w:rsidRPr="00C31665">
        <w:rPr>
          <w:rFonts w:hint="cs"/>
          <w:b/>
          <w:bCs/>
          <w:rtl/>
        </w:rPr>
        <w:t>إغلاق سجني شالابالكا ويانامايو.</w:t>
      </w:r>
    </w:p>
    <w:p w:rsidR="00BD1F3C" w:rsidRDefault="00BD1F3C" w:rsidP="00BD1F3C">
      <w:pPr>
        <w:pStyle w:val="H23GA"/>
        <w:rPr>
          <w:rFonts w:hint="cs"/>
          <w:rtl/>
        </w:rPr>
      </w:pPr>
      <w:r>
        <w:rPr>
          <w:rFonts w:hint="cs"/>
          <w:rtl/>
        </w:rPr>
        <w:tab/>
      </w:r>
      <w:r>
        <w:rPr>
          <w:rFonts w:hint="cs"/>
          <w:rtl/>
        </w:rPr>
        <w:tab/>
        <w:t>تعيين آلية وطنية للوقاية</w:t>
      </w:r>
    </w:p>
    <w:p w:rsidR="00BD1F3C" w:rsidRDefault="00B84194" w:rsidP="008459D0">
      <w:pPr>
        <w:pStyle w:val="SingleTxtGA"/>
        <w:rPr>
          <w:rFonts w:hint="cs"/>
          <w:rtl/>
        </w:rPr>
      </w:pPr>
      <w:r>
        <w:rPr>
          <w:rFonts w:hint="cs"/>
          <w:rtl/>
        </w:rPr>
        <w:t>(</w:t>
      </w:r>
      <w:r w:rsidR="00BD1F3C">
        <w:rPr>
          <w:rFonts w:hint="cs"/>
          <w:rtl/>
        </w:rPr>
        <w:t>11</w:t>
      </w:r>
      <w:r w:rsidR="008459D0">
        <w:rPr>
          <w:rFonts w:hint="cs"/>
          <w:rtl/>
        </w:rPr>
        <w:t>)</w:t>
      </w:r>
      <w:r w:rsidR="00BD1F3C">
        <w:rPr>
          <w:rFonts w:hint="cs"/>
          <w:rtl/>
        </w:rPr>
        <w:tab/>
        <w:t>يساور اللجنة قلق بالغ لأن الدولة الطرف لم</w:t>
      </w:r>
      <w:r w:rsidR="00BD1F3C">
        <w:rPr>
          <w:rtl/>
        </w:rPr>
        <w:t> </w:t>
      </w:r>
      <w:r w:rsidR="00BD1F3C">
        <w:rPr>
          <w:rFonts w:hint="cs"/>
          <w:rtl/>
        </w:rPr>
        <w:t xml:space="preserve">تنشئ آلية وطنية للوقاية وذلك بعد مرور ستة سنوات على انضمامها إلى البروتوكول الاختياري للاتفاقية (المادة 2). </w:t>
      </w:r>
    </w:p>
    <w:p w:rsidR="00BD1F3C" w:rsidRPr="00C31665" w:rsidRDefault="00BD1F3C" w:rsidP="00BD1F3C">
      <w:pPr>
        <w:pStyle w:val="SingleTxtGA"/>
        <w:rPr>
          <w:rFonts w:hint="cs"/>
          <w:b/>
          <w:bCs/>
          <w:rtl/>
        </w:rPr>
      </w:pPr>
      <w:r w:rsidRPr="00C31665">
        <w:rPr>
          <w:rFonts w:hint="cs"/>
          <w:b/>
          <w:bCs/>
          <w:rtl/>
        </w:rPr>
        <w:tab/>
        <w:t xml:space="preserve">ينبغي للدولة الطرف أن تنشئ، دون مزيد من التأخير، </w:t>
      </w:r>
      <w:r>
        <w:rPr>
          <w:rFonts w:hint="cs"/>
          <w:b/>
          <w:bCs/>
          <w:rtl/>
        </w:rPr>
        <w:t>ال</w:t>
      </w:r>
      <w:r w:rsidRPr="00C31665">
        <w:rPr>
          <w:rFonts w:hint="cs"/>
          <w:b/>
          <w:bCs/>
          <w:rtl/>
        </w:rPr>
        <w:t xml:space="preserve">آلية </w:t>
      </w:r>
      <w:r>
        <w:rPr>
          <w:rFonts w:hint="cs"/>
          <w:b/>
          <w:bCs/>
          <w:rtl/>
        </w:rPr>
        <w:t>ال</w:t>
      </w:r>
      <w:r w:rsidRPr="00C31665">
        <w:rPr>
          <w:rFonts w:hint="cs"/>
          <w:b/>
          <w:bCs/>
          <w:rtl/>
        </w:rPr>
        <w:t xml:space="preserve">وطنية </w:t>
      </w:r>
      <w:r>
        <w:rPr>
          <w:rFonts w:hint="cs"/>
          <w:b/>
          <w:bCs/>
          <w:rtl/>
        </w:rPr>
        <w:t>ا</w:t>
      </w:r>
      <w:r w:rsidRPr="00C31665">
        <w:rPr>
          <w:rFonts w:hint="cs"/>
          <w:b/>
          <w:bCs/>
          <w:rtl/>
        </w:rPr>
        <w:t>لوقا</w:t>
      </w:r>
      <w:r>
        <w:rPr>
          <w:rFonts w:hint="cs"/>
          <w:b/>
          <w:bCs/>
          <w:rtl/>
        </w:rPr>
        <w:t>ئ</w:t>
      </w:r>
      <w:r w:rsidRPr="00C31665">
        <w:rPr>
          <w:rFonts w:hint="cs"/>
          <w:b/>
          <w:bCs/>
          <w:rtl/>
        </w:rPr>
        <w:t>ية</w:t>
      </w:r>
      <w:r>
        <w:rPr>
          <w:rFonts w:hint="cs"/>
          <w:b/>
          <w:bCs/>
          <w:rtl/>
        </w:rPr>
        <w:t xml:space="preserve"> بما</w:t>
      </w:r>
      <w:r>
        <w:rPr>
          <w:b/>
          <w:bCs/>
          <w:rtl/>
        </w:rPr>
        <w:t> </w:t>
      </w:r>
      <w:r>
        <w:rPr>
          <w:rFonts w:hint="cs"/>
          <w:b/>
          <w:bCs/>
          <w:rtl/>
        </w:rPr>
        <w:t xml:space="preserve">يتفق تماماً </w:t>
      </w:r>
      <w:r w:rsidRPr="00C31665">
        <w:rPr>
          <w:rFonts w:hint="cs"/>
          <w:b/>
          <w:bCs/>
          <w:rtl/>
        </w:rPr>
        <w:t xml:space="preserve">مع البروتوكول الاختياري وأن تزودها، بصفة خاصة، بالموارد المالية والبشرية والمادية الكافية </w:t>
      </w:r>
      <w:r>
        <w:rPr>
          <w:rFonts w:hint="cs"/>
          <w:b/>
          <w:bCs/>
          <w:rtl/>
        </w:rPr>
        <w:t>التي تمكنها من ا</w:t>
      </w:r>
      <w:r w:rsidRPr="00C31665">
        <w:rPr>
          <w:rFonts w:hint="cs"/>
          <w:b/>
          <w:bCs/>
          <w:rtl/>
        </w:rPr>
        <w:t xml:space="preserve">لاضطلاع بولايتها بفعالية. </w:t>
      </w:r>
    </w:p>
    <w:p w:rsidR="00BD1F3C" w:rsidRDefault="00BD1F3C" w:rsidP="00BD1F3C">
      <w:pPr>
        <w:pStyle w:val="H23GA"/>
        <w:rPr>
          <w:rFonts w:hint="cs"/>
          <w:rtl/>
        </w:rPr>
      </w:pPr>
      <w:r>
        <w:rPr>
          <w:rFonts w:hint="cs"/>
          <w:rtl/>
        </w:rPr>
        <w:tab/>
      </w:r>
      <w:r>
        <w:rPr>
          <w:rFonts w:hint="cs"/>
          <w:rtl/>
        </w:rPr>
        <w:tab/>
        <w:t>اللجوء إلى القوة</w:t>
      </w:r>
    </w:p>
    <w:p w:rsidR="00BD1F3C" w:rsidRDefault="008459D0" w:rsidP="008459D0">
      <w:pPr>
        <w:pStyle w:val="SingleTxtGA"/>
        <w:rPr>
          <w:rFonts w:hint="cs"/>
          <w:rtl/>
        </w:rPr>
      </w:pPr>
      <w:r>
        <w:rPr>
          <w:rFonts w:hint="cs"/>
          <w:rtl/>
        </w:rPr>
        <w:t>(</w:t>
      </w:r>
      <w:r w:rsidR="00BD1F3C">
        <w:rPr>
          <w:rFonts w:hint="cs"/>
          <w:rtl/>
        </w:rPr>
        <w:t>12</w:t>
      </w:r>
      <w:r>
        <w:rPr>
          <w:rFonts w:hint="cs"/>
          <w:rtl/>
        </w:rPr>
        <w:t>)</w:t>
      </w:r>
      <w:r w:rsidR="00BD1F3C">
        <w:rPr>
          <w:rFonts w:hint="cs"/>
          <w:rtl/>
        </w:rPr>
        <w:tab/>
        <w:t>يساور اللجنة القلق إزاء الادعاءات التي تتحدث عن لجوء الشرطة الوطنية والقوات المسلحة إلى القوة المفرطة وغير المتناسبة، بما</w:t>
      </w:r>
      <w:r w:rsidR="00BD1F3C">
        <w:rPr>
          <w:rtl/>
        </w:rPr>
        <w:t> </w:t>
      </w:r>
      <w:r w:rsidR="00BD1F3C">
        <w:rPr>
          <w:rFonts w:hint="cs"/>
          <w:rtl/>
        </w:rPr>
        <w:t>في ذلك الأسلحة النارية، خلال الاحتجاجات الاجتماعية وكذلك إزاء حالات إلقاء القبض على المدافعين عن حقوق الإنسان والمحامين وممثلي أمين المظالم وأفراد من السكان الأصليين خلال هذه الاحتجاجات، ولأنه لم</w:t>
      </w:r>
      <w:r w:rsidR="00BD1F3C">
        <w:rPr>
          <w:rtl/>
        </w:rPr>
        <w:t> </w:t>
      </w:r>
      <w:r w:rsidR="00BD1F3C">
        <w:rPr>
          <w:rFonts w:hint="cs"/>
          <w:rtl/>
        </w:rPr>
        <w:t>توجّه لأحد، حتى هذا</w:t>
      </w:r>
      <w:r w:rsidR="00BD1F3C">
        <w:rPr>
          <w:rFonts w:hint="eastAsia"/>
          <w:rtl/>
        </w:rPr>
        <w:t> </w:t>
      </w:r>
      <w:r w:rsidR="00BD1F3C">
        <w:rPr>
          <w:rFonts w:hint="cs"/>
          <w:rtl/>
        </w:rPr>
        <w:t>اليوم، أي إدانة تتعلق بحوادث باغوا وسيليندين وبامباماركا (المواد 2 و10 و12 و13 و16).</w:t>
      </w:r>
    </w:p>
    <w:p w:rsidR="00BD1F3C" w:rsidRPr="00C31665" w:rsidRDefault="00BD1F3C" w:rsidP="00BD1F3C">
      <w:pPr>
        <w:pStyle w:val="SingleTxtGA"/>
        <w:keepNext/>
        <w:rPr>
          <w:rFonts w:hint="cs"/>
          <w:b/>
          <w:bCs/>
          <w:rtl/>
        </w:rPr>
      </w:pPr>
      <w:r w:rsidRPr="00C31665">
        <w:rPr>
          <w:rFonts w:hint="cs"/>
          <w:b/>
          <w:bCs/>
          <w:rtl/>
        </w:rPr>
        <w:tab/>
        <w:t>ينبغي للدولة الطرف أن تقوم</w:t>
      </w:r>
      <w:r>
        <w:rPr>
          <w:rFonts w:hint="cs"/>
          <w:b/>
          <w:bCs/>
          <w:rtl/>
        </w:rPr>
        <w:t xml:space="preserve"> بما</w:t>
      </w:r>
      <w:r>
        <w:rPr>
          <w:b/>
          <w:bCs/>
          <w:rtl/>
        </w:rPr>
        <w:t> </w:t>
      </w:r>
      <w:r w:rsidRPr="00C31665">
        <w:rPr>
          <w:rFonts w:hint="cs"/>
          <w:b/>
          <w:bCs/>
          <w:rtl/>
        </w:rPr>
        <w:t>يلي:</w:t>
      </w:r>
    </w:p>
    <w:p w:rsidR="00BD1F3C" w:rsidRPr="00C31665" w:rsidRDefault="00BD1F3C" w:rsidP="00BD1F3C">
      <w:pPr>
        <w:pStyle w:val="SingleTxtGA"/>
        <w:rPr>
          <w:rFonts w:hint="cs"/>
          <w:b/>
          <w:bCs/>
          <w:rtl/>
        </w:rPr>
      </w:pPr>
      <w:r w:rsidRPr="00C31665">
        <w:rPr>
          <w:rFonts w:hint="cs"/>
          <w:b/>
          <w:bCs/>
          <w:rtl/>
        </w:rPr>
        <w:tab/>
        <w:t>(أ)</w:t>
      </w:r>
      <w:r w:rsidRPr="00C31665">
        <w:rPr>
          <w:rFonts w:hint="cs"/>
          <w:b/>
          <w:bCs/>
          <w:rtl/>
        </w:rPr>
        <w:tab/>
        <w:t>ضمان تلقي الموظفين المكلفين بإنفاذ القانون التدريب على الحظر التام للتعذيب وعلى المعايير الدولية بشأن استخدام القوة والأسلحة النارية،</w:t>
      </w:r>
      <w:r>
        <w:rPr>
          <w:rFonts w:hint="cs"/>
          <w:b/>
          <w:bCs/>
          <w:rtl/>
        </w:rPr>
        <w:t xml:space="preserve"> بما</w:t>
      </w:r>
      <w:r>
        <w:rPr>
          <w:b/>
          <w:bCs/>
          <w:rtl/>
        </w:rPr>
        <w:t> </w:t>
      </w:r>
      <w:r w:rsidRPr="00C31665">
        <w:rPr>
          <w:rFonts w:hint="cs"/>
          <w:b/>
          <w:bCs/>
          <w:rtl/>
        </w:rPr>
        <w:t xml:space="preserve">في ذلك عن </w:t>
      </w:r>
      <w:r>
        <w:rPr>
          <w:rFonts w:hint="cs"/>
          <w:b/>
          <w:bCs/>
          <w:rtl/>
        </w:rPr>
        <w:t xml:space="preserve">المسؤوليات التي يمكن أن تترتب </w:t>
      </w:r>
      <w:r w:rsidRPr="00C31665">
        <w:rPr>
          <w:rFonts w:hint="cs"/>
          <w:b/>
          <w:bCs/>
          <w:rtl/>
        </w:rPr>
        <w:t>في حالة اللجوء إلى القوة المفرطة؛</w:t>
      </w:r>
    </w:p>
    <w:p w:rsidR="00BD1F3C" w:rsidRPr="00C31665" w:rsidRDefault="00BD1F3C" w:rsidP="00BD1F3C">
      <w:pPr>
        <w:pStyle w:val="SingleTxtGA"/>
        <w:rPr>
          <w:rFonts w:hint="cs"/>
          <w:b/>
          <w:bCs/>
          <w:rtl/>
        </w:rPr>
      </w:pPr>
      <w:r w:rsidRPr="00C31665">
        <w:rPr>
          <w:rFonts w:hint="cs"/>
          <w:b/>
          <w:bCs/>
          <w:rtl/>
        </w:rPr>
        <w:tab/>
        <w:t>(ب)</w:t>
      </w:r>
      <w:r w:rsidRPr="00C31665">
        <w:rPr>
          <w:rFonts w:hint="cs"/>
          <w:b/>
          <w:bCs/>
          <w:rtl/>
        </w:rPr>
        <w:tab/>
        <w:t xml:space="preserve">التعجيل بالتحقيق </w:t>
      </w:r>
      <w:r>
        <w:rPr>
          <w:rFonts w:hint="cs"/>
          <w:b/>
          <w:bCs/>
          <w:rtl/>
        </w:rPr>
        <w:t xml:space="preserve">في </w:t>
      </w:r>
      <w:r w:rsidRPr="00C31665">
        <w:rPr>
          <w:rFonts w:hint="cs"/>
          <w:b/>
          <w:bCs/>
          <w:rtl/>
        </w:rPr>
        <w:t xml:space="preserve">مثل هذه الحالات </w:t>
      </w:r>
      <w:r>
        <w:rPr>
          <w:rFonts w:hint="cs"/>
          <w:b/>
          <w:bCs/>
          <w:rtl/>
        </w:rPr>
        <w:t xml:space="preserve">وملاحقة </w:t>
      </w:r>
      <w:r w:rsidRPr="00C31665">
        <w:rPr>
          <w:rFonts w:hint="cs"/>
          <w:b/>
          <w:bCs/>
          <w:rtl/>
        </w:rPr>
        <w:t>ومعاقبة الموظفين الذين تثبت إدانتهم بالقيام بمثل هذه الجرائم بعقوبات مناسبة.</w:t>
      </w:r>
    </w:p>
    <w:p w:rsidR="00BD1F3C" w:rsidRDefault="00BD1F3C" w:rsidP="00BD1F3C">
      <w:pPr>
        <w:pStyle w:val="H23GA"/>
        <w:rPr>
          <w:rFonts w:hint="cs"/>
          <w:rtl/>
        </w:rPr>
      </w:pPr>
      <w:r>
        <w:rPr>
          <w:rFonts w:hint="cs"/>
          <w:rtl/>
        </w:rPr>
        <w:tab/>
      </w:r>
      <w:r>
        <w:rPr>
          <w:rFonts w:hint="cs"/>
          <w:rtl/>
        </w:rPr>
        <w:tab/>
        <w:t>حالة الطوارئ</w:t>
      </w:r>
    </w:p>
    <w:p w:rsidR="00BD1F3C" w:rsidRPr="003E6761" w:rsidRDefault="009A0A19" w:rsidP="009A0A19">
      <w:pPr>
        <w:pStyle w:val="SingleTxtGA"/>
        <w:rPr>
          <w:rFonts w:hint="cs"/>
          <w:spacing w:val="-4"/>
          <w:rtl/>
        </w:rPr>
      </w:pPr>
      <w:r>
        <w:rPr>
          <w:rFonts w:hint="cs"/>
          <w:spacing w:val="-4"/>
          <w:rtl/>
        </w:rPr>
        <w:t>(</w:t>
      </w:r>
      <w:r w:rsidR="00BD1F3C" w:rsidRPr="003E6761">
        <w:rPr>
          <w:rFonts w:hint="cs"/>
          <w:spacing w:val="-4"/>
          <w:rtl/>
        </w:rPr>
        <w:t>13</w:t>
      </w:r>
      <w:r>
        <w:rPr>
          <w:rFonts w:hint="cs"/>
          <w:spacing w:val="-4"/>
          <w:rtl/>
        </w:rPr>
        <w:t>)</w:t>
      </w:r>
      <w:r w:rsidR="00BD1F3C" w:rsidRPr="003E6761">
        <w:rPr>
          <w:rFonts w:hint="cs"/>
          <w:spacing w:val="-4"/>
          <w:rtl/>
        </w:rPr>
        <w:tab/>
        <w:t>يساور اللجنة القلق إزاء فرض حالة الطوارئ مرات متكررة، ولأن القيود على حقوق الإنسان التي تفرض خلالها ربما تؤدي إلى انتهاك أحكام الاتفاقية، ولأن فرض حالة الطوارئ جاء في سياق احتجاجات اجتماعية سلمية. ويساور اللجنة القلق أيضاً إزاء المرسوم التشريعي رقم</w:t>
      </w:r>
      <w:r w:rsidR="00BD1F3C">
        <w:rPr>
          <w:rFonts w:hint="eastAsia"/>
          <w:spacing w:val="-4"/>
          <w:rtl/>
        </w:rPr>
        <w:t> </w:t>
      </w:r>
      <w:r w:rsidR="00BD1F3C" w:rsidRPr="003E6761">
        <w:rPr>
          <w:rFonts w:hint="cs"/>
          <w:spacing w:val="-4"/>
          <w:rtl/>
        </w:rPr>
        <w:t xml:space="preserve">1095 الصادر في 1 </w:t>
      </w:r>
      <w:r w:rsidR="00BD1F3C" w:rsidRPr="003E6761">
        <w:rPr>
          <w:rFonts w:hint="cs"/>
          <w:spacing w:val="-4"/>
          <w:sz w:val="30"/>
          <w:rtl/>
        </w:rPr>
        <w:t xml:space="preserve">أيلول/سبتمبر </w:t>
      </w:r>
      <w:r w:rsidR="00BD1F3C" w:rsidRPr="003E6761">
        <w:rPr>
          <w:rFonts w:hint="cs"/>
          <w:spacing w:val="-4"/>
          <w:rtl/>
        </w:rPr>
        <w:t>2010 الذي يسمح للمحاكم العسكرية بالبت في حالات اللجوء إلى القوة المفرطة وانتهاكات حقوق الإنسان أثناء حالة الطوارئ (المادة</w:t>
      </w:r>
      <w:r w:rsidR="00BD1F3C" w:rsidRPr="003E6761">
        <w:rPr>
          <w:rFonts w:hint="eastAsia"/>
          <w:spacing w:val="-4"/>
          <w:rtl/>
        </w:rPr>
        <w:t> </w:t>
      </w:r>
      <w:r w:rsidR="00BD1F3C" w:rsidRPr="003E6761">
        <w:rPr>
          <w:rFonts w:hint="cs"/>
          <w:spacing w:val="-4"/>
          <w:rtl/>
        </w:rPr>
        <w:t>2).</w:t>
      </w:r>
    </w:p>
    <w:p w:rsidR="00BD1F3C" w:rsidRPr="00C31665" w:rsidRDefault="00BD1F3C" w:rsidP="00BD1F3C">
      <w:pPr>
        <w:pStyle w:val="SingleTxtGA"/>
        <w:rPr>
          <w:rFonts w:hint="cs"/>
          <w:b/>
          <w:bCs/>
          <w:rtl/>
        </w:rPr>
      </w:pPr>
      <w:r w:rsidRPr="00C31665">
        <w:rPr>
          <w:rFonts w:hint="cs"/>
          <w:b/>
          <w:bCs/>
          <w:rtl/>
        </w:rPr>
        <w:tab/>
        <w:t xml:space="preserve">ينبغي للدولة الطرف </w:t>
      </w:r>
      <w:r>
        <w:rPr>
          <w:rFonts w:hint="cs"/>
          <w:b/>
          <w:bCs/>
          <w:rtl/>
        </w:rPr>
        <w:t xml:space="preserve">أن تقصر </w:t>
      </w:r>
      <w:r w:rsidRPr="00C31665">
        <w:rPr>
          <w:rFonts w:hint="cs"/>
          <w:b/>
          <w:bCs/>
          <w:rtl/>
        </w:rPr>
        <w:t xml:space="preserve">اللجوء إلى فرض حالة الطوارئ على </w:t>
      </w:r>
      <w:r>
        <w:rPr>
          <w:rFonts w:hint="cs"/>
          <w:b/>
          <w:bCs/>
          <w:rtl/>
        </w:rPr>
        <w:t xml:space="preserve">الظروف التي يكون فيها هذا اللجوء بدافع </w:t>
      </w:r>
      <w:r w:rsidRPr="00C31665">
        <w:rPr>
          <w:rFonts w:hint="cs"/>
          <w:b/>
          <w:bCs/>
          <w:rtl/>
        </w:rPr>
        <w:t>الضرورة القصوى</w:t>
      </w:r>
      <w:r>
        <w:rPr>
          <w:rFonts w:hint="cs"/>
          <w:b/>
          <w:bCs/>
          <w:rtl/>
        </w:rPr>
        <w:t>،</w:t>
      </w:r>
      <w:r w:rsidRPr="00C31665">
        <w:rPr>
          <w:rFonts w:hint="cs"/>
          <w:b/>
          <w:bCs/>
          <w:rtl/>
        </w:rPr>
        <w:t xml:space="preserve"> وأن تحترم في جميع الأوقات أحكام الاتفاقية التي تنص على أنه</w:t>
      </w:r>
      <w:r>
        <w:rPr>
          <w:rFonts w:hint="cs"/>
          <w:b/>
          <w:bCs/>
          <w:rtl/>
        </w:rPr>
        <w:t xml:space="preserve"> لا</w:t>
      </w:r>
      <w:r>
        <w:rPr>
          <w:b/>
          <w:bCs/>
          <w:rtl/>
        </w:rPr>
        <w:t> </w:t>
      </w:r>
      <w:r w:rsidRPr="00C31665">
        <w:rPr>
          <w:rFonts w:hint="cs"/>
          <w:b/>
          <w:bCs/>
          <w:rtl/>
        </w:rPr>
        <w:t xml:space="preserve">يجوز التذرع بالظروف الاستثنائية لتبرير التعذيب. وينبغي للدولة الطرف أن تنظر في </w:t>
      </w:r>
      <w:r>
        <w:rPr>
          <w:rFonts w:hint="cs"/>
          <w:b/>
          <w:bCs/>
          <w:rtl/>
        </w:rPr>
        <w:t xml:space="preserve">إمكانية </w:t>
      </w:r>
      <w:r w:rsidRPr="00C31665">
        <w:rPr>
          <w:rFonts w:hint="cs"/>
          <w:b/>
          <w:bCs/>
          <w:rtl/>
        </w:rPr>
        <w:t xml:space="preserve">تعديل المرسوم التشريعي رقم 1095 لكي تتطابق جميع أحكامه مع التزامات الدولة الطرف بموجب الاتفاقية. </w:t>
      </w:r>
    </w:p>
    <w:p w:rsidR="00BD1F3C" w:rsidRDefault="00BD1F3C" w:rsidP="009F2FC3">
      <w:pPr>
        <w:pStyle w:val="H23GA"/>
        <w:rPr>
          <w:rFonts w:hint="cs"/>
          <w:rtl/>
          <w:lang w:val="fr-CH"/>
        </w:rPr>
      </w:pPr>
      <w:r>
        <w:rPr>
          <w:rFonts w:hint="cs"/>
          <w:rtl/>
          <w:lang w:val="fr-CH"/>
        </w:rPr>
        <w:tab/>
      </w:r>
      <w:r>
        <w:rPr>
          <w:rFonts w:hint="cs"/>
          <w:rtl/>
          <w:lang w:val="fr-CH"/>
        </w:rPr>
        <w:tab/>
        <w:t>العنف ضد المرأة</w:t>
      </w:r>
    </w:p>
    <w:p w:rsidR="00BD1F3C" w:rsidRPr="00772708" w:rsidRDefault="00453CA7" w:rsidP="009F2FC3">
      <w:pPr>
        <w:pStyle w:val="SingleTxtGA"/>
        <w:rPr>
          <w:rFonts w:hint="cs"/>
          <w:spacing w:val="-2"/>
          <w:rtl/>
          <w:lang w:val="fr-CH"/>
        </w:rPr>
      </w:pPr>
      <w:r>
        <w:rPr>
          <w:rFonts w:hint="cs"/>
          <w:spacing w:val="-2"/>
          <w:rtl/>
          <w:lang w:val="fr-CH"/>
        </w:rPr>
        <w:t>(</w:t>
      </w:r>
      <w:r w:rsidR="00BD1F3C" w:rsidRPr="00772708">
        <w:rPr>
          <w:rFonts w:hint="cs"/>
          <w:spacing w:val="-2"/>
          <w:rtl/>
          <w:lang w:val="fr-CH"/>
        </w:rPr>
        <w:t>14</w:t>
      </w:r>
      <w:r>
        <w:rPr>
          <w:rFonts w:hint="cs"/>
          <w:spacing w:val="-2"/>
          <w:rtl/>
          <w:lang w:val="fr-CH"/>
        </w:rPr>
        <w:t>)</w:t>
      </w:r>
      <w:r w:rsidR="00BD1F3C" w:rsidRPr="00772708">
        <w:rPr>
          <w:rFonts w:hint="cs"/>
          <w:spacing w:val="-2"/>
          <w:rtl/>
          <w:lang w:val="fr-CH"/>
        </w:rPr>
        <w:tab/>
        <w:t>يساور اللجنة القلق إزاء التقارير التي تفيد بانتشار العنف ضد المرأة والفتيات، بما</w:t>
      </w:r>
      <w:r w:rsidR="00BD1F3C" w:rsidRPr="00772708">
        <w:rPr>
          <w:spacing w:val="-2"/>
          <w:rtl/>
          <w:lang w:val="fr-CH"/>
        </w:rPr>
        <w:t> </w:t>
      </w:r>
      <w:r w:rsidR="00BD1F3C" w:rsidRPr="00772708">
        <w:rPr>
          <w:rFonts w:hint="cs"/>
          <w:spacing w:val="-2"/>
          <w:rtl/>
          <w:lang w:val="fr-CH"/>
        </w:rPr>
        <w:t>في ذلك العنف المنزلي والجنسي وقتل الإناث، وإزاء انخفاض عدد التحقيقات والملاحقات في مثل هذه القضايا، وكذلك إزاء انعدام الإحصاءات عن حالات العنف الجنسي. وفيما</w:t>
      </w:r>
      <w:r w:rsidR="00BD1F3C" w:rsidRPr="00772708">
        <w:rPr>
          <w:spacing w:val="-2"/>
          <w:rtl/>
          <w:lang w:val="fr-CH"/>
        </w:rPr>
        <w:t> </w:t>
      </w:r>
      <w:r w:rsidR="00BD1F3C" w:rsidRPr="00772708">
        <w:rPr>
          <w:rFonts w:hint="cs"/>
          <w:spacing w:val="-2"/>
          <w:rtl/>
          <w:lang w:val="fr-CH"/>
        </w:rPr>
        <w:t>تلاحظ اللجنة اعتماد الدولة الطرف خطة العمل الوطنية الثانية لمكافحة العنف ضد المرأة للفترة</w:t>
      </w:r>
      <w:r w:rsidR="00BD1F3C">
        <w:rPr>
          <w:rFonts w:hint="eastAsia"/>
          <w:spacing w:val="-2"/>
          <w:rtl/>
          <w:lang w:val="fr-CH"/>
        </w:rPr>
        <w:t> </w:t>
      </w:r>
      <w:r w:rsidR="00BD1F3C" w:rsidRPr="00772708">
        <w:rPr>
          <w:rFonts w:hint="cs"/>
          <w:spacing w:val="-2"/>
          <w:rtl/>
          <w:lang w:val="fr-CH"/>
        </w:rPr>
        <w:t>2009-2015، يساورها القلق لأن العنف المنزلي وأشكال العنف الجنسي والمضايقة الجنسية غير جريمة الاغتصاب، لا</w:t>
      </w:r>
      <w:r w:rsidR="00BD1F3C" w:rsidRPr="00772708">
        <w:rPr>
          <w:spacing w:val="-2"/>
          <w:rtl/>
          <w:lang w:val="fr-CH"/>
        </w:rPr>
        <w:t> </w:t>
      </w:r>
      <w:r w:rsidR="00BD1F3C" w:rsidRPr="00772708">
        <w:rPr>
          <w:rFonts w:hint="cs"/>
          <w:spacing w:val="-2"/>
          <w:rtl/>
          <w:lang w:val="fr-CH"/>
        </w:rPr>
        <w:t>يجرمها القانون الجنائي، وإزاء العقبات التي يواجهها ضحايا العنف عند اللجوء إلى القضاء، إلى جانب عدم كفاية عدد الملاجئ لاستضافة الضحايا (المواد</w:t>
      </w:r>
      <w:r w:rsidR="00BD1F3C">
        <w:rPr>
          <w:rFonts w:hint="eastAsia"/>
          <w:spacing w:val="-2"/>
          <w:rtl/>
          <w:lang w:val="fr-CH"/>
        </w:rPr>
        <w:t> </w:t>
      </w:r>
      <w:r w:rsidR="00BD1F3C" w:rsidRPr="00772708">
        <w:rPr>
          <w:rFonts w:hint="cs"/>
          <w:spacing w:val="-2"/>
          <w:rtl/>
          <w:lang w:val="fr-CH"/>
        </w:rPr>
        <w:t>2 و12 و13 و16).</w:t>
      </w:r>
    </w:p>
    <w:p w:rsidR="00BD1F3C" w:rsidRPr="00C31665" w:rsidRDefault="00BD1F3C" w:rsidP="009F2FC3">
      <w:pPr>
        <w:pStyle w:val="SingleTxtGA"/>
        <w:rPr>
          <w:rFonts w:hint="cs"/>
          <w:b/>
          <w:bCs/>
          <w:rtl/>
          <w:lang w:val="fr-CH"/>
        </w:rPr>
      </w:pPr>
      <w:r w:rsidRPr="00C31665">
        <w:rPr>
          <w:rFonts w:hint="cs"/>
          <w:b/>
          <w:bCs/>
          <w:rtl/>
          <w:lang w:val="fr-CH"/>
        </w:rPr>
        <w:tab/>
        <w:t xml:space="preserve">ينبغي للدولة الطرف أن تكثف جهودها وأن تكفل فوراً تنفيذ تدابير حمائية فعالة لمنع ومكافحة جميع أشكال العنف ضد المرأة والفتيات وتعديل تشريعها </w:t>
      </w:r>
      <w:r>
        <w:rPr>
          <w:rFonts w:hint="cs"/>
          <w:b/>
          <w:bCs/>
          <w:rtl/>
          <w:lang w:val="fr-CH"/>
        </w:rPr>
        <w:t>بحيث تجرِّم ا</w:t>
      </w:r>
      <w:r w:rsidRPr="00C31665">
        <w:rPr>
          <w:rFonts w:hint="cs"/>
          <w:b/>
          <w:bCs/>
          <w:rtl/>
          <w:lang w:val="fr-CH"/>
        </w:rPr>
        <w:t>لعنف وأشكال العنف الجنسي بموجب القانون الجنائي،</w:t>
      </w:r>
      <w:r>
        <w:rPr>
          <w:rFonts w:hint="cs"/>
          <w:b/>
          <w:bCs/>
          <w:rtl/>
          <w:lang w:val="fr-CH"/>
        </w:rPr>
        <w:t xml:space="preserve"> كما</w:t>
      </w:r>
      <w:r>
        <w:rPr>
          <w:b/>
          <w:bCs/>
          <w:rtl/>
          <w:lang w:val="fr-CH"/>
        </w:rPr>
        <w:t> </w:t>
      </w:r>
      <w:r w:rsidRPr="00C31665">
        <w:rPr>
          <w:rFonts w:hint="cs"/>
          <w:b/>
          <w:bCs/>
          <w:rtl/>
          <w:lang w:val="fr-CH"/>
        </w:rPr>
        <w:t xml:space="preserve">هو الحال بالنسبة للاغتصاب، وأن تعطي صورة أوضح عن انتشار هذه الجريمة. وينبغي للدولة الطرف أيضاً أن تعزز جميع </w:t>
      </w:r>
      <w:r>
        <w:rPr>
          <w:rFonts w:hint="cs"/>
          <w:b/>
          <w:bCs/>
          <w:rtl/>
          <w:lang w:val="fr-CH"/>
        </w:rPr>
        <w:t xml:space="preserve">مبادراتها الرامية إلى </w:t>
      </w:r>
      <w:r w:rsidRPr="00C31665">
        <w:rPr>
          <w:rFonts w:hint="cs"/>
          <w:b/>
          <w:bCs/>
          <w:rtl/>
          <w:lang w:val="fr-CH"/>
        </w:rPr>
        <w:t xml:space="preserve">منع العنف ضد المرأة وأن تعزز </w:t>
      </w:r>
      <w:r>
        <w:rPr>
          <w:rFonts w:hint="cs"/>
          <w:b/>
          <w:bCs/>
          <w:rtl/>
          <w:lang w:val="fr-CH"/>
        </w:rPr>
        <w:t>الفرص المتاحة للضحايا للجوء إلى القضاء</w:t>
      </w:r>
      <w:r w:rsidRPr="00C31665">
        <w:rPr>
          <w:rFonts w:hint="cs"/>
          <w:b/>
          <w:bCs/>
          <w:rtl/>
          <w:lang w:val="fr-CH"/>
        </w:rPr>
        <w:t xml:space="preserve">، وأن تكفل التحقيق في جميع أفعال العنف </w:t>
      </w:r>
      <w:r>
        <w:rPr>
          <w:rFonts w:hint="cs"/>
          <w:b/>
          <w:bCs/>
          <w:rtl/>
          <w:lang w:val="fr-CH"/>
        </w:rPr>
        <w:t xml:space="preserve">ومقاضاة </w:t>
      </w:r>
      <w:r w:rsidRPr="00C31665">
        <w:rPr>
          <w:rFonts w:hint="cs"/>
          <w:b/>
          <w:bCs/>
          <w:rtl/>
          <w:lang w:val="fr-CH"/>
        </w:rPr>
        <w:t>مرتكبيها، بشكل فوري وفعال ونزيه</w:t>
      </w:r>
      <w:r>
        <w:rPr>
          <w:rFonts w:hint="cs"/>
          <w:b/>
          <w:bCs/>
          <w:rtl/>
          <w:lang w:val="fr-CH"/>
        </w:rPr>
        <w:t>،</w:t>
      </w:r>
      <w:r w:rsidRPr="00C31665">
        <w:rPr>
          <w:rFonts w:hint="cs"/>
          <w:b/>
          <w:bCs/>
          <w:rtl/>
          <w:lang w:val="fr-CH"/>
        </w:rPr>
        <w:t xml:space="preserve"> وإحضار الجناة أمام القضاء وتقديم الانتصاف للضحايا. وينبغي للدولة الطرف ألا</w:t>
      </w:r>
      <w:r>
        <w:rPr>
          <w:rFonts w:hint="eastAsia"/>
          <w:b/>
          <w:bCs/>
          <w:rtl/>
          <w:lang w:val="fr-CH"/>
        </w:rPr>
        <w:t> </w:t>
      </w:r>
      <w:r w:rsidRPr="00C31665">
        <w:rPr>
          <w:rFonts w:hint="cs"/>
          <w:b/>
          <w:bCs/>
          <w:rtl/>
          <w:lang w:val="fr-CH"/>
        </w:rPr>
        <w:t xml:space="preserve">تكتفي بإنشاء آلية فعالة لتقديم الشكاوى للنساء والفتيات بل أن تُنشئ أيضاً آلية رصد لمنع جميع أشكال العنف ضدهن. وينبغي لوزارة الصحة أن تقدم التدريب المتخصص للعاملين الصحيين الذين يتعاملون مع ضحايا العنف وتُنشئ نظاماً واحداً موحداً للاحتفاظ بسجلات حالات العنف ضد النساء. وينبغي تنظيم حملات توعية </w:t>
      </w:r>
      <w:r>
        <w:rPr>
          <w:rFonts w:hint="cs"/>
          <w:b/>
          <w:bCs/>
          <w:rtl/>
          <w:lang w:val="fr-CH"/>
        </w:rPr>
        <w:t xml:space="preserve">واسعة </w:t>
      </w:r>
      <w:r w:rsidRPr="00C31665">
        <w:rPr>
          <w:rFonts w:hint="cs"/>
          <w:b/>
          <w:bCs/>
          <w:rtl/>
          <w:lang w:val="fr-CH"/>
        </w:rPr>
        <w:t>لصالح الموظفين المكلفين بإنفاذ القانون والقضاة والمحامين والعمال الاجتماعيين وتدريبهم في مجال مكافحة ومنع العنف ضد النساء والفتيات</w:t>
      </w:r>
      <w:r>
        <w:rPr>
          <w:rFonts w:hint="cs"/>
          <w:b/>
          <w:bCs/>
          <w:rtl/>
          <w:lang w:val="fr-CH"/>
        </w:rPr>
        <w:t>.</w:t>
      </w:r>
      <w:r w:rsidRPr="00C31665">
        <w:rPr>
          <w:rFonts w:hint="cs"/>
          <w:b/>
          <w:bCs/>
          <w:rtl/>
          <w:lang w:val="fr-CH"/>
        </w:rPr>
        <w:t xml:space="preserve"> </w:t>
      </w:r>
    </w:p>
    <w:p w:rsidR="00BD1F3C" w:rsidRPr="00DE44FE" w:rsidRDefault="00BD1F3C" w:rsidP="009F2FC3">
      <w:pPr>
        <w:pStyle w:val="H23GA"/>
        <w:rPr>
          <w:rFonts w:hint="cs"/>
          <w:rtl/>
          <w:lang w:val="fr-CH"/>
        </w:rPr>
      </w:pPr>
      <w:r>
        <w:rPr>
          <w:rFonts w:hint="cs"/>
          <w:rtl/>
          <w:lang w:val="fr-CH"/>
        </w:rPr>
        <w:tab/>
      </w:r>
      <w:r>
        <w:rPr>
          <w:rFonts w:hint="cs"/>
          <w:rtl/>
          <w:lang w:val="fr-CH"/>
        </w:rPr>
        <w:tab/>
        <w:t>الصحة والحقوق الإنجابية</w:t>
      </w:r>
    </w:p>
    <w:p w:rsidR="00BD1F3C" w:rsidRDefault="00453CA7" w:rsidP="009F2FC3">
      <w:pPr>
        <w:pStyle w:val="SingleTxtGA"/>
        <w:rPr>
          <w:rFonts w:hint="cs"/>
          <w:rtl/>
          <w:lang w:val="fr-CH"/>
        </w:rPr>
      </w:pPr>
      <w:r>
        <w:rPr>
          <w:rFonts w:hint="cs"/>
          <w:rtl/>
          <w:lang w:val="fr-CH"/>
        </w:rPr>
        <w:t>(</w:t>
      </w:r>
      <w:r w:rsidR="00BD1F3C">
        <w:rPr>
          <w:rFonts w:hint="cs"/>
          <w:rtl/>
          <w:lang w:val="fr-CH"/>
        </w:rPr>
        <w:t>15</w:t>
      </w:r>
      <w:r>
        <w:rPr>
          <w:rFonts w:hint="cs"/>
          <w:rtl/>
          <w:lang w:val="fr-CH"/>
        </w:rPr>
        <w:t>)</w:t>
      </w:r>
      <w:r w:rsidR="00BD1F3C">
        <w:rPr>
          <w:rFonts w:hint="cs"/>
          <w:rtl/>
          <w:lang w:val="fr-CH"/>
        </w:rPr>
        <w:tab/>
        <w:t>يساور اللجنة قلق بالغ إزاء حالات الإجهاض غير القانوني التي تشكل أحد أهم أسباب ارتفاع وفيات الأمومة في الدولة الطرف، وإزاء التفسير المفرط في التقييد وغير الواضح للإجهاض القانوني في حالات الضرورة الطبية، مما</w:t>
      </w:r>
      <w:r w:rsidR="00BD1F3C">
        <w:rPr>
          <w:rtl/>
          <w:lang w:val="fr-CH"/>
        </w:rPr>
        <w:t> </w:t>
      </w:r>
      <w:r w:rsidR="00BD1F3C">
        <w:rPr>
          <w:rFonts w:hint="cs"/>
          <w:rtl/>
          <w:lang w:val="fr-CH"/>
        </w:rPr>
        <w:t xml:space="preserve">يدفع المرأة إلى اللجوء إلى الإجهاض غير القانوني وغير الآمن. ويساور اللجنة قلق بالغ إزاء تجريم الإجهاض في حالات الاغتصاب وسفاح المحارم وكذلك لأن المحكمة الدستورية تحظر توزيع وسائل منع الحمل الفموية الاستعجالية لضحايا الاغتصاب. ويساور اللجنة قلق أيضاً لأن القانون المعمول به يجبر الأطباء على تقديم المعلومات المتعلقة بالمرأة التي تلجأ إلى خدمات الصحة بعد الإجهاض إلى السلطات، الأمر الذي قد يؤدي إلى إجراء تحقيق معها وملاحقتها </w:t>
      </w:r>
      <w:r w:rsidR="00BD1F3C" w:rsidRPr="00717669">
        <w:rPr>
          <w:rFonts w:hint="cs"/>
          <w:rtl/>
          <w:lang w:val="fr-CH"/>
        </w:rPr>
        <w:t>جنائي</w:t>
      </w:r>
      <w:r w:rsidR="00BD1F3C">
        <w:rPr>
          <w:rFonts w:hint="cs"/>
          <w:rtl/>
          <w:lang w:val="fr-CH"/>
        </w:rPr>
        <w:t>اً مما</w:t>
      </w:r>
      <w:r w:rsidR="00BD1F3C">
        <w:rPr>
          <w:rtl/>
          <w:lang w:val="fr-CH"/>
        </w:rPr>
        <w:t> </w:t>
      </w:r>
      <w:r w:rsidR="00BD1F3C">
        <w:rPr>
          <w:rFonts w:hint="cs"/>
          <w:rtl/>
          <w:lang w:val="fr-CH"/>
        </w:rPr>
        <w:t>يُثير مخاوف كبيرة من تعرضها للعقاب، وهو ما</w:t>
      </w:r>
      <w:r w:rsidR="00BD1F3C">
        <w:rPr>
          <w:rtl/>
          <w:lang w:val="fr-CH"/>
        </w:rPr>
        <w:t> </w:t>
      </w:r>
      <w:r w:rsidR="00BD1F3C">
        <w:rPr>
          <w:rFonts w:hint="cs"/>
          <w:rtl/>
          <w:lang w:val="fr-CH"/>
        </w:rPr>
        <w:t>يشكل عملياً حرماناً من خدمات الإجهاض القانونية. ويساور اللجنة القلق أيضاً إزاء التعقيم القسري الذي خضعت له 000 2 امرأة في إطار البرنامج الوطني للصحة الإنجابية وتنظيم الأسرة بين عامي 1996 و2000 ولأن النساء المعنيات لم</w:t>
      </w:r>
      <w:r w:rsidR="00BD1F3C">
        <w:rPr>
          <w:rtl/>
          <w:lang w:val="fr-CH"/>
        </w:rPr>
        <w:t> </w:t>
      </w:r>
      <w:r w:rsidR="00BD1F3C">
        <w:rPr>
          <w:rFonts w:hint="cs"/>
          <w:rtl/>
          <w:lang w:val="fr-CH"/>
        </w:rPr>
        <w:t>يحصلن بعد على تعويضات (المواد 2 و10 و12 و13 و14 و15 و16).</w:t>
      </w:r>
    </w:p>
    <w:p w:rsidR="00BD1F3C" w:rsidRPr="00C31665" w:rsidRDefault="00BD1F3C" w:rsidP="009F2FC3">
      <w:pPr>
        <w:pStyle w:val="SingleTxtGA"/>
        <w:rPr>
          <w:rFonts w:hint="cs"/>
          <w:b/>
          <w:bCs/>
          <w:rtl/>
          <w:lang w:val="fr-CH"/>
        </w:rPr>
      </w:pPr>
      <w:r w:rsidRPr="00C31665">
        <w:rPr>
          <w:rFonts w:hint="cs"/>
          <w:b/>
          <w:bCs/>
          <w:rtl/>
          <w:lang w:val="fr-CH"/>
        </w:rPr>
        <w:tab/>
        <w:t xml:space="preserve">ينبغي للدولة الطرف أن تراجع تشريعها </w:t>
      </w:r>
      <w:r>
        <w:rPr>
          <w:rFonts w:hint="cs"/>
          <w:b/>
          <w:bCs/>
          <w:rtl/>
          <w:lang w:val="fr-CH"/>
        </w:rPr>
        <w:t>للأغراض التالية:</w:t>
      </w:r>
    </w:p>
    <w:p w:rsidR="00BD1F3C" w:rsidRPr="00C31665" w:rsidRDefault="00BD1F3C" w:rsidP="009F2FC3">
      <w:pPr>
        <w:pStyle w:val="SingleTxtGA"/>
        <w:rPr>
          <w:rFonts w:hint="cs"/>
          <w:b/>
          <w:bCs/>
          <w:rtl/>
          <w:lang w:val="fr-CH"/>
        </w:rPr>
      </w:pPr>
      <w:r w:rsidRPr="00C31665">
        <w:rPr>
          <w:rFonts w:hint="cs"/>
          <w:b/>
          <w:bCs/>
          <w:rtl/>
          <w:lang w:val="fr-CH"/>
        </w:rPr>
        <w:tab/>
        <w:t>(أ)</w:t>
      </w:r>
      <w:r w:rsidRPr="00C31665">
        <w:rPr>
          <w:rFonts w:hint="cs"/>
          <w:b/>
          <w:bCs/>
          <w:rtl/>
          <w:lang w:val="fr-CH"/>
        </w:rPr>
        <w:tab/>
        <w:t xml:space="preserve">تعديل الحظر </w:t>
      </w:r>
      <w:r>
        <w:rPr>
          <w:rFonts w:hint="cs"/>
          <w:b/>
          <w:bCs/>
          <w:rtl/>
          <w:lang w:val="fr-CH"/>
        </w:rPr>
        <w:t xml:space="preserve">العام للإجهاض بغية إجازة هذه العملية في </w:t>
      </w:r>
      <w:r w:rsidRPr="00C31665">
        <w:rPr>
          <w:rFonts w:hint="cs"/>
          <w:b/>
          <w:bCs/>
          <w:rtl/>
          <w:lang w:val="fr-CH"/>
        </w:rPr>
        <w:t>حالة الحمل الناجم عن الاغتصاب</w:t>
      </w:r>
      <w:r>
        <w:rPr>
          <w:rFonts w:hint="cs"/>
          <w:b/>
          <w:bCs/>
          <w:rtl/>
          <w:lang w:val="fr-CH"/>
        </w:rPr>
        <w:t xml:space="preserve"> أو</w:t>
      </w:r>
      <w:r>
        <w:rPr>
          <w:b/>
          <w:bCs/>
          <w:rtl/>
          <w:lang w:val="fr-CH"/>
        </w:rPr>
        <w:t> </w:t>
      </w:r>
      <w:r w:rsidRPr="00C31665">
        <w:rPr>
          <w:rFonts w:hint="cs"/>
          <w:b/>
          <w:bCs/>
          <w:rtl/>
          <w:lang w:val="fr-CH"/>
        </w:rPr>
        <w:t>سفاح المحارم</w:t>
      </w:r>
      <w:r>
        <w:rPr>
          <w:rFonts w:hint="cs"/>
          <w:b/>
          <w:bCs/>
          <w:rtl/>
          <w:lang w:val="fr-CH"/>
        </w:rPr>
        <w:t>،</w:t>
      </w:r>
      <w:r w:rsidRPr="00C31665">
        <w:rPr>
          <w:rFonts w:hint="cs"/>
          <w:b/>
          <w:bCs/>
          <w:rtl/>
          <w:lang w:val="fr-CH"/>
        </w:rPr>
        <w:t xml:space="preserve"> وتقديم </w:t>
      </w:r>
      <w:r>
        <w:rPr>
          <w:rFonts w:hint="cs"/>
          <w:b/>
          <w:bCs/>
          <w:rtl/>
          <w:lang w:val="fr-CH"/>
        </w:rPr>
        <w:t>خدمات الرعاية ال</w:t>
      </w:r>
      <w:r w:rsidRPr="00C31665">
        <w:rPr>
          <w:rFonts w:hint="cs"/>
          <w:b/>
          <w:bCs/>
          <w:rtl/>
          <w:lang w:val="fr-CH"/>
        </w:rPr>
        <w:t xml:space="preserve">صحية </w:t>
      </w:r>
      <w:r>
        <w:rPr>
          <w:rFonts w:hint="cs"/>
          <w:b/>
          <w:bCs/>
          <w:rtl/>
          <w:lang w:val="fr-CH"/>
        </w:rPr>
        <w:t>ال</w:t>
      </w:r>
      <w:r w:rsidRPr="00C31665">
        <w:rPr>
          <w:rFonts w:hint="cs"/>
          <w:b/>
          <w:bCs/>
          <w:rtl/>
          <w:lang w:val="fr-CH"/>
        </w:rPr>
        <w:t xml:space="preserve">مجانية </w:t>
      </w:r>
      <w:r>
        <w:rPr>
          <w:rFonts w:hint="cs"/>
          <w:b/>
          <w:bCs/>
          <w:rtl/>
          <w:lang w:val="fr-CH"/>
        </w:rPr>
        <w:t xml:space="preserve">لضحايا </w:t>
      </w:r>
      <w:r w:rsidRPr="00C31665">
        <w:rPr>
          <w:rFonts w:hint="cs"/>
          <w:b/>
          <w:bCs/>
          <w:rtl/>
          <w:lang w:val="fr-CH"/>
        </w:rPr>
        <w:t>الاغتصاب؛</w:t>
      </w:r>
    </w:p>
    <w:p w:rsidR="00BD1F3C" w:rsidRPr="00C31665" w:rsidRDefault="00BD1F3C" w:rsidP="009F2FC3">
      <w:pPr>
        <w:pStyle w:val="SingleTxtGA"/>
        <w:rPr>
          <w:rFonts w:hint="cs"/>
          <w:b/>
          <w:bCs/>
          <w:rtl/>
          <w:lang w:val="fr-CH"/>
        </w:rPr>
      </w:pPr>
      <w:r w:rsidRPr="00C31665">
        <w:rPr>
          <w:rFonts w:hint="cs"/>
          <w:b/>
          <w:bCs/>
          <w:rtl/>
          <w:lang w:val="fr-CH"/>
        </w:rPr>
        <w:tab/>
        <w:t>(ب)</w:t>
      </w:r>
      <w:r w:rsidRPr="00C31665">
        <w:rPr>
          <w:rFonts w:hint="cs"/>
          <w:b/>
          <w:bCs/>
          <w:rtl/>
          <w:lang w:val="fr-CH"/>
        </w:rPr>
        <w:tab/>
      </w:r>
      <w:r>
        <w:rPr>
          <w:rFonts w:hint="cs"/>
          <w:b/>
          <w:bCs/>
          <w:rtl/>
          <w:lang w:val="fr-CH"/>
        </w:rPr>
        <w:t xml:space="preserve">إقرار مشروعية </w:t>
      </w:r>
      <w:r w:rsidRPr="00C31665">
        <w:rPr>
          <w:rFonts w:hint="cs"/>
          <w:b/>
          <w:bCs/>
          <w:rtl/>
          <w:lang w:val="fr-CH"/>
        </w:rPr>
        <w:t xml:space="preserve">توزيع وسائل منع الحمل الفموية </w:t>
      </w:r>
      <w:r>
        <w:rPr>
          <w:rFonts w:hint="cs"/>
          <w:b/>
          <w:bCs/>
          <w:rtl/>
          <w:lang w:val="fr-CH"/>
        </w:rPr>
        <w:t xml:space="preserve">الاستعجالية </w:t>
      </w:r>
      <w:r w:rsidRPr="00C31665">
        <w:rPr>
          <w:rFonts w:hint="cs"/>
          <w:b/>
          <w:bCs/>
          <w:rtl/>
          <w:lang w:val="fr-CH"/>
        </w:rPr>
        <w:t>على ضحايا الاغتصاب؛</w:t>
      </w:r>
    </w:p>
    <w:p w:rsidR="00BD1F3C" w:rsidRPr="00C31665" w:rsidRDefault="00BD1F3C" w:rsidP="009F2FC3">
      <w:pPr>
        <w:pStyle w:val="SingleTxtGA"/>
        <w:rPr>
          <w:rFonts w:hint="cs"/>
          <w:b/>
          <w:bCs/>
          <w:rtl/>
          <w:lang w:val="fr-CH"/>
        </w:rPr>
      </w:pPr>
      <w:r w:rsidRPr="00C31665">
        <w:rPr>
          <w:rFonts w:hint="cs"/>
          <w:b/>
          <w:bCs/>
          <w:rtl/>
          <w:lang w:val="fr-CH"/>
        </w:rPr>
        <w:tab/>
        <w:t>(ج)</w:t>
      </w:r>
      <w:r w:rsidRPr="00C31665">
        <w:rPr>
          <w:rFonts w:hint="cs"/>
          <w:b/>
          <w:bCs/>
          <w:rtl/>
          <w:lang w:val="fr-CH"/>
        </w:rPr>
        <w:tab/>
        <w:t>ضمان قيام وزارة الصحة بتوعية العاملين في القطاع الصحي وإعلامهم بالبروتوكولات المتعلقة بعمليات الإجهاض القانوني وضمان العلاج الفوري وغير المشروط للأشخاص الذين يلتمسون الرعاية الطبية الفورية؛</w:t>
      </w:r>
    </w:p>
    <w:p w:rsidR="00BD1F3C" w:rsidRPr="00C31665" w:rsidRDefault="00BD1F3C" w:rsidP="009F2FC3">
      <w:pPr>
        <w:pStyle w:val="SingleTxtGA"/>
        <w:rPr>
          <w:rFonts w:hint="cs"/>
          <w:b/>
          <w:bCs/>
          <w:rtl/>
          <w:lang w:val="fr-CH"/>
        </w:rPr>
      </w:pPr>
      <w:r w:rsidRPr="00C31665">
        <w:rPr>
          <w:rFonts w:hint="cs"/>
          <w:b/>
          <w:bCs/>
          <w:rtl/>
          <w:lang w:val="fr-CH"/>
        </w:rPr>
        <w:tab/>
        <w:t>(د)</w:t>
      </w:r>
      <w:r w:rsidRPr="00C31665">
        <w:rPr>
          <w:rFonts w:hint="cs"/>
          <w:b/>
          <w:bCs/>
          <w:rtl/>
          <w:lang w:val="fr-CH"/>
        </w:rPr>
        <w:tab/>
        <w:t xml:space="preserve">القضاء على الممارسة التي تنطوي على </w:t>
      </w:r>
      <w:r>
        <w:rPr>
          <w:rFonts w:hint="cs"/>
          <w:b/>
          <w:bCs/>
          <w:rtl/>
          <w:lang w:val="fr-CH"/>
        </w:rPr>
        <w:t xml:space="preserve">الاعتراف المتمثلة في حمل النساء اللاتي يطلبن </w:t>
      </w:r>
      <w:r w:rsidRPr="00C31665">
        <w:rPr>
          <w:rFonts w:hint="cs"/>
          <w:b/>
          <w:bCs/>
          <w:rtl/>
          <w:lang w:val="fr-CH"/>
        </w:rPr>
        <w:t xml:space="preserve">الرعاية الطبية الطارئة </w:t>
      </w:r>
      <w:r>
        <w:rPr>
          <w:rFonts w:hint="cs"/>
          <w:b/>
          <w:bCs/>
          <w:rtl/>
          <w:lang w:val="fr-CH"/>
        </w:rPr>
        <w:t xml:space="preserve">نتيجة </w:t>
      </w:r>
      <w:r w:rsidRPr="00C31665">
        <w:rPr>
          <w:rFonts w:hint="cs"/>
          <w:b/>
          <w:bCs/>
          <w:rtl/>
          <w:lang w:val="fr-CH"/>
        </w:rPr>
        <w:t xml:space="preserve">الإجهاض غير القانوني، بغرض الملاحقة القضائية، </w:t>
      </w:r>
      <w:r>
        <w:rPr>
          <w:rFonts w:hint="cs"/>
          <w:b/>
          <w:bCs/>
          <w:rtl/>
          <w:lang w:val="fr-CH"/>
        </w:rPr>
        <w:t xml:space="preserve">والممارسة المتمثلة في </w:t>
      </w:r>
      <w:r w:rsidRPr="00C31665">
        <w:rPr>
          <w:rFonts w:hint="cs"/>
          <w:b/>
          <w:bCs/>
          <w:rtl/>
          <w:lang w:val="fr-CH"/>
        </w:rPr>
        <w:t xml:space="preserve">معاقبة العاملين في القطاع الصحي </w:t>
      </w:r>
      <w:r>
        <w:rPr>
          <w:rFonts w:hint="cs"/>
          <w:b/>
          <w:bCs/>
          <w:rtl/>
          <w:lang w:val="fr-CH"/>
        </w:rPr>
        <w:t>الذين ينهضون ب</w:t>
      </w:r>
      <w:r w:rsidRPr="00C31665">
        <w:rPr>
          <w:rFonts w:hint="cs"/>
          <w:b/>
          <w:bCs/>
          <w:rtl/>
          <w:lang w:val="fr-CH"/>
        </w:rPr>
        <w:t>مسؤولي</w:t>
      </w:r>
      <w:r>
        <w:rPr>
          <w:rFonts w:hint="cs"/>
          <w:b/>
          <w:bCs/>
          <w:rtl/>
          <w:lang w:val="fr-CH"/>
        </w:rPr>
        <w:t>ا</w:t>
      </w:r>
      <w:r w:rsidRPr="00C31665">
        <w:rPr>
          <w:rFonts w:hint="cs"/>
          <w:b/>
          <w:bCs/>
          <w:rtl/>
          <w:lang w:val="fr-CH"/>
        </w:rPr>
        <w:t>تهم المهنية؛</w:t>
      </w:r>
    </w:p>
    <w:p w:rsidR="00BD1F3C" w:rsidRPr="00C31665" w:rsidRDefault="00BD1F3C" w:rsidP="009F2FC3">
      <w:pPr>
        <w:pStyle w:val="SingleTxtGA"/>
        <w:rPr>
          <w:rFonts w:hint="cs"/>
          <w:b/>
          <w:bCs/>
          <w:rtl/>
          <w:lang w:val="fr-CH"/>
        </w:rPr>
      </w:pPr>
      <w:r w:rsidRPr="00C31665">
        <w:rPr>
          <w:rFonts w:hint="cs"/>
          <w:b/>
          <w:bCs/>
          <w:rtl/>
          <w:lang w:val="fr-CH"/>
        </w:rPr>
        <w:tab/>
        <w:t>(</w:t>
      </w:r>
      <w:r w:rsidRPr="00C31665">
        <w:rPr>
          <w:rFonts w:hint="cs"/>
          <w:b/>
          <w:bCs/>
          <w:sz w:val="30"/>
          <w:rtl/>
          <w:lang w:val="fr-CH"/>
        </w:rPr>
        <w:t>ﻫ</w:t>
      </w:r>
      <w:r w:rsidRPr="00C31665">
        <w:rPr>
          <w:rFonts w:hint="cs"/>
          <w:b/>
          <w:bCs/>
          <w:rtl/>
          <w:lang w:val="fr-CH"/>
        </w:rPr>
        <w:t>)</w:t>
      </w:r>
      <w:r w:rsidRPr="00C31665">
        <w:rPr>
          <w:rFonts w:hint="cs"/>
          <w:b/>
          <w:bCs/>
          <w:rtl/>
          <w:lang w:val="fr-CH"/>
        </w:rPr>
        <w:tab/>
        <w:t xml:space="preserve">تعزيز الخدمات في مجال </w:t>
      </w:r>
      <w:r>
        <w:rPr>
          <w:rFonts w:hint="cs"/>
          <w:b/>
          <w:bCs/>
          <w:rtl/>
          <w:lang w:val="fr-CH"/>
        </w:rPr>
        <w:t xml:space="preserve">تنظيم </w:t>
      </w:r>
      <w:r w:rsidRPr="00C31665">
        <w:rPr>
          <w:rFonts w:hint="cs"/>
          <w:b/>
          <w:bCs/>
          <w:rtl/>
          <w:lang w:val="fr-CH"/>
        </w:rPr>
        <w:t xml:space="preserve">الأسرة </w:t>
      </w:r>
      <w:r>
        <w:rPr>
          <w:rFonts w:hint="cs"/>
          <w:b/>
          <w:bCs/>
          <w:rtl/>
          <w:lang w:val="fr-CH"/>
        </w:rPr>
        <w:t xml:space="preserve">وتقديم المعلومات ذات الصلة وإطلاق حملة </w:t>
      </w:r>
      <w:r w:rsidRPr="00C31665">
        <w:rPr>
          <w:rFonts w:hint="cs"/>
          <w:b/>
          <w:bCs/>
          <w:rtl/>
          <w:lang w:val="fr-CH"/>
        </w:rPr>
        <w:t xml:space="preserve">واسعة النطاق </w:t>
      </w:r>
      <w:r>
        <w:rPr>
          <w:rFonts w:hint="cs"/>
          <w:b/>
          <w:bCs/>
          <w:rtl/>
          <w:lang w:val="fr-CH"/>
        </w:rPr>
        <w:t xml:space="preserve">لإذكاء </w:t>
      </w:r>
      <w:r w:rsidRPr="00C31665">
        <w:rPr>
          <w:rFonts w:hint="cs"/>
          <w:b/>
          <w:bCs/>
          <w:rtl/>
          <w:lang w:val="fr-CH"/>
        </w:rPr>
        <w:t xml:space="preserve">وعي </w:t>
      </w:r>
      <w:r>
        <w:rPr>
          <w:rFonts w:hint="cs"/>
          <w:b/>
          <w:bCs/>
          <w:rtl/>
          <w:lang w:val="fr-CH"/>
        </w:rPr>
        <w:t>النساء ب</w:t>
      </w:r>
      <w:r w:rsidRPr="00C31665">
        <w:rPr>
          <w:rFonts w:hint="cs"/>
          <w:b/>
          <w:bCs/>
          <w:rtl/>
          <w:lang w:val="fr-CH"/>
        </w:rPr>
        <w:t xml:space="preserve">الحالات التي يكون فيها الإجهاض </w:t>
      </w:r>
      <w:r>
        <w:rPr>
          <w:rFonts w:hint="cs"/>
          <w:b/>
          <w:bCs/>
          <w:rtl/>
          <w:lang w:val="fr-CH"/>
        </w:rPr>
        <w:t xml:space="preserve">لأسباب طبية </w:t>
      </w:r>
      <w:r w:rsidRPr="00C31665">
        <w:rPr>
          <w:rFonts w:hint="cs"/>
          <w:b/>
          <w:bCs/>
          <w:rtl/>
          <w:lang w:val="fr-CH"/>
        </w:rPr>
        <w:t>قانوني</w:t>
      </w:r>
      <w:r>
        <w:rPr>
          <w:rFonts w:hint="cs"/>
          <w:b/>
          <w:bCs/>
          <w:rtl/>
          <w:lang w:val="fr-CH"/>
        </w:rPr>
        <w:t>اً</w:t>
      </w:r>
      <w:r w:rsidRPr="00C31665">
        <w:rPr>
          <w:rFonts w:hint="cs"/>
          <w:b/>
          <w:bCs/>
          <w:rtl/>
          <w:lang w:val="fr-CH"/>
        </w:rPr>
        <w:t xml:space="preserve"> </w:t>
      </w:r>
      <w:r>
        <w:rPr>
          <w:rFonts w:hint="cs"/>
          <w:b/>
          <w:bCs/>
          <w:rtl/>
          <w:lang w:val="fr-CH"/>
        </w:rPr>
        <w:t xml:space="preserve">وبالإجراءات </w:t>
      </w:r>
      <w:r w:rsidRPr="00C31665">
        <w:rPr>
          <w:rFonts w:hint="cs"/>
          <w:b/>
          <w:bCs/>
          <w:rtl/>
          <w:lang w:val="fr-CH"/>
        </w:rPr>
        <w:t>الإداري</w:t>
      </w:r>
      <w:r>
        <w:rPr>
          <w:rFonts w:hint="cs"/>
          <w:b/>
          <w:bCs/>
          <w:rtl/>
          <w:lang w:val="fr-CH"/>
        </w:rPr>
        <w:t>ة</w:t>
      </w:r>
      <w:r w:rsidRPr="00C31665">
        <w:rPr>
          <w:rFonts w:hint="cs"/>
          <w:b/>
          <w:bCs/>
          <w:rtl/>
          <w:lang w:val="fr-CH"/>
        </w:rPr>
        <w:t xml:space="preserve"> </w:t>
      </w:r>
      <w:r>
        <w:rPr>
          <w:rFonts w:hint="cs"/>
          <w:b/>
          <w:bCs/>
          <w:rtl/>
          <w:lang w:val="fr-CH"/>
        </w:rPr>
        <w:t>للحصول عليه</w:t>
      </w:r>
      <w:r w:rsidRPr="00C31665">
        <w:rPr>
          <w:rFonts w:hint="cs"/>
          <w:b/>
          <w:bCs/>
          <w:rtl/>
          <w:lang w:val="fr-CH"/>
        </w:rPr>
        <w:t>.</w:t>
      </w:r>
    </w:p>
    <w:p w:rsidR="00BD1F3C" w:rsidRPr="00C31665" w:rsidRDefault="00BD1F3C" w:rsidP="009F2FC3">
      <w:pPr>
        <w:pStyle w:val="SingleTxtGA"/>
        <w:rPr>
          <w:rFonts w:hint="cs"/>
          <w:b/>
          <w:bCs/>
          <w:rtl/>
          <w:lang w:val="fr-CH"/>
        </w:rPr>
      </w:pPr>
      <w:r w:rsidRPr="00C31665">
        <w:rPr>
          <w:rFonts w:hint="cs"/>
          <w:b/>
          <w:bCs/>
          <w:rtl/>
          <w:lang w:val="fr-CH"/>
        </w:rPr>
        <w:tab/>
        <w:t xml:space="preserve">ينبغي للدولة </w:t>
      </w:r>
      <w:r w:rsidRPr="00B1020E">
        <w:rPr>
          <w:rFonts w:hint="cs"/>
          <w:b/>
          <w:bCs/>
          <w:rtl/>
          <w:lang w:val="fr-CH"/>
        </w:rPr>
        <w:t>الطرف بتسريع جميع</w:t>
      </w:r>
      <w:r w:rsidRPr="00C31665">
        <w:rPr>
          <w:rFonts w:hint="cs"/>
          <w:b/>
          <w:bCs/>
          <w:rtl/>
          <w:lang w:val="fr-CH"/>
        </w:rPr>
        <w:t xml:space="preserve"> حالات التحقيق الجارية المتعلقة بالتعقيم القسري</w:t>
      </w:r>
      <w:r>
        <w:rPr>
          <w:rFonts w:hint="cs"/>
          <w:b/>
          <w:bCs/>
          <w:rtl/>
          <w:lang w:val="fr-CH"/>
        </w:rPr>
        <w:t>،</w:t>
      </w:r>
      <w:r w:rsidRPr="00C31665">
        <w:rPr>
          <w:rFonts w:hint="cs"/>
          <w:b/>
          <w:bCs/>
          <w:rtl/>
          <w:lang w:val="fr-CH"/>
        </w:rPr>
        <w:t xml:space="preserve"> وأن </w:t>
      </w:r>
      <w:r>
        <w:rPr>
          <w:rFonts w:hint="cs"/>
          <w:b/>
          <w:bCs/>
          <w:rtl/>
          <w:lang w:val="fr-CH"/>
        </w:rPr>
        <w:t xml:space="preserve">تفتح </w:t>
      </w:r>
      <w:r w:rsidRPr="00C31665">
        <w:rPr>
          <w:rFonts w:hint="cs"/>
          <w:b/>
          <w:bCs/>
          <w:rtl/>
          <w:lang w:val="fr-CH"/>
        </w:rPr>
        <w:t>تحقيق</w:t>
      </w:r>
      <w:r>
        <w:rPr>
          <w:rFonts w:hint="cs"/>
          <w:b/>
          <w:bCs/>
          <w:rtl/>
          <w:lang w:val="fr-CH"/>
        </w:rPr>
        <w:t>ات</w:t>
      </w:r>
      <w:r w:rsidRPr="00C31665">
        <w:rPr>
          <w:rFonts w:hint="cs"/>
          <w:b/>
          <w:bCs/>
          <w:rtl/>
          <w:lang w:val="fr-CH"/>
        </w:rPr>
        <w:t xml:space="preserve"> فوري</w:t>
      </w:r>
      <w:r>
        <w:rPr>
          <w:rFonts w:hint="cs"/>
          <w:b/>
          <w:bCs/>
          <w:rtl/>
          <w:lang w:val="fr-CH"/>
        </w:rPr>
        <w:t>ة</w:t>
      </w:r>
      <w:r w:rsidRPr="00C31665">
        <w:rPr>
          <w:rFonts w:hint="cs"/>
          <w:b/>
          <w:bCs/>
          <w:rtl/>
          <w:lang w:val="fr-CH"/>
        </w:rPr>
        <w:t xml:space="preserve"> ونزيه</w:t>
      </w:r>
      <w:r>
        <w:rPr>
          <w:rFonts w:hint="cs"/>
          <w:b/>
          <w:bCs/>
          <w:rtl/>
          <w:lang w:val="fr-CH"/>
        </w:rPr>
        <w:t>ة</w:t>
      </w:r>
      <w:r w:rsidRPr="00C31665">
        <w:rPr>
          <w:rFonts w:hint="cs"/>
          <w:b/>
          <w:bCs/>
          <w:rtl/>
          <w:lang w:val="fr-CH"/>
        </w:rPr>
        <w:t xml:space="preserve"> وفعال</w:t>
      </w:r>
      <w:r>
        <w:rPr>
          <w:rFonts w:hint="cs"/>
          <w:b/>
          <w:bCs/>
          <w:rtl/>
          <w:lang w:val="fr-CH"/>
        </w:rPr>
        <w:t>ة</w:t>
      </w:r>
      <w:r w:rsidRPr="00C31665">
        <w:rPr>
          <w:rFonts w:hint="cs"/>
          <w:b/>
          <w:bCs/>
          <w:rtl/>
          <w:lang w:val="fr-CH"/>
        </w:rPr>
        <w:t xml:space="preserve"> في جميع الحالات المماثلة</w:t>
      </w:r>
      <w:r>
        <w:rPr>
          <w:rFonts w:hint="cs"/>
          <w:b/>
          <w:bCs/>
          <w:rtl/>
          <w:lang w:val="fr-CH"/>
        </w:rPr>
        <w:t>،</w:t>
      </w:r>
      <w:r w:rsidRPr="00C31665">
        <w:rPr>
          <w:rFonts w:hint="cs"/>
          <w:b/>
          <w:bCs/>
          <w:rtl/>
          <w:lang w:val="fr-CH"/>
        </w:rPr>
        <w:t xml:space="preserve"> وأن تقدم الانتصاف المناسب إلى جميع ضحايا التعقيم القسري.</w:t>
      </w:r>
    </w:p>
    <w:p w:rsidR="00BD1F3C" w:rsidRPr="00105D6D" w:rsidRDefault="00BD1F3C" w:rsidP="009F2FC3">
      <w:pPr>
        <w:pStyle w:val="H23GA"/>
        <w:rPr>
          <w:rFonts w:hint="cs"/>
          <w:rtl/>
          <w:lang w:val="fr-CH"/>
        </w:rPr>
      </w:pPr>
      <w:r>
        <w:rPr>
          <w:rFonts w:hint="cs"/>
          <w:rtl/>
          <w:lang w:val="fr-CH"/>
        </w:rPr>
        <w:tab/>
      </w:r>
      <w:r>
        <w:rPr>
          <w:rFonts w:hint="cs"/>
          <w:rtl/>
          <w:lang w:val="fr-CH"/>
        </w:rPr>
        <w:tab/>
        <w:t>الإفلات من العقاب على أفعال التعذيب وسوء المعاملة خلال النزاع الداخلي المسلح</w:t>
      </w:r>
    </w:p>
    <w:p w:rsidR="00BD1F3C" w:rsidRDefault="00453CA7" w:rsidP="009F2FC3">
      <w:pPr>
        <w:pStyle w:val="SingleTxtGA"/>
        <w:rPr>
          <w:rFonts w:hint="cs"/>
          <w:rtl/>
          <w:lang w:val="fr-CH"/>
        </w:rPr>
      </w:pPr>
      <w:r>
        <w:rPr>
          <w:rFonts w:hint="cs"/>
          <w:rtl/>
          <w:lang w:val="fr-CH"/>
        </w:rPr>
        <w:t>(</w:t>
      </w:r>
      <w:r w:rsidR="00BD1F3C">
        <w:rPr>
          <w:rFonts w:hint="cs"/>
          <w:rtl/>
          <w:lang w:val="fr-CH"/>
        </w:rPr>
        <w:t>16</w:t>
      </w:r>
      <w:r>
        <w:rPr>
          <w:rFonts w:hint="cs"/>
          <w:rtl/>
          <w:lang w:val="fr-CH"/>
        </w:rPr>
        <w:t>)</w:t>
      </w:r>
      <w:r w:rsidR="00BD1F3C">
        <w:rPr>
          <w:rFonts w:hint="cs"/>
          <w:rtl/>
          <w:lang w:val="fr-CH"/>
        </w:rPr>
        <w:tab/>
        <w:t>يساور اللجنة قلق بالغ إزاء بطء التقدم في إثبات المساءلة عن قرابة 000 70 حالة وفاة أو</w:t>
      </w:r>
      <w:r w:rsidR="00BD1F3C">
        <w:rPr>
          <w:rtl/>
          <w:lang w:val="fr-CH"/>
        </w:rPr>
        <w:t> </w:t>
      </w:r>
      <w:r w:rsidR="00BD1F3C">
        <w:rPr>
          <w:rFonts w:hint="cs"/>
          <w:rtl/>
          <w:lang w:val="fr-CH"/>
        </w:rPr>
        <w:t>اختفاء قسري خلال النزاع الداخلي المسلح في الفترة من 1980 إلى 2000، وإزاء</w:t>
      </w:r>
      <w:r>
        <w:rPr>
          <w:rFonts w:hint="eastAsia"/>
          <w:rtl/>
          <w:lang w:val="fr-CH"/>
        </w:rPr>
        <w:t> </w:t>
      </w:r>
      <w:r w:rsidR="00BD1F3C">
        <w:rPr>
          <w:rFonts w:hint="cs"/>
          <w:rtl/>
          <w:lang w:val="fr-CH"/>
        </w:rPr>
        <w:t>العدد الضئيل للغاية من الإدانات وإزاء ارتفاع معدل التبرئة في الحالات التي تمت مقاضاة المجرمين فيها. ويساورها القلق أيضاً إزاء بطء وتيرة عملية استخراج الجثث، وتحديد هوية الأشخاص وتسليم الجثث إلى ذويها وإزاء النقص في عدد المهنيين المؤهلين. ويساورها القلق أيضاً لأن المحكمة الجنائية الوطنية تشترط أن يكون الإثبات مباشراً وموثقاً، وإزاء عدم رغبتها في إعطاء الوزن لشهادات الضحايا أو</w:t>
      </w:r>
      <w:r w:rsidR="00BD1F3C">
        <w:rPr>
          <w:rtl/>
          <w:lang w:val="fr-CH"/>
        </w:rPr>
        <w:t> </w:t>
      </w:r>
      <w:r w:rsidR="00BD1F3C">
        <w:rPr>
          <w:rFonts w:hint="cs"/>
          <w:rtl/>
          <w:lang w:val="fr-CH"/>
        </w:rPr>
        <w:t>أقاربهم. ويساور اللجنة قلق بالغ لعدم وجود تعاون كامل من جانب وزارة الدفاع فيما</w:t>
      </w:r>
      <w:r w:rsidR="00BD1F3C">
        <w:rPr>
          <w:rtl/>
          <w:lang w:val="fr-CH"/>
        </w:rPr>
        <w:t> </w:t>
      </w:r>
      <w:r w:rsidR="00BD1F3C">
        <w:rPr>
          <w:rFonts w:hint="cs"/>
          <w:rtl/>
          <w:lang w:val="fr-CH"/>
        </w:rPr>
        <w:t>يتعلق بتقديم معلومات تتعلق بعمليات التحقيق، بما</w:t>
      </w:r>
      <w:r w:rsidR="00BD1F3C">
        <w:rPr>
          <w:rtl/>
          <w:lang w:val="fr-CH"/>
        </w:rPr>
        <w:t> </w:t>
      </w:r>
      <w:r w:rsidR="00BD1F3C">
        <w:rPr>
          <w:rFonts w:hint="cs"/>
          <w:rtl/>
          <w:lang w:val="fr-CH"/>
        </w:rPr>
        <w:t>في ذلك قوائم ضباط الجيش المتواجدين في الدوريات والقواعد العسكرية في مناطق مختلفة متأثرة بالنزاع، والإبلاغ عن الأسماء المستعارة والأسماء التي تحمل رموزاً المستخدمة في حالات كثيرة من جانب المسؤولين العسكريين. وفيما</w:t>
      </w:r>
      <w:r w:rsidR="00BD1F3C">
        <w:rPr>
          <w:rtl/>
          <w:lang w:val="fr-CH"/>
        </w:rPr>
        <w:t> </w:t>
      </w:r>
      <w:r w:rsidR="00BD1F3C">
        <w:rPr>
          <w:rFonts w:hint="cs"/>
          <w:rtl/>
          <w:lang w:val="fr-CH"/>
        </w:rPr>
        <w:t>تحيط اللجنة علماً بتطبيق برنامج مساعدة الضحايا والشهود وتسلّم بالتحديات والصعوبات القائمة، يساورها القلق إزاء عدم تنفيذ هذا البرنامج تنفيذاً فعالاً، الأمر الذي يمنع المحاكم من الحصول على شهادات، وإزاء عدم وجود تدابير خاصة لحماية الضحايا من التعذيب. ويساورها القلق أيضاً إزاء عدم الإبلاغ عن عدد كبير من حالات العنف الجنسي ضد النساء والفتيات المرتكبة أثناء النزاع المسلح، وإزاء عدم التحقيق في هذه الحالات إلا</w:t>
      </w:r>
      <w:r w:rsidR="00BD1F3C">
        <w:rPr>
          <w:rtl/>
          <w:lang w:val="fr-CH"/>
        </w:rPr>
        <w:t xml:space="preserve"> فيما </w:t>
      </w:r>
      <w:r w:rsidR="00BD1F3C">
        <w:rPr>
          <w:rFonts w:hint="cs"/>
          <w:rtl/>
          <w:lang w:val="fr-CH"/>
        </w:rPr>
        <w:t>ندر، وإزاء عدم فرض عقوبات على مرتكبي هذه الأفعال، وإزاء عدم تقديم سبل انتصاف فعالة لضحايا العنف الجنسي أثناء النزاع. ويساورها القلق أيضاً لأن الاغتصاب هو الشكل الوحيد من أشكال العنف الجنسي الذي قد يؤدي إلى الحصول على تعويض اقتصادي بموجب القانون رقم 28592 ولأن جميع أشكال العنف الجنسي الأخرى ليست مشمولة بقانون التعويض. وتحيط اللجنة علماً بأن الدولة الطرف صادقت على نظام روما الأساسي في عام</w:t>
      </w:r>
      <w:r w:rsidR="00BD1F3C">
        <w:rPr>
          <w:rtl/>
          <w:lang w:val="fr-CH"/>
        </w:rPr>
        <w:t> </w:t>
      </w:r>
      <w:r w:rsidR="00BD1F3C">
        <w:rPr>
          <w:rFonts w:hint="cs"/>
          <w:rtl/>
          <w:lang w:val="fr-CH"/>
        </w:rPr>
        <w:t xml:space="preserve">2001 لكنها تشعر بالقلق لأن مشروع القانون رقم </w:t>
      </w:r>
      <w:r w:rsidR="00BD1F3C">
        <w:t>1707/2007/CR</w:t>
      </w:r>
      <w:r w:rsidR="00BD1F3C">
        <w:rPr>
          <w:rFonts w:hint="cs"/>
          <w:rtl/>
          <w:lang w:val="fr-CH"/>
        </w:rPr>
        <w:t xml:space="preserve"> المتعلق بالاغتصاب كجريمة ضد البشرية، قُدم إلى الكونغرس في عام</w:t>
      </w:r>
      <w:r w:rsidR="00BD1F3C">
        <w:rPr>
          <w:rtl/>
          <w:lang w:val="fr-CH"/>
        </w:rPr>
        <w:t> </w:t>
      </w:r>
      <w:r w:rsidR="00BD1F3C">
        <w:rPr>
          <w:rFonts w:hint="cs"/>
          <w:rtl/>
          <w:lang w:val="fr-CH"/>
        </w:rPr>
        <w:t>2007، لكنه لم</w:t>
      </w:r>
      <w:r w:rsidR="00BD1F3C">
        <w:rPr>
          <w:rtl/>
          <w:lang w:val="fr-CH"/>
        </w:rPr>
        <w:t> </w:t>
      </w:r>
      <w:r w:rsidR="00BD1F3C">
        <w:rPr>
          <w:rFonts w:hint="cs"/>
          <w:rtl/>
          <w:lang w:val="fr-CH"/>
        </w:rPr>
        <w:t>يصدر حتى هذا اليوم (المواد 2 و12 و13 و14 و16).</w:t>
      </w:r>
    </w:p>
    <w:p w:rsidR="00BD1F3C" w:rsidRPr="00C31665" w:rsidRDefault="00BD1F3C" w:rsidP="00BD1F3C">
      <w:pPr>
        <w:pStyle w:val="SingleTxtGA"/>
        <w:rPr>
          <w:rFonts w:hint="cs"/>
          <w:b/>
          <w:bCs/>
          <w:rtl/>
          <w:lang w:val="fr-CH"/>
        </w:rPr>
      </w:pPr>
      <w:r w:rsidRPr="00C31665">
        <w:rPr>
          <w:rFonts w:hint="cs"/>
          <w:b/>
          <w:bCs/>
          <w:rtl/>
          <w:lang w:val="fr-CH"/>
        </w:rPr>
        <w:tab/>
        <w:t>ينبغي للدولة الطرف أن تعزز جهودها للتحقيق في انتهاكات حقوق الإنسان</w:t>
      </w:r>
      <w:r>
        <w:rPr>
          <w:rFonts w:hint="cs"/>
          <w:b/>
          <w:bCs/>
          <w:rtl/>
          <w:lang w:val="fr-CH"/>
        </w:rPr>
        <w:t>، بما</w:t>
      </w:r>
      <w:r>
        <w:rPr>
          <w:b/>
          <w:bCs/>
          <w:rtl/>
          <w:lang w:val="fr-CH"/>
        </w:rPr>
        <w:t> </w:t>
      </w:r>
      <w:r w:rsidRPr="00C31665">
        <w:rPr>
          <w:rFonts w:hint="cs"/>
          <w:b/>
          <w:bCs/>
          <w:rtl/>
          <w:lang w:val="fr-CH"/>
        </w:rPr>
        <w:t>فيها التعذيب</w:t>
      </w:r>
      <w:r>
        <w:rPr>
          <w:rFonts w:hint="cs"/>
          <w:b/>
          <w:bCs/>
          <w:rtl/>
          <w:lang w:val="fr-CH"/>
        </w:rPr>
        <w:t>،</w:t>
      </w:r>
      <w:r w:rsidRPr="00C31665">
        <w:rPr>
          <w:rFonts w:hint="cs"/>
          <w:b/>
          <w:bCs/>
          <w:rtl/>
          <w:lang w:val="fr-CH"/>
        </w:rPr>
        <w:t xml:space="preserve"> التي وقعت أثناء النزاع الداخلي </w:t>
      </w:r>
      <w:r>
        <w:rPr>
          <w:rFonts w:hint="cs"/>
          <w:b/>
          <w:bCs/>
          <w:rtl/>
          <w:lang w:val="fr-CH"/>
        </w:rPr>
        <w:t xml:space="preserve">المسلح وملاحقة </w:t>
      </w:r>
      <w:r w:rsidRPr="00C31665">
        <w:rPr>
          <w:rFonts w:hint="cs"/>
          <w:b/>
          <w:bCs/>
          <w:rtl/>
          <w:lang w:val="fr-CH"/>
        </w:rPr>
        <w:t xml:space="preserve">الجناة وإحضارهم أمام القضاء، وضمان </w:t>
      </w:r>
      <w:r>
        <w:rPr>
          <w:rFonts w:hint="cs"/>
          <w:b/>
          <w:bCs/>
          <w:rtl/>
          <w:lang w:val="fr-CH"/>
        </w:rPr>
        <w:t xml:space="preserve">حصول </w:t>
      </w:r>
      <w:r w:rsidRPr="00C31665">
        <w:rPr>
          <w:rFonts w:hint="cs"/>
          <w:b/>
          <w:bCs/>
          <w:rtl/>
          <w:lang w:val="fr-CH"/>
        </w:rPr>
        <w:t xml:space="preserve">الضحايا </w:t>
      </w:r>
      <w:r>
        <w:rPr>
          <w:rFonts w:hint="cs"/>
          <w:b/>
          <w:bCs/>
          <w:rtl/>
          <w:lang w:val="fr-CH"/>
        </w:rPr>
        <w:t xml:space="preserve">على </w:t>
      </w:r>
      <w:r w:rsidRPr="00C31665">
        <w:rPr>
          <w:rFonts w:hint="cs"/>
          <w:b/>
          <w:bCs/>
          <w:rtl/>
          <w:lang w:val="fr-CH"/>
        </w:rPr>
        <w:t xml:space="preserve">الحقيقة والعدالة والتعويض. وينبغي لها أن تعزز قدرة النظام الفرعي القضائي المتخصص الذي أُنشئ لهذا الغرض </w:t>
      </w:r>
      <w:r>
        <w:rPr>
          <w:rFonts w:hint="cs"/>
          <w:b/>
          <w:bCs/>
          <w:rtl/>
          <w:lang w:val="fr-CH"/>
        </w:rPr>
        <w:t xml:space="preserve">على </w:t>
      </w:r>
      <w:r w:rsidRPr="00C31665">
        <w:rPr>
          <w:rFonts w:hint="cs"/>
          <w:b/>
          <w:bCs/>
          <w:rtl/>
          <w:lang w:val="fr-CH"/>
        </w:rPr>
        <w:t xml:space="preserve">إجراء محاكمات بصورة نزيهة </w:t>
      </w:r>
      <w:r>
        <w:rPr>
          <w:rFonts w:hint="cs"/>
          <w:b/>
          <w:bCs/>
          <w:rtl/>
          <w:lang w:val="fr-CH"/>
        </w:rPr>
        <w:t xml:space="preserve">وعلنية </w:t>
      </w:r>
      <w:r w:rsidRPr="00C31665">
        <w:rPr>
          <w:rFonts w:hint="cs"/>
          <w:b/>
          <w:bCs/>
          <w:rtl/>
          <w:lang w:val="fr-CH"/>
        </w:rPr>
        <w:t xml:space="preserve">وشفافة، وفقاً للقانون الدولي. وتوصي اللجنة الدولة الطرف أيضاً بأن يعزز معهد الطب الشرعي أفرقته المتخصصة في الطب الشرعي </w:t>
      </w:r>
      <w:r>
        <w:rPr>
          <w:rFonts w:hint="cs"/>
          <w:b/>
          <w:bCs/>
          <w:rtl/>
          <w:lang w:val="fr-CH"/>
        </w:rPr>
        <w:t xml:space="preserve">لتسريع </w:t>
      </w:r>
      <w:r w:rsidRPr="00C31665">
        <w:rPr>
          <w:rFonts w:hint="cs"/>
          <w:b/>
          <w:bCs/>
          <w:rtl/>
          <w:lang w:val="fr-CH"/>
        </w:rPr>
        <w:t xml:space="preserve">عمليات استخراج الجثث وتحليل </w:t>
      </w:r>
      <w:r>
        <w:rPr>
          <w:rFonts w:hint="cs"/>
          <w:b/>
          <w:bCs/>
          <w:rtl/>
          <w:lang w:val="fr-CH"/>
        </w:rPr>
        <w:t>الجثث</w:t>
      </w:r>
      <w:r w:rsidRPr="00C31665">
        <w:rPr>
          <w:rFonts w:hint="cs"/>
          <w:b/>
          <w:bCs/>
          <w:rtl/>
          <w:lang w:val="fr-CH"/>
        </w:rPr>
        <w:t xml:space="preserve"> وتحديد </w:t>
      </w:r>
      <w:r>
        <w:rPr>
          <w:rFonts w:hint="cs"/>
          <w:b/>
          <w:bCs/>
          <w:rtl/>
          <w:lang w:val="fr-CH"/>
        </w:rPr>
        <w:t xml:space="preserve">هوية أصحابها </w:t>
      </w:r>
      <w:r w:rsidRPr="00C31665">
        <w:rPr>
          <w:rFonts w:hint="cs"/>
          <w:b/>
          <w:bCs/>
          <w:rtl/>
          <w:lang w:val="fr-CH"/>
        </w:rPr>
        <w:t xml:space="preserve">وتسليمها إلى </w:t>
      </w:r>
      <w:r>
        <w:rPr>
          <w:rFonts w:hint="cs"/>
          <w:b/>
          <w:bCs/>
          <w:rtl/>
          <w:lang w:val="fr-CH"/>
        </w:rPr>
        <w:t>ذويها</w:t>
      </w:r>
      <w:r w:rsidRPr="00C31665">
        <w:rPr>
          <w:rFonts w:hint="cs"/>
          <w:b/>
          <w:bCs/>
          <w:rtl/>
          <w:lang w:val="fr-CH"/>
        </w:rPr>
        <w:t xml:space="preserve">. وتحث اللجنة وزارة الدفاع على التعاون مع المدعين العامين والقضاة وتدعو المحكمة الجنائية الوطنية إلى إعادة النظر في معاييرها للحصول على </w:t>
      </w:r>
      <w:r>
        <w:rPr>
          <w:rFonts w:hint="cs"/>
          <w:b/>
          <w:bCs/>
          <w:rtl/>
          <w:lang w:val="fr-CH"/>
        </w:rPr>
        <w:t xml:space="preserve">الإثباتات </w:t>
      </w:r>
      <w:r w:rsidRPr="00C31665">
        <w:rPr>
          <w:rFonts w:hint="cs"/>
          <w:b/>
          <w:bCs/>
          <w:rtl/>
          <w:lang w:val="fr-CH"/>
        </w:rPr>
        <w:t xml:space="preserve">في حالات انتهاكات حقوق الإنسان. وينبغي </w:t>
      </w:r>
      <w:r>
        <w:rPr>
          <w:rFonts w:hint="cs"/>
          <w:b/>
          <w:bCs/>
          <w:rtl/>
          <w:lang w:val="fr-CH"/>
        </w:rPr>
        <w:t xml:space="preserve">أن يستفيد </w:t>
      </w:r>
      <w:r w:rsidRPr="00C31665">
        <w:rPr>
          <w:rFonts w:hint="cs"/>
          <w:b/>
          <w:bCs/>
          <w:rtl/>
          <w:lang w:val="fr-CH"/>
        </w:rPr>
        <w:t xml:space="preserve">الشهود والضحايا </w:t>
      </w:r>
      <w:r>
        <w:rPr>
          <w:rFonts w:hint="cs"/>
          <w:b/>
          <w:bCs/>
          <w:rtl/>
          <w:lang w:val="fr-CH"/>
        </w:rPr>
        <w:t>بالحماية و</w:t>
      </w:r>
      <w:r w:rsidRPr="00C31665">
        <w:rPr>
          <w:rFonts w:hint="cs"/>
          <w:b/>
          <w:bCs/>
          <w:rtl/>
          <w:lang w:val="fr-CH"/>
        </w:rPr>
        <w:t>بالموارد المالية الكافية في إطار برنامج حماية الشهود. وينبغي للدولة الطرف أن تعزز عمليات التحقيق والملاحقة في جميع حالات انتهاكات حقوق الإنسان المرتكَبة أثناء النزاع المسلح،</w:t>
      </w:r>
      <w:r>
        <w:rPr>
          <w:rFonts w:hint="cs"/>
          <w:b/>
          <w:bCs/>
          <w:rtl/>
          <w:lang w:val="fr-CH"/>
        </w:rPr>
        <w:t xml:space="preserve"> بما</w:t>
      </w:r>
      <w:r>
        <w:rPr>
          <w:b/>
          <w:bCs/>
          <w:rtl/>
          <w:lang w:val="fr-CH"/>
        </w:rPr>
        <w:t> </w:t>
      </w:r>
      <w:r w:rsidRPr="00C31665">
        <w:rPr>
          <w:rFonts w:hint="cs"/>
          <w:b/>
          <w:bCs/>
          <w:rtl/>
          <w:lang w:val="fr-CH"/>
        </w:rPr>
        <w:t xml:space="preserve">في ذلك العنف الجنسي، وأن توفر سبل </w:t>
      </w:r>
      <w:r>
        <w:rPr>
          <w:rFonts w:hint="cs"/>
          <w:b/>
          <w:bCs/>
          <w:rtl/>
          <w:lang w:val="fr-CH"/>
        </w:rPr>
        <w:t>ال</w:t>
      </w:r>
      <w:r w:rsidRPr="00C31665">
        <w:rPr>
          <w:rFonts w:hint="cs"/>
          <w:b/>
          <w:bCs/>
          <w:rtl/>
          <w:lang w:val="fr-CH"/>
        </w:rPr>
        <w:t xml:space="preserve">انتصاف للضحايا. وينبغي إدراج جميع أشكال العنف الجنسي في التشريع الوطني الذي يحظر التعذيب وينبغي سن القانون رقم 28592 </w:t>
      </w:r>
      <w:r>
        <w:rPr>
          <w:rFonts w:hint="cs"/>
          <w:b/>
          <w:bCs/>
          <w:rtl/>
          <w:lang w:val="fr-CH"/>
        </w:rPr>
        <w:t xml:space="preserve">من أجل تمكين فرادى ضحايا هذه الجرائم من </w:t>
      </w:r>
      <w:r w:rsidRPr="00C31665">
        <w:rPr>
          <w:rFonts w:hint="cs"/>
          <w:b/>
          <w:bCs/>
          <w:rtl/>
          <w:lang w:val="fr-CH"/>
        </w:rPr>
        <w:t xml:space="preserve">الحصول على </w:t>
      </w:r>
      <w:r>
        <w:rPr>
          <w:rFonts w:hint="cs"/>
          <w:b/>
          <w:bCs/>
          <w:rtl/>
          <w:lang w:val="fr-CH"/>
        </w:rPr>
        <w:t>ال</w:t>
      </w:r>
      <w:r w:rsidRPr="00C31665">
        <w:rPr>
          <w:rFonts w:hint="cs"/>
          <w:b/>
          <w:bCs/>
          <w:rtl/>
          <w:lang w:val="fr-CH"/>
        </w:rPr>
        <w:t xml:space="preserve">تعويض </w:t>
      </w:r>
      <w:r>
        <w:rPr>
          <w:rFonts w:hint="cs"/>
          <w:b/>
          <w:bCs/>
          <w:rtl/>
          <w:lang w:val="fr-CH"/>
        </w:rPr>
        <w:t>المالي</w:t>
      </w:r>
      <w:r w:rsidRPr="00C31665">
        <w:rPr>
          <w:rFonts w:hint="cs"/>
          <w:b/>
          <w:bCs/>
          <w:rtl/>
          <w:lang w:val="fr-CH"/>
        </w:rPr>
        <w:t xml:space="preserve">. وتوصي اللجنة الدولة الطرف </w:t>
      </w:r>
      <w:r>
        <w:rPr>
          <w:rFonts w:hint="cs"/>
          <w:b/>
          <w:bCs/>
          <w:rtl/>
          <w:lang w:val="fr-CH"/>
        </w:rPr>
        <w:t xml:space="preserve">بتسريع عملية إدراج </w:t>
      </w:r>
      <w:r w:rsidRPr="00C31665">
        <w:rPr>
          <w:rFonts w:hint="cs"/>
          <w:b/>
          <w:bCs/>
          <w:rtl/>
          <w:lang w:val="fr-CH"/>
        </w:rPr>
        <w:t xml:space="preserve">نظام روما </w:t>
      </w:r>
      <w:r>
        <w:rPr>
          <w:rFonts w:hint="cs"/>
          <w:b/>
          <w:bCs/>
          <w:rtl/>
          <w:lang w:val="fr-CH"/>
        </w:rPr>
        <w:t xml:space="preserve">الأساسي </w:t>
      </w:r>
      <w:r w:rsidRPr="00C31665">
        <w:rPr>
          <w:rFonts w:hint="cs"/>
          <w:b/>
          <w:bCs/>
          <w:rtl/>
          <w:lang w:val="fr-CH"/>
        </w:rPr>
        <w:t xml:space="preserve">في التشريع </w:t>
      </w:r>
      <w:r>
        <w:rPr>
          <w:rFonts w:hint="cs"/>
          <w:b/>
          <w:bCs/>
          <w:rtl/>
          <w:lang w:val="fr-CH"/>
        </w:rPr>
        <w:t>الوطني</w:t>
      </w:r>
      <w:r w:rsidRPr="00C31665">
        <w:rPr>
          <w:rFonts w:hint="cs"/>
          <w:b/>
          <w:bCs/>
          <w:rtl/>
          <w:lang w:val="fr-CH"/>
        </w:rPr>
        <w:t>.</w:t>
      </w:r>
    </w:p>
    <w:p w:rsidR="00BD1F3C" w:rsidRPr="000C790C" w:rsidRDefault="00BD1F3C" w:rsidP="00BD1F3C">
      <w:pPr>
        <w:pStyle w:val="H23GA"/>
        <w:rPr>
          <w:rFonts w:hint="cs"/>
          <w:rtl/>
          <w:lang w:val="fr-CH"/>
        </w:rPr>
      </w:pPr>
      <w:r>
        <w:rPr>
          <w:rFonts w:hint="cs"/>
          <w:rtl/>
          <w:lang w:val="fr-CH"/>
        </w:rPr>
        <w:tab/>
      </w:r>
      <w:r>
        <w:rPr>
          <w:rFonts w:hint="cs"/>
          <w:rtl/>
          <w:lang w:val="fr-CH"/>
        </w:rPr>
        <w:tab/>
        <w:t>الخطة المتكاملة للتعويض</w:t>
      </w:r>
    </w:p>
    <w:p w:rsidR="00BD1F3C" w:rsidRPr="003E6761" w:rsidRDefault="00453CA7" w:rsidP="00453CA7">
      <w:pPr>
        <w:pStyle w:val="SingleTxtGA"/>
        <w:rPr>
          <w:rFonts w:hint="cs"/>
          <w:spacing w:val="-2"/>
          <w:rtl/>
        </w:rPr>
      </w:pPr>
      <w:r>
        <w:rPr>
          <w:rFonts w:hint="cs"/>
          <w:spacing w:val="-2"/>
          <w:rtl/>
          <w:lang w:val="fr-CH"/>
        </w:rPr>
        <w:t>(</w:t>
      </w:r>
      <w:r w:rsidR="00BD1F3C" w:rsidRPr="003E6761">
        <w:rPr>
          <w:rFonts w:hint="cs"/>
          <w:spacing w:val="-2"/>
          <w:rtl/>
          <w:lang w:val="fr-CH"/>
        </w:rPr>
        <w:t>17</w:t>
      </w:r>
      <w:r>
        <w:rPr>
          <w:rFonts w:hint="cs"/>
          <w:spacing w:val="-2"/>
          <w:rtl/>
          <w:lang w:val="fr-CH"/>
        </w:rPr>
        <w:t>)</w:t>
      </w:r>
      <w:r w:rsidR="00BD1F3C" w:rsidRPr="003E6761">
        <w:rPr>
          <w:rFonts w:hint="cs"/>
          <w:spacing w:val="-2"/>
          <w:rtl/>
          <w:lang w:val="fr-CH"/>
        </w:rPr>
        <w:tab/>
        <w:t xml:space="preserve">فيما تحيط اللجنة علماً بتطبيق الخطة المتكاملة للتعويض وإنشاء سجل مركزي للضحايا يتعلق بتعويض ضحايا العنف أثناء النزاع الداخلي المسلح في الفترة 1980-2000، يساور اللجنة القلق لأن المرسوم السامي رقم </w:t>
      </w:r>
      <w:r w:rsidR="00BD1F3C" w:rsidRPr="003E6761">
        <w:rPr>
          <w:rFonts w:eastAsia="SimSun"/>
          <w:spacing w:val="-2"/>
          <w:lang w:eastAsia="zh-CN"/>
        </w:rPr>
        <w:t>051-2011-PCM</w:t>
      </w:r>
      <w:r w:rsidR="00BD1F3C" w:rsidRPr="003E6761">
        <w:rPr>
          <w:rFonts w:hint="cs"/>
          <w:spacing w:val="-2"/>
          <w:rtl/>
        </w:rPr>
        <w:t xml:space="preserve"> سيُطبَّق لإغلاق السجل المركزي للضحايا على الرغم من أن قرابة </w:t>
      </w:r>
      <w:r w:rsidR="00BD1F3C">
        <w:rPr>
          <w:rFonts w:hint="cs"/>
          <w:spacing w:val="-2"/>
          <w:rtl/>
        </w:rPr>
        <w:t xml:space="preserve">000 28 </w:t>
      </w:r>
      <w:r w:rsidR="00BD1F3C" w:rsidRPr="003E6761">
        <w:rPr>
          <w:rFonts w:hint="cs"/>
          <w:spacing w:val="-2"/>
          <w:rtl/>
        </w:rPr>
        <w:t>ملف لا</w:t>
      </w:r>
      <w:r w:rsidR="00BD1F3C" w:rsidRPr="003E6761">
        <w:rPr>
          <w:spacing w:val="-2"/>
          <w:rtl/>
        </w:rPr>
        <w:t> </w:t>
      </w:r>
      <w:r w:rsidR="00BD1F3C" w:rsidRPr="003E6761">
        <w:rPr>
          <w:rFonts w:hint="cs"/>
          <w:spacing w:val="-2"/>
          <w:rtl/>
        </w:rPr>
        <w:t>يزال معلقاً بانتظار التقييم بموجب قانون التعويض المالي. ويساور اللجنة القلق أيضاً لعدم كفاية مبالغ التعويض ولبطء وتيرة دفع هذه المبالغ (المادة 14).</w:t>
      </w:r>
    </w:p>
    <w:p w:rsidR="00BD1F3C" w:rsidRPr="00C31665" w:rsidRDefault="00BD1F3C" w:rsidP="00BD1F3C">
      <w:pPr>
        <w:pStyle w:val="SingleTxtGA"/>
        <w:rPr>
          <w:rFonts w:hint="cs"/>
          <w:b/>
          <w:bCs/>
          <w:rtl/>
          <w:lang w:val="fr-CH"/>
        </w:rPr>
      </w:pPr>
      <w:r w:rsidRPr="00C31665">
        <w:rPr>
          <w:rFonts w:hint="cs"/>
          <w:b/>
          <w:bCs/>
          <w:rtl/>
          <w:lang w:val="fr-CH"/>
        </w:rPr>
        <w:tab/>
        <w:t>توصي اللجنة الدولة الطرف</w:t>
      </w:r>
      <w:r>
        <w:rPr>
          <w:rFonts w:hint="cs"/>
          <w:b/>
          <w:bCs/>
          <w:rtl/>
          <w:lang w:val="fr-CH"/>
        </w:rPr>
        <w:t xml:space="preserve"> بما</w:t>
      </w:r>
      <w:r>
        <w:rPr>
          <w:b/>
          <w:bCs/>
          <w:rtl/>
          <w:lang w:val="fr-CH"/>
        </w:rPr>
        <w:t> </w:t>
      </w:r>
      <w:r w:rsidRPr="00C31665">
        <w:rPr>
          <w:rFonts w:hint="cs"/>
          <w:b/>
          <w:bCs/>
          <w:rtl/>
          <w:lang w:val="fr-CH"/>
        </w:rPr>
        <w:t>يلي:</w:t>
      </w:r>
    </w:p>
    <w:p w:rsidR="00BD1F3C" w:rsidRPr="00C31665" w:rsidRDefault="00BD1F3C" w:rsidP="00BD1F3C">
      <w:pPr>
        <w:pStyle w:val="SingleTxtGA"/>
        <w:rPr>
          <w:rFonts w:hint="cs"/>
          <w:b/>
          <w:bCs/>
          <w:rtl/>
          <w:lang w:val="fr-CH"/>
        </w:rPr>
      </w:pPr>
      <w:r w:rsidRPr="00C31665">
        <w:rPr>
          <w:rFonts w:hint="cs"/>
          <w:b/>
          <w:bCs/>
          <w:rtl/>
          <w:lang w:val="fr-CH"/>
        </w:rPr>
        <w:tab/>
        <w:t>(أ)</w:t>
      </w:r>
      <w:r w:rsidRPr="00C31665">
        <w:rPr>
          <w:rFonts w:hint="cs"/>
          <w:b/>
          <w:bCs/>
          <w:rtl/>
          <w:lang w:val="fr-CH"/>
        </w:rPr>
        <w:tab/>
      </w:r>
      <w:r>
        <w:rPr>
          <w:rFonts w:hint="cs"/>
          <w:b/>
          <w:bCs/>
          <w:rtl/>
          <w:lang w:val="fr-CH"/>
        </w:rPr>
        <w:t xml:space="preserve">أن يظل </w:t>
      </w:r>
      <w:r w:rsidRPr="00C31665">
        <w:rPr>
          <w:rFonts w:hint="cs"/>
          <w:b/>
          <w:bCs/>
          <w:rtl/>
          <w:lang w:val="fr-CH"/>
        </w:rPr>
        <w:t xml:space="preserve">مجلس التعويضات </w:t>
      </w:r>
      <w:r>
        <w:rPr>
          <w:rFonts w:hint="cs"/>
          <w:b/>
          <w:bCs/>
          <w:rtl/>
          <w:lang w:val="fr-CH"/>
        </w:rPr>
        <w:t xml:space="preserve">مفتوحاً وأن تكفل </w:t>
      </w:r>
      <w:r w:rsidRPr="00C31665">
        <w:rPr>
          <w:rFonts w:hint="cs"/>
          <w:b/>
          <w:bCs/>
          <w:rtl/>
          <w:lang w:val="fr-CH"/>
        </w:rPr>
        <w:t xml:space="preserve">الدولة الطرف </w:t>
      </w:r>
      <w:r>
        <w:rPr>
          <w:rFonts w:hint="cs"/>
          <w:b/>
          <w:bCs/>
          <w:rtl/>
          <w:lang w:val="fr-CH"/>
        </w:rPr>
        <w:t xml:space="preserve">استمرار </w:t>
      </w:r>
      <w:r w:rsidRPr="00C31665">
        <w:rPr>
          <w:rFonts w:hint="cs"/>
          <w:b/>
          <w:bCs/>
          <w:rtl/>
          <w:lang w:val="fr-CH"/>
        </w:rPr>
        <w:t xml:space="preserve">السجل المركزي للضحايا </w:t>
      </w:r>
      <w:r>
        <w:rPr>
          <w:rFonts w:hint="cs"/>
          <w:b/>
          <w:bCs/>
          <w:rtl/>
          <w:lang w:val="fr-CH"/>
        </w:rPr>
        <w:t xml:space="preserve">في عملية </w:t>
      </w:r>
      <w:r w:rsidRPr="00C31665">
        <w:rPr>
          <w:rFonts w:hint="cs"/>
          <w:b/>
          <w:bCs/>
          <w:rtl/>
          <w:lang w:val="fr-CH"/>
        </w:rPr>
        <w:t xml:space="preserve">تحديد وتعريف هوية المستفيدين من برنامج التعويض </w:t>
      </w:r>
      <w:r>
        <w:rPr>
          <w:rFonts w:hint="cs"/>
          <w:b/>
          <w:bCs/>
          <w:rtl/>
          <w:lang w:val="fr-CH"/>
        </w:rPr>
        <w:t xml:space="preserve">المالي وأن تعدل </w:t>
      </w:r>
      <w:r w:rsidRPr="00C31665">
        <w:rPr>
          <w:rFonts w:hint="cs"/>
          <w:b/>
          <w:bCs/>
          <w:rtl/>
          <w:lang w:val="fr-CH"/>
        </w:rPr>
        <w:t>المادة 41 من اللوائح التي تُنظم القانون رقم 28592 وفقاً لذلك؛</w:t>
      </w:r>
    </w:p>
    <w:p w:rsidR="00BD1F3C" w:rsidRPr="00C31665" w:rsidRDefault="00BD1F3C" w:rsidP="00BD1F3C">
      <w:pPr>
        <w:pStyle w:val="SingleTxtGA"/>
        <w:rPr>
          <w:rFonts w:hint="cs"/>
          <w:b/>
          <w:bCs/>
          <w:rtl/>
          <w:lang w:val="fr-CH"/>
        </w:rPr>
      </w:pPr>
      <w:r w:rsidRPr="00C31665">
        <w:rPr>
          <w:rFonts w:hint="cs"/>
          <w:b/>
          <w:bCs/>
          <w:rtl/>
          <w:lang w:val="fr-CH"/>
        </w:rPr>
        <w:tab/>
        <w:t>(ب)</w:t>
      </w:r>
      <w:r w:rsidRPr="00C31665">
        <w:rPr>
          <w:rFonts w:hint="cs"/>
          <w:b/>
          <w:bCs/>
          <w:rtl/>
          <w:lang w:val="fr-CH"/>
        </w:rPr>
        <w:tab/>
      </w:r>
      <w:r>
        <w:rPr>
          <w:rFonts w:hint="cs"/>
          <w:b/>
          <w:bCs/>
          <w:rtl/>
          <w:lang w:val="fr-CH"/>
        </w:rPr>
        <w:t xml:space="preserve">أن </w:t>
      </w:r>
      <w:r w:rsidRPr="00C31665">
        <w:rPr>
          <w:rFonts w:hint="cs"/>
          <w:b/>
          <w:bCs/>
          <w:rtl/>
          <w:lang w:val="fr-CH"/>
        </w:rPr>
        <w:t>تخصص</w:t>
      </w:r>
      <w:r>
        <w:rPr>
          <w:rFonts w:hint="cs"/>
          <w:b/>
          <w:bCs/>
          <w:rtl/>
          <w:lang w:val="fr-CH"/>
        </w:rPr>
        <w:t xml:space="preserve"> ما</w:t>
      </w:r>
      <w:r>
        <w:rPr>
          <w:b/>
          <w:bCs/>
          <w:rtl/>
          <w:lang w:val="fr-CH"/>
        </w:rPr>
        <w:t> </w:t>
      </w:r>
      <w:r w:rsidRPr="00C31665">
        <w:rPr>
          <w:rFonts w:hint="cs"/>
          <w:b/>
          <w:bCs/>
          <w:rtl/>
          <w:lang w:val="fr-CH"/>
        </w:rPr>
        <w:t xml:space="preserve">يكفي من </w:t>
      </w:r>
      <w:r>
        <w:rPr>
          <w:rFonts w:hint="cs"/>
          <w:b/>
          <w:bCs/>
          <w:rtl/>
          <w:lang w:val="fr-CH"/>
        </w:rPr>
        <w:t>ال</w:t>
      </w:r>
      <w:r w:rsidRPr="00C31665">
        <w:rPr>
          <w:rFonts w:hint="cs"/>
          <w:b/>
          <w:bCs/>
          <w:rtl/>
          <w:lang w:val="fr-CH"/>
        </w:rPr>
        <w:t xml:space="preserve">موارد </w:t>
      </w:r>
      <w:r>
        <w:rPr>
          <w:rFonts w:hint="cs"/>
          <w:b/>
          <w:bCs/>
          <w:rtl/>
          <w:lang w:val="fr-CH"/>
        </w:rPr>
        <w:t>ال</w:t>
      </w:r>
      <w:r w:rsidRPr="00C31665">
        <w:rPr>
          <w:rFonts w:hint="cs"/>
          <w:b/>
          <w:bCs/>
          <w:rtl/>
          <w:lang w:val="fr-CH"/>
        </w:rPr>
        <w:t>مالية و</w:t>
      </w:r>
      <w:r>
        <w:rPr>
          <w:rFonts w:hint="cs"/>
          <w:b/>
          <w:bCs/>
          <w:rtl/>
          <w:lang w:val="fr-CH"/>
        </w:rPr>
        <w:t>ال</w:t>
      </w:r>
      <w:r w:rsidRPr="00C31665">
        <w:rPr>
          <w:rFonts w:hint="cs"/>
          <w:b/>
          <w:bCs/>
          <w:rtl/>
          <w:lang w:val="fr-CH"/>
        </w:rPr>
        <w:t xml:space="preserve">بشرية </w:t>
      </w:r>
      <w:r>
        <w:rPr>
          <w:rFonts w:hint="cs"/>
          <w:b/>
          <w:bCs/>
          <w:rtl/>
          <w:lang w:val="fr-CH"/>
        </w:rPr>
        <w:t>ال</w:t>
      </w:r>
      <w:r w:rsidRPr="00C31665">
        <w:rPr>
          <w:rFonts w:hint="cs"/>
          <w:b/>
          <w:bCs/>
          <w:rtl/>
          <w:lang w:val="fr-CH"/>
        </w:rPr>
        <w:t xml:space="preserve">لازمة لتنفيذ </w:t>
      </w:r>
      <w:r>
        <w:rPr>
          <w:rFonts w:hint="cs"/>
          <w:b/>
          <w:bCs/>
          <w:rtl/>
          <w:lang w:val="fr-CH"/>
        </w:rPr>
        <w:t>ا</w:t>
      </w:r>
      <w:r w:rsidRPr="00C31665">
        <w:rPr>
          <w:rFonts w:hint="cs"/>
          <w:b/>
          <w:bCs/>
          <w:rtl/>
          <w:lang w:val="fr-CH"/>
        </w:rPr>
        <w:t xml:space="preserve">لخطة المتكاملة للتعويض </w:t>
      </w:r>
      <w:r>
        <w:rPr>
          <w:rFonts w:hint="cs"/>
          <w:b/>
          <w:bCs/>
          <w:rtl/>
          <w:lang w:val="fr-CH"/>
        </w:rPr>
        <w:t>تنفيذاً كاملاً وفي</w:t>
      </w:r>
      <w:r>
        <w:rPr>
          <w:b/>
          <w:bCs/>
          <w:rtl/>
          <w:lang w:val="fr-CH"/>
        </w:rPr>
        <w:t> </w:t>
      </w:r>
      <w:r>
        <w:rPr>
          <w:rFonts w:hint="cs"/>
          <w:b/>
          <w:bCs/>
          <w:rtl/>
          <w:lang w:val="fr-CH"/>
        </w:rPr>
        <w:t xml:space="preserve">الوقت المناسب </w:t>
      </w:r>
      <w:r w:rsidRPr="00C31665">
        <w:rPr>
          <w:rFonts w:hint="cs"/>
          <w:b/>
          <w:bCs/>
          <w:rtl/>
          <w:lang w:val="fr-CH"/>
        </w:rPr>
        <w:t>وزيادة مبالغ التعويض التي ينبغي أن تشمل جميع الأشخاص المعنيين.</w:t>
      </w:r>
    </w:p>
    <w:p w:rsidR="00BD1F3C" w:rsidRDefault="00BD1F3C" w:rsidP="00BD1F3C">
      <w:pPr>
        <w:pStyle w:val="H23GA"/>
        <w:rPr>
          <w:rFonts w:hint="cs"/>
          <w:rtl/>
          <w:lang w:val="fr-CH"/>
        </w:rPr>
      </w:pPr>
      <w:r>
        <w:rPr>
          <w:rFonts w:hint="cs"/>
          <w:rtl/>
          <w:lang w:val="fr-CH"/>
        </w:rPr>
        <w:tab/>
      </w:r>
      <w:r>
        <w:rPr>
          <w:rFonts w:hint="cs"/>
          <w:rtl/>
          <w:lang w:val="fr-CH"/>
        </w:rPr>
        <w:tab/>
        <w:t>الرعاية الطبية والنفسية المقدَّمة لضحايا التعذيب</w:t>
      </w:r>
    </w:p>
    <w:p w:rsidR="00BD1F3C" w:rsidRDefault="00453CA7" w:rsidP="00453CA7">
      <w:pPr>
        <w:pStyle w:val="SingleTxtGA"/>
        <w:rPr>
          <w:rFonts w:hint="cs"/>
          <w:rtl/>
          <w:lang w:val="fr-CH"/>
        </w:rPr>
      </w:pPr>
      <w:r>
        <w:rPr>
          <w:rFonts w:hint="cs"/>
          <w:rtl/>
          <w:lang w:val="fr-CH"/>
        </w:rPr>
        <w:t>(</w:t>
      </w:r>
      <w:r w:rsidR="00BD1F3C">
        <w:rPr>
          <w:rFonts w:hint="cs"/>
          <w:rtl/>
          <w:lang w:val="fr-CH"/>
        </w:rPr>
        <w:t>18</w:t>
      </w:r>
      <w:r>
        <w:rPr>
          <w:rFonts w:hint="cs"/>
          <w:rtl/>
          <w:lang w:val="fr-CH"/>
        </w:rPr>
        <w:t>)</w:t>
      </w:r>
      <w:r w:rsidR="00BD1F3C">
        <w:rPr>
          <w:rFonts w:hint="cs"/>
          <w:rtl/>
          <w:lang w:val="fr-CH"/>
        </w:rPr>
        <w:tab/>
        <w:t>فيما تلاحظ اللجنة أن ضحايا التعذيب أثناء النزاع الداخلي المسلح محقون في تلقّي الخدمات الصحية في إطار</w:t>
      </w:r>
      <w:r w:rsidR="00BD1F3C" w:rsidRPr="00836A02">
        <w:rPr>
          <w:rFonts w:hint="cs"/>
          <w:rtl/>
          <w:lang w:val="fr-CH"/>
        </w:rPr>
        <w:t xml:space="preserve"> </w:t>
      </w:r>
      <w:r w:rsidR="00BD1F3C">
        <w:rPr>
          <w:rFonts w:hint="cs"/>
          <w:rtl/>
          <w:lang w:val="fr-CH"/>
        </w:rPr>
        <w:t>الخطة المتكاملة للتعويض ونظام التأمين الصحي الشامل، وأن المحكمة الجنائية الوطنية أصدرت حكماً يتعلق بحالات تعذيب نظرت فيها مؤخراً يفيد بأنه ينبغي لضحايا التعذيب الحصول على خدمات مجانية في مجال الصحة البدنية والعقلية إلى حين معافاتهم الكاملة، يساور اللجنة القلق لأن هذه الخطة أبعد عن أن تكون نفذت تنفيذاً كاملاً، ولأنه لا</w:t>
      </w:r>
      <w:r w:rsidR="00BD1F3C">
        <w:rPr>
          <w:rtl/>
          <w:lang w:val="fr-CH"/>
        </w:rPr>
        <w:t> </w:t>
      </w:r>
      <w:r w:rsidR="00BD1F3C">
        <w:rPr>
          <w:rFonts w:hint="cs"/>
          <w:rtl/>
          <w:lang w:val="fr-CH"/>
        </w:rPr>
        <w:t>يوجد برنامج متخصص لتقديم الرعاية الطبية والنفسية أو</w:t>
      </w:r>
      <w:r w:rsidR="00BD1F3C">
        <w:rPr>
          <w:rtl/>
          <w:lang w:val="fr-CH"/>
        </w:rPr>
        <w:t> </w:t>
      </w:r>
      <w:r w:rsidR="00BD1F3C">
        <w:rPr>
          <w:rFonts w:hint="cs"/>
          <w:rtl/>
          <w:lang w:val="fr-CH"/>
        </w:rPr>
        <w:t>إعادة تأهيل ضحايا التعذيب، وأنه لا</w:t>
      </w:r>
      <w:r w:rsidR="00BD1F3C">
        <w:rPr>
          <w:rtl/>
          <w:lang w:val="fr-CH"/>
        </w:rPr>
        <w:t> </w:t>
      </w:r>
      <w:r w:rsidR="00BD1F3C">
        <w:rPr>
          <w:rFonts w:hint="cs"/>
          <w:rtl/>
          <w:lang w:val="fr-CH"/>
        </w:rPr>
        <w:t>توجد سجلات تبيّن عدد ضحايا التعذيب المستفيدين من برامج الصحة. ويساور اللجنة القلق كذلك إزاء الاستخدام المحدود للكتيبات الإرشادية التي وضعت لتقييم آثار النفسية</w:t>
      </w:r>
      <w:r w:rsidR="00BD1F3C" w:rsidRPr="00BC3415">
        <w:rPr>
          <w:rFonts w:hint="cs"/>
          <w:rtl/>
          <w:lang w:val="fr-CH"/>
        </w:rPr>
        <w:t xml:space="preserve"> </w:t>
      </w:r>
      <w:r w:rsidR="00BD1F3C">
        <w:rPr>
          <w:rFonts w:hint="cs"/>
          <w:rtl/>
          <w:lang w:val="fr-CH"/>
        </w:rPr>
        <w:t>المترتبة على التعذيب. وينبغي أيضاً توفير برنامج لإعادة التأهيل لضحايا التعذيب بعد النزاعات (المادة 14).</w:t>
      </w:r>
    </w:p>
    <w:p w:rsidR="00BD1F3C" w:rsidRPr="00C31665" w:rsidRDefault="00BD1F3C" w:rsidP="00453CA7">
      <w:pPr>
        <w:pStyle w:val="SingleTxtGA"/>
        <w:keepNext/>
        <w:keepLines/>
        <w:rPr>
          <w:rFonts w:hint="cs"/>
          <w:b/>
          <w:bCs/>
          <w:rtl/>
          <w:lang w:val="fr-CH"/>
        </w:rPr>
      </w:pPr>
      <w:r w:rsidRPr="00C31665">
        <w:rPr>
          <w:b/>
          <w:bCs/>
          <w:rtl/>
          <w:lang w:val="fr-CH"/>
        </w:rPr>
        <w:tab/>
      </w:r>
      <w:r w:rsidRPr="00C31665">
        <w:rPr>
          <w:rFonts w:hint="cs"/>
          <w:b/>
          <w:bCs/>
          <w:rtl/>
          <w:lang w:val="fr-CH"/>
        </w:rPr>
        <w:t>ينبغي للدولة الطرف أن تكفل</w:t>
      </w:r>
      <w:r>
        <w:rPr>
          <w:rFonts w:hint="cs"/>
          <w:b/>
          <w:bCs/>
          <w:rtl/>
          <w:lang w:val="fr-CH"/>
        </w:rPr>
        <w:t xml:space="preserve"> ما</w:t>
      </w:r>
      <w:r>
        <w:rPr>
          <w:b/>
          <w:bCs/>
          <w:rtl/>
          <w:lang w:val="fr-CH"/>
        </w:rPr>
        <w:t> </w:t>
      </w:r>
      <w:r>
        <w:rPr>
          <w:rFonts w:hint="cs"/>
          <w:b/>
          <w:bCs/>
          <w:rtl/>
          <w:lang w:val="fr-CH"/>
        </w:rPr>
        <w:t>يلي:</w:t>
      </w:r>
      <w:r w:rsidRPr="00C31665">
        <w:rPr>
          <w:rFonts w:hint="cs"/>
          <w:b/>
          <w:bCs/>
          <w:rtl/>
          <w:lang w:val="fr-CH"/>
        </w:rPr>
        <w:t xml:space="preserve"> </w:t>
      </w:r>
    </w:p>
    <w:p w:rsidR="00BD1F3C" w:rsidRPr="00C31665" w:rsidRDefault="00BD1F3C" w:rsidP="00BD1F3C">
      <w:pPr>
        <w:pStyle w:val="SingleTxtGA"/>
        <w:rPr>
          <w:rFonts w:hint="cs"/>
          <w:b/>
          <w:bCs/>
          <w:rtl/>
          <w:lang w:val="fr-CH"/>
        </w:rPr>
      </w:pPr>
      <w:r w:rsidRPr="00C31665">
        <w:rPr>
          <w:rFonts w:hint="cs"/>
          <w:b/>
          <w:bCs/>
          <w:rtl/>
          <w:lang w:val="fr-CH"/>
        </w:rPr>
        <w:tab/>
        <w:t>(أ)</w:t>
      </w:r>
      <w:r w:rsidRPr="00C31665">
        <w:rPr>
          <w:rFonts w:hint="cs"/>
          <w:b/>
          <w:bCs/>
          <w:rtl/>
          <w:lang w:val="fr-CH"/>
        </w:rPr>
        <w:tab/>
      </w:r>
      <w:r>
        <w:rPr>
          <w:rFonts w:hint="cs"/>
          <w:b/>
          <w:bCs/>
          <w:rtl/>
          <w:lang w:val="fr-CH"/>
        </w:rPr>
        <w:t xml:space="preserve">وضع وتوزيع </w:t>
      </w:r>
      <w:r w:rsidRPr="00C31665">
        <w:rPr>
          <w:rFonts w:hint="cs"/>
          <w:b/>
          <w:bCs/>
          <w:rtl/>
          <w:lang w:val="fr-CH"/>
        </w:rPr>
        <w:t>السياسات العامة المتعلِّقة بالتعويض الكامل والشامل لضحايا التعذيب وسوء المعاملة مصاغة</w:t>
      </w:r>
      <w:r>
        <w:rPr>
          <w:rFonts w:hint="cs"/>
          <w:b/>
          <w:bCs/>
          <w:rtl/>
          <w:lang w:val="fr-CH"/>
        </w:rPr>
        <w:t xml:space="preserve"> </w:t>
      </w:r>
      <w:r w:rsidRPr="00C31665">
        <w:rPr>
          <w:rFonts w:hint="cs"/>
          <w:b/>
          <w:bCs/>
          <w:rtl/>
          <w:lang w:val="fr-CH"/>
        </w:rPr>
        <w:t>وموزعة بالكامل،</w:t>
      </w:r>
      <w:r>
        <w:rPr>
          <w:rFonts w:hint="cs"/>
          <w:b/>
          <w:bCs/>
          <w:rtl/>
          <w:lang w:val="fr-CH"/>
        </w:rPr>
        <w:t xml:space="preserve"> بما</w:t>
      </w:r>
      <w:r>
        <w:rPr>
          <w:b/>
          <w:bCs/>
          <w:rtl/>
          <w:lang w:val="fr-CH"/>
        </w:rPr>
        <w:t> </w:t>
      </w:r>
      <w:r w:rsidRPr="00C31665">
        <w:rPr>
          <w:rFonts w:hint="cs"/>
          <w:b/>
          <w:bCs/>
          <w:rtl/>
          <w:lang w:val="fr-CH"/>
        </w:rPr>
        <w:t xml:space="preserve">في ذلك تقديم </w:t>
      </w:r>
      <w:r>
        <w:rPr>
          <w:rFonts w:hint="cs"/>
          <w:b/>
          <w:bCs/>
          <w:rtl/>
          <w:lang w:val="fr-CH"/>
        </w:rPr>
        <w:t xml:space="preserve">هذه </w:t>
      </w:r>
      <w:r w:rsidRPr="00C31665">
        <w:rPr>
          <w:rFonts w:hint="cs"/>
          <w:b/>
          <w:bCs/>
          <w:rtl/>
          <w:lang w:val="fr-CH"/>
        </w:rPr>
        <w:t xml:space="preserve">الخدمات المتخصصة في </w:t>
      </w:r>
      <w:r>
        <w:rPr>
          <w:rFonts w:hint="cs"/>
          <w:b/>
          <w:bCs/>
          <w:rtl/>
          <w:lang w:val="fr-CH"/>
        </w:rPr>
        <w:t>فرادى ال</w:t>
      </w:r>
      <w:r w:rsidRPr="00C31665">
        <w:rPr>
          <w:rFonts w:hint="cs"/>
          <w:b/>
          <w:bCs/>
          <w:rtl/>
          <w:lang w:val="fr-CH"/>
        </w:rPr>
        <w:t>حالات عند الضرورة بغض النظر عن المنطقة الجغرافية، والحالة الاجتماعية الاقتصادية للضحايا، ونوع الجنس، والعلاقة الفعلية</w:t>
      </w:r>
      <w:r>
        <w:rPr>
          <w:rFonts w:hint="cs"/>
          <w:b/>
          <w:bCs/>
          <w:rtl/>
          <w:lang w:val="fr-CH"/>
        </w:rPr>
        <w:t xml:space="preserve"> أو</w:t>
      </w:r>
      <w:r>
        <w:rPr>
          <w:b/>
          <w:bCs/>
          <w:rtl/>
          <w:lang w:val="fr-CH"/>
        </w:rPr>
        <w:t> </w:t>
      </w:r>
      <w:r>
        <w:rPr>
          <w:rFonts w:hint="cs"/>
          <w:b/>
          <w:bCs/>
          <w:rtl/>
          <w:lang w:val="fr-CH"/>
        </w:rPr>
        <w:t>المتصورة</w:t>
      </w:r>
      <w:r w:rsidRPr="00C31665">
        <w:rPr>
          <w:rFonts w:hint="cs"/>
          <w:b/>
          <w:bCs/>
          <w:rtl/>
          <w:lang w:val="fr-CH"/>
        </w:rPr>
        <w:t xml:space="preserve"> مع مجموعات </w:t>
      </w:r>
      <w:r>
        <w:rPr>
          <w:rFonts w:hint="cs"/>
          <w:b/>
          <w:bCs/>
          <w:rtl/>
          <w:lang w:val="fr-CH"/>
        </w:rPr>
        <w:t xml:space="preserve">المعارضة </w:t>
      </w:r>
      <w:r w:rsidRPr="00C31665">
        <w:rPr>
          <w:rFonts w:hint="cs"/>
          <w:b/>
          <w:bCs/>
          <w:rtl/>
          <w:lang w:val="fr-CH"/>
        </w:rPr>
        <w:t>الحالية</w:t>
      </w:r>
      <w:r>
        <w:rPr>
          <w:rFonts w:hint="cs"/>
          <w:b/>
          <w:bCs/>
          <w:rtl/>
          <w:lang w:val="fr-CH"/>
        </w:rPr>
        <w:t xml:space="preserve"> أو</w:t>
      </w:r>
      <w:r>
        <w:rPr>
          <w:b/>
          <w:bCs/>
          <w:rtl/>
          <w:lang w:val="fr-CH"/>
        </w:rPr>
        <w:t> </w:t>
      </w:r>
      <w:r w:rsidRPr="00C31665">
        <w:rPr>
          <w:rFonts w:hint="cs"/>
          <w:b/>
          <w:bCs/>
          <w:rtl/>
          <w:lang w:val="fr-CH"/>
        </w:rPr>
        <w:t>السابقة؛</w:t>
      </w:r>
    </w:p>
    <w:p w:rsidR="00BD1F3C" w:rsidRPr="009F2FC3" w:rsidRDefault="00BD1F3C" w:rsidP="00BD1F3C">
      <w:pPr>
        <w:pStyle w:val="SingleTxtGA"/>
        <w:rPr>
          <w:rFonts w:ascii="Times New Roman Bold" w:hAnsi="Times New Roman Bold" w:hint="cs"/>
          <w:b/>
          <w:bCs/>
          <w:spacing w:val="-2"/>
          <w:rtl/>
          <w:lang w:val="fr-CH"/>
        </w:rPr>
      </w:pPr>
      <w:r w:rsidRPr="009F2FC3">
        <w:rPr>
          <w:rFonts w:ascii="Times New Roman Bold" w:hAnsi="Times New Roman Bold" w:hint="cs"/>
          <w:b/>
          <w:bCs/>
          <w:spacing w:val="-2"/>
          <w:rtl/>
          <w:lang w:val="fr-CH"/>
        </w:rPr>
        <w:tab/>
        <w:t>(ب)</w:t>
      </w:r>
      <w:r w:rsidRPr="009F2FC3">
        <w:rPr>
          <w:rFonts w:ascii="Times New Roman Bold" w:hAnsi="Times New Roman Bold" w:hint="cs"/>
          <w:b/>
          <w:bCs/>
          <w:spacing w:val="-2"/>
          <w:rtl/>
          <w:lang w:val="fr-CH"/>
        </w:rPr>
        <w:tab/>
        <w:t>تمتع الخدمات المتخصصة المقدَّمة بنوعية كافية لتمكين جميع ضحايا التعذيب من الحصول على أكبر قدر ممكن من إعادة التأهيل. وينبغي لهذه الخدمات أن تراعي منهجيات إعادة التأهيل الشامل من قبيل الجمع بين الرعاية الطبية والنفسية وكذلك الخدمات القانونية والاجتماعية والمجتمعية والأسرية والمهنية والتعليمية والدعم المالي المؤقّت والدعم لأغراض إعادة الاندماج وأن تتوفّر هذه الخدمات لهذا الغرض في جميع أنحاء البلاد؛</w:t>
      </w:r>
    </w:p>
    <w:p w:rsidR="00BD1F3C" w:rsidRPr="00C31665" w:rsidRDefault="00BD1F3C" w:rsidP="00BD1F3C">
      <w:pPr>
        <w:pStyle w:val="SingleTxtGA"/>
        <w:rPr>
          <w:rFonts w:hint="cs"/>
          <w:b/>
          <w:bCs/>
          <w:rtl/>
        </w:rPr>
      </w:pPr>
      <w:r w:rsidRPr="00C31665">
        <w:rPr>
          <w:rFonts w:hint="cs"/>
          <w:b/>
          <w:bCs/>
          <w:rtl/>
          <w:lang w:val="fr-CH"/>
        </w:rPr>
        <w:tab/>
        <w:t>(ج)</w:t>
      </w:r>
      <w:r w:rsidRPr="00C31665">
        <w:rPr>
          <w:rFonts w:hint="cs"/>
          <w:b/>
          <w:bCs/>
          <w:rtl/>
          <w:lang w:val="fr-CH"/>
        </w:rPr>
        <w:tab/>
        <w:t xml:space="preserve">تطبيق الدليل </w:t>
      </w:r>
      <w:r>
        <w:rPr>
          <w:rFonts w:hint="cs"/>
          <w:b/>
          <w:bCs/>
          <w:rtl/>
          <w:lang w:val="fr-CH"/>
        </w:rPr>
        <w:t xml:space="preserve">الإرشادي </w:t>
      </w:r>
      <w:r w:rsidRPr="00C31665">
        <w:rPr>
          <w:rFonts w:hint="cs"/>
          <w:b/>
          <w:bCs/>
          <w:rtl/>
          <w:lang w:val="fr-CH"/>
        </w:rPr>
        <w:t xml:space="preserve">الذي اعتُمِدَ مؤخراً لتقييم الآثار النفسية المترتبة على التعذيب من جانب </w:t>
      </w:r>
      <w:r w:rsidRPr="00C31665">
        <w:rPr>
          <w:b/>
          <w:bCs/>
          <w:i/>
          <w:iCs/>
        </w:rPr>
        <w:t>Fiscalia de la Nación</w:t>
      </w:r>
      <w:r w:rsidRPr="00C31665">
        <w:rPr>
          <w:rFonts w:hint="cs"/>
          <w:b/>
          <w:bCs/>
          <w:rtl/>
        </w:rPr>
        <w:t>؛</w:t>
      </w:r>
    </w:p>
    <w:p w:rsidR="00BD1F3C" w:rsidRPr="00C31665" w:rsidRDefault="00BD1F3C" w:rsidP="00BD1F3C">
      <w:pPr>
        <w:pStyle w:val="SingleTxtGA"/>
        <w:rPr>
          <w:rFonts w:hint="cs"/>
          <w:b/>
          <w:bCs/>
          <w:rtl/>
        </w:rPr>
      </w:pPr>
      <w:r w:rsidRPr="00C31665">
        <w:rPr>
          <w:rFonts w:hint="cs"/>
          <w:b/>
          <w:bCs/>
          <w:rtl/>
        </w:rPr>
        <w:tab/>
        <w:t>(د)</w:t>
      </w:r>
      <w:r w:rsidRPr="00C31665">
        <w:rPr>
          <w:rFonts w:hint="cs"/>
          <w:b/>
          <w:bCs/>
          <w:rtl/>
        </w:rPr>
        <w:tab/>
        <w:t>إنشاء قاعدة بيانات بشأن عدد ضحايا التعذيب</w:t>
      </w:r>
      <w:r>
        <w:rPr>
          <w:rFonts w:hint="cs"/>
          <w:b/>
          <w:bCs/>
          <w:rtl/>
        </w:rPr>
        <w:t>،</w:t>
      </w:r>
      <w:r w:rsidRPr="00C31665">
        <w:rPr>
          <w:rFonts w:hint="cs"/>
          <w:b/>
          <w:bCs/>
          <w:rtl/>
        </w:rPr>
        <w:t xml:space="preserve"> </w:t>
      </w:r>
      <w:r>
        <w:rPr>
          <w:rFonts w:hint="cs"/>
          <w:b/>
          <w:bCs/>
          <w:rtl/>
        </w:rPr>
        <w:t xml:space="preserve">أثناء </w:t>
      </w:r>
      <w:r w:rsidRPr="00C31665">
        <w:rPr>
          <w:rFonts w:hint="cs"/>
          <w:b/>
          <w:bCs/>
          <w:rtl/>
        </w:rPr>
        <w:t xml:space="preserve">النزاع </w:t>
      </w:r>
      <w:r>
        <w:rPr>
          <w:rFonts w:hint="cs"/>
          <w:b/>
          <w:bCs/>
          <w:rtl/>
        </w:rPr>
        <w:t xml:space="preserve">الداخلي </w:t>
      </w:r>
      <w:r w:rsidRPr="00C31665">
        <w:rPr>
          <w:rFonts w:hint="cs"/>
          <w:b/>
          <w:bCs/>
          <w:rtl/>
        </w:rPr>
        <w:t>المسلح</w:t>
      </w:r>
      <w:r>
        <w:rPr>
          <w:rFonts w:hint="cs"/>
          <w:b/>
          <w:bCs/>
          <w:rtl/>
        </w:rPr>
        <w:t xml:space="preserve"> وفي</w:t>
      </w:r>
      <w:r>
        <w:rPr>
          <w:b/>
          <w:bCs/>
          <w:rtl/>
        </w:rPr>
        <w:t> </w:t>
      </w:r>
      <w:r>
        <w:rPr>
          <w:rFonts w:hint="cs"/>
          <w:b/>
          <w:bCs/>
          <w:rtl/>
        </w:rPr>
        <w:t>فترة ما</w:t>
      </w:r>
      <w:r>
        <w:rPr>
          <w:b/>
          <w:bCs/>
          <w:rtl/>
        </w:rPr>
        <w:t> </w:t>
      </w:r>
      <w:r>
        <w:rPr>
          <w:rFonts w:hint="cs"/>
          <w:b/>
          <w:bCs/>
          <w:rtl/>
        </w:rPr>
        <w:t>بعد عام</w:t>
      </w:r>
      <w:r>
        <w:rPr>
          <w:b/>
          <w:bCs/>
          <w:rtl/>
        </w:rPr>
        <w:t> </w:t>
      </w:r>
      <w:r>
        <w:rPr>
          <w:rFonts w:hint="cs"/>
          <w:b/>
          <w:bCs/>
          <w:rtl/>
        </w:rPr>
        <w:t xml:space="preserve">2000 على السواء </w:t>
      </w:r>
      <w:r w:rsidRPr="00C31665">
        <w:rPr>
          <w:rFonts w:hint="cs"/>
          <w:b/>
          <w:bCs/>
          <w:rtl/>
        </w:rPr>
        <w:t>الذين استفادوا من برامج الصحة</w:t>
      </w:r>
      <w:r>
        <w:rPr>
          <w:rFonts w:hint="cs"/>
          <w:b/>
          <w:bCs/>
          <w:rtl/>
        </w:rPr>
        <w:t>.</w:t>
      </w:r>
    </w:p>
    <w:p w:rsidR="00BD1F3C" w:rsidRPr="00C31665" w:rsidRDefault="00BD1F3C" w:rsidP="00BD1F3C">
      <w:pPr>
        <w:pStyle w:val="SingleTxtGA"/>
        <w:rPr>
          <w:rFonts w:hint="cs"/>
          <w:b/>
          <w:bCs/>
          <w:rtl/>
        </w:rPr>
      </w:pPr>
      <w:r w:rsidRPr="00C31665">
        <w:rPr>
          <w:b/>
          <w:bCs/>
          <w:rtl/>
        </w:rPr>
        <w:tab/>
      </w:r>
      <w:r w:rsidRPr="00C31665">
        <w:rPr>
          <w:rFonts w:hint="cs"/>
          <w:b/>
          <w:bCs/>
          <w:rtl/>
        </w:rPr>
        <w:t>وتلفت اللجنة انتباه الدولة الطرف إلى التعليق العام رقم</w:t>
      </w:r>
      <w:r>
        <w:rPr>
          <w:rFonts w:hint="eastAsia"/>
          <w:b/>
          <w:bCs/>
          <w:rtl/>
        </w:rPr>
        <w:t> </w:t>
      </w:r>
      <w:r w:rsidRPr="00C31665">
        <w:rPr>
          <w:rFonts w:hint="cs"/>
          <w:b/>
          <w:bCs/>
          <w:rtl/>
        </w:rPr>
        <w:t>3(2012) بشأن المادة</w:t>
      </w:r>
      <w:r>
        <w:rPr>
          <w:rFonts w:hint="eastAsia"/>
          <w:b/>
          <w:bCs/>
          <w:rtl/>
        </w:rPr>
        <w:t> </w:t>
      </w:r>
      <w:r w:rsidRPr="00C31665">
        <w:rPr>
          <w:rFonts w:hint="cs"/>
          <w:b/>
          <w:bCs/>
          <w:rtl/>
        </w:rPr>
        <w:t xml:space="preserve">14 من الاتفاقية </w:t>
      </w:r>
      <w:r>
        <w:rPr>
          <w:rFonts w:hint="cs"/>
          <w:b/>
          <w:bCs/>
          <w:rtl/>
        </w:rPr>
        <w:t xml:space="preserve">المعتمد مؤخراً </w:t>
      </w:r>
      <w:r w:rsidRPr="00C31665">
        <w:rPr>
          <w:rFonts w:hint="cs"/>
          <w:b/>
          <w:bCs/>
          <w:rtl/>
        </w:rPr>
        <w:t>الذي يوضّح مضمون ونطاق التزامات الدول الأطراف بتقديم التعويض الكامل لضحايا التعذيب.</w:t>
      </w:r>
    </w:p>
    <w:p w:rsidR="00BD1F3C" w:rsidRDefault="00BD1F3C" w:rsidP="00BD1F3C">
      <w:pPr>
        <w:pStyle w:val="H23GA"/>
        <w:rPr>
          <w:rFonts w:hint="cs"/>
          <w:rtl/>
        </w:rPr>
      </w:pPr>
      <w:r>
        <w:rPr>
          <w:rFonts w:hint="cs"/>
          <w:rtl/>
        </w:rPr>
        <w:tab/>
      </w:r>
      <w:r>
        <w:rPr>
          <w:rFonts w:hint="cs"/>
          <w:rtl/>
        </w:rPr>
        <w:tab/>
        <w:t xml:space="preserve">الأشخاص ذوو الإعاقة </w:t>
      </w:r>
    </w:p>
    <w:p w:rsidR="00BD1F3C" w:rsidRDefault="00453CA7" w:rsidP="00453CA7">
      <w:pPr>
        <w:pStyle w:val="SingleTxtGA"/>
        <w:rPr>
          <w:rFonts w:hint="cs"/>
          <w:rtl/>
        </w:rPr>
      </w:pPr>
      <w:r>
        <w:rPr>
          <w:rFonts w:hint="cs"/>
          <w:rtl/>
        </w:rPr>
        <w:t>(</w:t>
      </w:r>
      <w:r w:rsidR="00BD1F3C">
        <w:rPr>
          <w:rFonts w:hint="cs"/>
          <w:rtl/>
        </w:rPr>
        <w:t>19</w:t>
      </w:r>
      <w:r>
        <w:rPr>
          <w:rFonts w:hint="cs"/>
          <w:rtl/>
        </w:rPr>
        <w:t>)</w:t>
      </w:r>
      <w:r w:rsidR="00BD1F3C">
        <w:rPr>
          <w:rFonts w:hint="cs"/>
          <w:rtl/>
        </w:rPr>
        <w:tab/>
        <w:t xml:space="preserve">يساور اللجنة القلق إزاء المعلومات التي تتحدث عن تعرض الأشخاص ذوي الإعاقة بمن فيهم القصر، لممارسات تنطوي على عنف وتمييز في السياقات الطبية، ومن ذلك الحرمان من الحرية دون إمكانية الحصول على الضمانات القانونية الأساسية، وفرض القيود وكذلك استمرار الإكراه على علاجات مثل العلاج بالصدمات الكهربائية. وترحِّب اللجنة بوقف استخدام المعيار التقني لتنظيم الأسرة </w:t>
      </w:r>
      <w:r w:rsidR="00BD1F3C">
        <w:t>536/2005-MINSA</w:t>
      </w:r>
      <w:r w:rsidR="00BD1F3C">
        <w:rPr>
          <w:rFonts w:hint="cs"/>
          <w:rtl/>
        </w:rPr>
        <w:t xml:space="preserve">، المؤرّخ 26 تموز/يوليه 2005، الذي يسمح بتعقيم </w:t>
      </w:r>
      <w:r w:rsidR="00BD1F3C" w:rsidRPr="007A326E">
        <w:rPr>
          <w:rFonts w:hint="cs"/>
          <w:sz w:val="30"/>
          <w:rtl/>
        </w:rPr>
        <w:t>‍</w:t>
      </w:r>
      <w:r w:rsidR="00BD1F3C">
        <w:rPr>
          <w:rFonts w:hint="cs"/>
          <w:rtl/>
        </w:rPr>
        <w:t>"فاقدي الأهلية العقلية" دون موافقتهم الحرّة والمستنيرة، لكنها لا</w:t>
      </w:r>
      <w:r w:rsidR="00BD1F3C">
        <w:rPr>
          <w:rtl/>
        </w:rPr>
        <w:t> </w:t>
      </w:r>
      <w:r w:rsidR="00BD1F3C">
        <w:rPr>
          <w:rFonts w:hint="cs"/>
          <w:rtl/>
        </w:rPr>
        <w:t>تزال تشعر بالقلق لعدم إلغاء المرسوم (المواد 2 و12 و13 و14 و16).</w:t>
      </w:r>
    </w:p>
    <w:p w:rsidR="00BD1F3C" w:rsidRPr="00C31665" w:rsidRDefault="00BD1F3C" w:rsidP="00BD1F3C">
      <w:pPr>
        <w:pStyle w:val="SingleTxtGA"/>
        <w:rPr>
          <w:rFonts w:hint="cs"/>
          <w:b/>
          <w:bCs/>
          <w:rtl/>
        </w:rPr>
      </w:pPr>
      <w:r w:rsidRPr="00C31665">
        <w:rPr>
          <w:b/>
          <w:bCs/>
          <w:rtl/>
        </w:rPr>
        <w:tab/>
      </w:r>
      <w:r w:rsidRPr="00C31665">
        <w:rPr>
          <w:rFonts w:hint="cs"/>
          <w:b/>
          <w:bCs/>
          <w:rtl/>
        </w:rPr>
        <w:t xml:space="preserve">توصي اللجنة الدولة الطرف باعتماد مشروع القانون بشأن حقوق الأشخاص ذوي الإعاقة الذي قُدِّم إلى الكونغرس في آذار/مارس 2011 </w:t>
      </w:r>
      <w:r>
        <w:rPr>
          <w:rFonts w:hint="cs"/>
          <w:b/>
          <w:bCs/>
          <w:rtl/>
        </w:rPr>
        <w:t xml:space="preserve">والحرص على </w:t>
      </w:r>
      <w:r w:rsidRPr="00C31665">
        <w:rPr>
          <w:rFonts w:hint="cs"/>
          <w:b/>
          <w:bCs/>
          <w:rtl/>
        </w:rPr>
        <w:t xml:space="preserve">احترام جميع الضمانات القانونية للأشخاص المودعين في مؤسسات، وتحث الدولة الطرف على التحقيق </w:t>
      </w:r>
      <w:r>
        <w:rPr>
          <w:rFonts w:hint="cs"/>
          <w:b/>
          <w:bCs/>
          <w:rtl/>
        </w:rPr>
        <w:t xml:space="preserve">بصورة فورية وفعالة ونزيهة </w:t>
      </w:r>
      <w:r w:rsidRPr="00C31665">
        <w:rPr>
          <w:rFonts w:hint="cs"/>
          <w:b/>
          <w:bCs/>
          <w:rtl/>
        </w:rPr>
        <w:t>في جميع حالات سوء المعاملة</w:t>
      </w:r>
      <w:r>
        <w:rPr>
          <w:rFonts w:hint="cs"/>
          <w:b/>
          <w:bCs/>
          <w:rtl/>
        </w:rPr>
        <w:t>،</w:t>
      </w:r>
      <w:r w:rsidRPr="00C31665">
        <w:rPr>
          <w:rFonts w:hint="cs"/>
          <w:b/>
          <w:bCs/>
          <w:rtl/>
        </w:rPr>
        <w:t xml:space="preserve"> </w:t>
      </w:r>
      <w:r>
        <w:rPr>
          <w:rFonts w:hint="cs"/>
          <w:b/>
          <w:bCs/>
          <w:rtl/>
        </w:rPr>
        <w:t xml:space="preserve">وملاحقة </w:t>
      </w:r>
      <w:r w:rsidRPr="00C31665">
        <w:rPr>
          <w:rFonts w:hint="cs"/>
          <w:b/>
          <w:bCs/>
          <w:rtl/>
        </w:rPr>
        <w:t xml:space="preserve">الجناة. وينبغي للدولة الطرف أن تلغي على وجه السرعة المرسوم الإداري </w:t>
      </w:r>
      <w:r>
        <w:rPr>
          <w:rFonts w:hint="cs"/>
          <w:b/>
          <w:bCs/>
          <w:rtl/>
        </w:rPr>
        <w:t xml:space="preserve">المعلَّق </w:t>
      </w:r>
      <w:r w:rsidRPr="00C31665">
        <w:rPr>
          <w:rFonts w:hint="cs"/>
          <w:b/>
          <w:bCs/>
          <w:rtl/>
        </w:rPr>
        <w:t>الذي يسمح بالتعقيم القسري للأشخاص ذوي الإعاقة العقلية.</w:t>
      </w:r>
    </w:p>
    <w:p w:rsidR="00BD1F3C" w:rsidRDefault="00BD1F3C" w:rsidP="00BD1F3C">
      <w:pPr>
        <w:pStyle w:val="H23GA"/>
        <w:rPr>
          <w:rFonts w:hint="cs"/>
          <w:rtl/>
        </w:rPr>
      </w:pPr>
      <w:r>
        <w:rPr>
          <w:rFonts w:hint="cs"/>
          <w:rtl/>
        </w:rPr>
        <w:tab/>
      </w:r>
      <w:r>
        <w:rPr>
          <w:rFonts w:hint="cs"/>
          <w:rtl/>
        </w:rPr>
        <w:tab/>
        <w:t>العنف ضد الأطفال، بما</w:t>
      </w:r>
      <w:r>
        <w:rPr>
          <w:rtl/>
        </w:rPr>
        <w:t> </w:t>
      </w:r>
      <w:r>
        <w:rPr>
          <w:rFonts w:hint="cs"/>
          <w:rtl/>
        </w:rPr>
        <w:t>في ذلك العقاب البدني</w:t>
      </w:r>
    </w:p>
    <w:p w:rsidR="00BD1F3C" w:rsidRDefault="00453CA7" w:rsidP="00453CA7">
      <w:pPr>
        <w:pStyle w:val="SingleTxtGA"/>
        <w:rPr>
          <w:rFonts w:hint="cs"/>
          <w:rtl/>
        </w:rPr>
      </w:pPr>
      <w:r>
        <w:rPr>
          <w:rFonts w:hint="cs"/>
          <w:rtl/>
        </w:rPr>
        <w:t>(</w:t>
      </w:r>
      <w:r w:rsidR="00BD1F3C">
        <w:rPr>
          <w:rFonts w:hint="cs"/>
          <w:rtl/>
        </w:rPr>
        <w:t>20</w:t>
      </w:r>
      <w:r>
        <w:rPr>
          <w:rFonts w:hint="cs"/>
          <w:rtl/>
        </w:rPr>
        <w:t>)</w:t>
      </w:r>
      <w:r w:rsidR="00BD1F3C">
        <w:rPr>
          <w:rFonts w:hint="cs"/>
          <w:rtl/>
        </w:rPr>
        <w:tab/>
        <w:t>يساور اللجنة القلق إزاء انتشار العنف ضد الأطفال، بما</w:t>
      </w:r>
      <w:r w:rsidR="00BD1F3C">
        <w:rPr>
          <w:rtl/>
        </w:rPr>
        <w:t> </w:t>
      </w:r>
      <w:r w:rsidR="00BD1F3C">
        <w:rPr>
          <w:rFonts w:hint="cs"/>
          <w:rtl/>
        </w:rPr>
        <w:t>في ذلك العنف المنزلي والعنف الجنسي، إزاء عدم حظر العقاب البدني للأطفال داخل المنازل وفي</w:t>
      </w:r>
      <w:r w:rsidR="00BD1F3C">
        <w:rPr>
          <w:rtl/>
        </w:rPr>
        <w:t> </w:t>
      </w:r>
      <w:r w:rsidR="00BD1F3C">
        <w:rPr>
          <w:rFonts w:hint="cs"/>
          <w:rtl/>
        </w:rPr>
        <w:t>المدارس وفي</w:t>
      </w:r>
      <w:r w:rsidR="00BD1F3C">
        <w:rPr>
          <w:rtl/>
        </w:rPr>
        <w:t> </w:t>
      </w:r>
      <w:r w:rsidR="00BD1F3C">
        <w:rPr>
          <w:rFonts w:hint="cs"/>
          <w:rtl/>
        </w:rPr>
        <w:t>المؤسسات العقابية وأوساط الرعاية حظراً صريحاً (المادتان 2 و16).</w:t>
      </w:r>
    </w:p>
    <w:p w:rsidR="00BD1F3C" w:rsidRPr="00C31665" w:rsidRDefault="00BD1F3C" w:rsidP="009F2FC3">
      <w:pPr>
        <w:pStyle w:val="SingleTxtGA"/>
        <w:spacing w:line="370" w:lineRule="exact"/>
        <w:rPr>
          <w:rFonts w:hint="cs"/>
          <w:b/>
          <w:bCs/>
          <w:rtl/>
        </w:rPr>
      </w:pPr>
      <w:r w:rsidRPr="00C31665">
        <w:rPr>
          <w:b/>
          <w:bCs/>
          <w:rtl/>
        </w:rPr>
        <w:tab/>
      </w:r>
      <w:r w:rsidRPr="00C31665">
        <w:rPr>
          <w:rFonts w:hint="cs"/>
          <w:b/>
          <w:bCs/>
          <w:rtl/>
        </w:rPr>
        <w:t xml:space="preserve">توصي اللجنة الدولة الطرف بتعديل قانون الأطفال والمراهقين </w:t>
      </w:r>
      <w:r>
        <w:rPr>
          <w:rFonts w:hint="cs"/>
          <w:b/>
          <w:bCs/>
          <w:rtl/>
        </w:rPr>
        <w:t xml:space="preserve">والقانون المتعلق بتنفيذ العقوبات الجنائية بحيث ينص القانونان </w:t>
      </w:r>
      <w:r w:rsidRPr="00C31665">
        <w:rPr>
          <w:rFonts w:hint="cs"/>
          <w:b/>
          <w:bCs/>
          <w:rtl/>
        </w:rPr>
        <w:t>صراحة على حظر العنف ضد الأطفال</w:t>
      </w:r>
      <w:r>
        <w:rPr>
          <w:rFonts w:hint="cs"/>
          <w:b/>
          <w:bCs/>
          <w:rtl/>
        </w:rPr>
        <w:t>،</w:t>
      </w:r>
      <w:r w:rsidRPr="00C31665">
        <w:rPr>
          <w:rFonts w:hint="cs"/>
          <w:b/>
          <w:bCs/>
          <w:rtl/>
        </w:rPr>
        <w:t xml:space="preserve"> وبصفة خاصة العنف الجنسي</w:t>
      </w:r>
      <w:r>
        <w:rPr>
          <w:rFonts w:hint="cs"/>
          <w:b/>
          <w:bCs/>
          <w:rtl/>
        </w:rPr>
        <w:t>،</w:t>
      </w:r>
      <w:r w:rsidRPr="00C31665">
        <w:rPr>
          <w:rFonts w:hint="cs"/>
          <w:b/>
          <w:bCs/>
          <w:rtl/>
        </w:rPr>
        <w:t xml:space="preserve"> </w:t>
      </w:r>
      <w:r>
        <w:rPr>
          <w:rFonts w:hint="cs"/>
          <w:b/>
          <w:bCs/>
          <w:rtl/>
        </w:rPr>
        <w:t xml:space="preserve">وعلى تجريم </w:t>
      </w:r>
      <w:r w:rsidRPr="00C31665">
        <w:rPr>
          <w:rFonts w:hint="cs"/>
          <w:b/>
          <w:bCs/>
          <w:rtl/>
        </w:rPr>
        <w:t xml:space="preserve">العقاب البدني في جميع </w:t>
      </w:r>
      <w:r>
        <w:rPr>
          <w:rFonts w:hint="cs"/>
          <w:b/>
          <w:bCs/>
          <w:rtl/>
        </w:rPr>
        <w:t>السياقات</w:t>
      </w:r>
      <w:r w:rsidRPr="00C31665">
        <w:rPr>
          <w:rFonts w:hint="cs"/>
          <w:b/>
          <w:bCs/>
          <w:rtl/>
        </w:rPr>
        <w:t>.</w:t>
      </w:r>
    </w:p>
    <w:p w:rsidR="00BD1F3C" w:rsidRDefault="00BD1F3C" w:rsidP="009F2FC3">
      <w:pPr>
        <w:pStyle w:val="H23GA"/>
        <w:spacing w:line="370" w:lineRule="exact"/>
        <w:rPr>
          <w:rFonts w:hint="cs"/>
          <w:rtl/>
        </w:rPr>
      </w:pPr>
      <w:r>
        <w:rPr>
          <w:rFonts w:hint="cs"/>
          <w:rtl/>
        </w:rPr>
        <w:tab/>
      </w:r>
      <w:r>
        <w:rPr>
          <w:rFonts w:hint="cs"/>
          <w:rtl/>
        </w:rPr>
        <w:tab/>
        <w:t>أشكال الرق المعاصرة، بما</w:t>
      </w:r>
      <w:r>
        <w:rPr>
          <w:rtl/>
        </w:rPr>
        <w:t> </w:t>
      </w:r>
      <w:r>
        <w:rPr>
          <w:rFonts w:hint="cs"/>
          <w:rtl/>
        </w:rPr>
        <w:t>في ذلك العمل القسري والاتجار بالبشر</w:t>
      </w:r>
    </w:p>
    <w:p w:rsidR="00BD1F3C" w:rsidRDefault="00453CA7" w:rsidP="009F2FC3">
      <w:pPr>
        <w:pStyle w:val="SingleTxtGA"/>
        <w:spacing w:line="370" w:lineRule="exact"/>
        <w:rPr>
          <w:rFonts w:hint="cs"/>
          <w:rtl/>
        </w:rPr>
      </w:pPr>
      <w:r>
        <w:rPr>
          <w:rFonts w:hint="cs"/>
          <w:rtl/>
        </w:rPr>
        <w:t>(</w:t>
      </w:r>
      <w:r w:rsidR="00BD1F3C">
        <w:rPr>
          <w:rFonts w:hint="cs"/>
          <w:rtl/>
        </w:rPr>
        <w:t>21</w:t>
      </w:r>
      <w:r>
        <w:rPr>
          <w:rFonts w:hint="cs"/>
          <w:rtl/>
        </w:rPr>
        <w:t>)</w:t>
      </w:r>
      <w:r w:rsidR="00BD1F3C">
        <w:rPr>
          <w:rFonts w:hint="cs"/>
          <w:rtl/>
        </w:rPr>
        <w:tab/>
        <w:t>يساور اللجنة القلق إزاء المعلومات التي تتحدث عن وجود ممارسات العمل القسري التي ترقى إلى ما</w:t>
      </w:r>
      <w:r w:rsidR="00BD1F3C">
        <w:rPr>
          <w:rtl/>
        </w:rPr>
        <w:t> </w:t>
      </w:r>
      <w:r w:rsidR="00BD1F3C">
        <w:rPr>
          <w:rFonts w:hint="cs"/>
          <w:rtl/>
        </w:rPr>
        <w:t>يشبه الرق وعبودية الدين والاسترقاق في قطاعات من قبيل الزراعة وتربية الحيوانات والحراجة والتي تخضع لها بصفة خاصة مجتمعات السكان الأصليين، وأيضاً إزاء حالة العمال المنزليين الذين يعيشون في ظروف السخرة المنزلية. ويساورها قلق شديد أيضاً إزاء زيادة عدد الأطفال المتأثرين بأسوأ أشكال عمل الأطفال في مختلف القطاعات مثل التعدين وصنع الآجر والمطاحن ولأن ثلث الأشخاص الذين يعانون من السخرة المنزلية هم من الأطفال. ويساور اللجنة قلق بالغ لأن القانون الجنائي لا</w:t>
      </w:r>
      <w:r w:rsidR="00BD1F3C">
        <w:rPr>
          <w:rtl/>
        </w:rPr>
        <w:t> </w:t>
      </w:r>
      <w:r w:rsidR="00BD1F3C">
        <w:rPr>
          <w:rFonts w:hint="cs"/>
          <w:rtl/>
        </w:rPr>
        <w:t>يحظر الرق والعمل القسري على النحو المناسب. ويساور اللجنة القلق أيضاً إزاء الاتجار بالأشخاص لأغراض الاستغلال في العمل والجنس ولا</w:t>
      </w:r>
      <w:r w:rsidR="00BD1F3C">
        <w:rPr>
          <w:rtl/>
        </w:rPr>
        <w:t> </w:t>
      </w:r>
      <w:r w:rsidR="00BD1F3C">
        <w:rPr>
          <w:rFonts w:hint="cs"/>
          <w:rtl/>
        </w:rPr>
        <w:t>سيما النساء والفتيات الصغيرات من مناطق ريفية فقيرة في الأمازون حيث يتم تشغيلهن وإجبارهن على ممارسة البغاء في بيوت الدعارة في مدن الصفيح المنجمية (المواد</w:t>
      </w:r>
      <w:r w:rsidR="00BD1F3C">
        <w:rPr>
          <w:rFonts w:hint="eastAsia"/>
          <w:rtl/>
        </w:rPr>
        <w:t> </w:t>
      </w:r>
      <w:r w:rsidR="00BD1F3C">
        <w:rPr>
          <w:rFonts w:hint="cs"/>
          <w:rtl/>
        </w:rPr>
        <w:t xml:space="preserve">2 و12 و13 و14 و16). </w:t>
      </w:r>
    </w:p>
    <w:p w:rsidR="00BD1F3C" w:rsidRPr="00C31665" w:rsidRDefault="00BD1F3C" w:rsidP="009F2FC3">
      <w:pPr>
        <w:pStyle w:val="SingleTxtGA"/>
        <w:spacing w:line="370" w:lineRule="exact"/>
        <w:rPr>
          <w:rFonts w:hint="cs"/>
          <w:b/>
          <w:bCs/>
          <w:rtl/>
        </w:rPr>
      </w:pPr>
      <w:r w:rsidRPr="00C31665">
        <w:rPr>
          <w:b/>
          <w:bCs/>
          <w:rtl/>
        </w:rPr>
        <w:tab/>
      </w:r>
      <w:r w:rsidRPr="00C31665">
        <w:rPr>
          <w:rFonts w:hint="cs"/>
          <w:b/>
          <w:bCs/>
          <w:rtl/>
        </w:rPr>
        <w:t xml:space="preserve">ينبغي للدولة الطرف أن تعزِّز جهودها </w:t>
      </w:r>
      <w:r>
        <w:rPr>
          <w:rFonts w:hint="cs"/>
          <w:b/>
          <w:bCs/>
          <w:rtl/>
        </w:rPr>
        <w:t>في سبيل ما</w:t>
      </w:r>
      <w:r>
        <w:rPr>
          <w:b/>
          <w:bCs/>
          <w:rtl/>
        </w:rPr>
        <w:t> </w:t>
      </w:r>
      <w:r w:rsidRPr="00C31665">
        <w:rPr>
          <w:rFonts w:hint="cs"/>
          <w:b/>
          <w:bCs/>
          <w:rtl/>
        </w:rPr>
        <w:t xml:space="preserve">يلي: </w:t>
      </w:r>
    </w:p>
    <w:p w:rsidR="00BD1F3C" w:rsidRPr="00C31665" w:rsidRDefault="00BD1F3C" w:rsidP="009F2FC3">
      <w:pPr>
        <w:pStyle w:val="SingleTxtGA"/>
        <w:spacing w:line="370" w:lineRule="exact"/>
        <w:rPr>
          <w:rFonts w:hint="cs"/>
          <w:b/>
          <w:bCs/>
          <w:rtl/>
        </w:rPr>
      </w:pPr>
      <w:r w:rsidRPr="00C31665">
        <w:rPr>
          <w:rFonts w:hint="cs"/>
          <w:b/>
          <w:bCs/>
          <w:rtl/>
        </w:rPr>
        <w:tab/>
        <w:t>(أ)</w:t>
      </w:r>
      <w:r w:rsidRPr="00C31665">
        <w:rPr>
          <w:rFonts w:hint="cs"/>
          <w:b/>
          <w:bCs/>
          <w:rtl/>
        </w:rPr>
        <w:tab/>
        <w:t xml:space="preserve">اعتماد تدابير تشريعية للقضاء على العمل القسري </w:t>
      </w:r>
      <w:r>
        <w:rPr>
          <w:rFonts w:hint="cs"/>
          <w:b/>
          <w:bCs/>
          <w:rtl/>
        </w:rPr>
        <w:t xml:space="preserve">والاسترقاق </w:t>
      </w:r>
      <w:r w:rsidRPr="00C31665">
        <w:rPr>
          <w:rFonts w:hint="cs"/>
          <w:b/>
          <w:bCs/>
          <w:rtl/>
        </w:rPr>
        <w:t>والسخرة المنزلية؛</w:t>
      </w:r>
    </w:p>
    <w:p w:rsidR="00BD1F3C" w:rsidRPr="00C31665" w:rsidRDefault="00BD1F3C" w:rsidP="009F2FC3">
      <w:pPr>
        <w:pStyle w:val="SingleTxtGA"/>
        <w:spacing w:line="370" w:lineRule="exact"/>
        <w:rPr>
          <w:rFonts w:hint="cs"/>
          <w:b/>
          <w:bCs/>
          <w:rtl/>
        </w:rPr>
      </w:pPr>
      <w:r w:rsidRPr="00C31665">
        <w:rPr>
          <w:rFonts w:hint="cs"/>
          <w:b/>
          <w:bCs/>
          <w:rtl/>
        </w:rPr>
        <w:tab/>
        <w:t>(ب)</w:t>
      </w:r>
      <w:r w:rsidRPr="00C31665">
        <w:rPr>
          <w:rFonts w:hint="cs"/>
          <w:b/>
          <w:bCs/>
          <w:rtl/>
        </w:rPr>
        <w:tab/>
        <w:t>ضمان القضاء عملياً على مثل هذه الأشكال المعاصرة للرق</w:t>
      </w:r>
      <w:r>
        <w:rPr>
          <w:rFonts w:hint="cs"/>
          <w:b/>
          <w:bCs/>
          <w:rtl/>
        </w:rPr>
        <w:t xml:space="preserve"> ولا</w:t>
      </w:r>
      <w:r>
        <w:rPr>
          <w:b/>
          <w:bCs/>
          <w:rtl/>
        </w:rPr>
        <w:t> </w:t>
      </w:r>
      <w:r w:rsidRPr="00C31665">
        <w:rPr>
          <w:rFonts w:hint="cs"/>
          <w:b/>
          <w:bCs/>
          <w:rtl/>
        </w:rPr>
        <w:t>سيما حماية الأطفال؛</w:t>
      </w:r>
    </w:p>
    <w:p w:rsidR="00BD1F3C" w:rsidRPr="00C31665" w:rsidRDefault="00BD1F3C" w:rsidP="009F2FC3">
      <w:pPr>
        <w:pStyle w:val="SingleTxtGA"/>
        <w:spacing w:line="370" w:lineRule="exact"/>
        <w:rPr>
          <w:rFonts w:hint="cs"/>
          <w:b/>
          <w:bCs/>
          <w:rtl/>
        </w:rPr>
      </w:pPr>
      <w:r w:rsidRPr="00C31665">
        <w:rPr>
          <w:rFonts w:hint="cs"/>
          <w:b/>
          <w:bCs/>
          <w:rtl/>
        </w:rPr>
        <w:tab/>
        <w:t>(ج)</w:t>
      </w:r>
      <w:r w:rsidRPr="00C31665">
        <w:rPr>
          <w:rFonts w:hint="cs"/>
          <w:b/>
          <w:bCs/>
          <w:rtl/>
        </w:rPr>
        <w:tab/>
      </w:r>
      <w:r>
        <w:rPr>
          <w:rFonts w:hint="cs"/>
          <w:b/>
          <w:bCs/>
          <w:rtl/>
        </w:rPr>
        <w:t>ال</w:t>
      </w:r>
      <w:r w:rsidRPr="00C31665">
        <w:rPr>
          <w:rFonts w:hint="cs"/>
          <w:b/>
          <w:bCs/>
          <w:rtl/>
        </w:rPr>
        <w:t xml:space="preserve">تحقيق </w:t>
      </w:r>
      <w:r>
        <w:rPr>
          <w:rFonts w:hint="cs"/>
          <w:b/>
          <w:bCs/>
          <w:rtl/>
        </w:rPr>
        <w:t xml:space="preserve">فوراً في جميع حالات العمل القسري والاتجار بالبشر </w:t>
      </w:r>
      <w:r w:rsidRPr="00C31665">
        <w:rPr>
          <w:rFonts w:hint="cs"/>
          <w:b/>
          <w:bCs/>
          <w:rtl/>
        </w:rPr>
        <w:t xml:space="preserve">وملاحقة </w:t>
      </w:r>
      <w:r>
        <w:rPr>
          <w:rFonts w:hint="cs"/>
          <w:b/>
          <w:bCs/>
          <w:rtl/>
        </w:rPr>
        <w:t xml:space="preserve">الجناة </w:t>
      </w:r>
      <w:r w:rsidRPr="00C31665">
        <w:rPr>
          <w:rFonts w:hint="cs"/>
          <w:b/>
          <w:bCs/>
          <w:rtl/>
        </w:rPr>
        <w:t>ومعاقب</w:t>
      </w:r>
      <w:r>
        <w:rPr>
          <w:rFonts w:hint="cs"/>
          <w:b/>
          <w:bCs/>
          <w:rtl/>
        </w:rPr>
        <w:t>تهم</w:t>
      </w:r>
      <w:r w:rsidRPr="00C31665">
        <w:rPr>
          <w:rFonts w:hint="cs"/>
          <w:b/>
          <w:bCs/>
          <w:rtl/>
        </w:rPr>
        <w:t xml:space="preserve"> </w:t>
      </w:r>
      <w:r>
        <w:rPr>
          <w:rFonts w:hint="cs"/>
          <w:b/>
          <w:bCs/>
          <w:rtl/>
        </w:rPr>
        <w:t xml:space="preserve">على النحو المناسب، </w:t>
      </w:r>
      <w:r w:rsidRPr="00C31665">
        <w:rPr>
          <w:rFonts w:hint="cs"/>
          <w:b/>
          <w:bCs/>
          <w:rtl/>
        </w:rPr>
        <w:t xml:space="preserve">وتقديم الحماية والمساعدة القانونية المجانية وإعادة التأهيل والتعويض </w:t>
      </w:r>
      <w:r>
        <w:rPr>
          <w:rFonts w:hint="cs"/>
          <w:b/>
          <w:bCs/>
          <w:rtl/>
        </w:rPr>
        <w:t>ل</w:t>
      </w:r>
      <w:r w:rsidRPr="00C31665">
        <w:rPr>
          <w:rFonts w:hint="cs"/>
          <w:b/>
          <w:bCs/>
          <w:rtl/>
        </w:rPr>
        <w:t>لضحايا؛</w:t>
      </w:r>
    </w:p>
    <w:p w:rsidR="00BD1F3C" w:rsidRPr="003E6761" w:rsidRDefault="00BD1F3C" w:rsidP="009F2FC3">
      <w:pPr>
        <w:pStyle w:val="SingleTxtGA"/>
        <w:spacing w:line="370" w:lineRule="exact"/>
        <w:rPr>
          <w:rFonts w:hint="cs"/>
          <w:b/>
          <w:bCs/>
          <w:spacing w:val="-4"/>
          <w:rtl/>
        </w:rPr>
      </w:pPr>
      <w:r w:rsidRPr="003E6761">
        <w:rPr>
          <w:rFonts w:hint="cs"/>
          <w:b/>
          <w:bCs/>
          <w:spacing w:val="-4"/>
          <w:rtl/>
        </w:rPr>
        <w:tab/>
        <w:t>(د)</w:t>
      </w:r>
      <w:r w:rsidRPr="003E6761">
        <w:rPr>
          <w:rFonts w:hint="cs"/>
          <w:b/>
          <w:bCs/>
          <w:spacing w:val="-4"/>
          <w:rtl/>
        </w:rPr>
        <w:tab/>
        <w:t>إذكاء الوعي في صفوف موظفي إنفاذ القوانين والقضاة والمدعين العامين وتدريبهم على التصدِّي لظاهرة الاتجار بالأشخاص وتحسين عملية تحديد هوية ضحايا الاتجار؛</w:t>
      </w:r>
    </w:p>
    <w:p w:rsidR="00BD1F3C" w:rsidRPr="00C31665" w:rsidRDefault="00BD1F3C" w:rsidP="009F2FC3">
      <w:pPr>
        <w:pStyle w:val="SingleTxtGA"/>
        <w:spacing w:line="370" w:lineRule="exact"/>
        <w:rPr>
          <w:rFonts w:hint="cs"/>
          <w:b/>
          <w:bCs/>
          <w:rtl/>
        </w:rPr>
      </w:pPr>
      <w:r w:rsidRPr="00C31665">
        <w:rPr>
          <w:rFonts w:hint="cs"/>
          <w:b/>
          <w:bCs/>
          <w:rtl/>
        </w:rPr>
        <w:tab/>
        <w:t>(</w:t>
      </w:r>
      <w:r w:rsidRPr="00C31665">
        <w:rPr>
          <w:rFonts w:hint="cs"/>
          <w:b/>
          <w:bCs/>
          <w:sz w:val="30"/>
          <w:rtl/>
        </w:rPr>
        <w:t>ﻫ</w:t>
      </w:r>
      <w:r w:rsidRPr="00C31665">
        <w:rPr>
          <w:rFonts w:hint="cs"/>
          <w:b/>
          <w:bCs/>
          <w:rtl/>
        </w:rPr>
        <w:t>)</w:t>
      </w:r>
      <w:r w:rsidRPr="00C31665">
        <w:rPr>
          <w:rFonts w:hint="cs"/>
          <w:b/>
          <w:bCs/>
          <w:rtl/>
        </w:rPr>
        <w:tab/>
        <w:t xml:space="preserve">تعديل القانون الجنائي وقانون العمال المنزليين لجعلهما </w:t>
      </w:r>
      <w:r>
        <w:rPr>
          <w:rFonts w:hint="cs"/>
          <w:b/>
          <w:bCs/>
          <w:rtl/>
        </w:rPr>
        <w:t>منسجمين</w:t>
      </w:r>
      <w:r w:rsidRPr="00C31665">
        <w:rPr>
          <w:rFonts w:hint="cs"/>
          <w:b/>
          <w:bCs/>
          <w:rtl/>
        </w:rPr>
        <w:t xml:space="preserve"> مع المعايير الدولية.</w:t>
      </w:r>
    </w:p>
    <w:p w:rsidR="00BD1F3C" w:rsidRPr="009F2FC3" w:rsidRDefault="00BD1F3C" w:rsidP="00BD1F3C">
      <w:pPr>
        <w:pStyle w:val="H23GA"/>
        <w:rPr>
          <w:rFonts w:ascii="Times New Roman Bold" w:hAnsi="Times New Roman Bold" w:hint="cs"/>
          <w:spacing w:val="-4"/>
          <w:rtl/>
        </w:rPr>
      </w:pPr>
      <w:r w:rsidRPr="009F2FC3">
        <w:rPr>
          <w:rFonts w:ascii="Times New Roman Bold" w:hAnsi="Times New Roman Bold" w:hint="cs"/>
          <w:spacing w:val="-4"/>
          <w:rtl/>
        </w:rPr>
        <w:tab/>
      </w:r>
      <w:r w:rsidRPr="009F2FC3">
        <w:rPr>
          <w:rFonts w:ascii="Times New Roman Bold" w:hAnsi="Times New Roman Bold" w:hint="cs"/>
          <w:spacing w:val="-4"/>
          <w:rtl/>
        </w:rPr>
        <w:tab/>
        <w:t>الاعتداء على المنتمين لفئة المثليات والمثليين ومزدوجي الميل الجنسي ومغايري الهوية الجنسانية</w:t>
      </w:r>
    </w:p>
    <w:p w:rsidR="00BD1F3C" w:rsidRDefault="00453CA7" w:rsidP="00453CA7">
      <w:pPr>
        <w:pStyle w:val="SingleTxtGA"/>
        <w:rPr>
          <w:rFonts w:hint="cs"/>
          <w:rtl/>
        </w:rPr>
      </w:pPr>
      <w:r>
        <w:rPr>
          <w:rFonts w:hint="cs"/>
          <w:rtl/>
        </w:rPr>
        <w:t>(</w:t>
      </w:r>
      <w:r w:rsidR="00BD1F3C">
        <w:rPr>
          <w:rFonts w:hint="cs"/>
          <w:rtl/>
        </w:rPr>
        <w:t>22</w:t>
      </w:r>
      <w:r>
        <w:rPr>
          <w:rFonts w:hint="cs"/>
          <w:rtl/>
        </w:rPr>
        <w:t>)</w:t>
      </w:r>
      <w:r w:rsidR="00BD1F3C">
        <w:rPr>
          <w:rFonts w:hint="cs"/>
          <w:rtl/>
        </w:rPr>
        <w:tab/>
        <w:t>يساور اللجنة قلق بالغ إزاء المعلومات التي تتحدث عن تعرُّض المثليات والمثليين ومزدوجي الميل الجنسي ومغايري الهوية الجنسانية على أيدي أفراد الشرطة الوطنية والقوات المسلحة ودوريات أمن البلديات وموظفي السجون للمضايقة والاعتداءات التي تنطوي على العنف والقاتلة في بعض الحالات، وعن تعرُّضهم للاحتجاز التعسُّفي والاعتداء الجسدي في مخافر الشرطة وحرمانهم من الضمانات القانونية الأساسية (المواد 2 و11 و12 و13 و16).</w:t>
      </w:r>
    </w:p>
    <w:p w:rsidR="00BD1F3C" w:rsidRPr="00C31665" w:rsidRDefault="00BD1F3C" w:rsidP="009F2FC3">
      <w:pPr>
        <w:pStyle w:val="SingleTxtGA"/>
        <w:spacing w:line="370" w:lineRule="exact"/>
        <w:rPr>
          <w:rFonts w:hint="cs"/>
          <w:b/>
          <w:bCs/>
          <w:rtl/>
        </w:rPr>
      </w:pPr>
      <w:r w:rsidRPr="00C31665">
        <w:rPr>
          <w:b/>
          <w:bCs/>
          <w:rtl/>
        </w:rPr>
        <w:tab/>
      </w:r>
      <w:r w:rsidRPr="00C31665">
        <w:rPr>
          <w:rFonts w:hint="cs"/>
          <w:b/>
          <w:bCs/>
          <w:rtl/>
        </w:rPr>
        <w:t>ينبغي للدولة الطرف أن تتخذ تدابير فعّالة لحماية المنتمين لفئة المثليات والمثليين ومزدوجي الميل الجنسي ومغايري الهوية الجنسانية من الاعتداءات والاحتجاز التعسُّفي وضمان التحقيق الفوري والفعال والنزيه في جميع أفعال العنف</w:t>
      </w:r>
      <w:r>
        <w:rPr>
          <w:rFonts w:hint="cs"/>
          <w:b/>
          <w:bCs/>
          <w:rtl/>
        </w:rPr>
        <w:t xml:space="preserve"> </w:t>
      </w:r>
      <w:r w:rsidRPr="00C31665">
        <w:rPr>
          <w:rFonts w:hint="cs"/>
          <w:b/>
          <w:bCs/>
          <w:rtl/>
        </w:rPr>
        <w:t>وملاحقة الجناة وإحضارهم إلى القضاء وتقديم التعويض للضحايا.</w:t>
      </w:r>
    </w:p>
    <w:p w:rsidR="00BD1F3C" w:rsidRDefault="00BD1F3C" w:rsidP="009F2FC3">
      <w:pPr>
        <w:pStyle w:val="H23GA"/>
        <w:spacing w:line="370" w:lineRule="exact"/>
        <w:rPr>
          <w:rFonts w:hint="cs"/>
          <w:rtl/>
        </w:rPr>
      </w:pPr>
      <w:r>
        <w:rPr>
          <w:rFonts w:hint="cs"/>
          <w:rtl/>
        </w:rPr>
        <w:tab/>
      </w:r>
      <w:r>
        <w:rPr>
          <w:rFonts w:hint="cs"/>
          <w:rtl/>
        </w:rPr>
        <w:tab/>
        <w:t>جمع البيانات</w:t>
      </w:r>
    </w:p>
    <w:p w:rsidR="00BD1F3C" w:rsidRDefault="00645AB2" w:rsidP="009F2FC3">
      <w:pPr>
        <w:pStyle w:val="SingleTxtGA"/>
        <w:spacing w:line="370" w:lineRule="exact"/>
        <w:rPr>
          <w:rFonts w:hint="cs"/>
          <w:rtl/>
        </w:rPr>
      </w:pPr>
      <w:r>
        <w:rPr>
          <w:rFonts w:hint="cs"/>
          <w:rtl/>
        </w:rPr>
        <w:t>(</w:t>
      </w:r>
      <w:r w:rsidR="00BD1F3C">
        <w:rPr>
          <w:rFonts w:hint="cs"/>
          <w:rtl/>
        </w:rPr>
        <w:t>23</w:t>
      </w:r>
      <w:r>
        <w:rPr>
          <w:rFonts w:hint="cs"/>
          <w:rtl/>
        </w:rPr>
        <w:t>)</w:t>
      </w:r>
      <w:r w:rsidR="00BD1F3C">
        <w:rPr>
          <w:rFonts w:hint="cs"/>
          <w:rtl/>
        </w:rPr>
        <w:tab/>
        <w:t>تأسف اللجنة لعدم وجود بيانات شاملة ومصنَّفة عن الشكاوى والتحقيقات والملاحقات والإدانات المتعلقة بأعمال التعذيب وسوء المعاملة التي تعزى إلى موظفي إنفاذ القانون والعسكريين وموظفي الأمن وموظفي السجون، وكذلك عن الاتجار بالأشخاص والعنف ضد النساء والأطفال وغيرهم من المجموعات المستضعفة، بما</w:t>
      </w:r>
      <w:r w:rsidR="00BD1F3C">
        <w:rPr>
          <w:rtl/>
        </w:rPr>
        <w:t> </w:t>
      </w:r>
      <w:r w:rsidR="00BD1F3C">
        <w:rPr>
          <w:rFonts w:hint="cs"/>
          <w:rtl/>
        </w:rPr>
        <w:t>في ذلك العنف المنزلي والجنسي، بشأن سُبل الانتصاف (المواد 2 و11 و12 و13 و14 و16).</w:t>
      </w:r>
    </w:p>
    <w:p w:rsidR="00BD1F3C" w:rsidRPr="00C31665" w:rsidRDefault="00BD1F3C" w:rsidP="009F2FC3">
      <w:pPr>
        <w:pStyle w:val="SingleTxtGA"/>
        <w:spacing w:line="370" w:lineRule="exact"/>
        <w:rPr>
          <w:rFonts w:hint="cs"/>
          <w:b/>
          <w:bCs/>
          <w:rtl/>
        </w:rPr>
      </w:pPr>
      <w:r w:rsidRPr="00C31665">
        <w:rPr>
          <w:b/>
          <w:bCs/>
          <w:rtl/>
        </w:rPr>
        <w:tab/>
      </w:r>
      <w:r w:rsidRPr="00C31665">
        <w:rPr>
          <w:rFonts w:hint="cs"/>
          <w:b/>
          <w:bCs/>
          <w:rtl/>
        </w:rPr>
        <w:t xml:space="preserve">ينبغي للدولة الطرف أن تقوم بجمع بيانات إحصائية </w:t>
      </w:r>
      <w:r>
        <w:rPr>
          <w:rFonts w:hint="cs"/>
          <w:b/>
          <w:bCs/>
          <w:rtl/>
        </w:rPr>
        <w:t>مفيدة ل</w:t>
      </w:r>
      <w:r w:rsidRPr="00C31665">
        <w:rPr>
          <w:rFonts w:hint="cs"/>
          <w:b/>
          <w:bCs/>
          <w:rtl/>
        </w:rPr>
        <w:t>رصد تنفيذ الاتفاقية على المستوى الوطني،</w:t>
      </w:r>
      <w:r>
        <w:rPr>
          <w:rFonts w:hint="cs"/>
          <w:b/>
          <w:bCs/>
          <w:rtl/>
        </w:rPr>
        <w:t xml:space="preserve"> لا</w:t>
      </w:r>
      <w:r>
        <w:rPr>
          <w:b/>
          <w:bCs/>
          <w:rtl/>
        </w:rPr>
        <w:t> </w:t>
      </w:r>
      <w:r>
        <w:rPr>
          <w:rFonts w:hint="cs"/>
          <w:b/>
          <w:bCs/>
          <w:rtl/>
        </w:rPr>
        <w:t>سيما ال</w:t>
      </w:r>
      <w:r w:rsidRPr="00C31665">
        <w:rPr>
          <w:rFonts w:hint="cs"/>
          <w:b/>
          <w:bCs/>
          <w:rtl/>
        </w:rPr>
        <w:t xml:space="preserve">بيانات </w:t>
      </w:r>
      <w:r>
        <w:rPr>
          <w:rFonts w:hint="cs"/>
          <w:b/>
          <w:bCs/>
          <w:rtl/>
        </w:rPr>
        <w:t>ال</w:t>
      </w:r>
      <w:r w:rsidRPr="00C31665">
        <w:rPr>
          <w:rFonts w:hint="cs"/>
          <w:b/>
          <w:bCs/>
          <w:rtl/>
        </w:rPr>
        <w:t xml:space="preserve">مصنَّفة عن الشكاوى، </w:t>
      </w:r>
      <w:r>
        <w:rPr>
          <w:rFonts w:hint="cs"/>
          <w:b/>
          <w:bCs/>
          <w:rtl/>
        </w:rPr>
        <w:t>والتحقيقات</w:t>
      </w:r>
      <w:r w:rsidRPr="00C31665">
        <w:rPr>
          <w:rFonts w:hint="cs"/>
          <w:b/>
          <w:bCs/>
          <w:rtl/>
        </w:rPr>
        <w:t>، والملاحق</w:t>
      </w:r>
      <w:r>
        <w:rPr>
          <w:rFonts w:hint="cs"/>
          <w:b/>
          <w:bCs/>
          <w:rtl/>
        </w:rPr>
        <w:t>ات</w:t>
      </w:r>
      <w:r w:rsidRPr="00C31665">
        <w:rPr>
          <w:rFonts w:hint="cs"/>
          <w:b/>
          <w:bCs/>
          <w:rtl/>
        </w:rPr>
        <w:t xml:space="preserve"> والإدانات </w:t>
      </w:r>
      <w:r>
        <w:rPr>
          <w:rFonts w:hint="cs"/>
          <w:b/>
          <w:bCs/>
          <w:rtl/>
        </w:rPr>
        <w:t>المتعلقة بأعمال</w:t>
      </w:r>
      <w:r w:rsidRPr="00C31665">
        <w:rPr>
          <w:rFonts w:hint="cs"/>
          <w:b/>
          <w:bCs/>
          <w:rtl/>
        </w:rPr>
        <w:t xml:space="preserve"> التعذيب وسوء المعاملة </w:t>
      </w:r>
      <w:r>
        <w:rPr>
          <w:rFonts w:hint="cs"/>
          <w:b/>
          <w:bCs/>
          <w:rtl/>
        </w:rPr>
        <w:t xml:space="preserve">التي تعزى إلى </w:t>
      </w:r>
      <w:r w:rsidRPr="00C31665">
        <w:rPr>
          <w:rFonts w:hint="cs"/>
          <w:b/>
          <w:bCs/>
          <w:rtl/>
        </w:rPr>
        <w:t xml:space="preserve">المكلفين بإنفاذ القوانين وموظفي السجون، </w:t>
      </w:r>
      <w:r>
        <w:rPr>
          <w:rFonts w:hint="cs"/>
          <w:b/>
          <w:bCs/>
          <w:rtl/>
        </w:rPr>
        <w:t xml:space="preserve">وكذلك عن </w:t>
      </w:r>
      <w:r w:rsidRPr="00C31665">
        <w:rPr>
          <w:rFonts w:hint="cs"/>
          <w:b/>
          <w:bCs/>
          <w:rtl/>
        </w:rPr>
        <w:t xml:space="preserve">الاتّجار بالبشر </w:t>
      </w:r>
      <w:r>
        <w:rPr>
          <w:rFonts w:hint="cs"/>
          <w:b/>
          <w:bCs/>
          <w:rtl/>
        </w:rPr>
        <w:t>والعنف، ولا</w:t>
      </w:r>
      <w:r>
        <w:rPr>
          <w:b/>
          <w:bCs/>
          <w:rtl/>
        </w:rPr>
        <w:t> </w:t>
      </w:r>
      <w:r>
        <w:rPr>
          <w:rFonts w:hint="cs"/>
          <w:b/>
          <w:bCs/>
          <w:rtl/>
        </w:rPr>
        <w:t xml:space="preserve">سيما </w:t>
      </w:r>
      <w:r w:rsidRPr="00C31665">
        <w:rPr>
          <w:rFonts w:hint="cs"/>
          <w:b/>
          <w:bCs/>
          <w:rtl/>
        </w:rPr>
        <w:t>العنف المنزلي والجنسي ضد النساء والأطفال وغيرهم من المجموعات المستضعفة</w:t>
      </w:r>
      <w:r>
        <w:rPr>
          <w:rFonts w:hint="cs"/>
          <w:b/>
          <w:bCs/>
          <w:rtl/>
        </w:rPr>
        <w:t>،</w:t>
      </w:r>
      <w:r w:rsidRPr="00C31665">
        <w:rPr>
          <w:rFonts w:hint="cs"/>
          <w:b/>
          <w:bCs/>
          <w:rtl/>
        </w:rPr>
        <w:t xml:space="preserve"> </w:t>
      </w:r>
      <w:r>
        <w:rPr>
          <w:rFonts w:hint="cs"/>
          <w:b/>
          <w:bCs/>
          <w:rtl/>
        </w:rPr>
        <w:t xml:space="preserve">وعن سُبل </w:t>
      </w:r>
      <w:r w:rsidRPr="00C31665">
        <w:rPr>
          <w:rFonts w:hint="cs"/>
          <w:b/>
          <w:bCs/>
          <w:rtl/>
        </w:rPr>
        <w:t>الانتصاف المقدَّمة إلى الضحايا،</w:t>
      </w:r>
      <w:r>
        <w:rPr>
          <w:rFonts w:hint="cs"/>
          <w:b/>
          <w:bCs/>
          <w:rtl/>
        </w:rPr>
        <w:t xml:space="preserve"> بما</w:t>
      </w:r>
      <w:r>
        <w:rPr>
          <w:b/>
          <w:bCs/>
          <w:rtl/>
        </w:rPr>
        <w:t> </w:t>
      </w:r>
      <w:r w:rsidRPr="00C31665">
        <w:rPr>
          <w:rFonts w:hint="cs"/>
          <w:b/>
          <w:bCs/>
          <w:rtl/>
        </w:rPr>
        <w:t>في ذلك التعويض وإعادة التأهيل.</w:t>
      </w:r>
    </w:p>
    <w:p w:rsidR="00BD1F3C" w:rsidRDefault="00645AB2" w:rsidP="009F2FC3">
      <w:pPr>
        <w:pStyle w:val="SingleTxtGA"/>
        <w:spacing w:line="370" w:lineRule="exact"/>
        <w:rPr>
          <w:rFonts w:hint="cs"/>
          <w:rtl/>
        </w:rPr>
      </w:pPr>
      <w:r>
        <w:rPr>
          <w:rFonts w:hint="cs"/>
          <w:rtl/>
        </w:rPr>
        <w:t>(</w:t>
      </w:r>
      <w:r w:rsidR="00BD1F3C">
        <w:rPr>
          <w:rFonts w:hint="cs"/>
          <w:rtl/>
        </w:rPr>
        <w:t>24</w:t>
      </w:r>
      <w:r>
        <w:rPr>
          <w:rFonts w:hint="cs"/>
          <w:rtl/>
        </w:rPr>
        <w:t>)</w:t>
      </w:r>
      <w:r w:rsidR="00BD1F3C">
        <w:rPr>
          <w:rFonts w:hint="cs"/>
          <w:rtl/>
        </w:rPr>
        <w:tab/>
        <w:t>وتدعو اللجنة الدولة الطرف إلى النظر في إمكانية التصديق على معاهدات أخرى من معاهدات الأمم المتحدة لحقوق الإنسان التي لم</w:t>
      </w:r>
      <w:r w:rsidR="00BD1F3C">
        <w:rPr>
          <w:rtl/>
        </w:rPr>
        <w:t> </w:t>
      </w:r>
      <w:r w:rsidR="00BD1F3C">
        <w:rPr>
          <w:rFonts w:hint="cs"/>
          <w:rtl/>
        </w:rPr>
        <w:t>تنضم إليها بعد، ولا</w:t>
      </w:r>
      <w:r w:rsidR="00BD1F3C">
        <w:rPr>
          <w:rtl/>
        </w:rPr>
        <w:t> </w:t>
      </w:r>
      <w:r w:rsidR="00BD1F3C">
        <w:rPr>
          <w:rFonts w:hint="cs"/>
          <w:rtl/>
        </w:rPr>
        <w:t>سيما البروتوكول الاختياري الثاني الملحق بالعهد الدولي الخاص بالحقوق المدنية والسياسية والهادف إلى إلغاء عقوبة الإعدام، والبروتوكول الاختياري الملحق بالعهد الدولي الخاص بالحقوق الاقتصادية والاجتماعية والثقافية.</w:t>
      </w:r>
    </w:p>
    <w:p w:rsidR="00BD1F3C" w:rsidRDefault="00645AB2" w:rsidP="009F2FC3">
      <w:pPr>
        <w:pStyle w:val="SingleTxtGA"/>
        <w:spacing w:line="370" w:lineRule="exact"/>
        <w:rPr>
          <w:rFonts w:hint="cs"/>
          <w:rtl/>
        </w:rPr>
      </w:pPr>
      <w:r>
        <w:rPr>
          <w:rFonts w:hint="cs"/>
          <w:rtl/>
        </w:rPr>
        <w:t>(</w:t>
      </w:r>
      <w:r w:rsidR="00BD1F3C">
        <w:rPr>
          <w:rFonts w:hint="cs"/>
          <w:rtl/>
        </w:rPr>
        <w:t>25</w:t>
      </w:r>
      <w:r>
        <w:rPr>
          <w:rFonts w:hint="cs"/>
          <w:rtl/>
        </w:rPr>
        <w:t>)</w:t>
      </w:r>
      <w:r w:rsidR="00BD1F3C">
        <w:rPr>
          <w:rFonts w:hint="cs"/>
          <w:rtl/>
        </w:rPr>
        <w:tab/>
        <w:t>وتدعو اللجنة الدولة الطرف إلى أن تنشر على نطاق واسع تقريرها المقدَّم إلى اللجنة وهذه الملاحظات الختامية، باللغات المناسبة، بما</w:t>
      </w:r>
      <w:r w:rsidR="00BD1F3C">
        <w:rPr>
          <w:rtl/>
        </w:rPr>
        <w:t> </w:t>
      </w:r>
      <w:r w:rsidR="00BD1F3C">
        <w:rPr>
          <w:rFonts w:hint="cs"/>
          <w:rtl/>
        </w:rPr>
        <w:t>في ذلك لغات السكان الأصليين، عن طريق المواقع الشبكية الرسمية ووسائل الإعلام والمنظمات غير الحكومية.</w:t>
      </w:r>
    </w:p>
    <w:p w:rsidR="00BD1F3C" w:rsidRDefault="00645AB2" w:rsidP="009F2FC3">
      <w:pPr>
        <w:pStyle w:val="SingleTxtGA"/>
        <w:spacing w:line="370" w:lineRule="exact"/>
        <w:rPr>
          <w:rFonts w:hint="cs"/>
          <w:rtl/>
        </w:rPr>
      </w:pPr>
      <w:r>
        <w:rPr>
          <w:rFonts w:hint="cs"/>
          <w:rtl/>
        </w:rPr>
        <w:t>(</w:t>
      </w:r>
      <w:r w:rsidR="00BD1F3C">
        <w:rPr>
          <w:rFonts w:hint="cs"/>
          <w:rtl/>
        </w:rPr>
        <w:t>26</w:t>
      </w:r>
      <w:r>
        <w:rPr>
          <w:rFonts w:hint="cs"/>
          <w:rtl/>
        </w:rPr>
        <w:t>)</w:t>
      </w:r>
      <w:r w:rsidR="00BD1F3C">
        <w:rPr>
          <w:rFonts w:hint="cs"/>
          <w:rtl/>
        </w:rPr>
        <w:tab/>
        <w:t>وتدعو اللجنة الدولة الطرف إلى أن تقدَّم، في موعد أقصاه 23 تشرين الثاني/ نوفمبر</w:t>
      </w:r>
      <w:r w:rsidR="00BD1F3C">
        <w:rPr>
          <w:rFonts w:hint="eastAsia"/>
          <w:rtl/>
        </w:rPr>
        <w:t> </w:t>
      </w:r>
      <w:r w:rsidR="00BD1F3C">
        <w:rPr>
          <w:rFonts w:hint="cs"/>
          <w:rtl/>
        </w:rPr>
        <w:t>2013، معلومات متابعة الإجراءات التي تتخذ لتوصيات اللجنة فيما</w:t>
      </w:r>
      <w:r w:rsidR="00BD1F3C">
        <w:rPr>
          <w:rtl/>
        </w:rPr>
        <w:t> </w:t>
      </w:r>
      <w:r w:rsidR="00BD1F3C">
        <w:rPr>
          <w:rFonts w:hint="cs"/>
          <w:rtl/>
        </w:rPr>
        <w:t>يتعلَّق: (أ)</w:t>
      </w:r>
      <w:r w:rsidR="00BD1F3C">
        <w:rPr>
          <w:rFonts w:hint="eastAsia"/>
          <w:rtl/>
        </w:rPr>
        <w:t> </w:t>
      </w:r>
      <w:r w:rsidR="00BD1F3C">
        <w:rPr>
          <w:rFonts w:hint="cs"/>
          <w:rtl/>
        </w:rPr>
        <w:t>ب</w:t>
      </w:r>
      <w:r w:rsidR="00BD1F3C">
        <w:rPr>
          <w:rFonts w:hint="eastAsia"/>
          <w:rtl/>
        </w:rPr>
        <w:t>إجراء تحقيقات فورية ونزيهة وفعّالة؛ (ب) </w:t>
      </w:r>
      <w:r w:rsidR="00BD1F3C">
        <w:rPr>
          <w:rFonts w:hint="cs"/>
          <w:rtl/>
        </w:rPr>
        <w:t>وب</w:t>
      </w:r>
      <w:r w:rsidR="00BD1F3C">
        <w:rPr>
          <w:rFonts w:hint="eastAsia"/>
          <w:rtl/>
        </w:rPr>
        <w:t>ضمان أو</w:t>
      </w:r>
      <w:r w:rsidR="00BD1F3C">
        <w:rPr>
          <w:rtl/>
        </w:rPr>
        <w:t> </w:t>
      </w:r>
      <w:r w:rsidR="00BD1F3C">
        <w:rPr>
          <w:rFonts w:hint="eastAsia"/>
          <w:rtl/>
        </w:rPr>
        <w:t>تعزيز الضمانات القانونية للأشخاص المحتجزين؛ (ج) </w:t>
      </w:r>
      <w:r w:rsidR="00BD1F3C">
        <w:rPr>
          <w:rFonts w:hint="cs"/>
          <w:rtl/>
        </w:rPr>
        <w:t>وب</w:t>
      </w:r>
      <w:r w:rsidR="00BD1F3C">
        <w:rPr>
          <w:rFonts w:hint="eastAsia"/>
          <w:rtl/>
        </w:rPr>
        <w:t xml:space="preserve">ملاحقة المشتبه فيهم </w:t>
      </w:r>
      <w:r w:rsidR="00BD1F3C">
        <w:rPr>
          <w:rFonts w:hint="cs"/>
          <w:rtl/>
        </w:rPr>
        <w:t>ومعاقبة مرتكبي أفعال التعذيب أو</w:t>
      </w:r>
      <w:r w:rsidR="00BD1F3C">
        <w:rPr>
          <w:rtl/>
        </w:rPr>
        <w:t> </w:t>
      </w:r>
      <w:r w:rsidR="00BD1F3C">
        <w:rPr>
          <w:rFonts w:hint="cs"/>
          <w:rtl/>
        </w:rPr>
        <w:t>سوء المعاملة، على النحو الوارد في الفقرات 8(أ) و15(أ) و17(ب) من الوثيقة الحالية.</w:t>
      </w:r>
    </w:p>
    <w:p w:rsidR="00BD1F3C" w:rsidRDefault="00645AB2" w:rsidP="00645AB2">
      <w:pPr>
        <w:pStyle w:val="SingleTxtGA"/>
        <w:rPr>
          <w:rFonts w:hint="cs"/>
          <w:rtl/>
        </w:rPr>
      </w:pPr>
      <w:r>
        <w:rPr>
          <w:rFonts w:hint="cs"/>
          <w:rtl/>
        </w:rPr>
        <w:t>(</w:t>
      </w:r>
      <w:r w:rsidR="00BD1F3C">
        <w:rPr>
          <w:rFonts w:hint="cs"/>
          <w:rtl/>
        </w:rPr>
        <w:t>27</w:t>
      </w:r>
      <w:r>
        <w:rPr>
          <w:rFonts w:hint="cs"/>
          <w:rtl/>
        </w:rPr>
        <w:t>)</w:t>
      </w:r>
      <w:r w:rsidR="00BD1F3C">
        <w:rPr>
          <w:rFonts w:hint="cs"/>
          <w:rtl/>
        </w:rPr>
        <w:tab/>
        <w:t>وتدعو اللجنة الدولة الطرف إلى تقديم تقريرها المقبل، الذي سيكون التقرير الدوري السابع، في موعد أقصاه 23 تشرين الثاني/نوفمبر 2016. ولهذا الغرض، ستُقدِّم اللجنة إلى الدولة الطرف في الوقت المناسب قائمة</w:t>
      </w:r>
      <w:r w:rsidR="009912C3">
        <w:rPr>
          <w:rFonts w:hint="cs"/>
          <w:rtl/>
        </w:rPr>
        <w:t xml:space="preserve"> بالقضايا</w:t>
      </w:r>
      <w:r w:rsidR="00BD1F3C">
        <w:rPr>
          <w:rFonts w:hint="cs"/>
          <w:rtl/>
        </w:rPr>
        <w:t xml:space="preserve"> سابقة لتقديم التقرير على اعتبار أن الدولة الطرف قد وافقت على تقديم التقرير إلى اللجنة بموجب إجراء الإبلاغ الاختياري.</w:t>
      </w:r>
    </w:p>
    <w:p w:rsidR="00EE5D7D" w:rsidRPr="00645AB2" w:rsidRDefault="003A10A1" w:rsidP="00645AB2">
      <w:pPr>
        <w:pStyle w:val="SingleTxtGA"/>
        <w:rPr>
          <w:rFonts w:hint="cs"/>
          <w:b/>
          <w:bCs/>
          <w:rtl/>
        </w:rPr>
      </w:pPr>
      <w:r>
        <w:rPr>
          <w:rFonts w:hint="cs"/>
          <w:rtl/>
        </w:rPr>
        <w:t>63</w:t>
      </w:r>
      <w:r w:rsidR="00EE5D7D">
        <w:rPr>
          <w:rFonts w:hint="cs"/>
          <w:rtl/>
        </w:rPr>
        <w:t>-</w:t>
      </w:r>
      <w:r w:rsidR="00EE5D7D">
        <w:rPr>
          <w:rFonts w:hint="cs"/>
          <w:rtl/>
        </w:rPr>
        <w:tab/>
      </w:r>
      <w:r w:rsidR="00EE5D7D" w:rsidRPr="00645AB2">
        <w:rPr>
          <w:rFonts w:hint="cs"/>
          <w:b/>
          <w:bCs/>
          <w:rtl/>
        </w:rPr>
        <w:t>قطر</w:t>
      </w:r>
    </w:p>
    <w:p w:rsidR="00BD1F3C" w:rsidRPr="00E15F3F" w:rsidRDefault="00645AB2" w:rsidP="00645AB2">
      <w:pPr>
        <w:pStyle w:val="SingleTxtGA"/>
        <w:rPr>
          <w:rFonts w:hint="cs"/>
          <w:rtl/>
          <w:lang w:val="en-CA" w:bidi="ar-EG"/>
        </w:rPr>
      </w:pPr>
      <w:r>
        <w:rPr>
          <w:rFonts w:hint="cs"/>
          <w:rtl/>
          <w:lang w:val="fr-CH"/>
        </w:rPr>
        <w:t>(</w:t>
      </w:r>
      <w:r w:rsidR="00BD1F3C">
        <w:rPr>
          <w:rFonts w:hint="cs"/>
          <w:rtl/>
          <w:lang w:val="fr-CH"/>
        </w:rPr>
        <w:t>1</w:t>
      </w:r>
      <w:r>
        <w:rPr>
          <w:rFonts w:hint="cs"/>
          <w:rtl/>
          <w:lang w:val="fr-CH"/>
        </w:rPr>
        <w:t>)</w:t>
      </w:r>
      <w:r w:rsidR="00BD1F3C">
        <w:rPr>
          <w:rFonts w:hint="cs"/>
          <w:rtl/>
          <w:lang w:val="fr-CH"/>
        </w:rPr>
        <w:tab/>
        <w:t>نظرت لجنة مناهضة التعذيب في التقرير الدوري الثاني لقطر (</w:t>
      </w:r>
      <w:r w:rsidR="00BD1F3C">
        <w:t>CAT/C/QAT/2</w:t>
      </w:r>
      <w:r w:rsidR="00BD1F3C">
        <w:rPr>
          <w:rFonts w:hint="cs"/>
          <w:rtl/>
        </w:rPr>
        <w:t>) في جلستيها 1104 و1107 (</w:t>
      </w:r>
      <w:r w:rsidR="00BD1F3C">
        <w:t>CAT/C/SR.1104</w:t>
      </w:r>
      <w:r w:rsidR="00BD1F3C">
        <w:rPr>
          <w:rFonts w:hint="cs"/>
          <w:rtl/>
        </w:rPr>
        <w:t xml:space="preserve"> و</w:t>
      </w:r>
      <w:r w:rsidR="00BD1F3C">
        <w:t>CAT/C/SR.1107</w:t>
      </w:r>
      <w:r w:rsidR="00BD1F3C">
        <w:rPr>
          <w:rFonts w:hint="cs"/>
          <w:rtl/>
        </w:rPr>
        <w:t>)، المعقودتين في 5 و6 تشرين الثاني/نوفمبر 2012. واعتمدت في جلستها 1124 (</w:t>
      </w:r>
      <w:r w:rsidR="00BD1F3C">
        <w:t>CAT/C/SR.1124</w:t>
      </w:r>
      <w:r w:rsidR="00BD1F3C">
        <w:rPr>
          <w:rFonts w:hint="cs"/>
          <w:rtl/>
        </w:rPr>
        <w:t>) المعقودة في</w:t>
      </w:r>
      <w:r w:rsidR="00BD1F3C">
        <w:rPr>
          <w:rFonts w:hint="eastAsia"/>
          <w:rtl/>
        </w:rPr>
        <w:t> </w:t>
      </w:r>
      <w:r w:rsidR="00BD1F3C">
        <w:rPr>
          <w:rFonts w:hint="cs"/>
          <w:rtl/>
        </w:rPr>
        <w:t>19 تشرين الثاني/نوفمبر 2012، الملاحظات الختامية التالية.</w:t>
      </w:r>
    </w:p>
    <w:p w:rsidR="00BD1F3C" w:rsidRPr="00645AB2" w:rsidRDefault="009F2FC3" w:rsidP="009F2FC3">
      <w:pPr>
        <w:pStyle w:val="H23GA"/>
        <w:tabs>
          <w:tab w:val="left" w:pos="1940"/>
        </w:tabs>
        <w:rPr>
          <w:rFonts w:hint="cs"/>
          <w:rtl/>
        </w:rPr>
      </w:pPr>
      <w:r>
        <w:rPr>
          <w:rFonts w:hint="cs"/>
          <w:rtl/>
        </w:rPr>
        <w:tab/>
      </w:r>
      <w:r>
        <w:rPr>
          <w:rFonts w:hint="cs"/>
          <w:rtl/>
        </w:rPr>
        <w:tab/>
      </w:r>
      <w:r w:rsidR="00BD1F3C" w:rsidRPr="00645AB2">
        <w:rPr>
          <w:rFonts w:hint="cs"/>
          <w:rtl/>
        </w:rPr>
        <w:t>ألف-</w:t>
      </w:r>
      <w:r w:rsidR="00BD1F3C" w:rsidRPr="00645AB2">
        <w:rPr>
          <w:rFonts w:hint="cs"/>
          <w:rtl/>
        </w:rPr>
        <w:tab/>
        <w:t>مقدمة</w:t>
      </w:r>
    </w:p>
    <w:p w:rsidR="00BD1F3C" w:rsidRPr="00A22792" w:rsidRDefault="00645AB2" w:rsidP="00645AB2">
      <w:pPr>
        <w:pStyle w:val="SingleTxtGA"/>
        <w:rPr>
          <w:rFonts w:hint="cs"/>
          <w:rtl/>
          <w:lang w:val="en-CA" w:bidi="ar-EG"/>
        </w:rPr>
      </w:pPr>
      <w:r>
        <w:rPr>
          <w:rFonts w:hint="cs"/>
          <w:rtl/>
        </w:rPr>
        <w:t>(</w:t>
      </w:r>
      <w:r w:rsidR="00BD1F3C" w:rsidRPr="00A22792">
        <w:rPr>
          <w:rFonts w:hint="cs"/>
          <w:rtl/>
        </w:rPr>
        <w:t>2</w:t>
      </w:r>
      <w:r w:rsidR="0056406A">
        <w:rPr>
          <w:rFonts w:hint="cs"/>
          <w:rtl/>
        </w:rPr>
        <w:t>)</w:t>
      </w:r>
      <w:r w:rsidR="00BD1F3C" w:rsidRPr="00A22792">
        <w:rPr>
          <w:rFonts w:hint="cs"/>
          <w:rtl/>
        </w:rPr>
        <w:tab/>
        <w:t xml:space="preserve">ترحب اللجنة بتقديم التقرير الدوري الثاني لقطر، الذي اتبع </w:t>
      </w:r>
      <w:r w:rsidR="00BD1F3C" w:rsidRPr="00A22792">
        <w:rPr>
          <w:rFonts w:hint="cs"/>
          <w:rtl/>
          <w:lang w:bidi="ar-EG"/>
        </w:rPr>
        <w:t xml:space="preserve">عموماً </w:t>
      </w:r>
      <w:r w:rsidR="00BD1F3C" w:rsidRPr="00A22792">
        <w:rPr>
          <w:rFonts w:hint="cs"/>
          <w:rtl/>
        </w:rPr>
        <w:t xml:space="preserve">المبادئ التوجيهية المتعلقة بشكل التقارير، بيد أنها تأسف لتقديمه بعد تأخير يزيد عن ثلاث سنوات. </w:t>
      </w:r>
      <w:r w:rsidR="00BD1F3C" w:rsidRPr="00A22792">
        <w:rPr>
          <w:rtl/>
        </w:rPr>
        <w:t xml:space="preserve">وشددت اللجنة على أهمية تقديم </w:t>
      </w:r>
      <w:r w:rsidR="00BD1F3C" w:rsidRPr="00A22792">
        <w:rPr>
          <w:rFonts w:hint="cs"/>
          <w:rtl/>
        </w:rPr>
        <w:t>التقارير</w:t>
      </w:r>
      <w:r w:rsidR="00BD1F3C" w:rsidRPr="00A22792">
        <w:rPr>
          <w:rtl/>
        </w:rPr>
        <w:t xml:space="preserve"> في الوقت المحدد كي يتسنى الاستمرار في تحليل تنفيذ الاتفاقية في الدولة الطرف</w:t>
      </w:r>
      <w:r w:rsidR="00BD1F3C" w:rsidRPr="00A22792">
        <w:rPr>
          <w:rFonts w:hint="cs"/>
          <w:rtl/>
        </w:rPr>
        <w:t xml:space="preserve">. وتعرب اللجنة عن تقديرها لردود الدولة الطرف </w:t>
      </w:r>
      <w:r w:rsidR="00BD1F3C" w:rsidRPr="00A22792">
        <w:rPr>
          <w:rFonts w:hint="cs"/>
          <w:rtl/>
          <w:lang w:bidi="ar-EG"/>
        </w:rPr>
        <w:t xml:space="preserve">الخطية </w:t>
      </w:r>
      <w:r w:rsidR="00BD1F3C" w:rsidRPr="00A22792">
        <w:rPr>
          <w:rFonts w:hint="cs"/>
          <w:rtl/>
        </w:rPr>
        <w:t xml:space="preserve">على قائمة </w:t>
      </w:r>
      <w:r w:rsidR="009912C3">
        <w:rPr>
          <w:rFonts w:hint="cs"/>
          <w:rtl/>
        </w:rPr>
        <w:t>القضايا</w:t>
      </w:r>
      <w:r w:rsidR="00F37BC5">
        <w:rPr>
          <w:rFonts w:hint="cs"/>
          <w:rtl/>
        </w:rPr>
        <w:t xml:space="preserve"> </w:t>
      </w:r>
      <w:r w:rsidR="00BD1F3C" w:rsidRPr="00A22792">
        <w:rPr>
          <w:rFonts w:hint="cs"/>
          <w:rtl/>
        </w:rPr>
        <w:t>(</w:t>
      </w:r>
      <w:r w:rsidR="00BD1F3C" w:rsidRPr="00A22792">
        <w:rPr>
          <w:lang w:val="en-CA"/>
        </w:rPr>
        <w:t>CAT/C/QAT/Q/2/Add.2</w:t>
      </w:r>
      <w:r w:rsidR="00BD1F3C" w:rsidRPr="00A22792">
        <w:rPr>
          <w:rFonts w:hint="cs"/>
          <w:rtl/>
          <w:lang w:val="en-CA" w:bidi="ar-EG"/>
        </w:rPr>
        <w:t xml:space="preserve">)، والتي قدمتها الدولة الطرف باللغتين العربية والإنكليزية. </w:t>
      </w:r>
    </w:p>
    <w:p w:rsidR="00BD1F3C" w:rsidRPr="00A22792" w:rsidRDefault="0056406A" w:rsidP="0056406A">
      <w:pPr>
        <w:pStyle w:val="SingleTxtGA"/>
        <w:rPr>
          <w:rFonts w:hint="cs"/>
          <w:rtl/>
        </w:rPr>
      </w:pPr>
      <w:r>
        <w:rPr>
          <w:rFonts w:hint="cs"/>
          <w:rtl/>
        </w:rPr>
        <w:t>(</w:t>
      </w:r>
      <w:r w:rsidR="00BD1F3C" w:rsidRPr="00A22792">
        <w:rPr>
          <w:rFonts w:hint="cs"/>
          <w:rtl/>
        </w:rPr>
        <w:t>3</w:t>
      </w:r>
      <w:r>
        <w:rPr>
          <w:rFonts w:hint="cs"/>
          <w:rtl/>
        </w:rPr>
        <w:t>)</w:t>
      </w:r>
      <w:r w:rsidR="00BD1F3C" w:rsidRPr="00A22792">
        <w:rPr>
          <w:rFonts w:hint="cs"/>
          <w:rtl/>
        </w:rPr>
        <w:tab/>
      </w:r>
      <w:r w:rsidR="00BD1F3C" w:rsidRPr="00A22792">
        <w:rPr>
          <w:rtl/>
        </w:rPr>
        <w:t>وتلاحظ اللجنة مع التقدير أن وفداً رفيع المستوى قد اجتمع باللجنة</w:t>
      </w:r>
      <w:r w:rsidR="00BD1F3C" w:rsidRPr="00A22792">
        <w:rPr>
          <w:rFonts w:hint="cs"/>
          <w:rtl/>
        </w:rPr>
        <w:t xml:space="preserve"> وأجرى </w:t>
      </w:r>
      <w:r w:rsidR="00BD1F3C" w:rsidRPr="00A22792">
        <w:rPr>
          <w:rtl/>
        </w:rPr>
        <w:t>حوار</w:t>
      </w:r>
      <w:r w:rsidR="00BD1F3C" w:rsidRPr="00A22792">
        <w:rPr>
          <w:rFonts w:hint="cs"/>
          <w:rtl/>
        </w:rPr>
        <w:t>اً</w:t>
      </w:r>
      <w:r w:rsidR="00BD1F3C" w:rsidRPr="00A22792">
        <w:rPr>
          <w:rtl/>
        </w:rPr>
        <w:t xml:space="preserve"> بناء</w:t>
      </w:r>
      <w:r w:rsidR="00BD1F3C" w:rsidRPr="00A22792">
        <w:rPr>
          <w:rFonts w:hint="cs"/>
          <w:rtl/>
        </w:rPr>
        <w:t>ً</w:t>
      </w:r>
      <w:r w:rsidR="00BD1F3C" w:rsidRPr="00A22792">
        <w:rPr>
          <w:rtl/>
        </w:rPr>
        <w:t xml:space="preserve"> يغطي مجالات شتى موضع اهتمام تندرج في نطاق الاتفاقية</w:t>
      </w:r>
      <w:r w:rsidR="00BD1F3C" w:rsidRPr="00A22792">
        <w:rPr>
          <w:rFonts w:hint="cs"/>
          <w:rtl/>
        </w:rPr>
        <w:t xml:space="preserve">. </w:t>
      </w:r>
    </w:p>
    <w:p w:rsidR="00BD1F3C" w:rsidRPr="0056406A" w:rsidRDefault="009F2FC3" w:rsidP="009F2FC3">
      <w:pPr>
        <w:pStyle w:val="H23GA"/>
        <w:tabs>
          <w:tab w:val="left" w:pos="1926"/>
        </w:tabs>
        <w:rPr>
          <w:rFonts w:hint="cs"/>
          <w:rtl/>
        </w:rPr>
      </w:pPr>
      <w:r>
        <w:rPr>
          <w:rFonts w:hint="cs"/>
          <w:rtl/>
        </w:rPr>
        <w:tab/>
      </w:r>
      <w:r>
        <w:rPr>
          <w:rFonts w:hint="cs"/>
          <w:rtl/>
        </w:rPr>
        <w:tab/>
      </w:r>
      <w:r w:rsidR="00BD1F3C" w:rsidRPr="0056406A">
        <w:rPr>
          <w:rFonts w:hint="cs"/>
          <w:rtl/>
        </w:rPr>
        <w:t>باء-</w:t>
      </w:r>
      <w:r w:rsidR="00BD1F3C" w:rsidRPr="0056406A">
        <w:rPr>
          <w:rFonts w:hint="cs"/>
          <w:rtl/>
        </w:rPr>
        <w:tab/>
        <w:t>الجوانب الإيجابية</w:t>
      </w:r>
    </w:p>
    <w:p w:rsidR="00BD1F3C" w:rsidRDefault="00FC75CA" w:rsidP="00FC75CA">
      <w:pPr>
        <w:pStyle w:val="SingleTxtGA"/>
        <w:rPr>
          <w:rFonts w:hint="cs"/>
          <w:rtl/>
        </w:rPr>
      </w:pPr>
      <w:r>
        <w:rPr>
          <w:rFonts w:hint="cs"/>
          <w:rtl/>
        </w:rPr>
        <w:t>(</w:t>
      </w:r>
      <w:r w:rsidR="00BD1F3C">
        <w:rPr>
          <w:rFonts w:hint="cs"/>
          <w:rtl/>
        </w:rPr>
        <w:t>4</w:t>
      </w:r>
      <w:r>
        <w:rPr>
          <w:rFonts w:hint="cs"/>
          <w:rtl/>
        </w:rPr>
        <w:t>)</w:t>
      </w:r>
      <w:r w:rsidR="00BD1F3C">
        <w:rPr>
          <w:rFonts w:hint="cs"/>
          <w:rtl/>
        </w:rPr>
        <w:tab/>
      </w:r>
      <w:r w:rsidR="00BD1F3C" w:rsidRPr="001F16BC">
        <w:rPr>
          <w:rtl/>
        </w:rPr>
        <w:t>ترحب اللجنة بتصديق الدولة الطرف، منذ النظر في التقرير الأولي، على الصكين الدوليين التاليين أو بانضمامها إليهما:</w:t>
      </w:r>
    </w:p>
    <w:p w:rsidR="00BD1F3C" w:rsidRDefault="00BD1F3C" w:rsidP="00BD1F3C">
      <w:pPr>
        <w:pStyle w:val="SingleTxtGA"/>
        <w:rPr>
          <w:rFonts w:hint="cs"/>
          <w:rtl/>
        </w:rPr>
      </w:pPr>
      <w:r>
        <w:rPr>
          <w:rFonts w:hint="cs"/>
          <w:rtl/>
        </w:rPr>
        <w:tab/>
        <w:t>(أ)</w:t>
      </w:r>
      <w:r>
        <w:rPr>
          <w:rFonts w:hint="cs"/>
          <w:rtl/>
        </w:rPr>
        <w:tab/>
        <w:t>اتفاقية القضاء على جميع أشكال التمييز ضد المرأة، في 29 نسيان/ أبريل</w:t>
      </w:r>
      <w:r>
        <w:rPr>
          <w:rFonts w:hint="eastAsia"/>
          <w:rtl/>
        </w:rPr>
        <w:t> </w:t>
      </w:r>
      <w:r>
        <w:rPr>
          <w:rFonts w:hint="cs"/>
          <w:rtl/>
        </w:rPr>
        <w:t xml:space="preserve">2009؛ </w:t>
      </w:r>
    </w:p>
    <w:p w:rsidR="00BD1F3C" w:rsidRPr="00622F75" w:rsidRDefault="00BD1F3C" w:rsidP="00BD1F3C">
      <w:pPr>
        <w:pStyle w:val="SingleTxtGA"/>
        <w:rPr>
          <w:rFonts w:hint="cs"/>
          <w:rtl/>
          <w:lang w:val="fr-CH" w:bidi="ar-MA"/>
        </w:rPr>
      </w:pPr>
      <w:r>
        <w:rPr>
          <w:rFonts w:hint="cs"/>
          <w:rtl/>
        </w:rPr>
        <w:tab/>
        <w:t>(ب)</w:t>
      </w:r>
      <w:r>
        <w:rPr>
          <w:rFonts w:hint="cs"/>
          <w:rtl/>
        </w:rPr>
        <w:tab/>
        <w:t xml:space="preserve">اتفاقية حقوق الأشخاص ذوي الإعاقة، في 13 أيار/مايو 2008. </w:t>
      </w:r>
    </w:p>
    <w:p w:rsidR="00BD1F3C" w:rsidRDefault="00FC75CA" w:rsidP="00FC75CA">
      <w:pPr>
        <w:pStyle w:val="SingleTxtGA"/>
        <w:rPr>
          <w:rFonts w:hint="cs"/>
          <w:rtl/>
        </w:rPr>
      </w:pPr>
      <w:r>
        <w:rPr>
          <w:rFonts w:hint="cs"/>
          <w:rtl/>
        </w:rPr>
        <w:t>(</w:t>
      </w:r>
      <w:r w:rsidR="00BD1F3C">
        <w:rPr>
          <w:rFonts w:hint="cs"/>
          <w:rtl/>
        </w:rPr>
        <w:t>5</w:t>
      </w:r>
      <w:r>
        <w:rPr>
          <w:rFonts w:hint="cs"/>
          <w:rtl/>
        </w:rPr>
        <w:t>)</w:t>
      </w:r>
      <w:r w:rsidR="00BD1F3C">
        <w:rPr>
          <w:rFonts w:hint="cs"/>
          <w:rtl/>
        </w:rPr>
        <w:tab/>
      </w:r>
      <w:r w:rsidR="00BD1F3C">
        <w:rPr>
          <w:kern w:val="16"/>
          <w:rtl/>
        </w:rPr>
        <w:t xml:space="preserve">وتلاحظ اللجنة بعين التقدير الإصلاحات التي أجرتها الدولة الطرف في مجال حقوق الإنسان وجهودها المتواصلة لمراجعة تشريعاتها من أجل ضمان قدر أكبر من الحماية لحقوق الإنسان، بما </w:t>
      </w:r>
      <w:r w:rsidR="00BD1F3C">
        <w:rPr>
          <w:rFonts w:hint="cs"/>
          <w:kern w:val="16"/>
          <w:rtl/>
        </w:rPr>
        <w:t xml:space="preserve">في ذلك </w:t>
      </w:r>
      <w:r w:rsidR="00BD1F3C">
        <w:rPr>
          <w:rFonts w:hint="cs"/>
          <w:rtl/>
        </w:rPr>
        <w:t>الحقوق المحمية بموجب الاتفاقية. وترحب اللجنة بصفة خاصة بما يلي:</w:t>
      </w:r>
    </w:p>
    <w:p w:rsidR="00BD1F3C" w:rsidRDefault="00BD1F3C" w:rsidP="00BD1F3C">
      <w:pPr>
        <w:pStyle w:val="SingleTxtGA"/>
        <w:rPr>
          <w:rFonts w:hint="cs"/>
          <w:rtl/>
        </w:rPr>
      </w:pPr>
      <w:r>
        <w:rPr>
          <w:rFonts w:hint="cs"/>
          <w:rtl/>
        </w:rPr>
        <w:tab/>
        <w:t>(أ)</w:t>
      </w:r>
      <w:r>
        <w:rPr>
          <w:rFonts w:hint="cs"/>
          <w:rtl/>
        </w:rPr>
        <w:tab/>
        <w:t>إنشاء المحكمة الدستورية العليا، عملاً بالقانون رقم 12 لسنة 2008؛</w:t>
      </w:r>
    </w:p>
    <w:p w:rsidR="00BD1F3C" w:rsidRDefault="00BD1F3C" w:rsidP="00BD1F3C">
      <w:pPr>
        <w:pStyle w:val="SingleTxtGA"/>
        <w:rPr>
          <w:rFonts w:hint="cs"/>
          <w:rtl/>
        </w:rPr>
      </w:pPr>
      <w:r>
        <w:rPr>
          <w:rFonts w:hint="cs"/>
          <w:rtl/>
        </w:rPr>
        <w:tab/>
        <w:t>(ب)</w:t>
      </w:r>
      <w:r>
        <w:rPr>
          <w:rFonts w:hint="cs"/>
          <w:rtl/>
        </w:rPr>
        <w:tab/>
        <w:t>إنشاء المؤسسة القطرية لمكافحة الاتجار بالبشر، عملاً بالقرار رقم 1 لسنة</w:t>
      </w:r>
      <w:r>
        <w:rPr>
          <w:rFonts w:hint="eastAsia"/>
          <w:rtl/>
        </w:rPr>
        <w:t> </w:t>
      </w:r>
      <w:r>
        <w:rPr>
          <w:rFonts w:hint="cs"/>
          <w:rtl/>
        </w:rPr>
        <w:t>2008، الصادر عن المجلس الأعلى لشؤون الأسرة؛</w:t>
      </w:r>
    </w:p>
    <w:p w:rsidR="00BD1F3C" w:rsidRDefault="00BD1F3C" w:rsidP="00BD1F3C">
      <w:pPr>
        <w:pStyle w:val="SingleTxtGA"/>
        <w:rPr>
          <w:rFonts w:hint="cs"/>
          <w:rtl/>
        </w:rPr>
      </w:pPr>
      <w:r>
        <w:rPr>
          <w:rFonts w:hint="cs"/>
          <w:rtl/>
        </w:rPr>
        <w:tab/>
        <w:t>(ج)</w:t>
      </w:r>
      <w:r>
        <w:rPr>
          <w:rFonts w:hint="cs"/>
          <w:rtl/>
        </w:rPr>
        <w:tab/>
      </w:r>
      <w:r>
        <w:rPr>
          <w:rtl/>
        </w:rPr>
        <w:t xml:space="preserve">تشكيل لجنة دائمة لدراسة </w:t>
      </w:r>
      <w:r>
        <w:rPr>
          <w:rFonts w:hint="cs"/>
          <w:rtl/>
        </w:rPr>
        <w:t xml:space="preserve">حالات </w:t>
      </w:r>
      <w:r>
        <w:rPr>
          <w:rtl/>
        </w:rPr>
        <w:t>الموقوفين بحجز الإبعاد،</w:t>
      </w:r>
      <w:r>
        <w:rPr>
          <w:rFonts w:hint="cs"/>
          <w:rtl/>
        </w:rPr>
        <w:t xml:space="preserve"> عملاً بقرار </w:t>
      </w:r>
      <w:r>
        <w:rPr>
          <w:rtl/>
        </w:rPr>
        <w:t xml:space="preserve">وزير الدولة للشؤون الداخلية رقم </w:t>
      </w:r>
      <w:r w:rsidRPr="00EA4DB4">
        <w:rPr>
          <w:rtl/>
        </w:rPr>
        <w:t>46</w:t>
      </w:r>
      <w:r>
        <w:rPr>
          <w:rtl/>
        </w:rPr>
        <w:t xml:space="preserve"> لسنة </w:t>
      </w:r>
      <w:r w:rsidRPr="00EA4DB4">
        <w:rPr>
          <w:rtl/>
        </w:rPr>
        <w:t>2008</w:t>
      </w:r>
      <w:r>
        <w:rPr>
          <w:rFonts w:hint="cs"/>
          <w:rtl/>
        </w:rPr>
        <w:t>؛</w:t>
      </w:r>
    </w:p>
    <w:p w:rsidR="00BD1F3C" w:rsidRDefault="00BD1F3C" w:rsidP="00BD1F3C">
      <w:pPr>
        <w:pStyle w:val="SingleTxtGA"/>
        <w:rPr>
          <w:rFonts w:hint="cs"/>
          <w:rtl/>
        </w:rPr>
      </w:pPr>
      <w:r>
        <w:rPr>
          <w:rFonts w:hint="cs"/>
          <w:rtl/>
        </w:rPr>
        <w:tab/>
        <w:t>(د)</w:t>
      </w:r>
      <w:r>
        <w:rPr>
          <w:rFonts w:hint="cs"/>
          <w:rtl/>
        </w:rPr>
        <w:tab/>
        <w:t xml:space="preserve">سن </w:t>
      </w:r>
      <w:r>
        <w:rPr>
          <w:rtl/>
        </w:rPr>
        <w:t xml:space="preserve">القانون رقم </w:t>
      </w:r>
      <w:r w:rsidRPr="00EA4DB4">
        <w:rPr>
          <w:rtl/>
        </w:rPr>
        <w:t>3</w:t>
      </w:r>
      <w:r>
        <w:rPr>
          <w:rtl/>
        </w:rPr>
        <w:t xml:space="preserve"> لسنة </w:t>
      </w:r>
      <w:r w:rsidRPr="00EA4DB4">
        <w:rPr>
          <w:rtl/>
        </w:rPr>
        <w:t>2009</w:t>
      </w:r>
      <w:r>
        <w:rPr>
          <w:rtl/>
        </w:rPr>
        <w:t>، الخاص بتنظيم المؤسسات العقابية والإصلاحية</w:t>
      </w:r>
      <w:r>
        <w:rPr>
          <w:rFonts w:hint="cs"/>
          <w:rtl/>
        </w:rPr>
        <w:t>؛</w:t>
      </w:r>
    </w:p>
    <w:p w:rsidR="00BD1F3C" w:rsidRPr="00281287" w:rsidRDefault="00BD1F3C" w:rsidP="00BD1F3C">
      <w:pPr>
        <w:pStyle w:val="SingleTxtGA"/>
        <w:rPr>
          <w:rFonts w:hint="cs"/>
          <w:rtl/>
          <w:lang w:val="fr-CH" w:bidi="ar-MA"/>
        </w:rPr>
      </w:pPr>
      <w:r>
        <w:rPr>
          <w:rFonts w:hint="cs"/>
          <w:rtl/>
        </w:rPr>
        <w:tab/>
        <w:t>(</w:t>
      </w:r>
      <w:r w:rsidRPr="00881655">
        <w:rPr>
          <w:rFonts w:hint="cs"/>
          <w:rtl/>
        </w:rPr>
        <w:t>ﻫ</w:t>
      </w:r>
      <w:r>
        <w:rPr>
          <w:rFonts w:hint="cs"/>
          <w:rtl/>
        </w:rPr>
        <w:t>)</w:t>
      </w:r>
      <w:r>
        <w:rPr>
          <w:rFonts w:hint="cs"/>
          <w:rtl/>
        </w:rPr>
        <w:tab/>
        <w:t xml:space="preserve">تعديل القانون المؤسس </w:t>
      </w:r>
      <w:r>
        <w:rPr>
          <w:rtl/>
        </w:rPr>
        <w:t xml:space="preserve">للجنة الوطنية لحقوق الإنسان </w:t>
      </w:r>
      <w:r>
        <w:rPr>
          <w:rFonts w:hint="cs"/>
          <w:rtl/>
        </w:rPr>
        <w:t>(ال</w:t>
      </w:r>
      <w:r>
        <w:rPr>
          <w:rtl/>
        </w:rPr>
        <w:t>قانون رقم</w:t>
      </w:r>
      <w:r>
        <w:rPr>
          <w:rFonts w:hint="cs"/>
          <w:rtl/>
        </w:rPr>
        <w:t> </w:t>
      </w:r>
      <w:r w:rsidRPr="00EA4DB4">
        <w:rPr>
          <w:rtl/>
        </w:rPr>
        <w:t>38</w:t>
      </w:r>
      <w:r>
        <w:rPr>
          <w:rtl/>
        </w:rPr>
        <w:t xml:space="preserve"> لسنة </w:t>
      </w:r>
      <w:r w:rsidRPr="00EA4DB4">
        <w:rPr>
          <w:rtl/>
        </w:rPr>
        <w:t>2002</w:t>
      </w:r>
      <w:r>
        <w:rPr>
          <w:rFonts w:hint="cs"/>
          <w:rtl/>
        </w:rPr>
        <w:t>)</w:t>
      </w:r>
      <w:r>
        <w:rPr>
          <w:rtl/>
        </w:rPr>
        <w:t>،</w:t>
      </w:r>
      <w:r>
        <w:rPr>
          <w:rFonts w:hint="cs"/>
          <w:rtl/>
        </w:rPr>
        <w:t xml:space="preserve"> بموجب المرسوم بقانون رقم 17 لسنة 2010.</w:t>
      </w:r>
    </w:p>
    <w:p w:rsidR="00BD1F3C" w:rsidRPr="00FC75CA" w:rsidRDefault="009F2FC3" w:rsidP="009F2FC3">
      <w:pPr>
        <w:pStyle w:val="H23GA"/>
        <w:tabs>
          <w:tab w:val="left" w:pos="1926"/>
        </w:tabs>
        <w:rPr>
          <w:rFonts w:hint="cs"/>
          <w:rtl/>
        </w:rPr>
      </w:pPr>
      <w:r>
        <w:rPr>
          <w:rFonts w:hint="cs"/>
          <w:rtl/>
        </w:rPr>
        <w:tab/>
      </w:r>
      <w:r>
        <w:rPr>
          <w:rFonts w:hint="cs"/>
          <w:rtl/>
        </w:rPr>
        <w:tab/>
      </w:r>
      <w:r w:rsidR="00BD1F3C" w:rsidRPr="00FC75CA">
        <w:rPr>
          <w:rFonts w:hint="cs"/>
          <w:rtl/>
        </w:rPr>
        <w:t>جيم-</w:t>
      </w:r>
      <w:r w:rsidR="00BD1F3C" w:rsidRPr="00FC75CA">
        <w:rPr>
          <w:rFonts w:hint="cs"/>
          <w:rtl/>
        </w:rPr>
        <w:tab/>
        <w:t>دواعي القلق الرئيسية والتوصيات</w:t>
      </w:r>
    </w:p>
    <w:p w:rsidR="00BD1F3C" w:rsidRDefault="00BD1F3C" w:rsidP="00BD1F3C">
      <w:pPr>
        <w:pStyle w:val="H23GA"/>
        <w:rPr>
          <w:rFonts w:hint="cs"/>
          <w:rtl/>
          <w:lang w:bidi="ar-MA"/>
        </w:rPr>
      </w:pPr>
      <w:r>
        <w:rPr>
          <w:rFonts w:hint="cs"/>
          <w:rtl/>
        </w:rPr>
        <w:tab/>
      </w:r>
      <w:r>
        <w:rPr>
          <w:rFonts w:hint="cs"/>
          <w:rtl/>
        </w:rPr>
        <w:tab/>
        <w:t>تنفيذ التوصيات السابقة للجنة</w:t>
      </w:r>
    </w:p>
    <w:p w:rsidR="00BD1F3C" w:rsidRDefault="00FC75CA" w:rsidP="00FC75CA">
      <w:pPr>
        <w:pStyle w:val="SingleTxtGA"/>
        <w:rPr>
          <w:rFonts w:hint="cs"/>
          <w:rtl/>
        </w:rPr>
      </w:pPr>
      <w:r>
        <w:rPr>
          <w:rFonts w:hint="cs"/>
          <w:rtl/>
        </w:rPr>
        <w:t>(</w:t>
      </w:r>
      <w:r w:rsidR="00BD1F3C">
        <w:rPr>
          <w:rFonts w:hint="cs"/>
          <w:rtl/>
        </w:rPr>
        <w:t>6</w:t>
      </w:r>
      <w:r>
        <w:rPr>
          <w:rFonts w:hint="cs"/>
          <w:rtl/>
        </w:rPr>
        <w:t>)</w:t>
      </w:r>
      <w:r w:rsidR="00BD1F3C">
        <w:rPr>
          <w:rFonts w:hint="cs"/>
          <w:rtl/>
        </w:rPr>
        <w:tab/>
        <w:t xml:space="preserve">في حين تقر اللجنة بشتى الخطوات التي اتخذتها الدولة الطرف لإصلاح بعض تشريعاتها بما يتسق مع الاتفاقية، فإنها </w:t>
      </w:r>
      <w:r w:rsidR="00BD1F3C">
        <w:rPr>
          <w:rtl/>
          <w:lang w:val="fr-CH"/>
        </w:rPr>
        <w:t xml:space="preserve">تلاحظ مع القلق عدم تنفيذ العديد من التوصيات التي اعتمدتها في أعقاب النظر في التقرير </w:t>
      </w:r>
      <w:r w:rsidR="00BD1F3C">
        <w:rPr>
          <w:rFonts w:hint="cs"/>
          <w:rtl/>
          <w:lang w:val="fr-CH"/>
        </w:rPr>
        <w:t>الأولي</w:t>
      </w:r>
      <w:r w:rsidR="00BD1F3C">
        <w:rPr>
          <w:rtl/>
          <w:lang w:val="fr-CH"/>
        </w:rPr>
        <w:t xml:space="preserve"> للدولة الطرف</w:t>
      </w:r>
      <w:r w:rsidR="00BD1F3C">
        <w:rPr>
          <w:rFonts w:hint="cs"/>
          <w:rtl/>
          <w:lang w:val="fr-CH"/>
        </w:rPr>
        <w:t xml:space="preserve"> </w:t>
      </w:r>
      <w:r w:rsidR="00BD1F3C">
        <w:rPr>
          <w:rFonts w:hint="cs"/>
          <w:rtl/>
        </w:rPr>
        <w:t>(</w:t>
      </w:r>
      <w:r w:rsidR="00BD1F3C">
        <w:rPr>
          <w:lang w:val="en-CA"/>
        </w:rPr>
        <w:t>CAT/C/QAT/CO/1</w:t>
      </w:r>
      <w:r w:rsidR="00BD1F3C">
        <w:rPr>
          <w:rFonts w:hint="cs"/>
          <w:rtl/>
          <w:lang w:val="en-CA" w:bidi="ar-EG"/>
        </w:rPr>
        <w:t xml:space="preserve">) </w:t>
      </w:r>
      <w:r w:rsidR="00BD1F3C">
        <w:rPr>
          <w:rtl/>
        </w:rPr>
        <w:t xml:space="preserve">وتأسف لأن </w:t>
      </w:r>
      <w:r w:rsidR="00BD1F3C">
        <w:rPr>
          <w:rFonts w:hint="cs"/>
          <w:rtl/>
        </w:rPr>
        <w:t>معظم</w:t>
      </w:r>
      <w:r w:rsidR="00BD1F3C">
        <w:rPr>
          <w:rtl/>
        </w:rPr>
        <w:t xml:space="preserve"> المواضيع التي تبعث على القلق لا تزال قائمة</w:t>
      </w:r>
      <w:r w:rsidR="00BD1F3C">
        <w:rPr>
          <w:rFonts w:hint="cs"/>
          <w:rtl/>
        </w:rPr>
        <w:t>.</w:t>
      </w:r>
    </w:p>
    <w:p w:rsidR="00BD1F3C" w:rsidRPr="00212882" w:rsidRDefault="00BD1F3C" w:rsidP="00DB5483">
      <w:pPr>
        <w:pStyle w:val="SingleTxtGA"/>
        <w:rPr>
          <w:b/>
          <w:bCs/>
        </w:rPr>
      </w:pPr>
      <w:r w:rsidRPr="00212882">
        <w:rPr>
          <w:rFonts w:hint="cs"/>
          <w:b/>
          <w:bCs/>
          <w:rtl/>
        </w:rPr>
        <w:tab/>
      </w:r>
      <w:r w:rsidRPr="00212882">
        <w:rPr>
          <w:b/>
          <w:bCs/>
          <w:rtl/>
        </w:rPr>
        <w:t xml:space="preserve">ينبغي </w:t>
      </w:r>
      <w:r w:rsidRPr="00212882">
        <w:rPr>
          <w:rFonts w:hint="cs"/>
          <w:b/>
          <w:bCs/>
          <w:rtl/>
        </w:rPr>
        <w:t>ل</w:t>
      </w:r>
      <w:r w:rsidRPr="00212882">
        <w:rPr>
          <w:b/>
          <w:bCs/>
          <w:rtl/>
        </w:rPr>
        <w:t xml:space="preserve">لدولة الطرف </w:t>
      </w:r>
      <w:r w:rsidRPr="00212882">
        <w:rPr>
          <w:rFonts w:hint="cs"/>
          <w:b/>
          <w:bCs/>
          <w:rtl/>
        </w:rPr>
        <w:t xml:space="preserve">أن تعيد </w:t>
      </w:r>
      <w:r w:rsidRPr="00212882">
        <w:rPr>
          <w:b/>
          <w:bCs/>
          <w:rtl/>
        </w:rPr>
        <w:t>النظر في جميع التوصيات التي اعتمدتها اللجنة في ملاحظاتها الختامية السابقة وأن تتخذ جميع التدابير اللازمة لتنفيذ هذه التوصيات تنفيذاً</w:t>
      </w:r>
      <w:r w:rsidR="00DB5483">
        <w:rPr>
          <w:rFonts w:hint="cs"/>
          <w:b/>
          <w:bCs/>
          <w:rtl/>
        </w:rPr>
        <w:t> </w:t>
      </w:r>
      <w:r w:rsidRPr="00212882">
        <w:rPr>
          <w:b/>
          <w:bCs/>
          <w:rtl/>
        </w:rPr>
        <w:t>كاملاً.</w:t>
      </w:r>
    </w:p>
    <w:p w:rsidR="00BD1F3C" w:rsidRPr="00F3246D" w:rsidRDefault="00BD1F3C" w:rsidP="00BD1F3C">
      <w:pPr>
        <w:pStyle w:val="H23GA"/>
      </w:pPr>
      <w:r w:rsidRPr="00F3246D">
        <w:rPr>
          <w:rFonts w:hint="cs"/>
          <w:rtl/>
        </w:rPr>
        <w:tab/>
      </w:r>
      <w:r w:rsidRPr="00F3246D">
        <w:rPr>
          <w:rFonts w:hint="cs"/>
          <w:rtl/>
        </w:rPr>
        <w:tab/>
      </w:r>
      <w:r w:rsidRPr="00F3246D">
        <w:rPr>
          <w:rtl/>
        </w:rPr>
        <w:t>اعتبارات عامة متعلقة بالتنفيذ</w:t>
      </w:r>
    </w:p>
    <w:p w:rsidR="00BD1F3C" w:rsidRPr="00FC75CA" w:rsidRDefault="00FC75CA" w:rsidP="00FC75CA">
      <w:pPr>
        <w:pStyle w:val="SingleTxtGA"/>
        <w:rPr>
          <w:spacing w:val="-2"/>
        </w:rPr>
      </w:pPr>
      <w:r w:rsidRPr="00FC75CA">
        <w:rPr>
          <w:rFonts w:hint="cs"/>
          <w:spacing w:val="-2"/>
          <w:rtl/>
        </w:rPr>
        <w:t>(</w:t>
      </w:r>
      <w:r w:rsidR="00BD1F3C" w:rsidRPr="00FC75CA">
        <w:rPr>
          <w:rFonts w:hint="cs"/>
          <w:spacing w:val="-2"/>
          <w:rtl/>
        </w:rPr>
        <w:t>7</w:t>
      </w:r>
      <w:r w:rsidRPr="00FC75CA">
        <w:rPr>
          <w:rFonts w:hint="cs"/>
          <w:spacing w:val="-2"/>
          <w:rtl/>
        </w:rPr>
        <w:t>)</w:t>
      </w:r>
      <w:r w:rsidR="00BD1F3C" w:rsidRPr="00FC75CA">
        <w:rPr>
          <w:spacing w:val="-2"/>
          <w:rtl/>
        </w:rPr>
        <w:tab/>
      </w:r>
      <w:r w:rsidR="00BD1F3C" w:rsidRPr="00FC75CA">
        <w:rPr>
          <w:rFonts w:hint="cs"/>
          <w:spacing w:val="-2"/>
          <w:rtl/>
        </w:rPr>
        <w:t>تأسف</w:t>
      </w:r>
      <w:r w:rsidR="00BD1F3C" w:rsidRPr="00FC75CA">
        <w:rPr>
          <w:spacing w:val="-2"/>
          <w:rtl/>
        </w:rPr>
        <w:t xml:space="preserve"> اللجنة لعدم تقديم معظم المعلومات الإحصائية التي طلبت</w:t>
      </w:r>
      <w:r w:rsidR="00BD1F3C" w:rsidRPr="00FC75CA">
        <w:rPr>
          <w:rFonts w:hint="cs"/>
          <w:spacing w:val="-2"/>
          <w:rtl/>
        </w:rPr>
        <w:t xml:space="preserve">ها، برغم طلباتها المتكررة. إن عدم تقديم </w:t>
      </w:r>
      <w:r w:rsidR="00BD1F3C" w:rsidRPr="00FC75CA">
        <w:rPr>
          <w:spacing w:val="-2"/>
          <w:rtl/>
        </w:rPr>
        <w:t xml:space="preserve">بيانات شاملة </w:t>
      </w:r>
      <w:r w:rsidR="00BD1F3C" w:rsidRPr="00FC75CA">
        <w:rPr>
          <w:rFonts w:hint="cs"/>
          <w:spacing w:val="-2"/>
          <w:rtl/>
        </w:rPr>
        <w:t>و</w:t>
      </w:r>
      <w:r w:rsidR="00BD1F3C" w:rsidRPr="00FC75CA">
        <w:rPr>
          <w:spacing w:val="-2"/>
          <w:rtl/>
        </w:rPr>
        <w:t xml:space="preserve">مفصلة عن الشكاوى والتحقيقات والملاحقات والإدانات المتعلقة بقضايا أعمال التعذيب </w:t>
      </w:r>
      <w:r w:rsidR="00BD1F3C" w:rsidRPr="00FC75CA">
        <w:rPr>
          <w:rFonts w:hint="cs"/>
          <w:spacing w:val="-2"/>
          <w:rtl/>
        </w:rPr>
        <w:t>وسوء</w:t>
      </w:r>
      <w:r w:rsidR="00BD1F3C" w:rsidRPr="00FC75CA">
        <w:rPr>
          <w:spacing w:val="-2"/>
          <w:rtl/>
        </w:rPr>
        <w:t xml:space="preserve"> المعاملة التي يرتكبها </w:t>
      </w:r>
      <w:r w:rsidR="00BD1F3C" w:rsidRPr="00FC75CA">
        <w:rPr>
          <w:rFonts w:hint="cs"/>
          <w:spacing w:val="-2"/>
          <w:rtl/>
        </w:rPr>
        <w:t>الموظفون المكلفون ب</w:t>
      </w:r>
      <w:r w:rsidR="00BD1F3C" w:rsidRPr="00FC75CA">
        <w:rPr>
          <w:spacing w:val="-2"/>
          <w:rtl/>
        </w:rPr>
        <w:t xml:space="preserve">إنفاذ القانون وأفراد الأمن والسجون، وعن طرد المهاجرين </w:t>
      </w:r>
      <w:r w:rsidR="00BD1F3C" w:rsidRPr="00FC75CA">
        <w:rPr>
          <w:rFonts w:hint="cs"/>
          <w:spacing w:val="-2"/>
          <w:rtl/>
        </w:rPr>
        <w:t>وملتمسي</w:t>
      </w:r>
      <w:r w:rsidR="00BD1F3C" w:rsidRPr="00FC75CA">
        <w:rPr>
          <w:spacing w:val="-2"/>
          <w:rtl/>
        </w:rPr>
        <w:t xml:space="preserve"> اللجوء، و</w:t>
      </w:r>
      <w:r w:rsidR="00BD1F3C" w:rsidRPr="00FC75CA">
        <w:rPr>
          <w:rFonts w:hint="cs"/>
          <w:spacing w:val="-2"/>
          <w:rtl/>
        </w:rPr>
        <w:t xml:space="preserve">عدم </w:t>
      </w:r>
      <w:r w:rsidR="00BD1F3C" w:rsidRPr="00FC75CA">
        <w:rPr>
          <w:spacing w:val="-2"/>
          <w:rtl/>
        </w:rPr>
        <w:t>الحصول على</w:t>
      </w:r>
      <w:r>
        <w:rPr>
          <w:rFonts w:hint="cs"/>
          <w:spacing w:val="-2"/>
          <w:rtl/>
        </w:rPr>
        <w:t> </w:t>
      </w:r>
      <w:r w:rsidR="00BD1F3C" w:rsidRPr="00FC75CA">
        <w:rPr>
          <w:spacing w:val="-2"/>
          <w:rtl/>
        </w:rPr>
        <w:t xml:space="preserve">سجلات الاعتقال، ومدة المحاكمة، وإعادة التأهيل والتعويض، والاتجار بالبشر والعنف الجنسي، يشكل عائقاً شديداً أمام تحديد </w:t>
      </w:r>
      <w:r w:rsidR="00BD1F3C" w:rsidRPr="00FC75CA">
        <w:rPr>
          <w:rFonts w:hint="cs"/>
          <w:spacing w:val="-2"/>
          <w:rtl/>
        </w:rPr>
        <w:t xml:space="preserve">مدى الامتثال </w:t>
      </w:r>
      <w:r w:rsidR="00BD1F3C" w:rsidRPr="00FC75CA">
        <w:rPr>
          <w:spacing w:val="-2"/>
          <w:rtl/>
        </w:rPr>
        <w:t xml:space="preserve">للاتفاقية </w:t>
      </w:r>
      <w:r w:rsidR="00BD1F3C" w:rsidRPr="00FC75CA">
        <w:rPr>
          <w:rFonts w:hint="cs"/>
          <w:spacing w:val="-2"/>
          <w:rtl/>
        </w:rPr>
        <w:t xml:space="preserve">من عدمه </w:t>
      </w:r>
      <w:r w:rsidR="00BD1F3C" w:rsidRPr="00FC75CA">
        <w:rPr>
          <w:spacing w:val="-2"/>
          <w:rtl/>
        </w:rPr>
        <w:t>ويتطلب الاهتمام.</w:t>
      </w:r>
    </w:p>
    <w:p w:rsidR="00BD1F3C" w:rsidRPr="00212882" w:rsidRDefault="00BD1F3C" w:rsidP="00BD1F3C">
      <w:pPr>
        <w:pStyle w:val="SingleTxtGA"/>
        <w:rPr>
          <w:rFonts w:hint="cs"/>
          <w:b/>
          <w:bCs/>
          <w:rtl/>
        </w:rPr>
      </w:pPr>
      <w:r w:rsidRPr="00212882">
        <w:rPr>
          <w:rFonts w:hint="cs"/>
          <w:b/>
          <w:bCs/>
          <w:kern w:val="16"/>
          <w:sz w:val="30"/>
          <w:rtl/>
        </w:rPr>
        <w:tab/>
      </w:r>
      <w:r w:rsidRPr="00212882">
        <w:rPr>
          <w:b/>
          <w:bCs/>
          <w:rtl/>
        </w:rPr>
        <w:t xml:space="preserve">ينبغي </w:t>
      </w:r>
      <w:r w:rsidRPr="00212882">
        <w:rPr>
          <w:rFonts w:hint="cs"/>
          <w:b/>
          <w:bCs/>
          <w:rtl/>
        </w:rPr>
        <w:t>ل</w:t>
      </w:r>
      <w:r w:rsidRPr="00212882">
        <w:rPr>
          <w:b/>
          <w:bCs/>
          <w:rtl/>
        </w:rPr>
        <w:t xml:space="preserve">لدولة الطرف أن تُجمّع </w:t>
      </w:r>
      <w:r>
        <w:rPr>
          <w:rFonts w:hint="cs"/>
          <w:b/>
          <w:bCs/>
          <w:rtl/>
        </w:rPr>
        <w:t xml:space="preserve">وتقدم إلى اللجنة، في التقرير الدوري القادم، </w:t>
      </w:r>
      <w:r w:rsidRPr="00212882">
        <w:rPr>
          <w:rFonts w:hint="cs"/>
          <w:b/>
          <w:bCs/>
          <w:rtl/>
        </w:rPr>
        <w:t xml:space="preserve">معلومات </w:t>
      </w:r>
      <w:r w:rsidRPr="00212882">
        <w:rPr>
          <w:b/>
          <w:bCs/>
          <w:rtl/>
        </w:rPr>
        <w:t xml:space="preserve">عن الشكاوى والتحقيقات والملاحقات والإدانات المتعلقة بقضايا التعذيب </w:t>
      </w:r>
      <w:r w:rsidRPr="00212882">
        <w:rPr>
          <w:rFonts w:hint="cs"/>
          <w:b/>
          <w:bCs/>
          <w:rtl/>
        </w:rPr>
        <w:t>وسوء</w:t>
      </w:r>
      <w:r w:rsidRPr="00212882">
        <w:rPr>
          <w:b/>
          <w:bCs/>
          <w:rtl/>
        </w:rPr>
        <w:t xml:space="preserve"> المعاملة والطرد وطول مدة محاكمة الأشخاص الذين يُدعى ارتكابهم أعمال التعذيب وسوء المعاملة، وعن إعادة التأهيل والتعويض، والاتجار بالبشر والعنف الجنسي، وعن نتائج جميع تلك الشكاوى والقضايا.</w:t>
      </w:r>
      <w:r w:rsidRPr="00212882">
        <w:rPr>
          <w:rFonts w:hint="cs"/>
          <w:b/>
          <w:bCs/>
          <w:rtl/>
        </w:rPr>
        <w:t xml:space="preserve"> ولهذا الغرض، ينبغي تصنيف البيانات الإحصائية حسب نوع الجنس والسن والانتماء العرقي </w:t>
      </w:r>
      <w:r>
        <w:rPr>
          <w:rFonts w:hint="cs"/>
          <w:b/>
          <w:bCs/>
          <w:rtl/>
        </w:rPr>
        <w:t xml:space="preserve">والحالة </w:t>
      </w:r>
      <w:r w:rsidRPr="00212882">
        <w:rPr>
          <w:rFonts w:hint="cs"/>
          <w:b/>
          <w:bCs/>
          <w:rtl/>
        </w:rPr>
        <w:t>والج</w:t>
      </w:r>
      <w:r>
        <w:rPr>
          <w:rFonts w:hint="cs"/>
          <w:b/>
          <w:bCs/>
          <w:rtl/>
        </w:rPr>
        <w:t>نسية، ذات الصلة برصد الاتفاقية.</w:t>
      </w:r>
    </w:p>
    <w:p w:rsidR="00BD1F3C" w:rsidRPr="00F3246D" w:rsidRDefault="00BD1F3C" w:rsidP="00BD1F3C">
      <w:pPr>
        <w:pStyle w:val="H23GA"/>
        <w:rPr>
          <w:rFonts w:hint="cs"/>
          <w:rtl/>
        </w:rPr>
      </w:pPr>
      <w:r>
        <w:rPr>
          <w:rFonts w:hint="cs"/>
          <w:rtl/>
        </w:rPr>
        <w:tab/>
      </w:r>
      <w:r>
        <w:rPr>
          <w:rFonts w:hint="cs"/>
          <w:rtl/>
        </w:rPr>
        <w:tab/>
      </w:r>
      <w:r w:rsidRPr="00F3246D">
        <w:rPr>
          <w:rFonts w:hint="cs"/>
          <w:rtl/>
        </w:rPr>
        <w:t>تجريم التعذيب</w:t>
      </w:r>
    </w:p>
    <w:p w:rsidR="00BD1F3C" w:rsidRDefault="00FC75CA" w:rsidP="00FC75CA">
      <w:pPr>
        <w:pStyle w:val="SingleTxtGA"/>
        <w:rPr>
          <w:rFonts w:hint="cs"/>
          <w:rtl/>
          <w:lang w:val="fr-CH" w:bidi="ar-MA"/>
        </w:rPr>
      </w:pPr>
      <w:r>
        <w:rPr>
          <w:rFonts w:hint="cs"/>
          <w:rtl/>
          <w:lang w:val="fr-CH" w:bidi="ar-MA"/>
        </w:rPr>
        <w:t>(</w:t>
      </w:r>
      <w:r w:rsidR="00BD1F3C" w:rsidRPr="00C336C8">
        <w:rPr>
          <w:rFonts w:hint="cs"/>
          <w:rtl/>
          <w:lang w:val="fr-CH" w:bidi="ar-MA"/>
        </w:rPr>
        <w:t>8</w:t>
      </w:r>
      <w:r>
        <w:rPr>
          <w:rFonts w:hint="cs"/>
          <w:rtl/>
          <w:lang w:val="fr-CH" w:bidi="ar-MA"/>
        </w:rPr>
        <w:t>)</w:t>
      </w:r>
      <w:r w:rsidR="00BD1F3C" w:rsidRPr="00C336C8">
        <w:rPr>
          <w:rFonts w:hint="cs"/>
          <w:rtl/>
          <w:lang w:val="fr-CH" w:bidi="ar-MA"/>
        </w:rPr>
        <w:tab/>
      </w:r>
      <w:r w:rsidR="00BD1F3C">
        <w:rPr>
          <w:rFonts w:hint="cs"/>
          <w:rtl/>
          <w:lang w:val="fr-CH" w:bidi="ar-MA"/>
        </w:rPr>
        <w:t xml:space="preserve">ترحب اللجنة بتعديل الدولة الطرف تعريف التعذيب في المادتين 159 و159 مكرراً من قانون العقوبات بما يتفق مع المادة 1 من الاتفاقية وتعديل تشريعها الوطني من أجل تطبيق عقوبات مناسبة على أفعال التعذيب وسوء المعاملة. غير أن اللجنة تأسف لعدم وجود معلومات عن القضايا التي طبقت فيها تلك الأحكام القانونية من قبل المحاكم المحلية والعقوبات المفروضة على ارتكاب تلك الأفعال (المادتان 2 و4). </w:t>
      </w:r>
    </w:p>
    <w:p w:rsidR="00BD1F3C" w:rsidRPr="00212882" w:rsidRDefault="00BD1F3C" w:rsidP="00BD1F3C">
      <w:pPr>
        <w:pStyle w:val="SingleTxtGA"/>
        <w:rPr>
          <w:rFonts w:hint="cs"/>
          <w:b/>
          <w:bCs/>
          <w:rtl/>
          <w:lang w:val="fr-CH" w:bidi="ar-MA"/>
        </w:rPr>
      </w:pPr>
      <w:r w:rsidRPr="00212882">
        <w:rPr>
          <w:rFonts w:hint="cs"/>
          <w:b/>
          <w:bCs/>
          <w:rtl/>
          <w:lang w:val="fr-CH" w:bidi="ar-MA"/>
        </w:rPr>
        <w:tab/>
      </w:r>
      <w:r w:rsidRPr="00212882">
        <w:rPr>
          <w:b/>
          <w:bCs/>
          <w:rtl/>
          <w:lang w:val="fr-CH" w:bidi="ar-MA"/>
        </w:rPr>
        <w:t xml:space="preserve">ينبغي </w:t>
      </w:r>
      <w:r w:rsidRPr="00212882">
        <w:rPr>
          <w:rFonts w:hint="cs"/>
          <w:b/>
          <w:bCs/>
          <w:rtl/>
          <w:lang w:val="fr-CH" w:bidi="ar-MA"/>
        </w:rPr>
        <w:t>ل</w:t>
      </w:r>
      <w:r w:rsidRPr="00212882">
        <w:rPr>
          <w:b/>
          <w:bCs/>
          <w:rtl/>
          <w:lang w:val="fr-CH" w:bidi="ar-MA"/>
        </w:rPr>
        <w:t xml:space="preserve">لدولة الطرف </w:t>
      </w:r>
      <w:r w:rsidRPr="00212882">
        <w:rPr>
          <w:rFonts w:hint="cs"/>
          <w:b/>
          <w:bCs/>
          <w:rtl/>
          <w:lang w:val="fr-CH" w:bidi="ar-MA"/>
        </w:rPr>
        <w:t xml:space="preserve">أن تضمن التنفيذ الفعال للتعريف المعدل للتعذيب بموجب المادتين 159 و159 مكرراً من قانون العقوبات وأن تتابع القضايا التي يتم </w:t>
      </w:r>
      <w:r>
        <w:rPr>
          <w:rFonts w:hint="cs"/>
          <w:b/>
          <w:bCs/>
          <w:rtl/>
          <w:lang w:val="fr-CH" w:bidi="ar-MA"/>
        </w:rPr>
        <w:t xml:space="preserve">الاحتجاج </w:t>
      </w:r>
      <w:r w:rsidRPr="00212882">
        <w:rPr>
          <w:rFonts w:hint="cs"/>
          <w:b/>
          <w:bCs/>
          <w:rtl/>
          <w:lang w:val="fr-CH" w:bidi="ar-MA"/>
        </w:rPr>
        <w:t xml:space="preserve">فيها بتلك الأحكام أمام المحاكم ومن قبل المحاكم نفسها. وينبغي للدولة الطرف أن تضمن </w:t>
      </w:r>
      <w:r>
        <w:rPr>
          <w:rFonts w:hint="cs"/>
          <w:b/>
          <w:bCs/>
          <w:rtl/>
          <w:lang w:val="fr-CH" w:bidi="ar-MA"/>
        </w:rPr>
        <w:t xml:space="preserve">المعاقبة </w:t>
      </w:r>
      <w:r w:rsidRPr="00212882">
        <w:rPr>
          <w:rFonts w:hint="cs"/>
          <w:b/>
          <w:bCs/>
          <w:rtl/>
          <w:lang w:val="fr-CH" w:bidi="ar-MA"/>
        </w:rPr>
        <w:t>على جرائم التعذيب وسوء المعاملة بعقوبات مناسبة</w:t>
      </w:r>
      <w:r w:rsidRPr="00212882">
        <w:rPr>
          <w:b/>
          <w:bCs/>
          <w:rtl/>
          <w:lang w:val="fr-CH"/>
        </w:rPr>
        <w:t xml:space="preserve"> تراعي طابع</w:t>
      </w:r>
      <w:r w:rsidRPr="00212882">
        <w:rPr>
          <w:rFonts w:hint="cs"/>
          <w:b/>
          <w:bCs/>
          <w:rtl/>
          <w:lang w:val="fr-CH"/>
        </w:rPr>
        <w:t>ها</w:t>
      </w:r>
      <w:r w:rsidRPr="00212882">
        <w:rPr>
          <w:b/>
          <w:bCs/>
          <w:rtl/>
          <w:lang w:val="fr-CH"/>
        </w:rPr>
        <w:t xml:space="preserve"> الجسيم على النحو المنصوص عليه في الفقرة 2 من المادة 4 من الاتفاقية</w:t>
      </w:r>
      <w:r w:rsidRPr="00212882">
        <w:rPr>
          <w:rFonts w:hint="cs"/>
          <w:b/>
          <w:bCs/>
          <w:rtl/>
          <w:lang w:val="fr-CH"/>
        </w:rPr>
        <w:t>.</w:t>
      </w:r>
    </w:p>
    <w:p w:rsidR="00BD1F3C" w:rsidRPr="00F3246D" w:rsidRDefault="00BD1F3C" w:rsidP="00BD1F3C">
      <w:pPr>
        <w:pStyle w:val="H23GA"/>
        <w:rPr>
          <w:rFonts w:hint="cs"/>
          <w:rtl/>
        </w:rPr>
      </w:pPr>
      <w:r w:rsidRPr="00F3246D">
        <w:rPr>
          <w:rFonts w:hint="cs"/>
          <w:rtl/>
        </w:rPr>
        <w:tab/>
      </w:r>
      <w:r w:rsidRPr="00F3246D">
        <w:rPr>
          <w:rFonts w:hint="cs"/>
          <w:rtl/>
        </w:rPr>
        <w:tab/>
        <w:t xml:space="preserve">التحفظات والإعلانات بموجب المادتين 21 و22 من الاتفاقية </w:t>
      </w:r>
    </w:p>
    <w:p w:rsidR="00BD1F3C" w:rsidRPr="008C4C15" w:rsidRDefault="00FC75CA" w:rsidP="00FC75CA">
      <w:pPr>
        <w:pStyle w:val="SingleTxtGA"/>
        <w:rPr>
          <w:rFonts w:hint="cs"/>
          <w:rtl/>
          <w:lang w:val="fr-CH" w:bidi="ar-MA"/>
        </w:rPr>
      </w:pPr>
      <w:r>
        <w:rPr>
          <w:rFonts w:hint="cs"/>
          <w:rtl/>
          <w:lang w:val="fr-CH" w:bidi="ar-MA"/>
        </w:rPr>
        <w:t>(</w:t>
      </w:r>
      <w:r w:rsidR="00BD1F3C" w:rsidRPr="008C4C15">
        <w:rPr>
          <w:rFonts w:hint="cs"/>
          <w:rtl/>
          <w:lang w:val="fr-CH" w:bidi="ar-MA"/>
        </w:rPr>
        <w:t>9</w:t>
      </w:r>
      <w:r>
        <w:rPr>
          <w:rFonts w:hint="cs"/>
          <w:rtl/>
          <w:lang w:val="fr-CH" w:bidi="ar-MA"/>
        </w:rPr>
        <w:t>)</w:t>
      </w:r>
      <w:r w:rsidR="00BD1F3C" w:rsidRPr="008C4C15">
        <w:rPr>
          <w:rFonts w:hint="cs"/>
          <w:rtl/>
          <w:lang w:val="fr-CH" w:bidi="ar-MA"/>
        </w:rPr>
        <w:tab/>
      </w:r>
      <w:r w:rsidR="00BD1F3C">
        <w:rPr>
          <w:rFonts w:hint="cs"/>
          <w:rtl/>
          <w:lang w:val="fr-CH" w:bidi="ar-MA"/>
        </w:rPr>
        <w:t xml:space="preserve">في حين تلاحظ اللجنة أن الدولة الطرف اتخذت خطوات لسحب تحفظاتها على المادتين 21 و22 من الاتفاقية، فإنها تشعر بالقلق من أن الدولة الطرف لم تقبل حتى الآن اختصاص اللجنة بموجب هاتين المادتين. كما تسعى الدولة الطرف إلى الاحتفاظ بتحفظ غير واضح وفضفاض للغاية على المادتين 1 و16 من الاتفاقية بقدر ما </w:t>
      </w:r>
      <w:r w:rsidR="00BD1F3C" w:rsidRPr="00C34575">
        <w:rPr>
          <w:rtl/>
          <w:lang w:val="fr-CH" w:bidi="ar-MA"/>
        </w:rPr>
        <w:t>يتعارض</w:t>
      </w:r>
      <w:r w:rsidR="00BD1F3C">
        <w:rPr>
          <w:rFonts w:hint="cs"/>
          <w:rtl/>
          <w:lang w:val="fr-CH" w:bidi="ar-MA"/>
        </w:rPr>
        <w:t>ان</w:t>
      </w:r>
      <w:r w:rsidR="00BD1F3C" w:rsidRPr="00C34575">
        <w:rPr>
          <w:rtl/>
          <w:lang w:val="fr-CH" w:bidi="ar-MA"/>
        </w:rPr>
        <w:t xml:space="preserve"> مع مبادئ الشريعة الإسلامية أو</w:t>
      </w:r>
      <w:r w:rsidR="00BD1F3C" w:rsidRPr="00C34575">
        <w:rPr>
          <w:rFonts w:hint="cs"/>
          <w:rtl/>
          <w:lang w:val="fr-CH" w:bidi="ar-MA"/>
        </w:rPr>
        <w:t xml:space="preserve"> </w:t>
      </w:r>
      <w:r w:rsidR="00BD1F3C" w:rsidRPr="00C34575">
        <w:rPr>
          <w:rtl/>
          <w:lang w:val="fr-CH" w:bidi="ar-MA"/>
        </w:rPr>
        <w:t>الدين الإسلامي</w:t>
      </w:r>
      <w:r w:rsidR="00BD1F3C">
        <w:rPr>
          <w:rFonts w:hint="cs"/>
          <w:rtl/>
          <w:lang w:val="fr-CH" w:bidi="ar-MA"/>
        </w:rPr>
        <w:t xml:space="preserve">. وترى اللجنة أن الدولة الطرف لن تواجه عوائق كبيرة عند سحب تحفظها نظراً لأنها قد قبلت تعريف التعذيب الوارد في المادة 1 من الاتفاقية وأدرجته في قانونها المحلي، على النحو المشار إليه في الفقرة 8 من هذه الملاحظات الختامية. وفي حين تلاحظ اللجنة البيان الذي أدلى به وفد الدولة الطرف والذي يفيد بأن التحفظ </w:t>
      </w:r>
      <w:r w:rsidR="00BD1F3C" w:rsidRPr="001B5571">
        <w:rPr>
          <w:rtl/>
          <w:lang w:val="fr-CH" w:bidi="ar-MA"/>
        </w:rPr>
        <w:t xml:space="preserve">الذي أُبدي </w:t>
      </w:r>
      <w:r w:rsidR="00BD1F3C">
        <w:rPr>
          <w:rFonts w:hint="cs"/>
          <w:rtl/>
          <w:lang w:val="fr-CH" w:bidi="ar-MA"/>
        </w:rPr>
        <w:t xml:space="preserve">على الاتفاقية لن يعوق التمتع الكامل بجميع الحقوق </w:t>
      </w:r>
      <w:r w:rsidR="00BD1F3C" w:rsidRPr="00042B6D">
        <w:rPr>
          <w:rtl/>
          <w:lang w:val="fr-CH" w:bidi="ar-MA"/>
        </w:rPr>
        <w:t>التي تكفلها الاتفاقية</w:t>
      </w:r>
      <w:r w:rsidR="00BD1F3C">
        <w:rPr>
          <w:rFonts w:hint="cs"/>
          <w:rtl/>
          <w:lang w:val="fr-CH" w:bidi="ar-MA"/>
        </w:rPr>
        <w:t xml:space="preserve">، فإنها تشعر بالقلق من </w:t>
      </w:r>
      <w:r w:rsidR="00BD1F3C" w:rsidRPr="00D00778">
        <w:rPr>
          <w:rtl/>
          <w:lang w:val="fr-CH" w:bidi="ar-MA"/>
        </w:rPr>
        <w:t xml:space="preserve">أن الطابع العام </w:t>
      </w:r>
      <w:r w:rsidR="00BD1F3C">
        <w:rPr>
          <w:rFonts w:hint="cs"/>
          <w:rtl/>
          <w:lang w:val="fr-CH" w:bidi="ar-MA"/>
        </w:rPr>
        <w:t xml:space="preserve">وغير الدقيق </w:t>
      </w:r>
      <w:r w:rsidR="00BD1F3C" w:rsidRPr="00D00778">
        <w:rPr>
          <w:rtl/>
          <w:lang w:val="fr-CH" w:bidi="ar-MA"/>
        </w:rPr>
        <w:t xml:space="preserve">لهذا التحفظ يتيح للمحاكم والمسؤولين الحكوميين وغيرهم من المسؤولين إبطال </w:t>
      </w:r>
      <w:r w:rsidR="00BD1F3C">
        <w:rPr>
          <w:rFonts w:hint="cs"/>
          <w:rtl/>
          <w:lang w:val="fr-CH" w:bidi="ar-MA"/>
        </w:rPr>
        <w:t>العديد</w:t>
      </w:r>
      <w:r w:rsidR="00BD1F3C" w:rsidRPr="00D00778">
        <w:rPr>
          <w:rtl/>
          <w:lang w:val="fr-CH" w:bidi="ar-MA"/>
        </w:rPr>
        <w:t xml:space="preserve"> من أحكام الاتفاقية مما يثير قلقاً جدياً إزاء مدى توافقه مع غرض الاتفاقية ومقاصدها</w:t>
      </w:r>
      <w:r w:rsidR="00BD1F3C">
        <w:rPr>
          <w:rFonts w:hint="cs"/>
          <w:rtl/>
          <w:lang w:val="fr-CH" w:bidi="ar-MA"/>
        </w:rPr>
        <w:t xml:space="preserve">. </w:t>
      </w:r>
    </w:p>
    <w:p w:rsidR="00BD1F3C" w:rsidRPr="00212882" w:rsidRDefault="00BD1F3C" w:rsidP="00BD1F3C">
      <w:pPr>
        <w:pStyle w:val="SingleTxtGA"/>
        <w:rPr>
          <w:rFonts w:hint="cs"/>
          <w:b/>
          <w:bCs/>
          <w:rtl/>
          <w:lang w:val="fr-CH" w:bidi="ar-MA"/>
        </w:rPr>
      </w:pPr>
      <w:r w:rsidRPr="00212882">
        <w:rPr>
          <w:rFonts w:hint="cs"/>
          <w:b/>
          <w:bCs/>
          <w:rtl/>
          <w:lang w:val="fr-CH" w:bidi="ar-MA"/>
        </w:rPr>
        <w:tab/>
        <w:t>ينبغي للدولة الطرف أن تنظر في سحب تحفظها لضمان امتثالها لمقتضيات الاتفاقية. وتوصي اللجنة الدولة الطرف بأن تنظر في إصدار إعلانات بموجب المادتين 21 و22 من الاتفاقية.</w:t>
      </w:r>
    </w:p>
    <w:p w:rsidR="00BD1F3C" w:rsidRPr="00F3246D" w:rsidRDefault="00BD1F3C" w:rsidP="00BD1F3C">
      <w:pPr>
        <w:pStyle w:val="H23GA"/>
        <w:rPr>
          <w:rFonts w:hint="cs"/>
          <w:rtl/>
        </w:rPr>
      </w:pPr>
      <w:r w:rsidRPr="00F3246D">
        <w:rPr>
          <w:rFonts w:hint="cs"/>
          <w:rtl/>
        </w:rPr>
        <w:tab/>
      </w:r>
      <w:r w:rsidRPr="00F3246D">
        <w:rPr>
          <w:rFonts w:hint="cs"/>
          <w:rtl/>
        </w:rPr>
        <w:tab/>
        <w:t>الضمانات القانونية الأساسية</w:t>
      </w:r>
    </w:p>
    <w:p w:rsidR="00BD1F3C" w:rsidRDefault="00FC75CA" w:rsidP="00FC75CA">
      <w:pPr>
        <w:pStyle w:val="SingleTxtGA"/>
        <w:rPr>
          <w:rFonts w:hint="cs"/>
          <w:rtl/>
          <w:lang w:val="fr-CH" w:bidi="ar-MA"/>
        </w:rPr>
      </w:pPr>
      <w:r>
        <w:rPr>
          <w:rFonts w:hint="cs"/>
          <w:rtl/>
          <w:lang w:val="fr-CH" w:bidi="ar-MA"/>
        </w:rPr>
        <w:t>(</w:t>
      </w:r>
      <w:r w:rsidR="00BD1F3C" w:rsidRPr="00383131">
        <w:rPr>
          <w:rFonts w:hint="cs"/>
          <w:rtl/>
          <w:lang w:val="fr-CH" w:bidi="ar-MA"/>
        </w:rPr>
        <w:t>10</w:t>
      </w:r>
      <w:r>
        <w:rPr>
          <w:rFonts w:hint="cs"/>
          <w:rtl/>
          <w:lang w:val="fr-CH" w:bidi="ar-MA"/>
        </w:rPr>
        <w:t>)</w:t>
      </w:r>
      <w:r w:rsidR="00BD1F3C" w:rsidRPr="00383131">
        <w:rPr>
          <w:rFonts w:hint="cs"/>
          <w:rtl/>
          <w:lang w:val="fr-CH" w:bidi="ar-MA"/>
        </w:rPr>
        <w:tab/>
      </w:r>
      <w:r w:rsidR="00BD1F3C">
        <w:rPr>
          <w:rFonts w:hint="cs"/>
          <w:rtl/>
          <w:lang w:val="fr-CH" w:bidi="ar-MA"/>
        </w:rPr>
        <w:t xml:space="preserve">في حين تلاحظ اللجنة أن المادة 39 من الدستور والمواد 40 و112 و113 من قانون الإجراءات الجنائية تنص على بعض الضمانات القانونية للمحتجزين، فإنها تشعر بالقلق من أن هذه الأحكام لا تُحترم دائماً في الواقع العملي، وخاصة لغير المواطنين، ولا تغطي جميع الضمانات الأساسية المطلوبة بموجب الاتفاقية، وخاصة الحق في الخضوع لكشف طبي مستقل لدى الحرمان من الحرية. كما تعرب اللجنة عن قلقها إزاء عدم وجود معلومات عن سجلات الاحتجاز فضلاً عن عدم رصد تنفيذ الضمانات، وخاصة بالنظر إلى أن الدولة الطرف أشارت إلى أنها لم توثق أي حالة لم تقم فيها السلطات بتسجيل المحتجزين بشكل سليم أثناء الفترة المشمولة بالتقرير. وفي حين تلاحظ اللجنة أحكام قانون الإجراءات الجنائية التي تقتضي </w:t>
      </w:r>
      <w:r w:rsidR="00BD1F3C" w:rsidRPr="002D3DB9">
        <w:rPr>
          <w:rtl/>
          <w:lang w:val="fr-CH" w:bidi="ar-MA"/>
        </w:rPr>
        <w:t>أن يوجَّه الاتهام إلى الشخص المحتجز أو يُفرج عنه في غضون 48 ساعة</w:t>
      </w:r>
      <w:r w:rsidR="00BD1F3C">
        <w:rPr>
          <w:rFonts w:hint="cs"/>
          <w:rtl/>
          <w:lang w:val="fr-CH" w:bidi="ar-MA"/>
        </w:rPr>
        <w:t>، فإنها لا</w:t>
      </w:r>
      <w:r w:rsidR="00BD1F3C">
        <w:rPr>
          <w:rFonts w:hint="eastAsia"/>
          <w:rtl/>
          <w:lang w:val="fr-CH" w:bidi="ar-MA"/>
        </w:rPr>
        <w:t> </w:t>
      </w:r>
      <w:r w:rsidR="00BD1F3C">
        <w:rPr>
          <w:rFonts w:hint="cs"/>
          <w:rtl/>
          <w:lang w:val="fr-CH" w:bidi="ar-MA"/>
        </w:rPr>
        <w:t xml:space="preserve">تزال تشعر القلق من أنه يجوز </w:t>
      </w:r>
      <w:r w:rsidR="00BD1F3C" w:rsidRPr="002D3DB9">
        <w:rPr>
          <w:rtl/>
          <w:lang w:val="fr-CH" w:bidi="ar-MA"/>
        </w:rPr>
        <w:t>لوكيل النيابة تمديد احتجاز الشخص دون توجيه اتهام إليه لمدة</w:t>
      </w:r>
      <w:r w:rsidR="00BD1F3C">
        <w:rPr>
          <w:rFonts w:hint="cs"/>
          <w:rtl/>
          <w:lang w:val="fr-CH" w:bidi="ar-MA"/>
        </w:rPr>
        <w:t> </w:t>
      </w:r>
      <w:r w:rsidR="00BD1F3C" w:rsidRPr="002D3DB9">
        <w:rPr>
          <w:rtl/>
          <w:lang w:val="fr-CH" w:bidi="ar-MA"/>
        </w:rPr>
        <w:t>16 يوماً</w:t>
      </w:r>
      <w:r w:rsidR="00BD1F3C">
        <w:rPr>
          <w:rFonts w:hint="cs"/>
          <w:rtl/>
          <w:lang w:val="fr-CH" w:bidi="ar-MA"/>
        </w:rPr>
        <w:t>. ومن بين الشواغل الأخرى التقارير بشأن الأشخاص المحتجزين بدون توجيه الاتهام إليهم أو محاكمتهم، ومن بينها قضية محمد فاروق المهدي، التي تناولها الفريق العامل المعني بالاحتجاز التعسفي (</w:t>
      </w:r>
      <w:r w:rsidR="00BD1F3C">
        <w:rPr>
          <w:lang w:val="en-CA" w:bidi="ar-MA"/>
        </w:rPr>
        <w:t>A/HRC/WGAD/2010/25</w:t>
      </w:r>
      <w:r w:rsidR="00BD1F3C">
        <w:rPr>
          <w:rFonts w:hint="cs"/>
          <w:rtl/>
          <w:lang w:val="en-CA" w:bidi="ar-EG"/>
        </w:rPr>
        <w:t>) (المادتان 2 و16).</w:t>
      </w:r>
      <w:r w:rsidR="00BD1F3C">
        <w:rPr>
          <w:rFonts w:hint="cs"/>
          <w:rtl/>
          <w:lang w:val="fr-CH" w:bidi="ar-MA"/>
        </w:rPr>
        <w:t xml:space="preserve"> </w:t>
      </w:r>
    </w:p>
    <w:p w:rsidR="00BD1F3C" w:rsidRPr="00FC75CA" w:rsidRDefault="00BD1F3C" w:rsidP="00FC75CA">
      <w:pPr>
        <w:pStyle w:val="SingleTxtGA"/>
        <w:rPr>
          <w:rFonts w:hint="cs"/>
          <w:b/>
          <w:bCs/>
          <w:rtl/>
          <w:lang w:val="fr-CH" w:bidi="ar-MA"/>
        </w:rPr>
      </w:pPr>
      <w:r w:rsidRPr="00FC75CA">
        <w:rPr>
          <w:rFonts w:hint="cs"/>
          <w:b/>
          <w:bCs/>
          <w:rtl/>
          <w:lang w:val="fr-CH" w:bidi="ar-MA"/>
        </w:rPr>
        <w:tab/>
        <w:t xml:space="preserve">ينبغي للدولة الطرف أن تتخذ على الفور تدابير فعالة لضمان تمتع جميع المحتجزين، بمن فيهم غير المواطنين، بجميع الضمانات القانونية الأساسية منذ بداية الاحتجاز، بما في ذلك الحق في </w:t>
      </w:r>
      <w:r w:rsidRPr="00FC75CA">
        <w:rPr>
          <w:b/>
          <w:bCs/>
          <w:rtl/>
          <w:lang w:val="fr-CH" w:bidi="ar-MA"/>
        </w:rPr>
        <w:t xml:space="preserve">الاتصال بسرعة بمحامٍ </w:t>
      </w:r>
      <w:r w:rsidRPr="00FC75CA">
        <w:rPr>
          <w:rFonts w:hint="cs"/>
          <w:b/>
          <w:bCs/>
          <w:rtl/>
          <w:lang w:val="fr-CH" w:bidi="ar-MA"/>
        </w:rPr>
        <w:t xml:space="preserve">مستقل والخضوع لفحص طبي من قبل طبيب مستقل، والاتصال بالأقارب والمثول أمام قاض في </w:t>
      </w:r>
      <w:r w:rsidRPr="00FC75CA">
        <w:rPr>
          <w:b/>
          <w:bCs/>
          <w:rtl/>
          <w:lang w:val="fr-CH" w:bidi="ar-MA"/>
        </w:rPr>
        <w:t>غضون مدة زمنية محددة وفقاً للمعايير الدولية</w:t>
      </w:r>
      <w:r w:rsidRPr="00FC75CA">
        <w:rPr>
          <w:rFonts w:hint="cs"/>
          <w:b/>
          <w:bCs/>
          <w:rtl/>
          <w:lang w:val="fr-CH" w:bidi="ar-MA"/>
        </w:rPr>
        <w:t>. كما ينبغي للدولة الطرف أن تتخذ خطوات لضمان الرصد الفعال لالتزام جميع الموظفين بالقوانين التي تحكم الضمانات، وأن تتخذ إجراءات تأديبية أو</w:t>
      </w:r>
      <w:r w:rsidR="00FC75CA">
        <w:rPr>
          <w:rFonts w:hint="eastAsia"/>
          <w:b/>
          <w:bCs/>
          <w:rtl/>
          <w:lang w:val="fr-CH" w:bidi="ar-MA"/>
        </w:rPr>
        <w:t> </w:t>
      </w:r>
      <w:r w:rsidRPr="00FC75CA">
        <w:rPr>
          <w:rFonts w:hint="cs"/>
          <w:b/>
          <w:bCs/>
          <w:rtl/>
          <w:lang w:val="fr-CH" w:bidi="ar-MA"/>
        </w:rPr>
        <w:t xml:space="preserve">قضائية ضد من لا يلتزم بها تجاه الأشخاص المحرومين من حريتهم على النحو الذي ينص عليه القانون. </w:t>
      </w:r>
      <w:r w:rsidRPr="00FC75CA">
        <w:rPr>
          <w:b/>
          <w:bCs/>
          <w:rtl/>
          <w:lang w:val="fr-CH" w:bidi="ar-MA"/>
        </w:rPr>
        <w:t xml:space="preserve">وينبغي </w:t>
      </w:r>
      <w:r w:rsidRPr="00FC75CA">
        <w:rPr>
          <w:rFonts w:hint="cs"/>
          <w:b/>
          <w:bCs/>
          <w:rtl/>
          <w:lang w:val="fr-CH" w:bidi="ar-MA"/>
        </w:rPr>
        <w:t>ل</w:t>
      </w:r>
      <w:r w:rsidRPr="00FC75CA">
        <w:rPr>
          <w:b/>
          <w:bCs/>
          <w:rtl/>
          <w:lang w:val="fr-CH" w:bidi="ar-MA"/>
        </w:rPr>
        <w:t>لدولة الطرف أن تضمن كذلك إدراج أسماء جميع المحتجزين، بمن فيهم القُصَّر، في سجل مركزي</w:t>
      </w:r>
      <w:r w:rsidRPr="00FC75CA">
        <w:rPr>
          <w:rFonts w:hint="cs"/>
          <w:b/>
          <w:bCs/>
          <w:rtl/>
          <w:lang w:val="fr-CH" w:bidi="ar-MA"/>
        </w:rPr>
        <w:t xml:space="preserve">. وتُشجّع الدولة الطرف على أن </w:t>
      </w:r>
      <w:r w:rsidRPr="00FC75CA">
        <w:rPr>
          <w:b/>
          <w:bCs/>
          <w:rtl/>
        </w:rPr>
        <w:t>تبدأ العمل برصد وتسجيل جميع الاستجوابات عن طريق الأجهزة المرئية والسمعية بصورة منتظمة، في جميع</w:t>
      </w:r>
      <w:r w:rsidR="00FC75CA">
        <w:rPr>
          <w:rFonts w:hint="cs"/>
          <w:b/>
          <w:bCs/>
          <w:rtl/>
        </w:rPr>
        <w:t> </w:t>
      </w:r>
      <w:r w:rsidRPr="00FC75CA">
        <w:rPr>
          <w:b/>
          <w:bCs/>
          <w:rtl/>
        </w:rPr>
        <w:t xml:space="preserve">الأماكن التي يُحتمل </w:t>
      </w:r>
      <w:r w:rsidRPr="00FC75CA">
        <w:rPr>
          <w:rFonts w:hint="cs"/>
          <w:b/>
          <w:bCs/>
          <w:rtl/>
        </w:rPr>
        <w:t xml:space="preserve">التعرض </w:t>
      </w:r>
      <w:r w:rsidRPr="00FC75CA">
        <w:rPr>
          <w:b/>
          <w:bCs/>
          <w:rtl/>
        </w:rPr>
        <w:t xml:space="preserve">فيها </w:t>
      </w:r>
      <w:r w:rsidRPr="00FC75CA">
        <w:rPr>
          <w:rFonts w:hint="cs"/>
          <w:b/>
          <w:bCs/>
          <w:rtl/>
        </w:rPr>
        <w:t>ل</w:t>
      </w:r>
      <w:r w:rsidRPr="00FC75CA">
        <w:rPr>
          <w:b/>
          <w:bCs/>
          <w:rtl/>
        </w:rPr>
        <w:t xml:space="preserve">لتعذيب أو </w:t>
      </w:r>
      <w:r w:rsidRPr="00FC75CA">
        <w:rPr>
          <w:rFonts w:hint="cs"/>
          <w:b/>
          <w:bCs/>
          <w:rtl/>
        </w:rPr>
        <w:t>سوء</w:t>
      </w:r>
      <w:r w:rsidRPr="00FC75CA">
        <w:rPr>
          <w:b/>
          <w:bCs/>
          <w:rtl/>
        </w:rPr>
        <w:t xml:space="preserve"> المعاملة، وأن تقدم ما يلزم لذلك من موارد.</w:t>
      </w:r>
    </w:p>
    <w:p w:rsidR="00BD1F3C" w:rsidRPr="00F3246D" w:rsidRDefault="00BD1F3C" w:rsidP="00BD1F3C">
      <w:pPr>
        <w:pStyle w:val="H23GA"/>
        <w:rPr>
          <w:rFonts w:hint="cs"/>
          <w:rtl/>
        </w:rPr>
      </w:pPr>
      <w:r w:rsidRPr="00F3246D">
        <w:rPr>
          <w:rFonts w:hint="cs"/>
          <w:rtl/>
        </w:rPr>
        <w:tab/>
      </w:r>
      <w:r w:rsidRPr="00F3246D">
        <w:rPr>
          <w:rFonts w:hint="cs"/>
          <w:rtl/>
        </w:rPr>
        <w:tab/>
        <w:t xml:space="preserve">الاحتجاز التعسفي بموجب أحكام قانونية خاصة </w:t>
      </w:r>
    </w:p>
    <w:p w:rsidR="00BD1F3C" w:rsidRDefault="00FC75CA" w:rsidP="00FC75CA">
      <w:pPr>
        <w:pStyle w:val="SingleTxtGA"/>
        <w:rPr>
          <w:rFonts w:hint="cs"/>
          <w:rtl/>
          <w:lang w:val="fr-CH" w:bidi="ar-MA"/>
        </w:rPr>
      </w:pPr>
      <w:r>
        <w:rPr>
          <w:rFonts w:hint="cs"/>
          <w:rtl/>
          <w:lang w:val="fr-CH" w:bidi="ar-MA"/>
        </w:rPr>
        <w:t>(</w:t>
      </w:r>
      <w:r w:rsidR="00BD1F3C" w:rsidRPr="006F1D78">
        <w:rPr>
          <w:rFonts w:hint="cs"/>
          <w:rtl/>
          <w:lang w:val="fr-CH" w:bidi="ar-MA"/>
        </w:rPr>
        <w:t>11</w:t>
      </w:r>
      <w:r>
        <w:rPr>
          <w:rFonts w:hint="cs"/>
          <w:rtl/>
          <w:lang w:val="fr-CH" w:bidi="ar-MA"/>
        </w:rPr>
        <w:t>)</w:t>
      </w:r>
      <w:r w:rsidR="00BD1F3C" w:rsidRPr="006F1D78">
        <w:rPr>
          <w:rFonts w:hint="cs"/>
          <w:rtl/>
          <w:lang w:val="fr-CH" w:bidi="ar-MA"/>
        </w:rPr>
        <w:tab/>
      </w:r>
      <w:r w:rsidR="00BD1F3C">
        <w:rPr>
          <w:rFonts w:hint="cs"/>
          <w:rtl/>
          <w:lang w:val="fr-CH" w:bidi="ar-MA"/>
        </w:rPr>
        <w:t>تشعر</w:t>
      </w:r>
      <w:r w:rsidR="00BD1F3C" w:rsidRPr="006F1D78">
        <w:rPr>
          <w:rFonts w:hint="cs"/>
          <w:rtl/>
          <w:lang w:val="fr-CH" w:bidi="ar-MA"/>
        </w:rPr>
        <w:t xml:space="preserve"> اللجنة </w:t>
      </w:r>
      <w:r w:rsidR="00BD1F3C">
        <w:rPr>
          <w:rFonts w:hint="cs"/>
          <w:rtl/>
          <w:lang w:val="fr-CH" w:bidi="ar-MA"/>
        </w:rPr>
        <w:t>ب</w:t>
      </w:r>
      <w:r w:rsidR="00BD1F3C" w:rsidRPr="006F1D78">
        <w:rPr>
          <w:rFonts w:hint="cs"/>
          <w:rtl/>
          <w:lang w:val="fr-CH" w:bidi="ar-MA"/>
        </w:rPr>
        <w:t>بالغ القلق من أن</w:t>
      </w:r>
      <w:r w:rsidR="00BD1F3C">
        <w:rPr>
          <w:rFonts w:hint="cs"/>
          <w:rtl/>
          <w:lang w:val="fr-CH" w:bidi="ar-MA"/>
        </w:rPr>
        <w:t>ه</w:t>
      </w:r>
      <w:r w:rsidR="00BD1F3C" w:rsidRPr="006F1D78">
        <w:rPr>
          <w:rFonts w:hint="cs"/>
          <w:rtl/>
          <w:lang w:val="fr-CH" w:bidi="ar-MA"/>
        </w:rPr>
        <w:t xml:space="preserve"> </w:t>
      </w:r>
      <w:r w:rsidR="00BD1F3C">
        <w:rPr>
          <w:rFonts w:hint="cs"/>
          <w:rtl/>
          <w:lang w:val="fr-CH" w:bidi="ar-MA"/>
        </w:rPr>
        <w:t>يجوز حبس الأشخاص المحتجزين بموجب أحكام قانون حماية المجتمع (القانون رقم 17 لسنة 2002) وقانون مكافحة الإرهاب (القانون رقم</w:t>
      </w:r>
      <w:r w:rsidR="00BD1F3C">
        <w:rPr>
          <w:rFonts w:hint="eastAsia"/>
          <w:rtl/>
          <w:lang w:val="fr-CH" w:bidi="ar-MA"/>
        </w:rPr>
        <w:t> </w:t>
      </w:r>
      <w:r w:rsidR="00BD1F3C">
        <w:rPr>
          <w:rFonts w:hint="cs"/>
          <w:rtl/>
          <w:lang w:val="fr-CH" w:bidi="ar-MA"/>
        </w:rPr>
        <w:t>3 لسنة 2004) وقانون إنشاء جهاز أمن الدولة (القانون رقم 5 لسنة 2003) لفترة طويلة من الوقت بدون توجيه اتهام إليهم وبدون تمتعهم بالضمانات الأساسية، بما في ذلك الاتصال بمحام وطبيب مستقل والحق في إخطار أحد أفراد الأسرة بحبسهم والاعتراض على قانونية احتجازهم أمام قاض. وتشعر اللجنة بالقلق إزاء التقارير التي تفيد بأن الأشخاص المحتجزين بموجب هذه القوانين يخضعون في كثير من الأحيان إلى الحبس الانفرادي</w:t>
      </w:r>
      <w:r w:rsidR="00BD1F3C">
        <w:rPr>
          <w:rFonts w:hint="cs"/>
          <w:rtl/>
          <w:lang w:val="fr-CH" w:bidi="ar-EG"/>
        </w:rPr>
        <w:t xml:space="preserve"> أو العزل</w:t>
      </w:r>
      <w:r w:rsidR="00BD1F3C">
        <w:rPr>
          <w:rFonts w:hint="cs"/>
          <w:rtl/>
          <w:lang w:val="fr-CH" w:bidi="ar-MA"/>
        </w:rPr>
        <w:t xml:space="preserve">، على النحو الذي شهدته قضايا محمد العجمي وفواز العطية وعبد الله </w:t>
      </w:r>
      <w:r w:rsidR="00BD1F3C">
        <w:rPr>
          <w:rFonts w:hint="cs"/>
          <w:rtl/>
          <w:lang w:val="fr-CH" w:bidi="ar-EG"/>
        </w:rPr>
        <w:t>ال</w:t>
      </w:r>
      <w:r w:rsidR="00BD1F3C">
        <w:rPr>
          <w:rFonts w:hint="cs"/>
          <w:rtl/>
          <w:lang w:val="fr-CH" w:bidi="ar-MA"/>
        </w:rPr>
        <w:t xml:space="preserve">خوار وسالم الكواري (المادتان 2 و16). </w:t>
      </w:r>
    </w:p>
    <w:p w:rsidR="00BD1F3C" w:rsidRPr="00212882" w:rsidRDefault="00BD1F3C" w:rsidP="009F2FC3">
      <w:pPr>
        <w:pStyle w:val="SingleTxtGA"/>
        <w:rPr>
          <w:rFonts w:hint="cs"/>
          <w:b/>
          <w:bCs/>
          <w:rtl/>
          <w:lang w:val="fr-CH" w:bidi="ar-MA"/>
        </w:rPr>
      </w:pPr>
      <w:r>
        <w:rPr>
          <w:rFonts w:hint="cs"/>
          <w:rtl/>
          <w:lang w:val="fr-CH" w:bidi="ar-MA"/>
        </w:rPr>
        <w:tab/>
      </w:r>
      <w:r w:rsidRPr="00212882">
        <w:rPr>
          <w:rFonts w:hint="cs"/>
          <w:b/>
          <w:bCs/>
          <w:rtl/>
          <w:lang w:val="fr-CH" w:bidi="ar-MA"/>
        </w:rPr>
        <w:t>تحث اللجنة الدولة الطرف على ما يلي:</w:t>
      </w:r>
    </w:p>
    <w:p w:rsidR="00BD1F3C" w:rsidRPr="00212882" w:rsidRDefault="00BD1F3C" w:rsidP="009F2FC3">
      <w:pPr>
        <w:pStyle w:val="SingleTxtGA"/>
        <w:rPr>
          <w:rFonts w:hint="cs"/>
          <w:b/>
          <w:bCs/>
          <w:lang w:val="fr-CH" w:bidi="ar-MA"/>
        </w:rPr>
      </w:pPr>
      <w:r w:rsidRPr="00212882">
        <w:rPr>
          <w:rFonts w:hint="cs"/>
          <w:b/>
          <w:bCs/>
          <w:rtl/>
          <w:lang w:val="fr-CH" w:bidi="ar-MA"/>
        </w:rPr>
        <w:tab/>
        <w:t>(أ)</w:t>
      </w:r>
      <w:r w:rsidRPr="00212882">
        <w:rPr>
          <w:rFonts w:hint="cs"/>
          <w:b/>
          <w:bCs/>
          <w:rtl/>
          <w:lang w:val="fr-CH" w:bidi="ar-MA"/>
        </w:rPr>
        <w:tab/>
        <w:t>ضمان تمتع جميع الأشخاص المحرومين من حريتهم بجميع الضمانات الأساسية في القانون وفي الواقع العملي. ويتضمن ذلك توف</w:t>
      </w:r>
      <w:r>
        <w:rPr>
          <w:rFonts w:hint="cs"/>
          <w:b/>
          <w:bCs/>
          <w:rtl/>
          <w:lang w:val="fr-CH" w:bidi="ar-MA"/>
        </w:rPr>
        <w:t>ي</w:t>
      </w:r>
      <w:r w:rsidRPr="00212882">
        <w:rPr>
          <w:rFonts w:hint="cs"/>
          <w:b/>
          <w:bCs/>
          <w:rtl/>
          <w:lang w:val="fr-CH" w:bidi="ar-MA"/>
        </w:rPr>
        <w:t xml:space="preserve">ر سبل </w:t>
      </w:r>
      <w:r w:rsidRPr="00212882">
        <w:rPr>
          <w:rFonts w:hint="cs"/>
          <w:b/>
          <w:bCs/>
          <w:rtl/>
          <w:lang w:val="fr-CH" w:bidi="ar-EG"/>
        </w:rPr>
        <w:t>الا</w:t>
      </w:r>
      <w:r w:rsidRPr="00212882">
        <w:rPr>
          <w:rFonts w:hint="cs"/>
          <w:b/>
          <w:bCs/>
          <w:rtl/>
          <w:lang w:val="fr-CH" w:bidi="ar-MA"/>
        </w:rPr>
        <w:t>نتصاف القضائية وغيرها من سبل الانتصاف التي تسمح ببحث شكاوى هؤلاء المحتجزين بصورة فورية ونزيهة، وتسمح لهم بالاعتراض على احتجازهم أو طريقة معاملتهم؛</w:t>
      </w:r>
    </w:p>
    <w:p w:rsidR="00BD1F3C" w:rsidRPr="00212882" w:rsidRDefault="00BD1F3C" w:rsidP="009F2FC3">
      <w:pPr>
        <w:pStyle w:val="SingleTxtGA"/>
        <w:rPr>
          <w:rFonts w:hint="cs"/>
          <w:b/>
          <w:bCs/>
          <w:lang w:val="fr-CH" w:bidi="ar-MA"/>
        </w:rPr>
      </w:pPr>
      <w:r w:rsidRPr="00212882">
        <w:rPr>
          <w:rFonts w:hint="cs"/>
          <w:b/>
          <w:bCs/>
          <w:rtl/>
          <w:lang w:val="fr-CH" w:bidi="ar-MA"/>
        </w:rPr>
        <w:tab/>
        <w:t>(ب)</w:t>
      </w:r>
      <w:r w:rsidRPr="00212882">
        <w:rPr>
          <w:rFonts w:hint="cs"/>
          <w:b/>
          <w:bCs/>
          <w:rtl/>
          <w:lang w:val="fr-CH" w:bidi="ar-MA"/>
        </w:rPr>
        <w:tab/>
        <w:t xml:space="preserve">تعديل قانون حماية المجتمع وقانون مكافحة الإرهاب بحيث يتوافقان مع الاتفاقية. وينبغي للدولة الطرف </w:t>
      </w:r>
      <w:r>
        <w:rPr>
          <w:rFonts w:hint="cs"/>
          <w:b/>
          <w:bCs/>
          <w:rtl/>
          <w:lang w:val="fr-CH" w:bidi="ar-MA"/>
        </w:rPr>
        <w:t xml:space="preserve">مراجعة </w:t>
      </w:r>
      <w:r w:rsidRPr="00212882">
        <w:rPr>
          <w:rFonts w:hint="cs"/>
          <w:b/>
          <w:bCs/>
          <w:rtl/>
          <w:lang w:val="fr-CH" w:bidi="ar-MA"/>
        </w:rPr>
        <w:t xml:space="preserve">استخدام الحبس الانفرادي بغية إلغائه وضمان أن يظل الحبس الانفرادي تدبيراً استثنائياً </w:t>
      </w:r>
      <w:r>
        <w:rPr>
          <w:rFonts w:hint="cs"/>
          <w:b/>
          <w:bCs/>
          <w:rtl/>
          <w:lang w:val="fr-CH" w:bidi="ar-MA"/>
        </w:rPr>
        <w:t>ل</w:t>
      </w:r>
      <w:r w:rsidRPr="00212882">
        <w:rPr>
          <w:rFonts w:hint="cs"/>
          <w:b/>
          <w:bCs/>
          <w:rtl/>
          <w:lang w:val="fr-CH" w:bidi="ar-MA"/>
        </w:rPr>
        <w:t xml:space="preserve">مدة محددة، بما يتسق مع المعايير الدولية؛ </w:t>
      </w:r>
    </w:p>
    <w:p w:rsidR="00BD1F3C" w:rsidRPr="00212882" w:rsidRDefault="00BD1F3C" w:rsidP="009F2FC3">
      <w:pPr>
        <w:pStyle w:val="SingleTxtGA"/>
        <w:rPr>
          <w:rFonts w:hint="cs"/>
          <w:b/>
          <w:bCs/>
          <w:rtl/>
          <w:lang w:val="fr-CH" w:bidi="ar-MA"/>
        </w:rPr>
      </w:pPr>
      <w:r w:rsidRPr="00212882">
        <w:rPr>
          <w:rFonts w:hint="cs"/>
          <w:b/>
          <w:bCs/>
          <w:rtl/>
          <w:lang w:val="fr-CH" w:bidi="ar-MA"/>
        </w:rPr>
        <w:tab/>
        <w:t>(ج)</w:t>
      </w:r>
      <w:r w:rsidRPr="00212882">
        <w:rPr>
          <w:rFonts w:hint="cs"/>
          <w:b/>
          <w:bCs/>
          <w:rtl/>
          <w:lang w:val="fr-CH" w:bidi="ar-MA"/>
        </w:rPr>
        <w:tab/>
        <w:t xml:space="preserve">توفير إحصاءات </w:t>
      </w:r>
      <w:r>
        <w:rPr>
          <w:rFonts w:hint="cs"/>
          <w:b/>
          <w:bCs/>
          <w:rtl/>
          <w:lang w:val="fr-CH" w:bidi="ar-MA"/>
        </w:rPr>
        <w:t xml:space="preserve">توضح </w:t>
      </w:r>
      <w:r w:rsidRPr="00212882">
        <w:rPr>
          <w:rFonts w:hint="cs"/>
          <w:b/>
          <w:bCs/>
          <w:rtl/>
          <w:lang w:val="fr-CH" w:bidi="ar-MA"/>
        </w:rPr>
        <w:t xml:space="preserve">عدد الأشخاص الذين </w:t>
      </w:r>
      <w:r>
        <w:rPr>
          <w:rFonts w:hint="cs"/>
          <w:b/>
          <w:bCs/>
          <w:rtl/>
          <w:lang w:val="fr-CH" w:bidi="ar-MA"/>
        </w:rPr>
        <w:t>أ</w:t>
      </w:r>
      <w:r w:rsidRPr="00212882">
        <w:rPr>
          <w:rFonts w:hint="cs"/>
          <w:b/>
          <w:bCs/>
          <w:rtl/>
          <w:lang w:val="fr-CH" w:bidi="ar-MA"/>
        </w:rPr>
        <w:t xml:space="preserve">لقي القبض عليهم من جانب أفراد جهاز أمن الدولة، فضلاً عن جميع الأشخاص الذين </w:t>
      </w:r>
      <w:r>
        <w:rPr>
          <w:rFonts w:hint="cs"/>
          <w:b/>
          <w:bCs/>
          <w:rtl/>
          <w:lang w:val="fr-CH" w:bidi="ar-MA"/>
        </w:rPr>
        <w:t>أ</w:t>
      </w:r>
      <w:r w:rsidRPr="00212882">
        <w:rPr>
          <w:rFonts w:hint="cs"/>
          <w:b/>
          <w:bCs/>
          <w:rtl/>
          <w:lang w:val="fr-CH" w:bidi="ar-MA"/>
        </w:rPr>
        <w:t>لقي القبض عليهم للاشتباه في انتهاكهم لقانون حماية المجتمع وقانون مكافحة الإرهاب، ومدة الوقت التي انقضت قبل توجيه الاتهام إليهم.</w:t>
      </w:r>
    </w:p>
    <w:p w:rsidR="00BD1F3C" w:rsidRPr="00F3246D" w:rsidRDefault="00BD1F3C" w:rsidP="009F2FC3">
      <w:pPr>
        <w:pStyle w:val="H23GA"/>
        <w:rPr>
          <w:rFonts w:hint="cs"/>
          <w:rtl/>
        </w:rPr>
      </w:pPr>
      <w:r>
        <w:rPr>
          <w:rFonts w:hint="cs"/>
          <w:rtl/>
        </w:rPr>
        <w:tab/>
      </w:r>
      <w:r>
        <w:rPr>
          <w:rFonts w:hint="cs"/>
          <w:rtl/>
        </w:rPr>
        <w:tab/>
      </w:r>
      <w:r w:rsidRPr="00F3246D">
        <w:rPr>
          <w:rFonts w:hint="cs"/>
          <w:rtl/>
        </w:rPr>
        <w:t>العقاب البدني كعقوبة جنائية</w:t>
      </w:r>
    </w:p>
    <w:p w:rsidR="00BD1F3C" w:rsidRPr="005049B0" w:rsidRDefault="00AF676A" w:rsidP="009F2FC3">
      <w:pPr>
        <w:pStyle w:val="SingleTxtGA"/>
        <w:rPr>
          <w:rFonts w:hint="cs"/>
          <w:rtl/>
          <w:lang w:val="en-CA" w:bidi="ar-EG"/>
        </w:rPr>
      </w:pPr>
      <w:r>
        <w:rPr>
          <w:rFonts w:hint="cs"/>
          <w:rtl/>
          <w:lang w:val="fr-CH" w:bidi="ar-MA"/>
        </w:rPr>
        <w:t>(</w:t>
      </w:r>
      <w:r w:rsidR="00BD1F3C" w:rsidRPr="001C6A10">
        <w:rPr>
          <w:rFonts w:hint="cs"/>
          <w:rtl/>
          <w:lang w:val="fr-CH" w:bidi="ar-MA"/>
        </w:rPr>
        <w:t>12</w:t>
      </w:r>
      <w:r>
        <w:rPr>
          <w:rFonts w:hint="cs"/>
          <w:rtl/>
          <w:lang w:val="fr-CH" w:bidi="ar-MA"/>
        </w:rPr>
        <w:t>)</w:t>
      </w:r>
      <w:r w:rsidR="00BD1F3C" w:rsidRPr="001C6A10">
        <w:rPr>
          <w:rFonts w:hint="cs"/>
          <w:rtl/>
          <w:lang w:val="fr-CH" w:bidi="ar-MA"/>
        </w:rPr>
        <w:tab/>
      </w:r>
      <w:r w:rsidR="00BD1F3C">
        <w:rPr>
          <w:rFonts w:hint="cs"/>
          <w:rtl/>
          <w:lang w:val="fr-CH" w:bidi="ar-MA"/>
        </w:rPr>
        <w:t>في حين</w:t>
      </w:r>
      <w:r w:rsidR="00BD1F3C" w:rsidRPr="001C6A10">
        <w:rPr>
          <w:rFonts w:hint="cs"/>
          <w:rtl/>
          <w:lang w:val="fr-CH" w:bidi="ar-MA"/>
        </w:rPr>
        <w:t xml:space="preserve"> </w:t>
      </w:r>
      <w:r w:rsidR="00BD1F3C">
        <w:rPr>
          <w:rFonts w:hint="cs"/>
          <w:rtl/>
          <w:lang w:val="fr-CH" w:bidi="ar-MA"/>
        </w:rPr>
        <w:t>تلاحظ</w:t>
      </w:r>
      <w:r w:rsidR="00BD1F3C" w:rsidRPr="001C6A10">
        <w:rPr>
          <w:rFonts w:hint="cs"/>
          <w:rtl/>
          <w:lang w:val="fr-CH" w:bidi="ar-MA"/>
        </w:rPr>
        <w:t xml:space="preserve"> اللجنة</w:t>
      </w:r>
      <w:r w:rsidR="00BD1F3C">
        <w:rPr>
          <w:rFonts w:hint="cs"/>
          <w:rtl/>
          <w:lang w:val="fr-CH" w:bidi="ar-MA"/>
        </w:rPr>
        <w:t xml:space="preserve"> أن القانون الجديد الخاص بتنظيم المؤسسات العقابية والإصلاحية (القانون رقم 3 لسنة 2009) لا يشتمل على أحكام بشأن استخدام الجلد كعقوبة تأديبية بعكس القانون السابق (القانون رقم 3 لسنة 1995)، فإنها لا تزال تشعر بالقلق من أن الجلد </w:t>
      </w:r>
      <w:r w:rsidR="00BD1F3C">
        <w:rPr>
          <w:rFonts w:hint="cs"/>
          <w:rtl/>
          <w:lang w:val="en-CA" w:bidi="ar-EG"/>
        </w:rPr>
        <w:t xml:space="preserve">والرجم لا يزالان من العقوبات المنصوص عليها بموجب المادة 1 من قانون العقوبات. ووفقاً للمعلومات المعروضة أمام اللجنة، والتي لم تعترض عليها الدولة الطرف، فقد فرضت عقوبة الجلد على ما لا يقل عن 45 شخصاً بين عامي 2009 و2011 (المادة 2). </w:t>
      </w:r>
    </w:p>
    <w:p w:rsidR="00BD1F3C" w:rsidRPr="00212882" w:rsidRDefault="00BD1F3C" w:rsidP="009F2FC3">
      <w:pPr>
        <w:pStyle w:val="SingleTxtGA"/>
        <w:rPr>
          <w:b/>
          <w:bCs/>
        </w:rPr>
      </w:pPr>
      <w:r>
        <w:rPr>
          <w:rFonts w:hint="cs"/>
          <w:b/>
          <w:bCs/>
          <w:rtl/>
          <w:lang w:val="fr-CH" w:bidi="ar-MA"/>
        </w:rPr>
        <w:tab/>
      </w:r>
      <w:r w:rsidRPr="00212882">
        <w:rPr>
          <w:rFonts w:hint="cs"/>
          <w:b/>
          <w:bCs/>
          <w:rtl/>
          <w:lang w:val="fr-CH" w:bidi="ar-MA"/>
        </w:rPr>
        <w:t xml:space="preserve">ينبغي للدولة الطرف </w:t>
      </w:r>
      <w:r>
        <w:rPr>
          <w:rFonts w:hint="cs"/>
          <w:b/>
          <w:bCs/>
          <w:rtl/>
          <w:lang w:val="fr-CH" w:bidi="ar-MA"/>
        </w:rPr>
        <w:t>إلغاء ا</w:t>
      </w:r>
      <w:r w:rsidRPr="00212882">
        <w:rPr>
          <w:rFonts w:hint="cs"/>
          <w:b/>
          <w:bCs/>
          <w:rtl/>
          <w:lang w:val="fr-CH" w:bidi="ar-MA"/>
        </w:rPr>
        <w:t xml:space="preserve">لعقوبة الجسدية، والتي تمثل انتهاكاً للاتفاقية، وأن تعدل تشريعها وفقاً لذلك. كما ينبغي للدولة الطرف </w:t>
      </w:r>
      <w:r>
        <w:rPr>
          <w:rFonts w:hint="cs"/>
          <w:b/>
          <w:bCs/>
          <w:rtl/>
          <w:lang w:val="fr-CH" w:bidi="ar-MA"/>
        </w:rPr>
        <w:t xml:space="preserve">كفالة </w:t>
      </w:r>
      <w:r w:rsidRPr="00212882">
        <w:rPr>
          <w:rFonts w:hint="cs"/>
          <w:b/>
          <w:bCs/>
          <w:rtl/>
          <w:lang w:val="fr-CH" w:bidi="ar-MA"/>
        </w:rPr>
        <w:t xml:space="preserve">أن تكون العقوبات الجنائية متوافقة تماماً مع الاتفاقية. </w:t>
      </w:r>
    </w:p>
    <w:p w:rsidR="00BD1F3C" w:rsidRPr="004D4C09" w:rsidRDefault="00BD1F3C" w:rsidP="009F2FC3">
      <w:pPr>
        <w:pStyle w:val="H23GA"/>
        <w:rPr>
          <w:lang w:val="en-CA"/>
        </w:rPr>
      </w:pPr>
      <w:r>
        <w:rPr>
          <w:rFonts w:hint="cs"/>
          <w:rtl/>
        </w:rPr>
        <w:tab/>
      </w:r>
      <w:r>
        <w:rPr>
          <w:rFonts w:hint="cs"/>
          <w:rtl/>
        </w:rPr>
        <w:tab/>
      </w:r>
      <w:r w:rsidRPr="00F3246D">
        <w:rPr>
          <w:rFonts w:hint="cs"/>
          <w:rtl/>
        </w:rPr>
        <w:t>استقلال الجهاز القضائي</w:t>
      </w:r>
    </w:p>
    <w:p w:rsidR="00BD1F3C" w:rsidRDefault="00AF676A" w:rsidP="009F2FC3">
      <w:pPr>
        <w:pStyle w:val="SingleTxtGA"/>
        <w:rPr>
          <w:lang w:val="en-CA" w:bidi="ar-EG"/>
        </w:rPr>
      </w:pPr>
      <w:r>
        <w:rPr>
          <w:rFonts w:hint="cs"/>
          <w:rtl/>
          <w:lang w:val="fr-CH"/>
        </w:rPr>
        <w:t>(</w:t>
      </w:r>
      <w:r w:rsidR="00BD1F3C" w:rsidRPr="00D13AC7">
        <w:rPr>
          <w:rFonts w:hint="cs"/>
          <w:rtl/>
          <w:lang w:val="fr-CH"/>
        </w:rPr>
        <w:t>1</w:t>
      </w:r>
      <w:r w:rsidR="00BD1F3C">
        <w:rPr>
          <w:rFonts w:hint="cs"/>
          <w:rtl/>
          <w:lang w:val="fr-CH"/>
        </w:rPr>
        <w:t>3</w:t>
      </w:r>
      <w:r>
        <w:rPr>
          <w:rFonts w:hint="cs"/>
          <w:rtl/>
          <w:lang w:val="fr-CH"/>
        </w:rPr>
        <w:t>)</w:t>
      </w:r>
      <w:r w:rsidR="00BD1F3C" w:rsidRPr="00D13AC7">
        <w:rPr>
          <w:rFonts w:hint="cs"/>
          <w:rtl/>
          <w:lang w:val="fr-CH"/>
        </w:rPr>
        <w:tab/>
      </w:r>
      <w:r w:rsidR="00BD1F3C">
        <w:rPr>
          <w:rFonts w:hint="cs"/>
          <w:rtl/>
          <w:lang w:val="fr-CH"/>
        </w:rPr>
        <w:t>في حين</w:t>
      </w:r>
      <w:r w:rsidR="00BD1F3C" w:rsidRPr="00D13AC7">
        <w:rPr>
          <w:rFonts w:hint="cs"/>
          <w:rtl/>
          <w:lang w:val="fr-CH"/>
        </w:rPr>
        <w:t xml:space="preserve"> </w:t>
      </w:r>
      <w:r w:rsidR="00BD1F3C">
        <w:rPr>
          <w:rFonts w:hint="cs"/>
          <w:rtl/>
          <w:lang w:val="fr-CH"/>
        </w:rPr>
        <w:t>تلاحظ</w:t>
      </w:r>
      <w:r w:rsidR="00BD1F3C" w:rsidRPr="00D13AC7">
        <w:rPr>
          <w:rFonts w:hint="cs"/>
          <w:rtl/>
          <w:lang w:val="fr-CH"/>
        </w:rPr>
        <w:t xml:space="preserve"> اللجنة</w:t>
      </w:r>
      <w:r w:rsidR="00BD1F3C">
        <w:rPr>
          <w:rFonts w:hint="cs"/>
          <w:rtl/>
          <w:lang w:val="fr-CH" w:bidi="ar-MA"/>
        </w:rPr>
        <w:t xml:space="preserve"> تسليم الدستور وقانون السلطة القضائية رقم 10 باستقلال الجهاز القضائي، فإنها تشعر بالقلق إزاء عدم استقلال القضاة في الممارسة العملية، ويعزى ذلك أساساً إلى إحساس القضاة بعدم </w:t>
      </w:r>
      <w:r w:rsidR="00BD1F3C" w:rsidRPr="004D4C09">
        <w:rPr>
          <w:rtl/>
          <w:lang w:val="fr-CH" w:bidi="ar-MA"/>
        </w:rPr>
        <w:t>في ضمان استمرارهم في وظائفهم</w:t>
      </w:r>
      <w:r w:rsidR="00BD1F3C">
        <w:rPr>
          <w:rFonts w:hint="cs"/>
          <w:rtl/>
          <w:lang w:val="en-CA" w:bidi="ar-EG"/>
        </w:rPr>
        <w:t xml:space="preserve">. وتلاحظ اللجنة مع القلق أن نسبة كبيرة من القضاة أجانب يقيمون في البلد بتصاريح إقامة تمنحها لهم السلطات المدنية وأن الأمير يعتمد تعيين القضاة (المادة 2). </w:t>
      </w:r>
    </w:p>
    <w:p w:rsidR="00BD1F3C" w:rsidRPr="00212882" w:rsidRDefault="00BD1F3C" w:rsidP="009F2FC3">
      <w:pPr>
        <w:pStyle w:val="SingleTxtGA"/>
        <w:rPr>
          <w:b/>
          <w:bCs/>
          <w:lang w:val="fr-CH" w:bidi="ar-MA"/>
        </w:rPr>
      </w:pPr>
      <w:r>
        <w:rPr>
          <w:rFonts w:hint="cs"/>
          <w:rtl/>
          <w:lang w:val="fr-CH" w:bidi="ar-MA"/>
        </w:rPr>
        <w:tab/>
      </w:r>
      <w:r w:rsidRPr="00212882">
        <w:rPr>
          <w:rFonts w:hint="cs"/>
          <w:b/>
          <w:bCs/>
          <w:rtl/>
          <w:lang w:val="fr-CH" w:bidi="ar-MA"/>
        </w:rPr>
        <w:t xml:space="preserve">تؤكد اللجنة من جديد توصياتها التي تفيد بأنه ينبغي للدولة الطرف أن تعتمد تدابير فعالة </w:t>
      </w:r>
      <w:r w:rsidRPr="00212882">
        <w:rPr>
          <w:b/>
          <w:bCs/>
          <w:rtl/>
          <w:lang w:val="fr-CH" w:bidi="ar-MA"/>
        </w:rPr>
        <w:t>لضمان استقلال القضاة استقلالاً تاماً</w:t>
      </w:r>
      <w:r w:rsidRPr="00212882">
        <w:rPr>
          <w:rFonts w:hint="cs"/>
          <w:b/>
          <w:bCs/>
          <w:rtl/>
          <w:lang w:val="fr-CH" w:bidi="ar-MA"/>
        </w:rPr>
        <w:t xml:space="preserve">، بما يتوافق </w:t>
      </w:r>
      <w:r w:rsidRPr="00212882">
        <w:rPr>
          <w:rFonts w:hint="cs"/>
          <w:b/>
          <w:bCs/>
          <w:rtl/>
          <w:lang w:val="fr-CH" w:bidi="ar-EG"/>
        </w:rPr>
        <w:t>مع ا</w:t>
      </w:r>
      <w:r w:rsidRPr="00212882">
        <w:rPr>
          <w:rFonts w:hint="cs"/>
          <w:b/>
          <w:bCs/>
          <w:rtl/>
          <w:lang w:val="fr-CH" w:bidi="ar-MA"/>
        </w:rPr>
        <w:t>لمعايير الدولية، مثل</w:t>
      </w:r>
      <w:r w:rsidRPr="00212882">
        <w:rPr>
          <w:b/>
          <w:bCs/>
          <w:rtl/>
          <w:lang w:val="fr-CH" w:bidi="ar-MA"/>
        </w:rPr>
        <w:t xml:space="preserve"> </w:t>
      </w:r>
      <w:r w:rsidRPr="00212882">
        <w:rPr>
          <w:rFonts w:hint="cs"/>
          <w:b/>
          <w:bCs/>
          <w:rtl/>
          <w:lang w:val="fr-CH" w:bidi="ar-MA"/>
        </w:rPr>
        <w:t>ال</w:t>
      </w:r>
      <w:r w:rsidRPr="00212882">
        <w:rPr>
          <w:b/>
          <w:bCs/>
          <w:rtl/>
          <w:lang w:val="fr-CH" w:bidi="ar-MA"/>
        </w:rPr>
        <w:t>مبادئ الأساسية لاستقلال القضاء.</w:t>
      </w:r>
    </w:p>
    <w:p w:rsidR="00BD1F3C" w:rsidRPr="00F3246D" w:rsidRDefault="00BD1F3C" w:rsidP="009F2FC3">
      <w:pPr>
        <w:pStyle w:val="H23GA"/>
      </w:pPr>
      <w:r w:rsidRPr="00F3246D">
        <w:rPr>
          <w:rFonts w:hint="cs"/>
          <w:rtl/>
        </w:rPr>
        <w:tab/>
      </w:r>
      <w:r w:rsidRPr="00F3246D">
        <w:rPr>
          <w:rFonts w:hint="cs"/>
          <w:rtl/>
        </w:rPr>
        <w:tab/>
        <w:t>الشكاوى والتحقيقات الفورية والشاملة والنزيهة</w:t>
      </w:r>
    </w:p>
    <w:p w:rsidR="00BD1F3C" w:rsidRDefault="00AF676A" w:rsidP="009F2FC3">
      <w:pPr>
        <w:pStyle w:val="SingleTxtGA"/>
        <w:rPr>
          <w:rFonts w:hint="cs"/>
          <w:rtl/>
          <w:lang w:val="fr-CH" w:bidi="ar-MA"/>
        </w:rPr>
      </w:pPr>
      <w:r>
        <w:rPr>
          <w:rFonts w:hint="cs"/>
          <w:rtl/>
          <w:lang w:val="fr-CH"/>
        </w:rPr>
        <w:t>(</w:t>
      </w:r>
      <w:r w:rsidR="00BD1F3C">
        <w:rPr>
          <w:rFonts w:hint="cs"/>
          <w:rtl/>
          <w:lang w:val="fr-CH"/>
        </w:rPr>
        <w:t>14</w:t>
      </w:r>
      <w:r>
        <w:rPr>
          <w:rFonts w:hint="cs"/>
          <w:rtl/>
          <w:lang w:val="fr-CH"/>
        </w:rPr>
        <w:t>)</w:t>
      </w:r>
      <w:r w:rsidR="00BD1F3C">
        <w:rPr>
          <w:rFonts w:hint="cs"/>
          <w:rtl/>
          <w:lang w:val="fr-CH"/>
        </w:rPr>
        <w:tab/>
        <w:t xml:space="preserve">تكرر اللجنة قلقها إزاء عدم وجود بيانات </w:t>
      </w:r>
      <w:r w:rsidR="00BD1F3C" w:rsidRPr="00640E54">
        <w:rPr>
          <w:rtl/>
          <w:lang w:val="fr-CH"/>
        </w:rPr>
        <w:t xml:space="preserve">تتعلق بالشكاوى الفردية بشأن التعذيب أو سوء المعاملة </w:t>
      </w:r>
      <w:r w:rsidR="00BD1F3C">
        <w:rPr>
          <w:rFonts w:hint="cs"/>
          <w:rtl/>
          <w:lang w:val="fr-CH"/>
        </w:rPr>
        <w:t xml:space="preserve">أو </w:t>
      </w:r>
      <w:r w:rsidR="00BD1F3C" w:rsidRPr="00640E54">
        <w:rPr>
          <w:rtl/>
          <w:lang w:val="fr-CH"/>
        </w:rPr>
        <w:t>نتائج التحريات أو التحقيقات المتعلقة بأحكام الاتفاقية</w:t>
      </w:r>
      <w:r w:rsidR="00BD1F3C">
        <w:rPr>
          <w:rFonts w:hint="cs"/>
          <w:rtl/>
          <w:lang w:val="fr-CH"/>
        </w:rPr>
        <w:t>. وتلاحظ اللجنة مع القلق المعلومات التي قدمتها الدولة الطرف والتي تفيد بأنها لم تسجل أي شكوى بشأن التعذيب أو سوء المعاملة، وهو ما يتعارض مع عدد من التقارير التي تفيد بسوء معاملة المحتجزين والواردة من عدة مصادر، بما فيها اللجنة الوطنية القطرية لحقوق الإنسان (المواد</w:t>
      </w:r>
      <w:r w:rsidR="00BD1F3C">
        <w:rPr>
          <w:rFonts w:hint="eastAsia"/>
          <w:rtl/>
          <w:lang w:val="fr-CH"/>
        </w:rPr>
        <w:t> </w:t>
      </w:r>
      <w:r w:rsidR="00BD1F3C">
        <w:rPr>
          <w:rFonts w:hint="cs"/>
          <w:rtl/>
          <w:lang w:val="fr-CH"/>
        </w:rPr>
        <w:t>12 و13 و16).</w:t>
      </w:r>
    </w:p>
    <w:p w:rsidR="00BD1F3C" w:rsidRPr="00212882" w:rsidRDefault="00BD1F3C" w:rsidP="009F2FC3">
      <w:pPr>
        <w:pStyle w:val="SingleTxtGA"/>
        <w:rPr>
          <w:rFonts w:hint="cs"/>
          <w:b/>
          <w:bCs/>
          <w:rtl/>
          <w:lang w:val="fr-CH"/>
        </w:rPr>
      </w:pPr>
      <w:r>
        <w:rPr>
          <w:rFonts w:hint="cs"/>
          <w:rtl/>
          <w:lang w:val="fr-CH" w:bidi="ar-MA"/>
        </w:rPr>
        <w:tab/>
      </w:r>
      <w:r w:rsidRPr="00212882">
        <w:rPr>
          <w:rFonts w:hint="cs"/>
          <w:b/>
          <w:bCs/>
          <w:rtl/>
          <w:lang w:val="fr-CH" w:bidi="ar-MA"/>
        </w:rPr>
        <w:t xml:space="preserve">ينبغي للدولة الطرف أن تضمن </w:t>
      </w:r>
      <w:r w:rsidRPr="00212882">
        <w:rPr>
          <w:b/>
          <w:bCs/>
          <w:rtl/>
          <w:lang w:val="fr-CH"/>
        </w:rPr>
        <w:t>إتاحة المعلومات بشأن إمكانية وإجراءات تقديم الشكاوى ضد الشرطة ونشرها على نطاق واسع</w:t>
      </w:r>
      <w:r w:rsidRPr="00212882">
        <w:rPr>
          <w:rFonts w:hint="cs"/>
          <w:b/>
          <w:bCs/>
          <w:rtl/>
          <w:lang w:val="fr-CH"/>
        </w:rPr>
        <w:t xml:space="preserve">، بما </w:t>
      </w:r>
      <w:r w:rsidRPr="00212882">
        <w:rPr>
          <w:b/>
          <w:bCs/>
          <w:rtl/>
          <w:lang w:val="fr-CH"/>
        </w:rPr>
        <w:t xml:space="preserve">في ذلك من خلال عرضها في مكان بارز في جميع </w:t>
      </w:r>
      <w:r>
        <w:rPr>
          <w:rFonts w:hint="cs"/>
          <w:b/>
          <w:bCs/>
          <w:rtl/>
          <w:lang w:val="fr-CH"/>
        </w:rPr>
        <w:t>مرافق الاحتجاز</w:t>
      </w:r>
      <w:r w:rsidRPr="00212882">
        <w:rPr>
          <w:rFonts w:hint="cs"/>
          <w:b/>
          <w:bCs/>
          <w:rtl/>
          <w:lang w:val="fr-CH"/>
        </w:rPr>
        <w:t>. وينبغي للدولة</w:t>
      </w:r>
      <w:r w:rsidRPr="00212882">
        <w:rPr>
          <w:b/>
          <w:bCs/>
          <w:rtl/>
          <w:lang w:val="fr-CH"/>
        </w:rPr>
        <w:t xml:space="preserve"> </w:t>
      </w:r>
      <w:r w:rsidRPr="00212882">
        <w:rPr>
          <w:rFonts w:hint="cs"/>
          <w:b/>
          <w:bCs/>
          <w:rtl/>
          <w:lang w:val="fr-CH"/>
        </w:rPr>
        <w:t xml:space="preserve">الطرف أن تضمن </w:t>
      </w:r>
      <w:r w:rsidRPr="00212882">
        <w:rPr>
          <w:b/>
          <w:bCs/>
          <w:rtl/>
          <w:lang w:val="fr-CH"/>
        </w:rPr>
        <w:t>التحقيق في جمي</w:t>
      </w:r>
      <w:r>
        <w:rPr>
          <w:b/>
          <w:bCs/>
          <w:rtl/>
          <w:lang w:val="fr-CH"/>
        </w:rPr>
        <w:t>ع ادعاءات التعذيب وسوء المعاملة</w:t>
      </w:r>
      <w:r w:rsidRPr="00212882">
        <w:rPr>
          <w:b/>
          <w:bCs/>
          <w:rtl/>
          <w:lang w:val="fr-CH"/>
        </w:rPr>
        <w:t>، فوراً وبشكل شامل من جانب هيئات مستقلة، دون أن يكون هناك اتصال مؤسسي أو هرمي بين المحققين والجناة المزعومين</w:t>
      </w:r>
      <w:r>
        <w:rPr>
          <w:rFonts w:hint="cs"/>
          <w:b/>
          <w:bCs/>
          <w:rtl/>
          <w:lang w:val="fr-CH"/>
        </w:rPr>
        <w:t xml:space="preserve"> من رجال الشرطة</w:t>
      </w:r>
      <w:r w:rsidRPr="00212882">
        <w:rPr>
          <w:rFonts w:hint="cs"/>
          <w:b/>
          <w:bCs/>
          <w:rtl/>
          <w:lang w:val="fr-CH"/>
        </w:rPr>
        <w:t>. وحسبما هو مشار إليه في الفقرة 7 من هذه الملاحظات الختامية، ينبغي للدولة الطرف أن تتيح، في تقريرها الدوري المقبل، بيانات إحصائية</w:t>
      </w:r>
      <w:r>
        <w:rPr>
          <w:rFonts w:hint="cs"/>
          <w:b/>
          <w:bCs/>
          <w:rtl/>
          <w:lang w:val="fr-CH"/>
        </w:rPr>
        <w:t xml:space="preserve"> مفصلة </w:t>
      </w:r>
      <w:r w:rsidRPr="00212882">
        <w:rPr>
          <w:rFonts w:hint="cs"/>
          <w:b/>
          <w:bCs/>
          <w:rtl/>
          <w:lang w:val="fr-CH"/>
        </w:rPr>
        <w:t>حسب الجريمة والجنسية والسن ونوع الجنس بشأن الشكاوى المتعلقة بالتعذيب وسوء المعاملة وأي تحقيقات وتحريات وجزاءات عقابية أو تأديبية ذات صلة.</w:t>
      </w:r>
    </w:p>
    <w:p w:rsidR="00BD1F3C" w:rsidRPr="00943244" w:rsidRDefault="00BD1F3C" w:rsidP="009F2FC3">
      <w:pPr>
        <w:pStyle w:val="H23GA"/>
      </w:pPr>
      <w:r>
        <w:rPr>
          <w:rFonts w:hint="cs"/>
          <w:rtl/>
        </w:rPr>
        <w:tab/>
      </w:r>
      <w:r>
        <w:rPr>
          <w:rFonts w:hint="cs"/>
          <w:rtl/>
        </w:rPr>
        <w:tab/>
      </w:r>
      <w:r w:rsidRPr="00943244">
        <w:rPr>
          <w:rtl/>
        </w:rPr>
        <w:t>رصد أماكن الحرمان من الحرية وتفتيشها</w:t>
      </w:r>
      <w:r w:rsidRPr="00943244">
        <w:t xml:space="preserve"> </w:t>
      </w:r>
    </w:p>
    <w:p w:rsidR="00BD1F3C" w:rsidRDefault="00AF676A" w:rsidP="009F2FC3">
      <w:pPr>
        <w:pStyle w:val="SingleTxtGA"/>
        <w:rPr>
          <w:rFonts w:hint="cs"/>
          <w:rtl/>
          <w:lang w:val="fr-CH" w:bidi="ar-MA"/>
        </w:rPr>
      </w:pPr>
      <w:r>
        <w:rPr>
          <w:rFonts w:hint="cs"/>
          <w:rtl/>
          <w:lang w:val="fr-CH"/>
        </w:rPr>
        <w:t>(</w:t>
      </w:r>
      <w:r w:rsidR="00BD1F3C">
        <w:rPr>
          <w:rFonts w:hint="cs"/>
          <w:rtl/>
          <w:lang w:val="fr-CH"/>
        </w:rPr>
        <w:t>15</w:t>
      </w:r>
      <w:r>
        <w:rPr>
          <w:rFonts w:hint="cs"/>
          <w:rtl/>
          <w:lang w:val="fr-CH"/>
        </w:rPr>
        <w:t>)</w:t>
      </w:r>
      <w:r w:rsidR="00BD1F3C">
        <w:rPr>
          <w:rFonts w:hint="cs"/>
          <w:rtl/>
          <w:lang w:val="fr-CH"/>
        </w:rPr>
        <w:tab/>
        <w:t>تشعر اللجنة بالقلق إزاء عدم وجود رصد منتظم وفعال لجميع أماكن الحرمان من الحرية من جانب جهات الرصد الوطنية والدولية. وبالإضافة إلى ذلك،</w:t>
      </w:r>
      <w:r w:rsidR="00BD1F3C" w:rsidRPr="007F1D88">
        <w:rPr>
          <w:rFonts w:hint="cs"/>
          <w:rtl/>
          <w:lang w:val="fr-CH"/>
        </w:rPr>
        <w:t xml:space="preserve"> </w:t>
      </w:r>
      <w:r w:rsidR="00BD1F3C">
        <w:rPr>
          <w:rFonts w:hint="cs"/>
          <w:rtl/>
          <w:lang w:val="fr-CH"/>
        </w:rPr>
        <w:t>لا تزال اللجنة تشعر بالقلق إزاء مدى ملائمة الزيارات ووتيرتها، بما في ذلك الزيارات غير المعلن عنها من جانب آليات الرصد القائمة وعدم وجود معلومات عن مدى تنفيذ توصياتها من جانب السلطات (المواد</w:t>
      </w:r>
      <w:r w:rsidR="00BD1F3C">
        <w:rPr>
          <w:rFonts w:hint="eastAsia"/>
          <w:rtl/>
          <w:lang w:val="fr-CH"/>
        </w:rPr>
        <w:t> </w:t>
      </w:r>
      <w:r w:rsidR="00BD1F3C">
        <w:rPr>
          <w:rFonts w:hint="cs"/>
          <w:rtl/>
          <w:lang w:val="fr-CH"/>
        </w:rPr>
        <w:t>2 و11 و16).</w:t>
      </w:r>
    </w:p>
    <w:p w:rsidR="00BD1F3C" w:rsidRPr="00AF676A" w:rsidRDefault="00BD1F3C" w:rsidP="009F2FC3">
      <w:pPr>
        <w:pStyle w:val="SingleTxtGA"/>
        <w:rPr>
          <w:rFonts w:ascii="Times New Roman Bold" w:hAnsi="Times New Roman Bold" w:hint="cs"/>
          <w:b/>
          <w:bCs/>
          <w:spacing w:val="-2"/>
          <w:rtl/>
          <w:lang w:val="fr-CH" w:bidi="ar-MA"/>
        </w:rPr>
      </w:pPr>
      <w:r>
        <w:rPr>
          <w:rFonts w:hint="cs"/>
          <w:rtl/>
          <w:lang w:val="fr-CH" w:bidi="ar-MA"/>
        </w:rPr>
        <w:tab/>
      </w:r>
      <w:r w:rsidRPr="00212882">
        <w:rPr>
          <w:rFonts w:hint="cs"/>
          <w:b/>
          <w:bCs/>
          <w:rtl/>
          <w:lang w:val="fr-CH" w:bidi="ar-MA"/>
        </w:rPr>
        <w:t xml:space="preserve">ينبغي للدولة الطرف أن تضمن إجراء رصد مستقل تماماً لجميع الأماكن المستخدمة للحرمان من الحرية، بما في ذلك حجز الإبعاد ومرافق الصحة النفسية وسجن </w:t>
      </w:r>
      <w:r w:rsidRPr="00AF676A">
        <w:rPr>
          <w:rFonts w:ascii="Times New Roman Bold" w:hAnsi="Times New Roman Bold" w:hint="cs"/>
          <w:b/>
          <w:bCs/>
          <w:spacing w:val="-2"/>
          <w:rtl/>
          <w:lang w:val="fr-CH" w:bidi="ar-EG"/>
        </w:rPr>
        <w:t xml:space="preserve">أمن </w:t>
      </w:r>
      <w:r w:rsidRPr="00AF676A">
        <w:rPr>
          <w:rFonts w:ascii="Times New Roman Bold" w:hAnsi="Times New Roman Bold" w:hint="cs"/>
          <w:b/>
          <w:bCs/>
          <w:spacing w:val="-2"/>
          <w:rtl/>
          <w:lang w:val="fr-CH" w:bidi="ar-MA"/>
        </w:rPr>
        <w:t>الدولة، وذلك على أساس دوري فضلاً عن الزيارات غير المعلن عنها، وينبغي أن تتابع بفعالية نتائج هذا الرصد المنتظم من أجل منع التعذيب وغيره من ضروب المعاملة أو العقوبة القاسية أو اللاإنسانية أو المهينة. كما ينبغي للدولة الطرف أن تعزز ولاية وموارد اللجنة الوطنية لحقوق الإنسان وآليات الرصد الوطنية الأخرى لهذا الغرض. وتُشجّع الدولة الطرف على أن تسمح للمنظمات غير الحكومية والآليات الدولية المعنية برصد أماكن الاحتجاز وأن تنظر في التصديق على البروتوكول الاختياري للاتفاقية بأسرع ما</w:t>
      </w:r>
      <w:r w:rsidRPr="00AF676A">
        <w:rPr>
          <w:rFonts w:ascii="Times New Roman Bold" w:hAnsi="Times New Roman Bold" w:hint="eastAsia"/>
          <w:b/>
          <w:bCs/>
          <w:spacing w:val="-2"/>
          <w:rtl/>
          <w:lang w:val="fr-CH" w:bidi="ar-MA"/>
        </w:rPr>
        <w:t> </w:t>
      </w:r>
      <w:r w:rsidRPr="00AF676A">
        <w:rPr>
          <w:rFonts w:ascii="Times New Roman Bold" w:hAnsi="Times New Roman Bold" w:hint="cs"/>
          <w:b/>
          <w:bCs/>
          <w:spacing w:val="-2"/>
          <w:rtl/>
          <w:lang w:val="fr-CH" w:bidi="ar-MA"/>
        </w:rPr>
        <w:t>يمكن.</w:t>
      </w:r>
    </w:p>
    <w:p w:rsidR="00BD1F3C" w:rsidRPr="00943244" w:rsidRDefault="00BD1F3C" w:rsidP="00BD1F3C">
      <w:pPr>
        <w:pStyle w:val="H23GA"/>
        <w:rPr>
          <w:rFonts w:hint="cs"/>
          <w:rtl/>
        </w:rPr>
      </w:pPr>
      <w:r w:rsidRPr="00943244">
        <w:rPr>
          <w:rFonts w:hint="cs"/>
          <w:rtl/>
        </w:rPr>
        <w:tab/>
      </w:r>
      <w:r w:rsidRPr="00943244">
        <w:rPr>
          <w:rFonts w:hint="cs"/>
          <w:rtl/>
        </w:rPr>
        <w:tab/>
        <w:t>اللجنة الوطنية لحقوق الإنسان</w:t>
      </w:r>
    </w:p>
    <w:p w:rsidR="00BD1F3C" w:rsidRDefault="00AF676A" w:rsidP="00AF676A">
      <w:pPr>
        <w:pStyle w:val="SingleTxtGA"/>
        <w:rPr>
          <w:rFonts w:hint="cs"/>
          <w:rtl/>
          <w:lang w:val="fr-CH" w:bidi="ar-MA"/>
        </w:rPr>
      </w:pPr>
      <w:r>
        <w:rPr>
          <w:rFonts w:hint="cs"/>
          <w:rtl/>
          <w:lang w:val="fr-CH"/>
        </w:rPr>
        <w:t>(</w:t>
      </w:r>
      <w:r w:rsidR="00BD1F3C">
        <w:rPr>
          <w:rFonts w:hint="cs"/>
          <w:rtl/>
          <w:lang w:val="fr-CH"/>
        </w:rPr>
        <w:t>16</w:t>
      </w:r>
      <w:r>
        <w:rPr>
          <w:rFonts w:hint="cs"/>
          <w:rtl/>
          <w:lang w:val="fr-CH"/>
        </w:rPr>
        <w:t>)</w:t>
      </w:r>
      <w:r w:rsidR="00BD1F3C">
        <w:rPr>
          <w:rFonts w:hint="cs"/>
          <w:rtl/>
          <w:lang w:val="fr-CH"/>
        </w:rPr>
        <w:tab/>
        <w:t xml:space="preserve">في حين تلاحظ اللجنة دور اللجنة الوطنية لحقوق الإنسان في رصد مرافق الاحتجاز وتقديم قضايا للسلطات تتعلق بانتهاكات حقوق الإنسان، فإنها تعرب عن قلقها إزاء التقارير التي تفيد بأن زيارات اللجنة الوطنية لحقوق الإنسان قليلة وتُرفض في بعض الأحيان وأن اللجنة الوطنية لحقوق الإنسان لا يكون لديها الخبرة الطبية اللازمة أثناء زيارات أماكن الاحتجاز ولا مترجمين فوريين للزيارات التي تقوم بها إلى حجز الإبعاد. وإضافة إلى ذلك، فإن نسبة كبيرة من أعضاء اللجنة الوطنية لحقوق الإنسان لا تزال تتألف من موظفين حكوميين، على الرغم من أنهم لا يتمتعون بحق التصويت. كما تشعر اللجنة بالقلق إزاء عدم وجود بيانات شاملة عن الشكاوى التي ترد إلى اللجنة الوطنية لحقوق الإنسان والمتعلقة بانتهاكات أحكام الاتفاقية والإجراءات التي تتخذها السلطات استجابة لذلك، فضلاً عن نتائجها (المواد 2 و12 و13). </w:t>
      </w:r>
    </w:p>
    <w:p w:rsidR="00BD1F3C" w:rsidRPr="00212882" w:rsidRDefault="00BD1F3C" w:rsidP="00BD1F3C">
      <w:pPr>
        <w:pStyle w:val="SingleTxtGA"/>
        <w:rPr>
          <w:rFonts w:hint="cs"/>
          <w:b/>
          <w:bCs/>
          <w:rtl/>
          <w:lang w:val="fr-CH" w:bidi="ar-MA"/>
        </w:rPr>
      </w:pPr>
      <w:r>
        <w:rPr>
          <w:rFonts w:hint="cs"/>
          <w:rtl/>
          <w:lang w:val="fr-CH" w:bidi="ar-MA"/>
        </w:rPr>
        <w:tab/>
      </w:r>
      <w:r w:rsidRPr="00212882">
        <w:rPr>
          <w:rFonts w:hint="cs"/>
          <w:b/>
          <w:bCs/>
          <w:rtl/>
          <w:lang w:val="fr-CH" w:bidi="ar-MA"/>
        </w:rPr>
        <w:t>ينبغي للدولة الطرف أن تكثف جهودها لضمان أن (أ) تكون اللجنة الوطنية لحقوق الإنسان قادرة على رصد حالات التعذيب أو سوء المعاملة التي يرتكبها موظفو الدولة والتحقيق فيها بصورة مستقلة ونزيهة وأن يكون لديها الموارد الكافية لهذا الغرض؛ و(ب)</w:t>
      </w:r>
      <w:r w:rsidRPr="00212882">
        <w:rPr>
          <w:rFonts w:hint="eastAsia"/>
          <w:b/>
          <w:bCs/>
          <w:rtl/>
          <w:lang w:val="fr-CH" w:bidi="ar-MA"/>
        </w:rPr>
        <w:t> </w:t>
      </w:r>
      <w:r w:rsidRPr="00212882">
        <w:rPr>
          <w:rFonts w:hint="cs"/>
          <w:b/>
          <w:bCs/>
          <w:rtl/>
          <w:lang w:val="fr-CH" w:bidi="ar-MA"/>
        </w:rPr>
        <w:t xml:space="preserve">تعمل جميع السلطات المختصة بالتوصيات التي تصدرها اللجنة الوطنية لحقوق الإنسان. وبالإضافة إلى ذلك، تُشجع الدولة الطرف على النظر في خفض عدد المسؤولين الحكوميين الأعضاء في اللجنة الوطنية لحقوق الإنسان وتقييد أدوارهم، وخاصة عند رصد حالات الاحتجاز واعتماد توصيات، بغية تعزيز الاستقلال التام للجنة الوطنية لحقوق الإنسان بما يتفق مع المبادئ المتعلقة بمركز المؤسسات الوطنية لتعزيز حقوق الإنسان وحمايتها (مبادئ باريس). </w:t>
      </w:r>
    </w:p>
    <w:p w:rsidR="00BD1F3C" w:rsidRPr="00943244" w:rsidRDefault="00BD1F3C" w:rsidP="00BD1F3C">
      <w:pPr>
        <w:pStyle w:val="H23GA"/>
        <w:rPr>
          <w:rFonts w:hint="cs"/>
          <w:rtl/>
        </w:rPr>
      </w:pPr>
      <w:r w:rsidRPr="00943244">
        <w:rPr>
          <w:rFonts w:hint="cs"/>
          <w:rtl/>
        </w:rPr>
        <w:tab/>
      </w:r>
      <w:r w:rsidRPr="00943244">
        <w:rPr>
          <w:rFonts w:hint="cs"/>
          <w:rtl/>
        </w:rPr>
        <w:tab/>
        <w:t>المدافعون عن حقوق الإنسان</w:t>
      </w:r>
    </w:p>
    <w:p w:rsidR="00BD1F3C" w:rsidRDefault="00AF676A" w:rsidP="00AF676A">
      <w:pPr>
        <w:pStyle w:val="SingleTxtGA"/>
        <w:spacing w:line="370" w:lineRule="exact"/>
        <w:rPr>
          <w:rFonts w:hint="cs"/>
          <w:rtl/>
          <w:lang w:val="fr-CH" w:bidi="ar-MA"/>
        </w:rPr>
      </w:pPr>
      <w:r>
        <w:rPr>
          <w:rFonts w:hint="cs"/>
          <w:rtl/>
          <w:lang w:val="fr-CH" w:bidi="ar-MA"/>
        </w:rPr>
        <w:t>(</w:t>
      </w:r>
      <w:r w:rsidR="00BD1F3C">
        <w:rPr>
          <w:rFonts w:hint="cs"/>
          <w:rtl/>
          <w:lang w:val="fr-CH" w:bidi="ar-MA"/>
        </w:rPr>
        <w:t>17</w:t>
      </w:r>
      <w:r>
        <w:rPr>
          <w:rFonts w:hint="cs"/>
          <w:rtl/>
          <w:lang w:val="fr-CH" w:bidi="ar-MA"/>
        </w:rPr>
        <w:t>)</w:t>
      </w:r>
      <w:r w:rsidR="00BD1F3C" w:rsidRPr="00F35A9F">
        <w:rPr>
          <w:rFonts w:hint="cs"/>
          <w:rtl/>
          <w:lang w:val="fr-CH" w:bidi="ar-MA"/>
        </w:rPr>
        <w:tab/>
      </w:r>
      <w:r w:rsidR="00BD1F3C">
        <w:rPr>
          <w:rFonts w:hint="cs"/>
          <w:rtl/>
          <w:lang w:val="fr-CH" w:bidi="ar-MA"/>
        </w:rPr>
        <w:t xml:space="preserve">تعرب اللجنة عن القلق لعدم وجود معلومات عن التدابير </w:t>
      </w:r>
      <w:r w:rsidR="00BD1F3C">
        <w:rPr>
          <w:rtl/>
          <w:lang w:val="fr-CH"/>
        </w:rPr>
        <w:t>التي تتخذها الدولة الطرف لمنع مضايقة المدافعين عن حقوق الإنسان والصحفيين</w:t>
      </w:r>
      <w:r w:rsidR="00BD1F3C">
        <w:rPr>
          <w:rFonts w:hint="cs"/>
          <w:rtl/>
          <w:lang w:val="fr-CH"/>
        </w:rPr>
        <w:t xml:space="preserve"> </w:t>
      </w:r>
      <w:r w:rsidR="00BD1F3C">
        <w:rPr>
          <w:rtl/>
          <w:lang w:val="fr-CH"/>
        </w:rPr>
        <w:t xml:space="preserve">ومقاضاة الجناة ومعاقبتهم. </w:t>
      </w:r>
      <w:r w:rsidR="00BD1F3C">
        <w:rPr>
          <w:rFonts w:hint="cs"/>
          <w:rtl/>
          <w:lang w:val="fr-CH"/>
        </w:rPr>
        <w:t>كما تأسف اللجنة لعدم وجود معلومات بشأن قضية</w:t>
      </w:r>
      <w:r w:rsidR="00BD1F3C">
        <w:rPr>
          <w:rtl/>
          <w:lang w:val="fr-CH"/>
        </w:rPr>
        <w:t xml:space="preserve"> سلطان الخليفي</w:t>
      </w:r>
      <w:r w:rsidR="00BD1F3C">
        <w:rPr>
          <w:rFonts w:hint="cs"/>
          <w:rtl/>
          <w:lang w:val="fr-CH"/>
        </w:rPr>
        <w:t>، مؤسس إحدى منظمات حقوق الإنسان الذي ألقي القبض عليه</w:t>
      </w:r>
      <w:r w:rsidR="00BD1F3C">
        <w:rPr>
          <w:rtl/>
          <w:lang w:val="fr-CH"/>
        </w:rPr>
        <w:t xml:space="preserve"> في آذار/مارس 2011</w:t>
      </w:r>
      <w:r w:rsidR="00BD1F3C">
        <w:rPr>
          <w:rFonts w:hint="cs"/>
          <w:rtl/>
          <w:lang w:val="fr-CH"/>
        </w:rPr>
        <w:t xml:space="preserve"> واحتجز لمدة شهر بدون توجيه اتهام إليه. وبالإضافة إلى ذلك، تلاحظ اللجنة مع القلق الادعاءات بشأن حالات قريبة العهد ألقي القبض فيها على مدافعين آخرين عن حقوق الإنسان واحتجزو</w:t>
      </w:r>
      <w:r w:rsidR="00BD1F3C">
        <w:rPr>
          <w:rFonts w:hint="eastAsia"/>
          <w:rtl/>
          <w:lang w:val="fr-CH"/>
        </w:rPr>
        <w:t>ا</w:t>
      </w:r>
      <w:r w:rsidR="00BD1F3C">
        <w:rPr>
          <w:rFonts w:hint="cs"/>
          <w:rtl/>
          <w:lang w:val="fr-CH"/>
        </w:rPr>
        <w:t xml:space="preserve"> في قطر</w:t>
      </w:r>
      <w:r w:rsidR="00BD1F3C">
        <w:rPr>
          <w:rtl/>
          <w:lang w:val="fr-CH"/>
        </w:rPr>
        <w:t>،</w:t>
      </w:r>
      <w:r w:rsidR="00BD1F3C">
        <w:rPr>
          <w:rFonts w:hint="cs"/>
          <w:rtl/>
          <w:lang w:val="fr-CH"/>
        </w:rPr>
        <w:t xml:space="preserve"> والتي أشير إليها في نداء عاجل موجه من المقرر الخاص المعني بحالة المدافعين عن حقوق الإنسان وثلاثة آخرين من المكلفين</w:t>
      </w:r>
      <w:r w:rsidR="00BD1F3C" w:rsidRPr="0019564B">
        <w:rPr>
          <w:rtl/>
          <w:lang w:val="fr-CH"/>
        </w:rPr>
        <w:t xml:space="preserve"> بولايات في إطار الإجراءات الخاصة</w:t>
      </w:r>
      <w:r w:rsidR="00BD1F3C" w:rsidRPr="0019564B">
        <w:rPr>
          <w:rFonts w:hint="cs"/>
          <w:rtl/>
          <w:lang w:val="fr-CH"/>
        </w:rPr>
        <w:t xml:space="preserve"> </w:t>
      </w:r>
      <w:r w:rsidR="00BD1F3C">
        <w:rPr>
          <w:rFonts w:hint="cs"/>
          <w:rtl/>
          <w:lang w:val="fr-CH"/>
        </w:rPr>
        <w:t>(</w:t>
      </w:r>
      <w:r w:rsidR="00BD1F3C">
        <w:rPr>
          <w:lang w:val="en-CA"/>
        </w:rPr>
        <w:t>A/HRC/18/51</w:t>
      </w:r>
      <w:r w:rsidR="00BD1F3C">
        <w:rPr>
          <w:rFonts w:hint="cs"/>
          <w:rtl/>
          <w:lang w:val="en-CA" w:bidi="ar-EG"/>
        </w:rPr>
        <w:t>، القضية رقم</w:t>
      </w:r>
      <w:r w:rsidR="00BD1F3C">
        <w:rPr>
          <w:rFonts w:hint="eastAsia"/>
          <w:rtl/>
          <w:lang w:val="en-CA" w:bidi="ar-EG"/>
        </w:rPr>
        <w:t> </w:t>
      </w:r>
      <w:r w:rsidR="00BD1F3C">
        <w:rPr>
          <w:lang w:val="en-CA" w:bidi="ar-EG"/>
        </w:rPr>
        <w:t>QAT 1/2011</w:t>
      </w:r>
      <w:r w:rsidR="00BD1F3C">
        <w:rPr>
          <w:rFonts w:hint="cs"/>
          <w:rtl/>
          <w:lang w:val="en-CA" w:bidi="ar-EG"/>
        </w:rPr>
        <w:t xml:space="preserve">). </w:t>
      </w:r>
      <w:r w:rsidR="00BD1F3C">
        <w:rPr>
          <w:rFonts w:hint="cs"/>
          <w:rtl/>
          <w:lang w:val="fr-CH"/>
        </w:rPr>
        <w:t xml:space="preserve">وتأسف اللجنة للدور غير الوافي الذي تؤديه الهيئات غير الحكومية في الدولة الطرف في رصد تنفيذ الاتفاقية على الصعيد الوطني (المواد 13 و14 و16). </w:t>
      </w:r>
    </w:p>
    <w:p w:rsidR="00BD1F3C" w:rsidRPr="00212882" w:rsidRDefault="00BD1F3C" w:rsidP="009F2FC3">
      <w:pPr>
        <w:pStyle w:val="SingleTxtGA"/>
        <w:rPr>
          <w:rFonts w:hint="cs"/>
          <w:b/>
          <w:bCs/>
          <w:rtl/>
          <w:lang w:val="fr-CH" w:bidi="ar-MA"/>
        </w:rPr>
      </w:pPr>
      <w:r>
        <w:rPr>
          <w:rFonts w:hint="cs"/>
          <w:rtl/>
          <w:lang w:eastAsia="ar-SA" w:bidi="ar-MA"/>
        </w:rPr>
        <w:tab/>
      </w:r>
      <w:r w:rsidRPr="00212882">
        <w:rPr>
          <w:b/>
          <w:bCs/>
          <w:rtl/>
          <w:lang w:eastAsia="ar-SA" w:bidi="ar-MA"/>
        </w:rPr>
        <w:t xml:space="preserve">ينبغي </w:t>
      </w:r>
      <w:r w:rsidRPr="00212882">
        <w:rPr>
          <w:rFonts w:hint="cs"/>
          <w:b/>
          <w:bCs/>
          <w:rtl/>
          <w:lang w:eastAsia="ar-SA" w:bidi="ar-MA"/>
        </w:rPr>
        <w:t>ل</w:t>
      </w:r>
      <w:r w:rsidRPr="00212882">
        <w:rPr>
          <w:b/>
          <w:bCs/>
          <w:rtl/>
          <w:lang w:eastAsia="ar-SA" w:bidi="ar-MA"/>
        </w:rPr>
        <w:t xml:space="preserve">لدولة الطرف أن تتخذ جميع </w:t>
      </w:r>
      <w:r w:rsidRPr="00212882">
        <w:rPr>
          <w:rFonts w:hint="cs"/>
          <w:b/>
          <w:bCs/>
          <w:rtl/>
          <w:lang w:eastAsia="ar-SA" w:bidi="ar-MA"/>
        </w:rPr>
        <w:t>التدابير</w:t>
      </w:r>
      <w:r w:rsidRPr="00212882">
        <w:rPr>
          <w:b/>
          <w:bCs/>
          <w:rtl/>
          <w:lang w:eastAsia="ar-SA" w:bidi="ar-MA"/>
        </w:rPr>
        <w:t xml:space="preserve"> اللازمة لضمان حماية المدافعين عن حقوق الإنسان </w:t>
      </w:r>
      <w:r w:rsidRPr="00212882">
        <w:rPr>
          <w:rFonts w:hint="cs"/>
          <w:b/>
          <w:bCs/>
          <w:rtl/>
          <w:lang w:eastAsia="ar-SA" w:bidi="ar-MA"/>
        </w:rPr>
        <w:t xml:space="preserve">من الترهيب </w:t>
      </w:r>
      <w:r w:rsidRPr="00212882">
        <w:rPr>
          <w:b/>
          <w:bCs/>
          <w:rtl/>
          <w:lang w:eastAsia="ar-SA" w:bidi="ar-MA"/>
        </w:rPr>
        <w:t>أو العنف نتيجة لأنشطتهم</w:t>
      </w:r>
      <w:r w:rsidRPr="00212882">
        <w:rPr>
          <w:rFonts w:hint="cs"/>
          <w:b/>
          <w:bCs/>
          <w:rtl/>
          <w:lang w:eastAsia="ar-SA" w:bidi="ar-MA"/>
        </w:rPr>
        <w:t xml:space="preserve">. وبالإضافة إلى ذلك، ينبغي للدولة الطرف أن تضمن </w:t>
      </w:r>
      <w:r w:rsidRPr="00212882">
        <w:rPr>
          <w:b/>
          <w:bCs/>
          <w:rtl/>
          <w:lang w:eastAsia="ar-SA" w:bidi="ar-MA"/>
        </w:rPr>
        <w:t xml:space="preserve">إجراء تحقيق </w:t>
      </w:r>
      <w:r w:rsidRPr="00212882">
        <w:rPr>
          <w:rFonts w:hint="cs"/>
          <w:b/>
          <w:bCs/>
          <w:rtl/>
          <w:lang w:eastAsia="ar-SA" w:bidi="ar-MA"/>
        </w:rPr>
        <w:t>فوري</w:t>
      </w:r>
      <w:r w:rsidRPr="00212882">
        <w:rPr>
          <w:b/>
          <w:bCs/>
          <w:rtl/>
          <w:lang w:eastAsia="ar-SA" w:bidi="ar-MA"/>
        </w:rPr>
        <w:t xml:space="preserve"> ونزيه </w:t>
      </w:r>
      <w:r w:rsidRPr="00212882">
        <w:rPr>
          <w:rFonts w:hint="cs"/>
          <w:b/>
          <w:bCs/>
          <w:rtl/>
          <w:lang w:eastAsia="ar-SA" w:bidi="ar-MA"/>
        </w:rPr>
        <w:t xml:space="preserve">وفعال </w:t>
      </w:r>
      <w:r w:rsidRPr="00212882">
        <w:rPr>
          <w:b/>
          <w:bCs/>
          <w:rtl/>
          <w:lang w:eastAsia="ar-SA" w:bidi="ar-MA"/>
        </w:rPr>
        <w:t>ومعاقبة مرتكبي أفعال</w:t>
      </w:r>
      <w:r w:rsidRPr="00212882">
        <w:rPr>
          <w:rFonts w:hint="cs"/>
          <w:b/>
          <w:bCs/>
          <w:rtl/>
          <w:lang w:eastAsia="ar-SA" w:bidi="ar-MA"/>
        </w:rPr>
        <w:t xml:space="preserve"> الترهيب أو العنف هذه بعقوبة مناسبة</w:t>
      </w:r>
      <w:r w:rsidRPr="00212882">
        <w:rPr>
          <w:b/>
          <w:bCs/>
          <w:rtl/>
          <w:lang w:eastAsia="ar-SA" w:bidi="ar-MA"/>
        </w:rPr>
        <w:t xml:space="preserve">. </w:t>
      </w:r>
      <w:r w:rsidRPr="00212882">
        <w:rPr>
          <w:rFonts w:hint="cs"/>
          <w:b/>
          <w:bCs/>
          <w:rtl/>
          <w:lang w:eastAsia="ar-SA" w:bidi="ar-MA"/>
        </w:rPr>
        <w:t xml:space="preserve">وينبغي أن تتخذ تدابير إيجابية لتشجيع تكوين هيئات غير حكومية مستقلة في الدولة الطرف لرصد </w:t>
      </w:r>
      <w:r>
        <w:rPr>
          <w:rFonts w:hint="cs"/>
          <w:b/>
          <w:bCs/>
          <w:rtl/>
          <w:lang w:eastAsia="ar-SA" w:bidi="ar-MA"/>
        </w:rPr>
        <w:t xml:space="preserve">وتعزيز وحماية </w:t>
      </w:r>
      <w:r w:rsidRPr="00212882">
        <w:rPr>
          <w:rFonts w:hint="cs"/>
          <w:b/>
          <w:bCs/>
          <w:rtl/>
          <w:lang w:eastAsia="ar-SA" w:bidi="ar-MA"/>
        </w:rPr>
        <w:t xml:space="preserve">حقوق الإنسان العالمية </w:t>
      </w:r>
      <w:r>
        <w:rPr>
          <w:rFonts w:hint="cs"/>
          <w:b/>
          <w:bCs/>
          <w:rtl/>
          <w:lang w:eastAsia="ar-SA" w:bidi="ar-MA"/>
        </w:rPr>
        <w:t>المكفولة</w:t>
      </w:r>
      <w:r w:rsidR="00AF676A">
        <w:rPr>
          <w:rFonts w:hint="eastAsia"/>
          <w:b/>
          <w:bCs/>
          <w:rtl/>
          <w:lang w:eastAsia="ar-SA" w:bidi="ar-MA"/>
        </w:rPr>
        <w:t> </w:t>
      </w:r>
      <w:r w:rsidRPr="00212882">
        <w:rPr>
          <w:rFonts w:hint="cs"/>
          <w:b/>
          <w:bCs/>
          <w:rtl/>
          <w:lang w:eastAsia="ar-SA" w:bidi="ar-MA"/>
        </w:rPr>
        <w:t>للجميع</w:t>
      </w:r>
      <w:r>
        <w:rPr>
          <w:rFonts w:hint="cs"/>
          <w:b/>
          <w:bCs/>
          <w:rtl/>
          <w:lang w:eastAsia="ar-SA" w:bidi="ar-MA"/>
        </w:rPr>
        <w:t>.</w:t>
      </w:r>
    </w:p>
    <w:p w:rsidR="00BD1F3C" w:rsidRPr="00943244" w:rsidRDefault="00BD1F3C" w:rsidP="009F2FC3">
      <w:pPr>
        <w:pStyle w:val="H23GA"/>
        <w:rPr>
          <w:rFonts w:hint="cs"/>
          <w:rtl/>
        </w:rPr>
      </w:pPr>
      <w:r w:rsidRPr="00943244">
        <w:rPr>
          <w:rFonts w:hint="cs"/>
          <w:rtl/>
        </w:rPr>
        <w:tab/>
      </w:r>
      <w:r w:rsidRPr="00943244">
        <w:rPr>
          <w:rFonts w:hint="cs"/>
          <w:rtl/>
        </w:rPr>
        <w:tab/>
        <w:t>العمال المهاجرون</w:t>
      </w:r>
    </w:p>
    <w:p w:rsidR="00BD1F3C" w:rsidRDefault="00AF676A" w:rsidP="009F2FC3">
      <w:pPr>
        <w:pStyle w:val="SingleTxtGA"/>
        <w:rPr>
          <w:rFonts w:hint="cs"/>
          <w:rtl/>
          <w:lang w:val="fr-CH" w:bidi="ar-MA"/>
        </w:rPr>
      </w:pPr>
      <w:r>
        <w:rPr>
          <w:rFonts w:hint="cs"/>
          <w:rtl/>
          <w:lang w:val="fr-CH" w:bidi="ar-MA"/>
        </w:rPr>
        <w:t>(</w:t>
      </w:r>
      <w:r w:rsidR="00BD1F3C">
        <w:rPr>
          <w:rFonts w:hint="cs"/>
          <w:rtl/>
          <w:lang w:val="fr-CH" w:bidi="ar-MA"/>
        </w:rPr>
        <w:t>18</w:t>
      </w:r>
      <w:r>
        <w:rPr>
          <w:rFonts w:hint="cs"/>
          <w:rtl/>
          <w:lang w:val="fr-CH" w:bidi="ar-MA"/>
        </w:rPr>
        <w:t>)</w:t>
      </w:r>
      <w:r w:rsidR="00BD1F3C">
        <w:rPr>
          <w:rFonts w:hint="cs"/>
          <w:rtl/>
          <w:lang w:val="fr-CH" w:bidi="ar-MA"/>
        </w:rPr>
        <w:tab/>
        <w:t>تشعر اللجنة بالقلق العميق إزاء التقارير التي تفيد بانتشار حالات تعذيب أو سوء معاملة أو إيذاء للعمال المهاجرين، وخاصة بموجب نظام الكفالة (الكفيل)، والقيود المفروضة على تقديم هؤلاء العمال لشكاوى ضد أرباب عملهم وعدم وجود معلومات عن الحالات التي عوقب فيها الكفلاء بسبب تعذيب أو سوء معاملة عمال مهاجرين. وتلاحظ اللجنة الشواغل التي أثارتها لجنة القضاء على التمييز العنصري (</w:t>
      </w:r>
      <w:r w:rsidR="00BD1F3C">
        <w:rPr>
          <w:lang w:val="en-CA" w:bidi="ar-MA"/>
        </w:rPr>
        <w:t>CERD/C/QAT/CO/13-16</w:t>
      </w:r>
      <w:r w:rsidR="00BD1F3C">
        <w:rPr>
          <w:rFonts w:hint="cs"/>
          <w:rtl/>
          <w:lang w:val="en-CA" w:bidi="ar-MA"/>
        </w:rPr>
        <w:t>، الفقرة</w:t>
      </w:r>
      <w:r w:rsidR="00BD1F3C">
        <w:rPr>
          <w:rFonts w:hint="eastAsia"/>
          <w:rtl/>
          <w:lang w:val="en-CA" w:bidi="ar-MA"/>
        </w:rPr>
        <w:t> </w:t>
      </w:r>
      <w:r w:rsidR="00BD1F3C">
        <w:rPr>
          <w:rFonts w:hint="cs"/>
          <w:rtl/>
          <w:lang w:val="en-CA" w:bidi="ar-MA"/>
        </w:rPr>
        <w:t>15</w:t>
      </w:r>
      <w:r w:rsidR="00BD1F3C">
        <w:rPr>
          <w:rFonts w:hint="cs"/>
          <w:rtl/>
          <w:lang w:val="en-CA" w:bidi="ar-EG"/>
        </w:rPr>
        <w:t>)</w:t>
      </w:r>
      <w:r w:rsidR="00BD1F3C">
        <w:rPr>
          <w:rFonts w:hint="cs"/>
          <w:rtl/>
          <w:lang w:val="fr-CH" w:bidi="ar-MA"/>
        </w:rPr>
        <w:t xml:space="preserve"> والتي تفيد بأنه </w:t>
      </w:r>
      <w:r w:rsidR="00BD1F3C">
        <w:rPr>
          <w:sz w:val="30"/>
          <w:rtl/>
          <w:lang w:eastAsia="ar-SA"/>
        </w:rPr>
        <w:t xml:space="preserve">رغم الأحكام القانونية التي تحظر بعض السلوكيات، مثل قيام الكفلاء بحجز جوازات السفر والامتناع عن دفع الأجور، </w:t>
      </w:r>
      <w:r w:rsidR="00BD1F3C">
        <w:rPr>
          <w:rFonts w:hint="cs"/>
          <w:sz w:val="30"/>
          <w:rtl/>
          <w:lang w:eastAsia="ar-SA"/>
        </w:rPr>
        <w:t xml:space="preserve">فإن جوهر نظام الكفيل </w:t>
      </w:r>
      <w:r w:rsidR="00BD1F3C">
        <w:rPr>
          <w:sz w:val="30"/>
          <w:rtl/>
          <w:lang w:eastAsia="ar-SA"/>
        </w:rPr>
        <w:t xml:space="preserve">يزيد من تبعية العمال المهاجرين للكفلاء، وهذا يعرضهم لشتى أشكال الاستغلال </w:t>
      </w:r>
      <w:r w:rsidR="00BD1F3C">
        <w:rPr>
          <w:rFonts w:hint="cs"/>
          <w:sz w:val="30"/>
          <w:rtl/>
          <w:lang w:eastAsia="ar-SA"/>
        </w:rPr>
        <w:t>وسوء</w:t>
      </w:r>
      <w:r w:rsidR="00BD1F3C">
        <w:rPr>
          <w:sz w:val="30"/>
          <w:rtl/>
          <w:lang w:eastAsia="ar-SA"/>
        </w:rPr>
        <w:t xml:space="preserve"> المعاملة</w:t>
      </w:r>
      <w:r w:rsidR="00BD1F3C">
        <w:rPr>
          <w:rFonts w:hint="cs"/>
          <w:sz w:val="30"/>
          <w:rtl/>
          <w:lang w:eastAsia="ar-SA"/>
        </w:rPr>
        <w:t>. وبالإضافة إلى ذلك، تأسف اللجنة لعدم وجود تشريع بشأن العمل يحمي العمل المنزلي وتلاحظ أن هناك مشروع قانون قيد الاستعراض بشأن خدم المنازل. وتأسف اللجنة لعدم تقديم الدولة الطرف لمعلومات بشأن شكاوى العنف التي قدمتها خادمات المنازل المهاجرات أثناء الفترة المشمولة بالتقرير وما إذا كانت هذه الحالات أدت إلى إجراء تحقيقات مع الجناة وملاحقتهم، وخاصة في ضوء المعلومات المعروضة أمام اللجنة والتي تتضمن العديد من الادعاءات المقدمة من عاملات مهاجرات بشأن تعرضهن إلى إيذاء جسدي وعنف جنسي واغتصاب ومحاولات اغتصاب (المواد 2 و12 و14 و16).</w:t>
      </w:r>
    </w:p>
    <w:p w:rsidR="00BD1F3C" w:rsidRPr="00212882" w:rsidRDefault="00BD1F3C" w:rsidP="009F2FC3">
      <w:pPr>
        <w:pStyle w:val="SingleTxtGA"/>
        <w:rPr>
          <w:rFonts w:hint="cs"/>
          <w:b/>
          <w:bCs/>
          <w:rtl/>
          <w:lang w:val="fr-CH" w:bidi="ar-MA"/>
        </w:rPr>
      </w:pPr>
      <w:r>
        <w:rPr>
          <w:rFonts w:hint="cs"/>
          <w:rtl/>
          <w:lang w:val="fr-CH" w:bidi="ar-MA"/>
        </w:rPr>
        <w:tab/>
      </w:r>
      <w:r w:rsidRPr="00212882">
        <w:rPr>
          <w:rFonts w:hint="cs"/>
          <w:b/>
          <w:bCs/>
          <w:rtl/>
          <w:lang w:val="fr-CH" w:bidi="ar-MA"/>
        </w:rPr>
        <w:t>ينبغي للدولة الطرف أن تعزز جهودها لمنح الحماية القانونية للعمال المهاجرين، بمن فيهم الخادمات في المنازل، العاملين في أراضيها من التعذيب وسوء المعاملة والإيذاء وأن تضمن سبل اللجوء إلى العدالة. وفي هذا الصدد، ينبغي للدولة الطرف أن تقوم بما</w:t>
      </w:r>
      <w:r>
        <w:rPr>
          <w:rFonts w:hint="eastAsia"/>
          <w:b/>
          <w:bCs/>
          <w:rtl/>
          <w:lang w:val="fr-CH" w:bidi="ar-MA"/>
        </w:rPr>
        <w:t> </w:t>
      </w:r>
      <w:r w:rsidRPr="00212882">
        <w:rPr>
          <w:rFonts w:hint="cs"/>
          <w:b/>
          <w:bCs/>
          <w:rtl/>
          <w:lang w:val="fr-CH" w:bidi="ar-MA"/>
        </w:rPr>
        <w:t>يلي:</w:t>
      </w:r>
    </w:p>
    <w:p w:rsidR="00BD1F3C" w:rsidRPr="00212882" w:rsidRDefault="00BD1F3C" w:rsidP="009F2FC3">
      <w:pPr>
        <w:pStyle w:val="SingleTxtGA"/>
        <w:rPr>
          <w:rFonts w:hint="cs"/>
          <w:b/>
          <w:bCs/>
          <w:rtl/>
          <w:lang w:val="fr-CH"/>
        </w:rPr>
      </w:pPr>
      <w:r w:rsidRPr="00212882">
        <w:rPr>
          <w:rFonts w:hint="cs"/>
          <w:b/>
          <w:bCs/>
          <w:rtl/>
          <w:lang w:val="fr-CH" w:bidi="ar-MA"/>
        </w:rPr>
        <w:tab/>
        <w:t>(أ)</w:t>
      </w:r>
      <w:r w:rsidRPr="00212882">
        <w:rPr>
          <w:rFonts w:hint="cs"/>
          <w:b/>
          <w:bCs/>
          <w:rtl/>
          <w:lang w:val="fr-CH" w:bidi="ar-MA"/>
        </w:rPr>
        <w:tab/>
      </w:r>
      <w:r w:rsidRPr="00212882">
        <w:rPr>
          <w:rFonts w:hint="cs"/>
          <w:b/>
          <w:bCs/>
          <w:rtl/>
          <w:lang w:val="fr-CH"/>
        </w:rPr>
        <w:t>اعتماد</w:t>
      </w:r>
      <w:r w:rsidRPr="00212882">
        <w:rPr>
          <w:b/>
          <w:bCs/>
          <w:rtl/>
          <w:lang w:val="fr-CH"/>
        </w:rPr>
        <w:t xml:space="preserve"> تشريعات عمل على وجه السرعة تشمل العمل في الخدمة المنزلية وأن تمنح خدم المنازل المهاجرين الحماية القانونية من الاستغلال وسوء المعاملة والإيذاء</w:t>
      </w:r>
      <w:r w:rsidRPr="00212882">
        <w:rPr>
          <w:rFonts w:hint="cs"/>
          <w:b/>
          <w:bCs/>
          <w:rtl/>
          <w:lang w:val="fr-CH"/>
        </w:rPr>
        <w:t>؛</w:t>
      </w:r>
      <w:r w:rsidRPr="00212882">
        <w:rPr>
          <w:b/>
          <w:bCs/>
          <w:rtl/>
          <w:lang w:val="fr-CH"/>
        </w:rPr>
        <w:t xml:space="preserve"> </w:t>
      </w:r>
    </w:p>
    <w:p w:rsidR="00BD1F3C" w:rsidRPr="00F909D4" w:rsidRDefault="00BD1F3C" w:rsidP="009F2FC3">
      <w:pPr>
        <w:pStyle w:val="SingleTxtGA"/>
        <w:rPr>
          <w:rFonts w:hint="cs"/>
          <w:b/>
          <w:bCs/>
          <w:rtl/>
          <w:lang w:val="en-CA" w:bidi="ar-EG"/>
        </w:rPr>
      </w:pPr>
      <w:r>
        <w:rPr>
          <w:rFonts w:hint="cs"/>
          <w:b/>
          <w:bCs/>
          <w:rtl/>
          <w:lang w:val="fr-CH"/>
        </w:rPr>
        <w:tab/>
        <w:t>(ب)</w:t>
      </w:r>
      <w:r>
        <w:rPr>
          <w:rFonts w:hint="cs"/>
          <w:b/>
          <w:bCs/>
          <w:rtl/>
          <w:lang w:val="fr-CH"/>
        </w:rPr>
        <w:tab/>
        <w:t>النظر في إلغاء نظام الكفيل لجميع العمال المهاجرين، على النحو الذي أوصى به المقرر الخاص المعني بالاتجار بالأشخاص، لا سيما النساء والأطفال (</w:t>
      </w:r>
      <w:r>
        <w:rPr>
          <w:b/>
          <w:bCs/>
          <w:lang w:val="en-CA"/>
        </w:rPr>
        <w:t>A/HRC/4/23/Add.2</w:t>
      </w:r>
      <w:r>
        <w:rPr>
          <w:rFonts w:hint="cs"/>
          <w:b/>
          <w:bCs/>
          <w:rtl/>
          <w:lang w:val="en-CA" w:bidi="ar-EG"/>
        </w:rPr>
        <w:t>، الفقرة 95)؛</w:t>
      </w:r>
    </w:p>
    <w:p w:rsidR="00BD1F3C" w:rsidRDefault="00BD1F3C" w:rsidP="00BD1F3C">
      <w:pPr>
        <w:pStyle w:val="SingleTxtGA"/>
        <w:rPr>
          <w:b/>
          <w:bCs/>
          <w:lang w:val="fr-CH"/>
        </w:rPr>
      </w:pPr>
      <w:r>
        <w:rPr>
          <w:rFonts w:hint="cs"/>
          <w:b/>
          <w:bCs/>
          <w:rtl/>
          <w:lang w:val="fr-CH"/>
        </w:rPr>
        <w:tab/>
        <w:t>(ج)</w:t>
      </w:r>
      <w:r>
        <w:rPr>
          <w:rFonts w:hint="cs"/>
          <w:b/>
          <w:bCs/>
          <w:rtl/>
          <w:lang w:val="fr-CH"/>
        </w:rPr>
        <w:tab/>
        <w:t xml:space="preserve">توفير بيانات عن شكاوى سوء المعاملة التي يقدمها العمال المهاجرون إلى السلطات </w:t>
      </w:r>
      <w:r>
        <w:rPr>
          <w:b/>
          <w:bCs/>
          <w:rtl/>
          <w:lang w:val="fr-CH"/>
        </w:rPr>
        <w:t xml:space="preserve">والإجراءات المتخذة لتسوية الحالات </w:t>
      </w:r>
      <w:r>
        <w:rPr>
          <w:rFonts w:hint="cs"/>
          <w:b/>
          <w:bCs/>
          <w:rtl/>
          <w:lang w:val="fr-CH"/>
        </w:rPr>
        <w:t xml:space="preserve">وسبل الإنصاف المقدمة إلى الضحايا والعقوبة المفروضة على أرباب العمل المسؤولين عن تلك الأفعال. </w:t>
      </w:r>
    </w:p>
    <w:p w:rsidR="00BD1F3C" w:rsidRPr="00943244" w:rsidRDefault="00BD1F3C" w:rsidP="00BD1F3C">
      <w:pPr>
        <w:pStyle w:val="H23GA"/>
        <w:rPr>
          <w:rFonts w:hint="cs"/>
          <w:rtl/>
        </w:rPr>
      </w:pPr>
      <w:r w:rsidRPr="00943244">
        <w:rPr>
          <w:rFonts w:hint="cs"/>
          <w:rtl/>
        </w:rPr>
        <w:tab/>
      </w:r>
      <w:r w:rsidRPr="00943244">
        <w:rPr>
          <w:rFonts w:hint="cs"/>
          <w:rtl/>
        </w:rPr>
        <w:tab/>
        <w:t>العنف ضد النساء، بما في ذلك العنف المنزلي</w:t>
      </w:r>
    </w:p>
    <w:p w:rsidR="00BD1F3C" w:rsidRDefault="00AF676A" w:rsidP="00AF676A">
      <w:pPr>
        <w:pStyle w:val="SingleTxtGA"/>
        <w:rPr>
          <w:rFonts w:hint="cs"/>
          <w:rtl/>
          <w:lang w:val="fr-CH"/>
        </w:rPr>
      </w:pPr>
      <w:r>
        <w:rPr>
          <w:rFonts w:hint="cs"/>
          <w:rtl/>
          <w:lang w:val="fr-CH" w:bidi="ar-MA"/>
        </w:rPr>
        <w:t>(</w:t>
      </w:r>
      <w:r w:rsidR="00BD1F3C">
        <w:rPr>
          <w:rFonts w:hint="cs"/>
          <w:rtl/>
          <w:lang w:val="fr-CH" w:bidi="ar-MA"/>
        </w:rPr>
        <w:t>19</w:t>
      </w:r>
      <w:r>
        <w:rPr>
          <w:rFonts w:hint="cs"/>
          <w:rtl/>
          <w:lang w:val="fr-CH" w:bidi="ar-MA"/>
        </w:rPr>
        <w:t>)</w:t>
      </w:r>
      <w:r w:rsidR="00BD1F3C">
        <w:rPr>
          <w:rFonts w:hint="cs"/>
          <w:rtl/>
          <w:lang w:val="fr-CH" w:bidi="ar-MA"/>
        </w:rPr>
        <w:tab/>
        <w:t xml:space="preserve">تلاحظ اللجنة على نحو يبعث على التشجيع شتى التدابير التي بدأت تتخذها الدولة الطرف، بما في ذلك المؤسسة القطرية لحماية المرأة والطفل، مثل إطلاق خط ساخن وتوفير مآوي ومساعدة قانونية لبعض الضحايا. غير أن اللجنة تعرب عن قلقها إزاء استمرار العنف ضد النساء، بما في ذلك العنف المنزلي والعنف الجنسي ضد الخادمات، وعلى النحو المشار إليه في هذه الملاحظات الختامية، عدم وجود معلومات إحصائية </w:t>
      </w:r>
      <w:r w:rsidR="00BD1F3C">
        <w:rPr>
          <w:rtl/>
          <w:lang w:val="fr-CH"/>
        </w:rPr>
        <w:t xml:space="preserve">عن العدد الإجمالي لشكاوى العنف المنزلي المبلغ عنه </w:t>
      </w:r>
      <w:r w:rsidR="00BD1F3C">
        <w:rPr>
          <w:rFonts w:hint="cs"/>
          <w:rtl/>
          <w:lang w:val="fr-CH"/>
        </w:rPr>
        <w:t>و</w:t>
      </w:r>
      <w:r w:rsidR="00BD1F3C">
        <w:rPr>
          <w:rtl/>
          <w:lang w:val="fr-CH"/>
        </w:rPr>
        <w:t>التحقيقات التي جرت والإدانات والعقوبات التي صدرت (</w:t>
      </w:r>
      <w:r w:rsidR="00BD1F3C">
        <w:rPr>
          <w:rFonts w:hint="cs"/>
          <w:rtl/>
          <w:lang w:val="fr-CH"/>
        </w:rPr>
        <w:t>المواد</w:t>
      </w:r>
      <w:r w:rsidR="00BD1F3C">
        <w:rPr>
          <w:rtl/>
          <w:lang w:val="fr-CH"/>
        </w:rPr>
        <w:t xml:space="preserve"> 2 و1</w:t>
      </w:r>
      <w:r w:rsidR="00BD1F3C">
        <w:rPr>
          <w:rFonts w:hint="cs"/>
          <w:rtl/>
          <w:lang w:val="fr-CH"/>
        </w:rPr>
        <w:t>2 و14 و16</w:t>
      </w:r>
      <w:r w:rsidR="00BD1F3C">
        <w:rPr>
          <w:rtl/>
          <w:lang w:val="fr-CH"/>
        </w:rPr>
        <w:t>).</w:t>
      </w:r>
    </w:p>
    <w:p w:rsidR="00BD1F3C" w:rsidRPr="00212882" w:rsidRDefault="00BD1F3C" w:rsidP="00BD1F3C">
      <w:pPr>
        <w:pStyle w:val="SingleTxtGA"/>
        <w:rPr>
          <w:rFonts w:hint="cs"/>
          <w:b/>
          <w:bCs/>
          <w:rtl/>
          <w:lang w:val="fr-CH"/>
        </w:rPr>
      </w:pPr>
      <w:r>
        <w:rPr>
          <w:rFonts w:hint="cs"/>
          <w:rtl/>
          <w:lang w:val="fr-CH"/>
        </w:rPr>
        <w:tab/>
      </w:r>
      <w:r w:rsidRPr="00212882">
        <w:rPr>
          <w:rFonts w:hint="cs"/>
          <w:b/>
          <w:bCs/>
          <w:rtl/>
          <w:lang w:val="fr-CH"/>
        </w:rPr>
        <w:t>ينبغي للدولة الطرف أن تعزز جهودها لمنع العنف ضد النساء، بما في ذلك العنف المنزلي والجنسي عن طريق جملة أمور، من بينها:</w:t>
      </w:r>
    </w:p>
    <w:p w:rsidR="00BD1F3C" w:rsidRDefault="00BD1F3C" w:rsidP="00BD1F3C">
      <w:pPr>
        <w:pStyle w:val="SingleTxtGA"/>
        <w:rPr>
          <w:rFonts w:hint="cs"/>
          <w:b/>
          <w:bCs/>
          <w:rtl/>
          <w:lang w:val="fr-CH"/>
        </w:rPr>
      </w:pPr>
      <w:r>
        <w:rPr>
          <w:rFonts w:hint="cs"/>
          <w:b/>
          <w:bCs/>
          <w:rtl/>
          <w:lang w:val="fr-CH"/>
        </w:rPr>
        <w:tab/>
        <w:t>(أ)</w:t>
      </w:r>
      <w:r>
        <w:rPr>
          <w:rFonts w:hint="cs"/>
          <w:b/>
          <w:bCs/>
          <w:rtl/>
          <w:lang w:val="fr-CH"/>
        </w:rPr>
        <w:tab/>
        <w:t>وضع تدابير فعالة لضمان حق الضحايا في تقديم شكاوى فيما يتعلق بانتهاكات الاتفاقية و</w:t>
      </w:r>
      <w:r>
        <w:rPr>
          <w:rFonts w:hint="cs"/>
          <w:b/>
          <w:bCs/>
          <w:rtl/>
          <w:lang w:val="fr-CH" w:bidi="ar-EG"/>
        </w:rPr>
        <w:t xml:space="preserve">إعمال حقوقهم غير القابلة للتصرف فوراً </w:t>
      </w:r>
      <w:r>
        <w:rPr>
          <w:rFonts w:hint="cs"/>
          <w:b/>
          <w:bCs/>
          <w:rtl/>
          <w:lang w:val="fr-CH"/>
        </w:rPr>
        <w:t>وبدون تعذيب أو سوء معاملة أو ترهيب نتيجة شكواهم. وينبغي للدولة الطرف أن تعمل مع الهيئات غير الحكومية أو الدولية المعنية، بما في ذلك السفارات الأجنبية، لهذا الغرض وإبلاغ اللجنة بجهودها لتقييم مدى إمكانية الوصول إلى مثل هذا النظام وفعاليته؛</w:t>
      </w:r>
    </w:p>
    <w:p w:rsidR="00BD1F3C" w:rsidRDefault="00BD1F3C" w:rsidP="00BD1F3C">
      <w:pPr>
        <w:pStyle w:val="SingleTxtGA"/>
        <w:rPr>
          <w:rFonts w:hint="cs"/>
          <w:b/>
          <w:bCs/>
          <w:rtl/>
          <w:lang w:val="fr-CH"/>
        </w:rPr>
      </w:pPr>
      <w:r>
        <w:rPr>
          <w:rFonts w:hint="cs"/>
          <w:b/>
          <w:bCs/>
          <w:rtl/>
          <w:lang w:val="fr-CH"/>
        </w:rPr>
        <w:tab/>
        <w:t>(ب)</w:t>
      </w:r>
      <w:r>
        <w:rPr>
          <w:rFonts w:hint="cs"/>
          <w:b/>
          <w:bCs/>
          <w:rtl/>
          <w:lang w:val="fr-CH"/>
        </w:rPr>
        <w:tab/>
        <w:t>ضمان مساءلة جميع مرتكبي مثل هذه الأفعال عن طريق إجراء تحقيقات فورية ونزيهة وفعالة في الشكاوى وملاحقة مرتكبي أعمال العنف هذه ومعاقبتهم بعقوبات مناسبة؛</w:t>
      </w:r>
    </w:p>
    <w:p w:rsidR="00BD1F3C" w:rsidRDefault="00BD1F3C" w:rsidP="00BD1F3C">
      <w:pPr>
        <w:pStyle w:val="SingleTxtGA"/>
        <w:rPr>
          <w:rFonts w:hint="cs"/>
          <w:b/>
          <w:bCs/>
          <w:rtl/>
          <w:lang w:val="fr-CH"/>
        </w:rPr>
      </w:pPr>
      <w:r>
        <w:rPr>
          <w:rFonts w:hint="cs"/>
          <w:b/>
          <w:bCs/>
          <w:rtl/>
          <w:lang w:val="fr-CH"/>
        </w:rPr>
        <w:tab/>
        <w:t>(ج)</w:t>
      </w:r>
      <w:r>
        <w:rPr>
          <w:rFonts w:hint="cs"/>
          <w:b/>
          <w:bCs/>
          <w:rtl/>
          <w:lang w:val="fr-CH"/>
        </w:rPr>
        <w:tab/>
        <w:t>ضمان إتاحة سبل إنصاف وتعويض مناسبة لجميع ضحايا العنف ضد النساء، بما في ذلك التعويض والوسائل اللازمة لإعادة التأهيل الكامل قدر الإمكان.</w:t>
      </w:r>
    </w:p>
    <w:p w:rsidR="00BD1F3C" w:rsidRPr="00943244" w:rsidRDefault="00BD1F3C" w:rsidP="00BD1F3C">
      <w:pPr>
        <w:pStyle w:val="H23GA"/>
        <w:rPr>
          <w:rFonts w:hint="cs"/>
          <w:rtl/>
        </w:rPr>
      </w:pPr>
      <w:r>
        <w:rPr>
          <w:rFonts w:hint="cs"/>
          <w:rtl/>
        </w:rPr>
        <w:tab/>
      </w:r>
      <w:r>
        <w:rPr>
          <w:rFonts w:hint="cs"/>
          <w:rtl/>
        </w:rPr>
        <w:tab/>
        <w:t>الاتجار</w:t>
      </w:r>
      <w:r w:rsidRPr="00943244">
        <w:rPr>
          <w:rFonts w:hint="cs"/>
          <w:rtl/>
        </w:rPr>
        <w:t xml:space="preserve"> بالأشخاص</w:t>
      </w:r>
    </w:p>
    <w:p w:rsidR="00BD1F3C" w:rsidRDefault="00AF676A" w:rsidP="00AF676A">
      <w:pPr>
        <w:pStyle w:val="SingleTxtGA"/>
        <w:rPr>
          <w:rFonts w:hint="cs"/>
          <w:rtl/>
          <w:lang w:val="fr-CH"/>
        </w:rPr>
      </w:pPr>
      <w:r>
        <w:rPr>
          <w:rFonts w:hint="cs"/>
          <w:rtl/>
          <w:lang w:val="fr-CH"/>
        </w:rPr>
        <w:t>(</w:t>
      </w:r>
      <w:r w:rsidR="00BD1F3C">
        <w:rPr>
          <w:rFonts w:hint="cs"/>
          <w:rtl/>
          <w:lang w:val="fr-CH"/>
        </w:rPr>
        <w:t>20</w:t>
      </w:r>
      <w:r>
        <w:rPr>
          <w:rFonts w:hint="cs"/>
          <w:rtl/>
          <w:lang w:val="fr-CH"/>
        </w:rPr>
        <w:t>)</w:t>
      </w:r>
      <w:r w:rsidR="00BD1F3C">
        <w:rPr>
          <w:rFonts w:hint="cs"/>
          <w:rtl/>
          <w:lang w:val="fr-CH"/>
        </w:rPr>
        <w:tab/>
        <w:t>في حين ترحب اللجنة بشتى التدابير التي اتخذتها الدولة الطرف، وخاصة المؤسسة القطرية لمكافحة الاتجار بالبشر، مثل اعتماد المبادرة العربية لمكافحة الاتجار بالبشر، فإنها تشعر بالقلق من أن قطر لا تزال وجهةً للرجال والنساء الذين يخضعون للعمالة القسرية والبغاء القسري. كما تأسف اللجنة لعدم وجود معلومات عن عدد الشكاوى والتحقيقات والملاحقات والإدانات لمرتكبي أفعال الاتجار بالبشر. وفي حين تلاحظ اللجنة سن القانون رقم 15 لسنة 2011 بشأن الاتجار بالبشر، فإنها تشعر بالقلق من أن المادة 5 من القانون المشار إليه أعلاه تسمح بإعادة الضحايا إلى بلدانهم بدون ضمان إجراء تقييم للمخاطر التي يمكن أن يتعرضوا لها عند عودتهم، حسبما أثارت ذلك اللجنة الوطنية القطرية لحقوق الإنسان في تقريرها السنوي لعام 2011 (المواد 2 و3 و4 و16).</w:t>
      </w:r>
    </w:p>
    <w:p w:rsidR="00BD1F3C" w:rsidRDefault="00BD1F3C" w:rsidP="00BD1F3C">
      <w:pPr>
        <w:pStyle w:val="SingleTxtGA"/>
        <w:rPr>
          <w:rFonts w:hint="cs"/>
          <w:b/>
          <w:bCs/>
          <w:rtl/>
          <w:lang w:val="fr-CH"/>
        </w:rPr>
      </w:pPr>
      <w:r>
        <w:rPr>
          <w:rFonts w:hint="cs"/>
          <w:b/>
          <w:bCs/>
          <w:rtl/>
          <w:lang w:val="fr-CH"/>
        </w:rPr>
        <w:tab/>
        <w:t xml:space="preserve">ينبغي للدولة الطرف أن تتخذ جميع التدابير اللازمة من أجل: </w:t>
      </w:r>
    </w:p>
    <w:p w:rsidR="00BD1F3C" w:rsidRDefault="00BD1F3C" w:rsidP="00BD1F3C">
      <w:pPr>
        <w:pStyle w:val="SingleTxtGA"/>
        <w:rPr>
          <w:rFonts w:hint="cs"/>
          <w:b/>
          <w:bCs/>
          <w:rtl/>
          <w:lang w:val="fr-CH"/>
        </w:rPr>
      </w:pPr>
      <w:r>
        <w:rPr>
          <w:rFonts w:hint="cs"/>
          <w:b/>
          <w:bCs/>
          <w:rtl/>
          <w:lang w:val="fr-CH"/>
        </w:rPr>
        <w:tab/>
        <w:t>(أ)</w:t>
      </w:r>
      <w:r>
        <w:rPr>
          <w:rFonts w:hint="cs"/>
          <w:b/>
          <w:bCs/>
          <w:rtl/>
          <w:lang w:val="fr-CH"/>
        </w:rPr>
        <w:tab/>
        <w:t>تنفيذ القوانين الحالية لمكافحة الاتجار بالبشر تنفيذاً فعالاً، بما في ذلك القانون رقم 15 لسنة 2011؛</w:t>
      </w:r>
    </w:p>
    <w:p w:rsidR="00BD1F3C" w:rsidRDefault="00BD1F3C" w:rsidP="00BD1F3C">
      <w:pPr>
        <w:pStyle w:val="SingleTxtGA"/>
        <w:rPr>
          <w:rFonts w:hint="cs"/>
          <w:bCs/>
          <w:spacing w:val="2"/>
          <w:sz w:val="30"/>
          <w:rtl/>
        </w:rPr>
      </w:pPr>
      <w:r>
        <w:rPr>
          <w:rFonts w:hint="cs"/>
          <w:b/>
          <w:bCs/>
          <w:rtl/>
          <w:lang w:val="fr-CH"/>
        </w:rPr>
        <w:tab/>
        <w:t>(ب)</w:t>
      </w:r>
      <w:r>
        <w:rPr>
          <w:rFonts w:hint="cs"/>
          <w:b/>
          <w:bCs/>
          <w:rtl/>
          <w:lang w:val="fr-CH"/>
        </w:rPr>
        <w:tab/>
        <w:t>ضمان وجود إجراءات منهجية لتحديد ضحايا الاتجار بالبشر من بين المجموعات الضعيفة، مثل الأشخاص الذين يلقى القبض عليهم لارتكابهم انتهاكات تتعلق بالهجرة أو البغاء،</w:t>
      </w:r>
      <w:r>
        <w:rPr>
          <w:rFonts w:hint="cs"/>
          <w:b/>
          <w:bCs/>
          <w:rtl/>
          <w:lang w:val="fr-CH" w:bidi="ar-EG"/>
        </w:rPr>
        <w:t xml:space="preserve"> و</w:t>
      </w:r>
      <w:r>
        <w:rPr>
          <w:bCs/>
          <w:spacing w:val="2"/>
          <w:sz w:val="30"/>
          <w:rtl/>
        </w:rPr>
        <w:t>توف</w:t>
      </w:r>
      <w:r>
        <w:rPr>
          <w:rFonts w:hint="cs"/>
          <w:bCs/>
          <w:spacing w:val="2"/>
          <w:sz w:val="30"/>
          <w:rtl/>
        </w:rPr>
        <w:t>ي</w:t>
      </w:r>
      <w:r>
        <w:rPr>
          <w:bCs/>
          <w:spacing w:val="2"/>
          <w:sz w:val="30"/>
          <w:rtl/>
        </w:rPr>
        <w:t xml:space="preserve">ر الحماية للضحايا وسبل حصولهم على الخدمات الطبية وخدمات إعادة </w:t>
      </w:r>
      <w:r>
        <w:rPr>
          <w:rFonts w:hint="cs"/>
          <w:bCs/>
          <w:spacing w:val="2"/>
          <w:sz w:val="30"/>
          <w:rtl/>
        </w:rPr>
        <w:t>ال</w:t>
      </w:r>
      <w:r>
        <w:rPr>
          <w:bCs/>
          <w:spacing w:val="2"/>
          <w:sz w:val="30"/>
          <w:rtl/>
        </w:rPr>
        <w:t xml:space="preserve">تأهيل </w:t>
      </w:r>
      <w:r>
        <w:rPr>
          <w:rFonts w:hint="cs"/>
          <w:bCs/>
          <w:spacing w:val="2"/>
          <w:sz w:val="30"/>
          <w:rtl/>
        </w:rPr>
        <w:t xml:space="preserve">الاجتماعي </w:t>
      </w:r>
      <w:r>
        <w:rPr>
          <w:bCs/>
          <w:spacing w:val="2"/>
          <w:sz w:val="30"/>
          <w:rtl/>
        </w:rPr>
        <w:t>والخدمات القانونية، بما فيها الخدمات الاستشارية، عند اللزوم</w:t>
      </w:r>
      <w:r>
        <w:rPr>
          <w:rFonts w:hint="cs"/>
          <w:bCs/>
          <w:spacing w:val="2"/>
          <w:sz w:val="30"/>
          <w:rtl/>
        </w:rPr>
        <w:t>؛</w:t>
      </w:r>
    </w:p>
    <w:p w:rsidR="00BD1F3C" w:rsidRDefault="00BD1F3C" w:rsidP="00AF676A">
      <w:pPr>
        <w:pStyle w:val="SingleTxtGA"/>
        <w:rPr>
          <w:bCs/>
          <w:spacing w:val="2"/>
          <w:sz w:val="30"/>
        </w:rPr>
      </w:pPr>
      <w:r>
        <w:rPr>
          <w:rFonts w:hint="cs"/>
          <w:bCs/>
          <w:spacing w:val="2"/>
          <w:sz w:val="30"/>
          <w:rtl/>
        </w:rPr>
        <w:tab/>
        <w:t>(ج)</w:t>
      </w:r>
      <w:r>
        <w:rPr>
          <w:rFonts w:hint="cs"/>
          <w:bCs/>
          <w:spacing w:val="2"/>
          <w:sz w:val="30"/>
          <w:rtl/>
        </w:rPr>
        <w:tab/>
        <w:t xml:space="preserve">تهيئة </w:t>
      </w:r>
      <w:r>
        <w:rPr>
          <w:bCs/>
          <w:spacing w:val="2"/>
          <w:sz w:val="30"/>
          <w:rtl/>
        </w:rPr>
        <w:t xml:space="preserve">الظروف المواتية لتمكين الضحايا من ممارسة حقهم في تقديم الشكاوى والتحقيق في كل الادعاءات المتعلقة </w:t>
      </w:r>
      <w:r>
        <w:rPr>
          <w:rFonts w:hint="cs"/>
          <w:bCs/>
          <w:spacing w:val="2"/>
          <w:sz w:val="30"/>
          <w:rtl/>
        </w:rPr>
        <w:t>بالاتجار</w:t>
      </w:r>
      <w:r>
        <w:rPr>
          <w:bCs/>
          <w:spacing w:val="2"/>
          <w:sz w:val="30"/>
          <w:rtl/>
        </w:rPr>
        <w:t xml:space="preserve"> بالأشخاص بشكل فوري </w:t>
      </w:r>
      <w:r>
        <w:rPr>
          <w:rFonts w:hint="cs"/>
          <w:bCs/>
          <w:spacing w:val="2"/>
          <w:sz w:val="30"/>
          <w:rtl/>
        </w:rPr>
        <w:t>ونزيه</w:t>
      </w:r>
      <w:r>
        <w:rPr>
          <w:bCs/>
          <w:spacing w:val="2"/>
          <w:sz w:val="30"/>
          <w:rtl/>
        </w:rPr>
        <w:t xml:space="preserve"> وفعال، وتقديم الجناة إلى العدالة و</w:t>
      </w:r>
      <w:r>
        <w:rPr>
          <w:rFonts w:hint="cs"/>
          <w:bCs/>
          <w:spacing w:val="2"/>
          <w:sz w:val="30"/>
          <w:rtl/>
        </w:rPr>
        <w:t xml:space="preserve">ضمان </w:t>
      </w:r>
      <w:r>
        <w:rPr>
          <w:bCs/>
          <w:spacing w:val="2"/>
          <w:sz w:val="30"/>
          <w:rtl/>
        </w:rPr>
        <w:t xml:space="preserve">معاقبتهم بعقوبات تتناسب وطبيعة الجرائم </w:t>
      </w:r>
      <w:r>
        <w:rPr>
          <w:rFonts w:hint="cs"/>
          <w:bCs/>
          <w:spacing w:val="2"/>
          <w:sz w:val="30"/>
          <w:rtl/>
        </w:rPr>
        <w:t>التي</w:t>
      </w:r>
      <w:r w:rsidR="00AF676A">
        <w:rPr>
          <w:rFonts w:hint="eastAsia"/>
          <w:bCs/>
          <w:spacing w:val="2"/>
          <w:sz w:val="30"/>
          <w:rtl/>
        </w:rPr>
        <w:t> </w:t>
      </w:r>
      <w:r>
        <w:rPr>
          <w:rFonts w:hint="cs"/>
          <w:bCs/>
          <w:spacing w:val="2"/>
          <w:sz w:val="30"/>
          <w:rtl/>
        </w:rPr>
        <w:t>ارتكبوها</w:t>
      </w:r>
      <w:r>
        <w:rPr>
          <w:bCs/>
          <w:spacing w:val="2"/>
          <w:sz w:val="30"/>
          <w:rtl/>
        </w:rPr>
        <w:t>.</w:t>
      </w:r>
    </w:p>
    <w:p w:rsidR="00BD1F3C" w:rsidRPr="00943244" w:rsidRDefault="00BD1F3C" w:rsidP="00BD1F3C">
      <w:pPr>
        <w:pStyle w:val="H23GA"/>
        <w:rPr>
          <w:rFonts w:hint="cs"/>
          <w:rtl/>
        </w:rPr>
      </w:pPr>
      <w:r>
        <w:rPr>
          <w:rFonts w:hint="cs"/>
          <w:rtl/>
        </w:rPr>
        <w:tab/>
      </w:r>
      <w:r>
        <w:rPr>
          <w:rFonts w:hint="cs"/>
          <w:rtl/>
        </w:rPr>
        <w:tab/>
      </w:r>
      <w:r w:rsidRPr="00943244">
        <w:rPr>
          <w:rFonts w:hint="cs"/>
          <w:rtl/>
        </w:rPr>
        <w:t>اللاجئون وعدم الإعادة الق</w:t>
      </w:r>
      <w:r>
        <w:rPr>
          <w:rFonts w:hint="cs"/>
          <w:rtl/>
        </w:rPr>
        <w:t>س</w:t>
      </w:r>
      <w:r w:rsidRPr="00943244">
        <w:rPr>
          <w:rFonts w:hint="cs"/>
          <w:rtl/>
        </w:rPr>
        <w:t>رية</w:t>
      </w:r>
    </w:p>
    <w:p w:rsidR="00BD1F3C" w:rsidRDefault="00AF676A" w:rsidP="00AF676A">
      <w:pPr>
        <w:pStyle w:val="SingleTxtGA"/>
        <w:rPr>
          <w:rFonts w:hint="cs"/>
          <w:b/>
          <w:spacing w:val="2"/>
          <w:sz w:val="30"/>
          <w:rtl/>
        </w:rPr>
      </w:pPr>
      <w:r>
        <w:rPr>
          <w:rFonts w:hint="cs"/>
          <w:b/>
          <w:spacing w:val="2"/>
          <w:sz w:val="30"/>
          <w:rtl/>
        </w:rPr>
        <w:t>(</w:t>
      </w:r>
      <w:r w:rsidR="00BD1F3C">
        <w:rPr>
          <w:rFonts w:hint="cs"/>
          <w:b/>
          <w:spacing w:val="2"/>
          <w:sz w:val="30"/>
          <w:rtl/>
        </w:rPr>
        <w:t>21</w:t>
      </w:r>
      <w:r>
        <w:rPr>
          <w:rFonts w:hint="cs"/>
          <w:b/>
          <w:spacing w:val="2"/>
          <w:sz w:val="30"/>
          <w:rtl/>
        </w:rPr>
        <w:t>)</w:t>
      </w:r>
      <w:r w:rsidR="00BD1F3C">
        <w:rPr>
          <w:rFonts w:hint="cs"/>
          <w:b/>
          <w:spacing w:val="2"/>
          <w:sz w:val="30"/>
          <w:rtl/>
        </w:rPr>
        <w:tab/>
        <w:t xml:space="preserve">تشعر اللجنة بالقلق إزاء عدم وجود تشريعات وإجراءات وطنية تنظم صراحة الترحيل والإعادة القسرية والتسليم، بما يتسق مع مقتضيات المادة 3 من الاتفاقية. وتأسف اللجنة لعدم وجود معلومات عن حالة الإعادة القسرية لإيمان العبيدي </w:t>
      </w:r>
      <w:r w:rsidR="00BD1F3C" w:rsidRPr="00F601E8">
        <w:rPr>
          <w:rFonts w:hint="cs"/>
          <w:b/>
          <w:spacing w:val="2"/>
          <w:sz w:val="30"/>
          <w:rtl/>
        </w:rPr>
        <w:t>إلى ليبيا</w:t>
      </w:r>
      <w:r w:rsidR="00BD1F3C">
        <w:rPr>
          <w:rFonts w:hint="cs"/>
          <w:b/>
          <w:spacing w:val="2"/>
          <w:sz w:val="30"/>
          <w:rtl/>
        </w:rPr>
        <w:t>،</w:t>
      </w:r>
      <w:r w:rsidR="00BD1F3C" w:rsidRPr="00F601E8">
        <w:rPr>
          <w:b/>
          <w:spacing w:val="2"/>
          <w:sz w:val="30"/>
          <w:rtl/>
        </w:rPr>
        <w:t xml:space="preserve"> </w:t>
      </w:r>
      <w:r w:rsidR="00BD1F3C">
        <w:rPr>
          <w:rFonts w:hint="cs"/>
          <w:b/>
          <w:spacing w:val="2"/>
          <w:sz w:val="30"/>
          <w:rtl/>
        </w:rPr>
        <w:t>و</w:t>
      </w:r>
      <w:r w:rsidR="00BD1F3C" w:rsidRPr="00F601E8">
        <w:rPr>
          <w:rFonts w:hint="cs"/>
          <w:b/>
          <w:spacing w:val="2"/>
          <w:sz w:val="30"/>
          <w:rtl/>
        </w:rPr>
        <w:t>التي يدعى تعرضها</w:t>
      </w:r>
      <w:r w:rsidR="00BD1F3C" w:rsidRPr="005A3848">
        <w:rPr>
          <w:rFonts w:hint="cs"/>
          <w:b/>
          <w:spacing w:val="2"/>
          <w:sz w:val="30"/>
          <w:rtl/>
        </w:rPr>
        <w:t xml:space="preserve"> للاغتصاب </w:t>
      </w:r>
      <w:r w:rsidR="00BD1F3C">
        <w:rPr>
          <w:rFonts w:hint="cs"/>
          <w:b/>
          <w:spacing w:val="2"/>
          <w:sz w:val="30"/>
          <w:rtl/>
        </w:rPr>
        <w:t xml:space="preserve">من جانب جنود ليبيين، </w:t>
      </w:r>
      <w:r w:rsidR="00BD1F3C" w:rsidRPr="005A3848">
        <w:rPr>
          <w:rFonts w:hint="cs"/>
          <w:b/>
          <w:spacing w:val="2"/>
          <w:sz w:val="30"/>
          <w:rtl/>
        </w:rPr>
        <w:t>على الرغم</w:t>
      </w:r>
      <w:r w:rsidR="00BD1F3C">
        <w:rPr>
          <w:rFonts w:hint="cs"/>
          <w:bCs/>
          <w:spacing w:val="2"/>
          <w:sz w:val="30"/>
          <w:rtl/>
        </w:rPr>
        <w:t xml:space="preserve"> </w:t>
      </w:r>
      <w:r w:rsidR="00BD1F3C" w:rsidRPr="005A3848">
        <w:rPr>
          <w:rFonts w:hint="cs"/>
          <w:b/>
          <w:spacing w:val="2"/>
          <w:sz w:val="30"/>
          <w:rtl/>
        </w:rPr>
        <w:t>من</w:t>
      </w:r>
      <w:r w:rsidR="00BD1F3C">
        <w:rPr>
          <w:rFonts w:hint="cs"/>
          <w:b/>
          <w:spacing w:val="2"/>
          <w:sz w:val="30"/>
          <w:rtl/>
        </w:rPr>
        <w:t xml:space="preserve"> أن مفوضية الأمم المتحدة </w:t>
      </w:r>
      <w:r w:rsidR="00BD1F3C">
        <w:rPr>
          <w:rFonts w:hint="cs"/>
          <w:b/>
          <w:spacing w:val="2"/>
          <w:sz w:val="30"/>
          <w:rtl/>
          <w:lang w:bidi="ar-EG"/>
        </w:rPr>
        <w:t xml:space="preserve">السامية </w:t>
      </w:r>
      <w:r w:rsidR="00BD1F3C">
        <w:rPr>
          <w:rFonts w:hint="cs"/>
          <w:b/>
          <w:spacing w:val="2"/>
          <w:sz w:val="30"/>
          <w:rtl/>
        </w:rPr>
        <w:t>لشؤون اللاجئين اعترفت بمركزها كلاجئة. وبالإضافة إلى ذلك، تلاحظ اللجنة أنه على الرغم من التدابير الإنسانية التي اتخذتها السلطات القطرية لمساعدة بعض اللاجئين</w:t>
      </w:r>
      <w:r w:rsidR="00BD1F3C">
        <w:rPr>
          <w:rFonts w:hint="cs"/>
          <w:b/>
          <w:spacing w:val="2"/>
          <w:sz w:val="30"/>
          <w:rtl/>
          <w:lang w:bidi="ar-EG"/>
        </w:rPr>
        <w:t>،</w:t>
      </w:r>
      <w:r w:rsidR="00BD1F3C">
        <w:rPr>
          <w:rFonts w:hint="cs"/>
          <w:b/>
          <w:spacing w:val="2"/>
          <w:sz w:val="30"/>
          <w:rtl/>
        </w:rPr>
        <w:t xml:space="preserve"> فإن الدولة الطرف لم تصدق حتى الآن على الصكوك الدولية المتعلقة بحماية اللاجئين وملتمسي اللجوء (المادة 3). </w:t>
      </w:r>
    </w:p>
    <w:p w:rsidR="00BD1F3C" w:rsidRDefault="00BD1F3C" w:rsidP="00BD1F3C">
      <w:pPr>
        <w:pStyle w:val="SingleTxtGA"/>
        <w:rPr>
          <w:rFonts w:hint="cs"/>
          <w:bCs/>
          <w:spacing w:val="2"/>
          <w:sz w:val="30"/>
          <w:rtl/>
        </w:rPr>
      </w:pPr>
      <w:r>
        <w:rPr>
          <w:rFonts w:hint="cs"/>
          <w:bCs/>
          <w:spacing w:val="2"/>
          <w:sz w:val="30"/>
          <w:rtl/>
        </w:rPr>
        <w:tab/>
        <w:t>ينبغي للدولة الطرف أن تقوم بما يلي:</w:t>
      </w:r>
    </w:p>
    <w:p w:rsidR="00BD1F3C" w:rsidRDefault="00BD1F3C" w:rsidP="00BD1F3C">
      <w:pPr>
        <w:pStyle w:val="SingleTxtGA"/>
        <w:rPr>
          <w:rFonts w:hint="cs"/>
          <w:bCs/>
          <w:spacing w:val="2"/>
          <w:sz w:val="30"/>
          <w:rtl/>
        </w:rPr>
      </w:pPr>
      <w:r>
        <w:rPr>
          <w:rFonts w:hint="cs"/>
          <w:bCs/>
          <w:spacing w:val="2"/>
          <w:sz w:val="30"/>
          <w:rtl/>
        </w:rPr>
        <w:tab/>
        <w:t>(أ)</w:t>
      </w:r>
      <w:r>
        <w:rPr>
          <w:rFonts w:hint="cs"/>
          <w:bCs/>
          <w:spacing w:val="2"/>
          <w:sz w:val="30"/>
          <w:rtl/>
        </w:rPr>
        <w:tab/>
        <w:t xml:space="preserve">اعتماد تشريعات وإجراءات وطنية بشأن اللجوء تمنح حماية فعالة لملتمسي اللجوء واللاجئين من الإعادة القسرية إلى دولة فيها </w:t>
      </w:r>
      <w:r w:rsidRPr="009356ED">
        <w:rPr>
          <w:bCs/>
          <w:spacing w:val="2"/>
          <w:sz w:val="30"/>
          <w:rtl/>
        </w:rPr>
        <w:t>أسباب وجيهة تدعو إلى الاعتقاد بأن هذا الشخص سيتعر</w:t>
      </w:r>
      <w:r>
        <w:rPr>
          <w:bCs/>
          <w:spacing w:val="2"/>
          <w:sz w:val="30"/>
          <w:rtl/>
        </w:rPr>
        <w:t>ض لخطر التعذيب أو لسوء المعامل</w:t>
      </w:r>
      <w:r>
        <w:rPr>
          <w:rFonts w:hint="cs"/>
          <w:bCs/>
          <w:spacing w:val="2"/>
          <w:sz w:val="30"/>
          <w:rtl/>
        </w:rPr>
        <w:t xml:space="preserve">ة، وفقاً للمادة 3 من الاتفاقية؛ </w:t>
      </w:r>
    </w:p>
    <w:p w:rsidR="00BD1F3C" w:rsidRDefault="00BD1F3C" w:rsidP="00BD1F3C">
      <w:pPr>
        <w:pStyle w:val="SingleTxtGA"/>
        <w:rPr>
          <w:rFonts w:hint="cs"/>
          <w:bCs/>
          <w:spacing w:val="2"/>
          <w:sz w:val="30"/>
          <w:rtl/>
        </w:rPr>
      </w:pPr>
      <w:r>
        <w:rPr>
          <w:rFonts w:hint="cs"/>
          <w:bCs/>
          <w:spacing w:val="2"/>
          <w:sz w:val="30"/>
          <w:rtl/>
        </w:rPr>
        <w:tab/>
        <w:t>(ب)</w:t>
      </w:r>
      <w:r>
        <w:rPr>
          <w:rFonts w:hint="cs"/>
          <w:bCs/>
          <w:spacing w:val="2"/>
          <w:sz w:val="30"/>
          <w:rtl/>
        </w:rPr>
        <w:tab/>
        <w:t xml:space="preserve">تقديم بيانات، على النحو المشار إليه في الفقرة 7 من هذه الملاحظات الختامية، مصنفة بشأن </w:t>
      </w:r>
      <w:r w:rsidRPr="009356ED">
        <w:rPr>
          <w:bCs/>
          <w:spacing w:val="2"/>
          <w:sz w:val="30"/>
          <w:rtl/>
        </w:rPr>
        <w:t>العدد الدقيق لطلبات اللجوء التي تلقتها، وعدد ملتمسي اللجوء الذين قُبلت طلباتهم لأنهم تعرضوا للتعذيب أو قد يتعرضون له في حالة عودتهم إلى بلدهم الأصلي، وعدد حالات الترحيل مع ذكر عدد المرحلين من ملتمسي اللجوء والبلدان التي رُحِّلوا إليها</w:t>
      </w:r>
      <w:r>
        <w:rPr>
          <w:rFonts w:hint="cs"/>
          <w:bCs/>
          <w:spacing w:val="2"/>
          <w:sz w:val="30"/>
          <w:rtl/>
        </w:rPr>
        <w:t>؛</w:t>
      </w:r>
    </w:p>
    <w:p w:rsidR="00BD1F3C" w:rsidRDefault="00BD1F3C" w:rsidP="00BD1F3C">
      <w:pPr>
        <w:pStyle w:val="SingleTxtGA"/>
        <w:rPr>
          <w:rFonts w:hint="cs"/>
          <w:b/>
          <w:spacing w:val="2"/>
          <w:sz w:val="30"/>
          <w:rtl/>
        </w:rPr>
      </w:pPr>
      <w:r>
        <w:rPr>
          <w:rFonts w:hint="cs"/>
          <w:bCs/>
          <w:spacing w:val="2"/>
          <w:sz w:val="30"/>
          <w:rtl/>
        </w:rPr>
        <w:tab/>
        <w:t>(ج)</w:t>
      </w:r>
      <w:r>
        <w:rPr>
          <w:rFonts w:hint="cs"/>
          <w:bCs/>
          <w:spacing w:val="2"/>
          <w:sz w:val="30"/>
          <w:rtl/>
        </w:rPr>
        <w:tab/>
        <w:t>النظر في الانضمام إلى اتفاقية عام 1951 المتعلقة بمركز اللاجئين وبروتوكولها الاختياري لعام 1967 واتفاقية عام 1954 المتعلقة بمركز الأشخاص عديمي الجنسية واتفاقية عام 1961 بشأن خفض عدد حالات انعدام الجنسية.</w:t>
      </w:r>
      <w:r>
        <w:rPr>
          <w:rFonts w:hint="cs"/>
          <w:b/>
          <w:spacing w:val="2"/>
          <w:sz w:val="30"/>
          <w:rtl/>
        </w:rPr>
        <w:t xml:space="preserve"> </w:t>
      </w:r>
    </w:p>
    <w:p w:rsidR="00BD1F3C" w:rsidRPr="00943244" w:rsidRDefault="00BD1F3C" w:rsidP="00BD1F3C">
      <w:pPr>
        <w:pStyle w:val="H23GA"/>
        <w:rPr>
          <w:rFonts w:hint="cs"/>
          <w:rtl/>
        </w:rPr>
      </w:pPr>
      <w:r>
        <w:rPr>
          <w:rFonts w:hint="cs"/>
          <w:rtl/>
        </w:rPr>
        <w:tab/>
      </w:r>
      <w:r>
        <w:rPr>
          <w:rFonts w:hint="cs"/>
          <w:rtl/>
        </w:rPr>
        <w:tab/>
      </w:r>
      <w:r w:rsidRPr="00943244">
        <w:rPr>
          <w:rFonts w:hint="cs"/>
          <w:rtl/>
        </w:rPr>
        <w:t>قضاء الأحداث</w:t>
      </w:r>
    </w:p>
    <w:p w:rsidR="00BD1F3C" w:rsidRDefault="00AF676A" w:rsidP="00AF676A">
      <w:pPr>
        <w:pStyle w:val="SingleTxtGA"/>
        <w:rPr>
          <w:rFonts w:hint="cs"/>
          <w:b/>
          <w:spacing w:val="2"/>
          <w:sz w:val="30"/>
          <w:rtl/>
        </w:rPr>
      </w:pPr>
      <w:r>
        <w:rPr>
          <w:rFonts w:hint="cs"/>
          <w:b/>
          <w:spacing w:val="2"/>
          <w:sz w:val="30"/>
          <w:rtl/>
        </w:rPr>
        <w:t>(</w:t>
      </w:r>
      <w:r w:rsidR="00BD1F3C">
        <w:rPr>
          <w:rFonts w:hint="cs"/>
          <w:b/>
          <w:spacing w:val="2"/>
          <w:sz w:val="30"/>
          <w:rtl/>
        </w:rPr>
        <w:t>22</w:t>
      </w:r>
      <w:r>
        <w:rPr>
          <w:rFonts w:hint="cs"/>
          <w:b/>
          <w:spacing w:val="2"/>
          <w:sz w:val="30"/>
          <w:rtl/>
        </w:rPr>
        <w:t>)</w:t>
      </w:r>
      <w:r w:rsidR="00BD1F3C">
        <w:rPr>
          <w:rFonts w:hint="cs"/>
          <w:b/>
          <w:spacing w:val="2"/>
          <w:sz w:val="30"/>
          <w:rtl/>
        </w:rPr>
        <w:tab/>
        <w:t>تكرر اللجنة من جديد قلقها البالغ إزاء</w:t>
      </w:r>
      <w:r w:rsidR="00BD1F3C" w:rsidRPr="00781DED">
        <w:rPr>
          <w:b/>
          <w:spacing w:val="2"/>
          <w:sz w:val="30"/>
          <w:rtl/>
        </w:rPr>
        <w:t xml:space="preserve"> </w:t>
      </w:r>
      <w:r w:rsidR="00BD1F3C">
        <w:rPr>
          <w:rFonts w:hint="cs"/>
          <w:b/>
          <w:spacing w:val="2"/>
          <w:sz w:val="30"/>
          <w:rtl/>
        </w:rPr>
        <w:t>السن</w:t>
      </w:r>
      <w:r w:rsidR="00BD1F3C" w:rsidRPr="00781DED">
        <w:rPr>
          <w:b/>
          <w:spacing w:val="2"/>
          <w:sz w:val="30"/>
          <w:rtl/>
        </w:rPr>
        <w:t xml:space="preserve"> الأدنى للمسؤولية الجنائية</w:t>
      </w:r>
      <w:r w:rsidR="00BD1F3C">
        <w:rPr>
          <w:rFonts w:hint="cs"/>
          <w:b/>
          <w:spacing w:val="2"/>
          <w:sz w:val="30"/>
          <w:rtl/>
        </w:rPr>
        <w:t xml:space="preserve"> والبالغ 7 سنوات في قطر (المادتان 2 و16). </w:t>
      </w:r>
    </w:p>
    <w:p w:rsidR="00BD1F3C" w:rsidRDefault="00BD1F3C" w:rsidP="00BD1F3C">
      <w:pPr>
        <w:pStyle w:val="SingleTxtGA"/>
        <w:rPr>
          <w:rFonts w:hint="cs"/>
          <w:bCs/>
          <w:spacing w:val="2"/>
          <w:sz w:val="30"/>
          <w:rtl/>
        </w:rPr>
      </w:pPr>
      <w:r>
        <w:rPr>
          <w:rFonts w:hint="cs"/>
          <w:bCs/>
          <w:spacing w:val="2"/>
          <w:sz w:val="30"/>
          <w:rtl/>
        </w:rPr>
        <w:tab/>
        <w:t xml:space="preserve">ينبغي للدولة الطرف أن تعجل عملية تدابيرها التشريعية، بما في ذلك مشروع القانون بشأن حقوق الأطفال، لرفع السن الأدنى للمسؤولية الجنائية إلى مستوى مقبول دولياً. وينبغي للدولة الطرف أن تضمن التنفيذ الكامل لمعايير قضاء الأحداث فضلاً عن </w:t>
      </w:r>
      <w:r w:rsidRPr="00781DED">
        <w:rPr>
          <w:bCs/>
          <w:spacing w:val="2"/>
          <w:sz w:val="30"/>
          <w:rtl/>
        </w:rPr>
        <w:t>قواعد الأمم المتحدة النموذجية الدنيا لإدارة شؤون قضاء الأحداث (قواعد بيجين) ومبادئ الأمم المتحدة التوجيهية لمنع جنوح ا</w:t>
      </w:r>
      <w:r>
        <w:rPr>
          <w:bCs/>
          <w:spacing w:val="2"/>
          <w:sz w:val="30"/>
          <w:rtl/>
        </w:rPr>
        <w:t>لأحداث (مبادئ الرياض التوجيهية)</w:t>
      </w:r>
      <w:r>
        <w:rPr>
          <w:rFonts w:hint="cs"/>
          <w:bCs/>
          <w:spacing w:val="2"/>
          <w:sz w:val="30"/>
          <w:rtl/>
        </w:rPr>
        <w:t>.</w:t>
      </w:r>
    </w:p>
    <w:p w:rsidR="00BD1F3C" w:rsidRPr="00943244" w:rsidRDefault="00BD1F3C" w:rsidP="00BD1F3C">
      <w:pPr>
        <w:pStyle w:val="H23GA"/>
        <w:rPr>
          <w:rFonts w:hint="cs"/>
          <w:rtl/>
        </w:rPr>
      </w:pPr>
      <w:r>
        <w:rPr>
          <w:rFonts w:hint="cs"/>
          <w:rtl/>
        </w:rPr>
        <w:tab/>
      </w:r>
      <w:r>
        <w:rPr>
          <w:rFonts w:hint="cs"/>
          <w:rtl/>
        </w:rPr>
        <w:tab/>
      </w:r>
      <w:r w:rsidRPr="00943244">
        <w:rPr>
          <w:rFonts w:hint="cs"/>
          <w:rtl/>
        </w:rPr>
        <w:t>التدريب</w:t>
      </w:r>
    </w:p>
    <w:p w:rsidR="00BD1F3C" w:rsidRDefault="00AF676A" w:rsidP="00AF676A">
      <w:pPr>
        <w:pStyle w:val="SingleTxtGA"/>
        <w:rPr>
          <w:lang w:val="fr-CH"/>
        </w:rPr>
      </w:pPr>
      <w:r>
        <w:rPr>
          <w:rFonts w:hint="cs"/>
          <w:b/>
          <w:spacing w:val="2"/>
          <w:sz w:val="30"/>
          <w:rtl/>
        </w:rPr>
        <w:t>(</w:t>
      </w:r>
      <w:r w:rsidR="00BD1F3C">
        <w:rPr>
          <w:rFonts w:hint="cs"/>
          <w:b/>
          <w:spacing w:val="2"/>
          <w:sz w:val="30"/>
          <w:rtl/>
        </w:rPr>
        <w:t>23</w:t>
      </w:r>
      <w:r>
        <w:rPr>
          <w:rFonts w:hint="cs"/>
          <w:b/>
          <w:spacing w:val="2"/>
          <w:sz w:val="30"/>
          <w:rtl/>
        </w:rPr>
        <w:t>)</w:t>
      </w:r>
      <w:r w:rsidR="00BD1F3C">
        <w:rPr>
          <w:rFonts w:hint="cs"/>
          <w:b/>
          <w:spacing w:val="2"/>
          <w:sz w:val="30"/>
          <w:rtl/>
        </w:rPr>
        <w:tab/>
        <w:t xml:space="preserve">في حين </w:t>
      </w:r>
      <w:r w:rsidR="00BD1F3C">
        <w:rPr>
          <w:rtl/>
          <w:lang w:val="fr-CH"/>
        </w:rPr>
        <w:t xml:space="preserve">تلاحظ اللجنة مع التقدير أن الدولة الطرف نظمت عدة دورات تدريبية للموظفين المكلفين بإنفاذ القانون </w:t>
      </w:r>
      <w:r w:rsidR="00BD1F3C">
        <w:rPr>
          <w:rFonts w:hint="cs"/>
          <w:rtl/>
          <w:lang w:val="fr-CH"/>
        </w:rPr>
        <w:t xml:space="preserve">في مجال </w:t>
      </w:r>
      <w:r w:rsidR="00BD1F3C">
        <w:rPr>
          <w:rtl/>
          <w:lang w:val="fr-CH"/>
        </w:rPr>
        <w:t>حقوق الإنسان</w:t>
      </w:r>
      <w:r w:rsidR="00BD1F3C">
        <w:rPr>
          <w:rFonts w:hint="cs"/>
          <w:rtl/>
          <w:lang w:val="fr-CH"/>
        </w:rPr>
        <w:t>، فإنها تشعر بالقلق</w:t>
      </w:r>
      <w:r w:rsidR="00BD1F3C">
        <w:rPr>
          <w:rtl/>
          <w:lang w:val="fr-CH"/>
        </w:rPr>
        <w:t xml:space="preserve"> إزاء عدم تقديم تدريب خاص </w:t>
      </w:r>
      <w:r w:rsidR="00BD1F3C">
        <w:rPr>
          <w:rFonts w:hint="cs"/>
          <w:rtl/>
          <w:lang w:val="fr-CH"/>
        </w:rPr>
        <w:t>إلى ا</w:t>
      </w:r>
      <w:r w:rsidR="00BD1F3C">
        <w:rPr>
          <w:rtl/>
          <w:lang w:val="fr-CH"/>
        </w:rPr>
        <w:t xml:space="preserve">لموظفين المكلفين بإنفاذ القانون والقضاة وأعضاء النيابة العامة والموظفين الطبيين ممن يتعاملون مع الأشخاص المحتجزين، بخصوص أحكام الاتفاقية </w:t>
      </w:r>
      <w:r w:rsidR="00BD1F3C">
        <w:rPr>
          <w:rFonts w:hint="cs"/>
          <w:rtl/>
          <w:lang/>
        </w:rPr>
        <w:t>وكيفية</w:t>
      </w:r>
      <w:r w:rsidR="00BD1F3C">
        <w:rPr>
          <w:rtl/>
          <w:lang/>
        </w:rPr>
        <w:t xml:space="preserve"> اكتشاف وتوثيق </w:t>
      </w:r>
      <w:r w:rsidR="00BD1F3C">
        <w:rPr>
          <w:rFonts w:hint="cs"/>
          <w:rtl/>
          <w:lang/>
        </w:rPr>
        <w:t xml:space="preserve">الآثار </w:t>
      </w:r>
      <w:r w:rsidR="00BD1F3C">
        <w:rPr>
          <w:rtl/>
          <w:lang/>
        </w:rPr>
        <w:t>البدنية والنفسية المترتبة على التعذيب</w:t>
      </w:r>
      <w:r w:rsidR="00BD1F3C">
        <w:rPr>
          <w:rtl/>
          <w:lang w:val="fr-CH"/>
        </w:rPr>
        <w:t xml:space="preserve"> وغيره من ضروب المعاملة أو العقوبة القاسية أو اللاإنسانية أو المهينة</w:t>
      </w:r>
      <w:r w:rsidR="00BD1F3C">
        <w:rPr>
          <w:rtl/>
          <w:lang/>
        </w:rPr>
        <w:t xml:space="preserve">. </w:t>
      </w:r>
      <w:r w:rsidR="00BD1F3C">
        <w:rPr>
          <w:rFonts w:hint="cs"/>
          <w:rtl/>
          <w:lang/>
        </w:rPr>
        <w:t xml:space="preserve">وبالإضافة إلى ذلك، </w:t>
      </w:r>
      <w:r w:rsidR="00BD1F3C">
        <w:rPr>
          <w:rtl/>
          <w:lang/>
        </w:rPr>
        <w:t xml:space="preserve">تأسف اللجنة </w:t>
      </w:r>
      <w:r w:rsidR="00BD1F3C">
        <w:rPr>
          <w:rFonts w:hint="cs"/>
          <w:rtl/>
          <w:lang/>
        </w:rPr>
        <w:t xml:space="preserve">للعدد القليل نسبياً من المشاركين في التدريب وعدم كفاية تقييم أثر الدورات التدريبية المقدمة وفعاليتها في خفض </w:t>
      </w:r>
      <w:r w:rsidR="00BD1F3C">
        <w:rPr>
          <w:rtl/>
          <w:lang w:val="fr-CH"/>
        </w:rPr>
        <w:t>حوادث التعذيب وسوء المعاملة (المادة 10)</w:t>
      </w:r>
      <w:r w:rsidR="00BD1F3C">
        <w:rPr>
          <w:lang w:val="fr-CH"/>
        </w:rPr>
        <w:t>.</w:t>
      </w:r>
    </w:p>
    <w:p w:rsidR="00BD1F3C" w:rsidRDefault="00BD1F3C" w:rsidP="00AF676A">
      <w:pPr>
        <w:pStyle w:val="SingleTxtGA"/>
        <w:spacing w:line="370" w:lineRule="exact"/>
        <w:rPr>
          <w:rFonts w:hint="cs"/>
          <w:b/>
          <w:bCs/>
          <w:rtl/>
          <w:lang w:val="fr-CH"/>
        </w:rPr>
      </w:pPr>
      <w:r>
        <w:rPr>
          <w:rFonts w:hint="cs"/>
          <w:b/>
          <w:bCs/>
          <w:rtl/>
          <w:lang w:val="fr-CH"/>
        </w:rPr>
        <w:tab/>
      </w:r>
      <w:r>
        <w:rPr>
          <w:b/>
          <w:bCs/>
          <w:rtl/>
          <w:lang w:val="fr-CH"/>
        </w:rPr>
        <w:t xml:space="preserve">ينبغي للدولة الطرف أن تواصل وضع وتعزيز برامج تثقيفية </w:t>
      </w:r>
      <w:r>
        <w:rPr>
          <w:rFonts w:hint="cs"/>
          <w:b/>
          <w:bCs/>
          <w:rtl/>
          <w:lang w:val="fr-CH"/>
        </w:rPr>
        <w:t>و</w:t>
      </w:r>
      <w:r>
        <w:rPr>
          <w:b/>
          <w:bCs/>
          <w:rtl/>
          <w:lang w:val="fr-CH"/>
        </w:rPr>
        <w:t>دورات تدريبية لضمان اطلاع جميع الموظفين</w:t>
      </w:r>
      <w:r>
        <w:rPr>
          <w:rFonts w:hint="cs"/>
          <w:b/>
          <w:bCs/>
          <w:rtl/>
          <w:lang w:val="fr-CH"/>
        </w:rPr>
        <w:t xml:space="preserve"> الذين يتعاملون مع الأشخاص المحرومين من حريتهم </w:t>
      </w:r>
      <w:r>
        <w:rPr>
          <w:b/>
          <w:bCs/>
          <w:rtl/>
          <w:lang w:val="fr-CH"/>
        </w:rPr>
        <w:t>اطلاعاً كاملاً على أحكام الاتفاقية</w:t>
      </w:r>
      <w:r>
        <w:rPr>
          <w:rFonts w:hint="cs"/>
          <w:b/>
          <w:bCs/>
          <w:rtl/>
          <w:lang w:val="fr-CH"/>
        </w:rPr>
        <w:t xml:space="preserve">. </w:t>
      </w:r>
      <w:r>
        <w:rPr>
          <w:b/>
          <w:bCs/>
          <w:rtl/>
          <w:lang w:val="fr-CH"/>
        </w:rPr>
        <w:t>وإضافة إلى ذلك</w:t>
      </w:r>
      <w:r>
        <w:rPr>
          <w:rFonts w:hint="cs"/>
          <w:b/>
          <w:bCs/>
          <w:rtl/>
          <w:lang w:val="fr-CH"/>
        </w:rPr>
        <w:t>،</w:t>
      </w:r>
      <w:r>
        <w:rPr>
          <w:b/>
          <w:bCs/>
          <w:rtl/>
          <w:lang w:val="fr-CH"/>
        </w:rPr>
        <w:t xml:space="preserve"> ينبغي أن يتلقى جميع الموظفين ذوي الصلة، بمن فيهم الموظفون الطبيون</w:t>
      </w:r>
      <w:r>
        <w:rPr>
          <w:rFonts w:hint="cs"/>
          <w:b/>
          <w:bCs/>
          <w:rtl/>
          <w:lang w:val="fr-CH"/>
        </w:rPr>
        <w:t>،</w:t>
      </w:r>
      <w:r>
        <w:rPr>
          <w:b/>
          <w:bCs/>
          <w:rtl/>
          <w:lang w:val="fr-CH"/>
        </w:rPr>
        <w:t xml:space="preserve"> تدريباً خاصاً يتعلق بطريقة الكشف عن آثار التعذيب وسوء المعاملة. ولهذا</w:t>
      </w:r>
      <w:r>
        <w:rPr>
          <w:rFonts w:hint="cs"/>
          <w:b/>
          <w:bCs/>
          <w:rtl/>
          <w:lang w:val="fr-CH"/>
        </w:rPr>
        <w:t xml:space="preserve"> الغرض،</w:t>
      </w:r>
      <w:r>
        <w:rPr>
          <w:b/>
          <w:bCs/>
          <w:rtl/>
          <w:lang w:val="fr-CH"/>
        </w:rPr>
        <w:t xml:space="preserve"> ينبغي أن تشمل المواد التدريبية "دليل التقصي والتوثيق الفعالين للتعذيب وغيره من ضروب المعاملة أو العقوبة القاسية أو اللاإنسانية أو المهينة" (بروتوكول اسطنبول). </w:t>
      </w:r>
      <w:r>
        <w:rPr>
          <w:rFonts w:hint="cs"/>
          <w:b/>
          <w:bCs/>
          <w:rtl/>
          <w:lang w:val="fr-CH"/>
        </w:rPr>
        <w:t xml:space="preserve">وبالإضافة إلى ذلك، </w:t>
      </w:r>
      <w:r>
        <w:rPr>
          <w:b/>
          <w:bCs/>
          <w:rtl/>
          <w:lang w:val="fr-CH"/>
        </w:rPr>
        <w:t xml:space="preserve">ينبغي للدولة الطرف أيضاً أن </w:t>
      </w:r>
      <w:r>
        <w:rPr>
          <w:rFonts w:hint="cs"/>
          <w:b/>
          <w:bCs/>
          <w:rtl/>
          <w:lang w:val="fr-CH"/>
        </w:rPr>
        <w:t xml:space="preserve">تضع وتنفذ </w:t>
      </w:r>
      <w:r w:rsidRPr="00125F26">
        <w:rPr>
          <w:b/>
          <w:bCs/>
          <w:rtl/>
          <w:lang w:val="fr-CH"/>
        </w:rPr>
        <w:t xml:space="preserve">منهجية لتقييم مدى فعالية وأثر </w:t>
      </w:r>
      <w:r>
        <w:rPr>
          <w:rFonts w:hint="cs"/>
          <w:b/>
          <w:bCs/>
          <w:rtl/>
          <w:lang w:val="fr-CH"/>
        </w:rPr>
        <w:t>مثل هذه الدورات التدريبية والبرامج على</w:t>
      </w:r>
      <w:r w:rsidRPr="00125F26">
        <w:rPr>
          <w:b/>
          <w:bCs/>
          <w:rtl/>
          <w:lang w:val="fr-CH"/>
        </w:rPr>
        <w:t xml:space="preserve"> الحد من حوادث التعذيب وسوء المعاملة</w:t>
      </w:r>
      <w:r>
        <w:rPr>
          <w:rFonts w:hint="cs"/>
          <w:b/>
          <w:bCs/>
          <w:rtl/>
          <w:lang w:val="fr-CH"/>
        </w:rPr>
        <w:t>.</w:t>
      </w:r>
    </w:p>
    <w:p w:rsidR="00BD1F3C" w:rsidRPr="00943244" w:rsidRDefault="00BD1F3C" w:rsidP="00AF676A">
      <w:pPr>
        <w:pStyle w:val="H23GA"/>
        <w:spacing w:line="370" w:lineRule="exact"/>
        <w:rPr>
          <w:rFonts w:hint="cs"/>
          <w:rtl/>
        </w:rPr>
      </w:pPr>
      <w:r>
        <w:rPr>
          <w:rFonts w:hint="cs"/>
          <w:rtl/>
        </w:rPr>
        <w:tab/>
      </w:r>
      <w:r>
        <w:rPr>
          <w:rFonts w:hint="cs"/>
          <w:rtl/>
        </w:rPr>
        <w:tab/>
      </w:r>
      <w:r w:rsidRPr="00943244">
        <w:rPr>
          <w:rtl/>
        </w:rPr>
        <w:t>الجبر، بما في ذلك التعويض وإعادة التأهيل</w:t>
      </w:r>
    </w:p>
    <w:p w:rsidR="00BD1F3C" w:rsidRDefault="00AF676A" w:rsidP="00AF676A">
      <w:pPr>
        <w:pStyle w:val="SingleTxtGA"/>
        <w:spacing w:line="370" w:lineRule="exact"/>
        <w:rPr>
          <w:rFonts w:hint="cs"/>
          <w:rtl/>
          <w:lang w:val="fr-CH"/>
        </w:rPr>
      </w:pPr>
      <w:r>
        <w:rPr>
          <w:rFonts w:hint="cs"/>
          <w:rtl/>
          <w:lang w:val="fr-CH"/>
        </w:rPr>
        <w:t>(</w:t>
      </w:r>
      <w:r w:rsidR="00BD1F3C">
        <w:rPr>
          <w:rFonts w:hint="cs"/>
          <w:rtl/>
          <w:lang w:val="fr-CH"/>
        </w:rPr>
        <w:t>24</w:t>
      </w:r>
      <w:r>
        <w:rPr>
          <w:rFonts w:hint="cs"/>
          <w:rtl/>
          <w:lang w:val="fr-CH"/>
        </w:rPr>
        <w:t>)</w:t>
      </w:r>
      <w:r w:rsidR="00BD1F3C">
        <w:rPr>
          <w:rFonts w:hint="cs"/>
          <w:rtl/>
          <w:lang w:val="fr-CH"/>
        </w:rPr>
        <w:tab/>
      </w:r>
      <w:r w:rsidR="00BD1F3C" w:rsidRPr="00125F26">
        <w:rPr>
          <w:rtl/>
          <w:lang w:val="fr-CH"/>
        </w:rPr>
        <w:t>تشعر اللجنة بالقلق إزاء عدم وجود معلومات وبيانات إحصائية شاملة عن الجبر والتعويض، بما يشمل إعادة التأهيل لضحايا التعذيب وغيره من ضروب المعاملة أو العقوبة القاسية أو اللاإنسانية أو المهينة في الدولة الطرف</w:t>
      </w:r>
      <w:r w:rsidR="00BD1F3C">
        <w:rPr>
          <w:rFonts w:hint="cs"/>
          <w:rtl/>
          <w:lang w:val="fr-CH"/>
        </w:rPr>
        <w:t>. وتلاحظ اللجنة مع القلق العدد القليل للغاية من حالات التعويض وإعادة التأهيل للضحايا وخاصة خدم المنازل. فخلال الفترة من عام 2007 إلى عام 2012، قدمت الدولة الطرف تعويضاً إلى ثمانية من خدم المنازل وتولت المؤسسة القطرية لمكافحة الاتجار بالبشر إعادة تأهيل 12 ضحية (المادة 14).</w:t>
      </w:r>
    </w:p>
    <w:p w:rsidR="00BD1F3C" w:rsidRPr="00125F26" w:rsidRDefault="00BD1F3C" w:rsidP="00AF676A">
      <w:pPr>
        <w:pStyle w:val="SingleTxtGA"/>
        <w:spacing w:line="370" w:lineRule="exact"/>
        <w:rPr>
          <w:rFonts w:hint="cs"/>
          <w:rtl/>
          <w:lang w:val="fr-CH"/>
        </w:rPr>
      </w:pPr>
      <w:r>
        <w:rPr>
          <w:b/>
          <w:bCs/>
          <w:rtl/>
          <w:lang w:val="fr-CH"/>
        </w:rPr>
        <w:tab/>
      </w:r>
      <w:r>
        <w:rPr>
          <w:rFonts w:hint="cs"/>
          <w:b/>
          <w:bCs/>
          <w:rtl/>
          <w:lang w:val="fr-CH"/>
        </w:rPr>
        <w:t xml:space="preserve">ينبغي للدولة الطرف أن تعزز جهودها كي </w:t>
      </w:r>
      <w:r>
        <w:rPr>
          <w:b/>
          <w:bCs/>
          <w:kern w:val="16"/>
          <w:sz w:val="30"/>
          <w:rtl/>
        </w:rPr>
        <w:t xml:space="preserve">تقدم جبراً وتعويضاً عادلين وكافيين </w:t>
      </w:r>
      <w:r>
        <w:rPr>
          <w:rFonts w:hint="cs"/>
          <w:b/>
          <w:bCs/>
          <w:kern w:val="16"/>
          <w:sz w:val="30"/>
          <w:rtl/>
        </w:rPr>
        <w:t xml:space="preserve">إلى </w:t>
      </w:r>
      <w:r>
        <w:rPr>
          <w:b/>
          <w:bCs/>
          <w:kern w:val="16"/>
          <w:sz w:val="30"/>
          <w:rtl/>
        </w:rPr>
        <w:t xml:space="preserve">ضحايا التعذيب وغيره من ضروب المعاملة أو العقوبة القاسية أو اللاإنسانية أو المهينة، بما </w:t>
      </w:r>
      <w:r>
        <w:rPr>
          <w:rFonts w:hint="cs"/>
          <w:b/>
          <w:bCs/>
          <w:kern w:val="16"/>
          <w:sz w:val="30"/>
          <w:rtl/>
        </w:rPr>
        <w:t>في ذلك</w:t>
      </w:r>
      <w:r>
        <w:rPr>
          <w:b/>
          <w:bCs/>
          <w:kern w:val="16"/>
          <w:sz w:val="30"/>
          <w:rtl/>
        </w:rPr>
        <w:t xml:space="preserve"> إعادة تأهيل</w:t>
      </w:r>
      <w:r>
        <w:rPr>
          <w:rFonts w:hint="cs"/>
          <w:b/>
          <w:bCs/>
          <w:rtl/>
          <w:lang w:val="fr-CH"/>
        </w:rPr>
        <w:t>. وينبغي للدولة الطرف أن تسجل العمال المهاجرين والأشخاص المعرضين للاتجار في برامج الجبر وأن تضمن حصولهم على سبل انتصاف فعالة لدى تعرضهم للتعذيب وسوء المعاملة، بما في ذلك التعويض وإعادة التأهيل.</w:t>
      </w:r>
      <w:r w:rsidRPr="00800B8F">
        <w:rPr>
          <w:rtl/>
        </w:rPr>
        <w:t xml:space="preserve"> </w:t>
      </w:r>
      <w:r w:rsidRPr="00800B8F">
        <w:rPr>
          <w:b/>
          <w:bCs/>
          <w:rtl/>
          <w:lang w:val="fr-CH"/>
        </w:rPr>
        <w:t xml:space="preserve">وتلفت اللجنة انتباه الدولة الطرف إلى التعليق العام رقم 3(2012) </w:t>
      </w:r>
      <w:r>
        <w:rPr>
          <w:rFonts w:hint="cs"/>
          <w:b/>
          <w:bCs/>
          <w:rtl/>
          <w:lang w:val="fr-CH"/>
        </w:rPr>
        <w:t xml:space="preserve">بشأن تنفيذ </w:t>
      </w:r>
      <w:r w:rsidRPr="00800B8F">
        <w:rPr>
          <w:b/>
          <w:bCs/>
          <w:rtl/>
          <w:lang w:val="fr-CH"/>
        </w:rPr>
        <w:t xml:space="preserve">المادة 14 من الاتفاقية، المعتمد مؤخراً، والذي يوضح مضمون ونطاق التزامات الدول الأطراف من أجل تقديم تعويض كامل </w:t>
      </w:r>
      <w:r>
        <w:rPr>
          <w:rFonts w:hint="cs"/>
          <w:b/>
          <w:bCs/>
          <w:rtl/>
          <w:lang w:val="fr-CH"/>
        </w:rPr>
        <w:t xml:space="preserve">إلى </w:t>
      </w:r>
      <w:r w:rsidRPr="00800B8F">
        <w:rPr>
          <w:b/>
          <w:bCs/>
          <w:rtl/>
          <w:lang w:val="fr-CH"/>
        </w:rPr>
        <w:t>ضحايا التعذيب.</w:t>
      </w:r>
      <w:r>
        <w:rPr>
          <w:rFonts w:hint="cs"/>
          <w:rtl/>
          <w:lang w:val="fr-CH"/>
        </w:rPr>
        <w:t xml:space="preserve"> </w:t>
      </w:r>
    </w:p>
    <w:p w:rsidR="00BD1F3C" w:rsidRPr="00943244" w:rsidRDefault="00BD1F3C" w:rsidP="00AF676A">
      <w:pPr>
        <w:pStyle w:val="H23GA"/>
        <w:spacing w:line="370" w:lineRule="exact"/>
        <w:rPr>
          <w:rFonts w:hint="cs"/>
          <w:rtl/>
        </w:rPr>
      </w:pPr>
      <w:r>
        <w:rPr>
          <w:rFonts w:hint="cs"/>
          <w:rtl/>
        </w:rPr>
        <w:tab/>
      </w:r>
      <w:r>
        <w:rPr>
          <w:rFonts w:hint="cs"/>
          <w:rtl/>
        </w:rPr>
        <w:tab/>
      </w:r>
      <w:r w:rsidRPr="00943244">
        <w:rPr>
          <w:rtl/>
        </w:rPr>
        <w:t xml:space="preserve">الولاية القضائية </w:t>
      </w:r>
      <w:r>
        <w:rPr>
          <w:rFonts w:hint="cs"/>
          <w:rtl/>
        </w:rPr>
        <w:t>العالمية</w:t>
      </w:r>
    </w:p>
    <w:p w:rsidR="00BD1F3C" w:rsidRDefault="00AF676A" w:rsidP="00AF676A">
      <w:pPr>
        <w:pStyle w:val="SingleTxtGA"/>
        <w:spacing w:line="370" w:lineRule="exact"/>
        <w:rPr>
          <w:rFonts w:hint="cs"/>
          <w:rtl/>
          <w:lang w:val="fr-CH"/>
        </w:rPr>
      </w:pPr>
      <w:r>
        <w:rPr>
          <w:rFonts w:hint="cs"/>
          <w:b/>
          <w:spacing w:val="2"/>
          <w:sz w:val="30"/>
          <w:rtl/>
        </w:rPr>
        <w:t>(</w:t>
      </w:r>
      <w:r w:rsidR="00BD1F3C">
        <w:rPr>
          <w:rFonts w:hint="cs"/>
          <w:b/>
          <w:spacing w:val="2"/>
          <w:sz w:val="30"/>
          <w:rtl/>
        </w:rPr>
        <w:t>25</w:t>
      </w:r>
      <w:r>
        <w:rPr>
          <w:rFonts w:hint="cs"/>
          <w:b/>
          <w:spacing w:val="2"/>
          <w:sz w:val="30"/>
          <w:rtl/>
        </w:rPr>
        <w:t>)</w:t>
      </w:r>
      <w:r w:rsidR="00BD1F3C">
        <w:rPr>
          <w:rFonts w:hint="cs"/>
          <w:b/>
          <w:spacing w:val="2"/>
          <w:sz w:val="30"/>
          <w:rtl/>
        </w:rPr>
        <w:tab/>
        <w:t xml:space="preserve">في حين تلاحظ اللجنة أن قانون العقوبات القطري ينص على تطبيق الولاية القضائية العالمية في حالات التعذيب، فإنها تشعر بالقلق إزاء عدم </w:t>
      </w:r>
      <w:r w:rsidR="00BD1F3C">
        <w:rPr>
          <w:rtl/>
          <w:lang w:val="fr-CH"/>
        </w:rPr>
        <w:t>تقديم معلومات مفصلّة عن كيفية ممارسة الدولة الطرف ولايتها على حالات التعذيب المشار إليها في المادتين 4 و5 من الاتفاقية</w:t>
      </w:r>
      <w:r w:rsidR="00BD1F3C">
        <w:rPr>
          <w:rFonts w:hint="cs"/>
          <w:rtl/>
          <w:lang w:val="fr-CH"/>
        </w:rPr>
        <w:t xml:space="preserve"> (المادة 5).</w:t>
      </w:r>
    </w:p>
    <w:p w:rsidR="00BD1F3C" w:rsidRDefault="00BD1F3C" w:rsidP="00BD1F3C">
      <w:pPr>
        <w:pStyle w:val="SingleTxtGA"/>
        <w:rPr>
          <w:rFonts w:hint="cs"/>
          <w:b/>
          <w:bCs/>
          <w:rtl/>
          <w:lang w:val="fr-CH"/>
        </w:rPr>
      </w:pPr>
      <w:r>
        <w:rPr>
          <w:b/>
          <w:bCs/>
          <w:rtl/>
          <w:lang w:val="fr-CH"/>
        </w:rPr>
        <w:tab/>
      </w:r>
      <w:r>
        <w:rPr>
          <w:rFonts w:hint="cs"/>
          <w:b/>
          <w:bCs/>
          <w:rtl/>
          <w:lang w:val="fr-CH"/>
        </w:rPr>
        <w:t>ينبغي للدولة الطرف أن تضمن خضوع أفعال التعذيب إلى الولاية القضائية العالمية بموجب قانونها المحلي وفقاً للمادة 5 من الاتفاقية.</w:t>
      </w:r>
    </w:p>
    <w:p w:rsidR="00BD1F3C" w:rsidRDefault="00AF676A" w:rsidP="00AF676A">
      <w:pPr>
        <w:pStyle w:val="SingleTxtGA"/>
        <w:rPr>
          <w:rFonts w:hint="cs"/>
          <w:rtl/>
          <w:lang w:val="fr-CH"/>
        </w:rPr>
      </w:pPr>
      <w:r>
        <w:rPr>
          <w:rFonts w:hint="cs"/>
          <w:rtl/>
          <w:lang w:val="fr-CH"/>
        </w:rPr>
        <w:t>(</w:t>
      </w:r>
      <w:r w:rsidR="00BD1F3C">
        <w:rPr>
          <w:rFonts w:hint="cs"/>
          <w:rtl/>
          <w:lang w:val="fr-CH"/>
        </w:rPr>
        <w:t>26</w:t>
      </w:r>
      <w:r>
        <w:rPr>
          <w:rFonts w:hint="cs"/>
          <w:rtl/>
          <w:lang w:val="fr-CH"/>
        </w:rPr>
        <w:t>)</w:t>
      </w:r>
      <w:r w:rsidR="00BD1F3C">
        <w:rPr>
          <w:rFonts w:hint="cs"/>
          <w:rtl/>
          <w:lang w:val="fr-CH"/>
        </w:rPr>
        <w:tab/>
      </w:r>
      <w:r w:rsidR="00BD1F3C">
        <w:rPr>
          <w:rtl/>
          <w:lang w:val="fr-CH"/>
        </w:rPr>
        <w:t xml:space="preserve">تدعو اللجنة الدولة الطرف إلى التصديق على المعاهدات الأساسية للأمم المتحدة في مجال حقوق الإنسان التي </w:t>
      </w:r>
      <w:r w:rsidR="00BD1F3C">
        <w:rPr>
          <w:rFonts w:hint="cs"/>
          <w:rtl/>
          <w:lang w:val="fr-CH"/>
        </w:rPr>
        <w:t xml:space="preserve">لم تصبح </w:t>
      </w:r>
      <w:r w:rsidR="00BD1F3C">
        <w:rPr>
          <w:rtl/>
          <w:lang w:val="fr-CH"/>
        </w:rPr>
        <w:t>طرفاً فيها بعد، ولا سيما</w:t>
      </w:r>
      <w:r w:rsidR="00BD1F3C">
        <w:rPr>
          <w:rFonts w:hint="cs"/>
          <w:rtl/>
          <w:lang w:val="fr-CH"/>
        </w:rPr>
        <w:t xml:space="preserve"> العهد الدولي الخاص بالحقوق المدنية والسياسية وبروتوكوليه الاختياريين واتفاقية حماية حقوق جميع العمال المهاجرين وأفراد أسرهم والاتفاقية الدولية لحماية جميع الأشخاص من الاختفاء القسري والبروتوكول الاختياري لاتفاقية القضاء على جميع أشكال التمييز ضد المرأة. </w:t>
      </w:r>
    </w:p>
    <w:p w:rsidR="00BD1F3C" w:rsidRDefault="00AF676A" w:rsidP="00AF676A">
      <w:pPr>
        <w:pStyle w:val="SingleTxtGA"/>
        <w:rPr>
          <w:lang w:val="fr-CH"/>
        </w:rPr>
      </w:pPr>
      <w:r>
        <w:rPr>
          <w:rFonts w:hint="cs"/>
          <w:rtl/>
          <w:lang w:val="fr-CH"/>
        </w:rPr>
        <w:t>(</w:t>
      </w:r>
      <w:r w:rsidR="00BD1F3C">
        <w:rPr>
          <w:rFonts w:hint="cs"/>
          <w:rtl/>
          <w:lang w:val="fr-CH"/>
        </w:rPr>
        <w:t>27</w:t>
      </w:r>
      <w:r>
        <w:rPr>
          <w:rFonts w:hint="cs"/>
          <w:rtl/>
          <w:lang w:val="fr-CH"/>
        </w:rPr>
        <w:t>)</w:t>
      </w:r>
      <w:r w:rsidR="00BD1F3C">
        <w:rPr>
          <w:rFonts w:hint="cs"/>
          <w:rtl/>
          <w:lang w:val="fr-CH"/>
        </w:rPr>
        <w:tab/>
        <w:t xml:space="preserve">وتُشجَّع </w:t>
      </w:r>
      <w:r w:rsidR="00BD1F3C">
        <w:rPr>
          <w:rtl/>
          <w:lang w:val="fr-CH"/>
        </w:rPr>
        <w:t xml:space="preserve">الدولة الطرف </w:t>
      </w:r>
      <w:r w:rsidR="00BD1F3C">
        <w:rPr>
          <w:rFonts w:hint="cs"/>
          <w:rtl/>
          <w:lang w:val="fr-CH"/>
        </w:rPr>
        <w:t xml:space="preserve">على </w:t>
      </w:r>
      <w:r w:rsidR="00BD1F3C">
        <w:rPr>
          <w:rtl/>
          <w:lang w:val="fr-CH"/>
        </w:rPr>
        <w:t>نشر التق</w:t>
      </w:r>
      <w:r w:rsidR="00BD1F3C">
        <w:rPr>
          <w:rFonts w:hint="cs"/>
          <w:rtl/>
          <w:lang w:val="fr-CH"/>
        </w:rPr>
        <w:t>ا</w:t>
      </w:r>
      <w:r w:rsidR="00BD1F3C">
        <w:rPr>
          <w:rtl/>
          <w:lang w:val="fr-CH"/>
        </w:rPr>
        <w:t>رير المقدم</w:t>
      </w:r>
      <w:r w:rsidR="00BD1F3C">
        <w:rPr>
          <w:rFonts w:hint="cs"/>
          <w:rtl/>
          <w:lang w:val="fr-CH"/>
        </w:rPr>
        <w:t>ة</w:t>
      </w:r>
      <w:r w:rsidR="00BD1F3C">
        <w:rPr>
          <w:rtl/>
          <w:lang w:val="fr-CH"/>
        </w:rPr>
        <w:t xml:space="preserve"> إلى اللجنة وكذلك</w:t>
      </w:r>
      <w:r w:rsidR="00BD1F3C">
        <w:rPr>
          <w:rFonts w:hint="cs"/>
          <w:rtl/>
          <w:lang w:val="fr-CH"/>
        </w:rPr>
        <w:t xml:space="preserve"> هذه </w:t>
      </w:r>
      <w:r w:rsidR="00BD1F3C">
        <w:rPr>
          <w:rtl/>
          <w:lang w:val="fr-CH"/>
        </w:rPr>
        <w:t xml:space="preserve">الملاحظات الختامية، على نطاق واسع وباللغات المناسبة، </w:t>
      </w:r>
      <w:r w:rsidR="00BD1F3C">
        <w:rPr>
          <w:rFonts w:hint="cs"/>
          <w:rtl/>
          <w:lang w:val="fr-CH"/>
        </w:rPr>
        <w:t xml:space="preserve">عن طريق </w:t>
      </w:r>
      <w:r w:rsidR="00BD1F3C">
        <w:rPr>
          <w:rtl/>
          <w:lang w:val="fr-CH"/>
        </w:rPr>
        <w:t>المواقع الشبكية الرسمية ووسائط الإعلام والمنظمات غير الحكومية.</w:t>
      </w:r>
    </w:p>
    <w:p w:rsidR="00BD1F3C" w:rsidRDefault="00AF676A" w:rsidP="00AF676A">
      <w:pPr>
        <w:pStyle w:val="SingleTxtGA"/>
        <w:rPr>
          <w:rFonts w:hint="cs"/>
          <w:rtl/>
          <w:lang w:val="fr-CH"/>
        </w:rPr>
      </w:pPr>
      <w:r>
        <w:rPr>
          <w:rFonts w:hint="cs"/>
          <w:rtl/>
          <w:lang w:val="fr-CH"/>
        </w:rPr>
        <w:t>(</w:t>
      </w:r>
      <w:r w:rsidR="00BD1F3C">
        <w:rPr>
          <w:rFonts w:hint="cs"/>
          <w:rtl/>
          <w:lang w:val="fr-CH"/>
        </w:rPr>
        <w:t>28</w:t>
      </w:r>
      <w:r>
        <w:rPr>
          <w:rFonts w:hint="cs"/>
          <w:rtl/>
          <w:lang w:val="fr-CH"/>
        </w:rPr>
        <w:t>)</w:t>
      </w:r>
      <w:r w:rsidR="00BD1F3C">
        <w:rPr>
          <w:rtl/>
          <w:lang w:val="fr-CH"/>
        </w:rPr>
        <w:tab/>
        <w:t xml:space="preserve">وتطلب اللجنة </w:t>
      </w:r>
      <w:r w:rsidR="00BD1F3C">
        <w:rPr>
          <w:rFonts w:hint="cs"/>
          <w:rtl/>
          <w:lang w:val="fr-CH"/>
        </w:rPr>
        <w:t>إلى</w:t>
      </w:r>
      <w:r w:rsidR="00BD1F3C">
        <w:rPr>
          <w:rtl/>
          <w:lang w:val="fr-CH"/>
        </w:rPr>
        <w:t xml:space="preserve"> الدولة الطرف أن تقدم، بحلول </w:t>
      </w:r>
      <w:r w:rsidR="00BD1F3C">
        <w:rPr>
          <w:rFonts w:hint="cs"/>
          <w:rtl/>
          <w:lang w:val="fr-CH"/>
        </w:rPr>
        <w:t>23</w:t>
      </w:r>
      <w:r w:rsidR="00BD1F3C">
        <w:rPr>
          <w:rtl/>
          <w:lang w:val="fr-CH"/>
        </w:rPr>
        <w:t xml:space="preserve"> </w:t>
      </w:r>
      <w:r w:rsidR="00BD1F3C">
        <w:rPr>
          <w:rFonts w:hint="cs"/>
          <w:rtl/>
          <w:lang w:val="fr-CH"/>
        </w:rPr>
        <w:t>تشرين الثاني</w:t>
      </w:r>
      <w:r w:rsidR="00BD1F3C">
        <w:rPr>
          <w:rtl/>
          <w:lang w:val="fr-CH"/>
        </w:rPr>
        <w:t>/</w:t>
      </w:r>
      <w:r w:rsidR="00BD1F3C">
        <w:rPr>
          <w:rFonts w:hint="cs"/>
          <w:rtl/>
          <w:lang w:val="fr-CH"/>
        </w:rPr>
        <w:t xml:space="preserve">نوفمبر </w:t>
      </w:r>
      <w:r w:rsidR="00BD1F3C">
        <w:rPr>
          <w:rtl/>
          <w:lang w:val="fr-CH"/>
        </w:rPr>
        <w:t>201</w:t>
      </w:r>
      <w:r w:rsidR="00BD1F3C">
        <w:rPr>
          <w:rFonts w:hint="cs"/>
          <w:rtl/>
          <w:lang w:val="fr-CH"/>
        </w:rPr>
        <w:t>4</w:t>
      </w:r>
      <w:r w:rsidR="00BD1F3C">
        <w:rPr>
          <w:rtl/>
          <w:lang w:val="fr-CH"/>
        </w:rPr>
        <w:t>، معلومات متابعة رداً على توصيات اللجنة فيما يتعلق بالتالي: (أ) كفالة أو تعزيز الضمانات القانونية للأشخاص المحتجزين</w:t>
      </w:r>
      <w:r w:rsidR="00BD1F3C">
        <w:rPr>
          <w:rFonts w:hint="cs"/>
          <w:rtl/>
          <w:lang w:val="fr-CH"/>
        </w:rPr>
        <w:t>؛</w:t>
      </w:r>
      <w:r w:rsidR="00BD1F3C">
        <w:rPr>
          <w:rtl/>
          <w:lang w:val="fr-CH"/>
        </w:rPr>
        <w:t xml:space="preserve"> (ب) إجراء تحقيقات فورية </w:t>
      </w:r>
      <w:r w:rsidR="00BD1F3C">
        <w:rPr>
          <w:rFonts w:hint="cs"/>
          <w:rtl/>
          <w:lang w:val="fr-CH"/>
        </w:rPr>
        <w:t>ونزيهة</w:t>
      </w:r>
      <w:r w:rsidR="00BD1F3C">
        <w:rPr>
          <w:rtl/>
          <w:lang w:val="fr-CH"/>
        </w:rPr>
        <w:t xml:space="preserve"> وفعالة</w:t>
      </w:r>
      <w:r w:rsidR="00BD1F3C">
        <w:rPr>
          <w:rFonts w:hint="cs"/>
          <w:rtl/>
          <w:lang w:val="fr-CH"/>
        </w:rPr>
        <w:t>؛</w:t>
      </w:r>
      <w:r w:rsidR="00BD1F3C">
        <w:rPr>
          <w:rtl/>
          <w:lang w:val="fr-CH"/>
        </w:rPr>
        <w:t xml:space="preserve"> </w:t>
      </w:r>
      <w:r w:rsidR="00BD1F3C">
        <w:rPr>
          <w:rFonts w:hint="cs"/>
          <w:rtl/>
          <w:lang w:val="fr-CH"/>
        </w:rPr>
        <w:t xml:space="preserve">(ج) </w:t>
      </w:r>
      <w:r w:rsidR="00BD1F3C">
        <w:rPr>
          <w:rtl/>
          <w:lang w:val="fr-CH"/>
        </w:rPr>
        <w:t>مقاضاة الأشخاص المشتبه بارتكابهم أفعال التعذيب أو سوء المعاملة ومعاقبة مرتكبيها</w:t>
      </w:r>
      <w:r w:rsidR="00BD1F3C">
        <w:rPr>
          <w:rFonts w:hint="cs"/>
          <w:rtl/>
          <w:lang w:val="fr-CH"/>
        </w:rPr>
        <w:t>؛ (د) العنف ضد النساء،</w:t>
      </w:r>
      <w:r w:rsidR="00BD1F3C">
        <w:rPr>
          <w:rtl/>
          <w:lang w:val="fr-CH"/>
        </w:rPr>
        <w:t xml:space="preserve"> على النحو الوارد في </w:t>
      </w:r>
      <w:r w:rsidR="00BD1F3C">
        <w:rPr>
          <w:rFonts w:hint="cs"/>
          <w:rtl/>
          <w:lang w:val="fr-CH"/>
        </w:rPr>
        <w:t xml:space="preserve">الفقرات 10 و14 و19 </w:t>
      </w:r>
      <w:r w:rsidR="00BD1F3C">
        <w:rPr>
          <w:rtl/>
          <w:lang w:val="fr-CH"/>
        </w:rPr>
        <w:t xml:space="preserve">من هذه </w:t>
      </w:r>
      <w:r w:rsidR="00BD1F3C">
        <w:rPr>
          <w:rFonts w:hint="cs"/>
          <w:rtl/>
          <w:lang w:val="fr-CH"/>
        </w:rPr>
        <w:t>الملاحظات الختامية</w:t>
      </w:r>
      <w:r w:rsidR="00BD1F3C">
        <w:rPr>
          <w:rtl/>
          <w:lang w:val="fr-CH"/>
        </w:rPr>
        <w:t>.</w:t>
      </w:r>
    </w:p>
    <w:p w:rsidR="00BD1F3C" w:rsidRDefault="00AF676A" w:rsidP="00AF676A">
      <w:pPr>
        <w:pStyle w:val="SingleTxtGA"/>
        <w:rPr>
          <w:rtl/>
        </w:rPr>
      </w:pPr>
      <w:r>
        <w:rPr>
          <w:rFonts w:hint="cs"/>
          <w:rtl/>
          <w:lang w:val="fr-CH"/>
        </w:rPr>
        <w:t>(</w:t>
      </w:r>
      <w:r w:rsidR="00BD1F3C">
        <w:rPr>
          <w:rFonts w:hint="cs"/>
          <w:rtl/>
          <w:lang w:val="fr-CH"/>
        </w:rPr>
        <w:t>29</w:t>
      </w:r>
      <w:r>
        <w:rPr>
          <w:rFonts w:hint="cs"/>
          <w:rtl/>
          <w:lang w:val="fr-CH"/>
        </w:rPr>
        <w:t>)</w:t>
      </w:r>
      <w:r w:rsidR="00BD1F3C">
        <w:rPr>
          <w:rtl/>
          <w:lang w:val="fr-CH"/>
        </w:rPr>
        <w:tab/>
        <w:t xml:space="preserve">والدولة الطرف مدعوة إلى تقديم تقريرها المقبل، الذي سيكون التقرير الدوري الثالث، بحلول </w:t>
      </w:r>
      <w:r w:rsidR="00BD1F3C">
        <w:rPr>
          <w:rFonts w:hint="cs"/>
          <w:rtl/>
          <w:lang w:val="fr-CH"/>
        </w:rPr>
        <w:t>23</w:t>
      </w:r>
      <w:r w:rsidR="00BD1F3C">
        <w:rPr>
          <w:rtl/>
          <w:lang w:val="fr-CH"/>
        </w:rPr>
        <w:t xml:space="preserve"> </w:t>
      </w:r>
      <w:r w:rsidR="00BD1F3C">
        <w:rPr>
          <w:rFonts w:hint="cs"/>
          <w:rtl/>
          <w:lang w:val="fr-CH"/>
        </w:rPr>
        <w:t>تشرين الثاني</w:t>
      </w:r>
      <w:r w:rsidR="00BD1F3C">
        <w:rPr>
          <w:rtl/>
          <w:lang w:val="fr-CH"/>
        </w:rPr>
        <w:t>/</w:t>
      </w:r>
      <w:r w:rsidR="00BD1F3C">
        <w:rPr>
          <w:rFonts w:hint="cs"/>
          <w:rtl/>
          <w:lang w:val="fr-CH"/>
        </w:rPr>
        <w:t xml:space="preserve">نوفمبر </w:t>
      </w:r>
      <w:r w:rsidR="00BD1F3C">
        <w:rPr>
          <w:rtl/>
          <w:lang w:val="fr-CH"/>
        </w:rPr>
        <w:t>201</w:t>
      </w:r>
      <w:r w:rsidR="00BD1F3C">
        <w:rPr>
          <w:rFonts w:hint="cs"/>
          <w:rtl/>
          <w:lang w:val="fr-CH"/>
        </w:rPr>
        <w:t>6</w:t>
      </w:r>
      <w:r w:rsidR="00BD1F3C">
        <w:rPr>
          <w:rtl/>
          <w:lang w:val="fr-CH"/>
        </w:rPr>
        <w:t>. ولهذا الغرض، تدعو اللجنة الدولة الطرف إلى أن توافق</w:t>
      </w:r>
      <w:r w:rsidR="00BD1F3C">
        <w:rPr>
          <w:rFonts w:hint="cs"/>
          <w:rtl/>
          <w:lang w:val="fr-CH"/>
        </w:rPr>
        <w:t>،</w:t>
      </w:r>
      <w:r w:rsidR="00BD1F3C">
        <w:rPr>
          <w:rtl/>
          <w:lang w:val="fr-CH"/>
        </w:rPr>
        <w:t xml:space="preserve"> بحلول </w:t>
      </w:r>
      <w:r w:rsidR="00BD1F3C">
        <w:rPr>
          <w:rFonts w:hint="cs"/>
          <w:rtl/>
          <w:lang w:val="fr-CH"/>
        </w:rPr>
        <w:t>23</w:t>
      </w:r>
      <w:r w:rsidR="00BD1F3C">
        <w:rPr>
          <w:rtl/>
          <w:lang w:val="fr-CH"/>
        </w:rPr>
        <w:t xml:space="preserve"> </w:t>
      </w:r>
      <w:r w:rsidR="00BD1F3C">
        <w:rPr>
          <w:rFonts w:hint="cs"/>
          <w:rtl/>
          <w:lang w:val="fr-CH"/>
        </w:rPr>
        <w:t>تشرين الثاني</w:t>
      </w:r>
      <w:r w:rsidR="00BD1F3C">
        <w:rPr>
          <w:rtl/>
          <w:lang w:val="fr-CH"/>
        </w:rPr>
        <w:t>/</w:t>
      </w:r>
      <w:r w:rsidR="00BD1F3C">
        <w:rPr>
          <w:rFonts w:hint="cs"/>
          <w:rtl/>
          <w:lang w:val="fr-CH"/>
        </w:rPr>
        <w:t xml:space="preserve">نوفمبر </w:t>
      </w:r>
      <w:r w:rsidR="00BD1F3C">
        <w:rPr>
          <w:rtl/>
          <w:lang w:val="fr-CH"/>
        </w:rPr>
        <w:t>201</w:t>
      </w:r>
      <w:r w:rsidR="00BD1F3C">
        <w:rPr>
          <w:rFonts w:hint="cs"/>
          <w:rtl/>
          <w:lang w:val="fr-CH"/>
        </w:rPr>
        <w:t>3</w:t>
      </w:r>
      <w:r w:rsidR="00BD1F3C">
        <w:rPr>
          <w:rtl/>
          <w:lang w:val="fr-CH"/>
        </w:rPr>
        <w:t>، على تقديم التقارير بموجب إجرائها الاختياري لتقديم التقارير، الذي يتمثل في إحالة اللجنة إلى الدولة الطرف قائمة</w:t>
      </w:r>
      <w:r w:rsidR="009912C3">
        <w:rPr>
          <w:rFonts w:hint="cs"/>
          <w:rtl/>
          <w:lang w:val="fr-CH"/>
        </w:rPr>
        <w:t xml:space="preserve"> قضايا سابقة</w:t>
      </w:r>
      <w:r w:rsidR="00BD1F3C">
        <w:rPr>
          <w:rtl/>
          <w:lang w:val="fr-CH"/>
        </w:rPr>
        <w:t xml:space="preserve"> </w:t>
      </w:r>
      <w:r w:rsidR="009912C3">
        <w:rPr>
          <w:rFonts w:hint="cs"/>
          <w:rtl/>
          <w:lang w:val="fr-CH"/>
        </w:rPr>
        <w:t>ل</w:t>
      </w:r>
      <w:r w:rsidR="00BD1F3C">
        <w:rPr>
          <w:rtl/>
          <w:lang w:val="fr-CH"/>
        </w:rPr>
        <w:t xml:space="preserve">تقديم </w:t>
      </w:r>
      <w:r w:rsidR="00BD1F3C">
        <w:rPr>
          <w:rFonts w:hint="cs"/>
          <w:rtl/>
          <w:lang w:val="fr-CH"/>
        </w:rPr>
        <w:t>ال</w:t>
      </w:r>
      <w:r w:rsidR="00BD1F3C">
        <w:rPr>
          <w:rtl/>
          <w:lang w:val="fr-CH"/>
        </w:rPr>
        <w:t xml:space="preserve">تقرير. وسيشكل رد الدولة الطرف على قائمة </w:t>
      </w:r>
      <w:r w:rsidR="009912C3">
        <w:rPr>
          <w:rFonts w:hint="cs"/>
          <w:rtl/>
          <w:lang w:val="fr-CH"/>
        </w:rPr>
        <w:t>القضايا</w:t>
      </w:r>
      <w:r w:rsidR="00BD1F3C">
        <w:rPr>
          <w:rtl/>
          <w:lang w:val="fr-CH"/>
        </w:rPr>
        <w:t>، بموجب المادة 19 من الاتفاقية، تقريرها الدوري المقبل.</w:t>
      </w:r>
    </w:p>
    <w:p w:rsidR="00EE5D7D" w:rsidRPr="00AF676A" w:rsidRDefault="003A10A1" w:rsidP="00AF676A">
      <w:pPr>
        <w:pStyle w:val="SingleTxtGA"/>
        <w:rPr>
          <w:rFonts w:hint="cs"/>
          <w:b/>
          <w:bCs/>
          <w:rtl/>
        </w:rPr>
      </w:pPr>
      <w:r>
        <w:rPr>
          <w:rFonts w:hint="cs"/>
          <w:rtl/>
        </w:rPr>
        <w:t>64</w:t>
      </w:r>
      <w:r w:rsidR="00EE5D7D">
        <w:rPr>
          <w:rFonts w:hint="cs"/>
          <w:rtl/>
        </w:rPr>
        <w:t>-</w:t>
      </w:r>
      <w:r w:rsidR="00EE5D7D">
        <w:rPr>
          <w:rFonts w:hint="cs"/>
          <w:rtl/>
        </w:rPr>
        <w:tab/>
      </w:r>
      <w:r w:rsidR="00EE5D7D" w:rsidRPr="00AF676A">
        <w:rPr>
          <w:rFonts w:hint="cs"/>
          <w:b/>
          <w:bCs/>
          <w:rtl/>
        </w:rPr>
        <w:t>الاتحاد الروسي</w:t>
      </w:r>
    </w:p>
    <w:p w:rsidR="00BD1F3C" w:rsidRPr="00CE7E9D" w:rsidRDefault="00AF676A" w:rsidP="00AF676A">
      <w:pPr>
        <w:pStyle w:val="SingleTxtGA"/>
        <w:rPr>
          <w:spacing w:val="-2"/>
          <w:rtl/>
        </w:rPr>
      </w:pPr>
      <w:r>
        <w:rPr>
          <w:rFonts w:hint="cs"/>
          <w:spacing w:val="-2"/>
          <w:rtl/>
        </w:rPr>
        <w:t>(</w:t>
      </w:r>
      <w:r w:rsidR="00BD1F3C" w:rsidRPr="00CE7E9D">
        <w:rPr>
          <w:spacing w:val="-2"/>
          <w:rtl/>
        </w:rPr>
        <w:t>1</w:t>
      </w:r>
      <w:r>
        <w:rPr>
          <w:rFonts w:hint="cs"/>
          <w:spacing w:val="-2"/>
          <w:rtl/>
        </w:rPr>
        <w:t>)</w:t>
      </w:r>
      <w:r w:rsidR="00BD1F3C" w:rsidRPr="00CE7E9D">
        <w:rPr>
          <w:spacing w:val="-2"/>
          <w:rtl/>
        </w:rPr>
        <w:tab/>
        <w:t>نظرت لجنة مناهضة التعذيب في التقرير الدوري الخامس للاتحاد الروسي (</w:t>
      </w:r>
      <w:r w:rsidR="00BD1F3C" w:rsidRPr="00CE7E9D">
        <w:rPr>
          <w:spacing w:val="-2"/>
        </w:rPr>
        <w:t>CAT/C/RUS/5</w:t>
      </w:r>
      <w:r w:rsidR="00BD1F3C" w:rsidRPr="00CE7E9D">
        <w:rPr>
          <w:spacing w:val="-2"/>
          <w:rtl/>
        </w:rPr>
        <w:t>) في جلستيها 1112 و1115 (</w:t>
      </w:r>
      <w:r w:rsidR="00BD1F3C" w:rsidRPr="00CE7E9D">
        <w:rPr>
          <w:spacing w:val="-2"/>
        </w:rPr>
        <w:t>CAT/C/SR.1112</w:t>
      </w:r>
      <w:r w:rsidR="00BD1F3C" w:rsidRPr="00CE7E9D">
        <w:rPr>
          <w:spacing w:val="-2"/>
          <w:rtl/>
        </w:rPr>
        <w:t xml:space="preserve"> و</w:t>
      </w:r>
      <w:r w:rsidR="00BD1F3C" w:rsidRPr="00CE7E9D">
        <w:rPr>
          <w:spacing w:val="-2"/>
        </w:rPr>
        <w:t>CAT/C/SR.1115</w:t>
      </w:r>
      <w:r w:rsidR="00BD1F3C" w:rsidRPr="00CE7E9D">
        <w:rPr>
          <w:spacing w:val="-2"/>
          <w:rtl/>
        </w:rPr>
        <w:t>)، المعقودتين في 9 و12 تشرين الثاني/نوفمبر 2012، واعتمدت في جلستها 1130 (</w:t>
      </w:r>
      <w:r w:rsidR="00BD1F3C" w:rsidRPr="00CE7E9D">
        <w:rPr>
          <w:spacing w:val="-2"/>
        </w:rPr>
        <w:t>CAT/C/SR.1130</w:t>
      </w:r>
      <w:r w:rsidR="00BD1F3C" w:rsidRPr="00CE7E9D">
        <w:rPr>
          <w:spacing w:val="-2"/>
          <w:rtl/>
        </w:rPr>
        <w:t>)، المعقودة في 22 تشرين الثاني/نوفمبر 2012، الملاحظات الختامية التالية.</w:t>
      </w:r>
    </w:p>
    <w:p w:rsidR="00BD1F3C" w:rsidRPr="00AF676A" w:rsidRDefault="009F2FC3" w:rsidP="009F2FC3">
      <w:pPr>
        <w:pStyle w:val="H23GA"/>
        <w:tabs>
          <w:tab w:val="left" w:pos="1940"/>
        </w:tabs>
        <w:rPr>
          <w:rtl/>
        </w:rPr>
      </w:pPr>
      <w:r>
        <w:rPr>
          <w:rFonts w:hint="cs"/>
          <w:rtl/>
        </w:rPr>
        <w:tab/>
      </w:r>
      <w:r>
        <w:rPr>
          <w:rFonts w:hint="cs"/>
          <w:rtl/>
        </w:rPr>
        <w:tab/>
      </w:r>
      <w:r w:rsidR="00BD1F3C" w:rsidRPr="00AF676A">
        <w:rPr>
          <w:rtl/>
        </w:rPr>
        <w:t>ألف-</w:t>
      </w:r>
      <w:r w:rsidR="00BD1F3C" w:rsidRPr="00AF676A">
        <w:rPr>
          <w:rtl/>
        </w:rPr>
        <w:tab/>
        <w:t>مقدمة</w:t>
      </w:r>
    </w:p>
    <w:p w:rsidR="00BD1F3C" w:rsidRPr="00CE7E9D" w:rsidRDefault="00AF676A" w:rsidP="00AF676A">
      <w:pPr>
        <w:pStyle w:val="SingleTxtGA"/>
        <w:rPr>
          <w:spacing w:val="-2"/>
          <w:rtl/>
        </w:rPr>
      </w:pPr>
      <w:r>
        <w:rPr>
          <w:rFonts w:hint="cs"/>
          <w:spacing w:val="-2"/>
          <w:rtl/>
        </w:rPr>
        <w:t>(</w:t>
      </w:r>
      <w:r w:rsidR="00BD1F3C" w:rsidRPr="00CE7E9D">
        <w:rPr>
          <w:spacing w:val="-2"/>
          <w:rtl/>
        </w:rPr>
        <w:t>2</w:t>
      </w:r>
      <w:r>
        <w:rPr>
          <w:rFonts w:hint="cs"/>
          <w:spacing w:val="-2"/>
          <w:rtl/>
        </w:rPr>
        <w:t>)</w:t>
      </w:r>
      <w:r w:rsidR="00BD1F3C" w:rsidRPr="00CE7E9D">
        <w:rPr>
          <w:spacing w:val="-2"/>
          <w:rtl/>
        </w:rPr>
        <w:tab/>
        <w:t>ترحب اللجنة بتقديم التقرير الدوري الخامس للاتحاد الروسي رداً على قائمة</w:t>
      </w:r>
      <w:r w:rsidR="009912C3">
        <w:rPr>
          <w:rFonts w:hint="cs"/>
          <w:spacing w:val="-2"/>
          <w:rtl/>
        </w:rPr>
        <w:t xml:space="preserve"> القضايا</w:t>
      </w:r>
      <w:r w:rsidR="00BD1F3C" w:rsidRPr="00CE7E9D">
        <w:rPr>
          <w:spacing w:val="-2"/>
          <w:rtl/>
        </w:rPr>
        <w:t xml:space="preserve"> المُحالة قبل موعد التقديم (</w:t>
      </w:r>
      <w:r w:rsidR="00BD1F3C" w:rsidRPr="00CE7E9D">
        <w:rPr>
          <w:spacing w:val="-2"/>
        </w:rPr>
        <w:t>CAT/C/RUS/Q/5</w:t>
      </w:r>
      <w:r w:rsidR="00BD1F3C" w:rsidRPr="00CE7E9D">
        <w:rPr>
          <w:spacing w:val="-2"/>
          <w:rtl/>
        </w:rPr>
        <w:t xml:space="preserve">). وتعرب اللجنة عن تقديرها للدولة الطرف لقبولها الإجراء الاختياري لتقديم التقارير ولتقديمها تقريرها الدوري بموجب هذا الإجراء، الذي يعزز التعاون بين الدولة الطرف واللجنة </w:t>
      </w:r>
      <w:r w:rsidR="00BD1F3C" w:rsidRPr="00CE7E9D">
        <w:rPr>
          <w:rFonts w:hint="cs"/>
          <w:spacing w:val="-2"/>
          <w:rtl/>
        </w:rPr>
        <w:t xml:space="preserve">ويركز على دراسة </w:t>
      </w:r>
      <w:r w:rsidR="00BD1F3C" w:rsidRPr="00CE7E9D">
        <w:rPr>
          <w:spacing w:val="-2"/>
          <w:rtl/>
        </w:rPr>
        <w:t>التقرير وكذلك الحوار مع الوفد.</w:t>
      </w:r>
    </w:p>
    <w:p w:rsidR="00BD1F3C" w:rsidRDefault="00AF676A" w:rsidP="00AF676A">
      <w:pPr>
        <w:pStyle w:val="SingleTxtGA"/>
        <w:rPr>
          <w:rtl/>
        </w:rPr>
      </w:pPr>
      <w:r>
        <w:rPr>
          <w:rFonts w:hint="cs"/>
          <w:rtl/>
        </w:rPr>
        <w:t>(</w:t>
      </w:r>
      <w:r w:rsidR="00BD1F3C">
        <w:rPr>
          <w:rtl/>
        </w:rPr>
        <w:t>3</w:t>
      </w:r>
      <w:r>
        <w:rPr>
          <w:rFonts w:hint="cs"/>
          <w:rtl/>
        </w:rPr>
        <w:t>)</w:t>
      </w:r>
      <w:r w:rsidR="00BD1F3C">
        <w:rPr>
          <w:rtl/>
        </w:rPr>
        <w:tab/>
        <w:t>كما تشيد اللجنة بالحوار المفتوح الذي أجرته مع وفد الدولة الطرف الرفيع المستوى وبالمعلومات الإضافية المقدمة خلال النظر في التقرير، ولكنها تشعر بالأسف لأن بعض أسئلتها بقيت بلا رد.</w:t>
      </w:r>
    </w:p>
    <w:p w:rsidR="00BD1F3C" w:rsidRPr="00AF676A" w:rsidRDefault="009F2FC3" w:rsidP="009F2FC3">
      <w:pPr>
        <w:pStyle w:val="H23GA"/>
        <w:tabs>
          <w:tab w:val="left" w:pos="1926"/>
        </w:tabs>
        <w:spacing w:line="360" w:lineRule="exact"/>
        <w:rPr>
          <w:rtl/>
        </w:rPr>
      </w:pPr>
      <w:r>
        <w:rPr>
          <w:rFonts w:hint="cs"/>
          <w:rtl/>
        </w:rPr>
        <w:tab/>
      </w:r>
      <w:r>
        <w:rPr>
          <w:rFonts w:hint="cs"/>
          <w:rtl/>
        </w:rPr>
        <w:tab/>
      </w:r>
      <w:r w:rsidR="00BD1F3C" w:rsidRPr="00AF676A">
        <w:rPr>
          <w:rtl/>
        </w:rPr>
        <w:t>باء-</w:t>
      </w:r>
      <w:r w:rsidR="00BD1F3C" w:rsidRPr="00AF676A">
        <w:rPr>
          <w:rtl/>
        </w:rPr>
        <w:tab/>
        <w:t>الجوانب الإيجابية</w:t>
      </w:r>
    </w:p>
    <w:p w:rsidR="00BD1F3C" w:rsidRDefault="004B27AA" w:rsidP="009F2FC3">
      <w:pPr>
        <w:pStyle w:val="SingleTxtGA"/>
        <w:spacing w:line="360" w:lineRule="exact"/>
        <w:rPr>
          <w:rtl/>
        </w:rPr>
      </w:pPr>
      <w:r>
        <w:rPr>
          <w:rFonts w:hint="cs"/>
          <w:rtl/>
        </w:rPr>
        <w:t>(</w:t>
      </w:r>
      <w:r w:rsidR="00BD1F3C">
        <w:rPr>
          <w:rtl/>
        </w:rPr>
        <w:t>4</w:t>
      </w:r>
      <w:r>
        <w:rPr>
          <w:rFonts w:hint="cs"/>
          <w:rtl/>
        </w:rPr>
        <w:t>)</w:t>
      </w:r>
      <w:r w:rsidR="00BD1F3C">
        <w:rPr>
          <w:rtl/>
        </w:rPr>
        <w:tab/>
        <w:t>ترحب اللجنة بتصديق الدولة الطرف على الصكوك الدولية والإقليمية التالية أو</w:t>
      </w:r>
      <w:r w:rsidR="00BD1F3C">
        <w:rPr>
          <w:rFonts w:hint="cs"/>
          <w:rtl/>
        </w:rPr>
        <w:t> </w:t>
      </w:r>
      <w:r w:rsidR="00BD1F3C">
        <w:rPr>
          <w:rtl/>
        </w:rPr>
        <w:t>انضمامها إليها منذ النظر في تقريرها الدوري الرابع:</w:t>
      </w:r>
    </w:p>
    <w:p w:rsidR="00BD1F3C" w:rsidRDefault="00BD1F3C" w:rsidP="009F2FC3">
      <w:pPr>
        <w:pStyle w:val="SingleTxtGA"/>
        <w:spacing w:line="360" w:lineRule="exact"/>
        <w:rPr>
          <w:rtl/>
        </w:rPr>
      </w:pPr>
      <w:r>
        <w:rPr>
          <w:rFonts w:hint="cs"/>
          <w:rtl/>
        </w:rPr>
        <w:tab/>
      </w:r>
      <w:r>
        <w:rPr>
          <w:rtl/>
        </w:rPr>
        <w:t>(أ)</w:t>
      </w:r>
      <w:r>
        <w:rPr>
          <w:rtl/>
        </w:rPr>
        <w:tab/>
        <w:t>البروتوكول الاختياري لاتفاقية حقوق الطفل المتعلق بإشراك الأطفال في النزاعات المسلحة، في عام 2008؛</w:t>
      </w:r>
    </w:p>
    <w:p w:rsidR="00BD1F3C" w:rsidRDefault="00BD1F3C" w:rsidP="009F2FC3">
      <w:pPr>
        <w:pStyle w:val="SingleTxtGA"/>
        <w:spacing w:line="360" w:lineRule="exact"/>
        <w:rPr>
          <w:rtl/>
        </w:rPr>
      </w:pPr>
      <w:r>
        <w:rPr>
          <w:rFonts w:hint="cs"/>
          <w:rtl/>
        </w:rPr>
        <w:tab/>
      </w:r>
      <w:r>
        <w:rPr>
          <w:rtl/>
        </w:rPr>
        <w:t>(ب)</w:t>
      </w:r>
      <w:r>
        <w:rPr>
          <w:rtl/>
        </w:rPr>
        <w:tab/>
        <w:t>اتفاقية حقوق الأشخاص ذوي الإعاقة، في عام 2012؛</w:t>
      </w:r>
    </w:p>
    <w:p w:rsidR="00BD1F3C" w:rsidRPr="00CE7E9D" w:rsidRDefault="00BD1F3C" w:rsidP="009F2FC3">
      <w:pPr>
        <w:pStyle w:val="SingleTxtGA"/>
        <w:spacing w:line="360" w:lineRule="exact"/>
        <w:rPr>
          <w:spacing w:val="-3"/>
          <w:rtl/>
        </w:rPr>
      </w:pPr>
      <w:r w:rsidRPr="00CE7E9D">
        <w:rPr>
          <w:rFonts w:hint="cs"/>
          <w:spacing w:val="-3"/>
          <w:rtl/>
        </w:rPr>
        <w:tab/>
      </w:r>
      <w:r w:rsidRPr="00CE7E9D">
        <w:rPr>
          <w:spacing w:val="-3"/>
          <w:rtl/>
        </w:rPr>
        <w:t>(ج)</w:t>
      </w:r>
      <w:r w:rsidRPr="00CE7E9D">
        <w:rPr>
          <w:spacing w:val="-3"/>
          <w:rtl/>
        </w:rPr>
        <w:tab/>
        <w:t>البروتوكول رقم 14 الملحق باتفاقية حماية حقوق الإنسان والحريات الأساسية (الاتفاقية الأوروبية لحقوق الإنسان)، ما أفضى إلى بدء نفاذ البروتوكول في عام 2010؛</w:t>
      </w:r>
    </w:p>
    <w:p w:rsidR="00BD1F3C" w:rsidRDefault="00BD1F3C" w:rsidP="009F2FC3">
      <w:pPr>
        <w:pStyle w:val="SingleTxtGA"/>
        <w:spacing w:line="360" w:lineRule="exact"/>
        <w:rPr>
          <w:rtl/>
        </w:rPr>
      </w:pPr>
      <w:r>
        <w:rPr>
          <w:rFonts w:hint="cs"/>
          <w:rtl/>
        </w:rPr>
        <w:tab/>
      </w:r>
      <w:r>
        <w:rPr>
          <w:rtl/>
        </w:rPr>
        <w:t>(د)</w:t>
      </w:r>
      <w:r>
        <w:rPr>
          <w:rtl/>
        </w:rPr>
        <w:tab/>
        <w:t>اتفاقية الأمم المتحدة لمكافحة الجريمة المنظمة عبر الوطنية وبروتوكول منع وقمع ومعاقبة الاتجار بالأشخاص</w:t>
      </w:r>
      <w:r>
        <w:rPr>
          <w:rFonts w:hint="cs"/>
          <w:rtl/>
        </w:rPr>
        <w:t>،</w:t>
      </w:r>
      <w:r>
        <w:rPr>
          <w:rtl/>
        </w:rPr>
        <w:t xml:space="preserve"> وبخاصة النساء والأطفال</w:t>
      </w:r>
      <w:r>
        <w:rPr>
          <w:rFonts w:hint="cs"/>
          <w:rtl/>
        </w:rPr>
        <w:t>،</w:t>
      </w:r>
      <w:r>
        <w:rPr>
          <w:rtl/>
        </w:rPr>
        <w:t xml:space="preserve"> المكمل لها، في عام 2004.</w:t>
      </w:r>
    </w:p>
    <w:p w:rsidR="00BD1F3C" w:rsidRDefault="004B27AA" w:rsidP="009F2FC3">
      <w:pPr>
        <w:pStyle w:val="SingleTxtGA"/>
        <w:spacing w:line="360" w:lineRule="exact"/>
        <w:rPr>
          <w:rtl/>
        </w:rPr>
      </w:pPr>
      <w:r>
        <w:rPr>
          <w:rFonts w:hint="cs"/>
          <w:rtl/>
        </w:rPr>
        <w:t>(</w:t>
      </w:r>
      <w:r w:rsidR="00BD1F3C">
        <w:rPr>
          <w:rtl/>
        </w:rPr>
        <w:t>5</w:t>
      </w:r>
      <w:r>
        <w:rPr>
          <w:rFonts w:hint="cs"/>
          <w:rtl/>
        </w:rPr>
        <w:t>)</w:t>
      </w:r>
      <w:r w:rsidR="00BD1F3C">
        <w:rPr>
          <w:rtl/>
        </w:rPr>
        <w:tab/>
        <w:t>وترحب اللجنة بالمعلومات المقدَّمة بشأن شتى التدابير التشريعية والإدارية والمؤسسية والعملية المتخذة لتحسين مستوى تعزيز وحماية حقوق الإنسان في الدولة الطرف منذ النظر في التقرير الدوري الرابع، وبخاصة ما يلي:</w:t>
      </w:r>
    </w:p>
    <w:p w:rsidR="00BD1F3C" w:rsidRDefault="00BD1F3C" w:rsidP="009F2FC3">
      <w:pPr>
        <w:pStyle w:val="SingleTxtGA"/>
        <w:spacing w:line="360" w:lineRule="exact"/>
        <w:rPr>
          <w:rtl/>
        </w:rPr>
      </w:pPr>
      <w:r>
        <w:rPr>
          <w:rFonts w:hint="cs"/>
          <w:rtl/>
        </w:rPr>
        <w:tab/>
      </w:r>
      <w:r>
        <w:rPr>
          <w:rtl/>
        </w:rPr>
        <w:t>(أ)</w:t>
      </w:r>
      <w:r>
        <w:rPr>
          <w:rtl/>
        </w:rPr>
        <w:tab/>
        <w:t>إنشاء لجنة التقصي المكلفة بإجراء التحقيقات، المنفصلة عن مكتب المدعي العام، وبالتالي تنفيذ التوصية السابقة للجنة؛</w:t>
      </w:r>
    </w:p>
    <w:p w:rsidR="00BD1F3C" w:rsidRDefault="00BD1F3C" w:rsidP="009F2FC3">
      <w:pPr>
        <w:pStyle w:val="SingleTxtGA"/>
        <w:spacing w:line="360" w:lineRule="exact"/>
        <w:rPr>
          <w:rtl/>
        </w:rPr>
      </w:pPr>
      <w:r>
        <w:rPr>
          <w:rFonts w:hint="cs"/>
          <w:rtl/>
        </w:rPr>
        <w:tab/>
      </w:r>
      <w:r>
        <w:rPr>
          <w:rtl/>
        </w:rPr>
        <w:t>(ب)</w:t>
      </w:r>
      <w:r>
        <w:rPr>
          <w:rtl/>
        </w:rPr>
        <w:tab/>
        <w:t>إنشاء آلية رصد أماكن الاحتجاز من خلال لجان الرقابة العامة في إطار القانون الاتحادي لعام 2008 المتعلق بالرقابة العامة لمدى مراعاة حقوق الإنسان في أماكن الاحتجاز وبتقديم المساعدة إلى نزلائها؛</w:t>
      </w:r>
    </w:p>
    <w:p w:rsidR="00BD1F3C" w:rsidRDefault="00BD1F3C" w:rsidP="009F2FC3">
      <w:pPr>
        <w:pStyle w:val="SingleTxtGA"/>
        <w:spacing w:line="360" w:lineRule="exact"/>
        <w:rPr>
          <w:rtl/>
        </w:rPr>
      </w:pPr>
      <w:r>
        <w:rPr>
          <w:rFonts w:hint="cs"/>
          <w:rtl/>
        </w:rPr>
        <w:tab/>
      </w:r>
      <w:r>
        <w:rPr>
          <w:rtl/>
        </w:rPr>
        <w:t>(ج)</w:t>
      </w:r>
      <w:r>
        <w:rPr>
          <w:rtl/>
        </w:rPr>
        <w:tab/>
        <w:t xml:space="preserve">اعتماد القانون الاتحادي رقم </w:t>
      </w:r>
      <w:r>
        <w:t>FZ 68</w:t>
      </w:r>
      <w:r>
        <w:rPr>
          <w:rtl/>
        </w:rPr>
        <w:t xml:space="preserve"> المتعلق بالتعويض عن انتهاك الحق في اللجوء إلى القضاء أو في إنفاذ قرار قضائي في غضون فترة زمنية معقولة، وذلك في 30 نيسان/أبريل 2010؛</w:t>
      </w:r>
    </w:p>
    <w:p w:rsidR="00BD1F3C" w:rsidRDefault="00BD1F3C" w:rsidP="009F2FC3">
      <w:pPr>
        <w:pStyle w:val="SingleTxtGA"/>
        <w:spacing w:line="360" w:lineRule="exact"/>
        <w:rPr>
          <w:rtl/>
        </w:rPr>
      </w:pPr>
      <w:r>
        <w:rPr>
          <w:rFonts w:hint="cs"/>
          <w:rtl/>
        </w:rPr>
        <w:tab/>
      </w:r>
      <w:r>
        <w:rPr>
          <w:rtl/>
        </w:rPr>
        <w:t>(د)</w:t>
      </w:r>
      <w:r>
        <w:rPr>
          <w:rtl/>
        </w:rPr>
        <w:tab/>
        <w:t>التدابير العملية المتخذة، بما في ذلك من خلال تعديلات القوانين، والتي أدت إلى انخفاض عدد نزلاء السجون وعدد من هم رهن الحبس الاحتياطي، وذلك بتقليص عدد العقوبات بموجب القانون الجنائي الذي يلغي الاحتجاز بتهمة ارتكاب عدد من الجرائم الاقتصادية ويعتمد عقوبات بديلة، ويندرج هذا، كما أوضح ممثل الدولة الطرف، ضمن المسعى الرامي إلى أنسنة نظام العقوبات الجنائية.</w:t>
      </w:r>
    </w:p>
    <w:p w:rsidR="00BD1F3C" w:rsidRPr="004B27AA" w:rsidRDefault="009F2FC3" w:rsidP="009F2FC3">
      <w:pPr>
        <w:pStyle w:val="H23GA"/>
        <w:tabs>
          <w:tab w:val="left" w:pos="1940"/>
        </w:tabs>
        <w:rPr>
          <w:rtl/>
        </w:rPr>
      </w:pPr>
      <w:r>
        <w:rPr>
          <w:rFonts w:hint="cs"/>
          <w:rtl/>
        </w:rPr>
        <w:tab/>
      </w:r>
      <w:r>
        <w:rPr>
          <w:rFonts w:hint="cs"/>
          <w:rtl/>
        </w:rPr>
        <w:tab/>
      </w:r>
      <w:r w:rsidR="00BD1F3C" w:rsidRPr="004B27AA">
        <w:rPr>
          <w:rtl/>
        </w:rPr>
        <w:t>جيم-</w:t>
      </w:r>
      <w:r w:rsidR="00BD1F3C" w:rsidRPr="004B27AA">
        <w:rPr>
          <w:rtl/>
        </w:rPr>
        <w:tab/>
        <w:t>دواعي القلق الرئيسية والتوصيات</w:t>
      </w:r>
    </w:p>
    <w:p w:rsidR="00BD1F3C" w:rsidRDefault="00BD1F3C" w:rsidP="00BD1F3C">
      <w:pPr>
        <w:pStyle w:val="H23GA"/>
        <w:rPr>
          <w:rtl/>
        </w:rPr>
      </w:pPr>
      <w:r>
        <w:rPr>
          <w:rtl/>
        </w:rPr>
        <w:tab/>
      </w:r>
      <w:r>
        <w:rPr>
          <w:rtl/>
        </w:rPr>
        <w:tab/>
        <w:t>التعذيب وإساءة المعاملة</w:t>
      </w:r>
    </w:p>
    <w:p w:rsidR="00BD1F3C" w:rsidRPr="00896F95" w:rsidRDefault="004B27AA" w:rsidP="004B27AA">
      <w:pPr>
        <w:pStyle w:val="SingleTxtGA"/>
        <w:rPr>
          <w:spacing w:val="-2"/>
          <w:rtl/>
        </w:rPr>
      </w:pPr>
      <w:r w:rsidRPr="00896F95">
        <w:rPr>
          <w:rFonts w:hint="cs"/>
          <w:spacing w:val="-2"/>
          <w:rtl/>
        </w:rPr>
        <w:t>(</w:t>
      </w:r>
      <w:r w:rsidR="00BD1F3C" w:rsidRPr="00896F95">
        <w:rPr>
          <w:spacing w:val="-2"/>
          <w:rtl/>
        </w:rPr>
        <w:t>6</w:t>
      </w:r>
      <w:r w:rsidRPr="00896F95">
        <w:rPr>
          <w:rFonts w:hint="cs"/>
          <w:spacing w:val="-2"/>
          <w:rtl/>
        </w:rPr>
        <w:t>)</w:t>
      </w:r>
      <w:r w:rsidR="00BD1F3C" w:rsidRPr="00896F95">
        <w:rPr>
          <w:spacing w:val="-2"/>
          <w:rtl/>
        </w:rPr>
        <w:tab/>
        <w:t>يساور اللجنة قلق بخصوص التقارير المتواترة بشأن شيوع ممارسة تعذيب المحتجزين وإساءة معاملتهم في الدولة الطرف، بما في ذلك استخدامها كوسيلة لانتزاع الاعترافات. وتلاحظ التباين بين العدد الكبير من الشكاوى المقدمة بشأن التعرض للتعذيب وإساءة المعاملة والعدد الضئيل نسبياً من القضايا الجنائية التي عُرِضت بالمقابل على المحاكم وأفضت إلى إدانة الجناة. كما تشعر اللجنة بالقلق إزاء إشارة الدولة الطرف في تقريرها إلى أنه لم يثبت وقوع أي حالة من حالات التعذيب وغيره من ضروب المعاملة أو العقوبة القاسية أو اللاإنسانية أو</w:t>
      </w:r>
      <w:r w:rsidR="00BD1F3C" w:rsidRPr="00896F95">
        <w:rPr>
          <w:rFonts w:hint="cs"/>
          <w:spacing w:val="-2"/>
          <w:rtl/>
        </w:rPr>
        <w:t> </w:t>
      </w:r>
      <w:r w:rsidR="00BD1F3C" w:rsidRPr="00896F95">
        <w:rPr>
          <w:spacing w:val="-2"/>
          <w:rtl/>
        </w:rPr>
        <w:t xml:space="preserve">المهينة في مراكز الحبس الاحتياطي، </w:t>
      </w:r>
      <w:r w:rsidR="00BD1F3C" w:rsidRPr="00896F95">
        <w:rPr>
          <w:rFonts w:hint="cs"/>
          <w:spacing w:val="-2"/>
          <w:rtl/>
        </w:rPr>
        <w:t xml:space="preserve">مع أن اللجنة </w:t>
      </w:r>
      <w:r w:rsidR="00BD1F3C" w:rsidRPr="00896F95">
        <w:rPr>
          <w:spacing w:val="-2"/>
          <w:rtl/>
        </w:rPr>
        <w:t>تعلم بوجود تقارير عديدة حديثة العهد توثق أفعال تعذيب في هذه المراكز، على سبيل المثال في حالتي بافيل دروزدوف وسير</w:t>
      </w:r>
      <w:r w:rsidR="00BD1F3C" w:rsidRPr="00896F95">
        <w:rPr>
          <w:rFonts w:hint="cs"/>
          <w:spacing w:val="-2"/>
          <w:rtl/>
        </w:rPr>
        <w:t>غ</w:t>
      </w:r>
      <w:r w:rsidR="00BD1F3C" w:rsidRPr="00896F95">
        <w:rPr>
          <w:spacing w:val="-2"/>
          <w:rtl/>
        </w:rPr>
        <w:t xml:space="preserve">ي نازاروف اللذين توفيا عقب </w:t>
      </w:r>
      <w:r w:rsidR="00BD1F3C" w:rsidRPr="00896F95">
        <w:rPr>
          <w:rFonts w:hint="cs"/>
          <w:spacing w:val="-2"/>
          <w:rtl/>
        </w:rPr>
        <w:t xml:space="preserve">تعرضهما للتعذيب </w:t>
      </w:r>
      <w:r w:rsidR="00BD1F3C" w:rsidRPr="00896F95">
        <w:rPr>
          <w:spacing w:val="-2"/>
          <w:rtl/>
        </w:rPr>
        <w:t>في مركز الاحتجاز في عام 2012 (المواد 2 و4 و12 و16).</w:t>
      </w:r>
    </w:p>
    <w:p w:rsidR="00BD1F3C" w:rsidRPr="00CE7E9D" w:rsidRDefault="00BD1F3C" w:rsidP="00BD1F3C">
      <w:pPr>
        <w:pStyle w:val="SingleTxtGA"/>
        <w:rPr>
          <w:b/>
          <w:bCs/>
          <w:rtl/>
        </w:rPr>
      </w:pPr>
      <w:r>
        <w:rPr>
          <w:rFonts w:hint="cs"/>
          <w:b/>
          <w:bCs/>
          <w:rtl/>
        </w:rPr>
        <w:tab/>
      </w:r>
      <w:r w:rsidRPr="00CE7E9D">
        <w:rPr>
          <w:b/>
          <w:bCs/>
          <w:rtl/>
        </w:rPr>
        <w:t>ينبغي أن تتخذ الدولة الطرف، بشكل عاجل، تدابير مباشرة وفعالة لمنع جميع أفعال التعذيب وإساءة المعاملة في سائر أرجاء البلد وللقضاء على ظاهرة إفلات من يُزعَم أنهم مسؤولون عنها من العقاب. وينبغي أن تؤكد الدولة الطرف بشكل قاطع حظرها المطلق للتعذيب وأن توضح علناً أن مرتكبي جريمة التعذيب ومن يتواطؤون فيها أو</w:t>
      </w:r>
      <w:r>
        <w:rPr>
          <w:rFonts w:hint="cs"/>
          <w:b/>
          <w:bCs/>
          <w:rtl/>
        </w:rPr>
        <w:t> </w:t>
      </w:r>
      <w:r w:rsidRPr="00CE7E9D">
        <w:rPr>
          <w:b/>
          <w:bCs/>
          <w:rtl/>
        </w:rPr>
        <w:t>يمتثلون لأمر ارتكابها سيُساءلون عن انتهاكاتهم وسيخضعون للملاحقة الجنائية وللعقوبات المناسبة.</w:t>
      </w:r>
    </w:p>
    <w:p w:rsidR="00BD1F3C" w:rsidRDefault="00BD1F3C" w:rsidP="00BD1F3C">
      <w:pPr>
        <w:pStyle w:val="H23GA"/>
        <w:rPr>
          <w:rtl/>
        </w:rPr>
      </w:pPr>
      <w:r>
        <w:rPr>
          <w:rFonts w:hint="cs"/>
          <w:rtl/>
        </w:rPr>
        <w:tab/>
      </w:r>
      <w:r>
        <w:rPr>
          <w:rFonts w:hint="cs"/>
          <w:rtl/>
        </w:rPr>
        <w:tab/>
      </w:r>
      <w:r>
        <w:rPr>
          <w:rtl/>
        </w:rPr>
        <w:t>تعريف التعذيب وتجريمه</w:t>
      </w:r>
    </w:p>
    <w:p w:rsidR="00BD1F3C" w:rsidRPr="00896F95" w:rsidRDefault="004B27AA" w:rsidP="00896F95">
      <w:pPr>
        <w:pStyle w:val="SingleTxtGA"/>
        <w:rPr>
          <w:spacing w:val="-2"/>
          <w:rtl/>
        </w:rPr>
      </w:pPr>
      <w:r w:rsidRPr="00896F95">
        <w:rPr>
          <w:rFonts w:hint="cs"/>
          <w:spacing w:val="-2"/>
          <w:rtl/>
        </w:rPr>
        <w:t>(</w:t>
      </w:r>
      <w:r w:rsidR="00BD1F3C" w:rsidRPr="00896F95">
        <w:rPr>
          <w:spacing w:val="-2"/>
          <w:rtl/>
        </w:rPr>
        <w:t>7</w:t>
      </w:r>
      <w:r w:rsidRPr="00896F95">
        <w:rPr>
          <w:rFonts w:hint="cs"/>
          <w:spacing w:val="-2"/>
          <w:rtl/>
        </w:rPr>
        <w:t>)</w:t>
      </w:r>
      <w:r w:rsidR="00BD1F3C" w:rsidRPr="00896F95">
        <w:rPr>
          <w:spacing w:val="-2"/>
          <w:rtl/>
        </w:rPr>
        <w:tab/>
      </w:r>
      <w:r w:rsidR="00BD1F3C" w:rsidRPr="00896F95">
        <w:rPr>
          <w:rFonts w:hint="cs"/>
          <w:spacing w:val="-2"/>
          <w:rtl/>
        </w:rPr>
        <w:t xml:space="preserve">لا تزال اللجنة، </w:t>
      </w:r>
      <w:r w:rsidR="00BD1F3C" w:rsidRPr="00896F95">
        <w:rPr>
          <w:spacing w:val="-2"/>
          <w:rtl/>
        </w:rPr>
        <w:t xml:space="preserve">فيما يخص الملاحظات الختامية </w:t>
      </w:r>
      <w:r w:rsidR="00BD1F3C" w:rsidRPr="00896F95">
        <w:rPr>
          <w:rFonts w:hint="cs"/>
          <w:spacing w:val="-2"/>
          <w:rtl/>
        </w:rPr>
        <w:t>التي سبق أن قدمتها</w:t>
      </w:r>
      <w:r w:rsidR="00BD1F3C" w:rsidRPr="00896F95">
        <w:rPr>
          <w:spacing w:val="-2"/>
          <w:rtl/>
        </w:rPr>
        <w:t>، تشعر بالقلق لأن تعريف مصطلح "التعذيب"، بصيغته الواردة في حاشية المادة 117 من القانون الجنائي، لا</w:t>
      </w:r>
      <w:r w:rsidR="00896F95">
        <w:rPr>
          <w:rFonts w:hint="eastAsia"/>
          <w:spacing w:val="-2"/>
          <w:rtl/>
        </w:rPr>
        <w:t> </w:t>
      </w:r>
      <w:r w:rsidR="00BD1F3C" w:rsidRPr="00896F95">
        <w:rPr>
          <w:spacing w:val="-2"/>
          <w:rtl/>
        </w:rPr>
        <w:t>يعكس بشكل كامل جميع عناصر التعريف الوارد في المادة 1 من الاتفاقية، الذي يشمل تورط موظف عام أو شخص آخر يتصرف بصفة رسمية في ممارسة التعذيب أو التحريض عليه</w:t>
      </w:r>
      <w:r w:rsidR="00896F95">
        <w:rPr>
          <w:rFonts w:hint="cs"/>
          <w:spacing w:val="-2"/>
          <w:rtl/>
        </w:rPr>
        <w:t xml:space="preserve"> </w:t>
      </w:r>
      <w:r w:rsidR="00BD1F3C" w:rsidRPr="00896F95">
        <w:rPr>
          <w:spacing w:val="-2"/>
          <w:rtl/>
        </w:rPr>
        <w:t xml:space="preserve">أو الموافقة عليه أو الامتثال لأمر القيام به. فلا يعالج التعريف الأفعال الرامية إلى </w:t>
      </w:r>
      <w:r w:rsidR="00BD1F3C" w:rsidRPr="00896F95">
        <w:rPr>
          <w:rFonts w:hint="cs"/>
          <w:spacing w:val="-2"/>
          <w:rtl/>
        </w:rPr>
        <w:t xml:space="preserve">إجبار </w:t>
      </w:r>
      <w:r w:rsidR="00BD1F3C" w:rsidRPr="00896F95">
        <w:rPr>
          <w:spacing w:val="-2"/>
          <w:rtl/>
        </w:rPr>
        <w:t xml:space="preserve">طرف ثالث باعتبارها ضرباً من ضروب التعذيب. </w:t>
      </w:r>
      <w:r w:rsidR="00BD1F3C" w:rsidRPr="00896F95">
        <w:rPr>
          <w:rFonts w:hint="cs"/>
          <w:spacing w:val="-2"/>
          <w:rtl/>
        </w:rPr>
        <w:t xml:space="preserve">ومما </w:t>
      </w:r>
      <w:r w:rsidR="00BD1F3C" w:rsidRPr="00896F95">
        <w:rPr>
          <w:spacing w:val="-2"/>
          <w:rtl/>
        </w:rPr>
        <w:t xml:space="preserve">يُقلِق اللجنةَ </w:t>
      </w:r>
      <w:r w:rsidR="00BD1F3C" w:rsidRPr="00896F95">
        <w:rPr>
          <w:rFonts w:hint="cs"/>
          <w:spacing w:val="-2"/>
          <w:rtl/>
        </w:rPr>
        <w:t xml:space="preserve">أيضاً </w:t>
      </w:r>
      <w:r w:rsidR="00BD1F3C" w:rsidRPr="00896F95">
        <w:rPr>
          <w:spacing w:val="-2"/>
          <w:rtl/>
        </w:rPr>
        <w:t>أن المادة 117 نادرا</w:t>
      </w:r>
      <w:r w:rsidR="00BD1F3C" w:rsidRPr="00896F95">
        <w:rPr>
          <w:rFonts w:hint="cs"/>
          <w:spacing w:val="-2"/>
          <w:rtl/>
        </w:rPr>
        <w:t>ً</w:t>
      </w:r>
      <w:r w:rsidR="00896F95" w:rsidRPr="00896F95">
        <w:rPr>
          <w:rFonts w:hint="cs"/>
          <w:spacing w:val="-2"/>
          <w:rtl/>
        </w:rPr>
        <w:t> </w:t>
      </w:r>
      <w:r w:rsidR="00BD1F3C" w:rsidRPr="00896F95">
        <w:rPr>
          <w:spacing w:val="-2"/>
          <w:rtl/>
        </w:rPr>
        <w:t>ما</w:t>
      </w:r>
      <w:r w:rsidR="00896F95" w:rsidRPr="00896F95">
        <w:rPr>
          <w:rFonts w:hint="cs"/>
          <w:spacing w:val="-2"/>
          <w:rtl/>
        </w:rPr>
        <w:t xml:space="preserve"> </w:t>
      </w:r>
      <w:r w:rsidR="00BD1F3C" w:rsidRPr="00896F95">
        <w:rPr>
          <w:spacing w:val="-2"/>
          <w:rtl/>
        </w:rPr>
        <w:t xml:space="preserve">تُطبَّق </w:t>
      </w:r>
      <w:r w:rsidR="00BD1F3C" w:rsidRPr="00DB5483">
        <w:rPr>
          <w:spacing w:val="-4"/>
          <w:rtl/>
        </w:rPr>
        <w:t xml:space="preserve">وأن الموظفين المشتبه </w:t>
      </w:r>
      <w:r w:rsidR="00BD1F3C" w:rsidRPr="00DB5483">
        <w:rPr>
          <w:rFonts w:hint="cs"/>
          <w:spacing w:val="-4"/>
          <w:rtl/>
        </w:rPr>
        <w:t xml:space="preserve">في </w:t>
      </w:r>
      <w:r w:rsidR="00BD1F3C" w:rsidRPr="00DB5483">
        <w:rPr>
          <w:spacing w:val="-4"/>
          <w:rtl/>
        </w:rPr>
        <w:t xml:space="preserve">ارتكابهم أفعال التعذيب يلاحَقون في معظم الحالات بموجب المادة 286 </w:t>
      </w:r>
      <w:r w:rsidR="00BD1F3C" w:rsidRPr="00896F95">
        <w:rPr>
          <w:spacing w:val="-2"/>
          <w:rtl/>
        </w:rPr>
        <w:t xml:space="preserve">"إساءة استعمال السلطة" والمادة 302 "انتزاع الاعترافات". وعلاوة على ذلك، </w:t>
      </w:r>
      <w:r w:rsidR="00BD1F3C" w:rsidRPr="00896F95">
        <w:rPr>
          <w:rFonts w:hint="cs"/>
          <w:spacing w:val="-2"/>
          <w:rtl/>
        </w:rPr>
        <w:t xml:space="preserve">فإن </w:t>
      </w:r>
      <w:r w:rsidR="00BD1F3C" w:rsidRPr="00896F95">
        <w:rPr>
          <w:spacing w:val="-2"/>
          <w:rtl/>
        </w:rPr>
        <w:t xml:space="preserve">اللجنةَ </w:t>
      </w:r>
      <w:r w:rsidR="00BD1F3C" w:rsidRPr="00896F95">
        <w:rPr>
          <w:rFonts w:hint="cs"/>
          <w:spacing w:val="-2"/>
          <w:rtl/>
        </w:rPr>
        <w:t xml:space="preserve">يساورها القلق لعدم تجريم </w:t>
      </w:r>
      <w:r w:rsidR="00BD1F3C" w:rsidRPr="00896F95">
        <w:rPr>
          <w:spacing w:val="-2"/>
          <w:rtl/>
        </w:rPr>
        <w:t>التعذيب باعتباره جريمة مستقلة في القانون الجنائي (المادة 1).</w:t>
      </w:r>
    </w:p>
    <w:p w:rsidR="00BD1F3C" w:rsidRPr="00CE7E9D" w:rsidRDefault="00BD1F3C" w:rsidP="00BD1F3C">
      <w:pPr>
        <w:pStyle w:val="SingleTxtGA"/>
        <w:rPr>
          <w:b/>
          <w:bCs/>
          <w:rtl/>
        </w:rPr>
      </w:pPr>
      <w:r>
        <w:rPr>
          <w:rFonts w:hint="cs"/>
          <w:b/>
          <w:bCs/>
          <w:rtl/>
        </w:rPr>
        <w:tab/>
      </w:r>
      <w:r w:rsidRPr="00CE7E9D">
        <w:rPr>
          <w:b/>
          <w:bCs/>
          <w:rtl/>
        </w:rPr>
        <w:t>توصي اللجنة الدولة الطرف مرة أخرى بأن تجعل تعريفها للتعذيب متوافقا</w:t>
      </w:r>
      <w:r>
        <w:rPr>
          <w:rFonts w:hint="cs"/>
          <w:b/>
          <w:bCs/>
          <w:rtl/>
        </w:rPr>
        <w:t>ً</w:t>
      </w:r>
      <w:r w:rsidRPr="00CE7E9D">
        <w:rPr>
          <w:b/>
          <w:bCs/>
          <w:rtl/>
        </w:rPr>
        <w:t xml:space="preserve"> تماما</w:t>
      </w:r>
      <w:r>
        <w:rPr>
          <w:rFonts w:hint="cs"/>
          <w:b/>
          <w:bCs/>
          <w:rtl/>
        </w:rPr>
        <w:t>ً</w:t>
      </w:r>
      <w:r w:rsidRPr="00CE7E9D">
        <w:rPr>
          <w:b/>
          <w:bCs/>
          <w:rtl/>
        </w:rPr>
        <w:t xml:space="preserve"> مع المادة 1 من الاتفاقية وتجرِّم التعذيب باعتباره جريمة مستقلة، وبأن تحرص على </w:t>
      </w:r>
      <w:r>
        <w:rPr>
          <w:rFonts w:hint="cs"/>
          <w:b/>
          <w:bCs/>
          <w:rtl/>
        </w:rPr>
        <w:t xml:space="preserve">التمكين من </w:t>
      </w:r>
      <w:r w:rsidRPr="00CE7E9D">
        <w:rPr>
          <w:b/>
          <w:bCs/>
          <w:rtl/>
        </w:rPr>
        <w:t>ملاحقة أفراد الشرطة والجيش وغيرهم من الموظفين العامين مباشرةً بتهمة التعذيب وأن تتناسب عقوباتهم وخطورة الجرائم المرتكَبة.</w:t>
      </w:r>
    </w:p>
    <w:p w:rsidR="00BD1F3C" w:rsidRDefault="00BD1F3C" w:rsidP="00BD1F3C">
      <w:pPr>
        <w:pStyle w:val="H23GA"/>
        <w:rPr>
          <w:rtl/>
        </w:rPr>
      </w:pPr>
      <w:r>
        <w:rPr>
          <w:rFonts w:hint="cs"/>
          <w:rtl/>
        </w:rPr>
        <w:tab/>
      </w:r>
      <w:r>
        <w:rPr>
          <w:rtl/>
        </w:rPr>
        <w:tab/>
        <w:t xml:space="preserve">التحقيق في أفعال التعذيب وإساءة المعاملة </w:t>
      </w:r>
      <w:r>
        <w:rPr>
          <w:rFonts w:hint="cs"/>
          <w:rtl/>
        </w:rPr>
        <w:t xml:space="preserve">ومقاضاة </w:t>
      </w:r>
      <w:r>
        <w:rPr>
          <w:rtl/>
        </w:rPr>
        <w:t>مرتكبيها</w:t>
      </w:r>
    </w:p>
    <w:p w:rsidR="00BD1F3C" w:rsidRPr="00352740" w:rsidRDefault="00896F95" w:rsidP="009F2FC3">
      <w:pPr>
        <w:pStyle w:val="SingleTxtGA"/>
        <w:spacing w:line="370" w:lineRule="exact"/>
        <w:rPr>
          <w:spacing w:val="-2"/>
          <w:rtl/>
        </w:rPr>
      </w:pPr>
      <w:r>
        <w:rPr>
          <w:rFonts w:hint="cs"/>
          <w:spacing w:val="-2"/>
          <w:rtl/>
        </w:rPr>
        <w:t>(</w:t>
      </w:r>
      <w:r w:rsidR="00BD1F3C" w:rsidRPr="00352740">
        <w:rPr>
          <w:spacing w:val="-2"/>
          <w:rtl/>
        </w:rPr>
        <w:t>8</w:t>
      </w:r>
      <w:r>
        <w:rPr>
          <w:rFonts w:hint="cs"/>
          <w:spacing w:val="-2"/>
          <w:rtl/>
        </w:rPr>
        <w:t>)</w:t>
      </w:r>
      <w:r w:rsidR="00BD1F3C" w:rsidRPr="00352740">
        <w:rPr>
          <w:spacing w:val="-2"/>
          <w:rtl/>
        </w:rPr>
        <w:tab/>
        <w:t>يساور اللجنةَ قلق بالغ إزاء عدم إجراء السلطات لتحقيقات فورية وفعالة ومستقلة في ادعاءات ارتكاب الموظفين العامين لأفعال التعذيب وإساءة المعاملة. وإذ ترحب اللجنة بإنشاء الدولة الطرف للجنة تحقيق منفصلة عن مكتب المدعي العام وكذلك بإنشاء شعبة فرعية داخل لجنة التحقيق مكلَّفة حصر</w:t>
      </w:r>
      <w:r w:rsidR="00BD1F3C">
        <w:rPr>
          <w:spacing w:val="-2"/>
          <w:rtl/>
        </w:rPr>
        <w:t xml:space="preserve">اً </w:t>
      </w:r>
      <w:r w:rsidR="00BD1F3C" w:rsidRPr="00352740">
        <w:rPr>
          <w:spacing w:val="-2"/>
          <w:rtl/>
        </w:rPr>
        <w:t xml:space="preserve">بمهمة التحقيق في الجرائم التي يُزعَم أن موظفي إنفاذ القوانين ارتكبوها، يخالجها القلق إزاء تقارير </w:t>
      </w:r>
      <w:r w:rsidR="00BD1F3C" w:rsidRPr="00352740">
        <w:rPr>
          <w:rFonts w:hint="cs"/>
          <w:spacing w:val="-2"/>
          <w:rtl/>
        </w:rPr>
        <w:t>تفيد بأن</w:t>
      </w:r>
      <w:r w:rsidR="00BD1F3C" w:rsidRPr="00352740">
        <w:rPr>
          <w:spacing w:val="-2"/>
          <w:rtl/>
        </w:rPr>
        <w:t xml:space="preserve"> هذه الشعبة الفرعية لا يكفي عدد موظفيها لإجراء تحقيقات فورية وفعالة في جميع الشكاوى. كما تشعر اللجنة بالقلق إزاء حيادية لجنة التحقيق وفعاليتها عقب ورود تقارير </w:t>
      </w:r>
      <w:r w:rsidR="00BD1F3C" w:rsidRPr="00352740">
        <w:rPr>
          <w:rFonts w:hint="cs"/>
          <w:spacing w:val="-2"/>
          <w:rtl/>
        </w:rPr>
        <w:t xml:space="preserve">تفيد بأن </w:t>
      </w:r>
      <w:r w:rsidR="00BD1F3C" w:rsidRPr="00352740">
        <w:rPr>
          <w:spacing w:val="-2"/>
          <w:rtl/>
        </w:rPr>
        <w:t xml:space="preserve">رئيسها، أليكسندر باستريكين، رتَّب لاختطاف </w:t>
      </w:r>
      <w:r w:rsidR="00BD1F3C" w:rsidRPr="00352740">
        <w:rPr>
          <w:rFonts w:hint="cs"/>
          <w:spacing w:val="-2"/>
          <w:rtl/>
        </w:rPr>
        <w:t>سيرغي</w:t>
      </w:r>
      <w:r w:rsidR="00BD1F3C" w:rsidRPr="00352740">
        <w:rPr>
          <w:spacing w:val="-2"/>
          <w:rtl/>
        </w:rPr>
        <w:t xml:space="preserve"> سوكولوف، نائب رئيس تحرير صحيفة </w:t>
      </w:r>
      <w:r w:rsidR="00BD1F3C" w:rsidRPr="00266D41">
        <w:rPr>
          <w:i/>
          <w:iCs/>
          <w:spacing w:val="-2"/>
          <w:rtl/>
        </w:rPr>
        <w:t>نوفايا غازيتا (</w:t>
      </w:r>
      <w:r w:rsidR="00BD1F3C" w:rsidRPr="00266D41">
        <w:rPr>
          <w:i/>
          <w:iCs/>
          <w:spacing w:val="-2"/>
        </w:rPr>
        <w:t>Novaya Gazeta</w:t>
      </w:r>
      <w:r w:rsidR="00BD1F3C" w:rsidRPr="00266D41">
        <w:rPr>
          <w:i/>
          <w:iCs/>
          <w:spacing w:val="-2"/>
          <w:rtl/>
        </w:rPr>
        <w:t xml:space="preserve">) </w:t>
      </w:r>
      <w:r w:rsidR="00BD1F3C" w:rsidRPr="00352740">
        <w:rPr>
          <w:spacing w:val="-2"/>
          <w:rtl/>
        </w:rPr>
        <w:t>في حزيران/يونيه 2012 وهدده بإيذائه بدنياً انتقام</w:t>
      </w:r>
      <w:r w:rsidR="00BD1F3C">
        <w:rPr>
          <w:spacing w:val="-2"/>
          <w:rtl/>
        </w:rPr>
        <w:t xml:space="preserve">اً </w:t>
      </w:r>
      <w:r w:rsidR="00BD1F3C" w:rsidRPr="00352740">
        <w:rPr>
          <w:spacing w:val="-2"/>
          <w:rtl/>
        </w:rPr>
        <w:t>منه لنشره مقال</w:t>
      </w:r>
      <w:r w:rsidR="00BD1F3C">
        <w:rPr>
          <w:spacing w:val="-2"/>
          <w:rtl/>
        </w:rPr>
        <w:t xml:space="preserve">اً </w:t>
      </w:r>
      <w:r w:rsidR="00BD1F3C" w:rsidRPr="00352740">
        <w:rPr>
          <w:spacing w:val="-2"/>
          <w:rtl/>
        </w:rPr>
        <w:t>نقدي</w:t>
      </w:r>
      <w:r w:rsidR="00BD1F3C">
        <w:rPr>
          <w:spacing w:val="-2"/>
          <w:rtl/>
        </w:rPr>
        <w:t xml:space="preserve">اً </w:t>
      </w:r>
      <w:r w:rsidR="00BD1F3C" w:rsidRPr="00352740">
        <w:rPr>
          <w:spacing w:val="-2"/>
          <w:rtl/>
        </w:rPr>
        <w:t>وأن هذا الحادث لم</w:t>
      </w:r>
      <w:r w:rsidR="00BD1F3C">
        <w:rPr>
          <w:rFonts w:hint="cs"/>
          <w:spacing w:val="-2"/>
          <w:rtl/>
        </w:rPr>
        <w:t> </w:t>
      </w:r>
      <w:r w:rsidR="00BD1F3C" w:rsidRPr="00352740">
        <w:rPr>
          <w:spacing w:val="-2"/>
          <w:rtl/>
        </w:rPr>
        <w:t>يخضع لتحقيق من قبل الدولة الطرف ولم يترتب عليه أي إجراء تأديبي (المادتان 12 و13).</w:t>
      </w:r>
    </w:p>
    <w:p w:rsidR="00BD1F3C" w:rsidRPr="00CE7E9D" w:rsidRDefault="00BD1F3C" w:rsidP="009F2FC3">
      <w:pPr>
        <w:pStyle w:val="SingleTxtGA"/>
        <w:spacing w:line="370" w:lineRule="exact"/>
        <w:rPr>
          <w:b/>
          <w:bCs/>
          <w:rtl/>
        </w:rPr>
      </w:pPr>
      <w:r w:rsidRPr="00CE7E9D">
        <w:rPr>
          <w:rFonts w:hint="cs"/>
          <w:b/>
          <w:bCs/>
          <w:rtl/>
        </w:rPr>
        <w:tab/>
      </w:r>
      <w:r w:rsidRPr="00CE7E9D">
        <w:rPr>
          <w:b/>
          <w:bCs/>
          <w:rtl/>
        </w:rPr>
        <w:t>تحث اللجنة الدولة الطرف على أن تجري تحقيقات فورية ومحايدة وفعالة في جميع ادعاءات التعذيب وإساءة المعاملة، وبخاصة الحالات التي نجمت عنها الوفاة في مراكز الاحتجاز؛ وأن تلاحق المسؤولين عنها وتحكم بالعقوبات المناسبة على من أدينوا منهم؛ وأن تعمم نتائج هذه الملاحقات.</w:t>
      </w:r>
    </w:p>
    <w:p w:rsidR="00BD1F3C" w:rsidRPr="00CE7E9D" w:rsidRDefault="00BD1F3C" w:rsidP="009F2FC3">
      <w:pPr>
        <w:pStyle w:val="SingleTxtGA"/>
        <w:spacing w:line="370" w:lineRule="exact"/>
        <w:rPr>
          <w:b/>
          <w:bCs/>
          <w:rtl/>
        </w:rPr>
      </w:pPr>
      <w:r w:rsidRPr="00CE7E9D">
        <w:rPr>
          <w:rFonts w:hint="cs"/>
          <w:b/>
          <w:bCs/>
          <w:rtl/>
        </w:rPr>
        <w:tab/>
      </w:r>
      <w:r w:rsidRPr="00CE7E9D">
        <w:rPr>
          <w:b/>
          <w:bCs/>
          <w:rtl/>
        </w:rPr>
        <w:t xml:space="preserve">وتوصي اللجنةُ بأن تزوَّد الشعبة الفرعية للجنة التحقيق المكلفة بمهمة التحقيق في الجرائم التي ارتكبها موظفو إنفاذ القوانين بما يكفي من الموارد المالية والبشرية لتمكينها من إجراء تحقيقات في جميع الادعاءات التي ترد عليها. وينبغي أن تقدم الدولة الطرف إلى اللجنة بيانات بشأن عدد الشكاوى الواردة التي يزعم أصحابها </w:t>
      </w:r>
      <w:r>
        <w:rPr>
          <w:rFonts w:hint="cs"/>
          <w:b/>
          <w:bCs/>
          <w:rtl/>
        </w:rPr>
        <w:t xml:space="preserve">تعرضهم </w:t>
      </w:r>
      <w:r w:rsidRPr="00CE7E9D">
        <w:rPr>
          <w:b/>
          <w:bCs/>
          <w:rtl/>
        </w:rPr>
        <w:t>للتعذيب وإساءة المعاملة من قبل موظفي إنفاذ القوانين وغيرهم من موظفي الدولة وبشأن عدد الشكاوى التي حققت فيها الدولة الطرف وأي ملاحقات قضائية بوشرت. كما ينبغي أن تقدم الدولة الطرف إلى اللجنة بيانات بشأن عدد الموظفين الذين خضعوا لتدابير تأديبية بسبب عدم التحقيق بالشكل الكافي في الشكاوى المتعلقة بالتعذيب وإساءة المعاملة وبسبب رفضهم التعاون في التحقيق في أي من هذه الشكاوى.</w:t>
      </w:r>
    </w:p>
    <w:p w:rsidR="00BD1F3C" w:rsidRDefault="00BD1F3C" w:rsidP="009F2FC3">
      <w:pPr>
        <w:pStyle w:val="H23GA"/>
        <w:spacing w:line="370" w:lineRule="exact"/>
        <w:rPr>
          <w:rtl/>
        </w:rPr>
      </w:pPr>
      <w:r>
        <w:rPr>
          <w:rtl/>
        </w:rPr>
        <w:tab/>
      </w:r>
      <w:r>
        <w:rPr>
          <w:rtl/>
        </w:rPr>
        <w:tab/>
        <w:t>الضمانات القانونية الأساسية</w:t>
      </w:r>
    </w:p>
    <w:p w:rsidR="00BD1F3C" w:rsidRPr="00417A88" w:rsidRDefault="00896F95" w:rsidP="009F2FC3">
      <w:pPr>
        <w:pStyle w:val="SingleTxtGA"/>
        <w:spacing w:line="370" w:lineRule="exact"/>
        <w:rPr>
          <w:spacing w:val="-1"/>
          <w:rtl/>
        </w:rPr>
      </w:pPr>
      <w:r>
        <w:rPr>
          <w:rFonts w:hint="cs"/>
          <w:spacing w:val="-1"/>
          <w:rtl/>
        </w:rPr>
        <w:t>(</w:t>
      </w:r>
      <w:r w:rsidR="00BD1F3C" w:rsidRPr="00417A88">
        <w:rPr>
          <w:spacing w:val="-1"/>
          <w:rtl/>
        </w:rPr>
        <w:t>9</w:t>
      </w:r>
      <w:r>
        <w:rPr>
          <w:rFonts w:hint="cs"/>
          <w:spacing w:val="-1"/>
          <w:rtl/>
        </w:rPr>
        <w:t>)</w:t>
      </w:r>
      <w:r w:rsidR="00BD1F3C" w:rsidRPr="00417A88">
        <w:rPr>
          <w:spacing w:val="-1"/>
          <w:rtl/>
        </w:rPr>
        <w:tab/>
      </w:r>
      <w:r w:rsidR="00BD1F3C" w:rsidRPr="00417A88">
        <w:rPr>
          <w:rFonts w:hint="cs"/>
          <w:spacing w:val="-1"/>
          <w:rtl/>
        </w:rPr>
        <w:t xml:space="preserve">في حين </w:t>
      </w:r>
      <w:r w:rsidR="00BD1F3C" w:rsidRPr="00417A88">
        <w:rPr>
          <w:spacing w:val="-1"/>
          <w:rtl/>
        </w:rPr>
        <w:t xml:space="preserve">تلاحظ اللجنة </w:t>
      </w:r>
      <w:r w:rsidR="00BD1F3C" w:rsidRPr="00417A88">
        <w:rPr>
          <w:rFonts w:hint="cs"/>
          <w:spacing w:val="-1"/>
          <w:rtl/>
        </w:rPr>
        <w:t xml:space="preserve">أن </w:t>
      </w:r>
      <w:r w:rsidR="00BD1F3C" w:rsidRPr="00417A88">
        <w:rPr>
          <w:spacing w:val="-1"/>
          <w:rtl/>
        </w:rPr>
        <w:t xml:space="preserve">قوانين الدولة الطرف تكفل حق المحرومين من حريتهم في الاستعانة بمحامٍ فور احتجازهم، </w:t>
      </w:r>
      <w:r w:rsidR="00BD1F3C">
        <w:rPr>
          <w:rFonts w:hint="cs"/>
          <w:spacing w:val="-1"/>
          <w:rtl/>
        </w:rPr>
        <w:t xml:space="preserve">فإنها </w:t>
      </w:r>
      <w:r w:rsidR="00BD1F3C" w:rsidRPr="00417A88">
        <w:rPr>
          <w:spacing w:val="-1"/>
          <w:rtl/>
        </w:rPr>
        <w:t>تعرب عن قلقها البالغ إزاء عدم كفالة الدولة الطرف لمراعاة هذا الحق عملي</w:t>
      </w:r>
      <w:r w:rsidR="00BD1F3C">
        <w:rPr>
          <w:spacing w:val="-1"/>
          <w:rtl/>
        </w:rPr>
        <w:t>ا</w:t>
      </w:r>
      <w:r w:rsidR="00BD1F3C">
        <w:rPr>
          <w:rFonts w:hint="cs"/>
          <w:spacing w:val="-1"/>
          <w:rtl/>
        </w:rPr>
        <w:t>ً</w:t>
      </w:r>
      <w:r w:rsidR="00BD1F3C">
        <w:rPr>
          <w:spacing w:val="-1"/>
          <w:rtl/>
        </w:rPr>
        <w:t xml:space="preserve"> </w:t>
      </w:r>
      <w:r w:rsidR="00BD1F3C" w:rsidRPr="00417A88">
        <w:rPr>
          <w:spacing w:val="-1"/>
          <w:rtl/>
        </w:rPr>
        <w:t xml:space="preserve">مشيرةً إلى حالات عديدة لأشخاص محرومين من حريتهم حرِموا من الاتصال بمحامين لأسباب غير لائقة؛ وكذلك إزاء تقارير مفادها أن المحامين </w:t>
      </w:r>
      <w:r w:rsidR="00BD1F3C" w:rsidRPr="00417A88">
        <w:rPr>
          <w:rFonts w:hint="cs"/>
          <w:spacing w:val="-1"/>
          <w:rtl/>
        </w:rPr>
        <w:t xml:space="preserve">الذين تعينهم المحكمة </w:t>
      </w:r>
      <w:r w:rsidR="00BD1F3C" w:rsidRPr="00417A88">
        <w:rPr>
          <w:spacing w:val="-1"/>
          <w:rtl/>
        </w:rPr>
        <w:t>لا</w:t>
      </w:r>
      <w:r w:rsidR="00BD1F3C" w:rsidRPr="00417A88">
        <w:rPr>
          <w:rFonts w:hint="cs"/>
          <w:spacing w:val="-1"/>
          <w:rtl/>
        </w:rPr>
        <w:t> </w:t>
      </w:r>
      <w:r w:rsidR="00BD1F3C" w:rsidRPr="00417A88">
        <w:rPr>
          <w:spacing w:val="-1"/>
          <w:rtl/>
        </w:rPr>
        <w:t>يؤدون واجباتهم على النحو اللائق ولا يوفرون الدفاع القانوني الأساسي لموكليهم، وأن</w:t>
      </w:r>
      <w:r w:rsidR="00BD1F3C" w:rsidRPr="00417A88">
        <w:rPr>
          <w:rFonts w:hint="cs"/>
          <w:spacing w:val="-1"/>
          <w:rtl/>
        </w:rPr>
        <w:t> </w:t>
      </w:r>
      <w:r w:rsidR="00BD1F3C" w:rsidRPr="00417A88">
        <w:rPr>
          <w:spacing w:val="-1"/>
          <w:rtl/>
        </w:rPr>
        <w:t>المحتجزين لا يُمنَحون دائم</w:t>
      </w:r>
      <w:r w:rsidR="00BD1F3C">
        <w:rPr>
          <w:spacing w:val="-1"/>
          <w:rtl/>
        </w:rPr>
        <w:t xml:space="preserve">اً </w:t>
      </w:r>
      <w:r w:rsidR="00BD1F3C" w:rsidRPr="00417A88">
        <w:rPr>
          <w:spacing w:val="-1"/>
          <w:rtl/>
        </w:rPr>
        <w:t xml:space="preserve">حقهم في معرفة التهم الموجَّهة إليهم. كما تشعر اللجنة بالقلق إزاء تقارير عن حالات لم تُقدَّم فيها المساعدة القضائية لأشخاص قبل </w:t>
      </w:r>
      <w:r w:rsidR="00BD1F3C" w:rsidRPr="00417A88">
        <w:rPr>
          <w:rFonts w:hint="cs"/>
          <w:spacing w:val="-1"/>
          <w:rtl/>
        </w:rPr>
        <w:t xml:space="preserve">استجوابهم </w:t>
      </w:r>
      <w:r w:rsidR="00BD1F3C" w:rsidRPr="00417A88">
        <w:rPr>
          <w:spacing w:val="-1"/>
          <w:rtl/>
        </w:rPr>
        <w:t>الأولي. و</w:t>
      </w:r>
      <w:r w:rsidR="00BD1F3C" w:rsidRPr="00417A88">
        <w:rPr>
          <w:rFonts w:hint="cs"/>
          <w:spacing w:val="-1"/>
          <w:rtl/>
        </w:rPr>
        <w:t xml:space="preserve">من دواعي قلق </w:t>
      </w:r>
      <w:r w:rsidR="00BD1F3C">
        <w:rPr>
          <w:spacing w:val="-1"/>
          <w:rtl/>
        </w:rPr>
        <w:t>اللجنة</w:t>
      </w:r>
      <w:r w:rsidR="00BD1F3C" w:rsidRPr="00417A88">
        <w:rPr>
          <w:spacing w:val="-1"/>
          <w:rtl/>
        </w:rPr>
        <w:t xml:space="preserve"> كذلك أن قانون الدولة الطرف لا ينص على أنه يحق لجميع الأشخاص المحرومين من حريتهم الاتصال على الفور بأفراد أسرهم، وإنما يسمح لموظفي الدولة بأن يتصلوا بالأقارب نيابةً عن المحتجزين ولا يكفل أن </w:t>
      </w:r>
      <w:r w:rsidR="00BD1F3C">
        <w:rPr>
          <w:rFonts w:hint="cs"/>
          <w:spacing w:val="-1"/>
          <w:rtl/>
        </w:rPr>
        <w:t>يُع</w:t>
      </w:r>
      <w:r w:rsidR="00BD1F3C" w:rsidRPr="00417A88">
        <w:rPr>
          <w:rFonts w:hint="cs"/>
          <w:spacing w:val="-1"/>
          <w:rtl/>
        </w:rPr>
        <w:t xml:space="preserve">لم </w:t>
      </w:r>
      <w:r w:rsidR="00BD1F3C" w:rsidRPr="00417A88">
        <w:rPr>
          <w:spacing w:val="-1"/>
          <w:rtl/>
        </w:rPr>
        <w:t>الأقارب في جميع الحالات بأماكن وجود المحتجزين. ويُقلِق اللجنةَ بصفة خاصة أن الدولة الطرف لا تضمن حق جميع المحرومين من حريتهم في الخضوع لفحص طبي مستقل فور احتجازهم (المواد 2 و11 و12).</w:t>
      </w:r>
    </w:p>
    <w:p w:rsidR="00BD1F3C" w:rsidRPr="007403DB" w:rsidRDefault="00BD1F3C" w:rsidP="00BD1F3C">
      <w:pPr>
        <w:pStyle w:val="SingleTxtGA"/>
        <w:rPr>
          <w:b/>
          <w:bCs/>
          <w:rtl/>
        </w:rPr>
      </w:pPr>
      <w:r>
        <w:rPr>
          <w:rFonts w:hint="cs"/>
          <w:b/>
          <w:bCs/>
          <w:rtl/>
        </w:rPr>
        <w:tab/>
      </w:r>
      <w:r w:rsidRPr="007403DB">
        <w:rPr>
          <w:b/>
          <w:bCs/>
          <w:rtl/>
        </w:rPr>
        <w:t>توصي اللجنة الدولة الطرف بما يلي:</w:t>
      </w:r>
    </w:p>
    <w:p w:rsidR="00BD1F3C" w:rsidRPr="007403DB" w:rsidRDefault="00BD1F3C" w:rsidP="00BD1F3C">
      <w:pPr>
        <w:pStyle w:val="SingleTxtGA"/>
        <w:rPr>
          <w:b/>
          <w:bCs/>
          <w:rtl/>
        </w:rPr>
      </w:pPr>
      <w:r w:rsidRPr="007403DB">
        <w:rPr>
          <w:rFonts w:hint="cs"/>
          <w:b/>
          <w:bCs/>
          <w:rtl/>
        </w:rPr>
        <w:tab/>
      </w:r>
      <w:r w:rsidRPr="007403DB">
        <w:rPr>
          <w:b/>
          <w:bCs/>
          <w:rtl/>
        </w:rPr>
        <w:t>(أ)</w:t>
      </w:r>
      <w:r w:rsidRPr="007403DB">
        <w:rPr>
          <w:b/>
          <w:bCs/>
          <w:rtl/>
        </w:rPr>
        <w:tab/>
        <w:t>أن تكفل تمتع جميع المحتجزين، قانون</w:t>
      </w:r>
      <w:r>
        <w:rPr>
          <w:b/>
          <w:bCs/>
          <w:rtl/>
        </w:rPr>
        <w:t xml:space="preserve">اً </w:t>
      </w:r>
      <w:r w:rsidRPr="007403DB">
        <w:rPr>
          <w:b/>
          <w:bCs/>
          <w:rtl/>
        </w:rPr>
        <w:t xml:space="preserve">وممارسةً، بالحق في أن يستعينوا بمحام وفي أن يتصلوا بأفراد أسرهم وأن </w:t>
      </w:r>
      <w:r>
        <w:rPr>
          <w:rFonts w:hint="cs"/>
          <w:b/>
          <w:bCs/>
          <w:rtl/>
        </w:rPr>
        <w:t xml:space="preserve">يُعلموا </w:t>
      </w:r>
      <w:r w:rsidRPr="007403DB">
        <w:rPr>
          <w:b/>
          <w:bCs/>
          <w:rtl/>
        </w:rPr>
        <w:t>بالتهم الموجَّهة إليهم وأن يطلبوا ويتلقوا فحص</w:t>
      </w:r>
      <w:r>
        <w:rPr>
          <w:b/>
          <w:bCs/>
          <w:rtl/>
        </w:rPr>
        <w:t xml:space="preserve">اً </w:t>
      </w:r>
      <w:r w:rsidRPr="007403DB">
        <w:rPr>
          <w:b/>
          <w:bCs/>
          <w:rtl/>
        </w:rPr>
        <w:t>طبي</w:t>
      </w:r>
      <w:r>
        <w:rPr>
          <w:b/>
          <w:bCs/>
          <w:rtl/>
        </w:rPr>
        <w:t xml:space="preserve">اً </w:t>
      </w:r>
      <w:r w:rsidRPr="007403DB">
        <w:rPr>
          <w:b/>
          <w:bCs/>
          <w:rtl/>
        </w:rPr>
        <w:t>من قبل طبيب مستقل فور احتجازهم فعليا</w:t>
      </w:r>
      <w:r>
        <w:rPr>
          <w:rFonts w:hint="cs"/>
          <w:b/>
          <w:bCs/>
          <w:rtl/>
        </w:rPr>
        <w:t>ً</w:t>
      </w:r>
      <w:r w:rsidRPr="007403DB">
        <w:rPr>
          <w:b/>
          <w:bCs/>
          <w:rtl/>
        </w:rPr>
        <w:t>؛</w:t>
      </w:r>
    </w:p>
    <w:p w:rsidR="00BD1F3C" w:rsidRPr="007403DB" w:rsidRDefault="00BD1F3C" w:rsidP="00BD1F3C">
      <w:pPr>
        <w:pStyle w:val="SingleTxtGA"/>
        <w:rPr>
          <w:b/>
          <w:bCs/>
          <w:rtl/>
        </w:rPr>
      </w:pPr>
      <w:r w:rsidRPr="007403DB">
        <w:rPr>
          <w:rFonts w:hint="cs"/>
          <w:b/>
          <w:bCs/>
          <w:rtl/>
        </w:rPr>
        <w:tab/>
      </w:r>
      <w:r w:rsidRPr="007403DB">
        <w:rPr>
          <w:b/>
          <w:bCs/>
          <w:rtl/>
        </w:rPr>
        <w:t>(ب)</w:t>
      </w:r>
      <w:r w:rsidRPr="007403DB">
        <w:rPr>
          <w:b/>
          <w:bCs/>
          <w:rtl/>
        </w:rPr>
        <w:tab/>
        <w:t>أن تكفل تزويد جميع المحتجزين بمحامين مؤهلين يدافعون عنهم بشكل مناسب وبالمساعدة القضائية المستقلة؛</w:t>
      </w:r>
    </w:p>
    <w:p w:rsidR="00BD1F3C" w:rsidRPr="007403DB" w:rsidRDefault="00BD1F3C" w:rsidP="00BD1F3C">
      <w:pPr>
        <w:pStyle w:val="SingleTxtGA"/>
        <w:rPr>
          <w:b/>
          <w:bCs/>
          <w:rtl/>
        </w:rPr>
      </w:pPr>
      <w:r w:rsidRPr="007403DB">
        <w:rPr>
          <w:rFonts w:hint="cs"/>
          <w:b/>
          <w:bCs/>
          <w:rtl/>
        </w:rPr>
        <w:tab/>
      </w:r>
      <w:r w:rsidRPr="007403DB">
        <w:rPr>
          <w:b/>
          <w:bCs/>
          <w:rtl/>
        </w:rPr>
        <w:t>(ج)</w:t>
      </w:r>
      <w:r w:rsidRPr="007403DB">
        <w:rPr>
          <w:b/>
          <w:bCs/>
          <w:rtl/>
        </w:rPr>
        <w:tab/>
        <w:t xml:space="preserve">أن تحتفظ بتسجيلات مصورة لجميع إجراءات </w:t>
      </w:r>
      <w:r>
        <w:rPr>
          <w:rFonts w:hint="cs"/>
          <w:b/>
          <w:bCs/>
          <w:rtl/>
        </w:rPr>
        <w:t xml:space="preserve">الاستجواب </w:t>
      </w:r>
      <w:r w:rsidRPr="007403DB">
        <w:rPr>
          <w:b/>
          <w:bCs/>
          <w:rtl/>
        </w:rPr>
        <w:t>وتنصِّب وسائل المراقبة بالفيديو في كل أرجاء مرافق الاحتجاز التي قد يوجد فيها محتجزون، باستثناء الحالات التي قد يُنتهَك فيها حق المحتجزين في حرمة خصوصياتهم أو سرية تواصلهم مع محاميهم أو مع طبيب. وينبغي حفظ هذه التسجيلات في مرافق آمنة وإتاحة إمكانية الاطلاع عليها للمحققين وللمحتجزين و</w:t>
      </w:r>
      <w:r>
        <w:rPr>
          <w:rFonts w:hint="cs"/>
          <w:b/>
          <w:bCs/>
          <w:rtl/>
        </w:rPr>
        <w:t>محاميهم</w:t>
      </w:r>
      <w:r w:rsidRPr="007403DB">
        <w:rPr>
          <w:b/>
          <w:bCs/>
          <w:rtl/>
        </w:rPr>
        <w:t>؛</w:t>
      </w:r>
    </w:p>
    <w:p w:rsidR="00BD1F3C" w:rsidRPr="007403DB" w:rsidRDefault="00BD1F3C" w:rsidP="00BD1F3C">
      <w:pPr>
        <w:pStyle w:val="SingleTxtGA"/>
        <w:rPr>
          <w:b/>
          <w:bCs/>
          <w:rtl/>
        </w:rPr>
      </w:pPr>
      <w:r w:rsidRPr="007403DB">
        <w:rPr>
          <w:rFonts w:hint="cs"/>
          <w:b/>
          <w:bCs/>
          <w:rtl/>
        </w:rPr>
        <w:tab/>
      </w:r>
      <w:r w:rsidRPr="007403DB">
        <w:rPr>
          <w:b/>
          <w:bCs/>
          <w:rtl/>
        </w:rPr>
        <w:t>(د)</w:t>
      </w:r>
      <w:r w:rsidRPr="007403DB">
        <w:rPr>
          <w:b/>
          <w:bCs/>
          <w:rtl/>
        </w:rPr>
        <w:tab/>
        <w:t xml:space="preserve">أن تكفل رصد مدى توفير جميع موظفي الدولة للضمانات القانونية للمحرومين من حريتهم، </w:t>
      </w:r>
      <w:r>
        <w:rPr>
          <w:rFonts w:hint="cs"/>
          <w:b/>
          <w:bCs/>
          <w:rtl/>
        </w:rPr>
        <w:t xml:space="preserve">بوسائل منها تدوين </w:t>
      </w:r>
      <w:r w:rsidRPr="007403DB">
        <w:rPr>
          <w:b/>
          <w:bCs/>
          <w:rtl/>
        </w:rPr>
        <w:t>المعلومات ذات الصلة في سجلات الاحتجاز وكفالة الرصد المنتظم لمدى امتثال الموظفين لهذه المقتضيات المتعلقة بالإبلاغ؛</w:t>
      </w:r>
    </w:p>
    <w:p w:rsidR="00BD1F3C" w:rsidRPr="007403DB" w:rsidRDefault="00BD1F3C" w:rsidP="00BD1F3C">
      <w:pPr>
        <w:pStyle w:val="SingleTxtGA"/>
        <w:rPr>
          <w:b/>
          <w:bCs/>
          <w:rtl/>
        </w:rPr>
      </w:pPr>
      <w:r w:rsidRPr="007403DB">
        <w:rPr>
          <w:rFonts w:hint="cs"/>
          <w:b/>
          <w:bCs/>
          <w:rtl/>
        </w:rPr>
        <w:tab/>
      </w:r>
      <w:r w:rsidRPr="007403DB">
        <w:rPr>
          <w:b/>
          <w:bCs/>
          <w:rtl/>
        </w:rPr>
        <w:t>(ه</w:t>
      </w:r>
      <w:r w:rsidRPr="007403DB">
        <w:rPr>
          <w:rFonts w:hint="cs"/>
          <w:b/>
          <w:bCs/>
          <w:rtl/>
        </w:rPr>
        <w:t>‍(</w:t>
      </w:r>
      <w:r w:rsidRPr="007403DB">
        <w:rPr>
          <w:b/>
          <w:bCs/>
          <w:rtl/>
        </w:rPr>
        <w:tab/>
        <w:t>أن تحرص على أن يعاقَب أو يلاحَق أي موظف عام يرفض منح الضمانات القانونية الأساسية للمحرومين من حريتهم، وأن تقدم إلى اللجنة بيانات بشأن عدد الحالات التي عوقب فيها موظفون عامون بسبب هذا السلوك.</w:t>
      </w:r>
    </w:p>
    <w:p w:rsidR="00BD1F3C" w:rsidRDefault="00BD1F3C" w:rsidP="00BD1F3C">
      <w:pPr>
        <w:pStyle w:val="H23GA"/>
        <w:rPr>
          <w:rFonts w:hint="cs"/>
          <w:rtl/>
        </w:rPr>
      </w:pPr>
      <w:r>
        <w:rPr>
          <w:rtl/>
        </w:rPr>
        <w:tab/>
      </w:r>
      <w:r>
        <w:rPr>
          <w:rtl/>
        </w:rPr>
        <w:tab/>
        <w:t xml:space="preserve">الاعترافات المنتزعة </w:t>
      </w:r>
      <w:r>
        <w:rPr>
          <w:rFonts w:hint="cs"/>
          <w:rtl/>
        </w:rPr>
        <w:t>قسراً</w:t>
      </w:r>
    </w:p>
    <w:p w:rsidR="00BD1F3C" w:rsidRDefault="00FE6867" w:rsidP="00FE6867">
      <w:pPr>
        <w:pStyle w:val="SingleTxtGA"/>
        <w:rPr>
          <w:rtl/>
        </w:rPr>
      </w:pPr>
      <w:r>
        <w:rPr>
          <w:rFonts w:hint="cs"/>
          <w:rtl/>
        </w:rPr>
        <w:t>(</w:t>
      </w:r>
      <w:r w:rsidR="00BD1F3C">
        <w:rPr>
          <w:rtl/>
        </w:rPr>
        <w:t>10</w:t>
      </w:r>
      <w:r>
        <w:rPr>
          <w:rFonts w:hint="cs"/>
          <w:rtl/>
        </w:rPr>
        <w:t>)</w:t>
      </w:r>
      <w:r w:rsidR="00BD1F3C">
        <w:rPr>
          <w:rtl/>
        </w:rPr>
        <w:tab/>
        <w:t>يساور اللجنة قلق إزاء الادعاءات العديدة بأن أشخاصاً محرومين من حريتهم تعرضوا للتعذيب أو المعاملة السيئة بغرض إكراههم على الاعتراف وبأن اعترافاتهم قُبِلت لاحقاً بوصفها أدلة في المحاكم دون إجراء تحقيق شامل في الادعاءات المتعلقة بالتعذيب. كما</w:t>
      </w:r>
      <w:r w:rsidR="00BD1F3C">
        <w:rPr>
          <w:rFonts w:hint="cs"/>
          <w:rtl/>
        </w:rPr>
        <w:t> </w:t>
      </w:r>
      <w:r w:rsidR="00BD1F3C">
        <w:rPr>
          <w:rtl/>
        </w:rPr>
        <w:t>تشعر اللجنة بالقلق إزاء نقص المعلومات الواردة بشأن الحالات التي أمرت فيها محاكم بالتحقيق في ادعاء متهم ما بأنه أُكرِه على الاعتراف بارتكاب جريمة أو أرجأت فيها الإجراءات الجنائية في انتظار إجراء التحقيق و/أو اعتبرت الاعترافات من هذا القبيل أو غيرها من الأدلة غير مقبولة (المواد 2 و11 و15 و16).</w:t>
      </w:r>
    </w:p>
    <w:p w:rsidR="00BD1F3C" w:rsidRPr="007403DB" w:rsidRDefault="00BD1F3C" w:rsidP="009F2FC3">
      <w:pPr>
        <w:pStyle w:val="SingleTxtGA"/>
        <w:rPr>
          <w:b/>
          <w:bCs/>
          <w:rtl/>
        </w:rPr>
      </w:pPr>
      <w:r>
        <w:rPr>
          <w:rFonts w:hint="cs"/>
          <w:b/>
          <w:bCs/>
          <w:rtl/>
        </w:rPr>
        <w:tab/>
      </w:r>
      <w:r w:rsidRPr="007403DB">
        <w:rPr>
          <w:b/>
          <w:bCs/>
          <w:rtl/>
        </w:rPr>
        <w:t>تحث اللجنة الدولة الطرف على أن تحارب ممارسة التعذيب بغرض انتزاع الاعترافات وأن تكفل عملي</w:t>
      </w:r>
      <w:r>
        <w:rPr>
          <w:b/>
          <w:bCs/>
          <w:rtl/>
        </w:rPr>
        <w:t xml:space="preserve">اً </w:t>
      </w:r>
      <w:r>
        <w:rPr>
          <w:rFonts w:hint="cs"/>
          <w:b/>
          <w:bCs/>
          <w:rtl/>
        </w:rPr>
        <w:t xml:space="preserve">عدم استخدام </w:t>
      </w:r>
      <w:r w:rsidRPr="007403DB">
        <w:rPr>
          <w:b/>
          <w:bCs/>
          <w:rtl/>
        </w:rPr>
        <w:t xml:space="preserve">هذه الاعترافات القسرية كأدلة في أي إجراءات. وينبغي أن تكفل أن يسأل القضاة جميع المتهمين في القضايا الجنائية </w:t>
      </w:r>
      <w:r w:rsidRPr="009F2FC3">
        <w:rPr>
          <w:rFonts w:ascii="Times New Roman Bold" w:hAnsi="Times New Roman Bold"/>
          <w:b/>
          <w:bCs/>
          <w:spacing w:val="-2"/>
          <w:rtl/>
        </w:rPr>
        <w:t>عما</w:t>
      </w:r>
      <w:r w:rsidR="009F2FC3" w:rsidRPr="009F2FC3">
        <w:rPr>
          <w:rFonts w:ascii="Times New Roman Bold" w:hAnsi="Times New Roman Bold" w:hint="cs"/>
          <w:b/>
          <w:bCs/>
          <w:spacing w:val="-2"/>
          <w:rtl/>
        </w:rPr>
        <w:t> </w:t>
      </w:r>
      <w:r w:rsidRPr="009F2FC3">
        <w:rPr>
          <w:rFonts w:ascii="Times New Roman Bold" w:hAnsi="Times New Roman Bold"/>
          <w:b/>
          <w:bCs/>
          <w:spacing w:val="-2"/>
          <w:rtl/>
        </w:rPr>
        <w:t>إذا</w:t>
      </w:r>
      <w:r w:rsidRPr="009F2FC3">
        <w:rPr>
          <w:rFonts w:ascii="Times New Roman Bold" w:hAnsi="Times New Roman Bold" w:hint="cs"/>
          <w:b/>
          <w:bCs/>
          <w:spacing w:val="-2"/>
          <w:rtl/>
        </w:rPr>
        <w:t xml:space="preserve"> كانوا </w:t>
      </w:r>
      <w:r w:rsidRPr="009F2FC3">
        <w:rPr>
          <w:rFonts w:ascii="Times New Roman Bold" w:hAnsi="Times New Roman Bold"/>
          <w:b/>
          <w:bCs/>
          <w:spacing w:val="-2"/>
          <w:rtl/>
        </w:rPr>
        <w:t xml:space="preserve">عُذِّبوا أو </w:t>
      </w:r>
      <w:r w:rsidRPr="009F2FC3">
        <w:rPr>
          <w:rFonts w:ascii="Times New Roman Bold" w:hAnsi="Times New Roman Bold" w:hint="cs"/>
          <w:b/>
          <w:bCs/>
          <w:spacing w:val="-2"/>
          <w:rtl/>
        </w:rPr>
        <w:t xml:space="preserve">أسيئت </w:t>
      </w:r>
      <w:r w:rsidRPr="009F2FC3">
        <w:rPr>
          <w:rFonts w:ascii="Times New Roman Bold" w:hAnsi="Times New Roman Bold"/>
          <w:b/>
          <w:bCs/>
          <w:spacing w:val="-2"/>
          <w:rtl/>
        </w:rPr>
        <w:t>معاملتهم وهم رهن الاحتجاز وأن يأمروا بإجراء فحوص طبية مستقلة متى لزم ذلك، وبخاصة متى وُجِد سبب للاعتقاد بأن متهماً بارتكاب جريمة ما</w:t>
      </w:r>
      <w:r w:rsidRPr="009F2FC3">
        <w:rPr>
          <w:rFonts w:ascii="Times New Roman Bold" w:hAnsi="Times New Roman Bold" w:hint="cs"/>
          <w:b/>
          <w:bCs/>
          <w:spacing w:val="-2"/>
          <w:rtl/>
        </w:rPr>
        <w:t> </w:t>
      </w:r>
      <w:r w:rsidRPr="009F2FC3">
        <w:rPr>
          <w:rFonts w:ascii="Times New Roman Bold" w:hAnsi="Times New Roman Bold"/>
          <w:b/>
          <w:bCs/>
          <w:spacing w:val="-2"/>
          <w:rtl/>
        </w:rPr>
        <w:t>تعرض للتعذيب وفي الحالات التي يكون فيها الدليل الوحيد لإدانة متهم ما هو</w:t>
      </w:r>
      <w:r w:rsidRPr="007403DB">
        <w:rPr>
          <w:b/>
          <w:bCs/>
          <w:rtl/>
        </w:rPr>
        <w:t xml:space="preserve"> اعترافه. وينبغي استبعاد كل الاعترافات التي يثبت أنها انتُزِعت </w:t>
      </w:r>
      <w:r>
        <w:rPr>
          <w:rFonts w:hint="cs"/>
          <w:b/>
          <w:bCs/>
          <w:rtl/>
        </w:rPr>
        <w:t xml:space="preserve">تحت </w:t>
      </w:r>
      <w:r w:rsidRPr="007403DB">
        <w:rPr>
          <w:b/>
          <w:bCs/>
          <w:rtl/>
        </w:rPr>
        <w:t xml:space="preserve">التعذيب. وتحث اللجنة الدولة الطرف على أن تقدم معلومات بشأن القضايا التي اعتُبِرت فيها الاعترافات غير مقبولة بدعوى أنها انتُزِعت </w:t>
      </w:r>
      <w:r>
        <w:rPr>
          <w:rFonts w:hint="cs"/>
          <w:b/>
          <w:bCs/>
          <w:rtl/>
        </w:rPr>
        <w:t xml:space="preserve">تحت </w:t>
      </w:r>
      <w:r w:rsidRPr="007403DB">
        <w:rPr>
          <w:b/>
          <w:bCs/>
          <w:rtl/>
        </w:rPr>
        <w:t>التعذيب وأن تشير إلى ما إذا لوحق أو عوقب أي</w:t>
      </w:r>
      <w:r>
        <w:rPr>
          <w:rFonts w:hint="cs"/>
          <w:b/>
          <w:bCs/>
          <w:rtl/>
        </w:rPr>
        <w:t> </w:t>
      </w:r>
      <w:r w:rsidRPr="007403DB">
        <w:rPr>
          <w:b/>
          <w:bCs/>
          <w:rtl/>
        </w:rPr>
        <w:t>موظفين بسبب انتزاع هذه الاعترافات.</w:t>
      </w:r>
    </w:p>
    <w:p w:rsidR="00BD1F3C" w:rsidRDefault="00BD1F3C" w:rsidP="00BD1F3C">
      <w:pPr>
        <w:pStyle w:val="H23GA"/>
        <w:rPr>
          <w:rtl/>
        </w:rPr>
      </w:pPr>
      <w:r>
        <w:rPr>
          <w:rtl/>
        </w:rPr>
        <w:tab/>
      </w:r>
      <w:r>
        <w:rPr>
          <w:rtl/>
        </w:rPr>
        <w:tab/>
        <w:t>رصد أماكن الاحتجاز</w:t>
      </w:r>
    </w:p>
    <w:p w:rsidR="00BD1F3C" w:rsidRPr="001A6B51" w:rsidRDefault="00FE6867" w:rsidP="00A65F62">
      <w:pPr>
        <w:pStyle w:val="SingleTxtGA"/>
        <w:rPr>
          <w:rtl/>
        </w:rPr>
      </w:pPr>
      <w:r>
        <w:rPr>
          <w:rFonts w:hint="cs"/>
          <w:rtl/>
        </w:rPr>
        <w:t>(</w:t>
      </w:r>
      <w:r w:rsidR="00BD1F3C" w:rsidRPr="001A6B51">
        <w:rPr>
          <w:rtl/>
        </w:rPr>
        <w:t>11</w:t>
      </w:r>
      <w:r>
        <w:rPr>
          <w:rFonts w:hint="cs"/>
          <w:rtl/>
        </w:rPr>
        <w:t>)</w:t>
      </w:r>
      <w:r w:rsidR="00BD1F3C" w:rsidRPr="001A6B51">
        <w:rPr>
          <w:rtl/>
        </w:rPr>
        <w:tab/>
      </w:r>
      <w:r w:rsidR="00BD1F3C" w:rsidRPr="001A6B51">
        <w:rPr>
          <w:rFonts w:hint="cs"/>
          <w:rtl/>
        </w:rPr>
        <w:t xml:space="preserve">في حين </w:t>
      </w:r>
      <w:r w:rsidR="00BD1F3C" w:rsidRPr="001A6B51">
        <w:rPr>
          <w:rtl/>
        </w:rPr>
        <w:t xml:space="preserve">ترحب اللجنة بإنشاء لجان الرقابة العامة، </w:t>
      </w:r>
      <w:r w:rsidR="00BD1F3C" w:rsidRPr="001A6B51">
        <w:rPr>
          <w:rFonts w:hint="cs"/>
          <w:rtl/>
        </w:rPr>
        <w:t xml:space="preserve">فإن مما يثير قلقها </w:t>
      </w:r>
      <w:r w:rsidR="00BD1F3C" w:rsidRPr="001A6B51">
        <w:rPr>
          <w:rtl/>
        </w:rPr>
        <w:t xml:space="preserve">(أ) شرط </w:t>
      </w:r>
      <w:r w:rsidR="00BD1F3C" w:rsidRPr="001A6B51">
        <w:rPr>
          <w:rFonts w:hint="cs"/>
          <w:rtl/>
        </w:rPr>
        <w:t xml:space="preserve">حصول </w:t>
      </w:r>
      <w:r w:rsidR="00BD1F3C" w:rsidRPr="001A6B51">
        <w:rPr>
          <w:rtl/>
        </w:rPr>
        <w:t xml:space="preserve">هذه اللجان على إذن مسبق لزيارة أماكن الاحتجاز وعدم استطاعتها القيام بزيارات غير معلنة؛ (ب) تقارير </w:t>
      </w:r>
      <w:r w:rsidR="00BD1F3C" w:rsidRPr="001A6B51">
        <w:rPr>
          <w:rFonts w:hint="cs"/>
          <w:rtl/>
        </w:rPr>
        <w:t>تفيد بمن</w:t>
      </w:r>
      <w:r w:rsidR="00BD1F3C">
        <w:rPr>
          <w:rFonts w:hint="cs"/>
          <w:rtl/>
        </w:rPr>
        <w:t>ع</w:t>
      </w:r>
      <w:r w:rsidR="00BD1F3C" w:rsidRPr="001A6B51">
        <w:rPr>
          <w:rFonts w:hint="cs"/>
          <w:rtl/>
        </w:rPr>
        <w:t xml:space="preserve"> </w:t>
      </w:r>
      <w:r w:rsidR="00BD1F3C" w:rsidRPr="001A6B51">
        <w:rPr>
          <w:rtl/>
        </w:rPr>
        <w:t>أعضاء هذه اللجان من الدخول إلى مرافق احتجاز حتى في بعض الحالات التي أُذِن لهم فيها مسبق</w:t>
      </w:r>
      <w:r w:rsidR="00BD1F3C">
        <w:rPr>
          <w:rtl/>
        </w:rPr>
        <w:t xml:space="preserve">اً </w:t>
      </w:r>
      <w:r w:rsidR="00BD1F3C" w:rsidRPr="001A6B51">
        <w:rPr>
          <w:rtl/>
        </w:rPr>
        <w:t>بإجراء الزيارة؛ (ج) تقارير بشأن أعمال انتقامية ضد أعضاء اللجان، من قبيل ملاحقة أليكسيي سوكولوف، وهو عضو سابق في لجنة موسكو للرقابة العامة؛ (د)</w:t>
      </w:r>
      <w:r>
        <w:rPr>
          <w:rFonts w:hint="cs"/>
          <w:rtl/>
        </w:rPr>
        <w:t> </w:t>
      </w:r>
      <w:r w:rsidR="00BD1F3C" w:rsidRPr="001A6B51">
        <w:rPr>
          <w:rtl/>
        </w:rPr>
        <w:t>تقارير مفادها أن استقلال أعضاء اللجان ليس مكفولا</w:t>
      </w:r>
      <w:r w:rsidR="00BD1F3C" w:rsidRPr="001A6B51">
        <w:rPr>
          <w:rFonts w:hint="cs"/>
          <w:rtl/>
        </w:rPr>
        <w:t>ً</w:t>
      </w:r>
      <w:r w:rsidR="00BD1F3C" w:rsidRPr="001A6B51">
        <w:rPr>
          <w:rtl/>
        </w:rPr>
        <w:t xml:space="preserve"> بالقدر الكافي؛ (ه</w:t>
      </w:r>
      <w:r w:rsidR="00BD1F3C" w:rsidRPr="001A6B51">
        <w:rPr>
          <w:rFonts w:hint="cs"/>
          <w:rtl/>
        </w:rPr>
        <w:t>‍( </w:t>
      </w:r>
      <w:r w:rsidR="00BD1F3C" w:rsidRPr="001A6B51">
        <w:rPr>
          <w:rtl/>
        </w:rPr>
        <w:t xml:space="preserve">تقارير مفادها أن بعض هذه اللجان ليس لديها ما يكفي من التمويل لتمكينها من أداء عملها بالقدر الكافي؛ (و) أن تقارير اللجان بشأن زياراتها لأماكن الاحتجاز لا تُعمَّم في جميع الحالات. وتُقلِق اللجنةَ كذلك تقاريرُ بشأن حالات لم تُجرِ فيها السلطات تحقيقات كافية في ادعاءات متعلقة بالتعذيب والمعاملة السيئة </w:t>
      </w:r>
      <w:r w:rsidR="00BD1F3C" w:rsidRPr="001A6B51">
        <w:rPr>
          <w:rFonts w:hint="cs"/>
          <w:rtl/>
        </w:rPr>
        <w:t xml:space="preserve">على الرغم من توصيات </w:t>
      </w:r>
      <w:r w:rsidR="00BD1F3C" w:rsidRPr="001A6B51">
        <w:rPr>
          <w:rtl/>
        </w:rPr>
        <w:t>لجان الرقابة العامة. وفي</w:t>
      </w:r>
      <w:r w:rsidR="00A65F62">
        <w:rPr>
          <w:rFonts w:hint="cs"/>
          <w:rtl/>
        </w:rPr>
        <w:t> </w:t>
      </w:r>
      <w:r w:rsidR="00BD1F3C" w:rsidRPr="001A6B51">
        <w:rPr>
          <w:rtl/>
        </w:rPr>
        <w:t>هذا الصدد، فرغم أن السلطات أعادت فتح تحقيق جنائي مغلق في حادثة وفاة سير</w:t>
      </w:r>
      <w:r w:rsidR="00BD1F3C" w:rsidRPr="001A6B51">
        <w:rPr>
          <w:rFonts w:hint="cs"/>
          <w:rtl/>
        </w:rPr>
        <w:t>غ</w:t>
      </w:r>
      <w:r w:rsidR="00BD1F3C" w:rsidRPr="001A6B51">
        <w:rPr>
          <w:rtl/>
        </w:rPr>
        <w:t>ي ماغنيتسكي في مركز الاحتجاز في عام 2009 عقب تقرير للجنة موسكو للرقابة العامة، فلم يُلاحَق حتى الآن في قضية الوفاة سوى موظف متدني الرتبة نسبي</w:t>
      </w:r>
      <w:r w:rsidR="00BD1F3C">
        <w:rPr>
          <w:rtl/>
        </w:rPr>
        <w:t xml:space="preserve">اً </w:t>
      </w:r>
      <w:r w:rsidR="00BD1F3C" w:rsidRPr="001A6B51">
        <w:rPr>
          <w:rtl/>
        </w:rPr>
        <w:t xml:space="preserve">من موظفي السجن رغم أن تقرير لجنة الرقابة العامة </w:t>
      </w:r>
      <w:r w:rsidR="00BD1F3C" w:rsidRPr="001A6B51">
        <w:rPr>
          <w:rFonts w:hint="cs"/>
          <w:rtl/>
        </w:rPr>
        <w:t xml:space="preserve">خلص إلى </w:t>
      </w:r>
      <w:r w:rsidR="00BD1F3C" w:rsidRPr="001A6B51">
        <w:rPr>
          <w:rtl/>
        </w:rPr>
        <w:t>أنه ينبغي التحقيق أيضا</w:t>
      </w:r>
      <w:r w:rsidR="00BD1F3C" w:rsidRPr="001A6B51">
        <w:rPr>
          <w:rFonts w:hint="cs"/>
          <w:rtl/>
        </w:rPr>
        <w:t>ً</w:t>
      </w:r>
      <w:r w:rsidR="00BD1F3C" w:rsidRPr="001A6B51">
        <w:rPr>
          <w:rtl/>
        </w:rPr>
        <w:t xml:space="preserve"> مع عدد من المحققين وموظفي السجن، بمن فيهم المحقق الرئيسي في القضية الجنائية التي لوحق فيها السيد ماغنيتسكي (المادتان 2 و11).</w:t>
      </w:r>
    </w:p>
    <w:p w:rsidR="00BD1F3C" w:rsidRPr="007E243D" w:rsidRDefault="00BD1F3C" w:rsidP="00BD1F3C">
      <w:pPr>
        <w:pStyle w:val="SingleTxtGA"/>
        <w:rPr>
          <w:b/>
          <w:bCs/>
          <w:rtl/>
        </w:rPr>
      </w:pPr>
      <w:r w:rsidRPr="007E243D">
        <w:rPr>
          <w:rFonts w:hint="cs"/>
          <w:b/>
          <w:bCs/>
          <w:rtl/>
        </w:rPr>
        <w:tab/>
      </w:r>
      <w:r w:rsidRPr="007E243D">
        <w:rPr>
          <w:b/>
          <w:bCs/>
          <w:rtl/>
        </w:rPr>
        <w:t>تحث اللجنة الدولة الطرف على ما يلي:</w:t>
      </w:r>
    </w:p>
    <w:p w:rsidR="00BD1F3C" w:rsidRPr="007E243D" w:rsidRDefault="00BD1F3C" w:rsidP="00BD1F3C">
      <w:pPr>
        <w:pStyle w:val="SingleTxtGA"/>
        <w:rPr>
          <w:b/>
          <w:bCs/>
          <w:rtl/>
        </w:rPr>
      </w:pPr>
      <w:r w:rsidRPr="007E243D">
        <w:rPr>
          <w:rFonts w:hint="cs"/>
          <w:b/>
          <w:bCs/>
          <w:rtl/>
        </w:rPr>
        <w:tab/>
      </w:r>
      <w:r w:rsidRPr="007E243D">
        <w:rPr>
          <w:b/>
          <w:bCs/>
          <w:rtl/>
        </w:rPr>
        <w:t>(أ)</w:t>
      </w:r>
      <w:r w:rsidRPr="007E243D">
        <w:rPr>
          <w:b/>
          <w:bCs/>
          <w:rtl/>
        </w:rPr>
        <w:tab/>
        <w:t>أن تحرص على أن يتسنى للجان الرقابة العامة القيام بزيارات غير معلنة إلى جميع أماكن الاحتجاز وأن يُحقَّق في جميع الحالات التي يُبلَّغ فيها عن عرقلة موظفين لهذه الزيارات ويعاقَب المسؤولون عن عرقلتها بالشكل المناسب؛</w:t>
      </w:r>
    </w:p>
    <w:p w:rsidR="00BD1F3C" w:rsidRPr="007E243D" w:rsidRDefault="00BD1F3C" w:rsidP="00BD1F3C">
      <w:pPr>
        <w:pStyle w:val="SingleTxtGA"/>
        <w:rPr>
          <w:b/>
          <w:bCs/>
          <w:rtl/>
        </w:rPr>
      </w:pPr>
      <w:r w:rsidRPr="007E243D">
        <w:rPr>
          <w:rFonts w:hint="cs"/>
          <w:b/>
          <w:bCs/>
          <w:rtl/>
        </w:rPr>
        <w:tab/>
      </w:r>
      <w:r w:rsidRPr="007E243D">
        <w:rPr>
          <w:b/>
          <w:bCs/>
          <w:rtl/>
        </w:rPr>
        <w:t>(ب)</w:t>
      </w:r>
      <w:r w:rsidRPr="007E243D">
        <w:rPr>
          <w:b/>
          <w:bCs/>
          <w:rtl/>
        </w:rPr>
        <w:tab/>
        <w:t>أن تكفل حماية أعضاء لجان الرقابة العامة بفعالية من الأعمال الانتقامية؛</w:t>
      </w:r>
    </w:p>
    <w:p w:rsidR="00BD1F3C" w:rsidRPr="007E243D" w:rsidRDefault="00BD1F3C" w:rsidP="00BD1F3C">
      <w:pPr>
        <w:pStyle w:val="SingleTxtGA"/>
        <w:rPr>
          <w:b/>
          <w:bCs/>
          <w:rtl/>
        </w:rPr>
      </w:pPr>
      <w:r w:rsidRPr="007E243D">
        <w:rPr>
          <w:rFonts w:hint="cs"/>
          <w:b/>
          <w:bCs/>
          <w:rtl/>
        </w:rPr>
        <w:tab/>
      </w:r>
      <w:r w:rsidRPr="007E243D">
        <w:rPr>
          <w:b/>
          <w:bCs/>
          <w:rtl/>
        </w:rPr>
        <w:t>(ج)</w:t>
      </w:r>
      <w:r w:rsidRPr="007E243D">
        <w:rPr>
          <w:b/>
          <w:bCs/>
          <w:rtl/>
        </w:rPr>
        <w:tab/>
        <w:t>أن تحرص على أن تُموَّل لجان الرقابة العامة بالقدر الكافي وأن تكون مستقلة عن الإدارات الإقليمية وأن تنظر في مسألة نقل مسؤولية تعيين أعضاء هذه اللجان إلى هيئات مستقلة؛</w:t>
      </w:r>
    </w:p>
    <w:p w:rsidR="00BD1F3C" w:rsidRPr="00417A88" w:rsidRDefault="00BD1F3C" w:rsidP="00BD1F3C">
      <w:pPr>
        <w:pStyle w:val="SingleTxtGA"/>
        <w:spacing w:after="100"/>
        <w:rPr>
          <w:b/>
          <w:bCs/>
          <w:spacing w:val="-1"/>
          <w:rtl/>
        </w:rPr>
      </w:pPr>
      <w:r w:rsidRPr="00417A88">
        <w:rPr>
          <w:rFonts w:hint="cs"/>
          <w:b/>
          <w:bCs/>
          <w:spacing w:val="-1"/>
          <w:rtl/>
        </w:rPr>
        <w:tab/>
      </w:r>
      <w:r w:rsidRPr="00417A88">
        <w:rPr>
          <w:b/>
          <w:bCs/>
          <w:spacing w:val="-1"/>
          <w:rtl/>
        </w:rPr>
        <w:t>(د)</w:t>
      </w:r>
      <w:r w:rsidRPr="00417A88">
        <w:rPr>
          <w:b/>
          <w:bCs/>
          <w:spacing w:val="-1"/>
          <w:rtl/>
        </w:rPr>
        <w:tab/>
        <w:t>أن تكفل تعميم استنتاجات لجان الرقابة العامة وتوصياتها في الوقت المناسب وبطريقة شفافة ولفت انتباه السلطات المختصة إلى جميع الادعاءات المتعلقة بالحرمان من الضمانات القانونية أو حالات التعذيب أو المعاملة السيئة والتحقيق فيها فورا</w:t>
      </w:r>
      <w:r>
        <w:rPr>
          <w:rFonts w:hint="cs"/>
          <w:b/>
          <w:bCs/>
          <w:spacing w:val="-1"/>
          <w:rtl/>
        </w:rPr>
        <w:t>ً</w:t>
      </w:r>
      <w:r w:rsidRPr="00417A88">
        <w:rPr>
          <w:b/>
          <w:bCs/>
          <w:spacing w:val="-1"/>
          <w:rtl/>
        </w:rPr>
        <w:t xml:space="preserve"> وبحيادية وفعالية، وينطبق هذا على قضية ادعاءات ليونيد رازفوزهاييف بأنه تعرَّض للاختطاف والتعذيب من قبل موظفين تابعين للدولة الطرف بغرض إكراهه على الاعتراف قبل تسليمه إلى لجنة التحقيق، وسُلِب بعد ذلك الحقَّ في الاتصال بمحامٍ من اختياره؛</w:t>
      </w:r>
    </w:p>
    <w:p w:rsidR="00BD1F3C" w:rsidRPr="00417A88" w:rsidRDefault="00BD1F3C" w:rsidP="00BD1F3C">
      <w:pPr>
        <w:pStyle w:val="SingleTxtGA"/>
        <w:spacing w:after="100"/>
        <w:rPr>
          <w:b/>
          <w:bCs/>
          <w:spacing w:val="-4"/>
          <w:rtl/>
        </w:rPr>
      </w:pPr>
      <w:r w:rsidRPr="00417A88">
        <w:rPr>
          <w:rFonts w:hint="cs"/>
          <w:b/>
          <w:bCs/>
          <w:spacing w:val="-4"/>
          <w:rtl/>
        </w:rPr>
        <w:tab/>
      </w:r>
      <w:r w:rsidRPr="00417A88">
        <w:rPr>
          <w:b/>
          <w:bCs/>
          <w:spacing w:val="-4"/>
          <w:rtl/>
        </w:rPr>
        <w:t>(ه</w:t>
      </w:r>
      <w:r w:rsidRPr="00417A88">
        <w:rPr>
          <w:rFonts w:hint="cs"/>
          <w:b/>
          <w:bCs/>
          <w:spacing w:val="-4"/>
          <w:rtl/>
        </w:rPr>
        <w:t>‍(</w:t>
      </w:r>
      <w:r w:rsidRPr="00417A88">
        <w:rPr>
          <w:b/>
          <w:bCs/>
          <w:spacing w:val="-4"/>
          <w:rtl/>
        </w:rPr>
        <w:tab/>
        <w:t>فيما يتعلق بقضية وفاة سيرغي ماغنيتسكي وهو رهن الاحتجاز، أن تحقق فور</w:t>
      </w:r>
      <w:r>
        <w:rPr>
          <w:b/>
          <w:bCs/>
          <w:spacing w:val="-4"/>
          <w:rtl/>
        </w:rPr>
        <w:t xml:space="preserve">اً </w:t>
      </w:r>
      <w:r w:rsidRPr="00417A88">
        <w:rPr>
          <w:b/>
          <w:bCs/>
          <w:spacing w:val="-4"/>
          <w:rtl/>
        </w:rPr>
        <w:t>وبحيادية وفعالية في مسؤولية موظفي الدولة، بمن فيهم المحقق الرئيسي في القضية الجنائية التي لوحق فيها، وذلك على نحو ما أوصت به لجنة موسكو للرقابة العامة، وأن تحرص على أن يلاحَق المسؤولون عن تعذيبه ووفاته ويعاقَبوا عقوبات تتناسب وخطورة الجريمة؛</w:t>
      </w:r>
    </w:p>
    <w:p w:rsidR="00BD1F3C" w:rsidRPr="007E243D" w:rsidRDefault="00BD1F3C" w:rsidP="00BD1F3C">
      <w:pPr>
        <w:pStyle w:val="SingleTxtGA"/>
        <w:spacing w:after="100"/>
        <w:rPr>
          <w:b/>
          <w:bCs/>
          <w:rtl/>
        </w:rPr>
      </w:pPr>
      <w:r w:rsidRPr="007E243D">
        <w:rPr>
          <w:rFonts w:hint="cs"/>
          <w:b/>
          <w:bCs/>
          <w:rtl/>
        </w:rPr>
        <w:tab/>
      </w:r>
      <w:r w:rsidRPr="007E243D">
        <w:rPr>
          <w:b/>
          <w:bCs/>
          <w:rtl/>
        </w:rPr>
        <w:t>(و)</w:t>
      </w:r>
      <w:r w:rsidRPr="007E243D">
        <w:rPr>
          <w:b/>
          <w:bCs/>
          <w:rtl/>
        </w:rPr>
        <w:tab/>
        <w:t>أن تقدم في تقريرها الدوري المقبل بيانات إحصائية بشأن عدد ما فُتِح</w:t>
      </w:r>
      <w:r>
        <w:rPr>
          <w:rFonts w:hint="cs"/>
          <w:b/>
          <w:bCs/>
          <w:rtl/>
        </w:rPr>
        <w:t>،</w:t>
      </w:r>
      <w:r w:rsidRPr="007E243D">
        <w:rPr>
          <w:b/>
          <w:bCs/>
          <w:rtl/>
        </w:rPr>
        <w:t xml:space="preserve"> كنتيجة لزيارات لجان الرقابة العامة</w:t>
      </w:r>
      <w:r>
        <w:rPr>
          <w:rFonts w:hint="cs"/>
          <w:b/>
          <w:bCs/>
          <w:rtl/>
        </w:rPr>
        <w:t>،</w:t>
      </w:r>
      <w:r w:rsidRPr="007E243D">
        <w:rPr>
          <w:b/>
          <w:bCs/>
          <w:rtl/>
        </w:rPr>
        <w:t xml:space="preserve"> من التحقيقات في قضايا التعذيب والمعاملة السيئة والحرمان من الضمانات القانونية ومعلومات بشأن نتائج هذه التحقيقات.</w:t>
      </w:r>
    </w:p>
    <w:p w:rsidR="00BD1F3C" w:rsidRPr="007E243D" w:rsidRDefault="00BD1F3C" w:rsidP="00BD1F3C">
      <w:pPr>
        <w:pStyle w:val="H23GA"/>
        <w:spacing w:before="100" w:after="100"/>
        <w:rPr>
          <w:rFonts w:hint="cs"/>
          <w:rtl/>
        </w:rPr>
      </w:pPr>
      <w:r>
        <w:rPr>
          <w:rFonts w:hint="cs"/>
          <w:rtl/>
        </w:rPr>
        <w:tab/>
      </w:r>
      <w:r>
        <w:rPr>
          <w:rFonts w:hint="cs"/>
          <w:rtl/>
        </w:rPr>
        <w:tab/>
        <w:t xml:space="preserve">ترهيب </w:t>
      </w:r>
      <w:r w:rsidRPr="007E243D">
        <w:rPr>
          <w:rtl/>
        </w:rPr>
        <w:t>المدافعين عن حقوق الإنسان ومضايقتهم و</w:t>
      </w:r>
      <w:r>
        <w:rPr>
          <w:rFonts w:hint="cs"/>
          <w:rtl/>
        </w:rPr>
        <w:t xml:space="preserve">الاعتداء </w:t>
      </w:r>
      <w:r w:rsidRPr="007E243D">
        <w:rPr>
          <w:rtl/>
        </w:rPr>
        <w:t>عليهم</w:t>
      </w:r>
      <w:r>
        <w:rPr>
          <w:rFonts w:hint="cs"/>
          <w:rtl/>
        </w:rPr>
        <w:t xml:space="preserve"> بالعنف</w:t>
      </w:r>
    </w:p>
    <w:p w:rsidR="00BD1F3C" w:rsidRDefault="00A65F62" w:rsidP="00A65F62">
      <w:pPr>
        <w:pStyle w:val="SingleTxtGA"/>
        <w:rPr>
          <w:rtl/>
        </w:rPr>
      </w:pPr>
      <w:r>
        <w:rPr>
          <w:rFonts w:hint="cs"/>
          <w:rtl/>
        </w:rPr>
        <w:t>(</w:t>
      </w:r>
      <w:r w:rsidR="00BD1F3C">
        <w:rPr>
          <w:rtl/>
        </w:rPr>
        <w:t>12</w:t>
      </w:r>
      <w:r>
        <w:rPr>
          <w:rFonts w:hint="cs"/>
          <w:rtl/>
        </w:rPr>
        <w:t>)</w:t>
      </w:r>
      <w:r w:rsidR="00BD1F3C">
        <w:rPr>
          <w:rtl/>
        </w:rPr>
        <w:tab/>
        <w:t xml:space="preserve">يساور اللجنة قلق بالغ بشأن النهج الذي تتبعه الدولة الطرف إزاء عمل من يرصد فيها أحوال حقوق الإنسان ويبلغ عنها من أشخاص ومنظمات. ويشمل هذا </w:t>
      </w:r>
      <w:r w:rsidR="00BD1F3C">
        <w:rPr>
          <w:rFonts w:hint="cs"/>
          <w:rtl/>
        </w:rPr>
        <w:t xml:space="preserve">اشتراطاً </w:t>
      </w:r>
      <w:r w:rsidR="00BD1F3C">
        <w:rPr>
          <w:rtl/>
        </w:rPr>
        <w:t>صدر في عام 2012 بأن تسجل المنظمات التي تتلقى الدعم المالي من مصادر في الخارج وتعرِّف نفسها علناً على أساس أنها "وكالات أجنبية"، وهذا مصطلح يبدو سلبياً ومصدر تهديد للمدافعين عن حقوق الإنسان، بما في ذلك المنظمات التي تتلقى التمويل من صندوق الأمم المتحدة للتبرعات لضحايا التعذيب.</w:t>
      </w:r>
    </w:p>
    <w:p w:rsidR="00BD1F3C" w:rsidRDefault="00BD1F3C" w:rsidP="00A65F62">
      <w:pPr>
        <w:pStyle w:val="SingleTxtGA"/>
        <w:rPr>
          <w:rtl/>
        </w:rPr>
      </w:pPr>
      <w:r>
        <w:rPr>
          <w:rFonts w:hint="cs"/>
          <w:rtl/>
        </w:rPr>
        <w:tab/>
      </w:r>
      <w:r>
        <w:rPr>
          <w:rtl/>
        </w:rPr>
        <w:t>كما تقلِق اللجنةَ تعديلات أُدخِلت مؤخراً على القانون الجنائي وسعت نطاق تعريف جريمة خيانة الدولة ليشمل "تقديم المساعدة المالية أو التقنية أو المشورة أو غيرها إلى دولة أجنبية أو منظمة دولية [...] هدفها الإضرار بأمن روسيا". ويقلِق اللجنةَ أن هذا الحكم قد يؤثر على من يقدمون معلومات إلى لجنة مناهضة التعذيب أو اللجنة الفرعية لمنع التعذيب أو صندوق الأمم المتحدة للتبرعات لضحايا التعذيب، ولعل ما يقلِق اللجنة أنه قد يُفسَّر على أنه يحظر تبادل المعلومات بشأن حالة حقوق الإنسان في الاتحاد الروسي معها أو مع غيرها من هيئات الأمم المتحدة لحقوق الإنسان.</w:t>
      </w:r>
    </w:p>
    <w:p w:rsidR="00BD1F3C" w:rsidRDefault="00BD1F3C" w:rsidP="00A65F62">
      <w:pPr>
        <w:pStyle w:val="SingleTxtGA"/>
        <w:rPr>
          <w:rtl/>
        </w:rPr>
      </w:pPr>
      <w:r>
        <w:rPr>
          <w:rFonts w:hint="cs"/>
          <w:rtl/>
        </w:rPr>
        <w:tab/>
      </w:r>
      <w:r>
        <w:rPr>
          <w:rtl/>
        </w:rPr>
        <w:t xml:space="preserve">وتشعر اللجنة بقلق بالغ لورود تقارير عديدة ومتطابقة بشأن أفعال </w:t>
      </w:r>
      <w:r>
        <w:rPr>
          <w:rFonts w:hint="cs"/>
          <w:rtl/>
        </w:rPr>
        <w:t xml:space="preserve">ترهيب </w:t>
      </w:r>
      <w:r>
        <w:rPr>
          <w:rtl/>
        </w:rPr>
        <w:t>خطيرة وأعمال انتقامية وتهديدات تستهدف المدافعين عن حقوق الإنسان والصحفيين، بما في ذلك حوادث قتل، وعدم إجراء سلطات الدولة الطرف لتحقيقات فعالة في هذه الأفعال وإخضاع الجناة للمساءلة، بمن فيهم المسؤولون عن إصدار الأوامر بارتكابها. وتعرب اللجنة عن قلقها لأنه لم يُدَن حتى الآن أي شخص فيما يتعلق بإصدار الأوامر بقتل الصحفية أنا بوليتكوفسكايا في عام 2006 والمدافعة عن حقوق الإنسان، السيدة ناتاليا إستيميروفا، في عام 2009، ولم يخضع أي شخص للمساءلة فيما يتعلق باعتداء الشرطة المزعوم بالضرب على السيدة سابييات ماغوميدوفا في داغستان في عام 2009</w:t>
      </w:r>
      <w:r>
        <w:rPr>
          <w:rFonts w:hint="cs"/>
          <w:rtl/>
        </w:rPr>
        <w:t xml:space="preserve"> (</w:t>
      </w:r>
      <w:r>
        <w:rPr>
          <w:rtl/>
        </w:rPr>
        <w:t>المواد 2 و11 و13 و16).</w:t>
      </w:r>
    </w:p>
    <w:p w:rsidR="00BD1F3C" w:rsidRPr="007E243D" w:rsidRDefault="00BD1F3C" w:rsidP="00BD1F3C">
      <w:pPr>
        <w:pStyle w:val="SingleTxtGA"/>
        <w:rPr>
          <w:b/>
          <w:bCs/>
          <w:rtl/>
        </w:rPr>
      </w:pPr>
      <w:r w:rsidRPr="007E243D">
        <w:rPr>
          <w:rFonts w:hint="cs"/>
          <w:b/>
          <w:bCs/>
          <w:rtl/>
        </w:rPr>
        <w:tab/>
      </w:r>
      <w:r w:rsidRPr="007E243D">
        <w:rPr>
          <w:b/>
          <w:bCs/>
          <w:rtl/>
        </w:rPr>
        <w:t>توصي اللجنة الدولة الطرف بما يلي:</w:t>
      </w:r>
    </w:p>
    <w:p w:rsidR="00BD1F3C" w:rsidRPr="00417A88" w:rsidRDefault="00BD1F3C" w:rsidP="00BD1F3C">
      <w:pPr>
        <w:pStyle w:val="SingleTxtGA"/>
        <w:rPr>
          <w:b/>
          <w:bCs/>
          <w:spacing w:val="-2"/>
          <w:rtl/>
        </w:rPr>
      </w:pPr>
      <w:r w:rsidRPr="00417A88">
        <w:rPr>
          <w:rFonts w:hint="cs"/>
          <w:b/>
          <w:bCs/>
          <w:spacing w:val="-2"/>
          <w:rtl/>
        </w:rPr>
        <w:tab/>
      </w:r>
      <w:r w:rsidRPr="00417A88">
        <w:rPr>
          <w:b/>
          <w:bCs/>
          <w:spacing w:val="-2"/>
          <w:rtl/>
        </w:rPr>
        <w:t>(أ)</w:t>
      </w:r>
      <w:r w:rsidRPr="00417A88">
        <w:rPr>
          <w:b/>
          <w:bCs/>
          <w:spacing w:val="-2"/>
          <w:rtl/>
        </w:rPr>
        <w:tab/>
        <w:t>أن تدرك أن المدافعين عن حقوق الإنسان معرضون للخطر ويُستهدفون بسبب اضطلاعهم بأنشطة حماية حقوق الإنسان، التي لها دور مهم في المجتمعات الديمقراطية؛ وأن تعدِّل قانونها الذي يلزم منظمات حقوق الإنسان التي تحصل على التمويل الأجنبي بأن تتسجل باعتبارها "وكالات أجنبية"؛ وأن تلغي التعريف المعدل لجريمة الخيانة في القانون الجنائي؛ وأن تعيد النظر في ممارستها وقوانينها. وينبغي أن تحرص الدولة الطرف على أن يتسنى لجميع المدافعين عن حقوق الإنسان القيام بعملهم وأنشطتهم وفق</w:t>
      </w:r>
      <w:r>
        <w:rPr>
          <w:b/>
          <w:bCs/>
          <w:spacing w:val="-2"/>
          <w:rtl/>
        </w:rPr>
        <w:t xml:space="preserve">اً </w:t>
      </w:r>
      <w:r w:rsidRPr="00417A88">
        <w:rPr>
          <w:b/>
          <w:bCs/>
          <w:spacing w:val="-2"/>
          <w:rtl/>
        </w:rPr>
        <w:t>لأحكام الإعلان المتعلق بحق ومسؤولية الأفراد والجماعات وهيئات المجتمع في تعزيز وحماية حقوق الإنسان والحريات الأساسية المعترف بها عالمياً (قرار الجمعية العامة 53/144)؛</w:t>
      </w:r>
    </w:p>
    <w:p w:rsidR="00BD1F3C" w:rsidRPr="007E243D" w:rsidRDefault="00BD1F3C" w:rsidP="00BD1F3C">
      <w:pPr>
        <w:pStyle w:val="SingleTxtGA"/>
        <w:rPr>
          <w:b/>
          <w:bCs/>
          <w:rtl/>
        </w:rPr>
      </w:pPr>
      <w:r w:rsidRPr="007E243D">
        <w:rPr>
          <w:rFonts w:hint="cs"/>
          <w:b/>
          <w:bCs/>
          <w:rtl/>
        </w:rPr>
        <w:tab/>
      </w:r>
      <w:r w:rsidRPr="007E243D">
        <w:rPr>
          <w:b/>
          <w:bCs/>
          <w:rtl/>
        </w:rPr>
        <w:t>(ب)</w:t>
      </w:r>
      <w:r w:rsidRPr="007E243D">
        <w:rPr>
          <w:b/>
          <w:bCs/>
          <w:rtl/>
        </w:rPr>
        <w:tab/>
        <w:t xml:space="preserve">أن تكفل </w:t>
      </w:r>
      <w:r>
        <w:rPr>
          <w:rFonts w:hint="cs"/>
          <w:b/>
          <w:bCs/>
          <w:rtl/>
        </w:rPr>
        <w:t xml:space="preserve">عدم تعرض </w:t>
      </w:r>
      <w:r w:rsidRPr="007E243D">
        <w:rPr>
          <w:b/>
          <w:bCs/>
          <w:rtl/>
        </w:rPr>
        <w:t>أي فرد أو جماعة للملاحقة بسبب تواصله مع لجنة مناهضة التعذيب أو اللجنة الفرعية لمنع التعذيب أو صندوق الأمم المتحدة للتبرعات لضحايا التعذيب أو هيئات الأمم المتحدة الأخرى لحقوق الإنسان أو تقديم المعلومات إليها في سياق اضطلاعها بولاياتها؛</w:t>
      </w:r>
    </w:p>
    <w:p w:rsidR="00BD1F3C" w:rsidRPr="007E243D" w:rsidRDefault="00BD1F3C" w:rsidP="00BD1F3C">
      <w:pPr>
        <w:pStyle w:val="SingleTxtGA"/>
        <w:rPr>
          <w:b/>
          <w:bCs/>
          <w:rtl/>
        </w:rPr>
      </w:pPr>
      <w:r w:rsidRPr="007E243D">
        <w:rPr>
          <w:rFonts w:hint="cs"/>
          <w:b/>
          <w:bCs/>
          <w:rtl/>
        </w:rPr>
        <w:tab/>
      </w:r>
      <w:r w:rsidRPr="007E243D">
        <w:rPr>
          <w:b/>
          <w:bCs/>
          <w:rtl/>
        </w:rPr>
        <w:t>(ج)</w:t>
      </w:r>
      <w:r w:rsidRPr="007E243D">
        <w:rPr>
          <w:b/>
          <w:bCs/>
          <w:rtl/>
        </w:rPr>
        <w:tab/>
        <w:t>أن تحقق فور</w:t>
      </w:r>
      <w:r>
        <w:rPr>
          <w:b/>
          <w:bCs/>
          <w:rtl/>
        </w:rPr>
        <w:t xml:space="preserve">اً </w:t>
      </w:r>
      <w:r w:rsidRPr="007E243D">
        <w:rPr>
          <w:b/>
          <w:bCs/>
          <w:rtl/>
        </w:rPr>
        <w:t xml:space="preserve">وبشكل شامل وحيادي في جميع الادعاءات المتعلقة </w:t>
      </w:r>
      <w:r>
        <w:rPr>
          <w:rFonts w:hint="cs"/>
          <w:b/>
          <w:bCs/>
          <w:rtl/>
        </w:rPr>
        <w:t xml:space="preserve">بترهيب </w:t>
      </w:r>
      <w:r w:rsidRPr="007E243D">
        <w:rPr>
          <w:b/>
          <w:bCs/>
          <w:rtl/>
        </w:rPr>
        <w:t>المدافعين عن حقوق الإنسان وبتهديدهم والاعتداء عليهم وقتلهم وأن تقدم إلى العدالة المسؤولين عن إصدار الأوامر بقتل السيدة أنا بوليتكوفسكايا والسيدة ناتاليا إستيميروفا والاعتداء بالضرب على السيدة سابييات ماغوميدوفا.</w:t>
      </w:r>
    </w:p>
    <w:p w:rsidR="00BD1F3C" w:rsidRDefault="00BD1F3C" w:rsidP="00BD1F3C">
      <w:pPr>
        <w:pStyle w:val="H23GA"/>
        <w:rPr>
          <w:rtl/>
        </w:rPr>
      </w:pPr>
      <w:r>
        <w:rPr>
          <w:rFonts w:hint="cs"/>
          <w:rtl/>
        </w:rPr>
        <w:tab/>
      </w:r>
      <w:r>
        <w:rPr>
          <w:rtl/>
        </w:rPr>
        <w:tab/>
        <w:t>شمال القوقاز</w:t>
      </w:r>
    </w:p>
    <w:p w:rsidR="00BD1F3C" w:rsidRDefault="00A65F62" w:rsidP="009F2FC3">
      <w:pPr>
        <w:pStyle w:val="SingleTxtGA"/>
        <w:spacing w:line="360" w:lineRule="exact"/>
        <w:rPr>
          <w:rtl/>
        </w:rPr>
      </w:pPr>
      <w:r>
        <w:rPr>
          <w:rFonts w:hint="cs"/>
          <w:rtl/>
        </w:rPr>
        <w:t>(</w:t>
      </w:r>
      <w:r w:rsidR="00BD1F3C">
        <w:rPr>
          <w:rtl/>
        </w:rPr>
        <w:t>13</w:t>
      </w:r>
      <w:r>
        <w:rPr>
          <w:rFonts w:hint="cs"/>
          <w:rtl/>
        </w:rPr>
        <w:t>)</w:t>
      </w:r>
      <w:r w:rsidR="00BD1F3C">
        <w:rPr>
          <w:rtl/>
        </w:rPr>
        <w:tab/>
        <w:t xml:space="preserve">يساور اللجنة قلق إزاء تقارير عديدة متواصلة ومتطابقة بشأن انتهاكات خطيرة لحقوق الإنسان، تشمل التعذيب والمعاملة السيئة وحالات الاختطاف والاختفاء القسري والإعدام خارج نطاق القضاء، ارتكبها موظفون عامون أو أشخاص آخرون تصرفوا بصفة رسمية في شمال القوقاز، بما في ذلك جمهورية الشيشان، أو حرضوا على ارتكابها أو وافقوا عليه أو امتثلوا لأوامر القيام به. كما تشعر بالقلق إزاء عدم تحقيق الدولة الطرف في هذه الانتهاكات وعدم معاقبتها لمرتكبيها، رغم إنشاء الوكالة رقم 2 لإدارة جمهورية الشيشان للتحقيقات التي تختص في القضايا البالغة الأهمية. وتقلِقها على وجه الخصوص معلومات قدمتها الدولة الطرف مفادها أنه لم تُعرَض على المحاكم أي قضية من أصل 427 شكوى متعلقة بحالات الاختفاء في جمهورية الشيشان تلقتها الدولة الطرف في الفترة المتراوحة بين عامي 2007 و2009. وتلاحظ اللجنة بذعر تعليقات أدلى بها موظف في الدولة الطرف في آذار/مارس 2011 مفادها أنه لا يمكن لمكتب المدعي العام ولا للجنة التحقيق إجبار السلطات الشيشانية على إجراء تحقيقات جدية في الادعاءات المتعلقة بحالات الاختفاء وغيرها من الانتهاكات، والنتيجة أن مرتكبيها لا يخضعون للمساءلة. كما تأسف اللجنة لاحتمال </w:t>
      </w:r>
      <w:r w:rsidR="00BD1F3C">
        <w:rPr>
          <w:rFonts w:hint="cs"/>
          <w:rtl/>
        </w:rPr>
        <w:t xml:space="preserve">استفادة مدانين </w:t>
      </w:r>
      <w:r w:rsidR="00BD1F3C">
        <w:rPr>
          <w:rtl/>
        </w:rPr>
        <w:t>بارتكاب جرائم تشكل انتهاكات للاتفاقية</w:t>
      </w:r>
      <w:r w:rsidR="00BD1F3C">
        <w:rPr>
          <w:rFonts w:hint="cs"/>
          <w:rtl/>
        </w:rPr>
        <w:t xml:space="preserve"> من عفو عام</w:t>
      </w:r>
      <w:r w:rsidR="00BD1F3C">
        <w:rPr>
          <w:rtl/>
        </w:rPr>
        <w:t xml:space="preserve">. كما تشعر اللجنة بالقلق إزاء تقارير متواترة بشأن ارتكاب أفعال عنف ضد المرأة في شمال القوقاز تشكل انتهاكات للاتفاقية، منها حوادث قتل وما يسمى "جرائم </w:t>
      </w:r>
      <w:r w:rsidR="00BD1F3C">
        <w:rPr>
          <w:rFonts w:hint="cs"/>
          <w:rtl/>
        </w:rPr>
        <w:t>الشرف</w:t>
      </w:r>
      <w:r w:rsidR="00BD1F3C">
        <w:rPr>
          <w:rtl/>
        </w:rPr>
        <w:t xml:space="preserve">" وحالات اختطاف العرائس. أمّا بخصوص توصياتها السابقة، فلا تزال تشعر بالقلق </w:t>
      </w:r>
      <w:r w:rsidR="00BD1F3C">
        <w:rPr>
          <w:rFonts w:hint="cs"/>
          <w:rtl/>
        </w:rPr>
        <w:t xml:space="preserve">لعدم نشر </w:t>
      </w:r>
      <w:r w:rsidR="00BD1F3C">
        <w:rPr>
          <w:rtl/>
        </w:rPr>
        <w:t xml:space="preserve">أي تقرير عقب الزيارات التي قامت بها اللجنة الأوروبية لمنع التعذيب إلى الدولة الطرف، بما في ذلك شمال القوقاز، </w:t>
      </w:r>
      <w:r w:rsidR="00BD1F3C">
        <w:rPr>
          <w:rFonts w:hint="cs"/>
          <w:rtl/>
        </w:rPr>
        <w:t xml:space="preserve">وعدم تحديد </w:t>
      </w:r>
      <w:r w:rsidR="00BD1F3C">
        <w:rPr>
          <w:rtl/>
        </w:rPr>
        <w:t>أي إطار زمني لنشر هذه التقارير (المواد 2 و4 و11 و12 و16).</w:t>
      </w:r>
    </w:p>
    <w:p w:rsidR="00BD1F3C" w:rsidRPr="0092123D" w:rsidRDefault="00BD1F3C" w:rsidP="009F2FC3">
      <w:pPr>
        <w:pStyle w:val="SingleTxtGA"/>
        <w:spacing w:line="360" w:lineRule="exact"/>
        <w:rPr>
          <w:b/>
          <w:bCs/>
          <w:spacing w:val="-2"/>
          <w:rtl/>
        </w:rPr>
      </w:pPr>
      <w:r w:rsidRPr="0092123D">
        <w:rPr>
          <w:rFonts w:hint="cs"/>
          <w:b/>
          <w:bCs/>
          <w:spacing w:val="-2"/>
          <w:rtl/>
        </w:rPr>
        <w:tab/>
      </w:r>
      <w:r w:rsidRPr="0092123D">
        <w:rPr>
          <w:b/>
          <w:bCs/>
          <w:spacing w:val="-2"/>
          <w:rtl/>
        </w:rPr>
        <w:t xml:space="preserve">تحث اللجنة الدولة الطرف على الحرص على </w:t>
      </w:r>
      <w:r w:rsidRPr="0092123D">
        <w:rPr>
          <w:rFonts w:hint="cs"/>
          <w:b/>
          <w:bCs/>
          <w:spacing w:val="-2"/>
          <w:rtl/>
        </w:rPr>
        <w:t xml:space="preserve">اتساق </w:t>
      </w:r>
      <w:r w:rsidRPr="0092123D">
        <w:rPr>
          <w:b/>
          <w:bCs/>
          <w:spacing w:val="-2"/>
          <w:rtl/>
        </w:rPr>
        <w:t>أي تدابير لمكافحة الإرهاب يجري اتخاذها في منطقة شمال القوقاز مع أحكام الاتفاقية التي تحظر التعذيب والمعاملة السيئة.</w:t>
      </w:r>
    </w:p>
    <w:p w:rsidR="00BD1F3C" w:rsidRPr="0092123D" w:rsidRDefault="00BD1F3C" w:rsidP="009F2FC3">
      <w:pPr>
        <w:pStyle w:val="SingleTxtGA"/>
        <w:spacing w:line="360" w:lineRule="exact"/>
        <w:rPr>
          <w:b/>
          <w:bCs/>
          <w:rtl/>
        </w:rPr>
      </w:pPr>
      <w:r w:rsidRPr="0092123D">
        <w:rPr>
          <w:rFonts w:hint="cs"/>
          <w:b/>
          <w:bCs/>
          <w:rtl/>
        </w:rPr>
        <w:tab/>
      </w:r>
      <w:r w:rsidRPr="0092123D">
        <w:rPr>
          <w:b/>
          <w:bCs/>
          <w:rtl/>
        </w:rPr>
        <w:t>وتوصي اللجنة الدولة الطرف بما يلي:</w:t>
      </w:r>
    </w:p>
    <w:p w:rsidR="00BD1F3C" w:rsidRPr="0092123D" w:rsidRDefault="00BD1F3C" w:rsidP="009F2FC3">
      <w:pPr>
        <w:pStyle w:val="SingleTxtGA"/>
        <w:spacing w:line="360" w:lineRule="exact"/>
        <w:rPr>
          <w:b/>
          <w:bCs/>
          <w:rtl/>
        </w:rPr>
      </w:pPr>
      <w:r w:rsidRPr="0092123D">
        <w:rPr>
          <w:rFonts w:hint="cs"/>
          <w:b/>
          <w:bCs/>
          <w:rtl/>
        </w:rPr>
        <w:tab/>
      </w:r>
      <w:r w:rsidRPr="0092123D">
        <w:rPr>
          <w:b/>
          <w:bCs/>
          <w:rtl/>
        </w:rPr>
        <w:t>(أ)</w:t>
      </w:r>
      <w:r w:rsidRPr="0092123D">
        <w:rPr>
          <w:b/>
          <w:bCs/>
          <w:rtl/>
        </w:rPr>
        <w:tab/>
        <w:t>أن تكفل التحقيق الفوري والحيادي والفعال في جميع الشكاوى المتعلقة بالحرمان من الضمانات القانونية وبالتعذيب والمعاملة السيئة والاختطاف والاختفاء القسري والإعدام خارج نطاق القضاء، بما في ذلك أفعال العنف ضد المرأة في شمال القوقاز، وإخضاع كل المسؤولين عن هذه الانتهاكات للمساءلة وملاحقتهم ومعاقبتهم وحصول ضحاياها على التعويض؛</w:t>
      </w:r>
    </w:p>
    <w:p w:rsidR="00BD1F3C" w:rsidRPr="0092123D" w:rsidRDefault="00BD1F3C" w:rsidP="009F2FC3">
      <w:pPr>
        <w:pStyle w:val="SingleTxtGA"/>
        <w:spacing w:line="360" w:lineRule="exact"/>
        <w:rPr>
          <w:b/>
          <w:bCs/>
          <w:rtl/>
        </w:rPr>
      </w:pPr>
      <w:r w:rsidRPr="0092123D">
        <w:rPr>
          <w:rFonts w:hint="cs"/>
          <w:b/>
          <w:bCs/>
          <w:rtl/>
        </w:rPr>
        <w:tab/>
      </w:r>
      <w:r w:rsidRPr="0092123D">
        <w:rPr>
          <w:b/>
          <w:bCs/>
          <w:rtl/>
        </w:rPr>
        <w:t>(ب)</w:t>
      </w:r>
      <w:r w:rsidRPr="0092123D">
        <w:rPr>
          <w:b/>
          <w:bCs/>
          <w:rtl/>
        </w:rPr>
        <w:tab/>
        <w:t xml:space="preserve">أن تكفل </w:t>
      </w:r>
      <w:r>
        <w:rPr>
          <w:rFonts w:hint="cs"/>
          <w:b/>
          <w:bCs/>
          <w:rtl/>
        </w:rPr>
        <w:t xml:space="preserve">عدم استفادة </w:t>
      </w:r>
      <w:r w:rsidRPr="0092123D">
        <w:rPr>
          <w:b/>
          <w:bCs/>
          <w:rtl/>
        </w:rPr>
        <w:t>أي شخص تثبت إدانته بارتكاب جرائم تشكل ضرب</w:t>
      </w:r>
      <w:r>
        <w:rPr>
          <w:b/>
          <w:bCs/>
          <w:rtl/>
        </w:rPr>
        <w:t xml:space="preserve">اً </w:t>
      </w:r>
      <w:r w:rsidRPr="0092123D">
        <w:rPr>
          <w:b/>
          <w:bCs/>
          <w:rtl/>
        </w:rPr>
        <w:t>من ضروب التعذيب وانتهاك</w:t>
      </w:r>
      <w:r>
        <w:rPr>
          <w:b/>
          <w:bCs/>
          <w:rtl/>
        </w:rPr>
        <w:t xml:space="preserve">اً </w:t>
      </w:r>
      <w:r w:rsidRPr="0092123D">
        <w:rPr>
          <w:b/>
          <w:bCs/>
          <w:rtl/>
        </w:rPr>
        <w:t>للاتفاقية</w:t>
      </w:r>
      <w:r>
        <w:rPr>
          <w:rFonts w:hint="cs"/>
          <w:b/>
          <w:bCs/>
          <w:rtl/>
        </w:rPr>
        <w:t xml:space="preserve"> من العفو</w:t>
      </w:r>
      <w:r w:rsidRPr="0092123D">
        <w:rPr>
          <w:b/>
          <w:bCs/>
          <w:rtl/>
        </w:rPr>
        <w:t>؛</w:t>
      </w:r>
    </w:p>
    <w:p w:rsidR="00BD1F3C" w:rsidRPr="0092123D" w:rsidRDefault="00BD1F3C" w:rsidP="009F2FC3">
      <w:pPr>
        <w:pStyle w:val="SingleTxtGA"/>
        <w:spacing w:line="360" w:lineRule="exact"/>
        <w:rPr>
          <w:b/>
          <w:bCs/>
          <w:rtl/>
        </w:rPr>
      </w:pPr>
      <w:r w:rsidRPr="0092123D">
        <w:rPr>
          <w:rFonts w:hint="cs"/>
          <w:b/>
          <w:bCs/>
          <w:rtl/>
        </w:rPr>
        <w:tab/>
      </w:r>
      <w:r w:rsidRPr="0092123D">
        <w:rPr>
          <w:b/>
          <w:bCs/>
          <w:rtl/>
        </w:rPr>
        <w:t>(ج)</w:t>
      </w:r>
      <w:r w:rsidRPr="0092123D">
        <w:rPr>
          <w:b/>
          <w:bCs/>
          <w:rtl/>
        </w:rPr>
        <w:tab/>
        <w:t>أن تكفل للمحققين إمكانية إلزام الموظفين المحليين بالتعاون مع إجراءات التحقيق ومعاقبة أي موظف يرفض التعاون؛</w:t>
      </w:r>
    </w:p>
    <w:p w:rsidR="00BD1F3C" w:rsidRPr="0092123D" w:rsidRDefault="00BD1F3C" w:rsidP="009F2FC3">
      <w:pPr>
        <w:pStyle w:val="SingleTxtGA"/>
        <w:spacing w:line="360" w:lineRule="exact"/>
        <w:rPr>
          <w:b/>
          <w:bCs/>
          <w:rtl/>
        </w:rPr>
      </w:pPr>
      <w:r w:rsidRPr="0092123D">
        <w:rPr>
          <w:rFonts w:hint="cs"/>
          <w:b/>
          <w:bCs/>
          <w:rtl/>
        </w:rPr>
        <w:tab/>
      </w:r>
      <w:r w:rsidRPr="0092123D">
        <w:rPr>
          <w:b/>
          <w:bCs/>
          <w:rtl/>
        </w:rPr>
        <w:t>(د)</w:t>
      </w:r>
      <w:r w:rsidRPr="0092123D">
        <w:rPr>
          <w:b/>
          <w:bCs/>
          <w:rtl/>
        </w:rPr>
        <w:tab/>
        <w:t>أن تعمم المعلومات المتعلقة بعدد القضايا التي لم تُسَوَّ من حالات الاختفاء القسري في المنطقة وتبقي أفراد أُسر المختفين على علم بالتقدم المحرز في التحقيقات وعملية استخراج الرفات وتحديد هوية أصحابها.</w:t>
      </w:r>
    </w:p>
    <w:p w:rsidR="00BD1F3C" w:rsidRPr="0092123D" w:rsidRDefault="00BD1F3C" w:rsidP="009F2FC3">
      <w:pPr>
        <w:pStyle w:val="SingleTxtGA"/>
        <w:spacing w:line="360" w:lineRule="exact"/>
        <w:rPr>
          <w:b/>
          <w:bCs/>
          <w:rtl/>
        </w:rPr>
      </w:pPr>
      <w:r>
        <w:rPr>
          <w:rFonts w:hint="cs"/>
          <w:b/>
          <w:bCs/>
          <w:rtl/>
        </w:rPr>
        <w:tab/>
      </w:r>
      <w:r w:rsidRPr="0092123D">
        <w:rPr>
          <w:b/>
          <w:bCs/>
          <w:rtl/>
        </w:rPr>
        <w:t xml:space="preserve">أمّا بخصوص توصياتها السابقة وتأكيد ممثل الدولة الطرف </w:t>
      </w:r>
      <w:r>
        <w:rPr>
          <w:rFonts w:hint="cs"/>
          <w:b/>
          <w:bCs/>
          <w:rtl/>
        </w:rPr>
        <w:t xml:space="preserve">أثناء </w:t>
      </w:r>
      <w:r w:rsidRPr="0092123D">
        <w:rPr>
          <w:b/>
          <w:bCs/>
          <w:rtl/>
        </w:rPr>
        <w:t xml:space="preserve">النظر في التقرير بأن السلطات توافق من حيث المبدأ على تعميم التقارير المتعلقة بزيارات اللجنة الأوروبية لمنع التعذيب إلى بلده، فتحث الدولةَ الطرفَ على نشر هذه التقارير، بما في ذلك المتعلقة منها بزيارات منطقة شمال القوقاز. كما تطلب اللجنة </w:t>
      </w:r>
      <w:r>
        <w:rPr>
          <w:rFonts w:hint="cs"/>
          <w:b/>
          <w:bCs/>
          <w:rtl/>
        </w:rPr>
        <w:t xml:space="preserve">إلى </w:t>
      </w:r>
      <w:r w:rsidRPr="0092123D">
        <w:rPr>
          <w:b/>
          <w:bCs/>
          <w:rtl/>
        </w:rPr>
        <w:t xml:space="preserve">الدولة الطرف أن </w:t>
      </w:r>
      <w:r>
        <w:rPr>
          <w:rFonts w:hint="cs"/>
          <w:b/>
          <w:bCs/>
          <w:rtl/>
        </w:rPr>
        <w:t xml:space="preserve">تعلمها </w:t>
      </w:r>
      <w:r w:rsidRPr="0092123D">
        <w:rPr>
          <w:b/>
          <w:bCs/>
          <w:rtl/>
        </w:rPr>
        <w:t>بجدولها الزمني لنشرها.</w:t>
      </w:r>
    </w:p>
    <w:p w:rsidR="00BD1F3C" w:rsidRDefault="00BD1F3C" w:rsidP="00BD1F3C">
      <w:pPr>
        <w:pStyle w:val="H23GA"/>
        <w:rPr>
          <w:rtl/>
        </w:rPr>
      </w:pPr>
      <w:r>
        <w:rPr>
          <w:rtl/>
        </w:rPr>
        <w:tab/>
      </w:r>
      <w:r>
        <w:rPr>
          <w:rtl/>
        </w:rPr>
        <w:tab/>
        <w:t>العنف ضد المرأة</w:t>
      </w:r>
    </w:p>
    <w:p w:rsidR="00BD1F3C" w:rsidRDefault="00A65F62" w:rsidP="009F2FC3">
      <w:pPr>
        <w:pStyle w:val="SingleTxtGA"/>
        <w:rPr>
          <w:rtl/>
        </w:rPr>
      </w:pPr>
      <w:r>
        <w:rPr>
          <w:rFonts w:hint="cs"/>
          <w:rtl/>
        </w:rPr>
        <w:t>(</w:t>
      </w:r>
      <w:r w:rsidR="00BD1F3C">
        <w:rPr>
          <w:rtl/>
        </w:rPr>
        <w:t>14</w:t>
      </w:r>
      <w:r>
        <w:rPr>
          <w:rFonts w:hint="cs"/>
          <w:rtl/>
        </w:rPr>
        <w:t>)</w:t>
      </w:r>
      <w:r w:rsidR="00BD1F3C">
        <w:rPr>
          <w:rtl/>
        </w:rPr>
        <w:tab/>
        <w:t xml:space="preserve">يقلِق اللجنةَ أنه لم يُسجَّل </w:t>
      </w:r>
      <w:r w:rsidR="00BD1F3C">
        <w:rPr>
          <w:rFonts w:hint="cs"/>
          <w:rtl/>
        </w:rPr>
        <w:t xml:space="preserve">إلا </w:t>
      </w:r>
      <w:r w:rsidR="00BD1F3C">
        <w:rPr>
          <w:rtl/>
        </w:rPr>
        <w:t xml:space="preserve">عدد ضئيل من الشكاوى والتحقيقات والملاحقات القضائية فيما يتعلق بأفعال العنف المنزلي والعنف ضد المرأة، بما في ذلك الاغتصاب الزوجي، رغم ورود تقارير متطابقة بشأن ادعاءات عديدة تفيد بوقوع أشكال كثيرة من العنف ضد المرأة في سائر أرجاء الدولة الطرف. كما تشعر بالقلق إزاء تقارير </w:t>
      </w:r>
      <w:r w:rsidR="00BD1F3C">
        <w:rPr>
          <w:rFonts w:hint="cs"/>
          <w:rtl/>
        </w:rPr>
        <w:t xml:space="preserve">تشير إلى </w:t>
      </w:r>
      <w:r w:rsidR="00BD1F3C">
        <w:rPr>
          <w:rtl/>
        </w:rPr>
        <w:t>أن موظفي إنفاذ القوانين يرفضون تسجيل الشكاوى المتعلقة بالعنف المنزلي وأن النساء اللائي يلتمسن إجراء تحقيقات جنائية في الادعاءات المتعلقة بالعنف المنزلي يُلزَمن بالمشاركة في إجراءات الصلح. كما يساور اللجنةَ قلق بخصوص عدم وجود تعريف للعنف المنزلي في قانون الدولة الطرف (المواد 1 و2 و11 و13 و16).</w:t>
      </w:r>
    </w:p>
    <w:p w:rsidR="00BD1F3C" w:rsidRPr="0092123D" w:rsidRDefault="00BD1F3C" w:rsidP="009F2FC3">
      <w:pPr>
        <w:pStyle w:val="SingleTxtGA"/>
        <w:rPr>
          <w:b/>
          <w:bCs/>
          <w:rtl/>
        </w:rPr>
      </w:pPr>
      <w:r>
        <w:rPr>
          <w:rFonts w:hint="cs"/>
          <w:rtl/>
        </w:rPr>
        <w:tab/>
      </w:r>
      <w:r w:rsidRPr="0092123D">
        <w:rPr>
          <w:b/>
          <w:bCs/>
          <w:rtl/>
        </w:rPr>
        <w:t>تحث اللجنة الدولة الطرف على أن تعرِّف العنف المنزلي في قانونها وتحرص على أن يسجل أفراد الشرطة جميع قضايا العنف ضد المرأة، بما في ذلك العنف المنزلي؛ وأن يجري التحقيق الفوري والحيادي والفعال في جميع الادعاءات المتعلقة بالعنف ضد المرأة؛ وأن يلاحَق الجناة قضائيا</w:t>
      </w:r>
      <w:r>
        <w:rPr>
          <w:rFonts w:hint="cs"/>
          <w:b/>
          <w:bCs/>
          <w:rtl/>
        </w:rPr>
        <w:t>ً</w:t>
      </w:r>
      <w:r w:rsidRPr="0092123D">
        <w:rPr>
          <w:b/>
          <w:bCs/>
          <w:rtl/>
        </w:rPr>
        <w:t xml:space="preserve">. وينبغي أن تكفل الدولة الطرف </w:t>
      </w:r>
      <w:r>
        <w:rPr>
          <w:rFonts w:hint="cs"/>
          <w:b/>
          <w:bCs/>
          <w:rtl/>
        </w:rPr>
        <w:t xml:space="preserve">اتخاذ الإجراءات التأديبية المناسبة بحق موظفي </w:t>
      </w:r>
      <w:r w:rsidRPr="0092123D">
        <w:rPr>
          <w:b/>
          <w:bCs/>
          <w:rtl/>
        </w:rPr>
        <w:t>الشرطة الذين يرفضون تسجيل هذه الشكاوى.</w:t>
      </w:r>
    </w:p>
    <w:p w:rsidR="00BD1F3C" w:rsidRDefault="00BD1F3C" w:rsidP="009F2FC3">
      <w:pPr>
        <w:pStyle w:val="H23GA"/>
        <w:spacing w:before="100" w:after="100"/>
        <w:rPr>
          <w:rtl/>
        </w:rPr>
      </w:pPr>
      <w:r>
        <w:rPr>
          <w:rtl/>
        </w:rPr>
        <w:tab/>
      </w:r>
      <w:r>
        <w:rPr>
          <w:rtl/>
        </w:rPr>
        <w:tab/>
        <w:t>الاعتداءات العنيفة الناجمة عن انتماء الضحايا العرقي أو الإثني أو هويتهم</w:t>
      </w:r>
    </w:p>
    <w:p w:rsidR="00BD1F3C" w:rsidRDefault="00A65F62" w:rsidP="009F2FC3">
      <w:pPr>
        <w:pStyle w:val="SingleTxtGA"/>
        <w:rPr>
          <w:rtl/>
        </w:rPr>
      </w:pPr>
      <w:r>
        <w:rPr>
          <w:rFonts w:hint="cs"/>
          <w:rtl/>
        </w:rPr>
        <w:t>(</w:t>
      </w:r>
      <w:r w:rsidR="00BD1F3C">
        <w:rPr>
          <w:rtl/>
        </w:rPr>
        <w:t>15</w:t>
      </w:r>
      <w:r>
        <w:rPr>
          <w:rFonts w:hint="cs"/>
          <w:rtl/>
        </w:rPr>
        <w:t>)</w:t>
      </w:r>
      <w:r w:rsidR="00BD1F3C">
        <w:rPr>
          <w:rtl/>
        </w:rPr>
        <w:tab/>
        <w:t xml:space="preserve">تشعر اللجنة بالقلق إزاء التقارير المستمرة بشأن أشكال التمييز والانتهاكات التي تشمل </w:t>
      </w:r>
      <w:r w:rsidR="00BD1F3C">
        <w:rPr>
          <w:rFonts w:hint="cs"/>
          <w:rtl/>
        </w:rPr>
        <w:t xml:space="preserve">شنّ </w:t>
      </w:r>
      <w:r w:rsidR="00BD1F3C">
        <w:rPr>
          <w:rtl/>
        </w:rPr>
        <w:t xml:space="preserve">اعتداءات عنيفة على الروما وغيرهم من الأقليات الإثنية وعلى العمال المهاجرين والمواطنين الأجانب وأشخاص آخرين يستهدَفون بسبب هويتهم أو تهميشهم الاجتماعي، ويشمل ذلك وفاة عدد من المنتمين إلى أقلية الروما وهم رهن الاحتجاز في </w:t>
      </w:r>
      <w:r w:rsidR="00BD1F3C">
        <w:rPr>
          <w:rFonts w:hint="cs"/>
          <w:rtl/>
        </w:rPr>
        <w:t xml:space="preserve">قازان </w:t>
      </w:r>
      <w:r w:rsidR="00BD1F3C">
        <w:rPr>
          <w:rtl/>
        </w:rPr>
        <w:t xml:space="preserve">وبسكوف في الفترة 2005-2011. كما يخالج اللجنةَ قلق إزاء تقارير </w:t>
      </w:r>
      <w:r w:rsidR="00BD1F3C">
        <w:rPr>
          <w:rFonts w:hint="cs"/>
          <w:rtl/>
        </w:rPr>
        <w:t xml:space="preserve">تفيد بأن </w:t>
      </w:r>
      <w:r w:rsidR="00BD1F3C">
        <w:rPr>
          <w:rtl/>
        </w:rPr>
        <w:t>الشرطة لم تتصدَّ على الفور للاعتداءات العنيفة على المثليات والمثليين ومزدوجي الميل الجنسي ومغايري الهوية الجنسانية، من قبيل ما زُعِم من اعتداءات وقعت مؤخراً على نادي "</w:t>
      </w:r>
      <w:r w:rsidR="00BD1F3C">
        <w:t>7 Free Days</w:t>
      </w:r>
      <w:r w:rsidR="00BD1F3C">
        <w:rPr>
          <w:rtl/>
        </w:rPr>
        <w:t>" في موسكو ونادي "</w:t>
      </w:r>
      <w:r w:rsidR="00BD1F3C">
        <w:t>Parisian Life</w:t>
      </w:r>
      <w:r w:rsidR="00BD1F3C">
        <w:rPr>
          <w:rtl/>
        </w:rPr>
        <w:t>" في تيومين، ولم تجر تحقيقات فعالة في هذه الاعتداءات ولم</w:t>
      </w:r>
      <w:r w:rsidR="00BD1F3C">
        <w:rPr>
          <w:rFonts w:hint="cs"/>
          <w:rtl/>
        </w:rPr>
        <w:t> </w:t>
      </w:r>
      <w:r w:rsidR="00BD1F3C">
        <w:rPr>
          <w:rtl/>
        </w:rPr>
        <w:t>تلاحق المسؤولين عنها (المواد 2 و12 و13 و16).</w:t>
      </w:r>
    </w:p>
    <w:p w:rsidR="00BD1F3C" w:rsidRPr="00705A59" w:rsidRDefault="00BD1F3C" w:rsidP="009F2FC3">
      <w:pPr>
        <w:pStyle w:val="SingleTxtGA"/>
        <w:rPr>
          <w:b/>
          <w:bCs/>
          <w:rtl/>
        </w:rPr>
      </w:pPr>
      <w:r w:rsidRPr="00705A59">
        <w:rPr>
          <w:rFonts w:hint="cs"/>
          <w:b/>
          <w:bCs/>
          <w:rtl/>
        </w:rPr>
        <w:tab/>
      </w:r>
      <w:r w:rsidRPr="00705A59">
        <w:rPr>
          <w:b/>
          <w:bCs/>
          <w:rtl/>
        </w:rPr>
        <w:t>ينبغي للدولة الطرف:</w:t>
      </w:r>
    </w:p>
    <w:p w:rsidR="00BD1F3C" w:rsidRPr="00705A59" w:rsidRDefault="00BD1F3C" w:rsidP="009F2FC3">
      <w:pPr>
        <w:pStyle w:val="SingleTxtGA"/>
        <w:rPr>
          <w:rFonts w:hint="cs"/>
          <w:b/>
          <w:bCs/>
          <w:spacing w:val="-1"/>
          <w:rtl/>
        </w:rPr>
      </w:pPr>
      <w:r w:rsidRPr="00705A59">
        <w:rPr>
          <w:rFonts w:hint="cs"/>
          <w:b/>
          <w:bCs/>
          <w:spacing w:val="-1"/>
          <w:rtl/>
        </w:rPr>
        <w:tab/>
      </w:r>
      <w:r w:rsidRPr="00705A59">
        <w:rPr>
          <w:b/>
          <w:bCs/>
          <w:spacing w:val="-1"/>
          <w:rtl/>
        </w:rPr>
        <w:t>(أ)</w:t>
      </w:r>
      <w:r w:rsidRPr="00705A59">
        <w:rPr>
          <w:b/>
          <w:bCs/>
          <w:spacing w:val="-1"/>
          <w:rtl/>
        </w:rPr>
        <w:tab/>
        <w:t xml:space="preserve">أن تتخذ تدابير فعالة، منها تعزيز الرصد، لضمان حماية جميع الأشخاص المستهدفين، ومنهم الروما والمنتمون إلى الأقليات الإثنية والعمال المهاجرون والمثليات والمثليون ومزدوجو الميل الجنسي ومغايرو الهوية الجنسانية والمواطنون الأجانب. وينبغي أن يحقَّق فوراً وبحيادية وفعالية في جميع أفعال العنف والتمييز التي تستهدف المنتمين إلى هذه الجماعات وأن يقدَّم الجناة إلى العدالة ويقدَّم التعويض إلى الضحايا. وتوصي اللجنةُ </w:t>
      </w:r>
      <w:r w:rsidRPr="00705A59">
        <w:rPr>
          <w:rFonts w:hint="cs"/>
          <w:b/>
          <w:bCs/>
          <w:spacing w:val="-1"/>
          <w:rtl/>
        </w:rPr>
        <w:t xml:space="preserve">بتجميع </w:t>
      </w:r>
      <w:r w:rsidRPr="00705A59">
        <w:rPr>
          <w:b/>
          <w:bCs/>
          <w:spacing w:val="-1"/>
          <w:rtl/>
        </w:rPr>
        <w:t xml:space="preserve">إحصاءات بشأن جميع الجرائم المقترَفة في حق المنتمين إلى هذه </w:t>
      </w:r>
      <w:r w:rsidRPr="00705A59">
        <w:rPr>
          <w:rFonts w:hint="cs"/>
          <w:b/>
          <w:bCs/>
          <w:spacing w:val="-1"/>
          <w:rtl/>
        </w:rPr>
        <w:t>الفئات</w:t>
      </w:r>
      <w:r w:rsidRPr="00705A59">
        <w:rPr>
          <w:b/>
          <w:bCs/>
          <w:spacing w:val="-1"/>
          <w:rtl/>
        </w:rPr>
        <w:t xml:space="preserve"> المستضعفة وبشأن نتائج التحقيقات والملاحقات والتدابير الإصلاحية المتخذة فيما يتعلق بهذه الجرائم؛</w:t>
      </w:r>
    </w:p>
    <w:p w:rsidR="00BD1F3C" w:rsidRPr="00705A59" w:rsidRDefault="00BD1F3C" w:rsidP="009F2FC3">
      <w:pPr>
        <w:pStyle w:val="SingleTxtGA"/>
        <w:rPr>
          <w:b/>
          <w:bCs/>
          <w:rtl/>
        </w:rPr>
      </w:pPr>
      <w:r w:rsidRPr="00705A59">
        <w:rPr>
          <w:b/>
          <w:bCs/>
          <w:rtl/>
        </w:rPr>
        <w:tab/>
        <w:t>(ب)</w:t>
      </w:r>
      <w:r w:rsidRPr="00705A59">
        <w:rPr>
          <w:b/>
          <w:bCs/>
          <w:rtl/>
        </w:rPr>
        <w:tab/>
        <w:t>أن تشجب علناً الاعتداءات على الروما وغيرها من الأقليات الإثنية والعمال المهاجرين والمثليات والمثليين ومزدوجي الميل الجنسي ومغايري الهوية الجنسانية وغيرهم من الأشخاص المستهدفين وأن تنظم في أوساط منها صفوف الشرطة حملات توعية تشجع التسامح واحترام التنوع.</w:t>
      </w:r>
    </w:p>
    <w:p w:rsidR="00BD1F3C" w:rsidRDefault="00BD1F3C" w:rsidP="000F411B">
      <w:pPr>
        <w:pStyle w:val="H23GA"/>
        <w:spacing w:line="370" w:lineRule="exact"/>
        <w:rPr>
          <w:rtl/>
        </w:rPr>
      </w:pPr>
      <w:r>
        <w:rPr>
          <w:rFonts w:hint="cs"/>
          <w:rtl/>
        </w:rPr>
        <w:tab/>
      </w:r>
      <w:r>
        <w:rPr>
          <w:rFonts w:hint="cs"/>
          <w:rtl/>
        </w:rPr>
        <w:tab/>
        <w:t xml:space="preserve">التنكيل بالمجندين الجدد وإساءة معاملتهم </w:t>
      </w:r>
      <w:r>
        <w:rPr>
          <w:rtl/>
        </w:rPr>
        <w:t>داخل القوات المسلحة</w:t>
      </w:r>
    </w:p>
    <w:p w:rsidR="00BD1F3C" w:rsidRDefault="00A65F62" w:rsidP="000F411B">
      <w:pPr>
        <w:pStyle w:val="SingleTxtGA"/>
        <w:spacing w:after="100" w:line="370" w:lineRule="exact"/>
        <w:rPr>
          <w:rFonts w:hint="cs"/>
          <w:rtl/>
        </w:rPr>
      </w:pPr>
      <w:r>
        <w:rPr>
          <w:rFonts w:hint="cs"/>
          <w:rtl/>
        </w:rPr>
        <w:t>(</w:t>
      </w:r>
      <w:r w:rsidR="00BD1F3C">
        <w:rPr>
          <w:rtl/>
        </w:rPr>
        <w:t>16</w:t>
      </w:r>
      <w:r>
        <w:rPr>
          <w:rFonts w:hint="cs"/>
          <w:rtl/>
        </w:rPr>
        <w:t>)</w:t>
      </w:r>
      <w:r w:rsidR="00BD1F3C">
        <w:rPr>
          <w:rtl/>
        </w:rPr>
        <w:tab/>
      </w:r>
      <w:r w:rsidR="00BD1F3C">
        <w:rPr>
          <w:rFonts w:hint="cs"/>
          <w:rtl/>
        </w:rPr>
        <w:t>تظل اللجنة تشعر بالقلق حيال مزاعم حدوث الإساءات والوفيات داخل الجيش نتيجة ما أشارت إليه التقارير على أنه ممارسات تحط من كرامة المجندين الجدد على أيدي الضباط وزملائهم الجنود القدامى، سواء كانت تلك الممارسات تقع بموافقة أو رضا أو</w:t>
      </w:r>
      <w:r w:rsidR="00BD1F3C">
        <w:rPr>
          <w:rFonts w:hint="eastAsia"/>
          <w:rtl/>
        </w:rPr>
        <w:t> </w:t>
      </w:r>
      <w:r w:rsidR="00BD1F3C">
        <w:rPr>
          <w:rFonts w:hint="cs"/>
          <w:rtl/>
        </w:rPr>
        <w:t>استحسان الرتب العليا أو غير ذلك من العاملين في الجيش. ولئن لاحظت اللجنة المعلومات التي أدلى بها الوفد والتي تفيد بتراجع الأخذ بتلك الممارسات في السنوات القليلة الماضية فإنها لا تزال تشعر بالقلق حيال التقارير العديدة الواردة بشأن "التنكيل بالمجندين الجدد" وبشأن المزاعم بعدم إجراء تحقيقات في عدة من تلك الأحداث أو بعدم كفاية تلك التحقيقات. ومما يثير قلق اللجنة أيضاً التقارير التي تشير إلى عدم تناسب الجزاءات الموقعة على الأشخاص المسؤولين عن تلك الأفعال مع ما اقترفوه (المواد 2 و4 و12 و13 16).</w:t>
      </w:r>
    </w:p>
    <w:p w:rsidR="00BD1F3C" w:rsidRDefault="00BD1F3C" w:rsidP="000F411B">
      <w:pPr>
        <w:pStyle w:val="SingleTxtGA"/>
        <w:spacing w:after="100" w:line="370" w:lineRule="exact"/>
        <w:rPr>
          <w:rFonts w:hint="cs"/>
          <w:b/>
          <w:bCs/>
          <w:rtl/>
        </w:rPr>
      </w:pPr>
      <w:r>
        <w:rPr>
          <w:b/>
          <w:bCs/>
          <w:rtl/>
        </w:rPr>
        <w:tab/>
      </w:r>
      <w:r>
        <w:rPr>
          <w:rFonts w:hint="cs"/>
          <w:b/>
          <w:bCs/>
          <w:rtl/>
        </w:rPr>
        <w:t>ينبغي أن تعزز الدولة الطرف التدابير الرامية إلى حظر أسلوب التنكيل بالمجندين الجدد في صفوف القوات المسلحة والتخلص منه وأن تضمن إجراء تحقيقات نزيهة على وجه السرعة بشأن كل الادعاءات بحدوث ممارسات التنكيل بالمجندين وبحدوث وفيات في صفوفهم داخل الجيش وذلك لبلوغ هدف عدم التسامح البتة في مسألة إساءة معاملة العاملين في الجيش وتعذيبهم كما سبق للجنة أن أوصت به. وفي الحالات التي يتبين فيها حدوث ممارسات التنكيل بالمجندين الجدد ينبغي للدولة الطرف أن تكفل إجراء تحقيقات قضائية في تلك الأحداث وإنزال العقوبات المناسبة بالجناة، بما في ذلك فصلهم من القوات المسلحة وإعلان النتائج المتمخضة عن تلك التحقيقات وجبر الأضرار اللاحقة بالضحايا بما في ذلك تقديم المساعدة الطبية والنفسية الملائمة لهم.</w:t>
      </w:r>
    </w:p>
    <w:p w:rsidR="00BD1F3C" w:rsidRDefault="00BD1F3C" w:rsidP="000F411B">
      <w:pPr>
        <w:pStyle w:val="H23GA"/>
        <w:spacing w:after="100" w:line="370" w:lineRule="exact"/>
        <w:rPr>
          <w:rFonts w:hint="cs"/>
          <w:rtl/>
        </w:rPr>
      </w:pPr>
      <w:r>
        <w:rPr>
          <w:rtl/>
        </w:rPr>
        <w:tab/>
      </w:r>
      <w:r>
        <w:rPr>
          <w:rFonts w:hint="cs"/>
          <w:rtl/>
        </w:rPr>
        <w:tab/>
        <w:t>عدم الإعادة القسرية والضمانات الدبلوماسية</w:t>
      </w:r>
    </w:p>
    <w:p w:rsidR="00BD1F3C" w:rsidRDefault="00A65F62" w:rsidP="000F411B">
      <w:pPr>
        <w:pStyle w:val="SingleTxtGA"/>
        <w:spacing w:after="100" w:line="370" w:lineRule="exact"/>
        <w:rPr>
          <w:rFonts w:hint="cs"/>
          <w:rtl/>
          <w:lang w:eastAsia="ar-SA"/>
        </w:rPr>
      </w:pPr>
      <w:r>
        <w:rPr>
          <w:rFonts w:hint="cs"/>
          <w:rtl/>
          <w:lang w:eastAsia="ar-SA"/>
        </w:rPr>
        <w:t>(</w:t>
      </w:r>
      <w:r w:rsidR="00BD1F3C">
        <w:rPr>
          <w:rFonts w:hint="cs"/>
          <w:rtl/>
          <w:lang w:eastAsia="ar-SA"/>
        </w:rPr>
        <w:t>17</w:t>
      </w:r>
      <w:r>
        <w:rPr>
          <w:rFonts w:hint="cs"/>
          <w:rtl/>
          <w:lang w:eastAsia="ar-SA"/>
        </w:rPr>
        <w:t>)</w:t>
      </w:r>
      <w:r w:rsidR="00BD1F3C">
        <w:rPr>
          <w:rFonts w:hint="cs"/>
          <w:rtl/>
          <w:lang w:eastAsia="ar-SA"/>
        </w:rPr>
        <w:tab/>
        <w:t>تشعر اللجنة بالقلق حيال التقارير التي تفيد بقيام الدولة الطرف بتسليم الرعايا الأجانب المطلوبين إلى الدول الأعضاء في رابطة الدول المستقلة في آسيا الوسطى وترحيلهم إليها في حين تعرّض عمليات التسليم أو الترحيل تلك الأفراد المعنيين لاحتمالات كبرى فيما يتعلق بإخضاعهم للتعذيب في بلدانهم الأصلية. كما يساور اللجنة القلق لاعتماد الدولة الطرف على الضمانات الدبلوماسية في مثل هذه الحالات (المواد 3 و6 و7).</w:t>
      </w:r>
    </w:p>
    <w:p w:rsidR="00BD1F3C" w:rsidRPr="00EC3A15" w:rsidRDefault="00BD1F3C" w:rsidP="000F411B">
      <w:pPr>
        <w:pStyle w:val="SingleTxtGA"/>
        <w:spacing w:after="100" w:line="370" w:lineRule="exact"/>
        <w:rPr>
          <w:rFonts w:hint="cs"/>
          <w:b/>
          <w:bCs/>
          <w:rtl/>
          <w:lang w:eastAsia="ar-SA"/>
        </w:rPr>
      </w:pPr>
      <w:r>
        <w:rPr>
          <w:rtl/>
          <w:lang w:eastAsia="ar-SA"/>
        </w:rPr>
        <w:tab/>
      </w:r>
      <w:r>
        <w:rPr>
          <w:rFonts w:hint="cs"/>
          <w:b/>
          <w:bCs/>
          <w:rtl/>
          <w:lang w:eastAsia="ar-SA"/>
        </w:rPr>
        <w:t>توصي اللجنة الدولة الطرف بأن تنتهي عن ممارسة الاعتماد على الضمانات الدبلوماسية فيما يتعلق بتسليم الأشخاص المطلوبين وطردهم من أراضيها إلى الدول التي يواجهون فيها خطر التعرض للتعذيب. كما تطلب إليها أن تعلمها بعدد ونوع الضمانات الدبلوماسية التي تلقتها خلال الفترة المشمولة بالتقرير والبلدان الضالعة، وتعلمها أيضاً عن الآليات المقامة من أجل الحصول على الضمانات ومحتواها وعدد الطعون القانونية المقدمة في مثل هذه القضايا ومآل تلك الطعون، ووجود آليات رصد عملية الترحيل والفترة اللاحقة لتلك العملية.</w:t>
      </w:r>
    </w:p>
    <w:p w:rsidR="00BD1F3C" w:rsidRDefault="00BD1F3C" w:rsidP="000F411B">
      <w:pPr>
        <w:pStyle w:val="H23GA"/>
        <w:spacing w:line="370" w:lineRule="exact"/>
        <w:rPr>
          <w:rFonts w:hint="cs"/>
          <w:rtl/>
        </w:rPr>
      </w:pPr>
      <w:r>
        <w:rPr>
          <w:rtl/>
        </w:rPr>
        <w:tab/>
      </w:r>
      <w:r>
        <w:rPr>
          <w:rFonts w:hint="cs"/>
          <w:rtl/>
        </w:rPr>
        <w:tab/>
        <w:t>ظروف الاحتجاز</w:t>
      </w:r>
    </w:p>
    <w:p w:rsidR="00BD1F3C" w:rsidRDefault="000F411B" w:rsidP="000F411B">
      <w:pPr>
        <w:pStyle w:val="SingleTxtGA"/>
        <w:spacing w:line="370" w:lineRule="exact"/>
        <w:rPr>
          <w:rFonts w:hint="cs"/>
          <w:rtl/>
          <w:lang w:eastAsia="ar-SA"/>
        </w:rPr>
      </w:pPr>
      <w:r>
        <w:rPr>
          <w:rFonts w:hint="cs"/>
          <w:rtl/>
          <w:lang w:eastAsia="ar-SA"/>
        </w:rPr>
        <w:t>(</w:t>
      </w:r>
      <w:r w:rsidR="00BD1F3C">
        <w:rPr>
          <w:rFonts w:hint="cs"/>
          <w:rtl/>
          <w:lang w:eastAsia="ar-SA"/>
        </w:rPr>
        <w:t>18</w:t>
      </w:r>
      <w:r>
        <w:rPr>
          <w:rFonts w:hint="cs"/>
          <w:rtl/>
          <w:lang w:eastAsia="ar-SA"/>
        </w:rPr>
        <w:t>)</w:t>
      </w:r>
      <w:r w:rsidR="00BD1F3C">
        <w:rPr>
          <w:rFonts w:hint="cs"/>
          <w:rtl/>
          <w:lang w:eastAsia="ar-SA"/>
        </w:rPr>
        <w:tab/>
        <w:t>لئن أعربت اللجنة عن ارتياحها للتدابير التي اتخذتها الدولة الطرف من أجل الحد من أعداد نزلاء السجون باللجوء إلى الحلول البديلة للاحتجاز وبالإحجام عن اللجوء إلى الاحتجاز السابق للمحاكمة فيما يخص عدداً من الجرائم الاقتصادية، فإنها لا</w:t>
      </w:r>
      <w:r w:rsidR="00BD1F3C">
        <w:rPr>
          <w:rFonts w:hint="eastAsia"/>
          <w:rtl/>
          <w:lang w:eastAsia="ar-SA"/>
        </w:rPr>
        <w:t> </w:t>
      </w:r>
      <w:r w:rsidR="00BD1F3C">
        <w:rPr>
          <w:rFonts w:hint="cs"/>
          <w:rtl/>
          <w:lang w:eastAsia="ar-SA"/>
        </w:rPr>
        <w:t>تزال تشعر بالقلق حيال التقارير التي تشير إلى: (أ) استمرار الاكتظاظ في مرافق الاحتجاز؛ (ب) ارتفاع أعداد المنتحرين في أماكن الاحتجاز؛ (ج) عدم توافر مسؤولين طبيين مستقلين لفحص الأفراد الذين يزعمون أنهم من ضحايا إساءة المعاملة؛ (د)</w:t>
      </w:r>
      <w:r w:rsidR="00BD1F3C">
        <w:rPr>
          <w:rFonts w:hint="eastAsia"/>
          <w:rtl/>
          <w:lang w:eastAsia="ar-SA"/>
        </w:rPr>
        <w:t> انتظار الأشخاص الذين يزعمون أنهم من ضحايا التعذيب لفترات طويلة قبل السعي إلى اللجوء إلى الطب الشرعي للتحقق من ادعاءاتهم؛ (ه‍( انعدام خدمات الطب النفسي داخل السجون؛ (</w:t>
      </w:r>
      <w:r w:rsidR="00BD1F3C">
        <w:rPr>
          <w:rFonts w:hint="cs"/>
          <w:rtl/>
          <w:lang w:eastAsia="ar-SA"/>
        </w:rPr>
        <w:t>و</w:t>
      </w:r>
      <w:r w:rsidR="00BD1F3C">
        <w:rPr>
          <w:rFonts w:hint="eastAsia"/>
          <w:rtl/>
          <w:lang w:eastAsia="ar-SA"/>
        </w:rPr>
        <w:t>)</w:t>
      </w:r>
      <w:r w:rsidR="00BD1F3C">
        <w:rPr>
          <w:rFonts w:hint="cs"/>
          <w:rtl/>
          <w:lang w:eastAsia="ar-SA"/>
        </w:rPr>
        <w:t> قلة المعلومات عن النظام القائم لحماية المشتركين من الرقابة المفروضة على الشكاوى التي يتقدمون بها ومن الأعمال الانتقامية ضدهم (المادتان 11 و16).</w:t>
      </w:r>
    </w:p>
    <w:p w:rsidR="00BD1F3C" w:rsidRPr="00631E2C" w:rsidRDefault="00BD1F3C" w:rsidP="000F411B">
      <w:pPr>
        <w:pStyle w:val="SingleTxtGA"/>
        <w:spacing w:line="370" w:lineRule="exact"/>
        <w:rPr>
          <w:b/>
          <w:bCs/>
          <w:rtl/>
        </w:rPr>
      </w:pPr>
      <w:r>
        <w:rPr>
          <w:rFonts w:hint="cs"/>
          <w:rtl/>
        </w:rPr>
        <w:tab/>
      </w:r>
      <w:r w:rsidRPr="00631E2C">
        <w:rPr>
          <w:b/>
          <w:bCs/>
          <w:rtl/>
        </w:rPr>
        <w:t xml:space="preserve">توصي اللجنة الدولة الطرف بأن توسع نطاق استعمال بدائل الاحتجاز (قواعد </w:t>
      </w:r>
      <w:r>
        <w:rPr>
          <w:rFonts w:hint="cs"/>
          <w:b/>
          <w:bCs/>
          <w:rtl/>
        </w:rPr>
        <w:t>ط</w:t>
      </w:r>
      <w:r w:rsidRPr="00631E2C">
        <w:rPr>
          <w:b/>
          <w:bCs/>
          <w:rtl/>
        </w:rPr>
        <w:t xml:space="preserve">وكيو). </w:t>
      </w:r>
      <w:r>
        <w:rPr>
          <w:rFonts w:hint="cs"/>
          <w:b/>
          <w:bCs/>
          <w:rtl/>
        </w:rPr>
        <w:t xml:space="preserve">وتوصيها </w:t>
      </w:r>
      <w:r w:rsidRPr="00631E2C">
        <w:rPr>
          <w:b/>
          <w:bCs/>
          <w:rtl/>
        </w:rPr>
        <w:t xml:space="preserve">(أ) </w:t>
      </w:r>
      <w:r>
        <w:rPr>
          <w:rFonts w:hint="cs"/>
          <w:b/>
          <w:bCs/>
          <w:rtl/>
        </w:rPr>
        <w:t xml:space="preserve">بالتحقيق </w:t>
      </w:r>
      <w:r w:rsidRPr="00631E2C">
        <w:rPr>
          <w:b/>
          <w:bCs/>
          <w:rtl/>
        </w:rPr>
        <w:t>بفعالية في جميع حالات الانتحار</w:t>
      </w:r>
      <w:r>
        <w:rPr>
          <w:rFonts w:hint="cs"/>
          <w:b/>
          <w:bCs/>
          <w:rtl/>
        </w:rPr>
        <w:t>؛</w:t>
      </w:r>
      <w:r w:rsidRPr="00631E2C">
        <w:rPr>
          <w:b/>
          <w:bCs/>
          <w:rtl/>
        </w:rPr>
        <w:t xml:space="preserve"> (ب) </w:t>
      </w:r>
      <w:r>
        <w:rPr>
          <w:rFonts w:hint="cs"/>
          <w:b/>
          <w:bCs/>
          <w:rtl/>
        </w:rPr>
        <w:t xml:space="preserve">إجراء </w:t>
      </w:r>
      <w:r w:rsidRPr="00631E2C">
        <w:rPr>
          <w:b/>
          <w:bCs/>
          <w:rtl/>
        </w:rPr>
        <w:t>دراسة لأسباب الانتحا</w:t>
      </w:r>
      <w:r>
        <w:rPr>
          <w:b/>
          <w:bCs/>
          <w:rtl/>
        </w:rPr>
        <w:t>ر في أماكن الاحتجاز</w:t>
      </w:r>
      <w:r>
        <w:rPr>
          <w:rFonts w:hint="cs"/>
          <w:b/>
          <w:bCs/>
          <w:rtl/>
        </w:rPr>
        <w:t>؛</w:t>
      </w:r>
      <w:r w:rsidRPr="00631E2C">
        <w:rPr>
          <w:b/>
          <w:bCs/>
          <w:rtl/>
        </w:rPr>
        <w:t xml:space="preserve"> (ج) </w:t>
      </w:r>
      <w:r>
        <w:rPr>
          <w:rFonts w:hint="cs"/>
          <w:b/>
          <w:bCs/>
          <w:rtl/>
        </w:rPr>
        <w:t xml:space="preserve">تعزيز </w:t>
      </w:r>
      <w:r w:rsidRPr="00631E2C">
        <w:rPr>
          <w:b/>
          <w:bCs/>
          <w:rtl/>
        </w:rPr>
        <w:t xml:space="preserve">الدائرة الاتحادية لتنفيذ العقوبات المراقبة لاكتشاف المحتجزين المعرضين للخطر </w:t>
      </w:r>
      <w:r>
        <w:rPr>
          <w:rFonts w:hint="cs"/>
          <w:b/>
          <w:bCs/>
          <w:rtl/>
        </w:rPr>
        <w:t xml:space="preserve">واتخاذ </w:t>
      </w:r>
      <w:r w:rsidRPr="00631E2C">
        <w:rPr>
          <w:b/>
          <w:bCs/>
          <w:rtl/>
        </w:rPr>
        <w:t xml:space="preserve">تدابير وقائية فيما يتعلق بخطر الانتحار والعنف بين السجناء، وذلك باعتماد وسائل منها نصب الكاميرات وزيادة عدد موظفي السجون وكفالة حصول السجناء على خدمات الطب النفسي اللائقة والكافية. </w:t>
      </w:r>
      <w:r>
        <w:rPr>
          <w:rFonts w:hint="cs"/>
          <w:b/>
          <w:bCs/>
          <w:rtl/>
        </w:rPr>
        <w:t>وتوصيها</w:t>
      </w:r>
      <w:r>
        <w:rPr>
          <w:b/>
          <w:bCs/>
          <w:rtl/>
        </w:rPr>
        <w:t xml:space="preserve"> بأن تعدّ</w:t>
      </w:r>
      <w:r w:rsidRPr="00631E2C">
        <w:rPr>
          <w:b/>
          <w:bCs/>
          <w:rtl/>
        </w:rPr>
        <w:t xml:space="preserve">ل قواعد الفحص الطبي للسجناء </w:t>
      </w:r>
      <w:r>
        <w:rPr>
          <w:rFonts w:hint="cs"/>
          <w:b/>
          <w:bCs/>
          <w:rtl/>
        </w:rPr>
        <w:t xml:space="preserve">لضمان إجراء </w:t>
      </w:r>
      <w:r w:rsidRPr="00631E2C">
        <w:rPr>
          <w:b/>
          <w:bCs/>
          <w:rtl/>
        </w:rPr>
        <w:t xml:space="preserve">الفحوص </w:t>
      </w:r>
      <w:r>
        <w:rPr>
          <w:rFonts w:hint="cs"/>
          <w:b/>
          <w:bCs/>
          <w:rtl/>
        </w:rPr>
        <w:t xml:space="preserve">على يد موظفين </w:t>
      </w:r>
      <w:r>
        <w:rPr>
          <w:b/>
          <w:bCs/>
          <w:rtl/>
        </w:rPr>
        <w:t>طبي</w:t>
      </w:r>
      <w:r>
        <w:rPr>
          <w:rFonts w:hint="cs"/>
          <w:b/>
          <w:bCs/>
          <w:rtl/>
        </w:rPr>
        <w:t>ي</w:t>
      </w:r>
      <w:r>
        <w:rPr>
          <w:b/>
          <w:bCs/>
          <w:rtl/>
        </w:rPr>
        <w:t>ن مستقل</w:t>
      </w:r>
      <w:r>
        <w:rPr>
          <w:rFonts w:hint="cs"/>
          <w:b/>
          <w:bCs/>
          <w:rtl/>
        </w:rPr>
        <w:t>ي</w:t>
      </w:r>
      <w:r w:rsidRPr="00631E2C">
        <w:rPr>
          <w:b/>
          <w:bCs/>
          <w:rtl/>
        </w:rPr>
        <w:t>ن تماما</w:t>
      </w:r>
      <w:r>
        <w:rPr>
          <w:rFonts w:hint="cs"/>
          <w:b/>
          <w:bCs/>
          <w:rtl/>
        </w:rPr>
        <w:t>ً</w:t>
      </w:r>
      <w:r w:rsidRPr="00631E2C">
        <w:rPr>
          <w:b/>
          <w:bCs/>
          <w:rtl/>
        </w:rPr>
        <w:t xml:space="preserve"> </w:t>
      </w:r>
      <w:r>
        <w:rPr>
          <w:rFonts w:hint="cs"/>
          <w:b/>
          <w:bCs/>
          <w:rtl/>
        </w:rPr>
        <w:t xml:space="preserve">وحماية </w:t>
      </w:r>
      <w:r>
        <w:rPr>
          <w:b/>
          <w:bCs/>
          <w:rtl/>
        </w:rPr>
        <w:t>المشتك</w:t>
      </w:r>
      <w:r>
        <w:rPr>
          <w:rFonts w:hint="cs"/>
          <w:b/>
          <w:bCs/>
          <w:rtl/>
        </w:rPr>
        <w:t>ي</w:t>
      </w:r>
      <w:r w:rsidRPr="00631E2C">
        <w:rPr>
          <w:b/>
          <w:bCs/>
          <w:rtl/>
        </w:rPr>
        <w:t xml:space="preserve">ن من الأعمال الانتقامية </w:t>
      </w:r>
      <w:r>
        <w:rPr>
          <w:rFonts w:hint="cs"/>
          <w:b/>
          <w:bCs/>
          <w:rtl/>
        </w:rPr>
        <w:t xml:space="preserve">ولضمان عدم فرض </w:t>
      </w:r>
      <w:r w:rsidRPr="00631E2C">
        <w:rPr>
          <w:b/>
          <w:bCs/>
          <w:rtl/>
        </w:rPr>
        <w:t>السلطات الرقابة على شكاواهم المتعلقة بالتعرض للاعتداء أثناء الاحتجاز.</w:t>
      </w:r>
    </w:p>
    <w:p w:rsidR="00BD1F3C" w:rsidRDefault="00BD1F3C" w:rsidP="000F411B">
      <w:pPr>
        <w:pStyle w:val="H23GA"/>
        <w:spacing w:line="370" w:lineRule="exact"/>
        <w:rPr>
          <w:rtl/>
        </w:rPr>
      </w:pPr>
      <w:r>
        <w:rPr>
          <w:rtl/>
        </w:rPr>
        <w:tab/>
      </w:r>
      <w:r>
        <w:rPr>
          <w:rtl/>
        </w:rPr>
        <w:tab/>
        <w:t>العنف ضد المحتجزات</w:t>
      </w:r>
    </w:p>
    <w:p w:rsidR="00BD1F3C" w:rsidRDefault="000F411B" w:rsidP="000F411B">
      <w:pPr>
        <w:pStyle w:val="SingleTxtGA"/>
        <w:spacing w:line="370" w:lineRule="exact"/>
        <w:rPr>
          <w:rtl/>
        </w:rPr>
      </w:pPr>
      <w:r>
        <w:rPr>
          <w:rFonts w:hint="cs"/>
          <w:rtl/>
        </w:rPr>
        <w:t>(</w:t>
      </w:r>
      <w:r w:rsidR="00BD1F3C">
        <w:rPr>
          <w:rtl/>
        </w:rPr>
        <w:t>19</w:t>
      </w:r>
      <w:r>
        <w:rPr>
          <w:rFonts w:hint="cs"/>
          <w:rtl/>
        </w:rPr>
        <w:t>)</w:t>
      </w:r>
      <w:r w:rsidR="00BD1F3C">
        <w:rPr>
          <w:rtl/>
        </w:rPr>
        <w:tab/>
      </w:r>
      <w:r w:rsidR="00BD1F3C">
        <w:rPr>
          <w:rFonts w:hint="cs"/>
          <w:rtl/>
        </w:rPr>
        <w:t xml:space="preserve">مما يقلق اللجنة </w:t>
      </w:r>
      <w:r w:rsidR="00BD1F3C">
        <w:rPr>
          <w:rtl/>
        </w:rPr>
        <w:t xml:space="preserve">أن الدولة الطرف سجلت عدداً ضئيلاً جداً من الشكاوى المتعلقة بالعنف ضد المحتجزات رغم المعلومات الواردة بشأنه. كما </w:t>
      </w:r>
      <w:r w:rsidR="00BD1F3C">
        <w:rPr>
          <w:rFonts w:hint="cs"/>
          <w:rtl/>
        </w:rPr>
        <w:t xml:space="preserve">أنها </w:t>
      </w:r>
      <w:r w:rsidR="00BD1F3C">
        <w:rPr>
          <w:rtl/>
        </w:rPr>
        <w:t>تشعر بالقلق إزاء غياب معلومات من الدولة الطرف بشأن الوسائل المتاحة للمحرومين من حريتهم لتقديم شكاوى سرية إلى محققين مستقلين وكذلك بشأن وجود ضمانات فعالة لحماية أصحاب هذه الشكاوى من الانتقام، بما في ذلك نقلهم إلى مرفق آخر في انتظار التحقيق في شكاواهم. ويقلِق اللجنةَ أن من يدانون بالاعتداء على المحتجزات لا يلقَون العقوبات المناسبة (المواد 2 و11 و12 و13 و14 و16).</w:t>
      </w:r>
    </w:p>
    <w:p w:rsidR="00BD1F3C" w:rsidRPr="000F411B" w:rsidRDefault="00BD1F3C" w:rsidP="000F411B">
      <w:pPr>
        <w:pStyle w:val="SingleTxtGA"/>
        <w:rPr>
          <w:rFonts w:ascii="Times New Roman Bold" w:hAnsi="Times New Roman Bold"/>
          <w:b/>
          <w:bCs/>
          <w:spacing w:val="-2"/>
          <w:rtl/>
        </w:rPr>
      </w:pPr>
      <w:r w:rsidRPr="000F411B">
        <w:rPr>
          <w:rFonts w:hint="cs"/>
          <w:spacing w:val="-2"/>
          <w:rtl/>
        </w:rPr>
        <w:tab/>
      </w:r>
      <w:r w:rsidRPr="000F411B">
        <w:rPr>
          <w:b/>
          <w:bCs/>
          <w:spacing w:val="-2"/>
          <w:rtl/>
        </w:rPr>
        <w:t xml:space="preserve">ينبغي أن تضمن الدولة الطرف إمكانية إجراء مقابلات سرية مع جميع المشتكين، مع أخذ تدابير فعالة لضمان أمن من تُجرى معهم المقابلات، وأن تكفل تحديد ومساءلة الجناة المزعومين وأي متواطئين وفاعلين حكوميين يثبت أنهم قبلوا أو يسروا ارتكاب تلك </w:t>
      </w:r>
      <w:r w:rsidRPr="000F411B">
        <w:rPr>
          <w:rFonts w:ascii="Times New Roman Bold" w:hAnsi="Times New Roman Bold"/>
          <w:b/>
          <w:bCs/>
          <w:spacing w:val="-2"/>
          <w:rtl/>
        </w:rPr>
        <w:t xml:space="preserve">الجرائم. كما تطلب اللجنة </w:t>
      </w:r>
      <w:r w:rsidRPr="000F411B">
        <w:rPr>
          <w:rFonts w:ascii="Times New Roman Bold" w:hAnsi="Times New Roman Bold" w:hint="cs"/>
          <w:b/>
          <w:bCs/>
          <w:spacing w:val="-2"/>
          <w:rtl/>
        </w:rPr>
        <w:t xml:space="preserve">إلى </w:t>
      </w:r>
      <w:r w:rsidRPr="000F411B">
        <w:rPr>
          <w:rFonts w:ascii="Times New Roman Bold" w:hAnsi="Times New Roman Bold"/>
          <w:b/>
          <w:bCs/>
          <w:spacing w:val="-2"/>
          <w:rtl/>
        </w:rPr>
        <w:t>الدولة الطرف أن تقدم معلومات بشأن الحوادث المبلَّغ عنها والتحقيقات المجراة، بما في ذلك الفحوص الطبية المناسبة، والتهم الموجَّهة والتهم المسقَطة وأحكام الإدانة الصادرة، بما في ذلك معلومات بشأن عدد الأشخاص المعنيين، إن وُجدوا، الذين لا يزالون يقضون عقوبتهم في نفس السجون أو غيرها. ويرجى أيضا</w:t>
      </w:r>
      <w:r w:rsidRPr="000F411B">
        <w:rPr>
          <w:rFonts w:ascii="Times New Roman Bold" w:hAnsi="Times New Roman Bold" w:hint="cs"/>
          <w:b/>
          <w:bCs/>
          <w:spacing w:val="-2"/>
          <w:rtl/>
        </w:rPr>
        <w:t>ً</w:t>
      </w:r>
      <w:r w:rsidRPr="000F411B">
        <w:rPr>
          <w:rFonts w:ascii="Times New Roman Bold" w:hAnsi="Times New Roman Bold"/>
          <w:b/>
          <w:bCs/>
          <w:spacing w:val="-2"/>
          <w:rtl/>
        </w:rPr>
        <w:t xml:space="preserve"> إدراج معلومات بشأن التدابير المتخذة لمنع المعاملة السيئة في مركز الاحتجاز المعني وأي تدابير لرد الاعتبار وُضِعت لصالح أصحاب الشكاوى الذين تم التحقق من ادعاءاتهم. وتدعو اللجنة الدولة الطرف إلى أن تقدم، كما وعدت، معلومات بشأن نتائج التحقيق الوشيك إجراؤه في التقارير المتعلقة بالعنف ضد المحتجزات في مجمَّع الاحتجاز </w:t>
      </w:r>
      <w:r w:rsidRPr="000F411B">
        <w:rPr>
          <w:rFonts w:ascii="Times New Roman Bold" w:hAnsi="Times New Roman Bold"/>
          <w:b/>
          <w:bCs/>
          <w:spacing w:val="-2"/>
        </w:rPr>
        <w:t>IK-13</w:t>
      </w:r>
      <w:r w:rsidRPr="000F411B">
        <w:rPr>
          <w:rFonts w:ascii="Times New Roman Bold" w:hAnsi="Times New Roman Bold"/>
          <w:b/>
          <w:bCs/>
          <w:spacing w:val="-2"/>
          <w:rtl/>
        </w:rPr>
        <w:t xml:space="preserve"> في</w:t>
      </w:r>
      <w:r w:rsidRPr="000F411B">
        <w:rPr>
          <w:rFonts w:ascii="Times New Roman Bold" w:hAnsi="Times New Roman Bold" w:hint="cs"/>
          <w:b/>
          <w:bCs/>
          <w:spacing w:val="-2"/>
          <w:rtl/>
        </w:rPr>
        <w:t> </w:t>
      </w:r>
      <w:r w:rsidRPr="000F411B">
        <w:rPr>
          <w:rFonts w:ascii="Times New Roman Bold" w:hAnsi="Times New Roman Bold"/>
          <w:b/>
          <w:bCs/>
          <w:spacing w:val="-2"/>
          <w:rtl/>
        </w:rPr>
        <w:t>موردوفيا.</w:t>
      </w:r>
    </w:p>
    <w:p w:rsidR="00BD1F3C" w:rsidRDefault="00BD1F3C" w:rsidP="000F411B">
      <w:pPr>
        <w:pStyle w:val="H23GA"/>
        <w:rPr>
          <w:rtl/>
        </w:rPr>
      </w:pPr>
      <w:r>
        <w:rPr>
          <w:rFonts w:hint="cs"/>
          <w:rtl/>
        </w:rPr>
        <w:tab/>
      </w:r>
      <w:r>
        <w:rPr>
          <w:rtl/>
        </w:rPr>
        <w:tab/>
        <w:t>جبر الضرر</w:t>
      </w:r>
    </w:p>
    <w:p w:rsidR="00BD1F3C" w:rsidRDefault="000F411B" w:rsidP="000F411B">
      <w:pPr>
        <w:pStyle w:val="SingleTxtGA"/>
        <w:rPr>
          <w:rtl/>
        </w:rPr>
      </w:pPr>
      <w:r>
        <w:rPr>
          <w:rFonts w:hint="cs"/>
          <w:rtl/>
        </w:rPr>
        <w:t>(</w:t>
      </w:r>
      <w:r w:rsidR="00BD1F3C">
        <w:rPr>
          <w:rtl/>
        </w:rPr>
        <w:t>20</w:t>
      </w:r>
      <w:r>
        <w:rPr>
          <w:rFonts w:hint="cs"/>
          <w:rtl/>
        </w:rPr>
        <w:t>)</w:t>
      </w:r>
      <w:r w:rsidR="00BD1F3C">
        <w:rPr>
          <w:rtl/>
        </w:rPr>
        <w:tab/>
        <w:t xml:space="preserve">بينما ترحب اللجنة بالمعلومات التي قدمتها الدولة الطرف بشأن التعويضات المدفوعة إلى ضحايا التعذيب وغيره من ضروب المعاملة السيئة، على نحو ما قررته المحكمة الأوروبية لحقوق الإنسان، </w:t>
      </w:r>
      <w:r w:rsidR="00BD1F3C">
        <w:rPr>
          <w:rFonts w:hint="cs"/>
          <w:rtl/>
        </w:rPr>
        <w:t xml:space="preserve">فإنها </w:t>
      </w:r>
      <w:r w:rsidR="00BD1F3C">
        <w:rPr>
          <w:rtl/>
        </w:rPr>
        <w:t>تعرب عن أسفها لنقص البيانات التي قدمتها الدولة الطرف بشأن مبلغ التعويض المقدم إلى الضحايا، بمن فيهم الأشخاص الذين حُرِموا من الضمانات الأساسية أو</w:t>
      </w:r>
      <w:r w:rsidR="00BD1F3C">
        <w:rPr>
          <w:rFonts w:hint="cs"/>
          <w:rtl/>
        </w:rPr>
        <w:t> </w:t>
      </w:r>
      <w:r w:rsidR="00BD1F3C">
        <w:rPr>
          <w:rtl/>
        </w:rPr>
        <w:t xml:space="preserve">تعرضوا للتعذيب أو المعاملة السيئة أثناء الاحتجاز. وإذ تذكِّر اللجنةُ بتوصياتها السابقة، تشير إلى أنها لا تزال تشعر بالقلق </w:t>
      </w:r>
      <w:r w:rsidR="00BD1F3C">
        <w:rPr>
          <w:rFonts w:hint="cs"/>
          <w:rtl/>
        </w:rPr>
        <w:t xml:space="preserve">لعدم نص </w:t>
      </w:r>
      <w:r w:rsidR="00BD1F3C">
        <w:rPr>
          <w:rtl/>
        </w:rPr>
        <w:t>القانون على أي وسيلة لجبر ضرر ضحايا التعذيب عدا التعويض المالي؛ وتأسف لنقص المعلومات بشأن خدمات العلاج وإعادة التأهيل الاجتماعي المقدمة إلى الضحايا، بما في ذلك العلاج الطبي والنفسي (المادتان 14 و16).</w:t>
      </w:r>
    </w:p>
    <w:p w:rsidR="00BD1F3C" w:rsidRPr="00417A88" w:rsidRDefault="00BD1F3C" w:rsidP="000F411B">
      <w:pPr>
        <w:pStyle w:val="SingleTxtGA"/>
        <w:rPr>
          <w:b/>
          <w:bCs/>
          <w:rtl/>
        </w:rPr>
      </w:pPr>
      <w:r>
        <w:rPr>
          <w:rFonts w:hint="cs"/>
          <w:rtl/>
        </w:rPr>
        <w:tab/>
      </w:r>
      <w:r w:rsidRPr="00417A88">
        <w:rPr>
          <w:b/>
          <w:bCs/>
          <w:rtl/>
        </w:rPr>
        <w:t>ينبغي أن تكثف الدولة الطرف جهودها لتوفير سبل جبر الضرر لضحايا التعذيب والمعاملة السيئة، بما في ذلك التعويض العادل والكافي وإعادة التأهيل إلى أقصى حد ممكن. وينبغي أن تعدل قوانينها لمعالجة حق ضحايا التعذيب في جبر الضرر، وفق</w:t>
      </w:r>
      <w:r>
        <w:rPr>
          <w:b/>
          <w:bCs/>
          <w:rtl/>
        </w:rPr>
        <w:t xml:space="preserve">اً </w:t>
      </w:r>
      <w:r w:rsidRPr="00417A88">
        <w:rPr>
          <w:b/>
          <w:bCs/>
          <w:rtl/>
        </w:rPr>
        <w:t>للمادة 14 من الاتفاقية. وينبغي أن تقدم إلى اللجنة معلومات بشأن التدابير المتخذة في هذا الصدد، بما</w:t>
      </w:r>
      <w:r>
        <w:rPr>
          <w:rFonts w:hint="cs"/>
          <w:b/>
          <w:bCs/>
          <w:rtl/>
        </w:rPr>
        <w:t> </w:t>
      </w:r>
      <w:r w:rsidRPr="00417A88">
        <w:rPr>
          <w:b/>
          <w:bCs/>
          <w:rtl/>
        </w:rPr>
        <w:t>في ذلك تخصيص الموارد من أجل أداء برامج إعادة التأهيل لمهمتها بفعالية.</w:t>
      </w:r>
    </w:p>
    <w:p w:rsidR="00BD1F3C" w:rsidRPr="00417A88" w:rsidRDefault="00BD1F3C" w:rsidP="000F411B">
      <w:pPr>
        <w:pStyle w:val="SingleTxtGA"/>
        <w:rPr>
          <w:b/>
          <w:bCs/>
          <w:rtl/>
        </w:rPr>
      </w:pPr>
      <w:r>
        <w:rPr>
          <w:rFonts w:hint="cs"/>
          <w:rtl/>
        </w:rPr>
        <w:tab/>
      </w:r>
      <w:r w:rsidRPr="00417A88">
        <w:rPr>
          <w:b/>
          <w:bCs/>
          <w:rtl/>
        </w:rPr>
        <w:t>وتلفت اللجنة انتباه الدولة الطرف إلى تعليقها ال</w:t>
      </w:r>
      <w:r>
        <w:rPr>
          <w:b/>
          <w:bCs/>
          <w:rtl/>
        </w:rPr>
        <w:t>عام رقم 3</w:t>
      </w:r>
      <w:r w:rsidRPr="00417A88">
        <w:rPr>
          <w:b/>
          <w:bCs/>
          <w:rtl/>
        </w:rPr>
        <w:t>(2012) بشأن المادة</w:t>
      </w:r>
      <w:r>
        <w:rPr>
          <w:rFonts w:hint="cs"/>
          <w:b/>
          <w:bCs/>
          <w:rtl/>
        </w:rPr>
        <w:t> </w:t>
      </w:r>
      <w:r w:rsidRPr="00417A88">
        <w:rPr>
          <w:b/>
          <w:bCs/>
          <w:rtl/>
        </w:rPr>
        <w:t>14 من الاتفاقية الذي اعتمدته مؤخر</w:t>
      </w:r>
      <w:r>
        <w:rPr>
          <w:b/>
          <w:bCs/>
          <w:rtl/>
        </w:rPr>
        <w:t xml:space="preserve">اً، </w:t>
      </w:r>
      <w:r w:rsidRPr="00417A88">
        <w:rPr>
          <w:b/>
          <w:bCs/>
          <w:rtl/>
        </w:rPr>
        <w:t>والذي يوضح فحوى ونطاق التزامات الدول الأطراف بتوفير إمكانية جبر الضرر الكامل لضحايا التعذيب.</w:t>
      </w:r>
    </w:p>
    <w:p w:rsidR="00BD1F3C" w:rsidRDefault="00BD1F3C" w:rsidP="00BD1F3C">
      <w:pPr>
        <w:pStyle w:val="H23GA"/>
        <w:rPr>
          <w:rtl/>
        </w:rPr>
      </w:pPr>
      <w:r>
        <w:rPr>
          <w:rtl/>
        </w:rPr>
        <w:tab/>
      </w:r>
      <w:r>
        <w:rPr>
          <w:rtl/>
        </w:rPr>
        <w:tab/>
        <w:t>التدريب</w:t>
      </w:r>
    </w:p>
    <w:p w:rsidR="00BD1F3C" w:rsidRDefault="000F411B" w:rsidP="000F411B">
      <w:pPr>
        <w:pStyle w:val="SingleTxtGA"/>
        <w:rPr>
          <w:rtl/>
        </w:rPr>
      </w:pPr>
      <w:r>
        <w:rPr>
          <w:rFonts w:hint="cs"/>
          <w:rtl/>
        </w:rPr>
        <w:t>(</w:t>
      </w:r>
      <w:r w:rsidR="00BD1F3C">
        <w:rPr>
          <w:rtl/>
        </w:rPr>
        <w:t>21</w:t>
      </w:r>
      <w:r>
        <w:rPr>
          <w:rFonts w:hint="cs"/>
          <w:rtl/>
        </w:rPr>
        <w:t>)</w:t>
      </w:r>
      <w:r w:rsidR="00BD1F3C">
        <w:rPr>
          <w:rtl/>
        </w:rPr>
        <w:tab/>
        <w:t xml:space="preserve">إن اللجنة، إذ تشير إلى توصياتها السابقة، لا تزال تشعر بالقلق إزاء عدم وجود نظام في الدولة الطرف لإعادة تأهيل ضحايا التعذيب والتدريب الكافي </w:t>
      </w:r>
      <w:r w:rsidR="00BD1F3C">
        <w:rPr>
          <w:rFonts w:hint="cs"/>
          <w:rtl/>
        </w:rPr>
        <w:t xml:space="preserve">للعاملين </w:t>
      </w:r>
      <w:r w:rsidR="00BD1F3C">
        <w:rPr>
          <w:rtl/>
        </w:rPr>
        <w:t>الطبيين فيما يتعلق بالأضرار البدنية والنفسية الناجمة عن التعذيب (المادة 10).</w:t>
      </w:r>
    </w:p>
    <w:p w:rsidR="00BD1F3C" w:rsidRPr="00417A88" w:rsidRDefault="00BD1F3C" w:rsidP="00BD1F3C">
      <w:pPr>
        <w:pStyle w:val="SingleTxtGA"/>
        <w:rPr>
          <w:b/>
          <w:bCs/>
          <w:rtl/>
        </w:rPr>
      </w:pPr>
      <w:r w:rsidRPr="00417A88">
        <w:rPr>
          <w:rFonts w:hint="cs"/>
          <w:b/>
          <w:bCs/>
          <w:rtl/>
        </w:rPr>
        <w:tab/>
      </w:r>
      <w:r w:rsidRPr="00417A88">
        <w:rPr>
          <w:b/>
          <w:bCs/>
          <w:rtl/>
        </w:rPr>
        <w:t>توصي اللجنة الدولة الطرف بإنشاء نظام لإعادة تأهيل ضحايا التعذيب وتدريب الممرضين والموظفين الطبيين وشبه الطبيين وغيرهم من المهنيين المعنيين بتوثيق وتقصي الادعاءات المتعلقة بالتعذيب والمعاملة السيئة على اكتشاف أمارات التعذيب والمعاملة السيئة وعلاج الأضرار البدنية والنفسية الناجمة عنهما على النحو المبيَّن في دليل التقصي والتوثيق الفعالين بشأن التعذيب وغيره من ضروب المعاملة أو العقوبة القاسية أو</w:t>
      </w:r>
      <w:r>
        <w:rPr>
          <w:rFonts w:hint="cs"/>
          <w:b/>
          <w:bCs/>
          <w:rtl/>
        </w:rPr>
        <w:t> </w:t>
      </w:r>
      <w:r w:rsidRPr="00417A88">
        <w:rPr>
          <w:b/>
          <w:bCs/>
          <w:rtl/>
        </w:rPr>
        <w:t>اللاإنسانية أو المهينة (بروتوكول اسطنبول).</w:t>
      </w:r>
    </w:p>
    <w:p w:rsidR="00BD1F3C" w:rsidRDefault="00BD1F3C" w:rsidP="00BD1F3C">
      <w:pPr>
        <w:pStyle w:val="H23GA"/>
        <w:rPr>
          <w:rtl/>
        </w:rPr>
      </w:pPr>
      <w:r>
        <w:rPr>
          <w:rFonts w:hint="cs"/>
          <w:rtl/>
        </w:rPr>
        <w:tab/>
      </w:r>
      <w:r>
        <w:rPr>
          <w:rFonts w:hint="cs"/>
          <w:rtl/>
        </w:rPr>
        <w:tab/>
      </w:r>
      <w:r>
        <w:rPr>
          <w:rtl/>
        </w:rPr>
        <w:t>مرافق العلاج النفسي</w:t>
      </w:r>
    </w:p>
    <w:p w:rsidR="00BD1F3C" w:rsidRDefault="000F411B" w:rsidP="000F411B">
      <w:pPr>
        <w:pStyle w:val="SingleTxtGA"/>
        <w:rPr>
          <w:rtl/>
        </w:rPr>
      </w:pPr>
      <w:r>
        <w:rPr>
          <w:rFonts w:hint="cs"/>
          <w:rtl/>
        </w:rPr>
        <w:t>(</w:t>
      </w:r>
      <w:r w:rsidR="00BD1F3C">
        <w:rPr>
          <w:rtl/>
        </w:rPr>
        <w:t>22</w:t>
      </w:r>
      <w:r>
        <w:rPr>
          <w:rFonts w:hint="cs"/>
          <w:rtl/>
        </w:rPr>
        <w:t>)</w:t>
      </w:r>
      <w:r w:rsidR="00BD1F3C">
        <w:rPr>
          <w:rtl/>
        </w:rPr>
        <w:tab/>
        <w:t>تشعر اللجنة بالقلق إزاء تقارير بشأن شيوع ممارسة إيداع الأشخاص في مؤسسات العلاج النفسي رغماً عنهم وعدم وجود معلومات بشأن إمكانية الطعن. كما يخالج اللجنةَ قلق بخصوص عدم إجراء تحقيقات في حالات المعاملة السيئة والوفيات المُبلَّغ عنها فيما يتعلق بالأشخاص المودَعين في هذه المرافق (المادتان 11 و16).</w:t>
      </w:r>
    </w:p>
    <w:p w:rsidR="00BD1F3C" w:rsidRPr="00417A88" w:rsidRDefault="00BD1F3C" w:rsidP="00BD1F3C">
      <w:pPr>
        <w:pStyle w:val="SingleTxtGA"/>
        <w:rPr>
          <w:b/>
          <w:bCs/>
          <w:rtl/>
        </w:rPr>
      </w:pPr>
      <w:r w:rsidRPr="00417A88">
        <w:rPr>
          <w:rFonts w:hint="cs"/>
          <w:b/>
          <w:bCs/>
          <w:rtl/>
        </w:rPr>
        <w:tab/>
      </w:r>
      <w:r w:rsidRPr="00417A88">
        <w:rPr>
          <w:b/>
          <w:bCs/>
          <w:rtl/>
        </w:rPr>
        <w:t>توصي اللجنة الدولة الطرف بما يلي:</w:t>
      </w:r>
    </w:p>
    <w:p w:rsidR="00BD1F3C" w:rsidRPr="00417A88" w:rsidRDefault="00BD1F3C" w:rsidP="00BD1F3C">
      <w:pPr>
        <w:pStyle w:val="SingleTxtGA"/>
        <w:rPr>
          <w:b/>
          <w:bCs/>
          <w:rtl/>
        </w:rPr>
      </w:pPr>
      <w:r w:rsidRPr="00417A88">
        <w:rPr>
          <w:rFonts w:hint="cs"/>
          <w:b/>
          <w:bCs/>
          <w:rtl/>
        </w:rPr>
        <w:tab/>
      </w:r>
      <w:r w:rsidRPr="00417A88">
        <w:rPr>
          <w:b/>
          <w:bCs/>
          <w:rtl/>
        </w:rPr>
        <w:t>(أ)</w:t>
      </w:r>
      <w:r w:rsidRPr="00417A88">
        <w:rPr>
          <w:b/>
          <w:bCs/>
          <w:rtl/>
        </w:rPr>
        <w:tab/>
      </w:r>
      <w:r>
        <w:rPr>
          <w:rFonts w:hint="cs"/>
          <w:b/>
          <w:bCs/>
          <w:rtl/>
        </w:rPr>
        <w:t xml:space="preserve">ضمان </w:t>
      </w:r>
      <w:r w:rsidRPr="00417A88">
        <w:rPr>
          <w:b/>
          <w:bCs/>
          <w:rtl/>
        </w:rPr>
        <w:t xml:space="preserve">رقابة الأجهزة القضائية ورصدها </w:t>
      </w:r>
      <w:r>
        <w:rPr>
          <w:rFonts w:hint="cs"/>
          <w:b/>
          <w:bCs/>
          <w:rtl/>
        </w:rPr>
        <w:t xml:space="preserve">بفعالية </w:t>
      </w:r>
      <w:r w:rsidRPr="00417A88">
        <w:rPr>
          <w:b/>
          <w:bCs/>
          <w:rtl/>
        </w:rPr>
        <w:t>لأي عملية من عمليات إيداع الأشخاص ذوي الإعاقة العقلية في مؤسسات الرعاية؛</w:t>
      </w:r>
    </w:p>
    <w:p w:rsidR="00BD1F3C" w:rsidRPr="00417A88" w:rsidRDefault="00BD1F3C" w:rsidP="00BD1F3C">
      <w:pPr>
        <w:pStyle w:val="SingleTxtGA"/>
        <w:rPr>
          <w:b/>
          <w:bCs/>
          <w:rtl/>
        </w:rPr>
      </w:pPr>
      <w:r w:rsidRPr="00417A88">
        <w:rPr>
          <w:rFonts w:hint="cs"/>
          <w:b/>
          <w:bCs/>
          <w:rtl/>
        </w:rPr>
        <w:tab/>
      </w:r>
      <w:r w:rsidRPr="00417A88">
        <w:rPr>
          <w:b/>
          <w:bCs/>
          <w:rtl/>
        </w:rPr>
        <w:t>(ب)</w:t>
      </w:r>
      <w:r w:rsidRPr="00417A88">
        <w:rPr>
          <w:b/>
          <w:bCs/>
          <w:rtl/>
        </w:rPr>
        <w:tab/>
      </w:r>
      <w:r>
        <w:rPr>
          <w:rFonts w:hint="cs"/>
          <w:b/>
          <w:bCs/>
          <w:rtl/>
        </w:rPr>
        <w:t xml:space="preserve">الحرص على إعطاء </w:t>
      </w:r>
      <w:r w:rsidRPr="00417A88">
        <w:rPr>
          <w:b/>
          <w:bCs/>
          <w:rtl/>
        </w:rPr>
        <w:t>ضمانات فعالة لنزلاء هذه المؤسسات، بما في ذلك الحق في الطعن، والرصد المستقل للأوضاع وإنشاء آلية لتقديم الشكاوى والإرشاد. كما</w:t>
      </w:r>
      <w:r>
        <w:rPr>
          <w:rFonts w:hint="cs"/>
          <w:b/>
          <w:bCs/>
          <w:rtl/>
        </w:rPr>
        <w:t> </w:t>
      </w:r>
      <w:r w:rsidRPr="00417A88">
        <w:rPr>
          <w:b/>
          <w:bCs/>
          <w:rtl/>
        </w:rPr>
        <w:t>ينبغي أن توفر التدريب للموظفين الطبيين وغير الطبيين فيما يتعلق بأساليب تقديم الرعاية بطرق تخلو من العنف والإكراه؛</w:t>
      </w:r>
    </w:p>
    <w:p w:rsidR="00BD1F3C" w:rsidRPr="00417A88" w:rsidRDefault="00BD1F3C" w:rsidP="00BD1F3C">
      <w:pPr>
        <w:pStyle w:val="SingleTxtGA"/>
        <w:rPr>
          <w:b/>
          <w:bCs/>
          <w:rtl/>
        </w:rPr>
      </w:pPr>
      <w:r w:rsidRPr="00417A88">
        <w:rPr>
          <w:rFonts w:hint="cs"/>
          <w:b/>
          <w:bCs/>
          <w:rtl/>
        </w:rPr>
        <w:tab/>
      </w:r>
      <w:r w:rsidRPr="00417A88">
        <w:rPr>
          <w:b/>
          <w:bCs/>
          <w:rtl/>
        </w:rPr>
        <w:t>(ج)</w:t>
      </w:r>
      <w:r w:rsidRPr="00417A88">
        <w:rPr>
          <w:b/>
          <w:bCs/>
          <w:rtl/>
        </w:rPr>
        <w:tab/>
      </w:r>
      <w:r>
        <w:rPr>
          <w:rFonts w:hint="cs"/>
          <w:b/>
          <w:bCs/>
          <w:rtl/>
        </w:rPr>
        <w:t xml:space="preserve">التحقيق </w:t>
      </w:r>
      <w:r w:rsidRPr="00417A88">
        <w:rPr>
          <w:b/>
          <w:bCs/>
          <w:rtl/>
        </w:rPr>
        <w:t>بشكل فعال في جميع الشكاوى المتعلقة بانتهاك الاتفاقية، بما في ذلك الوفيات، و</w:t>
      </w:r>
      <w:r>
        <w:rPr>
          <w:rFonts w:hint="cs"/>
          <w:b/>
          <w:bCs/>
          <w:rtl/>
        </w:rPr>
        <w:t>ملاحقة</w:t>
      </w:r>
      <w:r w:rsidRPr="00417A88">
        <w:rPr>
          <w:b/>
          <w:bCs/>
          <w:rtl/>
        </w:rPr>
        <w:t xml:space="preserve"> الجناة قضائي</w:t>
      </w:r>
      <w:r>
        <w:rPr>
          <w:b/>
          <w:bCs/>
          <w:rtl/>
        </w:rPr>
        <w:t xml:space="preserve">اً </w:t>
      </w:r>
      <w:r w:rsidRPr="00417A88">
        <w:rPr>
          <w:b/>
          <w:bCs/>
          <w:rtl/>
        </w:rPr>
        <w:t>وتوف</w:t>
      </w:r>
      <w:r>
        <w:rPr>
          <w:rFonts w:hint="cs"/>
          <w:b/>
          <w:bCs/>
          <w:rtl/>
        </w:rPr>
        <w:t>ي</w:t>
      </w:r>
      <w:r w:rsidRPr="00417A88">
        <w:rPr>
          <w:b/>
          <w:bCs/>
          <w:rtl/>
        </w:rPr>
        <w:t>ر سبل جبر الضرر للضحايا.</w:t>
      </w:r>
    </w:p>
    <w:p w:rsidR="00BD1F3C" w:rsidRDefault="00BD1F3C" w:rsidP="00BD1F3C">
      <w:pPr>
        <w:pStyle w:val="H23GA"/>
        <w:rPr>
          <w:rtl/>
        </w:rPr>
      </w:pPr>
      <w:r>
        <w:rPr>
          <w:rtl/>
        </w:rPr>
        <w:tab/>
      </w:r>
      <w:r>
        <w:rPr>
          <w:rtl/>
        </w:rPr>
        <w:tab/>
        <w:t>جمع البيانات</w:t>
      </w:r>
    </w:p>
    <w:p w:rsidR="00BD1F3C" w:rsidRDefault="000F411B" w:rsidP="000F411B">
      <w:pPr>
        <w:pStyle w:val="SingleTxtGA"/>
        <w:rPr>
          <w:rtl/>
        </w:rPr>
      </w:pPr>
      <w:r>
        <w:rPr>
          <w:rFonts w:hint="cs"/>
          <w:rtl/>
        </w:rPr>
        <w:t>(</w:t>
      </w:r>
      <w:r w:rsidR="00BD1F3C">
        <w:rPr>
          <w:rtl/>
        </w:rPr>
        <w:t>23</w:t>
      </w:r>
      <w:r>
        <w:rPr>
          <w:rFonts w:hint="cs"/>
          <w:rtl/>
        </w:rPr>
        <w:t>)</w:t>
      </w:r>
      <w:r w:rsidR="00BD1F3C">
        <w:rPr>
          <w:rtl/>
        </w:rPr>
        <w:tab/>
        <w:t>تعرب اللجنة، و</w:t>
      </w:r>
      <w:r w:rsidR="00BD1F3C">
        <w:rPr>
          <w:rFonts w:hint="cs"/>
          <w:rtl/>
        </w:rPr>
        <w:t>من معرض الإشارة إلى</w:t>
      </w:r>
      <w:r w:rsidR="00BD1F3C">
        <w:rPr>
          <w:rtl/>
        </w:rPr>
        <w:t xml:space="preserve"> البيانات الإحصائية التي قدمتها الدولة الطرف في تقريرها، عن أسفها لعدم وجود بيانات شاملة ومصنفة على نحو ما طلبته اللجنة (المواد 2 و3 و12 و13 و14 و16).</w:t>
      </w:r>
    </w:p>
    <w:p w:rsidR="00BD1F3C" w:rsidRPr="00417A88" w:rsidRDefault="00BD1F3C" w:rsidP="00BD1F3C">
      <w:pPr>
        <w:pStyle w:val="SingleTxtGA"/>
        <w:rPr>
          <w:b/>
          <w:bCs/>
          <w:spacing w:val="-2"/>
          <w:rtl/>
        </w:rPr>
      </w:pPr>
      <w:r w:rsidRPr="00417A88">
        <w:rPr>
          <w:rFonts w:hint="cs"/>
          <w:spacing w:val="-2"/>
          <w:rtl/>
        </w:rPr>
        <w:tab/>
      </w:r>
      <w:r w:rsidRPr="00417A88">
        <w:rPr>
          <w:b/>
          <w:bCs/>
          <w:spacing w:val="-2"/>
          <w:rtl/>
        </w:rPr>
        <w:t>ينبغي أن تجمِّع الدولة الطرف وتقدم إلى اللجنة معلومات بشأن الشكاوى والتحقيقات والملاحقات القضائية وحالات الإدانة في قضايا التعذيب والمعاملة السيئة و</w:t>
      </w:r>
      <w:r w:rsidRPr="00417A88">
        <w:rPr>
          <w:rFonts w:hint="cs"/>
          <w:b/>
          <w:bCs/>
          <w:spacing w:val="-2"/>
          <w:rtl/>
        </w:rPr>
        <w:t>الترحيل</w:t>
      </w:r>
      <w:r w:rsidRPr="00417A88">
        <w:rPr>
          <w:b/>
          <w:bCs/>
          <w:spacing w:val="-2"/>
          <w:rtl/>
        </w:rPr>
        <w:t xml:space="preserve"> وطول محاكمات </w:t>
      </w:r>
      <w:r w:rsidRPr="00417A88">
        <w:rPr>
          <w:rFonts w:hint="cs"/>
          <w:b/>
          <w:bCs/>
          <w:spacing w:val="-2"/>
          <w:rtl/>
        </w:rPr>
        <w:t xml:space="preserve">من يزعم ارتكابهم </w:t>
      </w:r>
      <w:r w:rsidRPr="00417A88">
        <w:rPr>
          <w:b/>
          <w:bCs/>
          <w:spacing w:val="-2"/>
          <w:rtl/>
        </w:rPr>
        <w:t xml:space="preserve">لجرائم التعذيب والمعاملة السيئة والعنف ضد المرأة، ونتائج كل هذه الشكاوى والقضايا، بما في ذلك جبر الضرر. ولهذه الغاية، ينبغي تصنيف البيانات الإحصائية ذات الصلة برصد الاتفاقية حسب نوع الجنس والسن </w:t>
      </w:r>
      <w:r w:rsidRPr="00417A88">
        <w:rPr>
          <w:rFonts w:hint="cs"/>
          <w:b/>
          <w:bCs/>
          <w:spacing w:val="-2"/>
          <w:rtl/>
        </w:rPr>
        <w:t xml:space="preserve">والأصل الإثني </w:t>
      </w:r>
      <w:r w:rsidRPr="00417A88">
        <w:rPr>
          <w:b/>
          <w:bCs/>
          <w:spacing w:val="-2"/>
          <w:rtl/>
        </w:rPr>
        <w:t xml:space="preserve">والحالة الاجتماعية </w:t>
      </w:r>
      <w:r w:rsidRPr="00417A88">
        <w:rPr>
          <w:rFonts w:hint="cs"/>
          <w:b/>
          <w:bCs/>
          <w:spacing w:val="-2"/>
          <w:rtl/>
        </w:rPr>
        <w:t xml:space="preserve">والجنسية </w:t>
      </w:r>
      <w:r w:rsidRPr="00417A88">
        <w:rPr>
          <w:b/>
          <w:bCs/>
          <w:spacing w:val="-2"/>
          <w:rtl/>
        </w:rPr>
        <w:t>ونوع مكان الاحتجاز وموقعه وفقدان حق الحضانة.</w:t>
      </w:r>
    </w:p>
    <w:p w:rsidR="00BD1F3C" w:rsidRDefault="000F411B" w:rsidP="000F411B">
      <w:pPr>
        <w:pStyle w:val="SingleTxtGA"/>
        <w:rPr>
          <w:rtl/>
        </w:rPr>
      </w:pPr>
      <w:r>
        <w:rPr>
          <w:rFonts w:hint="cs"/>
          <w:rtl/>
        </w:rPr>
        <w:t>(</w:t>
      </w:r>
      <w:r w:rsidR="00BD1F3C">
        <w:rPr>
          <w:rtl/>
        </w:rPr>
        <w:t>24</w:t>
      </w:r>
      <w:r>
        <w:rPr>
          <w:rFonts w:hint="cs"/>
          <w:rtl/>
        </w:rPr>
        <w:t>)</w:t>
      </w:r>
      <w:r w:rsidR="00BD1F3C">
        <w:rPr>
          <w:rtl/>
        </w:rPr>
        <w:tab/>
        <w:t>وتوصي اللجنة الدولة الطرف بأن تنظر في مسألة التصديق على البروتوكول الاختياري لاتفاقية مناهضة التعذيب وغيره من ضروب المعاملة أو العقوبة القاسية أو</w:t>
      </w:r>
      <w:r w:rsidR="00BD1F3C">
        <w:rPr>
          <w:rFonts w:hint="cs"/>
          <w:rtl/>
        </w:rPr>
        <w:t> </w:t>
      </w:r>
      <w:r w:rsidR="00BD1F3C">
        <w:rPr>
          <w:rtl/>
        </w:rPr>
        <w:t>اللاإنسانية أو المهينة.</w:t>
      </w:r>
    </w:p>
    <w:p w:rsidR="00BD1F3C" w:rsidRDefault="005F44C1" w:rsidP="005F44C1">
      <w:pPr>
        <w:pStyle w:val="SingleTxtGA"/>
        <w:rPr>
          <w:rtl/>
        </w:rPr>
      </w:pPr>
      <w:r>
        <w:rPr>
          <w:rFonts w:hint="cs"/>
          <w:rtl/>
        </w:rPr>
        <w:t>(</w:t>
      </w:r>
      <w:r w:rsidR="00BD1F3C">
        <w:rPr>
          <w:rtl/>
        </w:rPr>
        <w:t>25</w:t>
      </w:r>
      <w:r>
        <w:rPr>
          <w:rFonts w:hint="cs"/>
          <w:rtl/>
        </w:rPr>
        <w:t>)</w:t>
      </w:r>
      <w:r w:rsidR="00BD1F3C">
        <w:rPr>
          <w:rtl/>
        </w:rPr>
        <w:tab/>
        <w:t>وتدعو اللجنة الدولة الطرف إلى أن تصدق على معاهدات الأمم المتحدة الأساسية لحقوق الإنسان التي لم تنضم إليها بعد، أي الاتفاقية الدولية لحماية حقوق جميع العمال المهاجرين وأفراد أسرهم واتفاقية حماية جميع الأشخاص من الاختفاء القسري والبروتوكول الاختياري للعهد الدولي الخاص بالحقوق الاقتصادية والاجتماعية والثقافية، وأن تصدق على البروتوكول الاختياري لاتفاقية حقوق الطفل المتعلق ببيع الأطفال واستغلالهم في البغاء وفي المواد الإباحية الذي وقعت عليه في عام 2012. كما أن الدولة الطرف مدعوة إلى التصديق على نظام روما الأساسي للمحكمة الجنائية الدولية.</w:t>
      </w:r>
    </w:p>
    <w:p w:rsidR="00BD1F3C" w:rsidRDefault="005F44C1" w:rsidP="005F44C1">
      <w:pPr>
        <w:pStyle w:val="SingleTxtGA"/>
        <w:rPr>
          <w:rtl/>
        </w:rPr>
      </w:pPr>
      <w:r>
        <w:rPr>
          <w:rFonts w:hint="cs"/>
          <w:rtl/>
        </w:rPr>
        <w:t>(</w:t>
      </w:r>
      <w:r w:rsidR="00BD1F3C">
        <w:rPr>
          <w:rtl/>
        </w:rPr>
        <w:t>26</w:t>
      </w:r>
      <w:r>
        <w:rPr>
          <w:rFonts w:hint="cs"/>
          <w:rtl/>
        </w:rPr>
        <w:t>)</w:t>
      </w:r>
      <w:r w:rsidR="00BD1F3C">
        <w:rPr>
          <w:rtl/>
        </w:rPr>
        <w:tab/>
        <w:t>وإذ تلاحظ اللجنة الوقف الاختياري الفعلي لعقوبة الإعدام، تدعو الدولةَ الطرفَ إلى إلغائها قانونيا</w:t>
      </w:r>
      <w:r w:rsidR="00BD1F3C">
        <w:rPr>
          <w:rFonts w:hint="cs"/>
          <w:rtl/>
        </w:rPr>
        <w:t>ً</w:t>
      </w:r>
      <w:r w:rsidR="00BD1F3C">
        <w:rPr>
          <w:rtl/>
        </w:rPr>
        <w:t xml:space="preserve"> والتصديق على البروتوكول الاختياري الثاني للعهد الدولي الخاص بالحقوق المدنية والسياسية.</w:t>
      </w:r>
    </w:p>
    <w:p w:rsidR="00BD1F3C" w:rsidRDefault="005F44C1" w:rsidP="005F44C1">
      <w:pPr>
        <w:pStyle w:val="SingleTxtGA"/>
        <w:rPr>
          <w:rtl/>
        </w:rPr>
      </w:pPr>
      <w:r>
        <w:rPr>
          <w:rFonts w:hint="cs"/>
          <w:rtl/>
        </w:rPr>
        <w:t>(</w:t>
      </w:r>
      <w:r w:rsidR="00BD1F3C">
        <w:rPr>
          <w:rtl/>
        </w:rPr>
        <w:t>27</w:t>
      </w:r>
      <w:r>
        <w:rPr>
          <w:rFonts w:hint="cs"/>
          <w:rtl/>
        </w:rPr>
        <w:t>)</w:t>
      </w:r>
      <w:r w:rsidR="00BD1F3C">
        <w:rPr>
          <w:rtl/>
        </w:rPr>
        <w:tab/>
        <w:t xml:space="preserve">وتطلب اللجنة </w:t>
      </w:r>
      <w:r w:rsidR="00BD1F3C">
        <w:rPr>
          <w:rFonts w:hint="cs"/>
          <w:rtl/>
        </w:rPr>
        <w:t xml:space="preserve">إلى </w:t>
      </w:r>
      <w:r w:rsidR="00BD1F3C">
        <w:rPr>
          <w:rtl/>
        </w:rPr>
        <w:t>الدولة الطرف أن تنشر التقرير الذي قدمته إليها وملاحظاتها الختامية بشأنه على نطاق واسع من خلال المواقع الشبكية الرسمية ووسائط الإعلام والمنظمات غير الحكومية.</w:t>
      </w:r>
    </w:p>
    <w:p w:rsidR="00BD1F3C" w:rsidRPr="00417A88" w:rsidRDefault="005F44C1" w:rsidP="005F44C1">
      <w:pPr>
        <w:pStyle w:val="SingleTxtGA"/>
        <w:rPr>
          <w:spacing w:val="-2"/>
          <w:rtl/>
        </w:rPr>
      </w:pPr>
      <w:r>
        <w:rPr>
          <w:rFonts w:hint="cs"/>
          <w:spacing w:val="-6"/>
          <w:rtl/>
        </w:rPr>
        <w:t>(</w:t>
      </w:r>
      <w:r w:rsidR="00BD1F3C" w:rsidRPr="00417A88">
        <w:rPr>
          <w:spacing w:val="-6"/>
          <w:rtl/>
        </w:rPr>
        <w:t>28</w:t>
      </w:r>
      <w:r>
        <w:rPr>
          <w:rFonts w:hint="cs"/>
          <w:spacing w:val="-6"/>
          <w:rtl/>
        </w:rPr>
        <w:t>)</w:t>
      </w:r>
      <w:r w:rsidR="00BD1F3C" w:rsidRPr="00417A88">
        <w:rPr>
          <w:spacing w:val="-6"/>
          <w:rtl/>
        </w:rPr>
        <w:tab/>
        <w:t xml:space="preserve">وتطلب اللجنة </w:t>
      </w:r>
      <w:r w:rsidR="00BD1F3C" w:rsidRPr="00417A88">
        <w:rPr>
          <w:rFonts w:hint="cs"/>
          <w:spacing w:val="-6"/>
          <w:rtl/>
        </w:rPr>
        <w:t xml:space="preserve">إلى </w:t>
      </w:r>
      <w:r w:rsidR="00BD1F3C" w:rsidRPr="00417A88">
        <w:rPr>
          <w:spacing w:val="-6"/>
          <w:rtl/>
        </w:rPr>
        <w:t>الدولة الطرف أن تقدم إليها، بحلول 23 تشرين الثاني/نوفمبر 2013،</w:t>
      </w:r>
      <w:r w:rsidR="00BD1F3C" w:rsidRPr="00417A88">
        <w:rPr>
          <w:spacing w:val="-2"/>
          <w:rtl/>
        </w:rPr>
        <w:t xml:space="preserve"> معلومات بشأن متابعة توصياتها الواردة في الفقرات 11 و12 و16 من هذا التقرير والمتعلقة بمسائل (أ) رصد أماكن الاحتجاز (ب) </w:t>
      </w:r>
      <w:r w:rsidR="00BD1F3C" w:rsidRPr="00417A88">
        <w:rPr>
          <w:rFonts w:hint="cs"/>
          <w:spacing w:val="-2"/>
          <w:rtl/>
        </w:rPr>
        <w:t xml:space="preserve">ترهيب </w:t>
      </w:r>
      <w:r w:rsidR="00BD1F3C" w:rsidRPr="00417A88">
        <w:rPr>
          <w:spacing w:val="-2"/>
          <w:rtl/>
        </w:rPr>
        <w:t xml:space="preserve">المدافعين عن حقوق الإنسان ومضايقتهم </w:t>
      </w:r>
      <w:r w:rsidR="00BD1F3C" w:rsidRPr="00417A88">
        <w:rPr>
          <w:rFonts w:hint="cs"/>
          <w:spacing w:val="-2"/>
          <w:rtl/>
        </w:rPr>
        <w:t xml:space="preserve">والاعتداء بالعنف </w:t>
      </w:r>
      <w:r w:rsidR="00BD1F3C" w:rsidRPr="00417A88">
        <w:rPr>
          <w:spacing w:val="-2"/>
          <w:rtl/>
        </w:rPr>
        <w:t xml:space="preserve">عليهم (ج) </w:t>
      </w:r>
      <w:r w:rsidR="00BD1F3C" w:rsidRPr="00417A88">
        <w:rPr>
          <w:rFonts w:hint="cs"/>
          <w:spacing w:val="-2"/>
          <w:rtl/>
        </w:rPr>
        <w:t xml:space="preserve">التنكيل </w:t>
      </w:r>
      <w:r w:rsidR="00BD1F3C" w:rsidRPr="00417A88">
        <w:rPr>
          <w:spacing w:val="-2"/>
          <w:rtl/>
        </w:rPr>
        <w:t>والمعاملة السيئة في صفوف القوات المسلحة.</w:t>
      </w:r>
    </w:p>
    <w:p w:rsidR="00BD1F3C" w:rsidRDefault="005F44C1" w:rsidP="005F44C1">
      <w:pPr>
        <w:pStyle w:val="SingleTxtGA"/>
        <w:rPr>
          <w:rFonts w:hint="cs"/>
          <w:rtl/>
        </w:rPr>
      </w:pPr>
      <w:r>
        <w:rPr>
          <w:rFonts w:hint="cs"/>
          <w:rtl/>
        </w:rPr>
        <w:t>(</w:t>
      </w:r>
      <w:r w:rsidR="00BD1F3C">
        <w:rPr>
          <w:rtl/>
        </w:rPr>
        <w:t>29</w:t>
      </w:r>
      <w:r>
        <w:rPr>
          <w:rFonts w:hint="cs"/>
          <w:rtl/>
        </w:rPr>
        <w:t>)</w:t>
      </w:r>
      <w:r w:rsidR="00BD1F3C">
        <w:rPr>
          <w:rtl/>
        </w:rPr>
        <w:tab/>
        <w:t>وتدعو اللجنة الدولة الطرف إلى أن تقدم تقريرها الدوري المقبل، وهو السادس، بحلول 23 تشرين الثاني/نوفمبر 2016. ولهذا الغرض، ستقدم اللجنة إلى الدولة الطرف في الموعد المناسب قائمة</w:t>
      </w:r>
      <w:r w:rsidR="009912C3">
        <w:rPr>
          <w:rFonts w:hint="cs"/>
          <w:rtl/>
        </w:rPr>
        <w:t xml:space="preserve"> القضايا</w:t>
      </w:r>
      <w:r w:rsidR="00BD1F3C">
        <w:rPr>
          <w:rtl/>
        </w:rPr>
        <w:t xml:space="preserve"> لمرحلة ما قبل تقديم التقارير على اعتبار أنها وافقت على تقديم تقريرها إلى اللجنة بموجب الإجراء الاختياري لتقديم التقارير.</w:t>
      </w:r>
    </w:p>
    <w:p w:rsidR="00EE5D7D" w:rsidRPr="005F44C1" w:rsidRDefault="005E2281" w:rsidP="005F44C1">
      <w:pPr>
        <w:pStyle w:val="SingleTxtGA"/>
        <w:keepNext/>
        <w:keepLines/>
        <w:rPr>
          <w:rFonts w:hint="cs"/>
          <w:b/>
          <w:bCs/>
          <w:rtl/>
        </w:rPr>
      </w:pPr>
      <w:r>
        <w:rPr>
          <w:rFonts w:hint="cs"/>
          <w:rtl/>
        </w:rPr>
        <w:t>65</w:t>
      </w:r>
      <w:r w:rsidR="00EE5D7D">
        <w:rPr>
          <w:rFonts w:hint="cs"/>
          <w:rtl/>
        </w:rPr>
        <w:t>-</w:t>
      </w:r>
      <w:r w:rsidR="00EE5D7D">
        <w:rPr>
          <w:rFonts w:hint="cs"/>
          <w:rtl/>
        </w:rPr>
        <w:tab/>
      </w:r>
      <w:r w:rsidR="00EE5D7D" w:rsidRPr="005F44C1">
        <w:rPr>
          <w:rFonts w:hint="cs"/>
          <w:b/>
          <w:bCs/>
          <w:rtl/>
        </w:rPr>
        <w:t>السنغال</w:t>
      </w:r>
    </w:p>
    <w:p w:rsidR="00672E96" w:rsidRPr="00BE1C18" w:rsidRDefault="005F44C1" w:rsidP="005F44C1">
      <w:pPr>
        <w:pStyle w:val="SingleTxtGA"/>
        <w:rPr>
          <w:rFonts w:hint="cs"/>
          <w:szCs w:val="20"/>
          <w:rtl/>
        </w:rPr>
      </w:pPr>
      <w:r>
        <w:rPr>
          <w:rFonts w:hint="cs"/>
          <w:rtl/>
          <w:lang w:val="fr-CH"/>
        </w:rPr>
        <w:t>(</w:t>
      </w:r>
      <w:r w:rsidR="00672E96">
        <w:rPr>
          <w:rFonts w:hint="cs"/>
          <w:rtl/>
          <w:lang w:val="fr-CH"/>
        </w:rPr>
        <w:t>1</w:t>
      </w:r>
      <w:r>
        <w:rPr>
          <w:rFonts w:hint="cs"/>
          <w:rtl/>
          <w:lang w:val="fr-CH"/>
        </w:rPr>
        <w:t>)</w:t>
      </w:r>
      <w:r w:rsidR="00672E96">
        <w:rPr>
          <w:rFonts w:hint="cs"/>
          <w:rtl/>
          <w:lang w:val="fr-CH"/>
        </w:rPr>
        <w:tab/>
        <w:t>نظرت لجنة مناهضة التعذيب في التقرير الدوري الثالث للسنغال (</w:t>
      </w:r>
      <w:r w:rsidR="00672E96">
        <w:t>CAT/C/SEN/3</w:t>
      </w:r>
      <w:r w:rsidR="00672E96">
        <w:rPr>
          <w:rFonts w:hint="cs"/>
          <w:rtl/>
        </w:rPr>
        <w:t>) في جلستيها 1106 و1109 (</w:t>
      </w:r>
      <w:r w:rsidR="00672E96">
        <w:t>CAT/C/SR.1106</w:t>
      </w:r>
      <w:r w:rsidR="00672E96">
        <w:rPr>
          <w:rFonts w:hint="cs"/>
          <w:rtl/>
        </w:rPr>
        <w:t xml:space="preserve"> و</w:t>
      </w:r>
      <w:r w:rsidR="00672E96">
        <w:t>1109</w:t>
      </w:r>
      <w:r w:rsidR="00672E96">
        <w:rPr>
          <w:rFonts w:hint="cs"/>
          <w:rtl/>
        </w:rPr>
        <w:t xml:space="preserve">)، المعقودتين في 6 و7 </w:t>
      </w:r>
      <w:r w:rsidR="00672E96" w:rsidRPr="00F74F4E">
        <w:rPr>
          <w:rFonts w:hint="cs"/>
          <w:sz w:val="30"/>
          <w:rtl/>
        </w:rPr>
        <w:t xml:space="preserve">تشرين الثاني/نوفمبر </w:t>
      </w:r>
      <w:r w:rsidR="00672E96">
        <w:rPr>
          <w:rFonts w:hint="cs"/>
          <w:rtl/>
        </w:rPr>
        <w:t>2012. واعتمدت في جلستها 1125 (</w:t>
      </w:r>
      <w:r w:rsidR="00672E96">
        <w:t>CAT/C/SR.1125</w:t>
      </w:r>
      <w:r w:rsidR="00672E96">
        <w:rPr>
          <w:rFonts w:hint="cs"/>
          <w:rtl/>
        </w:rPr>
        <w:t xml:space="preserve">)، المعقودة في 19 </w:t>
      </w:r>
      <w:r w:rsidR="00672E96" w:rsidRPr="00F74F4E">
        <w:rPr>
          <w:rFonts w:hint="cs"/>
          <w:sz w:val="30"/>
          <w:rtl/>
        </w:rPr>
        <w:t xml:space="preserve">تشرين الثاني/نوفمبر </w:t>
      </w:r>
      <w:r w:rsidR="00672E96">
        <w:rPr>
          <w:rFonts w:hint="cs"/>
          <w:rtl/>
        </w:rPr>
        <w:t>2012، الملاحظات الختامية التالية.</w:t>
      </w:r>
    </w:p>
    <w:p w:rsidR="00672E96" w:rsidRPr="005F44C1" w:rsidRDefault="009F2FC3" w:rsidP="009F2FC3">
      <w:pPr>
        <w:pStyle w:val="H23GA"/>
        <w:tabs>
          <w:tab w:val="left" w:pos="1926"/>
        </w:tabs>
        <w:rPr>
          <w:rFonts w:hint="cs"/>
          <w:szCs w:val="24"/>
          <w:rtl/>
        </w:rPr>
      </w:pPr>
      <w:r>
        <w:rPr>
          <w:rFonts w:hint="cs"/>
          <w:rtl/>
        </w:rPr>
        <w:tab/>
      </w:r>
      <w:r>
        <w:rPr>
          <w:rFonts w:hint="cs"/>
          <w:rtl/>
        </w:rPr>
        <w:tab/>
      </w:r>
      <w:r w:rsidR="00672E96" w:rsidRPr="005F44C1">
        <w:rPr>
          <w:rFonts w:hint="cs"/>
          <w:rtl/>
        </w:rPr>
        <w:t>ألف-</w:t>
      </w:r>
      <w:r w:rsidR="00672E96" w:rsidRPr="005F44C1">
        <w:rPr>
          <w:rFonts w:hint="cs"/>
          <w:rtl/>
        </w:rPr>
        <w:tab/>
        <w:t>مقدمة</w:t>
      </w:r>
    </w:p>
    <w:p w:rsidR="00672E96" w:rsidRPr="002A2520" w:rsidRDefault="005F44C1" w:rsidP="005F44C1">
      <w:pPr>
        <w:pStyle w:val="SingleTxtGA"/>
        <w:rPr>
          <w:rFonts w:hint="cs"/>
          <w:szCs w:val="20"/>
          <w:rtl/>
        </w:rPr>
      </w:pPr>
      <w:r>
        <w:rPr>
          <w:rFonts w:hint="cs"/>
          <w:rtl/>
        </w:rPr>
        <w:t>(</w:t>
      </w:r>
      <w:r w:rsidR="00672E96">
        <w:rPr>
          <w:rFonts w:hint="cs"/>
          <w:rtl/>
        </w:rPr>
        <w:t>2</w:t>
      </w:r>
      <w:r>
        <w:rPr>
          <w:rFonts w:hint="cs"/>
          <w:rtl/>
        </w:rPr>
        <w:t>)</w:t>
      </w:r>
      <w:r w:rsidR="00672E96">
        <w:rPr>
          <w:rFonts w:hint="cs"/>
          <w:rtl/>
        </w:rPr>
        <w:tab/>
        <w:t xml:space="preserve">ترحب اللجنة مع الارتياح بتقديم الدولة الطرف تقريرها الدوري الثالث الذي يتبع المبادئ التوجيهية العامة بشأن شكل ومضمون التقارير الدورية. ومع ذلك تأسف لأن الدولة الطرف قدمت تقريرها بعد مرور 15 عاماً على موعد تقديمه. </w:t>
      </w:r>
    </w:p>
    <w:p w:rsidR="00672E96" w:rsidRPr="00CF7499" w:rsidRDefault="005F44C1" w:rsidP="005F44C1">
      <w:pPr>
        <w:pStyle w:val="SingleTxtGA"/>
        <w:rPr>
          <w:rFonts w:hint="cs"/>
          <w:szCs w:val="20"/>
          <w:rtl/>
        </w:rPr>
      </w:pPr>
      <w:r>
        <w:rPr>
          <w:rFonts w:hint="cs"/>
          <w:rtl/>
        </w:rPr>
        <w:t>(</w:t>
      </w:r>
      <w:r w:rsidR="00672E96">
        <w:rPr>
          <w:rFonts w:hint="cs"/>
          <w:rtl/>
        </w:rPr>
        <w:t>3</w:t>
      </w:r>
      <w:r>
        <w:rPr>
          <w:rFonts w:hint="cs"/>
          <w:rtl/>
        </w:rPr>
        <w:t>)</w:t>
      </w:r>
      <w:r w:rsidR="00672E96">
        <w:rPr>
          <w:rFonts w:hint="cs"/>
          <w:rtl/>
        </w:rPr>
        <w:tab/>
        <w:t>وترحب اللجنة بالفرصة التي أتيحت لإعادة فتح باب الحوار مع الدولة الطرف والقيام مع الوفد بالنظر في كيفية تطبيق أحكام الاتفاقية. وتلاحظ اللجنة أن الدولة الطرف قدمت ردوداً مكتوبة مفصلة على قائمة</w:t>
      </w:r>
      <w:r w:rsidR="009912C3">
        <w:rPr>
          <w:rFonts w:hint="cs"/>
          <w:rtl/>
        </w:rPr>
        <w:t xml:space="preserve"> القضايا</w:t>
      </w:r>
      <w:r w:rsidR="00672E96">
        <w:rPr>
          <w:rFonts w:hint="cs"/>
          <w:rtl/>
        </w:rPr>
        <w:t xml:space="preserve"> (</w:t>
      </w:r>
      <w:r w:rsidR="00672E96">
        <w:t>CAT/C/SEN/Q/3</w:t>
      </w:r>
      <w:r w:rsidR="00672E96">
        <w:rPr>
          <w:rFonts w:hint="cs"/>
          <w:rtl/>
        </w:rPr>
        <w:t xml:space="preserve"> و</w:t>
      </w:r>
      <w:r w:rsidR="00672E96">
        <w:t>Add.1</w:t>
      </w:r>
      <w:r w:rsidR="00672E96">
        <w:rPr>
          <w:rFonts w:hint="cs"/>
          <w:rtl/>
        </w:rPr>
        <w:t>) ليلة انعقاد الحوار وأن الوفد قدم معلومات إضافية.</w:t>
      </w:r>
    </w:p>
    <w:p w:rsidR="00672E96" w:rsidRPr="005F44C1" w:rsidRDefault="009F2FC3" w:rsidP="009F2FC3">
      <w:pPr>
        <w:pStyle w:val="H23GA"/>
        <w:tabs>
          <w:tab w:val="left" w:pos="1940"/>
        </w:tabs>
        <w:rPr>
          <w:rFonts w:hint="cs"/>
          <w:szCs w:val="24"/>
          <w:rtl/>
        </w:rPr>
      </w:pPr>
      <w:r>
        <w:rPr>
          <w:rFonts w:hint="cs"/>
          <w:rtl/>
        </w:rPr>
        <w:tab/>
      </w:r>
      <w:r>
        <w:rPr>
          <w:rFonts w:hint="cs"/>
          <w:rtl/>
        </w:rPr>
        <w:tab/>
      </w:r>
      <w:r w:rsidR="00672E96" w:rsidRPr="005F44C1">
        <w:rPr>
          <w:rFonts w:hint="cs"/>
          <w:rtl/>
        </w:rPr>
        <w:t>باء-</w:t>
      </w:r>
      <w:r w:rsidR="00672E96" w:rsidRPr="005F44C1">
        <w:rPr>
          <w:rFonts w:hint="cs"/>
          <w:rtl/>
        </w:rPr>
        <w:tab/>
        <w:t>الجوانب الإيجابية</w:t>
      </w:r>
    </w:p>
    <w:p w:rsidR="00672E96" w:rsidRPr="00CF7499" w:rsidRDefault="005F44C1" w:rsidP="005F44C1">
      <w:pPr>
        <w:pStyle w:val="SingleTxtGA"/>
        <w:rPr>
          <w:rFonts w:hint="cs"/>
          <w:szCs w:val="20"/>
          <w:rtl/>
        </w:rPr>
      </w:pPr>
      <w:r>
        <w:rPr>
          <w:rFonts w:hint="cs"/>
          <w:spacing w:val="-4"/>
          <w:rtl/>
        </w:rPr>
        <w:t>(</w:t>
      </w:r>
      <w:r w:rsidR="00672E96" w:rsidRPr="00004044">
        <w:rPr>
          <w:rFonts w:hint="cs"/>
          <w:spacing w:val="-4"/>
          <w:rtl/>
        </w:rPr>
        <w:t>4</w:t>
      </w:r>
      <w:r>
        <w:rPr>
          <w:rFonts w:hint="cs"/>
          <w:spacing w:val="-4"/>
          <w:rtl/>
        </w:rPr>
        <w:t>)</w:t>
      </w:r>
      <w:r w:rsidR="00672E96" w:rsidRPr="00004044">
        <w:rPr>
          <w:rFonts w:hint="cs"/>
          <w:spacing w:val="-4"/>
          <w:rtl/>
        </w:rPr>
        <w:tab/>
        <w:t xml:space="preserve">ترحب اللجنة مع الارتياح بتصديق الدولة الطرف، في </w:t>
      </w:r>
      <w:r w:rsidR="00672E96" w:rsidRPr="00004044">
        <w:rPr>
          <w:rFonts w:hint="cs"/>
          <w:spacing w:val="-4"/>
          <w:sz w:val="30"/>
          <w:rtl/>
        </w:rPr>
        <w:t>تشرين الأول/أكتوبر</w:t>
      </w:r>
      <w:r w:rsidR="00672E96" w:rsidRPr="00134A18">
        <w:rPr>
          <w:rFonts w:hint="cs"/>
          <w:sz w:val="30"/>
          <w:rtl/>
        </w:rPr>
        <w:t xml:space="preserve"> </w:t>
      </w:r>
      <w:r w:rsidR="00672E96">
        <w:rPr>
          <w:rFonts w:hint="cs"/>
          <w:rtl/>
        </w:rPr>
        <w:t xml:space="preserve">2006، على البروتوكول الاختياري لاتفاقية </w:t>
      </w:r>
      <w:r w:rsidR="00672E96">
        <w:rPr>
          <w:rFonts w:hint="cs"/>
          <w:rtl/>
          <w:lang/>
        </w:rPr>
        <w:t>مناهضة التعذيب وغيره من ضروب المعاملة أو العقوبة القاسية أو اللاإنسانية أو المهينة</w:t>
      </w:r>
      <w:r w:rsidR="00672E96">
        <w:rPr>
          <w:rFonts w:hint="cs"/>
          <w:rtl/>
        </w:rPr>
        <w:t>، وكذلك على صكوك دولية أخرى أثناء الفترة المشمولة بالتقرير ولا</w:t>
      </w:r>
      <w:r w:rsidR="00672E96">
        <w:rPr>
          <w:rFonts w:hint="eastAsia"/>
          <w:rtl/>
        </w:rPr>
        <w:t> </w:t>
      </w:r>
      <w:r w:rsidR="00672E96">
        <w:rPr>
          <w:rFonts w:hint="cs"/>
          <w:rtl/>
        </w:rPr>
        <w:t xml:space="preserve">سيما: </w:t>
      </w:r>
    </w:p>
    <w:p w:rsidR="00672E96" w:rsidRPr="00CF7499" w:rsidRDefault="00672E96" w:rsidP="00672E96">
      <w:pPr>
        <w:pStyle w:val="SingleTxtGA"/>
        <w:rPr>
          <w:rFonts w:hint="cs"/>
          <w:szCs w:val="20"/>
          <w:rtl/>
        </w:rPr>
      </w:pPr>
      <w:r>
        <w:rPr>
          <w:rFonts w:hint="cs"/>
          <w:rtl/>
        </w:rPr>
        <w:tab/>
        <w:t>(أ)</w:t>
      </w:r>
      <w:r>
        <w:rPr>
          <w:rFonts w:hint="cs"/>
          <w:rtl/>
        </w:rPr>
        <w:tab/>
        <w:t xml:space="preserve">الاتفاقية الدولية لحماية حقوق جميع العمال المهاجرين وأفراد أسرهم، في </w:t>
      </w:r>
      <w:r w:rsidRPr="00134A18">
        <w:rPr>
          <w:rFonts w:hint="cs"/>
          <w:sz w:val="30"/>
          <w:rtl/>
        </w:rPr>
        <w:t xml:space="preserve">حزيران/يونيه </w:t>
      </w:r>
      <w:r>
        <w:rPr>
          <w:rFonts w:hint="cs"/>
          <w:rtl/>
        </w:rPr>
        <w:t>1999؛</w:t>
      </w:r>
    </w:p>
    <w:p w:rsidR="00672E96" w:rsidRPr="00CF7499" w:rsidRDefault="00672E96" w:rsidP="00672E96">
      <w:pPr>
        <w:pStyle w:val="SingleTxtGA"/>
        <w:rPr>
          <w:rFonts w:hint="cs"/>
          <w:szCs w:val="20"/>
          <w:rtl/>
        </w:rPr>
      </w:pPr>
      <w:r>
        <w:rPr>
          <w:rFonts w:hint="cs"/>
          <w:rtl/>
        </w:rPr>
        <w:tab/>
        <w:t>(ب)</w:t>
      </w:r>
      <w:r>
        <w:rPr>
          <w:rFonts w:hint="cs"/>
          <w:rtl/>
        </w:rPr>
        <w:tab/>
        <w:t xml:space="preserve">نظام روما الأساسي للمحكمة الجنائية الدولية، في </w:t>
      </w:r>
      <w:r w:rsidRPr="00134A18">
        <w:rPr>
          <w:rFonts w:hint="cs"/>
          <w:sz w:val="30"/>
          <w:rtl/>
        </w:rPr>
        <w:t xml:space="preserve">شباط/فبراير </w:t>
      </w:r>
      <w:r>
        <w:rPr>
          <w:rFonts w:hint="cs"/>
          <w:rtl/>
        </w:rPr>
        <w:t>1999؛</w:t>
      </w:r>
    </w:p>
    <w:p w:rsidR="00672E96" w:rsidRPr="00CF7499" w:rsidRDefault="00672E96" w:rsidP="00672E96">
      <w:pPr>
        <w:pStyle w:val="SingleTxtGA"/>
        <w:rPr>
          <w:rFonts w:hint="cs"/>
          <w:szCs w:val="20"/>
          <w:rtl/>
        </w:rPr>
      </w:pPr>
      <w:r>
        <w:rPr>
          <w:rFonts w:hint="cs"/>
          <w:rtl/>
        </w:rPr>
        <w:tab/>
        <w:t>(ج)</w:t>
      </w:r>
      <w:r>
        <w:rPr>
          <w:rFonts w:hint="cs"/>
          <w:rtl/>
        </w:rPr>
        <w:tab/>
        <w:t xml:space="preserve">البروتوكول الاختياري لاتفاقية القضاء على جميع أشكال التمييز ضد المرأة، في </w:t>
      </w:r>
      <w:r w:rsidRPr="00134A18">
        <w:rPr>
          <w:rFonts w:hint="cs"/>
          <w:sz w:val="30"/>
          <w:rtl/>
        </w:rPr>
        <w:t xml:space="preserve">أيار/مايو </w:t>
      </w:r>
      <w:r>
        <w:rPr>
          <w:rFonts w:hint="cs"/>
          <w:rtl/>
        </w:rPr>
        <w:t xml:space="preserve">2000؛ </w:t>
      </w:r>
    </w:p>
    <w:p w:rsidR="00672E96" w:rsidRPr="002F691F" w:rsidRDefault="00672E96" w:rsidP="00672E96">
      <w:pPr>
        <w:pStyle w:val="SingleTxtGA"/>
        <w:rPr>
          <w:rFonts w:hint="cs"/>
          <w:spacing w:val="-4"/>
          <w:szCs w:val="20"/>
          <w:rtl/>
        </w:rPr>
      </w:pPr>
      <w:r w:rsidRPr="002F691F">
        <w:rPr>
          <w:rFonts w:hint="cs"/>
          <w:spacing w:val="-4"/>
          <w:rtl/>
        </w:rPr>
        <w:tab/>
        <w:t>(د)</w:t>
      </w:r>
      <w:r w:rsidRPr="002F691F">
        <w:rPr>
          <w:rFonts w:hint="cs"/>
          <w:spacing w:val="-4"/>
          <w:rtl/>
        </w:rPr>
        <w:tab/>
        <w:t xml:space="preserve">البروتوكول الاختياري لاتفاقية حقوق الطفل بشأن اشتراك الأطفال في المنازعات المسلحة، في آذار/مارس 2004، والبروتوكول الاختياري لاتفاقية حقوق الطفل بشأن بيع الأطفال واستغلال الأطفال في البغاء وفي المواد الإباحية، في </w:t>
      </w:r>
      <w:r w:rsidRPr="002F691F">
        <w:rPr>
          <w:rFonts w:hint="cs"/>
          <w:spacing w:val="-4"/>
          <w:sz w:val="30"/>
          <w:rtl/>
        </w:rPr>
        <w:t xml:space="preserve">تشرين الثاني/نوفمبر </w:t>
      </w:r>
      <w:r w:rsidRPr="002F691F">
        <w:rPr>
          <w:rFonts w:hint="cs"/>
          <w:spacing w:val="-4"/>
          <w:rtl/>
        </w:rPr>
        <w:t>2003؛</w:t>
      </w:r>
    </w:p>
    <w:p w:rsidR="00672E96" w:rsidRPr="00290142" w:rsidRDefault="00672E96" w:rsidP="00672E96">
      <w:pPr>
        <w:pStyle w:val="SingleTxtGA"/>
        <w:rPr>
          <w:rFonts w:hint="cs"/>
          <w:szCs w:val="20"/>
          <w:rtl/>
        </w:rPr>
      </w:pPr>
      <w:r>
        <w:rPr>
          <w:rFonts w:hint="cs"/>
          <w:rtl/>
        </w:rPr>
        <w:tab/>
        <w:t>(</w:t>
      </w:r>
      <w:r w:rsidRPr="00134A18">
        <w:rPr>
          <w:rFonts w:hint="cs"/>
          <w:sz w:val="30"/>
          <w:rtl/>
        </w:rPr>
        <w:t>ﻫ</w:t>
      </w:r>
      <w:r>
        <w:rPr>
          <w:rFonts w:hint="cs"/>
          <w:rtl/>
        </w:rPr>
        <w:t>)</w:t>
      </w:r>
      <w:r>
        <w:rPr>
          <w:rFonts w:hint="cs"/>
          <w:rtl/>
        </w:rPr>
        <w:tab/>
        <w:t>اتفاقية الأمم المتحدة لمكافحة الجريمة المنظمة عبر الوطنية،</w:t>
      </w:r>
      <w:r>
        <w:rPr>
          <w:rFonts w:hint="cs"/>
          <w:rtl/>
          <w:lang/>
        </w:rPr>
        <w:t xml:space="preserve"> والبروتوكولان الملحقان بها بشأن منع وقمع ومعاقبة الاتجار بالأشخاص، وبخاصة النساء والأطفال، وبشأن مكافحة تهريب المهاجرين عن طريق البر والبحر والجو</w:t>
      </w:r>
      <w:r>
        <w:rPr>
          <w:rFonts w:hint="cs"/>
          <w:rtl/>
        </w:rPr>
        <w:t xml:space="preserve">، في </w:t>
      </w:r>
      <w:r w:rsidRPr="00134A18">
        <w:rPr>
          <w:rFonts w:hint="cs"/>
          <w:sz w:val="30"/>
          <w:rtl/>
        </w:rPr>
        <w:t xml:space="preserve">تشرين الأول/أكتوبر </w:t>
      </w:r>
      <w:r>
        <w:rPr>
          <w:rFonts w:hint="cs"/>
          <w:rtl/>
        </w:rPr>
        <w:t>2003؛</w:t>
      </w:r>
    </w:p>
    <w:p w:rsidR="00672E96" w:rsidRPr="00063735" w:rsidRDefault="00672E96" w:rsidP="00672E96">
      <w:pPr>
        <w:pStyle w:val="SingleTxtGA"/>
        <w:rPr>
          <w:rFonts w:hint="cs"/>
          <w:szCs w:val="20"/>
          <w:rtl/>
        </w:rPr>
      </w:pPr>
      <w:r>
        <w:rPr>
          <w:rFonts w:hint="cs"/>
          <w:rtl/>
        </w:rPr>
        <w:tab/>
        <w:t>(و)</w:t>
      </w:r>
      <w:r>
        <w:rPr>
          <w:rFonts w:hint="cs"/>
          <w:rtl/>
        </w:rPr>
        <w:tab/>
        <w:t xml:space="preserve">الاتفاقية الدولية لحماية جميع الأشخاص من الاختفاء القسري، في </w:t>
      </w:r>
      <w:r w:rsidRPr="00134A18">
        <w:rPr>
          <w:rFonts w:hint="cs"/>
          <w:sz w:val="30"/>
          <w:rtl/>
        </w:rPr>
        <w:t xml:space="preserve">كانون الأول/ديسمبر </w:t>
      </w:r>
      <w:r>
        <w:rPr>
          <w:rFonts w:hint="cs"/>
          <w:rtl/>
        </w:rPr>
        <w:t>2008؛</w:t>
      </w:r>
    </w:p>
    <w:p w:rsidR="00672E96" w:rsidRPr="00063735" w:rsidRDefault="00672E96" w:rsidP="00672E96">
      <w:pPr>
        <w:pStyle w:val="SingleTxtGA"/>
        <w:rPr>
          <w:rFonts w:hint="cs"/>
          <w:szCs w:val="20"/>
          <w:rtl/>
        </w:rPr>
      </w:pPr>
      <w:r>
        <w:rPr>
          <w:rFonts w:hint="cs"/>
          <w:rtl/>
        </w:rPr>
        <w:tab/>
        <w:t>(ز)</w:t>
      </w:r>
      <w:r>
        <w:rPr>
          <w:rFonts w:hint="cs"/>
          <w:rtl/>
        </w:rPr>
        <w:tab/>
        <w:t xml:space="preserve">اتفاقية حقوق الأشخاص ذوي الإعاقة، في </w:t>
      </w:r>
      <w:r w:rsidRPr="00134A18">
        <w:rPr>
          <w:rFonts w:hint="cs"/>
          <w:sz w:val="30"/>
          <w:rtl/>
        </w:rPr>
        <w:t xml:space="preserve">أيلول/سبتمبر </w:t>
      </w:r>
      <w:r>
        <w:rPr>
          <w:rFonts w:hint="cs"/>
          <w:rtl/>
        </w:rPr>
        <w:t>2010.</w:t>
      </w:r>
    </w:p>
    <w:p w:rsidR="00672E96" w:rsidRPr="007B3C5E" w:rsidRDefault="005F44C1" w:rsidP="005F44C1">
      <w:pPr>
        <w:pStyle w:val="SingleTxtGA"/>
        <w:rPr>
          <w:rFonts w:hint="cs"/>
          <w:szCs w:val="20"/>
          <w:rtl/>
        </w:rPr>
      </w:pPr>
      <w:r>
        <w:rPr>
          <w:rFonts w:hint="cs"/>
          <w:rtl/>
        </w:rPr>
        <w:t>(</w:t>
      </w:r>
      <w:r w:rsidR="00672E96">
        <w:rPr>
          <w:rFonts w:hint="cs"/>
          <w:rtl/>
        </w:rPr>
        <w:t>5</w:t>
      </w:r>
      <w:r>
        <w:rPr>
          <w:rFonts w:hint="cs"/>
          <w:rtl/>
        </w:rPr>
        <w:t>)</w:t>
      </w:r>
      <w:r w:rsidR="00672E96">
        <w:rPr>
          <w:rFonts w:hint="cs"/>
          <w:rtl/>
        </w:rPr>
        <w:tab/>
        <w:t>وتلاحظ اللجنة، مع الارتياح، تعاون الدولة الطرف مع الإجراءات الخاصة لمجلس حقوق الإنسان خلال زيارات متعددة أجراها المكلفون بالولايات أثناء الفترة قيد النظر ولا</w:t>
      </w:r>
      <w:r w:rsidR="00672E96">
        <w:rPr>
          <w:rFonts w:hint="eastAsia"/>
          <w:rtl/>
        </w:rPr>
        <w:t> </w:t>
      </w:r>
      <w:r w:rsidR="00672E96">
        <w:rPr>
          <w:rFonts w:hint="cs"/>
          <w:rtl/>
        </w:rPr>
        <w:t>سيما الفريق العامل المعني بالاحتجاز التعسفي والمقررة الخاصة المعنية ببيع الأطفال واستغلالهم في البغاء وفي المواد الإباحية.</w:t>
      </w:r>
    </w:p>
    <w:p w:rsidR="00672E96" w:rsidRPr="007B3C5E" w:rsidRDefault="005F44C1" w:rsidP="005F44C1">
      <w:pPr>
        <w:pStyle w:val="SingleTxtGA"/>
        <w:rPr>
          <w:rFonts w:hint="cs"/>
          <w:szCs w:val="20"/>
          <w:rtl/>
        </w:rPr>
      </w:pPr>
      <w:r>
        <w:rPr>
          <w:rFonts w:hint="cs"/>
          <w:rtl/>
        </w:rPr>
        <w:t>(</w:t>
      </w:r>
      <w:r w:rsidR="00672E96">
        <w:rPr>
          <w:rFonts w:hint="cs"/>
          <w:rtl/>
        </w:rPr>
        <w:t>6</w:t>
      </w:r>
      <w:r>
        <w:rPr>
          <w:rFonts w:hint="cs"/>
          <w:rtl/>
        </w:rPr>
        <w:t>)</w:t>
      </w:r>
      <w:r w:rsidR="00672E96">
        <w:rPr>
          <w:rFonts w:hint="cs"/>
          <w:rtl/>
        </w:rPr>
        <w:tab/>
        <w:t xml:space="preserve">وتهنئ اللجنة الدولة الطرف على إلغاء عقوبة الإعدام بموجب القانون الصادر في 10 </w:t>
      </w:r>
      <w:r w:rsidR="00672E96" w:rsidRPr="0019439E">
        <w:rPr>
          <w:rFonts w:hint="cs"/>
          <w:sz w:val="30"/>
          <w:rtl/>
        </w:rPr>
        <w:t xml:space="preserve">كانون الأول/ديسمبر </w:t>
      </w:r>
      <w:r w:rsidR="00672E96">
        <w:rPr>
          <w:rFonts w:hint="cs"/>
          <w:rtl/>
        </w:rPr>
        <w:t xml:space="preserve">2004، وتأخذ علماً بالتعديلات التشريعية الهامة التي اعتمدت بشأن حظر التعذيب وبخاصة ما يلي: </w:t>
      </w:r>
    </w:p>
    <w:p w:rsidR="00672E96" w:rsidRPr="007B3C5E" w:rsidRDefault="00672E96" w:rsidP="009F2FC3">
      <w:pPr>
        <w:pStyle w:val="SingleTxtGA"/>
        <w:spacing w:line="370" w:lineRule="exact"/>
        <w:rPr>
          <w:rFonts w:hint="cs"/>
          <w:szCs w:val="20"/>
          <w:rtl/>
        </w:rPr>
      </w:pPr>
      <w:r>
        <w:rPr>
          <w:rtl/>
        </w:rPr>
        <w:tab/>
      </w:r>
      <w:r>
        <w:rPr>
          <w:rFonts w:hint="cs"/>
          <w:rtl/>
        </w:rPr>
        <w:t>(أ)</w:t>
      </w:r>
      <w:r>
        <w:rPr>
          <w:rtl/>
        </w:rPr>
        <w:tab/>
      </w:r>
      <w:r>
        <w:rPr>
          <w:rFonts w:hint="cs"/>
          <w:rtl/>
        </w:rPr>
        <w:t xml:space="preserve">القانون رقم 2009-13 الصادر في 2 </w:t>
      </w:r>
      <w:r w:rsidRPr="0019439E">
        <w:rPr>
          <w:rFonts w:hint="cs"/>
          <w:sz w:val="30"/>
          <w:rtl/>
        </w:rPr>
        <w:t xml:space="preserve">آذار/مارس </w:t>
      </w:r>
      <w:r>
        <w:rPr>
          <w:rFonts w:hint="cs"/>
          <w:rtl/>
        </w:rPr>
        <w:t>2009 الذي ينشئ المرصد الوطني لأماكن الاحتجاز بوصفه الآلية الوقائية الوطنية المنصوص عليها في البروتوكول الاختياري لاتفاقية مناهضة التعذيب؛</w:t>
      </w:r>
    </w:p>
    <w:p w:rsidR="00672E96" w:rsidRPr="007B3C5E" w:rsidRDefault="00672E96" w:rsidP="009F2FC3">
      <w:pPr>
        <w:pStyle w:val="SingleTxtGA"/>
        <w:spacing w:line="370" w:lineRule="exact"/>
        <w:rPr>
          <w:rFonts w:hint="cs"/>
          <w:szCs w:val="20"/>
          <w:rtl/>
        </w:rPr>
      </w:pPr>
      <w:r>
        <w:rPr>
          <w:rFonts w:hint="cs"/>
          <w:rtl/>
        </w:rPr>
        <w:tab/>
        <w:t>(ب)</w:t>
      </w:r>
      <w:r>
        <w:rPr>
          <w:rFonts w:hint="cs"/>
          <w:rtl/>
        </w:rPr>
        <w:tab/>
        <w:t xml:space="preserve">القانون رقم 2005-06 الصادر في 10 </w:t>
      </w:r>
      <w:r w:rsidRPr="0019439E">
        <w:rPr>
          <w:rFonts w:hint="cs"/>
          <w:sz w:val="30"/>
          <w:rtl/>
        </w:rPr>
        <w:t xml:space="preserve">نيسان/أبريل </w:t>
      </w:r>
      <w:r>
        <w:rPr>
          <w:rFonts w:hint="cs"/>
          <w:rtl/>
        </w:rPr>
        <w:t>2005 بشأن مكافحة الاتجار بالأشخاص والممارسات ذات الصلة؛</w:t>
      </w:r>
    </w:p>
    <w:p w:rsidR="00672E96" w:rsidRPr="00F36B80" w:rsidRDefault="00672E96" w:rsidP="009F2FC3">
      <w:pPr>
        <w:pStyle w:val="SingleTxtGA"/>
        <w:spacing w:line="370" w:lineRule="exact"/>
        <w:rPr>
          <w:rFonts w:hint="cs"/>
          <w:szCs w:val="20"/>
          <w:rtl/>
        </w:rPr>
      </w:pPr>
      <w:r>
        <w:rPr>
          <w:rFonts w:hint="cs"/>
          <w:rtl/>
        </w:rPr>
        <w:tab/>
        <w:t>(ج)</w:t>
      </w:r>
      <w:r>
        <w:rPr>
          <w:rFonts w:hint="cs"/>
          <w:rtl/>
        </w:rPr>
        <w:tab/>
        <w:t xml:space="preserve">القانون رقم 2000-38 والقانون رقم 2000-39 الصادران في 29 </w:t>
      </w:r>
      <w:r w:rsidRPr="0019439E">
        <w:rPr>
          <w:rFonts w:hint="cs"/>
          <w:sz w:val="30"/>
          <w:rtl/>
        </w:rPr>
        <w:t xml:space="preserve">كانون الأول/ديسمبر </w:t>
      </w:r>
      <w:r>
        <w:rPr>
          <w:rFonts w:hint="cs"/>
          <w:rtl/>
        </w:rPr>
        <w:t xml:space="preserve">2000، اللذان ينصان على تعيين قاض مسؤول عن الإشراف على ظروف الاحتجاز، وكذلك المرسوم رقم 2001-362 الصادر في 4 </w:t>
      </w:r>
      <w:r w:rsidRPr="0019439E">
        <w:rPr>
          <w:rFonts w:hint="cs"/>
          <w:sz w:val="30"/>
          <w:rtl/>
        </w:rPr>
        <w:t xml:space="preserve">أيار/مايو </w:t>
      </w:r>
      <w:r>
        <w:rPr>
          <w:rFonts w:hint="cs"/>
          <w:rtl/>
        </w:rPr>
        <w:t xml:space="preserve">2001 بشأن إجراءات التنفيذ والعفو في حال العقوبات الجنائية. </w:t>
      </w:r>
    </w:p>
    <w:p w:rsidR="00672E96" w:rsidRPr="00632C17" w:rsidRDefault="005F44C1" w:rsidP="009F2FC3">
      <w:pPr>
        <w:pStyle w:val="SingleTxtGA"/>
        <w:spacing w:line="370" w:lineRule="exact"/>
        <w:rPr>
          <w:rFonts w:hint="cs"/>
          <w:szCs w:val="20"/>
          <w:rtl/>
        </w:rPr>
      </w:pPr>
      <w:r>
        <w:rPr>
          <w:rFonts w:hint="cs"/>
          <w:rtl/>
        </w:rPr>
        <w:t>(</w:t>
      </w:r>
      <w:r w:rsidR="00672E96">
        <w:rPr>
          <w:rFonts w:hint="cs"/>
          <w:rtl/>
        </w:rPr>
        <w:t>7</w:t>
      </w:r>
      <w:r>
        <w:rPr>
          <w:rFonts w:hint="cs"/>
          <w:rtl/>
        </w:rPr>
        <w:t>)</w:t>
      </w:r>
      <w:r w:rsidR="00672E96">
        <w:rPr>
          <w:rFonts w:hint="cs"/>
          <w:rtl/>
        </w:rPr>
        <w:tab/>
        <w:t>وترحب اللجنة مع الارتياح أيضاً بما يلي:</w:t>
      </w:r>
    </w:p>
    <w:p w:rsidR="00672E96" w:rsidRPr="00632C17" w:rsidRDefault="00672E96" w:rsidP="009F2FC3">
      <w:pPr>
        <w:pStyle w:val="SingleTxtGA"/>
        <w:spacing w:line="370" w:lineRule="exact"/>
        <w:rPr>
          <w:rFonts w:hint="cs"/>
          <w:szCs w:val="20"/>
          <w:rtl/>
        </w:rPr>
      </w:pPr>
      <w:r>
        <w:rPr>
          <w:rFonts w:hint="cs"/>
          <w:rtl/>
        </w:rPr>
        <w:tab/>
        <w:t>(أ)</w:t>
      </w:r>
      <w:r>
        <w:rPr>
          <w:rFonts w:hint="cs"/>
          <w:rtl/>
        </w:rPr>
        <w:tab/>
        <w:t>اعتماد خطة العمل الوطنية في عام 2009 (للفترة 2008-2013) لمكافحة الاتجار بالأشخاص وبخاصة النساء والأطفال،</w:t>
      </w:r>
      <w:r w:rsidR="005F44C1">
        <w:rPr>
          <w:rFonts w:hint="cs"/>
          <w:rtl/>
        </w:rPr>
        <w:t xml:space="preserve"> وكذلك بإنشاء وحدة وطنية في </w:t>
      </w:r>
      <w:r>
        <w:rPr>
          <w:rFonts w:hint="cs"/>
          <w:rtl/>
        </w:rPr>
        <w:t>عام</w:t>
      </w:r>
      <w:r w:rsidR="005F44C1">
        <w:rPr>
          <w:rFonts w:hint="eastAsia"/>
          <w:rtl/>
        </w:rPr>
        <w:t> </w:t>
      </w:r>
      <w:r>
        <w:rPr>
          <w:rFonts w:hint="cs"/>
          <w:rtl/>
        </w:rPr>
        <w:t>2010 لمكافحة الاتجار بالأشخاص تضم المؤسسات الحكومية وغير الحكومية؛</w:t>
      </w:r>
    </w:p>
    <w:p w:rsidR="00672E96" w:rsidRPr="00632C17" w:rsidRDefault="00672E96" w:rsidP="009F2FC3">
      <w:pPr>
        <w:pStyle w:val="SingleTxtGA"/>
        <w:spacing w:line="370" w:lineRule="exact"/>
        <w:rPr>
          <w:rFonts w:hint="cs"/>
          <w:spacing w:val="-2"/>
          <w:szCs w:val="20"/>
          <w:rtl/>
        </w:rPr>
      </w:pPr>
      <w:r w:rsidRPr="00632C17">
        <w:rPr>
          <w:rFonts w:hint="cs"/>
          <w:spacing w:val="-2"/>
          <w:rtl/>
        </w:rPr>
        <w:tab/>
        <w:t>(ب)</w:t>
      </w:r>
      <w:r w:rsidRPr="00632C17">
        <w:rPr>
          <w:rFonts w:hint="cs"/>
          <w:spacing w:val="-2"/>
          <w:rtl/>
        </w:rPr>
        <w:tab/>
        <w:t>التشجيع على الأخذ بالعدالة المجتمعية بهدف توسيع ونشر شبكة في جميع أنحاء البلاد لمراكز المشورة القانونية التي تقدم خدمات الوساطة والمعلومات والمشورة القانونية؛</w:t>
      </w:r>
    </w:p>
    <w:p w:rsidR="00672E96" w:rsidRPr="00632C17" w:rsidRDefault="00672E96" w:rsidP="009F2FC3">
      <w:pPr>
        <w:pStyle w:val="SingleTxtGA"/>
        <w:spacing w:line="370" w:lineRule="exact"/>
        <w:rPr>
          <w:rFonts w:hint="cs"/>
          <w:szCs w:val="20"/>
          <w:rtl/>
        </w:rPr>
      </w:pPr>
      <w:r w:rsidRPr="00632C17">
        <w:rPr>
          <w:rFonts w:hint="cs"/>
          <w:spacing w:val="-6"/>
          <w:rtl/>
        </w:rPr>
        <w:tab/>
        <w:t>(ج)</w:t>
      </w:r>
      <w:r w:rsidRPr="00632C17">
        <w:rPr>
          <w:rFonts w:hint="cs"/>
          <w:spacing w:val="-6"/>
          <w:rtl/>
        </w:rPr>
        <w:tab/>
        <w:t>اعتماد خطة العمل الوطنية الثانية للتعجيل بإلغاء الختان (للفترة 2010-</w:t>
      </w:r>
      <w:r>
        <w:rPr>
          <w:rFonts w:hint="cs"/>
          <w:rtl/>
        </w:rPr>
        <w:t xml:space="preserve">2015) التي تمت الموافقة عليها والشروع في تنفيذها في </w:t>
      </w:r>
      <w:r w:rsidRPr="0019439E">
        <w:rPr>
          <w:rFonts w:hint="cs"/>
          <w:sz w:val="30"/>
          <w:rtl/>
        </w:rPr>
        <w:t xml:space="preserve">شباط/فبراير </w:t>
      </w:r>
      <w:r>
        <w:rPr>
          <w:rFonts w:hint="cs"/>
          <w:rtl/>
        </w:rPr>
        <w:t>2010؛</w:t>
      </w:r>
    </w:p>
    <w:p w:rsidR="00672E96" w:rsidRPr="00632C17" w:rsidRDefault="00672E96" w:rsidP="009F2FC3">
      <w:pPr>
        <w:pStyle w:val="SingleTxtGA"/>
        <w:spacing w:line="370" w:lineRule="exact"/>
        <w:rPr>
          <w:rFonts w:hint="cs"/>
          <w:szCs w:val="20"/>
          <w:rtl/>
        </w:rPr>
      </w:pPr>
      <w:r>
        <w:rPr>
          <w:rFonts w:hint="cs"/>
          <w:rtl/>
        </w:rPr>
        <w:tab/>
        <w:t>(د)</w:t>
      </w:r>
      <w:r>
        <w:rPr>
          <w:rFonts w:hint="cs"/>
          <w:rtl/>
        </w:rPr>
        <w:tab/>
        <w:t xml:space="preserve">إنشاء مؤسسات مثل المفوضية السامية لحقوق الإنسان وتعزيز السلم (في عام 2004)؛ ومكتب أمين المظالم، وفقاً للقانون رقم 91-14 الصادر في 11 </w:t>
      </w:r>
      <w:r w:rsidRPr="0019439E">
        <w:rPr>
          <w:rFonts w:hint="cs"/>
          <w:sz w:val="30"/>
          <w:rtl/>
        </w:rPr>
        <w:t>شباط/</w:t>
      </w:r>
      <w:r w:rsidR="005F44C1">
        <w:rPr>
          <w:rFonts w:hint="cs"/>
          <w:sz w:val="30"/>
          <w:rtl/>
        </w:rPr>
        <w:t xml:space="preserve"> </w:t>
      </w:r>
      <w:r w:rsidRPr="0019439E">
        <w:rPr>
          <w:rFonts w:hint="cs"/>
          <w:sz w:val="30"/>
          <w:rtl/>
        </w:rPr>
        <w:t>فبراير</w:t>
      </w:r>
      <w:r w:rsidR="005F44C1">
        <w:rPr>
          <w:rFonts w:hint="eastAsia"/>
          <w:sz w:val="30"/>
          <w:rtl/>
        </w:rPr>
        <w:t> </w:t>
      </w:r>
      <w:r>
        <w:rPr>
          <w:rFonts w:hint="cs"/>
          <w:rtl/>
        </w:rPr>
        <w:t xml:space="preserve">1991 والقانون رقم 99-04 الصادر في 29 </w:t>
      </w:r>
      <w:r w:rsidRPr="0019439E">
        <w:rPr>
          <w:rFonts w:hint="cs"/>
          <w:sz w:val="30"/>
          <w:rtl/>
        </w:rPr>
        <w:t xml:space="preserve">كانون الثاني/يناير </w:t>
      </w:r>
      <w:r>
        <w:rPr>
          <w:rFonts w:hint="cs"/>
          <w:rtl/>
        </w:rPr>
        <w:t xml:space="preserve">1999. </w:t>
      </w:r>
    </w:p>
    <w:p w:rsidR="00672E96" w:rsidRPr="005F44C1" w:rsidRDefault="009F2FC3" w:rsidP="009F2FC3">
      <w:pPr>
        <w:pStyle w:val="H23GA"/>
        <w:tabs>
          <w:tab w:val="left" w:pos="1912"/>
        </w:tabs>
        <w:spacing w:line="370" w:lineRule="exact"/>
        <w:rPr>
          <w:rFonts w:hint="cs"/>
          <w:szCs w:val="24"/>
          <w:rtl/>
        </w:rPr>
      </w:pPr>
      <w:r>
        <w:rPr>
          <w:rFonts w:hint="cs"/>
          <w:rtl/>
        </w:rPr>
        <w:tab/>
      </w:r>
      <w:r>
        <w:rPr>
          <w:rFonts w:hint="cs"/>
          <w:rtl/>
        </w:rPr>
        <w:tab/>
      </w:r>
      <w:r w:rsidR="00672E96" w:rsidRPr="005F44C1">
        <w:rPr>
          <w:rFonts w:hint="cs"/>
          <w:rtl/>
        </w:rPr>
        <w:t>جيم-</w:t>
      </w:r>
      <w:r w:rsidR="00672E96" w:rsidRPr="005F44C1">
        <w:rPr>
          <w:rFonts w:hint="cs"/>
          <w:rtl/>
        </w:rPr>
        <w:tab/>
        <w:t xml:space="preserve">دواعي القلق الرئيسية والتوصيات </w:t>
      </w:r>
    </w:p>
    <w:p w:rsidR="00672E96" w:rsidRPr="00632C17" w:rsidRDefault="00672E96" w:rsidP="009F2FC3">
      <w:pPr>
        <w:pStyle w:val="H23GA"/>
        <w:spacing w:line="370" w:lineRule="exact"/>
        <w:rPr>
          <w:rFonts w:hint="cs"/>
          <w:szCs w:val="20"/>
          <w:rtl/>
        </w:rPr>
      </w:pPr>
      <w:r>
        <w:rPr>
          <w:rFonts w:hint="cs"/>
          <w:rtl/>
          <w:lang w:val="fr-CH"/>
        </w:rPr>
        <w:tab/>
      </w:r>
      <w:r>
        <w:rPr>
          <w:rFonts w:hint="cs"/>
          <w:rtl/>
          <w:lang w:val="fr-CH"/>
        </w:rPr>
        <w:tab/>
        <w:t>تعريف التعذيب</w:t>
      </w:r>
    </w:p>
    <w:p w:rsidR="00672E96" w:rsidRPr="00632C17" w:rsidRDefault="005F44C1" w:rsidP="009F2FC3">
      <w:pPr>
        <w:pStyle w:val="SingleTxtGA"/>
        <w:spacing w:line="370" w:lineRule="exact"/>
        <w:rPr>
          <w:rFonts w:hint="cs"/>
          <w:szCs w:val="20"/>
          <w:rtl/>
        </w:rPr>
      </w:pPr>
      <w:r>
        <w:rPr>
          <w:rFonts w:hint="cs"/>
          <w:spacing w:val="-2"/>
          <w:rtl/>
          <w:lang w:val="fr-CH"/>
        </w:rPr>
        <w:t>(</w:t>
      </w:r>
      <w:r w:rsidR="00672E96" w:rsidRPr="00632C17">
        <w:rPr>
          <w:rFonts w:hint="cs"/>
          <w:spacing w:val="-2"/>
          <w:rtl/>
          <w:lang w:val="fr-CH"/>
        </w:rPr>
        <w:t>8</w:t>
      </w:r>
      <w:r>
        <w:rPr>
          <w:rFonts w:hint="cs"/>
          <w:spacing w:val="-2"/>
          <w:rtl/>
          <w:lang w:val="fr-CH"/>
        </w:rPr>
        <w:t>)</w:t>
      </w:r>
      <w:r w:rsidR="00672E96" w:rsidRPr="00632C17">
        <w:rPr>
          <w:rFonts w:hint="cs"/>
          <w:spacing w:val="-2"/>
          <w:rtl/>
          <w:lang w:val="fr-CH"/>
        </w:rPr>
        <w:tab/>
        <w:t>فيما تأخذ اللجنة علماً بتعديل القانون الجنائي (القانون رقم 96-15 الصادر في</w:t>
      </w:r>
      <w:r w:rsidR="00672E96">
        <w:rPr>
          <w:rFonts w:hint="cs"/>
          <w:rtl/>
          <w:lang w:val="fr-CH"/>
        </w:rPr>
        <w:t xml:space="preserve"> 28 </w:t>
      </w:r>
      <w:r w:rsidR="00672E96" w:rsidRPr="009C1D4C">
        <w:rPr>
          <w:rFonts w:hint="cs"/>
          <w:sz w:val="30"/>
          <w:rtl/>
          <w:lang w:val="fr-CH"/>
        </w:rPr>
        <w:t xml:space="preserve">آب/أغسطس </w:t>
      </w:r>
      <w:r w:rsidR="00672E96">
        <w:rPr>
          <w:rFonts w:hint="cs"/>
          <w:rtl/>
          <w:lang w:val="fr-CH"/>
        </w:rPr>
        <w:t>1996) الذي يعرف في المادة 295-1 التعذيب وفقاً للمادة الأولى من الاتفاقية، تأسف، رغم ذلك، لأن هذا التعريف لا يشمل بعض العناصر الرئيسية لهذه المادة ولا</w:t>
      </w:r>
      <w:r w:rsidR="00672E96">
        <w:rPr>
          <w:rFonts w:hint="eastAsia"/>
          <w:rtl/>
          <w:lang w:val="fr-CH"/>
        </w:rPr>
        <w:t> </w:t>
      </w:r>
      <w:r w:rsidR="00672E96">
        <w:rPr>
          <w:rFonts w:hint="cs"/>
          <w:rtl/>
          <w:lang w:val="fr-CH"/>
        </w:rPr>
        <w:t>سيما الإشارة إلى "شخص ثالث" إلى جانب الضحية (المادة 1).</w:t>
      </w:r>
    </w:p>
    <w:p w:rsidR="00672E96" w:rsidRPr="00632C17" w:rsidRDefault="00672E96" w:rsidP="009F2FC3">
      <w:pPr>
        <w:pStyle w:val="SingleTxtGA"/>
        <w:spacing w:line="370" w:lineRule="exact"/>
        <w:rPr>
          <w:rFonts w:hint="cs"/>
          <w:b/>
          <w:bCs/>
          <w:szCs w:val="20"/>
          <w:rtl/>
        </w:rPr>
      </w:pPr>
      <w:r w:rsidRPr="00632C17">
        <w:rPr>
          <w:rFonts w:hint="cs"/>
          <w:b/>
          <w:bCs/>
          <w:rtl/>
          <w:lang w:val="fr-CH"/>
        </w:rPr>
        <w:tab/>
        <w:t xml:space="preserve">ينبغي للدولة الطرف أن تنقح قانونها الجنائي ولا سيما المادة 295-1 المتعلقة بتعريف التعذيب لجعلها تتمشى بالكامل مع أحكام المادة 1 من الاتفاقية. وينبغي للدولة الطرف أن تدرج بصفة خاصة في هذا التعريف أي عمل يلحق بشخص ثالث للحصول منه على معلومات أو معاقبته أو تخويفه أو إرغامه. </w:t>
      </w:r>
    </w:p>
    <w:p w:rsidR="00672E96" w:rsidRPr="00632C17" w:rsidRDefault="00672E96" w:rsidP="005F44C1">
      <w:pPr>
        <w:pStyle w:val="H23GA"/>
        <w:spacing w:line="370" w:lineRule="exact"/>
        <w:rPr>
          <w:rFonts w:hint="cs"/>
          <w:szCs w:val="20"/>
          <w:rtl/>
        </w:rPr>
      </w:pPr>
      <w:r>
        <w:rPr>
          <w:rFonts w:hint="cs"/>
          <w:rtl/>
          <w:lang w:val="fr-CH"/>
        </w:rPr>
        <w:tab/>
      </w:r>
      <w:r>
        <w:rPr>
          <w:rFonts w:hint="cs"/>
          <w:rtl/>
          <w:lang w:val="fr-CH"/>
        </w:rPr>
        <w:tab/>
        <w:t>الحظر المطلق على التعذيب</w:t>
      </w:r>
    </w:p>
    <w:p w:rsidR="00672E96" w:rsidRPr="00632C17" w:rsidRDefault="005F44C1" w:rsidP="005F44C1">
      <w:pPr>
        <w:pStyle w:val="SingleTxtGA"/>
        <w:spacing w:line="370" w:lineRule="exact"/>
        <w:rPr>
          <w:rFonts w:hint="cs"/>
          <w:szCs w:val="20"/>
          <w:rtl/>
        </w:rPr>
      </w:pPr>
      <w:r>
        <w:rPr>
          <w:rFonts w:hint="cs"/>
          <w:rtl/>
          <w:lang w:val="fr-CH"/>
        </w:rPr>
        <w:t>(</w:t>
      </w:r>
      <w:r w:rsidR="00672E96">
        <w:rPr>
          <w:rFonts w:hint="cs"/>
          <w:rtl/>
          <w:lang w:val="fr-CH"/>
        </w:rPr>
        <w:t>9</w:t>
      </w:r>
      <w:r>
        <w:rPr>
          <w:rFonts w:hint="cs"/>
          <w:rtl/>
          <w:lang w:val="fr-CH"/>
        </w:rPr>
        <w:t>)</w:t>
      </w:r>
      <w:r w:rsidR="00672E96">
        <w:rPr>
          <w:rFonts w:hint="cs"/>
          <w:rtl/>
          <w:lang w:val="fr-CH"/>
        </w:rPr>
        <w:tab/>
        <w:t xml:space="preserve">يساور اللجنة القلق إزاء موقف الدولة الطرف الذي يبرر قوانين العفو فيما يتعلق بالحالة في كازامانس على أنها ضرورية للغاية لإعادة السلم. وتكرر اللجنة الإعراب عن قلقها، حيث ينبغي لقوانين الدولة الطرف ألا تشجع على الإفلات من العقاب على أفعال التعذيب أو تنتهك أحكام المادة 2 من الاتفاقية التي تنص على أنه لا يجوز التذرع </w:t>
      </w:r>
      <w:r w:rsidR="00672E96" w:rsidRPr="002A6FDB">
        <w:rPr>
          <w:rFonts w:hint="cs"/>
          <w:sz w:val="30"/>
          <w:rtl/>
          <w:lang w:val="fr-CH"/>
        </w:rPr>
        <w:t>ب‍</w:t>
      </w:r>
      <w:r w:rsidR="00672E96">
        <w:rPr>
          <w:rFonts w:hint="cs"/>
          <w:rtl/>
          <w:lang w:val="fr-CH"/>
        </w:rPr>
        <w:t xml:space="preserve"> "عدم الاستقرار السياسي الداخلي"</w:t>
      </w:r>
      <w:r w:rsidR="00672E96" w:rsidRPr="00B15474">
        <w:rPr>
          <w:rFonts w:hint="cs"/>
          <w:rtl/>
          <w:lang w:val="fr-CH"/>
        </w:rPr>
        <w:t xml:space="preserve"> </w:t>
      </w:r>
      <w:r w:rsidR="00672E96">
        <w:rPr>
          <w:rFonts w:hint="cs"/>
          <w:rtl/>
          <w:lang w:val="fr-CH"/>
        </w:rPr>
        <w:t>كتبرير للتعذيب (المادة 2).</w:t>
      </w:r>
    </w:p>
    <w:p w:rsidR="00672E96" w:rsidRPr="006009E1" w:rsidRDefault="00672E96" w:rsidP="005F44C1">
      <w:pPr>
        <w:pStyle w:val="SingleTxtGA"/>
        <w:spacing w:line="370" w:lineRule="exact"/>
        <w:rPr>
          <w:rFonts w:hint="cs"/>
          <w:b/>
          <w:bCs/>
          <w:szCs w:val="20"/>
          <w:rtl/>
        </w:rPr>
      </w:pPr>
      <w:r w:rsidRPr="006009E1">
        <w:rPr>
          <w:rFonts w:hint="cs"/>
          <w:b/>
          <w:bCs/>
          <w:rtl/>
          <w:lang w:val="fr-CH"/>
        </w:rPr>
        <w:tab/>
        <w:t>وترى اللجنة في ضوء تعليقيها العامين 2 (</w:t>
      </w:r>
      <w:r w:rsidRPr="006009E1">
        <w:rPr>
          <w:b/>
          <w:bCs/>
        </w:rPr>
        <w:t>CAT/C/GC/2</w:t>
      </w:r>
      <w:r w:rsidRPr="006009E1">
        <w:rPr>
          <w:rFonts w:hint="cs"/>
          <w:b/>
          <w:bCs/>
          <w:rtl/>
        </w:rPr>
        <w:t>) و3 (</w:t>
      </w:r>
      <w:r w:rsidRPr="006009E1">
        <w:rPr>
          <w:b/>
          <w:bCs/>
        </w:rPr>
        <w:t>CAT/C/GC/3</w:t>
      </w:r>
      <w:r w:rsidRPr="006009E1">
        <w:rPr>
          <w:rFonts w:hint="cs"/>
          <w:b/>
          <w:bCs/>
          <w:rtl/>
        </w:rPr>
        <w:t>)، أن أي عفو أو أي عائق قضائي آخر يحول دون الملاحقة القضائية السريعة لمرتكبي أفعال التعذيب أو سوء المعاملة وإنزال العقوبات الملائمة بهم هو إجراء ينتهك مبدأ عدم جواز الانتقاص من حظر التعذيب. وهو إجراء يشكل عقبة لا يمكن أن يتحملها الضحايا الذين يلتمسون الانتصاف ويسهم في جو من الإفلات من العقاب. وفي هذا الصدد، تحث اللجنة الدولة الطرف على إلغاء جميع حالات العفو عن أفعال التعذيب أو سوء المعاملة وتزويدها بمعلومات مفصلة عن التعويض المقدم لضحايا التعذيب في كازامانس.</w:t>
      </w:r>
    </w:p>
    <w:p w:rsidR="00672E96" w:rsidRPr="006009E1" w:rsidRDefault="00672E96" w:rsidP="005F44C1">
      <w:pPr>
        <w:pStyle w:val="H23GA"/>
        <w:spacing w:line="370" w:lineRule="exact"/>
        <w:rPr>
          <w:rFonts w:hint="cs"/>
          <w:szCs w:val="20"/>
          <w:rtl/>
        </w:rPr>
      </w:pPr>
      <w:r>
        <w:rPr>
          <w:rFonts w:hint="cs"/>
          <w:rtl/>
        </w:rPr>
        <w:tab/>
      </w:r>
      <w:r>
        <w:rPr>
          <w:rFonts w:hint="cs"/>
          <w:rtl/>
        </w:rPr>
        <w:tab/>
        <w:t>الضمانات القانونية الأساسية</w:t>
      </w:r>
    </w:p>
    <w:p w:rsidR="00672E96" w:rsidRPr="00E74374" w:rsidRDefault="005F44C1" w:rsidP="005F44C1">
      <w:pPr>
        <w:pStyle w:val="SingleTxtGA"/>
        <w:spacing w:line="370" w:lineRule="exact"/>
        <w:rPr>
          <w:rFonts w:hint="cs"/>
          <w:szCs w:val="20"/>
          <w:rtl/>
        </w:rPr>
      </w:pPr>
      <w:r>
        <w:rPr>
          <w:rFonts w:hint="cs"/>
          <w:rtl/>
        </w:rPr>
        <w:t>(</w:t>
      </w:r>
      <w:r w:rsidR="00672E96">
        <w:rPr>
          <w:rFonts w:hint="cs"/>
          <w:rtl/>
        </w:rPr>
        <w:t>10</w:t>
      </w:r>
      <w:r>
        <w:rPr>
          <w:rFonts w:hint="cs"/>
          <w:rtl/>
        </w:rPr>
        <w:t>)</w:t>
      </w:r>
      <w:r w:rsidR="00672E96">
        <w:rPr>
          <w:rFonts w:hint="cs"/>
          <w:rtl/>
        </w:rPr>
        <w:tab/>
        <w:t xml:space="preserve">يساور اللجنة القلق لأن المحتجزين لا يتمتعون بجميع الضمانات الأساسية منذ الوهلة الأولى لحرمانهم من الحرية بفعل الواقع، ولا سيما لأن التشريع لا ينص على مساعدة يقدمها محام إلا ابتداءً من الساعة 25 بعد الحرمان من الحرية ولأن الحق في الحصول على مشورة طبية مستقلة لا يُحترم بصورة منتظمة. ويساور اللجنة قلق بالغ إزاء الممارسة المسماة </w:t>
      </w:r>
      <w:r w:rsidR="00672E96" w:rsidRPr="007B5BB4">
        <w:rPr>
          <w:rFonts w:hint="cs"/>
          <w:sz w:val="30"/>
          <w:rtl/>
        </w:rPr>
        <w:t>ب‍</w:t>
      </w:r>
      <w:r w:rsidR="00672E96">
        <w:rPr>
          <w:rFonts w:hint="eastAsia"/>
          <w:rtl/>
        </w:rPr>
        <w:t> </w:t>
      </w:r>
      <w:r w:rsidR="00672E96">
        <w:rPr>
          <w:rFonts w:hint="cs"/>
          <w:rtl/>
        </w:rPr>
        <w:t>"الإعادة من النيابة" التي تمدد فترة الحبس الاحتياطي للأشخاص الذين تم بالفعل عرضهم على النيابة وتنتهك حق المحتجزين في المثول أمام قاضٍ</w:t>
      </w:r>
      <w:r w:rsidR="00672E96" w:rsidRPr="00B15474">
        <w:rPr>
          <w:rFonts w:hint="cs"/>
          <w:rtl/>
        </w:rPr>
        <w:t xml:space="preserve"> </w:t>
      </w:r>
      <w:r w:rsidR="00672E96">
        <w:rPr>
          <w:rFonts w:hint="cs"/>
          <w:rtl/>
        </w:rPr>
        <w:t>بسرعة. وتلاحظ اللجنة أيضاً عدم كفاية عدد المحامين في السنغال ولا سيما في المناطق النائية في البلاد (المواد 2 و11 و12).</w:t>
      </w:r>
    </w:p>
    <w:p w:rsidR="00672E96" w:rsidRPr="00E74374" w:rsidRDefault="00672E96" w:rsidP="00672E96">
      <w:pPr>
        <w:pStyle w:val="SingleTxtGA"/>
        <w:rPr>
          <w:rFonts w:hint="cs"/>
          <w:b/>
          <w:bCs/>
          <w:szCs w:val="20"/>
          <w:rtl/>
        </w:rPr>
      </w:pPr>
      <w:r w:rsidRPr="00E74374">
        <w:rPr>
          <w:rFonts w:hint="cs"/>
          <w:b/>
          <w:bCs/>
          <w:rtl/>
        </w:rPr>
        <w:tab/>
        <w:t>ينبغي للدولة الطرف أن تقوم بما يلي:</w:t>
      </w:r>
    </w:p>
    <w:p w:rsidR="00672E96" w:rsidRPr="00E74374" w:rsidRDefault="00672E96" w:rsidP="00672E96">
      <w:pPr>
        <w:pStyle w:val="SingleTxtGA"/>
        <w:rPr>
          <w:rFonts w:hint="cs"/>
          <w:b/>
          <w:bCs/>
          <w:szCs w:val="20"/>
          <w:rtl/>
        </w:rPr>
      </w:pPr>
      <w:r w:rsidRPr="00E74374">
        <w:rPr>
          <w:rFonts w:hint="cs"/>
          <w:b/>
          <w:bCs/>
          <w:rtl/>
        </w:rPr>
        <w:tab/>
        <w:t>(أ)</w:t>
      </w:r>
      <w:r w:rsidRPr="00E74374">
        <w:rPr>
          <w:rFonts w:hint="cs"/>
          <w:b/>
          <w:bCs/>
          <w:rtl/>
        </w:rPr>
        <w:tab/>
        <w:t xml:space="preserve">اتخاذ تدابير فعالة فوراً لكي يتم من الناحيتين القانونية والعملية تمتع جميع المحتجزين بجميع الضمانات القضائية بمجرد بدء حرمانهم من الحرية. ويتعلق الأمر بصفة خاصة بحقوق المحتجزين في إعلامهم بأسباب احتجازهم، بما في ذلك التهم الموجهة إليهم؛ وبتمكنهم من الوصول إلى محامٍ بسرعة، وإلى المساعدة القضائية في حالة الضرورة؛ وقيام طبيب مستقل </w:t>
      </w:r>
      <w:r>
        <w:rPr>
          <w:rFonts w:hint="cs"/>
          <w:b/>
          <w:bCs/>
          <w:rtl/>
        </w:rPr>
        <w:t xml:space="preserve">بفحصهم؛ وإعلام قريب من أقربائهم؛ </w:t>
      </w:r>
      <w:r w:rsidRPr="00E74374">
        <w:rPr>
          <w:rFonts w:hint="cs"/>
          <w:b/>
          <w:bCs/>
          <w:rtl/>
        </w:rPr>
        <w:t>والمثول بسرعة أمام قاضٍ؛</w:t>
      </w:r>
    </w:p>
    <w:p w:rsidR="00672E96" w:rsidRPr="00E74374" w:rsidRDefault="00672E96" w:rsidP="00672E96">
      <w:pPr>
        <w:pStyle w:val="SingleTxtGA"/>
        <w:rPr>
          <w:rFonts w:hint="cs"/>
          <w:b/>
          <w:bCs/>
          <w:szCs w:val="20"/>
          <w:rtl/>
        </w:rPr>
      </w:pPr>
      <w:r w:rsidRPr="00E74374">
        <w:rPr>
          <w:rFonts w:hint="cs"/>
          <w:b/>
          <w:bCs/>
          <w:rtl/>
        </w:rPr>
        <w:tab/>
        <w:t>(ب)</w:t>
      </w:r>
      <w:r w:rsidRPr="00E74374">
        <w:rPr>
          <w:rFonts w:hint="cs"/>
          <w:b/>
          <w:bCs/>
          <w:rtl/>
        </w:rPr>
        <w:tab/>
        <w:t xml:space="preserve">تزويد النظام القضائي بموارد مالية وبشرية إضافية للحد من الممارسة المسماة </w:t>
      </w:r>
      <w:r w:rsidRPr="00E74374">
        <w:rPr>
          <w:rFonts w:hint="cs"/>
          <w:b/>
          <w:bCs/>
          <w:sz w:val="30"/>
          <w:rtl/>
        </w:rPr>
        <w:t>ب‍</w:t>
      </w:r>
      <w:r w:rsidRPr="00E74374">
        <w:rPr>
          <w:rFonts w:hint="cs"/>
          <w:b/>
          <w:bCs/>
          <w:rtl/>
        </w:rPr>
        <w:t xml:space="preserve"> "</w:t>
      </w:r>
      <w:r>
        <w:rPr>
          <w:rFonts w:hint="cs"/>
          <w:b/>
          <w:bCs/>
          <w:rtl/>
        </w:rPr>
        <w:t>الإعادة من</w:t>
      </w:r>
      <w:r w:rsidRPr="00E74374">
        <w:rPr>
          <w:rFonts w:hint="cs"/>
          <w:b/>
          <w:bCs/>
          <w:rtl/>
        </w:rPr>
        <w:t xml:space="preserve"> النيابة" والحد من التأخير في إرسال الدعاوى إلى المحاكم؛</w:t>
      </w:r>
    </w:p>
    <w:p w:rsidR="00672E96" w:rsidRPr="000F32FE" w:rsidRDefault="00672E96" w:rsidP="00672E96">
      <w:pPr>
        <w:pStyle w:val="SingleTxtGA"/>
        <w:rPr>
          <w:rFonts w:hint="cs"/>
          <w:b/>
          <w:bCs/>
          <w:szCs w:val="20"/>
          <w:rtl/>
        </w:rPr>
      </w:pPr>
      <w:r w:rsidRPr="000F32FE">
        <w:rPr>
          <w:rFonts w:hint="cs"/>
          <w:b/>
          <w:bCs/>
          <w:rtl/>
        </w:rPr>
        <w:tab/>
        <w:t>(ج)</w:t>
      </w:r>
      <w:r w:rsidRPr="000F32FE">
        <w:rPr>
          <w:rFonts w:hint="cs"/>
          <w:b/>
          <w:bCs/>
          <w:rtl/>
        </w:rPr>
        <w:tab/>
        <w:t xml:space="preserve">اتخاذ التدابير اللازمة لزيادة الموارد المخصصة لنقابة المحامين بغية ضمان حصول الأشخاص الأكثر حرماناً على المساعدة القضائية. وتأخذ اللجنة علماً ببيان الوفد بإجراء مناقشة عن موضوع السماح لمحامٍ بالتدخل بمجرد بدء الحرمان من الحرية، وتطلب إلى الدولة الطرف إدراج معلومات عن التدابير الفورية التي تتخذها لهذا الغرض. </w:t>
      </w:r>
    </w:p>
    <w:p w:rsidR="00672E96" w:rsidRPr="000F32FE" w:rsidRDefault="00672E96" w:rsidP="00672E96">
      <w:pPr>
        <w:pStyle w:val="H23GA"/>
        <w:rPr>
          <w:rFonts w:hint="cs"/>
          <w:szCs w:val="20"/>
          <w:rtl/>
        </w:rPr>
      </w:pPr>
      <w:r>
        <w:rPr>
          <w:rFonts w:hint="cs"/>
          <w:rtl/>
        </w:rPr>
        <w:tab/>
      </w:r>
      <w:r>
        <w:rPr>
          <w:rFonts w:hint="cs"/>
          <w:rtl/>
        </w:rPr>
        <w:tab/>
        <w:t>التحقيقات والإفلات من العقاب</w:t>
      </w:r>
    </w:p>
    <w:p w:rsidR="00672E96" w:rsidRPr="00BA40AC" w:rsidRDefault="009948BE" w:rsidP="009948BE">
      <w:pPr>
        <w:pStyle w:val="SingleTxtGA"/>
        <w:rPr>
          <w:rFonts w:hint="cs"/>
          <w:szCs w:val="20"/>
          <w:rtl/>
        </w:rPr>
      </w:pPr>
      <w:r>
        <w:rPr>
          <w:rFonts w:hint="cs"/>
          <w:rtl/>
        </w:rPr>
        <w:t>(</w:t>
      </w:r>
      <w:r w:rsidR="00672E96">
        <w:rPr>
          <w:rFonts w:hint="cs"/>
          <w:rtl/>
        </w:rPr>
        <w:t>11</w:t>
      </w:r>
      <w:r>
        <w:rPr>
          <w:rFonts w:hint="cs"/>
          <w:rtl/>
        </w:rPr>
        <w:t>)</w:t>
      </w:r>
      <w:r w:rsidR="00672E96">
        <w:rPr>
          <w:rFonts w:hint="cs"/>
          <w:rtl/>
        </w:rPr>
        <w:tab/>
        <w:t>يساور اللجنة القلق إزاء الادعاءات بأنه لم يتم التحقيق في أفعال التعذيب وسوء المعاملة من جانب الموظفين المكلفين بإنفاذ القانون ولا مقاضاتهم عن ذلك. ولا تزال اللجنة تشعر بالقلق أيضاً لأن التحقيقات التي بدأت في حالات ما لم تتم بصورة فورية، ولأن الإجراءات القضائية لا تزال تستغرق مدة طويلة للغاية ولا تزال معلقة، بما في ذلك في الحالات التي أدت فيها أفعال التعذيب إلى الوفاة، على غرار حالة السيد دومنيك لوبي والسيد عليون بادارا ديوب والسيد عبدولاي واد إينغو والسيد مامادو باكهوم والسيد فالي كيتا. وفيما تلاحظ اللجنة أن ضحايا سوء المعاملة أو التعذيب يمكن لهم أن يرفعوا قضية مباشرة أمام دائرة الادعاء بمحكمة الاستئناف، فإن القلق يساورها لعدم وجود هيئة مستقلة للتحقيق في ادعاءات التعذيب أو سوء المعاملة من جانب المكلفين بإنفاذ القانون. وفضلاً عن ذلك، لا</w:t>
      </w:r>
      <w:r w:rsidR="00672E96">
        <w:rPr>
          <w:rFonts w:hint="eastAsia"/>
          <w:rtl/>
        </w:rPr>
        <w:t> </w:t>
      </w:r>
      <w:r w:rsidR="00672E96">
        <w:rPr>
          <w:rFonts w:hint="cs"/>
          <w:rtl/>
        </w:rPr>
        <w:t xml:space="preserve">تزال اللجنة تشعر بالقلق إزاء الادعاءات بالقتل في </w:t>
      </w:r>
      <w:r w:rsidR="00672E96">
        <w:rPr>
          <w:rFonts w:hint="cs"/>
          <w:rtl/>
          <w:lang w:val="fr-CH"/>
        </w:rPr>
        <w:t>كازامانس التي لم يتم حتى الآن إدانة مرتكبيها. (المواد 2 و11 و12 و13 و16).</w:t>
      </w:r>
    </w:p>
    <w:p w:rsidR="00672E96" w:rsidRPr="00456646" w:rsidRDefault="00672E96" w:rsidP="00672E96">
      <w:pPr>
        <w:pStyle w:val="SingleTxtGA"/>
        <w:rPr>
          <w:rFonts w:hint="cs"/>
          <w:b/>
          <w:bCs/>
          <w:szCs w:val="20"/>
          <w:rtl/>
        </w:rPr>
      </w:pPr>
      <w:r w:rsidRPr="00456646">
        <w:rPr>
          <w:rFonts w:hint="cs"/>
          <w:b/>
          <w:bCs/>
          <w:rtl/>
          <w:lang w:val="fr-CH"/>
        </w:rPr>
        <w:tab/>
        <w:t>ينبغي للدولة الطرف:</w:t>
      </w:r>
    </w:p>
    <w:p w:rsidR="00672E96" w:rsidRPr="00456646" w:rsidRDefault="00672E96" w:rsidP="00672E96">
      <w:pPr>
        <w:pStyle w:val="SingleTxtGA"/>
        <w:rPr>
          <w:rFonts w:hint="cs"/>
          <w:b/>
          <w:bCs/>
          <w:szCs w:val="20"/>
          <w:rtl/>
        </w:rPr>
      </w:pPr>
      <w:r w:rsidRPr="00456646">
        <w:rPr>
          <w:rFonts w:hint="cs"/>
          <w:b/>
          <w:bCs/>
          <w:rtl/>
          <w:lang w:val="fr-CH"/>
        </w:rPr>
        <w:tab/>
        <w:t>(أ)</w:t>
      </w:r>
      <w:r w:rsidRPr="00456646">
        <w:rPr>
          <w:rFonts w:hint="cs"/>
          <w:b/>
          <w:bCs/>
          <w:rtl/>
          <w:lang w:val="fr-CH"/>
        </w:rPr>
        <w:tab/>
        <w:t>أن تتخذ تدابير عملية للتعجيل بالتحقيق والملاحقة القضائية فيما يتعلق بادعاءات أفعال التعذيب وسوء المعاملة التي تؤدي، في حال دعمها بأدلة، إلى فرض عقوبات وجزاءات تراعي طبيعتها الخطرة دون الاقتصار على تصنيفها بأنها مخالفات أخرى أقل خطورة؛</w:t>
      </w:r>
    </w:p>
    <w:p w:rsidR="00672E96" w:rsidRPr="00456646" w:rsidRDefault="00672E96" w:rsidP="00672E96">
      <w:pPr>
        <w:pStyle w:val="SingleTxtGA"/>
        <w:rPr>
          <w:rFonts w:hint="cs"/>
          <w:b/>
          <w:bCs/>
          <w:szCs w:val="20"/>
          <w:rtl/>
        </w:rPr>
      </w:pPr>
      <w:r w:rsidRPr="00456646">
        <w:rPr>
          <w:rFonts w:hint="cs"/>
          <w:b/>
          <w:bCs/>
          <w:rtl/>
          <w:lang w:val="fr-CH"/>
        </w:rPr>
        <w:tab/>
        <w:t>(ب)</w:t>
      </w:r>
      <w:r w:rsidRPr="00456646">
        <w:rPr>
          <w:rFonts w:hint="cs"/>
          <w:b/>
          <w:bCs/>
          <w:rtl/>
          <w:lang w:val="fr-CH"/>
        </w:rPr>
        <w:tab/>
        <w:t>أن تنشئ، بهدف ضمان فتح تحقيقات معمقة وفورية ونزيهة، هيئة مستقلة ومحايدة للتحقيق في ادعاءات أفعال التعذيب وسوء المعاملة من جانب أفراد قوات الأمن؛</w:t>
      </w:r>
    </w:p>
    <w:p w:rsidR="00672E96" w:rsidRPr="00F1248C" w:rsidRDefault="00672E96" w:rsidP="00672E96">
      <w:pPr>
        <w:pStyle w:val="SingleTxtGA"/>
        <w:rPr>
          <w:rFonts w:hint="cs"/>
          <w:b/>
          <w:bCs/>
          <w:szCs w:val="20"/>
          <w:rtl/>
        </w:rPr>
      </w:pPr>
      <w:r w:rsidRPr="00F1248C">
        <w:rPr>
          <w:rFonts w:hint="cs"/>
          <w:b/>
          <w:bCs/>
          <w:rtl/>
          <w:lang w:val="fr-CH"/>
        </w:rPr>
        <w:tab/>
        <w:t>(ج)</w:t>
      </w:r>
      <w:r w:rsidRPr="00F1248C">
        <w:rPr>
          <w:rFonts w:hint="cs"/>
          <w:b/>
          <w:bCs/>
          <w:rtl/>
          <w:lang w:val="fr-CH"/>
        </w:rPr>
        <w:tab/>
        <w:t>أن تقدم، إلى جانب المعلومات المقدمة بشأن الحالات الفردية المذكورة أعلاه، المعلومات التي تطلبها اللجنة بشأن عدد الشكاوى المقدمة ضد الموظفين العموميين الذين تدعى مسؤوليتهم عن أعمال التعذيب أو سوء المعاملة، وكذلك معلومات عن نتائج التحقيقات التي جرت بشأنها، وعن أية إجراءات جنائية أو تأديبية ‘اتخذت‘ إذا اقتضى الأمر؛</w:t>
      </w:r>
    </w:p>
    <w:p w:rsidR="00672E96" w:rsidRPr="00F1248C" w:rsidRDefault="00672E96" w:rsidP="00672E96">
      <w:pPr>
        <w:pStyle w:val="SingleTxtGA"/>
        <w:rPr>
          <w:rFonts w:hint="cs"/>
          <w:b/>
          <w:bCs/>
          <w:szCs w:val="20"/>
          <w:rtl/>
        </w:rPr>
      </w:pPr>
      <w:r w:rsidRPr="00F1248C">
        <w:rPr>
          <w:rFonts w:hint="cs"/>
          <w:b/>
          <w:bCs/>
          <w:rtl/>
          <w:lang w:val="fr-CH"/>
        </w:rPr>
        <w:tab/>
        <w:t>(د)</w:t>
      </w:r>
      <w:r w:rsidRPr="00F1248C">
        <w:rPr>
          <w:rFonts w:hint="cs"/>
          <w:b/>
          <w:bCs/>
          <w:rtl/>
          <w:lang w:val="fr-CH"/>
        </w:rPr>
        <w:tab/>
        <w:t xml:space="preserve">أن تزود اللجنة بمعلومات محدثة عن الحالة في كازامانس فيما يتعلق بتنفيذ الاتفاقية، بما في ذلك نتائج التحقيقات في أفعال التعذيب والقتل. </w:t>
      </w:r>
    </w:p>
    <w:p w:rsidR="00672E96" w:rsidRDefault="00672E96" w:rsidP="00672E96">
      <w:pPr>
        <w:pStyle w:val="H23GA"/>
        <w:rPr>
          <w:rFonts w:hint="cs"/>
          <w:rtl/>
          <w:lang w:val="fr-CH"/>
        </w:rPr>
      </w:pPr>
      <w:r>
        <w:rPr>
          <w:rFonts w:hint="cs"/>
          <w:rtl/>
          <w:lang w:val="fr-CH"/>
        </w:rPr>
        <w:tab/>
      </w:r>
      <w:r>
        <w:rPr>
          <w:rFonts w:hint="cs"/>
          <w:rtl/>
          <w:lang w:val="fr-CH"/>
        </w:rPr>
        <w:tab/>
        <w:t>حالة السيد حسين حبري رئيس تشاد سابقاً</w:t>
      </w:r>
    </w:p>
    <w:p w:rsidR="00672E96" w:rsidRPr="00990115" w:rsidRDefault="009948BE" w:rsidP="009948BE">
      <w:pPr>
        <w:pStyle w:val="SingleTxtGA"/>
        <w:rPr>
          <w:rFonts w:hint="cs"/>
          <w:szCs w:val="20"/>
          <w:rtl/>
        </w:rPr>
      </w:pPr>
      <w:r>
        <w:rPr>
          <w:rFonts w:hint="cs"/>
          <w:rtl/>
          <w:lang w:val="fr-CH"/>
        </w:rPr>
        <w:t>(</w:t>
      </w:r>
      <w:r w:rsidR="00672E96" w:rsidRPr="00BB3597">
        <w:rPr>
          <w:rFonts w:hint="cs"/>
          <w:rtl/>
          <w:lang w:val="fr-CH"/>
        </w:rPr>
        <w:t>12</w:t>
      </w:r>
      <w:r>
        <w:rPr>
          <w:rFonts w:hint="cs"/>
          <w:rtl/>
          <w:lang w:val="fr-CH"/>
        </w:rPr>
        <w:t>)</w:t>
      </w:r>
      <w:r w:rsidR="00672E96" w:rsidRPr="00BB3597">
        <w:rPr>
          <w:rFonts w:hint="cs"/>
          <w:rtl/>
          <w:lang w:val="fr-CH"/>
        </w:rPr>
        <w:tab/>
      </w:r>
      <w:r w:rsidR="00672E96">
        <w:rPr>
          <w:rFonts w:hint="cs"/>
          <w:rtl/>
          <w:lang w:val="fr-CH"/>
        </w:rPr>
        <w:t xml:space="preserve">تأخذ اللجنة علماً بالمعلومات التي قدمها الوفد فيما يتعلق برغبة الدولة الطرف في مقاضاة السيد حسين حبري في السنغال، وكذلك بالتدابير المتخذة على الصعيدين الإقليمي والوطني لكي تتم هذه المحاكمة. وفيما تأخذ اللجنة علماً بتعاون الدولة الطرف معها خلال البعثة الرسمية في عام 2009 في إطار المادة 22 من الاتفاقية، تأسف لأن الدولة الطرف تأخرت في محاكمة السيد حبري وفقاً لقرار اللجنة الصادر في 17 </w:t>
      </w:r>
      <w:r w:rsidR="00672E96" w:rsidRPr="00BB3597">
        <w:rPr>
          <w:rFonts w:hint="cs"/>
          <w:sz w:val="30"/>
          <w:rtl/>
          <w:lang w:val="fr-CH"/>
        </w:rPr>
        <w:t xml:space="preserve">أيار/مايو </w:t>
      </w:r>
      <w:r w:rsidR="00672E96">
        <w:rPr>
          <w:rFonts w:hint="cs"/>
          <w:rtl/>
          <w:lang w:val="fr-CH"/>
        </w:rPr>
        <w:t xml:space="preserve">2006 والذي أيدته كذلك محكمة العدل الدولية في قرارها الصادر في 20 </w:t>
      </w:r>
      <w:r w:rsidR="00672E96" w:rsidRPr="00BB3597">
        <w:rPr>
          <w:rFonts w:hint="cs"/>
          <w:sz w:val="30"/>
          <w:rtl/>
          <w:lang w:val="fr-CH"/>
        </w:rPr>
        <w:t xml:space="preserve">تموز/يوليه </w:t>
      </w:r>
      <w:r w:rsidR="00672E96">
        <w:rPr>
          <w:rFonts w:hint="cs"/>
          <w:rtl/>
          <w:lang w:val="fr-CH"/>
        </w:rPr>
        <w:t xml:space="preserve">2012 </w:t>
      </w:r>
      <w:r w:rsidR="00672E96" w:rsidRPr="00086AA1">
        <w:rPr>
          <w:rFonts w:hint="cs"/>
          <w:i/>
          <w:iCs/>
          <w:rtl/>
          <w:lang w:val="fr-CH"/>
        </w:rPr>
        <w:t>(</w:t>
      </w:r>
      <w:r w:rsidR="00672E96">
        <w:rPr>
          <w:rFonts w:hint="cs"/>
          <w:i/>
          <w:iCs/>
          <w:rtl/>
          <w:lang w:val="fr-CH"/>
        </w:rPr>
        <w:t>بلجيكا ضد السنغال</w:t>
      </w:r>
      <w:r w:rsidR="00672E96" w:rsidRPr="00086AA1">
        <w:rPr>
          <w:rFonts w:hint="cs"/>
          <w:i/>
          <w:iCs/>
          <w:rtl/>
          <w:lang w:val="fr-CH"/>
        </w:rPr>
        <w:t>)</w:t>
      </w:r>
      <w:r w:rsidR="00672E96">
        <w:rPr>
          <w:rFonts w:hint="cs"/>
          <w:rtl/>
          <w:lang w:val="fr-CH"/>
        </w:rPr>
        <w:t xml:space="preserve"> (المادتان 5 و7).</w:t>
      </w:r>
    </w:p>
    <w:p w:rsidR="00672E96" w:rsidRPr="00990115" w:rsidRDefault="00672E96" w:rsidP="00672E96">
      <w:pPr>
        <w:pStyle w:val="SingleTxtGA"/>
        <w:rPr>
          <w:rFonts w:hint="cs"/>
          <w:b/>
          <w:bCs/>
          <w:rtl/>
          <w:lang w:val="fr-CH"/>
        </w:rPr>
      </w:pPr>
      <w:r>
        <w:rPr>
          <w:rFonts w:hint="cs"/>
          <w:b/>
          <w:bCs/>
          <w:rtl/>
          <w:lang w:val="fr-CH"/>
        </w:rPr>
        <w:tab/>
      </w:r>
      <w:r w:rsidRPr="00990115">
        <w:rPr>
          <w:rFonts w:hint="cs"/>
          <w:b/>
          <w:bCs/>
          <w:rtl/>
          <w:lang w:val="fr-CH"/>
        </w:rPr>
        <w:t>تحيط اللجنة علماً بإعلان وفد الدولة الطرف بأن من المقرر البدء بمحاكمة السيد حسين حبري في كانون الأول/ديسمبر 2012. وتحث اللجنة الدولة الطرف على بذل جميع الجهود للشروع في هذه المحاكمة في الموعد المحدد بغية وضع حد للإفلات من العقاب لأي شخص يقيم على أراضيها يكون مسؤولاً عن أفعال التعذيب وغيرها من الجرائم الدولية، وفقاً لالتزاماتها بموجب الاتفاقية.</w:t>
      </w:r>
    </w:p>
    <w:p w:rsidR="00672E96" w:rsidRDefault="00672E96" w:rsidP="00672E96">
      <w:pPr>
        <w:pStyle w:val="H23GA"/>
        <w:rPr>
          <w:rFonts w:hint="cs"/>
          <w:rtl/>
          <w:lang w:val="fr-CH"/>
        </w:rPr>
      </w:pPr>
      <w:r>
        <w:rPr>
          <w:rFonts w:hint="cs"/>
          <w:rtl/>
          <w:lang w:val="fr-CH"/>
        </w:rPr>
        <w:tab/>
      </w:r>
      <w:r>
        <w:rPr>
          <w:rFonts w:hint="cs"/>
          <w:rtl/>
          <w:lang w:val="fr-CH"/>
        </w:rPr>
        <w:tab/>
        <w:t>انتزاع الاعترافات</w:t>
      </w:r>
    </w:p>
    <w:p w:rsidR="00672E96" w:rsidRDefault="009948BE" w:rsidP="009948BE">
      <w:pPr>
        <w:pStyle w:val="SingleTxtGA"/>
        <w:rPr>
          <w:rFonts w:hint="cs"/>
          <w:rtl/>
          <w:lang w:val="fr-CH"/>
        </w:rPr>
      </w:pPr>
      <w:r>
        <w:rPr>
          <w:rFonts w:hint="cs"/>
          <w:rtl/>
          <w:lang w:val="fr-CH"/>
        </w:rPr>
        <w:t>(</w:t>
      </w:r>
      <w:r w:rsidR="00672E96">
        <w:rPr>
          <w:rFonts w:hint="cs"/>
          <w:rtl/>
          <w:lang w:val="fr-CH"/>
        </w:rPr>
        <w:t>13</w:t>
      </w:r>
      <w:r>
        <w:rPr>
          <w:rFonts w:hint="cs"/>
          <w:rtl/>
          <w:lang w:val="fr-CH"/>
        </w:rPr>
        <w:t>)</w:t>
      </w:r>
      <w:r w:rsidR="00672E96">
        <w:rPr>
          <w:rFonts w:hint="cs"/>
          <w:rtl/>
          <w:lang w:val="fr-CH"/>
        </w:rPr>
        <w:tab/>
        <w:t>تأخذ اللجنة علماً بإعلان الدولة الطرف بأنه لا يجوز للقضاة الذين يتمتعون بالسلطة العليا في تقدير الأدلة إعطاء أي قيمة، أثناء المحاكمة، للاعترافات التي يتم انتزاعها من خلال التعذيب أو الإجبار. ومع ذلك، تأسف اللجنة لأن قانون ا</w:t>
      </w:r>
      <w:r>
        <w:rPr>
          <w:rFonts w:hint="cs"/>
          <w:rtl/>
          <w:lang w:val="fr-CH"/>
        </w:rPr>
        <w:t xml:space="preserve">لإجراءات الجنائية في السنغال </w:t>
      </w:r>
      <w:r w:rsidR="00672E96">
        <w:rPr>
          <w:rFonts w:hint="cs"/>
          <w:rtl/>
          <w:lang w:val="fr-CH"/>
        </w:rPr>
        <w:t>لا</w:t>
      </w:r>
      <w:r>
        <w:rPr>
          <w:rFonts w:hint="eastAsia"/>
          <w:rtl/>
          <w:lang w:val="fr-CH"/>
        </w:rPr>
        <w:t> </w:t>
      </w:r>
      <w:r w:rsidR="00672E96" w:rsidRPr="00F70E3A">
        <w:rPr>
          <w:rFonts w:hint="cs"/>
          <w:spacing w:val="-2"/>
          <w:rtl/>
          <w:lang w:val="fr-CH"/>
        </w:rPr>
        <w:t>ينص صراحة على مثل هذا الحكم ولأن الدولة الطرف لم تقدم معلومات بشأن حالات أعلنت فيها المحاكم بالفعل عدم قبول اعترافات انتُزعت من خلال التعذيب (المادتان 2</w:t>
      </w:r>
      <w:r w:rsidR="00672E96">
        <w:rPr>
          <w:rFonts w:hint="cs"/>
          <w:rtl/>
          <w:lang w:val="fr-CH"/>
        </w:rPr>
        <w:t xml:space="preserve"> و15).</w:t>
      </w:r>
    </w:p>
    <w:p w:rsidR="00672E96" w:rsidRPr="00DA3938" w:rsidRDefault="00672E96" w:rsidP="009948BE">
      <w:pPr>
        <w:pStyle w:val="SingleTxtGA"/>
        <w:rPr>
          <w:rFonts w:hint="cs"/>
          <w:b/>
          <w:bCs/>
          <w:rtl/>
          <w:lang w:val="fr-CH"/>
        </w:rPr>
      </w:pPr>
      <w:r w:rsidRPr="00DA3938">
        <w:rPr>
          <w:rFonts w:hint="cs"/>
          <w:b/>
          <w:bCs/>
          <w:rtl/>
          <w:lang w:val="fr-CH"/>
        </w:rPr>
        <w:tab/>
        <w:t>ينبغي للدولة الطرف أن تسهر على عدم الاستشهاد بمثل هذه الاعترافات كدليل في الإجراءات القضائية في كل مرة يؤكد فيها الشخص على أنه قدم اعترافات تحت وطأة التعذيب، وينبغي إجراء تحقيق شامل في هذا الموضوع. وتشجع اللجنة الدولة الطرف على تعديل قانونها لكي ينص صراحة على حظر قبول أي أقوال تتم تحت وطأة الإجبار أو</w:t>
      </w:r>
      <w:r w:rsidR="009948BE">
        <w:rPr>
          <w:rFonts w:hint="eastAsia"/>
          <w:b/>
          <w:bCs/>
          <w:rtl/>
          <w:lang w:val="fr-CH"/>
        </w:rPr>
        <w:t> </w:t>
      </w:r>
      <w:r w:rsidRPr="00DA3938">
        <w:rPr>
          <w:rFonts w:hint="cs"/>
          <w:b/>
          <w:bCs/>
          <w:rtl/>
          <w:lang w:val="fr-CH"/>
        </w:rPr>
        <w:t>نتيجة للتعذيب كدليل.</w:t>
      </w:r>
    </w:p>
    <w:p w:rsidR="00672E96" w:rsidRDefault="00672E96" w:rsidP="00DB5483">
      <w:pPr>
        <w:pStyle w:val="H23GA"/>
        <w:spacing w:line="370" w:lineRule="exact"/>
        <w:rPr>
          <w:rFonts w:hint="cs"/>
          <w:rtl/>
          <w:lang w:val="fr-CH"/>
        </w:rPr>
      </w:pPr>
      <w:r>
        <w:rPr>
          <w:rFonts w:hint="cs"/>
          <w:rtl/>
          <w:lang w:val="fr-CH"/>
        </w:rPr>
        <w:tab/>
      </w:r>
      <w:r>
        <w:rPr>
          <w:rFonts w:hint="cs"/>
          <w:rtl/>
          <w:lang w:val="fr-CH"/>
        </w:rPr>
        <w:tab/>
        <w:t>العنف ضد المرأة</w:t>
      </w:r>
    </w:p>
    <w:p w:rsidR="00672E96" w:rsidRDefault="009948BE" w:rsidP="00DB5483">
      <w:pPr>
        <w:pStyle w:val="SingleTxtGA"/>
        <w:spacing w:line="370" w:lineRule="exact"/>
        <w:rPr>
          <w:rFonts w:hint="cs"/>
          <w:rtl/>
          <w:lang w:val="fr-CH"/>
        </w:rPr>
      </w:pPr>
      <w:r>
        <w:rPr>
          <w:rFonts w:hint="cs"/>
          <w:rtl/>
          <w:lang w:val="fr-CH"/>
        </w:rPr>
        <w:t>(</w:t>
      </w:r>
      <w:r w:rsidR="00672E96">
        <w:rPr>
          <w:rFonts w:hint="cs"/>
          <w:rtl/>
          <w:lang w:val="fr-CH"/>
        </w:rPr>
        <w:t>14</w:t>
      </w:r>
      <w:r>
        <w:rPr>
          <w:rFonts w:hint="cs"/>
          <w:rtl/>
          <w:lang w:val="fr-CH"/>
        </w:rPr>
        <w:t>)</w:t>
      </w:r>
      <w:r w:rsidR="00672E96">
        <w:rPr>
          <w:rFonts w:hint="cs"/>
          <w:rtl/>
          <w:lang w:val="fr-CH"/>
        </w:rPr>
        <w:tab/>
        <w:t>فيما تأخذ اللجنة علماً بالتدابير التي اتخذتها الدولة الطرف في إطار مكافحة جميع أشكال العنف ضد المرأة، فإنها لا تزال تشعر بقلق بالغ لاستمرار العنف المنزلي وتشويه الأعضاء التناسلية للأنثى والاعتداءات الجنسية والاغتصاب والزيجات القسرية في الدولة الطرف. وتأسف اللجنة لأن الدولة الطرف لم تقدم معلومات عن سبل الانتصاف والتعويض بما في ذلك إعادة التأهيل، المقدمة إلى النساء ضحايا العنف (المواد 2 و12 و13 و16).</w:t>
      </w:r>
    </w:p>
    <w:p w:rsidR="00672E96" w:rsidRPr="0052377A" w:rsidRDefault="00672E96" w:rsidP="00086AA1">
      <w:pPr>
        <w:pStyle w:val="SingleTxtGA"/>
        <w:spacing w:line="362" w:lineRule="exact"/>
        <w:rPr>
          <w:rFonts w:hint="cs"/>
          <w:b/>
          <w:bCs/>
          <w:rtl/>
          <w:lang w:val="fr-CH"/>
        </w:rPr>
      </w:pPr>
      <w:r w:rsidRPr="0052377A">
        <w:rPr>
          <w:rFonts w:hint="cs"/>
          <w:b/>
          <w:bCs/>
          <w:rtl/>
          <w:lang w:val="fr-CH"/>
        </w:rPr>
        <w:tab/>
        <w:t>ينبغي للدولة الطرف أن تقوم بما يلي:</w:t>
      </w:r>
    </w:p>
    <w:p w:rsidR="00672E96" w:rsidRPr="00AC6D34" w:rsidRDefault="00672E96" w:rsidP="00086AA1">
      <w:pPr>
        <w:pStyle w:val="SingleTxtGA"/>
        <w:spacing w:line="362" w:lineRule="exact"/>
        <w:rPr>
          <w:rFonts w:hint="cs"/>
          <w:b/>
          <w:bCs/>
          <w:rtl/>
          <w:lang w:val="fr-CH"/>
        </w:rPr>
      </w:pPr>
      <w:r w:rsidRPr="00AC6D34">
        <w:rPr>
          <w:rFonts w:hint="cs"/>
          <w:b/>
          <w:bCs/>
          <w:rtl/>
          <w:lang w:val="fr-CH"/>
        </w:rPr>
        <w:tab/>
        <w:t>(أ)</w:t>
      </w:r>
      <w:r w:rsidRPr="00AC6D34">
        <w:rPr>
          <w:rFonts w:hint="cs"/>
          <w:b/>
          <w:bCs/>
          <w:rtl/>
          <w:lang w:val="fr-CH"/>
        </w:rPr>
        <w:tab/>
        <w:t>مواصلة نشر القانون رقم 99-05 الصادر في 29 كانون الثاني/</w:t>
      </w:r>
      <w:r w:rsidR="009948BE">
        <w:rPr>
          <w:rFonts w:hint="cs"/>
          <w:b/>
          <w:bCs/>
          <w:rtl/>
          <w:lang w:val="fr-CH"/>
        </w:rPr>
        <w:t xml:space="preserve"> </w:t>
      </w:r>
      <w:r w:rsidRPr="00AC6D34">
        <w:rPr>
          <w:rFonts w:hint="cs"/>
          <w:b/>
          <w:bCs/>
          <w:rtl/>
          <w:lang w:val="fr-CH"/>
        </w:rPr>
        <w:t>يناير</w:t>
      </w:r>
      <w:r w:rsidR="009948BE">
        <w:rPr>
          <w:rFonts w:hint="eastAsia"/>
          <w:b/>
          <w:bCs/>
          <w:rtl/>
          <w:lang w:val="fr-CH"/>
        </w:rPr>
        <w:t> </w:t>
      </w:r>
      <w:r w:rsidRPr="00AC6D34">
        <w:rPr>
          <w:rFonts w:hint="cs"/>
          <w:b/>
          <w:bCs/>
          <w:rtl/>
          <w:lang w:val="fr-CH"/>
        </w:rPr>
        <w:t xml:space="preserve">1999 بشأن قمع جرائم الاغتصاب وختان الإناث والاعتداء مع الضرب وسفاح المحارم، وتقديم معلومات إضافية عن المشروع المتعلق بإنشاء مرصد وطني لحالات العنف ضد المرأة؛ </w:t>
      </w:r>
    </w:p>
    <w:p w:rsidR="00672E96" w:rsidRPr="00654A9A" w:rsidRDefault="00672E96" w:rsidP="00086AA1">
      <w:pPr>
        <w:pStyle w:val="SingleTxtGA"/>
        <w:spacing w:line="362" w:lineRule="exact"/>
        <w:rPr>
          <w:rFonts w:hint="cs"/>
          <w:b/>
          <w:bCs/>
          <w:rtl/>
          <w:lang w:val="fr-CH"/>
        </w:rPr>
      </w:pPr>
      <w:r w:rsidRPr="00654A9A">
        <w:rPr>
          <w:rFonts w:hint="cs"/>
          <w:b/>
          <w:bCs/>
          <w:rtl/>
          <w:lang w:val="fr-CH"/>
        </w:rPr>
        <w:tab/>
        <w:t>(ب)</w:t>
      </w:r>
      <w:r w:rsidRPr="00654A9A">
        <w:rPr>
          <w:rFonts w:hint="cs"/>
          <w:b/>
          <w:bCs/>
          <w:rtl/>
          <w:lang w:val="fr-CH"/>
        </w:rPr>
        <w:tab/>
        <w:t>تكثيف جهودها لمنع ومكافحة وقمع جميع أشكال العنف ضد المرأة والطفل من خلال تطبيق القوانين الوطنية والاتفاقيات الدولية، وكذلك تنظيم حملات توعية وتثقيف للجمهور والمسؤولين عن إنفاذ القانون. وينبغي لها أن تجري تحقيقاً في جميع ادعاءات العنف المذكورة أعلاه وملاحقة ومعاقبة المسؤولين وتقديم الحماية الفعالة للضحايا وإنصافهم فوراً؛</w:t>
      </w:r>
    </w:p>
    <w:p w:rsidR="00672E96" w:rsidRPr="002C597C" w:rsidRDefault="00672E96" w:rsidP="00086AA1">
      <w:pPr>
        <w:pStyle w:val="SingleTxtGA"/>
        <w:spacing w:line="362" w:lineRule="exact"/>
        <w:rPr>
          <w:rFonts w:hint="cs"/>
          <w:b/>
          <w:bCs/>
          <w:rtl/>
          <w:lang w:val="fr-CH"/>
        </w:rPr>
      </w:pPr>
      <w:r w:rsidRPr="002C597C">
        <w:rPr>
          <w:rFonts w:hint="cs"/>
          <w:b/>
          <w:bCs/>
          <w:rtl/>
          <w:lang w:val="fr-CH"/>
        </w:rPr>
        <w:tab/>
        <w:t>(ج)</w:t>
      </w:r>
      <w:r w:rsidRPr="002C597C">
        <w:rPr>
          <w:rFonts w:hint="cs"/>
          <w:b/>
          <w:bCs/>
          <w:rtl/>
          <w:lang w:val="fr-CH"/>
        </w:rPr>
        <w:tab/>
        <w:t>ضمان أن يشمل "برنامج مكافحة العنف القائم على نوع الجنس وتعزيز حقوق الإنسان" وخطة العمل الوطنية المتعلقة به، إمكانية الحصول على المأوى والمساعدة الطبية والنفسية وبرامج إعادة الإدماج. وينبغي للدولة الطرف أن تقدم مزيداً من المعلومات عن هذا البرنامج وعن تنفيذ خطة العمل الوطنية الثانية للتعجيل بوضع حد لممارسة ختان الإناث 2010-2015.</w:t>
      </w:r>
    </w:p>
    <w:p w:rsidR="00672E96" w:rsidRDefault="00672E96" w:rsidP="00086AA1">
      <w:pPr>
        <w:pStyle w:val="H23GA"/>
        <w:spacing w:line="362" w:lineRule="exact"/>
        <w:rPr>
          <w:rFonts w:hint="cs"/>
          <w:rtl/>
          <w:lang w:val="fr-CH"/>
        </w:rPr>
      </w:pPr>
      <w:r>
        <w:rPr>
          <w:rFonts w:hint="cs"/>
          <w:rtl/>
          <w:lang w:val="fr-CH"/>
        </w:rPr>
        <w:tab/>
      </w:r>
      <w:r>
        <w:rPr>
          <w:rFonts w:hint="cs"/>
          <w:rtl/>
          <w:lang w:val="fr-CH"/>
        </w:rPr>
        <w:tab/>
        <w:t>العنف ضد الأطفال</w:t>
      </w:r>
    </w:p>
    <w:p w:rsidR="00672E96" w:rsidRDefault="009948BE" w:rsidP="00086AA1">
      <w:pPr>
        <w:pStyle w:val="SingleTxtGA"/>
        <w:spacing w:line="362" w:lineRule="exact"/>
        <w:rPr>
          <w:rFonts w:hint="cs"/>
          <w:rtl/>
        </w:rPr>
      </w:pPr>
      <w:r>
        <w:rPr>
          <w:rFonts w:hint="cs"/>
          <w:rtl/>
          <w:lang w:val="fr-CH"/>
        </w:rPr>
        <w:t>(</w:t>
      </w:r>
      <w:r w:rsidR="00672E96">
        <w:rPr>
          <w:rFonts w:hint="cs"/>
          <w:rtl/>
          <w:lang w:val="fr-CH"/>
        </w:rPr>
        <w:t>15</w:t>
      </w:r>
      <w:r>
        <w:rPr>
          <w:rFonts w:hint="cs"/>
          <w:rtl/>
          <w:lang w:val="fr-CH"/>
        </w:rPr>
        <w:t>)</w:t>
      </w:r>
      <w:r w:rsidR="00672E96">
        <w:rPr>
          <w:rFonts w:hint="cs"/>
          <w:rtl/>
          <w:lang w:val="fr-CH"/>
        </w:rPr>
        <w:tab/>
        <w:t>لا تزال اللجنة تشعر بالقلق لانعدام معلومات وإحصاءات عن التدابير التي تتخذها الدولة الطرف لمكافحة بعض الممارسات مثل بيع القُصر واستغلالهم في البغاء والاتجار بهم. وفيما تأخذ اللجنة علماً باعتماد خطة استراتيجية لتعليم وحماية الأطفال في المدارس القرآنية (</w:t>
      </w:r>
      <w:r w:rsidR="00672E96">
        <w:t>daaras</w:t>
      </w:r>
      <w:r w:rsidR="00672E96">
        <w:rPr>
          <w:rFonts w:hint="cs"/>
          <w:rtl/>
        </w:rPr>
        <w:t>)، لا تزال تشعر بقلق بالغ إزاء ظروف معيشة التلاميذ صغار السن (</w:t>
      </w:r>
      <w:r w:rsidR="00672E96">
        <w:t>talibés</w:t>
      </w:r>
      <w:r w:rsidR="00672E96">
        <w:rPr>
          <w:rFonts w:hint="cs"/>
          <w:rtl/>
        </w:rPr>
        <w:t>) التي</w:t>
      </w:r>
      <w:r w:rsidR="00DB5483">
        <w:rPr>
          <w:rFonts w:hint="eastAsia"/>
          <w:rtl/>
        </w:rPr>
        <w:t> </w:t>
      </w:r>
      <w:r w:rsidR="00672E96">
        <w:rPr>
          <w:rFonts w:hint="cs"/>
          <w:rtl/>
        </w:rPr>
        <w:t>تنطوي على المعاملة السيئة والاستغلال الاقتصادي للأطفال الذين غالباً ما يُستخدمون "للتسول" لصالح معلميهم. ولا تزال اللجنة تشعر بالقلق كذلك إزاء المعلومات الواردة بشأن استمرار اللجوء إلى العقوبة الجسدية في السنغال (المادتان 11 و16).</w:t>
      </w:r>
    </w:p>
    <w:p w:rsidR="00672E96" w:rsidRPr="008845D4" w:rsidRDefault="00672E96" w:rsidP="00086AA1">
      <w:pPr>
        <w:pStyle w:val="SingleTxtGA"/>
        <w:spacing w:line="362" w:lineRule="exact"/>
        <w:rPr>
          <w:rFonts w:hint="cs"/>
          <w:b/>
          <w:bCs/>
          <w:rtl/>
        </w:rPr>
      </w:pPr>
      <w:r w:rsidRPr="008845D4">
        <w:rPr>
          <w:rFonts w:hint="cs"/>
          <w:b/>
          <w:bCs/>
          <w:rtl/>
        </w:rPr>
        <w:tab/>
        <w:t>ينبغي للدولة الطرف أن تقوم بما يلي:</w:t>
      </w:r>
    </w:p>
    <w:p w:rsidR="00672E96" w:rsidRPr="007B54B4" w:rsidRDefault="00672E96" w:rsidP="00086AA1">
      <w:pPr>
        <w:pStyle w:val="SingleTxtGA"/>
        <w:spacing w:line="362" w:lineRule="exact"/>
        <w:rPr>
          <w:rFonts w:hint="cs"/>
          <w:b/>
          <w:bCs/>
          <w:rtl/>
        </w:rPr>
      </w:pPr>
      <w:r w:rsidRPr="007B54B4">
        <w:rPr>
          <w:rFonts w:hint="cs"/>
          <w:b/>
          <w:bCs/>
          <w:rtl/>
        </w:rPr>
        <w:tab/>
        <w:t>(أ)</w:t>
      </w:r>
      <w:r w:rsidRPr="007B54B4">
        <w:rPr>
          <w:rFonts w:hint="cs"/>
          <w:b/>
          <w:bCs/>
          <w:rtl/>
        </w:rPr>
        <w:tab/>
        <w:t>رصد حالة التلاميذ في المدارس القرآنية رصداً دقيقاً بغية حمايتهم من سوء المعاملة والاستغلال من خلال معاقبة الجناة وإنشاء آليات للإشراف على أولئك الأطفال ومساعدتهم، وكذلك آلية لتقديم الشكاوى بهدف تمكينهم من إعلام السلطات بحالات سوء المعاملة؛</w:t>
      </w:r>
    </w:p>
    <w:p w:rsidR="00672E96" w:rsidRPr="00BB58C4" w:rsidRDefault="00672E96" w:rsidP="00086AA1">
      <w:pPr>
        <w:pStyle w:val="SingleTxtGA"/>
        <w:spacing w:line="362" w:lineRule="exact"/>
        <w:rPr>
          <w:rFonts w:hint="cs"/>
          <w:b/>
          <w:bCs/>
          <w:spacing w:val="-4"/>
          <w:rtl/>
        </w:rPr>
      </w:pPr>
      <w:r w:rsidRPr="00BB58C4">
        <w:rPr>
          <w:rFonts w:hint="cs"/>
          <w:b/>
          <w:bCs/>
          <w:spacing w:val="-4"/>
          <w:rtl/>
        </w:rPr>
        <w:tab/>
        <w:t>(ب)</w:t>
      </w:r>
      <w:r w:rsidRPr="00BB58C4">
        <w:rPr>
          <w:rFonts w:hint="cs"/>
          <w:b/>
          <w:bCs/>
          <w:spacing w:val="-4"/>
          <w:rtl/>
        </w:rPr>
        <w:tab/>
        <w:t xml:space="preserve">وضع نظام لدعم حصول التلاميذ في المدارس القرآنية على خدمات الصحة الجسدية والعقلية. وينبغي لها أن تزود اللجنة بمعلومات عما </w:t>
      </w:r>
      <w:r>
        <w:rPr>
          <w:rFonts w:hint="cs"/>
          <w:b/>
          <w:bCs/>
          <w:spacing w:val="-4"/>
          <w:rtl/>
        </w:rPr>
        <w:t>ا</w:t>
      </w:r>
      <w:r w:rsidRPr="00BB58C4">
        <w:rPr>
          <w:rFonts w:hint="cs"/>
          <w:b/>
          <w:bCs/>
          <w:spacing w:val="-4"/>
          <w:rtl/>
        </w:rPr>
        <w:t xml:space="preserve">تُخذ </w:t>
      </w:r>
      <w:r>
        <w:rPr>
          <w:rFonts w:hint="cs"/>
          <w:b/>
          <w:bCs/>
          <w:spacing w:val="-4"/>
          <w:rtl/>
        </w:rPr>
        <w:t xml:space="preserve">من </w:t>
      </w:r>
      <w:r w:rsidRPr="00BB58C4">
        <w:rPr>
          <w:rFonts w:hint="cs"/>
          <w:b/>
          <w:bCs/>
          <w:spacing w:val="-4"/>
          <w:rtl/>
        </w:rPr>
        <w:t>تدابير أخرى محددة، بما</w:t>
      </w:r>
      <w:r>
        <w:rPr>
          <w:rFonts w:hint="eastAsia"/>
          <w:b/>
          <w:bCs/>
          <w:spacing w:val="-4"/>
          <w:rtl/>
        </w:rPr>
        <w:t> </w:t>
      </w:r>
      <w:r w:rsidRPr="00BB58C4">
        <w:rPr>
          <w:rFonts w:hint="cs"/>
          <w:b/>
          <w:bCs/>
          <w:spacing w:val="-4"/>
          <w:rtl/>
        </w:rPr>
        <w:t>في ذلك عدد الحالات التي تم تحديدها والتحقيقات والملاحقات القضائية التي تمت والعقوبات التي فرضت على الجناة</w:t>
      </w:r>
      <w:r>
        <w:rPr>
          <w:rFonts w:hint="cs"/>
          <w:b/>
          <w:bCs/>
          <w:spacing w:val="-4"/>
          <w:rtl/>
        </w:rPr>
        <w:t>،</w:t>
      </w:r>
      <w:r w:rsidRPr="00BB58C4">
        <w:rPr>
          <w:rFonts w:hint="cs"/>
          <w:b/>
          <w:bCs/>
          <w:spacing w:val="-4"/>
          <w:rtl/>
        </w:rPr>
        <w:t xml:space="preserve"> وكذلك عن إعادة تلاميذ المدارس القرآنية إلى أُسرهم؛</w:t>
      </w:r>
    </w:p>
    <w:p w:rsidR="00672E96" w:rsidRPr="00BB58C4" w:rsidRDefault="00672E96" w:rsidP="00672E96">
      <w:pPr>
        <w:pStyle w:val="SingleTxtGA"/>
        <w:rPr>
          <w:rFonts w:hint="cs"/>
          <w:b/>
          <w:bCs/>
          <w:rtl/>
        </w:rPr>
      </w:pPr>
      <w:r w:rsidRPr="00BB58C4">
        <w:rPr>
          <w:rFonts w:hint="cs"/>
          <w:b/>
          <w:bCs/>
          <w:rtl/>
        </w:rPr>
        <w:tab/>
        <w:t>(ج)</w:t>
      </w:r>
      <w:r w:rsidRPr="00BB58C4">
        <w:rPr>
          <w:rFonts w:hint="cs"/>
          <w:b/>
          <w:bCs/>
          <w:rtl/>
        </w:rPr>
        <w:tab/>
        <w:t>مراجعة قانون الأسرة ولا سيما المادة 285 منه لكي تنص صراحة على حظر العقوبة الجسدية في جميع الأوساط، بما في ذلك داخل الأسرة ومعاقبة الجناة بموجب القانون مع تقديم الحماية القانونية والمساعدة النفسية إلى الأطفال الضحايا.</w:t>
      </w:r>
    </w:p>
    <w:p w:rsidR="00672E96" w:rsidRDefault="00672E96" w:rsidP="00672E96">
      <w:pPr>
        <w:pStyle w:val="H23GA"/>
        <w:rPr>
          <w:rFonts w:hint="cs"/>
          <w:rtl/>
        </w:rPr>
      </w:pPr>
      <w:r>
        <w:rPr>
          <w:rFonts w:hint="cs"/>
          <w:rtl/>
        </w:rPr>
        <w:tab/>
      </w:r>
      <w:r>
        <w:rPr>
          <w:rFonts w:hint="cs"/>
          <w:rtl/>
        </w:rPr>
        <w:tab/>
        <w:t>الاتجار بالأشخاص</w:t>
      </w:r>
    </w:p>
    <w:p w:rsidR="00672E96" w:rsidRDefault="009948BE" w:rsidP="009948BE">
      <w:pPr>
        <w:pStyle w:val="SingleTxtGA"/>
        <w:rPr>
          <w:rFonts w:hint="cs"/>
          <w:rtl/>
        </w:rPr>
      </w:pPr>
      <w:r>
        <w:rPr>
          <w:rFonts w:hint="cs"/>
          <w:rtl/>
        </w:rPr>
        <w:t>(</w:t>
      </w:r>
      <w:r w:rsidR="00672E96">
        <w:rPr>
          <w:rFonts w:hint="cs"/>
          <w:rtl/>
        </w:rPr>
        <w:t>16</w:t>
      </w:r>
      <w:r>
        <w:rPr>
          <w:rFonts w:hint="cs"/>
          <w:rtl/>
        </w:rPr>
        <w:t>)</w:t>
      </w:r>
      <w:r w:rsidR="00672E96">
        <w:rPr>
          <w:rFonts w:hint="cs"/>
          <w:rtl/>
        </w:rPr>
        <w:tab/>
        <w:t>على الرغم من الجهود المبذولة على الصعيدين التشريعي والإداري، يساور اللجنة القلق لأن الدولة الطرف لا تزال تعد بلد منشأ وعبور ووجهة للاتجار بالأشخاص ولا سيما لأغراض العمل القسري والاستغلال الجنسي (المواد 2 و12 و13 و14 و16).</w:t>
      </w:r>
    </w:p>
    <w:p w:rsidR="00672E96" w:rsidRPr="00BB58C4" w:rsidRDefault="00672E96" w:rsidP="00086AA1">
      <w:pPr>
        <w:pStyle w:val="SingleTxtGA"/>
        <w:rPr>
          <w:rFonts w:hint="cs"/>
          <w:b/>
          <w:bCs/>
          <w:rtl/>
        </w:rPr>
      </w:pPr>
      <w:r w:rsidRPr="00BB58C4">
        <w:rPr>
          <w:rFonts w:hint="cs"/>
          <w:b/>
          <w:bCs/>
          <w:rtl/>
        </w:rPr>
        <w:tab/>
        <w:t>ينبغي للدولة الطرف أن تتخذ التدابير الفعالة للقضاء على الاتجار بالأشخاص وتقديم المزيد من الحماية للضحايا. وينبغي لها أيضاً أن تخصص مزيداً من الموارد لهذا المجال</w:t>
      </w:r>
      <w:r w:rsidR="00086AA1">
        <w:rPr>
          <w:rFonts w:hint="eastAsia"/>
          <w:b/>
          <w:bCs/>
          <w:rtl/>
        </w:rPr>
        <w:t> </w:t>
      </w:r>
      <w:r w:rsidRPr="00BB58C4">
        <w:rPr>
          <w:rFonts w:hint="cs"/>
          <w:b/>
          <w:bCs/>
          <w:rtl/>
        </w:rPr>
        <w:t>لملاحقة ومعاقبة الأشخاص المسؤولين وتقديم المساعدة القضائية والطبية والنفسية إلى</w:t>
      </w:r>
      <w:r w:rsidR="00086AA1">
        <w:rPr>
          <w:rFonts w:hint="eastAsia"/>
          <w:b/>
          <w:bCs/>
          <w:rtl/>
        </w:rPr>
        <w:t> </w:t>
      </w:r>
      <w:r w:rsidRPr="00BB58C4">
        <w:rPr>
          <w:rFonts w:hint="cs"/>
          <w:b/>
          <w:bCs/>
          <w:rtl/>
        </w:rPr>
        <w:t>الضحايا.</w:t>
      </w:r>
    </w:p>
    <w:p w:rsidR="00672E96" w:rsidRDefault="00672E96" w:rsidP="00672E96">
      <w:pPr>
        <w:pStyle w:val="H23GA"/>
        <w:rPr>
          <w:rFonts w:hint="cs"/>
          <w:rtl/>
        </w:rPr>
      </w:pPr>
      <w:r>
        <w:rPr>
          <w:rFonts w:hint="cs"/>
          <w:rtl/>
        </w:rPr>
        <w:tab/>
      </w:r>
      <w:r>
        <w:rPr>
          <w:rFonts w:hint="cs"/>
          <w:rtl/>
        </w:rPr>
        <w:tab/>
        <w:t>ظروف الاحتجاز</w:t>
      </w:r>
    </w:p>
    <w:p w:rsidR="00672E96" w:rsidRDefault="009948BE" w:rsidP="009948BE">
      <w:pPr>
        <w:pStyle w:val="SingleTxtGA"/>
        <w:rPr>
          <w:rFonts w:hint="cs"/>
          <w:rtl/>
        </w:rPr>
      </w:pPr>
      <w:r>
        <w:rPr>
          <w:rFonts w:hint="cs"/>
          <w:rtl/>
        </w:rPr>
        <w:t>(</w:t>
      </w:r>
      <w:r w:rsidR="00672E96">
        <w:rPr>
          <w:rFonts w:hint="cs"/>
          <w:rtl/>
        </w:rPr>
        <w:t>17</w:t>
      </w:r>
      <w:r>
        <w:rPr>
          <w:rFonts w:hint="cs"/>
          <w:rtl/>
        </w:rPr>
        <w:t>)</w:t>
      </w:r>
      <w:r w:rsidR="00672E96">
        <w:rPr>
          <w:rFonts w:hint="cs"/>
          <w:rtl/>
        </w:rPr>
        <w:tab/>
        <w:t>يساور اللجنة القلق إزاء التقارير باكتظاظ السجناء في بعض السجون بما في ذلك في دكار وك</w:t>
      </w:r>
      <w:r w:rsidR="0001312C">
        <w:rPr>
          <w:rFonts w:hint="cs"/>
          <w:rtl/>
        </w:rPr>
        <w:t xml:space="preserve">ولخ </w:t>
      </w:r>
      <w:r w:rsidR="00672E96">
        <w:rPr>
          <w:rFonts w:hint="cs"/>
          <w:rtl/>
        </w:rPr>
        <w:t>وتامباكوندا (المادة 11).</w:t>
      </w:r>
    </w:p>
    <w:p w:rsidR="00672E96" w:rsidRPr="00BB58C4" w:rsidRDefault="00672E96" w:rsidP="00672E96">
      <w:pPr>
        <w:pStyle w:val="SingleTxtGA"/>
        <w:rPr>
          <w:rFonts w:hint="cs"/>
          <w:b/>
          <w:bCs/>
          <w:rtl/>
        </w:rPr>
      </w:pPr>
      <w:r w:rsidRPr="00BB58C4">
        <w:rPr>
          <w:rFonts w:hint="cs"/>
          <w:b/>
          <w:bCs/>
          <w:rtl/>
        </w:rPr>
        <w:tab/>
        <w:t>ينبغي للدولة الطرف أن تضاعف جهودها للحد من الاكتظاظ في السجون لا سيما من خلال إيلاء الأولوية لبدائل السجن عندما يكون ذلك ممكناً، في ضوء قواعد الأمم المتحدة النموذجية الدنيا للتدابير غير الاحتجازية (قواعد طوكيو).</w:t>
      </w:r>
    </w:p>
    <w:p w:rsidR="00672E96" w:rsidRDefault="00672E96" w:rsidP="00672E96">
      <w:pPr>
        <w:pStyle w:val="H23GA"/>
        <w:rPr>
          <w:rFonts w:hint="cs"/>
          <w:rtl/>
        </w:rPr>
      </w:pPr>
      <w:r>
        <w:rPr>
          <w:rFonts w:hint="cs"/>
          <w:rtl/>
        </w:rPr>
        <w:tab/>
      </w:r>
      <w:r>
        <w:rPr>
          <w:rFonts w:hint="cs"/>
          <w:rtl/>
        </w:rPr>
        <w:tab/>
        <w:t>إقامة العدل</w:t>
      </w:r>
    </w:p>
    <w:p w:rsidR="00672E96" w:rsidRDefault="009948BE" w:rsidP="009948BE">
      <w:pPr>
        <w:pStyle w:val="SingleTxtGA"/>
        <w:rPr>
          <w:rFonts w:hint="cs"/>
          <w:rtl/>
        </w:rPr>
      </w:pPr>
      <w:r>
        <w:rPr>
          <w:rFonts w:hint="cs"/>
          <w:rtl/>
        </w:rPr>
        <w:t>(</w:t>
      </w:r>
      <w:r w:rsidR="00672E96">
        <w:rPr>
          <w:rFonts w:hint="cs"/>
          <w:rtl/>
        </w:rPr>
        <w:t>18</w:t>
      </w:r>
      <w:r>
        <w:rPr>
          <w:rFonts w:hint="cs"/>
          <w:rtl/>
        </w:rPr>
        <w:t>)</w:t>
      </w:r>
      <w:r w:rsidR="00672E96">
        <w:rPr>
          <w:rFonts w:hint="cs"/>
          <w:rtl/>
        </w:rPr>
        <w:tab/>
        <w:t>تأخذ اللجنة علماً بالجهود التي تبذلها الدولة الطرف لتيسير العدالة المجتمعية من خلال إنشاء مراكز المشورة القانونية. ومع ذلك، يساورها القلق إزاء انعدام استقلالية القضاء. وتأخذ اللجنة علماً بالعدد المحدود للحقوقيين العاملين كمحامين. ويساورها القلق لأن عدد المحامين المحدود (أقل من 400) في البلد الذي يتجاوز عدد سكانه 11 مليون نسمة يعوق من إمكانية اللجوء إلى القضاء (المواد 2 و11 و12 و13 و16).</w:t>
      </w:r>
    </w:p>
    <w:p w:rsidR="00672E96" w:rsidRPr="00384060" w:rsidRDefault="00672E96" w:rsidP="00DB5483">
      <w:pPr>
        <w:pStyle w:val="SingleTxtGA"/>
        <w:rPr>
          <w:rFonts w:hint="cs"/>
          <w:b/>
          <w:bCs/>
          <w:rtl/>
        </w:rPr>
      </w:pPr>
      <w:r w:rsidRPr="00384060">
        <w:rPr>
          <w:rFonts w:hint="cs"/>
          <w:b/>
          <w:bCs/>
          <w:rtl/>
        </w:rPr>
        <w:tab/>
        <w:t>ينبغي للدولة الطرف أن تواصل الدراسة التي يتم حالياً القيام بها لإصلاح المجلس الأعلى للقضاء وتعزيز استقلالية القضاة من خلال زيادة حماية مبدأ الأمن الوظيفي لقضاة</w:t>
      </w:r>
      <w:r w:rsidR="00DB5483">
        <w:rPr>
          <w:rFonts w:hint="eastAsia"/>
          <w:b/>
          <w:bCs/>
          <w:rtl/>
        </w:rPr>
        <w:t> </w:t>
      </w:r>
      <w:r w:rsidRPr="00384060">
        <w:rPr>
          <w:rFonts w:hint="cs"/>
          <w:b/>
          <w:bCs/>
          <w:rtl/>
        </w:rPr>
        <w:t>المحاكم.</w:t>
      </w:r>
    </w:p>
    <w:p w:rsidR="00672E96" w:rsidRPr="00384060" w:rsidRDefault="00672E96" w:rsidP="00672E96">
      <w:pPr>
        <w:pStyle w:val="SingleTxtGA"/>
        <w:rPr>
          <w:rFonts w:hint="cs"/>
          <w:b/>
          <w:bCs/>
          <w:rtl/>
        </w:rPr>
      </w:pPr>
      <w:r w:rsidRPr="00384060">
        <w:rPr>
          <w:rFonts w:hint="cs"/>
          <w:b/>
          <w:bCs/>
          <w:rtl/>
        </w:rPr>
        <w:tab/>
        <w:t xml:space="preserve">وينبغي للدولة الطرف أن تتخذ تدابير ملموسة لزيادة عدد الأفراد الذين يعملون في مجال العدالة بمن فيهم المحامون. </w:t>
      </w:r>
    </w:p>
    <w:p w:rsidR="00672E96" w:rsidRDefault="00672E96" w:rsidP="00672E96">
      <w:pPr>
        <w:pStyle w:val="H23GA"/>
        <w:rPr>
          <w:rFonts w:hint="cs"/>
          <w:rtl/>
        </w:rPr>
      </w:pPr>
      <w:r>
        <w:rPr>
          <w:rtl/>
        </w:rPr>
        <w:tab/>
      </w:r>
      <w:r>
        <w:rPr>
          <w:rFonts w:hint="cs"/>
          <w:rtl/>
        </w:rPr>
        <w:tab/>
        <w:t>قضاء الأحداث</w:t>
      </w:r>
    </w:p>
    <w:p w:rsidR="00672E96" w:rsidRDefault="009948BE" w:rsidP="009948BE">
      <w:pPr>
        <w:pStyle w:val="SingleTxtGA"/>
        <w:rPr>
          <w:rFonts w:hint="cs"/>
          <w:rtl/>
        </w:rPr>
      </w:pPr>
      <w:r>
        <w:rPr>
          <w:rFonts w:hint="cs"/>
          <w:rtl/>
        </w:rPr>
        <w:t>(</w:t>
      </w:r>
      <w:r w:rsidR="00672E96">
        <w:rPr>
          <w:rFonts w:hint="cs"/>
          <w:rtl/>
        </w:rPr>
        <w:t>19</w:t>
      </w:r>
      <w:r>
        <w:rPr>
          <w:rFonts w:hint="cs"/>
          <w:rtl/>
        </w:rPr>
        <w:t>)</w:t>
      </w:r>
      <w:r w:rsidR="00672E96">
        <w:rPr>
          <w:rFonts w:hint="cs"/>
          <w:rtl/>
        </w:rPr>
        <w:tab/>
        <w:t>على الرغم من آليات</w:t>
      </w:r>
      <w:r w:rsidR="00672E96" w:rsidRPr="00482A36">
        <w:rPr>
          <w:rFonts w:hint="cs"/>
          <w:rtl/>
        </w:rPr>
        <w:t xml:space="preserve"> </w:t>
      </w:r>
      <w:r w:rsidR="00672E96">
        <w:rPr>
          <w:rFonts w:hint="cs"/>
          <w:rtl/>
        </w:rPr>
        <w:t>قضاء الأحداث الموجودة، تعرب اللجنة عن القلق إزاء عدم كفاية المحاكم المتخصصة والقضاة المتخصصين في شؤون الأحداث من أجل المواجهة الكاملة للتحديات المطروحة فيما يتعلق بتعزيز وحماية حقوق الطفل في الدولة الطرف (المواد 2 و11 و12 و13 و16).</w:t>
      </w:r>
    </w:p>
    <w:p w:rsidR="00672E96" w:rsidRPr="00961D29" w:rsidRDefault="00672E96" w:rsidP="00672E96">
      <w:pPr>
        <w:pStyle w:val="SingleTxtGA"/>
        <w:rPr>
          <w:rFonts w:hint="cs"/>
          <w:b/>
          <w:bCs/>
          <w:rtl/>
        </w:rPr>
      </w:pPr>
      <w:r w:rsidRPr="00961D29">
        <w:rPr>
          <w:rFonts w:hint="cs"/>
          <w:b/>
          <w:bCs/>
          <w:rtl/>
        </w:rPr>
        <w:tab/>
        <w:t xml:space="preserve">توصي اللجنة الدولة الطرف بالتعجيل باعتماد مشروع القانون المعني بإنشاء وظيفة أمين المظالم للأطفال وتدريب مزيد من قضاة الأحداث. وتوصي اللجنة الدولة الطرف بإنشاء نظام </w:t>
      </w:r>
      <w:r>
        <w:rPr>
          <w:rFonts w:hint="cs"/>
          <w:b/>
          <w:bCs/>
          <w:rtl/>
        </w:rPr>
        <w:t>ل</w:t>
      </w:r>
      <w:r w:rsidRPr="00961D29">
        <w:rPr>
          <w:rFonts w:hint="cs"/>
          <w:b/>
          <w:bCs/>
          <w:rtl/>
        </w:rPr>
        <w:t>قضاء الأحداث بشكل يتطابق مع اتفاقية حقوق الطفل وقواعد الأمم المتحدة النموذجية الدنيا لإدارة شؤون قضاء الأحداث (قواعد بيجين، قرار الجمعية العامة 40/33) ومبادئ الأمم المتحدة التوجيهية لمنع جنوح الأحداث (مبادئ الرياض التوجيهية، قرار الجمعية العامة 40/112).</w:t>
      </w:r>
    </w:p>
    <w:p w:rsidR="00672E96" w:rsidRDefault="00672E96" w:rsidP="00672E96">
      <w:pPr>
        <w:pStyle w:val="H23GA"/>
        <w:rPr>
          <w:rFonts w:hint="cs"/>
          <w:rtl/>
        </w:rPr>
      </w:pPr>
      <w:r>
        <w:rPr>
          <w:rFonts w:hint="cs"/>
          <w:rtl/>
        </w:rPr>
        <w:tab/>
      </w:r>
      <w:r>
        <w:rPr>
          <w:rFonts w:hint="cs"/>
          <w:rtl/>
        </w:rPr>
        <w:tab/>
        <w:t>حالة الصحفيين والمدافعين عن حقوق الإنسان</w:t>
      </w:r>
    </w:p>
    <w:p w:rsidR="00672E96" w:rsidRDefault="009948BE" w:rsidP="009948BE">
      <w:pPr>
        <w:pStyle w:val="SingleTxtGA"/>
        <w:rPr>
          <w:rFonts w:hint="cs"/>
          <w:rtl/>
        </w:rPr>
      </w:pPr>
      <w:r>
        <w:rPr>
          <w:rFonts w:hint="cs"/>
          <w:rtl/>
        </w:rPr>
        <w:t>(</w:t>
      </w:r>
      <w:r w:rsidR="00672E96">
        <w:rPr>
          <w:rFonts w:hint="cs"/>
          <w:rtl/>
        </w:rPr>
        <w:t>20</w:t>
      </w:r>
      <w:r>
        <w:rPr>
          <w:rFonts w:hint="cs"/>
          <w:rtl/>
        </w:rPr>
        <w:t>)</w:t>
      </w:r>
      <w:r w:rsidR="00672E96">
        <w:rPr>
          <w:rFonts w:hint="cs"/>
          <w:rtl/>
        </w:rPr>
        <w:tab/>
        <w:t>تأسف اللجنة لعدم تقديم معلومات عن الادعاءات بأفعال التخويف والتهديد والاعتداء الجسدي والاحتجاز التعسفي التي يتعرض لها المدافعون عن حقوق الإنسان والصحفيون. وفيما تأخذ اللجنة علماً بالمعلومات المقدمة بشأن الخطوات المتخذة لملاحقة الضباط الذين يُدعى استخدامهم للقوة المفرطة أثناء التظاهرات التي تمت في عام 2012 قبل الانتخابات، فإنها تأسف بصفة خاصة لعدم تقديم معلومات عن نتائج التحقيق فيما يتعلق بأفراد "الملتقى الأفريقي للدفاع عن حقوق الإنسان" والصحفيين السيد بوبكر كامبل دينغ والسيد كاراموكهو ثيوين (المواد 2 و12 و13 و16).</w:t>
      </w:r>
    </w:p>
    <w:p w:rsidR="00672E96" w:rsidRPr="00743C40" w:rsidRDefault="00672E96" w:rsidP="00672E96">
      <w:pPr>
        <w:pStyle w:val="SingleTxtGA"/>
        <w:rPr>
          <w:rFonts w:hint="cs"/>
          <w:b/>
          <w:bCs/>
          <w:rtl/>
        </w:rPr>
      </w:pPr>
      <w:r w:rsidRPr="00743C40">
        <w:rPr>
          <w:rFonts w:hint="cs"/>
          <w:b/>
          <w:bCs/>
          <w:rtl/>
        </w:rPr>
        <w:tab/>
        <w:t xml:space="preserve">ينبغي للدولة الطرف أن تقدم معلومات عن التدابير الملموسة المتخذة فيما يتعلق بالحالات المشار إليها أعلاه والعقوبات التي فُرضت في هذا الصدد. وينبغي للدولة الطرف أن تتخذ جميع التدابير اللازمة لحماية المدافعين عن حقوق الإنسان والصحفيين وإنزال عقاب شديد بمن ارتكب بحقهم أفعال عنف </w:t>
      </w:r>
      <w:r>
        <w:rPr>
          <w:rFonts w:hint="cs"/>
          <w:b/>
          <w:bCs/>
          <w:rtl/>
        </w:rPr>
        <w:t>أ</w:t>
      </w:r>
      <w:r w:rsidRPr="00743C40">
        <w:rPr>
          <w:rFonts w:hint="cs"/>
          <w:b/>
          <w:bCs/>
          <w:rtl/>
        </w:rPr>
        <w:t>و</w:t>
      </w:r>
      <w:r>
        <w:rPr>
          <w:rFonts w:hint="cs"/>
          <w:b/>
          <w:bCs/>
          <w:rtl/>
        </w:rPr>
        <w:t xml:space="preserve"> </w:t>
      </w:r>
      <w:r w:rsidRPr="00743C40">
        <w:rPr>
          <w:rFonts w:hint="cs"/>
          <w:b/>
          <w:bCs/>
          <w:rtl/>
        </w:rPr>
        <w:t>تعذيب أو تخويف.</w:t>
      </w:r>
    </w:p>
    <w:p w:rsidR="00672E96" w:rsidRDefault="00672E96" w:rsidP="00672E96">
      <w:pPr>
        <w:pStyle w:val="H23GA"/>
        <w:rPr>
          <w:rFonts w:hint="cs"/>
          <w:rtl/>
        </w:rPr>
      </w:pPr>
      <w:r>
        <w:rPr>
          <w:rFonts w:hint="cs"/>
          <w:rtl/>
        </w:rPr>
        <w:tab/>
      </w:r>
      <w:r>
        <w:rPr>
          <w:rFonts w:hint="cs"/>
          <w:rtl/>
        </w:rPr>
        <w:tab/>
        <w:t>حالة اللاجئين وملتمسي اللجوء</w:t>
      </w:r>
    </w:p>
    <w:p w:rsidR="00672E96" w:rsidRPr="009948BE" w:rsidRDefault="009948BE" w:rsidP="009948BE">
      <w:pPr>
        <w:pStyle w:val="SingleTxtGA"/>
        <w:rPr>
          <w:rFonts w:hint="cs"/>
          <w:spacing w:val="-2"/>
          <w:rtl/>
        </w:rPr>
      </w:pPr>
      <w:r w:rsidRPr="009948BE">
        <w:rPr>
          <w:rFonts w:hint="cs"/>
          <w:spacing w:val="-2"/>
          <w:rtl/>
        </w:rPr>
        <w:t>(</w:t>
      </w:r>
      <w:r w:rsidR="00672E96" w:rsidRPr="009948BE">
        <w:rPr>
          <w:rFonts w:hint="cs"/>
          <w:spacing w:val="-2"/>
          <w:rtl/>
        </w:rPr>
        <w:t>21</w:t>
      </w:r>
      <w:r w:rsidRPr="009948BE">
        <w:rPr>
          <w:rFonts w:hint="cs"/>
          <w:spacing w:val="-2"/>
          <w:rtl/>
        </w:rPr>
        <w:t>)</w:t>
      </w:r>
      <w:r w:rsidR="00672E96" w:rsidRPr="009948BE">
        <w:rPr>
          <w:rFonts w:hint="cs"/>
          <w:spacing w:val="-2"/>
          <w:rtl/>
        </w:rPr>
        <w:tab/>
        <w:t>تلاحظ اللجنة أنه لا يزال ينبغي بذل المزيد من الجهود لإنهاء عملية توزيع بطاقات الهوية على اللاجئين، وأنه لم يتم بعد تعديل القانون المتعلق بوضع اللاجئين (المادتان 3 و16).</w:t>
      </w:r>
    </w:p>
    <w:p w:rsidR="00672E96" w:rsidRPr="001D4944" w:rsidRDefault="00672E96" w:rsidP="00672E96">
      <w:pPr>
        <w:pStyle w:val="SingleTxtGA"/>
        <w:rPr>
          <w:rFonts w:hint="cs"/>
          <w:b/>
          <w:bCs/>
          <w:rtl/>
        </w:rPr>
      </w:pPr>
      <w:r w:rsidRPr="001D4944">
        <w:rPr>
          <w:rFonts w:hint="cs"/>
          <w:b/>
          <w:bCs/>
          <w:rtl/>
        </w:rPr>
        <w:tab/>
        <w:t>ينبغي للدولة الطرف التعجيل باعتما</w:t>
      </w:r>
      <w:r w:rsidRPr="001D4944">
        <w:rPr>
          <w:rFonts w:hint="eastAsia"/>
          <w:b/>
          <w:bCs/>
          <w:rtl/>
        </w:rPr>
        <w:t>د</w:t>
      </w:r>
      <w:r w:rsidRPr="001D4944">
        <w:rPr>
          <w:rFonts w:hint="cs"/>
          <w:b/>
          <w:bCs/>
          <w:rtl/>
        </w:rPr>
        <w:t xml:space="preserve"> القانون المنقح بشأن وضع اللاجئين من أجل دعم ضمانات حماية اللاجئين وملتمسي اللجوء والمشردين داخلياً وعديمي الجنسية، ولا سيما من خلال إنشاء هيئة للبت في طلبات منح وضع اللاجئ وطائفة من القضايا منها إعادة شمل الأسرة وحماية القُصر غير المصحوبين. وتشجع اللجنة الدولة الطرف على مواصلة جهودها لتيسير إدماج اللاجئين بما في ذلك من خلال إصدار بطاقات الهوية بالتعاون مع مفوضية الأمم المتحدة السامية لشؤون اللاجئين.</w:t>
      </w:r>
    </w:p>
    <w:p w:rsidR="00672E96" w:rsidRDefault="00672E96" w:rsidP="00672E96">
      <w:pPr>
        <w:pStyle w:val="H23GA"/>
        <w:rPr>
          <w:rFonts w:hint="cs"/>
          <w:rtl/>
          <w:lang w:val="fr-CH"/>
        </w:rPr>
      </w:pPr>
      <w:r>
        <w:rPr>
          <w:rFonts w:hint="cs"/>
          <w:rtl/>
          <w:lang w:val="fr-CH"/>
        </w:rPr>
        <w:tab/>
      </w:r>
      <w:r>
        <w:rPr>
          <w:rFonts w:hint="cs"/>
          <w:rtl/>
          <w:lang w:val="fr-CH"/>
        </w:rPr>
        <w:tab/>
        <w:t>التعويض بما في ذلك إعادة التأهيل</w:t>
      </w:r>
    </w:p>
    <w:p w:rsidR="00672E96" w:rsidRDefault="009948BE" w:rsidP="009948BE">
      <w:pPr>
        <w:pStyle w:val="SingleTxtGA"/>
        <w:rPr>
          <w:rFonts w:hint="cs"/>
          <w:rtl/>
          <w:lang w:val="fr-CH"/>
        </w:rPr>
      </w:pPr>
      <w:r>
        <w:rPr>
          <w:rFonts w:hint="cs"/>
          <w:rtl/>
          <w:lang w:val="fr-CH"/>
        </w:rPr>
        <w:t>(</w:t>
      </w:r>
      <w:r w:rsidR="00672E96">
        <w:rPr>
          <w:rFonts w:hint="cs"/>
          <w:rtl/>
          <w:lang w:val="fr-CH"/>
        </w:rPr>
        <w:t>22</w:t>
      </w:r>
      <w:r>
        <w:rPr>
          <w:rFonts w:hint="cs"/>
          <w:rtl/>
          <w:lang w:val="fr-CH"/>
        </w:rPr>
        <w:t>)</w:t>
      </w:r>
      <w:r w:rsidR="00672E96">
        <w:rPr>
          <w:rFonts w:hint="cs"/>
          <w:rtl/>
          <w:lang w:val="fr-CH"/>
        </w:rPr>
        <w:tab/>
        <w:t>تأسف اللجنة لعدم تقديم معلومات عن التعويضات التي تمنحها محاكم الدولة الطرف إلى ضحايا انتهاكات الاتفاقية، ولا سيما الأشخاص الذين حُرموا من الضمانات الأساسية أو</w:t>
      </w:r>
      <w:r>
        <w:rPr>
          <w:rFonts w:hint="eastAsia"/>
          <w:rtl/>
          <w:lang w:val="fr-CH"/>
        </w:rPr>
        <w:t> </w:t>
      </w:r>
      <w:r w:rsidR="00672E96">
        <w:rPr>
          <w:rFonts w:hint="cs"/>
          <w:rtl/>
          <w:lang w:val="fr-CH"/>
        </w:rPr>
        <w:t>الذين تعرضوا لأفعال التعذيب أو سوء المعاملة أثناء الحبس الاحتياطي. وتأسف اللجنة أيضاً لانعدام المعلومات عن خدمات العلاج وإعادة التأهيل الاجتماعي التي يمكن تقديمها لضحايا التعذيب (المادة 14).</w:t>
      </w:r>
    </w:p>
    <w:p w:rsidR="00672E96" w:rsidRPr="00716D6D" w:rsidRDefault="00672E96" w:rsidP="00672E96">
      <w:pPr>
        <w:pStyle w:val="SingleTxtGA"/>
        <w:rPr>
          <w:rFonts w:hint="cs"/>
          <w:b/>
          <w:bCs/>
          <w:rtl/>
          <w:lang w:val="fr-CH"/>
        </w:rPr>
      </w:pPr>
      <w:r w:rsidRPr="00716D6D">
        <w:rPr>
          <w:rFonts w:hint="cs"/>
          <w:b/>
          <w:bCs/>
          <w:rtl/>
          <w:lang w:val="fr-CH"/>
        </w:rPr>
        <w:tab/>
        <w:t>ينبغي للدولة الطرف أن تقدم معلومات عن التدابير الإضافية المتخذة لضمان حصول ضحايا التعذيب وسوء المعاملة على تعويض كامل وعادل وعلى أكبر قدر ممكن من إعادة التأهيل. وينبغي للدولة الطرف أن تعجل من اعتماد وتنفيذ مشروع قانون تعويض الضحايا الذين تم احتجازهم لفترة طويلة ويعانون من أذى بالغ الخطورة، وكذلك برامج إعادة التأهيل المقرر تنفيذها.</w:t>
      </w:r>
    </w:p>
    <w:p w:rsidR="00672E96" w:rsidRPr="00057202" w:rsidRDefault="00672E96" w:rsidP="00672E96">
      <w:pPr>
        <w:pStyle w:val="SingleTxtGA"/>
        <w:rPr>
          <w:rFonts w:hint="cs"/>
          <w:b/>
          <w:bCs/>
          <w:rtl/>
          <w:lang w:val="fr-CH"/>
        </w:rPr>
      </w:pPr>
      <w:r w:rsidRPr="00057202">
        <w:rPr>
          <w:rFonts w:hint="cs"/>
          <w:b/>
          <w:bCs/>
          <w:rtl/>
          <w:lang w:val="fr-CH"/>
        </w:rPr>
        <w:tab/>
        <w:t>وتلفت اللجنة انتباه الدولة الطرف إلى تعليقها العام بشأن المادة 14 الذي اعتمدته مؤخراً (</w:t>
      </w:r>
      <w:r w:rsidRPr="00057202">
        <w:rPr>
          <w:b/>
          <w:bCs/>
          <w:lang w:val="fr-CH"/>
        </w:rPr>
        <w:t>CAT/C/GC/3</w:t>
      </w:r>
      <w:r w:rsidRPr="00057202">
        <w:rPr>
          <w:rFonts w:hint="cs"/>
          <w:b/>
          <w:bCs/>
          <w:rtl/>
          <w:lang w:val="fr-CH"/>
        </w:rPr>
        <w:t>) والذي يوضح مضمون ونطاق التزامات الدول الأطراف بتقديم تعويض كامل لضحايا التعذيب.</w:t>
      </w:r>
    </w:p>
    <w:p w:rsidR="00672E96" w:rsidRDefault="00672E96" w:rsidP="00672E96">
      <w:pPr>
        <w:pStyle w:val="H23GA"/>
        <w:rPr>
          <w:rFonts w:hint="cs"/>
          <w:rtl/>
          <w:lang w:val="fr-CH"/>
        </w:rPr>
      </w:pPr>
      <w:r>
        <w:rPr>
          <w:rFonts w:hint="cs"/>
          <w:rtl/>
          <w:lang w:val="fr-CH"/>
        </w:rPr>
        <w:tab/>
      </w:r>
      <w:r>
        <w:rPr>
          <w:rFonts w:hint="cs"/>
          <w:rtl/>
          <w:lang w:val="fr-CH"/>
        </w:rPr>
        <w:tab/>
        <w:t>الآلية الوقائية الوطنية والمؤسسات الوطنية لحقوق الإنسان</w:t>
      </w:r>
    </w:p>
    <w:p w:rsidR="00672E96" w:rsidRDefault="009948BE" w:rsidP="009948BE">
      <w:pPr>
        <w:pStyle w:val="SingleTxtGA"/>
        <w:rPr>
          <w:rFonts w:hint="cs"/>
          <w:rtl/>
          <w:lang w:val="fr-CH"/>
        </w:rPr>
      </w:pPr>
      <w:r>
        <w:rPr>
          <w:rFonts w:hint="cs"/>
          <w:rtl/>
          <w:lang w:val="fr-CH"/>
        </w:rPr>
        <w:t>(</w:t>
      </w:r>
      <w:r w:rsidR="00672E96">
        <w:rPr>
          <w:rFonts w:hint="cs"/>
          <w:rtl/>
          <w:lang w:val="fr-CH"/>
        </w:rPr>
        <w:t>23</w:t>
      </w:r>
      <w:r>
        <w:rPr>
          <w:rFonts w:hint="cs"/>
          <w:rtl/>
          <w:lang w:val="fr-CH"/>
        </w:rPr>
        <w:t>)</w:t>
      </w:r>
      <w:r w:rsidR="00672E96">
        <w:rPr>
          <w:rFonts w:hint="cs"/>
          <w:rtl/>
          <w:lang w:val="fr-CH"/>
        </w:rPr>
        <w:tab/>
        <w:t>فيما تأخذ اللجنة علماً بتعيين المرصد الوطني لأماكن الاحتجاز على أنه الآلية الوقائية الوطنية عملاً بالبروتوكول الاختياري لاتفاقية مناهضة التعذيب وغيره من ضروب المعاملة والعقوبة القاسية أو اللاإنسانية أو المهينة، فإن القلق لا يزال يساورها إزاء المعلومات المتعلقة بخفض الموارد المالية المخصصة لهذه الآلية. ويساورها القلق أيضاً إزاء المعلومات التي تفيد بأن اللجنة السنغالية لحقوق الإنسان تواجه مشاكل في عدم كفاية التمويل، وأن الإجراء الذي تتبعه في اختيار وتعيين أعضائها لا يتطابق مع المبادئ المتعلقة بمركز المؤسسات الوطنية لتعزيز وحماية حقوق الإنسان (مبادئ باريس، قرار الجمعية العامة 48/134، المرفق) (المادتان 2 و12).</w:t>
      </w:r>
    </w:p>
    <w:p w:rsidR="00672E96" w:rsidRPr="00DA6981" w:rsidRDefault="00672E96" w:rsidP="00672E96">
      <w:pPr>
        <w:pStyle w:val="SingleTxtGA"/>
        <w:rPr>
          <w:rFonts w:hint="cs"/>
          <w:b/>
          <w:bCs/>
          <w:szCs w:val="20"/>
          <w:rtl/>
        </w:rPr>
      </w:pPr>
      <w:r w:rsidRPr="00DA6981">
        <w:rPr>
          <w:rFonts w:hint="cs"/>
          <w:b/>
          <w:bCs/>
          <w:rtl/>
          <w:lang w:val="fr-CH"/>
        </w:rPr>
        <w:tab/>
        <w:t>ينبغي للدولة الطرف أن تقوم بما يلي:</w:t>
      </w:r>
    </w:p>
    <w:p w:rsidR="00672E96" w:rsidRPr="0010218D" w:rsidRDefault="00672E96" w:rsidP="00672E96">
      <w:pPr>
        <w:pStyle w:val="SingleTxtGA"/>
        <w:spacing w:line="360" w:lineRule="exact"/>
        <w:rPr>
          <w:rFonts w:hint="cs"/>
          <w:b/>
          <w:bCs/>
          <w:rtl/>
          <w:lang w:val="fr-CH"/>
        </w:rPr>
      </w:pPr>
      <w:r w:rsidRPr="0010218D">
        <w:rPr>
          <w:rFonts w:hint="cs"/>
          <w:b/>
          <w:bCs/>
          <w:rtl/>
          <w:lang w:val="fr-CH"/>
        </w:rPr>
        <w:tab/>
        <w:t>(أ)</w:t>
      </w:r>
      <w:r w:rsidRPr="0010218D">
        <w:rPr>
          <w:rFonts w:hint="cs"/>
          <w:b/>
          <w:bCs/>
          <w:rtl/>
          <w:lang w:val="fr-CH"/>
        </w:rPr>
        <w:tab/>
        <w:t xml:space="preserve">تزويد المرصد الوطني لمراكز الاحتجاز بالموارد اللازمة للسماح له الاضطلاع بفعالية بولايته باعتباره الآلية الوقائية الوطنية للسنغال، وفقاً للبروتوكول الاختياري لاتفاقية مناهضة التعذيب والتوجيهات المتعلقة بالآليات الوقائية الوطنية التي وضعتها اللجنة الفرعية لمنع التعذيب. وينبغي للدولة الطرف أن تسهر على أن تتعاون </w:t>
      </w:r>
      <w:r w:rsidRPr="0010218D">
        <w:rPr>
          <w:rFonts w:hint="cs"/>
          <w:b/>
          <w:bCs/>
          <w:spacing w:val="-2"/>
          <w:rtl/>
          <w:lang w:val="fr-CH"/>
        </w:rPr>
        <w:t>قوات الشرطة وأعضاء النيابة العامة وأفراد الجيش وموظفي السجون والموظفين الطبيين مع المرصد، وعلى أن تتبع التوصيات التي يقدمها إلى السلطات تدابير عملية لتحسين الحالة في السجون ومنع التعذيب. وتوصي اللجنة الدولة الطرف أيضاً بنشر التقرير الذي ستعده اللجنة الفرعية لمنع التعذيب بعد زيارتها المقبلة للسنغال في كانون الأول/ديسمبر</w:t>
      </w:r>
      <w:r w:rsidRPr="0010218D">
        <w:rPr>
          <w:rFonts w:hint="cs"/>
          <w:b/>
          <w:bCs/>
          <w:rtl/>
          <w:lang w:val="fr-CH"/>
        </w:rPr>
        <w:t xml:space="preserve"> 2012؛</w:t>
      </w:r>
    </w:p>
    <w:p w:rsidR="00672E96" w:rsidRPr="0010218D" w:rsidRDefault="00672E96" w:rsidP="00672E96">
      <w:pPr>
        <w:pStyle w:val="SingleTxtGA"/>
        <w:spacing w:line="360" w:lineRule="exact"/>
        <w:rPr>
          <w:rFonts w:hint="cs"/>
          <w:b/>
          <w:bCs/>
          <w:rtl/>
          <w:lang w:val="fr-CH"/>
        </w:rPr>
      </w:pPr>
      <w:r w:rsidRPr="0010218D">
        <w:rPr>
          <w:rFonts w:hint="cs"/>
          <w:b/>
          <w:bCs/>
          <w:rtl/>
          <w:lang w:val="fr-CH"/>
        </w:rPr>
        <w:tab/>
        <w:t>(ب)</w:t>
      </w:r>
      <w:r w:rsidRPr="0010218D">
        <w:rPr>
          <w:rFonts w:hint="cs"/>
          <w:b/>
          <w:bCs/>
          <w:rtl/>
          <w:lang w:val="fr-CH"/>
        </w:rPr>
        <w:tab/>
        <w:t>مراعاة التعليقات التي قدمتها لجنة التنسيق الدولية للمؤسسات الوطنية لتعزيز وحماية حقوق الإنسان لضمان عمل اللجنة السنغالية لحقوق الإنسان بشكل يتطابق مع مبادئ باريس.</w:t>
      </w:r>
    </w:p>
    <w:p w:rsidR="00672E96" w:rsidRPr="00F24AE7" w:rsidRDefault="00672E96" w:rsidP="00672E96">
      <w:pPr>
        <w:pStyle w:val="H23GA"/>
        <w:rPr>
          <w:rFonts w:hint="cs"/>
          <w:rtl/>
          <w:lang w:val="fr-CH"/>
        </w:rPr>
      </w:pPr>
      <w:r>
        <w:rPr>
          <w:rFonts w:hint="cs"/>
          <w:rtl/>
          <w:lang w:val="fr-CH"/>
        </w:rPr>
        <w:tab/>
      </w:r>
      <w:r w:rsidRPr="00F24AE7">
        <w:rPr>
          <w:rFonts w:hint="cs"/>
          <w:rtl/>
          <w:lang w:val="fr-CH"/>
        </w:rPr>
        <w:tab/>
        <w:t>الآلية السرية لتقديم الشكاوى</w:t>
      </w:r>
    </w:p>
    <w:p w:rsidR="00672E96" w:rsidRDefault="009948BE" w:rsidP="009948BE">
      <w:pPr>
        <w:pStyle w:val="SingleTxtGA"/>
        <w:spacing w:line="360" w:lineRule="exact"/>
        <w:rPr>
          <w:rFonts w:hint="cs"/>
          <w:rtl/>
          <w:lang w:val="fr-CH"/>
        </w:rPr>
      </w:pPr>
      <w:r>
        <w:rPr>
          <w:rFonts w:hint="cs"/>
          <w:rtl/>
          <w:lang w:val="fr-CH"/>
        </w:rPr>
        <w:t>(</w:t>
      </w:r>
      <w:r w:rsidR="00672E96">
        <w:rPr>
          <w:rFonts w:hint="cs"/>
          <w:rtl/>
          <w:lang w:val="fr-CH"/>
        </w:rPr>
        <w:t>24</w:t>
      </w:r>
      <w:r>
        <w:rPr>
          <w:rFonts w:hint="cs"/>
          <w:rtl/>
          <w:lang w:val="fr-CH"/>
        </w:rPr>
        <w:t>)</w:t>
      </w:r>
      <w:r w:rsidR="00672E96">
        <w:rPr>
          <w:rFonts w:hint="cs"/>
          <w:rtl/>
          <w:lang w:val="fr-CH"/>
        </w:rPr>
        <w:tab/>
        <w:t>تأسف اللجنة لأنه لم يتم إنشاء آلية سرية لتقديم الشكاوى من أجل تمكين المحتجزين من تقديم شكاوى تتعلق بالتعذيب أو سوء المعاملة (المادتان 2 و16).</w:t>
      </w:r>
    </w:p>
    <w:p w:rsidR="00672E96" w:rsidRPr="002D0772" w:rsidRDefault="00672E96" w:rsidP="00672E96">
      <w:pPr>
        <w:pStyle w:val="SingleTxtGA"/>
        <w:spacing w:line="360" w:lineRule="exact"/>
        <w:rPr>
          <w:rFonts w:hint="cs"/>
          <w:b/>
          <w:bCs/>
          <w:rtl/>
          <w:lang w:val="fr-CH"/>
        </w:rPr>
      </w:pPr>
      <w:r w:rsidRPr="002D0772">
        <w:rPr>
          <w:rFonts w:hint="cs"/>
          <w:b/>
          <w:bCs/>
          <w:rtl/>
          <w:lang w:val="fr-CH"/>
        </w:rPr>
        <w:tab/>
        <w:t>ينبغي للدولة الطرف أن تنشئ آلية سرية لتلقي وفحص شكاوى التعذيب أو</w:t>
      </w:r>
      <w:r>
        <w:rPr>
          <w:rFonts w:hint="eastAsia"/>
          <w:b/>
          <w:bCs/>
          <w:rtl/>
          <w:lang w:val="fr-CH"/>
        </w:rPr>
        <w:t> </w:t>
      </w:r>
      <w:r w:rsidRPr="002D0772">
        <w:rPr>
          <w:rFonts w:hint="cs"/>
          <w:b/>
          <w:bCs/>
          <w:rtl/>
          <w:lang w:val="fr-CH"/>
        </w:rPr>
        <w:t>سوء المعاملة، وأن تسهر على إنشاء مثل هذه الآلية في جميع أماكن الحرمان من الحرية، ولا سيما في السجون. ومن جهة أخرى</w:t>
      </w:r>
      <w:r>
        <w:rPr>
          <w:rFonts w:hint="cs"/>
          <w:b/>
          <w:bCs/>
          <w:rtl/>
          <w:lang w:val="fr-CH"/>
        </w:rPr>
        <w:t>،</w:t>
      </w:r>
      <w:r w:rsidRPr="002D0772">
        <w:rPr>
          <w:rFonts w:hint="cs"/>
          <w:b/>
          <w:bCs/>
          <w:rtl/>
          <w:lang w:val="fr-CH"/>
        </w:rPr>
        <w:t xml:space="preserve"> فإن من شأن هذه الآلية أن تشكل وسيلة هامة تسهم في عمل المرصد الوطني لأماكن الاحتجاز.</w:t>
      </w:r>
    </w:p>
    <w:p w:rsidR="00672E96" w:rsidRDefault="00672E96" w:rsidP="00672E96">
      <w:pPr>
        <w:pStyle w:val="H23GA"/>
        <w:rPr>
          <w:rFonts w:hint="cs"/>
          <w:rtl/>
          <w:lang w:val="fr-CH"/>
        </w:rPr>
      </w:pPr>
      <w:r>
        <w:rPr>
          <w:rFonts w:hint="cs"/>
          <w:rtl/>
          <w:lang w:val="fr-CH"/>
        </w:rPr>
        <w:tab/>
      </w:r>
      <w:r>
        <w:rPr>
          <w:rFonts w:hint="cs"/>
          <w:rtl/>
          <w:lang w:val="fr-CH"/>
        </w:rPr>
        <w:tab/>
        <w:t>التدريب</w:t>
      </w:r>
    </w:p>
    <w:p w:rsidR="00672E96" w:rsidRDefault="009948BE" w:rsidP="009948BE">
      <w:pPr>
        <w:pStyle w:val="SingleTxtGA"/>
        <w:spacing w:line="360" w:lineRule="exact"/>
        <w:rPr>
          <w:rFonts w:hint="cs"/>
          <w:rtl/>
          <w:lang w:val="fr-CH"/>
        </w:rPr>
      </w:pPr>
      <w:r>
        <w:rPr>
          <w:rFonts w:hint="cs"/>
          <w:rtl/>
          <w:lang w:val="fr-CH"/>
        </w:rPr>
        <w:t>(</w:t>
      </w:r>
      <w:r w:rsidR="00672E96">
        <w:rPr>
          <w:rFonts w:hint="cs"/>
          <w:rtl/>
          <w:lang w:val="fr-CH"/>
        </w:rPr>
        <w:t>25</w:t>
      </w:r>
      <w:r>
        <w:rPr>
          <w:rFonts w:hint="cs"/>
          <w:rtl/>
          <w:lang w:val="fr-CH"/>
        </w:rPr>
        <w:t>)</w:t>
      </w:r>
      <w:r w:rsidR="00672E96">
        <w:rPr>
          <w:rFonts w:hint="cs"/>
          <w:rtl/>
          <w:lang w:val="fr-CH"/>
        </w:rPr>
        <w:tab/>
        <w:t>تلاحظ اللجنة أن الدولة الطرف قامت بتنظيم دورات تدريبية في مجال حقوق الإنسان لضباط الشرطة وأفراد الدرك الوطني. ومع ذلك، فإنها تأسف لعدم تقديم معلومات عن تقييم هذه الدورات وأثرها على الحد من حالات التعذيب وسوء المعاملة. ويساور اللجنة القلق لعدم اتباع دليل التقصي والتوثيق الفعالين بشأن التعذيب وغيره من ضروب المعاملة أو</w:t>
      </w:r>
      <w:r>
        <w:rPr>
          <w:rFonts w:hint="eastAsia"/>
          <w:rtl/>
          <w:lang w:val="fr-CH"/>
        </w:rPr>
        <w:t> </w:t>
      </w:r>
      <w:r w:rsidR="00672E96">
        <w:rPr>
          <w:rFonts w:hint="cs"/>
          <w:rtl/>
          <w:lang w:val="fr-CH"/>
        </w:rPr>
        <w:t>العقوبة القاسية أو اللاإنسانية أو المهينة (بروتوكول اسطنبول) (المادة 10).</w:t>
      </w:r>
    </w:p>
    <w:p w:rsidR="00672E96" w:rsidRPr="00D21F41" w:rsidRDefault="00672E96" w:rsidP="00672E96">
      <w:pPr>
        <w:pStyle w:val="SingleTxtGA"/>
        <w:spacing w:line="360" w:lineRule="exact"/>
        <w:rPr>
          <w:rFonts w:hint="cs"/>
          <w:b/>
          <w:bCs/>
          <w:rtl/>
          <w:lang w:val="fr-CH"/>
        </w:rPr>
      </w:pPr>
      <w:r w:rsidRPr="00D21F41">
        <w:rPr>
          <w:rFonts w:hint="cs"/>
          <w:b/>
          <w:bCs/>
          <w:rtl/>
          <w:lang w:val="fr-CH"/>
        </w:rPr>
        <w:tab/>
        <w:t>ينبغي للدولة الطرف أن تنظم دورات تدريبية لصالح الموظفين الحكوميين المشار إليهم في المادة 10 من الاتفاقية، ولا سيما الموظفون المدنيون أو العسكريون المسؤولون عن إنفاذ القوانين والموظفون الطبيون. وينبغي أن</w:t>
      </w:r>
      <w:r>
        <w:rPr>
          <w:rFonts w:hint="cs"/>
          <w:b/>
          <w:bCs/>
          <w:rtl/>
          <w:lang w:val="fr-CH"/>
        </w:rPr>
        <w:t xml:space="preserve"> يكون بروتوكول اسطنبول جزءاً لا</w:t>
      </w:r>
      <w:r>
        <w:rPr>
          <w:rFonts w:hint="eastAsia"/>
          <w:b/>
          <w:bCs/>
          <w:rtl/>
          <w:lang w:val="fr-CH"/>
        </w:rPr>
        <w:t> </w:t>
      </w:r>
      <w:r w:rsidRPr="00D21F41">
        <w:rPr>
          <w:rFonts w:hint="cs"/>
          <w:b/>
          <w:bCs/>
          <w:rtl/>
          <w:lang w:val="fr-CH"/>
        </w:rPr>
        <w:t xml:space="preserve">يتجزأ من هذه الدورات التدريبية لتمكين هؤلاء الأفراد من كشف علامات التعذيب وسوء المعاملة وتوثيقها على نحو أفضل. ومن جهة أخرى، ينبغي للدولة الطرف أن تقيّم فعالية وأثر هذه الدورات التدريبية على احترام وتنفيذ أحكام الاتفاقية. </w:t>
      </w:r>
    </w:p>
    <w:p w:rsidR="00672E96" w:rsidRDefault="00672E96" w:rsidP="00672E96">
      <w:pPr>
        <w:pStyle w:val="H23GA"/>
        <w:rPr>
          <w:rFonts w:hint="cs"/>
          <w:rtl/>
          <w:lang w:val="fr-CH"/>
        </w:rPr>
      </w:pPr>
      <w:r>
        <w:rPr>
          <w:rFonts w:hint="cs"/>
          <w:rtl/>
          <w:lang w:val="fr-CH"/>
        </w:rPr>
        <w:tab/>
      </w:r>
      <w:r>
        <w:rPr>
          <w:rFonts w:hint="cs"/>
          <w:rtl/>
          <w:lang w:val="fr-CH"/>
        </w:rPr>
        <w:tab/>
        <w:t>جمع البيانات</w:t>
      </w:r>
    </w:p>
    <w:p w:rsidR="00672E96" w:rsidRPr="005A6B1D" w:rsidRDefault="009948BE" w:rsidP="009948BE">
      <w:pPr>
        <w:pStyle w:val="SingleTxtGA"/>
        <w:spacing w:after="60" w:line="360" w:lineRule="exact"/>
        <w:rPr>
          <w:rFonts w:hint="cs"/>
          <w:spacing w:val="-2"/>
          <w:rtl/>
          <w:lang w:val="fr-CH"/>
        </w:rPr>
      </w:pPr>
      <w:r>
        <w:rPr>
          <w:rFonts w:hint="cs"/>
          <w:spacing w:val="-2"/>
          <w:rtl/>
          <w:lang w:val="fr-CH"/>
        </w:rPr>
        <w:t>(</w:t>
      </w:r>
      <w:r w:rsidR="00672E96" w:rsidRPr="005A6B1D">
        <w:rPr>
          <w:rFonts w:hint="cs"/>
          <w:spacing w:val="-2"/>
          <w:rtl/>
          <w:lang w:val="fr-CH"/>
        </w:rPr>
        <w:t>26</w:t>
      </w:r>
      <w:r>
        <w:rPr>
          <w:rFonts w:hint="cs"/>
          <w:spacing w:val="-2"/>
          <w:rtl/>
          <w:lang w:val="fr-CH"/>
        </w:rPr>
        <w:t>)</w:t>
      </w:r>
      <w:r w:rsidR="00672E96" w:rsidRPr="005A6B1D">
        <w:rPr>
          <w:rFonts w:hint="cs"/>
          <w:spacing w:val="-2"/>
          <w:rtl/>
          <w:lang w:val="fr-CH"/>
        </w:rPr>
        <w:tab/>
        <w:t xml:space="preserve">تأسف اللجنة لعدم تقديم بيانات كاملة ومصنفة بشأن الشكاوى وعمليات التحقيق والملاحقات القضائية والإدانات في حالات التعذيب وسوء المعاملة التي يرتكبها المكلفون بإنفاذ القوانين وضباط الجيش وموظفو السجون والعاملون في خدمات الصحة النفسية، وكذلك بيانات إحصائية عن جميع أشكال العنف التي تتعرض لها الفتيات والنساء في السنغال. </w:t>
      </w:r>
    </w:p>
    <w:p w:rsidR="00672E96" w:rsidRPr="001E501A" w:rsidRDefault="00672E96" w:rsidP="00672E96">
      <w:pPr>
        <w:pStyle w:val="SingleTxtGA"/>
        <w:rPr>
          <w:rFonts w:hint="cs"/>
          <w:b/>
          <w:bCs/>
          <w:rtl/>
          <w:lang w:val="fr-CH"/>
        </w:rPr>
      </w:pPr>
      <w:r w:rsidRPr="001E501A">
        <w:rPr>
          <w:rFonts w:hint="cs"/>
          <w:b/>
          <w:bCs/>
          <w:rtl/>
          <w:lang w:val="fr-CH"/>
        </w:rPr>
        <w:tab/>
        <w:t>ينبغي للدولة الطرف أن تقوم بتجميع البيانات المشار إليها أعلاه على المستوى الوطني للسماح بإجراء تقييم فعال لتنفيذ الاتفاقية وتيسير عملية تحديد الإجراءات المستهدفة من أجل منع ومكافحة التعذيب وسوء المعاملة وجميع أشكال العنف ضد الفتيات والنساء، بصورة فعالة. وينبغي للدولة الطرف أن تقدم أيضاً بيانات إحصائية عن الانتصاف</w:t>
      </w:r>
      <w:r>
        <w:rPr>
          <w:rFonts w:hint="cs"/>
          <w:b/>
          <w:bCs/>
          <w:rtl/>
          <w:lang w:val="fr-CH"/>
        </w:rPr>
        <w:t>،</w:t>
      </w:r>
      <w:r w:rsidRPr="001E501A">
        <w:rPr>
          <w:rFonts w:hint="cs"/>
          <w:b/>
          <w:bCs/>
          <w:rtl/>
          <w:lang w:val="fr-CH"/>
        </w:rPr>
        <w:t xml:space="preserve"> بما في ذلك التعويض، وسبل إعادة تأهيل الضحايا.</w:t>
      </w:r>
    </w:p>
    <w:p w:rsidR="00672E96" w:rsidRDefault="009948BE" w:rsidP="009948BE">
      <w:pPr>
        <w:pStyle w:val="SingleTxtGA"/>
        <w:rPr>
          <w:rFonts w:hint="cs"/>
          <w:rtl/>
          <w:lang w:val="fr-CH"/>
        </w:rPr>
      </w:pPr>
      <w:r>
        <w:rPr>
          <w:rFonts w:hint="cs"/>
          <w:rtl/>
          <w:lang w:val="fr-CH"/>
        </w:rPr>
        <w:t>(</w:t>
      </w:r>
      <w:r w:rsidR="00672E96">
        <w:rPr>
          <w:rFonts w:hint="cs"/>
          <w:rtl/>
          <w:lang w:val="fr-CH"/>
        </w:rPr>
        <w:t>27</w:t>
      </w:r>
      <w:r>
        <w:rPr>
          <w:rFonts w:hint="cs"/>
          <w:rtl/>
          <w:lang w:val="fr-CH"/>
        </w:rPr>
        <w:t>)</w:t>
      </w:r>
      <w:r w:rsidR="00672E96">
        <w:rPr>
          <w:rFonts w:hint="cs"/>
          <w:rtl/>
          <w:lang w:val="fr-CH"/>
        </w:rPr>
        <w:tab/>
        <w:t>وتدعو اللجنة الدولة الطرف إلى نشر التقرير المقدم إليها وهذه الملاحظات الختامية على نطاق واسع وباللغات المناسبة من خلال المواقع الشبكية الرسمية ووسائط الإعلام والمنظمات غير الحكومية.</w:t>
      </w:r>
    </w:p>
    <w:p w:rsidR="00672E96" w:rsidRDefault="009948BE" w:rsidP="009948BE">
      <w:pPr>
        <w:pStyle w:val="SingleTxtGA"/>
        <w:rPr>
          <w:rFonts w:hint="cs"/>
          <w:rtl/>
          <w:lang w:val="fr-CH"/>
        </w:rPr>
      </w:pPr>
      <w:r>
        <w:rPr>
          <w:rFonts w:hint="cs"/>
          <w:rtl/>
          <w:lang w:val="fr-CH"/>
        </w:rPr>
        <w:t>(</w:t>
      </w:r>
      <w:r w:rsidR="00672E96">
        <w:rPr>
          <w:rFonts w:hint="cs"/>
          <w:rtl/>
          <w:lang w:val="fr-CH"/>
        </w:rPr>
        <w:t>28</w:t>
      </w:r>
      <w:r>
        <w:rPr>
          <w:rFonts w:hint="cs"/>
          <w:rtl/>
          <w:lang w:val="fr-CH"/>
        </w:rPr>
        <w:t>)</w:t>
      </w:r>
      <w:r w:rsidR="00672E96">
        <w:rPr>
          <w:rFonts w:hint="cs"/>
          <w:rtl/>
          <w:lang w:val="fr-CH"/>
        </w:rPr>
        <w:tab/>
        <w:t>وتطلب اللجنة من الدولة الطرف أن تقدم إليها في موعد أقصاه 23 تشرين الثاني/ نوفمبر</w:t>
      </w:r>
      <w:r>
        <w:rPr>
          <w:rFonts w:hint="eastAsia"/>
          <w:rtl/>
          <w:lang w:val="fr-CH"/>
        </w:rPr>
        <w:t> </w:t>
      </w:r>
      <w:r w:rsidR="00672E96">
        <w:rPr>
          <w:rFonts w:hint="cs"/>
          <w:rtl/>
          <w:lang w:val="fr-CH"/>
        </w:rPr>
        <w:t xml:space="preserve">2013 معلومات عن متابعة توصيات اللجنة بشأن: (أ) وضع ضمانات قانونية لصالح </w:t>
      </w:r>
      <w:r w:rsidR="00672E96" w:rsidRPr="0061787D">
        <w:rPr>
          <w:rFonts w:hint="cs"/>
          <w:spacing w:val="-2"/>
          <w:rtl/>
          <w:lang w:val="fr-CH"/>
        </w:rPr>
        <w:t>الأشخاص المحتجزين أو تعزيز الضمانات القائمة؛ (ب) الإسراع في إجراء تحقيقات نزيهة وفعالة؛ (ج) الملاحقات القضائية التي شُرع فيها ضد المشتبه فيهم والجزاءات المفروضة على مرتكبي أفعال التعذيب أو سوء المعاملة، وهي توصيات ترد في الفقرة الفرعية (أ) من الفقرة 10</w:t>
      </w:r>
      <w:r w:rsidR="00672E96">
        <w:rPr>
          <w:rFonts w:hint="cs"/>
          <w:rtl/>
          <w:lang w:val="fr-CH"/>
        </w:rPr>
        <w:t xml:space="preserve"> وفي الفقرة الفرعية (أ) من الفقرة 11 وفي الفقرة 12 من هذا التقرير.</w:t>
      </w:r>
    </w:p>
    <w:p w:rsidR="00672E96" w:rsidRDefault="009948BE" w:rsidP="009948BE">
      <w:pPr>
        <w:pStyle w:val="SingleTxtGA"/>
        <w:rPr>
          <w:rFonts w:hint="cs"/>
          <w:rtl/>
          <w:lang w:val="fr-CH"/>
        </w:rPr>
      </w:pPr>
      <w:r>
        <w:rPr>
          <w:rFonts w:hint="cs"/>
          <w:rtl/>
          <w:lang w:val="fr-CH"/>
        </w:rPr>
        <w:t>(</w:t>
      </w:r>
      <w:r w:rsidR="00672E96">
        <w:rPr>
          <w:rFonts w:hint="cs"/>
          <w:rtl/>
          <w:lang w:val="fr-CH"/>
        </w:rPr>
        <w:t>29</w:t>
      </w:r>
      <w:r>
        <w:rPr>
          <w:rFonts w:hint="cs"/>
          <w:rtl/>
          <w:lang w:val="fr-CH"/>
        </w:rPr>
        <w:t>)</w:t>
      </w:r>
      <w:r w:rsidR="00672E96">
        <w:rPr>
          <w:rFonts w:hint="cs"/>
          <w:rtl/>
          <w:lang w:val="fr-CH"/>
        </w:rPr>
        <w:tab/>
        <w:t>وتدعو اللجنة الدولة الطرف إلى تقديم تقريرها الدوري المقبل الذي سيكون التقرير الرابع، في موعد أقصاه 23 تشرين الثاني/نوفمبر 2016. ولهذا الغرض، تدعو اللجنة الدولة الطرف إلى أن توافق بحلول 23 تشرين الثاني/نوفمبر 2013 على إعداد تقريرها وفقاً للإجراء الاختياري الذي توجه اللجنة بمقتضاه إلى الدولة الطرف قائمة</w:t>
      </w:r>
      <w:r w:rsidR="009912C3">
        <w:rPr>
          <w:rFonts w:hint="cs"/>
          <w:rtl/>
          <w:lang w:val="fr-CH"/>
        </w:rPr>
        <w:t xml:space="preserve"> بالقضايا</w:t>
      </w:r>
      <w:r w:rsidR="00672E96">
        <w:rPr>
          <w:rFonts w:hint="cs"/>
          <w:rtl/>
          <w:lang w:val="fr-CH"/>
        </w:rPr>
        <w:t xml:space="preserve"> الواجب النظر فيها يتم إعدادها قبل تقديم التقرير الدوري. وتشكل ردود الدولة الطرف على قائمة</w:t>
      </w:r>
      <w:r w:rsidR="009912C3">
        <w:rPr>
          <w:rFonts w:hint="cs"/>
          <w:rtl/>
          <w:lang w:val="fr-CH"/>
        </w:rPr>
        <w:t xml:space="preserve"> القضايا</w:t>
      </w:r>
      <w:r w:rsidR="00672E96">
        <w:rPr>
          <w:rFonts w:hint="cs"/>
          <w:rtl/>
          <w:lang w:val="fr-CH"/>
        </w:rPr>
        <w:t xml:space="preserve"> الواجب معالجتها تقريرها الدوري المقبل بموجب المادة 19 من الاتفاقية.</w:t>
      </w:r>
    </w:p>
    <w:p w:rsidR="00EE5D7D" w:rsidRPr="009948BE" w:rsidRDefault="005E2281" w:rsidP="009948BE">
      <w:pPr>
        <w:pStyle w:val="SingleTxtGA"/>
        <w:keepNext/>
        <w:keepLines/>
        <w:rPr>
          <w:rFonts w:hint="cs"/>
          <w:b/>
          <w:bCs/>
          <w:rtl/>
        </w:rPr>
      </w:pPr>
      <w:r>
        <w:rPr>
          <w:rFonts w:hint="cs"/>
          <w:rtl/>
        </w:rPr>
        <w:t>66</w:t>
      </w:r>
      <w:r w:rsidR="00EE5D7D">
        <w:rPr>
          <w:rFonts w:hint="cs"/>
          <w:rtl/>
        </w:rPr>
        <w:t>-</w:t>
      </w:r>
      <w:r w:rsidR="00EE5D7D">
        <w:rPr>
          <w:rFonts w:hint="cs"/>
          <w:rtl/>
        </w:rPr>
        <w:tab/>
      </w:r>
      <w:r w:rsidR="00EE5D7D" w:rsidRPr="009948BE">
        <w:rPr>
          <w:rFonts w:hint="cs"/>
          <w:b/>
          <w:bCs/>
          <w:rtl/>
        </w:rPr>
        <w:t>طاجيكستان</w:t>
      </w:r>
    </w:p>
    <w:p w:rsidR="00ED2F77" w:rsidRDefault="009948BE" w:rsidP="009948BE">
      <w:pPr>
        <w:pStyle w:val="SingleTxtGA"/>
        <w:rPr>
          <w:rFonts w:hint="cs"/>
          <w:rtl/>
        </w:rPr>
      </w:pPr>
      <w:r>
        <w:rPr>
          <w:rFonts w:hint="cs"/>
          <w:rtl/>
          <w:lang w:val="fr-CH"/>
        </w:rPr>
        <w:t>(</w:t>
      </w:r>
      <w:r w:rsidR="00ED2F77">
        <w:rPr>
          <w:rFonts w:hint="cs"/>
          <w:rtl/>
          <w:lang w:val="fr-CH"/>
        </w:rPr>
        <w:t>1</w:t>
      </w:r>
      <w:r>
        <w:rPr>
          <w:rFonts w:hint="cs"/>
          <w:rtl/>
          <w:lang w:val="fr-CH"/>
        </w:rPr>
        <w:t>)</w:t>
      </w:r>
      <w:r w:rsidR="00ED2F77">
        <w:rPr>
          <w:rFonts w:hint="cs"/>
          <w:rtl/>
          <w:lang w:val="fr-CH"/>
        </w:rPr>
        <w:tab/>
        <w:t>نظرت لجنة مناهضة التعذيب في التقرير الدوري الثاني لطاجيكستان (</w:t>
      </w:r>
      <w:r w:rsidR="00ED2F77">
        <w:t>CAT/C/TJK/2</w:t>
      </w:r>
      <w:r w:rsidR="00ED2F77">
        <w:rPr>
          <w:rFonts w:hint="cs"/>
          <w:rtl/>
        </w:rPr>
        <w:t>) في جلستيها 1108 و1111 (</w:t>
      </w:r>
      <w:r w:rsidR="00ED2F77">
        <w:t>CAT/C/SR.1108</w:t>
      </w:r>
      <w:r w:rsidR="00ED2F77">
        <w:rPr>
          <w:rFonts w:hint="cs"/>
          <w:rtl/>
        </w:rPr>
        <w:t xml:space="preserve"> و</w:t>
      </w:r>
      <w:r w:rsidR="00ED2F77">
        <w:t>CAT/C/SR.1111</w:t>
      </w:r>
      <w:r w:rsidR="00ED2F77">
        <w:rPr>
          <w:rFonts w:hint="cs"/>
          <w:rtl/>
        </w:rPr>
        <w:t>)، المعقودتين في 7 و8 تشرين الثاني/نوفمبر 2012. واعتمدت في جلستيها 1126 و1127 (</w:t>
      </w:r>
      <w:r w:rsidR="00ED2F77">
        <w:t>CAT/C/SR.1126</w:t>
      </w:r>
      <w:r w:rsidR="00ED2F77">
        <w:rPr>
          <w:rFonts w:hint="cs"/>
          <w:rtl/>
        </w:rPr>
        <w:t xml:space="preserve"> و</w:t>
      </w:r>
      <w:r w:rsidR="00ED2F77">
        <w:t>CAT/C/SR.1127</w:t>
      </w:r>
      <w:r w:rsidR="00ED2F77">
        <w:rPr>
          <w:rFonts w:hint="cs"/>
          <w:rtl/>
        </w:rPr>
        <w:t>) المعقودتين في 20 تشرين الثاني/نوفمبر 2012، الملاحظات الختامية التالية.</w:t>
      </w:r>
    </w:p>
    <w:p w:rsidR="00ED2F77" w:rsidRPr="009948BE" w:rsidRDefault="00086AA1" w:rsidP="00086AA1">
      <w:pPr>
        <w:pStyle w:val="H23GA"/>
        <w:tabs>
          <w:tab w:val="left" w:pos="1940"/>
        </w:tabs>
        <w:rPr>
          <w:rFonts w:hint="cs"/>
          <w:rtl/>
        </w:rPr>
      </w:pPr>
      <w:r>
        <w:rPr>
          <w:rFonts w:hint="cs"/>
          <w:rtl/>
        </w:rPr>
        <w:tab/>
      </w:r>
      <w:r>
        <w:rPr>
          <w:rFonts w:hint="cs"/>
          <w:rtl/>
        </w:rPr>
        <w:tab/>
      </w:r>
      <w:r w:rsidR="00ED2F77" w:rsidRPr="009948BE">
        <w:rPr>
          <w:rFonts w:hint="cs"/>
          <w:rtl/>
        </w:rPr>
        <w:t>ألف-</w:t>
      </w:r>
      <w:r w:rsidR="00ED2F77" w:rsidRPr="009948BE">
        <w:rPr>
          <w:rFonts w:hint="cs"/>
          <w:rtl/>
        </w:rPr>
        <w:tab/>
        <w:t>مقدمة</w:t>
      </w:r>
    </w:p>
    <w:p w:rsidR="00ED2F77" w:rsidRDefault="009948BE" w:rsidP="009948BE">
      <w:pPr>
        <w:pStyle w:val="SingleTxtGA"/>
        <w:rPr>
          <w:rFonts w:hint="cs"/>
          <w:rtl/>
        </w:rPr>
      </w:pPr>
      <w:r>
        <w:rPr>
          <w:rFonts w:hint="cs"/>
          <w:rtl/>
        </w:rPr>
        <w:t>(</w:t>
      </w:r>
      <w:r w:rsidR="00ED2F77">
        <w:rPr>
          <w:rFonts w:hint="cs"/>
          <w:rtl/>
        </w:rPr>
        <w:t>2</w:t>
      </w:r>
      <w:r>
        <w:rPr>
          <w:rFonts w:hint="cs"/>
          <w:rtl/>
        </w:rPr>
        <w:t>)</w:t>
      </w:r>
      <w:r w:rsidR="00ED2F77">
        <w:rPr>
          <w:rFonts w:hint="cs"/>
          <w:rtl/>
        </w:rPr>
        <w:tab/>
        <w:t xml:space="preserve">ترحب اللجنة بتقديم الدولة الطرف تقريرها الدوري الثاني وفقاً للمبادئ التوجيهية العامة المتعلقة بشكل التقارير الدورية ومحتوياتها. بيد أنها تأسف لعدم الرد على الأسئلة المحددة في إطار إجراء المتابعة. </w:t>
      </w:r>
    </w:p>
    <w:p w:rsidR="00ED2F77" w:rsidRDefault="009948BE" w:rsidP="009948BE">
      <w:pPr>
        <w:pStyle w:val="SingleTxtGA"/>
        <w:rPr>
          <w:rFonts w:hint="cs"/>
          <w:rtl/>
        </w:rPr>
      </w:pPr>
      <w:r>
        <w:rPr>
          <w:rFonts w:hint="cs"/>
          <w:rtl/>
        </w:rPr>
        <w:t>(</w:t>
      </w:r>
      <w:r w:rsidR="00ED2F77">
        <w:rPr>
          <w:rFonts w:hint="cs"/>
          <w:rtl/>
        </w:rPr>
        <w:t>3</w:t>
      </w:r>
      <w:r>
        <w:rPr>
          <w:rFonts w:hint="cs"/>
          <w:rtl/>
        </w:rPr>
        <w:t>)</w:t>
      </w:r>
      <w:r w:rsidR="00ED2F77">
        <w:rPr>
          <w:rFonts w:hint="cs"/>
          <w:rtl/>
        </w:rPr>
        <w:tab/>
        <w:t>وتعرب اللجنة أيضاً عن تقديرها للحوار الصريح والمفتوح الذي أجرته مع وفد رفيع المستوى من الدولة الطرف، ولتقديم ردود خطية على قائمة</w:t>
      </w:r>
      <w:r w:rsidR="009912C3">
        <w:rPr>
          <w:rFonts w:hint="cs"/>
          <w:rtl/>
        </w:rPr>
        <w:t xml:space="preserve"> القضايا</w:t>
      </w:r>
      <w:r w:rsidR="00ED2F77">
        <w:rPr>
          <w:rFonts w:hint="cs"/>
          <w:rtl/>
        </w:rPr>
        <w:t xml:space="preserve"> </w:t>
      </w:r>
      <w:r w:rsidR="00ED2F77">
        <w:rPr>
          <w:rFonts w:hint="cs"/>
          <w:rtl/>
          <w:lang w:val="fr-CH"/>
        </w:rPr>
        <w:t>(</w:t>
      </w:r>
      <w:r w:rsidR="00ED2F77">
        <w:t>CAT/C/TJK/Q/2/Add.1</w:t>
      </w:r>
      <w:r w:rsidR="00ED2F77">
        <w:rPr>
          <w:rFonts w:hint="cs"/>
          <w:rtl/>
        </w:rPr>
        <w:t>)، وللمعلومات الإضافية التي قدمها الوفد شفوياً.</w:t>
      </w:r>
    </w:p>
    <w:p w:rsidR="00ED2F77" w:rsidRPr="009948BE" w:rsidRDefault="00086AA1" w:rsidP="00086AA1">
      <w:pPr>
        <w:pStyle w:val="H23GA"/>
        <w:tabs>
          <w:tab w:val="left" w:pos="1926"/>
        </w:tabs>
        <w:rPr>
          <w:rFonts w:hint="cs"/>
          <w:rtl/>
        </w:rPr>
      </w:pPr>
      <w:r>
        <w:rPr>
          <w:rFonts w:hint="cs"/>
          <w:rtl/>
        </w:rPr>
        <w:tab/>
      </w:r>
      <w:r>
        <w:rPr>
          <w:rFonts w:hint="cs"/>
          <w:rtl/>
        </w:rPr>
        <w:tab/>
      </w:r>
      <w:r w:rsidR="00ED2F77" w:rsidRPr="009948BE">
        <w:rPr>
          <w:rFonts w:hint="cs"/>
          <w:rtl/>
        </w:rPr>
        <w:t>باء-</w:t>
      </w:r>
      <w:r w:rsidR="00ED2F77" w:rsidRPr="009948BE">
        <w:rPr>
          <w:rFonts w:hint="cs"/>
          <w:rtl/>
        </w:rPr>
        <w:tab/>
        <w:t>الجوانب الإيجابية</w:t>
      </w:r>
    </w:p>
    <w:p w:rsidR="00ED2F77" w:rsidRDefault="009948BE" w:rsidP="009948BE">
      <w:pPr>
        <w:pStyle w:val="SingleTxtGA"/>
        <w:rPr>
          <w:rFonts w:hint="cs"/>
          <w:rtl/>
        </w:rPr>
      </w:pPr>
      <w:r>
        <w:rPr>
          <w:rFonts w:hint="cs"/>
          <w:rtl/>
        </w:rPr>
        <w:t>(</w:t>
      </w:r>
      <w:r w:rsidR="00ED2F77">
        <w:rPr>
          <w:rFonts w:hint="cs"/>
          <w:rtl/>
        </w:rPr>
        <w:t>4</w:t>
      </w:r>
      <w:r>
        <w:rPr>
          <w:rFonts w:hint="cs"/>
          <w:rtl/>
        </w:rPr>
        <w:t>)</w:t>
      </w:r>
      <w:r w:rsidR="00ED2F77">
        <w:rPr>
          <w:rFonts w:hint="cs"/>
          <w:rtl/>
        </w:rPr>
        <w:tab/>
        <w:t>ترحب اللجنة بالتدابير التشريعية المتخذة أثناء الفترة قيد الاستعراض، بما في ذلك:</w:t>
      </w:r>
    </w:p>
    <w:p w:rsidR="00ED2F77" w:rsidRDefault="00ED2F77" w:rsidP="00ED2F77">
      <w:pPr>
        <w:pStyle w:val="SingleTxtGA"/>
        <w:rPr>
          <w:rFonts w:hint="cs"/>
          <w:rtl/>
        </w:rPr>
      </w:pPr>
      <w:r>
        <w:rPr>
          <w:rFonts w:hint="cs"/>
          <w:rtl/>
        </w:rPr>
        <w:tab/>
        <w:t>(أ)</w:t>
      </w:r>
      <w:r>
        <w:rPr>
          <w:rFonts w:hint="cs"/>
          <w:rtl/>
        </w:rPr>
        <w:tab/>
        <w:t>اعتماد قانون الإجراءات الإدارية في آذار/مارس 2007؛</w:t>
      </w:r>
    </w:p>
    <w:p w:rsidR="00ED2F77" w:rsidRPr="00A824E2" w:rsidRDefault="00ED2F77" w:rsidP="00ED2F77">
      <w:pPr>
        <w:pStyle w:val="SingleTxtGA"/>
        <w:rPr>
          <w:lang w:val="fr-CH" w:bidi="ar-MA"/>
        </w:rPr>
      </w:pPr>
      <w:r>
        <w:rPr>
          <w:rFonts w:hint="cs"/>
          <w:rtl/>
        </w:rPr>
        <w:tab/>
        <w:t>(ب)</w:t>
      </w:r>
      <w:r>
        <w:rPr>
          <w:rFonts w:hint="cs"/>
          <w:rtl/>
        </w:rPr>
        <w:tab/>
        <w:t xml:space="preserve">اعتماد قانون الإجراءات الجنائية في آذار/مارس 2008 لاستحداث جلسات للبت في الحبس الاحتياطي، ونقل صلاحية </w:t>
      </w:r>
      <w:r>
        <w:rPr>
          <w:rFonts w:hint="cs"/>
          <w:rtl/>
          <w:lang w:val="fr-CH" w:bidi="ar-MA"/>
        </w:rPr>
        <w:t>إجازة الاحتجاز قبل المحاكمة من المدعين العامين إلى القضاة؛</w:t>
      </w:r>
    </w:p>
    <w:p w:rsidR="00ED2F77" w:rsidRPr="00E85B7D" w:rsidRDefault="00ED2F77" w:rsidP="00ED2F77">
      <w:pPr>
        <w:pStyle w:val="SingleTxtGA"/>
        <w:rPr>
          <w:lang w:val="fr-CH" w:bidi="ar-MA"/>
        </w:rPr>
      </w:pPr>
      <w:r>
        <w:rPr>
          <w:rFonts w:hint="cs"/>
          <w:rtl/>
        </w:rPr>
        <w:tab/>
        <w:t>(ج)</w:t>
      </w:r>
      <w:r>
        <w:rPr>
          <w:rFonts w:hint="cs"/>
          <w:rtl/>
        </w:rPr>
        <w:tab/>
        <w:t>ا</w:t>
      </w:r>
      <w:r>
        <w:rPr>
          <w:rFonts w:hint="cs"/>
          <w:rtl/>
          <w:lang w:bidi="ar-MA"/>
        </w:rPr>
        <w:t>عتماد القانون المتعلق بمفوض ح</w:t>
      </w:r>
      <w:r>
        <w:rPr>
          <w:rFonts w:hint="cs"/>
          <w:rtl/>
          <w:lang w:val="fr-CH" w:bidi="ar-MA"/>
        </w:rPr>
        <w:t>قوق الإنسان في آذار/مارس 2008 وتعيين أول مفوض لحقوق الإنسان (أمين المظالم) في أيار/مايو 2009؛</w:t>
      </w:r>
    </w:p>
    <w:p w:rsidR="00ED2F77" w:rsidRDefault="00ED2F77" w:rsidP="00ED2F77">
      <w:pPr>
        <w:pStyle w:val="SingleTxtGA"/>
        <w:rPr>
          <w:rFonts w:hint="cs"/>
          <w:rtl/>
          <w:lang w:bidi="ar-MA"/>
        </w:rPr>
      </w:pPr>
      <w:r>
        <w:rPr>
          <w:rFonts w:hint="cs"/>
          <w:rtl/>
        </w:rPr>
        <w:tab/>
        <w:t>(د)</w:t>
      </w:r>
      <w:r>
        <w:rPr>
          <w:rFonts w:hint="cs"/>
          <w:rtl/>
        </w:rPr>
        <w:tab/>
      </w:r>
      <w:r>
        <w:rPr>
          <w:rFonts w:hint="cs"/>
          <w:rtl/>
          <w:lang w:bidi="ar-MA"/>
        </w:rPr>
        <w:t>اعتماد قانون الجرائم الإدارية في كانون الأول/ديسمبر 2008؛</w:t>
      </w:r>
    </w:p>
    <w:p w:rsidR="00ED2F77" w:rsidRPr="00622F75" w:rsidRDefault="00ED2F77" w:rsidP="00ED2F77">
      <w:pPr>
        <w:pStyle w:val="SingleTxtGA"/>
        <w:rPr>
          <w:rFonts w:hint="cs"/>
          <w:rtl/>
          <w:lang w:val="fr-CH" w:bidi="ar-MA"/>
        </w:rPr>
      </w:pPr>
      <w:r>
        <w:rPr>
          <w:rFonts w:hint="cs"/>
          <w:rtl/>
          <w:lang w:bidi="ar-MA"/>
        </w:rPr>
        <w:tab/>
        <w:t>(</w:t>
      </w:r>
      <w:r w:rsidRPr="00DC1CA5">
        <w:rPr>
          <w:rFonts w:hint="cs"/>
          <w:sz w:val="30"/>
          <w:rtl/>
          <w:lang w:bidi="ar-MA"/>
        </w:rPr>
        <w:t>ﻫ</w:t>
      </w:r>
      <w:r>
        <w:rPr>
          <w:rFonts w:hint="cs"/>
          <w:rtl/>
          <w:lang w:bidi="ar-MA"/>
        </w:rPr>
        <w:t>)</w:t>
      </w:r>
      <w:r>
        <w:rPr>
          <w:rFonts w:hint="cs"/>
          <w:rtl/>
          <w:lang w:bidi="ar-MA"/>
        </w:rPr>
        <w:tab/>
        <w:t xml:space="preserve">اعتماد تعديلات على القانون الدستوري </w:t>
      </w:r>
      <w:r>
        <w:rPr>
          <w:rFonts w:hint="cs"/>
          <w:rtl/>
          <w:lang w:val="fr-CH" w:bidi="ar-MA"/>
        </w:rPr>
        <w:t>المتعلق بالمحكمة الدستورية في تموز/يوليه 2009 لتوسيع نطاق صلاحيات المحكمة الدستورية واختصاصها القضائي.</w:t>
      </w:r>
    </w:p>
    <w:p w:rsidR="00ED2F77" w:rsidRDefault="009948BE" w:rsidP="009948BE">
      <w:pPr>
        <w:pStyle w:val="SingleTxtGA"/>
        <w:rPr>
          <w:rFonts w:hint="cs"/>
          <w:rtl/>
        </w:rPr>
      </w:pPr>
      <w:r>
        <w:rPr>
          <w:rFonts w:hint="cs"/>
          <w:rtl/>
        </w:rPr>
        <w:t>(</w:t>
      </w:r>
      <w:r w:rsidR="00ED2F77">
        <w:rPr>
          <w:rFonts w:hint="cs"/>
          <w:rtl/>
        </w:rPr>
        <w:t>5</w:t>
      </w:r>
      <w:r>
        <w:rPr>
          <w:rFonts w:hint="cs"/>
          <w:rtl/>
        </w:rPr>
        <w:t>)</w:t>
      </w:r>
      <w:r w:rsidR="00ED2F77">
        <w:rPr>
          <w:rFonts w:hint="cs"/>
          <w:rtl/>
        </w:rPr>
        <w:tab/>
        <w:t>وترحب اللجنة أيضاً بما يلي:</w:t>
      </w:r>
    </w:p>
    <w:p w:rsidR="00ED2F77" w:rsidRDefault="00ED2F77" w:rsidP="00ED2F77">
      <w:pPr>
        <w:pStyle w:val="SingleTxtGA"/>
        <w:rPr>
          <w:rFonts w:hint="cs"/>
          <w:rtl/>
        </w:rPr>
      </w:pPr>
      <w:r>
        <w:rPr>
          <w:rFonts w:hint="cs"/>
          <w:rtl/>
        </w:rPr>
        <w:tab/>
        <w:t>(أ)</w:t>
      </w:r>
      <w:r>
        <w:rPr>
          <w:rFonts w:hint="cs"/>
          <w:rtl/>
        </w:rPr>
        <w:tab/>
        <w:t xml:space="preserve">إعلان وقف عقوبة الإعدام في عام 2004 وإنشاء </w:t>
      </w:r>
      <w:r>
        <w:rPr>
          <w:rFonts w:hint="cs"/>
          <w:rtl/>
          <w:lang w:val="fr-CH" w:bidi="ar-MA"/>
        </w:rPr>
        <w:t>فريق عامل في نيسان/أبريل 2010 يعنى بالنظر في حذف عقوبة الإعدام من القانون الجنائي وإمكانية التصديق على البروتوكول الاختياري الثاني الملحق بالعهد الدولي الخاص بالحقوق المدنية والسياسية</w:t>
      </w:r>
      <w:r>
        <w:rPr>
          <w:rFonts w:hint="cs"/>
          <w:rtl/>
        </w:rPr>
        <w:t>؛</w:t>
      </w:r>
    </w:p>
    <w:p w:rsidR="00ED2F77" w:rsidRPr="00281287" w:rsidRDefault="00ED2F77" w:rsidP="00ED2F77">
      <w:pPr>
        <w:pStyle w:val="SingleTxtGA"/>
        <w:rPr>
          <w:rFonts w:hint="cs"/>
          <w:rtl/>
          <w:lang w:val="fr-CH" w:bidi="ar-MA"/>
        </w:rPr>
      </w:pPr>
      <w:r>
        <w:rPr>
          <w:rFonts w:hint="cs"/>
          <w:rtl/>
        </w:rPr>
        <w:tab/>
        <w:t>(ب)</w:t>
      </w:r>
      <w:r>
        <w:rPr>
          <w:rFonts w:hint="cs"/>
          <w:rtl/>
        </w:rPr>
        <w:tab/>
        <w:t xml:space="preserve">الزيارة التي قام بها </w:t>
      </w:r>
      <w:r>
        <w:rPr>
          <w:rFonts w:hint="cs"/>
          <w:rtl/>
          <w:lang w:val="fr-CH" w:bidi="ar-MA"/>
        </w:rPr>
        <w:t>المقرر الخاص المعني بمسألة التعذيب وغيره من ضروب المعاملة أو العقوبة القاسية أو اللاإنسانية أو المهينة في أيار/مايو 2012.</w:t>
      </w:r>
    </w:p>
    <w:p w:rsidR="00ED2F77" w:rsidRPr="009948BE" w:rsidRDefault="00DB5483" w:rsidP="00086AA1">
      <w:pPr>
        <w:pStyle w:val="H23GA"/>
        <w:tabs>
          <w:tab w:val="left" w:pos="1940"/>
        </w:tabs>
        <w:rPr>
          <w:rFonts w:hint="cs"/>
          <w:rtl/>
        </w:rPr>
      </w:pPr>
      <w:r>
        <w:rPr>
          <w:rFonts w:hint="cs"/>
          <w:rtl/>
        </w:rPr>
        <w:tab/>
      </w:r>
      <w:r>
        <w:rPr>
          <w:rFonts w:hint="cs"/>
          <w:rtl/>
        </w:rPr>
        <w:tab/>
      </w:r>
      <w:r w:rsidR="00ED2F77" w:rsidRPr="009948BE">
        <w:rPr>
          <w:rFonts w:hint="cs"/>
          <w:rtl/>
        </w:rPr>
        <w:t>جيم-</w:t>
      </w:r>
      <w:r w:rsidR="00ED2F77" w:rsidRPr="009948BE">
        <w:rPr>
          <w:rFonts w:hint="cs"/>
          <w:rtl/>
        </w:rPr>
        <w:tab/>
        <w:t>دواعي القلق الرئيسية والتوصيات</w:t>
      </w:r>
    </w:p>
    <w:p w:rsidR="00ED2F77" w:rsidRDefault="00ED2F77" w:rsidP="00ED2F77">
      <w:pPr>
        <w:pStyle w:val="H23GA"/>
        <w:rPr>
          <w:rFonts w:hint="cs"/>
          <w:rtl/>
          <w:lang w:bidi="ar-MA"/>
        </w:rPr>
      </w:pPr>
      <w:r>
        <w:rPr>
          <w:rFonts w:hint="cs"/>
          <w:rtl/>
        </w:rPr>
        <w:tab/>
      </w:r>
      <w:r>
        <w:rPr>
          <w:rFonts w:hint="cs"/>
          <w:rtl/>
        </w:rPr>
        <w:tab/>
        <w:t>تعريف التعذيب والمعاقبة عليه</w:t>
      </w:r>
    </w:p>
    <w:p w:rsidR="00ED2F77" w:rsidRDefault="009948BE" w:rsidP="009948BE">
      <w:pPr>
        <w:pStyle w:val="SingleTxtGA"/>
        <w:rPr>
          <w:rFonts w:hint="cs"/>
          <w:rtl/>
        </w:rPr>
      </w:pPr>
      <w:r>
        <w:rPr>
          <w:rFonts w:hint="cs"/>
          <w:rtl/>
        </w:rPr>
        <w:t>(</w:t>
      </w:r>
      <w:r w:rsidR="00ED2F77">
        <w:rPr>
          <w:rFonts w:hint="cs"/>
          <w:rtl/>
        </w:rPr>
        <w:t>6</w:t>
      </w:r>
      <w:r>
        <w:rPr>
          <w:rFonts w:hint="cs"/>
          <w:rtl/>
        </w:rPr>
        <w:t>)</w:t>
      </w:r>
      <w:r w:rsidR="00ED2F77">
        <w:rPr>
          <w:rFonts w:hint="cs"/>
          <w:rtl/>
        </w:rPr>
        <w:tab/>
        <w:t>بينما ترحب اللجنة بإدراج المادة 143-1 في القانون الجنائي لجعل تعريف التعذيب يتماشى بالكامل مع المادة 1 من الاتفاقية، فإنها تعرب عن قلقها لكون العقوبات المنصوص عليها، والتي تقتضي الحكم على مرتكبي جريمة التعذيب لأول مرة بالسجن لمدة خمسة أعوام أو أقل، لا تتناسب مع خطورة الجريمة (المادتان 1 و4).</w:t>
      </w:r>
    </w:p>
    <w:p w:rsidR="00ED2F77" w:rsidRDefault="00ED2F77" w:rsidP="009948BE">
      <w:pPr>
        <w:pStyle w:val="SingleTxtGA"/>
        <w:rPr>
          <w:rFonts w:hint="cs"/>
          <w:b/>
          <w:bCs/>
          <w:rtl/>
        </w:rPr>
      </w:pPr>
      <w:r>
        <w:rPr>
          <w:rFonts w:hint="cs"/>
          <w:b/>
          <w:bCs/>
          <w:rtl/>
        </w:rPr>
        <w:tab/>
        <w:t>توصي اللجنة الدولة الطرف بتعديل المادة 143-1 من القانون الجنائي لضمان تجسيد العقوبات على ارتكاب جريمة التعذيب لطبيعة خطورتها، طبقاً لأحكام المادة 4 من</w:t>
      </w:r>
      <w:r w:rsidR="009948BE">
        <w:rPr>
          <w:rFonts w:hint="eastAsia"/>
          <w:b/>
          <w:bCs/>
          <w:rtl/>
        </w:rPr>
        <w:t> </w:t>
      </w:r>
      <w:r>
        <w:rPr>
          <w:rFonts w:hint="cs"/>
          <w:b/>
          <w:bCs/>
          <w:rtl/>
        </w:rPr>
        <w:t>الاتفاقية.</w:t>
      </w:r>
    </w:p>
    <w:p w:rsidR="00ED2F77" w:rsidRDefault="00ED2F77" w:rsidP="00A83CF9">
      <w:pPr>
        <w:pStyle w:val="H23GA"/>
        <w:spacing w:line="370" w:lineRule="exact"/>
        <w:rPr>
          <w:rFonts w:hint="cs"/>
          <w:rtl/>
          <w:lang w:val="fr-CH" w:bidi="ar-MA"/>
        </w:rPr>
      </w:pPr>
      <w:r>
        <w:rPr>
          <w:rFonts w:hint="cs"/>
          <w:rtl/>
          <w:lang w:val="fr-CH" w:bidi="ar-MA"/>
        </w:rPr>
        <w:tab/>
      </w:r>
      <w:r>
        <w:rPr>
          <w:rFonts w:hint="cs"/>
          <w:rtl/>
          <w:lang w:val="fr-CH" w:bidi="ar-MA"/>
        </w:rPr>
        <w:tab/>
        <w:t>قانون العفو</w:t>
      </w:r>
    </w:p>
    <w:p w:rsidR="00ED2F77" w:rsidRDefault="009948BE" w:rsidP="00A83CF9">
      <w:pPr>
        <w:pStyle w:val="SingleTxtGA"/>
        <w:spacing w:line="370" w:lineRule="exact"/>
        <w:rPr>
          <w:rFonts w:hint="cs"/>
          <w:rtl/>
          <w:lang w:val="fr-CH" w:bidi="ar-MA"/>
        </w:rPr>
      </w:pPr>
      <w:r>
        <w:rPr>
          <w:rFonts w:hint="cs"/>
          <w:rtl/>
          <w:lang w:val="fr-CH" w:bidi="ar-MA"/>
        </w:rPr>
        <w:t>(</w:t>
      </w:r>
      <w:r w:rsidR="00ED2F77" w:rsidRPr="00334294">
        <w:rPr>
          <w:rFonts w:hint="cs"/>
          <w:rtl/>
          <w:lang w:val="fr-CH" w:bidi="ar-MA"/>
        </w:rPr>
        <w:t>7</w:t>
      </w:r>
      <w:r>
        <w:rPr>
          <w:rFonts w:hint="cs"/>
          <w:rtl/>
          <w:lang w:val="fr-CH" w:bidi="ar-MA"/>
        </w:rPr>
        <w:t>)</w:t>
      </w:r>
      <w:r w:rsidR="00ED2F77" w:rsidRPr="00334294">
        <w:rPr>
          <w:rFonts w:hint="cs"/>
          <w:rtl/>
          <w:lang w:val="fr-CH" w:bidi="ar-MA"/>
        </w:rPr>
        <w:tab/>
      </w:r>
      <w:r w:rsidR="00ED2F77">
        <w:rPr>
          <w:rFonts w:hint="cs"/>
          <w:rtl/>
          <w:lang w:val="fr-CH" w:bidi="ar-MA"/>
        </w:rPr>
        <w:t>يساور اللجنة قلق بالغ إزاء منح</w:t>
      </w:r>
      <w:r w:rsidR="00ED2F77" w:rsidRPr="00334294">
        <w:rPr>
          <w:rFonts w:hint="cs"/>
          <w:rtl/>
          <w:lang w:val="fr-CH" w:bidi="ar-MA"/>
        </w:rPr>
        <w:t xml:space="preserve"> قانون العفو لعام 2011</w:t>
      </w:r>
      <w:r w:rsidR="00ED2F77">
        <w:rPr>
          <w:rFonts w:hint="cs"/>
          <w:rtl/>
          <w:lang w:val="fr-CH" w:bidi="ar-MA"/>
        </w:rPr>
        <w:t xml:space="preserve"> سلطة تقدي</w:t>
      </w:r>
      <w:r>
        <w:rPr>
          <w:rFonts w:hint="cs"/>
          <w:rtl/>
          <w:lang w:val="fr-CH" w:bidi="ar-MA"/>
        </w:rPr>
        <w:t xml:space="preserve">رية واسعة </w:t>
      </w:r>
      <w:r w:rsidR="00ED2F77">
        <w:rPr>
          <w:rFonts w:hint="cs"/>
          <w:rtl/>
          <w:lang w:val="fr-CH" w:bidi="ar-MA"/>
        </w:rPr>
        <w:t>نوعاً</w:t>
      </w:r>
      <w:r>
        <w:rPr>
          <w:rFonts w:hint="eastAsia"/>
          <w:rtl/>
          <w:lang w:val="fr-CH" w:bidi="ar-MA"/>
        </w:rPr>
        <w:t> </w:t>
      </w:r>
      <w:r w:rsidR="00ED2F77">
        <w:rPr>
          <w:rFonts w:hint="cs"/>
          <w:rtl/>
          <w:lang w:val="fr-CH" w:bidi="ar-MA"/>
        </w:rPr>
        <w:t>ما إلى أجهزة الملاحقة القضائية تخول لها تخفيف أو خفض أو وقف العقوبات المنزلة بالأشخاص المدانين بارتكاب جرائم التعذيب، بما في ذلك قضية إدانة ثلاثة من ضباط الشرطة بسبب ضلوعهم في وفاة إسماعيل باشايونوف أثناء الاحتجاز (المادة 2).</w:t>
      </w:r>
    </w:p>
    <w:p w:rsidR="00ED2F77" w:rsidRPr="00565EFB" w:rsidRDefault="00ED2F77" w:rsidP="00A83CF9">
      <w:pPr>
        <w:pStyle w:val="SingleTxtGA"/>
        <w:spacing w:line="370" w:lineRule="exact"/>
        <w:rPr>
          <w:rFonts w:hint="cs"/>
          <w:b/>
          <w:bCs/>
          <w:rtl/>
          <w:lang w:val="fr-CH" w:bidi="ar-MA"/>
        </w:rPr>
      </w:pPr>
      <w:r>
        <w:rPr>
          <w:rFonts w:hint="cs"/>
          <w:b/>
          <w:bCs/>
          <w:rtl/>
          <w:lang w:val="fr-CH" w:bidi="ar-MA"/>
        </w:rPr>
        <w:tab/>
      </w:r>
      <w:r w:rsidRPr="00565EFB">
        <w:rPr>
          <w:rFonts w:hint="cs"/>
          <w:b/>
          <w:bCs/>
          <w:rtl/>
          <w:lang w:val="fr-CH" w:bidi="ar-MA"/>
        </w:rPr>
        <w:t>ينبغي أن تكفل الدولة الطرف أن يتضمن قانون العفو أحكاماً واضحة تنص على أنه لن يحق لأي شخص مدان بارتكاب جريمة التعذيب أن يستفيد من العفو، وأن تضمن الامتثال الصارم لذلك الحظر عملياً.</w:t>
      </w:r>
    </w:p>
    <w:p w:rsidR="00ED2F77" w:rsidRDefault="00ED2F77" w:rsidP="00A83CF9">
      <w:pPr>
        <w:pStyle w:val="H23GA"/>
        <w:spacing w:line="370" w:lineRule="exact"/>
        <w:rPr>
          <w:rFonts w:hint="cs"/>
          <w:rtl/>
          <w:lang w:val="fr-CH" w:bidi="ar-MA"/>
        </w:rPr>
      </w:pPr>
      <w:r>
        <w:rPr>
          <w:rFonts w:hint="cs"/>
          <w:rtl/>
          <w:lang w:val="fr-CH" w:bidi="ar-MA"/>
        </w:rPr>
        <w:tab/>
      </w:r>
      <w:r>
        <w:rPr>
          <w:rFonts w:hint="cs"/>
          <w:rtl/>
          <w:lang w:val="fr-CH" w:bidi="ar-MA"/>
        </w:rPr>
        <w:tab/>
        <w:t>الضمانات القانونية الأساسية</w:t>
      </w:r>
    </w:p>
    <w:p w:rsidR="00ED2F77" w:rsidRDefault="009948BE" w:rsidP="00A83CF9">
      <w:pPr>
        <w:pStyle w:val="SingleTxtGA"/>
        <w:spacing w:line="370" w:lineRule="exact"/>
        <w:rPr>
          <w:rFonts w:hint="cs"/>
          <w:rtl/>
          <w:lang w:val="fr-CH" w:bidi="ar-MA"/>
        </w:rPr>
      </w:pPr>
      <w:r>
        <w:rPr>
          <w:rFonts w:hint="cs"/>
          <w:rtl/>
          <w:lang w:val="fr-CH" w:bidi="ar-MA"/>
        </w:rPr>
        <w:t>(</w:t>
      </w:r>
      <w:r w:rsidR="00ED2F77" w:rsidRPr="00C336C8">
        <w:rPr>
          <w:rFonts w:hint="cs"/>
          <w:rtl/>
          <w:lang w:val="fr-CH" w:bidi="ar-MA"/>
        </w:rPr>
        <w:t>8</w:t>
      </w:r>
      <w:r>
        <w:rPr>
          <w:rFonts w:hint="cs"/>
          <w:rtl/>
          <w:lang w:val="fr-CH" w:bidi="ar-MA"/>
        </w:rPr>
        <w:t>)</w:t>
      </w:r>
      <w:r w:rsidR="00ED2F77" w:rsidRPr="00C336C8">
        <w:rPr>
          <w:rFonts w:hint="cs"/>
          <w:rtl/>
          <w:lang w:val="fr-CH" w:bidi="ar-MA"/>
        </w:rPr>
        <w:tab/>
        <w:t>تحيط اللجنة علماً</w:t>
      </w:r>
      <w:r w:rsidR="00ED2F77">
        <w:rPr>
          <w:rFonts w:hint="cs"/>
          <w:rtl/>
          <w:lang w:val="fr-CH" w:bidi="ar-MA"/>
        </w:rPr>
        <w:t xml:space="preserve"> بالضمانات الإجرائية المدرجة في قانون الإجراءات الجنائية لعام</w:t>
      </w:r>
      <w:r>
        <w:rPr>
          <w:rFonts w:hint="eastAsia"/>
          <w:rtl/>
          <w:lang w:val="fr-CH" w:bidi="ar-MA"/>
        </w:rPr>
        <w:t> </w:t>
      </w:r>
      <w:r w:rsidR="00ED2F77">
        <w:rPr>
          <w:rFonts w:hint="cs"/>
          <w:rtl/>
          <w:lang w:val="fr-CH" w:bidi="ar-MA"/>
        </w:rPr>
        <w:t>2010، بما فيها تسجيل المحتجزين في ظرف ثلاث ساعات بعد وصولهم إلى مركز الشرطة (المادة 94-1) والحق في الاستعانة بمحام (المادتان 22-1 و49-2)، والحق في عدم الاحتجاز لأكثر من 72 ساعة اعتباراً من لحظة الاعتقال (المادة 92-3). ولكن اللجنة تعرب عن قلقها لكون عدم الوضوح إزاء الزمن الذي يُعتبر فيه الشخص محتجزاً بموجب هذا القانون (المادة 91-1)، يحول دون تمتع المحتجزين بضمانات قانونية أساسية خلال الفترة الفاصلة بين الاعتقال والاعتراف رسمياً بالاحتجاز. وقد أفادت التقارير أنه من الناحية العملية وفي معظم الحالات، لا يتمتع المحتجزون بالحق في الاتصال فوراً بمحام واستشارة طبيب مستقل، ولا بالحق في إخطار أفراد أسرهم، وغير ذلك من الضمانات القانونية لكفالة حمايتهم من التعذيب. وتشعر اللجنة بالقلق خاصة إزاء ادعاءات عديدة تفيد بتقصير المسؤولين في دوائر الشرطة في الاحتفاظ بسجلات دقيقة لجميع فترات الحرمان من الحرية؛ وتسجيل المشتبه فيهم في ظرف ثلاث ساعات بعد وصولهم إلى مركز الشرطة؛ والتقيد بالحد الزمني الأقصى الذي يبلغ 72 ساعة لإطلاق سراح المشتبه فيهم أو نقلهم من مركز للشرطة إلى مرافق الاحتجاز قبل المحاكمة؛ وإخطار أفراد الأسرة بنقل المحتجزين من مكان احتجاز إلى آخر. إضافة إلى ذلك، يساور اللجنة القلق إزاء سماح المادة 111-1 من قانون الإجراءات الجنائية للقضاة بإجازة الاحتجاز قبل المحاكمة استناداً إلى مجرد خطورة الجريمة المزعومة، وإمكانية تمديده إلى غاية 18 شهراً (المادة 2).</w:t>
      </w:r>
    </w:p>
    <w:p w:rsidR="00ED2F77" w:rsidRDefault="00ED2F77" w:rsidP="009948BE">
      <w:pPr>
        <w:pStyle w:val="SingleTxtGA"/>
        <w:spacing w:line="360" w:lineRule="exact"/>
        <w:rPr>
          <w:rFonts w:hint="cs"/>
          <w:b/>
          <w:bCs/>
          <w:rtl/>
          <w:lang w:val="fr-CH" w:bidi="ar-MA"/>
        </w:rPr>
      </w:pPr>
      <w:r>
        <w:rPr>
          <w:rFonts w:hint="cs"/>
          <w:b/>
          <w:bCs/>
          <w:rtl/>
          <w:lang w:val="fr-CH" w:bidi="ar-MA"/>
        </w:rPr>
        <w:tab/>
      </w:r>
      <w:r w:rsidRPr="00CC0988">
        <w:rPr>
          <w:rFonts w:hint="cs"/>
          <w:b/>
          <w:bCs/>
          <w:rtl/>
          <w:lang w:val="fr-CH" w:bidi="ar-MA"/>
        </w:rPr>
        <w:t xml:space="preserve">تحث </w:t>
      </w:r>
      <w:r>
        <w:rPr>
          <w:rFonts w:hint="cs"/>
          <w:b/>
          <w:bCs/>
          <w:rtl/>
          <w:lang w:val="fr-CH" w:bidi="ar-MA"/>
        </w:rPr>
        <w:t>اللجنة الدولة الطرف على اتخاذ تدابير فورية وفعالة تضمن، قانونياً وعملياً، تمكين جميع المحتجزين من الضمانات القانونية كافة منذ بداية اعتقالهم. وبالأخص، ينبغي للدولة الطرف أن تقوم بما يلي:</w:t>
      </w:r>
    </w:p>
    <w:p w:rsidR="00ED2F77" w:rsidRDefault="00ED2F77" w:rsidP="009948BE">
      <w:pPr>
        <w:pStyle w:val="SingleTxtGA"/>
        <w:spacing w:line="360" w:lineRule="exact"/>
        <w:rPr>
          <w:rFonts w:hint="cs"/>
          <w:b/>
          <w:bCs/>
          <w:lang w:val="fr-CH" w:bidi="ar-MA"/>
        </w:rPr>
      </w:pPr>
      <w:r>
        <w:rPr>
          <w:rFonts w:hint="cs"/>
          <w:b/>
          <w:bCs/>
          <w:rtl/>
          <w:lang w:val="fr-CH" w:bidi="ar-MA"/>
        </w:rPr>
        <w:tab/>
        <w:t>(أ)</w:t>
      </w:r>
      <w:r>
        <w:rPr>
          <w:rFonts w:hint="cs"/>
          <w:b/>
          <w:bCs/>
          <w:rtl/>
          <w:lang w:val="fr-CH" w:bidi="ar-MA"/>
        </w:rPr>
        <w:tab/>
        <w:t>تعديل قانون الإجراءات الجنائية لضمان أن يبدأ الإيقاف من لحظة الاعتقال الفعلية؛</w:t>
      </w:r>
    </w:p>
    <w:p w:rsidR="00ED2F77" w:rsidRDefault="00ED2F77" w:rsidP="009948BE">
      <w:pPr>
        <w:pStyle w:val="SingleTxtGA"/>
        <w:spacing w:line="360" w:lineRule="exact"/>
        <w:rPr>
          <w:rFonts w:hint="cs"/>
          <w:b/>
          <w:bCs/>
          <w:lang w:val="fr-CH" w:bidi="ar-MA"/>
        </w:rPr>
      </w:pPr>
      <w:r>
        <w:rPr>
          <w:rFonts w:hint="cs"/>
          <w:b/>
          <w:bCs/>
          <w:rtl/>
          <w:lang w:val="fr-CH" w:bidi="ar-MA"/>
        </w:rPr>
        <w:tab/>
        <w:t>(ب)</w:t>
      </w:r>
      <w:r>
        <w:rPr>
          <w:rFonts w:hint="cs"/>
          <w:b/>
          <w:bCs/>
          <w:rtl/>
          <w:lang w:val="fr-CH" w:bidi="ar-MA"/>
        </w:rPr>
        <w:tab/>
        <w:t>إنشاء سجل رسمي مركزي يُدَوَّن فيه الاعتقال بدقة وفوراً، بما في ذلك العناصر التالية كحد أدنى: ‘1‘ توقيت الاعتقال؛ ‘2‘ سبب الاعتقال؛ ‘3‘ أسماء الضباط الذين قاموا بعملية الاعتقال؛ ‘4‘ مكان الاحتجاز وأي حالات نقل لاحقاً؛ و‘5‘ أسماء الضباط المسؤولين عن المحتجزين في السجن. وينبغي مساءلة الضباط المسؤولين الذين يقصرون في تسجيل تلك المعلومات؛</w:t>
      </w:r>
    </w:p>
    <w:p w:rsidR="00ED2F77" w:rsidRDefault="00ED2F77" w:rsidP="009948BE">
      <w:pPr>
        <w:pStyle w:val="SingleTxtGA"/>
        <w:spacing w:line="360" w:lineRule="exact"/>
        <w:rPr>
          <w:rFonts w:hint="cs"/>
          <w:b/>
          <w:bCs/>
          <w:lang w:val="fr-CH" w:bidi="ar-MA"/>
        </w:rPr>
      </w:pPr>
      <w:r>
        <w:rPr>
          <w:rFonts w:hint="cs"/>
          <w:b/>
          <w:bCs/>
          <w:rtl/>
          <w:lang w:val="fr-CH" w:bidi="ar-MA"/>
        </w:rPr>
        <w:tab/>
        <w:t>(ج)</w:t>
      </w:r>
      <w:r>
        <w:rPr>
          <w:rFonts w:hint="cs"/>
          <w:b/>
          <w:bCs/>
          <w:rtl/>
          <w:lang w:val="fr-CH" w:bidi="ar-MA"/>
        </w:rPr>
        <w:tab/>
        <w:t>ضمان إطلاع المشتبه فيهم منذ لحظة اعتقالهم على حقوقهم وعلى أسباب احتجازهم؛</w:t>
      </w:r>
    </w:p>
    <w:p w:rsidR="00ED2F77" w:rsidRPr="009948BE" w:rsidRDefault="00ED2F77" w:rsidP="009948BE">
      <w:pPr>
        <w:pStyle w:val="SingleTxtGA"/>
        <w:spacing w:line="360" w:lineRule="exact"/>
        <w:rPr>
          <w:rFonts w:ascii="Times New Roman Bold" w:hAnsi="Times New Roman Bold" w:hint="cs"/>
          <w:b/>
          <w:bCs/>
          <w:spacing w:val="-4"/>
          <w:lang w:val="fr-CH" w:bidi="ar-MA"/>
        </w:rPr>
      </w:pPr>
      <w:r w:rsidRPr="009948BE">
        <w:rPr>
          <w:rFonts w:ascii="Times New Roman Bold" w:hAnsi="Times New Roman Bold" w:hint="cs"/>
          <w:b/>
          <w:bCs/>
          <w:spacing w:val="-4"/>
          <w:rtl/>
          <w:lang w:val="fr-CH" w:bidi="ar-MA"/>
        </w:rPr>
        <w:tab/>
        <w:t>(د)</w:t>
      </w:r>
      <w:r w:rsidRPr="009948BE">
        <w:rPr>
          <w:rFonts w:ascii="Times New Roman Bold" w:hAnsi="Times New Roman Bold" w:hint="cs"/>
          <w:b/>
          <w:bCs/>
          <w:spacing w:val="-4"/>
          <w:rtl/>
          <w:lang w:val="fr-CH" w:bidi="ar-MA"/>
        </w:rPr>
        <w:tab/>
        <w:t>ضمان حق المحتجز في الاتصال بمحام من اختياره منذ لحظة اعتقاله والتشاور في جو من الخصوصية، بما في ذلك من خلال اعتماد أحكام قانونية في هذا الصدد؛</w:t>
      </w:r>
    </w:p>
    <w:p w:rsidR="00ED2F77" w:rsidRDefault="00ED2F77" w:rsidP="009948BE">
      <w:pPr>
        <w:pStyle w:val="SingleTxtGA"/>
        <w:spacing w:line="360" w:lineRule="exact"/>
        <w:rPr>
          <w:rFonts w:hint="cs"/>
          <w:b/>
          <w:bCs/>
          <w:lang w:val="fr-CH" w:bidi="ar-MA"/>
        </w:rPr>
      </w:pPr>
      <w:r>
        <w:rPr>
          <w:rFonts w:hint="cs"/>
          <w:b/>
          <w:bCs/>
          <w:rtl/>
          <w:lang w:val="fr-CH" w:bidi="ar-MA"/>
        </w:rPr>
        <w:tab/>
        <w:t>(</w:t>
      </w:r>
      <w:r w:rsidRPr="00142BC2">
        <w:rPr>
          <w:rFonts w:hint="cs"/>
          <w:b/>
          <w:bCs/>
          <w:sz w:val="30"/>
          <w:rtl/>
          <w:lang w:val="fr-CH" w:bidi="ar-MA"/>
        </w:rPr>
        <w:t>ﻫ</w:t>
      </w:r>
      <w:r>
        <w:rPr>
          <w:rFonts w:hint="cs"/>
          <w:b/>
          <w:bCs/>
          <w:rtl/>
          <w:lang w:val="fr-CH" w:bidi="ar-MA"/>
        </w:rPr>
        <w:t>)</w:t>
      </w:r>
      <w:r>
        <w:rPr>
          <w:rFonts w:hint="cs"/>
          <w:b/>
          <w:bCs/>
          <w:rtl/>
          <w:lang w:val="fr-CH" w:bidi="ar-MA"/>
        </w:rPr>
        <w:tab/>
        <w:t>ضمان خضوع أي شخص يصل إلى مرفق من مرافق الاحتجاز إلى فحص طبي اعتيادي، وإتاحة استشارة المحتجز لأطباء مستقلين عندما يطلب ذلك دون تقييد تلك الاستشارة بإذن أو طلب من المسؤولين؛</w:t>
      </w:r>
    </w:p>
    <w:p w:rsidR="00ED2F77" w:rsidRDefault="00ED2F77" w:rsidP="009948BE">
      <w:pPr>
        <w:pStyle w:val="SingleTxtGA"/>
        <w:spacing w:line="360" w:lineRule="exact"/>
        <w:rPr>
          <w:rFonts w:hint="cs"/>
          <w:b/>
          <w:bCs/>
          <w:lang w:val="fr-CH" w:bidi="ar-MA"/>
        </w:rPr>
      </w:pPr>
      <w:r>
        <w:rPr>
          <w:rFonts w:hint="cs"/>
          <w:b/>
          <w:bCs/>
          <w:rtl/>
          <w:lang w:val="fr-CH" w:bidi="ar-MA"/>
        </w:rPr>
        <w:tab/>
        <w:t>(و)</w:t>
      </w:r>
      <w:r>
        <w:rPr>
          <w:rFonts w:hint="cs"/>
          <w:b/>
          <w:bCs/>
          <w:rtl/>
          <w:lang w:val="fr-CH" w:bidi="ar-MA"/>
        </w:rPr>
        <w:tab/>
        <w:t>التكليف بمثول المحتجز فوراً أمام القاضي، تماشياً مع المعايير الدولية، وخفض مدة ا</w:t>
      </w:r>
      <w:r w:rsidRPr="00382798">
        <w:rPr>
          <w:rFonts w:hint="cs"/>
          <w:b/>
          <w:bCs/>
          <w:sz w:val="30"/>
          <w:rtl/>
          <w:lang w:val="fr-CH" w:bidi="ar-MA"/>
        </w:rPr>
        <w:t>ل‍</w:t>
      </w:r>
      <w:r>
        <w:rPr>
          <w:rFonts w:hint="cs"/>
          <w:b/>
          <w:bCs/>
          <w:rtl/>
          <w:lang w:val="fr-CH" w:bidi="ar-MA"/>
        </w:rPr>
        <w:t xml:space="preserve"> 72 ساعة احتجاز لدى الشرطة؛</w:t>
      </w:r>
    </w:p>
    <w:p w:rsidR="00ED2F77" w:rsidRDefault="00ED2F77" w:rsidP="009948BE">
      <w:pPr>
        <w:pStyle w:val="SingleTxtGA"/>
        <w:spacing w:line="360" w:lineRule="exact"/>
        <w:rPr>
          <w:rFonts w:hint="cs"/>
          <w:b/>
          <w:bCs/>
          <w:lang w:val="fr-CH" w:bidi="ar-MA"/>
        </w:rPr>
      </w:pPr>
      <w:r>
        <w:rPr>
          <w:rFonts w:hint="cs"/>
          <w:b/>
          <w:bCs/>
          <w:rtl/>
          <w:lang w:val="fr-CH" w:bidi="ar-MA"/>
        </w:rPr>
        <w:tab/>
        <w:t>(ز)</w:t>
      </w:r>
      <w:r>
        <w:rPr>
          <w:rFonts w:hint="cs"/>
          <w:b/>
          <w:bCs/>
          <w:rtl/>
          <w:lang w:val="fr-CH" w:bidi="ar-MA"/>
        </w:rPr>
        <w:tab/>
        <w:t>تعديل قانون الإجراءات الجنائية لإلغاء مدة ا</w:t>
      </w:r>
      <w:r w:rsidRPr="00A3699D">
        <w:rPr>
          <w:rFonts w:hint="cs"/>
          <w:b/>
          <w:bCs/>
          <w:sz w:val="30"/>
          <w:rtl/>
          <w:lang w:val="fr-CH" w:bidi="ar-MA"/>
        </w:rPr>
        <w:t>ل‍</w:t>
      </w:r>
      <w:r>
        <w:rPr>
          <w:rFonts w:hint="cs"/>
          <w:b/>
          <w:bCs/>
          <w:rtl/>
          <w:lang w:val="fr-CH" w:bidi="ar-MA"/>
        </w:rPr>
        <w:t xml:space="preserve"> 12 ساعة التي يقوم في ظرفها الموظفون المعنيون بإنفاذ القانون بإخطار أفراد أسرة المحتجز باعتقاله؛</w:t>
      </w:r>
    </w:p>
    <w:p w:rsidR="00ED2F77" w:rsidRPr="00CC0988" w:rsidRDefault="00ED2F77" w:rsidP="009948BE">
      <w:pPr>
        <w:pStyle w:val="SingleTxtGA"/>
        <w:spacing w:line="360" w:lineRule="exact"/>
        <w:rPr>
          <w:rFonts w:hint="cs"/>
          <w:b/>
          <w:bCs/>
          <w:rtl/>
          <w:lang w:val="fr-CH" w:bidi="ar-MA"/>
        </w:rPr>
      </w:pPr>
      <w:r>
        <w:rPr>
          <w:rFonts w:hint="cs"/>
          <w:b/>
          <w:bCs/>
          <w:rtl/>
          <w:lang w:val="fr-CH" w:bidi="ar-MA"/>
        </w:rPr>
        <w:tab/>
        <w:t>(ح)</w:t>
      </w:r>
      <w:r>
        <w:rPr>
          <w:rFonts w:hint="cs"/>
          <w:b/>
          <w:bCs/>
          <w:rtl/>
          <w:lang w:val="fr-CH" w:bidi="ar-MA"/>
        </w:rPr>
        <w:tab/>
        <w:t>تعديل قانون الإجراءات الجنائية لضمان عدم إجازة المحاكم للاحتجاز قبل المحاكمة استناداً إلى خطورة الجريمة المزعومة فقط، وعدم قابلية فترات الاحتجاز قبل المحاكمة للتمديد متى عجزت جهة الادعاء عن تقديم مبررات قوية لبقاء الشخص رهن</w:t>
      </w:r>
      <w:r w:rsidR="009948BE">
        <w:rPr>
          <w:rFonts w:hint="eastAsia"/>
          <w:b/>
          <w:bCs/>
          <w:rtl/>
          <w:lang w:val="fr-CH" w:bidi="ar-MA"/>
        </w:rPr>
        <w:t> </w:t>
      </w:r>
      <w:r>
        <w:rPr>
          <w:rFonts w:hint="cs"/>
          <w:b/>
          <w:bCs/>
          <w:rtl/>
          <w:lang w:val="fr-CH" w:bidi="ar-MA"/>
        </w:rPr>
        <w:t>الاحتجاز.</w:t>
      </w:r>
    </w:p>
    <w:p w:rsidR="00ED2F77" w:rsidRDefault="00ED2F77" w:rsidP="00ED2F77">
      <w:pPr>
        <w:pStyle w:val="H23GA"/>
        <w:rPr>
          <w:rFonts w:hint="cs"/>
          <w:rtl/>
          <w:lang w:val="fr-CH" w:bidi="ar-MA"/>
        </w:rPr>
      </w:pPr>
      <w:r>
        <w:rPr>
          <w:rFonts w:hint="cs"/>
          <w:rtl/>
          <w:lang w:val="fr-CH" w:bidi="ar-MA"/>
        </w:rPr>
        <w:tab/>
      </w:r>
      <w:r>
        <w:rPr>
          <w:rFonts w:hint="cs"/>
          <w:rtl/>
          <w:lang w:val="fr-CH" w:bidi="ar-MA"/>
        </w:rPr>
        <w:tab/>
        <w:t>الادعاءات بالتعذيب وإساءة المعاملة</w:t>
      </w:r>
    </w:p>
    <w:p w:rsidR="00ED2F77" w:rsidRPr="008C4C15" w:rsidRDefault="009948BE" w:rsidP="009948BE">
      <w:pPr>
        <w:pStyle w:val="SingleTxtGA"/>
        <w:rPr>
          <w:rFonts w:hint="cs"/>
          <w:rtl/>
          <w:lang w:val="fr-CH" w:bidi="ar-MA"/>
        </w:rPr>
      </w:pPr>
      <w:r>
        <w:rPr>
          <w:rFonts w:hint="cs"/>
          <w:rtl/>
          <w:lang w:val="fr-CH" w:bidi="ar-MA"/>
        </w:rPr>
        <w:t>(</w:t>
      </w:r>
      <w:r w:rsidR="00ED2F77" w:rsidRPr="008C4C15">
        <w:rPr>
          <w:rFonts w:hint="cs"/>
          <w:rtl/>
          <w:lang w:val="fr-CH" w:bidi="ar-MA"/>
        </w:rPr>
        <w:t>9</w:t>
      </w:r>
      <w:r>
        <w:rPr>
          <w:rFonts w:hint="cs"/>
          <w:rtl/>
          <w:lang w:val="fr-CH" w:bidi="ar-MA"/>
        </w:rPr>
        <w:t>)</w:t>
      </w:r>
      <w:r w:rsidR="00ED2F77" w:rsidRPr="008C4C15">
        <w:rPr>
          <w:rFonts w:hint="cs"/>
          <w:rtl/>
          <w:lang w:val="fr-CH" w:bidi="ar-MA"/>
        </w:rPr>
        <w:tab/>
        <w:t>يساور اللجنة بالغ القلق إزاء الادعاءات العديدة والمتسقة التي تؤيدها مصادر مختلفة بشأن اللجوء إلى تعذيب المشتبه بهم وإساءة معاملتهم بصورة روتينية، لا سيما بهدف انتزاع اعترافات منهم لاستخدامها في الإجراءات الجنائية، وذلك أساساً خلال الساعات الأولى من الاستجواب أثناء الاحتجاز في مراكز الشرطة ومرافق الاحتجاز المؤقت والسابق للمحاكمة التي تديرها اللجنة الحكومية المعنية بالأمن الوطني وإدارة مكافحة الجريمة المنظمة (المواد 2 و10 و11 و12 و13 و15 و16).</w:t>
      </w:r>
    </w:p>
    <w:p w:rsidR="00ED2F77" w:rsidRDefault="00ED2F77" w:rsidP="00086AA1">
      <w:pPr>
        <w:pStyle w:val="SingleTxtGA"/>
        <w:spacing w:line="370" w:lineRule="exact"/>
        <w:rPr>
          <w:rFonts w:hint="cs"/>
          <w:b/>
          <w:bCs/>
          <w:rtl/>
          <w:lang w:val="fr-CH" w:bidi="ar-MA"/>
        </w:rPr>
      </w:pPr>
      <w:r>
        <w:rPr>
          <w:rFonts w:hint="cs"/>
          <w:b/>
          <w:bCs/>
          <w:rtl/>
          <w:lang w:val="fr-CH" w:bidi="ar-MA"/>
        </w:rPr>
        <w:tab/>
        <w:t>ينبغي أن تتخذ الدولة الطرف، على سبيل الاستعجال، خطوات فورية وفعالة للقضاء على أعمال التعذيب وسوء المعاملة ومنع وقوعها في جميع أنحاء البلد، لا سيما عند الاحتجاز في مراكز الشرطة ومرافق الاحتجاز المؤقت والسابق للمحاكمة التي تديرها اللجنة الحكومية المعنية بالأمن الوطني وإدارة مكافحة الجريمة المنظمة. كما تحث اللجنة الدولة الطرف على القيام بما يلي:</w:t>
      </w:r>
    </w:p>
    <w:p w:rsidR="00ED2F77" w:rsidRDefault="00ED2F77" w:rsidP="00086AA1">
      <w:pPr>
        <w:pStyle w:val="SingleTxtGA"/>
        <w:spacing w:line="370" w:lineRule="exact"/>
        <w:rPr>
          <w:rFonts w:hint="cs"/>
          <w:b/>
          <w:bCs/>
          <w:lang w:val="fr-CH" w:bidi="ar-MA"/>
        </w:rPr>
      </w:pPr>
      <w:r>
        <w:rPr>
          <w:rFonts w:hint="cs"/>
          <w:b/>
          <w:bCs/>
          <w:rtl/>
          <w:lang w:val="fr-CH" w:bidi="ar-MA"/>
        </w:rPr>
        <w:tab/>
        <w:t>(أ)</w:t>
      </w:r>
      <w:r>
        <w:rPr>
          <w:rFonts w:hint="cs"/>
          <w:b/>
          <w:bCs/>
          <w:rtl/>
          <w:lang w:val="fr-CH" w:bidi="ar-MA"/>
        </w:rPr>
        <w:tab/>
        <w:t>التحقيق في جميع حوادث وادعاءات التعذيب وسوء المعاملة على نحو سريع وفعال ونزيه؛</w:t>
      </w:r>
    </w:p>
    <w:p w:rsidR="00ED2F77" w:rsidRDefault="00ED2F77" w:rsidP="00086AA1">
      <w:pPr>
        <w:pStyle w:val="SingleTxtGA"/>
        <w:spacing w:line="370" w:lineRule="exact"/>
        <w:rPr>
          <w:rFonts w:hint="cs"/>
          <w:b/>
          <w:bCs/>
          <w:lang w:val="fr-CH" w:bidi="ar-MA"/>
        </w:rPr>
      </w:pPr>
      <w:r>
        <w:rPr>
          <w:rFonts w:hint="cs"/>
          <w:b/>
          <w:bCs/>
          <w:rtl/>
          <w:lang w:val="fr-CH" w:bidi="ar-MA"/>
        </w:rPr>
        <w:tab/>
        <w:t>(ب)</w:t>
      </w:r>
      <w:r>
        <w:rPr>
          <w:rFonts w:hint="cs"/>
          <w:b/>
          <w:bCs/>
          <w:rtl/>
          <w:lang w:val="fr-CH" w:bidi="ar-MA"/>
        </w:rPr>
        <w:tab/>
        <w:t>مقاضاة المسؤولين عن ارتكاب تلك الأعمال، والإبلاغ علناً عن نتائج هذه المقاضاة؛</w:t>
      </w:r>
    </w:p>
    <w:p w:rsidR="00ED2F77" w:rsidRPr="0082504C" w:rsidRDefault="00ED2F77" w:rsidP="00086AA1">
      <w:pPr>
        <w:pStyle w:val="SingleTxtGA"/>
        <w:spacing w:line="370" w:lineRule="exact"/>
        <w:rPr>
          <w:rFonts w:hint="cs"/>
          <w:b/>
          <w:bCs/>
          <w:lang w:val="fr-CH" w:bidi="ar-MA"/>
        </w:rPr>
      </w:pPr>
      <w:r>
        <w:rPr>
          <w:rFonts w:hint="cs"/>
          <w:b/>
          <w:bCs/>
          <w:rtl/>
          <w:lang w:val="fr-CH"/>
        </w:rPr>
        <w:tab/>
        <w:t>(ج)</w:t>
      </w:r>
      <w:r>
        <w:rPr>
          <w:rFonts w:hint="cs"/>
          <w:b/>
          <w:bCs/>
          <w:rtl/>
          <w:lang w:val="fr-CH"/>
        </w:rPr>
        <w:tab/>
        <w:t>الاحتفاظ</w:t>
      </w:r>
      <w:r w:rsidRPr="007403DB">
        <w:rPr>
          <w:b/>
          <w:bCs/>
          <w:rtl/>
        </w:rPr>
        <w:t xml:space="preserve"> بتسجيلات مصورة لجميع إجراءات </w:t>
      </w:r>
      <w:r>
        <w:rPr>
          <w:rFonts w:hint="cs"/>
          <w:b/>
          <w:bCs/>
          <w:rtl/>
        </w:rPr>
        <w:t>الاستجواب وتركيب</w:t>
      </w:r>
      <w:r w:rsidRPr="007403DB">
        <w:rPr>
          <w:b/>
          <w:bCs/>
          <w:rtl/>
        </w:rPr>
        <w:t xml:space="preserve"> وسائل المراقبة بالفيديو في كل أرجاء مرافق الاحتجاز التي قد يوجد فيها محتجزون، باستثناء الحالات التي قد يُنتهَك فيها حق المحتجزين في حرمة خصوصياتهم أو سرية تواصلهم مع محاميهم أو مع طبيب. وينبغي حفظ هذه التسجيلات في مرافق آمنة وإتاحة إمكانية الاطلاع عليها للمحققين وللمحتجزين و</w:t>
      </w:r>
      <w:r>
        <w:rPr>
          <w:rFonts w:hint="cs"/>
          <w:b/>
          <w:bCs/>
          <w:rtl/>
        </w:rPr>
        <w:t>محاميهم</w:t>
      </w:r>
      <w:r w:rsidRPr="007403DB">
        <w:rPr>
          <w:b/>
          <w:bCs/>
          <w:rtl/>
        </w:rPr>
        <w:t>؛</w:t>
      </w:r>
    </w:p>
    <w:p w:rsidR="00ED2F77" w:rsidRDefault="00ED2F77" w:rsidP="00086AA1">
      <w:pPr>
        <w:pStyle w:val="SingleTxtGA"/>
        <w:spacing w:line="370" w:lineRule="exact"/>
        <w:rPr>
          <w:rFonts w:hint="cs"/>
          <w:b/>
          <w:bCs/>
          <w:rtl/>
          <w:lang w:val="fr-CH" w:bidi="ar-MA"/>
        </w:rPr>
      </w:pPr>
      <w:r>
        <w:rPr>
          <w:rFonts w:hint="cs"/>
          <w:b/>
          <w:bCs/>
          <w:rtl/>
          <w:lang w:val="fr-CH" w:bidi="ar-MA"/>
        </w:rPr>
        <w:tab/>
        <w:t>(د)</w:t>
      </w:r>
      <w:r>
        <w:rPr>
          <w:rFonts w:hint="cs"/>
          <w:b/>
          <w:bCs/>
          <w:rtl/>
          <w:lang w:val="fr-CH" w:bidi="ar-MA"/>
        </w:rPr>
        <w:tab/>
        <w:t xml:space="preserve">إعادة تأكيد حظر التعذيب حظراً مطلقاً بشكل لا لبس فيه، والتحذير علناً من أن أي شخص يرتكب هذه الأعمال أو يتواطأ </w:t>
      </w:r>
      <w:r w:rsidR="00C4543B">
        <w:rPr>
          <w:rFonts w:hint="cs"/>
          <w:b/>
          <w:bCs/>
          <w:rtl/>
          <w:lang w:val="fr-CH" w:bidi="ar-MA"/>
        </w:rPr>
        <w:t xml:space="preserve">بشكل من الأشكال في ارتكابها </w:t>
      </w:r>
      <w:r>
        <w:rPr>
          <w:rFonts w:hint="cs"/>
          <w:b/>
          <w:bCs/>
          <w:rtl/>
          <w:lang w:val="fr-CH" w:bidi="ar-MA"/>
        </w:rPr>
        <w:t>أو</w:t>
      </w:r>
      <w:r w:rsidR="00C4543B">
        <w:rPr>
          <w:rFonts w:hint="eastAsia"/>
          <w:b/>
          <w:bCs/>
          <w:rtl/>
          <w:lang w:val="fr-CH" w:bidi="ar-MA"/>
        </w:rPr>
        <w:t> </w:t>
      </w:r>
      <w:r>
        <w:rPr>
          <w:rFonts w:hint="cs"/>
          <w:b/>
          <w:bCs/>
          <w:rtl/>
          <w:lang w:val="fr-CH" w:bidi="ar-MA"/>
        </w:rPr>
        <w:t>السكوت عنها يعتبر مسؤولاً شخصياً أمام القانون عن هذه الأعمال ويخضع للمقاضاة الجنائية ولعقوبات ملائمة.</w:t>
      </w:r>
    </w:p>
    <w:p w:rsidR="00ED2F77" w:rsidRDefault="00ED2F77" w:rsidP="00086AA1">
      <w:pPr>
        <w:pStyle w:val="H23GA"/>
        <w:spacing w:line="370" w:lineRule="exact"/>
        <w:rPr>
          <w:rFonts w:hint="cs"/>
          <w:rtl/>
          <w:lang w:val="fr-CH" w:bidi="ar-MA"/>
        </w:rPr>
      </w:pPr>
      <w:r>
        <w:rPr>
          <w:rFonts w:hint="cs"/>
          <w:rtl/>
          <w:lang w:val="fr-CH" w:bidi="ar-MA"/>
        </w:rPr>
        <w:tab/>
      </w:r>
      <w:r>
        <w:rPr>
          <w:rFonts w:hint="cs"/>
          <w:rtl/>
          <w:lang w:val="fr-CH" w:bidi="ar-MA"/>
        </w:rPr>
        <w:tab/>
        <w:t>الوفيات أثناء الاحتجاز</w:t>
      </w:r>
    </w:p>
    <w:p w:rsidR="00ED2F77" w:rsidRDefault="009948BE" w:rsidP="00086AA1">
      <w:pPr>
        <w:pStyle w:val="SingleTxtGA"/>
        <w:spacing w:line="370" w:lineRule="exact"/>
        <w:rPr>
          <w:rFonts w:hint="cs"/>
          <w:rtl/>
          <w:lang w:val="fr-CH" w:bidi="ar-MA"/>
        </w:rPr>
      </w:pPr>
      <w:r>
        <w:rPr>
          <w:rFonts w:hint="cs"/>
          <w:rtl/>
          <w:lang w:val="fr-CH" w:bidi="ar-MA"/>
        </w:rPr>
        <w:t>(</w:t>
      </w:r>
      <w:r w:rsidR="00ED2F77" w:rsidRPr="00383131">
        <w:rPr>
          <w:rFonts w:hint="cs"/>
          <w:rtl/>
          <w:lang w:val="fr-CH" w:bidi="ar-MA"/>
        </w:rPr>
        <w:t>10</w:t>
      </w:r>
      <w:r>
        <w:rPr>
          <w:rFonts w:hint="cs"/>
          <w:rtl/>
          <w:lang w:val="fr-CH" w:bidi="ar-MA"/>
        </w:rPr>
        <w:t>)</w:t>
      </w:r>
      <w:r w:rsidR="00ED2F77" w:rsidRPr="00383131">
        <w:rPr>
          <w:rFonts w:hint="cs"/>
          <w:rtl/>
          <w:lang w:val="fr-CH" w:bidi="ar-MA"/>
        </w:rPr>
        <w:tab/>
      </w:r>
      <w:r w:rsidR="00ED2F77">
        <w:rPr>
          <w:rFonts w:hint="cs"/>
          <w:rtl/>
          <w:lang w:val="fr-CH" w:bidi="ar-MA"/>
        </w:rPr>
        <w:t>تعرب</w:t>
      </w:r>
      <w:r w:rsidR="00ED2F77" w:rsidRPr="00383131">
        <w:rPr>
          <w:rFonts w:hint="cs"/>
          <w:rtl/>
          <w:lang w:val="fr-CH" w:bidi="ar-MA"/>
        </w:rPr>
        <w:t xml:space="preserve"> اللجنة </w:t>
      </w:r>
      <w:r w:rsidR="00ED2F77">
        <w:rPr>
          <w:rFonts w:hint="cs"/>
          <w:rtl/>
          <w:lang w:val="fr-CH" w:bidi="ar-MA"/>
        </w:rPr>
        <w:t xml:space="preserve">عن </w:t>
      </w:r>
      <w:r w:rsidR="00ED2F77" w:rsidRPr="00383131">
        <w:rPr>
          <w:rFonts w:hint="cs"/>
          <w:rtl/>
          <w:lang w:val="fr-CH" w:bidi="ar-MA"/>
        </w:rPr>
        <w:t>القلق</w:t>
      </w:r>
      <w:r w:rsidR="00ED2F77">
        <w:rPr>
          <w:rFonts w:hint="cs"/>
          <w:rtl/>
          <w:lang w:val="fr-CH" w:bidi="ar-MA"/>
        </w:rPr>
        <w:t xml:space="preserve"> إزاء تقارير واردة من الدولة الطرف ومنظمات غير حكومية بشأن عدة حالات وفيات أثناء الاحتجاز، بما في ذلك وفاة إسمونبوي بوبويف، وعثمان بوبويف، وخورشيد بوبوكالونوف، وألوفودين دافلاتوف، ومورودوف ديلشودبيك، وحمزة إكرومزودا، وخمزالي إكرومزودا، وسفرالي سانغوف، وباهروميدين شودييف. كما تعرب عن قلقها إزاء غياب تحقيقات فعالة ونزيهة في هذه القضايا (المواد 2 و12 و16).</w:t>
      </w:r>
    </w:p>
    <w:p w:rsidR="00ED2F77" w:rsidRPr="00A55327" w:rsidRDefault="00ED2F77" w:rsidP="00086AA1">
      <w:pPr>
        <w:pStyle w:val="SingleTxtGA"/>
        <w:spacing w:line="370" w:lineRule="exact"/>
        <w:rPr>
          <w:b/>
          <w:bCs/>
          <w:lang w:val="fr-CH" w:bidi="ar-MA"/>
        </w:rPr>
      </w:pPr>
      <w:r>
        <w:rPr>
          <w:rFonts w:hint="cs"/>
          <w:b/>
          <w:bCs/>
          <w:rtl/>
          <w:lang w:val="fr-CH" w:bidi="ar-MA"/>
        </w:rPr>
        <w:tab/>
      </w:r>
      <w:r w:rsidRPr="00A55327">
        <w:rPr>
          <w:rFonts w:hint="cs"/>
          <w:b/>
          <w:bCs/>
          <w:rtl/>
          <w:lang w:val="fr-CH" w:bidi="ar-MA"/>
        </w:rPr>
        <w:t xml:space="preserve">تحث اللجنة الدولة الطرف على التحقيق الفوري والنزيه والفعال في حالات وفاة المحتجزين، وتقييم </w:t>
      </w:r>
      <w:r>
        <w:rPr>
          <w:rFonts w:hint="cs"/>
          <w:b/>
          <w:bCs/>
          <w:rtl/>
          <w:lang w:val="fr-CH" w:bidi="ar-MA"/>
        </w:rPr>
        <w:t>أ</w:t>
      </w:r>
      <w:r w:rsidRPr="00A55327">
        <w:rPr>
          <w:rFonts w:hint="cs"/>
          <w:b/>
          <w:bCs/>
          <w:rtl/>
          <w:lang w:val="fr-CH" w:bidi="ar-MA"/>
        </w:rPr>
        <w:t xml:space="preserve">ي مسؤولية للموظفين الحكوميين، وضمان معاقبة الجناة، ومنح تعويضات لأسر الضحايا. وتطلب اللجنة من الدولة الطرف تقديم معلومات محدثة شاملة عن جميع الوفيات أثناء الاحتجاز المبلغ عنها، بما في ذلك عن مكان وسبب الوفاة ونتائج </w:t>
      </w:r>
      <w:r>
        <w:rPr>
          <w:rFonts w:hint="cs"/>
          <w:b/>
          <w:bCs/>
          <w:rtl/>
          <w:lang w:val="fr-CH" w:bidi="ar-MA"/>
        </w:rPr>
        <w:t>أ</w:t>
      </w:r>
      <w:r w:rsidRPr="00A55327">
        <w:rPr>
          <w:rFonts w:hint="cs"/>
          <w:b/>
          <w:bCs/>
          <w:rtl/>
          <w:lang w:val="fr-CH" w:bidi="ar-MA"/>
        </w:rPr>
        <w:t>ي تحقيقات أ</w:t>
      </w:r>
      <w:r>
        <w:rPr>
          <w:rFonts w:hint="cs"/>
          <w:b/>
          <w:bCs/>
          <w:rtl/>
          <w:lang w:val="fr-CH" w:bidi="ar-MA"/>
        </w:rPr>
        <w:t>ُجريت في هذه الوفيات، بما يشمل عقوبة الجناة والتعويضات المقدمة</w:t>
      </w:r>
      <w:r w:rsidRPr="00A55327">
        <w:rPr>
          <w:rFonts w:hint="cs"/>
          <w:b/>
          <w:bCs/>
          <w:rtl/>
          <w:lang w:val="fr-CH" w:bidi="ar-MA"/>
        </w:rPr>
        <w:t xml:space="preserve"> لأقرباء</w:t>
      </w:r>
      <w:r w:rsidR="009948BE">
        <w:rPr>
          <w:rFonts w:hint="eastAsia"/>
          <w:b/>
          <w:bCs/>
          <w:rtl/>
          <w:lang w:val="fr-CH" w:bidi="ar-MA"/>
        </w:rPr>
        <w:t> </w:t>
      </w:r>
      <w:r w:rsidRPr="00A55327">
        <w:rPr>
          <w:rFonts w:hint="cs"/>
          <w:b/>
          <w:bCs/>
          <w:rtl/>
          <w:lang w:val="fr-CH" w:bidi="ar-MA"/>
        </w:rPr>
        <w:t>الضحايا.</w:t>
      </w:r>
    </w:p>
    <w:p w:rsidR="00ED2F77" w:rsidRDefault="00ED2F77" w:rsidP="00ED2F77">
      <w:pPr>
        <w:pStyle w:val="H23GA"/>
        <w:rPr>
          <w:rFonts w:hint="cs"/>
          <w:rtl/>
          <w:lang w:val="fr-CH" w:bidi="ar-MA"/>
        </w:rPr>
      </w:pPr>
      <w:r>
        <w:rPr>
          <w:rFonts w:hint="cs"/>
          <w:rtl/>
          <w:lang w:val="fr-CH" w:bidi="ar-MA"/>
        </w:rPr>
        <w:tab/>
      </w:r>
      <w:r>
        <w:rPr>
          <w:rFonts w:hint="cs"/>
          <w:rtl/>
          <w:lang w:val="fr-CH" w:bidi="ar-MA"/>
        </w:rPr>
        <w:tab/>
        <w:t>التحقيقات والإفلات من العقاب</w:t>
      </w:r>
    </w:p>
    <w:p w:rsidR="00ED2F77" w:rsidRPr="009948BE" w:rsidRDefault="009948BE" w:rsidP="009948BE">
      <w:pPr>
        <w:pStyle w:val="SingleTxtGA"/>
        <w:rPr>
          <w:rFonts w:hint="cs"/>
          <w:spacing w:val="-2"/>
          <w:rtl/>
          <w:lang w:val="fr-CH" w:bidi="ar-MA"/>
        </w:rPr>
      </w:pPr>
      <w:r>
        <w:rPr>
          <w:rFonts w:hint="cs"/>
          <w:rtl/>
          <w:lang w:val="fr-CH" w:bidi="ar-MA"/>
        </w:rPr>
        <w:t>(</w:t>
      </w:r>
      <w:r w:rsidR="00ED2F77" w:rsidRPr="006F1D78">
        <w:rPr>
          <w:rFonts w:hint="cs"/>
          <w:rtl/>
          <w:lang w:val="fr-CH" w:bidi="ar-MA"/>
        </w:rPr>
        <w:t>11</w:t>
      </w:r>
      <w:r>
        <w:rPr>
          <w:rFonts w:hint="cs"/>
          <w:rtl/>
          <w:lang w:val="fr-CH" w:bidi="ar-MA"/>
        </w:rPr>
        <w:t>)</w:t>
      </w:r>
      <w:r w:rsidR="00ED2F77" w:rsidRPr="006F1D78">
        <w:rPr>
          <w:rFonts w:hint="cs"/>
          <w:rtl/>
          <w:lang w:val="fr-CH" w:bidi="ar-MA"/>
        </w:rPr>
        <w:tab/>
        <w:t>يساور اللجنة بالغ القلق من أن ادعاءات التعذيب وسوء المع</w:t>
      </w:r>
      <w:r w:rsidR="00ED2F77">
        <w:rPr>
          <w:rFonts w:hint="cs"/>
          <w:rtl/>
          <w:lang w:val="fr-CH" w:bidi="ar-MA"/>
        </w:rPr>
        <w:t>املة</w:t>
      </w:r>
      <w:r w:rsidR="00ED2F77" w:rsidRPr="006F1D78">
        <w:rPr>
          <w:rFonts w:hint="cs"/>
          <w:rtl/>
          <w:lang w:val="fr-CH" w:bidi="ar-MA"/>
        </w:rPr>
        <w:t xml:space="preserve"> لا تخ</w:t>
      </w:r>
      <w:r w:rsidR="00ED2F77">
        <w:rPr>
          <w:rFonts w:hint="cs"/>
          <w:rtl/>
          <w:lang w:val="fr-CH" w:bidi="ar-MA"/>
        </w:rPr>
        <w:t>ضع للتحقيق وا</w:t>
      </w:r>
      <w:r w:rsidR="00ED2F77" w:rsidRPr="006F1D78">
        <w:rPr>
          <w:rFonts w:hint="cs"/>
          <w:rtl/>
          <w:lang w:val="fr-CH" w:bidi="ar-MA"/>
        </w:rPr>
        <w:t>لمقاضاة على نحو فوري ونزيه وفعال</w:t>
      </w:r>
      <w:r w:rsidR="00ED2F77">
        <w:rPr>
          <w:rFonts w:hint="cs"/>
          <w:rtl/>
          <w:lang w:val="fr-CH" w:bidi="ar-MA"/>
        </w:rPr>
        <w:t xml:space="preserve">، مما يؤدي إلى مناخ يسوده الإفلات من العقاب. وتعرب اللجنة كذلك عن القلق من أنه يجوز لمحكمة أو قاض أو مدع عام أو محقق، بموجب المادة 28(1) من قانون الإجراءات الجنائية، إنهاء الإجراءات الجنائية وإعفاء الشخص المعني </w:t>
      </w:r>
      <w:r w:rsidR="00ED2F77" w:rsidRPr="009948BE">
        <w:rPr>
          <w:rFonts w:hint="cs"/>
          <w:spacing w:val="-2"/>
          <w:rtl/>
          <w:lang w:val="fr-CH" w:bidi="ar-MA"/>
        </w:rPr>
        <w:t>من المسؤولية الجنائية. وقد يُتخذ هذان الإجراءان على أساس التوبة</w:t>
      </w:r>
      <w:r w:rsidRPr="009948BE">
        <w:rPr>
          <w:rFonts w:hint="cs"/>
          <w:spacing w:val="-2"/>
          <w:rtl/>
          <w:lang w:val="fr-CH" w:bidi="ar-MA"/>
        </w:rPr>
        <w:t xml:space="preserve">، أو مصالحة الضحية، </w:t>
      </w:r>
      <w:r w:rsidR="00ED2F77" w:rsidRPr="009948BE">
        <w:rPr>
          <w:rFonts w:hint="cs"/>
          <w:spacing w:val="-2"/>
          <w:rtl/>
          <w:lang w:val="fr-CH" w:bidi="ar-MA"/>
        </w:rPr>
        <w:t>أو</w:t>
      </w:r>
      <w:r>
        <w:rPr>
          <w:rFonts w:hint="eastAsia"/>
          <w:spacing w:val="-2"/>
          <w:rtl/>
          <w:lang w:val="fr-CH" w:bidi="ar-MA"/>
        </w:rPr>
        <w:t> </w:t>
      </w:r>
      <w:r w:rsidR="00ED2F77" w:rsidRPr="009948BE">
        <w:rPr>
          <w:rFonts w:hint="cs"/>
          <w:spacing w:val="-2"/>
          <w:rtl/>
          <w:lang w:val="fr-CH" w:bidi="ar-MA"/>
        </w:rPr>
        <w:t>تغير الظروف، أو انتهاء فترة التقادم بالنسبة للمقاضاة الجنائية (المواد 2 و12 و13 و16).</w:t>
      </w:r>
    </w:p>
    <w:p w:rsidR="00ED2F77" w:rsidRPr="00781687" w:rsidRDefault="00ED2F77" w:rsidP="00ED2F77">
      <w:pPr>
        <w:pStyle w:val="SingleTxtGA"/>
        <w:rPr>
          <w:rFonts w:hint="cs"/>
          <w:b/>
          <w:bCs/>
          <w:rtl/>
          <w:lang w:val="fr-CH" w:bidi="ar-MA"/>
        </w:rPr>
      </w:pPr>
      <w:r>
        <w:rPr>
          <w:rFonts w:hint="cs"/>
          <w:b/>
          <w:bCs/>
          <w:rtl/>
          <w:lang w:val="fr-CH" w:bidi="ar-MA"/>
        </w:rPr>
        <w:tab/>
      </w:r>
      <w:r w:rsidRPr="00781687">
        <w:rPr>
          <w:rFonts w:hint="cs"/>
          <w:b/>
          <w:bCs/>
          <w:rtl/>
          <w:lang w:val="fr-CH" w:bidi="ar-MA"/>
        </w:rPr>
        <w:t>ينبغي أن تقوم الدولة الطرف بما يلي:</w:t>
      </w:r>
    </w:p>
    <w:p w:rsidR="00ED2F77" w:rsidRDefault="00ED2F77" w:rsidP="00ED2F77">
      <w:pPr>
        <w:pStyle w:val="SingleTxtGA"/>
        <w:rPr>
          <w:rFonts w:hint="cs"/>
          <w:b/>
          <w:bCs/>
          <w:lang w:val="fr-CH" w:bidi="ar-MA"/>
        </w:rPr>
      </w:pPr>
      <w:r>
        <w:rPr>
          <w:rFonts w:hint="cs"/>
          <w:b/>
          <w:bCs/>
          <w:rtl/>
          <w:lang w:val="fr-CH" w:bidi="ar-MA"/>
        </w:rPr>
        <w:tab/>
        <w:t>(أ)</w:t>
      </w:r>
      <w:r>
        <w:rPr>
          <w:rFonts w:hint="cs"/>
          <w:b/>
          <w:bCs/>
          <w:rtl/>
          <w:lang w:val="fr-CH" w:bidi="ar-MA"/>
        </w:rPr>
        <w:tab/>
      </w:r>
      <w:r w:rsidRPr="00781687">
        <w:rPr>
          <w:rFonts w:hint="cs"/>
          <w:b/>
          <w:bCs/>
          <w:rtl/>
          <w:lang w:val="fr-CH" w:bidi="ar-MA"/>
        </w:rPr>
        <w:t xml:space="preserve">اتخاذ </w:t>
      </w:r>
      <w:r>
        <w:rPr>
          <w:rFonts w:hint="cs"/>
          <w:b/>
          <w:bCs/>
          <w:rtl/>
          <w:lang w:val="fr-CH" w:bidi="ar-MA"/>
        </w:rPr>
        <w:t>خطوات ملموسة لوضع آلية فعالة ومستقلة للتحقيق الجنائي دون ارتباط بالهيئة التي تباشر الدعوى ضد الضحية المزعومة؛</w:t>
      </w:r>
    </w:p>
    <w:p w:rsidR="00ED2F77" w:rsidRDefault="00ED2F77" w:rsidP="00ED2F77">
      <w:pPr>
        <w:pStyle w:val="SingleTxtGA"/>
        <w:rPr>
          <w:rFonts w:hint="cs"/>
          <w:b/>
          <w:bCs/>
          <w:lang w:val="fr-CH" w:bidi="ar-MA"/>
        </w:rPr>
      </w:pPr>
      <w:r>
        <w:rPr>
          <w:rFonts w:hint="cs"/>
          <w:b/>
          <w:bCs/>
          <w:rtl/>
          <w:lang w:val="fr-CH" w:bidi="ar-MA"/>
        </w:rPr>
        <w:tab/>
        <w:t>(ب)</w:t>
      </w:r>
      <w:r>
        <w:rPr>
          <w:rFonts w:hint="cs"/>
          <w:b/>
          <w:bCs/>
          <w:rtl/>
          <w:lang w:val="fr-CH" w:bidi="ar-MA"/>
        </w:rPr>
        <w:tab/>
        <w:t>التعجيل بإجراء تحقيق فوري ونزيه وواف في جميع ادعاءات التعذيب وسوء المعاملة وتقديم الجاني المزعوم إلى العدالة؛</w:t>
      </w:r>
    </w:p>
    <w:p w:rsidR="00ED2F77" w:rsidRPr="007F6D77" w:rsidRDefault="00ED2F77" w:rsidP="00ED2F77">
      <w:pPr>
        <w:pStyle w:val="SingleTxtGA"/>
        <w:rPr>
          <w:rFonts w:hint="cs"/>
          <w:b/>
          <w:bCs/>
          <w:rtl/>
          <w:lang w:val="fr-CH" w:bidi="ar-MA"/>
        </w:rPr>
      </w:pPr>
      <w:r>
        <w:rPr>
          <w:rFonts w:hint="cs"/>
          <w:b/>
          <w:bCs/>
          <w:rtl/>
          <w:lang w:val="fr-CH" w:bidi="ar-MA"/>
        </w:rPr>
        <w:tab/>
        <w:t>(ج)</w:t>
      </w:r>
      <w:r>
        <w:rPr>
          <w:rFonts w:hint="cs"/>
          <w:b/>
          <w:bCs/>
          <w:rtl/>
          <w:lang w:val="fr-CH" w:bidi="ar-MA"/>
        </w:rPr>
        <w:tab/>
        <w:t>إلغاء ما ينص عليه قانون الإجراءات الجنائية من أحكام تجيز إنهاء الإجراءات الجنائية وإعفاء المدعى عليه من المسؤولية الجنائية متى تعلقت القضية بادعاءات التعذيب وسوء المعاملة.</w:t>
      </w:r>
    </w:p>
    <w:p w:rsidR="00ED2F77" w:rsidRDefault="00ED2F77" w:rsidP="00ED2F77">
      <w:pPr>
        <w:pStyle w:val="SingleTxtGA"/>
        <w:rPr>
          <w:rFonts w:hint="cs"/>
          <w:b/>
          <w:bCs/>
          <w:rtl/>
          <w:lang w:val="fr-CH" w:bidi="ar-MA"/>
        </w:rPr>
      </w:pPr>
      <w:r>
        <w:rPr>
          <w:rFonts w:hint="cs"/>
          <w:b/>
          <w:bCs/>
          <w:rtl/>
          <w:lang w:val="fr-CH" w:bidi="ar-MA"/>
        </w:rPr>
        <w:t>التعذيب وسوء المعاملة في القوات المسلحة</w:t>
      </w:r>
    </w:p>
    <w:p w:rsidR="00ED2F77" w:rsidRDefault="009948BE" w:rsidP="009948BE">
      <w:pPr>
        <w:pStyle w:val="SingleTxtGA"/>
        <w:rPr>
          <w:rFonts w:hint="cs"/>
          <w:rtl/>
          <w:lang w:val="fr-CH" w:bidi="ar-MA"/>
        </w:rPr>
      </w:pPr>
      <w:r>
        <w:rPr>
          <w:rFonts w:hint="cs"/>
          <w:rtl/>
          <w:lang w:val="fr-CH" w:bidi="ar-MA"/>
        </w:rPr>
        <w:t>(</w:t>
      </w:r>
      <w:r w:rsidR="00ED2F77" w:rsidRPr="001C6A10">
        <w:rPr>
          <w:rFonts w:hint="cs"/>
          <w:rtl/>
          <w:lang w:val="fr-CH" w:bidi="ar-MA"/>
        </w:rPr>
        <w:t>12</w:t>
      </w:r>
      <w:r>
        <w:rPr>
          <w:rFonts w:hint="cs"/>
          <w:rtl/>
          <w:lang w:val="fr-CH" w:bidi="ar-MA"/>
        </w:rPr>
        <w:t>)</w:t>
      </w:r>
      <w:r w:rsidR="00ED2F77" w:rsidRPr="001C6A10">
        <w:rPr>
          <w:rFonts w:hint="cs"/>
          <w:rtl/>
          <w:lang w:val="fr-CH" w:bidi="ar-MA"/>
        </w:rPr>
        <w:tab/>
        <w:t>بينما تحيط اللجنة علماً بإنشاء</w:t>
      </w:r>
      <w:r w:rsidR="00ED2F77">
        <w:rPr>
          <w:rFonts w:hint="cs"/>
          <w:rtl/>
          <w:lang w:val="fr-CH" w:bidi="ar-MA"/>
        </w:rPr>
        <w:t xml:space="preserve"> خطوط هاتفية مباشرة ووحدات متنقلة للرصد قصد معالجة مشكلة تعرض المجنَّدين إلزامياً للتنكيل وسوء المعاملة من جانب الضباط والأقران من الجنود في الجيش، فإنها تعرب عن القلق إزاء استمرار استفحال تلك الممارسات في الدولة الطرف (المادتان 2 و16).</w:t>
      </w:r>
    </w:p>
    <w:p w:rsidR="00ED2F77" w:rsidRPr="00471E34" w:rsidRDefault="00ED2F77" w:rsidP="00ED2F77">
      <w:pPr>
        <w:pStyle w:val="SingleTxtGA"/>
        <w:rPr>
          <w:b/>
          <w:bCs/>
        </w:rPr>
      </w:pPr>
      <w:r>
        <w:rPr>
          <w:rFonts w:hint="cs"/>
          <w:b/>
          <w:bCs/>
          <w:rtl/>
          <w:lang w:val="fr-CH" w:bidi="ar-MA"/>
        </w:rPr>
        <w:tab/>
        <w:t>ينبغي للدولة الطرف أن تعزز التدابير الرامية إلى حظر التنكيل وسوء المعاملة في القوات المسلحة والقضاء عليهما وضمان إجراء تحقيق فوري ونزيه ووافٍ في جميع الادعاءات بارتكاب تلك الأفعال. وينبغي للدولة الطرف، حيثما أُقيمَ الدليل على وقوع تنكيل، أن تُثبت مسؤولية المرتكبين المباشرين والجناة في التسلسل القيادي، وتلاحِق المسؤولين وتنزل بهم عقوبات تتناسب مع خطورة العمل المرتكب، وتنشر نتائج هذه التحقيقات، وتقدم تعويضات للضحايا وتعيد تأهيلهم بالكامل، بما في ذلك من خلال المساعدة الطبية والنفسية المناسبة.</w:t>
      </w:r>
    </w:p>
    <w:p w:rsidR="00ED2F77" w:rsidRDefault="00ED2F77" w:rsidP="009948BE">
      <w:pPr>
        <w:pStyle w:val="H23GA"/>
        <w:spacing w:line="374" w:lineRule="exact"/>
        <w:rPr>
          <w:rFonts w:hint="cs"/>
          <w:rtl/>
          <w:lang w:val="fr-CH" w:bidi="ar-MA"/>
        </w:rPr>
      </w:pPr>
      <w:r>
        <w:rPr>
          <w:rFonts w:hint="cs"/>
          <w:rtl/>
        </w:rPr>
        <w:tab/>
      </w:r>
      <w:r>
        <w:rPr>
          <w:rFonts w:hint="cs"/>
          <w:rtl/>
        </w:rPr>
        <w:tab/>
      </w:r>
      <w:r w:rsidRPr="009978F0">
        <w:rPr>
          <w:rFonts w:hint="cs"/>
          <w:rtl/>
        </w:rPr>
        <w:t>انتزاع الأدلة تحت وطأة التعذيب و</w:t>
      </w:r>
      <w:r w:rsidRPr="009978F0">
        <w:rPr>
          <w:rFonts w:hint="cs"/>
          <w:rtl/>
          <w:lang w:val="fr-CH" w:bidi="ar-MA"/>
        </w:rPr>
        <w:t>غياب التحقيقات التلقائية</w:t>
      </w:r>
    </w:p>
    <w:p w:rsidR="00ED2F77" w:rsidRPr="009948BE" w:rsidRDefault="009948BE" w:rsidP="009948BE">
      <w:pPr>
        <w:pStyle w:val="SingleTxtGA"/>
        <w:spacing w:line="374" w:lineRule="exact"/>
        <w:rPr>
          <w:rFonts w:hint="cs"/>
          <w:spacing w:val="-2"/>
          <w:rtl/>
          <w:lang w:val="fr-CH" w:bidi="ar-MA"/>
        </w:rPr>
      </w:pPr>
      <w:r w:rsidRPr="009948BE">
        <w:rPr>
          <w:rFonts w:hint="cs"/>
          <w:spacing w:val="-2"/>
          <w:rtl/>
          <w:lang w:val="fr-CH" w:bidi="ar-MA"/>
        </w:rPr>
        <w:t>(</w:t>
      </w:r>
      <w:r w:rsidR="00ED2F77" w:rsidRPr="009948BE">
        <w:rPr>
          <w:rFonts w:hint="cs"/>
          <w:spacing w:val="-2"/>
          <w:rtl/>
          <w:lang w:val="fr-CH" w:bidi="ar-MA"/>
        </w:rPr>
        <w:t>13</w:t>
      </w:r>
      <w:r w:rsidRPr="009948BE">
        <w:rPr>
          <w:rFonts w:hint="cs"/>
          <w:spacing w:val="-2"/>
          <w:rtl/>
          <w:lang w:val="fr-CH" w:bidi="ar-MA"/>
        </w:rPr>
        <w:t>)</w:t>
      </w:r>
      <w:r w:rsidR="00ED2F77" w:rsidRPr="009948BE">
        <w:rPr>
          <w:rFonts w:hint="cs"/>
          <w:spacing w:val="-2"/>
          <w:rtl/>
          <w:lang w:val="fr-CH" w:bidi="ar-MA"/>
        </w:rPr>
        <w:tab/>
        <w:t xml:space="preserve">بينما ترحب اللجنة بإدراج المادة 88(3) في قانون </w:t>
      </w:r>
      <w:r w:rsidRPr="009948BE">
        <w:rPr>
          <w:rFonts w:hint="cs"/>
          <w:spacing w:val="-2"/>
          <w:rtl/>
          <w:lang w:val="fr-CH" w:bidi="ar-MA"/>
        </w:rPr>
        <w:t xml:space="preserve">الإجراءات الجنائية في آذار/ </w:t>
      </w:r>
      <w:r w:rsidR="00ED2F77" w:rsidRPr="009948BE">
        <w:rPr>
          <w:rFonts w:hint="cs"/>
          <w:spacing w:val="-2"/>
          <w:rtl/>
          <w:lang w:val="fr-CH" w:bidi="ar-MA"/>
        </w:rPr>
        <w:t>مارس</w:t>
      </w:r>
      <w:r w:rsidRPr="009948BE">
        <w:rPr>
          <w:rFonts w:hint="eastAsia"/>
          <w:spacing w:val="-2"/>
          <w:rtl/>
          <w:lang w:val="fr-CH" w:bidi="ar-MA"/>
        </w:rPr>
        <w:t> </w:t>
      </w:r>
      <w:r w:rsidR="00ED2F77" w:rsidRPr="009948BE">
        <w:rPr>
          <w:rFonts w:hint="cs"/>
          <w:spacing w:val="-2"/>
          <w:rtl/>
          <w:lang w:val="fr-CH" w:bidi="ar-MA"/>
        </w:rPr>
        <w:t>2008، التي تنص على عدم جواز استخدام الأدلة المنتزعة عن طريق "اللجوء إلى القوة وممارسة الضغط والقسوة والمعاملة اللاإنسانية وغيرها من الأساليب غير القانونية" كأدلة إثبات في القضايا الجنائية، وترحب أيضاً بالحكم الصادر عن ا</w:t>
      </w:r>
      <w:r w:rsidRPr="009948BE">
        <w:rPr>
          <w:rFonts w:hint="cs"/>
          <w:spacing w:val="-2"/>
          <w:rtl/>
          <w:lang w:val="fr-CH" w:bidi="ar-MA"/>
        </w:rPr>
        <w:t xml:space="preserve">لمحكمة العليا في حزيران/ </w:t>
      </w:r>
      <w:r w:rsidR="00ED2F77" w:rsidRPr="009948BE">
        <w:rPr>
          <w:rFonts w:hint="cs"/>
          <w:spacing w:val="-2"/>
          <w:rtl/>
          <w:lang w:val="fr-CH" w:bidi="ar-MA"/>
        </w:rPr>
        <w:t>يونيه</w:t>
      </w:r>
      <w:r w:rsidRPr="009948BE">
        <w:rPr>
          <w:rFonts w:hint="eastAsia"/>
          <w:spacing w:val="-2"/>
          <w:rtl/>
          <w:lang w:val="fr-CH" w:bidi="ar-MA"/>
        </w:rPr>
        <w:t> </w:t>
      </w:r>
      <w:r w:rsidR="00ED2F77" w:rsidRPr="009948BE">
        <w:rPr>
          <w:rFonts w:hint="cs"/>
          <w:spacing w:val="-2"/>
          <w:rtl/>
          <w:lang w:val="fr-CH" w:bidi="ar-MA"/>
        </w:rPr>
        <w:t>2012 الذي يوضح مفهوم عدم مقبولية الأدلة المنتزعة باستخدام أساليب غير قانونية، فإنها تعرب عن قلقها إزاء غياب آليات إنفاذ فعالة وغياب التن</w:t>
      </w:r>
      <w:r w:rsidRPr="009948BE">
        <w:rPr>
          <w:rFonts w:hint="cs"/>
          <w:spacing w:val="-2"/>
          <w:rtl/>
          <w:lang w:val="fr-CH" w:bidi="ar-MA"/>
        </w:rPr>
        <w:t xml:space="preserve">فيذ من الناحية العملية. </w:t>
      </w:r>
      <w:r w:rsidR="00ED2F77" w:rsidRPr="009948BE">
        <w:rPr>
          <w:rFonts w:hint="cs"/>
          <w:spacing w:val="-2"/>
          <w:rtl/>
          <w:lang w:val="fr-CH" w:bidi="ar-MA"/>
        </w:rPr>
        <w:t>كما</w:t>
      </w:r>
      <w:r w:rsidRPr="009948BE">
        <w:rPr>
          <w:rFonts w:hint="eastAsia"/>
          <w:spacing w:val="-2"/>
          <w:rtl/>
          <w:lang w:val="fr-CH" w:bidi="ar-MA"/>
        </w:rPr>
        <w:t> </w:t>
      </w:r>
      <w:r w:rsidR="00ED2F77" w:rsidRPr="009948BE">
        <w:rPr>
          <w:rFonts w:hint="cs"/>
          <w:spacing w:val="-2"/>
          <w:rtl/>
          <w:lang w:val="fr-CH" w:bidi="ar-MA"/>
        </w:rPr>
        <w:t>تعرب عن القلق إزاء التقارير الواردة عن رفض القضاة مراراً النظر في ادعاءات التعذيب عندما يثيرها المدعى عليهم، وإزاء عدم شروع المدعي العام في التحقيقات لم تُقدَّم شكوى رسمية (المادة 15).</w:t>
      </w:r>
    </w:p>
    <w:p w:rsidR="00ED2F77" w:rsidRPr="003A1C36" w:rsidRDefault="00ED2F77" w:rsidP="009948BE">
      <w:pPr>
        <w:pStyle w:val="SingleTxtGA"/>
        <w:spacing w:line="374" w:lineRule="exact"/>
        <w:rPr>
          <w:rFonts w:hint="cs"/>
          <w:b/>
          <w:bCs/>
          <w:lang w:val="fr-CH" w:bidi="ar-MA"/>
        </w:rPr>
      </w:pPr>
      <w:r>
        <w:rPr>
          <w:rFonts w:hint="cs"/>
          <w:b/>
          <w:bCs/>
          <w:rtl/>
          <w:lang w:val="fr-CH" w:bidi="ar-MA"/>
        </w:rPr>
        <w:tab/>
      </w:r>
      <w:r w:rsidRPr="003A1C36">
        <w:rPr>
          <w:rFonts w:hint="cs"/>
          <w:b/>
          <w:bCs/>
          <w:rtl/>
          <w:lang w:val="fr-CH" w:bidi="ar-MA"/>
        </w:rPr>
        <w:t xml:space="preserve">تحث اللجنة الدولة الطرف على أن تكفل عملياً عدم الاحتجاج </w:t>
      </w:r>
      <w:r>
        <w:rPr>
          <w:rFonts w:hint="cs"/>
          <w:b/>
          <w:bCs/>
          <w:rtl/>
          <w:lang w:val="fr-CH" w:bidi="ar-MA"/>
        </w:rPr>
        <w:t>بالإفادات</w:t>
      </w:r>
      <w:r w:rsidRPr="003A1C36">
        <w:rPr>
          <w:rFonts w:hint="cs"/>
          <w:b/>
          <w:bCs/>
          <w:rtl/>
          <w:lang w:val="fr-CH" w:bidi="ar-MA"/>
        </w:rPr>
        <w:t xml:space="preserve"> المنتزعة عن طريق التعذيب كأدلة في أي دعاوى. وينبغي </w:t>
      </w:r>
      <w:r>
        <w:rPr>
          <w:rFonts w:hint="cs"/>
          <w:b/>
          <w:bCs/>
          <w:rtl/>
          <w:lang w:val="fr-CH" w:bidi="ar-MA"/>
        </w:rPr>
        <w:t>للدولة الطرف أن تضمن وقف الإجراءات، في أي قضية يزعم</w:t>
      </w:r>
      <w:r w:rsidRPr="003A1C36">
        <w:rPr>
          <w:rFonts w:hint="cs"/>
          <w:b/>
          <w:bCs/>
          <w:rtl/>
          <w:lang w:val="fr-CH" w:bidi="ar-MA"/>
        </w:rPr>
        <w:t xml:space="preserve"> فيها شخص انتزاع اعترافاته عن طريق التعذيب، في انتظار التحقيق بصورة وافية في الادعاء. وتحث اللجنة الدولة الطرف على إعادة النظر في قضايا الإدانة التي تستند إلى الاعترافات</w:t>
      </w:r>
      <w:r>
        <w:rPr>
          <w:rFonts w:hint="cs"/>
          <w:b/>
          <w:bCs/>
          <w:rtl/>
          <w:lang w:val="fr-CH" w:bidi="ar-MA"/>
        </w:rPr>
        <w:t xml:space="preserve"> فقط</w:t>
      </w:r>
      <w:r w:rsidRPr="003A1C36">
        <w:rPr>
          <w:rFonts w:hint="cs"/>
          <w:b/>
          <w:bCs/>
          <w:rtl/>
          <w:lang w:val="fr-CH" w:bidi="ar-MA"/>
        </w:rPr>
        <w:t>.</w:t>
      </w:r>
    </w:p>
    <w:p w:rsidR="00ED2F77" w:rsidRDefault="00ED2F77" w:rsidP="009948BE">
      <w:pPr>
        <w:pStyle w:val="H23GA"/>
        <w:spacing w:line="374" w:lineRule="exact"/>
        <w:rPr>
          <w:rFonts w:hint="cs"/>
          <w:rtl/>
          <w:lang w:val="fr-CH" w:bidi="ar-MA"/>
        </w:rPr>
      </w:pPr>
      <w:r>
        <w:rPr>
          <w:rFonts w:hint="cs"/>
          <w:rtl/>
          <w:lang w:val="fr-CH" w:bidi="ar-MA"/>
        </w:rPr>
        <w:tab/>
      </w:r>
      <w:r>
        <w:rPr>
          <w:rFonts w:hint="cs"/>
          <w:rtl/>
          <w:lang w:val="fr-CH" w:bidi="ar-MA"/>
        </w:rPr>
        <w:tab/>
      </w:r>
      <w:r w:rsidRPr="009978F0">
        <w:rPr>
          <w:rFonts w:hint="cs"/>
          <w:rtl/>
          <w:lang w:val="fr-CH" w:bidi="ar-MA"/>
        </w:rPr>
        <w:t>ظروف الاحتجاز</w:t>
      </w:r>
    </w:p>
    <w:p w:rsidR="00ED2F77" w:rsidRPr="00911FB6" w:rsidRDefault="009948BE" w:rsidP="009948BE">
      <w:pPr>
        <w:pStyle w:val="SingleTxtGA"/>
        <w:spacing w:line="374" w:lineRule="exact"/>
        <w:rPr>
          <w:rFonts w:hint="cs"/>
          <w:rtl/>
          <w:lang w:val="fr-CH" w:bidi="ar-MA"/>
        </w:rPr>
      </w:pPr>
      <w:r>
        <w:rPr>
          <w:rFonts w:hint="cs"/>
          <w:rtl/>
          <w:lang w:val="fr-CH" w:bidi="ar-MA"/>
        </w:rPr>
        <w:t>(</w:t>
      </w:r>
      <w:r w:rsidR="00ED2F77" w:rsidRPr="00911FB6">
        <w:rPr>
          <w:rFonts w:hint="cs"/>
          <w:rtl/>
          <w:lang w:val="fr-CH" w:bidi="ar-MA"/>
        </w:rPr>
        <w:t>14</w:t>
      </w:r>
      <w:r>
        <w:rPr>
          <w:rFonts w:hint="cs"/>
          <w:rtl/>
          <w:lang w:val="fr-CH" w:bidi="ar-MA"/>
        </w:rPr>
        <w:t>)</w:t>
      </w:r>
      <w:r w:rsidR="00ED2F77" w:rsidRPr="00911FB6">
        <w:rPr>
          <w:rFonts w:hint="cs"/>
          <w:rtl/>
          <w:lang w:val="fr-CH" w:bidi="ar-MA"/>
        </w:rPr>
        <w:tab/>
        <w:t>بينما ترحب اللجنة بالجهود التي تبذلها الدولة الطرف حالياً لتحسين ظروف الاحتجاز في السجون ومرافق الاحتجاز قبل المحاكمة، فإن القلق يساورها إزاء ما يلي:</w:t>
      </w:r>
    </w:p>
    <w:p w:rsidR="00ED2F77" w:rsidRPr="009948BE" w:rsidRDefault="00ED2F77" w:rsidP="009948BE">
      <w:pPr>
        <w:pStyle w:val="SingleTxtGA"/>
        <w:spacing w:line="374" w:lineRule="exact"/>
        <w:rPr>
          <w:rFonts w:hint="cs"/>
          <w:spacing w:val="-2"/>
          <w:lang w:val="fr-CH" w:bidi="ar-MA"/>
        </w:rPr>
      </w:pPr>
      <w:r w:rsidRPr="009948BE">
        <w:rPr>
          <w:rFonts w:hint="cs"/>
          <w:spacing w:val="-2"/>
          <w:rtl/>
          <w:lang w:val="fr-CH" w:bidi="ar-MA"/>
        </w:rPr>
        <w:tab/>
        <w:t>(أ)</w:t>
      </w:r>
      <w:r w:rsidRPr="009948BE">
        <w:rPr>
          <w:rFonts w:hint="cs"/>
          <w:spacing w:val="-2"/>
          <w:rtl/>
          <w:lang w:val="fr-CH" w:bidi="ar-MA"/>
        </w:rPr>
        <w:tab/>
        <w:t>التقارير الواردة عن نقص الإمداد بالمياه الساخنة؛ وعدم ملاءمة المرافق الصحية؛ وضعف التهوية؛ وغياب وسائل تجفيف الملابس، مما يؤدي إلى الإصابة بالالتهابات التنفسية والأمراض؛ وغياب منتجات النظافة الشخصية؛ وعدم كفاية الطعام والرعاية الصحية؛</w:t>
      </w:r>
    </w:p>
    <w:p w:rsidR="00ED2F77" w:rsidRPr="009948BE" w:rsidRDefault="00ED2F77" w:rsidP="009948BE">
      <w:pPr>
        <w:pStyle w:val="SingleTxtGA"/>
        <w:spacing w:line="374" w:lineRule="exact"/>
        <w:rPr>
          <w:rFonts w:hint="cs"/>
          <w:spacing w:val="-2"/>
          <w:lang w:val="fr-CH" w:bidi="ar-MA"/>
        </w:rPr>
      </w:pPr>
      <w:r w:rsidRPr="009948BE">
        <w:rPr>
          <w:rFonts w:hint="cs"/>
          <w:spacing w:val="-2"/>
          <w:rtl/>
          <w:lang w:val="fr-CH" w:bidi="ar-MA"/>
        </w:rPr>
        <w:tab/>
        <w:t>(ب)</w:t>
      </w:r>
      <w:r w:rsidRPr="009948BE">
        <w:rPr>
          <w:rFonts w:hint="cs"/>
          <w:spacing w:val="-2"/>
          <w:rtl/>
          <w:lang w:val="fr-CH" w:bidi="ar-MA"/>
        </w:rPr>
        <w:tab/>
        <w:t>إخضاع النزلاء الذين يقضون عقوبة السجن مدى الحياة إلى نظم متمادية في الصرامة، إذ يُحتجزون، حسبما تشير التقارير، في عزلة تامة لمدة قد تصل إلى 23 ساعة في اليوم داخل زنزانات ضيقة وخالية من الهواء الطلق؛ ولا يسعهم الاتصال بالمحامين؛</w:t>
      </w:r>
      <w:r w:rsidR="009948BE" w:rsidRPr="009948BE">
        <w:rPr>
          <w:rFonts w:hint="cs"/>
          <w:spacing w:val="-2"/>
          <w:rtl/>
          <w:lang w:val="fr-CH" w:bidi="ar-MA"/>
        </w:rPr>
        <w:t xml:space="preserve"> </w:t>
      </w:r>
      <w:r w:rsidRPr="009948BE">
        <w:rPr>
          <w:rFonts w:hint="cs"/>
          <w:spacing w:val="-2"/>
          <w:rtl/>
          <w:lang w:val="fr-CH" w:bidi="ar-MA"/>
        </w:rPr>
        <w:t>ولا</w:t>
      </w:r>
      <w:r w:rsidR="009948BE" w:rsidRPr="009948BE">
        <w:rPr>
          <w:rFonts w:hint="eastAsia"/>
          <w:spacing w:val="-2"/>
          <w:rtl/>
          <w:lang w:val="fr-CH" w:bidi="ar-MA"/>
        </w:rPr>
        <w:t> </w:t>
      </w:r>
      <w:r w:rsidRPr="009948BE">
        <w:rPr>
          <w:rFonts w:hint="cs"/>
          <w:spacing w:val="-2"/>
          <w:rtl/>
          <w:lang w:val="fr-CH" w:bidi="ar-MA"/>
        </w:rPr>
        <w:t>يُسمح لذويهم زيارتهم سوى مرة واحدة في السنة؛ كما يحرمون من أنشطة شتى داخل السجن؛</w:t>
      </w:r>
    </w:p>
    <w:p w:rsidR="00ED2F77" w:rsidRDefault="00ED2F77" w:rsidP="009948BE">
      <w:pPr>
        <w:pStyle w:val="SingleTxtGA"/>
        <w:spacing w:line="374" w:lineRule="exact"/>
        <w:rPr>
          <w:rFonts w:hint="cs"/>
          <w:lang w:val="fr-CH" w:bidi="ar-MA"/>
        </w:rPr>
      </w:pPr>
      <w:r w:rsidRPr="009948BE">
        <w:rPr>
          <w:rFonts w:hint="cs"/>
          <w:spacing w:val="-2"/>
          <w:rtl/>
          <w:lang w:val="fr-CH" w:bidi="ar-MA"/>
        </w:rPr>
        <w:tab/>
        <w:t>(ج)</w:t>
      </w:r>
      <w:r w:rsidRPr="009948BE">
        <w:rPr>
          <w:rFonts w:hint="cs"/>
          <w:spacing w:val="-2"/>
          <w:rtl/>
          <w:lang w:val="fr-CH" w:bidi="ar-MA"/>
        </w:rPr>
        <w:tab/>
        <w:t>استمرار عدم استعراض جهات المراقبة الوطنية أو الدولية، بما فيها اللجنة الدولية للصليب الأحمر، على نحو منتظم ومستقل لجميع أماكن الاحتجاز. وبينما تحيط</w:t>
      </w:r>
      <w:r>
        <w:rPr>
          <w:rFonts w:hint="cs"/>
          <w:rtl/>
          <w:lang w:val="fr-CH" w:bidi="ar-MA"/>
        </w:rPr>
        <w:t xml:space="preserve"> اللجنة علماً بإمكانية قيام أمين المظالم بزيارات إلى أماكن الاحتجاز، فإنها تشعر بالقلق إزاء عدم نشر النتائج المتوصل إليها؛</w:t>
      </w:r>
    </w:p>
    <w:p w:rsidR="00ED2F77" w:rsidRDefault="00ED2F77" w:rsidP="00ED2F77">
      <w:pPr>
        <w:pStyle w:val="SingleTxtGA"/>
        <w:rPr>
          <w:rFonts w:hint="cs"/>
          <w:rtl/>
          <w:lang w:val="fr-CH" w:bidi="ar-MA"/>
        </w:rPr>
      </w:pPr>
      <w:r>
        <w:rPr>
          <w:rFonts w:hint="cs"/>
          <w:rtl/>
          <w:lang w:val="fr-CH" w:bidi="ar-MA"/>
        </w:rPr>
        <w:tab/>
        <w:t>(د)</w:t>
      </w:r>
      <w:r>
        <w:rPr>
          <w:rFonts w:hint="cs"/>
          <w:rtl/>
          <w:lang w:val="fr-CH" w:bidi="ar-MA"/>
        </w:rPr>
        <w:tab/>
        <w:t>غياب آلية لتقديم الشكاوى من جانب المحتجزين. فرغم المعلومات التي أتاحتها الدولة الطرف عن إمكانية تقديم الشكاوى المتعلقة بالتعذيب أو سوء المعاملة في مظاريف مختومة، لا تصل تلك الشكاوى حسبما تشير إليه التقارير إلى السلطات المختصة وغالباً ما يتعذر على السجناء الحصول على الأقلام والورق؛</w:t>
      </w:r>
    </w:p>
    <w:p w:rsidR="00ED2F77" w:rsidRDefault="00ED2F77" w:rsidP="00ED2F77">
      <w:pPr>
        <w:pStyle w:val="SingleTxtGA"/>
        <w:rPr>
          <w:rFonts w:hint="cs"/>
          <w:lang w:val="fr-CH" w:bidi="ar-MA"/>
        </w:rPr>
      </w:pPr>
      <w:r>
        <w:rPr>
          <w:rFonts w:hint="cs"/>
          <w:rtl/>
          <w:lang w:val="fr-CH" w:bidi="ar-MA"/>
        </w:rPr>
        <w:tab/>
        <w:t>(</w:t>
      </w:r>
      <w:r w:rsidRPr="00F55308">
        <w:rPr>
          <w:rFonts w:hint="cs"/>
          <w:sz w:val="30"/>
          <w:rtl/>
          <w:lang w:val="fr-CH" w:bidi="ar-MA"/>
        </w:rPr>
        <w:t>ﻫ</w:t>
      </w:r>
      <w:r>
        <w:rPr>
          <w:rFonts w:hint="cs"/>
          <w:rtl/>
          <w:lang w:val="fr-CH" w:bidi="ar-MA"/>
        </w:rPr>
        <w:t>)</w:t>
      </w:r>
      <w:r>
        <w:rPr>
          <w:rFonts w:hint="cs"/>
          <w:rtl/>
          <w:lang w:val="fr-CH" w:bidi="ar-MA"/>
        </w:rPr>
        <w:tab/>
        <w:t>اعتبار عدد المؤسسات الإصلاحية في طاجيكستان ومواقعها وقدرتها الاستيعابية وعدد المحتجزين فيها "من أسرار الدولة".</w:t>
      </w:r>
    </w:p>
    <w:p w:rsidR="00ED2F77" w:rsidRPr="00F55308" w:rsidRDefault="00ED2F77" w:rsidP="00ED2F77">
      <w:pPr>
        <w:pStyle w:val="SingleTxtGA"/>
        <w:rPr>
          <w:rFonts w:hint="cs"/>
          <w:b/>
          <w:bCs/>
          <w:rtl/>
          <w:lang w:val="fr-CH" w:bidi="ar-MA"/>
        </w:rPr>
      </w:pPr>
      <w:r>
        <w:rPr>
          <w:rFonts w:hint="cs"/>
          <w:rtl/>
          <w:lang w:val="fr-CH" w:bidi="ar-MA"/>
        </w:rPr>
        <w:tab/>
      </w:r>
      <w:r w:rsidRPr="00F55308">
        <w:rPr>
          <w:rFonts w:hint="cs"/>
          <w:b/>
          <w:bCs/>
          <w:rtl/>
          <w:lang w:val="fr-CH" w:bidi="ar-MA"/>
        </w:rPr>
        <w:t>ينبغي للدولة الطرف أن تقوم</w:t>
      </w:r>
      <w:r>
        <w:rPr>
          <w:rFonts w:hint="cs"/>
          <w:b/>
          <w:bCs/>
          <w:rtl/>
          <w:lang w:val="fr-CH" w:bidi="ar-MA"/>
        </w:rPr>
        <w:t xml:space="preserve"> بما</w:t>
      </w:r>
      <w:r>
        <w:rPr>
          <w:b/>
          <w:bCs/>
          <w:rtl/>
          <w:lang w:val="fr-CH" w:bidi="ar-MA"/>
        </w:rPr>
        <w:t> </w:t>
      </w:r>
      <w:r w:rsidRPr="00F55308">
        <w:rPr>
          <w:rFonts w:hint="cs"/>
          <w:b/>
          <w:bCs/>
          <w:rtl/>
          <w:lang w:val="fr-CH" w:bidi="ar-MA"/>
        </w:rPr>
        <w:t>يلي:</w:t>
      </w:r>
    </w:p>
    <w:p w:rsidR="00ED2F77" w:rsidRPr="00F55308" w:rsidRDefault="00ED2F77" w:rsidP="00ED2F77">
      <w:pPr>
        <w:pStyle w:val="SingleTxtGA"/>
        <w:rPr>
          <w:rFonts w:hint="cs"/>
          <w:b/>
          <w:bCs/>
          <w:lang w:val="fr-CH" w:bidi="ar-MA"/>
        </w:rPr>
      </w:pPr>
      <w:r w:rsidRPr="00F55308">
        <w:rPr>
          <w:rFonts w:hint="cs"/>
          <w:b/>
          <w:bCs/>
          <w:rtl/>
          <w:lang w:val="fr-CH" w:bidi="ar-MA"/>
        </w:rPr>
        <w:tab/>
        <w:t>(أ)</w:t>
      </w:r>
      <w:r w:rsidRPr="00F55308">
        <w:rPr>
          <w:rFonts w:hint="cs"/>
          <w:b/>
          <w:bCs/>
          <w:rtl/>
          <w:lang w:val="fr-CH" w:bidi="ar-MA"/>
        </w:rPr>
        <w:tab/>
        <w:t>تخصيص موارد مالية كافية لتحسين الظروف في جميع أماكن الاحتجاز؛</w:t>
      </w:r>
    </w:p>
    <w:p w:rsidR="00ED2F77" w:rsidRPr="00F55308" w:rsidRDefault="00ED2F77" w:rsidP="009948BE">
      <w:pPr>
        <w:pStyle w:val="SingleTxtGA"/>
        <w:rPr>
          <w:rFonts w:hint="cs"/>
          <w:b/>
          <w:bCs/>
          <w:lang w:val="fr-CH" w:bidi="ar-MA"/>
        </w:rPr>
      </w:pPr>
      <w:r w:rsidRPr="00F55308">
        <w:rPr>
          <w:rFonts w:hint="cs"/>
          <w:b/>
          <w:bCs/>
          <w:rtl/>
          <w:lang w:val="fr-CH" w:bidi="ar-MA"/>
        </w:rPr>
        <w:tab/>
        <w:t>(ب)</w:t>
      </w:r>
      <w:r w:rsidRPr="00F55308">
        <w:rPr>
          <w:rFonts w:hint="cs"/>
          <w:b/>
          <w:bCs/>
          <w:rtl/>
          <w:lang w:val="fr-CH" w:bidi="ar-MA"/>
        </w:rPr>
        <w:tab/>
        <w:t>القضاء على العزل التام للسجناء الذين يقضون عقوبة السجن مدى</w:t>
      </w:r>
      <w:r w:rsidR="009948BE">
        <w:rPr>
          <w:rFonts w:hint="eastAsia"/>
          <w:b/>
          <w:bCs/>
          <w:rtl/>
          <w:lang w:val="fr-CH" w:bidi="ar-MA"/>
        </w:rPr>
        <w:t> </w:t>
      </w:r>
      <w:r w:rsidRPr="00F55308">
        <w:rPr>
          <w:rFonts w:hint="cs"/>
          <w:b/>
          <w:bCs/>
          <w:rtl/>
          <w:lang w:val="fr-CH" w:bidi="ar-MA"/>
        </w:rPr>
        <w:t>الحياة، وتحسين ظروف عيشهم، وإلغاء التشريعات التي تقيد تواصلهم مع المحامين ومع ذويهم؛</w:t>
      </w:r>
    </w:p>
    <w:p w:rsidR="00ED2F77" w:rsidRPr="009948BE" w:rsidRDefault="00ED2F77" w:rsidP="00ED2F77">
      <w:pPr>
        <w:pStyle w:val="SingleTxtGA"/>
        <w:rPr>
          <w:rFonts w:ascii="Times New Roman Bold" w:hAnsi="Times New Roman Bold" w:hint="cs"/>
          <w:b/>
          <w:bCs/>
          <w:spacing w:val="-2"/>
          <w:lang w:val="fr-CH" w:bidi="ar-MA"/>
        </w:rPr>
      </w:pPr>
      <w:r w:rsidRPr="00F55308">
        <w:rPr>
          <w:rFonts w:hint="cs"/>
          <w:b/>
          <w:bCs/>
          <w:rtl/>
          <w:lang w:val="fr-CH" w:bidi="ar-MA"/>
        </w:rPr>
        <w:tab/>
        <w:t>(ج)</w:t>
      </w:r>
      <w:r w:rsidRPr="00F55308">
        <w:rPr>
          <w:rFonts w:hint="cs"/>
          <w:b/>
          <w:bCs/>
          <w:rtl/>
          <w:lang w:val="fr-CH" w:bidi="ar-MA"/>
        </w:rPr>
        <w:tab/>
        <w:t>اتخاذ خطوات ملموسة، على سبيل الأولوية، من أجل التصديق على البروتوكول الاختياري للاتفاقية ووضع آلية وقائية وطنية فعالة تحظى بالموارد وبصلاحية القيام بزيارات تفتيشية منتظمة ومستقلة وغير مُعلَنة مسبقاً</w:t>
      </w:r>
      <w:r>
        <w:rPr>
          <w:rFonts w:hint="cs"/>
          <w:b/>
          <w:bCs/>
          <w:rtl/>
          <w:lang w:val="fr-CH" w:bidi="ar-MA"/>
        </w:rPr>
        <w:t xml:space="preserve"> ولا</w:t>
      </w:r>
      <w:r>
        <w:rPr>
          <w:b/>
          <w:bCs/>
          <w:rtl/>
          <w:lang w:val="fr-CH" w:bidi="ar-MA"/>
        </w:rPr>
        <w:t> </w:t>
      </w:r>
      <w:r w:rsidRPr="00F55308">
        <w:rPr>
          <w:rFonts w:hint="cs"/>
          <w:b/>
          <w:bCs/>
          <w:rtl/>
          <w:lang w:val="fr-CH" w:bidi="ar-MA"/>
        </w:rPr>
        <w:t xml:space="preserve">تخضع لأي قيود إلى جميع أماكن الحرمان من الحرية، مع إتاحة الفرصة أمام المفتشين للتحدث مع المحتجزين على </w:t>
      </w:r>
      <w:r w:rsidRPr="009948BE">
        <w:rPr>
          <w:rFonts w:ascii="Times New Roman Bold" w:hAnsi="Times New Roman Bold" w:hint="cs"/>
          <w:b/>
          <w:bCs/>
          <w:spacing w:val="-2"/>
          <w:rtl/>
          <w:lang w:val="fr-CH" w:bidi="ar-MA"/>
        </w:rPr>
        <w:t>انفراد في إطار من الخصوصية. وفي الوقت ذاته، ينبغي إتاحة وصول اللجنة الدولية للصليب الأحمر والمنظمات غير الحكومية المستقلة، دون عائق، إلى جميع أماكن الاحتجاز، وضمان قيام أمين المظالم، برفقة أطباء، بزيارات منتظمة وغير مُعلَنة مسبقاً إلى جميع أماكن الحرمان من الحرية، بما</w:t>
      </w:r>
      <w:r w:rsidRPr="009948BE">
        <w:rPr>
          <w:rFonts w:ascii="Times New Roman Bold" w:hAnsi="Times New Roman Bold"/>
          <w:b/>
          <w:bCs/>
          <w:spacing w:val="-2"/>
          <w:rtl/>
          <w:lang w:val="fr-CH" w:bidi="ar-MA"/>
        </w:rPr>
        <w:t> </w:t>
      </w:r>
      <w:r w:rsidRPr="009948BE">
        <w:rPr>
          <w:rFonts w:ascii="Times New Roman Bold" w:hAnsi="Times New Roman Bold" w:hint="cs"/>
          <w:b/>
          <w:bCs/>
          <w:spacing w:val="-2"/>
          <w:rtl/>
          <w:lang w:val="fr-CH" w:bidi="ar-MA"/>
        </w:rPr>
        <w:t>فيها أماكن الاحتجاز في مراكز الشرطة، وإتاحة النتائج أمام العموم؛</w:t>
      </w:r>
    </w:p>
    <w:p w:rsidR="00ED2F77" w:rsidRPr="00F55308" w:rsidRDefault="00ED2F77" w:rsidP="00ED2F77">
      <w:pPr>
        <w:pStyle w:val="SingleTxtGA"/>
        <w:rPr>
          <w:rFonts w:hint="cs"/>
          <w:b/>
          <w:bCs/>
          <w:lang w:val="fr-CH" w:bidi="ar-MA"/>
        </w:rPr>
      </w:pPr>
      <w:r w:rsidRPr="00F55308">
        <w:rPr>
          <w:rFonts w:hint="cs"/>
          <w:b/>
          <w:bCs/>
          <w:rtl/>
          <w:lang w:val="fr-CH" w:bidi="ar-MA"/>
        </w:rPr>
        <w:tab/>
        <w:t>(د)</w:t>
      </w:r>
      <w:r w:rsidRPr="00F55308">
        <w:rPr>
          <w:rFonts w:hint="cs"/>
          <w:b/>
          <w:bCs/>
          <w:rtl/>
          <w:lang w:val="fr-CH" w:bidi="ar-MA"/>
        </w:rPr>
        <w:tab/>
        <w:t>وضع نظام فعال وسِري يسهل الوصول إليه لتلقي ومعالجة الشكاوى المتعلقة بالتعذيب</w:t>
      </w:r>
      <w:r>
        <w:rPr>
          <w:rFonts w:hint="cs"/>
          <w:b/>
          <w:bCs/>
          <w:rtl/>
          <w:lang w:val="fr-CH" w:bidi="ar-MA"/>
        </w:rPr>
        <w:t xml:space="preserve"> أو</w:t>
      </w:r>
      <w:r>
        <w:rPr>
          <w:b/>
          <w:bCs/>
          <w:rtl/>
          <w:lang w:val="fr-CH" w:bidi="ar-MA"/>
        </w:rPr>
        <w:t> </w:t>
      </w:r>
      <w:r w:rsidRPr="00F55308">
        <w:rPr>
          <w:rFonts w:hint="cs"/>
          <w:b/>
          <w:bCs/>
          <w:rtl/>
          <w:lang w:val="fr-CH" w:bidi="ar-MA"/>
        </w:rPr>
        <w:t>سوء المعاملة في جميع أماكن الاحتجاز، وضمان</w:t>
      </w:r>
      <w:r>
        <w:rPr>
          <w:rFonts w:hint="cs"/>
          <w:b/>
          <w:bCs/>
          <w:rtl/>
          <w:lang w:val="fr-CH" w:bidi="ar-MA"/>
        </w:rPr>
        <w:t xml:space="preserve"> ما</w:t>
      </w:r>
      <w:r>
        <w:rPr>
          <w:b/>
          <w:bCs/>
          <w:rtl/>
          <w:lang w:val="fr-CH" w:bidi="ar-MA"/>
        </w:rPr>
        <w:t> </w:t>
      </w:r>
      <w:r w:rsidRPr="00F55308">
        <w:rPr>
          <w:rFonts w:hint="cs"/>
          <w:b/>
          <w:bCs/>
          <w:rtl/>
          <w:lang w:val="fr-CH" w:bidi="ar-MA"/>
        </w:rPr>
        <w:t xml:space="preserve">يلي: </w:t>
      </w:r>
      <w:r>
        <w:rPr>
          <w:rFonts w:hint="cs"/>
          <w:b/>
          <w:bCs/>
          <w:rtl/>
          <w:lang w:val="fr-CH" w:bidi="ar-MA"/>
        </w:rPr>
        <w:t>‘</w:t>
      </w:r>
      <w:r w:rsidRPr="00F55308">
        <w:rPr>
          <w:rFonts w:hint="cs"/>
          <w:b/>
          <w:bCs/>
          <w:rtl/>
          <w:lang w:val="fr-CH" w:bidi="ar-MA"/>
        </w:rPr>
        <w:t>1</w:t>
      </w:r>
      <w:r>
        <w:rPr>
          <w:rFonts w:hint="cs"/>
          <w:b/>
          <w:bCs/>
          <w:rtl/>
          <w:lang w:val="fr-CH" w:bidi="ar-MA"/>
        </w:rPr>
        <w:t>‘</w:t>
      </w:r>
      <w:r w:rsidRPr="00F55308">
        <w:rPr>
          <w:rFonts w:hint="cs"/>
          <w:b/>
          <w:bCs/>
          <w:rtl/>
          <w:lang w:val="fr-CH" w:bidi="ar-MA"/>
        </w:rPr>
        <w:t xml:space="preserve"> تمكين كل محتجز من المحتجزين من الاتصال، بناء على طلبه، بالمدعي العام، دون عائق ودون الخضوع إلى الرقابة؛ و</w:t>
      </w:r>
      <w:r>
        <w:rPr>
          <w:rFonts w:hint="cs"/>
          <w:b/>
          <w:bCs/>
          <w:rtl/>
          <w:lang w:val="fr-CH" w:bidi="ar-MA"/>
        </w:rPr>
        <w:t>‘</w:t>
      </w:r>
      <w:r w:rsidRPr="00F55308">
        <w:rPr>
          <w:rFonts w:hint="cs"/>
          <w:b/>
          <w:bCs/>
          <w:rtl/>
          <w:lang w:val="fr-CH" w:bidi="ar-MA"/>
        </w:rPr>
        <w:t>2</w:t>
      </w:r>
      <w:r>
        <w:rPr>
          <w:rFonts w:hint="cs"/>
          <w:b/>
          <w:bCs/>
          <w:rtl/>
          <w:lang w:val="fr-CH" w:bidi="ar-MA"/>
        </w:rPr>
        <w:t>‘</w:t>
      </w:r>
      <w:r w:rsidRPr="00F55308">
        <w:rPr>
          <w:rFonts w:hint="cs"/>
          <w:b/>
          <w:bCs/>
          <w:rtl/>
          <w:lang w:val="fr-CH" w:bidi="ar-MA"/>
        </w:rPr>
        <w:t xml:space="preserve"> التحقيق في جميع الشكاوى على نحو فوري ونزيه وفعال؛ و</w:t>
      </w:r>
      <w:r>
        <w:rPr>
          <w:rFonts w:hint="cs"/>
          <w:b/>
          <w:bCs/>
          <w:rtl/>
          <w:lang w:val="fr-CH" w:bidi="ar-MA"/>
        </w:rPr>
        <w:t>‘</w:t>
      </w:r>
      <w:r w:rsidRPr="00F55308">
        <w:rPr>
          <w:rFonts w:hint="cs"/>
          <w:b/>
          <w:bCs/>
          <w:rtl/>
          <w:lang w:val="fr-CH" w:bidi="ar-MA"/>
        </w:rPr>
        <w:t>3</w:t>
      </w:r>
      <w:r>
        <w:rPr>
          <w:rFonts w:hint="cs"/>
          <w:b/>
          <w:bCs/>
          <w:rtl/>
          <w:lang w:val="fr-CH" w:bidi="ar-MA"/>
        </w:rPr>
        <w:t>‘</w:t>
      </w:r>
      <w:r w:rsidRPr="00F55308">
        <w:rPr>
          <w:rFonts w:hint="cs"/>
          <w:b/>
          <w:bCs/>
          <w:rtl/>
          <w:lang w:val="fr-CH" w:bidi="ar-MA"/>
        </w:rPr>
        <w:t xml:space="preserve"> معاقبة الجناة بعقوبات ملائمة؛ و</w:t>
      </w:r>
      <w:r>
        <w:rPr>
          <w:rFonts w:hint="cs"/>
          <w:b/>
          <w:bCs/>
          <w:rtl/>
          <w:lang w:val="fr-CH" w:bidi="ar-MA"/>
        </w:rPr>
        <w:t>‘</w:t>
      </w:r>
      <w:r w:rsidRPr="00F55308">
        <w:rPr>
          <w:rFonts w:hint="cs"/>
          <w:b/>
          <w:bCs/>
          <w:rtl/>
          <w:lang w:val="fr-CH" w:bidi="ar-MA"/>
        </w:rPr>
        <w:t>4</w:t>
      </w:r>
      <w:r>
        <w:rPr>
          <w:rFonts w:hint="cs"/>
          <w:b/>
          <w:bCs/>
          <w:rtl/>
          <w:lang w:val="fr-CH" w:bidi="ar-MA"/>
        </w:rPr>
        <w:t>‘</w:t>
      </w:r>
      <w:r w:rsidRPr="00F55308">
        <w:rPr>
          <w:rFonts w:hint="cs"/>
          <w:b/>
          <w:bCs/>
          <w:rtl/>
          <w:lang w:val="fr-CH" w:bidi="ar-MA"/>
        </w:rPr>
        <w:t xml:space="preserve"> عدم تعرض المشتكين لأي أعمال انتقامية؛</w:t>
      </w:r>
    </w:p>
    <w:p w:rsidR="00ED2F77" w:rsidRPr="009948BE" w:rsidRDefault="00ED2F77" w:rsidP="00ED2F77">
      <w:pPr>
        <w:pStyle w:val="SingleTxtGA"/>
        <w:rPr>
          <w:rFonts w:ascii="Times New Roman Bold" w:hAnsi="Times New Roman Bold"/>
          <w:b/>
          <w:bCs/>
          <w:spacing w:val="-2"/>
          <w:lang w:val="fr-CH" w:bidi="ar-MA"/>
        </w:rPr>
      </w:pPr>
      <w:r w:rsidRPr="009948BE">
        <w:rPr>
          <w:rFonts w:ascii="Times New Roman Bold" w:hAnsi="Times New Roman Bold" w:hint="cs"/>
          <w:b/>
          <w:bCs/>
          <w:spacing w:val="-2"/>
          <w:rtl/>
          <w:lang w:val="fr-CH" w:bidi="ar-MA"/>
        </w:rPr>
        <w:tab/>
        <w:t>(</w:t>
      </w:r>
      <w:r w:rsidRPr="009948BE">
        <w:rPr>
          <w:rFonts w:ascii="Times New Roman Bold" w:hAnsi="Times New Roman Bold" w:hint="cs"/>
          <w:b/>
          <w:bCs/>
          <w:spacing w:val="-2"/>
          <w:sz w:val="30"/>
          <w:rtl/>
          <w:lang w:val="fr-CH" w:bidi="ar-MA"/>
        </w:rPr>
        <w:t>ﻫ</w:t>
      </w:r>
      <w:r w:rsidRPr="009948BE">
        <w:rPr>
          <w:rFonts w:ascii="Times New Roman Bold" w:hAnsi="Times New Roman Bold" w:hint="cs"/>
          <w:b/>
          <w:bCs/>
          <w:spacing w:val="-2"/>
          <w:rtl/>
          <w:lang w:val="fr-CH" w:bidi="ar-MA"/>
        </w:rPr>
        <w:t>)</w:t>
      </w:r>
      <w:r w:rsidRPr="009948BE">
        <w:rPr>
          <w:rFonts w:ascii="Times New Roman Bold" w:hAnsi="Times New Roman Bold" w:hint="cs"/>
          <w:b/>
          <w:bCs/>
          <w:spacing w:val="-2"/>
          <w:rtl/>
          <w:lang w:val="fr-CH" w:bidi="ar-MA"/>
        </w:rPr>
        <w:tab/>
        <w:t>إعلان عدد مرافق الاحتجاز ومواقعها وقدرتها الاستيعابية وعدد المحتجزين فيها، مع الإحاطة علماً بالتصريح الذي أدلى به الوفد بمراعاة القيام بذلك في المستقبل.</w:t>
      </w:r>
    </w:p>
    <w:p w:rsidR="00ED2F77" w:rsidRDefault="00ED2F77" w:rsidP="00ED2F77">
      <w:pPr>
        <w:pStyle w:val="H23GA"/>
        <w:rPr>
          <w:rFonts w:hint="cs"/>
          <w:rtl/>
          <w:lang w:val="fr-CH" w:bidi="ar-MA"/>
        </w:rPr>
      </w:pPr>
      <w:r>
        <w:rPr>
          <w:rFonts w:hint="cs"/>
          <w:rtl/>
          <w:lang w:val="fr-CH" w:bidi="ar-MA"/>
        </w:rPr>
        <w:tab/>
      </w:r>
      <w:r>
        <w:rPr>
          <w:rFonts w:hint="cs"/>
          <w:rtl/>
          <w:lang w:val="fr-CH" w:bidi="ar-MA"/>
        </w:rPr>
        <w:tab/>
        <w:t>شكاوى الضحايا والشهود والمدافعين عن حقوق الإنسان والأعمال الانتقامية ضدهم وحمايتهم</w:t>
      </w:r>
    </w:p>
    <w:p w:rsidR="00ED2F77" w:rsidRDefault="009948BE" w:rsidP="009948BE">
      <w:pPr>
        <w:pStyle w:val="SingleTxtGA"/>
        <w:rPr>
          <w:rFonts w:hint="cs"/>
          <w:rtl/>
          <w:lang w:val="fr-CH" w:bidi="ar-MA"/>
        </w:rPr>
      </w:pPr>
      <w:r>
        <w:rPr>
          <w:rFonts w:hint="cs"/>
          <w:rtl/>
          <w:lang w:val="fr-CH" w:bidi="ar-MA"/>
        </w:rPr>
        <w:t>(</w:t>
      </w:r>
      <w:r w:rsidR="00ED2F77" w:rsidRPr="00B0112B">
        <w:rPr>
          <w:rFonts w:hint="cs"/>
          <w:rtl/>
          <w:lang w:val="fr-CH" w:bidi="ar-MA"/>
        </w:rPr>
        <w:t>15</w:t>
      </w:r>
      <w:r>
        <w:rPr>
          <w:rFonts w:hint="cs"/>
          <w:rtl/>
          <w:lang w:val="fr-CH" w:bidi="ar-MA"/>
        </w:rPr>
        <w:t>)</w:t>
      </w:r>
      <w:r w:rsidR="00ED2F77" w:rsidRPr="00B0112B">
        <w:rPr>
          <w:rFonts w:hint="cs"/>
          <w:rtl/>
          <w:lang w:val="fr-CH" w:bidi="ar-MA"/>
        </w:rPr>
        <w:tab/>
      </w:r>
      <w:r w:rsidR="00ED2F77">
        <w:rPr>
          <w:rFonts w:hint="cs"/>
          <w:rtl/>
          <w:lang w:val="fr-CH" w:bidi="ar-MA"/>
        </w:rPr>
        <w:t xml:space="preserve">تعرب </w:t>
      </w:r>
      <w:r w:rsidR="00ED2F77" w:rsidRPr="00B0112B">
        <w:rPr>
          <w:rFonts w:hint="cs"/>
          <w:rtl/>
          <w:lang w:val="fr-CH" w:bidi="ar-MA"/>
        </w:rPr>
        <w:t>اللجنة</w:t>
      </w:r>
      <w:r w:rsidR="00ED2F77">
        <w:rPr>
          <w:rFonts w:hint="cs"/>
          <w:rtl/>
          <w:lang w:val="fr-CH" w:bidi="ar-MA"/>
        </w:rPr>
        <w:t xml:space="preserve"> عن القلق إزاء ورود تقارير تفيد أن ضحايا أعمال التعذيب وسوء المعاملة والشهود عليها لا</w:t>
      </w:r>
      <w:r w:rsidR="00ED2F77">
        <w:rPr>
          <w:rtl/>
          <w:lang w:val="fr-CH" w:bidi="ar-MA"/>
        </w:rPr>
        <w:t> </w:t>
      </w:r>
      <w:r w:rsidR="00ED2F77">
        <w:rPr>
          <w:rFonts w:hint="cs"/>
          <w:rtl/>
          <w:lang w:val="fr-CH" w:bidi="ar-MA"/>
        </w:rPr>
        <w:t>يرفعون الشكاوى إلى السلطات خشية التعرض إلى أعمال انتقامية ونظراً لغياب المتابعة الملائمة. إضافة إلى ذلك، بينما تلاحظ اللجنة إسقاط القذف والسب من القانون الجنائي في تموز/يوليه 2012، فإنها تظل قلقة إزاء ورود تقارير عن مضايقة وتخويف الصحفيين والمدافعين عن حقوق الإنسان الذين يبلغون عن حالات التعذيب وسوء المعاملة. ويساور اللجنة القلق بالأخص إزاء المعلومات الواردة التي مفادها أن ضحايا التعذيب المزعوم وأسرهم والصحفيين والمحامين والخبراء الطبيين والمدافعين عن حقوق الإنسان الذين أعربوا عن قلقهم للمقرر الخاص المعني بمسألة التعذيب وغيره من ضروب المعاملة أو</w:t>
      </w:r>
      <w:r w:rsidR="00ED2F77">
        <w:rPr>
          <w:rtl/>
          <w:lang w:val="fr-CH" w:bidi="ar-MA"/>
        </w:rPr>
        <w:t> </w:t>
      </w:r>
      <w:r w:rsidR="00ED2F77">
        <w:rPr>
          <w:rFonts w:hint="cs"/>
          <w:rtl/>
          <w:lang w:val="fr-CH" w:bidi="ar-MA"/>
        </w:rPr>
        <w:t>العقوبة القاسية أو</w:t>
      </w:r>
      <w:r w:rsidR="00ED2F77">
        <w:rPr>
          <w:rtl/>
          <w:lang w:val="fr-CH" w:bidi="ar-MA"/>
        </w:rPr>
        <w:t> </w:t>
      </w:r>
      <w:r w:rsidR="00ED2F77">
        <w:rPr>
          <w:rFonts w:hint="cs"/>
          <w:rtl/>
          <w:lang w:val="fr-CH" w:bidi="ar-MA"/>
        </w:rPr>
        <w:t>اللاإنسانية أو</w:t>
      </w:r>
      <w:r w:rsidR="00ED2F77">
        <w:rPr>
          <w:rtl/>
          <w:lang w:val="fr-CH" w:bidi="ar-MA"/>
        </w:rPr>
        <w:t> </w:t>
      </w:r>
      <w:r w:rsidR="00ED2F77">
        <w:rPr>
          <w:rFonts w:hint="cs"/>
          <w:rtl/>
          <w:lang w:val="fr-CH" w:bidi="ar-MA"/>
        </w:rPr>
        <w:t>المهينة، أثناء زيارته إلى طاجيكستان في أيار/مايو 2012، قد</w:t>
      </w:r>
      <w:r w:rsidR="00ED2F77">
        <w:rPr>
          <w:rFonts w:hint="eastAsia"/>
          <w:rtl/>
          <w:lang w:val="fr-CH" w:bidi="ar-MA"/>
        </w:rPr>
        <w:t> </w:t>
      </w:r>
      <w:r w:rsidR="00ED2F77">
        <w:rPr>
          <w:rFonts w:hint="cs"/>
          <w:rtl/>
          <w:lang w:val="fr-CH" w:bidi="ar-MA"/>
        </w:rPr>
        <w:t>تعرضوا لاحقاً إلى المضايقة والتخويف من جانب السلطات. وفضلاً عن ذلك، بينما تحيط اللجنة علماً بالمعلومات التي قدَّمها الوفد، فإنها مع ذلك قلقة بشأن إغلاق رابطة المحامين الشباب في طاجيكستان (</w:t>
      </w:r>
      <w:r w:rsidR="00ED2F77">
        <w:rPr>
          <w:lang w:val="fr-CH" w:bidi="ar-MA"/>
        </w:rPr>
        <w:t>Amparo</w:t>
      </w:r>
      <w:r w:rsidR="00ED2F77">
        <w:rPr>
          <w:rFonts w:hint="cs"/>
          <w:rtl/>
          <w:lang w:val="fr-CH" w:bidi="ar-MA"/>
        </w:rPr>
        <w:t>)، وهي عضو التحالف المعني بمناهضة التعذيب الذي تعاون مع المقرر الخاص خلال زيارته، وذلك وفقاً لطلب قدمته وزارة العدل بحل المنظمة لأسباب إدارية وطبقاً لقرار اتخذته محكمة مدينة خجند في 24 تشرين الأول/أكتوبر 2012 لهذا الغرض (المادتان 12 و13).</w:t>
      </w:r>
    </w:p>
    <w:p w:rsidR="00ED2F77" w:rsidRPr="00F55308" w:rsidRDefault="00ED2F77" w:rsidP="00ED2F77">
      <w:pPr>
        <w:pStyle w:val="SingleTxtGA"/>
        <w:rPr>
          <w:rFonts w:hint="cs"/>
          <w:b/>
          <w:bCs/>
          <w:rtl/>
          <w:lang w:val="fr-CH" w:bidi="ar-MA"/>
        </w:rPr>
      </w:pPr>
      <w:r>
        <w:rPr>
          <w:rFonts w:hint="cs"/>
          <w:rtl/>
          <w:lang w:val="fr-CH" w:bidi="ar-MA"/>
        </w:rPr>
        <w:tab/>
      </w:r>
      <w:r w:rsidRPr="00F55308">
        <w:rPr>
          <w:rFonts w:hint="cs"/>
          <w:b/>
          <w:bCs/>
          <w:rtl/>
          <w:lang w:val="fr-CH" w:bidi="ar-MA"/>
        </w:rPr>
        <w:t xml:space="preserve">تحث اللجنة الدولة الطرف على وضع آلية مزودة بجميع الموارد وفعالة ومستقلة ويسهل الوصول إليها، للتحقيق </w:t>
      </w:r>
      <w:r>
        <w:rPr>
          <w:rFonts w:hint="cs"/>
          <w:b/>
          <w:bCs/>
          <w:rtl/>
          <w:lang w:val="fr-CH" w:bidi="ar-MA"/>
        </w:rPr>
        <w:t xml:space="preserve">فيما يقدمه </w:t>
      </w:r>
      <w:r w:rsidRPr="00F55308">
        <w:rPr>
          <w:rFonts w:hint="cs"/>
          <w:b/>
          <w:bCs/>
          <w:rtl/>
          <w:lang w:val="fr-CH" w:bidi="ar-MA"/>
        </w:rPr>
        <w:t xml:space="preserve">ضحايا </w:t>
      </w:r>
      <w:r>
        <w:rPr>
          <w:rFonts w:hint="cs"/>
          <w:b/>
          <w:bCs/>
          <w:rtl/>
          <w:lang w:val="fr-CH" w:bidi="ar-MA"/>
        </w:rPr>
        <w:t xml:space="preserve">أعمال </w:t>
      </w:r>
      <w:r w:rsidRPr="00F55308">
        <w:rPr>
          <w:rFonts w:hint="cs"/>
          <w:b/>
          <w:bCs/>
          <w:rtl/>
          <w:lang w:val="fr-CH" w:bidi="ar-MA"/>
        </w:rPr>
        <w:t xml:space="preserve">التعذيب وسوء المعاملة والشهود عليها </w:t>
      </w:r>
      <w:r>
        <w:rPr>
          <w:rFonts w:hint="cs"/>
          <w:b/>
          <w:bCs/>
          <w:rtl/>
          <w:lang w:val="fr-CH" w:bidi="ar-MA"/>
        </w:rPr>
        <w:t xml:space="preserve">من </w:t>
      </w:r>
      <w:r w:rsidRPr="00F55308">
        <w:rPr>
          <w:rFonts w:hint="cs"/>
          <w:b/>
          <w:bCs/>
          <w:rtl/>
          <w:lang w:val="fr-CH" w:bidi="ar-MA"/>
        </w:rPr>
        <w:t xml:space="preserve">شكاوى إلى السلطات العامة وتيسير تقديمها، </w:t>
      </w:r>
      <w:r>
        <w:rPr>
          <w:rFonts w:hint="cs"/>
          <w:b/>
          <w:bCs/>
          <w:rtl/>
          <w:lang w:val="fr-CH" w:bidi="ar-MA"/>
        </w:rPr>
        <w:t xml:space="preserve">حسبما </w:t>
      </w:r>
      <w:r w:rsidRPr="00F55308">
        <w:rPr>
          <w:rFonts w:hint="cs"/>
          <w:b/>
          <w:bCs/>
          <w:rtl/>
          <w:lang w:val="fr-CH" w:bidi="ar-MA"/>
        </w:rPr>
        <w:t>تعهدت الدولة الطرف عقب الاستعراض الدوري الشامل في آذار/مارس 2012. وينبغي لها أيضاً أن تضمن عملياً حماية المشتكين ومنظمات المجتمع المدني من التعرض لسوء المعاملة</w:t>
      </w:r>
      <w:r>
        <w:rPr>
          <w:rFonts w:hint="cs"/>
          <w:b/>
          <w:bCs/>
          <w:rtl/>
          <w:lang w:val="fr-CH" w:bidi="ar-MA"/>
        </w:rPr>
        <w:t xml:space="preserve"> أو</w:t>
      </w:r>
      <w:r>
        <w:rPr>
          <w:b/>
          <w:bCs/>
          <w:rtl/>
          <w:lang w:val="fr-CH" w:bidi="ar-MA"/>
        </w:rPr>
        <w:t> </w:t>
      </w:r>
      <w:r w:rsidRPr="00F55308">
        <w:rPr>
          <w:rFonts w:hint="cs"/>
          <w:b/>
          <w:bCs/>
          <w:rtl/>
          <w:lang w:val="fr-CH" w:bidi="ar-MA"/>
        </w:rPr>
        <w:t>التخويف</w:t>
      </w:r>
      <w:r>
        <w:rPr>
          <w:rFonts w:hint="cs"/>
          <w:b/>
          <w:bCs/>
          <w:rtl/>
          <w:lang w:val="fr-CH" w:bidi="ar-MA"/>
        </w:rPr>
        <w:t xml:space="preserve"> أو</w:t>
      </w:r>
      <w:r>
        <w:rPr>
          <w:b/>
          <w:bCs/>
          <w:rtl/>
          <w:lang w:val="fr-CH" w:bidi="ar-MA"/>
        </w:rPr>
        <w:t> </w:t>
      </w:r>
      <w:r w:rsidRPr="00F55308">
        <w:rPr>
          <w:rFonts w:hint="cs"/>
          <w:b/>
          <w:bCs/>
          <w:rtl/>
          <w:lang w:val="fr-CH" w:bidi="ar-MA"/>
        </w:rPr>
        <w:t xml:space="preserve">لأعمال انتقامية نتيجة تقديم الشكاوى، وأن تكفل </w:t>
      </w:r>
      <w:r>
        <w:rPr>
          <w:rFonts w:hint="cs"/>
          <w:b/>
          <w:bCs/>
          <w:rtl/>
          <w:lang w:val="fr-CH" w:bidi="ar-MA"/>
        </w:rPr>
        <w:t xml:space="preserve">اتخاذ التدابير </w:t>
      </w:r>
      <w:r w:rsidR="0001312C" w:rsidRPr="00F55308">
        <w:rPr>
          <w:rFonts w:hint="cs"/>
          <w:b/>
          <w:bCs/>
          <w:rtl/>
          <w:lang w:val="fr-CH" w:bidi="ar-MA"/>
        </w:rPr>
        <w:t>الملائمة</w:t>
      </w:r>
      <w:r>
        <w:rPr>
          <w:rFonts w:hint="cs"/>
          <w:b/>
          <w:bCs/>
          <w:rtl/>
          <w:lang w:val="fr-CH" w:bidi="ar-MA"/>
        </w:rPr>
        <w:t>،</w:t>
      </w:r>
      <w:r w:rsidRPr="00F55308">
        <w:rPr>
          <w:rFonts w:hint="cs"/>
          <w:b/>
          <w:bCs/>
          <w:rtl/>
          <w:lang w:val="fr-CH" w:bidi="ar-MA"/>
        </w:rPr>
        <w:t xml:space="preserve"> </w:t>
      </w:r>
      <w:r>
        <w:rPr>
          <w:rFonts w:hint="cs"/>
          <w:b/>
          <w:bCs/>
          <w:rtl/>
          <w:lang w:val="fr-CH" w:bidi="ar-MA"/>
        </w:rPr>
        <w:t>ال</w:t>
      </w:r>
      <w:r w:rsidRPr="00F55308">
        <w:rPr>
          <w:rFonts w:hint="cs"/>
          <w:b/>
          <w:bCs/>
          <w:rtl/>
          <w:lang w:val="fr-CH" w:bidi="ar-MA"/>
        </w:rPr>
        <w:t xml:space="preserve">تأديبية </w:t>
      </w:r>
      <w:r>
        <w:rPr>
          <w:rFonts w:hint="cs"/>
          <w:b/>
          <w:bCs/>
          <w:rtl/>
          <w:lang w:val="fr-CH" w:bidi="ar-MA"/>
        </w:rPr>
        <w:t>منها أو</w:t>
      </w:r>
      <w:r>
        <w:rPr>
          <w:b/>
          <w:bCs/>
          <w:rtl/>
          <w:lang w:val="fr-CH" w:bidi="ar-MA"/>
        </w:rPr>
        <w:t> </w:t>
      </w:r>
      <w:r>
        <w:rPr>
          <w:rFonts w:hint="cs"/>
          <w:b/>
          <w:bCs/>
          <w:rtl/>
          <w:lang w:val="fr-CH" w:bidi="ar-MA"/>
        </w:rPr>
        <w:t>ال</w:t>
      </w:r>
      <w:r w:rsidRPr="00F55308">
        <w:rPr>
          <w:rFonts w:hint="cs"/>
          <w:b/>
          <w:bCs/>
          <w:rtl/>
          <w:lang w:val="fr-CH" w:bidi="ar-MA"/>
        </w:rPr>
        <w:t xml:space="preserve">جنائية، </w:t>
      </w:r>
      <w:r>
        <w:rPr>
          <w:rFonts w:hint="cs"/>
          <w:b/>
          <w:bCs/>
          <w:rtl/>
          <w:lang w:val="fr-CH" w:bidi="ar-MA"/>
        </w:rPr>
        <w:t xml:space="preserve">إذا </w:t>
      </w:r>
      <w:r w:rsidRPr="00F55308">
        <w:rPr>
          <w:rFonts w:hint="cs"/>
          <w:b/>
          <w:bCs/>
          <w:rtl/>
          <w:lang w:val="fr-CH" w:bidi="ar-MA"/>
        </w:rPr>
        <w:t>اقتضى الأمر، ضد المسؤولين المكلفين بإنفاذ القانون لارتكابهم تلك الأعمال.</w:t>
      </w:r>
    </w:p>
    <w:p w:rsidR="00ED2F77" w:rsidRDefault="00ED2F77" w:rsidP="00ED2F77">
      <w:pPr>
        <w:pStyle w:val="H23GA"/>
        <w:rPr>
          <w:rFonts w:hint="cs"/>
          <w:rtl/>
          <w:lang w:val="fr-CH"/>
        </w:rPr>
      </w:pPr>
      <w:r>
        <w:rPr>
          <w:rFonts w:hint="cs"/>
          <w:rtl/>
          <w:lang w:val="fr-CH"/>
        </w:rPr>
        <w:tab/>
      </w:r>
      <w:r>
        <w:rPr>
          <w:rFonts w:hint="cs"/>
          <w:rtl/>
          <w:lang w:val="fr-CH"/>
        </w:rPr>
        <w:tab/>
        <w:t>العنف ضد النساء والأطفال</w:t>
      </w:r>
    </w:p>
    <w:p w:rsidR="00ED2F77" w:rsidRDefault="009948BE" w:rsidP="009948BE">
      <w:pPr>
        <w:pStyle w:val="SingleTxtGA"/>
        <w:rPr>
          <w:rFonts w:hint="cs"/>
          <w:rtl/>
          <w:lang w:val="fr-CH"/>
        </w:rPr>
      </w:pPr>
      <w:r>
        <w:rPr>
          <w:rFonts w:hint="cs"/>
          <w:rtl/>
          <w:lang w:val="fr-CH"/>
        </w:rPr>
        <w:t>(</w:t>
      </w:r>
      <w:r w:rsidR="00ED2F77">
        <w:rPr>
          <w:rFonts w:hint="cs"/>
          <w:rtl/>
          <w:lang w:val="fr-CH"/>
        </w:rPr>
        <w:t>16</w:t>
      </w:r>
      <w:r>
        <w:rPr>
          <w:rFonts w:hint="cs"/>
          <w:rtl/>
          <w:lang w:val="fr-CH"/>
        </w:rPr>
        <w:t>)</w:t>
      </w:r>
      <w:r w:rsidR="00ED2F77">
        <w:rPr>
          <w:rFonts w:hint="cs"/>
          <w:rtl/>
          <w:lang w:val="fr-CH"/>
        </w:rPr>
        <w:tab/>
        <w:t>تشعر اللجنة ببالغ القلق إزاء غياب أي تشريعات محلية تجرم أعمال العنف ضد المرأة، رغم وجود مشروع قانون بشأن "الحماية الاجتماعية والقانونية من العنف المنزلي" منذ عام</w:t>
      </w:r>
      <w:r w:rsidR="00ED2F77">
        <w:rPr>
          <w:rtl/>
          <w:lang w:val="fr-CH"/>
        </w:rPr>
        <w:t> </w:t>
      </w:r>
      <w:r w:rsidR="00ED2F77">
        <w:rPr>
          <w:rFonts w:hint="cs"/>
          <w:rtl/>
          <w:lang w:val="fr-CH"/>
        </w:rPr>
        <w:t>2009؛ وورود تقارير عن استفحال العنف المنزلي؛ ومواجهة صعوبات في تقديم الشكاوى؛ وتقاعس المسؤولين المكلفين بإنفاذ القانون من التدخل في تلك القضايا. وتشعر أيضاً بالقلق إزاء غياب تشريعات محلية تحظر العقاب الجسدي للأطفال، رغم الادعاءات باللجوء إليه على نطاق واسع داخل الأسر والمدارس وغيرها من المؤسسات التعليمية (المواد</w:t>
      </w:r>
      <w:r w:rsidR="00ED2F77">
        <w:rPr>
          <w:rFonts w:hint="eastAsia"/>
          <w:rtl/>
          <w:lang w:val="fr-CH"/>
        </w:rPr>
        <w:t> </w:t>
      </w:r>
      <w:r w:rsidR="00ED2F77">
        <w:rPr>
          <w:rFonts w:hint="cs"/>
          <w:rtl/>
          <w:lang w:val="fr-CH"/>
        </w:rPr>
        <w:t>2 و12 و13 و16).</w:t>
      </w:r>
    </w:p>
    <w:p w:rsidR="00ED2F77" w:rsidRPr="00F722DD" w:rsidRDefault="00ED2F77" w:rsidP="00ED2F77">
      <w:pPr>
        <w:pStyle w:val="SingleTxtGA"/>
        <w:rPr>
          <w:rFonts w:hint="cs"/>
          <w:b/>
          <w:bCs/>
          <w:rtl/>
          <w:lang w:val="fr-CH"/>
        </w:rPr>
      </w:pPr>
      <w:r>
        <w:rPr>
          <w:rFonts w:hint="cs"/>
          <w:b/>
          <w:bCs/>
          <w:rtl/>
          <w:lang w:val="fr-CH"/>
        </w:rPr>
        <w:tab/>
      </w:r>
      <w:r w:rsidRPr="00F722DD">
        <w:rPr>
          <w:rFonts w:hint="cs"/>
          <w:b/>
          <w:bCs/>
          <w:rtl/>
          <w:lang w:val="fr-CH"/>
        </w:rPr>
        <w:t>ينبغي للدولة الطرف أن تعزز جهودها الرامية إلى منع ممارسة العنف ضد النساء والأطفال ومكافحته ومعاقبة مرتكبيه، وذلك من خلال</w:t>
      </w:r>
      <w:r>
        <w:rPr>
          <w:rFonts w:hint="cs"/>
          <w:b/>
          <w:bCs/>
          <w:rtl/>
          <w:lang w:val="fr-CH"/>
        </w:rPr>
        <w:t xml:space="preserve"> ما</w:t>
      </w:r>
      <w:r>
        <w:rPr>
          <w:b/>
          <w:bCs/>
          <w:rtl/>
          <w:lang w:val="fr-CH"/>
        </w:rPr>
        <w:t> </w:t>
      </w:r>
      <w:r w:rsidRPr="00F722DD">
        <w:rPr>
          <w:rFonts w:hint="cs"/>
          <w:b/>
          <w:bCs/>
          <w:rtl/>
          <w:lang w:val="fr-CH"/>
        </w:rPr>
        <w:t>يلي، في جملة أمور:</w:t>
      </w:r>
    </w:p>
    <w:p w:rsidR="00ED2F77" w:rsidRPr="00F55308" w:rsidRDefault="00ED2F77" w:rsidP="00ED2F77">
      <w:pPr>
        <w:pStyle w:val="SingleTxtGA"/>
        <w:rPr>
          <w:rFonts w:hint="cs"/>
          <w:b/>
          <w:bCs/>
          <w:lang w:val="fr-CH"/>
        </w:rPr>
      </w:pPr>
      <w:r>
        <w:rPr>
          <w:rFonts w:hint="cs"/>
          <w:b/>
          <w:bCs/>
          <w:rtl/>
          <w:lang w:val="fr-CH" w:bidi="ar-MA"/>
        </w:rPr>
        <w:tab/>
        <w:t>(أ)</w:t>
      </w:r>
      <w:r>
        <w:rPr>
          <w:rFonts w:hint="cs"/>
          <w:b/>
          <w:bCs/>
          <w:rtl/>
          <w:lang w:val="fr-CH" w:bidi="ar-MA"/>
        </w:rPr>
        <w:tab/>
      </w:r>
      <w:r w:rsidRPr="00F55308">
        <w:rPr>
          <w:rFonts w:hint="cs"/>
          <w:b/>
          <w:bCs/>
          <w:rtl/>
          <w:lang w:val="fr-CH" w:bidi="ar-MA"/>
        </w:rPr>
        <w:t>الإسراع باعتماد مشروع القانون بشأن "الحماية الاجتماعية والقانونية من العنف المنزلي" وتجريم تلك الأعمال؛</w:t>
      </w:r>
    </w:p>
    <w:p w:rsidR="00ED2F77" w:rsidRPr="00F55308" w:rsidRDefault="00ED2F77" w:rsidP="00ED2F77">
      <w:pPr>
        <w:pStyle w:val="SingleTxtGA"/>
        <w:rPr>
          <w:rFonts w:hint="cs"/>
          <w:b/>
          <w:bCs/>
          <w:lang w:val="fr-CH"/>
        </w:rPr>
      </w:pPr>
      <w:r>
        <w:rPr>
          <w:rFonts w:hint="cs"/>
          <w:b/>
          <w:bCs/>
          <w:rtl/>
          <w:lang w:val="fr-CH" w:bidi="ar-MA"/>
        </w:rPr>
        <w:tab/>
        <w:t>(ب)</w:t>
      </w:r>
      <w:r>
        <w:rPr>
          <w:rFonts w:hint="cs"/>
          <w:b/>
          <w:bCs/>
          <w:rtl/>
          <w:lang w:val="fr-CH" w:bidi="ar-MA"/>
        </w:rPr>
        <w:tab/>
      </w:r>
      <w:r w:rsidRPr="00F55308">
        <w:rPr>
          <w:rFonts w:hint="cs"/>
          <w:b/>
          <w:bCs/>
          <w:rtl/>
          <w:lang w:val="fr-CH" w:bidi="ar-MA"/>
        </w:rPr>
        <w:t>اتخاذ تدابير فعالة تضمن أن ضحايا العنف ضد النساء والأطفال،</w:t>
      </w:r>
      <w:r>
        <w:rPr>
          <w:rFonts w:hint="cs"/>
          <w:b/>
          <w:bCs/>
          <w:rtl/>
          <w:lang w:val="fr-CH" w:bidi="ar-MA"/>
        </w:rPr>
        <w:t xml:space="preserve"> بما</w:t>
      </w:r>
      <w:r>
        <w:rPr>
          <w:b/>
          <w:bCs/>
          <w:rtl/>
          <w:lang w:val="fr-CH" w:bidi="ar-MA"/>
        </w:rPr>
        <w:t> </w:t>
      </w:r>
      <w:r w:rsidRPr="00F55308">
        <w:rPr>
          <w:rFonts w:hint="cs"/>
          <w:b/>
          <w:bCs/>
          <w:rtl/>
          <w:lang w:val="fr-CH" w:bidi="ar-MA"/>
        </w:rPr>
        <w:t xml:space="preserve">فيه العنف المنزلي، </w:t>
      </w:r>
      <w:r>
        <w:rPr>
          <w:rFonts w:hint="cs"/>
          <w:b/>
          <w:bCs/>
          <w:rtl/>
          <w:lang w:val="fr-CH" w:bidi="ar-MA"/>
        </w:rPr>
        <w:t xml:space="preserve">يمكنهم </w:t>
      </w:r>
      <w:r w:rsidRPr="00F55308">
        <w:rPr>
          <w:rFonts w:hint="cs"/>
          <w:b/>
          <w:bCs/>
          <w:rtl/>
          <w:lang w:val="fr-CH" w:bidi="ar-MA"/>
        </w:rPr>
        <w:t>التمتع بحقهم في رفع الشكاوى، وتكفل التحقيق في تلك الشكاوى على نحو وافٍ ومقاضاة الجناة ومعاقبتهم بعقوبات ملائمة؛</w:t>
      </w:r>
    </w:p>
    <w:p w:rsidR="00ED2F77" w:rsidRPr="00F55308" w:rsidRDefault="00ED2F77" w:rsidP="00ED2F77">
      <w:pPr>
        <w:pStyle w:val="SingleTxtGA"/>
        <w:rPr>
          <w:rFonts w:hint="cs"/>
          <w:b/>
          <w:bCs/>
          <w:lang w:val="fr-CH"/>
        </w:rPr>
      </w:pPr>
      <w:r>
        <w:rPr>
          <w:rFonts w:hint="cs"/>
          <w:b/>
          <w:bCs/>
          <w:rtl/>
          <w:lang w:val="fr-CH"/>
        </w:rPr>
        <w:tab/>
        <w:t>(ج)</w:t>
      </w:r>
      <w:r>
        <w:rPr>
          <w:rFonts w:hint="cs"/>
          <w:b/>
          <w:bCs/>
          <w:rtl/>
          <w:lang w:val="fr-CH"/>
        </w:rPr>
        <w:tab/>
      </w:r>
      <w:r w:rsidRPr="00F55308">
        <w:rPr>
          <w:rFonts w:hint="cs"/>
          <w:b/>
          <w:bCs/>
          <w:rtl/>
          <w:lang w:val="fr-CH"/>
        </w:rPr>
        <w:t>اعتماد تشريعات لحظر العقاب الجسدي حظراً صريحاً في جميع السياقات؛</w:t>
      </w:r>
    </w:p>
    <w:p w:rsidR="00ED2F77" w:rsidRPr="00F55308" w:rsidRDefault="00ED2F77" w:rsidP="00ED2F77">
      <w:pPr>
        <w:pStyle w:val="SingleTxtGA"/>
        <w:rPr>
          <w:rFonts w:hint="cs"/>
          <w:b/>
          <w:bCs/>
          <w:lang w:val="fr-CH"/>
        </w:rPr>
      </w:pPr>
      <w:r>
        <w:rPr>
          <w:rFonts w:hint="cs"/>
          <w:b/>
          <w:bCs/>
          <w:rtl/>
          <w:lang w:val="fr-CH"/>
        </w:rPr>
        <w:tab/>
        <w:t>(د)</w:t>
      </w:r>
      <w:r>
        <w:rPr>
          <w:rFonts w:hint="cs"/>
          <w:b/>
          <w:bCs/>
          <w:rtl/>
          <w:lang w:val="fr-CH"/>
        </w:rPr>
        <w:tab/>
      </w:r>
      <w:r w:rsidRPr="00F55308">
        <w:rPr>
          <w:rFonts w:hint="cs"/>
          <w:b/>
          <w:bCs/>
          <w:rtl/>
          <w:lang w:val="fr-CH"/>
        </w:rPr>
        <w:t>تمكين ضحايا العنف المنزلي والجنسي من الحماية والجبر الفوريين،</w:t>
      </w:r>
      <w:r>
        <w:rPr>
          <w:rFonts w:hint="cs"/>
          <w:b/>
          <w:bCs/>
          <w:rtl/>
          <w:lang w:val="fr-CH"/>
        </w:rPr>
        <w:t xml:space="preserve"> بما</w:t>
      </w:r>
      <w:r>
        <w:rPr>
          <w:b/>
          <w:bCs/>
          <w:rtl/>
          <w:lang w:val="fr-CH"/>
        </w:rPr>
        <w:t> </w:t>
      </w:r>
      <w:r w:rsidRPr="00F55308">
        <w:rPr>
          <w:rFonts w:hint="cs"/>
          <w:b/>
          <w:bCs/>
          <w:rtl/>
          <w:lang w:val="fr-CH"/>
        </w:rPr>
        <w:t>في ذلك فصلهم عن الجناة وتوفير المأوى لهم وإعادة تأهيلهم؛</w:t>
      </w:r>
    </w:p>
    <w:p w:rsidR="00ED2F77" w:rsidRPr="00F55308" w:rsidRDefault="00ED2F77" w:rsidP="00ED2F77">
      <w:pPr>
        <w:pStyle w:val="SingleTxtGA"/>
        <w:rPr>
          <w:rFonts w:hint="cs"/>
          <w:b/>
          <w:bCs/>
          <w:lang w:val="fr-CH"/>
        </w:rPr>
      </w:pPr>
      <w:r>
        <w:rPr>
          <w:rFonts w:hint="cs"/>
          <w:b/>
          <w:bCs/>
          <w:rtl/>
          <w:lang w:val="fr-CH"/>
        </w:rPr>
        <w:tab/>
        <w:t>(</w:t>
      </w:r>
      <w:r w:rsidRPr="00F55308">
        <w:rPr>
          <w:rFonts w:hint="cs"/>
          <w:b/>
          <w:bCs/>
          <w:sz w:val="30"/>
          <w:rtl/>
          <w:lang w:val="fr-CH"/>
        </w:rPr>
        <w:t>ﻫ</w:t>
      </w:r>
      <w:r>
        <w:rPr>
          <w:rFonts w:hint="cs"/>
          <w:b/>
          <w:bCs/>
          <w:rtl/>
          <w:lang w:val="fr-CH"/>
        </w:rPr>
        <w:t>)</w:t>
      </w:r>
      <w:r>
        <w:rPr>
          <w:rFonts w:hint="cs"/>
          <w:b/>
          <w:bCs/>
          <w:rtl/>
          <w:lang w:val="fr-CH"/>
        </w:rPr>
        <w:tab/>
      </w:r>
      <w:r w:rsidRPr="00F55308">
        <w:rPr>
          <w:rFonts w:hint="cs"/>
          <w:b/>
          <w:bCs/>
          <w:rtl/>
          <w:lang w:val="fr-CH"/>
        </w:rPr>
        <w:t>تدريب الموظفين المكلفين بإنفاذ القانون والقضاة والمدعين العامين على طريقة تلقي الشكاوى المتعلقة بالعنف المنزلي والجنسي والاتجار والعنف ضد الأطفال ورصدها والتحقيق فيها بطريقة تراعي مصالحهم وتحترم سريَّة المعلومات؛</w:t>
      </w:r>
    </w:p>
    <w:p w:rsidR="00ED2F77" w:rsidRPr="00F55308" w:rsidRDefault="00ED2F77" w:rsidP="00ED2F77">
      <w:pPr>
        <w:pStyle w:val="SingleTxtGA"/>
        <w:rPr>
          <w:rFonts w:hint="cs"/>
          <w:b/>
          <w:bCs/>
          <w:lang w:val="fr-CH"/>
        </w:rPr>
      </w:pPr>
      <w:r>
        <w:rPr>
          <w:rFonts w:hint="cs"/>
          <w:b/>
          <w:bCs/>
          <w:rtl/>
          <w:lang w:val="fr-CH"/>
        </w:rPr>
        <w:tab/>
        <w:t>(و)</w:t>
      </w:r>
      <w:r>
        <w:rPr>
          <w:rFonts w:hint="cs"/>
          <w:b/>
          <w:bCs/>
          <w:rtl/>
          <w:lang w:val="fr-CH"/>
        </w:rPr>
        <w:tab/>
      </w:r>
      <w:r w:rsidRPr="00F55308">
        <w:rPr>
          <w:rFonts w:hint="cs"/>
          <w:b/>
          <w:bCs/>
          <w:rtl/>
          <w:lang w:val="fr-CH"/>
        </w:rPr>
        <w:t>تنظيم حملات توعية بشأن الأثر السلبي لمعاقبة الأطفال جسدياً، وبشأن العنف المنزلي والجنسي.</w:t>
      </w:r>
    </w:p>
    <w:p w:rsidR="00ED2F77" w:rsidRDefault="00ED2F77" w:rsidP="00ED2F77">
      <w:pPr>
        <w:pStyle w:val="H23GA"/>
        <w:rPr>
          <w:rFonts w:hint="cs"/>
          <w:rtl/>
          <w:lang w:val="fr-CH"/>
        </w:rPr>
      </w:pPr>
      <w:r>
        <w:rPr>
          <w:rFonts w:hint="cs"/>
          <w:rtl/>
          <w:lang w:val="fr-CH"/>
        </w:rPr>
        <w:tab/>
      </w:r>
      <w:r>
        <w:rPr>
          <w:rFonts w:hint="cs"/>
          <w:rtl/>
          <w:lang w:val="fr-CH"/>
        </w:rPr>
        <w:tab/>
        <w:t>استقلال الجهاز القضائي</w:t>
      </w:r>
    </w:p>
    <w:p w:rsidR="00ED2F77" w:rsidRDefault="009948BE" w:rsidP="009948BE">
      <w:pPr>
        <w:pStyle w:val="SingleTxtGA"/>
        <w:rPr>
          <w:rFonts w:hint="cs"/>
          <w:rtl/>
          <w:lang w:val="fr-CH" w:bidi="ar-MA"/>
        </w:rPr>
      </w:pPr>
      <w:r>
        <w:rPr>
          <w:rFonts w:hint="cs"/>
          <w:rtl/>
          <w:lang w:val="fr-CH"/>
        </w:rPr>
        <w:t>(</w:t>
      </w:r>
      <w:r w:rsidR="00ED2F77" w:rsidRPr="00D13AC7">
        <w:rPr>
          <w:rFonts w:hint="cs"/>
          <w:rtl/>
          <w:lang w:val="fr-CH"/>
        </w:rPr>
        <w:t>17</w:t>
      </w:r>
      <w:r>
        <w:rPr>
          <w:rFonts w:hint="cs"/>
          <w:rtl/>
          <w:lang w:val="fr-CH"/>
        </w:rPr>
        <w:t>)</w:t>
      </w:r>
      <w:r w:rsidR="00ED2F77" w:rsidRPr="00D13AC7">
        <w:rPr>
          <w:rFonts w:hint="cs"/>
          <w:rtl/>
          <w:lang w:val="fr-CH"/>
        </w:rPr>
        <w:tab/>
        <w:t>بينما ترحب اللجنة</w:t>
      </w:r>
      <w:r w:rsidR="00ED2F77">
        <w:rPr>
          <w:rFonts w:hint="cs"/>
          <w:rtl/>
          <w:lang w:val="fr-CH" w:bidi="ar-MA"/>
        </w:rPr>
        <w:t xml:space="preserve"> ببرنامج الإصلاح القضائي القانوني على مرحلتين الرامي إلى تعزيز الجهاز القضائي، بما</w:t>
      </w:r>
      <w:r w:rsidR="00ED2F77">
        <w:rPr>
          <w:rtl/>
          <w:lang w:val="fr-CH" w:bidi="ar-MA"/>
        </w:rPr>
        <w:t> </w:t>
      </w:r>
      <w:r w:rsidR="00ED2F77">
        <w:rPr>
          <w:rFonts w:hint="cs"/>
          <w:rtl/>
          <w:lang w:val="fr-CH" w:bidi="ar-MA"/>
        </w:rPr>
        <w:t>في ذلك عن طريق اتخاذ تدابير من قبيل رفع رواتب القضاة، فإنها تشعر بالقلق لأن الجهاز القضائي لا</w:t>
      </w:r>
      <w:r w:rsidR="00ED2F77">
        <w:rPr>
          <w:rtl/>
          <w:lang w:val="fr-CH" w:bidi="ar-MA"/>
        </w:rPr>
        <w:t> </w:t>
      </w:r>
      <w:r w:rsidR="00ED2F77">
        <w:rPr>
          <w:rFonts w:hint="cs"/>
          <w:rtl/>
          <w:lang w:val="fr-CH" w:bidi="ar-MA"/>
        </w:rPr>
        <w:t>يزال يعتريه الضعف ويفتقر إلى الفعالية ويقع تحت تأثير مجلس العدالة، وهذا المجلس مؤسسة تخضع، حسبما تشير التقارير، للرئيس وللفرع التنفيذي، ولكون الرئيس مسؤولاً عن تعيين القضاة وإقالتهم (المواد 2 و12 و13).</w:t>
      </w:r>
    </w:p>
    <w:p w:rsidR="00ED2F77" w:rsidRPr="005B4B08" w:rsidRDefault="00ED2F77" w:rsidP="00ED2F77">
      <w:pPr>
        <w:pStyle w:val="SingleTxtGA"/>
        <w:rPr>
          <w:b/>
          <w:bCs/>
          <w:lang w:val="fr-CH" w:bidi="ar-MA"/>
        </w:rPr>
      </w:pPr>
      <w:r>
        <w:rPr>
          <w:rFonts w:hint="cs"/>
          <w:b/>
          <w:bCs/>
          <w:rtl/>
          <w:lang w:val="fr-CH" w:bidi="ar-MA"/>
        </w:rPr>
        <w:tab/>
      </w:r>
      <w:r w:rsidRPr="005B4B08">
        <w:rPr>
          <w:rFonts w:hint="cs"/>
          <w:b/>
          <w:bCs/>
          <w:rtl/>
          <w:lang w:val="fr-CH" w:bidi="ar-MA"/>
        </w:rPr>
        <w:t>ينبغي للدولة الطرف أن تتخذ تدابير تكفل استقلال الجهاز القضائي وحياده بصورة كاملة في أداء وظائفه، وأن تعيد النظر في نظام تعيين القضاة وترقيتهم وإقالتهم</w:t>
      </w:r>
      <w:r>
        <w:rPr>
          <w:rFonts w:hint="cs"/>
          <w:b/>
          <w:bCs/>
          <w:rtl/>
          <w:lang w:val="fr-CH" w:bidi="ar-MA"/>
        </w:rPr>
        <w:t xml:space="preserve"> بما</w:t>
      </w:r>
      <w:r>
        <w:rPr>
          <w:b/>
          <w:bCs/>
          <w:rtl/>
          <w:lang w:val="fr-CH" w:bidi="ar-MA"/>
        </w:rPr>
        <w:t> </w:t>
      </w:r>
      <w:r w:rsidRPr="005B4B08">
        <w:rPr>
          <w:rFonts w:hint="cs"/>
          <w:b/>
          <w:bCs/>
          <w:rtl/>
          <w:lang w:val="fr-CH" w:bidi="ar-MA"/>
        </w:rPr>
        <w:t>يتسق مع المعايير الدولية ذات الصلة،</w:t>
      </w:r>
      <w:r>
        <w:rPr>
          <w:rFonts w:hint="cs"/>
          <w:b/>
          <w:bCs/>
          <w:rtl/>
          <w:lang w:val="fr-CH" w:bidi="ar-MA"/>
        </w:rPr>
        <w:t xml:space="preserve"> بما</w:t>
      </w:r>
      <w:r>
        <w:rPr>
          <w:b/>
          <w:bCs/>
          <w:rtl/>
          <w:lang w:val="fr-CH" w:bidi="ar-MA"/>
        </w:rPr>
        <w:t> </w:t>
      </w:r>
      <w:r w:rsidRPr="005B4B08">
        <w:rPr>
          <w:rFonts w:hint="cs"/>
          <w:b/>
          <w:bCs/>
          <w:rtl/>
          <w:lang w:val="fr-CH" w:bidi="ar-MA"/>
        </w:rPr>
        <w:t>في ذلك "المبادئ الأساسية بشأن استقلال السلطة القضائية" (التي أقرتها الجمعية العامة في قرارها 40/32 المؤرخ 29 تشرين الثاني/نوفمبر 1985 وقرارها 40/146 المؤرخ 13 كانون الأول/ديسمبر 1985).</w:t>
      </w:r>
    </w:p>
    <w:p w:rsidR="00ED2F77" w:rsidRDefault="00ED2F77" w:rsidP="00ED2F77">
      <w:pPr>
        <w:pStyle w:val="H23GA"/>
        <w:rPr>
          <w:rFonts w:hint="cs"/>
          <w:rtl/>
          <w:lang w:val="fr-CH" w:bidi="ar-MA"/>
        </w:rPr>
      </w:pPr>
      <w:r>
        <w:rPr>
          <w:rFonts w:hint="cs"/>
          <w:rtl/>
          <w:lang w:val="fr-CH"/>
        </w:rPr>
        <w:tab/>
      </w:r>
      <w:r>
        <w:rPr>
          <w:rFonts w:hint="cs"/>
          <w:rtl/>
          <w:lang w:val="fr-CH"/>
        </w:rPr>
        <w:tab/>
        <w:t xml:space="preserve">عدم الإعادة القسرية </w:t>
      </w:r>
      <w:r>
        <w:rPr>
          <w:rFonts w:hint="cs"/>
          <w:rtl/>
          <w:lang w:val="fr-CH" w:bidi="ar-MA"/>
        </w:rPr>
        <w:t>والتسليم</w:t>
      </w:r>
    </w:p>
    <w:p w:rsidR="00ED2F77" w:rsidRDefault="009948BE" w:rsidP="009948BE">
      <w:pPr>
        <w:pStyle w:val="SingleTxtGA"/>
        <w:rPr>
          <w:rFonts w:hint="cs"/>
          <w:rtl/>
          <w:lang w:val="fr-CH" w:bidi="ar-MA"/>
        </w:rPr>
      </w:pPr>
      <w:r>
        <w:rPr>
          <w:rFonts w:hint="cs"/>
          <w:rtl/>
          <w:lang w:val="fr-CH"/>
        </w:rPr>
        <w:t>(</w:t>
      </w:r>
      <w:r w:rsidR="00ED2F77">
        <w:rPr>
          <w:rFonts w:hint="cs"/>
          <w:rtl/>
          <w:lang w:val="fr-CH"/>
        </w:rPr>
        <w:t>18</w:t>
      </w:r>
      <w:r>
        <w:rPr>
          <w:rFonts w:hint="cs"/>
          <w:rtl/>
          <w:lang w:val="fr-CH"/>
        </w:rPr>
        <w:t>)</w:t>
      </w:r>
      <w:r w:rsidR="00ED2F77">
        <w:rPr>
          <w:rFonts w:hint="cs"/>
          <w:rtl/>
          <w:lang w:val="fr-CH"/>
        </w:rPr>
        <w:tab/>
        <w:t>تعرب اللجنة عن القلق لأن قانون الإجراءات الجنائية لا</w:t>
      </w:r>
      <w:r w:rsidR="00ED2F77">
        <w:rPr>
          <w:rtl/>
          <w:lang w:val="fr-CH"/>
        </w:rPr>
        <w:t> </w:t>
      </w:r>
      <w:r w:rsidR="00ED2F77">
        <w:rPr>
          <w:rFonts w:hint="cs"/>
          <w:rtl/>
          <w:lang w:val="fr-CH"/>
        </w:rPr>
        <w:t>يتضمن أي حكم بشأن الحظر المطلق للتسليم أو</w:t>
      </w:r>
      <w:r w:rsidR="00ED2F77">
        <w:rPr>
          <w:rtl/>
          <w:lang w:val="fr-CH"/>
        </w:rPr>
        <w:t> </w:t>
      </w:r>
      <w:r w:rsidR="00ED2F77">
        <w:rPr>
          <w:rFonts w:hint="cs"/>
          <w:rtl/>
          <w:lang w:val="fr-CH" w:bidi="ar-MA"/>
        </w:rPr>
        <w:t>الترحيل في الحالات التي قد يكون فيها الشخص عرضة لخطر التعذيب، ولعدم وجود أي إجراءات واضحة في التشريع للطعن في المشروعية أمام المحكمة في إجراءات التسليم والترحيل. كما</w:t>
      </w:r>
      <w:r w:rsidR="00ED2F77">
        <w:rPr>
          <w:rtl/>
          <w:lang w:val="fr-CH" w:bidi="ar-MA"/>
        </w:rPr>
        <w:t> </w:t>
      </w:r>
      <w:r w:rsidR="00ED2F77">
        <w:rPr>
          <w:rFonts w:hint="cs"/>
          <w:rtl/>
          <w:lang w:val="fr-CH" w:bidi="ar-MA"/>
        </w:rPr>
        <w:t>تشعر بالقلق إزاء ما</w:t>
      </w:r>
      <w:r w:rsidR="00ED2F77">
        <w:rPr>
          <w:rtl/>
          <w:lang w:val="fr-CH" w:bidi="ar-MA"/>
        </w:rPr>
        <w:t> </w:t>
      </w:r>
      <w:r w:rsidR="00ED2F77">
        <w:rPr>
          <w:rFonts w:hint="cs"/>
          <w:rtl/>
          <w:lang w:val="fr-CH" w:bidi="ar-MA"/>
        </w:rPr>
        <w:t>ورد من تقارير عن طلبات الدولة الطرف المتعلقة بتسليم أشخاص يُزعم أنهم يَنتمون إلى جماعات إسلامية محظورة، ويوضعون بعد عودتهم إلى طاجيكستان، حسبما تشير التقارير، رهن العزل والحبس الانفرادي ويتعرضون للتعذيب و/أو سوء المعاملة من جانب المسؤولين المكلفين بإنفاذ القانون. ويساور اللجنةَ القلق أيضاً إزاء ادعاءات مفادها أن الأشخاص الذين هم عرضة لخطر التعذيب بعد عودتهم والذين التمسوا من المحكمة الأوروبية لحقوق الإنسان اتخاذ إجراءات مؤقتة، قد اختطفتهم القوات الأمنية الطاجيكية في بلد مجاور وأعادتهم قسراً إلى طاجيكستان، وتعرضوا لاحقاً للتعذيب و/أو سوء المعاملة. إضافة إلى ذلك، تشعر اللجنة بالقلق إزاء تقارير مفادها أن أبدولفوزي لاتيبوف، وهو عضو سابق في المعارضة الطاجيكية الموحدة، يُزعم أنه قد اختُطف من الاتحاد الروسي ونُقل إلى طاجيكستان في تشرين الأول/أكتوبر 2012 وأنه رهن العزل (المادة</w:t>
      </w:r>
      <w:r w:rsidR="00ED2F77">
        <w:rPr>
          <w:rtl/>
          <w:lang w:val="fr-CH" w:bidi="ar-MA"/>
        </w:rPr>
        <w:t> </w:t>
      </w:r>
      <w:r w:rsidR="00ED2F77">
        <w:rPr>
          <w:rFonts w:hint="cs"/>
          <w:rtl/>
          <w:lang w:val="fr-CH" w:bidi="ar-MA"/>
        </w:rPr>
        <w:t>3).</w:t>
      </w:r>
    </w:p>
    <w:p w:rsidR="00ED2F77" w:rsidRPr="00F55308" w:rsidRDefault="00ED2F77" w:rsidP="00ED2F77">
      <w:pPr>
        <w:pStyle w:val="SingleTxtGA"/>
        <w:rPr>
          <w:rFonts w:hint="cs"/>
          <w:b/>
          <w:bCs/>
          <w:rtl/>
          <w:lang w:val="fr-CH" w:bidi="ar-MA"/>
        </w:rPr>
      </w:pPr>
      <w:r>
        <w:rPr>
          <w:rFonts w:hint="cs"/>
          <w:b/>
          <w:bCs/>
          <w:rtl/>
          <w:lang w:val="fr-CH" w:bidi="ar-MA"/>
        </w:rPr>
        <w:tab/>
      </w:r>
      <w:r w:rsidRPr="00F55308">
        <w:rPr>
          <w:rFonts w:hint="cs"/>
          <w:b/>
          <w:bCs/>
          <w:rtl/>
          <w:lang w:val="fr-CH" w:bidi="ar-MA"/>
        </w:rPr>
        <w:t>ينبغي للدولة الطرف أن تقوم</w:t>
      </w:r>
      <w:r>
        <w:rPr>
          <w:rFonts w:hint="cs"/>
          <w:b/>
          <w:bCs/>
          <w:rtl/>
          <w:lang w:val="fr-CH" w:bidi="ar-MA"/>
        </w:rPr>
        <w:t xml:space="preserve"> بما</w:t>
      </w:r>
      <w:r>
        <w:rPr>
          <w:b/>
          <w:bCs/>
          <w:rtl/>
          <w:lang w:val="fr-CH" w:bidi="ar-MA"/>
        </w:rPr>
        <w:t> </w:t>
      </w:r>
      <w:r w:rsidRPr="00F55308">
        <w:rPr>
          <w:rFonts w:hint="cs"/>
          <w:b/>
          <w:bCs/>
          <w:rtl/>
          <w:lang w:val="fr-CH" w:bidi="ar-MA"/>
        </w:rPr>
        <w:t>يلي:</w:t>
      </w:r>
    </w:p>
    <w:p w:rsidR="00ED2F77" w:rsidRPr="00F55308" w:rsidRDefault="00ED2F77" w:rsidP="00ED2F77">
      <w:pPr>
        <w:pStyle w:val="SingleTxtGA"/>
        <w:rPr>
          <w:rFonts w:hint="cs"/>
          <w:b/>
          <w:bCs/>
          <w:spacing w:val="-2"/>
          <w:lang w:val="fr-CH" w:bidi="ar-MA"/>
        </w:rPr>
      </w:pPr>
      <w:r>
        <w:rPr>
          <w:rFonts w:hint="cs"/>
          <w:b/>
          <w:bCs/>
          <w:rtl/>
          <w:lang w:val="fr-CH" w:bidi="ar-MA"/>
        </w:rPr>
        <w:tab/>
        <w:t>(أ)</w:t>
      </w:r>
      <w:r>
        <w:rPr>
          <w:rFonts w:hint="cs"/>
          <w:b/>
          <w:bCs/>
          <w:rtl/>
          <w:lang w:val="fr-CH" w:bidi="ar-MA"/>
        </w:rPr>
        <w:tab/>
      </w:r>
      <w:r w:rsidRPr="00F55308">
        <w:rPr>
          <w:rFonts w:hint="cs"/>
          <w:b/>
          <w:bCs/>
          <w:rtl/>
          <w:lang w:val="fr-CH" w:bidi="ar-MA"/>
        </w:rPr>
        <w:t xml:space="preserve">أن تُدرج بوضوح في القانون التزاماتها في مجال عدم </w:t>
      </w:r>
      <w:r>
        <w:rPr>
          <w:rFonts w:hint="cs"/>
          <w:b/>
          <w:bCs/>
          <w:rtl/>
          <w:lang w:val="fr-CH" w:bidi="ar-MA"/>
        </w:rPr>
        <w:t xml:space="preserve">الإعادة القسرية </w:t>
      </w:r>
      <w:r w:rsidRPr="00F55308">
        <w:rPr>
          <w:rFonts w:hint="cs"/>
          <w:b/>
          <w:bCs/>
          <w:rtl/>
          <w:lang w:val="fr-CH" w:bidi="ar-MA"/>
        </w:rPr>
        <w:t>بموجب ال</w:t>
      </w:r>
      <w:r>
        <w:rPr>
          <w:rFonts w:hint="cs"/>
          <w:b/>
          <w:bCs/>
          <w:rtl/>
          <w:lang w:val="fr-CH" w:bidi="ar-MA"/>
        </w:rPr>
        <w:t>مادة</w:t>
      </w:r>
      <w:r>
        <w:rPr>
          <w:b/>
          <w:bCs/>
          <w:rtl/>
          <w:lang w:val="fr-CH" w:bidi="ar-MA"/>
        </w:rPr>
        <w:t> </w:t>
      </w:r>
      <w:r w:rsidRPr="00F55308">
        <w:rPr>
          <w:rFonts w:hint="cs"/>
          <w:b/>
          <w:bCs/>
          <w:rtl/>
          <w:lang w:val="fr-CH" w:bidi="ar-MA"/>
        </w:rPr>
        <w:t>3 من الاتفاقية، وأن تحترم تلك الالتزامات،</w:t>
      </w:r>
      <w:r>
        <w:rPr>
          <w:rFonts w:hint="cs"/>
          <w:b/>
          <w:bCs/>
          <w:rtl/>
          <w:lang w:val="fr-CH" w:bidi="ar-MA"/>
        </w:rPr>
        <w:t xml:space="preserve"> بما</w:t>
      </w:r>
      <w:r>
        <w:rPr>
          <w:b/>
          <w:bCs/>
          <w:rtl/>
          <w:lang w:val="fr-CH" w:bidi="ar-MA"/>
        </w:rPr>
        <w:t> </w:t>
      </w:r>
      <w:r w:rsidRPr="00F55308">
        <w:rPr>
          <w:rFonts w:hint="cs"/>
          <w:b/>
          <w:bCs/>
          <w:rtl/>
          <w:lang w:val="fr-CH" w:bidi="ar-MA"/>
        </w:rPr>
        <w:t xml:space="preserve">فيها حق الطعن في </w:t>
      </w:r>
      <w:r>
        <w:rPr>
          <w:rFonts w:hint="cs"/>
          <w:b/>
          <w:bCs/>
          <w:rtl/>
          <w:lang w:val="fr-CH" w:bidi="ar-MA"/>
        </w:rPr>
        <w:t>أوامر الترحيل</w:t>
      </w:r>
      <w:r w:rsidRPr="00F55308">
        <w:rPr>
          <w:rFonts w:hint="cs"/>
          <w:b/>
          <w:bCs/>
          <w:rtl/>
          <w:lang w:val="fr-CH" w:bidi="ar-MA"/>
        </w:rPr>
        <w:t xml:space="preserve">، وأن تمتنع عن طلب الضمانات الدبلوماسية وقبولها من </w:t>
      </w:r>
      <w:r>
        <w:rPr>
          <w:rFonts w:hint="cs"/>
          <w:b/>
          <w:bCs/>
          <w:rtl/>
          <w:lang w:val="fr-CH" w:bidi="ar-MA"/>
        </w:rPr>
        <w:t xml:space="preserve">أي </w:t>
      </w:r>
      <w:r w:rsidRPr="00F55308">
        <w:rPr>
          <w:rFonts w:hint="cs"/>
          <w:b/>
          <w:bCs/>
          <w:rtl/>
          <w:lang w:val="fr-CH" w:bidi="ar-MA"/>
        </w:rPr>
        <w:t>دولة توجد فيها أسباب جدية للاعتقاد بأن الشخص سيكون عرضة لخطر التعذيب. وينبغي للدولة الطرف أن تقدم معلومات مفصَّلة إلى اللجنة عن جميع القضايا التي قُدّمت فيها مثل هذه الضمانات؛</w:t>
      </w:r>
    </w:p>
    <w:p w:rsidR="00ED2F77" w:rsidRPr="00F55308" w:rsidRDefault="00ED2F77" w:rsidP="00ED2F77">
      <w:pPr>
        <w:pStyle w:val="SingleTxtGA"/>
        <w:rPr>
          <w:rFonts w:hint="cs"/>
          <w:b/>
          <w:bCs/>
          <w:spacing w:val="-2"/>
          <w:lang w:val="fr-CH" w:bidi="ar-MA"/>
        </w:rPr>
      </w:pPr>
      <w:r>
        <w:rPr>
          <w:rFonts w:hint="cs"/>
          <w:b/>
          <w:bCs/>
          <w:rtl/>
          <w:lang w:val="fr-CH" w:bidi="ar-MA"/>
        </w:rPr>
        <w:tab/>
        <w:t>(ب)</w:t>
      </w:r>
      <w:r>
        <w:rPr>
          <w:rFonts w:hint="cs"/>
          <w:b/>
          <w:bCs/>
          <w:rtl/>
          <w:lang w:val="fr-CH" w:bidi="ar-MA"/>
        </w:rPr>
        <w:tab/>
      </w:r>
      <w:r w:rsidRPr="00F55308">
        <w:rPr>
          <w:rFonts w:hint="cs"/>
          <w:b/>
          <w:bCs/>
          <w:rtl/>
          <w:lang w:val="fr-CH" w:bidi="ar-MA"/>
        </w:rPr>
        <w:t>أن تكف عن الممارسة المتعلقة باختطاف الأفراد وإعادتهم قسراً إلى طاجيكستان من دول أخرى ثم وضعهم لاحقاً رهن العزل، وأن تضمن عدم تعرضهم لأعمال التعذيب وسوء المعاملة؛</w:t>
      </w:r>
    </w:p>
    <w:p w:rsidR="00ED2F77" w:rsidRPr="00F55308" w:rsidRDefault="00ED2F77" w:rsidP="00ED2F77">
      <w:pPr>
        <w:pStyle w:val="SingleTxtGA"/>
        <w:rPr>
          <w:rFonts w:hint="cs"/>
          <w:b/>
          <w:bCs/>
          <w:rtl/>
          <w:lang w:val="fr-CH" w:bidi="ar-MA"/>
        </w:rPr>
      </w:pPr>
      <w:r>
        <w:rPr>
          <w:rFonts w:hint="cs"/>
          <w:b/>
          <w:bCs/>
          <w:rtl/>
          <w:lang w:val="fr-CH" w:bidi="ar-MA"/>
        </w:rPr>
        <w:tab/>
        <w:t>(ج)</w:t>
      </w:r>
      <w:r>
        <w:rPr>
          <w:rFonts w:hint="cs"/>
          <w:b/>
          <w:bCs/>
          <w:rtl/>
          <w:lang w:val="fr-CH" w:bidi="ar-MA"/>
        </w:rPr>
        <w:tab/>
      </w:r>
      <w:r w:rsidRPr="00F55308">
        <w:rPr>
          <w:rFonts w:hint="cs"/>
          <w:b/>
          <w:bCs/>
          <w:rtl/>
          <w:lang w:val="fr-CH" w:bidi="ar-MA"/>
        </w:rPr>
        <w:t>أن تكشف عن مكان أبدولفوزي لاتيبوف وتَضمنَ عدم تعرضه للتعذيب</w:t>
      </w:r>
      <w:r>
        <w:rPr>
          <w:rFonts w:hint="cs"/>
          <w:b/>
          <w:bCs/>
          <w:rtl/>
          <w:lang w:val="fr-CH" w:bidi="ar-MA"/>
        </w:rPr>
        <w:t xml:space="preserve"> أو</w:t>
      </w:r>
      <w:r>
        <w:rPr>
          <w:b/>
          <w:bCs/>
          <w:rtl/>
          <w:lang w:val="fr-CH" w:bidi="ar-MA"/>
        </w:rPr>
        <w:t> </w:t>
      </w:r>
      <w:r w:rsidRPr="00F55308">
        <w:rPr>
          <w:rFonts w:hint="cs"/>
          <w:b/>
          <w:bCs/>
          <w:rtl/>
          <w:lang w:val="fr-CH" w:bidi="ar-MA"/>
        </w:rPr>
        <w:t>سوء المعاملة وتكفل تمتعه بجميع حقوقه الأساسية،</w:t>
      </w:r>
      <w:r>
        <w:rPr>
          <w:rFonts w:hint="cs"/>
          <w:b/>
          <w:bCs/>
          <w:rtl/>
          <w:lang w:val="fr-CH" w:bidi="ar-MA"/>
        </w:rPr>
        <w:t xml:space="preserve"> بما</w:t>
      </w:r>
      <w:r>
        <w:rPr>
          <w:b/>
          <w:bCs/>
          <w:rtl/>
          <w:lang w:val="fr-CH" w:bidi="ar-MA"/>
        </w:rPr>
        <w:t> </w:t>
      </w:r>
      <w:r w:rsidRPr="00F55308">
        <w:rPr>
          <w:rFonts w:hint="cs"/>
          <w:b/>
          <w:bCs/>
          <w:rtl/>
          <w:lang w:val="fr-CH" w:bidi="ar-MA"/>
        </w:rPr>
        <w:t>فيها حقه في الاستعانة فوراً بمحام</w:t>
      </w:r>
      <w:r>
        <w:rPr>
          <w:rFonts w:hint="eastAsia"/>
          <w:b/>
          <w:bCs/>
          <w:rtl/>
          <w:lang w:val="fr-CH" w:bidi="ar-MA"/>
        </w:rPr>
        <w:t> </w:t>
      </w:r>
      <w:r w:rsidRPr="00F55308">
        <w:rPr>
          <w:rFonts w:hint="cs"/>
          <w:b/>
          <w:bCs/>
          <w:rtl/>
          <w:lang w:val="fr-CH" w:bidi="ar-MA"/>
        </w:rPr>
        <w:t>مستقل.</w:t>
      </w:r>
    </w:p>
    <w:p w:rsidR="00ED2F77" w:rsidRDefault="00ED2F77" w:rsidP="00ED2F77">
      <w:pPr>
        <w:pStyle w:val="H23GA"/>
        <w:rPr>
          <w:rFonts w:hint="cs"/>
          <w:rtl/>
          <w:lang w:val="fr-CH"/>
        </w:rPr>
      </w:pPr>
      <w:r>
        <w:rPr>
          <w:rFonts w:hint="cs"/>
          <w:rtl/>
          <w:lang w:val="fr-CH"/>
        </w:rPr>
        <w:tab/>
      </w:r>
      <w:r>
        <w:rPr>
          <w:rFonts w:hint="cs"/>
          <w:rtl/>
          <w:lang w:val="fr-CH"/>
        </w:rPr>
        <w:tab/>
        <w:t>التدريب</w:t>
      </w:r>
    </w:p>
    <w:p w:rsidR="00ED2F77" w:rsidRDefault="009948BE" w:rsidP="009948BE">
      <w:pPr>
        <w:pStyle w:val="SingleTxtGA"/>
        <w:rPr>
          <w:rFonts w:hint="cs"/>
          <w:rtl/>
          <w:lang w:val="fr-CH" w:bidi="ar-MA"/>
        </w:rPr>
      </w:pPr>
      <w:r>
        <w:rPr>
          <w:rFonts w:hint="cs"/>
          <w:rtl/>
          <w:lang w:val="fr-CH"/>
        </w:rPr>
        <w:t>(</w:t>
      </w:r>
      <w:r w:rsidR="00ED2F77">
        <w:rPr>
          <w:rFonts w:hint="cs"/>
          <w:rtl/>
          <w:lang w:val="fr-CH"/>
        </w:rPr>
        <w:t>19</w:t>
      </w:r>
      <w:r>
        <w:rPr>
          <w:rFonts w:hint="cs"/>
          <w:rtl/>
          <w:lang w:val="fr-CH"/>
        </w:rPr>
        <w:t>)</w:t>
      </w:r>
      <w:r w:rsidR="00ED2F77">
        <w:rPr>
          <w:rFonts w:hint="cs"/>
          <w:rtl/>
          <w:lang w:val="fr-CH"/>
        </w:rPr>
        <w:tab/>
        <w:t>ترحب اللجنة بتنظيم برامج للتدريب في مجال حقوق الإنسان لفائدة المسؤولين المكلفين بإنفاذ القانون والقضاة وموظفي الادعاء ووزارة الداخلية أثناء الفترة قيد الاستعراض، إلى جانب إنشاء فريق عامل يقوده رئيس المحكمة الدستورية لتوعية المسؤولين المكلفين بإنفاذ القانون بشأن حظر التعذيب وبناء قدراتهم في هذا المجال. ولكن القلق لا</w:t>
      </w:r>
      <w:r w:rsidR="00ED2F77">
        <w:rPr>
          <w:rtl/>
          <w:lang w:val="fr-CH"/>
        </w:rPr>
        <w:t> </w:t>
      </w:r>
      <w:r w:rsidR="00ED2F77">
        <w:rPr>
          <w:rFonts w:hint="cs"/>
          <w:rtl/>
          <w:lang w:val="fr-CH"/>
        </w:rPr>
        <w:t xml:space="preserve">يزال يساور اللجنة إزاء غياب إتاحة تدريب ملائم، لفائدة المسؤولين المكلفين بإنفاذ القانون </w:t>
      </w:r>
      <w:r w:rsidR="00ED2F77">
        <w:rPr>
          <w:rFonts w:hint="cs"/>
          <w:rtl/>
          <w:lang w:val="fr-CH" w:bidi="ar-MA"/>
        </w:rPr>
        <w:t>والعاملين في القطاع الطبي، في مجال تقييم ومعالجة قضايا العنف المنزلي ضد النساء، بما</w:t>
      </w:r>
      <w:r w:rsidR="00ED2F77">
        <w:rPr>
          <w:rtl/>
          <w:lang w:val="fr-CH" w:bidi="ar-MA"/>
        </w:rPr>
        <w:t> </w:t>
      </w:r>
      <w:r w:rsidR="00ED2F77">
        <w:rPr>
          <w:rFonts w:hint="cs"/>
          <w:rtl/>
          <w:lang w:val="fr-CH" w:bidi="ar-MA"/>
        </w:rPr>
        <w:t>فيها الاغتصاب، والعنف ضد الأطفال، والاتجار. وتعرب اللجنة عن القلق أيضاً لأن خدمات الطب الشرعي غير مزودة، حسبما تشير التقارير، بموظفين طبيين مدرَّبين في مجال التوثيق والتقصي بشأن التعذيب طبقاً لأحكام دليل التقصي والتوثيق الفعالين بشأن التعذيب وغيره من ضروب المعاملة أو</w:t>
      </w:r>
      <w:r w:rsidR="00ED2F77">
        <w:rPr>
          <w:rtl/>
          <w:lang w:val="fr-CH" w:bidi="ar-MA"/>
        </w:rPr>
        <w:t> </w:t>
      </w:r>
      <w:r w:rsidR="00ED2F77">
        <w:rPr>
          <w:rFonts w:hint="cs"/>
          <w:rtl/>
          <w:lang w:val="fr-CH" w:bidi="ar-MA"/>
        </w:rPr>
        <w:t>العقوبة القاسية أو</w:t>
      </w:r>
      <w:r w:rsidR="00ED2F77">
        <w:rPr>
          <w:rtl/>
          <w:lang w:val="fr-CH" w:bidi="ar-MA"/>
        </w:rPr>
        <w:t> </w:t>
      </w:r>
      <w:r w:rsidR="00ED2F77">
        <w:rPr>
          <w:rFonts w:hint="cs"/>
          <w:rtl/>
          <w:lang w:val="fr-CH" w:bidi="ar-MA"/>
        </w:rPr>
        <w:t>اللاإنسانية أو</w:t>
      </w:r>
      <w:r w:rsidR="00ED2F77">
        <w:rPr>
          <w:rtl/>
          <w:lang w:val="fr-CH" w:bidi="ar-MA"/>
        </w:rPr>
        <w:t> </w:t>
      </w:r>
      <w:r w:rsidR="00ED2F77">
        <w:rPr>
          <w:rFonts w:hint="cs"/>
          <w:rtl/>
          <w:lang w:val="fr-CH" w:bidi="ar-MA"/>
        </w:rPr>
        <w:t>المهينة (بروتوكول اسطنبول) (المادة</w:t>
      </w:r>
      <w:r w:rsidR="00ED2F77">
        <w:rPr>
          <w:rtl/>
          <w:lang w:val="fr-CH" w:bidi="ar-MA"/>
        </w:rPr>
        <w:t> </w:t>
      </w:r>
      <w:r w:rsidR="00ED2F77">
        <w:rPr>
          <w:rFonts w:hint="cs"/>
          <w:rtl/>
          <w:lang w:val="fr-CH" w:bidi="ar-MA"/>
        </w:rPr>
        <w:t>10).</w:t>
      </w:r>
    </w:p>
    <w:p w:rsidR="00ED2F77" w:rsidRPr="00807226" w:rsidRDefault="00ED2F77" w:rsidP="00ED2F77">
      <w:pPr>
        <w:pStyle w:val="SingleTxtGA"/>
        <w:rPr>
          <w:rFonts w:hint="cs"/>
          <w:b/>
          <w:bCs/>
          <w:spacing w:val="6"/>
          <w:rtl/>
          <w:lang w:val="fr-CH" w:bidi="ar-MA"/>
        </w:rPr>
      </w:pPr>
      <w:r>
        <w:rPr>
          <w:rFonts w:hint="cs"/>
          <w:b/>
          <w:bCs/>
          <w:rtl/>
          <w:lang w:val="fr-CH" w:bidi="ar-MA"/>
        </w:rPr>
        <w:tab/>
      </w:r>
      <w:r w:rsidRPr="00807226">
        <w:rPr>
          <w:rFonts w:hint="cs"/>
          <w:b/>
          <w:bCs/>
          <w:rtl/>
          <w:lang w:val="fr-CH" w:bidi="ar-MA"/>
        </w:rPr>
        <w:t xml:space="preserve">ينبغي للدولة الطرف أن </w:t>
      </w:r>
      <w:r>
        <w:rPr>
          <w:rFonts w:hint="cs"/>
          <w:b/>
          <w:bCs/>
          <w:rtl/>
          <w:lang w:val="fr-CH" w:bidi="ar-MA"/>
        </w:rPr>
        <w:t>تعزز برامج التدريب لفائدة المسؤولين المكلفين بإنفاذ القانون والقضاة والعاملين في المجال الطبي وموظفي الادعاء والسجون بشأن مقتضيات الاتفاقية، وأن تُجريَ تقييماً شاملاً لأثر تلك البرامج. كما</w:t>
      </w:r>
      <w:r>
        <w:rPr>
          <w:b/>
          <w:bCs/>
          <w:rtl/>
          <w:lang w:val="fr-CH" w:bidi="ar-MA"/>
        </w:rPr>
        <w:t> </w:t>
      </w:r>
      <w:r>
        <w:rPr>
          <w:rFonts w:hint="cs"/>
          <w:b/>
          <w:bCs/>
          <w:rtl/>
          <w:lang w:val="fr-CH" w:bidi="ar-MA"/>
        </w:rPr>
        <w:t>ينبغي لها أن تضمن تلقي المسؤولين المعنيين، لا</w:t>
      </w:r>
      <w:r>
        <w:rPr>
          <w:b/>
          <w:bCs/>
          <w:rtl/>
          <w:lang w:val="fr-CH" w:bidi="ar-MA"/>
        </w:rPr>
        <w:t> </w:t>
      </w:r>
      <w:r>
        <w:rPr>
          <w:rFonts w:hint="cs"/>
          <w:b/>
          <w:bCs/>
          <w:rtl/>
          <w:lang w:val="fr-CH" w:bidi="ar-MA"/>
        </w:rPr>
        <w:t>سيما العاملين في المجال الطبي، تدريباً على استخدام بروتوكول اسطنبول للتعرف على علامات التعذيب وسوء المعاملة وتوثيقها. وينبغي للدولة الطرف أيضاً أن تضمن إتاحة تدريب ملائم</w:t>
      </w:r>
      <w:r w:rsidRPr="003E2889">
        <w:rPr>
          <w:rFonts w:hint="cs"/>
          <w:b/>
          <w:bCs/>
          <w:rtl/>
          <w:lang w:val="fr-CH" w:bidi="ar-MA"/>
        </w:rPr>
        <w:t>، لفائدة المسؤولين المكلفين بإنفاذ القانون والعاملين في</w:t>
      </w:r>
      <w:r>
        <w:rPr>
          <w:rFonts w:hint="eastAsia"/>
          <w:b/>
          <w:bCs/>
          <w:rtl/>
          <w:lang w:val="fr-CH" w:bidi="ar-MA"/>
        </w:rPr>
        <w:t> </w:t>
      </w:r>
      <w:r w:rsidRPr="003E2889">
        <w:rPr>
          <w:rFonts w:hint="cs"/>
          <w:b/>
          <w:bCs/>
          <w:rtl/>
          <w:lang w:val="fr-CH" w:bidi="ar-MA"/>
        </w:rPr>
        <w:t>القطاع الطبي، في مجال تقييم ومعالجة قضايا العنف المنزلي ضد النساء،</w:t>
      </w:r>
      <w:r>
        <w:rPr>
          <w:rFonts w:hint="cs"/>
          <w:b/>
          <w:bCs/>
          <w:rtl/>
          <w:lang w:val="fr-CH" w:bidi="ar-MA"/>
        </w:rPr>
        <w:t xml:space="preserve"> بما</w:t>
      </w:r>
      <w:r>
        <w:rPr>
          <w:b/>
          <w:bCs/>
          <w:rtl/>
          <w:lang w:val="fr-CH" w:bidi="ar-MA"/>
        </w:rPr>
        <w:t> </w:t>
      </w:r>
      <w:r w:rsidRPr="003E2889">
        <w:rPr>
          <w:rFonts w:hint="cs"/>
          <w:b/>
          <w:bCs/>
          <w:rtl/>
          <w:lang w:val="fr-CH" w:bidi="ar-MA"/>
        </w:rPr>
        <w:t>فيها الاغتصاب، والعنف ضد الأطفال، والاتجار.</w:t>
      </w:r>
    </w:p>
    <w:p w:rsidR="00ED2F77" w:rsidRDefault="00ED2F77" w:rsidP="00ED2F77">
      <w:pPr>
        <w:pStyle w:val="H23GA"/>
        <w:rPr>
          <w:rFonts w:hint="cs"/>
          <w:rtl/>
          <w:lang w:val="fr-CH"/>
        </w:rPr>
      </w:pPr>
      <w:r>
        <w:rPr>
          <w:rFonts w:hint="cs"/>
          <w:rtl/>
          <w:lang w:val="fr-CH"/>
        </w:rPr>
        <w:tab/>
      </w:r>
      <w:r>
        <w:rPr>
          <w:rFonts w:hint="cs"/>
          <w:rtl/>
          <w:lang w:val="fr-CH"/>
        </w:rPr>
        <w:tab/>
        <w:t>قضاء الأحداث</w:t>
      </w:r>
    </w:p>
    <w:p w:rsidR="00ED2F77" w:rsidRDefault="009948BE" w:rsidP="009948BE">
      <w:pPr>
        <w:pStyle w:val="SingleTxtGA"/>
        <w:rPr>
          <w:rFonts w:hint="cs"/>
          <w:rtl/>
          <w:lang w:val="fr-CH" w:bidi="ar-MA"/>
        </w:rPr>
      </w:pPr>
      <w:r>
        <w:rPr>
          <w:rFonts w:hint="cs"/>
          <w:rtl/>
          <w:lang w:val="fr-CH"/>
        </w:rPr>
        <w:t>(</w:t>
      </w:r>
      <w:r w:rsidR="00ED2F77">
        <w:rPr>
          <w:rFonts w:hint="cs"/>
          <w:rtl/>
          <w:lang w:val="fr-CH"/>
        </w:rPr>
        <w:t>20</w:t>
      </w:r>
      <w:r>
        <w:rPr>
          <w:rFonts w:hint="cs"/>
          <w:rtl/>
          <w:lang w:val="fr-CH"/>
        </w:rPr>
        <w:t>)</w:t>
      </w:r>
      <w:r w:rsidR="00ED2F77">
        <w:rPr>
          <w:rFonts w:hint="cs"/>
          <w:rtl/>
          <w:lang w:val="fr-CH"/>
        </w:rPr>
        <w:tab/>
        <w:t xml:space="preserve">بينما تحيط اللجنة علماً باعتماد خطة العمل الوطنية المتعلقة بإصلاح قضاء الأحداث للفترة 2010-2015، فإنها تعرب عن القلق إزاء افتقار النظام الجنائي للأحداث إلى </w:t>
      </w:r>
      <w:r w:rsidR="00ED2F77">
        <w:rPr>
          <w:rFonts w:hint="cs"/>
          <w:rtl/>
          <w:lang w:val="fr-CH" w:bidi="ar-MA"/>
        </w:rPr>
        <w:t>محاكم مختصة بقضاء الأحداث وقضاة متخصصين في هذا المجال. ويساورها القلق أيضاً إزاء ما</w:t>
      </w:r>
      <w:r w:rsidR="00ED2F77">
        <w:rPr>
          <w:rtl/>
          <w:lang w:val="fr-CH" w:bidi="ar-MA"/>
        </w:rPr>
        <w:t> </w:t>
      </w:r>
      <w:r w:rsidR="00ED2F77">
        <w:rPr>
          <w:rFonts w:hint="cs"/>
          <w:rtl/>
          <w:lang w:val="fr-CH" w:bidi="ar-MA"/>
        </w:rPr>
        <w:t>ورد من تقارير عن وضع الأطفال مراراً رهن الاحتجاز قبل المحاكمة وحبسهم في زنزانات انفرادية داخل معتقل الأحداث كتدبير تأديبي؛ وحرمانهم مطولاً من الحرية لارتكابهم مخالفات بسيطة؛ وحرمانهم من التمتع بحقوقهم المشروعة الأساسية، بما</w:t>
      </w:r>
      <w:r w:rsidR="00ED2F77">
        <w:rPr>
          <w:rtl/>
          <w:lang w:val="fr-CH" w:bidi="ar-MA"/>
        </w:rPr>
        <w:t> </w:t>
      </w:r>
      <w:r w:rsidR="00ED2F77">
        <w:rPr>
          <w:rFonts w:hint="cs"/>
          <w:rtl/>
          <w:lang w:val="fr-CH" w:bidi="ar-MA"/>
        </w:rPr>
        <w:t>فيها الاستعانة بالمحامين؛ وإساءة معاملتهم غالباً من جانب ضباط التحقيق في الشرطة قصد انتزاع الاعترافات منهم، مما</w:t>
      </w:r>
      <w:r w:rsidR="00ED2F77">
        <w:rPr>
          <w:rtl/>
          <w:lang w:val="fr-CH" w:bidi="ar-MA"/>
        </w:rPr>
        <w:t> </w:t>
      </w:r>
      <w:r w:rsidR="00ED2F77">
        <w:rPr>
          <w:rFonts w:hint="cs"/>
          <w:rtl/>
          <w:lang w:val="fr-CH" w:bidi="ar-MA"/>
        </w:rPr>
        <w:t>يؤدي بالتالي في بعض الحالات إلى محاولتهم الانتحار أو</w:t>
      </w:r>
      <w:r w:rsidR="00ED2F77">
        <w:rPr>
          <w:rtl/>
          <w:lang w:val="fr-CH" w:bidi="ar-MA"/>
        </w:rPr>
        <w:t> </w:t>
      </w:r>
      <w:r w:rsidR="00ED2F77">
        <w:rPr>
          <w:rFonts w:hint="cs"/>
          <w:rtl/>
          <w:lang w:val="fr-CH" w:bidi="ar-MA"/>
        </w:rPr>
        <w:t>انتحارهم بالفعل (المواد 11 و12 و16).</w:t>
      </w:r>
    </w:p>
    <w:p w:rsidR="00ED2F77" w:rsidRPr="00F55308" w:rsidRDefault="00ED2F77" w:rsidP="00ED2F77">
      <w:pPr>
        <w:pStyle w:val="SingleTxtGA"/>
        <w:rPr>
          <w:rFonts w:hint="cs"/>
          <w:b/>
          <w:bCs/>
          <w:rtl/>
          <w:lang w:val="fr-CH" w:bidi="ar-MA"/>
        </w:rPr>
      </w:pPr>
      <w:r>
        <w:rPr>
          <w:rFonts w:hint="cs"/>
          <w:b/>
          <w:bCs/>
          <w:rtl/>
          <w:lang w:val="fr-CH" w:bidi="ar-MA"/>
        </w:rPr>
        <w:tab/>
      </w:r>
      <w:r w:rsidRPr="00F55308">
        <w:rPr>
          <w:rFonts w:hint="cs"/>
          <w:b/>
          <w:bCs/>
          <w:rtl/>
          <w:lang w:val="fr-CH" w:bidi="ar-MA"/>
        </w:rPr>
        <w:t>تحث اللجنة الدولة الطرف على القيام</w:t>
      </w:r>
      <w:r>
        <w:rPr>
          <w:rFonts w:hint="cs"/>
          <w:b/>
          <w:bCs/>
          <w:rtl/>
          <w:lang w:val="fr-CH" w:bidi="ar-MA"/>
        </w:rPr>
        <w:t xml:space="preserve"> بما</w:t>
      </w:r>
      <w:r>
        <w:rPr>
          <w:b/>
          <w:bCs/>
          <w:rtl/>
          <w:lang w:val="fr-CH" w:bidi="ar-MA"/>
        </w:rPr>
        <w:t> </w:t>
      </w:r>
      <w:r w:rsidRPr="00F55308">
        <w:rPr>
          <w:rFonts w:hint="cs"/>
          <w:b/>
          <w:bCs/>
          <w:rtl/>
          <w:lang w:val="fr-CH" w:bidi="ar-MA"/>
        </w:rPr>
        <w:t>يلي:</w:t>
      </w:r>
    </w:p>
    <w:p w:rsidR="00ED2F77" w:rsidRPr="00F55308" w:rsidRDefault="00ED2F77" w:rsidP="00ED2F77">
      <w:pPr>
        <w:pStyle w:val="SingleTxtGA"/>
        <w:rPr>
          <w:rFonts w:hint="cs"/>
          <w:b/>
          <w:bCs/>
          <w:lang w:val="fr-CH" w:bidi="ar-MA"/>
        </w:rPr>
      </w:pPr>
      <w:r>
        <w:rPr>
          <w:rFonts w:hint="cs"/>
          <w:b/>
          <w:bCs/>
          <w:rtl/>
          <w:lang w:val="fr-CH" w:bidi="ar-MA"/>
        </w:rPr>
        <w:tab/>
        <w:t>(أ)</w:t>
      </w:r>
      <w:r>
        <w:rPr>
          <w:rFonts w:hint="cs"/>
          <w:b/>
          <w:bCs/>
          <w:rtl/>
          <w:lang w:val="fr-CH" w:bidi="ar-MA"/>
        </w:rPr>
        <w:tab/>
      </w:r>
      <w:r w:rsidRPr="00F55308">
        <w:rPr>
          <w:rFonts w:hint="cs"/>
          <w:b/>
          <w:bCs/>
          <w:rtl/>
          <w:lang w:val="fr-CH" w:bidi="ar-MA"/>
        </w:rPr>
        <w:t>وضع نظام مُجْدٍ وفعال لقضاء الأحداث طبقاً للمعايير الدولية،</w:t>
      </w:r>
      <w:r>
        <w:rPr>
          <w:rFonts w:hint="cs"/>
          <w:b/>
          <w:bCs/>
          <w:rtl/>
          <w:lang w:val="fr-CH" w:bidi="ar-MA"/>
        </w:rPr>
        <w:t xml:space="preserve"> بما</w:t>
      </w:r>
      <w:r>
        <w:rPr>
          <w:b/>
          <w:bCs/>
          <w:rtl/>
          <w:lang w:val="fr-CH" w:bidi="ar-MA"/>
        </w:rPr>
        <w:t> </w:t>
      </w:r>
      <w:r w:rsidRPr="00F55308">
        <w:rPr>
          <w:rFonts w:hint="cs"/>
          <w:b/>
          <w:bCs/>
          <w:rtl/>
          <w:lang w:val="fr-CH" w:bidi="ar-MA"/>
        </w:rPr>
        <w:t>فيها قواعد الأمم المتحدة النموذجية الدنيا لإدارة شؤون قضاء الأحداث (قواعد بيجين)، ومبادئ الأمم المتحدة التوجيهية لمنع جنوح الأحداث (مبادئ الرياض التوجيهية)؛</w:t>
      </w:r>
    </w:p>
    <w:p w:rsidR="00ED2F77" w:rsidRPr="00F55308" w:rsidRDefault="00ED2F77" w:rsidP="00ED2F77">
      <w:pPr>
        <w:pStyle w:val="SingleTxtGA"/>
        <w:rPr>
          <w:rFonts w:hint="cs"/>
          <w:b/>
          <w:bCs/>
          <w:lang w:val="fr-CH" w:bidi="ar-MA"/>
        </w:rPr>
      </w:pPr>
      <w:r>
        <w:rPr>
          <w:rFonts w:hint="cs"/>
          <w:b/>
          <w:bCs/>
          <w:rtl/>
          <w:lang w:val="fr-CH" w:bidi="ar-MA"/>
        </w:rPr>
        <w:tab/>
        <w:t>(ب)</w:t>
      </w:r>
      <w:r>
        <w:rPr>
          <w:rFonts w:hint="cs"/>
          <w:b/>
          <w:bCs/>
          <w:rtl/>
          <w:lang w:val="fr-CH" w:bidi="ar-MA"/>
        </w:rPr>
        <w:tab/>
      </w:r>
      <w:r w:rsidRPr="00F55308">
        <w:rPr>
          <w:rFonts w:hint="cs"/>
          <w:b/>
          <w:bCs/>
          <w:rtl/>
          <w:lang w:val="fr-CH" w:bidi="ar-MA"/>
        </w:rPr>
        <w:t>إعادة النظر في جميع قضايا الأطفال المحكوم عليهم بالسجن من أجل ضمان عدم استخدام الحرمان من الحرية إلا للمعاقبة على ارتكاب الجرائم الجنائية الخطيرة، وكفالة أن الحبس الانفرادي للأحداث ينبغي تقييده باعتباره تدبيراً يُتخذ كملاذ أخير لأقصر مدة زمنية ممكنة تحت إشراف صارم ومع إمكانية المراجعة القضائية، وأن يقتصر على الحالات الاستثنائية جداً؛</w:t>
      </w:r>
    </w:p>
    <w:p w:rsidR="00ED2F77" w:rsidRPr="00F55308" w:rsidRDefault="00ED2F77" w:rsidP="00ED2F77">
      <w:pPr>
        <w:pStyle w:val="SingleTxtGA"/>
        <w:rPr>
          <w:rFonts w:hint="cs"/>
          <w:b/>
          <w:bCs/>
          <w:lang w:val="fr-CH" w:bidi="ar-MA"/>
        </w:rPr>
      </w:pPr>
      <w:r>
        <w:rPr>
          <w:rFonts w:hint="cs"/>
          <w:b/>
          <w:bCs/>
          <w:rtl/>
          <w:lang w:val="fr-CH" w:bidi="ar-MA"/>
        </w:rPr>
        <w:tab/>
        <w:t>(ج)</w:t>
      </w:r>
      <w:r>
        <w:rPr>
          <w:rFonts w:hint="cs"/>
          <w:b/>
          <w:bCs/>
          <w:rtl/>
          <w:lang w:val="fr-CH" w:bidi="ar-MA"/>
        </w:rPr>
        <w:tab/>
      </w:r>
      <w:r w:rsidRPr="00F55308">
        <w:rPr>
          <w:rFonts w:hint="cs"/>
          <w:b/>
          <w:bCs/>
          <w:rtl/>
          <w:lang w:val="fr-CH" w:bidi="ar-MA"/>
        </w:rPr>
        <w:t>كفالة احترام حقوق الأطفال في جميع أماكن الاحتجاز،</w:t>
      </w:r>
      <w:r>
        <w:rPr>
          <w:rFonts w:hint="cs"/>
          <w:b/>
          <w:bCs/>
          <w:rtl/>
          <w:lang w:val="fr-CH" w:bidi="ar-MA"/>
        </w:rPr>
        <w:t xml:space="preserve"> بما</w:t>
      </w:r>
      <w:r>
        <w:rPr>
          <w:b/>
          <w:bCs/>
          <w:rtl/>
          <w:lang w:val="fr-CH" w:bidi="ar-MA"/>
        </w:rPr>
        <w:t> </w:t>
      </w:r>
      <w:r w:rsidRPr="00F55308">
        <w:rPr>
          <w:rFonts w:hint="cs"/>
          <w:b/>
          <w:bCs/>
          <w:rtl/>
          <w:lang w:val="fr-CH" w:bidi="ar-MA"/>
        </w:rPr>
        <w:t>في ذلك حقهم في الحصول على المساعدة والدفاع القانونيين المناسبين من خلال تخصيص عدد كاف من المحامين ذوي التدريب والكفاءات ذات الصلة؛</w:t>
      </w:r>
    </w:p>
    <w:p w:rsidR="00ED2F77" w:rsidRPr="00F55308" w:rsidRDefault="00ED2F77" w:rsidP="00ED2F77">
      <w:pPr>
        <w:pStyle w:val="SingleTxtGA"/>
        <w:rPr>
          <w:rFonts w:hint="cs"/>
          <w:b/>
          <w:bCs/>
          <w:lang w:val="fr-CH" w:bidi="ar-MA"/>
        </w:rPr>
      </w:pPr>
      <w:r>
        <w:rPr>
          <w:rFonts w:hint="cs"/>
          <w:b/>
          <w:bCs/>
          <w:rtl/>
          <w:lang w:val="fr-CH" w:bidi="ar-MA"/>
        </w:rPr>
        <w:tab/>
        <w:t>(د)</w:t>
      </w:r>
      <w:r>
        <w:rPr>
          <w:rFonts w:hint="cs"/>
          <w:b/>
          <w:bCs/>
          <w:rtl/>
          <w:lang w:val="fr-CH" w:bidi="ar-MA"/>
        </w:rPr>
        <w:tab/>
      </w:r>
      <w:r w:rsidRPr="00F55308">
        <w:rPr>
          <w:rFonts w:hint="cs"/>
          <w:b/>
          <w:bCs/>
          <w:rtl/>
          <w:lang w:val="fr-CH" w:bidi="ar-MA"/>
        </w:rPr>
        <w:t xml:space="preserve">اتخاذ تدابير فعالة لمنع ضباط التحقيق </w:t>
      </w:r>
      <w:r>
        <w:rPr>
          <w:rFonts w:hint="cs"/>
          <w:b/>
          <w:bCs/>
          <w:rtl/>
          <w:lang w:val="fr-CH" w:bidi="ar-MA"/>
        </w:rPr>
        <w:t xml:space="preserve">في الشرطة </w:t>
      </w:r>
      <w:r w:rsidRPr="00F55308">
        <w:rPr>
          <w:rFonts w:hint="cs"/>
          <w:b/>
          <w:bCs/>
          <w:rtl/>
          <w:lang w:val="fr-CH" w:bidi="ar-MA"/>
        </w:rPr>
        <w:t>من إساءة معاملة الأطفال،</w:t>
      </w:r>
      <w:r>
        <w:rPr>
          <w:rFonts w:hint="cs"/>
          <w:b/>
          <w:bCs/>
          <w:rtl/>
          <w:lang w:val="fr-CH" w:bidi="ar-MA"/>
        </w:rPr>
        <w:t xml:space="preserve"> بما</w:t>
      </w:r>
      <w:r>
        <w:rPr>
          <w:b/>
          <w:bCs/>
          <w:rtl/>
          <w:lang w:val="fr-CH" w:bidi="ar-MA"/>
        </w:rPr>
        <w:t> </w:t>
      </w:r>
      <w:r w:rsidRPr="00F55308">
        <w:rPr>
          <w:rFonts w:hint="cs"/>
          <w:b/>
          <w:bCs/>
          <w:rtl/>
          <w:lang w:val="fr-CH" w:bidi="ar-MA"/>
        </w:rPr>
        <w:t>في ذلك عن طريق التحقيق في تلك الأفعال وضمان اتخاذ تدابير تأديبية</w:t>
      </w:r>
      <w:r>
        <w:rPr>
          <w:rFonts w:hint="cs"/>
          <w:b/>
          <w:bCs/>
          <w:rtl/>
          <w:lang w:val="fr-CH" w:bidi="ar-MA"/>
        </w:rPr>
        <w:t xml:space="preserve"> أو</w:t>
      </w:r>
      <w:r>
        <w:rPr>
          <w:b/>
          <w:bCs/>
          <w:rtl/>
          <w:lang w:val="fr-CH" w:bidi="ar-MA"/>
        </w:rPr>
        <w:t> </w:t>
      </w:r>
      <w:r w:rsidRPr="00F55308">
        <w:rPr>
          <w:rFonts w:hint="cs"/>
          <w:b/>
          <w:bCs/>
          <w:rtl/>
          <w:lang w:val="fr-CH" w:bidi="ar-MA"/>
        </w:rPr>
        <w:t>جنائية ملائمة ضد مرتكبيها.</w:t>
      </w:r>
    </w:p>
    <w:p w:rsidR="00ED2F77" w:rsidRDefault="00ED2F77" w:rsidP="00ED2F77">
      <w:pPr>
        <w:pStyle w:val="H23GA"/>
        <w:rPr>
          <w:rFonts w:hint="cs"/>
          <w:rtl/>
          <w:lang w:val="fr-CH" w:bidi="ar-MA"/>
        </w:rPr>
      </w:pPr>
      <w:r>
        <w:rPr>
          <w:rFonts w:hint="cs"/>
          <w:rtl/>
          <w:lang w:val="fr-CH" w:bidi="ar-MA"/>
        </w:rPr>
        <w:tab/>
      </w:r>
      <w:r>
        <w:rPr>
          <w:rFonts w:hint="cs"/>
          <w:rtl/>
          <w:lang w:val="fr-CH" w:bidi="ar-MA"/>
        </w:rPr>
        <w:tab/>
        <w:t>الجبر، بما</w:t>
      </w:r>
      <w:r>
        <w:rPr>
          <w:rtl/>
          <w:lang w:val="fr-CH" w:bidi="ar-MA"/>
        </w:rPr>
        <w:t> </w:t>
      </w:r>
      <w:r>
        <w:rPr>
          <w:rFonts w:hint="cs"/>
          <w:rtl/>
          <w:lang w:val="fr-CH" w:bidi="ar-MA"/>
        </w:rPr>
        <w:t>في ذلك التعويض وإعادة التأهيل</w:t>
      </w:r>
    </w:p>
    <w:p w:rsidR="00ED2F77" w:rsidRDefault="009948BE" w:rsidP="009948BE">
      <w:pPr>
        <w:pStyle w:val="SingleTxtGA"/>
        <w:rPr>
          <w:rFonts w:hint="cs"/>
          <w:rtl/>
          <w:lang w:val="fr-CH" w:bidi="ar-MA"/>
        </w:rPr>
      </w:pPr>
      <w:r>
        <w:rPr>
          <w:rFonts w:hint="cs"/>
          <w:rtl/>
          <w:lang w:val="fr-CH" w:bidi="ar-MA"/>
        </w:rPr>
        <w:t>(</w:t>
      </w:r>
      <w:r w:rsidR="00ED2F77" w:rsidRPr="00F35A9F">
        <w:rPr>
          <w:rFonts w:hint="cs"/>
          <w:rtl/>
          <w:lang w:val="fr-CH" w:bidi="ar-MA"/>
        </w:rPr>
        <w:t>21</w:t>
      </w:r>
      <w:r>
        <w:rPr>
          <w:rFonts w:hint="cs"/>
          <w:rtl/>
          <w:lang w:val="fr-CH" w:bidi="ar-MA"/>
        </w:rPr>
        <w:t>)</w:t>
      </w:r>
      <w:r w:rsidR="00ED2F77" w:rsidRPr="00F35A9F">
        <w:rPr>
          <w:rFonts w:hint="cs"/>
          <w:rtl/>
          <w:lang w:val="fr-CH" w:bidi="ar-MA"/>
        </w:rPr>
        <w:tab/>
      </w:r>
      <w:r w:rsidR="00ED2F77">
        <w:rPr>
          <w:rFonts w:hint="cs"/>
          <w:rtl/>
          <w:lang w:val="fr-CH" w:bidi="ar-MA"/>
        </w:rPr>
        <w:t xml:space="preserve">تعرب </w:t>
      </w:r>
      <w:r w:rsidR="00ED2F77" w:rsidRPr="00F35A9F">
        <w:rPr>
          <w:rFonts w:hint="cs"/>
          <w:rtl/>
          <w:lang w:val="fr-CH" w:bidi="ar-MA"/>
        </w:rPr>
        <w:t xml:space="preserve">اللجنة </w:t>
      </w:r>
      <w:r w:rsidR="00ED2F77">
        <w:rPr>
          <w:rFonts w:hint="cs"/>
          <w:rtl/>
          <w:lang w:val="fr-CH" w:bidi="ar-MA"/>
        </w:rPr>
        <w:t xml:space="preserve">عن </w:t>
      </w:r>
      <w:r w:rsidR="00ED2F77" w:rsidRPr="00F35A9F">
        <w:rPr>
          <w:rFonts w:hint="cs"/>
          <w:rtl/>
          <w:lang w:val="fr-CH" w:bidi="ar-MA"/>
        </w:rPr>
        <w:t>القلق</w:t>
      </w:r>
      <w:r w:rsidR="00ED2F77">
        <w:rPr>
          <w:rFonts w:hint="cs"/>
          <w:rtl/>
          <w:lang w:val="fr-CH" w:bidi="ar-MA"/>
        </w:rPr>
        <w:t xml:space="preserve"> لعدم وجود أي حكم صريح في التشريعات المحلية ينص على حق ضحايا التعذيب في الحصول على تعويض عادل ومناسب، بما</w:t>
      </w:r>
      <w:r w:rsidR="00ED2F77">
        <w:rPr>
          <w:rtl/>
          <w:lang w:val="fr-CH" w:bidi="ar-MA"/>
        </w:rPr>
        <w:t> </w:t>
      </w:r>
      <w:r w:rsidR="00ED2F77">
        <w:rPr>
          <w:rFonts w:hint="cs"/>
          <w:rtl/>
          <w:lang w:val="fr-CH" w:bidi="ar-MA"/>
        </w:rPr>
        <w:t>في ذلك وسائل إعادة التأهيل على أكمل وجه ممكن، وفقاً لما</w:t>
      </w:r>
      <w:r w:rsidR="00ED2F77">
        <w:rPr>
          <w:rtl/>
          <w:lang w:val="fr-CH" w:bidi="ar-MA"/>
        </w:rPr>
        <w:t> </w:t>
      </w:r>
      <w:r w:rsidR="00ED2F77">
        <w:rPr>
          <w:rFonts w:hint="cs"/>
          <w:rtl/>
          <w:lang w:val="fr-CH" w:bidi="ar-MA"/>
        </w:rPr>
        <w:t>تقتضيه المادة</w:t>
      </w:r>
      <w:r w:rsidR="00ED2F77">
        <w:rPr>
          <w:rtl/>
          <w:lang w:val="fr-CH" w:bidi="ar-MA"/>
        </w:rPr>
        <w:t> </w:t>
      </w:r>
      <w:r w:rsidR="00ED2F77">
        <w:rPr>
          <w:rFonts w:hint="cs"/>
          <w:rtl/>
          <w:lang w:val="fr-CH" w:bidi="ar-MA"/>
        </w:rPr>
        <w:t>14 من الاتفاقية. كما</w:t>
      </w:r>
      <w:r w:rsidR="00ED2F77">
        <w:rPr>
          <w:rtl/>
          <w:lang w:val="fr-CH" w:bidi="ar-MA"/>
        </w:rPr>
        <w:t> </w:t>
      </w:r>
      <w:r w:rsidR="00ED2F77">
        <w:rPr>
          <w:rFonts w:hint="cs"/>
          <w:rtl/>
          <w:lang w:val="fr-CH" w:bidi="ar-MA"/>
        </w:rPr>
        <w:t>تأسف اللجنة لعدم إتاحة الدولة الطرف بيانات تتعلق بقيمة أية تعويضات منحتها المحاكم لضحايا انتهاكات الاتفاقية، بمن فيهم من تعرضوا للتعذيب و/أو سوء المعاملة خلال الفترة الممتدة بين عامي 1995 و1999، إلى جانب 35 ضحية من ضحايا الاتجار الذين أُعيدوا إلى طاجيكستان في عام</w:t>
      </w:r>
      <w:r w:rsidR="00ED2F77">
        <w:rPr>
          <w:rtl/>
          <w:lang w:val="fr-CH" w:bidi="ar-MA"/>
        </w:rPr>
        <w:t> </w:t>
      </w:r>
      <w:r w:rsidR="00ED2F77">
        <w:rPr>
          <w:rFonts w:hint="cs"/>
          <w:rtl/>
          <w:lang w:val="fr-CH" w:bidi="ar-MA"/>
        </w:rPr>
        <w:t>2007 من بلدان أخرى. وتشير اللجنة أيضاً إلى غياب المعلومات عن أي خدمات للعلاج وإعادة التأهيل الاجتماعي المقدَّمة إلى الضحايا، بما</w:t>
      </w:r>
      <w:r w:rsidR="00ED2F77">
        <w:rPr>
          <w:rtl/>
          <w:lang w:val="fr-CH" w:bidi="ar-MA"/>
        </w:rPr>
        <w:t> </w:t>
      </w:r>
      <w:r w:rsidR="00ED2F77">
        <w:rPr>
          <w:rFonts w:hint="cs"/>
          <w:rtl/>
          <w:lang w:val="fr-CH" w:bidi="ar-MA"/>
        </w:rPr>
        <w:t>في ذلك إعادة التأهيل الطبي والنفسي الاجتماعي (المادة</w:t>
      </w:r>
      <w:r w:rsidR="00ED2F77">
        <w:rPr>
          <w:rtl/>
          <w:lang w:val="fr-CH" w:bidi="ar-MA"/>
        </w:rPr>
        <w:t> </w:t>
      </w:r>
      <w:r w:rsidR="00ED2F77">
        <w:rPr>
          <w:rFonts w:hint="cs"/>
          <w:rtl/>
          <w:lang w:val="fr-CH" w:bidi="ar-MA"/>
        </w:rPr>
        <w:t>14).</w:t>
      </w:r>
    </w:p>
    <w:p w:rsidR="00ED2F77" w:rsidRDefault="00ED2F77" w:rsidP="00ED2F77">
      <w:pPr>
        <w:pStyle w:val="SingleTxtGA"/>
        <w:rPr>
          <w:rFonts w:hint="cs"/>
          <w:b/>
          <w:bCs/>
          <w:rtl/>
          <w:lang w:val="fr-CH" w:bidi="ar-MA"/>
        </w:rPr>
      </w:pPr>
      <w:r>
        <w:rPr>
          <w:rFonts w:hint="cs"/>
          <w:b/>
          <w:bCs/>
          <w:rtl/>
          <w:lang w:val="fr-CH" w:bidi="ar-MA"/>
        </w:rPr>
        <w:tab/>
      </w:r>
      <w:r w:rsidRPr="00327297">
        <w:rPr>
          <w:rFonts w:hint="cs"/>
          <w:b/>
          <w:bCs/>
          <w:rtl/>
          <w:lang w:val="fr-CH" w:bidi="ar-MA"/>
        </w:rPr>
        <w:t xml:space="preserve">ينبغي للدولة الطرف أن تضمن وجود </w:t>
      </w:r>
      <w:r>
        <w:rPr>
          <w:rFonts w:hint="cs"/>
          <w:b/>
          <w:bCs/>
          <w:rtl/>
          <w:lang w:val="fr-CH" w:bidi="ar-MA"/>
        </w:rPr>
        <w:t>أحكام واضحة في التشريعات المحلية بشأن حق ضحايا التعذيب في الجبر، بما</w:t>
      </w:r>
      <w:r>
        <w:rPr>
          <w:b/>
          <w:bCs/>
          <w:rtl/>
          <w:lang w:val="fr-CH" w:bidi="ar-MA"/>
        </w:rPr>
        <w:t> </w:t>
      </w:r>
      <w:r>
        <w:rPr>
          <w:rFonts w:hint="cs"/>
          <w:b/>
          <w:bCs/>
          <w:rtl/>
          <w:lang w:val="fr-CH" w:bidi="ar-MA"/>
        </w:rPr>
        <w:t>في ذلك حصولهم على تعويض عادل ومناسب وإعادة تأهيلهم مقابل الأضرار التي لحقت بهم من جراء التعذيب. وينبغي لها عملياً أن تقوم بجبر أضرار جميع ضحايا التعذيب أو</w:t>
      </w:r>
      <w:r>
        <w:rPr>
          <w:b/>
          <w:bCs/>
          <w:rtl/>
          <w:lang w:val="fr-CH" w:bidi="ar-MA"/>
        </w:rPr>
        <w:t> </w:t>
      </w:r>
      <w:r>
        <w:rPr>
          <w:rFonts w:hint="cs"/>
          <w:b/>
          <w:bCs/>
          <w:rtl/>
          <w:lang w:val="fr-CH" w:bidi="ar-MA"/>
        </w:rPr>
        <w:t>سوء المعاملة، بما</w:t>
      </w:r>
      <w:r>
        <w:rPr>
          <w:b/>
          <w:bCs/>
          <w:rtl/>
          <w:lang w:val="fr-CH" w:bidi="ar-MA"/>
        </w:rPr>
        <w:t> </w:t>
      </w:r>
      <w:r>
        <w:rPr>
          <w:rFonts w:hint="cs"/>
          <w:b/>
          <w:bCs/>
          <w:rtl/>
          <w:lang w:val="fr-CH" w:bidi="ar-MA"/>
        </w:rPr>
        <w:t>في ذلك دفع تعويض عادل ومناسب لهم، وإعادة تأهيلهم على أكمل وجه ممكن، بصرف النظر عما إذا كان مرتكبو تلك الأعمال قد سُلّموا إلى العدالة أم</w:t>
      </w:r>
      <w:r>
        <w:rPr>
          <w:rFonts w:hint="eastAsia"/>
          <w:b/>
          <w:bCs/>
          <w:rtl/>
          <w:lang w:val="fr-CH" w:bidi="ar-MA"/>
        </w:rPr>
        <w:t> </w:t>
      </w:r>
      <w:r>
        <w:rPr>
          <w:rFonts w:hint="cs"/>
          <w:b/>
          <w:bCs/>
          <w:rtl/>
          <w:lang w:val="fr-CH" w:bidi="ar-MA"/>
        </w:rPr>
        <w:t>لا، وذلك بما</w:t>
      </w:r>
      <w:r>
        <w:rPr>
          <w:b/>
          <w:bCs/>
          <w:rtl/>
          <w:lang w:val="fr-CH" w:bidi="ar-MA"/>
        </w:rPr>
        <w:t> </w:t>
      </w:r>
      <w:r>
        <w:rPr>
          <w:rFonts w:hint="cs"/>
          <w:b/>
          <w:bCs/>
          <w:rtl/>
          <w:lang w:val="fr-CH" w:bidi="ar-MA"/>
        </w:rPr>
        <w:t>يشمل ضحايا الاتجار، وضحايا التعذيب و/أو سوء المعاملة خلال الفترة الممتدة بين عامي 1995 و1999، وأفراد الأسرة في حالات الوفاة أثناء الاحتجاز.</w:t>
      </w:r>
    </w:p>
    <w:p w:rsidR="00ED2F77" w:rsidRDefault="00ED2F77" w:rsidP="00ED2F77">
      <w:pPr>
        <w:pStyle w:val="SingleTxtGA"/>
        <w:rPr>
          <w:rFonts w:hint="cs"/>
          <w:b/>
          <w:bCs/>
          <w:rtl/>
          <w:lang w:val="fr-CH" w:bidi="ar-MA"/>
        </w:rPr>
      </w:pPr>
      <w:r>
        <w:rPr>
          <w:rFonts w:hint="cs"/>
          <w:b/>
          <w:bCs/>
          <w:rtl/>
          <w:lang w:val="fr-CH" w:bidi="ar-MA"/>
        </w:rPr>
        <w:tab/>
        <w:t>وتلفت اللجنة انتباه الدولة الطرف إلى التعليق العام رقم 3(2012) على المادة</w:t>
      </w:r>
      <w:r>
        <w:rPr>
          <w:b/>
          <w:bCs/>
          <w:rtl/>
          <w:lang w:val="fr-CH" w:bidi="ar-MA"/>
        </w:rPr>
        <w:t> </w:t>
      </w:r>
      <w:r>
        <w:rPr>
          <w:rFonts w:hint="cs"/>
          <w:b/>
          <w:bCs/>
          <w:rtl/>
          <w:lang w:val="fr-CH" w:bidi="ar-MA"/>
        </w:rPr>
        <w:t>14 من الاتفاقية، المعتمد مؤخراً، والذي يوضح مضمون ونطاق التزامات الدول الأطراف من أجل تقديم تعويض كامل لضحايا التعذيب.</w:t>
      </w:r>
    </w:p>
    <w:p w:rsidR="00ED2F77" w:rsidRDefault="00ED2F77" w:rsidP="00ED2F77">
      <w:pPr>
        <w:pStyle w:val="H23GA"/>
        <w:rPr>
          <w:rFonts w:hint="cs"/>
          <w:rtl/>
          <w:lang w:val="fr-CH" w:bidi="ar-MA"/>
        </w:rPr>
      </w:pPr>
      <w:r>
        <w:rPr>
          <w:rFonts w:hint="cs"/>
          <w:rtl/>
          <w:lang w:val="fr-CH" w:bidi="ar-MA"/>
        </w:rPr>
        <w:tab/>
      </w:r>
      <w:r>
        <w:rPr>
          <w:rFonts w:hint="cs"/>
          <w:rtl/>
          <w:lang w:val="fr-CH" w:bidi="ar-MA"/>
        </w:rPr>
        <w:tab/>
        <w:t>جمع البيانات</w:t>
      </w:r>
    </w:p>
    <w:p w:rsidR="00ED2F77" w:rsidRDefault="009948BE" w:rsidP="009948BE">
      <w:pPr>
        <w:pStyle w:val="SingleTxtGA"/>
        <w:rPr>
          <w:rFonts w:hint="cs"/>
          <w:rtl/>
          <w:lang w:val="fr-CH" w:bidi="ar-MA"/>
        </w:rPr>
      </w:pPr>
      <w:r>
        <w:rPr>
          <w:rFonts w:hint="cs"/>
          <w:rtl/>
          <w:lang w:val="fr-CH" w:bidi="ar-MA"/>
        </w:rPr>
        <w:t>(</w:t>
      </w:r>
      <w:r w:rsidR="00ED2F77">
        <w:rPr>
          <w:rFonts w:hint="cs"/>
          <w:rtl/>
          <w:lang w:val="fr-CH" w:bidi="ar-MA"/>
        </w:rPr>
        <w:t>22</w:t>
      </w:r>
      <w:r>
        <w:rPr>
          <w:rFonts w:hint="cs"/>
          <w:rtl/>
          <w:lang w:val="fr-CH" w:bidi="ar-MA"/>
        </w:rPr>
        <w:t>)</w:t>
      </w:r>
      <w:r w:rsidR="00ED2F77">
        <w:rPr>
          <w:rFonts w:hint="cs"/>
          <w:rtl/>
          <w:lang w:val="fr-CH" w:bidi="ar-MA"/>
        </w:rPr>
        <w:tab/>
        <w:t>تأسف اللجنة لعدم وجود بيانات شاملة ومصنفة بشأن الشكاوى والتحقيقات والملاحقات القضائية والإدانات المتعلقة بقضايا التعذيب وسوء المعاملة على أيدي الموظفين المكلفين بإنفاذ القانون وضباط الأمن والجيش وموظفي السجون، وبشأن قضايا الاتجار والعنف المنزلي والجنسي، والتعويضات المقدمة إلى الضحايا.</w:t>
      </w:r>
    </w:p>
    <w:p w:rsidR="00ED2F77" w:rsidRPr="00F55308" w:rsidRDefault="00ED2F77" w:rsidP="00ED2F77">
      <w:pPr>
        <w:pStyle w:val="SingleTxtGA"/>
        <w:rPr>
          <w:rFonts w:hint="cs"/>
          <w:b/>
          <w:bCs/>
          <w:rtl/>
          <w:lang w:val="fr-CH" w:bidi="ar-MA"/>
        </w:rPr>
      </w:pPr>
      <w:r w:rsidRPr="00F55308">
        <w:rPr>
          <w:rFonts w:hint="cs"/>
          <w:b/>
          <w:bCs/>
          <w:rtl/>
          <w:lang w:val="fr-CH" w:bidi="ar-MA"/>
        </w:rPr>
        <w:tab/>
        <w:t>ينبغي للدولة الطرف أن تجمع بيانات إحصائية تتعلق برصد تنفيذ الاتفاقية على الصعيد الوطني،</w:t>
      </w:r>
      <w:r>
        <w:rPr>
          <w:rFonts w:hint="cs"/>
          <w:b/>
          <w:bCs/>
          <w:rtl/>
          <w:lang w:val="fr-CH" w:bidi="ar-MA"/>
        </w:rPr>
        <w:t xml:space="preserve"> بما</w:t>
      </w:r>
      <w:r>
        <w:rPr>
          <w:b/>
          <w:bCs/>
          <w:rtl/>
          <w:lang w:val="fr-CH" w:bidi="ar-MA"/>
        </w:rPr>
        <w:t> </w:t>
      </w:r>
      <w:r w:rsidRPr="00F55308">
        <w:rPr>
          <w:rFonts w:hint="cs"/>
          <w:b/>
          <w:bCs/>
          <w:rtl/>
          <w:lang w:val="fr-CH" w:bidi="ar-MA"/>
        </w:rPr>
        <w:t>في ذلك بيانات بشأن الشكاوى والتحقيقات والملاحقات القضائية والإدانات المرتبطة بقضايا التعذيب وسوء المعاملة، والاتجار والعنف المنزلي والجنسي، إلى جانب سبل الجبر المتاحة للضحايا،</w:t>
      </w:r>
      <w:r>
        <w:rPr>
          <w:rFonts w:hint="cs"/>
          <w:b/>
          <w:bCs/>
          <w:rtl/>
          <w:lang w:val="fr-CH" w:bidi="ar-MA"/>
        </w:rPr>
        <w:t xml:space="preserve"> بما</w:t>
      </w:r>
      <w:r>
        <w:rPr>
          <w:b/>
          <w:bCs/>
          <w:rtl/>
          <w:lang w:val="fr-CH" w:bidi="ar-MA"/>
        </w:rPr>
        <w:t> </w:t>
      </w:r>
      <w:r w:rsidRPr="00F55308">
        <w:rPr>
          <w:rFonts w:hint="cs"/>
          <w:b/>
          <w:bCs/>
          <w:rtl/>
          <w:lang w:val="fr-CH" w:bidi="ar-MA"/>
        </w:rPr>
        <w:t>فيها التعويض وإعادة التأهيل.</w:t>
      </w:r>
    </w:p>
    <w:p w:rsidR="00ED2F77" w:rsidRPr="00086AA1" w:rsidRDefault="009948BE" w:rsidP="009948BE">
      <w:pPr>
        <w:pStyle w:val="SingleTxtGA"/>
        <w:rPr>
          <w:rFonts w:hint="cs"/>
          <w:spacing w:val="-2"/>
          <w:rtl/>
          <w:lang w:val="fr-CH" w:bidi="ar-MA"/>
        </w:rPr>
      </w:pPr>
      <w:r w:rsidRPr="00086AA1">
        <w:rPr>
          <w:rFonts w:hint="cs"/>
          <w:spacing w:val="-2"/>
          <w:rtl/>
          <w:lang w:val="fr-CH" w:bidi="ar-MA"/>
        </w:rPr>
        <w:t>(</w:t>
      </w:r>
      <w:r w:rsidR="00ED2F77" w:rsidRPr="00086AA1">
        <w:rPr>
          <w:rFonts w:hint="cs"/>
          <w:spacing w:val="-2"/>
          <w:rtl/>
          <w:lang w:val="fr-CH" w:bidi="ar-MA"/>
        </w:rPr>
        <w:t>23</w:t>
      </w:r>
      <w:r w:rsidRPr="00086AA1">
        <w:rPr>
          <w:rFonts w:hint="cs"/>
          <w:spacing w:val="-2"/>
          <w:rtl/>
          <w:lang w:val="fr-CH" w:bidi="ar-MA"/>
        </w:rPr>
        <w:t>)</w:t>
      </w:r>
      <w:r w:rsidR="00ED2F77" w:rsidRPr="00086AA1">
        <w:rPr>
          <w:rFonts w:hint="cs"/>
          <w:spacing w:val="-2"/>
          <w:rtl/>
          <w:lang w:val="fr-CH" w:bidi="ar-MA"/>
        </w:rPr>
        <w:tab/>
        <w:t>توصي اللجنةُ الدولة الطرف بأن تنظر في التصديق، في أقرب وقت ممكن، على البروتوكول الاختياري لاتفاقية مناهضة التعذيب وغيره من ضروب المعاملة أو</w:t>
      </w:r>
      <w:r w:rsidR="00ED2F77" w:rsidRPr="00086AA1">
        <w:rPr>
          <w:spacing w:val="-2"/>
          <w:rtl/>
          <w:lang w:val="fr-CH" w:bidi="ar-MA"/>
        </w:rPr>
        <w:t> </w:t>
      </w:r>
      <w:r w:rsidR="00ED2F77" w:rsidRPr="00086AA1">
        <w:rPr>
          <w:rFonts w:hint="cs"/>
          <w:spacing w:val="-2"/>
          <w:rtl/>
          <w:lang w:val="fr-CH" w:bidi="ar-MA"/>
        </w:rPr>
        <w:t>العقوبة القاسية أو</w:t>
      </w:r>
      <w:r w:rsidR="00ED2F77" w:rsidRPr="00086AA1">
        <w:rPr>
          <w:spacing w:val="-2"/>
          <w:rtl/>
          <w:lang w:val="fr-CH" w:bidi="ar-MA"/>
        </w:rPr>
        <w:t> </w:t>
      </w:r>
      <w:r w:rsidR="00ED2F77" w:rsidRPr="00086AA1">
        <w:rPr>
          <w:rFonts w:hint="cs"/>
          <w:spacing w:val="-2"/>
          <w:rtl/>
          <w:lang w:val="fr-CH" w:bidi="ar-MA"/>
        </w:rPr>
        <w:t>اللاإنسانية أو</w:t>
      </w:r>
      <w:r w:rsidR="00ED2F77" w:rsidRPr="00086AA1">
        <w:rPr>
          <w:spacing w:val="-2"/>
          <w:rtl/>
          <w:lang w:val="fr-CH" w:bidi="ar-MA"/>
        </w:rPr>
        <w:t> </w:t>
      </w:r>
      <w:r w:rsidR="00ED2F77" w:rsidRPr="00086AA1">
        <w:rPr>
          <w:rFonts w:hint="cs"/>
          <w:spacing w:val="-2"/>
          <w:rtl/>
          <w:lang w:val="fr-CH" w:bidi="ar-MA"/>
        </w:rPr>
        <w:t>المهينة، والبروتوكول الاختياري الثاني الملحق بالعهد الدولي الخاص بالحقوق المدنية والسياسية. كما</w:t>
      </w:r>
      <w:r w:rsidR="00ED2F77" w:rsidRPr="00086AA1">
        <w:rPr>
          <w:spacing w:val="-2"/>
          <w:rtl/>
          <w:lang w:val="fr-CH" w:bidi="ar-MA"/>
        </w:rPr>
        <w:t> </w:t>
      </w:r>
      <w:r w:rsidR="00ED2F77" w:rsidRPr="00086AA1">
        <w:rPr>
          <w:rFonts w:hint="cs"/>
          <w:spacing w:val="-2"/>
          <w:rtl/>
          <w:lang w:val="fr-CH" w:bidi="ar-MA"/>
        </w:rPr>
        <w:t>تدعو الدولةَ الطرف إلى النظر في التصديق على معاهدات الأمم المتحدة الأساسية الأخرى لحقوق الإنسان التي لم تنضم إليها بعد، وهي بالتحديد: الاتفاقية الدولية لحماية جميع الأشخاص من الاختفاء القسري، واتفاقية حقوق الأشخاص ذوي الإعاقة وبروتوكولها الاختياري، والبروتوكول الاختياري لاتفاقية القضاء على جميع أشكال التمييز ضد المرأة، والبروتوكول الاختياري للعهد الدولي الخاص بالحقوق الاقتصادية والاجتماعية والثقافية.</w:t>
      </w:r>
    </w:p>
    <w:p w:rsidR="00ED2F77" w:rsidRPr="008829F3" w:rsidRDefault="009948BE" w:rsidP="009948BE">
      <w:pPr>
        <w:pStyle w:val="SingleTxtGA"/>
        <w:rPr>
          <w:rFonts w:hint="cs"/>
          <w:spacing w:val="-4"/>
          <w:rtl/>
          <w:lang w:val="fr-CH" w:bidi="ar-MA"/>
        </w:rPr>
      </w:pPr>
      <w:r>
        <w:rPr>
          <w:rFonts w:hint="cs"/>
          <w:spacing w:val="-4"/>
          <w:rtl/>
          <w:lang w:val="fr-CH" w:bidi="ar-MA"/>
        </w:rPr>
        <w:t>(</w:t>
      </w:r>
      <w:r w:rsidR="00ED2F77" w:rsidRPr="008829F3">
        <w:rPr>
          <w:rFonts w:hint="cs"/>
          <w:spacing w:val="-4"/>
          <w:rtl/>
          <w:lang w:val="fr-CH" w:bidi="ar-MA"/>
        </w:rPr>
        <w:t>24</w:t>
      </w:r>
      <w:r>
        <w:rPr>
          <w:rFonts w:hint="cs"/>
          <w:spacing w:val="-4"/>
          <w:rtl/>
          <w:lang w:val="fr-CH" w:bidi="ar-MA"/>
        </w:rPr>
        <w:t>)</w:t>
      </w:r>
      <w:r w:rsidR="00ED2F77" w:rsidRPr="008829F3">
        <w:rPr>
          <w:rFonts w:hint="cs"/>
          <w:spacing w:val="-4"/>
          <w:rtl/>
          <w:lang w:val="fr-CH" w:bidi="ar-MA"/>
        </w:rPr>
        <w:tab/>
        <w:t>وتوصي اللجنة الدولة الطرف أيضاً بالنظر في إصدار الإعلانين المنصوص عليهما في المادتين 21 و22 من الاتفاقية، بغية الاعتراف باختصاص اللجنة في تلقي البلاغات والنظر فيها.</w:t>
      </w:r>
    </w:p>
    <w:p w:rsidR="00ED2F77" w:rsidRDefault="009948BE" w:rsidP="009948BE">
      <w:pPr>
        <w:pStyle w:val="SingleTxtGA"/>
        <w:rPr>
          <w:rFonts w:hint="cs"/>
          <w:rtl/>
          <w:lang w:val="fr-CH" w:bidi="ar-MA"/>
        </w:rPr>
      </w:pPr>
      <w:r>
        <w:rPr>
          <w:rFonts w:hint="cs"/>
          <w:rtl/>
          <w:lang w:val="fr-CH" w:bidi="ar-MA"/>
        </w:rPr>
        <w:t>(</w:t>
      </w:r>
      <w:r w:rsidR="00ED2F77">
        <w:rPr>
          <w:rFonts w:hint="cs"/>
          <w:rtl/>
          <w:lang w:val="fr-CH" w:bidi="ar-MA"/>
        </w:rPr>
        <w:t>25</w:t>
      </w:r>
      <w:r>
        <w:rPr>
          <w:rFonts w:hint="cs"/>
          <w:rtl/>
          <w:lang w:val="fr-CH" w:bidi="ar-MA"/>
        </w:rPr>
        <w:t>)</w:t>
      </w:r>
      <w:r w:rsidR="00ED2F77">
        <w:rPr>
          <w:rFonts w:hint="cs"/>
          <w:rtl/>
          <w:lang w:val="fr-CH" w:bidi="ar-MA"/>
        </w:rPr>
        <w:tab/>
        <w:t>ويرجى من الدولة الطرف نشر التقرير المقدم إلى اللجنة والملاحظات الختامية للجنة على نطاق واسع وباللغات المناسبة، من خلال المواقع الشبكية الرسمية ووسائط الإعلام والمنظمات غير الحكومية.</w:t>
      </w:r>
    </w:p>
    <w:p w:rsidR="00ED2F77" w:rsidRDefault="009948BE" w:rsidP="009948BE">
      <w:pPr>
        <w:pStyle w:val="SingleTxtGA"/>
        <w:rPr>
          <w:rFonts w:hint="cs"/>
          <w:rtl/>
          <w:lang w:val="fr-CH" w:bidi="ar-MA"/>
        </w:rPr>
      </w:pPr>
      <w:r>
        <w:rPr>
          <w:rFonts w:hint="cs"/>
          <w:rtl/>
          <w:lang w:val="fr-CH" w:bidi="ar-MA"/>
        </w:rPr>
        <w:t>(</w:t>
      </w:r>
      <w:r w:rsidR="00ED2F77">
        <w:rPr>
          <w:rFonts w:hint="cs"/>
          <w:rtl/>
          <w:lang w:val="fr-CH" w:bidi="ar-MA"/>
        </w:rPr>
        <w:t>26</w:t>
      </w:r>
      <w:r>
        <w:rPr>
          <w:rFonts w:hint="cs"/>
          <w:rtl/>
          <w:lang w:val="fr-CH" w:bidi="ar-MA"/>
        </w:rPr>
        <w:t>)</w:t>
      </w:r>
      <w:r w:rsidR="00ED2F77">
        <w:rPr>
          <w:rFonts w:hint="cs"/>
          <w:rtl/>
          <w:lang w:val="fr-CH" w:bidi="ar-MA"/>
        </w:rPr>
        <w:tab/>
        <w:t>وتطلب اللجنة من الدولة الطرف أن تقدم، بحلول 23 تشرين الثاني/نوفمبر 2013، معلومات متابعة رداً على توصيات اللجنة المتعلقة بما</w:t>
      </w:r>
      <w:r w:rsidR="00ED2F77">
        <w:rPr>
          <w:rtl/>
          <w:lang w:val="fr-CH" w:bidi="ar-MA"/>
        </w:rPr>
        <w:t> </w:t>
      </w:r>
      <w:r w:rsidR="00ED2F77">
        <w:rPr>
          <w:rFonts w:hint="cs"/>
          <w:rtl/>
          <w:lang w:val="fr-CH" w:bidi="ar-MA"/>
        </w:rPr>
        <w:t>يلي: (أ) إجراء تحقيقات فورية ومحايدة وفعالة؛ (ب) كفالة أو</w:t>
      </w:r>
      <w:r w:rsidR="00ED2F77">
        <w:rPr>
          <w:rtl/>
          <w:lang w:val="fr-CH" w:bidi="ar-MA"/>
        </w:rPr>
        <w:t> </w:t>
      </w:r>
      <w:r w:rsidR="00ED2F77">
        <w:rPr>
          <w:rFonts w:hint="cs"/>
          <w:rtl/>
          <w:lang w:val="fr-CH" w:bidi="ar-MA"/>
        </w:rPr>
        <w:t>تعزيز الضمانات القانونية للأشخاص المحتجزين؛ (ج) مقاضاة الأشخاص المشتبه في ارتكابهم أفعال التعذيب أو</w:t>
      </w:r>
      <w:r w:rsidR="00ED2F77">
        <w:rPr>
          <w:rtl/>
          <w:lang w:val="fr-CH" w:bidi="ar-MA"/>
        </w:rPr>
        <w:t> </w:t>
      </w:r>
      <w:r w:rsidR="00ED2F77">
        <w:rPr>
          <w:rFonts w:hint="cs"/>
          <w:rtl/>
          <w:lang w:val="fr-CH" w:bidi="ar-MA"/>
        </w:rPr>
        <w:t>سوء المعاملة ومعاقبة الجناة على النحو الوارد في الفقرات 8(أ) و(ب)، و9(أ)، و11(ج)، و14(أ) و(ب) و(ج) و(د) من هذه الوثيقة.</w:t>
      </w:r>
    </w:p>
    <w:p w:rsidR="00ED2F77" w:rsidRPr="00E55C77" w:rsidRDefault="009948BE" w:rsidP="009948BE">
      <w:pPr>
        <w:pStyle w:val="SingleTxtGA"/>
        <w:rPr>
          <w:rFonts w:hint="cs"/>
          <w:rtl/>
          <w:lang w:val="fr-CH" w:bidi="ar-MA"/>
        </w:rPr>
      </w:pPr>
      <w:r>
        <w:rPr>
          <w:rFonts w:hint="cs"/>
          <w:rtl/>
          <w:lang w:val="fr-CH" w:bidi="ar-MA"/>
        </w:rPr>
        <w:t>(</w:t>
      </w:r>
      <w:r w:rsidR="00ED2F77">
        <w:rPr>
          <w:rFonts w:hint="cs"/>
          <w:rtl/>
          <w:lang w:val="fr-CH" w:bidi="ar-MA"/>
        </w:rPr>
        <w:t>27</w:t>
      </w:r>
      <w:r>
        <w:rPr>
          <w:rFonts w:hint="cs"/>
          <w:rtl/>
          <w:lang w:val="fr-CH" w:bidi="ar-MA"/>
        </w:rPr>
        <w:t>)</w:t>
      </w:r>
      <w:r w:rsidR="00ED2F77">
        <w:rPr>
          <w:rFonts w:hint="cs"/>
          <w:rtl/>
          <w:lang w:val="fr-CH" w:bidi="ar-MA"/>
        </w:rPr>
        <w:tab/>
        <w:t>والدولة الطرف مدعوة إلى تقديم تقريرها المقبل، الذي سيكون التقرير الدوري الثالث، بحلول 23 تشرين الثاني/نوفمبر 2016. ولهذا الغرض، تدعو اللجنة الدولة الطرف إلى الموافقة بحلول 23 تشرين الثاني/نوفمبر 2013، على تقديم التقارير بموجب إجرائها الاختياري لتقديم التقارير، الذي يتمثل في إحالة اللجنة إلى الدولة الطرف قائمة</w:t>
      </w:r>
      <w:r w:rsidR="009912C3">
        <w:rPr>
          <w:rFonts w:hint="cs"/>
          <w:rtl/>
          <w:lang w:val="fr-CH" w:bidi="ar-MA"/>
        </w:rPr>
        <w:t xml:space="preserve"> قضايا سابقة</w:t>
      </w:r>
      <w:r w:rsidR="00ED2F77">
        <w:rPr>
          <w:rFonts w:hint="cs"/>
          <w:rtl/>
          <w:lang w:val="fr-CH" w:bidi="ar-MA"/>
        </w:rPr>
        <w:t xml:space="preserve"> </w:t>
      </w:r>
      <w:r w:rsidR="009912C3">
        <w:rPr>
          <w:rFonts w:hint="cs"/>
          <w:rtl/>
          <w:lang w:val="fr-CH" w:bidi="ar-MA"/>
        </w:rPr>
        <w:t>ل</w:t>
      </w:r>
      <w:r w:rsidR="00ED2F77">
        <w:rPr>
          <w:rFonts w:hint="cs"/>
          <w:rtl/>
          <w:lang w:val="fr-CH" w:bidi="ar-MA"/>
        </w:rPr>
        <w:t xml:space="preserve">تقديم تقريرها الدوري. وسيشكل رد الدولة الطرف على قائمة </w:t>
      </w:r>
      <w:r w:rsidR="009912C3">
        <w:rPr>
          <w:rFonts w:hint="cs"/>
          <w:rtl/>
          <w:lang w:val="fr-CH" w:bidi="ar-MA"/>
        </w:rPr>
        <w:t>القضايا</w:t>
      </w:r>
      <w:r w:rsidR="00ED2F77">
        <w:rPr>
          <w:rFonts w:hint="cs"/>
          <w:rtl/>
          <w:lang w:val="fr-CH" w:bidi="ar-MA"/>
        </w:rPr>
        <w:t>، بموجب المادة</w:t>
      </w:r>
      <w:r w:rsidR="00ED2F77">
        <w:rPr>
          <w:rtl/>
          <w:lang w:val="fr-CH" w:bidi="ar-MA"/>
        </w:rPr>
        <w:t> </w:t>
      </w:r>
      <w:r w:rsidR="00ED2F77">
        <w:rPr>
          <w:rFonts w:hint="cs"/>
          <w:rtl/>
          <w:lang w:val="fr-CH" w:bidi="ar-MA"/>
        </w:rPr>
        <w:t>19 من الاتفاقية، تقريرها الدوري المقبل.</w:t>
      </w:r>
    </w:p>
    <w:p w:rsidR="00EE5D7D" w:rsidRPr="009948BE" w:rsidRDefault="005E2281" w:rsidP="00A83CF9">
      <w:pPr>
        <w:pStyle w:val="SingleTxtGA"/>
        <w:spacing w:line="360" w:lineRule="exact"/>
        <w:rPr>
          <w:rFonts w:hint="cs"/>
          <w:b/>
          <w:bCs/>
          <w:rtl/>
        </w:rPr>
      </w:pPr>
      <w:r w:rsidRPr="00FC2685">
        <w:rPr>
          <w:rFonts w:hint="cs"/>
          <w:rtl/>
        </w:rPr>
        <w:t>67</w:t>
      </w:r>
      <w:r w:rsidR="00EE5D7D" w:rsidRPr="00FC2685">
        <w:rPr>
          <w:rFonts w:hint="cs"/>
          <w:rtl/>
        </w:rPr>
        <w:t>-</w:t>
      </w:r>
      <w:r w:rsidR="00EE5D7D" w:rsidRPr="00FC2685">
        <w:rPr>
          <w:rFonts w:hint="cs"/>
          <w:rtl/>
        </w:rPr>
        <w:tab/>
      </w:r>
      <w:r w:rsidR="00EE5D7D" w:rsidRPr="009948BE">
        <w:rPr>
          <w:rFonts w:hint="cs"/>
          <w:b/>
          <w:bCs/>
          <w:rtl/>
        </w:rPr>
        <w:t>توغو</w:t>
      </w:r>
    </w:p>
    <w:p w:rsidR="00FC2685" w:rsidRDefault="009948BE" w:rsidP="00A83CF9">
      <w:pPr>
        <w:pStyle w:val="H23GA"/>
        <w:spacing w:line="360" w:lineRule="exact"/>
        <w:rPr>
          <w:rFonts w:hint="cs"/>
          <w:rtl/>
          <w:lang w:val="fr-CH"/>
        </w:rPr>
      </w:pPr>
      <w:r>
        <w:rPr>
          <w:rFonts w:hint="cs"/>
          <w:rtl/>
          <w:lang w:val="fr-CH"/>
        </w:rPr>
        <w:tab/>
      </w:r>
      <w:r>
        <w:rPr>
          <w:rFonts w:hint="cs"/>
          <w:rtl/>
          <w:lang w:val="fr-CH"/>
        </w:rPr>
        <w:tab/>
      </w:r>
      <w:r w:rsidR="00FC2685" w:rsidRPr="00FC2685">
        <w:rPr>
          <w:rFonts w:hint="cs"/>
          <w:rtl/>
          <w:lang w:val="fr-CH"/>
        </w:rPr>
        <w:t>الملاحظات الختامية بشأن التقرير الدوري الثاني لتوغو، التي اعتمدتها لجنة مناهضة التعذيب في دورتها التاسعة والأربعين (29 تشرين الأول/أكتوبر - 23 تشرين الثاني/</w:t>
      </w:r>
      <w:r>
        <w:rPr>
          <w:rFonts w:hint="cs"/>
          <w:rtl/>
          <w:lang w:val="fr-CH"/>
        </w:rPr>
        <w:t xml:space="preserve"> </w:t>
      </w:r>
      <w:r w:rsidR="00FC2685" w:rsidRPr="00FC2685">
        <w:rPr>
          <w:rFonts w:hint="cs"/>
          <w:rtl/>
          <w:lang w:val="fr-CH"/>
        </w:rPr>
        <w:t>نوفمبر 2012)</w:t>
      </w:r>
    </w:p>
    <w:p w:rsidR="00FC2685" w:rsidRPr="009948BE" w:rsidRDefault="009948BE" w:rsidP="00A83CF9">
      <w:pPr>
        <w:pStyle w:val="SingleTxtGA"/>
        <w:spacing w:line="360" w:lineRule="exact"/>
        <w:rPr>
          <w:rFonts w:hint="cs"/>
          <w:rtl/>
        </w:rPr>
      </w:pPr>
      <w:r>
        <w:rPr>
          <w:rFonts w:hint="cs"/>
          <w:rtl/>
          <w:lang w:val="fr-CH"/>
        </w:rPr>
        <w:t>(</w:t>
      </w:r>
      <w:r w:rsidR="00FC2685" w:rsidRPr="00FC2685">
        <w:rPr>
          <w:rFonts w:hint="cs"/>
          <w:rtl/>
          <w:lang w:val="fr-CH"/>
        </w:rPr>
        <w:t>1</w:t>
      </w:r>
      <w:r>
        <w:rPr>
          <w:rFonts w:hint="cs"/>
          <w:rtl/>
          <w:lang w:val="fr-CH"/>
        </w:rPr>
        <w:t>)</w:t>
      </w:r>
      <w:r w:rsidR="00FC2685" w:rsidRPr="00FC2685">
        <w:rPr>
          <w:rFonts w:hint="cs"/>
          <w:rtl/>
          <w:lang w:val="fr-CH"/>
        </w:rPr>
        <w:tab/>
      </w:r>
      <w:r w:rsidRPr="009948BE">
        <w:rPr>
          <w:rtl/>
        </w:rPr>
        <w:t>نظرت لجنة مناهضة التعذيب في التقرير الدوري الثاني لتوغو (</w:t>
      </w:r>
      <w:r w:rsidRPr="009948BE">
        <w:t>CAT/C/TGO/2</w:t>
      </w:r>
      <w:r w:rsidRPr="009948BE">
        <w:rPr>
          <w:rtl/>
        </w:rPr>
        <w:t>) في جلستيها 1114 و1117، المعقودتين في 12 و13 تشرين الثاني/نوفمبر 2012 (</w:t>
      </w:r>
      <w:r w:rsidRPr="009948BE">
        <w:t>CAT/C/SR.1114</w:t>
      </w:r>
      <w:r w:rsidRPr="009948BE">
        <w:rPr>
          <w:rtl/>
        </w:rPr>
        <w:t xml:space="preserve"> و</w:t>
      </w:r>
      <w:r w:rsidRPr="009948BE">
        <w:t>CAT/C/SR.1117</w:t>
      </w:r>
      <w:r w:rsidRPr="009948BE">
        <w:rPr>
          <w:rtl/>
        </w:rPr>
        <w:t>)، واعتمدت في جلستها 1128 (</w:t>
      </w:r>
      <w:r w:rsidRPr="009948BE">
        <w:t>CAT/C/SR.1128</w:t>
      </w:r>
      <w:r w:rsidRPr="009948BE">
        <w:rPr>
          <w:rtl/>
        </w:rPr>
        <w:t>) المعقودة في 21 تشرين الثاني/نوفمبر 2012، الملاحظات الختامية التالية.</w:t>
      </w:r>
    </w:p>
    <w:p w:rsidR="00FC2685" w:rsidRPr="009948BE" w:rsidRDefault="00A83CF9" w:rsidP="00A83CF9">
      <w:pPr>
        <w:pStyle w:val="H23GA"/>
        <w:tabs>
          <w:tab w:val="left" w:pos="1926"/>
        </w:tabs>
        <w:spacing w:line="360" w:lineRule="exact"/>
        <w:rPr>
          <w:rFonts w:hint="cs"/>
          <w:rtl/>
        </w:rPr>
      </w:pPr>
      <w:r>
        <w:rPr>
          <w:rFonts w:hint="cs"/>
          <w:rtl/>
        </w:rPr>
        <w:tab/>
      </w:r>
      <w:r>
        <w:rPr>
          <w:rFonts w:hint="cs"/>
          <w:rtl/>
        </w:rPr>
        <w:tab/>
      </w:r>
      <w:r w:rsidR="00FC2685" w:rsidRPr="009948BE">
        <w:rPr>
          <w:rFonts w:hint="cs"/>
          <w:rtl/>
        </w:rPr>
        <w:t>ألف-</w:t>
      </w:r>
      <w:r w:rsidR="00FC2685" w:rsidRPr="009948BE">
        <w:rPr>
          <w:rFonts w:hint="cs"/>
          <w:rtl/>
        </w:rPr>
        <w:tab/>
        <w:t>مقدمة</w:t>
      </w:r>
    </w:p>
    <w:p w:rsidR="00FC2685" w:rsidRPr="009948BE" w:rsidRDefault="009948BE" w:rsidP="00A83CF9">
      <w:pPr>
        <w:pStyle w:val="SingleTxtGA"/>
        <w:spacing w:line="360" w:lineRule="exact"/>
        <w:rPr>
          <w:rFonts w:hint="cs"/>
          <w:rtl/>
        </w:rPr>
      </w:pPr>
      <w:r w:rsidRPr="009948BE">
        <w:rPr>
          <w:rFonts w:hint="cs"/>
          <w:rtl/>
        </w:rPr>
        <w:t>(</w:t>
      </w:r>
      <w:r w:rsidR="00FC2685" w:rsidRPr="009948BE">
        <w:rPr>
          <w:rFonts w:hint="cs"/>
          <w:rtl/>
        </w:rPr>
        <w:t>2</w:t>
      </w:r>
      <w:r w:rsidRPr="009948BE">
        <w:rPr>
          <w:rFonts w:hint="cs"/>
          <w:rtl/>
        </w:rPr>
        <w:t>)</w:t>
      </w:r>
      <w:r w:rsidR="00FC2685" w:rsidRPr="009948BE">
        <w:rPr>
          <w:rFonts w:hint="cs"/>
          <w:rtl/>
        </w:rPr>
        <w:tab/>
        <w:t>ترحب اللجنة بتقديم الدولة الطرف تقريرها الدوري الثاني، وكذلك بردود الدولة الطرف على قائمة القضايا المرسلة قبل تقديم التقرير (</w:t>
      </w:r>
      <w:r w:rsidR="00FC2685" w:rsidRPr="009948BE">
        <w:t>CAT/C/TGO/Q/2</w:t>
      </w:r>
      <w:r w:rsidR="00FC2685" w:rsidRPr="009948BE">
        <w:rPr>
          <w:rFonts w:hint="cs"/>
          <w:rtl/>
        </w:rPr>
        <w:t xml:space="preserve">). بيد أنها تأسف لعدم تضمن التقرير معلومات ملموسة عن تنفيذ أحكام الاتفاقية. </w:t>
      </w:r>
    </w:p>
    <w:p w:rsidR="00FC2685" w:rsidRPr="00FC2685" w:rsidRDefault="009948BE" w:rsidP="00A83CF9">
      <w:pPr>
        <w:pStyle w:val="SingleTxtGA"/>
        <w:spacing w:line="360" w:lineRule="exact"/>
        <w:rPr>
          <w:rFonts w:hint="cs"/>
          <w:rtl/>
        </w:rPr>
      </w:pPr>
      <w:r>
        <w:rPr>
          <w:rFonts w:hint="cs"/>
          <w:rtl/>
        </w:rPr>
        <w:t>(</w:t>
      </w:r>
      <w:r w:rsidR="00FC2685" w:rsidRPr="00FC2685">
        <w:rPr>
          <w:rFonts w:hint="cs"/>
          <w:rtl/>
        </w:rPr>
        <w:t>3</w:t>
      </w:r>
      <w:r>
        <w:rPr>
          <w:rFonts w:hint="cs"/>
          <w:rtl/>
        </w:rPr>
        <w:t>)</w:t>
      </w:r>
      <w:r w:rsidR="00FC2685" w:rsidRPr="00FC2685">
        <w:rPr>
          <w:rFonts w:hint="cs"/>
          <w:rtl/>
        </w:rPr>
        <w:tab/>
        <w:t xml:space="preserve">وترحب اللجنة بالحوار الصريح والمفتوح الذي أجرته مع وفد رفيع المستوى من الدولة الطرف، وترحب أيضاً بالمعلومات الإضافية التي قدمها إليها أثناء النظر في التقرير. </w:t>
      </w:r>
    </w:p>
    <w:p w:rsidR="00FC2685" w:rsidRPr="009948BE" w:rsidRDefault="00A83CF9" w:rsidP="00A83CF9">
      <w:pPr>
        <w:pStyle w:val="H23GA"/>
        <w:tabs>
          <w:tab w:val="left" w:pos="1926"/>
        </w:tabs>
        <w:spacing w:line="360" w:lineRule="exact"/>
        <w:rPr>
          <w:rFonts w:hint="cs"/>
          <w:rtl/>
        </w:rPr>
      </w:pPr>
      <w:r>
        <w:rPr>
          <w:rFonts w:hint="cs"/>
          <w:rtl/>
        </w:rPr>
        <w:tab/>
      </w:r>
      <w:r>
        <w:rPr>
          <w:rFonts w:hint="cs"/>
          <w:rtl/>
        </w:rPr>
        <w:tab/>
      </w:r>
      <w:r w:rsidR="00FC2685" w:rsidRPr="009948BE">
        <w:rPr>
          <w:rFonts w:hint="cs"/>
          <w:rtl/>
        </w:rPr>
        <w:t>باء-</w:t>
      </w:r>
      <w:r w:rsidR="00FC2685" w:rsidRPr="009948BE">
        <w:rPr>
          <w:rFonts w:hint="cs"/>
          <w:rtl/>
        </w:rPr>
        <w:tab/>
        <w:t>الجوانب الإيجابية</w:t>
      </w:r>
    </w:p>
    <w:p w:rsidR="00FC2685" w:rsidRPr="00FC2685" w:rsidRDefault="009948BE" w:rsidP="00086AA1">
      <w:pPr>
        <w:pStyle w:val="SingleTxtGA"/>
        <w:spacing w:line="360" w:lineRule="exact"/>
        <w:rPr>
          <w:rFonts w:hint="cs"/>
          <w:rtl/>
        </w:rPr>
      </w:pPr>
      <w:r>
        <w:rPr>
          <w:rFonts w:hint="cs"/>
          <w:rtl/>
        </w:rPr>
        <w:t>(</w:t>
      </w:r>
      <w:r w:rsidR="00FC2685" w:rsidRPr="00FC2685">
        <w:rPr>
          <w:rFonts w:hint="cs"/>
          <w:rtl/>
        </w:rPr>
        <w:t>4</w:t>
      </w:r>
      <w:r>
        <w:rPr>
          <w:rFonts w:hint="cs"/>
          <w:rtl/>
        </w:rPr>
        <w:t>)</w:t>
      </w:r>
      <w:r w:rsidR="00FC2685" w:rsidRPr="00FC2685">
        <w:rPr>
          <w:rFonts w:hint="cs"/>
          <w:rtl/>
        </w:rPr>
        <w:tab/>
        <w:t>ترحب اللجنة بانضمام الدولة الطرف إلى الصكوك الدولية التالية أو التصديق عليها منذ النظر في تقريرها الأولي:</w:t>
      </w:r>
    </w:p>
    <w:p w:rsidR="00FC2685" w:rsidRPr="00FC2685" w:rsidRDefault="00FC2685" w:rsidP="00086AA1">
      <w:pPr>
        <w:pStyle w:val="SingleTxtGA"/>
        <w:spacing w:line="360" w:lineRule="exact"/>
        <w:rPr>
          <w:rFonts w:hint="cs"/>
          <w:rtl/>
        </w:rPr>
      </w:pPr>
      <w:r w:rsidRPr="00FC2685">
        <w:rPr>
          <w:rFonts w:hint="cs"/>
          <w:rtl/>
        </w:rPr>
        <w:tab/>
        <w:t>(أ)</w:t>
      </w:r>
      <w:r w:rsidRPr="00FC2685">
        <w:rPr>
          <w:rFonts w:hint="cs"/>
          <w:rtl/>
        </w:rPr>
        <w:tab/>
        <w:t>البروتوكول الاختياري لاتفاقية مناهضة التعذيب وغيره من ضروب المعاملة أو العقوبة القاسية أو اللاإنسانية أو المهينة (20 تموز/يوليه 2010)؛</w:t>
      </w:r>
    </w:p>
    <w:p w:rsidR="00FC2685" w:rsidRPr="00FC2685" w:rsidRDefault="00FC2685" w:rsidP="00086AA1">
      <w:pPr>
        <w:pStyle w:val="SingleTxtGA"/>
        <w:spacing w:line="360" w:lineRule="exact"/>
        <w:rPr>
          <w:rFonts w:hint="cs"/>
          <w:rtl/>
        </w:rPr>
      </w:pPr>
      <w:r w:rsidRPr="00FC2685">
        <w:rPr>
          <w:rFonts w:hint="cs"/>
          <w:rtl/>
        </w:rPr>
        <w:tab/>
        <w:t>(ب)</w:t>
      </w:r>
      <w:r w:rsidRPr="00FC2685">
        <w:rPr>
          <w:rFonts w:hint="cs"/>
          <w:rtl/>
        </w:rPr>
        <w:tab/>
        <w:t>اتفاقية حقوق الأشخاص ذوي الإعاقة (1 آذار/مارس 2011)؛</w:t>
      </w:r>
    </w:p>
    <w:p w:rsidR="00FC2685" w:rsidRPr="00FC2685" w:rsidRDefault="00FC2685" w:rsidP="00086AA1">
      <w:pPr>
        <w:pStyle w:val="SingleTxtGA"/>
        <w:spacing w:line="360" w:lineRule="exact"/>
        <w:rPr>
          <w:rFonts w:hint="cs"/>
          <w:rtl/>
        </w:rPr>
      </w:pPr>
      <w:r w:rsidRPr="00FC2685">
        <w:rPr>
          <w:rFonts w:hint="cs"/>
          <w:rtl/>
        </w:rPr>
        <w:tab/>
        <w:t>(ج)</w:t>
      </w:r>
      <w:r w:rsidRPr="00FC2685">
        <w:rPr>
          <w:rFonts w:hint="cs"/>
          <w:rtl/>
        </w:rPr>
        <w:tab/>
        <w:t>البروتوكول الاختياري لاتفاقية حقوق الأشخاص ذوي الإعاقة (1 آذار/</w:t>
      </w:r>
      <w:r w:rsidR="009948BE">
        <w:rPr>
          <w:rFonts w:hint="cs"/>
          <w:rtl/>
        </w:rPr>
        <w:t xml:space="preserve"> </w:t>
      </w:r>
      <w:r w:rsidRPr="00FC2685">
        <w:rPr>
          <w:rFonts w:hint="cs"/>
          <w:rtl/>
        </w:rPr>
        <w:t>مارس 2011).</w:t>
      </w:r>
    </w:p>
    <w:p w:rsidR="00FC2685" w:rsidRPr="00FC2685" w:rsidRDefault="009948BE" w:rsidP="00086AA1">
      <w:pPr>
        <w:pStyle w:val="SingleTxtGA"/>
        <w:spacing w:line="360" w:lineRule="exact"/>
        <w:rPr>
          <w:rFonts w:hint="cs"/>
          <w:rtl/>
        </w:rPr>
      </w:pPr>
      <w:r>
        <w:rPr>
          <w:rFonts w:hint="cs"/>
          <w:rtl/>
        </w:rPr>
        <w:t>(</w:t>
      </w:r>
      <w:r w:rsidR="00FC2685" w:rsidRPr="00FC2685">
        <w:rPr>
          <w:rFonts w:hint="cs"/>
          <w:rtl/>
        </w:rPr>
        <w:t>5</w:t>
      </w:r>
      <w:r>
        <w:rPr>
          <w:rFonts w:hint="cs"/>
          <w:rtl/>
        </w:rPr>
        <w:t>)</w:t>
      </w:r>
      <w:r w:rsidR="00FC2685" w:rsidRPr="00FC2685">
        <w:rPr>
          <w:rFonts w:hint="cs"/>
          <w:rtl/>
        </w:rPr>
        <w:tab/>
        <w:t>وترحب اللجنة بالجهود التي بذلتها الدولة الطرف لمراجعة التشريعات ذات الصلة في المجالات التي تتعلق بالاتفاقية، ولا سيما التشريعات التالية:</w:t>
      </w:r>
    </w:p>
    <w:p w:rsidR="00FC2685" w:rsidRPr="00FC2685" w:rsidRDefault="00FC2685" w:rsidP="00086AA1">
      <w:pPr>
        <w:pStyle w:val="SingleTxtGA"/>
        <w:spacing w:line="360" w:lineRule="exact"/>
        <w:rPr>
          <w:rFonts w:hint="cs"/>
          <w:rtl/>
        </w:rPr>
      </w:pPr>
      <w:r w:rsidRPr="00FC2685">
        <w:rPr>
          <w:rFonts w:hint="cs"/>
          <w:rtl/>
        </w:rPr>
        <w:tab/>
        <w:t>(أ)</w:t>
      </w:r>
      <w:r w:rsidRPr="00FC2685">
        <w:rPr>
          <w:rFonts w:hint="cs"/>
          <w:rtl/>
        </w:rPr>
        <w:tab/>
        <w:t>القانون رقم 2007-017 المؤرخ 6 تموز/يوليه 2007 والمتعلق بقانون حقوق الطفل في توغو؛</w:t>
      </w:r>
    </w:p>
    <w:p w:rsidR="00FC2685" w:rsidRPr="00FC2685" w:rsidRDefault="00FC2685" w:rsidP="00086AA1">
      <w:pPr>
        <w:pStyle w:val="SingleTxtGA"/>
        <w:spacing w:line="360" w:lineRule="exact"/>
        <w:rPr>
          <w:rFonts w:hint="cs"/>
          <w:rtl/>
        </w:rPr>
      </w:pPr>
      <w:r w:rsidRPr="00FC2685">
        <w:rPr>
          <w:rFonts w:hint="cs"/>
          <w:rtl/>
        </w:rPr>
        <w:tab/>
        <w:t>(ب)</w:t>
      </w:r>
      <w:r w:rsidRPr="00FC2685">
        <w:rPr>
          <w:rFonts w:hint="cs"/>
          <w:rtl/>
        </w:rPr>
        <w:tab/>
        <w:t>القانون 2009-011 المؤرخ 24 تموز/يوليه 2009 والمتعلق بإلغاء عقوبة</w:t>
      </w:r>
      <w:r w:rsidR="00A83CF9">
        <w:rPr>
          <w:rFonts w:hint="eastAsia"/>
          <w:rtl/>
        </w:rPr>
        <w:t> </w:t>
      </w:r>
      <w:r w:rsidRPr="00FC2685">
        <w:rPr>
          <w:rFonts w:hint="cs"/>
          <w:rtl/>
        </w:rPr>
        <w:t>الإعدام.</w:t>
      </w:r>
    </w:p>
    <w:p w:rsidR="00FC2685" w:rsidRPr="00FC2685" w:rsidRDefault="0036489C" w:rsidP="00086AA1">
      <w:pPr>
        <w:pStyle w:val="SingleTxtGA"/>
        <w:spacing w:line="360" w:lineRule="exact"/>
        <w:rPr>
          <w:rFonts w:hint="cs"/>
          <w:rtl/>
        </w:rPr>
      </w:pPr>
      <w:r>
        <w:rPr>
          <w:rFonts w:hint="cs"/>
          <w:rtl/>
        </w:rPr>
        <w:t>(</w:t>
      </w:r>
      <w:r w:rsidR="00FC2685" w:rsidRPr="00FC2685">
        <w:rPr>
          <w:rFonts w:hint="cs"/>
          <w:rtl/>
        </w:rPr>
        <w:t>6</w:t>
      </w:r>
      <w:r>
        <w:rPr>
          <w:rFonts w:hint="cs"/>
          <w:rtl/>
        </w:rPr>
        <w:t>)</w:t>
      </w:r>
      <w:r w:rsidR="00FC2685" w:rsidRPr="00FC2685">
        <w:rPr>
          <w:rFonts w:hint="cs"/>
          <w:rtl/>
        </w:rPr>
        <w:tab/>
        <w:t>وتحيط اللجنة علماً بالمبادرات التي اتخذتها الدولة الطرف لتعديل سياساتها وبرامجها وإجراءاتها الإدارية من أجل تنفيذ الاتفاقية، ولا سيما ما يلي:</w:t>
      </w:r>
    </w:p>
    <w:p w:rsidR="00FC2685" w:rsidRPr="00FC2685" w:rsidRDefault="00FC2685" w:rsidP="00086AA1">
      <w:pPr>
        <w:pStyle w:val="SingleTxtGA"/>
        <w:spacing w:line="360" w:lineRule="exact"/>
        <w:rPr>
          <w:rFonts w:hint="cs"/>
          <w:rtl/>
        </w:rPr>
      </w:pPr>
      <w:r w:rsidRPr="00FC2685">
        <w:rPr>
          <w:rFonts w:hint="cs"/>
          <w:rtl/>
        </w:rPr>
        <w:tab/>
        <w:t>(أ)</w:t>
      </w:r>
      <w:r w:rsidRPr="00FC2685">
        <w:rPr>
          <w:rFonts w:hint="cs"/>
          <w:rtl/>
        </w:rPr>
        <w:tab/>
        <w:t>اعتماد الخطة الوطنية لمكافحة الاتجار بالأشخاص عامة وبالنساء وبالأطفال خاصة، في عام 2007؛</w:t>
      </w:r>
    </w:p>
    <w:p w:rsidR="00FC2685" w:rsidRPr="00FC2685" w:rsidRDefault="00FC2685" w:rsidP="00086AA1">
      <w:pPr>
        <w:pStyle w:val="SingleTxtGA"/>
        <w:spacing w:line="360" w:lineRule="exact"/>
        <w:rPr>
          <w:rFonts w:hint="cs"/>
          <w:rtl/>
        </w:rPr>
      </w:pPr>
      <w:r w:rsidRPr="00FC2685">
        <w:rPr>
          <w:rFonts w:hint="cs"/>
          <w:rtl/>
        </w:rPr>
        <w:tab/>
        <w:t>(ب)</w:t>
      </w:r>
      <w:r w:rsidRPr="00FC2685">
        <w:rPr>
          <w:rFonts w:hint="cs"/>
          <w:rtl/>
        </w:rPr>
        <w:tab/>
        <w:t>التوقيع على الاتفاق الثلاثي المبرم بين بنن وتوغو ومفوضية الأمم المتحدة لشؤون اللاجئين، في 3 نيسان/أبريل 2007؛</w:t>
      </w:r>
    </w:p>
    <w:p w:rsidR="00FC2685" w:rsidRPr="00FC2685" w:rsidRDefault="00FC2685" w:rsidP="00086AA1">
      <w:pPr>
        <w:pStyle w:val="SingleTxtGA"/>
        <w:spacing w:line="360" w:lineRule="exact"/>
        <w:rPr>
          <w:rFonts w:hint="cs"/>
          <w:rtl/>
        </w:rPr>
      </w:pPr>
      <w:r w:rsidRPr="00FC2685">
        <w:rPr>
          <w:rFonts w:hint="cs"/>
          <w:rtl/>
        </w:rPr>
        <w:tab/>
        <w:t>(ج)</w:t>
      </w:r>
      <w:r w:rsidRPr="00FC2685">
        <w:rPr>
          <w:rFonts w:hint="cs"/>
          <w:rtl/>
        </w:rPr>
        <w:tab/>
        <w:t>التوقيع على الاتفاق الثلاثي المبرم بين غانا وتوغو ومفوضية الأمم المتحدة لشؤون اللاجئين، في 11 نيسان/أبريل 2007؛</w:t>
      </w:r>
    </w:p>
    <w:p w:rsidR="00FC2685" w:rsidRPr="00FC2685" w:rsidRDefault="00FC2685" w:rsidP="00086AA1">
      <w:pPr>
        <w:pStyle w:val="SingleTxtGA"/>
        <w:spacing w:line="360" w:lineRule="exact"/>
        <w:rPr>
          <w:rFonts w:hint="cs"/>
          <w:rtl/>
        </w:rPr>
      </w:pPr>
      <w:r w:rsidRPr="00FC2685">
        <w:rPr>
          <w:rFonts w:hint="cs"/>
          <w:rtl/>
        </w:rPr>
        <w:tab/>
        <w:t>(د)</w:t>
      </w:r>
      <w:r w:rsidRPr="00FC2685">
        <w:rPr>
          <w:rFonts w:hint="cs"/>
          <w:rtl/>
        </w:rPr>
        <w:tab/>
        <w:t>إنشاء لجنة تقصي الحقائق والعدالة والمصالحة في 25 شباط/فبراير 2009؛</w:t>
      </w:r>
    </w:p>
    <w:p w:rsidR="00FC2685" w:rsidRPr="00FC2685" w:rsidRDefault="00FC2685" w:rsidP="00086AA1">
      <w:pPr>
        <w:pStyle w:val="SingleTxtGA"/>
        <w:spacing w:line="360" w:lineRule="exact"/>
        <w:rPr>
          <w:rFonts w:hint="cs"/>
          <w:rtl/>
        </w:rPr>
      </w:pPr>
      <w:r w:rsidRPr="00FC2685">
        <w:rPr>
          <w:rFonts w:hint="cs"/>
          <w:rtl/>
        </w:rPr>
        <w:tab/>
        <w:t>(ﻫ)</w:t>
      </w:r>
      <w:r w:rsidRPr="00FC2685">
        <w:rPr>
          <w:rFonts w:hint="cs"/>
          <w:rtl/>
        </w:rPr>
        <w:tab/>
        <w:t>إعداد "دليل الممارسات الجيدة لحماية الأحداث الجانحين في توغو"، في 2 تموز/يوليه 2010؛</w:t>
      </w:r>
    </w:p>
    <w:p w:rsidR="00FC2685" w:rsidRPr="00FC2685" w:rsidRDefault="00FC2685" w:rsidP="00086AA1">
      <w:pPr>
        <w:pStyle w:val="SingleTxtGA"/>
        <w:spacing w:line="360" w:lineRule="exact"/>
        <w:rPr>
          <w:rFonts w:hint="cs"/>
          <w:rtl/>
        </w:rPr>
      </w:pPr>
      <w:r w:rsidRPr="00FC2685">
        <w:rPr>
          <w:rFonts w:hint="cs"/>
          <w:rtl/>
        </w:rPr>
        <w:tab/>
        <w:t>(و)</w:t>
      </w:r>
      <w:r w:rsidRPr="00FC2685">
        <w:rPr>
          <w:rFonts w:hint="cs"/>
          <w:rtl/>
        </w:rPr>
        <w:tab/>
        <w:t>نشر تقرير اللجنة الوطنية لحقوق الإنسان في 27 شباط/فبراير 2012، التي كلفها وزير العدل بالتحقيق في ادعاءات التعذيب وإساءة المعاملة في مقار وكالة الاستخبارات الوطنية.</w:t>
      </w:r>
    </w:p>
    <w:p w:rsidR="00FC2685" w:rsidRPr="00040E72" w:rsidRDefault="00A83CF9" w:rsidP="00A83CF9">
      <w:pPr>
        <w:pStyle w:val="H23GA"/>
        <w:tabs>
          <w:tab w:val="left" w:pos="1940"/>
        </w:tabs>
        <w:rPr>
          <w:rFonts w:hint="cs"/>
          <w:rtl/>
        </w:rPr>
      </w:pPr>
      <w:r>
        <w:rPr>
          <w:rFonts w:hint="cs"/>
          <w:rtl/>
        </w:rPr>
        <w:tab/>
      </w:r>
      <w:r>
        <w:rPr>
          <w:rFonts w:hint="cs"/>
          <w:rtl/>
        </w:rPr>
        <w:tab/>
      </w:r>
      <w:r w:rsidR="00FC2685" w:rsidRPr="00040E72">
        <w:rPr>
          <w:rFonts w:hint="cs"/>
          <w:rtl/>
        </w:rPr>
        <w:t>جيم-</w:t>
      </w:r>
      <w:r w:rsidR="00FC2685" w:rsidRPr="00040E72">
        <w:rPr>
          <w:rFonts w:hint="cs"/>
          <w:rtl/>
        </w:rPr>
        <w:tab/>
        <w:t>دواعي القلق الرئيسية والتوصيات</w:t>
      </w:r>
    </w:p>
    <w:p w:rsidR="00FC2685" w:rsidRPr="00FC2685" w:rsidRDefault="00FC2685" w:rsidP="00086AA1">
      <w:pPr>
        <w:pStyle w:val="H23GA"/>
        <w:spacing w:line="364" w:lineRule="exact"/>
        <w:rPr>
          <w:rFonts w:hint="cs"/>
          <w:rtl/>
        </w:rPr>
      </w:pPr>
      <w:r w:rsidRPr="00FC2685">
        <w:rPr>
          <w:rFonts w:hint="cs"/>
          <w:rtl/>
        </w:rPr>
        <w:tab/>
      </w:r>
      <w:r w:rsidRPr="00FC2685">
        <w:rPr>
          <w:rFonts w:hint="cs"/>
          <w:rtl/>
        </w:rPr>
        <w:tab/>
        <w:t>تعريف التعذيب وتجريمه</w:t>
      </w:r>
    </w:p>
    <w:p w:rsidR="00FC2685" w:rsidRPr="00FC2685" w:rsidRDefault="00040E72" w:rsidP="00086AA1">
      <w:pPr>
        <w:pStyle w:val="SingleTxtGA"/>
        <w:spacing w:line="364" w:lineRule="exact"/>
        <w:rPr>
          <w:rFonts w:hint="cs"/>
          <w:rtl/>
        </w:rPr>
      </w:pPr>
      <w:r>
        <w:rPr>
          <w:rFonts w:hint="cs"/>
          <w:rtl/>
        </w:rPr>
        <w:t>(</w:t>
      </w:r>
      <w:r w:rsidR="00FC2685" w:rsidRPr="00FC2685">
        <w:rPr>
          <w:rFonts w:hint="cs"/>
          <w:rtl/>
        </w:rPr>
        <w:t>7</w:t>
      </w:r>
      <w:r>
        <w:rPr>
          <w:rFonts w:hint="cs"/>
          <w:rtl/>
        </w:rPr>
        <w:t>)</w:t>
      </w:r>
      <w:r w:rsidR="00FC2685" w:rsidRPr="00FC2685">
        <w:rPr>
          <w:rFonts w:hint="cs"/>
          <w:rtl/>
        </w:rPr>
        <w:tab/>
        <w:t xml:space="preserve">تلاحظ اللجنة مع القلق أن الدولة الطرف لم تعتمد بعد أحكاماً جنائية تُعرّف التعذيب بشكل صريح وتُجرّمه (المادتان 1 و4)، بعد مرور ست سنوات على إنشاء اللجنة الوطنية لتحديث التشريعات و25 عاماً منذ التصديق على الاتفاقية. </w:t>
      </w:r>
    </w:p>
    <w:p w:rsidR="00FC2685" w:rsidRPr="00040E72" w:rsidRDefault="00FC2685" w:rsidP="00086AA1">
      <w:pPr>
        <w:pStyle w:val="SingleTxtGA"/>
        <w:spacing w:line="364" w:lineRule="exact"/>
        <w:rPr>
          <w:rFonts w:hint="cs"/>
          <w:b/>
          <w:bCs/>
          <w:rtl/>
        </w:rPr>
      </w:pPr>
      <w:r w:rsidRPr="00040E72">
        <w:rPr>
          <w:rFonts w:hint="cs"/>
          <w:b/>
          <w:bCs/>
          <w:rtl/>
        </w:rPr>
        <w:tab/>
        <w:t>توصي اللجنة الدولة الطرف باتخاذ التدابير اللازمة لإدراج جميع مكونات تعريف التعذيب الواردة في المادة الأولى من الاتفاقية في قانون العقوبات لديها، وكذلك الأحكام التي تجرم أعمال التعذيب وتعاقب عليها بعقوبات تتناسب مع خطورتها.</w:t>
      </w:r>
    </w:p>
    <w:p w:rsidR="00FC2685" w:rsidRPr="00FC2685" w:rsidRDefault="00FC2685" w:rsidP="00086AA1">
      <w:pPr>
        <w:pStyle w:val="H23GA"/>
        <w:spacing w:line="364" w:lineRule="exact"/>
        <w:rPr>
          <w:rFonts w:hint="cs"/>
          <w:rtl/>
        </w:rPr>
      </w:pPr>
      <w:r w:rsidRPr="00FC2685">
        <w:rPr>
          <w:rFonts w:hint="cs"/>
          <w:rtl/>
        </w:rPr>
        <w:tab/>
      </w:r>
      <w:r w:rsidRPr="00FC2685">
        <w:rPr>
          <w:rFonts w:hint="cs"/>
          <w:rtl/>
        </w:rPr>
        <w:tab/>
        <w:t>الإصلاحات التشريعية</w:t>
      </w:r>
    </w:p>
    <w:p w:rsidR="00FC2685" w:rsidRPr="00FC2685" w:rsidRDefault="00040E72" w:rsidP="00086AA1">
      <w:pPr>
        <w:pStyle w:val="SingleTxtGA"/>
        <w:spacing w:line="364" w:lineRule="exact"/>
        <w:rPr>
          <w:rFonts w:hint="cs"/>
          <w:rtl/>
        </w:rPr>
      </w:pPr>
      <w:r>
        <w:rPr>
          <w:rFonts w:hint="cs"/>
          <w:rtl/>
        </w:rPr>
        <w:t>(</w:t>
      </w:r>
      <w:r w:rsidR="00FC2685" w:rsidRPr="00FC2685">
        <w:rPr>
          <w:rFonts w:hint="cs"/>
          <w:rtl/>
        </w:rPr>
        <w:t>8</w:t>
      </w:r>
      <w:r>
        <w:rPr>
          <w:rFonts w:hint="cs"/>
          <w:rtl/>
        </w:rPr>
        <w:t>)</w:t>
      </w:r>
      <w:r w:rsidR="00FC2685" w:rsidRPr="00FC2685">
        <w:rPr>
          <w:rFonts w:hint="cs"/>
          <w:rtl/>
        </w:rPr>
        <w:tab/>
        <w:t>في حين تلاحظ اللجنة اعتماد مجلس الوزراء مشروع قانون العقوبات في تشرين الثاني/نوفمبر 2012، فإنها ما زالت تشعر بالقلق، على غرار ما أعربت عنه في ملاحظاتها الختامية السابقة التي اعتمدتها في عام 2006، لعدم اس</w:t>
      </w:r>
      <w:r>
        <w:rPr>
          <w:rFonts w:hint="cs"/>
          <w:rtl/>
        </w:rPr>
        <w:t xml:space="preserve">تكمال الإصلاحات التشريعية، </w:t>
      </w:r>
      <w:r w:rsidR="00FC2685" w:rsidRPr="00FC2685">
        <w:rPr>
          <w:rFonts w:hint="cs"/>
          <w:rtl/>
        </w:rPr>
        <w:t>ولا</w:t>
      </w:r>
      <w:r>
        <w:rPr>
          <w:rFonts w:hint="eastAsia"/>
          <w:rtl/>
        </w:rPr>
        <w:t> </w:t>
      </w:r>
      <w:r w:rsidR="00FC2685" w:rsidRPr="00FC2685">
        <w:rPr>
          <w:rFonts w:hint="cs"/>
          <w:rtl/>
        </w:rPr>
        <w:t>سيما اعتماد قانون العقوبات وقانون الإجراءات الجنائية الجديدين (المواد 1 و2 و4).</w:t>
      </w:r>
    </w:p>
    <w:p w:rsidR="00FC2685" w:rsidRPr="00040E72" w:rsidRDefault="00FC2685" w:rsidP="00086AA1">
      <w:pPr>
        <w:pStyle w:val="SingleTxtGA"/>
        <w:spacing w:line="364" w:lineRule="exact"/>
        <w:rPr>
          <w:rFonts w:hint="cs"/>
          <w:b/>
          <w:bCs/>
          <w:rtl/>
        </w:rPr>
      </w:pPr>
      <w:r w:rsidRPr="00040E72">
        <w:rPr>
          <w:rFonts w:hint="cs"/>
          <w:b/>
          <w:bCs/>
          <w:rtl/>
        </w:rPr>
        <w:tab/>
        <w:t>ينبغي للدولة الطرف أن تسرع في عملية الإصلاح التشريعي وأن تتخذ التدابير اللازمة لسن قانون العقوبات وقانون الإجراءات الجنائية الجديدين في أقرب الآجال واعتمادهما لردم الفجوة القانونية القائمة في مجال التعذيب.</w:t>
      </w:r>
    </w:p>
    <w:p w:rsidR="00FC2685" w:rsidRPr="00FC2685" w:rsidRDefault="00FC2685" w:rsidP="00086AA1">
      <w:pPr>
        <w:pStyle w:val="H23GA"/>
        <w:spacing w:line="364" w:lineRule="exact"/>
        <w:rPr>
          <w:rFonts w:hint="cs"/>
          <w:rtl/>
        </w:rPr>
      </w:pPr>
      <w:r w:rsidRPr="00FC2685">
        <w:rPr>
          <w:rFonts w:hint="cs"/>
          <w:rtl/>
        </w:rPr>
        <w:tab/>
      </w:r>
      <w:r w:rsidRPr="00FC2685">
        <w:rPr>
          <w:rFonts w:hint="cs"/>
          <w:rtl/>
        </w:rPr>
        <w:tab/>
        <w:t>الادعاءات بالتعذيب وإساءة المعاملة</w:t>
      </w:r>
    </w:p>
    <w:p w:rsidR="00FC2685" w:rsidRPr="00FC2685" w:rsidRDefault="00040E72" w:rsidP="00086AA1">
      <w:pPr>
        <w:pStyle w:val="SingleTxtGA"/>
        <w:spacing w:line="364" w:lineRule="exact"/>
        <w:rPr>
          <w:rFonts w:hint="cs"/>
          <w:rtl/>
        </w:rPr>
      </w:pPr>
      <w:r>
        <w:rPr>
          <w:rFonts w:hint="cs"/>
          <w:rtl/>
        </w:rPr>
        <w:t>(</w:t>
      </w:r>
      <w:r w:rsidR="00FC2685" w:rsidRPr="00FC2685">
        <w:rPr>
          <w:rFonts w:hint="cs"/>
          <w:rtl/>
        </w:rPr>
        <w:t>9</w:t>
      </w:r>
      <w:r>
        <w:rPr>
          <w:rFonts w:hint="cs"/>
          <w:rtl/>
        </w:rPr>
        <w:t>)</w:t>
      </w:r>
      <w:r w:rsidR="00FC2685" w:rsidRPr="00FC2685">
        <w:rPr>
          <w:rFonts w:hint="cs"/>
          <w:rtl/>
        </w:rPr>
        <w:tab/>
        <w:t>يساور اللجنة القلق إزاء ادعاءات التعذيب وإساءة المعاملة أثناء الاحتجاز، ولا سيما بحق الأشخاص الموقوفين والمحتجزين في وحدات التحقيق ومراكز الشرطة ومقارّ كتائب الدرك، ومقار وكالة الاستخبارات الوطنية، وهي ثكنة يديرها الحرس الرئاسي وغيرها من أماكن الاحتجاز، بما في ذلك أماكن الاحتجاز غير الرسمية. ويساور اللجنة بالغ القلق إزاء استنتاج اللجنة الوطنية لحقوق الإنسان في تقريرها "ارتكاب أعمال عنف بدنية ومعنوية تكتسي طابعاً لا إنسانياً ومهيناً"، وهي أعمال تزعم اللجنة ارتكابها في مقار وكالة الاستخبارات الوطنية وغيرها من أماكن الاحتجاز في حق الأشخاص الذين يُدعى ارتباطهم بمحاولة الانقلاب العسكري في عام 2009. وتعرب اللجنة عن قلقها أيضاً إزاء عدم بدء نفاذ قانون الإجراءات الجنائية الجديد، الذي تُلغي أحكامه الاعترافات المنتزعة تحت التعذيب (المواد 2 و11 و15 و16).</w:t>
      </w:r>
    </w:p>
    <w:p w:rsidR="00FC2685" w:rsidRPr="00040E72" w:rsidRDefault="00FC2685" w:rsidP="00086AA1">
      <w:pPr>
        <w:pStyle w:val="SingleTxtGA"/>
        <w:spacing w:line="364" w:lineRule="exact"/>
        <w:rPr>
          <w:rFonts w:hint="cs"/>
          <w:b/>
          <w:bCs/>
          <w:rtl/>
        </w:rPr>
      </w:pPr>
      <w:r w:rsidRPr="00040E72">
        <w:rPr>
          <w:rFonts w:hint="cs"/>
          <w:b/>
          <w:bCs/>
          <w:rtl/>
        </w:rPr>
        <w:tab/>
        <w:t>ينبغي للدولة الطرف أن تقوم بما يلي:</w:t>
      </w:r>
    </w:p>
    <w:p w:rsidR="00FC2685" w:rsidRPr="00040E72" w:rsidRDefault="00FC2685" w:rsidP="00086AA1">
      <w:pPr>
        <w:pStyle w:val="SingleTxtGA"/>
        <w:spacing w:line="364" w:lineRule="exact"/>
        <w:rPr>
          <w:rFonts w:hint="cs"/>
          <w:b/>
          <w:bCs/>
          <w:rtl/>
        </w:rPr>
      </w:pPr>
      <w:r w:rsidRPr="00040E72">
        <w:rPr>
          <w:rFonts w:hint="cs"/>
          <w:b/>
          <w:bCs/>
          <w:rtl/>
        </w:rPr>
        <w:tab/>
        <w:t>(أ)</w:t>
      </w:r>
      <w:r w:rsidRPr="00040E72">
        <w:rPr>
          <w:rFonts w:hint="cs"/>
          <w:b/>
          <w:bCs/>
          <w:rtl/>
        </w:rPr>
        <w:tab/>
        <w:t>إصدار تعليمات واضحة إلى مسؤولي قوات الأمن (الشرطة والدرك) بشأن الحظر المطلق للتعذيب وتجريمه، وبشأن عدم التسامح إزاء هذه الأعمال ومقاضاة</w:t>
      </w:r>
      <w:r w:rsidR="00040E72">
        <w:rPr>
          <w:rFonts w:hint="eastAsia"/>
          <w:b/>
          <w:bCs/>
          <w:rtl/>
        </w:rPr>
        <w:t> </w:t>
      </w:r>
      <w:r w:rsidRPr="00040E72">
        <w:rPr>
          <w:rFonts w:hint="cs"/>
          <w:b/>
          <w:bCs/>
          <w:rtl/>
        </w:rPr>
        <w:t>الجناة؛</w:t>
      </w:r>
    </w:p>
    <w:p w:rsidR="00FC2685" w:rsidRPr="00040E72" w:rsidRDefault="00FC2685" w:rsidP="00040E72">
      <w:pPr>
        <w:pStyle w:val="SingleTxtGA"/>
        <w:rPr>
          <w:rFonts w:hint="cs"/>
          <w:b/>
          <w:bCs/>
          <w:rtl/>
        </w:rPr>
      </w:pPr>
      <w:r w:rsidRPr="00040E72">
        <w:rPr>
          <w:rFonts w:hint="cs"/>
          <w:b/>
          <w:bCs/>
          <w:rtl/>
        </w:rPr>
        <w:tab/>
        <w:t>(ب)</w:t>
      </w:r>
      <w:r w:rsidRPr="00040E72">
        <w:rPr>
          <w:rFonts w:hint="cs"/>
          <w:b/>
          <w:bCs/>
          <w:rtl/>
        </w:rPr>
        <w:tab/>
        <w:t>اتخاذ تدابير فعالة للإسراع في إجراء تحقيقات شاملة وفورية ومستقلة ومحايدة بشأن جميع ادعاءات التعذيب وإساءة المعاملة، وإحالة الجناة إلى العدالة، التي يتعين عليها مقاضاتهم بالعقوبات المناسبة وفقاً للأحكام الجنائية السارية ذات الصلة ونشر</w:t>
      </w:r>
      <w:r w:rsidR="00040E72">
        <w:rPr>
          <w:rFonts w:hint="eastAsia"/>
          <w:b/>
          <w:bCs/>
          <w:rtl/>
        </w:rPr>
        <w:t> </w:t>
      </w:r>
      <w:r w:rsidRPr="00040E72">
        <w:rPr>
          <w:rFonts w:hint="cs"/>
          <w:b/>
          <w:bCs/>
          <w:rtl/>
        </w:rPr>
        <w:t>النتائج؛</w:t>
      </w:r>
    </w:p>
    <w:p w:rsidR="00FC2685" w:rsidRPr="00040E72" w:rsidRDefault="00FC2685" w:rsidP="00040E72">
      <w:pPr>
        <w:pStyle w:val="SingleTxtGA"/>
        <w:rPr>
          <w:rFonts w:hint="cs"/>
          <w:b/>
          <w:bCs/>
          <w:rtl/>
        </w:rPr>
      </w:pPr>
      <w:r w:rsidRPr="00040E72">
        <w:rPr>
          <w:rFonts w:hint="cs"/>
          <w:b/>
          <w:bCs/>
          <w:rtl/>
        </w:rPr>
        <w:tab/>
        <w:t>(ج)</w:t>
      </w:r>
      <w:r w:rsidRPr="00040E72">
        <w:rPr>
          <w:rFonts w:hint="cs"/>
          <w:b/>
          <w:bCs/>
          <w:rtl/>
        </w:rPr>
        <w:tab/>
        <w:t>إسراع البرلمان في اعتماد قانون العقوبات الجديد وقانون الإجراءات الجنائية الجديد وضمان إلغاء الاعترافات المنتزعة تحت التعذيب وما يستتبعها من إجراءات لاحقة، وتوعية القضاة بعدم قبول الاعترافات المنتزعة تحت التعذيب ووجوب فتح تحقيقات عند إبلاغهم بهذه الادعاءات.</w:t>
      </w:r>
    </w:p>
    <w:p w:rsidR="00FC2685" w:rsidRPr="00FC2685" w:rsidRDefault="00FC2685" w:rsidP="00040E72">
      <w:pPr>
        <w:pStyle w:val="H23GA"/>
        <w:rPr>
          <w:rFonts w:hint="cs"/>
          <w:rtl/>
        </w:rPr>
      </w:pPr>
      <w:r w:rsidRPr="00FC2685">
        <w:rPr>
          <w:rFonts w:hint="cs"/>
          <w:rtl/>
        </w:rPr>
        <w:tab/>
      </w:r>
      <w:r w:rsidRPr="00FC2685">
        <w:rPr>
          <w:rFonts w:hint="cs"/>
          <w:rtl/>
        </w:rPr>
        <w:tab/>
        <w:t>الضمانات القانونية الأساسية</w:t>
      </w:r>
    </w:p>
    <w:p w:rsidR="00FC2685" w:rsidRPr="00FC2685" w:rsidRDefault="00040E72" w:rsidP="00040E72">
      <w:pPr>
        <w:pStyle w:val="SingleTxtGA"/>
        <w:rPr>
          <w:rFonts w:hint="cs"/>
          <w:rtl/>
        </w:rPr>
      </w:pPr>
      <w:r>
        <w:rPr>
          <w:rFonts w:hint="cs"/>
          <w:rtl/>
        </w:rPr>
        <w:t>(</w:t>
      </w:r>
      <w:r w:rsidR="00FC2685" w:rsidRPr="00FC2685">
        <w:rPr>
          <w:rFonts w:hint="cs"/>
          <w:rtl/>
        </w:rPr>
        <w:t>10</w:t>
      </w:r>
      <w:r>
        <w:rPr>
          <w:rFonts w:hint="cs"/>
          <w:rtl/>
        </w:rPr>
        <w:t>)</w:t>
      </w:r>
      <w:r w:rsidR="00FC2685" w:rsidRPr="00FC2685">
        <w:rPr>
          <w:rFonts w:hint="cs"/>
          <w:rtl/>
        </w:rPr>
        <w:tab/>
        <w:t>تعرب اللجنة عن القلق إزاء انتهاك الضمانات القانونية الأساسية للأشخاص الموقوفين وإزاء إمكانية ارتكاب عمليات توقيف واحتجاز تعسفية. ويساور اللجنة القلق من أن بعض عمليات التوقيف رهن المحاكمة تتجاوز الآجال القانونية، ولا سيما في المناطق التي تقع داخل البلد. وتشعر بالقلق أيضاً لأن التشريعات لا تتضمن الاستعانة بخدمات محامٍ إلا بداية من الساعة الخامسة والعشرين من الحرمان من الحرية ولأن المحامي لا تتاح له سوى 30 دقيقة للتشاور على انفراد بموكله. وتشعر اللجنة بالقلق أيضاً لعدم توفير المساعدة القانونية بطريقة آلية للأشخاص المعوزين منذ بداية الإجراءات، بل في مرحلة المحاكمة، وعدم حصول المشتبه فيهم دوماً على إمكانية استشارة قاضٍ أو طبيب أو الاتصال بأقاربهم مباشرة بعد توقيفهم (المادتان 2 و11).</w:t>
      </w:r>
    </w:p>
    <w:p w:rsidR="00FC2685" w:rsidRPr="00040E72" w:rsidRDefault="00FC2685" w:rsidP="00040E72">
      <w:pPr>
        <w:pStyle w:val="SingleTxtGA"/>
        <w:rPr>
          <w:rFonts w:hint="cs"/>
          <w:b/>
          <w:bCs/>
          <w:rtl/>
        </w:rPr>
      </w:pPr>
      <w:r w:rsidRPr="00040E72">
        <w:rPr>
          <w:rFonts w:hint="cs"/>
          <w:b/>
          <w:bCs/>
          <w:rtl/>
        </w:rPr>
        <w:tab/>
        <w:t>ينبغي للدولة الطرف أن تقوم بما يلي:</w:t>
      </w:r>
    </w:p>
    <w:p w:rsidR="00FC2685" w:rsidRPr="00040E72" w:rsidRDefault="00FC2685" w:rsidP="00040E72">
      <w:pPr>
        <w:pStyle w:val="SingleTxtGA"/>
        <w:rPr>
          <w:rFonts w:hint="cs"/>
          <w:b/>
          <w:bCs/>
          <w:rtl/>
        </w:rPr>
      </w:pPr>
      <w:r w:rsidRPr="00040E72">
        <w:rPr>
          <w:rFonts w:hint="cs"/>
          <w:b/>
          <w:bCs/>
          <w:rtl/>
        </w:rPr>
        <w:tab/>
        <w:t>(أ)</w:t>
      </w:r>
      <w:r w:rsidRPr="00040E72">
        <w:rPr>
          <w:rFonts w:hint="cs"/>
          <w:b/>
          <w:bCs/>
          <w:rtl/>
        </w:rPr>
        <w:tab/>
        <w:t>اتخاذ تدابير فورية فعالة تكفل استفادة كل شخص مجرّد من حريته من جميع الضمانات القانونية الأساسية منذ بداية التوقيف رهن المحاكمة، أي الحق في إبلاغه بأسباب توقيفه، والاتصال بسرعة بمحامٍ والحصول عند الاقتضاء على المساعدة القضائية؛</w:t>
      </w:r>
    </w:p>
    <w:p w:rsidR="00FC2685" w:rsidRPr="00040E72" w:rsidRDefault="00FC2685" w:rsidP="00040E72">
      <w:pPr>
        <w:pStyle w:val="SingleTxtGA"/>
        <w:rPr>
          <w:rFonts w:hint="cs"/>
          <w:b/>
          <w:bCs/>
          <w:rtl/>
        </w:rPr>
      </w:pPr>
      <w:r w:rsidRPr="00040E72">
        <w:rPr>
          <w:rFonts w:hint="cs"/>
          <w:b/>
          <w:bCs/>
          <w:rtl/>
        </w:rPr>
        <w:tab/>
        <w:t>(ب)</w:t>
      </w:r>
      <w:r w:rsidRPr="00040E72">
        <w:rPr>
          <w:rFonts w:hint="cs"/>
          <w:b/>
          <w:bCs/>
          <w:rtl/>
        </w:rPr>
        <w:tab/>
        <w:t>السهر على أن يحصل الموقوفون على فحص طبي مستقل أو على يد طبيب يختارونه، والاتصال بأحد أقاربهم، ومثولهم فوراً أمام قاضٍ وأن تنظر محكمة في شرعية توقيفهم وفقاً للمعايير الدولية؛</w:t>
      </w:r>
    </w:p>
    <w:p w:rsidR="00FC2685" w:rsidRPr="00040E72" w:rsidRDefault="00FC2685" w:rsidP="00040E72">
      <w:pPr>
        <w:pStyle w:val="SingleTxtGA"/>
        <w:rPr>
          <w:rFonts w:hint="cs"/>
          <w:b/>
          <w:bCs/>
          <w:rtl/>
        </w:rPr>
      </w:pPr>
      <w:r w:rsidRPr="00040E72">
        <w:rPr>
          <w:rFonts w:hint="cs"/>
          <w:b/>
          <w:bCs/>
          <w:rtl/>
        </w:rPr>
        <w:tab/>
        <w:t>(ج)</w:t>
      </w:r>
      <w:r w:rsidRPr="00040E72">
        <w:rPr>
          <w:rFonts w:hint="cs"/>
          <w:b/>
          <w:bCs/>
          <w:rtl/>
        </w:rPr>
        <w:tab/>
        <w:t>إخلاء سبيل جميع الأشخاص الموقوفين بطريقة غير قانونية أو تعسفاً ودفع تعويضات لهم؛</w:t>
      </w:r>
    </w:p>
    <w:p w:rsidR="00FC2685" w:rsidRPr="00040E72" w:rsidRDefault="00FC2685" w:rsidP="00040E72">
      <w:pPr>
        <w:pStyle w:val="SingleTxtGA"/>
        <w:rPr>
          <w:rFonts w:hint="cs"/>
          <w:b/>
          <w:bCs/>
          <w:rtl/>
        </w:rPr>
      </w:pPr>
      <w:r w:rsidRPr="00040E72">
        <w:rPr>
          <w:rFonts w:hint="cs"/>
          <w:b/>
          <w:bCs/>
          <w:rtl/>
        </w:rPr>
        <w:tab/>
        <w:t>(د)</w:t>
      </w:r>
      <w:r w:rsidRPr="00040E72">
        <w:rPr>
          <w:rFonts w:hint="cs"/>
          <w:b/>
          <w:bCs/>
          <w:rtl/>
        </w:rPr>
        <w:tab/>
        <w:t>استحداث إجراء في إطار قانون الإجراءات الجنائية يُمكّن ضحايا الأخطاء القضائية من الحصول على تعويضات.</w:t>
      </w:r>
    </w:p>
    <w:p w:rsidR="00FC2685" w:rsidRPr="00FC2685" w:rsidRDefault="00FC2685" w:rsidP="00040E72">
      <w:pPr>
        <w:pStyle w:val="H23GA"/>
        <w:rPr>
          <w:lang w:val="fr-CH"/>
        </w:rPr>
      </w:pPr>
      <w:r w:rsidRPr="00FC2685">
        <w:rPr>
          <w:rFonts w:hint="cs"/>
          <w:rtl/>
          <w:lang w:val="fr-CH"/>
        </w:rPr>
        <w:tab/>
      </w:r>
      <w:r w:rsidRPr="00FC2685">
        <w:rPr>
          <w:rFonts w:hint="cs"/>
          <w:rtl/>
          <w:lang w:val="fr-CH"/>
        </w:rPr>
        <w:tab/>
        <w:t>الإفلات من العقاب وإجراء التحقيقات</w:t>
      </w:r>
    </w:p>
    <w:p w:rsidR="00FC2685" w:rsidRPr="00FC2685" w:rsidRDefault="00040E72" w:rsidP="00040E72">
      <w:pPr>
        <w:pStyle w:val="SingleTxtGA"/>
        <w:rPr>
          <w:rFonts w:hint="cs"/>
          <w:rtl/>
          <w:lang w:val="fr-CH"/>
        </w:rPr>
      </w:pPr>
      <w:r>
        <w:rPr>
          <w:rFonts w:hint="cs"/>
          <w:rtl/>
          <w:lang w:val="fr-CH"/>
        </w:rPr>
        <w:t>(</w:t>
      </w:r>
      <w:r w:rsidR="00FC2685" w:rsidRPr="00FC2685">
        <w:rPr>
          <w:rFonts w:hint="cs"/>
          <w:rtl/>
          <w:lang w:val="fr-CH"/>
        </w:rPr>
        <w:t>11</w:t>
      </w:r>
      <w:r>
        <w:rPr>
          <w:rFonts w:hint="cs"/>
          <w:rtl/>
          <w:lang w:val="fr-CH"/>
        </w:rPr>
        <w:t>)</w:t>
      </w:r>
      <w:r w:rsidR="00FC2685" w:rsidRPr="00FC2685">
        <w:rPr>
          <w:rFonts w:hint="cs"/>
          <w:rtl/>
          <w:lang w:val="fr-CH"/>
        </w:rPr>
        <w:tab/>
        <w:t>يساور اللجنة بالغ القلق إزاء ما يلي:</w:t>
      </w:r>
    </w:p>
    <w:p w:rsidR="00FC2685" w:rsidRPr="00FC2685" w:rsidRDefault="00FC2685" w:rsidP="00040E72">
      <w:pPr>
        <w:pStyle w:val="SingleTxtGA"/>
        <w:rPr>
          <w:rFonts w:hint="cs"/>
          <w:rtl/>
          <w:lang w:val="fr-CH"/>
        </w:rPr>
      </w:pPr>
      <w:r w:rsidRPr="00FC2685">
        <w:rPr>
          <w:rFonts w:hint="cs"/>
          <w:rtl/>
          <w:lang w:val="fr-CH"/>
        </w:rPr>
        <w:tab/>
        <w:t>(أ)</w:t>
      </w:r>
      <w:r w:rsidRPr="00FC2685">
        <w:rPr>
          <w:rFonts w:hint="cs"/>
          <w:rtl/>
          <w:lang w:val="fr-CH"/>
        </w:rPr>
        <w:tab/>
        <w:t>إفلات مرتكبي أعمال التعذيب حالياً بصورة كاملة من العقاب وإزاء بيان الدولة الطرف بأنه لا تُتاح للقاضي في توغو حالياً أي نصوص قانونية لقمع التعذيب ولا يوجد بالتالي أي مثل لحكم في هذا الصدد. وتشعر اللجنة بالقلق إزاء معلومات تفيد بعدم تمكن أي محكمة إلى حد الآن من تطبيق أحكام الاتفاقية مباشرة، حتى في حالة إثبات أدلة أمام القاضي على ارتكاب أعمال تعذيب، بسبب عدم وجود نصوص تجرِّم الجناة وتعاقبهم. كما تشعر ببالغ القلق إزاء عدم ملاحقة مرتكبي أعمال التعذيب في مقار الوكالة الوطنية للاستخبارات في عام 2009 قضائياً إلى حد الآن بالرغم من أن الموقوفين ذكروا بالتفصيل أعمال التعذيب وإساءة المعاملة التي يزعمون أنهم تعرضوا لها أثناء توقيفهم، وكذلك أسماء الجناة؛</w:t>
      </w:r>
    </w:p>
    <w:p w:rsidR="00FC2685" w:rsidRPr="00A83CF9" w:rsidRDefault="00FC2685" w:rsidP="00040E72">
      <w:pPr>
        <w:pStyle w:val="SingleTxtGA"/>
        <w:rPr>
          <w:rFonts w:hint="cs"/>
          <w:spacing w:val="-2"/>
          <w:rtl/>
          <w:lang w:val="fr-CH"/>
        </w:rPr>
      </w:pPr>
      <w:r w:rsidRPr="00A83CF9">
        <w:rPr>
          <w:rFonts w:hint="cs"/>
          <w:spacing w:val="-2"/>
          <w:rtl/>
          <w:lang w:val="fr-CH"/>
        </w:rPr>
        <w:tab/>
        <w:t>(ب)</w:t>
      </w:r>
      <w:r w:rsidRPr="00A83CF9">
        <w:rPr>
          <w:rFonts w:hint="cs"/>
          <w:spacing w:val="-2"/>
          <w:rtl/>
          <w:lang w:val="fr-CH"/>
        </w:rPr>
        <w:tab/>
        <w:t>المعلومات التي تفيد بأن القضاة يرفضون التعامل مع قضايا التعذيب التي يُزعم ارتكابها على أيدي قوات الأمن، بما يسهم في إفلات الجناة من العقاب ويُمثل إنكاراً للعدالة بالنسبة إلى ضحايا أعمال التعذيب. وفضلاً عن ذلك، تشعر اللجنة بالقلق لعدم خضوع مزاعم التعذيب وإساءة المعاملة أثناء التوقيف لتحقيقات منتظمة وشاملة ومن ادعاءات تؤكد أن اتخاذ إجراءات تأديبية ضدّ مرتكبي التعذيب لا تتماشى مع خطورة أفعالهم؛</w:t>
      </w:r>
    </w:p>
    <w:p w:rsidR="00FC2685" w:rsidRPr="00FC2685" w:rsidRDefault="00FC2685" w:rsidP="00040E72">
      <w:pPr>
        <w:pStyle w:val="SingleTxtGA"/>
        <w:rPr>
          <w:rFonts w:hint="cs"/>
          <w:rtl/>
          <w:lang w:val="fr-CH"/>
        </w:rPr>
      </w:pPr>
      <w:r w:rsidRPr="00FC2685">
        <w:rPr>
          <w:rFonts w:hint="cs"/>
          <w:rtl/>
          <w:lang w:val="fr-CH"/>
        </w:rPr>
        <w:tab/>
        <w:t>(ج)</w:t>
      </w:r>
      <w:r w:rsidRPr="00FC2685">
        <w:rPr>
          <w:rFonts w:hint="cs"/>
          <w:rtl/>
          <w:lang w:val="fr-CH"/>
        </w:rPr>
        <w:tab/>
        <w:t xml:space="preserve">عدم تنفيذ 13 توصية من توصيات تقرير اللجنة الوطنية لحقوق الإنسان الصادر في 27 شباط/فبراير 2012، التي كلفتها الحكومة بالتحقيق في ادعاءات التعذيب وإساءة المعاملة، وبخاصة في مقار </w:t>
      </w:r>
      <w:r w:rsidRPr="00FC2685">
        <w:rPr>
          <w:rFonts w:hint="cs"/>
          <w:rtl/>
        </w:rPr>
        <w:t>وكالة الاستخبارات الوطنية</w:t>
      </w:r>
      <w:r w:rsidRPr="00FC2685">
        <w:rPr>
          <w:rFonts w:hint="cs"/>
          <w:rtl/>
          <w:lang w:val="fr-CH"/>
        </w:rPr>
        <w:t xml:space="preserve">، واحتفاظ الأشخاص الذين يُزعم ارتكابهم أعمال التعذيب هذه في مقار </w:t>
      </w:r>
      <w:r w:rsidRPr="00FC2685">
        <w:rPr>
          <w:rFonts w:hint="cs"/>
          <w:rtl/>
        </w:rPr>
        <w:t>وكالة الاستخبارات الوطنية</w:t>
      </w:r>
      <w:r w:rsidRPr="00FC2685">
        <w:rPr>
          <w:rFonts w:hint="cs"/>
          <w:rtl/>
          <w:lang w:val="fr-CH"/>
        </w:rPr>
        <w:t xml:space="preserve"> بمناصبهم بل ترقيتهم عقب </w:t>
      </w:r>
      <w:r w:rsidRPr="00FC2685">
        <w:rPr>
          <w:rFonts w:hint="cs"/>
          <w:rtl/>
          <w:lang/>
        </w:rPr>
        <w:t>وقفهم عن العمل ل</w:t>
      </w:r>
      <w:r w:rsidRPr="00FC2685">
        <w:rPr>
          <w:rFonts w:hint="cs"/>
          <w:rtl/>
          <w:lang w:val="fr-CH"/>
        </w:rPr>
        <w:t>فترات قصيرة تتراوح بين 30 و45 يوماً في شكل إجراء تأديبي (المواد 2 و12 و13 و14).</w:t>
      </w:r>
    </w:p>
    <w:p w:rsidR="00FC2685" w:rsidRPr="00040E72" w:rsidRDefault="00FC2685" w:rsidP="00040E72">
      <w:pPr>
        <w:pStyle w:val="SingleTxtGA"/>
        <w:rPr>
          <w:rFonts w:hint="cs"/>
          <w:b/>
          <w:bCs/>
          <w:rtl/>
          <w:lang w:val="fr-CH"/>
        </w:rPr>
      </w:pPr>
      <w:r w:rsidRPr="00040E72">
        <w:rPr>
          <w:rFonts w:hint="cs"/>
          <w:b/>
          <w:bCs/>
          <w:rtl/>
          <w:lang w:val="fr-CH"/>
        </w:rPr>
        <w:tab/>
        <w:t>ينبغي للدولة الطرف أن تقوم بما يلي:</w:t>
      </w:r>
    </w:p>
    <w:p w:rsidR="00FC2685" w:rsidRPr="00040E72" w:rsidRDefault="00FC2685" w:rsidP="00040E72">
      <w:pPr>
        <w:pStyle w:val="SingleTxtGA"/>
        <w:rPr>
          <w:rFonts w:hint="cs"/>
          <w:b/>
          <w:bCs/>
          <w:rtl/>
          <w:lang w:val="fr-CH"/>
        </w:rPr>
      </w:pPr>
      <w:r w:rsidRPr="00040E72">
        <w:rPr>
          <w:rFonts w:hint="cs"/>
          <w:b/>
          <w:bCs/>
          <w:rtl/>
          <w:lang w:val="fr-CH"/>
        </w:rPr>
        <w:tab/>
        <w:t>(أ)</w:t>
      </w:r>
      <w:r w:rsidRPr="00040E72">
        <w:rPr>
          <w:rFonts w:hint="cs"/>
          <w:b/>
          <w:bCs/>
          <w:rtl/>
          <w:lang w:val="fr-CH"/>
        </w:rPr>
        <w:tab/>
        <w:t xml:space="preserve">وفقاً لالتزامها، أثناء الاستعراض الدوري الشامل، بوضع حد لإفلات مرتكبي أعمال التعذيب من العقاب وبإجراء تحقيقات موثوق بها فورية ومحايدة بشأن جميع ادعاءات أعمال التعذيب أو إساءة المعاملة التي ارتكبها عملاء دوائر الأمن أو غيرهم، ولا سيما في مقار </w:t>
      </w:r>
      <w:r w:rsidRPr="00040E72">
        <w:rPr>
          <w:rFonts w:hint="cs"/>
          <w:b/>
          <w:bCs/>
          <w:rtl/>
        </w:rPr>
        <w:t>وكالة الاست</w:t>
      </w:r>
      <w:r w:rsidRPr="00040E72">
        <w:rPr>
          <w:rFonts w:hint="cs"/>
          <w:b/>
          <w:bCs/>
          <w:rtl/>
          <w:lang w:val="fr-CH"/>
        </w:rPr>
        <w:t>خبار</w:t>
      </w:r>
      <w:r w:rsidRPr="00040E72">
        <w:rPr>
          <w:rFonts w:hint="cs"/>
          <w:b/>
          <w:bCs/>
          <w:rtl/>
        </w:rPr>
        <w:t>ات الوطنية</w:t>
      </w:r>
      <w:r w:rsidRPr="00040E72">
        <w:rPr>
          <w:rFonts w:hint="cs"/>
          <w:b/>
          <w:bCs/>
          <w:rtl/>
          <w:lang w:val="fr-CH"/>
        </w:rPr>
        <w:t xml:space="preserve"> في عام 2009، معاقبة الجناة، عند الاقتضاء، بما يتماشى مع خطورة أعمالهم؛</w:t>
      </w:r>
    </w:p>
    <w:p w:rsidR="00FC2685" w:rsidRPr="00040E72" w:rsidRDefault="00FC2685" w:rsidP="00040E72">
      <w:pPr>
        <w:pStyle w:val="SingleTxtGA"/>
        <w:rPr>
          <w:rFonts w:hint="cs"/>
          <w:b/>
          <w:bCs/>
          <w:rtl/>
          <w:lang w:val="fr-CH"/>
        </w:rPr>
      </w:pPr>
      <w:r w:rsidRPr="00040E72">
        <w:rPr>
          <w:rFonts w:hint="cs"/>
          <w:b/>
          <w:bCs/>
          <w:rtl/>
          <w:lang w:val="fr-CH"/>
        </w:rPr>
        <w:tab/>
        <w:t>(ب)</w:t>
      </w:r>
      <w:r w:rsidRPr="00040E72">
        <w:rPr>
          <w:rFonts w:hint="cs"/>
          <w:b/>
          <w:bCs/>
          <w:rtl/>
          <w:lang w:val="fr-CH"/>
        </w:rPr>
        <w:tab/>
        <w:t>تضمين قانون العقوبات حكماً بعدم تقادم جريمة التعذيب وإلغاء الفصل المتعلق بتقادم جرائم التعذيب بعد مرور عشر سنوات على ارتكابها، وهو الفصل الذي يُزعم أنه أُدرج حالياً في مشروع قانون العقوبات؛</w:t>
      </w:r>
    </w:p>
    <w:p w:rsidR="00FC2685" w:rsidRPr="00040E72" w:rsidRDefault="00FC2685" w:rsidP="00040E72">
      <w:pPr>
        <w:pStyle w:val="SingleTxtGA"/>
        <w:rPr>
          <w:rFonts w:hint="cs"/>
          <w:b/>
          <w:bCs/>
          <w:rtl/>
          <w:lang w:val="fr-CH"/>
        </w:rPr>
      </w:pPr>
      <w:r w:rsidRPr="00040E72">
        <w:rPr>
          <w:rFonts w:hint="cs"/>
          <w:b/>
          <w:bCs/>
          <w:rtl/>
          <w:lang w:val="fr-CH"/>
        </w:rPr>
        <w:tab/>
        <w:t>(ج)</w:t>
      </w:r>
      <w:r w:rsidRPr="00040E72">
        <w:rPr>
          <w:rFonts w:hint="cs"/>
          <w:b/>
          <w:bCs/>
          <w:rtl/>
          <w:lang w:val="fr-CH"/>
        </w:rPr>
        <w:tab/>
        <w:t>تنفيذ جميع التدابير اللازمة لاحترام التزاماتها التعاقدية، ولا سيما بالتصدي لإفلات مرتكبي أعمال التعذيب من العقاب. وتذكِّر اللجنة الدولة الطرف، وفقاً للمادة 27 من اتفاقية فيينا لقانون المعاهدات، بأنه "لا يجوز لطرف في المعاهدة أن يحتج بنصوص قانونه الداخلي كمبرر لإخفاقه في تنفيذ المعاهدة"؛</w:t>
      </w:r>
    </w:p>
    <w:p w:rsidR="00FC2685" w:rsidRPr="00040E72" w:rsidRDefault="00FC2685" w:rsidP="00040E72">
      <w:pPr>
        <w:pStyle w:val="SingleTxtGA"/>
        <w:rPr>
          <w:rFonts w:hint="cs"/>
          <w:b/>
          <w:bCs/>
          <w:rtl/>
          <w:lang w:val="fr-CH"/>
        </w:rPr>
      </w:pPr>
      <w:r w:rsidRPr="00040E72">
        <w:rPr>
          <w:rFonts w:hint="cs"/>
          <w:b/>
          <w:bCs/>
          <w:rtl/>
          <w:lang w:val="fr-CH"/>
        </w:rPr>
        <w:tab/>
        <w:t>(د)</w:t>
      </w:r>
      <w:r w:rsidRPr="00040E72">
        <w:rPr>
          <w:rFonts w:hint="cs"/>
          <w:b/>
          <w:bCs/>
          <w:rtl/>
          <w:lang w:val="fr-CH"/>
        </w:rPr>
        <w:tab/>
        <w:t xml:space="preserve">اتخاذ تدابير لتنفيذ توصيات اللجنة الوطنية لحقوق الإنسان بشأن ادعاءات التعذيب وإساءة المعاملة في مقار </w:t>
      </w:r>
      <w:r w:rsidRPr="00040E72">
        <w:rPr>
          <w:rFonts w:hint="cs"/>
          <w:b/>
          <w:bCs/>
          <w:rtl/>
        </w:rPr>
        <w:t>وكالة الاست</w:t>
      </w:r>
      <w:r w:rsidRPr="00040E72">
        <w:rPr>
          <w:rFonts w:hint="cs"/>
          <w:b/>
          <w:bCs/>
          <w:rtl/>
          <w:lang w:val="fr-CH"/>
        </w:rPr>
        <w:t>خبار</w:t>
      </w:r>
      <w:r w:rsidRPr="00040E72">
        <w:rPr>
          <w:rFonts w:hint="cs"/>
          <w:b/>
          <w:bCs/>
          <w:rtl/>
        </w:rPr>
        <w:t>ات الوطنية</w:t>
      </w:r>
      <w:r w:rsidRPr="00040E72">
        <w:rPr>
          <w:rFonts w:hint="cs"/>
          <w:b/>
          <w:bCs/>
          <w:rtl/>
          <w:lang w:val="fr-CH"/>
        </w:rPr>
        <w:t xml:space="preserve"> وغيرها من أماكن الاحتجاز؛</w:t>
      </w:r>
    </w:p>
    <w:p w:rsidR="00FC2685" w:rsidRPr="00040E72" w:rsidRDefault="00FC2685" w:rsidP="00040E72">
      <w:pPr>
        <w:pStyle w:val="SingleTxtGA"/>
        <w:rPr>
          <w:rFonts w:hint="cs"/>
          <w:b/>
          <w:bCs/>
          <w:rtl/>
          <w:lang w:val="fr-CH"/>
        </w:rPr>
      </w:pPr>
      <w:r w:rsidRPr="00040E72">
        <w:rPr>
          <w:rFonts w:hint="cs"/>
          <w:b/>
          <w:bCs/>
          <w:rtl/>
          <w:lang w:val="fr-CH"/>
        </w:rPr>
        <w:tab/>
        <w:t>(ه‍</w:t>
      </w:r>
      <w:r w:rsidRPr="00040E72">
        <w:rPr>
          <w:rFonts w:hint="cs"/>
          <w:b/>
          <w:bCs/>
          <w:rtl/>
        </w:rPr>
        <w:t>(</w:t>
      </w:r>
      <w:r w:rsidRPr="00040E72">
        <w:rPr>
          <w:rFonts w:hint="cs"/>
          <w:b/>
          <w:bCs/>
          <w:rtl/>
          <w:lang w:val="fr-CH"/>
        </w:rPr>
        <w:tab/>
        <w:t>إنشاء نظام تسجيل مركزي مخصص لتدوين حالات التعذيب أو المعاملة القاسية أو اللاإنسانية أو المهينة وتقديم معلومات عن نتائج التحقيقات التي أجرتها.</w:t>
      </w:r>
    </w:p>
    <w:p w:rsidR="00FC2685" w:rsidRPr="00FC2685" w:rsidRDefault="00FC2685" w:rsidP="00040E72">
      <w:pPr>
        <w:pStyle w:val="H23GA"/>
        <w:rPr>
          <w:rFonts w:hint="cs"/>
          <w:rtl/>
          <w:lang w:val="fr-CH"/>
        </w:rPr>
      </w:pPr>
      <w:r w:rsidRPr="00FC2685">
        <w:rPr>
          <w:rFonts w:hint="cs"/>
          <w:rtl/>
          <w:lang w:val="fr-CH"/>
        </w:rPr>
        <w:tab/>
      </w:r>
      <w:r w:rsidRPr="00FC2685">
        <w:rPr>
          <w:rFonts w:hint="cs"/>
          <w:rtl/>
          <w:lang w:val="fr-CH"/>
        </w:rPr>
        <w:tab/>
        <w:t>الحبس الاحتياطي</w:t>
      </w:r>
    </w:p>
    <w:p w:rsidR="00FC2685" w:rsidRPr="00FC2685" w:rsidRDefault="00040E72" w:rsidP="00040E72">
      <w:pPr>
        <w:pStyle w:val="SingleTxtGA"/>
        <w:rPr>
          <w:rFonts w:hint="cs"/>
          <w:rtl/>
          <w:lang w:val="fr-CH"/>
        </w:rPr>
      </w:pPr>
      <w:r>
        <w:rPr>
          <w:rFonts w:hint="cs"/>
          <w:rtl/>
          <w:lang w:val="fr-CH"/>
        </w:rPr>
        <w:t>(</w:t>
      </w:r>
      <w:r w:rsidR="00FC2685" w:rsidRPr="00FC2685">
        <w:rPr>
          <w:rFonts w:hint="cs"/>
          <w:rtl/>
          <w:lang w:val="fr-CH"/>
        </w:rPr>
        <w:t>12</w:t>
      </w:r>
      <w:r>
        <w:rPr>
          <w:rFonts w:hint="cs"/>
          <w:rtl/>
          <w:lang w:val="fr-CH"/>
        </w:rPr>
        <w:t>)</w:t>
      </w:r>
      <w:r w:rsidR="00FC2685" w:rsidRPr="00FC2685">
        <w:rPr>
          <w:rFonts w:hint="cs"/>
          <w:rtl/>
          <w:lang w:val="fr-CH"/>
        </w:rPr>
        <w:tab/>
        <w:t>تلاحظ اللجنة ببالغ القلق أن ما يربو على 65 في المائة من الموقوفين هم رهن الحبس الاحتياطي، ممّا يخل بمبدأ افتراض البراءة ويُسهم في اكتظاظ السجون في جميع أنحاء البلد. وتُعرب اللجنة عن قلقها لعدم احترام آجال الحبس الاحتياطي في جميع الأوقات، ووجود أشخاص يُحتجزون لمدة سنوات دون محاكمة، لأسباب منها ارتكاب جنح بسيطة، الأمر الذي يبرز اختلالاً خطيراً في أداء النظام القضائي. كما تشعر بالقلق من أن أحد أسباب ارتفاع معدلات الحبس الاحتياطي هو قلة عدد القضاة والهياكل الأساسية والتأخير في الإصلاح القضائي الذي لا يُمكّن من بدء العمل بمؤسسة قاضي الحريات والاحتجاز التي يمكن أن تُسهم في الحد من معدلات الحبس الاحتياطي (المواد 2 و11 و16).</w:t>
      </w:r>
    </w:p>
    <w:p w:rsidR="00FC2685" w:rsidRPr="00040E72" w:rsidRDefault="00FC2685" w:rsidP="00040E72">
      <w:pPr>
        <w:pStyle w:val="SingleTxtGA"/>
        <w:rPr>
          <w:rFonts w:hint="cs"/>
          <w:b/>
          <w:bCs/>
          <w:rtl/>
          <w:lang w:val="fr-CH"/>
        </w:rPr>
      </w:pPr>
      <w:r w:rsidRPr="00040E72">
        <w:rPr>
          <w:rFonts w:hint="cs"/>
          <w:b/>
          <w:bCs/>
          <w:rtl/>
          <w:lang w:val="fr-CH"/>
        </w:rPr>
        <w:tab/>
        <w:t>ينبغي للدولة الطرف أن تقوم بما يلي:</w:t>
      </w:r>
    </w:p>
    <w:p w:rsidR="00FC2685" w:rsidRPr="00040E72" w:rsidRDefault="00FC2685" w:rsidP="00040E72">
      <w:pPr>
        <w:pStyle w:val="SingleTxtGA"/>
        <w:rPr>
          <w:rFonts w:hint="cs"/>
          <w:b/>
          <w:bCs/>
          <w:rtl/>
          <w:lang w:val="fr-CH"/>
        </w:rPr>
      </w:pPr>
      <w:r w:rsidRPr="00040E72">
        <w:rPr>
          <w:rFonts w:hint="cs"/>
          <w:b/>
          <w:bCs/>
          <w:rtl/>
          <w:lang w:val="fr-CH"/>
        </w:rPr>
        <w:tab/>
        <w:t>(أ)</w:t>
      </w:r>
      <w:r w:rsidRPr="00040E72">
        <w:rPr>
          <w:rFonts w:hint="cs"/>
          <w:b/>
          <w:bCs/>
          <w:rtl/>
          <w:lang w:val="fr-CH"/>
        </w:rPr>
        <w:tab/>
        <w:t>الإسراع على الفور في تنفيذ البرنامج الوطني لتحديث القضاء واتخاذ تدابير للحد من اللجوء إلى الحبس الاحتياطي، بما في ذلك مدته، وبالميل إلى تدابير بديلة للحبس وللعقوبات غير السالبة للحرية، وفقاً لقواعد الأمم المتحدة النموذجية الدنيا للتدابير غير الاحتجازية (قواعد طوكيو).</w:t>
      </w:r>
    </w:p>
    <w:p w:rsidR="00FC2685" w:rsidRPr="00040E72" w:rsidRDefault="00FC2685" w:rsidP="00040E72">
      <w:pPr>
        <w:pStyle w:val="SingleTxtGA"/>
        <w:rPr>
          <w:rFonts w:hint="cs"/>
          <w:b/>
          <w:bCs/>
          <w:rtl/>
          <w:lang w:val="fr-CH"/>
        </w:rPr>
      </w:pPr>
      <w:r w:rsidRPr="00040E72">
        <w:rPr>
          <w:rFonts w:hint="cs"/>
          <w:b/>
          <w:bCs/>
          <w:rtl/>
          <w:lang w:val="fr-CH"/>
        </w:rPr>
        <w:tab/>
        <w:t>(ب)</w:t>
      </w:r>
      <w:r w:rsidRPr="00040E72">
        <w:rPr>
          <w:rFonts w:hint="cs"/>
          <w:b/>
          <w:bCs/>
          <w:rtl/>
          <w:lang w:val="fr-CH"/>
        </w:rPr>
        <w:tab/>
        <w:t>تحويل الجنح البسيطة من النظام العقابي إلى النظام الوقائي؛</w:t>
      </w:r>
    </w:p>
    <w:p w:rsidR="00FC2685" w:rsidRPr="00040E72" w:rsidRDefault="00FC2685" w:rsidP="00040E72">
      <w:pPr>
        <w:pStyle w:val="SingleTxtGA"/>
        <w:rPr>
          <w:rFonts w:hint="cs"/>
          <w:b/>
          <w:bCs/>
          <w:rtl/>
          <w:lang w:val="fr-CH"/>
        </w:rPr>
      </w:pPr>
      <w:r w:rsidRPr="00040E72">
        <w:rPr>
          <w:rFonts w:hint="cs"/>
          <w:b/>
          <w:bCs/>
          <w:rtl/>
          <w:lang w:val="fr-CH"/>
        </w:rPr>
        <w:tab/>
        <w:t>(ج)</w:t>
      </w:r>
      <w:r w:rsidRPr="00040E72">
        <w:rPr>
          <w:rFonts w:hint="cs"/>
          <w:b/>
          <w:bCs/>
          <w:rtl/>
          <w:lang w:val="fr-CH"/>
        </w:rPr>
        <w:tab/>
        <w:t>تعزيز تدريب القضاة وحكام المقاطعات ونوابهم والمحامين على مبدأ افتراض البراءة، بما يحدّ انتشار اللجوء إلى الحبس الاحتياطي؛</w:t>
      </w:r>
    </w:p>
    <w:p w:rsidR="00FC2685" w:rsidRPr="00040E72" w:rsidRDefault="00FC2685" w:rsidP="00040E72">
      <w:pPr>
        <w:pStyle w:val="SingleTxtGA"/>
        <w:rPr>
          <w:rFonts w:hint="cs"/>
          <w:b/>
          <w:bCs/>
          <w:rtl/>
          <w:lang w:val="fr-CH"/>
        </w:rPr>
      </w:pPr>
      <w:r w:rsidRPr="00040E72">
        <w:rPr>
          <w:rFonts w:hint="cs"/>
          <w:b/>
          <w:bCs/>
          <w:rtl/>
          <w:lang w:val="fr-CH"/>
        </w:rPr>
        <w:tab/>
        <w:t>(د)</w:t>
      </w:r>
      <w:r w:rsidRPr="00040E72">
        <w:rPr>
          <w:rFonts w:hint="cs"/>
          <w:b/>
          <w:bCs/>
          <w:rtl/>
          <w:lang w:val="fr-CH"/>
        </w:rPr>
        <w:tab/>
        <w:t>ضمان احترام جميع الآجال المتعلقة بالأشخاص المتهمين والموقوفين، عند وجود أسباب قاهرة لإيداع المشتبه فيهم في الحبس؛</w:t>
      </w:r>
    </w:p>
    <w:p w:rsidR="00FC2685" w:rsidRPr="00040E72" w:rsidRDefault="00FC2685" w:rsidP="00040E72">
      <w:pPr>
        <w:pStyle w:val="SingleTxtGA"/>
        <w:rPr>
          <w:rFonts w:hint="cs"/>
          <w:b/>
          <w:bCs/>
          <w:rtl/>
          <w:lang w:val="fr-CH"/>
        </w:rPr>
      </w:pPr>
      <w:r w:rsidRPr="00040E72">
        <w:rPr>
          <w:rFonts w:hint="cs"/>
          <w:b/>
          <w:bCs/>
          <w:rtl/>
          <w:lang w:val="fr-CH"/>
        </w:rPr>
        <w:tab/>
        <w:t>(ه‍(</w:t>
      </w:r>
      <w:r w:rsidRPr="00040E72">
        <w:rPr>
          <w:rFonts w:hint="cs"/>
          <w:b/>
          <w:bCs/>
          <w:rtl/>
          <w:lang w:val="fr-CH"/>
        </w:rPr>
        <w:tab/>
        <w:t>الإفراج عن جميع الأشخاص الذين ينقضي الأجل القانوني لتوقيفهم؛</w:t>
      </w:r>
    </w:p>
    <w:p w:rsidR="00FC2685" w:rsidRPr="00040E72" w:rsidRDefault="00FC2685" w:rsidP="00040E72">
      <w:pPr>
        <w:pStyle w:val="SingleTxtGA"/>
        <w:rPr>
          <w:rFonts w:hint="cs"/>
          <w:b/>
          <w:bCs/>
          <w:rtl/>
          <w:lang w:val="fr-CH"/>
        </w:rPr>
      </w:pPr>
      <w:r w:rsidRPr="00040E72">
        <w:rPr>
          <w:rFonts w:hint="cs"/>
          <w:b/>
          <w:bCs/>
          <w:rtl/>
          <w:lang w:val="fr-CH"/>
        </w:rPr>
        <w:tab/>
        <w:t>(و)</w:t>
      </w:r>
      <w:r w:rsidRPr="00040E72">
        <w:rPr>
          <w:rFonts w:hint="cs"/>
          <w:b/>
          <w:bCs/>
          <w:rtl/>
          <w:lang w:val="fr-CH"/>
        </w:rPr>
        <w:tab/>
        <w:t>التفكير في زيادة توظيف قضاة وتشييد قاعات جلسات جديدة في البلد.</w:t>
      </w:r>
    </w:p>
    <w:p w:rsidR="00FC2685" w:rsidRPr="00FC2685" w:rsidRDefault="00040E72" w:rsidP="00714CB5">
      <w:pPr>
        <w:pStyle w:val="H23GA"/>
        <w:rPr>
          <w:rFonts w:hint="cs"/>
          <w:rtl/>
          <w:lang w:val="fr-CH"/>
        </w:rPr>
      </w:pPr>
      <w:r>
        <w:rPr>
          <w:rFonts w:hint="cs"/>
          <w:rtl/>
          <w:lang w:val="fr-CH"/>
        </w:rPr>
        <w:tab/>
      </w:r>
      <w:r w:rsidR="00FC2685" w:rsidRPr="00FC2685">
        <w:rPr>
          <w:rFonts w:hint="cs"/>
          <w:rtl/>
          <w:lang w:val="fr-CH"/>
        </w:rPr>
        <w:tab/>
        <w:t>ظروف الاحتجاز</w:t>
      </w:r>
    </w:p>
    <w:p w:rsidR="00FC2685" w:rsidRPr="00FC2685" w:rsidRDefault="00F37BC5" w:rsidP="00F37BC5">
      <w:pPr>
        <w:pStyle w:val="SingleTxtGA"/>
        <w:rPr>
          <w:rFonts w:hint="cs"/>
          <w:rtl/>
          <w:lang w:val="fr-CH"/>
        </w:rPr>
      </w:pPr>
      <w:r>
        <w:rPr>
          <w:rFonts w:hint="cs"/>
          <w:rtl/>
          <w:lang w:val="fr-CH"/>
        </w:rPr>
        <w:t>(</w:t>
      </w:r>
      <w:r w:rsidR="00FC2685" w:rsidRPr="00FC2685">
        <w:rPr>
          <w:rFonts w:hint="cs"/>
          <w:rtl/>
          <w:lang w:val="fr-CH"/>
        </w:rPr>
        <w:t>13</w:t>
      </w:r>
      <w:r>
        <w:rPr>
          <w:rFonts w:hint="cs"/>
          <w:rtl/>
          <w:lang w:val="fr-CH"/>
        </w:rPr>
        <w:t>)</w:t>
      </w:r>
      <w:r w:rsidR="00FC2685" w:rsidRPr="00FC2685">
        <w:rPr>
          <w:rFonts w:hint="cs"/>
          <w:rtl/>
          <w:lang w:val="fr-CH"/>
        </w:rPr>
        <w:tab/>
        <w:t>يساور اللجنة بالغ القلق إزاء ما يلي:</w:t>
      </w:r>
    </w:p>
    <w:p w:rsidR="00FC2685" w:rsidRPr="00FC2685" w:rsidRDefault="00FC2685" w:rsidP="00040E72">
      <w:pPr>
        <w:pStyle w:val="SingleTxtGA"/>
        <w:rPr>
          <w:rFonts w:hint="cs"/>
          <w:rtl/>
          <w:lang w:val="fr-CH"/>
        </w:rPr>
      </w:pPr>
      <w:r w:rsidRPr="00FC2685">
        <w:rPr>
          <w:rFonts w:hint="cs"/>
          <w:rtl/>
          <w:lang w:val="fr-CH"/>
        </w:rPr>
        <w:tab/>
        <w:t>(أ)</w:t>
      </w:r>
      <w:r w:rsidRPr="00FC2685">
        <w:rPr>
          <w:rFonts w:hint="cs"/>
          <w:rtl/>
          <w:lang w:val="fr-CH"/>
        </w:rPr>
        <w:tab/>
        <w:t>الأوضاع المثيرة للقلق الناجمة عن ظروف مراكز الاحتجاز في جميع أنحاء البلد ولا سيما في لومي، التي يُماثل بعضها التعذيب بسبب تكدس الموقوفين رهن المحاكمة بأعداد تتراوح بين 60 و90 شخصاً في زنزانات مساحتها 7 في 6 أمتار في حين أن السجناء المدانين يكدسون بنسب تتراوح بين 50 و60 شخصاً في زنزانات مساحتها 6 في 5 أمتار. وتشعر اللجنة بالقلق أيضاً من أن صغر حجم الزنزانات التي تبلغ مساحتها 1.12 متر في 90 سنتيمتراً في سجن نوتسي ولا سيما في معسكر كارا، والتي يُحتجز فيها أفراد من الجيش لأغراض تأديبية، يشكل انتهاكاً للاتفاقية. وفضلاً عن ذلك، يبلغ اكتظاظ السجون حالياً متوسط 156 في المائة؛</w:t>
      </w:r>
    </w:p>
    <w:p w:rsidR="00FC2685" w:rsidRPr="00FC2685" w:rsidRDefault="00FC2685" w:rsidP="00040E72">
      <w:pPr>
        <w:pStyle w:val="SingleTxtGA"/>
        <w:rPr>
          <w:rFonts w:hint="cs"/>
          <w:rtl/>
          <w:lang w:val="fr-CH"/>
        </w:rPr>
      </w:pPr>
      <w:r w:rsidRPr="00FC2685">
        <w:rPr>
          <w:rFonts w:hint="cs"/>
          <w:rtl/>
          <w:lang w:val="fr-CH"/>
        </w:rPr>
        <w:tab/>
        <w:t>(ب)</w:t>
      </w:r>
      <w:r w:rsidRPr="00FC2685">
        <w:rPr>
          <w:rFonts w:hint="cs"/>
          <w:rtl/>
          <w:lang w:val="fr-CH"/>
        </w:rPr>
        <w:tab/>
        <w:t>عدم كفاية الظروف الصحية والتهوية والإضاءة والأسِرة وكذلك الأغذية التي تقتصر على وجبة طعام واحدة في اليوم سيئة النوعية، وفقاً للتقرير الأولي؛</w:t>
      </w:r>
    </w:p>
    <w:p w:rsidR="00FC2685" w:rsidRPr="00FC2685" w:rsidRDefault="00FC2685" w:rsidP="00A83CF9">
      <w:pPr>
        <w:pStyle w:val="SingleTxtGA"/>
        <w:spacing w:line="374" w:lineRule="exact"/>
        <w:rPr>
          <w:rFonts w:hint="cs"/>
          <w:rtl/>
          <w:lang w:val="fr-CH"/>
        </w:rPr>
      </w:pPr>
      <w:r w:rsidRPr="00FC2685">
        <w:rPr>
          <w:rFonts w:hint="cs"/>
          <w:rtl/>
          <w:lang w:val="fr-CH"/>
        </w:rPr>
        <w:tab/>
        <w:t>(ج)</w:t>
      </w:r>
      <w:r w:rsidRPr="00FC2685">
        <w:rPr>
          <w:rFonts w:hint="cs"/>
          <w:rtl/>
          <w:lang w:val="fr-CH"/>
        </w:rPr>
        <w:tab/>
        <w:t>ندرة فرص الحصول على الخدمات الصحية والأدوية بشكل شبه كامل ونقل المحتجزين المرضى إلى مستشفيات وهم في النزع الأخير. وتشعر اللجنة ببالغ القلق إزاء الحالة الصحية للنقيب لامبار أدجينون، الموقوف في سجن لومي المدني والذي يعاني من ورم، دون تلقي العلاج رغم ذلك. وتتعارض هذه الأوضاع مع قرار مجلس الوزراء المؤرخ 29 شباط/فبراير 2012 بتأمين الخدمات الطبية لجميع الأشخاص الموقوفين أو المحتجزين في جميع مراحل الإجراءات، وفقاً لإحدى التوصيات البالغ عددها 13 توصية الواجب تنفيذها عقب نشر تقرير اللجنة الوطنية لحقوق الإنسان؛</w:t>
      </w:r>
    </w:p>
    <w:p w:rsidR="00FC2685" w:rsidRPr="00FC2685" w:rsidRDefault="00FC2685" w:rsidP="00A83CF9">
      <w:pPr>
        <w:pStyle w:val="SingleTxtGA"/>
        <w:spacing w:line="374" w:lineRule="exact"/>
        <w:rPr>
          <w:lang w:val="fr-CH"/>
        </w:rPr>
      </w:pPr>
      <w:r w:rsidRPr="00FC2685">
        <w:rPr>
          <w:rtl/>
          <w:lang w:val="fr-CH"/>
        </w:rPr>
        <w:tab/>
      </w:r>
      <w:r w:rsidRPr="00FC2685">
        <w:rPr>
          <w:rFonts w:hint="cs"/>
          <w:rtl/>
          <w:lang w:val="fr-CH"/>
        </w:rPr>
        <w:t>(د)</w:t>
      </w:r>
      <w:r w:rsidRPr="00FC2685">
        <w:rPr>
          <w:rtl/>
          <w:lang w:val="fr-CH"/>
        </w:rPr>
        <w:tab/>
      </w:r>
      <w:r w:rsidRPr="00FC2685">
        <w:rPr>
          <w:rFonts w:hint="cs"/>
          <w:rtl/>
          <w:lang w:val="fr-CH"/>
        </w:rPr>
        <w:t>الظروف السائدة في مرافق الحبس الاحتياطي بمخافر ومراكز الشرطة ومقارّ الدرك التي وصفتها الدولة الطرف ذاتها بأنها مروِّعة، حيث يقضي عدد كبير من المحتجزين فترات طويلة دون أي سند قانوني؛</w:t>
      </w:r>
    </w:p>
    <w:p w:rsidR="00FC2685" w:rsidRDefault="00FC2685" w:rsidP="00A83CF9">
      <w:pPr>
        <w:pStyle w:val="SingleTxtGA"/>
        <w:spacing w:line="374" w:lineRule="exact"/>
        <w:rPr>
          <w:rFonts w:hint="cs"/>
          <w:rtl/>
          <w:lang w:val="fr-CH"/>
        </w:rPr>
      </w:pPr>
      <w:r w:rsidRPr="00FC2685">
        <w:rPr>
          <w:rtl/>
          <w:lang w:val="fr-CH"/>
        </w:rPr>
        <w:tab/>
      </w:r>
      <w:r w:rsidRPr="00FC2685">
        <w:rPr>
          <w:rFonts w:hint="cs"/>
          <w:rtl/>
          <w:lang w:val="fr-CH"/>
        </w:rPr>
        <w:t>(ﻫ)</w:t>
      </w:r>
      <w:r w:rsidRPr="00FC2685">
        <w:rPr>
          <w:rFonts w:hint="cs"/>
          <w:rtl/>
          <w:lang w:val="fr-CH"/>
        </w:rPr>
        <w:tab/>
        <w:t xml:space="preserve">كثرة الوفيات رهن الاحتجاز وتزايد عددها، ولا سيما بسبب نقص الغذاء وتردّي الظروف الصحية، وكذلك بسبب العنف بين الموقوفين (المواد 2 و11 و16). </w:t>
      </w:r>
    </w:p>
    <w:p w:rsidR="00FC2685" w:rsidRPr="00040E72" w:rsidRDefault="00FC2685" w:rsidP="00A83CF9">
      <w:pPr>
        <w:pStyle w:val="SingleTxtGA"/>
        <w:spacing w:line="374" w:lineRule="exact"/>
        <w:rPr>
          <w:rFonts w:hint="cs"/>
          <w:b/>
          <w:bCs/>
          <w:rtl/>
          <w:lang w:val="fr-CH"/>
        </w:rPr>
      </w:pPr>
      <w:r w:rsidRPr="00040E72">
        <w:rPr>
          <w:b/>
          <w:bCs/>
          <w:rtl/>
          <w:lang w:val="fr-CH"/>
        </w:rPr>
        <w:tab/>
      </w:r>
      <w:r w:rsidRPr="00040E72">
        <w:rPr>
          <w:rFonts w:hint="cs"/>
          <w:b/>
          <w:bCs/>
          <w:rtl/>
          <w:lang w:val="fr-CH"/>
        </w:rPr>
        <w:t>ينبغي للدول الطرف أن تقوم بما يلي:</w:t>
      </w:r>
    </w:p>
    <w:p w:rsidR="00FC2685" w:rsidRPr="00040E72" w:rsidRDefault="00FC2685" w:rsidP="00A83CF9">
      <w:pPr>
        <w:pStyle w:val="SingleTxtGA"/>
        <w:spacing w:line="374" w:lineRule="exact"/>
        <w:rPr>
          <w:rFonts w:hint="cs"/>
          <w:b/>
          <w:bCs/>
          <w:rtl/>
          <w:lang w:val="fr-CH"/>
        </w:rPr>
      </w:pPr>
      <w:r w:rsidRPr="00040E72">
        <w:rPr>
          <w:rFonts w:hint="cs"/>
          <w:b/>
          <w:bCs/>
          <w:rtl/>
          <w:lang w:val="fr-CH"/>
        </w:rPr>
        <w:tab/>
        <w:t>(أ)</w:t>
      </w:r>
      <w:r w:rsidRPr="00040E72">
        <w:rPr>
          <w:rFonts w:hint="cs"/>
          <w:b/>
          <w:bCs/>
          <w:rtl/>
          <w:lang w:val="fr-CH"/>
        </w:rPr>
        <w:tab/>
        <w:t>تكثيف جهودها وزيادة الأموال المخصصة لجعل ظروف الحياة في السجون تتسق مع المعايير الدولية والقواعد النموذجية الدنيا لمعاملة السجناء؛</w:t>
      </w:r>
    </w:p>
    <w:p w:rsidR="00FC2685" w:rsidRPr="00040E72" w:rsidRDefault="00FC2685" w:rsidP="00A83CF9">
      <w:pPr>
        <w:pStyle w:val="SingleTxtGA"/>
        <w:spacing w:line="374" w:lineRule="exact"/>
        <w:rPr>
          <w:rFonts w:hint="cs"/>
          <w:b/>
          <w:bCs/>
          <w:rtl/>
          <w:lang w:val="fr-CH"/>
        </w:rPr>
      </w:pPr>
      <w:r w:rsidRPr="00040E72">
        <w:rPr>
          <w:rFonts w:hint="cs"/>
          <w:b/>
          <w:bCs/>
          <w:rtl/>
          <w:lang w:val="fr-CH"/>
        </w:rPr>
        <w:tab/>
        <w:t>(ب)</w:t>
      </w:r>
      <w:r w:rsidRPr="00040E72">
        <w:rPr>
          <w:rFonts w:hint="cs"/>
          <w:b/>
          <w:bCs/>
          <w:rtl/>
          <w:lang w:val="fr-CH"/>
        </w:rPr>
        <w:tab/>
        <w:t>تنفيذ البيان الصادر عن ممثلي توغو أمام اللجنة أثناء الدورة التاسعة والأربعين والذي تضمن العزم على النظر في جميع القضايا المعلقة في كانون الثاني/</w:t>
      </w:r>
      <w:r w:rsidR="00040E72">
        <w:rPr>
          <w:rFonts w:hint="cs"/>
          <w:b/>
          <w:bCs/>
          <w:rtl/>
          <w:lang w:val="fr-CH"/>
        </w:rPr>
        <w:t xml:space="preserve"> </w:t>
      </w:r>
      <w:r w:rsidRPr="00040E72">
        <w:rPr>
          <w:rFonts w:hint="cs"/>
          <w:b/>
          <w:bCs/>
          <w:rtl/>
          <w:lang w:val="fr-CH"/>
        </w:rPr>
        <w:t>يناير</w:t>
      </w:r>
      <w:r w:rsidR="00040E72">
        <w:rPr>
          <w:rFonts w:hint="eastAsia"/>
          <w:b/>
          <w:bCs/>
          <w:rtl/>
          <w:lang w:val="fr-CH"/>
        </w:rPr>
        <w:t> </w:t>
      </w:r>
      <w:r w:rsidRPr="00040E72">
        <w:rPr>
          <w:rFonts w:hint="cs"/>
          <w:b/>
          <w:bCs/>
          <w:rtl/>
          <w:lang w:val="fr-CH"/>
        </w:rPr>
        <w:t>2013 للحد من اكتظاظ السجون بنسبة 50 في المائة؛</w:t>
      </w:r>
    </w:p>
    <w:p w:rsidR="00FC2685" w:rsidRPr="00040E72" w:rsidRDefault="00FC2685" w:rsidP="00086AA1">
      <w:pPr>
        <w:pStyle w:val="SingleTxtGA"/>
        <w:rPr>
          <w:rFonts w:hint="cs"/>
          <w:b/>
          <w:bCs/>
          <w:rtl/>
          <w:lang w:val="fr-CH"/>
        </w:rPr>
      </w:pPr>
      <w:r w:rsidRPr="00040E72">
        <w:rPr>
          <w:rFonts w:hint="cs"/>
          <w:b/>
          <w:bCs/>
          <w:rtl/>
          <w:lang w:val="fr-CH"/>
        </w:rPr>
        <w:tab/>
        <w:t>(ج)</w:t>
      </w:r>
      <w:r w:rsidRPr="00040E72">
        <w:rPr>
          <w:rFonts w:hint="cs"/>
          <w:b/>
          <w:bCs/>
          <w:rtl/>
          <w:lang w:val="fr-CH"/>
        </w:rPr>
        <w:tab/>
        <w:t>اعتماد جداول زمنية محددة لبناء سجون جديدة، من أجل تخفيف اكتظاظ أماكن الاحتجاز، بما في ذلك في لومي وكباليمي، وتحديث السجون والهياكل الأساسية القائمة، فضلاً عن زيادة أعداد موظفي السجون في جميع المرافق؛ والتأكد من اتساق مساحة الزنزانات مع القواعد الدولية؛</w:t>
      </w:r>
    </w:p>
    <w:p w:rsidR="00FC2685" w:rsidRPr="00040E72" w:rsidRDefault="00FC2685" w:rsidP="00086AA1">
      <w:pPr>
        <w:pStyle w:val="SingleTxtGA"/>
        <w:rPr>
          <w:rFonts w:hint="cs"/>
          <w:b/>
          <w:bCs/>
          <w:rtl/>
          <w:lang w:val="fr-CH"/>
        </w:rPr>
      </w:pPr>
      <w:r w:rsidRPr="00040E72">
        <w:rPr>
          <w:rFonts w:hint="cs"/>
          <w:b/>
          <w:bCs/>
          <w:rtl/>
          <w:lang w:val="fr-CH"/>
        </w:rPr>
        <w:tab/>
        <w:t>(د)</w:t>
      </w:r>
      <w:r w:rsidRPr="00040E72">
        <w:rPr>
          <w:rFonts w:hint="cs"/>
          <w:b/>
          <w:bCs/>
          <w:rtl/>
          <w:lang w:val="fr-CH"/>
        </w:rPr>
        <w:tab/>
        <w:t>زيادة الأموال المخصصة لتمويل الخدمات الأساسية، بما في ذلك الحصول على ماء الشرب، ووجبتي طعام في اليوم على الأقل، وتهيئة الظروف الصحية وتوفير الأساسيات الضرورية والسهر على كفاية الإنارة الطبيعية والاصطناعية والتهوية؛ وضمان التكفُّل بالنفقات الطبية والنفسية - الاجتماعية للسجناء والتصدي لعدد الوفيات رهن الاحتجاز؛</w:t>
      </w:r>
    </w:p>
    <w:p w:rsidR="00FC2685" w:rsidRPr="00040E72" w:rsidRDefault="00FC2685" w:rsidP="00086AA1">
      <w:pPr>
        <w:pStyle w:val="SingleTxtGA"/>
        <w:rPr>
          <w:rFonts w:hint="cs"/>
          <w:b/>
          <w:bCs/>
          <w:rtl/>
          <w:lang w:val="fr-CH"/>
        </w:rPr>
      </w:pPr>
      <w:r w:rsidRPr="00040E72">
        <w:rPr>
          <w:rFonts w:hint="cs"/>
          <w:b/>
          <w:bCs/>
          <w:rtl/>
          <w:lang w:val="fr-CH"/>
        </w:rPr>
        <w:tab/>
        <w:t>(ﻫ)</w:t>
      </w:r>
      <w:r w:rsidRPr="00040E72">
        <w:rPr>
          <w:rFonts w:hint="cs"/>
          <w:b/>
          <w:bCs/>
          <w:rtl/>
          <w:lang w:val="fr-CH"/>
        </w:rPr>
        <w:tab/>
        <w:t>نقل النقيب لامبير أدجينون إلى الخارج لتلقي العلاج الطبي الذي يحتاج إليه، وكذلك أي شخص آخر يعاني مشكلات صحية مماثلة؛</w:t>
      </w:r>
    </w:p>
    <w:p w:rsidR="00FC2685" w:rsidRPr="00040E72" w:rsidRDefault="00FC2685" w:rsidP="00086AA1">
      <w:pPr>
        <w:pStyle w:val="SingleTxtGA"/>
        <w:rPr>
          <w:rFonts w:hint="cs"/>
          <w:b/>
          <w:bCs/>
          <w:rtl/>
          <w:lang w:val="fr-CH"/>
        </w:rPr>
      </w:pPr>
      <w:r w:rsidRPr="00040E72">
        <w:rPr>
          <w:rFonts w:hint="cs"/>
          <w:b/>
          <w:bCs/>
          <w:rtl/>
          <w:lang w:val="fr-CH"/>
        </w:rPr>
        <w:tab/>
        <w:t>(و)</w:t>
      </w:r>
      <w:r w:rsidRPr="00040E72">
        <w:rPr>
          <w:rFonts w:hint="cs"/>
          <w:b/>
          <w:bCs/>
          <w:rtl/>
          <w:lang w:val="fr-CH"/>
        </w:rPr>
        <w:tab/>
        <w:t>اتخاذ تدابير فورية لتحسين الظروف السائدة في مرافق الحبس الاحتياطي بمخافر ومراكز الشرطة ومقارّ الدرك، بما يتسق مع المعايير الدولية؛</w:t>
      </w:r>
    </w:p>
    <w:p w:rsidR="00FC2685" w:rsidRPr="00040E72" w:rsidRDefault="00FC2685" w:rsidP="00086AA1">
      <w:pPr>
        <w:pStyle w:val="SingleTxtGA"/>
        <w:rPr>
          <w:rFonts w:hint="cs"/>
          <w:b/>
          <w:bCs/>
          <w:rtl/>
          <w:lang w:val="fr-CH"/>
        </w:rPr>
      </w:pPr>
      <w:r w:rsidRPr="00040E72">
        <w:rPr>
          <w:rFonts w:hint="cs"/>
          <w:b/>
          <w:bCs/>
          <w:rtl/>
          <w:lang w:val="fr-CH"/>
        </w:rPr>
        <w:tab/>
        <w:t>(ز)</w:t>
      </w:r>
      <w:r w:rsidRPr="00040E72">
        <w:rPr>
          <w:rFonts w:hint="cs"/>
          <w:b/>
          <w:bCs/>
          <w:rtl/>
          <w:lang w:val="fr-CH"/>
        </w:rPr>
        <w:tab/>
        <w:t>إجراء تحقيقات في الوفيات رهن الاحتجاز وأسبابها، ومد اللجنة في التقرير الدوري القادم ببيانات إحصائية والتدابير الوقائية كذلك التي اتخذتها سلطات السجون؛ واتخاذ تدابير تحد من العنف بين السجناء؛</w:t>
      </w:r>
    </w:p>
    <w:p w:rsidR="00FC2685" w:rsidRPr="00040E72" w:rsidRDefault="00FC2685" w:rsidP="00086AA1">
      <w:pPr>
        <w:pStyle w:val="SingleTxtGA"/>
        <w:rPr>
          <w:rFonts w:hint="cs"/>
          <w:b/>
          <w:bCs/>
          <w:rtl/>
          <w:lang w:val="fr-CH"/>
        </w:rPr>
      </w:pPr>
      <w:r w:rsidRPr="00040E72">
        <w:rPr>
          <w:rFonts w:hint="cs"/>
          <w:b/>
          <w:bCs/>
          <w:rtl/>
          <w:lang w:val="fr-CH"/>
        </w:rPr>
        <w:tab/>
        <w:t>(ح)</w:t>
      </w:r>
      <w:r w:rsidRPr="00040E72">
        <w:rPr>
          <w:rFonts w:hint="cs"/>
          <w:b/>
          <w:bCs/>
          <w:rtl/>
          <w:lang w:val="fr-CH"/>
        </w:rPr>
        <w:tab/>
        <w:t>إنشاء نظام تسجيل مركزي لجميع السجناء في البلد يتضمن بيانات عما</w:t>
      </w:r>
      <w:r w:rsidRPr="00040E72">
        <w:rPr>
          <w:rFonts w:hint="eastAsia"/>
          <w:b/>
          <w:bCs/>
          <w:rtl/>
          <w:lang w:val="fr-CH"/>
        </w:rPr>
        <w:t> </w:t>
      </w:r>
      <w:r w:rsidRPr="00040E72">
        <w:rPr>
          <w:rFonts w:hint="cs"/>
          <w:b/>
          <w:bCs/>
          <w:rtl/>
          <w:lang w:val="fr-CH"/>
        </w:rPr>
        <w:t>إذا كانوا رهن الحبس الاحتياطي أو مدانين، ونوع الجريمة، وتاريخ بدء احتجازهم، وأسماء أمكنة الاحتجاز، وكذلك بيان سنهم ونوع جنسهم؛</w:t>
      </w:r>
    </w:p>
    <w:p w:rsidR="00FC2685" w:rsidRPr="00040E72" w:rsidRDefault="00FC2685" w:rsidP="00086AA1">
      <w:pPr>
        <w:pStyle w:val="SingleTxtGA"/>
        <w:rPr>
          <w:rFonts w:hint="cs"/>
          <w:b/>
          <w:bCs/>
          <w:rtl/>
          <w:lang w:val="fr-CH"/>
        </w:rPr>
      </w:pPr>
      <w:r w:rsidRPr="00040E72">
        <w:rPr>
          <w:rFonts w:hint="cs"/>
          <w:b/>
          <w:bCs/>
          <w:rtl/>
          <w:lang w:val="fr-CH"/>
        </w:rPr>
        <w:tab/>
        <w:t>(ط)</w:t>
      </w:r>
      <w:r w:rsidRPr="00040E72">
        <w:rPr>
          <w:rFonts w:hint="cs"/>
          <w:b/>
          <w:bCs/>
          <w:rtl/>
          <w:lang w:val="fr-CH"/>
        </w:rPr>
        <w:tab/>
        <w:t>تمكين اللجنة الوطنية لحقوق الإنسان ومنظمات حقوق الإنسان من زيارة أماكن الاحتجاز كافة، بحرية ولا سيما من إجراء زيارات مفاجئة ومقابلة السجناء على انفراد.</w:t>
      </w:r>
    </w:p>
    <w:p w:rsidR="00FC2685" w:rsidRPr="00FC2685" w:rsidRDefault="00040E72" w:rsidP="00086AA1">
      <w:pPr>
        <w:pStyle w:val="H23GA"/>
        <w:rPr>
          <w:rFonts w:hint="cs"/>
          <w:rtl/>
          <w:lang w:val="fr-CH"/>
        </w:rPr>
      </w:pPr>
      <w:r>
        <w:rPr>
          <w:rFonts w:hint="cs"/>
          <w:rtl/>
          <w:lang w:val="fr-CH"/>
        </w:rPr>
        <w:tab/>
      </w:r>
      <w:r>
        <w:rPr>
          <w:rFonts w:hint="cs"/>
          <w:rtl/>
          <w:lang w:val="fr-CH"/>
        </w:rPr>
        <w:tab/>
      </w:r>
      <w:r w:rsidR="00FC2685" w:rsidRPr="00FC2685">
        <w:rPr>
          <w:rFonts w:hint="cs"/>
          <w:rtl/>
          <w:lang w:val="fr-CH"/>
        </w:rPr>
        <w:t xml:space="preserve">اللجنة الوطنية لحقوق الإنسان وتعيين آلية وقاية وطنية </w:t>
      </w:r>
    </w:p>
    <w:p w:rsidR="00FC2685" w:rsidRPr="00FC2685" w:rsidRDefault="00040E72" w:rsidP="00086AA1">
      <w:pPr>
        <w:pStyle w:val="SingleTxtGA"/>
        <w:rPr>
          <w:rFonts w:hint="cs"/>
          <w:rtl/>
          <w:lang w:val="fr-CH"/>
        </w:rPr>
      </w:pPr>
      <w:r>
        <w:rPr>
          <w:rFonts w:hint="cs"/>
          <w:rtl/>
          <w:lang w:val="fr-CH"/>
        </w:rPr>
        <w:t>(</w:t>
      </w:r>
      <w:r w:rsidR="00FC2685" w:rsidRPr="00FC2685">
        <w:rPr>
          <w:rFonts w:hint="cs"/>
          <w:rtl/>
          <w:lang w:val="fr-CH"/>
        </w:rPr>
        <w:t>14</w:t>
      </w:r>
      <w:r>
        <w:rPr>
          <w:rFonts w:hint="cs"/>
          <w:rtl/>
          <w:lang w:val="fr-CH"/>
        </w:rPr>
        <w:t>)</w:t>
      </w:r>
      <w:r w:rsidR="00FC2685" w:rsidRPr="00FC2685">
        <w:rPr>
          <w:rFonts w:hint="cs"/>
          <w:rtl/>
          <w:lang w:val="fr-CH"/>
        </w:rPr>
        <w:tab/>
        <w:t>تلاحظ اللجنة مع القلق أن ميزانية اللجنة الوطنية لحقوق الإنسان قد تكون انخفضت بنسبة 20 في المائة منذ عام 2008 بما يحول دون أدائها مهامها على النحو الكامل. وإذ</w:t>
      </w:r>
      <w:r w:rsidR="00FC2685" w:rsidRPr="00FC2685">
        <w:rPr>
          <w:rFonts w:hint="eastAsia"/>
          <w:rtl/>
          <w:lang w:val="fr-CH"/>
        </w:rPr>
        <w:t> </w:t>
      </w:r>
      <w:r w:rsidR="00FC2685" w:rsidRPr="00FC2685">
        <w:rPr>
          <w:rFonts w:hint="cs"/>
          <w:rtl/>
          <w:lang w:val="fr-CH"/>
        </w:rPr>
        <w:t>تأخذ اللجنة في الحسبان المعلومات التي تفيد بأن وكالة الاستعلامات الوطنية لا يمكن أن تستوعب المزيد من الموظفين، فإنها تعرب عن قلقها أيضاً إزاء وقف تفتيش مقار هذه الوكالة. وإذ تراعي اللجنة كذلك أن اللجنة الوطنية لحقوق الإنسان ستتولّى دور الآلية الوطنية لمنع التعذيب، فإنها تشعر بالقلق من عدم مباشرة مهامها إلى حد الآن. وكما تشعر بالقلق لاضطرار رئيس اللجنة الوطنية لحقوق الإنسان، السيد كونتيه، إلى مغادرة البلد بعد نشر تقرير اللجنة في أعقاب مزاعم بتعرضه لتهديدات لحمله على تغيير بعض الاستنتاجات التي توصل إليها تحقيق اللجنة (المادة 2).</w:t>
      </w:r>
    </w:p>
    <w:p w:rsidR="00FC2685" w:rsidRPr="001B5E7D" w:rsidRDefault="00FC2685" w:rsidP="00086AA1">
      <w:pPr>
        <w:pStyle w:val="SingleTxtGA"/>
        <w:spacing w:line="370" w:lineRule="exact"/>
        <w:rPr>
          <w:rFonts w:hint="cs"/>
          <w:b/>
          <w:bCs/>
          <w:rtl/>
          <w:lang w:val="fr-CH"/>
        </w:rPr>
      </w:pPr>
      <w:r w:rsidRPr="001B5E7D">
        <w:rPr>
          <w:rFonts w:hint="cs"/>
          <w:b/>
          <w:bCs/>
          <w:rtl/>
          <w:lang w:val="fr-CH"/>
        </w:rPr>
        <w:tab/>
        <w:t>ينبغي للدولة الطرف أن تقوم بما يلي:</w:t>
      </w:r>
    </w:p>
    <w:p w:rsidR="00FC2685" w:rsidRPr="001B5E7D" w:rsidRDefault="00FC2685" w:rsidP="00086AA1">
      <w:pPr>
        <w:pStyle w:val="SingleTxtGA"/>
        <w:spacing w:line="370" w:lineRule="exact"/>
        <w:rPr>
          <w:rFonts w:hint="cs"/>
          <w:b/>
          <w:bCs/>
          <w:rtl/>
          <w:lang w:val="fr-CH"/>
        </w:rPr>
      </w:pPr>
      <w:r w:rsidRPr="001B5E7D">
        <w:rPr>
          <w:rFonts w:hint="cs"/>
          <w:b/>
          <w:bCs/>
          <w:rtl/>
          <w:lang w:val="fr-CH"/>
        </w:rPr>
        <w:tab/>
        <w:t>(أ)</w:t>
      </w:r>
      <w:r w:rsidRPr="001B5E7D">
        <w:rPr>
          <w:rFonts w:hint="cs"/>
          <w:b/>
          <w:bCs/>
          <w:rtl/>
          <w:lang w:val="fr-CH"/>
        </w:rPr>
        <w:tab/>
        <w:t>تمكين اللجنة الوطنية لحقوق الإنسان من موارد مالية وبشرية ومادية تكفل أداء مهامها على نحو مستقل ومحايد وفعال؛</w:t>
      </w:r>
    </w:p>
    <w:p w:rsidR="00FC2685" w:rsidRPr="001B5E7D" w:rsidRDefault="00FC2685" w:rsidP="00086AA1">
      <w:pPr>
        <w:pStyle w:val="SingleTxtGA"/>
        <w:spacing w:line="370" w:lineRule="exact"/>
        <w:rPr>
          <w:rFonts w:hint="cs"/>
          <w:b/>
          <w:bCs/>
          <w:rtl/>
          <w:lang w:val="fr-CH"/>
        </w:rPr>
      </w:pPr>
      <w:r w:rsidRPr="001B5E7D">
        <w:rPr>
          <w:rFonts w:hint="cs"/>
          <w:b/>
          <w:bCs/>
          <w:rtl/>
          <w:lang w:val="fr-CH"/>
        </w:rPr>
        <w:tab/>
        <w:t>(ب)</w:t>
      </w:r>
      <w:r w:rsidRPr="001B5E7D">
        <w:rPr>
          <w:rFonts w:hint="cs"/>
          <w:b/>
          <w:bCs/>
          <w:rtl/>
          <w:lang w:val="fr-CH"/>
        </w:rPr>
        <w:tab/>
        <w:t>المبادرة إلى مراجعة القانون الأساسي الذي يحدد صلاحيات اللجنة الوطنية لحقوق الإنسان وعدد أعضائها وأدائها لتمكينها من الاضطلاع بدور الآلية الوطنية لمنع التعذيب وفقاً لأحكام البروتوكول الاختياري لاتفاقية مناهضة التعذيب، بما</w:t>
      </w:r>
      <w:r w:rsidRPr="001B5E7D">
        <w:rPr>
          <w:rFonts w:hint="eastAsia"/>
          <w:b/>
          <w:bCs/>
          <w:rtl/>
          <w:lang w:val="fr-CH"/>
        </w:rPr>
        <w:t> </w:t>
      </w:r>
      <w:r w:rsidRPr="001B5E7D">
        <w:rPr>
          <w:rFonts w:hint="cs"/>
          <w:b/>
          <w:bCs/>
          <w:rtl/>
          <w:lang w:val="fr-CH"/>
        </w:rPr>
        <w:t>في ذلك إجراء تحقيقات ومنع أعمال التعذيب وإجراء زيارات مفاجئة أيضاً لجميع أماكن الاحتجاز، بما يشمل وكالة الاستخبارات الوطنية، والأماكن غير الرسمية، والأماكن التي "يصعب الوصول إليها"، وكذلك إلى مؤسسات الأمراض العقلية وجميع الأماكن التي يُسلَب فيها الفرد حريته؛</w:t>
      </w:r>
    </w:p>
    <w:p w:rsidR="00FC2685" w:rsidRPr="001B5E7D" w:rsidRDefault="00FC2685" w:rsidP="00086AA1">
      <w:pPr>
        <w:pStyle w:val="SingleTxtGA"/>
        <w:spacing w:line="370" w:lineRule="exact"/>
        <w:rPr>
          <w:rFonts w:hint="cs"/>
          <w:b/>
          <w:bCs/>
          <w:rtl/>
          <w:lang w:val="fr-CH"/>
        </w:rPr>
      </w:pPr>
      <w:r w:rsidRPr="001B5E7D">
        <w:rPr>
          <w:rFonts w:hint="cs"/>
          <w:b/>
          <w:bCs/>
          <w:rtl/>
          <w:lang w:val="fr-CH"/>
        </w:rPr>
        <w:tab/>
        <w:t>(ج)</w:t>
      </w:r>
      <w:r w:rsidRPr="001B5E7D">
        <w:rPr>
          <w:rFonts w:hint="cs"/>
          <w:b/>
          <w:bCs/>
          <w:rtl/>
          <w:lang w:val="fr-CH"/>
        </w:rPr>
        <w:tab/>
        <w:t>اتخاذ جميع التدابير اللازمة لضمان سلامة أعضاء الآلية الوطنية البدنية</w:t>
      </w:r>
      <w:r w:rsidRPr="001B5E7D">
        <w:rPr>
          <w:rFonts w:hint="eastAsia"/>
          <w:b/>
          <w:bCs/>
          <w:rtl/>
          <w:lang w:val="fr-CH"/>
        </w:rPr>
        <w:t> </w:t>
      </w:r>
      <w:r w:rsidRPr="001B5E7D">
        <w:rPr>
          <w:rFonts w:hint="cs"/>
          <w:b/>
          <w:bCs/>
          <w:rtl/>
          <w:lang w:val="fr-CH"/>
        </w:rPr>
        <w:t>والنفسية؛</w:t>
      </w:r>
    </w:p>
    <w:p w:rsidR="00FC2685" w:rsidRPr="001B5E7D" w:rsidRDefault="00FC2685" w:rsidP="00086AA1">
      <w:pPr>
        <w:pStyle w:val="SingleTxtGA"/>
        <w:spacing w:line="370" w:lineRule="exact"/>
        <w:rPr>
          <w:rFonts w:hint="cs"/>
          <w:b/>
          <w:bCs/>
          <w:rtl/>
          <w:lang w:val="fr-CH"/>
        </w:rPr>
      </w:pPr>
      <w:r w:rsidRPr="001B5E7D">
        <w:rPr>
          <w:rFonts w:hint="cs"/>
          <w:b/>
          <w:bCs/>
          <w:rtl/>
          <w:lang w:val="fr-CH"/>
        </w:rPr>
        <w:tab/>
        <w:t>(د)</w:t>
      </w:r>
      <w:r w:rsidRPr="001B5E7D">
        <w:rPr>
          <w:rFonts w:hint="cs"/>
          <w:b/>
          <w:bCs/>
          <w:rtl/>
          <w:lang w:val="fr-CH"/>
        </w:rPr>
        <w:tab/>
        <w:t>التحقيق في الأسباب التي دفعت السيد كونتي إلى مغادرة البلد واتخاذ جميع تدابير الحماية وتأمين الضمانات التي تمكنه من العودة رفقة أسرته إلى البلد في كَنف السلامة إذا قرر ذلك.</w:t>
      </w:r>
    </w:p>
    <w:p w:rsidR="00FC2685" w:rsidRPr="00FC2685" w:rsidRDefault="00FC2685" w:rsidP="00086AA1">
      <w:pPr>
        <w:pStyle w:val="H23GA"/>
        <w:spacing w:line="370" w:lineRule="exact"/>
        <w:rPr>
          <w:rFonts w:hint="cs"/>
          <w:rtl/>
          <w:lang w:val="fr-CH"/>
        </w:rPr>
      </w:pPr>
      <w:r w:rsidRPr="00FC2685">
        <w:rPr>
          <w:rFonts w:hint="cs"/>
          <w:rtl/>
          <w:lang w:val="fr-CH"/>
        </w:rPr>
        <w:tab/>
      </w:r>
      <w:r w:rsidRPr="00FC2685">
        <w:rPr>
          <w:rFonts w:hint="cs"/>
          <w:rtl/>
          <w:lang w:val="fr-CH"/>
        </w:rPr>
        <w:tab/>
        <w:t>العنف ضد المرأة</w:t>
      </w:r>
    </w:p>
    <w:p w:rsidR="00FC2685" w:rsidRPr="00FC2685" w:rsidRDefault="001B5E7D" w:rsidP="00086AA1">
      <w:pPr>
        <w:pStyle w:val="SingleTxtGA"/>
        <w:spacing w:line="370" w:lineRule="exact"/>
        <w:rPr>
          <w:rFonts w:hint="cs"/>
          <w:rtl/>
          <w:lang w:val="fr-CH"/>
        </w:rPr>
      </w:pPr>
      <w:r>
        <w:rPr>
          <w:rFonts w:hint="cs"/>
          <w:rtl/>
          <w:lang w:val="fr-CH"/>
        </w:rPr>
        <w:t>(</w:t>
      </w:r>
      <w:r w:rsidR="00FC2685" w:rsidRPr="00FC2685">
        <w:rPr>
          <w:rFonts w:hint="cs"/>
          <w:rtl/>
          <w:lang w:val="fr-CH"/>
        </w:rPr>
        <w:t>15</w:t>
      </w:r>
      <w:r>
        <w:rPr>
          <w:rFonts w:hint="cs"/>
          <w:rtl/>
          <w:lang w:val="fr-CH"/>
        </w:rPr>
        <w:t>)</w:t>
      </w:r>
      <w:r w:rsidR="00FC2685" w:rsidRPr="00FC2685">
        <w:rPr>
          <w:rFonts w:hint="cs"/>
          <w:rtl/>
          <w:lang w:val="fr-CH"/>
        </w:rPr>
        <w:tab/>
        <w:t>يساور اللجنة القلق إزاء عدم وجود تشريع محدد لقمع أي شكل من أشكال العنف ضد المرأة، بما في ذلك العنف المنزلي والجنسي. كما تشعر بالقلق إزاء انتشار العنف ضد المرأة، بما في ذلك الاغتصاب في إطار الزواج، وكذلك تشويه الأعضاء التناسلية الأنثوية وإيذاء النساء جنسياً في السجون. وتعرب اللجنة عن القلق إزاء قلة التقدم المحرز في الحد من الاتجار بالأشخاص، ولا سيما النساء والفتيات، لأغراض الاستغلال الجنسي بصورة خاصة (المادتان 2 و16).</w:t>
      </w:r>
    </w:p>
    <w:p w:rsidR="00FC2685" w:rsidRPr="001B5E7D" w:rsidRDefault="00FC2685" w:rsidP="00086AA1">
      <w:pPr>
        <w:pStyle w:val="SingleTxtGA"/>
        <w:spacing w:line="370" w:lineRule="exact"/>
        <w:rPr>
          <w:rFonts w:hint="cs"/>
          <w:b/>
          <w:bCs/>
          <w:rtl/>
          <w:lang w:val="fr-CH"/>
        </w:rPr>
      </w:pPr>
      <w:r w:rsidRPr="001B5E7D">
        <w:rPr>
          <w:rFonts w:hint="cs"/>
          <w:b/>
          <w:bCs/>
          <w:rtl/>
          <w:lang w:val="fr-CH"/>
        </w:rPr>
        <w:tab/>
        <w:t>ينبغي للدولة الطرف أن تقوم بما يلي:</w:t>
      </w:r>
    </w:p>
    <w:p w:rsidR="00FC2685" w:rsidRPr="001B5E7D" w:rsidRDefault="00FC2685" w:rsidP="00086AA1">
      <w:pPr>
        <w:pStyle w:val="SingleTxtGA"/>
        <w:spacing w:line="370" w:lineRule="exact"/>
        <w:rPr>
          <w:rFonts w:hint="cs"/>
          <w:b/>
          <w:bCs/>
          <w:rtl/>
          <w:lang w:val="fr-CH"/>
        </w:rPr>
      </w:pPr>
      <w:r w:rsidRPr="001B5E7D">
        <w:rPr>
          <w:rFonts w:hint="cs"/>
          <w:b/>
          <w:bCs/>
          <w:rtl/>
          <w:lang w:val="fr-CH"/>
        </w:rPr>
        <w:tab/>
        <w:t>(أ)</w:t>
      </w:r>
      <w:r w:rsidRPr="001B5E7D">
        <w:rPr>
          <w:rFonts w:hint="cs"/>
          <w:b/>
          <w:bCs/>
          <w:rtl/>
          <w:lang w:val="fr-CH"/>
        </w:rPr>
        <w:tab/>
        <w:t>صياغة، تشريع شامل يتناول العنف ضد المرأة، واعتماده، على سبيل الأولوية، ومنح صفة الجناية المستكملة الشروط للعنف الجنسي في قانون العقوبات الجديد بما في ذلك الاغتصاب في إطار الزواج والعنف المنزلي؛</w:t>
      </w:r>
    </w:p>
    <w:p w:rsidR="00FC2685" w:rsidRPr="001B5E7D" w:rsidRDefault="00FC2685" w:rsidP="001B5E7D">
      <w:pPr>
        <w:pStyle w:val="SingleTxtGA"/>
        <w:rPr>
          <w:rFonts w:hint="cs"/>
          <w:b/>
          <w:bCs/>
          <w:rtl/>
          <w:lang w:val="fr-CH"/>
        </w:rPr>
      </w:pPr>
      <w:r w:rsidRPr="001B5E7D">
        <w:rPr>
          <w:rFonts w:hint="cs"/>
          <w:b/>
          <w:bCs/>
          <w:rtl/>
          <w:lang w:val="fr-CH"/>
        </w:rPr>
        <w:tab/>
        <w:t>(ب)</w:t>
      </w:r>
      <w:r w:rsidRPr="001B5E7D">
        <w:rPr>
          <w:rFonts w:hint="cs"/>
          <w:b/>
          <w:bCs/>
          <w:rtl/>
          <w:lang w:val="fr-CH"/>
        </w:rPr>
        <w:tab/>
        <w:t>تكثيف جهودها لمنع العنف ضد المرأة، بما في ذلك العنف داخل الأسرة، وتشويه الأعضاء التناسلية الأنثوية والعنف في السجون وكذلك الاتجار بالنساء والفتيات، وبخاصة لأغراض الاستغلال الجنسي، وتشجيع الضحايا على تقديم شكاوى؛</w:t>
      </w:r>
    </w:p>
    <w:p w:rsidR="00FC2685" w:rsidRPr="001B5E7D" w:rsidRDefault="00FC2685" w:rsidP="00086AA1">
      <w:pPr>
        <w:pStyle w:val="SingleTxtGA"/>
        <w:spacing w:line="370" w:lineRule="exact"/>
        <w:rPr>
          <w:rFonts w:hint="cs"/>
          <w:b/>
          <w:bCs/>
          <w:spacing w:val="-4"/>
          <w:rtl/>
          <w:lang w:val="fr-CH"/>
        </w:rPr>
      </w:pPr>
      <w:r w:rsidRPr="001B5E7D">
        <w:rPr>
          <w:rFonts w:hint="cs"/>
          <w:b/>
          <w:bCs/>
          <w:spacing w:val="-4"/>
          <w:rtl/>
          <w:lang w:val="fr-CH"/>
        </w:rPr>
        <w:tab/>
        <w:t>(ج)</w:t>
      </w:r>
      <w:r w:rsidRPr="001B5E7D">
        <w:rPr>
          <w:rFonts w:hint="cs"/>
          <w:b/>
          <w:bCs/>
          <w:spacing w:val="-4"/>
          <w:rtl/>
          <w:lang w:val="fr-CH"/>
        </w:rPr>
        <w:tab/>
        <w:t>إجراء تحقيقات مستوفية الشروط، وملاحقة الجناة ومعاقبتهم عند الاقتضاء؛</w:t>
      </w:r>
    </w:p>
    <w:p w:rsidR="00FC2685" w:rsidRPr="001B5E7D" w:rsidRDefault="00FC2685" w:rsidP="00086AA1">
      <w:pPr>
        <w:pStyle w:val="SingleTxtGA"/>
        <w:spacing w:line="370" w:lineRule="exact"/>
        <w:rPr>
          <w:rFonts w:hint="cs"/>
          <w:b/>
          <w:bCs/>
          <w:rtl/>
          <w:lang w:val="fr-CH"/>
        </w:rPr>
      </w:pPr>
      <w:r w:rsidRPr="001B5E7D">
        <w:rPr>
          <w:rFonts w:hint="cs"/>
          <w:b/>
          <w:bCs/>
          <w:rtl/>
          <w:lang w:val="fr-CH"/>
        </w:rPr>
        <w:tab/>
        <w:t>(د)</w:t>
      </w:r>
      <w:r w:rsidRPr="001B5E7D">
        <w:rPr>
          <w:rFonts w:hint="cs"/>
          <w:b/>
          <w:bCs/>
          <w:rtl/>
          <w:lang w:val="fr-CH"/>
        </w:rPr>
        <w:tab/>
        <w:t>تدريب القضاة والمدعين العامين وأفراد الشرطة على التطبيق الحاسم للقانون المتعلق بقمع تشويه الأعضاء التناسلية الأنثوية وتقديم إحصاءات عن عدد الشكاوى والتحقيقات والمحاكمات والإدانات المرتبطة بالعنف ضد المرأة وذات الصلة بتشويه الأعضاء التناسلية الأنثوية؛</w:t>
      </w:r>
    </w:p>
    <w:p w:rsidR="00FC2685" w:rsidRPr="001B5E7D" w:rsidRDefault="00FC2685" w:rsidP="00086AA1">
      <w:pPr>
        <w:pStyle w:val="SingleTxtGA"/>
        <w:spacing w:line="370" w:lineRule="exact"/>
        <w:rPr>
          <w:rFonts w:hint="cs"/>
          <w:b/>
          <w:bCs/>
          <w:rtl/>
          <w:lang w:val="fr-CH"/>
        </w:rPr>
      </w:pPr>
      <w:r w:rsidRPr="001B5E7D">
        <w:rPr>
          <w:rFonts w:hint="cs"/>
          <w:b/>
          <w:bCs/>
          <w:rtl/>
          <w:lang w:val="fr-CH"/>
        </w:rPr>
        <w:tab/>
        <w:t>(ﻫ)</w:t>
      </w:r>
      <w:r w:rsidRPr="001B5E7D">
        <w:rPr>
          <w:rFonts w:hint="cs"/>
          <w:b/>
          <w:bCs/>
          <w:rtl/>
          <w:lang w:val="fr-CH"/>
        </w:rPr>
        <w:tab/>
        <w:t>تنظيم حملات توعية جماهيرية تتناول حظر تشويه الأعضاء التناسلية الأنثوية في جميع أنحاء البلد.</w:t>
      </w:r>
    </w:p>
    <w:p w:rsidR="00FC2685" w:rsidRPr="00FC2685" w:rsidRDefault="001B5E7D" w:rsidP="00086AA1">
      <w:pPr>
        <w:pStyle w:val="H23GA"/>
        <w:spacing w:line="370" w:lineRule="exact"/>
        <w:rPr>
          <w:lang w:val="fr-CH"/>
        </w:rPr>
      </w:pPr>
      <w:r>
        <w:rPr>
          <w:rFonts w:hint="cs"/>
          <w:rtl/>
          <w:lang w:val="fr-CH"/>
        </w:rPr>
        <w:tab/>
      </w:r>
      <w:r>
        <w:rPr>
          <w:rFonts w:hint="cs"/>
          <w:rtl/>
          <w:lang w:val="fr-CH"/>
        </w:rPr>
        <w:tab/>
      </w:r>
      <w:r w:rsidR="00FC2685" w:rsidRPr="00FC2685">
        <w:rPr>
          <w:rFonts w:hint="cs"/>
          <w:rtl/>
          <w:lang w:val="fr-CH"/>
        </w:rPr>
        <w:t>عدم الإعادة القسرية</w:t>
      </w:r>
    </w:p>
    <w:p w:rsidR="00FC2685" w:rsidRPr="00FC2685" w:rsidRDefault="001B5E7D" w:rsidP="00086AA1">
      <w:pPr>
        <w:pStyle w:val="SingleTxtGA"/>
        <w:spacing w:line="370" w:lineRule="exact"/>
        <w:rPr>
          <w:rFonts w:hint="cs"/>
          <w:rtl/>
          <w:lang w:val="fr-CH"/>
        </w:rPr>
      </w:pPr>
      <w:r>
        <w:rPr>
          <w:rFonts w:hint="cs"/>
          <w:rtl/>
          <w:lang w:val="fr-CH"/>
        </w:rPr>
        <w:t>(</w:t>
      </w:r>
      <w:r w:rsidR="00FC2685" w:rsidRPr="00FC2685">
        <w:rPr>
          <w:rFonts w:hint="cs"/>
          <w:rtl/>
          <w:lang w:val="fr-CH"/>
        </w:rPr>
        <w:t>16</w:t>
      </w:r>
      <w:r>
        <w:rPr>
          <w:rFonts w:hint="cs"/>
          <w:rtl/>
          <w:lang w:val="fr-CH"/>
        </w:rPr>
        <w:t>)</w:t>
      </w:r>
      <w:r w:rsidR="00FC2685" w:rsidRPr="00FC2685">
        <w:rPr>
          <w:rFonts w:hint="cs"/>
          <w:rtl/>
          <w:lang w:val="fr-CH"/>
        </w:rPr>
        <w:tab/>
        <w:t xml:space="preserve">تأسف اللجنة لما ورد في التقرير من معلومات ناقصة عن الإجراءات والتدابير التي اتخذتها الدولة الطرف للوفاء بالتزامها باحترام مبدأ عدم الإعادة القسرية بموجب المادة 3 من الاتفاقية (المادة 3). </w:t>
      </w:r>
    </w:p>
    <w:p w:rsidR="00FC2685" w:rsidRPr="001B5E7D" w:rsidRDefault="00FC2685" w:rsidP="00086AA1">
      <w:pPr>
        <w:pStyle w:val="SingleTxtGA"/>
        <w:keepNext/>
        <w:keepLines/>
        <w:spacing w:line="370" w:lineRule="exact"/>
        <w:rPr>
          <w:rFonts w:hint="cs"/>
          <w:b/>
          <w:bCs/>
          <w:rtl/>
          <w:lang w:val="fr-CH"/>
        </w:rPr>
      </w:pPr>
      <w:r w:rsidRPr="001B5E7D">
        <w:rPr>
          <w:b/>
          <w:bCs/>
          <w:rtl/>
          <w:lang w:val="fr-CH"/>
        </w:rPr>
        <w:tab/>
      </w:r>
      <w:r w:rsidRPr="001B5E7D">
        <w:rPr>
          <w:rFonts w:hint="cs"/>
          <w:b/>
          <w:bCs/>
          <w:rtl/>
          <w:lang w:val="fr-CH"/>
        </w:rPr>
        <w:t>توصي اللجنة الدولة الطرف بما يلي:</w:t>
      </w:r>
    </w:p>
    <w:p w:rsidR="00FC2685" w:rsidRPr="001B5E7D" w:rsidRDefault="00FC2685" w:rsidP="00086AA1">
      <w:pPr>
        <w:pStyle w:val="SingleTxtGA"/>
        <w:spacing w:line="370" w:lineRule="exact"/>
        <w:rPr>
          <w:rFonts w:hint="cs"/>
          <w:b/>
          <w:bCs/>
          <w:rtl/>
          <w:lang w:val="fr-CH"/>
        </w:rPr>
      </w:pPr>
      <w:r w:rsidRPr="001B5E7D">
        <w:rPr>
          <w:rFonts w:hint="cs"/>
          <w:b/>
          <w:bCs/>
          <w:rtl/>
          <w:lang w:val="fr-CH"/>
        </w:rPr>
        <w:tab/>
        <w:t>(أ)</w:t>
      </w:r>
      <w:r w:rsidRPr="001B5E7D">
        <w:rPr>
          <w:rFonts w:hint="cs"/>
          <w:b/>
          <w:bCs/>
          <w:rtl/>
          <w:lang w:val="fr-CH"/>
        </w:rPr>
        <w:tab/>
        <w:t>مراعاة احترام مبدأ عدم الإعادة القسرية وفقاً للمادة 3 من الاتفاقية، ولا سيما الالتزام بالتأكد من مدى وجود أسباب حقيقية تدعو إلى الاعتقاد بأن ملتمس اللجوء يُخشى أن يتعرض للتعذيب أو لإساءة المعاملة إذا طُرد، وذلك بوسائل منها إجراء مقابلات فردية منتظمة لتقييم الخطر المُحدق بملتمسي اللجوء شخصياً؛</w:t>
      </w:r>
    </w:p>
    <w:p w:rsidR="00FC2685" w:rsidRPr="001B5E7D" w:rsidRDefault="00FC2685" w:rsidP="00086AA1">
      <w:pPr>
        <w:pStyle w:val="SingleTxtGA"/>
        <w:spacing w:line="370" w:lineRule="exact"/>
        <w:rPr>
          <w:rFonts w:ascii="Times New Roman Bold" w:hAnsi="Times New Roman Bold" w:hint="cs"/>
          <w:b/>
          <w:bCs/>
          <w:spacing w:val="-2"/>
          <w:rtl/>
          <w:lang w:val="fr-CH"/>
        </w:rPr>
      </w:pPr>
      <w:r w:rsidRPr="001B5E7D">
        <w:rPr>
          <w:rFonts w:ascii="Times New Roman Bold" w:hAnsi="Times New Roman Bold" w:hint="cs"/>
          <w:b/>
          <w:bCs/>
          <w:spacing w:val="-2"/>
          <w:rtl/>
          <w:lang w:val="fr-CH"/>
        </w:rPr>
        <w:tab/>
        <w:t>(ب)</w:t>
      </w:r>
      <w:r w:rsidRPr="001B5E7D">
        <w:rPr>
          <w:rFonts w:ascii="Times New Roman Bold" w:hAnsi="Times New Roman Bold" w:hint="cs"/>
          <w:b/>
          <w:bCs/>
          <w:spacing w:val="-2"/>
          <w:rtl/>
          <w:lang w:val="fr-CH"/>
        </w:rPr>
        <w:tab/>
        <w:t xml:space="preserve">تضمين قانون العقوبات الحق في الطعن بأثر واقف ضد أي قرار طرد واحترام جميع الضمانات في إطار إجراءات اللجوء والطرد في انتظار نتيجة الطعون المقدمة. </w:t>
      </w:r>
    </w:p>
    <w:p w:rsidR="00FC2685" w:rsidRPr="00FC2685" w:rsidRDefault="001B5E7D" w:rsidP="00086AA1">
      <w:pPr>
        <w:pStyle w:val="H23GA"/>
        <w:spacing w:line="370" w:lineRule="exact"/>
        <w:rPr>
          <w:rFonts w:hint="cs"/>
          <w:rtl/>
          <w:lang w:val="fr-CH"/>
        </w:rPr>
      </w:pPr>
      <w:r>
        <w:rPr>
          <w:rFonts w:hint="cs"/>
          <w:rtl/>
          <w:lang w:val="fr-CH"/>
        </w:rPr>
        <w:tab/>
      </w:r>
      <w:r>
        <w:rPr>
          <w:rFonts w:hint="cs"/>
          <w:rtl/>
          <w:lang w:val="fr-CH"/>
        </w:rPr>
        <w:tab/>
      </w:r>
      <w:r w:rsidR="00FC2685" w:rsidRPr="00FC2685">
        <w:rPr>
          <w:rFonts w:hint="cs"/>
          <w:rtl/>
          <w:lang w:val="fr-CH"/>
        </w:rPr>
        <w:t>التدريب في مجال منع التعذيب</w:t>
      </w:r>
    </w:p>
    <w:p w:rsidR="00FC2685" w:rsidRPr="00086AA1" w:rsidRDefault="001B5E7D" w:rsidP="00086AA1">
      <w:pPr>
        <w:pStyle w:val="SingleTxtGA"/>
        <w:spacing w:line="370" w:lineRule="exact"/>
        <w:rPr>
          <w:rFonts w:hint="cs"/>
          <w:spacing w:val="-4"/>
          <w:rtl/>
          <w:lang w:val="fr-CH"/>
        </w:rPr>
      </w:pPr>
      <w:r w:rsidRPr="00086AA1">
        <w:rPr>
          <w:rFonts w:hint="cs"/>
          <w:spacing w:val="-2"/>
          <w:rtl/>
          <w:lang w:val="fr-CH"/>
        </w:rPr>
        <w:t>(</w:t>
      </w:r>
      <w:r w:rsidR="00FC2685" w:rsidRPr="00086AA1">
        <w:rPr>
          <w:rFonts w:hint="cs"/>
          <w:spacing w:val="-2"/>
          <w:rtl/>
          <w:lang w:val="fr-CH"/>
        </w:rPr>
        <w:t>17</w:t>
      </w:r>
      <w:r w:rsidRPr="00086AA1">
        <w:rPr>
          <w:rFonts w:hint="cs"/>
          <w:spacing w:val="-2"/>
          <w:rtl/>
          <w:lang w:val="fr-CH"/>
        </w:rPr>
        <w:t>)</w:t>
      </w:r>
      <w:r w:rsidR="00FC2685" w:rsidRPr="00086AA1">
        <w:rPr>
          <w:rFonts w:hint="cs"/>
          <w:spacing w:val="-2"/>
          <w:rtl/>
          <w:lang w:val="fr-CH"/>
        </w:rPr>
        <w:tab/>
        <w:t xml:space="preserve">تحيط اللجنة علماً بمختلف الدورات التدريبية، بما في ذلك الدورات المنظمة في مجال حقوق الإنسان لصالح أفراد دوائر الأمن، بيد أن القلق يساورها إزاء عدم وجود دورات تدريبية على اتفاقية مناهضة التعذيب ولا سيما حظر التعذيب بشكل مطلق، لصالح أفراد الشرطة والدرك وحراس مقارّ حكام المحافظات وموظفي الشرطة القضائية وموظفي السجون، فضلاً عن الموظفين المكلفين بإنفاذ القوانين مثل القضاة والمدعين العامين وحكام المقاطعات </w:t>
      </w:r>
      <w:r w:rsidR="00FC2685" w:rsidRPr="00086AA1">
        <w:rPr>
          <w:rFonts w:hint="cs"/>
          <w:spacing w:val="-4"/>
          <w:rtl/>
          <w:lang w:val="fr-CH"/>
        </w:rPr>
        <w:t>ونوابهم والمحامين. ويساورها القلق أيضاً من عدم استخدام دليل كفاءة التحقيق والتوثيق في حالات التعذيب وغيره من ضروب المعاملة أو العقوبة القاسية أو اللاإنسانية أو</w:t>
      </w:r>
      <w:r w:rsidR="00FC2685" w:rsidRPr="00086AA1">
        <w:rPr>
          <w:rFonts w:hint="eastAsia"/>
          <w:spacing w:val="-4"/>
          <w:rtl/>
          <w:lang w:val="fr-CH"/>
        </w:rPr>
        <w:t> </w:t>
      </w:r>
      <w:r w:rsidR="00FC2685" w:rsidRPr="00086AA1">
        <w:rPr>
          <w:rFonts w:hint="cs"/>
          <w:spacing w:val="-4"/>
          <w:rtl/>
          <w:lang w:val="fr-CH"/>
        </w:rPr>
        <w:t>المهينة (بروتوكول اسطنبول) بصورة منتظمة عند النظر في حالات التعذيب أو</w:t>
      </w:r>
      <w:r w:rsidR="00FC2685" w:rsidRPr="00086AA1">
        <w:rPr>
          <w:rFonts w:hint="eastAsia"/>
          <w:spacing w:val="-4"/>
          <w:rtl/>
          <w:lang w:val="fr-CH"/>
        </w:rPr>
        <w:t> </w:t>
      </w:r>
      <w:r w:rsidR="00FC2685" w:rsidRPr="00086AA1">
        <w:rPr>
          <w:rFonts w:hint="cs"/>
          <w:spacing w:val="-4"/>
          <w:rtl/>
          <w:lang w:val="fr-CH"/>
        </w:rPr>
        <w:t>إساءة المعاملة (المادة 10).</w:t>
      </w:r>
    </w:p>
    <w:p w:rsidR="00FC2685" w:rsidRPr="00833AA7" w:rsidRDefault="00833AA7" w:rsidP="00086AA1">
      <w:pPr>
        <w:pStyle w:val="SingleTxtGA"/>
        <w:spacing w:line="370" w:lineRule="exact"/>
        <w:rPr>
          <w:rFonts w:hint="cs"/>
          <w:b/>
          <w:bCs/>
          <w:rtl/>
          <w:lang w:val="fr-CH"/>
        </w:rPr>
      </w:pPr>
      <w:r>
        <w:rPr>
          <w:rFonts w:hint="cs"/>
          <w:b/>
          <w:bCs/>
          <w:rtl/>
          <w:lang w:val="fr-CH"/>
        </w:rPr>
        <w:tab/>
      </w:r>
      <w:r w:rsidR="00FC2685" w:rsidRPr="00833AA7">
        <w:rPr>
          <w:rFonts w:hint="cs"/>
          <w:b/>
          <w:bCs/>
          <w:rtl/>
          <w:lang w:val="fr-CH"/>
        </w:rPr>
        <w:t>توصي اللجنة الدولة الطرف بما يلي:</w:t>
      </w:r>
    </w:p>
    <w:p w:rsidR="00FC2685" w:rsidRPr="00833AA7" w:rsidRDefault="00FC2685" w:rsidP="00086AA1">
      <w:pPr>
        <w:pStyle w:val="SingleTxtGA"/>
        <w:spacing w:line="370" w:lineRule="exact"/>
        <w:rPr>
          <w:rFonts w:hint="cs"/>
          <w:b/>
          <w:bCs/>
          <w:rtl/>
          <w:lang w:val="fr-CH"/>
        </w:rPr>
      </w:pPr>
      <w:r w:rsidRPr="00833AA7">
        <w:rPr>
          <w:rFonts w:hint="cs"/>
          <w:b/>
          <w:bCs/>
          <w:rtl/>
          <w:lang w:val="fr-CH"/>
        </w:rPr>
        <w:tab/>
        <w:t>(أ)</w:t>
      </w:r>
      <w:r w:rsidRPr="00833AA7">
        <w:rPr>
          <w:rFonts w:hint="cs"/>
          <w:b/>
          <w:bCs/>
          <w:rtl/>
          <w:lang w:val="fr-CH"/>
        </w:rPr>
        <w:tab/>
        <w:t>تنفيذ وإعداد برامج ودورات تدريبية بشأن حقوق الإنسان تضمن إحاطة أفراد الأمن مثل الشرطة والدرك وحراس مقار حكام المقاطعات وموظفي الشرطة القضائية وموظفي السجون وكذلك الموظفين المكلفين بإنفاذ القوانين مثل القضاة والمدعين العامين وحكام المقاطعات ونوابهم والمحامين إحاطة كاملة بأحكام الاتفاقية، وبخاصة حظر التعذيب بشكل مطلق؛</w:t>
      </w:r>
    </w:p>
    <w:p w:rsidR="00FC2685" w:rsidRPr="00833AA7" w:rsidRDefault="00FC2685" w:rsidP="00833AA7">
      <w:pPr>
        <w:pStyle w:val="SingleTxtGA"/>
        <w:rPr>
          <w:rFonts w:hint="cs"/>
          <w:b/>
          <w:bCs/>
          <w:rtl/>
          <w:lang w:val="fr-CH"/>
        </w:rPr>
      </w:pPr>
      <w:r w:rsidRPr="00833AA7">
        <w:rPr>
          <w:rFonts w:hint="cs"/>
          <w:b/>
          <w:bCs/>
          <w:rtl/>
          <w:lang w:val="fr-CH"/>
        </w:rPr>
        <w:tab/>
        <w:t>(ب)</w:t>
      </w:r>
      <w:r w:rsidRPr="00833AA7">
        <w:rPr>
          <w:rFonts w:hint="cs"/>
          <w:b/>
          <w:bCs/>
          <w:rtl/>
          <w:lang w:val="fr-CH"/>
        </w:rPr>
        <w:tab/>
        <w:t>تنظيم دورات تدريبية على بروتوكول اسطنبول بصورة منتظمة ومنهجية للعاملين في القطاع الطبي وللأطباء الشرعيين والقضاة والمدعين العامين وغيرهم ممّن يشاركون في عمليات الاحتجاز أو الاستجواب أو التعامل مع أي شخص يخضع للتوقيف أو الاحتجاز أو السجن، فضلاً عمن يشاركون في التحقيقات بشأن حالات التعذيب؛</w:t>
      </w:r>
    </w:p>
    <w:p w:rsidR="00FC2685" w:rsidRPr="00833AA7" w:rsidRDefault="00FC2685" w:rsidP="00833AA7">
      <w:pPr>
        <w:pStyle w:val="SingleTxtGA"/>
        <w:rPr>
          <w:rFonts w:hint="cs"/>
          <w:b/>
          <w:bCs/>
          <w:rtl/>
          <w:lang w:val="fr-CH"/>
        </w:rPr>
      </w:pPr>
      <w:r w:rsidRPr="00833AA7">
        <w:rPr>
          <w:rFonts w:hint="cs"/>
          <w:b/>
          <w:bCs/>
          <w:rtl/>
          <w:lang w:val="fr-CH"/>
        </w:rPr>
        <w:tab/>
        <w:t>(ج)</w:t>
      </w:r>
      <w:r w:rsidRPr="00833AA7">
        <w:rPr>
          <w:rFonts w:hint="cs"/>
          <w:b/>
          <w:bCs/>
          <w:rtl/>
          <w:lang w:val="fr-CH"/>
        </w:rPr>
        <w:tab/>
        <w:t>إعداد منهجية وتنفيذها تمكن من تقييم فعالية برامج التثقيف باتفاقية مناهضة التعذيب وبروتوكول اسطنبول والتدريب عليهما، وآثار هذه المنهجية في الحد من آثار التعذيب وإساءة المعاملة.</w:t>
      </w:r>
    </w:p>
    <w:p w:rsidR="00FC2685" w:rsidRPr="00FC2685" w:rsidRDefault="00833AA7" w:rsidP="00833AA7">
      <w:pPr>
        <w:pStyle w:val="H23GA"/>
        <w:rPr>
          <w:rFonts w:hint="cs"/>
          <w:rtl/>
          <w:lang w:val="fr-CH"/>
        </w:rPr>
      </w:pPr>
      <w:r>
        <w:rPr>
          <w:rFonts w:hint="cs"/>
          <w:rtl/>
          <w:lang w:val="fr-CH"/>
        </w:rPr>
        <w:tab/>
      </w:r>
      <w:r>
        <w:rPr>
          <w:rFonts w:hint="cs"/>
          <w:rtl/>
          <w:lang w:val="fr-CH"/>
        </w:rPr>
        <w:tab/>
      </w:r>
      <w:r w:rsidR="00FC2685" w:rsidRPr="00FC2685">
        <w:rPr>
          <w:rFonts w:hint="cs"/>
          <w:rtl/>
          <w:lang w:val="fr-CH"/>
        </w:rPr>
        <w:t>إنصاف ضحايا التعذيب وإعادة تأهيلهم</w:t>
      </w:r>
    </w:p>
    <w:p w:rsidR="00FC2685" w:rsidRPr="00FC2685" w:rsidRDefault="00833AA7" w:rsidP="00833AA7">
      <w:pPr>
        <w:pStyle w:val="SingleTxtGA"/>
        <w:rPr>
          <w:rFonts w:hint="cs"/>
          <w:rtl/>
          <w:lang w:val="fr-CH"/>
        </w:rPr>
      </w:pPr>
      <w:r>
        <w:rPr>
          <w:rFonts w:hint="cs"/>
          <w:rtl/>
          <w:lang w:val="fr-CH"/>
        </w:rPr>
        <w:t>(</w:t>
      </w:r>
      <w:r w:rsidR="00FC2685" w:rsidRPr="00FC2685">
        <w:rPr>
          <w:rFonts w:hint="cs"/>
          <w:rtl/>
          <w:lang w:val="fr-CH"/>
        </w:rPr>
        <w:t>18</w:t>
      </w:r>
      <w:r>
        <w:rPr>
          <w:rFonts w:hint="cs"/>
          <w:rtl/>
          <w:lang w:val="fr-CH"/>
        </w:rPr>
        <w:t>)</w:t>
      </w:r>
      <w:r w:rsidR="00FC2685" w:rsidRPr="00FC2685">
        <w:rPr>
          <w:rFonts w:hint="cs"/>
          <w:rtl/>
          <w:lang w:val="fr-CH"/>
        </w:rPr>
        <w:tab/>
        <w:t>يساور اللجنة القلق إزاء عدم تضم</w:t>
      </w:r>
      <w:r w:rsidR="0001312C">
        <w:rPr>
          <w:rFonts w:hint="cs"/>
          <w:rtl/>
          <w:lang w:val="fr-CH"/>
        </w:rPr>
        <w:t>ي</w:t>
      </w:r>
      <w:r w:rsidR="00FC2685" w:rsidRPr="00FC2685">
        <w:rPr>
          <w:rFonts w:hint="cs"/>
          <w:rtl/>
          <w:lang w:val="fr-CH"/>
        </w:rPr>
        <w:t>ن قانون العقوبات الحالي أي أحكام تضمن إنصاف ضحايا التعذيب والتعويض عن الأضرار الناجمة عنه. وبالمثل، لا يوجد أي إجراء لطلب التعويض عن الأضرار الناجمة عن التعذيب. كما تشعر بالقلق من أن طلب</w:t>
      </w:r>
      <w:r w:rsidR="00365CF8">
        <w:rPr>
          <w:rFonts w:hint="cs"/>
          <w:rtl/>
          <w:lang w:val="fr-CH"/>
        </w:rPr>
        <w:t xml:space="preserve"> التعويض</w:t>
      </w:r>
      <w:r w:rsidR="00FC2685" w:rsidRPr="00FC2685">
        <w:rPr>
          <w:rFonts w:hint="cs"/>
          <w:rtl/>
          <w:lang w:val="fr-CH"/>
        </w:rPr>
        <w:t xml:space="preserve"> الوحيد </w:t>
      </w:r>
      <w:r w:rsidR="00365CF8">
        <w:rPr>
          <w:rFonts w:hint="cs"/>
          <w:rtl/>
          <w:lang w:val="fr-CH"/>
        </w:rPr>
        <w:t xml:space="preserve">المقدم حتى الآن هو الطلب الذي </w:t>
      </w:r>
      <w:r w:rsidR="00FC2685" w:rsidRPr="00FC2685">
        <w:rPr>
          <w:rFonts w:hint="cs"/>
          <w:rtl/>
          <w:lang w:val="fr-CH"/>
        </w:rPr>
        <w:t xml:space="preserve">قدمه المسؤولون المزعومون عن محاولة الانقلاب العسكري </w:t>
      </w:r>
      <w:r w:rsidR="008C1B26">
        <w:rPr>
          <w:rFonts w:hint="cs"/>
          <w:rtl/>
          <w:lang w:val="fr-CH"/>
        </w:rPr>
        <w:t>و</w:t>
      </w:r>
      <w:r w:rsidR="00FC2685" w:rsidRPr="00FC2685">
        <w:rPr>
          <w:rFonts w:hint="cs"/>
          <w:rtl/>
          <w:lang w:val="fr-CH"/>
        </w:rPr>
        <w:t xml:space="preserve">الذي </w:t>
      </w:r>
      <w:r w:rsidR="008C1B26">
        <w:rPr>
          <w:rFonts w:hint="cs"/>
          <w:rtl/>
          <w:lang w:val="fr-CH"/>
        </w:rPr>
        <w:t xml:space="preserve">كان أصلا </w:t>
      </w:r>
      <w:r w:rsidR="00FC2685" w:rsidRPr="00FC2685">
        <w:rPr>
          <w:rFonts w:hint="cs"/>
          <w:rtl/>
          <w:lang w:val="fr-CH"/>
        </w:rPr>
        <w:t>موضوع إحدى التوصيات الواردة في تقرير اللجنة الوطنية لحقوق الإنسان الصادر في 27 شباط/فبراير 2012</w:t>
      </w:r>
      <w:r w:rsidR="008C1B26">
        <w:rPr>
          <w:rFonts w:hint="cs"/>
          <w:rtl/>
          <w:lang w:val="fr-CH"/>
        </w:rPr>
        <w:t>. ودعت اللجنة أيضا</w:t>
      </w:r>
      <w:r w:rsidR="00C4543B">
        <w:rPr>
          <w:rFonts w:hint="cs"/>
          <w:rtl/>
          <w:lang w:val="fr-CH"/>
        </w:rPr>
        <w:t>ً</w:t>
      </w:r>
      <w:r w:rsidR="008C1B26">
        <w:rPr>
          <w:rFonts w:hint="cs"/>
          <w:rtl/>
          <w:lang w:val="fr-CH"/>
        </w:rPr>
        <w:t xml:space="preserve"> </w:t>
      </w:r>
      <w:r w:rsidR="00FC2685" w:rsidRPr="00FC2685">
        <w:rPr>
          <w:rFonts w:hint="cs"/>
          <w:rtl/>
          <w:lang w:val="fr-CH"/>
        </w:rPr>
        <w:t>بصورة خاصة إلى تعويض عادل لضحايا التعذيب. ولم تُنفذ هذه التوصية تنفيذاً كاملاً بسبب عدم استشارة السلطات الضحايا ومحامييهم بشأن التعويض الذي أوصت به اللجنة الوطنية لحقوق الإنسان (المواد 2 و12 و13 و14).</w:t>
      </w:r>
    </w:p>
    <w:p w:rsidR="00FC2685" w:rsidRPr="00833AA7" w:rsidRDefault="00FC2685" w:rsidP="00833AA7">
      <w:pPr>
        <w:pStyle w:val="SingleTxtGA"/>
        <w:rPr>
          <w:rFonts w:hint="cs"/>
          <w:b/>
          <w:bCs/>
          <w:rtl/>
          <w:lang w:val="fr-CH"/>
        </w:rPr>
      </w:pPr>
      <w:r w:rsidRPr="00833AA7">
        <w:rPr>
          <w:rFonts w:hint="cs"/>
          <w:b/>
          <w:bCs/>
          <w:rtl/>
          <w:lang w:val="fr-CH"/>
        </w:rPr>
        <w:tab/>
        <w:t>ينبغي للدولة الطرف أن تقوم بما يلي:</w:t>
      </w:r>
    </w:p>
    <w:p w:rsidR="00FC2685" w:rsidRPr="00833AA7" w:rsidRDefault="00FC2685" w:rsidP="00833AA7">
      <w:pPr>
        <w:pStyle w:val="SingleTxtGA"/>
        <w:rPr>
          <w:rFonts w:hint="cs"/>
          <w:b/>
          <w:bCs/>
          <w:rtl/>
          <w:lang w:val="fr-CH"/>
        </w:rPr>
      </w:pPr>
      <w:r w:rsidRPr="00833AA7">
        <w:rPr>
          <w:rFonts w:hint="cs"/>
          <w:b/>
          <w:bCs/>
          <w:rtl/>
          <w:lang w:val="fr-CH"/>
        </w:rPr>
        <w:tab/>
        <w:t>(أ)</w:t>
      </w:r>
      <w:r w:rsidRPr="00833AA7">
        <w:rPr>
          <w:rFonts w:hint="cs"/>
          <w:b/>
          <w:bCs/>
          <w:rtl/>
          <w:lang w:val="fr-CH"/>
        </w:rPr>
        <w:tab/>
        <w:t>اتخاذ تدابير تشريعية وإدارية تكفل لضحايا التعذيب وإساءة المعاملة الاستفادة من جميع أشكال الإنصاف، بما في ذلك تدابير رد الحقوق والتعويض وإعادة التأهيل والترضية وضمان عدم تكرار هذه الأعمال، وإدراج هذه التدابير في قانون العقوبات؛</w:t>
      </w:r>
    </w:p>
    <w:p w:rsidR="00FC2685" w:rsidRPr="00833AA7" w:rsidRDefault="00FC2685" w:rsidP="00833AA7">
      <w:pPr>
        <w:pStyle w:val="SingleTxtGA"/>
        <w:rPr>
          <w:rFonts w:hint="cs"/>
          <w:b/>
          <w:bCs/>
          <w:rtl/>
          <w:lang w:val="fr-CH"/>
        </w:rPr>
      </w:pPr>
      <w:r w:rsidRPr="00833AA7">
        <w:rPr>
          <w:rFonts w:hint="cs"/>
          <w:b/>
          <w:bCs/>
          <w:rtl/>
          <w:lang w:val="fr-CH"/>
        </w:rPr>
        <w:tab/>
        <w:t>(ب)</w:t>
      </w:r>
      <w:r w:rsidRPr="00833AA7">
        <w:rPr>
          <w:rFonts w:hint="cs"/>
          <w:b/>
          <w:bCs/>
          <w:rtl/>
          <w:lang w:val="fr-CH"/>
        </w:rPr>
        <w:tab/>
        <w:t>توفير إنصاف وتعويض عادلين وكافيين من أجل إعادة التأهيل على أكمل وجه ممكن إلى جميع ضحايا التعذيب في سياق أحداث عام 2009 التي تطرق لها تقرير اللجنة الوطنية لحقوق الإنسان؛</w:t>
      </w:r>
    </w:p>
    <w:p w:rsidR="00FC2685" w:rsidRPr="00833AA7" w:rsidRDefault="00FC2685" w:rsidP="00833AA7">
      <w:pPr>
        <w:pStyle w:val="SingleTxtGA"/>
        <w:rPr>
          <w:rFonts w:hint="cs"/>
          <w:b/>
          <w:bCs/>
          <w:rtl/>
          <w:lang w:val="fr-CH"/>
        </w:rPr>
      </w:pPr>
      <w:r w:rsidRPr="00833AA7">
        <w:rPr>
          <w:rFonts w:hint="cs"/>
          <w:b/>
          <w:bCs/>
          <w:rtl/>
          <w:lang w:val="fr-CH"/>
        </w:rPr>
        <w:tab/>
        <w:t>(ج)</w:t>
      </w:r>
      <w:r w:rsidRPr="00833AA7">
        <w:rPr>
          <w:rFonts w:hint="cs"/>
          <w:b/>
          <w:bCs/>
          <w:rtl/>
          <w:lang w:val="fr-CH"/>
        </w:rPr>
        <w:tab/>
        <w:t>توفير إنصاف وإعادة تأهيل عادلين وكافيين لجميع ضحايا التعذيب وضحايا العنف ضد النساء والبنات، وضحايا الاتجار بالأشخاص وضحايا العنف في السجون.</w:t>
      </w:r>
    </w:p>
    <w:p w:rsidR="00FC2685" w:rsidRPr="00833AA7" w:rsidRDefault="00FC2685" w:rsidP="00833AA7">
      <w:pPr>
        <w:pStyle w:val="SingleTxtGA"/>
        <w:rPr>
          <w:rFonts w:hint="cs"/>
          <w:b/>
          <w:bCs/>
          <w:rtl/>
        </w:rPr>
      </w:pPr>
      <w:r w:rsidRPr="00833AA7">
        <w:rPr>
          <w:rFonts w:hint="cs"/>
          <w:b/>
          <w:bCs/>
          <w:rtl/>
          <w:lang w:val="fr-CH"/>
        </w:rPr>
        <w:tab/>
        <w:t xml:space="preserve">وتوجه اللجنة انتباه الدولة الطرف إلى الملاحظة العامة على المادة 14 التي اعتمدتها مؤخراً </w:t>
      </w:r>
      <w:r w:rsidRPr="00833AA7">
        <w:rPr>
          <w:b/>
          <w:bCs/>
        </w:rPr>
        <w:t>(CAT/C/GC/3)</w:t>
      </w:r>
      <w:r w:rsidRPr="00833AA7">
        <w:rPr>
          <w:rFonts w:hint="cs"/>
          <w:b/>
          <w:bCs/>
          <w:rtl/>
        </w:rPr>
        <w:t xml:space="preserve"> والتي توضح مضمون التزامات الدولة الطرف وأبعادها من أجل منح تعويض كامل لضحايا التعذيب. </w:t>
      </w:r>
    </w:p>
    <w:p w:rsidR="00FC2685" w:rsidRPr="00FC2685" w:rsidRDefault="00FC2685" w:rsidP="00833AA7">
      <w:pPr>
        <w:pStyle w:val="H23GA"/>
        <w:rPr>
          <w:rFonts w:hint="cs"/>
          <w:rtl/>
        </w:rPr>
      </w:pPr>
      <w:r w:rsidRPr="00FC2685">
        <w:rPr>
          <w:rFonts w:hint="cs"/>
          <w:rtl/>
        </w:rPr>
        <w:tab/>
      </w:r>
      <w:r w:rsidRPr="00FC2685">
        <w:rPr>
          <w:rFonts w:hint="cs"/>
          <w:rtl/>
        </w:rPr>
        <w:tab/>
        <w:t>العقوبات الجسدية</w:t>
      </w:r>
    </w:p>
    <w:p w:rsidR="00FC2685" w:rsidRPr="00FC2685" w:rsidRDefault="00833AA7" w:rsidP="00833AA7">
      <w:pPr>
        <w:pStyle w:val="SingleTxtGA"/>
        <w:rPr>
          <w:rFonts w:hint="cs"/>
          <w:rtl/>
          <w:lang w:val="fr-CH"/>
        </w:rPr>
      </w:pPr>
      <w:r>
        <w:rPr>
          <w:rFonts w:hint="cs"/>
          <w:rtl/>
          <w:lang w:val="fr-CH"/>
        </w:rPr>
        <w:t>(</w:t>
      </w:r>
      <w:r w:rsidR="00FC2685" w:rsidRPr="00FC2685">
        <w:rPr>
          <w:rFonts w:hint="cs"/>
          <w:rtl/>
          <w:lang w:val="fr-CH"/>
        </w:rPr>
        <w:t>19</w:t>
      </w:r>
      <w:r>
        <w:rPr>
          <w:rFonts w:hint="cs"/>
          <w:rtl/>
          <w:lang w:val="fr-CH"/>
        </w:rPr>
        <w:t>)</w:t>
      </w:r>
      <w:r w:rsidR="00FC2685" w:rsidRPr="00FC2685">
        <w:rPr>
          <w:rFonts w:hint="cs"/>
          <w:rtl/>
          <w:lang w:val="fr-CH"/>
        </w:rPr>
        <w:tab/>
        <w:t>يساور اللجنة القلق من أن العقوبات الجسدية الموقعة على الأطفال محظورة في المؤسسات التعليمية بيد أنها غير محظورة في الأوساط الاجتماعية أو الأسرية حيث يُزعم أنها "متداولة ومقبولة اجتماعياً ما دامت في حدود معقولة" (المادة 16).</w:t>
      </w:r>
    </w:p>
    <w:p w:rsidR="00FC2685" w:rsidRPr="00833AA7" w:rsidRDefault="00FC2685" w:rsidP="00833AA7">
      <w:pPr>
        <w:pStyle w:val="SingleTxtGA"/>
        <w:rPr>
          <w:rFonts w:hint="cs"/>
          <w:b/>
          <w:bCs/>
          <w:rtl/>
          <w:lang w:val="fr-CH"/>
        </w:rPr>
      </w:pPr>
      <w:r w:rsidRPr="00833AA7">
        <w:rPr>
          <w:rFonts w:ascii="Times New Roman Bold" w:hAnsi="Times New Roman Bold" w:hint="cs"/>
          <w:b/>
          <w:bCs/>
          <w:rtl/>
          <w:lang w:val="fr-CH"/>
        </w:rPr>
        <w:tab/>
        <w:t>ينبغي للدول</w:t>
      </w:r>
      <w:r w:rsidR="00833AA7">
        <w:rPr>
          <w:rFonts w:ascii="Times New Roman Bold" w:hAnsi="Times New Roman Bold" w:hint="cs"/>
          <w:b/>
          <w:bCs/>
          <w:rtl/>
          <w:lang w:val="fr-CH"/>
        </w:rPr>
        <w:t>ـ</w:t>
      </w:r>
      <w:r w:rsidRPr="00833AA7">
        <w:rPr>
          <w:rFonts w:ascii="Times New Roman Bold" w:hAnsi="Times New Roman Bold" w:hint="cs"/>
          <w:b/>
          <w:bCs/>
          <w:rtl/>
          <w:lang w:val="fr-CH"/>
        </w:rPr>
        <w:t>ة الط</w:t>
      </w:r>
      <w:r w:rsidR="00833AA7">
        <w:rPr>
          <w:rFonts w:ascii="Times New Roman Bold" w:hAnsi="Times New Roman Bold" w:hint="cs"/>
          <w:b/>
          <w:bCs/>
          <w:rtl/>
          <w:lang w:val="fr-CH"/>
        </w:rPr>
        <w:t>ـ</w:t>
      </w:r>
      <w:r w:rsidRPr="00833AA7">
        <w:rPr>
          <w:rFonts w:ascii="Times New Roman Bold" w:hAnsi="Times New Roman Bold" w:hint="cs"/>
          <w:b/>
          <w:bCs/>
          <w:rtl/>
          <w:lang w:val="fr-CH"/>
        </w:rPr>
        <w:t>رف أن تعدل قانون العقوبات ولا سيما القانون رقم</w:t>
      </w:r>
      <w:r w:rsidRPr="00833AA7">
        <w:rPr>
          <w:rFonts w:ascii="Times New Roman Bold" w:hAnsi="Times New Roman Bold" w:hint="eastAsia"/>
          <w:b/>
          <w:bCs/>
          <w:rtl/>
          <w:lang w:val="fr-CH"/>
        </w:rPr>
        <w:t> </w:t>
      </w:r>
      <w:r w:rsidRPr="00833AA7">
        <w:rPr>
          <w:rFonts w:ascii="Times New Roman Bold" w:hAnsi="Times New Roman Bold" w:hint="cs"/>
          <w:b/>
          <w:bCs/>
          <w:rtl/>
          <w:lang w:val="fr-CH"/>
        </w:rPr>
        <w:t>2007-017 المؤرخ 6 تموز/يوليه 2007 المتعلق بقانون حقوق الطفل في توغو من أجل حظر</w:t>
      </w:r>
      <w:r w:rsidRPr="00833AA7">
        <w:rPr>
          <w:rFonts w:hint="cs"/>
          <w:b/>
          <w:bCs/>
          <w:rtl/>
          <w:lang w:val="fr-CH"/>
        </w:rPr>
        <w:t xml:space="preserve"> وتجريم أي شكل من أشكال العقوبة الجسدية المنزلة بحق الأطفال في جميع الأوساط والسياقات، وفقاً للمعايير الدولية.</w:t>
      </w:r>
    </w:p>
    <w:p w:rsidR="00FC2685" w:rsidRPr="00FC2685" w:rsidRDefault="00FC2685" w:rsidP="00833AA7">
      <w:pPr>
        <w:pStyle w:val="H23GA"/>
        <w:rPr>
          <w:rFonts w:hint="cs"/>
          <w:rtl/>
          <w:lang w:val="fr-CH"/>
        </w:rPr>
      </w:pPr>
      <w:r w:rsidRPr="00FC2685">
        <w:rPr>
          <w:rFonts w:hint="cs"/>
          <w:rtl/>
          <w:lang w:val="fr-CH"/>
        </w:rPr>
        <w:tab/>
      </w:r>
      <w:r w:rsidRPr="00FC2685">
        <w:rPr>
          <w:rFonts w:hint="cs"/>
          <w:rtl/>
          <w:lang w:val="fr-CH"/>
        </w:rPr>
        <w:tab/>
        <w:t>تجميع البيانات الإحصائية</w:t>
      </w:r>
    </w:p>
    <w:p w:rsidR="00FC2685" w:rsidRPr="00FC2685" w:rsidRDefault="00833AA7" w:rsidP="00833AA7">
      <w:pPr>
        <w:pStyle w:val="SingleTxtGA"/>
        <w:rPr>
          <w:rFonts w:hint="cs"/>
          <w:rtl/>
          <w:lang w:val="fr-CH"/>
        </w:rPr>
      </w:pPr>
      <w:r>
        <w:rPr>
          <w:rFonts w:hint="cs"/>
          <w:rtl/>
          <w:lang w:val="fr-CH"/>
        </w:rPr>
        <w:t>(</w:t>
      </w:r>
      <w:r w:rsidR="00FC2685" w:rsidRPr="00FC2685">
        <w:rPr>
          <w:rFonts w:hint="cs"/>
          <w:rtl/>
          <w:lang w:val="fr-CH"/>
        </w:rPr>
        <w:t>20</w:t>
      </w:r>
      <w:r>
        <w:rPr>
          <w:rFonts w:hint="cs"/>
          <w:rtl/>
          <w:lang w:val="fr-CH"/>
        </w:rPr>
        <w:t>)</w:t>
      </w:r>
      <w:r w:rsidR="00FC2685" w:rsidRPr="00FC2685">
        <w:rPr>
          <w:rFonts w:hint="cs"/>
          <w:rtl/>
          <w:lang w:val="fr-CH"/>
        </w:rPr>
        <w:tab/>
        <w:t>تأسف اللجنة لعدم وجود إحصاءات كاملة ومصنفة بشأن الشكاوى والتحقيقات والمحاكمات والإدانات المتعلقة بأعمال التعذيب وإساءة المعاملة على أيدي أفراد من قوات الأمن، بمن فيهم الدرك والشرطة وحراس مقارّ حكام المقاطعات وإدارة السجون. ولا توجد بيانات إحصائية كذلك عن الاتجار بالأشخاص والعنف ضد النساء ولا سيما العنف الأسري والجنسي وتشويه الأعضاء التناسلية الأنثوية، والعنف ضد الأطفال (المواد 2 و11 و12 و13 و14 و16).</w:t>
      </w:r>
    </w:p>
    <w:p w:rsidR="00FC2685" w:rsidRPr="00833AA7" w:rsidRDefault="00FC2685" w:rsidP="00833AA7">
      <w:pPr>
        <w:pStyle w:val="SingleTxtGA"/>
        <w:rPr>
          <w:rFonts w:hint="cs"/>
          <w:b/>
          <w:bCs/>
          <w:rtl/>
          <w:lang w:val="fr-CH"/>
        </w:rPr>
      </w:pPr>
      <w:r w:rsidRPr="00833AA7">
        <w:rPr>
          <w:rFonts w:hint="cs"/>
          <w:b/>
          <w:bCs/>
          <w:rtl/>
          <w:lang w:val="fr-CH"/>
        </w:rPr>
        <w:tab/>
        <w:t>ينبغي للدولة الطرف أن تجمّع بيانات إحصائية مصنفة حسب سن الضحية ونوع جنسها، تفيد في مراقبة تطبيق الاتفاقية على الصعيد الوطني، ولا سيما بيانات بشأن الشكاوى والتحقيقات والمحاكمات والإدانات المتعلقة بحالات التعذيب وإساءة المعاملة على أيدي أفراد دوائر الأمن، بمن فيهم الدرك والشرطة وحراس مقارّ حكام المقاطعات وإدارة السجون، وعن الوفيات أثناء الاحتجاز. وينبغي تقديم بيانات إحصائية أيضاً عن الاتجار بالأشخاص والعنف ضد النساء، بما في ذلك العنف المنزلي والجنسي والعنف المتعلق بتشويه الأعضاء التناسلية الأنثوية، والعنف ضد الأطفال، وكذلك بيانات عن الجبر بما في ذلك التعويضات وخدمات إعادة التأهيل المقدمة إلى الضحايا.</w:t>
      </w:r>
    </w:p>
    <w:p w:rsidR="00FC2685" w:rsidRPr="00FC2685" w:rsidRDefault="00833AA7" w:rsidP="00833AA7">
      <w:pPr>
        <w:pStyle w:val="SingleTxtGA"/>
        <w:rPr>
          <w:rFonts w:hint="cs"/>
          <w:rtl/>
        </w:rPr>
      </w:pPr>
      <w:r>
        <w:rPr>
          <w:rFonts w:hint="cs"/>
          <w:rtl/>
        </w:rPr>
        <w:t>(</w:t>
      </w:r>
      <w:r w:rsidR="00FC2685" w:rsidRPr="00FC2685">
        <w:rPr>
          <w:rFonts w:hint="cs"/>
          <w:rtl/>
        </w:rPr>
        <w:t>21</w:t>
      </w:r>
      <w:r>
        <w:rPr>
          <w:rFonts w:hint="cs"/>
          <w:rtl/>
        </w:rPr>
        <w:t>)</w:t>
      </w:r>
      <w:r w:rsidR="00FC2685" w:rsidRPr="00FC2685">
        <w:rPr>
          <w:rFonts w:hint="cs"/>
          <w:rtl/>
        </w:rPr>
        <w:tab/>
        <w:t>وتشجع اللجنة الدولة الطرف على النظر في إصدار الإعلان المنصوص عليه في المادة</w:t>
      </w:r>
      <w:r w:rsidR="00FC2685" w:rsidRPr="00FC2685">
        <w:rPr>
          <w:rFonts w:hint="eastAsia"/>
          <w:rtl/>
        </w:rPr>
        <w:t> </w:t>
      </w:r>
      <w:r w:rsidR="00FC2685" w:rsidRPr="00FC2685">
        <w:rPr>
          <w:rFonts w:hint="cs"/>
          <w:rtl/>
        </w:rPr>
        <w:t xml:space="preserve">22 من الاتفاقية، والاعتراف من خلال ذلك باختصاص اللجنة في تلقي البلاغات الفردية والنظر فيها. </w:t>
      </w:r>
    </w:p>
    <w:p w:rsidR="00FC2685" w:rsidRPr="00FC2685" w:rsidRDefault="00833AA7" w:rsidP="00086AA1">
      <w:pPr>
        <w:pStyle w:val="SingleTxtGA"/>
        <w:spacing w:line="370" w:lineRule="exact"/>
        <w:rPr>
          <w:rFonts w:hint="cs"/>
          <w:rtl/>
          <w:lang w:val="fr-CH"/>
        </w:rPr>
      </w:pPr>
      <w:r>
        <w:rPr>
          <w:rFonts w:hint="cs"/>
          <w:rtl/>
        </w:rPr>
        <w:t>(</w:t>
      </w:r>
      <w:r w:rsidR="00FC2685" w:rsidRPr="00FC2685">
        <w:rPr>
          <w:rFonts w:hint="cs"/>
          <w:rtl/>
        </w:rPr>
        <w:t>22</w:t>
      </w:r>
      <w:r>
        <w:rPr>
          <w:rFonts w:hint="cs"/>
          <w:rtl/>
        </w:rPr>
        <w:t>)</w:t>
      </w:r>
      <w:r w:rsidR="00FC2685" w:rsidRPr="00FC2685">
        <w:rPr>
          <w:rFonts w:hint="cs"/>
          <w:rtl/>
        </w:rPr>
        <w:tab/>
      </w:r>
      <w:r w:rsidR="00FC2685" w:rsidRPr="00FC2685">
        <w:rPr>
          <w:rFonts w:hint="cs"/>
          <w:rtl/>
          <w:lang w:val="fr-CH"/>
        </w:rPr>
        <w:t xml:space="preserve">وتدعو اللجنة الدولة الطرف إلى التصديق على معاهدات الأمم المتحدة الأساسية لحقوق الإنسان التي لم تنضم إليها بعد، وبالتحديد على: البروتوكول الاختياري الثاني الملحق بالعهد الدولي الخاص بالحقوق المدنية والسياسية والهادف إلى إلغاء عقوبة الإعدام، والبروتوكول الاختياري الملحق بالعهد الدولي الخاص بالحقوق الاقتصادية والاجتماعية والثقافية، والبروتوكول الاختياري لاتفاقية القضاء على جميع أشكال التمييز ضد المرأة، والاتفاقية الدولية لحماية حقوق جميع العمال المهاجرين وأفراد أُسرهم، واتفاقية حماية جميع الأشخاص من الاختفاء القسري. </w:t>
      </w:r>
    </w:p>
    <w:p w:rsidR="00FC2685" w:rsidRPr="00FC2685" w:rsidRDefault="00833AA7" w:rsidP="00086AA1">
      <w:pPr>
        <w:pStyle w:val="SingleTxtGA"/>
        <w:spacing w:line="370" w:lineRule="exact"/>
        <w:rPr>
          <w:rFonts w:hint="cs"/>
          <w:rtl/>
          <w:lang w:val="fr-CH"/>
        </w:rPr>
      </w:pPr>
      <w:r>
        <w:rPr>
          <w:rFonts w:hint="cs"/>
          <w:rtl/>
          <w:lang w:val="fr-CH"/>
        </w:rPr>
        <w:t>(</w:t>
      </w:r>
      <w:r w:rsidR="00FC2685" w:rsidRPr="00FC2685">
        <w:rPr>
          <w:rFonts w:hint="cs"/>
          <w:rtl/>
          <w:lang w:val="fr-CH"/>
        </w:rPr>
        <w:t>23</w:t>
      </w:r>
      <w:r>
        <w:rPr>
          <w:rFonts w:hint="cs"/>
          <w:rtl/>
          <w:lang w:val="fr-CH"/>
        </w:rPr>
        <w:t>)</w:t>
      </w:r>
      <w:r w:rsidR="00FC2685" w:rsidRPr="00FC2685">
        <w:rPr>
          <w:rFonts w:hint="cs"/>
          <w:rtl/>
          <w:lang w:val="fr-CH"/>
        </w:rPr>
        <w:tab/>
        <w:t>والدولة الطرف مدعوة إلى أن تنشر على نطاق واسع التقرير الذي قدمته إلى اللجنة وهذه الملاحظات الختامية باللغات المناسبة عن طريق المواقع الشبكية الرسمية على الإنترنت ووسائط الإعلام والمنظمات غير الحكومية.</w:t>
      </w:r>
    </w:p>
    <w:p w:rsidR="00FC2685" w:rsidRPr="00FC2685" w:rsidRDefault="00833AA7" w:rsidP="00086AA1">
      <w:pPr>
        <w:pStyle w:val="SingleTxtGA"/>
        <w:spacing w:line="370" w:lineRule="exact"/>
        <w:rPr>
          <w:rFonts w:hint="cs"/>
          <w:rtl/>
          <w:lang w:val="fr-CH"/>
        </w:rPr>
      </w:pPr>
      <w:r>
        <w:rPr>
          <w:rFonts w:hint="cs"/>
          <w:rtl/>
        </w:rPr>
        <w:t>(</w:t>
      </w:r>
      <w:r w:rsidR="00FC2685" w:rsidRPr="00FC2685">
        <w:rPr>
          <w:rFonts w:hint="cs"/>
          <w:rtl/>
        </w:rPr>
        <w:t>24</w:t>
      </w:r>
      <w:r>
        <w:rPr>
          <w:rFonts w:hint="cs"/>
          <w:rtl/>
        </w:rPr>
        <w:t>)</w:t>
      </w:r>
      <w:r w:rsidR="00FC2685" w:rsidRPr="00FC2685">
        <w:rPr>
          <w:rFonts w:hint="cs"/>
          <w:rtl/>
        </w:rPr>
        <w:tab/>
      </w:r>
      <w:r w:rsidR="00FC2685" w:rsidRPr="00FC2685">
        <w:rPr>
          <w:rFonts w:hint="cs"/>
          <w:rtl/>
          <w:lang w:val="fr-CH"/>
        </w:rPr>
        <w:t>وتطلب اللجنة إلى الدولة الطرف أن تقدم إليها، بحلول 23 تشرين الثاني/</w:t>
      </w:r>
      <w:r>
        <w:rPr>
          <w:rFonts w:hint="cs"/>
          <w:rtl/>
          <w:lang w:val="fr-CH"/>
        </w:rPr>
        <w:t xml:space="preserve"> </w:t>
      </w:r>
      <w:r w:rsidR="00FC2685" w:rsidRPr="00FC2685">
        <w:rPr>
          <w:rFonts w:hint="cs"/>
          <w:rtl/>
          <w:lang w:val="fr-CH"/>
        </w:rPr>
        <w:t>نوفمبر</w:t>
      </w:r>
      <w:r>
        <w:rPr>
          <w:rFonts w:hint="eastAsia"/>
          <w:rtl/>
          <w:lang w:val="fr-CH"/>
        </w:rPr>
        <w:t> </w:t>
      </w:r>
      <w:r w:rsidR="00FC2685" w:rsidRPr="00FC2685">
        <w:rPr>
          <w:rFonts w:hint="cs"/>
          <w:rtl/>
          <w:lang w:val="fr-CH"/>
        </w:rPr>
        <w:t>2013، معلومات متابعة رداً على توصيات اللجنة فيما يتعلق بالتالي: (أ)</w:t>
      </w:r>
      <w:r w:rsidR="00FC2685" w:rsidRPr="00FC2685">
        <w:rPr>
          <w:rFonts w:hint="eastAsia"/>
          <w:rtl/>
          <w:lang w:val="fr-CH"/>
        </w:rPr>
        <w:t> </w:t>
      </w:r>
      <w:r w:rsidR="00FC2685" w:rsidRPr="00FC2685">
        <w:rPr>
          <w:rFonts w:hint="cs"/>
          <w:rtl/>
          <w:lang w:val="fr-CH"/>
        </w:rPr>
        <w:t>المبادرة فوراً إلى البدء في تنفيذ قانون العقوبات وقانون الإجراءات الجنائية الجديدين؛ (ب)</w:t>
      </w:r>
      <w:r w:rsidR="00FC2685" w:rsidRPr="00FC2685">
        <w:rPr>
          <w:rFonts w:hint="eastAsia"/>
          <w:rtl/>
          <w:lang w:val="fr-CH"/>
        </w:rPr>
        <w:t> </w:t>
      </w:r>
      <w:r>
        <w:rPr>
          <w:rFonts w:hint="cs"/>
          <w:rtl/>
          <w:lang w:val="fr-CH"/>
        </w:rPr>
        <w:t xml:space="preserve">تحسين ظروف الاحتجاز </w:t>
      </w:r>
      <w:r w:rsidR="00FC2685" w:rsidRPr="00FC2685">
        <w:rPr>
          <w:rFonts w:hint="cs"/>
          <w:rtl/>
          <w:lang w:val="fr-CH"/>
        </w:rPr>
        <w:t>فوراً؛ (ج)</w:t>
      </w:r>
      <w:r w:rsidR="00FC2685" w:rsidRPr="00FC2685">
        <w:rPr>
          <w:rFonts w:hint="eastAsia"/>
          <w:rtl/>
          <w:lang w:val="fr-CH"/>
        </w:rPr>
        <w:t> </w:t>
      </w:r>
      <w:r w:rsidR="00FC2685" w:rsidRPr="00FC2685">
        <w:rPr>
          <w:rFonts w:hint="cs"/>
          <w:rtl/>
          <w:lang w:val="fr-CH"/>
        </w:rPr>
        <w:t>تعزيز الضمانات القانونية المستحقة للسجناء والعمل على احترامها؛ (د)</w:t>
      </w:r>
      <w:r>
        <w:rPr>
          <w:rFonts w:hint="eastAsia"/>
          <w:rtl/>
          <w:lang w:val="fr-CH"/>
        </w:rPr>
        <w:t> </w:t>
      </w:r>
      <w:r w:rsidR="00FC2685" w:rsidRPr="00FC2685">
        <w:rPr>
          <w:rFonts w:hint="cs"/>
          <w:rtl/>
          <w:lang w:val="fr-CH"/>
        </w:rPr>
        <w:t xml:space="preserve">مقاضاة الأشخاص المشتبه في ارتكابهم أفعال التعذيب أو إساءة المعاملة ومعاقبتهم على النحو الوارد في الفقرات 8 و10(أ) و(ب) و(ج)، و11(أ) و(ب) و(ه‍( و13(د) و(ه‍( و(و) من هذه الوثيقة. </w:t>
      </w:r>
    </w:p>
    <w:p w:rsidR="007972FD" w:rsidRPr="00833AA7" w:rsidRDefault="00833AA7" w:rsidP="00086AA1">
      <w:pPr>
        <w:pStyle w:val="SingleTxtGA"/>
        <w:spacing w:line="370" w:lineRule="exact"/>
        <w:rPr>
          <w:rFonts w:hint="cs"/>
          <w:rtl/>
        </w:rPr>
      </w:pPr>
      <w:r>
        <w:rPr>
          <w:rFonts w:hint="cs"/>
          <w:rtl/>
          <w:lang w:val="fr-CH"/>
        </w:rPr>
        <w:t>(</w:t>
      </w:r>
      <w:r w:rsidR="00FC2685" w:rsidRPr="00FC2685">
        <w:rPr>
          <w:rFonts w:hint="cs"/>
          <w:rtl/>
          <w:lang w:val="fr-CH"/>
        </w:rPr>
        <w:t>25</w:t>
      </w:r>
      <w:r>
        <w:rPr>
          <w:rFonts w:hint="cs"/>
          <w:b/>
          <w:bCs/>
          <w:rtl/>
          <w:lang w:val="fr-CH"/>
        </w:rPr>
        <w:t>)</w:t>
      </w:r>
      <w:r w:rsidR="00FC2685" w:rsidRPr="00FC2685">
        <w:rPr>
          <w:rFonts w:hint="cs"/>
          <w:b/>
          <w:bCs/>
          <w:rtl/>
          <w:lang w:val="fr-CH"/>
        </w:rPr>
        <w:tab/>
      </w:r>
      <w:r w:rsidR="00FC2685" w:rsidRPr="00FC2685">
        <w:rPr>
          <w:rFonts w:hint="cs"/>
          <w:rtl/>
          <w:lang w:val="fr-CH"/>
        </w:rPr>
        <w:t>وتدعو اللجنة الدولة الطرف إلى تقديم تقريرها المقبل، الذي سيكون التقرير الدوري الثالث، بحلول 23 تشرين الثاني/نوفمبر 2016. ولهذا الغرض، تدعو اللجنة الدولة الطرف إلى أن توافق بحلول 23 تشرين الثاني/نوفمبر 2013، على تقديم التقارير بموجب إجرائها الاختياري لتقديم التقارير، الذي يتمثل في إحالة اللجنة إلى الدولة الطرف قائمة</w:t>
      </w:r>
      <w:r w:rsidR="009912C3">
        <w:rPr>
          <w:rFonts w:hint="cs"/>
          <w:rtl/>
          <w:lang w:val="fr-CH"/>
        </w:rPr>
        <w:t xml:space="preserve"> قضايا</w:t>
      </w:r>
      <w:r w:rsidR="00FC2685" w:rsidRPr="00FC2685">
        <w:rPr>
          <w:rFonts w:hint="cs"/>
          <w:rtl/>
          <w:lang w:val="fr-CH"/>
        </w:rPr>
        <w:t xml:space="preserve"> قبل تقديم تقريرها الدوري. وسيشكل رد الدولة الطرف على قائمة </w:t>
      </w:r>
      <w:r w:rsidR="009912C3">
        <w:rPr>
          <w:rFonts w:hint="cs"/>
          <w:rtl/>
          <w:lang w:val="fr-CH"/>
        </w:rPr>
        <w:t>القضايا</w:t>
      </w:r>
      <w:r w:rsidR="00FC2685" w:rsidRPr="00FC2685">
        <w:rPr>
          <w:rFonts w:hint="cs"/>
          <w:rtl/>
          <w:lang w:val="fr-CH"/>
        </w:rPr>
        <w:t>، بموجب المادة 19 من ال</w:t>
      </w:r>
      <w:r w:rsidR="00FC2685" w:rsidRPr="00833AA7">
        <w:rPr>
          <w:rFonts w:hint="cs"/>
          <w:rtl/>
          <w:lang w:val="fr-CH"/>
        </w:rPr>
        <w:t>اتفاقية، تقريرها الدوري الثالث.</w:t>
      </w:r>
    </w:p>
    <w:p w:rsidR="00EE5D7D" w:rsidRPr="00833AA7" w:rsidRDefault="005E2281" w:rsidP="00086AA1">
      <w:pPr>
        <w:pStyle w:val="SingleTxtGA"/>
        <w:spacing w:line="370" w:lineRule="exact"/>
        <w:rPr>
          <w:rFonts w:hint="cs"/>
          <w:b/>
          <w:bCs/>
          <w:rtl/>
        </w:rPr>
      </w:pPr>
      <w:r w:rsidRPr="00FC2685">
        <w:rPr>
          <w:rFonts w:hint="cs"/>
          <w:rtl/>
        </w:rPr>
        <w:t>68</w:t>
      </w:r>
      <w:r w:rsidR="00EE5D7D" w:rsidRPr="00FC2685">
        <w:rPr>
          <w:rFonts w:hint="cs"/>
          <w:rtl/>
        </w:rPr>
        <w:t>-</w:t>
      </w:r>
      <w:r w:rsidR="00EE5D7D" w:rsidRPr="00FC2685">
        <w:rPr>
          <w:rFonts w:hint="cs"/>
          <w:rtl/>
        </w:rPr>
        <w:tab/>
      </w:r>
      <w:r w:rsidR="008C1B26" w:rsidRPr="00833AA7">
        <w:rPr>
          <w:rFonts w:hint="cs"/>
          <w:b/>
          <w:bCs/>
          <w:rtl/>
        </w:rPr>
        <w:t xml:space="preserve">دولة </w:t>
      </w:r>
      <w:r w:rsidR="00EE5D7D" w:rsidRPr="00833AA7">
        <w:rPr>
          <w:rFonts w:hint="cs"/>
          <w:b/>
          <w:bCs/>
          <w:rtl/>
        </w:rPr>
        <w:t>بوليفيا</w:t>
      </w:r>
      <w:r w:rsidR="008C1B26" w:rsidRPr="00833AA7">
        <w:rPr>
          <w:rFonts w:hint="cs"/>
          <w:b/>
          <w:bCs/>
          <w:rtl/>
        </w:rPr>
        <w:t xml:space="preserve"> المتعددة القوميات</w:t>
      </w:r>
    </w:p>
    <w:p w:rsidR="0005706C" w:rsidRPr="00833AA7" w:rsidRDefault="00833AA7" w:rsidP="00086AA1">
      <w:pPr>
        <w:pStyle w:val="SingleTxtGA"/>
        <w:spacing w:line="370" w:lineRule="exact"/>
        <w:rPr>
          <w:rFonts w:hint="cs"/>
          <w:spacing w:val="-2"/>
          <w:rtl/>
        </w:rPr>
      </w:pPr>
      <w:r w:rsidRPr="00833AA7">
        <w:rPr>
          <w:rFonts w:hint="cs"/>
          <w:spacing w:val="-2"/>
          <w:rtl/>
          <w:lang w:val="fr-CH"/>
        </w:rPr>
        <w:t>(</w:t>
      </w:r>
      <w:r w:rsidR="0005706C" w:rsidRPr="00833AA7">
        <w:rPr>
          <w:rFonts w:hint="cs"/>
          <w:spacing w:val="-2"/>
          <w:rtl/>
          <w:lang w:val="fr-CH"/>
        </w:rPr>
        <w:t>1</w:t>
      </w:r>
      <w:r w:rsidRPr="00833AA7">
        <w:rPr>
          <w:rFonts w:hint="cs"/>
          <w:spacing w:val="-2"/>
          <w:rtl/>
          <w:lang w:val="fr-CH"/>
        </w:rPr>
        <w:t>)</w:t>
      </w:r>
      <w:r w:rsidR="0005706C" w:rsidRPr="00833AA7">
        <w:rPr>
          <w:rFonts w:hint="cs"/>
          <w:spacing w:val="-2"/>
          <w:rtl/>
          <w:lang w:val="fr-CH"/>
        </w:rPr>
        <w:tab/>
        <w:t>نظرت لجنة مناهضة التعذيب في التقرير الدوري الثاني لدولة بوليفيا المتعددة القوميات (</w:t>
      </w:r>
      <w:r w:rsidR="0005706C" w:rsidRPr="00833AA7">
        <w:rPr>
          <w:spacing w:val="-2"/>
          <w:lang w:val="fr-CH"/>
        </w:rPr>
        <w:t>CAT/C/BOL/2</w:t>
      </w:r>
      <w:r w:rsidR="0005706C" w:rsidRPr="00833AA7">
        <w:rPr>
          <w:rFonts w:hint="cs"/>
          <w:spacing w:val="-2"/>
          <w:rtl/>
          <w:lang w:val="fr-CH"/>
        </w:rPr>
        <w:t>) في جلستيها 1148 و1151 (</w:t>
      </w:r>
      <w:r w:rsidR="0005706C" w:rsidRPr="00833AA7">
        <w:rPr>
          <w:spacing w:val="-2"/>
        </w:rPr>
        <w:t>CAT/C/SR.1148</w:t>
      </w:r>
      <w:r w:rsidR="0005706C" w:rsidRPr="00833AA7">
        <w:rPr>
          <w:rFonts w:hint="cs"/>
          <w:spacing w:val="-2"/>
          <w:rtl/>
        </w:rPr>
        <w:t xml:space="preserve"> و</w:t>
      </w:r>
      <w:r w:rsidR="0005706C" w:rsidRPr="00833AA7">
        <w:rPr>
          <w:spacing w:val="-2"/>
        </w:rPr>
        <w:t>1151</w:t>
      </w:r>
      <w:r w:rsidR="0005706C" w:rsidRPr="00833AA7">
        <w:rPr>
          <w:rFonts w:hint="cs"/>
          <w:spacing w:val="-2"/>
          <w:rtl/>
        </w:rPr>
        <w:t>) المعقودتين</w:t>
      </w:r>
      <w:r w:rsidRPr="00833AA7">
        <w:rPr>
          <w:rFonts w:hint="cs"/>
          <w:spacing w:val="-2"/>
          <w:rtl/>
        </w:rPr>
        <w:t xml:space="preserve"> </w:t>
      </w:r>
      <w:r w:rsidR="0005706C" w:rsidRPr="00833AA7">
        <w:rPr>
          <w:rFonts w:hint="cs"/>
          <w:spacing w:val="-2"/>
          <w:rtl/>
        </w:rPr>
        <w:t>يومي</w:t>
      </w:r>
      <w:r>
        <w:rPr>
          <w:rFonts w:hint="eastAsia"/>
          <w:spacing w:val="-2"/>
          <w:rtl/>
        </w:rPr>
        <w:t> </w:t>
      </w:r>
      <w:r w:rsidR="0005706C" w:rsidRPr="00833AA7">
        <w:rPr>
          <w:rFonts w:hint="cs"/>
          <w:spacing w:val="-2"/>
          <w:rtl/>
        </w:rPr>
        <w:t>16 و17 أيار/مايو 2013، واعتمدت في جلستيها 1165 و1166 (</w:t>
      </w:r>
      <w:r w:rsidR="0005706C" w:rsidRPr="00833AA7">
        <w:rPr>
          <w:spacing w:val="-2"/>
        </w:rPr>
        <w:t>CAT/C/SR.1165</w:t>
      </w:r>
      <w:r w:rsidR="0005706C" w:rsidRPr="00833AA7">
        <w:rPr>
          <w:rFonts w:hint="cs"/>
          <w:spacing w:val="-2"/>
          <w:rtl/>
        </w:rPr>
        <w:t xml:space="preserve"> و</w:t>
      </w:r>
      <w:r w:rsidR="0005706C" w:rsidRPr="00833AA7">
        <w:rPr>
          <w:spacing w:val="-2"/>
        </w:rPr>
        <w:t>1166</w:t>
      </w:r>
      <w:r w:rsidR="0005706C" w:rsidRPr="00833AA7">
        <w:rPr>
          <w:rFonts w:hint="cs"/>
          <w:spacing w:val="-2"/>
          <w:rtl/>
        </w:rPr>
        <w:t xml:space="preserve">) المعقودتين يومي 29 و30 أيار/مايو 2013 الملاحظات الختامية التالية. </w:t>
      </w:r>
    </w:p>
    <w:p w:rsidR="0005706C" w:rsidRPr="00833AA7" w:rsidRDefault="00A83CF9" w:rsidP="00A83CF9">
      <w:pPr>
        <w:pStyle w:val="H23GA"/>
        <w:tabs>
          <w:tab w:val="left" w:pos="1940"/>
        </w:tabs>
        <w:rPr>
          <w:rFonts w:hint="cs"/>
          <w:rtl/>
        </w:rPr>
      </w:pPr>
      <w:r>
        <w:rPr>
          <w:rFonts w:hint="cs"/>
          <w:rtl/>
        </w:rPr>
        <w:tab/>
      </w:r>
      <w:r>
        <w:rPr>
          <w:rFonts w:hint="cs"/>
          <w:rtl/>
        </w:rPr>
        <w:tab/>
      </w:r>
      <w:r w:rsidR="0005706C" w:rsidRPr="00833AA7">
        <w:rPr>
          <w:rFonts w:hint="cs"/>
          <w:rtl/>
        </w:rPr>
        <w:t>ألف-</w:t>
      </w:r>
      <w:r w:rsidR="0005706C" w:rsidRPr="00833AA7">
        <w:rPr>
          <w:rFonts w:hint="cs"/>
          <w:rtl/>
        </w:rPr>
        <w:tab/>
        <w:t>مقدمة</w:t>
      </w:r>
    </w:p>
    <w:p w:rsidR="0005706C" w:rsidRDefault="00833AA7" w:rsidP="00833AA7">
      <w:pPr>
        <w:pStyle w:val="SingleTxtGA"/>
        <w:rPr>
          <w:rFonts w:hint="cs"/>
          <w:rtl/>
        </w:rPr>
      </w:pPr>
      <w:r>
        <w:rPr>
          <w:rFonts w:hint="cs"/>
          <w:rtl/>
        </w:rPr>
        <w:t>(</w:t>
      </w:r>
      <w:r w:rsidR="0005706C">
        <w:rPr>
          <w:rFonts w:hint="cs"/>
          <w:rtl/>
        </w:rPr>
        <w:t>2</w:t>
      </w:r>
      <w:r>
        <w:rPr>
          <w:rFonts w:hint="cs"/>
          <w:rtl/>
        </w:rPr>
        <w:t>)</w:t>
      </w:r>
      <w:r w:rsidR="0005706C">
        <w:rPr>
          <w:rFonts w:hint="cs"/>
          <w:rtl/>
        </w:rPr>
        <w:tab/>
        <w:t>ترحب اللجنة بتقديم بوليفيا تقريرها الدوري الثاني، لكنها تعرب عن أسفها لأن تقديمه تأخر بسبع سنوات ولأنه لا يتقيد إلا جزئياً بالمبادئ التوجيهية العامة المتعلقة بشكل التقارير الدورية ومضمونها (</w:t>
      </w:r>
      <w:r w:rsidR="0005706C" w:rsidRPr="00F06473">
        <w:t>CAT/C/14/Rev.1</w:t>
      </w:r>
      <w:r w:rsidR="0005706C">
        <w:rPr>
          <w:rFonts w:hint="cs"/>
          <w:rtl/>
        </w:rPr>
        <w:t xml:space="preserve">). </w:t>
      </w:r>
    </w:p>
    <w:p w:rsidR="0005706C" w:rsidRDefault="00833AA7" w:rsidP="00833AA7">
      <w:pPr>
        <w:pStyle w:val="SingleTxtGA"/>
        <w:rPr>
          <w:rFonts w:hint="cs"/>
          <w:rtl/>
        </w:rPr>
      </w:pPr>
      <w:r>
        <w:rPr>
          <w:rFonts w:hint="cs"/>
          <w:rtl/>
        </w:rPr>
        <w:t>(</w:t>
      </w:r>
      <w:r w:rsidR="0005706C">
        <w:rPr>
          <w:rFonts w:hint="cs"/>
          <w:rtl/>
        </w:rPr>
        <w:t>3</w:t>
      </w:r>
      <w:r>
        <w:rPr>
          <w:rFonts w:hint="cs"/>
          <w:rtl/>
        </w:rPr>
        <w:t>)</w:t>
      </w:r>
      <w:r w:rsidR="0005706C">
        <w:rPr>
          <w:rFonts w:hint="cs"/>
          <w:rtl/>
        </w:rPr>
        <w:tab/>
        <w:t>وتعرب اللجنة عن تقديرها للردود الكتابية (</w:t>
      </w:r>
      <w:r w:rsidR="0005706C" w:rsidRPr="00F06473">
        <w:t>CAT/C/BOL/Q/2/Add.2</w:t>
      </w:r>
      <w:r w:rsidR="0005706C">
        <w:rPr>
          <w:rFonts w:hint="cs"/>
          <w:rtl/>
        </w:rPr>
        <w:t xml:space="preserve">) على قائمة </w:t>
      </w:r>
      <w:r w:rsidR="009912C3">
        <w:rPr>
          <w:rFonts w:hint="cs"/>
          <w:rtl/>
        </w:rPr>
        <w:t xml:space="preserve">القضايا </w:t>
      </w:r>
      <w:r w:rsidR="0005706C">
        <w:rPr>
          <w:rFonts w:hint="cs"/>
          <w:rtl/>
        </w:rPr>
        <w:t>(</w:t>
      </w:r>
      <w:r w:rsidR="0005706C" w:rsidRPr="00F06473">
        <w:t>CAT/C/BOL/Q/2/Add.1</w:t>
      </w:r>
      <w:r w:rsidR="0005706C">
        <w:rPr>
          <w:rFonts w:hint="cs"/>
          <w:rtl/>
        </w:rPr>
        <w:t xml:space="preserve">)، ولما أُتيح من معلومات تكميلية أثناء النظر في التقرير الدوري. كما تعرب عن تقديرها للحوار الذي جرى مع الوفد، لكنها تأسف لأن الدولة الطرف لم تردّ على بعض الأسئلة المطروحة. </w:t>
      </w:r>
    </w:p>
    <w:p w:rsidR="0005706C" w:rsidRPr="00833AA7" w:rsidRDefault="00A83CF9" w:rsidP="00A83CF9">
      <w:pPr>
        <w:pStyle w:val="H23GA"/>
        <w:tabs>
          <w:tab w:val="left" w:pos="1940"/>
        </w:tabs>
        <w:rPr>
          <w:rFonts w:hint="cs"/>
          <w:rtl/>
        </w:rPr>
      </w:pPr>
      <w:r>
        <w:rPr>
          <w:rFonts w:hint="cs"/>
          <w:rtl/>
        </w:rPr>
        <w:tab/>
      </w:r>
      <w:r>
        <w:rPr>
          <w:rFonts w:hint="cs"/>
          <w:rtl/>
        </w:rPr>
        <w:tab/>
      </w:r>
      <w:r w:rsidR="0005706C" w:rsidRPr="00833AA7">
        <w:rPr>
          <w:rFonts w:hint="cs"/>
          <w:rtl/>
        </w:rPr>
        <w:t>باء-</w:t>
      </w:r>
      <w:r w:rsidR="0005706C" w:rsidRPr="00833AA7">
        <w:rPr>
          <w:rFonts w:hint="cs"/>
          <w:rtl/>
        </w:rPr>
        <w:tab/>
        <w:t>الجوانب الإيجابية</w:t>
      </w:r>
    </w:p>
    <w:p w:rsidR="0005706C" w:rsidRDefault="00833AA7" w:rsidP="00833AA7">
      <w:pPr>
        <w:pStyle w:val="SingleTxtGA"/>
        <w:rPr>
          <w:rFonts w:hint="cs"/>
          <w:rtl/>
        </w:rPr>
      </w:pPr>
      <w:r>
        <w:rPr>
          <w:rFonts w:hint="cs"/>
          <w:rtl/>
        </w:rPr>
        <w:t>(</w:t>
      </w:r>
      <w:r w:rsidR="0005706C">
        <w:rPr>
          <w:rFonts w:hint="cs"/>
          <w:rtl/>
        </w:rPr>
        <w:t>4</w:t>
      </w:r>
      <w:r>
        <w:rPr>
          <w:rFonts w:hint="cs"/>
          <w:rtl/>
        </w:rPr>
        <w:t>)</w:t>
      </w:r>
      <w:r w:rsidR="0005706C">
        <w:rPr>
          <w:rFonts w:hint="cs"/>
          <w:rtl/>
        </w:rPr>
        <w:tab/>
        <w:t xml:space="preserve">تُثني اللجنة على الدولة الطرف لأنها قدمت في 14 شباط/فبراير 2006 الإعلانات المنصوص عليها في المادتين 21 و22 من اتفاقية مناهضة التعذيب وغيره من ضروب المعاملة أو العقوبة القاسية أو اللاإنسانية أو المهينة، وصدقت أيضاً في 23 أيار/مايو 2006 على البروتوكول الاختياري للاتفاقية. </w:t>
      </w:r>
    </w:p>
    <w:p w:rsidR="0005706C" w:rsidRPr="00833AA7" w:rsidRDefault="00833AA7" w:rsidP="00833AA7">
      <w:pPr>
        <w:pStyle w:val="SingleTxtGA"/>
        <w:rPr>
          <w:rFonts w:hint="cs"/>
          <w:spacing w:val="-2"/>
          <w:rtl/>
        </w:rPr>
      </w:pPr>
      <w:r w:rsidRPr="00833AA7">
        <w:rPr>
          <w:rFonts w:hint="cs"/>
          <w:spacing w:val="-2"/>
          <w:rtl/>
        </w:rPr>
        <w:t>(</w:t>
      </w:r>
      <w:r w:rsidR="0005706C" w:rsidRPr="00833AA7">
        <w:rPr>
          <w:rFonts w:hint="cs"/>
          <w:spacing w:val="-2"/>
          <w:rtl/>
        </w:rPr>
        <w:t>5</w:t>
      </w:r>
      <w:r w:rsidRPr="00833AA7">
        <w:rPr>
          <w:rFonts w:hint="cs"/>
          <w:spacing w:val="-2"/>
          <w:rtl/>
        </w:rPr>
        <w:t>)</w:t>
      </w:r>
      <w:r w:rsidR="0005706C" w:rsidRPr="00833AA7">
        <w:rPr>
          <w:rFonts w:hint="cs"/>
          <w:spacing w:val="-2"/>
          <w:rtl/>
        </w:rPr>
        <w:tab/>
        <w:t>وتلاحظ اللجنة بتقدير أن الدولة الطرف بادرت، منذ النظر في تقريرها الأولي في أيار/مايو 2001، إلى التصديق على الصكوك الدولية التالية لحقوق الإنسان أو الانضمام إليها:</w:t>
      </w:r>
    </w:p>
    <w:p w:rsidR="0005706C" w:rsidRDefault="0005706C" w:rsidP="009C5D54">
      <w:pPr>
        <w:pStyle w:val="SingleTxtGA"/>
        <w:rPr>
          <w:rFonts w:hint="cs"/>
          <w:rtl/>
        </w:rPr>
      </w:pPr>
      <w:r>
        <w:rPr>
          <w:rFonts w:hint="cs"/>
          <w:rtl/>
        </w:rPr>
        <w:tab/>
        <w:t>(أ)</w:t>
      </w:r>
      <w:r>
        <w:rPr>
          <w:rFonts w:hint="cs"/>
          <w:rtl/>
        </w:rPr>
        <w:tab/>
        <w:t>البروتوكول الاختياري لاتفاقية حقوق الطفل المتعلق ببيع الأطفال وبغاء الأطفال واستغلال الأطفال في المواد الإباحية (3 حزيران/يونيه 2003)؛</w:t>
      </w:r>
    </w:p>
    <w:p w:rsidR="0005706C" w:rsidRDefault="0005706C" w:rsidP="009C5D54">
      <w:pPr>
        <w:pStyle w:val="SingleTxtGA"/>
        <w:rPr>
          <w:rFonts w:hint="cs"/>
          <w:rtl/>
        </w:rPr>
      </w:pPr>
      <w:r>
        <w:rPr>
          <w:rFonts w:hint="cs"/>
          <w:rtl/>
        </w:rPr>
        <w:tab/>
        <w:t>(ب)</w:t>
      </w:r>
      <w:r>
        <w:rPr>
          <w:rFonts w:hint="cs"/>
          <w:rtl/>
        </w:rPr>
        <w:tab/>
        <w:t>البروتوكول الاختياري لاتفاقية حقوق الطفل المتعلق بإشراك الأطفال في النزاعات المسلحة (22 كانون الأول/ديسمبر 2004)؛</w:t>
      </w:r>
    </w:p>
    <w:p w:rsidR="0005706C" w:rsidRDefault="0005706C" w:rsidP="00A83CF9">
      <w:pPr>
        <w:pStyle w:val="SingleTxtGA"/>
        <w:spacing w:line="366" w:lineRule="exact"/>
        <w:rPr>
          <w:rFonts w:hint="cs"/>
          <w:rtl/>
        </w:rPr>
      </w:pPr>
      <w:r>
        <w:rPr>
          <w:rFonts w:hint="cs"/>
          <w:rtl/>
        </w:rPr>
        <w:tab/>
        <w:t>(ج)</w:t>
      </w:r>
      <w:r>
        <w:rPr>
          <w:rFonts w:hint="cs"/>
          <w:rtl/>
        </w:rPr>
        <w:tab/>
        <w:t>الاتفاقية الدولية لحماية جميع الأشخاص من الاختفاء القسري (17 كانون الأول/ديسمبر 2008)؛</w:t>
      </w:r>
    </w:p>
    <w:p w:rsidR="0005706C" w:rsidRDefault="0005706C" w:rsidP="00A83CF9">
      <w:pPr>
        <w:pStyle w:val="SingleTxtGA"/>
        <w:spacing w:line="366" w:lineRule="exact"/>
        <w:rPr>
          <w:rFonts w:hint="cs"/>
          <w:rtl/>
        </w:rPr>
      </w:pPr>
      <w:r>
        <w:rPr>
          <w:rFonts w:hint="cs"/>
          <w:rtl/>
        </w:rPr>
        <w:tab/>
        <w:t>(د)</w:t>
      </w:r>
      <w:r>
        <w:rPr>
          <w:rFonts w:hint="cs"/>
          <w:rtl/>
        </w:rPr>
        <w:tab/>
        <w:t>اتفاقية حقوق الأشخاص ذوي الإعاقة وبروتوكولها الاختياري (16 تشرين الثاني/نوفمبر 2009).</w:t>
      </w:r>
    </w:p>
    <w:p w:rsidR="0005706C" w:rsidRDefault="009C5D54" w:rsidP="00A83CF9">
      <w:pPr>
        <w:pStyle w:val="SingleTxtGA"/>
        <w:spacing w:line="366" w:lineRule="exact"/>
        <w:rPr>
          <w:rFonts w:hint="cs"/>
          <w:rtl/>
        </w:rPr>
      </w:pPr>
      <w:r>
        <w:rPr>
          <w:rFonts w:hint="cs"/>
          <w:rtl/>
        </w:rPr>
        <w:t>(</w:t>
      </w:r>
      <w:r w:rsidR="0005706C">
        <w:rPr>
          <w:rFonts w:hint="cs"/>
          <w:rtl/>
        </w:rPr>
        <w:t>6</w:t>
      </w:r>
      <w:r>
        <w:rPr>
          <w:rFonts w:hint="cs"/>
          <w:rtl/>
        </w:rPr>
        <w:t>)</w:t>
      </w:r>
      <w:r w:rsidR="0005706C">
        <w:rPr>
          <w:rFonts w:hint="cs"/>
          <w:rtl/>
        </w:rPr>
        <w:tab/>
        <w:t xml:space="preserve">وتلاحظ اللجنة بتقدير ما أُدخل من إصلاحات على تشريعات الدولة الطرف، سيما الإصلاحات التالية: </w:t>
      </w:r>
    </w:p>
    <w:p w:rsidR="0005706C" w:rsidRDefault="0005706C" w:rsidP="00A83CF9">
      <w:pPr>
        <w:pStyle w:val="SingleTxtGA"/>
        <w:spacing w:line="366" w:lineRule="exact"/>
        <w:rPr>
          <w:rFonts w:hint="cs"/>
          <w:rtl/>
        </w:rPr>
      </w:pPr>
      <w:r>
        <w:rPr>
          <w:rFonts w:hint="cs"/>
          <w:rtl/>
        </w:rPr>
        <w:tab/>
        <w:t>(أ)</w:t>
      </w:r>
      <w:r>
        <w:rPr>
          <w:rFonts w:hint="cs"/>
          <w:rtl/>
        </w:rPr>
        <w:tab/>
        <w:t>اعتماد الدستور السياسي للدولة في 9 شباط/فبراير 2009، وهو دستور يضع الإطار العام لحماية حقوق الإنسان، وذلك أساساً في الفصل الثاني منه (الحقوق الأساسية والضمانات)؛</w:t>
      </w:r>
    </w:p>
    <w:p w:rsidR="0005706C" w:rsidRDefault="0005706C" w:rsidP="00A83CF9">
      <w:pPr>
        <w:pStyle w:val="SingleTxtGA"/>
        <w:spacing w:line="366" w:lineRule="exact"/>
        <w:rPr>
          <w:rFonts w:hint="cs"/>
          <w:rtl/>
        </w:rPr>
      </w:pPr>
      <w:r>
        <w:rPr>
          <w:rFonts w:hint="cs"/>
          <w:rtl/>
        </w:rPr>
        <w:tab/>
        <w:t>(ب)</w:t>
      </w:r>
      <w:r>
        <w:rPr>
          <w:rFonts w:hint="cs"/>
          <w:rtl/>
        </w:rPr>
        <w:tab/>
        <w:t>اعتماد القانون رقم 358 المؤرخ 17 نيسان/أبريل 2013 والمتعلق بالتصديق على البروتوكول الاختياري الثاني الملحق بالعهد الدولي الخاص بالحقوق المدنية والسياسية والرامي إلى إلغاء عقوبة الإعدام؛</w:t>
      </w:r>
    </w:p>
    <w:p w:rsidR="0005706C" w:rsidRDefault="0005706C" w:rsidP="00A83CF9">
      <w:pPr>
        <w:pStyle w:val="SingleTxtGA"/>
        <w:spacing w:line="366" w:lineRule="exact"/>
        <w:rPr>
          <w:rFonts w:hint="cs"/>
          <w:rtl/>
        </w:rPr>
      </w:pPr>
      <w:r>
        <w:rPr>
          <w:rFonts w:hint="cs"/>
          <w:rtl/>
        </w:rPr>
        <w:tab/>
        <w:t>(ج)</w:t>
      </w:r>
      <w:r>
        <w:rPr>
          <w:rFonts w:hint="cs"/>
          <w:rtl/>
        </w:rPr>
        <w:tab/>
        <w:t>اعتماد القانون العام رقم 348 المؤرخ 27 شباط/فبراير 2013 والمتعلق بضمان حياة خالية من العنف للنساء؛</w:t>
      </w:r>
    </w:p>
    <w:p w:rsidR="0005706C" w:rsidRDefault="0005706C" w:rsidP="00086AA1">
      <w:pPr>
        <w:pStyle w:val="SingleTxtGA"/>
        <w:spacing w:line="364" w:lineRule="exact"/>
        <w:rPr>
          <w:rFonts w:hint="cs"/>
          <w:rtl/>
        </w:rPr>
      </w:pPr>
      <w:r>
        <w:rPr>
          <w:rFonts w:hint="cs"/>
          <w:rtl/>
        </w:rPr>
        <w:tab/>
        <w:t>(د)</w:t>
      </w:r>
      <w:r>
        <w:rPr>
          <w:rFonts w:hint="cs"/>
          <w:rtl/>
        </w:rPr>
        <w:tab/>
        <w:t xml:space="preserve">اعتماد القانون العام رقم 263 المؤرخ 31 تموز/يوليه 2012 والمتعلق بمنع الاتجار بالبشر؛ </w:t>
      </w:r>
    </w:p>
    <w:p w:rsidR="0005706C" w:rsidRDefault="0005706C" w:rsidP="00086AA1">
      <w:pPr>
        <w:pStyle w:val="SingleTxtGA"/>
        <w:spacing w:line="364" w:lineRule="exact"/>
        <w:rPr>
          <w:rFonts w:hint="cs"/>
          <w:rtl/>
        </w:rPr>
      </w:pPr>
      <w:r>
        <w:rPr>
          <w:rFonts w:hint="cs"/>
          <w:rtl/>
        </w:rPr>
        <w:tab/>
        <w:t>(</w:t>
      </w:r>
      <w:r w:rsidRPr="00A63CBB">
        <w:rPr>
          <w:rFonts w:hint="cs"/>
          <w:sz w:val="30"/>
          <w:rtl/>
        </w:rPr>
        <w:t>ﻫ</w:t>
      </w:r>
      <w:r>
        <w:rPr>
          <w:rFonts w:hint="cs"/>
          <w:rtl/>
        </w:rPr>
        <w:t>)</w:t>
      </w:r>
      <w:r>
        <w:rPr>
          <w:rFonts w:hint="cs"/>
          <w:rtl/>
        </w:rPr>
        <w:tab/>
        <w:t xml:space="preserve">اعتماد القانون رقم 251 المؤرخ 20 حزيران/يونيه 2012 والمتعلق بحماية اللاجئين ولائحته التنفيذية الموافق عليها بموجب المرسوم السامي 1440 المؤرخ 19 كانون الأول/ديسمبر 2012؛ والقانون رقم 370 المؤرخ 8 أيار/مايو 2013 والمتعلق بالهجرة؛ </w:t>
      </w:r>
    </w:p>
    <w:p w:rsidR="0005706C" w:rsidRDefault="0005706C" w:rsidP="00086AA1">
      <w:pPr>
        <w:pStyle w:val="SingleTxtGA"/>
        <w:spacing w:line="364" w:lineRule="exact"/>
        <w:rPr>
          <w:rFonts w:hint="cs"/>
          <w:rtl/>
        </w:rPr>
      </w:pPr>
      <w:r>
        <w:rPr>
          <w:rFonts w:hint="cs"/>
          <w:rtl/>
        </w:rPr>
        <w:tab/>
        <w:t>(و)</w:t>
      </w:r>
      <w:r>
        <w:rPr>
          <w:rFonts w:hint="cs"/>
          <w:rtl/>
        </w:rPr>
        <w:tab/>
        <w:t xml:space="preserve">القانون رقم 73 المؤرخ 29 كانون الأول/ديسمبر 2010 والمتعلق بالولاية القضائية؛ </w:t>
      </w:r>
    </w:p>
    <w:p w:rsidR="0005706C" w:rsidRDefault="0005706C" w:rsidP="00086AA1">
      <w:pPr>
        <w:pStyle w:val="SingleTxtGA"/>
        <w:spacing w:line="364" w:lineRule="exact"/>
        <w:rPr>
          <w:rFonts w:hint="cs"/>
          <w:rtl/>
        </w:rPr>
      </w:pPr>
      <w:r>
        <w:rPr>
          <w:rFonts w:hint="cs"/>
          <w:rtl/>
        </w:rPr>
        <w:tab/>
        <w:t>(ز)</w:t>
      </w:r>
      <w:r>
        <w:rPr>
          <w:rFonts w:hint="cs"/>
          <w:rtl/>
        </w:rPr>
        <w:tab/>
        <w:t xml:space="preserve">القانون رقم 45 المؤرخ 8 تشرين الأول/أكتوبر 2010 والمتعلق بمناهضة العنصرية وجميع أشكال التمييز؛ </w:t>
      </w:r>
    </w:p>
    <w:p w:rsidR="0005706C" w:rsidRPr="00A83CF9" w:rsidRDefault="0005706C" w:rsidP="00086AA1">
      <w:pPr>
        <w:pStyle w:val="SingleTxtGA"/>
        <w:spacing w:line="364" w:lineRule="exact"/>
        <w:rPr>
          <w:rFonts w:hint="cs"/>
          <w:spacing w:val="-4"/>
          <w:rtl/>
        </w:rPr>
      </w:pPr>
      <w:r w:rsidRPr="00A83CF9">
        <w:rPr>
          <w:rFonts w:hint="cs"/>
          <w:spacing w:val="-4"/>
          <w:rtl/>
        </w:rPr>
        <w:tab/>
        <w:t>(ح)</w:t>
      </w:r>
      <w:r w:rsidRPr="00A83CF9">
        <w:rPr>
          <w:rFonts w:hint="cs"/>
          <w:spacing w:val="-4"/>
          <w:rtl/>
        </w:rPr>
        <w:tab/>
        <w:t xml:space="preserve">القانون رقم 25 المؤرخ 24 حزيران/يونيه 2010 والمتعلق بالجهاز القضائي؛ </w:t>
      </w:r>
    </w:p>
    <w:p w:rsidR="0005706C" w:rsidRDefault="0005706C" w:rsidP="00086AA1">
      <w:pPr>
        <w:pStyle w:val="SingleTxtGA"/>
        <w:spacing w:line="364" w:lineRule="exact"/>
        <w:rPr>
          <w:rFonts w:hint="cs"/>
          <w:rtl/>
        </w:rPr>
      </w:pPr>
      <w:r>
        <w:rPr>
          <w:rFonts w:hint="cs"/>
          <w:rtl/>
        </w:rPr>
        <w:tab/>
        <w:t>(ط)</w:t>
      </w:r>
      <w:r>
        <w:rPr>
          <w:rFonts w:hint="cs"/>
          <w:rtl/>
        </w:rPr>
        <w:tab/>
        <w:t xml:space="preserve">القانون رقم 3760 المؤرخ 7 تشرين الثاني/نوفمبر 2007 والرامي إلى إضفاء صفة القانون على إعلان الأمم المتحدة بشأن حقوق الشعوب الأصلية؛ </w:t>
      </w:r>
    </w:p>
    <w:p w:rsidR="0005706C" w:rsidRDefault="0005706C" w:rsidP="00086AA1">
      <w:pPr>
        <w:pStyle w:val="SingleTxtGA"/>
        <w:spacing w:line="364" w:lineRule="exact"/>
        <w:rPr>
          <w:rFonts w:hint="cs"/>
          <w:rtl/>
        </w:rPr>
      </w:pPr>
      <w:r>
        <w:rPr>
          <w:rFonts w:hint="cs"/>
          <w:rtl/>
        </w:rPr>
        <w:tab/>
        <w:t>(ي)</w:t>
      </w:r>
      <w:r>
        <w:rPr>
          <w:rFonts w:hint="cs"/>
          <w:rtl/>
        </w:rPr>
        <w:tab/>
        <w:t>إقرار القانون رقم 2640 المؤرخ 11 آذار/مارس 2004 والمتعلق بالتعويضات الاستثنائية المقدمة إلى ضحايا العنف السياسي في فترات الحكم اللادستوري، والمعدل بموجب القانون رقم 238 المؤرخ 30 نيسان/أبريل 2012؛ والقانون رقم 3955 المؤرخ 6 تشرين الثاني/نوفمبر 2008 والخاص بضحايا أحداث شباط/فبراير وأيلول/سبتمبر وتشرين الأول/أكتوبر 2003.</w:t>
      </w:r>
    </w:p>
    <w:p w:rsidR="0005706C" w:rsidRDefault="009C5D54" w:rsidP="00086AA1">
      <w:pPr>
        <w:pStyle w:val="SingleTxtGA"/>
        <w:spacing w:line="364" w:lineRule="exact"/>
        <w:rPr>
          <w:rFonts w:hint="cs"/>
          <w:rtl/>
        </w:rPr>
      </w:pPr>
      <w:r>
        <w:rPr>
          <w:rFonts w:hint="cs"/>
          <w:rtl/>
        </w:rPr>
        <w:t>(</w:t>
      </w:r>
      <w:r w:rsidR="0005706C">
        <w:rPr>
          <w:rFonts w:hint="cs"/>
          <w:rtl/>
        </w:rPr>
        <w:t>7</w:t>
      </w:r>
      <w:r>
        <w:rPr>
          <w:rFonts w:hint="cs"/>
          <w:rtl/>
        </w:rPr>
        <w:t>)</w:t>
      </w:r>
      <w:r w:rsidR="0005706C">
        <w:rPr>
          <w:rFonts w:hint="cs"/>
          <w:rtl/>
        </w:rPr>
        <w:tab/>
        <w:t>وتعرب اللجنة أيضاً عن تقديرها لما بذلته الدولة الطرف من جهود في سبيل تعديل سياساتها وإجراءاتها قصد تعزيز حماية حقوق الإنسان وتطبيق الاتفاقية، سيما اعتماد خطة العمل الوطنية لحقوق الإنسان للفترة 2009-2013 بمقتضى المرسوم السامي رقم 29851 المؤرخ 10 كانون الأول/ديسمبر 2008.</w:t>
      </w:r>
    </w:p>
    <w:p w:rsidR="0005706C" w:rsidRPr="009C5D54" w:rsidRDefault="00A83CF9" w:rsidP="00086AA1">
      <w:pPr>
        <w:pStyle w:val="H23GA"/>
        <w:tabs>
          <w:tab w:val="left" w:pos="1926"/>
        </w:tabs>
        <w:spacing w:line="364" w:lineRule="exact"/>
        <w:rPr>
          <w:rFonts w:hint="cs"/>
          <w:rtl/>
        </w:rPr>
      </w:pPr>
      <w:r>
        <w:rPr>
          <w:rFonts w:hint="cs"/>
          <w:rtl/>
        </w:rPr>
        <w:tab/>
      </w:r>
      <w:r>
        <w:rPr>
          <w:rFonts w:hint="cs"/>
          <w:rtl/>
        </w:rPr>
        <w:tab/>
      </w:r>
      <w:r w:rsidR="0005706C" w:rsidRPr="009C5D54">
        <w:rPr>
          <w:rFonts w:hint="cs"/>
          <w:rtl/>
        </w:rPr>
        <w:t>جيم-</w:t>
      </w:r>
      <w:r w:rsidR="0005706C" w:rsidRPr="009C5D54">
        <w:rPr>
          <w:rFonts w:hint="cs"/>
          <w:rtl/>
        </w:rPr>
        <w:tab/>
        <w:t>دواعي القلق الرئيسية والتوصيات</w:t>
      </w:r>
    </w:p>
    <w:p w:rsidR="0005706C" w:rsidRDefault="0005706C" w:rsidP="00086AA1">
      <w:pPr>
        <w:pStyle w:val="H23GA"/>
        <w:spacing w:line="364" w:lineRule="exact"/>
        <w:rPr>
          <w:rFonts w:hint="cs"/>
          <w:rtl/>
        </w:rPr>
      </w:pPr>
      <w:r>
        <w:rPr>
          <w:rFonts w:hint="cs"/>
          <w:rtl/>
        </w:rPr>
        <w:tab/>
      </w:r>
      <w:r>
        <w:rPr>
          <w:rFonts w:hint="cs"/>
          <w:rtl/>
        </w:rPr>
        <w:tab/>
        <w:t>تعريف جريمة التعذيب</w:t>
      </w:r>
    </w:p>
    <w:p w:rsidR="0005706C" w:rsidRDefault="009C5D54" w:rsidP="00086AA1">
      <w:pPr>
        <w:pStyle w:val="SingleTxtGA"/>
        <w:spacing w:line="364" w:lineRule="exact"/>
        <w:rPr>
          <w:rFonts w:hint="cs"/>
          <w:rtl/>
        </w:rPr>
      </w:pPr>
      <w:r>
        <w:rPr>
          <w:rFonts w:hint="cs"/>
          <w:rtl/>
        </w:rPr>
        <w:t>(</w:t>
      </w:r>
      <w:r w:rsidR="0005706C">
        <w:rPr>
          <w:rFonts w:hint="cs"/>
          <w:rtl/>
        </w:rPr>
        <w:t>8</w:t>
      </w:r>
      <w:r>
        <w:rPr>
          <w:rFonts w:hint="cs"/>
          <w:rtl/>
        </w:rPr>
        <w:t>)</w:t>
      </w:r>
      <w:r w:rsidR="0005706C">
        <w:rPr>
          <w:rFonts w:hint="cs"/>
          <w:rtl/>
        </w:rPr>
        <w:tab/>
        <w:t xml:space="preserve">يساور اللجنة قلق لأن الدولة الطرف لم تضع بعد تعريفاً للتعذيب وفقاً لأحكام الاتفاقية، على الرغم مما أوصت به اللجنة في ملاحظاتها الختامية السابقة (الوثيقة </w:t>
      </w:r>
      <w:r w:rsidR="0005706C">
        <w:t>A/56/44</w:t>
      </w:r>
      <w:r w:rsidR="0005706C">
        <w:rPr>
          <w:rFonts w:hint="cs"/>
          <w:rtl/>
        </w:rPr>
        <w:t>، الفقرات من 89 إلى 98). وتحيط اللجنة علماً بوجود مشروع قانون لإصلاح قانون العقوبات يُقترح فيه تعديل المادة 295 (إساءة المعاملة والتعذيب)، لكنها ترى أن مشروع القانون هذا بصيغته الحالية تشوبه نقائص مهمة سيما إغفال القصد من الفعل في التعريف الأساسي للجريمة وعدم اعتبار دوافع التعذيب ظروفاً مشددة. ولا يشمل مشروع القانون بصيغته الحالية أفعال التعذيب المقصود بها ترهيب شخص ثالث أو ممارس</w:t>
      </w:r>
      <w:r>
        <w:rPr>
          <w:rFonts w:hint="cs"/>
          <w:rtl/>
        </w:rPr>
        <w:t xml:space="preserve">ة ضغط عليه </w:t>
      </w:r>
      <w:r w:rsidR="0005706C">
        <w:rPr>
          <w:rFonts w:hint="cs"/>
          <w:rtl/>
        </w:rPr>
        <w:t>ولا</w:t>
      </w:r>
      <w:r>
        <w:rPr>
          <w:rFonts w:hint="eastAsia"/>
          <w:rtl/>
        </w:rPr>
        <w:t> </w:t>
      </w:r>
      <w:r w:rsidR="0005706C">
        <w:rPr>
          <w:rFonts w:hint="cs"/>
          <w:rtl/>
        </w:rPr>
        <w:t xml:space="preserve">تلك الصادرة عن شخص ليس موظفاً لكنه يضطلع بوظائف عامة (المادتان 1 و4). </w:t>
      </w:r>
    </w:p>
    <w:p w:rsidR="0005706C" w:rsidRDefault="0005706C" w:rsidP="0005706C">
      <w:pPr>
        <w:pStyle w:val="SingleTxtGA"/>
        <w:rPr>
          <w:rFonts w:hint="cs"/>
          <w:b/>
          <w:bCs/>
          <w:rtl/>
        </w:rPr>
      </w:pPr>
      <w:r w:rsidRPr="007A5D2F">
        <w:rPr>
          <w:rFonts w:hint="cs"/>
          <w:b/>
          <w:bCs/>
          <w:rtl/>
        </w:rPr>
        <w:tab/>
        <w:t>تكرر اللجنة توصيتها السابقة (الفقرة 97(أ)) ومفادها أن الدولة الطرف يجب أن تضمّن تشريعاتها الجنائية تعريفاً للتعذيب يشمل جميع العناصر الواردة في المادة 1 من الاتفاقية. وينبغي أن تذكر التشريعات الجنائية بوضوح القصد من جريمة التعذيب</w:t>
      </w:r>
      <w:r>
        <w:rPr>
          <w:rFonts w:hint="cs"/>
          <w:b/>
          <w:bCs/>
          <w:rtl/>
        </w:rPr>
        <w:t>،</w:t>
      </w:r>
      <w:r w:rsidRPr="007A5D2F">
        <w:rPr>
          <w:rFonts w:hint="cs"/>
          <w:b/>
          <w:bCs/>
          <w:rtl/>
        </w:rPr>
        <w:t xml:space="preserve"> وأن تبين الظروف المشددة وأن تشمل الشروع في التعذيب وكذلك الأفعال المرتكبة بغرض تخويف الشخص أو شخص ثالث أو ممارسة ضغط عليه</w:t>
      </w:r>
      <w:r>
        <w:rPr>
          <w:rFonts w:hint="cs"/>
          <w:b/>
          <w:bCs/>
          <w:rtl/>
        </w:rPr>
        <w:t>،</w:t>
      </w:r>
      <w:r w:rsidRPr="007A5D2F">
        <w:rPr>
          <w:rFonts w:hint="cs"/>
          <w:b/>
          <w:bCs/>
          <w:rtl/>
        </w:rPr>
        <w:t xml:space="preserve"> والأفعال التي يقترفها أو يحرض عليها أو يوافق عليها أو يسكت عنها موظف عام أو شخص آخر يضطلع بوظائف عامة.</w:t>
      </w:r>
    </w:p>
    <w:p w:rsidR="0005706C" w:rsidRPr="007A5D2F" w:rsidRDefault="0005706C" w:rsidP="0005706C">
      <w:pPr>
        <w:pStyle w:val="SingleTxtGA"/>
        <w:rPr>
          <w:rFonts w:hint="cs"/>
          <w:b/>
          <w:bCs/>
          <w:rtl/>
        </w:rPr>
      </w:pPr>
      <w:r>
        <w:rPr>
          <w:rFonts w:hint="cs"/>
          <w:b/>
          <w:bCs/>
          <w:rtl/>
        </w:rPr>
        <w:tab/>
      </w:r>
      <w:r w:rsidRPr="007A5D2F">
        <w:rPr>
          <w:rFonts w:hint="cs"/>
          <w:b/>
          <w:bCs/>
          <w:rtl/>
        </w:rPr>
        <w:t>وتوجه اللجنة انتباه الد</w:t>
      </w:r>
      <w:r>
        <w:rPr>
          <w:rFonts w:hint="cs"/>
          <w:b/>
          <w:bCs/>
          <w:rtl/>
        </w:rPr>
        <w:t>ولة الطرف إلى تعليقها العام رقم</w:t>
      </w:r>
      <w:r w:rsidRPr="007A5D2F">
        <w:rPr>
          <w:rFonts w:hint="cs"/>
          <w:b/>
          <w:bCs/>
          <w:rtl/>
        </w:rPr>
        <w:t xml:space="preserve"> 2(2007) المتعلق بتنفيذ الدول الأطراف للمادة 2، الذي تسلط فيه الضوء على القيمة الوقائية لتعريف التعذيب كجريمة مستقلة (الوثيقة </w:t>
      </w:r>
      <w:r w:rsidRPr="007A5D2F">
        <w:rPr>
          <w:b/>
          <w:bCs/>
        </w:rPr>
        <w:t>CAT/C/GC/2</w:t>
      </w:r>
      <w:r w:rsidRPr="007A5D2F">
        <w:rPr>
          <w:rFonts w:hint="cs"/>
          <w:b/>
          <w:bCs/>
          <w:rtl/>
        </w:rPr>
        <w:t>، الفقرة 11).</w:t>
      </w:r>
    </w:p>
    <w:p w:rsidR="0005706C" w:rsidRPr="007A5D2F" w:rsidRDefault="0005706C" w:rsidP="0005706C">
      <w:pPr>
        <w:pStyle w:val="SingleTxtGA"/>
        <w:rPr>
          <w:rFonts w:hint="cs"/>
          <w:b/>
          <w:bCs/>
          <w:rtl/>
        </w:rPr>
      </w:pPr>
      <w:r w:rsidRPr="007A5D2F">
        <w:rPr>
          <w:rFonts w:hint="cs"/>
          <w:b/>
          <w:bCs/>
          <w:rtl/>
        </w:rPr>
        <w:tab/>
        <w:t>وإضافة إلى ذلك</w:t>
      </w:r>
      <w:r>
        <w:rPr>
          <w:rFonts w:hint="cs"/>
          <w:b/>
          <w:bCs/>
          <w:rtl/>
        </w:rPr>
        <w:t>،</w:t>
      </w:r>
      <w:r w:rsidRPr="007A5D2F">
        <w:rPr>
          <w:rFonts w:hint="cs"/>
          <w:b/>
          <w:bCs/>
          <w:rtl/>
        </w:rPr>
        <w:t xml:space="preserve"> ينبغي أن تحرص الدولة الطرف على المعاقبة على تلك الجرائم بعقوبات تتناسب مع خطورة الجريمة، وفقاً لأحكام الفقرة 2 من المادة 4 من الاتفاقية. </w:t>
      </w:r>
    </w:p>
    <w:p w:rsidR="0005706C" w:rsidRDefault="0005706C" w:rsidP="0005706C">
      <w:pPr>
        <w:pStyle w:val="H23GA"/>
        <w:rPr>
          <w:rFonts w:hint="cs"/>
          <w:rtl/>
        </w:rPr>
      </w:pPr>
      <w:r>
        <w:rPr>
          <w:rFonts w:hint="cs"/>
          <w:rtl/>
        </w:rPr>
        <w:tab/>
      </w:r>
      <w:r>
        <w:rPr>
          <w:rFonts w:hint="cs"/>
          <w:rtl/>
        </w:rPr>
        <w:tab/>
        <w:t>الضمانات القانونية الأساسية</w:t>
      </w:r>
    </w:p>
    <w:p w:rsidR="0005706C" w:rsidRDefault="009C5D54" w:rsidP="009C5D54">
      <w:pPr>
        <w:pStyle w:val="SingleTxtGA"/>
        <w:rPr>
          <w:rFonts w:hint="cs"/>
          <w:rtl/>
        </w:rPr>
      </w:pPr>
      <w:r>
        <w:rPr>
          <w:rFonts w:hint="cs"/>
          <w:rtl/>
        </w:rPr>
        <w:t>(</w:t>
      </w:r>
      <w:r w:rsidR="0005706C">
        <w:rPr>
          <w:rFonts w:hint="cs"/>
          <w:rtl/>
        </w:rPr>
        <w:t>9</w:t>
      </w:r>
      <w:r>
        <w:rPr>
          <w:rFonts w:hint="cs"/>
          <w:rtl/>
        </w:rPr>
        <w:t>)</w:t>
      </w:r>
      <w:r w:rsidR="0005706C">
        <w:rPr>
          <w:rFonts w:hint="cs"/>
          <w:rtl/>
        </w:rPr>
        <w:tab/>
        <w:t xml:space="preserve">تحيط اللجنة علماً بالمعلومات المقدمة من وفد الدولة الطرف فيما يتعلق بالقواعد التي تنظم حقوق المحتجزين أثناء مراحل الاحتجاز الأولى. لكنها تعرب عن أسفها إزاء عدم توافر معلومات عن التدابير المعتمدة والإجراءات القائمة للسهر، في الواقع العملي، على ضمان تلك الحقوق لكل شخص محروم من حريته. كما لا تشرح الدولة الطرف الأسباب التي أعاقت تنفيذ التوصية السابقة المتعلقة بوضع سجلات عامة تخص الأشخاص المحرومين من حريتهم وتذكر فيها السلطة التي أمرت بالاحتجاز وأسباب هذا الاحتجاز وحالة الإجراءات الخاصة بالشخص المحتجز (الوثيقة </w:t>
      </w:r>
      <w:r w:rsidR="0005706C" w:rsidRPr="00F06473">
        <w:t>A/56/44</w:t>
      </w:r>
      <w:r w:rsidR="0005706C">
        <w:rPr>
          <w:rFonts w:hint="cs"/>
          <w:rtl/>
        </w:rPr>
        <w:t>، الفقرة 97(ج)). وفي هذا الصدد، تلاحظ اللجنة بقلق أن المادة 296 من قانون الإجراءات الجنائية لا تشترط من أفراد الشرطة سوى بيان مكان الاحتجاز وتاريخه وتوقيته في السجل (المادة 2).</w:t>
      </w:r>
    </w:p>
    <w:p w:rsidR="0005706C" w:rsidRPr="007A5D2F" w:rsidRDefault="0005706C" w:rsidP="0005706C">
      <w:pPr>
        <w:pStyle w:val="SingleTxtGA"/>
        <w:rPr>
          <w:rFonts w:hint="cs"/>
          <w:b/>
          <w:bCs/>
          <w:rtl/>
        </w:rPr>
      </w:pPr>
      <w:r>
        <w:rPr>
          <w:rFonts w:hint="cs"/>
          <w:b/>
          <w:bCs/>
          <w:rtl/>
        </w:rPr>
        <w:tab/>
      </w:r>
      <w:r w:rsidRPr="007A5D2F">
        <w:rPr>
          <w:rFonts w:hint="cs"/>
          <w:b/>
          <w:bCs/>
          <w:rtl/>
        </w:rPr>
        <w:t>يجب على الدولة الطرف القيام بما يلي:</w:t>
      </w:r>
    </w:p>
    <w:p w:rsidR="0005706C" w:rsidRPr="007A5D2F" w:rsidRDefault="0005706C" w:rsidP="0005706C">
      <w:pPr>
        <w:pStyle w:val="SingleTxtGA"/>
        <w:rPr>
          <w:rFonts w:hint="cs"/>
          <w:b/>
          <w:bCs/>
          <w:spacing w:val="-2"/>
          <w:rtl/>
        </w:rPr>
      </w:pPr>
      <w:r w:rsidRPr="007A5D2F">
        <w:rPr>
          <w:rFonts w:hint="cs"/>
          <w:b/>
          <w:bCs/>
          <w:rtl/>
        </w:rPr>
        <w:tab/>
      </w:r>
      <w:r w:rsidRPr="007A5D2F">
        <w:rPr>
          <w:rFonts w:hint="cs"/>
          <w:b/>
          <w:bCs/>
          <w:spacing w:val="-2"/>
          <w:rtl/>
        </w:rPr>
        <w:t>(أ)</w:t>
      </w:r>
      <w:r w:rsidRPr="007A5D2F">
        <w:rPr>
          <w:rFonts w:hint="cs"/>
          <w:b/>
          <w:bCs/>
          <w:spacing w:val="-2"/>
          <w:rtl/>
        </w:rPr>
        <w:tab/>
        <w:t xml:space="preserve">اعتماد تدابير فعالة لضمان أن يتمتع الأشخاص المحتجزون، في الواقع العملي ومنذ بداية الحرمان من الحرية، بجميع الضمانات القانونية الأساسية، بما فيها حق الشخص في إعلامه بأسباب احتجازه وفي استشارة محام وفي الاتصال بأقاربه أو بأشخاص آخرين من اختياره وفي الخضوع بسرعة لفحص طبي مستقل. وتحث اللجنة الدولة الطرف على تكثيف جهودها الرامية إلى توسيع وتحسين </w:t>
      </w:r>
      <w:r>
        <w:rPr>
          <w:rFonts w:hint="cs"/>
          <w:b/>
          <w:bCs/>
          <w:spacing w:val="-2"/>
          <w:rtl/>
        </w:rPr>
        <w:t>ال</w:t>
      </w:r>
      <w:r w:rsidRPr="007A5D2F">
        <w:rPr>
          <w:rFonts w:hint="cs"/>
          <w:b/>
          <w:bCs/>
          <w:spacing w:val="-2"/>
          <w:rtl/>
        </w:rPr>
        <w:t xml:space="preserve">تغطية </w:t>
      </w:r>
      <w:r>
        <w:rPr>
          <w:rFonts w:hint="cs"/>
          <w:b/>
          <w:bCs/>
          <w:spacing w:val="-2"/>
          <w:rtl/>
        </w:rPr>
        <w:t>ب</w:t>
      </w:r>
      <w:r w:rsidRPr="007A5D2F">
        <w:rPr>
          <w:rFonts w:hint="cs"/>
          <w:b/>
          <w:bCs/>
          <w:spacing w:val="-2"/>
          <w:rtl/>
        </w:rPr>
        <w:t xml:space="preserve">الخدمة الوطنية للدفاع العام؛ </w:t>
      </w:r>
    </w:p>
    <w:p w:rsidR="0005706C" w:rsidRPr="007A5D2F" w:rsidRDefault="0005706C" w:rsidP="0005706C">
      <w:pPr>
        <w:pStyle w:val="SingleTxtGA"/>
        <w:rPr>
          <w:rFonts w:hint="cs"/>
          <w:b/>
          <w:bCs/>
          <w:rtl/>
        </w:rPr>
      </w:pPr>
      <w:r w:rsidRPr="007A5D2F">
        <w:rPr>
          <w:rFonts w:hint="cs"/>
          <w:b/>
          <w:bCs/>
          <w:rtl/>
        </w:rPr>
        <w:tab/>
        <w:t>(ب)</w:t>
      </w:r>
      <w:r w:rsidRPr="007A5D2F">
        <w:rPr>
          <w:rFonts w:hint="cs"/>
          <w:b/>
          <w:bCs/>
          <w:rtl/>
        </w:rPr>
        <w:tab/>
        <w:t>التحقق بصورة منهجية، بواسطة عمليات مراقبة وتفتيش، من احترام الالتزام بمسك سجل لحالات الحرمان من الحرية، وفقاً لمجموعة المبادئ المتعلقة بحماية جميع الأشخاص الذين يتعرضون لأي شكل من أشكال الاحتجاز أو السجن (قرار الجمعية العامة 43/173، المؤرخ 9 كانون الأول/ديسمبر 1988).</w:t>
      </w:r>
    </w:p>
    <w:p w:rsidR="0005706C" w:rsidRDefault="0005706C" w:rsidP="0005706C">
      <w:pPr>
        <w:pStyle w:val="H23GA"/>
        <w:rPr>
          <w:rFonts w:hint="cs"/>
          <w:rtl/>
          <w:lang w:val="fr-CH"/>
        </w:rPr>
      </w:pPr>
      <w:r>
        <w:rPr>
          <w:rFonts w:hint="cs"/>
          <w:rtl/>
          <w:lang w:val="fr-CH"/>
        </w:rPr>
        <w:tab/>
      </w:r>
      <w:r>
        <w:rPr>
          <w:rFonts w:hint="cs"/>
          <w:rtl/>
          <w:lang w:val="fr-CH"/>
        </w:rPr>
        <w:tab/>
        <w:t>شكاوى التعذيب وإساءة المعاملة</w:t>
      </w:r>
    </w:p>
    <w:p w:rsidR="0005706C" w:rsidRPr="009C5D54" w:rsidRDefault="00040E72" w:rsidP="009C5D54">
      <w:pPr>
        <w:pStyle w:val="SingleTxtGA"/>
        <w:rPr>
          <w:rFonts w:hint="cs"/>
          <w:spacing w:val="-2"/>
          <w:rtl/>
          <w:lang w:val="fr-CH" w:eastAsia="ar-SA"/>
        </w:rPr>
      </w:pPr>
      <w:r w:rsidRPr="009C5D54">
        <w:rPr>
          <w:rFonts w:hint="cs"/>
          <w:spacing w:val="-2"/>
          <w:rtl/>
          <w:lang w:val="fr-CH" w:eastAsia="ar-SA"/>
        </w:rPr>
        <w:t>(</w:t>
      </w:r>
      <w:r w:rsidR="0005706C" w:rsidRPr="009C5D54">
        <w:rPr>
          <w:rFonts w:hint="cs"/>
          <w:spacing w:val="-2"/>
          <w:rtl/>
          <w:lang w:val="fr-CH" w:eastAsia="ar-SA"/>
        </w:rPr>
        <w:t>10</w:t>
      </w:r>
      <w:r w:rsidRPr="009C5D54">
        <w:rPr>
          <w:rFonts w:hint="cs"/>
          <w:spacing w:val="-2"/>
          <w:rtl/>
          <w:lang w:val="fr-CH" w:eastAsia="ar-SA"/>
        </w:rPr>
        <w:t>)</w:t>
      </w:r>
      <w:r w:rsidR="0005706C" w:rsidRPr="009C5D54">
        <w:rPr>
          <w:rFonts w:hint="cs"/>
          <w:spacing w:val="-2"/>
          <w:rtl/>
          <w:lang w:val="fr-CH" w:eastAsia="ar-SA"/>
        </w:rPr>
        <w:tab/>
        <w:t xml:space="preserve">تفيد البيانات المقدَّمة من الدولة الطرف بأن الشرطة البوليفية عالجت 42 حالة فردية من حالات التعذيب وإساءة المعاملة (القانون الجنائي، المادة 295) بخصوص 28 رجلاً و14 امرأة، في الفترة ما بين عامي 2001 و2012، بينما سجَّلت النيابة العامة للدولة 36 شكوى تخص 31 رجلاً و5 نساء في الفترة ما بين </w:t>
      </w:r>
      <w:r w:rsidR="0005706C" w:rsidRPr="009C5D54">
        <w:rPr>
          <w:rFonts w:hint="cs"/>
          <w:spacing w:val="-2"/>
          <w:sz w:val="30"/>
          <w:rtl/>
          <w:lang w:val="fr-CH" w:eastAsia="ar-SA"/>
        </w:rPr>
        <w:t xml:space="preserve">آذار/مارس </w:t>
      </w:r>
      <w:r w:rsidR="0005706C" w:rsidRPr="009C5D54">
        <w:rPr>
          <w:rFonts w:hint="cs"/>
          <w:spacing w:val="-2"/>
          <w:rtl/>
          <w:lang w:val="fr-CH" w:eastAsia="ar-SA"/>
        </w:rPr>
        <w:t>2006 و</w:t>
      </w:r>
      <w:r w:rsidR="0005706C" w:rsidRPr="009C5D54">
        <w:rPr>
          <w:rFonts w:hint="cs"/>
          <w:spacing w:val="-2"/>
          <w:sz w:val="30"/>
          <w:rtl/>
          <w:lang w:val="fr-CH" w:eastAsia="ar-SA"/>
        </w:rPr>
        <w:t xml:space="preserve">شباط/فبراير </w:t>
      </w:r>
      <w:r w:rsidR="0005706C" w:rsidRPr="009C5D54">
        <w:rPr>
          <w:rFonts w:hint="cs"/>
          <w:spacing w:val="-2"/>
          <w:rtl/>
          <w:lang w:val="fr-CH" w:eastAsia="ar-SA"/>
        </w:rPr>
        <w:t>2013. أما</w:t>
      </w:r>
      <w:r w:rsidR="009C5D54">
        <w:rPr>
          <w:rFonts w:hint="eastAsia"/>
          <w:spacing w:val="-2"/>
          <w:rtl/>
          <w:lang w:val="fr-CH" w:eastAsia="ar-SA"/>
        </w:rPr>
        <w:t> </w:t>
      </w:r>
      <w:r w:rsidR="0005706C" w:rsidRPr="009C5D54">
        <w:rPr>
          <w:rFonts w:hint="cs"/>
          <w:spacing w:val="-2"/>
          <w:rtl/>
          <w:lang w:val="fr-CH" w:eastAsia="ar-SA"/>
        </w:rPr>
        <w:t>المديرية العامة لنظام السجون فقد أحاطت علماً بأربع حالات فردية من حالات التعذيب أو إساءة المعاملة تخص أحداثاً ذكوراً في مركز إعادة التأهيل بكالواما (فياتشا) أثناء الفترة المشمولة بالاستعراض. وتتعارض هذه البيانات مع المعلومات المقدمة من أمانة المظالم، التي تُفيد في تقريرها المقدَّم إلى اللجنة بمعالجة ما مجموعه 784 3 شكوى تتعلق بالتعذيب أو إساءة المعاملة في الفترة ما بين عامي 2007 إلى 2012، وهي شكاوى أفضت إلى صدور 91 قراراً عن أمانة المظالم (المواد 2 و12 و13 و16).</w:t>
      </w:r>
    </w:p>
    <w:p w:rsidR="0005706C" w:rsidRPr="00E44E3F" w:rsidRDefault="0005706C" w:rsidP="0005706C">
      <w:pPr>
        <w:pStyle w:val="SingleTxtGA"/>
        <w:rPr>
          <w:rFonts w:hint="cs"/>
          <w:b/>
          <w:bCs/>
          <w:rtl/>
          <w:lang w:val="fr-CH" w:eastAsia="ar-SA"/>
        </w:rPr>
      </w:pPr>
      <w:r>
        <w:rPr>
          <w:rFonts w:hint="cs"/>
          <w:rtl/>
          <w:lang w:val="fr-CH" w:eastAsia="ar-SA"/>
        </w:rPr>
        <w:tab/>
      </w:r>
      <w:r w:rsidRPr="00E44E3F">
        <w:rPr>
          <w:rFonts w:hint="cs"/>
          <w:b/>
          <w:bCs/>
          <w:rtl/>
          <w:lang w:val="fr-CH" w:eastAsia="ar-SA"/>
        </w:rPr>
        <w:t>ينبغي أن تُنشئ الدولة الطرف آلية تظلُّم مستقلةً تُعنى خصيصاً بتلقي شكاوى التعذيب وإساءة المعاملة كي يتسنى النظر فيها بحياد وبلا تأخير. وعلاوة على ذلك، يجب على الدولة الطرف إعادة النظر في فعالية نظام الشكاوى الداخلي المتاح للأشخاص المحرومين من الحرية.</w:t>
      </w:r>
    </w:p>
    <w:p w:rsidR="0005706C" w:rsidRPr="00E44E3F" w:rsidRDefault="0005706C" w:rsidP="0005706C">
      <w:pPr>
        <w:pStyle w:val="SingleTxtGA"/>
        <w:rPr>
          <w:rFonts w:hint="cs"/>
          <w:b/>
          <w:bCs/>
          <w:rtl/>
          <w:lang w:val="fr-CH" w:eastAsia="ar-SA"/>
        </w:rPr>
      </w:pPr>
      <w:r w:rsidRPr="00E44E3F">
        <w:rPr>
          <w:rFonts w:hint="cs"/>
          <w:b/>
          <w:bCs/>
          <w:rtl/>
          <w:lang w:val="fr-CH" w:eastAsia="ar-SA"/>
        </w:rPr>
        <w:tab/>
        <w:t>وتكرر اللجنة توصيتها السابقة (الفقرة 97(</w:t>
      </w:r>
      <w:r w:rsidRPr="00E44E3F">
        <w:rPr>
          <w:rFonts w:hint="cs"/>
          <w:b/>
          <w:bCs/>
          <w:sz w:val="30"/>
          <w:rtl/>
          <w:lang w:val="fr-CH" w:eastAsia="ar-SA"/>
        </w:rPr>
        <w:t>ﻫ</w:t>
      </w:r>
      <w:r w:rsidRPr="00E44E3F">
        <w:rPr>
          <w:rFonts w:hint="cs"/>
          <w:b/>
          <w:bCs/>
          <w:rtl/>
          <w:lang w:val="fr-CH" w:eastAsia="ar-SA"/>
        </w:rPr>
        <w:t>)) التي حثت فيها الدولة الطرف على إنشاء سجل مركزي عام لشكاوى التعذيب يتضمن معلومات عما يتصل بتلك الشكاوى من تحقيقات ومحاكمات وعقوبات جنائية أو تأديبية.</w:t>
      </w:r>
    </w:p>
    <w:p w:rsidR="0005706C" w:rsidRDefault="0005706C" w:rsidP="0005706C">
      <w:pPr>
        <w:pStyle w:val="H23GA"/>
        <w:rPr>
          <w:rFonts w:hint="cs"/>
          <w:rtl/>
          <w:lang w:val="fr-CH"/>
        </w:rPr>
      </w:pPr>
      <w:r>
        <w:rPr>
          <w:rFonts w:hint="cs"/>
          <w:rtl/>
          <w:lang w:val="fr-CH"/>
        </w:rPr>
        <w:tab/>
      </w:r>
      <w:r>
        <w:rPr>
          <w:rFonts w:hint="cs"/>
          <w:rtl/>
          <w:lang w:val="fr-CH"/>
        </w:rPr>
        <w:tab/>
        <w:t>التحقيق والإجراءات القضائية</w:t>
      </w:r>
    </w:p>
    <w:p w:rsidR="0005706C" w:rsidRDefault="009C5D54" w:rsidP="009C5D54">
      <w:pPr>
        <w:pStyle w:val="SingleTxtGA"/>
        <w:rPr>
          <w:rFonts w:hint="cs"/>
          <w:rtl/>
          <w:lang w:eastAsia="ar-SA"/>
        </w:rPr>
      </w:pPr>
      <w:r>
        <w:rPr>
          <w:rFonts w:hint="cs"/>
          <w:rtl/>
          <w:lang w:val="fr-CH" w:eastAsia="ar-SA"/>
        </w:rPr>
        <w:t>(</w:t>
      </w:r>
      <w:r w:rsidR="0005706C" w:rsidRPr="00E27CD9">
        <w:rPr>
          <w:rFonts w:hint="cs"/>
          <w:rtl/>
          <w:lang w:val="fr-CH" w:eastAsia="ar-SA"/>
        </w:rPr>
        <w:t>11</w:t>
      </w:r>
      <w:r>
        <w:rPr>
          <w:rFonts w:hint="cs"/>
          <w:rtl/>
          <w:lang w:val="fr-CH" w:eastAsia="ar-SA"/>
        </w:rPr>
        <w:t>)</w:t>
      </w:r>
      <w:r w:rsidR="0005706C" w:rsidRPr="00E27CD9">
        <w:rPr>
          <w:rFonts w:hint="cs"/>
          <w:rtl/>
          <w:lang w:val="fr-CH" w:eastAsia="ar-SA"/>
        </w:rPr>
        <w:tab/>
      </w:r>
      <w:r w:rsidR="0005706C">
        <w:rPr>
          <w:rFonts w:hint="cs"/>
          <w:rtl/>
          <w:lang w:val="fr-CH" w:eastAsia="ar-SA"/>
        </w:rPr>
        <w:t xml:space="preserve">يساور اللجنة قلق إزاء التأخير في التحقيق والنظر في القضايا الجنائية المتعلقة بمعظم الحالات الفردية لإساءة المعاملة والتعذيب والإفراط في استعمال القوة والوفاة في الحبس التي وُجه إليها انتباه الدولة الطرف في قائمة </w:t>
      </w:r>
      <w:r w:rsidR="009912C3">
        <w:rPr>
          <w:rFonts w:hint="cs"/>
          <w:rtl/>
          <w:lang w:val="fr-CH" w:eastAsia="ar-SA"/>
        </w:rPr>
        <w:t xml:space="preserve">القضايا </w:t>
      </w:r>
      <w:r w:rsidR="0005706C">
        <w:rPr>
          <w:rFonts w:hint="cs"/>
          <w:rtl/>
          <w:lang w:val="fr-CH" w:eastAsia="ar-SA"/>
        </w:rPr>
        <w:t xml:space="preserve">(الوثيقة </w:t>
      </w:r>
      <w:r w:rsidR="0005706C">
        <w:rPr>
          <w:lang w:eastAsia="ar-SA"/>
        </w:rPr>
        <w:t>CAT/C/BOL/Q/2/Add.1</w:t>
      </w:r>
      <w:r>
        <w:rPr>
          <w:rFonts w:hint="cs"/>
          <w:rtl/>
          <w:lang w:eastAsia="ar-SA"/>
        </w:rPr>
        <w:t xml:space="preserve">، </w:t>
      </w:r>
      <w:r w:rsidR="0005706C">
        <w:rPr>
          <w:rFonts w:hint="cs"/>
          <w:rtl/>
          <w:lang w:eastAsia="ar-SA"/>
        </w:rPr>
        <w:t>الفقرتان</w:t>
      </w:r>
      <w:r>
        <w:rPr>
          <w:rFonts w:hint="eastAsia"/>
          <w:rtl/>
          <w:lang w:eastAsia="ar-SA"/>
        </w:rPr>
        <w:t> </w:t>
      </w:r>
      <w:r w:rsidR="0005706C">
        <w:rPr>
          <w:rFonts w:hint="cs"/>
          <w:rtl/>
          <w:lang w:eastAsia="ar-SA"/>
        </w:rPr>
        <w:t>22 و27). وتشاطر اللجنة أمانة المظالم قلقها بشأن إمكانية سقوط البعض من هذه الجرائم بالتقادم. كما تُعرب اللجنة عن أسفها لعدم تلقي معلومات مفصلة عن نتائج التحقيقات والإجراءات الجنائية أو التأديبية المتصلة بتلك الحالات وعن الأحكام والعقوبات التأديبية المفروضة على المتورطين في أفعال التعذيب أثناء الفترة المشمولة بالاستعراض. ويتعذر على اللجنة في غياب هذه المعلومات تقييم إجراءات الدولة الطرف في ضوء أحكام المادة 12 من الاتفاقية (المواد 2 و12 و16).</w:t>
      </w:r>
    </w:p>
    <w:p w:rsidR="0005706C" w:rsidRPr="00E44E3F" w:rsidRDefault="0005706C" w:rsidP="0005706C">
      <w:pPr>
        <w:pStyle w:val="SingleTxtGA"/>
        <w:rPr>
          <w:rFonts w:hint="cs"/>
          <w:b/>
          <w:bCs/>
          <w:rtl/>
        </w:rPr>
      </w:pPr>
      <w:r>
        <w:rPr>
          <w:rFonts w:hint="cs"/>
          <w:b/>
          <w:bCs/>
          <w:rtl/>
        </w:rPr>
        <w:tab/>
      </w:r>
      <w:r w:rsidRPr="00E44E3F">
        <w:rPr>
          <w:rFonts w:hint="cs"/>
          <w:b/>
          <w:bCs/>
          <w:rtl/>
        </w:rPr>
        <w:t>يجب على الدولة الطرف القيام بما يلي:</w:t>
      </w:r>
    </w:p>
    <w:p w:rsidR="0005706C" w:rsidRPr="00E44E3F" w:rsidRDefault="0005706C" w:rsidP="0005706C">
      <w:pPr>
        <w:pStyle w:val="SingleTxtGA"/>
        <w:rPr>
          <w:rFonts w:hint="cs"/>
          <w:b/>
          <w:bCs/>
          <w:rtl/>
          <w:lang w:eastAsia="ar-SA"/>
        </w:rPr>
      </w:pPr>
      <w:r w:rsidRPr="00E44E3F">
        <w:rPr>
          <w:rFonts w:hint="cs"/>
          <w:b/>
          <w:bCs/>
          <w:rtl/>
          <w:lang w:eastAsia="ar-SA"/>
        </w:rPr>
        <w:tab/>
        <w:t>(أ)</w:t>
      </w:r>
      <w:r w:rsidRPr="00E44E3F">
        <w:rPr>
          <w:rFonts w:hint="cs"/>
          <w:b/>
          <w:bCs/>
          <w:rtl/>
          <w:lang w:eastAsia="ar-SA"/>
        </w:rPr>
        <w:tab/>
        <w:t>ضمان إجراء تحقيقات فورية ونزيهة في جميع الشكاوى المتعلقة بالتعذيب وسوء المعاملة؛</w:t>
      </w:r>
    </w:p>
    <w:p w:rsidR="0005706C" w:rsidRPr="00E44E3F" w:rsidRDefault="0005706C" w:rsidP="00086AA1">
      <w:pPr>
        <w:pStyle w:val="SingleTxtGA"/>
        <w:spacing w:line="370" w:lineRule="exact"/>
        <w:rPr>
          <w:rFonts w:hint="cs"/>
          <w:b/>
          <w:bCs/>
          <w:rtl/>
          <w:lang w:eastAsia="ar-SA"/>
        </w:rPr>
      </w:pPr>
      <w:r w:rsidRPr="00E44E3F">
        <w:rPr>
          <w:rFonts w:hint="cs"/>
          <w:b/>
          <w:bCs/>
          <w:rtl/>
          <w:lang w:eastAsia="ar-SA"/>
        </w:rPr>
        <w:tab/>
        <w:t>(ب)</w:t>
      </w:r>
      <w:r w:rsidRPr="00E44E3F">
        <w:rPr>
          <w:rFonts w:hint="cs"/>
          <w:b/>
          <w:bCs/>
          <w:rtl/>
          <w:lang w:eastAsia="ar-SA"/>
        </w:rPr>
        <w:tab/>
        <w:t>الشروع تلقائياً في إجراء تحقيق فوري وشامل وفعال حيثما توافرت أسباب معقولة يُعتقد بناءً عليها ارتكاب فعل من أفعال التعذيب أو إساءة المعاملة؛</w:t>
      </w:r>
    </w:p>
    <w:p w:rsidR="0005706C" w:rsidRPr="00E44E3F" w:rsidRDefault="0005706C" w:rsidP="00086AA1">
      <w:pPr>
        <w:pStyle w:val="SingleTxtGA"/>
        <w:spacing w:line="370" w:lineRule="exact"/>
        <w:rPr>
          <w:rFonts w:hint="cs"/>
          <w:b/>
          <w:bCs/>
          <w:rtl/>
          <w:lang w:eastAsia="ar-SA"/>
        </w:rPr>
      </w:pPr>
      <w:r w:rsidRPr="00E44E3F">
        <w:rPr>
          <w:rFonts w:hint="cs"/>
          <w:b/>
          <w:bCs/>
          <w:rtl/>
          <w:lang w:eastAsia="ar-SA"/>
        </w:rPr>
        <w:tab/>
        <w:t>(ج)</w:t>
      </w:r>
      <w:r w:rsidRPr="00E44E3F">
        <w:rPr>
          <w:rFonts w:hint="cs"/>
          <w:b/>
          <w:bCs/>
          <w:rtl/>
          <w:lang w:eastAsia="ar-SA"/>
        </w:rPr>
        <w:tab/>
        <w:t>الحرص على أن يُوقف عن العمل فوراً وطيلة فترة التحقيقات الأشخاص المشتبه في تورطهم في أعمال تعذيب أو سوء معاملة، سيما إذا كان استبقاؤهم قد يتسبب في تكرار الفعل المفترض أو في عرقلة التحقيق؛</w:t>
      </w:r>
    </w:p>
    <w:p w:rsidR="0005706C" w:rsidRPr="00E44E3F" w:rsidRDefault="0005706C" w:rsidP="00086AA1">
      <w:pPr>
        <w:pStyle w:val="SingleTxtGA"/>
        <w:spacing w:line="370" w:lineRule="exact"/>
        <w:rPr>
          <w:rFonts w:hint="cs"/>
          <w:b/>
          <w:bCs/>
          <w:rtl/>
          <w:lang w:eastAsia="ar-SA"/>
        </w:rPr>
      </w:pPr>
      <w:r w:rsidRPr="00E44E3F">
        <w:rPr>
          <w:rFonts w:hint="cs"/>
          <w:b/>
          <w:bCs/>
          <w:rtl/>
          <w:lang w:eastAsia="ar-SA"/>
        </w:rPr>
        <w:tab/>
        <w:t>(</w:t>
      </w:r>
      <w:r>
        <w:rPr>
          <w:rFonts w:hint="cs"/>
          <w:b/>
          <w:bCs/>
          <w:rtl/>
          <w:lang w:eastAsia="ar-SA"/>
        </w:rPr>
        <w:t>د</w:t>
      </w:r>
      <w:r w:rsidRPr="00E44E3F">
        <w:rPr>
          <w:rFonts w:hint="cs"/>
          <w:b/>
          <w:bCs/>
          <w:rtl/>
          <w:lang w:eastAsia="ar-SA"/>
        </w:rPr>
        <w:t>)</w:t>
      </w:r>
      <w:r w:rsidRPr="00E44E3F">
        <w:rPr>
          <w:rFonts w:hint="cs"/>
          <w:b/>
          <w:bCs/>
          <w:rtl/>
          <w:lang w:eastAsia="ar-SA"/>
        </w:rPr>
        <w:tab/>
        <w:t>مقاضاة المشتبه في تورطهم في التعذيب أو إساءة المعاملة، وضمان تناسب العقوبات المفروضة عليهم مع خطورة أفعالهم في حال ثبوت إدانتهم، وضمان تقديم تعويضات ملائمة للضحايا. ويجب أن تُقدِّم الدولة الطرف معلومات إحصائية محدَّثة بهذا الخصوص.</w:t>
      </w:r>
    </w:p>
    <w:p w:rsidR="0005706C" w:rsidRPr="00E44E3F" w:rsidRDefault="0005706C" w:rsidP="00086AA1">
      <w:pPr>
        <w:pStyle w:val="SingleTxtGA"/>
        <w:spacing w:line="370" w:lineRule="exact"/>
        <w:rPr>
          <w:rFonts w:hint="cs"/>
          <w:b/>
          <w:bCs/>
          <w:spacing w:val="-2"/>
          <w:rtl/>
          <w:lang w:val="fr-CH" w:eastAsia="ar-SA"/>
        </w:rPr>
      </w:pPr>
      <w:r w:rsidRPr="00E44E3F">
        <w:rPr>
          <w:rFonts w:hint="cs"/>
          <w:b/>
          <w:bCs/>
          <w:rtl/>
          <w:lang w:val="fr-CH" w:eastAsia="ar-SA"/>
        </w:rPr>
        <w:tab/>
      </w:r>
      <w:r w:rsidRPr="00E44E3F">
        <w:rPr>
          <w:rFonts w:hint="cs"/>
          <w:b/>
          <w:bCs/>
          <w:spacing w:val="-2"/>
          <w:rtl/>
          <w:lang w:val="fr-CH" w:eastAsia="ar-SA"/>
        </w:rPr>
        <w:t>وتوصي اللجنة بأن تسهر الدولة الطرف على منع سقوط أفعال التعذيب بالتقادم.</w:t>
      </w:r>
    </w:p>
    <w:p w:rsidR="0005706C" w:rsidRPr="0016527C" w:rsidRDefault="0005706C" w:rsidP="00086AA1">
      <w:pPr>
        <w:pStyle w:val="H23GA"/>
        <w:spacing w:line="370" w:lineRule="exact"/>
        <w:rPr>
          <w:rFonts w:hint="cs"/>
          <w:rtl/>
          <w:lang w:val="fr-CH"/>
        </w:rPr>
      </w:pPr>
      <w:r>
        <w:rPr>
          <w:rFonts w:hint="cs"/>
          <w:rtl/>
          <w:lang w:val="fr-CH"/>
        </w:rPr>
        <w:tab/>
      </w:r>
      <w:r>
        <w:rPr>
          <w:rFonts w:hint="cs"/>
          <w:rtl/>
          <w:lang w:val="fr-CH"/>
        </w:rPr>
        <w:tab/>
        <w:t>القضاء العسكري</w:t>
      </w:r>
    </w:p>
    <w:p w:rsidR="0005706C" w:rsidRDefault="009C5D54" w:rsidP="00086AA1">
      <w:pPr>
        <w:pStyle w:val="SingleTxtGA"/>
        <w:spacing w:line="370" w:lineRule="exact"/>
        <w:rPr>
          <w:rFonts w:hint="cs"/>
          <w:rtl/>
          <w:lang w:val="fr-CH" w:eastAsia="ar-SA"/>
        </w:rPr>
      </w:pPr>
      <w:r>
        <w:rPr>
          <w:rFonts w:hint="cs"/>
          <w:rtl/>
          <w:lang w:val="fr-CH" w:eastAsia="ar-SA"/>
        </w:rPr>
        <w:t>(</w:t>
      </w:r>
      <w:r w:rsidR="0005706C">
        <w:rPr>
          <w:rFonts w:hint="cs"/>
          <w:rtl/>
          <w:lang w:val="fr-CH" w:eastAsia="ar-SA"/>
        </w:rPr>
        <w:t>12</w:t>
      </w:r>
      <w:r>
        <w:rPr>
          <w:rFonts w:hint="cs"/>
          <w:rtl/>
          <w:lang w:val="fr-CH" w:eastAsia="ar-SA"/>
        </w:rPr>
        <w:t>)</w:t>
      </w:r>
      <w:r w:rsidR="0005706C">
        <w:rPr>
          <w:rFonts w:hint="cs"/>
          <w:rtl/>
          <w:lang w:val="fr-CH" w:eastAsia="ar-SA"/>
        </w:rPr>
        <w:tab/>
        <w:t xml:space="preserve">ترحب اللجنة بمحتوى القرار 2540/2012 المؤرخ 21 </w:t>
      </w:r>
      <w:r w:rsidR="0005706C" w:rsidRPr="006D30ED">
        <w:rPr>
          <w:rFonts w:hint="cs"/>
          <w:sz w:val="30"/>
          <w:rtl/>
          <w:lang w:val="fr-CH" w:eastAsia="ar-SA"/>
        </w:rPr>
        <w:t>كانون الأول/</w:t>
      </w:r>
      <w:r>
        <w:rPr>
          <w:rFonts w:hint="cs"/>
          <w:sz w:val="30"/>
          <w:rtl/>
          <w:lang w:val="fr-CH" w:eastAsia="ar-SA"/>
        </w:rPr>
        <w:t xml:space="preserve"> </w:t>
      </w:r>
      <w:r w:rsidR="0005706C" w:rsidRPr="006D30ED">
        <w:rPr>
          <w:rFonts w:hint="cs"/>
          <w:sz w:val="30"/>
          <w:rtl/>
          <w:lang w:val="fr-CH" w:eastAsia="ar-SA"/>
        </w:rPr>
        <w:t>ديسمبر</w:t>
      </w:r>
      <w:r>
        <w:rPr>
          <w:rFonts w:hint="eastAsia"/>
          <w:sz w:val="30"/>
          <w:rtl/>
          <w:lang w:val="fr-CH" w:eastAsia="ar-SA"/>
        </w:rPr>
        <w:t> </w:t>
      </w:r>
      <w:r w:rsidR="0005706C">
        <w:rPr>
          <w:rFonts w:hint="cs"/>
          <w:rtl/>
          <w:lang w:val="fr-CH" w:eastAsia="ar-SA"/>
        </w:rPr>
        <w:t xml:space="preserve">2012 والصادر عن المحكمة الدستورية متعددة القوميات الذي فصل في تنازع الاختصاص لصالح القضاء العادي في قضية الملازم غروفر بيتو بوما غوانتو. وتلاحظ اللجنة أن المحكمة العليا تناشد في قرارها الجمعية التشريعية متعددة القوميات تغيير القواعد الجنائية العسكرية المعتمدة بموجب مرسوم القانون 13321 المؤرخ 22 </w:t>
      </w:r>
      <w:r w:rsidR="0005706C" w:rsidRPr="00154437">
        <w:rPr>
          <w:rFonts w:hint="cs"/>
          <w:sz w:val="30"/>
          <w:rtl/>
          <w:lang w:val="fr-CH" w:eastAsia="ar-SA"/>
        </w:rPr>
        <w:t xml:space="preserve">كانون الثاني/يناير </w:t>
      </w:r>
      <w:r w:rsidR="0005706C">
        <w:rPr>
          <w:rFonts w:hint="cs"/>
          <w:rtl/>
          <w:lang w:val="fr-CH" w:eastAsia="ar-SA"/>
        </w:rPr>
        <w:t>1976 بحيث تتوافق مع المعايير المنصوص عليها في الدستور وفي المعاهدات الدولية لحقوق الإنسان التي تُلزِم الدولة الطرف بعدم إخضاع انتهاكا</w:t>
      </w:r>
      <w:r>
        <w:rPr>
          <w:rFonts w:hint="cs"/>
          <w:rtl/>
          <w:lang w:val="fr-CH" w:eastAsia="ar-SA"/>
        </w:rPr>
        <w:t xml:space="preserve">ت حقوق الإنسان للقضاء العسكري </w:t>
      </w:r>
      <w:r w:rsidR="0005706C">
        <w:rPr>
          <w:rFonts w:hint="cs"/>
          <w:rtl/>
          <w:lang w:val="fr-CH" w:eastAsia="ar-SA"/>
        </w:rPr>
        <w:t>(الفقرتان</w:t>
      </w:r>
      <w:r>
        <w:rPr>
          <w:rFonts w:hint="eastAsia"/>
          <w:rtl/>
          <w:lang w:val="fr-CH" w:eastAsia="ar-SA"/>
        </w:rPr>
        <w:t> </w:t>
      </w:r>
      <w:r w:rsidR="0005706C">
        <w:rPr>
          <w:rFonts w:hint="cs"/>
          <w:rtl/>
          <w:lang w:val="fr-CH" w:eastAsia="ar-SA"/>
        </w:rPr>
        <w:t>1 و3 من المادة 2 والمواد 12 و13 و16).</w:t>
      </w:r>
    </w:p>
    <w:p w:rsidR="0005706C" w:rsidRPr="00E44E3F" w:rsidRDefault="0005706C" w:rsidP="00086AA1">
      <w:pPr>
        <w:pStyle w:val="SingleTxtGA"/>
        <w:spacing w:line="370" w:lineRule="exact"/>
        <w:rPr>
          <w:rFonts w:hint="cs"/>
          <w:b/>
          <w:bCs/>
          <w:rtl/>
          <w:lang w:val="fr-CH" w:eastAsia="ar-SA"/>
        </w:rPr>
      </w:pPr>
      <w:r w:rsidRPr="00472FF7">
        <w:rPr>
          <w:rFonts w:hint="cs"/>
          <w:rtl/>
          <w:lang w:val="fr-CH" w:eastAsia="ar-SA"/>
        </w:rPr>
        <w:tab/>
      </w:r>
      <w:r w:rsidRPr="00E44E3F">
        <w:rPr>
          <w:rFonts w:hint="cs"/>
          <w:b/>
          <w:bCs/>
          <w:rtl/>
          <w:lang w:val="fr-CH" w:eastAsia="ar-SA"/>
        </w:rPr>
        <w:t>تحث اللجنة الدولة الطرف على تعديل قانونها الجنائي العسكري وقانون الإجراءات الجنائية العسكرية وقانون تنظيم القضاء العسكري، بغية إلغاء اختصاص القضاء العسكري في قضايا انتهاكات حقوق الإنسان</w:t>
      </w:r>
      <w:r>
        <w:rPr>
          <w:rFonts w:hint="cs"/>
          <w:b/>
          <w:bCs/>
          <w:rtl/>
          <w:lang w:val="fr-CH" w:eastAsia="ar-SA"/>
        </w:rPr>
        <w:t>،</w:t>
      </w:r>
      <w:r w:rsidRPr="00E44E3F">
        <w:rPr>
          <w:rFonts w:hint="cs"/>
          <w:b/>
          <w:bCs/>
          <w:rtl/>
          <w:lang w:val="fr-CH" w:eastAsia="ar-SA"/>
        </w:rPr>
        <w:t xml:space="preserve"> بما فيها أفعال التعذيب وإساءة المعاملة التي يقترفها أفراد القوات المسلحة.</w:t>
      </w:r>
    </w:p>
    <w:p w:rsidR="0005706C" w:rsidRPr="00E44E3F" w:rsidRDefault="0005706C" w:rsidP="00086AA1">
      <w:pPr>
        <w:pStyle w:val="SingleTxtGA"/>
        <w:spacing w:line="370" w:lineRule="exact"/>
        <w:rPr>
          <w:rFonts w:hint="cs"/>
          <w:b/>
          <w:bCs/>
          <w:spacing w:val="-2"/>
          <w:rtl/>
          <w:lang w:val="fr-CH" w:eastAsia="ar-SA"/>
        </w:rPr>
      </w:pPr>
      <w:r w:rsidRPr="00E44E3F">
        <w:rPr>
          <w:rFonts w:hint="cs"/>
          <w:b/>
          <w:bCs/>
          <w:rtl/>
          <w:lang w:val="fr-CH" w:eastAsia="ar-SA"/>
        </w:rPr>
        <w:tab/>
      </w:r>
      <w:r w:rsidRPr="00E44E3F">
        <w:rPr>
          <w:rFonts w:hint="cs"/>
          <w:b/>
          <w:bCs/>
          <w:spacing w:val="-2"/>
          <w:rtl/>
          <w:lang w:val="fr-CH" w:eastAsia="ar-SA"/>
        </w:rPr>
        <w:t>ويجب أن تكفَل الدولة الطرف إجراء تحقيقات شاملة في سلوك أفراد القوات المسلحة المشتبه في ارتكابهم أفعال تعذيب أو إساءة معاملة في حق أفراد في الجيش، ومقاضاة الفاعلين في محاكم عادية، وفرض العقوبات المناسبة عليهم في حال ثبوت إدانتهم.</w:t>
      </w:r>
    </w:p>
    <w:p w:rsidR="0005706C" w:rsidRPr="00A34C95" w:rsidRDefault="0005706C" w:rsidP="00086AA1">
      <w:pPr>
        <w:pStyle w:val="H23GA"/>
        <w:spacing w:line="370" w:lineRule="exact"/>
        <w:rPr>
          <w:rFonts w:hint="cs"/>
          <w:rtl/>
          <w:lang w:val="fr-CH"/>
        </w:rPr>
      </w:pPr>
      <w:r>
        <w:rPr>
          <w:rFonts w:hint="cs"/>
          <w:rtl/>
          <w:lang w:val="fr-CH"/>
        </w:rPr>
        <w:tab/>
      </w:r>
      <w:r>
        <w:rPr>
          <w:rFonts w:hint="cs"/>
          <w:rtl/>
          <w:lang w:val="fr-CH"/>
        </w:rPr>
        <w:tab/>
        <w:t>مكافحة الإفلات من العقاب وتدابير الجَبر في</w:t>
      </w:r>
      <w:r w:rsidR="009C5D54">
        <w:rPr>
          <w:rFonts w:hint="cs"/>
          <w:rtl/>
          <w:lang w:val="fr-CH"/>
        </w:rPr>
        <w:t>ما يتصل بانتهاكات حقوق الإنسان</w:t>
      </w:r>
      <w:r>
        <w:rPr>
          <w:rFonts w:hint="cs"/>
          <w:rtl/>
          <w:lang w:val="fr-CH"/>
        </w:rPr>
        <w:t xml:space="preserve"> المرتكَبة</w:t>
      </w:r>
      <w:r w:rsidR="009C5D54">
        <w:rPr>
          <w:rFonts w:hint="eastAsia"/>
          <w:rtl/>
          <w:lang w:val="fr-CH"/>
        </w:rPr>
        <w:t> </w:t>
      </w:r>
      <w:r>
        <w:rPr>
          <w:rFonts w:hint="cs"/>
          <w:rtl/>
          <w:lang w:val="fr-CH"/>
        </w:rPr>
        <w:t>في الماضي</w:t>
      </w:r>
    </w:p>
    <w:p w:rsidR="0005706C" w:rsidRDefault="00040E72" w:rsidP="00086AA1">
      <w:pPr>
        <w:pStyle w:val="SingleTxtGA"/>
        <w:spacing w:line="370" w:lineRule="exact"/>
        <w:rPr>
          <w:rFonts w:hint="cs"/>
          <w:rtl/>
          <w:lang w:val="fr-CH" w:eastAsia="ar-SA"/>
        </w:rPr>
      </w:pPr>
      <w:r>
        <w:rPr>
          <w:rFonts w:hint="cs"/>
          <w:rtl/>
          <w:lang w:val="fr-CH" w:eastAsia="ar-SA"/>
        </w:rPr>
        <w:t>(</w:t>
      </w:r>
      <w:r w:rsidR="0005706C">
        <w:rPr>
          <w:rFonts w:hint="cs"/>
          <w:rtl/>
          <w:lang w:val="fr-CH" w:eastAsia="ar-SA"/>
        </w:rPr>
        <w:t>13</w:t>
      </w:r>
      <w:r>
        <w:rPr>
          <w:rFonts w:hint="cs"/>
          <w:spacing w:val="-4"/>
          <w:rtl/>
          <w:lang w:val="fr-CH" w:eastAsia="ar-SA"/>
        </w:rPr>
        <w:t>)</w:t>
      </w:r>
      <w:r w:rsidR="0005706C" w:rsidRPr="00015CCC">
        <w:rPr>
          <w:rFonts w:hint="cs"/>
          <w:spacing w:val="-4"/>
          <w:rtl/>
          <w:lang w:val="fr-CH" w:eastAsia="ar-SA"/>
        </w:rPr>
        <w:tab/>
        <w:t>تحيط اللجنة علماً باهتمام بوجود مشروع قانون يرمي إلى إنشاء لجنة للحقيقة تتولى التحقيق في انتهاكات حقوق الإنسان التي حدثت في بوليفيا أثناء الفترة ما بين عامي 1964 و1982. لكنها تلاحظ بقلق ما سُجل من تأ</w:t>
      </w:r>
      <w:r w:rsidR="0005706C">
        <w:rPr>
          <w:rFonts w:hint="cs"/>
          <w:spacing w:val="-4"/>
          <w:rtl/>
          <w:lang w:val="fr-CH" w:eastAsia="ar-SA"/>
        </w:rPr>
        <w:t>خ</w:t>
      </w:r>
      <w:r w:rsidR="0005706C" w:rsidRPr="00015CCC">
        <w:rPr>
          <w:rFonts w:hint="cs"/>
          <w:spacing w:val="-4"/>
          <w:rtl/>
          <w:lang w:val="fr-CH" w:eastAsia="ar-SA"/>
        </w:rPr>
        <w:t>ير وتقدم ضئيل فيما يتعلق بالتحقيق في الانتهاكات الجسيمة لحقوق الإنسان التي ارتكبت في ظل الحكم العسكري (1964-1982)</w:t>
      </w:r>
      <w:r w:rsidR="0005706C">
        <w:rPr>
          <w:rFonts w:hint="cs"/>
          <w:rtl/>
          <w:lang w:val="fr-CH" w:eastAsia="ar-SA"/>
        </w:rPr>
        <w:t xml:space="preserve"> ومقاضاة المسؤولين عنها. ويساورها القلق أيضاً لأنه رغم إنشاء المجلس المشترك بين المؤسسات المعني بكشف الحقيقة في حالات الاختفاء القسري في عام 2003، لا يزال مآل الكثيرين من المختفين في الفترة ما بين عامي 1980 و1982 مجهولاً. وهي منشغلة بصفة خاصة إزاء رفض القوات المسلحة رفع السرية عن أرشيف يمكن أن يساهم في كشف مصير هؤلاء الأشخاص ومكانهم (المواد 1 و4 و12 و13 و16).</w:t>
      </w:r>
    </w:p>
    <w:p w:rsidR="0005706C" w:rsidRPr="00015CCC" w:rsidRDefault="0005706C" w:rsidP="00086AA1">
      <w:pPr>
        <w:pStyle w:val="SingleTxtGA"/>
        <w:spacing w:line="366" w:lineRule="exact"/>
        <w:rPr>
          <w:rFonts w:hint="cs"/>
          <w:b/>
          <w:bCs/>
          <w:rtl/>
          <w:lang w:val="fr-CH"/>
        </w:rPr>
      </w:pPr>
      <w:r w:rsidRPr="00015CCC">
        <w:rPr>
          <w:rFonts w:hint="cs"/>
          <w:b/>
          <w:bCs/>
          <w:rtl/>
          <w:lang w:val="fr-CH"/>
        </w:rPr>
        <w:tab/>
        <w:t>يجب على الدولة الطرف القيام بما يلي:</w:t>
      </w:r>
    </w:p>
    <w:p w:rsidR="0005706C" w:rsidRPr="00015CCC" w:rsidRDefault="0005706C" w:rsidP="00086AA1">
      <w:pPr>
        <w:pStyle w:val="SingleTxtGA"/>
        <w:spacing w:line="366" w:lineRule="exact"/>
        <w:rPr>
          <w:rFonts w:hint="cs"/>
          <w:b/>
          <w:bCs/>
          <w:rtl/>
          <w:lang w:val="fr-CH" w:eastAsia="ar-SA"/>
        </w:rPr>
      </w:pPr>
      <w:r>
        <w:rPr>
          <w:rFonts w:hint="cs"/>
          <w:rtl/>
          <w:lang w:val="fr-CH" w:eastAsia="ar-SA"/>
        </w:rPr>
        <w:tab/>
      </w:r>
      <w:r w:rsidRPr="00015CCC">
        <w:rPr>
          <w:rFonts w:hint="cs"/>
          <w:b/>
          <w:bCs/>
          <w:rtl/>
          <w:lang w:val="fr-CH" w:eastAsia="ar-SA"/>
        </w:rPr>
        <w:t>(أ)</w:t>
      </w:r>
      <w:r w:rsidRPr="00015CCC">
        <w:rPr>
          <w:rFonts w:hint="cs"/>
          <w:b/>
          <w:bCs/>
          <w:rtl/>
          <w:lang w:val="fr-CH" w:eastAsia="ar-SA"/>
        </w:rPr>
        <w:tab/>
        <w:t>ضمان توافر ما يكفي من الموارد لإنجاز تلك التحقيقات بنزاهة وفعالية والقيام عند اللزوم بمقاضاة المشتبه فيهم؛</w:t>
      </w:r>
    </w:p>
    <w:p w:rsidR="0005706C" w:rsidRPr="00015CCC" w:rsidRDefault="0005706C" w:rsidP="00086AA1">
      <w:pPr>
        <w:pStyle w:val="SingleTxtGA"/>
        <w:spacing w:line="366" w:lineRule="exact"/>
        <w:rPr>
          <w:rFonts w:hint="cs"/>
          <w:b/>
          <w:bCs/>
          <w:rtl/>
          <w:lang w:val="fr-CH" w:eastAsia="ar-SA"/>
        </w:rPr>
      </w:pPr>
      <w:r w:rsidRPr="00015CCC">
        <w:rPr>
          <w:rFonts w:hint="cs"/>
          <w:b/>
          <w:bCs/>
          <w:rtl/>
          <w:lang w:val="fr-CH" w:eastAsia="ar-SA"/>
        </w:rPr>
        <w:tab/>
        <w:t>(ب)</w:t>
      </w:r>
      <w:r w:rsidRPr="00015CCC">
        <w:rPr>
          <w:rFonts w:hint="cs"/>
          <w:b/>
          <w:bCs/>
          <w:rtl/>
          <w:lang w:val="fr-CH" w:eastAsia="ar-SA"/>
        </w:rPr>
        <w:tab/>
        <w:t>العمل على إكمال عمليات إخراج الرفاة والتعرف على هوية المختفين؛</w:t>
      </w:r>
    </w:p>
    <w:p w:rsidR="0005706C" w:rsidRPr="00015CCC" w:rsidRDefault="0005706C" w:rsidP="00086AA1">
      <w:pPr>
        <w:pStyle w:val="SingleTxtGA"/>
        <w:spacing w:line="366" w:lineRule="exact"/>
        <w:rPr>
          <w:rFonts w:hint="cs"/>
          <w:b/>
          <w:bCs/>
          <w:rtl/>
          <w:lang w:val="fr-CH" w:eastAsia="ar-SA"/>
        </w:rPr>
      </w:pPr>
      <w:r w:rsidRPr="00015CCC">
        <w:rPr>
          <w:rFonts w:hint="cs"/>
          <w:b/>
          <w:bCs/>
          <w:rtl/>
          <w:lang w:val="fr-CH" w:eastAsia="ar-SA"/>
        </w:rPr>
        <w:tab/>
        <w:t>(ج)</w:t>
      </w:r>
      <w:r w:rsidRPr="00015CCC">
        <w:rPr>
          <w:rFonts w:hint="cs"/>
          <w:b/>
          <w:bCs/>
          <w:rtl/>
          <w:lang w:val="fr-CH" w:eastAsia="ar-SA"/>
        </w:rPr>
        <w:tab/>
        <w:t>اعتماد التدابير اللازمة لتيسير الوصول إلى الأرشيفات المدنية منها والعسكرية التي يمكن أن تتضمن وثائق مهمة للتحقيقات الجارية، ولكشف الحقيقة عن مصير المختفين ومكانهم.</w:t>
      </w:r>
    </w:p>
    <w:p w:rsidR="0005706C" w:rsidRDefault="009C5D54" w:rsidP="00086AA1">
      <w:pPr>
        <w:pStyle w:val="SingleTxtGA"/>
        <w:spacing w:line="366" w:lineRule="exact"/>
        <w:rPr>
          <w:rFonts w:hint="cs"/>
          <w:rtl/>
          <w:lang w:val="fr-CH" w:eastAsia="ar-SA"/>
        </w:rPr>
      </w:pPr>
      <w:r>
        <w:rPr>
          <w:rFonts w:hint="cs"/>
          <w:rtl/>
          <w:lang w:val="fr-CH" w:eastAsia="ar-SA"/>
        </w:rPr>
        <w:t>(</w:t>
      </w:r>
      <w:r w:rsidR="0005706C" w:rsidRPr="001B70F5">
        <w:rPr>
          <w:rFonts w:hint="cs"/>
          <w:rtl/>
          <w:lang w:val="fr-CH" w:eastAsia="ar-SA"/>
        </w:rPr>
        <w:t>14</w:t>
      </w:r>
      <w:r>
        <w:rPr>
          <w:rFonts w:hint="cs"/>
          <w:rtl/>
          <w:lang w:val="fr-CH" w:eastAsia="ar-SA"/>
        </w:rPr>
        <w:t>)</w:t>
      </w:r>
      <w:r w:rsidR="0005706C" w:rsidRPr="001B70F5">
        <w:rPr>
          <w:rFonts w:hint="cs"/>
          <w:rtl/>
          <w:lang w:val="fr-CH" w:eastAsia="ar-SA"/>
        </w:rPr>
        <w:tab/>
        <w:t xml:space="preserve">وتعرب </w:t>
      </w:r>
      <w:r w:rsidR="0005706C">
        <w:rPr>
          <w:rFonts w:hint="cs"/>
          <w:rtl/>
          <w:lang w:val="fr-CH" w:eastAsia="ar-SA"/>
        </w:rPr>
        <w:t>اللجنة عن قلقها إزاء ارتفاع نسبة الطلبات المرفوضة من مجموع ما قُدم من طلبات للتعويض عن أعمال التعذيب المرتكبة في الفت</w:t>
      </w:r>
      <w:r>
        <w:rPr>
          <w:rFonts w:hint="cs"/>
          <w:rtl/>
          <w:lang w:val="fr-CH" w:eastAsia="ar-SA"/>
        </w:rPr>
        <w:t xml:space="preserve">رة ما بين عامي 1964 و1982. </w:t>
      </w:r>
      <w:r w:rsidR="0005706C">
        <w:rPr>
          <w:rFonts w:hint="cs"/>
          <w:rtl/>
          <w:lang w:val="fr-CH" w:eastAsia="ar-SA"/>
        </w:rPr>
        <w:t>إذ</w:t>
      </w:r>
      <w:r>
        <w:rPr>
          <w:rFonts w:hint="eastAsia"/>
          <w:rtl/>
          <w:lang w:val="fr-CH" w:eastAsia="ar-SA"/>
        </w:rPr>
        <w:t> </w:t>
      </w:r>
      <w:r w:rsidR="0005706C">
        <w:rPr>
          <w:rFonts w:hint="cs"/>
          <w:rtl/>
          <w:lang w:val="fr-CH" w:eastAsia="ar-SA"/>
        </w:rPr>
        <w:t xml:space="preserve">تفيد المعلومات المقدمة من الدولة الطرف بأن السلطات لم تقبل النظر إلا في 558 شكوى من أصل 306 3 شكاوى مقدمة. وفي هذا الصدد، تلاحظ اللجنة بقلق تقارير المنظمات غير الحكومية التي تكشف عن وجود عراقيل إدارية تعوق حصول الضحايا في الواقع العملي على تعويض كافٍ وفعال وتام. وعلاوة على ذلك، تنبه اللجنة إلى أن التعويضات المدفوعة </w:t>
      </w:r>
      <w:r w:rsidR="0005706C" w:rsidRPr="00015CCC">
        <w:rPr>
          <w:rFonts w:hint="cs"/>
          <w:spacing w:val="-4"/>
          <w:rtl/>
          <w:lang w:val="fr-CH" w:eastAsia="ar-SA"/>
        </w:rPr>
        <w:t>حتى هذا التاريخ وعددها 488 تعويضاً لا تمثل سوى 20 في المائة من إجمالي مقدار التعويضات المقررة، بينما يتوقف تسديد ما تبقى على الهبات المقدمة من "القطاع الخاص أو الأجنبي والهيئات</w:t>
      </w:r>
      <w:r w:rsidR="0005706C">
        <w:rPr>
          <w:rFonts w:hint="cs"/>
          <w:rtl/>
          <w:lang w:val="fr-CH" w:eastAsia="ar-SA"/>
        </w:rPr>
        <w:t xml:space="preserve"> الدولية" عملاً بأحكام المادة 16(ب) من القانون رقم 2640 (المادة 14).</w:t>
      </w:r>
    </w:p>
    <w:p w:rsidR="0005706C" w:rsidRPr="00015CCC" w:rsidRDefault="0005706C" w:rsidP="00086AA1">
      <w:pPr>
        <w:pStyle w:val="SingleTxtGA"/>
        <w:spacing w:line="366" w:lineRule="exact"/>
        <w:rPr>
          <w:rFonts w:hint="cs"/>
          <w:b/>
          <w:bCs/>
          <w:rtl/>
          <w:lang w:val="fr-CH" w:eastAsia="ar-SA"/>
        </w:rPr>
      </w:pPr>
      <w:r>
        <w:rPr>
          <w:rFonts w:hint="cs"/>
          <w:rtl/>
          <w:lang w:val="fr-CH" w:eastAsia="ar-SA"/>
        </w:rPr>
        <w:tab/>
      </w:r>
      <w:r w:rsidRPr="00015CCC">
        <w:rPr>
          <w:rFonts w:hint="cs"/>
          <w:b/>
          <w:bCs/>
          <w:rtl/>
          <w:lang w:val="fr-CH" w:eastAsia="ar-SA"/>
        </w:rPr>
        <w:t xml:space="preserve">يجب أن تتخذ الدولة الطرف التدابير اللازمة لضمان إنصاف ضحايا التعذيب وإساءة المعاملة بطرق منها تقديم تعويضات عادلة وكافية ورد الاعتبار إليهم على أكمل وجه ممكن. وتوجه اللجنة انتباه الدولة الطرف إلى ملاحظتها العامة رقم 3(2012) بشأن تنفيذ الدول الأطراف للمادة 14 من الاتفاقية </w:t>
      </w:r>
      <w:r w:rsidRPr="00015CCC">
        <w:rPr>
          <w:b/>
          <w:bCs/>
        </w:rPr>
        <w:t>(CAT/C/GC/3)</w:t>
      </w:r>
      <w:r w:rsidRPr="00015CCC">
        <w:rPr>
          <w:rFonts w:hint="cs"/>
          <w:b/>
          <w:bCs/>
          <w:rtl/>
          <w:lang w:val="fr-CH" w:eastAsia="ar-SA"/>
        </w:rPr>
        <w:t>، مشيرة بالتحديد إلى الفقرات من 37 إلى 43 المتعلقة بالعقبات التي تعترض الحق في الإنصاف، وقد جاء فيها أ</w:t>
      </w:r>
      <w:r>
        <w:rPr>
          <w:rFonts w:hint="cs"/>
          <w:b/>
          <w:bCs/>
          <w:rtl/>
          <w:lang w:val="fr-CH" w:eastAsia="ar-SA"/>
        </w:rPr>
        <w:t>ن</w:t>
      </w:r>
      <w:r w:rsidRPr="00015CCC">
        <w:rPr>
          <w:rFonts w:hint="cs"/>
          <w:b/>
          <w:bCs/>
          <w:rtl/>
          <w:lang w:val="fr-CH" w:eastAsia="ar-SA"/>
        </w:rPr>
        <w:t xml:space="preserve"> الدول تتحمل التزاماً بضمان فعالية الحق في الإنصاف وأنه لا يجوز لدولة طرف أن تتذرع بمستوى تنميتها لتبرير عدم توفير الإنصاف لضحايا التعذيب.</w:t>
      </w:r>
    </w:p>
    <w:p w:rsidR="0005706C" w:rsidRPr="007A7006" w:rsidRDefault="0005706C" w:rsidP="0005706C">
      <w:pPr>
        <w:pStyle w:val="H23GA"/>
        <w:rPr>
          <w:rFonts w:hint="cs"/>
          <w:rtl/>
          <w:lang w:val="fr-CH"/>
        </w:rPr>
      </w:pPr>
      <w:r>
        <w:rPr>
          <w:rFonts w:hint="cs"/>
          <w:rtl/>
          <w:lang w:val="fr-CH"/>
        </w:rPr>
        <w:tab/>
      </w:r>
      <w:r>
        <w:rPr>
          <w:rFonts w:hint="cs"/>
          <w:rtl/>
          <w:lang w:val="fr-CH"/>
        </w:rPr>
        <w:tab/>
        <w:t>العنف بالمرأة</w:t>
      </w:r>
    </w:p>
    <w:p w:rsidR="0005706C" w:rsidRDefault="009C5D54" w:rsidP="009C5D54">
      <w:pPr>
        <w:pStyle w:val="SingleTxtGA"/>
        <w:rPr>
          <w:rFonts w:hint="cs"/>
          <w:rtl/>
          <w:lang w:val="fr-CH" w:eastAsia="ar-SA"/>
        </w:rPr>
      </w:pPr>
      <w:r>
        <w:rPr>
          <w:rFonts w:hint="cs"/>
          <w:rtl/>
          <w:lang w:val="fr-CH" w:eastAsia="ar-SA"/>
        </w:rPr>
        <w:t>(</w:t>
      </w:r>
      <w:r w:rsidR="0005706C">
        <w:rPr>
          <w:rFonts w:hint="cs"/>
          <w:rtl/>
          <w:lang w:val="fr-CH" w:eastAsia="ar-SA"/>
        </w:rPr>
        <w:t>15</w:t>
      </w:r>
      <w:r>
        <w:rPr>
          <w:rFonts w:hint="cs"/>
          <w:rtl/>
          <w:lang w:val="fr-CH" w:eastAsia="ar-SA"/>
        </w:rPr>
        <w:t>)</w:t>
      </w:r>
      <w:r w:rsidR="0005706C">
        <w:rPr>
          <w:rFonts w:hint="cs"/>
          <w:rtl/>
          <w:lang w:val="fr-CH" w:eastAsia="ar-SA"/>
        </w:rPr>
        <w:tab/>
        <w:t>تحيط اللجنة علماً بالتقدم المحرز مؤخراً على الصعيد التشريعي، لكنها تعرب عن قلقها إزاء ما وردها من تقارير عن استمرار العنف الجنساني في الدولة الطرف، سيما العنف المنزلي والجنسي، الذي لا يُبلَّغ عنه في حالات كثيرة. وتعرب اللجنة عن أسفها لأن الدولة الطرف لم تقدم البيانات الإحصائية المطلوبة عن عدد الشكاوى والإدانات والعقوبات المفروضة أثناء الفترة المشمولة بالاستعراض وعن حجم هذه الظاهرة في صفوف نساء الشعوب الأصلية والبوليفيات المنحدرات من أصل أفريقي، وذلك رغم ورود معلومات عن العديد من حالات العنف الجنساني، بما فيها قتل النساء (المواد 1 و2 و4 و12 و13 و16).</w:t>
      </w:r>
    </w:p>
    <w:p w:rsidR="0005706C" w:rsidRPr="00015CCC" w:rsidRDefault="0005706C" w:rsidP="0005706C">
      <w:pPr>
        <w:pStyle w:val="SingleTxtGA"/>
        <w:rPr>
          <w:rFonts w:hint="cs"/>
          <w:b/>
          <w:bCs/>
          <w:rtl/>
          <w:lang w:val="fr-CH" w:eastAsia="ar-SA"/>
        </w:rPr>
      </w:pPr>
      <w:r w:rsidRPr="00015CCC">
        <w:rPr>
          <w:rFonts w:hint="cs"/>
          <w:b/>
          <w:bCs/>
          <w:rtl/>
          <w:lang w:val="fr-CH" w:eastAsia="ar-SA"/>
        </w:rPr>
        <w:tab/>
        <w:t>وتحث اللجنة الدولة الطرف على القيام بما يلي:</w:t>
      </w:r>
    </w:p>
    <w:p w:rsidR="0005706C" w:rsidRPr="00015CCC" w:rsidRDefault="0005706C" w:rsidP="0005706C">
      <w:pPr>
        <w:pStyle w:val="SingleTxtGA"/>
        <w:rPr>
          <w:rFonts w:hint="cs"/>
          <w:b/>
          <w:bCs/>
          <w:rtl/>
          <w:lang w:val="fr-CH" w:eastAsia="ar-SA"/>
        </w:rPr>
      </w:pPr>
      <w:r w:rsidRPr="00015CCC">
        <w:rPr>
          <w:rFonts w:hint="cs"/>
          <w:b/>
          <w:bCs/>
          <w:rtl/>
          <w:lang w:val="fr-CH" w:eastAsia="ar-SA"/>
        </w:rPr>
        <w:tab/>
        <w:t>(أ)</w:t>
      </w:r>
      <w:r w:rsidRPr="00015CCC">
        <w:rPr>
          <w:rFonts w:hint="cs"/>
          <w:b/>
          <w:bCs/>
          <w:rtl/>
          <w:lang w:val="fr-CH" w:eastAsia="ar-SA"/>
        </w:rPr>
        <w:tab/>
        <w:t>التحقيق في تلك الأفعال ومقاضاة الجناة ومعاقبتهم؛</w:t>
      </w:r>
    </w:p>
    <w:p w:rsidR="0005706C" w:rsidRPr="00015CCC" w:rsidRDefault="0005706C" w:rsidP="0005706C">
      <w:pPr>
        <w:pStyle w:val="SingleTxtGA"/>
        <w:rPr>
          <w:rFonts w:hint="cs"/>
          <w:b/>
          <w:bCs/>
          <w:rtl/>
          <w:lang w:val="fr-CH" w:eastAsia="ar-SA"/>
        </w:rPr>
      </w:pPr>
      <w:r w:rsidRPr="00015CCC">
        <w:rPr>
          <w:rFonts w:hint="cs"/>
          <w:b/>
          <w:bCs/>
          <w:rtl/>
          <w:lang w:val="fr-CH" w:eastAsia="ar-SA"/>
        </w:rPr>
        <w:tab/>
        <w:t>(ب)</w:t>
      </w:r>
      <w:r w:rsidRPr="00015CCC">
        <w:rPr>
          <w:rFonts w:hint="cs"/>
          <w:b/>
          <w:bCs/>
          <w:rtl/>
          <w:lang w:val="fr-CH" w:eastAsia="ar-SA"/>
        </w:rPr>
        <w:tab/>
        <w:t>اعتماد تدابير فعالة لتيسير مساعدة الضحايا على صياغة الشكاوى وتقديمها؛</w:t>
      </w:r>
    </w:p>
    <w:p w:rsidR="0005706C" w:rsidRPr="00015CCC" w:rsidRDefault="0005706C" w:rsidP="0005706C">
      <w:pPr>
        <w:pStyle w:val="SingleTxtGA"/>
        <w:rPr>
          <w:rFonts w:hint="cs"/>
          <w:b/>
          <w:bCs/>
          <w:rtl/>
          <w:lang w:val="fr-CH" w:eastAsia="ar-SA"/>
        </w:rPr>
      </w:pPr>
      <w:r w:rsidRPr="00015CCC">
        <w:rPr>
          <w:rFonts w:hint="cs"/>
          <w:b/>
          <w:bCs/>
          <w:rtl/>
          <w:lang w:val="fr-CH" w:eastAsia="ar-SA"/>
        </w:rPr>
        <w:tab/>
        <w:t>(ج)</w:t>
      </w:r>
      <w:r w:rsidRPr="00015CCC">
        <w:rPr>
          <w:rFonts w:hint="cs"/>
          <w:b/>
          <w:bCs/>
          <w:rtl/>
          <w:lang w:val="fr-CH" w:eastAsia="ar-SA"/>
        </w:rPr>
        <w:tab/>
        <w:t>ضمان الحماية الفعالة للضحايا ووصولهم إلى مراكز الاستقبال وحصولهم على خدمات المساعدة الصحية؛</w:t>
      </w:r>
    </w:p>
    <w:p w:rsidR="0005706C" w:rsidRPr="00015CCC" w:rsidRDefault="0005706C" w:rsidP="0005706C">
      <w:pPr>
        <w:pStyle w:val="SingleTxtGA"/>
        <w:rPr>
          <w:rFonts w:hint="cs"/>
          <w:b/>
          <w:bCs/>
          <w:rtl/>
          <w:lang w:val="fr-CH" w:eastAsia="ar-SA"/>
        </w:rPr>
      </w:pPr>
      <w:r w:rsidRPr="00015CCC">
        <w:rPr>
          <w:rFonts w:hint="cs"/>
          <w:b/>
          <w:bCs/>
          <w:rtl/>
          <w:lang w:val="fr-CH" w:eastAsia="ar-SA"/>
        </w:rPr>
        <w:tab/>
        <w:t>(د)</w:t>
      </w:r>
      <w:r w:rsidRPr="00015CCC">
        <w:rPr>
          <w:rFonts w:hint="cs"/>
          <w:b/>
          <w:bCs/>
          <w:rtl/>
          <w:lang w:val="fr-CH" w:eastAsia="ar-SA"/>
        </w:rPr>
        <w:tab/>
        <w:t>الإسراع في إنشاء دوائر التحقيق في قضايا العنف الجنساني طبقاً لأحكام القانون العام رقم 348؛</w:t>
      </w:r>
    </w:p>
    <w:p w:rsidR="0005706C" w:rsidRPr="00015CCC" w:rsidRDefault="0005706C" w:rsidP="0005706C">
      <w:pPr>
        <w:pStyle w:val="SingleTxtGA"/>
        <w:rPr>
          <w:rFonts w:hint="cs"/>
          <w:b/>
          <w:bCs/>
          <w:rtl/>
          <w:lang w:val="fr-CH" w:eastAsia="ar-SA"/>
        </w:rPr>
      </w:pPr>
      <w:r w:rsidRPr="00015CCC">
        <w:rPr>
          <w:rFonts w:hint="cs"/>
          <w:b/>
          <w:bCs/>
          <w:rtl/>
          <w:lang w:val="fr-CH" w:eastAsia="ar-SA"/>
        </w:rPr>
        <w:tab/>
        <w:t>(</w:t>
      </w:r>
      <w:r w:rsidRPr="00015CCC">
        <w:rPr>
          <w:rFonts w:hint="cs"/>
          <w:b/>
          <w:bCs/>
          <w:sz w:val="30"/>
          <w:rtl/>
          <w:lang w:val="fr-CH" w:eastAsia="ar-SA"/>
        </w:rPr>
        <w:t>ﻫ</w:t>
      </w:r>
      <w:r w:rsidRPr="00015CCC">
        <w:rPr>
          <w:rFonts w:hint="cs"/>
          <w:b/>
          <w:bCs/>
          <w:rtl/>
          <w:lang w:val="fr-CH" w:eastAsia="ar-SA"/>
        </w:rPr>
        <w:t>)</w:t>
      </w:r>
      <w:r w:rsidRPr="00015CCC">
        <w:rPr>
          <w:rFonts w:hint="cs"/>
          <w:b/>
          <w:bCs/>
          <w:rtl/>
          <w:lang w:val="fr-CH" w:eastAsia="ar-SA"/>
        </w:rPr>
        <w:tab/>
        <w:t>تعزيز أنشطة التوعية والتثقيف المتعلقة بالعنف الجنساني والموجهة إلى الموظفين المتعاملين مع الضحايا وإلى الجمهور عامةً؛</w:t>
      </w:r>
    </w:p>
    <w:p w:rsidR="0005706C" w:rsidRPr="00015CCC" w:rsidRDefault="0005706C" w:rsidP="0005706C">
      <w:pPr>
        <w:pStyle w:val="SingleTxtGA"/>
        <w:rPr>
          <w:rFonts w:hint="cs"/>
          <w:b/>
          <w:bCs/>
          <w:rtl/>
          <w:lang w:val="fr-CH" w:eastAsia="ar-SA"/>
        </w:rPr>
      </w:pPr>
      <w:r w:rsidRPr="00015CCC">
        <w:rPr>
          <w:rFonts w:hint="cs"/>
          <w:b/>
          <w:bCs/>
          <w:rtl/>
          <w:lang w:val="fr-CH" w:eastAsia="ar-SA"/>
        </w:rPr>
        <w:tab/>
        <w:t>(و)</w:t>
      </w:r>
      <w:r w:rsidRPr="00015CCC">
        <w:rPr>
          <w:rFonts w:hint="cs"/>
          <w:b/>
          <w:bCs/>
          <w:rtl/>
          <w:lang w:val="fr-CH" w:eastAsia="ar-SA"/>
        </w:rPr>
        <w:tab/>
        <w:t>تقديم معلومات مفصلة عما سُجِّل أثناء الفترة المشمولة بالاستعراض من حالات العنف بالمرأة، على أن تشمل تلك المعلومات بيانات مصنفة عن عدد الشكاوى والتحقيقات والمحاكمات والعقوبات المفروضة وتدابير الإنصاف المقررة لفائدة الضحايا.</w:t>
      </w:r>
    </w:p>
    <w:p w:rsidR="0005706C" w:rsidRDefault="0005706C" w:rsidP="0005706C">
      <w:pPr>
        <w:pStyle w:val="H23GA"/>
        <w:rPr>
          <w:rFonts w:hint="cs"/>
          <w:rtl/>
          <w:lang w:val="fr-CH"/>
        </w:rPr>
      </w:pPr>
      <w:r>
        <w:rPr>
          <w:rFonts w:hint="cs"/>
          <w:rtl/>
          <w:lang w:val="fr-CH"/>
        </w:rPr>
        <w:tab/>
      </w:r>
      <w:r>
        <w:rPr>
          <w:rFonts w:hint="cs"/>
          <w:rtl/>
          <w:lang w:val="fr-CH"/>
        </w:rPr>
        <w:tab/>
        <w:t>إيذاء الأطفال وممارسة العنف الجنسي عليهم</w:t>
      </w:r>
    </w:p>
    <w:p w:rsidR="0005706C" w:rsidRDefault="009C5D54" w:rsidP="009C5D54">
      <w:pPr>
        <w:pStyle w:val="SingleTxtGA"/>
        <w:rPr>
          <w:rFonts w:hint="cs"/>
          <w:rtl/>
          <w:lang w:val="fr-CH"/>
        </w:rPr>
      </w:pPr>
      <w:r>
        <w:rPr>
          <w:rFonts w:hint="cs"/>
          <w:rtl/>
          <w:lang w:val="fr-CH"/>
        </w:rPr>
        <w:t>(</w:t>
      </w:r>
      <w:r w:rsidR="0005706C">
        <w:rPr>
          <w:rFonts w:hint="cs"/>
          <w:rtl/>
          <w:lang w:val="fr-CH"/>
        </w:rPr>
        <w:t>16</w:t>
      </w:r>
      <w:r>
        <w:rPr>
          <w:rFonts w:hint="cs"/>
          <w:rtl/>
          <w:lang w:val="fr-CH"/>
        </w:rPr>
        <w:t>)</w:t>
      </w:r>
      <w:r w:rsidR="0005706C">
        <w:rPr>
          <w:rFonts w:hint="cs"/>
          <w:rtl/>
          <w:lang w:val="fr-CH"/>
        </w:rPr>
        <w:tab/>
        <w:t xml:space="preserve">توجد في حوزة اللجنة معلومات عن خطورة مشكلة إيذاء القصر وتعرضهم للعنف الجنسي في المراكز التعليمية في الدولة الطرف. وتحيط اللجنة علماً بما أعلنه الوفد من أن الأمر يتعلق بحالات معزولة، لكنها تعرب عن قلقها إزاء عدم توافر إحصاءات رسمية تتيح تقييم حجم الظاهرة. كما تعرب اللجنة عن أسفها إزاء ندرة المعلومات المقدمة من الوفد بخصوص العقبات التي تعوق وصول الضحايا وأسرهم إلى العدالة. وفي هذا الصدد، ستتابع اللجنة باهتمام ما ستؤول إليه الشكوى المعروضة على لجنة البلدان الأمريكية لحقوق الإنسان والمتعلقة بقضية القاصر باتريسيا فلورس (المادتان 2 و16). </w:t>
      </w:r>
    </w:p>
    <w:p w:rsidR="0005706C" w:rsidRPr="00015CCC" w:rsidRDefault="0005706C" w:rsidP="0005706C">
      <w:pPr>
        <w:pStyle w:val="SingleTxtGA"/>
        <w:rPr>
          <w:rFonts w:hint="cs"/>
          <w:b/>
          <w:bCs/>
          <w:rtl/>
          <w:lang w:val="fr-CH"/>
        </w:rPr>
      </w:pPr>
      <w:r>
        <w:rPr>
          <w:rtl/>
          <w:lang w:val="fr-CH"/>
        </w:rPr>
        <w:tab/>
      </w:r>
      <w:r w:rsidRPr="00015CCC">
        <w:rPr>
          <w:rFonts w:hint="cs"/>
          <w:b/>
          <w:bCs/>
          <w:rtl/>
          <w:lang w:val="fr-CH"/>
        </w:rPr>
        <w:t xml:space="preserve">تحث اللجنة الدولة الطرف على اتخاذ تدابير من أجل منع حالات الاعتداء الجنسي على الأطفال في المدارس </w:t>
      </w:r>
      <w:r>
        <w:rPr>
          <w:rFonts w:hint="cs"/>
          <w:b/>
          <w:bCs/>
          <w:rtl/>
          <w:lang w:val="fr-CH"/>
        </w:rPr>
        <w:t>والتصدي لها</w:t>
      </w:r>
      <w:r w:rsidRPr="00015CCC">
        <w:rPr>
          <w:rFonts w:hint="cs"/>
          <w:b/>
          <w:bCs/>
          <w:rtl/>
          <w:lang w:val="fr-CH"/>
        </w:rPr>
        <w:t xml:space="preserve"> على النحو المناسب، وتحضها خصوصاً على القيام بما يلي:</w:t>
      </w:r>
    </w:p>
    <w:p w:rsidR="0005706C" w:rsidRPr="00015CCC" w:rsidRDefault="0005706C" w:rsidP="0005706C">
      <w:pPr>
        <w:pStyle w:val="SingleTxtGA"/>
        <w:rPr>
          <w:rFonts w:hint="cs"/>
          <w:b/>
          <w:bCs/>
          <w:rtl/>
          <w:lang w:val="fr-CH"/>
        </w:rPr>
      </w:pPr>
      <w:r w:rsidRPr="00015CCC">
        <w:rPr>
          <w:rFonts w:hint="cs"/>
          <w:b/>
          <w:bCs/>
          <w:rtl/>
          <w:lang w:val="fr-CH"/>
        </w:rPr>
        <w:tab/>
        <w:t>(أ)</w:t>
      </w:r>
      <w:r w:rsidRPr="00015CCC">
        <w:rPr>
          <w:rFonts w:hint="cs"/>
          <w:b/>
          <w:bCs/>
          <w:rtl/>
          <w:lang w:val="fr-CH"/>
        </w:rPr>
        <w:tab/>
        <w:t xml:space="preserve">حث جميع السلطات المختصة على التحقيق في هذه الاعتداءات والقيام عند اللزوم بمقاضاة المشتبه فيهم؛ </w:t>
      </w:r>
    </w:p>
    <w:p w:rsidR="0005706C" w:rsidRPr="00015CCC" w:rsidRDefault="0005706C" w:rsidP="0005706C">
      <w:pPr>
        <w:pStyle w:val="SingleTxtGA"/>
        <w:rPr>
          <w:rFonts w:hint="cs"/>
          <w:b/>
          <w:bCs/>
          <w:rtl/>
          <w:lang w:val="fr-CH"/>
        </w:rPr>
      </w:pPr>
      <w:r w:rsidRPr="00015CCC">
        <w:rPr>
          <w:rFonts w:hint="cs"/>
          <w:b/>
          <w:bCs/>
          <w:rtl/>
          <w:lang w:val="fr-CH"/>
        </w:rPr>
        <w:tab/>
        <w:t>(ب)</w:t>
      </w:r>
      <w:r w:rsidRPr="00015CCC">
        <w:rPr>
          <w:rFonts w:hint="cs"/>
          <w:b/>
          <w:bCs/>
          <w:rtl/>
          <w:lang w:val="fr-CH"/>
        </w:rPr>
        <w:tab/>
        <w:t xml:space="preserve">إنشاء آليات فعالة لتلقي الشكاوى وتقديم العناية الشاملة إلى الضحايا وأسرهم، بغية ضمان حمايتهم ووصولهم إلى العدالة وجبر ما لحقهم من أضرار؛ </w:t>
      </w:r>
    </w:p>
    <w:p w:rsidR="0005706C" w:rsidRPr="00015CCC" w:rsidRDefault="0005706C" w:rsidP="0005706C">
      <w:pPr>
        <w:pStyle w:val="SingleTxtGA"/>
        <w:rPr>
          <w:rFonts w:hint="cs"/>
          <w:b/>
          <w:bCs/>
          <w:rtl/>
          <w:lang w:val="fr-CH"/>
        </w:rPr>
      </w:pPr>
      <w:r w:rsidRPr="00015CCC">
        <w:rPr>
          <w:rFonts w:hint="cs"/>
          <w:b/>
          <w:bCs/>
          <w:rtl/>
          <w:lang w:val="fr-CH"/>
        </w:rPr>
        <w:tab/>
        <w:t>(ج)</w:t>
      </w:r>
      <w:r w:rsidRPr="00015CCC">
        <w:rPr>
          <w:rFonts w:hint="cs"/>
          <w:b/>
          <w:bCs/>
          <w:rtl/>
          <w:lang w:val="fr-CH"/>
        </w:rPr>
        <w:tab/>
        <w:t>ضمان وصول الضحايا إلى خدمات المساعدة الصحية المتخصصة في تنظيم الأسرة والوقاية من الأمراض المنقولة جنسياً وتشخصيها؛</w:t>
      </w:r>
    </w:p>
    <w:p w:rsidR="0005706C" w:rsidRPr="00015CCC" w:rsidRDefault="0005706C" w:rsidP="0005706C">
      <w:pPr>
        <w:pStyle w:val="SingleTxtGA"/>
        <w:rPr>
          <w:rFonts w:hint="cs"/>
          <w:b/>
          <w:bCs/>
          <w:rtl/>
          <w:lang w:val="fr-CH"/>
        </w:rPr>
      </w:pPr>
      <w:r w:rsidRPr="00015CCC">
        <w:rPr>
          <w:rFonts w:hint="cs"/>
          <w:b/>
          <w:bCs/>
          <w:rtl/>
          <w:lang w:val="fr-CH"/>
        </w:rPr>
        <w:tab/>
        <w:t>(د)</w:t>
      </w:r>
      <w:r w:rsidRPr="00015CCC">
        <w:rPr>
          <w:rFonts w:hint="cs"/>
          <w:b/>
          <w:bCs/>
          <w:rtl/>
          <w:lang w:val="fr-CH"/>
        </w:rPr>
        <w:tab/>
        <w:t xml:space="preserve">وضع برامج للتوعية والتدريب المستمر في هذا المجال لفائدة موظفي قطاع التعليم وغيرهم من مقدمي الخدمات العامة المعنيين بحماية الضحايا؛ </w:t>
      </w:r>
    </w:p>
    <w:p w:rsidR="0005706C" w:rsidRPr="00015CCC" w:rsidRDefault="0005706C" w:rsidP="0005706C">
      <w:pPr>
        <w:pStyle w:val="SingleTxtGA"/>
        <w:rPr>
          <w:rFonts w:hint="cs"/>
          <w:b/>
          <w:bCs/>
          <w:rtl/>
          <w:lang w:val="fr-CH"/>
        </w:rPr>
      </w:pPr>
      <w:r w:rsidRPr="00015CCC">
        <w:rPr>
          <w:rFonts w:hint="cs"/>
          <w:b/>
          <w:bCs/>
          <w:rtl/>
          <w:lang w:val="fr-CH"/>
        </w:rPr>
        <w:tab/>
        <w:t>(</w:t>
      </w:r>
      <w:r w:rsidRPr="00015CCC">
        <w:rPr>
          <w:rFonts w:hint="cs"/>
          <w:b/>
          <w:bCs/>
          <w:sz w:val="30"/>
          <w:rtl/>
          <w:lang w:val="fr-CH"/>
        </w:rPr>
        <w:t>ﻫ</w:t>
      </w:r>
      <w:r w:rsidRPr="00015CCC">
        <w:rPr>
          <w:rFonts w:hint="cs"/>
          <w:b/>
          <w:bCs/>
          <w:rtl/>
          <w:lang w:val="fr-CH"/>
        </w:rPr>
        <w:t>)</w:t>
      </w:r>
      <w:r w:rsidRPr="00015CCC">
        <w:rPr>
          <w:rFonts w:hint="cs"/>
          <w:b/>
          <w:bCs/>
          <w:rtl/>
          <w:lang w:val="fr-CH"/>
        </w:rPr>
        <w:tab/>
        <w:t>زيادة البيانات المتاحة بشأن هذه المسألة.</w:t>
      </w:r>
    </w:p>
    <w:p w:rsidR="0005706C" w:rsidRPr="00015CCC" w:rsidRDefault="0005706C" w:rsidP="0005706C">
      <w:pPr>
        <w:pStyle w:val="SingleTxtGA"/>
        <w:rPr>
          <w:rFonts w:hint="cs"/>
          <w:b/>
          <w:bCs/>
          <w:rtl/>
          <w:lang w:val="fr-CH"/>
        </w:rPr>
      </w:pPr>
      <w:r w:rsidRPr="00015CCC">
        <w:rPr>
          <w:rFonts w:hint="cs"/>
          <w:b/>
          <w:bCs/>
          <w:rtl/>
          <w:lang w:val="fr-CH"/>
        </w:rPr>
        <w:tab/>
        <w:t xml:space="preserve">ويجب أن تسهر الدولة الطرف أيضاً على مقاضاة المشتبه في تورطهم في وفاة القاصر باتريسيا فلورس، وإدانتهم وفرض العقوبات المناسبة عليهم. وينبغي أن تحرص الدولة الطرف كذلك على حصول أقارب الضحية على تعويض كامل وفعال. </w:t>
      </w:r>
    </w:p>
    <w:p w:rsidR="0005706C" w:rsidRDefault="0005706C" w:rsidP="00A83CF9">
      <w:pPr>
        <w:pStyle w:val="H23GA"/>
        <w:spacing w:line="366" w:lineRule="exact"/>
        <w:rPr>
          <w:rFonts w:hint="cs"/>
          <w:rtl/>
          <w:lang w:val="fr-CH"/>
        </w:rPr>
      </w:pPr>
      <w:r>
        <w:rPr>
          <w:rFonts w:hint="cs"/>
          <w:rtl/>
          <w:lang w:val="fr-CH"/>
        </w:rPr>
        <w:tab/>
      </w:r>
      <w:r>
        <w:rPr>
          <w:rFonts w:hint="cs"/>
          <w:rtl/>
          <w:lang w:val="fr-CH"/>
        </w:rPr>
        <w:tab/>
        <w:t>اللاجئون وعدم الطرد</w:t>
      </w:r>
    </w:p>
    <w:p w:rsidR="0005706C" w:rsidRDefault="009C5D54" w:rsidP="00A83CF9">
      <w:pPr>
        <w:pStyle w:val="SingleTxtGA"/>
        <w:spacing w:line="366" w:lineRule="exact"/>
        <w:rPr>
          <w:rFonts w:hint="cs"/>
          <w:rtl/>
          <w:lang w:val="fr-CH"/>
        </w:rPr>
      </w:pPr>
      <w:r>
        <w:rPr>
          <w:rFonts w:hint="cs"/>
          <w:rtl/>
          <w:lang w:val="fr-CH"/>
        </w:rPr>
        <w:t>(</w:t>
      </w:r>
      <w:r w:rsidR="0005706C">
        <w:rPr>
          <w:rFonts w:hint="cs"/>
          <w:rtl/>
          <w:lang w:val="fr-CH"/>
        </w:rPr>
        <w:t>17</w:t>
      </w:r>
      <w:r>
        <w:rPr>
          <w:rFonts w:hint="cs"/>
          <w:rtl/>
          <w:lang w:val="fr-CH"/>
        </w:rPr>
        <w:t>)</w:t>
      </w:r>
      <w:r w:rsidR="0005706C">
        <w:rPr>
          <w:rFonts w:hint="cs"/>
          <w:rtl/>
          <w:lang w:val="fr-CH"/>
        </w:rPr>
        <w:tab/>
        <w:t xml:space="preserve">تقر اللجنة بما بذلته الدولة الطرف من جهود في سبيل إرساء إطار قانوني ومؤسسي مناسب يكفل حماية اللاجئين وملتمسي اللجوء الموجودين في إقليمها. غير أنها تلاحظ، كما أشارت إليه في قائمة </w:t>
      </w:r>
      <w:r w:rsidR="009912C3">
        <w:rPr>
          <w:rFonts w:hint="cs"/>
          <w:rtl/>
          <w:lang w:val="fr-CH"/>
        </w:rPr>
        <w:t>قضاياها</w:t>
      </w:r>
      <w:r w:rsidR="0005706C">
        <w:rPr>
          <w:rFonts w:hint="cs"/>
          <w:rtl/>
          <w:lang w:val="fr-CH"/>
        </w:rPr>
        <w:t xml:space="preserve"> (الوثيقة </w:t>
      </w:r>
      <w:r w:rsidR="0005706C">
        <w:rPr>
          <w:lang w:val="fr-CH"/>
        </w:rPr>
        <w:t>CAT/C/BOL/Q/2/Add.1</w:t>
      </w:r>
      <w:r w:rsidR="0005706C">
        <w:rPr>
          <w:rFonts w:hint="cs"/>
          <w:rtl/>
          <w:lang w:val="fr-CH"/>
        </w:rPr>
        <w:t xml:space="preserve">، الفقرة 11)، أن الدولة الطرف أقدمت أحياناً، قبل بدء نفاذ القانون رقم 251 في عام 2012، على ممارسات مخالفة لمبدأ عدم الطرد. ومن جهة أخرى، تلاحظ اللجنة أن الحكم المؤقت الوحيد الوارد في المرسوم السامي رقم 1440 ينص على أن تتناول لجنة اللاجئين الوطنية بصفة مؤقتة طلبات انعدام الجنسية (المادتان 2 و3). </w:t>
      </w:r>
    </w:p>
    <w:p w:rsidR="0005706C" w:rsidRPr="00AC02C6" w:rsidRDefault="0005706C" w:rsidP="00A83CF9">
      <w:pPr>
        <w:pStyle w:val="SingleTxtGA"/>
        <w:spacing w:line="366" w:lineRule="exact"/>
        <w:rPr>
          <w:rFonts w:hint="cs"/>
          <w:b/>
          <w:bCs/>
          <w:rtl/>
          <w:lang w:val="fr-CH"/>
        </w:rPr>
      </w:pPr>
      <w:r>
        <w:rPr>
          <w:rFonts w:hint="cs"/>
          <w:rtl/>
          <w:lang w:val="fr-CH"/>
        </w:rPr>
        <w:tab/>
      </w:r>
      <w:r w:rsidRPr="00AC02C6">
        <w:rPr>
          <w:rFonts w:hint="cs"/>
          <w:b/>
          <w:bCs/>
          <w:rtl/>
          <w:lang w:val="fr-CH"/>
        </w:rPr>
        <w:t xml:space="preserve">تكرر اللجنة توصيتها السابقة (الفقرة 97(ط)) بأن تعتمد الدولة الطرف تدابير مناسبة لضمان عدم طرد أي شخص أو إعادته أو تسليمه إلى دولة أخرى عند وجود أسباب موضوعية تبعث على اعتقاد أنه معرض بصفته الشخصية وعلى نحو يمكن التنبؤ به لخطر التعذيب. وعلى وجه الخصوص، ينبغي أن توجه الدولة الطرف تعليمات واضحة إلى موظفي خدمات الهجرة وسائر سلطات إنفاذ القانون، وأن توسع نطاق التدريب الإجباري في مجال اللجوء وحماية اللاجئين، وأن تضمن تدخل لجنة اللاجئين الوطنية في الوقت المناسب وفقاً لاختصاصاتها من أجل إنفاذ مبدأ عدم الطرد. </w:t>
      </w:r>
    </w:p>
    <w:p w:rsidR="0005706C" w:rsidRPr="00AC02C6" w:rsidRDefault="0005706C" w:rsidP="00A83CF9">
      <w:pPr>
        <w:pStyle w:val="SingleTxtGA"/>
        <w:spacing w:line="366" w:lineRule="exact"/>
        <w:rPr>
          <w:rFonts w:hint="cs"/>
          <w:b/>
          <w:bCs/>
          <w:rtl/>
          <w:lang w:val="fr-CH"/>
        </w:rPr>
      </w:pPr>
      <w:r w:rsidRPr="00AC02C6">
        <w:rPr>
          <w:rFonts w:hint="cs"/>
          <w:b/>
          <w:bCs/>
          <w:rtl/>
          <w:lang w:val="fr-CH"/>
        </w:rPr>
        <w:tab/>
        <w:t>وينبغي أن تقوم الدولة الطرف أيضاً بما يلي:</w:t>
      </w:r>
    </w:p>
    <w:p w:rsidR="0005706C" w:rsidRPr="00AC02C6" w:rsidRDefault="0005706C" w:rsidP="00A83CF9">
      <w:pPr>
        <w:pStyle w:val="SingleTxtGA"/>
        <w:spacing w:line="366" w:lineRule="exact"/>
        <w:rPr>
          <w:rFonts w:hint="cs"/>
          <w:b/>
          <w:bCs/>
          <w:rtl/>
          <w:lang w:val="fr-CH"/>
        </w:rPr>
      </w:pPr>
      <w:r w:rsidRPr="00086AA1">
        <w:rPr>
          <w:rFonts w:ascii="Times New Roman Bold" w:hAnsi="Times New Roman Bold" w:hint="cs"/>
          <w:b/>
          <w:bCs/>
          <w:spacing w:val="-2"/>
          <w:rtl/>
          <w:lang w:val="fr-CH"/>
        </w:rPr>
        <w:tab/>
        <w:t>(أ)</w:t>
      </w:r>
      <w:r w:rsidRPr="00086AA1">
        <w:rPr>
          <w:rFonts w:ascii="Times New Roman Bold" w:hAnsi="Times New Roman Bold" w:hint="cs"/>
          <w:b/>
          <w:bCs/>
          <w:spacing w:val="-2"/>
          <w:rtl/>
          <w:lang w:val="fr-CH"/>
        </w:rPr>
        <w:tab/>
        <w:t>تنظيم إجراء البت في صفة انعدام الجنسية، علاوة على جوانب شتى متصلة بوضعهم القانوني في الهجرة ومنحهم وثائق الهوية وحمايتهم، حرصاً على الوفاء بالتزاماتها الدولية بموجب اتفاقية وضع الأشخاص عديمي الجنسية (1954). كذلك</w:t>
      </w:r>
      <w:r w:rsidRPr="00AC02C6">
        <w:rPr>
          <w:rFonts w:hint="cs"/>
          <w:b/>
          <w:bCs/>
          <w:rtl/>
          <w:lang w:val="fr-CH"/>
        </w:rPr>
        <w:t xml:space="preserve"> ينبغي أن تكفل الدولة الطرف، وفقاً لتشريعاتها المحلية، منح الجنسية لمن لم يولد في إقليمها ويكون لولا ذلك عديم الجنسية، وفقاً للشروط المنصوص عليها في اتفاقية خفض حالات انعدام الجنسية (1961). ولهذا الغرض، يمكن أن تلتمس الدولة الطرف، عند الضرورة، المساعدة التقنية من مفوضية الأمم المتحدة لشؤون اللاجئين؛ </w:t>
      </w:r>
    </w:p>
    <w:p w:rsidR="0005706C" w:rsidRDefault="0005706C" w:rsidP="00A83CF9">
      <w:pPr>
        <w:pStyle w:val="SingleTxtGA"/>
        <w:spacing w:line="366" w:lineRule="exact"/>
        <w:rPr>
          <w:rFonts w:hint="cs"/>
          <w:rtl/>
          <w:lang w:val="fr-CH"/>
        </w:rPr>
      </w:pPr>
      <w:r w:rsidRPr="00AC02C6">
        <w:rPr>
          <w:rFonts w:hint="cs"/>
          <w:b/>
          <w:bCs/>
          <w:rtl/>
          <w:lang w:val="fr-CH"/>
        </w:rPr>
        <w:tab/>
        <w:t>(ب)</w:t>
      </w:r>
      <w:r w:rsidRPr="00AC02C6">
        <w:rPr>
          <w:rFonts w:hint="cs"/>
          <w:b/>
          <w:bCs/>
          <w:rtl/>
          <w:lang w:val="fr-CH"/>
        </w:rPr>
        <w:tab/>
        <w:t>إنشاء آليات فعالة لتحديد هوية ملتمسي اللجوء وعديمي الجنسية وغيرهم من الأشخاص المحتاجين إلى الحماية الدولية وإحالة ملفاتهم إلى لجنة اللاجئين الوطنية وغيرها من المؤسسات المختصة. وينبغي أن تولي الدولة الطرف اهتماماً خاصاً لحالات الإبعاد الجائر الممكنة ولتحديد ضحايا الاتجار وغيرهم من الأشخاص المحتاجين إلى حماية دولية، سيما في سياق تدفقات الهجرة المختلطة.</w:t>
      </w:r>
      <w:r>
        <w:rPr>
          <w:rFonts w:hint="cs"/>
          <w:rtl/>
          <w:lang w:val="fr-CH"/>
        </w:rPr>
        <w:t xml:space="preserve"> </w:t>
      </w:r>
    </w:p>
    <w:p w:rsidR="0005706C" w:rsidRDefault="0005706C" w:rsidP="00A83CF9">
      <w:pPr>
        <w:pStyle w:val="H23GA"/>
        <w:spacing w:line="366" w:lineRule="exact"/>
        <w:rPr>
          <w:rFonts w:hint="cs"/>
          <w:rtl/>
          <w:lang w:val="fr-CH"/>
        </w:rPr>
      </w:pPr>
      <w:r>
        <w:rPr>
          <w:rFonts w:hint="cs"/>
          <w:rtl/>
          <w:lang w:val="fr-CH"/>
        </w:rPr>
        <w:tab/>
      </w:r>
      <w:r>
        <w:rPr>
          <w:rFonts w:hint="cs"/>
          <w:rtl/>
          <w:lang w:val="fr-CH"/>
        </w:rPr>
        <w:tab/>
        <w:t>ظروف الحبس في مراكز الاحتجاز</w:t>
      </w:r>
    </w:p>
    <w:p w:rsidR="0005706C" w:rsidRDefault="009C5D54" w:rsidP="00A83CF9">
      <w:pPr>
        <w:pStyle w:val="SingleTxtGA"/>
        <w:spacing w:line="370" w:lineRule="exact"/>
        <w:rPr>
          <w:rFonts w:hint="cs"/>
          <w:rtl/>
          <w:lang w:val="fr-CH"/>
        </w:rPr>
      </w:pPr>
      <w:r>
        <w:rPr>
          <w:rFonts w:hint="cs"/>
          <w:rtl/>
          <w:lang w:val="fr-CH"/>
        </w:rPr>
        <w:t>(</w:t>
      </w:r>
      <w:r w:rsidR="0005706C">
        <w:rPr>
          <w:rFonts w:hint="cs"/>
          <w:rtl/>
          <w:lang w:val="fr-CH"/>
        </w:rPr>
        <w:t>18</w:t>
      </w:r>
      <w:r>
        <w:rPr>
          <w:rFonts w:hint="cs"/>
          <w:rtl/>
          <w:lang w:val="fr-CH"/>
        </w:rPr>
        <w:t>)</w:t>
      </w:r>
      <w:r w:rsidR="0005706C">
        <w:rPr>
          <w:rFonts w:hint="cs"/>
          <w:rtl/>
          <w:lang w:val="fr-CH"/>
        </w:rPr>
        <w:tab/>
        <w:t>تعرب اللجنة عن قلقها إزاء مستويات الاكتظاظ في سجون الدولة الطرف. وتفيد</w:t>
      </w:r>
      <w:r>
        <w:rPr>
          <w:rFonts w:hint="eastAsia"/>
          <w:rtl/>
          <w:lang w:val="fr-CH"/>
        </w:rPr>
        <w:t> </w:t>
      </w:r>
      <w:r w:rsidR="0005706C">
        <w:rPr>
          <w:rFonts w:hint="cs"/>
          <w:rtl/>
          <w:lang w:val="fr-CH"/>
        </w:rPr>
        <w:t>المعلومات التي قدمها الوفد بأن متوسط معدلات ال</w:t>
      </w:r>
      <w:r>
        <w:rPr>
          <w:rFonts w:hint="cs"/>
          <w:rtl/>
          <w:lang w:val="fr-CH"/>
        </w:rPr>
        <w:t xml:space="preserve">اكتظاظ في مراكز الاحتجاز </w:t>
      </w:r>
      <w:r w:rsidR="0005706C">
        <w:rPr>
          <w:rFonts w:hint="cs"/>
          <w:rtl/>
          <w:lang w:val="fr-CH"/>
        </w:rPr>
        <w:t>يساوي 193 في المائة، إذ يبلغ عدد المحتجزين 272 14 محتجزاً في حين لا تتجاوز طاقة الاستيعاب 864 4 مكاناً. وتحيط اللجنة علماً كذلك ببناء مرافق جديدة وبالموافقة على المرسوم رقم 1445 المؤرخ 22 كانون الأول/ديسمبر 2012 والمتعلق بالعفو الرئاسي، لكنها ترى أن آثار هذه التدابير على معدلات شغل السجون ضئيلة نظراً إلى ما سُجل في الأعوام الأخيرة من زيادة في عدد المحتجزين وإلى ارتفاع نسبة المحتجزين رهن المحاكمة (83.3 في المائة). وتعرب اللجنة عن أسفها لعدم تلقي المعلومات الإضافية المطلوبة عن التقدم المحرز في تنفيذ خطة العمل الوطنية لحقوق الإنسان في</w:t>
      </w:r>
      <w:r w:rsidR="00C4543B">
        <w:rPr>
          <w:rFonts w:hint="cs"/>
          <w:rtl/>
          <w:lang w:val="fr-CH"/>
        </w:rPr>
        <w:t xml:space="preserve"> هذا المجال. كما لم تتلق أيضاً </w:t>
      </w:r>
      <w:r w:rsidR="0005706C">
        <w:rPr>
          <w:rFonts w:hint="cs"/>
          <w:rtl/>
          <w:lang w:val="fr-CH"/>
        </w:rPr>
        <w:t>ما</w:t>
      </w:r>
      <w:r w:rsidR="00C4543B">
        <w:rPr>
          <w:rFonts w:hint="eastAsia"/>
          <w:rtl/>
          <w:lang w:val="fr-CH"/>
        </w:rPr>
        <w:t> </w:t>
      </w:r>
      <w:r w:rsidR="0005706C">
        <w:rPr>
          <w:rFonts w:hint="cs"/>
          <w:rtl/>
          <w:lang w:val="fr-CH"/>
        </w:rPr>
        <w:t xml:space="preserve">طلبته إلى الدولة الطرف من معلومات عن حالات العصيان والاحتجاجات العنيفة المتواترة في سجون البلد بسبب التخلف عن دفع مبالغ الإعانات الغذائية، والمطالبة بتحسين العناية الطبية وباتخاذ تدابير للحد من الاكتظاظ، أو احتجاجاً على قرارات المؤسسات الحبسية، مثل تقييد أوقات الزيارة أو نقل أحداث كانوا محتجزين في مراكز إعادة التأهيل. ومن جهة أخرى، تعرب اللجنة عن قلقها إزاء ما وردها من تقارير عن سيطرة عصابات سجناء منظمة على بعض السجون، وحالات الاعتداء والابتزاز والعنف بين السجناء. وهي منشغلة أيضاً لعدم احترام الفصل الصارم بين المحتجزين رهن المحاكمة والمدانين، ولوجود أجنحة مختلطة داخل بعض السجون سُجلت فيها حالات عنف جنسي في حق بعض السجينات، كما أقر بذلك وفد الدولة الطرف (المواد 2 و11 و16). </w:t>
      </w:r>
    </w:p>
    <w:p w:rsidR="0005706C" w:rsidRPr="009C5D54" w:rsidRDefault="0005706C" w:rsidP="00A83CF9">
      <w:pPr>
        <w:pStyle w:val="SingleTxtGA"/>
        <w:spacing w:line="370" w:lineRule="exact"/>
        <w:rPr>
          <w:rFonts w:ascii="Times New Roman Bold" w:hAnsi="Times New Roman Bold" w:hint="cs"/>
          <w:b/>
          <w:bCs/>
          <w:spacing w:val="-4"/>
          <w:rtl/>
          <w:lang w:val="fr-CH"/>
        </w:rPr>
      </w:pPr>
      <w:r>
        <w:rPr>
          <w:rFonts w:hint="cs"/>
          <w:rtl/>
          <w:lang w:val="fr-CH"/>
        </w:rPr>
        <w:tab/>
      </w:r>
      <w:r w:rsidRPr="005F6E80">
        <w:rPr>
          <w:rFonts w:hint="cs"/>
          <w:b/>
          <w:bCs/>
          <w:rtl/>
          <w:lang w:val="fr-CH"/>
        </w:rPr>
        <w:t>تحث اللجنة الدولة الطرف على اعتماد التدابير اللازمة لمواءمة ظروف الاحتجاز مع القواعد النموذجية الدنيا لمعاملة السجناء، التي أقرها المجلس الاقت</w:t>
      </w:r>
      <w:r w:rsidR="009C5D54">
        <w:rPr>
          <w:rFonts w:hint="cs"/>
          <w:b/>
          <w:bCs/>
          <w:rtl/>
          <w:lang w:val="fr-CH"/>
        </w:rPr>
        <w:t xml:space="preserve">صادي والاجتماعي </w:t>
      </w:r>
      <w:r w:rsidR="009C5D54" w:rsidRPr="009C5D54">
        <w:rPr>
          <w:rFonts w:ascii="Times New Roman Bold" w:hAnsi="Times New Roman Bold" w:hint="cs"/>
          <w:b/>
          <w:bCs/>
          <w:spacing w:val="-4"/>
          <w:rtl/>
          <w:lang w:val="fr-CH"/>
        </w:rPr>
        <w:t>بقراريه 663-جيم</w:t>
      </w:r>
      <w:r w:rsidRPr="009C5D54">
        <w:rPr>
          <w:rFonts w:ascii="Times New Roman Bold" w:hAnsi="Times New Roman Bold" w:hint="cs"/>
          <w:b/>
          <w:bCs/>
          <w:spacing w:val="-4"/>
          <w:rtl/>
          <w:lang w:val="fr-CH"/>
        </w:rPr>
        <w:t>(د-24) المؤرخ 31 تموز/يوليه 1957 و2076(د-62)</w:t>
      </w:r>
      <w:r w:rsidR="009C5D54" w:rsidRPr="009C5D54">
        <w:rPr>
          <w:rFonts w:ascii="Times New Roman Bold" w:hAnsi="Times New Roman Bold" w:hint="cs"/>
          <w:b/>
          <w:bCs/>
          <w:spacing w:val="-4"/>
          <w:rtl/>
          <w:lang w:val="fr-CH"/>
        </w:rPr>
        <w:t xml:space="preserve"> </w:t>
      </w:r>
      <w:r w:rsidRPr="009C5D54">
        <w:rPr>
          <w:rFonts w:ascii="Times New Roman Bold" w:hAnsi="Times New Roman Bold" w:hint="cs"/>
          <w:b/>
          <w:bCs/>
          <w:spacing w:val="-4"/>
          <w:rtl/>
          <w:lang w:val="fr-CH"/>
        </w:rPr>
        <w:t>المؤرخ 13 أيار/مايو 1977، سيما التدابير التالية:</w:t>
      </w:r>
    </w:p>
    <w:p w:rsidR="0005706C" w:rsidRPr="005F6E80" w:rsidRDefault="0005706C" w:rsidP="00A83CF9">
      <w:pPr>
        <w:pStyle w:val="SingleTxtGA"/>
        <w:spacing w:line="370" w:lineRule="exact"/>
        <w:rPr>
          <w:rFonts w:hint="cs"/>
          <w:b/>
          <w:bCs/>
          <w:rtl/>
          <w:lang w:val="fr-CH"/>
        </w:rPr>
      </w:pPr>
      <w:r w:rsidRPr="005F6E80">
        <w:rPr>
          <w:rFonts w:hint="cs"/>
          <w:b/>
          <w:bCs/>
          <w:rtl/>
          <w:lang w:val="fr-CH"/>
        </w:rPr>
        <w:tab/>
        <w:t>(أ)</w:t>
      </w:r>
      <w:r w:rsidRPr="005F6E80">
        <w:rPr>
          <w:rFonts w:hint="cs"/>
          <w:b/>
          <w:bCs/>
          <w:rtl/>
          <w:lang w:val="fr-CH"/>
        </w:rPr>
        <w:tab/>
        <w:t>تكثيف الجهود في سبيل التخفيف من حدة الاكتظاظ في نظام السجون عن طريق اعتماد عقوبات بديلة عن الحرمان من الحرية، عملاً بأحكام قواعد الأمم المتحدة النموذجية الدنيا للتدابير غير الاحتجازية (قواعد طوكيو، قرار الجمعية العامة</w:t>
      </w:r>
      <w:r w:rsidR="009C5D54">
        <w:rPr>
          <w:rFonts w:hint="eastAsia"/>
          <w:b/>
          <w:bCs/>
          <w:rtl/>
          <w:lang w:val="fr-CH"/>
        </w:rPr>
        <w:t> </w:t>
      </w:r>
      <w:r w:rsidRPr="005F6E80">
        <w:rPr>
          <w:rFonts w:hint="cs"/>
          <w:b/>
          <w:bCs/>
          <w:rtl/>
          <w:lang w:val="fr-CH"/>
        </w:rPr>
        <w:t>45/110 المؤرخ 14 كانون الأول/ديسمبر 1990) وقواعد الأمم المتحدة لمعاملة النساء السجينات والتدابير غير الاحتجازية للمجرمات (قواعد بانكوك، قرار الجمعية العامة 65/229 المؤرخ 21 كانون الأول/ديسمبر 2010)؛</w:t>
      </w:r>
    </w:p>
    <w:p w:rsidR="0005706C" w:rsidRPr="005F6E80" w:rsidRDefault="0005706C" w:rsidP="00A83CF9">
      <w:pPr>
        <w:pStyle w:val="SingleTxtGA"/>
        <w:spacing w:line="370" w:lineRule="exact"/>
        <w:rPr>
          <w:rFonts w:hint="cs"/>
          <w:b/>
          <w:bCs/>
          <w:rtl/>
          <w:lang w:val="fr-CH"/>
        </w:rPr>
      </w:pPr>
      <w:r w:rsidRPr="005F6E80">
        <w:rPr>
          <w:rFonts w:hint="cs"/>
          <w:b/>
          <w:bCs/>
          <w:rtl/>
          <w:lang w:val="fr-CH"/>
        </w:rPr>
        <w:tab/>
        <w:t>(ب)</w:t>
      </w:r>
      <w:r w:rsidRPr="005F6E80">
        <w:rPr>
          <w:rFonts w:hint="cs"/>
          <w:b/>
          <w:bCs/>
          <w:rtl/>
          <w:lang w:val="fr-CH"/>
        </w:rPr>
        <w:tab/>
        <w:t>القيام على وجه الاستعجال بزيادة الموارد المخصصة لتغذية السجناء وتزويدهم بالعناية الطبية والرعاية الصحية؛</w:t>
      </w:r>
    </w:p>
    <w:p w:rsidR="0005706C" w:rsidRPr="005F6E80" w:rsidRDefault="0005706C" w:rsidP="00A83CF9">
      <w:pPr>
        <w:pStyle w:val="SingleTxtGA"/>
        <w:spacing w:line="370" w:lineRule="exact"/>
        <w:rPr>
          <w:rFonts w:hint="cs"/>
          <w:b/>
          <w:bCs/>
          <w:rtl/>
          <w:lang w:val="fr-CH"/>
        </w:rPr>
      </w:pPr>
      <w:r w:rsidRPr="005F6E80">
        <w:rPr>
          <w:rFonts w:hint="cs"/>
          <w:b/>
          <w:bCs/>
          <w:rtl/>
          <w:lang w:val="fr-CH"/>
        </w:rPr>
        <w:tab/>
        <w:t>(ج)</w:t>
      </w:r>
      <w:r w:rsidRPr="005F6E80">
        <w:rPr>
          <w:rFonts w:hint="cs"/>
          <w:b/>
          <w:bCs/>
          <w:rtl/>
          <w:lang w:val="fr-CH"/>
        </w:rPr>
        <w:tab/>
        <w:t xml:space="preserve">مواصلة أشغال تحسين </w:t>
      </w:r>
      <w:r>
        <w:rPr>
          <w:rFonts w:hint="cs"/>
          <w:b/>
          <w:bCs/>
          <w:rtl/>
          <w:lang w:val="fr-CH"/>
        </w:rPr>
        <w:t>مرافق السجون</w:t>
      </w:r>
      <w:r w:rsidRPr="005F6E80">
        <w:rPr>
          <w:rFonts w:hint="cs"/>
          <w:b/>
          <w:bCs/>
          <w:rtl/>
          <w:lang w:val="fr-CH"/>
        </w:rPr>
        <w:t xml:space="preserve"> وتوسيعها بهدف إصلاح المؤسسات التي لا تستوفي المعايير الدولية؛</w:t>
      </w:r>
    </w:p>
    <w:p w:rsidR="0005706C" w:rsidRPr="005F6E80" w:rsidRDefault="0005706C" w:rsidP="00A83CF9">
      <w:pPr>
        <w:pStyle w:val="SingleTxtGA"/>
        <w:spacing w:line="370" w:lineRule="exact"/>
        <w:rPr>
          <w:rFonts w:hint="cs"/>
          <w:b/>
          <w:bCs/>
          <w:rtl/>
          <w:lang w:val="fr-CH"/>
        </w:rPr>
      </w:pPr>
      <w:r w:rsidRPr="005F6E80">
        <w:rPr>
          <w:rFonts w:hint="cs"/>
          <w:b/>
          <w:bCs/>
          <w:rtl/>
          <w:lang w:val="fr-CH"/>
        </w:rPr>
        <w:tab/>
        <w:t>(د)</w:t>
      </w:r>
      <w:r w:rsidRPr="005F6E80">
        <w:rPr>
          <w:rFonts w:hint="cs"/>
          <w:b/>
          <w:bCs/>
          <w:rtl/>
          <w:lang w:val="fr-CH"/>
        </w:rPr>
        <w:tab/>
        <w:t>إعادة فرض السلطة الكاملة للدولة في جميع مرافق الاحتجاز؛</w:t>
      </w:r>
    </w:p>
    <w:p w:rsidR="0005706C" w:rsidRPr="005F6E80" w:rsidRDefault="0005706C" w:rsidP="00A83CF9">
      <w:pPr>
        <w:pStyle w:val="SingleTxtGA"/>
        <w:spacing w:line="370" w:lineRule="exact"/>
        <w:rPr>
          <w:rFonts w:hint="cs"/>
          <w:b/>
          <w:bCs/>
          <w:rtl/>
          <w:lang w:val="fr-CH"/>
        </w:rPr>
      </w:pPr>
      <w:r w:rsidRPr="005F6E80">
        <w:rPr>
          <w:rFonts w:hint="cs"/>
          <w:b/>
          <w:bCs/>
          <w:rtl/>
          <w:lang w:val="fr-CH"/>
        </w:rPr>
        <w:tab/>
        <w:t>(</w:t>
      </w:r>
      <w:r w:rsidRPr="005F6E80">
        <w:rPr>
          <w:rFonts w:hint="cs"/>
          <w:b/>
          <w:bCs/>
          <w:sz w:val="30"/>
          <w:rtl/>
          <w:lang w:val="fr-CH"/>
        </w:rPr>
        <w:t>ﻫ</w:t>
      </w:r>
      <w:r w:rsidRPr="005F6E80">
        <w:rPr>
          <w:rFonts w:hint="cs"/>
          <w:b/>
          <w:bCs/>
          <w:rtl/>
          <w:lang w:val="fr-CH"/>
        </w:rPr>
        <w:t>)</w:t>
      </w:r>
      <w:r w:rsidRPr="005F6E80">
        <w:rPr>
          <w:rFonts w:hint="cs"/>
          <w:b/>
          <w:bCs/>
          <w:rtl/>
          <w:lang w:val="fr-CH"/>
        </w:rPr>
        <w:tab/>
        <w:t xml:space="preserve">اعتماد تدابير من أجل مكافحة العنف بين السجناء، بما في ذلك العنف الجنسي، والتحقيق في جميع تلك الحوادث بغية مقاضاة المشتبه فيهم وحماية الضحايا؛ </w:t>
      </w:r>
    </w:p>
    <w:p w:rsidR="0005706C" w:rsidRPr="005F6E80" w:rsidRDefault="0005706C" w:rsidP="0005706C">
      <w:pPr>
        <w:pStyle w:val="SingleTxtGA"/>
        <w:rPr>
          <w:rFonts w:hint="cs"/>
          <w:b/>
          <w:bCs/>
          <w:rtl/>
          <w:lang w:val="fr-CH"/>
        </w:rPr>
      </w:pPr>
      <w:r w:rsidRPr="005F6E80">
        <w:rPr>
          <w:rFonts w:hint="cs"/>
          <w:b/>
          <w:bCs/>
          <w:rtl/>
          <w:lang w:val="fr-CH"/>
        </w:rPr>
        <w:tab/>
        <w:t>(و)</w:t>
      </w:r>
      <w:r w:rsidRPr="005F6E80">
        <w:rPr>
          <w:rFonts w:hint="cs"/>
          <w:b/>
          <w:bCs/>
          <w:rtl/>
          <w:lang w:val="fr-CH"/>
        </w:rPr>
        <w:tab/>
        <w:t xml:space="preserve">الحرص على إيداع السجناء المنتمين إلى فئات مختلفة في مؤسسات مختلفة أو أجنحة مختلفة داخل المراكز ذاتها، وذلك بحسب الجنس والعمر والسوابق وأسباب الاحتجاز والمعاملة المناسبة لكل فئة. </w:t>
      </w:r>
    </w:p>
    <w:p w:rsidR="0005706C" w:rsidRDefault="0005706C" w:rsidP="0005706C">
      <w:pPr>
        <w:pStyle w:val="H23GA"/>
        <w:rPr>
          <w:rFonts w:hint="cs"/>
          <w:rtl/>
          <w:lang w:val="fr-CH"/>
        </w:rPr>
      </w:pPr>
      <w:r>
        <w:rPr>
          <w:rFonts w:hint="cs"/>
          <w:rtl/>
          <w:lang w:val="fr-CH"/>
        </w:rPr>
        <w:tab/>
      </w:r>
      <w:r>
        <w:rPr>
          <w:rFonts w:hint="cs"/>
          <w:rtl/>
          <w:lang w:val="fr-CH"/>
        </w:rPr>
        <w:tab/>
        <w:t>الوفيات في الحبس</w:t>
      </w:r>
    </w:p>
    <w:p w:rsidR="0005706C" w:rsidRDefault="009C5D54" w:rsidP="009C5D54">
      <w:pPr>
        <w:pStyle w:val="SingleTxtGA"/>
        <w:rPr>
          <w:rFonts w:hint="cs"/>
          <w:rtl/>
          <w:lang w:val="fr-CH"/>
        </w:rPr>
      </w:pPr>
      <w:r>
        <w:rPr>
          <w:rFonts w:hint="cs"/>
          <w:rtl/>
          <w:lang w:val="fr-CH"/>
        </w:rPr>
        <w:t>(</w:t>
      </w:r>
      <w:r w:rsidR="0005706C">
        <w:rPr>
          <w:rFonts w:hint="cs"/>
          <w:rtl/>
          <w:lang w:val="fr-CH"/>
        </w:rPr>
        <w:t>19</w:t>
      </w:r>
      <w:r>
        <w:rPr>
          <w:rFonts w:hint="cs"/>
          <w:rtl/>
          <w:lang w:val="fr-CH"/>
        </w:rPr>
        <w:t>)</w:t>
      </w:r>
      <w:r w:rsidR="0005706C">
        <w:rPr>
          <w:rFonts w:hint="cs"/>
          <w:rtl/>
          <w:lang w:val="fr-CH"/>
        </w:rPr>
        <w:tab/>
        <w:t xml:space="preserve">تفيد المعلومات المقدمة من الدولة الطرف بوفاة 85 محتجزاً في مرافق الشرطة أثناء الفترة ما بين </w:t>
      </w:r>
      <w:r w:rsidR="0005706C" w:rsidRPr="00F13B10">
        <w:rPr>
          <w:rFonts w:hint="cs"/>
          <w:rtl/>
          <w:lang w:val="fr-CH"/>
        </w:rPr>
        <w:t>كانون الثاني/</w:t>
      </w:r>
      <w:r w:rsidR="0005706C">
        <w:rPr>
          <w:rFonts w:hint="cs"/>
          <w:rtl/>
          <w:lang w:val="fr-CH"/>
        </w:rPr>
        <w:t>يناير 2006 وأيار/مايو 2010. وتعرب اللجنة عن قلقها إزاء ارتفاع عدد الوفيات في الحبس وعدم تلقي معلومات عن أسباب وفاة أولئك الأشخاص وعن نتائج التحقيقات المنجزة. كذلك تعرب اللجنة عن أسفها لعدم توافر بيانات عن معدلات الوفاة في مراكز الاحتجاز، بما فيها السجون، أثناء الفترة ما بين عامي 2010 و2012 (المواد 2 و11 و16).</w:t>
      </w:r>
    </w:p>
    <w:p w:rsidR="0005706C" w:rsidRPr="007A0089" w:rsidRDefault="0005706C" w:rsidP="0005706C">
      <w:pPr>
        <w:pStyle w:val="SingleTxtGA"/>
        <w:rPr>
          <w:rFonts w:hint="cs"/>
          <w:b/>
          <w:bCs/>
          <w:rtl/>
          <w:lang w:val="fr-CH"/>
        </w:rPr>
      </w:pPr>
      <w:r>
        <w:rPr>
          <w:rFonts w:hint="cs"/>
          <w:rtl/>
          <w:lang w:val="fr-CH"/>
        </w:rPr>
        <w:tab/>
      </w:r>
      <w:r w:rsidRPr="007A0089">
        <w:rPr>
          <w:rFonts w:hint="cs"/>
          <w:b/>
          <w:bCs/>
          <w:rtl/>
          <w:lang w:val="fr-CH"/>
        </w:rPr>
        <w:t xml:space="preserve">تحث اللجنة الدولة الطرف على أن تبادر دون تأخير إلى فتح تحقيقات شاملة ونزيهة في جميع حالات وفاة أشخاص محتجزين، وأن تجري عند اللزوم عمليات التشريح المناسبة. كذلك يجب أن تقيّم الدولة الطرف احتمالات مسؤولية موظفي مؤسسات السجون وحفظ النظام عن تلك الوفيات، وأن تقوم، إذا ما ثبت ذلك، بفرض عقوبات مناسبة على المذنبين وتقديم تعويضات كافية إلى أقارب الضحايا. </w:t>
      </w:r>
    </w:p>
    <w:p w:rsidR="0005706C" w:rsidRPr="007A0089" w:rsidRDefault="0005706C" w:rsidP="0005706C">
      <w:pPr>
        <w:pStyle w:val="SingleTxtGA"/>
        <w:rPr>
          <w:rFonts w:hint="cs"/>
          <w:b/>
          <w:bCs/>
          <w:rtl/>
          <w:lang w:val="fr-CH"/>
        </w:rPr>
      </w:pPr>
      <w:r w:rsidRPr="007A0089">
        <w:rPr>
          <w:rFonts w:hint="cs"/>
          <w:b/>
          <w:bCs/>
          <w:rtl/>
          <w:lang w:val="fr-CH"/>
        </w:rPr>
        <w:tab/>
        <w:t xml:space="preserve">ويجب أن تقدم الدولة الطرف بيانات مفصلة عن الأسباب المسجلة لوفيات المحتجزين، وأن تكون تلك البيانات مصنفة بحسب مكان الاحتجاز والجنس والعمر والأصل الإثني وسبب الوفاة. </w:t>
      </w:r>
    </w:p>
    <w:p w:rsidR="0005706C" w:rsidRDefault="0005706C" w:rsidP="0005706C">
      <w:pPr>
        <w:pStyle w:val="H23GA"/>
        <w:rPr>
          <w:rFonts w:hint="cs"/>
          <w:rtl/>
          <w:lang w:val="fr-CH"/>
        </w:rPr>
      </w:pPr>
      <w:r>
        <w:rPr>
          <w:rFonts w:hint="cs"/>
          <w:rtl/>
          <w:lang w:val="fr-CH"/>
        </w:rPr>
        <w:tab/>
      </w:r>
      <w:r>
        <w:rPr>
          <w:rFonts w:hint="cs"/>
          <w:rtl/>
          <w:lang w:val="fr-CH"/>
        </w:rPr>
        <w:tab/>
        <w:t>مراقبة مراكز الاحتجاز وتفتيشها</w:t>
      </w:r>
    </w:p>
    <w:p w:rsidR="0005706C" w:rsidRDefault="009C5D54" w:rsidP="009C5D54">
      <w:pPr>
        <w:pStyle w:val="SingleTxtGA"/>
        <w:rPr>
          <w:rFonts w:hint="cs"/>
          <w:rtl/>
          <w:lang w:val="fr-CH"/>
        </w:rPr>
      </w:pPr>
      <w:r>
        <w:rPr>
          <w:rFonts w:hint="cs"/>
          <w:rtl/>
          <w:lang w:val="fr-CH"/>
        </w:rPr>
        <w:t>(</w:t>
      </w:r>
      <w:r w:rsidR="0005706C">
        <w:rPr>
          <w:rFonts w:hint="cs"/>
          <w:rtl/>
          <w:lang w:val="fr-CH"/>
        </w:rPr>
        <w:t>20</w:t>
      </w:r>
      <w:r>
        <w:rPr>
          <w:rFonts w:hint="cs"/>
          <w:rtl/>
          <w:lang w:val="fr-CH"/>
        </w:rPr>
        <w:t>)</w:t>
      </w:r>
      <w:r w:rsidR="0005706C">
        <w:rPr>
          <w:rFonts w:hint="cs"/>
          <w:rtl/>
          <w:lang w:val="fr-CH"/>
        </w:rPr>
        <w:tab/>
        <w:t xml:space="preserve">تلاحظ اللجنة أن باستطاعة أمانة المظالم، وفقاً للتشريعات النافذة، الوصول بحرية إلى مؤسسات السجون وغيرها من مرافق الحبس، لكنها تفتقر إلى معلومات عن مدى ملاءمة التدابير التي اعتمدتها الدولة الطرف استجابة إلى التوصيات المقدمة من أمانة المظالم في إطار تلك الزيارات، وعن الجهود التي بذلتها الدولة الطرف في سبيل ضمان خضوع مراكز الاحتجاز لمراقبة أجهزة أخرى بصورة فعالة ومستقلة (المادتان 11 و12). </w:t>
      </w:r>
    </w:p>
    <w:p w:rsidR="0005706C" w:rsidRPr="007A0089" w:rsidRDefault="0005706C" w:rsidP="0005706C">
      <w:pPr>
        <w:pStyle w:val="SingleTxtGA"/>
        <w:rPr>
          <w:rFonts w:hint="cs"/>
          <w:b/>
          <w:bCs/>
          <w:rtl/>
          <w:lang w:val="fr-CH"/>
        </w:rPr>
      </w:pPr>
      <w:r>
        <w:rPr>
          <w:rFonts w:hint="cs"/>
          <w:b/>
          <w:bCs/>
          <w:rtl/>
          <w:lang w:val="fr-CH"/>
        </w:rPr>
        <w:tab/>
      </w:r>
      <w:r w:rsidRPr="007A0089">
        <w:rPr>
          <w:rFonts w:hint="cs"/>
          <w:b/>
          <w:bCs/>
          <w:rtl/>
          <w:lang w:val="fr-CH"/>
        </w:rPr>
        <w:t xml:space="preserve">يجب على الدولة الطرف القيام بما يلي: </w:t>
      </w:r>
    </w:p>
    <w:p w:rsidR="0005706C" w:rsidRPr="007A0089" w:rsidRDefault="0005706C" w:rsidP="0005706C">
      <w:pPr>
        <w:pStyle w:val="SingleTxtGA"/>
        <w:rPr>
          <w:rFonts w:hint="cs"/>
          <w:b/>
          <w:bCs/>
          <w:rtl/>
          <w:lang w:val="fr-CH"/>
        </w:rPr>
      </w:pPr>
      <w:r w:rsidRPr="007A0089">
        <w:rPr>
          <w:rFonts w:hint="cs"/>
          <w:b/>
          <w:bCs/>
          <w:rtl/>
          <w:lang w:val="fr-CH"/>
        </w:rPr>
        <w:tab/>
        <w:t>(أ)</w:t>
      </w:r>
      <w:r w:rsidRPr="007A0089">
        <w:rPr>
          <w:rFonts w:hint="cs"/>
          <w:b/>
          <w:bCs/>
          <w:rtl/>
          <w:lang w:val="fr-CH"/>
        </w:rPr>
        <w:tab/>
        <w:t>اعتماد التدابير اللازمة لدعم عمل أمانة المظالم في مراكز الاحتجاز، لضمان تنفيذ توصياتها تنفيذاً كاملاً؛</w:t>
      </w:r>
    </w:p>
    <w:p w:rsidR="0005706C" w:rsidRPr="00FD6251" w:rsidRDefault="0005706C" w:rsidP="0005706C">
      <w:pPr>
        <w:pStyle w:val="SingleTxtGA"/>
        <w:rPr>
          <w:rFonts w:hint="cs"/>
          <w:lang w:val="fr-CH"/>
        </w:rPr>
      </w:pPr>
      <w:r w:rsidRPr="007A0089">
        <w:rPr>
          <w:rFonts w:hint="cs"/>
          <w:b/>
          <w:bCs/>
          <w:rtl/>
          <w:lang w:val="fr-CH"/>
        </w:rPr>
        <w:tab/>
        <w:t>(ب)</w:t>
      </w:r>
      <w:r w:rsidRPr="007A0089">
        <w:rPr>
          <w:rFonts w:hint="cs"/>
          <w:b/>
          <w:bCs/>
          <w:rtl/>
          <w:lang w:val="fr-CH"/>
        </w:rPr>
        <w:tab/>
        <w:t>تعزيز قدرة المنظمات غير الحكومية التي تضطلع بأنشطة المراقبة واعتماد جميع التدابير اللازمة لتمكينها من إجراء زيارات دورية إلى أماكن الاحتجاز.</w:t>
      </w:r>
    </w:p>
    <w:p w:rsidR="0005706C" w:rsidRPr="00A534F1" w:rsidRDefault="0005706C" w:rsidP="00A83CF9">
      <w:pPr>
        <w:pStyle w:val="H23GA"/>
        <w:spacing w:line="360" w:lineRule="exact"/>
        <w:rPr>
          <w:rFonts w:hint="cs"/>
          <w:rtl/>
          <w:lang w:val="fr-CH"/>
        </w:rPr>
      </w:pPr>
      <w:r>
        <w:rPr>
          <w:rFonts w:hint="cs"/>
          <w:rtl/>
          <w:lang w:val="fr-CH"/>
        </w:rPr>
        <w:tab/>
      </w:r>
      <w:r>
        <w:rPr>
          <w:rFonts w:hint="cs"/>
          <w:rtl/>
          <w:lang w:val="fr-CH"/>
        </w:rPr>
        <w:tab/>
      </w:r>
      <w:r w:rsidRPr="00A534F1">
        <w:rPr>
          <w:rFonts w:hint="cs"/>
          <w:rtl/>
          <w:lang w:val="fr-CH"/>
        </w:rPr>
        <w:t xml:space="preserve">البروتوكول الاختياري والآلية الوقائية الوطنية </w:t>
      </w:r>
    </w:p>
    <w:p w:rsidR="0005706C" w:rsidRDefault="009C5D54" w:rsidP="00A83CF9">
      <w:pPr>
        <w:pStyle w:val="SingleTxtGA"/>
        <w:spacing w:line="360" w:lineRule="exact"/>
        <w:rPr>
          <w:rFonts w:hint="cs"/>
          <w:rtl/>
          <w:lang w:val="fr-CH"/>
        </w:rPr>
      </w:pPr>
      <w:r>
        <w:rPr>
          <w:rFonts w:hint="cs"/>
          <w:rtl/>
          <w:lang w:val="fr-CH"/>
        </w:rPr>
        <w:t>(</w:t>
      </w:r>
      <w:r w:rsidR="0005706C">
        <w:rPr>
          <w:rFonts w:hint="cs"/>
          <w:rtl/>
          <w:lang w:val="fr-CH"/>
        </w:rPr>
        <w:t>21</w:t>
      </w:r>
      <w:r>
        <w:rPr>
          <w:rFonts w:hint="cs"/>
          <w:rtl/>
          <w:lang w:val="fr-CH"/>
        </w:rPr>
        <w:t>)</w:t>
      </w:r>
      <w:r w:rsidR="0005706C">
        <w:rPr>
          <w:rFonts w:hint="cs"/>
          <w:rtl/>
          <w:lang w:val="fr-CH"/>
        </w:rPr>
        <w:tab/>
        <w:t>تعرب اللجنة عن أسفها لأن الدولة الطرف لم تنشئ بعد آلية وطنية لمنع التعذيب، وفقاً لأحكام البروتوكول الاختياري للاتفاقية. وفي هذا السياق، تحيط اللجنة علماً بالمعلومات التي قدمها الوفد عن وجود مشروع قانون جديد أعدته وزارة العدل هدفه تعيين أمانة المظالم كآلية وقائية وطنية. غير أن اللجنة تلاحظ أن نص مشروع القانون هذا لا يتضمن ولاية هذه الآلية وصلاحياتها، ويعهد بتنظيمها إلى أمانة المظالم، ولا يتصدى إلى استقلالها المالي إلا بالقول إن "وزارة الاقتصاد والمالية ستدبر الموارد اللازمة (...)، في حدود الموارد المتاحة" (المادة 2).</w:t>
      </w:r>
    </w:p>
    <w:p w:rsidR="0005706C" w:rsidRPr="007A0089" w:rsidRDefault="0005706C" w:rsidP="00A83CF9">
      <w:pPr>
        <w:pStyle w:val="SingleTxtGA"/>
        <w:spacing w:line="360" w:lineRule="exact"/>
        <w:rPr>
          <w:rFonts w:hint="cs"/>
          <w:b/>
          <w:bCs/>
          <w:rtl/>
          <w:lang w:val="fr-CH"/>
        </w:rPr>
      </w:pPr>
      <w:r w:rsidRPr="00484DFC">
        <w:rPr>
          <w:rtl/>
          <w:lang w:val="fr-CH"/>
        </w:rPr>
        <w:tab/>
      </w:r>
      <w:r w:rsidRPr="007A0089">
        <w:rPr>
          <w:rFonts w:hint="cs"/>
          <w:b/>
          <w:bCs/>
          <w:rtl/>
          <w:lang w:val="fr-CH"/>
        </w:rPr>
        <w:t xml:space="preserve">تحث اللجنة الدولة الطرف على إنهاء عملية إنشاء أو تعيين الآلية الوقائية الوطنية وفقاً لما ينص عليه البروتوكول الاختياري للاتفاقية، آخذة في اعتبارها المبادئ التوجيهية بشأن الآليات الوقائية الوطنية (الوثيقة </w:t>
      </w:r>
      <w:r w:rsidRPr="007A0089">
        <w:rPr>
          <w:b/>
          <w:bCs/>
        </w:rPr>
        <w:t>CAT/OP/12/5</w:t>
      </w:r>
      <w:r w:rsidRPr="007A0089">
        <w:rPr>
          <w:rFonts w:hint="cs"/>
          <w:b/>
          <w:bCs/>
          <w:rtl/>
          <w:lang w:val="fr-CH"/>
        </w:rPr>
        <w:t xml:space="preserve"> الفقرات 7 و8 و16). ويجب أن تكفل الدولة الطرف تزويد الآلية الوقائية الوطنية بما يكفي من الموارد لأداء مهامها بفعالية واستقلال كاملين.</w:t>
      </w:r>
    </w:p>
    <w:p w:rsidR="0005706C" w:rsidRPr="007A0089" w:rsidRDefault="0005706C" w:rsidP="00A83CF9">
      <w:pPr>
        <w:pStyle w:val="SingleTxtGA"/>
        <w:spacing w:line="360" w:lineRule="exact"/>
        <w:rPr>
          <w:rFonts w:hint="cs"/>
          <w:b/>
          <w:bCs/>
          <w:rtl/>
          <w:lang w:val="fr-CH"/>
        </w:rPr>
      </w:pPr>
      <w:r w:rsidRPr="007A0089">
        <w:rPr>
          <w:rFonts w:hint="cs"/>
          <w:b/>
          <w:bCs/>
          <w:rtl/>
          <w:lang w:val="fr-CH"/>
        </w:rPr>
        <w:tab/>
        <w:t xml:space="preserve">وتشجع اللجنة الدولة الطرف على أن تأذن بنشر التقرير المتعلق بالزيارة التي قامت بها اللجنة الفرعية لمنع التعذيب إلى بوليفيا في عام 2008، إلى جانب رد السلطات البوليفية على توصيات اللجنة الفرعية المؤرخ 27 تشرين الأول/أكتوبر 2011. </w:t>
      </w:r>
    </w:p>
    <w:p w:rsidR="0005706C" w:rsidRDefault="0005706C" w:rsidP="00A83CF9">
      <w:pPr>
        <w:pStyle w:val="H23GA"/>
        <w:spacing w:line="360" w:lineRule="exact"/>
        <w:rPr>
          <w:rFonts w:hint="cs"/>
          <w:rtl/>
          <w:lang w:val="fr-CH"/>
        </w:rPr>
      </w:pPr>
      <w:r>
        <w:rPr>
          <w:rFonts w:hint="cs"/>
          <w:rtl/>
          <w:lang w:val="fr-CH"/>
        </w:rPr>
        <w:tab/>
      </w:r>
      <w:r>
        <w:rPr>
          <w:rFonts w:hint="cs"/>
          <w:rtl/>
          <w:lang w:val="fr-CH"/>
        </w:rPr>
        <w:tab/>
        <w:t xml:space="preserve">التدريب </w:t>
      </w:r>
    </w:p>
    <w:p w:rsidR="0005706C" w:rsidRDefault="009C5D54" w:rsidP="00A83CF9">
      <w:pPr>
        <w:pStyle w:val="SingleTxtGA"/>
        <w:spacing w:line="360" w:lineRule="exact"/>
        <w:rPr>
          <w:rFonts w:hint="cs"/>
          <w:rtl/>
          <w:lang w:val="fr-CH"/>
        </w:rPr>
      </w:pPr>
      <w:r>
        <w:rPr>
          <w:rFonts w:hint="cs"/>
          <w:rtl/>
          <w:lang w:val="fr-CH"/>
        </w:rPr>
        <w:t>(</w:t>
      </w:r>
      <w:r w:rsidR="0005706C">
        <w:rPr>
          <w:rFonts w:hint="cs"/>
          <w:rtl/>
          <w:lang w:val="fr-CH"/>
        </w:rPr>
        <w:t>22</w:t>
      </w:r>
      <w:r>
        <w:rPr>
          <w:rFonts w:hint="cs"/>
          <w:rtl/>
          <w:lang w:val="fr-CH"/>
        </w:rPr>
        <w:t>)</w:t>
      </w:r>
      <w:r w:rsidR="0005706C">
        <w:rPr>
          <w:rFonts w:hint="cs"/>
          <w:rtl/>
          <w:lang w:val="fr-CH"/>
        </w:rPr>
        <w:tab/>
        <w:t>تحيط اللجنة علماً بتضمين برامج تدريب القوات المسلحة مجموعة تعليمية خاصة بالاتفاقية، لكنها تعرب عن قلقها لأن برامج تدريب أفراد الشرطة لا تتضمن تدريباً محدداً على أحكام الاتفاقية. كما لا تتضمن برامج تدريب القضاة والمدعين العامين وموظفي قطاع الصحة العاملين مع المحتجزين محتويات تعليمية محددة تتوخى تحسين الكشف عن آثار التعذيب البدنية والنفسية وتوثيقها (المادة 10).</w:t>
      </w:r>
    </w:p>
    <w:p w:rsidR="0005706C" w:rsidRPr="007A0089" w:rsidRDefault="0005706C" w:rsidP="00086AA1">
      <w:pPr>
        <w:pStyle w:val="SingleTxtGA"/>
        <w:spacing w:line="360" w:lineRule="exact"/>
        <w:rPr>
          <w:rFonts w:hint="cs"/>
          <w:b/>
          <w:bCs/>
          <w:rtl/>
          <w:lang w:val="fr-CH"/>
        </w:rPr>
      </w:pPr>
      <w:r w:rsidRPr="007A0089">
        <w:rPr>
          <w:rFonts w:hint="cs"/>
          <w:b/>
          <w:bCs/>
          <w:rtl/>
          <w:lang w:val="fr-CH"/>
        </w:rPr>
        <w:tab/>
        <w:t>يجب على الدولة الطرف القيام بما يلي:</w:t>
      </w:r>
    </w:p>
    <w:p w:rsidR="0005706C" w:rsidRPr="007A0089" w:rsidRDefault="0005706C" w:rsidP="00086AA1">
      <w:pPr>
        <w:pStyle w:val="SingleTxtGA"/>
        <w:spacing w:line="360" w:lineRule="exact"/>
        <w:rPr>
          <w:rFonts w:hint="cs"/>
          <w:b/>
          <w:bCs/>
          <w:rtl/>
          <w:lang w:val="fr-CH"/>
        </w:rPr>
      </w:pPr>
      <w:r w:rsidRPr="007A0089">
        <w:rPr>
          <w:rFonts w:hint="cs"/>
          <w:b/>
          <w:bCs/>
          <w:rtl/>
          <w:lang w:val="fr-CH"/>
        </w:rPr>
        <w:tab/>
        <w:t>(أ)</w:t>
      </w:r>
      <w:r w:rsidRPr="007A0089">
        <w:rPr>
          <w:rFonts w:hint="cs"/>
          <w:b/>
          <w:bCs/>
          <w:rtl/>
          <w:lang w:val="fr-CH"/>
        </w:rPr>
        <w:tab/>
        <w:t>إعادة النظر في برامج التدريب على نحو يكفل اطلاع موظفي السجون وحفظ النظام اطلاعاً كاملاً على أحكام الاتفاقية، وعدم التسامح مع المخالفات والتحقيق فيها، ومقاضاة المسؤولين عنها؛</w:t>
      </w:r>
    </w:p>
    <w:p w:rsidR="0005706C" w:rsidRPr="007A0089" w:rsidRDefault="0005706C" w:rsidP="00086AA1">
      <w:pPr>
        <w:pStyle w:val="SingleTxtGA"/>
        <w:spacing w:line="360" w:lineRule="exact"/>
        <w:rPr>
          <w:rFonts w:hint="cs"/>
          <w:b/>
          <w:bCs/>
          <w:rtl/>
          <w:lang w:val="fr-CH"/>
        </w:rPr>
      </w:pPr>
      <w:r w:rsidRPr="007A0089">
        <w:rPr>
          <w:rFonts w:hint="cs"/>
          <w:b/>
          <w:bCs/>
          <w:rtl/>
          <w:lang w:val="fr-CH"/>
        </w:rPr>
        <w:tab/>
        <w:t>(ب)</w:t>
      </w:r>
      <w:r w:rsidRPr="007A0089">
        <w:rPr>
          <w:rFonts w:hint="cs"/>
          <w:b/>
          <w:bCs/>
          <w:rtl/>
          <w:lang w:val="fr-CH"/>
        </w:rPr>
        <w:tab/>
        <w:t xml:space="preserve">تضمين برامج تدريب القضاة </w:t>
      </w:r>
      <w:r>
        <w:rPr>
          <w:rFonts w:hint="cs"/>
          <w:b/>
          <w:bCs/>
          <w:rtl/>
          <w:lang w:val="fr-CH"/>
        </w:rPr>
        <w:t>والمدعين</w:t>
      </w:r>
      <w:r w:rsidRPr="007A0089">
        <w:rPr>
          <w:rFonts w:hint="cs"/>
          <w:b/>
          <w:bCs/>
          <w:rtl/>
          <w:lang w:val="fr-CH"/>
        </w:rPr>
        <w:t xml:space="preserve"> العامين والأطباء الشرعيين وموظفي قطاع الصحة العاملين مع المحتجزين تدريباً خاصاً على استخدام دليل كفاءة التحقيق والتوثيق في حالات التعذيب وغيره من ضروب المعاملة أو العقوبة القاسية أو</w:t>
      </w:r>
      <w:r w:rsidR="009C5D54">
        <w:rPr>
          <w:rFonts w:hint="eastAsia"/>
          <w:b/>
          <w:bCs/>
          <w:rtl/>
          <w:lang w:val="fr-CH"/>
        </w:rPr>
        <w:t> </w:t>
      </w:r>
      <w:r w:rsidRPr="007A0089">
        <w:rPr>
          <w:rFonts w:hint="cs"/>
          <w:b/>
          <w:bCs/>
          <w:rtl/>
          <w:lang w:val="fr-CH"/>
        </w:rPr>
        <w:t>اللاإنسانية أو المهينة (بروتوكول اسطنبول)؛</w:t>
      </w:r>
    </w:p>
    <w:p w:rsidR="0005706C" w:rsidRPr="007A0089" w:rsidRDefault="0005706C" w:rsidP="00086AA1">
      <w:pPr>
        <w:pStyle w:val="SingleTxtGA"/>
        <w:spacing w:line="360" w:lineRule="exact"/>
        <w:rPr>
          <w:rFonts w:hint="cs"/>
          <w:b/>
          <w:bCs/>
          <w:rtl/>
          <w:lang w:val="fr-CH"/>
        </w:rPr>
      </w:pPr>
      <w:r w:rsidRPr="007A0089">
        <w:rPr>
          <w:rFonts w:hint="cs"/>
          <w:b/>
          <w:bCs/>
          <w:rtl/>
          <w:lang w:val="fr-CH"/>
        </w:rPr>
        <w:tab/>
        <w:t>(ج)</w:t>
      </w:r>
      <w:r w:rsidRPr="007A0089">
        <w:rPr>
          <w:rFonts w:hint="cs"/>
          <w:b/>
          <w:bCs/>
          <w:rtl/>
          <w:lang w:val="fr-CH"/>
        </w:rPr>
        <w:tab/>
        <w:t>وضع وتطبيق منهجية لتقييم فعالية برامج التدريب والتعليم في الحد من حالات التعذيب وإساءة المعاملة.</w:t>
      </w:r>
    </w:p>
    <w:p w:rsidR="0005706C" w:rsidRDefault="0005706C" w:rsidP="00086AA1">
      <w:pPr>
        <w:pStyle w:val="H23GA"/>
        <w:spacing w:line="360" w:lineRule="exact"/>
        <w:rPr>
          <w:rFonts w:hint="cs"/>
          <w:rtl/>
          <w:lang w:val="fr-CH"/>
        </w:rPr>
      </w:pPr>
      <w:r>
        <w:rPr>
          <w:rFonts w:hint="cs"/>
          <w:rtl/>
          <w:lang w:val="fr-CH"/>
        </w:rPr>
        <w:tab/>
      </w:r>
      <w:r>
        <w:rPr>
          <w:rFonts w:hint="cs"/>
          <w:rtl/>
          <w:lang w:val="fr-CH"/>
        </w:rPr>
        <w:tab/>
        <w:t>الإجهاض السري</w:t>
      </w:r>
    </w:p>
    <w:p w:rsidR="0005706C" w:rsidRDefault="009C5D54" w:rsidP="00086AA1">
      <w:pPr>
        <w:pStyle w:val="SingleTxtGA"/>
        <w:spacing w:line="360" w:lineRule="exact"/>
        <w:rPr>
          <w:rFonts w:hint="cs"/>
          <w:rtl/>
          <w:lang w:val="fr-CH"/>
        </w:rPr>
      </w:pPr>
      <w:r>
        <w:rPr>
          <w:rFonts w:hint="cs"/>
          <w:rtl/>
          <w:lang w:val="fr-CH"/>
        </w:rPr>
        <w:t>(</w:t>
      </w:r>
      <w:r w:rsidR="0005706C">
        <w:rPr>
          <w:rFonts w:hint="cs"/>
          <w:rtl/>
          <w:lang w:val="fr-CH"/>
        </w:rPr>
        <w:t>23</w:t>
      </w:r>
      <w:r>
        <w:rPr>
          <w:rFonts w:hint="cs"/>
          <w:rtl/>
          <w:lang w:val="fr-CH"/>
        </w:rPr>
        <w:t>)</w:t>
      </w:r>
      <w:r w:rsidR="0005706C">
        <w:rPr>
          <w:rFonts w:hint="cs"/>
          <w:rtl/>
          <w:lang w:val="fr-CH"/>
        </w:rPr>
        <w:tab/>
        <w:t>تحيط اللجنة علماً بأن الحقوق الجنسية والإنجابية معترف بها صراحة في المادة 66 من الدستور، وبأن الدولة الطرف ملزمة بموجب المادة 20-أولاً-7 من القانون رقم 348 "باحترام القرارات التي تتخذها النساء ضحايا العنف في سياق ممارسة حقوقهن الجنسية والإنجابية ضمن الإطار التشريعي القائم". ومع ذلك، تلاحظ اللجنة بقلق أن المادة 266 (الإجهاض غير الشرعي) من قانون العقوبات تُلزم النساء ضحايا العنف اللاتي يقررن الإجهاض بالحصول على موافقة قضائية. ويستنتج من المعلومات التي تلقتها اللجنة بخصوص الاستنكاف الضميري في الجهاز القضائي أن هذا المطلب يشكل في حالات كثيرة عقبة كأداء أمام هؤلاء النساء، ما يدفعهن إلى اللجوء إلى الإجهاض السري والتعرض لما قد ينجم عنه من مخاطر صحية (المادتان 2 و16).</w:t>
      </w:r>
    </w:p>
    <w:p w:rsidR="0005706C" w:rsidRPr="007A0089" w:rsidRDefault="0005706C" w:rsidP="00086AA1">
      <w:pPr>
        <w:pStyle w:val="SingleTxtGA"/>
        <w:spacing w:line="360" w:lineRule="exact"/>
        <w:rPr>
          <w:rFonts w:hint="cs"/>
          <w:b/>
          <w:bCs/>
          <w:rtl/>
          <w:lang w:val="fr-CH"/>
        </w:rPr>
      </w:pPr>
      <w:r w:rsidRPr="007A0089">
        <w:rPr>
          <w:b/>
          <w:bCs/>
          <w:rtl/>
          <w:lang w:val="fr-CH"/>
        </w:rPr>
        <w:tab/>
      </w:r>
      <w:r w:rsidRPr="007A0089">
        <w:rPr>
          <w:rFonts w:hint="cs"/>
          <w:b/>
          <w:bCs/>
          <w:rtl/>
          <w:lang w:val="fr-CH"/>
        </w:rPr>
        <w:t xml:space="preserve">يجب أن تكفل الدولة الطرف حصول النساء ضحايا العنف اللاتي يقررن الإجهاض طوعاً على خدمات الإجهاض المأمون وإزالة أية عقبات لا لزوم لها في هذا الصدد. وتشير اللجنة إلى محتوى التوصيات التي قدمتها إلى الدولة الطرف لجنة القضاء على التمييز ضد المرأة (الوثيقة </w:t>
      </w:r>
      <w:r w:rsidRPr="007A0089">
        <w:rPr>
          <w:b/>
          <w:bCs/>
        </w:rPr>
        <w:t>CEDAW/C/BOL/CO/4</w:t>
      </w:r>
      <w:r w:rsidRPr="007A0089">
        <w:rPr>
          <w:rFonts w:hint="cs"/>
          <w:b/>
          <w:bCs/>
          <w:rtl/>
          <w:lang w:val="fr-CH"/>
        </w:rPr>
        <w:t>، الفقرتان 42 و43). وتحث لجنة مناهضة التعذيب الدولة الطرف على تقييم التشريعات السارية، والمتسمة بصرامة شديدة تجاه الإجهاض، وتأثيرها على صحة النساء.</w:t>
      </w:r>
    </w:p>
    <w:p w:rsidR="0005706C" w:rsidRDefault="0005706C" w:rsidP="00086AA1">
      <w:pPr>
        <w:pStyle w:val="H23GA"/>
        <w:spacing w:line="360" w:lineRule="exact"/>
        <w:rPr>
          <w:rFonts w:hint="cs"/>
          <w:rtl/>
          <w:lang w:val="fr-CH"/>
        </w:rPr>
      </w:pPr>
      <w:r>
        <w:rPr>
          <w:rtl/>
          <w:lang w:val="fr-CH"/>
        </w:rPr>
        <w:tab/>
      </w:r>
      <w:r>
        <w:rPr>
          <w:rFonts w:hint="cs"/>
          <w:rtl/>
          <w:lang w:val="fr-CH"/>
        </w:rPr>
        <w:tab/>
        <w:t>العمل الجبري والسخرة</w:t>
      </w:r>
    </w:p>
    <w:p w:rsidR="0005706C" w:rsidRDefault="009C5D54" w:rsidP="00086AA1">
      <w:pPr>
        <w:pStyle w:val="SingleTxtGA"/>
        <w:spacing w:line="360" w:lineRule="exact"/>
        <w:rPr>
          <w:rFonts w:hint="cs"/>
          <w:rtl/>
          <w:lang w:val="fr-CH"/>
        </w:rPr>
      </w:pPr>
      <w:r>
        <w:rPr>
          <w:rFonts w:hint="cs"/>
          <w:rtl/>
          <w:lang w:val="fr-CH"/>
        </w:rPr>
        <w:t>(</w:t>
      </w:r>
      <w:r w:rsidR="0005706C">
        <w:rPr>
          <w:rFonts w:hint="cs"/>
          <w:rtl/>
          <w:lang w:val="fr-CH"/>
        </w:rPr>
        <w:t>24</w:t>
      </w:r>
      <w:r>
        <w:rPr>
          <w:rFonts w:hint="cs"/>
          <w:rtl/>
          <w:lang w:val="fr-CH"/>
        </w:rPr>
        <w:t>)</w:t>
      </w:r>
      <w:r w:rsidR="0005706C">
        <w:rPr>
          <w:rFonts w:hint="cs"/>
          <w:rtl/>
          <w:lang w:val="fr-CH"/>
        </w:rPr>
        <w:tab/>
        <w:t>تعرب اللجنة عن أسفها لقلة المعلومات التي وردتها عن تطبيق الخطة المؤقتة المشتركة بين الوزارات من أجل دعم شعب الغواراني والقضاء على ما يعانيه من حالات العمل الجبري والسخرة (المادتان 2 و16).</w:t>
      </w:r>
    </w:p>
    <w:p w:rsidR="0005706C" w:rsidRPr="007A0089" w:rsidRDefault="0005706C" w:rsidP="00086AA1">
      <w:pPr>
        <w:pStyle w:val="SingleTxtGA"/>
        <w:spacing w:line="370" w:lineRule="exact"/>
        <w:rPr>
          <w:rFonts w:hint="cs"/>
          <w:b/>
          <w:bCs/>
          <w:rtl/>
          <w:lang w:val="fr-CH"/>
        </w:rPr>
      </w:pPr>
      <w:r>
        <w:rPr>
          <w:rtl/>
          <w:lang w:val="fr-CH"/>
        </w:rPr>
        <w:tab/>
      </w:r>
      <w:r w:rsidRPr="007A0089">
        <w:rPr>
          <w:rFonts w:hint="cs"/>
          <w:b/>
          <w:bCs/>
          <w:rtl/>
          <w:lang w:val="fr-CH"/>
        </w:rPr>
        <w:t>تحث اللجنة الدولة الطرف على مضاعفة جهودها في سبيل القضاء على العمل الجبري والسخرة وعلى مواصلة جهودها الرامية إلى تنفيذ الاتفاقات المبرمة بين السلطات الحكومية وممثلي شعب الغواراني في هذا المجال.</w:t>
      </w:r>
    </w:p>
    <w:p w:rsidR="0005706C" w:rsidRDefault="0005706C" w:rsidP="00086AA1">
      <w:pPr>
        <w:pStyle w:val="H23GA"/>
        <w:spacing w:line="370" w:lineRule="exact"/>
        <w:rPr>
          <w:rFonts w:hint="cs"/>
          <w:rtl/>
          <w:lang w:val="fr-CH"/>
        </w:rPr>
      </w:pPr>
      <w:r>
        <w:rPr>
          <w:rtl/>
          <w:lang w:val="fr-CH"/>
        </w:rPr>
        <w:tab/>
      </w:r>
      <w:r>
        <w:rPr>
          <w:rFonts w:hint="cs"/>
          <w:rtl/>
          <w:lang w:val="fr-CH"/>
        </w:rPr>
        <w:tab/>
        <w:t>مسائل أخرى</w:t>
      </w:r>
    </w:p>
    <w:p w:rsidR="0005706C" w:rsidRDefault="009C5D54" w:rsidP="00086AA1">
      <w:pPr>
        <w:pStyle w:val="SingleTxtGA"/>
        <w:spacing w:line="370" w:lineRule="exact"/>
        <w:rPr>
          <w:rFonts w:hint="cs"/>
          <w:rtl/>
          <w:lang w:val="fr-CH"/>
        </w:rPr>
      </w:pPr>
      <w:r>
        <w:rPr>
          <w:rFonts w:hint="cs"/>
          <w:rtl/>
          <w:lang w:val="fr-CH"/>
        </w:rPr>
        <w:t>(</w:t>
      </w:r>
      <w:r w:rsidR="0005706C">
        <w:rPr>
          <w:rFonts w:hint="cs"/>
          <w:rtl/>
          <w:lang w:val="fr-CH"/>
        </w:rPr>
        <w:t>25</w:t>
      </w:r>
      <w:r>
        <w:rPr>
          <w:rFonts w:hint="cs"/>
          <w:rtl/>
          <w:lang w:val="fr-CH"/>
        </w:rPr>
        <w:t>)</w:t>
      </w:r>
      <w:r w:rsidR="0005706C">
        <w:rPr>
          <w:rFonts w:hint="cs"/>
          <w:rtl/>
          <w:lang w:val="fr-CH"/>
        </w:rPr>
        <w:tab/>
        <w:t>تدعو اللجنة الدولة الطرف إلى أن تودع لدى الأمين العام للأمم المتحدة صك تصديقها على البروتوكول الاختياري الثاني الملحق بالعهد الدولي الخاص بالحقوق المدنية والسياسية والهادف إلى إلغاء عقوبة الإعدام.</w:t>
      </w:r>
    </w:p>
    <w:p w:rsidR="0005706C" w:rsidRDefault="009C5D54" w:rsidP="00086AA1">
      <w:pPr>
        <w:pStyle w:val="SingleTxtGA"/>
        <w:spacing w:line="370" w:lineRule="exact"/>
        <w:rPr>
          <w:rFonts w:hint="cs"/>
          <w:rtl/>
          <w:lang w:val="fr-CH"/>
        </w:rPr>
      </w:pPr>
      <w:r>
        <w:rPr>
          <w:rFonts w:hint="cs"/>
          <w:rtl/>
          <w:lang w:val="fr-CH"/>
        </w:rPr>
        <w:t>(</w:t>
      </w:r>
      <w:r w:rsidR="0005706C">
        <w:rPr>
          <w:rFonts w:hint="cs"/>
          <w:rtl/>
          <w:lang w:val="fr-CH"/>
        </w:rPr>
        <w:t>26</w:t>
      </w:r>
      <w:r>
        <w:rPr>
          <w:rFonts w:hint="cs"/>
          <w:rtl/>
          <w:lang w:val="fr-CH"/>
        </w:rPr>
        <w:t>)</w:t>
      </w:r>
      <w:r w:rsidR="0005706C">
        <w:rPr>
          <w:rFonts w:hint="cs"/>
          <w:rtl/>
          <w:lang w:val="fr-CH"/>
        </w:rPr>
        <w:tab/>
        <w:t>وتدعى الدولة الطرف إلى نشر التقرير المقدم إلى اللجنة وهذه الملاحظات الختامية على نطاق واسع وبجميع اللغات المناسبة عبر المواقع الشبكية الرسمية ووسائط الإعلام والمنظمات غير الحكومية.</w:t>
      </w:r>
    </w:p>
    <w:p w:rsidR="0005706C" w:rsidRDefault="009C5D54" w:rsidP="00086AA1">
      <w:pPr>
        <w:pStyle w:val="SingleTxtGA"/>
        <w:spacing w:line="370" w:lineRule="exact"/>
        <w:rPr>
          <w:rFonts w:hint="cs"/>
          <w:rtl/>
          <w:lang w:val="fr-CH"/>
        </w:rPr>
      </w:pPr>
      <w:r>
        <w:rPr>
          <w:rFonts w:hint="cs"/>
          <w:rtl/>
          <w:lang w:val="fr-CH"/>
        </w:rPr>
        <w:t>(</w:t>
      </w:r>
      <w:r w:rsidR="0005706C">
        <w:rPr>
          <w:rFonts w:hint="cs"/>
          <w:rtl/>
          <w:lang w:val="fr-CH"/>
        </w:rPr>
        <w:t>27</w:t>
      </w:r>
      <w:r>
        <w:rPr>
          <w:rFonts w:hint="cs"/>
          <w:rtl/>
          <w:lang w:val="fr-CH"/>
        </w:rPr>
        <w:t>)</w:t>
      </w:r>
      <w:r w:rsidR="0005706C">
        <w:rPr>
          <w:rFonts w:hint="cs"/>
          <w:rtl/>
          <w:lang w:val="fr-CH"/>
        </w:rPr>
        <w:tab/>
        <w:t>وتطلب اللجنة إلى الدولة الطرف موافاتها، بحلول 31 أيار/مايو 2014، بمعلومات عن متابعة توصياتها الواردة في الفقرات 9(ب) و11(د) و13(ج) من هذه الوثيقة بخصوص المسائل التالية: (أ) كفالة الضمانات القانونية الأساسية ال</w:t>
      </w:r>
      <w:r>
        <w:rPr>
          <w:rFonts w:hint="cs"/>
          <w:rtl/>
          <w:lang w:val="fr-CH"/>
        </w:rPr>
        <w:t xml:space="preserve">متعلقة بالمحتجزين وتعزيزها؛ </w:t>
      </w:r>
      <w:r w:rsidR="0005706C">
        <w:rPr>
          <w:rFonts w:hint="cs"/>
          <w:rtl/>
          <w:lang w:val="fr-CH"/>
        </w:rPr>
        <w:t>و(ب)</w:t>
      </w:r>
      <w:r>
        <w:rPr>
          <w:rFonts w:hint="eastAsia"/>
          <w:rtl/>
          <w:lang w:val="fr-CH"/>
        </w:rPr>
        <w:t> </w:t>
      </w:r>
      <w:r w:rsidR="0005706C">
        <w:rPr>
          <w:rFonts w:hint="cs"/>
          <w:rtl/>
          <w:lang w:val="fr-CH"/>
        </w:rPr>
        <w:t>إجراء تحقيقات سريعة ونزيهة وفعالة؛ و(ج) ملاحقة المشتبه في ارتكابهم أعمال تعذيب أو سوء معاملة ومعاقبة من يثبت تورطهم فيها. وعلاوة على ذلك، تطلب اللجنة تقديم معلومات عن التدابير المتخذة لمنع الاعتداء الجنسي على الأطفال في المؤسسات التعليمية، والتصدي لهذه الحالات على النحو المناسب،</w:t>
      </w:r>
      <w:r>
        <w:rPr>
          <w:rFonts w:hint="cs"/>
          <w:rtl/>
          <w:lang w:val="fr-CH"/>
        </w:rPr>
        <w:t xml:space="preserve"> عملاً بالتوصيات الواردة في </w:t>
      </w:r>
      <w:r w:rsidR="0005706C">
        <w:rPr>
          <w:rFonts w:hint="cs"/>
          <w:rtl/>
          <w:lang w:val="fr-CH"/>
        </w:rPr>
        <w:t>الفقرة</w:t>
      </w:r>
      <w:r>
        <w:rPr>
          <w:rFonts w:hint="eastAsia"/>
          <w:rtl/>
          <w:lang w:val="fr-CH"/>
        </w:rPr>
        <w:t> </w:t>
      </w:r>
      <w:r w:rsidR="0005706C">
        <w:rPr>
          <w:rFonts w:hint="cs"/>
          <w:rtl/>
          <w:lang w:val="fr-CH"/>
        </w:rPr>
        <w:t>16(أ) من هذه الوثيقة.</w:t>
      </w:r>
    </w:p>
    <w:p w:rsidR="0005706C" w:rsidRDefault="009C5D54" w:rsidP="00086AA1">
      <w:pPr>
        <w:pStyle w:val="SingleTxtGA"/>
        <w:spacing w:line="370" w:lineRule="exact"/>
        <w:rPr>
          <w:rFonts w:hint="cs"/>
          <w:rtl/>
        </w:rPr>
      </w:pPr>
      <w:r>
        <w:rPr>
          <w:rFonts w:hint="cs"/>
          <w:rtl/>
          <w:lang w:val="fr-CH"/>
        </w:rPr>
        <w:t>(</w:t>
      </w:r>
      <w:r w:rsidR="0005706C">
        <w:rPr>
          <w:rFonts w:hint="cs"/>
          <w:rtl/>
          <w:lang w:val="fr-CH"/>
        </w:rPr>
        <w:t>28</w:t>
      </w:r>
      <w:r>
        <w:rPr>
          <w:rFonts w:hint="cs"/>
          <w:rtl/>
          <w:lang w:val="fr-CH"/>
        </w:rPr>
        <w:t>)</w:t>
      </w:r>
      <w:r w:rsidR="0005706C">
        <w:rPr>
          <w:rFonts w:hint="cs"/>
          <w:rtl/>
          <w:lang w:val="fr-CH"/>
        </w:rPr>
        <w:tab/>
        <w:t xml:space="preserve">وتدعو اللجنة الدولة الطرف إلى تقديم تقريرها الدوري الثالث في أجل أقصاه 31 أيار/مايو 2017. ولهذا الغرض، تدعوها إلى أن تقبل </w:t>
      </w:r>
      <w:r>
        <w:rPr>
          <w:rFonts w:hint="cs"/>
          <w:rtl/>
          <w:lang w:val="fr-CH"/>
        </w:rPr>
        <w:t xml:space="preserve">الخضوع، قبل تاريخ 31 أيار/ </w:t>
      </w:r>
      <w:r w:rsidR="0005706C">
        <w:rPr>
          <w:rFonts w:hint="cs"/>
          <w:rtl/>
          <w:lang w:val="fr-CH"/>
        </w:rPr>
        <w:t>مايو</w:t>
      </w:r>
      <w:r>
        <w:rPr>
          <w:rFonts w:hint="eastAsia"/>
          <w:rtl/>
          <w:lang w:val="fr-CH"/>
        </w:rPr>
        <w:t> </w:t>
      </w:r>
      <w:r w:rsidR="0005706C">
        <w:rPr>
          <w:rFonts w:hint="cs"/>
          <w:rtl/>
          <w:lang w:val="fr-CH"/>
        </w:rPr>
        <w:t>2014، للإجراء الاختياري لتقديم التقارير، الذي تحيل بموجبه اللجنة إلى الدولة الطرف قائمة</w:t>
      </w:r>
      <w:r w:rsidR="009912C3">
        <w:rPr>
          <w:rFonts w:hint="cs"/>
          <w:rtl/>
          <w:lang w:val="fr-CH"/>
        </w:rPr>
        <w:t xml:space="preserve"> قضايا</w:t>
      </w:r>
      <w:r w:rsidR="0005706C">
        <w:rPr>
          <w:rFonts w:hint="cs"/>
          <w:rtl/>
          <w:lang w:val="fr-CH"/>
        </w:rPr>
        <w:t xml:space="preserve"> يتعين التصدي لها قبل تقديم التقرير. وستشكل ردود الدولة الطرف على قائمة </w:t>
      </w:r>
      <w:r w:rsidR="009912C3">
        <w:rPr>
          <w:rFonts w:hint="cs"/>
          <w:rtl/>
          <w:lang w:val="fr-CH"/>
        </w:rPr>
        <w:t>القضايا</w:t>
      </w:r>
      <w:r w:rsidR="0005706C">
        <w:rPr>
          <w:rFonts w:hint="cs"/>
          <w:rtl/>
          <w:lang w:val="fr-CH"/>
        </w:rPr>
        <w:t>، بموجب المادة 19 من الاتفاقية تقريرها الدوري المقبل.</w:t>
      </w:r>
    </w:p>
    <w:p w:rsidR="00EE5D7D" w:rsidRPr="009C5D54" w:rsidRDefault="00FA309D" w:rsidP="00086AA1">
      <w:pPr>
        <w:pStyle w:val="SingleTxtGA"/>
        <w:keepNext/>
        <w:keepLines/>
        <w:spacing w:line="370" w:lineRule="exact"/>
        <w:rPr>
          <w:rFonts w:hint="cs"/>
          <w:b/>
          <w:bCs/>
          <w:rtl/>
        </w:rPr>
      </w:pPr>
      <w:r>
        <w:rPr>
          <w:rFonts w:hint="cs"/>
          <w:rtl/>
        </w:rPr>
        <w:t>69-</w:t>
      </w:r>
      <w:r w:rsidR="009C5D54">
        <w:rPr>
          <w:rFonts w:hint="cs"/>
          <w:rtl/>
        </w:rPr>
        <w:tab/>
      </w:r>
      <w:r w:rsidR="00EE5D7D" w:rsidRPr="009C5D54">
        <w:rPr>
          <w:rFonts w:hint="cs"/>
          <w:b/>
          <w:bCs/>
          <w:rtl/>
        </w:rPr>
        <w:t>إستونيا</w:t>
      </w:r>
    </w:p>
    <w:p w:rsidR="009929D8" w:rsidRPr="009607B3" w:rsidRDefault="009C5D54" w:rsidP="00086AA1">
      <w:pPr>
        <w:pStyle w:val="SingleTxtGA"/>
        <w:spacing w:line="370" w:lineRule="exact"/>
        <w:rPr>
          <w:rFonts w:hint="cs"/>
          <w:rtl/>
        </w:rPr>
      </w:pPr>
      <w:r>
        <w:rPr>
          <w:rFonts w:hint="cs"/>
          <w:rtl/>
        </w:rPr>
        <w:t>(</w:t>
      </w:r>
      <w:r w:rsidR="009929D8">
        <w:rPr>
          <w:rFonts w:hint="cs"/>
          <w:rtl/>
        </w:rPr>
        <w:t>1</w:t>
      </w:r>
      <w:r>
        <w:rPr>
          <w:rFonts w:hint="cs"/>
          <w:rtl/>
        </w:rPr>
        <w:t>)</w:t>
      </w:r>
      <w:r w:rsidR="009929D8">
        <w:rPr>
          <w:rFonts w:hint="cs"/>
          <w:rtl/>
        </w:rPr>
        <w:tab/>
      </w:r>
      <w:r w:rsidR="009929D8" w:rsidRPr="009607B3">
        <w:rPr>
          <w:rtl/>
        </w:rPr>
        <w:t xml:space="preserve">نظرت لجنة مناهضة التعذيب في التقرير الدوري الخامس المقدم </w:t>
      </w:r>
      <w:r w:rsidR="009929D8">
        <w:rPr>
          <w:rFonts w:hint="cs"/>
          <w:rtl/>
        </w:rPr>
        <w:t>من</w:t>
      </w:r>
      <w:r w:rsidR="009929D8" w:rsidRPr="009607B3">
        <w:rPr>
          <w:rtl/>
        </w:rPr>
        <w:t xml:space="preserve"> إستونيا (</w:t>
      </w:r>
      <w:r w:rsidR="009929D8" w:rsidRPr="009607B3">
        <w:t>CAT/C/EST/5</w:t>
      </w:r>
      <w:r w:rsidR="009929D8" w:rsidRPr="009607B3">
        <w:rPr>
          <w:rtl/>
        </w:rPr>
        <w:t>) في جلستيها 1154 و1157، المعقودتين في 22 و23 أيار/مايو 2013 (</w:t>
      </w:r>
      <w:r w:rsidR="009929D8" w:rsidRPr="009607B3">
        <w:t>CAT/C/SR.1154</w:t>
      </w:r>
      <w:r w:rsidR="009929D8" w:rsidRPr="009607B3">
        <w:rPr>
          <w:rtl/>
        </w:rPr>
        <w:t xml:space="preserve"> و</w:t>
      </w:r>
      <w:r w:rsidR="009929D8" w:rsidRPr="009607B3">
        <w:t>CAT/C/SR.1157</w:t>
      </w:r>
      <w:r w:rsidR="009929D8" w:rsidRPr="009607B3">
        <w:rPr>
          <w:rtl/>
        </w:rPr>
        <w:t>)، واعتمدت الملاحظات الختامية التالية في جلستها</w:t>
      </w:r>
      <w:r w:rsidR="009929D8">
        <w:rPr>
          <w:rFonts w:hint="cs"/>
          <w:rtl/>
        </w:rPr>
        <w:t> </w:t>
      </w:r>
      <w:r w:rsidR="009929D8" w:rsidRPr="009607B3">
        <w:rPr>
          <w:rtl/>
        </w:rPr>
        <w:t>1166 (</w:t>
      </w:r>
      <w:r w:rsidR="009929D8" w:rsidRPr="009607B3">
        <w:t>CAT/C/SR.1166</w:t>
      </w:r>
      <w:r w:rsidR="009929D8" w:rsidRPr="009607B3">
        <w:rPr>
          <w:rtl/>
        </w:rPr>
        <w:t>)</w:t>
      </w:r>
      <w:r w:rsidR="009929D8">
        <w:rPr>
          <w:rtl/>
        </w:rPr>
        <w:t xml:space="preserve"> المعقودة في 30 أيار/مايو 2013.</w:t>
      </w:r>
    </w:p>
    <w:p w:rsidR="009929D8" w:rsidRPr="00996FE3" w:rsidRDefault="00A83CF9" w:rsidP="00A83CF9">
      <w:pPr>
        <w:pStyle w:val="H23GA"/>
        <w:tabs>
          <w:tab w:val="left" w:pos="1954"/>
        </w:tabs>
        <w:rPr>
          <w:rFonts w:hint="cs"/>
          <w:rtl/>
        </w:rPr>
      </w:pPr>
      <w:r>
        <w:rPr>
          <w:rFonts w:hint="cs"/>
          <w:rtl/>
        </w:rPr>
        <w:tab/>
      </w:r>
      <w:r>
        <w:rPr>
          <w:rFonts w:hint="cs"/>
          <w:rtl/>
        </w:rPr>
        <w:tab/>
      </w:r>
      <w:r w:rsidR="009929D8" w:rsidRPr="00996FE3">
        <w:rPr>
          <w:rtl/>
        </w:rPr>
        <w:t>ألف-</w:t>
      </w:r>
      <w:r w:rsidR="009929D8" w:rsidRPr="00996FE3">
        <w:rPr>
          <w:rtl/>
        </w:rPr>
        <w:tab/>
        <w:t>مقدمة</w:t>
      </w:r>
    </w:p>
    <w:p w:rsidR="009929D8" w:rsidRPr="009607B3" w:rsidRDefault="006C307C" w:rsidP="00A83CF9">
      <w:pPr>
        <w:pStyle w:val="SingleTxtGA"/>
        <w:rPr>
          <w:rtl/>
        </w:rPr>
      </w:pPr>
      <w:r>
        <w:rPr>
          <w:rFonts w:hint="cs"/>
          <w:rtl/>
        </w:rPr>
        <w:t>(2)</w:t>
      </w:r>
      <w:r w:rsidR="009929D8">
        <w:rPr>
          <w:rFonts w:hint="cs"/>
          <w:rtl/>
        </w:rPr>
        <w:tab/>
      </w:r>
      <w:r w:rsidR="009929D8" w:rsidRPr="009607B3">
        <w:rPr>
          <w:rtl/>
        </w:rPr>
        <w:t>تعرب اللجنة عن ارتياحها لموافقة الدولة الطرف على الإجراء الاختياري لتقديم التقارير ولتقديم تقريرها الدوري الخامس في الوقت المناسب بتقد</w:t>
      </w:r>
      <w:r w:rsidR="009929D8">
        <w:rPr>
          <w:rFonts w:hint="cs"/>
          <w:rtl/>
        </w:rPr>
        <w:t>ي</w:t>
      </w:r>
      <w:r w:rsidR="009929D8" w:rsidRPr="009607B3">
        <w:rPr>
          <w:rtl/>
        </w:rPr>
        <w:t>م ردود على قائمة</w:t>
      </w:r>
      <w:r w:rsidR="009912C3">
        <w:rPr>
          <w:rFonts w:hint="cs"/>
          <w:rtl/>
        </w:rPr>
        <w:t xml:space="preserve"> القضايا</w:t>
      </w:r>
      <w:r w:rsidR="009929D8" w:rsidRPr="009607B3">
        <w:rPr>
          <w:rtl/>
        </w:rPr>
        <w:t xml:space="preserve"> (</w:t>
      </w:r>
      <w:r w:rsidR="009929D8" w:rsidRPr="009607B3">
        <w:t>CAT/C/EST/Q/5</w:t>
      </w:r>
      <w:r w:rsidR="009929D8" w:rsidRPr="009607B3">
        <w:rPr>
          <w:rtl/>
        </w:rPr>
        <w:t xml:space="preserve">)، مما </w:t>
      </w:r>
      <w:r w:rsidR="009929D8">
        <w:rPr>
          <w:rFonts w:hint="cs"/>
          <w:rtl/>
        </w:rPr>
        <w:t>يسمح بالتركيز على مواضيع معينة عند</w:t>
      </w:r>
      <w:r w:rsidR="009929D8" w:rsidRPr="009607B3">
        <w:rPr>
          <w:rtl/>
        </w:rPr>
        <w:t xml:space="preserve"> النظر في التقرير وكذلك </w:t>
      </w:r>
      <w:r w:rsidR="009929D8">
        <w:rPr>
          <w:rFonts w:hint="cs"/>
          <w:rtl/>
        </w:rPr>
        <w:t>خلال</w:t>
      </w:r>
      <w:r w:rsidR="009929D8" w:rsidRPr="009607B3">
        <w:rPr>
          <w:rtl/>
        </w:rPr>
        <w:t xml:space="preserve"> الحوار مع الوفد. </w:t>
      </w:r>
    </w:p>
    <w:p w:rsidR="009929D8" w:rsidRDefault="006C307C" w:rsidP="00A83CF9">
      <w:pPr>
        <w:pStyle w:val="SingleTxtGA"/>
        <w:rPr>
          <w:rFonts w:hint="cs"/>
          <w:rtl/>
        </w:rPr>
      </w:pPr>
      <w:r>
        <w:rPr>
          <w:rFonts w:hint="cs"/>
          <w:rtl/>
        </w:rPr>
        <w:t>(3)</w:t>
      </w:r>
      <w:r w:rsidR="009929D8">
        <w:rPr>
          <w:rFonts w:hint="cs"/>
          <w:rtl/>
        </w:rPr>
        <w:tab/>
      </w:r>
      <w:r w:rsidR="009929D8" w:rsidRPr="009607B3">
        <w:rPr>
          <w:rtl/>
        </w:rPr>
        <w:t xml:space="preserve">وتعرب اللجنة عن ارتياحها </w:t>
      </w:r>
      <w:r w:rsidR="009929D8">
        <w:rPr>
          <w:rFonts w:hint="cs"/>
          <w:rtl/>
        </w:rPr>
        <w:t xml:space="preserve">أيضاً </w:t>
      </w:r>
      <w:r w:rsidR="009929D8" w:rsidRPr="009607B3">
        <w:rPr>
          <w:rtl/>
        </w:rPr>
        <w:t xml:space="preserve">للحوار المفتوح والبناء مع وفد الدولة الطرف </w:t>
      </w:r>
      <w:r w:rsidR="009929D8">
        <w:rPr>
          <w:rtl/>
        </w:rPr>
        <w:t xml:space="preserve">رفيع المستوى وللمعلومات </w:t>
      </w:r>
      <w:r w:rsidR="009929D8" w:rsidRPr="009607B3">
        <w:rPr>
          <w:rtl/>
        </w:rPr>
        <w:t xml:space="preserve">الإضافية </w:t>
      </w:r>
      <w:r w:rsidR="009929D8">
        <w:rPr>
          <w:rFonts w:hint="cs"/>
          <w:rtl/>
        </w:rPr>
        <w:t xml:space="preserve">المفصلة </w:t>
      </w:r>
      <w:r w:rsidR="009929D8" w:rsidRPr="009607B3">
        <w:rPr>
          <w:rtl/>
        </w:rPr>
        <w:t>التي قدمها</w:t>
      </w:r>
      <w:r w:rsidR="009929D8">
        <w:rPr>
          <w:rtl/>
        </w:rPr>
        <w:t>.</w:t>
      </w:r>
    </w:p>
    <w:p w:rsidR="009929D8" w:rsidRPr="006C307C" w:rsidRDefault="00A83CF9" w:rsidP="00A83CF9">
      <w:pPr>
        <w:pStyle w:val="H23GA"/>
        <w:tabs>
          <w:tab w:val="left" w:pos="1940"/>
        </w:tabs>
        <w:rPr>
          <w:rtl/>
        </w:rPr>
      </w:pPr>
      <w:r>
        <w:rPr>
          <w:rFonts w:hint="cs"/>
          <w:rtl/>
        </w:rPr>
        <w:tab/>
      </w:r>
      <w:r>
        <w:rPr>
          <w:rFonts w:hint="cs"/>
          <w:rtl/>
        </w:rPr>
        <w:tab/>
      </w:r>
      <w:r w:rsidR="009929D8" w:rsidRPr="006C307C">
        <w:rPr>
          <w:rtl/>
        </w:rPr>
        <w:t>باء-</w:t>
      </w:r>
      <w:r w:rsidR="009929D8" w:rsidRPr="006C307C">
        <w:rPr>
          <w:rtl/>
        </w:rPr>
        <w:tab/>
        <w:t>الجوانب الإيجابية</w:t>
      </w:r>
    </w:p>
    <w:p w:rsidR="009929D8" w:rsidRPr="009607B3" w:rsidRDefault="006C307C" w:rsidP="00A83CF9">
      <w:pPr>
        <w:pStyle w:val="SingleTxtGA"/>
        <w:rPr>
          <w:rtl/>
        </w:rPr>
      </w:pPr>
      <w:r>
        <w:rPr>
          <w:rFonts w:hint="cs"/>
          <w:rtl/>
        </w:rPr>
        <w:t>(4)</w:t>
      </w:r>
      <w:r w:rsidR="009929D8">
        <w:rPr>
          <w:rFonts w:hint="cs"/>
          <w:rtl/>
        </w:rPr>
        <w:tab/>
      </w:r>
      <w:r w:rsidR="009929D8" w:rsidRPr="009607B3">
        <w:rPr>
          <w:rtl/>
        </w:rPr>
        <w:t>ترحب اللجنة بتصديق الدولة الطرف على الصكوك الدولية التالية أو انضمامها إليها، منذ النظر في تقريرها الدوري الرابع:</w:t>
      </w:r>
    </w:p>
    <w:p w:rsidR="009929D8" w:rsidRPr="009607B3" w:rsidRDefault="009929D8" w:rsidP="00A83CF9">
      <w:pPr>
        <w:pStyle w:val="SingleTxtGA"/>
        <w:rPr>
          <w:rFonts w:hint="cs"/>
          <w:rtl/>
        </w:rPr>
      </w:pPr>
      <w:r>
        <w:rPr>
          <w:rtl/>
        </w:rPr>
        <w:tab/>
      </w:r>
      <w:r>
        <w:rPr>
          <w:rFonts w:hint="cs"/>
          <w:rtl/>
        </w:rPr>
        <w:t>(أ)</w:t>
      </w:r>
      <w:r>
        <w:rPr>
          <w:rFonts w:hint="cs"/>
          <w:rtl/>
        </w:rPr>
        <w:tab/>
      </w:r>
      <w:r w:rsidRPr="009607B3">
        <w:rPr>
          <w:rtl/>
        </w:rPr>
        <w:t>اتفاقية حقوق الأشخاص ذوي الإعاقة، في 30 أيار/مايو 2012</w:t>
      </w:r>
      <w:r>
        <w:rPr>
          <w:rFonts w:hint="cs"/>
          <w:rtl/>
        </w:rPr>
        <w:t>؛</w:t>
      </w:r>
    </w:p>
    <w:p w:rsidR="009929D8" w:rsidRPr="009607B3" w:rsidRDefault="009929D8" w:rsidP="00A83CF9">
      <w:pPr>
        <w:pStyle w:val="SingleTxtGA"/>
        <w:spacing w:line="370" w:lineRule="exact"/>
        <w:rPr>
          <w:rtl/>
        </w:rPr>
      </w:pPr>
      <w:r>
        <w:rPr>
          <w:rtl/>
        </w:rPr>
        <w:tab/>
      </w:r>
      <w:r>
        <w:rPr>
          <w:rFonts w:hint="cs"/>
          <w:rtl/>
        </w:rPr>
        <w:t>(ب)</w:t>
      </w:r>
      <w:r>
        <w:rPr>
          <w:rFonts w:hint="cs"/>
          <w:rtl/>
        </w:rPr>
        <w:tab/>
      </w:r>
      <w:r w:rsidRPr="009607B3">
        <w:rPr>
          <w:rtl/>
        </w:rPr>
        <w:t>اتفاقية منظمة العمل الدولية رقم 138 لعام 1973 بشأن الحد الأدنى لسن الاستخدام، في عام 2007.</w:t>
      </w:r>
    </w:p>
    <w:p w:rsidR="009929D8" w:rsidRPr="009607B3" w:rsidRDefault="006C307C" w:rsidP="009929D8">
      <w:pPr>
        <w:pStyle w:val="SingleTxtGA"/>
        <w:spacing w:line="360" w:lineRule="exact"/>
        <w:rPr>
          <w:rtl/>
        </w:rPr>
      </w:pPr>
      <w:r>
        <w:rPr>
          <w:rFonts w:hint="cs"/>
          <w:rtl/>
        </w:rPr>
        <w:t>(5)</w:t>
      </w:r>
      <w:r w:rsidR="009929D8">
        <w:rPr>
          <w:rFonts w:hint="cs"/>
          <w:rtl/>
        </w:rPr>
        <w:tab/>
      </w:r>
      <w:r w:rsidR="009929D8" w:rsidRPr="009607B3">
        <w:rPr>
          <w:rtl/>
        </w:rPr>
        <w:t>وترحب اللجنة بالجهود التي تبذلها الدولة الطرف لمراجعة تشريعاتها في مجالات ذات صلة بالاتفاقية، بما في ذلك:</w:t>
      </w:r>
    </w:p>
    <w:p w:rsidR="009929D8" w:rsidRPr="009607B3" w:rsidRDefault="009929D8" w:rsidP="009929D8">
      <w:pPr>
        <w:pStyle w:val="SingleTxtGA"/>
        <w:spacing w:line="360" w:lineRule="exact"/>
        <w:rPr>
          <w:rtl/>
        </w:rPr>
      </w:pPr>
      <w:r>
        <w:rPr>
          <w:rFonts w:hint="cs"/>
          <w:rtl/>
        </w:rPr>
        <w:tab/>
        <w:t>(أ)</w:t>
      </w:r>
      <w:r>
        <w:rPr>
          <w:rFonts w:hint="cs"/>
          <w:rtl/>
        </w:rPr>
        <w:tab/>
      </w:r>
      <w:r w:rsidRPr="009607B3">
        <w:rPr>
          <w:rtl/>
        </w:rPr>
        <w:t xml:space="preserve">إدخال تعديلات على القانون الجنائي في نيسان/أبريل 2012 لتجريم الاتجار بالبشر بوصفه حكماً </w:t>
      </w:r>
      <w:r>
        <w:rPr>
          <w:rFonts w:hint="cs"/>
          <w:rtl/>
        </w:rPr>
        <w:t>قائماً بذاته</w:t>
      </w:r>
      <w:r w:rsidRPr="009607B3">
        <w:rPr>
          <w:rtl/>
        </w:rPr>
        <w:t xml:space="preserve"> في القانون الجنائي؛</w:t>
      </w:r>
    </w:p>
    <w:p w:rsidR="009929D8" w:rsidRPr="009607B3" w:rsidRDefault="009929D8" w:rsidP="009929D8">
      <w:pPr>
        <w:pStyle w:val="SingleTxtGA"/>
        <w:spacing w:line="360" w:lineRule="exact"/>
        <w:rPr>
          <w:rtl/>
        </w:rPr>
      </w:pPr>
      <w:r>
        <w:rPr>
          <w:rtl/>
        </w:rPr>
        <w:tab/>
      </w:r>
      <w:r>
        <w:rPr>
          <w:rFonts w:hint="cs"/>
          <w:rtl/>
        </w:rPr>
        <w:t>(ب)</w:t>
      </w:r>
      <w:r>
        <w:rPr>
          <w:rFonts w:hint="cs"/>
          <w:rtl/>
        </w:rPr>
        <w:tab/>
      </w:r>
      <w:r w:rsidRPr="009607B3">
        <w:rPr>
          <w:rtl/>
        </w:rPr>
        <w:t>إدخال تعديلات على قانون الإجراءات الجنائية لتسريع الإجراءات القضائية وتعزيز حماية القصّر وتعزيز حقوق المحتجزين، ودخلت هذه التعديلات حيز النفاذ في 1 أيلول/سبتمبر 2011؛</w:t>
      </w:r>
    </w:p>
    <w:p w:rsidR="009929D8" w:rsidRPr="009607B3" w:rsidRDefault="009929D8" w:rsidP="009929D8">
      <w:pPr>
        <w:pStyle w:val="SingleTxtGA"/>
        <w:spacing w:line="360" w:lineRule="exact"/>
        <w:rPr>
          <w:rtl/>
        </w:rPr>
      </w:pPr>
      <w:r>
        <w:rPr>
          <w:rtl/>
        </w:rPr>
        <w:tab/>
      </w:r>
      <w:r>
        <w:rPr>
          <w:rFonts w:hint="cs"/>
          <w:rtl/>
        </w:rPr>
        <w:t>(ج)</w:t>
      </w:r>
      <w:r>
        <w:rPr>
          <w:rFonts w:hint="cs"/>
          <w:rtl/>
        </w:rPr>
        <w:tab/>
      </w:r>
      <w:r w:rsidRPr="009607B3">
        <w:rPr>
          <w:rtl/>
        </w:rPr>
        <w:t>بدء العمل في 1 كانون الثاني/يناير 2009 بقانون المساواة في المعاملة الذي يضمن حق ضحايا التمييز والمضايقة المباشرين أو غير المباشرين في سبل انتصاف فعالة؛</w:t>
      </w:r>
    </w:p>
    <w:p w:rsidR="009929D8" w:rsidRPr="009607B3" w:rsidRDefault="009929D8" w:rsidP="009929D8">
      <w:pPr>
        <w:pStyle w:val="SingleTxtGA"/>
        <w:spacing w:line="360" w:lineRule="exact"/>
        <w:rPr>
          <w:rtl/>
        </w:rPr>
      </w:pPr>
      <w:r>
        <w:rPr>
          <w:rtl/>
        </w:rPr>
        <w:tab/>
      </w:r>
      <w:r>
        <w:rPr>
          <w:rFonts w:hint="cs"/>
          <w:rtl/>
        </w:rPr>
        <w:t>(د)</w:t>
      </w:r>
      <w:r>
        <w:rPr>
          <w:rFonts w:hint="cs"/>
          <w:rtl/>
        </w:rPr>
        <w:tab/>
      </w:r>
      <w:r w:rsidRPr="009607B3">
        <w:rPr>
          <w:rtl/>
        </w:rPr>
        <w:t xml:space="preserve">إدخال تعديل على المادة 133 من القانون الجنائي </w:t>
      </w:r>
      <w:r>
        <w:rPr>
          <w:rFonts w:hint="cs"/>
          <w:rtl/>
        </w:rPr>
        <w:t xml:space="preserve">الذي </w:t>
      </w:r>
      <w:r>
        <w:rPr>
          <w:rtl/>
        </w:rPr>
        <w:t>دخل</w:t>
      </w:r>
      <w:r w:rsidRPr="009607B3">
        <w:rPr>
          <w:rtl/>
        </w:rPr>
        <w:t xml:space="preserve"> حيز النفاذ في آذار/مارس 2007 لتحسين تعريف عناصر الاسترقاق.</w:t>
      </w:r>
    </w:p>
    <w:p w:rsidR="009929D8" w:rsidRPr="009607B3" w:rsidRDefault="006C307C" w:rsidP="006C307C">
      <w:pPr>
        <w:pStyle w:val="SingleTxtGA"/>
        <w:rPr>
          <w:rtl/>
        </w:rPr>
      </w:pPr>
      <w:r>
        <w:rPr>
          <w:rFonts w:hint="cs"/>
          <w:rtl/>
        </w:rPr>
        <w:t>(6)</w:t>
      </w:r>
      <w:r w:rsidR="009929D8">
        <w:rPr>
          <w:rFonts w:hint="cs"/>
          <w:rtl/>
        </w:rPr>
        <w:tab/>
      </w:r>
      <w:r w:rsidR="009929D8" w:rsidRPr="009607B3">
        <w:rPr>
          <w:rtl/>
        </w:rPr>
        <w:t xml:space="preserve">وترحب اللجنة أيضاً بجهود الدولة الطرف الرامية إلى تعديل سياساتها وبرامجها وتدابيرها الإدارية بغية </w:t>
      </w:r>
      <w:r w:rsidR="009929D8">
        <w:rPr>
          <w:rFonts w:hint="cs"/>
          <w:rtl/>
        </w:rPr>
        <w:t>تفعيل</w:t>
      </w:r>
      <w:r w:rsidR="009929D8" w:rsidRPr="009607B3">
        <w:rPr>
          <w:rtl/>
        </w:rPr>
        <w:t xml:space="preserve"> الاتفاقية، بما في ذلك:</w:t>
      </w:r>
    </w:p>
    <w:p w:rsidR="009929D8" w:rsidRPr="009607B3" w:rsidRDefault="009929D8" w:rsidP="006C307C">
      <w:pPr>
        <w:pStyle w:val="SingleTxtGA"/>
        <w:rPr>
          <w:rtl/>
        </w:rPr>
      </w:pPr>
      <w:r>
        <w:rPr>
          <w:rtl/>
        </w:rPr>
        <w:tab/>
      </w:r>
      <w:r>
        <w:rPr>
          <w:rFonts w:hint="cs"/>
          <w:rtl/>
        </w:rPr>
        <w:t>(أ)</w:t>
      </w:r>
      <w:r>
        <w:rPr>
          <w:rFonts w:hint="cs"/>
          <w:rtl/>
        </w:rPr>
        <w:tab/>
      </w:r>
      <w:r>
        <w:rPr>
          <w:rtl/>
        </w:rPr>
        <w:t xml:space="preserve">اعتمادها في عام </w:t>
      </w:r>
      <w:r w:rsidRPr="009607B3">
        <w:rPr>
          <w:rtl/>
        </w:rPr>
        <w:t>2010 تقرير التنفيذ النهائي بشأن خطة التنمية الحكومية لمكافحة الاتجار بالبشر للفترة 2006-2009؛</w:t>
      </w:r>
    </w:p>
    <w:p w:rsidR="009929D8" w:rsidRPr="00C945B4" w:rsidRDefault="009929D8" w:rsidP="006C307C">
      <w:pPr>
        <w:pStyle w:val="SingleTxtGA"/>
        <w:rPr>
          <w:rFonts w:hint="cs"/>
          <w:spacing w:val="-2"/>
          <w:rtl/>
        </w:rPr>
      </w:pPr>
      <w:r w:rsidRPr="00C945B4">
        <w:rPr>
          <w:spacing w:val="-2"/>
          <w:rtl/>
        </w:rPr>
        <w:tab/>
      </w:r>
      <w:r w:rsidRPr="00C945B4">
        <w:rPr>
          <w:rFonts w:hint="cs"/>
          <w:spacing w:val="-2"/>
          <w:rtl/>
        </w:rPr>
        <w:t>(ب)</w:t>
      </w:r>
      <w:r w:rsidRPr="00C945B4">
        <w:rPr>
          <w:rFonts w:hint="cs"/>
          <w:spacing w:val="-2"/>
          <w:rtl/>
        </w:rPr>
        <w:tab/>
      </w:r>
      <w:r w:rsidRPr="00C945B4">
        <w:rPr>
          <w:spacing w:val="-2"/>
          <w:rtl/>
        </w:rPr>
        <w:t xml:space="preserve">اعتمادها في نيسان/أبريل 2010 خطة التنمية </w:t>
      </w:r>
      <w:r w:rsidRPr="00C945B4">
        <w:rPr>
          <w:rFonts w:hint="cs"/>
          <w:spacing w:val="-2"/>
          <w:rtl/>
        </w:rPr>
        <w:t>المتعلقة</w:t>
      </w:r>
      <w:r w:rsidRPr="00C945B4">
        <w:rPr>
          <w:spacing w:val="-2"/>
          <w:rtl/>
        </w:rPr>
        <w:t xml:space="preserve"> بالحد من العنف ومنعه للفترة</w:t>
      </w:r>
      <w:r w:rsidRPr="00C945B4">
        <w:rPr>
          <w:rFonts w:hint="cs"/>
          <w:spacing w:val="-2"/>
          <w:rtl/>
        </w:rPr>
        <w:t> </w:t>
      </w:r>
      <w:r w:rsidRPr="00C945B4">
        <w:rPr>
          <w:spacing w:val="-2"/>
          <w:rtl/>
        </w:rPr>
        <w:t>2010-2014 وخطة العمل الوطنية بشأن العنف المنزلي للفترة 2008-2011؛</w:t>
      </w:r>
    </w:p>
    <w:p w:rsidR="009929D8" w:rsidRPr="009607B3" w:rsidRDefault="009929D8" w:rsidP="006C307C">
      <w:pPr>
        <w:pStyle w:val="SingleTxtGA"/>
        <w:rPr>
          <w:rFonts w:hint="cs"/>
          <w:rtl/>
        </w:rPr>
      </w:pPr>
      <w:r>
        <w:rPr>
          <w:rtl/>
        </w:rPr>
        <w:tab/>
      </w:r>
      <w:r>
        <w:rPr>
          <w:rFonts w:hint="cs"/>
          <w:rtl/>
        </w:rPr>
        <w:t>(ج)</w:t>
      </w:r>
      <w:r>
        <w:rPr>
          <w:rFonts w:hint="cs"/>
          <w:rtl/>
        </w:rPr>
        <w:tab/>
      </w:r>
      <w:r w:rsidRPr="009607B3">
        <w:rPr>
          <w:rtl/>
        </w:rPr>
        <w:t>اعتمادها في عام 2010 لائحة جديدة للشرطة بشأن طريقة معاملة ضحايا العن</w:t>
      </w:r>
      <w:r>
        <w:rPr>
          <w:rtl/>
        </w:rPr>
        <w:t>ف المنزلي وطريقة التحقيق في</w:t>
      </w:r>
      <w:r>
        <w:rPr>
          <w:rFonts w:hint="cs"/>
          <w:rtl/>
        </w:rPr>
        <w:t>ه</w:t>
      </w:r>
      <w:r>
        <w:rPr>
          <w:rtl/>
        </w:rPr>
        <w:t>ا و</w:t>
      </w:r>
      <w:r w:rsidRPr="009607B3">
        <w:rPr>
          <w:rtl/>
        </w:rPr>
        <w:t>تسجيلها؛</w:t>
      </w:r>
    </w:p>
    <w:p w:rsidR="009929D8" w:rsidRPr="009607B3" w:rsidRDefault="009929D8" w:rsidP="006C307C">
      <w:pPr>
        <w:pStyle w:val="SingleTxtGA"/>
        <w:rPr>
          <w:rtl/>
        </w:rPr>
      </w:pPr>
      <w:r>
        <w:rPr>
          <w:rtl/>
        </w:rPr>
        <w:tab/>
      </w:r>
      <w:r>
        <w:rPr>
          <w:rFonts w:hint="cs"/>
          <w:rtl/>
        </w:rPr>
        <w:t>(د)</w:t>
      </w:r>
      <w:r>
        <w:rPr>
          <w:rFonts w:hint="cs"/>
          <w:rtl/>
        </w:rPr>
        <w:tab/>
      </w:r>
      <w:r w:rsidRPr="009607B3">
        <w:rPr>
          <w:rtl/>
        </w:rPr>
        <w:t>اعتماد البرلمان في عام 2010 المبادئ التوجيهية لوضع السياسات الجنائية حتى عام 2018؛</w:t>
      </w:r>
    </w:p>
    <w:p w:rsidR="009929D8" w:rsidRPr="009607B3" w:rsidRDefault="009929D8" w:rsidP="006C307C">
      <w:pPr>
        <w:pStyle w:val="SingleTxtGA"/>
        <w:rPr>
          <w:rtl/>
        </w:rPr>
      </w:pPr>
      <w:r>
        <w:rPr>
          <w:rFonts w:hint="cs"/>
          <w:rtl/>
        </w:rPr>
        <w:tab/>
      </w:r>
      <w:r w:rsidRPr="009607B3">
        <w:rPr>
          <w:rtl/>
        </w:rPr>
        <w:t>(</w:t>
      </w:r>
      <w:r w:rsidRPr="00930864">
        <w:rPr>
          <w:rFonts w:hint="cs"/>
          <w:sz w:val="30"/>
          <w:rtl/>
        </w:rPr>
        <w:t>ﻫ</w:t>
      </w:r>
      <w:r w:rsidRPr="009607B3">
        <w:rPr>
          <w:rtl/>
        </w:rPr>
        <w:t>)</w:t>
      </w:r>
      <w:r w:rsidRPr="009607B3">
        <w:rPr>
          <w:rtl/>
        </w:rPr>
        <w:tab/>
        <w:t>إطلاقها في عام 2009 البرنامج الممول من الصندوق الأوروبي لإدماج مواطني الدول الثالثة بهدف تقديم دروس في اللغة لجميع الأشخاص"ذوي الجنسية غير المحددة" أو مواطني البلدان الثالثة؛</w:t>
      </w:r>
    </w:p>
    <w:p w:rsidR="009929D8" w:rsidRPr="009607B3" w:rsidRDefault="009929D8" w:rsidP="006C307C">
      <w:pPr>
        <w:pStyle w:val="SingleTxtGA"/>
        <w:rPr>
          <w:rtl/>
        </w:rPr>
      </w:pPr>
      <w:r>
        <w:rPr>
          <w:rtl/>
        </w:rPr>
        <w:tab/>
      </w:r>
      <w:r>
        <w:rPr>
          <w:rFonts w:hint="cs"/>
          <w:rtl/>
        </w:rPr>
        <w:t>(و)</w:t>
      </w:r>
      <w:r>
        <w:rPr>
          <w:rFonts w:hint="cs"/>
          <w:rtl/>
        </w:rPr>
        <w:tab/>
      </w:r>
      <w:r w:rsidRPr="009607B3">
        <w:rPr>
          <w:rtl/>
        </w:rPr>
        <w:t>تشغيل اتحاد مآوى النساء في إستونيا منذ عام 2008 لخط المساعدة الهاتفية المجاني على النطاق الوطني للنساء اللائي يتعرضن للعنف؛</w:t>
      </w:r>
    </w:p>
    <w:p w:rsidR="009929D8" w:rsidRPr="009607B3" w:rsidRDefault="009929D8" w:rsidP="006C307C">
      <w:pPr>
        <w:pStyle w:val="SingleTxtGA"/>
        <w:rPr>
          <w:rtl/>
        </w:rPr>
      </w:pPr>
      <w:r>
        <w:rPr>
          <w:rtl/>
        </w:rPr>
        <w:tab/>
      </w:r>
      <w:r>
        <w:rPr>
          <w:rFonts w:hint="cs"/>
          <w:rtl/>
        </w:rPr>
        <w:t>(ز)</w:t>
      </w:r>
      <w:r>
        <w:rPr>
          <w:rFonts w:hint="cs"/>
          <w:rtl/>
        </w:rPr>
        <w:tab/>
      </w:r>
      <w:r w:rsidRPr="009607B3">
        <w:rPr>
          <w:rtl/>
        </w:rPr>
        <w:t>اعتمادها في 14 كانون الأول/ديسمبر 2007 استراتيجية للإدماج وبرنامج الإدماج الحكومي للفترة 2008-2013؛</w:t>
      </w:r>
    </w:p>
    <w:p w:rsidR="009929D8" w:rsidRPr="009607B3" w:rsidRDefault="009929D8" w:rsidP="00A83CF9">
      <w:pPr>
        <w:pStyle w:val="SingleTxtGA"/>
        <w:spacing w:line="360" w:lineRule="exact"/>
        <w:rPr>
          <w:rtl/>
        </w:rPr>
      </w:pPr>
      <w:r>
        <w:rPr>
          <w:rtl/>
        </w:rPr>
        <w:tab/>
      </w:r>
      <w:r>
        <w:rPr>
          <w:rFonts w:hint="cs"/>
          <w:rtl/>
        </w:rPr>
        <w:t>(ح)</w:t>
      </w:r>
      <w:r>
        <w:rPr>
          <w:rFonts w:hint="cs"/>
          <w:rtl/>
        </w:rPr>
        <w:tab/>
      </w:r>
      <w:r w:rsidRPr="009607B3">
        <w:rPr>
          <w:rtl/>
        </w:rPr>
        <w:t>تشغيلها منذ عام 2004 خط مساعدة هاتفية لمنع الاتجار بالبشر ولتقديم المشورة، ممول</w:t>
      </w:r>
      <w:r>
        <w:rPr>
          <w:rFonts w:hint="cs"/>
          <w:rtl/>
        </w:rPr>
        <w:t>اً</w:t>
      </w:r>
      <w:r w:rsidRPr="009607B3">
        <w:rPr>
          <w:rtl/>
        </w:rPr>
        <w:t xml:space="preserve"> منذ عام 2006 من وزارة الشؤون الاجتماعية ومسيّر</w:t>
      </w:r>
      <w:r>
        <w:rPr>
          <w:rFonts w:hint="cs"/>
          <w:rtl/>
        </w:rPr>
        <w:t>اً</w:t>
      </w:r>
      <w:r w:rsidRPr="009607B3">
        <w:rPr>
          <w:rtl/>
        </w:rPr>
        <w:t xml:space="preserve"> من المنظمة غير الحكومية "العيش من أجل الغد".</w:t>
      </w:r>
    </w:p>
    <w:p w:rsidR="009929D8" w:rsidRPr="006C307C" w:rsidRDefault="00A83CF9" w:rsidP="00A83CF9">
      <w:pPr>
        <w:pStyle w:val="H23GA"/>
        <w:tabs>
          <w:tab w:val="left" w:pos="1926"/>
        </w:tabs>
        <w:spacing w:line="360" w:lineRule="exact"/>
        <w:rPr>
          <w:rtl/>
        </w:rPr>
      </w:pPr>
      <w:r>
        <w:rPr>
          <w:rFonts w:hint="cs"/>
          <w:rtl/>
        </w:rPr>
        <w:tab/>
      </w:r>
      <w:r>
        <w:rPr>
          <w:rFonts w:hint="cs"/>
          <w:rtl/>
        </w:rPr>
        <w:tab/>
      </w:r>
      <w:r w:rsidR="009929D8" w:rsidRPr="006C307C">
        <w:rPr>
          <w:rtl/>
        </w:rPr>
        <w:t>جيم-</w:t>
      </w:r>
      <w:r w:rsidR="009929D8" w:rsidRPr="006C307C">
        <w:rPr>
          <w:rtl/>
        </w:rPr>
        <w:tab/>
        <w:t>دواعي القلق الرئيسية والتوصيات</w:t>
      </w:r>
    </w:p>
    <w:p w:rsidR="009929D8" w:rsidRPr="00D639AB" w:rsidRDefault="009929D8" w:rsidP="00A83CF9">
      <w:pPr>
        <w:pStyle w:val="H23GA"/>
        <w:spacing w:line="360" w:lineRule="exact"/>
        <w:rPr>
          <w:rFonts w:hint="cs"/>
          <w:rtl/>
        </w:rPr>
      </w:pPr>
      <w:r>
        <w:rPr>
          <w:rFonts w:hint="cs"/>
          <w:rtl/>
        </w:rPr>
        <w:tab/>
      </w:r>
      <w:r>
        <w:rPr>
          <w:rFonts w:hint="cs"/>
          <w:rtl/>
        </w:rPr>
        <w:tab/>
      </w:r>
      <w:r w:rsidRPr="00D639AB">
        <w:rPr>
          <w:rtl/>
        </w:rPr>
        <w:t>تعريف التعذيب</w:t>
      </w:r>
    </w:p>
    <w:p w:rsidR="009929D8" w:rsidRPr="009607B3" w:rsidRDefault="006C307C" w:rsidP="00A83CF9">
      <w:pPr>
        <w:pStyle w:val="SingleTxtGA"/>
        <w:spacing w:line="360" w:lineRule="exact"/>
        <w:rPr>
          <w:rtl/>
        </w:rPr>
      </w:pPr>
      <w:r>
        <w:rPr>
          <w:rFonts w:hint="cs"/>
          <w:rtl/>
        </w:rPr>
        <w:t>(7)</w:t>
      </w:r>
      <w:r w:rsidR="009929D8">
        <w:rPr>
          <w:rFonts w:hint="cs"/>
          <w:rtl/>
        </w:rPr>
        <w:tab/>
        <w:t>تحيط</w:t>
      </w:r>
      <w:r w:rsidR="009929D8" w:rsidRPr="009607B3">
        <w:rPr>
          <w:rtl/>
        </w:rPr>
        <w:t xml:space="preserve"> اللجنة علماً بتأكيد </w:t>
      </w:r>
      <w:r w:rsidR="009929D8">
        <w:rPr>
          <w:rFonts w:hint="cs"/>
          <w:rtl/>
        </w:rPr>
        <w:t xml:space="preserve">الوفد أن </w:t>
      </w:r>
      <w:r w:rsidR="009929D8" w:rsidRPr="009607B3">
        <w:rPr>
          <w:rtl/>
        </w:rPr>
        <w:t>إستونيا تعتزم تعديل قانونها الجنائي ليتماشى مع الاتفاقية، و</w:t>
      </w:r>
      <w:r w:rsidR="009929D8">
        <w:rPr>
          <w:rFonts w:hint="cs"/>
          <w:rtl/>
        </w:rPr>
        <w:t>تشير</w:t>
      </w:r>
      <w:r w:rsidR="009929D8" w:rsidRPr="009607B3">
        <w:rPr>
          <w:rtl/>
        </w:rPr>
        <w:t xml:space="preserve"> إلى ملاحظاتها الختامية السابقة (الفقرة 8)، ولكنها </w:t>
      </w:r>
      <w:r w:rsidR="009929D8">
        <w:rPr>
          <w:rFonts w:hint="cs"/>
          <w:rtl/>
        </w:rPr>
        <w:t>تعرب</w:t>
      </w:r>
      <w:r w:rsidR="009929D8" w:rsidRPr="009607B3">
        <w:rPr>
          <w:rtl/>
        </w:rPr>
        <w:t xml:space="preserve"> عن قلقها لأن تعريف التعذيب في المادة 122 من القانون الجنائي لا يتضمن جميع العناصر الواردة في المادة</w:t>
      </w:r>
      <w:r w:rsidR="009929D8">
        <w:rPr>
          <w:rFonts w:hint="cs"/>
          <w:rtl/>
        </w:rPr>
        <w:t> </w:t>
      </w:r>
      <w:r w:rsidR="009929D8" w:rsidRPr="009607B3">
        <w:rPr>
          <w:rtl/>
        </w:rPr>
        <w:t>1 من الاتفاقية، مثل إلحاق ألم عقلي (المادتان 1 و4).</w:t>
      </w:r>
    </w:p>
    <w:p w:rsidR="009929D8" w:rsidRPr="00D405A0" w:rsidRDefault="009929D8" w:rsidP="00A83CF9">
      <w:pPr>
        <w:pStyle w:val="SingleTxtGA"/>
        <w:spacing w:line="360" w:lineRule="exact"/>
        <w:rPr>
          <w:b/>
          <w:bCs/>
          <w:rtl/>
        </w:rPr>
      </w:pPr>
      <w:r w:rsidRPr="00D405A0">
        <w:rPr>
          <w:b/>
          <w:bCs/>
          <w:rtl/>
        </w:rPr>
        <w:tab/>
      </w:r>
      <w:r w:rsidRPr="00D405A0">
        <w:rPr>
          <w:rFonts w:hint="cs"/>
          <w:b/>
          <w:bCs/>
          <w:rtl/>
        </w:rPr>
        <w:t>و</w:t>
      </w:r>
      <w:r w:rsidRPr="00D405A0">
        <w:rPr>
          <w:b/>
          <w:bCs/>
          <w:rtl/>
        </w:rPr>
        <w:t xml:space="preserve">توصي اللجنة الدولة الطرف بتعديل قانونها الجنائي ليتضمن تعريفاً للتعذيب </w:t>
      </w:r>
      <w:r w:rsidRPr="00D405A0">
        <w:rPr>
          <w:rFonts w:hint="cs"/>
          <w:b/>
          <w:bCs/>
          <w:rtl/>
        </w:rPr>
        <w:t>يشمل</w:t>
      </w:r>
      <w:r w:rsidRPr="00D405A0">
        <w:rPr>
          <w:b/>
          <w:bCs/>
          <w:rtl/>
        </w:rPr>
        <w:t xml:space="preserve"> جميع العناصر الواردة في المادة 1 من الاتفاقية.</w:t>
      </w:r>
    </w:p>
    <w:p w:rsidR="009929D8" w:rsidRPr="00D639AB" w:rsidRDefault="009929D8" w:rsidP="00A83CF9">
      <w:pPr>
        <w:pStyle w:val="H23GA"/>
        <w:spacing w:line="360" w:lineRule="exact"/>
        <w:rPr>
          <w:rFonts w:hint="cs"/>
          <w:rtl/>
        </w:rPr>
      </w:pPr>
      <w:r>
        <w:rPr>
          <w:rFonts w:hint="cs"/>
          <w:rtl/>
        </w:rPr>
        <w:tab/>
      </w:r>
      <w:r>
        <w:rPr>
          <w:rFonts w:hint="cs"/>
          <w:rtl/>
        </w:rPr>
        <w:tab/>
      </w:r>
      <w:r>
        <w:rPr>
          <w:rtl/>
        </w:rPr>
        <w:t>العقوبات الخاصة بأعمال التعذيب</w:t>
      </w:r>
    </w:p>
    <w:p w:rsidR="009929D8" w:rsidRPr="009607B3" w:rsidRDefault="006C307C" w:rsidP="00A83CF9">
      <w:pPr>
        <w:pStyle w:val="SingleTxtGA"/>
        <w:spacing w:line="360" w:lineRule="exact"/>
        <w:rPr>
          <w:rtl/>
        </w:rPr>
      </w:pPr>
      <w:r>
        <w:rPr>
          <w:rFonts w:hint="cs"/>
          <w:rtl/>
        </w:rPr>
        <w:t>(8)</w:t>
      </w:r>
      <w:r w:rsidR="009929D8">
        <w:rPr>
          <w:rFonts w:hint="cs"/>
          <w:rtl/>
        </w:rPr>
        <w:tab/>
      </w:r>
      <w:r w:rsidR="009929D8" w:rsidRPr="009607B3">
        <w:rPr>
          <w:rtl/>
        </w:rPr>
        <w:t xml:space="preserve">تشير اللجنة إلى ملاحظاتها الختامية السابقة (الفقرة 13)، وتعرب عن قلقها لأن عقوبة السجن لمدة قد تصل إلى خمسة أعوام التي </w:t>
      </w:r>
      <w:r w:rsidR="009929D8">
        <w:rPr>
          <w:rFonts w:hint="cs"/>
          <w:rtl/>
        </w:rPr>
        <w:t>يخصصها</w:t>
      </w:r>
      <w:r w:rsidR="009929D8" w:rsidRPr="009607B3">
        <w:rPr>
          <w:rtl/>
        </w:rPr>
        <w:t xml:space="preserve"> القانون الجنائي </w:t>
      </w:r>
      <w:r w:rsidR="009929D8">
        <w:rPr>
          <w:rFonts w:hint="cs"/>
          <w:rtl/>
        </w:rPr>
        <w:t>ل</w:t>
      </w:r>
      <w:r w:rsidR="009929D8" w:rsidRPr="009607B3">
        <w:rPr>
          <w:rtl/>
        </w:rPr>
        <w:t xml:space="preserve">أعمال التعذيب لا تتناسب مع الطبيعة الخطيرة لهذه الجريمة. كما تعرب عن قلقها إزاء التفاوت الذي قد يصل إلى 15 </w:t>
      </w:r>
      <w:r w:rsidR="009929D8">
        <w:rPr>
          <w:rFonts w:hint="cs"/>
          <w:rtl/>
        </w:rPr>
        <w:t xml:space="preserve">سنة </w:t>
      </w:r>
      <w:r w:rsidR="009929D8" w:rsidRPr="009607B3">
        <w:rPr>
          <w:rtl/>
        </w:rPr>
        <w:t xml:space="preserve">سجناً بين العقوبات الخاصة بالتعذيب وتلك الخاصة بالاتجار بالبشر، التي تشكل أيضاً نوعاً من التعذيب، ولأن </w:t>
      </w:r>
      <w:r w:rsidR="009929D8">
        <w:rPr>
          <w:rFonts w:hint="cs"/>
          <w:rtl/>
        </w:rPr>
        <w:t xml:space="preserve">مدة </w:t>
      </w:r>
      <w:r w:rsidR="009929D8" w:rsidRPr="009607B3">
        <w:rPr>
          <w:rtl/>
        </w:rPr>
        <w:t xml:space="preserve">الأحكام </w:t>
      </w:r>
      <w:r w:rsidR="009929D8">
        <w:rPr>
          <w:rFonts w:hint="cs"/>
          <w:rtl/>
        </w:rPr>
        <w:t xml:space="preserve">التي تُقضى في السجن </w:t>
      </w:r>
      <w:r w:rsidR="009929D8" w:rsidRPr="009607B3">
        <w:rPr>
          <w:rtl/>
        </w:rPr>
        <w:t xml:space="preserve">عن أعمال التعذيب غالباً ما تكون عاماً ونصف </w:t>
      </w:r>
      <w:r w:rsidR="009929D8">
        <w:rPr>
          <w:rFonts w:hint="cs"/>
          <w:rtl/>
        </w:rPr>
        <w:t>تقريباً</w:t>
      </w:r>
      <w:r w:rsidR="009929D8" w:rsidRPr="009607B3">
        <w:rPr>
          <w:rtl/>
        </w:rPr>
        <w:t xml:space="preserve"> وفقاً لممثلي الدولة الطرف (المادتان 2 و4).</w:t>
      </w:r>
    </w:p>
    <w:p w:rsidR="009929D8" w:rsidRPr="007C0061" w:rsidRDefault="009929D8" w:rsidP="00A83CF9">
      <w:pPr>
        <w:pStyle w:val="SingleTxtGA"/>
        <w:spacing w:line="360" w:lineRule="exact"/>
        <w:rPr>
          <w:b/>
          <w:bCs/>
          <w:rtl/>
        </w:rPr>
      </w:pPr>
      <w:r w:rsidRPr="007C0061">
        <w:rPr>
          <w:rFonts w:hint="cs"/>
          <w:b/>
          <w:bCs/>
          <w:rtl/>
        </w:rPr>
        <w:tab/>
      </w:r>
      <w:r w:rsidRPr="007C0061">
        <w:rPr>
          <w:b/>
          <w:bCs/>
          <w:rtl/>
        </w:rPr>
        <w:t xml:space="preserve">وتوصي اللجنة الدولة الطرف بأن تعدل قانونها الجنائي </w:t>
      </w:r>
      <w:r w:rsidRPr="007C0061">
        <w:rPr>
          <w:rFonts w:hint="cs"/>
          <w:b/>
          <w:bCs/>
          <w:rtl/>
        </w:rPr>
        <w:t>ليتضمن</w:t>
      </w:r>
      <w:r w:rsidRPr="007C0061">
        <w:rPr>
          <w:b/>
          <w:bCs/>
          <w:rtl/>
        </w:rPr>
        <w:t xml:space="preserve"> عقوبات على أعمال التعذيب تأخذ في الحسبان طب</w:t>
      </w:r>
      <w:r w:rsidRPr="007C0061">
        <w:rPr>
          <w:rFonts w:hint="cs"/>
          <w:b/>
          <w:bCs/>
          <w:rtl/>
        </w:rPr>
        <w:t>ي</w:t>
      </w:r>
      <w:r w:rsidRPr="007C0061">
        <w:rPr>
          <w:b/>
          <w:bCs/>
          <w:rtl/>
        </w:rPr>
        <w:t>عتها الخطيرة، وفقاً للفقرة 2 من المادة 4 من الاتفاقية وتراعي تعليق اللجنة العام رقم 2.</w:t>
      </w:r>
    </w:p>
    <w:p w:rsidR="009929D8" w:rsidRPr="00D639AB" w:rsidRDefault="009929D8" w:rsidP="00A83CF9">
      <w:pPr>
        <w:pStyle w:val="H23GA"/>
        <w:spacing w:line="360" w:lineRule="exact"/>
        <w:rPr>
          <w:rtl/>
        </w:rPr>
      </w:pPr>
      <w:r>
        <w:rPr>
          <w:rFonts w:hint="cs"/>
          <w:rtl/>
        </w:rPr>
        <w:tab/>
      </w:r>
      <w:r>
        <w:rPr>
          <w:rFonts w:hint="cs"/>
          <w:rtl/>
        </w:rPr>
        <w:tab/>
      </w:r>
      <w:r w:rsidRPr="00D639AB">
        <w:rPr>
          <w:rtl/>
        </w:rPr>
        <w:t>الضمانات القانونية الأساسية للأشخاص المحرومين من حريتهم</w:t>
      </w:r>
    </w:p>
    <w:p w:rsidR="009929D8" w:rsidRPr="009607B3" w:rsidRDefault="006C307C" w:rsidP="00A83CF9">
      <w:pPr>
        <w:pStyle w:val="SingleTxtGA"/>
        <w:spacing w:line="360" w:lineRule="exact"/>
        <w:rPr>
          <w:rtl/>
        </w:rPr>
      </w:pPr>
      <w:r>
        <w:rPr>
          <w:rFonts w:hint="cs"/>
          <w:rtl/>
        </w:rPr>
        <w:t>(9)</w:t>
      </w:r>
      <w:r w:rsidR="009929D8">
        <w:rPr>
          <w:rFonts w:hint="cs"/>
          <w:rtl/>
        </w:rPr>
        <w:tab/>
      </w:r>
      <w:r w:rsidR="009929D8" w:rsidRPr="009607B3">
        <w:rPr>
          <w:rtl/>
        </w:rPr>
        <w:t xml:space="preserve">يساور اللجنة القلق لأن الأشخاص المحرومين من حريتهم لا يمكن أن يتمتعوا بجميع الضمانات القانونية الأساسية ضد التعذيب وسوء المعاملة من اللحظة الأولى لاحتجازهم، خاصة الحق في الاستعانة بمحام والحق في إعلام شخص يختارونه بأنفسهم. ويساورها القلق </w:t>
      </w:r>
      <w:r w:rsidR="009929D8" w:rsidRPr="009607B3">
        <w:rPr>
          <w:rFonts w:hint="cs"/>
          <w:rtl/>
        </w:rPr>
        <w:t>أيضا</w:t>
      </w:r>
      <w:r>
        <w:rPr>
          <w:rFonts w:hint="cs"/>
          <w:rtl/>
        </w:rPr>
        <w:t>ً</w:t>
      </w:r>
      <w:r w:rsidR="009929D8" w:rsidRPr="009607B3">
        <w:rPr>
          <w:rtl/>
        </w:rPr>
        <w:t xml:space="preserve"> إزاء التقارير التي تفيد بأن سجلات الاحتجاز في مراكز الشرطة لا تُمسك د</w:t>
      </w:r>
      <w:r w:rsidR="009929D8">
        <w:rPr>
          <w:rtl/>
        </w:rPr>
        <w:t>ائماً بطريقة منتظمة (المواد 2 و</w:t>
      </w:r>
      <w:r w:rsidR="009929D8" w:rsidRPr="009607B3">
        <w:rPr>
          <w:rtl/>
        </w:rPr>
        <w:t>12 و13 و16).</w:t>
      </w:r>
    </w:p>
    <w:p w:rsidR="009929D8" w:rsidRPr="007C3800" w:rsidRDefault="009929D8" w:rsidP="00A83CF9">
      <w:pPr>
        <w:pStyle w:val="SingleTxtGA"/>
        <w:keepNext/>
        <w:keepLines/>
        <w:rPr>
          <w:b/>
          <w:bCs/>
          <w:rtl/>
        </w:rPr>
      </w:pPr>
      <w:r>
        <w:rPr>
          <w:rFonts w:hint="cs"/>
          <w:b/>
          <w:bCs/>
          <w:rtl/>
        </w:rPr>
        <w:tab/>
      </w:r>
      <w:r w:rsidRPr="007C3800">
        <w:rPr>
          <w:b/>
          <w:bCs/>
          <w:rtl/>
        </w:rPr>
        <w:t>وينبغي للدولة الطرف أن:</w:t>
      </w:r>
    </w:p>
    <w:p w:rsidR="009929D8" w:rsidRPr="0084706D" w:rsidRDefault="009929D8" w:rsidP="009929D8">
      <w:pPr>
        <w:pStyle w:val="SingleTxtGA"/>
        <w:rPr>
          <w:b/>
          <w:bCs/>
          <w:rtl/>
        </w:rPr>
      </w:pPr>
      <w:r w:rsidRPr="0084706D">
        <w:rPr>
          <w:rFonts w:hint="cs"/>
          <w:b/>
          <w:bCs/>
          <w:rtl/>
        </w:rPr>
        <w:tab/>
        <w:t>(أ)</w:t>
      </w:r>
      <w:r w:rsidRPr="0084706D">
        <w:rPr>
          <w:rFonts w:hint="cs"/>
          <w:b/>
          <w:bCs/>
          <w:rtl/>
        </w:rPr>
        <w:tab/>
      </w:r>
      <w:r w:rsidRPr="0084706D">
        <w:rPr>
          <w:b/>
          <w:bCs/>
          <w:rtl/>
        </w:rPr>
        <w:t xml:space="preserve">تتخذ تدابير فعالة لضمان حصول جميع الأشخاص المحرومين من حريتهم، بموجب القانون وفي الممارسة، </w:t>
      </w:r>
      <w:r w:rsidRPr="0084706D">
        <w:rPr>
          <w:rFonts w:hint="cs"/>
          <w:b/>
          <w:bCs/>
          <w:rtl/>
        </w:rPr>
        <w:t xml:space="preserve">على </w:t>
      </w:r>
      <w:r w:rsidRPr="0084706D">
        <w:rPr>
          <w:b/>
          <w:bCs/>
          <w:rtl/>
        </w:rPr>
        <w:t xml:space="preserve">جميع الضمانات القانونية الأساسية منذ اللحظة الأولى لاحتجازهم، وبالتحديد الحق في إعلامهم بأسباب توقيفهم وبالتهم الموجهة إليهم؛ والحق في إعلامهم بحقوقهم؛ والحق في حصولهم فوراً على خدمات محام مستقل وعلى المساعدة القانونية عند الاقتضاء؛ والحق في إعلام شخص يختارونه بأنفسهم؛ والحق في فحص طبي يجريه عليهم طبيب مستقل، وعند الإمكان طبيب من اختيارهم؛ والحق في تقديمهم أمام قاضٍ دون </w:t>
      </w:r>
      <w:r>
        <w:rPr>
          <w:b/>
          <w:bCs/>
          <w:rtl/>
        </w:rPr>
        <w:t>تأخير؛ والحق في أن تقوم محكمة</w:t>
      </w:r>
      <w:r w:rsidRPr="0084706D">
        <w:rPr>
          <w:b/>
          <w:bCs/>
          <w:rtl/>
        </w:rPr>
        <w:t xml:space="preserve"> بفحص الأساس القانوني لاحتجازهم، وفقاً للمعايير الدولية؛</w:t>
      </w:r>
    </w:p>
    <w:p w:rsidR="009929D8" w:rsidRPr="002C7900" w:rsidRDefault="009929D8" w:rsidP="009929D8">
      <w:pPr>
        <w:pStyle w:val="SingleTxtGA"/>
        <w:rPr>
          <w:b/>
          <w:bCs/>
          <w:rtl/>
        </w:rPr>
      </w:pPr>
      <w:r w:rsidRPr="002C7900">
        <w:rPr>
          <w:b/>
          <w:bCs/>
          <w:rtl/>
        </w:rPr>
        <w:tab/>
      </w:r>
      <w:r w:rsidRPr="002C7900">
        <w:rPr>
          <w:rFonts w:hint="cs"/>
          <w:b/>
          <w:bCs/>
          <w:rtl/>
        </w:rPr>
        <w:t>(ب)</w:t>
      </w:r>
      <w:r w:rsidRPr="002C7900">
        <w:rPr>
          <w:rFonts w:hint="cs"/>
          <w:b/>
          <w:bCs/>
          <w:rtl/>
        </w:rPr>
        <w:tab/>
      </w:r>
      <w:r w:rsidRPr="002C7900">
        <w:rPr>
          <w:b/>
          <w:bCs/>
          <w:rtl/>
        </w:rPr>
        <w:t xml:space="preserve">تضمن أنها ترصد </w:t>
      </w:r>
      <w:r w:rsidRPr="002C7900">
        <w:rPr>
          <w:rFonts w:hint="cs"/>
          <w:b/>
          <w:bCs/>
          <w:rtl/>
        </w:rPr>
        <w:t>قيام</w:t>
      </w:r>
      <w:r w:rsidRPr="002C7900">
        <w:rPr>
          <w:b/>
          <w:bCs/>
          <w:rtl/>
        </w:rPr>
        <w:t xml:space="preserve"> جميع الموظفين الحكوميين </w:t>
      </w:r>
      <w:r w:rsidRPr="002C7900">
        <w:rPr>
          <w:rFonts w:hint="cs"/>
          <w:b/>
          <w:bCs/>
          <w:rtl/>
        </w:rPr>
        <w:t>بتوفير</w:t>
      </w:r>
      <w:r w:rsidRPr="002C7900">
        <w:rPr>
          <w:b/>
          <w:bCs/>
          <w:rtl/>
        </w:rPr>
        <w:t xml:space="preserve"> الضمانات للأشخاص المحرومين من حريتهم، بوسائل منها توثيق المعلومات ذات الصلة في سجلات الاحتجاز، وضمان رصد منتظم لامتثال الموظفين لمتطلبات التوثيق هذه؛</w:t>
      </w:r>
    </w:p>
    <w:p w:rsidR="009929D8" w:rsidRPr="002C7900" w:rsidRDefault="009929D8" w:rsidP="009929D8">
      <w:pPr>
        <w:pStyle w:val="SingleTxtGA"/>
        <w:rPr>
          <w:b/>
          <w:bCs/>
          <w:rtl/>
        </w:rPr>
      </w:pPr>
      <w:r w:rsidRPr="002C7900">
        <w:rPr>
          <w:b/>
          <w:bCs/>
          <w:rtl/>
        </w:rPr>
        <w:tab/>
      </w:r>
      <w:r w:rsidRPr="002C7900">
        <w:rPr>
          <w:rFonts w:hint="cs"/>
          <w:b/>
          <w:bCs/>
          <w:rtl/>
        </w:rPr>
        <w:t>(ج)</w:t>
      </w:r>
      <w:r w:rsidRPr="002C7900">
        <w:rPr>
          <w:rFonts w:hint="cs"/>
          <w:b/>
          <w:bCs/>
          <w:rtl/>
        </w:rPr>
        <w:tab/>
      </w:r>
      <w:r w:rsidRPr="002C7900">
        <w:rPr>
          <w:b/>
          <w:bCs/>
          <w:rtl/>
        </w:rPr>
        <w:t xml:space="preserve">تضمن تأديب أو مقاضاة أي موظف حكومي يحرم </w:t>
      </w:r>
      <w:r w:rsidRPr="002C7900">
        <w:rPr>
          <w:rFonts w:hint="cs"/>
          <w:b/>
          <w:bCs/>
          <w:rtl/>
        </w:rPr>
        <w:t>أ</w:t>
      </w:r>
      <w:r w:rsidRPr="002C7900">
        <w:rPr>
          <w:b/>
          <w:bCs/>
          <w:rtl/>
        </w:rPr>
        <w:t>شخ</w:t>
      </w:r>
      <w:r w:rsidRPr="002C7900">
        <w:rPr>
          <w:rFonts w:hint="cs"/>
          <w:b/>
          <w:bCs/>
          <w:rtl/>
        </w:rPr>
        <w:t>ا</w:t>
      </w:r>
      <w:r w:rsidRPr="002C7900">
        <w:rPr>
          <w:b/>
          <w:bCs/>
          <w:rtl/>
        </w:rPr>
        <w:t>صاً محروم</w:t>
      </w:r>
      <w:r w:rsidRPr="002C7900">
        <w:rPr>
          <w:rFonts w:hint="cs"/>
          <w:b/>
          <w:bCs/>
          <w:rtl/>
        </w:rPr>
        <w:t>ين</w:t>
      </w:r>
      <w:r w:rsidRPr="002C7900">
        <w:rPr>
          <w:b/>
          <w:bCs/>
          <w:rtl/>
        </w:rPr>
        <w:t xml:space="preserve"> من حريته</w:t>
      </w:r>
      <w:r w:rsidRPr="002C7900">
        <w:rPr>
          <w:rFonts w:hint="cs"/>
          <w:b/>
          <w:bCs/>
          <w:rtl/>
        </w:rPr>
        <w:t>م</w:t>
      </w:r>
      <w:r w:rsidRPr="002C7900">
        <w:rPr>
          <w:b/>
          <w:bCs/>
          <w:rtl/>
        </w:rPr>
        <w:t xml:space="preserve"> من الضمانات القانونية الأساسية؛</w:t>
      </w:r>
    </w:p>
    <w:p w:rsidR="009929D8" w:rsidRPr="00AE3262" w:rsidRDefault="009929D8" w:rsidP="006C307C">
      <w:pPr>
        <w:pStyle w:val="SingleTxtGA"/>
        <w:rPr>
          <w:b/>
          <w:bCs/>
          <w:rtl/>
        </w:rPr>
      </w:pPr>
      <w:r w:rsidRPr="00AE3262">
        <w:rPr>
          <w:b/>
          <w:bCs/>
          <w:rtl/>
        </w:rPr>
        <w:tab/>
      </w:r>
      <w:r w:rsidRPr="00AE3262">
        <w:rPr>
          <w:rFonts w:hint="cs"/>
          <w:b/>
          <w:bCs/>
          <w:rtl/>
        </w:rPr>
        <w:t>(د)</w:t>
      </w:r>
      <w:r w:rsidRPr="00AE3262">
        <w:rPr>
          <w:rFonts w:hint="cs"/>
          <w:b/>
          <w:bCs/>
          <w:rtl/>
        </w:rPr>
        <w:tab/>
      </w:r>
      <w:r w:rsidRPr="00AE3262">
        <w:rPr>
          <w:b/>
          <w:bCs/>
          <w:rtl/>
        </w:rPr>
        <w:t>تقدم إلى اللجنة بيانات عن عدد الحالات التي تم فيها تأديب موظفين حكوميين بسبب هذا السلوك وعن طبيعة التأديب.</w:t>
      </w:r>
    </w:p>
    <w:p w:rsidR="009929D8" w:rsidRPr="00D639AB" w:rsidRDefault="009929D8" w:rsidP="006C307C">
      <w:pPr>
        <w:pStyle w:val="H23GA"/>
        <w:rPr>
          <w:rFonts w:hint="cs"/>
          <w:rtl/>
        </w:rPr>
      </w:pPr>
      <w:r>
        <w:rPr>
          <w:rFonts w:hint="cs"/>
          <w:rtl/>
        </w:rPr>
        <w:tab/>
      </w:r>
      <w:r>
        <w:rPr>
          <w:rFonts w:hint="cs"/>
          <w:rtl/>
        </w:rPr>
        <w:tab/>
      </w:r>
      <w:r w:rsidRPr="00D639AB">
        <w:rPr>
          <w:rtl/>
        </w:rPr>
        <w:t>التهم التي ينص عليها قانون ا</w:t>
      </w:r>
      <w:r>
        <w:rPr>
          <w:rtl/>
        </w:rPr>
        <w:t>لإجراءات الجنائية</w:t>
      </w:r>
    </w:p>
    <w:p w:rsidR="009929D8" w:rsidRPr="009607B3" w:rsidRDefault="006C307C" w:rsidP="006C307C">
      <w:pPr>
        <w:pStyle w:val="SingleTxtGA"/>
        <w:rPr>
          <w:rtl/>
        </w:rPr>
      </w:pPr>
      <w:r>
        <w:rPr>
          <w:rFonts w:hint="cs"/>
          <w:rtl/>
        </w:rPr>
        <w:t>(10)</w:t>
      </w:r>
      <w:r w:rsidR="009929D8">
        <w:rPr>
          <w:rFonts w:hint="cs"/>
          <w:rtl/>
        </w:rPr>
        <w:tab/>
      </w:r>
      <w:r w:rsidR="009929D8">
        <w:rPr>
          <w:rtl/>
        </w:rPr>
        <w:t xml:space="preserve">يساور اللجنة القلق </w:t>
      </w:r>
      <w:r w:rsidR="009929D8">
        <w:rPr>
          <w:rFonts w:hint="cs"/>
          <w:rtl/>
        </w:rPr>
        <w:t>ل</w:t>
      </w:r>
      <w:r w:rsidR="009929D8" w:rsidRPr="009607B3">
        <w:rPr>
          <w:rtl/>
        </w:rPr>
        <w:t>أن قانون الإجراءات الجنائية لم يُعدَّل للسماح للمحاكم بمواصلة الإجراء</w:t>
      </w:r>
      <w:r w:rsidR="009929D8">
        <w:rPr>
          <w:rtl/>
        </w:rPr>
        <w:t>ات الجنائية بالاستناد إلى سلطته</w:t>
      </w:r>
      <w:r w:rsidR="009929D8">
        <w:rPr>
          <w:rFonts w:hint="cs"/>
          <w:rtl/>
        </w:rPr>
        <w:t>ا</w:t>
      </w:r>
      <w:r w:rsidR="009929D8" w:rsidRPr="009607B3">
        <w:rPr>
          <w:rtl/>
        </w:rPr>
        <w:t xml:space="preserve"> التقديرية إذا تخلى الادعاء العام عن التهم (المواد 2 و12 و13).</w:t>
      </w:r>
    </w:p>
    <w:p w:rsidR="009929D8" w:rsidRPr="004125A8" w:rsidRDefault="009929D8" w:rsidP="006C307C">
      <w:pPr>
        <w:pStyle w:val="SingleTxtGA"/>
        <w:rPr>
          <w:b/>
          <w:bCs/>
          <w:rtl/>
        </w:rPr>
      </w:pPr>
      <w:r>
        <w:rPr>
          <w:rFonts w:hint="cs"/>
          <w:b/>
          <w:bCs/>
          <w:rtl/>
        </w:rPr>
        <w:tab/>
      </w:r>
      <w:r w:rsidRPr="004125A8">
        <w:rPr>
          <w:b/>
          <w:bCs/>
          <w:rtl/>
        </w:rPr>
        <w:t xml:space="preserve">وتكرر اللجنة التأكيد على توصيتها للدولة الطرف بأن تنظر في مراجعة قانون إجراءاتها الجنائية من أجل تنظيم سلطات الادعاء العام تجاه الهيئة القضائية حتى لا يؤدي سحب الادعاء العام للتهم إلى إنهاء الإجراءات الجنائية أو الحكم بالبراءة وإنما يكون ذلك بقرار </w:t>
      </w:r>
      <w:r w:rsidRPr="004125A8">
        <w:rPr>
          <w:rFonts w:hint="cs"/>
          <w:b/>
          <w:bCs/>
          <w:rtl/>
        </w:rPr>
        <w:t>المحكمة</w:t>
      </w:r>
      <w:r w:rsidRPr="004125A8">
        <w:rPr>
          <w:b/>
          <w:bCs/>
          <w:rtl/>
        </w:rPr>
        <w:t>.</w:t>
      </w:r>
    </w:p>
    <w:p w:rsidR="009929D8" w:rsidRPr="00D639AB" w:rsidRDefault="009929D8" w:rsidP="006C307C">
      <w:pPr>
        <w:pStyle w:val="H23GA"/>
        <w:rPr>
          <w:rFonts w:hint="cs"/>
          <w:rtl/>
        </w:rPr>
      </w:pPr>
      <w:r>
        <w:rPr>
          <w:rFonts w:hint="cs"/>
          <w:rtl/>
        </w:rPr>
        <w:tab/>
      </w:r>
      <w:r>
        <w:rPr>
          <w:rFonts w:hint="cs"/>
          <w:rtl/>
        </w:rPr>
        <w:tab/>
      </w:r>
      <w:r>
        <w:rPr>
          <w:rtl/>
        </w:rPr>
        <w:t>استخدام القوة</w:t>
      </w:r>
    </w:p>
    <w:p w:rsidR="009929D8" w:rsidRPr="009607B3" w:rsidRDefault="006C307C" w:rsidP="00086AA1">
      <w:pPr>
        <w:pStyle w:val="SingleTxtGA"/>
        <w:spacing w:line="366" w:lineRule="exact"/>
        <w:rPr>
          <w:rFonts w:hint="cs"/>
          <w:rtl/>
        </w:rPr>
      </w:pPr>
      <w:r>
        <w:rPr>
          <w:rFonts w:hint="cs"/>
          <w:rtl/>
        </w:rPr>
        <w:t>(11)</w:t>
      </w:r>
      <w:r w:rsidR="009929D8">
        <w:rPr>
          <w:rFonts w:hint="cs"/>
          <w:rtl/>
        </w:rPr>
        <w:tab/>
      </w:r>
      <w:r w:rsidR="009929D8" w:rsidRPr="009607B3">
        <w:rPr>
          <w:rtl/>
        </w:rPr>
        <w:t>يساور اللجنة القلق إزاء المعلومات التي تفيد بأن الطلبات الرسمية المقدمة إلى المستشار العدلي أو مكتب المدعي العام لم تسفر عن أي محاكمات فيما يتع</w:t>
      </w:r>
      <w:r w:rsidR="009929D8">
        <w:rPr>
          <w:rtl/>
        </w:rPr>
        <w:t>لق بادعاءات المعاملة الوحشية و</w:t>
      </w:r>
      <w:r w:rsidR="009929D8" w:rsidRPr="009607B3">
        <w:rPr>
          <w:rtl/>
        </w:rPr>
        <w:t xml:space="preserve">الاستخدام المفرط للقوة من جانب </w:t>
      </w:r>
      <w:r w:rsidR="009929D8">
        <w:rPr>
          <w:rtl/>
        </w:rPr>
        <w:t>الموظفين المكلفين بإنفاذ الق</w:t>
      </w:r>
      <w:r w:rsidR="009929D8">
        <w:rPr>
          <w:rFonts w:hint="cs"/>
          <w:rtl/>
        </w:rPr>
        <w:t>انو</w:t>
      </w:r>
      <w:r w:rsidR="009929D8" w:rsidRPr="009607B3">
        <w:rPr>
          <w:rtl/>
        </w:rPr>
        <w:t xml:space="preserve">ن خلال الأحداث التي عرفتها تالين في نيسان/أبريل 2007. ويساورها القلق علاوة على ذلك إزاء حالات الاستخدام "المفرط" للقوة من جانب موظفي إنفاذ القانون، ولأن تحقيق الدولة الطرف في هذه الأحداث لم يكن كافياً، ولأن السلطات لم تحاول الحصول على أدلة إضافية سواء باستجواب مقدمي الطلبات شخصياً أو بتنظيم مقابلات مع الشهود، حسبما رأت المحكمة </w:t>
      </w:r>
      <w:r w:rsidR="009929D8">
        <w:rPr>
          <w:rFonts w:hint="cs"/>
          <w:rtl/>
        </w:rPr>
        <w:t>الأوروبي</w:t>
      </w:r>
      <w:r w:rsidR="009929D8" w:rsidRPr="009607B3">
        <w:rPr>
          <w:rFonts w:hint="cs"/>
          <w:rtl/>
        </w:rPr>
        <w:t>ة</w:t>
      </w:r>
      <w:r w:rsidR="009929D8" w:rsidRPr="009607B3">
        <w:rPr>
          <w:rtl/>
        </w:rPr>
        <w:t xml:space="preserve"> لحقوق الإنسان (المواد 2 و10 و12 و13 و14 و</w:t>
      </w:r>
      <w:r w:rsidR="009929D8">
        <w:rPr>
          <w:rtl/>
        </w:rPr>
        <w:t>16).</w:t>
      </w:r>
    </w:p>
    <w:p w:rsidR="009929D8" w:rsidRPr="00467A4D" w:rsidRDefault="009929D8" w:rsidP="00086AA1">
      <w:pPr>
        <w:pStyle w:val="SingleTxtGA"/>
        <w:keepNext/>
        <w:keepLines/>
        <w:spacing w:line="366" w:lineRule="exact"/>
        <w:rPr>
          <w:b/>
          <w:bCs/>
          <w:rtl/>
        </w:rPr>
      </w:pPr>
      <w:r w:rsidRPr="00467A4D">
        <w:rPr>
          <w:rFonts w:hint="cs"/>
          <w:b/>
          <w:bCs/>
          <w:rtl/>
        </w:rPr>
        <w:tab/>
      </w:r>
      <w:r w:rsidRPr="00467A4D">
        <w:rPr>
          <w:b/>
          <w:bCs/>
          <w:rtl/>
        </w:rPr>
        <w:t>وينبغي للدولة الطرف أن:</w:t>
      </w:r>
    </w:p>
    <w:p w:rsidR="009929D8" w:rsidRPr="00467A4D" w:rsidRDefault="009929D8" w:rsidP="00086AA1">
      <w:pPr>
        <w:pStyle w:val="SingleTxtGA"/>
        <w:keepNext/>
        <w:keepLines/>
        <w:spacing w:line="366" w:lineRule="exact"/>
        <w:rPr>
          <w:rFonts w:hint="cs"/>
          <w:b/>
          <w:bCs/>
          <w:rtl/>
        </w:rPr>
      </w:pPr>
      <w:r w:rsidRPr="00467A4D">
        <w:rPr>
          <w:rFonts w:hint="cs"/>
          <w:b/>
          <w:bCs/>
          <w:rtl/>
        </w:rPr>
        <w:tab/>
        <w:t>(أ)</w:t>
      </w:r>
      <w:r w:rsidRPr="00467A4D">
        <w:rPr>
          <w:rFonts w:hint="cs"/>
          <w:b/>
          <w:bCs/>
          <w:rtl/>
        </w:rPr>
        <w:tab/>
      </w:r>
      <w:r w:rsidRPr="00467A4D">
        <w:rPr>
          <w:b/>
          <w:bCs/>
          <w:rtl/>
        </w:rPr>
        <w:t>تجري تح</w:t>
      </w:r>
      <w:r w:rsidRPr="00467A4D">
        <w:rPr>
          <w:rFonts w:hint="cs"/>
          <w:b/>
          <w:bCs/>
          <w:rtl/>
        </w:rPr>
        <w:t>قيق</w:t>
      </w:r>
      <w:r w:rsidRPr="00467A4D">
        <w:rPr>
          <w:b/>
          <w:bCs/>
          <w:rtl/>
        </w:rPr>
        <w:t xml:space="preserve">ات فورية ودقيقة وفعالة ونزيهة </w:t>
      </w:r>
      <w:r w:rsidRPr="00467A4D">
        <w:rPr>
          <w:rFonts w:hint="cs"/>
          <w:b/>
          <w:bCs/>
          <w:rtl/>
        </w:rPr>
        <w:t>في</w:t>
      </w:r>
      <w:r w:rsidRPr="00467A4D">
        <w:rPr>
          <w:b/>
          <w:bCs/>
          <w:rtl/>
        </w:rPr>
        <w:t xml:space="preserve"> ادعاءات التعذيب وسوء المعاملة والاستخدام المفرط للقوة من جانب الموظفين المكلفين بإنفاذ القانون، وتقاضي الموظفين الذين تثبت مسؤوليتهم عن هذه الجرائم وتنزل بهم عقوبات مناسبة؛</w:t>
      </w:r>
    </w:p>
    <w:p w:rsidR="009929D8" w:rsidRPr="00467A4D" w:rsidRDefault="009929D8" w:rsidP="00086AA1">
      <w:pPr>
        <w:pStyle w:val="SingleTxtGA"/>
        <w:spacing w:line="366" w:lineRule="exact"/>
        <w:rPr>
          <w:b/>
          <w:bCs/>
          <w:rtl/>
        </w:rPr>
      </w:pPr>
      <w:r w:rsidRPr="00467A4D">
        <w:rPr>
          <w:rFonts w:hint="cs"/>
          <w:b/>
          <w:bCs/>
          <w:rtl/>
        </w:rPr>
        <w:tab/>
        <w:t>(ب)</w:t>
      </w:r>
      <w:r w:rsidRPr="00467A4D">
        <w:rPr>
          <w:rFonts w:hint="cs"/>
          <w:b/>
          <w:bCs/>
          <w:rtl/>
        </w:rPr>
        <w:tab/>
      </w:r>
      <w:r w:rsidRPr="00467A4D">
        <w:rPr>
          <w:b/>
          <w:bCs/>
          <w:rtl/>
        </w:rPr>
        <w:t>تنشئ سجلاً خاصاً لادعاءات التعذيب والمعاملة والعقوبة القاسية أو</w:t>
      </w:r>
      <w:r>
        <w:rPr>
          <w:rFonts w:hint="cs"/>
          <w:b/>
          <w:bCs/>
          <w:rtl/>
        </w:rPr>
        <w:t> </w:t>
      </w:r>
      <w:r w:rsidRPr="00467A4D">
        <w:rPr>
          <w:b/>
          <w:bCs/>
          <w:rtl/>
        </w:rPr>
        <w:t>اللاإنسانية أو المهينة وآلية مستقلة للتحقيق في ادعاءات التعذيب وسوء المعاملة؛</w:t>
      </w:r>
    </w:p>
    <w:p w:rsidR="009929D8" w:rsidRPr="00B07E0C" w:rsidRDefault="009929D8" w:rsidP="00086AA1">
      <w:pPr>
        <w:pStyle w:val="SingleTxtGA"/>
        <w:spacing w:line="366" w:lineRule="exact"/>
        <w:rPr>
          <w:b/>
          <w:bCs/>
          <w:rtl/>
        </w:rPr>
      </w:pPr>
      <w:r w:rsidRPr="00B07E0C">
        <w:rPr>
          <w:b/>
          <w:bCs/>
          <w:rtl/>
        </w:rPr>
        <w:tab/>
      </w:r>
      <w:r w:rsidRPr="00B07E0C">
        <w:rPr>
          <w:rFonts w:hint="cs"/>
          <w:b/>
          <w:bCs/>
          <w:rtl/>
        </w:rPr>
        <w:t>(ج)</w:t>
      </w:r>
      <w:r w:rsidRPr="00B07E0C">
        <w:rPr>
          <w:rFonts w:hint="cs"/>
          <w:b/>
          <w:bCs/>
          <w:rtl/>
        </w:rPr>
        <w:tab/>
      </w:r>
      <w:r w:rsidRPr="00B07E0C">
        <w:rPr>
          <w:b/>
          <w:bCs/>
          <w:rtl/>
        </w:rPr>
        <w:t>تضمن حصول جميع ضحايا التعذيب وسوء المعاملة على الجبر وتمتعهم بحق قابل للتنفيذ قانونياً في تعويض عادل ومناسب، بما في ذلك وسائل إعادة تأهيلهم على أكمل وجه ممكن، وفقاً للمادة 14 من الاتفاقية؛</w:t>
      </w:r>
    </w:p>
    <w:p w:rsidR="009929D8" w:rsidRPr="007F5FAC" w:rsidRDefault="009929D8" w:rsidP="00086AA1">
      <w:pPr>
        <w:pStyle w:val="SingleTxtGA"/>
        <w:spacing w:line="366" w:lineRule="exact"/>
        <w:rPr>
          <w:rFonts w:hint="cs"/>
          <w:b/>
          <w:bCs/>
          <w:rtl/>
        </w:rPr>
      </w:pPr>
      <w:r w:rsidRPr="007F5FAC">
        <w:rPr>
          <w:rFonts w:hint="cs"/>
          <w:b/>
          <w:bCs/>
          <w:rtl/>
        </w:rPr>
        <w:tab/>
      </w:r>
      <w:r w:rsidRPr="007F5FAC">
        <w:rPr>
          <w:b/>
          <w:bCs/>
          <w:rtl/>
        </w:rPr>
        <w:t>(</w:t>
      </w:r>
      <w:r w:rsidRPr="007F5FAC">
        <w:rPr>
          <w:rFonts w:hint="cs"/>
          <w:b/>
          <w:bCs/>
          <w:rtl/>
        </w:rPr>
        <w:t>د</w:t>
      </w:r>
      <w:r w:rsidRPr="007F5FAC">
        <w:rPr>
          <w:b/>
          <w:bCs/>
          <w:rtl/>
        </w:rPr>
        <w:t>)</w:t>
      </w:r>
      <w:r w:rsidRPr="007F5FAC">
        <w:rPr>
          <w:b/>
          <w:bCs/>
          <w:rtl/>
        </w:rPr>
        <w:tab/>
        <w:t>تضمن تلقي الموظفين المكلفين بإنفاذ القانون تدريباً بشأن الحظر المطلق للتعذيب وبشأن المعايير الدولية المتعلقة باستخدام القوة والأسلحة النارية، بما في ذلك المسؤوليات في حالات الاستخدام المفرط للقوة؛</w:t>
      </w:r>
    </w:p>
    <w:p w:rsidR="009929D8" w:rsidRPr="00F82671" w:rsidRDefault="009929D8" w:rsidP="00086AA1">
      <w:pPr>
        <w:pStyle w:val="SingleTxtGA"/>
        <w:spacing w:line="366" w:lineRule="exact"/>
        <w:rPr>
          <w:b/>
          <w:bCs/>
          <w:rtl/>
        </w:rPr>
      </w:pPr>
      <w:r w:rsidRPr="00F82671">
        <w:rPr>
          <w:rFonts w:hint="cs"/>
          <w:b/>
          <w:bCs/>
          <w:rtl/>
        </w:rPr>
        <w:tab/>
      </w:r>
      <w:r w:rsidRPr="00F82671">
        <w:rPr>
          <w:b/>
          <w:bCs/>
          <w:rtl/>
        </w:rPr>
        <w:t>(</w:t>
      </w:r>
      <w:r w:rsidRPr="00F82671">
        <w:rPr>
          <w:rFonts w:hint="cs"/>
          <w:b/>
          <w:bCs/>
          <w:sz w:val="30"/>
          <w:rtl/>
        </w:rPr>
        <w:t>ﻫ</w:t>
      </w:r>
      <w:r w:rsidRPr="00F82671">
        <w:rPr>
          <w:b/>
          <w:bCs/>
          <w:rtl/>
        </w:rPr>
        <w:t>)</w:t>
      </w:r>
      <w:r w:rsidRPr="00F82671">
        <w:rPr>
          <w:b/>
          <w:bCs/>
          <w:rtl/>
        </w:rPr>
        <w:tab/>
        <w:t>تضمن</w:t>
      </w:r>
      <w:r>
        <w:rPr>
          <w:b/>
          <w:bCs/>
          <w:rtl/>
        </w:rPr>
        <w:t xml:space="preserve"> ت</w:t>
      </w:r>
      <w:r>
        <w:rPr>
          <w:rFonts w:hint="cs"/>
          <w:b/>
          <w:bCs/>
          <w:rtl/>
        </w:rPr>
        <w:t>لقي</w:t>
      </w:r>
      <w:r w:rsidRPr="00F82671">
        <w:rPr>
          <w:b/>
          <w:bCs/>
          <w:rtl/>
        </w:rPr>
        <w:t xml:space="preserve"> الموظفين المكلفين بإنفاذ القانون </w:t>
      </w:r>
      <w:r>
        <w:rPr>
          <w:rFonts w:hint="cs"/>
          <w:b/>
          <w:bCs/>
          <w:rtl/>
        </w:rPr>
        <w:t xml:space="preserve">تدريباً </w:t>
      </w:r>
      <w:r w:rsidRPr="00F82671">
        <w:rPr>
          <w:b/>
          <w:bCs/>
          <w:rtl/>
        </w:rPr>
        <w:t>في التقنيات المهنية التي تقلل من مخاطر إلحاق أي ضرر بالأشخاص الموقوفين.</w:t>
      </w:r>
    </w:p>
    <w:p w:rsidR="009929D8" w:rsidRPr="00D639AB" w:rsidRDefault="009929D8" w:rsidP="00086AA1">
      <w:pPr>
        <w:pStyle w:val="H23GA"/>
        <w:spacing w:line="366" w:lineRule="exact"/>
        <w:rPr>
          <w:rtl/>
        </w:rPr>
      </w:pPr>
      <w:r>
        <w:rPr>
          <w:rFonts w:hint="cs"/>
          <w:rtl/>
        </w:rPr>
        <w:tab/>
      </w:r>
      <w:r>
        <w:rPr>
          <w:rFonts w:hint="cs"/>
          <w:rtl/>
        </w:rPr>
        <w:tab/>
      </w:r>
      <w:r w:rsidRPr="00D639AB">
        <w:rPr>
          <w:rtl/>
        </w:rPr>
        <w:t>العنف المنزلي</w:t>
      </w:r>
    </w:p>
    <w:p w:rsidR="009929D8" w:rsidRPr="009607B3" w:rsidRDefault="006C307C" w:rsidP="00086AA1">
      <w:pPr>
        <w:pStyle w:val="SingleTxtGA"/>
        <w:spacing w:line="366" w:lineRule="exact"/>
        <w:rPr>
          <w:rtl/>
        </w:rPr>
      </w:pPr>
      <w:r>
        <w:rPr>
          <w:rFonts w:hint="cs"/>
          <w:rtl/>
        </w:rPr>
        <w:t>(</w:t>
      </w:r>
      <w:r w:rsidR="009929D8">
        <w:rPr>
          <w:rFonts w:hint="cs"/>
          <w:rtl/>
        </w:rPr>
        <w:t>12</w:t>
      </w:r>
      <w:r>
        <w:rPr>
          <w:rFonts w:hint="cs"/>
          <w:rtl/>
        </w:rPr>
        <w:t>)</w:t>
      </w:r>
      <w:r w:rsidR="009929D8">
        <w:rPr>
          <w:rFonts w:hint="cs"/>
          <w:rtl/>
        </w:rPr>
        <w:tab/>
        <w:t>تشير</w:t>
      </w:r>
      <w:r w:rsidR="009929D8" w:rsidRPr="009607B3">
        <w:rPr>
          <w:rtl/>
        </w:rPr>
        <w:t xml:space="preserve"> اللجنة إلى ملاحظاتها الختامية السابقة (الفقرة 21) والخطة والمبادئ التوجيهية الجديدة للحد من هذا العنف، </w:t>
      </w:r>
      <w:r w:rsidR="009929D8">
        <w:rPr>
          <w:rFonts w:hint="cs"/>
          <w:rtl/>
        </w:rPr>
        <w:t xml:space="preserve">وتؤكد </w:t>
      </w:r>
      <w:r w:rsidR="009929D8" w:rsidRPr="009607B3">
        <w:rPr>
          <w:rtl/>
        </w:rPr>
        <w:t>أنها لا تزال قلقة إزاء استمرار غياب تشريعات محددة لمنع العنف المنزلي ومكافحته ولأن العنف المنزلي ليس جريمة قائمة بذاتها في القانون الجنائي (المواد 1 و2 و4 و12 و13 و14 و16).</w:t>
      </w:r>
    </w:p>
    <w:p w:rsidR="009929D8" w:rsidRPr="00FE1DC7" w:rsidRDefault="009929D8" w:rsidP="006C307C">
      <w:pPr>
        <w:pStyle w:val="SingleTxtGA"/>
        <w:rPr>
          <w:b/>
          <w:bCs/>
          <w:rtl/>
        </w:rPr>
      </w:pPr>
      <w:r w:rsidRPr="00FE1DC7">
        <w:rPr>
          <w:rFonts w:hint="cs"/>
          <w:b/>
          <w:bCs/>
          <w:rtl/>
        </w:rPr>
        <w:tab/>
      </w:r>
      <w:r w:rsidRPr="00FE1DC7">
        <w:rPr>
          <w:b/>
          <w:bCs/>
          <w:rtl/>
        </w:rPr>
        <w:t>وينبغي للدولة الطرف أن:</w:t>
      </w:r>
    </w:p>
    <w:p w:rsidR="009929D8" w:rsidRPr="00FE1DC7" w:rsidRDefault="009929D8" w:rsidP="006C307C">
      <w:pPr>
        <w:pStyle w:val="SingleTxtGA"/>
        <w:rPr>
          <w:b/>
          <w:bCs/>
          <w:rtl/>
        </w:rPr>
      </w:pPr>
      <w:r w:rsidRPr="00FE1DC7">
        <w:rPr>
          <w:b/>
          <w:bCs/>
          <w:rtl/>
        </w:rPr>
        <w:tab/>
      </w:r>
      <w:r w:rsidRPr="00FE1DC7">
        <w:rPr>
          <w:rFonts w:hint="cs"/>
          <w:b/>
          <w:bCs/>
          <w:rtl/>
        </w:rPr>
        <w:t>(أ)</w:t>
      </w:r>
      <w:r w:rsidRPr="00FE1DC7">
        <w:rPr>
          <w:rFonts w:hint="cs"/>
          <w:b/>
          <w:bCs/>
          <w:rtl/>
        </w:rPr>
        <w:tab/>
      </w:r>
      <w:r w:rsidRPr="00FE1DC7">
        <w:rPr>
          <w:b/>
          <w:bCs/>
          <w:rtl/>
        </w:rPr>
        <w:t>تعتمد، على وجه الأولوية، تشريعات شاملة بش</w:t>
      </w:r>
      <w:r w:rsidRPr="00FE1DC7">
        <w:rPr>
          <w:rFonts w:hint="cs"/>
          <w:b/>
          <w:bCs/>
          <w:rtl/>
        </w:rPr>
        <w:t>أ</w:t>
      </w:r>
      <w:r w:rsidRPr="00FE1DC7">
        <w:rPr>
          <w:b/>
          <w:bCs/>
          <w:rtl/>
        </w:rPr>
        <w:t>ن العنف ضد المرأة من شأنها أن تجعل من العنف المنزلي والاغتصاب في إطار الزواج جريمتين جنائيتين محددتين؛</w:t>
      </w:r>
    </w:p>
    <w:p w:rsidR="009929D8" w:rsidRPr="00CB04AD" w:rsidRDefault="009929D8" w:rsidP="006C307C">
      <w:pPr>
        <w:pStyle w:val="SingleTxtGA"/>
        <w:rPr>
          <w:rFonts w:hint="cs"/>
          <w:b/>
          <w:bCs/>
          <w:rtl/>
        </w:rPr>
      </w:pPr>
      <w:r w:rsidRPr="00CB04AD">
        <w:rPr>
          <w:b/>
          <w:bCs/>
          <w:rtl/>
        </w:rPr>
        <w:tab/>
      </w:r>
      <w:r w:rsidRPr="00CB04AD">
        <w:rPr>
          <w:rFonts w:hint="cs"/>
          <w:b/>
          <w:bCs/>
          <w:rtl/>
        </w:rPr>
        <w:t>(ب)</w:t>
      </w:r>
      <w:r w:rsidRPr="00CB04AD">
        <w:rPr>
          <w:rFonts w:hint="cs"/>
          <w:b/>
          <w:bCs/>
          <w:rtl/>
        </w:rPr>
        <w:tab/>
      </w:r>
      <w:r w:rsidRPr="00CB04AD">
        <w:rPr>
          <w:b/>
          <w:bCs/>
          <w:rtl/>
        </w:rPr>
        <w:t xml:space="preserve">تضمن التنفيذ الفعال لخطة </w:t>
      </w:r>
      <w:r w:rsidRPr="00CB04AD">
        <w:rPr>
          <w:rFonts w:hint="cs"/>
          <w:b/>
          <w:bCs/>
          <w:rtl/>
        </w:rPr>
        <w:t>التنمية المتعلقة بالحد</w:t>
      </w:r>
      <w:r w:rsidRPr="00CB04AD">
        <w:rPr>
          <w:b/>
          <w:bCs/>
          <w:rtl/>
        </w:rPr>
        <w:t xml:space="preserve"> من العنف ومنعه للفترة</w:t>
      </w:r>
      <w:r>
        <w:rPr>
          <w:rFonts w:hint="cs"/>
          <w:b/>
          <w:bCs/>
          <w:rtl/>
        </w:rPr>
        <w:t> </w:t>
      </w:r>
      <w:r w:rsidRPr="00CB04AD">
        <w:rPr>
          <w:b/>
          <w:bCs/>
          <w:rtl/>
        </w:rPr>
        <w:t>2010-2014؛</w:t>
      </w:r>
    </w:p>
    <w:p w:rsidR="009929D8" w:rsidRPr="00C0288B" w:rsidRDefault="009929D8" w:rsidP="006C307C">
      <w:pPr>
        <w:pStyle w:val="SingleTxtGA"/>
        <w:rPr>
          <w:b/>
          <w:bCs/>
          <w:rtl/>
        </w:rPr>
      </w:pPr>
      <w:r w:rsidRPr="00C0288B">
        <w:rPr>
          <w:b/>
          <w:bCs/>
          <w:rtl/>
        </w:rPr>
        <w:tab/>
      </w:r>
      <w:r w:rsidRPr="00C0288B">
        <w:rPr>
          <w:rFonts w:hint="cs"/>
          <w:b/>
          <w:bCs/>
          <w:rtl/>
        </w:rPr>
        <w:t>(ج)</w:t>
      </w:r>
      <w:r w:rsidRPr="00C0288B">
        <w:rPr>
          <w:rFonts w:hint="cs"/>
          <w:b/>
          <w:bCs/>
          <w:rtl/>
        </w:rPr>
        <w:tab/>
      </w:r>
      <w:r w:rsidRPr="00C0288B">
        <w:rPr>
          <w:b/>
          <w:bCs/>
          <w:rtl/>
        </w:rPr>
        <w:t>تنشئ لضحايا العنف المنزلي آلية فعالة ومستقلة لتقديم الشكاوى؛</w:t>
      </w:r>
    </w:p>
    <w:p w:rsidR="009929D8" w:rsidRPr="00C0288B" w:rsidRDefault="009929D8" w:rsidP="006C307C">
      <w:pPr>
        <w:pStyle w:val="SingleTxtGA"/>
        <w:rPr>
          <w:b/>
          <w:bCs/>
          <w:rtl/>
        </w:rPr>
      </w:pPr>
      <w:r w:rsidRPr="00C0288B">
        <w:rPr>
          <w:b/>
          <w:bCs/>
          <w:rtl/>
        </w:rPr>
        <w:tab/>
      </w:r>
      <w:r w:rsidRPr="00C0288B">
        <w:rPr>
          <w:rFonts w:hint="cs"/>
          <w:b/>
          <w:bCs/>
          <w:rtl/>
        </w:rPr>
        <w:t>(د)</w:t>
      </w:r>
      <w:r w:rsidRPr="00C0288B">
        <w:rPr>
          <w:rFonts w:hint="cs"/>
          <w:b/>
          <w:bCs/>
          <w:rtl/>
        </w:rPr>
        <w:tab/>
      </w:r>
      <w:r w:rsidRPr="00C0288B">
        <w:rPr>
          <w:b/>
          <w:bCs/>
          <w:rtl/>
        </w:rPr>
        <w:t>تضمن تس</w:t>
      </w:r>
      <w:r w:rsidRPr="00C0288B">
        <w:rPr>
          <w:rFonts w:hint="cs"/>
          <w:b/>
          <w:bCs/>
          <w:rtl/>
        </w:rPr>
        <w:t>ج</w:t>
      </w:r>
      <w:r w:rsidRPr="00C0288B">
        <w:rPr>
          <w:b/>
          <w:bCs/>
          <w:rtl/>
        </w:rPr>
        <w:t>يل الشرطة لجميع ادعاءات العنف المنزلي، بما فيها العنف الجنسي والعنف ضد الأطفال، والتحقيق فوراً وبنزاهة وفعالية في جميع ادعاءات العنف، ومقاضاة الجناة ومعاقبتهم؛</w:t>
      </w:r>
    </w:p>
    <w:p w:rsidR="009929D8" w:rsidRPr="00C0288B" w:rsidRDefault="009929D8" w:rsidP="006C307C">
      <w:pPr>
        <w:pStyle w:val="SingleTxtGA"/>
        <w:rPr>
          <w:b/>
          <w:bCs/>
          <w:rtl/>
        </w:rPr>
      </w:pPr>
      <w:r w:rsidRPr="00C0288B">
        <w:rPr>
          <w:rFonts w:hint="cs"/>
          <w:b/>
          <w:bCs/>
          <w:rtl/>
        </w:rPr>
        <w:tab/>
      </w:r>
      <w:r w:rsidRPr="00C0288B">
        <w:rPr>
          <w:b/>
          <w:bCs/>
          <w:rtl/>
        </w:rPr>
        <w:t>(</w:t>
      </w:r>
      <w:r w:rsidRPr="00C0288B">
        <w:rPr>
          <w:rFonts w:hint="cs"/>
          <w:b/>
          <w:bCs/>
          <w:sz w:val="30"/>
          <w:rtl/>
        </w:rPr>
        <w:t>ﻫ</w:t>
      </w:r>
      <w:r>
        <w:rPr>
          <w:b/>
          <w:bCs/>
          <w:rtl/>
        </w:rPr>
        <w:t>)</w:t>
      </w:r>
      <w:r>
        <w:rPr>
          <w:b/>
          <w:bCs/>
          <w:rtl/>
        </w:rPr>
        <w:tab/>
        <w:t>تضمن استفادة ضحايا العنف</w:t>
      </w:r>
      <w:r w:rsidRPr="00C0288B">
        <w:rPr>
          <w:b/>
          <w:bCs/>
          <w:rtl/>
        </w:rPr>
        <w:t xml:space="preserve"> المنزلي من الحماية، بما في ذلك الأوامر الزجرية الوقائية، وإمكانية وصولهم </w:t>
      </w:r>
      <w:r w:rsidRPr="00C0288B">
        <w:rPr>
          <w:rFonts w:hint="cs"/>
          <w:b/>
          <w:bCs/>
          <w:rtl/>
        </w:rPr>
        <w:t>إ</w:t>
      </w:r>
      <w:r w:rsidRPr="00C0288B">
        <w:rPr>
          <w:b/>
          <w:bCs/>
          <w:rtl/>
        </w:rPr>
        <w:t>لى الخدمات الطبية والقانونية، بما في ذلك المشورة، وإلى إعادة التأهيل ومأوى مأمون وممول بشكل كافٍ؛</w:t>
      </w:r>
    </w:p>
    <w:p w:rsidR="009929D8" w:rsidRPr="00B436B4" w:rsidRDefault="009929D8" w:rsidP="006C307C">
      <w:pPr>
        <w:pStyle w:val="SingleTxtGA"/>
        <w:rPr>
          <w:b/>
          <w:bCs/>
          <w:rtl/>
        </w:rPr>
      </w:pPr>
      <w:r w:rsidRPr="00B436B4">
        <w:rPr>
          <w:b/>
          <w:bCs/>
          <w:rtl/>
        </w:rPr>
        <w:tab/>
      </w:r>
      <w:r w:rsidRPr="00B436B4">
        <w:rPr>
          <w:rFonts w:hint="cs"/>
          <w:b/>
          <w:bCs/>
          <w:rtl/>
        </w:rPr>
        <w:t>(و)</w:t>
      </w:r>
      <w:r w:rsidRPr="00B436B4">
        <w:rPr>
          <w:rFonts w:hint="cs"/>
          <w:b/>
          <w:bCs/>
          <w:rtl/>
        </w:rPr>
        <w:tab/>
        <w:t>تقوم بتوعية</w:t>
      </w:r>
      <w:r w:rsidRPr="00B436B4">
        <w:rPr>
          <w:b/>
          <w:bCs/>
          <w:rtl/>
        </w:rPr>
        <w:t xml:space="preserve"> الموظفين المكلفين بإنفاذ القانون بحالات العنف المنزلي وتدربهم على التحقيق فيها ومقاضا</w:t>
      </w:r>
      <w:r w:rsidRPr="00B436B4">
        <w:rPr>
          <w:rFonts w:hint="cs"/>
          <w:b/>
          <w:bCs/>
          <w:rtl/>
        </w:rPr>
        <w:t>ة مرتكبيها</w:t>
      </w:r>
      <w:r w:rsidRPr="00B436B4">
        <w:rPr>
          <w:b/>
          <w:bCs/>
          <w:rtl/>
        </w:rPr>
        <w:t>؛</w:t>
      </w:r>
    </w:p>
    <w:p w:rsidR="009929D8" w:rsidRPr="00A8520F" w:rsidRDefault="009929D8" w:rsidP="006C307C">
      <w:pPr>
        <w:pStyle w:val="SingleTxtGA"/>
        <w:rPr>
          <w:rFonts w:hint="cs"/>
          <w:rtl/>
        </w:rPr>
      </w:pPr>
      <w:r w:rsidRPr="00B436B4">
        <w:rPr>
          <w:b/>
          <w:bCs/>
          <w:rtl/>
        </w:rPr>
        <w:tab/>
      </w:r>
      <w:r w:rsidRPr="00B436B4">
        <w:rPr>
          <w:rFonts w:hint="cs"/>
          <w:b/>
          <w:bCs/>
          <w:rtl/>
        </w:rPr>
        <w:t>(ز)</w:t>
      </w:r>
      <w:r w:rsidRPr="00B436B4">
        <w:rPr>
          <w:rFonts w:hint="cs"/>
          <w:b/>
          <w:bCs/>
          <w:rtl/>
        </w:rPr>
        <w:tab/>
      </w:r>
      <w:r w:rsidRPr="00B436B4">
        <w:rPr>
          <w:b/>
          <w:bCs/>
          <w:rtl/>
        </w:rPr>
        <w:t xml:space="preserve">تجمع بيانات مفصلة عن عدد الشكاوى والتحقيقات والمحاكمات والأحكام الصادرة بشأن أعمال العنف المنزلي، وعن تقديم الجبر إلى الضحايا، </w:t>
      </w:r>
      <w:r w:rsidRPr="00B436B4">
        <w:rPr>
          <w:rFonts w:hint="cs"/>
          <w:b/>
          <w:bCs/>
          <w:rtl/>
        </w:rPr>
        <w:t>و</w:t>
      </w:r>
      <w:r w:rsidRPr="00B436B4">
        <w:rPr>
          <w:b/>
          <w:bCs/>
          <w:rtl/>
        </w:rPr>
        <w:t>الصعوبات المواجهة في منع هذه الأعمال؛ وتقدم هذه البيانات إلى اللجنة.</w:t>
      </w:r>
    </w:p>
    <w:p w:rsidR="009929D8" w:rsidRPr="009607B3" w:rsidRDefault="009929D8" w:rsidP="006C307C">
      <w:pPr>
        <w:pStyle w:val="H23GA"/>
        <w:rPr>
          <w:rtl/>
        </w:rPr>
      </w:pPr>
      <w:r>
        <w:rPr>
          <w:rFonts w:hint="cs"/>
          <w:rtl/>
        </w:rPr>
        <w:tab/>
      </w:r>
      <w:r>
        <w:rPr>
          <w:rFonts w:hint="cs"/>
          <w:rtl/>
        </w:rPr>
        <w:tab/>
      </w:r>
      <w:r w:rsidRPr="00A8520F">
        <w:rPr>
          <w:rtl/>
        </w:rPr>
        <w:t>الاتجار</w:t>
      </w:r>
    </w:p>
    <w:p w:rsidR="009929D8" w:rsidRPr="009607B3" w:rsidRDefault="006C307C" w:rsidP="006C307C">
      <w:pPr>
        <w:pStyle w:val="SingleTxtGA"/>
        <w:rPr>
          <w:rFonts w:hint="cs"/>
          <w:rtl/>
        </w:rPr>
      </w:pPr>
      <w:r>
        <w:rPr>
          <w:rFonts w:hint="cs"/>
          <w:rtl/>
        </w:rPr>
        <w:t>(</w:t>
      </w:r>
      <w:r w:rsidR="009929D8">
        <w:rPr>
          <w:rFonts w:hint="cs"/>
          <w:rtl/>
        </w:rPr>
        <w:t>13</w:t>
      </w:r>
      <w:r>
        <w:rPr>
          <w:rFonts w:hint="cs"/>
          <w:rtl/>
        </w:rPr>
        <w:t>)</w:t>
      </w:r>
      <w:r w:rsidR="009929D8">
        <w:rPr>
          <w:rFonts w:hint="cs"/>
          <w:rtl/>
        </w:rPr>
        <w:tab/>
        <w:t>ترحب</w:t>
      </w:r>
      <w:r w:rsidR="009929D8" w:rsidRPr="009607B3">
        <w:rPr>
          <w:rtl/>
        </w:rPr>
        <w:t xml:space="preserve"> اللجنة بالتعديلات المدخلة على القانون الجنائي فيما يخص الاتجار بالبشر، ولكنها </w:t>
      </w:r>
      <w:r w:rsidR="009929D8">
        <w:rPr>
          <w:rFonts w:hint="cs"/>
          <w:rtl/>
        </w:rPr>
        <w:t>تعرب</w:t>
      </w:r>
      <w:r w:rsidR="009929D8">
        <w:rPr>
          <w:rtl/>
        </w:rPr>
        <w:t xml:space="preserve"> عن قلقها لأن الدولة الطرف لا</w:t>
      </w:r>
      <w:r w:rsidR="009929D8" w:rsidRPr="009607B3">
        <w:rPr>
          <w:rtl/>
        </w:rPr>
        <w:t xml:space="preserve"> تزال بلد منشأ وعبور ومقصد للاتجار بالبشر، سواء لأغراض البغاء القسري </w:t>
      </w:r>
      <w:r w:rsidR="009929D8" w:rsidRPr="009607B3">
        <w:rPr>
          <w:rFonts w:hint="cs"/>
          <w:rtl/>
        </w:rPr>
        <w:t>أو</w:t>
      </w:r>
      <w:r w:rsidR="009929D8" w:rsidRPr="009607B3">
        <w:rPr>
          <w:rtl/>
        </w:rPr>
        <w:t xml:space="preserve"> السخرة (المواد 1 و2 و4 و10 و12 و13 و14</w:t>
      </w:r>
      <w:r w:rsidR="009929D8">
        <w:rPr>
          <w:rtl/>
        </w:rPr>
        <w:t>).</w:t>
      </w:r>
    </w:p>
    <w:p w:rsidR="009929D8" w:rsidRPr="004108C4" w:rsidRDefault="009929D8" w:rsidP="009929D8">
      <w:pPr>
        <w:pStyle w:val="SingleTxtGA"/>
        <w:rPr>
          <w:b/>
          <w:bCs/>
          <w:rtl/>
        </w:rPr>
      </w:pPr>
      <w:r w:rsidRPr="004108C4">
        <w:rPr>
          <w:rFonts w:hint="cs"/>
          <w:b/>
          <w:bCs/>
          <w:rtl/>
        </w:rPr>
        <w:tab/>
      </w:r>
      <w:r w:rsidRPr="004108C4">
        <w:rPr>
          <w:b/>
          <w:bCs/>
          <w:rtl/>
        </w:rPr>
        <w:t>وينبغي للدولة الطرف أن:</w:t>
      </w:r>
    </w:p>
    <w:p w:rsidR="009929D8" w:rsidRPr="004108C4" w:rsidRDefault="009929D8" w:rsidP="009929D8">
      <w:pPr>
        <w:pStyle w:val="SingleTxtGA"/>
        <w:rPr>
          <w:b/>
          <w:bCs/>
          <w:rtl/>
        </w:rPr>
      </w:pPr>
      <w:r w:rsidRPr="004108C4">
        <w:rPr>
          <w:b/>
          <w:bCs/>
          <w:rtl/>
        </w:rPr>
        <w:tab/>
      </w:r>
      <w:r w:rsidRPr="004108C4">
        <w:rPr>
          <w:rFonts w:hint="cs"/>
          <w:b/>
          <w:bCs/>
          <w:rtl/>
        </w:rPr>
        <w:t>(أ)</w:t>
      </w:r>
      <w:r w:rsidRPr="004108C4">
        <w:rPr>
          <w:rFonts w:hint="cs"/>
          <w:b/>
          <w:bCs/>
          <w:rtl/>
        </w:rPr>
        <w:tab/>
      </w:r>
      <w:r w:rsidRPr="004108C4">
        <w:rPr>
          <w:b/>
          <w:bCs/>
          <w:rtl/>
        </w:rPr>
        <w:t xml:space="preserve">تنفذ بقوة </w:t>
      </w:r>
      <w:r w:rsidRPr="004108C4">
        <w:rPr>
          <w:rFonts w:hint="cs"/>
          <w:b/>
          <w:bCs/>
          <w:rtl/>
        </w:rPr>
        <w:t>ال</w:t>
      </w:r>
      <w:r w:rsidRPr="004108C4">
        <w:rPr>
          <w:b/>
          <w:bCs/>
          <w:rtl/>
        </w:rPr>
        <w:t xml:space="preserve">قانون </w:t>
      </w:r>
      <w:r w:rsidRPr="004108C4">
        <w:rPr>
          <w:rFonts w:hint="cs"/>
          <w:b/>
          <w:bCs/>
          <w:rtl/>
        </w:rPr>
        <w:t>الجديد لمكافحة الاتجار بالبشر</w:t>
      </w:r>
      <w:r w:rsidRPr="004108C4">
        <w:rPr>
          <w:b/>
          <w:bCs/>
          <w:rtl/>
        </w:rPr>
        <w:t xml:space="preserve"> وتتخذ تدابير فعالة لمن</w:t>
      </w:r>
      <w:r w:rsidRPr="004108C4">
        <w:rPr>
          <w:rFonts w:hint="cs"/>
          <w:b/>
          <w:bCs/>
          <w:rtl/>
        </w:rPr>
        <w:t>عه</w:t>
      </w:r>
      <w:r w:rsidRPr="004108C4">
        <w:rPr>
          <w:b/>
          <w:bCs/>
          <w:rtl/>
        </w:rPr>
        <w:t xml:space="preserve"> وزيادة حماية ضحاياه؛ </w:t>
      </w:r>
    </w:p>
    <w:p w:rsidR="009929D8" w:rsidRPr="004108C4" w:rsidRDefault="009929D8" w:rsidP="009929D8">
      <w:pPr>
        <w:pStyle w:val="SingleTxtGA"/>
        <w:rPr>
          <w:rFonts w:hint="cs"/>
          <w:b/>
          <w:bCs/>
          <w:rtl/>
        </w:rPr>
      </w:pPr>
      <w:r w:rsidRPr="004108C4">
        <w:rPr>
          <w:b/>
          <w:bCs/>
          <w:rtl/>
        </w:rPr>
        <w:tab/>
      </w:r>
      <w:r w:rsidRPr="004108C4">
        <w:rPr>
          <w:rFonts w:hint="cs"/>
          <w:b/>
          <w:bCs/>
          <w:rtl/>
        </w:rPr>
        <w:t>(ب)</w:t>
      </w:r>
      <w:r w:rsidRPr="004108C4">
        <w:rPr>
          <w:rFonts w:hint="cs"/>
          <w:b/>
          <w:bCs/>
          <w:rtl/>
        </w:rPr>
        <w:tab/>
      </w:r>
      <w:r w:rsidRPr="004108C4">
        <w:rPr>
          <w:b/>
          <w:bCs/>
          <w:rtl/>
        </w:rPr>
        <w:t>تجري تحقيقاً فورياً ودقيقاً وفعالاً ونزيهاً في الاتجار بالبشر والممارسات ذات الصلة و</w:t>
      </w:r>
      <w:r w:rsidRPr="004108C4">
        <w:rPr>
          <w:rFonts w:hint="cs"/>
          <w:b/>
          <w:bCs/>
          <w:rtl/>
        </w:rPr>
        <w:t>تقاضي</w:t>
      </w:r>
      <w:r w:rsidRPr="004108C4">
        <w:rPr>
          <w:b/>
          <w:bCs/>
          <w:rtl/>
        </w:rPr>
        <w:t xml:space="preserve"> مرتكبيه و</w:t>
      </w:r>
      <w:r w:rsidRPr="004108C4">
        <w:rPr>
          <w:rFonts w:hint="cs"/>
          <w:b/>
          <w:bCs/>
          <w:rtl/>
        </w:rPr>
        <w:t>ت</w:t>
      </w:r>
      <w:r w:rsidRPr="004108C4">
        <w:rPr>
          <w:b/>
          <w:bCs/>
          <w:rtl/>
        </w:rPr>
        <w:t>عاقبهم؛</w:t>
      </w:r>
    </w:p>
    <w:p w:rsidR="009929D8" w:rsidRPr="004108C4" w:rsidRDefault="009929D8" w:rsidP="009929D8">
      <w:pPr>
        <w:pStyle w:val="SingleTxtGA"/>
        <w:rPr>
          <w:b/>
          <w:bCs/>
          <w:rtl/>
        </w:rPr>
      </w:pPr>
      <w:r w:rsidRPr="004108C4">
        <w:rPr>
          <w:b/>
          <w:bCs/>
          <w:rtl/>
        </w:rPr>
        <w:tab/>
      </w:r>
      <w:r w:rsidRPr="004108C4">
        <w:rPr>
          <w:rFonts w:hint="cs"/>
          <w:b/>
          <w:bCs/>
          <w:rtl/>
        </w:rPr>
        <w:t>(ج)</w:t>
      </w:r>
      <w:r w:rsidRPr="004108C4">
        <w:rPr>
          <w:rFonts w:hint="cs"/>
          <w:b/>
          <w:bCs/>
          <w:rtl/>
        </w:rPr>
        <w:tab/>
      </w:r>
      <w:r w:rsidRPr="004108C4">
        <w:rPr>
          <w:b/>
          <w:bCs/>
          <w:rtl/>
        </w:rPr>
        <w:t>تقدم الجبر إلى ضحايا الاتجار، بما في ذلك المساعدة القانونية والطبية والنفسية وإعادة التأهيل، فضلاً عن تقديم مأوى ومساعدة ملائمين عند إبلاغ حالات الاتجار إلى الشرطة؛</w:t>
      </w:r>
    </w:p>
    <w:p w:rsidR="009929D8" w:rsidRPr="004108C4" w:rsidRDefault="009929D8" w:rsidP="009929D8">
      <w:pPr>
        <w:pStyle w:val="SingleTxtGA"/>
        <w:rPr>
          <w:rFonts w:hint="cs"/>
          <w:b/>
          <w:bCs/>
          <w:rtl/>
        </w:rPr>
      </w:pPr>
      <w:r w:rsidRPr="004108C4">
        <w:rPr>
          <w:b/>
          <w:bCs/>
          <w:rtl/>
        </w:rPr>
        <w:tab/>
      </w:r>
      <w:r w:rsidRPr="004108C4">
        <w:rPr>
          <w:rFonts w:hint="cs"/>
          <w:b/>
          <w:bCs/>
          <w:rtl/>
        </w:rPr>
        <w:t>(د)</w:t>
      </w:r>
      <w:r w:rsidRPr="004108C4">
        <w:rPr>
          <w:rFonts w:hint="cs"/>
          <w:b/>
          <w:bCs/>
          <w:rtl/>
        </w:rPr>
        <w:tab/>
      </w:r>
      <w:r w:rsidRPr="004108C4">
        <w:rPr>
          <w:b/>
          <w:bCs/>
          <w:rtl/>
        </w:rPr>
        <w:t>تمنع عودة الأشخاص المتجر بهم إلى بلدانهم الأصلية عندما توجد أسباب حقيقية للاعتقاد بأنهم معرضون لخطر التعذيب، وتعزز التعاون الدولي فيما يتعلق بمنع الاتجار والمعاقبة عليه؛</w:t>
      </w:r>
    </w:p>
    <w:p w:rsidR="009929D8" w:rsidRPr="004108C4" w:rsidRDefault="009929D8" w:rsidP="009929D8">
      <w:pPr>
        <w:pStyle w:val="SingleTxtGA"/>
        <w:rPr>
          <w:rFonts w:hint="cs"/>
          <w:b/>
          <w:bCs/>
          <w:rtl/>
        </w:rPr>
      </w:pPr>
      <w:r w:rsidRPr="004108C4">
        <w:rPr>
          <w:rFonts w:hint="cs"/>
          <w:b/>
          <w:bCs/>
          <w:rtl/>
        </w:rPr>
        <w:tab/>
      </w:r>
      <w:r w:rsidRPr="004108C4">
        <w:rPr>
          <w:b/>
          <w:bCs/>
          <w:rtl/>
        </w:rPr>
        <w:t>(</w:t>
      </w:r>
      <w:r w:rsidRPr="004108C4">
        <w:rPr>
          <w:rFonts w:hint="cs"/>
          <w:b/>
          <w:bCs/>
          <w:sz w:val="30"/>
          <w:rtl/>
        </w:rPr>
        <w:t>ﻫ</w:t>
      </w:r>
      <w:r w:rsidRPr="004108C4">
        <w:rPr>
          <w:b/>
          <w:bCs/>
          <w:rtl/>
        </w:rPr>
        <w:t>)</w:t>
      </w:r>
      <w:r w:rsidRPr="004108C4">
        <w:rPr>
          <w:b/>
          <w:bCs/>
          <w:rtl/>
        </w:rPr>
        <w:tab/>
        <w:t>تقدم تدريباً متخصصاً لأفراد الشرطة والمدعين العامين والقضاة بشأن منع أعمال الاتجار والتحقيق فيها ومقاضاتها والمعاقبة عليها</w:t>
      </w:r>
      <w:r w:rsidRPr="004108C4">
        <w:rPr>
          <w:rFonts w:hint="cs"/>
          <w:b/>
          <w:bCs/>
          <w:rtl/>
        </w:rPr>
        <w:t xml:space="preserve"> بفعالية</w:t>
      </w:r>
      <w:r w:rsidRPr="004108C4">
        <w:rPr>
          <w:b/>
          <w:bCs/>
          <w:rtl/>
        </w:rPr>
        <w:t>، وإعلام عامة الجمهور بالطبيعة الجنائية لهذه الأعمال؛</w:t>
      </w:r>
    </w:p>
    <w:p w:rsidR="009929D8" w:rsidRPr="004108C4" w:rsidRDefault="009929D8" w:rsidP="009929D8">
      <w:pPr>
        <w:pStyle w:val="SingleTxtGA"/>
        <w:rPr>
          <w:rFonts w:hint="cs"/>
          <w:b/>
          <w:bCs/>
          <w:rtl/>
        </w:rPr>
      </w:pPr>
      <w:r w:rsidRPr="004108C4">
        <w:rPr>
          <w:b/>
          <w:bCs/>
          <w:rtl/>
        </w:rPr>
        <w:tab/>
      </w:r>
      <w:r w:rsidRPr="004108C4">
        <w:rPr>
          <w:rFonts w:hint="cs"/>
          <w:b/>
          <w:bCs/>
          <w:rtl/>
        </w:rPr>
        <w:t>(و)</w:t>
      </w:r>
      <w:r w:rsidRPr="004108C4">
        <w:rPr>
          <w:rFonts w:hint="cs"/>
          <w:b/>
          <w:bCs/>
          <w:rtl/>
        </w:rPr>
        <w:tab/>
      </w:r>
      <w:r w:rsidRPr="004108C4">
        <w:rPr>
          <w:b/>
          <w:bCs/>
          <w:rtl/>
        </w:rPr>
        <w:t>تجمع بيانات مفصلة عن عدد الشكاوى والتحقيقات والمحاكمات والأحكام الصادرة بشأن أعمال الاتجار، وعن تقديم الجبر إلى الضحايا، والصعوبات المواجهة في منع هذه الأعمال؛ وتقدم هذه المعلومات إلى اللجنة.</w:t>
      </w:r>
    </w:p>
    <w:p w:rsidR="009929D8" w:rsidRPr="00A8520F" w:rsidRDefault="009929D8" w:rsidP="009929D8">
      <w:pPr>
        <w:pStyle w:val="H23GA"/>
        <w:rPr>
          <w:rtl/>
        </w:rPr>
      </w:pPr>
      <w:r>
        <w:rPr>
          <w:rFonts w:hint="cs"/>
          <w:rtl/>
        </w:rPr>
        <w:tab/>
      </w:r>
      <w:r>
        <w:rPr>
          <w:rFonts w:hint="cs"/>
          <w:rtl/>
        </w:rPr>
        <w:tab/>
      </w:r>
      <w:r w:rsidRPr="00A8520F">
        <w:rPr>
          <w:rtl/>
        </w:rPr>
        <w:t>المؤسسة الوطنية لحقوق الإنسان</w:t>
      </w:r>
    </w:p>
    <w:p w:rsidR="009929D8" w:rsidRPr="009607B3" w:rsidRDefault="006C307C" w:rsidP="006C307C">
      <w:pPr>
        <w:pStyle w:val="SingleTxtGA"/>
        <w:rPr>
          <w:rFonts w:hint="cs"/>
          <w:rtl/>
        </w:rPr>
      </w:pPr>
      <w:r>
        <w:rPr>
          <w:rFonts w:hint="cs"/>
          <w:rtl/>
        </w:rPr>
        <w:t>(</w:t>
      </w:r>
      <w:r w:rsidR="009929D8">
        <w:rPr>
          <w:rFonts w:hint="cs"/>
          <w:rtl/>
        </w:rPr>
        <w:t>14</w:t>
      </w:r>
      <w:r>
        <w:rPr>
          <w:rFonts w:hint="cs"/>
          <w:rtl/>
        </w:rPr>
        <w:t>)</w:t>
      </w:r>
      <w:r w:rsidR="009929D8">
        <w:rPr>
          <w:rFonts w:hint="cs"/>
          <w:rtl/>
        </w:rPr>
        <w:tab/>
        <w:t>تشير</w:t>
      </w:r>
      <w:r w:rsidR="009929D8" w:rsidRPr="009607B3">
        <w:rPr>
          <w:rtl/>
        </w:rPr>
        <w:t xml:space="preserve"> اللجنة إلى ملاحظاتها الختامية السابقة (الفقرة 11) التي لاحظت </w:t>
      </w:r>
      <w:r w:rsidR="009929D8">
        <w:rPr>
          <w:rFonts w:hint="cs"/>
          <w:rtl/>
        </w:rPr>
        <w:t xml:space="preserve">فيها </w:t>
      </w:r>
      <w:r w:rsidR="009929D8" w:rsidRPr="009607B3">
        <w:rPr>
          <w:rtl/>
        </w:rPr>
        <w:t xml:space="preserve">أن المستشار العدلي عُيِّن </w:t>
      </w:r>
      <w:r w:rsidR="009929D8">
        <w:rPr>
          <w:rFonts w:hint="cs"/>
          <w:rtl/>
        </w:rPr>
        <w:t>بوصفه ال</w:t>
      </w:r>
      <w:r w:rsidR="009929D8" w:rsidRPr="009607B3">
        <w:rPr>
          <w:rtl/>
        </w:rPr>
        <w:t>آلية الوقاية الوطنية و</w:t>
      </w:r>
      <w:r w:rsidR="009929D8">
        <w:rPr>
          <w:rFonts w:hint="cs"/>
          <w:rtl/>
        </w:rPr>
        <w:t xml:space="preserve">أنه </w:t>
      </w:r>
      <w:r w:rsidR="009929D8" w:rsidRPr="009607B3">
        <w:rPr>
          <w:rtl/>
        </w:rPr>
        <w:t>يفتش أماكن الاحتجاز و</w:t>
      </w:r>
      <w:r w:rsidR="009929D8">
        <w:rPr>
          <w:rFonts w:hint="cs"/>
          <w:rtl/>
        </w:rPr>
        <w:t xml:space="preserve">سبق أن </w:t>
      </w:r>
      <w:r w:rsidR="009929D8">
        <w:rPr>
          <w:rtl/>
        </w:rPr>
        <w:t>أصدر تقارير، و</w:t>
      </w:r>
      <w:r w:rsidR="009929D8">
        <w:rPr>
          <w:rFonts w:hint="cs"/>
          <w:rtl/>
        </w:rPr>
        <w:t>ت</w:t>
      </w:r>
      <w:r w:rsidR="009929D8" w:rsidRPr="009607B3">
        <w:rPr>
          <w:rtl/>
        </w:rPr>
        <w:t xml:space="preserve">عرب مع ذلك عن قلقها لعدم بذل </w:t>
      </w:r>
      <w:r w:rsidR="009929D8">
        <w:rPr>
          <w:rFonts w:hint="cs"/>
          <w:rtl/>
        </w:rPr>
        <w:t xml:space="preserve">أي جهد لكي تقوم </w:t>
      </w:r>
      <w:r w:rsidR="009929D8" w:rsidRPr="009607B3">
        <w:rPr>
          <w:rtl/>
        </w:rPr>
        <w:t>لجنة التنسيق الدولية للمؤسسات الوطنية لت</w:t>
      </w:r>
      <w:r w:rsidR="009929D8">
        <w:rPr>
          <w:rtl/>
        </w:rPr>
        <w:t xml:space="preserve">عزيز وحماية حقوق الإنسان </w:t>
      </w:r>
      <w:r w:rsidR="009929D8">
        <w:rPr>
          <w:rFonts w:hint="cs"/>
          <w:rtl/>
        </w:rPr>
        <w:t>ب</w:t>
      </w:r>
      <w:r w:rsidR="009929D8" w:rsidRPr="009607B3">
        <w:rPr>
          <w:rtl/>
        </w:rPr>
        <w:t>اعتماد المستشار العدلي أو مؤسسة أخرى كمؤسسة وطنية لحقوق الإنسان (المادة 2</w:t>
      </w:r>
      <w:r w:rsidR="009929D8">
        <w:rPr>
          <w:rtl/>
        </w:rPr>
        <w:t>).</w:t>
      </w:r>
    </w:p>
    <w:p w:rsidR="009929D8" w:rsidRPr="00A85ABB" w:rsidRDefault="009929D8" w:rsidP="009929D8">
      <w:pPr>
        <w:pStyle w:val="SingleTxtGA"/>
        <w:rPr>
          <w:rFonts w:hint="cs"/>
          <w:b/>
          <w:bCs/>
          <w:spacing w:val="-4"/>
          <w:rtl/>
        </w:rPr>
      </w:pPr>
      <w:r w:rsidRPr="00A85ABB">
        <w:rPr>
          <w:rFonts w:hint="cs"/>
          <w:b/>
          <w:bCs/>
          <w:spacing w:val="-4"/>
          <w:rtl/>
        </w:rPr>
        <w:tab/>
      </w:r>
      <w:r w:rsidRPr="00A85ABB">
        <w:rPr>
          <w:b/>
          <w:bCs/>
          <w:spacing w:val="-4"/>
          <w:rtl/>
        </w:rPr>
        <w:t>وينبغي للدولة الطرف أن تنظر في السعي إلى الحصول على اعتماد لجنة التنسيق الدولية للمؤسسات الوطنية لتعزيز وحماية حقوق الإنسان للمستشار العدل</w:t>
      </w:r>
      <w:r w:rsidRPr="00A85ABB">
        <w:rPr>
          <w:rFonts w:hint="cs"/>
          <w:b/>
          <w:bCs/>
          <w:spacing w:val="-4"/>
          <w:rtl/>
        </w:rPr>
        <w:t>ي</w:t>
      </w:r>
      <w:r w:rsidRPr="00A85ABB">
        <w:rPr>
          <w:b/>
          <w:bCs/>
          <w:spacing w:val="-4"/>
          <w:rtl/>
        </w:rPr>
        <w:t xml:space="preserve"> أو مؤسسة أخرى لتكون بمثابة مؤسسة وطنية لحقوق الإنسان وتزودها بالموارد الكافية لتنفيذ ولايتها.</w:t>
      </w:r>
    </w:p>
    <w:p w:rsidR="009929D8" w:rsidRPr="00A8520F" w:rsidRDefault="009929D8" w:rsidP="009929D8">
      <w:pPr>
        <w:pStyle w:val="H23GA"/>
        <w:rPr>
          <w:rtl/>
        </w:rPr>
      </w:pPr>
      <w:r>
        <w:rPr>
          <w:rFonts w:hint="cs"/>
          <w:rtl/>
        </w:rPr>
        <w:tab/>
      </w:r>
      <w:r>
        <w:rPr>
          <w:rFonts w:hint="cs"/>
          <w:rtl/>
        </w:rPr>
        <w:tab/>
      </w:r>
      <w:r w:rsidRPr="00A8520F">
        <w:rPr>
          <w:rtl/>
        </w:rPr>
        <w:t>وضع ملتمسي اللجوء</w:t>
      </w:r>
    </w:p>
    <w:p w:rsidR="009929D8" w:rsidRPr="009607B3" w:rsidRDefault="006C307C" w:rsidP="006C307C">
      <w:pPr>
        <w:pStyle w:val="SingleTxtGA"/>
        <w:rPr>
          <w:rtl/>
        </w:rPr>
      </w:pPr>
      <w:r>
        <w:rPr>
          <w:rFonts w:hint="cs"/>
          <w:rtl/>
        </w:rPr>
        <w:t>(</w:t>
      </w:r>
      <w:r w:rsidR="009929D8">
        <w:rPr>
          <w:rFonts w:hint="cs"/>
          <w:rtl/>
        </w:rPr>
        <w:t>15</w:t>
      </w:r>
      <w:r>
        <w:rPr>
          <w:rFonts w:hint="cs"/>
          <w:rtl/>
        </w:rPr>
        <w:t>)</w:t>
      </w:r>
      <w:r w:rsidR="009929D8">
        <w:rPr>
          <w:rFonts w:hint="cs"/>
          <w:rtl/>
        </w:rPr>
        <w:tab/>
      </w:r>
      <w:r w:rsidR="009929D8" w:rsidRPr="009607B3">
        <w:rPr>
          <w:rtl/>
        </w:rPr>
        <w:t>يساور اللجنة القلق:</w:t>
      </w:r>
    </w:p>
    <w:p w:rsidR="009929D8" w:rsidRPr="009607B3" w:rsidRDefault="009929D8" w:rsidP="009929D8">
      <w:pPr>
        <w:pStyle w:val="SingleTxtGA"/>
        <w:rPr>
          <w:rtl/>
        </w:rPr>
      </w:pPr>
      <w:r>
        <w:rPr>
          <w:rtl/>
        </w:rPr>
        <w:tab/>
      </w:r>
      <w:r>
        <w:rPr>
          <w:rFonts w:hint="cs"/>
          <w:rtl/>
        </w:rPr>
        <w:t>(أ)</w:t>
      </w:r>
      <w:r>
        <w:rPr>
          <w:rFonts w:hint="cs"/>
          <w:rtl/>
        </w:rPr>
        <w:tab/>
      </w:r>
      <w:r w:rsidRPr="009607B3">
        <w:rPr>
          <w:rtl/>
        </w:rPr>
        <w:t xml:space="preserve">لأن الأشخاص الذين يلتمسون اللجوء </w:t>
      </w:r>
      <w:r>
        <w:rPr>
          <w:rFonts w:hint="cs"/>
          <w:rtl/>
        </w:rPr>
        <w:t>لا يمكنهم أن</w:t>
      </w:r>
      <w:r>
        <w:rPr>
          <w:rtl/>
        </w:rPr>
        <w:t xml:space="preserve"> يتمتعو</w:t>
      </w:r>
      <w:r>
        <w:rPr>
          <w:rFonts w:hint="cs"/>
          <w:rtl/>
        </w:rPr>
        <w:t>ا</w:t>
      </w:r>
      <w:r w:rsidRPr="009607B3">
        <w:rPr>
          <w:rtl/>
        </w:rPr>
        <w:t xml:space="preserve"> بجميع الضمانات الإجرائية، بما فيها حق الطعن في القرارات السلبية، ومنها القرارات التي </w:t>
      </w:r>
      <w:r>
        <w:rPr>
          <w:rFonts w:hint="cs"/>
          <w:rtl/>
        </w:rPr>
        <w:t>ترفض بموجبها</w:t>
      </w:r>
      <w:r w:rsidRPr="009607B3">
        <w:rPr>
          <w:rtl/>
        </w:rPr>
        <w:t xml:space="preserve"> سلطات الحدود الإستونية </w:t>
      </w:r>
      <w:r>
        <w:rPr>
          <w:rFonts w:hint="cs"/>
          <w:rtl/>
        </w:rPr>
        <w:t>فيما يبدو</w:t>
      </w:r>
      <w:r w:rsidRPr="009607B3">
        <w:rPr>
          <w:rtl/>
        </w:rPr>
        <w:t xml:space="preserve">، في إطار المقبولية أو الإجراءات المعجَّلة، جميع طلبات اللجوء التي يقدمها </w:t>
      </w:r>
      <w:r>
        <w:rPr>
          <w:rFonts w:hint="cs"/>
          <w:rtl/>
        </w:rPr>
        <w:t>ال</w:t>
      </w:r>
      <w:r w:rsidRPr="009607B3">
        <w:rPr>
          <w:rtl/>
        </w:rPr>
        <w:t xml:space="preserve">أشخاص </w:t>
      </w:r>
      <w:r>
        <w:rPr>
          <w:rFonts w:hint="cs"/>
          <w:rtl/>
        </w:rPr>
        <w:t>القادمين</w:t>
      </w:r>
      <w:r w:rsidRPr="009607B3">
        <w:rPr>
          <w:rtl/>
        </w:rPr>
        <w:t xml:space="preserve"> إلى إستونيا عن طريق الاتحاد الروسي؛</w:t>
      </w:r>
    </w:p>
    <w:p w:rsidR="009929D8" w:rsidRPr="009607B3" w:rsidRDefault="009929D8" w:rsidP="009929D8">
      <w:pPr>
        <w:pStyle w:val="SingleTxtGA"/>
        <w:rPr>
          <w:rtl/>
        </w:rPr>
      </w:pPr>
      <w:r>
        <w:rPr>
          <w:rtl/>
        </w:rPr>
        <w:tab/>
      </w:r>
      <w:r>
        <w:rPr>
          <w:rFonts w:hint="cs"/>
          <w:rtl/>
        </w:rPr>
        <w:t>(ب)</w:t>
      </w:r>
      <w:r>
        <w:rPr>
          <w:rFonts w:hint="cs"/>
          <w:rtl/>
        </w:rPr>
        <w:tab/>
      </w:r>
      <w:r>
        <w:rPr>
          <w:rtl/>
        </w:rPr>
        <w:t xml:space="preserve">لأن خطر الإعادة القسرية قائم </w:t>
      </w:r>
      <w:r w:rsidRPr="009607B3">
        <w:rPr>
          <w:rtl/>
        </w:rPr>
        <w:t>فيما يتعلق بالقرارات التي يتخذها بموجب الإجراءات المعجَّلة أفراد الحرس الحدودي الذين ليس لديهم ما يلزم من التدريب أو المعدات أو الموارد لإجراء مقابلات شخصية و</w:t>
      </w:r>
      <w:r>
        <w:rPr>
          <w:rFonts w:hint="cs"/>
          <w:rtl/>
        </w:rPr>
        <w:t>النظر في</w:t>
      </w:r>
      <w:r w:rsidRPr="009607B3">
        <w:rPr>
          <w:rtl/>
        </w:rPr>
        <w:t xml:space="preserve"> طلبات الحماية الدولية وإجراء تحليل قانوني لطلبات اللجوء؛</w:t>
      </w:r>
    </w:p>
    <w:p w:rsidR="009929D8" w:rsidRPr="009607B3" w:rsidRDefault="009929D8" w:rsidP="009929D8">
      <w:pPr>
        <w:pStyle w:val="SingleTxtGA"/>
        <w:rPr>
          <w:rFonts w:hint="cs"/>
          <w:rtl/>
        </w:rPr>
      </w:pPr>
      <w:r>
        <w:rPr>
          <w:rtl/>
        </w:rPr>
        <w:tab/>
      </w:r>
      <w:r>
        <w:rPr>
          <w:rFonts w:hint="cs"/>
          <w:rtl/>
        </w:rPr>
        <w:t>(ج)</w:t>
      </w:r>
      <w:r>
        <w:rPr>
          <w:rFonts w:hint="cs"/>
          <w:rtl/>
        </w:rPr>
        <w:tab/>
      </w:r>
      <w:r w:rsidRPr="009607B3">
        <w:rPr>
          <w:rtl/>
        </w:rPr>
        <w:t>إزاء الظروف السائدة في مركز هاركو لطرد المهاجرين غير النظاميين، مثل سوء الأغذية، والتصفيد الروتيني خلال عمليات النقل إلى المستشفيات أو المحاكم، والاستخدام غير المتناسب للقوة، والإساءة اللفظية من جانب الموظفي</w:t>
      </w:r>
      <w:r>
        <w:rPr>
          <w:rtl/>
        </w:rPr>
        <w:t>ن.</w:t>
      </w:r>
    </w:p>
    <w:p w:rsidR="009929D8" w:rsidRPr="00E74BB9" w:rsidRDefault="009929D8" w:rsidP="00086AA1">
      <w:pPr>
        <w:pStyle w:val="SingleTxtGA"/>
        <w:keepNext/>
        <w:keepLines/>
        <w:rPr>
          <w:b/>
          <w:bCs/>
          <w:rtl/>
        </w:rPr>
      </w:pPr>
      <w:r w:rsidRPr="00E74BB9">
        <w:rPr>
          <w:rFonts w:hint="cs"/>
          <w:b/>
          <w:bCs/>
          <w:rtl/>
        </w:rPr>
        <w:tab/>
      </w:r>
      <w:r w:rsidRPr="00E74BB9">
        <w:rPr>
          <w:b/>
          <w:bCs/>
          <w:rtl/>
        </w:rPr>
        <w:t>وينبغي للدولة الطرف أن:</w:t>
      </w:r>
    </w:p>
    <w:p w:rsidR="009929D8" w:rsidRPr="00E74BB9" w:rsidRDefault="009929D8" w:rsidP="009929D8">
      <w:pPr>
        <w:pStyle w:val="SingleTxtGA"/>
        <w:rPr>
          <w:b/>
          <w:bCs/>
          <w:rtl/>
        </w:rPr>
      </w:pPr>
      <w:r w:rsidRPr="00E74BB9">
        <w:rPr>
          <w:b/>
          <w:bCs/>
          <w:rtl/>
        </w:rPr>
        <w:tab/>
      </w:r>
      <w:r w:rsidRPr="00E74BB9">
        <w:rPr>
          <w:rFonts w:hint="cs"/>
          <w:b/>
          <w:bCs/>
          <w:rtl/>
        </w:rPr>
        <w:t>(أ)</w:t>
      </w:r>
      <w:r w:rsidRPr="00E74BB9">
        <w:rPr>
          <w:rFonts w:hint="cs"/>
          <w:b/>
          <w:bCs/>
          <w:rtl/>
        </w:rPr>
        <w:tab/>
      </w:r>
      <w:r w:rsidRPr="00E74BB9">
        <w:rPr>
          <w:b/>
          <w:bCs/>
          <w:rtl/>
        </w:rPr>
        <w:t>تضمن كون جميع الأشخاص الذين يلتمسون اللجوء في الدولة الطرف، بما في ذلك عند نقاط عبورها الحدودية، يتمتعون بجميع الضمانات الإجرائية، بما فيها حق الطعن في القرارات السلبية، وكذلك إمكانية الحصول على المساعدة القانونية وخدمات مترجم</w:t>
      </w:r>
      <w:r w:rsidRPr="00E74BB9">
        <w:rPr>
          <w:rFonts w:hint="cs"/>
          <w:b/>
          <w:bCs/>
          <w:rtl/>
        </w:rPr>
        <w:t>ين</w:t>
      </w:r>
      <w:r w:rsidRPr="00E74BB9">
        <w:rPr>
          <w:b/>
          <w:bCs/>
          <w:rtl/>
        </w:rPr>
        <w:t xml:space="preserve"> فوري</w:t>
      </w:r>
      <w:r w:rsidRPr="00E74BB9">
        <w:rPr>
          <w:rFonts w:hint="cs"/>
          <w:b/>
          <w:bCs/>
          <w:rtl/>
        </w:rPr>
        <w:t>ين</w:t>
      </w:r>
      <w:r w:rsidRPr="00E74BB9">
        <w:rPr>
          <w:b/>
          <w:bCs/>
          <w:rtl/>
        </w:rPr>
        <w:t>؛</w:t>
      </w:r>
    </w:p>
    <w:p w:rsidR="009929D8" w:rsidRPr="00E74BB9" w:rsidRDefault="009929D8" w:rsidP="009929D8">
      <w:pPr>
        <w:pStyle w:val="SingleTxtGA"/>
        <w:rPr>
          <w:b/>
          <w:bCs/>
          <w:rtl/>
        </w:rPr>
      </w:pPr>
      <w:r w:rsidRPr="00E74BB9">
        <w:rPr>
          <w:b/>
          <w:bCs/>
          <w:rtl/>
        </w:rPr>
        <w:tab/>
      </w:r>
      <w:r w:rsidRPr="00E74BB9">
        <w:rPr>
          <w:rFonts w:hint="cs"/>
          <w:b/>
          <w:bCs/>
          <w:rtl/>
        </w:rPr>
        <w:t>(ب)</w:t>
      </w:r>
      <w:r w:rsidRPr="00E74BB9">
        <w:rPr>
          <w:rFonts w:hint="cs"/>
          <w:b/>
          <w:bCs/>
          <w:rtl/>
        </w:rPr>
        <w:tab/>
      </w:r>
      <w:r w:rsidRPr="00E74BB9">
        <w:rPr>
          <w:b/>
          <w:bCs/>
          <w:rtl/>
        </w:rPr>
        <w:t>تضمن أن القرارات المتعلقة باللجوء، بما فيها تلك المتخذة بموجب الإجراءات المعجَّلة، تتخذها الشرطة ومجلس الحرس الحدودي (مجلس المواطنة والهجرة سابقاً) أو سلطة مقرر</w:t>
      </w:r>
      <w:r w:rsidRPr="00E74BB9">
        <w:rPr>
          <w:rFonts w:hint="cs"/>
          <w:b/>
          <w:bCs/>
          <w:rtl/>
        </w:rPr>
        <w:t>ّة</w:t>
      </w:r>
      <w:r w:rsidRPr="00E74BB9">
        <w:rPr>
          <w:b/>
          <w:bCs/>
          <w:rtl/>
        </w:rPr>
        <w:t xml:space="preserve"> تستوفي المعايير الدولية ذات الصلة؛</w:t>
      </w:r>
    </w:p>
    <w:p w:rsidR="009929D8" w:rsidRPr="00E74BB9" w:rsidRDefault="009929D8" w:rsidP="00A83CF9">
      <w:pPr>
        <w:pStyle w:val="SingleTxtGA"/>
        <w:rPr>
          <w:rFonts w:hint="cs"/>
          <w:b/>
          <w:bCs/>
          <w:rtl/>
        </w:rPr>
      </w:pPr>
      <w:r w:rsidRPr="00E74BB9">
        <w:rPr>
          <w:b/>
          <w:bCs/>
          <w:rtl/>
        </w:rPr>
        <w:tab/>
      </w:r>
      <w:r w:rsidRPr="00E74BB9">
        <w:rPr>
          <w:rFonts w:hint="cs"/>
          <w:b/>
          <w:bCs/>
          <w:rtl/>
        </w:rPr>
        <w:t>(ج)</w:t>
      </w:r>
      <w:r w:rsidRPr="00E74BB9">
        <w:rPr>
          <w:rFonts w:hint="cs"/>
          <w:b/>
          <w:bCs/>
          <w:rtl/>
        </w:rPr>
        <w:tab/>
      </w:r>
      <w:r w:rsidRPr="00E74BB9">
        <w:rPr>
          <w:b/>
          <w:bCs/>
          <w:rtl/>
        </w:rPr>
        <w:t>تتخذ خطوات فورية لتحسين الظروف في مركز هاركو للطرد بحيث تكون مطابقة للمعايير الدولية، وتقدم التدريب والتعليم إلى موظفي السجون فيما يخص استخدام القوة وحظر الإساءة اللفظية.</w:t>
      </w:r>
    </w:p>
    <w:p w:rsidR="009929D8" w:rsidRPr="009607B3" w:rsidRDefault="009929D8" w:rsidP="00A83CF9">
      <w:pPr>
        <w:pStyle w:val="H23GA"/>
        <w:rPr>
          <w:rtl/>
        </w:rPr>
      </w:pPr>
      <w:r>
        <w:rPr>
          <w:rFonts w:hint="cs"/>
          <w:rtl/>
        </w:rPr>
        <w:tab/>
      </w:r>
      <w:r>
        <w:rPr>
          <w:rFonts w:hint="cs"/>
          <w:rtl/>
        </w:rPr>
        <w:tab/>
      </w:r>
      <w:r w:rsidRPr="00A8520F">
        <w:rPr>
          <w:rtl/>
        </w:rPr>
        <w:t>التدريب</w:t>
      </w:r>
    </w:p>
    <w:p w:rsidR="009929D8" w:rsidRPr="009607B3" w:rsidRDefault="008C49E6" w:rsidP="00A83CF9">
      <w:pPr>
        <w:pStyle w:val="SingleTxtGA"/>
        <w:rPr>
          <w:rtl/>
        </w:rPr>
      </w:pPr>
      <w:r>
        <w:rPr>
          <w:rFonts w:hint="cs"/>
          <w:rtl/>
        </w:rPr>
        <w:t>(</w:t>
      </w:r>
      <w:r w:rsidR="009929D8">
        <w:rPr>
          <w:rFonts w:hint="cs"/>
          <w:rtl/>
        </w:rPr>
        <w:t>16</w:t>
      </w:r>
      <w:r>
        <w:rPr>
          <w:rFonts w:hint="cs"/>
          <w:rtl/>
        </w:rPr>
        <w:t>)</w:t>
      </w:r>
      <w:r w:rsidR="009929D8">
        <w:rPr>
          <w:rFonts w:hint="cs"/>
          <w:rtl/>
        </w:rPr>
        <w:tab/>
      </w:r>
      <w:r w:rsidR="009929D8" w:rsidRPr="009607B3">
        <w:rPr>
          <w:rtl/>
        </w:rPr>
        <w:t>يساور اللجنة القلق إزاء عدم وجود أي منهجيات محددة لتق</w:t>
      </w:r>
      <w:r w:rsidR="009929D8">
        <w:rPr>
          <w:rtl/>
        </w:rPr>
        <w:t xml:space="preserve">ييم كفاءة البرامج التدريبية أو </w:t>
      </w:r>
      <w:r w:rsidR="009929D8" w:rsidRPr="009607B3">
        <w:rPr>
          <w:rtl/>
        </w:rPr>
        <w:t>التثقيفية للموظفين المكلفين بإنفاذ القانون والموظفين الطبيين، والقضاة والمدعين العامين، وكذلك الأشخاص العاملين مع المهاجرين وملتمسي اللجوء بشأن الحظر المطلق للتعذيب وسوء المعاملة (المادة 10).</w:t>
      </w:r>
    </w:p>
    <w:p w:rsidR="009929D8" w:rsidRPr="007E4637" w:rsidRDefault="009929D8" w:rsidP="00A83CF9">
      <w:pPr>
        <w:pStyle w:val="SingleTxtGA"/>
        <w:keepNext/>
        <w:keepLines/>
        <w:rPr>
          <w:b/>
          <w:bCs/>
          <w:rtl/>
        </w:rPr>
      </w:pPr>
      <w:r>
        <w:rPr>
          <w:rFonts w:hint="cs"/>
          <w:b/>
          <w:bCs/>
          <w:rtl/>
        </w:rPr>
        <w:tab/>
      </w:r>
      <w:r w:rsidRPr="007E4637">
        <w:rPr>
          <w:b/>
          <w:bCs/>
          <w:rtl/>
        </w:rPr>
        <w:t>وينبغي للدولة الطرف أن:</w:t>
      </w:r>
    </w:p>
    <w:p w:rsidR="009929D8" w:rsidRPr="008C49E6" w:rsidRDefault="009929D8" w:rsidP="00A83CF9">
      <w:pPr>
        <w:pStyle w:val="SingleTxtGA"/>
        <w:rPr>
          <w:rFonts w:ascii="Times New Roman Bold" w:hAnsi="Times New Roman Bold"/>
          <w:b/>
          <w:bCs/>
          <w:spacing w:val="-2"/>
          <w:rtl/>
        </w:rPr>
      </w:pPr>
      <w:r w:rsidRPr="008C49E6">
        <w:rPr>
          <w:rFonts w:ascii="Times New Roman Bold" w:hAnsi="Times New Roman Bold"/>
          <w:b/>
          <w:bCs/>
          <w:spacing w:val="-2"/>
          <w:rtl/>
        </w:rPr>
        <w:tab/>
      </w:r>
      <w:r w:rsidRPr="008C49E6">
        <w:rPr>
          <w:rFonts w:ascii="Times New Roman Bold" w:hAnsi="Times New Roman Bold" w:hint="cs"/>
          <w:b/>
          <w:bCs/>
          <w:spacing w:val="-2"/>
          <w:rtl/>
        </w:rPr>
        <w:t>(أ)</w:t>
      </w:r>
      <w:r w:rsidRPr="008C49E6">
        <w:rPr>
          <w:rFonts w:ascii="Times New Roman Bold" w:hAnsi="Times New Roman Bold" w:hint="cs"/>
          <w:b/>
          <w:bCs/>
          <w:spacing w:val="-2"/>
          <w:rtl/>
        </w:rPr>
        <w:tab/>
      </w:r>
      <w:r w:rsidRPr="008C49E6">
        <w:rPr>
          <w:rFonts w:ascii="Times New Roman Bold" w:hAnsi="Times New Roman Bold"/>
          <w:b/>
          <w:bCs/>
          <w:spacing w:val="-2"/>
          <w:rtl/>
        </w:rPr>
        <w:t xml:space="preserve">تضع منهجيات محددة لتقييم البرامج التدريبية والتثقيفية </w:t>
      </w:r>
      <w:r w:rsidRPr="008C49E6">
        <w:rPr>
          <w:rFonts w:ascii="Times New Roman Bold" w:hAnsi="Times New Roman Bold" w:hint="cs"/>
          <w:b/>
          <w:bCs/>
          <w:spacing w:val="-2"/>
          <w:rtl/>
        </w:rPr>
        <w:t>المتعلقة ب</w:t>
      </w:r>
      <w:r w:rsidRPr="008C49E6">
        <w:rPr>
          <w:rFonts w:ascii="Times New Roman Bold" w:hAnsi="Times New Roman Bold"/>
          <w:b/>
          <w:bCs/>
          <w:spacing w:val="-2"/>
          <w:rtl/>
        </w:rPr>
        <w:t>الحظر المطلق للتعذيب وسوء المعاملة المقدمة إلى الموظفين المكلفين بإنفاذ القانون والموظفين الطبيين، والقضاة والمدعين العامين، فضلاً عن الأشخاص العاملين مع المهاجرين وملتمسي اللجوء؛</w:t>
      </w:r>
    </w:p>
    <w:p w:rsidR="009929D8" w:rsidRPr="00A8520F" w:rsidRDefault="009929D8" w:rsidP="00A83CF9">
      <w:pPr>
        <w:pStyle w:val="SingleTxtGA"/>
        <w:rPr>
          <w:rtl/>
        </w:rPr>
      </w:pPr>
      <w:r w:rsidRPr="007E4637">
        <w:rPr>
          <w:b/>
          <w:bCs/>
          <w:rtl/>
        </w:rPr>
        <w:tab/>
      </w:r>
      <w:r w:rsidRPr="007E4637">
        <w:rPr>
          <w:rFonts w:hint="cs"/>
          <w:b/>
          <w:bCs/>
          <w:rtl/>
        </w:rPr>
        <w:t>(ب)</w:t>
      </w:r>
      <w:r w:rsidRPr="007E4637">
        <w:rPr>
          <w:rFonts w:hint="cs"/>
          <w:b/>
          <w:bCs/>
          <w:rtl/>
        </w:rPr>
        <w:tab/>
      </w:r>
      <w:r w:rsidRPr="007E4637">
        <w:rPr>
          <w:b/>
          <w:bCs/>
          <w:rtl/>
        </w:rPr>
        <w:t>تضمن جعل بروتوكول إسطنبول جزءاً إلزامياً من التدريب المقدم إلى جميع المهنيين الطبيين المشاركين في توثيق ادعاءات التعذيب وسوء المعاملة والتحقيق فيها للسماح بجملة أمور منها التشخيص الصحيح لآثار التعذيب</w:t>
      </w:r>
      <w:r w:rsidRPr="00A8520F">
        <w:rPr>
          <w:rtl/>
        </w:rPr>
        <w:t>.</w:t>
      </w:r>
    </w:p>
    <w:p w:rsidR="009929D8" w:rsidRPr="00A8520F" w:rsidRDefault="009929D8" w:rsidP="00A83CF9">
      <w:pPr>
        <w:pStyle w:val="H23GA"/>
        <w:rPr>
          <w:rtl/>
        </w:rPr>
      </w:pPr>
      <w:r>
        <w:rPr>
          <w:rFonts w:hint="cs"/>
          <w:rtl/>
        </w:rPr>
        <w:tab/>
      </w:r>
      <w:r>
        <w:rPr>
          <w:rFonts w:hint="cs"/>
          <w:rtl/>
        </w:rPr>
        <w:tab/>
      </w:r>
      <w:r w:rsidRPr="00A8520F">
        <w:rPr>
          <w:rtl/>
        </w:rPr>
        <w:t>ظروف الاحتجاز</w:t>
      </w:r>
    </w:p>
    <w:p w:rsidR="009929D8" w:rsidRPr="009607B3" w:rsidRDefault="008C49E6" w:rsidP="00A83CF9">
      <w:pPr>
        <w:pStyle w:val="SingleTxtGA"/>
        <w:rPr>
          <w:rFonts w:hint="cs"/>
          <w:rtl/>
        </w:rPr>
      </w:pPr>
      <w:r>
        <w:rPr>
          <w:rFonts w:hint="cs"/>
          <w:rtl/>
        </w:rPr>
        <w:t>(</w:t>
      </w:r>
      <w:r w:rsidR="009929D8">
        <w:rPr>
          <w:rFonts w:hint="cs"/>
          <w:rtl/>
        </w:rPr>
        <w:t>17</w:t>
      </w:r>
      <w:r>
        <w:rPr>
          <w:rFonts w:hint="cs"/>
          <w:rtl/>
        </w:rPr>
        <w:t>)</w:t>
      </w:r>
      <w:r w:rsidR="009929D8">
        <w:rPr>
          <w:rFonts w:hint="cs"/>
          <w:rtl/>
        </w:rPr>
        <w:tab/>
      </w:r>
      <w:r w:rsidR="009929D8" w:rsidRPr="009607B3">
        <w:rPr>
          <w:rtl/>
        </w:rPr>
        <w:t xml:space="preserve">ويساور اللجنة القلق إزاء المعلومات التي توحي بأن الظروف في بعض السجون ودور الاعتقال التي تستخدمها الشرطة لا تستوفي المعايير الدولية، بما في ذلك ما </w:t>
      </w:r>
      <w:r w:rsidR="009929D8">
        <w:rPr>
          <w:rFonts w:hint="cs"/>
          <w:rtl/>
        </w:rPr>
        <w:t>يتعلق</w:t>
      </w:r>
      <w:r w:rsidR="009929D8" w:rsidRPr="009607B3">
        <w:rPr>
          <w:rtl/>
        </w:rPr>
        <w:t xml:space="preserve"> بالهياكل الأساسية وظروف النظافة الصحية والظروف الصحية والماء </w:t>
      </w:r>
      <w:r w:rsidR="009929D8">
        <w:rPr>
          <w:rtl/>
        </w:rPr>
        <w:t>الساخن والتدفئة والنوافذ والتهو</w:t>
      </w:r>
      <w:r w:rsidR="009929D8">
        <w:rPr>
          <w:rFonts w:hint="cs"/>
          <w:rtl/>
        </w:rPr>
        <w:t>ي</w:t>
      </w:r>
      <w:r w:rsidR="009929D8" w:rsidRPr="009607B3">
        <w:rPr>
          <w:rtl/>
        </w:rPr>
        <w:t>ة والإنارة والأثاث و</w:t>
      </w:r>
      <w:r w:rsidR="009929D8">
        <w:rPr>
          <w:rFonts w:hint="cs"/>
          <w:rtl/>
        </w:rPr>
        <w:t>ال</w:t>
      </w:r>
      <w:r w:rsidR="009929D8">
        <w:rPr>
          <w:rtl/>
        </w:rPr>
        <w:t>حيز المعيش</w:t>
      </w:r>
      <w:r w:rsidR="009929D8">
        <w:rPr>
          <w:rFonts w:hint="cs"/>
          <w:rtl/>
        </w:rPr>
        <w:t>ي</w:t>
      </w:r>
      <w:r w:rsidR="009929D8" w:rsidRPr="009607B3">
        <w:rPr>
          <w:rtl/>
        </w:rPr>
        <w:t xml:space="preserve">. ويساورها القلق لأن المستشار العدلي أبلغ </w:t>
      </w:r>
      <w:r w:rsidR="009929D8" w:rsidRPr="00086AA1">
        <w:rPr>
          <w:spacing w:val="-2"/>
          <w:rtl/>
        </w:rPr>
        <w:t>أيضاً عن ظروف غير مرضية في بعض المرافق الجديدة أو المرمَّمة. ويساور اللجنة قلق بالغ إزاء استخدام زنزانات لا تتوفر فيها ظروف مناسبة في بعض مراكز الشرطة. ويساورها القلق</w:t>
      </w:r>
      <w:r w:rsidR="009929D8" w:rsidRPr="009607B3">
        <w:rPr>
          <w:rtl/>
        </w:rPr>
        <w:t xml:space="preserve"> أيضاً إزاء فشل سلطات السجون في ضمان حق السجناء في الاستماع إلى شكاواهم بشأن ظروف الاحتجاز (المواد 2 و11 و12 و13 و</w:t>
      </w:r>
      <w:r w:rsidR="009929D8">
        <w:rPr>
          <w:rtl/>
        </w:rPr>
        <w:t>16).</w:t>
      </w:r>
    </w:p>
    <w:p w:rsidR="009929D8" w:rsidRPr="00AF1DCE" w:rsidRDefault="009929D8" w:rsidP="00A83CF9">
      <w:pPr>
        <w:pStyle w:val="SingleTxtGA"/>
        <w:rPr>
          <w:rFonts w:hint="cs"/>
          <w:b/>
          <w:bCs/>
          <w:rtl/>
        </w:rPr>
      </w:pPr>
      <w:r w:rsidRPr="00AF1DCE">
        <w:rPr>
          <w:rFonts w:hint="cs"/>
          <w:b/>
          <w:bCs/>
          <w:rtl/>
        </w:rPr>
        <w:tab/>
      </w:r>
      <w:r w:rsidRPr="00AF1DCE">
        <w:rPr>
          <w:b/>
          <w:bCs/>
          <w:rtl/>
        </w:rPr>
        <w:t>وينبغي للدولة الطرف أن:</w:t>
      </w:r>
    </w:p>
    <w:p w:rsidR="009929D8" w:rsidRPr="00AF1DCE" w:rsidRDefault="009929D8" w:rsidP="00A83CF9">
      <w:pPr>
        <w:pStyle w:val="SingleTxtGA"/>
        <w:rPr>
          <w:b/>
          <w:bCs/>
          <w:rtl/>
        </w:rPr>
      </w:pPr>
      <w:r w:rsidRPr="00AF1DCE">
        <w:rPr>
          <w:b/>
          <w:bCs/>
          <w:rtl/>
        </w:rPr>
        <w:tab/>
      </w:r>
      <w:r w:rsidRPr="00AF1DCE">
        <w:rPr>
          <w:rFonts w:hint="cs"/>
          <w:b/>
          <w:bCs/>
          <w:rtl/>
        </w:rPr>
        <w:t>(أ)</w:t>
      </w:r>
      <w:r w:rsidRPr="00AF1DCE">
        <w:rPr>
          <w:rFonts w:hint="cs"/>
          <w:b/>
          <w:bCs/>
          <w:rtl/>
        </w:rPr>
        <w:tab/>
      </w:r>
      <w:r w:rsidRPr="00AF1DCE">
        <w:rPr>
          <w:b/>
          <w:bCs/>
          <w:rtl/>
        </w:rPr>
        <w:t>تتخذ خطوات فورية لتحسين الظروف المادية في جميع السجون ودور الا</w:t>
      </w:r>
      <w:r w:rsidRPr="00AF1DCE">
        <w:rPr>
          <w:rFonts w:hint="cs"/>
          <w:b/>
          <w:bCs/>
          <w:rtl/>
        </w:rPr>
        <w:t>ح</w:t>
      </w:r>
      <w:r w:rsidRPr="00AF1DCE">
        <w:rPr>
          <w:b/>
          <w:bCs/>
          <w:rtl/>
        </w:rPr>
        <w:t xml:space="preserve">تجاز التي تستخدمها الشرطة، بما فيها تلك </w:t>
      </w:r>
      <w:r>
        <w:rPr>
          <w:rFonts w:hint="cs"/>
          <w:b/>
          <w:bCs/>
          <w:rtl/>
        </w:rPr>
        <w:t>التي بُني</w:t>
      </w:r>
      <w:r w:rsidRPr="00AF1DCE">
        <w:rPr>
          <w:rFonts w:hint="cs"/>
          <w:b/>
          <w:bCs/>
          <w:rtl/>
        </w:rPr>
        <w:t>ت ورُمم</w:t>
      </w:r>
      <w:r>
        <w:rPr>
          <w:rFonts w:hint="cs"/>
          <w:b/>
          <w:bCs/>
          <w:rtl/>
        </w:rPr>
        <w:t>َّ</w:t>
      </w:r>
      <w:r w:rsidRPr="00AF1DCE">
        <w:rPr>
          <w:rFonts w:hint="cs"/>
          <w:b/>
          <w:bCs/>
          <w:rtl/>
        </w:rPr>
        <w:t xml:space="preserve">ت </w:t>
      </w:r>
      <w:r w:rsidRPr="00AF1DCE">
        <w:rPr>
          <w:b/>
          <w:bCs/>
          <w:rtl/>
        </w:rPr>
        <w:t>مؤخراً، بهدف تحسين الهياكل الأساسية وظروف النظافة الصحية والظروف الصحية والماء الساخن والتدفئة والتهو</w:t>
      </w:r>
      <w:r w:rsidRPr="00AF1DCE">
        <w:rPr>
          <w:rFonts w:hint="cs"/>
          <w:b/>
          <w:bCs/>
          <w:rtl/>
        </w:rPr>
        <w:t>ي</w:t>
      </w:r>
      <w:r w:rsidRPr="00AF1DCE">
        <w:rPr>
          <w:b/>
          <w:bCs/>
          <w:rtl/>
        </w:rPr>
        <w:t>ة والإنارة والأثاث وإصلاح النوافذ المكسّرة، وفقاً للمعايير الدولية؛</w:t>
      </w:r>
    </w:p>
    <w:p w:rsidR="009929D8" w:rsidRPr="00AF1DCE" w:rsidRDefault="009929D8" w:rsidP="008C49E6">
      <w:pPr>
        <w:pStyle w:val="SingleTxtGA"/>
        <w:spacing w:line="370" w:lineRule="exact"/>
        <w:rPr>
          <w:b/>
          <w:bCs/>
          <w:rtl/>
        </w:rPr>
      </w:pPr>
      <w:r w:rsidRPr="00AF1DCE">
        <w:rPr>
          <w:b/>
          <w:bCs/>
          <w:rtl/>
        </w:rPr>
        <w:tab/>
      </w:r>
      <w:r w:rsidRPr="00AF1DCE">
        <w:rPr>
          <w:rFonts w:hint="cs"/>
          <w:b/>
          <w:bCs/>
          <w:rtl/>
        </w:rPr>
        <w:t>(ب)</w:t>
      </w:r>
      <w:r w:rsidRPr="00AF1DCE">
        <w:rPr>
          <w:rFonts w:hint="cs"/>
          <w:b/>
          <w:bCs/>
          <w:rtl/>
        </w:rPr>
        <w:tab/>
      </w:r>
      <w:r w:rsidRPr="00AF1DCE">
        <w:rPr>
          <w:b/>
          <w:bCs/>
          <w:rtl/>
        </w:rPr>
        <w:t xml:space="preserve">تتخذ الخطوات اللازمة لضمان المعايير الدولية الدنيا التي لا تقل عن أربعة أمتار مربعة من </w:t>
      </w:r>
      <w:r w:rsidRPr="00AF1DCE">
        <w:rPr>
          <w:rFonts w:hint="cs"/>
          <w:b/>
          <w:bCs/>
          <w:rtl/>
        </w:rPr>
        <w:t>ال</w:t>
      </w:r>
      <w:r w:rsidRPr="00AF1DCE">
        <w:rPr>
          <w:b/>
          <w:bCs/>
          <w:rtl/>
        </w:rPr>
        <w:t>حيز المعيش</w:t>
      </w:r>
      <w:r w:rsidRPr="00AF1DCE">
        <w:rPr>
          <w:rFonts w:hint="cs"/>
          <w:b/>
          <w:bCs/>
          <w:rtl/>
        </w:rPr>
        <w:t>ي</w:t>
      </w:r>
      <w:r w:rsidRPr="00AF1DCE">
        <w:rPr>
          <w:b/>
          <w:bCs/>
          <w:rtl/>
        </w:rPr>
        <w:t xml:space="preserve"> لكل محتجز؛</w:t>
      </w:r>
    </w:p>
    <w:p w:rsidR="009929D8" w:rsidRPr="00AF1DCE" w:rsidRDefault="009929D8" w:rsidP="008C49E6">
      <w:pPr>
        <w:pStyle w:val="SingleTxtGA"/>
        <w:spacing w:line="370" w:lineRule="exact"/>
        <w:rPr>
          <w:b/>
          <w:bCs/>
          <w:rtl/>
        </w:rPr>
      </w:pPr>
      <w:r w:rsidRPr="00AF1DCE">
        <w:rPr>
          <w:b/>
          <w:bCs/>
          <w:rtl/>
        </w:rPr>
        <w:tab/>
      </w:r>
      <w:r w:rsidRPr="00AF1DCE">
        <w:rPr>
          <w:rFonts w:hint="cs"/>
          <w:b/>
          <w:bCs/>
          <w:rtl/>
        </w:rPr>
        <w:t>(ج)</w:t>
      </w:r>
      <w:r w:rsidRPr="00AF1DCE">
        <w:rPr>
          <w:rFonts w:hint="cs"/>
          <w:b/>
          <w:bCs/>
          <w:rtl/>
        </w:rPr>
        <w:tab/>
      </w:r>
      <w:r w:rsidRPr="00AF1DCE">
        <w:rPr>
          <w:b/>
          <w:bCs/>
          <w:rtl/>
        </w:rPr>
        <w:t>تضمن مواصلة بناء السجون الإضافية المخطط لها وتوسيع وترميم أماكن الاحتجاز القائمة وفقاً لما هو مقرر؛</w:t>
      </w:r>
    </w:p>
    <w:p w:rsidR="009929D8" w:rsidRPr="00AF1DCE" w:rsidRDefault="009929D8" w:rsidP="008C49E6">
      <w:pPr>
        <w:pStyle w:val="SingleTxtGA"/>
        <w:spacing w:line="370" w:lineRule="exact"/>
        <w:rPr>
          <w:b/>
          <w:bCs/>
          <w:rtl/>
        </w:rPr>
      </w:pPr>
      <w:r w:rsidRPr="00AF1DCE">
        <w:rPr>
          <w:b/>
          <w:bCs/>
          <w:rtl/>
        </w:rPr>
        <w:tab/>
      </w:r>
      <w:r w:rsidRPr="00AF1DCE">
        <w:rPr>
          <w:rFonts w:hint="cs"/>
          <w:b/>
          <w:bCs/>
          <w:rtl/>
        </w:rPr>
        <w:t>(د)</w:t>
      </w:r>
      <w:r w:rsidRPr="00AF1DCE">
        <w:rPr>
          <w:rFonts w:hint="cs"/>
          <w:b/>
          <w:bCs/>
          <w:rtl/>
        </w:rPr>
        <w:tab/>
      </w:r>
      <w:r w:rsidRPr="00AF1DCE">
        <w:rPr>
          <w:b/>
          <w:bCs/>
          <w:rtl/>
        </w:rPr>
        <w:t>تضمن وجود آليات نزيهة لمعالجة شكاوى السجناء بشأن ظروف احتجازهم وتوفر متابعة فعالة لهذه الشكاوى.</w:t>
      </w:r>
    </w:p>
    <w:p w:rsidR="009929D8" w:rsidRPr="00A8520F" w:rsidRDefault="009929D8" w:rsidP="008C49E6">
      <w:pPr>
        <w:pStyle w:val="H23GA"/>
        <w:spacing w:line="370" w:lineRule="exact"/>
        <w:rPr>
          <w:rtl/>
        </w:rPr>
      </w:pPr>
      <w:r>
        <w:rPr>
          <w:rFonts w:hint="cs"/>
          <w:rtl/>
        </w:rPr>
        <w:tab/>
      </w:r>
      <w:r>
        <w:rPr>
          <w:rFonts w:hint="cs"/>
          <w:rtl/>
        </w:rPr>
        <w:tab/>
      </w:r>
      <w:r w:rsidRPr="00A8520F">
        <w:rPr>
          <w:rtl/>
        </w:rPr>
        <w:t>تصنيف السجناء وفقاً لكفاءتهم اللغوية</w:t>
      </w:r>
    </w:p>
    <w:p w:rsidR="009929D8" w:rsidRPr="008C49E6" w:rsidRDefault="008C49E6" w:rsidP="008C49E6">
      <w:pPr>
        <w:pStyle w:val="SingleTxtGA"/>
        <w:spacing w:line="370" w:lineRule="exact"/>
        <w:rPr>
          <w:spacing w:val="-2"/>
          <w:rtl/>
        </w:rPr>
      </w:pPr>
      <w:r w:rsidRPr="008C49E6">
        <w:rPr>
          <w:rFonts w:hint="cs"/>
          <w:spacing w:val="-2"/>
          <w:rtl/>
        </w:rPr>
        <w:t>(</w:t>
      </w:r>
      <w:r w:rsidR="009929D8" w:rsidRPr="008C49E6">
        <w:rPr>
          <w:rFonts w:hint="cs"/>
          <w:spacing w:val="-2"/>
          <w:rtl/>
        </w:rPr>
        <w:t>18</w:t>
      </w:r>
      <w:r w:rsidRPr="008C49E6">
        <w:rPr>
          <w:rFonts w:hint="cs"/>
          <w:spacing w:val="-2"/>
          <w:rtl/>
        </w:rPr>
        <w:t>)</w:t>
      </w:r>
      <w:r w:rsidR="009929D8" w:rsidRPr="008C49E6">
        <w:rPr>
          <w:rFonts w:hint="cs"/>
          <w:spacing w:val="-2"/>
          <w:rtl/>
        </w:rPr>
        <w:tab/>
      </w:r>
      <w:r w:rsidR="009929D8" w:rsidRPr="008C49E6">
        <w:rPr>
          <w:spacing w:val="-2"/>
          <w:rtl/>
        </w:rPr>
        <w:t xml:space="preserve">يساور اللجنة القلق إزاء تقارير تفيد بأن شارات </w:t>
      </w:r>
      <w:r w:rsidR="009929D8" w:rsidRPr="008C49E6">
        <w:rPr>
          <w:rFonts w:hint="cs"/>
          <w:spacing w:val="-2"/>
          <w:rtl/>
        </w:rPr>
        <w:t>أسماء</w:t>
      </w:r>
      <w:r w:rsidR="009929D8" w:rsidRPr="008C49E6">
        <w:rPr>
          <w:spacing w:val="-2"/>
          <w:rtl/>
        </w:rPr>
        <w:t xml:space="preserve"> السجناء تشمل منذ عام</w:t>
      </w:r>
      <w:r w:rsidR="009929D8" w:rsidRPr="008C49E6">
        <w:rPr>
          <w:rFonts w:hint="cs"/>
          <w:spacing w:val="-2"/>
          <w:rtl/>
        </w:rPr>
        <w:t> </w:t>
      </w:r>
      <w:r w:rsidR="009929D8" w:rsidRPr="008C49E6">
        <w:rPr>
          <w:spacing w:val="-2"/>
          <w:rtl/>
        </w:rPr>
        <w:t>2011 معلومات عن كفاءتهم في اللغة الإستونية يرى البعض أنها تمييزية ومهينة (المواد 2 و11 و16).</w:t>
      </w:r>
    </w:p>
    <w:p w:rsidR="009929D8" w:rsidRPr="00E8377C" w:rsidRDefault="009929D8" w:rsidP="008C49E6">
      <w:pPr>
        <w:pStyle w:val="SingleTxtGA"/>
        <w:spacing w:line="374" w:lineRule="exact"/>
        <w:rPr>
          <w:b/>
          <w:bCs/>
          <w:rtl/>
        </w:rPr>
      </w:pPr>
      <w:r w:rsidRPr="00E8377C">
        <w:rPr>
          <w:rFonts w:hint="cs"/>
          <w:b/>
          <w:bCs/>
          <w:rtl/>
        </w:rPr>
        <w:tab/>
      </w:r>
      <w:r w:rsidRPr="00E8377C">
        <w:rPr>
          <w:b/>
          <w:bCs/>
          <w:rtl/>
        </w:rPr>
        <w:t>وتوصي اللجنة الدولة الطرف بأن تضع حداً لأي تمييز ضد السجناء على أساس كفاءتهم في اللغة الإستونية وتضمن عدم معاقبة السجناء فيما يخص المسائل الإدارية أو</w:t>
      </w:r>
      <w:r w:rsidRPr="00E8377C">
        <w:rPr>
          <w:rFonts w:hint="cs"/>
          <w:b/>
          <w:bCs/>
          <w:rtl/>
        </w:rPr>
        <w:t> </w:t>
      </w:r>
      <w:r w:rsidRPr="00E8377C">
        <w:rPr>
          <w:b/>
          <w:bCs/>
          <w:rtl/>
        </w:rPr>
        <w:t>التأديبية إذا لم يكن لديهم فهم كافٍ للغة. وينبغي توفير خدمات الترجمة للسجناء الذين لا يعرفون اللغة الإستونية معرفة كافية.</w:t>
      </w:r>
    </w:p>
    <w:p w:rsidR="009929D8" w:rsidRPr="00A8520F" w:rsidRDefault="009929D8" w:rsidP="008C49E6">
      <w:pPr>
        <w:pStyle w:val="H23GA"/>
        <w:spacing w:line="374" w:lineRule="exact"/>
        <w:rPr>
          <w:rtl/>
        </w:rPr>
      </w:pPr>
      <w:r>
        <w:rPr>
          <w:rFonts w:hint="cs"/>
          <w:rtl/>
        </w:rPr>
        <w:tab/>
      </w:r>
      <w:r>
        <w:rPr>
          <w:rFonts w:hint="cs"/>
          <w:rtl/>
        </w:rPr>
        <w:tab/>
      </w:r>
      <w:r w:rsidRPr="00A8520F">
        <w:rPr>
          <w:rtl/>
        </w:rPr>
        <w:t>استخدام القيود</w:t>
      </w:r>
    </w:p>
    <w:p w:rsidR="009929D8" w:rsidRPr="009607B3" w:rsidRDefault="008C49E6" w:rsidP="008C49E6">
      <w:pPr>
        <w:pStyle w:val="SingleTxtGA"/>
        <w:spacing w:line="374" w:lineRule="exact"/>
        <w:rPr>
          <w:rtl/>
        </w:rPr>
      </w:pPr>
      <w:r>
        <w:rPr>
          <w:rFonts w:hint="cs"/>
          <w:rtl/>
        </w:rPr>
        <w:t>(</w:t>
      </w:r>
      <w:r w:rsidR="009929D8">
        <w:rPr>
          <w:rFonts w:hint="cs"/>
          <w:rtl/>
        </w:rPr>
        <w:t>19</w:t>
      </w:r>
      <w:r>
        <w:rPr>
          <w:rFonts w:hint="cs"/>
          <w:rtl/>
        </w:rPr>
        <w:t>)</w:t>
      </w:r>
      <w:r w:rsidR="009929D8">
        <w:rPr>
          <w:rFonts w:hint="cs"/>
          <w:rtl/>
        </w:rPr>
        <w:tab/>
      </w:r>
      <w:r w:rsidR="009929D8" w:rsidRPr="009607B3">
        <w:rPr>
          <w:rtl/>
        </w:rPr>
        <w:t xml:space="preserve">يساور اللجنة القلق إزاء تقارير عن استخدام غير مبرَّر للقيود في السجون، بما في ذلك الأصفاد، نظراً لتقييم غير كافٍ </w:t>
      </w:r>
      <w:r w:rsidR="009929D8">
        <w:rPr>
          <w:rFonts w:hint="cs"/>
          <w:rtl/>
        </w:rPr>
        <w:t>للوضع</w:t>
      </w:r>
      <w:r w:rsidR="009929D8">
        <w:rPr>
          <w:rtl/>
        </w:rPr>
        <w:t xml:space="preserve"> والخيارات المتاحة للتعامل معه</w:t>
      </w:r>
      <w:r w:rsidR="009929D8" w:rsidRPr="009607B3">
        <w:rPr>
          <w:rtl/>
        </w:rPr>
        <w:t xml:space="preserve"> من جانب موظفي السجون (المواد 2 و11 و12 و13 و16). </w:t>
      </w:r>
    </w:p>
    <w:p w:rsidR="009929D8" w:rsidRPr="00167C4B" w:rsidRDefault="009929D8" w:rsidP="008C49E6">
      <w:pPr>
        <w:pStyle w:val="SingleTxtGA"/>
        <w:spacing w:line="374" w:lineRule="exact"/>
        <w:rPr>
          <w:b/>
          <w:bCs/>
          <w:spacing w:val="-2"/>
          <w:rtl/>
        </w:rPr>
      </w:pPr>
      <w:r w:rsidRPr="000B39EB">
        <w:rPr>
          <w:rFonts w:hint="cs"/>
          <w:b/>
          <w:bCs/>
          <w:rtl/>
        </w:rPr>
        <w:tab/>
      </w:r>
      <w:r w:rsidRPr="000B39EB">
        <w:rPr>
          <w:b/>
          <w:bCs/>
          <w:rtl/>
        </w:rPr>
        <w:t>وتوصي اللجنة الدولة الطرف بضمان تقيد صارم من جميع موظفي السجون باللوائح الجديدة الأكثر دقة فيما يتعلق باستخدام القيود في السجون المعمول بها منذ عام</w:t>
      </w:r>
      <w:r>
        <w:rPr>
          <w:rFonts w:hint="cs"/>
          <w:b/>
          <w:bCs/>
          <w:rtl/>
        </w:rPr>
        <w:t> </w:t>
      </w:r>
      <w:r w:rsidRPr="000B39EB">
        <w:rPr>
          <w:b/>
          <w:bCs/>
          <w:rtl/>
        </w:rPr>
        <w:t xml:space="preserve">2011، </w:t>
      </w:r>
      <w:r w:rsidRPr="00167C4B">
        <w:rPr>
          <w:b/>
          <w:bCs/>
          <w:spacing w:val="-2"/>
          <w:rtl/>
        </w:rPr>
        <w:t>فضلاً عن التقيد بالبروتوكولات وملء السجلات التي توثق استخدام القيود، بما في ذلك أسباب استخدامها ومدة استخدامها وطريقة التقييد المستخدمة تحديداً. وينبغي للدولة الطرف أن تضمن إجراء تحقيق فوري ومستقل في جميع شكاوى الانتهاكات المتعلقة باستخدام القيود ومساءلة الأشخاص الذين يرتكبون هذه الانتهاكات.</w:t>
      </w:r>
    </w:p>
    <w:p w:rsidR="009929D8" w:rsidRPr="00A8520F" w:rsidRDefault="009929D8" w:rsidP="008C49E6">
      <w:pPr>
        <w:pStyle w:val="H23GA"/>
        <w:spacing w:line="374" w:lineRule="exact"/>
        <w:rPr>
          <w:rFonts w:hint="cs"/>
          <w:rtl/>
        </w:rPr>
      </w:pPr>
      <w:r>
        <w:rPr>
          <w:rFonts w:hint="cs"/>
          <w:rtl/>
        </w:rPr>
        <w:tab/>
      </w:r>
      <w:r>
        <w:rPr>
          <w:rFonts w:hint="cs"/>
          <w:rtl/>
        </w:rPr>
        <w:tab/>
      </w:r>
      <w:r>
        <w:rPr>
          <w:rtl/>
        </w:rPr>
        <w:t>الأشخاص ذوو الإعاقة</w:t>
      </w:r>
    </w:p>
    <w:p w:rsidR="009929D8" w:rsidRPr="00A83CF9" w:rsidRDefault="008C49E6" w:rsidP="00A83CF9">
      <w:pPr>
        <w:pStyle w:val="SingleTxtGA"/>
        <w:rPr>
          <w:spacing w:val="-2"/>
          <w:rtl/>
        </w:rPr>
      </w:pPr>
      <w:r w:rsidRPr="00A83CF9">
        <w:rPr>
          <w:rFonts w:hint="cs"/>
          <w:spacing w:val="-2"/>
          <w:rtl/>
        </w:rPr>
        <w:t>(</w:t>
      </w:r>
      <w:r w:rsidR="009929D8" w:rsidRPr="00A83CF9">
        <w:rPr>
          <w:rFonts w:hint="cs"/>
          <w:spacing w:val="-2"/>
          <w:rtl/>
        </w:rPr>
        <w:t>20</w:t>
      </w:r>
      <w:r w:rsidRPr="00A83CF9">
        <w:rPr>
          <w:rFonts w:hint="cs"/>
          <w:spacing w:val="-2"/>
          <w:rtl/>
        </w:rPr>
        <w:t>)</w:t>
      </w:r>
      <w:r w:rsidR="009929D8" w:rsidRPr="00A83CF9">
        <w:rPr>
          <w:rFonts w:hint="cs"/>
          <w:spacing w:val="-2"/>
          <w:rtl/>
        </w:rPr>
        <w:tab/>
      </w:r>
      <w:r w:rsidR="009929D8" w:rsidRPr="00A83CF9">
        <w:rPr>
          <w:spacing w:val="-2"/>
          <w:rtl/>
        </w:rPr>
        <w:t xml:space="preserve">تحيط اللجنة علماً بتعديلات 1 أيلول/سبتمبر 2012 لقانون الصحة العقلية ولكنها تعرب عن قلقها إزاء التقارير المتعلقة بنواحي القصور في الرقابة القضائية </w:t>
      </w:r>
      <w:r w:rsidR="009929D8" w:rsidRPr="00A83CF9">
        <w:rPr>
          <w:rFonts w:hint="cs"/>
          <w:spacing w:val="-2"/>
          <w:rtl/>
        </w:rPr>
        <w:t>المتعلقة</w:t>
      </w:r>
      <w:r w:rsidR="009929D8" w:rsidRPr="00A83CF9">
        <w:rPr>
          <w:spacing w:val="-2"/>
          <w:rtl/>
        </w:rPr>
        <w:t xml:space="preserve"> بدخول الأشخاص ذوي الإعاقة العقلية والنفسية الاجتماعية غير الطوعي إلى مؤسسات الطب النفسي وتناولهم القسري للأدوية. ويساورها القلق أيضاً إزاء عدم وجود آلية لتقديم الشكاوى فيما يتعلق بالإيداع غير الطوعي للعلاج. وبالإضافة إلى ذلك، يساور اللجنة القلق إزاء معلومات تفيد بأن الأشخاص ذوي الإعاقة النفسية</w:t>
      </w:r>
      <w:r w:rsidR="009929D8" w:rsidRPr="00A83CF9">
        <w:rPr>
          <w:rFonts w:hint="cs"/>
          <w:spacing w:val="-2"/>
          <w:rtl/>
        </w:rPr>
        <w:t xml:space="preserve"> الاجتماعية</w:t>
      </w:r>
      <w:r w:rsidR="009929D8" w:rsidRPr="00A83CF9">
        <w:rPr>
          <w:spacing w:val="-2"/>
          <w:rtl/>
        </w:rPr>
        <w:t xml:space="preserve"> أو أوصياءهم الشرعيين غالباً ما يُحرمون من الحق في تلقي معلومات كافية عن الإجراءات الجنائية والتهم الموجهة إليهم، والحق في محاكمة عادلة والحق في مساعدة قانونية كافية وفعالة (المواد 2 و10 و11 و12 و13 و16).</w:t>
      </w:r>
    </w:p>
    <w:p w:rsidR="009929D8" w:rsidRPr="00E03FBF" w:rsidRDefault="009929D8" w:rsidP="00A83CF9">
      <w:pPr>
        <w:pStyle w:val="SingleTxtGA"/>
        <w:spacing w:line="374" w:lineRule="exact"/>
        <w:rPr>
          <w:b/>
          <w:bCs/>
          <w:rtl/>
        </w:rPr>
      </w:pPr>
      <w:r w:rsidRPr="00E03FBF">
        <w:rPr>
          <w:rFonts w:hint="cs"/>
          <w:b/>
          <w:bCs/>
          <w:rtl/>
        </w:rPr>
        <w:tab/>
      </w:r>
      <w:r w:rsidRPr="00E03FBF">
        <w:rPr>
          <w:b/>
          <w:bCs/>
          <w:rtl/>
        </w:rPr>
        <w:t>وينبغي للدولة الطرف أن:</w:t>
      </w:r>
    </w:p>
    <w:p w:rsidR="009929D8" w:rsidRPr="00E03FBF" w:rsidRDefault="009929D8" w:rsidP="00A83CF9">
      <w:pPr>
        <w:pStyle w:val="SingleTxtGA"/>
        <w:spacing w:line="374" w:lineRule="exact"/>
        <w:rPr>
          <w:b/>
          <w:bCs/>
          <w:rtl/>
        </w:rPr>
      </w:pPr>
      <w:r>
        <w:rPr>
          <w:b/>
          <w:bCs/>
          <w:rtl/>
        </w:rPr>
        <w:tab/>
      </w:r>
      <w:r w:rsidRPr="00E03FBF">
        <w:rPr>
          <w:rFonts w:hint="cs"/>
          <w:b/>
          <w:bCs/>
          <w:rtl/>
        </w:rPr>
        <w:t>(أ)</w:t>
      </w:r>
      <w:r w:rsidRPr="00E03FBF">
        <w:rPr>
          <w:rFonts w:hint="cs"/>
          <w:b/>
          <w:bCs/>
          <w:rtl/>
        </w:rPr>
        <w:tab/>
      </w:r>
      <w:r w:rsidRPr="00E03FBF">
        <w:rPr>
          <w:b/>
          <w:bCs/>
          <w:rtl/>
        </w:rPr>
        <w:t xml:space="preserve">تضمن إشراف الأجهزة القضائية الفعال ورصدها المستقل لإدخال أي شخص ذي إعاقة عقلية ونفسية اجتماعية دون موافقته إلى مؤسسات </w:t>
      </w:r>
      <w:r w:rsidRPr="00E03FBF">
        <w:rPr>
          <w:rFonts w:hint="cs"/>
          <w:b/>
          <w:bCs/>
          <w:rtl/>
        </w:rPr>
        <w:t>ال</w:t>
      </w:r>
      <w:r w:rsidRPr="00E03FBF">
        <w:rPr>
          <w:b/>
          <w:bCs/>
          <w:rtl/>
        </w:rPr>
        <w:t xml:space="preserve">طب </w:t>
      </w:r>
      <w:r w:rsidRPr="00E03FBF">
        <w:rPr>
          <w:rFonts w:hint="cs"/>
          <w:b/>
          <w:bCs/>
          <w:rtl/>
        </w:rPr>
        <w:t>ال</w:t>
      </w:r>
      <w:r w:rsidRPr="00E03FBF">
        <w:rPr>
          <w:b/>
          <w:bCs/>
          <w:rtl/>
        </w:rPr>
        <w:t xml:space="preserve">نفسي؛ وتضمن تلقي </w:t>
      </w:r>
      <w:r w:rsidRPr="00E03FBF">
        <w:rPr>
          <w:rFonts w:hint="cs"/>
          <w:b/>
          <w:bCs/>
          <w:rtl/>
        </w:rPr>
        <w:t>أي</w:t>
      </w:r>
      <w:r w:rsidRPr="00E03FBF">
        <w:rPr>
          <w:b/>
          <w:bCs/>
          <w:rtl/>
        </w:rPr>
        <w:t xml:space="preserve"> مريض، سواء أُدخل المستشفى طواعية أو </w:t>
      </w:r>
      <w:r w:rsidRPr="00E03FBF">
        <w:rPr>
          <w:rFonts w:hint="cs"/>
          <w:b/>
          <w:bCs/>
          <w:rtl/>
        </w:rPr>
        <w:t>بشكل غير طواعي</w:t>
      </w:r>
      <w:r w:rsidRPr="00E03FBF">
        <w:rPr>
          <w:b/>
          <w:bCs/>
          <w:rtl/>
        </w:rPr>
        <w:t>، معلومات كاملة عن العلاج الذي سيُوصف له ويُعطى فرصة رفض العلاج أو أي تدخل طبي آخر؛</w:t>
      </w:r>
    </w:p>
    <w:p w:rsidR="009929D8" w:rsidRPr="00E03FBF" w:rsidRDefault="009929D8" w:rsidP="00A83CF9">
      <w:pPr>
        <w:pStyle w:val="SingleTxtGA"/>
        <w:spacing w:line="374" w:lineRule="exact"/>
        <w:rPr>
          <w:b/>
          <w:bCs/>
          <w:rtl/>
        </w:rPr>
      </w:pPr>
      <w:r>
        <w:rPr>
          <w:b/>
          <w:bCs/>
          <w:rtl/>
        </w:rPr>
        <w:tab/>
      </w:r>
      <w:r w:rsidRPr="00E03FBF">
        <w:rPr>
          <w:rFonts w:hint="cs"/>
          <w:b/>
          <w:bCs/>
          <w:rtl/>
        </w:rPr>
        <w:t>(ب)</w:t>
      </w:r>
      <w:r w:rsidRPr="00E03FBF">
        <w:rPr>
          <w:rFonts w:hint="cs"/>
          <w:b/>
          <w:bCs/>
          <w:rtl/>
        </w:rPr>
        <w:tab/>
      </w:r>
      <w:r w:rsidRPr="00E03FBF">
        <w:rPr>
          <w:b/>
          <w:bCs/>
          <w:rtl/>
        </w:rPr>
        <w:t>تكفل ضمانات قانونية فعالة للأشخاص في هذه المؤسسات، بما في ذلك الحق في طعن فعال؛</w:t>
      </w:r>
    </w:p>
    <w:p w:rsidR="009929D8" w:rsidRPr="00E03FBF" w:rsidRDefault="009929D8" w:rsidP="00A83CF9">
      <w:pPr>
        <w:pStyle w:val="SingleTxtGA"/>
        <w:spacing w:line="374" w:lineRule="exact"/>
        <w:rPr>
          <w:b/>
          <w:bCs/>
          <w:rtl/>
        </w:rPr>
      </w:pPr>
      <w:r>
        <w:rPr>
          <w:b/>
          <w:bCs/>
          <w:rtl/>
        </w:rPr>
        <w:tab/>
      </w:r>
      <w:r w:rsidRPr="00E03FBF">
        <w:rPr>
          <w:rFonts w:hint="cs"/>
          <w:b/>
          <w:bCs/>
          <w:rtl/>
        </w:rPr>
        <w:t>(ج)</w:t>
      </w:r>
      <w:r w:rsidRPr="00E03FBF">
        <w:rPr>
          <w:rFonts w:hint="cs"/>
          <w:b/>
          <w:bCs/>
          <w:rtl/>
        </w:rPr>
        <w:tab/>
      </w:r>
      <w:r w:rsidRPr="00E03FBF">
        <w:rPr>
          <w:b/>
          <w:bCs/>
          <w:rtl/>
        </w:rPr>
        <w:t>تكفل حق الأشخاص ذوي الإعاقة العقلية والنفسية</w:t>
      </w:r>
      <w:r w:rsidRPr="00E03FBF">
        <w:rPr>
          <w:rFonts w:hint="cs"/>
          <w:b/>
          <w:bCs/>
          <w:rtl/>
        </w:rPr>
        <w:t xml:space="preserve"> الاجتماعية</w:t>
      </w:r>
      <w:r w:rsidRPr="00E03FBF">
        <w:rPr>
          <w:b/>
          <w:bCs/>
          <w:rtl/>
        </w:rPr>
        <w:t xml:space="preserve"> أو</w:t>
      </w:r>
      <w:r>
        <w:rPr>
          <w:rFonts w:hint="cs"/>
          <w:b/>
          <w:bCs/>
          <w:rtl/>
        </w:rPr>
        <w:t> </w:t>
      </w:r>
      <w:r w:rsidRPr="00E03FBF">
        <w:rPr>
          <w:b/>
          <w:bCs/>
          <w:rtl/>
        </w:rPr>
        <w:t>أوصيائهم الشرعيين في تلقي معلومات كافية عن الإجراءات الجنائية والتهم الموجهة إليهم، والحق في محاكمة عادلة، والحق في مساعدة قانونية كافية وفعالة لدفاعهم؛</w:t>
      </w:r>
    </w:p>
    <w:p w:rsidR="009929D8" w:rsidRPr="00E03FBF" w:rsidRDefault="009929D8" w:rsidP="00A83CF9">
      <w:pPr>
        <w:pStyle w:val="SingleTxtGA"/>
        <w:spacing w:line="374" w:lineRule="exact"/>
        <w:rPr>
          <w:rFonts w:hint="cs"/>
          <w:b/>
          <w:bCs/>
          <w:rtl/>
        </w:rPr>
      </w:pPr>
      <w:r>
        <w:rPr>
          <w:b/>
          <w:bCs/>
          <w:rtl/>
        </w:rPr>
        <w:tab/>
      </w:r>
      <w:r w:rsidRPr="00E03FBF">
        <w:rPr>
          <w:rFonts w:hint="cs"/>
          <w:b/>
          <w:bCs/>
          <w:rtl/>
        </w:rPr>
        <w:t>(د)</w:t>
      </w:r>
      <w:r w:rsidRPr="00E03FBF">
        <w:rPr>
          <w:rFonts w:hint="cs"/>
          <w:b/>
          <w:bCs/>
          <w:rtl/>
        </w:rPr>
        <w:tab/>
      </w:r>
      <w:r w:rsidRPr="00E03FBF">
        <w:rPr>
          <w:b/>
          <w:bCs/>
          <w:rtl/>
        </w:rPr>
        <w:t xml:space="preserve">توفر التدريب </w:t>
      </w:r>
      <w:r w:rsidRPr="00E03FBF">
        <w:rPr>
          <w:rFonts w:hint="cs"/>
          <w:b/>
          <w:bCs/>
          <w:rtl/>
        </w:rPr>
        <w:t>ل</w:t>
      </w:r>
      <w:r w:rsidRPr="00E03FBF">
        <w:rPr>
          <w:b/>
          <w:bCs/>
          <w:rtl/>
        </w:rPr>
        <w:t xml:space="preserve">لموظفين الطبيين وغير الطبيين بشأن طريقة تقديم رعاية غير عنيفة وغير قسرية، ووضع لوائح واضحة ومفصلة </w:t>
      </w:r>
      <w:r w:rsidRPr="00E03FBF">
        <w:rPr>
          <w:rFonts w:hint="cs"/>
          <w:b/>
          <w:bCs/>
          <w:rtl/>
        </w:rPr>
        <w:t>تتعلق ب</w:t>
      </w:r>
      <w:r w:rsidRPr="00E03FBF">
        <w:rPr>
          <w:b/>
          <w:bCs/>
          <w:rtl/>
        </w:rPr>
        <w:t>استخدام القيود وغيرها من التدابير القسرية في مؤسسات الطب النفسي؛</w:t>
      </w:r>
    </w:p>
    <w:p w:rsidR="009929D8" w:rsidRPr="00E03FBF" w:rsidRDefault="009929D8" w:rsidP="00A83CF9">
      <w:pPr>
        <w:pStyle w:val="SingleTxtGA"/>
        <w:spacing w:line="374" w:lineRule="exact"/>
        <w:rPr>
          <w:b/>
          <w:bCs/>
          <w:rtl/>
        </w:rPr>
      </w:pPr>
      <w:r>
        <w:rPr>
          <w:rFonts w:hint="cs"/>
          <w:b/>
          <w:bCs/>
          <w:rtl/>
        </w:rPr>
        <w:tab/>
      </w:r>
      <w:r w:rsidRPr="00E03FBF">
        <w:rPr>
          <w:b/>
          <w:bCs/>
          <w:rtl/>
        </w:rPr>
        <w:t>(</w:t>
      </w:r>
      <w:r w:rsidRPr="00E03FBF">
        <w:rPr>
          <w:rFonts w:hint="cs"/>
          <w:b/>
          <w:bCs/>
          <w:sz w:val="30"/>
          <w:rtl/>
        </w:rPr>
        <w:t>ﻫ</w:t>
      </w:r>
      <w:r w:rsidRPr="00E03FBF">
        <w:rPr>
          <w:b/>
          <w:bCs/>
          <w:rtl/>
        </w:rPr>
        <w:t>)</w:t>
      </w:r>
      <w:r w:rsidRPr="00E03FBF">
        <w:rPr>
          <w:b/>
          <w:bCs/>
          <w:rtl/>
        </w:rPr>
        <w:tab/>
        <w:t>تنشئ آلية مستقلة لتقديم الشكاوى، وتسدي المشورة وتجري تحقيقاً فعالاً ونزيهاً في جميع الشكاوى المتعلقة بانتهاك الاتفاقية، وتقدم الجناة إلى العدالة، وتقدم الجبر إلى الضحايا.</w:t>
      </w:r>
    </w:p>
    <w:p w:rsidR="009929D8" w:rsidRPr="00A8520F" w:rsidRDefault="009929D8" w:rsidP="00A83CF9">
      <w:pPr>
        <w:pStyle w:val="H23GA"/>
        <w:spacing w:line="374" w:lineRule="exact"/>
        <w:rPr>
          <w:rtl/>
        </w:rPr>
      </w:pPr>
      <w:r>
        <w:rPr>
          <w:rFonts w:hint="cs"/>
          <w:rtl/>
        </w:rPr>
        <w:tab/>
      </w:r>
      <w:r>
        <w:rPr>
          <w:rFonts w:hint="cs"/>
          <w:rtl/>
        </w:rPr>
        <w:tab/>
      </w:r>
      <w:r w:rsidRPr="00A8520F">
        <w:rPr>
          <w:rtl/>
        </w:rPr>
        <w:t>العقوبة البدنية للأطفال</w:t>
      </w:r>
    </w:p>
    <w:p w:rsidR="009929D8" w:rsidRPr="009607B3" w:rsidRDefault="008C49E6" w:rsidP="00A83CF9">
      <w:pPr>
        <w:pStyle w:val="SingleTxtGA"/>
        <w:spacing w:line="374" w:lineRule="exact"/>
        <w:rPr>
          <w:rFonts w:hint="cs"/>
          <w:rtl/>
        </w:rPr>
      </w:pPr>
      <w:r>
        <w:rPr>
          <w:rFonts w:hint="cs"/>
          <w:rtl/>
        </w:rPr>
        <w:t>(</w:t>
      </w:r>
      <w:r w:rsidR="009929D8">
        <w:rPr>
          <w:rFonts w:hint="cs"/>
          <w:rtl/>
        </w:rPr>
        <w:t>21</w:t>
      </w:r>
      <w:r>
        <w:rPr>
          <w:rFonts w:hint="cs"/>
          <w:rtl/>
        </w:rPr>
        <w:t>)</w:t>
      </w:r>
      <w:r w:rsidR="009929D8">
        <w:rPr>
          <w:rFonts w:hint="cs"/>
          <w:rtl/>
        </w:rPr>
        <w:tab/>
        <w:t>تحيط</w:t>
      </w:r>
      <w:r w:rsidR="009929D8" w:rsidRPr="009607B3">
        <w:rPr>
          <w:rtl/>
        </w:rPr>
        <w:t xml:space="preserve"> اللجنة علماً بأن العقوبة البدنية غير قانونية ف</w:t>
      </w:r>
      <w:r w:rsidR="009929D8">
        <w:rPr>
          <w:rtl/>
        </w:rPr>
        <w:t>ي المدارس وفي النظام العقابي، و</w:t>
      </w:r>
      <w:r w:rsidR="009929D8">
        <w:rPr>
          <w:rFonts w:hint="cs"/>
          <w:rtl/>
        </w:rPr>
        <w:t>ت</w:t>
      </w:r>
      <w:r w:rsidR="009929D8">
        <w:rPr>
          <w:rtl/>
        </w:rPr>
        <w:t>عرب</w:t>
      </w:r>
      <w:r w:rsidR="009929D8" w:rsidRPr="009607B3">
        <w:rPr>
          <w:rtl/>
        </w:rPr>
        <w:t xml:space="preserve"> عن قلقها إزاء عدم وجود تشريعات تحظر صراحة العقوبة البدنية في جميع الأوساط (المادتان 2 و</w:t>
      </w:r>
      <w:r w:rsidR="009929D8">
        <w:rPr>
          <w:rtl/>
        </w:rPr>
        <w:t>16).</w:t>
      </w:r>
    </w:p>
    <w:p w:rsidR="009929D8" w:rsidRPr="008C49E6" w:rsidRDefault="009929D8" w:rsidP="00A83CF9">
      <w:pPr>
        <w:pStyle w:val="SingleTxtGA"/>
        <w:spacing w:line="374" w:lineRule="exact"/>
        <w:rPr>
          <w:rFonts w:ascii="Times New Roman Bold" w:hAnsi="Times New Roman Bold"/>
          <w:b/>
          <w:bCs/>
          <w:spacing w:val="-4"/>
          <w:rtl/>
        </w:rPr>
      </w:pPr>
      <w:r w:rsidRPr="008C49E6">
        <w:rPr>
          <w:rFonts w:ascii="Times New Roman Bold" w:hAnsi="Times New Roman Bold" w:hint="cs"/>
          <w:b/>
          <w:bCs/>
          <w:spacing w:val="-4"/>
          <w:rtl/>
        </w:rPr>
        <w:tab/>
      </w:r>
      <w:r w:rsidRPr="008C49E6">
        <w:rPr>
          <w:rFonts w:ascii="Times New Roman Bold" w:hAnsi="Times New Roman Bold"/>
          <w:b/>
          <w:bCs/>
          <w:spacing w:val="-4"/>
          <w:rtl/>
        </w:rPr>
        <w:t>وتوصي اللجنة بتعديل قانون حماية الطفل ليحظر صراحة العقوبة البدنية للأطفال في جميع الأوساط، بما فيها البيت وفي أوساط الرعاية البديلة، بوصفها جريمة بموجب القانون.</w:t>
      </w:r>
    </w:p>
    <w:p w:rsidR="009929D8" w:rsidRPr="00D64170" w:rsidRDefault="009929D8" w:rsidP="00A83CF9">
      <w:pPr>
        <w:pStyle w:val="H23GA"/>
        <w:spacing w:line="374" w:lineRule="exact"/>
        <w:rPr>
          <w:rtl/>
        </w:rPr>
      </w:pPr>
      <w:r>
        <w:rPr>
          <w:rFonts w:hint="cs"/>
          <w:rtl/>
        </w:rPr>
        <w:tab/>
      </w:r>
      <w:r>
        <w:rPr>
          <w:rFonts w:hint="cs"/>
          <w:rtl/>
        </w:rPr>
        <w:tab/>
      </w:r>
      <w:r w:rsidRPr="00D64170">
        <w:rPr>
          <w:rtl/>
        </w:rPr>
        <w:t>الأشخاص عديمو الجنسية</w:t>
      </w:r>
    </w:p>
    <w:p w:rsidR="009929D8" w:rsidRPr="009607B3" w:rsidRDefault="008C49E6" w:rsidP="00A83CF9">
      <w:pPr>
        <w:pStyle w:val="SingleTxtGA"/>
        <w:spacing w:line="374" w:lineRule="exact"/>
        <w:rPr>
          <w:rtl/>
        </w:rPr>
      </w:pPr>
      <w:r>
        <w:rPr>
          <w:rFonts w:hint="cs"/>
          <w:rtl/>
        </w:rPr>
        <w:t>(</w:t>
      </w:r>
      <w:r w:rsidR="009929D8">
        <w:rPr>
          <w:rFonts w:hint="cs"/>
          <w:rtl/>
        </w:rPr>
        <w:t>22</w:t>
      </w:r>
      <w:r>
        <w:rPr>
          <w:rFonts w:hint="cs"/>
          <w:rtl/>
        </w:rPr>
        <w:t>)</w:t>
      </w:r>
      <w:r w:rsidR="009929D8">
        <w:rPr>
          <w:rFonts w:hint="cs"/>
          <w:rtl/>
        </w:rPr>
        <w:tab/>
      </w:r>
      <w:r w:rsidR="009929D8" w:rsidRPr="009607B3">
        <w:rPr>
          <w:rtl/>
        </w:rPr>
        <w:t xml:space="preserve">ترحب اللجنة بالانخفاض الكبير في حالات انعدام الجنسية في الدولة الطرف من 32 في المائة في </w:t>
      </w:r>
      <w:r w:rsidR="009929D8">
        <w:rPr>
          <w:rFonts w:hint="cs"/>
          <w:rtl/>
        </w:rPr>
        <w:t>تسعينات القرن الماضي</w:t>
      </w:r>
      <w:r w:rsidR="009929D8">
        <w:rPr>
          <w:rtl/>
        </w:rPr>
        <w:t>، و</w:t>
      </w:r>
      <w:r w:rsidR="009929D8" w:rsidRPr="009607B3">
        <w:rPr>
          <w:rtl/>
        </w:rPr>
        <w:t xml:space="preserve">تشير إلى المعلومات التي قدمها ممثلو الدولة الطرف، </w:t>
      </w:r>
      <w:r w:rsidR="009929D8">
        <w:rPr>
          <w:rFonts w:hint="cs"/>
          <w:rtl/>
        </w:rPr>
        <w:t>ولكنه</w:t>
      </w:r>
      <w:r w:rsidR="009929D8" w:rsidRPr="009607B3">
        <w:rPr>
          <w:rtl/>
        </w:rPr>
        <w:t>ا تعرب عن قلقها لأن حوالي 7 في المائة من السكان ما زالوا "دون جنسية محددة" وإزاء العدد المتدني من الأطفال الذين يولدون في إستونيا لآباء ليسوا مواطنين ويُسجَّلون كمواطنين (المادة 2).</w:t>
      </w:r>
    </w:p>
    <w:p w:rsidR="009929D8" w:rsidRPr="009134FF" w:rsidRDefault="009929D8" w:rsidP="009929D8">
      <w:pPr>
        <w:pStyle w:val="SingleTxtGA"/>
        <w:spacing w:line="370" w:lineRule="exact"/>
        <w:rPr>
          <w:b/>
          <w:bCs/>
          <w:rtl/>
        </w:rPr>
      </w:pPr>
      <w:r w:rsidRPr="009134FF">
        <w:rPr>
          <w:rFonts w:hint="cs"/>
          <w:b/>
          <w:bCs/>
          <w:rtl/>
        </w:rPr>
        <w:tab/>
      </w:r>
      <w:r w:rsidRPr="009134FF">
        <w:rPr>
          <w:b/>
          <w:bCs/>
          <w:rtl/>
        </w:rPr>
        <w:t>وينبغي للدولة الطرف أن:</w:t>
      </w:r>
    </w:p>
    <w:p w:rsidR="009929D8" w:rsidRPr="009134FF" w:rsidRDefault="009929D8" w:rsidP="009929D8">
      <w:pPr>
        <w:pStyle w:val="SingleTxtGA"/>
        <w:spacing w:line="370" w:lineRule="exact"/>
        <w:rPr>
          <w:b/>
          <w:bCs/>
          <w:rtl/>
        </w:rPr>
      </w:pPr>
      <w:r>
        <w:rPr>
          <w:b/>
          <w:bCs/>
          <w:rtl/>
        </w:rPr>
        <w:tab/>
      </w:r>
      <w:r w:rsidRPr="009134FF">
        <w:rPr>
          <w:rFonts w:hint="cs"/>
          <w:b/>
          <w:bCs/>
          <w:rtl/>
        </w:rPr>
        <w:t>(أ)</w:t>
      </w:r>
      <w:r w:rsidRPr="009134FF">
        <w:rPr>
          <w:rFonts w:hint="cs"/>
          <w:b/>
          <w:bCs/>
          <w:rtl/>
        </w:rPr>
        <w:tab/>
      </w:r>
      <w:r w:rsidRPr="009134FF">
        <w:rPr>
          <w:b/>
          <w:bCs/>
          <w:rtl/>
        </w:rPr>
        <w:t xml:space="preserve">تعتمد تدابير </w:t>
      </w:r>
      <w:r w:rsidRPr="009134FF">
        <w:rPr>
          <w:rFonts w:hint="cs"/>
          <w:b/>
          <w:bCs/>
          <w:rtl/>
        </w:rPr>
        <w:t>قانونية و</w:t>
      </w:r>
      <w:r w:rsidRPr="009134FF">
        <w:rPr>
          <w:b/>
          <w:bCs/>
          <w:rtl/>
        </w:rPr>
        <w:t>عملية لتبسيط وتسهيل تجنيس الأشخاص عديمي الجنسية وغير المواطنين وإدماجهم، بوسائل منها إعادة النظر في شروط منح الجنسية؛</w:t>
      </w:r>
    </w:p>
    <w:p w:rsidR="009929D8" w:rsidRPr="009134FF" w:rsidRDefault="009929D8" w:rsidP="009929D8">
      <w:pPr>
        <w:pStyle w:val="SingleTxtGA"/>
        <w:spacing w:line="370" w:lineRule="exact"/>
        <w:rPr>
          <w:b/>
          <w:bCs/>
          <w:rtl/>
        </w:rPr>
      </w:pPr>
      <w:r>
        <w:rPr>
          <w:b/>
          <w:bCs/>
          <w:rtl/>
        </w:rPr>
        <w:tab/>
      </w:r>
      <w:r w:rsidRPr="009134FF">
        <w:rPr>
          <w:rFonts w:hint="cs"/>
          <w:b/>
          <w:bCs/>
          <w:rtl/>
        </w:rPr>
        <w:t>(ب)</w:t>
      </w:r>
      <w:r w:rsidRPr="009134FF">
        <w:rPr>
          <w:rFonts w:hint="cs"/>
          <w:b/>
          <w:bCs/>
          <w:rtl/>
        </w:rPr>
        <w:tab/>
      </w:r>
      <w:r w:rsidRPr="009134FF">
        <w:rPr>
          <w:b/>
          <w:bCs/>
          <w:rtl/>
        </w:rPr>
        <w:t>تنظر في توفير دروس لغوية مجاناً لجميع غير المواطنين الذين يرغبون في طلب الجنسية الإستونية؛</w:t>
      </w:r>
    </w:p>
    <w:p w:rsidR="009929D8" w:rsidRPr="009134FF" w:rsidRDefault="009929D8" w:rsidP="009929D8">
      <w:pPr>
        <w:pStyle w:val="SingleTxtGA"/>
        <w:spacing w:line="370" w:lineRule="exact"/>
        <w:rPr>
          <w:b/>
          <w:bCs/>
          <w:rtl/>
        </w:rPr>
      </w:pPr>
      <w:r>
        <w:rPr>
          <w:b/>
          <w:bCs/>
          <w:rtl/>
        </w:rPr>
        <w:tab/>
      </w:r>
      <w:r w:rsidRPr="009134FF">
        <w:rPr>
          <w:rFonts w:hint="cs"/>
          <w:b/>
          <w:bCs/>
          <w:rtl/>
        </w:rPr>
        <w:t>(ج)</w:t>
      </w:r>
      <w:r w:rsidRPr="009134FF">
        <w:rPr>
          <w:rFonts w:hint="cs"/>
          <w:b/>
          <w:bCs/>
          <w:rtl/>
        </w:rPr>
        <w:tab/>
      </w:r>
      <w:r w:rsidRPr="009134FF">
        <w:rPr>
          <w:b/>
          <w:bCs/>
          <w:rtl/>
        </w:rPr>
        <w:t>تواصل وتعزز الجهود التي يبذلها مجلس المواطنة والهجرة لتوعية الآباء الذين يكون أبناؤهم مؤهلين للحصول على الجنسية من خلال الإجراءات المبسطة لشروط الجنسية، وتنظر في منح الجنسية تلقائياً عند الولادة، دون تسجيل مسبق من جانب الآباء، لأطفال الآباء غير المواطنين الذين لا يحصلون على أي جنسية أخرى؛</w:t>
      </w:r>
    </w:p>
    <w:p w:rsidR="009929D8" w:rsidRPr="009134FF" w:rsidRDefault="009929D8" w:rsidP="008C49E6">
      <w:pPr>
        <w:pStyle w:val="SingleTxtGA"/>
        <w:rPr>
          <w:b/>
          <w:bCs/>
          <w:rtl/>
        </w:rPr>
      </w:pPr>
      <w:r>
        <w:rPr>
          <w:b/>
          <w:bCs/>
          <w:rtl/>
        </w:rPr>
        <w:tab/>
      </w:r>
      <w:r w:rsidRPr="009134FF">
        <w:rPr>
          <w:rFonts w:hint="cs"/>
          <w:b/>
          <w:bCs/>
          <w:rtl/>
        </w:rPr>
        <w:t>(د)</w:t>
      </w:r>
      <w:r w:rsidRPr="009134FF">
        <w:rPr>
          <w:rFonts w:hint="cs"/>
          <w:b/>
          <w:bCs/>
          <w:rtl/>
        </w:rPr>
        <w:tab/>
      </w:r>
      <w:r w:rsidRPr="009134FF">
        <w:rPr>
          <w:b/>
          <w:bCs/>
          <w:rtl/>
        </w:rPr>
        <w:t>تكفل التنفيذ الفعال لاستراتيجية الإدماج ولبرنامج الإدماج الحكومي للفترة 2008</w:t>
      </w:r>
      <w:r>
        <w:rPr>
          <w:rFonts w:hint="cs"/>
          <w:b/>
          <w:bCs/>
          <w:rtl/>
        </w:rPr>
        <w:t>-</w:t>
      </w:r>
      <w:r w:rsidRPr="009134FF">
        <w:rPr>
          <w:b/>
          <w:bCs/>
          <w:rtl/>
        </w:rPr>
        <w:t>2013، وتمد</w:t>
      </w:r>
      <w:r w:rsidRPr="009134FF">
        <w:rPr>
          <w:rFonts w:hint="cs"/>
          <w:b/>
          <w:bCs/>
          <w:rtl/>
        </w:rPr>
        <w:t>ّ</w:t>
      </w:r>
      <w:r w:rsidRPr="009134FF">
        <w:rPr>
          <w:b/>
          <w:bCs/>
          <w:rtl/>
        </w:rPr>
        <w:t>د البرنامج إلى ما بعد عام 2013؛</w:t>
      </w:r>
    </w:p>
    <w:p w:rsidR="009929D8" w:rsidRPr="009134FF" w:rsidRDefault="009929D8" w:rsidP="008C49E6">
      <w:pPr>
        <w:pStyle w:val="SingleTxtGA"/>
        <w:rPr>
          <w:rFonts w:hint="cs"/>
          <w:b/>
          <w:bCs/>
          <w:rtl/>
        </w:rPr>
      </w:pPr>
      <w:r>
        <w:rPr>
          <w:rFonts w:hint="cs"/>
          <w:b/>
          <w:bCs/>
          <w:rtl/>
        </w:rPr>
        <w:tab/>
      </w:r>
      <w:r w:rsidRPr="009134FF">
        <w:rPr>
          <w:b/>
          <w:bCs/>
          <w:rtl/>
        </w:rPr>
        <w:t>(</w:t>
      </w:r>
      <w:r w:rsidRPr="009134FF">
        <w:rPr>
          <w:rFonts w:hint="cs"/>
          <w:b/>
          <w:bCs/>
          <w:sz w:val="30"/>
          <w:rtl/>
        </w:rPr>
        <w:t>ﻫ</w:t>
      </w:r>
      <w:r w:rsidRPr="009134FF">
        <w:rPr>
          <w:b/>
          <w:bCs/>
          <w:rtl/>
        </w:rPr>
        <w:t>)</w:t>
      </w:r>
      <w:r w:rsidRPr="009134FF">
        <w:rPr>
          <w:b/>
          <w:bCs/>
          <w:rtl/>
        </w:rPr>
        <w:tab/>
        <w:t>تعيد النظر</w:t>
      </w:r>
      <w:r w:rsidRPr="009134FF">
        <w:rPr>
          <w:rFonts w:hint="cs"/>
          <w:b/>
          <w:bCs/>
          <w:rtl/>
        </w:rPr>
        <w:t xml:space="preserve"> في</w:t>
      </w:r>
      <w:r w:rsidRPr="009134FF">
        <w:rPr>
          <w:b/>
          <w:bCs/>
          <w:rtl/>
        </w:rPr>
        <w:t xml:space="preserve"> التصديق على اتفاقية عام 1954 بشأن الأشخاص عديمي الجنسية واتفاقية عام 1961 بشأن خفض حالات انعدام الجنسية، </w:t>
      </w:r>
      <w:r w:rsidRPr="009134FF">
        <w:rPr>
          <w:rFonts w:hint="cs"/>
          <w:b/>
          <w:bCs/>
          <w:rtl/>
        </w:rPr>
        <w:t>رغم المعلومات الت</w:t>
      </w:r>
      <w:r>
        <w:rPr>
          <w:rFonts w:hint="cs"/>
          <w:b/>
          <w:bCs/>
          <w:rtl/>
        </w:rPr>
        <w:t>ي قدمتها فيما يخص قرار عدم التصد</w:t>
      </w:r>
      <w:r w:rsidRPr="009134FF">
        <w:rPr>
          <w:rFonts w:hint="cs"/>
          <w:b/>
          <w:bCs/>
          <w:rtl/>
        </w:rPr>
        <w:t>يق عليهما.</w:t>
      </w:r>
    </w:p>
    <w:p w:rsidR="009929D8" w:rsidRPr="00D64170" w:rsidRDefault="009929D8" w:rsidP="008C49E6">
      <w:pPr>
        <w:pStyle w:val="H23GA"/>
      </w:pPr>
      <w:r>
        <w:rPr>
          <w:rFonts w:hint="cs"/>
          <w:rtl/>
        </w:rPr>
        <w:tab/>
      </w:r>
      <w:r>
        <w:rPr>
          <w:rFonts w:hint="cs"/>
          <w:rtl/>
        </w:rPr>
        <w:tab/>
      </w:r>
      <w:r>
        <w:rPr>
          <w:rtl/>
        </w:rPr>
        <w:t>جمع البيانات</w:t>
      </w:r>
    </w:p>
    <w:p w:rsidR="009929D8" w:rsidRPr="008C49E6" w:rsidRDefault="008C49E6" w:rsidP="008C49E6">
      <w:pPr>
        <w:pStyle w:val="SingleTxtGA"/>
        <w:rPr>
          <w:rFonts w:hint="cs"/>
          <w:rtl/>
        </w:rPr>
      </w:pPr>
      <w:r w:rsidRPr="008C49E6">
        <w:rPr>
          <w:rFonts w:hint="cs"/>
          <w:rtl/>
        </w:rPr>
        <w:t>(</w:t>
      </w:r>
      <w:r w:rsidR="009929D8" w:rsidRPr="008C49E6">
        <w:rPr>
          <w:rFonts w:hint="cs"/>
          <w:rtl/>
        </w:rPr>
        <w:t>23</w:t>
      </w:r>
      <w:r w:rsidRPr="008C49E6">
        <w:rPr>
          <w:rFonts w:hint="cs"/>
          <w:rtl/>
        </w:rPr>
        <w:t>)</w:t>
      </w:r>
      <w:r w:rsidR="009929D8" w:rsidRPr="008C49E6">
        <w:rPr>
          <w:rFonts w:hint="cs"/>
          <w:rtl/>
        </w:rPr>
        <w:tab/>
      </w:r>
      <w:r w:rsidR="009929D8" w:rsidRPr="008C49E6">
        <w:rPr>
          <w:rtl/>
        </w:rPr>
        <w:t>ترحب اللجنة بالبيانات المقدمة عن الشكاوى والإدانات المتعلقة بالتعذيب وسوء المعاملة وكذلك عن الاتجار وغيره من البنود، ولكنها تعرب عن أسفها للمعلومات المقدمة من الدولة الطرف ب</w:t>
      </w:r>
      <w:r w:rsidR="009929D8" w:rsidRPr="008C49E6">
        <w:rPr>
          <w:rFonts w:hint="cs"/>
          <w:rtl/>
        </w:rPr>
        <w:t>أ</w:t>
      </w:r>
      <w:r w:rsidR="009929D8" w:rsidRPr="008C49E6">
        <w:rPr>
          <w:rtl/>
        </w:rPr>
        <w:t xml:space="preserve">ن البيانات الإحصائية لا تُجمع بطرق تسمح بتحليل أوفى </w:t>
      </w:r>
      <w:r w:rsidR="009929D8" w:rsidRPr="008C49E6">
        <w:rPr>
          <w:rFonts w:hint="cs"/>
          <w:rtl/>
        </w:rPr>
        <w:t>لمعرفة</w:t>
      </w:r>
      <w:r w:rsidR="009929D8" w:rsidRPr="008C49E6">
        <w:rPr>
          <w:rtl/>
        </w:rPr>
        <w:t xml:space="preserve"> من المشتكي وأين </w:t>
      </w:r>
      <w:r w:rsidR="009929D8" w:rsidRPr="008C49E6">
        <w:rPr>
          <w:rFonts w:hint="cs"/>
          <w:rtl/>
        </w:rPr>
        <w:t xml:space="preserve">قدم الشكوى </w:t>
      </w:r>
      <w:r w:rsidR="009929D8" w:rsidRPr="008C49E6">
        <w:rPr>
          <w:rtl/>
        </w:rPr>
        <w:t xml:space="preserve">ولأي سبب وبواسطة من </w:t>
      </w:r>
      <w:r w:rsidR="009929D8" w:rsidRPr="008C49E6">
        <w:rPr>
          <w:rFonts w:hint="cs"/>
          <w:rtl/>
        </w:rPr>
        <w:t>وماذا كانت النتيجة</w:t>
      </w:r>
      <w:r w:rsidR="009929D8" w:rsidRPr="008C49E6">
        <w:rPr>
          <w:rtl/>
        </w:rPr>
        <w:t>. ومن ثم، تعرب اللجنة عن أسفها لأن هذه البيانات ليست مفصلة بحسب الجريمة وخصائص أخرى، فيما يتعلق بالشكاوى والتحقيقات والمحاكمات الخاصة بقضايا التعذيب وسوء المعاملة من جانب الموظفين المكلفين بإنفاذ القانون وأفراد الجيش وموظفي الأمن والسجون وكذلك بش</w:t>
      </w:r>
      <w:r w:rsidR="009929D8" w:rsidRPr="008C49E6">
        <w:rPr>
          <w:rFonts w:hint="cs"/>
          <w:rtl/>
        </w:rPr>
        <w:t>أ</w:t>
      </w:r>
      <w:r w:rsidR="009929D8" w:rsidRPr="008C49E6">
        <w:rPr>
          <w:rtl/>
        </w:rPr>
        <w:t xml:space="preserve">ن العنف بين السجناء والاتجار والعنف ضد النساء والأطفال وفئات مستضعفة أخرى، بما في ذلك العنف المنزلي والجنسي، فضلاً عن وسائل الجبر </w:t>
      </w:r>
      <w:r w:rsidR="009929D8" w:rsidRPr="008C49E6">
        <w:rPr>
          <w:rFonts w:hint="cs"/>
          <w:rtl/>
        </w:rPr>
        <w:t>المتاحة للضحايا</w:t>
      </w:r>
      <w:r w:rsidR="009929D8" w:rsidRPr="008C49E6">
        <w:rPr>
          <w:rtl/>
        </w:rPr>
        <w:t xml:space="preserve"> (المواد 1 و2 و4 و11 و12 و13 و14 و16).</w:t>
      </w:r>
    </w:p>
    <w:p w:rsidR="009929D8" w:rsidRPr="00A857FA" w:rsidRDefault="009929D8" w:rsidP="008C49E6">
      <w:pPr>
        <w:pStyle w:val="SingleTxtGA"/>
        <w:rPr>
          <w:rFonts w:hint="cs"/>
          <w:b/>
          <w:bCs/>
          <w:spacing w:val="-2"/>
          <w:rtl/>
        </w:rPr>
      </w:pPr>
      <w:r w:rsidRPr="00A857FA">
        <w:rPr>
          <w:rFonts w:hint="cs"/>
          <w:b/>
          <w:bCs/>
          <w:spacing w:val="-2"/>
          <w:rtl/>
        </w:rPr>
        <w:tab/>
      </w:r>
      <w:r w:rsidRPr="00A857FA">
        <w:rPr>
          <w:b/>
          <w:bCs/>
          <w:spacing w:val="-2"/>
          <w:rtl/>
        </w:rPr>
        <w:t xml:space="preserve">وينبغي للدولة الطرف أن تنشئ نظاماً فعالاً لجمع البيانات الوطنية </w:t>
      </w:r>
      <w:r w:rsidRPr="00A857FA">
        <w:rPr>
          <w:rFonts w:hint="cs"/>
          <w:b/>
          <w:bCs/>
          <w:spacing w:val="-2"/>
          <w:rtl/>
        </w:rPr>
        <w:t>يصنّف</w:t>
      </w:r>
      <w:r w:rsidRPr="00A857FA">
        <w:rPr>
          <w:b/>
          <w:bCs/>
          <w:spacing w:val="-2"/>
          <w:rtl/>
        </w:rPr>
        <w:t xml:space="preserve"> بيانات إحصائية ذات صلة برصد تنفيذ الاتفاقية على الصعيد الوطني بما في ذلك بيانات مفصلة بشأن الشكاوى والتحقيقات والمحاكمات والإدانات الخاصة بحالات التعذيب وسوء المعاملة من جانب الموظفين المكلفين بإنفاذ القانون وموظفي السجون والعنف بين السجناء والاتجار والعنف، بما في ذلك العنف المنزلي والجنسي ضد النساء والأطفال وفئات مستضعفة أخرى، وكذلك بشأن وسائل الجبر</w:t>
      </w:r>
      <w:r w:rsidRPr="00A857FA">
        <w:rPr>
          <w:rFonts w:hint="cs"/>
          <w:b/>
          <w:bCs/>
          <w:spacing w:val="-2"/>
          <w:rtl/>
        </w:rPr>
        <w:t xml:space="preserve"> المتاحة للضحايا</w:t>
      </w:r>
      <w:r w:rsidRPr="00A857FA">
        <w:rPr>
          <w:b/>
          <w:bCs/>
          <w:spacing w:val="-2"/>
          <w:rtl/>
        </w:rPr>
        <w:t xml:space="preserve">، بما فيها التعويض </w:t>
      </w:r>
      <w:r w:rsidRPr="00A857FA">
        <w:rPr>
          <w:rFonts w:hint="cs"/>
          <w:b/>
          <w:bCs/>
          <w:spacing w:val="-2"/>
          <w:rtl/>
        </w:rPr>
        <w:t>وإعادة التأهيل</w:t>
      </w:r>
      <w:r w:rsidRPr="00A857FA">
        <w:rPr>
          <w:b/>
          <w:bCs/>
          <w:spacing w:val="-2"/>
          <w:rtl/>
        </w:rPr>
        <w:t>.</w:t>
      </w:r>
    </w:p>
    <w:p w:rsidR="009929D8" w:rsidRPr="00D64170" w:rsidRDefault="009929D8" w:rsidP="00A83CF9">
      <w:pPr>
        <w:pStyle w:val="H23GA"/>
        <w:spacing w:line="370" w:lineRule="exact"/>
        <w:rPr>
          <w:rtl/>
        </w:rPr>
      </w:pPr>
      <w:r>
        <w:rPr>
          <w:rFonts w:hint="cs"/>
          <w:rtl/>
        </w:rPr>
        <w:tab/>
      </w:r>
      <w:r>
        <w:rPr>
          <w:rFonts w:hint="cs"/>
          <w:rtl/>
        </w:rPr>
        <w:tab/>
      </w:r>
      <w:r w:rsidRPr="00D64170">
        <w:rPr>
          <w:rtl/>
        </w:rPr>
        <w:t>قضايا أخرى</w:t>
      </w:r>
    </w:p>
    <w:p w:rsidR="009929D8" w:rsidRPr="008C49E6" w:rsidRDefault="008C49E6" w:rsidP="00A83CF9">
      <w:pPr>
        <w:pStyle w:val="SingleTxtGA"/>
        <w:spacing w:line="370" w:lineRule="exact"/>
        <w:rPr>
          <w:spacing w:val="-4"/>
          <w:rtl/>
        </w:rPr>
      </w:pPr>
      <w:r w:rsidRPr="008C49E6">
        <w:rPr>
          <w:rFonts w:hint="cs"/>
          <w:spacing w:val="-4"/>
          <w:rtl/>
        </w:rPr>
        <w:t>(</w:t>
      </w:r>
      <w:r w:rsidR="009929D8" w:rsidRPr="008C49E6">
        <w:rPr>
          <w:rFonts w:hint="cs"/>
          <w:spacing w:val="-4"/>
          <w:rtl/>
        </w:rPr>
        <w:t>24</w:t>
      </w:r>
      <w:r w:rsidRPr="008C49E6">
        <w:rPr>
          <w:rFonts w:hint="cs"/>
          <w:spacing w:val="-4"/>
          <w:rtl/>
        </w:rPr>
        <w:t>)</w:t>
      </w:r>
      <w:r w:rsidR="009929D8" w:rsidRPr="008C49E6">
        <w:rPr>
          <w:rFonts w:hint="cs"/>
          <w:spacing w:val="-4"/>
          <w:rtl/>
        </w:rPr>
        <w:tab/>
      </w:r>
      <w:r w:rsidR="009929D8" w:rsidRPr="008C49E6">
        <w:rPr>
          <w:spacing w:val="-4"/>
          <w:rtl/>
        </w:rPr>
        <w:t>تحيط اللجنة علماً بموقف الدولة الطرف في هذا الصدد، ولكنها تكرر التأكيد على توصيتها للدولة الطرف بأن تنظر في القيام بالإع</w:t>
      </w:r>
      <w:r w:rsidR="002F691F">
        <w:rPr>
          <w:spacing w:val="-4"/>
          <w:rtl/>
        </w:rPr>
        <w:t>لانين الواردين في المادتين 21 و</w:t>
      </w:r>
      <w:r w:rsidR="009929D8" w:rsidRPr="008C49E6">
        <w:rPr>
          <w:spacing w:val="-4"/>
          <w:rtl/>
        </w:rPr>
        <w:t>22 من الاتفاقية.</w:t>
      </w:r>
    </w:p>
    <w:p w:rsidR="009929D8" w:rsidRPr="008C49E6" w:rsidRDefault="008C49E6" w:rsidP="00A83CF9">
      <w:pPr>
        <w:pStyle w:val="SingleTxtGA"/>
        <w:spacing w:line="370" w:lineRule="exact"/>
        <w:rPr>
          <w:rFonts w:hint="cs"/>
          <w:spacing w:val="-4"/>
          <w:rtl/>
        </w:rPr>
      </w:pPr>
      <w:r w:rsidRPr="008C49E6">
        <w:rPr>
          <w:rFonts w:hint="cs"/>
          <w:spacing w:val="-4"/>
          <w:rtl/>
        </w:rPr>
        <w:t>(</w:t>
      </w:r>
      <w:r w:rsidR="009929D8" w:rsidRPr="008C49E6">
        <w:rPr>
          <w:rFonts w:hint="cs"/>
          <w:spacing w:val="-4"/>
          <w:rtl/>
        </w:rPr>
        <w:t>25</w:t>
      </w:r>
      <w:r w:rsidRPr="008C49E6">
        <w:rPr>
          <w:rFonts w:hint="cs"/>
          <w:spacing w:val="-4"/>
          <w:rtl/>
        </w:rPr>
        <w:t>)</w:t>
      </w:r>
      <w:r w:rsidR="009929D8" w:rsidRPr="008C49E6">
        <w:rPr>
          <w:rFonts w:hint="cs"/>
          <w:spacing w:val="-4"/>
          <w:rtl/>
        </w:rPr>
        <w:tab/>
      </w:r>
      <w:r w:rsidR="009929D8" w:rsidRPr="008C49E6">
        <w:rPr>
          <w:spacing w:val="-4"/>
          <w:rtl/>
        </w:rPr>
        <w:t>وتدعو اللجنة الدولة الطرف إلى النظر في التصديق على معاهدات أخرى من معاهدات الأمم المتحدة لحقوق الإنسان التي ليست بعد طرفاً فيها، خاصة الاتفاقية الدولية لحماية جميع الأشخاص من الاختفاء القسري؛ والاتفاقية الدولية لحماية حقوق جميع العمال المهاجرين وأفراد أسرهم؛ والبروتوكول الاختياري للعهد الدولي الخاص بالحقوق الاقتصادية والاجتماعية والثقافية؛ والبروتوكول الاختياري للاتفاقية الدولية للقضاء على جميع أشكال التمييز ضد المرأة؛ والبروتوكول الاختياري لاتفاقية حقوق الطفل المتعلقة بإشراك الأطفال في النزاعات المسلح.</w:t>
      </w:r>
    </w:p>
    <w:p w:rsidR="009929D8" w:rsidRPr="009607B3" w:rsidRDefault="008C49E6" w:rsidP="00A83CF9">
      <w:pPr>
        <w:pStyle w:val="SingleTxtGA"/>
        <w:spacing w:line="370" w:lineRule="exact"/>
        <w:rPr>
          <w:rtl/>
        </w:rPr>
      </w:pPr>
      <w:r>
        <w:rPr>
          <w:rFonts w:hint="cs"/>
          <w:rtl/>
        </w:rPr>
        <w:t>(</w:t>
      </w:r>
      <w:r w:rsidR="009929D8">
        <w:rPr>
          <w:rFonts w:hint="cs"/>
          <w:rtl/>
        </w:rPr>
        <w:t>26</w:t>
      </w:r>
      <w:r>
        <w:rPr>
          <w:rFonts w:hint="cs"/>
          <w:rtl/>
        </w:rPr>
        <w:t>)</w:t>
      </w:r>
      <w:r w:rsidR="009929D8">
        <w:rPr>
          <w:rFonts w:hint="cs"/>
          <w:rtl/>
        </w:rPr>
        <w:tab/>
      </w:r>
      <w:r w:rsidR="009929D8" w:rsidRPr="009607B3">
        <w:rPr>
          <w:rtl/>
        </w:rPr>
        <w:t>ويُطلب إلى الدولة الطرف أن تنشر على نطاق واسع التقرير المقدم إلى اللجنة</w:t>
      </w:r>
      <w:r w:rsidR="009929D8">
        <w:rPr>
          <w:rtl/>
        </w:rPr>
        <w:t xml:space="preserve"> والملاحظات الختامية للجنة، بلغ</w:t>
      </w:r>
      <w:r w:rsidR="009929D8">
        <w:rPr>
          <w:rFonts w:hint="cs"/>
          <w:rtl/>
        </w:rPr>
        <w:t>ات</w:t>
      </w:r>
      <w:r w:rsidR="009929D8" w:rsidRPr="009607B3">
        <w:rPr>
          <w:rtl/>
        </w:rPr>
        <w:t xml:space="preserve"> مناسبة، بما فيها الروسية، من خلال المواقع الشبكية الرسمية ووسائط الإعلام والمنظمات غير الحكومية.</w:t>
      </w:r>
    </w:p>
    <w:p w:rsidR="009929D8" w:rsidRPr="009607B3" w:rsidRDefault="008C49E6" w:rsidP="00A83CF9">
      <w:pPr>
        <w:pStyle w:val="SingleTxtGA"/>
        <w:spacing w:line="370" w:lineRule="exact"/>
        <w:rPr>
          <w:rtl/>
        </w:rPr>
      </w:pPr>
      <w:r>
        <w:rPr>
          <w:rFonts w:hint="cs"/>
          <w:rtl/>
        </w:rPr>
        <w:t>(</w:t>
      </w:r>
      <w:r w:rsidR="009929D8">
        <w:rPr>
          <w:rFonts w:hint="cs"/>
          <w:rtl/>
        </w:rPr>
        <w:t>27</w:t>
      </w:r>
      <w:r>
        <w:rPr>
          <w:rFonts w:hint="cs"/>
          <w:rtl/>
        </w:rPr>
        <w:t>)</w:t>
      </w:r>
      <w:r w:rsidR="009929D8">
        <w:rPr>
          <w:rFonts w:hint="cs"/>
          <w:rtl/>
        </w:rPr>
        <w:tab/>
      </w:r>
      <w:r w:rsidR="009929D8" w:rsidRPr="009607B3">
        <w:rPr>
          <w:rtl/>
        </w:rPr>
        <w:t>وتطلب اللجنة إلى الدولة الطرف أن تقدم، بحلول 31 أيار/مايو 2014، معلومات متابعة استجابة لتوصيات اللجنة المتصلة بما يلي: (أ) إجراء تحقيقات فورية ونزيهة وفعالة؛ (ب) كفالة أو تعزيز الضمانات القانونية للأشخاص المحتجزين؛ (ج) مقاضاة المشتبه في</w:t>
      </w:r>
      <w:r w:rsidR="009929D8">
        <w:rPr>
          <w:rFonts w:hint="cs"/>
          <w:rtl/>
        </w:rPr>
        <w:t> </w:t>
      </w:r>
      <w:r w:rsidR="009929D8" w:rsidRPr="009607B3">
        <w:rPr>
          <w:rtl/>
        </w:rPr>
        <w:t>ارتكابهم أعمال تعذيب أو سوء معاملة ومعاقبة مرتكبي هذه الأعمال، كما ورد في الفقرات</w:t>
      </w:r>
      <w:r w:rsidR="009929D8">
        <w:rPr>
          <w:rFonts w:hint="cs"/>
          <w:rtl/>
        </w:rPr>
        <w:t> </w:t>
      </w:r>
      <w:r w:rsidR="009929D8" w:rsidRPr="009607B3">
        <w:rPr>
          <w:rtl/>
        </w:rPr>
        <w:t>9 و11 و12 و14 من هذه الوثيقة.</w:t>
      </w:r>
    </w:p>
    <w:p w:rsidR="009929D8" w:rsidRPr="009607B3" w:rsidRDefault="008C49E6" w:rsidP="00A83CF9">
      <w:pPr>
        <w:pStyle w:val="SingleTxtGA"/>
        <w:spacing w:line="370" w:lineRule="exact"/>
        <w:rPr>
          <w:rtl/>
        </w:rPr>
      </w:pPr>
      <w:r>
        <w:rPr>
          <w:rFonts w:hint="cs"/>
          <w:rtl/>
        </w:rPr>
        <w:t>(</w:t>
      </w:r>
      <w:r w:rsidR="009929D8">
        <w:rPr>
          <w:rFonts w:hint="cs"/>
          <w:rtl/>
        </w:rPr>
        <w:t>28</w:t>
      </w:r>
      <w:r>
        <w:rPr>
          <w:rFonts w:hint="cs"/>
          <w:rtl/>
        </w:rPr>
        <w:t>)</w:t>
      </w:r>
      <w:r w:rsidR="009929D8">
        <w:rPr>
          <w:rFonts w:hint="cs"/>
          <w:rtl/>
        </w:rPr>
        <w:tab/>
      </w:r>
      <w:r w:rsidR="009929D8" w:rsidRPr="009607B3">
        <w:rPr>
          <w:rtl/>
        </w:rPr>
        <w:t>وتُدعى الدولة الطرف إلى تقديم تقريرها المقبل، الذي سيكون التقرير الدوري ا</w:t>
      </w:r>
      <w:r w:rsidR="009929D8">
        <w:rPr>
          <w:rtl/>
        </w:rPr>
        <w:t>لسادس، بحلول 31 أيار/مايو 2017.</w:t>
      </w:r>
      <w:r w:rsidR="009929D8" w:rsidRPr="009607B3">
        <w:rPr>
          <w:rtl/>
        </w:rPr>
        <w:t xml:space="preserve"> ولهذا الغرض، ستقدم اللجنة إلى الدولة الطرف، في</w:t>
      </w:r>
      <w:r w:rsidR="009929D8">
        <w:rPr>
          <w:rFonts w:hint="cs"/>
          <w:rtl/>
        </w:rPr>
        <w:t> </w:t>
      </w:r>
      <w:r w:rsidR="009929D8" w:rsidRPr="009607B3">
        <w:rPr>
          <w:rtl/>
        </w:rPr>
        <w:t>الوقت المناسب، قائمة من</w:t>
      </w:r>
      <w:r w:rsidR="009912C3">
        <w:rPr>
          <w:rFonts w:hint="cs"/>
          <w:rtl/>
        </w:rPr>
        <w:t xml:space="preserve"> القضايا</w:t>
      </w:r>
      <w:r w:rsidR="009929D8" w:rsidRPr="009607B3">
        <w:rPr>
          <w:rtl/>
        </w:rPr>
        <w:t xml:space="preserve"> قبل تقديم التقرير، علماً بأن الدولة الطرف وافقت على تقديم تقرير إلى اللجنة بموجب الإجراء الاختياري الجديد لتقديم التقارير.</w:t>
      </w:r>
    </w:p>
    <w:p w:rsidR="00EE5D7D" w:rsidRPr="008C49E6" w:rsidRDefault="00FA309D" w:rsidP="00086AA1">
      <w:pPr>
        <w:pStyle w:val="SingleTxtGA"/>
        <w:keepNext/>
        <w:keepLines/>
        <w:spacing w:line="370" w:lineRule="exact"/>
        <w:rPr>
          <w:rFonts w:hint="cs"/>
          <w:b/>
          <w:bCs/>
          <w:rtl/>
        </w:rPr>
      </w:pPr>
      <w:r w:rsidRPr="00FA309D">
        <w:rPr>
          <w:rFonts w:hint="cs"/>
          <w:rtl/>
        </w:rPr>
        <w:t>70</w:t>
      </w:r>
      <w:r w:rsidR="00EE5D7D" w:rsidRPr="00FA309D">
        <w:rPr>
          <w:rFonts w:hint="cs"/>
          <w:rtl/>
        </w:rPr>
        <w:t>-</w:t>
      </w:r>
      <w:r w:rsidR="00EE5D7D" w:rsidRPr="00FA309D">
        <w:rPr>
          <w:rFonts w:hint="cs"/>
          <w:rtl/>
        </w:rPr>
        <w:tab/>
      </w:r>
      <w:r w:rsidR="00EE5D7D" w:rsidRPr="008C49E6">
        <w:rPr>
          <w:rFonts w:hint="cs"/>
          <w:b/>
          <w:bCs/>
          <w:rtl/>
        </w:rPr>
        <w:t>غواتيمالا</w:t>
      </w:r>
    </w:p>
    <w:p w:rsidR="006D1DAF" w:rsidRDefault="008C49E6" w:rsidP="00A83CF9">
      <w:pPr>
        <w:pStyle w:val="SingleTxtGA"/>
        <w:spacing w:line="370" w:lineRule="exact"/>
        <w:rPr>
          <w:rFonts w:hint="cs"/>
          <w:kern w:val="16"/>
          <w:rtl/>
        </w:rPr>
      </w:pPr>
      <w:r>
        <w:rPr>
          <w:rFonts w:hint="cs"/>
          <w:kern w:val="16"/>
          <w:rtl/>
        </w:rPr>
        <w:t>(</w:t>
      </w:r>
      <w:r w:rsidR="006D1DAF">
        <w:rPr>
          <w:rFonts w:hint="cs"/>
          <w:kern w:val="16"/>
          <w:rtl/>
        </w:rPr>
        <w:t>1</w:t>
      </w:r>
      <w:r>
        <w:rPr>
          <w:rFonts w:hint="cs"/>
          <w:spacing w:val="-4"/>
          <w:kern w:val="16"/>
          <w:rtl/>
        </w:rPr>
        <w:t>)</w:t>
      </w:r>
      <w:r w:rsidR="006D1DAF" w:rsidRPr="000751E4">
        <w:rPr>
          <w:rFonts w:hint="cs"/>
          <w:spacing w:val="-4"/>
          <w:kern w:val="16"/>
          <w:rtl/>
        </w:rPr>
        <w:tab/>
        <w:t>نظرت لجنة مناهضة التعذيب في التقرير الجامع للتقريرين الخامس والسادس لغواتيمالا (</w:t>
      </w:r>
      <w:r w:rsidR="006D1DAF" w:rsidRPr="000751E4">
        <w:rPr>
          <w:spacing w:val="-4"/>
          <w:kern w:val="16"/>
        </w:rPr>
        <w:t>CAT/C/GTM/5-6</w:t>
      </w:r>
      <w:r w:rsidR="006D1DAF" w:rsidRPr="000751E4">
        <w:rPr>
          <w:rFonts w:hint="cs"/>
          <w:spacing w:val="-4"/>
          <w:kern w:val="16"/>
          <w:rtl/>
        </w:rPr>
        <w:t>) في جلستيها 1142 و1145 (</w:t>
      </w:r>
      <w:r w:rsidR="006D1DAF" w:rsidRPr="000751E4">
        <w:rPr>
          <w:spacing w:val="-4"/>
          <w:kern w:val="16"/>
        </w:rPr>
        <w:t>CAT/C/SR.1142</w:t>
      </w:r>
      <w:r w:rsidR="006D1DAF" w:rsidRPr="000751E4">
        <w:rPr>
          <w:rFonts w:hint="cs"/>
          <w:spacing w:val="-4"/>
          <w:kern w:val="16"/>
          <w:rtl/>
        </w:rPr>
        <w:t xml:space="preserve"> و</w:t>
      </w:r>
      <w:r w:rsidR="006D1DAF" w:rsidRPr="000751E4">
        <w:rPr>
          <w:spacing w:val="-4"/>
          <w:kern w:val="16"/>
        </w:rPr>
        <w:t>SR.1145</w:t>
      </w:r>
      <w:r w:rsidR="006D1DAF" w:rsidRPr="000751E4">
        <w:rPr>
          <w:rFonts w:hint="cs"/>
          <w:spacing w:val="-4"/>
          <w:kern w:val="16"/>
          <w:rtl/>
        </w:rPr>
        <w:t>)، المعقودتين في 13 و14 أيار/مايو 2013. وفي جلستيها 1161 و1162 (</w:t>
      </w:r>
      <w:r w:rsidR="006D1DAF" w:rsidRPr="000751E4">
        <w:rPr>
          <w:spacing w:val="-4"/>
          <w:kern w:val="16"/>
        </w:rPr>
        <w:t>CAT/C/SR.1161</w:t>
      </w:r>
      <w:r w:rsidR="006D1DAF" w:rsidRPr="000751E4">
        <w:rPr>
          <w:rFonts w:hint="cs"/>
          <w:spacing w:val="-4"/>
          <w:kern w:val="16"/>
          <w:rtl/>
        </w:rPr>
        <w:t xml:space="preserve"> و</w:t>
      </w:r>
      <w:r w:rsidR="006D1DAF" w:rsidRPr="000751E4">
        <w:rPr>
          <w:spacing w:val="-4"/>
          <w:kern w:val="16"/>
        </w:rPr>
        <w:t>SR.</w:t>
      </w:r>
      <w:r w:rsidR="006D1DAF">
        <w:rPr>
          <w:spacing w:val="-4"/>
          <w:kern w:val="16"/>
        </w:rPr>
        <w:t>1162</w:t>
      </w:r>
      <w:r w:rsidR="006D1DAF" w:rsidRPr="000751E4">
        <w:rPr>
          <w:rFonts w:hint="cs"/>
          <w:spacing w:val="-4"/>
          <w:kern w:val="16"/>
          <w:rtl/>
        </w:rPr>
        <w:t>)</w:t>
      </w:r>
      <w:r w:rsidR="006D1DAF">
        <w:rPr>
          <w:rFonts w:hint="cs"/>
          <w:kern w:val="16"/>
          <w:rtl/>
        </w:rPr>
        <w:t xml:space="preserve"> المعقودتين في 27 و28 أيار/مايو 2013، اعتمدت اللجنة الملاحظات الختامية التالية.</w:t>
      </w:r>
    </w:p>
    <w:p w:rsidR="006D1DAF" w:rsidRPr="008C49E6" w:rsidRDefault="00A83CF9" w:rsidP="00A83CF9">
      <w:pPr>
        <w:pStyle w:val="H23GA"/>
        <w:tabs>
          <w:tab w:val="left" w:pos="1940"/>
        </w:tabs>
        <w:spacing w:line="370" w:lineRule="exact"/>
        <w:rPr>
          <w:rFonts w:hint="cs"/>
          <w:kern w:val="16"/>
          <w:rtl/>
        </w:rPr>
      </w:pPr>
      <w:r>
        <w:rPr>
          <w:rFonts w:hint="cs"/>
          <w:kern w:val="16"/>
          <w:rtl/>
        </w:rPr>
        <w:tab/>
      </w:r>
      <w:r>
        <w:rPr>
          <w:rFonts w:hint="cs"/>
          <w:kern w:val="16"/>
          <w:rtl/>
        </w:rPr>
        <w:tab/>
      </w:r>
      <w:r w:rsidR="006D1DAF" w:rsidRPr="008C49E6">
        <w:rPr>
          <w:rFonts w:hint="cs"/>
          <w:kern w:val="16"/>
          <w:rtl/>
        </w:rPr>
        <w:t>ألف-</w:t>
      </w:r>
      <w:r w:rsidR="006D1DAF" w:rsidRPr="008C49E6">
        <w:rPr>
          <w:rFonts w:hint="cs"/>
          <w:kern w:val="16"/>
          <w:rtl/>
        </w:rPr>
        <w:tab/>
        <w:t>مقدمة</w:t>
      </w:r>
    </w:p>
    <w:p w:rsidR="006D1DAF" w:rsidRDefault="008C49E6" w:rsidP="00A83CF9">
      <w:pPr>
        <w:pStyle w:val="SingleTxtGA"/>
        <w:spacing w:line="370" w:lineRule="exact"/>
        <w:rPr>
          <w:rFonts w:hint="cs"/>
          <w:kern w:val="16"/>
          <w:rtl/>
        </w:rPr>
      </w:pPr>
      <w:r>
        <w:rPr>
          <w:rFonts w:hint="cs"/>
          <w:kern w:val="16"/>
          <w:rtl/>
        </w:rPr>
        <w:t>(</w:t>
      </w:r>
      <w:r w:rsidR="006D1DAF">
        <w:rPr>
          <w:rFonts w:hint="cs"/>
          <w:kern w:val="16"/>
          <w:rtl/>
        </w:rPr>
        <w:t>2</w:t>
      </w:r>
      <w:r>
        <w:rPr>
          <w:rFonts w:hint="cs"/>
          <w:kern w:val="16"/>
          <w:rtl/>
        </w:rPr>
        <w:t>)</w:t>
      </w:r>
      <w:r w:rsidR="006D1DAF">
        <w:rPr>
          <w:rFonts w:hint="cs"/>
          <w:kern w:val="16"/>
          <w:rtl/>
        </w:rPr>
        <w:tab/>
        <w:t>تعرب اللجنة عن تقديرها للتقرير الجامع للتقريرين الخامس والسادس الذي قدمته غواتيمالا رداً على قائمة المسائل السابقة لتقديم التقارير (</w:t>
      </w:r>
      <w:r w:rsidR="006D1DAF">
        <w:rPr>
          <w:kern w:val="16"/>
        </w:rPr>
        <w:t>CAT/C/GTM/Q/6</w:t>
      </w:r>
      <w:r w:rsidR="006D1DAF">
        <w:rPr>
          <w:rFonts w:hint="cs"/>
          <w:kern w:val="16"/>
          <w:rtl/>
        </w:rPr>
        <w:t>). وتود أن تشكرها على اتباع الإجراء الاختياري لتقديم التقارير لأن ذلك يوثق التعاون بين الدولة الطرف واللجنة ويتيح النظر في التقرير بمزيد من التركيز وإجراء الحوار مع الوفد.</w:t>
      </w:r>
    </w:p>
    <w:p w:rsidR="006D1DAF" w:rsidRDefault="008C49E6" w:rsidP="00A83CF9">
      <w:pPr>
        <w:pStyle w:val="SingleTxtGA"/>
        <w:spacing w:line="364" w:lineRule="exact"/>
        <w:rPr>
          <w:rFonts w:hint="cs"/>
          <w:kern w:val="16"/>
          <w:rtl/>
        </w:rPr>
      </w:pPr>
      <w:r>
        <w:rPr>
          <w:rFonts w:hint="cs"/>
          <w:kern w:val="16"/>
          <w:rtl/>
        </w:rPr>
        <w:t>(</w:t>
      </w:r>
      <w:r w:rsidR="006D1DAF">
        <w:rPr>
          <w:rFonts w:hint="cs"/>
          <w:kern w:val="16"/>
          <w:rtl/>
        </w:rPr>
        <w:t>3</w:t>
      </w:r>
      <w:r>
        <w:rPr>
          <w:rFonts w:hint="cs"/>
          <w:kern w:val="16"/>
          <w:rtl/>
        </w:rPr>
        <w:t>)</w:t>
      </w:r>
      <w:r w:rsidR="006D1DAF">
        <w:rPr>
          <w:rFonts w:hint="cs"/>
          <w:kern w:val="16"/>
          <w:rtl/>
        </w:rPr>
        <w:tab/>
        <w:t>كما تعرب اللجنة عن تقديرها للحوار الصريح الذي دار مع وفد الدولة الطرف الرفيع المستوى وللمعلومات الإضافية التي قدمت.</w:t>
      </w:r>
    </w:p>
    <w:p w:rsidR="006D1DAF" w:rsidRPr="008C49E6" w:rsidRDefault="00A83CF9" w:rsidP="00A83CF9">
      <w:pPr>
        <w:pStyle w:val="H23GA"/>
        <w:tabs>
          <w:tab w:val="left" w:pos="1940"/>
        </w:tabs>
        <w:spacing w:line="364" w:lineRule="exact"/>
        <w:rPr>
          <w:rFonts w:hint="cs"/>
          <w:kern w:val="16"/>
          <w:rtl/>
        </w:rPr>
      </w:pPr>
      <w:r>
        <w:rPr>
          <w:rFonts w:hint="cs"/>
          <w:kern w:val="16"/>
          <w:rtl/>
        </w:rPr>
        <w:tab/>
      </w:r>
      <w:r>
        <w:rPr>
          <w:rFonts w:hint="cs"/>
          <w:kern w:val="16"/>
          <w:rtl/>
        </w:rPr>
        <w:tab/>
      </w:r>
      <w:r w:rsidR="006D1DAF" w:rsidRPr="008C49E6">
        <w:rPr>
          <w:rFonts w:hint="cs"/>
          <w:kern w:val="16"/>
          <w:rtl/>
        </w:rPr>
        <w:t>باء-</w:t>
      </w:r>
      <w:r w:rsidR="006D1DAF" w:rsidRPr="008C49E6">
        <w:rPr>
          <w:rFonts w:hint="cs"/>
          <w:kern w:val="16"/>
          <w:rtl/>
        </w:rPr>
        <w:tab/>
        <w:t>الجوانب الإيجابية</w:t>
      </w:r>
    </w:p>
    <w:p w:rsidR="006D1DAF" w:rsidRDefault="008C49E6" w:rsidP="00A83CF9">
      <w:pPr>
        <w:pStyle w:val="SingleTxtGA"/>
        <w:spacing w:line="364" w:lineRule="exact"/>
        <w:rPr>
          <w:rFonts w:hint="cs"/>
          <w:kern w:val="16"/>
          <w:rtl/>
        </w:rPr>
      </w:pPr>
      <w:r>
        <w:rPr>
          <w:rFonts w:hint="cs"/>
          <w:kern w:val="16"/>
          <w:rtl/>
        </w:rPr>
        <w:t>(</w:t>
      </w:r>
      <w:r w:rsidR="006D1DAF">
        <w:rPr>
          <w:rFonts w:hint="cs"/>
          <w:kern w:val="16"/>
          <w:rtl/>
        </w:rPr>
        <w:t>4</w:t>
      </w:r>
      <w:r>
        <w:rPr>
          <w:rFonts w:hint="cs"/>
          <w:kern w:val="16"/>
          <w:rtl/>
        </w:rPr>
        <w:t>)</w:t>
      </w:r>
      <w:r w:rsidR="006D1DAF">
        <w:rPr>
          <w:rFonts w:hint="cs"/>
          <w:kern w:val="16"/>
          <w:rtl/>
        </w:rPr>
        <w:tab/>
        <w:t>تلاحظ اللجنة مع الارتياح أن الدولة الطرف صدقت على الصكوك الدولية التالية أو</w:t>
      </w:r>
      <w:r>
        <w:rPr>
          <w:rFonts w:hint="eastAsia"/>
          <w:kern w:val="16"/>
          <w:rtl/>
        </w:rPr>
        <w:t> </w:t>
      </w:r>
      <w:r w:rsidR="006D1DAF">
        <w:rPr>
          <w:rFonts w:hint="cs"/>
          <w:kern w:val="16"/>
          <w:rtl/>
        </w:rPr>
        <w:t>انضمت إليها منذ أن نظرت اللجنة في تقريرها الدوري الرابع:</w:t>
      </w:r>
    </w:p>
    <w:p w:rsidR="006D1DAF" w:rsidRDefault="006D1DAF" w:rsidP="00A83CF9">
      <w:pPr>
        <w:pStyle w:val="SingleTxtGA"/>
        <w:spacing w:line="364" w:lineRule="exact"/>
        <w:rPr>
          <w:rFonts w:hint="cs"/>
          <w:kern w:val="16"/>
          <w:rtl/>
        </w:rPr>
      </w:pPr>
      <w:r>
        <w:rPr>
          <w:rFonts w:hint="cs"/>
          <w:kern w:val="16"/>
          <w:rtl/>
        </w:rPr>
        <w:tab/>
        <w:t>(أ)</w:t>
      </w:r>
      <w:r>
        <w:rPr>
          <w:rFonts w:hint="cs"/>
          <w:kern w:val="16"/>
          <w:rtl/>
        </w:rPr>
        <w:tab/>
        <w:t xml:space="preserve">البروتوكول الاختياري لاتفاقية مناهضة التعذيب وغيره من ضروب المعاملة أو العقوبة القاسية أو اللاإنسانية أو المهينة </w:t>
      </w:r>
      <w:r>
        <w:rPr>
          <w:rFonts w:hint="cs"/>
          <w:kern w:val="16"/>
          <w:sz w:val="30"/>
          <w:rtl/>
        </w:rPr>
        <w:t>(</w:t>
      </w:r>
      <w:r w:rsidRPr="009933FA">
        <w:rPr>
          <w:rFonts w:hint="cs"/>
          <w:kern w:val="16"/>
          <w:sz w:val="30"/>
          <w:rtl/>
        </w:rPr>
        <w:t xml:space="preserve">حزيران/يونيه </w:t>
      </w:r>
      <w:r>
        <w:rPr>
          <w:rFonts w:hint="cs"/>
          <w:kern w:val="16"/>
          <w:rtl/>
        </w:rPr>
        <w:t>2008)؛</w:t>
      </w:r>
    </w:p>
    <w:p w:rsidR="006D1DAF" w:rsidRDefault="006D1DAF" w:rsidP="00A83CF9">
      <w:pPr>
        <w:pStyle w:val="SingleTxtGA"/>
        <w:spacing w:line="364" w:lineRule="exact"/>
        <w:rPr>
          <w:rFonts w:hint="cs"/>
          <w:kern w:val="16"/>
          <w:rtl/>
        </w:rPr>
      </w:pPr>
      <w:r>
        <w:rPr>
          <w:rFonts w:hint="cs"/>
          <w:kern w:val="16"/>
          <w:rtl/>
        </w:rPr>
        <w:tab/>
        <w:t>(ب)</w:t>
      </w:r>
      <w:r>
        <w:rPr>
          <w:rFonts w:hint="cs"/>
          <w:kern w:val="16"/>
          <w:rtl/>
        </w:rPr>
        <w:tab/>
        <w:t>اتفاقية حقوق الأشخاص ذوي الإعاقة والبروتوكول الاختياري الملحق بها (نيسان/أبريل 2009)؛</w:t>
      </w:r>
    </w:p>
    <w:p w:rsidR="006D1DAF" w:rsidRDefault="006D1DAF" w:rsidP="00A83CF9">
      <w:pPr>
        <w:pStyle w:val="SingleTxtGA"/>
        <w:spacing w:line="364" w:lineRule="exact"/>
        <w:rPr>
          <w:rFonts w:hint="cs"/>
          <w:kern w:val="16"/>
          <w:rtl/>
        </w:rPr>
      </w:pPr>
      <w:r>
        <w:rPr>
          <w:rFonts w:hint="cs"/>
          <w:kern w:val="16"/>
          <w:rtl/>
        </w:rPr>
        <w:tab/>
        <w:t>(ج)</w:t>
      </w:r>
      <w:r>
        <w:rPr>
          <w:rFonts w:hint="cs"/>
          <w:kern w:val="16"/>
          <w:rtl/>
        </w:rPr>
        <w:tab/>
        <w:t>نظام روما الأساسي للمحكمة الجنائية الدولية (نيسان/أبريل 2012).</w:t>
      </w:r>
    </w:p>
    <w:p w:rsidR="006D1DAF" w:rsidRDefault="008C49E6" w:rsidP="00A83CF9">
      <w:pPr>
        <w:pStyle w:val="SingleTxtGA"/>
        <w:spacing w:line="364" w:lineRule="exact"/>
        <w:rPr>
          <w:rFonts w:hint="cs"/>
          <w:kern w:val="16"/>
          <w:rtl/>
        </w:rPr>
      </w:pPr>
      <w:r>
        <w:rPr>
          <w:rFonts w:hint="cs"/>
          <w:kern w:val="16"/>
          <w:rtl/>
        </w:rPr>
        <w:t>(</w:t>
      </w:r>
      <w:r w:rsidR="006D1DAF">
        <w:rPr>
          <w:rFonts w:hint="cs"/>
          <w:kern w:val="16"/>
          <w:rtl/>
        </w:rPr>
        <w:t>5</w:t>
      </w:r>
      <w:r>
        <w:rPr>
          <w:rFonts w:hint="cs"/>
          <w:kern w:val="16"/>
          <w:rtl/>
        </w:rPr>
        <w:t>)</w:t>
      </w:r>
      <w:r w:rsidR="006D1DAF">
        <w:rPr>
          <w:rFonts w:hint="cs"/>
          <w:kern w:val="16"/>
          <w:rtl/>
        </w:rPr>
        <w:tab/>
        <w:t>وترحب اللجنة بالتدابير التي اتخذتها الدولة الطرف لتعديل تشريعاتها بشأن المسائل ذات الصلة بالاتفاقية، لا سيما:</w:t>
      </w:r>
    </w:p>
    <w:p w:rsidR="006D1DAF" w:rsidRDefault="006D1DAF" w:rsidP="00A83CF9">
      <w:pPr>
        <w:pStyle w:val="SingleTxtGA"/>
        <w:spacing w:line="364" w:lineRule="exact"/>
        <w:rPr>
          <w:rFonts w:hint="cs"/>
          <w:kern w:val="16"/>
          <w:rtl/>
        </w:rPr>
      </w:pPr>
      <w:r>
        <w:rPr>
          <w:rFonts w:hint="cs"/>
          <w:kern w:val="16"/>
          <w:rtl/>
        </w:rPr>
        <w:tab/>
        <w:t>(أ)</w:t>
      </w:r>
      <w:r>
        <w:rPr>
          <w:rFonts w:hint="cs"/>
          <w:kern w:val="16"/>
          <w:rtl/>
        </w:rPr>
        <w:tab/>
        <w:t>اعتماد القانون الخاص بالسجون (المرسوم التشريعي رقم 33-2006)؛</w:t>
      </w:r>
    </w:p>
    <w:p w:rsidR="006D1DAF" w:rsidRDefault="006D1DAF" w:rsidP="00A83CF9">
      <w:pPr>
        <w:pStyle w:val="SingleTxtGA"/>
        <w:spacing w:line="364" w:lineRule="exact"/>
        <w:rPr>
          <w:rFonts w:hint="cs"/>
          <w:kern w:val="16"/>
          <w:rtl/>
        </w:rPr>
      </w:pPr>
      <w:r>
        <w:rPr>
          <w:rFonts w:hint="cs"/>
          <w:kern w:val="16"/>
          <w:rtl/>
        </w:rPr>
        <w:tab/>
        <w:t>(ب)</w:t>
      </w:r>
      <w:r>
        <w:rPr>
          <w:rFonts w:hint="cs"/>
          <w:kern w:val="16"/>
          <w:rtl/>
        </w:rPr>
        <w:tab/>
        <w:t>اعتماد قانون مكافحة قتل الإناث وغيره من أشكال العنف الممارس ضد المرأة (المرسوم التشريعي رقم 22-2008)؛</w:t>
      </w:r>
    </w:p>
    <w:p w:rsidR="006D1DAF" w:rsidRDefault="006D1DAF" w:rsidP="00A83CF9">
      <w:pPr>
        <w:pStyle w:val="SingleTxtGA"/>
        <w:spacing w:line="364" w:lineRule="exact"/>
        <w:rPr>
          <w:rFonts w:hint="cs"/>
          <w:kern w:val="16"/>
          <w:rtl/>
        </w:rPr>
      </w:pPr>
      <w:r>
        <w:rPr>
          <w:rFonts w:hint="cs"/>
          <w:kern w:val="16"/>
          <w:rtl/>
        </w:rPr>
        <w:tab/>
        <w:t>(ج)</w:t>
      </w:r>
      <w:r>
        <w:rPr>
          <w:rFonts w:hint="cs"/>
          <w:kern w:val="16"/>
          <w:rtl/>
        </w:rPr>
        <w:tab/>
        <w:t>اعتماد القانون المتعلق بالاختصاص الجنائي في المحاكمات التي ترتفع فيها درجة الخطر (المرسوم التشريعي رقم 21-2009)، كما تم تعديله بالمرسوم التشريعي رقم</w:t>
      </w:r>
      <w:r>
        <w:rPr>
          <w:rFonts w:hint="eastAsia"/>
          <w:kern w:val="16"/>
          <w:rtl/>
        </w:rPr>
        <w:t> </w:t>
      </w:r>
      <w:r>
        <w:rPr>
          <w:rFonts w:hint="cs"/>
          <w:kern w:val="16"/>
          <w:rtl/>
        </w:rPr>
        <w:t>35-2009؛</w:t>
      </w:r>
    </w:p>
    <w:p w:rsidR="006D1DAF" w:rsidRDefault="006D1DAF" w:rsidP="00A83CF9">
      <w:pPr>
        <w:pStyle w:val="SingleTxtGA"/>
        <w:spacing w:line="364" w:lineRule="exact"/>
        <w:rPr>
          <w:rFonts w:hint="cs"/>
          <w:kern w:val="16"/>
          <w:rtl/>
        </w:rPr>
      </w:pPr>
      <w:r>
        <w:rPr>
          <w:rFonts w:hint="cs"/>
          <w:kern w:val="16"/>
          <w:rtl/>
        </w:rPr>
        <w:tab/>
        <w:t>(د)</w:t>
      </w:r>
      <w:r>
        <w:rPr>
          <w:rFonts w:hint="cs"/>
          <w:kern w:val="16"/>
          <w:rtl/>
        </w:rPr>
        <w:tab/>
        <w:t>اعتماد القانون المتعلق بتعزيز نظام الملاحقة الجنائية (المرسوم التشريعي رقم</w:t>
      </w:r>
      <w:r>
        <w:rPr>
          <w:rFonts w:hint="eastAsia"/>
          <w:kern w:val="16"/>
          <w:rtl/>
        </w:rPr>
        <w:t> </w:t>
      </w:r>
      <w:r>
        <w:rPr>
          <w:rFonts w:hint="cs"/>
          <w:kern w:val="16"/>
          <w:rtl/>
        </w:rPr>
        <w:t>17-2009)؛</w:t>
      </w:r>
    </w:p>
    <w:p w:rsidR="006D1DAF" w:rsidRDefault="006D1DAF" w:rsidP="00A83CF9">
      <w:pPr>
        <w:pStyle w:val="SingleTxtGA"/>
        <w:spacing w:line="364" w:lineRule="exact"/>
        <w:rPr>
          <w:rFonts w:hint="cs"/>
          <w:kern w:val="16"/>
          <w:rtl/>
        </w:rPr>
      </w:pPr>
      <w:r>
        <w:rPr>
          <w:rFonts w:hint="cs"/>
          <w:kern w:val="16"/>
          <w:rtl/>
        </w:rPr>
        <w:tab/>
        <w:t>(</w:t>
      </w:r>
      <w:r w:rsidRPr="001661EC">
        <w:rPr>
          <w:rFonts w:hint="cs"/>
          <w:kern w:val="16"/>
          <w:sz w:val="30"/>
          <w:rtl/>
        </w:rPr>
        <w:t>ﻫ</w:t>
      </w:r>
      <w:r>
        <w:rPr>
          <w:rFonts w:hint="cs"/>
          <w:kern w:val="16"/>
          <w:rtl/>
        </w:rPr>
        <w:t>)</w:t>
      </w:r>
      <w:r>
        <w:rPr>
          <w:rFonts w:hint="cs"/>
          <w:kern w:val="16"/>
          <w:rtl/>
        </w:rPr>
        <w:tab/>
        <w:t>اعتماد القانون المتعلق بمكافحة العنف الجنسي والاستغلال والاتجار بالبشر (المرسوم التشريعي رقم 9-2009).</w:t>
      </w:r>
    </w:p>
    <w:p w:rsidR="006D1DAF" w:rsidRDefault="008C49E6" w:rsidP="00A83CF9">
      <w:pPr>
        <w:pStyle w:val="SingleTxtGA"/>
        <w:spacing w:line="364" w:lineRule="exact"/>
        <w:rPr>
          <w:rFonts w:hint="cs"/>
          <w:kern w:val="16"/>
          <w:rtl/>
        </w:rPr>
      </w:pPr>
      <w:r>
        <w:rPr>
          <w:rFonts w:hint="cs"/>
          <w:kern w:val="16"/>
          <w:rtl/>
        </w:rPr>
        <w:t>(</w:t>
      </w:r>
      <w:r w:rsidR="006D1DAF">
        <w:rPr>
          <w:rFonts w:hint="cs"/>
          <w:kern w:val="16"/>
          <w:rtl/>
        </w:rPr>
        <w:t>6</w:t>
      </w:r>
      <w:r>
        <w:rPr>
          <w:rFonts w:hint="cs"/>
          <w:kern w:val="16"/>
          <w:rtl/>
        </w:rPr>
        <w:t>)</w:t>
      </w:r>
      <w:r w:rsidR="006D1DAF">
        <w:rPr>
          <w:rFonts w:hint="cs"/>
          <w:kern w:val="16"/>
          <w:rtl/>
        </w:rPr>
        <w:tab/>
        <w:t>وترحب اللجنة أيضا</w:t>
      </w:r>
      <w:r>
        <w:rPr>
          <w:rFonts w:hint="cs"/>
          <w:kern w:val="16"/>
          <w:rtl/>
        </w:rPr>
        <w:t>ً</w:t>
      </w:r>
      <w:r w:rsidR="006D1DAF">
        <w:rPr>
          <w:rFonts w:hint="cs"/>
          <w:kern w:val="16"/>
          <w:rtl/>
        </w:rPr>
        <w:t xml:space="preserve"> بالجهود التي تبذلها الدولة الطرف لتعديل سياساتها وإجراءاتها لزيادة حماية حقوق الإنسان وتطبيق الاتفاقية، وبوجه خاص ما يلي:</w:t>
      </w:r>
    </w:p>
    <w:p w:rsidR="006D1DAF" w:rsidRDefault="006D1DAF" w:rsidP="00A83CF9">
      <w:pPr>
        <w:pStyle w:val="SingleTxtGA"/>
        <w:tabs>
          <w:tab w:val="left" w:pos="2078"/>
        </w:tabs>
        <w:spacing w:line="364" w:lineRule="exact"/>
        <w:rPr>
          <w:rFonts w:hint="cs"/>
          <w:kern w:val="16"/>
          <w:rtl/>
        </w:rPr>
      </w:pPr>
      <w:r>
        <w:rPr>
          <w:rFonts w:hint="cs"/>
          <w:kern w:val="16"/>
          <w:rtl/>
        </w:rPr>
        <w:tab/>
        <w:t>(أ)</w:t>
      </w:r>
      <w:r>
        <w:rPr>
          <w:rFonts w:hint="cs"/>
          <w:kern w:val="16"/>
          <w:rtl/>
        </w:rPr>
        <w:tab/>
        <w:t>الوحدة التي أنشئت عام 2008 لدراسة الاعتداءات التي تستهدف المدافعين عن حقوق الإنسان، وقرار تجديد ولايتها في عام 2012؛</w:t>
      </w:r>
    </w:p>
    <w:p w:rsidR="006D1DAF" w:rsidRDefault="006D1DAF" w:rsidP="00A83CF9">
      <w:pPr>
        <w:pStyle w:val="SingleTxtGA"/>
        <w:spacing w:line="364" w:lineRule="exact"/>
        <w:rPr>
          <w:rFonts w:hint="cs"/>
          <w:kern w:val="16"/>
          <w:rtl/>
        </w:rPr>
      </w:pPr>
      <w:r>
        <w:rPr>
          <w:rFonts w:hint="cs"/>
          <w:kern w:val="16"/>
          <w:rtl/>
        </w:rPr>
        <w:tab/>
        <w:t>(ب)</w:t>
      </w:r>
      <w:r>
        <w:rPr>
          <w:rFonts w:hint="cs"/>
          <w:kern w:val="16"/>
          <w:rtl/>
        </w:rPr>
        <w:tab/>
        <w:t>التوقيع في 12 كانون الأول/ديسمبر 2006 على الاتفاق بين الدولة الطرف والأمم المتحدة بشأن إنشاء اللجنة الدولية لمكافحة الإفلات من العقاب في غواتيمالا وتصديق الكونغرس بعد ذلك على الاتفاق (المرسوم التشريعي رقم 35-2007)؛</w:t>
      </w:r>
    </w:p>
    <w:p w:rsidR="006D1DAF" w:rsidRDefault="006D1DAF" w:rsidP="00A83CF9">
      <w:pPr>
        <w:pStyle w:val="SingleTxtGA"/>
        <w:spacing w:line="364" w:lineRule="exact"/>
        <w:rPr>
          <w:rFonts w:hint="cs"/>
          <w:kern w:val="16"/>
          <w:rtl/>
        </w:rPr>
      </w:pPr>
      <w:r>
        <w:rPr>
          <w:rFonts w:hint="cs"/>
          <w:kern w:val="16"/>
          <w:rtl/>
        </w:rPr>
        <w:tab/>
        <w:t>(ج)</w:t>
      </w:r>
      <w:r>
        <w:rPr>
          <w:rFonts w:hint="cs"/>
          <w:kern w:val="16"/>
          <w:rtl/>
        </w:rPr>
        <w:tab/>
        <w:t>إنشاء محاكم جنائية بشكل دائم.</w:t>
      </w:r>
    </w:p>
    <w:p w:rsidR="006D1DAF" w:rsidRDefault="008C49E6" w:rsidP="00A83CF9">
      <w:pPr>
        <w:pStyle w:val="SingleTxtGA"/>
        <w:spacing w:line="360" w:lineRule="exact"/>
        <w:rPr>
          <w:rFonts w:hint="cs"/>
          <w:kern w:val="16"/>
          <w:rtl/>
        </w:rPr>
      </w:pPr>
      <w:r>
        <w:rPr>
          <w:rFonts w:hint="cs"/>
          <w:kern w:val="16"/>
          <w:rtl/>
        </w:rPr>
        <w:t>(</w:t>
      </w:r>
      <w:r w:rsidR="006D1DAF">
        <w:rPr>
          <w:rFonts w:hint="cs"/>
          <w:kern w:val="16"/>
          <w:rtl/>
        </w:rPr>
        <w:t>7</w:t>
      </w:r>
      <w:r>
        <w:rPr>
          <w:rFonts w:hint="cs"/>
          <w:kern w:val="16"/>
          <w:rtl/>
        </w:rPr>
        <w:t>)</w:t>
      </w:r>
      <w:r w:rsidR="006D1DAF">
        <w:rPr>
          <w:rFonts w:hint="cs"/>
          <w:kern w:val="16"/>
          <w:rtl/>
        </w:rPr>
        <w:tab/>
        <w:t>وتلاحظ اللجنة مع الارتياح أن الدولة الطرف قد وجهت لجميع المكلفين بولاية في إطار الإجراءات الخاصة التابعين لمجلس حقوق الإنسان دعوة دائمة لزيارة البلد. وفي هذا الصدد، تلاحظ اللجنة أن الدولة الطرف قد وافقت على طلب المقرر الخاص المعني بمسألة التعذيب وغيره من ضروب المعاملة أو العقوبة القاسية أو اللاإنسانية أو المهينة بزيارة البلد وتش</w:t>
      </w:r>
      <w:r w:rsidR="00C4543B">
        <w:rPr>
          <w:rFonts w:hint="cs"/>
          <w:kern w:val="16"/>
          <w:rtl/>
        </w:rPr>
        <w:t xml:space="preserve">جعها على اتخاذ الخطوات اللازمة </w:t>
      </w:r>
      <w:r w:rsidR="006D1DAF">
        <w:rPr>
          <w:rFonts w:hint="cs"/>
          <w:kern w:val="16"/>
          <w:rtl/>
        </w:rPr>
        <w:t>لتتم الزيارة في عام 2013.</w:t>
      </w:r>
    </w:p>
    <w:p w:rsidR="006D1DAF" w:rsidRPr="008C49E6" w:rsidRDefault="00A83CF9" w:rsidP="00A83CF9">
      <w:pPr>
        <w:pStyle w:val="H23GA"/>
        <w:tabs>
          <w:tab w:val="left" w:pos="1940"/>
        </w:tabs>
        <w:spacing w:line="360" w:lineRule="exact"/>
        <w:rPr>
          <w:rFonts w:hint="cs"/>
          <w:kern w:val="16"/>
          <w:rtl/>
        </w:rPr>
      </w:pPr>
      <w:r>
        <w:rPr>
          <w:rFonts w:hint="cs"/>
          <w:kern w:val="16"/>
          <w:rtl/>
        </w:rPr>
        <w:tab/>
      </w:r>
      <w:r>
        <w:rPr>
          <w:rFonts w:hint="cs"/>
          <w:kern w:val="16"/>
          <w:rtl/>
        </w:rPr>
        <w:tab/>
      </w:r>
      <w:r w:rsidR="006D1DAF" w:rsidRPr="008C49E6">
        <w:rPr>
          <w:rFonts w:hint="cs"/>
          <w:kern w:val="16"/>
          <w:rtl/>
        </w:rPr>
        <w:t>جيم-</w:t>
      </w:r>
      <w:r w:rsidR="006D1DAF" w:rsidRPr="008C49E6">
        <w:rPr>
          <w:rFonts w:hint="cs"/>
          <w:kern w:val="16"/>
          <w:rtl/>
        </w:rPr>
        <w:tab/>
        <w:t>دواعي القلق الرئيسية والتوصيات</w:t>
      </w:r>
    </w:p>
    <w:p w:rsidR="006D1DAF" w:rsidRDefault="006D1DAF" w:rsidP="00A83CF9">
      <w:pPr>
        <w:pStyle w:val="H23GA"/>
        <w:spacing w:line="360" w:lineRule="exact"/>
        <w:rPr>
          <w:rFonts w:hint="cs"/>
          <w:kern w:val="16"/>
          <w:rtl/>
        </w:rPr>
      </w:pPr>
      <w:r>
        <w:rPr>
          <w:rFonts w:hint="cs"/>
          <w:kern w:val="16"/>
          <w:rtl/>
        </w:rPr>
        <w:tab/>
      </w:r>
      <w:r>
        <w:rPr>
          <w:rFonts w:hint="cs"/>
          <w:kern w:val="16"/>
          <w:rtl/>
        </w:rPr>
        <w:tab/>
        <w:t>تعريف التعذيب</w:t>
      </w:r>
    </w:p>
    <w:p w:rsidR="006D1DAF" w:rsidRPr="00457E3D" w:rsidRDefault="00457E3D" w:rsidP="00A83CF9">
      <w:pPr>
        <w:pStyle w:val="SingleTxtGA"/>
        <w:spacing w:line="360" w:lineRule="exact"/>
        <w:rPr>
          <w:rFonts w:hint="cs"/>
          <w:rtl/>
        </w:rPr>
      </w:pPr>
      <w:r w:rsidRPr="00457E3D">
        <w:rPr>
          <w:rFonts w:hint="cs"/>
          <w:rtl/>
        </w:rPr>
        <w:t>(</w:t>
      </w:r>
      <w:r w:rsidR="006D1DAF" w:rsidRPr="00457E3D">
        <w:rPr>
          <w:rFonts w:hint="cs"/>
          <w:rtl/>
        </w:rPr>
        <w:t>8</w:t>
      </w:r>
      <w:r w:rsidRPr="00457E3D">
        <w:rPr>
          <w:rFonts w:hint="cs"/>
          <w:rtl/>
        </w:rPr>
        <w:t>)</w:t>
      </w:r>
      <w:r w:rsidR="006D1DAF" w:rsidRPr="00457E3D">
        <w:rPr>
          <w:rFonts w:hint="cs"/>
          <w:rtl/>
        </w:rPr>
        <w:tab/>
        <w:t>تلاحظ اللجنة مع القلق أن المواءمة بين تعريف جريمة التعذيب الوارد في القانون الجنائي للدولة الطرف وبين أحكام الاتفاقية لم تتم بعد وذلك بالرغم من توصيات اللجنة السابقة ومن قرار المحكمة الدستورية 18-22 المؤرخ 17 تموز/يوليه 2012. وفي هذا الصدد، تلاحظ أن الدولة الطرف تعتزم تعديل تشريعها على النحو الذي أشار إليه الوفد أثناء الحوار الذي دار مع اللجنة (المادتان 1 و4).</w:t>
      </w:r>
    </w:p>
    <w:p w:rsidR="006D1DAF" w:rsidRPr="00457E3D" w:rsidRDefault="006D1DAF" w:rsidP="00A83CF9">
      <w:pPr>
        <w:pStyle w:val="SingleTxtGA"/>
        <w:spacing w:line="360" w:lineRule="exact"/>
        <w:rPr>
          <w:rFonts w:hint="cs"/>
          <w:b/>
          <w:bCs/>
          <w:rtl/>
        </w:rPr>
      </w:pPr>
      <w:r w:rsidRPr="00457E3D">
        <w:rPr>
          <w:rFonts w:hint="cs"/>
          <w:b/>
          <w:bCs/>
          <w:rtl/>
        </w:rPr>
        <w:tab/>
        <w:t>تكرر اللجنة توصيتها السابقة (</w:t>
      </w:r>
      <w:r w:rsidRPr="00457E3D">
        <w:rPr>
          <w:b/>
          <w:bCs/>
        </w:rPr>
        <w:t>CAT/C/GTM/CO/4</w:t>
      </w:r>
      <w:r w:rsidRPr="00457E3D">
        <w:rPr>
          <w:rFonts w:hint="cs"/>
          <w:b/>
          <w:bCs/>
          <w:rtl/>
        </w:rPr>
        <w:t>، الفقرة 10) وتحث الدولة الطرف على القيام، على سبيل الأولوية، بتعديل الأحكام ذات الصلة من القانون الجنائي، وبالذات المادتين 201 مكرراً و425، لتعريف التعذيب تعريفاً قانونياً وفقاً للمادة 1 من الاتفاقية، وتجريمه وفقاً للفقرة 2 من المادة 4 من الاتفاقية. كما توصي الدولة الطرف بأن تكفل عدم إخضاع أفعال التعذيب للتقادم.</w:t>
      </w:r>
    </w:p>
    <w:p w:rsidR="006D1DAF" w:rsidRPr="00457E3D" w:rsidRDefault="006D1DAF" w:rsidP="00A83CF9">
      <w:pPr>
        <w:pStyle w:val="H23GA"/>
        <w:spacing w:line="360" w:lineRule="exact"/>
        <w:rPr>
          <w:rFonts w:hint="cs"/>
          <w:rtl/>
        </w:rPr>
      </w:pPr>
      <w:r w:rsidRPr="00457E3D">
        <w:rPr>
          <w:rFonts w:hint="cs"/>
          <w:rtl/>
        </w:rPr>
        <w:tab/>
      </w:r>
      <w:r w:rsidRPr="00457E3D">
        <w:rPr>
          <w:rFonts w:hint="cs"/>
          <w:rtl/>
        </w:rPr>
        <w:tab/>
        <w:t>إدعاءات التعذيب وسوء المعاملة</w:t>
      </w:r>
    </w:p>
    <w:p w:rsidR="006D1DAF" w:rsidRPr="00457E3D" w:rsidRDefault="00457E3D" w:rsidP="00A83CF9">
      <w:pPr>
        <w:pStyle w:val="SingleTxtGA"/>
        <w:spacing w:line="360" w:lineRule="exact"/>
        <w:rPr>
          <w:rFonts w:hint="cs"/>
          <w:rtl/>
        </w:rPr>
      </w:pPr>
      <w:r w:rsidRPr="00457E3D">
        <w:rPr>
          <w:rFonts w:hint="cs"/>
          <w:rtl/>
        </w:rPr>
        <w:t>(</w:t>
      </w:r>
      <w:r w:rsidR="006D1DAF" w:rsidRPr="00457E3D">
        <w:rPr>
          <w:rFonts w:hint="cs"/>
          <w:rtl/>
        </w:rPr>
        <w:t>9</w:t>
      </w:r>
      <w:r w:rsidRPr="00457E3D">
        <w:rPr>
          <w:rFonts w:hint="cs"/>
          <w:rtl/>
        </w:rPr>
        <w:t>)</w:t>
      </w:r>
      <w:r w:rsidR="006D1DAF" w:rsidRPr="00457E3D">
        <w:rPr>
          <w:rFonts w:hint="cs"/>
          <w:rtl/>
        </w:rPr>
        <w:tab/>
        <w:t>تبدي اللجنة قلقها إزاء التقارير التي تفيد بلجوء الشرطة إلى العنف، بما في ذلك سوء معاملة الأشخاص الذين يتم توقيفهم وقبل مثولهم أمام الهيئة القضائية المختصة. وتعرب عن أسفها أيضاً لعدم الاحتفاظ بأي سجل محدد بخصوص الشكاوى المتعلقة بالتعذيب وسوء المعاملة (المواد 2 و12 و13 و14).</w:t>
      </w:r>
    </w:p>
    <w:p w:rsidR="006D1DAF" w:rsidRPr="00457E3D" w:rsidRDefault="006D1DAF" w:rsidP="00A83CF9">
      <w:pPr>
        <w:pStyle w:val="SingleTxtGA"/>
        <w:spacing w:line="360" w:lineRule="exact"/>
        <w:rPr>
          <w:rFonts w:hint="cs"/>
          <w:b/>
          <w:bCs/>
          <w:rtl/>
        </w:rPr>
      </w:pPr>
      <w:r w:rsidRPr="00457E3D">
        <w:rPr>
          <w:rFonts w:hint="cs"/>
          <w:b/>
          <w:bCs/>
          <w:rtl/>
        </w:rPr>
        <w:tab/>
        <w:t>توصي اللجنة الدولة الطرف باتخاذ تدابير فعالة للقيام بما يلي:</w:t>
      </w:r>
    </w:p>
    <w:p w:rsidR="006D1DAF" w:rsidRPr="00457E3D" w:rsidRDefault="006D1DAF" w:rsidP="00A83CF9">
      <w:pPr>
        <w:pStyle w:val="SingleTxtGA"/>
        <w:spacing w:line="360" w:lineRule="exact"/>
        <w:rPr>
          <w:rFonts w:hint="cs"/>
          <w:b/>
          <w:bCs/>
          <w:rtl/>
        </w:rPr>
      </w:pPr>
      <w:r w:rsidRPr="00457E3D">
        <w:rPr>
          <w:rFonts w:hint="cs"/>
          <w:b/>
          <w:bCs/>
          <w:rtl/>
        </w:rPr>
        <w:tab/>
        <w:t>(أ)</w:t>
      </w:r>
      <w:r w:rsidRPr="00457E3D">
        <w:rPr>
          <w:rFonts w:hint="cs"/>
          <w:b/>
          <w:bCs/>
          <w:rtl/>
        </w:rPr>
        <w:tab/>
        <w:t>ضمان إجراء تحقيقات نزيهة وفعالة دون تأخير في جميع التقارير التي تفيد بحدوث أفعال تعذيب وسوء معاملة ومحاكمة المسؤولين عنها، وإن ثبتت إدانتهم، معاقبتهم وفقاً لخطورة أفعالهم؛</w:t>
      </w:r>
    </w:p>
    <w:p w:rsidR="006D1DAF" w:rsidRPr="00457E3D" w:rsidRDefault="006D1DAF" w:rsidP="00A83CF9">
      <w:pPr>
        <w:pStyle w:val="SingleTxtGA"/>
        <w:spacing w:line="360" w:lineRule="exact"/>
        <w:rPr>
          <w:rFonts w:hint="cs"/>
          <w:b/>
          <w:bCs/>
          <w:rtl/>
        </w:rPr>
      </w:pPr>
      <w:r w:rsidRPr="00457E3D">
        <w:rPr>
          <w:rFonts w:hint="cs"/>
          <w:b/>
          <w:bCs/>
          <w:rtl/>
        </w:rPr>
        <w:tab/>
        <w:t>(ب)</w:t>
      </w:r>
      <w:r w:rsidRPr="00457E3D">
        <w:rPr>
          <w:rFonts w:hint="cs"/>
          <w:b/>
          <w:bCs/>
          <w:rtl/>
        </w:rPr>
        <w:tab/>
        <w:t>ضمان القيام، في حالات التعذيب أو سوء المعاملة المزعومة، بوقف المشتبه فيهم فوراً عن الخدمة خلال فترة التحقيق؛</w:t>
      </w:r>
    </w:p>
    <w:p w:rsidR="006D1DAF" w:rsidRPr="00457E3D" w:rsidRDefault="006D1DAF" w:rsidP="00A83CF9">
      <w:pPr>
        <w:pStyle w:val="SingleTxtGA"/>
        <w:spacing w:line="360" w:lineRule="exact"/>
        <w:rPr>
          <w:rFonts w:hint="cs"/>
          <w:b/>
          <w:bCs/>
          <w:rtl/>
        </w:rPr>
      </w:pPr>
      <w:r w:rsidRPr="00457E3D">
        <w:rPr>
          <w:rFonts w:hint="cs"/>
          <w:b/>
          <w:bCs/>
          <w:rtl/>
        </w:rPr>
        <w:tab/>
        <w:t>(ج)</w:t>
      </w:r>
      <w:r w:rsidRPr="00457E3D">
        <w:rPr>
          <w:rFonts w:hint="cs"/>
          <w:b/>
          <w:bCs/>
          <w:rtl/>
        </w:rPr>
        <w:tab/>
        <w:t>ضمان تمتع جميع الأشخاص المحرومين من حريتهم بجميع الضمانات القانونية الأساسية تمتعاً فعلياً من بدء فترة احتجازهم، بما في ذلك الضمانات الواردة في التعليق العام للجنة رقم 2(2007) بشأن تنفيذ الدول الأطراف للمادة 2 من الاتفاقية؛</w:t>
      </w:r>
    </w:p>
    <w:p w:rsidR="006D1DAF" w:rsidRPr="00457E3D" w:rsidRDefault="006D1DAF" w:rsidP="00A83CF9">
      <w:pPr>
        <w:pStyle w:val="SingleTxtGA"/>
        <w:spacing w:line="370" w:lineRule="exact"/>
        <w:rPr>
          <w:rFonts w:hint="cs"/>
          <w:b/>
          <w:bCs/>
          <w:rtl/>
        </w:rPr>
      </w:pPr>
      <w:r w:rsidRPr="00457E3D">
        <w:rPr>
          <w:rFonts w:hint="cs"/>
          <w:b/>
          <w:bCs/>
          <w:rtl/>
        </w:rPr>
        <w:tab/>
        <w:t>(د)</w:t>
      </w:r>
      <w:r w:rsidRPr="00457E3D">
        <w:rPr>
          <w:rFonts w:hint="cs"/>
          <w:b/>
          <w:bCs/>
          <w:rtl/>
        </w:rPr>
        <w:tab/>
        <w:t>ضمان تلقي أفراد الشرطة دورات تدريبية بشأن الالتزامات والمسؤوليات المتمخضة عن الاتفاقية؛</w:t>
      </w:r>
    </w:p>
    <w:p w:rsidR="006D1DAF" w:rsidRPr="00457E3D" w:rsidRDefault="006D1DAF" w:rsidP="00A83CF9">
      <w:pPr>
        <w:pStyle w:val="SingleTxtGA"/>
        <w:spacing w:line="370" w:lineRule="exact"/>
        <w:rPr>
          <w:rFonts w:hint="cs"/>
          <w:b/>
          <w:bCs/>
          <w:rtl/>
        </w:rPr>
      </w:pPr>
      <w:r w:rsidRPr="00457E3D">
        <w:rPr>
          <w:rFonts w:hint="cs"/>
          <w:b/>
          <w:bCs/>
          <w:rtl/>
        </w:rPr>
        <w:tab/>
        <w:t>(</w:t>
      </w:r>
      <w:r w:rsidRPr="00457E3D">
        <w:rPr>
          <w:rFonts w:hint="cs"/>
          <w:b/>
          <w:bCs/>
          <w:sz w:val="30"/>
          <w:rtl/>
        </w:rPr>
        <w:t>ﻫ</w:t>
      </w:r>
      <w:r w:rsidRPr="00457E3D">
        <w:rPr>
          <w:rFonts w:hint="cs"/>
          <w:b/>
          <w:bCs/>
          <w:rtl/>
        </w:rPr>
        <w:t>)</w:t>
      </w:r>
      <w:r w:rsidRPr="00457E3D">
        <w:rPr>
          <w:rFonts w:hint="cs"/>
          <w:b/>
          <w:bCs/>
          <w:rtl/>
        </w:rPr>
        <w:tab/>
        <w:t>ضمان توفير الجبر الملائم لجميع ضحايا التعذيب أو سوء المعاملة، بما في ذلك التعويض والوسائل اللازمة لإعادة تأهيلهم بدنياً ونفسياً، بما يتمشى والمادة 14 من الاتفاقية والتعليق العام للجنة رقم 3(2012) بشأن تنفيذ المادة 14 من الاتفاقية؛</w:t>
      </w:r>
    </w:p>
    <w:p w:rsidR="006D1DAF" w:rsidRPr="001661EC" w:rsidRDefault="006D1DAF" w:rsidP="00A83CF9">
      <w:pPr>
        <w:pStyle w:val="SingleTxtGA"/>
        <w:spacing w:line="370" w:lineRule="exact"/>
        <w:rPr>
          <w:rFonts w:hint="cs"/>
          <w:b/>
          <w:bCs/>
          <w:kern w:val="16"/>
          <w:rtl/>
        </w:rPr>
      </w:pPr>
      <w:r w:rsidRPr="001661EC">
        <w:rPr>
          <w:rFonts w:hint="cs"/>
          <w:b/>
          <w:bCs/>
          <w:kern w:val="16"/>
          <w:rtl/>
        </w:rPr>
        <w:tab/>
        <w:t>(و)</w:t>
      </w:r>
      <w:r w:rsidRPr="001661EC">
        <w:rPr>
          <w:rFonts w:hint="cs"/>
          <w:b/>
          <w:bCs/>
          <w:kern w:val="16"/>
          <w:rtl/>
        </w:rPr>
        <w:tab/>
        <w:t>تأسيس سجل مركزي للشكاوى والتحقيقات والملاحقات والإدانات في قضايا التعذيب أو سوء المعاملة.</w:t>
      </w:r>
    </w:p>
    <w:p w:rsidR="006D1DAF" w:rsidRPr="00282762" w:rsidRDefault="006D1DAF" w:rsidP="00A83CF9">
      <w:pPr>
        <w:pStyle w:val="H23GA"/>
        <w:spacing w:line="370" w:lineRule="exact"/>
        <w:rPr>
          <w:rFonts w:hint="cs"/>
          <w:kern w:val="16"/>
          <w:rtl/>
        </w:rPr>
      </w:pPr>
      <w:r>
        <w:rPr>
          <w:rFonts w:hint="cs"/>
          <w:b w:val="0"/>
          <w:bCs w:val="0"/>
          <w:kern w:val="16"/>
          <w:rtl/>
        </w:rPr>
        <w:tab/>
      </w:r>
      <w:r>
        <w:rPr>
          <w:rFonts w:hint="cs"/>
          <w:kern w:val="16"/>
          <w:rtl/>
        </w:rPr>
        <w:tab/>
      </w:r>
      <w:r w:rsidRPr="00A65C80">
        <w:rPr>
          <w:rFonts w:hint="cs"/>
          <w:kern w:val="16"/>
          <w:rtl/>
        </w:rPr>
        <w:t>التحقيق في أفعال التعذيب وغيرها من الانتهاكات الجسيمة لحقوق الإنسان التي ارتكبت خلال النزاع المسلح الداخلي</w:t>
      </w:r>
      <w:r>
        <w:rPr>
          <w:rFonts w:hint="cs"/>
          <w:kern w:val="16"/>
          <w:rtl/>
        </w:rPr>
        <w:t xml:space="preserve"> </w:t>
      </w:r>
    </w:p>
    <w:p w:rsidR="006D1DAF" w:rsidRDefault="00457E3D" w:rsidP="00086AA1">
      <w:pPr>
        <w:pStyle w:val="SingleTxtGA"/>
        <w:spacing w:line="370" w:lineRule="exact"/>
        <w:rPr>
          <w:rFonts w:hint="cs"/>
          <w:kern w:val="16"/>
          <w:rtl/>
        </w:rPr>
      </w:pPr>
      <w:r>
        <w:rPr>
          <w:rFonts w:hint="cs"/>
          <w:kern w:val="16"/>
          <w:rtl/>
        </w:rPr>
        <w:t>(</w:t>
      </w:r>
      <w:r w:rsidR="006D1DAF">
        <w:rPr>
          <w:rFonts w:hint="cs"/>
          <w:kern w:val="16"/>
          <w:rtl/>
        </w:rPr>
        <w:t>10</w:t>
      </w:r>
      <w:r>
        <w:rPr>
          <w:rFonts w:hint="cs"/>
          <w:kern w:val="16"/>
          <w:rtl/>
        </w:rPr>
        <w:t>)</w:t>
      </w:r>
      <w:r w:rsidR="006D1DAF">
        <w:rPr>
          <w:rFonts w:hint="cs"/>
          <w:kern w:val="16"/>
          <w:rtl/>
        </w:rPr>
        <w:tab/>
        <w:t>تحيط اللجنة علماً مع الاهتمام بالمعلومات التي قدمتها الدولة الطرف بشأن التحقيقات التي أجريت والإدانات التي صدرت في عدد من الدعاوى المرفوعة بصدد الانتهاكات الجسيمة لحقوق الإنسان التي ارتكبت أثناء النزاع المسلح الداخلي. ومع ذلك، لا</w:t>
      </w:r>
      <w:r w:rsidR="006D1DAF">
        <w:rPr>
          <w:rFonts w:hint="eastAsia"/>
          <w:kern w:val="16"/>
          <w:rtl/>
        </w:rPr>
        <w:t> </w:t>
      </w:r>
      <w:r w:rsidR="006D1DAF">
        <w:rPr>
          <w:rFonts w:hint="cs"/>
          <w:kern w:val="16"/>
          <w:rtl/>
        </w:rPr>
        <w:t xml:space="preserve">يزال القلق يساورها بشدة إزاء استمرار الإفلات من العقاب في معظم حالات انتهاك حقوق الإنسان التي ارتكبت خلال هذه الفترة، ومن بينها حسب ما أفادت به اللجنة المعنية بإجلاء الوقائع التاريخية 626 مذبحة ووفاة أو اختفاء أكثر من 000 200 فرد. وتلقي </w:t>
      </w:r>
      <w:r w:rsidR="006D1DAF" w:rsidRPr="00086AA1">
        <w:rPr>
          <w:rFonts w:hint="cs"/>
          <w:spacing w:val="-2"/>
          <w:kern w:val="16"/>
          <w:rtl/>
        </w:rPr>
        <w:t>اللجنة الضوء، مرة أخرى وفقاً لما أفادت به اللجنة المعنية بإجلاء الوقائع التاريخية، على أن أكثر من</w:t>
      </w:r>
      <w:r w:rsidR="00086AA1">
        <w:rPr>
          <w:rFonts w:hint="eastAsia"/>
          <w:spacing w:val="-2"/>
          <w:kern w:val="16"/>
          <w:rtl/>
        </w:rPr>
        <w:t> </w:t>
      </w:r>
      <w:r w:rsidR="006D1DAF" w:rsidRPr="00086AA1">
        <w:rPr>
          <w:rFonts w:hint="cs"/>
          <w:spacing w:val="-2"/>
          <w:kern w:val="16"/>
          <w:rtl/>
        </w:rPr>
        <w:t>90 في المائة من انتهاكات حقوق الإنسان وأفعال العنف التي ارتكبت خلال هذه</w:t>
      </w:r>
      <w:r w:rsidR="006D1DAF">
        <w:rPr>
          <w:rFonts w:hint="cs"/>
          <w:kern w:val="16"/>
          <w:rtl/>
        </w:rPr>
        <w:t xml:space="preserve"> الفترة تنسب فيما يبدو إلى الدولة وأن أكثر من 80 في المائة منها قد ارتكب ضد السكان الأصليين. وتشدد اللجنة على أن الإفلات من العقاب يشكل انتهاكاً للقانون الدولي لحقوق الإنسان ولاتفاقات السلام والتشريعات الوطنية. وتلقي الضوء بشكل خاص على إدانة رئيس الدولة السابق، السيد إيفران ريوس مونت، على جريمة الإبادة الجماعية والجرائم المرتكبة ضد الإنسانية في 10 أيار/مايو 2013، ولكن لا يسعها مع ذلك إلا أن تلاحظ أيضاً أن المحكمة الدستورية قد نقضت القرار لأسباب إجرائية وفقاً لما أفادت به التقارير. وإن ما يثير قلق اللجنة علاوة على ذلك البيانات التي أدلت بها أطراف معينة في هذه المحاكمة، ومن بينها كبار موظفي الحكومة التنفيذيين، للإفادة بعدم حدوث جريمة إبادة جماعية في غواتيمالا، وهو ما يمكن أن يكون قد أثر على مداولات السلطة القضائية. وتشعر اللجنة بالقلق أيضاً إزاء التقارير التي تفيد بتعاون الجيش في غواتيمالا تعاوناً كاملاً في التحقيقات. هذا بالإضافة إلى القلق الذي يساورها إزاء الاعتداءات والتهديدات الموجهة حسب ما أفيد به ضد الأشخاص المشتركين في الإجراءات الجنائية، بمن فيهم من لهم صلة بالتحقيقات التي تجري بشأن انتهاكات حقوق الإنسان (المواد 2 و12 و13 و14 و16).</w:t>
      </w:r>
    </w:p>
    <w:p w:rsidR="006D1DAF" w:rsidRPr="001661EC" w:rsidRDefault="006D1DAF" w:rsidP="006D1DAF">
      <w:pPr>
        <w:pStyle w:val="SingleTxtGA"/>
        <w:rPr>
          <w:rFonts w:hint="cs"/>
          <w:b/>
          <w:bCs/>
          <w:kern w:val="16"/>
          <w:rtl/>
        </w:rPr>
      </w:pPr>
      <w:r>
        <w:rPr>
          <w:rFonts w:hint="cs"/>
          <w:b/>
          <w:bCs/>
          <w:kern w:val="16"/>
          <w:rtl/>
        </w:rPr>
        <w:tab/>
      </w:r>
      <w:r w:rsidRPr="001661EC">
        <w:rPr>
          <w:rFonts w:hint="cs"/>
          <w:b/>
          <w:bCs/>
          <w:kern w:val="16"/>
          <w:rtl/>
        </w:rPr>
        <w:t>تكرر اللجنة توصيتها السابقة (الفقرة 15) بأن تطبق الدولة الطرف قانون المصالحة الوطنية تطبيقاً كاملاً، وهو القانون الذي يستبعد صراحة، في جملة أمور أخرى، العفو عن مرتكبي جرائم الإبادة الجماعية والتعذيب والاختفاء القسري، فضلاً عن الجرائم التي لا تخضع للتقادم أو لانتفاء المسؤولية الجنائية، وفقاً للتشريعات الوطنية والمعاهدات الدولية التي صدقت عليها غواتيمالا. وبالإضافة إلى ذلك، توصي اللجنة الدولة الطرف بالقيام بما يلي:</w:t>
      </w:r>
    </w:p>
    <w:p w:rsidR="006D1DAF" w:rsidRPr="001661EC" w:rsidRDefault="006D1DAF" w:rsidP="00A83CF9">
      <w:pPr>
        <w:pStyle w:val="SingleTxtGA"/>
        <w:spacing w:line="370" w:lineRule="exact"/>
        <w:rPr>
          <w:rFonts w:hint="cs"/>
          <w:b/>
          <w:bCs/>
          <w:kern w:val="16"/>
          <w:rtl/>
        </w:rPr>
      </w:pPr>
      <w:r w:rsidRPr="001661EC">
        <w:rPr>
          <w:rFonts w:hint="cs"/>
          <w:b/>
          <w:bCs/>
          <w:kern w:val="16"/>
          <w:rtl/>
        </w:rPr>
        <w:tab/>
        <w:t>(أ)</w:t>
      </w:r>
      <w:r w:rsidRPr="001661EC">
        <w:rPr>
          <w:rFonts w:hint="cs"/>
          <w:b/>
          <w:bCs/>
          <w:kern w:val="16"/>
          <w:rtl/>
        </w:rPr>
        <w:tab/>
        <w:t>مضاعفة جهودها للتحقيق في الانتهاكات الجسيمة لحقوق الإنسان التي ارتكبت خلال النزاع المسلح الداخلي، وبخاصة المذابح وأفعال التعذيب وحالات الاختفاء القسري، وإحضار مرتكبي هذه الأفعال أمام القضاء، بمن فيهم من هم في تسلسل القيادة؛</w:t>
      </w:r>
    </w:p>
    <w:p w:rsidR="006D1DAF" w:rsidRPr="001661EC" w:rsidRDefault="006D1DAF" w:rsidP="00A83CF9">
      <w:pPr>
        <w:pStyle w:val="SingleTxtGA"/>
        <w:spacing w:line="370" w:lineRule="exact"/>
        <w:rPr>
          <w:rFonts w:hint="cs"/>
          <w:b/>
          <w:bCs/>
          <w:kern w:val="16"/>
          <w:rtl/>
        </w:rPr>
      </w:pPr>
      <w:r w:rsidRPr="001661EC">
        <w:rPr>
          <w:rFonts w:hint="cs"/>
          <w:b/>
          <w:bCs/>
          <w:kern w:val="16"/>
          <w:rtl/>
        </w:rPr>
        <w:tab/>
        <w:t>(ب)</w:t>
      </w:r>
      <w:r w:rsidRPr="001661EC">
        <w:rPr>
          <w:rFonts w:hint="cs"/>
          <w:b/>
          <w:bCs/>
          <w:kern w:val="16"/>
          <w:rtl/>
        </w:rPr>
        <w:tab/>
        <w:t>ضمان عدم تمتع المتهمين بارتكاب أفعال التعذيب أو أفعال مماثلة بالحد الزمني المحدد لتقادم الأفعال المرتكبة؛</w:t>
      </w:r>
    </w:p>
    <w:p w:rsidR="006D1DAF" w:rsidRPr="001661EC" w:rsidRDefault="006D1DAF" w:rsidP="00A83CF9">
      <w:pPr>
        <w:pStyle w:val="SingleTxtGA"/>
        <w:spacing w:line="370" w:lineRule="exact"/>
        <w:rPr>
          <w:rFonts w:hint="cs"/>
          <w:b/>
          <w:bCs/>
          <w:kern w:val="16"/>
          <w:rtl/>
        </w:rPr>
      </w:pPr>
      <w:r w:rsidRPr="001661EC">
        <w:rPr>
          <w:rFonts w:hint="cs"/>
          <w:b/>
          <w:bCs/>
          <w:kern w:val="16"/>
          <w:rtl/>
        </w:rPr>
        <w:tab/>
        <w:t>(ج)</w:t>
      </w:r>
      <w:r w:rsidRPr="001661EC">
        <w:rPr>
          <w:rFonts w:hint="cs"/>
          <w:b/>
          <w:bCs/>
          <w:kern w:val="16"/>
          <w:rtl/>
        </w:rPr>
        <w:tab/>
        <w:t>ضمان تزويد جميع الهيئات المعنية بإجراء التحقيقات بالموارد ا</w:t>
      </w:r>
      <w:r>
        <w:rPr>
          <w:rFonts w:hint="cs"/>
          <w:b/>
          <w:bCs/>
          <w:kern w:val="16"/>
          <w:rtl/>
        </w:rPr>
        <w:t>لبشرية والفنية والمالية اللازمة</w:t>
      </w:r>
      <w:r w:rsidRPr="001661EC">
        <w:rPr>
          <w:rFonts w:hint="cs"/>
          <w:b/>
          <w:bCs/>
          <w:kern w:val="16"/>
          <w:rtl/>
        </w:rPr>
        <w:t xml:space="preserve"> لإنجاز مهامها بفعالية؛</w:t>
      </w:r>
    </w:p>
    <w:p w:rsidR="006D1DAF" w:rsidRPr="001661EC" w:rsidRDefault="006D1DAF" w:rsidP="00A83CF9">
      <w:pPr>
        <w:pStyle w:val="SingleTxtGA"/>
        <w:spacing w:line="370" w:lineRule="exact"/>
        <w:rPr>
          <w:rFonts w:hint="cs"/>
          <w:b/>
          <w:bCs/>
          <w:kern w:val="16"/>
          <w:rtl/>
        </w:rPr>
      </w:pPr>
      <w:r w:rsidRPr="001661EC">
        <w:rPr>
          <w:rFonts w:hint="cs"/>
          <w:b/>
          <w:bCs/>
          <w:kern w:val="16"/>
          <w:rtl/>
        </w:rPr>
        <w:tab/>
        <w:t>(د)</w:t>
      </w:r>
      <w:r w:rsidRPr="001661EC">
        <w:rPr>
          <w:rFonts w:hint="cs"/>
          <w:b/>
          <w:bCs/>
          <w:kern w:val="16"/>
          <w:rtl/>
        </w:rPr>
        <w:tab/>
        <w:t>ضمان تعاون وكالات الدولة جميعها على نحو كامل وسريع مع الهيئات التي تجري التحقيقات؛</w:t>
      </w:r>
    </w:p>
    <w:p w:rsidR="006D1DAF" w:rsidRPr="001661EC" w:rsidRDefault="006D1DAF" w:rsidP="00A83CF9">
      <w:pPr>
        <w:pStyle w:val="SingleTxtGA"/>
        <w:spacing w:line="370" w:lineRule="exact"/>
        <w:rPr>
          <w:rFonts w:hint="cs"/>
          <w:b/>
          <w:bCs/>
          <w:kern w:val="16"/>
          <w:rtl/>
        </w:rPr>
      </w:pPr>
      <w:r w:rsidRPr="001661EC">
        <w:rPr>
          <w:rFonts w:hint="cs"/>
          <w:b/>
          <w:bCs/>
          <w:kern w:val="16"/>
          <w:rtl/>
        </w:rPr>
        <w:tab/>
        <w:t>(</w:t>
      </w:r>
      <w:r w:rsidRPr="001661EC">
        <w:rPr>
          <w:rFonts w:hint="cs"/>
          <w:b/>
          <w:bCs/>
          <w:kern w:val="16"/>
          <w:sz w:val="30"/>
          <w:rtl/>
        </w:rPr>
        <w:t>ﻫ</w:t>
      </w:r>
      <w:r w:rsidRPr="001661EC">
        <w:rPr>
          <w:rFonts w:hint="cs"/>
          <w:b/>
          <w:bCs/>
          <w:kern w:val="16"/>
          <w:rtl/>
        </w:rPr>
        <w:t>)</w:t>
      </w:r>
      <w:r w:rsidRPr="001661EC">
        <w:rPr>
          <w:rFonts w:hint="cs"/>
          <w:b/>
          <w:bCs/>
          <w:kern w:val="16"/>
          <w:rtl/>
        </w:rPr>
        <w:tab/>
        <w:t>منع موظفي الدولة من القيام بأي شيء أو الإدلاء بأ</w:t>
      </w:r>
      <w:r>
        <w:rPr>
          <w:rFonts w:hint="cs"/>
          <w:b/>
          <w:bCs/>
          <w:kern w:val="16"/>
          <w:rtl/>
        </w:rPr>
        <w:t>ي</w:t>
      </w:r>
      <w:r w:rsidRPr="001661EC">
        <w:rPr>
          <w:rFonts w:hint="cs"/>
          <w:b/>
          <w:bCs/>
          <w:kern w:val="16"/>
          <w:rtl/>
        </w:rPr>
        <w:t xml:space="preserve"> بيان عام يمكن أن يؤثر سلباً على استقلال السلطة القضائية؛</w:t>
      </w:r>
    </w:p>
    <w:p w:rsidR="006D1DAF" w:rsidRDefault="006D1DAF" w:rsidP="00086AA1">
      <w:pPr>
        <w:pStyle w:val="SingleTxtGA"/>
        <w:rPr>
          <w:rFonts w:hint="cs"/>
          <w:kern w:val="16"/>
          <w:rtl/>
        </w:rPr>
      </w:pPr>
      <w:r w:rsidRPr="001661EC">
        <w:rPr>
          <w:rFonts w:hint="cs"/>
          <w:b/>
          <w:bCs/>
          <w:kern w:val="16"/>
          <w:rtl/>
        </w:rPr>
        <w:tab/>
        <w:t>(و)</w:t>
      </w:r>
      <w:r w:rsidRPr="001661EC">
        <w:rPr>
          <w:rFonts w:hint="cs"/>
          <w:b/>
          <w:bCs/>
          <w:kern w:val="16"/>
          <w:rtl/>
        </w:rPr>
        <w:tab/>
        <w:t>كفالة سلامة الضحايا والشهود وجميع المشاركين في الإجراءات الجنائية، وتحقيقاً لذلك تزويد الهيئات المسؤولة عن حمايتهم بالموارد البشرية والمالية التي تحتاج إليها لأداء مهامها بفعالية.</w:t>
      </w:r>
    </w:p>
    <w:p w:rsidR="006D1DAF" w:rsidRDefault="006D1DAF" w:rsidP="00086AA1">
      <w:pPr>
        <w:pStyle w:val="H23GA"/>
        <w:rPr>
          <w:rFonts w:hint="cs"/>
          <w:kern w:val="16"/>
          <w:rtl/>
        </w:rPr>
      </w:pPr>
      <w:r>
        <w:rPr>
          <w:rFonts w:hint="cs"/>
          <w:kern w:val="16"/>
          <w:rtl/>
        </w:rPr>
        <w:tab/>
      </w:r>
      <w:r>
        <w:rPr>
          <w:rFonts w:hint="cs"/>
          <w:kern w:val="16"/>
          <w:rtl/>
        </w:rPr>
        <w:tab/>
        <w:t>حالات الاختفاء القسري أثناء النزاع المسلح الداخلي</w:t>
      </w:r>
    </w:p>
    <w:p w:rsidR="006D1DAF" w:rsidRDefault="00457E3D" w:rsidP="00086AA1">
      <w:pPr>
        <w:pStyle w:val="SingleTxtGA"/>
        <w:rPr>
          <w:rFonts w:hint="cs"/>
          <w:kern w:val="16"/>
          <w:rtl/>
        </w:rPr>
      </w:pPr>
      <w:r>
        <w:rPr>
          <w:rFonts w:hint="cs"/>
          <w:kern w:val="16"/>
          <w:rtl/>
        </w:rPr>
        <w:t>(</w:t>
      </w:r>
      <w:r w:rsidR="006D1DAF">
        <w:rPr>
          <w:rFonts w:hint="cs"/>
          <w:kern w:val="16"/>
          <w:rtl/>
        </w:rPr>
        <w:t>11</w:t>
      </w:r>
      <w:r>
        <w:rPr>
          <w:rFonts w:hint="cs"/>
          <w:kern w:val="16"/>
          <w:rtl/>
        </w:rPr>
        <w:t>)</w:t>
      </w:r>
      <w:r w:rsidR="006D1DAF">
        <w:rPr>
          <w:rFonts w:hint="cs"/>
          <w:kern w:val="16"/>
          <w:rtl/>
        </w:rPr>
        <w:tab/>
        <w:t>تلاحظ اللجنة مع القلق أنه رغم انقضاء عدة سنوات على انتهاء النزاع المسلح الداخلي، لا يزال مصير وأماكن وجود أكثر من 000 40 ضحية مزعومة من ضحايا الاختفاء القسري غير معروفة، وتعرب في هذا الصدد عن أسفها لأنه لم يتم بعد إنشاء لجنة مستقلة لاقتفاء أثرهم. وتحيط اللجنة علماً بالمعلومات التي قدمها الوفد ومفادها أن لا سبيل لأن يعتمد الكونغرس الاقتراحات المقدمة لهذا الغرض وأنه يجري التفاوض الآن على نص جديد (المواد 2 و12 و14 و16).</w:t>
      </w:r>
    </w:p>
    <w:p w:rsidR="006D1DAF" w:rsidRPr="001661EC" w:rsidRDefault="006D1DAF" w:rsidP="00086AA1">
      <w:pPr>
        <w:pStyle w:val="SingleTxtGA"/>
        <w:rPr>
          <w:rFonts w:hint="cs"/>
          <w:b/>
          <w:bCs/>
          <w:kern w:val="16"/>
          <w:rtl/>
        </w:rPr>
      </w:pPr>
      <w:r>
        <w:rPr>
          <w:rFonts w:hint="cs"/>
          <w:b/>
          <w:bCs/>
          <w:kern w:val="16"/>
          <w:rtl/>
        </w:rPr>
        <w:tab/>
      </w:r>
      <w:r w:rsidRPr="001661EC">
        <w:rPr>
          <w:rFonts w:hint="cs"/>
          <w:b/>
          <w:bCs/>
          <w:kern w:val="16"/>
          <w:rtl/>
        </w:rPr>
        <w:t>توصي اللجنة الدولة الطرف بإنشاء لجنة مستقلة للبحث عن ضحايا الاختفاء القسري أثناء النزاع المسلح الداخلي وباستيفاء هذه اللجنة للمعايير الدولية لحقوق الإنسان، وإسنادها السلطة وتزويدها بالموارد اللازمة لأداء مهامها بفعالية. كما توصي الدولة الطرف بتأسيس سجل وطني بأسماء الأشخاص المختفين لتيسير البحث وضمان تلقي جميع الأشخاص المشتركين في هذه العملية الدعم الواجب.</w:t>
      </w:r>
    </w:p>
    <w:p w:rsidR="006D1DAF" w:rsidRDefault="006D1DAF" w:rsidP="00086AA1">
      <w:pPr>
        <w:pStyle w:val="H23GA"/>
        <w:rPr>
          <w:rFonts w:hint="cs"/>
          <w:kern w:val="16"/>
          <w:rtl/>
        </w:rPr>
      </w:pPr>
      <w:r>
        <w:rPr>
          <w:rFonts w:hint="cs"/>
          <w:kern w:val="16"/>
          <w:rtl/>
        </w:rPr>
        <w:tab/>
      </w:r>
      <w:r>
        <w:rPr>
          <w:rFonts w:hint="cs"/>
          <w:kern w:val="16"/>
          <w:rtl/>
        </w:rPr>
        <w:tab/>
        <w:t>البرنامج الوطني لجبر الضرر</w:t>
      </w:r>
    </w:p>
    <w:p w:rsidR="006D1DAF" w:rsidRDefault="00457E3D" w:rsidP="00086AA1">
      <w:pPr>
        <w:pStyle w:val="SingleTxtGA"/>
        <w:rPr>
          <w:rFonts w:hint="cs"/>
          <w:kern w:val="16"/>
          <w:rtl/>
        </w:rPr>
      </w:pPr>
      <w:r>
        <w:rPr>
          <w:rFonts w:hint="cs"/>
          <w:kern w:val="16"/>
          <w:rtl/>
        </w:rPr>
        <w:t>(</w:t>
      </w:r>
      <w:r w:rsidR="006D1DAF">
        <w:rPr>
          <w:rFonts w:hint="cs"/>
          <w:kern w:val="16"/>
          <w:rtl/>
        </w:rPr>
        <w:t>12</w:t>
      </w:r>
      <w:r>
        <w:rPr>
          <w:rFonts w:hint="cs"/>
          <w:kern w:val="16"/>
          <w:rtl/>
        </w:rPr>
        <w:t>)</w:t>
      </w:r>
      <w:r w:rsidR="006D1DAF">
        <w:rPr>
          <w:rFonts w:hint="cs"/>
          <w:kern w:val="16"/>
          <w:rtl/>
        </w:rPr>
        <w:tab/>
        <w:t>تقر اللجنة بالبرنامج الوطني الذي تم إنشاؤه لجبر الضرر وبالأعمال التي يقوم بتنفيذها وتلاحظ مع ذلك التقارير التي تفيد بأنه يجري على ما يبدو إيلاء الأولوية في إطار هذا البرنامج للتعويض المالي على أشكال أخرى من الجبر. وتلاحظ اللجنة أيضاً أن من المقرر أن يستمر عمل هذا البرنامج حتى النصف الثاني من عام 2013 وتحيط علماً باقتراحات تمديده (المادة 14).</w:t>
      </w:r>
    </w:p>
    <w:p w:rsidR="006D1DAF" w:rsidRPr="001661EC" w:rsidRDefault="006D1DAF" w:rsidP="00086AA1">
      <w:pPr>
        <w:pStyle w:val="SingleTxtGA"/>
        <w:rPr>
          <w:rFonts w:hint="cs"/>
          <w:b/>
          <w:bCs/>
          <w:kern w:val="16"/>
          <w:rtl/>
        </w:rPr>
      </w:pPr>
      <w:r>
        <w:rPr>
          <w:rFonts w:hint="cs"/>
          <w:b/>
          <w:bCs/>
          <w:kern w:val="16"/>
          <w:rtl/>
        </w:rPr>
        <w:tab/>
      </w:r>
      <w:r w:rsidRPr="001661EC">
        <w:rPr>
          <w:rFonts w:hint="cs"/>
          <w:b/>
          <w:bCs/>
          <w:kern w:val="16"/>
          <w:rtl/>
        </w:rPr>
        <w:t>ينبغي للدولة الطرف أن تضاعف جهودها لضمان توفير الجبر الملائم لجميع ضحايا انتهاكات حقوق الإنسان التي ارتكبت أثناء النزاع المسلح الداخلي، بما يشمل توفير الوسائل اللازمة لإعادة تأهيلهم بدنياً ونفسياً مع مراعاة ثقافتهم ونوع الجنس. ولذلك، ينبغي للدولة الطرف أن تكفل استمرار البرنامج الوطني لجبر الضرر إلى أن يتم إنصاف جميع الضحايا على النحو المناسب؛ وضمان استيفاء التدابير التشريعية أو التدابير الأخرى المعتمدة للمعايير الدولية الخاصة بجبر الضرر، بما في ذلك المادة 14 من الاتفاقية؛ وتزويد البرنامج بموارد كافية لضمان وضع كافة أشكال الجبر الفردية أو الجماعية موضع التنفيذ الكامل. وتسترع</w:t>
      </w:r>
      <w:r>
        <w:rPr>
          <w:rFonts w:hint="cs"/>
          <w:b/>
          <w:bCs/>
          <w:kern w:val="16"/>
          <w:rtl/>
        </w:rPr>
        <w:t>ي</w:t>
      </w:r>
      <w:r w:rsidRPr="001661EC">
        <w:rPr>
          <w:rFonts w:hint="cs"/>
          <w:b/>
          <w:bCs/>
          <w:kern w:val="16"/>
          <w:rtl/>
        </w:rPr>
        <w:t xml:space="preserve"> اللجنة انتباه الدولة الطرف إلى تعليقها العام رقم 3(2012). </w:t>
      </w:r>
    </w:p>
    <w:p w:rsidR="006D1DAF" w:rsidRDefault="006D1DAF" w:rsidP="006D1DAF">
      <w:pPr>
        <w:pStyle w:val="H23GA"/>
        <w:rPr>
          <w:rFonts w:hint="cs"/>
          <w:kern w:val="16"/>
          <w:rtl/>
        </w:rPr>
      </w:pPr>
      <w:r>
        <w:rPr>
          <w:rFonts w:hint="cs"/>
          <w:kern w:val="16"/>
          <w:rtl/>
        </w:rPr>
        <w:tab/>
      </w:r>
      <w:r>
        <w:rPr>
          <w:rFonts w:hint="cs"/>
          <w:kern w:val="16"/>
          <w:rtl/>
        </w:rPr>
        <w:tab/>
        <w:t>العنف الممارس ضد النساء</w:t>
      </w:r>
    </w:p>
    <w:p w:rsidR="006D1DAF" w:rsidRDefault="00457E3D" w:rsidP="00457E3D">
      <w:pPr>
        <w:pStyle w:val="SingleTxtGA"/>
        <w:rPr>
          <w:rFonts w:hint="cs"/>
          <w:kern w:val="16"/>
          <w:rtl/>
        </w:rPr>
      </w:pPr>
      <w:r>
        <w:rPr>
          <w:rFonts w:hint="cs"/>
          <w:kern w:val="16"/>
          <w:rtl/>
        </w:rPr>
        <w:t>(</w:t>
      </w:r>
      <w:r w:rsidR="006D1DAF">
        <w:rPr>
          <w:rFonts w:hint="cs"/>
          <w:kern w:val="16"/>
          <w:rtl/>
        </w:rPr>
        <w:t>13</w:t>
      </w:r>
      <w:r>
        <w:rPr>
          <w:rFonts w:hint="cs"/>
          <w:kern w:val="16"/>
          <w:rtl/>
        </w:rPr>
        <w:t>)</w:t>
      </w:r>
      <w:r w:rsidR="006D1DAF">
        <w:rPr>
          <w:rFonts w:hint="cs"/>
          <w:kern w:val="16"/>
          <w:rtl/>
        </w:rPr>
        <w:tab/>
        <w:t>ترحب اللجنة بالتدابير التشريعية والتدابير الأخرى التي اعتمدتها الدولة الطرف لمنع ومعاقبة العنف الممارس ضد النساء، لا سيما تعريف قتل الإناث كجريمة محددة، وتلاحظ مع ذلك ببالغ القلق استمرار ارتفاع مستوى العنف الممارس ضد النساء، بما في ذلك حالات القتل، وذلك بالرغم</w:t>
      </w:r>
      <w:r w:rsidR="00AD3FDC">
        <w:rPr>
          <w:rFonts w:hint="cs"/>
          <w:kern w:val="16"/>
          <w:rtl/>
        </w:rPr>
        <w:t xml:space="preserve"> من توصيتها السابقة (الفقرة 16)</w:t>
      </w:r>
      <w:r w:rsidR="006D1DAF">
        <w:rPr>
          <w:rFonts w:hint="cs"/>
          <w:kern w:val="16"/>
          <w:rtl/>
        </w:rPr>
        <w:t>. وتشعر اللجنة بقلق شديد إزاء حالات وفاة النساء الناتجة عن العنف التي بلغ عددها 709 في عام 2012 و200 بين كانون الثاني/يناير وآذار/مارس 2013 حسب ما أفاد به المعهد الوطني لعلوم الطب الشرعي. ومع الاعتراف بالتقدم المحرز بصدد التحقيقات والملاحقات الجنائية، تلاحظ اللجنة بقلق أيضاً قلة عدد الإدانات الصادرة بصدد الجرائم ذات الصلة بالعنف الممارس ضد النساء (المواد 1 و2 و12 و13 و14 و16).</w:t>
      </w:r>
    </w:p>
    <w:p w:rsidR="006D1DAF" w:rsidRPr="001661EC" w:rsidRDefault="006D1DAF" w:rsidP="006D1DAF">
      <w:pPr>
        <w:pStyle w:val="SingleTxtGA"/>
        <w:rPr>
          <w:rFonts w:hint="cs"/>
          <w:b/>
          <w:bCs/>
          <w:kern w:val="16"/>
          <w:rtl/>
        </w:rPr>
      </w:pPr>
      <w:r w:rsidRPr="001661EC">
        <w:rPr>
          <w:rFonts w:hint="cs"/>
          <w:b/>
          <w:bCs/>
          <w:kern w:val="16"/>
          <w:rtl/>
        </w:rPr>
        <w:tab/>
        <w:t>تحث اللجنة الدولة الطرف على القيام بما يلي:</w:t>
      </w:r>
    </w:p>
    <w:p w:rsidR="006D1DAF" w:rsidRPr="001661EC" w:rsidRDefault="006D1DAF" w:rsidP="006D1DAF">
      <w:pPr>
        <w:pStyle w:val="SingleTxtGA"/>
        <w:rPr>
          <w:rFonts w:hint="cs"/>
          <w:b/>
          <w:bCs/>
          <w:kern w:val="16"/>
          <w:rtl/>
        </w:rPr>
      </w:pPr>
      <w:r w:rsidRPr="001661EC">
        <w:rPr>
          <w:rFonts w:hint="cs"/>
          <w:b/>
          <w:bCs/>
          <w:kern w:val="16"/>
          <w:rtl/>
        </w:rPr>
        <w:tab/>
        <w:t>(أ)</w:t>
      </w:r>
      <w:r w:rsidRPr="001661EC">
        <w:rPr>
          <w:rFonts w:hint="cs"/>
          <w:b/>
          <w:bCs/>
          <w:kern w:val="16"/>
          <w:rtl/>
        </w:rPr>
        <w:tab/>
        <w:t>مضاعفة جهودها لمنع العنف الممارس ضد النساء ومكافحته، بما في ذلك القتل ذو الصلة بنوع الجنس؛ وضمان تطبيق التشريعات ذات الصلة تطبيقاً كاملاً وفعالاً؛ وضمان التنسيق الفعال بين الهيئات المختلفة التي عليها القيام بدور للتصدي للعنف الممارس ضد النساء؛</w:t>
      </w:r>
    </w:p>
    <w:p w:rsidR="006D1DAF" w:rsidRPr="001661EC" w:rsidRDefault="006D1DAF" w:rsidP="006D1DAF">
      <w:pPr>
        <w:pStyle w:val="SingleTxtGA"/>
        <w:rPr>
          <w:rFonts w:hint="cs"/>
          <w:b/>
          <w:bCs/>
          <w:kern w:val="16"/>
          <w:rtl/>
        </w:rPr>
      </w:pPr>
      <w:r w:rsidRPr="001661EC">
        <w:rPr>
          <w:rFonts w:hint="cs"/>
          <w:b/>
          <w:bCs/>
          <w:kern w:val="16"/>
          <w:rtl/>
        </w:rPr>
        <w:tab/>
        <w:t>(ب)</w:t>
      </w:r>
      <w:r w:rsidRPr="001661EC">
        <w:rPr>
          <w:rFonts w:hint="cs"/>
          <w:b/>
          <w:bCs/>
          <w:kern w:val="16"/>
          <w:rtl/>
        </w:rPr>
        <w:tab/>
        <w:t>ضمان إجراء تحقيقات سريعة وفعالة ونزيهة في أفعال العنف الممارس ضد النساء، ومحاكمة الجناة ومعاقبتهم وفقاً لخطورة أفعالهم؛</w:t>
      </w:r>
    </w:p>
    <w:p w:rsidR="006D1DAF" w:rsidRPr="001661EC" w:rsidRDefault="006D1DAF" w:rsidP="006D1DAF">
      <w:pPr>
        <w:pStyle w:val="SingleTxtGA"/>
        <w:rPr>
          <w:rFonts w:hint="cs"/>
          <w:b/>
          <w:bCs/>
          <w:kern w:val="16"/>
          <w:rtl/>
        </w:rPr>
      </w:pPr>
      <w:r w:rsidRPr="001661EC">
        <w:rPr>
          <w:rFonts w:hint="cs"/>
          <w:b/>
          <w:bCs/>
          <w:kern w:val="16"/>
          <w:rtl/>
        </w:rPr>
        <w:tab/>
        <w:t>(ج)</w:t>
      </w:r>
      <w:r w:rsidRPr="001661EC">
        <w:rPr>
          <w:rFonts w:hint="cs"/>
          <w:b/>
          <w:bCs/>
          <w:kern w:val="16"/>
          <w:rtl/>
        </w:rPr>
        <w:tab/>
        <w:t>ضمان توفير الجبر الملائم للضحايا، بما في ذلك خدمات إعادة التأهيل البدني والنفسي، وتوفير سبل لإيوائهم ودعمهم في كافة أنحاء البلد؛</w:t>
      </w:r>
    </w:p>
    <w:p w:rsidR="006D1DAF" w:rsidRPr="001661EC" w:rsidRDefault="006D1DAF" w:rsidP="006D1DAF">
      <w:pPr>
        <w:pStyle w:val="SingleTxtGA"/>
        <w:rPr>
          <w:rFonts w:hint="cs"/>
          <w:b/>
          <w:bCs/>
          <w:kern w:val="16"/>
          <w:rtl/>
        </w:rPr>
      </w:pPr>
      <w:r w:rsidRPr="001661EC">
        <w:rPr>
          <w:rFonts w:hint="cs"/>
          <w:b/>
          <w:bCs/>
          <w:kern w:val="16"/>
          <w:rtl/>
        </w:rPr>
        <w:tab/>
        <w:t>(د)</w:t>
      </w:r>
      <w:r w:rsidRPr="001661EC">
        <w:rPr>
          <w:rFonts w:hint="cs"/>
          <w:b/>
          <w:bCs/>
          <w:kern w:val="16"/>
          <w:rtl/>
        </w:rPr>
        <w:tab/>
        <w:t>تنظيم حملات توعية واسعة النطاق لعامة الناس وتمديد وتعزيز برامج التدريب القائمة بحيث يكون جميع أفراد الشرطة، والقضاة، والمحامون، والعمال الاجتماعيون والعاملون في مجال الصحة على استعداد للتصدي لكافة حالات العنف الممارس ضد النساء على نحو فعال.</w:t>
      </w:r>
    </w:p>
    <w:p w:rsidR="006D1DAF" w:rsidRDefault="006D1DAF" w:rsidP="006D1DAF">
      <w:pPr>
        <w:pStyle w:val="H23GA"/>
        <w:rPr>
          <w:rFonts w:hint="cs"/>
          <w:kern w:val="16"/>
          <w:rtl/>
        </w:rPr>
      </w:pPr>
      <w:r>
        <w:rPr>
          <w:rFonts w:hint="cs"/>
          <w:kern w:val="16"/>
          <w:rtl/>
        </w:rPr>
        <w:tab/>
      </w:r>
      <w:r>
        <w:rPr>
          <w:rFonts w:hint="cs"/>
          <w:kern w:val="16"/>
          <w:rtl/>
        </w:rPr>
        <w:tab/>
        <w:t>المدافعون عن حقوق الإنسان</w:t>
      </w:r>
    </w:p>
    <w:p w:rsidR="006D1DAF" w:rsidRDefault="00457E3D" w:rsidP="00457E3D">
      <w:pPr>
        <w:pStyle w:val="SingleTxtGA"/>
        <w:rPr>
          <w:rFonts w:hint="cs"/>
          <w:kern w:val="16"/>
          <w:rtl/>
        </w:rPr>
      </w:pPr>
      <w:r>
        <w:rPr>
          <w:rFonts w:hint="cs"/>
          <w:kern w:val="16"/>
          <w:rtl/>
        </w:rPr>
        <w:t>(</w:t>
      </w:r>
      <w:r w:rsidR="006D1DAF">
        <w:rPr>
          <w:rFonts w:hint="cs"/>
          <w:kern w:val="16"/>
          <w:rtl/>
        </w:rPr>
        <w:t>14</w:t>
      </w:r>
      <w:r>
        <w:rPr>
          <w:rFonts w:hint="cs"/>
          <w:kern w:val="16"/>
          <w:rtl/>
        </w:rPr>
        <w:t>)</w:t>
      </w:r>
      <w:r w:rsidR="006D1DAF">
        <w:rPr>
          <w:rFonts w:hint="cs"/>
          <w:kern w:val="16"/>
          <w:rtl/>
        </w:rPr>
        <w:tab/>
        <w:t>لا يزال القلق يساور اللجنة إزاء استمرار ارتفاع حالات التهديد والاعتداء، بما في ذلك حالات القتل التي تستهدف المدافعين عن حقوق الإنسان، خاصة أولئك الذين يدافعون عن حقوق السكان الأصليين والذين تتناول أعمالهم قضايا تتعلق بالحق في الأرض وحقوق العمل والبيئة، وذلك بالرغم من التوصيات التي أصدرتها عدة هيئات معنية برصد حقوق الإنسان. وفي هذا الصدد، تحيط اللجنة علماً مع القلق بالتقرير الذي أفاد بمقتل 15 مدافعاً عن حقوق الإنسان ما بين كانون الثاني/يناير وتشرين الأول/أكتوبر 2012. وإن ما يقلقها أيضاً هو محدودية عدد الإدانات التي صدرت بصدد الجرائم المرتكبة ضد المدافعين عن حقوق الإنسان. وعلاوة على ذلك، تحيط اللجنة علماً مع القلق بالتقارير التي أفادت بالحملات التي تم شنها، بما في ذلك في وسائط الإعلام، لنزع المصداقية عن الأنشطة التي يضطلعون بها وباستخدام نظام العدالة الجنائية لاضطهادهم (المواد 2 و12 و13 و16).</w:t>
      </w:r>
    </w:p>
    <w:p w:rsidR="006D1DAF" w:rsidRPr="001661EC" w:rsidRDefault="006D1DAF" w:rsidP="00086AA1">
      <w:pPr>
        <w:pStyle w:val="SingleTxtGA"/>
        <w:spacing w:line="370" w:lineRule="exact"/>
        <w:rPr>
          <w:rFonts w:hint="cs"/>
          <w:b/>
          <w:bCs/>
          <w:kern w:val="16"/>
          <w:rtl/>
        </w:rPr>
      </w:pPr>
      <w:r w:rsidRPr="001661EC">
        <w:rPr>
          <w:rFonts w:hint="cs"/>
          <w:b/>
          <w:bCs/>
          <w:spacing w:val="-2"/>
          <w:kern w:val="16"/>
          <w:rtl/>
        </w:rPr>
        <w:tab/>
        <w:t>تحث اللجنة الدولة الطرف على الاعتراف علناً بالدور الأساسي الذي يضطلع به المدافعون عن حقوق الإنسان في مساعدتها على الوفاء بالتزاماتها بموجب الاتفاقية، وعلى اتخاذ الخطوات اللازمة لتيسير عملهم. وبالإشارة إلى توصيتها السابقة (الفقرة 12)،</w:t>
      </w:r>
      <w:r w:rsidRPr="001661EC">
        <w:rPr>
          <w:rFonts w:hint="cs"/>
          <w:b/>
          <w:bCs/>
          <w:kern w:val="16"/>
          <w:rtl/>
        </w:rPr>
        <w:t xml:space="preserve"> تحث اللجنة الدولة الطرف على القيام بما يلي:</w:t>
      </w:r>
    </w:p>
    <w:p w:rsidR="006D1DAF" w:rsidRPr="001661EC" w:rsidRDefault="006D1DAF" w:rsidP="00086AA1">
      <w:pPr>
        <w:pStyle w:val="SingleTxtGA"/>
        <w:spacing w:line="370" w:lineRule="exact"/>
        <w:rPr>
          <w:rFonts w:hint="cs"/>
          <w:b/>
          <w:bCs/>
          <w:kern w:val="16"/>
          <w:rtl/>
        </w:rPr>
      </w:pPr>
      <w:r w:rsidRPr="001661EC">
        <w:rPr>
          <w:rFonts w:hint="cs"/>
          <w:b/>
          <w:bCs/>
          <w:kern w:val="16"/>
          <w:rtl/>
        </w:rPr>
        <w:tab/>
        <w:t>(أ)</w:t>
      </w:r>
      <w:r w:rsidRPr="001661EC">
        <w:rPr>
          <w:rFonts w:hint="cs"/>
          <w:b/>
          <w:bCs/>
          <w:kern w:val="16"/>
          <w:rtl/>
        </w:rPr>
        <w:tab/>
        <w:t>مضاعفة جهودها لتأمين حماية المدافعين عن حقوق الإنسان وأمنهم وسلامتهم البدنية على نحو فعال في وجه التهديدات والاعتداءات التي يتعرضون لها نتيجة للأنشطة التي يضطلعون بها؛</w:t>
      </w:r>
    </w:p>
    <w:p w:rsidR="006D1DAF" w:rsidRPr="001661EC" w:rsidRDefault="006D1DAF" w:rsidP="00086AA1">
      <w:pPr>
        <w:pStyle w:val="SingleTxtGA"/>
        <w:spacing w:line="370" w:lineRule="exact"/>
        <w:rPr>
          <w:rFonts w:hint="cs"/>
          <w:b/>
          <w:bCs/>
          <w:kern w:val="16"/>
          <w:rtl/>
        </w:rPr>
      </w:pPr>
      <w:r w:rsidRPr="001661EC">
        <w:rPr>
          <w:rFonts w:hint="cs"/>
          <w:b/>
          <w:bCs/>
          <w:kern w:val="16"/>
          <w:rtl/>
        </w:rPr>
        <w:tab/>
        <w:t>(ب)</w:t>
      </w:r>
      <w:r w:rsidRPr="001661EC">
        <w:rPr>
          <w:rFonts w:hint="cs"/>
          <w:b/>
          <w:bCs/>
          <w:kern w:val="16"/>
          <w:rtl/>
        </w:rPr>
        <w:tab/>
        <w:t>ضمان التحقيق في جميع التهديدات والاعتداءات التي تستهدف المدافعين عن حقوق الإنسان بشكل سريع وشامل وفعال، وضمان محاكمة المسؤولين عنها ومعاقبتهم وفقاً لخطورة أفعالهم؛</w:t>
      </w:r>
    </w:p>
    <w:p w:rsidR="006D1DAF" w:rsidRPr="001661EC" w:rsidRDefault="006D1DAF" w:rsidP="00086AA1">
      <w:pPr>
        <w:pStyle w:val="SingleTxtGA"/>
        <w:spacing w:line="370" w:lineRule="exact"/>
        <w:rPr>
          <w:rFonts w:hint="cs"/>
          <w:b/>
          <w:bCs/>
          <w:kern w:val="16"/>
          <w:rtl/>
        </w:rPr>
      </w:pPr>
      <w:r w:rsidRPr="001661EC">
        <w:rPr>
          <w:rFonts w:hint="cs"/>
          <w:b/>
          <w:bCs/>
          <w:kern w:val="16"/>
          <w:rtl/>
        </w:rPr>
        <w:tab/>
        <w:t>(</w:t>
      </w:r>
      <w:r>
        <w:rPr>
          <w:rFonts w:hint="cs"/>
          <w:b/>
          <w:bCs/>
          <w:kern w:val="16"/>
          <w:rtl/>
        </w:rPr>
        <w:t>ج</w:t>
      </w:r>
      <w:r w:rsidRPr="001661EC">
        <w:rPr>
          <w:rFonts w:hint="cs"/>
          <w:b/>
          <w:bCs/>
          <w:kern w:val="16"/>
          <w:rtl/>
        </w:rPr>
        <w:t>)</w:t>
      </w:r>
      <w:r w:rsidRPr="001661EC">
        <w:rPr>
          <w:rFonts w:hint="cs"/>
          <w:b/>
          <w:bCs/>
          <w:kern w:val="16"/>
          <w:rtl/>
        </w:rPr>
        <w:tab/>
        <w:t>ضمان استمرار وجود الوحدة لدراسة الاعتداءات التي تستهدف المدافعين عن حقوق الإنسان.</w:t>
      </w:r>
    </w:p>
    <w:p w:rsidR="006D1DAF" w:rsidRPr="001661EC" w:rsidRDefault="006D1DAF" w:rsidP="00086AA1">
      <w:pPr>
        <w:pStyle w:val="H23GA"/>
        <w:spacing w:line="370" w:lineRule="exact"/>
        <w:rPr>
          <w:rFonts w:hint="cs"/>
          <w:kern w:val="16"/>
          <w:rtl/>
        </w:rPr>
      </w:pPr>
      <w:r>
        <w:rPr>
          <w:rFonts w:hint="cs"/>
          <w:kern w:val="16"/>
          <w:rtl/>
        </w:rPr>
        <w:tab/>
      </w:r>
      <w:r>
        <w:rPr>
          <w:rFonts w:hint="cs"/>
          <w:kern w:val="16"/>
          <w:rtl/>
        </w:rPr>
        <w:tab/>
      </w:r>
      <w:r w:rsidRPr="001661EC">
        <w:rPr>
          <w:rFonts w:hint="cs"/>
          <w:kern w:val="16"/>
          <w:rtl/>
        </w:rPr>
        <w:t>حالات القتل العنيف والغوغائي</w:t>
      </w:r>
    </w:p>
    <w:p w:rsidR="006D1DAF" w:rsidRDefault="00457E3D" w:rsidP="00086AA1">
      <w:pPr>
        <w:pStyle w:val="SingleTxtGA"/>
        <w:spacing w:line="370" w:lineRule="exact"/>
        <w:rPr>
          <w:rFonts w:hint="cs"/>
          <w:kern w:val="16"/>
          <w:rtl/>
        </w:rPr>
      </w:pPr>
      <w:r>
        <w:rPr>
          <w:rFonts w:hint="cs"/>
          <w:kern w:val="16"/>
          <w:rtl/>
        </w:rPr>
        <w:t>(</w:t>
      </w:r>
      <w:r w:rsidR="006D1DAF">
        <w:rPr>
          <w:rFonts w:hint="cs"/>
          <w:kern w:val="16"/>
          <w:rtl/>
        </w:rPr>
        <w:t>15</w:t>
      </w:r>
      <w:r>
        <w:rPr>
          <w:rFonts w:hint="cs"/>
          <w:kern w:val="16"/>
          <w:rtl/>
        </w:rPr>
        <w:t>)</w:t>
      </w:r>
      <w:r w:rsidR="006D1DAF">
        <w:rPr>
          <w:rFonts w:hint="cs"/>
          <w:kern w:val="16"/>
          <w:rtl/>
        </w:rPr>
        <w:tab/>
        <w:t>تلاحظ اللجنة مع القلق استمرار مستويات العنف الممارس في الدولة الطرف، التي يبدو أن لها صلة كبيرة بالجريمة المنظمة، وذلك رغم التدابير المتخذة لخفضها. وتشعر بقلق خاص إزاء ضخامة عدد الوفيات الناتجة عن العنف، حيث يرتكب كثير منها ضد النساء والأطفال، واستمرار حالات القتل الغوغائي وتدني نسب حالات العنف التي يتم التحقيق فيها ومحاكمة مرتكبيها ومعاقبتهم حسبما أفادت به التقارير (المواد 2 و12 و13 و16).</w:t>
      </w:r>
    </w:p>
    <w:p w:rsidR="006D1DAF" w:rsidRPr="001661EC" w:rsidRDefault="006D1DAF" w:rsidP="00086AA1">
      <w:pPr>
        <w:pStyle w:val="SingleTxtGA"/>
        <w:spacing w:line="370" w:lineRule="exact"/>
        <w:rPr>
          <w:rFonts w:hint="cs"/>
          <w:b/>
          <w:bCs/>
          <w:kern w:val="16"/>
          <w:rtl/>
        </w:rPr>
      </w:pPr>
      <w:r>
        <w:rPr>
          <w:rFonts w:hint="cs"/>
          <w:b/>
          <w:bCs/>
          <w:kern w:val="16"/>
          <w:rtl/>
        </w:rPr>
        <w:tab/>
      </w:r>
      <w:r w:rsidRPr="001661EC">
        <w:rPr>
          <w:rFonts w:hint="cs"/>
          <w:b/>
          <w:bCs/>
          <w:kern w:val="16"/>
          <w:rtl/>
        </w:rPr>
        <w:t>تشير اللجنة إلى توصيتها السابقة (الفقرة 16)، وتحث الدولة الطرف على مضاعفة جهودها لمنع ومعاقبة جميع أفعال التعذيب أو غيره من ضروب المعاملة القاسية أو</w:t>
      </w:r>
      <w:r>
        <w:rPr>
          <w:rFonts w:hint="eastAsia"/>
          <w:b/>
          <w:bCs/>
          <w:kern w:val="16"/>
          <w:rtl/>
        </w:rPr>
        <w:t> </w:t>
      </w:r>
      <w:r w:rsidRPr="001661EC">
        <w:rPr>
          <w:rFonts w:hint="cs"/>
          <w:b/>
          <w:bCs/>
          <w:kern w:val="16"/>
          <w:rtl/>
        </w:rPr>
        <w:t>اللاإنسانية أو المهينة التي تصيب الأفراد الخاضعين لولايتها القضائية. وتوصي اللجنة الدولة الطرف بضمان إجراء تحقيقات سريعة وفعالة ونزيهة في جميع أفعال العنف، بما في ذلك حالات القتل والقتل الغوغائي، وبمحاكمة الجناة ومعاقبتهم، وتوفير الجبر الملائم للضحايا. كما توصي اللجنة الدولة الطرف بتكثيف الحملات التي تنظم في المدارس ووسائط الإعلام وغير ذلك من الأماكن للتوعية بحالات القتل الغوغائي.</w:t>
      </w:r>
    </w:p>
    <w:p w:rsidR="006D1DAF" w:rsidRDefault="006D1DAF" w:rsidP="006D1DAF">
      <w:pPr>
        <w:pStyle w:val="H23GA"/>
        <w:rPr>
          <w:rFonts w:hint="cs"/>
          <w:kern w:val="16"/>
          <w:rtl/>
        </w:rPr>
      </w:pPr>
      <w:r>
        <w:rPr>
          <w:rFonts w:hint="cs"/>
          <w:kern w:val="16"/>
          <w:rtl/>
        </w:rPr>
        <w:tab/>
      </w:r>
      <w:r>
        <w:rPr>
          <w:rFonts w:hint="cs"/>
          <w:kern w:val="16"/>
          <w:rtl/>
        </w:rPr>
        <w:tab/>
        <w:t>الأمن الداخلي</w:t>
      </w:r>
    </w:p>
    <w:p w:rsidR="006D1DAF" w:rsidRDefault="00457E3D" w:rsidP="00457E3D">
      <w:pPr>
        <w:pStyle w:val="SingleTxtGA"/>
        <w:rPr>
          <w:rFonts w:hint="cs"/>
          <w:kern w:val="16"/>
          <w:rtl/>
        </w:rPr>
      </w:pPr>
      <w:r>
        <w:rPr>
          <w:rFonts w:hint="cs"/>
          <w:kern w:val="16"/>
          <w:rtl/>
        </w:rPr>
        <w:t>(</w:t>
      </w:r>
      <w:r w:rsidR="006D1DAF">
        <w:rPr>
          <w:rFonts w:hint="cs"/>
          <w:kern w:val="16"/>
          <w:rtl/>
        </w:rPr>
        <w:t>16</w:t>
      </w:r>
      <w:r>
        <w:rPr>
          <w:rFonts w:hint="cs"/>
          <w:spacing w:val="-4"/>
          <w:kern w:val="16"/>
          <w:rtl/>
        </w:rPr>
        <w:t>)</w:t>
      </w:r>
      <w:r w:rsidR="006D1DAF" w:rsidRPr="001661EC">
        <w:rPr>
          <w:rFonts w:hint="cs"/>
          <w:spacing w:val="-4"/>
          <w:kern w:val="16"/>
          <w:rtl/>
        </w:rPr>
        <w:tab/>
        <w:t>تلاحظ اللجنة مع القلق أنه بالرغم من توصيتها السابقة وما بذلته الدولة الطرف من جهود لتعزيز الشرطة المدنية الوطنية، لا تزال هذه الهيئة تفتقر إلى الموارد الكافية لأداء مهامها بفعالية. وتشعر اللجنة بالقلق أيضاً إزاء التقارير التي أفادت بتزايد دور الجيش في مهام الأمن المدني، بل واستدعائه في منازعات اجتماعية لها صلة مثلاً بشكاوى جماعات من</w:t>
      </w:r>
      <w:r w:rsidR="00C4543B">
        <w:rPr>
          <w:rFonts w:hint="cs"/>
          <w:spacing w:val="-4"/>
          <w:kern w:val="16"/>
          <w:rtl/>
        </w:rPr>
        <w:t xml:space="preserve"> السكان الأصليين وبأن تدخله قد </w:t>
      </w:r>
      <w:r w:rsidR="006D1DAF" w:rsidRPr="001661EC">
        <w:rPr>
          <w:rFonts w:hint="cs"/>
          <w:spacing w:val="-4"/>
          <w:kern w:val="16"/>
          <w:rtl/>
        </w:rPr>
        <w:t>أسفر في بعض الحالات عن إحداث حالات وفاة أو إصابات. وفي هذا الصدد، تشجب اللجنة الأحداث التي وقعت في توتونيكبان في تشرين الأول/أكتوبر 2012</w:t>
      </w:r>
      <w:r w:rsidR="006D1DAF">
        <w:rPr>
          <w:rFonts w:hint="cs"/>
          <w:kern w:val="16"/>
          <w:rtl/>
        </w:rPr>
        <w:t xml:space="preserve"> عندما أطلق جنود النار على مجموعة من المتظاهرين من السكان الأصليين ممن كانوا قد سدوا طريقاً، وقتلوا ستة منهم وأصابوا أكثر من 30 بجروح، وتعرب عن الأمل في إحراز تقدم لتعيين المسؤولين عن هذه الأفعال ومحاكمتهم. وتحيط اللجنة علماً ببيان الوفد الذي أفاد باستمرار التعاون بين الجيش والشرطة المدنية الوطنية إلى أن يكون لديها العدد الكافي من الموظفين. وتشعر اللجنة أيضاً بالقلق إزاء تزايد عدد موظفي الأمن الخاص الذين يتجاوز عددهم عدد موظفي الشرطة المدنية الوطنية، حسب ما أفادت به التقارير (المادة 2).</w:t>
      </w:r>
    </w:p>
    <w:p w:rsidR="006D1DAF" w:rsidRPr="001661EC" w:rsidRDefault="006D1DAF" w:rsidP="006D1DAF">
      <w:pPr>
        <w:pStyle w:val="SingleTxtGA"/>
        <w:rPr>
          <w:rFonts w:hint="cs"/>
          <w:b/>
          <w:bCs/>
          <w:kern w:val="16"/>
          <w:rtl/>
        </w:rPr>
      </w:pPr>
      <w:r>
        <w:rPr>
          <w:rFonts w:hint="cs"/>
          <w:b/>
          <w:bCs/>
          <w:kern w:val="16"/>
          <w:rtl/>
        </w:rPr>
        <w:tab/>
      </w:r>
      <w:r w:rsidRPr="001661EC">
        <w:rPr>
          <w:rFonts w:hint="cs"/>
          <w:b/>
          <w:bCs/>
          <w:kern w:val="16"/>
          <w:rtl/>
        </w:rPr>
        <w:t>إن اللجنة:</w:t>
      </w:r>
    </w:p>
    <w:p w:rsidR="006D1DAF" w:rsidRPr="001661EC" w:rsidRDefault="006D1DAF" w:rsidP="006D1DAF">
      <w:pPr>
        <w:pStyle w:val="SingleTxtGA"/>
        <w:rPr>
          <w:rFonts w:hint="cs"/>
          <w:b/>
          <w:bCs/>
          <w:kern w:val="16"/>
          <w:rtl/>
        </w:rPr>
      </w:pPr>
      <w:r w:rsidRPr="001661EC">
        <w:rPr>
          <w:rFonts w:hint="cs"/>
          <w:b/>
          <w:bCs/>
          <w:kern w:val="16"/>
          <w:rtl/>
        </w:rPr>
        <w:tab/>
        <w:t>(أ)</w:t>
      </w:r>
      <w:r w:rsidRPr="001661EC">
        <w:rPr>
          <w:rFonts w:hint="cs"/>
          <w:b/>
          <w:bCs/>
          <w:kern w:val="16"/>
          <w:rtl/>
        </w:rPr>
        <w:tab/>
        <w:t>إذ تشير إلى توصيتها السابقة (الفقرة 11)، فإنها تحث الدولة الطرف على مضاعفة جهودها لتعزيز الشرطة المدنية الوطنية في أقرب وقت ممكن، لا سيما بتخصيص موارد بشرية ومالية كافية لها لإنهاء تدخل الجيش على نحو سريع في أنشطة الأمن العام؛ وضمان عدم وجود أية أحكام قانونية بعد ذلك تجيز للجيش الاشتراك في أنشطة إنفاذ القوانين أو منع ارتكاب الجرائم، وهي أنشطة يجب أن تضطلع بها حصرا</w:t>
      </w:r>
      <w:r>
        <w:rPr>
          <w:rFonts w:hint="cs"/>
          <w:b/>
          <w:bCs/>
          <w:kern w:val="16"/>
          <w:rtl/>
        </w:rPr>
        <w:t>ً</w:t>
      </w:r>
      <w:r w:rsidRPr="001661EC">
        <w:rPr>
          <w:rFonts w:hint="cs"/>
          <w:b/>
          <w:bCs/>
          <w:kern w:val="16"/>
          <w:rtl/>
        </w:rPr>
        <w:t xml:space="preserve"> الشرطة المدنية الوطنية؛</w:t>
      </w:r>
    </w:p>
    <w:p w:rsidR="006D1DAF" w:rsidRPr="001661EC" w:rsidRDefault="006D1DAF" w:rsidP="006D1DAF">
      <w:pPr>
        <w:pStyle w:val="SingleTxtGA"/>
        <w:rPr>
          <w:rFonts w:hint="cs"/>
          <w:b/>
          <w:bCs/>
          <w:kern w:val="16"/>
          <w:rtl/>
        </w:rPr>
      </w:pPr>
      <w:r w:rsidRPr="001661EC">
        <w:rPr>
          <w:rFonts w:hint="cs"/>
          <w:b/>
          <w:bCs/>
          <w:kern w:val="16"/>
          <w:rtl/>
        </w:rPr>
        <w:tab/>
        <w:t>(ب)</w:t>
      </w:r>
      <w:r w:rsidRPr="001661EC">
        <w:rPr>
          <w:rFonts w:hint="cs"/>
          <w:b/>
          <w:bCs/>
          <w:kern w:val="16"/>
          <w:rtl/>
        </w:rPr>
        <w:tab/>
        <w:t xml:space="preserve">توصي الدولة الطرف بضمان تسجيل جميع شركات الأمن الخاص على نحو ما يقضي القانون بذلك ورصد أنشطتها بشكل ملائم وإخضاعها </w:t>
      </w:r>
      <w:r>
        <w:rPr>
          <w:rFonts w:hint="cs"/>
          <w:b/>
          <w:bCs/>
          <w:kern w:val="16"/>
          <w:rtl/>
        </w:rPr>
        <w:t>للمساءلة</w:t>
      </w:r>
      <w:r w:rsidRPr="001661EC">
        <w:rPr>
          <w:rFonts w:hint="cs"/>
          <w:b/>
          <w:bCs/>
          <w:kern w:val="16"/>
          <w:rtl/>
        </w:rPr>
        <w:t>؛</w:t>
      </w:r>
    </w:p>
    <w:p w:rsidR="006D1DAF" w:rsidRPr="001661EC" w:rsidRDefault="006D1DAF" w:rsidP="006D1DAF">
      <w:pPr>
        <w:pStyle w:val="SingleTxtGA"/>
        <w:rPr>
          <w:rFonts w:hint="cs"/>
          <w:b/>
          <w:bCs/>
          <w:kern w:val="16"/>
          <w:rtl/>
        </w:rPr>
      </w:pPr>
      <w:r w:rsidRPr="001661EC">
        <w:rPr>
          <w:rFonts w:hint="cs"/>
          <w:b/>
          <w:bCs/>
          <w:kern w:val="16"/>
          <w:rtl/>
        </w:rPr>
        <w:tab/>
        <w:t>(ج)</w:t>
      </w:r>
      <w:r w:rsidRPr="001661EC">
        <w:rPr>
          <w:rFonts w:hint="cs"/>
          <w:b/>
          <w:bCs/>
          <w:kern w:val="16"/>
          <w:rtl/>
        </w:rPr>
        <w:tab/>
        <w:t>تحث الدولة الطرف على ضمان إجراء تحقيقات سريعة ومستقلة وفعالة في أية حالة من الحالات التي يتعدى أو ينتهك فيها الموظفون العموميون أو موظفو الأمن الخاص حقوق الإنسان؛ وعلى محاكمة الجناة ومعاقبتهم وفقاً لخطورة أفعالهم؛ وتوفير الجبر الملائم للضحايا، بما في ذلك الوسائل اللازمة لإعادة تأهيلهم بدنياً ونفسياً.</w:t>
      </w:r>
    </w:p>
    <w:p w:rsidR="006D1DAF" w:rsidRDefault="006D1DAF" w:rsidP="006D1DAF">
      <w:pPr>
        <w:pStyle w:val="H23GA"/>
        <w:rPr>
          <w:rFonts w:hint="cs"/>
          <w:kern w:val="16"/>
          <w:rtl/>
        </w:rPr>
      </w:pPr>
      <w:r>
        <w:rPr>
          <w:rFonts w:hint="cs"/>
          <w:kern w:val="16"/>
          <w:rtl/>
        </w:rPr>
        <w:tab/>
      </w:r>
      <w:r>
        <w:rPr>
          <w:rFonts w:hint="cs"/>
          <w:kern w:val="16"/>
          <w:rtl/>
        </w:rPr>
        <w:tab/>
        <w:t>الاحتجاز رهن المحاكمة</w:t>
      </w:r>
    </w:p>
    <w:p w:rsidR="006D1DAF" w:rsidRDefault="00457E3D" w:rsidP="00457E3D">
      <w:pPr>
        <w:pStyle w:val="SingleTxtGA"/>
        <w:rPr>
          <w:rFonts w:hint="cs"/>
          <w:kern w:val="16"/>
          <w:rtl/>
        </w:rPr>
      </w:pPr>
      <w:r>
        <w:rPr>
          <w:rFonts w:hint="cs"/>
          <w:kern w:val="16"/>
          <w:rtl/>
        </w:rPr>
        <w:t>(</w:t>
      </w:r>
      <w:r w:rsidR="006D1DAF">
        <w:rPr>
          <w:rFonts w:hint="cs"/>
          <w:kern w:val="16"/>
          <w:rtl/>
        </w:rPr>
        <w:t>17</w:t>
      </w:r>
      <w:r>
        <w:rPr>
          <w:rFonts w:hint="cs"/>
          <w:kern w:val="16"/>
          <w:rtl/>
        </w:rPr>
        <w:t>)</w:t>
      </w:r>
      <w:r w:rsidR="006D1DAF" w:rsidRPr="001661EC">
        <w:rPr>
          <w:rFonts w:hint="cs"/>
          <w:kern w:val="16"/>
          <w:rtl/>
        </w:rPr>
        <w:tab/>
        <w:t xml:space="preserve">لا تزال اللجنة تشعر بالقلق إزاء ضخامة عدد المحتجزين رهن المحاكمة </w:t>
      </w:r>
      <w:r w:rsidR="006D1DAF">
        <w:rPr>
          <w:rFonts w:hint="cs"/>
          <w:kern w:val="16"/>
          <w:rtl/>
        </w:rPr>
        <w:t>-</w:t>
      </w:r>
      <w:r w:rsidR="006D1DAF" w:rsidRPr="001661EC">
        <w:rPr>
          <w:rFonts w:hint="cs"/>
          <w:kern w:val="16"/>
          <w:rtl/>
        </w:rPr>
        <w:t xml:space="preserve"> يزعم أن</w:t>
      </w:r>
      <w:r w:rsidR="00C4543B">
        <w:rPr>
          <w:rFonts w:hint="cs"/>
          <w:kern w:val="16"/>
          <w:rtl/>
        </w:rPr>
        <w:t xml:space="preserve">هم يمثلون 51 في المائة من جميع </w:t>
      </w:r>
      <w:r w:rsidR="006D1DAF" w:rsidRPr="001661EC">
        <w:rPr>
          <w:rFonts w:hint="cs"/>
          <w:kern w:val="16"/>
          <w:rtl/>
        </w:rPr>
        <w:t xml:space="preserve">الأشخاص المحرومين من الحرية </w:t>
      </w:r>
      <w:r w:rsidR="006D1DAF">
        <w:rPr>
          <w:rFonts w:hint="cs"/>
          <w:kern w:val="16"/>
          <w:rtl/>
        </w:rPr>
        <w:t>-</w:t>
      </w:r>
      <w:r w:rsidR="006D1DAF" w:rsidRPr="001661EC">
        <w:rPr>
          <w:rFonts w:hint="cs"/>
          <w:kern w:val="16"/>
          <w:rtl/>
        </w:rPr>
        <w:t xml:space="preserve"> وهو ما يسهم في اكتظاظ السجون. وتحيط اللجنة علماً بالمعلومات التي قدمها الوفد أثناء الحوار ومفادها أنه يجري الآن النظر في قضية الاحتجاز رهن المحاكمة واللجوء إلى وسائل بديلة للحرمان من الحرية (المواد</w:t>
      </w:r>
      <w:r>
        <w:rPr>
          <w:rFonts w:hint="eastAsia"/>
          <w:kern w:val="16"/>
          <w:rtl/>
        </w:rPr>
        <w:t> </w:t>
      </w:r>
      <w:r w:rsidR="006D1DAF" w:rsidRPr="001661EC">
        <w:rPr>
          <w:rFonts w:hint="cs"/>
          <w:kern w:val="16"/>
          <w:rtl/>
        </w:rPr>
        <w:t>2 و11 و16).</w:t>
      </w:r>
    </w:p>
    <w:p w:rsidR="006D1DAF" w:rsidRPr="00086AA1" w:rsidRDefault="006D1DAF" w:rsidP="00086AA1">
      <w:pPr>
        <w:pStyle w:val="SingleTxtGA"/>
        <w:rPr>
          <w:rFonts w:ascii="Times New Roman Bold" w:hAnsi="Times New Roman Bold" w:hint="cs"/>
          <w:b/>
          <w:bCs/>
          <w:spacing w:val="-2"/>
          <w:rtl/>
        </w:rPr>
      </w:pPr>
      <w:r w:rsidRPr="00086AA1">
        <w:rPr>
          <w:rFonts w:ascii="Times New Roman Bold" w:hAnsi="Times New Roman Bold" w:hint="cs"/>
          <w:b/>
          <w:bCs/>
          <w:spacing w:val="-2"/>
          <w:rtl/>
        </w:rPr>
        <w:tab/>
        <w:t>وإذ تشير اللجنة إلى توصيتها السابقة (الفقرة 20)، فإنها تحث الدولة الطرف على ضمان اتخاذ الخطوات اللازمة للحد من اللجوء إلى الاحتجاز رهن المحاكمة وذلك باعتماد وسائل بديلة لعقوبة السجن، تمشياً مع قواعد الأمم المتحدة النموذجية الدنيا للتدابير غير الاحتجازية (قواعد طوكيو)، وقرار الجمعية العامة 45/110 المؤرخ</w:t>
      </w:r>
      <w:r w:rsidR="00086AA1">
        <w:rPr>
          <w:rFonts w:ascii="Times New Roman Bold" w:hAnsi="Times New Roman Bold" w:hint="cs"/>
          <w:b/>
          <w:bCs/>
          <w:spacing w:val="-2"/>
          <w:rtl/>
        </w:rPr>
        <w:t xml:space="preserve"> </w:t>
      </w:r>
      <w:r w:rsidRPr="00086AA1">
        <w:rPr>
          <w:rFonts w:ascii="Times New Roman Bold" w:hAnsi="Times New Roman Bold" w:hint="cs"/>
          <w:b/>
          <w:bCs/>
          <w:spacing w:val="-2"/>
          <w:rtl/>
        </w:rPr>
        <w:t>14 كانون الأول/</w:t>
      </w:r>
      <w:r w:rsidR="00086AA1">
        <w:rPr>
          <w:rFonts w:ascii="Times New Roman Bold" w:hAnsi="Times New Roman Bold" w:hint="cs"/>
          <w:b/>
          <w:bCs/>
          <w:spacing w:val="-2"/>
          <w:rtl/>
        </w:rPr>
        <w:t xml:space="preserve"> </w:t>
      </w:r>
      <w:r w:rsidRPr="00086AA1">
        <w:rPr>
          <w:rFonts w:ascii="Times New Roman Bold" w:hAnsi="Times New Roman Bold" w:hint="cs"/>
          <w:b/>
          <w:bCs/>
          <w:spacing w:val="-2"/>
          <w:rtl/>
        </w:rPr>
        <w:t>ديسمبر 1990، وضمان محاكمة الأشخاص الخاضعين لهذا النظام بشكل سريع ونزيه.</w:t>
      </w:r>
    </w:p>
    <w:p w:rsidR="006D1DAF" w:rsidRDefault="006D1DAF" w:rsidP="006D1DAF">
      <w:pPr>
        <w:pStyle w:val="H23GA"/>
        <w:rPr>
          <w:rFonts w:hint="cs"/>
          <w:kern w:val="16"/>
          <w:rtl/>
        </w:rPr>
      </w:pPr>
      <w:r>
        <w:rPr>
          <w:rFonts w:hint="cs"/>
          <w:kern w:val="16"/>
          <w:rtl/>
        </w:rPr>
        <w:tab/>
      </w:r>
      <w:r>
        <w:rPr>
          <w:rFonts w:hint="cs"/>
          <w:kern w:val="16"/>
          <w:rtl/>
        </w:rPr>
        <w:tab/>
        <w:t>ظروف الاحتجاز</w:t>
      </w:r>
    </w:p>
    <w:p w:rsidR="006D1DAF" w:rsidRDefault="00457E3D" w:rsidP="00457E3D">
      <w:pPr>
        <w:pStyle w:val="SingleTxtGA"/>
        <w:rPr>
          <w:rFonts w:hint="cs"/>
          <w:kern w:val="16"/>
          <w:rtl/>
        </w:rPr>
      </w:pPr>
      <w:r>
        <w:rPr>
          <w:rFonts w:hint="cs"/>
          <w:kern w:val="16"/>
          <w:rtl/>
        </w:rPr>
        <w:t>(</w:t>
      </w:r>
      <w:r w:rsidR="006D1DAF">
        <w:rPr>
          <w:rFonts w:hint="cs"/>
          <w:kern w:val="16"/>
          <w:rtl/>
        </w:rPr>
        <w:t>18</w:t>
      </w:r>
      <w:r>
        <w:rPr>
          <w:rFonts w:hint="cs"/>
          <w:kern w:val="16"/>
          <w:rtl/>
        </w:rPr>
        <w:t>)</w:t>
      </w:r>
      <w:r w:rsidR="006D1DAF" w:rsidRPr="001661EC">
        <w:rPr>
          <w:rFonts w:hint="cs"/>
          <w:rtl/>
        </w:rPr>
        <w:tab/>
      </w:r>
      <w:r w:rsidR="006D1DAF">
        <w:rPr>
          <w:rFonts w:hint="cs"/>
          <w:kern w:val="16"/>
          <w:rtl/>
        </w:rPr>
        <w:t>تشعر اللجنة بالقلق إزاء سوء ظروف مراكز الاحتجاز، بما في ذلك تلك المخصصة للنساء، وبالذات إزاء ارتفاع مستويات الاكتظاظ التي أفيد بأنها تتجاوز 200 في المائة. ويساورها القلق أيضاً إزاء التقارير التي تفيد بوقوع أحداث عنف فيما بين السجناء وتشير إلى مراكز الاحتجاز العديدة التي تخضع لسيطرة مجموعات منظمة من السجناء ممن</w:t>
      </w:r>
      <w:r w:rsidR="00C4543B">
        <w:rPr>
          <w:rFonts w:hint="cs"/>
          <w:kern w:val="16"/>
          <w:rtl/>
        </w:rPr>
        <w:t xml:space="preserve"> يزعم أنهم يجبرون سجناء آخرين، </w:t>
      </w:r>
      <w:r w:rsidR="006D1DAF">
        <w:rPr>
          <w:rFonts w:hint="cs"/>
          <w:kern w:val="16"/>
          <w:rtl/>
        </w:rPr>
        <w:t>بموافقة السلطات، على أن يدفعوا لهم أموالاً لعدم إيذائهم أو</w:t>
      </w:r>
      <w:r w:rsidR="006D1DAF">
        <w:rPr>
          <w:rFonts w:hint="eastAsia"/>
          <w:kern w:val="16"/>
          <w:rtl/>
        </w:rPr>
        <w:t> </w:t>
      </w:r>
      <w:r w:rsidR="006D1DAF">
        <w:rPr>
          <w:rFonts w:hint="cs"/>
          <w:kern w:val="16"/>
          <w:rtl/>
        </w:rPr>
        <w:t xml:space="preserve">لتجنيبهم أداء وظائف بعينها، وهذه ممارسة تعرف باسم </w:t>
      </w:r>
      <w:r w:rsidR="006D1DAF" w:rsidRPr="00D70864">
        <w:rPr>
          <w:i/>
          <w:iCs/>
          <w:kern w:val="16"/>
        </w:rPr>
        <w:t>talacha</w:t>
      </w:r>
      <w:r w:rsidR="006D1DAF">
        <w:rPr>
          <w:rFonts w:hint="cs"/>
          <w:kern w:val="16"/>
          <w:rtl/>
        </w:rPr>
        <w:t>، وعلى الاعتداء على من عجز عن الدفع مما يفضي أحياناً إلى الوفاة. وفي هذا الصدد، تلاحظ اللجنة مع القلق وفاة كل من السيد فيكتور روخاس وإفرين بيريز في عام 2012 بعد ضربهم لعجزهم عن دفع اﻟ</w:t>
      </w:r>
      <w:r w:rsidR="006D1DAF">
        <w:rPr>
          <w:rFonts w:hint="eastAsia"/>
          <w:kern w:val="16"/>
          <w:rtl/>
        </w:rPr>
        <w:t> </w:t>
      </w:r>
      <w:r w:rsidR="006D1DAF">
        <w:rPr>
          <w:i/>
          <w:iCs/>
          <w:kern w:val="16"/>
        </w:rPr>
        <w:t>talacha</w:t>
      </w:r>
      <w:r w:rsidR="006D1DAF">
        <w:rPr>
          <w:rFonts w:hint="cs"/>
          <w:kern w:val="16"/>
          <w:rtl/>
        </w:rPr>
        <w:t>. وتحيط اللجنة علماً بما قدمه الوفد من معلومات مفادها أنه يجري اتخاذ خطوات لتحسين الأوضاع في السجون والتماس حل شامل لمشكلة الاكتظاظ (المواد 2 و11 و16).</w:t>
      </w:r>
    </w:p>
    <w:p w:rsidR="006D1DAF" w:rsidRPr="00457E3D" w:rsidRDefault="006D1DAF" w:rsidP="00457E3D">
      <w:pPr>
        <w:pStyle w:val="SingleTxtGA"/>
        <w:rPr>
          <w:rFonts w:hint="cs"/>
          <w:b/>
          <w:bCs/>
          <w:rtl/>
        </w:rPr>
      </w:pPr>
      <w:r w:rsidRPr="00457E3D">
        <w:rPr>
          <w:rFonts w:ascii="Times New Roman Bold" w:hAnsi="Times New Roman Bold" w:hint="cs"/>
          <w:b/>
          <w:bCs/>
          <w:spacing w:val="-2"/>
          <w:rtl/>
        </w:rPr>
        <w:tab/>
        <w:t xml:space="preserve">تحث اللجنة الدولة الطرف على التعجيل بالجهود التي تبذلها وعلى تكثيفها للحد من اكتظاظ السجون، لا سيما باللجوء إلى عقوبات بديلة لعقوبة السجن، بما يتمشى وقواعد طوكيو. وتوصي اللجنة أيضاً بوجوب امتثال الأوضاع السائدة في السجون للقواعد النموذجية الدنيا لمعاملة السجناء التي أقرها المجلس الاقتصادي والاجتماعي في قراره 663 جيم(د-24) المؤرخ 31 تموز/يوليه 1957 والقرار 2076(د-62) </w:t>
      </w:r>
      <w:r w:rsidRPr="00457E3D">
        <w:rPr>
          <w:rFonts w:ascii="Times New Roman Bold" w:hAnsi="Times New Roman Bold" w:hint="cs"/>
          <w:b/>
          <w:bCs/>
          <w:rtl/>
        </w:rPr>
        <w:t>المؤرخ</w:t>
      </w:r>
      <w:r w:rsidR="00457E3D" w:rsidRPr="00457E3D">
        <w:rPr>
          <w:rFonts w:ascii="Times New Roman Bold" w:hAnsi="Times New Roman Bold" w:hint="eastAsia"/>
          <w:b/>
          <w:bCs/>
          <w:rtl/>
        </w:rPr>
        <w:t> </w:t>
      </w:r>
      <w:r w:rsidRPr="00457E3D">
        <w:rPr>
          <w:rFonts w:ascii="Times New Roman Bold" w:hAnsi="Times New Roman Bold" w:hint="cs"/>
          <w:b/>
          <w:bCs/>
          <w:rtl/>
        </w:rPr>
        <w:t>13 أيار/مايو 1977، ولقواعد الأمم المتحدة لمعاملة النساء السجينات والتدابير</w:t>
      </w:r>
      <w:r w:rsidRPr="00457E3D">
        <w:rPr>
          <w:rFonts w:hint="cs"/>
          <w:b/>
          <w:bCs/>
          <w:rtl/>
        </w:rPr>
        <w:t xml:space="preserve"> غير الاحتجازية للمجرمات (قواعد بانكوك، المعتمدة بقرار من الجمعية العامة 65/229 المؤرخ 21 كانون الأول/ديسمبر 2010). كما توصي اللجنة الدولة الطرف بأن تكفل بسط سلطتها وتحمل مسؤوليتها لمعاملة السجناء في مراكز الاحتجاز معاملة إنسانية وأن تكثف جهودها للقضاء على ممارسة تحكم مجموعات منظمة من السجناء في هذه المراكز؛ وأن تضمن إجراء تحقيقات شاملة ونزيهة في جميع حالات العنف التي تقع في السجون، بما</w:t>
      </w:r>
      <w:r w:rsidR="00457E3D" w:rsidRPr="00457E3D">
        <w:rPr>
          <w:rFonts w:hint="eastAsia"/>
          <w:b/>
          <w:bCs/>
          <w:rtl/>
        </w:rPr>
        <w:t> </w:t>
      </w:r>
      <w:r w:rsidRPr="00457E3D">
        <w:rPr>
          <w:rFonts w:hint="cs"/>
          <w:b/>
          <w:bCs/>
          <w:rtl/>
        </w:rPr>
        <w:t>في ذلك التعذيب وسوء المعاملة، ومحاكمة الجناة ومعاقبتهم في حالة التثبت من إدانتهم وفقاً لخطورة أفعالهم؛ وأن تضمن سبل وصول المحتجزين إلى آلية التظلم المستقلة.</w:t>
      </w:r>
    </w:p>
    <w:p w:rsidR="006D1DAF" w:rsidRDefault="006D1DAF" w:rsidP="006D1DAF">
      <w:pPr>
        <w:pStyle w:val="H23GA"/>
        <w:rPr>
          <w:rFonts w:hint="cs"/>
          <w:kern w:val="16"/>
          <w:rtl/>
        </w:rPr>
      </w:pPr>
      <w:r>
        <w:rPr>
          <w:rFonts w:hint="cs"/>
          <w:kern w:val="16"/>
          <w:rtl/>
        </w:rPr>
        <w:tab/>
      </w:r>
      <w:r>
        <w:rPr>
          <w:rFonts w:hint="cs"/>
          <w:kern w:val="16"/>
          <w:rtl/>
        </w:rPr>
        <w:tab/>
        <w:t xml:space="preserve">مراكز الاحتجاز المخصصة للأحداث ومراكز الرعاية البديلة لهم </w:t>
      </w:r>
    </w:p>
    <w:p w:rsidR="006D1DAF" w:rsidRDefault="00457E3D" w:rsidP="00457E3D">
      <w:pPr>
        <w:pStyle w:val="SingleTxtGA"/>
        <w:rPr>
          <w:rFonts w:hint="cs"/>
          <w:kern w:val="16"/>
          <w:rtl/>
        </w:rPr>
      </w:pPr>
      <w:r>
        <w:rPr>
          <w:rFonts w:hint="cs"/>
          <w:kern w:val="16"/>
          <w:rtl/>
        </w:rPr>
        <w:t>(</w:t>
      </w:r>
      <w:r w:rsidR="006D1DAF">
        <w:rPr>
          <w:rFonts w:hint="cs"/>
          <w:kern w:val="16"/>
          <w:rtl/>
        </w:rPr>
        <w:t>19</w:t>
      </w:r>
      <w:r>
        <w:rPr>
          <w:rFonts w:hint="cs"/>
          <w:kern w:val="16"/>
          <w:rtl/>
        </w:rPr>
        <w:t>)</w:t>
      </w:r>
      <w:r w:rsidR="006D1DAF" w:rsidRPr="0056538D">
        <w:rPr>
          <w:rFonts w:hint="cs"/>
          <w:rtl/>
        </w:rPr>
        <w:tab/>
      </w:r>
      <w:r w:rsidR="006D1DAF">
        <w:rPr>
          <w:rFonts w:hint="cs"/>
          <w:kern w:val="16"/>
          <w:rtl/>
        </w:rPr>
        <w:t>تلاحظ اللجنة مع القلق سوء أوضاع مراكز الاحتجاز المخصصة للأحداث، بما في ذلك اكتظاظها. وتلاحظ ببالغ القلق التقارير التي تفيد بسوء معاملة القصر المحتجزين، بما في ذلك معاقبتهم بدنياً وحبسهم لفترات طويلة. ويساورها القلق أيضاً إزاء التقارير التي تفيد بسوء معاملة القصر وقت دخولهم مراكز الرعاية البديلة العامة منها والخاصة على السواء (المواد 2 و11 و16).</w:t>
      </w:r>
    </w:p>
    <w:p w:rsidR="006D1DAF" w:rsidRPr="0056538D" w:rsidRDefault="006D1DAF" w:rsidP="00464673">
      <w:pPr>
        <w:pStyle w:val="SingleTxtGA"/>
        <w:rPr>
          <w:rFonts w:hint="cs"/>
          <w:b/>
          <w:bCs/>
          <w:kern w:val="16"/>
          <w:rtl/>
        </w:rPr>
      </w:pPr>
      <w:r>
        <w:rPr>
          <w:rFonts w:hint="cs"/>
          <w:b/>
          <w:bCs/>
          <w:kern w:val="16"/>
          <w:rtl/>
        </w:rPr>
        <w:tab/>
      </w:r>
      <w:r w:rsidRPr="0056538D">
        <w:rPr>
          <w:rFonts w:hint="cs"/>
          <w:b/>
          <w:bCs/>
          <w:kern w:val="16"/>
          <w:rtl/>
        </w:rPr>
        <w:t>توصي اللجنة الدولة الطرف بالقيام بما يلي:</w:t>
      </w:r>
    </w:p>
    <w:p w:rsidR="006D1DAF" w:rsidRPr="0056538D" w:rsidRDefault="006D1DAF" w:rsidP="00464673">
      <w:pPr>
        <w:pStyle w:val="SingleTxtGA"/>
        <w:spacing w:after="80"/>
        <w:rPr>
          <w:rFonts w:hint="cs"/>
          <w:b/>
          <w:bCs/>
          <w:kern w:val="16"/>
          <w:rtl/>
        </w:rPr>
      </w:pPr>
      <w:r w:rsidRPr="0056538D">
        <w:rPr>
          <w:rFonts w:hint="cs"/>
          <w:b/>
          <w:bCs/>
          <w:kern w:val="16"/>
          <w:rtl/>
        </w:rPr>
        <w:tab/>
        <w:t>(أ)</w:t>
      </w:r>
      <w:r w:rsidRPr="0056538D">
        <w:rPr>
          <w:rFonts w:hint="cs"/>
          <w:b/>
          <w:bCs/>
          <w:kern w:val="16"/>
          <w:rtl/>
        </w:rPr>
        <w:tab/>
        <w:t>ضمان عدم اللجوء إلى إجراء حرمان القصر من حريتهم إلا في المطاف الأخير على أن يكون ذلك لأقصر فترة ممكنة وعلى أن يعاد النظر فيه دوريا</w:t>
      </w:r>
      <w:r>
        <w:rPr>
          <w:rFonts w:hint="cs"/>
          <w:b/>
          <w:bCs/>
          <w:kern w:val="16"/>
          <w:rtl/>
        </w:rPr>
        <w:t>ً</w:t>
      </w:r>
      <w:r w:rsidRPr="0056538D">
        <w:rPr>
          <w:rFonts w:hint="cs"/>
          <w:b/>
          <w:bCs/>
          <w:kern w:val="16"/>
          <w:rtl/>
        </w:rPr>
        <w:t xml:space="preserve"> بغية إزالته؛</w:t>
      </w:r>
    </w:p>
    <w:p w:rsidR="006D1DAF" w:rsidRPr="0056538D" w:rsidRDefault="006D1DAF" w:rsidP="00464673">
      <w:pPr>
        <w:pStyle w:val="SingleTxtGA"/>
        <w:spacing w:after="80"/>
        <w:rPr>
          <w:rFonts w:hint="cs"/>
          <w:b/>
          <w:bCs/>
          <w:kern w:val="16"/>
          <w:rtl/>
        </w:rPr>
      </w:pPr>
      <w:r w:rsidRPr="0056538D">
        <w:rPr>
          <w:rFonts w:hint="cs"/>
          <w:b/>
          <w:bCs/>
          <w:kern w:val="16"/>
          <w:rtl/>
        </w:rPr>
        <w:tab/>
        <w:t>(ب)</w:t>
      </w:r>
      <w:r w:rsidRPr="0056538D">
        <w:rPr>
          <w:rFonts w:hint="cs"/>
          <w:b/>
          <w:bCs/>
          <w:kern w:val="16"/>
          <w:rtl/>
        </w:rPr>
        <w:tab/>
        <w:t>اتخاذ جميع الخطوات اللازمة لكي تتمشى مراكز الاحتجاز المخصصة للأحداث مع المعايير الدولية ذات الصلة، وبخاصة لتقليل الاكتظاظ وتجنب حبس السجناء لفترات طويلة فيها؛</w:t>
      </w:r>
    </w:p>
    <w:p w:rsidR="006D1DAF" w:rsidRPr="00457E3D" w:rsidRDefault="006D1DAF" w:rsidP="00464673">
      <w:pPr>
        <w:pStyle w:val="SingleTxtGA"/>
        <w:spacing w:after="80"/>
        <w:rPr>
          <w:rFonts w:ascii="Times New Roman Bold" w:hAnsi="Times New Roman Bold" w:hint="cs"/>
          <w:b/>
          <w:bCs/>
          <w:spacing w:val="-4"/>
          <w:rtl/>
        </w:rPr>
      </w:pPr>
      <w:r w:rsidRPr="00457E3D">
        <w:rPr>
          <w:rFonts w:ascii="Times New Roman Bold" w:hAnsi="Times New Roman Bold" w:hint="cs"/>
          <w:b/>
          <w:bCs/>
          <w:spacing w:val="-4"/>
          <w:rtl/>
        </w:rPr>
        <w:tab/>
        <w:t>(ج)</w:t>
      </w:r>
      <w:r w:rsidRPr="00457E3D">
        <w:rPr>
          <w:rFonts w:ascii="Times New Roman Bold" w:hAnsi="Times New Roman Bold" w:hint="cs"/>
          <w:b/>
          <w:bCs/>
          <w:spacing w:val="-4"/>
          <w:rtl/>
        </w:rPr>
        <w:tab/>
        <w:t>ضمان حصول القصر المحرومين من حريتهم وأولئك المودعين في مراكز الرعاية البديلة الخاصة أو العامة على التعليم وخدمات إعادة التأهيل وإعادة الإدماج الملائمة؛</w:t>
      </w:r>
    </w:p>
    <w:p w:rsidR="006D1DAF" w:rsidRPr="0056538D" w:rsidRDefault="006D1DAF" w:rsidP="00464673">
      <w:pPr>
        <w:pStyle w:val="SingleTxtGA"/>
        <w:spacing w:after="80"/>
        <w:rPr>
          <w:rFonts w:hint="cs"/>
          <w:b/>
          <w:bCs/>
          <w:kern w:val="16"/>
          <w:rtl/>
        </w:rPr>
      </w:pPr>
      <w:r>
        <w:rPr>
          <w:rFonts w:hint="cs"/>
          <w:b/>
          <w:bCs/>
          <w:kern w:val="16"/>
          <w:rtl/>
        </w:rPr>
        <w:tab/>
      </w:r>
      <w:r w:rsidRPr="0056538D">
        <w:rPr>
          <w:rFonts w:hint="cs"/>
          <w:b/>
          <w:bCs/>
          <w:kern w:val="16"/>
          <w:rtl/>
        </w:rPr>
        <w:t>(د)</w:t>
      </w:r>
      <w:r w:rsidRPr="0056538D">
        <w:rPr>
          <w:rFonts w:hint="cs"/>
          <w:b/>
          <w:bCs/>
          <w:kern w:val="16"/>
          <w:rtl/>
        </w:rPr>
        <w:tab/>
        <w:t>القيام دون تأخير باعتماد تدابير ملائمة لمنع ومعاقبة أي نوع من أنواع سوء معاملة القصر المحرومين من حريتهم أو أولئك المودعين في مراكز الرعاية البديلة؛</w:t>
      </w:r>
    </w:p>
    <w:p w:rsidR="006D1DAF" w:rsidRDefault="006D1DAF" w:rsidP="00464673">
      <w:pPr>
        <w:pStyle w:val="SingleTxtGA"/>
        <w:rPr>
          <w:rFonts w:hint="cs"/>
          <w:kern w:val="16"/>
          <w:rtl/>
        </w:rPr>
      </w:pPr>
      <w:r>
        <w:rPr>
          <w:rFonts w:hint="cs"/>
          <w:b/>
          <w:bCs/>
          <w:kern w:val="16"/>
          <w:rtl/>
        </w:rPr>
        <w:tab/>
      </w:r>
      <w:r w:rsidRPr="0056538D">
        <w:rPr>
          <w:rFonts w:hint="cs"/>
          <w:b/>
          <w:bCs/>
          <w:kern w:val="16"/>
          <w:rtl/>
        </w:rPr>
        <w:t>(</w:t>
      </w:r>
      <w:r w:rsidRPr="0056538D">
        <w:rPr>
          <w:rFonts w:hint="cs"/>
          <w:b/>
          <w:bCs/>
          <w:kern w:val="16"/>
          <w:sz w:val="30"/>
          <w:rtl/>
        </w:rPr>
        <w:t>ﻫ</w:t>
      </w:r>
      <w:r w:rsidRPr="0056538D">
        <w:rPr>
          <w:rFonts w:hint="cs"/>
          <w:b/>
          <w:bCs/>
          <w:kern w:val="16"/>
          <w:rtl/>
        </w:rPr>
        <w:t>)</w:t>
      </w:r>
      <w:r w:rsidRPr="0056538D">
        <w:rPr>
          <w:rFonts w:hint="cs"/>
          <w:b/>
          <w:bCs/>
          <w:kern w:val="16"/>
          <w:rtl/>
        </w:rPr>
        <w:tab/>
        <w:t>ضمان إجراء تحقيقات منتظمة ومفاجئة في جميع مراكز الاحتجاز ومراكز الرعاية البديلة المخصصة للقصر وضمان سبل وصول القصر إلى آليات التظلم المستقلة.</w:t>
      </w:r>
    </w:p>
    <w:p w:rsidR="006D1DAF" w:rsidRPr="00133346" w:rsidRDefault="006D1DAF" w:rsidP="00464673">
      <w:pPr>
        <w:pStyle w:val="H23GA"/>
        <w:rPr>
          <w:rFonts w:hint="cs"/>
          <w:kern w:val="16"/>
          <w:rtl/>
        </w:rPr>
      </w:pPr>
      <w:r>
        <w:rPr>
          <w:rFonts w:hint="cs"/>
          <w:kern w:val="16"/>
          <w:rtl/>
        </w:rPr>
        <w:tab/>
      </w:r>
      <w:r>
        <w:rPr>
          <w:rFonts w:hint="cs"/>
          <w:kern w:val="16"/>
          <w:rtl/>
        </w:rPr>
        <w:tab/>
        <w:t>مراكز خاصة لإعادة تأهيل مدمني المخدرات</w:t>
      </w:r>
    </w:p>
    <w:p w:rsidR="006D1DAF" w:rsidRDefault="00457E3D" w:rsidP="00464673">
      <w:pPr>
        <w:pStyle w:val="SingleTxtGA"/>
        <w:rPr>
          <w:rFonts w:hint="cs"/>
          <w:kern w:val="16"/>
          <w:rtl/>
        </w:rPr>
      </w:pPr>
      <w:r>
        <w:rPr>
          <w:rFonts w:hint="cs"/>
          <w:kern w:val="16"/>
          <w:rtl/>
        </w:rPr>
        <w:t>(</w:t>
      </w:r>
      <w:r w:rsidR="006D1DAF">
        <w:rPr>
          <w:rFonts w:hint="cs"/>
          <w:kern w:val="16"/>
          <w:rtl/>
        </w:rPr>
        <w:t>20</w:t>
      </w:r>
      <w:r>
        <w:rPr>
          <w:rFonts w:hint="cs"/>
          <w:kern w:val="16"/>
          <w:rtl/>
        </w:rPr>
        <w:t>)</w:t>
      </w:r>
      <w:r w:rsidR="006D1DAF">
        <w:rPr>
          <w:rFonts w:hint="cs"/>
          <w:kern w:val="16"/>
          <w:rtl/>
        </w:rPr>
        <w:tab/>
        <w:t>تشعر اللجنة بالقلق إزاء التقارير التي تفيد بسوء الأوضاع السائدة في المراكز الخاصة لإعادة تأهيل مدمني المخدرات وإزاء سوء معاملة الأشخاص الذين يدخلون هذه المراكز. وتلاحظ اللجنة مع الارتياح تعهد الدولة الطرف بإجراء التحقيقات ذات الصلة، على نحو ما</w:t>
      </w:r>
      <w:r w:rsidR="006D1DAF">
        <w:rPr>
          <w:rFonts w:hint="eastAsia"/>
          <w:kern w:val="16"/>
          <w:rtl/>
        </w:rPr>
        <w:t> </w:t>
      </w:r>
      <w:r w:rsidR="006D1DAF">
        <w:rPr>
          <w:rFonts w:hint="cs"/>
          <w:kern w:val="16"/>
          <w:rtl/>
        </w:rPr>
        <w:t>أشير إلى ذلك في المعلومات الإضافية المقدمة (المواد 2 و11 و12 و16).</w:t>
      </w:r>
    </w:p>
    <w:p w:rsidR="006D1DAF" w:rsidRPr="0056538D" w:rsidRDefault="006D1DAF" w:rsidP="00464673">
      <w:pPr>
        <w:pStyle w:val="SingleTxtGA"/>
        <w:rPr>
          <w:rFonts w:hint="cs"/>
          <w:b/>
          <w:bCs/>
          <w:kern w:val="16"/>
          <w:rtl/>
        </w:rPr>
      </w:pPr>
      <w:r>
        <w:rPr>
          <w:rFonts w:hint="cs"/>
          <w:b/>
          <w:bCs/>
          <w:kern w:val="16"/>
          <w:rtl/>
        </w:rPr>
        <w:tab/>
      </w:r>
      <w:r w:rsidRPr="0056538D">
        <w:rPr>
          <w:rFonts w:hint="cs"/>
          <w:b/>
          <w:bCs/>
          <w:kern w:val="16"/>
          <w:rtl/>
        </w:rPr>
        <w:t>تحث اللجنة الدولة الطرف على إجراء التحقيقات ذات الصلة دون تأخير وعلى اتخاذ ما قد يلزم من خطوات لمنع سوء المعاملة في المراكز الخاصة لإعادة تأهيل مدمني المخدرات والمعاقبة عليها. وتوصي اللجنة الدولة الطرف بإجراء مسح للمراكز القائمة في البلد وضمان اعتماد كل منها على النحو الواجب من جانب الهيئة المختصة وإخضاعها لبرنامج تفتيش منتظم. وتوصي اللجنة الدولة الطرف أيضاً بإجراء تحقيق سريع وشامل وفعال في جميع الشكاو</w:t>
      </w:r>
      <w:r>
        <w:rPr>
          <w:rFonts w:hint="cs"/>
          <w:b/>
          <w:bCs/>
          <w:kern w:val="16"/>
          <w:rtl/>
        </w:rPr>
        <w:t>ى</w:t>
      </w:r>
      <w:r w:rsidRPr="0056538D">
        <w:rPr>
          <w:rFonts w:hint="cs"/>
          <w:b/>
          <w:bCs/>
          <w:kern w:val="16"/>
          <w:rtl/>
        </w:rPr>
        <w:t xml:space="preserve"> المتعلقة بسوء المعاملة في هذه المراكز ومحاكمة المسؤولين ومعاقبتهم في حالة التثبت من الجرم بما </w:t>
      </w:r>
      <w:r>
        <w:rPr>
          <w:rFonts w:hint="cs"/>
          <w:b/>
          <w:bCs/>
          <w:kern w:val="16"/>
          <w:rtl/>
        </w:rPr>
        <w:t>يتماشى</w:t>
      </w:r>
      <w:r w:rsidRPr="0056538D">
        <w:rPr>
          <w:rFonts w:hint="cs"/>
          <w:b/>
          <w:bCs/>
          <w:kern w:val="16"/>
          <w:rtl/>
        </w:rPr>
        <w:t xml:space="preserve"> وخطورة أفعالهم.</w:t>
      </w:r>
    </w:p>
    <w:p w:rsidR="006D1DAF" w:rsidRDefault="006D1DAF" w:rsidP="00464673">
      <w:pPr>
        <w:pStyle w:val="H23GA"/>
        <w:rPr>
          <w:rFonts w:hint="cs"/>
          <w:kern w:val="16"/>
          <w:rtl/>
        </w:rPr>
      </w:pPr>
      <w:r>
        <w:rPr>
          <w:rFonts w:hint="cs"/>
          <w:kern w:val="16"/>
          <w:rtl/>
        </w:rPr>
        <w:tab/>
      </w:r>
      <w:r>
        <w:rPr>
          <w:rFonts w:hint="cs"/>
          <w:kern w:val="16"/>
          <w:rtl/>
        </w:rPr>
        <w:tab/>
        <w:t>مستشفى فيديريكو مورا الوطني للأمراض العقلية</w:t>
      </w:r>
    </w:p>
    <w:p w:rsidR="006D1DAF" w:rsidRPr="00457E3D" w:rsidRDefault="00457E3D" w:rsidP="00464673">
      <w:pPr>
        <w:pStyle w:val="SingleTxtGA"/>
        <w:spacing w:line="360" w:lineRule="exact"/>
        <w:rPr>
          <w:rFonts w:hint="cs"/>
          <w:spacing w:val="-2"/>
          <w:rtl/>
        </w:rPr>
      </w:pPr>
      <w:r>
        <w:rPr>
          <w:rFonts w:hint="cs"/>
          <w:kern w:val="16"/>
          <w:rtl/>
        </w:rPr>
        <w:t>(</w:t>
      </w:r>
      <w:r w:rsidR="006D1DAF">
        <w:rPr>
          <w:rFonts w:hint="cs"/>
          <w:kern w:val="16"/>
          <w:rtl/>
        </w:rPr>
        <w:t>21</w:t>
      </w:r>
      <w:r>
        <w:rPr>
          <w:rFonts w:hint="cs"/>
          <w:kern w:val="16"/>
          <w:rtl/>
        </w:rPr>
        <w:t>)</w:t>
      </w:r>
      <w:r w:rsidR="006D1DAF" w:rsidRPr="0056538D">
        <w:rPr>
          <w:rFonts w:hint="cs"/>
          <w:rtl/>
        </w:rPr>
        <w:tab/>
      </w:r>
      <w:r w:rsidR="006D1DAF">
        <w:rPr>
          <w:rFonts w:hint="cs"/>
          <w:kern w:val="16"/>
          <w:rtl/>
        </w:rPr>
        <w:t xml:space="preserve">تشعر اللجنة بالقلق إزاء سوء أوضاع مستشفى فيديريكو مورا الوطني للأمراض العقلية، بما يشمل عدم كفاية سبل الحصول على الخدمات الأساسية وعدم توافر العلاج الطبي الملائم. ويساورها القلق أيضاً إزاء التقارير التي تفيد بتقاسم الأشخاص الذين يعانون من إعاقات عقلية ممن حرموا من حريتهم ودخلوا هذا المستشفى أجنحة مع المرضى العاديين، </w:t>
      </w:r>
      <w:r w:rsidR="006D1DAF" w:rsidRPr="00457E3D">
        <w:rPr>
          <w:rFonts w:hint="cs"/>
          <w:spacing w:val="-2"/>
          <w:rtl/>
        </w:rPr>
        <w:t>وإزاء الاعتداء على الأشخاص الذين أدخلوا المستشفى من جانب مرضى آخرين أو من جانب أفراد الشرطة المعينين في المستشفى. وتحيط اللجنة علماً بما قدمه الوفد من معلومات مفادها أن التدابير الاحتياطية التي طلبت لجنة البلدان الأمريكية لحقوق الإنسان اتخاذها لصالح مرضى مستشفى فيديريكو مورا قد حملت الحكومة على معالجة قضايا الصحة العقلية ككل إلى جانب تنفيذ تدابير احتياطية. وتحيط علماً أيضاً ببيان الوفد الذي يفيد بأن المستشفى لا</w:t>
      </w:r>
      <w:r w:rsidR="006D1DAF" w:rsidRPr="00457E3D">
        <w:rPr>
          <w:rFonts w:hint="eastAsia"/>
          <w:spacing w:val="-2"/>
          <w:rtl/>
        </w:rPr>
        <w:t> </w:t>
      </w:r>
      <w:r w:rsidR="006D1DAF" w:rsidRPr="00457E3D">
        <w:rPr>
          <w:rFonts w:hint="cs"/>
          <w:spacing w:val="-2"/>
          <w:rtl/>
        </w:rPr>
        <w:t>تقبل أطفالاً، خلافاً لما أفادت به التقارير التي تلقتها اللجنة في هذا الصدد ( المواد 2 و11 و12 و16).</w:t>
      </w:r>
    </w:p>
    <w:p w:rsidR="006D1DAF" w:rsidRPr="001F7117" w:rsidRDefault="006D1DAF" w:rsidP="00086AA1">
      <w:pPr>
        <w:pStyle w:val="SingleTxtGA"/>
        <w:spacing w:line="360" w:lineRule="exact"/>
        <w:rPr>
          <w:rFonts w:hint="cs"/>
          <w:b/>
          <w:bCs/>
          <w:spacing w:val="-2"/>
          <w:kern w:val="16"/>
          <w:rtl/>
        </w:rPr>
      </w:pPr>
      <w:r w:rsidRPr="001F7117">
        <w:rPr>
          <w:rFonts w:hint="cs"/>
          <w:b/>
          <w:bCs/>
          <w:spacing w:val="-2"/>
          <w:kern w:val="16"/>
          <w:rtl/>
        </w:rPr>
        <w:tab/>
        <w:t xml:space="preserve">تشجع اللجنة الدولة الطرف على تكثيف جهودها للتصدي لقضية الصحة العقلية على نحو شامل. وعلاوة على ذلك، توصي اللجنة الدولة الطرف بضمان حصول من دخلوا مستشفى فيديريكو مورا الوطني للصحة العقلية على العلاج الملائم، وبشكل خاص على الرعاية الطبية المناسبة وبضمان التحقيق في الشكاوى المتعلقة بسوء معاملتهم </w:t>
      </w:r>
      <w:r w:rsidRPr="001F7117">
        <w:rPr>
          <w:rFonts w:ascii="Times New Roman Bold" w:hAnsi="Times New Roman Bold" w:hint="cs"/>
          <w:b/>
          <w:bCs/>
          <w:spacing w:val="-2"/>
          <w:rtl/>
        </w:rPr>
        <w:t>وإيذائهم على نحو سريع ونزيه ومحاكمة الجناة المزعومين ومعاقبتهم وفقاً لخطورة أفعالهم. وتحث اللجنة الدولة الطرف على ضمان عدم إيداع المرضي العاديين في نفس الأجنحة المخصصة للأشخاص المحرومين من حريتهم وعلى فصل الأشخاص المحتجزين رهن المحاكمة عن السجناء المدانين. كما تحث الدولة الطرف على ضمان عدم تواجد قصر في المستشفى وعلى فصل أي طفل يحتمل تواجده فيه عن البالغين. وتحث اللجنة الدولة</w:t>
      </w:r>
      <w:r w:rsidRPr="001F7117">
        <w:rPr>
          <w:rFonts w:hint="cs"/>
          <w:b/>
          <w:bCs/>
          <w:spacing w:val="-2"/>
          <w:kern w:val="16"/>
          <w:rtl/>
        </w:rPr>
        <w:t xml:space="preserve"> الطرف على اتخاذ تدابير فعالة لضمان الامتثال الكامل والسريع للتدابير الاحتياطية التي طلبت لجنة البلدان الأمريكية لحقوق الإنسان اتخاذها (</w:t>
      </w:r>
      <w:r w:rsidRPr="001F7117">
        <w:rPr>
          <w:b/>
          <w:bCs/>
          <w:spacing w:val="-2"/>
          <w:kern w:val="16"/>
        </w:rPr>
        <w:t>PM 370/12–334</w:t>
      </w:r>
      <w:r w:rsidRPr="001F7117">
        <w:rPr>
          <w:rFonts w:hint="cs"/>
          <w:b/>
          <w:bCs/>
          <w:spacing w:val="-2"/>
          <w:kern w:val="16"/>
          <w:rtl/>
        </w:rPr>
        <w:t xml:space="preserve"> مريضاً في مستشفى فيديريكو مورا).</w:t>
      </w:r>
    </w:p>
    <w:p w:rsidR="006D1DAF" w:rsidRDefault="006D1DAF" w:rsidP="00086AA1">
      <w:pPr>
        <w:pStyle w:val="H23GA"/>
        <w:spacing w:line="360" w:lineRule="exact"/>
        <w:rPr>
          <w:rFonts w:hint="cs"/>
          <w:kern w:val="16"/>
          <w:rtl/>
        </w:rPr>
      </w:pPr>
      <w:r>
        <w:rPr>
          <w:rFonts w:hint="cs"/>
          <w:kern w:val="16"/>
          <w:rtl/>
        </w:rPr>
        <w:tab/>
      </w:r>
      <w:r>
        <w:rPr>
          <w:rFonts w:hint="cs"/>
          <w:kern w:val="16"/>
          <w:rtl/>
        </w:rPr>
        <w:tab/>
        <w:t>جماعة السحاقيات والمثليين جنسياً ومزدوجي الميل الجنسي ومغايري الهوية الجنسية</w:t>
      </w:r>
    </w:p>
    <w:p w:rsidR="006D1DAF" w:rsidRDefault="006A241A" w:rsidP="00086AA1">
      <w:pPr>
        <w:pStyle w:val="SingleTxtGA"/>
        <w:spacing w:line="360" w:lineRule="exact"/>
        <w:rPr>
          <w:rFonts w:hint="cs"/>
          <w:kern w:val="16"/>
          <w:rtl/>
        </w:rPr>
      </w:pPr>
      <w:r>
        <w:rPr>
          <w:rFonts w:hint="cs"/>
          <w:kern w:val="16"/>
          <w:rtl/>
        </w:rPr>
        <w:t>(</w:t>
      </w:r>
      <w:r w:rsidR="006D1DAF">
        <w:rPr>
          <w:rFonts w:hint="cs"/>
          <w:kern w:val="16"/>
          <w:rtl/>
        </w:rPr>
        <w:t>22</w:t>
      </w:r>
      <w:r>
        <w:rPr>
          <w:rFonts w:hint="cs"/>
          <w:spacing w:val="-2"/>
          <w:kern w:val="16"/>
          <w:rtl/>
        </w:rPr>
        <w:t>)</w:t>
      </w:r>
      <w:r w:rsidR="006D1DAF" w:rsidRPr="0056538D">
        <w:rPr>
          <w:rFonts w:hint="cs"/>
          <w:spacing w:val="-2"/>
          <w:kern w:val="16"/>
          <w:rtl/>
        </w:rPr>
        <w:tab/>
        <w:t>تحيط اللجنة علماً ببيان وفد الدولة الطرف الذي يفيد بأنه يجري الآن معالجة المشكلة وتعرب مع ذلك عن قلقها إزاء التقارير التي تفيد بممارسة التمييز ضد السحاقيات والمثليين جنسياً ومزدوجي الميل الجنسي ومغايري الهوية الجنسية (المواد 2 و10 و12 و13 و16).</w:t>
      </w:r>
    </w:p>
    <w:p w:rsidR="006D1DAF" w:rsidRPr="0056538D" w:rsidRDefault="006D1DAF" w:rsidP="00086AA1">
      <w:pPr>
        <w:pStyle w:val="SingleTxtGA"/>
        <w:spacing w:line="360" w:lineRule="exact"/>
        <w:rPr>
          <w:rFonts w:hint="cs"/>
          <w:b/>
          <w:bCs/>
          <w:kern w:val="16"/>
          <w:rtl/>
        </w:rPr>
      </w:pPr>
      <w:r>
        <w:rPr>
          <w:rFonts w:hint="cs"/>
          <w:b/>
          <w:bCs/>
          <w:kern w:val="16"/>
          <w:rtl/>
        </w:rPr>
        <w:tab/>
      </w:r>
      <w:r w:rsidRPr="0056538D">
        <w:rPr>
          <w:rFonts w:hint="cs"/>
          <w:b/>
          <w:bCs/>
          <w:kern w:val="16"/>
          <w:rtl/>
        </w:rPr>
        <w:t>توصي اللجنة الدولة الطرف باعتماد تدابير فعالة لحماية السحاقيات والمثليين جنسياً ومزدوجي الميل الجنسي ومغايري الهوية الجنسية من ممارسة أي تمييز أو اعتداء عليهم، وبالتحقيق في جميع حالات العنف على نحو سريع وفعال ونزيه وإجراء محاكمات بشأنها والمعاقبة عليها، وتوفير الجبر الملائم للضحايا. وتحيل اللجنة الدولة الطرف إلى الفرع خامساً المعنون "حماية الضعفاء من الأفراد والجماعات بفعل التمييز والتهميش</w:t>
      </w:r>
      <w:r>
        <w:rPr>
          <w:rFonts w:hint="cs"/>
          <w:b/>
          <w:bCs/>
          <w:kern w:val="16"/>
          <w:rtl/>
        </w:rPr>
        <w:t>"</w:t>
      </w:r>
      <w:r w:rsidRPr="0056538D">
        <w:rPr>
          <w:rFonts w:hint="cs"/>
          <w:b/>
          <w:bCs/>
          <w:kern w:val="16"/>
          <w:rtl/>
        </w:rPr>
        <w:t>، من تعليقها العام رقم 2(2007).</w:t>
      </w:r>
    </w:p>
    <w:p w:rsidR="006D1DAF" w:rsidRDefault="006D1DAF" w:rsidP="00086AA1">
      <w:pPr>
        <w:pStyle w:val="H23GA"/>
        <w:spacing w:line="360" w:lineRule="exact"/>
        <w:rPr>
          <w:rFonts w:hint="cs"/>
          <w:kern w:val="16"/>
          <w:rtl/>
        </w:rPr>
      </w:pPr>
      <w:r>
        <w:rPr>
          <w:rFonts w:hint="cs"/>
          <w:kern w:val="16"/>
          <w:rtl/>
        </w:rPr>
        <w:tab/>
      </w:r>
      <w:r>
        <w:rPr>
          <w:rFonts w:hint="cs"/>
          <w:kern w:val="16"/>
          <w:rtl/>
        </w:rPr>
        <w:tab/>
        <w:t>الآلية الوقائية الوطنية</w:t>
      </w:r>
    </w:p>
    <w:p w:rsidR="006D1DAF" w:rsidRPr="00086AA1" w:rsidRDefault="006A241A" w:rsidP="00086AA1">
      <w:pPr>
        <w:pStyle w:val="SingleTxtGA"/>
        <w:spacing w:line="360" w:lineRule="exact"/>
        <w:rPr>
          <w:rFonts w:hint="cs"/>
          <w:rtl/>
        </w:rPr>
      </w:pPr>
      <w:r w:rsidRPr="00086AA1">
        <w:rPr>
          <w:rFonts w:hint="cs"/>
          <w:rtl/>
        </w:rPr>
        <w:t>(</w:t>
      </w:r>
      <w:r w:rsidR="006D1DAF" w:rsidRPr="00086AA1">
        <w:rPr>
          <w:rFonts w:hint="cs"/>
          <w:rtl/>
        </w:rPr>
        <w:t>23</w:t>
      </w:r>
      <w:r w:rsidRPr="00086AA1">
        <w:rPr>
          <w:rFonts w:hint="cs"/>
          <w:rtl/>
        </w:rPr>
        <w:t>)</w:t>
      </w:r>
      <w:r w:rsidR="006D1DAF" w:rsidRPr="00086AA1">
        <w:rPr>
          <w:rFonts w:hint="cs"/>
          <w:rtl/>
        </w:rPr>
        <w:tab/>
        <w:t>ترحب اللجنة باعتماد مرسوم القانون التشريعي رقم 40-2010 في تشرين الأول/</w:t>
      </w:r>
      <w:r w:rsidR="00086AA1" w:rsidRPr="00086AA1">
        <w:rPr>
          <w:rFonts w:hint="cs"/>
          <w:rtl/>
        </w:rPr>
        <w:t xml:space="preserve"> </w:t>
      </w:r>
      <w:r w:rsidR="006D1DAF" w:rsidRPr="00086AA1">
        <w:rPr>
          <w:rFonts w:hint="cs"/>
          <w:rtl/>
        </w:rPr>
        <w:t>أكتوبر 2010 الذي تم بموجبه إنشاء الآلية الوطنية لمنع التعذيب وغيره من ضروب المعاملة أو</w:t>
      </w:r>
      <w:r w:rsidR="00086AA1" w:rsidRPr="00086AA1">
        <w:rPr>
          <w:rFonts w:hint="eastAsia"/>
          <w:rtl/>
        </w:rPr>
        <w:t> </w:t>
      </w:r>
      <w:r w:rsidR="006D1DAF" w:rsidRPr="00086AA1">
        <w:rPr>
          <w:rFonts w:hint="cs"/>
          <w:rtl/>
        </w:rPr>
        <w:t xml:space="preserve">العقوبة القاسية أو اللاإنسانية أو المهينة. وتلاحظ مع ذلك بقلق أنه لم يتم تفعليها بعد (المادة 2). </w:t>
      </w:r>
    </w:p>
    <w:p w:rsidR="006D1DAF" w:rsidRPr="0056538D" w:rsidRDefault="006D1DAF" w:rsidP="006D1DAF">
      <w:pPr>
        <w:pStyle w:val="SingleTxtGA"/>
        <w:rPr>
          <w:rFonts w:hint="cs"/>
          <w:b/>
          <w:bCs/>
          <w:kern w:val="16"/>
          <w:rtl/>
        </w:rPr>
      </w:pPr>
      <w:r>
        <w:rPr>
          <w:rFonts w:hint="cs"/>
          <w:b/>
          <w:bCs/>
          <w:kern w:val="16"/>
          <w:rtl/>
        </w:rPr>
        <w:tab/>
      </w:r>
      <w:r w:rsidRPr="0056538D">
        <w:rPr>
          <w:rFonts w:hint="cs"/>
          <w:b/>
          <w:bCs/>
          <w:kern w:val="16"/>
          <w:rtl/>
        </w:rPr>
        <w:t xml:space="preserve">ينبغي للدولة الطرف التعجيل بإنفاذ القانون الذي تم بموجبه إنشاء اللجنة الوقائية الوطنية وذلك بالقيام على وجه السرعة بتعيين أعضائها وضمان امتثال هذه التعيينات بالكامل للأحكام ذات الصلة المنصوص عليها في البروتوكول الاختياري الملحق بالاتفاقية. وعلى الدولة الطرف أيضاً أن تكفل تزويد الآلية بالموارد اللازمة للاضطلاع بولايتها على نحو مستقل وفعال في جميع أنحاء البلد. </w:t>
      </w:r>
    </w:p>
    <w:p w:rsidR="006D1DAF" w:rsidRDefault="006D1DAF" w:rsidP="006D1DAF">
      <w:pPr>
        <w:pStyle w:val="H23GA"/>
        <w:rPr>
          <w:rFonts w:hint="cs"/>
          <w:kern w:val="16"/>
          <w:rtl/>
        </w:rPr>
      </w:pPr>
      <w:r>
        <w:rPr>
          <w:rFonts w:hint="cs"/>
          <w:kern w:val="16"/>
          <w:rtl/>
        </w:rPr>
        <w:tab/>
      </w:r>
      <w:r>
        <w:rPr>
          <w:rFonts w:hint="cs"/>
          <w:kern w:val="16"/>
          <w:rtl/>
        </w:rPr>
        <w:tab/>
        <w:t>التدريب</w:t>
      </w:r>
    </w:p>
    <w:p w:rsidR="006D1DAF" w:rsidRDefault="006A241A" w:rsidP="006A241A">
      <w:pPr>
        <w:pStyle w:val="SingleTxtGA"/>
        <w:rPr>
          <w:rFonts w:hint="cs"/>
          <w:kern w:val="16"/>
          <w:rtl/>
        </w:rPr>
      </w:pPr>
      <w:r>
        <w:rPr>
          <w:rFonts w:hint="cs"/>
          <w:kern w:val="16"/>
          <w:rtl/>
        </w:rPr>
        <w:t>(</w:t>
      </w:r>
      <w:r w:rsidR="006D1DAF">
        <w:rPr>
          <w:rFonts w:hint="cs"/>
          <w:kern w:val="16"/>
          <w:rtl/>
        </w:rPr>
        <w:t>24</w:t>
      </w:r>
      <w:r>
        <w:rPr>
          <w:rFonts w:hint="cs"/>
          <w:spacing w:val="-2"/>
          <w:kern w:val="16"/>
          <w:rtl/>
        </w:rPr>
        <w:t>)</w:t>
      </w:r>
      <w:r w:rsidR="006D1DAF" w:rsidRPr="0056538D">
        <w:rPr>
          <w:rFonts w:hint="cs"/>
          <w:spacing w:val="-2"/>
          <w:kern w:val="16"/>
          <w:rtl/>
        </w:rPr>
        <w:tab/>
        <w:t>تحيط اللجنة علماً بالمعلومات التي قدمتها الدولة الطرف بشأن أنشطة التدريب التي تم تنفيذها في ميدان حقوق الإنسان وحظر التعذيب لصالح موظفي الشرطة المدنية الوطنية وموظفي السجون، ولكنها تعرب عن أسفها لعدم تلقيها معلومات مفصلة عن البرامج التي تم تنفيذها لغيرهم من موظفي الدولة ممن تتصل أعمالهم بحظر التعذيب ومنعه. وتلاحظ أيضاً عدم تقديم أية معلومات عن أثر أنشطة التدريب على أحداث التعذيب وسوء المعاملة (المادة 10).</w:t>
      </w:r>
    </w:p>
    <w:p w:rsidR="006D1DAF" w:rsidRPr="0056538D" w:rsidRDefault="006D1DAF" w:rsidP="006D1DAF">
      <w:pPr>
        <w:pStyle w:val="SingleTxtGA"/>
        <w:rPr>
          <w:rFonts w:hint="cs"/>
          <w:b/>
          <w:bCs/>
          <w:kern w:val="16"/>
          <w:rtl/>
        </w:rPr>
      </w:pPr>
      <w:r>
        <w:rPr>
          <w:rFonts w:hint="cs"/>
          <w:b/>
          <w:bCs/>
          <w:kern w:val="16"/>
          <w:rtl/>
        </w:rPr>
        <w:tab/>
      </w:r>
      <w:r w:rsidRPr="0056538D">
        <w:rPr>
          <w:rFonts w:hint="cs"/>
          <w:b/>
          <w:bCs/>
          <w:kern w:val="16"/>
          <w:rtl/>
        </w:rPr>
        <w:t>ينبغي للدولة الطرف تعزيز برامج التدريب القائمة وضمان حضور جميع الموظفين العموميين، وبالذات أفراد الشرطة والجيش وموظفي السجون، وموظفي الهجرة وأفراد السلطة القضائية والنيابة العامة دورات تدريبية بشأن الاتفاقية بشكل منتظم وملائم وإلزامي، بما يشمل استراتيجيات للتصدي للعنف الممارس ضد الأطفال والنساء والسكان الأصليين والمدافعين عن حقوق الإنسان وجماعة السحاقيات والمثليين جنسياً ومزدوجي الميل الجنسي ومغايري الهوية الجنسية. وينبغي للدولة الطرف أيضاً أن تضمن إدراج دليل التقصي والوثائق الفعالين بشأن التعذيب وغيره من ضروب المعاملة أو</w:t>
      </w:r>
      <w:r>
        <w:rPr>
          <w:rFonts w:hint="eastAsia"/>
          <w:b/>
          <w:bCs/>
          <w:kern w:val="16"/>
          <w:rtl/>
        </w:rPr>
        <w:t> </w:t>
      </w:r>
      <w:r w:rsidRPr="0056538D">
        <w:rPr>
          <w:rFonts w:hint="cs"/>
          <w:b/>
          <w:bCs/>
          <w:kern w:val="16"/>
          <w:rtl/>
        </w:rPr>
        <w:t>العقوبة القاسية أو اللاإنسانية أو المهينة (بروتوكول اسطنبول) كموضوع إلزامي في برنامج تدريب جميع المهنيين المعنيين بالتحقيق في حالات التعذيب وسوء المعاملة وتوثيقها ونشره وتطبيقه على نطاق واسع. وتوصي الدولة الطرف أيضاً بوضع وتطبيق منهجية لتقييم فعالية برامج التدريب في الحد من التعذيب وسوء المعاملة.</w:t>
      </w:r>
    </w:p>
    <w:p w:rsidR="006D1DAF" w:rsidRDefault="006D1DAF" w:rsidP="006D1DAF">
      <w:pPr>
        <w:pStyle w:val="H23GA"/>
        <w:rPr>
          <w:rFonts w:hint="cs"/>
          <w:kern w:val="16"/>
          <w:rtl/>
        </w:rPr>
      </w:pPr>
      <w:r>
        <w:rPr>
          <w:rFonts w:hint="cs"/>
          <w:kern w:val="16"/>
          <w:rtl/>
        </w:rPr>
        <w:tab/>
      </w:r>
      <w:r>
        <w:rPr>
          <w:rFonts w:hint="cs"/>
          <w:kern w:val="16"/>
          <w:rtl/>
        </w:rPr>
        <w:tab/>
        <w:t>عقوبة الإعدام</w:t>
      </w:r>
    </w:p>
    <w:p w:rsidR="006D1DAF" w:rsidRDefault="006A241A" w:rsidP="006A241A">
      <w:pPr>
        <w:pStyle w:val="SingleTxtGA"/>
        <w:rPr>
          <w:rFonts w:hint="cs"/>
          <w:kern w:val="16"/>
          <w:rtl/>
        </w:rPr>
      </w:pPr>
      <w:r>
        <w:rPr>
          <w:rFonts w:hint="cs"/>
          <w:kern w:val="16"/>
          <w:rtl/>
        </w:rPr>
        <w:t>(</w:t>
      </w:r>
      <w:r w:rsidR="006D1DAF">
        <w:rPr>
          <w:rFonts w:hint="cs"/>
          <w:kern w:val="16"/>
          <w:rtl/>
        </w:rPr>
        <w:t>25</w:t>
      </w:r>
      <w:r>
        <w:rPr>
          <w:rFonts w:hint="cs"/>
          <w:kern w:val="16"/>
          <w:rtl/>
        </w:rPr>
        <w:t>)</w:t>
      </w:r>
      <w:r w:rsidR="006D1DAF">
        <w:rPr>
          <w:rFonts w:hint="cs"/>
          <w:kern w:val="16"/>
          <w:rtl/>
        </w:rPr>
        <w:tab/>
        <w:t>تلاحظ اللجنة مع الارتياح وقف تطبيق عقوبة الإعدام وقفاً اختيارياً فعلياً وتحويل عقوبات الإعدام جميعها إلى أحكام بالسجن، وتعرب مع ذلك عن أسفها لاستمرار النص</w:t>
      </w:r>
      <w:r w:rsidR="006D1DAF" w:rsidRPr="00A519C7">
        <w:rPr>
          <w:rFonts w:hint="cs"/>
          <w:kern w:val="16"/>
          <w:rtl/>
        </w:rPr>
        <w:t xml:space="preserve"> </w:t>
      </w:r>
      <w:r w:rsidR="006D1DAF">
        <w:rPr>
          <w:rFonts w:hint="cs"/>
          <w:kern w:val="16"/>
          <w:rtl/>
        </w:rPr>
        <w:t>على عقوبة الإعدام في النظام الأساسي للدولة الطرف (المادتان 2 و16).</w:t>
      </w:r>
    </w:p>
    <w:p w:rsidR="006D1DAF" w:rsidRPr="0056538D" w:rsidRDefault="006D1DAF" w:rsidP="006D1DAF">
      <w:pPr>
        <w:pStyle w:val="SingleTxtGA"/>
        <w:rPr>
          <w:rFonts w:hint="cs"/>
          <w:b/>
          <w:bCs/>
          <w:kern w:val="16"/>
          <w:rtl/>
        </w:rPr>
      </w:pPr>
      <w:r>
        <w:rPr>
          <w:rFonts w:hint="cs"/>
          <w:b/>
          <w:bCs/>
          <w:kern w:val="16"/>
          <w:rtl/>
        </w:rPr>
        <w:tab/>
      </w:r>
      <w:r w:rsidRPr="0056538D">
        <w:rPr>
          <w:rFonts w:hint="cs"/>
          <w:b/>
          <w:bCs/>
          <w:kern w:val="16"/>
          <w:rtl/>
        </w:rPr>
        <w:t>تدعو اللجنة الدولة الطرف إلى النظر في إلغاء عقوبة الإعدام والتصديق على البروتوكول الاختياري الثاني الملحق بالعهد الدولي الخاص بالحقوق المدنية والسياسي</w:t>
      </w:r>
      <w:r>
        <w:rPr>
          <w:rFonts w:hint="cs"/>
          <w:b/>
          <w:bCs/>
          <w:kern w:val="16"/>
          <w:rtl/>
        </w:rPr>
        <w:t>ة</w:t>
      </w:r>
      <w:r w:rsidRPr="0056538D">
        <w:rPr>
          <w:rFonts w:hint="cs"/>
          <w:b/>
          <w:bCs/>
          <w:kern w:val="16"/>
          <w:rtl/>
        </w:rPr>
        <w:t xml:space="preserve"> وذلك بهدف إلغاء عقوبة الإعدام. وفي أثناء ذلك، تحث اللجنة الدولة الطرف على الإبقاء على الوقف الاختياري الفعلي لعقوبة الإعدام.</w:t>
      </w:r>
    </w:p>
    <w:p w:rsidR="006D1DAF" w:rsidRDefault="006D1DAF" w:rsidP="006D1DAF">
      <w:pPr>
        <w:pStyle w:val="H23GA"/>
        <w:rPr>
          <w:rFonts w:hint="cs"/>
          <w:kern w:val="16"/>
          <w:rtl/>
        </w:rPr>
      </w:pPr>
      <w:r>
        <w:rPr>
          <w:rFonts w:hint="cs"/>
          <w:kern w:val="16"/>
          <w:rtl/>
        </w:rPr>
        <w:tab/>
      </w:r>
      <w:r>
        <w:rPr>
          <w:rFonts w:hint="cs"/>
          <w:kern w:val="16"/>
          <w:rtl/>
        </w:rPr>
        <w:tab/>
        <w:t>قضايا أخرى</w:t>
      </w:r>
    </w:p>
    <w:p w:rsidR="006D1DAF" w:rsidRDefault="00D4253A" w:rsidP="00D4253A">
      <w:pPr>
        <w:pStyle w:val="SingleTxtGA"/>
        <w:rPr>
          <w:rFonts w:hint="cs"/>
          <w:kern w:val="16"/>
          <w:rtl/>
        </w:rPr>
      </w:pPr>
      <w:r>
        <w:rPr>
          <w:rFonts w:hint="cs"/>
          <w:kern w:val="16"/>
          <w:rtl/>
        </w:rPr>
        <w:t>(</w:t>
      </w:r>
      <w:r w:rsidR="006D1DAF">
        <w:rPr>
          <w:rFonts w:hint="cs"/>
          <w:kern w:val="16"/>
          <w:rtl/>
        </w:rPr>
        <w:t>26</w:t>
      </w:r>
      <w:r>
        <w:rPr>
          <w:rFonts w:hint="cs"/>
          <w:kern w:val="16"/>
          <w:rtl/>
        </w:rPr>
        <w:t>)</w:t>
      </w:r>
      <w:r w:rsidR="006D1DAF">
        <w:rPr>
          <w:rFonts w:hint="cs"/>
          <w:kern w:val="16"/>
          <w:rtl/>
        </w:rPr>
        <w:tab/>
        <w:t>تدعو اللجنة الدولة الطرف إلى النظر في الانضمام إلى صكوك الأمم المتحدة الرئيسية المتعلقة بحقوق الإنسان التي ليست هي بعد طرفاً فيها، ألا وهي الاتفاقية الدولية لحماية جميع الأشخاص من الاختفاء القسري، والبروتوكول الاختياري الملحق بالعهد الدولي الخاص بالحقوق الاقتصادية والاجتماعية والثقافية</w:t>
      </w:r>
      <w:r w:rsidR="006D1DAF">
        <w:rPr>
          <w:rFonts w:hint="cs"/>
          <w:b/>
          <w:bCs/>
          <w:kern w:val="16"/>
          <w:rtl/>
        </w:rPr>
        <w:t xml:space="preserve">، </w:t>
      </w:r>
      <w:r w:rsidR="006D1DAF" w:rsidRPr="00BE495A">
        <w:rPr>
          <w:rFonts w:hint="cs"/>
          <w:kern w:val="16"/>
          <w:rtl/>
        </w:rPr>
        <w:t xml:space="preserve">والبروتوكول الاختياري </w:t>
      </w:r>
      <w:r w:rsidR="006D1DAF">
        <w:rPr>
          <w:rFonts w:hint="cs"/>
          <w:kern w:val="16"/>
          <w:rtl/>
        </w:rPr>
        <w:t>لا</w:t>
      </w:r>
      <w:r w:rsidR="006D1DAF" w:rsidRPr="00BE495A">
        <w:rPr>
          <w:rFonts w:hint="cs"/>
          <w:kern w:val="16"/>
          <w:rtl/>
        </w:rPr>
        <w:t xml:space="preserve">تفاقية حقوق الطفل </w:t>
      </w:r>
      <w:r w:rsidR="006D1DAF">
        <w:rPr>
          <w:rFonts w:hint="cs"/>
          <w:kern w:val="16"/>
          <w:rtl/>
        </w:rPr>
        <w:t>المتعلق ب</w:t>
      </w:r>
      <w:r w:rsidR="006D1DAF" w:rsidRPr="00BE495A">
        <w:rPr>
          <w:rFonts w:hint="cs"/>
          <w:kern w:val="16"/>
          <w:rtl/>
        </w:rPr>
        <w:t>إجراء</w:t>
      </w:r>
      <w:r w:rsidR="006D1DAF">
        <w:rPr>
          <w:rFonts w:hint="cs"/>
          <w:kern w:val="16"/>
          <w:rtl/>
        </w:rPr>
        <w:t xml:space="preserve"> تقديم البلاغات.</w:t>
      </w:r>
    </w:p>
    <w:p w:rsidR="006D1DAF" w:rsidRDefault="00D4253A" w:rsidP="00D4253A">
      <w:pPr>
        <w:pStyle w:val="SingleTxtGA"/>
        <w:rPr>
          <w:rFonts w:hint="cs"/>
          <w:kern w:val="16"/>
          <w:rtl/>
        </w:rPr>
      </w:pPr>
      <w:r>
        <w:rPr>
          <w:rFonts w:hint="cs"/>
          <w:kern w:val="16"/>
          <w:rtl/>
        </w:rPr>
        <w:t>(</w:t>
      </w:r>
      <w:r w:rsidR="006D1DAF">
        <w:rPr>
          <w:rFonts w:hint="cs"/>
          <w:kern w:val="16"/>
          <w:rtl/>
        </w:rPr>
        <w:t>27</w:t>
      </w:r>
      <w:r>
        <w:rPr>
          <w:rFonts w:hint="cs"/>
          <w:kern w:val="16"/>
          <w:rtl/>
        </w:rPr>
        <w:t>)</w:t>
      </w:r>
      <w:r w:rsidR="006D1DAF" w:rsidRPr="0056538D">
        <w:rPr>
          <w:rFonts w:hint="cs"/>
          <w:rtl/>
        </w:rPr>
        <w:tab/>
      </w:r>
      <w:r w:rsidR="006D1DAF">
        <w:rPr>
          <w:rFonts w:hint="cs"/>
          <w:kern w:val="16"/>
          <w:rtl/>
        </w:rPr>
        <w:t>والدولة الطرف مدعوة إلى نشر التقرير المقدم إلى اللجنة وهذه الملاحظات الختامية على نطاق واسع، باللغات الملائمة، بما في ذلك لغات السكان الأصليين، من خلال المواقع الشبكية الرسمية ووسائط الإعلام والمنظمات غير الحكومية.</w:t>
      </w:r>
    </w:p>
    <w:p w:rsidR="006D1DAF" w:rsidRDefault="00D4253A" w:rsidP="00D4253A">
      <w:pPr>
        <w:pStyle w:val="SingleTxtGA"/>
        <w:rPr>
          <w:rFonts w:hint="cs"/>
          <w:kern w:val="16"/>
          <w:rtl/>
        </w:rPr>
      </w:pPr>
      <w:r w:rsidRPr="00D4253A">
        <w:rPr>
          <w:rFonts w:hint="cs"/>
          <w:spacing w:val="-2"/>
          <w:rtl/>
        </w:rPr>
        <w:t>(</w:t>
      </w:r>
      <w:r w:rsidR="006D1DAF" w:rsidRPr="00D4253A">
        <w:rPr>
          <w:rFonts w:hint="cs"/>
          <w:spacing w:val="-2"/>
          <w:rtl/>
        </w:rPr>
        <w:t>28</w:t>
      </w:r>
      <w:r w:rsidRPr="00D4253A">
        <w:rPr>
          <w:rFonts w:hint="cs"/>
          <w:spacing w:val="-2"/>
          <w:rtl/>
        </w:rPr>
        <w:t>)</w:t>
      </w:r>
      <w:r w:rsidR="006D1DAF" w:rsidRPr="00D4253A">
        <w:rPr>
          <w:rFonts w:hint="cs"/>
          <w:spacing w:val="-2"/>
          <w:rtl/>
        </w:rPr>
        <w:tab/>
        <w:t>وترجو اللجنة من الدولة الطرف أن تقدم في موعد أقصاه 31 أيار/مايو 2014 معلومات عن متابعة توصيات اللجنة فيما يتعلق: (أ) بضمان أو تعزيز الضمانات القانونية الأساسية المتاحة للمحتجزين؛ (ب) إجراء تحقيقات سريعة ونزيهة وفعالة؛ و(ج) ملاحقة</w:t>
      </w:r>
      <w:r w:rsidR="006D1DAF" w:rsidRPr="00F32005">
        <w:rPr>
          <w:rFonts w:hint="cs"/>
          <w:spacing w:val="-2"/>
          <w:kern w:val="16"/>
          <w:rtl/>
        </w:rPr>
        <w:t xml:space="preserve"> المشتبه فيهم ومعاقبة مرتكبي أفعال التعذيب أو سوء المعاملة، على نحو ما ورد في الفقرات 13</w:t>
      </w:r>
      <w:r w:rsidR="006D1DAF">
        <w:rPr>
          <w:rFonts w:hint="cs"/>
          <w:kern w:val="16"/>
          <w:rtl/>
        </w:rPr>
        <w:t xml:space="preserve"> و14 و18 من هذه الوثيقة.</w:t>
      </w:r>
    </w:p>
    <w:p w:rsidR="006D1DAF" w:rsidRDefault="00714CB5" w:rsidP="00714CB5">
      <w:pPr>
        <w:pStyle w:val="SingleTxtGA"/>
        <w:rPr>
          <w:rFonts w:hint="cs"/>
          <w:kern w:val="16"/>
          <w:rtl/>
        </w:rPr>
      </w:pPr>
      <w:r>
        <w:rPr>
          <w:rFonts w:hint="cs"/>
          <w:kern w:val="16"/>
          <w:rtl/>
        </w:rPr>
        <w:t>(</w:t>
      </w:r>
      <w:r w:rsidR="006D1DAF">
        <w:rPr>
          <w:rFonts w:hint="cs"/>
          <w:kern w:val="16"/>
          <w:rtl/>
        </w:rPr>
        <w:t>29</w:t>
      </w:r>
      <w:r>
        <w:rPr>
          <w:rFonts w:hint="cs"/>
          <w:kern w:val="16"/>
          <w:rtl/>
        </w:rPr>
        <w:t>)</w:t>
      </w:r>
      <w:r w:rsidR="006D1DAF">
        <w:rPr>
          <w:rFonts w:hint="cs"/>
          <w:kern w:val="16"/>
          <w:rtl/>
        </w:rPr>
        <w:tab/>
        <w:t>والدولة الطرف مدعوة إلى تقديم تقريرها الدوري السابع بحلول 31 أيار/مايو</w:t>
      </w:r>
      <w:r w:rsidR="006D1DAF">
        <w:rPr>
          <w:rFonts w:hint="eastAsia"/>
          <w:kern w:val="16"/>
          <w:rtl/>
        </w:rPr>
        <w:t> </w:t>
      </w:r>
      <w:r w:rsidR="006D1DAF">
        <w:rPr>
          <w:rFonts w:hint="cs"/>
          <w:kern w:val="16"/>
          <w:rtl/>
        </w:rPr>
        <w:t xml:space="preserve">2017. وتحقيقاً لذلك، ستقوم اللجنة في الوقت المناسب بتقديم قائمة المسائل إلى الدولة الطرف قبل تقديم تقريرها، شريطة أن تكون قد وافقت على أن تقدم تقريرها إلى اللجنة بموجب الإجراء الاختياري لتقديم التقارير. </w:t>
      </w:r>
    </w:p>
    <w:p w:rsidR="00EE5D7D" w:rsidRPr="00D4253A" w:rsidRDefault="00FA309D" w:rsidP="00A83CF9">
      <w:pPr>
        <w:pStyle w:val="SingleTxtGA"/>
        <w:rPr>
          <w:rFonts w:hint="cs"/>
          <w:b/>
          <w:bCs/>
          <w:rtl/>
        </w:rPr>
      </w:pPr>
      <w:r w:rsidRPr="00FA309D">
        <w:rPr>
          <w:rFonts w:hint="cs"/>
          <w:rtl/>
        </w:rPr>
        <w:t>71</w:t>
      </w:r>
      <w:r w:rsidR="00EE5D7D" w:rsidRPr="00FA309D">
        <w:rPr>
          <w:rFonts w:hint="cs"/>
          <w:rtl/>
        </w:rPr>
        <w:t>-</w:t>
      </w:r>
      <w:r w:rsidR="00EE5D7D" w:rsidRPr="00FA309D">
        <w:rPr>
          <w:rFonts w:hint="cs"/>
          <w:rtl/>
        </w:rPr>
        <w:tab/>
      </w:r>
      <w:r w:rsidR="00EE5D7D" w:rsidRPr="00D4253A">
        <w:rPr>
          <w:rFonts w:hint="cs"/>
          <w:b/>
          <w:bCs/>
          <w:rtl/>
        </w:rPr>
        <w:t>اليابان</w:t>
      </w:r>
    </w:p>
    <w:p w:rsidR="008608DA" w:rsidRPr="00FE4CB5" w:rsidRDefault="00D4253A" w:rsidP="00A83CF9">
      <w:pPr>
        <w:pStyle w:val="SingleTxtGA"/>
        <w:rPr>
          <w:rFonts w:hint="cs"/>
          <w:rtl/>
        </w:rPr>
      </w:pPr>
      <w:r>
        <w:rPr>
          <w:rFonts w:hint="cs"/>
          <w:rtl/>
        </w:rPr>
        <w:t>(</w:t>
      </w:r>
      <w:r w:rsidR="008608DA" w:rsidRPr="00FE4CB5">
        <w:rPr>
          <w:rFonts w:hint="cs"/>
          <w:rtl/>
        </w:rPr>
        <w:t>1</w:t>
      </w:r>
      <w:r>
        <w:rPr>
          <w:rFonts w:hint="cs"/>
          <w:rtl/>
        </w:rPr>
        <w:t>)</w:t>
      </w:r>
      <w:r>
        <w:rPr>
          <w:rFonts w:hint="cs"/>
          <w:rtl/>
        </w:rPr>
        <w:tab/>
      </w:r>
      <w:r w:rsidR="008608DA" w:rsidRPr="00FE4CB5">
        <w:rPr>
          <w:rFonts w:hint="cs"/>
          <w:rtl/>
          <w:lang w:val="fr-CH"/>
        </w:rPr>
        <w:t>نظرت لجنة مناهضة التعذيب في التقرير الدوري الثاني لليابان (</w:t>
      </w:r>
      <w:r w:rsidR="008608DA" w:rsidRPr="00FE4CB5">
        <w:t>CAT/C/JPN/2</w:t>
      </w:r>
      <w:r w:rsidR="002F691F">
        <w:rPr>
          <w:rFonts w:hint="cs"/>
          <w:rtl/>
        </w:rPr>
        <w:t>) في جلستيها 1152 و1155</w:t>
      </w:r>
      <w:r w:rsidR="008608DA" w:rsidRPr="00FE4CB5">
        <w:rPr>
          <w:rFonts w:hint="cs"/>
          <w:rtl/>
        </w:rPr>
        <w:t>، المعقودتين في 2</w:t>
      </w:r>
      <w:r w:rsidR="008608DA">
        <w:rPr>
          <w:rFonts w:hint="cs"/>
          <w:rtl/>
        </w:rPr>
        <w:t>1</w:t>
      </w:r>
      <w:r w:rsidR="008608DA" w:rsidRPr="00FE4CB5">
        <w:rPr>
          <w:rFonts w:hint="cs"/>
          <w:rtl/>
        </w:rPr>
        <w:t xml:space="preserve"> و22 أيار/مايو 2013</w:t>
      </w:r>
      <w:r w:rsidR="008608DA">
        <w:rPr>
          <w:rFonts w:hint="cs"/>
          <w:rtl/>
        </w:rPr>
        <w:t xml:space="preserve"> (</w:t>
      </w:r>
      <w:r w:rsidR="001F7117">
        <w:t>CAT/C/SR.1152</w:t>
      </w:r>
      <w:r w:rsidR="008608DA">
        <w:rPr>
          <w:rFonts w:hint="cs"/>
          <w:rtl/>
        </w:rPr>
        <w:t xml:space="preserve"> و</w:t>
      </w:r>
      <w:r w:rsidR="001F7117">
        <w:t>SR.</w:t>
      </w:r>
      <w:r w:rsidR="008608DA" w:rsidRPr="000C6589">
        <w:t>1155</w:t>
      </w:r>
      <w:r w:rsidR="008608DA">
        <w:rPr>
          <w:rFonts w:hint="cs"/>
          <w:rtl/>
        </w:rPr>
        <w:t>)</w:t>
      </w:r>
      <w:r w:rsidR="001F7117">
        <w:rPr>
          <w:rFonts w:hint="cs"/>
          <w:rtl/>
        </w:rPr>
        <w:t xml:space="preserve">. واعتمدت في جلستها 1164 </w:t>
      </w:r>
      <w:r w:rsidR="008608DA" w:rsidRPr="00FE4CB5">
        <w:rPr>
          <w:rFonts w:hint="cs"/>
          <w:rtl/>
        </w:rPr>
        <w:t>المعقودة في 29 أيار/مايو 2013، الملاحظات الختامية التالية</w:t>
      </w:r>
      <w:r w:rsidR="008608DA">
        <w:rPr>
          <w:rFonts w:hint="cs"/>
          <w:rtl/>
        </w:rPr>
        <w:t xml:space="preserve"> (</w:t>
      </w:r>
      <w:r w:rsidR="008608DA" w:rsidRPr="000C6589">
        <w:t>CAT/C/SR.1164</w:t>
      </w:r>
      <w:r w:rsidR="008608DA">
        <w:rPr>
          <w:rFonts w:hint="cs"/>
          <w:rtl/>
        </w:rPr>
        <w:t>)</w:t>
      </w:r>
      <w:r w:rsidR="008608DA" w:rsidRPr="00FE4CB5">
        <w:rPr>
          <w:rFonts w:hint="cs"/>
          <w:rtl/>
        </w:rPr>
        <w:t>.</w:t>
      </w:r>
    </w:p>
    <w:p w:rsidR="008608DA" w:rsidRPr="001F7117" w:rsidRDefault="00A83CF9" w:rsidP="00A83CF9">
      <w:pPr>
        <w:pStyle w:val="H23GA"/>
        <w:tabs>
          <w:tab w:val="left" w:pos="1954"/>
        </w:tabs>
        <w:rPr>
          <w:rFonts w:hint="cs"/>
          <w:rtl/>
        </w:rPr>
      </w:pPr>
      <w:r>
        <w:rPr>
          <w:rFonts w:hint="cs"/>
          <w:rtl/>
        </w:rPr>
        <w:tab/>
      </w:r>
      <w:r>
        <w:rPr>
          <w:rFonts w:hint="cs"/>
          <w:rtl/>
        </w:rPr>
        <w:tab/>
      </w:r>
      <w:r w:rsidR="008608DA" w:rsidRPr="001F7117">
        <w:rPr>
          <w:rFonts w:hint="cs"/>
          <w:rtl/>
        </w:rPr>
        <w:t>ألف-</w:t>
      </w:r>
      <w:r w:rsidR="008608DA" w:rsidRPr="001F7117">
        <w:rPr>
          <w:rFonts w:hint="cs"/>
          <w:rtl/>
        </w:rPr>
        <w:tab/>
        <w:t>مقدمة</w:t>
      </w:r>
    </w:p>
    <w:p w:rsidR="008608DA" w:rsidRPr="00242496" w:rsidRDefault="001F7117" w:rsidP="00A83CF9">
      <w:pPr>
        <w:pStyle w:val="SingleTxtGA"/>
        <w:rPr>
          <w:rFonts w:hint="cs"/>
          <w:sz w:val="32"/>
          <w:szCs w:val="32"/>
          <w:rtl/>
        </w:rPr>
      </w:pPr>
      <w:r>
        <w:rPr>
          <w:rFonts w:hint="cs"/>
          <w:rtl/>
        </w:rPr>
        <w:t>(</w:t>
      </w:r>
      <w:r w:rsidR="008608DA">
        <w:rPr>
          <w:rFonts w:hint="cs"/>
          <w:rtl/>
        </w:rPr>
        <w:t>2</w:t>
      </w:r>
      <w:r>
        <w:rPr>
          <w:rFonts w:hint="cs"/>
          <w:rtl/>
        </w:rPr>
        <w:t>)</w:t>
      </w:r>
      <w:r>
        <w:rPr>
          <w:rFonts w:hint="cs"/>
          <w:rtl/>
        </w:rPr>
        <w:tab/>
      </w:r>
      <w:r w:rsidR="008608DA" w:rsidRPr="00242496">
        <w:rPr>
          <w:rFonts w:hint="cs"/>
          <w:rtl/>
        </w:rPr>
        <w:t>تعرب اللجنة عن تقديرها للدولة الطرف لموافقتها على الإجراء الاختياري المتعلق بتقديم التقارير ولتقديمها تقريرها الدوري بموجبه، نظراً إلى أن هذا الإجراء يُسهم في تحسين التعاون بين الدولة الطرف واللجنة ويركز على دراسة التقرير وكذلك على الحوار مع الوفد.</w:t>
      </w:r>
    </w:p>
    <w:p w:rsidR="008608DA" w:rsidRPr="00FE4CB5" w:rsidRDefault="001F7117" w:rsidP="00A83CF9">
      <w:pPr>
        <w:pStyle w:val="SingleTxtGA"/>
        <w:rPr>
          <w:rFonts w:hint="cs"/>
          <w:rtl/>
        </w:rPr>
      </w:pPr>
      <w:r>
        <w:rPr>
          <w:rFonts w:hint="cs"/>
          <w:rtl/>
        </w:rPr>
        <w:t>(3)</w:t>
      </w:r>
      <w:r>
        <w:rPr>
          <w:rFonts w:hint="cs"/>
          <w:rtl/>
        </w:rPr>
        <w:tab/>
      </w:r>
      <w:r w:rsidR="008608DA" w:rsidRPr="00FE4CB5">
        <w:rPr>
          <w:rFonts w:hint="cs"/>
          <w:rtl/>
        </w:rPr>
        <w:t>وترحب اللجنة بالحوار البناء الذي أجرته مع وفد</w:t>
      </w:r>
      <w:r w:rsidR="008608DA">
        <w:rPr>
          <w:rFonts w:hint="cs"/>
          <w:rtl/>
        </w:rPr>
        <w:t xml:space="preserve"> الدولة الطرف</w:t>
      </w:r>
      <w:r w:rsidR="008608DA" w:rsidRPr="00FE4CB5">
        <w:rPr>
          <w:rFonts w:hint="cs"/>
          <w:rtl/>
        </w:rPr>
        <w:t xml:space="preserve"> </w:t>
      </w:r>
      <w:r w:rsidR="008608DA">
        <w:rPr>
          <w:rFonts w:hint="cs"/>
          <w:rtl/>
        </w:rPr>
        <w:t>ال</w:t>
      </w:r>
      <w:r w:rsidR="008608DA" w:rsidRPr="00FE4CB5">
        <w:rPr>
          <w:rFonts w:hint="cs"/>
          <w:rtl/>
        </w:rPr>
        <w:t xml:space="preserve">رفيع المستوى وبالمعلومات </w:t>
      </w:r>
      <w:r w:rsidR="008608DA">
        <w:rPr>
          <w:rFonts w:hint="cs"/>
          <w:rtl/>
        </w:rPr>
        <w:t>والشروحات</w:t>
      </w:r>
      <w:r w:rsidR="008608DA" w:rsidRPr="00FE4CB5">
        <w:rPr>
          <w:rFonts w:hint="cs"/>
          <w:rtl/>
        </w:rPr>
        <w:t xml:space="preserve"> الإضافية التي قدمها الوفد. </w:t>
      </w:r>
    </w:p>
    <w:p w:rsidR="008608DA" w:rsidRPr="001F7117" w:rsidRDefault="00A83CF9" w:rsidP="00A83CF9">
      <w:pPr>
        <w:pStyle w:val="H23GA"/>
        <w:tabs>
          <w:tab w:val="left" w:pos="1940"/>
        </w:tabs>
        <w:rPr>
          <w:rFonts w:hint="cs"/>
          <w:rtl/>
        </w:rPr>
      </w:pPr>
      <w:r>
        <w:rPr>
          <w:rFonts w:hint="cs"/>
          <w:rtl/>
        </w:rPr>
        <w:tab/>
      </w:r>
      <w:r>
        <w:rPr>
          <w:rFonts w:hint="cs"/>
          <w:rtl/>
        </w:rPr>
        <w:tab/>
      </w:r>
      <w:r w:rsidR="008608DA" w:rsidRPr="001F7117">
        <w:rPr>
          <w:rFonts w:hint="cs"/>
          <w:rtl/>
        </w:rPr>
        <w:t>باء-</w:t>
      </w:r>
      <w:r w:rsidR="001F7117" w:rsidRPr="001F7117">
        <w:rPr>
          <w:rFonts w:hint="cs"/>
          <w:rtl/>
        </w:rPr>
        <w:tab/>
      </w:r>
      <w:r w:rsidR="008608DA" w:rsidRPr="001F7117">
        <w:rPr>
          <w:rFonts w:hint="cs"/>
          <w:rtl/>
        </w:rPr>
        <w:t>الجوانب الإيجابية</w:t>
      </w:r>
    </w:p>
    <w:p w:rsidR="008608DA" w:rsidRPr="00FE4CB5" w:rsidRDefault="007F4786" w:rsidP="00A83CF9">
      <w:pPr>
        <w:pStyle w:val="SingleTxtGA"/>
        <w:rPr>
          <w:rFonts w:hint="cs"/>
          <w:rtl/>
        </w:rPr>
      </w:pPr>
      <w:r>
        <w:rPr>
          <w:rFonts w:hint="cs"/>
          <w:rtl/>
        </w:rPr>
        <w:t>(4)</w:t>
      </w:r>
      <w:r>
        <w:rPr>
          <w:rFonts w:hint="cs"/>
          <w:rtl/>
        </w:rPr>
        <w:tab/>
      </w:r>
      <w:r w:rsidR="008608DA" w:rsidRPr="00FE4CB5">
        <w:rPr>
          <w:rFonts w:hint="cs"/>
          <w:rtl/>
        </w:rPr>
        <w:t xml:space="preserve">ترحب اللجنة بتصديق الدولة الطرف على الصكوك الدولية التالية: </w:t>
      </w:r>
    </w:p>
    <w:p w:rsidR="008608DA" w:rsidRPr="00FE4CB5" w:rsidRDefault="007F4786" w:rsidP="00A83CF9">
      <w:pPr>
        <w:pStyle w:val="SingleTxtGA"/>
        <w:rPr>
          <w:rFonts w:hint="cs"/>
          <w:rtl/>
          <w:lang/>
        </w:rPr>
      </w:pPr>
      <w:r>
        <w:rPr>
          <w:rFonts w:hint="cs"/>
          <w:rtl/>
          <w:lang/>
        </w:rPr>
        <w:tab/>
        <w:t>(أ)</w:t>
      </w:r>
      <w:r>
        <w:rPr>
          <w:rFonts w:hint="cs"/>
          <w:rtl/>
          <w:lang/>
        </w:rPr>
        <w:tab/>
      </w:r>
      <w:r w:rsidR="008608DA" w:rsidRPr="00FE4CB5">
        <w:rPr>
          <w:rFonts w:hint="cs"/>
          <w:rtl/>
          <w:lang/>
        </w:rPr>
        <w:t>الاتفاقية الدولية لحم</w:t>
      </w:r>
      <w:r w:rsidR="008608DA">
        <w:rPr>
          <w:rFonts w:hint="cs"/>
          <w:rtl/>
          <w:lang/>
        </w:rPr>
        <w:t>اية جميع الأشخاص من الاختفاء الق</w:t>
      </w:r>
      <w:r w:rsidR="008608DA" w:rsidRPr="00FE4CB5">
        <w:rPr>
          <w:rFonts w:hint="cs"/>
          <w:rtl/>
          <w:lang/>
        </w:rPr>
        <w:t>سري،</w:t>
      </w:r>
      <w:r w:rsidR="008608DA">
        <w:rPr>
          <w:rFonts w:hint="cs"/>
          <w:rtl/>
          <w:lang/>
        </w:rPr>
        <w:t xml:space="preserve"> بتاريخ</w:t>
      </w:r>
      <w:r w:rsidR="008608DA" w:rsidRPr="00FE4CB5">
        <w:rPr>
          <w:rFonts w:hint="cs"/>
          <w:rtl/>
          <w:lang/>
        </w:rPr>
        <w:t xml:space="preserve"> 23 تموز/</w:t>
      </w:r>
      <w:r w:rsidR="008608DA">
        <w:rPr>
          <w:rFonts w:hint="cs"/>
          <w:rtl/>
          <w:lang/>
        </w:rPr>
        <w:t>يوليه</w:t>
      </w:r>
      <w:r w:rsidR="008608DA" w:rsidRPr="00FE4CB5">
        <w:rPr>
          <w:rFonts w:hint="cs"/>
          <w:rtl/>
          <w:lang/>
        </w:rPr>
        <w:t xml:space="preserve"> 2009؛</w:t>
      </w:r>
    </w:p>
    <w:p w:rsidR="008608DA" w:rsidRPr="00FE4CB5" w:rsidRDefault="007F4786" w:rsidP="00A83CF9">
      <w:pPr>
        <w:pStyle w:val="SingleTxtGA"/>
        <w:rPr>
          <w:rFonts w:hint="cs"/>
          <w:lang/>
        </w:rPr>
      </w:pPr>
      <w:r>
        <w:rPr>
          <w:rFonts w:hint="cs"/>
          <w:rtl/>
          <w:lang/>
        </w:rPr>
        <w:tab/>
        <w:t>(ب)</w:t>
      </w:r>
      <w:r>
        <w:rPr>
          <w:rFonts w:hint="cs"/>
          <w:rtl/>
          <w:lang/>
        </w:rPr>
        <w:tab/>
      </w:r>
      <w:r w:rsidR="008608DA" w:rsidRPr="00FE4CB5">
        <w:rPr>
          <w:rFonts w:hint="cs"/>
          <w:rtl/>
          <w:lang/>
        </w:rPr>
        <w:t xml:space="preserve">نظام روما الأساسي للمحكمة الجنائية الدولية، </w:t>
      </w:r>
      <w:r w:rsidR="008608DA">
        <w:rPr>
          <w:rFonts w:hint="cs"/>
          <w:rtl/>
          <w:lang/>
        </w:rPr>
        <w:t xml:space="preserve">بتاريخ 1 </w:t>
      </w:r>
      <w:r w:rsidR="008608DA" w:rsidRPr="00FE4CB5">
        <w:rPr>
          <w:rFonts w:hint="cs"/>
          <w:rtl/>
          <w:lang/>
        </w:rPr>
        <w:t>تشرين الأول/أكتوبر 2007</w:t>
      </w:r>
      <w:r>
        <w:rPr>
          <w:rFonts w:hint="cs"/>
          <w:rtl/>
          <w:lang/>
        </w:rPr>
        <w:t>؛</w:t>
      </w:r>
    </w:p>
    <w:p w:rsidR="008608DA" w:rsidRPr="00FE4CB5" w:rsidRDefault="007F4786" w:rsidP="00A83CF9">
      <w:pPr>
        <w:pStyle w:val="SingleTxtGA"/>
        <w:rPr>
          <w:rFonts w:hint="cs"/>
          <w:rtl/>
          <w:lang/>
        </w:rPr>
      </w:pPr>
      <w:r>
        <w:rPr>
          <w:rFonts w:hint="cs"/>
          <w:rtl/>
          <w:lang/>
        </w:rPr>
        <w:t>(</w:t>
      </w:r>
      <w:r w:rsidR="008608DA" w:rsidRPr="00FE4CB5">
        <w:rPr>
          <w:rFonts w:hint="cs"/>
          <w:rtl/>
          <w:lang/>
        </w:rPr>
        <w:t>5</w:t>
      </w:r>
      <w:r>
        <w:rPr>
          <w:rFonts w:hint="cs"/>
          <w:rtl/>
          <w:lang/>
        </w:rPr>
        <w:t>)</w:t>
      </w:r>
      <w:r>
        <w:rPr>
          <w:rFonts w:hint="cs"/>
          <w:rtl/>
          <w:lang/>
        </w:rPr>
        <w:tab/>
      </w:r>
      <w:r w:rsidR="008608DA">
        <w:rPr>
          <w:rFonts w:hint="cs"/>
          <w:rtl/>
          <w:lang/>
        </w:rPr>
        <w:t>و</w:t>
      </w:r>
      <w:r w:rsidR="008608DA" w:rsidRPr="00FE4CB5">
        <w:rPr>
          <w:rFonts w:hint="cs"/>
          <w:rtl/>
          <w:lang/>
        </w:rPr>
        <w:t>ترحب اللجنة بالتدابير التشريعية التالية التي اتخذتها الدولة الطرف:</w:t>
      </w:r>
    </w:p>
    <w:p w:rsidR="008608DA" w:rsidRPr="00FE4CB5" w:rsidRDefault="007F4786" w:rsidP="00A83CF9">
      <w:pPr>
        <w:pStyle w:val="SingleTxtGA"/>
        <w:rPr>
          <w:rFonts w:hint="cs"/>
          <w:rtl/>
        </w:rPr>
      </w:pPr>
      <w:r>
        <w:rPr>
          <w:rFonts w:hint="cs"/>
          <w:rtl/>
          <w:lang/>
        </w:rPr>
        <w:tab/>
      </w:r>
      <w:r w:rsidR="008608DA" w:rsidRPr="00FE4CB5">
        <w:rPr>
          <w:rFonts w:hint="cs"/>
          <w:rtl/>
          <w:lang/>
        </w:rPr>
        <w:t>(أ)</w:t>
      </w:r>
      <w:r>
        <w:rPr>
          <w:rFonts w:hint="cs"/>
          <w:rtl/>
          <w:lang/>
        </w:rPr>
        <w:tab/>
      </w:r>
      <w:r w:rsidR="008608DA" w:rsidRPr="00FE4CB5">
        <w:rPr>
          <w:rFonts w:hint="cs"/>
          <w:rtl/>
          <w:lang/>
        </w:rPr>
        <w:t xml:space="preserve">تنقيح </w:t>
      </w:r>
      <w:r w:rsidR="008608DA" w:rsidRPr="00FE4CB5">
        <w:rPr>
          <w:rtl/>
        </w:rPr>
        <w:t>قانون مراقبة الهجرة والاعتراف باللاجئين</w:t>
      </w:r>
      <w:r w:rsidR="008608DA" w:rsidRPr="00FE4CB5">
        <w:rPr>
          <w:rFonts w:hint="cs"/>
          <w:rtl/>
        </w:rPr>
        <w:t xml:space="preserve"> الذي دخل حيز التنفيذ في تموز/يوليه 2009؛</w:t>
      </w:r>
    </w:p>
    <w:p w:rsidR="008608DA" w:rsidRPr="00FE4CB5" w:rsidRDefault="007F4786" w:rsidP="00A83CF9">
      <w:pPr>
        <w:pStyle w:val="SingleTxtGA"/>
        <w:rPr>
          <w:rFonts w:hint="cs"/>
          <w:rtl/>
        </w:rPr>
      </w:pPr>
      <w:r>
        <w:rPr>
          <w:rFonts w:hint="cs"/>
          <w:rtl/>
        </w:rPr>
        <w:tab/>
      </w:r>
      <w:r w:rsidR="008608DA" w:rsidRPr="00FE4CB5">
        <w:rPr>
          <w:rFonts w:hint="cs"/>
          <w:rtl/>
        </w:rPr>
        <w:t>(ب)</w:t>
      </w:r>
      <w:r>
        <w:rPr>
          <w:rFonts w:hint="cs"/>
          <w:rtl/>
        </w:rPr>
        <w:tab/>
      </w:r>
      <w:r w:rsidR="008608DA" w:rsidRPr="00FE4CB5">
        <w:rPr>
          <w:rFonts w:hint="cs"/>
          <w:rtl/>
        </w:rPr>
        <w:t>تنقيح قانون منع العنف الزوجي وحماية الضحايا الذي دخل حيز التنفيذ في كانون الثاني/يناير 2008.</w:t>
      </w:r>
    </w:p>
    <w:p w:rsidR="008608DA" w:rsidRPr="00FE4CB5" w:rsidRDefault="007F4786" w:rsidP="00A83CF9">
      <w:pPr>
        <w:pStyle w:val="SingleTxtGA"/>
        <w:rPr>
          <w:rFonts w:hint="cs"/>
          <w:rtl/>
        </w:rPr>
      </w:pPr>
      <w:r>
        <w:rPr>
          <w:rFonts w:hint="cs"/>
          <w:rtl/>
        </w:rPr>
        <w:t>(</w:t>
      </w:r>
      <w:r w:rsidR="008608DA" w:rsidRPr="00FE4CB5">
        <w:rPr>
          <w:rFonts w:hint="cs"/>
          <w:rtl/>
        </w:rPr>
        <w:t>6</w:t>
      </w:r>
      <w:r>
        <w:rPr>
          <w:rFonts w:hint="cs"/>
          <w:rtl/>
        </w:rPr>
        <w:t>)</w:t>
      </w:r>
      <w:r>
        <w:rPr>
          <w:rFonts w:hint="cs"/>
          <w:rtl/>
        </w:rPr>
        <w:tab/>
      </w:r>
      <w:r w:rsidR="008608DA">
        <w:rPr>
          <w:rFonts w:hint="cs"/>
          <w:rtl/>
        </w:rPr>
        <w:t>و</w:t>
      </w:r>
      <w:r w:rsidR="008608DA" w:rsidRPr="00FE4CB5">
        <w:rPr>
          <w:rFonts w:hint="cs"/>
          <w:rtl/>
        </w:rPr>
        <w:t xml:space="preserve">ترحب اللجنة بالتدابير الإدارية التالية </w:t>
      </w:r>
      <w:r w:rsidR="008608DA">
        <w:rPr>
          <w:rFonts w:hint="cs"/>
          <w:rtl/>
        </w:rPr>
        <w:t>وبالتدابير الأخرى</w:t>
      </w:r>
      <w:r w:rsidR="008608DA" w:rsidRPr="00FE4CB5">
        <w:rPr>
          <w:rFonts w:hint="cs"/>
          <w:rtl/>
        </w:rPr>
        <w:t xml:space="preserve"> التي اتخذتها الدولة الطرف:</w:t>
      </w:r>
    </w:p>
    <w:p w:rsidR="008608DA" w:rsidRPr="007F4786" w:rsidRDefault="007F4786" w:rsidP="00A83CF9">
      <w:pPr>
        <w:pStyle w:val="SingleTxtGA"/>
        <w:rPr>
          <w:rFonts w:hint="cs"/>
          <w:spacing w:val="-4"/>
          <w:rtl/>
        </w:rPr>
      </w:pPr>
      <w:r w:rsidRPr="007F4786">
        <w:rPr>
          <w:rFonts w:hint="cs"/>
          <w:spacing w:val="-4"/>
          <w:rtl/>
        </w:rPr>
        <w:tab/>
      </w:r>
      <w:r w:rsidR="008608DA" w:rsidRPr="007F4786">
        <w:rPr>
          <w:rFonts w:hint="cs"/>
          <w:spacing w:val="-4"/>
          <w:rtl/>
        </w:rPr>
        <w:t>(أ)</w:t>
      </w:r>
      <w:r w:rsidRPr="007F4786">
        <w:rPr>
          <w:rFonts w:hint="cs"/>
          <w:spacing w:val="-4"/>
          <w:rtl/>
        </w:rPr>
        <w:tab/>
      </w:r>
      <w:r w:rsidR="008608DA" w:rsidRPr="007F4786">
        <w:rPr>
          <w:rFonts w:hint="cs"/>
          <w:spacing w:val="-4"/>
          <w:rtl/>
        </w:rPr>
        <w:t>إنشاء شعبة التفتيش والتوجيه التابعة للنيابة العامة العليا، في تموز/يوليه 2011؛</w:t>
      </w:r>
    </w:p>
    <w:p w:rsidR="008608DA" w:rsidRPr="00FE4CB5" w:rsidRDefault="007F4786" w:rsidP="00A83CF9">
      <w:pPr>
        <w:pStyle w:val="SingleTxtGA"/>
        <w:rPr>
          <w:rFonts w:hint="cs"/>
          <w:rtl/>
        </w:rPr>
      </w:pPr>
      <w:r>
        <w:rPr>
          <w:rFonts w:hint="cs"/>
          <w:rtl/>
        </w:rPr>
        <w:tab/>
      </w:r>
      <w:r w:rsidR="008608DA" w:rsidRPr="00FE4CB5">
        <w:rPr>
          <w:rFonts w:hint="cs"/>
          <w:rtl/>
        </w:rPr>
        <w:t>(ب)</w:t>
      </w:r>
      <w:r>
        <w:rPr>
          <w:rFonts w:hint="cs"/>
          <w:rtl/>
        </w:rPr>
        <w:tab/>
      </w:r>
      <w:r w:rsidR="008608DA" w:rsidRPr="00FE4CB5">
        <w:rPr>
          <w:rFonts w:hint="cs"/>
          <w:rtl/>
        </w:rPr>
        <w:t>الموافقة على الخطة الأساسية الثالثة للمساواة بين الجنسين، في كانون الأول/</w:t>
      </w:r>
      <w:r>
        <w:rPr>
          <w:rFonts w:hint="cs"/>
          <w:rtl/>
        </w:rPr>
        <w:t xml:space="preserve"> </w:t>
      </w:r>
      <w:r w:rsidR="008608DA" w:rsidRPr="00FE4CB5">
        <w:rPr>
          <w:rFonts w:hint="cs"/>
          <w:rtl/>
        </w:rPr>
        <w:t>ديسمبر 2010؛</w:t>
      </w:r>
    </w:p>
    <w:p w:rsidR="008608DA" w:rsidRPr="00FE4CB5" w:rsidRDefault="007F4786" w:rsidP="00A83CF9">
      <w:pPr>
        <w:pStyle w:val="SingleTxtGA"/>
        <w:rPr>
          <w:rFonts w:hint="cs"/>
          <w:rtl/>
          <w:lang/>
        </w:rPr>
      </w:pPr>
      <w:r>
        <w:rPr>
          <w:rFonts w:hint="cs"/>
          <w:rtl/>
        </w:rPr>
        <w:tab/>
      </w:r>
      <w:r w:rsidR="008608DA" w:rsidRPr="00FE4CB5">
        <w:rPr>
          <w:rFonts w:hint="cs"/>
          <w:rtl/>
        </w:rPr>
        <w:t>(ج)</w:t>
      </w:r>
      <w:r>
        <w:rPr>
          <w:rFonts w:hint="cs"/>
          <w:rtl/>
        </w:rPr>
        <w:tab/>
      </w:r>
      <w:r w:rsidR="008608DA" w:rsidRPr="00FE4CB5">
        <w:rPr>
          <w:rFonts w:hint="cs"/>
          <w:rtl/>
        </w:rPr>
        <w:t xml:space="preserve">إنشاء </w:t>
      </w:r>
      <w:r w:rsidR="008608DA" w:rsidRPr="00FE4CB5">
        <w:rPr>
          <w:rFonts w:hint="cs"/>
          <w:rtl/>
          <w:lang/>
        </w:rPr>
        <w:t>لجنة زيارة مرافق احتجاز المهاجرين، في تموز/يوليه 2010؛</w:t>
      </w:r>
    </w:p>
    <w:p w:rsidR="008608DA" w:rsidRPr="00FE4CB5" w:rsidRDefault="007F4786" w:rsidP="00A83CF9">
      <w:pPr>
        <w:pStyle w:val="SingleTxtGA"/>
        <w:rPr>
          <w:rFonts w:hint="cs"/>
          <w:rtl/>
          <w:lang/>
        </w:rPr>
      </w:pPr>
      <w:r>
        <w:rPr>
          <w:rFonts w:hint="cs"/>
          <w:rtl/>
          <w:lang/>
        </w:rPr>
        <w:tab/>
      </w:r>
      <w:r w:rsidR="008608DA" w:rsidRPr="00FE4CB5">
        <w:rPr>
          <w:rFonts w:hint="cs"/>
          <w:rtl/>
          <w:lang/>
        </w:rPr>
        <w:t>(د)</w:t>
      </w:r>
      <w:r>
        <w:rPr>
          <w:rFonts w:hint="cs"/>
          <w:rtl/>
          <w:lang/>
        </w:rPr>
        <w:tab/>
      </w:r>
      <w:r w:rsidR="008608DA" w:rsidRPr="00FE4CB5">
        <w:rPr>
          <w:rFonts w:hint="cs"/>
          <w:rtl/>
          <w:lang/>
        </w:rPr>
        <w:t>اعت</w:t>
      </w:r>
      <w:r w:rsidR="008608DA">
        <w:rPr>
          <w:rFonts w:hint="cs"/>
          <w:rtl/>
          <w:lang/>
        </w:rPr>
        <w:t>ماد خطة العمل الوطنية لمكافحة الات</w:t>
      </w:r>
      <w:r w:rsidR="008608DA" w:rsidRPr="00FE4CB5">
        <w:rPr>
          <w:rFonts w:hint="cs"/>
          <w:rtl/>
          <w:lang/>
        </w:rPr>
        <w:t>جار بالأشخاص</w:t>
      </w:r>
      <w:r w:rsidR="008608DA">
        <w:rPr>
          <w:rFonts w:hint="cs"/>
          <w:rtl/>
          <w:lang/>
        </w:rPr>
        <w:t xml:space="preserve"> لعام 2009</w:t>
      </w:r>
      <w:r w:rsidR="008608DA" w:rsidRPr="00FE4CB5">
        <w:rPr>
          <w:rFonts w:hint="cs"/>
          <w:rtl/>
          <w:lang/>
        </w:rPr>
        <w:t xml:space="preserve"> في </w:t>
      </w:r>
      <w:r w:rsidR="008608DA">
        <w:rPr>
          <w:rFonts w:hint="cs"/>
          <w:rtl/>
          <w:lang/>
        </w:rPr>
        <w:t>كانون الأول/ديسمبر</w:t>
      </w:r>
      <w:r w:rsidR="008608DA" w:rsidRPr="00FE4CB5">
        <w:rPr>
          <w:rFonts w:hint="cs"/>
          <w:rtl/>
          <w:lang/>
        </w:rPr>
        <w:t xml:space="preserve"> 2009؛</w:t>
      </w:r>
    </w:p>
    <w:p w:rsidR="008608DA" w:rsidRPr="00C4543B" w:rsidRDefault="007F4786" w:rsidP="00A83CF9">
      <w:pPr>
        <w:pStyle w:val="SingleTxtGA"/>
        <w:rPr>
          <w:rFonts w:hint="cs"/>
          <w:spacing w:val="-4"/>
          <w:rtl/>
        </w:rPr>
      </w:pPr>
      <w:r w:rsidRPr="00C4543B">
        <w:rPr>
          <w:rFonts w:hint="cs"/>
          <w:spacing w:val="-4"/>
          <w:rtl/>
          <w:lang/>
        </w:rPr>
        <w:tab/>
      </w:r>
      <w:r w:rsidR="008608DA" w:rsidRPr="00C4543B">
        <w:rPr>
          <w:rFonts w:hint="cs"/>
          <w:spacing w:val="-4"/>
          <w:rtl/>
          <w:lang/>
        </w:rPr>
        <w:t>(</w:t>
      </w:r>
      <w:r w:rsidRPr="00C4543B">
        <w:rPr>
          <w:rFonts w:hint="cs"/>
          <w:spacing w:val="-4"/>
          <w:sz w:val="30"/>
          <w:rtl/>
          <w:lang/>
        </w:rPr>
        <w:t>ﻫ</w:t>
      </w:r>
      <w:r w:rsidRPr="00C4543B">
        <w:rPr>
          <w:rFonts w:hint="cs"/>
          <w:spacing w:val="-4"/>
          <w:rtl/>
          <w:lang/>
        </w:rPr>
        <w:t>)</w:t>
      </w:r>
      <w:r w:rsidRPr="00C4543B">
        <w:rPr>
          <w:rFonts w:hint="cs"/>
          <w:spacing w:val="-4"/>
          <w:rtl/>
          <w:lang/>
        </w:rPr>
        <w:tab/>
      </w:r>
      <w:r w:rsidR="008608DA" w:rsidRPr="00C4543B">
        <w:rPr>
          <w:rFonts w:hint="cs"/>
          <w:spacing w:val="-4"/>
          <w:rtl/>
          <w:lang/>
        </w:rPr>
        <w:t xml:space="preserve">تجميع عناصر </w:t>
      </w:r>
      <w:r w:rsidR="008608DA" w:rsidRPr="00C4543B">
        <w:rPr>
          <w:rFonts w:hint="cs"/>
          <w:spacing w:val="-4"/>
          <w:rtl/>
        </w:rPr>
        <w:t xml:space="preserve">السياسة بشأن ضمان سلامة </w:t>
      </w:r>
      <w:r w:rsidR="00C4543B" w:rsidRPr="00C4543B">
        <w:rPr>
          <w:rFonts w:hint="cs"/>
          <w:spacing w:val="-4"/>
          <w:rtl/>
        </w:rPr>
        <w:t xml:space="preserve">تحقيقات الشرطة، في كانون الثاني/ </w:t>
      </w:r>
      <w:r w:rsidR="008608DA" w:rsidRPr="00C4543B">
        <w:rPr>
          <w:rFonts w:hint="cs"/>
          <w:spacing w:val="-4"/>
          <w:rtl/>
        </w:rPr>
        <w:t xml:space="preserve">ديسمبر 2008. </w:t>
      </w:r>
    </w:p>
    <w:p w:rsidR="008608DA" w:rsidRPr="007F4786" w:rsidRDefault="00A83CF9" w:rsidP="00A83CF9">
      <w:pPr>
        <w:pStyle w:val="H23GA"/>
        <w:tabs>
          <w:tab w:val="left" w:pos="1940"/>
        </w:tabs>
        <w:rPr>
          <w:rFonts w:hint="cs"/>
          <w:rtl/>
          <w:lang/>
        </w:rPr>
      </w:pPr>
      <w:r>
        <w:rPr>
          <w:rFonts w:hint="cs"/>
          <w:rtl/>
          <w:lang/>
        </w:rPr>
        <w:tab/>
      </w:r>
      <w:r>
        <w:rPr>
          <w:rFonts w:hint="cs"/>
          <w:rtl/>
          <w:lang/>
        </w:rPr>
        <w:tab/>
      </w:r>
      <w:r w:rsidR="008608DA" w:rsidRPr="007F4786">
        <w:rPr>
          <w:rFonts w:hint="cs"/>
          <w:rtl/>
          <w:lang/>
        </w:rPr>
        <w:t>جيم-</w:t>
      </w:r>
      <w:r w:rsidR="007F4786">
        <w:rPr>
          <w:rFonts w:hint="cs"/>
          <w:rtl/>
          <w:lang/>
        </w:rPr>
        <w:tab/>
      </w:r>
      <w:r w:rsidR="008608DA" w:rsidRPr="007F4786">
        <w:rPr>
          <w:rFonts w:hint="cs"/>
          <w:rtl/>
          <w:lang/>
        </w:rPr>
        <w:t>دواعي القلق الرئيسية والتوصيات</w:t>
      </w:r>
    </w:p>
    <w:p w:rsidR="008608DA" w:rsidRPr="00242496" w:rsidRDefault="007F4786" w:rsidP="00A83CF9">
      <w:pPr>
        <w:pStyle w:val="H23GA"/>
        <w:rPr>
          <w:rFonts w:hint="cs"/>
          <w:rtl/>
          <w:lang/>
        </w:rPr>
      </w:pPr>
      <w:r>
        <w:rPr>
          <w:rFonts w:hint="cs"/>
          <w:rtl/>
          <w:lang/>
        </w:rPr>
        <w:tab/>
      </w:r>
      <w:r>
        <w:rPr>
          <w:rFonts w:hint="cs"/>
          <w:rtl/>
          <w:lang/>
        </w:rPr>
        <w:tab/>
      </w:r>
      <w:r w:rsidR="008608DA" w:rsidRPr="00242496">
        <w:rPr>
          <w:rFonts w:hint="cs"/>
          <w:rtl/>
          <w:lang/>
        </w:rPr>
        <w:t>تعريف التعذيب</w:t>
      </w:r>
    </w:p>
    <w:p w:rsidR="008608DA" w:rsidRPr="00FE4CB5" w:rsidRDefault="007F4786" w:rsidP="00A83CF9">
      <w:pPr>
        <w:pStyle w:val="SingleTxtGA"/>
        <w:rPr>
          <w:rFonts w:hint="cs"/>
          <w:rtl/>
        </w:rPr>
      </w:pPr>
      <w:r>
        <w:rPr>
          <w:rFonts w:hint="cs"/>
          <w:rtl/>
        </w:rPr>
        <w:t>(</w:t>
      </w:r>
      <w:r w:rsidR="008608DA" w:rsidRPr="00FE4CB5">
        <w:rPr>
          <w:rFonts w:hint="cs"/>
          <w:rtl/>
        </w:rPr>
        <w:t>7</w:t>
      </w:r>
      <w:r>
        <w:rPr>
          <w:rFonts w:hint="cs"/>
          <w:rtl/>
        </w:rPr>
        <w:t>)</w:t>
      </w:r>
      <w:r>
        <w:rPr>
          <w:rFonts w:hint="cs"/>
          <w:rtl/>
        </w:rPr>
        <w:tab/>
      </w:r>
      <w:r w:rsidR="008608DA" w:rsidRPr="00FE4CB5">
        <w:rPr>
          <w:rFonts w:hint="cs"/>
          <w:rtl/>
        </w:rPr>
        <w:t>يساور اللجنة قلق من عدم اتخاذ الدولة الطرف أي تدابير لاعتماد تعريف للتعذيب يشمل</w:t>
      </w:r>
      <w:r w:rsidR="008608DA">
        <w:rPr>
          <w:rFonts w:hint="cs"/>
          <w:rtl/>
        </w:rPr>
        <w:t xml:space="preserve"> كافة</w:t>
      </w:r>
      <w:r w:rsidR="008608DA" w:rsidRPr="00FE4CB5">
        <w:rPr>
          <w:rFonts w:hint="cs"/>
          <w:rtl/>
        </w:rPr>
        <w:t xml:space="preserve"> العناصر التي تنص عليها المادة 1 من الاتفاقية (المادة 1). </w:t>
      </w:r>
    </w:p>
    <w:p w:rsidR="008608DA" w:rsidRPr="00464673" w:rsidRDefault="007F4786" w:rsidP="00464673">
      <w:pPr>
        <w:pStyle w:val="SingleTxtGA"/>
        <w:rPr>
          <w:rFonts w:ascii="Times New Roman Bold" w:hAnsi="Times New Roman Bold" w:hint="cs"/>
          <w:b/>
          <w:bCs/>
          <w:spacing w:val="-4"/>
          <w:rtl/>
        </w:rPr>
      </w:pPr>
      <w:r w:rsidRPr="007F4786">
        <w:rPr>
          <w:rFonts w:hint="cs"/>
          <w:b/>
          <w:bCs/>
          <w:rtl/>
        </w:rPr>
        <w:tab/>
      </w:r>
      <w:r w:rsidR="008608DA" w:rsidRPr="007F4786">
        <w:rPr>
          <w:rFonts w:hint="cs"/>
          <w:b/>
          <w:bCs/>
          <w:rtl/>
        </w:rPr>
        <w:t>تكرر اللجنة التوصية التي قدمتها في ملاحظاتها الختامية السابقة (</w:t>
      </w:r>
      <w:r w:rsidR="008608DA" w:rsidRPr="007F4786">
        <w:rPr>
          <w:b/>
          <w:bCs/>
        </w:rPr>
        <w:t>CAT/C/JPN/CO/1</w:t>
      </w:r>
      <w:r w:rsidR="008608DA" w:rsidRPr="007F4786">
        <w:rPr>
          <w:rFonts w:hint="cs"/>
          <w:b/>
          <w:bCs/>
          <w:rtl/>
        </w:rPr>
        <w:t>، الفقرة 10) بأن تدمج الدولة الطرف في القانون المحلي تعريفاً للتعذيب مطابقاً لما تنص عليه المادة 1 من الاتفاقية ويشمل كل العناصر المكوّنة للتعذيب</w:t>
      </w:r>
      <w:r w:rsidR="00464673">
        <w:rPr>
          <w:rFonts w:hint="eastAsia"/>
          <w:b/>
          <w:bCs/>
          <w:rtl/>
        </w:rPr>
        <w:t> </w:t>
      </w:r>
      <w:r w:rsidR="00C4543B">
        <w:rPr>
          <w:rFonts w:hint="cs"/>
          <w:b/>
          <w:bCs/>
          <w:rtl/>
        </w:rPr>
        <w:t xml:space="preserve">والتي تميّزه بوصفه جريمة تخضع </w:t>
      </w:r>
      <w:r w:rsidR="008608DA" w:rsidRPr="007F4786">
        <w:rPr>
          <w:rFonts w:hint="cs"/>
          <w:b/>
          <w:bCs/>
          <w:rtl/>
        </w:rPr>
        <w:t xml:space="preserve">لعقوبات مناسبة. وتعتبر اللجنة، بالإشارة إلى </w:t>
      </w:r>
      <w:r w:rsidR="008608DA" w:rsidRPr="00464673">
        <w:rPr>
          <w:rFonts w:ascii="Times New Roman Bold" w:hAnsi="Times New Roman Bold" w:hint="cs"/>
          <w:b/>
          <w:bCs/>
          <w:spacing w:val="-4"/>
          <w:rtl/>
        </w:rPr>
        <w:t>تعليقها العام رقم 2 (2007) بشأن تنفيذ الدول الأطراف المادة 2، أنّ الدول الأطراف ستعمل على إنجاح هدف الاتفاقية الشامل المتمثل في الوقاية من التعذيب من خلال تحديد جريمة التعذيب وتعريفها وفقاً لأحكام الا</w:t>
      </w:r>
      <w:r w:rsidR="00C4543B" w:rsidRPr="00464673">
        <w:rPr>
          <w:rFonts w:ascii="Times New Roman Bold" w:hAnsi="Times New Roman Bold" w:hint="cs"/>
          <w:b/>
          <w:bCs/>
          <w:spacing w:val="-4"/>
          <w:rtl/>
        </w:rPr>
        <w:t xml:space="preserve">تفاقية وباعتبارها جريمة مستقلة </w:t>
      </w:r>
      <w:r w:rsidR="008608DA" w:rsidRPr="00464673">
        <w:rPr>
          <w:rFonts w:ascii="Times New Roman Bold" w:hAnsi="Times New Roman Bold" w:hint="cs"/>
          <w:b/>
          <w:bCs/>
          <w:spacing w:val="-4"/>
          <w:rtl/>
        </w:rPr>
        <w:t xml:space="preserve">عن الجرائم الأخرى. </w:t>
      </w:r>
    </w:p>
    <w:p w:rsidR="008608DA" w:rsidRPr="00953914" w:rsidRDefault="007F4786" w:rsidP="00A83CF9">
      <w:pPr>
        <w:pStyle w:val="H23GA"/>
        <w:rPr>
          <w:rFonts w:hint="cs"/>
          <w:rtl/>
        </w:rPr>
      </w:pPr>
      <w:r>
        <w:rPr>
          <w:rFonts w:hint="cs"/>
          <w:rtl/>
        </w:rPr>
        <w:tab/>
      </w:r>
      <w:r>
        <w:rPr>
          <w:rFonts w:hint="cs"/>
          <w:rtl/>
        </w:rPr>
        <w:tab/>
      </w:r>
      <w:r w:rsidR="008608DA" w:rsidRPr="00953914">
        <w:rPr>
          <w:rFonts w:hint="cs"/>
          <w:rtl/>
        </w:rPr>
        <w:t xml:space="preserve">التقادم </w:t>
      </w:r>
    </w:p>
    <w:p w:rsidR="008608DA" w:rsidRPr="00FE4CB5" w:rsidRDefault="007F4786" w:rsidP="00A83CF9">
      <w:pPr>
        <w:pStyle w:val="SingleTxtGA"/>
        <w:rPr>
          <w:rFonts w:hint="cs"/>
          <w:rtl/>
        </w:rPr>
      </w:pPr>
      <w:r w:rsidRPr="00A83CF9">
        <w:rPr>
          <w:rFonts w:hint="cs"/>
          <w:spacing w:val="-2"/>
          <w:rtl/>
        </w:rPr>
        <w:t>(</w:t>
      </w:r>
      <w:r w:rsidR="008608DA" w:rsidRPr="00A83CF9">
        <w:rPr>
          <w:rFonts w:hint="cs"/>
          <w:spacing w:val="-2"/>
          <w:rtl/>
        </w:rPr>
        <w:t>8</w:t>
      </w:r>
      <w:r w:rsidRPr="00A83CF9">
        <w:rPr>
          <w:rFonts w:hint="cs"/>
          <w:spacing w:val="-2"/>
          <w:rtl/>
        </w:rPr>
        <w:t>)</w:t>
      </w:r>
      <w:r w:rsidRPr="00A83CF9">
        <w:rPr>
          <w:rFonts w:hint="cs"/>
          <w:spacing w:val="-2"/>
          <w:rtl/>
        </w:rPr>
        <w:tab/>
      </w:r>
      <w:r w:rsidR="008608DA" w:rsidRPr="00A83CF9">
        <w:rPr>
          <w:rFonts w:hint="cs"/>
          <w:spacing w:val="-2"/>
          <w:rtl/>
        </w:rPr>
        <w:t>فيما تلاحظ اللجنة القانون رقم 26 المؤرّخ نيسان/أبريل 2010 الذي يلغي أو يمدد مهلة التقادم لبعض الجرائم، تعرب اللجنة عن قلقها لأ</w:t>
      </w:r>
      <w:r w:rsidRPr="00A83CF9">
        <w:rPr>
          <w:rFonts w:hint="cs"/>
          <w:spacing w:val="-2"/>
          <w:rtl/>
        </w:rPr>
        <w:t xml:space="preserve">ن مهلة التقادم </w:t>
      </w:r>
      <w:r w:rsidR="00A83CF9" w:rsidRPr="00A83CF9">
        <w:rPr>
          <w:rFonts w:hint="cs"/>
          <w:spacing w:val="-2"/>
          <w:rtl/>
        </w:rPr>
        <w:t>ما زالت</w:t>
      </w:r>
      <w:r w:rsidRPr="00A83CF9">
        <w:rPr>
          <w:rFonts w:hint="cs"/>
          <w:spacing w:val="-2"/>
          <w:rtl/>
        </w:rPr>
        <w:t xml:space="preserve"> قائمة في</w:t>
      </w:r>
      <w:r w:rsidR="008608DA" w:rsidRPr="00A83CF9">
        <w:rPr>
          <w:rFonts w:hint="cs"/>
          <w:spacing w:val="-2"/>
          <w:rtl/>
        </w:rPr>
        <w:t>ما</w:t>
      </w:r>
      <w:r w:rsidR="00A83CF9" w:rsidRPr="00A83CF9">
        <w:rPr>
          <w:rFonts w:hint="cs"/>
          <w:spacing w:val="-2"/>
          <w:rtl/>
        </w:rPr>
        <w:t xml:space="preserve"> </w:t>
      </w:r>
      <w:r w:rsidR="008608DA" w:rsidRPr="00A83CF9">
        <w:rPr>
          <w:rFonts w:hint="cs"/>
          <w:spacing w:val="-2"/>
          <w:rtl/>
        </w:rPr>
        <w:t>يتعلق بضروب التعذيب وسوء المعاملة، بما يشمل محاولات ارتكاب التعذيب والأفعال التي</w:t>
      </w:r>
      <w:r w:rsidR="008608DA" w:rsidRPr="00FE4CB5">
        <w:rPr>
          <w:rFonts w:hint="cs"/>
          <w:rtl/>
        </w:rPr>
        <w:t xml:space="preserve"> يقوم بها أي شخص وتشكل تواطؤاً أو مشاركة في التعذيب (المادتان 4 و12). </w:t>
      </w:r>
    </w:p>
    <w:p w:rsidR="008608DA" w:rsidRPr="007F4786" w:rsidRDefault="007F4786" w:rsidP="00A83CF9">
      <w:pPr>
        <w:pStyle w:val="SingleTxtGA"/>
        <w:rPr>
          <w:rFonts w:hint="cs"/>
          <w:b/>
          <w:bCs/>
          <w:rtl/>
        </w:rPr>
      </w:pPr>
      <w:r>
        <w:rPr>
          <w:rFonts w:hint="cs"/>
          <w:rtl/>
        </w:rPr>
        <w:tab/>
      </w:r>
      <w:r w:rsidR="008608DA" w:rsidRPr="007F4786">
        <w:rPr>
          <w:rFonts w:hint="cs"/>
          <w:b/>
          <w:bCs/>
          <w:rtl/>
        </w:rPr>
        <w:t>تكرر اللجنة توصيتها السابقة (الفقرة 12) بأن توائم الدولة الطرف بصورة كاملة تشريعها بشأن التقادم مع التزاماتها بموجب الاتفاقية، وذلك بغية ملاحقة مرتكبي أعمال التعذيب قضائياً وإدانتهم بما يتناسب وخطورة الجرائم بدون قيود زمنية، وفقاً للمادة 4 من الاتفاقية.</w:t>
      </w:r>
    </w:p>
    <w:p w:rsidR="008608DA" w:rsidRPr="00953914" w:rsidRDefault="007F4786" w:rsidP="00A83CF9">
      <w:pPr>
        <w:pStyle w:val="H23GA"/>
        <w:rPr>
          <w:rFonts w:hint="cs"/>
          <w:rtl/>
        </w:rPr>
      </w:pPr>
      <w:r>
        <w:rPr>
          <w:rFonts w:hint="cs"/>
          <w:rtl/>
        </w:rPr>
        <w:tab/>
      </w:r>
      <w:r>
        <w:rPr>
          <w:rFonts w:hint="cs"/>
          <w:rtl/>
        </w:rPr>
        <w:tab/>
      </w:r>
      <w:r w:rsidR="008608DA" w:rsidRPr="00953914">
        <w:rPr>
          <w:rFonts w:hint="cs"/>
          <w:rtl/>
        </w:rPr>
        <w:t>عدم الإعادة القسرية والاحتجاز رهن الترحيل</w:t>
      </w:r>
    </w:p>
    <w:p w:rsidR="008608DA" w:rsidRPr="00FE4CB5" w:rsidRDefault="007F4786" w:rsidP="00A83CF9">
      <w:pPr>
        <w:pStyle w:val="SingleTxtGA"/>
        <w:rPr>
          <w:rFonts w:hint="cs"/>
          <w:rtl/>
        </w:rPr>
      </w:pPr>
      <w:r>
        <w:rPr>
          <w:rFonts w:hint="cs"/>
          <w:rtl/>
        </w:rPr>
        <w:t>(</w:t>
      </w:r>
      <w:r w:rsidR="008608DA" w:rsidRPr="00FE4CB5">
        <w:rPr>
          <w:rFonts w:hint="cs"/>
          <w:rtl/>
        </w:rPr>
        <w:t>9</w:t>
      </w:r>
      <w:r>
        <w:rPr>
          <w:rFonts w:hint="cs"/>
          <w:rtl/>
        </w:rPr>
        <w:t>)</w:t>
      </w:r>
      <w:r>
        <w:rPr>
          <w:rFonts w:hint="cs"/>
          <w:rtl/>
        </w:rPr>
        <w:tab/>
      </w:r>
      <w:r w:rsidR="008608DA" w:rsidRPr="00FE4CB5">
        <w:rPr>
          <w:rFonts w:hint="cs"/>
          <w:rtl/>
        </w:rPr>
        <w:t xml:space="preserve">تعبّر اللجنة عن قلقها إزاء ما يلي: </w:t>
      </w:r>
    </w:p>
    <w:p w:rsidR="008608DA" w:rsidRPr="00FE4CB5" w:rsidRDefault="007F4786" w:rsidP="00A83CF9">
      <w:pPr>
        <w:pStyle w:val="SingleTxtGA"/>
        <w:rPr>
          <w:rFonts w:hint="cs"/>
          <w:rtl/>
        </w:rPr>
      </w:pPr>
      <w:r>
        <w:rPr>
          <w:rFonts w:hint="cs"/>
          <w:rtl/>
        </w:rPr>
        <w:tab/>
      </w:r>
      <w:r w:rsidR="008608DA" w:rsidRPr="00FE4CB5">
        <w:rPr>
          <w:rFonts w:hint="cs"/>
          <w:rtl/>
        </w:rPr>
        <w:t>(أ)</w:t>
      </w:r>
      <w:r>
        <w:rPr>
          <w:rFonts w:hint="cs"/>
          <w:rtl/>
        </w:rPr>
        <w:tab/>
      </w:r>
      <w:r w:rsidR="008608DA" w:rsidRPr="00FE4CB5">
        <w:rPr>
          <w:rFonts w:hint="cs"/>
          <w:rtl/>
        </w:rPr>
        <w:t>إبقاء ملتمسي اللجوء الذين حكم عليهم بالترحيل محتجزين لفترات طويلة وفي بعض الحالات إلى أج</w:t>
      </w:r>
      <w:r w:rsidR="008608DA">
        <w:rPr>
          <w:rFonts w:hint="cs"/>
          <w:rtl/>
        </w:rPr>
        <w:t>ل غير محدد</w:t>
      </w:r>
      <w:r w:rsidR="008608DA" w:rsidRPr="00FE4CB5">
        <w:rPr>
          <w:rFonts w:hint="cs"/>
          <w:rtl/>
        </w:rPr>
        <w:t xml:space="preserve"> </w:t>
      </w:r>
      <w:r w:rsidR="008608DA">
        <w:rPr>
          <w:rFonts w:hint="cs"/>
          <w:rtl/>
        </w:rPr>
        <w:t>بموجب</w:t>
      </w:r>
      <w:r w:rsidR="008608DA" w:rsidRPr="00FE4CB5">
        <w:rPr>
          <w:rFonts w:hint="cs"/>
          <w:rtl/>
        </w:rPr>
        <w:t xml:space="preserve"> </w:t>
      </w:r>
      <w:r w:rsidR="008608DA" w:rsidRPr="00FE4CB5">
        <w:rPr>
          <w:rtl/>
        </w:rPr>
        <w:t>قانون مراقبة الهجرة والاعتراف باللاجئين</w:t>
      </w:r>
      <w:r w:rsidR="008608DA">
        <w:rPr>
          <w:rFonts w:hint="cs"/>
          <w:rtl/>
        </w:rPr>
        <w:t xml:space="preserve">، </w:t>
      </w:r>
      <w:r w:rsidR="008608DA" w:rsidRPr="00FE4CB5">
        <w:rPr>
          <w:rFonts w:hint="cs"/>
          <w:rtl/>
        </w:rPr>
        <w:t>فضلاً عن غياب استعراض مستقل لقرار ا</w:t>
      </w:r>
      <w:r w:rsidR="008608DA">
        <w:rPr>
          <w:rFonts w:hint="cs"/>
          <w:rtl/>
        </w:rPr>
        <w:t>لا</w:t>
      </w:r>
      <w:r>
        <w:rPr>
          <w:rFonts w:hint="cs"/>
          <w:rtl/>
        </w:rPr>
        <w:t>حتجاز</w:t>
      </w:r>
      <w:r w:rsidR="008608DA" w:rsidRPr="00FE4CB5">
        <w:rPr>
          <w:rFonts w:hint="cs"/>
          <w:rtl/>
        </w:rPr>
        <w:t>؛</w:t>
      </w:r>
    </w:p>
    <w:p w:rsidR="008608DA" w:rsidRPr="00FE4CB5" w:rsidRDefault="007F4786" w:rsidP="00A83CF9">
      <w:pPr>
        <w:pStyle w:val="SingleTxtGA"/>
        <w:rPr>
          <w:rFonts w:hint="cs"/>
          <w:rtl/>
        </w:rPr>
      </w:pPr>
      <w:r>
        <w:rPr>
          <w:rFonts w:hint="cs"/>
          <w:rtl/>
        </w:rPr>
        <w:tab/>
      </w:r>
      <w:r w:rsidR="008608DA" w:rsidRPr="00FE4CB5">
        <w:rPr>
          <w:rFonts w:hint="cs"/>
          <w:rtl/>
        </w:rPr>
        <w:t>(ب)</w:t>
      </w:r>
      <w:r>
        <w:rPr>
          <w:rFonts w:hint="cs"/>
          <w:rtl/>
        </w:rPr>
        <w:tab/>
      </w:r>
      <w:r w:rsidR="008608DA">
        <w:rPr>
          <w:rFonts w:hint="cs"/>
          <w:rtl/>
        </w:rPr>
        <w:t>الاستخدام المحدود</w:t>
      </w:r>
      <w:r w:rsidR="008608DA" w:rsidRPr="00FE4CB5">
        <w:rPr>
          <w:rFonts w:hint="cs"/>
          <w:rtl/>
        </w:rPr>
        <w:t xml:space="preserve"> </w:t>
      </w:r>
      <w:r w:rsidR="008608DA">
        <w:rPr>
          <w:rFonts w:hint="cs"/>
          <w:rtl/>
        </w:rPr>
        <w:t>ل</w:t>
      </w:r>
      <w:r w:rsidR="008608DA" w:rsidRPr="00FE4CB5">
        <w:rPr>
          <w:rFonts w:hint="cs"/>
          <w:rtl/>
        </w:rPr>
        <w:t>بدائل الاحتجاز لملتمسي اللجوء؛</w:t>
      </w:r>
    </w:p>
    <w:p w:rsidR="008608DA" w:rsidRPr="00FE4CB5" w:rsidRDefault="007F4786" w:rsidP="00A83CF9">
      <w:pPr>
        <w:pStyle w:val="SingleTxtGA"/>
        <w:rPr>
          <w:rFonts w:hint="cs"/>
          <w:rtl/>
          <w:lang/>
        </w:rPr>
      </w:pPr>
      <w:r>
        <w:rPr>
          <w:rFonts w:hint="cs"/>
          <w:rtl/>
        </w:rPr>
        <w:tab/>
      </w:r>
      <w:r w:rsidR="008608DA">
        <w:rPr>
          <w:rFonts w:hint="cs"/>
          <w:rtl/>
        </w:rPr>
        <w:t>(ج)</w:t>
      </w:r>
      <w:r>
        <w:rPr>
          <w:rFonts w:hint="cs"/>
          <w:rtl/>
        </w:rPr>
        <w:tab/>
      </w:r>
      <w:r w:rsidR="008608DA">
        <w:rPr>
          <w:rFonts w:hint="cs"/>
          <w:rtl/>
        </w:rPr>
        <w:t>افتقار</w:t>
      </w:r>
      <w:r w:rsidR="008608DA" w:rsidRPr="00953914">
        <w:rPr>
          <w:rFonts w:hint="cs"/>
          <w:rtl/>
        </w:rPr>
        <w:t xml:space="preserve"> </w:t>
      </w:r>
      <w:r w:rsidR="008608DA" w:rsidRPr="00FE4CB5">
        <w:rPr>
          <w:rFonts w:hint="cs"/>
          <w:rtl/>
        </w:rPr>
        <w:t xml:space="preserve">لجنة </w:t>
      </w:r>
      <w:r w:rsidR="008608DA" w:rsidRPr="00FE4CB5">
        <w:rPr>
          <w:rFonts w:hint="cs"/>
          <w:rtl/>
          <w:lang/>
        </w:rPr>
        <w:t>زيارة مرافق احتجاز المهاجرين</w:t>
      </w:r>
      <w:r w:rsidR="008608DA" w:rsidRPr="00FE4CB5">
        <w:rPr>
          <w:rFonts w:hint="cs"/>
          <w:rtl/>
        </w:rPr>
        <w:t xml:space="preserve"> </w:t>
      </w:r>
      <w:r w:rsidR="008608DA">
        <w:rPr>
          <w:rFonts w:hint="cs"/>
          <w:rtl/>
        </w:rPr>
        <w:t xml:space="preserve">إلى الموارد والسلطة </w:t>
      </w:r>
      <w:r w:rsidR="008608DA" w:rsidRPr="00FE4CB5">
        <w:rPr>
          <w:rFonts w:hint="cs"/>
          <w:rtl/>
          <w:lang/>
        </w:rPr>
        <w:t xml:space="preserve">للاضطلاع فعلياً بولايتها، فضلاً عن </w:t>
      </w:r>
      <w:r w:rsidR="008608DA">
        <w:rPr>
          <w:rFonts w:hint="cs"/>
          <w:rtl/>
          <w:lang/>
        </w:rPr>
        <w:t xml:space="preserve">تولي </w:t>
      </w:r>
      <w:r w:rsidR="008608DA" w:rsidRPr="00FE4CB5">
        <w:rPr>
          <w:rFonts w:hint="cs"/>
          <w:rtl/>
          <w:lang/>
        </w:rPr>
        <w:t>وزارة العدل ومكتب الهجرة</w:t>
      </w:r>
      <w:r w:rsidR="008608DA">
        <w:rPr>
          <w:rFonts w:hint="cs"/>
          <w:rtl/>
          <w:lang/>
        </w:rPr>
        <w:t xml:space="preserve"> تعيين أعضائها</w:t>
      </w:r>
      <w:r w:rsidR="008608DA" w:rsidRPr="00FE4CB5">
        <w:rPr>
          <w:rFonts w:hint="cs"/>
          <w:rtl/>
          <w:lang/>
        </w:rPr>
        <w:t>؛</w:t>
      </w:r>
    </w:p>
    <w:p w:rsidR="008608DA" w:rsidRPr="00FE4CB5" w:rsidRDefault="007F4786" w:rsidP="00A83CF9">
      <w:pPr>
        <w:pStyle w:val="SingleTxtGA"/>
        <w:rPr>
          <w:rFonts w:hint="cs"/>
          <w:rtl/>
          <w:lang/>
        </w:rPr>
      </w:pPr>
      <w:r>
        <w:rPr>
          <w:rFonts w:hint="cs"/>
          <w:rtl/>
          <w:lang/>
        </w:rPr>
        <w:tab/>
      </w:r>
      <w:r w:rsidR="008608DA" w:rsidRPr="00FE4CB5">
        <w:rPr>
          <w:rFonts w:hint="cs"/>
          <w:rtl/>
          <w:lang/>
        </w:rPr>
        <w:t>(د)</w:t>
      </w:r>
      <w:r>
        <w:rPr>
          <w:rFonts w:hint="cs"/>
          <w:rtl/>
          <w:lang/>
        </w:rPr>
        <w:tab/>
      </w:r>
      <w:r w:rsidR="008608DA" w:rsidRPr="00FE4CB5">
        <w:rPr>
          <w:rFonts w:hint="cs"/>
          <w:rtl/>
          <w:lang/>
        </w:rPr>
        <w:t>احتجاز أطفال بدون مرافق في مراكز تقديم المشورة للأطفال التي تكون غالباً مكتظّة وتفتقر إلى الموارد اللازمة</w:t>
      </w:r>
      <w:r w:rsidR="008608DA">
        <w:rPr>
          <w:rFonts w:hint="cs"/>
          <w:rtl/>
          <w:lang/>
        </w:rPr>
        <w:t xml:space="preserve"> للاستعانة</w:t>
      </w:r>
      <w:r w:rsidR="008608DA" w:rsidRPr="00FE4CB5">
        <w:rPr>
          <w:rFonts w:hint="cs"/>
          <w:rtl/>
          <w:lang/>
        </w:rPr>
        <w:t xml:space="preserve"> </w:t>
      </w:r>
      <w:r w:rsidR="008608DA">
        <w:rPr>
          <w:rFonts w:hint="cs"/>
          <w:rtl/>
          <w:lang/>
        </w:rPr>
        <w:t>ب</w:t>
      </w:r>
      <w:r w:rsidR="008608DA" w:rsidRPr="00FE4CB5">
        <w:rPr>
          <w:rFonts w:hint="cs"/>
          <w:rtl/>
          <w:lang/>
        </w:rPr>
        <w:t xml:space="preserve">مترجمين </w:t>
      </w:r>
      <w:r w:rsidR="008608DA">
        <w:rPr>
          <w:rFonts w:hint="cs"/>
          <w:rtl/>
          <w:lang/>
        </w:rPr>
        <w:t>شفويين</w:t>
      </w:r>
      <w:r w:rsidR="008608DA" w:rsidRPr="00FE4CB5">
        <w:rPr>
          <w:rFonts w:hint="cs"/>
          <w:rtl/>
          <w:lang/>
        </w:rPr>
        <w:t>؛</w:t>
      </w:r>
    </w:p>
    <w:p w:rsidR="008608DA" w:rsidRPr="00FE4CB5" w:rsidRDefault="007F4786" w:rsidP="00BE6C28">
      <w:pPr>
        <w:pStyle w:val="SingleTxtGA"/>
        <w:rPr>
          <w:rFonts w:hint="cs"/>
          <w:rtl/>
          <w:lang/>
        </w:rPr>
      </w:pPr>
      <w:r>
        <w:rPr>
          <w:rFonts w:hint="cs"/>
          <w:rtl/>
          <w:lang/>
        </w:rPr>
        <w:tab/>
      </w:r>
      <w:r w:rsidR="008608DA" w:rsidRPr="00FE4CB5">
        <w:rPr>
          <w:rFonts w:hint="cs"/>
          <w:rtl/>
          <w:lang/>
        </w:rPr>
        <w:t>(</w:t>
      </w:r>
      <w:r w:rsidRPr="007F4786">
        <w:rPr>
          <w:rFonts w:hint="cs"/>
          <w:sz w:val="30"/>
          <w:rtl/>
          <w:lang/>
        </w:rPr>
        <w:t>ﻫ</w:t>
      </w:r>
      <w:r>
        <w:rPr>
          <w:rFonts w:hint="cs"/>
          <w:rtl/>
          <w:lang/>
        </w:rPr>
        <w:t>)</w:t>
      </w:r>
      <w:r>
        <w:rPr>
          <w:rFonts w:hint="cs"/>
          <w:rtl/>
          <w:lang/>
        </w:rPr>
        <w:tab/>
      </w:r>
      <w:r w:rsidR="008608DA" w:rsidRPr="00FE4CB5">
        <w:rPr>
          <w:rFonts w:hint="cs"/>
          <w:rtl/>
          <w:lang/>
        </w:rPr>
        <w:t>عدم تنفيذ المادة 53(3) من قانون مراقبة ا</w:t>
      </w:r>
      <w:r w:rsidR="00BE6C28">
        <w:rPr>
          <w:rFonts w:hint="cs"/>
          <w:rtl/>
          <w:lang/>
        </w:rPr>
        <w:t>لهجرة والاعتراف باللاجئين تنفيذ</w:t>
      </w:r>
      <w:r w:rsidR="008608DA" w:rsidRPr="00FE4CB5">
        <w:rPr>
          <w:rFonts w:hint="cs"/>
          <w:rtl/>
          <w:lang/>
        </w:rPr>
        <w:t>ا</w:t>
      </w:r>
      <w:r w:rsidR="00BE6C28">
        <w:rPr>
          <w:rFonts w:hint="cs"/>
          <w:rtl/>
          <w:lang/>
        </w:rPr>
        <w:t>ً</w:t>
      </w:r>
      <w:r w:rsidR="008608DA" w:rsidRPr="00FE4CB5">
        <w:rPr>
          <w:rFonts w:hint="cs"/>
          <w:rtl/>
          <w:lang/>
        </w:rPr>
        <w:t xml:space="preserve"> فعلياً</w:t>
      </w:r>
      <w:r w:rsidR="008608DA">
        <w:rPr>
          <w:rFonts w:hint="cs"/>
          <w:rtl/>
          <w:lang/>
        </w:rPr>
        <w:t>، والتي تحظر</w:t>
      </w:r>
      <w:r w:rsidR="008608DA" w:rsidRPr="00FE4CB5">
        <w:rPr>
          <w:rFonts w:hint="cs"/>
          <w:rtl/>
          <w:lang/>
        </w:rPr>
        <w:t xml:space="preserve"> نقل شخص إلى أي بلد قد يتعرض فيه إلى التعذيب،</w:t>
      </w:r>
      <w:r w:rsidR="008608DA">
        <w:rPr>
          <w:rFonts w:hint="cs"/>
          <w:rtl/>
          <w:lang/>
        </w:rPr>
        <w:t xml:space="preserve"> على نحو ما</w:t>
      </w:r>
      <w:r w:rsidR="00BE6C28">
        <w:rPr>
          <w:rFonts w:hint="eastAsia"/>
          <w:rtl/>
          <w:lang/>
        </w:rPr>
        <w:t> </w:t>
      </w:r>
      <w:r w:rsidR="008608DA">
        <w:rPr>
          <w:rFonts w:hint="cs"/>
          <w:rtl/>
          <w:lang/>
        </w:rPr>
        <w:t xml:space="preserve">تنص عليه </w:t>
      </w:r>
      <w:r w:rsidR="008608DA" w:rsidRPr="00FE4CB5">
        <w:rPr>
          <w:rFonts w:hint="cs"/>
          <w:rtl/>
          <w:lang/>
        </w:rPr>
        <w:t>المادة 3 من الاتفاقية (المواد 3 و11 و16).</w:t>
      </w:r>
    </w:p>
    <w:p w:rsidR="008608DA" w:rsidRPr="007F4786" w:rsidRDefault="007F4786" w:rsidP="00A83CF9">
      <w:pPr>
        <w:pStyle w:val="SingleTxtGA"/>
        <w:rPr>
          <w:rFonts w:hint="cs"/>
          <w:b/>
          <w:bCs/>
          <w:rtl/>
        </w:rPr>
      </w:pPr>
      <w:r>
        <w:rPr>
          <w:rFonts w:hint="cs"/>
          <w:rtl/>
          <w:lang/>
        </w:rPr>
        <w:tab/>
      </w:r>
      <w:r w:rsidR="008608DA" w:rsidRPr="007F4786">
        <w:rPr>
          <w:rFonts w:hint="cs"/>
          <w:b/>
          <w:bCs/>
          <w:rtl/>
          <w:lang/>
        </w:rPr>
        <w:t>في ضوء التوصيات التي قدمتها اللجنة سابقاً (الفقرة 14) وتوصيات المقرر الخاص المعني بحقوق الإنسان للمهاجرين عقب بعثته إلى اليابان في عام 2011 (</w:t>
      </w:r>
      <w:r w:rsidR="008608DA" w:rsidRPr="007F4786">
        <w:rPr>
          <w:b/>
          <w:bCs/>
          <w:lang/>
        </w:rPr>
        <w:t>A/HRC/17/33/Add.3</w:t>
      </w:r>
      <w:r w:rsidR="008608DA" w:rsidRPr="007F4786">
        <w:rPr>
          <w:rFonts w:hint="cs"/>
          <w:b/>
          <w:bCs/>
          <w:rtl/>
        </w:rPr>
        <w:t xml:space="preserve">، الفقرة 82)، يتعين على الدولة الطرف القيام بما يلي: </w:t>
      </w:r>
    </w:p>
    <w:p w:rsidR="008608DA" w:rsidRPr="007F4786" w:rsidRDefault="007F4786" w:rsidP="00A83CF9">
      <w:pPr>
        <w:pStyle w:val="SingleTxtGA"/>
        <w:rPr>
          <w:rFonts w:hint="cs"/>
          <w:b/>
          <w:bCs/>
          <w:lang/>
        </w:rPr>
      </w:pPr>
      <w:r w:rsidRPr="007F4786">
        <w:rPr>
          <w:rFonts w:hint="cs"/>
          <w:b/>
          <w:bCs/>
          <w:rtl/>
        </w:rPr>
        <w:tab/>
        <w:t>(أ)</w:t>
      </w:r>
      <w:r w:rsidRPr="007F4786">
        <w:rPr>
          <w:rFonts w:hint="cs"/>
          <w:b/>
          <w:bCs/>
          <w:rtl/>
        </w:rPr>
        <w:tab/>
      </w:r>
      <w:r w:rsidR="00C4543B">
        <w:rPr>
          <w:rFonts w:hint="cs"/>
          <w:b/>
          <w:bCs/>
          <w:rtl/>
        </w:rPr>
        <w:t xml:space="preserve">مواصلة جهودها لمواءمة </w:t>
      </w:r>
      <w:r w:rsidR="008608DA" w:rsidRPr="007F4786">
        <w:rPr>
          <w:rFonts w:hint="cs"/>
          <w:b/>
          <w:bCs/>
          <w:rtl/>
        </w:rPr>
        <w:t>كل التشريعات والممارسات المتعلقة باحتجاز المهاجرين أو ملتمسي اللجوء وترحيلهم مع ال</w:t>
      </w:r>
      <w:r w:rsidR="008608DA" w:rsidRPr="007F4786">
        <w:rPr>
          <w:rFonts w:hint="cs"/>
          <w:b/>
          <w:bCs/>
          <w:rtl/>
          <w:lang/>
        </w:rPr>
        <w:t xml:space="preserve">مبدأ المطلق لعدم الإعادة القسرية بموجب المادة 3 من الاتفاقية؛ </w:t>
      </w:r>
    </w:p>
    <w:p w:rsidR="008608DA" w:rsidRPr="007F4786" w:rsidRDefault="007F4786" w:rsidP="00A83CF9">
      <w:pPr>
        <w:pStyle w:val="SingleTxtGA"/>
        <w:rPr>
          <w:rFonts w:hint="cs"/>
          <w:b/>
          <w:bCs/>
          <w:lang/>
        </w:rPr>
      </w:pPr>
      <w:r w:rsidRPr="007F4786">
        <w:rPr>
          <w:rFonts w:hint="cs"/>
          <w:b/>
          <w:bCs/>
          <w:rtl/>
          <w:lang/>
        </w:rPr>
        <w:tab/>
        <w:t>(ب)</w:t>
      </w:r>
      <w:r w:rsidRPr="007F4786">
        <w:rPr>
          <w:rFonts w:hint="cs"/>
          <w:b/>
          <w:bCs/>
          <w:rtl/>
          <w:lang/>
        </w:rPr>
        <w:tab/>
      </w:r>
      <w:r w:rsidR="008608DA" w:rsidRPr="007F4786">
        <w:rPr>
          <w:rFonts w:hint="cs"/>
          <w:b/>
          <w:bCs/>
          <w:rtl/>
          <w:lang/>
        </w:rPr>
        <w:t>ضمان عدم اللجوء إلى حجز ملتمسي اللجوء إلا كملاذ أخير، وعند الضرورة، على أن يكون ذلك لأقصر فترة ممكنة، وتحديد الحد الأقصى لفترة احتجاز المهاجرين رهن الترحيل؛</w:t>
      </w:r>
    </w:p>
    <w:p w:rsidR="008608DA" w:rsidRPr="007F4786" w:rsidRDefault="007F4786" w:rsidP="00A83CF9">
      <w:pPr>
        <w:pStyle w:val="SingleTxtGA"/>
        <w:rPr>
          <w:rFonts w:hint="cs"/>
          <w:b/>
          <w:bCs/>
          <w:rtl/>
          <w:lang/>
        </w:rPr>
      </w:pPr>
      <w:r w:rsidRPr="007F4786">
        <w:rPr>
          <w:rFonts w:hint="cs"/>
          <w:b/>
          <w:bCs/>
          <w:rtl/>
          <w:lang/>
        </w:rPr>
        <w:tab/>
      </w:r>
      <w:r w:rsidR="008608DA" w:rsidRPr="007F4786">
        <w:rPr>
          <w:rFonts w:hint="cs"/>
          <w:b/>
          <w:bCs/>
          <w:rtl/>
          <w:lang/>
        </w:rPr>
        <w:t>(ج)</w:t>
      </w:r>
      <w:r w:rsidRPr="007F4786">
        <w:rPr>
          <w:rFonts w:hint="cs"/>
          <w:b/>
          <w:bCs/>
          <w:rtl/>
          <w:lang/>
        </w:rPr>
        <w:tab/>
      </w:r>
      <w:r w:rsidR="008608DA" w:rsidRPr="007F4786">
        <w:rPr>
          <w:rFonts w:hint="cs"/>
          <w:b/>
          <w:bCs/>
          <w:rtl/>
          <w:lang/>
        </w:rPr>
        <w:t>اللجوء إلى المزيد من بدائل الاحتجاز وفق ما ينص عليه قانون مراقبة الهجرة والاعتراف باللاجئين؛</w:t>
      </w:r>
    </w:p>
    <w:p w:rsidR="008608DA" w:rsidRPr="007F4786" w:rsidRDefault="007F4786" w:rsidP="00A83CF9">
      <w:pPr>
        <w:pStyle w:val="SingleTxtGA"/>
        <w:rPr>
          <w:rFonts w:hint="cs"/>
          <w:b/>
          <w:bCs/>
          <w:rtl/>
          <w:lang/>
        </w:rPr>
      </w:pPr>
      <w:r w:rsidRPr="007F4786">
        <w:rPr>
          <w:rFonts w:hint="cs"/>
          <w:b/>
          <w:bCs/>
          <w:rtl/>
          <w:lang/>
        </w:rPr>
        <w:tab/>
      </w:r>
      <w:r w:rsidR="008608DA" w:rsidRPr="007F4786">
        <w:rPr>
          <w:rFonts w:hint="cs"/>
          <w:b/>
          <w:bCs/>
          <w:rtl/>
          <w:lang/>
        </w:rPr>
        <w:t>(د)</w:t>
      </w:r>
      <w:r w:rsidRPr="007F4786">
        <w:rPr>
          <w:rFonts w:hint="cs"/>
          <w:b/>
          <w:bCs/>
          <w:rtl/>
          <w:lang/>
        </w:rPr>
        <w:tab/>
      </w:r>
      <w:r w:rsidR="008608DA" w:rsidRPr="007F4786">
        <w:rPr>
          <w:rFonts w:hint="cs"/>
          <w:b/>
          <w:bCs/>
          <w:rtl/>
          <w:lang/>
        </w:rPr>
        <w:t xml:space="preserve">تعزيز استقلالية وسلطة وفعالية لجنة زيارة مرافق احتجاز المهاجرين عبر جملة وسائل منها توفير الموارد والسلطة المناسبة لضمان رصد مراكز الاحتجاز بفعالية والسماح لها بتلقي واستعراض الشكاوى من المهاجرين أو ملتمسي اللجوء المحتجزين؛ </w:t>
      </w:r>
    </w:p>
    <w:p w:rsidR="008608DA" w:rsidRPr="007F4786" w:rsidRDefault="007F4786" w:rsidP="00A83CF9">
      <w:pPr>
        <w:pStyle w:val="SingleTxtGA"/>
        <w:rPr>
          <w:rFonts w:hint="cs"/>
          <w:b/>
          <w:bCs/>
          <w:rtl/>
        </w:rPr>
      </w:pPr>
      <w:r w:rsidRPr="007F4786">
        <w:rPr>
          <w:rFonts w:hint="cs"/>
          <w:b/>
          <w:bCs/>
          <w:rtl/>
          <w:lang/>
        </w:rPr>
        <w:tab/>
      </w:r>
      <w:r w:rsidR="008608DA" w:rsidRPr="007F4786">
        <w:rPr>
          <w:rFonts w:hint="cs"/>
          <w:b/>
          <w:bCs/>
          <w:rtl/>
          <w:lang/>
        </w:rPr>
        <w:t>(</w:t>
      </w:r>
      <w:r w:rsidRPr="007F4786">
        <w:rPr>
          <w:rFonts w:hint="cs"/>
          <w:b/>
          <w:bCs/>
          <w:sz w:val="30"/>
          <w:rtl/>
          <w:lang/>
        </w:rPr>
        <w:t>ﻫ</w:t>
      </w:r>
      <w:r w:rsidRPr="007F4786">
        <w:rPr>
          <w:rFonts w:hint="cs"/>
          <w:b/>
          <w:bCs/>
          <w:rtl/>
          <w:lang/>
        </w:rPr>
        <w:t>)</w:t>
      </w:r>
      <w:r w:rsidRPr="007F4786">
        <w:rPr>
          <w:rFonts w:hint="cs"/>
          <w:b/>
          <w:bCs/>
          <w:rtl/>
          <w:lang/>
        </w:rPr>
        <w:tab/>
      </w:r>
      <w:r w:rsidR="008608DA" w:rsidRPr="007F4786">
        <w:rPr>
          <w:rFonts w:hint="cs"/>
          <w:b/>
          <w:bCs/>
          <w:rtl/>
          <w:lang/>
        </w:rPr>
        <w:t xml:space="preserve">النظر في </w:t>
      </w:r>
      <w:r w:rsidR="008608DA" w:rsidRPr="007F4786">
        <w:rPr>
          <w:rFonts w:hint="cs"/>
          <w:b/>
          <w:bCs/>
          <w:rtl/>
        </w:rPr>
        <w:t xml:space="preserve">الانضمام إلى اتفاقية عام 1954 المتعلقة بوضع الأشخاص عديمي الجنسية واتفاقية عام 1961 بشأن خفض عدد الأشخاص عديمي الجنسية. </w:t>
      </w:r>
    </w:p>
    <w:p w:rsidR="008608DA" w:rsidRPr="00205CDE" w:rsidRDefault="007F4786" w:rsidP="007F4786">
      <w:pPr>
        <w:pStyle w:val="H23GA"/>
        <w:rPr>
          <w:rFonts w:hint="cs"/>
          <w:rtl/>
        </w:rPr>
      </w:pPr>
      <w:r>
        <w:rPr>
          <w:rFonts w:hint="cs"/>
          <w:rtl/>
        </w:rPr>
        <w:tab/>
      </w:r>
      <w:r>
        <w:rPr>
          <w:rFonts w:hint="cs"/>
          <w:rtl/>
        </w:rPr>
        <w:tab/>
      </w:r>
      <w:r w:rsidR="008608DA" w:rsidRPr="00205CDE">
        <w:rPr>
          <w:rFonts w:hint="cs"/>
          <w:rtl/>
        </w:rPr>
        <w:t>نظام الاحتجاز البديل (</w:t>
      </w:r>
      <w:r w:rsidR="008608DA" w:rsidRPr="00205CDE">
        <w:t>Daiyo Kangoku</w:t>
      </w:r>
      <w:r w:rsidR="008608DA" w:rsidRPr="00205CDE">
        <w:rPr>
          <w:rFonts w:hint="cs"/>
          <w:rtl/>
        </w:rPr>
        <w:t>)</w:t>
      </w:r>
    </w:p>
    <w:p w:rsidR="008608DA" w:rsidRPr="00485083" w:rsidRDefault="007F4786" w:rsidP="007F4786">
      <w:pPr>
        <w:pStyle w:val="SingleTxtGA"/>
        <w:rPr>
          <w:rFonts w:hint="cs"/>
          <w:rtl/>
        </w:rPr>
      </w:pPr>
      <w:r>
        <w:rPr>
          <w:rFonts w:hint="cs"/>
          <w:rtl/>
        </w:rPr>
        <w:t>(</w:t>
      </w:r>
      <w:r w:rsidR="008608DA" w:rsidRPr="00FE4CB5">
        <w:rPr>
          <w:rFonts w:hint="cs"/>
          <w:rtl/>
        </w:rPr>
        <w:t>10</w:t>
      </w:r>
      <w:r>
        <w:rPr>
          <w:rFonts w:hint="cs"/>
          <w:rtl/>
        </w:rPr>
        <w:t>)</w:t>
      </w:r>
      <w:r>
        <w:rPr>
          <w:rFonts w:hint="cs"/>
          <w:rtl/>
        </w:rPr>
        <w:tab/>
      </w:r>
      <w:r w:rsidR="008608DA" w:rsidRPr="00FE4CB5">
        <w:rPr>
          <w:rFonts w:hint="cs"/>
          <w:rtl/>
        </w:rPr>
        <w:t>بينما تلاحظ اللجنة ا</w:t>
      </w:r>
      <w:r w:rsidR="0081190D">
        <w:rPr>
          <w:rFonts w:hint="cs"/>
          <w:rtl/>
        </w:rPr>
        <w:t>لفصل رسمياً بين وظائف الشرطة في</w:t>
      </w:r>
      <w:r w:rsidR="008608DA" w:rsidRPr="00FE4CB5">
        <w:rPr>
          <w:rFonts w:hint="cs"/>
          <w:rtl/>
        </w:rPr>
        <w:t xml:space="preserve">ما يتعلق بالتحقيق والاحتجاز بموجب القانون الخاص بمرافق الاعتقال ومعاملة </w:t>
      </w:r>
      <w:r w:rsidR="008608DA">
        <w:rPr>
          <w:rFonts w:hint="cs"/>
          <w:rtl/>
        </w:rPr>
        <w:t>السجناء</w:t>
      </w:r>
      <w:r w:rsidR="008608DA" w:rsidRPr="00FE4CB5">
        <w:rPr>
          <w:rFonts w:hint="cs"/>
          <w:rtl/>
        </w:rPr>
        <w:t xml:space="preserve"> والموقوفين، تعرب اللجنة عن قلقها </w:t>
      </w:r>
      <w:r w:rsidR="008608DA" w:rsidRPr="00205CDE">
        <w:rPr>
          <w:rFonts w:hint="cs"/>
          <w:rtl/>
        </w:rPr>
        <w:t>الشديد</w:t>
      </w:r>
      <w:r w:rsidR="008608DA" w:rsidRPr="00FE4CB5">
        <w:rPr>
          <w:rFonts w:hint="cs"/>
          <w:rtl/>
        </w:rPr>
        <w:t xml:space="preserve"> إزاء نقص الضمانات في نظام الاحتجاز البديل</w:t>
      </w:r>
      <w:r>
        <w:rPr>
          <w:rFonts w:hint="cs"/>
          <w:rtl/>
        </w:rPr>
        <w:t xml:space="preserve"> </w:t>
      </w:r>
      <w:r w:rsidR="008608DA">
        <w:t xml:space="preserve">Daiyo </w:t>
      </w:r>
      <w:r w:rsidR="008608DA" w:rsidRPr="00FE4CB5">
        <w:t>Kangoku</w:t>
      </w:r>
      <w:r w:rsidR="008608DA">
        <w:rPr>
          <w:rFonts w:hint="cs"/>
          <w:rtl/>
        </w:rPr>
        <w:t xml:space="preserve"> </w:t>
      </w:r>
      <w:r w:rsidR="008608DA" w:rsidRPr="00FE4CB5">
        <w:rPr>
          <w:rFonts w:hint="cs"/>
          <w:rtl/>
        </w:rPr>
        <w:t xml:space="preserve">الذي يحدّ من وفاء الدولة الطرف بالتزاماتها بموجب الاتفاقية. وعلى وجه الخصوص، تأسف اللجنة أسفاً شديداً لإمكانية احتجاز المشتبه بهم في زنزانات الشرطة </w:t>
      </w:r>
      <w:r w:rsidR="008608DA">
        <w:rPr>
          <w:rFonts w:hint="cs"/>
          <w:rtl/>
        </w:rPr>
        <w:t xml:space="preserve">لفترة تصل </w:t>
      </w:r>
      <w:r w:rsidR="008608DA" w:rsidRPr="00FE4CB5">
        <w:rPr>
          <w:rFonts w:hint="cs"/>
          <w:rtl/>
        </w:rPr>
        <w:t>23 يوماً بموجب هذا النظام، و</w:t>
      </w:r>
      <w:r w:rsidR="008608DA">
        <w:rPr>
          <w:rFonts w:hint="cs"/>
          <w:rtl/>
        </w:rPr>
        <w:t xml:space="preserve">محدودية فرص </w:t>
      </w:r>
      <w:r w:rsidR="008608DA" w:rsidRPr="00FE4CB5">
        <w:rPr>
          <w:rFonts w:hint="cs"/>
          <w:rtl/>
        </w:rPr>
        <w:t>حصولهم على محامٍ لا</w:t>
      </w:r>
      <w:r>
        <w:rPr>
          <w:rFonts w:hint="cs"/>
          <w:rtl/>
        </w:rPr>
        <w:t xml:space="preserve"> </w:t>
      </w:r>
      <w:r w:rsidR="008608DA" w:rsidRPr="00FE4CB5">
        <w:rPr>
          <w:rFonts w:hint="cs"/>
          <w:rtl/>
        </w:rPr>
        <w:t>سيما خلال أول 72 ساعة من الاعتقال في زنزانات الشرطة</w:t>
      </w:r>
      <w:r w:rsidR="008608DA">
        <w:rPr>
          <w:rFonts w:hint="cs"/>
          <w:rtl/>
        </w:rPr>
        <w:t xml:space="preserve"> وعدم توافر فرص الإفراج بكفالة</w:t>
      </w:r>
      <w:r w:rsidR="008608DA" w:rsidRPr="00FE4CB5">
        <w:rPr>
          <w:rFonts w:hint="cs"/>
          <w:rtl/>
        </w:rPr>
        <w:t>. فنقص المراقبة القضائية الفعالة على</w:t>
      </w:r>
      <w:r>
        <w:rPr>
          <w:rFonts w:hint="cs"/>
          <w:rtl/>
        </w:rPr>
        <w:t xml:space="preserve"> </w:t>
      </w:r>
      <w:r w:rsidR="008608DA">
        <w:rPr>
          <w:rFonts w:hint="cs"/>
          <w:rtl/>
        </w:rPr>
        <w:t>الحبس الاحتياطي</w:t>
      </w:r>
      <w:r w:rsidR="008608DA" w:rsidRPr="00FE4CB5">
        <w:rPr>
          <w:rFonts w:hint="cs"/>
          <w:rtl/>
        </w:rPr>
        <w:t xml:space="preserve"> في زنزانات الشرطة وغياب آلية تفتيش وتقديم شكاوى مستقلة، يشكلان</w:t>
      </w:r>
      <w:r>
        <w:rPr>
          <w:rFonts w:hint="eastAsia"/>
          <w:rtl/>
        </w:rPr>
        <w:t> </w:t>
      </w:r>
      <w:r w:rsidR="008608DA" w:rsidRPr="00FE4CB5">
        <w:rPr>
          <w:rFonts w:hint="cs"/>
          <w:rtl/>
        </w:rPr>
        <w:t xml:space="preserve">مصدر </w:t>
      </w:r>
      <w:r w:rsidR="008608DA">
        <w:rPr>
          <w:rFonts w:hint="cs"/>
          <w:rtl/>
        </w:rPr>
        <w:t xml:space="preserve">قلق </w:t>
      </w:r>
      <w:r w:rsidR="008608DA" w:rsidRPr="00FE4CB5">
        <w:rPr>
          <w:rFonts w:hint="cs"/>
          <w:rtl/>
        </w:rPr>
        <w:t xml:space="preserve">بالغ للجنة. </w:t>
      </w:r>
      <w:r w:rsidR="008608DA">
        <w:rPr>
          <w:rFonts w:hint="cs"/>
          <w:rtl/>
        </w:rPr>
        <w:t>و</w:t>
      </w:r>
      <w:r w:rsidR="008608DA" w:rsidRPr="00FE4CB5">
        <w:rPr>
          <w:rFonts w:hint="cs"/>
          <w:rtl/>
        </w:rPr>
        <w:t xml:space="preserve">فضلاً عن ذلك، تأسف اللجنة </w:t>
      </w:r>
      <w:r w:rsidR="008608DA">
        <w:rPr>
          <w:rFonts w:hint="cs"/>
          <w:rtl/>
        </w:rPr>
        <w:t>ل</w:t>
      </w:r>
      <w:r w:rsidR="008608DA" w:rsidRPr="00FE4CB5">
        <w:rPr>
          <w:rFonts w:hint="cs"/>
          <w:rtl/>
        </w:rPr>
        <w:t>موقف الدولة الطرف</w:t>
      </w:r>
      <w:r w:rsidR="008608DA">
        <w:rPr>
          <w:rFonts w:hint="cs"/>
          <w:rtl/>
        </w:rPr>
        <w:t xml:space="preserve"> التي ترى </w:t>
      </w:r>
      <w:r w:rsidR="008608DA" w:rsidRPr="00FE4CB5">
        <w:rPr>
          <w:rFonts w:hint="cs"/>
          <w:rtl/>
        </w:rPr>
        <w:t>أنه من غير الضروري إلغاء</w:t>
      </w:r>
      <w:r w:rsidR="008608DA">
        <w:rPr>
          <w:rFonts w:hint="cs"/>
          <w:rtl/>
        </w:rPr>
        <w:t xml:space="preserve"> نظامالحبس الاحتياطي</w:t>
      </w:r>
      <w:r w:rsidR="008608DA" w:rsidRPr="00FE4CB5">
        <w:rPr>
          <w:rFonts w:hint="cs"/>
          <w:rtl/>
        </w:rPr>
        <w:t xml:space="preserve"> أو إصلاحه (</w:t>
      </w:r>
      <w:r w:rsidR="008608DA" w:rsidRPr="00FE4CB5">
        <w:t>A/HRC/22/14/Add.1</w:t>
      </w:r>
      <w:r w:rsidR="008608DA" w:rsidRPr="00FE4CB5">
        <w:rPr>
          <w:rFonts w:hint="cs"/>
          <w:rtl/>
        </w:rPr>
        <w:t>، الفقرة 147</w:t>
      </w:r>
      <w:r>
        <w:rPr>
          <w:rFonts w:hint="cs"/>
          <w:rtl/>
        </w:rPr>
        <w:t>-</w:t>
      </w:r>
      <w:r w:rsidR="008608DA" w:rsidRPr="00FE4CB5">
        <w:rPr>
          <w:rFonts w:hint="cs"/>
          <w:rtl/>
        </w:rPr>
        <w:t xml:space="preserve">116) (المادتان 2 </w:t>
      </w:r>
      <w:r w:rsidR="008608DA" w:rsidRPr="00485083">
        <w:rPr>
          <w:rFonts w:hint="cs"/>
          <w:rtl/>
        </w:rPr>
        <w:t xml:space="preserve">و6). </w:t>
      </w:r>
    </w:p>
    <w:p w:rsidR="008608DA" w:rsidRPr="007F4786" w:rsidRDefault="007F4786" w:rsidP="00F82F4E">
      <w:pPr>
        <w:pStyle w:val="SingleTxtGA"/>
        <w:spacing w:line="370" w:lineRule="exact"/>
        <w:rPr>
          <w:rFonts w:hint="cs"/>
          <w:b/>
          <w:bCs/>
          <w:rtl/>
        </w:rPr>
      </w:pPr>
      <w:r w:rsidRPr="007F4786">
        <w:rPr>
          <w:rFonts w:hint="cs"/>
          <w:b/>
          <w:bCs/>
          <w:rtl/>
        </w:rPr>
        <w:tab/>
      </w:r>
      <w:r w:rsidR="008608DA" w:rsidRPr="007F4786">
        <w:rPr>
          <w:rFonts w:hint="cs"/>
          <w:b/>
          <w:bCs/>
          <w:rtl/>
        </w:rPr>
        <w:t>تكرر اللجنة توصياتها السابقة (الفقرة 15) بأنّه يتعين على الدولة الطرف القيام</w:t>
      </w:r>
      <w:r>
        <w:rPr>
          <w:rFonts w:hint="eastAsia"/>
          <w:b/>
          <w:bCs/>
          <w:rtl/>
        </w:rPr>
        <w:t> </w:t>
      </w:r>
      <w:r w:rsidR="008608DA" w:rsidRPr="007F4786">
        <w:rPr>
          <w:rFonts w:hint="cs"/>
          <w:b/>
          <w:bCs/>
          <w:rtl/>
        </w:rPr>
        <w:t>بما يلي:</w:t>
      </w:r>
    </w:p>
    <w:p w:rsidR="008608DA" w:rsidRPr="007F4786" w:rsidRDefault="007F4786" w:rsidP="00F82F4E">
      <w:pPr>
        <w:pStyle w:val="SingleTxtGA"/>
        <w:spacing w:line="370" w:lineRule="exact"/>
        <w:rPr>
          <w:rFonts w:hint="cs"/>
          <w:b/>
          <w:bCs/>
          <w:rtl/>
        </w:rPr>
      </w:pPr>
      <w:r w:rsidRPr="007F4786">
        <w:rPr>
          <w:rFonts w:hint="cs"/>
          <w:b/>
          <w:bCs/>
          <w:rtl/>
        </w:rPr>
        <w:tab/>
        <w:t>(أ)</w:t>
      </w:r>
      <w:r w:rsidRPr="007F4786">
        <w:rPr>
          <w:rFonts w:hint="cs"/>
          <w:b/>
          <w:bCs/>
          <w:rtl/>
        </w:rPr>
        <w:tab/>
      </w:r>
      <w:r w:rsidR="008608DA" w:rsidRPr="007F4786">
        <w:rPr>
          <w:rFonts w:hint="cs"/>
          <w:b/>
          <w:bCs/>
          <w:rtl/>
        </w:rPr>
        <w:t xml:space="preserve">اتخاذ التدابير التشريعية </w:t>
      </w:r>
      <w:r w:rsidR="00C4543B">
        <w:rPr>
          <w:rFonts w:hint="cs"/>
          <w:b/>
          <w:bCs/>
          <w:rtl/>
        </w:rPr>
        <w:t xml:space="preserve">وسواها من التدابير لضمان الفصل </w:t>
      </w:r>
      <w:r w:rsidR="008608DA" w:rsidRPr="007F4786">
        <w:rPr>
          <w:rFonts w:hint="cs"/>
          <w:b/>
          <w:bCs/>
          <w:rtl/>
        </w:rPr>
        <w:t>في الممارسة بين وظائف التحقيق والاحتجاز؛</w:t>
      </w:r>
    </w:p>
    <w:p w:rsidR="008608DA" w:rsidRPr="007F4786" w:rsidRDefault="007F4786" w:rsidP="00F82F4E">
      <w:pPr>
        <w:pStyle w:val="SingleTxtGA"/>
        <w:spacing w:line="370" w:lineRule="exact"/>
        <w:rPr>
          <w:rFonts w:hint="cs"/>
          <w:b/>
          <w:bCs/>
        </w:rPr>
      </w:pPr>
      <w:r w:rsidRPr="007F4786">
        <w:rPr>
          <w:rFonts w:hint="cs"/>
          <w:b/>
          <w:bCs/>
          <w:rtl/>
        </w:rPr>
        <w:tab/>
        <w:t>(ب)</w:t>
      </w:r>
      <w:r w:rsidRPr="007F4786">
        <w:rPr>
          <w:rFonts w:hint="cs"/>
          <w:b/>
          <w:bCs/>
          <w:rtl/>
        </w:rPr>
        <w:tab/>
      </w:r>
      <w:r w:rsidR="008608DA" w:rsidRPr="007F4786">
        <w:rPr>
          <w:rFonts w:hint="cs"/>
          <w:b/>
          <w:bCs/>
          <w:rtl/>
        </w:rPr>
        <w:t>تحديد الفترة القصوى لإبقاء المحتجزين في مراكز احتجاز الشرطة؛</w:t>
      </w:r>
    </w:p>
    <w:p w:rsidR="008608DA" w:rsidRPr="007F4786" w:rsidRDefault="007F4786" w:rsidP="00F82F4E">
      <w:pPr>
        <w:pStyle w:val="SingleTxtGA"/>
        <w:spacing w:line="370" w:lineRule="exact"/>
        <w:rPr>
          <w:rFonts w:ascii="Times New Roman Bold" w:hAnsi="Times New Roman Bold" w:hint="cs"/>
          <w:b/>
          <w:bCs/>
          <w:spacing w:val="-2"/>
          <w:rtl/>
        </w:rPr>
      </w:pPr>
      <w:r w:rsidRPr="007F4786">
        <w:rPr>
          <w:rFonts w:ascii="Times New Roman Bold" w:hAnsi="Times New Roman Bold" w:hint="cs"/>
          <w:b/>
          <w:bCs/>
          <w:spacing w:val="-2"/>
          <w:rtl/>
        </w:rPr>
        <w:tab/>
      </w:r>
      <w:r w:rsidR="008608DA" w:rsidRPr="007F4786">
        <w:rPr>
          <w:rFonts w:ascii="Times New Roman Bold" w:hAnsi="Times New Roman Bold" w:hint="cs"/>
          <w:b/>
          <w:bCs/>
          <w:spacing w:val="-2"/>
          <w:rtl/>
        </w:rPr>
        <w:t>(ج)</w:t>
      </w:r>
      <w:r w:rsidRPr="007F4786">
        <w:rPr>
          <w:rFonts w:ascii="Times New Roman Bold" w:hAnsi="Times New Roman Bold" w:hint="cs"/>
          <w:b/>
          <w:bCs/>
          <w:spacing w:val="-2"/>
          <w:rtl/>
        </w:rPr>
        <w:tab/>
      </w:r>
      <w:r w:rsidR="008608DA" w:rsidRPr="007F4786">
        <w:rPr>
          <w:rFonts w:ascii="Times New Roman Bold" w:hAnsi="Times New Roman Bold" w:hint="cs"/>
          <w:b/>
          <w:bCs/>
          <w:spacing w:val="-2"/>
          <w:rtl/>
        </w:rPr>
        <w:t>ضمان كافة الضمانات القانونية الأساسية لجميع المشتبه بهم رهن الحبس الاحتياطي، بما في ذلك الحق بالاتصال بمحام بسرية تامة طيلة عملية الاستجواب، والحق في المساعدة القانونية بدءاً من لحظة الاعتقال والاطلاع على كافة سجلات الشرطة ا</w:t>
      </w:r>
      <w:r w:rsidR="00777841">
        <w:rPr>
          <w:rFonts w:ascii="Times New Roman Bold" w:hAnsi="Times New Roman Bold" w:hint="cs"/>
          <w:b/>
          <w:bCs/>
          <w:spacing w:val="-2"/>
          <w:rtl/>
        </w:rPr>
        <w:t xml:space="preserve">لمتعلقة بقضيتهم، فضلاً عن الحق </w:t>
      </w:r>
      <w:r w:rsidR="008608DA" w:rsidRPr="007F4786">
        <w:rPr>
          <w:rFonts w:ascii="Times New Roman Bold" w:hAnsi="Times New Roman Bold" w:hint="cs"/>
          <w:b/>
          <w:bCs/>
          <w:spacing w:val="-2"/>
          <w:rtl/>
        </w:rPr>
        <w:t>في الحصول على المساعدة الطبية المستقلة والاتصال بالأقارب؛</w:t>
      </w:r>
    </w:p>
    <w:p w:rsidR="008608DA" w:rsidRPr="007F4786" w:rsidRDefault="007F4786" w:rsidP="00F82F4E">
      <w:pPr>
        <w:pStyle w:val="SingleTxtGA"/>
        <w:spacing w:line="370" w:lineRule="exact"/>
        <w:rPr>
          <w:rFonts w:hint="cs"/>
          <w:b/>
          <w:bCs/>
          <w:rtl/>
        </w:rPr>
      </w:pPr>
      <w:r w:rsidRPr="007F4786">
        <w:rPr>
          <w:rFonts w:hint="cs"/>
          <w:b/>
          <w:bCs/>
          <w:rtl/>
        </w:rPr>
        <w:tab/>
      </w:r>
      <w:r w:rsidR="008608DA" w:rsidRPr="007F4786">
        <w:rPr>
          <w:rFonts w:hint="cs"/>
          <w:b/>
          <w:bCs/>
          <w:rtl/>
        </w:rPr>
        <w:t>(د)</w:t>
      </w:r>
      <w:r w:rsidRPr="007F4786">
        <w:rPr>
          <w:rFonts w:hint="cs"/>
          <w:b/>
          <w:bCs/>
          <w:rtl/>
        </w:rPr>
        <w:tab/>
      </w:r>
      <w:r w:rsidR="008608DA" w:rsidRPr="007F4786">
        <w:rPr>
          <w:rFonts w:hint="cs"/>
          <w:b/>
          <w:bCs/>
          <w:rtl/>
        </w:rPr>
        <w:t xml:space="preserve">النظر في إلغاء نظام الاحتجاز البديل </w:t>
      </w:r>
      <w:r w:rsidR="008608DA" w:rsidRPr="007F4786">
        <w:rPr>
          <w:b/>
          <w:bCs/>
        </w:rPr>
        <w:t>Daiyo Kangoku</w:t>
      </w:r>
      <w:r w:rsidR="008608DA" w:rsidRPr="007F4786">
        <w:rPr>
          <w:rFonts w:hint="cs"/>
          <w:b/>
          <w:bCs/>
          <w:rtl/>
        </w:rPr>
        <w:t xml:space="preserve"> بغية مواءمة تشريع الدولة الطرف وممارساتها بصورة كاملة مع المعايير الدولية. </w:t>
      </w:r>
    </w:p>
    <w:p w:rsidR="008608DA" w:rsidRPr="00B65E49" w:rsidRDefault="00386BD9" w:rsidP="00F82F4E">
      <w:pPr>
        <w:pStyle w:val="H23GA"/>
        <w:spacing w:line="370" w:lineRule="exact"/>
        <w:rPr>
          <w:rFonts w:hint="cs"/>
          <w:rtl/>
        </w:rPr>
      </w:pPr>
      <w:r>
        <w:rPr>
          <w:rFonts w:hint="cs"/>
          <w:rtl/>
        </w:rPr>
        <w:tab/>
      </w:r>
      <w:r>
        <w:rPr>
          <w:rFonts w:hint="cs"/>
          <w:rtl/>
        </w:rPr>
        <w:tab/>
      </w:r>
      <w:r w:rsidR="008608DA" w:rsidRPr="00B65E49">
        <w:rPr>
          <w:rFonts w:hint="cs"/>
          <w:rtl/>
        </w:rPr>
        <w:t>الاستجواب والاعتراف</w:t>
      </w:r>
    </w:p>
    <w:p w:rsidR="008608DA" w:rsidRPr="00FE4CB5" w:rsidRDefault="00386BD9" w:rsidP="00F82F4E">
      <w:pPr>
        <w:pStyle w:val="SingleTxtGA"/>
        <w:spacing w:line="370" w:lineRule="exact"/>
        <w:rPr>
          <w:rFonts w:hint="cs"/>
          <w:rtl/>
        </w:rPr>
      </w:pPr>
      <w:r>
        <w:rPr>
          <w:rFonts w:hint="cs"/>
          <w:rtl/>
        </w:rPr>
        <w:t>(</w:t>
      </w:r>
      <w:r w:rsidR="008608DA" w:rsidRPr="00FE4CB5">
        <w:rPr>
          <w:rFonts w:hint="cs"/>
          <w:rtl/>
        </w:rPr>
        <w:t>1</w:t>
      </w:r>
      <w:r w:rsidR="008608DA">
        <w:rPr>
          <w:rFonts w:hint="cs"/>
          <w:rtl/>
        </w:rPr>
        <w:t>1</w:t>
      </w:r>
      <w:r>
        <w:rPr>
          <w:rFonts w:hint="cs"/>
          <w:rtl/>
        </w:rPr>
        <w:t>)</w:t>
      </w:r>
      <w:r>
        <w:rPr>
          <w:rFonts w:hint="cs"/>
          <w:rtl/>
        </w:rPr>
        <w:tab/>
        <w:t>تحيط اللجنة علماً بالمادة 38(2) من الدستور والمادة 319</w:t>
      </w:r>
      <w:r w:rsidR="008608DA" w:rsidRPr="00FE4CB5">
        <w:rPr>
          <w:rFonts w:hint="cs"/>
          <w:rtl/>
        </w:rPr>
        <w:t>(1) من قانون الإجراءات الجنائية ال</w:t>
      </w:r>
      <w:r w:rsidR="008608DA">
        <w:rPr>
          <w:rFonts w:hint="cs"/>
          <w:rtl/>
        </w:rPr>
        <w:t xml:space="preserve">لتان تنصان </w:t>
      </w:r>
      <w:r w:rsidR="008608DA" w:rsidRPr="00FE4CB5">
        <w:rPr>
          <w:rFonts w:hint="cs"/>
          <w:rtl/>
        </w:rPr>
        <w:t xml:space="preserve">على عدم قبول المحكمة للاعترافات </w:t>
      </w:r>
      <w:r w:rsidR="008608DA">
        <w:rPr>
          <w:rFonts w:hint="cs"/>
          <w:rtl/>
        </w:rPr>
        <w:t>المنتزعة</w:t>
      </w:r>
      <w:r w:rsidR="008608DA" w:rsidRPr="00FE4CB5">
        <w:rPr>
          <w:rFonts w:hint="cs"/>
          <w:rtl/>
        </w:rPr>
        <w:t xml:space="preserve"> تحت التعذيب وسوء المعاملة</w:t>
      </w:r>
      <w:r w:rsidR="008608DA">
        <w:rPr>
          <w:rFonts w:hint="cs"/>
          <w:rtl/>
        </w:rPr>
        <w:t>،</w:t>
      </w:r>
      <w:r w:rsidR="008608DA" w:rsidRPr="00FE4CB5">
        <w:rPr>
          <w:rFonts w:hint="cs"/>
          <w:rtl/>
        </w:rPr>
        <w:t xml:space="preserve"> فضلاً عن تصريح الدولة الطرف </w:t>
      </w:r>
      <w:r w:rsidR="008608DA">
        <w:rPr>
          <w:rFonts w:hint="cs"/>
          <w:rtl/>
        </w:rPr>
        <w:t xml:space="preserve">بأن </w:t>
      </w:r>
      <w:r w:rsidR="008608DA" w:rsidRPr="00FE4CB5">
        <w:rPr>
          <w:rFonts w:hint="cs"/>
          <w:rtl/>
        </w:rPr>
        <w:t>الإدانات</w:t>
      </w:r>
      <w:r w:rsidR="008608DA">
        <w:rPr>
          <w:rFonts w:hint="cs"/>
          <w:rtl/>
        </w:rPr>
        <w:t xml:space="preserve"> لا تستند</w:t>
      </w:r>
      <w:r w:rsidR="008608DA" w:rsidRPr="00FE4CB5">
        <w:rPr>
          <w:rFonts w:hint="cs"/>
          <w:rtl/>
        </w:rPr>
        <w:t xml:space="preserve"> حصراً على الاعترافات وبأن المبادئ التوجيهية للتحقيق </w:t>
      </w:r>
      <w:r w:rsidR="008608DA">
        <w:rPr>
          <w:rFonts w:hint="cs"/>
          <w:rtl/>
        </w:rPr>
        <w:t xml:space="preserve">تكفل </w:t>
      </w:r>
      <w:r w:rsidR="008608DA" w:rsidRPr="00FE4CB5">
        <w:rPr>
          <w:rFonts w:hint="cs"/>
          <w:rtl/>
        </w:rPr>
        <w:t>عدم إجبار المشتبه بهم على الاعتراف بأي جريمة.</w:t>
      </w:r>
      <w:r w:rsidR="008608DA">
        <w:rPr>
          <w:rFonts w:hint="cs"/>
          <w:rtl/>
        </w:rPr>
        <w:t xml:space="preserve"> بيد أن</w:t>
      </w:r>
      <w:r w:rsidR="008608DA" w:rsidRPr="00FE4CB5">
        <w:rPr>
          <w:rFonts w:hint="cs"/>
          <w:rtl/>
        </w:rPr>
        <w:t xml:space="preserve"> القلق لا يزال يساور اللجنة إزاء ما يلي: </w:t>
      </w:r>
    </w:p>
    <w:p w:rsidR="008608DA" w:rsidRPr="00FE4CB5" w:rsidRDefault="00386BD9" w:rsidP="00A83CF9">
      <w:pPr>
        <w:pStyle w:val="SingleTxtGA"/>
        <w:rPr>
          <w:rFonts w:hint="cs"/>
          <w:rtl/>
        </w:rPr>
      </w:pPr>
      <w:r>
        <w:rPr>
          <w:rFonts w:hint="cs"/>
          <w:rtl/>
        </w:rPr>
        <w:tab/>
      </w:r>
      <w:r w:rsidR="008608DA" w:rsidRPr="00FE4CB5">
        <w:rPr>
          <w:rFonts w:hint="cs"/>
          <w:rtl/>
        </w:rPr>
        <w:t>(أ)</w:t>
      </w:r>
      <w:r>
        <w:rPr>
          <w:rFonts w:hint="cs"/>
          <w:rtl/>
        </w:rPr>
        <w:tab/>
      </w:r>
      <w:r w:rsidR="008608DA">
        <w:rPr>
          <w:rFonts w:hint="cs"/>
          <w:rtl/>
        </w:rPr>
        <w:t>اعتماد</w:t>
      </w:r>
      <w:r w:rsidR="008608DA" w:rsidRPr="00FE4CB5">
        <w:rPr>
          <w:rFonts w:hint="cs"/>
          <w:rtl/>
        </w:rPr>
        <w:t xml:space="preserve"> نظام العدالة في الدولة الطرف </w:t>
      </w:r>
      <w:r w:rsidR="008608DA">
        <w:rPr>
          <w:rFonts w:hint="cs"/>
          <w:rtl/>
        </w:rPr>
        <w:t>اعتمادا</w:t>
      </w:r>
      <w:r w:rsidR="00F82F4E">
        <w:rPr>
          <w:rFonts w:hint="cs"/>
          <w:rtl/>
        </w:rPr>
        <w:t>ً</w:t>
      </w:r>
      <w:r w:rsidR="008608DA">
        <w:rPr>
          <w:rFonts w:hint="cs"/>
          <w:rtl/>
        </w:rPr>
        <w:t xml:space="preserve"> كبيرا</w:t>
      </w:r>
      <w:r w:rsidR="00F82F4E">
        <w:rPr>
          <w:rFonts w:hint="cs"/>
          <w:rtl/>
        </w:rPr>
        <w:t>ً</w:t>
      </w:r>
      <w:r w:rsidR="008608DA">
        <w:rPr>
          <w:rFonts w:hint="cs"/>
          <w:rtl/>
        </w:rPr>
        <w:t xml:space="preserve">، في الممارسة، </w:t>
      </w:r>
      <w:r w:rsidR="008608DA" w:rsidRPr="00FE4CB5">
        <w:rPr>
          <w:rFonts w:hint="cs"/>
          <w:rtl/>
        </w:rPr>
        <w:t xml:space="preserve">على الاعترافات، التي </w:t>
      </w:r>
      <w:r w:rsidR="008608DA">
        <w:rPr>
          <w:rFonts w:hint="cs"/>
          <w:rtl/>
        </w:rPr>
        <w:t xml:space="preserve">تحصل </w:t>
      </w:r>
      <w:r w:rsidR="008608DA" w:rsidRPr="00FE4CB5">
        <w:rPr>
          <w:rFonts w:hint="cs"/>
          <w:rtl/>
        </w:rPr>
        <w:t xml:space="preserve">غالباً خلال الاحتجاز بموجب نظام </w:t>
      </w:r>
      <w:r w:rsidR="008608DA" w:rsidRPr="00FE4CB5">
        <w:rPr>
          <w:rFonts w:hint="eastAsia"/>
          <w:lang w:eastAsia="ko-KR"/>
        </w:rPr>
        <w:t>D</w:t>
      </w:r>
      <w:r w:rsidR="008608DA" w:rsidRPr="00FE4CB5">
        <w:t>aiyo</w:t>
      </w:r>
      <w:r w:rsidR="008608DA" w:rsidRPr="00FE4CB5">
        <w:rPr>
          <w:rFonts w:hint="eastAsia"/>
        </w:rPr>
        <w:t xml:space="preserve"> </w:t>
      </w:r>
      <w:r w:rsidR="008608DA" w:rsidRPr="00FE4CB5">
        <w:rPr>
          <w:rFonts w:hint="eastAsia"/>
          <w:lang w:eastAsia="ko-KR"/>
        </w:rPr>
        <w:t>K</w:t>
      </w:r>
      <w:r w:rsidR="008608DA" w:rsidRPr="00FE4CB5">
        <w:t>angoku</w:t>
      </w:r>
      <w:r w:rsidR="008608DA" w:rsidRPr="00FE4CB5">
        <w:rPr>
          <w:rFonts w:hint="cs"/>
          <w:rtl/>
        </w:rPr>
        <w:t xml:space="preserve"> </w:t>
      </w:r>
      <w:r w:rsidR="008608DA">
        <w:rPr>
          <w:rFonts w:hint="cs"/>
          <w:rtl/>
        </w:rPr>
        <w:t>و</w:t>
      </w:r>
      <w:r w:rsidR="008608DA" w:rsidRPr="00FE4CB5">
        <w:rPr>
          <w:rFonts w:hint="cs"/>
          <w:rtl/>
        </w:rPr>
        <w:t xml:space="preserve">بدون حضور محامٍ. </w:t>
      </w:r>
      <w:r w:rsidR="008608DA">
        <w:rPr>
          <w:rFonts w:hint="cs"/>
          <w:rtl/>
        </w:rPr>
        <w:t>و</w:t>
      </w:r>
      <w:r w:rsidR="008608DA" w:rsidRPr="00FE4CB5">
        <w:rPr>
          <w:rFonts w:hint="cs"/>
          <w:rtl/>
        </w:rPr>
        <w:t xml:space="preserve">تلقت اللجنة تقارير بشأن سوء المعاملة خلال الاستجواب من قبيل الضرب والتهديد والحرمان من النوم والاستجواب </w:t>
      </w:r>
      <w:r w:rsidR="008608DA">
        <w:rPr>
          <w:rFonts w:hint="cs"/>
          <w:rtl/>
        </w:rPr>
        <w:t xml:space="preserve">لفترات </w:t>
      </w:r>
      <w:r w:rsidR="008608DA" w:rsidRPr="00FE4CB5">
        <w:rPr>
          <w:rFonts w:hint="cs"/>
          <w:rtl/>
        </w:rPr>
        <w:t>طويلة بدون انقطاع؛</w:t>
      </w:r>
    </w:p>
    <w:p w:rsidR="008608DA" w:rsidRPr="00FE4CB5" w:rsidRDefault="00F82F4E" w:rsidP="00A83CF9">
      <w:pPr>
        <w:pStyle w:val="SingleTxtGA"/>
        <w:rPr>
          <w:rFonts w:hint="cs"/>
          <w:rtl/>
        </w:rPr>
      </w:pPr>
      <w:r>
        <w:rPr>
          <w:rFonts w:hint="cs"/>
          <w:rtl/>
        </w:rPr>
        <w:tab/>
      </w:r>
      <w:r w:rsidR="008608DA" w:rsidRPr="00FE4CB5">
        <w:rPr>
          <w:rFonts w:hint="cs"/>
          <w:rtl/>
        </w:rPr>
        <w:t>(ب)</w:t>
      </w:r>
      <w:r>
        <w:rPr>
          <w:rFonts w:hint="cs"/>
          <w:rtl/>
        </w:rPr>
        <w:tab/>
      </w:r>
      <w:r w:rsidR="008608DA">
        <w:rPr>
          <w:rFonts w:hint="cs"/>
          <w:rtl/>
        </w:rPr>
        <w:t>عدم إلزامية حضور</w:t>
      </w:r>
      <w:r w:rsidR="008608DA" w:rsidRPr="00FE4CB5">
        <w:rPr>
          <w:rFonts w:hint="cs"/>
          <w:rtl/>
        </w:rPr>
        <w:t xml:space="preserve"> محامي دفاع خلال الاستجواب؛</w:t>
      </w:r>
    </w:p>
    <w:p w:rsidR="008608DA" w:rsidRPr="00FE4CB5" w:rsidRDefault="00F82F4E" w:rsidP="00A83CF9">
      <w:pPr>
        <w:pStyle w:val="SingleTxtGA"/>
        <w:rPr>
          <w:rFonts w:hint="cs"/>
          <w:rtl/>
        </w:rPr>
      </w:pPr>
      <w:r>
        <w:rPr>
          <w:rFonts w:hint="cs"/>
          <w:rtl/>
        </w:rPr>
        <w:tab/>
      </w:r>
      <w:r w:rsidR="008608DA" w:rsidRPr="00FE4CB5">
        <w:rPr>
          <w:rFonts w:hint="cs"/>
          <w:rtl/>
        </w:rPr>
        <w:t>(ج)</w:t>
      </w:r>
      <w:r>
        <w:rPr>
          <w:rFonts w:hint="cs"/>
          <w:rtl/>
        </w:rPr>
        <w:tab/>
      </w:r>
      <w:r w:rsidR="008608DA">
        <w:rPr>
          <w:rFonts w:hint="cs"/>
          <w:rtl/>
        </w:rPr>
        <w:t xml:space="preserve">الافتقار إلى </w:t>
      </w:r>
      <w:r w:rsidR="008608DA" w:rsidRPr="00FE4CB5">
        <w:rPr>
          <w:rFonts w:hint="cs"/>
          <w:rtl/>
        </w:rPr>
        <w:t>سبل الإشراف على حسن سير عمليات استجواب المحتجزين وهم في مراكز احتجاز الشرطة، ولا</w:t>
      </w:r>
      <w:r w:rsidR="00777841">
        <w:rPr>
          <w:rFonts w:hint="cs"/>
          <w:rtl/>
        </w:rPr>
        <w:t xml:space="preserve"> </w:t>
      </w:r>
      <w:r w:rsidR="008608DA" w:rsidRPr="00FE4CB5">
        <w:rPr>
          <w:rFonts w:hint="cs"/>
          <w:rtl/>
        </w:rPr>
        <w:t>سيما عدم تحديد</w:t>
      </w:r>
      <w:r w:rsidR="008608DA">
        <w:rPr>
          <w:rFonts w:hint="cs"/>
          <w:rtl/>
        </w:rPr>
        <w:t xml:space="preserve"> مُدد زمنية صارمة لحصص الاستجواب</w:t>
      </w:r>
      <w:r>
        <w:rPr>
          <w:rFonts w:hint="eastAsia"/>
          <w:rtl/>
        </w:rPr>
        <w:t> </w:t>
      </w:r>
      <w:r w:rsidR="008608DA" w:rsidRPr="00FE4CB5">
        <w:rPr>
          <w:rFonts w:hint="cs"/>
          <w:rtl/>
        </w:rPr>
        <w:t xml:space="preserve">المتتالية؛ </w:t>
      </w:r>
    </w:p>
    <w:p w:rsidR="008608DA" w:rsidRPr="0082210C" w:rsidRDefault="0082210C" w:rsidP="00A83CF9">
      <w:pPr>
        <w:pStyle w:val="SingleTxtGA"/>
        <w:rPr>
          <w:rFonts w:hint="cs"/>
          <w:spacing w:val="-2"/>
          <w:rtl/>
        </w:rPr>
      </w:pPr>
      <w:r w:rsidRPr="0082210C">
        <w:rPr>
          <w:rFonts w:hint="cs"/>
          <w:spacing w:val="-2"/>
          <w:rtl/>
        </w:rPr>
        <w:tab/>
      </w:r>
      <w:r w:rsidR="008608DA" w:rsidRPr="0082210C">
        <w:rPr>
          <w:rFonts w:hint="cs"/>
          <w:spacing w:val="-2"/>
          <w:rtl/>
        </w:rPr>
        <w:t>(د)</w:t>
      </w:r>
      <w:r w:rsidRPr="0082210C">
        <w:rPr>
          <w:rFonts w:hint="cs"/>
          <w:spacing w:val="-2"/>
          <w:rtl/>
        </w:rPr>
        <w:tab/>
      </w:r>
      <w:r w:rsidR="008608DA" w:rsidRPr="0082210C">
        <w:rPr>
          <w:rFonts w:hint="cs"/>
          <w:spacing w:val="-2"/>
          <w:rtl/>
        </w:rPr>
        <w:t>عدم إقامة أية دعوى قضائية بناء على أي من الشكاوى وعددها 141 شكوى بشأن الاستجوابات</w:t>
      </w:r>
      <w:r w:rsidRPr="0082210C">
        <w:rPr>
          <w:rFonts w:hint="cs"/>
          <w:spacing w:val="-2"/>
          <w:rtl/>
        </w:rPr>
        <w:t xml:space="preserve"> </w:t>
      </w:r>
      <w:r w:rsidR="008608DA" w:rsidRPr="0082210C">
        <w:rPr>
          <w:rFonts w:hint="cs"/>
          <w:spacing w:val="-2"/>
          <w:rtl/>
        </w:rPr>
        <w:t xml:space="preserve">قدمها المشتبه بهم ومحاموهم إلى المدعين العامين (المادتان 2 و15). </w:t>
      </w:r>
    </w:p>
    <w:p w:rsidR="008608DA" w:rsidRPr="0082210C" w:rsidRDefault="0082210C" w:rsidP="00A83CF9">
      <w:pPr>
        <w:pStyle w:val="SingleTxtGA"/>
        <w:rPr>
          <w:rFonts w:ascii="Times New Roman Bold" w:hAnsi="Times New Roman Bold" w:hint="cs"/>
          <w:b/>
          <w:bCs/>
          <w:spacing w:val="-2"/>
          <w:rtl/>
        </w:rPr>
      </w:pPr>
      <w:r w:rsidRPr="0082210C">
        <w:rPr>
          <w:rFonts w:ascii="Times New Roman Bold" w:hAnsi="Times New Roman Bold" w:hint="cs"/>
          <w:spacing w:val="-2"/>
          <w:rtl/>
        </w:rPr>
        <w:tab/>
      </w:r>
      <w:r w:rsidR="008608DA" w:rsidRPr="0082210C">
        <w:rPr>
          <w:rFonts w:ascii="Times New Roman Bold" w:hAnsi="Times New Roman Bold" w:hint="cs"/>
          <w:b/>
          <w:bCs/>
          <w:spacing w:val="-2"/>
          <w:rtl/>
        </w:rPr>
        <w:t xml:space="preserve">تكرر اللجنة توصياتها السابقة (الفقرة 16) بأن تتخذ الدولة الطرف كل التدابير اللازمة لكي تضمن في الممارسة عدم قبول المحكمة للاعترافات المنتزعة تحت التعذيب أو سوء المعاملة في كافة القضايا بما يتماشى مع المادة 38 (2) من الدستور والمادة 319 (1) من قانون الإجراءات الجنائية والمادة 15 من الاتفاقية وذلك من خلال جملة أمور منها: </w:t>
      </w:r>
    </w:p>
    <w:p w:rsidR="008608DA" w:rsidRPr="0082210C" w:rsidRDefault="0082210C" w:rsidP="00A83CF9">
      <w:pPr>
        <w:pStyle w:val="SingleTxtGA"/>
        <w:rPr>
          <w:rFonts w:hint="cs"/>
          <w:b/>
          <w:bCs/>
          <w:rtl/>
        </w:rPr>
      </w:pPr>
      <w:r w:rsidRPr="0082210C">
        <w:rPr>
          <w:rFonts w:hint="cs"/>
          <w:b/>
          <w:bCs/>
          <w:rtl/>
        </w:rPr>
        <w:tab/>
        <w:t>(أ)</w:t>
      </w:r>
      <w:r w:rsidRPr="0082210C">
        <w:rPr>
          <w:rFonts w:hint="cs"/>
          <w:b/>
          <w:bCs/>
          <w:rtl/>
        </w:rPr>
        <w:tab/>
      </w:r>
      <w:r w:rsidR="008608DA" w:rsidRPr="0082210C">
        <w:rPr>
          <w:rFonts w:hint="cs"/>
          <w:b/>
          <w:bCs/>
          <w:rtl/>
        </w:rPr>
        <w:t>إرساء قواعد بشأن طول الاستجوابات وإخضاعها للعقوبات المناسبة في حال عدم الامتثال؛</w:t>
      </w:r>
    </w:p>
    <w:p w:rsidR="008608DA" w:rsidRPr="0082210C" w:rsidRDefault="0082210C" w:rsidP="00A83CF9">
      <w:pPr>
        <w:pStyle w:val="SingleTxtGA"/>
        <w:rPr>
          <w:rFonts w:hint="cs"/>
          <w:b/>
          <w:bCs/>
        </w:rPr>
      </w:pPr>
      <w:r w:rsidRPr="0082210C">
        <w:rPr>
          <w:rFonts w:hint="cs"/>
          <w:b/>
          <w:bCs/>
          <w:rtl/>
        </w:rPr>
        <w:tab/>
        <w:t>(ب)</w:t>
      </w:r>
      <w:r w:rsidRPr="0082210C">
        <w:rPr>
          <w:rFonts w:hint="cs"/>
          <w:b/>
          <w:bCs/>
          <w:rtl/>
        </w:rPr>
        <w:tab/>
      </w:r>
      <w:r w:rsidR="008608DA" w:rsidRPr="0082210C">
        <w:rPr>
          <w:rFonts w:hint="cs"/>
          <w:b/>
          <w:bCs/>
          <w:rtl/>
        </w:rPr>
        <w:t xml:space="preserve">تحسين أساليب التحقيق الجنائي ووضع حد نهائي للممارسات التي تعتبر بموجبها الاعترافات عنصر الإثبات الأساسي والمحوري في المحاكمة الجنائية؛ </w:t>
      </w:r>
    </w:p>
    <w:p w:rsidR="008608DA" w:rsidRPr="0082210C" w:rsidRDefault="0082210C" w:rsidP="00A83CF9">
      <w:pPr>
        <w:pStyle w:val="SingleTxtGA"/>
        <w:rPr>
          <w:rFonts w:hint="cs"/>
          <w:b/>
          <w:bCs/>
          <w:rtl/>
        </w:rPr>
      </w:pPr>
      <w:r w:rsidRPr="0082210C">
        <w:rPr>
          <w:rFonts w:hint="cs"/>
          <w:b/>
          <w:bCs/>
          <w:rtl/>
        </w:rPr>
        <w:tab/>
      </w:r>
      <w:r w:rsidR="008608DA" w:rsidRPr="0082210C">
        <w:rPr>
          <w:rFonts w:hint="cs"/>
          <w:b/>
          <w:bCs/>
          <w:rtl/>
        </w:rPr>
        <w:t>(ج)</w:t>
      </w:r>
      <w:r w:rsidRPr="0082210C">
        <w:rPr>
          <w:rFonts w:hint="cs"/>
          <w:b/>
          <w:bCs/>
          <w:rtl/>
        </w:rPr>
        <w:tab/>
      </w:r>
      <w:r w:rsidR="008608DA" w:rsidRPr="0082210C">
        <w:rPr>
          <w:rFonts w:hint="cs"/>
          <w:b/>
          <w:bCs/>
          <w:rtl/>
        </w:rPr>
        <w:t>العمل بضمانات مثل التسجيلات الإلكترونية لعملية التحقيق كاملة وضمان توافر التسجيلات لاستخدامها خلال المحاكمات؛</w:t>
      </w:r>
    </w:p>
    <w:p w:rsidR="008608DA" w:rsidRPr="0082210C" w:rsidRDefault="0082210C" w:rsidP="00A83CF9">
      <w:pPr>
        <w:pStyle w:val="SingleTxtGA"/>
        <w:rPr>
          <w:rFonts w:hint="cs"/>
          <w:b/>
          <w:bCs/>
          <w:rtl/>
        </w:rPr>
      </w:pPr>
      <w:r w:rsidRPr="0082210C">
        <w:rPr>
          <w:rFonts w:hint="cs"/>
          <w:b/>
          <w:bCs/>
          <w:rtl/>
        </w:rPr>
        <w:tab/>
      </w:r>
      <w:r w:rsidR="008608DA" w:rsidRPr="0082210C">
        <w:rPr>
          <w:rFonts w:hint="cs"/>
          <w:b/>
          <w:bCs/>
          <w:rtl/>
        </w:rPr>
        <w:t>(د)</w:t>
      </w:r>
      <w:r w:rsidRPr="0082210C">
        <w:rPr>
          <w:rFonts w:hint="cs"/>
          <w:b/>
          <w:bCs/>
          <w:rtl/>
        </w:rPr>
        <w:tab/>
      </w:r>
      <w:r w:rsidR="008608DA" w:rsidRPr="0082210C">
        <w:rPr>
          <w:rFonts w:hint="cs"/>
          <w:b/>
          <w:bCs/>
          <w:rtl/>
        </w:rPr>
        <w:t>إطلاع اللجنة على عدد الاعترافات التي انتزعت بالإكراه أو تحت التعذيب أو التهديد أو بعد فترة طويلة من الاعتقال أو الاحتجاز والتي لم ي</w:t>
      </w:r>
      <w:r>
        <w:rPr>
          <w:rFonts w:hint="cs"/>
          <w:b/>
          <w:bCs/>
          <w:rtl/>
        </w:rPr>
        <w:t>ؤخذ بها كأدلّة بموجب المادة 319</w:t>
      </w:r>
      <w:r w:rsidR="008608DA" w:rsidRPr="0082210C">
        <w:rPr>
          <w:rFonts w:hint="cs"/>
          <w:b/>
          <w:bCs/>
          <w:rtl/>
        </w:rPr>
        <w:t xml:space="preserve">(1) من قانون الإجراءات الجنائية. </w:t>
      </w:r>
    </w:p>
    <w:p w:rsidR="008608DA" w:rsidRPr="00B65E49" w:rsidRDefault="0082210C" w:rsidP="00A83CF9">
      <w:pPr>
        <w:pStyle w:val="H23GA"/>
        <w:rPr>
          <w:rFonts w:hint="cs"/>
          <w:rtl/>
        </w:rPr>
      </w:pPr>
      <w:r>
        <w:rPr>
          <w:rFonts w:hint="cs"/>
          <w:rtl/>
        </w:rPr>
        <w:tab/>
      </w:r>
      <w:r>
        <w:rPr>
          <w:rFonts w:hint="cs"/>
          <w:rtl/>
        </w:rPr>
        <w:tab/>
      </w:r>
      <w:r w:rsidR="008608DA" w:rsidRPr="00B65E49">
        <w:rPr>
          <w:rFonts w:hint="cs"/>
          <w:rtl/>
        </w:rPr>
        <w:t xml:space="preserve">آلية </w:t>
      </w:r>
      <w:r w:rsidR="008608DA">
        <w:rPr>
          <w:rFonts w:hint="cs"/>
          <w:rtl/>
        </w:rPr>
        <w:t xml:space="preserve">التظلم </w:t>
      </w:r>
    </w:p>
    <w:p w:rsidR="008608DA" w:rsidRPr="00FE4CB5" w:rsidRDefault="0082210C" w:rsidP="00A83CF9">
      <w:pPr>
        <w:pStyle w:val="SingleTxtGA"/>
        <w:rPr>
          <w:rFonts w:hint="cs"/>
          <w:rtl/>
          <w:lang/>
        </w:rPr>
      </w:pPr>
      <w:r>
        <w:rPr>
          <w:rFonts w:hint="cs"/>
          <w:rtl/>
        </w:rPr>
        <w:t>(</w:t>
      </w:r>
      <w:r w:rsidR="008608DA" w:rsidRPr="00FE4CB5">
        <w:rPr>
          <w:rFonts w:hint="cs"/>
          <w:rtl/>
        </w:rPr>
        <w:t>12</w:t>
      </w:r>
      <w:r>
        <w:rPr>
          <w:rFonts w:hint="cs"/>
          <w:rtl/>
        </w:rPr>
        <w:t>)</w:t>
      </w:r>
      <w:r>
        <w:rPr>
          <w:rFonts w:hint="cs"/>
          <w:rtl/>
        </w:rPr>
        <w:tab/>
      </w:r>
      <w:r w:rsidR="008608DA" w:rsidRPr="00FE4CB5">
        <w:rPr>
          <w:rFonts w:hint="cs"/>
          <w:rtl/>
        </w:rPr>
        <w:t>على الرغم من المعلومات بشأن أنظمة الاستئناف التي وضعت بموجب القانون</w:t>
      </w:r>
      <w:r w:rsidR="008608DA" w:rsidRPr="00FE4CB5">
        <w:rPr>
          <w:rFonts w:hint="cs"/>
          <w:rtl/>
          <w:lang/>
        </w:rPr>
        <w:t xml:space="preserve"> الخاص بمرافق الاعتقال ومعاملة </w:t>
      </w:r>
      <w:r w:rsidR="008608DA">
        <w:rPr>
          <w:rFonts w:hint="cs"/>
          <w:rtl/>
          <w:lang/>
        </w:rPr>
        <w:t>السجناء</w:t>
      </w:r>
      <w:r w:rsidR="008608DA" w:rsidRPr="00FE4CB5">
        <w:rPr>
          <w:rFonts w:hint="cs"/>
          <w:rtl/>
          <w:lang/>
        </w:rPr>
        <w:t xml:space="preserve"> والموقوفين (2007)، لا يزال القلق يساور اللجنة بشأن غياب آلية مستقلة وفعالة </w:t>
      </w:r>
      <w:r w:rsidR="008608DA">
        <w:rPr>
          <w:rFonts w:hint="cs"/>
          <w:rtl/>
          <w:lang/>
        </w:rPr>
        <w:t xml:space="preserve">للتظلم </w:t>
      </w:r>
      <w:r w:rsidR="008608DA" w:rsidRPr="00FE4CB5">
        <w:rPr>
          <w:rFonts w:hint="cs"/>
          <w:rtl/>
          <w:lang/>
        </w:rPr>
        <w:t>وإجراء التحقيقات النزيهة في ادعاءات التعذيب وسوء المعاملة لأشخاص حرموا من حريتهم، من بينهم الموجودون في مراكز احتجاز الشرطة، ولضمان إنزال العقوبات اللازمة بالمسؤولين المدانين. وتأسف اللجنة أيضاً لغياب المعلومات بشأن مطالبة الدولة بالتعويض أو بشأن العقوبات التأديبية (المواد 2 و4 و12 و13 و16).</w:t>
      </w:r>
    </w:p>
    <w:p w:rsidR="008608DA" w:rsidRPr="0082210C" w:rsidRDefault="0082210C" w:rsidP="00A83CF9">
      <w:pPr>
        <w:pStyle w:val="SingleTxtGA"/>
        <w:keepNext/>
        <w:keepLines/>
        <w:rPr>
          <w:rFonts w:hint="cs"/>
          <w:b/>
          <w:bCs/>
          <w:rtl/>
          <w:lang/>
        </w:rPr>
      </w:pPr>
      <w:r w:rsidRPr="0082210C">
        <w:rPr>
          <w:rFonts w:hint="cs"/>
          <w:b/>
          <w:bCs/>
          <w:rtl/>
          <w:lang/>
        </w:rPr>
        <w:tab/>
      </w:r>
      <w:r w:rsidR="008608DA" w:rsidRPr="0082210C">
        <w:rPr>
          <w:rFonts w:hint="cs"/>
          <w:b/>
          <w:bCs/>
          <w:rtl/>
          <w:lang/>
        </w:rPr>
        <w:t xml:space="preserve">تكرر اللجنة توصيتها السابقة (الفقرة 21) بأن تقوم الدولة الطرف بما يلي: </w:t>
      </w:r>
    </w:p>
    <w:p w:rsidR="008608DA" w:rsidRPr="0082210C" w:rsidRDefault="0082210C" w:rsidP="0082210C">
      <w:pPr>
        <w:pStyle w:val="SingleTxtGA"/>
        <w:rPr>
          <w:rFonts w:hint="cs"/>
          <w:b/>
          <w:bCs/>
          <w:rtl/>
          <w:lang/>
        </w:rPr>
      </w:pPr>
      <w:r w:rsidRPr="0082210C">
        <w:rPr>
          <w:rFonts w:hint="cs"/>
          <w:b/>
          <w:bCs/>
          <w:rtl/>
          <w:lang/>
        </w:rPr>
        <w:tab/>
        <w:t>(أ)</w:t>
      </w:r>
      <w:r w:rsidRPr="0082210C">
        <w:rPr>
          <w:rFonts w:hint="cs"/>
          <w:b/>
          <w:bCs/>
          <w:rtl/>
          <w:lang/>
        </w:rPr>
        <w:tab/>
      </w:r>
      <w:r w:rsidR="008608DA" w:rsidRPr="0082210C">
        <w:rPr>
          <w:rFonts w:hint="cs"/>
          <w:b/>
          <w:bCs/>
          <w:rtl/>
          <w:lang/>
        </w:rPr>
        <w:t>النظر في إنشاء هيئة خاصة ومستقلة وفعالة لتلقي الشكاوى وضمان إجراء التحقيقات السريعة والنزيهة والكاملة في كل الادعاءات بالتعذيب وسوء المعاملة التي ارتكبها مسؤولون حكوميون ومحاكمة الجناة وإنزال العقوبات بهم مع الأخذ في الاعتبار جسامة الجرائم؛</w:t>
      </w:r>
    </w:p>
    <w:p w:rsidR="008608DA" w:rsidRPr="0082210C" w:rsidRDefault="0082210C" w:rsidP="0082210C">
      <w:pPr>
        <w:pStyle w:val="SingleTxtGA"/>
        <w:rPr>
          <w:rFonts w:hint="cs"/>
          <w:b/>
          <w:bCs/>
          <w:lang/>
        </w:rPr>
      </w:pPr>
      <w:r w:rsidRPr="0082210C">
        <w:rPr>
          <w:rFonts w:hint="cs"/>
          <w:b/>
          <w:bCs/>
          <w:rtl/>
          <w:lang/>
        </w:rPr>
        <w:tab/>
        <w:t>(ب)</w:t>
      </w:r>
      <w:r w:rsidRPr="0082210C">
        <w:rPr>
          <w:rFonts w:hint="cs"/>
          <w:b/>
          <w:bCs/>
          <w:rtl/>
          <w:lang/>
        </w:rPr>
        <w:tab/>
      </w:r>
      <w:r w:rsidR="008608DA" w:rsidRPr="0082210C">
        <w:rPr>
          <w:rFonts w:hint="cs"/>
          <w:b/>
          <w:bCs/>
          <w:rtl/>
          <w:lang/>
        </w:rPr>
        <w:t>ضمان حماية المتقدمين بالشكاوى في الممارسة من أي عمل انتقامي نتيجة شكواهم أو أي أدلة مقدّمة؛</w:t>
      </w:r>
    </w:p>
    <w:p w:rsidR="008608DA" w:rsidRPr="0082210C" w:rsidRDefault="0082210C" w:rsidP="0082210C">
      <w:pPr>
        <w:pStyle w:val="SingleTxtGA"/>
        <w:rPr>
          <w:rFonts w:hint="cs"/>
          <w:b/>
          <w:bCs/>
          <w:rtl/>
          <w:lang/>
        </w:rPr>
      </w:pPr>
      <w:r w:rsidRPr="0082210C">
        <w:rPr>
          <w:rFonts w:hint="cs"/>
          <w:b/>
          <w:bCs/>
          <w:rtl/>
          <w:lang/>
        </w:rPr>
        <w:tab/>
      </w:r>
      <w:r w:rsidR="008608DA" w:rsidRPr="0082210C">
        <w:rPr>
          <w:rFonts w:hint="cs"/>
          <w:b/>
          <w:bCs/>
          <w:rtl/>
          <w:lang/>
        </w:rPr>
        <w:t>(ج)</w:t>
      </w:r>
      <w:r w:rsidRPr="0082210C">
        <w:rPr>
          <w:rFonts w:hint="cs"/>
          <w:b/>
          <w:bCs/>
          <w:rtl/>
          <w:lang/>
        </w:rPr>
        <w:tab/>
      </w:r>
      <w:r w:rsidR="008608DA" w:rsidRPr="0082210C">
        <w:rPr>
          <w:rFonts w:hint="cs"/>
          <w:b/>
          <w:bCs/>
          <w:rtl/>
          <w:lang/>
        </w:rPr>
        <w:t xml:space="preserve">جمع المعلومات بما فيها الإحصاءات المصنّفة، عن عدد الشكاوى المقدمة ضد المسؤولين الحكوميين المتعلقة بالتعذيب أو سوء المعاملة، فضلاً عن المعلومات بشأن نتائج الإجراءات المتخذة، الجنائية منها أو التأديبية. </w:t>
      </w:r>
    </w:p>
    <w:p w:rsidR="008608DA" w:rsidRPr="00BE6EA1" w:rsidRDefault="0082210C" w:rsidP="0082210C">
      <w:pPr>
        <w:pStyle w:val="H23GA"/>
        <w:rPr>
          <w:rFonts w:hint="cs"/>
          <w:rtl/>
        </w:rPr>
      </w:pPr>
      <w:r>
        <w:rPr>
          <w:rFonts w:hint="cs"/>
          <w:rtl/>
        </w:rPr>
        <w:tab/>
      </w:r>
      <w:r>
        <w:rPr>
          <w:rFonts w:hint="cs"/>
          <w:rtl/>
        </w:rPr>
        <w:tab/>
      </w:r>
      <w:r w:rsidR="008608DA" w:rsidRPr="00BE6EA1">
        <w:rPr>
          <w:rFonts w:hint="cs"/>
          <w:rtl/>
        </w:rPr>
        <w:t>ظروف الاحتجاز</w:t>
      </w:r>
    </w:p>
    <w:p w:rsidR="008608DA" w:rsidRPr="00FE4CB5" w:rsidRDefault="0082210C" w:rsidP="0082210C">
      <w:pPr>
        <w:pStyle w:val="SingleTxtGA"/>
        <w:rPr>
          <w:rFonts w:hint="cs"/>
          <w:rtl/>
        </w:rPr>
      </w:pPr>
      <w:r>
        <w:rPr>
          <w:rFonts w:hint="cs"/>
          <w:rtl/>
        </w:rPr>
        <w:t>(</w:t>
      </w:r>
      <w:r w:rsidR="008608DA" w:rsidRPr="00FE4CB5">
        <w:rPr>
          <w:rFonts w:hint="cs"/>
          <w:rtl/>
        </w:rPr>
        <w:t>13</w:t>
      </w:r>
      <w:r>
        <w:rPr>
          <w:rFonts w:hint="cs"/>
          <w:rtl/>
        </w:rPr>
        <w:t>)</w:t>
      </w:r>
      <w:r>
        <w:rPr>
          <w:rFonts w:hint="cs"/>
          <w:rtl/>
        </w:rPr>
        <w:tab/>
      </w:r>
      <w:r w:rsidR="008608DA" w:rsidRPr="00FE4CB5">
        <w:rPr>
          <w:rFonts w:hint="cs"/>
          <w:rtl/>
        </w:rPr>
        <w:t xml:space="preserve">على الرغم من جهود الدولة الطرف لتحسين ظروف الاحتجاز وتعزيز قدرات المؤسسات الجنائية، لا يزال القلق يساور اللجنة إزاء ما يلي: </w:t>
      </w:r>
    </w:p>
    <w:p w:rsidR="008608DA" w:rsidRPr="00FE4CB5" w:rsidRDefault="0082210C" w:rsidP="0082210C">
      <w:pPr>
        <w:pStyle w:val="SingleTxtGA"/>
        <w:rPr>
          <w:rFonts w:hint="cs"/>
          <w:rtl/>
        </w:rPr>
      </w:pPr>
      <w:r>
        <w:rPr>
          <w:rFonts w:hint="cs"/>
          <w:rtl/>
        </w:rPr>
        <w:tab/>
      </w:r>
      <w:r w:rsidR="008608DA" w:rsidRPr="00FE4CB5">
        <w:rPr>
          <w:rFonts w:hint="cs"/>
          <w:rtl/>
        </w:rPr>
        <w:t>(أ)</w:t>
      </w:r>
      <w:r>
        <w:rPr>
          <w:rFonts w:hint="cs"/>
          <w:rtl/>
        </w:rPr>
        <w:tab/>
      </w:r>
      <w:r w:rsidR="008608DA" w:rsidRPr="00FE4CB5">
        <w:rPr>
          <w:rFonts w:hint="cs"/>
          <w:rtl/>
        </w:rPr>
        <w:t>اكتظاظ بعض المرافق، بما فيها سجون النساء؛</w:t>
      </w:r>
    </w:p>
    <w:p w:rsidR="008608DA" w:rsidRPr="00FE4CB5" w:rsidRDefault="0082210C" w:rsidP="0082210C">
      <w:pPr>
        <w:pStyle w:val="SingleTxtGA"/>
        <w:rPr>
          <w:rFonts w:hint="cs"/>
          <w:rtl/>
        </w:rPr>
      </w:pPr>
      <w:r>
        <w:rPr>
          <w:rFonts w:hint="cs"/>
          <w:rtl/>
        </w:rPr>
        <w:tab/>
      </w:r>
      <w:r w:rsidR="008608DA" w:rsidRPr="00FE4CB5">
        <w:rPr>
          <w:rFonts w:hint="cs"/>
          <w:rtl/>
        </w:rPr>
        <w:t>(ب)</w:t>
      </w:r>
      <w:r>
        <w:rPr>
          <w:rFonts w:hint="cs"/>
          <w:rtl/>
        </w:rPr>
        <w:tab/>
      </w:r>
      <w:r w:rsidR="008608DA" w:rsidRPr="00FE4CB5">
        <w:rPr>
          <w:rFonts w:hint="cs"/>
          <w:rtl/>
        </w:rPr>
        <w:t xml:space="preserve">عدم </w:t>
      </w:r>
      <w:r w:rsidR="008608DA">
        <w:rPr>
          <w:rFonts w:hint="cs"/>
          <w:rtl/>
        </w:rPr>
        <w:t xml:space="preserve">كفاية فرص </w:t>
      </w:r>
      <w:r w:rsidR="008608DA" w:rsidRPr="00FE4CB5">
        <w:rPr>
          <w:rFonts w:hint="cs"/>
          <w:rtl/>
        </w:rPr>
        <w:t xml:space="preserve">الحصول على </w:t>
      </w:r>
      <w:r w:rsidR="008608DA">
        <w:rPr>
          <w:rFonts w:hint="cs"/>
          <w:rtl/>
        </w:rPr>
        <w:t xml:space="preserve">الرعاية الصحية والافتقار الحاد إلى موظفين </w:t>
      </w:r>
      <w:r w:rsidR="00777841">
        <w:rPr>
          <w:rFonts w:hint="cs"/>
          <w:rtl/>
        </w:rPr>
        <w:t>طبيين في مرافق الاحتجاز؛</w:t>
      </w:r>
    </w:p>
    <w:p w:rsidR="008608DA" w:rsidRPr="00FE4CB5" w:rsidRDefault="0082210C" w:rsidP="00777841">
      <w:pPr>
        <w:pStyle w:val="SingleTxtGA"/>
        <w:rPr>
          <w:rFonts w:hint="cs"/>
          <w:rtl/>
        </w:rPr>
      </w:pPr>
      <w:r>
        <w:rPr>
          <w:rFonts w:hint="cs"/>
          <w:rtl/>
        </w:rPr>
        <w:tab/>
      </w:r>
      <w:r w:rsidR="008608DA" w:rsidRPr="00FE4CB5">
        <w:rPr>
          <w:rFonts w:hint="cs"/>
          <w:rtl/>
        </w:rPr>
        <w:t>(ج)</w:t>
      </w:r>
      <w:r>
        <w:rPr>
          <w:rFonts w:hint="cs"/>
          <w:rtl/>
        </w:rPr>
        <w:tab/>
      </w:r>
      <w:r w:rsidR="008608DA" w:rsidRPr="00FE4CB5">
        <w:rPr>
          <w:rFonts w:hint="cs"/>
          <w:rtl/>
        </w:rPr>
        <w:t>عدم توفير الرعاية ال</w:t>
      </w:r>
      <w:r w:rsidR="008608DA">
        <w:rPr>
          <w:rFonts w:hint="cs"/>
          <w:rtl/>
        </w:rPr>
        <w:t>صحية العقلية</w:t>
      </w:r>
      <w:r w:rsidR="008608DA" w:rsidRPr="00FE4CB5">
        <w:rPr>
          <w:rFonts w:hint="cs"/>
          <w:rtl/>
        </w:rPr>
        <w:t xml:space="preserve"> الكافية في السجون</w:t>
      </w:r>
      <w:r w:rsidR="008608DA">
        <w:rPr>
          <w:rFonts w:hint="cs"/>
          <w:rtl/>
        </w:rPr>
        <w:t>،</w:t>
      </w:r>
      <w:r w:rsidR="008608DA" w:rsidRPr="00FE4CB5">
        <w:rPr>
          <w:rFonts w:hint="cs"/>
          <w:rtl/>
        </w:rPr>
        <w:t xml:space="preserve"> و</w:t>
      </w:r>
      <w:r w:rsidR="008608DA">
        <w:rPr>
          <w:rFonts w:hint="cs"/>
          <w:rtl/>
        </w:rPr>
        <w:t xml:space="preserve">كذا </w:t>
      </w:r>
      <w:r w:rsidR="008608DA" w:rsidRPr="00FE4CB5">
        <w:rPr>
          <w:rFonts w:hint="cs"/>
          <w:rtl/>
        </w:rPr>
        <w:t>التقارير ال</w:t>
      </w:r>
      <w:r w:rsidR="008608DA">
        <w:rPr>
          <w:rFonts w:hint="cs"/>
          <w:rtl/>
        </w:rPr>
        <w:t>تي تشير إلى الإفراط في استخدام الحبس الانفرادي بحق السجناء الذين يعانون مرضاً عقليا</w:t>
      </w:r>
      <w:r w:rsidR="00777841">
        <w:rPr>
          <w:rFonts w:hint="cs"/>
          <w:rtl/>
        </w:rPr>
        <w:t>ً</w:t>
      </w:r>
      <w:r w:rsidR="008608DA" w:rsidRPr="00FE4CB5">
        <w:rPr>
          <w:rFonts w:hint="cs"/>
          <w:rtl/>
        </w:rPr>
        <w:t xml:space="preserve"> </w:t>
      </w:r>
      <w:r w:rsidR="008608DA">
        <w:rPr>
          <w:rFonts w:hint="cs"/>
          <w:rtl/>
        </w:rPr>
        <w:t>م</w:t>
      </w:r>
      <w:r w:rsidR="008608DA" w:rsidRPr="00FE4CB5">
        <w:rPr>
          <w:rFonts w:hint="cs"/>
          <w:rtl/>
        </w:rPr>
        <w:t>ما</w:t>
      </w:r>
      <w:r w:rsidR="00777841">
        <w:rPr>
          <w:rFonts w:hint="eastAsia"/>
          <w:rtl/>
        </w:rPr>
        <w:t> </w:t>
      </w:r>
      <w:r w:rsidR="008608DA" w:rsidRPr="00FE4CB5">
        <w:rPr>
          <w:rFonts w:hint="cs"/>
          <w:rtl/>
        </w:rPr>
        <w:t xml:space="preserve">يؤدي بالتالي إلى ارتفاع خطر </w:t>
      </w:r>
      <w:r w:rsidR="008608DA">
        <w:rPr>
          <w:rFonts w:hint="cs"/>
          <w:rtl/>
        </w:rPr>
        <w:t>وقوع</w:t>
      </w:r>
      <w:r w:rsidR="008608DA" w:rsidRPr="00FE4CB5">
        <w:rPr>
          <w:rFonts w:hint="cs"/>
          <w:rtl/>
        </w:rPr>
        <w:t xml:space="preserve"> محاولات انتحار؛</w:t>
      </w:r>
    </w:p>
    <w:p w:rsidR="008608DA" w:rsidRPr="00FE4CB5" w:rsidRDefault="0082210C" w:rsidP="0082210C">
      <w:pPr>
        <w:pStyle w:val="SingleTxtGA"/>
        <w:rPr>
          <w:rFonts w:hint="cs"/>
          <w:rtl/>
        </w:rPr>
      </w:pPr>
      <w:r>
        <w:rPr>
          <w:rFonts w:hint="cs"/>
          <w:rtl/>
        </w:rPr>
        <w:tab/>
      </w:r>
      <w:r w:rsidR="008608DA" w:rsidRPr="00FE4CB5">
        <w:rPr>
          <w:rFonts w:hint="cs"/>
          <w:rtl/>
        </w:rPr>
        <w:t>(د)</w:t>
      </w:r>
      <w:r>
        <w:rPr>
          <w:rFonts w:hint="cs"/>
          <w:rtl/>
        </w:rPr>
        <w:tab/>
      </w:r>
      <w:r w:rsidR="008608DA" w:rsidRPr="00FE4CB5">
        <w:rPr>
          <w:rFonts w:hint="cs"/>
          <w:rtl/>
        </w:rPr>
        <w:t xml:space="preserve">نقص الضمانات الملائمة وآلية الرصد بشأن استخدام أدوات التكبيل كالأصفاد من نوع </w:t>
      </w:r>
      <w:r w:rsidR="008608DA" w:rsidRPr="00FE4CB5">
        <w:t>Type II</w:t>
      </w:r>
      <w:r w:rsidR="008608DA" w:rsidRPr="00FE4CB5">
        <w:rPr>
          <w:rFonts w:hint="cs"/>
          <w:rtl/>
        </w:rPr>
        <w:t xml:space="preserve"> وس</w:t>
      </w:r>
      <w:r w:rsidR="008608DA">
        <w:rPr>
          <w:rFonts w:hint="cs"/>
          <w:rtl/>
        </w:rPr>
        <w:t>ُ</w:t>
      </w:r>
      <w:r w:rsidR="008608DA" w:rsidRPr="00FE4CB5">
        <w:rPr>
          <w:rFonts w:hint="cs"/>
          <w:rtl/>
        </w:rPr>
        <w:t xml:space="preserve">ترات التكبيل (المادتان 11 و16). </w:t>
      </w:r>
    </w:p>
    <w:p w:rsidR="008608DA" w:rsidRPr="0082210C" w:rsidRDefault="0082210C" w:rsidP="0082210C">
      <w:pPr>
        <w:pStyle w:val="SingleTxtGA"/>
        <w:rPr>
          <w:rFonts w:hint="cs"/>
          <w:b/>
          <w:bCs/>
          <w:rtl/>
          <w:lang/>
        </w:rPr>
      </w:pPr>
      <w:r w:rsidRPr="0082210C">
        <w:rPr>
          <w:rFonts w:hint="cs"/>
          <w:b/>
          <w:bCs/>
          <w:rtl/>
        </w:rPr>
        <w:tab/>
      </w:r>
      <w:r w:rsidR="008608DA" w:rsidRPr="0082210C">
        <w:rPr>
          <w:rFonts w:hint="cs"/>
          <w:b/>
          <w:bCs/>
          <w:rtl/>
        </w:rPr>
        <w:t xml:space="preserve">يتعين على الدولة الطرف أن تحسّن ظروف الاحتجاز في السجون تماشياً مع </w:t>
      </w:r>
      <w:r w:rsidR="008608DA" w:rsidRPr="0082210C">
        <w:rPr>
          <w:rFonts w:hint="cs"/>
          <w:b/>
          <w:bCs/>
          <w:rtl/>
          <w:lang/>
        </w:rPr>
        <w:t>قواعد الأمم المتحدة الدنيا النموذجية لمعاملة السجناء وذلك من خلال:</w:t>
      </w:r>
    </w:p>
    <w:p w:rsidR="008608DA" w:rsidRPr="0082210C" w:rsidRDefault="0082210C" w:rsidP="0082210C">
      <w:pPr>
        <w:pStyle w:val="SingleTxtGA"/>
        <w:rPr>
          <w:rFonts w:hint="cs"/>
          <w:b/>
          <w:bCs/>
          <w:rtl/>
          <w:lang/>
        </w:rPr>
      </w:pPr>
      <w:r w:rsidRPr="0082210C">
        <w:rPr>
          <w:rFonts w:hint="cs"/>
          <w:b/>
          <w:bCs/>
          <w:rtl/>
          <w:lang/>
        </w:rPr>
        <w:tab/>
        <w:t>(أ)</w:t>
      </w:r>
      <w:r w:rsidRPr="0082210C">
        <w:rPr>
          <w:rFonts w:hint="cs"/>
          <w:b/>
          <w:bCs/>
          <w:rtl/>
          <w:lang/>
        </w:rPr>
        <w:tab/>
      </w:r>
      <w:r w:rsidR="008608DA" w:rsidRPr="0082210C">
        <w:rPr>
          <w:rFonts w:hint="cs"/>
          <w:b/>
          <w:bCs/>
          <w:rtl/>
          <w:lang/>
        </w:rPr>
        <w:t>تخفيض نسبة الاكتظاظ المرتفعة لا</w:t>
      </w:r>
      <w:r w:rsidRPr="0082210C">
        <w:rPr>
          <w:rFonts w:hint="cs"/>
          <w:b/>
          <w:bCs/>
          <w:rtl/>
          <w:lang/>
        </w:rPr>
        <w:t xml:space="preserve"> </w:t>
      </w:r>
      <w:r w:rsidR="008608DA" w:rsidRPr="0082210C">
        <w:rPr>
          <w:rFonts w:hint="cs"/>
          <w:b/>
          <w:bCs/>
          <w:rtl/>
          <w:lang/>
        </w:rPr>
        <w:t>سيما من خلال تطبيق التدابير غير الاحتجازية على نطاق أوسع كبديل للسجن، وفي ضوء قواعد الأمم المتحدة النموذجية الدنيا للتدابير غير الاحتجازية (قواعد طوكيو) وقواعد الأمم المتحدة لمعاملة السجينات والتدابير غير الاحتجازية للمجرمات (قواعد بانكوك)؛</w:t>
      </w:r>
    </w:p>
    <w:p w:rsidR="008608DA" w:rsidRPr="0082210C" w:rsidRDefault="0082210C" w:rsidP="0082210C">
      <w:pPr>
        <w:pStyle w:val="SingleTxtGA"/>
        <w:rPr>
          <w:rFonts w:hint="cs"/>
          <w:b/>
          <w:bCs/>
          <w:lang/>
        </w:rPr>
      </w:pPr>
      <w:r w:rsidRPr="0082210C">
        <w:rPr>
          <w:rFonts w:hint="cs"/>
          <w:b/>
          <w:bCs/>
          <w:rtl/>
          <w:lang/>
        </w:rPr>
        <w:tab/>
        <w:t>(ب)</w:t>
      </w:r>
      <w:r w:rsidRPr="0082210C">
        <w:rPr>
          <w:rFonts w:hint="cs"/>
          <w:b/>
          <w:bCs/>
          <w:rtl/>
          <w:lang/>
        </w:rPr>
        <w:tab/>
      </w:r>
      <w:r w:rsidR="008608DA" w:rsidRPr="0082210C">
        <w:rPr>
          <w:rFonts w:hint="cs"/>
          <w:b/>
          <w:bCs/>
          <w:rtl/>
          <w:lang/>
        </w:rPr>
        <w:t>توفير الرعاية الصحية البدنية والعقلية لجميع الأشخاص المحرومين من حريتهم؛</w:t>
      </w:r>
    </w:p>
    <w:p w:rsidR="008608DA" w:rsidRPr="0082210C" w:rsidRDefault="0082210C" w:rsidP="00A83CF9">
      <w:pPr>
        <w:pStyle w:val="SingleTxtGA"/>
        <w:spacing w:line="374" w:lineRule="exact"/>
        <w:rPr>
          <w:rFonts w:hint="cs"/>
          <w:b/>
          <w:bCs/>
          <w:rtl/>
        </w:rPr>
      </w:pPr>
      <w:r w:rsidRPr="0082210C">
        <w:rPr>
          <w:rFonts w:hint="cs"/>
          <w:b/>
          <w:bCs/>
          <w:rtl/>
          <w:lang/>
        </w:rPr>
        <w:tab/>
      </w:r>
      <w:r w:rsidR="008608DA" w:rsidRPr="0082210C">
        <w:rPr>
          <w:rFonts w:hint="cs"/>
          <w:b/>
          <w:bCs/>
          <w:rtl/>
          <w:lang/>
        </w:rPr>
        <w:t>(ج)</w:t>
      </w:r>
      <w:r w:rsidRPr="0082210C">
        <w:rPr>
          <w:rFonts w:hint="cs"/>
          <w:b/>
          <w:bCs/>
          <w:rtl/>
          <w:lang/>
        </w:rPr>
        <w:tab/>
      </w:r>
      <w:r w:rsidR="008608DA" w:rsidRPr="0082210C">
        <w:rPr>
          <w:rFonts w:hint="cs"/>
          <w:b/>
          <w:bCs/>
          <w:rtl/>
          <w:lang/>
        </w:rPr>
        <w:t xml:space="preserve">رصد استخدام الأصفاد من نوع </w:t>
      </w:r>
      <w:r w:rsidR="008608DA" w:rsidRPr="0082210C">
        <w:rPr>
          <w:b/>
          <w:bCs/>
          <w:lang w:val="fr-CH"/>
        </w:rPr>
        <w:t>T</w:t>
      </w:r>
      <w:r w:rsidR="008608DA" w:rsidRPr="0082210C">
        <w:rPr>
          <w:b/>
          <w:bCs/>
          <w:lang/>
        </w:rPr>
        <w:t>ype II</w:t>
      </w:r>
      <w:r w:rsidR="008608DA" w:rsidRPr="0082210C">
        <w:rPr>
          <w:rFonts w:hint="cs"/>
          <w:b/>
          <w:bCs/>
          <w:rtl/>
        </w:rPr>
        <w:t xml:space="preserve"> رصداً صارماً وكذا طول فترة استخدامها بما يتماشى مع التزامات الدولة الطرف بموجب الاتفاقية والنظر في الإلغاء التام لاستخدام أجهزة لتقييد الأشخاص المحتجزين.</w:t>
      </w:r>
    </w:p>
    <w:p w:rsidR="008608DA" w:rsidRPr="00BE6EA1" w:rsidRDefault="0082210C" w:rsidP="00A83CF9">
      <w:pPr>
        <w:pStyle w:val="H23GA"/>
        <w:spacing w:line="374" w:lineRule="exact"/>
        <w:rPr>
          <w:rFonts w:hint="cs"/>
          <w:rtl/>
        </w:rPr>
      </w:pPr>
      <w:r>
        <w:rPr>
          <w:rFonts w:hint="cs"/>
          <w:rtl/>
        </w:rPr>
        <w:tab/>
      </w:r>
      <w:r>
        <w:rPr>
          <w:rFonts w:hint="cs"/>
          <w:rtl/>
        </w:rPr>
        <w:tab/>
      </w:r>
      <w:r w:rsidR="008608DA" w:rsidRPr="00BE6EA1">
        <w:rPr>
          <w:rFonts w:hint="cs"/>
          <w:rtl/>
        </w:rPr>
        <w:t>الحبس الانفرادي</w:t>
      </w:r>
    </w:p>
    <w:p w:rsidR="008608DA" w:rsidRPr="00FE4CB5" w:rsidRDefault="0082210C" w:rsidP="00A83CF9">
      <w:pPr>
        <w:pStyle w:val="SingleTxtGA"/>
        <w:spacing w:line="374" w:lineRule="exact"/>
        <w:rPr>
          <w:rFonts w:hint="cs"/>
          <w:rtl/>
        </w:rPr>
      </w:pPr>
      <w:r>
        <w:rPr>
          <w:rFonts w:hint="cs"/>
          <w:rtl/>
        </w:rPr>
        <w:t>(</w:t>
      </w:r>
      <w:r w:rsidR="008608DA">
        <w:rPr>
          <w:rFonts w:hint="cs"/>
          <w:rtl/>
        </w:rPr>
        <w:t>14</w:t>
      </w:r>
      <w:r>
        <w:rPr>
          <w:rFonts w:hint="cs"/>
          <w:rtl/>
        </w:rPr>
        <w:t>)</w:t>
      </w:r>
      <w:r>
        <w:rPr>
          <w:rFonts w:hint="cs"/>
          <w:rtl/>
        </w:rPr>
        <w:tab/>
      </w:r>
      <w:r w:rsidR="008608DA" w:rsidRPr="00FE4CB5">
        <w:rPr>
          <w:rFonts w:hint="cs"/>
          <w:rtl/>
        </w:rPr>
        <w:t xml:space="preserve">يساور اللجنة قلق بالغ </w:t>
      </w:r>
      <w:r w:rsidR="008608DA">
        <w:rPr>
          <w:rFonts w:hint="cs"/>
          <w:rtl/>
        </w:rPr>
        <w:t xml:space="preserve">إزاء استمرار </w:t>
      </w:r>
      <w:r w:rsidR="008608DA" w:rsidRPr="00FE4CB5">
        <w:rPr>
          <w:rFonts w:hint="cs"/>
          <w:rtl/>
        </w:rPr>
        <w:t xml:space="preserve">اللجوء إلى الحبس الانفرادي لفترات طويلة بدون حدود زمنية، وترك قرار عزل المحتجزين هذا لتقدير آمر السجن. وتأسف اللجنة لأن طبيب السجن </w:t>
      </w:r>
      <w:r w:rsidR="008608DA">
        <w:rPr>
          <w:rFonts w:hint="cs"/>
          <w:rtl/>
        </w:rPr>
        <w:t xml:space="preserve">يشترك </w:t>
      </w:r>
      <w:r w:rsidR="008608DA" w:rsidRPr="00FE4CB5">
        <w:rPr>
          <w:rFonts w:hint="cs"/>
          <w:rtl/>
        </w:rPr>
        <w:t>مباشرة في المراجعة الطبية الدورية ل</w:t>
      </w:r>
      <w:r w:rsidR="008608DA">
        <w:rPr>
          <w:rFonts w:hint="cs"/>
          <w:rtl/>
        </w:rPr>
        <w:t>حالة ا</w:t>
      </w:r>
      <w:r w:rsidR="008608DA" w:rsidRPr="00FE4CB5">
        <w:rPr>
          <w:rFonts w:hint="cs"/>
          <w:rtl/>
        </w:rPr>
        <w:t xml:space="preserve">لسجناء في الحبس الانفرادي بموجب القانون الخاص بمرافق الاعتقال ومعاملة </w:t>
      </w:r>
      <w:r w:rsidR="008608DA">
        <w:rPr>
          <w:rFonts w:hint="cs"/>
          <w:rtl/>
        </w:rPr>
        <w:t>السجناء</w:t>
      </w:r>
      <w:r w:rsidR="008608DA" w:rsidRPr="00FE4CB5">
        <w:rPr>
          <w:rFonts w:hint="cs"/>
          <w:rtl/>
        </w:rPr>
        <w:t xml:space="preserve"> والموقوفين وقد تفسد هذه الممارسة العلاقة بين الطبيب والمريض، وهو عامل بالغ الأهمية في حماية </w:t>
      </w:r>
      <w:r w:rsidR="008608DA">
        <w:rPr>
          <w:rFonts w:hint="cs"/>
          <w:rtl/>
        </w:rPr>
        <w:t>حالة</w:t>
      </w:r>
      <w:r w:rsidR="008608DA" w:rsidRPr="00FE4CB5">
        <w:rPr>
          <w:rFonts w:hint="cs"/>
          <w:rtl/>
        </w:rPr>
        <w:t xml:space="preserve"> السجناء الصحية (المواد 2 و11 و16). </w:t>
      </w:r>
    </w:p>
    <w:p w:rsidR="008608DA" w:rsidRPr="0082210C" w:rsidRDefault="0082210C" w:rsidP="00A83CF9">
      <w:pPr>
        <w:pStyle w:val="SingleTxtGA"/>
        <w:spacing w:line="374" w:lineRule="exact"/>
        <w:rPr>
          <w:rFonts w:hint="cs"/>
          <w:b/>
          <w:bCs/>
          <w:rtl/>
          <w:lang/>
        </w:rPr>
      </w:pPr>
      <w:r w:rsidRPr="0082210C">
        <w:rPr>
          <w:rFonts w:hint="cs"/>
          <w:b/>
          <w:bCs/>
          <w:rtl/>
        </w:rPr>
        <w:tab/>
      </w:r>
      <w:r w:rsidR="008608DA" w:rsidRPr="0082210C">
        <w:rPr>
          <w:rFonts w:hint="cs"/>
          <w:b/>
          <w:bCs/>
          <w:rtl/>
        </w:rPr>
        <w:t>تضع اللجنة في اعتبارها أحكام الاتفاقية و</w:t>
      </w:r>
      <w:r w:rsidR="008608DA" w:rsidRPr="0082210C">
        <w:rPr>
          <w:rFonts w:hint="cs"/>
          <w:b/>
          <w:bCs/>
          <w:rtl/>
          <w:lang/>
        </w:rPr>
        <w:t xml:space="preserve">قواعد الأمم المتحدة الدنيا النموذجية لمعاملة السجناء، وتحثّ الدولة الطرف على القيام بما يلي: </w:t>
      </w:r>
    </w:p>
    <w:p w:rsidR="008608DA" w:rsidRPr="0082210C" w:rsidRDefault="0082210C" w:rsidP="001C7C70">
      <w:pPr>
        <w:pStyle w:val="SingleTxtGA"/>
        <w:spacing w:line="374" w:lineRule="exact"/>
        <w:rPr>
          <w:rFonts w:hint="cs"/>
          <w:b/>
          <w:bCs/>
          <w:rtl/>
          <w:lang/>
        </w:rPr>
      </w:pPr>
      <w:r w:rsidRPr="0082210C">
        <w:rPr>
          <w:rFonts w:hint="cs"/>
          <w:b/>
          <w:bCs/>
          <w:rtl/>
          <w:lang/>
        </w:rPr>
        <w:tab/>
        <w:t>(أ)</w:t>
      </w:r>
      <w:r w:rsidRPr="0082210C">
        <w:rPr>
          <w:rFonts w:hint="cs"/>
          <w:b/>
          <w:bCs/>
          <w:rtl/>
          <w:lang/>
        </w:rPr>
        <w:tab/>
      </w:r>
      <w:r w:rsidR="008608DA" w:rsidRPr="0082210C">
        <w:rPr>
          <w:rFonts w:hint="cs"/>
          <w:b/>
          <w:bCs/>
          <w:rtl/>
          <w:lang/>
        </w:rPr>
        <w:t>تنقيح تشريعها بغية ضمان أن يكون اللجوء إلى الحبس الانفرادي ملاذا أخيرا ولأقصر فترة ممكنة، على أن يكون خاضعا</w:t>
      </w:r>
      <w:r w:rsidR="001C7C70">
        <w:rPr>
          <w:rFonts w:hint="cs"/>
          <w:b/>
          <w:bCs/>
          <w:rtl/>
          <w:lang/>
        </w:rPr>
        <w:t>ً</w:t>
      </w:r>
      <w:r w:rsidR="008608DA" w:rsidRPr="0082210C">
        <w:rPr>
          <w:rFonts w:hint="cs"/>
          <w:b/>
          <w:bCs/>
          <w:rtl/>
          <w:lang/>
        </w:rPr>
        <w:t xml:space="preserve"> </w:t>
      </w:r>
      <w:r w:rsidR="001C7C70">
        <w:rPr>
          <w:rFonts w:hint="cs"/>
          <w:b/>
          <w:bCs/>
          <w:rtl/>
          <w:lang/>
        </w:rPr>
        <w:t>لل</w:t>
      </w:r>
      <w:r w:rsidR="008608DA" w:rsidRPr="0082210C">
        <w:rPr>
          <w:rFonts w:hint="cs"/>
          <w:b/>
          <w:bCs/>
          <w:rtl/>
          <w:lang/>
        </w:rPr>
        <w:t>إشراف الصارم وقابلا</w:t>
      </w:r>
      <w:r w:rsidR="001C7C70">
        <w:rPr>
          <w:rFonts w:hint="cs"/>
          <w:b/>
          <w:bCs/>
          <w:rtl/>
          <w:lang/>
        </w:rPr>
        <w:t>ً</w:t>
      </w:r>
      <w:r w:rsidR="008608DA" w:rsidRPr="0082210C">
        <w:rPr>
          <w:rFonts w:hint="cs"/>
          <w:b/>
          <w:bCs/>
          <w:rtl/>
          <w:lang/>
        </w:rPr>
        <w:t xml:space="preserve"> للمراجعة القضائية. ويتعين على الدولة الطرف أن تضع معايير واضحة ومحددة يتخذ على أساسها قرار العزل؛</w:t>
      </w:r>
    </w:p>
    <w:p w:rsidR="008608DA" w:rsidRPr="0082210C" w:rsidRDefault="0082210C" w:rsidP="00A83CF9">
      <w:pPr>
        <w:pStyle w:val="SingleTxtGA"/>
        <w:spacing w:line="374" w:lineRule="exact"/>
        <w:rPr>
          <w:rFonts w:hint="cs"/>
          <w:b/>
          <w:bCs/>
          <w:lang/>
        </w:rPr>
      </w:pPr>
      <w:r w:rsidRPr="0082210C">
        <w:rPr>
          <w:rFonts w:hint="cs"/>
          <w:b/>
          <w:bCs/>
          <w:rtl/>
          <w:lang/>
        </w:rPr>
        <w:tab/>
        <w:t>(ب)</w:t>
      </w:r>
      <w:r w:rsidRPr="0082210C">
        <w:rPr>
          <w:rFonts w:hint="cs"/>
          <w:b/>
          <w:bCs/>
          <w:rtl/>
          <w:lang/>
        </w:rPr>
        <w:tab/>
      </w:r>
      <w:r w:rsidR="008608DA" w:rsidRPr="0082210C">
        <w:rPr>
          <w:rFonts w:hint="cs"/>
          <w:b/>
          <w:bCs/>
          <w:rtl/>
          <w:lang/>
        </w:rPr>
        <w:t>وضع نظام منتظم لرصد ومراجعة ظروف المحتجزين البدنية والنفسية من جانب فريق طبي كفؤ طيلة مدة الحبس الانفرادي ووضع هذه السجلات الطبية في متناول المحتجزين ومستشاريهم القانونيين؛</w:t>
      </w:r>
    </w:p>
    <w:p w:rsidR="008608DA" w:rsidRPr="0082210C" w:rsidRDefault="0082210C" w:rsidP="00A83CF9">
      <w:pPr>
        <w:pStyle w:val="SingleTxtGA"/>
        <w:spacing w:line="374" w:lineRule="exact"/>
        <w:rPr>
          <w:rFonts w:hint="cs"/>
          <w:b/>
          <w:bCs/>
          <w:rtl/>
          <w:lang/>
        </w:rPr>
      </w:pPr>
      <w:r w:rsidRPr="0082210C">
        <w:rPr>
          <w:rFonts w:hint="cs"/>
          <w:b/>
          <w:bCs/>
          <w:rtl/>
          <w:lang/>
        </w:rPr>
        <w:tab/>
      </w:r>
      <w:r w:rsidR="008608DA" w:rsidRPr="0082210C">
        <w:rPr>
          <w:rFonts w:hint="cs"/>
          <w:b/>
          <w:bCs/>
          <w:rtl/>
          <w:lang/>
        </w:rPr>
        <w:t>(ج)</w:t>
      </w:r>
      <w:r w:rsidRPr="0082210C">
        <w:rPr>
          <w:rFonts w:hint="cs"/>
          <w:b/>
          <w:bCs/>
          <w:rtl/>
          <w:lang/>
        </w:rPr>
        <w:tab/>
      </w:r>
      <w:r w:rsidR="008608DA" w:rsidRPr="0082210C">
        <w:rPr>
          <w:rFonts w:hint="cs"/>
          <w:b/>
          <w:bCs/>
          <w:rtl/>
          <w:lang/>
        </w:rPr>
        <w:t>رفع مستوى التواصل الاجتماعي النفسي مع المحتجزين في الحبس الانفرادي ليكون ذا معنى؛</w:t>
      </w:r>
    </w:p>
    <w:p w:rsidR="008608DA" w:rsidRPr="0082210C" w:rsidRDefault="0082210C" w:rsidP="00A83CF9">
      <w:pPr>
        <w:pStyle w:val="SingleTxtGA"/>
        <w:spacing w:line="374" w:lineRule="exact"/>
        <w:rPr>
          <w:rFonts w:hint="cs"/>
          <w:b/>
          <w:bCs/>
          <w:rtl/>
          <w:lang/>
        </w:rPr>
      </w:pPr>
      <w:r w:rsidRPr="0082210C">
        <w:rPr>
          <w:rFonts w:hint="cs"/>
          <w:b/>
          <w:bCs/>
          <w:rtl/>
          <w:lang/>
        </w:rPr>
        <w:tab/>
      </w:r>
      <w:r w:rsidR="008608DA" w:rsidRPr="0082210C">
        <w:rPr>
          <w:rFonts w:hint="cs"/>
          <w:b/>
          <w:bCs/>
          <w:rtl/>
          <w:lang/>
        </w:rPr>
        <w:t>(د)</w:t>
      </w:r>
      <w:r w:rsidRPr="0082210C">
        <w:rPr>
          <w:rFonts w:hint="cs"/>
          <w:b/>
          <w:bCs/>
          <w:rtl/>
          <w:lang/>
        </w:rPr>
        <w:tab/>
      </w:r>
      <w:r w:rsidR="008608DA" w:rsidRPr="0082210C">
        <w:rPr>
          <w:rFonts w:hint="cs"/>
          <w:b/>
          <w:bCs/>
          <w:rtl/>
          <w:lang/>
        </w:rPr>
        <w:t>تقييم وتقدير الممارسة المتبعة لاستخدام الحبس الانفرادي وتوفير المعلومات المحددة والمصنّفة بشأن استخدام الحبس الانفرادي وظروفه.</w:t>
      </w:r>
    </w:p>
    <w:p w:rsidR="008608DA" w:rsidRPr="00261DFD" w:rsidRDefault="0082210C" w:rsidP="00A83CF9">
      <w:pPr>
        <w:pStyle w:val="H23GA"/>
        <w:spacing w:line="374" w:lineRule="exact"/>
        <w:rPr>
          <w:rFonts w:hint="cs"/>
          <w:rtl/>
          <w:lang/>
        </w:rPr>
      </w:pPr>
      <w:r>
        <w:rPr>
          <w:rFonts w:hint="cs"/>
          <w:rtl/>
          <w:lang/>
        </w:rPr>
        <w:tab/>
      </w:r>
      <w:r>
        <w:rPr>
          <w:rFonts w:hint="cs"/>
          <w:rtl/>
          <w:lang/>
        </w:rPr>
        <w:tab/>
      </w:r>
      <w:r w:rsidR="008608DA" w:rsidRPr="00261DFD">
        <w:rPr>
          <w:rFonts w:hint="cs"/>
          <w:rtl/>
          <w:lang/>
        </w:rPr>
        <w:t xml:space="preserve">عقوبة الإعدام </w:t>
      </w:r>
    </w:p>
    <w:p w:rsidR="008608DA" w:rsidRPr="00FE4CB5" w:rsidRDefault="0082210C" w:rsidP="00A83CF9">
      <w:pPr>
        <w:pStyle w:val="SingleTxtGA"/>
        <w:spacing w:line="374" w:lineRule="exact"/>
        <w:rPr>
          <w:rFonts w:hint="cs"/>
          <w:rtl/>
          <w:lang/>
        </w:rPr>
      </w:pPr>
      <w:r>
        <w:rPr>
          <w:rFonts w:hint="cs"/>
          <w:rtl/>
          <w:lang/>
        </w:rPr>
        <w:t>(</w:t>
      </w:r>
      <w:r w:rsidR="008608DA" w:rsidRPr="00FE4CB5">
        <w:rPr>
          <w:rFonts w:hint="cs"/>
          <w:rtl/>
          <w:lang/>
        </w:rPr>
        <w:t>15</w:t>
      </w:r>
      <w:r>
        <w:rPr>
          <w:rFonts w:hint="cs"/>
          <w:rtl/>
          <w:lang/>
        </w:rPr>
        <w:t>)</w:t>
      </w:r>
      <w:r>
        <w:rPr>
          <w:rFonts w:hint="cs"/>
          <w:rtl/>
          <w:lang/>
        </w:rPr>
        <w:tab/>
      </w:r>
      <w:r w:rsidR="008608DA" w:rsidRPr="00FE4CB5">
        <w:rPr>
          <w:rFonts w:hint="cs"/>
          <w:rtl/>
          <w:lang/>
        </w:rPr>
        <w:t>تشعر اللجن</w:t>
      </w:r>
      <w:r w:rsidR="008608DA">
        <w:rPr>
          <w:rFonts w:hint="cs"/>
          <w:rtl/>
          <w:lang/>
        </w:rPr>
        <w:t>ة بقلق بالغ إزاء ظروف الاحتجاز التي يعيشها السجناء</w:t>
      </w:r>
      <w:r w:rsidR="008608DA" w:rsidRPr="00FE4CB5">
        <w:rPr>
          <w:rFonts w:hint="cs"/>
          <w:rtl/>
          <w:lang/>
        </w:rPr>
        <w:t xml:space="preserve"> المحكوم عليهم بالإعدام في الدولة الطرف، لا</w:t>
      </w:r>
      <w:r w:rsidR="002F691F">
        <w:rPr>
          <w:rFonts w:hint="cs"/>
          <w:rtl/>
          <w:lang/>
        </w:rPr>
        <w:t xml:space="preserve"> </w:t>
      </w:r>
      <w:r w:rsidR="0081190D">
        <w:rPr>
          <w:rFonts w:hint="cs"/>
          <w:rtl/>
          <w:lang/>
        </w:rPr>
        <w:t>سيما في</w:t>
      </w:r>
      <w:r w:rsidR="008608DA" w:rsidRPr="00FE4CB5">
        <w:rPr>
          <w:rFonts w:hint="cs"/>
          <w:rtl/>
          <w:lang/>
        </w:rPr>
        <w:t xml:space="preserve">ما يتعلق بما يلي: </w:t>
      </w:r>
    </w:p>
    <w:p w:rsidR="008608DA" w:rsidRPr="00A83CF9" w:rsidRDefault="0082210C" w:rsidP="00A83CF9">
      <w:pPr>
        <w:pStyle w:val="SingleTxtGA"/>
        <w:spacing w:line="374" w:lineRule="exact"/>
        <w:rPr>
          <w:rFonts w:hint="cs"/>
          <w:spacing w:val="-2"/>
          <w:rtl/>
          <w:lang/>
        </w:rPr>
      </w:pPr>
      <w:r w:rsidRPr="00A83CF9">
        <w:rPr>
          <w:rFonts w:hint="cs"/>
          <w:spacing w:val="-2"/>
          <w:rtl/>
          <w:lang/>
        </w:rPr>
        <w:tab/>
      </w:r>
      <w:r w:rsidR="008608DA" w:rsidRPr="00A83CF9">
        <w:rPr>
          <w:rFonts w:hint="cs"/>
          <w:spacing w:val="-2"/>
          <w:rtl/>
          <w:lang/>
        </w:rPr>
        <w:t>(أ)</w:t>
      </w:r>
      <w:r w:rsidRPr="00A83CF9">
        <w:rPr>
          <w:rFonts w:hint="cs"/>
          <w:spacing w:val="-2"/>
          <w:rtl/>
          <w:lang/>
        </w:rPr>
        <w:tab/>
      </w:r>
      <w:r w:rsidR="008608DA" w:rsidRPr="00A83CF9">
        <w:rPr>
          <w:rFonts w:hint="cs"/>
          <w:spacing w:val="-2"/>
          <w:rtl/>
          <w:lang/>
        </w:rPr>
        <w:t>السرية والشك غير الضروريين اللذان يحيطان إعدام السجناء المحكوم عليهم بالإعدام. ووفق ما أشار إليه المقرر الخاص بشأن الإعدام خارج القضاء أو بإجراءات موجزة أو تعسفاً، فإن رفض إعطاء الأشخاص الذين تمت إدانتهم وأفراد أسرتهم إشعاراً مسبقاً بتاريخ تنفيذ الإعدام ووقته، هو انتهاك جليّ لحقوق الإنسان (</w:t>
      </w:r>
      <w:r w:rsidR="008608DA" w:rsidRPr="00A83CF9">
        <w:rPr>
          <w:spacing w:val="-2"/>
          <w:lang/>
        </w:rPr>
        <w:t>E/CN.4/2006/53/Add.3</w:t>
      </w:r>
      <w:r w:rsidR="008608DA" w:rsidRPr="00A83CF9">
        <w:rPr>
          <w:rFonts w:hint="cs"/>
          <w:spacing w:val="-2"/>
          <w:rtl/>
        </w:rPr>
        <w:t>، الفقرة 3)</w:t>
      </w:r>
      <w:r w:rsidR="008608DA" w:rsidRPr="00A83CF9">
        <w:rPr>
          <w:rFonts w:hint="cs"/>
          <w:spacing w:val="-2"/>
          <w:rtl/>
          <w:lang/>
        </w:rPr>
        <w:t>؛</w:t>
      </w:r>
    </w:p>
    <w:p w:rsidR="008608DA" w:rsidRPr="00FE4CB5" w:rsidRDefault="0082210C" w:rsidP="0082210C">
      <w:pPr>
        <w:pStyle w:val="SingleTxtGA"/>
        <w:rPr>
          <w:rFonts w:hint="cs"/>
          <w:rtl/>
          <w:lang/>
        </w:rPr>
      </w:pPr>
      <w:r>
        <w:rPr>
          <w:rFonts w:hint="cs"/>
          <w:rtl/>
          <w:lang/>
        </w:rPr>
        <w:tab/>
      </w:r>
      <w:r w:rsidR="008608DA" w:rsidRPr="00FE4CB5">
        <w:rPr>
          <w:rFonts w:hint="cs"/>
          <w:rtl/>
          <w:lang/>
        </w:rPr>
        <w:t>(ب)</w:t>
      </w:r>
      <w:r>
        <w:rPr>
          <w:rFonts w:hint="cs"/>
          <w:rtl/>
          <w:lang/>
        </w:rPr>
        <w:tab/>
      </w:r>
      <w:r w:rsidR="008608DA" w:rsidRPr="00FE4CB5">
        <w:rPr>
          <w:rFonts w:hint="cs"/>
          <w:rtl/>
          <w:lang/>
        </w:rPr>
        <w:t>استخدام الحبس الانفرادي للأشخاص المحكوم عليهم بالإعدام وغالباً لفترات زمنية مطولة قد تتعدى الثلاثين عاماً في بعض الحالات والتواصل المحدود مع الخارج؛</w:t>
      </w:r>
    </w:p>
    <w:p w:rsidR="008608DA" w:rsidRPr="00FE4CB5" w:rsidRDefault="0082210C" w:rsidP="00714CB5">
      <w:pPr>
        <w:pStyle w:val="SingleTxtGA"/>
        <w:rPr>
          <w:rFonts w:hint="cs"/>
          <w:rtl/>
          <w:lang/>
        </w:rPr>
      </w:pPr>
      <w:r>
        <w:rPr>
          <w:rFonts w:hint="cs"/>
          <w:rtl/>
          <w:lang/>
        </w:rPr>
        <w:tab/>
      </w:r>
      <w:r w:rsidR="008608DA" w:rsidRPr="00FE4CB5">
        <w:rPr>
          <w:rFonts w:hint="cs"/>
          <w:rtl/>
          <w:lang/>
        </w:rPr>
        <w:t>(ج)</w:t>
      </w:r>
      <w:r>
        <w:rPr>
          <w:rFonts w:hint="cs"/>
          <w:rtl/>
          <w:lang/>
        </w:rPr>
        <w:tab/>
      </w:r>
      <w:r w:rsidR="008608DA">
        <w:rPr>
          <w:rFonts w:hint="cs"/>
          <w:rtl/>
          <w:lang/>
        </w:rPr>
        <w:t>الإخلال بالحق في</w:t>
      </w:r>
      <w:r w:rsidR="008608DA" w:rsidRPr="00FE4CB5">
        <w:rPr>
          <w:rFonts w:hint="cs"/>
          <w:rtl/>
          <w:lang/>
        </w:rPr>
        <w:t xml:space="preserve"> الحصول على مساعدة مستشار قانوني، </w:t>
      </w:r>
      <w:r w:rsidR="008608DA">
        <w:rPr>
          <w:rFonts w:hint="cs"/>
          <w:rtl/>
          <w:lang/>
        </w:rPr>
        <w:t>وم</w:t>
      </w:r>
      <w:r>
        <w:rPr>
          <w:rFonts w:hint="cs"/>
          <w:rtl/>
          <w:lang/>
        </w:rPr>
        <w:t xml:space="preserve">ا ينطوي عليه من ذلك من محدودية </w:t>
      </w:r>
      <w:r w:rsidR="008608DA" w:rsidRPr="00FE4CB5">
        <w:rPr>
          <w:rFonts w:hint="cs"/>
          <w:rtl/>
          <w:lang/>
        </w:rPr>
        <w:t>ال</w:t>
      </w:r>
      <w:r w:rsidR="008608DA">
        <w:rPr>
          <w:rFonts w:hint="cs"/>
          <w:rtl/>
          <w:lang/>
        </w:rPr>
        <w:t>اتصال</w:t>
      </w:r>
      <w:r w:rsidR="008608DA" w:rsidRPr="00FE4CB5">
        <w:rPr>
          <w:rFonts w:hint="cs"/>
          <w:rtl/>
          <w:lang/>
        </w:rPr>
        <w:t xml:space="preserve"> </w:t>
      </w:r>
      <w:r w:rsidR="008608DA">
        <w:rPr>
          <w:rFonts w:hint="cs"/>
          <w:rtl/>
          <w:lang/>
        </w:rPr>
        <w:t>بمحام في كنف من السرية</w:t>
      </w:r>
      <w:r w:rsidR="00714CB5">
        <w:rPr>
          <w:rFonts w:hint="cs"/>
          <w:rtl/>
          <w:lang/>
        </w:rPr>
        <w:t>؛</w:t>
      </w:r>
    </w:p>
    <w:p w:rsidR="008608DA" w:rsidRPr="00FE4CB5" w:rsidRDefault="0082210C" w:rsidP="0082210C">
      <w:pPr>
        <w:pStyle w:val="SingleTxtGA"/>
        <w:rPr>
          <w:rFonts w:hint="cs"/>
          <w:rtl/>
          <w:lang/>
        </w:rPr>
      </w:pPr>
      <w:r>
        <w:rPr>
          <w:rFonts w:hint="cs"/>
          <w:rtl/>
          <w:lang/>
        </w:rPr>
        <w:tab/>
      </w:r>
      <w:r w:rsidR="008608DA" w:rsidRPr="00FE4CB5">
        <w:rPr>
          <w:rFonts w:hint="cs"/>
          <w:rtl/>
          <w:lang/>
        </w:rPr>
        <w:t>(د)</w:t>
      </w:r>
      <w:r>
        <w:rPr>
          <w:rFonts w:hint="cs"/>
          <w:rtl/>
          <w:lang/>
        </w:rPr>
        <w:tab/>
      </w:r>
      <w:r w:rsidR="008608DA" w:rsidRPr="00FE4CB5">
        <w:rPr>
          <w:rFonts w:hint="cs"/>
          <w:rtl/>
          <w:lang/>
        </w:rPr>
        <w:t xml:space="preserve">غياب نظام الاستئناف الإلزامي بشأن قضايا الإعدام نظراً إلى العدد المتزايد </w:t>
      </w:r>
      <w:r w:rsidR="008608DA">
        <w:rPr>
          <w:rFonts w:hint="cs"/>
          <w:rtl/>
          <w:lang/>
        </w:rPr>
        <w:t>من ال</w:t>
      </w:r>
      <w:r w:rsidR="008608DA" w:rsidRPr="00FE4CB5">
        <w:rPr>
          <w:rFonts w:hint="cs"/>
          <w:rtl/>
          <w:lang/>
        </w:rPr>
        <w:t>متهمين ا</w:t>
      </w:r>
      <w:r w:rsidR="008608DA">
        <w:rPr>
          <w:rFonts w:hint="cs"/>
          <w:rtl/>
          <w:lang/>
        </w:rPr>
        <w:t>لمدانين والخاضعين لعقوبة الإعدام</w:t>
      </w:r>
      <w:r w:rsidR="008608DA" w:rsidRPr="00FE4CB5">
        <w:rPr>
          <w:rFonts w:hint="cs"/>
          <w:rtl/>
          <w:lang/>
        </w:rPr>
        <w:t xml:space="preserve"> دون ممارسة حقهم </w:t>
      </w:r>
      <w:r w:rsidR="008608DA">
        <w:rPr>
          <w:rFonts w:hint="cs"/>
          <w:rtl/>
          <w:lang/>
        </w:rPr>
        <w:t xml:space="preserve">في </w:t>
      </w:r>
      <w:r w:rsidR="008608DA" w:rsidRPr="00FE4CB5">
        <w:rPr>
          <w:rFonts w:hint="cs"/>
          <w:rtl/>
          <w:lang/>
        </w:rPr>
        <w:t>الاستئناف؛</w:t>
      </w:r>
    </w:p>
    <w:p w:rsidR="008608DA" w:rsidRPr="00FE4CB5" w:rsidRDefault="0082210C" w:rsidP="0060624F">
      <w:pPr>
        <w:pStyle w:val="SingleTxtGA"/>
        <w:spacing w:line="370" w:lineRule="exact"/>
        <w:rPr>
          <w:rFonts w:hint="cs"/>
          <w:rtl/>
          <w:lang/>
        </w:rPr>
      </w:pPr>
      <w:r>
        <w:rPr>
          <w:rFonts w:hint="cs"/>
          <w:rtl/>
          <w:lang/>
        </w:rPr>
        <w:tab/>
      </w:r>
      <w:r w:rsidR="008608DA" w:rsidRPr="00FE4CB5">
        <w:rPr>
          <w:rFonts w:hint="cs"/>
          <w:rtl/>
          <w:lang/>
        </w:rPr>
        <w:t>(</w:t>
      </w:r>
      <w:r w:rsidRPr="0082210C">
        <w:rPr>
          <w:rFonts w:hint="cs"/>
          <w:sz w:val="30"/>
          <w:rtl/>
          <w:lang/>
        </w:rPr>
        <w:t>ﻫ</w:t>
      </w:r>
      <w:r>
        <w:rPr>
          <w:rFonts w:hint="cs"/>
          <w:rtl/>
          <w:lang/>
        </w:rPr>
        <w:t>)</w:t>
      </w:r>
      <w:r>
        <w:rPr>
          <w:rFonts w:hint="cs"/>
          <w:rtl/>
          <w:lang/>
        </w:rPr>
        <w:tab/>
      </w:r>
      <w:r w:rsidR="008608DA" w:rsidRPr="00FE4CB5">
        <w:rPr>
          <w:rFonts w:hint="cs"/>
          <w:rtl/>
          <w:lang/>
        </w:rPr>
        <w:t>عدم استخدام سلطة منح العفو م</w:t>
      </w:r>
      <w:r w:rsidR="00C26843">
        <w:rPr>
          <w:rFonts w:hint="cs"/>
          <w:rtl/>
          <w:lang/>
        </w:rPr>
        <w:t>نذ العام 2007 وغياب الشفافية في</w:t>
      </w:r>
      <w:r w:rsidR="008608DA" w:rsidRPr="00FE4CB5">
        <w:rPr>
          <w:rFonts w:hint="cs"/>
          <w:rtl/>
          <w:lang/>
        </w:rPr>
        <w:t>ما</w:t>
      </w:r>
      <w:r w:rsidR="00C26843">
        <w:rPr>
          <w:rFonts w:hint="eastAsia"/>
          <w:rtl/>
          <w:lang/>
        </w:rPr>
        <w:t> </w:t>
      </w:r>
      <w:r w:rsidR="008608DA" w:rsidRPr="00FE4CB5">
        <w:rPr>
          <w:rFonts w:hint="cs"/>
          <w:rtl/>
          <w:lang/>
        </w:rPr>
        <w:t>يتعلق بإجراءات السعي لل</w:t>
      </w:r>
      <w:r w:rsidR="008608DA">
        <w:rPr>
          <w:rFonts w:hint="cs"/>
          <w:rtl/>
          <w:lang/>
        </w:rPr>
        <w:t xml:space="preserve">استفادة </w:t>
      </w:r>
      <w:r w:rsidR="008608DA" w:rsidRPr="00FE4CB5">
        <w:rPr>
          <w:rFonts w:hint="cs"/>
          <w:rtl/>
          <w:lang/>
        </w:rPr>
        <w:t>من العفو أو تخفيف العقوبة أو إرجائها؛</w:t>
      </w:r>
    </w:p>
    <w:p w:rsidR="008608DA" w:rsidRPr="00FE4CB5" w:rsidRDefault="00C26843" w:rsidP="0060624F">
      <w:pPr>
        <w:pStyle w:val="SingleTxtGA"/>
        <w:spacing w:line="370" w:lineRule="exact"/>
        <w:rPr>
          <w:rFonts w:hint="cs"/>
          <w:rtl/>
          <w:lang/>
        </w:rPr>
      </w:pPr>
      <w:r>
        <w:rPr>
          <w:rFonts w:hint="cs"/>
          <w:rtl/>
          <w:lang/>
        </w:rPr>
        <w:tab/>
      </w:r>
      <w:r w:rsidR="008608DA" w:rsidRPr="00FE4CB5">
        <w:rPr>
          <w:rFonts w:hint="cs"/>
          <w:rtl/>
          <w:lang/>
        </w:rPr>
        <w:t>(و)</w:t>
      </w:r>
      <w:r>
        <w:rPr>
          <w:rFonts w:hint="cs"/>
          <w:rtl/>
          <w:lang/>
        </w:rPr>
        <w:tab/>
      </w:r>
      <w:r w:rsidR="008608DA" w:rsidRPr="00FE4CB5">
        <w:rPr>
          <w:rFonts w:hint="cs"/>
          <w:rtl/>
          <w:lang/>
        </w:rPr>
        <w:t>تقارير بشأن عقوبات إعدام منفّذة حتى</w:t>
      </w:r>
      <w:r w:rsidR="008608DA">
        <w:rPr>
          <w:rFonts w:hint="cs"/>
          <w:rtl/>
          <w:lang/>
        </w:rPr>
        <w:t xml:space="preserve"> بعد أن </w:t>
      </w:r>
      <w:r w:rsidR="008608DA" w:rsidRPr="00FE4CB5">
        <w:rPr>
          <w:rFonts w:hint="cs"/>
          <w:rtl/>
          <w:lang/>
        </w:rPr>
        <w:t>حكمت المحكمة</w:t>
      </w:r>
      <w:r w:rsidR="008608DA">
        <w:rPr>
          <w:rFonts w:hint="cs"/>
          <w:rtl/>
          <w:lang/>
        </w:rPr>
        <w:t xml:space="preserve"> بأن</w:t>
      </w:r>
      <w:r w:rsidR="008608DA" w:rsidRPr="00FE4CB5">
        <w:rPr>
          <w:rFonts w:hint="cs"/>
          <w:rtl/>
          <w:lang/>
        </w:rPr>
        <w:t xml:space="preserve"> الشخص مريض عقلياً كما في حالة سيها فوجيما، خلافاً للمادة 479 (1) من قانون الإجراءات الجنائية الذي يحظر إعدام سجين في حالة اختلال عقلي (المواد 2 و11 و16). </w:t>
      </w:r>
    </w:p>
    <w:p w:rsidR="008608DA" w:rsidRPr="0060624F" w:rsidRDefault="00C26843" w:rsidP="0060624F">
      <w:pPr>
        <w:pStyle w:val="SingleTxtGA"/>
        <w:spacing w:line="370" w:lineRule="exact"/>
        <w:rPr>
          <w:rFonts w:ascii="Times New Roman Bold" w:hAnsi="Times New Roman Bold" w:hint="cs"/>
          <w:b/>
          <w:bCs/>
          <w:spacing w:val="-2"/>
          <w:rtl/>
        </w:rPr>
      </w:pPr>
      <w:r w:rsidRPr="0060624F">
        <w:rPr>
          <w:rFonts w:ascii="Times New Roman Bold" w:hAnsi="Times New Roman Bold" w:hint="cs"/>
          <w:b/>
          <w:bCs/>
          <w:spacing w:val="-2"/>
          <w:rtl/>
          <w:lang/>
        </w:rPr>
        <w:tab/>
      </w:r>
      <w:r w:rsidR="008608DA" w:rsidRPr="0060624F">
        <w:rPr>
          <w:rFonts w:ascii="Times New Roman Bold" w:hAnsi="Times New Roman Bold" w:hint="cs"/>
          <w:b/>
          <w:bCs/>
          <w:spacing w:val="-2"/>
          <w:rtl/>
          <w:lang/>
        </w:rPr>
        <w:t>في ضوء التوصيات السابقة التي قدمتها اللجنة (الفقرة 17) واللجنة المعنية بحقوق الإنسان (</w:t>
      </w:r>
      <w:r w:rsidR="008608DA" w:rsidRPr="0060624F">
        <w:rPr>
          <w:rFonts w:ascii="Times New Roman Bold" w:hAnsi="Times New Roman Bold"/>
          <w:b/>
          <w:bCs/>
          <w:spacing w:val="-2"/>
        </w:rPr>
        <w:t>CCPR/C/GC/32</w:t>
      </w:r>
      <w:r w:rsidR="008608DA" w:rsidRPr="0060624F">
        <w:rPr>
          <w:rFonts w:ascii="Times New Roman Bold" w:hAnsi="Times New Roman Bold" w:hint="cs"/>
          <w:b/>
          <w:bCs/>
          <w:spacing w:val="-2"/>
          <w:rtl/>
        </w:rPr>
        <w:t xml:space="preserve">، الفقرة 38) والبلاغ الذي أرسله المقرر الخاص بشأن الإعدام </w:t>
      </w:r>
      <w:r w:rsidR="008608DA" w:rsidRPr="0060624F">
        <w:rPr>
          <w:rFonts w:ascii="Times New Roman Bold" w:hAnsi="Times New Roman Bold"/>
          <w:b/>
          <w:bCs/>
          <w:spacing w:val="-2"/>
          <w:rtl/>
        </w:rPr>
        <w:t>خارج القضاء أو بإجراءات موجزة أو تعسفاً</w:t>
      </w:r>
      <w:r w:rsidR="008608DA" w:rsidRPr="0060624F">
        <w:rPr>
          <w:rFonts w:ascii="Times New Roman Bold" w:hAnsi="Times New Roman Bold" w:hint="cs"/>
          <w:b/>
          <w:bCs/>
          <w:spacing w:val="-2"/>
          <w:rtl/>
        </w:rPr>
        <w:t xml:space="preserve"> (</w:t>
      </w:r>
      <w:r w:rsidR="008608DA" w:rsidRPr="0060624F">
        <w:rPr>
          <w:rFonts w:ascii="Times New Roman Bold" w:hAnsi="Times New Roman Bold"/>
          <w:b/>
          <w:bCs/>
          <w:spacing w:val="-2"/>
        </w:rPr>
        <w:t>A/HRC/14/24/Add.1</w:t>
      </w:r>
      <w:r w:rsidR="008608DA" w:rsidRPr="0060624F">
        <w:rPr>
          <w:rFonts w:ascii="Times New Roman Bold" w:hAnsi="Times New Roman Bold" w:hint="cs"/>
          <w:b/>
          <w:bCs/>
          <w:spacing w:val="-2"/>
          <w:rtl/>
        </w:rPr>
        <w:t xml:space="preserve">، الفقرة 515 وو)، تحث اللجنة الدولة الطرف على كفالة توفير الضمانات القانونية والحماية، بموجب الاتفاقية، للسجناء المحكوم عليهم بالإعدام، وذلك من خلال: </w:t>
      </w:r>
    </w:p>
    <w:p w:rsidR="008608DA" w:rsidRPr="0060624F" w:rsidRDefault="00C26843" w:rsidP="0060624F">
      <w:pPr>
        <w:pStyle w:val="SingleTxtGA"/>
        <w:spacing w:after="60" w:line="370" w:lineRule="exact"/>
        <w:rPr>
          <w:rFonts w:hint="cs"/>
          <w:b/>
          <w:bCs/>
          <w:rtl/>
        </w:rPr>
      </w:pPr>
      <w:r w:rsidRPr="0060624F">
        <w:rPr>
          <w:rFonts w:hint="cs"/>
          <w:b/>
          <w:bCs/>
          <w:rtl/>
        </w:rPr>
        <w:tab/>
        <w:t>(أ)</w:t>
      </w:r>
      <w:r w:rsidRPr="0060624F">
        <w:rPr>
          <w:rFonts w:hint="cs"/>
          <w:b/>
          <w:bCs/>
          <w:rtl/>
        </w:rPr>
        <w:tab/>
      </w:r>
      <w:r w:rsidR="008608DA" w:rsidRPr="0060624F">
        <w:rPr>
          <w:rFonts w:hint="cs"/>
          <w:b/>
          <w:bCs/>
          <w:rtl/>
        </w:rPr>
        <w:t>إعطاء السجناء المحكوم عليهم بالإعدام وأسرتهم إشعاراً مسبقاً معقولاً بشأن تاريخ تنفيذ الحكم ووقته؛</w:t>
      </w:r>
    </w:p>
    <w:p w:rsidR="008608DA" w:rsidRPr="0060624F" w:rsidRDefault="00C26843" w:rsidP="0060624F">
      <w:pPr>
        <w:pStyle w:val="SingleTxtGA"/>
        <w:spacing w:after="60" w:line="370" w:lineRule="exact"/>
        <w:rPr>
          <w:rFonts w:hint="cs"/>
          <w:b/>
          <w:bCs/>
        </w:rPr>
      </w:pPr>
      <w:r w:rsidRPr="0060624F">
        <w:rPr>
          <w:rFonts w:hint="cs"/>
          <w:b/>
          <w:bCs/>
          <w:rtl/>
        </w:rPr>
        <w:tab/>
        <w:t>(ب)</w:t>
      </w:r>
      <w:r w:rsidRPr="0060624F">
        <w:rPr>
          <w:rFonts w:hint="cs"/>
          <w:b/>
          <w:bCs/>
          <w:rtl/>
        </w:rPr>
        <w:tab/>
      </w:r>
      <w:r w:rsidR="008608DA" w:rsidRPr="0060624F">
        <w:rPr>
          <w:rFonts w:hint="cs"/>
          <w:b/>
          <w:bCs/>
          <w:rtl/>
        </w:rPr>
        <w:t>تنقيح القواعد التي تحكم</w:t>
      </w:r>
      <w:r w:rsidRPr="0060624F">
        <w:rPr>
          <w:rFonts w:hint="cs"/>
          <w:b/>
          <w:bCs/>
          <w:rtl/>
        </w:rPr>
        <w:t xml:space="preserve"> </w:t>
      </w:r>
      <w:r w:rsidR="008608DA" w:rsidRPr="0060624F">
        <w:rPr>
          <w:rFonts w:hint="cs"/>
          <w:b/>
          <w:bCs/>
          <w:rtl/>
        </w:rPr>
        <w:t>الحبس الانفرادي للسجناء المحكوم عليهم بالإعدام؛</w:t>
      </w:r>
    </w:p>
    <w:p w:rsidR="008608DA" w:rsidRPr="0060624F" w:rsidRDefault="00C26843" w:rsidP="0060624F">
      <w:pPr>
        <w:pStyle w:val="SingleTxtGA"/>
        <w:spacing w:after="60" w:line="370" w:lineRule="exact"/>
        <w:rPr>
          <w:rFonts w:hint="cs"/>
          <w:b/>
          <w:bCs/>
          <w:rtl/>
        </w:rPr>
      </w:pPr>
      <w:r w:rsidRPr="0060624F">
        <w:rPr>
          <w:rFonts w:hint="cs"/>
          <w:b/>
          <w:bCs/>
          <w:rtl/>
        </w:rPr>
        <w:tab/>
        <w:t>(ج)</w:t>
      </w:r>
      <w:r w:rsidRPr="0060624F">
        <w:rPr>
          <w:rFonts w:hint="cs"/>
          <w:b/>
          <w:bCs/>
          <w:rtl/>
        </w:rPr>
        <w:tab/>
      </w:r>
      <w:r w:rsidR="008608DA" w:rsidRPr="0060624F">
        <w:rPr>
          <w:rFonts w:hint="cs"/>
          <w:b/>
          <w:bCs/>
          <w:rtl/>
        </w:rPr>
        <w:t>ضمان توفير مساعدة مستشار قانوني فعالة للسجناء المحكوم عليهم بالإعدام في كافة مراحل الإجراءات، وكفالة السرية المطلقة للقاءات مع محاميهم؛</w:t>
      </w:r>
    </w:p>
    <w:p w:rsidR="008608DA" w:rsidRPr="0060624F" w:rsidRDefault="00C26843" w:rsidP="0060624F">
      <w:pPr>
        <w:pStyle w:val="SingleTxtGA"/>
        <w:spacing w:after="60" w:line="370" w:lineRule="exact"/>
        <w:rPr>
          <w:rFonts w:hint="cs"/>
          <w:b/>
          <w:bCs/>
          <w:rtl/>
        </w:rPr>
      </w:pPr>
      <w:r w:rsidRPr="0060624F">
        <w:rPr>
          <w:rFonts w:hint="cs"/>
          <w:b/>
          <w:bCs/>
          <w:rtl/>
        </w:rPr>
        <w:tab/>
      </w:r>
      <w:r w:rsidR="008608DA" w:rsidRPr="0060624F">
        <w:rPr>
          <w:rFonts w:hint="cs"/>
          <w:b/>
          <w:bCs/>
          <w:rtl/>
        </w:rPr>
        <w:t>(د)</w:t>
      </w:r>
      <w:r w:rsidRPr="0060624F">
        <w:rPr>
          <w:rFonts w:hint="cs"/>
          <w:b/>
          <w:bCs/>
          <w:rtl/>
        </w:rPr>
        <w:tab/>
      </w:r>
      <w:r w:rsidR="008608DA" w:rsidRPr="0060624F">
        <w:rPr>
          <w:rFonts w:hint="cs"/>
          <w:b/>
          <w:bCs/>
          <w:rtl/>
        </w:rPr>
        <w:t xml:space="preserve">إتاحة سلطة منح العفو وتخفيف الحكم وإرجائه، في الممارسة </w:t>
      </w:r>
      <w:r w:rsidR="0060624F">
        <w:rPr>
          <w:rFonts w:hint="cs"/>
          <w:b/>
          <w:bCs/>
          <w:rtl/>
        </w:rPr>
        <w:t xml:space="preserve">الواقعية، لصالح </w:t>
      </w:r>
      <w:r w:rsidR="008608DA" w:rsidRPr="0060624F">
        <w:rPr>
          <w:rFonts w:hint="cs"/>
          <w:b/>
          <w:bCs/>
          <w:rtl/>
        </w:rPr>
        <w:t>السجناء المحكوم عليهم بالإعدام؛</w:t>
      </w:r>
    </w:p>
    <w:p w:rsidR="008608DA" w:rsidRPr="0060624F" w:rsidRDefault="00C26843" w:rsidP="0060624F">
      <w:pPr>
        <w:pStyle w:val="SingleTxtGA"/>
        <w:spacing w:after="60" w:line="370" w:lineRule="exact"/>
        <w:rPr>
          <w:rFonts w:hint="cs"/>
          <w:b/>
          <w:bCs/>
          <w:rtl/>
        </w:rPr>
      </w:pPr>
      <w:r w:rsidRPr="0060624F">
        <w:rPr>
          <w:rFonts w:hint="cs"/>
          <w:b/>
          <w:bCs/>
          <w:rtl/>
        </w:rPr>
        <w:tab/>
      </w:r>
      <w:r w:rsidR="008608DA" w:rsidRPr="0060624F">
        <w:rPr>
          <w:rFonts w:hint="cs"/>
          <w:b/>
          <w:bCs/>
          <w:rtl/>
        </w:rPr>
        <w:t>(</w:t>
      </w:r>
      <w:r w:rsidRPr="0060624F">
        <w:rPr>
          <w:rFonts w:hint="cs"/>
          <w:b/>
          <w:bCs/>
          <w:sz w:val="30"/>
          <w:rtl/>
        </w:rPr>
        <w:t>ﻫ</w:t>
      </w:r>
      <w:r w:rsidRPr="0060624F">
        <w:rPr>
          <w:rFonts w:hint="cs"/>
          <w:b/>
          <w:bCs/>
          <w:rtl/>
        </w:rPr>
        <w:t>)</w:t>
      </w:r>
      <w:r w:rsidRPr="0060624F">
        <w:rPr>
          <w:rFonts w:hint="cs"/>
          <w:b/>
          <w:bCs/>
          <w:rtl/>
        </w:rPr>
        <w:tab/>
      </w:r>
      <w:r w:rsidR="008608DA" w:rsidRPr="0060624F">
        <w:rPr>
          <w:rFonts w:hint="cs"/>
          <w:b/>
          <w:bCs/>
          <w:rtl/>
        </w:rPr>
        <w:t>إنشاء نظام استعراض إلزامي لقضايا الإعدام، مع أثر إيقافي عقب إصدار المحكمة الابتدائية حكماً بالإعدام؛</w:t>
      </w:r>
    </w:p>
    <w:p w:rsidR="008608DA" w:rsidRPr="0060624F" w:rsidRDefault="00C26843" w:rsidP="0060624F">
      <w:pPr>
        <w:pStyle w:val="SingleTxtGA"/>
        <w:spacing w:after="60" w:line="370" w:lineRule="exact"/>
        <w:rPr>
          <w:rFonts w:hint="cs"/>
          <w:b/>
          <w:bCs/>
          <w:rtl/>
        </w:rPr>
      </w:pPr>
      <w:r w:rsidRPr="0060624F">
        <w:rPr>
          <w:rFonts w:hint="cs"/>
          <w:b/>
          <w:bCs/>
          <w:rtl/>
        </w:rPr>
        <w:tab/>
      </w:r>
      <w:r w:rsidR="008608DA" w:rsidRPr="0060624F">
        <w:rPr>
          <w:rFonts w:hint="cs"/>
          <w:b/>
          <w:bCs/>
          <w:rtl/>
        </w:rPr>
        <w:t>(و)</w:t>
      </w:r>
      <w:r w:rsidRPr="0060624F">
        <w:rPr>
          <w:rFonts w:hint="cs"/>
          <w:b/>
          <w:bCs/>
          <w:rtl/>
        </w:rPr>
        <w:tab/>
      </w:r>
      <w:r w:rsidR="008608DA" w:rsidRPr="0060624F">
        <w:rPr>
          <w:rFonts w:hint="cs"/>
          <w:b/>
          <w:bCs/>
          <w:rtl/>
        </w:rPr>
        <w:t>ضمان الاستعراض المستقل لكافة القضايا لدى توافر أدلة موثوقة بأنّ المسجون المحكوم عليه بالإ</w:t>
      </w:r>
      <w:r w:rsidR="00777841">
        <w:rPr>
          <w:rFonts w:hint="cs"/>
          <w:b/>
          <w:bCs/>
          <w:rtl/>
        </w:rPr>
        <w:t xml:space="preserve">عدام مريض عقلياً. </w:t>
      </w:r>
      <w:r w:rsidR="008608DA" w:rsidRPr="0060624F">
        <w:rPr>
          <w:rFonts w:hint="cs"/>
          <w:b/>
          <w:bCs/>
          <w:rtl/>
        </w:rPr>
        <w:t>ويتعين على الدولة الطرف كذلك أن تضمن عدم إعدام مسجون يعان</w:t>
      </w:r>
      <w:r w:rsidR="00777841">
        <w:rPr>
          <w:rFonts w:hint="cs"/>
          <w:b/>
          <w:bCs/>
          <w:rtl/>
        </w:rPr>
        <w:t>ي مرضاً عقلياً وفقاً للمادة 479</w:t>
      </w:r>
      <w:r w:rsidR="008608DA" w:rsidRPr="0060624F">
        <w:rPr>
          <w:rFonts w:hint="cs"/>
          <w:b/>
          <w:bCs/>
          <w:rtl/>
        </w:rPr>
        <w:t xml:space="preserve">(1) من قانون الإجراءات الجنائية؛ </w:t>
      </w:r>
    </w:p>
    <w:p w:rsidR="008608DA" w:rsidRPr="0060624F" w:rsidRDefault="0060624F" w:rsidP="0060624F">
      <w:pPr>
        <w:pStyle w:val="SingleTxtGA"/>
        <w:spacing w:after="60" w:line="370" w:lineRule="exact"/>
        <w:rPr>
          <w:rFonts w:hint="cs"/>
          <w:b/>
          <w:bCs/>
          <w:rtl/>
        </w:rPr>
      </w:pPr>
      <w:r w:rsidRPr="0060624F">
        <w:rPr>
          <w:rFonts w:hint="cs"/>
          <w:b/>
          <w:bCs/>
          <w:rtl/>
        </w:rPr>
        <w:tab/>
      </w:r>
      <w:r w:rsidR="008608DA" w:rsidRPr="0060624F">
        <w:rPr>
          <w:rFonts w:hint="cs"/>
          <w:b/>
          <w:bCs/>
          <w:rtl/>
        </w:rPr>
        <w:t>(ز)</w:t>
      </w:r>
      <w:r w:rsidRPr="0060624F">
        <w:rPr>
          <w:rFonts w:hint="cs"/>
          <w:b/>
          <w:bCs/>
          <w:rtl/>
        </w:rPr>
        <w:tab/>
      </w:r>
      <w:r w:rsidR="008608DA" w:rsidRPr="0060624F">
        <w:rPr>
          <w:rFonts w:hint="cs"/>
          <w:b/>
          <w:bCs/>
          <w:rtl/>
        </w:rPr>
        <w:t>تقديم بيانات عن السجناء المحكوم عليهم بالإعدام مصنّفة بحسب الجنس والسنّ والأصل العرقي والجريمة المرتكبة؛</w:t>
      </w:r>
    </w:p>
    <w:p w:rsidR="008608DA" w:rsidRPr="0060624F" w:rsidRDefault="0060624F" w:rsidP="0060624F">
      <w:pPr>
        <w:pStyle w:val="SingleTxtGA"/>
        <w:spacing w:line="370" w:lineRule="exact"/>
        <w:rPr>
          <w:rFonts w:hint="cs"/>
          <w:b/>
          <w:bCs/>
          <w:rtl/>
        </w:rPr>
      </w:pPr>
      <w:r w:rsidRPr="0060624F">
        <w:rPr>
          <w:rFonts w:hint="cs"/>
          <w:b/>
          <w:bCs/>
          <w:rtl/>
        </w:rPr>
        <w:tab/>
      </w:r>
      <w:r w:rsidR="008608DA" w:rsidRPr="0060624F">
        <w:rPr>
          <w:rFonts w:hint="cs"/>
          <w:b/>
          <w:bCs/>
          <w:rtl/>
        </w:rPr>
        <w:t>(ح)</w:t>
      </w:r>
      <w:r w:rsidRPr="0060624F">
        <w:rPr>
          <w:rFonts w:hint="cs"/>
          <w:b/>
          <w:bCs/>
          <w:rtl/>
        </w:rPr>
        <w:tab/>
      </w:r>
      <w:r w:rsidR="008608DA" w:rsidRPr="0060624F">
        <w:rPr>
          <w:rFonts w:hint="cs"/>
          <w:b/>
          <w:bCs/>
          <w:rtl/>
        </w:rPr>
        <w:t>النظر في إمكانية إلغاء عقوبة الإعدام.</w:t>
      </w:r>
    </w:p>
    <w:p w:rsidR="008608DA" w:rsidRPr="00261DFD" w:rsidRDefault="0060624F" w:rsidP="0060624F">
      <w:pPr>
        <w:pStyle w:val="H23GA"/>
        <w:rPr>
          <w:rFonts w:hint="cs"/>
          <w:rtl/>
        </w:rPr>
      </w:pPr>
      <w:r>
        <w:rPr>
          <w:rFonts w:hint="cs"/>
          <w:rtl/>
        </w:rPr>
        <w:tab/>
      </w:r>
      <w:r>
        <w:rPr>
          <w:rFonts w:hint="cs"/>
          <w:rtl/>
        </w:rPr>
        <w:tab/>
      </w:r>
      <w:r w:rsidR="008608DA" w:rsidRPr="00261DFD">
        <w:rPr>
          <w:rFonts w:hint="cs"/>
          <w:rtl/>
        </w:rPr>
        <w:t>المؤسسة الوطنية لحقوق الإنسان</w:t>
      </w:r>
    </w:p>
    <w:p w:rsidR="008608DA" w:rsidRPr="00FE4CB5" w:rsidRDefault="0060624F" w:rsidP="0060624F">
      <w:pPr>
        <w:pStyle w:val="SingleTxtGA"/>
        <w:rPr>
          <w:rFonts w:hint="cs"/>
          <w:rtl/>
        </w:rPr>
      </w:pPr>
      <w:r>
        <w:rPr>
          <w:rFonts w:hint="cs"/>
          <w:rtl/>
        </w:rPr>
        <w:t>(</w:t>
      </w:r>
      <w:r w:rsidR="008608DA" w:rsidRPr="00FE4CB5">
        <w:rPr>
          <w:rFonts w:hint="cs"/>
          <w:rtl/>
        </w:rPr>
        <w:t>16</w:t>
      </w:r>
      <w:r>
        <w:rPr>
          <w:rFonts w:hint="cs"/>
          <w:rtl/>
        </w:rPr>
        <w:t>)</w:t>
      </w:r>
      <w:r>
        <w:rPr>
          <w:rFonts w:hint="cs"/>
          <w:rtl/>
        </w:rPr>
        <w:tab/>
      </w:r>
      <w:r w:rsidR="008608DA" w:rsidRPr="00FE4CB5">
        <w:rPr>
          <w:rFonts w:hint="cs"/>
          <w:rtl/>
        </w:rPr>
        <w:t>تلاحظ اللجنة بقلق أنّ الدولة الطرف لم تنشئ بعد مؤسسة وطنية لحقوق الإنسان وفقاً للمبادئ المتعلقة بمركز المؤسسات الوطنية المعنية بتعزيز وحماية حقوق الإنسان (مبادئ</w:t>
      </w:r>
      <w:r>
        <w:rPr>
          <w:rFonts w:hint="eastAsia"/>
          <w:rtl/>
        </w:rPr>
        <w:t> </w:t>
      </w:r>
      <w:r w:rsidR="008608DA" w:rsidRPr="00FE4CB5">
        <w:rPr>
          <w:rFonts w:hint="cs"/>
          <w:rtl/>
        </w:rPr>
        <w:t xml:space="preserve">باريس) (المادة 2). </w:t>
      </w:r>
    </w:p>
    <w:p w:rsidR="008608DA" w:rsidRPr="0060624F" w:rsidRDefault="0060624F" w:rsidP="0060624F">
      <w:pPr>
        <w:pStyle w:val="SingleTxtGA"/>
        <w:rPr>
          <w:rFonts w:hint="cs"/>
          <w:b/>
          <w:bCs/>
          <w:rtl/>
        </w:rPr>
      </w:pPr>
      <w:r w:rsidRPr="0060624F">
        <w:rPr>
          <w:rFonts w:hint="cs"/>
          <w:b/>
          <w:bCs/>
          <w:rtl/>
        </w:rPr>
        <w:tab/>
      </w:r>
      <w:r w:rsidR="008608DA" w:rsidRPr="0060624F">
        <w:rPr>
          <w:rFonts w:hint="cs"/>
          <w:b/>
          <w:bCs/>
          <w:rtl/>
        </w:rPr>
        <w:t>وإذ تلاحظ اللجنة الالتزام الذي قطعته الدولة الطرف في سياق الاستعراض الدوري الشامل (</w:t>
      </w:r>
      <w:r w:rsidR="008608DA" w:rsidRPr="0060624F">
        <w:rPr>
          <w:b/>
          <w:bCs/>
        </w:rPr>
        <w:t>A/HRC/22/14/Add.1</w:t>
      </w:r>
      <w:r w:rsidR="008608DA" w:rsidRPr="0060624F">
        <w:rPr>
          <w:rFonts w:hint="cs"/>
          <w:b/>
          <w:bCs/>
          <w:rtl/>
        </w:rPr>
        <w:t xml:space="preserve">، الفقرة 147. 47 وو)، تحثّ الدولة الطرف على التعجيل بإنشاء مؤسسة وطنية لحقوق الإنسان تماشياً مع مبادئ باريس. </w:t>
      </w:r>
    </w:p>
    <w:p w:rsidR="008608DA" w:rsidRPr="00261DFD" w:rsidRDefault="0060624F" w:rsidP="0060624F">
      <w:pPr>
        <w:pStyle w:val="H23GA"/>
        <w:rPr>
          <w:rFonts w:hint="cs"/>
          <w:rtl/>
        </w:rPr>
      </w:pPr>
      <w:r>
        <w:rPr>
          <w:rFonts w:hint="cs"/>
          <w:rtl/>
        </w:rPr>
        <w:tab/>
      </w:r>
      <w:r>
        <w:rPr>
          <w:rFonts w:hint="cs"/>
          <w:rtl/>
        </w:rPr>
        <w:tab/>
      </w:r>
      <w:r w:rsidR="008608DA" w:rsidRPr="00261DFD">
        <w:rPr>
          <w:rFonts w:hint="cs"/>
          <w:rtl/>
        </w:rPr>
        <w:t>التدريب</w:t>
      </w:r>
    </w:p>
    <w:p w:rsidR="008608DA" w:rsidRPr="00FE4CB5" w:rsidRDefault="0060624F" w:rsidP="0060624F">
      <w:pPr>
        <w:pStyle w:val="SingleTxtGA"/>
        <w:rPr>
          <w:rFonts w:hint="cs"/>
          <w:rtl/>
          <w:lang/>
        </w:rPr>
      </w:pPr>
      <w:r>
        <w:rPr>
          <w:rFonts w:hint="cs"/>
          <w:rtl/>
        </w:rPr>
        <w:t>(</w:t>
      </w:r>
      <w:r w:rsidR="008608DA" w:rsidRPr="00FE4CB5">
        <w:rPr>
          <w:rFonts w:hint="cs"/>
          <w:rtl/>
        </w:rPr>
        <w:t>17</w:t>
      </w:r>
      <w:r>
        <w:rPr>
          <w:rFonts w:hint="cs"/>
          <w:rtl/>
        </w:rPr>
        <w:t>)</w:t>
      </w:r>
      <w:r>
        <w:rPr>
          <w:rFonts w:hint="cs"/>
          <w:rtl/>
        </w:rPr>
        <w:tab/>
      </w:r>
      <w:r w:rsidR="008608DA">
        <w:rPr>
          <w:rFonts w:hint="cs"/>
          <w:rtl/>
        </w:rPr>
        <w:t>بينما</w:t>
      </w:r>
      <w:r w:rsidR="008608DA" w:rsidRPr="00FE4CB5">
        <w:rPr>
          <w:rFonts w:hint="cs"/>
          <w:rtl/>
        </w:rPr>
        <w:t xml:space="preserve"> تحيط اللجنة علماً ببرامج التدريب المتعددة المتعلقة بحقوق الإنسان والتي </w:t>
      </w:r>
      <w:r w:rsidR="008608DA">
        <w:rPr>
          <w:rFonts w:hint="cs"/>
          <w:rtl/>
        </w:rPr>
        <w:t xml:space="preserve">بادرت إليها </w:t>
      </w:r>
      <w:r w:rsidR="008608DA" w:rsidRPr="00FE4CB5">
        <w:rPr>
          <w:rFonts w:hint="cs"/>
          <w:rtl/>
        </w:rPr>
        <w:t xml:space="preserve">الدولة الطرف، تلاحظ بقلق أنّ الدولة الطرف لا توفر التدريب بشأن الاتفاقية لجميع الموظفين المسؤولين عن الهجرة وأنّ </w:t>
      </w:r>
      <w:r w:rsidR="008608DA" w:rsidRPr="00FE4CB5">
        <w:rPr>
          <w:rFonts w:hint="cs"/>
          <w:rtl/>
          <w:lang/>
        </w:rPr>
        <w:t xml:space="preserve">دليل التقصي والتوثيق الفعالين بشأن التعذيب وغيره من ضروب المعاملة أو العقوبة القاسية أو اللاإنسانية أو المهينة (بروتوكول اسطنبول) ليس مدمجاً في برنامج التدريب. أما نقص المعلومات بشأن فعالية برامج التدريب هذه وأثرها في تخفيض عدد حالات التعذيب، بما فيها العنف القائم على أساس نوع الجنس وسوء المعاملة فيشكل أيضاً مصدر قلق (المادة 11). </w:t>
      </w:r>
    </w:p>
    <w:p w:rsidR="008608DA" w:rsidRPr="0060624F" w:rsidRDefault="0060624F" w:rsidP="0060624F">
      <w:pPr>
        <w:pStyle w:val="SingleTxtGA"/>
        <w:rPr>
          <w:rFonts w:hint="cs"/>
          <w:b/>
          <w:bCs/>
          <w:rtl/>
          <w:lang/>
        </w:rPr>
      </w:pPr>
      <w:r w:rsidRPr="0060624F">
        <w:rPr>
          <w:rFonts w:hint="cs"/>
          <w:b/>
          <w:bCs/>
          <w:rtl/>
          <w:lang/>
        </w:rPr>
        <w:tab/>
      </w:r>
      <w:r w:rsidR="008608DA" w:rsidRPr="0060624F">
        <w:rPr>
          <w:rFonts w:hint="cs"/>
          <w:b/>
          <w:bCs/>
          <w:rtl/>
          <w:lang/>
        </w:rPr>
        <w:t xml:space="preserve">يتعين على الدولة الطرف أن تقوم بما يلي: </w:t>
      </w:r>
    </w:p>
    <w:p w:rsidR="008608DA" w:rsidRPr="0060624F" w:rsidRDefault="0060624F" w:rsidP="0060624F">
      <w:pPr>
        <w:pStyle w:val="SingleTxtGA"/>
        <w:rPr>
          <w:rFonts w:hint="cs"/>
          <w:b/>
          <w:bCs/>
          <w:rtl/>
          <w:lang/>
        </w:rPr>
      </w:pPr>
      <w:r w:rsidRPr="0060624F">
        <w:rPr>
          <w:rFonts w:hint="cs"/>
          <w:b/>
          <w:bCs/>
          <w:rtl/>
          <w:lang/>
        </w:rPr>
        <w:tab/>
        <w:t>(أ)</w:t>
      </w:r>
      <w:r w:rsidRPr="0060624F">
        <w:rPr>
          <w:rFonts w:hint="cs"/>
          <w:b/>
          <w:bCs/>
          <w:rtl/>
          <w:lang/>
        </w:rPr>
        <w:tab/>
      </w:r>
      <w:r w:rsidR="008608DA" w:rsidRPr="0060624F">
        <w:rPr>
          <w:rFonts w:hint="cs"/>
          <w:b/>
          <w:bCs/>
          <w:rtl/>
          <w:lang/>
        </w:rPr>
        <w:t>إعداد المزيد من برامج التدريب وتعزيزها بغية ضمان إعلام جميع المسؤولين لا</w:t>
      </w:r>
      <w:r>
        <w:rPr>
          <w:rFonts w:hint="cs"/>
          <w:b/>
          <w:bCs/>
          <w:rtl/>
          <w:lang/>
        </w:rPr>
        <w:t xml:space="preserve"> </w:t>
      </w:r>
      <w:r w:rsidR="008608DA" w:rsidRPr="0060624F">
        <w:rPr>
          <w:rFonts w:hint="cs"/>
          <w:b/>
          <w:bCs/>
          <w:rtl/>
          <w:lang/>
        </w:rPr>
        <w:t>سيما القضاة والموظفين المكلفين إنفاذ القوانين والموظفين في السجون وفي مكاتب الهجرة بأحكام الاتفاقية؛</w:t>
      </w:r>
    </w:p>
    <w:p w:rsidR="008608DA" w:rsidRPr="0060624F" w:rsidRDefault="0060624F" w:rsidP="0060624F">
      <w:pPr>
        <w:pStyle w:val="SingleTxtGA"/>
        <w:rPr>
          <w:rFonts w:hint="cs"/>
          <w:b/>
          <w:bCs/>
          <w:lang/>
        </w:rPr>
      </w:pPr>
      <w:r w:rsidRPr="0060624F">
        <w:rPr>
          <w:rFonts w:hint="cs"/>
          <w:b/>
          <w:bCs/>
          <w:rtl/>
          <w:lang/>
        </w:rPr>
        <w:tab/>
        <w:t>(ب)</w:t>
      </w:r>
      <w:r w:rsidRPr="0060624F">
        <w:rPr>
          <w:rFonts w:hint="cs"/>
          <w:b/>
          <w:bCs/>
          <w:rtl/>
          <w:lang/>
        </w:rPr>
        <w:tab/>
      </w:r>
      <w:r w:rsidR="008608DA" w:rsidRPr="0060624F">
        <w:rPr>
          <w:rFonts w:hint="cs"/>
          <w:b/>
          <w:bCs/>
          <w:rtl/>
          <w:lang/>
        </w:rPr>
        <w:t>توفير التدريب المنتظم بشأن بروتوكول اسطنبول للموظفين الطبيين وسواهم من الموظّفين المعنيين بالتحقيق في قضايا التعذيب وتوثيقها؛</w:t>
      </w:r>
    </w:p>
    <w:p w:rsidR="008608DA" w:rsidRPr="0060624F" w:rsidRDefault="0060624F" w:rsidP="0060624F">
      <w:pPr>
        <w:pStyle w:val="SingleTxtGA"/>
        <w:rPr>
          <w:rFonts w:hint="cs"/>
          <w:b/>
          <w:bCs/>
          <w:rtl/>
          <w:lang/>
        </w:rPr>
      </w:pPr>
      <w:r w:rsidRPr="0060624F">
        <w:rPr>
          <w:rFonts w:hint="cs"/>
          <w:b/>
          <w:bCs/>
          <w:rtl/>
          <w:lang/>
        </w:rPr>
        <w:tab/>
      </w:r>
      <w:r w:rsidR="008608DA" w:rsidRPr="0060624F">
        <w:rPr>
          <w:rFonts w:hint="cs"/>
          <w:b/>
          <w:bCs/>
          <w:rtl/>
          <w:lang/>
        </w:rPr>
        <w:t>(ج)</w:t>
      </w:r>
      <w:r w:rsidRPr="0060624F">
        <w:rPr>
          <w:rFonts w:hint="cs"/>
          <w:b/>
          <w:bCs/>
          <w:rtl/>
          <w:lang/>
        </w:rPr>
        <w:tab/>
      </w:r>
      <w:r w:rsidR="008608DA" w:rsidRPr="0060624F">
        <w:rPr>
          <w:rFonts w:hint="cs"/>
          <w:b/>
          <w:bCs/>
          <w:rtl/>
          <w:lang/>
        </w:rPr>
        <w:t>التشجيع على انضمام المنظمات غير الحكومية إلى تدريب الموظفين المكلفين إنفاذ القوانين؛</w:t>
      </w:r>
    </w:p>
    <w:p w:rsidR="008608DA" w:rsidRPr="0060624F" w:rsidRDefault="0060624F" w:rsidP="0060624F">
      <w:pPr>
        <w:pStyle w:val="SingleTxtGA"/>
        <w:rPr>
          <w:rFonts w:hint="cs"/>
          <w:b/>
          <w:bCs/>
          <w:rtl/>
          <w:lang/>
        </w:rPr>
      </w:pPr>
      <w:r w:rsidRPr="0060624F">
        <w:rPr>
          <w:rFonts w:hint="cs"/>
          <w:b/>
          <w:bCs/>
          <w:rtl/>
          <w:lang/>
        </w:rPr>
        <w:tab/>
      </w:r>
      <w:r w:rsidR="008608DA" w:rsidRPr="0060624F">
        <w:rPr>
          <w:rFonts w:hint="cs"/>
          <w:b/>
          <w:bCs/>
          <w:rtl/>
          <w:lang/>
        </w:rPr>
        <w:t>(د)</w:t>
      </w:r>
      <w:r w:rsidRPr="0060624F">
        <w:rPr>
          <w:rFonts w:hint="cs"/>
          <w:b/>
          <w:bCs/>
          <w:rtl/>
          <w:lang/>
        </w:rPr>
        <w:tab/>
      </w:r>
      <w:r w:rsidR="008608DA" w:rsidRPr="0060624F">
        <w:rPr>
          <w:rFonts w:hint="cs"/>
          <w:b/>
          <w:bCs/>
          <w:rtl/>
          <w:lang/>
        </w:rPr>
        <w:t>تقييم فعالية وأثر برامج التدريب بشأن الوقاية والحظر المطلق للتعذيب، بما</w:t>
      </w:r>
      <w:r w:rsidRPr="0060624F">
        <w:rPr>
          <w:rFonts w:hint="eastAsia"/>
          <w:b/>
          <w:bCs/>
          <w:rtl/>
          <w:lang/>
        </w:rPr>
        <w:t> </w:t>
      </w:r>
      <w:r w:rsidR="008608DA" w:rsidRPr="0060624F">
        <w:rPr>
          <w:rFonts w:hint="cs"/>
          <w:b/>
          <w:bCs/>
          <w:rtl/>
          <w:lang/>
        </w:rPr>
        <w:t xml:space="preserve">يشمل العنف القائم على </w:t>
      </w:r>
      <w:r w:rsidR="00777841">
        <w:rPr>
          <w:rFonts w:hint="cs"/>
          <w:b/>
          <w:bCs/>
          <w:rtl/>
          <w:lang/>
        </w:rPr>
        <w:t>أساس نوع الجنس، وسوء المعاملة.</w:t>
      </w:r>
    </w:p>
    <w:p w:rsidR="008608DA" w:rsidRPr="0092223A" w:rsidRDefault="0060624F" w:rsidP="0060624F">
      <w:pPr>
        <w:pStyle w:val="H23GA"/>
        <w:rPr>
          <w:rFonts w:hint="cs"/>
          <w:rtl/>
          <w:lang/>
        </w:rPr>
      </w:pPr>
      <w:r>
        <w:rPr>
          <w:rFonts w:hint="cs"/>
          <w:rtl/>
          <w:lang/>
        </w:rPr>
        <w:tab/>
      </w:r>
      <w:r>
        <w:rPr>
          <w:rFonts w:hint="cs"/>
          <w:rtl/>
          <w:lang/>
        </w:rPr>
        <w:tab/>
      </w:r>
      <w:r w:rsidR="008608DA" w:rsidRPr="0092223A">
        <w:rPr>
          <w:rFonts w:hint="cs"/>
          <w:rtl/>
          <w:lang/>
        </w:rPr>
        <w:t>الجبر،</w:t>
      </w:r>
      <w:r w:rsidR="008608DA">
        <w:rPr>
          <w:rFonts w:hint="cs"/>
          <w:rtl/>
          <w:lang/>
        </w:rPr>
        <w:t xml:space="preserve"> بما في ذلك </w:t>
      </w:r>
      <w:r w:rsidR="008608DA" w:rsidRPr="0092223A">
        <w:rPr>
          <w:rFonts w:hint="cs"/>
          <w:rtl/>
          <w:lang/>
        </w:rPr>
        <w:t xml:space="preserve">التعويض وإعادة التأهيل </w:t>
      </w:r>
    </w:p>
    <w:p w:rsidR="008608DA" w:rsidRDefault="0060624F" w:rsidP="0060624F">
      <w:pPr>
        <w:pStyle w:val="SingleTxtGA"/>
        <w:rPr>
          <w:rFonts w:hint="cs"/>
          <w:rtl/>
        </w:rPr>
      </w:pPr>
      <w:r>
        <w:rPr>
          <w:rFonts w:hint="cs"/>
          <w:rtl/>
          <w:lang/>
        </w:rPr>
        <w:t>(</w:t>
      </w:r>
      <w:r w:rsidR="008608DA" w:rsidRPr="00FE4CB5">
        <w:rPr>
          <w:rFonts w:hint="cs"/>
          <w:rtl/>
          <w:lang/>
        </w:rPr>
        <w:t>18</w:t>
      </w:r>
      <w:r>
        <w:rPr>
          <w:rFonts w:hint="cs"/>
          <w:rtl/>
          <w:lang/>
        </w:rPr>
        <w:t>)</w:t>
      </w:r>
      <w:r>
        <w:rPr>
          <w:rFonts w:hint="cs"/>
          <w:rtl/>
          <w:lang/>
        </w:rPr>
        <w:tab/>
      </w:r>
      <w:r w:rsidR="008608DA" w:rsidRPr="00FE4CB5">
        <w:rPr>
          <w:rFonts w:hint="cs"/>
          <w:rtl/>
        </w:rPr>
        <w:t xml:space="preserve">بالرغم من </w:t>
      </w:r>
      <w:r w:rsidR="008608DA">
        <w:rPr>
          <w:rFonts w:hint="cs"/>
          <w:rtl/>
        </w:rPr>
        <w:t xml:space="preserve">أنه يحق بموجب </w:t>
      </w:r>
      <w:r w:rsidR="008608DA" w:rsidRPr="00FE4CB5">
        <w:rPr>
          <w:rFonts w:hint="cs"/>
          <w:rtl/>
        </w:rPr>
        <w:t xml:space="preserve">المادة 1 من </w:t>
      </w:r>
      <w:r w:rsidR="008608DA" w:rsidRPr="0092223A">
        <w:rPr>
          <w:rFonts w:hint="cs"/>
          <w:rtl/>
        </w:rPr>
        <w:t>قانون الجبر الحكومي</w:t>
      </w:r>
      <w:r w:rsidR="008608DA">
        <w:rPr>
          <w:rFonts w:hint="cs"/>
          <w:rtl/>
        </w:rPr>
        <w:t xml:space="preserve"> أن تطالب الضحية بالتعويض عن الأضرار من الحكومة أو الهيئة العامة، فلا يزال القلق يساور اللجنة إزاء (أ)</w:t>
      </w:r>
      <w:r>
        <w:rPr>
          <w:rFonts w:hint="eastAsia"/>
          <w:rtl/>
        </w:rPr>
        <w:t> </w:t>
      </w:r>
      <w:r w:rsidR="008608DA">
        <w:rPr>
          <w:rFonts w:hint="cs"/>
          <w:rtl/>
        </w:rPr>
        <w:t>التقارير المتعلقة بالصعوبات التي يواجهها ضحايا أعمال التعذيب أو سوء المعاملة في الحصول على الجبر والتعويض المناسب</w:t>
      </w:r>
      <w:r>
        <w:rPr>
          <w:rFonts w:hint="cs"/>
          <w:rtl/>
        </w:rPr>
        <w:t>؛</w:t>
      </w:r>
      <w:r w:rsidR="008608DA">
        <w:rPr>
          <w:rFonts w:hint="cs"/>
          <w:rtl/>
        </w:rPr>
        <w:t xml:space="preserve"> و(ب) القيود المفروضة على الحق في التعويض مثل قانون التقادم وقواعد المعاملة بالمثل المتعلقة بالمهاجرين</w:t>
      </w:r>
      <w:r>
        <w:rPr>
          <w:rFonts w:hint="cs"/>
          <w:rtl/>
        </w:rPr>
        <w:t>؛</w:t>
      </w:r>
      <w:r w:rsidR="008608DA">
        <w:rPr>
          <w:rFonts w:hint="cs"/>
          <w:rtl/>
        </w:rPr>
        <w:t xml:space="preserve"> و(ج) نقص المعلومات عن التعويضات المطلوبة والممنوحة لضحايا التعذيب وسوء المعاملة. </w:t>
      </w:r>
    </w:p>
    <w:p w:rsidR="008608DA" w:rsidRPr="0060624F" w:rsidRDefault="0060624F" w:rsidP="0060624F">
      <w:pPr>
        <w:pStyle w:val="SingleTxtGA"/>
        <w:spacing w:line="370" w:lineRule="exact"/>
        <w:rPr>
          <w:rFonts w:hint="cs"/>
          <w:b/>
          <w:bCs/>
          <w:rtl/>
        </w:rPr>
      </w:pPr>
      <w:r w:rsidRPr="0060624F">
        <w:rPr>
          <w:rFonts w:hint="cs"/>
          <w:b/>
          <w:bCs/>
          <w:rtl/>
        </w:rPr>
        <w:tab/>
      </w:r>
      <w:r w:rsidR="008608DA" w:rsidRPr="0060624F">
        <w:rPr>
          <w:rFonts w:hint="cs"/>
          <w:b/>
          <w:bCs/>
          <w:rtl/>
        </w:rPr>
        <w:t>وبينما تشير</w:t>
      </w:r>
      <w:r>
        <w:rPr>
          <w:rFonts w:hint="cs"/>
          <w:b/>
          <w:bCs/>
          <w:rtl/>
        </w:rPr>
        <w:t xml:space="preserve"> اللجنة إلى تعليقها العام رقم 3</w:t>
      </w:r>
      <w:r w:rsidR="008608DA" w:rsidRPr="0060624F">
        <w:rPr>
          <w:rFonts w:hint="cs"/>
          <w:b/>
          <w:bCs/>
          <w:rtl/>
        </w:rPr>
        <w:t>(2012) بشأن المادة 14 من الاتفاقية الذي يوضح مضمون ونطاق التزامات الدول الأطراف التي تقضي بتوفير الجبر الكامل لضحايا التعذيب، توصي اللجنة بأن تضاعف الدولة الطرف جهودها لضمان تمكين جميع ضحايا أعمال التعذيب وسوء المعاملة من ممارسة حقهم بالكامل في الحصول على الجبر، بما يشمل التعويض المنصف والمناسب، والحصول أيضاً على إع</w:t>
      </w:r>
      <w:r w:rsidR="00777841">
        <w:rPr>
          <w:rFonts w:hint="cs"/>
          <w:b/>
          <w:bCs/>
          <w:rtl/>
        </w:rPr>
        <w:t xml:space="preserve">ادة التأهيل الكاملة وكذلك حقهم </w:t>
      </w:r>
      <w:r w:rsidR="008608DA" w:rsidRPr="0060624F">
        <w:rPr>
          <w:rFonts w:hint="cs"/>
          <w:b/>
          <w:bCs/>
          <w:rtl/>
        </w:rPr>
        <w:t xml:space="preserve">في معرفة الحقيقة. ويتعين على الدولة الطرف أن تمد اللجنة بالمعلومات عن (أ) تدابير الجبر والتعويض بموجب قرارات المحاكم والتي تمنح لضحايا التعذيب وسوء المعاملة أو أسرهم. ويجب أن تتضمن هذه المعلومات عدد الطلبات المقدمة والتي تمت تلبيتها والمبالغ التي أمر بدفعها والتي دفعت في كل قضية؛ (ب) أي برامج إعادة تأهيل جارية لضحايا التعذيب وسوء المعاملة. ويتعين على الدولة الطرف أن تخصص أيضاً موارد لتنفيذ هذه البرامج فعلياً وإطلاع اللجنة على ذلك. </w:t>
      </w:r>
    </w:p>
    <w:p w:rsidR="008608DA" w:rsidRPr="00FA1472" w:rsidRDefault="0060624F" w:rsidP="0060624F">
      <w:pPr>
        <w:pStyle w:val="H23GA"/>
        <w:rPr>
          <w:rFonts w:hint="cs"/>
          <w:rtl/>
        </w:rPr>
      </w:pPr>
      <w:r>
        <w:rPr>
          <w:rFonts w:hint="cs"/>
          <w:rtl/>
        </w:rPr>
        <w:tab/>
      </w:r>
      <w:r>
        <w:rPr>
          <w:rFonts w:hint="cs"/>
          <w:rtl/>
        </w:rPr>
        <w:tab/>
      </w:r>
      <w:r w:rsidR="008608DA" w:rsidRPr="00FA1472">
        <w:rPr>
          <w:rFonts w:hint="cs"/>
          <w:rtl/>
        </w:rPr>
        <w:t>ضحايا الاستعباد الجنسي العسكري</w:t>
      </w:r>
    </w:p>
    <w:p w:rsidR="008608DA" w:rsidRDefault="0060624F" w:rsidP="0060624F">
      <w:pPr>
        <w:pStyle w:val="SingleTxtGA"/>
        <w:spacing w:line="370" w:lineRule="exact"/>
        <w:rPr>
          <w:rFonts w:hint="cs"/>
          <w:rtl/>
        </w:rPr>
      </w:pPr>
      <w:r>
        <w:rPr>
          <w:rFonts w:hint="cs"/>
          <w:rtl/>
        </w:rPr>
        <w:t>(</w:t>
      </w:r>
      <w:r w:rsidR="008608DA">
        <w:rPr>
          <w:rFonts w:hint="cs"/>
          <w:rtl/>
        </w:rPr>
        <w:t>19</w:t>
      </w:r>
      <w:r>
        <w:rPr>
          <w:rFonts w:hint="cs"/>
          <w:rtl/>
        </w:rPr>
        <w:t>)</w:t>
      </w:r>
      <w:r>
        <w:rPr>
          <w:rFonts w:hint="cs"/>
          <w:rtl/>
        </w:rPr>
        <w:tab/>
      </w:r>
      <w:r w:rsidR="008608DA">
        <w:rPr>
          <w:rFonts w:hint="cs"/>
          <w:rtl/>
        </w:rPr>
        <w:t>بالرغم من المعلومات التي قدمتها الدولة الطرف بشأن بعض التدابير المتخذة للاعتراف باستغلال ضحايا ممارسات الاستعباد الجنسي العسكري في اليابان خلال الحرب العالمية الثانية، والمسميات "نساء المتعة"، يساور اللجنة قلق بالغ من عجز الدولة الطرف عن الوفاء بالتزاماتها بموجب الاتفاقية في معالجة هذه المسألة ولا</w:t>
      </w:r>
      <w:r w:rsidR="002F691F">
        <w:rPr>
          <w:rFonts w:hint="cs"/>
          <w:rtl/>
        </w:rPr>
        <w:t xml:space="preserve"> </w:t>
      </w:r>
      <w:r w:rsidR="0081190D">
        <w:rPr>
          <w:rFonts w:hint="cs"/>
          <w:rtl/>
        </w:rPr>
        <w:t>سيما في</w:t>
      </w:r>
      <w:r w:rsidR="008608DA">
        <w:rPr>
          <w:rFonts w:hint="cs"/>
          <w:rtl/>
        </w:rPr>
        <w:t xml:space="preserve">ما يتعلق بما يلي: </w:t>
      </w:r>
    </w:p>
    <w:p w:rsidR="008608DA" w:rsidRDefault="0060624F" w:rsidP="0060624F">
      <w:pPr>
        <w:pStyle w:val="SingleTxtGA"/>
        <w:spacing w:after="100" w:line="370" w:lineRule="exact"/>
        <w:rPr>
          <w:rFonts w:hint="cs"/>
          <w:rtl/>
        </w:rPr>
      </w:pPr>
      <w:r>
        <w:rPr>
          <w:rFonts w:hint="cs"/>
          <w:rtl/>
        </w:rPr>
        <w:tab/>
      </w:r>
      <w:r w:rsidR="008608DA">
        <w:rPr>
          <w:rFonts w:hint="cs"/>
          <w:rtl/>
        </w:rPr>
        <w:t>(أ)</w:t>
      </w:r>
      <w:r>
        <w:rPr>
          <w:rFonts w:hint="cs"/>
          <w:rtl/>
        </w:rPr>
        <w:tab/>
      </w:r>
      <w:r w:rsidR="008608DA">
        <w:rPr>
          <w:rFonts w:hint="cs"/>
          <w:rtl/>
        </w:rPr>
        <w:t xml:space="preserve">العجز عن توفير الجبر وإعادة التأهيل المناسبين للضحايا. وتأسف اللجنة لأن التعويض الذي تموّله الهبات الخاصة عوضاً عن الأموال العامة لم يكن كافياً ولا ملائماً؛ </w:t>
      </w:r>
    </w:p>
    <w:p w:rsidR="008608DA" w:rsidRDefault="0060624F" w:rsidP="0060624F">
      <w:pPr>
        <w:pStyle w:val="SingleTxtGA"/>
        <w:spacing w:after="100" w:line="370" w:lineRule="exact"/>
        <w:rPr>
          <w:rFonts w:hint="cs"/>
          <w:rtl/>
        </w:rPr>
      </w:pPr>
      <w:r>
        <w:rPr>
          <w:rFonts w:hint="cs"/>
          <w:rtl/>
        </w:rPr>
        <w:tab/>
      </w:r>
      <w:r w:rsidR="008608DA">
        <w:rPr>
          <w:rFonts w:hint="cs"/>
          <w:rtl/>
        </w:rPr>
        <w:t>(ب)</w:t>
      </w:r>
      <w:r>
        <w:rPr>
          <w:rFonts w:hint="cs"/>
          <w:rtl/>
        </w:rPr>
        <w:tab/>
      </w:r>
      <w:r w:rsidR="008608DA">
        <w:rPr>
          <w:rFonts w:hint="cs"/>
          <w:rtl/>
        </w:rPr>
        <w:t>العجز عن محاكمة مرتكبي أعمال التعذيب هذه وإحالتهم أمام القضاء. وتذكر اللجنة أنّه بالنظر إلى الطابع المستمر لآثار التعذيب، ينبغ</w:t>
      </w:r>
      <w:r w:rsidR="00777841">
        <w:rPr>
          <w:rFonts w:hint="cs"/>
          <w:rtl/>
        </w:rPr>
        <w:t xml:space="preserve">ي ألا يسري قانون التقادم لأنه </w:t>
      </w:r>
      <w:r w:rsidR="008608DA">
        <w:rPr>
          <w:rFonts w:hint="cs"/>
          <w:rtl/>
        </w:rPr>
        <w:t>يحرم الضحايا من الجبر والتعويض وإعادة التأهيل؛</w:t>
      </w:r>
    </w:p>
    <w:p w:rsidR="008608DA" w:rsidRDefault="0060624F" w:rsidP="0060624F">
      <w:pPr>
        <w:pStyle w:val="SingleTxtGA"/>
        <w:spacing w:after="100" w:line="370" w:lineRule="exact"/>
        <w:rPr>
          <w:rFonts w:hint="cs"/>
          <w:rtl/>
        </w:rPr>
      </w:pPr>
      <w:r>
        <w:rPr>
          <w:rFonts w:hint="cs"/>
          <w:rtl/>
        </w:rPr>
        <w:tab/>
      </w:r>
      <w:r w:rsidR="008608DA">
        <w:rPr>
          <w:rFonts w:hint="cs"/>
          <w:rtl/>
        </w:rPr>
        <w:t>(ج)</w:t>
      </w:r>
      <w:r>
        <w:rPr>
          <w:rFonts w:hint="cs"/>
          <w:rtl/>
        </w:rPr>
        <w:tab/>
      </w:r>
      <w:r w:rsidR="008608DA">
        <w:rPr>
          <w:rFonts w:hint="cs"/>
          <w:rtl/>
        </w:rPr>
        <w:t>إخفاء الوقائع والمواد ذات الصلة أو العجز عن الإفصاح عنها؛</w:t>
      </w:r>
    </w:p>
    <w:p w:rsidR="008608DA" w:rsidRDefault="0060624F" w:rsidP="0060624F">
      <w:pPr>
        <w:pStyle w:val="SingleTxtGA"/>
        <w:spacing w:after="100" w:line="370" w:lineRule="exact"/>
        <w:rPr>
          <w:rFonts w:hint="cs"/>
          <w:rtl/>
        </w:rPr>
      </w:pPr>
      <w:r>
        <w:rPr>
          <w:rFonts w:hint="cs"/>
          <w:rtl/>
        </w:rPr>
        <w:tab/>
      </w:r>
      <w:r w:rsidR="008608DA">
        <w:rPr>
          <w:rFonts w:hint="cs"/>
          <w:rtl/>
        </w:rPr>
        <w:t>(د)</w:t>
      </w:r>
      <w:r>
        <w:rPr>
          <w:rFonts w:hint="cs"/>
          <w:rtl/>
        </w:rPr>
        <w:tab/>
      </w:r>
      <w:r w:rsidR="008608DA">
        <w:rPr>
          <w:rFonts w:hint="cs"/>
          <w:rtl/>
        </w:rPr>
        <w:t>مواصلة الإنكار الرسمي للوقائع وتعريض الضحايا لصدمات جديدة على يد مسؤولين وسياسيين وطنيين ومحليين رفيعي المستوى، بمن فيهم عدد كبير من أعضاء البرلمان؛</w:t>
      </w:r>
    </w:p>
    <w:p w:rsidR="008608DA" w:rsidRDefault="0060624F" w:rsidP="00A83CF9">
      <w:pPr>
        <w:pStyle w:val="SingleTxtGA"/>
        <w:rPr>
          <w:rFonts w:hint="cs"/>
          <w:rtl/>
        </w:rPr>
      </w:pPr>
      <w:r>
        <w:rPr>
          <w:rFonts w:hint="cs"/>
          <w:rtl/>
        </w:rPr>
        <w:tab/>
      </w:r>
      <w:r w:rsidR="008608DA">
        <w:rPr>
          <w:rFonts w:hint="cs"/>
          <w:rtl/>
        </w:rPr>
        <w:t>(</w:t>
      </w:r>
      <w:r w:rsidRPr="0060624F">
        <w:rPr>
          <w:rFonts w:hint="cs"/>
          <w:sz w:val="30"/>
          <w:rtl/>
        </w:rPr>
        <w:t>ﻫ</w:t>
      </w:r>
      <w:r>
        <w:rPr>
          <w:rFonts w:hint="cs"/>
          <w:rtl/>
        </w:rPr>
        <w:t>)</w:t>
      </w:r>
      <w:r>
        <w:rPr>
          <w:rFonts w:hint="cs"/>
          <w:rtl/>
        </w:rPr>
        <w:tab/>
      </w:r>
      <w:r w:rsidR="008608DA">
        <w:rPr>
          <w:rFonts w:hint="cs"/>
          <w:rtl/>
        </w:rPr>
        <w:t>العجز عن تنفيذ تدابير تثق</w:t>
      </w:r>
      <w:r w:rsidR="00777841">
        <w:rPr>
          <w:rFonts w:hint="cs"/>
          <w:rtl/>
        </w:rPr>
        <w:t xml:space="preserve">يفية فعالة للوقاية من انتهاكات </w:t>
      </w:r>
      <w:r w:rsidR="008608DA">
        <w:rPr>
          <w:rFonts w:hint="cs"/>
          <w:rtl/>
        </w:rPr>
        <w:t>الاتفاقية القا</w:t>
      </w:r>
      <w:r>
        <w:rPr>
          <w:rFonts w:hint="cs"/>
          <w:rtl/>
        </w:rPr>
        <w:t xml:space="preserve">ئمة على أساس نوع الجنس، وهو ما </w:t>
      </w:r>
      <w:r w:rsidR="008608DA">
        <w:rPr>
          <w:rFonts w:hint="cs"/>
          <w:rtl/>
        </w:rPr>
        <w:t>يتجلّى في جملة أمور منها تراجع الإشارات إلى هذه القضية في كتب التاريخ المدرسية؛</w:t>
      </w:r>
    </w:p>
    <w:p w:rsidR="008608DA" w:rsidRPr="0060624F" w:rsidRDefault="0060624F" w:rsidP="00714CB5">
      <w:pPr>
        <w:pStyle w:val="SingleTxtGA"/>
        <w:rPr>
          <w:rFonts w:hint="cs"/>
          <w:spacing w:val="-2"/>
          <w:rtl/>
          <w:lang/>
        </w:rPr>
      </w:pPr>
      <w:r w:rsidRPr="0060624F">
        <w:rPr>
          <w:rFonts w:hint="cs"/>
          <w:spacing w:val="-2"/>
          <w:rtl/>
        </w:rPr>
        <w:tab/>
      </w:r>
      <w:r w:rsidR="008608DA" w:rsidRPr="0060624F">
        <w:rPr>
          <w:rFonts w:hint="cs"/>
          <w:spacing w:val="-2"/>
          <w:rtl/>
        </w:rPr>
        <w:t>(و)</w:t>
      </w:r>
      <w:r w:rsidRPr="0060624F">
        <w:rPr>
          <w:rFonts w:hint="cs"/>
          <w:spacing w:val="-2"/>
          <w:rtl/>
        </w:rPr>
        <w:tab/>
      </w:r>
      <w:r w:rsidR="008608DA" w:rsidRPr="0060624F">
        <w:rPr>
          <w:rFonts w:hint="cs"/>
          <w:spacing w:val="-2"/>
          <w:rtl/>
        </w:rPr>
        <w:t>رفض الدولة الطرف للعديد من</w:t>
      </w:r>
      <w:r w:rsidR="00777841">
        <w:rPr>
          <w:rFonts w:hint="cs"/>
          <w:spacing w:val="-2"/>
          <w:rtl/>
        </w:rPr>
        <w:t xml:space="preserve"> التوصيات المتعلقة بهذه القضية </w:t>
      </w:r>
      <w:r w:rsidR="008608DA" w:rsidRPr="0060624F">
        <w:rPr>
          <w:rFonts w:hint="cs"/>
          <w:spacing w:val="-2"/>
          <w:rtl/>
        </w:rPr>
        <w:t>المقدمة في سياق الاستعراض الدوري الشامل (</w:t>
      </w:r>
      <w:r w:rsidR="008608DA" w:rsidRPr="0060624F">
        <w:rPr>
          <w:spacing w:val="-2"/>
        </w:rPr>
        <w:t>A/HRC/22/14/Add.1</w:t>
      </w:r>
      <w:r w:rsidR="008608DA" w:rsidRPr="0060624F">
        <w:rPr>
          <w:rFonts w:hint="cs"/>
          <w:spacing w:val="-2"/>
          <w:rtl/>
        </w:rPr>
        <w:t>، الفقرتان 147</w:t>
      </w:r>
      <w:r w:rsidR="00714CB5">
        <w:rPr>
          <w:rFonts w:hint="cs"/>
          <w:spacing w:val="-2"/>
          <w:rtl/>
        </w:rPr>
        <w:t>-145</w:t>
      </w:r>
      <w:r w:rsidR="008608DA" w:rsidRPr="0060624F">
        <w:rPr>
          <w:rFonts w:hint="cs"/>
          <w:spacing w:val="-2"/>
          <w:rtl/>
        </w:rPr>
        <w:t>وو)، المماثلة للتوصيات التي قدمتها اللجنة (الفقرة 24) وآليات عديدة لحقوق الإنسان تابعة للأمم المتحدة بما فيها اللجنة المعنية بحقوق الإنسان (</w:t>
      </w:r>
      <w:r w:rsidR="008608DA" w:rsidRPr="0060624F">
        <w:rPr>
          <w:spacing w:val="-2"/>
        </w:rPr>
        <w:t>CCPR/C/JPN/CO/5</w:t>
      </w:r>
      <w:r w:rsidR="008608DA" w:rsidRPr="0060624F">
        <w:rPr>
          <w:rFonts w:hint="cs"/>
          <w:spacing w:val="-2"/>
          <w:rtl/>
        </w:rPr>
        <w:t>، الفقرة 22) واللجنة المعنية بالقضاء على التمييز ضد المرأة (</w:t>
      </w:r>
      <w:r w:rsidR="008608DA" w:rsidRPr="0060624F">
        <w:rPr>
          <w:spacing w:val="-2"/>
        </w:rPr>
        <w:t>CEDAW/C/JPN/CO/6</w:t>
      </w:r>
      <w:r w:rsidR="008608DA" w:rsidRPr="0060624F">
        <w:rPr>
          <w:rFonts w:hint="cs"/>
          <w:spacing w:val="-2"/>
          <w:rtl/>
        </w:rPr>
        <w:t>، الفقرة 38) واللجنة المعنية بالحقوق الاقتصادية والاجتماعية والثقافية (</w:t>
      </w:r>
      <w:r w:rsidR="008608DA" w:rsidRPr="0060624F">
        <w:rPr>
          <w:spacing w:val="-2"/>
        </w:rPr>
        <w:t>E/C.12/JPN/CO/3</w:t>
      </w:r>
      <w:r w:rsidR="008608DA" w:rsidRPr="0060624F">
        <w:rPr>
          <w:rFonts w:hint="cs"/>
          <w:spacing w:val="-2"/>
          <w:rtl/>
        </w:rPr>
        <w:t xml:space="preserve">، الفقرة 26) وعدد من </w:t>
      </w:r>
      <w:r w:rsidRPr="0060624F">
        <w:rPr>
          <w:rFonts w:hint="cs"/>
          <w:spacing w:val="-2"/>
          <w:rtl/>
        </w:rPr>
        <w:t xml:space="preserve">المكلفين </w:t>
      </w:r>
      <w:r w:rsidR="008608DA" w:rsidRPr="0060624F">
        <w:rPr>
          <w:rFonts w:hint="cs"/>
          <w:spacing w:val="-2"/>
          <w:rtl/>
        </w:rPr>
        <w:t xml:space="preserve">بولايات </w:t>
      </w:r>
      <w:r w:rsidR="008608DA" w:rsidRPr="0060624F">
        <w:rPr>
          <w:rFonts w:hint="cs"/>
          <w:spacing w:val="-2"/>
          <w:rtl/>
          <w:lang/>
        </w:rPr>
        <w:t>في إطار الإجراءات الخاصة بمجلس حقوق الإنسان (المواد 1 و2 و4 و10 و14 و16).</w:t>
      </w:r>
    </w:p>
    <w:p w:rsidR="008608DA" w:rsidRPr="0060624F" w:rsidRDefault="0060624F" w:rsidP="00A83CF9">
      <w:pPr>
        <w:pStyle w:val="SingleTxtGA"/>
        <w:rPr>
          <w:rFonts w:hint="cs"/>
          <w:b/>
          <w:bCs/>
          <w:rtl/>
        </w:rPr>
      </w:pPr>
      <w:r w:rsidRPr="0060624F">
        <w:rPr>
          <w:rFonts w:hint="cs"/>
          <w:b/>
          <w:bCs/>
          <w:rtl/>
        </w:rPr>
        <w:tab/>
      </w:r>
      <w:r w:rsidR="008608DA" w:rsidRPr="0060624F">
        <w:rPr>
          <w:rFonts w:hint="cs"/>
          <w:b/>
          <w:bCs/>
          <w:rtl/>
        </w:rPr>
        <w:t>وإذ</w:t>
      </w:r>
      <w:r w:rsidRPr="0060624F">
        <w:rPr>
          <w:rFonts w:hint="cs"/>
          <w:b/>
          <w:bCs/>
          <w:rtl/>
        </w:rPr>
        <w:t xml:space="preserve"> </w:t>
      </w:r>
      <w:r w:rsidR="008608DA" w:rsidRPr="0060624F">
        <w:rPr>
          <w:rFonts w:hint="cs"/>
          <w:b/>
          <w:bCs/>
          <w:rtl/>
        </w:rPr>
        <w:t xml:space="preserve">تذكر اللجنة </w:t>
      </w:r>
      <w:r w:rsidR="00714CB5">
        <w:rPr>
          <w:rFonts w:hint="cs"/>
          <w:b/>
          <w:bCs/>
          <w:rtl/>
        </w:rPr>
        <w:t>بتعليقها العام رقم 3</w:t>
      </w:r>
      <w:r w:rsidR="008608DA" w:rsidRPr="0060624F">
        <w:rPr>
          <w:rFonts w:hint="cs"/>
          <w:b/>
          <w:bCs/>
          <w:rtl/>
        </w:rPr>
        <w:t>(2012)، تحثّ الدولة الطرف على اتخاذ التدابير التشريعية والإدارية الفورية والفعالة للتوصل إلى حلول لقضايا "نساء المتعة"، يكون الضحايا هم محورها ومرتكزها، لا</w:t>
      </w:r>
      <w:r w:rsidR="002F691F">
        <w:rPr>
          <w:rFonts w:hint="cs"/>
          <w:b/>
          <w:bCs/>
          <w:rtl/>
        </w:rPr>
        <w:t xml:space="preserve"> </w:t>
      </w:r>
      <w:r w:rsidR="008608DA" w:rsidRPr="0060624F">
        <w:rPr>
          <w:rFonts w:hint="cs"/>
          <w:b/>
          <w:bCs/>
          <w:rtl/>
        </w:rPr>
        <w:t xml:space="preserve">سيما من خلال: </w:t>
      </w:r>
    </w:p>
    <w:p w:rsidR="008608DA" w:rsidRPr="0060624F" w:rsidRDefault="0060624F" w:rsidP="00A83CF9">
      <w:pPr>
        <w:pStyle w:val="SingleTxtGA"/>
        <w:rPr>
          <w:rFonts w:hint="cs"/>
          <w:b/>
          <w:bCs/>
          <w:rtl/>
        </w:rPr>
      </w:pPr>
      <w:r w:rsidRPr="0060624F">
        <w:rPr>
          <w:rFonts w:hint="cs"/>
          <w:b/>
          <w:bCs/>
          <w:rtl/>
        </w:rPr>
        <w:tab/>
        <w:t>(أ)</w:t>
      </w:r>
      <w:r w:rsidRPr="0060624F">
        <w:rPr>
          <w:rFonts w:hint="cs"/>
          <w:b/>
          <w:bCs/>
          <w:rtl/>
        </w:rPr>
        <w:tab/>
      </w:r>
      <w:r w:rsidR="008608DA" w:rsidRPr="0060624F">
        <w:rPr>
          <w:rFonts w:hint="cs"/>
          <w:b/>
          <w:bCs/>
          <w:rtl/>
        </w:rPr>
        <w:t xml:space="preserve">الاعتراف علناً بالمسؤولية القانونية عن جرائم الاستعباد الجنسي وملاحقة مرتكبيها وإنزال العقوبات اللازمة بهم؛ </w:t>
      </w:r>
    </w:p>
    <w:p w:rsidR="008608DA" w:rsidRPr="0060624F" w:rsidRDefault="0060624F" w:rsidP="00A83CF9">
      <w:pPr>
        <w:pStyle w:val="SingleTxtGA"/>
        <w:rPr>
          <w:rFonts w:hint="cs"/>
          <w:b/>
          <w:bCs/>
        </w:rPr>
      </w:pPr>
      <w:r w:rsidRPr="0060624F">
        <w:rPr>
          <w:rFonts w:hint="cs"/>
          <w:b/>
          <w:bCs/>
          <w:rtl/>
        </w:rPr>
        <w:tab/>
        <w:t>(ب)</w:t>
      </w:r>
      <w:r w:rsidRPr="0060624F">
        <w:rPr>
          <w:rFonts w:hint="cs"/>
          <w:b/>
          <w:bCs/>
          <w:rtl/>
        </w:rPr>
        <w:tab/>
      </w:r>
      <w:r w:rsidR="008608DA" w:rsidRPr="0060624F">
        <w:rPr>
          <w:rFonts w:hint="cs"/>
          <w:b/>
          <w:bCs/>
          <w:rtl/>
        </w:rPr>
        <w:t xml:space="preserve">دحض محاولات إنكار الوقائع التي تقوم بها السلطات الحكومية والشخصيات العامة وإعادة تعريض الضحايا للصدمات من خلال هذا الإنكار المتكرر؛ </w:t>
      </w:r>
    </w:p>
    <w:p w:rsidR="008608DA" w:rsidRPr="0060624F" w:rsidRDefault="0060624F" w:rsidP="00A83CF9">
      <w:pPr>
        <w:pStyle w:val="SingleTxtGA"/>
        <w:rPr>
          <w:rFonts w:hint="cs"/>
          <w:b/>
          <w:bCs/>
          <w:rtl/>
        </w:rPr>
      </w:pPr>
      <w:r w:rsidRPr="0060624F">
        <w:rPr>
          <w:rFonts w:hint="cs"/>
          <w:b/>
          <w:bCs/>
          <w:rtl/>
        </w:rPr>
        <w:tab/>
      </w:r>
      <w:r w:rsidR="008608DA" w:rsidRPr="0060624F">
        <w:rPr>
          <w:rFonts w:hint="cs"/>
          <w:b/>
          <w:bCs/>
          <w:rtl/>
        </w:rPr>
        <w:t>(ج)</w:t>
      </w:r>
      <w:r w:rsidRPr="0060624F">
        <w:rPr>
          <w:rFonts w:hint="cs"/>
          <w:b/>
          <w:bCs/>
          <w:rtl/>
        </w:rPr>
        <w:tab/>
      </w:r>
      <w:r w:rsidR="008608DA" w:rsidRPr="0060624F">
        <w:rPr>
          <w:rFonts w:hint="cs"/>
          <w:b/>
          <w:bCs/>
          <w:rtl/>
        </w:rPr>
        <w:t xml:space="preserve">الإفصاح عن المواد ذات الصلة والتحقيق في الوقائع كاملةً؛ </w:t>
      </w:r>
    </w:p>
    <w:p w:rsidR="008608DA" w:rsidRPr="0060624F" w:rsidRDefault="0060624F" w:rsidP="00A83CF9">
      <w:pPr>
        <w:pStyle w:val="SingleTxtGA"/>
        <w:rPr>
          <w:rFonts w:hint="cs"/>
          <w:b/>
          <w:bCs/>
          <w:rtl/>
        </w:rPr>
      </w:pPr>
      <w:r w:rsidRPr="0060624F">
        <w:rPr>
          <w:rFonts w:hint="cs"/>
          <w:b/>
          <w:bCs/>
          <w:rtl/>
        </w:rPr>
        <w:tab/>
      </w:r>
      <w:r w:rsidR="008608DA" w:rsidRPr="0060624F">
        <w:rPr>
          <w:rFonts w:hint="cs"/>
          <w:b/>
          <w:bCs/>
          <w:rtl/>
        </w:rPr>
        <w:t>(د)</w:t>
      </w:r>
      <w:r w:rsidRPr="0060624F">
        <w:rPr>
          <w:rFonts w:hint="cs"/>
          <w:b/>
          <w:bCs/>
          <w:rtl/>
        </w:rPr>
        <w:tab/>
      </w:r>
      <w:r w:rsidR="008608DA" w:rsidRPr="0060624F">
        <w:rPr>
          <w:rFonts w:hint="cs"/>
          <w:b/>
          <w:bCs/>
          <w:rtl/>
        </w:rPr>
        <w:t xml:space="preserve">الاعتراف بحق الضحية في الجبر وإعطائها على هذا الأساس الجبر والانتصاف الكاملين والفعالين، بما يشمل التعويض والإرضاء وسبل إعادة التأهيل إلى أقصى حد ممكن؛ </w:t>
      </w:r>
    </w:p>
    <w:p w:rsidR="008608DA" w:rsidRPr="0060624F" w:rsidRDefault="0060624F" w:rsidP="00A83CF9">
      <w:pPr>
        <w:pStyle w:val="SingleTxtGA"/>
        <w:rPr>
          <w:rFonts w:hint="cs"/>
          <w:b/>
          <w:bCs/>
          <w:rtl/>
        </w:rPr>
      </w:pPr>
      <w:r w:rsidRPr="0060624F">
        <w:rPr>
          <w:rFonts w:hint="cs"/>
          <w:b/>
          <w:bCs/>
          <w:rtl/>
        </w:rPr>
        <w:tab/>
      </w:r>
      <w:r w:rsidR="008608DA" w:rsidRPr="0060624F">
        <w:rPr>
          <w:rFonts w:hint="cs"/>
          <w:b/>
          <w:bCs/>
          <w:rtl/>
        </w:rPr>
        <w:t>(</w:t>
      </w:r>
      <w:r w:rsidRPr="0060624F">
        <w:rPr>
          <w:rFonts w:hint="cs"/>
          <w:b/>
          <w:bCs/>
          <w:sz w:val="30"/>
          <w:rtl/>
        </w:rPr>
        <w:t>ﻫ</w:t>
      </w:r>
      <w:r w:rsidRPr="0060624F">
        <w:rPr>
          <w:rFonts w:hint="cs"/>
          <w:b/>
          <w:bCs/>
          <w:rtl/>
        </w:rPr>
        <w:t>)</w:t>
      </w:r>
      <w:r w:rsidRPr="0060624F">
        <w:rPr>
          <w:rFonts w:hint="cs"/>
          <w:b/>
          <w:bCs/>
          <w:rtl/>
        </w:rPr>
        <w:tab/>
      </w:r>
      <w:r w:rsidR="008608DA" w:rsidRPr="0060624F">
        <w:rPr>
          <w:rFonts w:hint="cs"/>
          <w:b/>
          <w:bCs/>
          <w:rtl/>
        </w:rPr>
        <w:t>تثقيف الجمهور عامة بشأن القضية وتضمين كتب التاريخ المدرسية هذه</w:t>
      </w:r>
      <w:r w:rsidR="00A83CF9">
        <w:rPr>
          <w:rFonts w:hint="eastAsia"/>
          <w:b/>
          <w:bCs/>
          <w:rtl/>
        </w:rPr>
        <w:t> </w:t>
      </w:r>
      <w:r w:rsidR="008608DA" w:rsidRPr="0060624F">
        <w:rPr>
          <w:rFonts w:hint="cs"/>
          <w:b/>
          <w:bCs/>
          <w:rtl/>
        </w:rPr>
        <w:t xml:space="preserve">الأحداث كوسيلة للوقاية من المزيد من الانتهاكات لالتزامات الدولة الطرف بموجب الاتفاقية. </w:t>
      </w:r>
    </w:p>
    <w:p w:rsidR="008608DA" w:rsidRPr="00A9602C" w:rsidRDefault="0060624F" w:rsidP="0060624F">
      <w:pPr>
        <w:pStyle w:val="H23GA"/>
        <w:rPr>
          <w:rFonts w:hint="cs"/>
          <w:rtl/>
        </w:rPr>
      </w:pPr>
      <w:r>
        <w:rPr>
          <w:rFonts w:hint="cs"/>
          <w:rtl/>
        </w:rPr>
        <w:tab/>
      </w:r>
      <w:r>
        <w:rPr>
          <w:rFonts w:hint="cs"/>
          <w:rtl/>
        </w:rPr>
        <w:tab/>
      </w:r>
      <w:r w:rsidR="008608DA" w:rsidRPr="00A9602C">
        <w:rPr>
          <w:rFonts w:hint="cs"/>
          <w:rtl/>
        </w:rPr>
        <w:t>العنف ضد المرأة والعنف القائم على أساس نوع الجنس</w:t>
      </w:r>
    </w:p>
    <w:p w:rsidR="008608DA" w:rsidRDefault="0060624F" w:rsidP="00A83CF9">
      <w:pPr>
        <w:pStyle w:val="SingleTxtGA"/>
        <w:spacing w:line="360" w:lineRule="exact"/>
        <w:rPr>
          <w:rFonts w:hint="cs"/>
          <w:rtl/>
        </w:rPr>
      </w:pPr>
      <w:r>
        <w:rPr>
          <w:rFonts w:hint="cs"/>
          <w:rtl/>
        </w:rPr>
        <w:t>(</w:t>
      </w:r>
      <w:r w:rsidR="008608DA">
        <w:rPr>
          <w:rFonts w:hint="cs"/>
          <w:rtl/>
        </w:rPr>
        <w:t>20</w:t>
      </w:r>
      <w:r>
        <w:rPr>
          <w:rFonts w:hint="cs"/>
          <w:rtl/>
        </w:rPr>
        <w:t>)</w:t>
      </w:r>
      <w:r>
        <w:rPr>
          <w:rFonts w:hint="cs"/>
          <w:rtl/>
        </w:rPr>
        <w:tab/>
      </w:r>
      <w:r w:rsidR="008608DA">
        <w:rPr>
          <w:rFonts w:hint="cs"/>
          <w:rtl/>
        </w:rPr>
        <w:t>بينما تحيط اللجنة علماً بجهود الدولة الطرف لمكافحة العنف القائم على أساس نوع الجنس، تعرب عن قلقها إزاء التقارير بشأن استمرار وقوع حوادث العنف القائم على أساس نوع الجنس، لا</w:t>
      </w:r>
      <w:r w:rsidR="002F691F">
        <w:rPr>
          <w:rFonts w:hint="cs"/>
          <w:rtl/>
        </w:rPr>
        <w:t xml:space="preserve"> </w:t>
      </w:r>
      <w:r w:rsidR="008608DA">
        <w:rPr>
          <w:rFonts w:hint="cs"/>
          <w:rtl/>
        </w:rPr>
        <w:t xml:space="preserve">سيما العنف المنزلي وسفاح المحارم والاغتصاب الذي يشمل الاغتصاب في إطار الزواج، وإزاء العدد الضئيل للشكاوى والتحقيقات والملاحقات القضائية والإدانات في هذه القضايا، والحماية القانونية غير الكافية للضحايا. وفضلاً عن ذلك، تعرب اللجنة عن قلقها إزاء اشتراط إيداع الضحية شكواها بموجب قانون العقوبات بغية ملاحقة مرتكبي جرائم العنف الجنسي. (المواد 2 و12 و13 و14 و16). </w:t>
      </w:r>
    </w:p>
    <w:p w:rsidR="008608DA" w:rsidRPr="0060624F" w:rsidRDefault="0060624F" w:rsidP="00A83CF9">
      <w:pPr>
        <w:pStyle w:val="SingleTxtGA"/>
        <w:spacing w:line="370" w:lineRule="exact"/>
        <w:rPr>
          <w:rFonts w:hint="cs"/>
          <w:b/>
          <w:bCs/>
          <w:rtl/>
        </w:rPr>
      </w:pPr>
      <w:r w:rsidRPr="0060624F">
        <w:rPr>
          <w:rFonts w:hint="cs"/>
          <w:b/>
          <w:bCs/>
          <w:rtl/>
        </w:rPr>
        <w:tab/>
      </w:r>
      <w:r w:rsidR="008608DA" w:rsidRPr="0060624F">
        <w:rPr>
          <w:rFonts w:hint="cs"/>
          <w:b/>
          <w:bCs/>
          <w:rtl/>
        </w:rPr>
        <w:t>في ضوء التوصيات التي قدمتها اللجنة سابقاً (الفقرة 25) وتوصيات اللجنة المعنية بالقضاء على التمييز ضد المرأة (</w:t>
      </w:r>
      <w:r w:rsidR="008608DA" w:rsidRPr="0060624F">
        <w:rPr>
          <w:b/>
          <w:bCs/>
          <w:lang w:val="fr-CH"/>
        </w:rPr>
        <w:t>CEDAW</w:t>
      </w:r>
      <w:r w:rsidR="008608DA" w:rsidRPr="0060624F">
        <w:rPr>
          <w:b/>
          <w:bCs/>
        </w:rPr>
        <w:t>/JPN/CO/6</w:t>
      </w:r>
      <w:r w:rsidR="008608DA" w:rsidRPr="0060624F">
        <w:rPr>
          <w:rFonts w:hint="cs"/>
          <w:b/>
          <w:bCs/>
          <w:rtl/>
        </w:rPr>
        <w:t>، الفقرتان 31-34)، يتعين على الدولة الطرف أن تضاعف جهودها للوقاية من كافة أشكال الاستغلال القائم على أساس نوع الجنس وملاحقة مرتكبيه قضائياً، بما في ذلك العنف المنزلي وسفاح المحارم والاغتصاب الذي يشمل الاغتصاب في إطار الزواج، لا</w:t>
      </w:r>
      <w:r w:rsidR="002F691F">
        <w:rPr>
          <w:rFonts w:hint="cs"/>
          <w:b/>
          <w:bCs/>
          <w:rtl/>
        </w:rPr>
        <w:t xml:space="preserve"> </w:t>
      </w:r>
      <w:r w:rsidR="008608DA" w:rsidRPr="0060624F">
        <w:rPr>
          <w:rFonts w:hint="cs"/>
          <w:b/>
          <w:bCs/>
          <w:rtl/>
        </w:rPr>
        <w:t xml:space="preserve">سيما من خلال: </w:t>
      </w:r>
    </w:p>
    <w:p w:rsidR="008608DA" w:rsidRPr="0060624F" w:rsidRDefault="0060624F" w:rsidP="00A83CF9">
      <w:pPr>
        <w:pStyle w:val="SingleTxtGA"/>
        <w:spacing w:line="370" w:lineRule="exact"/>
        <w:rPr>
          <w:rFonts w:hint="cs"/>
          <w:b/>
          <w:bCs/>
          <w:rtl/>
        </w:rPr>
      </w:pPr>
      <w:r w:rsidRPr="0060624F">
        <w:rPr>
          <w:rFonts w:hint="cs"/>
          <w:b/>
          <w:bCs/>
          <w:rtl/>
        </w:rPr>
        <w:tab/>
        <w:t>(أ)</w:t>
      </w:r>
      <w:r w:rsidRPr="0060624F">
        <w:rPr>
          <w:rFonts w:hint="cs"/>
          <w:b/>
          <w:bCs/>
          <w:rtl/>
        </w:rPr>
        <w:tab/>
      </w:r>
      <w:r w:rsidR="008608DA" w:rsidRPr="0060624F">
        <w:rPr>
          <w:rFonts w:hint="cs"/>
          <w:b/>
          <w:bCs/>
          <w:rtl/>
        </w:rPr>
        <w:t xml:space="preserve">اعتماد وتنفيذ استراتيجية وطنية متسقة وشاملة للقضاء على العنف ضد المرأة، تشمل مكونات قانونية وتثقيفية ومالية واجتماعية؛ </w:t>
      </w:r>
    </w:p>
    <w:p w:rsidR="008608DA" w:rsidRPr="0060624F" w:rsidRDefault="0060624F" w:rsidP="00A83CF9">
      <w:pPr>
        <w:pStyle w:val="SingleTxtGA"/>
        <w:spacing w:line="370" w:lineRule="exact"/>
        <w:rPr>
          <w:rFonts w:hint="cs"/>
          <w:b/>
          <w:bCs/>
        </w:rPr>
      </w:pPr>
      <w:r w:rsidRPr="0060624F">
        <w:rPr>
          <w:rFonts w:hint="cs"/>
          <w:b/>
          <w:bCs/>
          <w:rtl/>
        </w:rPr>
        <w:tab/>
        <w:t>(ب)</w:t>
      </w:r>
      <w:r w:rsidRPr="0060624F">
        <w:rPr>
          <w:rFonts w:hint="cs"/>
          <w:b/>
          <w:bCs/>
          <w:rtl/>
        </w:rPr>
        <w:tab/>
      </w:r>
      <w:r w:rsidR="008608DA" w:rsidRPr="0060624F">
        <w:rPr>
          <w:rFonts w:hint="cs"/>
          <w:b/>
          <w:bCs/>
          <w:rtl/>
        </w:rPr>
        <w:t>ضمان لجوء ضحايا ه</w:t>
      </w:r>
      <w:r w:rsidR="002F691F">
        <w:rPr>
          <w:rFonts w:hint="cs"/>
          <w:b/>
          <w:bCs/>
          <w:rtl/>
        </w:rPr>
        <w:t>ذا النوع من العنف إلى آلية تظلم</w:t>
      </w:r>
      <w:r w:rsidR="008608DA" w:rsidRPr="0060624F">
        <w:rPr>
          <w:rFonts w:hint="cs"/>
          <w:b/>
          <w:bCs/>
          <w:rtl/>
        </w:rPr>
        <w:t xml:space="preserve">، وتيسير إعادة تأهيل الضحايا الجسدية والنفسية. وينبغي أن يمتد هذا الدعم ليشمل الضحايا في صفوف العسكريين بمن فيهم العاملون ضمن قوات أجنبية في الدولة الطرف؛ </w:t>
      </w:r>
    </w:p>
    <w:p w:rsidR="008608DA" w:rsidRPr="0060624F" w:rsidRDefault="0060624F" w:rsidP="00A83CF9">
      <w:pPr>
        <w:pStyle w:val="SingleTxtGA"/>
        <w:spacing w:line="370" w:lineRule="exact"/>
        <w:rPr>
          <w:rFonts w:hint="cs"/>
          <w:b/>
          <w:bCs/>
          <w:rtl/>
        </w:rPr>
      </w:pPr>
      <w:r w:rsidRPr="0060624F">
        <w:rPr>
          <w:rFonts w:hint="cs"/>
          <w:b/>
          <w:bCs/>
          <w:rtl/>
        </w:rPr>
        <w:tab/>
      </w:r>
      <w:r w:rsidR="008608DA" w:rsidRPr="0060624F">
        <w:rPr>
          <w:rFonts w:hint="cs"/>
          <w:b/>
          <w:bCs/>
          <w:rtl/>
        </w:rPr>
        <w:t>(ج)</w:t>
      </w:r>
      <w:r w:rsidRPr="0060624F">
        <w:rPr>
          <w:rFonts w:hint="cs"/>
          <w:b/>
          <w:bCs/>
          <w:rtl/>
        </w:rPr>
        <w:tab/>
      </w:r>
      <w:r w:rsidR="008608DA" w:rsidRPr="0060624F">
        <w:rPr>
          <w:rFonts w:hint="cs"/>
          <w:b/>
          <w:bCs/>
          <w:rtl/>
        </w:rPr>
        <w:t xml:space="preserve">التحقيق الفوري والفعال والنزيه في جميع حوادث العنف ضد المرأة وملاحقة المسؤولين قضائياً. وتحث اللجنة الدولة الطرف على تنقيح تشريعها بغية ضمان محاكمة جريمة العنف الجنسي بدون تقديم الضحية شكواها؛ </w:t>
      </w:r>
    </w:p>
    <w:p w:rsidR="008608DA" w:rsidRPr="0060624F" w:rsidRDefault="0060624F" w:rsidP="00A83CF9">
      <w:pPr>
        <w:pStyle w:val="SingleTxtGA"/>
        <w:spacing w:line="370" w:lineRule="exact"/>
        <w:rPr>
          <w:rFonts w:hint="cs"/>
          <w:b/>
          <w:bCs/>
          <w:rtl/>
        </w:rPr>
      </w:pPr>
      <w:r w:rsidRPr="0060624F">
        <w:rPr>
          <w:rFonts w:hint="cs"/>
          <w:b/>
          <w:bCs/>
          <w:rtl/>
        </w:rPr>
        <w:tab/>
      </w:r>
      <w:r w:rsidR="008608DA" w:rsidRPr="0060624F">
        <w:rPr>
          <w:rFonts w:hint="cs"/>
          <w:b/>
          <w:bCs/>
          <w:rtl/>
        </w:rPr>
        <w:t>(د)</w:t>
      </w:r>
      <w:r w:rsidRPr="0060624F">
        <w:rPr>
          <w:rFonts w:hint="cs"/>
          <w:b/>
          <w:bCs/>
          <w:rtl/>
        </w:rPr>
        <w:tab/>
      </w:r>
      <w:r w:rsidR="008608DA" w:rsidRPr="0060624F">
        <w:rPr>
          <w:rFonts w:hint="cs"/>
          <w:b/>
          <w:bCs/>
          <w:rtl/>
        </w:rPr>
        <w:t>توسيع نطاق حملات التوعية العامّة لتشمل كافة أشكال العنف ضد المرأة والعنف القائم على أساس نوع الجنس.</w:t>
      </w:r>
    </w:p>
    <w:p w:rsidR="008608DA" w:rsidRPr="00A9602C" w:rsidRDefault="0060624F" w:rsidP="00A83CF9">
      <w:pPr>
        <w:pStyle w:val="H23GA"/>
        <w:spacing w:line="370" w:lineRule="exact"/>
        <w:rPr>
          <w:rFonts w:hint="cs"/>
          <w:rtl/>
        </w:rPr>
      </w:pPr>
      <w:r>
        <w:rPr>
          <w:rFonts w:hint="cs"/>
          <w:rtl/>
        </w:rPr>
        <w:tab/>
      </w:r>
      <w:r>
        <w:rPr>
          <w:rFonts w:hint="cs"/>
          <w:rtl/>
        </w:rPr>
        <w:tab/>
      </w:r>
      <w:r w:rsidR="008608DA" w:rsidRPr="00A9602C">
        <w:rPr>
          <w:rFonts w:hint="cs"/>
          <w:rtl/>
        </w:rPr>
        <w:t>الاتجار بالبشر</w:t>
      </w:r>
    </w:p>
    <w:p w:rsidR="008608DA" w:rsidRDefault="0060624F" w:rsidP="00A83CF9">
      <w:pPr>
        <w:pStyle w:val="SingleTxtGA"/>
        <w:spacing w:line="370" w:lineRule="exact"/>
        <w:rPr>
          <w:rFonts w:hint="cs"/>
          <w:sz w:val="32"/>
          <w:szCs w:val="32"/>
          <w:rtl/>
          <w:lang/>
        </w:rPr>
      </w:pPr>
      <w:r>
        <w:rPr>
          <w:rFonts w:hint="cs"/>
          <w:sz w:val="32"/>
          <w:szCs w:val="32"/>
          <w:rtl/>
        </w:rPr>
        <w:t>(</w:t>
      </w:r>
      <w:r w:rsidR="008608DA">
        <w:rPr>
          <w:rFonts w:hint="cs"/>
          <w:sz w:val="32"/>
          <w:szCs w:val="32"/>
          <w:rtl/>
        </w:rPr>
        <w:t>21</w:t>
      </w:r>
      <w:r>
        <w:rPr>
          <w:rFonts w:hint="cs"/>
          <w:sz w:val="32"/>
          <w:szCs w:val="32"/>
          <w:rtl/>
        </w:rPr>
        <w:t>)</w:t>
      </w:r>
      <w:r>
        <w:rPr>
          <w:rFonts w:hint="cs"/>
          <w:sz w:val="32"/>
          <w:szCs w:val="32"/>
          <w:rtl/>
        </w:rPr>
        <w:tab/>
      </w:r>
      <w:r w:rsidR="008608DA">
        <w:rPr>
          <w:rFonts w:hint="cs"/>
          <w:sz w:val="32"/>
          <w:szCs w:val="32"/>
          <w:rtl/>
        </w:rPr>
        <w:t xml:space="preserve">بينما تلاحظ اللجنة جهود الدولة الطرف لمكافحة الاتجار بالبشر، بما يشمل </w:t>
      </w:r>
      <w:r w:rsidR="008608DA">
        <w:rPr>
          <w:rFonts w:hint="cs"/>
          <w:rtl/>
          <w:lang/>
        </w:rPr>
        <w:t>خطة عمل عام 2009 بشأن تدابير مكافحة الاتجار بالأشخاص، يساورها قلق إزاء نقص المعلومات عن الموارد المخصصة لخطة العمل هذه والتفاوت الكبير بين عدد الأشخاص الموقوفين بتهمة الاتجار وعدد الأشخاص المحاكمين والمدانين. وتأسف اللجنة لنقص المعلومات عن هيئة التنسيق والرصد وأثر التدا</w:t>
      </w:r>
      <w:r w:rsidR="00777841">
        <w:rPr>
          <w:rFonts w:hint="cs"/>
          <w:rtl/>
          <w:lang/>
        </w:rPr>
        <w:t xml:space="preserve">بير المتخذة للتصدي </w:t>
      </w:r>
      <w:r w:rsidR="008608DA">
        <w:rPr>
          <w:rFonts w:hint="cs"/>
          <w:rtl/>
          <w:lang/>
        </w:rPr>
        <w:t>للاتجار لا</w:t>
      </w:r>
      <w:r w:rsidR="00777841">
        <w:rPr>
          <w:rFonts w:hint="cs"/>
          <w:rtl/>
          <w:lang/>
        </w:rPr>
        <w:t xml:space="preserve"> </w:t>
      </w:r>
      <w:r w:rsidR="008608DA">
        <w:rPr>
          <w:rFonts w:hint="cs"/>
          <w:rtl/>
          <w:lang/>
        </w:rPr>
        <w:t>سيما بالأطفال</w:t>
      </w:r>
      <w:r>
        <w:rPr>
          <w:rFonts w:hint="cs"/>
          <w:rtl/>
          <w:lang/>
        </w:rPr>
        <w:t xml:space="preserve"> (المواد 2 و12 و13 و14 و16). </w:t>
      </w:r>
    </w:p>
    <w:p w:rsidR="008608DA" w:rsidRPr="0060624F" w:rsidRDefault="0060624F" w:rsidP="00A83CF9">
      <w:pPr>
        <w:pStyle w:val="SingleTxtGA"/>
        <w:spacing w:line="370" w:lineRule="exact"/>
        <w:rPr>
          <w:rFonts w:hint="cs"/>
          <w:b/>
          <w:bCs/>
          <w:rtl/>
        </w:rPr>
      </w:pPr>
      <w:r w:rsidRPr="0060624F">
        <w:rPr>
          <w:rFonts w:hint="cs"/>
          <w:b/>
          <w:bCs/>
          <w:rtl/>
        </w:rPr>
        <w:tab/>
      </w:r>
      <w:r w:rsidR="008608DA" w:rsidRPr="0060624F">
        <w:rPr>
          <w:rFonts w:hint="cs"/>
          <w:b/>
          <w:bCs/>
          <w:rtl/>
        </w:rPr>
        <w:t>تدعو اللجنة الدولة الطرف إلى تنفيذ التوصيات التي قدمتها المقررة الخاصة المعنية بالاتجار بالأشخاص (</w:t>
      </w:r>
      <w:r w:rsidR="008608DA" w:rsidRPr="0060624F">
        <w:rPr>
          <w:b/>
          <w:bCs/>
        </w:rPr>
        <w:t>A/HRC/14/32/Add.4</w:t>
      </w:r>
      <w:r w:rsidR="008608DA" w:rsidRPr="0060624F">
        <w:rPr>
          <w:rFonts w:hint="cs"/>
          <w:b/>
          <w:bCs/>
          <w:rtl/>
        </w:rPr>
        <w:t>) عقب زيارتها لليابان في عام 2009 تنفيذاً كاملاً</w:t>
      </w:r>
      <w:r>
        <w:rPr>
          <w:rFonts w:hint="cs"/>
          <w:b/>
          <w:bCs/>
          <w:rtl/>
        </w:rPr>
        <w:t xml:space="preserve">. </w:t>
      </w:r>
      <w:r w:rsidR="008608DA" w:rsidRPr="0060624F">
        <w:rPr>
          <w:rFonts w:hint="cs"/>
          <w:b/>
          <w:bCs/>
          <w:rtl/>
        </w:rPr>
        <w:t xml:space="preserve">ويتعين على الدولة الطرف أن تضمن على وجه الخصوص ما يلي: </w:t>
      </w:r>
    </w:p>
    <w:p w:rsidR="008608DA" w:rsidRPr="0060624F" w:rsidRDefault="0060624F" w:rsidP="00A83CF9">
      <w:pPr>
        <w:pStyle w:val="SingleTxtGA"/>
        <w:spacing w:line="370" w:lineRule="exact"/>
        <w:rPr>
          <w:rFonts w:hint="cs"/>
          <w:b/>
          <w:bCs/>
          <w:rtl/>
        </w:rPr>
      </w:pPr>
      <w:r w:rsidRPr="0060624F">
        <w:rPr>
          <w:rFonts w:hint="cs"/>
          <w:b/>
          <w:bCs/>
          <w:rtl/>
        </w:rPr>
        <w:tab/>
        <w:t>(أ)</w:t>
      </w:r>
      <w:r w:rsidRPr="0060624F">
        <w:rPr>
          <w:rFonts w:hint="cs"/>
          <w:b/>
          <w:bCs/>
          <w:rtl/>
        </w:rPr>
        <w:tab/>
      </w:r>
      <w:r w:rsidR="008608DA" w:rsidRPr="0060624F">
        <w:rPr>
          <w:rFonts w:hint="cs"/>
          <w:b/>
          <w:bCs/>
          <w:rtl/>
        </w:rPr>
        <w:t xml:space="preserve">توفير المساعدة المناسبة لضحايا الاتجار لكفالة تعافيهم الجسدي والنفسي؛ </w:t>
      </w:r>
    </w:p>
    <w:p w:rsidR="008608DA" w:rsidRPr="0060624F" w:rsidRDefault="0060624F" w:rsidP="00A83CF9">
      <w:pPr>
        <w:pStyle w:val="SingleTxtGA"/>
        <w:spacing w:line="370" w:lineRule="exact"/>
        <w:rPr>
          <w:rFonts w:hint="cs"/>
          <w:b/>
          <w:bCs/>
        </w:rPr>
      </w:pPr>
      <w:r w:rsidRPr="0060624F">
        <w:rPr>
          <w:rFonts w:hint="cs"/>
          <w:b/>
          <w:bCs/>
          <w:rtl/>
        </w:rPr>
        <w:tab/>
        <w:t>(ب)</w:t>
      </w:r>
      <w:r w:rsidRPr="0060624F">
        <w:rPr>
          <w:rFonts w:hint="cs"/>
          <w:b/>
          <w:bCs/>
          <w:rtl/>
        </w:rPr>
        <w:tab/>
      </w:r>
      <w:r w:rsidR="008608DA" w:rsidRPr="0060624F">
        <w:rPr>
          <w:rFonts w:hint="cs"/>
          <w:b/>
          <w:bCs/>
          <w:rtl/>
        </w:rPr>
        <w:t>إعمال إجراءات واضحة لتحديد الهوية لتحاشي الغلط في تحديد هوية ضحايا الاتجار ومعاملتهم بالتالي على أساس أنهم مهاجرون بدون أوراق ثبوتية وترحيلهم بلا جبر أو تظلّم؛</w:t>
      </w:r>
    </w:p>
    <w:p w:rsidR="008608DA" w:rsidRPr="0060624F" w:rsidRDefault="0060624F" w:rsidP="00A83CF9">
      <w:pPr>
        <w:pStyle w:val="SingleTxtGA"/>
        <w:spacing w:line="360" w:lineRule="exact"/>
        <w:rPr>
          <w:rFonts w:hint="cs"/>
          <w:b/>
          <w:bCs/>
          <w:rtl/>
        </w:rPr>
      </w:pPr>
      <w:r w:rsidRPr="0060624F">
        <w:rPr>
          <w:rFonts w:hint="cs"/>
          <w:b/>
          <w:bCs/>
          <w:rtl/>
        </w:rPr>
        <w:tab/>
      </w:r>
      <w:r w:rsidR="008608DA" w:rsidRPr="0060624F">
        <w:rPr>
          <w:rFonts w:hint="cs"/>
          <w:b/>
          <w:bCs/>
          <w:rtl/>
        </w:rPr>
        <w:t>(ج)</w:t>
      </w:r>
      <w:r w:rsidRPr="0060624F">
        <w:rPr>
          <w:rFonts w:hint="cs"/>
          <w:b/>
          <w:bCs/>
          <w:rtl/>
        </w:rPr>
        <w:tab/>
      </w:r>
      <w:r w:rsidR="008608DA" w:rsidRPr="0060624F">
        <w:rPr>
          <w:rFonts w:hint="cs"/>
          <w:b/>
          <w:bCs/>
          <w:rtl/>
        </w:rPr>
        <w:t>ملاحقة الجناة قضائياً وإنزال العقوبات المناسبة بهم؛</w:t>
      </w:r>
    </w:p>
    <w:p w:rsidR="008608DA" w:rsidRPr="0060624F" w:rsidRDefault="0060624F" w:rsidP="00A83CF9">
      <w:pPr>
        <w:pStyle w:val="SingleTxtGA"/>
        <w:spacing w:line="360" w:lineRule="exact"/>
        <w:rPr>
          <w:rFonts w:ascii="Times New Roman Bold" w:hAnsi="Times New Roman Bold" w:hint="cs"/>
          <w:b/>
          <w:bCs/>
          <w:spacing w:val="-4"/>
          <w:rtl/>
        </w:rPr>
      </w:pPr>
      <w:r w:rsidRPr="0060624F">
        <w:rPr>
          <w:rFonts w:ascii="Times New Roman Bold" w:hAnsi="Times New Roman Bold" w:hint="cs"/>
          <w:b/>
          <w:bCs/>
          <w:spacing w:val="-4"/>
          <w:rtl/>
        </w:rPr>
        <w:tab/>
      </w:r>
      <w:r w:rsidR="008608DA" w:rsidRPr="0060624F">
        <w:rPr>
          <w:rFonts w:ascii="Times New Roman Bold" w:hAnsi="Times New Roman Bold" w:hint="cs"/>
          <w:b/>
          <w:bCs/>
          <w:spacing w:val="-4"/>
          <w:rtl/>
        </w:rPr>
        <w:t>(د)</w:t>
      </w:r>
      <w:r w:rsidRPr="0060624F">
        <w:rPr>
          <w:rFonts w:ascii="Times New Roman Bold" w:hAnsi="Times New Roman Bold" w:hint="cs"/>
          <w:b/>
          <w:bCs/>
          <w:spacing w:val="-4"/>
          <w:rtl/>
        </w:rPr>
        <w:tab/>
      </w:r>
      <w:r w:rsidR="008608DA" w:rsidRPr="0060624F">
        <w:rPr>
          <w:rFonts w:ascii="Times New Roman Bold" w:hAnsi="Times New Roman Bold" w:hint="cs"/>
          <w:b/>
          <w:bCs/>
          <w:spacing w:val="-4"/>
          <w:rtl/>
        </w:rPr>
        <w:t xml:space="preserve">توفير التدريب المتخصص للموظفين العموميين ذوي الصلة في هذا الصدد. </w:t>
      </w:r>
    </w:p>
    <w:p w:rsidR="008608DA" w:rsidRPr="0060624F" w:rsidRDefault="0060624F" w:rsidP="00A83CF9">
      <w:pPr>
        <w:pStyle w:val="SingleTxtGA"/>
        <w:spacing w:line="360" w:lineRule="exact"/>
        <w:rPr>
          <w:rFonts w:hint="cs"/>
          <w:b/>
          <w:bCs/>
          <w:rtl/>
          <w:lang/>
        </w:rPr>
      </w:pPr>
      <w:r>
        <w:rPr>
          <w:rFonts w:hint="cs"/>
          <w:rtl/>
        </w:rPr>
        <w:tab/>
      </w:r>
      <w:r w:rsidR="008608DA" w:rsidRPr="0060624F">
        <w:rPr>
          <w:rFonts w:hint="cs"/>
          <w:b/>
          <w:bCs/>
          <w:rtl/>
        </w:rPr>
        <w:t xml:space="preserve">وفضلاً عن ذلك، يتعين على الدولة الطرف أن تنظر في التصديق على بروتوكول </w:t>
      </w:r>
      <w:r w:rsidR="008608DA" w:rsidRPr="0060624F">
        <w:rPr>
          <w:rFonts w:hint="cs"/>
          <w:b/>
          <w:bCs/>
          <w:rtl/>
          <w:lang/>
        </w:rPr>
        <w:t>منع وقمع الاتجار بالأشخاص، وبخاصة النساء والأطفال (بروتوكول باليرمو).</w:t>
      </w:r>
    </w:p>
    <w:p w:rsidR="008608DA" w:rsidRPr="00A9602C" w:rsidRDefault="008608DA" w:rsidP="00A83CF9">
      <w:pPr>
        <w:pStyle w:val="SingleTxtGA"/>
        <w:spacing w:line="370" w:lineRule="exact"/>
        <w:rPr>
          <w:rFonts w:hint="cs"/>
          <w:b/>
          <w:bCs/>
          <w:sz w:val="32"/>
          <w:szCs w:val="32"/>
          <w:rtl/>
          <w:lang/>
        </w:rPr>
      </w:pPr>
      <w:r w:rsidRPr="00A9602C">
        <w:rPr>
          <w:rFonts w:hint="cs"/>
          <w:b/>
          <w:bCs/>
          <w:sz w:val="32"/>
          <w:szCs w:val="32"/>
          <w:rtl/>
          <w:lang/>
        </w:rPr>
        <w:t>الرعاية الصحية النفسية</w:t>
      </w:r>
    </w:p>
    <w:p w:rsidR="008608DA" w:rsidRDefault="0060624F" w:rsidP="00A83CF9">
      <w:pPr>
        <w:pStyle w:val="SingleTxtGA"/>
        <w:spacing w:line="370" w:lineRule="exact"/>
        <w:rPr>
          <w:rFonts w:hint="cs"/>
          <w:rtl/>
          <w:lang/>
        </w:rPr>
      </w:pPr>
      <w:r>
        <w:rPr>
          <w:rFonts w:hint="cs"/>
          <w:rtl/>
          <w:lang/>
        </w:rPr>
        <w:t>(</w:t>
      </w:r>
      <w:r w:rsidR="008608DA">
        <w:rPr>
          <w:rFonts w:hint="cs"/>
          <w:rtl/>
          <w:lang/>
        </w:rPr>
        <w:t>22</w:t>
      </w:r>
      <w:r>
        <w:rPr>
          <w:rFonts w:hint="cs"/>
          <w:rtl/>
          <w:lang/>
        </w:rPr>
        <w:t>)</w:t>
      </w:r>
      <w:r>
        <w:rPr>
          <w:rFonts w:hint="cs"/>
          <w:rtl/>
          <w:lang/>
        </w:rPr>
        <w:tab/>
      </w:r>
      <w:r w:rsidR="008608DA">
        <w:rPr>
          <w:rFonts w:hint="cs"/>
          <w:rtl/>
          <w:lang/>
        </w:rPr>
        <w:t>بالرغم من القانون المتعلق بالصحة العقلية ورعاية</w:t>
      </w:r>
      <w:r>
        <w:rPr>
          <w:rFonts w:hint="cs"/>
          <w:rtl/>
          <w:lang/>
        </w:rPr>
        <w:t xml:space="preserve"> المصابين بمرض عقلي، الذي أرسى </w:t>
      </w:r>
      <w:r w:rsidR="008608DA">
        <w:rPr>
          <w:rFonts w:hint="cs"/>
          <w:rtl/>
          <w:lang/>
        </w:rPr>
        <w:t>معايير تشغيل مؤسسات الرعاية بالصحة العقلية، والمعلومات الإضافية التي قدمها وفد الدولة الطرف، يساور اللجنة قلق إز</w:t>
      </w:r>
      <w:r w:rsidR="00777841">
        <w:rPr>
          <w:rFonts w:hint="cs"/>
          <w:rtl/>
          <w:lang/>
        </w:rPr>
        <w:t xml:space="preserve">اء العدد المرتفع من </w:t>
      </w:r>
      <w:r w:rsidR="008608DA">
        <w:rPr>
          <w:rFonts w:hint="cs"/>
          <w:rtl/>
          <w:lang/>
        </w:rPr>
        <w:t>الأشخاص الذين يعانون خللاً عقلياً، بما</w:t>
      </w:r>
      <w:r w:rsidR="00777841">
        <w:rPr>
          <w:rFonts w:hint="eastAsia"/>
          <w:rtl/>
          <w:lang/>
        </w:rPr>
        <w:t> </w:t>
      </w:r>
      <w:r w:rsidR="008608DA">
        <w:rPr>
          <w:rFonts w:hint="cs"/>
          <w:rtl/>
          <w:lang/>
        </w:rPr>
        <w:t>فيها الإعاقات النفسية والذهنية، والمحتجزين قسراً في مؤسسات الرعاية الصحية للأمراض العقلية لفترات طويلة في غالب الأحيان. وتعرب اللجنة عن مزيد من القلق إزاء شيوع استخدام الحبس الانفرادي والإكراه والإرغام على تناول الأدوية، وهذا ما قد يبلغ حدّ المعاملة اللاإنسانية والمهينة. ومع مراعاة المعلومات التي حصلت عليها اللجنة خلال الحوار بشأن الخطط المتعلقة بالرعاية الصحية العقلية، يبقى القلق يساورها إزاء غياب التركيز على بدائل الاستشفاء للأشخاص الذين يعانون خللاً عقلياً. وأخيراً، تعرب اللجنة</w:t>
      </w:r>
      <w:r w:rsidR="00777841">
        <w:rPr>
          <w:rFonts w:hint="cs"/>
          <w:rtl/>
          <w:lang/>
        </w:rPr>
        <w:t xml:space="preserve"> عن قلقها إزاء تواتر حالات عدم </w:t>
      </w:r>
      <w:r w:rsidR="008608DA">
        <w:rPr>
          <w:rFonts w:hint="cs"/>
          <w:rtl/>
          <w:lang/>
        </w:rPr>
        <w:t>التحقيق الفعال والنزيه في اللجوء المفرط للتدابير التقييدية فضلاً عن نقص البيانات الإحصائية ذات ا</w:t>
      </w:r>
      <w:r>
        <w:rPr>
          <w:rFonts w:hint="cs"/>
          <w:rtl/>
          <w:lang/>
        </w:rPr>
        <w:t xml:space="preserve">لصلة (المواد 2 و11 و13 و16). </w:t>
      </w:r>
    </w:p>
    <w:p w:rsidR="008608DA" w:rsidRPr="0060624F" w:rsidRDefault="0060624F" w:rsidP="00464673">
      <w:pPr>
        <w:pStyle w:val="SingleTxtGA"/>
        <w:keepNext/>
        <w:keepLines/>
        <w:spacing w:line="370" w:lineRule="exact"/>
        <w:rPr>
          <w:rFonts w:hint="cs"/>
          <w:b/>
          <w:bCs/>
          <w:rtl/>
          <w:lang/>
        </w:rPr>
      </w:pPr>
      <w:r w:rsidRPr="0060624F">
        <w:rPr>
          <w:rFonts w:hint="cs"/>
          <w:b/>
          <w:bCs/>
          <w:rtl/>
          <w:lang/>
        </w:rPr>
        <w:tab/>
      </w:r>
      <w:r w:rsidR="008608DA" w:rsidRPr="0060624F">
        <w:rPr>
          <w:rFonts w:hint="cs"/>
          <w:b/>
          <w:bCs/>
          <w:rtl/>
          <w:lang/>
        </w:rPr>
        <w:t xml:space="preserve">تحث اللجنة الدولة الطرف على ضمان ما يلي: </w:t>
      </w:r>
    </w:p>
    <w:p w:rsidR="008608DA" w:rsidRPr="0060624F" w:rsidRDefault="0060624F" w:rsidP="00A83CF9">
      <w:pPr>
        <w:pStyle w:val="SingleTxtGA"/>
        <w:spacing w:after="100" w:line="370" w:lineRule="exact"/>
        <w:rPr>
          <w:rFonts w:hint="cs"/>
          <w:b/>
          <w:bCs/>
          <w:rtl/>
          <w:lang/>
        </w:rPr>
      </w:pPr>
      <w:r w:rsidRPr="0060624F">
        <w:rPr>
          <w:rFonts w:hint="cs"/>
          <w:b/>
          <w:bCs/>
          <w:rtl/>
          <w:lang/>
        </w:rPr>
        <w:tab/>
        <w:t>(أ)</w:t>
      </w:r>
      <w:r w:rsidRPr="0060624F">
        <w:rPr>
          <w:rFonts w:hint="cs"/>
          <w:b/>
          <w:bCs/>
          <w:rtl/>
          <w:lang/>
        </w:rPr>
        <w:tab/>
      </w:r>
      <w:r w:rsidR="008608DA" w:rsidRPr="0060624F">
        <w:rPr>
          <w:rFonts w:hint="cs"/>
          <w:b/>
          <w:bCs/>
          <w:rtl/>
          <w:lang/>
        </w:rPr>
        <w:t>المراقبة القضائية الفعالة على العلاج والإيواء بالإكراه، ووضع آليات استئناف فعالة؛</w:t>
      </w:r>
    </w:p>
    <w:p w:rsidR="008608DA" w:rsidRPr="0060624F" w:rsidRDefault="0060624F" w:rsidP="00A83CF9">
      <w:pPr>
        <w:pStyle w:val="SingleTxtGA"/>
        <w:spacing w:after="100" w:line="370" w:lineRule="exact"/>
        <w:rPr>
          <w:rFonts w:hint="cs"/>
          <w:b/>
          <w:bCs/>
          <w:lang/>
        </w:rPr>
      </w:pPr>
      <w:r w:rsidRPr="0060624F">
        <w:rPr>
          <w:rFonts w:hint="cs"/>
          <w:b/>
          <w:bCs/>
          <w:rtl/>
          <w:lang/>
        </w:rPr>
        <w:tab/>
        <w:t>(ب)</w:t>
      </w:r>
      <w:r w:rsidRPr="0060624F">
        <w:rPr>
          <w:rFonts w:hint="cs"/>
          <w:b/>
          <w:bCs/>
          <w:rtl/>
          <w:lang/>
        </w:rPr>
        <w:tab/>
      </w:r>
      <w:r w:rsidR="008608DA" w:rsidRPr="0060624F">
        <w:rPr>
          <w:rFonts w:hint="cs"/>
          <w:b/>
          <w:bCs/>
          <w:rtl/>
          <w:lang/>
        </w:rPr>
        <w:t>تطوير خدمات رعاية خارجية للمرضى وخدمات مجتمعية وخفض عدد المرضى الذين يتم إيواؤهم في المؤسسات؛</w:t>
      </w:r>
    </w:p>
    <w:p w:rsidR="008608DA" w:rsidRPr="0060624F" w:rsidRDefault="0060624F" w:rsidP="00A83CF9">
      <w:pPr>
        <w:pStyle w:val="SingleTxtGA"/>
        <w:spacing w:after="100" w:line="370" w:lineRule="exact"/>
        <w:rPr>
          <w:rFonts w:hint="cs"/>
          <w:b/>
          <w:bCs/>
          <w:rtl/>
          <w:lang/>
        </w:rPr>
      </w:pPr>
      <w:r w:rsidRPr="0060624F">
        <w:rPr>
          <w:rFonts w:hint="cs"/>
          <w:b/>
          <w:bCs/>
          <w:rtl/>
          <w:lang/>
        </w:rPr>
        <w:tab/>
      </w:r>
      <w:r w:rsidR="008608DA" w:rsidRPr="0060624F">
        <w:rPr>
          <w:rFonts w:hint="cs"/>
          <w:b/>
          <w:bCs/>
          <w:rtl/>
          <w:lang/>
        </w:rPr>
        <w:t>(ج)</w:t>
      </w:r>
      <w:r w:rsidRPr="0060624F">
        <w:rPr>
          <w:rFonts w:hint="cs"/>
          <w:b/>
          <w:bCs/>
          <w:rtl/>
          <w:lang/>
        </w:rPr>
        <w:tab/>
      </w:r>
      <w:r w:rsidR="008608DA" w:rsidRPr="0060624F">
        <w:rPr>
          <w:rFonts w:hint="cs"/>
          <w:b/>
          <w:bCs/>
          <w:rtl/>
          <w:lang/>
        </w:rPr>
        <w:t>احترام الضمانات القانونية الفعالة في كل أماكن الحرمان من الحرية، بما فيها مؤسسات الرعاية النفسية والاجتماعية؛</w:t>
      </w:r>
    </w:p>
    <w:p w:rsidR="008608DA" w:rsidRPr="0060624F" w:rsidRDefault="0060624F" w:rsidP="00A83CF9">
      <w:pPr>
        <w:pStyle w:val="SingleTxtGA"/>
        <w:spacing w:after="100" w:line="370" w:lineRule="exact"/>
        <w:rPr>
          <w:rFonts w:hint="cs"/>
          <w:b/>
          <w:bCs/>
          <w:rtl/>
          <w:lang/>
        </w:rPr>
      </w:pPr>
      <w:r w:rsidRPr="0060624F">
        <w:rPr>
          <w:rFonts w:hint="cs"/>
          <w:b/>
          <w:bCs/>
          <w:rtl/>
          <w:lang/>
        </w:rPr>
        <w:tab/>
      </w:r>
      <w:r w:rsidR="008608DA" w:rsidRPr="0060624F">
        <w:rPr>
          <w:rFonts w:hint="cs"/>
          <w:b/>
          <w:bCs/>
          <w:rtl/>
          <w:lang/>
        </w:rPr>
        <w:t>(د)</w:t>
      </w:r>
      <w:r w:rsidRPr="0060624F">
        <w:rPr>
          <w:rFonts w:hint="cs"/>
          <w:b/>
          <w:bCs/>
          <w:rtl/>
          <w:lang/>
        </w:rPr>
        <w:tab/>
      </w:r>
      <w:r w:rsidR="008608DA" w:rsidRPr="0060624F">
        <w:rPr>
          <w:rFonts w:hint="cs"/>
          <w:b/>
          <w:bCs/>
          <w:rtl/>
          <w:lang/>
        </w:rPr>
        <w:t>تعزيز فرص اللجوء إلى آليات التظلم الفعالة؛</w:t>
      </w:r>
    </w:p>
    <w:p w:rsidR="008608DA" w:rsidRPr="0060624F" w:rsidRDefault="0060624F" w:rsidP="00A83CF9">
      <w:pPr>
        <w:pStyle w:val="SingleTxtGA"/>
        <w:spacing w:after="100" w:line="370" w:lineRule="exact"/>
        <w:rPr>
          <w:rFonts w:hint="cs"/>
          <w:b/>
          <w:bCs/>
          <w:rtl/>
          <w:lang/>
        </w:rPr>
      </w:pPr>
      <w:r w:rsidRPr="0060624F">
        <w:rPr>
          <w:rFonts w:hint="cs"/>
          <w:b/>
          <w:bCs/>
          <w:rtl/>
          <w:lang/>
        </w:rPr>
        <w:tab/>
      </w:r>
      <w:r w:rsidR="008608DA" w:rsidRPr="0060624F">
        <w:rPr>
          <w:rFonts w:hint="cs"/>
          <w:b/>
          <w:bCs/>
          <w:rtl/>
          <w:lang/>
        </w:rPr>
        <w:t>(</w:t>
      </w:r>
      <w:r w:rsidRPr="0060624F">
        <w:rPr>
          <w:rFonts w:hint="cs"/>
          <w:b/>
          <w:bCs/>
          <w:sz w:val="30"/>
          <w:rtl/>
          <w:lang/>
        </w:rPr>
        <w:t>ﻫ</w:t>
      </w:r>
      <w:r w:rsidRPr="0060624F">
        <w:rPr>
          <w:rFonts w:hint="cs"/>
          <w:b/>
          <w:bCs/>
          <w:rtl/>
          <w:lang/>
        </w:rPr>
        <w:t>)</w:t>
      </w:r>
      <w:r w:rsidRPr="0060624F">
        <w:rPr>
          <w:rFonts w:hint="cs"/>
          <w:b/>
          <w:bCs/>
          <w:rtl/>
          <w:lang/>
        </w:rPr>
        <w:tab/>
      </w:r>
      <w:r w:rsidR="008608DA" w:rsidRPr="0060624F">
        <w:rPr>
          <w:rFonts w:hint="cs"/>
          <w:b/>
          <w:bCs/>
          <w:rtl/>
          <w:lang/>
        </w:rPr>
        <w:t>تفادي استخدام التقييد والحبس الانفرادي أو تطبيق هذا التدبير كملاذ أخير بعد فشل كل بدائل السيطرة الأخرى، لأقصر فترة ممكنة وتحت مراقبة طبية شديدة وتسجيل أي تدبير مماثل حسب الأصول؛</w:t>
      </w:r>
    </w:p>
    <w:p w:rsidR="008608DA" w:rsidRPr="0060624F" w:rsidRDefault="0060624F" w:rsidP="00A83CF9">
      <w:pPr>
        <w:pStyle w:val="SingleTxtGA"/>
        <w:spacing w:after="100" w:line="370" w:lineRule="exact"/>
        <w:rPr>
          <w:rFonts w:hint="cs"/>
          <w:b/>
          <w:bCs/>
          <w:rtl/>
          <w:lang/>
        </w:rPr>
      </w:pPr>
      <w:r w:rsidRPr="0060624F">
        <w:rPr>
          <w:rFonts w:hint="cs"/>
          <w:b/>
          <w:bCs/>
          <w:rtl/>
          <w:lang/>
        </w:rPr>
        <w:tab/>
      </w:r>
      <w:r w:rsidR="008608DA" w:rsidRPr="0060624F">
        <w:rPr>
          <w:rFonts w:hint="cs"/>
          <w:b/>
          <w:bCs/>
          <w:rtl/>
          <w:lang/>
        </w:rPr>
        <w:t>(و)</w:t>
      </w:r>
      <w:r w:rsidRPr="0060624F">
        <w:rPr>
          <w:rFonts w:hint="cs"/>
          <w:b/>
          <w:bCs/>
          <w:rtl/>
          <w:lang/>
        </w:rPr>
        <w:tab/>
      </w:r>
      <w:r w:rsidR="008608DA" w:rsidRPr="0060624F">
        <w:rPr>
          <w:rFonts w:hint="cs"/>
          <w:b/>
          <w:bCs/>
          <w:rtl/>
          <w:lang/>
        </w:rPr>
        <w:t xml:space="preserve">المباشرة بالتحقيقات الفعالة والنزيهة في الأحداث التي أدّى فيها استخدام هذه التدابير التقييدية إلى تضرر المريض؛ </w:t>
      </w:r>
    </w:p>
    <w:p w:rsidR="008608DA" w:rsidRPr="0060624F" w:rsidRDefault="0060624F" w:rsidP="00A83CF9">
      <w:pPr>
        <w:pStyle w:val="SingleTxtGA"/>
        <w:spacing w:after="100" w:line="370" w:lineRule="exact"/>
        <w:rPr>
          <w:rFonts w:hint="cs"/>
          <w:b/>
          <w:bCs/>
          <w:rtl/>
          <w:lang/>
        </w:rPr>
      </w:pPr>
      <w:r w:rsidRPr="0060624F">
        <w:rPr>
          <w:rFonts w:hint="cs"/>
          <w:b/>
          <w:bCs/>
          <w:rtl/>
          <w:lang/>
        </w:rPr>
        <w:tab/>
      </w:r>
      <w:r w:rsidR="008608DA" w:rsidRPr="0060624F">
        <w:rPr>
          <w:rFonts w:hint="cs"/>
          <w:b/>
          <w:bCs/>
          <w:rtl/>
          <w:lang/>
        </w:rPr>
        <w:t>(ز)</w:t>
      </w:r>
      <w:r w:rsidRPr="0060624F">
        <w:rPr>
          <w:rFonts w:hint="cs"/>
          <w:b/>
          <w:bCs/>
          <w:rtl/>
          <w:lang/>
        </w:rPr>
        <w:tab/>
      </w:r>
      <w:r w:rsidR="008608DA" w:rsidRPr="0060624F">
        <w:rPr>
          <w:rFonts w:hint="cs"/>
          <w:b/>
          <w:bCs/>
          <w:rtl/>
          <w:lang/>
        </w:rPr>
        <w:t>توفير سبل الانتصاف والجبر للضحايا؛</w:t>
      </w:r>
    </w:p>
    <w:p w:rsidR="008608DA" w:rsidRPr="0060624F" w:rsidRDefault="0060624F" w:rsidP="00A83CF9">
      <w:pPr>
        <w:pStyle w:val="SingleTxtGA"/>
        <w:spacing w:line="370" w:lineRule="exact"/>
        <w:rPr>
          <w:rFonts w:hint="cs"/>
          <w:b/>
          <w:bCs/>
          <w:rtl/>
          <w:lang/>
        </w:rPr>
      </w:pPr>
      <w:r w:rsidRPr="0060624F">
        <w:rPr>
          <w:rFonts w:hint="cs"/>
          <w:b/>
          <w:bCs/>
          <w:rtl/>
          <w:lang/>
        </w:rPr>
        <w:tab/>
      </w:r>
      <w:r w:rsidR="008608DA" w:rsidRPr="0060624F">
        <w:rPr>
          <w:rFonts w:hint="cs"/>
          <w:b/>
          <w:bCs/>
          <w:rtl/>
          <w:lang/>
        </w:rPr>
        <w:t>(ح)</w:t>
      </w:r>
      <w:r w:rsidRPr="0060624F">
        <w:rPr>
          <w:rFonts w:hint="cs"/>
          <w:b/>
          <w:bCs/>
          <w:rtl/>
          <w:lang/>
        </w:rPr>
        <w:tab/>
      </w:r>
      <w:r w:rsidR="008608DA" w:rsidRPr="0060624F">
        <w:rPr>
          <w:rFonts w:hint="cs"/>
          <w:b/>
          <w:bCs/>
          <w:rtl/>
          <w:lang/>
        </w:rPr>
        <w:t xml:space="preserve">قيام هيئات الرصد المستقلة بزيارات منتظمة للمصحات العقلية كافة. </w:t>
      </w:r>
    </w:p>
    <w:p w:rsidR="008608DA" w:rsidRPr="00A9602C" w:rsidRDefault="0060624F" w:rsidP="00A83CF9">
      <w:pPr>
        <w:pStyle w:val="H23GA"/>
        <w:spacing w:line="370" w:lineRule="exact"/>
        <w:rPr>
          <w:rFonts w:hint="cs"/>
          <w:rtl/>
          <w:lang/>
        </w:rPr>
      </w:pPr>
      <w:r>
        <w:rPr>
          <w:rFonts w:hint="cs"/>
          <w:rtl/>
          <w:lang/>
        </w:rPr>
        <w:tab/>
      </w:r>
      <w:r>
        <w:rPr>
          <w:rFonts w:hint="cs"/>
          <w:rtl/>
          <w:lang/>
        </w:rPr>
        <w:tab/>
      </w:r>
      <w:r w:rsidR="008608DA" w:rsidRPr="00A9602C">
        <w:rPr>
          <w:rFonts w:hint="cs"/>
          <w:rtl/>
          <w:lang/>
        </w:rPr>
        <w:t>العقاب الجسدي</w:t>
      </w:r>
    </w:p>
    <w:p w:rsidR="008608DA" w:rsidRDefault="0060624F" w:rsidP="00A83CF9">
      <w:pPr>
        <w:pStyle w:val="SingleTxtGA"/>
        <w:spacing w:line="370" w:lineRule="exact"/>
        <w:rPr>
          <w:rFonts w:hint="cs"/>
          <w:rtl/>
        </w:rPr>
      </w:pPr>
      <w:r>
        <w:rPr>
          <w:rFonts w:hint="cs"/>
          <w:rtl/>
          <w:lang/>
        </w:rPr>
        <w:t>(</w:t>
      </w:r>
      <w:r w:rsidR="008608DA">
        <w:rPr>
          <w:rFonts w:hint="cs"/>
          <w:rtl/>
          <w:lang/>
        </w:rPr>
        <w:t>23</w:t>
      </w:r>
      <w:r>
        <w:rPr>
          <w:rFonts w:hint="cs"/>
          <w:rtl/>
          <w:lang/>
        </w:rPr>
        <w:t>)</w:t>
      </w:r>
      <w:r>
        <w:rPr>
          <w:rFonts w:hint="cs"/>
          <w:rtl/>
          <w:lang/>
        </w:rPr>
        <w:tab/>
      </w:r>
      <w:r w:rsidR="008608DA">
        <w:rPr>
          <w:rFonts w:hint="cs"/>
          <w:rtl/>
          <w:lang/>
        </w:rPr>
        <w:t>بينما تلاحظ اللجنة أنّ استغلال الأطفال محظور بموجب المادة 3 من قانون منع إساءة معاملة الأطفال، تشاطر اللجنة القلق الذي يساور لجنة حقوق الطفل (</w:t>
      </w:r>
      <w:r w:rsidR="008608DA">
        <w:rPr>
          <w:lang/>
        </w:rPr>
        <w:t>CRC/C/JPN/CO/3</w:t>
      </w:r>
      <w:r w:rsidR="008608DA">
        <w:rPr>
          <w:rFonts w:hint="cs"/>
          <w:rtl/>
        </w:rPr>
        <w:t xml:space="preserve">، الفقرة 47) إزاء عدم حظر العقاب الجسدي في المنزل أو في أي مكان رعاية بديل صراحةً في القانون وأنّ القانون المدني وقانون منع إساءة معاملة الأطفال يتيحان استخدام وسائل التأديب المناسبة بيد أنهما يفتقران إلى الوضوح بشأن قبول العقاب الجسدي في بعض الحالات (المادة 16). </w:t>
      </w:r>
    </w:p>
    <w:p w:rsidR="008608DA" w:rsidRPr="0060624F" w:rsidRDefault="0060624F" w:rsidP="00A83CF9">
      <w:pPr>
        <w:pStyle w:val="SingleTxtGA"/>
        <w:spacing w:line="370" w:lineRule="exact"/>
        <w:rPr>
          <w:rFonts w:hint="cs"/>
          <w:b/>
          <w:bCs/>
          <w:rtl/>
        </w:rPr>
      </w:pPr>
      <w:r w:rsidRPr="0060624F">
        <w:rPr>
          <w:rFonts w:hint="cs"/>
          <w:b/>
          <w:bCs/>
          <w:rtl/>
        </w:rPr>
        <w:tab/>
      </w:r>
      <w:r w:rsidR="008608DA" w:rsidRPr="0060624F">
        <w:rPr>
          <w:rFonts w:hint="cs"/>
          <w:b/>
          <w:bCs/>
          <w:rtl/>
        </w:rPr>
        <w:t xml:space="preserve">يتعين على الدولة الطرف حظر العقاب صراحةً وكافة أشكال المعاملة المهينة للأطفال في كل الأماكن بموجب القانون. </w:t>
      </w:r>
    </w:p>
    <w:p w:rsidR="008608DA" w:rsidRPr="00A9602C" w:rsidRDefault="0060624F" w:rsidP="00A83CF9">
      <w:pPr>
        <w:pStyle w:val="H23GA"/>
        <w:spacing w:line="370" w:lineRule="exact"/>
        <w:rPr>
          <w:rFonts w:hint="cs"/>
          <w:rtl/>
        </w:rPr>
      </w:pPr>
      <w:r>
        <w:rPr>
          <w:rFonts w:hint="cs"/>
          <w:rtl/>
        </w:rPr>
        <w:tab/>
      </w:r>
      <w:r>
        <w:rPr>
          <w:rFonts w:hint="cs"/>
          <w:rtl/>
        </w:rPr>
        <w:tab/>
      </w:r>
      <w:r w:rsidR="008608DA" w:rsidRPr="00A9602C">
        <w:rPr>
          <w:rFonts w:hint="cs"/>
          <w:rtl/>
        </w:rPr>
        <w:t>قضايا أخرى</w:t>
      </w:r>
    </w:p>
    <w:p w:rsidR="008608DA" w:rsidRDefault="0060624F" w:rsidP="00A83CF9">
      <w:pPr>
        <w:pStyle w:val="SingleTxtGA"/>
        <w:spacing w:line="370" w:lineRule="exact"/>
        <w:rPr>
          <w:rFonts w:hint="cs"/>
          <w:rtl/>
        </w:rPr>
      </w:pPr>
      <w:r>
        <w:rPr>
          <w:rFonts w:hint="cs"/>
          <w:rtl/>
        </w:rPr>
        <w:t>(</w:t>
      </w:r>
      <w:r w:rsidR="008608DA">
        <w:rPr>
          <w:rFonts w:hint="cs"/>
          <w:rtl/>
        </w:rPr>
        <w:t>24</w:t>
      </w:r>
      <w:r>
        <w:rPr>
          <w:rFonts w:hint="cs"/>
          <w:rtl/>
        </w:rPr>
        <w:t>)</w:t>
      </w:r>
      <w:r>
        <w:rPr>
          <w:rFonts w:hint="cs"/>
          <w:rtl/>
        </w:rPr>
        <w:tab/>
      </w:r>
      <w:r w:rsidR="008608DA">
        <w:rPr>
          <w:rFonts w:hint="cs"/>
          <w:rtl/>
        </w:rPr>
        <w:t>يتعين على الدولة الطرف أن تضع نظاماً فعالاً لجمع كل البيانات الإحصائية المصنّفة بحسب الجنس والسن والمصداقية، والمتعلقة برصد تنفيذ الاتفاقية على الصعيد الوطني، وما</w:t>
      </w:r>
      <w:r>
        <w:rPr>
          <w:rFonts w:hint="eastAsia"/>
          <w:rtl/>
        </w:rPr>
        <w:t> </w:t>
      </w:r>
      <w:r w:rsidR="008608DA">
        <w:rPr>
          <w:rFonts w:hint="cs"/>
          <w:rtl/>
        </w:rPr>
        <w:t>يشمل ذلك من شكاوى وتحقيقات وملاحقات قضائية وإدانات في قضايا التعذيب وسوء المعاملة على يد المسؤولين الحكوميين، والاتجار والعنف الجنسي، فضلاً عن سبل الجبر التي تشمل تعويض الضحايا وإعادة تأهيلهم.</w:t>
      </w:r>
    </w:p>
    <w:p w:rsidR="008608DA" w:rsidRPr="003A4F40" w:rsidRDefault="0060624F" w:rsidP="00A83CF9">
      <w:pPr>
        <w:pStyle w:val="SingleTxtGA"/>
        <w:spacing w:line="370" w:lineRule="exact"/>
        <w:rPr>
          <w:rFonts w:hint="cs"/>
          <w:spacing w:val="-2"/>
          <w:rtl/>
        </w:rPr>
      </w:pPr>
      <w:r w:rsidRPr="003A4F40">
        <w:rPr>
          <w:rFonts w:hint="cs"/>
          <w:spacing w:val="-2"/>
          <w:rtl/>
        </w:rPr>
        <w:t>(</w:t>
      </w:r>
      <w:r w:rsidR="008608DA" w:rsidRPr="003A4F40">
        <w:rPr>
          <w:rFonts w:hint="cs"/>
          <w:spacing w:val="-2"/>
          <w:rtl/>
        </w:rPr>
        <w:t>25</w:t>
      </w:r>
      <w:r w:rsidRPr="003A4F40">
        <w:rPr>
          <w:rFonts w:hint="cs"/>
          <w:spacing w:val="-2"/>
          <w:rtl/>
        </w:rPr>
        <w:t>)</w:t>
      </w:r>
      <w:r w:rsidRPr="003A4F40">
        <w:rPr>
          <w:rFonts w:hint="cs"/>
          <w:spacing w:val="-2"/>
          <w:rtl/>
        </w:rPr>
        <w:tab/>
      </w:r>
      <w:r w:rsidR="008608DA" w:rsidRPr="003A4F40">
        <w:rPr>
          <w:rFonts w:hint="cs"/>
          <w:spacing w:val="-2"/>
          <w:rtl/>
        </w:rPr>
        <w:t xml:space="preserve">توصي اللجنة بأن تعزز الدولة الطرف تعاونها مع آليات حقوق الإنسان التابعة للأمم المتحدة، بما يشمل السماح للفريق العامل المعني بالاحتجاز التعسفي من بين سواه بالزيارة، وأن تعزز على حد سواء جهودها في تنفيذ توصيات اللجنة. يتعين على الدولة الطرف أن تتخذ المزيد من التدابير لضمان نهج منسّق تنسيقاً جيداً وشفاف ومتاح للجمهور عامة للإشراف على تنفيذ التزاماتها بموجب آليات حقوق الإنسان التابعة للأمم المتحدة، بما فيها الاتفاقية. </w:t>
      </w:r>
    </w:p>
    <w:p w:rsidR="008608DA" w:rsidRPr="003A4F40" w:rsidRDefault="003A4F40" w:rsidP="00714CB5">
      <w:pPr>
        <w:pStyle w:val="SingleTxtGA"/>
        <w:spacing w:line="370" w:lineRule="exact"/>
        <w:rPr>
          <w:rFonts w:hint="cs"/>
          <w:spacing w:val="-2"/>
          <w:rtl/>
          <w:lang/>
        </w:rPr>
      </w:pPr>
      <w:r>
        <w:rPr>
          <w:rFonts w:hint="cs"/>
          <w:rtl/>
        </w:rPr>
        <w:t>(</w:t>
      </w:r>
      <w:r w:rsidR="008608DA">
        <w:rPr>
          <w:rFonts w:hint="cs"/>
          <w:rtl/>
        </w:rPr>
        <w:t>26</w:t>
      </w:r>
      <w:r>
        <w:rPr>
          <w:rFonts w:hint="cs"/>
          <w:rtl/>
        </w:rPr>
        <w:t>)</w:t>
      </w:r>
      <w:r>
        <w:rPr>
          <w:rFonts w:hint="cs"/>
          <w:rtl/>
        </w:rPr>
        <w:tab/>
      </w:r>
      <w:r w:rsidR="008608DA">
        <w:rPr>
          <w:rFonts w:hint="cs"/>
          <w:rtl/>
        </w:rPr>
        <w:t xml:space="preserve">بينما تلاحظ اللجنة التزام الدولة الطرف في سياق الاستعراض الدوري الشامل </w:t>
      </w:r>
      <w:r w:rsidR="008608DA" w:rsidRPr="003A4F40">
        <w:rPr>
          <w:rFonts w:hint="cs"/>
          <w:spacing w:val="-2"/>
          <w:rtl/>
        </w:rPr>
        <w:t>(</w:t>
      </w:r>
      <w:r w:rsidR="008608DA" w:rsidRPr="003A4F40">
        <w:rPr>
          <w:spacing w:val="-2"/>
        </w:rPr>
        <w:t>A/HRC/22/14/Add.1</w:t>
      </w:r>
      <w:r w:rsidR="008608DA" w:rsidRPr="003A4F40">
        <w:rPr>
          <w:rFonts w:hint="cs"/>
          <w:spacing w:val="-2"/>
          <w:rtl/>
        </w:rPr>
        <w:t>، الفقرة 147</w:t>
      </w:r>
      <w:r w:rsidR="00714CB5">
        <w:rPr>
          <w:rFonts w:hint="cs"/>
          <w:spacing w:val="-2"/>
          <w:rtl/>
        </w:rPr>
        <w:t>-</w:t>
      </w:r>
      <w:r w:rsidR="008608DA" w:rsidRPr="003A4F40">
        <w:rPr>
          <w:rFonts w:hint="cs"/>
          <w:spacing w:val="-2"/>
          <w:rtl/>
        </w:rPr>
        <w:t xml:space="preserve">9)، تحث اللجنة الدولة الطرف على التسريع في المشاورات المحلية الجارية والتصديق على البروتوكول </w:t>
      </w:r>
      <w:r w:rsidR="008608DA" w:rsidRPr="003A4F40">
        <w:rPr>
          <w:rFonts w:hint="cs"/>
          <w:spacing w:val="-2"/>
          <w:rtl/>
          <w:lang/>
        </w:rPr>
        <w:t xml:space="preserve">الاختياري لاتفاقية مناهضة التعذيب وغيره من ضروب المعاملة أو العقوبة القاسية أو اللاإنسانية أو المهينة بأسرع وقت ممكن. كما توصي اللجنة بأن تنظر الدولة الطرف في إصدار الإعلان المتوخى بموجب المادة 22 من الاتفاقية. </w:t>
      </w:r>
    </w:p>
    <w:p w:rsidR="008608DA" w:rsidRDefault="003A4F40" w:rsidP="00A83CF9">
      <w:pPr>
        <w:pStyle w:val="SingleTxtGA"/>
        <w:spacing w:line="370" w:lineRule="exact"/>
        <w:rPr>
          <w:rFonts w:hint="cs"/>
          <w:rtl/>
        </w:rPr>
      </w:pPr>
      <w:r>
        <w:rPr>
          <w:rFonts w:hint="cs"/>
          <w:rtl/>
          <w:lang/>
        </w:rPr>
        <w:t>(</w:t>
      </w:r>
      <w:r w:rsidR="008608DA">
        <w:rPr>
          <w:rFonts w:hint="cs"/>
          <w:rtl/>
          <w:lang/>
        </w:rPr>
        <w:t>27</w:t>
      </w:r>
      <w:r>
        <w:rPr>
          <w:rFonts w:hint="cs"/>
          <w:rtl/>
          <w:lang/>
        </w:rPr>
        <w:t>)</w:t>
      </w:r>
      <w:r>
        <w:rPr>
          <w:rFonts w:hint="cs"/>
          <w:rtl/>
          <w:lang/>
        </w:rPr>
        <w:tab/>
      </w:r>
      <w:r w:rsidR="008608DA">
        <w:rPr>
          <w:rFonts w:hint="cs"/>
          <w:rtl/>
          <w:lang/>
        </w:rPr>
        <w:t xml:space="preserve">تدعو اللجنة الدولة الطرف إلى التصديق على معاهدات الأمم المتحدة الرئيسية لحقوق الإنسان والتي ليست طرفاً فيها بعد، وتحديداً البروتوكول الاختياري الثاني </w:t>
      </w:r>
      <w:r w:rsidR="008608DA">
        <w:rPr>
          <w:rFonts w:hint="cs"/>
          <w:rtl/>
        </w:rPr>
        <w:t xml:space="preserve">للعهد الدولي الخاص بالحقوق المدنية والسياسية والاتفاقية الدولية لحماية حقوق جميع العمال المهاجرين وأفراد أسرهم واتفاقية حقوق الأشخاص ذوي الإعاقات. </w:t>
      </w:r>
    </w:p>
    <w:p w:rsidR="008608DA" w:rsidRPr="00A83CF9" w:rsidRDefault="003A4F40" w:rsidP="00A83CF9">
      <w:pPr>
        <w:pStyle w:val="SingleTxtGA"/>
        <w:spacing w:line="370" w:lineRule="exact"/>
        <w:rPr>
          <w:rFonts w:hint="cs"/>
          <w:spacing w:val="-4"/>
          <w:rtl/>
        </w:rPr>
      </w:pPr>
      <w:r w:rsidRPr="00A83CF9">
        <w:rPr>
          <w:rFonts w:hint="cs"/>
          <w:spacing w:val="-4"/>
          <w:rtl/>
        </w:rPr>
        <w:t>(</w:t>
      </w:r>
      <w:r w:rsidR="008608DA" w:rsidRPr="00A83CF9">
        <w:rPr>
          <w:rFonts w:hint="cs"/>
          <w:spacing w:val="-4"/>
          <w:rtl/>
        </w:rPr>
        <w:t>28</w:t>
      </w:r>
      <w:r w:rsidRPr="00A83CF9">
        <w:rPr>
          <w:rFonts w:hint="cs"/>
          <w:spacing w:val="-4"/>
          <w:rtl/>
        </w:rPr>
        <w:t>)</w:t>
      </w:r>
      <w:r w:rsidRPr="00A83CF9">
        <w:rPr>
          <w:rFonts w:hint="cs"/>
          <w:spacing w:val="-4"/>
          <w:rtl/>
        </w:rPr>
        <w:tab/>
      </w:r>
      <w:r w:rsidR="008608DA" w:rsidRPr="00A83CF9">
        <w:rPr>
          <w:rFonts w:hint="cs"/>
          <w:spacing w:val="-4"/>
          <w:rtl/>
        </w:rPr>
        <w:t xml:space="preserve">يُطلب إلى الدولة الطرف نشر التقرير المقدّم إلى اللجنة والملاحظات الختامية على نطاق واسع وباللغات المناسبة عبر المواقع الإلكترونية الرسمية ووسائل الإعلام والمنظمات غير الحكومية. </w:t>
      </w:r>
    </w:p>
    <w:p w:rsidR="008608DA" w:rsidRDefault="003A4F40" w:rsidP="003A4F40">
      <w:pPr>
        <w:pStyle w:val="SingleTxtGA"/>
        <w:rPr>
          <w:rFonts w:hint="cs"/>
          <w:rtl/>
        </w:rPr>
      </w:pPr>
      <w:r w:rsidRPr="003A4F40">
        <w:rPr>
          <w:rFonts w:hint="cs"/>
          <w:spacing w:val="-4"/>
          <w:rtl/>
        </w:rPr>
        <w:t>(</w:t>
      </w:r>
      <w:r w:rsidR="008608DA" w:rsidRPr="003A4F40">
        <w:rPr>
          <w:rFonts w:hint="cs"/>
          <w:spacing w:val="-4"/>
          <w:rtl/>
        </w:rPr>
        <w:t>29</w:t>
      </w:r>
      <w:r w:rsidRPr="003A4F40">
        <w:rPr>
          <w:rFonts w:hint="cs"/>
          <w:spacing w:val="-4"/>
          <w:rtl/>
        </w:rPr>
        <w:t>)</w:t>
      </w:r>
      <w:r w:rsidRPr="003A4F40">
        <w:rPr>
          <w:rFonts w:hint="cs"/>
          <w:spacing w:val="-4"/>
          <w:rtl/>
        </w:rPr>
        <w:tab/>
      </w:r>
      <w:r w:rsidR="008608DA" w:rsidRPr="003A4F40">
        <w:rPr>
          <w:rFonts w:hint="cs"/>
          <w:spacing w:val="-4"/>
          <w:rtl/>
        </w:rPr>
        <w:t xml:space="preserve">تطلب اللجنة إلى الدولة الطرف أن تقدم معلومات متابعة بحلول 31 أيار/مايو 2014 </w:t>
      </w:r>
      <w:r w:rsidR="008608DA">
        <w:rPr>
          <w:rFonts w:hint="cs"/>
          <w:rtl/>
        </w:rPr>
        <w:t xml:space="preserve">استجابةً لتوصيات اللجنة المتعلقة </w:t>
      </w:r>
      <w:r w:rsidRPr="003A4F40">
        <w:rPr>
          <w:rFonts w:hint="cs"/>
          <w:sz w:val="30"/>
          <w:rtl/>
        </w:rPr>
        <w:t>ب‍</w:t>
      </w:r>
      <w:r w:rsidR="008608DA">
        <w:rPr>
          <w:rFonts w:hint="cs"/>
          <w:rtl/>
        </w:rPr>
        <w:t xml:space="preserve"> </w:t>
      </w:r>
      <w:r>
        <w:rPr>
          <w:rFonts w:hint="cs"/>
          <w:rtl/>
        </w:rPr>
        <w:t>(أ)</w:t>
      </w:r>
      <w:r w:rsidR="008608DA">
        <w:rPr>
          <w:rFonts w:hint="cs"/>
          <w:rtl/>
        </w:rPr>
        <w:t xml:space="preserve"> ضمان تعزيز الضمانات القانونية للأشخاص المحتجزين</w:t>
      </w:r>
      <w:r>
        <w:rPr>
          <w:rFonts w:hint="cs"/>
          <w:rtl/>
        </w:rPr>
        <w:t>؛</w:t>
      </w:r>
      <w:r w:rsidR="008608DA">
        <w:rPr>
          <w:rFonts w:hint="cs"/>
          <w:rtl/>
        </w:rPr>
        <w:t xml:space="preserve"> و(ب) إجراء التحقيقات الفورية والنزيهة والفعالة</w:t>
      </w:r>
      <w:r>
        <w:rPr>
          <w:rFonts w:hint="cs"/>
          <w:rtl/>
        </w:rPr>
        <w:t>؛</w:t>
      </w:r>
      <w:r w:rsidR="008608DA">
        <w:rPr>
          <w:rFonts w:hint="cs"/>
          <w:rtl/>
        </w:rPr>
        <w:t xml:space="preserve"> و(ج) ملاحقة المشتبه بهم قضائياً ومعاقبة مرتكبي التعذيب أو سوء المعاملة، وفق ما تنص عليه الفقرات 10 و11 و15 من هذه الملاحظات الختامية. وفضلاً عن ذلك، تطلب اللجنة معلومات متابعة بشأن سبل الانتصاف والجبر للضحايا، وفق ما تنص عليه الفقرة 19 من هذه الملاحظات الختامية. </w:t>
      </w:r>
    </w:p>
    <w:p w:rsidR="00F5005F" w:rsidRDefault="003A4F40" w:rsidP="003A4F40">
      <w:pPr>
        <w:pStyle w:val="SingleTxtGA"/>
        <w:rPr>
          <w:rtl/>
        </w:rPr>
      </w:pPr>
      <w:r>
        <w:rPr>
          <w:rFonts w:hint="cs"/>
          <w:rtl/>
        </w:rPr>
        <w:t>(</w:t>
      </w:r>
      <w:r w:rsidR="008608DA">
        <w:rPr>
          <w:rFonts w:hint="cs"/>
          <w:rtl/>
        </w:rPr>
        <w:t>30</w:t>
      </w:r>
      <w:r>
        <w:rPr>
          <w:rFonts w:hint="cs"/>
          <w:rtl/>
        </w:rPr>
        <w:t>)</w:t>
      </w:r>
      <w:r>
        <w:rPr>
          <w:rFonts w:hint="cs"/>
          <w:rtl/>
        </w:rPr>
        <w:tab/>
      </w:r>
      <w:r w:rsidR="008608DA">
        <w:rPr>
          <w:rFonts w:hint="cs"/>
          <w:rtl/>
        </w:rPr>
        <w:t>والدولة الطرف مدعوة إلى تقديم تقريرها المقبل، وهو التقرير الدوري الثالث، بحلول</w:t>
      </w:r>
      <w:r>
        <w:rPr>
          <w:rFonts w:hint="eastAsia"/>
          <w:rtl/>
        </w:rPr>
        <w:t> </w:t>
      </w:r>
      <w:r w:rsidR="008608DA">
        <w:rPr>
          <w:rFonts w:hint="cs"/>
          <w:rtl/>
        </w:rPr>
        <w:t xml:space="preserve">31 أيار/مايو 2017. وستقدم اللجنة لهذه الغاية وفي الوقت المناسب للدولة الطرف قائمة بالقضايا قبل إعداد التقرير، معتبرة أن الدولة الطرف وافقت على تقديم تقريرها إلى اللجنة بموجب </w:t>
      </w:r>
      <w:r w:rsidR="008608DA" w:rsidRPr="00FE4CB5">
        <w:rPr>
          <w:rFonts w:hint="cs"/>
          <w:rtl/>
        </w:rPr>
        <w:t>الإجراء الاختياري المتعلق بتقديم التقارير</w:t>
      </w:r>
      <w:r w:rsidR="008608DA">
        <w:rPr>
          <w:rFonts w:hint="cs"/>
          <w:rtl/>
        </w:rPr>
        <w:t>.</w:t>
      </w:r>
    </w:p>
    <w:p w:rsidR="00EE5D7D" w:rsidRPr="003A4F40" w:rsidRDefault="00FA309D" w:rsidP="003A4F40">
      <w:pPr>
        <w:pStyle w:val="SingleTxtGA"/>
        <w:rPr>
          <w:rFonts w:hint="cs"/>
          <w:b/>
          <w:bCs/>
          <w:rtl/>
        </w:rPr>
      </w:pPr>
      <w:r>
        <w:rPr>
          <w:rFonts w:hint="cs"/>
          <w:rtl/>
        </w:rPr>
        <w:t>72</w:t>
      </w:r>
      <w:r w:rsidR="00EE5D7D">
        <w:rPr>
          <w:rFonts w:hint="cs"/>
          <w:rtl/>
        </w:rPr>
        <w:t>-</w:t>
      </w:r>
      <w:r w:rsidR="00EE5D7D">
        <w:rPr>
          <w:rFonts w:hint="cs"/>
          <w:rtl/>
        </w:rPr>
        <w:tab/>
      </w:r>
      <w:r w:rsidR="00EE5D7D" w:rsidRPr="003A4F40">
        <w:rPr>
          <w:rFonts w:hint="cs"/>
          <w:b/>
          <w:bCs/>
          <w:rtl/>
        </w:rPr>
        <w:t>كينيا</w:t>
      </w:r>
    </w:p>
    <w:p w:rsidR="00F5005F" w:rsidRPr="005F3F9E" w:rsidRDefault="003A4F40" w:rsidP="003A4F40">
      <w:pPr>
        <w:pStyle w:val="SingleTxtGA"/>
        <w:rPr>
          <w:rFonts w:hint="cs"/>
          <w:kern w:val="10"/>
          <w:rtl/>
        </w:rPr>
      </w:pPr>
      <w:r>
        <w:rPr>
          <w:rFonts w:hint="cs"/>
          <w:kern w:val="10"/>
          <w:rtl/>
          <w:lang w:val="fr-CH"/>
        </w:rPr>
        <w:t>(</w:t>
      </w:r>
      <w:r w:rsidR="00F5005F" w:rsidRPr="005F3F9E">
        <w:rPr>
          <w:rFonts w:hint="cs"/>
          <w:kern w:val="10"/>
          <w:rtl/>
          <w:lang w:val="fr-CH"/>
        </w:rPr>
        <w:t>1</w:t>
      </w:r>
      <w:r>
        <w:rPr>
          <w:rFonts w:hint="cs"/>
          <w:kern w:val="10"/>
          <w:rtl/>
          <w:lang w:val="fr-CH"/>
        </w:rPr>
        <w:t>)</w:t>
      </w:r>
      <w:r w:rsidR="00F5005F" w:rsidRPr="005F3F9E">
        <w:rPr>
          <w:rFonts w:hint="cs"/>
          <w:kern w:val="10"/>
          <w:rtl/>
          <w:lang w:val="fr-CH"/>
        </w:rPr>
        <w:tab/>
        <w:t xml:space="preserve">نظرت </w:t>
      </w:r>
      <w:r w:rsidR="00F5005F">
        <w:rPr>
          <w:rFonts w:hint="cs"/>
          <w:kern w:val="10"/>
          <w:rtl/>
          <w:lang w:val="fr-CH"/>
        </w:rPr>
        <w:t>ال</w:t>
      </w:r>
      <w:r w:rsidR="00F5005F" w:rsidRPr="005F3F9E">
        <w:rPr>
          <w:rFonts w:hint="cs"/>
          <w:kern w:val="10"/>
          <w:rtl/>
          <w:lang w:val="fr-CH"/>
        </w:rPr>
        <w:t xml:space="preserve">لجنة في تقرير </w:t>
      </w:r>
      <w:r w:rsidR="00F5005F">
        <w:rPr>
          <w:rFonts w:hint="cs"/>
          <w:kern w:val="10"/>
          <w:rtl/>
          <w:lang w:val="fr-CH"/>
        </w:rPr>
        <w:t>كينيا الثاني</w:t>
      </w:r>
      <w:r w:rsidR="00F5005F" w:rsidRPr="005F3F9E">
        <w:rPr>
          <w:rFonts w:hint="cs"/>
          <w:kern w:val="10"/>
          <w:rtl/>
          <w:lang w:val="fr-CH"/>
        </w:rPr>
        <w:t xml:space="preserve"> (</w:t>
      </w:r>
      <w:r w:rsidR="00F5005F" w:rsidRPr="005F3F9E">
        <w:rPr>
          <w:kern w:val="10"/>
        </w:rPr>
        <w:t>CAT/C/</w:t>
      </w:r>
      <w:r w:rsidR="00F5005F">
        <w:rPr>
          <w:kern w:val="10"/>
        </w:rPr>
        <w:t>KEN</w:t>
      </w:r>
      <w:r w:rsidR="00F5005F" w:rsidRPr="005F3F9E">
        <w:rPr>
          <w:kern w:val="10"/>
        </w:rPr>
        <w:t>/</w:t>
      </w:r>
      <w:r w:rsidR="00F5005F">
        <w:rPr>
          <w:kern w:val="10"/>
        </w:rPr>
        <w:t>2</w:t>
      </w:r>
      <w:r w:rsidR="00F5005F" w:rsidRPr="005F3F9E">
        <w:rPr>
          <w:rFonts w:hint="cs"/>
          <w:kern w:val="10"/>
          <w:rtl/>
        </w:rPr>
        <w:t>) في جلستيها 11</w:t>
      </w:r>
      <w:r w:rsidR="00F5005F">
        <w:rPr>
          <w:rFonts w:hint="cs"/>
          <w:kern w:val="10"/>
          <w:rtl/>
        </w:rPr>
        <w:t>46</w:t>
      </w:r>
      <w:r w:rsidR="00F5005F" w:rsidRPr="005F3F9E">
        <w:rPr>
          <w:rFonts w:hint="cs"/>
          <w:kern w:val="10"/>
          <w:rtl/>
        </w:rPr>
        <w:t xml:space="preserve"> و11</w:t>
      </w:r>
      <w:r w:rsidR="00F5005F">
        <w:rPr>
          <w:rFonts w:hint="cs"/>
          <w:kern w:val="10"/>
          <w:rtl/>
        </w:rPr>
        <w:t>49</w:t>
      </w:r>
      <w:r w:rsidR="00F5005F" w:rsidRPr="005F3F9E">
        <w:rPr>
          <w:rFonts w:hint="cs"/>
          <w:kern w:val="10"/>
          <w:rtl/>
        </w:rPr>
        <w:t xml:space="preserve"> المعقودتين يومي </w:t>
      </w:r>
      <w:r w:rsidR="00F5005F">
        <w:rPr>
          <w:rFonts w:hint="cs"/>
          <w:kern w:val="10"/>
          <w:rtl/>
        </w:rPr>
        <w:t>15</w:t>
      </w:r>
      <w:r w:rsidR="00F5005F" w:rsidRPr="005F3F9E">
        <w:rPr>
          <w:rFonts w:hint="cs"/>
          <w:kern w:val="10"/>
          <w:rtl/>
        </w:rPr>
        <w:t xml:space="preserve"> و</w:t>
      </w:r>
      <w:r w:rsidR="00F5005F">
        <w:rPr>
          <w:rFonts w:hint="cs"/>
          <w:kern w:val="10"/>
          <w:rtl/>
        </w:rPr>
        <w:t>16</w:t>
      </w:r>
      <w:r w:rsidR="00F5005F" w:rsidRPr="005F3F9E">
        <w:rPr>
          <w:rFonts w:hint="cs"/>
          <w:kern w:val="10"/>
          <w:rtl/>
        </w:rPr>
        <w:t xml:space="preserve"> </w:t>
      </w:r>
      <w:r w:rsidR="00F5005F">
        <w:rPr>
          <w:rFonts w:hint="cs"/>
          <w:kern w:val="10"/>
          <w:sz w:val="30"/>
          <w:rtl/>
        </w:rPr>
        <w:t>أيار/مايو</w:t>
      </w:r>
      <w:r w:rsidR="00F5005F">
        <w:rPr>
          <w:rFonts w:hint="cs"/>
          <w:kern w:val="10"/>
          <w:rtl/>
        </w:rPr>
        <w:t xml:space="preserve"> </w:t>
      </w:r>
      <w:r w:rsidR="00F5005F" w:rsidRPr="005F3F9E">
        <w:rPr>
          <w:rFonts w:hint="cs"/>
          <w:kern w:val="10"/>
          <w:rtl/>
        </w:rPr>
        <w:t>201</w:t>
      </w:r>
      <w:r w:rsidR="00F5005F">
        <w:rPr>
          <w:rFonts w:hint="cs"/>
          <w:kern w:val="10"/>
          <w:rtl/>
        </w:rPr>
        <w:t>3</w:t>
      </w:r>
      <w:r w:rsidR="00F5005F" w:rsidRPr="005F3F9E">
        <w:rPr>
          <w:rFonts w:hint="cs"/>
          <w:kern w:val="10"/>
          <w:rtl/>
        </w:rPr>
        <w:t xml:space="preserve"> (</w:t>
      </w:r>
      <w:r w:rsidR="00F5005F" w:rsidRPr="006D127C">
        <w:rPr>
          <w:bCs/>
        </w:rPr>
        <w:t>CAT/C/SR.1146</w:t>
      </w:r>
      <w:r w:rsidR="00F5005F" w:rsidRPr="005F3F9E">
        <w:rPr>
          <w:rFonts w:hint="cs"/>
          <w:kern w:val="10"/>
          <w:rtl/>
        </w:rPr>
        <w:t xml:space="preserve"> و</w:t>
      </w:r>
      <w:r w:rsidR="00F5005F" w:rsidRPr="006D127C">
        <w:rPr>
          <w:bCs/>
        </w:rPr>
        <w:t>CAT/C/SR.114</w:t>
      </w:r>
      <w:r w:rsidR="00F5005F">
        <w:rPr>
          <w:bCs/>
        </w:rPr>
        <w:t>9</w:t>
      </w:r>
      <w:r w:rsidR="00F5005F" w:rsidRPr="005F3F9E">
        <w:rPr>
          <w:rFonts w:hint="cs"/>
          <w:kern w:val="10"/>
          <w:rtl/>
        </w:rPr>
        <w:t xml:space="preserve">)، واعتمدت </w:t>
      </w:r>
      <w:r w:rsidR="00F5005F">
        <w:rPr>
          <w:rFonts w:hint="cs"/>
          <w:kern w:val="10"/>
          <w:rtl/>
        </w:rPr>
        <w:t>الاستنتاجات والتوصيات</w:t>
      </w:r>
      <w:r w:rsidR="00F5005F" w:rsidRPr="005F3F9E">
        <w:rPr>
          <w:rFonts w:hint="cs"/>
          <w:kern w:val="10"/>
          <w:rtl/>
        </w:rPr>
        <w:t xml:space="preserve"> التالية في جلست</w:t>
      </w:r>
      <w:r w:rsidR="00F5005F">
        <w:rPr>
          <w:rFonts w:hint="cs"/>
          <w:kern w:val="10"/>
          <w:rtl/>
        </w:rPr>
        <w:t>ي</w:t>
      </w:r>
      <w:r w:rsidR="00F5005F" w:rsidRPr="005F3F9E">
        <w:rPr>
          <w:rFonts w:hint="cs"/>
          <w:kern w:val="10"/>
          <w:rtl/>
        </w:rPr>
        <w:t>ها 11</w:t>
      </w:r>
      <w:r w:rsidR="00F5005F">
        <w:rPr>
          <w:rFonts w:hint="cs"/>
          <w:kern w:val="10"/>
          <w:rtl/>
        </w:rPr>
        <w:t>64</w:t>
      </w:r>
      <w:r w:rsidR="00F5005F" w:rsidRPr="005F3F9E">
        <w:rPr>
          <w:rFonts w:hint="cs"/>
          <w:kern w:val="10"/>
          <w:rtl/>
        </w:rPr>
        <w:t xml:space="preserve"> </w:t>
      </w:r>
      <w:r w:rsidR="00F5005F">
        <w:rPr>
          <w:rFonts w:hint="cs"/>
          <w:kern w:val="10"/>
          <w:rtl/>
        </w:rPr>
        <w:t xml:space="preserve">و1165 المعقودتين يوم 29 أيار/مايو 2013 </w:t>
      </w:r>
      <w:r w:rsidR="00F5005F" w:rsidRPr="005F3F9E">
        <w:rPr>
          <w:rFonts w:hint="cs"/>
          <w:kern w:val="10"/>
          <w:rtl/>
        </w:rPr>
        <w:t>(</w:t>
      </w:r>
      <w:r w:rsidR="00F5005F" w:rsidRPr="006D127C">
        <w:rPr>
          <w:bCs/>
        </w:rPr>
        <w:t>CAT/C/SR.11</w:t>
      </w:r>
      <w:r w:rsidR="00F5005F">
        <w:rPr>
          <w:bCs/>
        </w:rPr>
        <w:t>64</w:t>
      </w:r>
      <w:r w:rsidR="00F5005F" w:rsidRPr="005F3F9E">
        <w:rPr>
          <w:rFonts w:hint="cs"/>
          <w:kern w:val="10"/>
          <w:rtl/>
        </w:rPr>
        <w:t xml:space="preserve"> و</w:t>
      </w:r>
      <w:r w:rsidR="00F5005F" w:rsidRPr="006D127C">
        <w:rPr>
          <w:bCs/>
        </w:rPr>
        <w:t>CAT/C/SR.11</w:t>
      </w:r>
      <w:r w:rsidR="00F5005F">
        <w:rPr>
          <w:bCs/>
        </w:rPr>
        <w:t>65</w:t>
      </w:r>
      <w:r w:rsidR="00F5005F" w:rsidRPr="005F3F9E">
        <w:rPr>
          <w:rFonts w:hint="cs"/>
          <w:kern w:val="10"/>
          <w:rtl/>
        </w:rPr>
        <w:t>).</w:t>
      </w:r>
    </w:p>
    <w:p w:rsidR="00F5005F" w:rsidRPr="003A4F40" w:rsidRDefault="00A83CF9" w:rsidP="00A83CF9">
      <w:pPr>
        <w:pStyle w:val="H23GA"/>
        <w:tabs>
          <w:tab w:val="left" w:pos="1940"/>
        </w:tabs>
        <w:rPr>
          <w:rFonts w:hint="cs"/>
          <w:rtl/>
        </w:rPr>
      </w:pPr>
      <w:r>
        <w:rPr>
          <w:rFonts w:hint="cs"/>
          <w:rtl/>
        </w:rPr>
        <w:tab/>
      </w:r>
      <w:r>
        <w:rPr>
          <w:rFonts w:hint="cs"/>
          <w:rtl/>
        </w:rPr>
        <w:tab/>
      </w:r>
      <w:r w:rsidR="00F5005F" w:rsidRPr="003A4F40">
        <w:rPr>
          <w:rFonts w:hint="cs"/>
          <w:rtl/>
        </w:rPr>
        <w:t>ألف-</w:t>
      </w:r>
      <w:r w:rsidR="00F5005F" w:rsidRPr="003A4F40">
        <w:rPr>
          <w:rFonts w:hint="cs"/>
          <w:rtl/>
        </w:rPr>
        <w:tab/>
        <w:t>مقدمة</w:t>
      </w:r>
    </w:p>
    <w:p w:rsidR="00F5005F" w:rsidRPr="005F3F9E" w:rsidRDefault="003A4F40" w:rsidP="00464673">
      <w:pPr>
        <w:pStyle w:val="SingleTxtGA"/>
        <w:spacing w:line="366" w:lineRule="exact"/>
        <w:rPr>
          <w:rFonts w:hint="cs"/>
          <w:rtl/>
        </w:rPr>
      </w:pPr>
      <w:r w:rsidRPr="00464673">
        <w:rPr>
          <w:rFonts w:hint="cs"/>
          <w:spacing w:val="-4"/>
          <w:rtl/>
        </w:rPr>
        <w:t>(</w:t>
      </w:r>
      <w:r w:rsidR="00F5005F" w:rsidRPr="00464673">
        <w:rPr>
          <w:rFonts w:hint="cs"/>
          <w:spacing w:val="-4"/>
          <w:rtl/>
        </w:rPr>
        <w:t>2</w:t>
      </w:r>
      <w:r w:rsidRPr="00464673">
        <w:rPr>
          <w:rFonts w:hint="cs"/>
          <w:spacing w:val="-4"/>
          <w:rtl/>
        </w:rPr>
        <w:t>)</w:t>
      </w:r>
      <w:r w:rsidR="00F5005F" w:rsidRPr="00464673">
        <w:rPr>
          <w:rFonts w:hint="cs"/>
          <w:spacing w:val="-4"/>
          <w:rtl/>
        </w:rPr>
        <w:tab/>
        <w:t>تعرب اللجنة عن تقديرها للدولة الطرف لأنها وافقت على الإجراء الاختياري لتقديم</w:t>
      </w:r>
      <w:r w:rsidR="00464673">
        <w:rPr>
          <w:rFonts w:hint="eastAsia"/>
          <w:spacing w:val="-4"/>
          <w:rtl/>
        </w:rPr>
        <w:t> </w:t>
      </w:r>
      <w:r w:rsidR="00F5005F" w:rsidRPr="00464673">
        <w:rPr>
          <w:rFonts w:hint="cs"/>
          <w:spacing w:val="-4"/>
          <w:rtl/>
        </w:rPr>
        <w:t>التقارير وقدمت تقريرها الدوري بموجب هذا الإجراء الذي من شأنه تحسين التعاون بين الدولة الطرف واللجنة والتركيز على دراسة التقرير وعلى الحوار مع الوفد. وترحب اللجنة أيضاً بالوثيقة الأساسية التي قدمتها الدولة الطرف عام 2011</w:t>
      </w:r>
      <w:r w:rsidR="00F5005F">
        <w:rPr>
          <w:rFonts w:hint="cs"/>
          <w:rtl/>
        </w:rPr>
        <w:t xml:space="preserve"> (</w:t>
      </w:r>
      <w:r w:rsidR="00F5005F" w:rsidRPr="009E183F">
        <w:t>HRI/CORE/KEN/2011</w:t>
      </w:r>
      <w:r w:rsidR="00F5005F">
        <w:rPr>
          <w:rFonts w:hint="cs"/>
          <w:rtl/>
        </w:rPr>
        <w:t>)</w:t>
      </w:r>
      <w:r w:rsidR="00F5005F" w:rsidRPr="005F3F9E">
        <w:rPr>
          <w:rFonts w:hint="cs"/>
          <w:rtl/>
        </w:rPr>
        <w:t>.</w:t>
      </w:r>
    </w:p>
    <w:p w:rsidR="00F5005F" w:rsidRPr="005F3F9E" w:rsidRDefault="003A4F40" w:rsidP="00464673">
      <w:pPr>
        <w:pStyle w:val="SingleTxtGA"/>
        <w:spacing w:line="366" w:lineRule="exact"/>
        <w:rPr>
          <w:rFonts w:hint="cs"/>
          <w:rtl/>
        </w:rPr>
      </w:pPr>
      <w:r>
        <w:rPr>
          <w:rFonts w:hint="cs"/>
          <w:rtl/>
        </w:rPr>
        <w:t>(</w:t>
      </w:r>
      <w:r w:rsidR="00F5005F" w:rsidRPr="005F3F9E">
        <w:rPr>
          <w:rFonts w:hint="cs"/>
          <w:rtl/>
        </w:rPr>
        <w:t>3</w:t>
      </w:r>
      <w:r>
        <w:rPr>
          <w:rFonts w:hint="cs"/>
          <w:rtl/>
        </w:rPr>
        <w:t>)</w:t>
      </w:r>
      <w:r w:rsidR="00F5005F" w:rsidRPr="005F3F9E">
        <w:rPr>
          <w:rFonts w:hint="cs"/>
          <w:rtl/>
        </w:rPr>
        <w:tab/>
        <w:t>وت</w:t>
      </w:r>
      <w:r w:rsidR="00F5005F">
        <w:rPr>
          <w:rFonts w:hint="cs"/>
          <w:rtl/>
        </w:rPr>
        <w:t>بدي</w:t>
      </w:r>
      <w:r w:rsidR="00F5005F" w:rsidRPr="005F3F9E">
        <w:rPr>
          <w:rFonts w:hint="cs"/>
          <w:rtl/>
        </w:rPr>
        <w:t xml:space="preserve"> اللجنة تقديرها للحوار </w:t>
      </w:r>
      <w:r w:rsidR="00F5005F">
        <w:rPr>
          <w:rFonts w:hint="cs"/>
          <w:rtl/>
        </w:rPr>
        <w:t>الصريح</w:t>
      </w:r>
      <w:r w:rsidR="00F5005F" w:rsidRPr="005F3F9E">
        <w:rPr>
          <w:rFonts w:hint="cs"/>
          <w:rtl/>
        </w:rPr>
        <w:t xml:space="preserve"> الذي أجرته مع وفد الدولة الطرف الرفيع المستوى </w:t>
      </w:r>
      <w:r w:rsidR="00F5005F">
        <w:rPr>
          <w:rFonts w:hint="cs"/>
          <w:rtl/>
        </w:rPr>
        <w:t>الذي شمل</w:t>
      </w:r>
      <w:r w:rsidR="00F5005F" w:rsidRPr="00A22792">
        <w:rPr>
          <w:rtl/>
        </w:rPr>
        <w:t xml:space="preserve"> </w:t>
      </w:r>
      <w:r w:rsidR="00F5005F">
        <w:rPr>
          <w:rFonts w:hint="cs"/>
          <w:rtl/>
        </w:rPr>
        <w:t>العديد من ال</w:t>
      </w:r>
      <w:r w:rsidR="00F5005F" w:rsidRPr="00A22792">
        <w:rPr>
          <w:rtl/>
        </w:rPr>
        <w:t xml:space="preserve">مجالات موضع </w:t>
      </w:r>
      <w:r w:rsidR="00F5005F">
        <w:rPr>
          <w:rFonts w:hint="cs"/>
          <w:rtl/>
        </w:rPr>
        <w:t>ال</w:t>
      </w:r>
      <w:r w:rsidR="00F5005F" w:rsidRPr="00A22792">
        <w:rPr>
          <w:rtl/>
        </w:rPr>
        <w:t xml:space="preserve">اهتمام </w:t>
      </w:r>
      <w:r w:rsidR="00F5005F">
        <w:rPr>
          <w:rFonts w:hint="cs"/>
          <w:rtl/>
        </w:rPr>
        <w:t xml:space="preserve">بموجب </w:t>
      </w:r>
      <w:r w:rsidR="00F5005F" w:rsidRPr="00A22792">
        <w:rPr>
          <w:rtl/>
        </w:rPr>
        <w:t>الاتفاقية</w:t>
      </w:r>
      <w:r w:rsidR="00F5005F" w:rsidRPr="005F3F9E">
        <w:rPr>
          <w:rFonts w:hint="cs"/>
          <w:rtl/>
        </w:rPr>
        <w:t>.</w:t>
      </w:r>
    </w:p>
    <w:p w:rsidR="00F5005F" w:rsidRPr="003A4F40" w:rsidRDefault="00A83CF9" w:rsidP="00464673">
      <w:pPr>
        <w:pStyle w:val="H23GA"/>
        <w:tabs>
          <w:tab w:val="left" w:pos="1954"/>
        </w:tabs>
        <w:spacing w:line="366" w:lineRule="exact"/>
        <w:rPr>
          <w:rFonts w:hint="cs"/>
          <w:rtl/>
        </w:rPr>
      </w:pPr>
      <w:r>
        <w:rPr>
          <w:rFonts w:hint="cs"/>
          <w:rtl/>
        </w:rPr>
        <w:tab/>
      </w:r>
      <w:r>
        <w:rPr>
          <w:rFonts w:hint="cs"/>
          <w:rtl/>
        </w:rPr>
        <w:tab/>
      </w:r>
      <w:r w:rsidR="00F5005F" w:rsidRPr="003A4F40">
        <w:rPr>
          <w:rFonts w:hint="cs"/>
          <w:rtl/>
        </w:rPr>
        <w:t>باء-</w:t>
      </w:r>
      <w:r w:rsidR="00F5005F" w:rsidRPr="003A4F40">
        <w:rPr>
          <w:rFonts w:hint="cs"/>
          <w:rtl/>
        </w:rPr>
        <w:tab/>
        <w:t>الجوانب الإيجابية</w:t>
      </w:r>
    </w:p>
    <w:p w:rsidR="00F5005F" w:rsidRPr="005F3F9E" w:rsidRDefault="003A4F40" w:rsidP="00464673">
      <w:pPr>
        <w:pStyle w:val="SingleTxtGA"/>
        <w:spacing w:line="366" w:lineRule="exact"/>
        <w:rPr>
          <w:rFonts w:hint="cs"/>
          <w:rtl/>
        </w:rPr>
      </w:pPr>
      <w:r>
        <w:rPr>
          <w:rFonts w:hint="cs"/>
          <w:rtl/>
        </w:rPr>
        <w:t>(</w:t>
      </w:r>
      <w:r w:rsidR="00F5005F" w:rsidRPr="005F3F9E">
        <w:rPr>
          <w:rFonts w:hint="cs"/>
          <w:rtl/>
        </w:rPr>
        <w:t>4</w:t>
      </w:r>
      <w:r>
        <w:rPr>
          <w:rFonts w:hint="cs"/>
          <w:rtl/>
        </w:rPr>
        <w:t>)</w:t>
      </w:r>
      <w:r w:rsidR="00F5005F" w:rsidRPr="005F3F9E">
        <w:rPr>
          <w:rFonts w:hint="cs"/>
          <w:rtl/>
        </w:rPr>
        <w:tab/>
        <w:t xml:space="preserve">ترحب اللجنة </w:t>
      </w:r>
      <w:r w:rsidR="00F5005F">
        <w:rPr>
          <w:rFonts w:hint="cs"/>
          <w:rtl/>
        </w:rPr>
        <w:t>بالجهود التي تبذلها</w:t>
      </w:r>
      <w:r w:rsidR="00F5005F" w:rsidRPr="005F3F9E">
        <w:rPr>
          <w:rFonts w:hint="cs"/>
          <w:rtl/>
        </w:rPr>
        <w:t xml:space="preserve"> الدولة الطرف </w:t>
      </w:r>
      <w:r w:rsidR="00F5005F">
        <w:rPr>
          <w:rFonts w:hint="cs"/>
          <w:rtl/>
        </w:rPr>
        <w:t>لتدعيم إطارها القانوني والمؤسسي من أجل ضمان حماية حقوق الإنسان للجميع، وتشمل تلك الجهود في جملة أمور</w:t>
      </w:r>
      <w:r w:rsidR="00F5005F" w:rsidRPr="005F3F9E">
        <w:rPr>
          <w:rFonts w:hint="cs"/>
          <w:rtl/>
        </w:rPr>
        <w:t xml:space="preserve"> ما يلي:</w:t>
      </w:r>
    </w:p>
    <w:p w:rsidR="00F5005F" w:rsidRDefault="00F5005F" w:rsidP="00464673">
      <w:pPr>
        <w:pStyle w:val="SingleTxtGA"/>
        <w:spacing w:line="366" w:lineRule="exact"/>
        <w:rPr>
          <w:rFonts w:hint="cs"/>
          <w:rtl/>
        </w:rPr>
      </w:pPr>
      <w:r>
        <w:rPr>
          <w:rFonts w:hint="cs"/>
          <w:rtl/>
        </w:rPr>
        <w:tab/>
        <w:t>(أ)</w:t>
      </w:r>
      <w:r>
        <w:rPr>
          <w:rFonts w:hint="cs"/>
          <w:rtl/>
        </w:rPr>
        <w:tab/>
        <w:t>وضع دستور عام 2010 الذي شمل على وجه الخصوص ما يلي:</w:t>
      </w:r>
    </w:p>
    <w:p w:rsidR="00F5005F" w:rsidRPr="00D37BEC" w:rsidRDefault="00F5005F" w:rsidP="00464673">
      <w:pPr>
        <w:pStyle w:val="Roman1GA"/>
        <w:tabs>
          <w:tab w:val="clear" w:pos="2041"/>
          <w:tab w:val="left" w:pos="2598"/>
        </w:tabs>
        <w:bidi/>
        <w:spacing w:line="366" w:lineRule="exact"/>
        <w:ind w:left="2598"/>
        <w:jc w:val="lowKashida"/>
        <w:rPr>
          <w:rFonts w:hint="cs"/>
          <w:spacing w:val="0"/>
          <w:kern w:val="0"/>
          <w:rtl/>
        </w:rPr>
      </w:pPr>
      <w:r w:rsidRPr="00D37BEC">
        <w:rPr>
          <w:rFonts w:hint="cs"/>
          <w:spacing w:val="0"/>
          <w:kern w:val="0"/>
          <w:rtl/>
        </w:rPr>
        <w:t>شرعة الحقوق الشاملة التي تنص على الحق الذي لا يجوز الانتقاص منه في "عدم التعرض للتعذيب وضروب المعاملة أو العقوبة القاسية أو اللاإنسانية أو المهينة" (المادة 25(أ))؛</w:t>
      </w:r>
    </w:p>
    <w:p w:rsidR="00F5005F" w:rsidRPr="00D37BEC" w:rsidRDefault="00F5005F" w:rsidP="00464673">
      <w:pPr>
        <w:pStyle w:val="Roman1GA"/>
        <w:tabs>
          <w:tab w:val="clear" w:pos="2041"/>
          <w:tab w:val="left" w:pos="2598"/>
        </w:tabs>
        <w:bidi/>
        <w:spacing w:line="366" w:lineRule="exact"/>
        <w:ind w:left="2598"/>
        <w:jc w:val="lowKashida"/>
        <w:rPr>
          <w:rFonts w:hint="cs"/>
          <w:spacing w:val="0"/>
          <w:kern w:val="0"/>
          <w:rtl/>
        </w:rPr>
      </w:pPr>
      <w:r w:rsidRPr="00D37BEC">
        <w:rPr>
          <w:rFonts w:hint="cs"/>
          <w:spacing w:val="0"/>
          <w:kern w:val="0"/>
          <w:rtl/>
        </w:rPr>
        <w:t>مبدأ إدراج المعاهدات الدولية (الفقرة 6 من المادة 2) والقواعد العامة التي ينص عليها القانون الدولي (الفقرة 6 من المادة 2) بما في ذلك القانون الدولي العرفي بصورة مباشرة في الإطار القانوني المحلي للدولة الطرف؛</w:t>
      </w:r>
    </w:p>
    <w:p w:rsidR="00F5005F" w:rsidRPr="005F3F9E" w:rsidRDefault="00F5005F" w:rsidP="00464673">
      <w:pPr>
        <w:pStyle w:val="SingleTxtGA"/>
        <w:spacing w:line="366" w:lineRule="exact"/>
        <w:rPr>
          <w:rFonts w:hint="cs"/>
          <w:rtl/>
        </w:rPr>
      </w:pPr>
      <w:r w:rsidRPr="005F3F9E">
        <w:rPr>
          <w:rFonts w:hint="cs"/>
          <w:rtl/>
        </w:rPr>
        <w:tab/>
        <w:t>(ب)</w:t>
      </w:r>
      <w:r w:rsidRPr="005F3F9E">
        <w:rPr>
          <w:rFonts w:hint="cs"/>
          <w:rtl/>
        </w:rPr>
        <w:tab/>
      </w:r>
      <w:r>
        <w:rPr>
          <w:rFonts w:hint="cs"/>
          <w:rtl/>
        </w:rPr>
        <w:t>التصديق على شرعة المعاهدات في عام 2012</w:t>
      </w:r>
      <w:r w:rsidRPr="005F3F9E">
        <w:rPr>
          <w:rFonts w:hint="cs"/>
          <w:rtl/>
        </w:rPr>
        <w:t>؛</w:t>
      </w:r>
    </w:p>
    <w:p w:rsidR="00F5005F" w:rsidRDefault="00F5005F" w:rsidP="00464673">
      <w:pPr>
        <w:pStyle w:val="SingleTxtGA"/>
        <w:spacing w:line="366" w:lineRule="exact"/>
        <w:rPr>
          <w:rFonts w:hint="cs"/>
          <w:rtl/>
        </w:rPr>
      </w:pPr>
      <w:r w:rsidRPr="005F3F9E">
        <w:rPr>
          <w:rFonts w:hint="cs"/>
          <w:rtl/>
        </w:rPr>
        <w:tab/>
        <w:t>(ج)</w:t>
      </w:r>
      <w:r w:rsidRPr="005F3F9E">
        <w:rPr>
          <w:rFonts w:hint="cs"/>
          <w:rtl/>
        </w:rPr>
        <w:tab/>
      </w:r>
      <w:r>
        <w:rPr>
          <w:rFonts w:hint="cs"/>
          <w:rtl/>
        </w:rPr>
        <w:t xml:space="preserve">سن قانون </w:t>
      </w:r>
      <w:r>
        <w:rPr>
          <w:rFonts w:hint="cs"/>
          <w:rtl/>
          <w:lang/>
        </w:rPr>
        <w:t>مجلس فرز القضاة والعاملين في مجال القضاء لعام 2011 ومواصلة الإصلاح القضائي بما في ذلك إنشاء مكتب مدير النيابة العامة؛</w:t>
      </w:r>
    </w:p>
    <w:p w:rsidR="00F5005F" w:rsidRDefault="00F5005F" w:rsidP="00464673">
      <w:pPr>
        <w:pStyle w:val="SingleTxtGA"/>
        <w:spacing w:line="366" w:lineRule="exact"/>
        <w:rPr>
          <w:rFonts w:hint="cs"/>
          <w:rtl/>
        </w:rPr>
      </w:pPr>
      <w:r>
        <w:rPr>
          <w:rFonts w:hint="cs"/>
          <w:rtl/>
        </w:rPr>
        <w:tab/>
        <w:t>(د)</w:t>
      </w:r>
      <w:r>
        <w:rPr>
          <w:rFonts w:hint="cs"/>
          <w:rtl/>
        </w:rPr>
        <w:tab/>
        <w:t>سن قانون اللجنة الوطنية للشؤون الجنسانية والمساواة في عام 2011؛</w:t>
      </w:r>
    </w:p>
    <w:p w:rsidR="00F5005F" w:rsidRPr="005F3F9E" w:rsidRDefault="00F5005F" w:rsidP="00464673">
      <w:pPr>
        <w:pStyle w:val="SingleTxtGA"/>
        <w:spacing w:line="366" w:lineRule="exact"/>
        <w:rPr>
          <w:rFonts w:hint="cs"/>
          <w:rtl/>
        </w:rPr>
      </w:pPr>
      <w:r>
        <w:rPr>
          <w:rFonts w:hint="cs"/>
          <w:rtl/>
        </w:rPr>
        <w:tab/>
        <w:t>(ه‍(</w:t>
      </w:r>
      <w:r>
        <w:rPr>
          <w:rFonts w:hint="cs"/>
          <w:rtl/>
        </w:rPr>
        <w:tab/>
        <w:t xml:space="preserve">سن قانون </w:t>
      </w:r>
      <w:r w:rsidRPr="007A4633">
        <w:rPr>
          <w:rFonts w:hint="cs"/>
          <w:rtl/>
          <w:lang w:val="en-GB"/>
        </w:rPr>
        <w:t xml:space="preserve">اللجنة المستقلة </w:t>
      </w:r>
      <w:r>
        <w:rPr>
          <w:rFonts w:hint="cs"/>
          <w:rtl/>
          <w:lang w:val="en-GB"/>
        </w:rPr>
        <w:t>المعنية با</w:t>
      </w:r>
      <w:r w:rsidRPr="007A4633">
        <w:rPr>
          <w:rFonts w:hint="cs"/>
          <w:rtl/>
          <w:lang w:val="en-GB"/>
        </w:rPr>
        <w:t>لانتخابات والحدود</w:t>
      </w:r>
      <w:r>
        <w:rPr>
          <w:rFonts w:hint="cs"/>
          <w:rtl/>
          <w:lang w:val="en-GB"/>
        </w:rPr>
        <w:t xml:space="preserve"> في عام 2011.</w:t>
      </w:r>
    </w:p>
    <w:p w:rsidR="00F5005F" w:rsidRPr="005F3F9E" w:rsidRDefault="00D37BEC" w:rsidP="00464673">
      <w:pPr>
        <w:pStyle w:val="SingleTxtGA"/>
        <w:spacing w:line="366" w:lineRule="exact"/>
        <w:rPr>
          <w:rFonts w:hint="cs"/>
          <w:rtl/>
        </w:rPr>
      </w:pPr>
      <w:r>
        <w:rPr>
          <w:rFonts w:hint="cs"/>
          <w:rtl/>
        </w:rPr>
        <w:t>(</w:t>
      </w:r>
      <w:r w:rsidR="00F5005F" w:rsidRPr="005F3F9E">
        <w:rPr>
          <w:rFonts w:hint="cs"/>
          <w:rtl/>
        </w:rPr>
        <w:t>5</w:t>
      </w:r>
      <w:r>
        <w:rPr>
          <w:rFonts w:hint="cs"/>
          <w:rtl/>
        </w:rPr>
        <w:t>)</w:t>
      </w:r>
      <w:r w:rsidR="00F5005F" w:rsidRPr="005F3F9E">
        <w:rPr>
          <w:rFonts w:hint="cs"/>
          <w:rtl/>
        </w:rPr>
        <w:tab/>
        <w:t xml:space="preserve">وترحب اللجنة أيضاً </w:t>
      </w:r>
      <w:r w:rsidR="00F5005F">
        <w:rPr>
          <w:rFonts w:hint="cs"/>
          <w:rtl/>
        </w:rPr>
        <w:t>بالتزام الوفد بدعوة المقرر الخاص المعني بمسألة التعذيب وغيره من ضروب المعاملة أو العقوبة القاسية أو اللاإنسانية أو المهينة إلى زيارة كينيا.</w:t>
      </w:r>
    </w:p>
    <w:p w:rsidR="00F5005F" w:rsidRPr="00D37BEC" w:rsidRDefault="00A83CF9" w:rsidP="00464673">
      <w:pPr>
        <w:pStyle w:val="H23GA"/>
        <w:tabs>
          <w:tab w:val="left" w:pos="1926"/>
        </w:tabs>
        <w:spacing w:line="366" w:lineRule="exact"/>
        <w:rPr>
          <w:rFonts w:hint="cs"/>
          <w:rtl/>
        </w:rPr>
      </w:pPr>
      <w:r>
        <w:rPr>
          <w:rFonts w:hint="cs"/>
          <w:rtl/>
        </w:rPr>
        <w:tab/>
      </w:r>
      <w:r>
        <w:rPr>
          <w:rFonts w:hint="cs"/>
          <w:rtl/>
        </w:rPr>
        <w:tab/>
      </w:r>
      <w:r w:rsidR="00F5005F" w:rsidRPr="00D37BEC">
        <w:rPr>
          <w:rFonts w:hint="cs"/>
          <w:rtl/>
        </w:rPr>
        <w:t>جيم-</w:t>
      </w:r>
      <w:r w:rsidR="00F5005F" w:rsidRPr="00D37BEC">
        <w:rPr>
          <w:rFonts w:hint="cs"/>
          <w:rtl/>
        </w:rPr>
        <w:tab/>
        <w:t>دواعي القلق الرئيسية والتوصيات</w:t>
      </w:r>
    </w:p>
    <w:p w:rsidR="00F5005F" w:rsidRPr="007B4C23" w:rsidRDefault="00F5005F" w:rsidP="00464673">
      <w:pPr>
        <w:pStyle w:val="H23GA"/>
        <w:spacing w:line="366" w:lineRule="exact"/>
        <w:rPr>
          <w:rFonts w:hint="cs"/>
          <w:rtl/>
        </w:rPr>
      </w:pPr>
      <w:r w:rsidRPr="005F3F9E">
        <w:rPr>
          <w:rFonts w:hint="cs"/>
          <w:rtl/>
        </w:rPr>
        <w:tab/>
      </w:r>
      <w:r w:rsidRPr="005F3F9E">
        <w:rPr>
          <w:rFonts w:hint="cs"/>
          <w:rtl/>
        </w:rPr>
        <w:tab/>
      </w:r>
      <w:r w:rsidRPr="007B4C23">
        <w:rPr>
          <w:rFonts w:hint="cs"/>
          <w:rtl/>
        </w:rPr>
        <w:t>تعريف التعذيب وفرض عقوبات مناسبة على أعمال التعذيب</w:t>
      </w:r>
    </w:p>
    <w:p w:rsidR="00F5005F" w:rsidRPr="005F3F9E" w:rsidRDefault="00D37BEC" w:rsidP="00464673">
      <w:pPr>
        <w:pStyle w:val="SingleTxtGA"/>
        <w:spacing w:line="366" w:lineRule="exact"/>
        <w:rPr>
          <w:rFonts w:hint="cs"/>
          <w:rtl/>
        </w:rPr>
      </w:pPr>
      <w:r>
        <w:rPr>
          <w:rFonts w:hint="cs"/>
          <w:rtl/>
        </w:rPr>
        <w:t>(</w:t>
      </w:r>
      <w:r w:rsidR="00F5005F" w:rsidRPr="007B4C23">
        <w:rPr>
          <w:rFonts w:hint="cs"/>
          <w:rtl/>
        </w:rPr>
        <w:t>6</w:t>
      </w:r>
      <w:r>
        <w:rPr>
          <w:rFonts w:hint="cs"/>
          <w:rtl/>
        </w:rPr>
        <w:t>)</w:t>
      </w:r>
      <w:r w:rsidR="00F5005F" w:rsidRPr="007B4C23">
        <w:rPr>
          <w:rFonts w:hint="cs"/>
          <w:rtl/>
        </w:rPr>
        <w:tab/>
        <w:t>تلاحظ اللجنة أن قانون الشرطة الوطنية (2011) يجرّم أعمال التعذيب وسوء المعاملة التي يرتكبها</w:t>
      </w:r>
      <w:r w:rsidR="00F5005F">
        <w:rPr>
          <w:rFonts w:hint="cs"/>
          <w:rtl/>
        </w:rPr>
        <w:t xml:space="preserve"> ضباط الشرطة وينص على فرض عقوبات مناسبة، لكنها لا تزال تشعر بقلق شديد لأن مشروع قانون منع التعذيب (2011) لم يسن بعد </w:t>
      </w:r>
      <w:r w:rsidR="00F5005F" w:rsidRPr="005F3F9E">
        <w:rPr>
          <w:rFonts w:hint="cs"/>
          <w:rtl/>
        </w:rPr>
        <w:t>(الماد</w:t>
      </w:r>
      <w:r w:rsidR="00F5005F">
        <w:rPr>
          <w:rFonts w:hint="cs"/>
          <w:rtl/>
        </w:rPr>
        <w:t>تان</w:t>
      </w:r>
      <w:r w:rsidR="00F5005F" w:rsidRPr="005F3F9E">
        <w:rPr>
          <w:rFonts w:hint="cs"/>
          <w:rtl/>
        </w:rPr>
        <w:t xml:space="preserve"> </w:t>
      </w:r>
      <w:r w:rsidR="00F5005F">
        <w:rPr>
          <w:rFonts w:hint="cs"/>
          <w:rtl/>
        </w:rPr>
        <w:t>1 و4</w:t>
      </w:r>
      <w:r w:rsidR="00F5005F" w:rsidRPr="005F3F9E">
        <w:rPr>
          <w:rFonts w:hint="cs"/>
          <w:rtl/>
        </w:rPr>
        <w:t>).</w:t>
      </w:r>
    </w:p>
    <w:p w:rsidR="00F5005F" w:rsidRPr="00274609" w:rsidRDefault="00F5005F" w:rsidP="00F5005F">
      <w:pPr>
        <w:pStyle w:val="SingleTxtGA"/>
        <w:rPr>
          <w:rFonts w:hint="cs"/>
          <w:b/>
          <w:bCs/>
          <w:rtl/>
        </w:rPr>
      </w:pPr>
      <w:r w:rsidRPr="00274609">
        <w:rPr>
          <w:rFonts w:hint="cs"/>
          <w:b/>
          <w:bCs/>
          <w:rtl/>
        </w:rPr>
        <w:tab/>
        <w:t>بالنظر إلى أن الدولة الطرف صدقت على الاتفاقية في عام 1997، تحث اللجنة الدولة الطرف على طرح مشروع قانون منع التعذيب (2011) للبحث على وجه السرعة في البرلمان حتى يصبح القانون المعمول به هو الأحكام الواردة في مشروع القانون التي تنص على تعريف شامل للتعذيب وفقاً للمادة 1 من الاتفاقية وتفرض عقوبات مناسبة على جميع أعمال التعذيب.</w:t>
      </w:r>
    </w:p>
    <w:p w:rsidR="00F5005F" w:rsidRPr="005F3F9E" w:rsidRDefault="00D37BEC" w:rsidP="00D37BEC">
      <w:pPr>
        <w:pStyle w:val="SingleTxtGA"/>
        <w:rPr>
          <w:rFonts w:hint="cs"/>
          <w:rtl/>
        </w:rPr>
      </w:pPr>
      <w:r>
        <w:rPr>
          <w:rFonts w:hint="cs"/>
          <w:rtl/>
        </w:rPr>
        <w:t>(</w:t>
      </w:r>
      <w:r w:rsidR="00F5005F" w:rsidRPr="005F3F9E">
        <w:rPr>
          <w:rFonts w:hint="cs"/>
          <w:rtl/>
        </w:rPr>
        <w:t>7</w:t>
      </w:r>
      <w:r>
        <w:rPr>
          <w:rFonts w:hint="cs"/>
          <w:rtl/>
        </w:rPr>
        <w:t>)</w:t>
      </w:r>
      <w:r w:rsidR="00F5005F" w:rsidRPr="005F3F9E">
        <w:rPr>
          <w:rFonts w:hint="cs"/>
          <w:rtl/>
        </w:rPr>
        <w:tab/>
      </w:r>
      <w:r w:rsidR="00F5005F">
        <w:rPr>
          <w:rFonts w:hint="cs"/>
          <w:rtl/>
        </w:rPr>
        <w:t>وتعرب</w:t>
      </w:r>
      <w:r w:rsidR="00F5005F" w:rsidRPr="005F3F9E">
        <w:rPr>
          <w:rFonts w:hint="cs"/>
          <w:rtl/>
        </w:rPr>
        <w:t xml:space="preserve"> اللجنة </w:t>
      </w:r>
      <w:r w:rsidR="00F5005F">
        <w:rPr>
          <w:rFonts w:hint="cs"/>
          <w:rtl/>
        </w:rPr>
        <w:t>عن قلقها إزاء تصريح الوفد أن أحكام الاتفاقية مدرجة في النظام القانوني الوطني كحقوق واجبة النفاذ غير أن المسؤولين عن إنفاذ القانون الذين ارتكبوا أعمال تعذيب لا يتهمون في الواقع بارتكاب جريمة التعذيب بل يتهمون بالأحرى بارتكاب جرائم أخرى مثل القتل والاعتداء والاغتصاب (المادة 4).</w:t>
      </w:r>
    </w:p>
    <w:p w:rsidR="00F5005F" w:rsidRPr="00274609" w:rsidRDefault="00F5005F" w:rsidP="00F5005F">
      <w:pPr>
        <w:pStyle w:val="SingleTxtGA"/>
        <w:rPr>
          <w:rFonts w:hint="cs"/>
          <w:b/>
          <w:bCs/>
          <w:rtl/>
        </w:rPr>
      </w:pPr>
      <w:r w:rsidRPr="00274609">
        <w:rPr>
          <w:rFonts w:hint="cs"/>
          <w:b/>
          <w:bCs/>
          <w:rtl/>
        </w:rPr>
        <w:tab/>
        <w:t>ينبغي للدولة الطرف أن تضمن، في حال وجود أدلة على ارتكاب أعمال التعذيب، محاكمة الموظفين العموميين على ارتكاب جريمة التعذيب وفقاً للتعريف المنصوص عليه في المادة 1 من الاتفاقية.</w:t>
      </w:r>
    </w:p>
    <w:p w:rsidR="00F5005F" w:rsidRPr="005F3F9E" w:rsidRDefault="00D37BEC" w:rsidP="00D37BEC">
      <w:pPr>
        <w:pStyle w:val="SingleTxtGA"/>
        <w:rPr>
          <w:rFonts w:hint="cs"/>
          <w:rtl/>
        </w:rPr>
      </w:pPr>
      <w:r>
        <w:rPr>
          <w:rFonts w:hint="cs"/>
          <w:rtl/>
        </w:rPr>
        <w:t>(</w:t>
      </w:r>
      <w:r w:rsidR="00F5005F" w:rsidRPr="005F3F9E">
        <w:rPr>
          <w:rFonts w:hint="cs"/>
          <w:rtl/>
        </w:rPr>
        <w:t>8</w:t>
      </w:r>
      <w:r>
        <w:rPr>
          <w:rFonts w:hint="cs"/>
          <w:rtl/>
        </w:rPr>
        <w:t>)</w:t>
      </w:r>
      <w:r w:rsidR="00F5005F" w:rsidRPr="005F3F9E">
        <w:rPr>
          <w:rFonts w:hint="cs"/>
          <w:rtl/>
        </w:rPr>
        <w:tab/>
      </w:r>
      <w:r w:rsidR="00F5005F">
        <w:rPr>
          <w:rFonts w:hint="cs"/>
          <w:rtl/>
        </w:rPr>
        <w:t xml:space="preserve">وترحب اللجنة بالمعلومات التي أتاحتها </w:t>
      </w:r>
      <w:r w:rsidR="00F5005F" w:rsidRPr="005F3F9E">
        <w:rPr>
          <w:rFonts w:hint="cs"/>
          <w:rtl/>
        </w:rPr>
        <w:t xml:space="preserve">الدولة الطرف </w:t>
      </w:r>
      <w:r w:rsidR="00F5005F">
        <w:rPr>
          <w:rFonts w:hint="cs"/>
          <w:rtl/>
        </w:rPr>
        <w:t xml:space="preserve">عن التعديلات المقترح إدخالها على العقوبات المفروضة على أعمال التعذيب وسوء المعاملة المرتكبة في حق الأطفال في مشروع قانون قضاء الأطفال (2011)، غير أنها لا تزال تشعر بقلق شديد لأن قانون الطفل الحالي (2001) ينص على فرض عقوبة "السجن لمدة لا تتجاوز الاثني عشر شهراً أو دفع غرامة قدرها خمسون ألف شلن كيني أو كلا الأمرين" للمعاقبة على أفعال التعذيب وغيرها من ضروب سوء معاملة الأطفال، مما لا يتناسب مع جسامة هذه الجرائم </w:t>
      </w:r>
      <w:r w:rsidR="00F5005F" w:rsidRPr="005F3F9E">
        <w:rPr>
          <w:rFonts w:hint="cs"/>
          <w:rtl/>
        </w:rPr>
        <w:t>(الماد</w:t>
      </w:r>
      <w:r w:rsidR="00F5005F">
        <w:rPr>
          <w:rFonts w:hint="cs"/>
          <w:rtl/>
        </w:rPr>
        <w:t>تان</w:t>
      </w:r>
      <w:r w:rsidR="00F5005F" w:rsidRPr="005F3F9E">
        <w:rPr>
          <w:rFonts w:hint="cs"/>
          <w:rtl/>
        </w:rPr>
        <w:t xml:space="preserve"> </w:t>
      </w:r>
      <w:r w:rsidR="00F5005F">
        <w:rPr>
          <w:rFonts w:hint="cs"/>
          <w:rtl/>
        </w:rPr>
        <w:t>1 و4</w:t>
      </w:r>
      <w:r w:rsidR="00F5005F" w:rsidRPr="005F3F9E">
        <w:rPr>
          <w:rFonts w:hint="cs"/>
          <w:rtl/>
        </w:rPr>
        <w:t>).</w:t>
      </w:r>
    </w:p>
    <w:p w:rsidR="00F5005F" w:rsidRPr="00274609" w:rsidRDefault="00F5005F" w:rsidP="00F5005F">
      <w:pPr>
        <w:pStyle w:val="SingleTxtGA"/>
        <w:rPr>
          <w:rFonts w:hint="cs"/>
          <w:b/>
          <w:bCs/>
          <w:rtl/>
        </w:rPr>
      </w:pPr>
      <w:r w:rsidRPr="00274609">
        <w:rPr>
          <w:rFonts w:hint="cs"/>
          <w:b/>
          <w:bCs/>
          <w:rtl/>
        </w:rPr>
        <w:tab/>
        <w:t>تحث اللجنة الدولة الطرف على سن مشروع قانون الطفل (تعديل) (2011) ومشروع قانون قضاء الأطفال (2011) بهدف ضمان أن ينص التشريع الوطني على فرض عقوبات مناسبة على أعمال التعذيب وسوء المعاملة المرتكبة في حق الأطفال، وأن يراعي طبيعة هذه الجرائم الجسيمة.</w:t>
      </w:r>
    </w:p>
    <w:p w:rsidR="00F5005F" w:rsidRPr="005F3F9E" w:rsidRDefault="00F5005F" w:rsidP="00E92C78">
      <w:pPr>
        <w:pStyle w:val="H23GA"/>
        <w:rPr>
          <w:rFonts w:hint="cs"/>
          <w:rtl/>
        </w:rPr>
      </w:pPr>
      <w:r w:rsidRPr="005F3F9E">
        <w:rPr>
          <w:rFonts w:hint="cs"/>
          <w:rtl/>
        </w:rPr>
        <w:tab/>
      </w:r>
      <w:r w:rsidRPr="005F3F9E">
        <w:rPr>
          <w:rFonts w:hint="cs"/>
          <w:rtl/>
        </w:rPr>
        <w:tab/>
      </w:r>
      <w:r>
        <w:rPr>
          <w:rFonts w:hint="cs"/>
          <w:rtl/>
        </w:rPr>
        <w:t>حالات الإعدام خارج نطاق القضاء واستخدام القوة غير المتناسب</w:t>
      </w:r>
    </w:p>
    <w:p w:rsidR="00F5005F" w:rsidRDefault="00E92C78" w:rsidP="00E92C78">
      <w:pPr>
        <w:pStyle w:val="SingleTxtGA"/>
        <w:rPr>
          <w:rFonts w:hint="cs"/>
          <w:rtl/>
        </w:rPr>
      </w:pPr>
      <w:r>
        <w:rPr>
          <w:rFonts w:hint="cs"/>
          <w:rtl/>
        </w:rPr>
        <w:t>(</w:t>
      </w:r>
      <w:r w:rsidR="00F5005F" w:rsidRPr="00125B18">
        <w:rPr>
          <w:rFonts w:hint="cs"/>
          <w:rtl/>
        </w:rPr>
        <w:t>9</w:t>
      </w:r>
      <w:r>
        <w:rPr>
          <w:rFonts w:hint="cs"/>
          <w:rtl/>
        </w:rPr>
        <w:t>)</w:t>
      </w:r>
      <w:r w:rsidR="00F5005F" w:rsidRPr="00125B18">
        <w:rPr>
          <w:rFonts w:hint="cs"/>
          <w:rtl/>
        </w:rPr>
        <w:tab/>
      </w:r>
      <w:r w:rsidR="00F5005F">
        <w:rPr>
          <w:rFonts w:hint="cs"/>
          <w:rtl/>
        </w:rPr>
        <w:t xml:space="preserve">لا تزال </w:t>
      </w:r>
      <w:r w:rsidR="00F5005F" w:rsidRPr="001A5D40">
        <w:rPr>
          <w:rFonts w:hint="cs"/>
          <w:rtl/>
        </w:rPr>
        <w:t>اللجنة تشعر بالقلق إزاء استمرار الادعاءات المت</w:t>
      </w:r>
      <w:r w:rsidR="00F5005F">
        <w:rPr>
          <w:rFonts w:hint="cs"/>
          <w:rtl/>
        </w:rPr>
        <w:t>علق</w:t>
      </w:r>
      <w:r w:rsidR="00F5005F" w:rsidRPr="001A5D40">
        <w:rPr>
          <w:rFonts w:hint="cs"/>
          <w:rtl/>
        </w:rPr>
        <w:t>ة بتواصل حالات الإعدام خارج نطاق القضاء والاختفاء القسري والاستخدام المفرط للقوة على أيدي ضباط الشرطة</w:t>
      </w:r>
      <w:r w:rsidR="00F5005F">
        <w:rPr>
          <w:rFonts w:hint="cs"/>
          <w:rtl/>
        </w:rPr>
        <w:t>،</w:t>
      </w:r>
      <w:r w:rsidR="00F5005F" w:rsidRPr="001A5D40">
        <w:rPr>
          <w:rFonts w:hint="cs"/>
          <w:rtl/>
        </w:rPr>
        <w:t xml:space="preserve"> ولا سيما خلال "العمليات الخاصة</w:t>
      </w:r>
      <w:r w:rsidR="00F5005F">
        <w:rPr>
          <w:rFonts w:hint="cs"/>
          <w:rtl/>
        </w:rPr>
        <w:t>" وإزاء انخفاض معدل التحقيقات والمحاكمات المرتبطة بهذه الأعمال. كما تعرب اللجنة عن قلقها بوجه خاص إزاء التقارير التي تفيد بحالة وفاة رجل شاب بعد أن أطلق عليه ضباط الشرطة النار في نيروبي في نيسان/أبريل 2013 بسبب سرقة هاتف محمول (المادتان 11 و12).</w:t>
      </w:r>
    </w:p>
    <w:p w:rsidR="00F5005F" w:rsidRPr="00274609" w:rsidRDefault="00F5005F" w:rsidP="00F5005F">
      <w:pPr>
        <w:pStyle w:val="SingleTxtGA"/>
        <w:rPr>
          <w:rFonts w:hint="cs"/>
          <w:b/>
          <w:bCs/>
          <w:rtl/>
        </w:rPr>
      </w:pPr>
      <w:r w:rsidRPr="00274609">
        <w:rPr>
          <w:rFonts w:hint="cs"/>
          <w:b/>
          <w:bCs/>
          <w:rtl/>
        </w:rPr>
        <w:tab/>
        <w:t xml:space="preserve">تحث اللجنة في ضوء توصيتها السابقة (الوثيقة </w:t>
      </w:r>
      <w:r w:rsidRPr="00274609">
        <w:rPr>
          <w:b/>
          <w:bCs/>
        </w:rPr>
        <w:t>CAT/C/KEN/CO/1</w:t>
      </w:r>
      <w:r w:rsidRPr="00274609">
        <w:rPr>
          <w:rFonts w:hint="cs"/>
          <w:b/>
          <w:bCs/>
          <w:rtl/>
        </w:rPr>
        <w:t>، الفقرة 20) الدولة الطرف على ضمان إجراء تحقيقات عاجلة وفعالة ومستقلة بخصوص جميع حالات استخدام القوة الفتاكة والقوة المفرطة من جانب قوات الأمن، بما فيها الحالات التي سجلت في منطقة منديرا ومنطقة نهر تانا، ومحاكمة مرتكبي تلك الأفعال المزعومين وإصدار أحكام تتوافق مع طبيعة تلك الأفعال الجسيمة في حال إدانتهم. وعلاوة على ذلك، ينبغي للدولة الطرف أن تضطلع بما يلي:</w:t>
      </w:r>
    </w:p>
    <w:p w:rsidR="00F5005F" w:rsidRPr="009B553B" w:rsidRDefault="00F5005F" w:rsidP="00F5005F">
      <w:pPr>
        <w:pStyle w:val="SingleTxtGA"/>
        <w:rPr>
          <w:rFonts w:hint="cs"/>
          <w:b/>
          <w:bCs/>
        </w:rPr>
      </w:pPr>
      <w:r w:rsidRPr="009B553B">
        <w:rPr>
          <w:rFonts w:hint="cs"/>
          <w:b/>
          <w:bCs/>
          <w:rtl/>
        </w:rPr>
        <w:tab/>
        <w:t>(أ)</w:t>
      </w:r>
      <w:r w:rsidRPr="009B553B">
        <w:rPr>
          <w:rFonts w:hint="cs"/>
          <w:b/>
          <w:bCs/>
          <w:rtl/>
        </w:rPr>
        <w:tab/>
        <w:t>ضمان ألا تبدل التعديلات على ولاية السلطة المستقلة المعنية بالإشراف على الشرطة التزام هذه السلطة بالتبليغ عن حالات الوفاة التي تسببها الشرطة؛</w:t>
      </w:r>
    </w:p>
    <w:p w:rsidR="00F5005F" w:rsidRPr="009B553B" w:rsidRDefault="00F5005F" w:rsidP="00F5005F">
      <w:pPr>
        <w:pStyle w:val="SingleTxtGA"/>
        <w:rPr>
          <w:rFonts w:hint="cs"/>
          <w:b/>
          <w:bCs/>
        </w:rPr>
      </w:pPr>
      <w:r w:rsidRPr="009B553B">
        <w:rPr>
          <w:rFonts w:hint="cs"/>
          <w:b/>
          <w:bCs/>
          <w:rtl/>
        </w:rPr>
        <w:tab/>
        <w:t>(ب)</w:t>
      </w:r>
      <w:r w:rsidRPr="009B553B">
        <w:rPr>
          <w:rFonts w:hint="cs"/>
          <w:b/>
          <w:bCs/>
          <w:rtl/>
        </w:rPr>
        <w:tab/>
        <w:t>تنظيم استخدام الأسلحة النارية من جانب الشرطة بهدف ضمان امتثالها للمبادئ الأساسية للأمم المتحدة بشأن استخدام القوة والأسلحة النارية من جانب الموظفين المكلفين بإنفاذ القوانين (1990)؛</w:t>
      </w:r>
    </w:p>
    <w:p w:rsidR="00F5005F" w:rsidRPr="00274609" w:rsidRDefault="00F5005F" w:rsidP="00F5005F">
      <w:pPr>
        <w:pStyle w:val="SingleTxtGA"/>
        <w:rPr>
          <w:rFonts w:hint="cs"/>
          <w:b/>
          <w:bCs/>
          <w:rtl/>
        </w:rPr>
      </w:pPr>
      <w:r w:rsidRPr="00274609">
        <w:rPr>
          <w:rFonts w:hint="cs"/>
          <w:b/>
          <w:bCs/>
          <w:rtl/>
        </w:rPr>
        <w:tab/>
        <w:t>(ج)</w:t>
      </w:r>
      <w:r w:rsidRPr="00274609">
        <w:rPr>
          <w:rFonts w:hint="cs"/>
          <w:b/>
          <w:bCs/>
          <w:rtl/>
        </w:rPr>
        <w:tab/>
        <w:t>توفير التدريب الكافي لجميع الموظفين المعنيين بإنفاذ القوانين ولا سيما ضباط الشرطة فيما يتصل باستخدام القوة؛</w:t>
      </w:r>
    </w:p>
    <w:p w:rsidR="00F5005F" w:rsidRPr="00274609" w:rsidRDefault="00F5005F" w:rsidP="00F5005F">
      <w:pPr>
        <w:pStyle w:val="SingleTxtGA"/>
        <w:rPr>
          <w:rFonts w:hint="cs"/>
          <w:b/>
          <w:bCs/>
        </w:rPr>
      </w:pPr>
      <w:r w:rsidRPr="00274609">
        <w:rPr>
          <w:rFonts w:hint="cs"/>
          <w:b/>
          <w:bCs/>
          <w:rtl/>
        </w:rPr>
        <w:tab/>
        <w:t>(د)</w:t>
      </w:r>
      <w:r w:rsidRPr="00274609">
        <w:rPr>
          <w:rFonts w:hint="cs"/>
          <w:b/>
          <w:bCs/>
          <w:rtl/>
        </w:rPr>
        <w:tab/>
        <w:t>نشر نتائج جميع التحقيقات بخصوص حالات الإعدام خارج نطاق القضاء والاختفاء القسري والاستخدام المفرط للقوة على أيدي ضباط الشرطة وخصوصاً في الحالات المشار إليها أعلاه.</w:t>
      </w:r>
    </w:p>
    <w:p w:rsidR="00F5005F" w:rsidRPr="005F3F9E" w:rsidRDefault="00F5005F" w:rsidP="00E92C78">
      <w:pPr>
        <w:pStyle w:val="H23GA"/>
        <w:rPr>
          <w:rFonts w:hint="cs"/>
          <w:rtl/>
        </w:rPr>
      </w:pPr>
      <w:r w:rsidRPr="005F3F9E">
        <w:rPr>
          <w:rFonts w:hint="cs"/>
          <w:rtl/>
        </w:rPr>
        <w:tab/>
      </w:r>
      <w:r w:rsidRPr="005F3F9E">
        <w:rPr>
          <w:rFonts w:hint="cs"/>
          <w:rtl/>
        </w:rPr>
        <w:tab/>
      </w:r>
      <w:r w:rsidRPr="00382845">
        <w:rPr>
          <w:rFonts w:hint="cs"/>
          <w:rtl/>
          <w:lang w:val="fr-CH"/>
        </w:rPr>
        <w:t>الضمانات القانونية الأساسية</w:t>
      </w:r>
    </w:p>
    <w:p w:rsidR="00F5005F" w:rsidRDefault="00E92C78" w:rsidP="00E92C78">
      <w:pPr>
        <w:pStyle w:val="SingleTxtGA"/>
        <w:rPr>
          <w:rFonts w:hint="cs"/>
          <w:rtl/>
        </w:rPr>
      </w:pPr>
      <w:r>
        <w:rPr>
          <w:rFonts w:hint="cs"/>
          <w:rtl/>
        </w:rPr>
        <w:t>(</w:t>
      </w:r>
      <w:r w:rsidR="00F5005F" w:rsidRPr="005F3F9E">
        <w:rPr>
          <w:rFonts w:hint="cs"/>
          <w:rtl/>
        </w:rPr>
        <w:t>10</w:t>
      </w:r>
      <w:r>
        <w:rPr>
          <w:rFonts w:hint="cs"/>
          <w:rtl/>
        </w:rPr>
        <w:t>)</w:t>
      </w:r>
      <w:r w:rsidR="00F5005F" w:rsidRPr="005F3F9E">
        <w:rPr>
          <w:rFonts w:hint="cs"/>
          <w:rtl/>
        </w:rPr>
        <w:tab/>
      </w:r>
      <w:r w:rsidR="00F5005F" w:rsidRPr="00CB1622">
        <w:rPr>
          <w:rFonts w:hint="cs"/>
          <w:rtl/>
        </w:rPr>
        <w:t>ترحب اللجنة بالمعلومات عن الضمانات القانونية الممنوحة للأشخاص المحتجزين في مخافر الشرطة</w:t>
      </w:r>
      <w:r w:rsidR="00F5005F">
        <w:rPr>
          <w:rFonts w:hint="cs"/>
          <w:rtl/>
        </w:rPr>
        <w:t>،</w:t>
      </w:r>
      <w:r w:rsidR="00F5005F" w:rsidRPr="00CB1622">
        <w:rPr>
          <w:rFonts w:hint="cs"/>
          <w:rtl/>
        </w:rPr>
        <w:t xml:space="preserve"> غير أنها تبدي قلقها لعدم التأييد التام لهذه المعايير في الواقع</w:t>
      </w:r>
      <w:r w:rsidR="00F5005F">
        <w:rPr>
          <w:rFonts w:hint="cs"/>
          <w:rtl/>
        </w:rPr>
        <w:t>،</w:t>
      </w:r>
      <w:r w:rsidR="00F5005F" w:rsidRPr="00CB1622">
        <w:rPr>
          <w:rFonts w:hint="cs"/>
          <w:rtl/>
        </w:rPr>
        <w:t xml:space="preserve"> ولا سيما الحصول في الوقت المناسب على خدمات</w:t>
      </w:r>
      <w:r w:rsidR="00F5005F">
        <w:rPr>
          <w:rFonts w:hint="cs"/>
          <w:rtl/>
        </w:rPr>
        <w:t xml:space="preserve"> محام وطبيب، والحق في الاتصال بأحد أفراد الأسرة، والمثول في الوقت المناسب أمام سلطة قضائية (المادتان 2 و11).</w:t>
      </w:r>
    </w:p>
    <w:p w:rsidR="00F5005F" w:rsidRPr="00464673" w:rsidRDefault="00F5005F" w:rsidP="008608DA">
      <w:pPr>
        <w:pStyle w:val="SingleTxtGA"/>
        <w:rPr>
          <w:rFonts w:ascii="Times New Roman Bold" w:hAnsi="Times New Roman Bold" w:hint="cs"/>
          <w:b/>
          <w:bCs/>
          <w:spacing w:val="-4"/>
          <w:rtl/>
        </w:rPr>
      </w:pPr>
      <w:r w:rsidRPr="00464673">
        <w:rPr>
          <w:rFonts w:ascii="Times New Roman Bold" w:hAnsi="Times New Roman Bold" w:hint="cs"/>
          <w:b/>
          <w:bCs/>
          <w:spacing w:val="-2"/>
          <w:rtl/>
        </w:rPr>
        <w:tab/>
        <w:t xml:space="preserve">ينبغي للدولة الطرف أن تكفل في القانون وفي الواقع منح الضمانات القانونية الأساسية لجميع المحتجزين اعتباراً من تاريخ اعتقالهم، بما في ذلك الحق في الاستعانة بمحام وفي إخطار أحد الأقارب وفي طلب </w:t>
      </w:r>
      <w:r w:rsidRPr="00464673">
        <w:rPr>
          <w:rFonts w:ascii="Times New Roman Bold" w:hAnsi="Times New Roman Bold" w:hint="cs"/>
          <w:b/>
          <w:bCs/>
          <w:spacing w:val="-2"/>
          <w:rtl/>
          <w:lang w:val="fr-CH"/>
        </w:rPr>
        <w:t xml:space="preserve">الخضوع لفحص طبي مستقل وفي المثول أمام سلطة قضائية في غضون 24 ساعة على النحو المنصوص عليه في المادة 49 (الفقرة 1(و) و‘1‘) </w:t>
      </w:r>
      <w:r w:rsidRPr="00464673">
        <w:rPr>
          <w:rFonts w:ascii="Times New Roman Bold" w:hAnsi="Times New Roman Bold" w:hint="cs"/>
          <w:b/>
          <w:bCs/>
          <w:spacing w:val="-2"/>
          <w:rtl/>
        </w:rPr>
        <w:t xml:space="preserve">من الدستور. ولهذا الغرض، </w:t>
      </w:r>
      <w:r w:rsidRPr="00464673">
        <w:rPr>
          <w:rFonts w:ascii="Times New Roman Bold" w:hAnsi="Times New Roman Bold" w:hint="cs"/>
          <w:b/>
          <w:bCs/>
          <w:spacing w:val="-2"/>
          <w:rtl/>
          <w:lang/>
        </w:rPr>
        <w:t>تحيل اللجنة الدولة الطرف إلى تعليقها العام رقم</w:t>
      </w:r>
      <w:r w:rsidRPr="00464673">
        <w:rPr>
          <w:rFonts w:ascii="Times New Roman Bold" w:hAnsi="Times New Roman Bold" w:hint="eastAsia"/>
          <w:b/>
          <w:bCs/>
          <w:spacing w:val="-2"/>
          <w:rtl/>
          <w:lang/>
        </w:rPr>
        <w:t> </w:t>
      </w:r>
      <w:r w:rsidRPr="00464673">
        <w:rPr>
          <w:rFonts w:ascii="Times New Roman Bold" w:hAnsi="Times New Roman Bold" w:hint="cs"/>
          <w:b/>
          <w:bCs/>
          <w:spacing w:val="-2"/>
          <w:rtl/>
          <w:lang/>
        </w:rPr>
        <w:t>2(</w:t>
      </w:r>
      <w:r w:rsidR="008608DA" w:rsidRPr="00464673">
        <w:rPr>
          <w:rFonts w:ascii="Times New Roman Bold" w:hAnsi="Times New Roman Bold" w:hint="cs"/>
          <w:b/>
          <w:bCs/>
          <w:spacing w:val="-2"/>
          <w:rtl/>
          <w:lang/>
        </w:rPr>
        <w:t>2007</w:t>
      </w:r>
      <w:r w:rsidRPr="00464673">
        <w:rPr>
          <w:rFonts w:ascii="Times New Roman Bold" w:hAnsi="Times New Roman Bold" w:hint="cs"/>
          <w:b/>
          <w:bCs/>
          <w:spacing w:val="-2"/>
          <w:rtl/>
          <w:lang/>
        </w:rPr>
        <w:t xml:space="preserve">) </w:t>
      </w:r>
      <w:r w:rsidRPr="00464673">
        <w:rPr>
          <w:rFonts w:ascii="Times New Roman Bold" w:hAnsi="Times New Roman Bold" w:hint="cs"/>
          <w:b/>
          <w:bCs/>
          <w:spacing w:val="-4"/>
          <w:rtl/>
          <w:lang/>
        </w:rPr>
        <w:t>بشأن تنفيذ الدول الأطراف للمادة 2، أي منع التعذيب وسوء المعاملة بشكل فعال. وفضلاً عن ذلك، ينبغي للدولة الطرف أن تضمن أن ينص مشروع قانون الأشخاص المحرومين من الحرية (2012) على جميع الضمانات القانونية اللازمة ويُطرح للبحث في البرلمان.</w:t>
      </w:r>
    </w:p>
    <w:p w:rsidR="00F5005F" w:rsidRPr="005F3F9E" w:rsidRDefault="00F5005F" w:rsidP="00E92C78">
      <w:pPr>
        <w:pStyle w:val="H23GA"/>
        <w:rPr>
          <w:rFonts w:hint="cs"/>
          <w:rtl/>
        </w:rPr>
      </w:pPr>
      <w:r w:rsidRPr="005F3F9E">
        <w:rPr>
          <w:rFonts w:hint="cs"/>
          <w:rtl/>
        </w:rPr>
        <w:tab/>
      </w:r>
      <w:r w:rsidRPr="005F3F9E">
        <w:rPr>
          <w:rFonts w:hint="cs"/>
          <w:rtl/>
        </w:rPr>
        <w:tab/>
      </w:r>
      <w:r>
        <w:rPr>
          <w:rFonts w:hint="cs"/>
          <w:rtl/>
        </w:rPr>
        <w:t>إصلاح الشرطة والتحقيقات</w:t>
      </w:r>
    </w:p>
    <w:p w:rsidR="00F5005F" w:rsidRPr="0019708D" w:rsidRDefault="00E92C78" w:rsidP="00E92C78">
      <w:pPr>
        <w:pStyle w:val="SingleTxtGA"/>
        <w:rPr>
          <w:rFonts w:hint="cs"/>
          <w:rtl/>
        </w:rPr>
      </w:pPr>
      <w:r>
        <w:rPr>
          <w:rFonts w:hint="cs"/>
          <w:rtl/>
        </w:rPr>
        <w:t>(</w:t>
      </w:r>
      <w:r w:rsidR="00F5005F" w:rsidRPr="005F3F9E">
        <w:rPr>
          <w:rFonts w:hint="cs"/>
          <w:rtl/>
        </w:rPr>
        <w:t>11</w:t>
      </w:r>
      <w:r>
        <w:rPr>
          <w:rFonts w:hint="cs"/>
          <w:rtl/>
        </w:rPr>
        <w:t>)</w:t>
      </w:r>
      <w:r w:rsidR="00F5005F" w:rsidRPr="005F3F9E">
        <w:rPr>
          <w:rFonts w:hint="cs"/>
          <w:rtl/>
        </w:rPr>
        <w:tab/>
      </w:r>
      <w:r w:rsidR="00F5005F" w:rsidRPr="004223DA">
        <w:rPr>
          <w:rFonts w:hint="cs"/>
          <w:rtl/>
        </w:rPr>
        <w:t>تلاحظ اللجنة مع التقدير تواصل إصلاحات الشرطة وعلى الخصوص سن قانون دائرة الشرطة الوطنية (2011)</w:t>
      </w:r>
      <w:r w:rsidR="00F5005F">
        <w:rPr>
          <w:rFonts w:hint="cs"/>
          <w:rtl/>
        </w:rPr>
        <w:t>،</w:t>
      </w:r>
      <w:r w:rsidR="00F5005F" w:rsidRPr="004223DA">
        <w:rPr>
          <w:rFonts w:hint="cs"/>
          <w:rtl/>
        </w:rPr>
        <w:t xml:space="preserve"> وإنشاء السلطة المستقلة المعنية بالإشراف على الشرطة واعتماد مدونة لقواعد سلوك الشرطة</w:t>
      </w:r>
      <w:r w:rsidR="00F5005F">
        <w:rPr>
          <w:rFonts w:hint="cs"/>
          <w:rtl/>
        </w:rPr>
        <w:t>،</w:t>
      </w:r>
      <w:r w:rsidR="00F5005F" w:rsidRPr="004223DA">
        <w:rPr>
          <w:rFonts w:hint="cs"/>
          <w:rtl/>
        </w:rPr>
        <w:t xml:space="preserve"> غير أنها </w:t>
      </w:r>
      <w:r w:rsidR="00F5005F">
        <w:rPr>
          <w:rFonts w:hint="cs"/>
          <w:rtl/>
        </w:rPr>
        <w:t xml:space="preserve">لا تزال </w:t>
      </w:r>
      <w:r w:rsidR="00F5005F" w:rsidRPr="004223DA">
        <w:rPr>
          <w:rFonts w:hint="cs"/>
          <w:rtl/>
        </w:rPr>
        <w:t>تشعر ب</w:t>
      </w:r>
      <w:r w:rsidR="00F5005F">
        <w:rPr>
          <w:rFonts w:hint="cs"/>
          <w:rtl/>
        </w:rPr>
        <w:t>بالغ ال</w:t>
      </w:r>
      <w:r w:rsidR="00F5005F" w:rsidRPr="004223DA">
        <w:rPr>
          <w:rFonts w:hint="cs"/>
          <w:rtl/>
        </w:rPr>
        <w:t>قلق إزاء استمرار تخلف الدولة الطرف عن إجراء تحقيقات عاجلة ونزي</w:t>
      </w:r>
      <w:r w:rsidR="00F5005F">
        <w:rPr>
          <w:rFonts w:hint="cs"/>
          <w:rtl/>
        </w:rPr>
        <w:t>هة وفعالة بخصوص جميع الادعاءات المتصلة بأعمال التعذيب وسوء المعاملة التي يرتكبها ضباط الشرطة ومحاكمة مرتكبي هذه الأعمال المزعومين (المادتان 12 و13).</w:t>
      </w:r>
    </w:p>
    <w:p w:rsidR="00F5005F" w:rsidRPr="00274609" w:rsidRDefault="00F5005F" w:rsidP="00464673">
      <w:pPr>
        <w:pStyle w:val="SingleTxtGA"/>
        <w:spacing w:line="366" w:lineRule="exact"/>
        <w:rPr>
          <w:rFonts w:hint="cs"/>
          <w:b/>
          <w:bCs/>
          <w:rtl/>
        </w:rPr>
      </w:pPr>
      <w:r w:rsidRPr="00274609">
        <w:rPr>
          <w:rFonts w:hint="cs"/>
          <w:b/>
          <w:bCs/>
          <w:rtl/>
        </w:rPr>
        <w:tab/>
        <w:t>تحث اللجنة الدولة الطرف على اتخاذ جميع التدابير اللازمة لضمان تنفيذ قانون الشرطة الوطنية (2011) على نحو فعال، والتثبت من التحقيق العاجل والفعال والنزيه في جميع الادعاءات المتصلة بأعمال التعذيب أو سوء المعاملة التي يرتكبها موظفو الشرطة، ومحاكمة مرتكبي هذه الأعمال بصفتها جرائم تعذيب أو ضرباً من المعاملة أو العقوبة القاسية أو اللاإنسانية أو المهينة وفرض عقوبات مناسبة بشأنها في حال الإدانة. وبوجه خاص، ينبغي للدولة الطرف أن تضمن ما يلي:</w:t>
      </w:r>
    </w:p>
    <w:p w:rsidR="00F5005F" w:rsidRPr="00E92C78" w:rsidRDefault="00F5005F" w:rsidP="00464673">
      <w:pPr>
        <w:pStyle w:val="SingleTxtGA"/>
        <w:spacing w:line="366" w:lineRule="exact"/>
        <w:rPr>
          <w:rFonts w:ascii="Times New Roman Bold" w:hAnsi="Times New Roman Bold" w:hint="cs"/>
          <w:b/>
          <w:bCs/>
          <w:spacing w:val="-2"/>
          <w:rtl/>
        </w:rPr>
      </w:pPr>
      <w:r w:rsidRPr="00E92C78">
        <w:rPr>
          <w:rFonts w:ascii="Times New Roman Bold" w:hAnsi="Times New Roman Bold" w:hint="cs"/>
          <w:b/>
          <w:bCs/>
          <w:spacing w:val="-2"/>
          <w:rtl/>
        </w:rPr>
        <w:tab/>
        <w:t>(أ)</w:t>
      </w:r>
      <w:r w:rsidRPr="00E92C78">
        <w:rPr>
          <w:rFonts w:ascii="Times New Roman Bold" w:hAnsi="Times New Roman Bold" w:hint="cs"/>
          <w:b/>
          <w:bCs/>
          <w:spacing w:val="-2"/>
          <w:rtl/>
        </w:rPr>
        <w:tab/>
        <w:t>توفير الموارد المالية والبشرية الكافية للسلطة المستقلة المعنية بالإشراف على الشرطة لكي تؤدي ولايتها على نحو فعال، بما في ذلك جمع بيانات مستقلة عن الشكاوى المرفوعة ضد الموظفين المعنيين بإنفاذ القوانين والتحقيقات والمحاكمات والإدانات المتعلقة بهم والعقوبات المفروضة عليهم لارتكابهم أعمال التعذيب وسوء المعاملة؛</w:t>
      </w:r>
    </w:p>
    <w:p w:rsidR="00F5005F" w:rsidRPr="00274609" w:rsidRDefault="00F5005F" w:rsidP="00464673">
      <w:pPr>
        <w:pStyle w:val="SingleTxtGA"/>
        <w:spacing w:line="366" w:lineRule="exact"/>
        <w:rPr>
          <w:rFonts w:hint="cs"/>
          <w:b/>
          <w:bCs/>
          <w:rtl/>
        </w:rPr>
      </w:pPr>
      <w:r w:rsidRPr="00274609">
        <w:rPr>
          <w:rFonts w:hint="cs"/>
          <w:b/>
          <w:bCs/>
          <w:rtl/>
        </w:rPr>
        <w:tab/>
        <w:t>(ب)</w:t>
      </w:r>
      <w:r w:rsidRPr="00274609">
        <w:rPr>
          <w:rFonts w:hint="cs"/>
          <w:b/>
          <w:bCs/>
          <w:rtl/>
        </w:rPr>
        <w:tab/>
        <w:t xml:space="preserve">تقديم التمويل الكافي إلى اللجنة المعنية </w:t>
      </w:r>
      <w:r>
        <w:rPr>
          <w:rFonts w:hint="cs"/>
          <w:b/>
          <w:bCs/>
          <w:rtl/>
        </w:rPr>
        <w:t>ب</w:t>
      </w:r>
      <w:r w:rsidRPr="00274609">
        <w:rPr>
          <w:rFonts w:hint="cs"/>
          <w:b/>
          <w:bCs/>
          <w:rtl/>
        </w:rPr>
        <w:t xml:space="preserve">الشرطة الوطنية وكفالة </w:t>
      </w:r>
      <w:r>
        <w:rPr>
          <w:rFonts w:hint="cs"/>
          <w:b/>
          <w:bCs/>
          <w:rtl/>
        </w:rPr>
        <w:t xml:space="preserve">إعطاء </w:t>
      </w:r>
      <w:r w:rsidRPr="00274609">
        <w:rPr>
          <w:rFonts w:hint="cs"/>
          <w:b/>
          <w:bCs/>
          <w:rtl/>
        </w:rPr>
        <w:t>الأول</w:t>
      </w:r>
      <w:r>
        <w:rPr>
          <w:rFonts w:hint="cs"/>
          <w:b/>
          <w:bCs/>
          <w:rtl/>
        </w:rPr>
        <w:t>و</w:t>
      </w:r>
      <w:r w:rsidRPr="00274609">
        <w:rPr>
          <w:rFonts w:hint="cs"/>
          <w:b/>
          <w:bCs/>
          <w:rtl/>
        </w:rPr>
        <w:t xml:space="preserve">ية </w:t>
      </w:r>
      <w:r>
        <w:rPr>
          <w:rFonts w:hint="cs"/>
          <w:b/>
          <w:bCs/>
          <w:rtl/>
        </w:rPr>
        <w:t>ل</w:t>
      </w:r>
      <w:r w:rsidRPr="00274609">
        <w:rPr>
          <w:rFonts w:hint="cs"/>
          <w:b/>
          <w:bCs/>
          <w:rtl/>
        </w:rPr>
        <w:t>نظام فرز يوقف بموجبه الجناة المزعومون عن العمل ريثما يحقق في شأنهم ويحاكمون محاكمة ملائمة؛</w:t>
      </w:r>
    </w:p>
    <w:p w:rsidR="00F5005F" w:rsidRPr="00274609" w:rsidRDefault="00F5005F" w:rsidP="00464673">
      <w:pPr>
        <w:pStyle w:val="SingleTxtGA"/>
        <w:spacing w:line="366" w:lineRule="exact"/>
        <w:rPr>
          <w:rFonts w:hint="cs"/>
          <w:b/>
          <w:bCs/>
          <w:rtl/>
        </w:rPr>
      </w:pPr>
      <w:r w:rsidRPr="00274609">
        <w:rPr>
          <w:rFonts w:hint="cs"/>
          <w:b/>
          <w:bCs/>
          <w:rtl/>
        </w:rPr>
        <w:tab/>
        <w:t>(ج)</w:t>
      </w:r>
      <w:r w:rsidRPr="00274609">
        <w:rPr>
          <w:rFonts w:hint="cs"/>
          <w:b/>
          <w:bCs/>
          <w:rtl/>
        </w:rPr>
        <w:tab/>
        <w:t>سن مشروع قانون دائرة الطب الشرعي (2011) وإنشاء الدائرة المستقلة للأطباء الشرعيين المقترحة فيه على وجه السرعة.</w:t>
      </w:r>
    </w:p>
    <w:p w:rsidR="00F5005F" w:rsidRPr="005F3F9E" w:rsidRDefault="00F5005F" w:rsidP="00464673">
      <w:pPr>
        <w:pStyle w:val="H23GA"/>
        <w:spacing w:line="366" w:lineRule="exact"/>
        <w:rPr>
          <w:rFonts w:hint="cs"/>
          <w:rtl/>
        </w:rPr>
      </w:pPr>
      <w:r w:rsidRPr="005F3F9E">
        <w:rPr>
          <w:rFonts w:hint="cs"/>
          <w:rtl/>
        </w:rPr>
        <w:tab/>
      </w:r>
      <w:r w:rsidRPr="005F3F9E">
        <w:rPr>
          <w:rFonts w:hint="cs"/>
          <w:rtl/>
        </w:rPr>
        <w:tab/>
      </w:r>
      <w:r>
        <w:rPr>
          <w:rFonts w:hint="cs"/>
          <w:rtl/>
        </w:rPr>
        <w:t>ظروف الاحتجاز</w:t>
      </w:r>
    </w:p>
    <w:p w:rsidR="00F5005F" w:rsidRDefault="00E92C78" w:rsidP="00464673">
      <w:pPr>
        <w:pStyle w:val="SingleTxtGA"/>
        <w:spacing w:line="366" w:lineRule="exact"/>
        <w:rPr>
          <w:rFonts w:hint="cs"/>
          <w:rtl/>
        </w:rPr>
      </w:pPr>
      <w:r>
        <w:rPr>
          <w:rFonts w:hint="cs"/>
          <w:rtl/>
        </w:rPr>
        <w:t>(</w:t>
      </w:r>
      <w:r w:rsidR="00F5005F" w:rsidRPr="005F3F9E">
        <w:rPr>
          <w:rFonts w:hint="cs"/>
          <w:rtl/>
        </w:rPr>
        <w:t>12</w:t>
      </w:r>
      <w:r>
        <w:rPr>
          <w:rFonts w:hint="cs"/>
          <w:rtl/>
        </w:rPr>
        <w:t>)</w:t>
      </w:r>
      <w:r w:rsidR="00F5005F" w:rsidRPr="005F3F9E">
        <w:rPr>
          <w:rFonts w:hint="cs"/>
          <w:rtl/>
        </w:rPr>
        <w:tab/>
      </w:r>
      <w:r w:rsidR="00F5005F">
        <w:rPr>
          <w:rFonts w:hint="cs"/>
          <w:rtl/>
        </w:rPr>
        <w:t>تقر</w:t>
      </w:r>
      <w:r w:rsidR="00F5005F" w:rsidRPr="005F3F9E">
        <w:rPr>
          <w:rFonts w:hint="cs"/>
          <w:rtl/>
        </w:rPr>
        <w:t xml:space="preserve"> اللجنة </w:t>
      </w:r>
      <w:r w:rsidR="00F5005F">
        <w:rPr>
          <w:rFonts w:hint="cs"/>
          <w:rtl/>
        </w:rPr>
        <w:t>بالخطوات</w:t>
      </w:r>
      <w:r w:rsidR="00F5005F" w:rsidRPr="005F3F9E">
        <w:rPr>
          <w:rFonts w:hint="cs"/>
          <w:rtl/>
        </w:rPr>
        <w:t xml:space="preserve"> </w:t>
      </w:r>
      <w:r w:rsidR="00F5005F">
        <w:rPr>
          <w:rFonts w:hint="cs"/>
          <w:rtl/>
        </w:rPr>
        <w:t>التي اتخذتها الدولة الطرف لتحسين الظروف في كل أماكن الاحتجاز، بما فيها سن قانون العفو (2011) وتخصيص موارد مالية إضافية واتخاذ التدابير الرامية إلى الحد من اكتظاظ تلك الأماكن، غير أنها لا تزال تشعر بقلق شديد إزاء ظروف الاحتجاز، ولا سيما إزاء استمرار مستويات الاكتظاظ وانعدام الخدمات الصحية الملائمة وانتشار العنف داخل السجون بما في ذلك العنف والاعتداء الجنسي بين السجناء وممارسة احتجاز الأطفال دون سن الرابعة برفقة أمهاتهم (المواد 2 و11 و16).</w:t>
      </w:r>
    </w:p>
    <w:p w:rsidR="00F5005F" w:rsidRPr="00274609" w:rsidRDefault="00F5005F" w:rsidP="00464673">
      <w:pPr>
        <w:pStyle w:val="SingleTxtGA"/>
        <w:spacing w:line="366" w:lineRule="exact"/>
        <w:rPr>
          <w:rFonts w:hint="cs"/>
          <w:b/>
          <w:bCs/>
          <w:rtl/>
        </w:rPr>
      </w:pPr>
      <w:r w:rsidRPr="00274609">
        <w:rPr>
          <w:rFonts w:hint="cs"/>
          <w:b/>
          <w:bCs/>
          <w:rtl/>
        </w:rPr>
        <w:tab/>
        <w:t xml:space="preserve">إذ تذكر اللجنة بتوصيتها السابقة (الوثيقة </w:t>
      </w:r>
      <w:r w:rsidRPr="00274609">
        <w:rPr>
          <w:b/>
          <w:bCs/>
        </w:rPr>
        <w:t>CAT/C/KEN/CO/1</w:t>
      </w:r>
      <w:r w:rsidRPr="00274609">
        <w:rPr>
          <w:rFonts w:hint="cs"/>
          <w:b/>
          <w:bCs/>
          <w:rtl/>
        </w:rPr>
        <w:t>، الفقرة 15)، تحث الدولة الطرف على تكثيف جهودها لجعل ظروف الاحتجاز تتمشى مع قواعد الأمم المتحدة النموذجية الدنيا لمعاملة السجناء وخصوصاً على تحقيق ما يلي:</w:t>
      </w:r>
    </w:p>
    <w:p w:rsidR="00F5005F" w:rsidRPr="00274609" w:rsidRDefault="00F5005F" w:rsidP="00464673">
      <w:pPr>
        <w:pStyle w:val="SingleTxtGA"/>
        <w:spacing w:line="366" w:lineRule="exact"/>
        <w:rPr>
          <w:rFonts w:hint="cs"/>
          <w:b/>
          <w:bCs/>
          <w:rtl/>
        </w:rPr>
      </w:pPr>
      <w:r w:rsidRPr="00274609">
        <w:rPr>
          <w:rFonts w:hint="cs"/>
          <w:b/>
          <w:bCs/>
          <w:rtl/>
        </w:rPr>
        <w:tab/>
        <w:t>(أ)</w:t>
      </w:r>
      <w:r w:rsidRPr="00274609">
        <w:rPr>
          <w:rFonts w:hint="cs"/>
          <w:b/>
          <w:bCs/>
          <w:rtl/>
        </w:rPr>
        <w:tab/>
        <w:t>اتخاذ جميع التدابير الملائمة للتصدي لارتفاع مستوى العنف في السجون بما فيه العنف الجنسي، ومنع الاستغلال الجنسي للمحتجزين ومعاقبة المسؤولين عن مثل تلك الأفعال؛</w:t>
      </w:r>
    </w:p>
    <w:p w:rsidR="00F5005F" w:rsidRPr="00274609" w:rsidRDefault="00F5005F" w:rsidP="0010745C">
      <w:pPr>
        <w:pStyle w:val="SingleTxtGA"/>
        <w:spacing w:line="366" w:lineRule="exact"/>
        <w:rPr>
          <w:rFonts w:hint="cs"/>
          <w:b/>
          <w:bCs/>
          <w:rtl/>
        </w:rPr>
      </w:pPr>
      <w:r w:rsidRPr="00274609">
        <w:rPr>
          <w:rFonts w:hint="cs"/>
          <w:b/>
          <w:bCs/>
          <w:rtl/>
        </w:rPr>
        <w:tab/>
        <w:t>(ب)</w:t>
      </w:r>
      <w:r w:rsidRPr="00274609">
        <w:rPr>
          <w:rFonts w:hint="cs"/>
          <w:b/>
          <w:bCs/>
          <w:rtl/>
        </w:rPr>
        <w:tab/>
        <w:t xml:space="preserve">مواصلة الحد من اكتظاظ السجون عن طريق زيادة الاعتماد على التدابير غير الاحتجازية، </w:t>
      </w:r>
      <w:r>
        <w:rPr>
          <w:rFonts w:hint="cs"/>
          <w:b/>
          <w:bCs/>
          <w:rtl/>
        </w:rPr>
        <w:t>و</w:t>
      </w:r>
      <w:r w:rsidRPr="00274609">
        <w:rPr>
          <w:rFonts w:hint="cs"/>
          <w:b/>
          <w:bCs/>
          <w:rtl/>
        </w:rPr>
        <w:t>الخدمة المجتمعية، خصوصاً في حال المخالفات البسيطة؛</w:t>
      </w:r>
    </w:p>
    <w:p w:rsidR="00F5005F" w:rsidRPr="00274609" w:rsidRDefault="00F5005F" w:rsidP="0010745C">
      <w:pPr>
        <w:pStyle w:val="SingleTxtGA"/>
        <w:spacing w:line="366" w:lineRule="exact"/>
        <w:rPr>
          <w:rFonts w:hint="cs"/>
          <w:b/>
          <w:bCs/>
          <w:rtl/>
        </w:rPr>
      </w:pPr>
      <w:r w:rsidRPr="00274609">
        <w:rPr>
          <w:rFonts w:hint="cs"/>
          <w:b/>
          <w:bCs/>
          <w:rtl/>
        </w:rPr>
        <w:tab/>
        <w:t>(ج)</w:t>
      </w:r>
      <w:r w:rsidRPr="00274609">
        <w:rPr>
          <w:rFonts w:hint="cs"/>
          <w:b/>
          <w:bCs/>
          <w:rtl/>
        </w:rPr>
        <w:tab/>
        <w:t>اعتماد مشروع السياسة الإصلاحية بهدف تحسين الظروف على نحو فعال في جميع أماكن الاحتجاز وضمان إتاحة خدمات صحية كافية.</w:t>
      </w:r>
    </w:p>
    <w:p w:rsidR="00F5005F" w:rsidRPr="00274609" w:rsidRDefault="00F5005F" w:rsidP="0010745C">
      <w:pPr>
        <w:pStyle w:val="SingleTxtGA"/>
        <w:spacing w:line="366" w:lineRule="exact"/>
        <w:rPr>
          <w:rFonts w:hint="cs"/>
          <w:b/>
          <w:bCs/>
          <w:rtl/>
        </w:rPr>
      </w:pPr>
      <w:r w:rsidRPr="00274609">
        <w:rPr>
          <w:rFonts w:hint="cs"/>
          <w:b/>
          <w:bCs/>
          <w:rtl/>
        </w:rPr>
        <w:tab/>
        <w:t>وإضافة إلى ذلك، ينبغي للدولة الطرف أن تحد من ممارسة سجن الأطفال برفقة أمهاتهم عن طريق تعزيز الاعتماد على التدابير غير الاحتجازية، و</w:t>
      </w:r>
      <w:r>
        <w:rPr>
          <w:rFonts w:hint="cs"/>
          <w:b/>
          <w:bCs/>
          <w:rtl/>
        </w:rPr>
        <w:t xml:space="preserve">أن </w:t>
      </w:r>
      <w:r w:rsidRPr="00274609">
        <w:rPr>
          <w:rFonts w:hint="cs"/>
          <w:b/>
          <w:bCs/>
          <w:rtl/>
        </w:rPr>
        <w:t>تكفل توافق ظروف الاحتجاز، إن لم يتسن تجنب ذلك، مع قواعد الأمم المتحدة لمعاملة السجينات والتدابير غير الاحتجازية للمجرمات (قواعد بانكوك) (قرار الجمعية العامة 65/229، المرفق).</w:t>
      </w:r>
    </w:p>
    <w:p w:rsidR="00F5005F" w:rsidRPr="005F3F9E" w:rsidRDefault="00E92C78" w:rsidP="0010745C">
      <w:pPr>
        <w:pStyle w:val="SingleTxtGA"/>
        <w:spacing w:line="366" w:lineRule="exact"/>
        <w:rPr>
          <w:rFonts w:hint="cs"/>
          <w:rtl/>
          <w:lang/>
        </w:rPr>
      </w:pPr>
      <w:r>
        <w:rPr>
          <w:rFonts w:hint="cs"/>
          <w:rtl/>
        </w:rPr>
        <w:t>(</w:t>
      </w:r>
      <w:r w:rsidR="00F5005F" w:rsidRPr="005F3F9E">
        <w:rPr>
          <w:rFonts w:hint="cs"/>
          <w:rtl/>
        </w:rPr>
        <w:t>13</w:t>
      </w:r>
      <w:r>
        <w:rPr>
          <w:rFonts w:hint="cs"/>
          <w:rtl/>
        </w:rPr>
        <w:t>)</w:t>
      </w:r>
      <w:r w:rsidR="00F5005F" w:rsidRPr="005F3F9E">
        <w:rPr>
          <w:rFonts w:hint="cs"/>
          <w:rtl/>
        </w:rPr>
        <w:tab/>
      </w:r>
      <w:r w:rsidR="00F5005F">
        <w:rPr>
          <w:rFonts w:hint="cs"/>
          <w:rtl/>
        </w:rPr>
        <w:t xml:space="preserve">وترحب اللجنة بالمعلومات التي أتاحها الوفد عن التدابير المتخذة للتصدي لمشكلة فيروس </w:t>
      </w:r>
      <w:r w:rsidR="00F5005F">
        <w:rPr>
          <w:rFonts w:hint="cs"/>
          <w:rtl/>
          <w:lang/>
        </w:rPr>
        <w:t>نقص المناعة البشرية/الإيدز في السجون، غير أنها لا تزال تشعر بالقلق إزاء انتشار هذا الفيروس في أماكن الاحتجاز وإزاء الادعاءات المتصلة بانتقال العدوى بالفيروس بين المحتجزين</w:t>
      </w:r>
      <w:r w:rsidR="0010745C">
        <w:rPr>
          <w:rFonts w:hint="eastAsia"/>
          <w:rtl/>
          <w:lang/>
        </w:rPr>
        <w:t> </w:t>
      </w:r>
      <w:r w:rsidR="00F5005F">
        <w:rPr>
          <w:rFonts w:hint="cs"/>
          <w:rtl/>
          <w:lang/>
        </w:rPr>
        <w:t>(المادة 16).</w:t>
      </w:r>
    </w:p>
    <w:p w:rsidR="00F5005F" w:rsidRPr="00274609" w:rsidRDefault="00F5005F" w:rsidP="0010745C">
      <w:pPr>
        <w:pStyle w:val="SingleTxtGA"/>
        <w:spacing w:line="366" w:lineRule="exact"/>
        <w:rPr>
          <w:rFonts w:hint="cs"/>
          <w:b/>
          <w:bCs/>
          <w:rtl/>
        </w:rPr>
      </w:pPr>
      <w:r w:rsidRPr="00274609">
        <w:rPr>
          <w:rFonts w:hint="cs"/>
          <w:b/>
          <w:bCs/>
          <w:rtl/>
        </w:rPr>
        <w:tab/>
        <w:t xml:space="preserve">تحث اللجنة الدولة الطرف على اعتماد جميع التدابير اللازمة لحماية المحتجزين من العدوى </w:t>
      </w:r>
      <w:r>
        <w:rPr>
          <w:rFonts w:hint="cs"/>
          <w:b/>
          <w:bCs/>
          <w:rtl/>
        </w:rPr>
        <w:t>بفيروس نقص المناعة البشرية/</w:t>
      </w:r>
      <w:r w:rsidR="0010745C">
        <w:rPr>
          <w:rFonts w:hint="cs"/>
          <w:b/>
          <w:bCs/>
          <w:rtl/>
        </w:rPr>
        <w:t>الإ</w:t>
      </w:r>
      <w:r>
        <w:rPr>
          <w:rFonts w:hint="cs"/>
          <w:b/>
          <w:bCs/>
          <w:rtl/>
        </w:rPr>
        <w:t>يدز</w:t>
      </w:r>
      <w:r w:rsidRPr="00274609">
        <w:rPr>
          <w:rFonts w:hint="cs"/>
          <w:b/>
          <w:bCs/>
          <w:rtl/>
        </w:rPr>
        <w:t>، بما في ذلك عبر تنظيم حملات لإذكاء الوعي وتوفير العوازل الذكرية عند الاقتضاء.</w:t>
      </w:r>
    </w:p>
    <w:p w:rsidR="00F5005F" w:rsidRPr="005F3F9E" w:rsidRDefault="00F5005F" w:rsidP="00E92C78">
      <w:pPr>
        <w:pStyle w:val="H23GA"/>
        <w:rPr>
          <w:rFonts w:hint="cs"/>
          <w:rtl/>
          <w:lang w:val="fr-CH"/>
        </w:rPr>
      </w:pPr>
      <w:r w:rsidRPr="005F3F9E">
        <w:rPr>
          <w:rFonts w:hint="cs"/>
          <w:rtl/>
          <w:lang w:val="fr-CH"/>
        </w:rPr>
        <w:tab/>
      </w:r>
      <w:r w:rsidRPr="005F3F9E">
        <w:rPr>
          <w:rFonts w:hint="cs"/>
          <w:rtl/>
          <w:lang w:val="fr-CH"/>
        </w:rPr>
        <w:tab/>
      </w:r>
      <w:r>
        <w:rPr>
          <w:rFonts w:hint="cs"/>
          <w:rtl/>
          <w:lang w:val="fr-CH"/>
        </w:rPr>
        <w:t>المؤسسة الوطنية لحقوق الإنسان</w:t>
      </w:r>
    </w:p>
    <w:p w:rsidR="00F5005F" w:rsidRDefault="00E92C78" w:rsidP="00E92C78">
      <w:pPr>
        <w:pStyle w:val="SingleTxtGA"/>
        <w:rPr>
          <w:rFonts w:hint="cs"/>
          <w:rtl/>
          <w:lang w:val="fr-CH"/>
        </w:rPr>
      </w:pPr>
      <w:r>
        <w:rPr>
          <w:rFonts w:hint="cs"/>
          <w:rtl/>
          <w:lang w:val="fr-CH"/>
        </w:rPr>
        <w:t>(</w:t>
      </w:r>
      <w:r w:rsidR="00F5005F" w:rsidRPr="005F3F9E">
        <w:rPr>
          <w:rFonts w:hint="cs"/>
          <w:rtl/>
          <w:lang w:val="fr-CH"/>
        </w:rPr>
        <w:t>14</w:t>
      </w:r>
      <w:r>
        <w:rPr>
          <w:rFonts w:hint="cs"/>
          <w:rtl/>
          <w:lang w:val="fr-CH"/>
        </w:rPr>
        <w:t>)</w:t>
      </w:r>
      <w:r w:rsidR="00F5005F" w:rsidRPr="005F3F9E">
        <w:rPr>
          <w:rFonts w:hint="cs"/>
          <w:rtl/>
          <w:lang w:val="fr-CH"/>
        </w:rPr>
        <w:tab/>
      </w:r>
      <w:r w:rsidR="00F5005F">
        <w:rPr>
          <w:rFonts w:hint="cs"/>
          <w:rtl/>
          <w:lang w:val="fr-CH"/>
        </w:rPr>
        <w:t xml:space="preserve">ترحب </w:t>
      </w:r>
      <w:r w:rsidR="00F5005F" w:rsidRPr="005F3F9E">
        <w:rPr>
          <w:rFonts w:hint="cs"/>
          <w:rtl/>
          <w:lang w:val="fr-CH"/>
        </w:rPr>
        <w:t xml:space="preserve">اللجنة </w:t>
      </w:r>
      <w:r w:rsidR="00F5005F">
        <w:rPr>
          <w:rFonts w:hint="cs"/>
          <w:rtl/>
          <w:lang w:val="fr-CH"/>
        </w:rPr>
        <w:t xml:space="preserve">بإعادة إنشاء </w:t>
      </w:r>
      <w:r w:rsidR="00F5005F" w:rsidRPr="00F7012C">
        <w:rPr>
          <w:rFonts w:hint="cs"/>
          <w:rtl/>
          <w:lang w:val="fr-CH"/>
        </w:rPr>
        <w:t>اللجنة الوطنية الكينية لحقوق الإنسان</w:t>
      </w:r>
      <w:r w:rsidR="00F5005F">
        <w:rPr>
          <w:rFonts w:hint="cs"/>
          <w:rtl/>
          <w:lang w:val="fr-CH"/>
        </w:rPr>
        <w:t xml:space="preserve"> (اللجنة الوطنية) في عام 2011، عقب سن قانون </w:t>
      </w:r>
      <w:r w:rsidR="00F5005F" w:rsidRPr="00F7012C">
        <w:rPr>
          <w:rFonts w:hint="cs"/>
          <w:rtl/>
          <w:lang w:val="fr-CH"/>
        </w:rPr>
        <w:t xml:space="preserve">اللجنة الوطنية </w:t>
      </w:r>
      <w:r w:rsidR="00F5005F">
        <w:rPr>
          <w:rFonts w:hint="cs"/>
          <w:rtl/>
          <w:lang w:val="fr-CH"/>
        </w:rPr>
        <w:t>(2011)، وبعمل هذه اللجنة الوطنية في مجال رصد الظروف في السجون ومراكز الاحتجاز، إلا أنها لا تزال تشعر بالقلق إزاء عدم التزام الدولة الطرف غير المشروط بتوفير التمويل الكافي للجنة الوطنية من أجل تمكينها من أداء ولايتها. وتعرب كذلك عن أسفها لعدم توفر المعلومات عن نشر التقارير بشأن زيارات أماكن الحرمان من الحرية التي تجريها هذه اللجنة (المادة 2).</w:t>
      </w:r>
    </w:p>
    <w:p w:rsidR="00F5005F" w:rsidRPr="00274609" w:rsidRDefault="00F5005F" w:rsidP="00F5005F">
      <w:pPr>
        <w:pStyle w:val="SingleTxtGA"/>
        <w:rPr>
          <w:rFonts w:hint="cs"/>
          <w:b/>
          <w:bCs/>
          <w:rtl/>
          <w:lang w:val="fr-CH"/>
        </w:rPr>
      </w:pPr>
      <w:r w:rsidRPr="00274609">
        <w:rPr>
          <w:rFonts w:hint="cs"/>
          <w:b/>
          <w:bCs/>
          <w:rtl/>
          <w:lang w:val="fr-CH"/>
        </w:rPr>
        <w:tab/>
        <w:t xml:space="preserve">ينبغي للدولة الطرف أن تلتزم دون قيد أو شرط بتزويد اللجنة الوطنية بالموارد المالية اللازمة لتمكينها من أداء ولايتها وفقاً للمبادئ المتعلقة بمركز المؤسسات الوطنية (مبادئ باريس) (قرار الجمعية العامة 48/134، المرفق). وعلاوة على ذلك، ينبغي نشر التقارير التي تعدها </w:t>
      </w:r>
      <w:r w:rsidRPr="00274609">
        <w:rPr>
          <w:rFonts w:hint="cs"/>
          <w:b/>
          <w:bCs/>
          <w:sz w:val="18"/>
          <w:szCs w:val="28"/>
          <w:rtl/>
          <w:lang w:val="fr-CH"/>
        </w:rPr>
        <w:t>اللجنة الوطنية بشأن الزيارات التي تجريها في أماكن الاحتجاز.</w:t>
      </w:r>
    </w:p>
    <w:p w:rsidR="00F5005F" w:rsidRPr="005F3F9E" w:rsidRDefault="00F5005F" w:rsidP="0010745C">
      <w:pPr>
        <w:pStyle w:val="H23GA"/>
        <w:rPr>
          <w:rFonts w:hint="cs"/>
          <w:rtl/>
          <w:lang w:val="fr-CH"/>
        </w:rPr>
      </w:pPr>
      <w:r w:rsidRPr="005F3F9E">
        <w:rPr>
          <w:rFonts w:hint="cs"/>
          <w:rtl/>
          <w:lang w:val="fr-CH"/>
        </w:rPr>
        <w:tab/>
      </w:r>
      <w:r w:rsidRPr="005F3F9E">
        <w:rPr>
          <w:rFonts w:hint="cs"/>
          <w:rtl/>
          <w:lang w:val="fr-CH"/>
        </w:rPr>
        <w:tab/>
      </w:r>
      <w:r>
        <w:rPr>
          <w:rFonts w:hint="cs"/>
          <w:rtl/>
          <w:lang w:val="fr-CH"/>
        </w:rPr>
        <w:t>ال</w:t>
      </w:r>
      <w:r w:rsidRPr="005F3F9E">
        <w:rPr>
          <w:rFonts w:hint="cs"/>
          <w:rtl/>
          <w:lang w:val="fr-CH"/>
        </w:rPr>
        <w:t xml:space="preserve">احتجاز </w:t>
      </w:r>
      <w:r>
        <w:rPr>
          <w:rFonts w:hint="cs"/>
          <w:rtl/>
          <w:lang w:val="fr-CH"/>
        </w:rPr>
        <w:t>السابق للمحاكمة</w:t>
      </w:r>
    </w:p>
    <w:p w:rsidR="00F5005F" w:rsidRDefault="0010745C" w:rsidP="00464673">
      <w:pPr>
        <w:pStyle w:val="SingleTxtGA"/>
        <w:rPr>
          <w:rFonts w:hint="cs"/>
          <w:rtl/>
          <w:lang w:val="fr-CH"/>
        </w:rPr>
      </w:pPr>
      <w:r>
        <w:rPr>
          <w:rFonts w:hint="cs"/>
          <w:rtl/>
          <w:lang w:val="fr-CH"/>
        </w:rPr>
        <w:t>(</w:t>
      </w:r>
      <w:r w:rsidR="00F5005F" w:rsidRPr="005F3F9E">
        <w:rPr>
          <w:rFonts w:hint="cs"/>
          <w:rtl/>
          <w:lang w:val="fr-CH"/>
        </w:rPr>
        <w:t>15</w:t>
      </w:r>
      <w:r>
        <w:rPr>
          <w:rFonts w:hint="cs"/>
          <w:rtl/>
          <w:lang w:val="fr-CH"/>
        </w:rPr>
        <w:t>)</w:t>
      </w:r>
      <w:r w:rsidR="00F5005F" w:rsidRPr="005F3F9E">
        <w:rPr>
          <w:rFonts w:hint="cs"/>
          <w:rtl/>
          <w:lang w:val="fr-CH"/>
        </w:rPr>
        <w:tab/>
      </w:r>
      <w:r w:rsidR="00F5005F">
        <w:rPr>
          <w:rFonts w:hint="cs"/>
          <w:rtl/>
          <w:lang w:val="fr-CH"/>
        </w:rPr>
        <w:t>ت</w:t>
      </w:r>
      <w:r w:rsidR="00F5005F" w:rsidRPr="005F3F9E">
        <w:rPr>
          <w:rFonts w:hint="cs"/>
          <w:rtl/>
          <w:lang w:val="fr-CH"/>
        </w:rPr>
        <w:t>ر</w:t>
      </w:r>
      <w:r w:rsidR="00F5005F">
        <w:rPr>
          <w:rFonts w:hint="cs"/>
          <w:rtl/>
          <w:lang w:val="fr-CH"/>
        </w:rPr>
        <w:t>ح</w:t>
      </w:r>
      <w:r w:rsidR="00F5005F" w:rsidRPr="005F3F9E">
        <w:rPr>
          <w:rFonts w:hint="cs"/>
          <w:rtl/>
          <w:lang w:val="fr-CH"/>
        </w:rPr>
        <w:t xml:space="preserve">ب اللجنة </w:t>
      </w:r>
      <w:r w:rsidR="00F5005F">
        <w:rPr>
          <w:rFonts w:hint="cs"/>
          <w:rtl/>
          <w:lang w:val="fr-CH"/>
        </w:rPr>
        <w:t>بالمعلومات التي أتاحتها الدولة الطرف عن التدابير الرامية إلى تقليص فترة الاحتجاز السابق للمحاكمة، غير أنها لا تزال تشعر بالقلق إزاء ارتفاع عدد المحتجزين في انتظار المحاكمة وطول مدة الاحتجاز السابق للمحاكمة التي تصل إلى أربع سنوات. وتعترف</w:t>
      </w:r>
      <w:r w:rsidR="00464673">
        <w:rPr>
          <w:rFonts w:hint="eastAsia"/>
          <w:rtl/>
          <w:lang w:val="fr-CH"/>
        </w:rPr>
        <w:t> </w:t>
      </w:r>
      <w:r w:rsidR="00F5005F">
        <w:rPr>
          <w:rFonts w:hint="cs"/>
          <w:rtl/>
          <w:lang w:val="fr-CH"/>
        </w:rPr>
        <w:t>اللجنة بأوجه تحسين نظام الإفراج بكفالة، إلا أنها تبدي قلقها لأن شروط الإفراج بكفالة لا</w:t>
      </w:r>
      <w:r w:rsidR="00F5005F">
        <w:rPr>
          <w:rFonts w:hint="eastAsia"/>
          <w:rtl/>
          <w:lang w:val="fr-CH"/>
        </w:rPr>
        <w:t> </w:t>
      </w:r>
      <w:r w:rsidR="00F5005F">
        <w:rPr>
          <w:rFonts w:hint="cs"/>
          <w:rtl/>
          <w:lang w:val="fr-CH"/>
        </w:rPr>
        <w:t xml:space="preserve">تزال صعبة للغاية وغير فعالة في الواقع </w:t>
      </w:r>
      <w:r w:rsidR="00F5005F" w:rsidRPr="005F3F9E">
        <w:rPr>
          <w:rFonts w:hint="cs"/>
          <w:rtl/>
          <w:lang w:val="fr-CH"/>
        </w:rPr>
        <w:t xml:space="preserve">(المواد </w:t>
      </w:r>
      <w:r w:rsidR="00F5005F">
        <w:rPr>
          <w:rFonts w:hint="cs"/>
          <w:rtl/>
          <w:lang w:val="fr-CH"/>
        </w:rPr>
        <w:t>2</w:t>
      </w:r>
      <w:r w:rsidR="00F5005F" w:rsidRPr="005F3F9E">
        <w:rPr>
          <w:rFonts w:hint="cs"/>
          <w:rtl/>
          <w:lang w:val="fr-CH"/>
        </w:rPr>
        <w:t xml:space="preserve"> و11 و16).</w:t>
      </w:r>
    </w:p>
    <w:p w:rsidR="00F5005F" w:rsidRPr="00274609" w:rsidRDefault="00F5005F" w:rsidP="00F5005F">
      <w:pPr>
        <w:pStyle w:val="SingleTxtGA"/>
        <w:rPr>
          <w:rFonts w:hint="cs"/>
          <w:b/>
          <w:bCs/>
          <w:rtl/>
          <w:lang w:val="fr-CH"/>
        </w:rPr>
      </w:pPr>
      <w:r w:rsidRPr="00274609">
        <w:rPr>
          <w:rFonts w:hint="cs"/>
          <w:b/>
          <w:bCs/>
          <w:rtl/>
          <w:lang w:val="fr-CH"/>
        </w:rPr>
        <w:tab/>
        <w:t>ينبغي للدولة الطرف أن تتخذ كل التدابير اللازمة للحد من اكتظاظ أماكن الاحتجاز ولا سيما عن طريق ما يلي:</w:t>
      </w:r>
    </w:p>
    <w:p w:rsidR="00F5005F" w:rsidRPr="00274609" w:rsidRDefault="00F5005F" w:rsidP="00F5005F">
      <w:pPr>
        <w:pStyle w:val="SingleTxtGA"/>
        <w:rPr>
          <w:rFonts w:hint="cs"/>
          <w:b/>
          <w:bCs/>
          <w:lang w:val="fr-CH"/>
        </w:rPr>
      </w:pPr>
      <w:r w:rsidRPr="00274609">
        <w:rPr>
          <w:rFonts w:hint="cs"/>
          <w:b/>
          <w:bCs/>
          <w:rtl/>
          <w:lang w:val="fr-CH"/>
        </w:rPr>
        <w:tab/>
        <w:t>(أ)</w:t>
      </w:r>
      <w:r w:rsidRPr="00274609">
        <w:rPr>
          <w:rFonts w:hint="cs"/>
          <w:b/>
          <w:bCs/>
          <w:rtl/>
          <w:lang w:val="fr-CH"/>
        </w:rPr>
        <w:tab/>
        <w:t>تكثيف جهودها الرامية إلى الحد من تراكم القضايا بما في ذلك من خلال تعزيز قدرة الجهاز القضائي واستعراض سياسة العدالة الجنائية الحالية؛</w:t>
      </w:r>
    </w:p>
    <w:p w:rsidR="00F5005F" w:rsidRPr="00274609" w:rsidRDefault="00F5005F" w:rsidP="0010745C">
      <w:pPr>
        <w:pStyle w:val="SingleTxtGA"/>
        <w:rPr>
          <w:rFonts w:hint="cs"/>
          <w:b/>
          <w:bCs/>
          <w:lang w:val="fr-CH"/>
        </w:rPr>
      </w:pPr>
      <w:r w:rsidRPr="00274609">
        <w:rPr>
          <w:rFonts w:hint="cs"/>
          <w:b/>
          <w:bCs/>
          <w:rtl/>
          <w:lang w:val="fr-CH"/>
        </w:rPr>
        <w:tab/>
        <w:t>(ب)</w:t>
      </w:r>
      <w:r w:rsidRPr="00274609">
        <w:rPr>
          <w:rFonts w:hint="cs"/>
          <w:b/>
          <w:bCs/>
          <w:rtl/>
          <w:lang w:val="fr-CH"/>
        </w:rPr>
        <w:tab/>
        <w:t>سن مشروع قانون الإعلام عن نظام الإفراج بكفالة والإشراف عليه</w:t>
      </w:r>
      <w:r w:rsidR="0010745C">
        <w:rPr>
          <w:rFonts w:hint="eastAsia"/>
          <w:b/>
          <w:bCs/>
          <w:rtl/>
          <w:lang w:val="fr-CH"/>
        </w:rPr>
        <w:t> </w:t>
      </w:r>
      <w:r w:rsidRPr="00274609">
        <w:rPr>
          <w:rFonts w:hint="cs"/>
          <w:b/>
          <w:bCs/>
          <w:rtl/>
          <w:lang w:val="fr-CH"/>
        </w:rPr>
        <w:t>(2011)؛</w:t>
      </w:r>
    </w:p>
    <w:p w:rsidR="00F5005F" w:rsidRPr="00274609" w:rsidRDefault="00F5005F" w:rsidP="00F5005F">
      <w:pPr>
        <w:pStyle w:val="SingleTxtGA"/>
        <w:rPr>
          <w:rFonts w:hint="cs"/>
          <w:b/>
          <w:bCs/>
          <w:rtl/>
          <w:lang w:val="fr-CH"/>
        </w:rPr>
      </w:pPr>
      <w:r w:rsidRPr="00274609">
        <w:rPr>
          <w:rFonts w:hint="cs"/>
          <w:b/>
          <w:bCs/>
          <w:rtl/>
          <w:lang w:val="fr-CH"/>
        </w:rPr>
        <w:tab/>
        <w:t>(ج)</w:t>
      </w:r>
      <w:r w:rsidRPr="00274609">
        <w:rPr>
          <w:rFonts w:hint="cs"/>
          <w:b/>
          <w:bCs/>
          <w:rtl/>
          <w:lang w:val="fr-CH"/>
        </w:rPr>
        <w:tab/>
        <w:t>إتاحة تدابير إصدار أحكام غير احتجازية وتوعية الموظفين المعنيين في مجال القضاء باستخدام هذه التدابير وفقاً لقواعد الأمم المتحدة النموذجية الدنيا للتدابير غير الاحتجازية (قواعد طوكيو) (قرار الجمعية العامة 45/110، المرفق).</w:t>
      </w:r>
    </w:p>
    <w:p w:rsidR="00F5005F" w:rsidRPr="005F3F9E" w:rsidRDefault="00F5005F" w:rsidP="0010745C">
      <w:pPr>
        <w:pStyle w:val="H23GA"/>
        <w:rPr>
          <w:rFonts w:hint="cs"/>
          <w:rtl/>
          <w:lang w:val="fr-CH"/>
        </w:rPr>
      </w:pPr>
      <w:r>
        <w:rPr>
          <w:rFonts w:hint="cs"/>
          <w:rtl/>
          <w:lang w:val="fr-CH"/>
        </w:rPr>
        <w:tab/>
      </w:r>
      <w:r>
        <w:rPr>
          <w:rFonts w:hint="cs"/>
          <w:rtl/>
          <w:lang w:val="fr-CH"/>
        </w:rPr>
        <w:tab/>
      </w:r>
      <w:r w:rsidRPr="00BB4DF0">
        <w:rPr>
          <w:rFonts w:hint="cs"/>
          <w:rtl/>
          <w:lang w:val="fr-CH"/>
        </w:rPr>
        <w:t>الاعتقالات التعسفية وفساد الشرطة</w:t>
      </w:r>
    </w:p>
    <w:p w:rsidR="00F5005F" w:rsidRDefault="0010745C" w:rsidP="0010745C">
      <w:pPr>
        <w:pStyle w:val="SingleTxtGA"/>
        <w:rPr>
          <w:rFonts w:hint="cs"/>
          <w:rtl/>
          <w:lang w:val="fr-CH"/>
        </w:rPr>
      </w:pPr>
      <w:r>
        <w:rPr>
          <w:rFonts w:hint="cs"/>
          <w:rtl/>
          <w:lang w:val="fr-CH"/>
        </w:rPr>
        <w:t>(</w:t>
      </w:r>
      <w:r w:rsidR="00F5005F" w:rsidRPr="005F3F9E">
        <w:rPr>
          <w:rFonts w:hint="cs"/>
          <w:rtl/>
          <w:lang w:val="fr-CH"/>
        </w:rPr>
        <w:t>16</w:t>
      </w:r>
      <w:r>
        <w:rPr>
          <w:rFonts w:hint="cs"/>
          <w:rtl/>
          <w:lang w:val="fr-CH"/>
        </w:rPr>
        <w:t>)</w:t>
      </w:r>
      <w:r w:rsidR="00F5005F" w:rsidRPr="005F3F9E">
        <w:rPr>
          <w:rFonts w:hint="cs"/>
          <w:rtl/>
          <w:lang w:val="fr-CH"/>
        </w:rPr>
        <w:tab/>
      </w:r>
      <w:r w:rsidR="00F5005F">
        <w:rPr>
          <w:rFonts w:hint="cs"/>
          <w:rtl/>
          <w:lang w:val="fr-CH"/>
        </w:rPr>
        <w:t>يساور اللجنة القلق إزاء استمرار الادعاءات المتصلة بانتشار ممارسة الشرطة للاحتجاز التعسفي التي ترتبط في الغالب بابتزاز المحتجزين وتستهدف بوجه خاص الأحياء الفقيرة (المواد 2 و11 و16).</w:t>
      </w:r>
    </w:p>
    <w:p w:rsidR="00F5005F" w:rsidRPr="00274609" w:rsidRDefault="00F5005F" w:rsidP="00F5005F">
      <w:pPr>
        <w:pStyle w:val="SingleTxtGA"/>
        <w:rPr>
          <w:rFonts w:hint="cs"/>
          <w:b/>
          <w:bCs/>
          <w:rtl/>
          <w:lang w:val="fr-CH"/>
        </w:rPr>
      </w:pPr>
      <w:r w:rsidRPr="00274609">
        <w:rPr>
          <w:rFonts w:hint="cs"/>
          <w:b/>
          <w:bCs/>
          <w:rtl/>
          <w:lang w:val="fr-CH"/>
        </w:rPr>
        <w:tab/>
        <w:t>بالإشارة إلى التوصيات المقدمة في الفقرة 11 من هذه الملاحظات الختامية، ينبغي للدولة الطرف أيضاً أن تتخذ جميع التدابير اللازمة لتحديد الحالات التي يتعرض فيها الأشخاص المستضعفون للاعتقال التعسفي، ومنع مثل هذه الأفعال ووضع أنظمة لضمان إجراء تحقيقات عاجلة وفعالة ونزيهة في فساد الشرطة. وينبغي توقيف مرتكبي تلك الأفعال عن العمل أثناء التحقيق في أمرهم ومحاكمتهم.</w:t>
      </w:r>
    </w:p>
    <w:p w:rsidR="00F5005F" w:rsidRPr="005F3F9E" w:rsidRDefault="00F5005F" w:rsidP="0010745C">
      <w:pPr>
        <w:pStyle w:val="H23GA"/>
        <w:rPr>
          <w:rFonts w:hint="cs"/>
          <w:rtl/>
          <w:lang w:val="fr-CH"/>
        </w:rPr>
      </w:pPr>
      <w:r w:rsidRPr="005F3F9E">
        <w:rPr>
          <w:rFonts w:hint="cs"/>
          <w:rtl/>
          <w:lang w:val="fr-CH"/>
        </w:rPr>
        <w:tab/>
      </w:r>
      <w:r w:rsidRPr="005F3F9E">
        <w:rPr>
          <w:rFonts w:hint="cs"/>
          <w:rtl/>
          <w:lang w:val="fr-CH"/>
        </w:rPr>
        <w:tab/>
      </w:r>
      <w:r>
        <w:rPr>
          <w:rFonts w:hint="cs"/>
          <w:rtl/>
          <w:lang w:val="fr-CH"/>
        </w:rPr>
        <w:t>حالات الإعدام خارج نطاق القانون</w:t>
      </w:r>
    </w:p>
    <w:p w:rsidR="00F5005F" w:rsidRPr="005F3F9E" w:rsidRDefault="0010745C" w:rsidP="0010745C">
      <w:pPr>
        <w:pStyle w:val="SingleTxtGA"/>
        <w:rPr>
          <w:rFonts w:hint="cs"/>
          <w:rtl/>
          <w:lang w:val="fr-CH"/>
        </w:rPr>
      </w:pPr>
      <w:r>
        <w:rPr>
          <w:rFonts w:hint="cs"/>
          <w:rtl/>
          <w:lang w:val="fr-CH"/>
        </w:rPr>
        <w:t>(</w:t>
      </w:r>
      <w:r w:rsidR="00F5005F" w:rsidRPr="005F3F9E">
        <w:rPr>
          <w:rFonts w:hint="cs"/>
          <w:rtl/>
          <w:lang w:val="fr-CH"/>
        </w:rPr>
        <w:t>17</w:t>
      </w:r>
      <w:r>
        <w:rPr>
          <w:rFonts w:hint="cs"/>
          <w:rtl/>
          <w:lang w:val="fr-CH"/>
        </w:rPr>
        <w:t>)</w:t>
      </w:r>
      <w:r w:rsidR="00F5005F" w:rsidRPr="005F3F9E">
        <w:rPr>
          <w:rFonts w:hint="cs"/>
          <w:rtl/>
          <w:lang w:val="fr-CH"/>
        </w:rPr>
        <w:tab/>
      </w:r>
      <w:r w:rsidR="00F5005F">
        <w:rPr>
          <w:rFonts w:hint="cs"/>
          <w:rtl/>
          <w:lang w:val="fr-CH"/>
        </w:rPr>
        <w:t>تعرب</w:t>
      </w:r>
      <w:r w:rsidR="00F5005F" w:rsidRPr="005F3F9E">
        <w:rPr>
          <w:rFonts w:hint="cs"/>
          <w:rtl/>
          <w:lang w:val="fr-CH"/>
        </w:rPr>
        <w:t xml:space="preserve"> اللجنة </w:t>
      </w:r>
      <w:r w:rsidR="00F5005F">
        <w:rPr>
          <w:rFonts w:hint="cs"/>
          <w:rtl/>
          <w:lang w:val="fr-CH"/>
        </w:rPr>
        <w:t>عن قلقها إزاء التقارير التي تفيد بحالات الإعدام خارج نطاق القانون ولا سيما إعدام المسنات المتهمات بممارسة السحر وإزاء الادعاءات التي تفيد بعدم التحقيق في تلك الأفعال والمحاكمة والمعاقبة عليها على نحو فعال حتى في الحالات التي يتوفر بشأنها دليل مصور بالفيديو على الإعدام خارج نطاق القانون (المادتان 2 و12).</w:t>
      </w:r>
    </w:p>
    <w:p w:rsidR="00F5005F" w:rsidRPr="00274609" w:rsidRDefault="00F5005F" w:rsidP="00F5005F">
      <w:pPr>
        <w:pStyle w:val="SingleTxtGA"/>
        <w:rPr>
          <w:rFonts w:hint="cs"/>
          <w:b/>
          <w:bCs/>
          <w:rtl/>
          <w:lang w:val="fr-CH"/>
        </w:rPr>
      </w:pPr>
      <w:r w:rsidRPr="00274609">
        <w:rPr>
          <w:rFonts w:hint="cs"/>
          <w:b/>
          <w:bCs/>
          <w:rtl/>
          <w:lang w:val="fr-CH"/>
        </w:rPr>
        <w:tab/>
        <w:t>تحث اللجنة الدولة الطرف على تعديل القانون المتعلق بممارسة السحر (1925) حتى يتمشى مع الدستور والمعايير الدولية لحقوق الإنسان، بغية القضاء على ممارسة الإعدام خارج نطاق القانون. وينبغي للدولة الطرف أن تحقق في أمر مرتكبي مثل تلك الأفعال وتحاكمهم وتعاقبهم معاقبة مناسبة بهدف ضمان أمن جميع الأشخاص وسلامتهم.</w:t>
      </w:r>
    </w:p>
    <w:p w:rsidR="00F5005F" w:rsidRPr="005F3F9E" w:rsidRDefault="00F5005F" w:rsidP="0010745C">
      <w:pPr>
        <w:pStyle w:val="H23GA"/>
        <w:rPr>
          <w:rFonts w:hint="cs"/>
          <w:rtl/>
          <w:lang w:val="fr-CH"/>
        </w:rPr>
      </w:pPr>
      <w:r w:rsidRPr="005F3F9E">
        <w:rPr>
          <w:rFonts w:hint="cs"/>
          <w:rtl/>
          <w:lang w:val="fr-CH"/>
        </w:rPr>
        <w:tab/>
      </w:r>
      <w:r w:rsidRPr="005F3F9E">
        <w:rPr>
          <w:rFonts w:hint="cs"/>
          <w:rtl/>
          <w:lang w:val="fr-CH"/>
        </w:rPr>
        <w:tab/>
      </w:r>
      <w:r>
        <w:rPr>
          <w:rFonts w:hint="cs"/>
          <w:rtl/>
          <w:lang w:val="fr-CH"/>
        </w:rPr>
        <w:t>التحقيق في أعمال العنف التالية للانتخابات</w:t>
      </w:r>
    </w:p>
    <w:p w:rsidR="00F5005F" w:rsidRDefault="0010745C" w:rsidP="0010745C">
      <w:pPr>
        <w:pStyle w:val="SingleTxtGA"/>
        <w:rPr>
          <w:rFonts w:hint="cs"/>
          <w:rtl/>
          <w:lang w:val="fr-CH"/>
        </w:rPr>
      </w:pPr>
      <w:r>
        <w:rPr>
          <w:rFonts w:hint="cs"/>
          <w:rtl/>
          <w:lang w:val="fr-CH"/>
        </w:rPr>
        <w:t>(</w:t>
      </w:r>
      <w:r w:rsidR="00F5005F" w:rsidRPr="005F3F9E">
        <w:rPr>
          <w:rFonts w:hint="cs"/>
          <w:rtl/>
          <w:lang w:val="fr-CH"/>
        </w:rPr>
        <w:t>18</w:t>
      </w:r>
      <w:r>
        <w:rPr>
          <w:rFonts w:hint="cs"/>
          <w:rtl/>
          <w:lang w:val="fr-CH"/>
        </w:rPr>
        <w:t>)</w:t>
      </w:r>
      <w:r w:rsidR="00F5005F" w:rsidRPr="005F3F9E">
        <w:rPr>
          <w:rFonts w:hint="cs"/>
          <w:rtl/>
          <w:lang w:val="fr-CH"/>
        </w:rPr>
        <w:tab/>
      </w:r>
      <w:r w:rsidR="00F5005F">
        <w:rPr>
          <w:rFonts w:hint="cs"/>
          <w:rtl/>
          <w:lang w:val="fr-CH"/>
        </w:rPr>
        <w:t xml:space="preserve">ترحب </w:t>
      </w:r>
      <w:r w:rsidR="00F5005F" w:rsidRPr="005F3F9E">
        <w:rPr>
          <w:rFonts w:hint="cs"/>
          <w:rtl/>
          <w:lang w:val="fr-CH"/>
        </w:rPr>
        <w:t xml:space="preserve">اللجنة </w:t>
      </w:r>
      <w:r w:rsidR="00F5005F">
        <w:rPr>
          <w:rFonts w:hint="cs"/>
          <w:rtl/>
          <w:lang w:val="fr-CH"/>
        </w:rPr>
        <w:t>بالمعلومات التي أتاحها الوفد عن تقديم تقرير لجنة تقصي الحقائق والعدل والمصالحة إلى الرئيس ونشره، غير أنها لا تزال تشعر بالقلق لأن الحكومة لم تنظر بعد في التقرير ولأن نتيجة هذا التقرير لا تزال غير معروفة. وتعرب اللجنة عن أسفها لعدم نشر التقرير الختامي لفرقة العمل المشتركة بين الوكالات، كما يساورها القلق إزاء التأخير في إجراء تحقيقات فعالة ونزيهة في أعمال العنف التي تلت الانتخابات في عامي 2007 و2008، مما أدى إلى بقاء مرتكبي تلك الأعمال أحراراً طلقاء (المواد 11 و12 و14).</w:t>
      </w:r>
    </w:p>
    <w:p w:rsidR="00F5005F" w:rsidRPr="00274609" w:rsidRDefault="00F5005F" w:rsidP="00F5005F">
      <w:pPr>
        <w:pStyle w:val="SingleTxtGA"/>
        <w:rPr>
          <w:rFonts w:hint="cs"/>
          <w:b/>
          <w:bCs/>
          <w:rtl/>
          <w:lang w:val="fr-CH"/>
        </w:rPr>
      </w:pPr>
      <w:r w:rsidRPr="00274609">
        <w:rPr>
          <w:rFonts w:hint="cs"/>
          <w:b/>
          <w:bCs/>
          <w:rtl/>
          <w:lang w:val="fr-CH"/>
        </w:rPr>
        <w:tab/>
        <w:t xml:space="preserve">تذكر اللجنة بتوصياتها السابقة (الوثيقة </w:t>
      </w:r>
      <w:r w:rsidRPr="00274609">
        <w:rPr>
          <w:b/>
          <w:bCs/>
        </w:rPr>
        <w:t>CAT/C/KEN/CO/1</w:t>
      </w:r>
      <w:r w:rsidRPr="00274609">
        <w:rPr>
          <w:rFonts w:hint="cs"/>
          <w:b/>
          <w:bCs/>
          <w:rtl/>
          <w:lang w:val="fr-CH"/>
        </w:rPr>
        <w:t>، الفقرتان 19 و20)، وتحث الدولة الطرف على الاضطلاع بما يلي:</w:t>
      </w:r>
    </w:p>
    <w:p w:rsidR="00F5005F" w:rsidRPr="00274609" w:rsidRDefault="00F5005F" w:rsidP="00F5005F">
      <w:pPr>
        <w:pStyle w:val="SingleTxtGA"/>
        <w:rPr>
          <w:rFonts w:hint="cs"/>
          <w:b/>
          <w:bCs/>
          <w:lang w:val="fr-CH"/>
        </w:rPr>
      </w:pPr>
      <w:r w:rsidRPr="00274609">
        <w:rPr>
          <w:rFonts w:hint="cs"/>
          <w:b/>
          <w:bCs/>
          <w:rtl/>
        </w:rPr>
        <w:tab/>
        <w:t>(أ)</w:t>
      </w:r>
      <w:r w:rsidRPr="00274609">
        <w:rPr>
          <w:rFonts w:hint="cs"/>
          <w:b/>
          <w:bCs/>
          <w:rtl/>
        </w:rPr>
        <w:tab/>
        <w:t xml:space="preserve">تكثيف جهودها الرامية إلى ضمان التحقيق العاجل والنزيه والفعال في جميع الادعاءات المتعلقة بالاستخدام المفرط للقوة وممارسة التعذيب وأعمال القتل خارج نطاق القضاء من جانب الشرطة والقوات العسكرية خلال </w:t>
      </w:r>
      <w:r w:rsidRPr="00274609">
        <w:rPr>
          <w:rFonts w:hint="cs"/>
          <w:b/>
          <w:bCs/>
          <w:rtl/>
          <w:lang w:val="fr-CH"/>
        </w:rPr>
        <w:t>أحداث العنف التي تلت الانتخابات، ومحاكمة مرتكبي تلك الأعمال ومعاقبتهم بالصورة المناسبة في حال إدانتهم. وينبغي أن يحصل جميع الضحايا على تعويض كاف؛</w:t>
      </w:r>
    </w:p>
    <w:p w:rsidR="00F5005F" w:rsidRPr="00274609" w:rsidRDefault="00F5005F" w:rsidP="00F5005F">
      <w:pPr>
        <w:pStyle w:val="SingleTxtGA"/>
        <w:rPr>
          <w:rFonts w:hint="cs"/>
          <w:b/>
          <w:bCs/>
          <w:lang w:val="fr-CH"/>
        </w:rPr>
      </w:pPr>
      <w:r w:rsidRPr="00274609">
        <w:rPr>
          <w:rFonts w:hint="cs"/>
          <w:b/>
          <w:bCs/>
          <w:rtl/>
          <w:lang w:val="fr-CH"/>
        </w:rPr>
        <w:tab/>
        <w:t>(ب)</w:t>
      </w:r>
      <w:r w:rsidRPr="00274609">
        <w:rPr>
          <w:rFonts w:hint="cs"/>
          <w:b/>
          <w:bCs/>
          <w:rtl/>
          <w:lang w:val="fr-CH"/>
        </w:rPr>
        <w:tab/>
        <w:t xml:space="preserve">مواصلة تعاونها مع </w:t>
      </w:r>
      <w:r w:rsidRPr="00274609">
        <w:rPr>
          <w:rFonts w:hint="cs"/>
          <w:b/>
          <w:bCs/>
          <w:rtl/>
          <w:lang/>
        </w:rPr>
        <w:t>المدعي العام للمحكمة الجنائية الدولية؛</w:t>
      </w:r>
    </w:p>
    <w:p w:rsidR="00F5005F" w:rsidRPr="00274609" w:rsidRDefault="00F5005F" w:rsidP="00F5005F">
      <w:pPr>
        <w:pStyle w:val="SingleTxtGA"/>
        <w:rPr>
          <w:rFonts w:hint="cs"/>
          <w:b/>
          <w:bCs/>
          <w:rtl/>
          <w:lang w:val="fr-CH"/>
        </w:rPr>
      </w:pPr>
      <w:r w:rsidRPr="00274609">
        <w:rPr>
          <w:rFonts w:hint="cs"/>
          <w:b/>
          <w:bCs/>
          <w:rtl/>
          <w:lang w:val="fr-CH"/>
        </w:rPr>
        <w:tab/>
        <w:t>(ج)</w:t>
      </w:r>
      <w:r w:rsidRPr="00274609">
        <w:rPr>
          <w:rFonts w:hint="cs"/>
          <w:b/>
          <w:bCs/>
          <w:rtl/>
          <w:lang w:val="fr-CH"/>
        </w:rPr>
        <w:tab/>
        <w:t>نشر تقرير فرقة العمل المشتركة بين الوكالات؛</w:t>
      </w:r>
    </w:p>
    <w:p w:rsidR="00F5005F" w:rsidRPr="00274609" w:rsidRDefault="00F5005F" w:rsidP="00F5005F">
      <w:pPr>
        <w:pStyle w:val="SingleTxtGA"/>
        <w:rPr>
          <w:rFonts w:hint="cs"/>
          <w:b/>
          <w:bCs/>
          <w:rtl/>
          <w:lang w:val="fr-CH"/>
        </w:rPr>
      </w:pPr>
      <w:r w:rsidRPr="00274609">
        <w:rPr>
          <w:rFonts w:hint="cs"/>
          <w:b/>
          <w:bCs/>
          <w:rtl/>
          <w:lang w:val="fr-CH"/>
        </w:rPr>
        <w:tab/>
        <w:t>(د)</w:t>
      </w:r>
      <w:r w:rsidRPr="00274609">
        <w:rPr>
          <w:rFonts w:hint="cs"/>
          <w:b/>
          <w:bCs/>
          <w:rtl/>
          <w:lang w:val="fr-CH"/>
        </w:rPr>
        <w:tab/>
        <w:t xml:space="preserve">ضمان النظر دون تأخير في تقرير </w:t>
      </w:r>
      <w:r w:rsidRPr="00274609">
        <w:rPr>
          <w:rFonts w:hint="cs"/>
          <w:b/>
          <w:bCs/>
          <w:rtl/>
          <w:lang w:val="fr-CH"/>
        </w:rPr>
        <w:t>لجنة تقصي الحقائق والعدل والمصالحة ونشره وتنفيذ التوصيات الواردة فيه.</w:t>
      </w:r>
    </w:p>
    <w:p w:rsidR="00F5005F" w:rsidRPr="005F3F9E" w:rsidRDefault="00F5005F" w:rsidP="0010745C">
      <w:pPr>
        <w:pStyle w:val="H23GA"/>
        <w:rPr>
          <w:rFonts w:hint="cs"/>
          <w:rtl/>
          <w:lang w:val="fr-CH"/>
        </w:rPr>
      </w:pPr>
      <w:r w:rsidRPr="005F3F9E">
        <w:rPr>
          <w:rFonts w:hint="cs"/>
          <w:rtl/>
          <w:lang w:val="fr-CH"/>
        </w:rPr>
        <w:tab/>
      </w:r>
      <w:r w:rsidRPr="005F3F9E">
        <w:rPr>
          <w:rFonts w:hint="cs"/>
          <w:rtl/>
          <w:lang w:val="fr-CH"/>
        </w:rPr>
        <w:tab/>
      </w:r>
      <w:r>
        <w:rPr>
          <w:rFonts w:hint="cs"/>
          <w:rtl/>
          <w:lang w:val="fr-CH"/>
        </w:rPr>
        <w:t>اللاجئون وتدابير مكافحة الإرهاب</w:t>
      </w:r>
    </w:p>
    <w:p w:rsidR="00F5005F" w:rsidRPr="0010745C" w:rsidRDefault="0010745C" w:rsidP="0010745C">
      <w:pPr>
        <w:pStyle w:val="SingleTxtGA"/>
        <w:rPr>
          <w:rFonts w:hint="cs"/>
          <w:spacing w:val="-2"/>
          <w:rtl/>
          <w:lang w:val="fr-CH"/>
        </w:rPr>
      </w:pPr>
      <w:r>
        <w:rPr>
          <w:rFonts w:hint="cs"/>
          <w:rtl/>
          <w:lang w:val="fr-CH"/>
        </w:rPr>
        <w:t>(</w:t>
      </w:r>
      <w:r w:rsidR="00F5005F" w:rsidRPr="005F3F9E">
        <w:rPr>
          <w:rFonts w:hint="cs"/>
          <w:rtl/>
          <w:lang w:val="fr-CH"/>
        </w:rPr>
        <w:t>19</w:t>
      </w:r>
      <w:r>
        <w:rPr>
          <w:rFonts w:hint="cs"/>
          <w:rtl/>
          <w:lang w:val="fr-CH"/>
        </w:rPr>
        <w:t>)</w:t>
      </w:r>
      <w:r w:rsidR="00F5005F" w:rsidRPr="005F3F9E">
        <w:rPr>
          <w:rFonts w:hint="cs"/>
          <w:rtl/>
          <w:lang w:val="fr-CH"/>
        </w:rPr>
        <w:tab/>
      </w:r>
      <w:r w:rsidR="00F5005F">
        <w:rPr>
          <w:rFonts w:hint="cs"/>
          <w:rtl/>
          <w:lang w:val="fr-CH"/>
        </w:rPr>
        <w:t>تهنئ اللجنة الدولة الطرف على جهودها المبذولة لتوفير المأوى لأكثر من</w:t>
      </w:r>
      <w:r w:rsidR="00F5005F">
        <w:rPr>
          <w:rFonts w:hint="eastAsia"/>
          <w:rtl/>
          <w:lang w:val="fr-CH"/>
        </w:rPr>
        <w:t> </w:t>
      </w:r>
      <w:r w:rsidR="00F5005F">
        <w:rPr>
          <w:rFonts w:hint="cs"/>
          <w:rtl/>
          <w:lang w:val="fr-CH"/>
        </w:rPr>
        <w:t>000 600 لاجئ، وتقر بالشواغل الأمنية الوطنية المشروعة للدولة الطرف، ولا</w:t>
      </w:r>
      <w:r w:rsidR="00F5005F">
        <w:rPr>
          <w:rFonts w:hint="eastAsia"/>
          <w:rtl/>
          <w:lang w:val="fr-CH"/>
        </w:rPr>
        <w:t> </w:t>
      </w:r>
      <w:r w:rsidR="00F5005F">
        <w:rPr>
          <w:rFonts w:hint="cs"/>
          <w:rtl/>
          <w:lang w:val="fr-CH"/>
        </w:rPr>
        <w:t xml:space="preserve">سيما </w:t>
      </w:r>
      <w:r w:rsidR="00F5005F" w:rsidRPr="0010745C">
        <w:rPr>
          <w:rFonts w:hint="cs"/>
          <w:spacing w:val="-2"/>
          <w:rtl/>
          <w:lang w:val="fr-CH"/>
        </w:rPr>
        <w:t xml:space="preserve">شواغلها المرتبطة بالحدود مع الصومال، غير أن اللجنة لا تزال تشعر بالقلق إزاء الادعاءات المتعلقة بأعمال العنف التي ترتكبها الشرطة بما فيها أعمال القتل، وإزاء مستويات العنف الجنسي والقائم على نوع الجنس المسجلة في مخيمات اللاجئين. وتعرب اللجنة أيضاً عن قلقها إزاء تخلف الدولة الطرف عن التحقيق في الأعمال التي ارتكبتها قوات الأمن إبان "العملية الخاصة" في منطقة منديرا في تشرين الأول/أكتوبر 2008، وفي مخيمات اللاجئين في داداب بين عامي 2008 و2010، وفي إيستلاي في الفترة بين منتصف شهر </w:t>
      </w:r>
      <w:r>
        <w:rPr>
          <w:rFonts w:hint="cs"/>
          <w:spacing w:val="-2"/>
          <w:rtl/>
          <w:lang w:val="fr-CH"/>
        </w:rPr>
        <w:t>تشرين الثاني/</w:t>
      </w:r>
      <w:r w:rsidR="00F5005F" w:rsidRPr="0010745C">
        <w:rPr>
          <w:rFonts w:hint="cs"/>
          <w:spacing w:val="-2"/>
          <w:rtl/>
          <w:lang w:val="fr-CH"/>
        </w:rPr>
        <w:t>نوفمبر 2012 وأواخر شهر كانون الثاني/يناير 2013، ومحاكمة مرتكبي تلك الأعمال ومعاقبتهم بصورة فعلية. ويساور اللجنة القلق على نحو خاص إزاء عدم التحقيق الفعال في قتل الشرطة لشخصين لاجئين في مخيم اللاجئين في داغاليه في حزيران/يونيه 2011 (المواد 2 و11 و12).</w:t>
      </w:r>
    </w:p>
    <w:p w:rsidR="00F5005F" w:rsidRPr="00274609" w:rsidRDefault="00F5005F" w:rsidP="0010745C">
      <w:pPr>
        <w:pStyle w:val="SingleTxtGA"/>
        <w:rPr>
          <w:rFonts w:hint="cs"/>
          <w:b/>
          <w:bCs/>
          <w:rtl/>
          <w:lang w:val="fr-CH"/>
        </w:rPr>
      </w:pPr>
      <w:r w:rsidRPr="00274609">
        <w:rPr>
          <w:rFonts w:hint="cs"/>
          <w:b/>
          <w:bCs/>
          <w:rtl/>
          <w:lang w:val="fr-CH"/>
        </w:rPr>
        <w:tab/>
        <w:t xml:space="preserve">تحث اللجنة الدولة الطرف على ضمان تنفيذ جميع عمليات الشرطة والقوات العسكرية، بما فيها أنشطة مكافحة الإرهاب، بالامتثال التام للاتفاقية والتزامات الدولة الطرف بموجب القانون الدولي. وينبغي للدولة الطرف أن تجري تحقيقات عاجلة وفعالة ونزيهة بخصوص أي ادعاء يفيد بارتكاب الشرطة لأعمال تعذيب وسوء </w:t>
      </w:r>
      <w:r>
        <w:rPr>
          <w:rFonts w:hint="cs"/>
          <w:b/>
          <w:bCs/>
          <w:rtl/>
          <w:lang w:val="fr-CH"/>
        </w:rPr>
        <w:t xml:space="preserve">معاملة </w:t>
      </w:r>
      <w:r w:rsidRPr="00274609">
        <w:rPr>
          <w:rFonts w:hint="cs"/>
          <w:b/>
          <w:bCs/>
          <w:rtl/>
          <w:lang w:val="fr-CH"/>
        </w:rPr>
        <w:t>تستهدف الصوماليين، وأن تضمن محاكمة المسؤولين عن تلك الأعمال ومعاقبتهم وفقاً لجسامة أعمالهم. وينبغي للدولة الطرف أن تجمع وتنشر البيانات بشأن التحقيقات، بما في ذلك ما</w:t>
      </w:r>
      <w:r w:rsidR="0010745C">
        <w:rPr>
          <w:rFonts w:hint="eastAsia"/>
          <w:b/>
          <w:bCs/>
          <w:rtl/>
          <w:lang w:val="fr-CH"/>
        </w:rPr>
        <w:t> </w:t>
      </w:r>
      <w:r w:rsidRPr="00274609">
        <w:rPr>
          <w:rFonts w:hint="cs"/>
          <w:b/>
          <w:bCs/>
          <w:rtl/>
          <w:lang w:val="fr-CH"/>
        </w:rPr>
        <w:t>يصدر عن أي لجان للتحقيق منشأة في هذا السياق وما تتوصل إليه من نتائج.</w:t>
      </w:r>
    </w:p>
    <w:p w:rsidR="00F5005F" w:rsidRPr="005F3F9E" w:rsidRDefault="00F5005F" w:rsidP="0010745C">
      <w:pPr>
        <w:pStyle w:val="H23GA"/>
        <w:rPr>
          <w:rFonts w:hint="cs"/>
          <w:rtl/>
          <w:lang w:val="fr-CH"/>
        </w:rPr>
      </w:pPr>
      <w:r w:rsidRPr="005F3F9E">
        <w:rPr>
          <w:rFonts w:hint="cs"/>
          <w:rtl/>
          <w:lang w:val="fr-CH"/>
        </w:rPr>
        <w:tab/>
      </w:r>
      <w:r w:rsidRPr="005F3F9E">
        <w:rPr>
          <w:rFonts w:hint="cs"/>
          <w:rtl/>
          <w:lang w:val="fr-CH"/>
        </w:rPr>
        <w:tab/>
      </w:r>
      <w:r>
        <w:rPr>
          <w:rFonts w:hint="cs"/>
          <w:rtl/>
          <w:lang w:val="fr-CH"/>
        </w:rPr>
        <w:t>عدم الإعادة القسرية</w:t>
      </w:r>
    </w:p>
    <w:p w:rsidR="00F5005F" w:rsidRDefault="0010745C" w:rsidP="0010745C">
      <w:pPr>
        <w:pStyle w:val="SingleTxtGA"/>
        <w:rPr>
          <w:rFonts w:hint="cs"/>
          <w:rtl/>
          <w:lang w:val="fr-CH"/>
        </w:rPr>
      </w:pPr>
      <w:r>
        <w:rPr>
          <w:rFonts w:hint="cs"/>
          <w:rtl/>
          <w:lang w:val="fr-CH"/>
        </w:rPr>
        <w:t>(</w:t>
      </w:r>
      <w:r w:rsidR="00F5005F" w:rsidRPr="005F3F9E">
        <w:rPr>
          <w:rFonts w:hint="cs"/>
          <w:rtl/>
          <w:lang w:val="fr-CH"/>
        </w:rPr>
        <w:t>20</w:t>
      </w:r>
      <w:r>
        <w:rPr>
          <w:rFonts w:hint="cs"/>
          <w:rtl/>
          <w:lang w:val="fr-CH"/>
        </w:rPr>
        <w:t>)</w:t>
      </w:r>
      <w:r w:rsidR="00F5005F" w:rsidRPr="005F3F9E">
        <w:rPr>
          <w:rFonts w:hint="cs"/>
          <w:rtl/>
          <w:lang w:val="fr-CH"/>
        </w:rPr>
        <w:tab/>
      </w:r>
      <w:r w:rsidR="00F5005F">
        <w:rPr>
          <w:rFonts w:hint="cs"/>
          <w:rtl/>
          <w:lang w:val="fr-CH"/>
        </w:rPr>
        <w:t xml:space="preserve">تحيط </w:t>
      </w:r>
      <w:r w:rsidR="00F5005F" w:rsidRPr="005F3F9E">
        <w:rPr>
          <w:rFonts w:hint="cs"/>
          <w:rtl/>
          <w:lang w:val="fr-CH"/>
        </w:rPr>
        <w:t xml:space="preserve">اللجنة </w:t>
      </w:r>
      <w:r w:rsidR="00F5005F">
        <w:rPr>
          <w:rFonts w:hint="cs"/>
          <w:rtl/>
          <w:lang w:val="fr-CH"/>
        </w:rPr>
        <w:t xml:space="preserve">علماً بالمعلومات المقدمة من الوفد التي تفيد بأن الدولة الطرف تطبق سياسة الحدود المفتوحة مع الصومال، وبأن جميع ملتمسي اللجوء يعاملون وفقاً لالتزامات الدولة الطرف بموجب الاتفاقيات الدولية والإقليمية لحقوق الإنسان واللاجئين. ومع ذلك، تذكر اللجنة بتوصياتها السابقة (الوثيقة </w:t>
      </w:r>
      <w:r w:rsidR="00F5005F">
        <w:t>CAT/C/KEN/CO/1</w:t>
      </w:r>
      <w:r w:rsidR="00F5005F">
        <w:rPr>
          <w:rFonts w:hint="cs"/>
          <w:rtl/>
          <w:lang w:val="fr-CH"/>
        </w:rPr>
        <w:t xml:space="preserve">، الفقرتان 16 و17) وتلاحظ مع القلق التقارير التي تفيد بحالات الترحيل دون </w:t>
      </w:r>
      <w:r w:rsidR="00F5005F">
        <w:rPr>
          <w:rFonts w:hint="cs"/>
          <w:rtl/>
          <w:lang/>
        </w:rPr>
        <w:t>المحاكمة وفق الأصول القانونية، وإعادة ملتمسي اللجوء الصوماليين إلى موطنهم من الحدود لأسباب أمنية وطنية (المادة 3).</w:t>
      </w:r>
    </w:p>
    <w:p w:rsidR="00F5005F" w:rsidRPr="00274609" w:rsidRDefault="00F5005F" w:rsidP="00F5005F">
      <w:pPr>
        <w:pStyle w:val="SingleTxtGA"/>
        <w:rPr>
          <w:rFonts w:hint="cs"/>
          <w:b/>
          <w:bCs/>
          <w:rtl/>
          <w:lang w:val="fr-CH"/>
        </w:rPr>
      </w:pPr>
      <w:r w:rsidRPr="00274609">
        <w:rPr>
          <w:rFonts w:hint="cs"/>
          <w:b/>
          <w:bCs/>
          <w:rtl/>
          <w:lang w:val="fr-CH"/>
        </w:rPr>
        <w:tab/>
        <w:t xml:space="preserve">ينبغي للدولة الطرف أن تعدل تشريعاتها ومشاريع قوانينها، بما فيها مشروع القانون المتعلق باللاجئين (2006)، وقانون تسليم المجرمين (البلدان الناقلة والأجنبية) (2010)، وقانون تسليم المجرمين (بلدان </w:t>
      </w:r>
      <w:r w:rsidRPr="00274609">
        <w:rPr>
          <w:b/>
          <w:bCs/>
          <w:rtl/>
        </w:rPr>
        <w:t>الك</w:t>
      </w:r>
      <w:r>
        <w:rPr>
          <w:rFonts w:hint="cs"/>
          <w:b/>
          <w:bCs/>
          <w:rtl/>
        </w:rPr>
        <w:t>و</w:t>
      </w:r>
      <w:r w:rsidRPr="00274609">
        <w:rPr>
          <w:b/>
          <w:bCs/>
          <w:rtl/>
        </w:rPr>
        <w:t>منولث</w:t>
      </w:r>
      <w:r w:rsidRPr="00274609">
        <w:rPr>
          <w:rFonts w:hint="cs"/>
          <w:b/>
          <w:bCs/>
          <w:rtl/>
          <w:lang w:val="fr-CH"/>
        </w:rPr>
        <w:t xml:space="preserve">) (2010)، والقانون الكيني الخاص بالمواطنة والهجرة (2011)، ومشروع قانون اللاجئين (2012)، لتضمن تمشي قانونها مع التزامها الخاص بعدم الإعادة القسرية بموجب المادة 3 من الاتفاقية. وينبغي للدولة الطرف أن تسن مشروع قانون اللاجئين المعدل (2012) وتعتمد مشروع سياسة اللاجئين الوطنية (2012) لتكفل الحق في </w:t>
      </w:r>
      <w:r w:rsidRPr="00274609">
        <w:rPr>
          <w:rFonts w:hint="cs"/>
          <w:b/>
          <w:bCs/>
          <w:rtl/>
          <w:lang/>
        </w:rPr>
        <w:t>المحاكمة وفق الأصول القانونية</w:t>
      </w:r>
      <w:r w:rsidRPr="00274609">
        <w:rPr>
          <w:rFonts w:hint="cs"/>
          <w:b/>
          <w:bCs/>
          <w:rtl/>
          <w:lang w:val="fr-CH"/>
        </w:rPr>
        <w:t xml:space="preserve"> لجميع ملتمسي اللجوء. كما ينبغي لها أن تضمن فعلياً عدم طرد الأجانب أو إعادتهم أو تسليمهم في ظل أي ظروف إلى بلدان تتوفر فيها أسباب قوية تدعو إلى الاعتقاد </w:t>
      </w:r>
      <w:r>
        <w:rPr>
          <w:rFonts w:hint="cs"/>
          <w:b/>
          <w:bCs/>
          <w:rtl/>
          <w:lang w:val="fr-CH"/>
        </w:rPr>
        <w:t>ب</w:t>
      </w:r>
      <w:r w:rsidRPr="00274609">
        <w:rPr>
          <w:rFonts w:hint="cs"/>
          <w:b/>
          <w:bCs/>
          <w:rtl/>
          <w:lang w:val="fr-CH"/>
        </w:rPr>
        <w:t>أن الشخص المعني سيتعرض لخطر التعذيب في بلد المقصد.</w:t>
      </w:r>
    </w:p>
    <w:p w:rsidR="00F5005F" w:rsidRPr="005F3F9E" w:rsidRDefault="00F5005F" w:rsidP="00A42CC7">
      <w:pPr>
        <w:pStyle w:val="H23GA"/>
        <w:rPr>
          <w:rFonts w:hint="cs"/>
          <w:rtl/>
          <w:lang w:val="fr-CH"/>
        </w:rPr>
      </w:pPr>
      <w:r w:rsidRPr="005F3F9E">
        <w:rPr>
          <w:rFonts w:hint="cs"/>
          <w:rtl/>
          <w:lang w:val="fr-CH"/>
        </w:rPr>
        <w:tab/>
      </w:r>
      <w:r w:rsidRPr="005F3F9E">
        <w:rPr>
          <w:rFonts w:hint="cs"/>
          <w:rtl/>
          <w:lang w:val="fr-CH"/>
        </w:rPr>
        <w:tab/>
      </w:r>
      <w:r>
        <w:rPr>
          <w:rFonts w:hint="cs"/>
          <w:rtl/>
          <w:lang w:val="fr-CH"/>
        </w:rPr>
        <w:t>حماية الشهود</w:t>
      </w:r>
    </w:p>
    <w:p w:rsidR="00F5005F" w:rsidRDefault="00A42CC7" w:rsidP="00A42CC7">
      <w:pPr>
        <w:pStyle w:val="SingleTxtGA"/>
        <w:rPr>
          <w:rFonts w:hint="cs"/>
          <w:rtl/>
          <w:lang w:val="fr-CH"/>
        </w:rPr>
      </w:pPr>
      <w:r>
        <w:rPr>
          <w:rFonts w:hint="cs"/>
          <w:rtl/>
          <w:lang w:val="fr-CH"/>
        </w:rPr>
        <w:t>(</w:t>
      </w:r>
      <w:r w:rsidR="00F5005F" w:rsidRPr="005F3F9E">
        <w:rPr>
          <w:rFonts w:hint="cs"/>
          <w:rtl/>
          <w:lang w:val="fr-CH"/>
        </w:rPr>
        <w:t>21</w:t>
      </w:r>
      <w:r>
        <w:rPr>
          <w:rFonts w:hint="cs"/>
          <w:rtl/>
          <w:lang w:val="fr-CH"/>
        </w:rPr>
        <w:t>)</w:t>
      </w:r>
      <w:r w:rsidR="00F5005F" w:rsidRPr="005F3F9E">
        <w:rPr>
          <w:rFonts w:hint="cs"/>
          <w:rtl/>
          <w:lang w:val="fr-CH"/>
        </w:rPr>
        <w:tab/>
      </w:r>
      <w:r w:rsidR="00F5005F" w:rsidRPr="00DB7750">
        <w:rPr>
          <w:rFonts w:hint="cs"/>
          <w:rtl/>
          <w:lang w:val="fr-CH"/>
        </w:rPr>
        <w:t>ترحب اللجنة بسن قانون حماية الشهود (تعديل) (2010) وإنشاء الوكالة المعنية بحماية الشهود (2011)</w:t>
      </w:r>
      <w:r w:rsidR="00F5005F">
        <w:rPr>
          <w:rFonts w:hint="cs"/>
          <w:rtl/>
          <w:lang w:val="fr-CH"/>
        </w:rPr>
        <w:t>،</w:t>
      </w:r>
      <w:r w:rsidR="00F5005F" w:rsidRPr="00DB7750">
        <w:rPr>
          <w:rFonts w:hint="cs"/>
          <w:rtl/>
          <w:lang w:val="fr-CH"/>
        </w:rPr>
        <w:t xml:space="preserve"> إلا</w:t>
      </w:r>
      <w:r w:rsidR="00F5005F">
        <w:rPr>
          <w:rFonts w:hint="cs"/>
          <w:rtl/>
          <w:lang w:val="fr-CH"/>
        </w:rPr>
        <w:t xml:space="preserve"> أنها تعرب عن قلقها إذ يُبلّغ في الواقع عن استمرار تعرض الشهود وأسرهم للتهديدات والأعمال الانتقامية من جانب الموظفين المعنيين بإنفاذ القانون الذين يسعون إلى التخلص من الأدلة التي قد تستخدم ضدهم بمقتضى هذا القانون. ويساور اللجنة القلق لأن الوكالة تخصص مبالغ كبيرة للمسائل الإدارية وتخصص موارد مالية غير كافية لأغراض حماية الشهود (المواد 2 و13 و16).</w:t>
      </w:r>
    </w:p>
    <w:p w:rsidR="00F5005F" w:rsidRPr="00274609" w:rsidRDefault="00F5005F" w:rsidP="00F5005F">
      <w:pPr>
        <w:pStyle w:val="SingleTxtGA"/>
        <w:rPr>
          <w:rFonts w:hint="cs"/>
          <w:b/>
          <w:bCs/>
          <w:rtl/>
          <w:lang w:val="fr-CH"/>
        </w:rPr>
      </w:pPr>
      <w:r w:rsidRPr="00274609">
        <w:rPr>
          <w:rFonts w:hint="cs"/>
          <w:b/>
          <w:bCs/>
          <w:rtl/>
          <w:lang w:val="fr-CH"/>
        </w:rPr>
        <w:tab/>
        <w:t>ينبغي للدولة الطرف أن تتخذ تدابير فورية وفعالة لضمان دعم أحكام قانون حماية الشهود في الواقع بهدف توفير حماية فعالة للشهود وأسرهم وإجراء تحقيقات عاجلة وفعالة ونزيهة بخصوص جميع الادعاءات التي تفيد بالانتهاكات المرتكبة، ومحاكمة مرتكبي الانتهاكات المزعومين ومعاقبتهم. وينبغي للدولة الطرف تخصيص موارد كافية للوكالة المعنية بحماية الشهود لتمكينها من أداء عملها على نحو فعال في الواقع.</w:t>
      </w:r>
    </w:p>
    <w:p w:rsidR="00F5005F" w:rsidRPr="005F3F9E" w:rsidRDefault="00F5005F" w:rsidP="00A42CC7">
      <w:pPr>
        <w:pStyle w:val="H23GA"/>
        <w:rPr>
          <w:rFonts w:hint="cs"/>
          <w:rtl/>
          <w:lang w:val="fr-CH"/>
        </w:rPr>
      </w:pPr>
      <w:r w:rsidRPr="005F3F9E">
        <w:rPr>
          <w:rFonts w:hint="cs"/>
          <w:rtl/>
          <w:lang w:val="fr-CH"/>
        </w:rPr>
        <w:tab/>
      </w:r>
      <w:r w:rsidRPr="005F3F9E">
        <w:rPr>
          <w:rFonts w:hint="cs"/>
          <w:rtl/>
          <w:lang w:val="fr-CH"/>
        </w:rPr>
        <w:tab/>
      </w:r>
      <w:r>
        <w:rPr>
          <w:rFonts w:hint="cs"/>
          <w:rtl/>
          <w:lang w:val="fr-CH"/>
        </w:rPr>
        <w:t>آليات تقديم الشكاوى</w:t>
      </w:r>
    </w:p>
    <w:p w:rsidR="00F5005F" w:rsidRPr="005F3F9E" w:rsidRDefault="00A42CC7" w:rsidP="00A42CC7">
      <w:pPr>
        <w:pStyle w:val="SingleTxtGA"/>
        <w:rPr>
          <w:rFonts w:hint="cs"/>
          <w:rtl/>
          <w:lang w:val="fr-CH"/>
        </w:rPr>
      </w:pPr>
      <w:r>
        <w:rPr>
          <w:rFonts w:hint="cs"/>
          <w:rtl/>
          <w:lang w:val="fr-CH"/>
        </w:rPr>
        <w:t>(</w:t>
      </w:r>
      <w:r w:rsidR="00F5005F" w:rsidRPr="005F3F9E">
        <w:rPr>
          <w:rFonts w:hint="cs"/>
          <w:rtl/>
          <w:lang w:val="fr-CH"/>
        </w:rPr>
        <w:t>22</w:t>
      </w:r>
      <w:r>
        <w:rPr>
          <w:rFonts w:hint="cs"/>
          <w:rtl/>
          <w:lang w:val="fr-CH"/>
        </w:rPr>
        <w:t>)</w:t>
      </w:r>
      <w:r w:rsidR="00F5005F" w:rsidRPr="005F3F9E">
        <w:rPr>
          <w:rFonts w:hint="cs"/>
          <w:rtl/>
          <w:lang w:val="fr-CH"/>
        </w:rPr>
        <w:tab/>
      </w:r>
      <w:r w:rsidR="00F5005F">
        <w:rPr>
          <w:rFonts w:hint="cs"/>
          <w:rtl/>
          <w:lang w:val="fr-CH"/>
        </w:rPr>
        <w:t>تعترف</w:t>
      </w:r>
      <w:r w:rsidR="00F5005F" w:rsidRPr="005F3F9E">
        <w:rPr>
          <w:rFonts w:hint="cs"/>
          <w:rtl/>
          <w:lang w:val="fr-CH"/>
        </w:rPr>
        <w:t xml:space="preserve"> اللجنة </w:t>
      </w:r>
      <w:r w:rsidR="00F5005F">
        <w:rPr>
          <w:rFonts w:hint="cs"/>
          <w:rtl/>
          <w:lang w:val="fr-CH"/>
        </w:rPr>
        <w:t>بالخطوات التي اتخذتها الدولة الطرف لتحسين استمارة "</w:t>
      </w:r>
      <w:r w:rsidR="00F5005F" w:rsidRPr="00A37174">
        <w:t>P3</w:t>
      </w:r>
      <w:r w:rsidR="00F5005F">
        <w:rPr>
          <w:rFonts w:hint="cs"/>
          <w:rtl/>
          <w:lang w:val="fr-CH"/>
        </w:rPr>
        <w:t>" وتعزيز الحصول عليها، غير أنها لا تزال تشعر بالقلق إزاء العقبات التي تحول دون استخدامها الفعال من جانب ضحايا التعذيب وسوء المعاملة من قبيل ارتفاع قيمة الرسوم التي يفرضها أصحاب المهن الطبية لاستكمال الاستمارة، والإصرار على استكمال استمارة تقديم الشكوى في المقام الأول في مركز الشرطة (المادة 13).</w:t>
      </w:r>
    </w:p>
    <w:p w:rsidR="00F5005F" w:rsidRPr="00274609" w:rsidRDefault="00F5005F" w:rsidP="00A83CF9">
      <w:pPr>
        <w:pStyle w:val="SingleTxtGA"/>
        <w:spacing w:line="370" w:lineRule="exact"/>
        <w:rPr>
          <w:rFonts w:hint="cs"/>
          <w:b/>
          <w:bCs/>
          <w:rtl/>
          <w:lang w:val="fr-CH"/>
        </w:rPr>
      </w:pPr>
      <w:r w:rsidRPr="00274609">
        <w:rPr>
          <w:rFonts w:hint="cs"/>
          <w:b/>
          <w:bCs/>
          <w:rtl/>
          <w:lang w:val="fr-CH"/>
        </w:rPr>
        <w:tab/>
        <w:t>تذكر اللجنة بتوصيتها السابقة (</w:t>
      </w:r>
      <w:r w:rsidRPr="00274609">
        <w:rPr>
          <w:b/>
          <w:bCs/>
        </w:rPr>
        <w:t>CAT/C/KEN/CO/1</w:t>
      </w:r>
      <w:r w:rsidRPr="00274609">
        <w:rPr>
          <w:rFonts w:hint="cs"/>
          <w:b/>
          <w:bCs/>
          <w:rtl/>
          <w:lang w:val="fr-CH"/>
        </w:rPr>
        <w:t>، الفقرة 24)، وتحث الدولة الطرف على اتخاذ تدابير فعالة لضمان فعالية إتاحة آليات تقديم الشكاوى لجميع ضحايا التعذيب وسوء المعاملة، والتحقيق العاجل والفعال والنزيه في حالاتهم. وبوجه خاص، ينبغي للدولة الطرف الاضطلاع بما يلي:</w:t>
      </w:r>
    </w:p>
    <w:p w:rsidR="00F5005F" w:rsidRPr="00274609" w:rsidRDefault="00F5005F" w:rsidP="00A83CF9">
      <w:pPr>
        <w:pStyle w:val="SingleTxtGA"/>
        <w:spacing w:line="370" w:lineRule="exact"/>
        <w:rPr>
          <w:rFonts w:hint="cs"/>
          <w:b/>
          <w:bCs/>
          <w:lang w:val="fr-CH"/>
        </w:rPr>
      </w:pPr>
      <w:r w:rsidRPr="00274609">
        <w:rPr>
          <w:rFonts w:hint="cs"/>
          <w:b/>
          <w:bCs/>
          <w:rtl/>
          <w:lang w:val="fr-CH"/>
        </w:rPr>
        <w:tab/>
        <w:t>(أ)</w:t>
      </w:r>
      <w:r w:rsidRPr="00274609">
        <w:rPr>
          <w:rFonts w:hint="cs"/>
          <w:b/>
          <w:bCs/>
          <w:rtl/>
          <w:lang w:val="fr-CH"/>
        </w:rPr>
        <w:tab/>
        <w:t>استعراض استمارة "</w:t>
      </w:r>
      <w:r w:rsidRPr="00274609">
        <w:rPr>
          <w:b/>
          <w:bCs/>
        </w:rPr>
        <w:t>P3</w:t>
      </w:r>
      <w:r w:rsidRPr="00274609">
        <w:rPr>
          <w:rFonts w:hint="cs"/>
          <w:b/>
          <w:bCs/>
          <w:rtl/>
          <w:lang w:val="fr-CH"/>
        </w:rPr>
        <w:t>" لضمان الامتثال لمعايير دليل التقصي والتوثيق الفعالين بشأن التعذيب وغيره من ضروب المعاملة أو العقوبة القاسية أو اللاإنسانية أو</w:t>
      </w:r>
      <w:r w:rsidR="00A42CC7">
        <w:rPr>
          <w:rFonts w:hint="eastAsia"/>
          <w:b/>
          <w:bCs/>
          <w:rtl/>
          <w:lang w:val="fr-CH"/>
        </w:rPr>
        <w:t> </w:t>
      </w:r>
      <w:r w:rsidRPr="00274609">
        <w:rPr>
          <w:rFonts w:hint="cs"/>
          <w:b/>
          <w:bCs/>
          <w:rtl/>
          <w:lang w:val="fr-CH"/>
        </w:rPr>
        <w:t>المهينة (بروتوكول اسطنبول)، وإتاحة الاستمارة مجاناً في جميع المستشفيات العامة؛</w:t>
      </w:r>
    </w:p>
    <w:p w:rsidR="00F5005F" w:rsidRPr="00274609" w:rsidRDefault="00F5005F" w:rsidP="00A83CF9">
      <w:pPr>
        <w:pStyle w:val="SingleTxtGA"/>
        <w:spacing w:line="370" w:lineRule="exact"/>
        <w:rPr>
          <w:rFonts w:hint="cs"/>
          <w:b/>
          <w:bCs/>
          <w:lang w:val="fr-CH"/>
        </w:rPr>
      </w:pPr>
      <w:r w:rsidRPr="00274609">
        <w:rPr>
          <w:rFonts w:hint="cs"/>
          <w:b/>
          <w:bCs/>
          <w:rtl/>
          <w:lang w:val="fr-CH"/>
        </w:rPr>
        <w:tab/>
        <w:t>(ب)</w:t>
      </w:r>
      <w:r w:rsidRPr="00274609">
        <w:rPr>
          <w:rFonts w:hint="cs"/>
          <w:b/>
          <w:bCs/>
          <w:rtl/>
          <w:lang w:val="fr-CH"/>
        </w:rPr>
        <w:tab/>
        <w:t>ضمان دفع أجور كافية لأصحاب المهن الطبية الذين يستكملون استمارة "</w:t>
      </w:r>
      <w:r w:rsidRPr="00274609">
        <w:rPr>
          <w:b/>
          <w:bCs/>
        </w:rPr>
        <w:t>P3</w:t>
      </w:r>
      <w:r w:rsidRPr="00274609">
        <w:rPr>
          <w:rFonts w:hint="cs"/>
          <w:b/>
          <w:bCs/>
          <w:rtl/>
          <w:lang w:val="fr-CH"/>
        </w:rPr>
        <w:t>"، ولا سيما للإدلاء بشهاداتهم في المحكمة، بهدف ضمان عدم ربط حق مقدم الشكوى بوضعه الاقتصادي؛</w:t>
      </w:r>
    </w:p>
    <w:p w:rsidR="00F5005F" w:rsidRPr="00274609" w:rsidRDefault="00F5005F" w:rsidP="00A83CF9">
      <w:pPr>
        <w:pStyle w:val="SingleTxtGA"/>
        <w:spacing w:line="370" w:lineRule="exact"/>
        <w:rPr>
          <w:rFonts w:hint="cs"/>
          <w:b/>
          <w:bCs/>
          <w:rtl/>
          <w:lang w:val="fr-CH"/>
        </w:rPr>
      </w:pPr>
      <w:r w:rsidRPr="00274609">
        <w:rPr>
          <w:rFonts w:hint="cs"/>
          <w:b/>
          <w:bCs/>
          <w:rtl/>
          <w:lang w:val="fr-CH"/>
        </w:rPr>
        <w:tab/>
        <w:t>(ج)</w:t>
      </w:r>
      <w:r w:rsidRPr="00274609">
        <w:rPr>
          <w:rFonts w:hint="cs"/>
          <w:b/>
          <w:bCs/>
          <w:rtl/>
          <w:lang w:val="fr-CH"/>
        </w:rPr>
        <w:tab/>
        <w:t>اتخاذ تدابير تشمل تدريب أصحاب المهن الطبية لإدماج خدمات الطب الشرعي في صميم الإطار الصحي؛</w:t>
      </w:r>
    </w:p>
    <w:p w:rsidR="00F5005F" w:rsidRPr="00274609" w:rsidRDefault="00F5005F" w:rsidP="00A83CF9">
      <w:pPr>
        <w:pStyle w:val="SingleTxtGA"/>
        <w:spacing w:line="370" w:lineRule="exact"/>
        <w:rPr>
          <w:rFonts w:hint="cs"/>
          <w:b/>
          <w:bCs/>
          <w:rtl/>
          <w:lang w:val="fr-CH"/>
        </w:rPr>
      </w:pPr>
      <w:r w:rsidRPr="00274609">
        <w:rPr>
          <w:rFonts w:hint="cs"/>
          <w:b/>
          <w:bCs/>
          <w:rtl/>
          <w:lang w:val="fr-CH"/>
        </w:rPr>
        <w:tab/>
        <w:t>(د)</w:t>
      </w:r>
      <w:r w:rsidRPr="00274609">
        <w:rPr>
          <w:rFonts w:hint="cs"/>
          <w:b/>
          <w:bCs/>
          <w:rtl/>
          <w:lang w:val="fr-CH"/>
        </w:rPr>
        <w:tab/>
        <w:t>اتخاذ تدابير فعالة لضمان تمكن الضحايا الذين يزعمون تعرضهم للانتهاكات في أماكن الاحتجاز من تقديم الشكاوى إلى مؤسسة مستقلة ونزيهة.</w:t>
      </w:r>
    </w:p>
    <w:p w:rsidR="00F5005F" w:rsidRPr="005F3F9E" w:rsidRDefault="00F5005F" w:rsidP="00A83CF9">
      <w:pPr>
        <w:pStyle w:val="H23GA"/>
        <w:spacing w:line="370" w:lineRule="exact"/>
        <w:rPr>
          <w:rFonts w:hint="cs"/>
          <w:rtl/>
          <w:lang w:val="fr-CH"/>
        </w:rPr>
      </w:pPr>
      <w:r>
        <w:rPr>
          <w:rFonts w:hint="cs"/>
          <w:rtl/>
          <w:lang w:val="fr-CH"/>
        </w:rPr>
        <w:tab/>
      </w:r>
      <w:r>
        <w:rPr>
          <w:rFonts w:hint="cs"/>
          <w:rtl/>
          <w:lang w:val="fr-CH"/>
        </w:rPr>
        <w:tab/>
        <w:t>التعويض الكافي</w:t>
      </w:r>
    </w:p>
    <w:p w:rsidR="00F5005F" w:rsidRPr="005F3F9E" w:rsidRDefault="00A42CC7" w:rsidP="00A83CF9">
      <w:pPr>
        <w:pStyle w:val="SingleTxtGA"/>
        <w:spacing w:line="370" w:lineRule="exact"/>
        <w:rPr>
          <w:rFonts w:hint="cs"/>
          <w:rtl/>
          <w:lang w:val="fr-CH"/>
        </w:rPr>
      </w:pPr>
      <w:r>
        <w:rPr>
          <w:rFonts w:hint="cs"/>
          <w:rtl/>
          <w:lang w:val="fr-CH"/>
        </w:rPr>
        <w:t>(</w:t>
      </w:r>
      <w:r w:rsidR="00F5005F" w:rsidRPr="005F3F9E">
        <w:rPr>
          <w:rFonts w:hint="cs"/>
          <w:rtl/>
          <w:lang w:val="fr-CH"/>
        </w:rPr>
        <w:t>23</w:t>
      </w:r>
      <w:r>
        <w:rPr>
          <w:rFonts w:hint="cs"/>
          <w:rtl/>
          <w:lang w:val="fr-CH"/>
        </w:rPr>
        <w:t>)</w:t>
      </w:r>
      <w:r w:rsidR="00F5005F" w:rsidRPr="005F3F9E">
        <w:rPr>
          <w:rFonts w:hint="cs"/>
          <w:rtl/>
          <w:lang w:val="fr-CH"/>
        </w:rPr>
        <w:tab/>
      </w:r>
      <w:r w:rsidR="00F5005F" w:rsidRPr="00DA7669">
        <w:rPr>
          <w:rFonts w:hint="cs"/>
          <w:rtl/>
          <w:lang w:val="fr-CH"/>
        </w:rPr>
        <w:t xml:space="preserve">تقر اللجنة بالمعلومات </w:t>
      </w:r>
      <w:r w:rsidR="00F5005F">
        <w:rPr>
          <w:rFonts w:hint="cs"/>
          <w:rtl/>
          <w:lang w:val="fr-CH"/>
        </w:rPr>
        <w:t xml:space="preserve">المقدمة </w:t>
      </w:r>
      <w:r w:rsidR="00F5005F" w:rsidRPr="00DA7669">
        <w:rPr>
          <w:rFonts w:hint="cs"/>
          <w:rtl/>
          <w:lang w:val="fr-CH"/>
        </w:rPr>
        <w:t xml:space="preserve">عن أساليب التعويض وقرارات المحاكم المدنية </w:t>
      </w:r>
      <w:r w:rsidR="00F5005F">
        <w:rPr>
          <w:rFonts w:hint="cs"/>
          <w:rtl/>
          <w:lang w:val="fr-CH"/>
        </w:rPr>
        <w:t>بشأن</w:t>
      </w:r>
      <w:r w:rsidR="00F5005F" w:rsidRPr="00DA7669">
        <w:rPr>
          <w:rFonts w:hint="cs"/>
          <w:rtl/>
          <w:lang w:val="fr-CH"/>
        </w:rPr>
        <w:t xml:space="preserve"> </w:t>
      </w:r>
      <w:r w:rsidR="00F5005F">
        <w:rPr>
          <w:rFonts w:hint="cs"/>
          <w:rtl/>
          <w:lang w:val="fr-CH"/>
        </w:rPr>
        <w:t>م</w:t>
      </w:r>
      <w:r w:rsidR="00F5005F" w:rsidRPr="00DA7669">
        <w:rPr>
          <w:rFonts w:hint="cs"/>
          <w:rtl/>
          <w:lang w:val="fr-CH"/>
        </w:rPr>
        <w:t xml:space="preserve">نح التعويض لضحايا التعذيب وسوء المعاملة </w:t>
      </w:r>
      <w:r w:rsidR="00F5005F">
        <w:rPr>
          <w:rFonts w:hint="cs"/>
          <w:rtl/>
          <w:lang w:val="fr-CH"/>
        </w:rPr>
        <w:t>أو لأسرهم ومشروع قانون ضحايا الجرائم، غير أنها تعرب عن أسفها لاستمرار الافتقار إلى إطار تشريعي شامل ينص على توفير وسائل فعالة لإنصاف ضحايا التعذيب وسوء المعاملة، ولعدم تغطية خدمات الرعاية الصحية لفائدة ضحايا التعذيب عبر صندوق التأمين الصحي الوطني. وتبدي اللجنة أيضاً قلقها إزاء دخول الضحايا في إجراءات مدنية مطولة ومكلفة لإعمال حقوقهم. ولا تزال تشعر بقلق خاص لأن معظم ضحايا أعمال العنف التي تلت الانتخابات في عامي 2007 و2008 "والعمليات الأمنية الخاصة" لا يزالون في انتظار الإنصاف والتعويض (المادة 14).</w:t>
      </w:r>
    </w:p>
    <w:p w:rsidR="00F5005F" w:rsidRPr="00274609" w:rsidRDefault="00F5005F" w:rsidP="00A83CF9">
      <w:pPr>
        <w:pStyle w:val="SingleTxtGA"/>
        <w:spacing w:line="370" w:lineRule="exact"/>
        <w:rPr>
          <w:rFonts w:hint="cs"/>
          <w:b/>
          <w:bCs/>
          <w:rtl/>
          <w:lang/>
        </w:rPr>
      </w:pPr>
      <w:r w:rsidRPr="00274609">
        <w:rPr>
          <w:rFonts w:hint="cs"/>
          <w:b/>
          <w:bCs/>
          <w:rtl/>
          <w:lang w:val="fr-CH"/>
        </w:rPr>
        <w:tab/>
        <w:t>تلفت اللجنة انتباه الدول</w:t>
      </w:r>
      <w:r>
        <w:rPr>
          <w:rFonts w:hint="cs"/>
          <w:b/>
          <w:bCs/>
          <w:rtl/>
          <w:lang w:val="fr-CH"/>
        </w:rPr>
        <w:t>ة الطرف إلى تعليقها العام رقم 3</w:t>
      </w:r>
      <w:r w:rsidRPr="00274609">
        <w:rPr>
          <w:rFonts w:hint="cs"/>
          <w:b/>
          <w:bCs/>
          <w:rtl/>
          <w:lang w:val="fr-CH"/>
        </w:rPr>
        <w:t xml:space="preserve">(2012) الذي اعتمد مؤخراً بشأن تنفيذ المادة 14 من الاتفاقية، الذي يفسر مضمون </w:t>
      </w:r>
      <w:r w:rsidRPr="00274609">
        <w:rPr>
          <w:rFonts w:hint="cs"/>
          <w:b/>
          <w:bCs/>
          <w:rtl/>
        </w:rPr>
        <w:t xml:space="preserve">ونطاق التزامات </w:t>
      </w:r>
      <w:r w:rsidRPr="00274609">
        <w:rPr>
          <w:rFonts w:hint="cs"/>
          <w:b/>
          <w:bCs/>
          <w:rtl/>
          <w:lang w:val="fr-CH"/>
        </w:rPr>
        <w:t xml:space="preserve">الدول الأطراف بضمان الإنصاف الكامل لضحايا التعذيب. وبوجه خاص، يعرف هذا التعليق ضحايا التعذيب أو سوء المعاملة على أنهم </w:t>
      </w:r>
      <w:r w:rsidRPr="00274609">
        <w:rPr>
          <w:rFonts w:hint="cs"/>
          <w:b/>
          <w:bCs/>
          <w:rtl/>
        </w:rPr>
        <w:t xml:space="preserve">أشخاص </w:t>
      </w:r>
      <w:r w:rsidRPr="00274609">
        <w:rPr>
          <w:rFonts w:hint="cs"/>
          <w:b/>
          <w:bCs/>
          <w:rtl/>
          <w:lang/>
        </w:rPr>
        <w:t>لحق بهم ضرر بشكل فردي أو جماعي، بما في ذلك الضرر البدني أو العقلي أو المعاناة النفسية أو الخسارة الاقتصادية أو الحرمان بدرجة كبيرة من التمتع بحقوقهم الأساسية، وذلك بسبب أفعال أو تقصير على نحو شكل انتهاكاً للاتفاقية، وينص على ضرورة اعتبار مثل أولئك الأشخاص ضحايا بصرف النظر عما إذا كان قد تم التعرف على مرتكب الانتهاك أو القبض عليه أو محاكمته أو إدانته (الفقرة 3).</w:t>
      </w:r>
    </w:p>
    <w:p w:rsidR="00F5005F" w:rsidRPr="00274609" w:rsidRDefault="00F5005F" w:rsidP="00A83CF9">
      <w:pPr>
        <w:pStyle w:val="SingleTxtGA"/>
        <w:rPr>
          <w:rFonts w:hint="cs"/>
          <w:b/>
          <w:bCs/>
          <w:rtl/>
          <w:lang/>
        </w:rPr>
      </w:pPr>
      <w:r w:rsidRPr="00274609">
        <w:rPr>
          <w:rFonts w:hint="cs"/>
          <w:b/>
          <w:bCs/>
          <w:rtl/>
          <w:lang/>
        </w:rPr>
        <w:tab/>
        <w:t>وتحث اللجنة الدولة الطرف على الاضطلاع بما يلي:</w:t>
      </w:r>
    </w:p>
    <w:p w:rsidR="00F5005F" w:rsidRPr="00274609" w:rsidRDefault="00F5005F" w:rsidP="00A83CF9">
      <w:pPr>
        <w:pStyle w:val="SingleTxtGA"/>
        <w:rPr>
          <w:rFonts w:hint="cs"/>
          <w:b/>
          <w:bCs/>
          <w:lang w:val="fr-CH"/>
        </w:rPr>
      </w:pPr>
      <w:r w:rsidRPr="00274609">
        <w:rPr>
          <w:rFonts w:hint="cs"/>
          <w:b/>
          <w:bCs/>
          <w:rtl/>
          <w:lang w:val="fr-CH"/>
        </w:rPr>
        <w:tab/>
        <w:t>(أ)</w:t>
      </w:r>
      <w:r w:rsidRPr="00274609">
        <w:rPr>
          <w:rFonts w:hint="cs"/>
          <w:b/>
          <w:bCs/>
          <w:rtl/>
          <w:lang w:val="fr-CH"/>
        </w:rPr>
        <w:tab/>
        <w:t>القيام على وجه السرعة بإلغاء فترة السنة المحددة لرفع دعاوى المطالبة بالأضرار ضد الموظفين الحكوميين؛</w:t>
      </w:r>
    </w:p>
    <w:p w:rsidR="00F5005F" w:rsidRPr="00274609" w:rsidRDefault="00F5005F" w:rsidP="00A83CF9">
      <w:pPr>
        <w:pStyle w:val="SingleTxtGA"/>
        <w:rPr>
          <w:rFonts w:hint="cs"/>
          <w:b/>
          <w:bCs/>
          <w:lang w:val="fr-CH"/>
        </w:rPr>
      </w:pPr>
      <w:r w:rsidRPr="00274609">
        <w:rPr>
          <w:rFonts w:hint="cs"/>
          <w:b/>
          <w:bCs/>
          <w:rtl/>
          <w:lang w:val="fr-CH"/>
        </w:rPr>
        <w:tab/>
        <w:t>(ب)</w:t>
      </w:r>
      <w:r w:rsidRPr="00274609">
        <w:rPr>
          <w:rFonts w:hint="cs"/>
          <w:b/>
          <w:bCs/>
          <w:rtl/>
          <w:lang w:val="fr-CH"/>
        </w:rPr>
        <w:tab/>
        <w:t>تكثيف جهودها للحد من حالات التأخير في قضايا التعويض المدنية؛</w:t>
      </w:r>
    </w:p>
    <w:p w:rsidR="00F5005F" w:rsidRPr="00274609" w:rsidRDefault="00F5005F" w:rsidP="00A83CF9">
      <w:pPr>
        <w:pStyle w:val="SingleTxtGA"/>
        <w:rPr>
          <w:rFonts w:hint="cs"/>
          <w:b/>
          <w:bCs/>
          <w:rtl/>
          <w:lang w:val="fr-CH"/>
        </w:rPr>
      </w:pPr>
      <w:r w:rsidRPr="00274609">
        <w:rPr>
          <w:rFonts w:hint="cs"/>
          <w:b/>
          <w:bCs/>
          <w:rtl/>
          <w:lang w:val="fr-CH"/>
        </w:rPr>
        <w:tab/>
        <w:t>(ج)</w:t>
      </w:r>
      <w:r w:rsidRPr="00274609">
        <w:rPr>
          <w:rFonts w:hint="cs"/>
          <w:b/>
          <w:bCs/>
          <w:rtl/>
          <w:lang w:val="fr-CH"/>
        </w:rPr>
        <w:tab/>
        <w:t xml:space="preserve">سن مشروع قانون ضحايا الجرائم بهدف وضع إطار تشريعي شامل يرمي إلى إعمال الحق في الإنصاف، </w:t>
      </w:r>
      <w:r w:rsidRPr="00274609">
        <w:rPr>
          <w:rFonts w:hint="cs"/>
          <w:b/>
          <w:bCs/>
          <w:rtl/>
          <w:lang w:val="fr-CH"/>
        </w:rPr>
        <w:t>بما في ذلك التعويض وإعادة التأهيل الطبي؛</w:t>
      </w:r>
    </w:p>
    <w:p w:rsidR="00F5005F" w:rsidRPr="00274609" w:rsidRDefault="00F5005F" w:rsidP="00A83CF9">
      <w:pPr>
        <w:pStyle w:val="SingleTxtGA"/>
        <w:rPr>
          <w:rFonts w:hint="cs"/>
          <w:b/>
          <w:bCs/>
          <w:rtl/>
          <w:lang w:val="fr-CH"/>
        </w:rPr>
      </w:pPr>
      <w:r w:rsidRPr="00274609">
        <w:rPr>
          <w:rFonts w:hint="cs"/>
          <w:b/>
          <w:bCs/>
          <w:rtl/>
          <w:lang w:val="fr-CH"/>
        </w:rPr>
        <w:tab/>
        <w:t>(د)</w:t>
      </w:r>
      <w:r w:rsidRPr="00274609">
        <w:rPr>
          <w:rFonts w:hint="cs"/>
          <w:b/>
          <w:bCs/>
          <w:rtl/>
          <w:lang w:val="fr-CH"/>
        </w:rPr>
        <w:tab/>
        <w:t>التشاور مع أصحاب المصلحة المعنيين لتنظيم الصندوق الوطني لضحايا التعذيب على النحو الواجب وبشكل فعال في أسرع وقت ممكن؛</w:t>
      </w:r>
    </w:p>
    <w:p w:rsidR="00F5005F" w:rsidRPr="00274609" w:rsidRDefault="00F5005F" w:rsidP="00A83CF9">
      <w:pPr>
        <w:pStyle w:val="SingleTxtGA"/>
        <w:rPr>
          <w:rFonts w:hint="cs"/>
          <w:b/>
          <w:bCs/>
          <w:rtl/>
          <w:lang w:val="fr-CH"/>
        </w:rPr>
      </w:pPr>
      <w:r w:rsidRPr="00274609">
        <w:rPr>
          <w:rFonts w:hint="cs"/>
          <w:b/>
          <w:bCs/>
          <w:rtl/>
          <w:lang w:val="fr-CH"/>
        </w:rPr>
        <w:tab/>
        <w:t>(</w:t>
      </w:r>
      <w:r w:rsidRPr="00274609">
        <w:rPr>
          <w:rFonts w:hint="cs"/>
          <w:b/>
          <w:bCs/>
          <w:sz w:val="30"/>
          <w:rtl/>
          <w:lang w:val="fr-CH"/>
        </w:rPr>
        <w:t>ﻫ</w:t>
      </w:r>
      <w:r w:rsidRPr="00274609">
        <w:rPr>
          <w:rFonts w:hint="cs"/>
          <w:b/>
          <w:bCs/>
          <w:rtl/>
          <w:lang w:val="fr-CH"/>
        </w:rPr>
        <w:t>)</w:t>
      </w:r>
      <w:r w:rsidRPr="00274609">
        <w:rPr>
          <w:rFonts w:hint="cs"/>
          <w:b/>
          <w:bCs/>
          <w:rtl/>
          <w:lang w:val="fr-CH"/>
        </w:rPr>
        <w:tab/>
        <w:t>ضمان إدراج الحق في إعادة التأهيل في مشروع قانون منع التعذيب (2011)، وتخصيص الموارد الكافية لضمان فعالية برامج العلاج لإعادة التأهيل، بما فيها البرامج الطبية والنفسية والبرامج التي تتيحها دوائر الخدمات غير الحكومية. وينبغي تغطية خدمات إعادة التأهيل على النحو الواجب في ظل صندوق التأمين الصحي الوطني.</w:t>
      </w:r>
    </w:p>
    <w:p w:rsidR="00F5005F" w:rsidRPr="005F3F9E" w:rsidRDefault="00F5005F" w:rsidP="00A83CF9">
      <w:pPr>
        <w:pStyle w:val="H23GA"/>
        <w:rPr>
          <w:rFonts w:hint="cs"/>
          <w:rtl/>
          <w:lang w:val="fr-CH"/>
        </w:rPr>
      </w:pPr>
      <w:r w:rsidRPr="005F3F9E">
        <w:rPr>
          <w:rFonts w:hint="cs"/>
          <w:rtl/>
          <w:lang w:val="fr-CH"/>
        </w:rPr>
        <w:tab/>
      </w:r>
      <w:r w:rsidRPr="005F3F9E">
        <w:rPr>
          <w:rFonts w:hint="cs"/>
          <w:rtl/>
          <w:lang w:val="fr-CH"/>
        </w:rPr>
        <w:tab/>
      </w:r>
      <w:r>
        <w:rPr>
          <w:rFonts w:hint="cs"/>
          <w:rtl/>
          <w:lang w:val="fr-CH"/>
        </w:rPr>
        <w:t>التدريب</w:t>
      </w:r>
    </w:p>
    <w:p w:rsidR="00F5005F" w:rsidRPr="005F3F9E" w:rsidRDefault="00A42CC7" w:rsidP="00714CB5">
      <w:pPr>
        <w:pStyle w:val="SingleTxtGA"/>
        <w:rPr>
          <w:rFonts w:hint="cs"/>
          <w:rtl/>
          <w:lang w:val="fr-CH"/>
        </w:rPr>
      </w:pPr>
      <w:r>
        <w:rPr>
          <w:rFonts w:hint="cs"/>
          <w:rtl/>
          <w:lang w:val="fr-CH"/>
        </w:rPr>
        <w:t>(</w:t>
      </w:r>
      <w:r w:rsidR="00F5005F" w:rsidRPr="005F3F9E">
        <w:rPr>
          <w:rFonts w:hint="cs"/>
          <w:rtl/>
          <w:lang w:val="fr-CH"/>
        </w:rPr>
        <w:t>24</w:t>
      </w:r>
      <w:r w:rsidR="00714CB5">
        <w:rPr>
          <w:rFonts w:hint="cs"/>
          <w:rtl/>
          <w:lang w:val="fr-CH"/>
        </w:rPr>
        <w:t>)</w:t>
      </w:r>
      <w:r w:rsidR="00F5005F" w:rsidRPr="005F3F9E">
        <w:rPr>
          <w:rFonts w:hint="cs"/>
          <w:rtl/>
          <w:lang w:val="fr-CH"/>
        </w:rPr>
        <w:tab/>
      </w:r>
      <w:r w:rsidR="00F5005F">
        <w:rPr>
          <w:rFonts w:hint="cs"/>
          <w:rtl/>
          <w:lang w:val="fr-CH"/>
        </w:rPr>
        <w:t>تلاحظ</w:t>
      </w:r>
      <w:r w:rsidR="00F5005F" w:rsidRPr="005F3F9E">
        <w:rPr>
          <w:rFonts w:hint="cs"/>
          <w:rtl/>
          <w:lang w:val="fr-CH"/>
        </w:rPr>
        <w:t xml:space="preserve"> اللجنة </w:t>
      </w:r>
      <w:r w:rsidR="00F5005F">
        <w:rPr>
          <w:rFonts w:hint="cs"/>
          <w:rtl/>
          <w:lang w:val="fr-CH"/>
        </w:rPr>
        <w:t>مع التقدير الزيادة بنسبة 50 في المائة في مخصصات الميزانية لبرنامج تدريب الشرطة والتقدم المحرز في تدريب أكثر من 000 25 ضابط شرطة، غير أنها لا تزال تشعر بالقلق إزاء محدودية نطاق البرنامج وعدم توفر آلية فعالة لتقييم برنامج التدريب، وعدم تدريب القوات العسكرية والموظفين الطبيين المعنيين (المادة 10).</w:t>
      </w:r>
    </w:p>
    <w:p w:rsidR="00F5005F" w:rsidRPr="00A42CC7" w:rsidRDefault="00F5005F" w:rsidP="00A83CF9">
      <w:pPr>
        <w:pStyle w:val="SingleTxtGA"/>
        <w:rPr>
          <w:rFonts w:ascii="Times New Roman Bold" w:hAnsi="Times New Roman Bold" w:hint="cs"/>
          <w:b/>
          <w:bCs/>
          <w:spacing w:val="-2"/>
          <w:rtl/>
          <w:lang w:val="fr-CH"/>
        </w:rPr>
      </w:pPr>
      <w:r w:rsidRPr="00A42CC7">
        <w:rPr>
          <w:rFonts w:ascii="Times New Roman Bold" w:hAnsi="Times New Roman Bold" w:hint="cs"/>
          <w:b/>
          <w:bCs/>
          <w:spacing w:val="-2"/>
          <w:rtl/>
          <w:lang w:val="fr-CH"/>
        </w:rPr>
        <w:tab/>
        <w:t>توصي اللجنة بأن تضاعف الدولة الطرف جهودها لتدريب الشرطة في مجال حقوق الإنسان، ولا سيما فيما يتصل بأحكام الاتفاقية، وتوسيع نطاق برنامج التدريب ليشمل جميع العسكريين والموظفين المكلفين بإنفاذ القانون، وأن تجري تقييماً فعالاً لأثر برنامج التدريب. وتوصي كذلك بأن تكفل الدولة الطرف تدريب جميع الموظفين الطبيين والموظفين المكلفين بإنفاذ القانون المعنيين فيما يتعلق ببروتوكول اسطنبول (2004)، وأن تتخذ التدابير التي تضمن بالفعل تطبيق المعايير الواردة في البروتوكول على النحو الواجب.</w:t>
      </w:r>
    </w:p>
    <w:p w:rsidR="00F5005F" w:rsidRPr="002C0147" w:rsidRDefault="00F5005F" w:rsidP="00A83CF9">
      <w:pPr>
        <w:pStyle w:val="H23GA"/>
        <w:rPr>
          <w:rFonts w:hint="cs"/>
          <w:rtl/>
          <w:lang w:val="fr-CH"/>
        </w:rPr>
      </w:pPr>
      <w:r>
        <w:rPr>
          <w:rFonts w:hint="cs"/>
          <w:rtl/>
          <w:lang w:val="fr-CH"/>
        </w:rPr>
        <w:tab/>
      </w:r>
      <w:r>
        <w:rPr>
          <w:rFonts w:hint="cs"/>
          <w:rtl/>
          <w:lang w:val="fr-CH"/>
        </w:rPr>
        <w:tab/>
        <w:t>اللجوء إلى القضاء</w:t>
      </w:r>
    </w:p>
    <w:p w:rsidR="00F5005F" w:rsidRPr="005F3F9E" w:rsidRDefault="00A42CC7" w:rsidP="00A83CF9">
      <w:pPr>
        <w:pStyle w:val="SingleTxtGA"/>
        <w:rPr>
          <w:rFonts w:hint="cs"/>
          <w:rtl/>
          <w:lang w:val="fr-CH"/>
        </w:rPr>
      </w:pPr>
      <w:r>
        <w:rPr>
          <w:rFonts w:hint="cs"/>
          <w:rtl/>
          <w:lang w:val="fr-CH"/>
        </w:rPr>
        <w:t>(</w:t>
      </w:r>
      <w:r w:rsidR="00F5005F">
        <w:rPr>
          <w:rFonts w:hint="cs"/>
          <w:rtl/>
          <w:lang w:val="fr-CH"/>
        </w:rPr>
        <w:t>25</w:t>
      </w:r>
      <w:r>
        <w:rPr>
          <w:rFonts w:hint="cs"/>
          <w:rtl/>
          <w:lang w:val="fr-CH"/>
        </w:rPr>
        <w:t>)</w:t>
      </w:r>
      <w:r w:rsidR="00F5005F">
        <w:rPr>
          <w:rFonts w:hint="cs"/>
          <w:rtl/>
          <w:lang w:val="fr-CH"/>
        </w:rPr>
        <w:tab/>
        <w:t>تحيط اللجنة علماً بنظام الدولة الطرف الوطني للمساعدة القانونية وترحب بالمعلومات عن اعتزام "سن" مشروع قانون المساعدة القانونية (2012) "في غضون سنة واحدة"، غير أنها لا تزال تشعر بالقلق إزاء استمرار المشكلة المتصلة بإمكانية اللجوء إلى القضاء، وخصوصاً بالنسبة إلى الأشخاص المفتقرين إلى الموارد الاقتصادية (المادة 2).</w:t>
      </w:r>
      <w:r w:rsidR="00F5005F" w:rsidRPr="0010580D">
        <w:rPr>
          <w:rFonts w:hint="cs"/>
          <w:rtl/>
          <w:lang w:val="fr-CH"/>
        </w:rPr>
        <w:t xml:space="preserve"> </w:t>
      </w:r>
    </w:p>
    <w:p w:rsidR="00F5005F" w:rsidRPr="00274609" w:rsidRDefault="00F5005F" w:rsidP="00F5005F">
      <w:pPr>
        <w:pStyle w:val="SingleTxtGA"/>
        <w:rPr>
          <w:rFonts w:hint="cs"/>
          <w:b/>
          <w:bCs/>
          <w:rtl/>
          <w:lang w:val="fr-CH"/>
        </w:rPr>
      </w:pPr>
      <w:r w:rsidRPr="00274609">
        <w:rPr>
          <w:rFonts w:hint="cs"/>
          <w:b/>
          <w:bCs/>
          <w:rtl/>
          <w:lang w:val="fr-CH"/>
        </w:rPr>
        <w:tab/>
        <w:t>ينبغي للدولة الطرف أن تقدم إلى البرلمان على وجه السرعة مشروع قانون المساعدة القانونية (2012) مقترناً بالسياسة الوطنية للمساعدة القانونية، و</w:t>
      </w:r>
      <w:r>
        <w:rPr>
          <w:rFonts w:hint="cs"/>
          <w:b/>
          <w:bCs/>
          <w:rtl/>
          <w:lang w:val="fr-CH"/>
        </w:rPr>
        <w:t xml:space="preserve">أن </w:t>
      </w:r>
      <w:r w:rsidRPr="00274609">
        <w:rPr>
          <w:rFonts w:hint="cs"/>
          <w:b/>
          <w:bCs/>
          <w:rtl/>
          <w:lang w:val="fr-CH"/>
        </w:rPr>
        <w:t>تضمن تنفيذه على نطاق البلد وتوفير الموارد الكافية لتطبيقه على النحو الواجب، حتى تكفل ألا يكون الافتقار إلى الموارد عائقاً أمام اللجوء إلى القضاء. وعلاوة على ذلك، ينبغي للدولة الطرف أن تواصل جهودها لزيادة عدد المحامين في كل أنحاء البلد.</w:t>
      </w:r>
    </w:p>
    <w:p w:rsidR="00F5005F" w:rsidRPr="00E269C6" w:rsidRDefault="00F5005F" w:rsidP="00A42CC7">
      <w:pPr>
        <w:pStyle w:val="H23GA"/>
        <w:rPr>
          <w:rFonts w:hint="cs"/>
          <w:rtl/>
          <w:lang w:val="fr-CH"/>
        </w:rPr>
      </w:pPr>
      <w:r>
        <w:rPr>
          <w:rFonts w:hint="cs"/>
          <w:rtl/>
          <w:lang w:val="fr-CH"/>
        </w:rPr>
        <w:tab/>
      </w:r>
      <w:r>
        <w:rPr>
          <w:rFonts w:hint="cs"/>
          <w:rtl/>
          <w:lang w:val="fr-CH"/>
        </w:rPr>
        <w:tab/>
        <w:t>تشويه الأعضاء التناسلية للإناث</w:t>
      </w:r>
    </w:p>
    <w:p w:rsidR="00F5005F" w:rsidRPr="005F3F9E" w:rsidRDefault="00A42CC7" w:rsidP="00D61FD7">
      <w:pPr>
        <w:pStyle w:val="SingleTxtGA"/>
        <w:rPr>
          <w:rFonts w:hint="cs"/>
          <w:rtl/>
          <w:lang w:val="fr-CH"/>
        </w:rPr>
      </w:pPr>
      <w:r>
        <w:rPr>
          <w:rFonts w:hint="cs"/>
          <w:rtl/>
          <w:lang w:val="fr-CH"/>
        </w:rPr>
        <w:t>(</w:t>
      </w:r>
      <w:r w:rsidR="00F5005F">
        <w:rPr>
          <w:rFonts w:hint="cs"/>
          <w:rtl/>
          <w:lang w:val="fr-CH"/>
        </w:rPr>
        <w:t>26</w:t>
      </w:r>
      <w:r>
        <w:rPr>
          <w:rFonts w:hint="cs"/>
          <w:rtl/>
          <w:lang w:val="fr-CH"/>
        </w:rPr>
        <w:t>)</w:t>
      </w:r>
      <w:r w:rsidR="00F5005F">
        <w:rPr>
          <w:rFonts w:hint="cs"/>
          <w:rtl/>
          <w:lang w:val="fr-CH"/>
        </w:rPr>
        <w:tab/>
        <w:t xml:space="preserve">ترحب اللجنة بسن القانون الخاص بتشويه الأعضاء التناسلية للإناث في عام 2011 وبعمل وزارة الشؤون الجنسانية والطفل والتنمية الاجتماعية المتصل بإذكاء الوعي لمكافحة ممارسة تشويه الأعضاء التناسلية للإناث، غير أنها لا تزال تشعر بالقلق إزاء انتشار هذه الممارسة. ويساور اللجنة القلق أيضاً لأن سلطة الدخول إلى مكان دون أمر قضائي المخولة </w:t>
      </w:r>
      <w:r w:rsidR="00F5005F">
        <w:rPr>
          <w:rFonts w:hint="cs"/>
          <w:rtl/>
          <w:lang/>
        </w:rPr>
        <w:t>"للرؤساء والمسؤولين عن الأطفال"</w:t>
      </w:r>
      <w:r w:rsidR="00F5005F">
        <w:rPr>
          <w:rFonts w:hint="cs"/>
          <w:rtl/>
          <w:lang w:val="fr-CH"/>
        </w:rPr>
        <w:t xml:space="preserve"> بموجب القانون لا تنطوي على ضمانات قانونية (المواد 2 و11 و12).</w:t>
      </w:r>
      <w:r w:rsidR="00F5005F" w:rsidRPr="007F42FC">
        <w:rPr>
          <w:rFonts w:hint="cs"/>
          <w:rtl/>
          <w:lang w:val="fr-CH"/>
        </w:rPr>
        <w:t xml:space="preserve"> </w:t>
      </w:r>
    </w:p>
    <w:p w:rsidR="00F5005F" w:rsidRPr="00274609" w:rsidRDefault="00F5005F" w:rsidP="00F5005F">
      <w:pPr>
        <w:pStyle w:val="SingleTxtGA"/>
        <w:rPr>
          <w:rFonts w:hint="cs"/>
          <w:b/>
          <w:bCs/>
          <w:rtl/>
        </w:rPr>
      </w:pPr>
      <w:r w:rsidRPr="00274609">
        <w:rPr>
          <w:rFonts w:hint="cs"/>
          <w:b/>
          <w:bCs/>
          <w:rtl/>
          <w:lang w:val="fr-CH"/>
        </w:rPr>
        <w:tab/>
        <w:t xml:space="preserve">ينبغي للدولة الطرف أن تضاعف جهودها </w:t>
      </w:r>
      <w:r w:rsidRPr="00274609">
        <w:rPr>
          <w:rFonts w:hint="cs"/>
          <w:b/>
          <w:bCs/>
          <w:rtl/>
        </w:rPr>
        <w:t>للقضاء على ممارسة تشويه الأعضاء التناسلية الأنثوية، بما في ذلك من خلال تنظيم حملات لإذكاء الوعي ومحاكمة مرتكبي تلك الأفعال ومعاقبتهم. وينبغي للدولة الطرف أن تضمن امتثال جميع التدابير الرامية إلى مكافحة هذه الممارسة للضمانات القانونية.</w:t>
      </w:r>
    </w:p>
    <w:p w:rsidR="00F5005F" w:rsidRDefault="00F5005F" w:rsidP="00D61FD7">
      <w:pPr>
        <w:pStyle w:val="H23GA"/>
        <w:rPr>
          <w:rFonts w:hint="cs"/>
          <w:rtl/>
          <w:lang w:val="fr-CH"/>
        </w:rPr>
      </w:pPr>
      <w:r>
        <w:rPr>
          <w:rFonts w:hint="cs"/>
          <w:rtl/>
        </w:rPr>
        <w:tab/>
      </w:r>
      <w:r>
        <w:rPr>
          <w:rFonts w:hint="cs"/>
          <w:rtl/>
        </w:rPr>
        <w:tab/>
      </w:r>
      <w:r w:rsidRPr="00D86144">
        <w:rPr>
          <w:rFonts w:hint="cs"/>
          <w:rtl/>
        </w:rPr>
        <w:t>مرافق الصحة الإنجابية</w:t>
      </w:r>
    </w:p>
    <w:p w:rsidR="00F5005F" w:rsidRPr="005F3F9E" w:rsidRDefault="00D61FD7" w:rsidP="00D61FD7">
      <w:pPr>
        <w:pStyle w:val="SingleTxtGA"/>
        <w:rPr>
          <w:rFonts w:hint="cs"/>
          <w:rtl/>
          <w:lang w:val="fr-CH"/>
        </w:rPr>
      </w:pPr>
      <w:r>
        <w:rPr>
          <w:rFonts w:hint="cs"/>
          <w:rtl/>
          <w:lang w:val="fr-CH"/>
        </w:rPr>
        <w:t>(</w:t>
      </w:r>
      <w:r w:rsidR="00F5005F">
        <w:rPr>
          <w:rFonts w:hint="cs"/>
          <w:rtl/>
          <w:lang w:val="fr-CH"/>
        </w:rPr>
        <w:t>27</w:t>
      </w:r>
      <w:r>
        <w:rPr>
          <w:rFonts w:hint="cs"/>
          <w:rtl/>
          <w:lang w:val="fr-CH"/>
        </w:rPr>
        <w:t>)</w:t>
      </w:r>
      <w:r w:rsidR="00F5005F">
        <w:rPr>
          <w:rFonts w:hint="cs"/>
          <w:rtl/>
          <w:lang w:val="fr-CH"/>
        </w:rPr>
        <w:tab/>
        <w:t xml:space="preserve">ترحب اللجنة بإلغاء رسوم رعاية الأمومة في المستشفيات العامة، إلا أنها لا تزال تشعر بالقلق إزاء سوء معاملة النساء اللواتي يسعين إلى الحصول على خدمات الصحة الإنجابية، ولا سيما إزاء استمرار ممارسة احتجاز النساء العاجزات عن دفع فواتير النفقات الطبية بعد الولادة، بما في ذلك في المرافق الصحية الخاصة. وتعرب اللجنة كذلك عن قلقها إزاء ممارسة </w:t>
      </w:r>
      <w:r w:rsidR="00F5005F">
        <w:rPr>
          <w:rFonts w:hint="cs"/>
          <w:rtl/>
          <w:lang/>
        </w:rPr>
        <w:t xml:space="preserve">التعقيم القسري والإجباري للنساء المصابات بفيروس نقص المناعة البشرية </w:t>
      </w:r>
      <w:r w:rsidR="00F5005F">
        <w:rPr>
          <w:rFonts w:hint="cs"/>
          <w:rtl/>
          <w:lang w:val="fr-CH"/>
        </w:rPr>
        <w:t>والنساء المعوقات (المواد 2 و12 و16).</w:t>
      </w:r>
      <w:r w:rsidR="00F5005F" w:rsidRPr="00CB67BF">
        <w:rPr>
          <w:rFonts w:hint="cs"/>
          <w:rtl/>
          <w:lang w:val="fr-CH"/>
        </w:rPr>
        <w:t xml:space="preserve"> </w:t>
      </w:r>
    </w:p>
    <w:p w:rsidR="00F5005F" w:rsidRPr="00274609" w:rsidRDefault="00F5005F" w:rsidP="00464673">
      <w:pPr>
        <w:pStyle w:val="SingleTxtGA"/>
        <w:spacing w:line="370" w:lineRule="exact"/>
        <w:rPr>
          <w:rFonts w:hint="cs"/>
          <w:b/>
          <w:bCs/>
          <w:rtl/>
          <w:lang w:val="fr-CH"/>
        </w:rPr>
      </w:pPr>
      <w:r w:rsidRPr="00274609">
        <w:rPr>
          <w:rFonts w:hint="cs"/>
          <w:b/>
          <w:bCs/>
          <w:rtl/>
          <w:lang w:val="fr-CH"/>
        </w:rPr>
        <w:tab/>
        <w:t>تحث اللجنة الدولة الطرف على تكثيف جهودها لوضع حد لممارسة الاحتجاز</w:t>
      </w:r>
      <w:r w:rsidR="00D61FD7">
        <w:rPr>
          <w:rFonts w:hint="eastAsia"/>
          <w:b/>
          <w:bCs/>
          <w:rtl/>
          <w:lang w:val="fr-CH"/>
        </w:rPr>
        <w:t> </w:t>
      </w:r>
      <w:r w:rsidRPr="00274609">
        <w:rPr>
          <w:rFonts w:hint="cs"/>
          <w:b/>
          <w:bCs/>
          <w:rtl/>
          <w:lang w:val="fr-CH"/>
        </w:rPr>
        <w:t>القسري للأمهات بعد الولادة بسبب عدم دفع الرسوم بما في ذلك في المرافق الصحية الخاصة.</w:t>
      </w:r>
    </w:p>
    <w:p w:rsidR="00F5005F" w:rsidRPr="00274609" w:rsidRDefault="00F5005F" w:rsidP="00464673">
      <w:pPr>
        <w:pStyle w:val="SingleTxtGA"/>
        <w:spacing w:line="370" w:lineRule="exact"/>
        <w:rPr>
          <w:rFonts w:hint="cs"/>
          <w:b/>
          <w:bCs/>
          <w:rtl/>
          <w:lang w:val="fr-CH"/>
        </w:rPr>
      </w:pPr>
      <w:r w:rsidRPr="00274609">
        <w:rPr>
          <w:rFonts w:hint="cs"/>
          <w:b/>
          <w:bCs/>
          <w:rtl/>
          <w:lang w:val="fr-CH"/>
        </w:rPr>
        <w:tab/>
        <w:t>وينبغي للدولة الطرف أن تكثف جهودها للتحقيق في الادعاءات المتصلة بممارسات التعقيم غير الطوعية أو بغيرها من الممارسات الضارة فيما يرتبط بالصحة الإنجابية والتعرف على الأشخاص الذين يرتكبون تلك الممارسات ومعاقبتهم.</w:t>
      </w:r>
    </w:p>
    <w:p w:rsidR="00F5005F" w:rsidRPr="00274609" w:rsidRDefault="00F5005F" w:rsidP="00464673">
      <w:pPr>
        <w:pStyle w:val="SingleTxtGA"/>
        <w:spacing w:line="370" w:lineRule="exact"/>
        <w:rPr>
          <w:rFonts w:hint="cs"/>
          <w:b/>
          <w:bCs/>
          <w:rtl/>
          <w:lang w:val="fr-CH"/>
        </w:rPr>
      </w:pPr>
      <w:r w:rsidRPr="00274609">
        <w:rPr>
          <w:rFonts w:hint="cs"/>
          <w:b/>
          <w:bCs/>
          <w:rtl/>
          <w:lang w:val="fr-CH"/>
        </w:rPr>
        <w:tab/>
        <w:t xml:space="preserve">وينبغي للدولة الطرف أن تسن مشروع قانون حماية الأسرة لإعمال الحق في الصحة وفقاً لما تنص عليه المادة 43 من دستور الدولة الطرف. وينبغي للجنة المعنية بالقضاء الإداري (أمين المظالم) أن تنشر تقارير مفصلة عن الشكاوى ومتابعتها ونتائجها. وينبغي للدولة الطرف أن تضمن قيام اللجنة الوطنية المعنية بالشؤون </w:t>
      </w:r>
      <w:r w:rsidRPr="00274609">
        <w:rPr>
          <w:rFonts w:hint="cs"/>
          <w:b/>
          <w:bCs/>
          <w:rtl/>
        </w:rPr>
        <w:t xml:space="preserve">الجنسانية والمساواة </w:t>
      </w:r>
      <w:r w:rsidRPr="00274609">
        <w:rPr>
          <w:rFonts w:hint="cs"/>
          <w:b/>
          <w:bCs/>
          <w:rtl/>
          <w:lang w:val="fr-CH"/>
        </w:rPr>
        <w:t>بالرصد الفعال للأوضاع في مرافق الصحة الإنجابية عن طريق إصدار تقارير دورية عنها.</w:t>
      </w:r>
    </w:p>
    <w:p w:rsidR="00F5005F" w:rsidRPr="004C5C29" w:rsidRDefault="00F5005F" w:rsidP="00464673">
      <w:pPr>
        <w:pStyle w:val="H23GA"/>
        <w:spacing w:line="370" w:lineRule="exact"/>
        <w:rPr>
          <w:rFonts w:hint="cs"/>
          <w:rtl/>
          <w:lang w:val="fr-CH"/>
        </w:rPr>
      </w:pPr>
      <w:r>
        <w:rPr>
          <w:rFonts w:hint="cs"/>
          <w:rtl/>
          <w:lang w:val="fr-CH"/>
        </w:rPr>
        <w:tab/>
      </w:r>
      <w:r>
        <w:rPr>
          <w:rFonts w:hint="cs"/>
          <w:rtl/>
          <w:lang w:val="fr-CH"/>
        </w:rPr>
        <w:tab/>
        <w:t>الإجهاض في حال التعرض للاغتصاب أو سفاح المحارم</w:t>
      </w:r>
    </w:p>
    <w:p w:rsidR="00F5005F" w:rsidRPr="005F3F9E" w:rsidRDefault="00D61FD7" w:rsidP="00464673">
      <w:pPr>
        <w:pStyle w:val="SingleTxtGA"/>
        <w:spacing w:line="370" w:lineRule="exact"/>
        <w:rPr>
          <w:rFonts w:hint="cs"/>
          <w:rtl/>
          <w:lang w:val="fr-CH"/>
        </w:rPr>
      </w:pPr>
      <w:r>
        <w:rPr>
          <w:rFonts w:hint="cs"/>
          <w:rtl/>
          <w:lang w:val="fr-CH"/>
        </w:rPr>
        <w:t>(</w:t>
      </w:r>
      <w:r w:rsidR="00F5005F">
        <w:rPr>
          <w:rFonts w:hint="cs"/>
          <w:rtl/>
          <w:lang w:val="fr-CH"/>
        </w:rPr>
        <w:t>28</w:t>
      </w:r>
      <w:r>
        <w:rPr>
          <w:rFonts w:hint="cs"/>
          <w:rtl/>
          <w:lang w:val="fr-CH"/>
        </w:rPr>
        <w:t>)</w:t>
      </w:r>
      <w:r w:rsidR="00F5005F">
        <w:rPr>
          <w:rFonts w:hint="cs"/>
          <w:rtl/>
          <w:lang w:val="fr-CH"/>
        </w:rPr>
        <w:tab/>
        <w:t>تقر اللجنة بالمعلومات المقدمة من الدولة الطرف والتي أفادت فيها بأن الأطباء قد يسمحون في الواقع بالإجهاض في حالات تعرض المرأة لسفاح المحارم أو الاغتصاب، غير أنها تعرب عن قلقها لعدم وجود الحق في الإجهاض في مثل تلك الحالات، ولترك المرأة تخضع لسلطة تقديرية لا مبرر لها تنطوي على تبعات وخيمة على صحتها بسبب حالة الارتياب الناتجة التي يشعر بها كل من المرأة والأطباء (المادتان 2 و16).</w:t>
      </w:r>
      <w:r w:rsidR="00F5005F" w:rsidRPr="007066C2">
        <w:rPr>
          <w:rFonts w:hint="cs"/>
          <w:rtl/>
          <w:lang w:val="fr-CH"/>
        </w:rPr>
        <w:t xml:space="preserve"> </w:t>
      </w:r>
    </w:p>
    <w:p w:rsidR="00F5005F" w:rsidRPr="00274609" w:rsidRDefault="00F5005F" w:rsidP="00464673">
      <w:pPr>
        <w:pStyle w:val="SingleTxtGA"/>
        <w:spacing w:line="370" w:lineRule="exact"/>
        <w:rPr>
          <w:rFonts w:hint="cs"/>
          <w:b/>
          <w:bCs/>
          <w:rtl/>
          <w:lang w:val="fr-CH"/>
        </w:rPr>
      </w:pPr>
      <w:r w:rsidRPr="00274609">
        <w:rPr>
          <w:rFonts w:hint="cs"/>
          <w:b/>
          <w:bCs/>
          <w:rtl/>
          <w:lang w:val="fr-CH"/>
        </w:rPr>
        <w:tab/>
        <w:t>توصي اللجنة بأن تعدل الدولة الطرف تشريعها بهدف منح المرأة التي تتعرض للاغتصاب أو سفاح المحارم الحق في الإجهاض بصورة مستقلة عن أي تقدير يبديه أحد أصحاب المهن الطبية.</w:t>
      </w:r>
    </w:p>
    <w:p w:rsidR="00F5005F" w:rsidRPr="002646FE" w:rsidRDefault="00F5005F" w:rsidP="00464673">
      <w:pPr>
        <w:pStyle w:val="SingleTxtGA"/>
        <w:spacing w:line="370" w:lineRule="exact"/>
        <w:rPr>
          <w:rFonts w:hint="cs"/>
          <w:b/>
          <w:bCs/>
          <w:rtl/>
          <w:lang w:val="fr-CH"/>
        </w:rPr>
      </w:pPr>
      <w:r w:rsidRPr="002646FE">
        <w:rPr>
          <w:rFonts w:hint="cs"/>
          <w:b/>
          <w:bCs/>
          <w:rtl/>
          <w:lang w:val="fr-CH"/>
        </w:rPr>
        <w:tab/>
        <w:t>وتوصي اللجنة بأن تقيم الدولة الطرف آثار تشريعاتها التقييدية بشأن الإجهاض على صحة المرأة بهدف تنظيم هذا المجال بقدر كاف من الوضوح.</w:t>
      </w:r>
    </w:p>
    <w:p w:rsidR="00F5005F" w:rsidRPr="00274609" w:rsidRDefault="00F5005F" w:rsidP="00464673">
      <w:pPr>
        <w:pStyle w:val="H23GA"/>
        <w:spacing w:line="370" w:lineRule="exact"/>
        <w:rPr>
          <w:rFonts w:hint="cs"/>
          <w:rtl/>
          <w:lang w:val="fr-CH"/>
        </w:rPr>
      </w:pPr>
      <w:r>
        <w:rPr>
          <w:rFonts w:hint="cs"/>
          <w:sz w:val="32"/>
          <w:rtl/>
        </w:rPr>
        <w:tab/>
      </w:r>
      <w:r>
        <w:rPr>
          <w:rFonts w:hint="cs"/>
          <w:sz w:val="32"/>
          <w:rtl/>
        </w:rPr>
        <w:tab/>
      </w:r>
      <w:r w:rsidRPr="0045142F">
        <w:rPr>
          <w:rFonts w:hint="cs"/>
          <w:sz w:val="32"/>
          <w:rtl/>
        </w:rPr>
        <w:t>قضاء الأحداث</w:t>
      </w:r>
      <w:r w:rsidRPr="0045142F">
        <w:rPr>
          <w:rFonts w:hint="cs"/>
          <w:rtl/>
        </w:rPr>
        <w:t xml:space="preserve"> وسن </w:t>
      </w:r>
      <w:r>
        <w:rPr>
          <w:rFonts w:hint="cs"/>
          <w:rtl/>
        </w:rPr>
        <w:t>ا</w:t>
      </w:r>
      <w:r w:rsidRPr="0045142F">
        <w:rPr>
          <w:rFonts w:hint="cs"/>
          <w:rtl/>
        </w:rPr>
        <w:t>لمسؤولية الجنائية</w:t>
      </w:r>
    </w:p>
    <w:p w:rsidR="00F5005F" w:rsidRDefault="00D61FD7" w:rsidP="00464673">
      <w:pPr>
        <w:pStyle w:val="SingleTxtGA"/>
        <w:spacing w:line="370" w:lineRule="exact"/>
        <w:rPr>
          <w:rFonts w:hint="cs"/>
          <w:rtl/>
          <w:lang w:val="fr-CH"/>
        </w:rPr>
      </w:pPr>
      <w:r>
        <w:rPr>
          <w:rFonts w:hint="cs"/>
          <w:rtl/>
        </w:rPr>
        <w:t>(</w:t>
      </w:r>
      <w:r w:rsidR="00F5005F">
        <w:rPr>
          <w:rFonts w:hint="cs"/>
          <w:rtl/>
        </w:rPr>
        <w:t>29</w:t>
      </w:r>
      <w:r>
        <w:rPr>
          <w:rFonts w:hint="cs"/>
          <w:rtl/>
        </w:rPr>
        <w:t>)</w:t>
      </w:r>
      <w:r w:rsidR="00F5005F">
        <w:rPr>
          <w:rFonts w:hint="cs"/>
          <w:rtl/>
        </w:rPr>
        <w:tab/>
      </w:r>
      <w:r w:rsidR="00F5005F" w:rsidRPr="00017A44">
        <w:rPr>
          <w:rFonts w:hint="cs"/>
          <w:rtl/>
        </w:rPr>
        <w:t>تحيط اللجنة علماً بالمعلومات عن الاقتراح الوارد في قانون الطفل (مشروع قانون التعديل) (2011) ومشروع</w:t>
      </w:r>
      <w:r w:rsidR="00F5005F">
        <w:rPr>
          <w:rFonts w:hint="cs"/>
          <w:rtl/>
        </w:rPr>
        <w:t xml:space="preserve"> قانون قضاء الأطفال (2011) والداعي إلى رفع سن المسؤولية الجنائية إلى 12 سنة، </w:t>
      </w:r>
      <w:r w:rsidR="00F5005F">
        <w:rPr>
          <w:rFonts w:hint="cs"/>
          <w:rtl/>
          <w:lang w:val="fr-CH"/>
        </w:rPr>
        <w:t>غير أنها لا تزال تشعر بالقلق إزاء عدم اعتماد مشروعي القانون وبقاء السن المحددة للمسؤولية الجنائية 8 سنوات (المادة 2).</w:t>
      </w:r>
    </w:p>
    <w:p w:rsidR="00F5005F" w:rsidRPr="002646FE" w:rsidRDefault="00F5005F" w:rsidP="00464673">
      <w:pPr>
        <w:pStyle w:val="SingleTxtGA"/>
        <w:spacing w:line="366" w:lineRule="exact"/>
        <w:rPr>
          <w:rFonts w:hint="cs"/>
          <w:b/>
          <w:bCs/>
          <w:spacing w:val="-1"/>
          <w:rtl/>
          <w:lang w:val="fr-CH"/>
        </w:rPr>
      </w:pPr>
      <w:r w:rsidRPr="002646FE">
        <w:rPr>
          <w:rFonts w:hint="cs"/>
          <w:b/>
          <w:bCs/>
          <w:spacing w:val="-1"/>
          <w:rtl/>
          <w:lang w:val="fr-CH"/>
        </w:rPr>
        <w:tab/>
        <w:t xml:space="preserve">توصي اللجنة بأن تعتمد الدولة الطرف مشروعي القانون المتعلقين بالأطفال بهدف رفع سن المسؤولية الجنائية إلى مستويات مقبولة دولياً، وفقاً لما ينص عليه </w:t>
      </w:r>
      <w:r w:rsidRPr="002646FE">
        <w:rPr>
          <w:rFonts w:hint="cs"/>
          <w:b/>
          <w:bCs/>
          <w:spacing w:val="-1"/>
          <w:sz w:val="32"/>
          <w:rtl/>
        </w:rPr>
        <w:t>التعليق العام رقم</w:t>
      </w:r>
      <w:r>
        <w:rPr>
          <w:rFonts w:hint="eastAsia"/>
          <w:b/>
          <w:bCs/>
          <w:spacing w:val="-1"/>
          <w:sz w:val="32"/>
          <w:rtl/>
        </w:rPr>
        <w:t> </w:t>
      </w:r>
      <w:r w:rsidRPr="002646FE">
        <w:rPr>
          <w:rFonts w:hint="cs"/>
          <w:b/>
          <w:bCs/>
          <w:spacing w:val="-1"/>
          <w:sz w:val="32"/>
          <w:rtl/>
        </w:rPr>
        <w:t xml:space="preserve">10(2007) </w:t>
      </w:r>
      <w:r w:rsidRPr="002646FE">
        <w:rPr>
          <w:rFonts w:hint="cs"/>
          <w:b/>
          <w:bCs/>
          <w:spacing w:val="-1"/>
          <w:rtl/>
        </w:rPr>
        <w:t>للجنة حقوق الطفل</w:t>
      </w:r>
      <w:r w:rsidRPr="002646FE">
        <w:rPr>
          <w:rFonts w:hint="cs"/>
          <w:b/>
          <w:bCs/>
          <w:spacing w:val="-1"/>
          <w:sz w:val="32"/>
          <w:rtl/>
        </w:rPr>
        <w:t xml:space="preserve"> بشأن حقوق الطفل في قضاء الأحداث</w:t>
      </w:r>
      <w:r w:rsidRPr="002646FE">
        <w:rPr>
          <w:rFonts w:hint="cs"/>
          <w:b/>
          <w:bCs/>
          <w:spacing w:val="-1"/>
          <w:rtl/>
          <w:lang w:val="fr-CH"/>
        </w:rPr>
        <w:t xml:space="preserve"> (الفقرتان</w:t>
      </w:r>
      <w:r>
        <w:rPr>
          <w:rFonts w:hint="eastAsia"/>
          <w:b/>
          <w:bCs/>
          <w:spacing w:val="-1"/>
          <w:rtl/>
          <w:lang w:val="fr-CH"/>
        </w:rPr>
        <w:t> </w:t>
      </w:r>
      <w:r w:rsidRPr="002646FE">
        <w:rPr>
          <w:rFonts w:hint="cs"/>
          <w:b/>
          <w:bCs/>
          <w:spacing w:val="-1"/>
          <w:rtl/>
          <w:lang w:val="fr-CH"/>
        </w:rPr>
        <w:t>32 و33). وينبغي للدولة الطرف أن تكفل تنفيذ قواعد الأمم المتحدة النموذجية الدنيا لإدارة شؤون قضاء الأحداث (قواعد بيجين) (قرار الجمعية العامة</w:t>
      </w:r>
      <w:r w:rsidRPr="002646FE">
        <w:rPr>
          <w:rFonts w:hint="eastAsia"/>
          <w:b/>
          <w:bCs/>
          <w:spacing w:val="-1"/>
          <w:rtl/>
          <w:lang w:val="fr-CH"/>
        </w:rPr>
        <w:t> </w:t>
      </w:r>
      <w:r w:rsidRPr="002646FE">
        <w:rPr>
          <w:rFonts w:hint="cs"/>
          <w:b/>
          <w:bCs/>
          <w:spacing w:val="-1"/>
          <w:rtl/>
          <w:lang w:val="fr-CH"/>
        </w:rPr>
        <w:t>40/33) ومبادئ الأمم المتحدة التوجيهية لمنع جنوح الأحداث (مبادئ الرياض التوجيهية) (قرار الجمعية العامة 45/112، المرفق) ومبادئ الأمم المتحدة التوجيهية بشأن حماية الأحداث المجردين من حريتهم (قرار الجمعية العامة 45/113) على وجه تام.</w:t>
      </w:r>
    </w:p>
    <w:p w:rsidR="00F5005F" w:rsidRDefault="00F5005F" w:rsidP="00464673">
      <w:pPr>
        <w:pStyle w:val="H23GA"/>
        <w:spacing w:line="366" w:lineRule="exact"/>
        <w:rPr>
          <w:rFonts w:hint="cs"/>
          <w:rtl/>
          <w:lang w:val="fr-CH"/>
        </w:rPr>
      </w:pPr>
      <w:r>
        <w:rPr>
          <w:rFonts w:hint="cs"/>
          <w:rtl/>
          <w:lang w:val="fr-CH"/>
        </w:rPr>
        <w:tab/>
      </w:r>
      <w:r>
        <w:rPr>
          <w:rFonts w:hint="cs"/>
          <w:rtl/>
          <w:lang w:val="fr-CH"/>
        </w:rPr>
        <w:tab/>
        <w:t>العنف ضد الأطفال</w:t>
      </w:r>
    </w:p>
    <w:p w:rsidR="00F5005F" w:rsidRDefault="00D61FD7" w:rsidP="00464673">
      <w:pPr>
        <w:pStyle w:val="SingleTxtGA"/>
        <w:spacing w:line="366" w:lineRule="exact"/>
        <w:rPr>
          <w:rFonts w:hint="cs"/>
          <w:rtl/>
          <w:lang w:val="fr-CH"/>
        </w:rPr>
      </w:pPr>
      <w:r>
        <w:rPr>
          <w:rFonts w:hint="cs"/>
          <w:rtl/>
          <w:lang w:val="fr-CH"/>
        </w:rPr>
        <w:t>(</w:t>
      </w:r>
      <w:r w:rsidR="00F5005F">
        <w:rPr>
          <w:rFonts w:hint="cs"/>
          <w:rtl/>
          <w:lang w:val="fr-CH"/>
        </w:rPr>
        <w:t>30</w:t>
      </w:r>
      <w:r>
        <w:rPr>
          <w:rFonts w:hint="cs"/>
          <w:rtl/>
          <w:lang w:val="fr-CH"/>
        </w:rPr>
        <w:t>)</w:t>
      </w:r>
      <w:r w:rsidR="00F5005F">
        <w:rPr>
          <w:rFonts w:hint="cs"/>
          <w:rtl/>
          <w:lang w:val="fr-CH"/>
        </w:rPr>
        <w:tab/>
        <w:t>تعرب اللجنة عن قلقها إزاء عدم الرصد الفعال للعنف ضد الأطفال في المدارس والمؤسسات العامة. وترحب اللجنة بإنشاء 14 وحدة لحماية الطفل في مراكز الشرطة غير أنها لا تزال تشعر بالقلق لأن هذه الوحدات تتركز في المراكز الحضرية، مما يؤدي إلى عدم توفير الحماية للأطفال في المناطق الريفية (المادتان 2 و11).</w:t>
      </w:r>
    </w:p>
    <w:p w:rsidR="00F5005F" w:rsidRPr="00464673" w:rsidRDefault="00F5005F" w:rsidP="00464673">
      <w:pPr>
        <w:pStyle w:val="SingleTxtGA"/>
        <w:spacing w:line="366" w:lineRule="exact"/>
        <w:rPr>
          <w:rFonts w:ascii="Times New Roman Bold" w:hAnsi="Times New Roman Bold" w:hint="cs"/>
          <w:b/>
          <w:bCs/>
          <w:spacing w:val="-4"/>
          <w:rtl/>
          <w:lang w:val="fr-CH"/>
        </w:rPr>
      </w:pPr>
      <w:r w:rsidRPr="00464673">
        <w:rPr>
          <w:rFonts w:ascii="Times New Roman Bold" w:hAnsi="Times New Roman Bold" w:hint="cs"/>
          <w:b/>
          <w:bCs/>
          <w:spacing w:val="-4"/>
          <w:rtl/>
          <w:lang w:val="fr-CH"/>
        </w:rPr>
        <w:tab/>
        <w:t>ينبغي للدولة الطرف أن تعزز آلياتها لتقديم الشكاوى وإجراءات المتابعة وخدمات الدعم لفائدة الأطفال الذين تعرضوا للتعذيب والاعتداء، ولا سيما عن طريق توسيع نطاق وحدات حماية الطفل لتشمل مراكز الشرطة على نطاق البلد وإتاحة مراكز اتصال عبر خطوط هاتفية لمساعدة الأطفال على نطاق البلد. وينبغي للدولة الطرف أيضاً أن تعزز أنشطتها لتفتيش مؤسسات الأطفال الخيرية ورصدها من أجل ضمان عدم بقاء الأطفال فيها لمدد طويلة إلا في ظروف خاصة. وينبغي للدولة الطرف أن تتخذ تدابير فعالة لضمان حماية جميع الأطفال على الدوام من العنف وغيره من ضروب سوء المعاملة في المدارس والمؤسسات.</w:t>
      </w:r>
    </w:p>
    <w:p w:rsidR="00F5005F" w:rsidRPr="000E3B06" w:rsidRDefault="00F5005F" w:rsidP="00464673">
      <w:pPr>
        <w:pStyle w:val="SingleTxtGA"/>
        <w:spacing w:line="366" w:lineRule="exact"/>
        <w:rPr>
          <w:rFonts w:hint="cs"/>
          <w:b/>
          <w:bCs/>
          <w:rtl/>
          <w:lang w:val="fr-CH"/>
        </w:rPr>
      </w:pPr>
      <w:r w:rsidRPr="000E3B06">
        <w:rPr>
          <w:rFonts w:hint="cs"/>
          <w:b/>
          <w:bCs/>
          <w:rtl/>
          <w:lang w:val="fr-CH"/>
        </w:rPr>
        <w:tab/>
        <w:t>وينبغي إتاحة نتائج عمليات رصد مؤسسات الأطفال التي تجريها اللجنة الوطنية المعنية بالشؤون الجنسانية والمساواة وتنفيذ توصيات هذه اللجنة.</w:t>
      </w:r>
    </w:p>
    <w:p w:rsidR="00F5005F" w:rsidRPr="00965BA5" w:rsidRDefault="00F5005F" w:rsidP="00464673">
      <w:pPr>
        <w:pStyle w:val="H23GA"/>
        <w:spacing w:line="366" w:lineRule="exact"/>
        <w:rPr>
          <w:rFonts w:hint="cs"/>
          <w:rtl/>
          <w:lang w:val="fr-CH"/>
        </w:rPr>
      </w:pPr>
      <w:r>
        <w:rPr>
          <w:rFonts w:hint="cs"/>
          <w:rtl/>
          <w:lang w:val="fr-CH"/>
        </w:rPr>
        <w:tab/>
      </w:r>
      <w:r>
        <w:rPr>
          <w:rFonts w:hint="cs"/>
          <w:rtl/>
          <w:lang w:val="fr-CH"/>
        </w:rPr>
        <w:tab/>
        <w:t>مؤسسات الصحة العقلية</w:t>
      </w:r>
    </w:p>
    <w:p w:rsidR="00F5005F" w:rsidRDefault="00D61FD7" w:rsidP="00464673">
      <w:pPr>
        <w:pStyle w:val="SingleTxtGA"/>
        <w:spacing w:line="366" w:lineRule="exact"/>
        <w:rPr>
          <w:rFonts w:hint="cs"/>
          <w:rtl/>
          <w:lang w:val="fr-CH"/>
        </w:rPr>
      </w:pPr>
      <w:r>
        <w:rPr>
          <w:rFonts w:hint="cs"/>
          <w:rtl/>
          <w:lang w:val="fr-CH"/>
        </w:rPr>
        <w:t>(</w:t>
      </w:r>
      <w:r w:rsidR="00F5005F">
        <w:rPr>
          <w:rFonts w:hint="cs"/>
          <w:rtl/>
          <w:lang w:val="fr-CH"/>
        </w:rPr>
        <w:t>31</w:t>
      </w:r>
      <w:r>
        <w:rPr>
          <w:rFonts w:hint="cs"/>
          <w:rtl/>
          <w:lang w:val="fr-CH"/>
        </w:rPr>
        <w:t>)</w:t>
      </w:r>
      <w:r w:rsidR="00F5005F">
        <w:rPr>
          <w:rFonts w:hint="cs"/>
          <w:rtl/>
          <w:lang w:val="fr-CH"/>
        </w:rPr>
        <w:tab/>
      </w:r>
      <w:r w:rsidR="00F5005F" w:rsidRPr="00C72776">
        <w:rPr>
          <w:rFonts w:hint="cs"/>
          <w:rtl/>
          <w:lang w:val="fr-CH"/>
        </w:rPr>
        <w:t>تبدي اللجنة قلقها إزاء التقارير التي تبلغ عن الظروف التعيسة في مؤسسات الأمراض النفسية وغيرها من أماكن الحرمان من الحرية</w:t>
      </w:r>
      <w:r w:rsidR="00F5005F">
        <w:rPr>
          <w:rFonts w:hint="cs"/>
          <w:rtl/>
          <w:lang w:val="fr-CH"/>
        </w:rPr>
        <w:t>، وتعرب عن أسفها لعدم توف</w:t>
      </w:r>
      <w:r w:rsidR="00F5005F" w:rsidRPr="00C72776">
        <w:rPr>
          <w:rFonts w:hint="cs"/>
          <w:rtl/>
          <w:lang w:val="fr-CH"/>
        </w:rPr>
        <w:t>ر معلومات عن ظروف تلك المؤسسات من جانب</w:t>
      </w:r>
      <w:r w:rsidR="00F5005F">
        <w:rPr>
          <w:rFonts w:hint="cs"/>
          <w:rtl/>
          <w:lang w:val="fr-CH"/>
        </w:rPr>
        <w:t xml:space="preserve"> الدولة الطرف (المادة 16).</w:t>
      </w:r>
    </w:p>
    <w:p w:rsidR="00F5005F" w:rsidRPr="00464673" w:rsidRDefault="00F5005F" w:rsidP="00464673">
      <w:pPr>
        <w:pStyle w:val="SingleTxtGA"/>
        <w:spacing w:line="366" w:lineRule="exact"/>
        <w:rPr>
          <w:rFonts w:ascii="Times New Roman Bold" w:hAnsi="Times New Roman Bold" w:hint="cs"/>
          <w:b/>
          <w:bCs/>
          <w:rtl/>
          <w:lang/>
        </w:rPr>
      </w:pPr>
      <w:r w:rsidRPr="00464673">
        <w:rPr>
          <w:rFonts w:ascii="Times New Roman Bold" w:hAnsi="Times New Roman Bold" w:hint="cs"/>
          <w:b/>
          <w:bCs/>
          <w:rtl/>
          <w:lang w:val="fr-CH"/>
        </w:rPr>
        <w:tab/>
        <w:t xml:space="preserve">ينبغي للدولة الطرف أن تضمن رصد جميع أماكن الحرمان من الحرية، بما فيها مستشفيات الأمراض العقلية، على نحو كاف ووضع ضمانات فعالة لمنع أي معاملة سيئة للأشخاص المقيمين في تلك المرافق. وتُحث الدولة الطرف على توفير معلومات مفصلة عن الزيارات التي تستهدف مؤسسات الأمراض النفسية وغيرها من أماكن الحرمان من الحرية بما فيها الزيارات غير المعلنة وتوقيتها ووتيرتها، وعن استنتاجات تلك الزيارات ومتابعة </w:t>
      </w:r>
      <w:r w:rsidRPr="00464673">
        <w:rPr>
          <w:rFonts w:ascii="Times New Roman Bold" w:hAnsi="Times New Roman Bold" w:hint="cs"/>
          <w:b/>
          <w:bCs/>
          <w:rtl/>
          <w:lang/>
        </w:rPr>
        <w:t>نتائجها.</w:t>
      </w:r>
    </w:p>
    <w:p w:rsidR="00F5005F" w:rsidRPr="00CF0BB0" w:rsidRDefault="00F5005F" w:rsidP="00D61FD7">
      <w:pPr>
        <w:pStyle w:val="H23GA"/>
        <w:rPr>
          <w:rFonts w:hint="cs"/>
          <w:rtl/>
          <w:lang w:val="fr-CH"/>
        </w:rPr>
      </w:pPr>
      <w:r>
        <w:rPr>
          <w:rFonts w:hint="cs"/>
          <w:rtl/>
          <w:lang/>
        </w:rPr>
        <w:tab/>
      </w:r>
      <w:r>
        <w:rPr>
          <w:rFonts w:hint="cs"/>
          <w:rtl/>
          <w:lang/>
        </w:rPr>
        <w:tab/>
        <w:t>المدافعون عن حقوق الإنسان</w:t>
      </w:r>
    </w:p>
    <w:p w:rsidR="00F5005F" w:rsidRDefault="00D61FD7" w:rsidP="004F4A19">
      <w:pPr>
        <w:pStyle w:val="SingleTxtGA"/>
        <w:spacing w:line="366" w:lineRule="exact"/>
        <w:rPr>
          <w:rFonts w:hint="cs"/>
          <w:rtl/>
          <w:lang w:val="fr-CH"/>
        </w:rPr>
      </w:pPr>
      <w:r>
        <w:rPr>
          <w:rFonts w:hint="cs"/>
          <w:rtl/>
          <w:lang w:val="fr-CH"/>
        </w:rPr>
        <w:t>(</w:t>
      </w:r>
      <w:r w:rsidR="00F5005F">
        <w:rPr>
          <w:rFonts w:hint="cs"/>
          <w:rtl/>
          <w:lang w:val="fr-CH"/>
        </w:rPr>
        <w:t>32</w:t>
      </w:r>
      <w:r>
        <w:rPr>
          <w:rFonts w:hint="cs"/>
          <w:rtl/>
          <w:lang w:val="fr-CH"/>
        </w:rPr>
        <w:t>)</w:t>
      </w:r>
      <w:r w:rsidR="00F5005F">
        <w:rPr>
          <w:rFonts w:hint="cs"/>
          <w:rtl/>
          <w:lang w:val="fr-CH"/>
        </w:rPr>
        <w:tab/>
      </w:r>
      <w:r w:rsidR="00F5005F" w:rsidRPr="008E269D">
        <w:rPr>
          <w:rFonts w:hint="cs"/>
          <w:rtl/>
          <w:lang w:val="fr-CH"/>
        </w:rPr>
        <w:t xml:space="preserve">تبدي اللجنة قلقها لأن المدافعين عن حقوق الإنسان </w:t>
      </w:r>
      <w:r w:rsidR="00F5005F">
        <w:rPr>
          <w:rFonts w:hint="cs"/>
          <w:rtl/>
          <w:lang w:val="fr-CH"/>
        </w:rPr>
        <w:t xml:space="preserve">لا يزالون </w:t>
      </w:r>
      <w:r w:rsidR="00F5005F" w:rsidRPr="008E269D">
        <w:rPr>
          <w:rFonts w:hint="cs"/>
          <w:rtl/>
          <w:lang w:val="fr-CH"/>
        </w:rPr>
        <w:t>يبلغون عن ممارسات التخويف والمضايقة وسوء المعاملة من جانب الشرطة. ويساورها القلق إزاء عجز الدولة الطرف عن توفير الدعم الفعال</w:t>
      </w:r>
      <w:r w:rsidR="00F5005F">
        <w:rPr>
          <w:rFonts w:hint="cs"/>
          <w:rtl/>
          <w:lang w:val="fr-CH"/>
        </w:rPr>
        <w:t xml:space="preserve"> للمدافعين عن حقوق الإنسان والتحقيق العاجل والفعال والنزيه في أعمال العنف والتخويف التي يتعرضون لها ومحاكمة مرتكبي هذه الأعمال ومعاقبتهم. وتعرب اللجنة عن أسفها لعدم توفير المعلومات عن التحقيقات المتصلة بالاعتداء المبلغ عنه الذي استهدف المدير التنفيذي للمنظمة غير الحكومية "كينيون من أجل العدالة والتنمية" في 9 تشرين الثاني/نوفمبر 2012 (المواد 2 و12 و13 و16).</w:t>
      </w:r>
    </w:p>
    <w:p w:rsidR="00F5005F" w:rsidRPr="004D7BCD" w:rsidRDefault="00F5005F" w:rsidP="004F4A19">
      <w:pPr>
        <w:pStyle w:val="SingleTxtGA"/>
        <w:spacing w:line="366" w:lineRule="exact"/>
        <w:rPr>
          <w:rFonts w:hint="cs"/>
          <w:b/>
          <w:bCs/>
          <w:spacing w:val="-1"/>
          <w:rtl/>
          <w:lang w:val="fr-CH"/>
        </w:rPr>
      </w:pPr>
      <w:r w:rsidRPr="004D7BCD">
        <w:rPr>
          <w:rFonts w:hint="cs"/>
          <w:b/>
          <w:bCs/>
          <w:spacing w:val="-1"/>
          <w:rtl/>
          <w:lang w:val="fr-CH"/>
        </w:rPr>
        <w:tab/>
        <w:t xml:space="preserve">ينبغي للدولة الطرف، إذ تضع في اعتبارها توصية اللجنة السابقة (الوثيقة </w:t>
      </w:r>
      <w:r w:rsidRPr="004D7BCD">
        <w:rPr>
          <w:b/>
          <w:bCs/>
          <w:spacing w:val="-1"/>
        </w:rPr>
        <w:t>CAT/C/KEN/CO/1</w:t>
      </w:r>
      <w:r w:rsidRPr="004D7BCD">
        <w:rPr>
          <w:rFonts w:hint="cs"/>
          <w:b/>
          <w:bCs/>
          <w:spacing w:val="-1"/>
          <w:rtl/>
          <w:lang w:val="fr-CH"/>
        </w:rPr>
        <w:t xml:space="preserve">، الفقرة 28)، أن تتخذ </w:t>
      </w:r>
      <w:r w:rsidRPr="004D7BCD">
        <w:rPr>
          <w:rFonts w:hint="cs"/>
          <w:b/>
          <w:bCs/>
          <w:spacing w:val="-1"/>
          <w:rtl/>
        </w:rPr>
        <w:t xml:space="preserve">خطوات فعالة لضمان حماية جميع الأشخاص الذين يبلّغون عن أعمال تعذيب وسوء معاملة من التعرض لأي شكل من أشكال التخويف والانتقام. وينبغي للدولة الطرف أن تضمن إجراء تحقيقات عاجلة وفعالة ونزيهة في أي ادعاءات متصلة بحالات الاعتداء أو التخويف التي يتعرض لها المدافعون عن حقوق الإنسان، </w:t>
      </w:r>
      <w:r w:rsidRPr="004D7BCD">
        <w:rPr>
          <w:rFonts w:hint="cs"/>
          <w:b/>
          <w:bCs/>
          <w:spacing w:val="-1"/>
          <w:rtl/>
          <w:lang w:val="fr-CH"/>
        </w:rPr>
        <w:t xml:space="preserve">بما فيها اعتداء 9 تشرين الثاني/نوفمبر 2012. وتشجع اللجنة </w:t>
      </w:r>
      <w:r w:rsidRPr="004D7BCD">
        <w:rPr>
          <w:rFonts w:hint="cs"/>
          <w:b/>
          <w:bCs/>
          <w:spacing w:val="-1"/>
          <w:rtl/>
        </w:rPr>
        <w:t>الدولة الطرف على السعي إلى توطيد التعاون مع المجتمع المدني</w:t>
      </w:r>
      <w:r w:rsidRPr="004D7BCD">
        <w:rPr>
          <w:rFonts w:hint="cs"/>
          <w:b/>
          <w:bCs/>
          <w:spacing w:val="-1"/>
          <w:rtl/>
          <w:lang w:val="fr-CH"/>
        </w:rPr>
        <w:t xml:space="preserve"> من أجل دعم حقوق الإنسان، بما في ذلك منع تعرض المدافعين عن حقوق الإنسان للتخويف والأعمال الانتقامية وسوء المعاملة.</w:t>
      </w:r>
    </w:p>
    <w:p w:rsidR="00F5005F" w:rsidRPr="00A6627F" w:rsidRDefault="00F5005F" w:rsidP="004F4A19">
      <w:pPr>
        <w:pStyle w:val="H23GA"/>
        <w:spacing w:line="366" w:lineRule="exact"/>
        <w:rPr>
          <w:rFonts w:hint="cs"/>
          <w:rtl/>
          <w:lang w:val="fr-CH"/>
        </w:rPr>
      </w:pPr>
      <w:r>
        <w:rPr>
          <w:rFonts w:hint="cs"/>
          <w:rtl/>
        </w:rPr>
        <w:tab/>
      </w:r>
      <w:r>
        <w:rPr>
          <w:rFonts w:hint="cs"/>
          <w:rtl/>
        </w:rPr>
        <w:tab/>
        <w:t>عقوبة الإعدام</w:t>
      </w:r>
    </w:p>
    <w:p w:rsidR="00F5005F" w:rsidRDefault="00D61FD7" w:rsidP="004F4A19">
      <w:pPr>
        <w:pStyle w:val="SingleTxtGA"/>
        <w:spacing w:line="366" w:lineRule="exact"/>
        <w:rPr>
          <w:rFonts w:hint="cs"/>
          <w:sz w:val="32"/>
          <w:rtl/>
        </w:rPr>
      </w:pPr>
      <w:r>
        <w:rPr>
          <w:rFonts w:hint="cs"/>
          <w:sz w:val="32"/>
          <w:rtl/>
        </w:rPr>
        <w:t>(</w:t>
      </w:r>
      <w:r w:rsidR="00F5005F">
        <w:rPr>
          <w:rFonts w:hint="cs"/>
          <w:sz w:val="32"/>
          <w:rtl/>
        </w:rPr>
        <w:t>33</w:t>
      </w:r>
      <w:r>
        <w:rPr>
          <w:rFonts w:hint="cs"/>
          <w:sz w:val="32"/>
          <w:rtl/>
        </w:rPr>
        <w:t>)</w:t>
      </w:r>
      <w:r w:rsidR="00F5005F">
        <w:rPr>
          <w:rFonts w:hint="cs"/>
          <w:sz w:val="32"/>
          <w:rtl/>
        </w:rPr>
        <w:tab/>
      </w:r>
      <w:r w:rsidR="00F5005F">
        <w:rPr>
          <w:rFonts w:hint="cs"/>
          <w:rtl/>
        </w:rPr>
        <w:t xml:space="preserve">تسلّم اللجنة بعدم تطبيق عقوبة الإعدام في الدولة الطرف منذ عام 1987، وبوقف تنفيذ أحكام الإعدام بحكم الأمر الواقع ومبادرة الرئيس الرامية إلى تحويل 000 4 حكم بالإعدام إلى عقوبات أخف من عقوبة الإعدام في عام 2009، غير أنها لا تزال تشعر بالقلق إزاء حالة الارتياب القانوني الناتجة عن أحكام المحكمة العليا وارتفاع عدد الأحكام بالإعدام الصادرة، بما فيها الأحكام المتصلة بمخالفات بسيطة وظروف 600 1 شخص لا يزالون </w:t>
      </w:r>
      <w:r w:rsidR="00F5005F">
        <w:rPr>
          <w:rFonts w:hint="cs"/>
          <w:rtl/>
          <w:lang/>
        </w:rPr>
        <w:t>في انتظار تنفيذ الحكم بإعدام</w:t>
      </w:r>
      <w:r w:rsidR="00F5005F">
        <w:rPr>
          <w:rFonts w:hint="cs"/>
          <w:rtl/>
        </w:rPr>
        <w:t>هم (المادتان 2 و16).</w:t>
      </w:r>
    </w:p>
    <w:p w:rsidR="00F5005F" w:rsidRPr="004D7BCD" w:rsidRDefault="00F5005F" w:rsidP="004F4A19">
      <w:pPr>
        <w:pStyle w:val="SingleTxtGA"/>
        <w:spacing w:line="366" w:lineRule="exact"/>
        <w:rPr>
          <w:rFonts w:hint="cs"/>
          <w:b/>
          <w:bCs/>
          <w:spacing w:val="-1"/>
          <w:sz w:val="18"/>
          <w:szCs w:val="28"/>
          <w:rtl/>
          <w:lang w:val="fr-CH"/>
        </w:rPr>
      </w:pPr>
      <w:r w:rsidRPr="004D7BCD">
        <w:rPr>
          <w:rFonts w:hint="cs"/>
          <w:b/>
          <w:bCs/>
          <w:spacing w:val="-1"/>
          <w:rtl/>
          <w:lang w:val="fr-CH"/>
        </w:rPr>
        <w:tab/>
        <w:t xml:space="preserve">توصي اللجنة بأن تعيد الدولة الطرف النظر في إمكانية استعراض سياستها بهدف إلغاء عقوبة الإعدام. وينبغي للدولة الطرف أن تضمن توفير الحماية المنصوص عليها في الاتفاقية لجميع الأشخاص الذي ينتظرون تنفيذ الحكم بإعدامهم ومعاملتهم معاملة إنسانية. وينبغي للدولة الطرف أن تدعم جهود اللجنة الوطنية </w:t>
      </w:r>
      <w:r w:rsidRPr="004D7BCD">
        <w:rPr>
          <w:rFonts w:hint="cs"/>
          <w:b/>
          <w:bCs/>
          <w:spacing w:val="-1"/>
          <w:sz w:val="18"/>
          <w:szCs w:val="28"/>
          <w:rtl/>
          <w:lang w:val="fr-CH"/>
        </w:rPr>
        <w:t>الكينية لحقوق الإنسان الرامية إلى إجراء استقصاء واتخاذ تدابير لإذكاء الوعي فيما يتصل بآراء الجمهور بشأن عقوبة الإعدام.</w:t>
      </w:r>
    </w:p>
    <w:p w:rsidR="00F5005F" w:rsidRPr="00E717DB" w:rsidRDefault="00F5005F" w:rsidP="004F4A19">
      <w:pPr>
        <w:pStyle w:val="H23GA"/>
        <w:spacing w:line="366" w:lineRule="exact"/>
        <w:rPr>
          <w:rFonts w:hint="cs"/>
          <w:rtl/>
          <w:lang w:val="fr-CH"/>
        </w:rPr>
      </w:pPr>
      <w:r>
        <w:rPr>
          <w:rFonts w:hint="cs"/>
          <w:rtl/>
          <w:lang w:val="fr-CH"/>
        </w:rPr>
        <w:tab/>
      </w:r>
      <w:r>
        <w:rPr>
          <w:rFonts w:hint="cs"/>
          <w:rtl/>
          <w:lang w:val="fr-CH"/>
        </w:rPr>
        <w:tab/>
        <w:t>وفاة ضباط الشرطة</w:t>
      </w:r>
    </w:p>
    <w:p w:rsidR="00F5005F" w:rsidRDefault="00D61FD7" w:rsidP="004F4A19">
      <w:pPr>
        <w:pStyle w:val="SingleTxtGA"/>
        <w:spacing w:line="366" w:lineRule="exact"/>
        <w:rPr>
          <w:rFonts w:hint="cs"/>
          <w:rtl/>
        </w:rPr>
      </w:pPr>
      <w:r>
        <w:rPr>
          <w:rFonts w:hint="cs"/>
          <w:rtl/>
          <w:lang w:val="fr-CH"/>
        </w:rPr>
        <w:t>(</w:t>
      </w:r>
      <w:r w:rsidR="00F5005F">
        <w:rPr>
          <w:rFonts w:hint="cs"/>
          <w:rtl/>
          <w:lang w:val="fr-CH"/>
        </w:rPr>
        <w:t>34</w:t>
      </w:r>
      <w:r>
        <w:rPr>
          <w:rFonts w:hint="cs"/>
          <w:rtl/>
          <w:lang w:val="fr-CH"/>
        </w:rPr>
        <w:t>)</w:t>
      </w:r>
      <w:r w:rsidR="00F5005F">
        <w:rPr>
          <w:rFonts w:hint="cs"/>
          <w:rtl/>
          <w:lang w:val="fr-CH"/>
        </w:rPr>
        <w:tab/>
        <w:t xml:space="preserve">تعرب اللجنة عن قلقها إزاء التقارير التي تفيد بارتفاع عدد حالات وفاة ضباط الشرطة أثناء أداء الخدمة، بما في ذلك في سياق "العمليات الخاصة" </w:t>
      </w:r>
      <w:r w:rsidR="00F5005F" w:rsidRPr="00CB17CE">
        <w:rPr>
          <w:rFonts w:hint="cs"/>
          <w:rtl/>
        </w:rPr>
        <w:t>في منطق</w:t>
      </w:r>
      <w:r w:rsidR="00F5005F">
        <w:rPr>
          <w:rFonts w:hint="cs"/>
          <w:rtl/>
        </w:rPr>
        <w:t>ة</w:t>
      </w:r>
      <w:r w:rsidR="00F5005F" w:rsidRPr="00CB17CE">
        <w:rPr>
          <w:rFonts w:hint="cs"/>
          <w:rtl/>
        </w:rPr>
        <w:t xml:space="preserve"> منديرا و</w:t>
      </w:r>
      <w:r w:rsidR="00F5005F">
        <w:rPr>
          <w:rFonts w:hint="cs"/>
          <w:rtl/>
        </w:rPr>
        <w:t xml:space="preserve">منطقة </w:t>
      </w:r>
      <w:r w:rsidR="00F5005F" w:rsidRPr="00CB17CE">
        <w:rPr>
          <w:rFonts w:hint="cs"/>
          <w:rtl/>
        </w:rPr>
        <w:t>نهر تانا</w:t>
      </w:r>
      <w:r w:rsidR="00F5005F">
        <w:rPr>
          <w:rFonts w:hint="cs"/>
          <w:rtl/>
        </w:rPr>
        <w:t xml:space="preserve"> (المواد 2 و10 و16).</w:t>
      </w:r>
    </w:p>
    <w:p w:rsidR="00F5005F" w:rsidRPr="000E3B06" w:rsidRDefault="00F5005F" w:rsidP="004F4A19">
      <w:pPr>
        <w:pStyle w:val="SingleTxtGA"/>
        <w:rPr>
          <w:rFonts w:hint="cs"/>
          <w:b/>
          <w:bCs/>
          <w:rtl/>
          <w:lang w:val="fr-CH"/>
        </w:rPr>
      </w:pPr>
      <w:r w:rsidRPr="000E3B06">
        <w:rPr>
          <w:rFonts w:hint="cs"/>
          <w:b/>
          <w:bCs/>
          <w:rtl/>
        </w:rPr>
        <w:tab/>
        <w:t xml:space="preserve">ينبغي للدولة الطرف أن تكفل تدريب ضباط الشرطة وتهيئتهم بصورة ملائمة حتى تضمن استعدادهم الكافي لأداء المهام </w:t>
      </w:r>
      <w:r w:rsidRPr="000E3B06">
        <w:rPr>
          <w:rFonts w:hint="cs"/>
          <w:b/>
          <w:bCs/>
          <w:rtl/>
          <w:lang w:val="fr-CH"/>
        </w:rPr>
        <w:t>المسندة إليهم. وينبغي للدولة الطرف أن تحسن شروط وظروف خدمة ضباط الشرطة لتكون على مستوى شروط خدمة سائر قوات الأمن، وأن تتخذ تدابير فعالة لحماية أرواح ضباط الأمن.</w:t>
      </w:r>
    </w:p>
    <w:p w:rsidR="00F5005F" w:rsidRPr="00CB17CE" w:rsidRDefault="00F5005F" w:rsidP="004F4A19">
      <w:pPr>
        <w:pStyle w:val="H23GA"/>
        <w:rPr>
          <w:rFonts w:hint="cs"/>
          <w:rtl/>
          <w:lang w:val="fr-CH"/>
        </w:rPr>
      </w:pPr>
      <w:r>
        <w:rPr>
          <w:rFonts w:hint="cs"/>
          <w:rtl/>
          <w:lang w:val="fr-CH"/>
        </w:rPr>
        <w:tab/>
      </w:r>
      <w:r>
        <w:rPr>
          <w:rFonts w:hint="cs"/>
          <w:rtl/>
          <w:lang w:val="fr-CH"/>
        </w:rPr>
        <w:tab/>
        <w:t>جمع البيانات</w:t>
      </w:r>
    </w:p>
    <w:p w:rsidR="00F5005F" w:rsidRDefault="00E84AE2" w:rsidP="004F4A19">
      <w:pPr>
        <w:pStyle w:val="SingleTxtGA"/>
        <w:rPr>
          <w:rFonts w:hint="cs"/>
          <w:rtl/>
        </w:rPr>
      </w:pPr>
      <w:r>
        <w:rPr>
          <w:rFonts w:hint="cs"/>
          <w:rtl/>
          <w:lang w:val="fr-CH"/>
        </w:rPr>
        <w:t>(</w:t>
      </w:r>
      <w:r w:rsidR="00F5005F">
        <w:rPr>
          <w:rFonts w:hint="cs"/>
          <w:rtl/>
          <w:lang w:val="fr-CH"/>
        </w:rPr>
        <w:t>35</w:t>
      </w:r>
      <w:r>
        <w:rPr>
          <w:rFonts w:hint="cs"/>
          <w:rtl/>
          <w:lang w:val="fr-CH"/>
        </w:rPr>
        <w:t>)</w:t>
      </w:r>
      <w:r w:rsidR="00F5005F">
        <w:rPr>
          <w:rFonts w:hint="cs"/>
          <w:rtl/>
          <w:lang w:val="fr-CH"/>
        </w:rPr>
        <w:tab/>
      </w:r>
      <w:r w:rsidR="00F5005F" w:rsidRPr="00E32CCD">
        <w:rPr>
          <w:rFonts w:hint="cs"/>
          <w:rtl/>
          <w:lang w:val="fr-CH"/>
        </w:rPr>
        <w:t>ينبغي للدولة الطرف أن</w:t>
      </w:r>
      <w:r w:rsidR="00F5005F">
        <w:rPr>
          <w:rFonts w:hint="cs"/>
          <w:rtl/>
          <w:lang w:val="fr-CH"/>
        </w:rPr>
        <w:t xml:space="preserve"> ترسي نظاماً لجمع </w:t>
      </w:r>
      <w:r w:rsidR="00F5005F" w:rsidRPr="001952E4">
        <w:rPr>
          <w:rFonts w:hint="cs"/>
          <w:rtl/>
          <w:lang w:val="fr-CH"/>
        </w:rPr>
        <w:t>البيانات الإحصائية الوطنية وتوفر البيانات الإحصائية المتص</w:t>
      </w:r>
      <w:r w:rsidR="00F5005F">
        <w:rPr>
          <w:rFonts w:hint="cs"/>
          <w:rtl/>
          <w:lang w:val="fr-CH"/>
        </w:rPr>
        <w:t>ل</w:t>
      </w:r>
      <w:r w:rsidR="00F5005F" w:rsidRPr="001952E4">
        <w:rPr>
          <w:rFonts w:hint="cs"/>
          <w:rtl/>
          <w:lang w:val="fr-CH"/>
        </w:rPr>
        <w:t>ة برصد تنفيذ الاتفاقية على المستوى الوطني، بما فيها البيانات عن الشكاو</w:t>
      </w:r>
      <w:r w:rsidR="00F5005F">
        <w:rPr>
          <w:rFonts w:hint="cs"/>
          <w:rtl/>
          <w:lang w:val="fr-CH"/>
        </w:rPr>
        <w:t>ى</w:t>
      </w:r>
      <w:r w:rsidR="00F5005F" w:rsidRPr="001952E4">
        <w:rPr>
          <w:rFonts w:hint="cs"/>
          <w:rtl/>
          <w:lang w:val="fr-CH"/>
        </w:rPr>
        <w:t xml:space="preserve"> والتحقيقات</w:t>
      </w:r>
      <w:r w:rsidR="00F5005F" w:rsidRPr="001952E4">
        <w:rPr>
          <w:rFonts w:hint="cs"/>
          <w:rtl/>
        </w:rPr>
        <w:t xml:space="preserve"> والمحاكمات </w:t>
      </w:r>
      <w:r w:rsidR="00F5005F" w:rsidRPr="001952E4">
        <w:rPr>
          <w:rFonts w:hint="cs"/>
          <w:rtl/>
          <w:lang w:val="fr-CH"/>
        </w:rPr>
        <w:t xml:space="preserve">والإدانات </w:t>
      </w:r>
      <w:r w:rsidR="00F5005F" w:rsidRPr="001952E4">
        <w:rPr>
          <w:rFonts w:hint="cs"/>
          <w:rtl/>
        </w:rPr>
        <w:t>المتعلقة بحالات</w:t>
      </w:r>
      <w:r w:rsidR="00F5005F" w:rsidRPr="001952E4">
        <w:rPr>
          <w:rFonts w:hint="cs"/>
          <w:rtl/>
          <w:lang w:val="fr-CH"/>
        </w:rPr>
        <w:t xml:space="preserve"> </w:t>
      </w:r>
      <w:r w:rsidR="00F5005F" w:rsidRPr="001952E4">
        <w:rPr>
          <w:rFonts w:hint="cs"/>
          <w:rtl/>
        </w:rPr>
        <w:t>الإعدام خارج نطاق القضاء</w:t>
      </w:r>
      <w:r w:rsidR="00F5005F" w:rsidRPr="001952E4">
        <w:rPr>
          <w:rFonts w:hint="cs"/>
          <w:rtl/>
          <w:lang w:val="fr-CH"/>
        </w:rPr>
        <w:t xml:space="preserve"> </w:t>
      </w:r>
      <w:r w:rsidR="00F5005F" w:rsidRPr="001952E4">
        <w:rPr>
          <w:rFonts w:hint="cs"/>
          <w:rtl/>
        </w:rPr>
        <w:t>والاختفاء القسري والعنف المنزلي والعنف الجنسي</w:t>
      </w:r>
      <w:r w:rsidR="00F5005F" w:rsidRPr="001952E4">
        <w:rPr>
          <w:rFonts w:hint="cs"/>
          <w:rtl/>
          <w:lang w:val="fr-CH"/>
        </w:rPr>
        <w:t xml:space="preserve"> والبيانات عن وسائل الإنصاف</w:t>
      </w:r>
      <w:r w:rsidR="00F5005F">
        <w:rPr>
          <w:rFonts w:hint="cs"/>
          <w:rtl/>
          <w:lang w:val="fr-CH"/>
        </w:rPr>
        <w:t>،</w:t>
      </w:r>
      <w:r w:rsidR="00F5005F" w:rsidRPr="001952E4">
        <w:rPr>
          <w:rFonts w:hint="cs"/>
          <w:rtl/>
          <w:lang w:val="fr-CH"/>
        </w:rPr>
        <w:t xml:space="preserve"> بما في ذلك </w:t>
      </w:r>
      <w:r w:rsidR="00F5005F" w:rsidRPr="001952E4">
        <w:rPr>
          <w:rFonts w:hint="cs"/>
          <w:rtl/>
        </w:rPr>
        <w:t>التعويضات وخدمات إعادة التأهيل المقدمة إلى الضحايا.</w:t>
      </w:r>
    </w:p>
    <w:p w:rsidR="00F5005F" w:rsidRPr="009319F4" w:rsidRDefault="00F5005F" w:rsidP="004F4A19">
      <w:pPr>
        <w:pStyle w:val="H23GA"/>
        <w:rPr>
          <w:rFonts w:hint="cs"/>
          <w:rtl/>
        </w:rPr>
      </w:pPr>
      <w:r>
        <w:rPr>
          <w:rFonts w:hint="cs"/>
          <w:rtl/>
        </w:rPr>
        <w:tab/>
      </w:r>
      <w:r>
        <w:rPr>
          <w:rFonts w:hint="cs"/>
          <w:rtl/>
        </w:rPr>
        <w:tab/>
      </w:r>
      <w:r w:rsidRPr="009319F4">
        <w:rPr>
          <w:rFonts w:hint="cs"/>
          <w:rtl/>
        </w:rPr>
        <w:t>التعاون مع آليات الأمم المتحدة لحقوق الإنسان</w:t>
      </w:r>
    </w:p>
    <w:p w:rsidR="00F5005F" w:rsidRDefault="00E84AE2" w:rsidP="004F4A19">
      <w:pPr>
        <w:pStyle w:val="SingleTxtGA"/>
        <w:rPr>
          <w:rFonts w:hint="cs"/>
          <w:rtl/>
        </w:rPr>
      </w:pPr>
      <w:r>
        <w:rPr>
          <w:rFonts w:hint="cs"/>
          <w:rtl/>
          <w:lang w:val="fr-CH"/>
        </w:rPr>
        <w:t>(</w:t>
      </w:r>
      <w:r w:rsidR="00F5005F">
        <w:rPr>
          <w:rFonts w:hint="cs"/>
          <w:rtl/>
          <w:lang w:val="fr-CH"/>
        </w:rPr>
        <w:t>36</w:t>
      </w:r>
      <w:r>
        <w:rPr>
          <w:rFonts w:hint="cs"/>
          <w:rtl/>
          <w:lang w:val="fr-CH"/>
        </w:rPr>
        <w:t>)</w:t>
      </w:r>
      <w:r w:rsidR="00F5005F">
        <w:rPr>
          <w:rFonts w:hint="cs"/>
          <w:rtl/>
          <w:lang w:val="fr-CH"/>
        </w:rPr>
        <w:tab/>
      </w:r>
      <w:r w:rsidR="00F5005F" w:rsidRPr="00AF263E">
        <w:rPr>
          <w:rFonts w:hint="cs"/>
          <w:rtl/>
        </w:rPr>
        <w:t xml:space="preserve">توصي اللجنة بأن </w:t>
      </w:r>
      <w:r w:rsidR="00F5005F">
        <w:rPr>
          <w:rFonts w:hint="cs"/>
          <w:rtl/>
        </w:rPr>
        <w:t>تعزز</w:t>
      </w:r>
      <w:r w:rsidR="00F5005F" w:rsidRPr="00AF263E">
        <w:rPr>
          <w:rFonts w:hint="cs"/>
          <w:rtl/>
        </w:rPr>
        <w:t xml:space="preserve"> الدولة الطرف تعاونها مع آليات الأمم المتحدة لحقوق الإنسان</w:t>
      </w:r>
      <w:r w:rsidR="00F5005F">
        <w:rPr>
          <w:rFonts w:hint="cs"/>
          <w:rtl/>
        </w:rPr>
        <w:t>، ولا سيما من خلال دعوة المكلفين بولايات في إطار الإجراءات الخاصة في مجالات متصلة بهذا التقرير إلى زيارة البلد.</w:t>
      </w:r>
    </w:p>
    <w:p w:rsidR="00F5005F" w:rsidRPr="00507536" w:rsidRDefault="00F5005F" w:rsidP="004F4A19">
      <w:pPr>
        <w:pStyle w:val="H23GA"/>
        <w:rPr>
          <w:rFonts w:hint="cs"/>
          <w:rtl/>
          <w:lang w:val="fr-CH"/>
        </w:rPr>
      </w:pPr>
      <w:r>
        <w:rPr>
          <w:rFonts w:hint="cs"/>
          <w:rtl/>
          <w:lang w:val="fr-CH"/>
        </w:rPr>
        <w:tab/>
      </w:r>
      <w:r>
        <w:rPr>
          <w:rFonts w:hint="cs"/>
          <w:rtl/>
          <w:lang w:val="fr-CH"/>
        </w:rPr>
        <w:tab/>
        <w:t>مسائل أخرى</w:t>
      </w:r>
    </w:p>
    <w:p w:rsidR="00F5005F" w:rsidRPr="001952E4" w:rsidRDefault="00E84AE2" w:rsidP="004F4A19">
      <w:pPr>
        <w:pStyle w:val="SingleTxtGA"/>
        <w:rPr>
          <w:rFonts w:hint="cs"/>
          <w:rtl/>
          <w:lang w:val="fr-CH"/>
        </w:rPr>
      </w:pPr>
      <w:r>
        <w:rPr>
          <w:rFonts w:hint="cs"/>
          <w:rtl/>
          <w:lang w:val="fr-CH"/>
        </w:rPr>
        <w:t>(</w:t>
      </w:r>
      <w:r w:rsidR="00F5005F">
        <w:rPr>
          <w:rFonts w:hint="cs"/>
          <w:rtl/>
          <w:lang w:val="fr-CH"/>
        </w:rPr>
        <w:t>37</w:t>
      </w:r>
      <w:r>
        <w:rPr>
          <w:rFonts w:hint="cs"/>
          <w:rtl/>
          <w:lang w:val="fr-CH"/>
        </w:rPr>
        <w:t>)</w:t>
      </w:r>
      <w:r w:rsidR="00F5005F">
        <w:rPr>
          <w:rFonts w:hint="cs"/>
          <w:rtl/>
          <w:lang w:val="fr-CH"/>
        </w:rPr>
        <w:tab/>
        <w:t xml:space="preserve">إذ تذكر اللجنة بالالتزام الذي أخذته الدولة الطرف على عاتقها خلال الاستعراض الدوري الشامل عام 2010 (الوثيقة </w:t>
      </w:r>
      <w:r w:rsidR="00F5005F">
        <w:t>A/HRC/15/8</w:t>
      </w:r>
      <w:r w:rsidR="00F5005F">
        <w:rPr>
          <w:rFonts w:hint="cs"/>
          <w:rtl/>
          <w:lang w:val="fr-CH"/>
        </w:rPr>
        <w:t>، الفقرة 101-3)، توصي بأن تنظر</w:t>
      </w:r>
      <w:r w:rsidR="00F5005F" w:rsidRPr="005F3F9E">
        <w:rPr>
          <w:rFonts w:hint="cs"/>
          <w:rtl/>
          <w:lang w:val="fr-CH"/>
        </w:rPr>
        <w:t xml:space="preserve"> الدولة الطرف </w:t>
      </w:r>
      <w:r w:rsidR="00F5005F">
        <w:rPr>
          <w:rFonts w:hint="cs"/>
          <w:rtl/>
          <w:lang w:val="fr-CH"/>
        </w:rPr>
        <w:t xml:space="preserve">في </w:t>
      </w:r>
      <w:r w:rsidR="00F5005F" w:rsidRPr="005F3F9E">
        <w:rPr>
          <w:rFonts w:hint="cs"/>
          <w:rtl/>
          <w:lang w:val="fr-CH"/>
        </w:rPr>
        <w:t xml:space="preserve">التصديق على البروتوكول الاختياري الملحق باتفاقية مناهضة التعذيب وغيره من ضروب المعاملة أو العقوبة القاسية </w:t>
      </w:r>
      <w:r w:rsidR="00F5005F">
        <w:rPr>
          <w:rFonts w:hint="cs"/>
          <w:rtl/>
          <w:lang w:val="fr-CH"/>
        </w:rPr>
        <w:t xml:space="preserve">أو </w:t>
      </w:r>
      <w:r w:rsidR="00F5005F" w:rsidRPr="005F3F9E">
        <w:rPr>
          <w:rFonts w:hint="cs"/>
          <w:rtl/>
          <w:lang w:val="fr-CH"/>
        </w:rPr>
        <w:t>اللاإنسانية</w:t>
      </w:r>
      <w:r w:rsidR="00F5005F">
        <w:rPr>
          <w:rFonts w:hint="cs"/>
          <w:rtl/>
          <w:lang w:val="fr-CH"/>
        </w:rPr>
        <w:t xml:space="preserve"> أو المهينة.</w:t>
      </w:r>
    </w:p>
    <w:p w:rsidR="00F5005F" w:rsidRDefault="00E84AE2" w:rsidP="004F4A19">
      <w:pPr>
        <w:pStyle w:val="SingleTxtGA"/>
        <w:rPr>
          <w:rFonts w:hint="cs"/>
          <w:rtl/>
          <w:lang/>
        </w:rPr>
      </w:pPr>
      <w:r>
        <w:rPr>
          <w:rFonts w:hint="cs"/>
          <w:rtl/>
        </w:rPr>
        <w:t>(</w:t>
      </w:r>
      <w:r w:rsidR="00F5005F">
        <w:rPr>
          <w:rFonts w:hint="cs"/>
          <w:rtl/>
        </w:rPr>
        <w:t>38</w:t>
      </w:r>
      <w:r>
        <w:rPr>
          <w:rFonts w:hint="cs"/>
          <w:rtl/>
        </w:rPr>
        <w:t>)</w:t>
      </w:r>
      <w:r w:rsidR="00F5005F">
        <w:rPr>
          <w:rFonts w:hint="cs"/>
          <w:rtl/>
        </w:rPr>
        <w:tab/>
        <w:t xml:space="preserve">وتوصي اللجنة بأن تنظر الدولة الطرف في </w:t>
      </w:r>
      <w:r w:rsidR="00F5005F">
        <w:rPr>
          <w:rFonts w:hint="cs"/>
          <w:rtl/>
          <w:lang/>
        </w:rPr>
        <w:t>إصدار الإعلانين المنصوص عليهما في المادتين 21 و22 من الاتفاقية.</w:t>
      </w:r>
    </w:p>
    <w:p w:rsidR="00F5005F" w:rsidRDefault="00E84AE2" w:rsidP="004F4A19">
      <w:pPr>
        <w:pStyle w:val="SingleTxtGA"/>
        <w:rPr>
          <w:rFonts w:hint="cs"/>
          <w:rtl/>
          <w:lang w:val="fr-CH"/>
        </w:rPr>
      </w:pPr>
      <w:r>
        <w:rPr>
          <w:rFonts w:hint="cs"/>
          <w:rtl/>
          <w:lang/>
        </w:rPr>
        <w:t>(</w:t>
      </w:r>
      <w:r w:rsidR="00F5005F">
        <w:rPr>
          <w:rFonts w:hint="cs"/>
          <w:rtl/>
          <w:lang/>
        </w:rPr>
        <w:t>39</w:t>
      </w:r>
      <w:r>
        <w:rPr>
          <w:rFonts w:hint="cs"/>
          <w:rtl/>
          <w:lang/>
        </w:rPr>
        <w:t>)</w:t>
      </w:r>
      <w:r w:rsidR="00F5005F">
        <w:rPr>
          <w:rFonts w:hint="cs"/>
          <w:rtl/>
          <w:lang/>
        </w:rPr>
        <w:tab/>
        <w:t xml:space="preserve">وتدعو اللجنة الدولة الطرف إلى التصديق على المعاهدات الأساسية للأمم المتحدة في مجال حقوق الإنسان التي </w:t>
      </w:r>
      <w:r w:rsidR="00F5005F" w:rsidRPr="005F3F9E">
        <w:rPr>
          <w:rFonts w:hint="cs"/>
          <w:rtl/>
          <w:lang w:val="fr-CH"/>
        </w:rPr>
        <w:t>لم تصبح طرفاً فيها بعد</w:t>
      </w:r>
      <w:r w:rsidR="00F5005F">
        <w:rPr>
          <w:rFonts w:hint="cs"/>
          <w:rtl/>
          <w:lang/>
        </w:rPr>
        <w:t xml:space="preserve">، أي </w:t>
      </w:r>
      <w:r w:rsidR="00F5005F" w:rsidRPr="005F3F9E">
        <w:rPr>
          <w:rFonts w:hint="cs"/>
          <w:rtl/>
          <w:lang w:val="fr-CH"/>
        </w:rPr>
        <w:t>الاتفاقية الدولية لحماية حقوق جميع العمال المهاجرين وأ</w:t>
      </w:r>
      <w:r w:rsidR="00F5005F">
        <w:rPr>
          <w:rFonts w:hint="cs"/>
          <w:rtl/>
          <w:lang w:val="fr-CH"/>
        </w:rPr>
        <w:t>فراد</w:t>
      </w:r>
      <w:r w:rsidR="00F5005F" w:rsidRPr="005F3F9E">
        <w:rPr>
          <w:rFonts w:hint="cs"/>
          <w:rtl/>
          <w:lang w:val="fr-CH"/>
        </w:rPr>
        <w:t xml:space="preserve"> أسرهم</w:t>
      </w:r>
      <w:r w:rsidR="00F5005F">
        <w:rPr>
          <w:rFonts w:hint="cs"/>
          <w:rtl/>
          <w:lang w:val="fr-CH"/>
        </w:rPr>
        <w:t xml:space="preserve"> </w:t>
      </w:r>
      <w:r w:rsidR="00F5005F" w:rsidRPr="005F3F9E">
        <w:rPr>
          <w:rFonts w:hint="cs"/>
          <w:rtl/>
          <w:lang w:val="fr-CH"/>
        </w:rPr>
        <w:t>والاتفاقية الدولية لحماية جميع الأشخاص من الاختفاء القسري</w:t>
      </w:r>
      <w:r w:rsidR="00F5005F">
        <w:rPr>
          <w:rFonts w:hint="cs"/>
          <w:rtl/>
          <w:lang w:val="fr-CH"/>
        </w:rPr>
        <w:t>،</w:t>
      </w:r>
      <w:r w:rsidR="00F5005F" w:rsidRPr="00237101">
        <w:rPr>
          <w:rFonts w:hint="cs"/>
          <w:rtl/>
          <w:lang w:val="fr-CH"/>
        </w:rPr>
        <w:t xml:space="preserve"> </w:t>
      </w:r>
      <w:r w:rsidR="00F5005F">
        <w:rPr>
          <w:rFonts w:hint="cs"/>
          <w:rtl/>
          <w:lang w:val="fr-CH"/>
        </w:rPr>
        <w:t>و</w:t>
      </w:r>
      <w:r w:rsidR="00F5005F" w:rsidRPr="005F3F9E">
        <w:rPr>
          <w:rFonts w:hint="cs"/>
          <w:rtl/>
          <w:lang w:val="fr-CH"/>
        </w:rPr>
        <w:t>البروتوكول الاختياري الملحق بالعهد الدولي الخاص بالحقوق الاقتصادية والاجتماعية والثقافية</w:t>
      </w:r>
      <w:r w:rsidR="00F5005F">
        <w:rPr>
          <w:rFonts w:hint="cs"/>
          <w:rtl/>
          <w:lang/>
        </w:rPr>
        <w:t xml:space="preserve">، </w:t>
      </w:r>
      <w:r w:rsidR="00F5005F">
        <w:rPr>
          <w:rFonts w:hint="cs"/>
          <w:rtl/>
          <w:lang w:val="fr-CH"/>
        </w:rPr>
        <w:t>و</w:t>
      </w:r>
      <w:r w:rsidR="00F5005F" w:rsidRPr="005F3F9E">
        <w:rPr>
          <w:rFonts w:hint="cs"/>
          <w:rtl/>
          <w:lang w:val="fr-CH"/>
        </w:rPr>
        <w:t>البروتوكول الاختياري</w:t>
      </w:r>
      <w:r w:rsidR="00F5005F">
        <w:rPr>
          <w:rFonts w:hint="cs"/>
          <w:rtl/>
          <w:lang w:val="fr-CH"/>
        </w:rPr>
        <w:t xml:space="preserve"> ل</w:t>
      </w:r>
      <w:r w:rsidR="00F5005F" w:rsidRPr="005F3F9E">
        <w:rPr>
          <w:rFonts w:hint="cs"/>
          <w:rtl/>
          <w:lang w:val="fr-CH"/>
        </w:rPr>
        <w:t>لعهد الدولي الخاص</w:t>
      </w:r>
      <w:r w:rsidR="00F5005F">
        <w:rPr>
          <w:rFonts w:hint="cs"/>
          <w:rtl/>
          <w:lang w:val="fr-CH"/>
        </w:rPr>
        <w:t xml:space="preserve"> بالحقوق المدنية والسياسية، </w:t>
      </w:r>
      <w:r w:rsidR="00F5005F">
        <w:rPr>
          <w:rFonts w:hint="cs"/>
          <w:rtl/>
        </w:rPr>
        <w:t>واتفاقية القضاء على جميع أشكال التمييز ضد المرأة، واتفاقية حقوق الطفل (</w:t>
      </w:r>
      <w:r w:rsidR="00F5005F">
        <w:rPr>
          <w:rFonts w:hint="cs"/>
          <w:rtl/>
          <w:lang/>
        </w:rPr>
        <w:t xml:space="preserve">البروتوكول المتعلق ببيع الأطفال واستغلالهم في البغاء وفي إنتاج المواد الإباحية)، </w:t>
      </w:r>
      <w:r w:rsidR="00F5005F" w:rsidRPr="005F3F9E">
        <w:rPr>
          <w:rFonts w:hint="cs"/>
          <w:rtl/>
          <w:lang w:val="fr-CH"/>
        </w:rPr>
        <w:t>واتفاقية حقوق الأشخاص ذوي الإعاقة</w:t>
      </w:r>
      <w:r w:rsidR="00F5005F">
        <w:rPr>
          <w:rFonts w:hint="cs"/>
          <w:rtl/>
          <w:lang w:val="fr-CH"/>
        </w:rPr>
        <w:t>.</w:t>
      </w:r>
    </w:p>
    <w:p w:rsidR="00F5005F" w:rsidRDefault="00E84AE2" w:rsidP="00E84AE2">
      <w:pPr>
        <w:pStyle w:val="SingleTxtGA"/>
        <w:spacing w:line="370" w:lineRule="exact"/>
        <w:rPr>
          <w:rFonts w:hint="cs"/>
          <w:rtl/>
          <w:lang/>
        </w:rPr>
      </w:pPr>
      <w:r>
        <w:rPr>
          <w:rFonts w:hint="cs"/>
          <w:rtl/>
          <w:lang w:val="fr-CH"/>
        </w:rPr>
        <w:t>(</w:t>
      </w:r>
      <w:r w:rsidR="00F5005F">
        <w:rPr>
          <w:rFonts w:hint="cs"/>
          <w:rtl/>
          <w:lang w:val="fr-CH"/>
        </w:rPr>
        <w:t>40</w:t>
      </w:r>
      <w:r>
        <w:rPr>
          <w:rFonts w:hint="cs"/>
          <w:rtl/>
          <w:lang w:val="fr-CH"/>
        </w:rPr>
        <w:t>)</w:t>
      </w:r>
      <w:r w:rsidR="00F5005F">
        <w:rPr>
          <w:rFonts w:hint="cs"/>
          <w:rtl/>
          <w:lang w:val="fr-CH"/>
        </w:rPr>
        <w:tab/>
      </w:r>
      <w:r w:rsidR="00F5005F">
        <w:rPr>
          <w:rFonts w:hint="cs"/>
          <w:rtl/>
          <w:lang/>
        </w:rPr>
        <w:t>ويُطلب</w:t>
      </w:r>
      <w:r w:rsidR="008608DA">
        <w:rPr>
          <w:rFonts w:hint="cs"/>
          <w:rtl/>
          <w:lang/>
        </w:rPr>
        <w:t xml:space="preserve"> إلى</w:t>
      </w:r>
      <w:r w:rsidR="00F5005F">
        <w:rPr>
          <w:rFonts w:hint="cs"/>
          <w:rtl/>
          <w:lang/>
        </w:rPr>
        <w:t xml:space="preserve"> الدولة الطرف أن تنشر التقرير المقدم إلى اللجنة وهذه الملاحظات الختامية على نطاق واسع وباللغات المناسبة من خلال المواقع الشبكية الرسمية ووسائل الإعلام والمنظمات غير الحكومية.</w:t>
      </w:r>
    </w:p>
    <w:p w:rsidR="00F5005F" w:rsidRDefault="00E84AE2" w:rsidP="00E84AE2">
      <w:pPr>
        <w:pStyle w:val="SingleTxtGA"/>
        <w:spacing w:line="370" w:lineRule="exact"/>
        <w:rPr>
          <w:rFonts w:hint="cs"/>
          <w:rtl/>
          <w:lang/>
        </w:rPr>
      </w:pPr>
      <w:r>
        <w:rPr>
          <w:rFonts w:hint="cs"/>
          <w:rtl/>
          <w:lang/>
        </w:rPr>
        <w:t>(</w:t>
      </w:r>
      <w:r w:rsidR="00F5005F">
        <w:rPr>
          <w:rFonts w:hint="cs"/>
          <w:rtl/>
          <w:lang/>
        </w:rPr>
        <w:t>41</w:t>
      </w:r>
      <w:r>
        <w:rPr>
          <w:rFonts w:hint="cs"/>
          <w:rtl/>
          <w:lang/>
        </w:rPr>
        <w:t>)</w:t>
      </w:r>
      <w:r w:rsidR="00F5005F">
        <w:rPr>
          <w:rFonts w:hint="cs"/>
          <w:rtl/>
          <w:lang/>
        </w:rPr>
        <w:tab/>
        <w:t>وتطلب اللجنة</w:t>
      </w:r>
      <w:r w:rsidR="008608DA">
        <w:rPr>
          <w:rFonts w:hint="cs"/>
          <w:rtl/>
          <w:lang/>
        </w:rPr>
        <w:t xml:space="preserve"> إلى</w:t>
      </w:r>
      <w:r w:rsidR="00F5005F">
        <w:rPr>
          <w:rFonts w:hint="cs"/>
          <w:rtl/>
          <w:lang/>
        </w:rPr>
        <w:t xml:space="preserve"> الدولة الطرف أن تقدم بحلول 31 </w:t>
      </w:r>
      <w:r w:rsidR="00F5005F">
        <w:rPr>
          <w:rFonts w:hint="cs"/>
          <w:rtl/>
        </w:rPr>
        <w:t xml:space="preserve">أيار/مايو </w:t>
      </w:r>
      <w:r w:rsidR="00F5005F">
        <w:rPr>
          <w:rFonts w:hint="cs"/>
          <w:rtl/>
          <w:lang/>
        </w:rPr>
        <w:t>2014 معلومات للمتابعة رداً على توصيات اللجنة فيما يتعلق بالآتي: (أ) كفالة أو تعزيز الضمانات القانونية للأشخاص المحتجزين، (ب) وإجراء تحقيقات عاجلة ونزيهة وفعالة، (ج) ومحاكمة الأشخاص المشتبه في ارتكابهم أعمال التعذيب أو سوء المعاملة ومعاقبة مرتكبي هذه الأعمال على النحو الوارد في الفقرات 9 و10 و17 و18 من هذه الوثيقة.</w:t>
      </w:r>
    </w:p>
    <w:p w:rsidR="00F5005F" w:rsidRDefault="00E84AE2" w:rsidP="00E84AE2">
      <w:pPr>
        <w:pStyle w:val="SingleTxtGA"/>
        <w:spacing w:line="370" w:lineRule="exact"/>
        <w:rPr>
          <w:rFonts w:hint="cs"/>
          <w:rtl/>
        </w:rPr>
      </w:pPr>
      <w:r>
        <w:rPr>
          <w:rFonts w:hint="cs"/>
          <w:rtl/>
          <w:lang/>
        </w:rPr>
        <w:t>(</w:t>
      </w:r>
      <w:r w:rsidR="00F5005F">
        <w:rPr>
          <w:rFonts w:hint="cs"/>
          <w:rtl/>
          <w:lang/>
        </w:rPr>
        <w:t>42</w:t>
      </w:r>
      <w:r>
        <w:rPr>
          <w:rFonts w:hint="cs"/>
          <w:rtl/>
          <w:lang/>
        </w:rPr>
        <w:t>)</w:t>
      </w:r>
      <w:r w:rsidR="00F5005F">
        <w:rPr>
          <w:rFonts w:hint="cs"/>
          <w:rtl/>
          <w:lang/>
        </w:rPr>
        <w:tab/>
      </w:r>
      <w:r w:rsidR="008608DA">
        <w:rPr>
          <w:rFonts w:hint="cs"/>
          <w:rtl/>
          <w:lang/>
        </w:rPr>
        <w:t>و</w:t>
      </w:r>
      <w:r w:rsidR="00F5005F">
        <w:rPr>
          <w:rFonts w:hint="cs"/>
          <w:rtl/>
          <w:lang/>
        </w:rPr>
        <w:t>الدولة الطرف</w:t>
      </w:r>
      <w:r w:rsidR="008608DA">
        <w:rPr>
          <w:rFonts w:hint="cs"/>
          <w:rtl/>
          <w:lang/>
        </w:rPr>
        <w:t xml:space="preserve"> مدعوة</w:t>
      </w:r>
      <w:r w:rsidR="00F5005F">
        <w:rPr>
          <w:rFonts w:hint="cs"/>
          <w:rtl/>
          <w:lang/>
        </w:rPr>
        <w:t xml:space="preserve"> إلى تقديم تقريرها المقبل الذي سيمثل تقريرها الدوري الثالث بحلول 31 </w:t>
      </w:r>
      <w:r w:rsidR="00F5005F">
        <w:rPr>
          <w:rFonts w:hint="cs"/>
          <w:rtl/>
        </w:rPr>
        <w:t xml:space="preserve">أيار/مايو </w:t>
      </w:r>
      <w:r w:rsidR="00F5005F">
        <w:rPr>
          <w:rFonts w:hint="cs"/>
          <w:rtl/>
          <w:lang/>
        </w:rPr>
        <w:t>2017.</w:t>
      </w:r>
      <w:r w:rsidR="00F5005F">
        <w:rPr>
          <w:rFonts w:hint="cs"/>
          <w:rtl/>
          <w:lang w:val="fr-CH"/>
        </w:rPr>
        <w:t xml:space="preserve"> </w:t>
      </w:r>
      <w:r w:rsidR="00F5005F" w:rsidRPr="005F3F9E">
        <w:rPr>
          <w:rFonts w:hint="cs"/>
          <w:rtl/>
          <w:lang w:val="fr-CH"/>
        </w:rPr>
        <w:t>ولهذا الغرض، ستحيل اللجنة إلى الدولة الطرف في الوقت المناسب قائمة</w:t>
      </w:r>
      <w:r w:rsidR="008608DA">
        <w:rPr>
          <w:rFonts w:hint="cs"/>
          <w:rtl/>
          <w:lang w:val="fr-CH"/>
        </w:rPr>
        <w:t xml:space="preserve"> بالقضايا</w:t>
      </w:r>
      <w:r w:rsidR="00F5005F" w:rsidRPr="005F3F9E">
        <w:rPr>
          <w:rFonts w:hint="cs"/>
          <w:rtl/>
          <w:lang w:val="fr-CH"/>
        </w:rPr>
        <w:t xml:space="preserve"> قبل تقديم التقرير </w:t>
      </w:r>
      <w:r w:rsidR="00F5005F">
        <w:rPr>
          <w:rFonts w:hint="cs"/>
          <w:rtl/>
          <w:lang w:val="fr-CH"/>
        </w:rPr>
        <w:t xml:space="preserve">نظراً إلى موافقة </w:t>
      </w:r>
      <w:r w:rsidR="00F5005F" w:rsidRPr="005F3F9E">
        <w:rPr>
          <w:rFonts w:hint="cs"/>
          <w:rtl/>
          <w:lang w:val="fr-CH"/>
        </w:rPr>
        <w:t xml:space="preserve">الدولة الطرف </w:t>
      </w:r>
      <w:r w:rsidR="00F5005F">
        <w:rPr>
          <w:rFonts w:hint="cs"/>
          <w:rtl/>
          <w:lang w:val="fr-CH"/>
        </w:rPr>
        <w:t xml:space="preserve">على </w:t>
      </w:r>
      <w:r w:rsidR="00F5005F">
        <w:rPr>
          <w:rFonts w:hint="cs"/>
          <w:rtl/>
          <w:lang/>
        </w:rPr>
        <w:t xml:space="preserve">تقديم التقارير </w:t>
      </w:r>
      <w:r w:rsidR="00F5005F" w:rsidRPr="005F3F9E">
        <w:rPr>
          <w:rFonts w:hint="cs"/>
          <w:rtl/>
          <w:lang w:val="fr-CH"/>
        </w:rPr>
        <w:t>إلى اللجنة</w:t>
      </w:r>
      <w:r w:rsidR="00F5005F">
        <w:rPr>
          <w:rFonts w:hint="cs"/>
          <w:rtl/>
          <w:lang/>
        </w:rPr>
        <w:t xml:space="preserve"> بموجب </w:t>
      </w:r>
      <w:r w:rsidR="00F5005F" w:rsidRPr="005F3F9E">
        <w:rPr>
          <w:rFonts w:hint="cs"/>
          <w:rtl/>
          <w:lang w:val="fr-CH"/>
        </w:rPr>
        <w:t>ال</w:t>
      </w:r>
      <w:r w:rsidR="00F5005F">
        <w:rPr>
          <w:rFonts w:hint="cs"/>
          <w:rtl/>
          <w:lang w:val="fr-CH"/>
        </w:rPr>
        <w:t>إجراء الاختياري لتقديم التقارير.</w:t>
      </w:r>
    </w:p>
    <w:p w:rsidR="00EE5D7D" w:rsidRPr="00E84AE2" w:rsidRDefault="005D0BB3" w:rsidP="00E84AE2">
      <w:pPr>
        <w:pStyle w:val="SingleTxtGA"/>
        <w:spacing w:line="370" w:lineRule="exact"/>
        <w:rPr>
          <w:rFonts w:hint="cs"/>
          <w:b/>
          <w:bCs/>
          <w:rtl/>
        </w:rPr>
      </w:pPr>
      <w:r w:rsidRPr="005D0BB3">
        <w:rPr>
          <w:rFonts w:hint="cs"/>
          <w:rtl/>
        </w:rPr>
        <w:t>73-</w:t>
      </w:r>
      <w:r w:rsidR="00EE5D7D" w:rsidRPr="005D0BB3">
        <w:rPr>
          <w:rFonts w:hint="cs"/>
          <w:rtl/>
        </w:rPr>
        <w:tab/>
      </w:r>
      <w:r w:rsidR="00EE5D7D" w:rsidRPr="00E84AE2">
        <w:rPr>
          <w:rFonts w:hint="cs"/>
          <w:b/>
          <w:bCs/>
          <w:rtl/>
        </w:rPr>
        <w:t>موريتانيا</w:t>
      </w:r>
    </w:p>
    <w:p w:rsidR="006D675E" w:rsidRPr="00CF4550" w:rsidRDefault="00E84AE2" w:rsidP="00E84AE2">
      <w:pPr>
        <w:pStyle w:val="SingleTxtGA"/>
        <w:spacing w:line="370" w:lineRule="exact"/>
        <w:rPr>
          <w:rtl/>
        </w:rPr>
      </w:pPr>
      <w:r>
        <w:rPr>
          <w:rFonts w:hint="cs"/>
          <w:rtl/>
        </w:rPr>
        <w:t>(</w:t>
      </w:r>
      <w:r w:rsidR="006D675E" w:rsidRPr="00CF4550">
        <w:rPr>
          <w:rtl/>
        </w:rPr>
        <w:t>1</w:t>
      </w:r>
      <w:r>
        <w:rPr>
          <w:rFonts w:hint="cs"/>
          <w:rtl/>
        </w:rPr>
        <w:t>)</w:t>
      </w:r>
      <w:r w:rsidR="006D675E" w:rsidRPr="00CF4550">
        <w:rPr>
          <w:rtl/>
        </w:rPr>
        <w:tab/>
        <w:t>نظرت لجنة مناهضة التعذيب في التقرير الأولي لموريتانيا (</w:t>
      </w:r>
      <w:r w:rsidR="006D675E" w:rsidRPr="00CF4550">
        <w:t>CAT/C/MRT/1</w:t>
      </w:r>
      <w:r w:rsidR="006D675E" w:rsidRPr="00CF4550">
        <w:rPr>
          <w:rtl/>
        </w:rPr>
        <w:t>) في جلستيها</w:t>
      </w:r>
      <w:r w:rsidR="006D675E" w:rsidRPr="00CF4550">
        <w:rPr>
          <w:rFonts w:hint="cs"/>
          <w:rtl/>
        </w:rPr>
        <w:t> </w:t>
      </w:r>
      <w:r w:rsidR="006D675E" w:rsidRPr="00CF4550">
        <w:rPr>
          <w:rtl/>
        </w:rPr>
        <w:t>1138 و1141، (</w:t>
      </w:r>
      <w:r w:rsidR="006D675E" w:rsidRPr="00CF4550">
        <w:t>CAT/C/SR.</w:t>
      </w:r>
      <w:r w:rsidR="006D675E">
        <w:t>1138</w:t>
      </w:r>
      <w:r w:rsidR="006D675E" w:rsidRPr="00CF4550">
        <w:rPr>
          <w:rtl/>
        </w:rPr>
        <w:t xml:space="preserve"> و</w:t>
      </w:r>
      <w:r w:rsidR="006D675E" w:rsidRPr="00CF4550">
        <w:t>1141</w:t>
      </w:r>
      <w:r w:rsidR="006D675E" w:rsidRPr="00CF4550">
        <w:rPr>
          <w:rtl/>
        </w:rPr>
        <w:t>)،</w:t>
      </w:r>
      <w:r w:rsidR="006D675E" w:rsidRPr="00CF4550">
        <w:rPr>
          <w:rFonts w:hint="cs"/>
          <w:rtl/>
        </w:rPr>
        <w:t xml:space="preserve"> </w:t>
      </w:r>
      <w:r w:rsidR="006D675E" w:rsidRPr="00CF4550">
        <w:rPr>
          <w:rtl/>
        </w:rPr>
        <w:t>المعقودتين في 8 و10 أيار</w:t>
      </w:r>
      <w:r w:rsidR="006D675E" w:rsidRPr="00CF4550">
        <w:rPr>
          <w:rFonts w:hint="cs"/>
          <w:rtl/>
        </w:rPr>
        <w:t xml:space="preserve">/ </w:t>
      </w:r>
      <w:r w:rsidR="006D675E" w:rsidRPr="00CF4550">
        <w:rPr>
          <w:rtl/>
        </w:rPr>
        <w:t>مايو</w:t>
      </w:r>
      <w:r w:rsidR="006D675E" w:rsidRPr="00CF4550">
        <w:rPr>
          <w:rFonts w:hint="cs"/>
          <w:rtl/>
        </w:rPr>
        <w:t> </w:t>
      </w:r>
      <w:r w:rsidR="006D675E" w:rsidRPr="00CF4550">
        <w:rPr>
          <w:rtl/>
        </w:rPr>
        <w:t>2013 واعتمدت في جلستها 1161 (</w:t>
      </w:r>
      <w:r w:rsidR="006D675E" w:rsidRPr="00CF4550">
        <w:t>CAT/C/SR.1161</w:t>
      </w:r>
      <w:r w:rsidR="006D675E" w:rsidRPr="00CF4550">
        <w:rPr>
          <w:rtl/>
        </w:rPr>
        <w:t>) المعقودة في</w:t>
      </w:r>
      <w:r w:rsidR="006D675E" w:rsidRPr="00CF4550">
        <w:rPr>
          <w:rFonts w:hint="cs"/>
          <w:rtl/>
        </w:rPr>
        <w:t xml:space="preserve"> </w:t>
      </w:r>
      <w:r w:rsidR="006D675E" w:rsidRPr="00CF4550">
        <w:rPr>
          <w:rtl/>
        </w:rPr>
        <w:t>27 أيار</w:t>
      </w:r>
      <w:r w:rsidR="006D675E" w:rsidRPr="00CF4550">
        <w:rPr>
          <w:rFonts w:hint="cs"/>
          <w:rtl/>
        </w:rPr>
        <w:t xml:space="preserve">/ </w:t>
      </w:r>
      <w:r w:rsidR="006D675E" w:rsidRPr="00CF4550">
        <w:rPr>
          <w:rtl/>
        </w:rPr>
        <w:t>مايو</w:t>
      </w:r>
      <w:r w:rsidR="006D675E" w:rsidRPr="00CF4550">
        <w:rPr>
          <w:rFonts w:hint="cs"/>
          <w:rtl/>
        </w:rPr>
        <w:t> </w:t>
      </w:r>
      <w:r w:rsidR="006D675E" w:rsidRPr="00CF4550">
        <w:rPr>
          <w:rtl/>
        </w:rPr>
        <w:t>2013، الملاحظات الختامية التالية.</w:t>
      </w:r>
    </w:p>
    <w:p w:rsidR="006D675E" w:rsidRPr="00E84AE2" w:rsidRDefault="00A83CF9" w:rsidP="00A83CF9">
      <w:pPr>
        <w:pStyle w:val="H23GA"/>
        <w:tabs>
          <w:tab w:val="left" w:pos="1912"/>
        </w:tabs>
        <w:rPr>
          <w:rtl/>
        </w:rPr>
      </w:pPr>
      <w:r>
        <w:rPr>
          <w:rFonts w:hint="cs"/>
          <w:rtl/>
        </w:rPr>
        <w:tab/>
      </w:r>
      <w:r>
        <w:rPr>
          <w:rFonts w:hint="cs"/>
          <w:rtl/>
        </w:rPr>
        <w:tab/>
      </w:r>
      <w:r w:rsidR="006D675E" w:rsidRPr="00E84AE2">
        <w:rPr>
          <w:rFonts w:hint="cs"/>
          <w:rtl/>
        </w:rPr>
        <w:t>ألف-</w:t>
      </w:r>
      <w:r w:rsidR="006D675E" w:rsidRPr="00E84AE2">
        <w:rPr>
          <w:rFonts w:hint="cs"/>
          <w:rtl/>
        </w:rPr>
        <w:tab/>
      </w:r>
      <w:r w:rsidR="006D675E" w:rsidRPr="00E84AE2">
        <w:rPr>
          <w:rtl/>
        </w:rPr>
        <w:t>مقدمة</w:t>
      </w:r>
    </w:p>
    <w:p w:rsidR="006D675E" w:rsidRPr="00C46820" w:rsidRDefault="00E84AE2" w:rsidP="00E84AE2">
      <w:pPr>
        <w:pStyle w:val="SingleTxtGA"/>
        <w:rPr>
          <w:rtl/>
        </w:rPr>
      </w:pPr>
      <w:r>
        <w:rPr>
          <w:rFonts w:hint="cs"/>
          <w:rtl/>
        </w:rPr>
        <w:t>(</w:t>
      </w:r>
      <w:r w:rsidR="006D675E" w:rsidRPr="00C46820">
        <w:rPr>
          <w:rtl/>
        </w:rPr>
        <w:t>2</w:t>
      </w:r>
      <w:r>
        <w:rPr>
          <w:rFonts w:hint="cs"/>
          <w:rtl/>
        </w:rPr>
        <w:t>)</w:t>
      </w:r>
      <w:r w:rsidR="006D675E" w:rsidRPr="00C46820">
        <w:rPr>
          <w:rtl/>
        </w:rPr>
        <w:tab/>
        <w:t>ترحب اللجنة بتقديم موريتانيا تقريرها الأولي. بيد أنها تلاحظ أن هذا التقرير</w:t>
      </w:r>
      <w:r w:rsidR="006D675E">
        <w:rPr>
          <w:rtl/>
        </w:rPr>
        <w:t xml:space="preserve"> لا </w:t>
      </w:r>
      <w:r w:rsidR="006D675E" w:rsidRPr="00C46820">
        <w:rPr>
          <w:rtl/>
        </w:rPr>
        <w:t>يلتزم تماماً بالمبادئ التوجيهية التي وضعتها</w:t>
      </w:r>
      <w:r w:rsidR="006D675E">
        <w:rPr>
          <w:rtl/>
        </w:rPr>
        <w:t xml:space="preserve"> فيما </w:t>
      </w:r>
      <w:r w:rsidR="006D675E" w:rsidRPr="00C46820">
        <w:rPr>
          <w:rtl/>
        </w:rPr>
        <w:t xml:space="preserve">يتعلق بإعداد التقارير وتعرب عن أسفها لتأخر الدولة الطرف 7 سنوات في تقديم تقريرها. </w:t>
      </w:r>
    </w:p>
    <w:p w:rsidR="006D675E" w:rsidRPr="00C46820" w:rsidRDefault="00381D79" w:rsidP="00381D79">
      <w:pPr>
        <w:pStyle w:val="SingleTxtGA"/>
        <w:rPr>
          <w:rtl/>
        </w:rPr>
      </w:pPr>
      <w:r>
        <w:rPr>
          <w:rFonts w:hint="cs"/>
          <w:rtl/>
        </w:rPr>
        <w:t>(</w:t>
      </w:r>
      <w:r w:rsidR="006D675E" w:rsidRPr="00C46820">
        <w:rPr>
          <w:rtl/>
        </w:rPr>
        <w:t>3</w:t>
      </w:r>
      <w:r>
        <w:rPr>
          <w:rFonts w:hint="cs"/>
          <w:rtl/>
        </w:rPr>
        <w:t>)</w:t>
      </w:r>
      <w:r w:rsidR="006D675E" w:rsidRPr="00C46820">
        <w:rPr>
          <w:rtl/>
        </w:rPr>
        <w:tab/>
      </w:r>
      <w:r w:rsidR="006D675E">
        <w:rPr>
          <w:rFonts w:hint="cs"/>
          <w:rtl/>
        </w:rPr>
        <w:t>و</w:t>
      </w:r>
      <w:r w:rsidR="006D675E" w:rsidRPr="00C46820">
        <w:rPr>
          <w:rtl/>
        </w:rPr>
        <w:t xml:space="preserve">ترحب اللجنة بالحوار المفتوح الذي أجرته مع وفد الدولة الطرف، وترحب أيضاً بالردود الشفوية التي قدمها على الأسئلة التي طرحها أعضاء اللجنة أثناء النظر في التقرير. </w:t>
      </w:r>
      <w:r w:rsidR="006D675E">
        <w:rPr>
          <w:rFonts w:hint="cs"/>
          <w:rtl/>
        </w:rPr>
        <w:t xml:space="preserve">بيد أن اللجنة </w:t>
      </w:r>
      <w:r w:rsidR="006D675E" w:rsidRPr="00C46820">
        <w:rPr>
          <w:rtl/>
        </w:rPr>
        <w:t>تأسف لعدم حضور ممثلي جميع الوزارات المختصة.</w:t>
      </w:r>
    </w:p>
    <w:p w:rsidR="006D675E" w:rsidRPr="00381D79" w:rsidRDefault="00A83CF9" w:rsidP="00A83CF9">
      <w:pPr>
        <w:pStyle w:val="H23GA"/>
        <w:tabs>
          <w:tab w:val="left" w:pos="1940"/>
        </w:tabs>
        <w:rPr>
          <w:rtl/>
        </w:rPr>
      </w:pPr>
      <w:r>
        <w:rPr>
          <w:rFonts w:hint="cs"/>
          <w:rtl/>
        </w:rPr>
        <w:tab/>
      </w:r>
      <w:r>
        <w:rPr>
          <w:rFonts w:hint="cs"/>
          <w:rtl/>
        </w:rPr>
        <w:tab/>
      </w:r>
      <w:r w:rsidR="006D675E" w:rsidRPr="00381D79">
        <w:rPr>
          <w:rtl/>
        </w:rPr>
        <w:t>باء-</w:t>
      </w:r>
      <w:r w:rsidR="006D675E" w:rsidRPr="00381D79">
        <w:rPr>
          <w:rtl/>
        </w:rPr>
        <w:tab/>
        <w:t>الجوانب الإيجابية</w:t>
      </w:r>
    </w:p>
    <w:p w:rsidR="006D675E" w:rsidRPr="00C46820" w:rsidRDefault="00381D79" w:rsidP="00381D79">
      <w:pPr>
        <w:pStyle w:val="SingleTxtGA"/>
        <w:spacing w:line="370" w:lineRule="exact"/>
        <w:rPr>
          <w:rFonts w:hint="cs"/>
          <w:rtl/>
          <w:lang w:val="fr-FR"/>
        </w:rPr>
      </w:pPr>
      <w:r>
        <w:rPr>
          <w:rFonts w:hint="cs"/>
          <w:rtl/>
        </w:rPr>
        <w:t>(</w:t>
      </w:r>
      <w:r w:rsidR="006D675E" w:rsidRPr="00C46820">
        <w:rPr>
          <w:rtl/>
        </w:rPr>
        <w:t>4</w:t>
      </w:r>
      <w:r>
        <w:rPr>
          <w:rFonts w:hint="cs"/>
          <w:rtl/>
        </w:rPr>
        <w:t>)</w:t>
      </w:r>
      <w:r w:rsidR="006D675E" w:rsidRPr="00C46820">
        <w:rPr>
          <w:rtl/>
        </w:rPr>
        <w:tab/>
      </w:r>
      <w:r w:rsidR="006D675E">
        <w:rPr>
          <w:rFonts w:hint="cs"/>
          <w:rtl/>
        </w:rPr>
        <w:t xml:space="preserve">تلاحظ اللجنة </w:t>
      </w:r>
      <w:r w:rsidR="006D675E">
        <w:rPr>
          <w:rFonts w:hint="cs"/>
          <w:rtl/>
          <w:lang w:val="fr-FR"/>
        </w:rPr>
        <w:t>بتقدير تصديق الدولة الطرف على الصكوك الدولية التالية أو</w:t>
      </w:r>
      <w:r w:rsidR="006D675E">
        <w:rPr>
          <w:rtl/>
          <w:lang w:val="fr-FR"/>
        </w:rPr>
        <w:t> </w:t>
      </w:r>
      <w:r w:rsidR="006D675E">
        <w:rPr>
          <w:rFonts w:hint="cs"/>
          <w:rtl/>
          <w:lang w:val="fr-FR"/>
        </w:rPr>
        <w:t>انضمامها إليها:</w:t>
      </w:r>
    </w:p>
    <w:p w:rsidR="006D675E" w:rsidRPr="00C46820" w:rsidRDefault="006D675E" w:rsidP="00381D79">
      <w:pPr>
        <w:pStyle w:val="SingleTxtGA"/>
        <w:spacing w:line="370" w:lineRule="exact"/>
        <w:rPr>
          <w:rtl/>
        </w:rPr>
      </w:pPr>
      <w:r>
        <w:rPr>
          <w:rFonts w:hint="cs"/>
          <w:rtl/>
          <w:lang w:val="fr-FR"/>
        </w:rPr>
        <w:tab/>
        <w:t>(أ)</w:t>
      </w:r>
      <w:r>
        <w:rPr>
          <w:rFonts w:hint="cs"/>
          <w:rtl/>
          <w:lang w:val="fr-FR"/>
        </w:rPr>
        <w:tab/>
      </w:r>
      <w:r w:rsidRPr="00C46820">
        <w:rPr>
          <w:rtl/>
        </w:rPr>
        <w:t>العهد الدولي الخاص بالحقوق الاقتصادية والاجتماعية والثقافية، في 17 تشرين الثاني</w:t>
      </w:r>
      <w:r>
        <w:rPr>
          <w:rFonts w:hint="cs"/>
          <w:rtl/>
        </w:rPr>
        <w:t>/</w:t>
      </w:r>
      <w:r w:rsidRPr="00C46820">
        <w:rPr>
          <w:rtl/>
        </w:rPr>
        <w:t xml:space="preserve">نوفمبر 2004؛ </w:t>
      </w:r>
    </w:p>
    <w:p w:rsidR="006D675E" w:rsidRPr="00C46820" w:rsidRDefault="006D675E" w:rsidP="00381D79">
      <w:pPr>
        <w:pStyle w:val="SingleTxtGA"/>
        <w:spacing w:line="370" w:lineRule="exact"/>
        <w:rPr>
          <w:rFonts w:hint="cs"/>
          <w:rtl/>
          <w:lang w:val="fr-FR"/>
        </w:rPr>
      </w:pPr>
      <w:r>
        <w:rPr>
          <w:rFonts w:hint="cs"/>
          <w:rtl/>
        </w:rPr>
        <w:tab/>
        <w:t>(ب)</w:t>
      </w:r>
      <w:r>
        <w:rPr>
          <w:rFonts w:hint="cs"/>
          <w:rtl/>
        </w:rPr>
        <w:tab/>
      </w:r>
      <w:r w:rsidRPr="00C46820">
        <w:rPr>
          <w:rtl/>
        </w:rPr>
        <w:t>العهد الدولي الخاص بالحقوق</w:t>
      </w:r>
      <w:r w:rsidRPr="00C46820">
        <w:rPr>
          <w:rtl/>
          <w:lang w:val="fr-FR"/>
        </w:rPr>
        <w:t xml:space="preserve"> المدنية والسياسية، في 17 تشرين الثاني</w:t>
      </w:r>
      <w:r>
        <w:rPr>
          <w:rFonts w:hint="cs"/>
          <w:rtl/>
          <w:lang w:val="fr-FR"/>
        </w:rPr>
        <w:t>/</w:t>
      </w:r>
      <w:r w:rsidRPr="00C46820">
        <w:rPr>
          <w:rtl/>
          <w:lang w:val="fr-FR"/>
        </w:rPr>
        <w:t>نوفمبر 2004</w:t>
      </w:r>
      <w:r>
        <w:rPr>
          <w:rFonts w:hint="cs"/>
          <w:rtl/>
          <w:lang w:val="fr-FR"/>
        </w:rPr>
        <w:t>؛</w:t>
      </w:r>
    </w:p>
    <w:p w:rsidR="006D675E" w:rsidRPr="00C46820" w:rsidRDefault="006D675E" w:rsidP="00381D79">
      <w:pPr>
        <w:pStyle w:val="SingleTxtGA"/>
        <w:spacing w:line="370" w:lineRule="exact"/>
        <w:rPr>
          <w:rtl/>
          <w:lang w:val="fr-FR"/>
        </w:rPr>
      </w:pPr>
      <w:r>
        <w:rPr>
          <w:rFonts w:hint="cs"/>
          <w:rtl/>
          <w:lang w:val="fr-FR"/>
        </w:rPr>
        <w:tab/>
        <w:t>(ج)</w:t>
      </w:r>
      <w:r>
        <w:rPr>
          <w:rFonts w:hint="cs"/>
          <w:rtl/>
          <w:lang w:val="fr-FR"/>
        </w:rPr>
        <w:tab/>
      </w:r>
      <w:r w:rsidRPr="00C46820">
        <w:rPr>
          <w:rtl/>
          <w:lang w:val="fr-FR"/>
        </w:rPr>
        <w:t xml:space="preserve">بروتوكول منع وقمع ومعاقبة الاتجار بالأشخاص، وبخاصة النساء </w:t>
      </w:r>
      <w:r>
        <w:rPr>
          <w:rtl/>
          <w:lang w:val="fr-FR"/>
        </w:rPr>
        <w:t>والأطفال، المُكم</w:t>
      </w:r>
      <w:r w:rsidRPr="00C46820">
        <w:rPr>
          <w:rtl/>
          <w:lang w:val="fr-FR"/>
        </w:rPr>
        <w:t>ل لاتفاقية الأمم المتحدة لمكافحة الجريمة المنظمة عبر الوطنية، في 22 تموز</w:t>
      </w:r>
      <w:r>
        <w:rPr>
          <w:rFonts w:hint="cs"/>
          <w:rtl/>
          <w:lang w:val="fr-FR"/>
        </w:rPr>
        <w:t xml:space="preserve">/ </w:t>
      </w:r>
      <w:r>
        <w:rPr>
          <w:rtl/>
          <w:lang w:val="fr-FR"/>
        </w:rPr>
        <w:t>يوليه</w:t>
      </w:r>
      <w:r w:rsidRPr="00C46820">
        <w:rPr>
          <w:rtl/>
          <w:lang w:val="fr-FR"/>
        </w:rPr>
        <w:t xml:space="preserve"> 2005؛</w:t>
      </w:r>
    </w:p>
    <w:p w:rsidR="006D675E" w:rsidRPr="00C46820" w:rsidRDefault="006D675E" w:rsidP="00381D79">
      <w:pPr>
        <w:pStyle w:val="SingleTxtGA"/>
        <w:spacing w:line="370" w:lineRule="exact"/>
        <w:rPr>
          <w:rFonts w:hint="cs"/>
          <w:rtl/>
          <w:lang w:val="fr-FR"/>
        </w:rPr>
      </w:pPr>
      <w:r>
        <w:rPr>
          <w:rFonts w:hint="cs"/>
          <w:rtl/>
          <w:lang w:val="fr-FR"/>
        </w:rPr>
        <w:tab/>
        <w:t>(د)</w:t>
      </w:r>
      <w:r>
        <w:rPr>
          <w:rFonts w:hint="cs"/>
          <w:rtl/>
          <w:lang w:val="fr-FR"/>
        </w:rPr>
        <w:tab/>
      </w:r>
      <w:r w:rsidRPr="00C46820">
        <w:rPr>
          <w:rtl/>
          <w:lang w:val="fr-FR"/>
        </w:rPr>
        <w:t xml:space="preserve">الاتفاقية الدولية لحماية حقوق جميع العمال المهاجرين </w:t>
      </w:r>
      <w:r>
        <w:rPr>
          <w:rFonts w:hint="cs"/>
          <w:rtl/>
          <w:lang w:val="fr-FR"/>
        </w:rPr>
        <w:t xml:space="preserve">وأفراد </w:t>
      </w:r>
      <w:r w:rsidRPr="00C46820">
        <w:rPr>
          <w:rtl/>
          <w:lang w:val="fr-FR"/>
        </w:rPr>
        <w:t>أسرهم، في</w:t>
      </w:r>
      <w:r>
        <w:rPr>
          <w:rFonts w:hint="cs"/>
          <w:rtl/>
          <w:lang w:val="fr-FR"/>
        </w:rPr>
        <w:t> </w:t>
      </w:r>
      <w:r w:rsidRPr="00C46820">
        <w:rPr>
          <w:rtl/>
          <w:lang w:val="fr-FR"/>
        </w:rPr>
        <w:t>22 كانون الثاني</w:t>
      </w:r>
      <w:r>
        <w:rPr>
          <w:rFonts w:hint="cs"/>
          <w:rtl/>
          <w:lang w:val="fr-FR"/>
        </w:rPr>
        <w:t>/</w:t>
      </w:r>
      <w:r w:rsidRPr="00C46820">
        <w:rPr>
          <w:rtl/>
          <w:lang w:val="fr-FR"/>
        </w:rPr>
        <w:t>يناير 2007</w:t>
      </w:r>
      <w:r>
        <w:rPr>
          <w:rFonts w:hint="cs"/>
          <w:rtl/>
          <w:lang w:val="fr-FR"/>
        </w:rPr>
        <w:t>؛</w:t>
      </w:r>
    </w:p>
    <w:p w:rsidR="006D675E" w:rsidRPr="00C46820" w:rsidRDefault="006D675E" w:rsidP="00381D79">
      <w:pPr>
        <w:pStyle w:val="SingleTxtGA"/>
        <w:spacing w:line="370" w:lineRule="exact"/>
        <w:rPr>
          <w:rtl/>
          <w:lang w:val="fr-FR"/>
        </w:rPr>
      </w:pPr>
      <w:r>
        <w:rPr>
          <w:rFonts w:hint="cs"/>
          <w:rtl/>
          <w:lang w:val="fr-FR"/>
        </w:rPr>
        <w:tab/>
        <w:t>(</w:t>
      </w:r>
      <w:r w:rsidRPr="00B50268">
        <w:rPr>
          <w:rFonts w:hint="cs"/>
          <w:sz w:val="30"/>
          <w:rtl/>
          <w:lang w:val="fr-FR"/>
        </w:rPr>
        <w:t>ﻫ</w:t>
      </w:r>
      <w:r>
        <w:rPr>
          <w:rFonts w:hint="cs"/>
          <w:rtl/>
          <w:lang w:val="fr-FR"/>
        </w:rPr>
        <w:t>)</w:t>
      </w:r>
      <w:r>
        <w:rPr>
          <w:rFonts w:hint="cs"/>
          <w:rtl/>
        </w:rPr>
        <w:tab/>
      </w:r>
      <w:r w:rsidRPr="00C46820">
        <w:rPr>
          <w:rtl/>
        </w:rPr>
        <w:t xml:space="preserve">البروتوكول الاختياري </w:t>
      </w:r>
      <w:r>
        <w:rPr>
          <w:rFonts w:hint="cs"/>
          <w:rtl/>
        </w:rPr>
        <w:t>الملحق ب</w:t>
      </w:r>
      <w:r w:rsidRPr="00C46820">
        <w:rPr>
          <w:rtl/>
        </w:rPr>
        <w:t xml:space="preserve">اتفاقية حقوق الطفل </w:t>
      </w:r>
      <w:r>
        <w:rPr>
          <w:rFonts w:hint="cs"/>
          <w:rtl/>
        </w:rPr>
        <w:t xml:space="preserve">بشأن </w:t>
      </w:r>
      <w:r>
        <w:rPr>
          <w:rtl/>
        </w:rPr>
        <w:t>بيع الأطفال واستغلال</w:t>
      </w:r>
      <w:r>
        <w:rPr>
          <w:rFonts w:hint="cs"/>
          <w:rtl/>
        </w:rPr>
        <w:t xml:space="preserve"> الأطفال</w:t>
      </w:r>
      <w:r w:rsidRPr="00C46820">
        <w:rPr>
          <w:rtl/>
        </w:rPr>
        <w:t xml:space="preserve"> في </w:t>
      </w:r>
      <w:r>
        <w:rPr>
          <w:rFonts w:hint="cs"/>
          <w:rtl/>
        </w:rPr>
        <w:t>البغاء وفي</w:t>
      </w:r>
      <w:r>
        <w:rPr>
          <w:rtl/>
        </w:rPr>
        <w:t> </w:t>
      </w:r>
      <w:r w:rsidRPr="00C46820">
        <w:rPr>
          <w:rtl/>
        </w:rPr>
        <w:t>المواد الإباحية</w:t>
      </w:r>
      <w:r w:rsidRPr="00C46820">
        <w:rPr>
          <w:rtl/>
          <w:lang w:val="fr-FR"/>
        </w:rPr>
        <w:t>، في 23 نيسان</w:t>
      </w:r>
      <w:r>
        <w:rPr>
          <w:rFonts w:hint="cs"/>
          <w:rtl/>
          <w:lang w:val="fr-FR"/>
        </w:rPr>
        <w:t>/</w:t>
      </w:r>
      <w:r w:rsidRPr="00C46820">
        <w:rPr>
          <w:rtl/>
          <w:lang w:val="fr-FR"/>
        </w:rPr>
        <w:t>أبريل 2007؛</w:t>
      </w:r>
    </w:p>
    <w:p w:rsidR="006D675E" w:rsidRPr="00C46820" w:rsidRDefault="006D675E" w:rsidP="00381D79">
      <w:pPr>
        <w:pStyle w:val="SingleTxtGA"/>
        <w:spacing w:line="370" w:lineRule="exact"/>
        <w:rPr>
          <w:rtl/>
          <w:lang w:val="fr-FR"/>
        </w:rPr>
      </w:pPr>
      <w:r>
        <w:rPr>
          <w:rFonts w:hint="cs"/>
          <w:rtl/>
          <w:lang w:val="fr-FR"/>
        </w:rPr>
        <w:tab/>
        <w:t>(و)</w:t>
      </w:r>
      <w:r>
        <w:rPr>
          <w:rFonts w:hint="cs"/>
          <w:rtl/>
          <w:lang w:val="fr-FR"/>
        </w:rPr>
        <w:tab/>
      </w:r>
      <w:r w:rsidRPr="00C46820">
        <w:rPr>
          <w:rtl/>
        </w:rPr>
        <w:t>اتفاقية حقوق الأشخاص ذوي الإعاقة،</w:t>
      </w:r>
      <w:r w:rsidRPr="00C46820">
        <w:rPr>
          <w:rtl/>
          <w:lang w:val="fr-FR"/>
        </w:rPr>
        <w:t xml:space="preserve"> في 3 نيسان</w:t>
      </w:r>
      <w:r>
        <w:rPr>
          <w:rFonts w:hint="cs"/>
          <w:rtl/>
          <w:lang w:val="fr-FR"/>
        </w:rPr>
        <w:t>/</w:t>
      </w:r>
      <w:r w:rsidRPr="00C46820">
        <w:rPr>
          <w:rtl/>
          <w:lang w:val="fr-FR"/>
        </w:rPr>
        <w:t>أبريل 2012؛</w:t>
      </w:r>
    </w:p>
    <w:p w:rsidR="006D675E" w:rsidRPr="00C46820" w:rsidRDefault="006D675E" w:rsidP="00381D79">
      <w:pPr>
        <w:pStyle w:val="SingleTxtGA"/>
        <w:spacing w:line="370" w:lineRule="exact"/>
        <w:rPr>
          <w:rtl/>
          <w:lang w:val="fr-FR"/>
        </w:rPr>
      </w:pPr>
      <w:r>
        <w:rPr>
          <w:rFonts w:hint="cs"/>
          <w:rtl/>
          <w:lang w:val="fr-FR"/>
        </w:rPr>
        <w:tab/>
        <w:t>(ز)</w:t>
      </w:r>
      <w:r>
        <w:rPr>
          <w:rFonts w:hint="cs"/>
          <w:rtl/>
          <w:lang w:val="fr-FR"/>
        </w:rPr>
        <w:tab/>
      </w:r>
      <w:r w:rsidRPr="00C46820">
        <w:rPr>
          <w:rtl/>
        </w:rPr>
        <w:t>البروتوكول الاختياري الملحق باتفاقية حقوق الأشخاص ذوي الإعاقة</w:t>
      </w:r>
      <w:r w:rsidRPr="00C46820">
        <w:rPr>
          <w:rtl/>
          <w:lang w:val="fr-FR"/>
        </w:rPr>
        <w:t>، في</w:t>
      </w:r>
      <w:r>
        <w:rPr>
          <w:rFonts w:hint="cs"/>
          <w:rtl/>
          <w:lang w:val="fr-FR"/>
        </w:rPr>
        <w:t> </w:t>
      </w:r>
      <w:r w:rsidRPr="00C46820">
        <w:rPr>
          <w:rtl/>
          <w:lang w:val="fr-FR"/>
        </w:rPr>
        <w:t>3 نيسان</w:t>
      </w:r>
      <w:r>
        <w:rPr>
          <w:rFonts w:hint="cs"/>
          <w:rtl/>
          <w:lang w:val="fr-FR"/>
        </w:rPr>
        <w:t>/</w:t>
      </w:r>
      <w:r w:rsidRPr="00C46820">
        <w:rPr>
          <w:rtl/>
          <w:lang w:val="fr-FR"/>
        </w:rPr>
        <w:t>أبريل 2012؛</w:t>
      </w:r>
    </w:p>
    <w:p w:rsidR="006D675E" w:rsidRPr="00C46820" w:rsidRDefault="006D675E" w:rsidP="00381D79">
      <w:pPr>
        <w:pStyle w:val="SingleTxtGA"/>
        <w:spacing w:line="370" w:lineRule="exact"/>
        <w:rPr>
          <w:rtl/>
          <w:lang w:val="fr-FR"/>
        </w:rPr>
      </w:pPr>
      <w:r>
        <w:rPr>
          <w:rFonts w:hint="cs"/>
          <w:rtl/>
          <w:lang w:val="fr-FR"/>
        </w:rPr>
        <w:tab/>
        <w:t>(ح)</w:t>
      </w:r>
      <w:r>
        <w:rPr>
          <w:rFonts w:hint="cs"/>
          <w:rtl/>
          <w:lang w:val="fr-FR"/>
        </w:rPr>
        <w:tab/>
      </w:r>
      <w:r w:rsidRPr="00C46820">
        <w:rPr>
          <w:rtl/>
        </w:rPr>
        <w:t>الاتفاقية الدولية لحماية جميع الأشخاص من الاختفاء القسري</w:t>
      </w:r>
      <w:r w:rsidRPr="00C46820">
        <w:rPr>
          <w:rtl/>
          <w:lang w:val="fr-FR"/>
        </w:rPr>
        <w:t>، في 3 تشرين الأول</w:t>
      </w:r>
      <w:r>
        <w:rPr>
          <w:rFonts w:hint="cs"/>
          <w:rtl/>
          <w:lang w:val="fr-FR"/>
        </w:rPr>
        <w:t>/</w:t>
      </w:r>
      <w:r w:rsidRPr="00C46820">
        <w:rPr>
          <w:rtl/>
          <w:lang w:val="fr-FR"/>
        </w:rPr>
        <w:t>أكتوبر 2012؛</w:t>
      </w:r>
    </w:p>
    <w:p w:rsidR="006D675E" w:rsidRPr="00C46820" w:rsidRDefault="006D675E" w:rsidP="00381D79">
      <w:pPr>
        <w:pStyle w:val="SingleTxtGA"/>
        <w:spacing w:line="370" w:lineRule="exact"/>
        <w:rPr>
          <w:rFonts w:hint="cs"/>
          <w:rtl/>
          <w:lang w:val="fr-FR"/>
        </w:rPr>
      </w:pPr>
      <w:r>
        <w:rPr>
          <w:rFonts w:hint="cs"/>
          <w:rtl/>
          <w:lang w:val="fr-FR"/>
        </w:rPr>
        <w:tab/>
        <w:t>(</w:t>
      </w:r>
      <w:r w:rsidRPr="00C46820">
        <w:rPr>
          <w:rtl/>
          <w:lang w:val="fr-FR"/>
        </w:rPr>
        <w:t>ط</w:t>
      </w:r>
      <w:r>
        <w:rPr>
          <w:rFonts w:hint="cs"/>
          <w:rtl/>
          <w:lang w:val="fr-FR"/>
        </w:rPr>
        <w:t>)</w:t>
      </w:r>
      <w:r>
        <w:rPr>
          <w:rFonts w:hint="cs"/>
          <w:rtl/>
        </w:rPr>
        <w:tab/>
      </w:r>
      <w:r w:rsidRPr="00C46820">
        <w:rPr>
          <w:rtl/>
        </w:rPr>
        <w:t>البروتوكول الاختياري الملحق باتفاقية مناهضة التعذيب وغيره من ضروب المعاملة</w:t>
      </w:r>
      <w:r>
        <w:rPr>
          <w:rtl/>
        </w:rPr>
        <w:t xml:space="preserve"> أو </w:t>
      </w:r>
      <w:r w:rsidRPr="00C46820">
        <w:rPr>
          <w:rtl/>
        </w:rPr>
        <w:t>العقوبة القاسية</w:t>
      </w:r>
      <w:r>
        <w:rPr>
          <w:rtl/>
        </w:rPr>
        <w:t xml:space="preserve"> أو </w:t>
      </w:r>
      <w:r w:rsidRPr="00C46820">
        <w:rPr>
          <w:rtl/>
        </w:rPr>
        <w:t>اللاإنسانية</w:t>
      </w:r>
      <w:r>
        <w:rPr>
          <w:rtl/>
        </w:rPr>
        <w:t xml:space="preserve"> أو </w:t>
      </w:r>
      <w:r w:rsidRPr="00C46820">
        <w:rPr>
          <w:rtl/>
        </w:rPr>
        <w:t>المهينة‏</w:t>
      </w:r>
      <w:r w:rsidRPr="00C46820">
        <w:rPr>
          <w:rtl/>
          <w:lang w:val="fr-FR"/>
        </w:rPr>
        <w:t>، في 3 تشرين الأول</w:t>
      </w:r>
      <w:r>
        <w:rPr>
          <w:rFonts w:hint="cs"/>
          <w:rtl/>
          <w:lang w:val="fr-FR"/>
        </w:rPr>
        <w:t>/</w:t>
      </w:r>
      <w:r w:rsidRPr="00C46820">
        <w:rPr>
          <w:rtl/>
          <w:lang w:val="fr-FR"/>
        </w:rPr>
        <w:t>أكتوبر 2012</w:t>
      </w:r>
      <w:r>
        <w:rPr>
          <w:rFonts w:hint="cs"/>
          <w:rtl/>
          <w:lang w:val="fr-FR"/>
        </w:rPr>
        <w:t>.</w:t>
      </w:r>
    </w:p>
    <w:p w:rsidR="006D675E" w:rsidRPr="00C46820" w:rsidRDefault="00381D79" w:rsidP="00381D79">
      <w:pPr>
        <w:pStyle w:val="SingleTxtGA"/>
        <w:spacing w:line="370" w:lineRule="exact"/>
        <w:rPr>
          <w:rtl/>
          <w:lang w:val="fr-FR"/>
        </w:rPr>
      </w:pPr>
      <w:r>
        <w:rPr>
          <w:rFonts w:hint="cs"/>
          <w:rtl/>
          <w:lang w:val="fr-FR"/>
        </w:rPr>
        <w:t>(</w:t>
      </w:r>
      <w:r w:rsidR="006D675E" w:rsidRPr="00C46820">
        <w:rPr>
          <w:rtl/>
          <w:lang w:val="fr-FR"/>
        </w:rPr>
        <w:t>5</w:t>
      </w:r>
      <w:r>
        <w:rPr>
          <w:rFonts w:hint="cs"/>
          <w:rtl/>
          <w:lang w:val="fr-FR"/>
        </w:rPr>
        <w:t>)</w:t>
      </w:r>
      <w:r w:rsidR="006D675E" w:rsidRPr="00C46820">
        <w:rPr>
          <w:rtl/>
          <w:lang w:val="fr-FR"/>
        </w:rPr>
        <w:tab/>
      </w:r>
      <w:r w:rsidR="006D675E">
        <w:rPr>
          <w:rFonts w:hint="cs"/>
          <w:rtl/>
          <w:lang w:val="fr-FR"/>
        </w:rPr>
        <w:t>و</w:t>
      </w:r>
      <w:r w:rsidR="006D675E" w:rsidRPr="00C46820">
        <w:rPr>
          <w:rtl/>
        </w:rPr>
        <w:t>تحيط اللجنة علماً مع التقدير بالجهود التي بذلتها الدولة الطرف لمراجعة تشريعاتها،</w:t>
      </w:r>
      <w:r w:rsidR="006D675E">
        <w:rPr>
          <w:rtl/>
        </w:rPr>
        <w:t xml:space="preserve"> ولا سيما</w:t>
      </w:r>
      <w:r w:rsidR="006D675E" w:rsidRPr="00C46820">
        <w:rPr>
          <w:rtl/>
        </w:rPr>
        <w:t>:</w:t>
      </w:r>
    </w:p>
    <w:p w:rsidR="006D675E" w:rsidRPr="00C46820" w:rsidRDefault="006D675E" w:rsidP="006D675E">
      <w:pPr>
        <w:pStyle w:val="SingleTxtGA"/>
        <w:rPr>
          <w:rFonts w:hint="cs"/>
          <w:rtl/>
          <w:lang w:val="fr-FR"/>
        </w:rPr>
      </w:pPr>
      <w:r>
        <w:rPr>
          <w:rFonts w:hint="cs"/>
          <w:rtl/>
          <w:lang w:val="fr-FR"/>
        </w:rPr>
        <w:tab/>
        <w:t>(أ)</w:t>
      </w:r>
      <w:r>
        <w:rPr>
          <w:rFonts w:hint="cs"/>
          <w:rtl/>
          <w:lang w:val="fr-FR"/>
        </w:rPr>
        <w:tab/>
      </w:r>
      <w:r w:rsidRPr="00C46820">
        <w:rPr>
          <w:rtl/>
          <w:lang w:val="fr-FR"/>
        </w:rPr>
        <w:t xml:space="preserve">اعتماد القانون رقم 2003-025 </w:t>
      </w:r>
      <w:r>
        <w:rPr>
          <w:rFonts w:hint="cs"/>
          <w:rtl/>
          <w:lang w:val="fr-FR"/>
        </w:rPr>
        <w:t>المؤرخ 17 تموز/يوليه 2003 والمتعلق بقمع الاتجار بالأشخاص؛</w:t>
      </w:r>
    </w:p>
    <w:p w:rsidR="006D675E" w:rsidRPr="00C46820" w:rsidRDefault="006D675E" w:rsidP="006D675E">
      <w:pPr>
        <w:pStyle w:val="SingleTxtGA"/>
        <w:rPr>
          <w:rFonts w:hint="cs"/>
          <w:rtl/>
          <w:lang/>
        </w:rPr>
      </w:pPr>
      <w:r>
        <w:rPr>
          <w:rFonts w:hint="cs"/>
          <w:rtl/>
          <w:lang w:val="fr-FR"/>
        </w:rPr>
        <w:tab/>
        <w:t>(ب)</w:t>
      </w:r>
      <w:r>
        <w:rPr>
          <w:rFonts w:hint="cs"/>
          <w:rtl/>
          <w:lang w:val="fr-FR"/>
        </w:rPr>
        <w:tab/>
      </w:r>
      <w:r w:rsidRPr="00C46820">
        <w:rPr>
          <w:rtl/>
          <w:lang w:val="fr-FR"/>
        </w:rPr>
        <w:t xml:space="preserve">اعتماد المرسوم رقم 2005-015 </w:t>
      </w:r>
      <w:r>
        <w:rPr>
          <w:rFonts w:hint="cs"/>
          <w:rtl/>
          <w:lang w:val="fr-FR"/>
        </w:rPr>
        <w:t xml:space="preserve">المؤرخ </w:t>
      </w:r>
      <w:r w:rsidRPr="00C46820">
        <w:rPr>
          <w:rtl/>
          <w:lang w:val="fr-FR"/>
        </w:rPr>
        <w:t>5 كانون الأول</w:t>
      </w:r>
      <w:r>
        <w:rPr>
          <w:rFonts w:hint="cs"/>
          <w:rtl/>
          <w:lang w:val="fr-FR"/>
        </w:rPr>
        <w:t>/</w:t>
      </w:r>
      <w:r>
        <w:rPr>
          <w:rtl/>
          <w:lang w:val="fr-FR"/>
        </w:rPr>
        <w:t>ديسمبر 2005</w:t>
      </w:r>
      <w:r>
        <w:rPr>
          <w:rFonts w:hint="cs"/>
          <w:rtl/>
          <w:lang w:val="fr-FR"/>
        </w:rPr>
        <w:t xml:space="preserve"> </w:t>
      </w:r>
      <w:r w:rsidRPr="009A4C87">
        <w:rPr>
          <w:rFonts w:hint="cs"/>
          <w:rtl/>
          <w:lang w:val="fr-FR"/>
        </w:rPr>
        <w:t>و</w:t>
      </w:r>
      <w:r w:rsidRPr="00C46820">
        <w:rPr>
          <w:rtl/>
          <w:lang w:val="fr-FR"/>
        </w:rPr>
        <w:t xml:space="preserve">المتعلق بالحماية التي </w:t>
      </w:r>
      <w:r w:rsidRPr="00C46820">
        <w:rPr>
          <w:rtl/>
          <w:lang/>
        </w:rPr>
        <w:t>يتيحها القانون الجنائي للأطفال</w:t>
      </w:r>
      <w:r>
        <w:rPr>
          <w:rFonts w:hint="cs"/>
          <w:rtl/>
          <w:lang w:val="fr-FR"/>
        </w:rPr>
        <w:t>؛</w:t>
      </w:r>
    </w:p>
    <w:p w:rsidR="006D675E" w:rsidRPr="00C46820" w:rsidRDefault="006D675E" w:rsidP="006D675E">
      <w:pPr>
        <w:pStyle w:val="SingleTxtGA"/>
        <w:rPr>
          <w:rFonts w:hint="cs"/>
          <w:rtl/>
          <w:lang w:val="fr-FR"/>
        </w:rPr>
      </w:pPr>
      <w:r>
        <w:rPr>
          <w:rFonts w:hint="cs"/>
          <w:rtl/>
          <w:lang/>
        </w:rPr>
        <w:tab/>
        <w:t>(ج)</w:t>
      </w:r>
      <w:r>
        <w:rPr>
          <w:rFonts w:hint="cs"/>
          <w:rtl/>
          <w:lang/>
        </w:rPr>
        <w:tab/>
      </w:r>
      <w:r w:rsidRPr="00C46820">
        <w:rPr>
          <w:rtl/>
          <w:lang/>
        </w:rPr>
        <w:t>اعتماد المرسوم رقم 2007</w:t>
      </w:r>
      <w:r>
        <w:rPr>
          <w:rFonts w:hint="cs"/>
          <w:rtl/>
          <w:lang/>
        </w:rPr>
        <w:t>/</w:t>
      </w:r>
      <w:r w:rsidRPr="00C46820">
        <w:rPr>
          <w:rtl/>
          <w:lang/>
        </w:rPr>
        <w:t xml:space="preserve">36 </w:t>
      </w:r>
      <w:r>
        <w:rPr>
          <w:rFonts w:hint="cs"/>
          <w:rtl/>
          <w:lang/>
        </w:rPr>
        <w:t xml:space="preserve">المؤرخ </w:t>
      </w:r>
      <w:r w:rsidRPr="00C46820">
        <w:rPr>
          <w:rtl/>
          <w:lang/>
        </w:rPr>
        <w:t>17 نيسان</w:t>
      </w:r>
      <w:r>
        <w:rPr>
          <w:rFonts w:hint="cs"/>
          <w:rtl/>
          <w:lang/>
        </w:rPr>
        <w:t>/</w:t>
      </w:r>
      <w:r>
        <w:rPr>
          <w:rtl/>
          <w:lang/>
        </w:rPr>
        <w:t>أبريل</w:t>
      </w:r>
      <w:r>
        <w:rPr>
          <w:rFonts w:hint="cs"/>
          <w:rtl/>
          <w:lang/>
        </w:rPr>
        <w:t xml:space="preserve"> 2007 والمتعلق </w:t>
      </w:r>
      <w:r w:rsidRPr="00C46820">
        <w:rPr>
          <w:rtl/>
          <w:lang/>
        </w:rPr>
        <w:t>بقانون الإجراءات الجنائية</w:t>
      </w:r>
      <w:r>
        <w:rPr>
          <w:rFonts w:hint="cs"/>
          <w:rtl/>
          <w:lang/>
        </w:rPr>
        <w:t>؛</w:t>
      </w:r>
    </w:p>
    <w:p w:rsidR="006D675E" w:rsidRPr="00C46820" w:rsidRDefault="006D675E" w:rsidP="006D675E">
      <w:pPr>
        <w:pStyle w:val="SingleTxtGA"/>
        <w:rPr>
          <w:rFonts w:hint="cs"/>
          <w:rtl/>
          <w:lang w:val="fr-FR"/>
        </w:rPr>
      </w:pPr>
      <w:r>
        <w:rPr>
          <w:rFonts w:hint="cs"/>
          <w:rtl/>
          <w:lang w:val="fr-FR"/>
        </w:rPr>
        <w:tab/>
        <w:t>(د)</w:t>
      </w:r>
      <w:r>
        <w:rPr>
          <w:rFonts w:hint="cs"/>
          <w:rtl/>
          <w:lang w:val="fr-FR"/>
        </w:rPr>
        <w:tab/>
      </w:r>
      <w:r w:rsidRPr="00C46820">
        <w:rPr>
          <w:rtl/>
          <w:lang w:val="fr-FR"/>
        </w:rPr>
        <w:t xml:space="preserve">اعتماد القانون رقم 2007-048 </w:t>
      </w:r>
      <w:r>
        <w:rPr>
          <w:rFonts w:hint="cs"/>
          <w:rtl/>
          <w:lang w:val="fr-FR"/>
        </w:rPr>
        <w:t xml:space="preserve">المؤرخ </w:t>
      </w:r>
      <w:r w:rsidRPr="00C46820">
        <w:rPr>
          <w:rtl/>
          <w:lang w:val="fr-FR"/>
        </w:rPr>
        <w:t>3 أيلول</w:t>
      </w:r>
      <w:r>
        <w:rPr>
          <w:rFonts w:hint="cs"/>
          <w:rtl/>
          <w:lang w:val="fr-FR"/>
        </w:rPr>
        <w:t>/</w:t>
      </w:r>
      <w:r>
        <w:rPr>
          <w:rtl/>
          <w:lang w:val="fr-FR"/>
        </w:rPr>
        <w:t>سبتمبر 2007</w:t>
      </w:r>
      <w:r>
        <w:rPr>
          <w:rFonts w:hint="cs"/>
          <w:rtl/>
          <w:lang w:val="fr-FR"/>
        </w:rPr>
        <w:t xml:space="preserve"> والمتعلق </w:t>
      </w:r>
      <w:r w:rsidRPr="00C46820">
        <w:rPr>
          <w:rtl/>
          <w:lang/>
        </w:rPr>
        <w:t xml:space="preserve">بتجريم </w:t>
      </w:r>
      <w:r>
        <w:rPr>
          <w:rFonts w:hint="cs"/>
          <w:rtl/>
          <w:lang/>
        </w:rPr>
        <w:t xml:space="preserve">الرق </w:t>
      </w:r>
      <w:r w:rsidRPr="00C46820">
        <w:rPr>
          <w:rtl/>
          <w:lang/>
        </w:rPr>
        <w:t xml:space="preserve">وقمع ممارسات </w:t>
      </w:r>
      <w:r>
        <w:rPr>
          <w:rFonts w:hint="cs"/>
          <w:rtl/>
          <w:lang/>
        </w:rPr>
        <w:t>الرق؛</w:t>
      </w:r>
    </w:p>
    <w:p w:rsidR="006D675E" w:rsidRPr="00CF4550" w:rsidRDefault="006D675E" w:rsidP="006D675E">
      <w:pPr>
        <w:pStyle w:val="SingleTxtGA"/>
        <w:rPr>
          <w:rFonts w:hint="cs"/>
          <w:spacing w:val="-6"/>
          <w:rtl/>
          <w:lang w:val="fr-FR"/>
        </w:rPr>
      </w:pPr>
      <w:r w:rsidRPr="00CF4550">
        <w:rPr>
          <w:rFonts w:hint="cs"/>
          <w:spacing w:val="-6"/>
          <w:sz w:val="30"/>
          <w:rtl/>
          <w:lang w:val="fr-FR"/>
        </w:rPr>
        <w:tab/>
        <w:t>(ﻫ</w:t>
      </w:r>
      <w:r w:rsidRPr="00CF4550">
        <w:rPr>
          <w:rFonts w:hint="cs"/>
          <w:spacing w:val="-6"/>
          <w:rtl/>
          <w:lang w:val="fr-FR"/>
        </w:rPr>
        <w:t>)</w:t>
      </w:r>
      <w:r w:rsidRPr="00CF4550">
        <w:rPr>
          <w:rFonts w:hint="cs"/>
          <w:spacing w:val="-6"/>
          <w:rtl/>
          <w:lang w:val="fr-FR"/>
        </w:rPr>
        <w:tab/>
      </w:r>
      <w:r w:rsidRPr="00CF4550">
        <w:rPr>
          <w:spacing w:val="-6"/>
          <w:rtl/>
          <w:lang w:val="fr-FR"/>
        </w:rPr>
        <w:t xml:space="preserve">اعتماد القانون </w:t>
      </w:r>
      <w:r w:rsidRPr="00CF4550">
        <w:rPr>
          <w:rFonts w:hint="cs"/>
          <w:spacing w:val="-6"/>
          <w:rtl/>
          <w:lang/>
        </w:rPr>
        <w:t xml:space="preserve">المؤرخ </w:t>
      </w:r>
      <w:r w:rsidRPr="00CF4550">
        <w:rPr>
          <w:spacing w:val="-6"/>
          <w:rtl/>
          <w:lang/>
        </w:rPr>
        <w:t xml:space="preserve">22 كانون </w:t>
      </w:r>
      <w:r w:rsidRPr="00CF4550">
        <w:rPr>
          <w:rFonts w:hint="cs"/>
          <w:spacing w:val="-6"/>
          <w:rtl/>
          <w:lang/>
        </w:rPr>
        <w:t>الثاني/</w:t>
      </w:r>
      <w:r w:rsidRPr="00CF4550">
        <w:rPr>
          <w:spacing w:val="-6"/>
          <w:rtl/>
          <w:lang/>
        </w:rPr>
        <w:t>يناير 2010</w:t>
      </w:r>
      <w:r w:rsidRPr="00CF4550">
        <w:rPr>
          <w:rFonts w:hint="cs"/>
          <w:spacing w:val="-6"/>
          <w:rtl/>
          <w:lang/>
        </w:rPr>
        <w:t xml:space="preserve"> والمتعلق بتهريب المهاجرين؛</w:t>
      </w:r>
    </w:p>
    <w:p w:rsidR="006D675E" w:rsidRPr="00CF4550" w:rsidRDefault="006D675E" w:rsidP="006D675E">
      <w:pPr>
        <w:pStyle w:val="SingleTxtGA"/>
        <w:rPr>
          <w:spacing w:val="-2"/>
          <w:rtl/>
          <w:lang w:val="fr-FR"/>
        </w:rPr>
      </w:pPr>
      <w:r w:rsidRPr="00CF4550">
        <w:rPr>
          <w:rFonts w:hint="cs"/>
          <w:spacing w:val="-2"/>
          <w:rtl/>
          <w:lang w:val="fr-FR"/>
        </w:rPr>
        <w:tab/>
        <w:t>(و)</w:t>
      </w:r>
      <w:r w:rsidRPr="00CF4550">
        <w:rPr>
          <w:rFonts w:hint="cs"/>
          <w:spacing w:val="-2"/>
          <w:rtl/>
          <w:lang w:val="fr-FR"/>
        </w:rPr>
        <w:tab/>
      </w:r>
      <w:r w:rsidRPr="00CF4550">
        <w:rPr>
          <w:spacing w:val="-2"/>
          <w:rtl/>
          <w:lang w:val="fr-FR"/>
        </w:rPr>
        <w:t xml:space="preserve">اعتماد </w:t>
      </w:r>
      <w:r w:rsidRPr="00CF4550">
        <w:rPr>
          <w:rFonts w:hint="cs"/>
          <w:spacing w:val="-2"/>
          <w:rtl/>
          <w:lang w:val="fr-FR"/>
        </w:rPr>
        <w:t xml:space="preserve">المقرر الوزاري </w:t>
      </w:r>
      <w:r w:rsidRPr="00CF4550">
        <w:rPr>
          <w:spacing w:val="-2"/>
          <w:rtl/>
          <w:lang w:val="fr-FR"/>
        </w:rPr>
        <w:t xml:space="preserve">الصادر عن </w:t>
      </w:r>
      <w:r w:rsidRPr="00CF4550">
        <w:rPr>
          <w:spacing w:val="-2"/>
          <w:rtl/>
          <w:lang/>
        </w:rPr>
        <w:t>وزارة الوظيفة العمومية</w:t>
      </w:r>
      <w:r w:rsidRPr="00CF4550">
        <w:rPr>
          <w:spacing w:val="-2"/>
          <w:rtl/>
          <w:lang w:val="fr-FR"/>
        </w:rPr>
        <w:t xml:space="preserve"> </w:t>
      </w:r>
      <w:r w:rsidRPr="00CF4550">
        <w:rPr>
          <w:rFonts w:hint="cs"/>
          <w:spacing w:val="-2"/>
          <w:rtl/>
          <w:lang w:val="fr-FR"/>
        </w:rPr>
        <w:t xml:space="preserve">والشغل </w:t>
      </w:r>
      <w:r w:rsidRPr="00CF4550">
        <w:rPr>
          <w:spacing w:val="-2"/>
          <w:rtl/>
          <w:lang w:val="fr-FR"/>
        </w:rPr>
        <w:t xml:space="preserve">وتحديث الإدارة، والذي يُنظم </w:t>
      </w:r>
      <w:r w:rsidRPr="00CF4550">
        <w:rPr>
          <w:rFonts w:hint="cs"/>
          <w:spacing w:val="-2"/>
          <w:rtl/>
          <w:lang w:val="fr-FR"/>
        </w:rPr>
        <w:t xml:space="preserve">تشغيل عمال المنازل </w:t>
      </w:r>
      <w:r w:rsidRPr="00CF4550">
        <w:rPr>
          <w:spacing w:val="-2"/>
          <w:rtl/>
          <w:lang w:val="fr-FR"/>
        </w:rPr>
        <w:t xml:space="preserve">من كلا الجنسين </w:t>
      </w:r>
      <w:r w:rsidRPr="00CF4550">
        <w:rPr>
          <w:rFonts w:hint="cs"/>
          <w:spacing w:val="-2"/>
          <w:rtl/>
          <w:lang w:val="fr-FR"/>
        </w:rPr>
        <w:t xml:space="preserve">ويُجرِّم </w:t>
      </w:r>
      <w:r w:rsidRPr="00CF4550">
        <w:rPr>
          <w:spacing w:val="-2"/>
          <w:rtl/>
          <w:lang w:val="fr-FR"/>
        </w:rPr>
        <w:t>كل الأشكال التي تنتهك</w:t>
      </w:r>
      <w:r>
        <w:rPr>
          <w:rFonts w:hint="cs"/>
          <w:spacing w:val="-2"/>
          <w:rtl/>
          <w:lang w:val="fr-FR"/>
        </w:rPr>
        <w:t> </w:t>
      </w:r>
      <w:r w:rsidRPr="00CF4550">
        <w:rPr>
          <w:spacing w:val="-2"/>
          <w:rtl/>
          <w:lang w:val="fr-FR"/>
        </w:rPr>
        <w:t xml:space="preserve">قوانين </w:t>
      </w:r>
      <w:r w:rsidRPr="00CF4550">
        <w:rPr>
          <w:rFonts w:hint="cs"/>
          <w:spacing w:val="-2"/>
          <w:rtl/>
          <w:lang w:val="fr-FR"/>
        </w:rPr>
        <w:t>الشغل</w:t>
      </w:r>
      <w:r w:rsidRPr="00CF4550">
        <w:rPr>
          <w:spacing w:val="-2"/>
          <w:rtl/>
          <w:lang w:val="fr-FR"/>
        </w:rPr>
        <w:t>،</w:t>
      </w:r>
      <w:r>
        <w:rPr>
          <w:spacing w:val="-2"/>
          <w:rtl/>
          <w:lang w:val="fr-FR"/>
        </w:rPr>
        <w:t xml:space="preserve"> لا </w:t>
      </w:r>
      <w:r w:rsidRPr="00CF4550">
        <w:rPr>
          <w:spacing w:val="-2"/>
          <w:rtl/>
          <w:lang w:val="fr-FR"/>
        </w:rPr>
        <w:t xml:space="preserve">سيما الاتفاقيات المختلفة التي صدّقت عليها موريتانيا وقانون </w:t>
      </w:r>
      <w:r w:rsidRPr="00CF4550">
        <w:rPr>
          <w:rFonts w:hint="cs"/>
          <w:spacing w:val="-2"/>
          <w:rtl/>
          <w:lang w:val="fr-FR"/>
        </w:rPr>
        <w:t>الشغل</w:t>
      </w:r>
      <w:r>
        <w:rPr>
          <w:rFonts w:hint="cs"/>
          <w:spacing w:val="-2"/>
          <w:rtl/>
          <w:lang w:val="fr-FR"/>
        </w:rPr>
        <w:t> </w:t>
      </w:r>
      <w:r w:rsidRPr="00CF4550">
        <w:rPr>
          <w:spacing w:val="-2"/>
          <w:rtl/>
          <w:lang w:val="fr-FR"/>
        </w:rPr>
        <w:t>الموريتاني.</w:t>
      </w:r>
    </w:p>
    <w:p w:rsidR="006D675E" w:rsidRPr="00C46820" w:rsidRDefault="00381D79" w:rsidP="00381D79">
      <w:pPr>
        <w:pStyle w:val="SingleTxtGA"/>
        <w:rPr>
          <w:rtl/>
          <w:lang w:val="fr-FR"/>
        </w:rPr>
      </w:pPr>
      <w:r>
        <w:rPr>
          <w:rFonts w:hint="cs"/>
          <w:rtl/>
          <w:lang w:val="fr-FR"/>
        </w:rPr>
        <w:t>(</w:t>
      </w:r>
      <w:r w:rsidR="006D675E" w:rsidRPr="00C46820">
        <w:rPr>
          <w:rtl/>
          <w:lang w:val="fr-FR"/>
        </w:rPr>
        <w:t>6</w:t>
      </w:r>
      <w:r>
        <w:rPr>
          <w:rFonts w:hint="cs"/>
          <w:rtl/>
          <w:lang w:val="fr-FR"/>
        </w:rPr>
        <w:t>)</w:t>
      </w:r>
      <w:r w:rsidR="006D675E" w:rsidRPr="00C46820">
        <w:rPr>
          <w:rtl/>
          <w:lang w:val="fr-FR"/>
        </w:rPr>
        <w:tab/>
        <w:t>وترحب اللجنة كذلك بتعاون الدولة الطرف مع المقررة الخاصة المعنية بأشكال الرق المعاصر</w:t>
      </w:r>
      <w:r w:rsidR="006D675E">
        <w:rPr>
          <w:rFonts w:hint="cs"/>
          <w:rtl/>
          <w:lang w:val="fr-FR"/>
        </w:rPr>
        <w:t>ة</w:t>
      </w:r>
      <w:r w:rsidR="006D675E">
        <w:rPr>
          <w:rtl/>
          <w:lang w:val="fr-FR"/>
        </w:rPr>
        <w:t xml:space="preserve"> بما </w:t>
      </w:r>
      <w:r w:rsidR="006D675E">
        <w:rPr>
          <w:rFonts w:hint="cs"/>
          <w:rtl/>
          <w:lang w:val="fr-FR"/>
        </w:rPr>
        <w:t>ف</w:t>
      </w:r>
      <w:r w:rsidR="006D675E" w:rsidRPr="00C46820">
        <w:rPr>
          <w:rtl/>
          <w:lang w:val="fr-FR"/>
        </w:rPr>
        <w:t>ي ذلك أسبابه وعواقبه، والتعاون مع المقرر الخاص المعني بالأشكال المعاصرة للعنصرية والتمييز العنصري وكره الأجانب</w:t>
      </w:r>
      <w:r w:rsidR="006D675E">
        <w:rPr>
          <w:rtl/>
          <w:lang w:val="fr-FR"/>
        </w:rPr>
        <w:t xml:space="preserve"> وما </w:t>
      </w:r>
      <w:r w:rsidR="006D675E" w:rsidRPr="00C46820">
        <w:rPr>
          <w:rtl/>
          <w:lang w:val="fr-FR"/>
        </w:rPr>
        <w:t>يتصل</w:t>
      </w:r>
      <w:r w:rsidR="006D675E">
        <w:rPr>
          <w:rFonts w:hint="cs"/>
          <w:rtl/>
          <w:lang w:val="fr-FR"/>
        </w:rPr>
        <w:t xml:space="preserve"> بذلك </w:t>
      </w:r>
      <w:r w:rsidR="006D675E" w:rsidRPr="00C46820">
        <w:rPr>
          <w:rtl/>
          <w:lang w:val="fr-FR"/>
        </w:rPr>
        <w:t>من تعصّب.</w:t>
      </w:r>
    </w:p>
    <w:p w:rsidR="006D675E" w:rsidRPr="00381D79" w:rsidRDefault="00A83CF9" w:rsidP="00A83CF9">
      <w:pPr>
        <w:pStyle w:val="H23GA"/>
        <w:tabs>
          <w:tab w:val="left" w:pos="1954"/>
        </w:tabs>
        <w:rPr>
          <w:rtl/>
          <w:lang w:val="fr-FR"/>
        </w:rPr>
      </w:pPr>
      <w:r>
        <w:rPr>
          <w:rFonts w:hint="cs"/>
          <w:rtl/>
        </w:rPr>
        <w:tab/>
      </w:r>
      <w:r>
        <w:rPr>
          <w:rFonts w:hint="cs"/>
          <w:rtl/>
        </w:rPr>
        <w:tab/>
      </w:r>
      <w:r w:rsidR="006D675E" w:rsidRPr="00381D79">
        <w:rPr>
          <w:rtl/>
        </w:rPr>
        <w:t>جيم-</w:t>
      </w:r>
      <w:r w:rsidR="006D675E" w:rsidRPr="00381D79">
        <w:rPr>
          <w:rtl/>
        </w:rPr>
        <w:tab/>
        <w:t>دواعي القلق الرئيسية والتوصيات</w:t>
      </w:r>
    </w:p>
    <w:p w:rsidR="006D675E" w:rsidRPr="00C46820" w:rsidRDefault="006D675E" w:rsidP="006D675E">
      <w:pPr>
        <w:pStyle w:val="H23GA"/>
        <w:rPr>
          <w:rtl/>
          <w:lang w:val="fr-FR"/>
        </w:rPr>
      </w:pPr>
      <w:r>
        <w:rPr>
          <w:rFonts w:hint="cs"/>
          <w:rtl/>
          <w:lang w:val="fr-FR"/>
        </w:rPr>
        <w:tab/>
      </w:r>
      <w:r>
        <w:rPr>
          <w:rFonts w:hint="cs"/>
          <w:rtl/>
          <w:lang w:val="fr-FR"/>
        </w:rPr>
        <w:tab/>
      </w:r>
      <w:r w:rsidRPr="00C46820">
        <w:rPr>
          <w:rtl/>
          <w:lang w:val="fr-FR"/>
        </w:rPr>
        <w:t>تعريف التعذيب وتجريمه</w:t>
      </w:r>
    </w:p>
    <w:p w:rsidR="006D675E" w:rsidRPr="00C46820" w:rsidRDefault="00381D79" w:rsidP="00381D79">
      <w:pPr>
        <w:pStyle w:val="SingleTxtGA"/>
        <w:rPr>
          <w:rtl/>
          <w:lang w:val="fr-FR"/>
        </w:rPr>
      </w:pPr>
      <w:r>
        <w:rPr>
          <w:rFonts w:hint="cs"/>
          <w:rtl/>
          <w:lang w:val="fr-FR"/>
        </w:rPr>
        <w:t>(</w:t>
      </w:r>
      <w:r w:rsidR="006D675E" w:rsidRPr="00C46820">
        <w:rPr>
          <w:rtl/>
          <w:lang w:val="fr-FR"/>
        </w:rPr>
        <w:t>7</w:t>
      </w:r>
      <w:r>
        <w:rPr>
          <w:rFonts w:hint="cs"/>
          <w:rtl/>
          <w:lang w:val="fr-FR"/>
        </w:rPr>
        <w:t>)</w:t>
      </w:r>
      <w:r w:rsidR="006D675E" w:rsidRPr="00C46820">
        <w:rPr>
          <w:rtl/>
          <w:lang w:val="fr-FR"/>
        </w:rPr>
        <w:tab/>
      </w:r>
      <w:r w:rsidR="006D675E" w:rsidRPr="00C46820">
        <w:rPr>
          <w:spacing w:val="-2"/>
          <w:rtl/>
        </w:rPr>
        <w:t>تعرب اللجنة عن قلقها</w:t>
      </w:r>
      <w:r w:rsidR="006D675E" w:rsidRPr="00C46820">
        <w:rPr>
          <w:rtl/>
          <w:lang w:val="fr-FR"/>
        </w:rPr>
        <w:t xml:space="preserve"> لأنّ </w:t>
      </w:r>
      <w:r w:rsidR="006D675E" w:rsidRPr="00C46820">
        <w:rPr>
          <w:rtl/>
        </w:rPr>
        <w:t>الدولة الطرف</w:t>
      </w:r>
      <w:r w:rsidR="006D675E">
        <w:rPr>
          <w:rtl/>
        </w:rPr>
        <w:t xml:space="preserve"> لم </w:t>
      </w:r>
      <w:r w:rsidR="006D675E" w:rsidRPr="00C46820">
        <w:rPr>
          <w:rtl/>
        </w:rPr>
        <w:t>تعتمد بعد أحكاماً جنائية تُعرّف التعذيب بشكل صريح وتُجرّمه</w:t>
      </w:r>
      <w:r w:rsidR="006D675E" w:rsidRPr="00C46820">
        <w:rPr>
          <w:rtl/>
          <w:lang w:val="fr-FR"/>
        </w:rPr>
        <w:t xml:space="preserve"> باعتباره جريمة جنائية مستقلّة، على الرغم من مرور ثمانية أعوام على انضمامها إلى الاتفاقية</w:t>
      </w:r>
      <w:r w:rsidR="006D675E">
        <w:rPr>
          <w:rFonts w:hint="cs"/>
          <w:rtl/>
          <w:lang w:val="fr-FR"/>
        </w:rPr>
        <w:t xml:space="preserve"> وتعرب عن قلقها لكون ممارسات التعذيب لا</w:t>
      </w:r>
      <w:r w:rsidR="006D675E">
        <w:rPr>
          <w:rtl/>
          <w:lang w:val="fr-FR"/>
        </w:rPr>
        <w:t> </w:t>
      </w:r>
      <w:r w:rsidR="006D675E">
        <w:rPr>
          <w:rFonts w:hint="cs"/>
          <w:rtl/>
          <w:lang w:val="fr-FR"/>
        </w:rPr>
        <w:t>يُعاقب عليها إلا</w:t>
      </w:r>
      <w:r w:rsidR="006D675E">
        <w:rPr>
          <w:rtl/>
          <w:lang w:val="fr-FR"/>
        </w:rPr>
        <w:t> </w:t>
      </w:r>
      <w:r w:rsidR="006D675E">
        <w:rPr>
          <w:rFonts w:hint="cs"/>
          <w:rtl/>
          <w:lang w:val="fr-FR"/>
        </w:rPr>
        <w:t>بوصفها حالات ضرب أو</w:t>
      </w:r>
      <w:r w:rsidR="006D675E">
        <w:rPr>
          <w:rtl/>
          <w:lang w:val="fr-FR"/>
        </w:rPr>
        <w:t> </w:t>
      </w:r>
      <w:r w:rsidR="006D675E">
        <w:rPr>
          <w:rFonts w:hint="cs"/>
          <w:rtl/>
          <w:lang w:val="fr-FR"/>
        </w:rPr>
        <w:t>جرح أو</w:t>
      </w:r>
      <w:r w:rsidR="006D675E">
        <w:rPr>
          <w:rtl/>
          <w:lang w:val="fr-FR"/>
        </w:rPr>
        <w:t> </w:t>
      </w:r>
      <w:r w:rsidR="006D675E">
        <w:rPr>
          <w:rFonts w:hint="cs"/>
          <w:rtl/>
          <w:lang w:val="fr-FR"/>
        </w:rPr>
        <w:t>قتل (المادتان 1 و4).</w:t>
      </w:r>
      <w:r w:rsidR="006D675E" w:rsidRPr="00C46820">
        <w:rPr>
          <w:rtl/>
          <w:lang w:val="fr-FR"/>
        </w:rPr>
        <w:t xml:space="preserve"> وعلى الرغم من المعلوم</w:t>
      </w:r>
      <w:r w:rsidR="006D675E">
        <w:rPr>
          <w:rFonts w:hint="cs"/>
          <w:rtl/>
          <w:lang w:val="fr-FR"/>
        </w:rPr>
        <w:t>ات</w:t>
      </w:r>
      <w:r w:rsidR="006D675E" w:rsidRPr="00C46820">
        <w:rPr>
          <w:rtl/>
          <w:lang w:val="fr-FR"/>
        </w:rPr>
        <w:t xml:space="preserve"> الشفوية التي </w:t>
      </w:r>
      <w:r w:rsidR="006D675E">
        <w:rPr>
          <w:rFonts w:hint="cs"/>
          <w:rtl/>
          <w:lang w:val="fr-FR"/>
        </w:rPr>
        <w:t xml:space="preserve">أدلى بها </w:t>
      </w:r>
      <w:r w:rsidR="006D675E" w:rsidRPr="00C46820">
        <w:rPr>
          <w:rtl/>
          <w:lang w:val="fr-FR"/>
        </w:rPr>
        <w:t>وفد الدولة الطرف، والتي تُفيد أنّ قانوناً اعتُمد في آذار</w:t>
      </w:r>
      <w:r w:rsidR="006D675E">
        <w:rPr>
          <w:rFonts w:hint="cs"/>
          <w:rtl/>
          <w:lang w:val="fr-FR"/>
        </w:rPr>
        <w:t>/</w:t>
      </w:r>
      <w:r w:rsidR="006D675E" w:rsidRPr="00C46820">
        <w:rPr>
          <w:rtl/>
          <w:lang w:val="fr-FR"/>
        </w:rPr>
        <w:t xml:space="preserve">مارس 2013 يُجرّم التعذيب </w:t>
      </w:r>
      <w:r w:rsidR="006D675E">
        <w:rPr>
          <w:rFonts w:hint="cs"/>
          <w:rtl/>
          <w:lang w:val="fr-FR"/>
        </w:rPr>
        <w:t xml:space="preserve">والرق </w:t>
      </w:r>
      <w:r w:rsidR="006D675E" w:rsidRPr="00C46820">
        <w:rPr>
          <w:rtl/>
          <w:lang w:val="fr-FR"/>
        </w:rPr>
        <w:t>في مادَته الأولى ويعتبر هاتين الجريمتين جرائم ضد الإنسانية، فإنّ اللجنة</w:t>
      </w:r>
      <w:r w:rsidR="006D675E">
        <w:rPr>
          <w:rtl/>
          <w:lang w:val="fr-FR"/>
        </w:rPr>
        <w:t xml:space="preserve"> ما </w:t>
      </w:r>
      <w:r w:rsidR="006D675E" w:rsidRPr="00C46820">
        <w:rPr>
          <w:rtl/>
          <w:lang w:val="fr-FR"/>
        </w:rPr>
        <w:t xml:space="preserve">زالت تشعر بالقلق من إمكانية </w:t>
      </w:r>
      <w:r w:rsidR="006D675E">
        <w:rPr>
          <w:rFonts w:hint="cs"/>
          <w:rtl/>
          <w:lang w:val="fr-FR"/>
        </w:rPr>
        <w:t xml:space="preserve">استمرار وجود ثغرة </w:t>
      </w:r>
      <w:r w:rsidR="006D675E" w:rsidRPr="00C46820">
        <w:rPr>
          <w:rtl/>
          <w:lang w:val="fr-FR"/>
        </w:rPr>
        <w:t xml:space="preserve">قانونية </w:t>
      </w:r>
      <w:r w:rsidR="006D675E">
        <w:rPr>
          <w:rFonts w:hint="cs"/>
          <w:rtl/>
          <w:lang w:val="fr-FR"/>
        </w:rPr>
        <w:t xml:space="preserve">تُسهِّل </w:t>
      </w:r>
      <w:r w:rsidR="006D675E" w:rsidRPr="00C46820">
        <w:rPr>
          <w:rtl/>
          <w:lang w:val="fr-FR"/>
        </w:rPr>
        <w:t>الإفلات من العقاب إذا</w:t>
      </w:r>
      <w:r w:rsidR="006D675E">
        <w:rPr>
          <w:rtl/>
          <w:lang w:val="fr-FR"/>
        </w:rPr>
        <w:t xml:space="preserve"> لم </w:t>
      </w:r>
      <w:r w:rsidR="006D675E" w:rsidRPr="00C46820">
        <w:rPr>
          <w:rtl/>
          <w:lang w:val="fr-FR"/>
        </w:rPr>
        <w:t xml:space="preserve">يتم التصديق </w:t>
      </w:r>
      <w:r w:rsidR="006D675E">
        <w:rPr>
          <w:rFonts w:hint="cs"/>
          <w:rtl/>
          <w:lang w:val="fr-FR"/>
        </w:rPr>
        <w:t xml:space="preserve">على القانون المذكور </w:t>
      </w:r>
      <w:r w:rsidR="006D675E" w:rsidRPr="00C46820">
        <w:rPr>
          <w:rtl/>
          <w:lang w:val="fr-FR"/>
        </w:rPr>
        <w:t>(المواد 1</w:t>
      </w:r>
      <w:r w:rsidR="006D675E">
        <w:rPr>
          <w:rFonts w:hint="cs"/>
          <w:rtl/>
          <w:lang w:val="fr-FR"/>
        </w:rPr>
        <w:t xml:space="preserve"> </w:t>
      </w:r>
      <w:r w:rsidR="006D675E" w:rsidRPr="00C46820">
        <w:rPr>
          <w:rtl/>
          <w:lang w:val="fr-FR"/>
        </w:rPr>
        <w:t>و4</w:t>
      </w:r>
      <w:r w:rsidR="006D675E">
        <w:rPr>
          <w:rFonts w:hint="cs"/>
          <w:rtl/>
          <w:lang w:val="fr-FR"/>
        </w:rPr>
        <w:t xml:space="preserve"> </w:t>
      </w:r>
      <w:r w:rsidR="006D675E" w:rsidRPr="00C46820">
        <w:rPr>
          <w:rtl/>
          <w:lang w:val="fr-FR"/>
        </w:rPr>
        <w:t>و14).</w:t>
      </w:r>
    </w:p>
    <w:p w:rsidR="006D675E" w:rsidRPr="00ED4D97" w:rsidRDefault="006D675E" w:rsidP="006D675E">
      <w:pPr>
        <w:pStyle w:val="SingleTxtGA"/>
        <w:rPr>
          <w:rFonts w:hint="cs"/>
          <w:b/>
          <w:bCs/>
          <w:rtl/>
          <w:lang w:val="fr-FR"/>
        </w:rPr>
      </w:pPr>
      <w:r w:rsidRPr="00ED4D97">
        <w:rPr>
          <w:rFonts w:hint="cs"/>
          <w:b/>
          <w:bCs/>
          <w:rtl/>
        </w:rPr>
        <w:tab/>
        <w:t>(أ)</w:t>
      </w:r>
      <w:r w:rsidRPr="00ED4D97">
        <w:rPr>
          <w:rFonts w:hint="cs"/>
          <w:b/>
          <w:bCs/>
          <w:rtl/>
        </w:rPr>
        <w:tab/>
      </w:r>
      <w:r w:rsidRPr="00ED4D97">
        <w:rPr>
          <w:b/>
          <w:bCs/>
          <w:rtl/>
        </w:rPr>
        <w:t xml:space="preserve">توصي اللجنة الدولة الطرف </w:t>
      </w:r>
      <w:r>
        <w:rPr>
          <w:rFonts w:hint="cs"/>
          <w:b/>
          <w:bCs/>
          <w:rtl/>
        </w:rPr>
        <w:t xml:space="preserve">بتعديل قانونها الجنائي كي تدرج فيه تعريفاً للتعذيب يشمل جميع مكوِّنات تعريف </w:t>
      </w:r>
      <w:r w:rsidRPr="00ED4D97">
        <w:rPr>
          <w:b/>
          <w:bCs/>
          <w:rtl/>
        </w:rPr>
        <w:t>التعذيب الواردة في المادة الأولى من الاتفاقية، وكذلك أحكام</w:t>
      </w:r>
      <w:r>
        <w:rPr>
          <w:rFonts w:hint="cs"/>
          <w:b/>
          <w:bCs/>
          <w:rtl/>
        </w:rPr>
        <w:t>اً</w:t>
      </w:r>
      <w:r w:rsidRPr="00ED4D97">
        <w:rPr>
          <w:b/>
          <w:bCs/>
          <w:rtl/>
        </w:rPr>
        <w:t xml:space="preserve"> تجرم أعمال التعذيب وتعاقب عليها بعقوبات تتناسب مع خطورتها</w:t>
      </w:r>
      <w:r w:rsidRPr="00ED4D97">
        <w:rPr>
          <w:rFonts w:hint="cs"/>
          <w:b/>
          <w:bCs/>
          <w:rtl/>
        </w:rPr>
        <w:t>؛</w:t>
      </w:r>
    </w:p>
    <w:p w:rsidR="006D675E" w:rsidRPr="00ED4D97" w:rsidRDefault="006D675E" w:rsidP="00426C4B">
      <w:pPr>
        <w:pStyle w:val="SingleTxtGA"/>
        <w:spacing w:line="370" w:lineRule="exact"/>
        <w:rPr>
          <w:b/>
          <w:bCs/>
          <w:rtl/>
          <w:lang w:val="fr-FR"/>
        </w:rPr>
      </w:pPr>
      <w:r w:rsidRPr="00ED4D97">
        <w:rPr>
          <w:rFonts w:hint="cs"/>
          <w:b/>
          <w:bCs/>
          <w:rtl/>
          <w:lang w:val="fr-FR"/>
        </w:rPr>
        <w:tab/>
        <w:t>(ب)</w:t>
      </w:r>
      <w:r w:rsidRPr="00ED4D97">
        <w:rPr>
          <w:rFonts w:hint="cs"/>
          <w:b/>
          <w:bCs/>
          <w:rtl/>
          <w:lang w:val="fr-FR"/>
        </w:rPr>
        <w:tab/>
      </w:r>
      <w:r w:rsidRPr="00ED4D97">
        <w:rPr>
          <w:b/>
          <w:bCs/>
          <w:rtl/>
        </w:rPr>
        <w:t xml:space="preserve">ينبغي للدولة الطرف أن تسرع في عملية الإصلاح التشريعي وأن تتخذ التدابير اللازمة </w:t>
      </w:r>
      <w:r>
        <w:rPr>
          <w:rFonts w:hint="cs"/>
          <w:b/>
          <w:bCs/>
          <w:rtl/>
        </w:rPr>
        <w:t xml:space="preserve">لإصدار </w:t>
      </w:r>
      <w:r w:rsidRPr="00ED4D97">
        <w:rPr>
          <w:b/>
          <w:bCs/>
          <w:rtl/>
        </w:rPr>
        <w:t xml:space="preserve">القانون المذكور أعلاه </w:t>
      </w:r>
      <w:r>
        <w:rPr>
          <w:rFonts w:hint="cs"/>
          <w:b/>
          <w:bCs/>
          <w:rtl/>
        </w:rPr>
        <w:t xml:space="preserve">المؤرخ </w:t>
      </w:r>
      <w:r w:rsidRPr="00ED4D97">
        <w:rPr>
          <w:b/>
          <w:bCs/>
          <w:rtl/>
        </w:rPr>
        <w:t>آذار</w:t>
      </w:r>
      <w:r>
        <w:rPr>
          <w:rFonts w:hint="cs"/>
          <w:b/>
          <w:bCs/>
          <w:rtl/>
        </w:rPr>
        <w:t xml:space="preserve">/مارس </w:t>
      </w:r>
      <w:r w:rsidRPr="00ED4D97">
        <w:rPr>
          <w:b/>
          <w:bCs/>
          <w:rtl/>
        </w:rPr>
        <w:t>2013</w:t>
      </w:r>
      <w:r w:rsidRPr="00ED4D97">
        <w:rPr>
          <w:b/>
          <w:bCs/>
          <w:rtl/>
          <w:lang w:val="fr-FR"/>
        </w:rPr>
        <w:t xml:space="preserve"> ونشره </w:t>
      </w:r>
      <w:r>
        <w:rPr>
          <w:rFonts w:hint="cs"/>
          <w:b/>
          <w:bCs/>
          <w:rtl/>
        </w:rPr>
        <w:t xml:space="preserve">لتدارك الثغرة </w:t>
      </w:r>
      <w:r w:rsidRPr="00ED4D97">
        <w:rPr>
          <w:b/>
          <w:bCs/>
          <w:rtl/>
        </w:rPr>
        <w:t>القانونية القائمة</w:t>
      </w:r>
      <w:r w:rsidRPr="00ED4D97">
        <w:rPr>
          <w:b/>
          <w:bCs/>
          <w:rtl/>
          <w:lang w:val="fr-FR"/>
        </w:rPr>
        <w:t xml:space="preserve">. ويجب على الدولة الطرف إلى جانب ذلك بذل كل الجهود المناسبة لنشر هذا القانون على نطاقٍ واسع والحرص </w:t>
      </w:r>
      <w:r>
        <w:rPr>
          <w:rFonts w:hint="cs"/>
          <w:b/>
          <w:bCs/>
          <w:rtl/>
          <w:lang w:val="fr-FR"/>
        </w:rPr>
        <w:t xml:space="preserve">بوجه خاص </w:t>
      </w:r>
      <w:r w:rsidRPr="00ED4D97">
        <w:rPr>
          <w:b/>
          <w:bCs/>
          <w:rtl/>
          <w:lang w:val="fr-FR"/>
        </w:rPr>
        <w:t>على تدريب موظفي الأمن والموظفين المسؤولين عن إنفاذ القوانين</w:t>
      </w:r>
      <w:r>
        <w:rPr>
          <w:rFonts w:hint="cs"/>
          <w:b/>
          <w:bCs/>
          <w:rtl/>
          <w:lang w:val="fr-FR"/>
        </w:rPr>
        <w:t xml:space="preserve"> عليه</w:t>
      </w:r>
      <w:r w:rsidRPr="00ED4D97">
        <w:rPr>
          <w:b/>
          <w:bCs/>
          <w:rtl/>
          <w:lang w:val="fr-FR"/>
        </w:rPr>
        <w:t>.</w:t>
      </w:r>
    </w:p>
    <w:p w:rsidR="006D675E" w:rsidRPr="00C46820" w:rsidRDefault="006D675E" w:rsidP="00426C4B">
      <w:pPr>
        <w:pStyle w:val="H23GA"/>
        <w:spacing w:line="370" w:lineRule="exact"/>
        <w:rPr>
          <w:rtl/>
          <w:lang w:val="fr-FR"/>
        </w:rPr>
      </w:pPr>
      <w:r>
        <w:rPr>
          <w:rFonts w:hint="cs"/>
          <w:rtl/>
        </w:rPr>
        <w:tab/>
      </w:r>
      <w:r>
        <w:rPr>
          <w:rFonts w:hint="cs"/>
          <w:rtl/>
        </w:rPr>
        <w:tab/>
      </w:r>
      <w:r w:rsidRPr="00C46820">
        <w:rPr>
          <w:rtl/>
        </w:rPr>
        <w:t>الادعاءات بالتعذيب وإساءة المعاملة</w:t>
      </w:r>
    </w:p>
    <w:p w:rsidR="006D675E" w:rsidRPr="00CF4550" w:rsidRDefault="00381D79" w:rsidP="00426C4B">
      <w:pPr>
        <w:pStyle w:val="SingleTxtGA"/>
        <w:spacing w:line="370" w:lineRule="exact"/>
        <w:rPr>
          <w:spacing w:val="-2"/>
          <w:rtl/>
          <w:lang w:val="fr-FR"/>
        </w:rPr>
      </w:pPr>
      <w:r>
        <w:rPr>
          <w:rFonts w:hint="cs"/>
          <w:spacing w:val="-2"/>
          <w:rtl/>
          <w:lang w:val="fr-FR"/>
        </w:rPr>
        <w:t>(</w:t>
      </w:r>
      <w:r w:rsidR="006D675E" w:rsidRPr="00CF4550">
        <w:rPr>
          <w:spacing w:val="-2"/>
          <w:rtl/>
          <w:lang w:val="fr-FR"/>
        </w:rPr>
        <w:t>8</w:t>
      </w:r>
      <w:r>
        <w:rPr>
          <w:rFonts w:hint="cs"/>
          <w:spacing w:val="-2"/>
          <w:rtl/>
          <w:lang w:val="fr-FR"/>
        </w:rPr>
        <w:t>)</w:t>
      </w:r>
      <w:r w:rsidR="006D675E" w:rsidRPr="00CF4550">
        <w:rPr>
          <w:spacing w:val="-2"/>
          <w:rtl/>
          <w:lang/>
        </w:rPr>
        <w:tab/>
        <w:t>أحاطت اللجنة علماً مع التقدير بالمادة الاستهلالية للمرسوم رقم 2007-36</w:t>
      </w:r>
      <w:r w:rsidR="006D675E" w:rsidRPr="00CF4550">
        <w:rPr>
          <w:rFonts w:hint="cs"/>
          <w:spacing w:val="-2"/>
          <w:rtl/>
          <w:lang/>
        </w:rPr>
        <w:t xml:space="preserve"> </w:t>
      </w:r>
      <w:r w:rsidR="006D675E" w:rsidRPr="00CF4550">
        <w:rPr>
          <w:spacing w:val="-2"/>
          <w:rtl/>
          <w:lang/>
        </w:rPr>
        <w:t>(</w:t>
      </w:r>
      <w:r w:rsidR="006D675E" w:rsidRPr="00CF4550">
        <w:rPr>
          <w:rFonts w:hint="cs"/>
          <w:spacing w:val="-2"/>
          <w:rtl/>
          <w:lang/>
        </w:rPr>
        <w:t>المتعلِّق ب</w:t>
      </w:r>
      <w:r w:rsidR="006D675E" w:rsidRPr="00CF4550">
        <w:rPr>
          <w:spacing w:val="-2"/>
          <w:rtl/>
          <w:lang/>
        </w:rPr>
        <w:t xml:space="preserve">تعديل المرسوم رقم 83-163 </w:t>
      </w:r>
      <w:r w:rsidR="006D675E" w:rsidRPr="00CF4550">
        <w:rPr>
          <w:rFonts w:hint="cs"/>
          <w:spacing w:val="-2"/>
          <w:rtl/>
          <w:lang/>
        </w:rPr>
        <w:t>المؤرخ</w:t>
      </w:r>
      <w:r w:rsidR="006D675E" w:rsidRPr="00CF4550">
        <w:rPr>
          <w:spacing w:val="-2"/>
          <w:rtl/>
          <w:lang/>
        </w:rPr>
        <w:t xml:space="preserve"> 9 تموز</w:t>
      </w:r>
      <w:r w:rsidR="006D675E" w:rsidRPr="00CF4550">
        <w:rPr>
          <w:rFonts w:hint="cs"/>
          <w:spacing w:val="-2"/>
          <w:rtl/>
          <w:lang/>
        </w:rPr>
        <w:t>/</w:t>
      </w:r>
      <w:r w:rsidR="006D675E" w:rsidRPr="00CF4550">
        <w:rPr>
          <w:spacing w:val="-2"/>
          <w:rtl/>
          <w:lang/>
        </w:rPr>
        <w:t xml:space="preserve">يوليه 1983 </w:t>
      </w:r>
      <w:r w:rsidR="006D675E" w:rsidRPr="00CF4550">
        <w:rPr>
          <w:rFonts w:hint="cs"/>
          <w:spacing w:val="-2"/>
          <w:rtl/>
          <w:lang/>
        </w:rPr>
        <w:t xml:space="preserve">والمتضمن </w:t>
      </w:r>
      <w:r w:rsidR="006D675E" w:rsidRPr="00CF4550">
        <w:rPr>
          <w:spacing w:val="-2"/>
          <w:rtl/>
          <w:lang/>
        </w:rPr>
        <w:t>قانون الإجراءات الجنائية</w:t>
      </w:r>
      <w:r w:rsidR="006D675E" w:rsidRPr="00CF4550">
        <w:rPr>
          <w:spacing w:val="-2"/>
          <w:rtl/>
          <w:lang w:val="fr-FR"/>
        </w:rPr>
        <w:t>)</w:t>
      </w:r>
      <w:r w:rsidR="006D675E" w:rsidRPr="00CF4550">
        <w:rPr>
          <w:rFonts w:hint="cs"/>
          <w:spacing w:val="-2"/>
          <w:rtl/>
          <w:lang w:val="fr-FR"/>
        </w:rPr>
        <w:t>،</w:t>
      </w:r>
      <w:r w:rsidR="006D675E" w:rsidRPr="00CF4550">
        <w:rPr>
          <w:spacing w:val="-2"/>
          <w:rtl/>
          <w:lang w:val="fr-FR"/>
        </w:rPr>
        <w:t xml:space="preserve"> والذي ينُص على </w:t>
      </w:r>
      <w:r w:rsidR="006D675E" w:rsidRPr="00CF4550">
        <w:rPr>
          <w:rFonts w:hint="cs"/>
          <w:spacing w:val="-2"/>
          <w:rtl/>
          <w:lang w:val="fr-FR"/>
        </w:rPr>
        <w:t>"</w:t>
      </w:r>
      <w:r w:rsidR="006D675E" w:rsidRPr="00CF4550">
        <w:rPr>
          <w:spacing w:val="-2"/>
          <w:rtl/>
          <w:lang w:val="fr-FR"/>
        </w:rPr>
        <w:t>أنّ الاعتراف الذي انتُزع تحت التعذيب</w:t>
      </w:r>
      <w:r w:rsidR="006D675E" w:rsidRPr="00CF4550">
        <w:rPr>
          <w:rFonts w:hint="cs"/>
          <w:spacing w:val="-2"/>
          <w:rtl/>
          <w:lang w:val="fr-FR"/>
        </w:rPr>
        <w:t>،</w:t>
      </w:r>
      <w:r w:rsidR="006D675E">
        <w:rPr>
          <w:spacing w:val="-2"/>
          <w:rtl/>
          <w:lang w:val="fr-FR"/>
        </w:rPr>
        <w:t xml:space="preserve"> أو </w:t>
      </w:r>
      <w:r w:rsidR="006D675E" w:rsidRPr="00CF4550">
        <w:rPr>
          <w:spacing w:val="-2"/>
          <w:rtl/>
          <w:lang w:val="fr-FR"/>
        </w:rPr>
        <w:t>العنف</w:t>
      </w:r>
      <w:r w:rsidR="006D675E">
        <w:rPr>
          <w:spacing w:val="-2"/>
          <w:rtl/>
          <w:lang w:val="fr-FR"/>
        </w:rPr>
        <w:t xml:space="preserve"> أو </w:t>
      </w:r>
      <w:r w:rsidR="006D675E" w:rsidRPr="00CF4550">
        <w:rPr>
          <w:spacing w:val="-2"/>
          <w:rtl/>
          <w:lang w:val="fr-FR"/>
        </w:rPr>
        <w:t>الإكراه ليس له قيمة</w:t>
      </w:r>
      <w:r w:rsidR="006D675E" w:rsidRPr="00CF4550">
        <w:rPr>
          <w:rFonts w:hint="cs"/>
          <w:spacing w:val="-2"/>
          <w:rtl/>
          <w:lang w:val="fr-FR"/>
        </w:rPr>
        <w:t>"</w:t>
      </w:r>
      <w:r w:rsidR="006D675E" w:rsidRPr="00CF4550">
        <w:rPr>
          <w:spacing w:val="-2"/>
          <w:rtl/>
          <w:lang w:val="fr-FR"/>
        </w:rPr>
        <w:t xml:space="preserve">، وكذلك بالمعلومة التي تُفيد أنّ المحكمة العليا قد رفضت </w:t>
      </w:r>
      <w:r w:rsidR="006D675E" w:rsidRPr="00CF4550">
        <w:rPr>
          <w:rFonts w:hint="cs"/>
          <w:spacing w:val="-2"/>
          <w:rtl/>
          <w:lang w:val="fr-FR"/>
        </w:rPr>
        <w:t>في</w:t>
      </w:r>
      <w:r w:rsidR="006D675E">
        <w:rPr>
          <w:rFonts w:hint="cs"/>
          <w:spacing w:val="-2"/>
          <w:rtl/>
          <w:lang w:val="fr-FR"/>
        </w:rPr>
        <w:t xml:space="preserve"> عام</w:t>
      </w:r>
      <w:r w:rsidR="006D675E">
        <w:rPr>
          <w:spacing w:val="-2"/>
          <w:rtl/>
          <w:lang w:val="fr-FR"/>
        </w:rPr>
        <w:t> </w:t>
      </w:r>
      <w:r w:rsidR="006D675E" w:rsidRPr="00CF4550">
        <w:rPr>
          <w:rFonts w:hint="cs"/>
          <w:spacing w:val="-2"/>
          <w:rtl/>
          <w:lang w:val="fr-FR"/>
        </w:rPr>
        <w:t xml:space="preserve">2007 </w:t>
      </w:r>
      <w:r w:rsidR="006D675E" w:rsidRPr="00CF4550">
        <w:rPr>
          <w:spacing w:val="-2"/>
          <w:rtl/>
          <w:lang w:val="fr-FR"/>
        </w:rPr>
        <w:t>اعترافات انتُزعت تحت التعذيب في محاكمة</w:t>
      </w:r>
      <w:r w:rsidR="006D675E">
        <w:rPr>
          <w:spacing w:val="-2"/>
          <w:rtl/>
          <w:lang w:val="fr-FR"/>
        </w:rPr>
        <w:t xml:space="preserve"> ما </w:t>
      </w:r>
      <w:r w:rsidR="006D675E" w:rsidRPr="00CF4550">
        <w:rPr>
          <w:spacing w:val="-2"/>
          <w:rtl/>
          <w:lang w:val="fr-FR"/>
        </w:rPr>
        <w:t xml:space="preserve">يسمى </w:t>
      </w:r>
      <w:r w:rsidR="006D675E" w:rsidRPr="00CF4550">
        <w:rPr>
          <w:rFonts w:hint="cs"/>
          <w:spacing w:val="-2"/>
          <w:rtl/>
          <w:lang w:val="fr-FR"/>
        </w:rPr>
        <w:t>"</w:t>
      </w:r>
      <w:r w:rsidR="006D675E" w:rsidRPr="00CF4550">
        <w:rPr>
          <w:spacing w:val="-2"/>
          <w:rtl/>
          <w:lang w:val="fr-FR"/>
        </w:rPr>
        <w:t>السلفي</w:t>
      </w:r>
      <w:r w:rsidR="006D675E" w:rsidRPr="00CF4550">
        <w:rPr>
          <w:rFonts w:hint="cs"/>
          <w:spacing w:val="-2"/>
          <w:rtl/>
          <w:lang w:val="fr-FR"/>
        </w:rPr>
        <w:t>و</w:t>
      </w:r>
      <w:r w:rsidR="006D675E" w:rsidRPr="00CF4550">
        <w:rPr>
          <w:spacing w:val="-2"/>
          <w:rtl/>
          <w:lang w:val="fr-FR"/>
        </w:rPr>
        <w:t>ن</w:t>
      </w:r>
      <w:r w:rsidR="006D675E" w:rsidRPr="00CF4550">
        <w:rPr>
          <w:rFonts w:hint="cs"/>
          <w:spacing w:val="-2"/>
          <w:rtl/>
          <w:lang w:val="fr-FR"/>
        </w:rPr>
        <w:t>"</w:t>
      </w:r>
      <w:r w:rsidR="006D675E" w:rsidRPr="00CF4550">
        <w:rPr>
          <w:spacing w:val="-2"/>
          <w:rtl/>
          <w:lang w:val="fr-FR"/>
        </w:rPr>
        <w:t>، وهو</w:t>
      </w:r>
      <w:r w:rsidR="006D675E">
        <w:rPr>
          <w:spacing w:val="-2"/>
          <w:rtl/>
          <w:lang w:val="fr-FR"/>
        </w:rPr>
        <w:t xml:space="preserve"> ما </w:t>
      </w:r>
      <w:r w:rsidR="006D675E" w:rsidRPr="00CF4550">
        <w:rPr>
          <w:spacing w:val="-2"/>
          <w:rtl/>
          <w:lang w:val="fr-FR"/>
        </w:rPr>
        <w:t xml:space="preserve">سمح بتخفيف أحكام بعض المتهمين وتبرئة البعض الآخر. وتشير اللجنة </w:t>
      </w:r>
      <w:r w:rsidR="006D675E" w:rsidRPr="00CF4550">
        <w:rPr>
          <w:rFonts w:hint="cs"/>
          <w:spacing w:val="-2"/>
          <w:rtl/>
          <w:lang w:val="fr-FR"/>
        </w:rPr>
        <w:t>مع ذلك</w:t>
      </w:r>
      <w:r w:rsidR="006D675E" w:rsidRPr="00CF4550">
        <w:rPr>
          <w:spacing w:val="-2"/>
          <w:rtl/>
          <w:lang w:val="fr-FR"/>
        </w:rPr>
        <w:t xml:space="preserve"> إلى أنّ هذه المعلومة تظهر استخدام التعذيب والمعاملة السيئة في مراكز الاحتجاز،</w:t>
      </w:r>
      <w:r w:rsidR="006D675E">
        <w:rPr>
          <w:spacing w:val="-2"/>
          <w:rtl/>
          <w:lang w:val="fr-FR"/>
        </w:rPr>
        <w:t xml:space="preserve"> ولا </w:t>
      </w:r>
      <w:r w:rsidR="006D675E" w:rsidRPr="00CF4550">
        <w:rPr>
          <w:spacing w:val="-2"/>
          <w:rtl/>
          <w:lang w:val="fr-FR"/>
        </w:rPr>
        <w:t>سيما غير الرسمية منها.</w:t>
      </w:r>
      <w:r w:rsidR="006D675E">
        <w:rPr>
          <w:spacing w:val="-2"/>
          <w:rtl/>
          <w:lang w:val="fr-FR"/>
        </w:rPr>
        <w:t xml:space="preserve"> وإذ </w:t>
      </w:r>
      <w:r w:rsidR="006D675E" w:rsidRPr="00CF4550">
        <w:rPr>
          <w:spacing w:val="-2"/>
          <w:rtl/>
          <w:lang/>
        </w:rPr>
        <w:t>تحيط اللجنة علماً</w:t>
      </w:r>
      <w:r w:rsidR="006D675E" w:rsidRPr="00CF4550">
        <w:rPr>
          <w:spacing w:val="-2"/>
          <w:rtl/>
          <w:lang w:val="fr-FR"/>
        </w:rPr>
        <w:t xml:space="preserve"> بالقانون رقم 2010-007 </w:t>
      </w:r>
      <w:r w:rsidR="006D675E" w:rsidRPr="00CF4550">
        <w:rPr>
          <w:rFonts w:hint="cs"/>
          <w:spacing w:val="-2"/>
          <w:rtl/>
          <w:lang w:val="fr-FR"/>
        </w:rPr>
        <w:t xml:space="preserve">المؤرخ </w:t>
      </w:r>
      <w:r w:rsidR="006D675E" w:rsidRPr="00CF4550">
        <w:rPr>
          <w:spacing w:val="-2"/>
          <w:rtl/>
          <w:lang w:val="fr-FR"/>
        </w:rPr>
        <w:t>20 كانون الثاني</w:t>
      </w:r>
      <w:r w:rsidR="006D675E" w:rsidRPr="00CF4550">
        <w:rPr>
          <w:rFonts w:hint="cs"/>
          <w:spacing w:val="-2"/>
          <w:rtl/>
          <w:lang w:val="fr-FR"/>
        </w:rPr>
        <w:t>/ يناير </w:t>
      </w:r>
      <w:r w:rsidR="006D675E" w:rsidRPr="00CF4550">
        <w:rPr>
          <w:spacing w:val="-2"/>
          <w:rtl/>
          <w:lang w:val="fr-FR"/>
        </w:rPr>
        <w:t xml:space="preserve">2010 </w:t>
      </w:r>
      <w:r w:rsidR="006D675E" w:rsidRPr="00CF4550">
        <w:rPr>
          <w:rFonts w:hint="cs"/>
          <w:spacing w:val="-2"/>
          <w:rtl/>
          <w:lang w:val="fr-FR"/>
        </w:rPr>
        <w:t>المتضمن النظام الأساسي ل</w:t>
      </w:r>
      <w:r w:rsidR="006D675E" w:rsidRPr="00CF4550">
        <w:rPr>
          <w:spacing w:val="-2"/>
          <w:rtl/>
          <w:lang w:val="fr-FR"/>
        </w:rPr>
        <w:t>لشرطة يحظر، في المادة 15</w:t>
      </w:r>
      <w:r w:rsidR="006D675E" w:rsidRPr="00CF4550">
        <w:rPr>
          <w:rFonts w:hint="cs"/>
          <w:spacing w:val="-2"/>
          <w:rtl/>
          <w:lang w:val="fr-FR"/>
        </w:rPr>
        <w:t xml:space="preserve"> منه</w:t>
      </w:r>
      <w:r w:rsidR="006D675E" w:rsidRPr="00CF4550">
        <w:rPr>
          <w:spacing w:val="-2"/>
          <w:rtl/>
          <w:lang w:val="fr-FR"/>
        </w:rPr>
        <w:t xml:space="preserve">، </w:t>
      </w:r>
      <w:r w:rsidR="006D675E" w:rsidRPr="00CF4550">
        <w:rPr>
          <w:rFonts w:hint="cs"/>
          <w:spacing w:val="-2"/>
          <w:rtl/>
          <w:lang w:val="fr-FR"/>
        </w:rPr>
        <w:t>"</w:t>
      </w:r>
      <w:r w:rsidR="006D675E">
        <w:rPr>
          <w:rFonts w:hint="cs"/>
          <w:spacing w:val="-2"/>
          <w:rtl/>
          <w:lang w:val="fr-FR"/>
        </w:rPr>
        <w:t>ا</w:t>
      </w:r>
      <w:r w:rsidR="006D675E" w:rsidRPr="00CF4550">
        <w:rPr>
          <w:spacing w:val="-2"/>
          <w:rtl/>
          <w:lang w:val="fr-FR"/>
        </w:rPr>
        <w:t xml:space="preserve">لمعاملة </w:t>
      </w:r>
      <w:r w:rsidR="006D675E" w:rsidRPr="00CF4550">
        <w:rPr>
          <w:rFonts w:hint="cs"/>
          <w:spacing w:val="-2"/>
          <w:rtl/>
          <w:lang w:val="fr-FR"/>
        </w:rPr>
        <w:t>ال</w:t>
      </w:r>
      <w:r w:rsidR="006D675E" w:rsidRPr="00CF4550">
        <w:rPr>
          <w:spacing w:val="-2"/>
          <w:rtl/>
          <w:lang w:val="fr-FR"/>
        </w:rPr>
        <w:t>قاسية</w:t>
      </w:r>
      <w:r w:rsidR="006D675E">
        <w:rPr>
          <w:spacing w:val="-2"/>
          <w:rtl/>
          <w:lang w:val="fr-FR"/>
        </w:rPr>
        <w:t xml:space="preserve"> أو </w:t>
      </w:r>
      <w:r w:rsidR="006D675E" w:rsidRPr="00CF4550">
        <w:rPr>
          <w:rFonts w:hint="cs"/>
          <w:spacing w:val="-2"/>
          <w:rtl/>
          <w:lang w:val="fr-FR"/>
        </w:rPr>
        <w:t>ال</w:t>
      </w:r>
      <w:r w:rsidR="006D675E" w:rsidRPr="00CF4550">
        <w:rPr>
          <w:spacing w:val="-2"/>
          <w:rtl/>
          <w:lang w:val="fr-FR"/>
        </w:rPr>
        <w:t xml:space="preserve">مهينة </w:t>
      </w:r>
      <w:r w:rsidR="006D675E" w:rsidRPr="00CF4550">
        <w:rPr>
          <w:rFonts w:hint="cs"/>
          <w:spacing w:val="-2"/>
          <w:rtl/>
          <w:lang w:val="fr-FR"/>
        </w:rPr>
        <w:t xml:space="preserve">التي </w:t>
      </w:r>
      <w:r w:rsidR="006D675E" w:rsidRPr="00CF4550">
        <w:rPr>
          <w:spacing w:val="-2"/>
          <w:rtl/>
          <w:lang w:val="fr-FR"/>
        </w:rPr>
        <w:t>تُشكّل خرقاً لحقوق الشخص</w:t>
      </w:r>
      <w:r w:rsidR="006D675E" w:rsidRPr="00CF4550">
        <w:rPr>
          <w:rFonts w:hint="cs"/>
          <w:spacing w:val="-2"/>
          <w:rtl/>
          <w:lang w:val="fr-FR"/>
        </w:rPr>
        <w:t>"</w:t>
      </w:r>
      <w:r w:rsidR="006D675E" w:rsidRPr="00CF4550">
        <w:rPr>
          <w:spacing w:val="-2"/>
          <w:rtl/>
          <w:lang w:val="fr-FR"/>
        </w:rPr>
        <w:t xml:space="preserve">، </w:t>
      </w:r>
      <w:r w:rsidR="006D675E">
        <w:rPr>
          <w:rFonts w:hint="cs"/>
          <w:spacing w:val="-2"/>
          <w:rtl/>
          <w:lang w:val="fr-FR"/>
        </w:rPr>
        <w:t>ت</w:t>
      </w:r>
      <w:r w:rsidR="006D675E" w:rsidRPr="00CF4550">
        <w:rPr>
          <w:spacing w:val="-2"/>
          <w:rtl/>
          <w:lang w:val="fr-FR"/>
        </w:rPr>
        <w:t xml:space="preserve">بدي اللجنة أيضاً قلقها حيال تلقي معلومات موثوقة مفادها أنّ مُحتجزَيْن </w:t>
      </w:r>
      <w:r w:rsidR="006D675E" w:rsidRPr="00CF4550">
        <w:rPr>
          <w:rFonts w:hint="cs"/>
          <w:spacing w:val="-2"/>
          <w:rtl/>
          <w:lang w:val="fr-FR"/>
        </w:rPr>
        <w:t xml:space="preserve">على الأقل توفيا </w:t>
      </w:r>
      <w:r w:rsidR="006D675E" w:rsidRPr="00CF4550">
        <w:rPr>
          <w:spacing w:val="-2"/>
          <w:rtl/>
          <w:lang w:val="fr-FR"/>
        </w:rPr>
        <w:t>جرّاء عمليات التعذيب (المواد 2، و11، و15، و16).</w:t>
      </w:r>
    </w:p>
    <w:p w:rsidR="006D675E" w:rsidRPr="00ED4D97" w:rsidRDefault="006D675E" w:rsidP="00A83CF9">
      <w:pPr>
        <w:pStyle w:val="SingleTxtGA"/>
        <w:keepNext/>
        <w:keepLines/>
        <w:rPr>
          <w:b/>
          <w:bCs/>
          <w:rtl/>
          <w:lang w:val="fr-FR"/>
        </w:rPr>
      </w:pPr>
      <w:r>
        <w:rPr>
          <w:rFonts w:hint="cs"/>
          <w:rtl/>
          <w:lang w:val="fr-FR"/>
        </w:rPr>
        <w:tab/>
      </w:r>
      <w:r w:rsidRPr="00ED4D97">
        <w:rPr>
          <w:b/>
          <w:bCs/>
          <w:rtl/>
          <w:lang w:val="fr-FR"/>
        </w:rPr>
        <w:t>ينبغي للدولة الطرف أن تقوم</w:t>
      </w:r>
      <w:r>
        <w:rPr>
          <w:b/>
          <w:bCs/>
          <w:rtl/>
          <w:lang w:val="fr-FR"/>
        </w:rPr>
        <w:t xml:space="preserve"> بما </w:t>
      </w:r>
      <w:r w:rsidRPr="00ED4D97">
        <w:rPr>
          <w:b/>
          <w:bCs/>
          <w:rtl/>
          <w:lang w:val="fr-FR"/>
        </w:rPr>
        <w:t xml:space="preserve">يلي: </w:t>
      </w:r>
    </w:p>
    <w:p w:rsidR="006D675E" w:rsidRPr="00ED4D97" w:rsidRDefault="006D675E" w:rsidP="00A83CF9">
      <w:pPr>
        <w:pStyle w:val="SingleTxtGA"/>
        <w:rPr>
          <w:b/>
          <w:bCs/>
          <w:rtl/>
          <w:lang w:val="fr-FR"/>
        </w:rPr>
      </w:pPr>
      <w:r w:rsidRPr="00ED4D97">
        <w:rPr>
          <w:rFonts w:hint="cs"/>
          <w:b/>
          <w:bCs/>
          <w:rtl/>
          <w:lang w:val="fr-FR"/>
        </w:rPr>
        <w:tab/>
        <w:t>(أ)</w:t>
      </w:r>
      <w:r w:rsidRPr="00ED4D97">
        <w:rPr>
          <w:rFonts w:hint="cs"/>
          <w:b/>
          <w:bCs/>
          <w:rtl/>
          <w:lang w:val="fr-FR"/>
        </w:rPr>
        <w:tab/>
      </w:r>
      <w:r w:rsidRPr="00ED4D97">
        <w:rPr>
          <w:b/>
          <w:bCs/>
          <w:rtl/>
        </w:rPr>
        <w:t xml:space="preserve">إصدار تعليمات واضحة </w:t>
      </w:r>
      <w:r>
        <w:rPr>
          <w:rFonts w:hint="cs"/>
          <w:b/>
          <w:bCs/>
          <w:rtl/>
        </w:rPr>
        <w:t xml:space="preserve">وحاسمة </w:t>
      </w:r>
      <w:r w:rsidRPr="00ED4D97">
        <w:rPr>
          <w:b/>
          <w:bCs/>
          <w:rtl/>
        </w:rPr>
        <w:t>إلى مسؤولي قوات الأمن (الشرطة والدرك) بشأن الحظر المطلق للتعذيب وتجريمه،</w:t>
      </w:r>
      <w:r w:rsidRPr="00ED4D97">
        <w:rPr>
          <w:b/>
          <w:bCs/>
          <w:rtl/>
          <w:lang w:val="fr-FR"/>
        </w:rPr>
        <w:t xml:space="preserve"> وملاحقة مرتكبي هذه الأعمال وفرض عقوبات عليهم تتناسب مع جسامة الجريمة؛</w:t>
      </w:r>
    </w:p>
    <w:p w:rsidR="006D675E" w:rsidRPr="00ED4D97" w:rsidRDefault="006D675E" w:rsidP="00A83CF9">
      <w:pPr>
        <w:pStyle w:val="SingleTxtGA"/>
        <w:rPr>
          <w:rFonts w:hint="cs"/>
          <w:b/>
          <w:bCs/>
          <w:rtl/>
          <w:lang w:val="fr-FR"/>
        </w:rPr>
      </w:pPr>
      <w:r w:rsidRPr="00ED4D97">
        <w:rPr>
          <w:rFonts w:hint="cs"/>
          <w:b/>
          <w:bCs/>
          <w:rtl/>
          <w:lang w:val="fr-FR"/>
        </w:rPr>
        <w:tab/>
        <w:t>(ب)</w:t>
      </w:r>
      <w:r w:rsidRPr="00ED4D97">
        <w:rPr>
          <w:rFonts w:hint="cs"/>
          <w:b/>
          <w:bCs/>
          <w:rtl/>
          <w:lang w:val="fr-FR"/>
        </w:rPr>
        <w:tab/>
      </w:r>
      <w:r w:rsidRPr="00ED4D97">
        <w:rPr>
          <w:b/>
          <w:bCs/>
          <w:rtl/>
        </w:rPr>
        <w:t xml:space="preserve">اتخاذ تدابير فعالة للإسراع في إجراء تحقيقات </w:t>
      </w:r>
      <w:r>
        <w:rPr>
          <w:rFonts w:hint="cs"/>
          <w:b/>
          <w:bCs/>
          <w:rtl/>
        </w:rPr>
        <w:t xml:space="preserve">جنائية </w:t>
      </w:r>
      <w:r w:rsidRPr="00ED4D97">
        <w:rPr>
          <w:b/>
          <w:bCs/>
          <w:rtl/>
        </w:rPr>
        <w:t xml:space="preserve">شاملة ومستقلة ومحايدة بشأن جميع ادعاءات التعذيب وإساءة المعاملة، وإحالة الجناة إلى العدالة، التي يتعين عليها </w:t>
      </w:r>
      <w:r>
        <w:rPr>
          <w:rFonts w:hint="cs"/>
          <w:b/>
          <w:bCs/>
          <w:rtl/>
        </w:rPr>
        <w:t xml:space="preserve">إنزال </w:t>
      </w:r>
      <w:r w:rsidRPr="00ED4D97">
        <w:rPr>
          <w:b/>
          <w:bCs/>
          <w:rtl/>
        </w:rPr>
        <w:t>العقوبات المناسبة</w:t>
      </w:r>
      <w:r>
        <w:rPr>
          <w:rFonts w:hint="cs"/>
          <w:b/>
          <w:bCs/>
          <w:rtl/>
          <w:lang w:val="fr-FR"/>
        </w:rPr>
        <w:t xml:space="preserve"> عليهم؛</w:t>
      </w:r>
    </w:p>
    <w:p w:rsidR="006D675E" w:rsidRPr="00ED4D97" w:rsidRDefault="006D675E" w:rsidP="00A83CF9">
      <w:pPr>
        <w:pStyle w:val="SingleTxtGA"/>
        <w:rPr>
          <w:b/>
          <w:bCs/>
          <w:rtl/>
          <w:lang w:val="fr-FR"/>
        </w:rPr>
      </w:pPr>
      <w:r w:rsidRPr="00ED4D97">
        <w:rPr>
          <w:rFonts w:hint="cs"/>
          <w:b/>
          <w:bCs/>
          <w:rtl/>
          <w:lang w:val="fr-FR"/>
        </w:rPr>
        <w:tab/>
        <w:t>(ج)</w:t>
      </w:r>
      <w:r w:rsidRPr="00ED4D97">
        <w:rPr>
          <w:rFonts w:hint="cs"/>
          <w:b/>
          <w:bCs/>
          <w:rtl/>
          <w:lang w:val="fr-FR"/>
        </w:rPr>
        <w:tab/>
      </w:r>
      <w:r w:rsidRPr="00ED4D97">
        <w:rPr>
          <w:b/>
          <w:bCs/>
          <w:rtl/>
          <w:lang/>
        </w:rPr>
        <w:t>اتخاذ التدابير اللازمة لضمان عدم اعتماد الاعترافات</w:t>
      </w:r>
      <w:r w:rsidRPr="00ED4D97">
        <w:rPr>
          <w:b/>
          <w:bCs/>
          <w:rtl/>
          <w:lang w:val="fr-FR"/>
        </w:rPr>
        <w:t xml:space="preserve"> التي انتزعت تحت التعذيب </w:t>
      </w:r>
      <w:r>
        <w:rPr>
          <w:rFonts w:hint="cs"/>
          <w:b/>
          <w:bCs/>
          <w:rtl/>
          <w:lang w:val="fr-FR"/>
        </w:rPr>
        <w:t>دليلاً</w:t>
      </w:r>
      <w:r w:rsidRPr="00ED4D97">
        <w:rPr>
          <w:b/>
          <w:bCs/>
          <w:rtl/>
          <w:lang w:val="fr-FR"/>
        </w:rPr>
        <w:t xml:space="preserve"> ضد </w:t>
      </w:r>
      <w:r>
        <w:rPr>
          <w:rFonts w:hint="cs"/>
          <w:b/>
          <w:bCs/>
          <w:rtl/>
          <w:lang w:val="fr-FR"/>
        </w:rPr>
        <w:t xml:space="preserve">المعترفين </w:t>
      </w:r>
      <w:r w:rsidRPr="00ED4D97">
        <w:rPr>
          <w:b/>
          <w:bCs/>
          <w:rtl/>
          <w:lang w:val="fr-FR"/>
        </w:rPr>
        <w:t>أثناء عملية التحقيق</w:t>
      </w:r>
      <w:r>
        <w:rPr>
          <w:b/>
          <w:bCs/>
          <w:rtl/>
          <w:lang w:val="fr-FR"/>
        </w:rPr>
        <w:t xml:space="preserve"> أو </w:t>
      </w:r>
      <w:r w:rsidRPr="00ED4D97">
        <w:rPr>
          <w:b/>
          <w:bCs/>
          <w:rtl/>
          <w:lang w:val="fr-FR"/>
        </w:rPr>
        <w:t xml:space="preserve">المحاكمة؛ </w:t>
      </w:r>
    </w:p>
    <w:p w:rsidR="006D675E" w:rsidRPr="00ED4D97" w:rsidRDefault="006D675E" w:rsidP="00A83CF9">
      <w:pPr>
        <w:pStyle w:val="SingleTxtGA"/>
        <w:rPr>
          <w:b/>
          <w:bCs/>
          <w:rtl/>
          <w:lang w:val="fr-FR"/>
        </w:rPr>
      </w:pPr>
      <w:r w:rsidRPr="00ED4D97">
        <w:rPr>
          <w:rFonts w:hint="cs"/>
          <w:b/>
          <w:bCs/>
          <w:rtl/>
          <w:lang w:val="fr-FR"/>
        </w:rPr>
        <w:tab/>
        <w:t>(د)</w:t>
      </w:r>
      <w:r w:rsidRPr="00ED4D97">
        <w:rPr>
          <w:rFonts w:hint="cs"/>
          <w:b/>
          <w:bCs/>
          <w:rtl/>
          <w:lang w:val="fr-FR"/>
        </w:rPr>
        <w:tab/>
      </w:r>
      <w:r w:rsidRPr="00ED4D97">
        <w:rPr>
          <w:b/>
          <w:bCs/>
          <w:rtl/>
          <w:lang w:val="fr-FR"/>
        </w:rPr>
        <w:t xml:space="preserve">توعية قضاة محاكم الصلح بضرورة فتح تحقيق عندما ترد إليهم </w:t>
      </w:r>
      <w:r>
        <w:rPr>
          <w:rFonts w:hint="cs"/>
          <w:b/>
          <w:bCs/>
          <w:rtl/>
          <w:lang w:val="fr-FR"/>
        </w:rPr>
        <w:t>ا</w:t>
      </w:r>
      <w:r w:rsidRPr="00ED4D97">
        <w:rPr>
          <w:b/>
          <w:bCs/>
          <w:rtl/>
          <w:lang w:val="fr-FR"/>
        </w:rPr>
        <w:t>دّعاءات</w:t>
      </w:r>
      <w:r>
        <w:rPr>
          <w:rFonts w:hint="cs"/>
          <w:b/>
          <w:bCs/>
          <w:rtl/>
          <w:lang w:val="fr-FR"/>
        </w:rPr>
        <w:t> </w:t>
      </w:r>
      <w:r w:rsidRPr="00ED4D97">
        <w:rPr>
          <w:b/>
          <w:bCs/>
          <w:rtl/>
          <w:lang w:val="fr-FR"/>
        </w:rPr>
        <w:t>بالتعذيب.</w:t>
      </w:r>
    </w:p>
    <w:p w:rsidR="006D675E" w:rsidRPr="00C46820" w:rsidRDefault="006D675E" w:rsidP="00A83CF9">
      <w:pPr>
        <w:pStyle w:val="H23GA"/>
        <w:rPr>
          <w:rtl/>
          <w:lang w:val="fr-FR"/>
        </w:rPr>
      </w:pPr>
      <w:r>
        <w:rPr>
          <w:rFonts w:hint="cs"/>
          <w:rtl/>
          <w:lang w:val="fr-FR"/>
        </w:rPr>
        <w:tab/>
      </w:r>
      <w:r>
        <w:rPr>
          <w:rFonts w:hint="cs"/>
          <w:rtl/>
          <w:lang w:val="fr-FR"/>
        </w:rPr>
        <w:tab/>
      </w:r>
      <w:r w:rsidRPr="00C46820">
        <w:rPr>
          <w:rtl/>
          <w:lang w:val="fr-FR"/>
        </w:rPr>
        <w:t>إنفاذ المحاكم المحلية المباشر للاتفاقية</w:t>
      </w:r>
    </w:p>
    <w:p w:rsidR="006D675E" w:rsidRPr="00C46820" w:rsidRDefault="00426C4B" w:rsidP="00A83CF9">
      <w:pPr>
        <w:pStyle w:val="SingleTxtGA"/>
        <w:rPr>
          <w:rtl/>
          <w:lang w:val="fr-FR"/>
        </w:rPr>
      </w:pPr>
      <w:r>
        <w:rPr>
          <w:rFonts w:hint="cs"/>
          <w:rtl/>
          <w:lang w:val="fr-FR"/>
        </w:rPr>
        <w:t>(</w:t>
      </w:r>
      <w:r w:rsidR="006D675E" w:rsidRPr="00C46820">
        <w:rPr>
          <w:rtl/>
          <w:lang w:val="fr-FR"/>
        </w:rPr>
        <w:t>9</w:t>
      </w:r>
      <w:r>
        <w:rPr>
          <w:rFonts w:hint="cs"/>
          <w:rtl/>
          <w:lang w:val="fr-FR"/>
        </w:rPr>
        <w:t>)</w:t>
      </w:r>
      <w:r w:rsidR="006D675E" w:rsidRPr="00C46820">
        <w:rPr>
          <w:rtl/>
          <w:lang w:val="fr-FR"/>
        </w:rPr>
        <w:tab/>
        <w:t xml:space="preserve">تحيط اللجنة علماً باهتمام بإمكانية </w:t>
      </w:r>
      <w:r w:rsidR="006D675E">
        <w:rPr>
          <w:rFonts w:hint="cs"/>
          <w:rtl/>
          <w:lang w:val="fr-FR"/>
        </w:rPr>
        <w:t>الاستظهار</w:t>
      </w:r>
      <w:r w:rsidR="006D675E" w:rsidRPr="00C46820">
        <w:rPr>
          <w:rtl/>
          <w:lang w:val="fr-FR"/>
        </w:rPr>
        <w:t xml:space="preserve"> بالاتفاقية أمام المحاكم المحلية للدولة</w:t>
      </w:r>
      <w:r>
        <w:rPr>
          <w:rFonts w:hint="cs"/>
          <w:rtl/>
          <w:lang w:val="fr-FR"/>
        </w:rPr>
        <w:t> </w:t>
      </w:r>
      <w:r w:rsidR="006D675E" w:rsidRPr="00C46820">
        <w:rPr>
          <w:rtl/>
          <w:lang w:val="fr-FR"/>
        </w:rPr>
        <w:t>الطرف و</w:t>
      </w:r>
      <w:r w:rsidR="006D675E">
        <w:rPr>
          <w:rFonts w:hint="cs"/>
          <w:rtl/>
          <w:lang w:val="fr-FR"/>
        </w:rPr>
        <w:t>ب</w:t>
      </w:r>
      <w:r w:rsidR="006D675E" w:rsidRPr="00C46820">
        <w:rPr>
          <w:rtl/>
          <w:lang w:val="fr-FR"/>
        </w:rPr>
        <w:t xml:space="preserve">تمتع </w:t>
      </w:r>
      <w:r w:rsidR="006D675E">
        <w:rPr>
          <w:rFonts w:hint="cs"/>
          <w:rtl/>
          <w:lang w:val="fr-FR"/>
        </w:rPr>
        <w:t xml:space="preserve">الاتفاقية </w:t>
      </w:r>
      <w:r w:rsidR="006D675E" w:rsidRPr="00C46820">
        <w:rPr>
          <w:rtl/>
          <w:lang w:val="fr-FR"/>
        </w:rPr>
        <w:t xml:space="preserve">بمركز أعلى من القوانين المحلية في الترتيب الهرمي، </w:t>
      </w:r>
      <w:r w:rsidR="006D675E">
        <w:rPr>
          <w:rFonts w:hint="cs"/>
          <w:rtl/>
          <w:lang w:val="fr-FR"/>
        </w:rPr>
        <w:t>بيد أنها لا</w:t>
      </w:r>
      <w:r w:rsidR="006D675E">
        <w:rPr>
          <w:rtl/>
          <w:lang w:val="fr-FR"/>
        </w:rPr>
        <w:t> </w:t>
      </w:r>
      <w:r w:rsidR="006D675E" w:rsidRPr="00C46820">
        <w:rPr>
          <w:rtl/>
          <w:lang w:val="fr-FR"/>
        </w:rPr>
        <w:t xml:space="preserve">زالت تشعر بالقلق بشأن </w:t>
      </w:r>
      <w:r w:rsidR="006D675E">
        <w:rPr>
          <w:rFonts w:hint="cs"/>
          <w:rtl/>
          <w:lang w:val="fr-FR"/>
        </w:rPr>
        <w:t>المعلومات التي</w:t>
      </w:r>
      <w:r w:rsidR="006D675E" w:rsidRPr="00C46820">
        <w:rPr>
          <w:rtl/>
          <w:lang w:val="fr-FR"/>
        </w:rPr>
        <w:t xml:space="preserve"> تُفيد </w:t>
      </w:r>
      <w:r w:rsidR="006D675E">
        <w:rPr>
          <w:rFonts w:hint="cs"/>
          <w:rtl/>
          <w:lang w:val="fr-FR"/>
        </w:rPr>
        <w:t xml:space="preserve">بأن </w:t>
      </w:r>
      <w:r w:rsidR="006D675E" w:rsidRPr="00C46820">
        <w:rPr>
          <w:rtl/>
          <w:lang w:val="fr-FR"/>
        </w:rPr>
        <w:t>ممارسات التعذيب</w:t>
      </w:r>
      <w:r w:rsidR="006D675E">
        <w:rPr>
          <w:rtl/>
          <w:lang w:val="fr-FR"/>
        </w:rPr>
        <w:t xml:space="preserve"> لا </w:t>
      </w:r>
      <w:r w:rsidR="006D675E">
        <w:rPr>
          <w:rFonts w:hint="cs"/>
          <w:rtl/>
          <w:lang w:val="fr-FR"/>
        </w:rPr>
        <w:t>يعاقب عليها إلا</w:t>
      </w:r>
      <w:r w:rsidR="006D675E">
        <w:rPr>
          <w:rtl/>
          <w:lang w:val="fr-FR"/>
        </w:rPr>
        <w:t> </w:t>
      </w:r>
      <w:r w:rsidR="006D675E">
        <w:rPr>
          <w:rFonts w:hint="cs"/>
          <w:rtl/>
          <w:lang w:val="fr-FR"/>
        </w:rPr>
        <w:t>بوصفها حالات ضرب وجرح أو</w:t>
      </w:r>
      <w:r w:rsidR="006D675E">
        <w:rPr>
          <w:rtl/>
          <w:lang w:val="fr-FR"/>
        </w:rPr>
        <w:t> </w:t>
      </w:r>
      <w:r w:rsidR="006D675E">
        <w:rPr>
          <w:rFonts w:hint="cs"/>
          <w:rtl/>
          <w:lang w:val="fr-FR"/>
        </w:rPr>
        <w:t xml:space="preserve">قتل في </w:t>
      </w:r>
      <w:r w:rsidR="006D675E" w:rsidRPr="00C46820">
        <w:rPr>
          <w:rtl/>
          <w:lang w:val="fr-FR"/>
        </w:rPr>
        <w:t xml:space="preserve">ظل غياب دعوى جنائية مستقلّة. </w:t>
      </w:r>
      <w:r w:rsidR="006D675E">
        <w:rPr>
          <w:rFonts w:hint="cs"/>
          <w:rtl/>
          <w:lang w:val="fr-FR"/>
        </w:rPr>
        <w:t>و</w:t>
      </w:r>
      <w:r w:rsidR="006D675E" w:rsidRPr="00C46820">
        <w:rPr>
          <w:rtl/>
        </w:rPr>
        <w:t xml:space="preserve">تعرب اللجنة عن أسفها </w:t>
      </w:r>
      <w:r w:rsidR="006D675E">
        <w:rPr>
          <w:rFonts w:hint="cs"/>
          <w:rtl/>
        </w:rPr>
        <w:t xml:space="preserve">كذلك </w:t>
      </w:r>
      <w:r w:rsidR="006D675E" w:rsidRPr="00C46820">
        <w:rPr>
          <w:rtl/>
        </w:rPr>
        <w:t>لقلة المعلومات بشأن القضايا التي طبقت فيها محاكم الدولة الطرف الاتفاقية</w:t>
      </w:r>
      <w:r w:rsidR="006D675E">
        <w:rPr>
          <w:rtl/>
        </w:rPr>
        <w:t xml:space="preserve"> أو </w:t>
      </w:r>
      <w:r w:rsidR="006D675E" w:rsidRPr="00C46820">
        <w:rPr>
          <w:rtl/>
        </w:rPr>
        <w:t>التي احتج بها فيها (المادة 2).</w:t>
      </w:r>
    </w:p>
    <w:p w:rsidR="006D675E" w:rsidRPr="00ED4D97" w:rsidRDefault="006D675E" w:rsidP="00A83CF9">
      <w:pPr>
        <w:pStyle w:val="SingleTxtGA"/>
        <w:rPr>
          <w:rFonts w:hint="cs"/>
          <w:b/>
          <w:bCs/>
          <w:rtl/>
          <w:lang w:val="fr-FR"/>
        </w:rPr>
      </w:pPr>
      <w:r>
        <w:rPr>
          <w:rFonts w:hint="cs"/>
          <w:rtl/>
        </w:rPr>
        <w:tab/>
      </w:r>
      <w:r w:rsidRPr="00ED4D97">
        <w:rPr>
          <w:b/>
          <w:bCs/>
          <w:rtl/>
        </w:rPr>
        <w:t>ينبغي للدولة الطرف أن تدرج الأحكام التي تنُص عليها الاتفاقية</w:t>
      </w:r>
      <w:r>
        <w:rPr>
          <w:rFonts w:hint="cs"/>
          <w:b/>
          <w:bCs/>
          <w:rtl/>
        </w:rPr>
        <w:t xml:space="preserve"> </w:t>
      </w:r>
      <w:r w:rsidRPr="00ED4D97">
        <w:rPr>
          <w:b/>
          <w:bCs/>
          <w:rtl/>
        </w:rPr>
        <w:t>في نظامها القانوني الداخلي.</w:t>
      </w:r>
      <w:r w:rsidRPr="00ED4D97">
        <w:rPr>
          <w:b/>
          <w:bCs/>
          <w:rtl/>
          <w:lang w:val="fr-FR"/>
        </w:rPr>
        <w:t xml:space="preserve"> </w:t>
      </w:r>
      <w:r w:rsidRPr="00ED4D97">
        <w:rPr>
          <w:b/>
          <w:bCs/>
          <w:rtl/>
        </w:rPr>
        <w:t xml:space="preserve">وينبغي لها أيضاً أن تكفل تلقي الموظفين العموميين والقضاة وقضاة محاكم الصلح والمدعين العامين والمحامين التدريب على أحكام الاتفاقية </w:t>
      </w:r>
      <w:r>
        <w:rPr>
          <w:rFonts w:hint="cs"/>
          <w:b/>
          <w:bCs/>
          <w:rtl/>
        </w:rPr>
        <w:t>حتى يتسنى لهم تطبيق أحكامها مباشرة والاستظهار بالحقوق المكرسة فيها</w:t>
      </w:r>
      <w:r w:rsidRPr="00ED4D97">
        <w:rPr>
          <w:b/>
          <w:bCs/>
          <w:rtl/>
        </w:rPr>
        <w:t xml:space="preserve"> أمام محاكم </w:t>
      </w:r>
      <w:r>
        <w:rPr>
          <w:rFonts w:hint="cs"/>
          <w:b/>
          <w:bCs/>
          <w:rtl/>
        </w:rPr>
        <w:t>الدولة الطرف.</w:t>
      </w:r>
    </w:p>
    <w:p w:rsidR="006D675E" w:rsidRPr="00C46820" w:rsidRDefault="006D675E" w:rsidP="00A83CF9">
      <w:pPr>
        <w:pStyle w:val="H23GA"/>
        <w:rPr>
          <w:rtl/>
          <w:lang w:val="fr-FR"/>
        </w:rPr>
      </w:pPr>
      <w:r>
        <w:rPr>
          <w:rFonts w:hint="cs"/>
          <w:rtl/>
        </w:rPr>
        <w:tab/>
      </w:r>
      <w:r>
        <w:rPr>
          <w:rFonts w:hint="cs"/>
          <w:rtl/>
        </w:rPr>
        <w:tab/>
      </w:r>
      <w:r w:rsidRPr="00C46820">
        <w:rPr>
          <w:rtl/>
        </w:rPr>
        <w:t>الضمانات القانونية الأساسية</w:t>
      </w:r>
    </w:p>
    <w:p w:rsidR="006D675E" w:rsidRPr="00CF4550" w:rsidRDefault="00426C4B" w:rsidP="00A83CF9">
      <w:pPr>
        <w:pStyle w:val="SingleTxtGA"/>
        <w:rPr>
          <w:rtl/>
          <w:lang w:val="fr-FR"/>
        </w:rPr>
      </w:pPr>
      <w:r>
        <w:rPr>
          <w:rFonts w:hint="cs"/>
          <w:rtl/>
          <w:lang w:val="fr-FR"/>
        </w:rPr>
        <w:t>(</w:t>
      </w:r>
      <w:r w:rsidR="006D675E" w:rsidRPr="00CF4550">
        <w:rPr>
          <w:rtl/>
          <w:lang w:val="fr-FR"/>
        </w:rPr>
        <w:t>10</w:t>
      </w:r>
      <w:r>
        <w:rPr>
          <w:rFonts w:hint="cs"/>
          <w:rtl/>
          <w:lang w:val="fr-FR"/>
        </w:rPr>
        <w:t>)</w:t>
      </w:r>
      <w:r w:rsidR="006D675E" w:rsidRPr="00CF4550">
        <w:rPr>
          <w:rtl/>
          <w:lang w:val="fr-FR"/>
        </w:rPr>
        <w:tab/>
        <w:t xml:space="preserve">يساور اللجنة قلقٌ خاص بشأن مُدة </w:t>
      </w:r>
      <w:r w:rsidR="006D675E" w:rsidRPr="00CF4550">
        <w:rPr>
          <w:rFonts w:hint="cs"/>
          <w:rtl/>
          <w:lang w:val="fr-FR"/>
        </w:rPr>
        <w:t>الحبس الاحتياطي</w:t>
      </w:r>
      <w:r w:rsidR="006D675E">
        <w:rPr>
          <w:rFonts w:hint="cs"/>
          <w:rtl/>
          <w:lang w:val="fr-FR"/>
        </w:rPr>
        <w:t xml:space="preserve"> فيما</w:t>
      </w:r>
      <w:r w:rsidR="006D675E">
        <w:rPr>
          <w:rtl/>
          <w:lang w:val="fr-FR"/>
        </w:rPr>
        <w:t> </w:t>
      </w:r>
      <w:r w:rsidR="006D675E" w:rsidRPr="00CF4550">
        <w:rPr>
          <w:rtl/>
          <w:lang w:val="fr-FR"/>
        </w:rPr>
        <w:t xml:space="preserve">يتعلق بجرائم الإرهاب </w:t>
      </w:r>
      <w:r w:rsidR="006D675E" w:rsidRPr="00CF4550">
        <w:rPr>
          <w:rFonts w:hint="cs"/>
          <w:rtl/>
          <w:lang w:val="fr-FR"/>
        </w:rPr>
        <w:t>والمساس ب</w:t>
      </w:r>
      <w:r w:rsidR="006D675E" w:rsidRPr="00CF4550">
        <w:rPr>
          <w:rtl/>
          <w:lang w:val="fr-FR"/>
        </w:rPr>
        <w:t>أمن الدولة والتي تبلغ 15 يوماً قابلة للتجديد مرتين بأمرٍ من المُدّعي العام، بموجب</w:t>
      </w:r>
      <w:r w:rsidR="006D675E">
        <w:rPr>
          <w:rFonts w:hint="cs"/>
          <w:rtl/>
          <w:lang w:val="fr-FR"/>
        </w:rPr>
        <w:t> </w:t>
      </w:r>
      <w:r w:rsidR="006D675E" w:rsidRPr="00CF4550">
        <w:rPr>
          <w:rtl/>
          <w:lang w:val="fr-FR"/>
        </w:rPr>
        <w:t>المادة</w:t>
      </w:r>
      <w:r w:rsidR="006D675E" w:rsidRPr="00CF4550">
        <w:rPr>
          <w:rFonts w:hint="cs"/>
          <w:rtl/>
          <w:lang w:val="fr-FR"/>
        </w:rPr>
        <w:t> </w:t>
      </w:r>
      <w:r w:rsidR="006D675E" w:rsidRPr="00CF4550">
        <w:rPr>
          <w:rtl/>
          <w:lang w:val="fr-FR"/>
        </w:rPr>
        <w:t>57 من قانون الإجراءات الجنائية،</w:t>
      </w:r>
      <w:r w:rsidR="006D675E">
        <w:rPr>
          <w:rtl/>
          <w:lang w:val="fr-FR"/>
        </w:rPr>
        <w:t xml:space="preserve"> ولا </w:t>
      </w:r>
      <w:r w:rsidR="006D675E" w:rsidRPr="00CF4550">
        <w:rPr>
          <w:rFonts w:hint="cs"/>
          <w:rtl/>
          <w:lang w:val="fr-FR"/>
        </w:rPr>
        <w:t>سيما أن المحتجزين</w:t>
      </w:r>
      <w:r w:rsidR="006D675E">
        <w:rPr>
          <w:rFonts w:hint="cs"/>
          <w:rtl/>
          <w:lang w:val="fr-FR"/>
        </w:rPr>
        <w:t xml:space="preserve"> لا</w:t>
      </w:r>
      <w:r w:rsidR="006D675E">
        <w:rPr>
          <w:rtl/>
          <w:lang w:val="fr-FR"/>
        </w:rPr>
        <w:t> </w:t>
      </w:r>
      <w:r w:rsidR="006D675E" w:rsidRPr="00CF4550">
        <w:rPr>
          <w:rFonts w:hint="cs"/>
          <w:rtl/>
          <w:lang w:val="fr-FR"/>
        </w:rPr>
        <w:t xml:space="preserve">يملكون </w:t>
      </w:r>
      <w:r w:rsidR="006D675E" w:rsidRPr="00CF4550">
        <w:rPr>
          <w:rtl/>
          <w:lang w:val="fr-FR"/>
        </w:rPr>
        <w:t xml:space="preserve">أيّ سبيلٍ للطعن </w:t>
      </w:r>
      <w:r w:rsidR="006D675E" w:rsidRPr="00CF4550">
        <w:rPr>
          <w:rFonts w:hint="cs"/>
          <w:rtl/>
          <w:lang w:val="fr-FR"/>
        </w:rPr>
        <w:t>في </w:t>
      </w:r>
      <w:r w:rsidR="006D675E" w:rsidRPr="00CF4550">
        <w:rPr>
          <w:rtl/>
          <w:lang w:val="fr-FR"/>
        </w:rPr>
        <w:t xml:space="preserve">قانونية احتجازهم. </w:t>
      </w:r>
      <w:r w:rsidR="006D675E" w:rsidRPr="00CF4550">
        <w:rPr>
          <w:rFonts w:hint="cs"/>
          <w:rtl/>
          <w:lang w:val="fr-FR"/>
        </w:rPr>
        <w:t>و</w:t>
      </w:r>
      <w:r w:rsidR="006D675E" w:rsidRPr="00CF4550">
        <w:rPr>
          <w:rtl/>
          <w:lang w:val="fr-FR"/>
        </w:rPr>
        <w:t xml:space="preserve">تُعرب اللجنة عن قلقها </w:t>
      </w:r>
      <w:r w:rsidR="006D675E" w:rsidRPr="00CF4550">
        <w:rPr>
          <w:rFonts w:hint="cs"/>
          <w:rtl/>
          <w:lang w:val="fr-FR"/>
        </w:rPr>
        <w:t xml:space="preserve">الخاص كذلك </w:t>
      </w:r>
      <w:r w:rsidR="006D675E" w:rsidRPr="00CF4550">
        <w:rPr>
          <w:rtl/>
          <w:lang w:val="fr-FR"/>
        </w:rPr>
        <w:t xml:space="preserve">لأنّ المادّة 3 من القانون 2010-043 </w:t>
      </w:r>
      <w:r w:rsidR="006D675E" w:rsidRPr="00CF4550">
        <w:rPr>
          <w:rFonts w:hint="cs"/>
          <w:rtl/>
          <w:lang w:val="fr-FR"/>
        </w:rPr>
        <w:t>المؤرخ</w:t>
      </w:r>
      <w:r w:rsidR="006D675E" w:rsidRPr="00CF4550">
        <w:rPr>
          <w:rtl/>
          <w:lang w:val="fr-FR"/>
        </w:rPr>
        <w:t xml:space="preserve"> 21 تموز</w:t>
      </w:r>
      <w:r w:rsidR="006D675E" w:rsidRPr="00CF4550">
        <w:rPr>
          <w:rFonts w:hint="cs"/>
          <w:rtl/>
          <w:lang w:val="fr-FR"/>
        </w:rPr>
        <w:t>/</w:t>
      </w:r>
      <w:r w:rsidR="006D675E" w:rsidRPr="00CF4550">
        <w:rPr>
          <w:rtl/>
          <w:lang w:val="fr-FR"/>
        </w:rPr>
        <w:t>يوليه 2010 المتعلّق بمكافحة الإرهاب تُعرّف الإرهاب تعريفاً واسعاً وغير دقيق</w:t>
      </w:r>
      <w:r w:rsidR="006D675E" w:rsidRPr="00CF4550">
        <w:rPr>
          <w:rFonts w:hint="cs"/>
          <w:rtl/>
          <w:lang w:val="fr-FR"/>
        </w:rPr>
        <w:t> </w:t>
      </w:r>
      <w:r w:rsidR="006D675E" w:rsidRPr="00CF4550">
        <w:rPr>
          <w:rtl/>
          <w:lang w:val="fr-FR"/>
        </w:rPr>
        <w:t>(المادة 2).</w:t>
      </w:r>
    </w:p>
    <w:p w:rsidR="006D675E" w:rsidRPr="00ED4D97" w:rsidRDefault="006D675E" w:rsidP="00A83CF9">
      <w:pPr>
        <w:pStyle w:val="SingleTxtGA"/>
        <w:keepNext/>
        <w:keepLines/>
        <w:rPr>
          <w:b/>
          <w:bCs/>
          <w:rtl/>
          <w:lang w:val="fr-FR"/>
        </w:rPr>
      </w:pPr>
      <w:r>
        <w:rPr>
          <w:rFonts w:hint="cs"/>
          <w:rtl/>
          <w:lang w:val="fr-FR"/>
        </w:rPr>
        <w:tab/>
      </w:r>
      <w:r w:rsidRPr="00ED4D97">
        <w:rPr>
          <w:b/>
          <w:bCs/>
          <w:rtl/>
          <w:lang w:val="fr-FR"/>
        </w:rPr>
        <w:t>ينبغي للدولة الطرف أن تقوم</w:t>
      </w:r>
      <w:r>
        <w:rPr>
          <w:b/>
          <w:bCs/>
          <w:rtl/>
          <w:lang w:val="fr-FR"/>
        </w:rPr>
        <w:t xml:space="preserve"> بما </w:t>
      </w:r>
      <w:r w:rsidRPr="00ED4D97">
        <w:rPr>
          <w:b/>
          <w:bCs/>
          <w:rtl/>
          <w:lang w:val="fr-FR"/>
        </w:rPr>
        <w:t xml:space="preserve">يلي: </w:t>
      </w:r>
    </w:p>
    <w:p w:rsidR="006D675E" w:rsidRPr="00ED4D97" w:rsidRDefault="006D675E" w:rsidP="00A83CF9">
      <w:pPr>
        <w:pStyle w:val="SingleTxtGA"/>
        <w:rPr>
          <w:b/>
          <w:bCs/>
          <w:rtl/>
        </w:rPr>
      </w:pPr>
      <w:r w:rsidRPr="00ED4D97">
        <w:rPr>
          <w:rFonts w:hint="cs"/>
          <w:b/>
          <w:bCs/>
          <w:rtl/>
        </w:rPr>
        <w:tab/>
        <w:t>(أ)</w:t>
      </w:r>
      <w:r w:rsidRPr="00ED4D97">
        <w:rPr>
          <w:rFonts w:hint="cs"/>
          <w:b/>
          <w:bCs/>
          <w:rtl/>
        </w:rPr>
        <w:tab/>
      </w:r>
      <w:r w:rsidRPr="00ED4D97">
        <w:rPr>
          <w:b/>
          <w:bCs/>
          <w:rtl/>
        </w:rPr>
        <w:t xml:space="preserve">اتخاذ تدابير </w:t>
      </w:r>
      <w:r>
        <w:rPr>
          <w:rFonts w:hint="cs"/>
          <w:b/>
          <w:bCs/>
          <w:rtl/>
        </w:rPr>
        <w:t xml:space="preserve">فورية </w:t>
      </w:r>
      <w:r w:rsidRPr="00ED4D97">
        <w:rPr>
          <w:b/>
          <w:bCs/>
          <w:rtl/>
        </w:rPr>
        <w:t>وفعالة لكي تكفل توفير جميع الضمانات القانونية الأساسية لجميع المحتجزين منذ الوهلة الأولى لاحتجازهم، ويشمل</w:t>
      </w:r>
      <w:r>
        <w:rPr>
          <w:rFonts w:hint="cs"/>
          <w:b/>
          <w:bCs/>
          <w:rtl/>
        </w:rPr>
        <w:t> </w:t>
      </w:r>
      <w:r w:rsidRPr="00ED4D97">
        <w:rPr>
          <w:b/>
          <w:bCs/>
          <w:rtl/>
        </w:rPr>
        <w:t>ذلك:</w:t>
      </w:r>
    </w:p>
    <w:p w:rsidR="006D675E" w:rsidRPr="00C35001" w:rsidRDefault="006D675E" w:rsidP="00A83CF9">
      <w:pPr>
        <w:pStyle w:val="SingleTxtGA"/>
        <w:tabs>
          <w:tab w:val="clear" w:pos="1928"/>
          <w:tab w:val="left" w:pos="2013"/>
        </w:tabs>
        <w:ind w:left="2608" w:hanging="1361"/>
        <w:rPr>
          <w:b/>
          <w:bCs/>
          <w:rtl/>
          <w:lang w:val="es-ES_tradnl" w:bidi="ar-EG"/>
        </w:rPr>
      </w:pPr>
      <w:r w:rsidRPr="00C35001">
        <w:rPr>
          <w:rFonts w:hint="cs"/>
          <w:b/>
          <w:bCs/>
          <w:rtl/>
        </w:rPr>
        <w:tab/>
      </w:r>
      <w:r w:rsidRPr="00C35001">
        <w:rPr>
          <w:b/>
          <w:bCs/>
          <w:rtl/>
          <w:lang w:val="es-ES_tradnl" w:bidi="ar-EG"/>
        </w:rPr>
        <w:t>'</w:t>
      </w:r>
      <w:r w:rsidRPr="00C35001">
        <w:rPr>
          <w:rFonts w:hint="cs"/>
          <w:b/>
          <w:bCs/>
          <w:rtl/>
          <w:lang w:val="es-ES_tradnl" w:bidi="ar-EG"/>
        </w:rPr>
        <w:t>1</w:t>
      </w:r>
      <w:r w:rsidRPr="00C35001">
        <w:rPr>
          <w:b/>
          <w:bCs/>
          <w:rtl/>
          <w:lang w:val="es-ES_tradnl" w:bidi="ar-EG"/>
        </w:rPr>
        <w:t>'</w:t>
      </w:r>
      <w:r w:rsidRPr="00C35001">
        <w:rPr>
          <w:rFonts w:hint="cs"/>
          <w:b/>
          <w:bCs/>
          <w:rtl/>
          <w:lang w:val="es-ES_tradnl" w:bidi="ar-EG"/>
        </w:rPr>
        <w:tab/>
      </w:r>
      <w:r w:rsidRPr="00C35001">
        <w:rPr>
          <w:b/>
          <w:bCs/>
          <w:rtl/>
          <w:lang w:val="es-ES_tradnl" w:bidi="ar-EG"/>
        </w:rPr>
        <w:t>حق كل محتجز في أن يبلَّغ بأسباب اعتقاله؛</w:t>
      </w:r>
    </w:p>
    <w:p w:rsidR="006D675E" w:rsidRPr="00C35001" w:rsidRDefault="006D675E" w:rsidP="00A83CF9">
      <w:pPr>
        <w:pStyle w:val="SingleTxtGA"/>
        <w:tabs>
          <w:tab w:val="clear" w:pos="1928"/>
          <w:tab w:val="left" w:pos="2013"/>
        </w:tabs>
        <w:ind w:left="2608" w:hanging="1361"/>
        <w:rPr>
          <w:rFonts w:hint="cs"/>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2</w:t>
      </w:r>
      <w:r w:rsidRPr="00C35001">
        <w:rPr>
          <w:b/>
          <w:bCs/>
          <w:rtl/>
          <w:lang w:val="es-ES_tradnl" w:bidi="ar-EG"/>
        </w:rPr>
        <w:t>'</w:t>
      </w:r>
      <w:r>
        <w:rPr>
          <w:rFonts w:hint="cs"/>
          <w:b/>
          <w:bCs/>
          <w:rtl/>
          <w:lang w:val="es-ES_tradnl" w:bidi="ar-EG"/>
        </w:rPr>
        <w:tab/>
      </w:r>
      <w:r w:rsidRPr="00C35001">
        <w:rPr>
          <w:b/>
          <w:bCs/>
          <w:rtl/>
          <w:lang w:val="es-ES_tradnl" w:bidi="ar-EG"/>
        </w:rPr>
        <w:t xml:space="preserve">إمكانية الاستعانة </w:t>
      </w:r>
      <w:r>
        <w:rPr>
          <w:rFonts w:hint="cs"/>
          <w:b/>
          <w:bCs/>
          <w:rtl/>
          <w:lang w:val="es-ES_tradnl" w:bidi="ar-EG"/>
        </w:rPr>
        <w:t xml:space="preserve">فوراً </w:t>
      </w:r>
      <w:r w:rsidRPr="00C35001">
        <w:rPr>
          <w:b/>
          <w:bCs/>
          <w:rtl/>
          <w:lang w:val="es-ES_tradnl" w:bidi="ar-EG"/>
        </w:rPr>
        <w:t xml:space="preserve">بمستشار قانوني مُستقل منذ بدء حرمانه من الحرية، </w:t>
      </w:r>
      <w:r>
        <w:rPr>
          <w:rFonts w:hint="cs"/>
          <w:b/>
          <w:bCs/>
          <w:rtl/>
          <w:lang w:val="es-ES_tradnl" w:bidi="ar-EG"/>
        </w:rPr>
        <w:t>وإن اقتضى الحال</w:t>
      </w:r>
      <w:r w:rsidRPr="00C35001">
        <w:rPr>
          <w:b/>
          <w:bCs/>
          <w:rtl/>
          <w:lang w:val="es-ES_tradnl" w:bidi="ar-EG"/>
        </w:rPr>
        <w:t xml:space="preserve">، تقديم </w:t>
      </w:r>
      <w:r>
        <w:rPr>
          <w:b/>
          <w:bCs/>
          <w:rtl/>
          <w:lang w:val="es-ES_tradnl" w:bidi="ar-EG"/>
        </w:rPr>
        <w:t>مساعدة قانونية</w:t>
      </w:r>
      <w:r>
        <w:rPr>
          <w:rFonts w:hint="cs"/>
          <w:b/>
          <w:bCs/>
          <w:rtl/>
          <w:lang w:val="es-ES_tradnl" w:bidi="ar-EG"/>
        </w:rPr>
        <w:t xml:space="preserve"> له؛</w:t>
      </w:r>
    </w:p>
    <w:p w:rsidR="006D675E" w:rsidRPr="00C35001" w:rsidRDefault="006D675E" w:rsidP="00A83CF9">
      <w:pPr>
        <w:pStyle w:val="SingleTxtGA"/>
        <w:tabs>
          <w:tab w:val="clear" w:pos="1928"/>
          <w:tab w:val="left" w:pos="2013"/>
        </w:tabs>
        <w:ind w:left="2608" w:hanging="1361"/>
        <w:rPr>
          <w:rFonts w:hint="cs"/>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3</w:t>
      </w:r>
      <w:r w:rsidRPr="00C35001">
        <w:rPr>
          <w:b/>
          <w:bCs/>
          <w:rtl/>
          <w:lang w:val="es-ES_tradnl" w:bidi="ar-EG"/>
        </w:rPr>
        <w:t>'</w:t>
      </w:r>
      <w:r>
        <w:rPr>
          <w:rFonts w:hint="cs"/>
          <w:b/>
          <w:bCs/>
          <w:rtl/>
          <w:lang w:val="es-ES_tradnl" w:bidi="ar-EG"/>
        </w:rPr>
        <w:tab/>
      </w:r>
      <w:r w:rsidRPr="00C35001">
        <w:rPr>
          <w:b/>
          <w:bCs/>
          <w:rtl/>
          <w:lang w:val="es-ES_tradnl" w:bidi="ar-EG"/>
        </w:rPr>
        <w:t xml:space="preserve">ضمان حصوله على فحص طبّي على يد طبيب مستقل والاتصال بأحد </w:t>
      </w:r>
      <w:r>
        <w:rPr>
          <w:rFonts w:hint="cs"/>
          <w:b/>
          <w:bCs/>
          <w:rtl/>
          <w:lang w:val="es-ES_tradnl" w:bidi="ar-EG"/>
        </w:rPr>
        <w:t xml:space="preserve">أفراد </w:t>
      </w:r>
      <w:r>
        <w:rPr>
          <w:b/>
          <w:bCs/>
          <w:rtl/>
          <w:lang w:val="es-ES_tradnl" w:bidi="ar-EG"/>
        </w:rPr>
        <w:t xml:space="preserve">أسرته؛ </w:t>
      </w:r>
    </w:p>
    <w:p w:rsidR="006D675E" w:rsidRPr="00C35001" w:rsidRDefault="006D675E" w:rsidP="00A83CF9">
      <w:pPr>
        <w:pStyle w:val="SingleTxtGA"/>
        <w:tabs>
          <w:tab w:val="clear" w:pos="1928"/>
          <w:tab w:val="left" w:pos="2013"/>
        </w:tabs>
        <w:ind w:left="2608" w:hanging="1361"/>
        <w:rPr>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4</w:t>
      </w:r>
      <w:r w:rsidRPr="00C35001">
        <w:rPr>
          <w:b/>
          <w:bCs/>
          <w:rtl/>
          <w:lang w:val="es-ES_tradnl" w:bidi="ar-EG"/>
        </w:rPr>
        <w:t>'</w:t>
      </w:r>
      <w:r>
        <w:rPr>
          <w:rFonts w:hint="cs"/>
          <w:b/>
          <w:bCs/>
          <w:rtl/>
          <w:lang w:val="es-ES_tradnl" w:bidi="ar-EG"/>
        </w:rPr>
        <w:tab/>
      </w:r>
      <w:r w:rsidRPr="00C35001">
        <w:rPr>
          <w:b/>
          <w:bCs/>
          <w:rtl/>
          <w:lang w:val="es-ES_tradnl" w:bidi="ar-EG"/>
        </w:rPr>
        <w:t xml:space="preserve">إمكانية المثول فوراً أمام قاضٍ </w:t>
      </w:r>
      <w:r>
        <w:rPr>
          <w:rFonts w:hint="cs"/>
          <w:b/>
          <w:bCs/>
          <w:rtl/>
          <w:lang w:val="es-ES_tradnl" w:bidi="ar-EG"/>
        </w:rPr>
        <w:t xml:space="preserve">وإمكانية عرض </w:t>
      </w:r>
      <w:r w:rsidRPr="00C35001">
        <w:rPr>
          <w:b/>
          <w:bCs/>
          <w:rtl/>
          <w:lang w:val="es-ES_tradnl" w:bidi="ar-EG"/>
        </w:rPr>
        <w:t>مشروعية احتجازه</w:t>
      </w:r>
      <w:r>
        <w:rPr>
          <w:rFonts w:hint="cs"/>
          <w:b/>
          <w:bCs/>
          <w:rtl/>
          <w:lang w:val="es-ES_tradnl" w:bidi="ar-EG"/>
        </w:rPr>
        <w:t xml:space="preserve"> على نظر المحكمة</w:t>
      </w:r>
      <w:r>
        <w:rPr>
          <w:b/>
          <w:bCs/>
          <w:rtl/>
          <w:lang w:val="es-ES_tradnl" w:bidi="ar-EG"/>
        </w:rPr>
        <w:t>، وفقاً</w:t>
      </w:r>
      <w:r w:rsidRPr="00C35001">
        <w:rPr>
          <w:b/>
          <w:bCs/>
          <w:rtl/>
          <w:lang w:val="es-ES_tradnl" w:bidi="ar-EG"/>
        </w:rPr>
        <w:t xml:space="preserve"> للمعايير الدولية؛</w:t>
      </w:r>
    </w:p>
    <w:p w:rsidR="006D675E" w:rsidRPr="00ED4D97" w:rsidRDefault="006D675E" w:rsidP="00A83CF9">
      <w:pPr>
        <w:pStyle w:val="SingleTxtGA"/>
        <w:rPr>
          <w:b/>
          <w:bCs/>
          <w:rtl/>
          <w:lang w:val="fr-FR"/>
        </w:rPr>
      </w:pPr>
      <w:r w:rsidRPr="00ED4D97">
        <w:rPr>
          <w:rFonts w:hint="cs"/>
          <w:b/>
          <w:bCs/>
          <w:rtl/>
        </w:rPr>
        <w:tab/>
        <w:t>(ب)</w:t>
      </w:r>
      <w:r w:rsidRPr="00ED4D97">
        <w:rPr>
          <w:rFonts w:hint="cs"/>
          <w:b/>
          <w:bCs/>
          <w:rtl/>
        </w:rPr>
        <w:tab/>
      </w:r>
      <w:r w:rsidRPr="00ED4D97">
        <w:rPr>
          <w:b/>
          <w:bCs/>
          <w:rtl/>
          <w:lang w:val="fr-FR"/>
        </w:rPr>
        <w:t>إطلاق سراح الأشخاص المحتجزين احتجازاً تعسّفياً وتعويضهم؛</w:t>
      </w:r>
    </w:p>
    <w:p w:rsidR="006D675E" w:rsidRPr="00ED4D97" w:rsidRDefault="006D675E" w:rsidP="00A83CF9">
      <w:pPr>
        <w:pStyle w:val="SingleTxtGA"/>
        <w:rPr>
          <w:b/>
          <w:bCs/>
          <w:rtl/>
          <w:lang w:val="fr-FR"/>
        </w:rPr>
      </w:pPr>
      <w:r w:rsidRPr="00ED4D97">
        <w:rPr>
          <w:rFonts w:hint="cs"/>
          <w:b/>
          <w:bCs/>
          <w:rtl/>
          <w:lang w:val="fr-FR"/>
        </w:rPr>
        <w:tab/>
        <w:t>(ج)</w:t>
      </w:r>
      <w:r w:rsidRPr="00ED4D97">
        <w:rPr>
          <w:rFonts w:hint="cs"/>
          <w:b/>
          <w:bCs/>
          <w:rtl/>
          <w:lang w:val="fr-FR"/>
        </w:rPr>
        <w:tab/>
      </w:r>
      <w:r w:rsidRPr="00ED4D97">
        <w:rPr>
          <w:b/>
          <w:bCs/>
          <w:rtl/>
          <w:lang w:val="fr-FR"/>
        </w:rPr>
        <w:t xml:space="preserve">إلغاء مدة </w:t>
      </w:r>
      <w:r>
        <w:rPr>
          <w:rFonts w:hint="cs"/>
          <w:b/>
          <w:bCs/>
          <w:rtl/>
          <w:lang w:val="fr-FR"/>
        </w:rPr>
        <w:t>الحبس الاحتياطي فيما</w:t>
      </w:r>
      <w:r>
        <w:rPr>
          <w:b/>
          <w:bCs/>
          <w:rtl/>
          <w:lang w:val="fr-FR"/>
        </w:rPr>
        <w:t> </w:t>
      </w:r>
      <w:r w:rsidRPr="00ED4D97">
        <w:rPr>
          <w:b/>
          <w:bCs/>
          <w:rtl/>
          <w:lang w:val="fr-FR"/>
        </w:rPr>
        <w:t xml:space="preserve">يتعلّق بجرائم الإرهاب </w:t>
      </w:r>
      <w:r>
        <w:rPr>
          <w:rFonts w:hint="cs"/>
          <w:b/>
          <w:bCs/>
          <w:rtl/>
          <w:lang w:val="fr-FR"/>
        </w:rPr>
        <w:t>والمساس ب</w:t>
      </w:r>
      <w:r w:rsidRPr="00ED4D97">
        <w:rPr>
          <w:b/>
          <w:bCs/>
          <w:rtl/>
          <w:lang w:val="fr-FR"/>
        </w:rPr>
        <w:t>أمن الدولة والتي تبلغ 15 يوماً</w:t>
      </w:r>
      <w:r>
        <w:rPr>
          <w:rFonts w:hint="cs"/>
          <w:b/>
          <w:bCs/>
          <w:rtl/>
          <w:lang w:val="fr-FR"/>
        </w:rPr>
        <w:t>،</w:t>
      </w:r>
      <w:r w:rsidRPr="00ED4D97">
        <w:rPr>
          <w:b/>
          <w:bCs/>
          <w:rtl/>
          <w:lang w:val="fr-FR"/>
        </w:rPr>
        <w:t xml:space="preserve"> </w:t>
      </w:r>
      <w:r>
        <w:rPr>
          <w:rFonts w:hint="cs"/>
          <w:b/>
          <w:bCs/>
          <w:rtl/>
          <w:lang w:val="fr-FR"/>
        </w:rPr>
        <w:t>والاستعاضة عنها بمدة لا</w:t>
      </w:r>
      <w:r>
        <w:rPr>
          <w:b/>
          <w:bCs/>
          <w:rtl/>
          <w:lang w:val="fr-FR"/>
        </w:rPr>
        <w:t> </w:t>
      </w:r>
      <w:r>
        <w:rPr>
          <w:rFonts w:hint="cs"/>
          <w:b/>
          <w:bCs/>
          <w:rtl/>
          <w:lang w:val="fr-FR"/>
        </w:rPr>
        <w:t xml:space="preserve">تتجاوز </w:t>
      </w:r>
      <w:r w:rsidRPr="00ED4D97">
        <w:rPr>
          <w:b/>
          <w:bCs/>
          <w:rtl/>
          <w:lang w:val="fr-FR"/>
        </w:rPr>
        <w:t>48 ساعة؛</w:t>
      </w:r>
    </w:p>
    <w:p w:rsidR="006D675E" w:rsidRPr="00ED4D97" w:rsidRDefault="006D675E" w:rsidP="00A83CF9">
      <w:pPr>
        <w:pStyle w:val="SingleTxtGA"/>
        <w:rPr>
          <w:b/>
          <w:bCs/>
          <w:rtl/>
          <w:lang w:val="fr-FR"/>
        </w:rPr>
      </w:pPr>
      <w:r w:rsidRPr="00ED4D97">
        <w:rPr>
          <w:rFonts w:hint="cs"/>
          <w:b/>
          <w:bCs/>
          <w:rtl/>
          <w:lang w:val="fr-FR"/>
        </w:rPr>
        <w:tab/>
        <w:t>(د)</w:t>
      </w:r>
      <w:r w:rsidRPr="00ED4D97">
        <w:rPr>
          <w:rFonts w:hint="cs"/>
          <w:b/>
          <w:bCs/>
          <w:rtl/>
          <w:lang w:val="fr-FR"/>
        </w:rPr>
        <w:tab/>
      </w:r>
      <w:r w:rsidRPr="00ED4D97">
        <w:rPr>
          <w:b/>
          <w:bCs/>
          <w:rtl/>
          <w:lang w:val="fr-FR"/>
        </w:rPr>
        <w:t>تعديل القانون رقم 2010-043 المتعلّق بمكافحة الإرهاب لحصر نطاقه حتى</w:t>
      </w:r>
      <w:r>
        <w:rPr>
          <w:b/>
          <w:bCs/>
          <w:rtl/>
          <w:lang w:val="fr-FR"/>
        </w:rPr>
        <w:t xml:space="preserve"> لا </w:t>
      </w:r>
      <w:r w:rsidRPr="00ED4D97">
        <w:rPr>
          <w:b/>
          <w:bCs/>
          <w:rtl/>
          <w:lang w:val="fr-FR"/>
        </w:rPr>
        <w:t>يؤدي إلى احتجاز تعسفي</w:t>
      </w:r>
      <w:r>
        <w:rPr>
          <w:b/>
          <w:bCs/>
          <w:rtl/>
          <w:lang w:val="fr-FR"/>
        </w:rPr>
        <w:t xml:space="preserve"> أو </w:t>
      </w:r>
      <w:r w:rsidRPr="00ED4D97">
        <w:rPr>
          <w:b/>
          <w:bCs/>
          <w:rtl/>
          <w:lang w:val="fr-FR"/>
        </w:rPr>
        <w:t>إلى معاملة تحظرها الاتفاقية.</w:t>
      </w:r>
    </w:p>
    <w:p w:rsidR="006D675E" w:rsidRPr="00C46820" w:rsidRDefault="006D675E" w:rsidP="00A83CF9">
      <w:pPr>
        <w:pStyle w:val="H23GA"/>
        <w:rPr>
          <w:rtl/>
          <w:lang w:val="fr-FR"/>
        </w:rPr>
      </w:pPr>
      <w:r>
        <w:rPr>
          <w:rFonts w:hint="cs"/>
          <w:rtl/>
          <w:lang w:val="fr-FR"/>
        </w:rPr>
        <w:tab/>
      </w:r>
      <w:r>
        <w:rPr>
          <w:rFonts w:hint="cs"/>
          <w:rtl/>
          <w:lang w:val="fr-FR"/>
        </w:rPr>
        <w:tab/>
      </w:r>
      <w:r w:rsidRPr="00C46820">
        <w:rPr>
          <w:rtl/>
          <w:lang w:val="fr-FR"/>
        </w:rPr>
        <w:t>الاحتجاز السري والاختفاء القسري</w:t>
      </w:r>
    </w:p>
    <w:p w:rsidR="006D675E" w:rsidRPr="00C46820" w:rsidRDefault="00426C4B" w:rsidP="00A83CF9">
      <w:pPr>
        <w:pStyle w:val="SingleTxtGA"/>
        <w:rPr>
          <w:rtl/>
          <w:lang w:val="fr-FR"/>
        </w:rPr>
      </w:pPr>
      <w:r>
        <w:rPr>
          <w:rFonts w:hint="cs"/>
          <w:rtl/>
          <w:lang w:val="fr-FR"/>
        </w:rPr>
        <w:t>(</w:t>
      </w:r>
      <w:r w:rsidR="006D675E" w:rsidRPr="00C46820">
        <w:rPr>
          <w:rtl/>
          <w:lang w:val="fr-FR"/>
        </w:rPr>
        <w:t>11</w:t>
      </w:r>
      <w:r>
        <w:rPr>
          <w:rFonts w:hint="cs"/>
          <w:rtl/>
          <w:lang w:val="fr-FR"/>
        </w:rPr>
        <w:t>)</w:t>
      </w:r>
      <w:r w:rsidR="006D675E" w:rsidRPr="00C46820">
        <w:rPr>
          <w:rtl/>
          <w:lang w:val="fr-FR"/>
        </w:rPr>
        <w:tab/>
        <w:t>تعرب اللجنة عن قلقها بشأن الادعاءات التي تلقتها عن ممارسة الاعتقال السري، والتي تُشكّل مرتعاً خصباً لممارسة عمليات التعذيب والاختفاء القسري.</w:t>
      </w:r>
    </w:p>
    <w:p w:rsidR="006D675E" w:rsidRPr="00ED4D97" w:rsidRDefault="006D675E" w:rsidP="00A83CF9">
      <w:pPr>
        <w:pStyle w:val="SingleTxtGA"/>
        <w:rPr>
          <w:b/>
          <w:bCs/>
          <w:rtl/>
          <w:lang w:val="fr-FR"/>
        </w:rPr>
      </w:pPr>
      <w:r>
        <w:rPr>
          <w:rFonts w:hint="cs"/>
          <w:rtl/>
          <w:lang w:val="fr-FR"/>
        </w:rPr>
        <w:tab/>
      </w:r>
      <w:r w:rsidRPr="00ED4D97">
        <w:rPr>
          <w:b/>
          <w:bCs/>
          <w:rtl/>
          <w:lang w:val="fr-FR"/>
        </w:rPr>
        <w:t>ينبغي للدولة الطرف أن تقوم</w:t>
      </w:r>
      <w:r>
        <w:rPr>
          <w:b/>
          <w:bCs/>
          <w:rtl/>
          <w:lang w:val="fr-FR"/>
        </w:rPr>
        <w:t xml:space="preserve"> بما </w:t>
      </w:r>
      <w:r w:rsidRPr="00ED4D97">
        <w:rPr>
          <w:b/>
          <w:bCs/>
          <w:rtl/>
          <w:lang w:val="fr-FR"/>
        </w:rPr>
        <w:t xml:space="preserve">يلي: </w:t>
      </w:r>
    </w:p>
    <w:p w:rsidR="006D675E" w:rsidRPr="00ED4D97" w:rsidRDefault="006D675E" w:rsidP="00A83CF9">
      <w:pPr>
        <w:pStyle w:val="SingleTxtGA"/>
        <w:rPr>
          <w:b/>
          <w:bCs/>
          <w:rtl/>
          <w:lang w:val="fr-FR"/>
        </w:rPr>
      </w:pPr>
      <w:r w:rsidRPr="00ED4D97">
        <w:rPr>
          <w:rFonts w:hint="cs"/>
          <w:b/>
          <w:bCs/>
          <w:rtl/>
          <w:lang w:val="fr-FR"/>
        </w:rPr>
        <w:tab/>
        <w:t>(أ)</w:t>
      </w:r>
      <w:r w:rsidRPr="00ED4D97">
        <w:rPr>
          <w:rFonts w:hint="cs"/>
          <w:b/>
          <w:bCs/>
          <w:rtl/>
          <w:lang w:val="fr-FR"/>
        </w:rPr>
        <w:tab/>
      </w:r>
      <w:r w:rsidRPr="00ED4D97">
        <w:rPr>
          <w:b/>
          <w:bCs/>
          <w:rtl/>
          <w:lang w:val="fr-FR"/>
        </w:rPr>
        <w:t xml:space="preserve">ضمان تحديث سجل الأشخاص المحرومين من الحرية، ووضعه تحت تصرّف أية سلطة قضائية مختصّة، </w:t>
      </w:r>
      <w:r>
        <w:rPr>
          <w:rFonts w:hint="cs"/>
          <w:b/>
          <w:bCs/>
          <w:rtl/>
          <w:lang w:val="fr-FR"/>
        </w:rPr>
        <w:t xml:space="preserve">على أن </w:t>
      </w:r>
      <w:r w:rsidRPr="00ED4D97">
        <w:rPr>
          <w:b/>
          <w:bCs/>
          <w:rtl/>
          <w:lang w:val="fr-FR"/>
        </w:rPr>
        <w:t>يتضمن</w:t>
      </w:r>
      <w:r>
        <w:rPr>
          <w:b/>
          <w:bCs/>
          <w:rtl/>
          <w:lang w:val="fr-FR"/>
        </w:rPr>
        <w:t xml:space="preserve"> ما </w:t>
      </w:r>
      <w:r w:rsidRPr="00ED4D97">
        <w:rPr>
          <w:b/>
          <w:bCs/>
          <w:rtl/>
          <w:lang w:val="fr-FR"/>
        </w:rPr>
        <w:t>يلي:</w:t>
      </w:r>
    </w:p>
    <w:p w:rsidR="006D675E" w:rsidRPr="00C35001" w:rsidRDefault="006D675E" w:rsidP="00A83CF9">
      <w:pPr>
        <w:pStyle w:val="SingleTxtGA"/>
        <w:tabs>
          <w:tab w:val="clear" w:pos="1928"/>
          <w:tab w:val="left" w:pos="2013"/>
        </w:tabs>
        <w:ind w:left="2608" w:hanging="1361"/>
        <w:rPr>
          <w:rFonts w:hint="cs"/>
          <w:b/>
          <w:bCs/>
          <w:rtl/>
          <w:lang w:val="es-ES_tradnl" w:bidi="ar-EG"/>
        </w:rPr>
      </w:pPr>
      <w:r>
        <w:rPr>
          <w:rFonts w:hint="cs"/>
          <w:b/>
          <w:bCs/>
          <w:rtl/>
          <w:lang w:val="es-ES_tradnl" w:bidi="ar-EG"/>
        </w:rPr>
        <w:tab/>
      </w:r>
      <w:r w:rsidRPr="00C35001">
        <w:rPr>
          <w:b/>
          <w:bCs/>
          <w:rtl/>
          <w:lang w:val="es-ES_tradnl" w:bidi="ar-EG"/>
        </w:rPr>
        <w:t>'</w:t>
      </w:r>
      <w:r w:rsidRPr="00C35001">
        <w:rPr>
          <w:rFonts w:hint="cs"/>
          <w:b/>
          <w:bCs/>
          <w:rtl/>
          <w:lang w:val="es-ES_tradnl" w:bidi="ar-EG"/>
        </w:rPr>
        <w:t>1</w:t>
      </w:r>
      <w:r w:rsidRPr="00C35001">
        <w:rPr>
          <w:b/>
          <w:bCs/>
          <w:rtl/>
          <w:lang w:val="es-ES_tradnl" w:bidi="ar-EG"/>
        </w:rPr>
        <w:t>'</w:t>
      </w:r>
      <w:r>
        <w:rPr>
          <w:rFonts w:hint="cs"/>
          <w:b/>
          <w:bCs/>
          <w:rtl/>
          <w:lang w:val="es-ES_tradnl" w:bidi="ar-EG"/>
        </w:rPr>
        <w:tab/>
      </w:r>
      <w:r w:rsidRPr="00C35001">
        <w:rPr>
          <w:b/>
          <w:bCs/>
          <w:rtl/>
          <w:lang w:val="es-ES_tradnl" w:bidi="ar-EG"/>
        </w:rPr>
        <w:t>هوية الشخص المحروم من الحرية</w:t>
      </w:r>
      <w:r>
        <w:rPr>
          <w:rFonts w:hint="cs"/>
          <w:b/>
          <w:bCs/>
          <w:rtl/>
          <w:lang w:val="es-ES_tradnl" w:bidi="ar-EG"/>
        </w:rPr>
        <w:t>؛</w:t>
      </w:r>
    </w:p>
    <w:p w:rsidR="006D675E" w:rsidRPr="00C35001" w:rsidRDefault="006D675E" w:rsidP="00A83CF9">
      <w:pPr>
        <w:pStyle w:val="SingleTxtGA"/>
        <w:tabs>
          <w:tab w:val="clear" w:pos="1928"/>
          <w:tab w:val="left" w:pos="2013"/>
        </w:tabs>
        <w:ind w:left="2608" w:hanging="1361"/>
        <w:rPr>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2</w:t>
      </w:r>
      <w:r w:rsidRPr="00C35001">
        <w:rPr>
          <w:b/>
          <w:bCs/>
          <w:rtl/>
          <w:lang w:val="es-ES_tradnl" w:bidi="ar-EG"/>
        </w:rPr>
        <w:t>'</w:t>
      </w:r>
      <w:r>
        <w:rPr>
          <w:rFonts w:hint="cs"/>
          <w:b/>
          <w:bCs/>
          <w:rtl/>
          <w:lang w:val="es-ES_tradnl" w:bidi="ar-EG"/>
        </w:rPr>
        <w:tab/>
      </w:r>
      <w:r w:rsidRPr="00C35001">
        <w:rPr>
          <w:b/>
          <w:bCs/>
          <w:rtl/>
          <w:lang w:val="es-ES_tradnl" w:bidi="ar-EG"/>
        </w:rPr>
        <w:t>تحديد تاريخ وساعة ومكان حرمان الشخص من الحرية وهوية السلطة التي قامت بذلك؛</w:t>
      </w:r>
    </w:p>
    <w:p w:rsidR="006D675E" w:rsidRPr="00C35001" w:rsidRDefault="006D675E" w:rsidP="00A83CF9">
      <w:pPr>
        <w:pStyle w:val="SingleTxtGA"/>
        <w:tabs>
          <w:tab w:val="clear" w:pos="1928"/>
          <w:tab w:val="left" w:pos="2013"/>
        </w:tabs>
        <w:ind w:left="2608" w:hanging="1361"/>
        <w:rPr>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3</w:t>
      </w:r>
      <w:r w:rsidRPr="00C35001">
        <w:rPr>
          <w:b/>
          <w:bCs/>
          <w:rtl/>
          <w:lang w:val="es-ES_tradnl" w:bidi="ar-EG"/>
        </w:rPr>
        <w:t>'</w:t>
      </w:r>
      <w:r w:rsidRPr="00C35001">
        <w:rPr>
          <w:rFonts w:hint="cs"/>
          <w:b/>
          <w:bCs/>
          <w:rtl/>
          <w:lang w:val="es-ES_tradnl" w:bidi="ar-EG"/>
        </w:rPr>
        <w:tab/>
      </w:r>
      <w:r w:rsidRPr="00C35001">
        <w:rPr>
          <w:b/>
          <w:bCs/>
          <w:rtl/>
          <w:lang w:val="es-ES_tradnl" w:bidi="ar-EG"/>
        </w:rPr>
        <w:t>أسباب الحرمان من الحرية؛</w:t>
      </w:r>
    </w:p>
    <w:p w:rsidR="006D675E" w:rsidRPr="00C35001" w:rsidRDefault="006D675E" w:rsidP="00A83CF9">
      <w:pPr>
        <w:pStyle w:val="SingleTxtGA"/>
        <w:tabs>
          <w:tab w:val="clear" w:pos="1928"/>
          <w:tab w:val="left" w:pos="2013"/>
        </w:tabs>
        <w:ind w:left="2608" w:hanging="1361"/>
        <w:rPr>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4</w:t>
      </w:r>
      <w:r w:rsidRPr="00C35001">
        <w:rPr>
          <w:b/>
          <w:bCs/>
          <w:rtl/>
          <w:lang w:val="es-ES_tradnl" w:bidi="ar-EG"/>
        </w:rPr>
        <w:t>'</w:t>
      </w:r>
      <w:r>
        <w:rPr>
          <w:rFonts w:hint="cs"/>
          <w:b/>
          <w:bCs/>
          <w:rtl/>
          <w:lang w:val="es-ES_tradnl" w:bidi="ar-EG"/>
        </w:rPr>
        <w:tab/>
      </w:r>
      <w:r w:rsidRPr="00C35001">
        <w:rPr>
          <w:b/>
          <w:bCs/>
          <w:rtl/>
          <w:lang w:val="es-ES_tradnl" w:bidi="ar-EG"/>
        </w:rPr>
        <w:t>السلطة المسؤولة عن الاحتجاز؛</w:t>
      </w:r>
    </w:p>
    <w:p w:rsidR="006D675E" w:rsidRPr="00C35001" w:rsidRDefault="006D675E" w:rsidP="00A83CF9">
      <w:pPr>
        <w:pStyle w:val="SingleTxtGA"/>
        <w:tabs>
          <w:tab w:val="clear" w:pos="1928"/>
          <w:tab w:val="left" w:pos="2013"/>
        </w:tabs>
        <w:ind w:left="2608" w:hanging="1361"/>
        <w:rPr>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5</w:t>
      </w:r>
      <w:r w:rsidRPr="00C35001">
        <w:rPr>
          <w:b/>
          <w:bCs/>
          <w:rtl/>
          <w:lang w:val="es-ES_tradnl" w:bidi="ar-EG"/>
        </w:rPr>
        <w:t>'</w:t>
      </w:r>
      <w:r>
        <w:rPr>
          <w:rFonts w:hint="cs"/>
          <w:b/>
          <w:bCs/>
          <w:rtl/>
          <w:lang w:val="es-ES_tradnl" w:bidi="ar-EG"/>
        </w:rPr>
        <w:tab/>
      </w:r>
      <w:r w:rsidRPr="00C35001">
        <w:rPr>
          <w:b/>
          <w:bCs/>
          <w:rtl/>
          <w:lang w:val="es-ES_tradnl" w:bidi="ar-EG"/>
        </w:rPr>
        <w:t>العناصر المتعلّقة بالحالة الصحية للشخص المحروم من الحرية؛</w:t>
      </w:r>
    </w:p>
    <w:p w:rsidR="006D675E" w:rsidRPr="00C35001" w:rsidRDefault="006D675E" w:rsidP="00A83CF9">
      <w:pPr>
        <w:pStyle w:val="SingleTxtGA"/>
        <w:tabs>
          <w:tab w:val="clear" w:pos="1928"/>
          <w:tab w:val="left" w:pos="2013"/>
        </w:tabs>
        <w:ind w:left="2608" w:hanging="1361"/>
        <w:rPr>
          <w:rFonts w:hint="cs"/>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6</w:t>
      </w:r>
      <w:r w:rsidRPr="00C35001">
        <w:rPr>
          <w:b/>
          <w:bCs/>
          <w:rtl/>
          <w:lang w:val="es-ES_tradnl" w:bidi="ar-EG"/>
        </w:rPr>
        <w:t>'</w:t>
      </w:r>
      <w:r>
        <w:rPr>
          <w:rFonts w:hint="cs"/>
          <w:b/>
          <w:bCs/>
          <w:rtl/>
          <w:lang w:val="es-ES_tradnl" w:bidi="ar-EG"/>
        </w:rPr>
        <w:tab/>
      </w:r>
      <w:r w:rsidRPr="00C35001">
        <w:rPr>
          <w:b/>
          <w:bCs/>
          <w:rtl/>
          <w:lang w:val="es-ES_tradnl" w:bidi="ar-EG"/>
        </w:rPr>
        <w:t>ظروف وأسباب الموت والمكان الذي أرسلت إليه جثة الشخص المتوفى، في حالة ال</w:t>
      </w:r>
      <w:r>
        <w:rPr>
          <w:b/>
          <w:bCs/>
          <w:rtl/>
          <w:lang w:val="es-ES_tradnl" w:bidi="ar-EG"/>
        </w:rPr>
        <w:t xml:space="preserve">وفاة أثناء الحرمان من الحرية؛ </w:t>
      </w:r>
    </w:p>
    <w:p w:rsidR="006D675E" w:rsidRPr="00C35001" w:rsidRDefault="006D675E" w:rsidP="00BF207A">
      <w:pPr>
        <w:pStyle w:val="SingleTxtGA"/>
        <w:tabs>
          <w:tab w:val="clear" w:pos="1928"/>
          <w:tab w:val="left" w:pos="2013"/>
        </w:tabs>
        <w:spacing w:line="366" w:lineRule="exact"/>
        <w:ind w:left="2608" w:hanging="1361"/>
        <w:rPr>
          <w:b/>
          <w:bCs/>
          <w:rtl/>
          <w:lang w:val="es-ES_tradnl" w:bidi="ar-EG"/>
        </w:rPr>
      </w:pPr>
      <w:r>
        <w:rPr>
          <w:rFonts w:hint="cs"/>
          <w:b/>
          <w:bCs/>
          <w:rtl/>
          <w:lang w:val="es-ES_tradnl" w:bidi="ar-EG"/>
        </w:rPr>
        <w:tab/>
      </w:r>
      <w:r w:rsidRPr="00C35001">
        <w:rPr>
          <w:b/>
          <w:bCs/>
          <w:rtl/>
          <w:lang w:val="es-ES_tradnl" w:bidi="ar-EG"/>
        </w:rPr>
        <w:t>'</w:t>
      </w:r>
      <w:r>
        <w:rPr>
          <w:rFonts w:hint="cs"/>
          <w:b/>
          <w:bCs/>
          <w:rtl/>
          <w:lang w:val="es-ES_tradnl" w:bidi="ar-EG"/>
        </w:rPr>
        <w:t>7</w:t>
      </w:r>
      <w:r w:rsidRPr="00C35001">
        <w:rPr>
          <w:b/>
          <w:bCs/>
          <w:rtl/>
          <w:lang w:val="es-ES_tradnl" w:bidi="ar-EG"/>
        </w:rPr>
        <w:t>'</w:t>
      </w:r>
      <w:r w:rsidRPr="00C35001">
        <w:rPr>
          <w:rFonts w:hint="cs"/>
          <w:b/>
          <w:bCs/>
          <w:rtl/>
          <w:lang w:val="es-ES_tradnl" w:bidi="ar-EG"/>
        </w:rPr>
        <w:tab/>
      </w:r>
      <w:r w:rsidRPr="00C35001">
        <w:rPr>
          <w:b/>
          <w:bCs/>
          <w:rtl/>
          <w:lang w:val="es-ES_tradnl" w:bidi="ar-EG"/>
        </w:rPr>
        <w:t xml:space="preserve">تاريخ وساعة </w:t>
      </w:r>
      <w:r>
        <w:rPr>
          <w:rFonts w:hint="cs"/>
          <w:b/>
          <w:bCs/>
          <w:rtl/>
          <w:lang w:val="es-ES_tradnl" w:bidi="ar-EG"/>
        </w:rPr>
        <w:t>الإفراج أو</w:t>
      </w:r>
      <w:r>
        <w:rPr>
          <w:b/>
          <w:bCs/>
          <w:rtl/>
          <w:lang w:val="es-ES_tradnl" w:bidi="ar-EG"/>
        </w:rPr>
        <w:t> </w:t>
      </w:r>
      <w:r>
        <w:rPr>
          <w:rFonts w:hint="cs"/>
          <w:b/>
          <w:bCs/>
          <w:rtl/>
          <w:lang w:val="es-ES_tradnl" w:bidi="ar-EG"/>
        </w:rPr>
        <w:t xml:space="preserve">النقل </w:t>
      </w:r>
      <w:r w:rsidRPr="00C35001">
        <w:rPr>
          <w:b/>
          <w:bCs/>
          <w:rtl/>
          <w:lang w:val="es-ES_tradnl" w:bidi="ar-EG"/>
        </w:rPr>
        <w:t>إلى مكان احتجاز آخر، والوجهة التي ذهب إليها والسلطة المسؤولة عن عملية النقل؛</w:t>
      </w:r>
    </w:p>
    <w:p w:rsidR="006D675E" w:rsidRPr="00C35001" w:rsidRDefault="006D675E" w:rsidP="00BF207A">
      <w:pPr>
        <w:pStyle w:val="SingleTxtGA"/>
        <w:spacing w:line="366" w:lineRule="exact"/>
        <w:rPr>
          <w:b/>
          <w:bCs/>
          <w:rtl/>
          <w:lang w:val="fr-FR"/>
        </w:rPr>
      </w:pPr>
      <w:r w:rsidRPr="00C35001">
        <w:rPr>
          <w:rFonts w:hint="cs"/>
          <w:b/>
          <w:bCs/>
          <w:rtl/>
          <w:lang w:val="fr-FR"/>
        </w:rPr>
        <w:tab/>
        <w:t>(ب)</w:t>
      </w:r>
      <w:r w:rsidRPr="00C35001">
        <w:rPr>
          <w:rFonts w:hint="cs"/>
          <w:b/>
          <w:bCs/>
          <w:rtl/>
          <w:lang w:val="fr-FR"/>
        </w:rPr>
        <w:tab/>
      </w:r>
      <w:r w:rsidRPr="00C35001">
        <w:rPr>
          <w:b/>
          <w:bCs/>
          <w:rtl/>
          <w:lang w:val="fr-FR"/>
        </w:rPr>
        <w:t xml:space="preserve">الاعتماد </w:t>
      </w:r>
      <w:r>
        <w:rPr>
          <w:rFonts w:hint="cs"/>
          <w:b/>
          <w:bCs/>
          <w:rtl/>
          <w:lang w:val="fr-FR"/>
        </w:rPr>
        <w:t xml:space="preserve">الفوري </w:t>
      </w:r>
      <w:r>
        <w:rPr>
          <w:b/>
          <w:bCs/>
          <w:rtl/>
          <w:lang w:val="fr-FR"/>
        </w:rPr>
        <w:t xml:space="preserve">لتعريف الاختفاء القسري في </w:t>
      </w:r>
      <w:r>
        <w:rPr>
          <w:rFonts w:hint="cs"/>
          <w:b/>
          <w:bCs/>
          <w:rtl/>
          <w:lang w:val="fr-FR"/>
        </w:rPr>
        <w:t>تشريعاتها الوطنية</w:t>
      </w:r>
      <w:r w:rsidRPr="00C35001">
        <w:rPr>
          <w:b/>
          <w:bCs/>
          <w:rtl/>
          <w:lang w:val="fr-FR"/>
        </w:rPr>
        <w:t>؛</w:t>
      </w:r>
    </w:p>
    <w:p w:rsidR="006D675E" w:rsidRPr="00C35001" w:rsidRDefault="006D675E" w:rsidP="00BF207A">
      <w:pPr>
        <w:pStyle w:val="SingleTxtGA"/>
        <w:spacing w:line="366" w:lineRule="exact"/>
        <w:rPr>
          <w:b/>
          <w:bCs/>
          <w:rtl/>
          <w:lang w:val="fr-FR"/>
        </w:rPr>
      </w:pPr>
      <w:r w:rsidRPr="00C35001">
        <w:rPr>
          <w:rFonts w:hint="cs"/>
          <w:b/>
          <w:bCs/>
          <w:rtl/>
          <w:lang w:val="fr-FR"/>
        </w:rPr>
        <w:tab/>
        <w:t>(ج)</w:t>
      </w:r>
      <w:r w:rsidRPr="00C35001">
        <w:rPr>
          <w:rFonts w:hint="cs"/>
          <w:b/>
          <w:bCs/>
          <w:rtl/>
          <w:lang w:val="fr-FR"/>
        </w:rPr>
        <w:tab/>
      </w:r>
      <w:r w:rsidRPr="00C35001">
        <w:rPr>
          <w:b/>
          <w:bCs/>
          <w:rtl/>
          <w:lang w:val="fr-FR"/>
        </w:rPr>
        <w:t xml:space="preserve">اتخاذ تدابير فعّالة من أجل إجراء تحقيقات جنائية مُعمقة، ومستقلّة ومحايدة على الفور بشأن </w:t>
      </w:r>
      <w:r>
        <w:rPr>
          <w:rFonts w:hint="cs"/>
          <w:b/>
          <w:bCs/>
          <w:rtl/>
          <w:lang w:val="fr-FR"/>
        </w:rPr>
        <w:t xml:space="preserve">كافة </w:t>
      </w:r>
      <w:r w:rsidRPr="00C35001">
        <w:rPr>
          <w:b/>
          <w:bCs/>
          <w:rtl/>
          <w:lang w:val="fr-FR"/>
        </w:rPr>
        <w:t xml:space="preserve">المزاعم الواردة عن التعذيب والمعاملة السيئة، وإحالة مرتكبي هذه الأعمال إلى العدالة التي ينبغي لها </w:t>
      </w:r>
      <w:r>
        <w:rPr>
          <w:rFonts w:hint="cs"/>
          <w:b/>
          <w:bCs/>
          <w:rtl/>
          <w:lang w:val="fr-FR"/>
        </w:rPr>
        <w:t xml:space="preserve">إنزال </w:t>
      </w:r>
      <w:r w:rsidRPr="00C35001">
        <w:rPr>
          <w:b/>
          <w:bCs/>
          <w:rtl/>
          <w:lang w:val="fr-FR"/>
        </w:rPr>
        <w:t>عقوبات مناسبة عليهم.</w:t>
      </w:r>
    </w:p>
    <w:p w:rsidR="006D675E" w:rsidRPr="00C46820" w:rsidRDefault="006D675E" w:rsidP="00BF207A">
      <w:pPr>
        <w:pStyle w:val="H23GA"/>
        <w:spacing w:line="366" w:lineRule="exact"/>
        <w:rPr>
          <w:rtl/>
          <w:lang w:val="fr-FR"/>
        </w:rPr>
      </w:pPr>
      <w:r>
        <w:rPr>
          <w:rFonts w:hint="cs"/>
          <w:rtl/>
          <w:lang w:val="fr-FR"/>
        </w:rPr>
        <w:tab/>
      </w:r>
      <w:r>
        <w:rPr>
          <w:rFonts w:hint="cs"/>
          <w:rtl/>
          <w:lang w:val="fr-FR"/>
        </w:rPr>
        <w:tab/>
      </w:r>
      <w:r w:rsidRPr="00C46820">
        <w:rPr>
          <w:rtl/>
          <w:lang w:val="fr-FR"/>
        </w:rPr>
        <w:t>الأمر الصادر عن موظف أعلى رتبة</w:t>
      </w:r>
    </w:p>
    <w:p w:rsidR="006D675E" w:rsidRPr="00C46820" w:rsidRDefault="00426C4B" w:rsidP="00BF207A">
      <w:pPr>
        <w:pStyle w:val="SingleTxtGA"/>
        <w:spacing w:line="366" w:lineRule="exact"/>
        <w:rPr>
          <w:rtl/>
          <w:lang w:val="fr-FR"/>
        </w:rPr>
      </w:pPr>
      <w:r>
        <w:rPr>
          <w:rFonts w:hint="cs"/>
          <w:rtl/>
          <w:lang w:val="fr-FR"/>
        </w:rPr>
        <w:t>(</w:t>
      </w:r>
      <w:r w:rsidR="006D675E">
        <w:rPr>
          <w:rFonts w:hint="cs"/>
          <w:rtl/>
          <w:lang w:val="fr-FR"/>
        </w:rPr>
        <w:t>12</w:t>
      </w:r>
      <w:r>
        <w:rPr>
          <w:rFonts w:hint="cs"/>
          <w:rtl/>
          <w:lang w:val="fr-FR"/>
        </w:rPr>
        <w:t>)</w:t>
      </w:r>
      <w:r w:rsidR="006D675E" w:rsidRPr="00C46820">
        <w:rPr>
          <w:rtl/>
          <w:lang w:val="fr-FR"/>
        </w:rPr>
        <w:tab/>
        <w:t xml:space="preserve">تحيط </w:t>
      </w:r>
      <w:r w:rsidR="006D675E">
        <w:rPr>
          <w:rFonts w:hint="cs"/>
          <w:rtl/>
          <w:lang w:val="fr-FR"/>
        </w:rPr>
        <w:t xml:space="preserve">اللجنة </w:t>
      </w:r>
      <w:r w:rsidR="006D675E" w:rsidRPr="00C46820">
        <w:rPr>
          <w:rtl/>
          <w:lang w:val="fr-FR"/>
        </w:rPr>
        <w:t>علماً بالمعلوم</w:t>
      </w:r>
      <w:r w:rsidR="006D675E">
        <w:rPr>
          <w:rFonts w:hint="cs"/>
          <w:rtl/>
          <w:lang w:val="fr-FR"/>
        </w:rPr>
        <w:t>ات</w:t>
      </w:r>
      <w:r w:rsidR="006D675E" w:rsidRPr="00C46820">
        <w:rPr>
          <w:rtl/>
          <w:lang w:val="fr-FR"/>
        </w:rPr>
        <w:t xml:space="preserve"> المُقدمة </w:t>
      </w:r>
      <w:r w:rsidR="006D675E">
        <w:rPr>
          <w:rFonts w:hint="cs"/>
          <w:rtl/>
          <w:lang w:val="fr-FR"/>
        </w:rPr>
        <w:t xml:space="preserve">من الدولة الطرف </w:t>
      </w:r>
      <w:r w:rsidR="006D675E" w:rsidRPr="00C46820">
        <w:rPr>
          <w:rtl/>
          <w:lang w:val="fr-FR"/>
        </w:rPr>
        <w:t>عن مرسوم</w:t>
      </w:r>
      <w:r w:rsidR="006D675E" w:rsidRPr="00C46820">
        <w:rPr>
          <w:rtl/>
          <w:lang w:val="fr-FR"/>
        </w:rPr>
        <w:t xml:space="preserve"> يتعلّق </w:t>
      </w:r>
      <w:r w:rsidR="006D675E" w:rsidRPr="00C46820">
        <w:rPr>
          <w:rtl/>
          <w:lang/>
        </w:rPr>
        <w:t>بمدونة قواعد سلوك خاصة</w:t>
      </w:r>
      <w:r w:rsidR="006D675E" w:rsidRPr="00C46820">
        <w:rPr>
          <w:rtl/>
          <w:lang w:val="fr-FR"/>
        </w:rPr>
        <w:t xml:space="preserve"> بالشرطة الوطنية تنُص على أنّ طاعة رئيس في السُلطة الهرمية</w:t>
      </w:r>
      <w:r w:rsidR="006D675E">
        <w:rPr>
          <w:rtl/>
          <w:lang w:val="fr-FR"/>
        </w:rPr>
        <w:t xml:space="preserve"> فيما </w:t>
      </w:r>
      <w:r w:rsidR="006D675E" w:rsidRPr="00C46820">
        <w:rPr>
          <w:rtl/>
          <w:lang w:val="fr-FR"/>
        </w:rPr>
        <w:t>يتعلّق بارتكاب عمليات التعذيب تخضع لعقوبات إدارية، دون المساس بالعقوبات المنصوص عليها في القانون، وتُلاحظ كذلك اللجنة المعلوم</w:t>
      </w:r>
      <w:r w:rsidR="006D675E">
        <w:rPr>
          <w:rFonts w:hint="cs"/>
          <w:rtl/>
          <w:lang w:val="fr-FR"/>
        </w:rPr>
        <w:t>ات</w:t>
      </w:r>
      <w:r w:rsidR="006D675E" w:rsidRPr="00C46820">
        <w:rPr>
          <w:rtl/>
          <w:lang w:val="fr-FR"/>
        </w:rPr>
        <w:t xml:space="preserve"> المُقدّمة شفوياً بخصوص المادّة 14 من القانون رقم 2010-07 </w:t>
      </w:r>
      <w:r w:rsidR="006D675E">
        <w:rPr>
          <w:rFonts w:hint="cs"/>
          <w:rtl/>
          <w:lang w:val="fr-FR"/>
        </w:rPr>
        <w:t>المتضمن القانون الأساسي للشرطة</w:t>
      </w:r>
      <w:r w:rsidR="006D675E" w:rsidRPr="00C46820">
        <w:rPr>
          <w:rtl/>
          <w:lang w:val="fr-FR"/>
        </w:rPr>
        <w:t xml:space="preserve"> الوطنية والتي </w:t>
      </w:r>
      <w:r w:rsidR="006D675E">
        <w:rPr>
          <w:rFonts w:hint="cs"/>
          <w:rtl/>
          <w:lang w:val="fr-FR"/>
        </w:rPr>
        <w:t xml:space="preserve">ترهن </w:t>
      </w:r>
      <w:r w:rsidR="006D675E" w:rsidRPr="00C46820">
        <w:rPr>
          <w:rtl/>
          <w:lang w:val="fr-FR"/>
        </w:rPr>
        <w:t xml:space="preserve">وجوب الطاعة في السلطة الهرمية </w:t>
      </w:r>
      <w:r w:rsidR="006D675E">
        <w:rPr>
          <w:rFonts w:hint="cs"/>
          <w:rtl/>
          <w:lang w:val="fr-FR"/>
        </w:rPr>
        <w:t xml:space="preserve">باحترام الإطار </w:t>
      </w:r>
      <w:r w:rsidR="006D675E" w:rsidRPr="00C46820">
        <w:rPr>
          <w:rtl/>
          <w:lang w:val="fr-FR"/>
        </w:rPr>
        <w:t xml:space="preserve">التشريعي والتنظيمي، </w:t>
      </w:r>
      <w:r w:rsidR="006D675E">
        <w:rPr>
          <w:rFonts w:hint="cs"/>
          <w:rtl/>
          <w:lang w:val="fr-FR"/>
        </w:rPr>
        <w:t xml:space="preserve">ومع ذلك تظل </w:t>
      </w:r>
      <w:r w:rsidR="006D675E" w:rsidRPr="00C46820">
        <w:rPr>
          <w:rtl/>
          <w:lang w:val="fr-FR"/>
        </w:rPr>
        <w:t xml:space="preserve">اللجنة قلقة </w:t>
      </w:r>
      <w:r w:rsidR="006D675E">
        <w:rPr>
          <w:rFonts w:hint="cs"/>
          <w:rtl/>
          <w:lang w:val="fr-FR"/>
        </w:rPr>
        <w:t xml:space="preserve">إزاء كون هذه </w:t>
      </w:r>
      <w:r w:rsidR="006D675E" w:rsidRPr="00C46820">
        <w:rPr>
          <w:rtl/>
          <w:lang w:val="fr-FR"/>
        </w:rPr>
        <w:t>الأحكام تقتصر فقط على قوات الشرطة. وفضلاً عن ذلك،</w:t>
      </w:r>
      <w:r w:rsidR="006D675E">
        <w:rPr>
          <w:rtl/>
          <w:lang w:val="fr-FR"/>
        </w:rPr>
        <w:t xml:space="preserve"> لا </w:t>
      </w:r>
      <w:r w:rsidR="006D675E" w:rsidRPr="00C46820">
        <w:rPr>
          <w:rtl/>
          <w:lang w:val="fr-FR"/>
        </w:rPr>
        <w:t>توفر هذه الأحكام نظام حماية رسمي ضد الأعمال الانتقامية التي تطال أي مرؤوس يرفُض أمر رئيسه بارتكاب أعمال تعذيب (المادة 2).</w:t>
      </w:r>
    </w:p>
    <w:p w:rsidR="006D675E" w:rsidRPr="00BF207A" w:rsidRDefault="006D675E" w:rsidP="00BF207A">
      <w:pPr>
        <w:pStyle w:val="SingleTxtGA"/>
        <w:rPr>
          <w:b/>
          <w:bCs/>
          <w:rtl/>
          <w:lang w:val="fr-FR"/>
        </w:rPr>
      </w:pPr>
      <w:r w:rsidRPr="00BF207A">
        <w:rPr>
          <w:rFonts w:hint="cs"/>
          <w:rtl/>
        </w:rPr>
        <w:tab/>
      </w:r>
      <w:r w:rsidRPr="00BF207A">
        <w:rPr>
          <w:b/>
          <w:bCs/>
          <w:rtl/>
        </w:rPr>
        <w:t>ينبغي للدولة الطرف أن تكفل، قانوناً وممارسة</w:t>
      </w:r>
      <w:r w:rsidRPr="00BF207A">
        <w:rPr>
          <w:b/>
          <w:bCs/>
          <w:rtl/>
          <w:lang w:val="fr-FR"/>
        </w:rPr>
        <w:t xml:space="preserve">، </w:t>
      </w:r>
      <w:r w:rsidRPr="00BF207A">
        <w:rPr>
          <w:b/>
          <w:bCs/>
          <w:rtl/>
        </w:rPr>
        <w:t>ألا يكون تنفيذ مثل هذا الأمر مبرراً لممارسة التعذيب</w:t>
      </w:r>
      <w:r w:rsidRPr="00BF207A">
        <w:rPr>
          <w:b/>
          <w:bCs/>
          <w:rtl/>
          <w:lang w:val="fr-FR"/>
        </w:rPr>
        <w:t xml:space="preserve">، وذلك امتثالاً للفقرة </w:t>
      </w:r>
      <w:r w:rsidRPr="00BF207A">
        <w:rPr>
          <w:rFonts w:hint="cs"/>
          <w:b/>
          <w:bCs/>
          <w:rtl/>
          <w:lang w:val="fr-FR"/>
        </w:rPr>
        <w:t>3</w:t>
      </w:r>
      <w:r w:rsidRPr="00BF207A">
        <w:rPr>
          <w:b/>
          <w:bCs/>
          <w:rtl/>
          <w:lang w:val="fr-FR"/>
        </w:rPr>
        <w:t xml:space="preserve"> من المادة </w:t>
      </w:r>
      <w:r w:rsidRPr="00BF207A">
        <w:rPr>
          <w:rFonts w:hint="cs"/>
          <w:b/>
          <w:bCs/>
          <w:rtl/>
          <w:lang w:val="fr-FR"/>
        </w:rPr>
        <w:t xml:space="preserve">2 </w:t>
      </w:r>
      <w:r w:rsidRPr="00BF207A">
        <w:rPr>
          <w:b/>
          <w:bCs/>
          <w:rtl/>
          <w:lang w:val="fr-FR"/>
        </w:rPr>
        <w:t xml:space="preserve">من الاتفاقية. </w:t>
      </w:r>
      <w:r w:rsidRPr="00BF207A">
        <w:rPr>
          <w:b/>
          <w:bCs/>
          <w:rtl/>
        </w:rPr>
        <w:t xml:space="preserve">وينبغي أيضاً </w:t>
      </w:r>
      <w:r w:rsidRPr="00BF207A">
        <w:rPr>
          <w:rFonts w:hint="cs"/>
          <w:b/>
          <w:bCs/>
          <w:rtl/>
        </w:rPr>
        <w:t xml:space="preserve">أن تنشئ الدولة الطرف نظاماً يحمي من الأعمال الانتقامية </w:t>
      </w:r>
      <w:r w:rsidRPr="00BF207A">
        <w:rPr>
          <w:b/>
          <w:bCs/>
          <w:rtl/>
        </w:rPr>
        <w:t>المرؤوسين الذين يرفضون الانصياع لأمر الرئيس الذي يخالف الاتفاقية.</w:t>
      </w:r>
    </w:p>
    <w:p w:rsidR="006D675E" w:rsidRPr="00BF207A" w:rsidRDefault="006D675E" w:rsidP="00BF207A">
      <w:pPr>
        <w:pStyle w:val="H23GA"/>
        <w:rPr>
          <w:rtl/>
          <w:lang w:val="fr-FR"/>
        </w:rPr>
      </w:pPr>
      <w:r w:rsidRPr="00BF207A">
        <w:rPr>
          <w:rFonts w:hint="cs"/>
          <w:rtl/>
        </w:rPr>
        <w:tab/>
      </w:r>
      <w:r w:rsidRPr="00BF207A">
        <w:rPr>
          <w:rFonts w:hint="cs"/>
          <w:rtl/>
        </w:rPr>
        <w:tab/>
      </w:r>
      <w:r w:rsidRPr="00BF207A">
        <w:rPr>
          <w:rtl/>
        </w:rPr>
        <w:t>اللجنة الوطنية لحقوق الإنسان</w:t>
      </w:r>
    </w:p>
    <w:p w:rsidR="006D675E" w:rsidRPr="00BF207A" w:rsidRDefault="00BF207A" w:rsidP="00BF207A">
      <w:pPr>
        <w:pStyle w:val="SingleTxtGA"/>
        <w:rPr>
          <w:rtl/>
          <w:lang w:val="fr-FR"/>
        </w:rPr>
      </w:pPr>
      <w:r w:rsidRPr="00BF207A">
        <w:rPr>
          <w:rFonts w:hint="cs"/>
          <w:rtl/>
          <w:lang w:val="fr-FR"/>
        </w:rPr>
        <w:t>(</w:t>
      </w:r>
      <w:r w:rsidR="006D675E" w:rsidRPr="00BF207A">
        <w:rPr>
          <w:rFonts w:hint="cs"/>
          <w:rtl/>
          <w:lang w:val="fr-FR"/>
        </w:rPr>
        <w:t>13</w:t>
      </w:r>
      <w:r w:rsidRPr="00BF207A">
        <w:rPr>
          <w:rFonts w:hint="cs"/>
          <w:rtl/>
          <w:lang w:val="fr-FR"/>
        </w:rPr>
        <w:t>)</w:t>
      </w:r>
      <w:r w:rsidR="006D675E" w:rsidRPr="00BF207A">
        <w:rPr>
          <w:rtl/>
          <w:lang w:val="fr-FR"/>
        </w:rPr>
        <w:tab/>
        <w:t xml:space="preserve">تلاحظ اللجنة </w:t>
      </w:r>
      <w:r w:rsidR="006D675E" w:rsidRPr="00BF207A">
        <w:rPr>
          <w:rFonts w:hint="cs"/>
          <w:rtl/>
          <w:lang w:val="fr-FR"/>
        </w:rPr>
        <w:t xml:space="preserve">بتقدير </w:t>
      </w:r>
      <w:r w:rsidR="006D675E" w:rsidRPr="00BF207A">
        <w:rPr>
          <w:rtl/>
          <w:lang w:val="fr-FR"/>
        </w:rPr>
        <w:t>إنشاء اللجنة الوطنية لحقوق الإنسان في عام 2006</w:t>
      </w:r>
      <w:r w:rsidR="006D675E" w:rsidRPr="00BF207A">
        <w:rPr>
          <w:rFonts w:hint="cs"/>
          <w:rtl/>
          <w:lang w:val="fr-FR"/>
        </w:rPr>
        <w:t>،</w:t>
      </w:r>
      <w:r w:rsidR="006D675E" w:rsidRPr="00BF207A">
        <w:rPr>
          <w:rtl/>
          <w:lang w:val="fr-FR"/>
        </w:rPr>
        <w:t xml:space="preserve"> وتمتع هذه اللجنة </w:t>
      </w:r>
      <w:r w:rsidR="006D675E" w:rsidRPr="00BF207A">
        <w:rPr>
          <w:rFonts w:hint="cs"/>
          <w:rtl/>
          <w:lang w:val="fr-FR"/>
        </w:rPr>
        <w:t xml:space="preserve">بمركز </w:t>
      </w:r>
      <w:r w:rsidR="006D675E" w:rsidRPr="00BF207A">
        <w:rPr>
          <w:rtl/>
          <w:lang w:val="fr-FR"/>
        </w:rPr>
        <w:t xml:space="preserve">الفئة "ألف" </w:t>
      </w:r>
      <w:r w:rsidR="006D675E" w:rsidRPr="00BF207A">
        <w:rPr>
          <w:rFonts w:hint="cs"/>
          <w:rtl/>
          <w:lang w:val="fr-FR"/>
        </w:rPr>
        <w:t xml:space="preserve">الذي </w:t>
      </w:r>
      <w:r w:rsidR="006D675E" w:rsidRPr="00BF207A">
        <w:rPr>
          <w:rtl/>
          <w:lang w:val="fr-FR"/>
        </w:rPr>
        <w:t>حدّدته مبادئ باريس. وتعرب اللجنة عن رضائها عن إمكانية تنظيم اللجنة زيارات مفاجئة لجميع أماكن الاحتجاز في الدولة الطرف وإمكانية تقديم توصيات إلى السُلطات المُختصّة (المادّة 2).</w:t>
      </w:r>
    </w:p>
    <w:p w:rsidR="006D675E" w:rsidRPr="00BF207A" w:rsidRDefault="006D675E" w:rsidP="00BF207A">
      <w:pPr>
        <w:pStyle w:val="SingleTxtGA"/>
        <w:rPr>
          <w:rFonts w:hint="cs"/>
          <w:b/>
          <w:bCs/>
          <w:rtl/>
          <w:lang w:val="fr-FR"/>
        </w:rPr>
      </w:pPr>
      <w:r w:rsidRPr="00BF207A">
        <w:rPr>
          <w:rFonts w:hint="cs"/>
          <w:rtl/>
          <w:lang w:val="fr-FR"/>
        </w:rPr>
        <w:tab/>
      </w:r>
      <w:r w:rsidRPr="00BF207A">
        <w:rPr>
          <w:b/>
          <w:bCs/>
          <w:rtl/>
        </w:rPr>
        <w:t xml:space="preserve">ينبغي للدولة الطرف أن تزوّد اللجنة بالموارد المالية والبشرية لتمكينها من الاضطلاع بمهمتها، </w:t>
      </w:r>
      <w:r w:rsidRPr="00BF207A">
        <w:rPr>
          <w:b/>
          <w:bCs/>
          <w:rtl/>
          <w:lang w:val="fr-FR"/>
        </w:rPr>
        <w:t xml:space="preserve">ونشر توصياتها وتعزيز استقلاليتها، </w:t>
      </w:r>
      <w:r w:rsidRPr="00BF207A">
        <w:rPr>
          <w:rFonts w:hint="cs"/>
          <w:b/>
          <w:bCs/>
          <w:rtl/>
          <w:lang w:val="fr-FR"/>
        </w:rPr>
        <w:t>في إطار ا</w:t>
      </w:r>
      <w:r w:rsidRPr="00BF207A">
        <w:rPr>
          <w:b/>
          <w:bCs/>
          <w:rtl/>
          <w:lang w:val="fr-FR"/>
        </w:rPr>
        <w:t xml:space="preserve">لامتثال الكامل لمبادئ باريس (قرار </w:t>
      </w:r>
      <w:r w:rsidRPr="00BF207A">
        <w:rPr>
          <w:rFonts w:hint="cs"/>
          <w:b/>
          <w:bCs/>
          <w:rtl/>
          <w:lang w:val="fr-FR"/>
        </w:rPr>
        <w:t xml:space="preserve">الجمعية العامة </w:t>
      </w:r>
      <w:r w:rsidRPr="00BF207A">
        <w:rPr>
          <w:b/>
          <w:bCs/>
          <w:rtl/>
          <w:lang w:val="fr-FR"/>
        </w:rPr>
        <w:t>48</w:t>
      </w:r>
      <w:r w:rsidRPr="00BF207A">
        <w:rPr>
          <w:rFonts w:hint="cs"/>
          <w:b/>
          <w:bCs/>
          <w:rtl/>
          <w:lang w:val="fr-FR"/>
        </w:rPr>
        <w:t>/</w:t>
      </w:r>
      <w:r w:rsidRPr="00BF207A">
        <w:rPr>
          <w:b/>
          <w:bCs/>
          <w:rtl/>
          <w:lang w:val="fr-FR"/>
        </w:rPr>
        <w:t>134</w:t>
      </w:r>
      <w:r w:rsidRPr="00BF207A">
        <w:rPr>
          <w:rFonts w:hint="cs"/>
          <w:b/>
          <w:bCs/>
          <w:rtl/>
          <w:lang w:val="fr-FR"/>
        </w:rPr>
        <w:t>).</w:t>
      </w:r>
    </w:p>
    <w:p w:rsidR="006D675E" w:rsidRPr="00BF207A" w:rsidRDefault="006D675E" w:rsidP="00BF207A">
      <w:pPr>
        <w:pStyle w:val="H23GA"/>
        <w:rPr>
          <w:rtl/>
          <w:lang w:val="fr-FR"/>
        </w:rPr>
      </w:pPr>
      <w:r w:rsidRPr="00BF207A">
        <w:rPr>
          <w:rFonts w:hint="cs"/>
          <w:rtl/>
        </w:rPr>
        <w:tab/>
      </w:r>
      <w:r w:rsidRPr="00BF207A">
        <w:rPr>
          <w:rFonts w:hint="cs"/>
          <w:rtl/>
        </w:rPr>
        <w:tab/>
      </w:r>
      <w:r w:rsidRPr="00BF207A">
        <w:rPr>
          <w:rtl/>
        </w:rPr>
        <w:t>الآلية الوطنية لمنع التعذيب</w:t>
      </w:r>
    </w:p>
    <w:p w:rsidR="006D675E" w:rsidRPr="00BF207A" w:rsidRDefault="00BF207A" w:rsidP="00A83CF9">
      <w:pPr>
        <w:pStyle w:val="SingleTxtGA"/>
        <w:spacing w:line="370" w:lineRule="exact"/>
        <w:rPr>
          <w:rtl/>
          <w:lang w:val="fr-FR"/>
        </w:rPr>
      </w:pPr>
      <w:r w:rsidRPr="00BF207A">
        <w:rPr>
          <w:rFonts w:hint="cs"/>
          <w:rtl/>
        </w:rPr>
        <w:t>(</w:t>
      </w:r>
      <w:r w:rsidR="006D675E" w:rsidRPr="00BF207A">
        <w:rPr>
          <w:rFonts w:hint="cs"/>
          <w:rtl/>
        </w:rPr>
        <w:t>14</w:t>
      </w:r>
      <w:r w:rsidRPr="00BF207A">
        <w:rPr>
          <w:rFonts w:hint="cs"/>
          <w:rtl/>
        </w:rPr>
        <w:t>)</w:t>
      </w:r>
      <w:r w:rsidR="006D675E" w:rsidRPr="00BF207A">
        <w:rPr>
          <w:rtl/>
        </w:rPr>
        <w:tab/>
        <w:t>تلاحظ اللجنة أنّ على الدولة الطرف إنشاء آلية وطنية لمنع التعذيب بعد تصديقها على البروتوكول الاختياري لاتفاقية مناهضة التعذيب وغيره من ضروب العقوبات أو المعاملة القاسية أو اللاإنسانية أو المهينة (المادة 2).</w:t>
      </w:r>
    </w:p>
    <w:p w:rsidR="006D675E" w:rsidRPr="00BF207A" w:rsidRDefault="006D675E" w:rsidP="00A83CF9">
      <w:pPr>
        <w:pStyle w:val="SingleTxtGA"/>
        <w:spacing w:line="370" w:lineRule="exact"/>
        <w:rPr>
          <w:b/>
          <w:bCs/>
          <w:rtl/>
        </w:rPr>
      </w:pPr>
      <w:r w:rsidRPr="00BF207A">
        <w:rPr>
          <w:rFonts w:hint="cs"/>
          <w:rtl/>
        </w:rPr>
        <w:tab/>
      </w:r>
      <w:r w:rsidRPr="00BF207A">
        <w:rPr>
          <w:b/>
          <w:bCs/>
          <w:rtl/>
        </w:rPr>
        <w:t xml:space="preserve">ينبغي للدولة الطرف، وبالتشاور مع جميع </w:t>
      </w:r>
      <w:r w:rsidRPr="00BF207A">
        <w:rPr>
          <w:rFonts w:hint="cs"/>
          <w:b/>
          <w:bCs/>
          <w:rtl/>
        </w:rPr>
        <w:t xml:space="preserve">الجهات </w:t>
      </w:r>
      <w:r w:rsidRPr="00BF207A">
        <w:rPr>
          <w:b/>
          <w:bCs/>
          <w:rtl/>
        </w:rPr>
        <w:t>المعنية، أن تتخذ التدابير الملائمة بغية إنشاء آلية وطنية لمنع التعذيب تتطابق مع المادة 3 من البروتوكول الاختياري</w:t>
      </w:r>
      <w:r w:rsidRPr="00BF207A">
        <w:rPr>
          <w:b/>
          <w:bCs/>
          <w:rtl/>
          <w:lang w:val="fr-FR"/>
        </w:rPr>
        <w:t xml:space="preserve"> الملحق بالاتفاقية بحلول شهر تشرين الأول</w:t>
      </w:r>
      <w:r w:rsidRPr="00BF207A">
        <w:rPr>
          <w:rFonts w:hint="cs"/>
          <w:b/>
          <w:bCs/>
          <w:rtl/>
          <w:lang w:val="fr-FR"/>
        </w:rPr>
        <w:t>/</w:t>
      </w:r>
      <w:r w:rsidRPr="00BF207A">
        <w:rPr>
          <w:b/>
          <w:bCs/>
          <w:rtl/>
          <w:lang w:val="fr-FR"/>
        </w:rPr>
        <w:t xml:space="preserve">أكتوبر 2013، </w:t>
      </w:r>
      <w:r w:rsidRPr="00BF207A">
        <w:rPr>
          <w:b/>
          <w:bCs/>
          <w:rtl/>
        </w:rPr>
        <w:t>وتزويد هذه الآلية بما يكفي من موارد مالية وبشرية للسماح لها بالاضطلاع بمهامها بكل فعالية واستقلالية، وفقاً لأحكام المادتين 3 و17 من البروتوكول الاختياري و</w:t>
      </w:r>
      <w:r w:rsidRPr="00BF207A">
        <w:rPr>
          <w:b/>
          <w:bCs/>
          <w:rtl/>
          <w:lang w:bidi="ar-EG"/>
        </w:rPr>
        <w:t xml:space="preserve">المبادئ التوجيهية بشأن الآليات الوقائية الوطنية </w:t>
      </w:r>
      <w:r w:rsidRPr="00BF207A">
        <w:rPr>
          <w:b/>
          <w:bCs/>
          <w:rtl/>
          <w:lang w:val="fr-FR" w:bidi="ar-EG"/>
        </w:rPr>
        <w:t>(</w:t>
      </w:r>
      <w:r w:rsidRPr="00BF207A">
        <w:rPr>
          <w:b/>
          <w:bCs/>
          <w:lang w:bidi="ar-EG"/>
        </w:rPr>
        <w:t>CAT/OP/12/5</w:t>
      </w:r>
      <w:r w:rsidRPr="00BF207A">
        <w:rPr>
          <w:b/>
          <w:bCs/>
          <w:rtl/>
        </w:rPr>
        <w:t xml:space="preserve">). </w:t>
      </w:r>
    </w:p>
    <w:p w:rsidR="006D675E" w:rsidRPr="00BF207A" w:rsidRDefault="006D675E" w:rsidP="00A83CF9">
      <w:pPr>
        <w:pStyle w:val="H23GA"/>
        <w:spacing w:line="370" w:lineRule="exact"/>
        <w:rPr>
          <w:rtl/>
        </w:rPr>
      </w:pPr>
      <w:r w:rsidRPr="00BF207A">
        <w:rPr>
          <w:rFonts w:hint="cs"/>
          <w:rtl/>
        </w:rPr>
        <w:tab/>
      </w:r>
      <w:r w:rsidRPr="00BF207A">
        <w:rPr>
          <w:rFonts w:hint="cs"/>
          <w:rtl/>
        </w:rPr>
        <w:tab/>
      </w:r>
      <w:r w:rsidRPr="00BF207A">
        <w:rPr>
          <w:rtl/>
        </w:rPr>
        <w:t>استقلالية السُلطة القضائية</w:t>
      </w:r>
    </w:p>
    <w:p w:rsidR="006D675E" w:rsidRPr="00BF207A" w:rsidRDefault="00BF207A" w:rsidP="00A83CF9">
      <w:pPr>
        <w:pStyle w:val="SingleTxtGA"/>
        <w:spacing w:line="370" w:lineRule="exact"/>
        <w:rPr>
          <w:rtl/>
        </w:rPr>
      </w:pPr>
      <w:r w:rsidRPr="00BF207A">
        <w:rPr>
          <w:rFonts w:hint="cs"/>
          <w:rtl/>
        </w:rPr>
        <w:t>(</w:t>
      </w:r>
      <w:r w:rsidR="006D675E" w:rsidRPr="00BF207A">
        <w:rPr>
          <w:rFonts w:hint="cs"/>
          <w:rtl/>
        </w:rPr>
        <w:t>15</w:t>
      </w:r>
      <w:r w:rsidRPr="00BF207A">
        <w:rPr>
          <w:rFonts w:hint="cs"/>
          <w:rtl/>
        </w:rPr>
        <w:t>)</w:t>
      </w:r>
      <w:r w:rsidR="006D675E" w:rsidRPr="00BF207A">
        <w:rPr>
          <w:rFonts w:hint="cs"/>
          <w:rtl/>
        </w:rPr>
        <w:tab/>
      </w:r>
      <w:r w:rsidR="006D675E" w:rsidRPr="00BF207A">
        <w:rPr>
          <w:rtl/>
        </w:rPr>
        <w:t>تعرب اللجنة عن قلقها بشأن الادعاءات الواردة من مصدر موثوق عن الضغط على النظام القضائي وتوظيفه. وتنُص المادة 89 من دستور عام 1991</w:t>
      </w:r>
      <w:r w:rsidR="006D675E" w:rsidRPr="00BF207A">
        <w:rPr>
          <w:rFonts w:hint="cs"/>
          <w:rtl/>
        </w:rPr>
        <w:t xml:space="preserve"> </w:t>
      </w:r>
      <w:r w:rsidR="006D675E" w:rsidRPr="00BF207A">
        <w:rPr>
          <w:rtl/>
        </w:rPr>
        <w:t>على أنّ رئيس الجمهورية</w:t>
      </w:r>
      <w:r>
        <w:rPr>
          <w:rFonts w:hint="cs"/>
          <w:rtl/>
        </w:rPr>
        <w:t> </w:t>
      </w:r>
      <w:r w:rsidR="006D675E" w:rsidRPr="00BF207A">
        <w:rPr>
          <w:rtl/>
        </w:rPr>
        <w:t xml:space="preserve">هو </w:t>
      </w:r>
      <w:r w:rsidR="006D675E" w:rsidRPr="00BF207A">
        <w:rPr>
          <w:rFonts w:hint="cs"/>
          <w:rtl/>
        </w:rPr>
        <w:t>"الضامن ل</w:t>
      </w:r>
      <w:r w:rsidR="006D675E" w:rsidRPr="00BF207A">
        <w:rPr>
          <w:rtl/>
        </w:rPr>
        <w:t>استقلالية القضاء</w:t>
      </w:r>
      <w:r w:rsidR="006D675E" w:rsidRPr="00BF207A">
        <w:rPr>
          <w:rFonts w:hint="cs"/>
          <w:rtl/>
        </w:rPr>
        <w:t>"</w:t>
      </w:r>
      <w:r w:rsidR="006D675E" w:rsidRPr="00BF207A">
        <w:rPr>
          <w:rtl/>
        </w:rPr>
        <w:t xml:space="preserve"> ويرأس المجلس الأعلى للقضاء مما يزيد من قلق اللجنة. وتعرب</w:t>
      </w:r>
      <w:r w:rsidRPr="00BF207A">
        <w:rPr>
          <w:rFonts w:hint="cs"/>
          <w:rtl/>
        </w:rPr>
        <w:t xml:space="preserve"> </w:t>
      </w:r>
      <w:r w:rsidR="006D675E" w:rsidRPr="00BF207A">
        <w:rPr>
          <w:rtl/>
        </w:rPr>
        <w:t>اللجنة عن قلقها أيضاً إزاء عدم وجود ضمانات للاستقلال الحقيقي للسلطة القضائية</w:t>
      </w:r>
      <w:r w:rsidRPr="00BF207A">
        <w:rPr>
          <w:rFonts w:hint="cs"/>
          <w:rtl/>
        </w:rPr>
        <w:t xml:space="preserve"> </w:t>
      </w:r>
      <w:r w:rsidR="006D675E" w:rsidRPr="00BF207A">
        <w:rPr>
          <w:rtl/>
        </w:rPr>
        <w:t>(المادة 2).</w:t>
      </w:r>
    </w:p>
    <w:p w:rsidR="006D675E" w:rsidRPr="00C35001" w:rsidRDefault="006D675E" w:rsidP="00A83CF9">
      <w:pPr>
        <w:pStyle w:val="SingleTxtGA"/>
        <w:keepNext/>
        <w:keepLines/>
        <w:spacing w:line="370" w:lineRule="exact"/>
        <w:rPr>
          <w:b/>
          <w:bCs/>
          <w:rtl/>
          <w:lang w:val="fr-FR"/>
        </w:rPr>
      </w:pPr>
      <w:r>
        <w:rPr>
          <w:rFonts w:hint="cs"/>
          <w:rtl/>
          <w:lang w:val="fr-FR"/>
        </w:rPr>
        <w:tab/>
      </w:r>
      <w:r w:rsidRPr="00C35001">
        <w:rPr>
          <w:b/>
          <w:bCs/>
          <w:rtl/>
          <w:lang w:val="fr-FR"/>
        </w:rPr>
        <w:t>ينبغي للدولة الطرف أن تقوم</w:t>
      </w:r>
      <w:r>
        <w:rPr>
          <w:b/>
          <w:bCs/>
          <w:rtl/>
          <w:lang w:val="fr-FR"/>
        </w:rPr>
        <w:t xml:space="preserve"> بما </w:t>
      </w:r>
      <w:r w:rsidRPr="00C35001">
        <w:rPr>
          <w:b/>
          <w:bCs/>
          <w:rtl/>
          <w:lang w:val="fr-FR"/>
        </w:rPr>
        <w:t xml:space="preserve">يلي: </w:t>
      </w:r>
    </w:p>
    <w:p w:rsidR="006D675E" w:rsidRPr="00C35001" w:rsidRDefault="006D675E" w:rsidP="00A83CF9">
      <w:pPr>
        <w:pStyle w:val="SingleTxtGA"/>
        <w:spacing w:line="370" w:lineRule="exact"/>
        <w:rPr>
          <w:b/>
          <w:bCs/>
          <w:rtl/>
          <w:lang w:val="fr-FR"/>
        </w:rPr>
      </w:pPr>
      <w:r w:rsidRPr="00C35001">
        <w:rPr>
          <w:rFonts w:hint="cs"/>
          <w:b/>
          <w:bCs/>
          <w:rtl/>
          <w:lang w:val="fr-FR"/>
        </w:rPr>
        <w:tab/>
        <w:t>(أ)</w:t>
      </w:r>
      <w:r w:rsidRPr="00C35001">
        <w:rPr>
          <w:rFonts w:hint="cs"/>
          <w:b/>
          <w:bCs/>
          <w:rtl/>
          <w:lang w:val="fr-FR"/>
        </w:rPr>
        <w:tab/>
      </w:r>
      <w:r w:rsidRPr="00C35001">
        <w:rPr>
          <w:b/>
          <w:bCs/>
          <w:rtl/>
          <w:lang w:val="fr-FR"/>
        </w:rPr>
        <w:t xml:space="preserve">ضمان </w:t>
      </w:r>
      <w:r>
        <w:rPr>
          <w:rFonts w:hint="cs"/>
          <w:b/>
          <w:bCs/>
          <w:rtl/>
          <w:lang w:val="fr-FR"/>
        </w:rPr>
        <w:t xml:space="preserve">الاستقلال التام </w:t>
      </w:r>
      <w:r w:rsidRPr="00C35001">
        <w:rPr>
          <w:b/>
          <w:bCs/>
          <w:rtl/>
          <w:lang w:val="fr-FR"/>
        </w:rPr>
        <w:t>للقضاء،</w:t>
      </w:r>
      <w:r>
        <w:rPr>
          <w:b/>
          <w:bCs/>
          <w:rtl/>
          <w:lang w:val="fr-FR"/>
        </w:rPr>
        <w:t xml:space="preserve"> بما </w:t>
      </w:r>
      <w:r w:rsidRPr="00C35001">
        <w:rPr>
          <w:b/>
          <w:bCs/>
          <w:rtl/>
          <w:lang w:val="fr-FR"/>
        </w:rPr>
        <w:t>يتّفق مع المبادئ</w:t>
      </w:r>
      <w:r>
        <w:rPr>
          <w:b/>
          <w:bCs/>
          <w:rtl/>
          <w:lang w:val="fr-FR"/>
        </w:rPr>
        <w:t xml:space="preserve"> الأساسية التي تتعلّق باستقلال</w:t>
      </w:r>
      <w:r w:rsidRPr="00C35001">
        <w:rPr>
          <w:b/>
          <w:bCs/>
          <w:rtl/>
          <w:lang w:val="fr-FR"/>
        </w:rPr>
        <w:t xml:space="preserve"> القضاء (</w:t>
      </w:r>
      <w:r>
        <w:rPr>
          <w:rFonts w:hint="cs"/>
          <w:b/>
          <w:bCs/>
          <w:rtl/>
          <w:lang w:val="fr-FR"/>
        </w:rPr>
        <w:t xml:space="preserve">قرارا الجمعية العامة </w:t>
      </w:r>
      <w:r w:rsidRPr="00C35001">
        <w:rPr>
          <w:b/>
          <w:bCs/>
          <w:rtl/>
          <w:lang w:val="fr-FR"/>
        </w:rPr>
        <w:t>40</w:t>
      </w:r>
      <w:r w:rsidRPr="00C35001">
        <w:rPr>
          <w:rFonts w:hint="cs"/>
          <w:b/>
          <w:bCs/>
          <w:rtl/>
          <w:lang w:val="fr-FR"/>
        </w:rPr>
        <w:t>/</w:t>
      </w:r>
      <w:r w:rsidRPr="00C35001">
        <w:rPr>
          <w:b/>
          <w:bCs/>
          <w:rtl/>
          <w:lang w:val="fr-FR"/>
        </w:rPr>
        <w:t>32</w:t>
      </w:r>
      <w:r>
        <w:rPr>
          <w:rFonts w:hint="cs"/>
          <w:b/>
          <w:bCs/>
          <w:rtl/>
          <w:lang w:val="fr-FR"/>
        </w:rPr>
        <w:t xml:space="preserve"> المؤرخ </w:t>
      </w:r>
      <w:r w:rsidRPr="00C35001">
        <w:rPr>
          <w:b/>
          <w:bCs/>
          <w:rtl/>
          <w:lang w:val="fr-FR"/>
        </w:rPr>
        <w:t>29 تشرين الثاني</w:t>
      </w:r>
      <w:r w:rsidRPr="00C35001">
        <w:rPr>
          <w:rFonts w:hint="cs"/>
          <w:b/>
          <w:bCs/>
          <w:rtl/>
          <w:lang w:val="fr-FR"/>
        </w:rPr>
        <w:t>/</w:t>
      </w:r>
      <w:r w:rsidRPr="00C35001">
        <w:rPr>
          <w:b/>
          <w:bCs/>
          <w:rtl/>
          <w:lang w:val="fr-FR"/>
        </w:rPr>
        <w:t>نوفمبر 1985 و40</w:t>
      </w:r>
      <w:r w:rsidRPr="00C35001">
        <w:rPr>
          <w:rFonts w:hint="cs"/>
          <w:b/>
          <w:bCs/>
          <w:rtl/>
          <w:lang w:val="fr-FR"/>
        </w:rPr>
        <w:t>/</w:t>
      </w:r>
      <w:r w:rsidRPr="00C35001">
        <w:rPr>
          <w:b/>
          <w:bCs/>
          <w:rtl/>
          <w:lang w:val="fr-FR"/>
        </w:rPr>
        <w:t xml:space="preserve">146 </w:t>
      </w:r>
      <w:r>
        <w:rPr>
          <w:rFonts w:hint="cs"/>
          <w:b/>
          <w:bCs/>
          <w:rtl/>
          <w:lang w:val="fr-FR"/>
        </w:rPr>
        <w:t xml:space="preserve">المؤرخ </w:t>
      </w:r>
      <w:r w:rsidRPr="00C35001">
        <w:rPr>
          <w:b/>
          <w:bCs/>
          <w:rtl/>
          <w:lang w:val="fr-FR"/>
        </w:rPr>
        <w:t>13 كانون الأول</w:t>
      </w:r>
      <w:r w:rsidRPr="00C35001">
        <w:rPr>
          <w:rFonts w:hint="cs"/>
          <w:b/>
          <w:bCs/>
          <w:rtl/>
          <w:lang w:val="fr-FR"/>
        </w:rPr>
        <w:t>/</w:t>
      </w:r>
      <w:r w:rsidRPr="00C35001">
        <w:rPr>
          <w:b/>
          <w:bCs/>
          <w:rtl/>
          <w:lang w:val="fr-FR"/>
        </w:rPr>
        <w:t>ديسمبر 1985)؛</w:t>
      </w:r>
    </w:p>
    <w:p w:rsidR="006D675E" w:rsidRPr="00C35001" w:rsidRDefault="006D675E" w:rsidP="00A83CF9">
      <w:pPr>
        <w:pStyle w:val="SingleTxtGA"/>
        <w:spacing w:line="370" w:lineRule="exact"/>
        <w:rPr>
          <w:b/>
          <w:bCs/>
          <w:rtl/>
          <w:lang w:val="fr-FR"/>
        </w:rPr>
      </w:pPr>
      <w:r w:rsidRPr="00C35001">
        <w:rPr>
          <w:rFonts w:hint="cs"/>
          <w:b/>
          <w:bCs/>
          <w:rtl/>
          <w:lang w:val="fr-FR"/>
        </w:rPr>
        <w:tab/>
        <w:t>(ب)</w:t>
      </w:r>
      <w:r w:rsidRPr="00C35001">
        <w:rPr>
          <w:rFonts w:hint="cs"/>
          <w:b/>
          <w:bCs/>
          <w:rtl/>
          <w:lang w:val="fr-FR"/>
        </w:rPr>
        <w:tab/>
      </w:r>
      <w:r w:rsidRPr="00C35001">
        <w:rPr>
          <w:b/>
          <w:bCs/>
          <w:rtl/>
          <w:lang w:val="fr-FR"/>
        </w:rPr>
        <w:t>اتخاذ التدابي</w:t>
      </w:r>
      <w:r>
        <w:rPr>
          <w:b/>
          <w:bCs/>
          <w:rtl/>
          <w:lang w:val="fr-FR"/>
        </w:rPr>
        <w:t>ر المناسبة من أجل ضمان استقلال</w:t>
      </w:r>
      <w:r w:rsidRPr="00C35001">
        <w:rPr>
          <w:b/>
          <w:bCs/>
          <w:rtl/>
          <w:lang w:val="fr-FR"/>
        </w:rPr>
        <w:t xml:space="preserve"> السلطة القضائية وحمايتها، وعدم تعرّض عملها إلى أيّ ضغطٍ</w:t>
      </w:r>
      <w:r>
        <w:rPr>
          <w:b/>
          <w:bCs/>
          <w:rtl/>
          <w:lang w:val="fr-FR"/>
        </w:rPr>
        <w:t xml:space="preserve"> أو </w:t>
      </w:r>
      <w:r w:rsidRPr="00C35001">
        <w:rPr>
          <w:b/>
          <w:bCs/>
          <w:rtl/>
          <w:lang w:val="fr-FR"/>
        </w:rPr>
        <w:t>تدخّلٍ من جانب السلطة التنفيذية؛</w:t>
      </w:r>
    </w:p>
    <w:p w:rsidR="006D675E" w:rsidRPr="00C35001" w:rsidRDefault="006D675E" w:rsidP="00A83CF9">
      <w:pPr>
        <w:pStyle w:val="SingleTxtGA"/>
        <w:spacing w:line="370" w:lineRule="exact"/>
        <w:rPr>
          <w:b/>
          <w:bCs/>
          <w:rtl/>
          <w:lang w:val="fr-FR"/>
        </w:rPr>
      </w:pPr>
      <w:r w:rsidRPr="00C35001">
        <w:rPr>
          <w:rFonts w:hint="cs"/>
          <w:b/>
          <w:bCs/>
          <w:rtl/>
          <w:lang w:val="fr-FR"/>
        </w:rPr>
        <w:tab/>
        <w:t>(ج)</w:t>
      </w:r>
      <w:r w:rsidRPr="00C35001">
        <w:rPr>
          <w:rFonts w:hint="cs"/>
          <w:b/>
          <w:bCs/>
          <w:rtl/>
          <w:lang w:val="fr-FR"/>
        </w:rPr>
        <w:tab/>
      </w:r>
      <w:r w:rsidRPr="00C35001">
        <w:rPr>
          <w:b/>
          <w:bCs/>
          <w:rtl/>
          <w:lang w:val="fr-FR"/>
        </w:rPr>
        <w:t xml:space="preserve">توفير الدعم اللازم للمحاكم </w:t>
      </w:r>
      <w:r>
        <w:rPr>
          <w:rFonts w:hint="cs"/>
          <w:b/>
          <w:bCs/>
          <w:rtl/>
          <w:lang w:val="fr-FR"/>
        </w:rPr>
        <w:t>وا</w:t>
      </w:r>
      <w:r w:rsidRPr="00C35001">
        <w:rPr>
          <w:b/>
          <w:bCs/>
          <w:rtl/>
          <w:lang w:val="fr-FR"/>
        </w:rPr>
        <w:t>لقضاة،</w:t>
      </w:r>
      <w:r>
        <w:rPr>
          <w:b/>
          <w:bCs/>
          <w:rtl/>
          <w:lang w:val="fr-FR"/>
        </w:rPr>
        <w:t xml:space="preserve"> ولا </w:t>
      </w:r>
      <w:r w:rsidRPr="00C35001">
        <w:rPr>
          <w:b/>
          <w:bCs/>
          <w:rtl/>
          <w:lang w:val="fr-FR"/>
        </w:rPr>
        <w:t xml:space="preserve">سيما توفير الموارد البشرية والتقنية والمالية، من أجل الاضطلاع بالمهام </w:t>
      </w:r>
      <w:r>
        <w:rPr>
          <w:rFonts w:hint="cs"/>
          <w:b/>
          <w:bCs/>
          <w:rtl/>
          <w:lang w:val="fr-FR"/>
        </w:rPr>
        <w:t>باستقلال تام</w:t>
      </w:r>
      <w:r w:rsidRPr="00C35001">
        <w:rPr>
          <w:b/>
          <w:bCs/>
          <w:rtl/>
          <w:lang w:val="fr-FR"/>
        </w:rPr>
        <w:t>؛</w:t>
      </w:r>
    </w:p>
    <w:p w:rsidR="006D675E" w:rsidRPr="00C35001" w:rsidRDefault="006D675E" w:rsidP="00A83CF9">
      <w:pPr>
        <w:pStyle w:val="SingleTxtGA"/>
        <w:spacing w:line="370" w:lineRule="exact"/>
        <w:rPr>
          <w:b/>
          <w:bCs/>
          <w:rtl/>
          <w:lang w:val="fr-FR"/>
        </w:rPr>
      </w:pPr>
      <w:r w:rsidRPr="00C35001">
        <w:rPr>
          <w:rFonts w:hint="cs"/>
          <w:b/>
          <w:bCs/>
          <w:rtl/>
          <w:lang w:val="fr-FR"/>
        </w:rPr>
        <w:tab/>
        <w:t>(د)</w:t>
      </w:r>
      <w:r w:rsidRPr="00C35001">
        <w:rPr>
          <w:rFonts w:hint="cs"/>
          <w:b/>
          <w:bCs/>
          <w:rtl/>
          <w:lang w:val="fr-FR"/>
        </w:rPr>
        <w:tab/>
      </w:r>
      <w:r>
        <w:rPr>
          <w:rFonts w:hint="cs"/>
          <w:b/>
          <w:bCs/>
          <w:rtl/>
          <w:lang w:val="fr-FR"/>
        </w:rPr>
        <w:t xml:space="preserve">استحداث </w:t>
      </w:r>
      <w:r w:rsidRPr="00C35001">
        <w:rPr>
          <w:b/>
          <w:bCs/>
          <w:rtl/>
          <w:lang w:val="fr-FR"/>
        </w:rPr>
        <w:t>هيئة مستقلّة مُختصّة لمراجعة القرارات التي تتعلّق بالإجراءات التأديبية؛</w:t>
      </w:r>
    </w:p>
    <w:p w:rsidR="006D675E" w:rsidRPr="00CF4550" w:rsidRDefault="006D675E" w:rsidP="00A83CF9">
      <w:pPr>
        <w:pStyle w:val="SingleTxtGA"/>
        <w:spacing w:line="370" w:lineRule="exact"/>
        <w:rPr>
          <w:b/>
          <w:bCs/>
          <w:spacing w:val="-4"/>
          <w:rtl/>
        </w:rPr>
      </w:pPr>
      <w:r w:rsidRPr="00CF4550">
        <w:rPr>
          <w:rFonts w:hint="cs"/>
          <w:b/>
          <w:bCs/>
          <w:spacing w:val="-4"/>
          <w:rtl/>
          <w:lang w:val="fr-FR"/>
        </w:rPr>
        <w:tab/>
      </w:r>
      <w:r w:rsidRPr="00CF4550">
        <w:rPr>
          <w:rFonts w:hint="cs"/>
          <w:b/>
          <w:bCs/>
          <w:spacing w:val="-4"/>
          <w:sz w:val="30"/>
          <w:rtl/>
          <w:lang w:val="fr-FR"/>
        </w:rPr>
        <w:t>(ﻫ</w:t>
      </w:r>
      <w:r w:rsidRPr="00CF4550">
        <w:rPr>
          <w:rFonts w:hint="cs"/>
          <w:b/>
          <w:bCs/>
          <w:spacing w:val="-4"/>
          <w:rtl/>
          <w:lang w:val="fr-FR"/>
        </w:rPr>
        <w:t>)</w:t>
      </w:r>
      <w:r w:rsidRPr="00CF4550">
        <w:rPr>
          <w:rFonts w:hint="cs"/>
          <w:b/>
          <w:bCs/>
          <w:spacing w:val="-4"/>
          <w:rtl/>
          <w:lang w:val="fr-FR"/>
        </w:rPr>
        <w:tab/>
      </w:r>
      <w:r w:rsidRPr="00CF4550">
        <w:rPr>
          <w:b/>
          <w:bCs/>
          <w:spacing w:val="-4"/>
          <w:rtl/>
          <w:lang w:val="fr-FR"/>
        </w:rPr>
        <w:t xml:space="preserve">دعوة </w:t>
      </w:r>
      <w:r w:rsidRPr="00CF4550">
        <w:rPr>
          <w:b/>
          <w:bCs/>
          <w:spacing w:val="-4"/>
          <w:rtl/>
        </w:rPr>
        <w:t>المقررة</w:t>
      </w:r>
      <w:r w:rsidRPr="00CF4550">
        <w:rPr>
          <w:b/>
          <w:bCs/>
          <w:spacing w:val="-4"/>
        </w:rPr>
        <w:t xml:space="preserve"> </w:t>
      </w:r>
      <w:r w:rsidRPr="00CF4550">
        <w:rPr>
          <w:b/>
          <w:bCs/>
          <w:spacing w:val="-4"/>
          <w:rtl/>
        </w:rPr>
        <w:t>الخاصة المعنية</w:t>
      </w:r>
      <w:r w:rsidRPr="00CF4550">
        <w:rPr>
          <w:b/>
          <w:bCs/>
          <w:spacing w:val="-4"/>
        </w:rPr>
        <w:t xml:space="preserve"> </w:t>
      </w:r>
      <w:r w:rsidRPr="00CF4550">
        <w:rPr>
          <w:b/>
          <w:bCs/>
          <w:spacing w:val="-4"/>
          <w:rtl/>
        </w:rPr>
        <w:t>باستقلال</w:t>
      </w:r>
      <w:r w:rsidRPr="00CF4550">
        <w:rPr>
          <w:b/>
          <w:bCs/>
          <w:spacing w:val="-4"/>
        </w:rPr>
        <w:t xml:space="preserve"> </w:t>
      </w:r>
      <w:r w:rsidRPr="00CF4550">
        <w:rPr>
          <w:b/>
          <w:bCs/>
          <w:spacing w:val="-4"/>
          <w:rtl/>
        </w:rPr>
        <w:t>القضاة</w:t>
      </w:r>
      <w:r w:rsidRPr="00CF4550">
        <w:rPr>
          <w:b/>
          <w:bCs/>
          <w:spacing w:val="-4"/>
        </w:rPr>
        <w:t xml:space="preserve"> </w:t>
      </w:r>
      <w:r w:rsidRPr="00CF4550">
        <w:rPr>
          <w:b/>
          <w:bCs/>
          <w:spacing w:val="-4"/>
          <w:rtl/>
        </w:rPr>
        <w:t>والمحامين لزيارة الدولة الطرف.</w:t>
      </w:r>
    </w:p>
    <w:p w:rsidR="006D675E" w:rsidRPr="00C46820" w:rsidRDefault="006D675E" w:rsidP="006D675E">
      <w:pPr>
        <w:pStyle w:val="H23GA"/>
        <w:rPr>
          <w:rtl/>
          <w:lang/>
        </w:rPr>
      </w:pPr>
      <w:r>
        <w:rPr>
          <w:rFonts w:hint="cs"/>
          <w:rtl/>
          <w:lang/>
        </w:rPr>
        <w:tab/>
      </w:r>
      <w:r>
        <w:rPr>
          <w:rFonts w:hint="cs"/>
          <w:rtl/>
          <w:lang/>
        </w:rPr>
        <w:tab/>
      </w:r>
      <w:r w:rsidRPr="00C46820">
        <w:rPr>
          <w:rtl/>
          <w:lang/>
        </w:rPr>
        <w:t>عدم الإعادة القسرية للمهاجرين واللاجئين وطالبي اللجوء</w:t>
      </w:r>
    </w:p>
    <w:p w:rsidR="006D675E" w:rsidRPr="00C46820" w:rsidRDefault="00BF207A" w:rsidP="00BF207A">
      <w:pPr>
        <w:pStyle w:val="SingleTxtGA"/>
        <w:rPr>
          <w:rtl/>
          <w:lang w:val="fr-FR"/>
        </w:rPr>
      </w:pPr>
      <w:r>
        <w:rPr>
          <w:rFonts w:hint="cs"/>
          <w:rtl/>
          <w:lang/>
        </w:rPr>
        <w:t>(</w:t>
      </w:r>
      <w:r w:rsidR="006D675E">
        <w:rPr>
          <w:rFonts w:hint="cs"/>
          <w:rtl/>
          <w:lang/>
        </w:rPr>
        <w:t>16</w:t>
      </w:r>
      <w:r>
        <w:rPr>
          <w:rFonts w:hint="cs"/>
          <w:rtl/>
          <w:lang/>
        </w:rPr>
        <w:t>)</w:t>
      </w:r>
      <w:r w:rsidR="006D675E">
        <w:rPr>
          <w:rFonts w:hint="cs"/>
          <w:rtl/>
          <w:lang/>
        </w:rPr>
        <w:tab/>
      </w:r>
      <w:r w:rsidR="006D675E" w:rsidRPr="00C46820">
        <w:rPr>
          <w:rtl/>
          <w:lang/>
        </w:rPr>
        <w:t xml:space="preserve">تلاحظ اللجنة </w:t>
      </w:r>
      <w:r w:rsidR="006D675E">
        <w:rPr>
          <w:rFonts w:hint="cs"/>
          <w:rtl/>
          <w:lang/>
        </w:rPr>
        <w:t>بتقدير</w:t>
      </w:r>
      <w:r w:rsidR="006D675E" w:rsidRPr="00C46820">
        <w:rPr>
          <w:rtl/>
          <w:lang/>
        </w:rPr>
        <w:t xml:space="preserve"> إدراج باب جديد، في قانون الإجراءات الجنائية</w:t>
      </w:r>
      <w:r w:rsidR="006D675E">
        <w:rPr>
          <w:rtl/>
          <w:lang/>
        </w:rPr>
        <w:t xml:space="preserve"> عام </w:t>
      </w:r>
      <w:r w:rsidR="006D675E" w:rsidRPr="00C46820">
        <w:rPr>
          <w:rtl/>
          <w:lang/>
        </w:rPr>
        <w:t>2011،</w:t>
      </w:r>
      <w:r w:rsidR="006D675E">
        <w:rPr>
          <w:rFonts w:hint="cs"/>
          <w:rtl/>
          <w:lang/>
        </w:rPr>
        <w:t xml:space="preserve"> </w:t>
      </w:r>
      <w:r w:rsidR="006D675E" w:rsidRPr="00C46820">
        <w:rPr>
          <w:rtl/>
          <w:lang w:val="fr-FR"/>
        </w:rPr>
        <w:t xml:space="preserve">يستثني التسليم إذا كان الشخص المعني بالتسليم </w:t>
      </w:r>
      <w:r w:rsidR="006D675E">
        <w:rPr>
          <w:rFonts w:hint="cs"/>
          <w:rtl/>
          <w:lang w:val="fr-FR"/>
        </w:rPr>
        <w:t>سيواجه خطر</w:t>
      </w:r>
      <w:r w:rsidR="006D675E" w:rsidRPr="00C46820">
        <w:rPr>
          <w:rtl/>
          <w:lang w:val="fr-FR"/>
        </w:rPr>
        <w:t xml:space="preserve"> التعرض للتعذيب في الدولة المُطالبة بالتسليم. وترحّب اللجنة كذلك بفتح الدولة الطرف لحدودها أمام الأشخاص المُشرّدين القادمين من مالي،</w:t>
      </w:r>
      <w:r w:rsidR="006D675E">
        <w:rPr>
          <w:rFonts w:hint="cs"/>
          <w:rtl/>
          <w:lang w:val="fr-FR"/>
        </w:rPr>
        <w:t xml:space="preserve"> </w:t>
      </w:r>
      <w:r w:rsidR="006D675E" w:rsidRPr="00C46820">
        <w:rPr>
          <w:rtl/>
          <w:lang w:val="fr-FR"/>
        </w:rPr>
        <w:t xml:space="preserve">منذ </w:t>
      </w:r>
      <w:r w:rsidR="006D675E">
        <w:rPr>
          <w:rFonts w:hint="cs"/>
          <w:rtl/>
          <w:lang w:val="fr-FR"/>
        </w:rPr>
        <w:t xml:space="preserve">اندلاع </w:t>
      </w:r>
      <w:r w:rsidR="006D675E" w:rsidRPr="00C46820">
        <w:rPr>
          <w:rtl/>
          <w:lang w:val="fr-FR"/>
        </w:rPr>
        <w:t>أعمال العنف في شمال مالي في كانون الثاني</w:t>
      </w:r>
      <w:r w:rsidR="006D675E">
        <w:rPr>
          <w:rFonts w:hint="cs"/>
          <w:rtl/>
          <w:lang w:val="fr-FR"/>
        </w:rPr>
        <w:t xml:space="preserve">/ </w:t>
      </w:r>
      <w:r w:rsidR="006D675E" w:rsidRPr="00C46820">
        <w:rPr>
          <w:rtl/>
          <w:lang w:val="fr-FR"/>
        </w:rPr>
        <w:t>يناير</w:t>
      </w:r>
      <w:r w:rsidR="006D675E">
        <w:rPr>
          <w:rFonts w:hint="cs"/>
          <w:rtl/>
          <w:lang w:val="fr-FR"/>
        </w:rPr>
        <w:t> </w:t>
      </w:r>
      <w:r w:rsidR="006D675E" w:rsidRPr="00C46820">
        <w:rPr>
          <w:rtl/>
          <w:lang w:val="fr-FR"/>
        </w:rPr>
        <w:t>2012. وأحاطت اللجنة علماً بالمعلوم</w:t>
      </w:r>
      <w:r w:rsidR="006D675E">
        <w:rPr>
          <w:rFonts w:hint="cs"/>
          <w:rtl/>
          <w:lang w:val="fr-FR"/>
        </w:rPr>
        <w:t>ات</w:t>
      </w:r>
      <w:r w:rsidR="006D675E">
        <w:rPr>
          <w:rtl/>
          <w:lang w:val="fr-FR"/>
        </w:rPr>
        <w:t xml:space="preserve"> المتعل</w:t>
      </w:r>
      <w:r w:rsidR="006D675E" w:rsidRPr="00C46820">
        <w:rPr>
          <w:rtl/>
          <w:lang w:val="fr-FR"/>
        </w:rPr>
        <w:t>قة بالاتفاقات التي وقّعت عليها الدولة الطرف مع إسبانيا لمكافحة الهجرة غير الشرعية وتُعرب اللجنة عن قلقها من خطورة الخلط بين طالبي اللجوء ومهاجرين في وضع غير شرعي</w:t>
      </w:r>
      <w:r w:rsidR="006D675E">
        <w:rPr>
          <w:rFonts w:hint="cs"/>
          <w:rtl/>
          <w:lang w:val="fr-FR"/>
        </w:rPr>
        <w:t>،</w:t>
      </w:r>
      <w:r w:rsidR="006D675E" w:rsidRPr="00C46820">
        <w:rPr>
          <w:rtl/>
          <w:lang w:val="fr-FR"/>
        </w:rPr>
        <w:t xml:space="preserve"> وهذا الخلط </w:t>
      </w:r>
      <w:r w:rsidR="006D675E">
        <w:rPr>
          <w:rFonts w:hint="cs"/>
          <w:rtl/>
          <w:lang w:val="fr-FR"/>
        </w:rPr>
        <w:t xml:space="preserve">قد </w:t>
      </w:r>
      <w:r w:rsidR="006D675E" w:rsidRPr="00C46820">
        <w:rPr>
          <w:rtl/>
          <w:lang w:val="fr-FR"/>
        </w:rPr>
        <w:t xml:space="preserve">يؤدي إلى احتجاز تعسفي وإلى انتهاك مبدأ عدم الإعادة القسرية. وتعرب اللجنة عن أسفها لعدم توفر معلومات عن القرارات </w:t>
      </w:r>
      <w:r w:rsidR="006D675E">
        <w:rPr>
          <w:rFonts w:hint="cs"/>
          <w:rtl/>
          <w:lang w:val="fr-FR"/>
        </w:rPr>
        <w:t xml:space="preserve">الفعلية </w:t>
      </w:r>
      <w:r w:rsidR="006D675E" w:rsidRPr="00C46820">
        <w:rPr>
          <w:rtl/>
          <w:lang w:val="fr-FR"/>
        </w:rPr>
        <w:t>التي تفرض احترام مبدأ عدم الإعادة القسرية بطريقة فعّالة</w:t>
      </w:r>
      <w:r w:rsidR="006D675E">
        <w:rPr>
          <w:rFonts w:hint="cs"/>
          <w:rtl/>
          <w:lang w:val="fr-FR"/>
        </w:rPr>
        <w:t>،</w:t>
      </w:r>
      <w:r w:rsidR="006D675E" w:rsidRPr="00C46820">
        <w:rPr>
          <w:rtl/>
          <w:lang w:val="fr-FR"/>
        </w:rPr>
        <w:t xml:space="preserve"> والذي يقع على عاتق الدولة الطرف بموجب المادّة 3 من الاتفاقية، في إطار إجراءات التسليم وأيضاً الهجرة واللجوء (المادتان 2 و3).</w:t>
      </w:r>
    </w:p>
    <w:p w:rsidR="006D675E" w:rsidRPr="00C35001" w:rsidRDefault="006D675E" w:rsidP="006D675E">
      <w:pPr>
        <w:pStyle w:val="SingleTxtGA"/>
        <w:rPr>
          <w:b/>
          <w:bCs/>
          <w:rtl/>
          <w:lang w:val="fr-FR"/>
        </w:rPr>
      </w:pPr>
      <w:r>
        <w:rPr>
          <w:rFonts w:hint="cs"/>
          <w:rtl/>
          <w:lang w:val="fr-FR"/>
        </w:rPr>
        <w:tab/>
      </w:r>
      <w:r w:rsidRPr="00C35001">
        <w:rPr>
          <w:b/>
          <w:bCs/>
          <w:rtl/>
          <w:lang w:val="fr-FR"/>
        </w:rPr>
        <w:t xml:space="preserve">توصي اللجنة الدولة الطرف </w:t>
      </w:r>
      <w:r>
        <w:rPr>
          <w:rFonts w:hint="cs"/>
          <w:b/>
          <w:bCs/>
          <w:rtl/>
          <w:lang w:val="fr-FR"/>
        </w:rPr>
        <w:t>با</w:t>
      </w:r>
      <w:r w:rsidRPr="00C35001">
        <w:rPr>
          <w:b/>
          <w:bCs/>
          <w:rtl/>
          <w:lang w:val="fr-FR"/>
        </w:rPr>
        <w:t>لقيام</w:t>
      </w:r>
      <w:r>
        <w:rPr>
          <w:b/>
          <w:bCs/>
          <w:rtl/>
          <w:lang w:val="fr-FR"/>
        </w:rPr>
        <w:t xml:space="preserve"> بما </w:t>
      </w:r>
      <w:r w:rsidRPr="00C35001">
        <w:rPr>
          <w:b/>
          <w:bCs/>
          <w:rtl/>
          <w:lang w:val="fr-FR"/>
        </w:rPr>
        <w:t>يلي:</w:t>
      </w:r>
    </w:p>
    <w:p w:rsidR="006D675E" w:rsidRPr="00C35001" w:rsidRDefault="006D675E" w:rsidP="006D675E">
      <w:pPr>
        <w:pStyle w:val="SingleTxtGA"/>
        <w:rPr>
          <w:b/>
          <w:bCs/>
          <w:rtl/>
        </w:rPr>
      </w:pPr>
      <w:r w:rsidRPr="00C35001">
        <w:rPr>
          <w:rFonts w:hint="cs"/>
          <w:b/>
          <w:bCs/>
          <w:rtl/>
          <w:lang w:val="fr-FR"/>
        </w:rPr>
        <w:tab/>
        <w:t>(أ)</w:t>
      </w:r>
      <w:r w:rsidRPr="00C35001">
        <w:rPr>
          <w:rFonts w:hint="cs"/>
          <w:b/>
          <w:bCs/>
          <w:rtl/>
          <w:lang w:val="fr-FR"/>
        </w:rPr>
        <w:tab/>
      </w:r>
      <w:r w:rsidRPr="00C35001">
        <w:rPr>
          <w:b/>
          <w:bCs/>
          <w:rtl/>
        </w:rPr>
        <w:t>ينبغي للدولة الطرف أن تحرص على عدم طرد</w:t>
      </w:r>
      <w:r>
        <w:rPr>
          <w:b/>
          <w:bCs/>
          <w:rtl/>
        </w:rPr>
        <w:t xml:space="preserve"> أو </w:t>
      </w:r>
      <w:r w:rsidRPr="00C35001">
        <w:rPr>
          <w:b/>
          <w:bCs/>
          <w:rtl/>
        </w:rPr>
        <w:t>تسليم</w:t>
      </w:r>
      <w:r>
        <w:rPr>
          <w:b/>
          <w:bCs/>
          <w:rtl/>
        </w:rPr>
        <w:t xml:space="preserve"> أو </w:t>
      </w:r>
      <w:r w:rsidRPr="00C35001">
        <w:rPr>
          <w:b/>
          <w:bCs/>
          <w:rtl/>
        </w:rPr>
        <w:t>إعادة أشخاص إلى دول فيها من الأسباب الحقيقية</w:t>
      </w:r>
      <w:r>
        <w:rPr>
          <w:b/>
          <w:bCs/>
          <w:rtl/>
        </w:rPr>
        <w:t xml:space="preserve"> ما </w:t>
      </w:r>
      <w:r w:rsidRPr="00C35001">
        <w:rPr>
          <w:b/>
          <w:bCs/>
          <w:rtl/>
        </w:rPr>
        <w:t xml:space="preserve">يدعو إلى الاعتقاد بأنهم سيواجهون خطر التعرض للتعذيب، حتى لو كان هؤلاء الأشخاص في وضعٍ غير شرعي </w:t>
      </w:r>
      <w:r>
        <w:rPr>
          <w:rFonts w:hint="cs"/>
          <w:b/>
          <w:bCs/>
          <w:rtl/>
        </w:rPr>
        <w:t>في إقليمها</w:t>
      </w:r>
      <w:r w:rsidRPr="00C35001">
        <w:rPr>
          <w:b/>
          <w:bCs/>
          <w:rtl/>
        </w:rPr>
        <w:t>، وضمان</w:t>
      </w:r>
      <w:r w:rsidRPr="00C35001">
        <w:rPr>
          <w:b/>
          <w:bCs/>
          <w:rtl/>
          <w:lang w:val="fr-FR"/>
        </w:rPr>
        <w:t xml:space="preserve"> </w:t>
      </w:r>
      <w:r>
        <w:rPr>
          <w:b/>
          <w:bCs/>
          <w:rtl/>
        </w:rPr>
        <w:t>ات</w:t>
      </w:r>
      <w:r w:rsidRPr="00C35001">
        <w:rPr>
          <w:b/>
          <w:bCs/>
          <w:rtl/>
        </w:rPr>
        <w:t>خاذ القرارات بعد النظر فيها على مستوى فردي وأن يتمكن الأشخاص المعنيون من الطعن في هذه القرارات؛</w:t>
      </w:r>
    </w:p>
    <w:p w:rsidR="006D675E" w:rsidRPr="00C35001" w:rsidRDefault="006D675E" w:rsidP="006D675E">
      <w:pPr>
        <w:pStyle w:val="SingleTxtGA"/>
        <w:rPr>
          <w:rFonts w:hint="cs"/>
          <w:b/>
          <w:bCs/>
          <w:rtl/>
        </w:rPr>
      </w:pPr>
      <w:r w:rsidRPr="00C35001">
        <w:rPr>
          <w:rFonts w:hint="cs"/>
          <w:b/>
          <w:bCs/>
          <w:rtl/>
        </w:rPr>
        <w:tab/>
        <w:t>(ب)</w:t>
      </w:r>
      <w:r w:rsidRPr="00C35001">
        <w:rPr>
          <w:rFonts w:hint="cs"/>
          <w:b/>
          <w:bCs/>
          <w:rtl/>
        </w:rPr>
        <w:tab/>
      </w:r>
      <w:r w:rsidRPr="00C35001">
        <w:rPr>
          <w:b/>
          <w:bCs/>
          <w:rtl/>
        </w:rPr>
        <w:t xml:space="preserve">ضمان حصول الشخص المحتجز </w:t>
      </w:r>
      <w:r>
        <w:rPr>
          <w:rFonts w:hint="cs"/>
          <w:b/>
          <w:bCs/>
          <w:rtl/>
        </w:rPr>
        <w:t xml:space="preserve">بسبب </w:t>
      </w:r>
      <w:r w:rsidRPr="00C35001">
        <w:rPr>
          <w:b/>
          <w:bCs/>
          <w:rtl/>
        </w:rPr>
        <w:t>مسائل تتعلّق بمكافحة الهجرة غير المشروعة على فرصة تقديم طعن قضائي فعّال لمنازعة شرعية القرارات الإدارية المُتعلّقة باحتجازه،</w:t>
      </w:r>
      <w:r>
        <w:rPr>
          <w:b/>
          <w:bCs/>
          <w:rtl/>
        </w:rPr>
        <w:t xml:space="preserve"> أو </w:t>
      </w:r>
      <w:r w:rsidRPr="00C35001">
        <w:rPr>
          <w:b/>
          <w:bCs/>
          <w:rtl/>
        </w:rPr>
        <w:t>طرده</w:t>
      </w:r>
      <w:r>
        <w:rPr>
          <w:b/>
          <w:bCs/>
          <w:rtl/>
        </w:rPr>
        <w:t xml:space="preserve"> أو </w:t>
      </w:r>
      <w:r>
        <w:rPr>
          <w:rFonts w:hint="cs"/>
          <w:b/>
          <w:bCs/>
          <w:rtl/>
        </w:rPr>
        <w:t>إ</w:t>
      </w:r>
      <w:r w:rsidRPr="00C35001">
        <w:rPr>
          <w:b/>
          <w:bCs/>
          <w:rtl/>
        </w:rPr>
        <w:t xml:space="preserve">عادته، </w:t>
      </w:r>
      <w:r>
        <w:rPr>
          <w:rFonts w:hint="cs"/>
          <w:b/>
          <w:bCs/>
          <w:rtl/>
        </w:rPr>
        <w:t>حسب الحالة؛</w:t>
      </w:r>
    </w:p>
    <w:p w:rsidR="006D675E" w:rsidRPr="00C35001" w:rsidRDefault="006D675E" w:rsidP="006D675E">
      <w:pPr>
        <w:pStyle w:val="SingleTxtGA"/>
        <w:rPr>
          <w:b/>
          <w:bCs/>
          <w:rtl/>
        </w:rPr>
      </w:pPr>
      <w:r w:rsidRPr="00C35001">
        <w:rPr>
          <w:rFonts w:hint="cs"/>
          <w:b/>
          <w:bCs/>
          <w:rtl/>
        </w:rPr>
        <w:tab/>
        <w:t>(ج)</w:t>
      </w:r>
      <w:r w:rsidRPr="00C35001">
        <w:rPr>
          <w:rFonts w:hint="cs"/>
          <w:b/>
          <w:bCs/>
          <w:rtl/>
        </w:rPr>
        <w:tab/>
      </w:r>
      <w:r w:rsidRPr="00C35001">
        <w:rPr>
          <w:b/>
          <w:bCs/>
          <w:rtl/>
        </w:rPr>
        <w:t xml:space="preserve">ضمان عدم </w:t>
      </w:r>
      <w:r>
        <w:rPr>
          <w:rFonts w:hint="cs"/>
          <w:b/>
          <w:bCs/>
          <w:rtl/>
        </w:rPr>
        <w:t xml:space="preserve">اللجوء إلى </w:t>
      </w:r>
      <w:r w:rsidRPr="00C35001">
        <w:rPr>
          <w:b/>
          <w:bCs/>
          <w:rtl/>
        </w:rPr>
        <w:t>احتجاز طالبي اللجوء</w:t>
      </w:r>
      <w:r>
        <w:rPr>
          <w:b/>
          <w:bCs/>
          <w:rtl/>
        </w:rPr>
        <w:t xml:space="preserve"> إلا </w:t>
      </w:r>
      <w:r>
        <w:rPr>
          <w:rFonts w:hint="cs"/>
          <w:b/>
          <w:bCs/>
          <w:rtl/>
        </w:rPr>
        <w:t xml:space="preserve">كملاذ </w:t>
      </w:r>
      <w:r w:rsidRPr="00C35001">
        <w:rPr>
          <w:b/>
          <w:bCs/>
          <w:rtl/>
        </w:rPr>
        <w:t>أخير ولأقصر مدّة ممكنة إذا كان ذلك ضرورياً، والاعتماد على تدابير بديلة للاحتجاز؛</w:t>
      </w:r>
    </w:p>
    <w:p w:rsidR="006D675E" w:rsidRDefault="006D675E" w:rsidP="006D675E">
      <w:pPr>
        <w:pStyle w:val="SingleTxtGA"/>
        <w:rPr>
          <w:rFonts w:hint="cs"/>
          <w:b/>
          <w:bCs/>
          <w:rtl/>
        </w:rPr>
      </w:pPr>
      <w:r w:rsidRPr="00C35001">
        <w:rPr>
          <w:rFonts w:hint="cs"/>
          <w:b/>
          <w:bCs/>
          <w:rtl/>
        </w:rPr>
        <w:tab/>
        <w:t>(د)</w:t>
      </w:r>
      <w:r w:rsidRPr="00C35001">
        <w:rPr>
          <w:rFonts w:hint="cs"/>
          <w:b/>
          <w:bCs/>
          <w:rtl/>
        </w:rPr>
        <w:tab/>
      </w:r>
      <w:r w:rsidRPr="00C35001">
        <w:rPr>
          <w:b/>
          <w:bCs/>
          <w:rtl/>
        </w:rPr>
        <w:t>منح الموريتانيين المطرودين في الماضي والعائدين هويات شخصية لهم</w:t>
      </w:r>
      <w:r>
        <w:rPr>
          <w:rFonts w:hint="cs"/>
          <w:b/>
          <w:bCs/>
          <w:rtl/>
        </w:rPr>
        <w:t> </w:t>
      </w:r>
      <w:r w:rsidRPr="00C35001">
        <w:rPr>
          <w:b/>
          <w:bCs/>
          <w:rtl/>
        </w:rPr>
        <w:t>ولعائلاتهم.</w:t>
      </w:r>
    </w:p>
    <w:p w:rsidR="006D675E" w:rsidRPr="00825DB6" w:rsidRDefault="006D675E" w:rsidP="006D675E">
      <w:pPr>
        <w:pStyle w:val="H23GA"/>
        <w:rPr>
          <w:rFonts w:hint="cs"/>
          <w:rtl/>
        </w:rPr>
      </w:pPr>
      <w:r w:rsidRPr="00825DB6">
        <w:rPr>
          <w:rFonts w:hint="cs"/>
          <w:rtl/>
        </w:rPr>
        <w:tab/>
      </w:r>
      <w:r w:rsidRPr="00825DB6">
        <w:rPr>
          <w:rFonts w:hint="cs"/>
          <w:rtl/>
        </w:rPr>
        <w:tab/>
        <w:t>التدريب</w:t>
      </w:r>
    </w:p>
    <w:p w:rsidR="006D675E" w:rsidRPr="00825DB6" w:rsidRDefault="00B346D4" w:rsidP="00B346D4">
      <w:pPr>
        <w:pStyle w:val="SingleTxtGA"/>
        <w:rPr>
          <w:rFonts w:hint="cs"/>
          <w:rtl/>
        </w:rPr>
      </w:pPr>
      <w:r>
        <w:rPr>
          <w:rFonts w:hint="cs"/>
          <w:rtl/>
        </w:rPr>
        <w:t>(</w:t>
      </w:r>
      <w:r w:rsidR="006D675E" w:rsidRPr="00825DB6">
        <w:rPr>
          <w:rFonts w:hint="cs"/>
          <w:rtl/>
        </w:rPr>
        <w:t>17</w:t>
      </w:r>
      <w:r>
        <w:rPr>
          <w:rFonts w:hint="cs"/>
          <w:rtl/>
        </w:rPr>
        <w:t>)</w:t>
      </w:r>
      <w:r w:rsidR="006D675E" w:rsidRPr="00825DB6">
        <w:rPr>
          <w:rFonts w:hint="cs"/>
          <w:rtl/>
        </w:rPr>
        <w:tab/>
        <w:t>تحيط اللجنة علماً بمختلف الدورات التدريبية، بما فيها الدورات المنظّمة في مجال حقوق الإنسان لمصلحة أفراد دوائر الأمن، لكن يساورها قلق بسبب عدم وجود دورات تدريبية بشأن اتفاقية مناهضة التعذيب، لا</w:t>
      </w:r>
      <w:r w:rsidR="006D675E">
        <w:rPr>
          <w:rFonts w:hint="cs"/>
          <w:rtl/>
        </w:rPr>
        <w:t xml:space="preserve"> </w:t>
      </w:r>
      <w:r w:rsidR="006D675E" w:rsidRPr="00825DB6">
        <w:rPr>
          <w:rFonts w:hint="cs"/>
          <w:rtl/>
        </w:rPr>
        <w:t xml:space="preserve">سيما الحظر المطلق للتعذيب، والموجّهة لعناصر الشرطة والدرك وموظفي الشرطة القضائية وموظفي السجون والموظّفين المكلفين إنفاذ القوانين كالقضاة والمدعين العامين والمحامين. ويساورها القلق أيضاً لكون دليل التقصي والتوثيق الفعالين بشأن التعذيب وغيره من ضروب المعاملة أو العقوبة القاسية أو اللاإنسانية أو المهينة (بروتوكول اسطنبول، 1999) لا يبدو أنه يستخدم بصورة منتظمة عند النظر في حالات التعذيب أو سوء المعاملة (المادة 10). </w:t>
      </w:r>
    </w:p>
    <w:p w:rsidR="006D675E" w:rsidRPr="00825DB6" w:rsidRDefault="006D675E" w:rsidP="006D675E">
      <w:pPr>
        <w:pStyle w:val="SingleTxtGA"/>
        <w:rPr>
          <w:rFonts w:hint="cs"/>
          <w:b/>
          <w:bCs/>
          <w:rtl/>
        </w:rPr>
      </w:pPr>
      <w:r w:rsidRPr="00825DB6">
        <w:rPr>
          <w:rFonts w:hint="cs"/>
          <w:b/>
          <w:bCs/>
          <w:rtl/>
        </w:rPr>
        <w:tab/>
        <w:t xml:space="preserve">توصي اللجنة أن تقوم الدولة الطرف بما يلي: </w:t>
      </w:r>
    </w:p>
    <w:p w:rsidR="006D675E" w:rsidRPr="00B22373" w:rsidRDefault="006D675E" w:rsidP="006D675E">
      <w:pPr>
        <w:pStyle w:val="SingleTxtGA"/>
        <w:rPr>
          <w:rFonts w:hint="cs"/>
          <w:b/>
          <w:bCs/>
          <w:spacing w:val="-2"/>
          <w:rtl/>
        </w:rPr>
      </w:pPr>
      <w:r w:rsidRPr="00B22373">
        <w:rPr>
          <w:rFonts w:hint="cs"/>
          <w:b/>
          <w:bCs/>
          <w:spacing w:val="-2"/>
          <w:rtl/>
        </w:rPr>
        <w:tab/>
        <w:t>(أ)</w:t>
      </w:r>
      <w:r w:rsidRPr="00B22373">
        <w:rPr>
          <w:rFonts w:hint="cs"/>
          <w:b/>
          <w:bCs/>
          <w:spacing w:val="-2"/>
          <w:rtl/>
        </w:rPr>
        <w:tab/>
        <w:t>تنفيذ برامج تدريبية وإعداد مناهج بشأن حقوق الإنسان لضمان إطلاع موظفي الأمن والموظفين المكلفين إنفاذ القوانين على كل ما يتعلق بأحكام الاتفاقية ولا سيما الحظر المطلق للتعذيب؛</w:t>
      </w:r>
    </w:p>
    <w:p w:rsidR="006D675E" w:rsidRPr="00825DB6" w:rsidRDefault="006D675E" w:rsidP="006D675E">
      <w:pPr>
        <w:pStyle w:val="SingleTxtGA"/>
        <w:rPr>
          <w:rFonts w:hint="cs"/>
          <w:b/>
          <w:bCs/>
        </w:rPr>
      </w:pPr>
      <w:r>
        <w:rPr>
          <w:rFonts w:hint="cs"/>
          <w:b/>
          <w:bCs/>
          <w:rtl/>
        </w:rPr>
        <w:tab/>
        <w:t>(ب)</w:t>
      </w:r>
      <w:r>
        <w:rPr>
          <w:rFonts w:hint="cs"/>
          <w:b/>
          <w:bCs/>
          <w:rtl/>
        </w:rPr>
        <w:tab/>
      </w:r>
      <w:r w:rsidRPr="00825DB6">
        <w:rPr>
          <w:rFonts w:hint="cs"/>
          <w:b/>
          <w:bCs/>
          <w:rtl/>
        </w:rPr>
        <w:t>توفير دورات تدريبية بشأن بروتوكول اسطنبول بصورة منتظمة ومنهجية للعاملين في المجال الطبي والأطباء الشرعيين والقضاة والمدعين العامين وسواهم من الأشخاص الذين يشاركون في عمليات الاحتجاز أو الاستجواب أو التعامل مع أي موقوف أو محتجز أو مسجون، فضلاً عن الأشخاص المشاركين في</w:t>
      </w:r>
      <w:r>
        <w:rPr>
          <w:rFonts w:hint="cs"/>
          <w:b/>
          <w:bCs/>
          <w:rtl/>
        </w:rPr>
        <w:t xml:space="preserve"> التحقيقات بشأن حالات التعذيب؛</w:t>
      </w:r>
    </w:p>
    <w:p w:rsidR="006D675E" w:rsidRPr="00825DB6" w:rsidRDefault="006D675E" w:rsidP="006D675E">
      <w:pPr>
        <w:pStyle w:val="SingleTxtGA"/>
        <w:rPr>
          <w:rFonts w:hint="cs"/>
          <w:b/>
          <w:bCs/>
          <w:rtl/>
        </w:rPr>
      </w:pPr>
      <w:r>
        <w:rPr>
          <w:rFonts w:hint="cs"/>
          <w:b/>
          <w:bCs/>
          <w:rtl/>
        </w:rPr>
        <w:tab/>
      </w:r>
      <w:r w:rsidRPr="00825DB6">
        <w:rPr>
          <w:rFonts w:hint="cs"/>
          <w:b/>
          <w:bCs/>
          <w:rtl/>
        </w:rPr>
        <w:t>(ج)</w:t>
      </w:r>
      <w:r>
        <w:rPr>
          <w:rFonts w:hint="cs"/>
          <w:b/>
          <w:bCs/>
          <w:rtl/>
        </w:rPr>
        <w:tab/>
      </w:r>
      <w:r w:rsidRPr="00825DB6">
        <w:rPr>
          <w:rFonts w:hint="cs"/>
          <w:b/>
          <w:bCs/>
          <w:rtl/>
        </w:rPr>
        <w:t>إعداد وتنفيذ منهجية تتيح تقييم فعالية برامج التعليم والتدريب بشأن اتفاقية مناهضة التعذيب وبروتوكول اسطنبول وأثرهما في خفض حالات التعذيب وسوء</w:t>
      </w:r>
      <w:r>
        <w:rPr>
          <w:rFonts w:hint="eastAsia"/>
          <w:b/>
          <w:bCs/>
          <w:rtl/>
        </w:rPr>
        <w:t> </w:t>
      </w:r>
      <w:r w:rsidRPr="00825DB6">
        <w:rPr>
          <w:rFonts w:hint="cs"/>
          <w:b/>
          <w:bCs/>
          <w:rtl/>
        </w:rPr>
        <w:t xml:space="preserve">المعاملة. </w:t>
      </w:r>
    </w:p>
    <w:p w:rsidR="006D675E" w:rsidRPr="00825DB6" w:rsidRDefault="006D675E" w:rsidP="006D675E">
      <w:pPr>
        <w:pStyle w:val="H23GA"/>
        <w:rPr>
          <w:rFonts w:hint="cs"/>
          <w:rtl/>
        </w:rPr>
      </w:pPr>
      <w:r>
        <w:rPr>
          <w:rFonts w:hint="cs"/>
          <w:rtl/>
        </w:rPr>
        <w:tab/>
      </w:r>
      <w:r>
        <w:rPr>
          <w:rFonts w:hint="cs"/>
          <w:rtl/>
        </w:rPr>
        <w:tab/>
      </w:r>
      <w:r w:rsidRPr="00825DB6">
        <w:rPr>
          <w:rFonts w:hint="cs"/>
          <w:rtl/>
        </w:rPr>
        <w:t>التحقيقات</w:t>
      </w:r>
    </w:p>
    <w:p w:rsidR="006D675E" w:rsidRPr="00825DB6" w:rsidRDefault="008F12F4" w:rsidP="008F12F4">
      <w:pPr>
        <w:pStyle w:val="SingleTxtGA"/>
        <w:rPr>
          <w:rFonts w:hint="cs"/>
          <w:spacing w:val="-2"/>
          <w:rtl/>
        </w:rPr>
      </w:pPr>
      <w:r>
        <w:rPr>
          <w:rFonts w:hint="cs"/>
          <w:rtl/>
        </w:rPr>
        <w:t>(</w:t>
      </w:r>
      <w:r w:rsidR="006D675E" w:rsidRPr="00825DB6">
        <w:rPr>
          <w:rFonts w:hint="cs"/>
          <w:rtl/>
        </w:rPr>
        <w:t>18</w:t>
      </w:r>
      <w:r>
        <w:rPr>
          <w:rFonts w:hint="cs"/>
          <w:rtl/>
        </w:rPr>
        <w:t>)</w:t>
      </w:r>
      <w:r w:rsidR="006D675E">
        <w:rPr>
          <w:rFonts w:hint="cs"/>
          <w:rtl/>
        </w:rPr>
        <w:tab/>
      </w:r>
      <w:r w:rsidR="006D675E" w:rsidRPr="00825DB6">
        <w:rPr>
          <w:rFonts w:hint="cs"/>
          <w:rtl/>
        </w:rPr>
        <w:t xml:space="preserve">تبدي اللجنة قلقها الشديد لنقص المعلومات المتعلقة بمقاضاة مقترفي أعمال التعذيب. كما ينتابها القلق إزاء الغياب الجلي للبيانات الإحصائية المتعلقة بعدد الشكاوى الجنائية المسجلة بشأن أعمال التعذيب وتلك المتعلقة بالتحقيقات والإدانات المترتبة عن تلك الشكاوى، وهو ما يعني أن أي محكمة لم تتمكن حتى الحين من تطبيق أحكام الاتفاقية مباشرةً، لغياب نصوص تجرّم أعمال التعذيب وتعاقب عليها. ويساور القلق اللجنة إزاء </w:t>
      </w:r>
      <w:r w:rsidR="006D675E" w:rsidRPr="00825DB6">
        <w:rPr>
          <w:rFonts w:hint="cs"/>
          <w:spacing w:val="-2"/>
          <w:rtl/>
        </w:rPr>
        <w:t>الادعاءات التي وردتها بتأخر السلطات المختصة في الدولة في مباشرة التحقيق في ادعاءات بشأن حالات تعذيب أُبلغ عنها في عامي 2011 و2012 في نواكشوط وكيهيدي وولد ينجه. كما</w:t>
      </w:r>
      <w:r w:rsidR="006D675E">
        <w:rPr>
          <w:rFonts w:hint="eastAsia"/>
          <w:spacing w:val="-2"/>
          <w:rtl/>
        </w:rPr>
        <w:t> </w:t>
      </w:r>
      <w:r w:rsidR="006D675E" w:rsidRPr="00825DB6">
        <w:rPr>
          <w:rFonts w:hint="cs"/>
          <w:spacing w:val="-2"/>
          <w:rtl/>
        </w:rPr>
        <w:t xml:space="preserve">يساور اللجنة قلق بالغ </w:t>
      </w:r>
      <w:r w:rsidR="006D675E">
        <w:rPr>
          <w:rFonts w:hint="cs"/>
          <w:spacing w:val="-2"/>
          <w:rtl/>
        </w:rPr>
        <w:t>إزاء نقص المعلومات في</w:t>
      </w:r>
      <w:r w:rsidR="006D675E" w:rsidRPr="00825DB6">
        <w:rPr>
          <w:rFonts w:hint="cs"/>
          <w:spacing w:val="-2"/>
          <w:rtl/>
        </w:rPr>
        <w:t xml:space="preserve">ما يخص حالة حسن ولد </w:t>
      </w:r>
      <w:r w:rsidR="006D675E">
        <w:rPr>
          <w:rFonts w:hint="cs"/>
          <w:spacing w:val="-2"/>
          <w:rtl/>
        </w:rPr>
        <w:t>إ</w:t>
      </w:r>
      <w:r w:rsidR="006D675E" w:rsidRPr="00825DB6">
        <w:rPr>
          <w:rFonts w:hint="cs"/>
          <w:spacing w:val="-2"/>
          <w:rtl/>
        </w:rPr>
        <w:t>براهيم الذي كان محتجزاً في سجن دار النعيم المدني في نواكشوط وتوفي في تشرين الأول/أكتوبر 2012 بعد تعذيبه على يد حراس السجن (المادتان 12 و13).</w:t>
      </w:r>
    </w:p>
    <w:p w:rsidR="006D675E" w:rsidRPr="00825DB6" w:rsidRDefault="006D675E" w:rsidP="006D675E">
      <w:pPr>
        <w:pStyle w:val="SingleTxtGA"/>
        <w:rPr>
          <w:rFonts w:hint="cs"/>
          <w:b/>
          <w:bCs/>
          <w:rtl/>
        </w:rPr>
      </w:pPr>
      <w:r>
        <w:rPr>
          <w:rFonts w:hint="cs"/>
          <w:b/>
          <w:bCs/>
          <w:rtl/>
        </w:rPr>
        <w:tab/>
      </w:r>
      <w:r w:rsidRPr="00825DB6">
        <w:rPr>
          <w:rFonts w:hint="cs"/>
          <w:b/>
          <w:bCs/>
          <w:rtl/>
        </w:rPr>
        <w:t>ينبغي للدولة الطرف أن تقوم بما يلي:</w:t>
      </w:r>
    </w:p>
    <w:p w:rsidR="006D675E" w:rsidRPr="00825DB6" w:rsidRDefault="006D675E" w:rsidP="004F4A19">
      <w:pPr>
        <w:pStyle w:val="SingleTxtGA"/>
        <w:spacing w:line="370" w:lineRule="exact"/>
        <w:rPr>
          <w:rFonts w:hint="cs"/>
          <w:b/>
          <w:bCs/>
          <w:rtl/>
        </w:rPr>
      </w:pPr>
      <w:r>
        <w:rPr>
          <w:rFonts w:hint="cs"/>
          <w:b/>
          <w:bCs/>
          <w:rtl/>
        </w:rPr>
        <w:tab/>
        <w:t>(أ)</w:t>
      </w:r>
      <w:r>
        <w:rPr>
          <w:rFonts w:hint="cs"/>
          <w:b/>
          <w:bCs/>
          <w:rtl/>
        </w:rPr>
        <w:tab/>
      </w:r>
      <w:r w:rsidRPr="00825DB6">
        <w:rPr>
          <w:rFonts w:hint="cs"/>
          <w:b/>
          <w:bCs/>
          <w:rtl/>
        </w:rPr>
        <w:t>وضع حد نهائي للتعذيب وللمعاملة اللاإنسانية والمهينة، والحرص على أن تشكل الادعاءات المتعلقة بالتعذيب وسوء المعاملة أو بلجوء الشرطة وقوى الأمن إلى استعمال القوة بصورة مفرطة، موضوع تحقيق سريع وملاحقة قضائية وإدانة بعقوبة تتناسب مع درجة خطورة الفعل المرتكب، إذا اقتضى الأمر، وفقاً للالتزام الذي تعهدت به الدولة الطرف خلال الاستعراض الدوري الشامل في تشرين الثاني/نوفمبر 2010؛</w:t>
      </w:r>
    </w:p>
    <w:p w:rsidR="006D675E" w:rsidRPr="00825DB6" w:rsidRDefault="006D675E" w:rsidP="004F4A19">
      <w:pPr>
        <w:pStyle w:val="SingleTxtGA"/>
        <w:spacing w:line="370" w:lineRule="exact"/>
        <w:rPr>
          <w:rFonts w:hint="cs"/>
          <w:b/>
          <w:bCs/>
        </w:rPr>
      </w:pPr>
      <w:r>
        <w:rPr>
          <w:rFonts w:hint="cs"/>
          <w:b/>
          <w:bCs/>
          <w:rtl/>
        </w:rPr>
        <w:tab/>
        <w:t>(ب)</w:t>
      </w:r>
      <w:r>
        <w:rPr>
          <w:rFonts w:hint="cs"/>
          <w:b/>
          <w:bCs/>
          <w:rtl/>
        </w:rPr>
        <w:tab/>
      </w:r>
      <w:r w:rsidRPr="00825DB6">
        <w:rPr>
          <w:rFonts w:hint="cs"/>
          <w:b/>
          <w:bCs/>
          <w:rtl/>
        </w:rPr>
        <w:t>تضمين القانون الجنائي عدم تقادم جريمة التعذيب؛</w:t>
      </w:r>
    </w:p>
    <w:p w:rsidR="006D675E" w:rsidRPr="00825DB6" w:rsidRDefault="006D675E" w:rsidP="004F4A19">
      <w:pPr>
        <w:pStyle w:val="SingleTxtGA"/>
        <w:spacing w:line="370" w:lineRule="exact"/>
        <w:rPr>
          <w:rFonts w:hint="cs"/>
          <w:b/>
          <w:bCs/>
          <w:rtl/>
        </w:rPr>
      </w:pPr>
      <w:r>
        <w:rPr>
          <w:rFonts w:hint="cs"/>
          <w:b/>
          <w:bCs/>
          <w:rtl/>
        </w:rPr>
        <w:tab/>
      </w:r>
      <w:r w:rsidRPr="00825DB6">
        <w:rPr>
          <w:rFonts w:hint="cs"/>
          <w:b/>
          <w:bCs/>
          <w:rtl/>
        </w:rPr>
        <w:t>(ج)</w:t>
      </w:r>
      <w:r>
        <w:rPr>
          <w:rFonts w:hint="cs"/>
          <w:b/>
          <w:bCs/>
          <w:rtl/>
        </w:rPr>
        <w:tab/>
      </w:r>
      <w:r w:rsidRPr="00825DB6">
        <w:rPr>
          <w:rFonts w:hint="cs"/>
          <w:b/>
          <w:bCs/>
          <w:rtl/>
        </w:rPr>
        <w:t xml:space="preserve">تزويد اللجنة بمعلومات مفصّلة بشأن التحقيقات التي أجريت بشأن وفاة حسن ولد </w:t>
      </w:r>
      <w:r>
        <w:rPr>
          <w:rFonts w:hint="cs"/>
          <w:b/>
          <w:bCs/>
          <w:rtl/>
        </w:rPr>
        <w:t>إ</w:t>
      </w:r>
      <w:r w:rsidRPr="00825DB6">
        <w:rPr>
          <w:rFonts w:hint="cs"/>
          <w:b/>
          <w:bCs/>
          <w:rtl/>
        </w:rPr>
        <w:t>براهيم في تشرين الأول/أكتوبر 2012 في سجن دار النعيم المدني وبشأن متابعة هذه التحقيقات.</w:t>
      </w:r>
    </w:p>
    <w:p w:rsidR="006D675E" w:rsidRPr="00825DB6" w:rsidRDefault="006D675E" w:rsidP="004F4A19">
      <w:pPr>
        <w:pStyle w:val="H23GA"/>
        <w:spacing w:line="370" w:lineRule="exact"/>
        <w:rPr>
          <w:rFonts w:hint="cs"/>
          <w:rtl/>
        </w:rPr>
      </w:pPr>
      <w:r>
        <w:rPr>
          <w:rFonts w:hint="cs"/>
          <w:rtl/>
        </w:rPr>
        <w:tab/>
      </w:r>
      <w:r>
        <w:rPr>
          <w:rFonts w:hint="cs"/>
          <w:rtl/>
        </w:rPr>
        <w:tab/>
      </w:r>
      <w:r w:rsidRPr="00825DB6">
        <w:rPr>
          <w:rFonts w:hint="cs"/>
          <w:rtl/>
        </w:rPr>
        <w:t>العفو والإفلات من العقاب</w:t>
      </w:r>
    </w:p>
    <w:p w:rsidR="006D675E" w:rsidRPr="00825DB6" w:rsidRDefault="00586CA6" w:rsidP="004F4A19">
      <w:pPr>
        <w:pStyle w:val="SingleTxtGA"/>
        <w:spacing w:line="370" w:lineRule="exact"/>
        <w:rPr>
          <w:rFonts w:hint="cs"/>
          <w:rtl/>
        </w:rPr>
      </w:pPr>
      <w:r>
        <w:rPr>
          <w:rFonts w:hint="cs"/>
          <w:spacing w:val="-4"/>
          <w:rtl/>
        </w:rPr>
        <w:t>(</w:t>
      </w:r>
      <w:r w:rsidR="006D675E" w:rsidRPr="00825DB6">
        <w:rPr>
          <w:rFonts w:hint="cs"/>
          <w:spacing w:val="-4"/>
          <w:rtl/>
        </w:rPr>
        <w:t>19</w:t>
      </w:r>
      <w:r>
        <w:rPr>
          <w:rFonts w:hint="cs"/>
          <w:spacing w:val="-4"/>
          <w:rtl/>
        </w:rPr>
        <w:t>)</w:t>
      </w:r>
      <w:r w:rsidR="006D675E" w:rsidRPr="00825DB6">
        <w:rPr>
          <w:rFonts w:hint="cs"/>
          <w:spacing w:val="-4"/>
          <w:rtl/>
        </w:rPr>
        <w:tab/>
        <w:t xml:space="preserve">يساور اللجنة قلق من أن يمنح القانون رقم 92-93 المؤرّخ 14 حزيران/يونيه 1993 </w:t>
      </w:r>
      <w:r w:rsidR="006D675E" w:rsidRPr="00825DB6">
        <w:rPr>
          <w:rFonts w:hint="cs"/>
          <w:rtl/>
        </w:rPr>
        <w:t>عفواً عاماً لعناصر القوات المسلّحة وقوى الأمن. وتبدي اللجنة قلقها خصوصاً إزاء النهج الذي اتبعته الدولة الطرف والذي أكّده الوفد شفوياً إزاء الطلبات التي تقدم بها بعض الضحايا وورثتهم غير الراغبين في الاستفادة من التدابير التعويضية المقررة، من أجل رفع دعوى قضائية مدنية لجبْر الضرر، والتي اعتبرتها الدولة الطرف غير مناسبة (المواد 2 و12 و13 و14).</w:t>
      </w:r>
    </w:p>
    <w:p w:rsidR="006D675E" w:rsidRPr="00825DB6" w:rsidRDefault="006D675E" w:rsidP="004F4A19">
      <w:pPr>
        <w:pStyle w:val="SingleTxtGA"/>
        <w:spacing w:line="370" w:lineRule="exact"/>
        <w:rPr>
          <w:rFonts w:hint="cs"/>
          <w:b/>
          <w:bCs/>
          <w:rtl/>
        </w:rPr>
      </w:pPr>
      <w:r>
        <w:rPr>
          <w:rFonts w:hint="cs"/>
          <w:b/>
          <w:bCs/>
          <w:rtl/>
        </w:rPr>
        <w:tab/>
      </w:r>
      <w:r w:rsidRPr="00825DB6">
        <w:rPr>
          <w:rFonts w:hint="cs"/>
          <w:b/>
          <w:bCs/>
          <w:rtl/>
        </w:rPr>
        <w:t xml:space="preserve">وإذ تشير اللجنة إلى تعليقها العام رقم 3 (2012) </w:t>
      </w:r>
      <w:r w:rsidRPr="00825DB6">
        <w:rPr>
          <w:b/>
          <w:bCs/>
        </w:rPr>
        <w:t>(CAT/C/GC/3)</w:t>
      </w:r>
      <w:r w:rsidRPr="00825DB6">
        <w:rPr>
          <w:rFonts w:hint="cs"/>
          <w:b/>
          <w:bCs/>
          <w:rtl/>
        </w:rPr>
        <w:t>، توصي بأن تقوم الدولة الطرف بما يلي:</w:t>
      </w:r>
    </w:p>
    <w:p w:rsidR="006D675E" w:rsidRPr="00825DB6" w:rsidRDefault="006D675E" w:rsidP="004F4A19">
      <w:pPr>
        <w:pStyle w:val="SingleTxtGA"/>
        <w:spacing w:line="370" w:lineRule="exact"/>
        <w:rPr>
          <w:rFonts w:hint="cs"/>
          <w:b/>
          <w:bCs/>
          <w:rtl/>
        </w:rPr>
      </w:pPr>
      <w:r>
        <w:rPr>
          <w:rFonts w:hint="cs"/>
          <w:b/>
          <w:bCs/>
          <w:rtl/>
        </w:rPr>
        <w:tab/>
        <w:t>(أ)</w:t>
      </w:r>
      <w:r>
        <w:rPr>
          <w:rFonts w:hint="cs"/>
          <w:b/>
          <w:bCs/>
          <w:rtl/>
        </w:rPr>
        <w:tab/>
      </w:r>
      <w:r w:rsidRPr="00825DB6">
        <w:rPr>
          <w:rFonts w:hint="cs"/>
          <w:b/>
          <w:bCs/>
          <w:rtl/>
        </w:rPr>
        <w:t>تعديل قانون العفو رقم 92-93 واتخاذ كافة التدابير اللازمة للتصدي لإفلات مرتكبي التعذيب من العقاب، بما في ذلك إتاحة حصول الضحايا وورثتهم على سبل انتصاف فعالة؛</w:t>
      </w:r>
    </w:p>
    <w:p w:rsidR="006D675E" w:rsidRPr="00825DB6" w:rsidRDefault="006D675E" w:rsidP="004F4A19">
      <w:pPr>
        <w:pStyle w:val="SingleTxtGA"/>
        <w:spacing w:line="370" w:lineRule="exact"/>
        <w:rPr>
          <w:rFonts w:hint="cs"/>
          <w:b/>
          <w:bCs/>
        </w:rPr>
      </w:pPr>
      <w:r>
        <w:rPr>
          <w:rFonts w:hint="cs"/>
          <w:b/>
          <w:bCs/>
          <w:rtl/>
        </w:rPr>
        <w:tab/>
        <w:t>(ب)</w:t>
      </w:r>
      <w:r>
        <w:rPr>
          <w:rFonts w:hint="cs"/>
          <w:b/>
          <w:bCs/>
          <w:rtl/>
        </w:rPr>
        <w:tab/>
      </w:r>
      <w:r w:rsidRPr="00825DB6">
        <w:rPr>
          <w:rFonts w:hint="cs"/>
          <w:b/>
          <w:bCs/>
          <w:rtl/>
        </w:rPr>
        <w:t>ضمان حماية الضحايا وأسرهم السّاعين إلى الحصول على التعويض، من أي أعمال انتقام أو تخويف محتملة.</w:t>
      </w:r>
    </w:p>
    <w:p w:rsidR="006D675E" w:rsidRPr="00825DB6" w:rsidRDefault="006D675E" w:rsidP="004F4A19">
      <w:pPr>
        <w:pStyle w:val="H23GA"/>
        <w:spacing w:line="370" w:lineRule="exact"/>
        <w:rPr>
          <w:rFonts w:hint="cs"/>
          <w:rtl/>
        </w:rPr>
      </w:pPr>
      <w:r>
        <w:rPr>
          <w:rFonts w:hint="cs"/>
          <w:rtl/>
        </w:rPr>
        <w:tab/>
      </w:r>
      <w:r>
        <w:rPr>
          <w:rFonts w:hint="cs"/>
          <w:rtl/>
        </w:rPr>
        <w:tab/>
      </w:r>
      <w:r w:rsidRPr="00825DB6">
        <w:rPr>
          <w:rFonts w:hint="cs"/>
          <w:rtl/>
        </w:rPr>
        <w:t>تعويض ضحايا التعذيب وإعادة تأهيلهم</w:t>
      </w:r>
    </w:p>
    <w:p w:rsidR="006D675E" w:rsidRPr="00825DB6" w:rsidRDefault="00586CA6" w:rsidP="004F4A19">
      <w:pPr>
        <w:pStyle w:val="SingleTxtGA"/>
        <w:spacing w:line="370" w:lineRule="exact"/>
        <w:rPr>
          <w:rFonts w:hint="cs"/>
          <w:rtl/>
        </w:rPr>
      </w:pPr>
      <w:r>
        <w:rPr>
          <w:rFonts w:hint="cs"/>
          <w:rtl/>
        </w:rPr>
        <w:t>(</w:t>
      </w:r>
      <w:r w:rsidR="006D675E" w:rsidRPr="00825DB6">
        <w:rPr>
          <w:rFonts w:hint="cs"/>
          <w:rtl/>
        </w:rPr>
        <w:t>20</w:t>
      </w:r>
      <w:r>
        <w:rPr>
          <w:rFonts w:hint="cs"/>
          <w:rtl/>
        </w:rPr>
        <w:t>)</w:t>
      </w:r>
      <w:r w:rsidR="006D675E">
        <w:rPr>
          <w:rFonts w:hint="cs"/>
          <w:rtl/>
        </w:rPr>
        <w:tab/>
      </w:r>
      <w:r w:rsidR="006D675E" w:rsidRPr="00825DB6">
        <w:rPr>
          <w:rFonts w:hint="cs"/>
          <w:rtl/>
        </w:rPr>
        <w:t xml:space="preserve">تعرب اللجنة عن قلقها من أن التشريعات الحالية لا تتضمن أي حكم يضمن </w:t>
      </w:r>
      <w:r w:rsidR="006D675E" w:rsidRPr="00825DB6">
        <w:rPr>
          <w:rFonts w:hint="cs"/>
          <w:spacing w:val="-2"/>
          <w:rtl/>
        </w:rPr>
        <w:t>التعويض عن الأضرار التي ألحقت بضحايا التعذيب. ويساور اللجنة قلق كذلك من أن بعض أشكال التعويض المستوحاة من الدين كالقصاص، والتي يتناولها القانون الجنائي في مادتيه 285</w:t>
      </w:r>
      <w:r w:rsidR="006D675E" w:rsidRPr="00825DB6">
        <w:rPr>
          <w:rFonts w:hint="cs"/>
          <w:rtl/>
        </w:rPr>
        <w:t xml:space="preserve"> و286، تشكّل أعمال تعذيب أو </w:t>
      </w:r>
      <w:r w:rsidR="006D675E" w:rsidRPr="00825DB6">
        <w:rPr>
          <w:rFonts w:hint="cs"/>
          <w:rtl/>
          <w:lang/>
        </w:rPr>
        <w:t>ضروباً من ضروب العقوبة أو المعاملة القاسية أو اللاإنسانية أو المهينة</w:t>
      </w:r>
      <w:r w:rsidR="006D675E" w:rsidRPr="00825DB6">
        <w:rPr>
          <w:rFonts w:hint="cs"/>
          <w:rtl/>
        </w:rPr>
        <w:t xml:space="preserve"> (المواد 2 و12 و13 و14 و16).</w:t>
      </w:r>
    </w:p>
    <w:p w:rsidR="006D675E" w:rsidRPr="00825DB6" w:rsidRDefault="006D675E" w:rsidP="006D675E">
      <w:pPr>
        <w:pStyle w:val="SingleTxtGA"/>
        <w:rPr>
          <w:rFonts w:hint="cs"/>
          <w:b/>
          <w:bCs/>
          <w:rtl/>
        </w:rPr>
      </w:pPr>
      <w:r>
        <w:rPr>
          <w:rFonts w:hint="cs"/>
          <w:b/>
          <w:bCs/>
          <w:rtl/>
        </w:rPr>
        <w:tab/>
      </w:r>
      <w:r w:rsidRPr="00825DB6">
        <w:rPr>
          <w:rFonts w:hint="cs"/>
          <w:b/>
          <w:bCs/>
          <w:rtl/>
        </w:rPr>
        <w:t>ينبغي للدولة الطرف أن تقوم بما يلي:</w:t>
      </w:r>
    </w:p>
    <w:p w:rsidR="006D675E" w:rsidRPr="00825DB6" w:rsidRDefault="006D675E" w:rsidP="006D675E">
      <w:pPr>
        <w:pStyle w:val="SingleTxtGA"/>
        <w:rPr>
          <w:rFonts w:hint="cs"/>
          <w:b/>
          <w:bCs/>
          <w:rtl/>
        </w:rPr>
      </w:pPr>
      <w:r>
        <w:rPr>
          <w:rFonts w:hint="cs"/>
          <w:b/>
          <w:bCs/>
          <w:rtl/>
        </w:rPr>
        <w:tab/>
        <w:t>(أ)</w:t>
      </w:r>
      <w:r>
        <w:rPr>
          <w:rFonts w:hint="cs"/>
          <w:b/>
          <w:bCs/>
          <w:rtl/>
        </w:rPr>
        <w:tab/>
      </w:r>
      <w:r w:rsidRPr="00825DB6">
        <w:rPr>
          <w:rFonts w:hint="cs"/>
          <w:b/>
          <w:bCs/>
          <w:rtl/>
        </w:rPr>
        <w:t>اتخاذ تدابير تشريعية وإدارية لضمان إنصاف ضحايا التعذيب وسوء المعاملة، بما يشمل تدابير إعادة الحقوق والتعويض وإعادة التأهيل والترضية وضمان عدم تكرار هذه الأعمال، ثم إدراج هذه التدابير في القانون الجنائي؛</w:t>
      </w:r>
    </w:p>
    <w:p w:rsidR="006D675E" w:rsidRPr="00825DB6" w:rsidRDefault="006D675E" w:rsidP="006D675E">
      <w:pPr>
        <w:pStyle w:val="SingleTxtGA"/>
        <w:rPr>
          <w:rFonts w:hint="cs"/>
          <w:b/>
          <w:bCs/>
        </w:rPr>
      </w:pPr>
      <w:r>
        <w:rPr>
          <w:rFonts w:hint="cs"/>
          <w:b/>
          <w:bCs/>
          <w:rtl/>
        </w:rPr>
        <w:tab/>
        <w:t>(ب)</w:t>
      </w:r>
      <w:r>
        <w:rPr>
          <w:rFonts w:hint="cs"/>
          <w:b/>
          <w:bCs/>
          <w:rtl/>
        </w:rPr>
        <w:tab/>
      </w:r>
      <w:r w:rsidRPr="00825DB6">
        <w:rPr>
          <w:rFonts w:hint="cs"/>
          <w:b/>
          <w:bCs/>
          <w:rtl/>
        </w:rPr>
        <w:t>تعديل القانون الجنائي لإلغاء كل ما يشير إلى عقوبة القصاص. وفي هذا الصدد، تُوجه اللجنة نظر الدول</w:t>
      </w:r>
      <w:r>
        <w:rPr>
          <w:rFonts w:hint="cs"/>
          <w:b/>
          <w:bCs/>
          <w:rtl/>
        </w:rPr>
        <w:t>ة الطرف إلى التعليق العام رقم 3</w:t>
      </w:r>
      <w:r w:rsidRPr="00825DB6">
        <w:rPr>
          <w:rFonts w:hint="cs"/>
          <w:b/>
          <w:bCs/>
          <w:rtl/>
        </w:rPr>
        <w:t xml:space="preserve">(2012) الذي اعتمد أخيراً والذي يتناول المادة 14 من الاتفاقية ويُبيّن مضمون التزامات الدول الأطراف ونطاقها فيما يتعلق بالتعويض الكامل الذي يحق لضحايا التعذيب الحصول عليه. </w:t>
      </w:r>
    </w:p>
    <w:p w:rsidR="006D675E" w:rsidRPr="00825DB6" w:rsidRDefault="006D675E" w:rsidP="006D675E">
      <w:pPr>
        <w:pStyle w:val="H23GA"/>
        <w:rPr>
          <w:rFonts w:hint="cs"/>
          <w:rtl/>
        </w:rPr>
      </w:pPr>
      <w:r>
        <w:rPr>
          <w:rFonts w:hint="cs"/>
          <w:rtl/>
        </w:rPr>
        <w:tab/>
      </w:r>
      <w:r>
        <w:rPr>
          <w:rFonts w:hint="cs"/>
          <w:rtl/>
        </w:rPr>
        <w:tab/>
      </w:r>
      <w:r w:rsidRPr="00825DB6">
        <w:rPr>
          <w:rFonts w:hint="cs"/>
          <w:rtl/>
        </w:rPr>
        <w:t>إنفاذ حظر ممارسات الاستعباد</w:t>
      </w:r>
    </w:p>
    <w:p w:rsidR="006D675E" w:rsidRPr="00825DB6" w:rsidRDefault="00586CA6" w:rsidP="00586CA6">
      <w:pPr>
        <w:pStyle w:val="SingleTxtGA"/>
        <w:rPr>
          <w:rFonts w:hint="cs"/>
          <w:rtl/>
        </w:rPr>
      </w:pPr>
      <w:r>
        <w:rPr>
          <w:rFonts w:hint="cs"/>
          <w:rtl/>
        </w:rPr>
        <w:t>(</w:t>
      </w:r>
      <w:r w:rsidR="006D675E">
        <w:rPr>
          <w:rFonts w:hint="cs"/>
          <w:rtl/>
        </w:rPr>
        <w:t>21</w:t>
      </w:r>
      <w:r>
        <w:rPr>
          <w:rFonts w:hint="cs"/>
          <w:rtl/>
        </w:rPr>
        <w:t>)</w:t>
      </w:r>
      <w:r w:rsidR="006D675E">
        <w:rPr>
          <w:rFonts w:hint="cs"/>
          <w:rtl/>
        </w:rPr>
        <w:tab/>
      </w:r>
      <w:r w:rsidR="006D675E" w:rsidRPr="00825DB6">
        <w:rPr>
          <w:rFonts w:hint="cs"/>
          <w:rtl/>
        </w:rPr>
        <w:t>بينما تحيط اللجنة علماً بالمعلومات الواردة من وفد الدولة الطرف والتي تفيد بأن</w:t>
      </w:r>
      <w:r w:rsidR="006D675E">
        <w:rPr>
          <w:rFonts w:hint="eastAsia"/>
          <w:rtl/>
        </w:rPr>
        <w:t> </w:t>
      </w:r>
      <w:r w:rsidR="006D675E" w:rsidRPr="00825DB6">
        <w:rPr>
          <w:rFonts w:hint="cs"/>
          <w:rtl/>
        </w:rPr>
        <w:t>الهيئات القضائية في الدولة الطرف تنظر حالياً في 15 شكوى عن حالات استعباد</w:t>
      </w:r>
      <w:r w:rsidR="006D675E">
        <w:rPr>
          <w:rFonts w:hint="eastAsia"/>
          <w:rtl/>
        </w:rPr>
        <w:t> </w:t>
      </w:r>
      <w:r w:rsidR="006D675E" w:rsidRPr="00825DB6">
        <w:rPr>
          <w:rFonts w:hint="cs"/>
          <w:rtl/>
        </w:rPr>
        <w:t xml:space="preserve">مزعومة يعاقب عليها القانون رقم 2007-048 المؤرّخ 3 أيلول/سبتمبر 2007 الذي يجرّم </w:t>
      </w:r>
      <w:r w:rsidR="00777841">
        <w:rPr>
          <w:rFonts w:hint="cs"/>
          <w:rtl/>
        </w:rPr>
        <w:t xml:space="preserve">الرق ويحارب ممارسات الاستعباد، </w:t>
      </w:r>
      <w:r w:rsidR="006D675E" w:rsidRPr="00825DB6">
        <w:rPr>
          <w:rFonts w:hint="cs"/>
          <w:rtl/>
        </w:rPr>
        <w:t>تأسف لعدم وجود معلومات إحصائية حول طبيعة ممارسات الاستعباد وتداعياتها. وتبدي اللجنة قلقها أيضاً إزاء تعاطي الهيئات القضائية مع حالات الاستعباد على أساس أنها قضايا حق مدني مثلها مثل القضايا المتعلقة بقانون الشغل أو قانون الملكية، وليس بوصفها جرائم استعباد. وبذلك فإنها تفرغ جريمة الاستعباد من كل مضمون قانوني ... وفضلاً عن ذلك، لا يشمل قانون العام 2007 البعد التمييزي المتأصل في هذه الممارسة. وتشير اللجنة إلى انشغال المقررة الخاصة المعنية بأشكال الرق المعاصرة بما في ذلك أسبابه وعواقبه، والتي استنتجت أنّ القانون لا يستظهر به إلا في إطار الملاحقة الجنائية لمُلاَّك العبيد وبالتالي فإنه يتوقف بالكامل على حسن إرادة الشرطة والنيابة العامة، في حين لا يملك الضحايا أي إمكانية لإقامة دعوى مدنية بغية الحصول على تعويض (المواد 1 و2 و16).</w:t>
      </w:r>
    </w:p>
    <w:p w:rsidR="006D675E" w:rsidRPr="00825DB6" w:rsidRDefault="006D675E" w:rsidP="006D675E">
      <w:pPr>
        <w:pStyle w:val="SingleTxtGA"/>
        <w:keepNext/>
        <w:rPr>
          <w:rFonts w:hint="cs"/>
          <w:b/>
          <w:bCs/>
          <w:rtl/>
        </w:rPr>
      </w:pPr>
      <w:r>
        <w:rPr>
          <w:rFonts w:hint="cs"/>
          <w:b/>
          <w:bCs/>
          <w:rtl/>
        </w:rPr>
        <w:tab/>
      </w:r>
      <w:r w:rsidRPr="00825DB6">
        <w:rPr>
          <w:rFonts w:hint="cs"/>
          <w:b/>
          <w:bCs/>
          <w:rtl/>
        </w:rPr>
        <w:t xml:space="preserve">ينبغي للدولة الطرف أن تقوم بما يلي: </w:t>
      </w:r>
    </w:p>
    <w:p w:rsidR="006D675E" w:rsidRPr="00825DB6" w:rsidRDefault="006D675E" w:rsidP="006D675E">
      <w:pPr>
        <w:pStyle w:val="SingleTxtGA"/>
        <w:rPr>
          <w:rFonts w:hint="cs"/>
          <w:b/>
          <w:bCs/>
          <w:rtl/>
        </w:rPr>
      </w:pPr>
      <w:r>
        <w:rPr>
          <w:rFonts w:hint="cs"/>
          <w:b/>
          <w:bCs/>
          <w:rtl/>
        </w:rPr>
        <w:tab/>
        <w:t>(أ)</w:t>
      </w:r>
      <w:r>
        <w:rPr>
          <w:rFonts w:hint="cs"/>
          <w:b/>
          <w:bCs/>
          <w:rtl/>
        </w:rPr>
        <w:tab/>
      </w:r>
      <w:r w:rsidRPr="00825DB6">
        <w:rPr>
          <w:rFonts w:hint="cs"/>
          <w:b/>
          <w:bCs/>
          <w:rtl/>
        </w:rPr>
        <w:t>إدراج حكمٍ في القانون الجنائي يتضمن تعريفاً محدداً للتمييز العرقي أو</w:t>
      </w:r>
      <w:r>
        <w:rPr>
          <w:rFonts w:hint="eastAsia"/>
          <w:b/>
          <w:bCs/>
          <w:rtl/>
        </w:rPr>
        <w:t> </w:t>
      </w:r>
      <w:r w:rsidRPr="00825DB6">
        <w:rPr>
          <w:rFonts w:hint="cs"/>
          <w:b/>
          <w:bCs/>
          <w:rtl/>
        </w:rPr>
        <w:t>الإثني ويجرّمه، بما يشمل ممارسات الاستعباد، وإشفاع هذا الحكم بعقوبات تتناسب مع خطورة الفعل؛</w:t>
      </w:r>
    </w:p>
    <w:p w:rsidR="006D675E" w:rsidRPr="00825DB6" w:rsidRDefault="006D675E" w:rsidP="006D675E">
      <w:pPr>
        <w:pStyle w:val="SingleTxtGA"/>
        <w:rPr>
          <w:rFonts w:hint="cs"/>
          <w:b/>
          <w:bCs/>
        </w:rPr>
      </w:pPr>
      <w:r>
        <w:rPr>
          <w:rFonts w:hint="cs"/>
          <w:b/>
          <w:bCs/>
          <w:rtl/>
        </w:rPr>
        <w:tab/>
        <w:t>(ب)</w:t>
      </w:r>
      <w:r>
        <w:rPr>
          <w:rFonts w:hint="cs"/>
          <w:b/>
          <w:bCs/>
          <w:rtl/>
        </w:rPr>
        <w:tab/>
      </w:r>
      <w:r w:rsidRPr="00825DB6">
        <w:rPr>
          <w:rFonts w:hint="cs"/>
          <w:b/>
          <w:bCs/>
          <w:rtl/>
        </w:rPr>
        <w:t xml:space="preserve">إدراج تعريف شامل لكافة أشكال الرق في القانون رقم 2007-048 المؤرّخ 3 أيلول/سبتمبر 2007 وتضمين هذا القانون تدابير تعويض وإعادة تأهيل للأرقاء السابقين؛ </w:t>
      </w:r>
    </w:p>
    <w:p w:rsidR="006D675E" w:rsidRPr="00825DB6" w:rsidRDefault="006D675E" w:rsidP="006D675E">
      <w:pPr>
        <w:pStyle w:val="SingleTxtGA"/>
        <w:rPr>
          <w:rFonts w:hint="cs"/>
          <w:b/>
          <w:bCs/>
          <w:rtl/>
        </w:rPr>
      </w:pPr>
      <w:r>
        <w:rPr>
          <w:rFonts w:hint="cs"/>
          <w:b/>
          <w:bCs/>
          <w:rtl/>
        </w:rPr>
        <w:tab/>
      </w:r>
      <w:r w:rsidRPr="00825DB6">
        <w:rPr>
          <w:rFonts w:hint="cs"/>
          <w:b/>
          <w:bCs/>
          <w:rtl/>
        </w:rPr>
        <w:t>(ج)</w:t>
      </w:r>
      <w:r>
        <w:rPr>
          <w:rFonts w:hint="cs"/>
          <w:b/>
          <w:bCs/>
          <w:rtl/>
        </w:rPr>
        <w:tab/>
      </w:r>
      <w:r w:rsidRPr="00825DB6">
        <w:rPr>
          <w:rFonts w:hint="cs"/>
          <w:b/>
          <w:bCs/>
          <w:rtl/>
        </w:rPr>
        <w:t xml:space="preserve">تعديل القانون رقم 2007-048 المؤرّخ 3 أيلول/سبتمبر 2007 لتمكين ضحايا الرق أو الممارسات المرتبطة به، من تحريك الدعوى العامة عن طريق رفع دعوى مدنية لدى النيابة العامة للحصول على تعويض؛ </w:t>
      </w:r>
    </w:p>
    <w:p w:rsidR="006D675E" w:rsidRPr="00825DB6" w:rsidRDefault="006D675E" w:rsidP="006D675E">
      <w:pPr>
        <w:pStyle w:val="SingleTxtGA"/>
        <w:rPr>
          <w:rFonts w:hint="cs"/>
          <w:b/>
          <w:bCs/>
          <w:rtl/>
        </w:rPr>
      </w:pPr>
      <w:r>
        <w:rPr>
          <w:rFonts w:hint="cs"/>
          <w:b/>
          <w:bCs/>
          <w:rtl/>
        </w:rPr>
        <w:tab/>
      </w:r>
      <w:r w:rsidRPr="00825DB6">
        <w:rPr>
          <w:rFonts w:hint="cs"/>
          <w:b/>
          <w:bCs/>
          <w:rtl/>
        </w:rPr>
        <w:t>(د)</w:t>
      </w:r>
      <w:r>
        <w:rPr>
          <w:rFonts w:hint="cs"/>
          <w:b/>
          <w:bCs/>
          <w:rtl/>
        </w:rPr>
        <w:tab/>
      </w:r>
      <w:r w:rsidRPr="00825DB6">
        <w:rPr>
          <w:rFonts w:hint="cs"/>
          <w:b/>
          <w:bCs/>
          <w:rtl/>
        </w:rPr>
        <w:t>تثقيف القضاة والعاملين في مختلف المجالات القضائية بواسطة مناهج تدريب محدد حول مسألة التمييز العرقي والتعامل القضائي معها في ضوء المعايير الدولية؛</w:t>
      </w:r>
    </w:p>
    <w:p w:rsidR="006D675E" w:rsidRPr="00825DB6" w:rsidRDefault="006D675E" w:rsidP="006D675E">
      <w:pPr>
        <w:pStyle w:val="SingleTxtGA"/>
        <w:rPr>
          <w:rFonts w:hint="cs"/>
          <w:b/>
          <w:bCs/>
          <w:rtl/>
        </w:rPr>
      </w:pPr>
      <w:r>
        <w:rPr>
          <w:rFonts w:hint="cs"/>
          <w:b/>
          <w:bCs/>
          <w:rtl/>
        </w:rPr>
        <w:tab/>
      </w:r>
      <w:r w:rsidRPr="00825DB6">
        <w:rPr>
          <w:rFonts w:hint="cs"/>
          <w:b/>
          <w:bCs/>
          <w:rtl/>
        </w:rPr>
        <w:t>(</w:t>
      </w:r>
      <w:r w:rsidRPr="00706A90">
        <w:rPr>
          <w:rFonts w:hint="cs"/>
          <w:b/>
          <w:bCs/>
          <w:sz w:val="30"/>
          <w:rtl/>
        </w:rPr>
        <w:t>ﻫ</w:t>
      </w:r>
      <w:r>
        <w:rPr>
          <w:rFonts w:hint="cs"/>
          <w:b/>
          <w:bCs/>
          <w:rtl/>
        </w:rPr>
        <w:t>)</w:t>
      </w:r>
      <w:r>
        <w:rPr>
          <w:rFonts w:hint="cs"/>
          <w:b/>
          <w:bCs/>
          <w:rtl/>
        </w:rPr>
        <w:tab/>
      </w:r>
      <w:r w:rsidRPr="00825DB6">
        <w:rPr>
          <w:rFonts w:hint="cs"/>
          <w:b/>
          <w:bCs/>
          <w:rtl/>
        </w:rPr>
        <w:t xml:space="preserve">إعداد استراتيجية وطنية شاملة ضد الرق والتمييز، بما يشمل أشكال الرق التقليدية والعصرية، والتي تشمل الممارسات المتعلقة بالزواج المبكر وبالإكراه والعبودية وسخرة الأطفال والاتجار بالعمال المنزليين واستغلالهم، وذلك بما يتسق مع الالتزام الذي تعهدت به الدولة الطرف خلال الاستعراض الدوري الشامل في تشرين الثاني/نوفمبر 2010. </w:t>
      </w:r>
    </w:p>
    <w:p w:rsidR="006D675E" w:rsidRPr="00825DB6" w:rsidRDefault="006D675E" w:rsidP="006D675E">
      <w:pPr>
        <w:pStyle w:val="H23GA"/>
        <w:rPr>
          <w:rFonts w:hint="cs"/>
        </w:rPr>
      </w:pPr>
      <w:r>
        <w:rPr>
          <w:rFonts w:hint="cs"/>
          <w:rtl/>
        </w:rPr>
        <w:tab/>
      </w:r>
      <w:r>
        <w:rPr>
          <w:rFonts w:hint="cs"/>
          <w:rtl/>
        </w:rPr>
        <w:tab/>
      </w:r>
      <w:r w:rsidRPr="00825DB6">
        <w:rPr>
          <w:rFonts w:hint="cs"/>
          <w:rtl/>
        </w:rPr>
        <w:t>ظروف الاحتجاز</w:t>
      </w:r>
    </w:p>
    <w:p w:rsidR="006D675E" w:rsidRPr="00825DB6" w:rsidRDefault="00586CA6" w:rsidP="00586CA6">
      <w:pPr>
        <w:pStyle w:val="SingleTxtGA"/>
        <w:rPr>
          <w:rFonts w:hint="cs"/>
          <w:rtl/>
        </w:rPr>
      </w:pPr>
      <w:r>
        <w:rPr>
          <w:rFonts w:hint="cs"/>
          <w:rtl/>
        </w:rPr>
        <w:t>(</w:t>
      </w:r>
      <w:r w:rsidR="006D675E">
        <w:rPr>
          <w:rFonts w:hint="cs"/>
          <w:rtl/>
        </w:rPr>
        <w:t>22</w:t>
      </w:r>
      <w:r>
        <w:rPr>
          <w:rFonts w:hint="cs"/>
          <w:rtl/>
        </w:rPr>
        <w:t>)</w:t>
      </w:r>
      <w:r w:rsidR="006D675E">
        <w:rPr>
          <w:rFonts w:hint="cs"/>
          <w:rtl/>
        </w:rPr>
        <w:tab/>
      </w:r>
      <w:r w:rsidR="006D675E" w:rsidRPr="00825DB6">
        <w:rPr>
          <w:rFonts w:hint="cs"/>
          <w:rtl/>
        </w:rPr>
        <w:t>تحيط اللجنة علماً بالجهود التي تبذلها الدولة الطرف في سبيل تجديد مؤسساتها السجنية، بيد أن القلق يظل يساورها إزاء ظروف الاحتجاز التي وُصفت بأنها دون المعايير الدولية في مجمل مراكز الاحتجاز لا سيما بسبب قلّة النظافة والتهوئة والإضاءة وظروف المنامة والتغذية والرعاية الطبية الموجودة فيها. كما تعرب اللجنة عن قلقها إزاء الادعاءات الواردة عن عدد كبير من حالات المرض في صفوف المساجين وحوال</w:t>
      </w:r>
      <w:r w:rsidR="006D675E">
        <w:rPr>
          <w:rFonts w:hint="cs"/>
          <w:rtl/>
        </w:rPr>
        <w:t>ي</w:t>
      </w:r>
      <w:r w:rsidR="006D675E" w:rsidRPr="00825DB6">
        <w:rPr>
          <w:rFonts w:hint="cs"/>
          <w:rtl/>
        </w:rPr>
        <w:t xml:space="preserve"> عشرين حالة وفاة مسجّلة في عام 2010، منها 14 حالة في سجن دار النعيم. وإذ تلاحظ اللجنة الجهود التي تبذلها الدولة الطرف للتخفيف من الاكتظاظ في سجن دار النعيم، تشعر بالقلق إزاء نقل فريق</w:t>
      </w:r>
      <w:r w:rsidR="006D675E">
        <w:rPr>
          <w:rFonts w:hint="eastAsia"/>
          <w:rtl/>
        </w:rPr>
        <w:t> </w:t>
      </w:r>
      <w:r w:rsidR="006D675E" w:rsidRPr="00825DB6">
        <w:rPr>
          <w:rFonts w:hint="cs"/>
          <w:rtl/>
        </w:rPr>
        <w:t>من المساجين إلى سجن ألاك حيث يقال إن السجناء نظَّموا احتجاجات في كانون الثاني/يناير 2013 تنديداً بظروف احتجازهم (المواد 2 و11 و16).</w:t>
      </w:r>
    </w:p>
    <w:p w:rsidR="006D675E" w:rsidRPr="00825DB6" w:rsidRDefault="006D675E" w:rsidP="00586CA6">
      <w:pPr>
        <w:pStyle w:val="SingleTxtGA"/>
        <w:spacing w:line="374" w:lineRule="exact"/>
        <w:rPr>
          <w:rFonts w:hint="cs"/>
          <w:b/>
          <w:bCs/>
          <w:rtl/>
        </w:rPr>
      </w:pPr>
      <w:r>
        <w:rPr>
          <w:rFonts w:hint="cs"/>
          <w:b/>
          <w:bCs/>
          <w:rtl/>
        </w:rPr>
        <w:tab/>
      </w:r>
      <w:r w:rsidRPr="00825DB6">
        <w:rPr>
          <w:rFonts w:hint="cs"/>
          <w:b/>
          <w:bCs/>
          <w:rtl/>
        </w:rPr>
        <w:t xml:space="preserve">ينبغي للدولة الطرف القيام بما يلي: </w:t>
      </w:r>
    </w:p>
    <w:p w:rsidR="006D675E" w:rsidRPr="00825DB6" w:rsidRDefault="006D675E" w:rsidP="00586CA6">
      <w:pPr>
        <w:pStyle w:val="SingleTxtGA"/>
        <w:spacing w:line="374" w:lineRule="exact"/>
        <w:rPr>
          <w:rFonts w:hint="cs"/>
          <w:b/>
          <w:bCs/>
          <w:rtl/>
          <w:lang/>
        </w:rPr>
      </w:pPr>
      <w:r>
        <w:rPr>
          <w:rFonts w:hint="cs"/>
          <w:b/>
          <w:bCs/>
          <w:rtl/>
        </w:rPr>
        <w:tab/>
        <w:t>(أ)</w:t>
      </w:r>
      <w:r>
        <w:rPr>
          <w:rFonts w:hint="cs"/>
          <w:b/>
          <w:bCs/>
          <w:rtl/>
        </w:rPr>
        <w:tab/>
      </w:r>
      <w:r w:rsidRPr="00825DB6">
        <w:rPr>
          <w:rFonts w:hint="cs"/>
          <w:b/>
          <w:bCs/>
          <w:rtl/>
        </w:rPr>
        <w:t xml:space="preserve">مضاعفة جهودها وزيادة الأموال المخصصة لمواءمة ظروف العيش في جميع مؤسساتها السجنية مع المعايير الدولية والقواعد الدنيا النموذجية لمعاملة السجناء [قرارا </w:t>
      </w:r>
      <w:r w:rsidRPr="00825DB6">
        <w:rPr>
          <w:rFonts w:hint="cs"/>
          <w:b/>
          <w:bCs/>
          <w:rtl/>
          <w:lang/>
        </w:rPr>
        <w:t>المجلس الاقتصادي والاجتماعي التابع للأمم المتحدة، رقم 663جيم (د-24) ورقم 2076(د-62)]؛</w:t>
      </w:r>
    </w:p>
    <w:p w:rsidR="006D675E" w:rsidRPr="00586CA6" w:rsidRDefault="006D675E" w:rsidP="00586CA6">
      <w:pPr>
        <w:pStyle w:val="SingleTxtGA"/>
        <w:spacing w:line="374" w:lineRule="exact"/>
        <w:rPr>
          <w:rFonts w:hint="cs"/>
          <w:b/>
          <w:bCs/>
        </w:rPr>
      </w:pPr>
      <w:r w:rsidRPr="00586CA6">
        <w:rPr>
          <w:rFonts w:hint="cs"/>
          <w:b/>
          <w:bCs/>
          <w:rtl/>
          <w:lang/>
        </w:rPr>
        <w:tab/>
        <w:t>(ب)</w:t>
      </w:r>
      <w:r w:rsidRPr="00586CA6">
        <w:rPr>
          <w:rFonts w:hint="cs"/>
          <w:b/>
          <w:bCs/>
          <w:rtl/>
          <w:lang/>
        </w:rPr>
        <w:tab/>
        <w:t>ضمان حصول جميع المحتجزين على المياه الصالحة للشرب وعلى وجبتين</w:t>
      </w:r>
      <w:r w:rsidR="00586CA6">
        <w:rPr>
          <w:rFonts w:hint="eastAsia"/>
          <w:b/>
          <w:bCs/>
          <w:rtl/>
          <w:lang/>
        </w:rPr>
        <w:t> </w:t>
      </w:r>
      <w:r w:rsidRPr="00586CA6">
        <w:rPr>
          <w:rFonts w:hint="cs"/>
          <w:b/>
          <w:bCs/>
          <w:rtl/>
          <w:lang/>
        </w:rPr>
        <w:t>في اليوم على الأقل وسُبُل النظافة والسلع الأساسية؛ والحرص على كفاية الإضاءة</w:t>
      </w:r>
      <w:r w:rsidR="00586CA6">
        <w:rPr>
          <w:rFonts w:hint="eastAsia"/>
          <w:b/>
          <w:bCs/>
          <w:rtl/>
          <w:lang/>
        </w:rPr>
        <w:t> </w:t>
      </w:r>
      <w:r w:rsidRPr="00586CA6">
        <w:rPr>
          <w:rFonts w:hint="cs"/>
          <w:b/>
          <w:bCs/>
          <w:rtl/>
          <w:lang/>
        </w:rPr>
        <w:t>الطبيعية والاصطناعية والتهوئة في الزنزانات؛ وضمان التكفل بالنفقات الطبية والنفسية - الاجتماعية للمحتجزين والحؤول دون حدوث حالات وفاة في السجن؛</w:t>
      </w:r>
    </w:p>
    <w:p w:rsidR="006D675E" w:rsidRPr="00825DB6" w:rsidRDefault="006D675E" w:rsidP="00586CA6">
      <w:pPr>
        <w:pStyle w:val="SingleTxtGA"/>
        <w:spacing w:line="374" w:lineRule="exact"/>
        <w:rPr>
          <w:rFonts w:hint="cs"/>
          <w:b/>
          <w:bCs/>
          <w:rtl/>
          <w:lang/>
        </w:rPr>
      </w:pPr>
      <w:r>
        <w:rPr>
          <w:rFonts w:hint="cs"/>
          <w:rtl/>
          <w:lang/>
        </w:rPr>
        <w:tab/>
      </w:r>
      <w:r w:rsidRPr="00706A90">
        <w:rPr>
          <w:rFonts w:hint="cs"/>
          <w:b/>
          <w:bCs/>
          <w:rtl/>
          <w:lang/>
        </w:rPr>
        <w:t>(ج)</w:t>
      </w:r>
      <w:r>
        <w:rPr>
          <w:rFonts w:hint="cs"/>
          <w:b/>
          <w:bCs/>
          <w:rtl/>
          <w:lang/>
        </w:rPr>
        <w:tab/>
      </w:r>
      <w:r w:rsidRPr="00825DB6">
        <w:rPr>
          <w:rFonts w:hint="cs"/>
          <w:b/>
          <w:bCs/>
          <w:rtl/>
          <w:lang/>
        </w:rPr>
        <w:t xml:space="preserve">التخفيف من الاكتظاظ داخل السجون عبر اللجوء إلى مزيد من التدابير غير الاحتجازية مع الأخذ في الاعتبار قواعد الأمم المتحدة النموذجية الدنيا للتدابير غير الاحتجازية (قواعد طوكيو)؛ </w:t>
      </w:r>
    </w:p>
    <w:p w:rsidR="006D675E" w:rsidRPr="00825DB6" w:rsidRDefault="006D675E" w:rsidP="00586CA6">
      <w:pPr>
        <w:pStyle w:val="SingleTxtGA"/>
        <w:spacing w:line="374" w:lineRule="exact"/>
        <w:rPr>
          <w:rFonts w:hint="cs"/>
          <w:b/>
          <w:bCs/>
          <w:rtl/>
          <w:lang/>
        </w:rPr>
      </w:pPr>
      <w:r>
        <w:rPr>
          <w:rFonts w:hint="cs"/>
          <w:rtl/>
          <w:lang/>
        </w:rPr>
        <w:tab/>
      </w:r>
      <w:r w:rsidRPr="00706A90">
        <w:rPr>
          <w:rFonts w:hint="cs"/>
          <w:b/>
          <w:bCs/>
          <w:rtl/>
          <w:lang/>
        </w:rPr>
        <w:t>(د)</w:t>
      </w:r>
      <w:r>
        <w:rPr>
          <w:rFonts w:hint="cs"/>
          <w:b/>
          <w:bCs/>
          <w:rtl/>
          <w:lang/>
        </w:rPr>
        <w:tab/>
      </w:r>
      <w:r w:rsidRPr="00825DB6">
        <w:rPr>
          <w:rFonts w:hint="cs"/>
          <w:b/>
          <w:bCs/>
          <w:rtl/>
          <w:lang/>
        </w:rPr>
        <w:t>وضع سجل مركزي بجميع المحتجزين في البلد يبيِّن التفاصيل التالية: نوع الاحتجاز، أكان احتياطياًً أو ناجماً عن إدانة؛ ونوع الجرم؛ وتاريخ الدخول إلى السجن؛ ومكان السجن؛ والسن والجنس</w:t>
      </w:r>
      <w:r>
        <w:rPr>
          <w:rFonts w:hint="cs"/>
          <w:b/>
          <w:bCs/>
          <w:rtl/>
          <w:lang/>
        </w:rPr>
        <w:t>؛</w:t>
      </w:r>
    </w:p>
    <w:p w:rsidR="006D675E" w:rsidRPr="00825DB6" w:rsidRDefault="006D675E" w:rsidP="00586CA6">
      <w:pPr>
        <w:pStyle w:val="SingleTxtGA"/>
        <w:spacing w:line="374" w:lineRule="exact"/>
        <w:rPr>
          <w:rFonts w:hint="cs"/>
          <w:b/>
          <w:bCs/>
          <w:rtl/>
        </w:rPr>
      </w:pPr>
      <w:r>
        <w:rPr>
          <w:rFonts w:hint="cs"/>
          <w:rtl/>
        </w:rPr>
        <w:tab/>
      </w:r>
      <w:r w:rsidRPr="00706A90">
        <w:rPr>
          <w:rFonts w:hint="cs"/>
          <w:b/>
          <w:bCs/>
          <w:rtl/>
        </w:rPr>
        <w:t>(</w:t>
      </w:r>
      <w:r w:rsidRPr="00706A90">
        <w:rPr>
          <w:rFonts w:hint="cs"/>
          <w:b/>
          <w:bCs/>
          <w:sz w:val="30"/>
          <w:rtl/>
        </w:rPr>
        <w:t>ﻫ</w:t>
      </w:r>
      <w:r w:rsidRPr="00706A90">
        <w:rPr>
          <w:rFonts w:hint="cs"/>
          <w:b/>
          <w:bCs/>
          <w:rtl/>
        </w:rPr>
        <w:t>)</w:t>
      </w:r>
      <w:r w:rsidRPr="00706A90">
        <w:rPr>
          <w:rFonts w:hint="cs"/>
          <w:b/>
          <w:bCs/>
          <w:rtl/>
        </w:rPr>
        <w:tab/>
      </w:r>
      <w:r w:rsidRPr="00825DB6">
        <w:rPr>
          <w:rFonts w:hint="cs"/>
          <w:b/>
          <w:bCs/>
          <w:rtl/>
        </w:rPr>
        <w:t>الحرص على تمكين المحتجزون فعلياً من التظلّم لدى هيئة مستقلة بشأن ظروف الاحتجاز وسوء المعاملة والحرص أيضاً على أن تفضي هذه التظلمات إلى تحقيقات نزيهة وفورية ومستقلة؛</w:t>
      </w:r>
    </w:p>
    <w:p w:rsidR="006D675E" w:rsidRPr="00825DB6" w:rsidRDefault="006D675E" w:rsidP="00A83CF9">
      <w:pPr>
        <w:pStyle w:val="SingleTxtGA"/>
        <w:spacing w:line="370" w:lineRule="exact"/>
        <w:rPr>
          <w:rFonts w:hint="cs"/>
          <w:b/>
          <w:bCs/>
          <w:rtl/>
        </w:rPr>
      </w:pPr>
      <w:r>
        <w:rPr>
          <w:rFonts w:hint="cs"/>
          <w:b/>
          <w:bCs/>
          <w:rtl/>
        </w:rPr>
        <w:tab/>
      </w:r>
      <w:r w:rsidRPr="00825DB6">
        <w:rPr>
          <w:rFonts w:hint="cs"/>
          <w:b/>
          <w:bCs/>
          <w:rtl/>
        </w:rPr>
        <w:t>(و)</w:t>
      </w:r>
      <w:r>
        <w:rPr>
          <w:rFonts w:hint="cs"/>
          <w:b/>
          <w:bCs/>
          <w:rtl/>
        </w:rPr>
        <w:tab/>
      </w:r>
      <w:r w:rsidRPr="00825DB6">
        <w:rPr>
          <w:rFonts w:hint="cs"/>
          <w:b/>
          <w:bCs/>
          <w:rtl/>
        </w:rPr>
        <w:t xml:space="preserve">إجراء تحقيقات منتظمة في حالات الوفاة في السجون وأسبابها وتزويد اللجنة بالبيانات الإحصائية والإشارة في التقرير الدوري المقبل إلى التدابير الوقائية التي اتخذتها السلطات المعنية بالسجون؛ واتخاذ تدابير من شأنها الحد من العنف بين المحتجزين؛ </w:t>
      </w:r>
    </w:p>
    <w:p w:rsidR="006D675E" w:rsidRPr="00825DB6" w:rsidRDefault="006D675E" w:rsidP="00A83CF9">
      <w:pPr>
        <w:pStyle w:val="SingleTxtGA"/>
        <w:spacing w:line="370" w:lineRule="exact"/>
        <w:rPr>
          <w:rFonts w:hint="cs"/>
          <w:b/>
          <w:bCs/>
          <w:rtl/>
        </w:rPr>
      </w:pPr>
      <w:r w:rsidRPr="00706A90">
        <w:rPr>
          <w:rFonts w:hint="cs"/>
          <w:b/>
          <w:bCs/>
          <w:rtl/>
        </w:rPr>
        <w:tab/>
        <w:t>(ز)</w:t>
      </w:r>
      <w:r>
        <w:rPr>
          <w:rFonts w:hint="cs"/>
          <w:b/>
          <w:bCs/>
          <w:rtl/>
        </w:rPr>
        <w:tab/>
      </w:r>
      <w:r w:rsidRPr="00825DB6">
        <w:rPr>
          <w:rFonts w:hint="cs"/>
          <w:b/>
          <w:bCs/>
          <w:rtl/>
        </w:rPr>
        <w:t xml:space="preserve">الاستمرار في ضمان وصول اللجنة الوطنية لحقوق الإنسان ومنظمات حقوق الإنسان بحريّة إلى أماكن الاحتجاز كافة، لا سيما عبر تنظيم زيارات مفاجئة ومقابلات خاصة مع المحتجزين. </w:t>
      </w:r>
    </w:p>
    <w:p w:rsidR="006D675E" w:rsidRPr="00825DB6" w:rsidRDefault="006D675E" w:rsidP="00A83CF9">
      <w:pPr>
        <w:pStyle w:val="H23GA"/>
        <w:spacing w:line="370" w:lineRule="exact"/>
        <w:rPr>
          <w:rFonts w:hint="cs"/>
          <w:rtl/>
        </w:rPr>
      </w:pPr>
      <w:r>
        <w:rPr>
          <w:rFonts w:hint="cs"/>
          <w:rtl/>
        </w:rPr>
        <w:tab/>
      </w:r>
      <w:r>
        <w:rPr>
          <w:rFonts w:hint="cs"/>
          <w:rtl/>
        </w:rPr>
        <w:tab/>
      </w:r>
      <w:r w:rsidRPr="00825DB6">
        <w:rPr>
          <w:rFonts w:hint="cs"/>
          <w:rtl/>
        </w:rPr>
        <w:t xml:space="preserve">الاتجار بالبشر والعنف ضد المرأة </w:t>
      </w:r>
    </w:p>
    <w:p w:rsidR="006D675E" w:rsidRPr="00825DB6" w:rsidRDefault="00586CA6" w:rsidP="00A83CF9">
      <w:pPr>
        <w:pStyle w:val="SingleTxtGA"/>
        <w:spacing w:line="370" w:lineRule="exact"/>
        <w:rPr>
          <w:rFonts w:hint="cs"/>
          <w:rtl/>
        </w:rPr>
      </w:pPr>
      <w:r>
        <w:rPr>
          <w:rFonts w:hint="cs"/>
          <w:spacing w:val="-4"/>
          <w:rtl/>
        </w:rPr>
        <w:t>(</w:t>
      </w:r>
      <w:r w:rsidR="006D675E" w:rsidRPr="00706A90">
        <w:rPr>
          <w:rFonts w:hint="cs"/>
          <w:spacing w:val="-4"/>
          <w:rtl/>
        </w:rPr>
        <w:t>23</w:t>
      </w:r>
      <w:r>
        <w:rPr>
          <w:rFonts w:hint="cs"/>
          <w:spacing w:val="-4"/>
          <w:rtl/>
        </w:rPr>
        <w:t>)</w:t>
      </w:r>
      <w:r w:rsidR="006D675E" w:rsidRPr="00706A90">
        <w:rPr>
          <w:rFonts w:hint="cs"/>
          <w:spacing w:val="-4"/>
          <w:rtl/>
        </w:rPr>
        <w:tab/>
        <w:t>تلاحظ اللجنة التدابير التشريعية والمؤسسية العديدة والخاصة بالتوعية التي اعتمدتها الدولة الطرف للوقاية من الاتجار بالبشر ومكافحته، بما في ذلك اعتماد القانون رقم 2003-</w:t>
      </w:r>
      <w:r w:rsidR="006D675E" w:rsidRPr="00825DB6">
        <w:rPr>
          <w:rFonts w:hint="cs"/>
          <w:rtl/>
        </w:rPr>
        <w:t xml:space="preserve">025 المؤرّخ 17 تموز/يوليه 2003 الذي يقضي بمنع الاتجار بالبشر. إلا أن القلق لا يزال يساور اللجنة إزاء عدم كفاية المعلومات المتعلقة بمعاقبة الاغتصاب وعدد الإدانات في قضايا الاغتصاب وإزاء انتشار العنف الزوجي وسُبُل معالجته وكذا حجم انتشار ظاهرة الاتجار (المواد 2 و12 و13 و14 و16). </w:t>
      </w:r>
    </w:p>
    <w:p w:rsidR="006D675E" w:rsidRPr="00825DB6" w:rsidRDefault="006D675E" w:rsidP="00A83CF9">
      <w:pPr>
        <w:pStyle w:val="SingleTxtGA"/>
        <w:keepNext/>
        <w:spacing w:line="370" w:lineRule="exact"/>
        <w:rPr>
          <w:rFonts w:hint="cs"/>
          <w:b/>
          <w:bCs/>
          <w:rtl/>
        </w:rPr>
      </w:pPr>
      <w:r>
        <w:rPr>
          <w:rFonts w:hint="cs"/>
          <w:b/>
          <w:bCs/>
          <w:rtl/>
        </w:rPr>
        <w:tab/>
      </w:r>
      <w:r w:rsidRPr="00825DB6">
        <w:rPr>
          <w:rFonts w:hint="cs"/>
          <w:b/>
          <w:bCs/>
          <w:rtl/>
        </w:rPr>
        <w:t xml:space="preserve">ينبغي للدولة الطرف القيام بما يلي: </w:t>
      </w:r>
    </w:p>
    <w:p w:rsidR="006D675E" w:rsidRPr="00825DB6" w:rsidRDefault="006D675E" w:rsidP="00A83CF9">
      <w:pPr>
        <w:pStyle w:val="SingleTxtGA"/>
        <w:spacing w:line="370" w:lineRule="exact"/>
        <w:rPr>
          <w:rFonts w:hint="cs"/>
          <w:b/>
          <w:bCs/>
          <w:rtl/>
        </w:rPr>
      </w:pPr>
      <w:r>
        <w:rPr>
          <w:rFonts w:hint="cs"/>
          <w:b/>
          <w:bCs/>
          <w:rtl/>
        </w:rPr>
        <w:tab/>
        <w:t>(أ)</w:t>
      </w:r>
      <w:r>
        <w:rPr>
          <w:rFonts w:hint="cs"/>
          <w:b/>
          <w:bCs/>
          <w:rtl/>
        </w:rPr>
        <w:tab/>
      </w:r>
      <w:r w:rsidRPr="00825DB6">
        <w:rPr>
          <w:rFonts w:hint="cs"/>
          <w:b/>
          <w:bCs/>
          <w:rtl/>
        </w:rPr>
        <w:t>الحرص على التنفيذ الفعلي للتشريع الموجود لمكافحة الاتجار بالبشر بما يتماشى مع الاتفاقية؛</w:t>
      </w:r>
    </w:p>
    <w:p w:rsidR="006D675E" w:rsidRPr="00825DB6" w:rsidRDefault="006D675E" w:rsidP="00A83CF9">
      <w:pPr>
        <w:pStyle w:val="SingleTxtGA"/>
        <w:spacing w:line="370" w:lineRule="exact"/>
        <w:rPr>
          <w:rFonts w:hint="cs"/>
          <w:b/>
          <w:bCs/>
        </w:rPr>
      </w:pPr>
      <w:r>
        <w:rPr>
          <w:rFonts w:hint="cs"/>
          <w:b/>
          <w:bCs/>
          <w:rtl/>
        </w:rPr>
        <w:tab/>
        <w:t>(ب)</w:t>
      </w:r>
      <w:r>
        <w:rPr>
          <w:rFonts w:hint="cs"/>
          <w:b/>
          <w:bCs/>
          <w:rtl/>
        </w:rPr>
        <w:tab/>
      </w:r>
      <w:r w:rsidRPr="00825DB6">
        <w:rPr>
          <w:rFonts w:hint="cs"/>
          <w:b/>
          <w:bCs/>
          <w:rtl/>
        </w:rPr>
        <w:t>إجراء دراسة حول الحجم الحقيقي للاتجار بالبشر في الدولة الطرف وأسبابه؛</w:t>
      </w:r>
    </w:p>
    <w:p w:rsidR="006D675E" w:rsidRPr="00825DB6" w:rsidRDefault="006D675E" w:rsidP="00A83CF9">
      <w:pPr>
        <w:pStyle w:val="SingleTxtGA"/>
        <w:spacing w:line="370" w:lineRule="exact"/>
        <w:rPr>
          <w:rFonts w:hint="cs"/>
          <w:b/>
          <w:bCs/>
          <w:rtl/>
        </w:rPr>
      </w:pPr>
      <w:r>
        <w:rPr>
          <w:rFonts w:hint="cs"/>
          <w:b/>
          <w:bCs/>
          <w:rtl/>
        </w:rPr>
        <w:tab/>
        <w:t>(ج)</w:t>
      </w:r>
      <w:r>
        <w:rPr>
          <w:rFonts w:hint="cs"/>
          <w:b/>
          <w:bCs/>
          <w:rtl/>
        </w:rPr>
        <w:tab/>
      </w:r>
      <w:r w:rsidRPr="00825DB6">
        <w:rPr>
          <w:rFonts w:hint="cs"/>
          <w:b/>
          <w:bCs/>
          <w:rtl/>
        </w:rPr>
        <w:t>وضع حد للإفلات من العقاب من خلال التحقيق بانتظام في ادعاءات الاغتصاب والاتجار والعنف المنزلي وذلك عبر مقاضاة الجناة ومعاقبتهم بالشكل الملائم؛</w:t>
      </w:r>
    </w:p>
    <w:p w:rsidR="006D675E" w:rsidRPr="00825DB6" w:rsidRDefault="006D675E" w:rsidP="00A83CF9">
      <w:pPr>
        <w:pStyle w:val="SingleTxtGA"/>
        <w:spacing w:line="370" w:lineRule="exact"/>
        <w:rPr>
          <w:rFonts w:hint="cs"/>
          <w:b/>
          <w:bCs/>
          <w:rtl/>
        </w:rPr>
      </w:pPr>
      <w:r w:rsidRPr="00706A90">
        <w:rPr>
          <w:rFonts w:hint="cs"/>
          <w:b/>
          <w:bCs/>
          <w:rtl/>
        </w:rPr>
        <w:tab/>
        <w:t>(</w:t>
      </w:r>
      <w:r>
        <w:rPr>
          <w:rFonts w:hint="cs"/>
          <w:b/>
          <w:bCs/>
          <w:sz w:val="30"/>
          <w:rtl/>
        </w:rPr>
        <w:t>د</w:t>
      </w:r>
      <w:r>
        <w:rPr>
          <w:rFonts w:hint="cs"/>
          <w:b/>
          <w:bCs/>
          <w:rtl/>
        </w:rPr>
        <w:t>)</w:t>
      </w:r>
      <w:r w:rsidRPr="00706A90">
        <w:rPr>
          <w:rFonts w:hint="cs"/>
          <w:b/>
          <w:bCs/>
          <w:rtl/>
        </w:rPr>
        <w:tab/>
      </w:r>
      <w:r w:rsidRPr="00825DB6">
        <w:rPr>
          <w:rFonts w:hint="cs"/>
          <w:b/>
          <w:bCs/>
          <w:rtl/>
        </w:rPr>
        <w:t>توفير الحماية للضحايا، بما يشمل التعويض المناسب وإعادة التأهيل إذا اقتضى الأمر، فضلاً عن تعزيز حملات التوعية؛</w:t>
      </w:r>
    </w:p>
    <w:p w:rsidR="006D675E" w:rsidRPr="00825DB6" w:rsidRDefault="006D675E" w:rsidP="00A83CF9">
      <w:pPr>
        <w:pStyle w:val="SingleTxtGA"/>
        <w:spacing w:line="370" w:lineRule="exact"/>
        <w:rPr>
          <w:rFonts w:hint="cs"/>
          <w:b/>
          <w:bCs/>
          <w:rtl/>
        </w:rPr>
      </w:pPr>
      <w:r w:rsidRPr="00706A90">
        <w:rPr>
          <w:rFonts w:hint="cs"/>
          <w:b/>
          <w:bCs/>
          <w:rtl/>
        </w:rPr>
        <w:tab/>
        <w:t>(</w:t>
      </w:r>
      <w:r w:rsidRPr="00826109">
        <w:rPr>
          <w:rFonts w:hint="cs"/>
          <w:b/>
          <w:bCs/>
          <w:sz w:val="30"/>
          <w:rtl/>
        </w:rPr>
        <w:t>ﻫ</w:t>
      </w:r>
      <w:r>
        <w:rPr>
          <w:rFonts w:hint="cs"/>
          <w:b/>
          <w:bCs/>
          <w:sz w:val="30"/>
          <w:rtl/>
        </w:rPr>
        <w:t>)</w:t>
      </w:r>
      <w:r w:rsidRPr="00706A90">
        <w:rPr>
          <w:rFonts w:hint="cs"/>
          <w:b/>
          <w:bCs/>
          <w:rtl/>
        </w:rPr>
        <w:tab/>
      </w:r>
      <w:r w:rsidRPr="00825DB6">
        <w:rPr>
          <w:rFonts w:hint="cs"/>
          <w:b/>
          <w:bCs/>
          <w:rtl/>
        </w:rPr>
        <w:t>تدريب المحققين والموظفين الذين يتواصلون مع ضحايا الاتجار، بمن فيهم موظفو إدارات الهجرة، وتزويد مراكز الاستقبال بالموارد الكافية.</w:t>
      </w:r>
    </w:p>
    <w:p w:rsidR="006D675E" w:rsidRPr="00825DB6" w:rsidRDefault="006D675E" w:rsidP="00A83CF9">
      <w:pPr>
        <w:pStyle w:val="H23GA"/>
        <w:spacing w:line="370" w:lineRule="exact"/>
        <w:rPr>
          <w:rFonts w:hint="cs"/>
          <w:rtl/>
        </w:rPr>
      </w:pPr>
      <w:r>
        <w:rPr>
          <w:rFonts w:hint="cs"/>
          <w:rtl/>
        </w:rPr>
        <w:tab/>
      </w:r>
      <w:r>
        <w:rPr>
          <w:rFonts w:hint="cs"/>
          <w:rtl/>
        </w:rPr>
        <w:tab/>
      </w:r>
      <w:r w:rsidRPr="00825DB6">
        <w:rPr>
          <w:rFonts w:hint="cs"/>
          <w:rtl/>
        </w:rPr>
        <w:t>ت</w:t>
      </w:r>
      <w:r>
        <w:rPr>
          <w:rFonts w:hint="cs"/>
          <w:rtl/>
        </w:rPr>
        <w:t>شويه الأعضاء التناسلية الأنثوية</w:t>
      </w:r>
    </w:p>
    <w:p w:rsidR="006D675E" w:rsidRPr="00825DB6" w:rsidRDefault="00586CA6" w:rsidP="00A83CF9">
      <w:pPr>
        <w:pStyle w:val="SingleTxtGA"/>
        <w:spacing w:line="370" w:lineRule="exact"/>
        <w:rPr>
          <w:rFonts w:hint="cs"/>
          <w:rtl/>
        </w:rPr>
      </w:pPr>
      <w:r>
        <w:rPr>
          <w:rFonts w:hint="cs"/>
          <w:rtl/>
        </w:rPr>
        <w:t>(</w:t>
      </w:r>
      <w:r w:rsidR="006D675E">
        <w:rPr>
          <w:rFonts w:hint="cs"/>
          <w:rtl/>
        </w:rPr>
        <w:t>24</w:t>
      </w:r>
      <w:r>
        <w:rPr>
          <w:rFonts w:hint="cs"/>
          <w:rtl/>
        </w:rPr>
        <w:t>)</w:t>
      </w:r>
      <w:r w:rsidR="006D675E">
        <w:rPr>
          <w:rFonts w:hint="cs"/>
          <w:rtl/>
        </w:rPr>
        <w:tab/>
      </w:r>
      <w:r w:rsidR="006D675E" w:rsidRPr="00825DB6">
        <w:rPr>
          <w:rFonts w:hint="cs"/>
          <w:rtl/>
        </w:rPr>
        <w:t>بينما تلاحظ اللجنة التدابير المؤسسية وتدابير التوعية التي اتخذتها الدولة الطرف، تعرب عن قلقها الشديد إزاء غياب أي عقاب على ممارسة تشويه الأعضاء التناسلية الأنثوية. كما تعبر عن قلقها إزاء غياب المعلومات الدقيقة المتعلقة بالشكاوى المودعة والتحقيقات المُضطلع بها والملاحقات القضائية والعقوبات الصادرة ضد المسؤولين عن هذه الممار</w:t>
      </w:r>
      <w:r w:rsidR="006D675E">
        <w:rPr>
          <w:rFonts w:hint="cs"/>
          <w:rtl/>
        </w:rPr>
        <w:t>سات (المواد 2 و12 و13 و14 و16).</w:t>
      </w:r>
    </w:p>
    <w:p w:rsidR="006D675E" w:rsidRPr="00825DB6" w:rsidRDefault="006D675E" w:rsidP="006D675E">
      <w:pPr>
        <w:pStyle w:val="SingleTxtGA"/>
        <w:rPr>
          <w:rFonts w:hint="cs"/>
          <w:rtl/>
        </w:rPr>
      </w:pPr>
      <w:r>
        <w:rPr>
          <w:rFonts w:hint="cs"/>
          <w:b/>
          <w:bCs/>
          <w:rtl/>
        </w:rPr>
        <w:tab/>
      </w:r>
      <w:r w:rsidRPr="00825DB6">
        <w:rPr>
          <w:rFonts w:hint="cs"/>
          <w:b/>
          <w:bCs/>
          <w:rtl/>
        </w:rPr>
        <w:t>ينبغي للدولة الطرف أن تعتمد على وجه الاستعجال قانوناً يمنع تشويه الأعضاء التناسلية الأنثوية وذلك بالتوافق مع التزامها الذي تعهدت به خلال الاستعراض الدوري الشامل في تشرين الثاني/نوفمبر 2010. وينبغي للدولة الطرف أن</w:t>
      </w:r>
      <w:r w:rsidRPr="00825DB6">
        <w:rPr>
          <w:rFonts w:hint="cs"/>
          <w:rtl/>
        </w:rPr>
        <w:t xml:space="preserve"> </w:t>
      </w:r>
      <w:r w:rsidRPr="00825DB6">
        <w:rPr>
          <w:rFonts w:hint="cs"/>
          <w:b/>
          <w:bCs/>
          <w:rtl/>
          <w:lang w:eastAsia="ar-SA"/>
        </w:rPr>
        <w:t>تيسّ</w:t>
      </w:r>
      <w:r>
        <w:rPr>
          <w:rFonts w:hint="cs"/>
          <w:b/>
          <w:bCs/>
          <w:rtl/>
          <w:lang w:eastAsia="ar-SA"/>
        </w:rPr>
        <w:t xml:space="preserve">ر عملية تقديم الضحايا لشكاويهم </w:t>
      </w:r>
      <w:r w:rsidRPr="00825DB6">
        <w:rPr>
          <w:rFonts w:hint="cs"/>
          <w:b/>
          <w:bCs/>
          <w:rtl/>
          <w:lang w:eastAsia="ar-SA"/>
        </w:rPr>
        <w:t>وإجراء تحقيقات ومقاضاة المسؤولين وفرض العقوبات المناسبة عليهم</w:t>
      </w:r>
      <w:r w:rsidRPr="00825DB6">
        <w:rPr>
          <w:rFonts w:hint="cs"/>
          <w:rtl/>
        </w:rPr>
        <w:t xml:space="preserve"> </w:t>
      </w:r>
      <w:r w:rsidRPr="00825DB6">
        <w:rPr>
          <w:rFonts w:hint="cs"/>
          <w:b/>
          <w:bCs/>
          <w:rtl/>
          <w:lang w:eastAsia="ar-SA"/>
        </w:rPr>
        <w:t>ومنح الجبر اللائق أو التعويض أو إعادة التأهيل للضحايا</w:t>
      </w:r>
      <w:r w:rsidRPr="00825DB6">
        <w:rPr>
          <w:rFonts w:hint="cs"/>
          <w:rtl/>
        </w:rPr>
        <w:t xml:space="preserve">. </w:t>
      </w:r>
      <w:r w:rsidRPr="00825DB6">
        <w:rPr>
          <w:rFonts w:hint="cs"/>
          <w:b/>
          <w:bCs/>
          <w:rtl/>
        </w:rPr>
        <w:t>كما ينبغي لها أن توسع قاعدة حملات التوعية بشأن الآثار الضارة لهذه الممارسة، لتشمل الأسر على وجه الخصوص</w:t>
      </w:r>
      <w:r w:rsidRPr="00825DB6">
        <w:rPr>
          <w:rFonts w:hint="cs"/>
          <w:rtl/>
        </w:rPr>
        <w:t xml:space="preserve">. </w:t>
      </w:r>
    </w:p>
    <w:p w:rsidR="006D675E" w:rsidRPr="00825DB6" w:rsidRDefault="006D675E" w:rsidP="006D675E">
      <w:pPr>
        <w:pStyle w:val="H23GA"/>
        <w:rPr>
          <w:rFonts w:hint="cs"/>
          <w:rtl/>
        </w:rPr>
      </w:pPr>
      <w:r>
        <w:rPr>
          <w:rFonts w:hint="cs"/>
          <w:rtl/>
        </w:rPr>
        <w:tab/>
      </w:r>
      <w:r>
        <w:rPr>
          <w:rFonts w:hint="cs"/>
          <w:rtl/>
        </w:rPr>
        <w:tab/>
      </w:r>
      <w:r w:rsidRPr="00825DB6">
        <w:rPr>
          <w:rFonts w:hint="cs"/>
          <w:rtl/>
        </w:rPr>
        <w:t>العقوبة البدنية</w:t>
      </w:r>
    </w:p>
    <w:p w:rsidR="006D675E" w:rsidRPr="00706A90" w:rsidRDefault="00586CA6" w:rsidP="00586CA6">
      <w:pPr>
        <w:pStyle w:val="SingleTxtGA"/>
        <w:rPr>
          <w:rFonts w:hint="cs"/>
          <w:spacing w:val="-4"/>
        </w:rPr>
      </w:pPr>
      <w:r>
        <w:rPr>
          <w:rFonts w:hint="cs"/>
          <w:spacing w:val="-4"/>
          <w:rtl/>
        </w:rPr>
        <w:t>(</w:t>
      </w:r>
      <w:r w:rsidR="006D675E" w:rsidRPr="00706A90">
        <w:rPr>
          <w:rFonts w:hint="cs"/>
          <w:spacing w:val="-4"/>
          <w:rtl/>
        </w:rPr>
        <w:t>25</w:t>
      </w:r>
      <w:r>
        <w:rPr>
          <w:rFonts w:hint="cs"/>
          <w:spacing w:val="-4"/>
          <w:rtl/>
        </w:rPr>
        <w:t>)</w:t>
      </w:r>
      <w:r w:rsidR="006D675E" w:rsidRPr="00706A90">
        <w:rPr>
          <w:rFonts w:hint="cs"/>
          <w:spacing w:val="-4"/>
          <w:rtl/>
        </w:rPr>
        <w:tab/>
        <w:t xml:space="preserve">بالرغم من اعتماد المرسوم رقم 2005-015 المؤرخ 5 كانون الأول/ديسمبر 2005 والذي يقضي بتوفير الحماية الجنائية للطفل والذي ينص على العقوبة بالسجن في حالات التعذيب والمعاملة الوحشية الممارسة بحق الأطفال، فإن القلق يساور اللجنة من أن القانون لا يحظر العقوبة البدنية للأطفال، بل يبدو أن هذه العقوبة تعدّ وسيلة تربية ملائمة وفعالة (المادة 16). </w:t>
      </w:r>
    </w:p>
    <w:p w:rsidR="006D675E" w:rsidRPr="00825DB6" w:rsidRDefault="006D675E" w:rsidP="00586CA6">
      <w:pPr>
        <w:pStyle w:val="SingleTxtGA"/>
        <w:keepNext/>
        <w:keepLines/>
        <w:rPr>
          <w:rFonts w:hint="cs"/>
          <w:b/>
          <w:bCs/>
          <w:rtl/>
        </w:rPr>
      </w:pPr>
      <w:r>
        <w:rPr>
          <w:rFonts w:hint="cs"/>
          <w:b/>
          <w:bCs/>
          <w:rtl/>
        </w:rPr>
        <w:tab/>
      </w:r>
      <w:r w:rsidRPr="00825DB6">
        <w:rPr>
          <w:rFonts w:hint="cs"/>
          <w:b/>
          <w:bCs/>
          <w:rtl/>
        </w:rPr>
        <w:t>ينبغي للدولة الطرف أن تقوم بما يلي:</w:t>
      </w:r>
    </w:p>
    <w:p w:rsidR="006D675E" w:rsidRPr="00825DB6" w:rsidRDefault="006D675E" w:rsidP="006D675E">
      <w:pPr>
        <w:pStyle w:val="SingleTxtGA"/>
        <w:rPr>
          <w:rFonts w:hint="cs"/>
          <w:b/>
          <w:bCs/>
          <w:rtl/>
        </w:rPr>
      </w:pPr>
      <w:r>
        <w:rPr>
          <w:rFonts w:hint="cs"/>
          <w:b/>
          <w:bCs/>
          <w:rtl/>
        </w:rPr>
        <w:tab/>
        <w:t>(أ)</w:t>
      </w:r>
      <w:r>
        <w:rPr>
          <w:rFonts w:hint="cs"/>
          <w:b/>
          <w:bCs/>
          <w:rtl/>
        </w:rPr>
        <w:tab/>
      </w:r>
      <w:r w:rsidRPr="00825DB6">
        <w:rPr>
          <w:rFonts w:hint="cs"/>
          <w:b/>
          <w:bCs/>
          <w:rtl/>
        </w:rPr>
        <w:t>تعديل تشريعاتها، لا</w:t>
      </w:r>
      <w:r>
        <w:rPr>
          <w:rFonts w:hint="cs"/>
          <w:b/>
          <w:bCs/>
          <w:rtl/>
        </w:rPr>
        <w:t xml:space="preserve"> </w:t>
      </w:r>
      <w:r w:rsidRPr="00825DB6">
        <w:rPr>
          <w:rFonts w:hint="cs"/>
          <w:b/>
          <w:bCs/>
          <w:rtl/>
        </w:rPr>
        <w:t>سيما المرسوم رقم 2005-015 الذي ينصّ على توفير الحماية الجنائية للطفل، بغية حظر كل أشكال العقوبة البدنية للأطفال والمعاقبة عليها صراحةً في كل الأماكن والسياقات، بما يشمل الأسرة، وتكريس مبدأ التربية بلا عنف وفقاً للفقرة 2 من المادة 28 من اتفاقية حقوق الطفل؛</w:t>
      </w:r>
    </w:p>
    <w:p w:rsidR="006D675E" w:rsidRPr="00825DB6" w:rsidRDefault="006D675E" w:rsidP="006D675E">
      <w:pPr>
        <w:pStyle w:val="SingleTxtGA"/>
        <w:rPr>
          <w:rFonts w:hint="cs"/>
          <w:b/>
          <w:bCs/>
        </w:rPr>
      </w:pPr>
      <w:r>
        <w:rPr>
          <w:rFonts w:hint="cs"/>
          <w:b/>
          <w:bCs/>
          <w:rtl/>
        </w:rPr>
        <w:tab/>
        <w:t>(ب)</w:t>
      </w:r>
      <w:r>
        <w:rPr>
          <w:rFonts w:hint="cs"/>
          <w:b/>
          <w:bCs/>
          <w:rtl/>
        </w:rPr>
        <w:tab/>
      </w:r>
      <w:r w:rsidRPr="00825DB6">
        <w:rPr>
          <w:rFonts w:hint="cs"/>
          <w:b/>
          <w:bCs/>
          <w:rtl/>
        </w:rPr>
        <w:t xml:space="preserve">تنفيذ برامج تثقيف وتوعية وتعبئة لعامة الناس، يشترك فيها الأطفال والأسر والمجتمعات المحلية والقيادات الرفيعة وأن تتمحور كلها حول آثار العقوبة البدنية الضارة، على الصعيدين البدني والنفسي على حد سواء. </w:t>
      </w:r>
    </w:p>
    <w:p w:rsidR="006D675E" w:rsidRPr="00825DB6" w:rsidRDefault="006D675E" w:rsidP="006D675E">
      <w:pPr>
        <w:pStyle w:val="H23GA"/>
        <w:rPr>
          <w:rFonts w:hint="cs"/>
          <w:rtl/>
        </w:rPr>
      </w:pPr>
      <w:r>
        <w:rPr>
          <w:rFonts w:hint="cs"/>
          <w:rtl/>
        </w:rPr>
        <w:tab/>
      </w:r>
      <w:r>
        <w:rPr>
          <w:rFonts w:hint="cs"/>
          <w:rtl/>
        </w:rPr>
        <w:tab/>
      </w:r>
      <w:r w:rsidRPr="00825DB6">
        <w:rPr>
          <w:rFonts w:hint="cs"/>
          <w:rtl/>
        </w:rPr>
        <w:t xml:space="preserve">جمع البيانات الإحصائية </w:t>
      </w:r>
    </w:p>
    <w:p w:rsidR="006D675E" w:rsidRPr="00825DB6" w:rsidRDefault="00586CA6" w:rsidP="00586CA6">
      <w:pPr>
        <w:pStyle w:val="SingleTxtGA"/>
        <w:rPr>
          <w:rFonts w:hint="cs"/>
          <w:rtl/>
        </w:rPr>
      </w:pPr>
      <w:r>
        <w:rPr>
          <w:rFonts w:hint="cs"/>
          <w:rtl/>
        </w:rPr>
        <w:t>(</w:t>
      </w:r>
      <w:r w:rsidR="006D675E">
        <w:rPr>
          <w:rFonts w:hint="cs"/>
          <w:rtl/>
        </w:rPr>
        <w:t>26</w:t>
      </w:r>
      <w:r>
        <w:rPr>
          <w:rFonts w:hint="cs"/>
          <w:rtl/>
        </w:rPr>
        <w:t>)</w:t>
      </w:r>
      <w:r w:rsidR="006D675E">
        <w:rPr>
          <w:rFonts w:hint="cs"/>
          <w:rtl/>
        </w:rPr>
        <w:tab/>
      </w:r>
      <w:r w:rsidR="006D675E" w:rsidRPr="00825DB6">
        <w:rPr>
          <w:rFonts w:hint="cs"/>
          <w:rtl/>
        </w:rPr>
        <w:t>تعرب اللجنة عن أسفها لع</w:t>
      </w:r>
      <w:r w:rsidR="006D675E">
        <w:rPr>
          <w:rFonts w:hint="cs"/>
          <w:rtl/>
        </w:rPr>
        <w:t>دم وجود بيانات كاملة ومصنّفة في</w:t>
      </w:r>
      <w:r w:rsidR="006D675E" w:rsidRPr="00825DB6">
        <w:rPr>
          <w:rFonts w:hint="cs"/>
          <w:rtl/>
        </w:rPr>
        <w:t>ما يتعلق بالشكاوى والتحقيقات والملاحقات القضائية والإدانات بشأن أعمال التعذيب وسوء المعاملة التي يرتكبها عناصر الأمن، بمن فيهم أفراد الدرك والشرطة وموظفو إدارات السجون. ولا توجد أيضاً البيانات الإحصائية بشأن الاتجار بالبشر والعنف ضد المرأة، لا</w:t>
      </w:r>
      <w:r w:rsidR="006D675E">
        <w:rPr>
          <w:rFonts w:hint="cs"/>
          <w:rtl/>
        </w:rPr>
        <w:t xml:space="preserve"> </w:t>
      </w:r>
      <w:r w:rsidR="006D675E" w:rsidRPr="00825DB6">
        <w:rPr>
          <w:rFonts w:hint="cs"/>
          <w:rtl/>
        </w:rPr>
        <w:t xml:space="preserve">سيما عن حالات العنف المنزلي وتشويه الأعضاء التناسلية الأنثوية (المواد 2 و11 و12 و13 و14 و16). </w:t>
      </w:r>
    </w:p>
    <w:p w:rsidR="006D675E" w:rsidRPr="00825DB6" w:rsidRDefault="006D675E" w:rsidP="006D675E">
      <w:pPr>
        <w:pStyle w:val="SingleTxtGA"/>
        <w:rPr>
          <w:rFonts w:hint="cs"/>
          <w:b/>
          <w:bCs/>
          <w:rtl/>
        </w:rPr>
      </w:pPr>
      <w:r>
        <w:rPr>
          <w:rFonts w:hint="cs"/>
          <w:b/>
          <w:bCs/>
          <w:rtl/>
        </w:rPr>
        <w:tab/>
      </w:r>
      <w:r w:rsidRPr="00825DB6">
        <w:rPr>
          <w:rFonts w:hint="cs"/>
          <w:b/>
          <w:bCs/>
          <w:rtl/>
        </w:rPr>
        <w:t xml:space="preserve">يتعين على الدولة الطرف أن تنشئ هيئة مستقلة مخوّلة إعداد وتجهيز بيانات إحصائية مصنّفة بحسب سن الضحية وجنسها، ومفيدة في تنفيذ الاتفاقية على الصعيد الوطني، ولا سيما بيانات عن الشكاوى والتحقيقات والملاحقات القضائية والإدانات المتعلقة بأعمال التعذيب وسوء المعاملة التي يرتكبها عناصر الأمن، بمن فيهم أفراد الدرك والشرطة وموظفو إدارات السجون، فضلاً عن بيانات عن حالات الوفاة في السجون. ويتعين أيضاً جمع وتوفير بيانات إحصائية بشأن الاتجار بالبشر والعنف ضد المرأة وتشويه الأعضاء التناسلية الأنثوية، بالإضافة إلى تدابير الجبْر، لا سيما التعويض وإعادة التأهيل التي حصل عليها الضحايا. </w:t>
      </w:r>
    </w:p>
    <w:p w:rsidR="006D675E" w:rsidRPr="00706A90" w:rsidRDefault="006D675E" w:rsidP="004F4A19">
      <w:pPr>
        <w:pStyle w:val="H23GA"/>
        <w:spacing w:line="370" w:lineRule="exact"/>
        <w:rPr>
          <w:rFonts w:hint="cs"/>
          <w:rtl/>
        </w:rPr>
      </w:pPr>
      <w:r w:rsidRPr="00706A90">
        <w:rPr>
          <w:rFonts w:hint="cs"/>
          <w:rtl/>
        </w:rPr>
        <w:tab/>
      </w:r>
      <w:r w:rsidRPr="00706A90">
        <w:rPr>
          <w:rFonts w:hint="cs"/>
          <w:rtl/>
        </w:rPr>
        <w:tab/>
        <w:t>مسائل أخرى</w:t>
      </w:r>
    </w:p>
    <w:p w:rsidR="006D675E" w:rsidRPr="00825DB6" w:rsidRDefault="00586CA6" w:rsidP="004F4A19">
      <w:pPr>
        <w:pStyle w:val="SingleTxtGA"/>
        <w:spacing w:line="370" w:lineRule="exact"/>
        <w:rPr>
          <w:rFonts w:hint="cs"/>
          <w:rtl/>
        </w:rPr>
      </w:pPr>
      <w:r>
        <w:rPr>
          <w:rFonts w:hint="cs"/>
          <w:spacing w:val="-2"/>
          <w:rtl/>
        </w:rPr>
        <w:t>(</w:t>
      </w:r>
      <w:r w:rsidR="006D675E" w:rsidRPr="00706A90">
        <w:rPr>
          <w:rFonts w:hint="cs"/>
          <w:spacing w:val="-2"/>
          <w:rtl/>
        </w:rPr>
        <w:t>27</w:t>
      </w:r>
      <w:r>
        <w:rPr>
          <w:rFonts w:hint="cs"/>
          <w:spacing w:val="-2"/>
          <w:rtl/>
        </w:rPr>
        <w:t>)</w:t>
      </w:r>
      <w:r w:rsidR="006D675E" w:rsidRPr="00706A90">
        <w:rPr>
          <w:rFonts w:hint="cs"/>
          <w:spacing w:val="-2"/>
          <w:rtl/>
        </w:rPr>
        <w:tab/>
        <w:t xml:space="preserve">تشجّع اللجنة الدولة الطرف على النظر في إصدار الإعلان المنصوص عليه في المادة 22 </w:t>
      </w:r>
      <w:r w:rsidR="006D675E" w:rsidRPr="00825DB6">
        <w:rPr>
          <w:rFonts w:hint="cs"/>
          <w:rtl/>
        </w:rPr>
        <w:t xml:space="preserve">من الاتفاقية والذي تعترف بموجبه بأهليّة اللجنة لتلقي البلاغات الصادرة عن الأفراد والنظر فيها. وتدعو اللجنة الدولة الطرف إلى سحب تحفظاتها على المادتين 20 (التحقيقات السرية) و30 (تسوية المنازعات) من الاتفاقية. </w:t>
      </w:r>
    </w:p>
    <w:p w:rsidR="006D675E" w:rsidRPr="00825DB6" w:rsidRDefault="00586CA6" w:rsidP="004F4A19">
      <w:pPr>
        <w:pStyle w:val="SingleTxtGA"/>
        <w:spacing w:line="370" w:lineRule="exact"/>
        <w:rPr>
          <w:rFonts w:hint="cs"/>
        </w:rPr>
      </w:pPr>
      <w:r>
        <w:rPr>
          <w:rFonts w:hint="cs"/>
          <w:rtl/>
        </w:rPr>
        <w:t>(</w:t>
      </w:r>
      <w:r w:rsidR="006D675E">
        <w:rPr>
          <w:rFonts w:hint="cs"/>
          <w:rtl/>
        </w:rPr>
        <w:t>28</w:t>
      </w:r>
      <w:r>
        <w:rPr>
          <w:rFonts w:hint="cs"/>
          <w:rtl/>
        </w:rPr>
        <w:t>)</w:t>
      </w:r>
      <w:r w:rsidR="006D675E">
        <w:rPr>
          <w:rFonts w:hint="cs"/>
          <w:rtl/>
        </w:rPr>
        <w:tab/>
      </w:r>
      <w:r w:rsidR="006D675E" w:rsidRPr="00825DB6">
        <w:rPr>
          <w:rFonts w:hint="cs"/>
          <w:rtl/>
        </w:rPr>
        <w:t xml:space="preserve">وتدعو اللجنة الدولة الطرف إلى النظر في التصديق على الصكوك الرئيسية للأمم المتحدة ذات الصلة بحقوق الإنسان والتي ليست طرفاً فيها بعدُ، ومنها: </w:t>
      </w:r>
    </w:p>
    <w:p w:rsidR="006D675E" w:rsidRPr="00825DB6" w:rsidRDefault="006D675E" w:rsidP="004F4A19">
      <w:pPr>
        <w:pStyle w:val="SingleTxtGA"/>
        <w:spacing w:line="370" w:lineRule="exact"/>
        <w:rPr>
          <w:rFonts w:hint="cs"/>
          <w:rtl/>
          <w:lang/>
        </w:rPr>
      </w:pPr>
      <w:r>
        <w:rPr>
          <w:rFonts w:hint="cs"/>
          <w:rtl/>
          <w:lang/>
        </w:rPr>
        <w:tab/>
        <w:t>(أ)</w:t>
      </w:r>
      <w:r>
        <w:rPr>
          <w:rFonts w:hint="cs"/>
          <w:rtl/>
          <w:lang/>
        </w:rPr>
        <w:tab/>
      </w:r>
      <w:r w:rsidRPr="00825DB6">
        <w:rPr>
          <w:rFonts w:hint="cs"/>
          <w:rtl/>
          <w:lang/>
        </w:rPr>
        <w:t xml:space="preserve">البروتوكول الاختياري الملحق بالعهد الدولي الخاص بالحقوق المدنية والسياسية؛ </w:t>
      </w:r>
    </w:p>
    <w:p w:rsidR="006D675E" w:rsidRPr="00825DB6" w:rsidRDefault="006D675E" w:rsidP="004F4A19">
      <w:pPr>
        <w:pStyle w:val="SingleTxtGA"/>
        <w:spacing w:line="370" w:lineRule="exact"/>
        <w:rPr>
          <w:rFonts w:hint="cs"/>
        </w:rPr>
      </w:pPr>
      <w:r>
        <w:rPr>
          <w:rFonts w:hint="cs"/>
          <w:rtl/>
          <w:lang/>
        </w:rPr>
        <w:tab/>
        <w:t>(ب)</w:t>
      </w:r>
      <w:r>
        <w:rPr>
          <w:rFonts w:hint="cs"/>
          <w:rtl/>
          <w:lang/>
        </w:rPr>
        <w:tab/>
      </w:r>
      <w:r w:rsidRPr="00825DB6">
        <w:rPr>
          <w:rFonts w:hint="cs"/>
          <w:rtl/>
          <w:lang/>
        </w:rPr>
        <w:t>البروتوكول الاختياري الثاني الملحق بالعهد الدولي الخاص بالحقوق المدنية والسياسية الهادف إلى إلغاء عقوبة الإعدام</w:t>
      </w:r>
      <w:r w:rsidRPr="00825DB6">
        <w:rPr>
          <w:rFonts w:hint="cs"/>
          <w:rtl/>
        </w:rPr>
        <w:t>؛</w:t>
      </w:r>
    </w:p>
    <w:p w:rsidR="006D675E" w:rsidRPr="00825DB6" w:rsidRDefault="006D675E" w:rsidP="004F4A19">
      <w:pPr>
        <w:pStyle w:val="SingleTxtGA"/>
        <w:spacing w:line="370" w:lineRule="exact"/>
        <w:rPr>
          <w:rFonts w:hint="cs"/>
          <w:rtl/>
          <w:lang/>
        </w:rPr>
      </w:pPr>
      <w:r>
        <w:rPr>
          <w:rFonts w:hint="cs"/>
          <w:rtl/>
        </w:rPr>
        <w:tab/>
        <w:t>(</w:t>
      </w:r>
      <w:r w:rsidRPr="00825DB6">
        <w:rPr>
          <w:rFonts w:hint="cs"/>
          <w:rtl/>
        </w:rPr>
        <w:t>ج)</w:t>
      </w:r>
      <w:r>
        <w:rPr>
          <w:rFonts w:hint="cs"/>
          <w:rtl/>
        </w:rPr>
        <w:tab/>
      </w:r>
      <w:r w:rsidRPr="00825DB6">
        <w:rPr>
          <w:rFonts w:hint="cs"/>
          <w:rtl/>
          <w:lang/>
        </w:rPr>
        <w:t>البروتوكول الاختياري الملحق بالعهد الدولي الخاص بالحقوق الاقتصادية والاجتماعية والثقافية؛</w:t>
      </w:r>
    </w:p>
    <w:p w:rsidR="006D675E" w:rsidRPr="00825DB6" w:rsidRDefault="006D675E" w:rsidP="004F4A19">
      <w:pPr>
        <w:pStyle w:val="SingleTxtGA"/>
        <w:spacing w:line="370" w:lineRule="exact"/>
        <w:rPr>
          <w:rFonts w:hint="cs"/>
          <w:rtl/>
          <w:lang/>
        </w:rPr>
      </w:pPr>
      <w:r>
        <w:rPr>
          <w:rFonts w:hint="cs"/>
          <w:rtl/>
          <w:lang/>
        </w:rPr>
        <w:tab/>
        <w:t>(</w:t>
      </w:r>
      <w:r w:rsidRPr="00825DB6">
        <w:rPr>
          <w:rFonts w:hint="cs"/>
          <w:rtl/>
          <w:lang/>
        </w:rPr>
        <w:t>د)</w:t>
      </w:r>
      <w:r>
        <w:rPr>
          <w:rFonts w:hint="cs"/>
          <w:rtl/>
          <w:lang/>
        </w:rPr>
        <w:tab/>
      </w:r>
      <w:r w:rsidRPr="00825DB6">
        <w:rPr>
          <w:rFonts w:hint="cs"/>
          <w:rtl/>
          <w:lang/>
        </w:rPr>
        <w:t>البروتوكول الاختياري لاتفاقية القضاء على جميع أشكال التمييز ضد المرأة؛</w:t>
      </w:r>
    </w:p>
    <w:p w:rsidR="006D675E" w:rsidRPr="00825DB6" w:rsidRDefault="006D675E" w:rsidP="004F4A19">
      <w:pPr>
        <w:pStyle w:val="SingleTxtGA"/>
        <w:spacing w:line="370" w:lineRule="exact"/>
        <w:rPr>
          <w:rFonts w:hint="cs"/>
          <w:rtl/>
          <w:lang/>
        </w:rPr>
      </w:pPr>
      <w:r>
        <w:rPr>
          <w:rFonts w:hint="cs"/>
          <w:rtl/>
          <w:lang/>
        </w:rPr>
        <w:tab/>
        <w:t>(</w:t>
      </w:r>
      <w:r w:rsidRPr="0016129C">
        <w:rPr>
          <w:rFonts w:hint="cs"/>
          <w:sz w:val="30"/>
          <w:rtl/>
          <w:lang/>
        </w:rPr>
        <w:t>ﻫ</w:t>
      </w:r>
      <w:r>
        <w:rPr>
          <w:rFonts w:hint="cs"/>
          <w:rtl/>
          <w:lang/>
        </w:rPr>
        <w:t>)</w:t>
      </w:r>
      <w:r>
        <w:rPr>
          <w:rFonts w:hint="cs"/>
          <w:rtl/>
          <w:lang/>
        </w:rPr>
        <w:tab/>
      </w:r>
      <w:r w:rsidRPr="00825DB6">
        <w:rPr>
          <w:rFonts w:hint="cs"/>
          <w:rtl/>
          <w:lang/>
        </w:rPr>
        <w:t>البروتوكول الاختياري لاتفاقية حقوق الطفل المتعلق بإشراك الأطفال في النزاعات المسلحة.</w:t>
      </w:r>
    </w:p>
    <w:p w:rsidR="006D675E" w:rsidRPr="00825DB6" w:rsidRDefault="00586CA6" w:rsidP="004F4A19">
      <w:pPr>
        <w:pStyle w:val="SingleTxtGA"/>
        <w:spacing w:line="370" w:lineRule="exact"/>
        <w:rPr>
          <w:rFonts w:hint="cs"/>
          <w:rtl/>
          <w:lang/>
        </w:rPr>
      </w:pPr>
      <w:r>
        <w:rPr>
          <w:rFonts w:hint="cs"/>
          <w:rtl/>
          <w:lang/>
        </w:rPr>
        <w:t>(</w:t>
      </w:r>
      <w:r w:rsidR="006D675E" w:rsidRPr="00825DB6">
        <w:rPr>
          <w:rFonts w:hint="cs"/>
          <w:rtl/>
          <w:lang/>
        </w:rPr>
        <w:t>29</w:t>
      </w:r>
      <w:r>
        <w:rPr>
          <w:rFonts w:hint="cs"/>
          <w:rtl/>
          <w:lang/>
        </w:rPr>
        <w:t>)</w:t>
      </w:r>
      <w:r w:rsidR="006D675E" w:rsidRPr="00825DB6">
        <w:rPr>
          <w:rFonts w:hint="cs"/>
          <w:rtl/>
          <w:lang/>
        </w:rPr>
        <w:tab/>
        <w:t xml:space="preserve">ويرجى من الدولة الطرف نشر التقرير المقدم إلى اللجنة وكذلك هذه الملاحظات الختامية الصادرة عن اللجنة، باللغات المناسبة، من خلال المواقع الالكترونية الرسمية ووسائل الإعلام والمنظمات غير الحكومية. </w:t>
      </w:r>
    </w:p>
    <w:p w:rsidR="006D675E" w:rsidRPr="0016129C" w:rsidRDefault="00586CA6" w:rsidP="004F4A19">
      <w:pPr>
        <w:pStyle w:val="SingleTxtGA"/>
        <w:spacing w:line="370" w:lineRule="exact"/>
        <w:rPr>
          <w:rFonts w:hint="cs"/>
          <w:spacing w:val="-2"/>
          <w:rtl/>
          <w:lang/>
        </w:rPr>
      </w:pPr>
      <w:r>
        <w:rPr>
          <w:rFonts w:hint="cs"/>
          <w:spacing w:val="-4"/>
          <w:rtl/>
          <w:lang/>
        </w:rPr>
        <w:t>(</w:t>
      </w:r>
      <w:r w:rsidR="006D675E" w:rsidRPr="0016129C">
        <w:rPr>
          <w:rFonts w:hint="cs"/>
          <w:spacing w:val="-4"/>
          <w:rtl/>
          <w:lang/>
        </w:rPr>
        <w:t>30</w:t>
      </w:r>
      <w:r>
        <w:rPr>
          <w:rFonts w:hint="cs"/>
          <w:spacing w:val="-4"/>
          <w:rtl/>
          <w:lang/>
        </w:rPr>
        <w:t>)</w:t>
      </w:r>
      <w:r w:rsidR="006D675E" w:rsidRPr="0016129C">
        <w:rPr>
          <w:rFonts w:hint="cs"/>
          <w:spacing w:val="-4"/>
          <w:rtl/>
          <w:lang/>
        </w:rPr>
        <w:tab/>
        <w:t>وتطلب اللجنة إلى الدولة الطرف أن تقدم إليها في أجل أقصاه 31 أيار/مايو 2014،</w:t>
      </w:r>
      <w:r w:rsidR="006D675E" w:rsidRPr="00825DB6">
        <w:rPr>
          <w:rFonts w:hint="cs"/>
          <w:rtl/>
          <w:lang/>
        </w:rPr>
        <w:t xml:space="preserve"> معلومات عن متابعة التوصيات التالية، الواردة في الفقرات 10(ج)، و22(أ)، و(ب)، </w:t>
      </w:r>
      <w:r w:rsidR="006D675E" w:rsidRPr="0016129C">
        <w:rPr>
          <w:rFonts w:hint="cs"/>
          <w:spacing w:val="-2"/>
          <w:rtl/>
          <w:lang/>
        </w:rPr>
        <w:t xml:space="preserve">و18(أ) من هذه الوثيقة والمتعلقة بما يلي: (1) إلغاء فترة الحبس الاحتياطي المحددة في 15 يوماً قابلة للتجديد مرتين، فيما يتعلق بالإرهاب والمساس بأمن الدولة، وتعزيز الضمانات القانونية المكفولة للمحتجزين؛ (2) تحسين ظروف الاحتجاز في كافة المؤسسات السجنية؛ (3) مقاضاة مرتكبي أعمال التعذيب وسوء المعاملة ومعاقبتهم. </w:t>
      </w:r>
    </w:p>
    <w:p w:rsidR="006D675E" w:rsidRDefault="00586CA6" w:rsidP="00586CA6">
      <w:pPr>
        <w:pStyle w:val="SingleTxtGA"/>
        <w:rPr>
          <w:rFonts w:hint="cs"/>
          <w:rtl/>
        </w:rPr>
      </w:pPr>
      <w:r>
        <w:rPr>
          <w:rFonts w:hint="cs"/>
          <w:rtl/>
          <w:lang/>
        </w:rPr>
        <w:t>(</w:t>
      </w:r>
      <w:r w:rsidR="006D675E" w:rsidRPr="00825DB6">
        <w:rPr>
          <w:rFonts w:hint="cs"/>
          <w:rtl/>
          <w:lang/>
        </w:rPr>
        <w:t>31</w:t>
      </w:r>
      <w:r>
        <w:rPr>
          <w:rFonts w:hint="cs"/>
          <w:rtl/>
          <w:lang/>
        </w:rPr>
        <w:t>)</w:t>
      </w:r>
      <w:r w:rsidR="006D675E" w:rsidRPr="00825DB6">
        <w:rPr>
          <w:rFonts w:hint="cs"/>
          <w:rtl/>
          <w:lang/>
        </w:rPr>
        <w:tab/>
        <w:t>تدعو اللجنة الدولة الطرف إلى تقديم تقريرها الدوري المقبل، وهو الثاني، في موعد أقصاه 31 أيار/مايو 2017. ولهذا الغرض، تدعو اللجنة الدولة الطرف إلى الموافقة في أجل أقصاه 31 أيار/مايو 2014، على تقديم تقريرها بموجب إجراء اللجنة الاختياري الذي يقضي بإحالة قائمة القضايا من اللجنة إلى الدولة الطرف قبل تقديم تقريرها الدوري. وسوف يشكل رد الدولة الطرف على قائمة القضايا هذه تقريرها الدوري الثاني بموجب المادة 19 من الاتفاقية.</w:t>
      </w:r>
    </w:p>
    <w:p w:rsidR="006D74A8" w:rsidRPr="00586CA6" w:rsidRDefault="00586CA6" w:rsidP="00586CA6">
      <w:pPr>
        <w:pStyle w:val="SingleTxtGA"/>
        <w:rPr>
          <w:rFonts w:hint="cs"/>
          <w:b/>
          <w:bCs/>
          <w:rtl/>
        </w:rPr>
      </w:pPr>
      <w:r>
        <w:rPr>
          <w:rFonts w:hint="cs"/>
          <w:rtl/>
        </w:rPr>
        <w:t>74</w:t>
      </w:r>
      <w:r w:rsidR="006D74A8">
        <w:rPr>
          <w:rFonts w:hint="cs"/>
          <w:rtl/>
        </w:rPr>
        <w:t>-</w:t>
      </w:r>
      <w:r>
        <w:rPr>
          <w:rFonts w:hint="cs"/>
          <w:rtl/>
        </w:rPr>
        <w:tab/>
      </w:r>
      <w:r w:rsidR="006D74A8" w:rsidRPr="00586CA6">
        <w:rPr>
          <w:rFonts w:hint="cs"/>
          <w:b/>
          <w:bCs/>
          <w:rtl/>
        </w:rPr>
        <w:t>هولندا</w:t>
      </w:r>
    </w:p>
    <w:p w:rsidR="00266725" w:rsidRPr="005F3F9E" w:rsidRDefault="00586CA6" w:rsidP="00586CA6">
      <w:pPr>
        <w:pStyle w:val="SingleTxtGA"/>
        <w:rPr>
          <w:rFonts w:hint="cs"/>
          <w:kern w:val="10"/>
          <w:rtl/>
        </w:rPr>
      </w:pPr>
      <w:r>
        <w:rPr>
          <w:rFonts w:hint="cs"/>
          <w:kern w:val="10"/>
          <w:rtl/>
          <w:lang w:val="fr-CH"/>
        </w:rPr>
        <w:t>(</w:t>
      </w:r>
      <w:r w:rsidR="00266725" w:rsidRPr="005F3F9E">
        <w:rPr>
          <w:rFonts w:hint="cs"/>
          <w:kern w:val="10"/>
          <w:rtl/>
          <w:lang w:val="fr-CH"/>
        </w:rPr>
        <w:t>1</w:t>
      </w:r>
      <w:r>
        <w:rPr>
          <w:rFonts w:hint="cs"/>
          <w:kern w:val="10"/>
          <w:rtl/>
          <w:lang w:val="fr-CH"/>
        </w:rPr>
        <w:t>)</w:t>
      </w:r>
      <w:r w:rsidR="00266725" w:rsidRPr="005F3F9E">
        <w:rPr>
          <w:rFonts w:hint="cs"/>
          <w:kern w:val="10"/>
          <w:rtl/>
          <w:lang w:val="fr-CH"/>
        </w:rPr>
        <w:tab/>
        <w:t xml:space="preserve">نظرت لجنة مناهضة التعذيب في </w:t>
      </w:r>
      <w:r w:rsidR="00266725">
        <w:rPr>
          <w:rFonts w:hint="cs"/>
          <w:kern w:val="10"/>
          <w:rtl/>
          <w:lang w:val="fr-CH"/>
        </w:rPr>
        <w:t>التقرير الجامع للتقريرين</w:t>
      </w:r>
      <w:r w:rsidR="00266725" w:rsidRPr="005F3F9E">
        <w:rPr>
          <w:rFonts w:hint="cs"/>
          <w:kern w:val="10"/>
          <w:rtl/>
          <w:lang w:val="fr-CH"/>
        </w:rPr>
        <w:t xml:space="preserve"> </w:t>
      </w:r>
      <w:r w:rsidR="00266725">
        <w:rPr>
          <w:rFonts w:hint="cs"/>
          <w:kern w:val="10"/>
          <w:rtl/>
          <w:lang w:val="fr-CH"/>
        </w:rPr>
        <w:t>الدوريين الخامس والسادس لمملكة هولندا</w:t>
      </w:r>
      <w:r w:rsidR="00266725" w:rsidRPr="005F3F9E">
        <w:rPr>
          <w:rFonts w:hint="cs"/>
          <w:kern w:val="10"/>
          <w:rtl/>
          <w:lang w:val="fr-CH"/>
        </w:rPr>
        <w:t xml:space="preserve"> (</w:t>
      </w:r>
      <w:r w:rsidR="00266725" w:rsidRPr="005F3F9E">
        <w:rPr>
          <w:kern w:val="10"/>
        </w:rPr>
        <w:t>CAT/C/</w:t>
      </w:r>
      <w:r w:rsidR="00266725">
        <w:rPr>
          <w:kern w:val="10"/>
        </w:rPr>
        <w:t>NLD</w:t>
      </w:r>
      <w:r w:rsidR="00266725" w:rsidRPr="005F3F9E">
        <w:rPr>
          <w:kern w:val="10"/>
        </w:rPr>
        <w:t>/</w:t>
      </w:r>
      <w:r w:rsidR="00266725">
        <w:rPr>
          <w:kern w:val="10"/>
        </w:rPr>
        <w:t>5</w:t>
      </w:r>
      <w:r w:rsidR="00266725" w:rsidRPr="005F3F9E">
        <w:rPr>
          <w:kern w:val="10"/>
        </w:rPr>
        <w:t>-</w:t>
      </w:r>
      <w:r w:rsidR="00266725">
        <w:rPr>
          <w:kern w:val="10"/>
        </w:rPr>
        <w:t>6</w:t>
      </w:r>
      <w:r w:rsidR="00266725" w:rsidRPr="005F3F9E">
        <w:rPr>
          <w:rFonts w:hint="cs"/>
          <w:kern w:val="10"/>
          <w:rtl/>
        </w:rPr>
        <w:t xml:space="preserve">) في جلستيها </w:t>
      </w:r>
      <w:r w:rsidR="00266725">
        <w:rPr>
          <w:rFonts w:hint="cs"/>
          <w:kern w:val="10"/>
          <w:rtl/>
        </w:rPr>
        <w:t>1144</w:t>
      </w:r>
      <w:r w:rsidR="00266725" w:rsidRPr="005F3F9E">
        <w:rPr>
          <w:rFonts w:hint="cs"/>
          <w:kern w:val="10"/>
          <w:rtl/>
        </w:rPr>
        <w:t xml:space="preserve"> و11</w:t>
      </w:r>
      <w:r w:rsidR="00266725">
        <w:rPr>
          <w:rFonts w:hint="cs"/>
          <w:kern w:val="10"/>
          <w:rtl/>
        </w:rPr>
        <w:t>47</w:t>
      </w:r>
      <w:r w:rsidR="00266725" w:rsidRPr="005F3F9E">
        <w:rPr>
          <w:rFonts w:hint="cs"/>
          <w:kern w:val="10"/>
          <w:rtl/>
        </w:rPr>
        <w:t xml:space="preserve"> المعقودتين يومي </w:t>
      </w:r>
      <w:r w:rsidR="00266725">
        <w:rPr>
          <w:rFonts w:hint="cs"/>
          <w:kern w:val="10"/>
          <w:rtl/>
        </w:rPr>
        <w:t>14</w:t>
      </w:r>
      <w:r w:rsidR="00266725" w:rsidRPr="005F3F9E">
        <w:rPr>
          <w:rFonts w:hint="cs"/>
          <w:kern w:val="10"/>
          <w:rtl/>
        </w:rPr>
        <w:t xml:space="preserve"> و</w:t>
      </w:r>
      <w:r w:rsidR="00266725">
        <w:rPr>
          <w:rFonts w:hint="cs"/>
          <w:kern w:val="10"/>
          <w:rtl/>
        </w:rPr>
        <w:t>15</w:t>
      </w:r>
      <w:r w:rsidR="00266725" w:rsidRPr="005F3F9E">
        <w:rPr>
          <w:rFonts w:hint="cs"/>
          <w:kern w:val="10"/>
          <w:rtl/>
        </w:rPr>
        <w:t xml:space="preserve"> </w:t>
      </w:r>
      <w:r w:rsidR="00266725">
        <w:rPr>
          <w:rFonts w:hint="cs"/>
          <w:kern w:val="10"/>
          <w:sz w:val="30"/>
          <w:rtl/>
        </w:rPr>
        <w:t>أيار/مايو 2013</w:t>
      </w:r>
      <w:r w:rsidR="00266725" w:rsidRPr="005F3F9E">
        <w:rPr>
          <w:rFonts w:hint="cs"/>
          <w:kern w:val="10"/>
          <w:rtl/>
        </w:rPr>
        <w:t xml:space="preserve"> (</w:t>
      </w:r>
      <w:r w:rsidR="00266725" w:rsidRPr="005F3F9E">
        <w:rPr>
          <w:kern w:val="10"/>
        </w:rPr>
        <w:t>CAT/C/</w:t>
      </w:r>
      <w:r w:rsidR="00266725">
        <w:rPr>
          <w:kern w:val="10"/>
        </w:rPr>
        <w:t>SR</w:t>
      </w:r>
      <w:r w:rsidR="00266725" w:rsidRPr="005F3F9E">
        <w:rPr>
          <w:kern w:val="10"/>
        </w:rPr>
        <w:t>.11</w:t>
      </w:r>
      <w:r w:rsidR="00266725">
        <w:rPr>
          <w:kern w:val="10"/>
        </w:rPr>
        <w:t>44</w:t>
      </w:r>
      <w:r w:rsidR="00266725" w:rsidRPr="005F3F9E">
        <w:rPr>
          <w:rFonts w:hint="cs"/>
          <w:kern w:val="10"/>
          <w:rtl/>
        </w:rPr>
        <w:t xml:space="preserve"> و</w:t>
      </w:r>
      <w:r w:rsidR="00266725" w:rsidRPr="005F3F9E">
        <w:rPr>
          <w:kern w:val="10"/>
        </w:rPr>
        <w:t>11</w:t>
      </w:r>
      <w:r w:rsidR="00266725">
        <w:rPr>
          <w:kern w:val="10"/>
        </w:rPr>
        <w:t>47</w:t>
      </w:r>
      <w:r w:rsidR="00266725" w:rsidRPr="005F3F9E">
        <w:rPr>
          <w:rFonts w:hint="cs"/>
          <w:kern w:val="10"/>
          <w:rtl/>
        </w:rPr>
        <w:t>)، واعتمدت في جلستها 11</w:t>
      </w:r>
      <w:r w:rsidR="00266725">
        <w:rPr>
          <w:rFonts w:hint="cs"/>
          <w:kern w:val="10"/>
          <w:rtl/>
        </w:rPr>
        <w:t>63</w:t>
      </w:r>
      <w:r w:rsidR="00266725" w:rsidRPr="005F3F9E">
        <w:rPr>
          <w:rFonts w:hint="cs"/>
          <w:kern w:val="10"/>
          <w:rtl/>
        </w:rPr>
        <w:t>، المعقودة في</w:t>
      </w:r>
      <w:r w:rsidR="00266725">
        <w:rPr>
          <w:rFonts w:hint="eastAsia"/>
          <w:kern w:val="10"/>
          <w:rtl/>
        </w:rPr>
        <w:t> </w:t>
      </w:r>
      <w:r w:rsidR="00266725">
        <w:rPr>
          <w:rFonts w:hint="cs"/>
          <w:kern w:val="10"/>
          <w:rtl/>
        </w:rPr>
        <w:t>28</w:t>
      </w:r>
      <w:r w:rsidR="00266725" w:rsidRPr="005F3F9E">
        <w:rPr>
          <w:rFonts w:hint="cs"/>
          <w:kern w:val="10"/>
          <w:rtl/>
        </w:rPr>
        <w:t xml:space="preserve"> </w:t>
      </w:r>
      <w:r w:rsidR="00266725">
        <w:rPr>
          <w:rFonts w:hint="cs"/>
          <w:kern w:val="10"/>
          <w:sz w:val="30"/>
          <w:rtl/>
        </w:rPr>
        <w:t>أيار/مايو 2013</w:t>
      </w:r>
      <w:r w:rsidR="00266725" w:rsidRPr="005F3F9E">
        <w:rPr>
          <w:rFonts w:hint="cs"/>
          <w:kern w:val="10"/>
          <w:rtl/>
        </w:rPr>
        <w:t xml:space="preserve"> (</w:t>
      </w:r>
      <w:r w:rsidR="00266725" w:rsidRPr="005F3F9E">
        <w:rPr>
          <w:kern w:val="10"/>
        </w:rPr>
        <w:t>CAT/C/SR.11</w:t>
      </w:r>
      <w:r w:rsidR="00266725">
        <w:rPr>
          <w:kern w:val="10"/>
        </w:rPr>
        <w:t>63</w:t>
      </w:r>
      <w:r w:rsidR="00266725" w:rsidRPr="005F3F9E">
        <w:rPr>
          <w:rFonts w:hint="cs"/>
          <w:kern w:val="10"/>
          <w:rtl/>
        </w:rPr>
        <w:t>)</w:t>
      </w:r>
      <w:r w:rsidR="00266725">
        <w:rPr>
          <w:rFonts w:hint="cs"/>
          <w:kern w:val="10"/>
          <w:rtl/>
        </w:rPr>
        <w:t xml:space="preserve">، </w:t>
      </w:r>
      <w:r w:rsidR="00266725" w:rsidRPr="005F3F9E">
        <w:rPr>
          <w:rFonts w:hint="cs"/>
          <w:kern w:val="10"/>
          <w:rtl/>
        </w:rPr>
        <w:t>الملاحظات الختامية التالية.</w:t>
      </w:r>
    </w:p>
    <w:p w:rsidR="00266725" w:rsidRPr="00586CA6" w:rsidRDefault="00A83CF9" w:rsidP="00A83CF9">
      <w:pPr>
        <w:pStyle w:val="H23GA"/>
        <w:tabs>
          <w:tab w:val="left" w:pos="1954"/>
        </w:tabs>
        <w:rPr>
          <w:rFonts w:hint="cs"/>
          <w:rtl/>
        </w:rPr>
      </w:pPr>
      <w:r>
        <w:rPr>
          <w:rFonts w:hint="cs"/>
          <w:rtl/>
        </w:rPr>
        <w:tab/>
      </w:r>
      <w:r>
        <w:rPr>
          <w:rFonts w:hint="cs"/>
          <w:rtl/>
        </w:rPr>
        <w:tab/>
      </w:r>
      <w:r w:rsidR="00266725" w:rsidRPr="00586CA6">
        <w:rPr>
          <w:rFonts w:hint="cs"/>
          <w:rtl/>
        </w:rPr>
        <w:t>ألف-</w:t>
      </w:r>
      <w:r w:rsidR="00266725" w:rsidRPr="00586CA6">
        <w:rPr>
          <w:rFonts w:hint="cs"/>
          <w:rtl/>
        </w:rPr>
        <w:tab/>
        <w:t>مقدمة</w:t>
      </w:r>
    </w:p>
    <w:p w:rsidR="00266725" w:rsidRPr="005F3F9E" w:rsidRDefault="00586CA6" w:rsidP="00586CA6">
      <w:pPr>
        <w:pStyle w:val="SingleTxtGA"/>
        <w:rPr>
          <w:rFonts w:hint="cs"/>
          <w:rtl/>
        </w:rPr>
      </w:pPr>
      <w:r>
        <w:rPr>
          <w:rFonts w:hint="cs"/>
          <w:rtl/>
        </w:rPr>
        <w:t>(</w:t>
      </w:r>
      <w:r w:rsidR="00266725" w:rsidRPr="005F3F9E">
        <w:rPr>
          <w:rFonts w:hint="cs"/>
          <w:rtl/>
        </w:rPr>
        <w:t>2</w:t>
      </w:r>
      <w:r>
        <w:rPr>
          <w:rFonts w:hint="cs"/>
          <w:rtl/>
        </w:rPr>
        <w:t>)</w:t>
      </w:r>
      <w:r w:rsidR="00266725" w:rsidRPr="005F3F9E">
        <w:rPr>
          <w:rFonts w:hint="cs"/>
          <w:rtl/>
        </w:rPr>
        <w:tab/>
        <w:t xml:space="preserve">تعرب اللجنة عن تقديرها للدولة الطرف لموافقتها على الإجراء الاختياري المتعلق </w:t>
      </w:r>
      <w:r w:rsidR="00266725">
        <w:rPr>
          <w:rFonts w:hint="cs"/>
          <w:rtl/>
        </w:rPr>
        <w:t>بتقديم التقارير ولتقديمها تقريرها الدوري بموجبه</w:t>
      </w:r>
      <w:r w:rsidR="00266725" w:rsidRPr="005F3F9E">
        <w:rPr>
          <w:rFonts w:hint="cs"/>
          <w:rtl/>
        </w:rPr>
        <w:t>،</w:t>
      </w:r>
      <w:r w:rsidR="00266725">
        <w:rPr>
          <w:rFonts w:hint="cs"/>
          <w:rtl/>
        </w:rPr>
        <w:t xml:space="preserve"> </w:t>
      </w:r>
      <w:r w:rsidR="00266725" w:rsidRPr="005F3F9E">
        <w:rPr>
          <w:rFonts w:hint="cs"/>
          <w:rtl/>
        </w:rPr>
        <w:t>ن</w:t>
      </w:r>
      <w:r w:rsidR="00266725">
        <w:rPr>
          <w:rFonts w:hint="cs"/>
          <w:rtl/>
        </w:rPr>
        <w:t>ظراً إلى أن هذا الإجراء يُحسن</w:t>
      </w:r>
      <w:r w:rsidR="00266725" w:rsidRPr="005F3F9E">
        <w:rPr>
          <w:rFonts w:hint="cs"/>
          <w:rtl/>
        </w:rPr>
        <w:t xml:space="preserve"> التعاون بين الدولة الطرف واللجنة ويركز على دراسة ال</w:t>
      </w:r>
      <w:r w:rsidR="00266725">
        <w:rPr>
          <w:rFonts w:hint="cs"/>
          <w:rtl/>
        </w:rPr>
        <w:t>تقرير وكذلك على الحوار مع الوفد</w:t>
      </w:r>
      <w:r w:rsidR="00266725" w:rsidRPr="005F3F9E">
        <w:rPr>
          <w:rFonts w:hint="cs"/>
          <w:rtl/>
        </w:rPr>
        <w:t>.</w:t>
      </w:r>
    </w:p>
    <w:p w:rsidR="00266725" w:rsidRPr="00722DD9" w:rsidRDefault="00016640" w:rsidP="00016640">
      <w:pPr>
        <w:pStyle w:val="SingleTxtGA"/>
        <w:rPr>
          <w:rFonts w:hint="cs"/>
          <w:rtl/>
          <w:lang w:bidi="ar-EG"/>
        </w:rPr>
      </w:pPr>
      <w:r>
        <w:rPr>
          <w:rFonts w:hint="cs"/>
          <w:rtl/>
          <w:lang w:bidi="ar-EG"/>
        </w:rPr>
        <w:t>(</w:t>
      </w:r>
      <w:r w:rsidR="00266725" w:rsidRPr="00722DD9">
        <w:rPr>
          <w:rtl/>
          <w:lang w:bidi="ar-EG"/>
        </w:rPr>
        <w:t>3</w:t>
      </w:r>
      <w:r>
        <w:rPr>
          <w:rFonts w:hint="cs"/>
          <w:rtl/>
          <w:lang w:bidi="ar-EG"/>
        </w:rPr>
        <w:t>)</w:t>
      </w:r>
      <w:r w:rsidR="00266725" w:rsidRPr="00722DD9">
        <w:rPr>
          <w:rtl/>
          <w:lang w:bidi="ar-EG"/>
        </w:rPr>
        <w:tab/>
        <w:t>وترحب اللجنة بالمعلومات المقدمة في التقرير الجامع للتقريرين الدوريين الخامس والسادس لمملكة هولندا التي تضم هولندا (الجزء الأوروبي والجزء الكاريبي المكون من جزر بونير وسان يوستاتيوس وسابا) والمقاطعات التي تتمتع بالحكم الذاتي في المملكة وهي أروبا وكوراكاو وسينت مارتن. وتعرب اللجنة عن تقديرها للحوار البناء الذي أجرته مع وفد الدولة الطرف. وتلاحظ اللجنة أيضاً أن تقرير الدولة الطرف امتثل عموماً للمبادئ التوجيهية لتقديم التقارير، على الرغم من افتقاره إلى معلومات محدّثة بشأن تنفيذ الاتفاقية في الجزء الكاريبي من هولندا. وتعرب اللجنة عن تقديرها أيضاً لردود الوفد الشفوية والخطية على الأسئلة التي أثارتها اللجنة والشواغل التي أعربت عنها أثناء النظر في التقرير.</w:t>
      </w:r>
    </w:p>
    <w:p w:rsidR="00266725" w:rsidRPr="00016640" w:rsidRDefault="00A83CF9" w:rsidP="00A83CF9">
      <w:pPr>
        <w:pStyle w:val="H23GA"/>
        <w:tabs>
          <w:tab w:val="left" w:pos="1940"/>
        </w:tabs>
        <w:rPr>
          <w:rFonts w:hint="cs"/>
          <w:rtl/>
        </w:rPr>
      </w:pPr>
      <w:r>
        <w:rPr>
          <w:rFonts w:hint="cs"/>
          <w:rtl/>
        </w:rPr>
        <w:tab/>
      </w:r>
      <w:r>
        <w:rPr>
          <w:rFonts w:hint="cs"/>
          <w:rtl/>
        </w:rPr>
        <w:tab/>
      </w:r>
      <w:r w:rsidR="00266725" w:rsidRPr="00016640">
        <w:rPr>
          <w:rFonts w:hint="cs"/>
          <w:rtl/>
        </w:rPr>
        <w:t>باء-</w:t>
      </w:r>
      <w:r w:rsidR="00266725" w:rsidRPr="00016640">
        <w:rPr>
          <w:rFonts w:hint="cs"/>
          <w:rtl/>
        </w:rPr>
        <w:tab/>
        <w:t>الجوانب الإيجابية</w:t>
      </w:r>
    </w:p>
    <w:p w:rsidR="00266725" w:rsidRDefault="00016640" w:rsidP="00016640">
      <w:pPr>
        <w:pStyle w:val="SingleTxtGA"/>
        <w:spacing w:line="360" w:lineRule="exact"/>
        <w:rPr>
          <w:rFonts w:hint="cs"/>
          <w:rtl/>
        </w:rPr>
      </w:pPr>
      <w:r>
        <w:rPr>
          <w:rFonts w:hint="cs"/>
          <w:rtl/>
        </w:rPr>
        <w:t>(</w:t>
      </w:r>
      <w:r w:rsidR="00266725">
        <w:rPr>
          <w:rFonts w:hint="cs"/>
          <w:rtl/>
        </w:rPr>
        <w:t>4</w:t>
      </w:r>
      <w:r>
        <w:rPr>
          <w:rFonts w:hint="cs"/>
          <w:rtl/>
        </w:rPr>
        <w:t>)</w:t>
      </w:r>
      <w:r w:rsidR="00266725" w:rsidRPr="00133788">
        <w:rPr>
          <w:rtl/>
        </w:rPr>
        <w:tab/>
      </w:r>
      <w:r w:rsidR="00266725" w:rsidRPr="00133788">
        <w:rPr>
          <w:rFonts w:hint="cs"/>
          <w:rtl/>
        </w:rPr>
        <w:t>تلاحظ</w:t>
      </w:r>
      <w:r w:rsidR="00266725" w:rsidRPr="00133788">
        <w:rPr>
          <w:rtl/>
        </w:rPr>
        <w:t xml:space="preserve"> </w:t>
      </w:r>
      <w:r w:rsidR="00266725" w:rsidRPr="00133788">
        <w:rPr>
          <w:rFonts w:hint="cs"/>
          <w:rtl/>
        </w:rPr>
        <w:t>اللجنة</w:t>
      </w:r>
      <w:r w:rsidR="00266725" w:rsidRPr="00133788">
        <w:rPr>
          <w:rtl/>
        </w:rPr>
        <w:t xml:space="preserve"> </w:t>
      </w:r>
      <w:r w:rsidR="00266725">
        <w:rPr>
          <w:rFonts w:hint="cs"/>
          <w:rtl/>
        </w:rPr>
        <w:t>ب</w:t>
      </w:r>
      <w:r w:rsidR="00266725" w:rsidRPr="00133788">
        <w:rPr>
          <w:rFonts w:hint="cs"/>
          <w:rtl/>
        </w:rPr>
        <w:t>ارتياح</w:t>
      </w:r>
      <w:r w:rsidR="00266725" w:rsidRPr="00133788">
        <w:rPr>
          <w:rtl/>
        </w:rPr>
        <w:t xml:space="preserve"> </w:t>
      </w:r>
      <w:r w:rsidR="00266725" w:rsidRPr="00133788">
        <w:rPr>
          <w:rFonts w:hint="cs"/>
          <w:rtl/>
        </w:rPr>
        <w:t>شتى</w:t>
      </w:r>
      <w:r w:rsidR="00266725" w:rsidRPr="00133788">
        <w:rPr>
          <w:rtl/>
        </w:rPr>
        <w:t xml:space="preserve"> </w:t>
      </w:r>
      <w:r w:rsidR="00266725" w:rsidRPr="00133788">
        <w:rPr>
          <w:rFonts w:hint="cs"/>
          <w:rtl/>
        </w:rPr>
        <w:t>التدابير</w:t>
      </w:r>
      <w:r w:rsidR="00266725" w:rsidRPr="00133788">
        <w:rPr>
          <w:rtl/>
        </w:rPr>
        <w:t xml:space="preserve"> </w:t>
      </w:r>
      <w:r w:rsidR="00266725" w:rsidRPr="00133788">
        <w:rPr>
          <w:rFonts w:hint="cs"/>
          <w:rtl/>
        </w:rPr>
        <w:t>التي</w:t>
      </w:r>
      <w:r w:rsidR="00266725" w:rsidRPr="00133788">
        <w:rPr>
          <w:rtl/>
        </w:rPr>
        <w:t xml:space="preserve"> </w:t>
      </w:r>
      <w:r w:rsidR="00266725" w:rsidRPr="00133788">
        <w:rPr>
          <w:rFonts w:hint="cs"/>
          <w:rtl/>
        </w:rPr>
        <w:t>اتخذتها</w:t>
      </w:r>
      <w:r w:rsidR="00266725" w:rsidRPr="00133788">
        <w:rPr>
          <w:rtl/>
        </w:rPr>
        <w:t xml:space="preserve"> </w:t>
      </w:r>
      <w:r w:rsidR="00266725" w:rsidRPr="00133788">
        <w:rPr>
          <w:rFonts w:hint="cs"/>
          <w:rtl/>
        </w:rPr>
        <w:t>الدولة</w:t>
      </w:r>
      <w:r w:rsidR="00266725" w:rsidRPr="00133788">
        <w:rPr>
          <w:rtl/>
        </w:rPr>
        <w:t xml:space="preserve"> </w:t>
      </w:r>
      <w:r w:rsidR="00266725" w:rsidRPr="00133788">
        <w:rPr>
          <w:rFonts w:hint="cs"/>
          <w:rtl/>
        </w:rPr>
        <w:t>الطرف</w:t>
      </w:r>
      <w:r w:rsidR="00266725">
        <w:rPr>
          <w:rFonts w:hint="cs"/>
          <w:rtl/>
        </w:rPr>
        <w:t xml:space="preserve"> لتنفيذ معايير الاتفاقية في السياسات المحلية، ولضمان حق الأشخاص في</w:t>
      </w:r>
      <w:r w:rsidR="00266725" w:rsidRPr="00514329">
        <w:rPr>
          <w:rtl/>
        </w:rPr>
        <w:t xml:space="preserve"> </w:t>
      </w:r>
      <w:r w:rsidR="00266725" w:rsidRPr="00514329">
        <w:rPr>
          <w:rFonts w:hint="cs"/>
          <w:rtl/>
        </w:rPr>
        <w:t>عدم</w:t>
      </w:r>
      <w:r w:rsidR="00266725" w:rsidRPr="00514329">
        <w:rPr>
          <w:rtl/>
        </w:rPr>
        <w:t xml:space="preserve"> </w:t>
      </w:r>
      <w:r w:rsidR="00266725" w:rsidRPr="00514329">
        <w:rPr>
          <w:rFonts w:hint="cs"/>
          <w:rtl/>
        </w:rPr>
        <w:t>التعرض</w:t>
      </w:r>
      <w:r w:rsidR="00266725" w:rsidRPr="00514329">
        <w:rPr>
          <w:rtl/>
        </w:rPr>
        <w:t xml:space="preserve"> </w:t>
      </w:r>
      <w:r w:rsidR="00266725" w:rsidRPr="00514329">
        <w:rPr>
          <w:rFonts w:hint="cs"/>
          <w:rtl/>
        </w:rPr>
        <w:t>للتعذيب</w:t>
      </w:r>
      <w:r w:rsidR="00266725" w:rsidRPr="00514329">
        <w:rPr>
          <w:rtl/>
        </w:rPr>
        <w:t xml:space="preserve"> </w:t>
      </w:r>
      <w:r w:rsidR="00266725" w:rsidRPr="00514329">
        <w:rPr>
          <w:rFonts w:hint="cs"/>
          <w:rtl/>
        </w:rPr>
        <w:t>وغيره</w:t>
      </w:r>
      <w:r w:rsidR="00266725" w:rsidRPr="00514329">
        <w:rPr>
          <w:rtl/>
        </w:rPr>
        <w:t xml:space="preserve"> </w:t>
      </w:r>
      <w:r w:rsidR="00266725" w:rsidRPr="00514329">
        <w:rPr>
          <w:rFonts w:hint="cs"/>
          <w:rtl/>
        </w:rPr>
        <w:t>من</w:t>
      </w:r>
      <w:r w:rsidR="00266725" w:rsidRPr="00514329">
        <w:rPr>
          <w:rtl/>
        </w:rPr>
        <w:t xml:space="preserve"> </w:t>
      </w:r>
      <w:r w:rsidR="00266725" w:rsidRPr="00514329">
        <w:rPr>
          <w:rFonts w:hint="cs"/>
          <w:rtl/>
        </w:rPr>
        <w:t>ضروب</w:t>
      </w:r>
      <w:r w:rsidR="00266725" w:rsidRPr="00514329">
        <w:rPr>
          <w:rtl/>
        </w:rPr>
        <w:t xml:space="preserve"> </w:t>
      </w:r>
      <w:r w:rsidR="00266725" w:rsidRPr="00514329">
        <w:rPr>
          <w:rFonts w:hint="cs"/>
          <w:rtl/>
        </w:rPr>
        <w:t>المعاملة</w:t>
      </w:r>
      <w:r w:rsidR="00266725" w:rsidRPr="00514329">
        <w:rPr>
          <w:rtl/>
        </w:rPr>
        <w:t xml:space="preserve"> </w:t>
      </w:r>
      <w:r w:rsidR="00266725" w:rsidRPr="00514329">
        <w:rPr>
          <w:rFonts w:hint="cs"/>
          <w:rtl/>
        </w:rPr>
        <w:t>أو</w:t>
      </w:r>
      <w:r w:rsidR="00266725" w:rsidRPr="00514329">
        <w:rPr>
          <w:rtl/>
        </w:rPr>
        <w:t xml:space="preserve"> </w:t>
      </w:r>
      <w:r w:rsidR="00266725" w:rsidRPr="00514329">
        <w:rPr>
          <w:rFonts w:hint="cs"/>
          <w:rtl/>
        </w:rPr>
        <w:t>العقوبة</w:t>
      </w:r>
      <w:r w:rsidR="00266725" w:rsidRPr="00514329">
        <w:rPr>
          <w:rtl/>
        </w:rPr>
        <w:t xml:space="preserve"> </w:t>
      </w:r>
      <w:r w:rsidR="00266725" w:rsidRPr="00514329">
        <w:rPr>
          <w:rFonts w:hint="cs"/>
          <w:rtl/>
        </w:rPr>
        <w:t>القاسية</w:t>
      </w:r>
      <w:r w:rsidR="00266725" w:rsidRPr="00514329">
        <w:rPr>
          <w:rtl/>
        </w:rPr>
        <w:t xml:space="preserve"> </w:t>
      </w:r>
      <w:r w:rsidR="00266725" w:rsidRPr="00514329">
        <w:rPr>
          <w:rFonts w:hint="cs"/>
          <w:rtl/>
        </w:rPr>
        <w:t>أو</w:t>
      </w:r>
      <w:r w:rsidR="00266725" w:rsidRPr="00514329">
        <w:rPr>
          <w:rtl/>
        </w:rPr>
        <w:t xml:space="preserve"> </w:t>
      </w:r>
      <w:r w:rsidR="00266725" w:rsidRPr="00514329">
        <w:rPr>
          <w:rFonts w:hint="cs"/>
          <w:rtl/>
        </w:rPr>
        <w:t>اللاإنسانية</w:t>
      </w:r>
      <w:r w:rsidR="00266725" w:rsidRPr="00514329">
        <w:rPr>
          <w:rtl/>
        </w:rPr>
        <w:t xml:space="preserve"> </w:t>
      </w:r>
      <w:r w:rsidR="00266725" w:rsidRPr="00514329">
        <w:rPr>
          <w:rFonts w:hint="cs"/>
          <w:rtl/>
        </w:rPr>
        <w:t>أو</w:t>
      </w:r>
      <w:r w:rsidR="00266725" w:rsidRPr="00514329">
        <w:rPr>
          <w:rtl/>
        </w:rPr>
        <w:t xml:space="preserve"> </w:t>
      </w:r>
      <w:r w:rsidR="00266725" w:rsidRPr="00514329">
        <w:rPr>
          <w:rFonts w:hint="cs"/>
          <w:rtl/>
        </w:rPr>
        <w:t>المهينة</w:t>
      </w:r>
      <w:r w:rsidR="00266725" w:rsidRPr="00514329">
        <w:rPr>
          <w:rtl/>
        </w:rPr>
        <w:t xml:space="preserve"> </w:t>
      </w:r>
      <w:r w:rsidR="00266725" w:rsidRPr="00514329">
        <w:rPr>
          <w:rFonts w:hint="cs"/>
          <w:rtl/>
        </w:rPr>
        <w:t>في</w:t>
      </w:r>
      <w:r w:rsidR="00266725" w:rsidRPr="00514329">
        <w:rPr>
          <w:rtl/>
        </w:rPr>
        <w:t xml:space="preserve"> </w:t>
      </w:r>
      <w:r w:rsidR="00266725" w:rsidRPr="00514329">
        <w:rPr>
          <w:rFonts w:hint="cs"/>
          <w:rtl/>
        </w:rPr>
        <w:t>مملكة</w:t>
      </w:r>
      <w:r w:rsidR="00266725" w:rsidRPr="00514329">
        <w:rPr>
          <w:rtl/>
        </w:rPr>
        <w:t xml:space="preserve"> </w:t>
      </w:r>
      <w:r w:rsidR="00266725" w:rsidRPr="00514329">
        <w:rPr>
          <w:rFonts w:hint="cs"/>
          <w:rtl/>
        </w:rPr>
        <w:t>هولندا</w:t>
      </w:r>
      <w:r w:rsidR="00266725">
        <w:rPr>
          <w:rFonts w:hint="cs"/>
          <w:rtl/>
        </w:rPr>
        <w:t>.</w:t>
      </w:r>
    </w:p>
    <w:p w:rsidR="00266725" w:rsidRDefault="00016640" w:rsidP="00016640">
      <w:pPr>
        <w:pStyle w:val="SingleTxtGA"/>
        <w:spacing w:line="360" w:lineRule="exact"/>
        <w:rPr>
          <w:rFonts w:hint="cs"/>
          <w:rtl/>
        </w:rPr>
      </w:pPr>
      <w:r>
        <w:rPr>
          <w:rFonts w:hint="cs"/>
          <w:rtl/>
        </w:rPr>
        <w:t>(</w:t>
      </w:r>
      <w:r w:rsidR="00266725">
        <w:rPr>
          <w:rFonts w:hint="cs"/>
          <w:rtl/>
        </w:rPr>
        <w:t>5</w:t>
      </w:r>
      <w:r>
        <w:rPr>
          <w:rFonts w:hint="cs"/>
          <w:rtl/>
        </w:rPr>
        <w:t>)</w:t>
      </w:r>
      <w:r w:rsidR="00266725" w:rsidRPr="00133788">
        <w:rPr>
          <w:rtl/>
        </w:rPr>
        <w:tab/>
      </w:r>
      <w:r w:rsidR="00266725" w:rsidRPr="00316FCC">
        <w:rPr>
          <w:rFonts w:hint="cs"/>
          <w:rtl/>
        </w:rPr>
        <w:t>وترحب</w:t>
      </w:r>
      <w:r w:rsidR="00266725" w:rsidRPr="00316FCC">
        <w:rPr>
          <w:rtl/>
        </w:rPr>
        <w:t xml:space="preserve"> </w:t>
      </w:r>
      <w:r w:rsidR="00266725" w:rsidRPr="00316FCC">
        <w:rPr>
          <w:rFonts w:hint="cs"/>
          <w:rtl/>
        </w:rPr>
        <w:t>اللجنة</w:t>
      </w:r>
      <w:r w:rsidR="00266725" w:rsidRPr="00316FCC">
        <w:rPr>
          <w:rtl/>
        </w:rPr>
        <w:t xml:space="preserve"> </w:t>
      </w:r>
      <w:r w:rsidR="00266725" w:rsidRPr="00316FCC">
        <w:rPr>
          <w:rFonts w:hint="cs"/>
          <w:rtl/>
        </w:rPr>
        <w:t>بتصديق</w:t>
      </w:r>
      <w:r w:rsidR="00266725" w:rsidRPr="00316FCC">
        <w:rPr>
          <w:rtl/>
        </w:rPr>
        <w:t xml:space="preserve"> </w:t>
      </w:r>
      <w:r w:rsidR="00266725" w:rsidRPr="00316FCC">
        <w:rPr>
          <w:rFonts w:hint="cs"/>
          <w:rtl/>
        </w:rPr>
        <w:t>الدولة</w:t>
      </w:r>
      <w:r w:rsidR="00266725" w:rsidRPr="00316FCC">
        <w:rPr>
          <w:rtl/>
        </w:rPr>
        <w:t xml:space="preserve"> </w:t>
      </w:r>
      <w:r w:rsidR="00266725" w:rsidRPr="00316FCC">
        <w:rPr>
          <w:rFonts w:hint="cs"/>
          <w:rtl/>
        </w:rPr>
        <w:t>الطرف</w:t>
      </w:r>
      <w:r w:rsidR="00266725" w:rsidRPr="00316FCC">
        <w:rPr>
          <w:rtl/>
        </w:rPr>
        <w:t xml:space="preserve"> </w:t>
      </w:r>
      <w:r w:rsidR="00266725" w:rsidRPr="00316FCC">
        <w:rPr>
          <w:rFonts w:hint="cs"/>
          <w:rtl/>
        </w:rPr>
        <w:t>على</w:t>
      </w:r>
      <w:r w:rsidR="00266725" w:rsidRPr="00316FCC">
        <w:rPr>
          <w:rtl/>
        </w:rPr>
        <w:t xml:space="preserve"> </w:t>
      </w:r>
      <w:r w:rsidR="00266725" w:rsidRPr="00316FCC">
        <w:rPr>
          <w:rFonts w:hint="cs"/>
          <w:rtl/>
        </w:rPr>
        <w:t>الصكوك</w:t>
      </w:r>
      <w:r w:rsidR="00266725" w:rsidRPr="00316FCC">
        <w:rPr>
          <w:rtl/>
        </w:rPr>
        <w:t xml:space="preserve"> </w:t>
      </w:r>
      <w:r w:rsidR="00266725" w:rsidRPr="00316FCC">
        <w:rPr>
          <w:rFonts w:hint="cs"/>
          <w:rtl/>
        </w:rPr>
        <w:t>الدولية</w:t>
      </w:r>
      <w:r w:rsidR="00266725" w:rsidRPr="00316FCC">
        <w:rPr>
          <w:rtl/>
        </w:rPr>
        <w:t xml:space="preserve"> </w:t>
      </w:r>
      <w:r w:rsidR="00266725" w:rsidRPr="00316FCC">
        <w:rPr>
          <w:rFonts w:hint="cs"/>
          <w:rtl/>
        </w:rPr>
        <w:t>التالية</w:t>
      </w:r>
      <w:r w:rsidR="00266725">
        <w:rPr>
          <w:rFonts w:hint="cs"/>
          <w:rtl/>
        </w:rPr>
        <w:t>:</w:t>
      </w:r>
    </w:p>
    <w:p w:rsidR="00266725" w:rsidRDefault="00266725" w:rsidP="00266725">
      <w:pPr>
        <w:pStyle w:val="SingleTxtGA"/>
        <w:spacing w:line="360" w:lineRule="exact"/>
        <w:rPr>
          <w:rtl/>
        </w:rPr>
      </w:pPr>
      <w:r>
        <w:rPr>
          <w:rtl/>
        </w:rPr>
        <w:tab/>
        <w:t>(أ)</w:t>
      </w:r>
      <w:r>
        <w:rPr>
          <w:rtl/>
        </w:rPr>
        <w:tab/>
        <w:t>البروتوكول الاختياري لاتفاقية حقوق الطفل المتعلق بإشراك الأطفال في النزاعات المسلحة، في 24 أيلول/سبتمبر 2009؛</w:t>
      </w:r>
    </w:p>
    <w:p w:rsidR="00266725" w:rsidRDefault="00266725" w:rsidP="00266725">
      <w:pPr>
        <w:pStyle w:val="SingleTxtGA"/>
        <w:spacing w:line="360" w:lineRule="exact"/>
        <w:rPr>
          <w:rtl/>
        </w:rPr>
      </w:pPr>
      <w:r>
        <w:rPr>
          <w:rtl/>
        </w:rPr>
        <w:tab/>
        <w:t>(ب)</w:t>
      </w:r>
      <w:r>
        <w:rPr>
          <w:rtl/>
        </w:rPr>
        <w:tab/>
        <w:t>البروتوكول الاختياري لاتفاقية مناهضة التعذيب وغيره من ضروب المعاملة أو العقوبة القاسية أو اللاإنسانية أو المهينة، في 28 أيلول/سبتمبر 2010؛</w:t>
      </w:r>
    </w:p>
    <w:p w:rsidR="00266725" w:rsidRDefault="00266725" w:rsidP="00A83CF9">
      <w:pPr>
        <w:pStyle w:val="SingleTxtGA"/>
        <w:spacing w:line="360" w:lineRule="exact"/>
        <w:rPr>
          <w:rFonts w:hint="cs"/>
        </w:rPr>
      </w:pPr>
      <w:r>
        <w:rPr>
          <w:rtl/>
        </w:rPr>
        <w:tab/>
        <w:t>(ج)</w:t>
      </w:r>
      <w:r>
        <w:rPr>
          <w:rtl/>
        </w:rPr>
        <w:tab/>
        <w:t>الاتفاقية الدولية لحماية جميع الأشخاص من الاختفاء القسري، في 23 آذار/مارس 2011</w:t>
      </w:r>
      <w:r>
        <w:rPr>
          <w:rFonts w:hint="cs"/>
          <w:rtl/>
        </w:rPr>
        <w:t>.</w:t>
      </w:r>
    </w:p>
    <w:p w:rsidR="00266725" w:rsidRDefault="00016640" w:rsidP="00A83CF9">
      <w:pPr>
        <w:pStyle w:val="SingleTxtGA"/>
        <w:spacing w:line="360" w:lineRule="exact"/>
        <w:rPr>
          <w:rFonts w:hint="cs"/>
          <w:rtl/>
        </w:rPr>
      </w:pPr>
      <w:r>
        <w:rPr>
          <w:rFonts w:hint="cs"/>
          <w:rtl/>
        </w:rPr>
        <w:t>(</w:t>
      </w:r>
      <w:r w:rsidR="00266725">
        <w:rPr>
          <w:rFonts w:hint="cs"/>
          <w:rtl/>
        </w:rPr>
        <w:t>6</w:t>
      </w:r>
      <w:r>
        <w:rPr>
          <w:rFonts w:hint="cs"/>
          <w:rtl/>
        </w:rPr>
        <w:t>)</w:t>
      </w:r>
      <w:r w:rsidR="00266725" w:rsidRPr="00133788">
        <w:rPr>
          <w:rtl/>
        </w:rPr>
        <w:tab/>
      </w:r>
      <w:r w:rsidR="00266725" w:rsidRPr="006B5BA0">
        <w:rPr>
          <w:rFonts w:hint="cs"/>
          <w:rtl/>
        </w:rPr>
        <w:t>وترحب</w:t>
      </w:r>
      <w:r w:rsidR="00266725" w:rsidRPr="006B5BA0">
        <w:rPr>
          <w:rtl/>
        </w:rPr>
        <w:t xml:space="preserve"> </w:t>
      </w:r>
      <w:r w:rsidR="00266725" w:rsidRPr="006B5BA0">
        <w:rPr>
          <w:rFonts w:hint="cs"/>
          <w:rtl/>
        </w:rPr>
        <w:t>اللجنة</w:t>
      </w:r>
      <w:r w:rsidR="00266725" w:rsidRPr="006B5BA0">
        <w:rPr>
          <w:rtl/>
        </w:rPr>
        <w:t xml:space="preserve"> </w:t>
      </w:r>
      <w:r w:rsidR="00266725" w:rsidRPr="006B5BA0">
        <w:rPr>
          <w:rFonts w:hint="cs"/>
          <w:rtl/>
        </w:rPr>
        <w:t>بسنّ</w:t>
      </w:r>
      <w:r w:rsidR="00266725" w:rsidRPr="006B5BA0">
        <w:rPr>
          <w:rtl/>
        </w:rPr>
        <w:t xml:space="preserve"> </w:t>
      </w:r>
      <w:r w:rsidR="00266725" w:rsidRPr="006B5BA0">
        <w:rPr>
          <w:rFonts w:hint="cs"/>
          <w:rtl/>
        </w:rPr>
        <w:t>التشريعات</w:t>
      </w:r>
      <w:r w:rsidR="00266725" w:rsidRPr="006B5BA0">
        <w:rPr>
          <w:rtl/>
        </w:rPr>
        <w:t xml:space="preserve"> </w:t>
      </w:r>
      <w:r w:rsidR="00266725" w:rsidRPr="006B5BA0">
        <w:rPr>
          <w:rFonts w:hint="cs"/>
          <w:rtl/>
        </w:rPr>
        <w:t>التالية</w:t>
      </w:r>
      <w:r w:rsidR="00266725" w:rsidRPr="006B5BA0">
        <w:rPr>
          <w:rtl/>
        </w:rPr>
        <w:t>:</w:t>
      </w:r>
    </w:p>
    <w:p w:rsidR="00266725" w:rsidRDefault="00266725" w:rsidP="00A83CF9">
      <w:pPr>
        <w:pStyle w:val="SingleTxtGA"/>
        <w:spacing w:line="360" w:lineRule="exact"/>
        <w:rPr>
          <w:rFonts w:hint="cs"/>
        </w:rPr>
      </w:pPr>
      <w:r>
        <w:rPr>
          <w:rtl/>
        </w:rPr>
        <w:tab/>
      </w:r>
      <w:r>
        <w:rPr>
          <w:rFonts w:hint="cs"/>
          <w:rtl/>
        </w:rPr>
        <w:t>(أ)</w:t>
      </w:r>
      <w:r>
        <w:rPr>
          <w:rFonts w:hint="cs"/>
          <w:rtl/>
        </w:rPr>
        <w:tab/>
        <w:t xml:space="preserve">اعتماد تشريع جديد لتجريم الاتجار بالبشر في </w:t>
      </w:r>
      <w:r w:rsidRPr="00AC6F1A">
        <w:rPr>
          <w:rFonts w:hint="cs"/>
          <w:rtl/>
        </w:rPr>
        <w:t>كوراكاو</w:t>
      </w:r>
      <w:r>
        <w:rPr>
          <w:rFonts w:hint="cs"/>
          <w:rtl/>
        </w:rPr>
        <w:t>، في عام 2011؛</w:t>
      </w:r>
    </w:p>
    <w:p w:rsidR="00266725" w:rsidRDefault="00266725" w:rsidP="00A83CF9">
      <w:pPr>
        <w:pStyle w:val="SingleTxtGA"/>
        <w:spacing w:line="360" w:lineRule="exact"/>
        <w:rPr>
          <w:rFonts w:hint="cs"/>
        </w:rPr>
      </w:pPr>
      <w:r>
        <w:rPr>
          <w:rtl/>
        </w:rPr>
        <w:tab/>
      </w:r>
      <w:r>
        <w:rPr>
          <w:rFonts w:hint="cs"/>
          <w:rtl/>
        </w:rPr>
        <w:t>(ب)</w:t>
      </w:r>
      <w:r>
        <w:rPr>
          <w:rFonts w:hint="cs"/>
          <w:rtl/>
        </w:rPr>
        <w:tab/>
        <w:t>بدء نفاذ قانون العقوبات الجديد ل</w:t>
      </w:r>
      <w:r w:rsidRPr="00AC6F1A">
        <w:rPr>
          <w:rFonts w:hint="cs"/>
          <w:rtl/>
        </w:rPr>
        <w:t>كوراكاو</w:t>
      </w:r>
      <w:r>
        <w:rPr>
          <w:rFonts w:hint="cs"/>
          <w:rtl/>
        </w:rPr>
        <w:t xml:space="preserve"> في 15 تشرين الثاني/ نوفمبر</w:t>
      </w:r>
      <w:r>
        <w:rPr>
          <w:rFonts w:hint="eastAsia"/>
          <w:rtl/>
        </w:rPr>
        <w:t> </w:t>
      </w:r>
      <w:r>
        <w:rPr>
          <w:rFonts w:hint="cs"/>
          <w:rtl/>
        </w:rPr>
        <w:t>2011؛</w:t>
      </w:r>
    </w:p>
    <w:p w:rsidR="00266725" w:rsidRPr="002F359C" w:rsidRDefault="00266725" w:rsidP="00A83CF9">
      <w:pPr>
        <w:pStyle w:val="SingleTxtGA"/>
        <w:spacing w:line="360" w:lineRule="exact"/>
        <w:rPr>
          <w:rFonts w:hint="cs"/>
          <w:spacing w:val="-4"/>
        </w:rPr>
      </w:pPr>
      <w:r w:rsidRPr="002F359C">
        <w:rPr>
          <w:spacing w:val="-4"/>
          <w:rtl/>
        </w:rPr>
        <w:tab/>
      </w:r>
      <w:r w:rsidRPr="002F359C">
        <w:rPr>
          <w:rFonts w:hint="cs"/>
          <w:spacing w:val="-4"/>
          <w:rtl/>
        </w:rPr>
        <w:t>(ج)</w:t>
      </w:r>
      <w:r w:rsidRPr="002F359C">
        <w:rPr>
          <w:rFonts w:hint="cs"/>
          <w:spacing w:val="-4"/>
          <w:rtl/>
        </w:rPr>
        <w:tab/>
        <w:t>اعتماد القانون الجنائي الجديد في أروبا في نيسان/أبريل 2012، بما في ذلك اعتماد نظام قضاء الأحداث الجديد الذي ينص على اتخاذ تدابير تعليمية وعلى معاملة الأحداث</w:t>
      </w:r>
      <w:r>
        <w:rPr>
          <w:rFonts w:hint="cs"/>
          <w:spacing w:val="-4"/>
          <w:rtl/>
        </w:rPr>
        <w:t>.</w:t>
      </w:r>
    </w:p>
    <w:p w:rsidR="00266725" w:rsidRDefault="00016640" w:rsidP="00A83CF9">
      <w:pPr>
        <w:pStyle w:val="SingleTxtGA"/>
        <w:spacing w:line="360" w:lineRule="exact"/>
        <w:rPr>
          <w:rFonts w:hint="cs"/>
          <w:rtl/>
        </w:rPr>
      </w:pPr>
      <w:r>
        <w:rPr>
          <w:rFonts w:hint="cs"/>
          <w:rtl/>
        </w:rPr>
        <w:t>(</w:t>
      </w:r>
      <w:r w:rsidR="00266725">
        <w:rPr>
          <w:rFonts w:hint="cs"/>
          <w:rtl/>
        </w:rPr>
        <w:t>7</w:t>
      </w:r>
      <w:r>
        <w:rPr>
          <w:rFonts w:hint="cs"/>
          <w:rtl/>
        </w:rPr>
        <w:t>)</w:t>
      </w:r>
      <w:r w:rsidR="00266725" w:rsidRPr="00133788">
        <w:rPr>
          <w:rtl/>
        </w:rPr>
        <w:tab/>
      </w:r>
      <w:r w:rsidR="00266725">
        <w:rPr>
          <w:rFonts w:hint="cs"/>
          <w:rtl/>
        </w:rPr>
        <w:t>وترحب اللجنة أيضاً باعتماد التدابير الإدارية وغير الإدارية التالية:</w:t>
      </w:r>
    </w:p>
    <w:p w:rsidR="00266725" w:rsidRDefault="00266725" w:rsidP="00A83CF9">
      <w:pPr>
        <w:pStyle w:val="SingleTxtGA"/>
        <w:spacing w:line="360" w:lineRule="exact"/>
        <w:rPr>
          <w:rFonts w:hint="cs"/>
        </w:rPr>
      </w:pPr>
      <w:r>
        <w:rPr>
          <w:rtl/>
        </w:rPr>
        <w:tab/>
      </w:r>
      <w:r>
        <w:rPr>
          <w:rFonts w:hint="cs"/>
          <w:rtl/>
        </w:rPr>
        <w:t>(أ)</w:t>
      </w:r>
      <w:r>
        <w:rPr>
          <w:rFonts w:hint="cs"/>
          <w:rtl/>
        </w:rPr>
        <w:tab/>
        <w:t xml:space="preserve">إنشاء </w:t>
      </w:r>
      <w:r w:rsidRPr="00861765">
        <w:rPr>
          <w:rFonts w:hint="cs"/>
          <w:rtl/>
        </w:rPr>
        <w:t>فرقة</w:t>
      </w:r>
      <w:r w:rsidRPr="00861765">
        <w:rPr>
          <w:rtl/>
        </w:rPr>
        <w:t xml:space="preserve"> </w:t>
      </w:r>
      <w:r w:rsidRPr="00861765">
        <w:rPr>
          <w:rFonts w:hint="cs"/>
          <w:rtl/>
        </w:rPr>
        <w:t>عمل</w:t>
      </w:r>
      <w:r w:rsidRPr="00861765">
        <w:rPr>
          <w:rtl/>
        </w:rPr>
        <w:t xml:space="preserve"> </w:t>
      </w:r>
      <w:r>
        <w:rPr>
          <w:rFonts w:hint="cs"/>
          <w:rtl/>
        </w:rPr>
        <w:t xml:space="preserve">في عام 2007 </w:t>
      </w:r>
      <w:r w:rsidRPr="00861765">
        <w:rPr>
          <w:rFonts w:hint="cs"/>
          <w:rtl/>
        </w:rPr>
        <w:t>مشتركة</w:t>
      </w:r>
      <w:r w:rsidRPr="00861765">
        <w:rPr>
          <w:rtl/>
        </w:rPr>
        <w:t xml:space="preserve"> </w:t>
      </w:r>
      <w:r w:rsidRPr="00861765">
        <w:rPr>
          <w:rFonts w:hint="cs"/>
          <w:rtl/>
        </w:rPr>
        <w:t>بين</w:t>
      </w:r>
      <w:r w:rsidRPr="00861765">
        <w:rPr>
          <w:rtl/>
        </w:rPr>
        <w:t xml:space="preserve"> </w:t>
      </w:r>
      <w:r w:rsidRPr="00861765">
        <w:rPr>
          <w:rFonts w:hint="cs"/>
          <w:rtl/>
        </w:rPr>
        <w:t>الإدارات</w:t>
      </w:r>
      <w:r>
        <w:rPr>
          <w:rFonts w:hint="cs"/>
          <w:rtl/>
        </w:rPr>
        <w:t xml:space="preserve"> ومتعددة التخصصات لمناهضة </w:t>
      </w:r>
      <w:r w:rsidRPr="00FC095A">
        <w:rPr>
          <w:rFonts w:hint="cs"/>
          <w:rtl/>
        </w:rPr>
        <w:t>الاتجار</w:t>
      </w:r>
      <w:r w:rsidRPr="00FC095A">
        <w:rPr>
          <w:rtl/>
        </w:rPr>
        <w:t xml:space="preserve"> </w:t>
      </w:r>
      <w:r w:rsidRPr="00FC095A">
        <w:rPr>
          <w:rFonts w:hint="cs"/>
          <w:rtl/>
        </w:rPr>
        <w:t>في</w:t>
      </w:r>
      <w:r w:rsidRPr="00FC095A">
        <w:rPr>
          <w:rtl/>
        </w:rPr>
        <w:t xml:space="preserve"> </w:t>
      </w:r>
      <w:r w:rsidRPr="00FC095A">
        <w:rPr>
          <w:rFonts w:hint="cs"/>
          <w:rtl/>
        </w:rPr>
        <w:t>الأشخاص</w:t>
      </w:r>
      <w:r w:rsidRPr="00FC095A">
        <w:rPr>
          <w:rtl/>
        </w:rPr>
        <w:t xml:space="preserve"> </w:t>
      </w:r>
      <w:r>
        <w:rPr>
          <w:rFonts w:hint="cs"/>
          <w:rtl/>
        </w:rPr>
        <w:t>وتهريبهم في أروبا، ثم اعتماد خطة عمل شاملة لمكافحة الاتجار بالبشر؛</w:t>
      </w:r>
    </w:p>
    <w:p w:rsidR="00266725" w:rsidRDefault="00266725" w:rsidP="00A83CF9">
      <w:pPr>
        <w:pStyle w:val="SingleTxtGA"/>
        <w:spacing w:line="360" w:lineRule="exact"/>
        <w:rPr>
          <w:rFonts w:hint="cs"/>
        </w:rPr>
      </w:pPr>
      <w:r>
        <w:rPr>
          <w:rtl/>
        </w:rPr>
        <w:tab/>
      </w:r>
      <w:r>
        <w:rPr>
          <w:rFonts w:hint="cs"/>
          <w:rtl/>
        </w:rPr>
        <w:t>(ب)</w:t>
      </w:r>
      <w:r>
        <w:rPr>
          <w:rFonts w:hint="cs"/>
          <w:rtl/>
        </w:rPr>
        <w:tab/>
        <w:t xml:space="preserve">تنقيح نظام الشرطة المتعلق بالمحتجزين في أروبا في شباط/فبراير 2012، بحيث يحدد الساعات المنصوص عليها قانوناً لمقابلة محام منتدب من المحكمة، لضمان الحق في استشارة محام حتى قبل المقابلة الأولى مع الشرطة، وفقاً لحكم </w:t>
      </w:r>
      <w:r w:rsidRPr="00084E56">
        <w:rPr>
          <w:rFonts w:hint="cs"/>
          <w:rtl/>
        </w:rPr>
        <w:t>سلدوز</w:t>
      </w:r>
      <w:r>
        <w:rPr>
          <w:rFonts w:hint="cs"/>
          <w:rtl/>
        </w:rPr>
        <w:t xml:space="preserve"> (رقم 02/36391) الصادر عن المحكمة الأوروبية لحقوق الإنسان؛</w:t>
      </w:r>
    </w:p>
    <w:p w:rsidR="00266725" w:rsidRDefault="00266725" w:rsidP="00A83CF9">
      <w:pPr>
        <w:pStyle w:val="SingleTxtGA"/>
        <w:spacing w:line="360" w:lineRule="exact"/>
        <w:rPr>
          <w:rFonts w:hint="cs"/>
        </w:rPr>
      </w:pPr>
      <w:r>
        <w:rPr>
          <w:rtl/>
        </w:rPr>
        <w:tab/>
      </w:r>
      <w:r>
        <w:rPr>
          <w:rFonts w:hint="cs"/>
          <w:rtl/>
        </w:rPr>
        <w:t>(ج)</w:t>
      </w:r>
      <w:r>
        <w:rPr>
          <w:rFonts w:hint="cs"/>
          <w:rtl/>
        </w:rPr>
        <w:tab/>
        <w:t xml:space="preserve">اعتماد تعليمات بشأن استخدام القوة من جانب العاملين في السجون في </w:t>
      </w:r>
      <w:r w:rsidRPr="00AC6F1A">
        <w:rPr>
          <w:rFonts w:hint="cs"/>
          <w:rtl/>
        </w:rPr>
        <w:t>أروبا</w:t>
      </w:r>
      <w:r>
        <w:rPr>
          <w:rFonts w:hint="cs"/>
          <w:rtl/>
        </w:rPr>
        <w:t xml:space="preserve"> في عام</w:t>
      </w:r>
      <w:r>
        <w:rPr>
          <w:rFonts w:hint="eastAsia"/>
          <w:rtl/>
        </w:rPr>
        <w:t> </w:t>
      </w:r>
      <w:r>
        <w:rPr>
          <w:rFonts w:hint="cs"/>
          <w:rtl/>
        </w:rPr>
        <w:t>2012؛</w:t>
      </w:r>
    </w:p>
    <w:p w:rsidR="00266725" w:rsidRDefault="00266725" w:rsidP="00A83CF9">
      <w:pPr>
        <w:pStyle w:val="SingleTxtGA"/>
        <w:spacing w:line="360" w:lineRule="exact"/>
        <w:rPr>
          <w:rFonts w:hint="cs"/>
        </w:rPr>
      </w:pPr>
      <w:r>
        <w:rPr>
          <w:rtl/>
        </w:rPr>
        <w:tab/>
      </w:r>
      <w:r>
        <w:rPr>
          <w:rFonts w:hint="cs"/>
          <w:rtl/>
        </w:rPr>
        <w:t>(د)</w:t>
      </w:r>
      <w:r>
        <w:rPr>
          <w:rFonts w:hint="cs"/>
          <w:rtl/>
        </w:rPr>
        <w:tab/>
        <w:t>تمديد ولاية المقرر الوطني المعني بالاتجار بالبشر وبالعنف الجنسي ضد الأطفال في عام 2012، لتغطية كافة أشكال العنف الجنسي ضد الأطفال في الجزء الأوروبي من هولندا؛</w:t>
      </w:r>
    </w:p>
    <w:p w:rsidR="00266725" w:rsidRDefault="00266725" w:rsidP="00A83CF9">
      <w:pPr>
        <w:pStyle w:val="SingleTxtGA"/>
        <w:spacing w:line="360" w:lineRule="exact"/>
        <w:rPr>
          <w:rtl/>
        </w:rPr>
      </w:pPr>
      <w:r>
        <w:rPr>
          <w:rtl/>
        </w:rPr>
        <w:tab/>
        <w:t>(</w:t>
      </w:r>
      <w:r>
        <w:rPr>
          <w:rFonts w:hint="cs"/>
          <w:rtl/>
        </w:rPr>
        <w:t>ﻫ</w:t>
      </w:r>
      <w:r>
        <w:rPr>
          <w:rtl/>
        </w:rPr>
        <w:t>)</w:t>
      </w:r>
      <w:r>
        <w:rPr>
          <w:rtl/>
        </w:rPr>
        <w:tab/>
        <w:t>إنشاء الآلية الوطنية الوقائية التي أُسندت إليها مهمة العمل كآلية وطنية وقائية مستقلة بموجب البروتوكول الاختياري لاتفاقية مناهضة التعذيب وغيره من ضروب المعاملة أو العقوبة القاسية أو اللاإنسانية أو المهينة، رغم أن اللجنة تبدي بعض التحفظات بشأن عدم استقلا</w:t>
      </w:r>
      <w:r>
        <w:rPr>
          <w:rFonts w:hint="eastAsia"/>
          <w:rtl/>
        </w:rPr>
        <w:t>ل</w:t>
      </w:r>
      <w:r>
        <w:rPr>
          <w:rtl/>
        </w:rPr>
        <w:t xml:space="preserve"> الآلية، وطريقة إنشائها، وقصر مهمتها على الجزء الأوروبي من هولندا، مما قد يؤدي إلى معاملة تفضيلية لبعض الفئات من المواطنين الهولنديين؛</w:t>
      </w:r>
    </w:p>
    <w:p w:rsidR="00266725" w:rsidRDefault="00266725" w:rsidP="00A83CF9">
      <w:pPr>
        <w:pStyle w:val="SingleTxtGA"/>
        <w:spacing w:line="360" w:lineRule="exact"/>
        <w:rPr>
          <w:rtl/>
        </w:rPr>
      </w:pPr>
      <w:r>
        <w:rPr>
          <w:rtl/>
        </w:rPr>
        <w:tab/>
        <w:t>(و)</w:t>
      </w:r>
      <w:r>
        <w:rPr>
          <w:rtl/>
        </w:rPr>
        <w:tab/>
        <w:t>الخطوات التي اتخذتها الحكومة لتحسين جودة إجراءاتها لتحديد وضع اللاجئين، بسبل منها توجيه الاهتمام المتواصل للنظام ورصده؛</w:t>
      </w:r>
    </w:p>
    <w:p w:rsidR="00266725" w:rsidRDefault="00266725" w:rsidP="00A83CF9">
      <w:pPr>
        <w:pStyle w:val="SingleTxtGA"/>
        <w:spacing w:line="360" w:lineRule="exact"/>
        <w:rPr>
          <w:rtl/>
        </w:rPr>
      </w:pPr>
      <w:r>
        <w:rPr>
          <w:rtl/>
        </w:rPr>
        <w:tab/>
        <w:t>(ز)</w:t>
      </w:r>
      <w:r>
        <w:rPr>
          <w:rtl/>
        </w:rPr>
        <w:tab/>
        <w:t>إنشاء مركز لمدمني المخدرات كجزء من نظام العدالة الجنائية في أروبا؛</w:t>
      </w:r>
    </w:p>
    <w:p w:rsidR="00266725" w:rsidRDefault="00266725" w:rsidP="004F4A19">
      <w:pPr>
        <w:pStyle w:val="SingleTxtGA"/>
        <w:rPr>
          <w:rFonts w:hint="cs"/>
        </w:rPr>
      </w:pPr>
      <w:r>
        <w:rPr>
          <w:rtl/>
        </w:rPr>
        <w:tab/>
        <w:t>(ح)</w:t>
      </w:r>
      <w:r>
        <w:rPr>
          <w:rtl/>
        </w:rPr>
        <w:tab/>
        <w:t>تحسين ظروف الاحتجاز عن طريق تجديد وتوسيع مختلف مرافق الاحتجاز والإصلاحيات في كوراكاو.</w:t>
      </w:r>
    </w:p>
    <w:p w:rsidR="00266725" w:rsidRPr="00016640" w:rsidRDefault="00A83CF9" w:rsidP="004F4A19">
      <w:pPr>
        <w:pStyle w:val="H23GA"/>
        <w:tabs>
          <w:tab w:val="left" w:pos="1926"/>
        </w:tabs>
        <w:rPr>
          <w:rFonts w:hint="cs"/>
          <w:rtl/>
        </w:rPr>
      </w:pPr>
      <w:r>
        <w:rPr>
          <w:rFonts w:hint="cs"/>
          <w:rtl/>
        </w:rPr>
        <w:tab/>
      </w:r>
      <w:r>
        <w:rPr>
          <w:rFonts w:hint="cs"/>
          <w:rtl/>
        </w:rPr>
        <w:tab/>
      </w:r>
      <w:r w:rsidR="00266725" w:rsidRPr="00016640">
        <w:rPr>
          <w:rFonts w:hint="cs"/>
          <w:rtl/>
        </w:rPr>
        <w:t>جيم-</w:t>
      </w:r>
      <w:r w:rsidR="00266725" w:rsidRPr="00016640">
        <w:rPr>
          <w:rFonts w:hint="cs"/>
          <w:rtl/>
        </w:rPr>
        <w:tab/>
        <w:t>دواعي القلق الرئيسية والتوصيات</w:t>
      </w:r>
    </w:p>
    <w:p w:rsidR="00266725" w:rsidRPr="00336E3A" w:rsidRDefault="00266725" w:rsidP="004F4A19">
      <w:pPr>
        <w:pStyle w:val="H23GA"/>
        <w:rPr>
          <w:rFonts w:hint="cs"/>
          <w:rtl/>
        </w:rPr>
      </w:pPr>
      <w:r>
        <w:rPr>
          <w:rFonts w:hint="cs"/>
          <w:rtl/>
        </w:rPr>
        <w:tab/>
      </w:r>
      <w:r>
        <w:rPr>
          <w:rFonts w:hint="cs"/>
          <w:rtl/>
        </w:rPr>
        <w:tab/>
      </w:r>
      <w:r w:rsidRPr="00336E3A">
        <w:rPr>
          <w:rtl/>
        </w:rPr>
        <w:t xml:space="preserve">إنفاذ منع التعذيب </w:t>
      </w:r>
      <w:r>
        <w:rPr>
          <w:rFonts w:hint="cs"/>
          <w:rtl/>
        </w:rPr>
        <w:t>وإساءة المعاملة</w:t>
      </w:r>
    </w:p>
    <w:p w:rsidR="00266725" w:rsidRDefault="00016640" w:rsidP="004F4A19">
      <w:pPr>
        <w:pStyle w:val="SingleTxtGA"/>
        <w:rPr>
          <w:rFonts w:hint="cs"/>
          <w:rtl/>
          <w:lang w:bidi="ar-EG"/>
        </w:rPr>
      </w:pPr>
      <w:r>
        <w:rPr>
          <w:rFonts w:hint="cs"/>
          <w:rtl/>
        </w:rPr>
        <w:t>(</w:t>
      </w:r>
      <w:r w:rsidR="00266725">
        <w:rPr>
          <w:rFonts w:hint="cs"/>
          <w:rtl/>
        </w:rPr>
        <w:t>8</w:t>
      </w:r>
      <w:r>
        <w:rPr>
          <w:rFonts w:hint="cs"/>
          <w:rtl/>
        </w:rPr>
        <w:t>)</w:t>
      </w:r>
      <w:r w:rsidR="00266725" w:rsidRPr="00133788">
        <w:rPr>
          <w:rtl/>
        </w:rPr>
        <w:tab/>
      </w:r>
      <w:r w:rsidR="00266725">
        <w:rPr>
          <w:rFonts w:hint="cs"/>
          <w:rtl/>
        </w:rPr>
        <w:t xml:space="preserve">تلاحظ اللجنة توافر البيانات عن </w:t>
      </w:r>
      <w:r w:rsidR="00266725" w:rsidRPr="000E277B">
        <w:rPr>
          <w:rFonts w:hint="cs"/>
          <w:rtl/>
        </w:rPr>
        <w:t>التحقيقات</w:t>
      </w:r>
      <w:r w:rsidR="00266725" w:rsidRPr="000E277B">
        <w:rPr>
          <w:rtl/>
        </w:rPr>
        <w:t xml:space="preserve"> </w:t>
      </w:r>
      <w:r w:rsidR="00266725" w:rsidRPr="000E277B">
        <w:rPr>
          <w:rFonts w:hint="cs"/>
          <w:rtl/>
        </w:rPr>
        <w:t>والملاحقات</w:t>
      </w:r>
      <w:r w:rsidR="00266725" w:rsidRPr="000E277B">
        <w:rPr>
          <w:rtl/>
        </w:rPr>
        <w:t xml:space="preserve"> </w:t>
      </w:r>
      <w:r w:rsidR="00266725" w:rsidRPr="000E277B">
        <w:rPr>
          <w:rFonts w:hint="cs"/>
          <w:rtl/>
        </w:rPr>
        <w:t>القضائية</w:t>
      </w:r>
      <w:r w:rsidR="00266725">
        <w:rPr>
          <w:rFonts w:hint="cs"/>
          <w:rtl/>
        </w:rPr>
        <w:t xml:space="preserve"> في جرائم التعذيب وإساءة المعاملة التي يدعى أن الموظفين المكلفين بإنفاذ القانون قد ارتكبوها في </w:t>
      </w:r>
      <w:r w:rsidR="00266725" w:rsidRPr="00AC6F1A">
        <w:rPr>
          <w:rFonts w:hint="cs"/>
          <w:rtl/>
        </w:rPr>
        <w:t>كوراكاو</w:t>
      </w:r>
      <w:r w:rsidR="00266725">
        <w:rPr>
          <w:rFonts w:hint="cs"/>
          <w:rtl/>
        </w:rPr>
        <w:t xml:space="preserve">، لكنها تأسف لانعدام الوضوح وعدم وجود معلومات محددة </w:t>
      </w:r>
      <w:r w:rsidR="00266725">
        <w:rPr>
          <w:rFonts w:hint="cs"/>
          <w:rtl/>
          <w:lang w:bidi="ar-EG"/>
        </w:rPr>
        <w:t xml:space="preserve">لتوضيح ما إذا كانت حالات التعذيب وإساءة المعاملة الواردة في الإدعاءات والتحقيقات والتي ارتكبها موظفون عموميون في الأجزاء الأخرى من المملكة، إن وجدت وفي حال إثبات صحتها، تبلغ حد التعذيب، بموجب المادة 1 من الاتفاقية، أو </w:t>
      </w:r>
      <w:r w:rsidR="00266725" w:rsidRPr="00514329">
        <w:rPr>
          <w:rFonts w:hint="cs"/>
          <w:rtl/>
        </w:rPr>
        <w:t>المعاملة</w:t>
      </w:r>
      <w:r w:rsidR="00266725" w:rsidRPr="00514329">
        <w:rPr>
          <w:rtl/>
        </w:rPr>
        <w:t xml:space="preserve"> </w:t>
      </w:r>
      <w:r w:rsidR="00266725" w:rsidRPr="00514329">
        <w:rPr>
          <w:rFonts w:hint="cs"/>
          <w:rtl/>
        </w:rPr>
        <w:t>أو</w:t>
      </w:r>
      <w:r w:rsidR="00266725" w:rsidRPr="00514329">
        <w:rPr>
          <w:rtl/>
        </w:rPr>
        <w:t xml:space="preserve"> </w:t>
      </w:r>
      <w:r w:rsidR="00266725" w:rsidRPr="00514329">
        <w:rPr>
          <w:rFonts w:hint="cs"/>
          <w:rtl/>
        </w:rPr>
        <w:t>العقوبة</w:t>
      </w:r>
      <w:r w:rsidR="00266725" w:rsidRPr="00514329">
        <w:rPr>
          <w:rtl/>
        </w:rPr>
        <w:t xml:space="preserve"> </w:t>
      </w:r>
      <w:r w:rsidR="00266725" w:rsidRPr="00514329">
        <w:rPr>
          <w:rFonts w:hint="cs"/>
          <w:rtl/>
        </w:rPr>
        <w:t>القاسية</w:t>
      </w:r>
      <w:r w:rsidR="00266725" w:rsidRPr="00514329">
        <w:rPr>
          <w:rtl/>
        </w:rPr>
        <w:t xml:space="preserve"> </w:t>
      </w:r>
      <w:r w:rsidR="00266725" w:rsidRPr="00514329">
        <w:rPr>
          <w:rFonts w:hint="cs"/>
          <w:rtl/>
        </w:rPr>
        <w:t>أو</w:t>
      </w:r>
      <w:r w:rsidR="00266725" w:rsidRPr="00514329">
        <w:rPr>
          <w:rtl/>
        </w:rPr>
        <w:t xml:space="preserve"> </w:t>
      </w:r>
      <w:r w:rsidR="00266725" w:rsidRPr="00514329">
        <w:rPr>
          <w:rFonts w:hint="cs"/>
          <w:rtl/>
        </w:rPr>
        <w:t>اللاإنسانية</w:t>
      </w:r>
      <w:r w:rsidR="00266725" w:rsidRPr="00514329">
        <w:rPr>
          <w:rtl/>
        </w:rPr>
        <w:t xml:space="preserve"> </w:t>
      </w:r>
      <w:r w:rsidR="00266725" w:rsidRPr="00514329">
        <w:rPr>
          <w:rFonts w:hint="cs"/>
          <w:rtl/>
        </w:rPr>
        <w:t>أو</w:t>
      </w:r>
      <w:r w:rsidR="00266725" w:rsidRPr="00514329">
        <w:rPr>
          <w:rtl/>
        </w:rPr>
        <w:t xml:space="preserve"> </w:t>
      </w:r>
      <w:r w:rsidR="00266725" w:rsidRPr="00514329">
        <w:rPr>
          <w:rFonts w:hint="cs"/>
          <w:rtl/>
        </w:rPr>
        <w:t>المهينة</w:t>
      </w:r>
      <w:r w:rsidR="00266725">
        <w:rPr>
          <w:rFonts w:hint="cs"/>
          <w:rtl/>
        </w:rPr>
        <w:t xml:space="preserve"> </w:t>
      </w:r>
      <w:r w:rsidR="00266725">
        <w:rPr>
          <w:rFonts w:hint="cs"/>
          <w:rtl/>
          <w:lang w:bidi="ar-EG"/>
        </w:rPr>
        <w:t>بموجب المادة 16 من الاتفاقية (المواد 1 و12 و13 و16).</w:t>
      </w:r>
    </w:p>
    <w:p w:rsidR="00266725" w:rsidRPr="00243AC7" w:rsidRDefault="00266725" w:rsidP="004F4A19">
      <w:pPr>
        <w:pStyle w:val="SingleTxtGA"/>
        <w:rPr>
          <w:rFonts w:hint="cs"/>
          <w:b/>
          <w:bCs/>
          <w:rtl/>
          <w:lang w:bidi="ar-EG"/>
        </w:rPr>
      </w:pPr>
      <w:r>
        <w:rPr>
          <w:rFonts w:hint="cs"/>
          <w:rtl/>
          <w:lang w:bidi="ar-EG"/>
        </w:rPr>
        <w:tab/>
      </w:r>
      <w:r w:rsidRPr="00243AC7">
        <w:rPr>
          <w:rFonts w:hint="cs"/>
          <w:b/>
          <w:bCs/>
          <w:rtl/>
          <w:lang w:bidi="ar-EG"/>
        </w:rPr>
        <w:t>ووفقاً لتعليق اللجنة العام رقم 2(2007)، يتعين على الدولة الطرف الآتي:</w:t>
      </w:r>
    </w:p>
    <w:p w:rsidR="00266725" w:rsidRPr="004D0F8C" w:rsidRDefault="00266725" w:rsidP="004F4A19">
      <w:pPr>
        <w:pStyle w:val="SingleTxtGA"/>
        <w:rPr>
          <w:rFonts w:hint="cs"/>
          <w:b/>
          <w:bCs/>
          <w:lang w:bidi="ar-EG"/>
        </w:rPr>
      </w:pPr>
      <w:r>
        <w:rPr>
          <w:rtl/>
          <w:lang w:bidi="ar-EG"/>
        </w:rPr>
        <w:tab/>
      </w:r>
      <w:r w:rsidRPr="004D0F8C">
        <w:rPr>
          <w:rFonts w:hint="cs"/>
          <w:b/>
          <w:bCs/>
          <w:rtl/>
          <w:lang w:bidi="ar-EG"/>
        </w:rPr>
        <w:t>(أ)</w:t>
      </w:r>
      <w:r w:rsidRPr="004D0F8C">
        <w:rPr>
          <w:rFonts w:hint="cs"/>
          <w:b/>
          <w:bCs/>
          <w:rtl/>
          <w:lang w:bidi="ar-EG"/>
        </w:rPr>
        <w:tab/>
        <w:t>أن تقدم إحصاءات عن الادعاءات والتحقيقات المتعلقة بممارسة</w:t>
      </w:r>
      <w:r w:rsidRPr="004D0F8C">
        <w:rPr>
          <w:b/>
          <w:bCs/>
          <w:rtl/>
          <w:lang w:bidi="ar-EG"/>
        </w:rPr>
        <w:t xml:space="preserve"> </w:t>
      </w:r>
      <w:r w:rsidRPr="004D0F8C">
        <w:rPr>
          <w:rFonts w:hint="cs"/>
          <w:b/>
          <w:bCs/>
          <w:rtl/>
          <w:lang w:bidi="ar-EG"/>
        </w:rPr>
        <w:t>الموظفين</w:t>
      </w:r>
      <w:r w:rsidRPr="004D0F8C">
        <w:rPr>
          <w:b/>
          <w:bCs/>
          <w:rtl/>
          <w:lang w:bidi="ar-EG"/>
        </w:rPr>
        <w:t xml:space="preserve"> </w:t>
      </w:r>
      <w:r w:rsidRPr="004D0F8C">
        <w:rPr>
          <w:rFonts w:hint="cs"/>
          <w:b/>
          <w:bCs/>
          <w:rtl/>
          <w:lang w:bidi="ar-EG"/>
        </w:rPr>
        <w:t>العموميين</w:t>
      </w:r>
      <w:r w:rsidRPr="004D0F8C">
        <w:rPr>
          <w:b/>
          <w:bCs/>
          <w:rtl/>
          <w:lang w:bidi="ar-EG"/>
        </w:rPr>
        <w:t xml:space="preserve"> </w:t>
      </w:r>
      <w:r w:rsidRPr="004D0F8C">
        <w:rPr>
          <w:rFonts w:hint="cs"/>
          <w:b/>
          <w:bCs/>
          <w:rtl/>
          <w:lang w:bidi="ar-EG"/>
        </w:rPr>
        <w:t>للتعذيب</w:t>
      </w:r>
      <w:r w:rsidRPr="004D0F8C">
        <w:rPr>
          <w:b/>
          <w:bCs/>
          <w:rtl/>
          <w:lang w:bidi="ar-EG"/>
        </w:rPr>
        <w:t xml:space="preserve"> </w:t>
      </w:r>
      <w:r w:rsidRPr="004D0F8C">
        <w:rPr>
          <w:rFonts w:hint="cs"/>
          <w:b/>
          <w:bCs/>
          <w:rtl/>
          <w:lang w:bidi="ar-EG"/>
        </w:rPr>
        <w:t>وإساءة</w:t>
      </w:r>
      <w:r w:rsidRPr="004D0F8C">
        <w:rPr>
          <w:b/>
          <w:bCs/>
          <w:rtl/>
          <w:lang w:bidi="ar-EG"/>
        </w:rPr>
        <w:t xml:space="preserve"> </w:t>
      </w:r>
      <w:r w:rsidRPr="004D0F8C">
        <w:rPr>
          <w:rFonts w:hint="cs"/>
          <w:b/>
          <w:bCs/>
          <w:rtl/>
          <w:lang w:bidi="ar-EG"/>
        </w:rPr>
        <w:t>المعاملة، في جميع الأجزاء الأربعة للمملكة؛</w:t>
      </w:r>
    </w:p>
    <w:p w:rsidR="00266725" w:rsidRPr="004D0F8C" w:rsidRDefault="00266725" w:rsidP="004F4A19">
      <w:pPr>
        <w:pStyle w:val="SingleTxtGA"/>
        <w:rPr>
          <w:rFonts w:hint="cs"/>
          <w:b/>
          <w:bCs/>
          <w:lang w:bidi="ar-EG"/>
        </w:rPr>
      </w:pPr>
      <w:r w:rsidRPr="004D0F8C">
        <w:rPr>
          <w:b/>
          <w:bCs/>
          <w:rtl/>
          <w:lang w:bidi="ar-EG"/>
        </w:rPr>
        <w:tab/>
      </w:r>
      <w:r w:rsidRPr="004D0F8C">
        <w:rPr>
          <w:rFonts w:hint="cs"/>
          <w:b/>
          <w:bCs/>
          <w:rtl/>
          <w:lang w:bidi="ar-EG"/>
        </w:rPr>
        <w:t>(ب)</w:t>
      </w:r>
      <w:r w:rsidRPr="004D0F8C">
        <w:rPr>
          <w:rFonts w:hint="cs"/>
          <w:b/>
          <w:bCs/>
          <w:rtl/>
          <w:lang w:bidi="ar-EG"/>
        </w:rPr>
        <w:tab/>
        <w:t>أن توضح</w:t>
      </w:r>
      <w:r w:rsidRPr="004D0F8C">
        <w:rPr>
          <w:b/>
          <w:bCs/>
          <w:rtl/>
          <w:lang w:bidi="ar-EG"/>
        </w:rPr>
        <w:t xml:space="preserve"> </w:t>
      </w:r>
      <w:r w:rsidRPr="004D0F8C">
        <w:rPr>
          <w:rFonts w:hint="cs"/>
          <w:b/>
          <w:bCs/>
          <w:rtl/>
          <w:lang w:bidi="ar-EG"/>
        </w:rPr>
        <w:t>ما</w:t>
      </w:r>
      <w:r w:rsidRPr="004D0F8C">
        <w:rPr>
          <w:b/>
          <w:bCs/>
          <w:rtl/>
          <w:lang w:bidi="ar-EG"/>
        </w:rPr>
        <w:t xml:space="preserve"> </w:t>
      </w:r>
      <w:r w:rsidRPr="004D0F8C">
        <w:rPr>
          <w:rFonts w:hint="cs"/>
          <w:b/>
          <w:bCs/>
          <w:rtl/>
          <w:lang w:bidi="ar-EG"/>
        </w:rPr>
        <w:t>إذا كانت</w:t>
      </w:r>
      <w:r w:rsidRPr="004D0F8C">
        <w:rPr>
          <w:b/>
          <w:bCs/>
          <w:rtl/>
          <w:lang w:bidi="ar-EG"/>
        </w:rPr>
        <w:t xml:space="preserve"> </w:t>
      </w:r>
      <w:r w:rsidRPr="004D0F8C">
        <w:rPr>
          <w:rFonts w:hint="cs"/>
          <w:b/>
          <w:bCs/>
          <w:rtl/>
          <w:lang w:bidi="ar-EG"/>
        </w:rPr>
        <w:t>حوادث</w:t>
      </w:r>
      <w:r w:rsidRPr="004D0F8C">
        <w:rPr>
          <w:b/>
          <w:bCs/>
          <w:rtl/>
          <w:lang w:bidi="ar-EG"/>
        </w:rPr>
        <w:t xml:space="preserve"> </w:t>
      </w:r>
      <w:r w:rsidRPr="004D0F8C">
        <w:rPr>
          <w:rFonts w:hint="cs"/>
          <w:b/>
          <w:bCs/>
          <w:rtl/>
          <w:lang w:bidi="ar-EG"/>
        </w:rPr>
        <w:t>إساءة</w:t>
      </w:r>
      <w:r w:rsidRPr="004D0F8C">
        <w:rPr>
          <w:b/>
          <w:bCs/>
          <w:rtl/>
          <w:lang w:bidi="ar-EG"/>
        </w:rPr>
        <w:t xml:space="preserve"> </w:t>
      </w:r>
      <w:r w:rsidRPr="004D0F8C">
        <w:rPr>
          <w:rFonts w:hint="cs"/>
          <w:b/>
          <w:bCs/>
          <w:rtl/>
          <w:lang w:bidi="ar-EG"/>
        </w:rPr>
        <w:t>المعاملة</w:t>
      </w:r>
      <w:r w:rsidRPr="004D0F8C">
        <w:rPr>
          <w:b/>
          <w:bCs/>
          <w:rtl/>
          <w:lang w:bidi="ar-EG"/>
        </w:rPr>
        <w:t xml:space="preserve"> </w:t>
      </w:r>
      <w:r w:rsidRPr="004D0F8C">
        <w:rPr>
          <w:rFonts w:hint="cs"/>
          <w:b/>
          <w:bCs/>
          <w:rtl/>
          <w:lang w:bidi="ar-EG"/>
        </w:rPr>
        <w:t>التي</w:t>
      </w:r>
      <w:r w:rsidRPr="004D0F8C">
        <w:rPr>
          <w:b/>
          <w:bCs/>
          <w:rtl/>
          <w:lang w:bidi="ar-EG"/>
        </w:rPr>
        <w:t xml:space="preserve"> </w:t>
      </w:r>
      <w:r w:rsidRPr="004D0F8C">
        <w:rPr>
          <w:rFonts w:hint="cs"/>
          <w:b/>
          <w:bCs/>
          <w:rtl/>
          <w:lang w:bidi="ar-EG"/>
        </w:rPr>
        <w:t>يرتكبها</w:t>
      </w:r>
      <w:r w:rsidRPr="004D0F8C">
        <w:rPr>
          <w:b/>
          <w:bCs/>
          <w:rtl/>
          <w:lang w:bidi="ar-EG"/>
        </w:rPr>
        <w:t xml:space="preserve"> </w:t>
      </w:r>
      <w:r w:rsidRPr="004D0F8C">
        <w:rPr>
          <w:rFonts w:hint="cs"/>
          <w:b/>
          <w:bCs/>
          <w:rtl/>
          <w:lang w:bidi="ar-EG"/>
        </w:rPr>
        <w:t>الموظفون</w:t>
      </w:r>
      <w:r w:rsidRPr="004D0F8C">
        <w:rPr>
          <w:b/>
          <w:bCs/>
          <w:rtl/>
          <w:lang w:bidi="ar-EG"/>
        </w:rPr>
        <w:t xml:space="preserve"> </w:t>
      </w:r>
      <w:r w:rsidRPr="004D0F8C">
        <w:rPr>
          <w:rFonts w:hint="cs"/>
          <w:b/>
          <w:bCs/>
          <w:rtl/>
          <w:lang w:bidi="ar-EG"/>
        </w:rPr>
        <w:t>المكلفون</w:t>
      </w:r>
      <w:r w:rsidRPr="004D0F8C">
        <w:rPr>
          <w:b/>
          <w:bCs/>
          <w:rtl/>
          <w:lang w:bidi="ar-EG"/>
        </w:rPr>
        <w:t xml:space="preserve"> </w:t>
      </w:r>
      <w:r w:rsidRPr="004D0F8C">
        <w:rPr>
          <w:rFonts w:hint="cs"/>
          <w:b/>
          <w:bCs/>
          <w:rtl/>
          <w:lang w:bidi="ar-EG"/>
        </w:rPr>
        <w:t>بإنفاذ</w:t>
      </w:r>
      <w:r w:rsidRPr="004D0F8C">
        <w:rPr>
          <w:b/>
          <w:bCs/>
          <w:rtl/>
          <w:lang w:bidi="ar-EG"/>
        </w:rPr>
        <w:t xml:space="preserve"> </w:t>
      </w:r>
      <w:r w:rsidRPr="004D0F8C">
        <w:rPr>
          <w:rFonts w:hint="cs"/>
          <w:b/>
          <w:bCs/>
          <w:rtl/>
          <w:lang w:bidi="ar-EG"/>
        </w:rPr>
        <w:t xml:space="preserve">القوانين، في حال إثبات صحتها، تبلغ حد التعذيب وغيره من ضروب </w:t>
      </w:r>
      <w:r w:rsidRPr="004D0F8C">
        <w:rPr>
          <w:rFonts w:hint="cs"/>
          <w:b/>
          <w:bCs/>
          <w:rtl/>
        </w:rPr>
        <w:t>المعاملة</w:t>
      </w:r>
      <w:r w:rsidRPr="004D0F8C">
        <w:rPr>
          <w:b/>
          <w:bCs/>
          <w:rtl/>
        </w:rPr>
        <w:t xml:space="preserve"> </w:t>
      </w:r>
      <w:r w:rsidRPr="004D0F8C">
        <w:rPr>
          <w:rFonts w:hint="cs"/>
          <w:b/>
          <w:bCs/>
          <w:rtl/>
        </w:rPr>
        <w:t>أو</w:t>
      </w:r>
      <w:r w:rsidRPr="004D0F8C">
        <w:rPr>
          <w:b/>
          <w:bCs/>
          <w:rtl/>
        </w:rPr>
        <w:t xml:space="preserve"> </w:t>
      </w:r>
      <w:r w:rsidRPr="004D0F8C">
        <w:rPr>
          <w:rFonts w:hint="cs"/>
          <w:b/>
          <w:bCs/>
          <w:rtl/>
        </w:rPr>
        <w:t>العقوبة</w:t>
      </w:r>
      <w:r w:rsidRPr="004D0F8C">
        <w:rPr>
          <w:b/>
          <w:bCs/>
          <w:rtl/>
        </w:rPr>
        <w:t xml:space="preserve"> </w:t>
      </w:r>
      <w:r w:rsidRPr="004D0F8C">
        <w:rPr>
          <w:rFonts w:hint="cs"/>
          <w:b/>
          <w:bCs/>
          <w:rtl/>
        </w:rPr>
        <w:t>القاسية</w:t>
      </w:r>
      <w:r w:rsidRPr="004D0F8C">
        <w:rPr>
          <w:b/>
          <w:bCs/>
          <w:rtl/>
        </w:rPr>
        <w:t xml:space="preserve"> </w:t>
      </w:r>
      <w:r w:rsidRPr="004D0F8C">
        <w:rPr>
          <w:rFonts w:hint="cs"/>
          <w:b/>
          <w:bCs/>
          <w:rtl/>
        </w:rPr>
        <w:t>أو</w:t>
      </w:r>
      <w:r w:rsidRPr="004D0F8C">
        <w:rPr>
          <w:b/>
          <w:bCs/>
          <w:rtl/>
        </w:rPr>
        <w:t xml:space="preserve"> </w:t>
      </w:r>
      <w:r w:rsidRPr="004D0F8C">
        <w:rPr>
          <w:rFonts w:hint="cs"/>
          <w:b/>
          <w:bCs/>
          <w:rtl/>
        </w:rPr>
        <w:t>اللاإنسانية</w:t>
      </w:r>
      <w:r w:rsidRPr="004D0F8C">
        <w:rPr>
          <w:b/>
          <w:bCs/>
          <w:rtl/>
        </w:rPr>
        <w:t xml:space="preserve"> </w:t>
      </w:r>
      <w:r w:rsidRPr="004D0F8C">
        <w:rPr>
          <w:rFonts w:hint="cs"/>
          <w:b/>
          <w:bCs/>
          <w:rtl/>
        </w:rPr>
        <w:t>أو</w:t>
      </w:r>
      <w:r w:rsidRPr="004D0F8C">
        <w:rPr>
          <w:b/>
          <w:bCs/>
          <w:rtl/>
        </w:rPr>
        <w:t xml:space="preserve"> </w:t>
      </w:r>
      <w:r w:rsidRPr="004D0F8C">
        <w:rPr>
          <w:rFonts w:hint="cs"/>
          <w:b/>
          <w:bCs/>
          <w:rtl/>
        </w:rPr>
        <w:t>المهينة؛</w:t>
      </w:r>
    </w:p>
    <w:p w:rsidR="00266725" w:rsidRPr="004D0F8C" w:rsidRDefault="00266725" w:rsidP="004F4A19">
      <w:pPr>
        <w:pStyle w:val="SingleTxtGA"/>
        <w:rPr>
          <w:rFonts w:hint="cs"/>
          <w:b/>
          <w:bCs/>
          <w:lang w:bidi="ar-EG"/>
        </w:rPr>
      </w:pPr>
      <w:r w:rsidRPr="004D0F8C">
        <w:rPr>
          <w:b/>
          <w:bCs/>
          <w:rtl/>
        </w:rPr>
        <w:tab/>
      </w:r>
      <w:r w:rsidRPr="004D0F8C">
        <w:rPr>
          <w:rFonts w:hint="cs"/>
          <w:b/>
          <w:bCs/>
          <w:rtl/>
        </w:rPr>
        <w:t>(ج)</w:t>
      </w:r>
      <w:r w:rsidRPr="004D0F8C">
        <w:rPr>
          <w:rFonts w:hint="cs"/>
          <w:b/>
          <w:bCs/>
          <w:rtl/>
        </w:rPr>
        <w:tab/>
        <w:t xml:space="preserve">أن توفر التدريب للموظفين المكلفين </w:t>
      </w:r>
      <w:r w:rsidRPr="004D0F8C">
        <w:rPr>
          <w:rFonts w:hint="cs"/>
          <w:b/>
          <w:bCs/>
          <w:rtl/>
          <w:lang w:bidi="ar-EG"/>
        </w:rPr>
        <w:t>بإنفاذ</w:t>
      </w:r>
      <w:r w:rsidRPr="004D0F8C">
        <w:rPr>
          <w:b/>
          <w:bCs/>
          <w:rtl/>
          <w:lang w:bidi="ar-EG"/>
        </w:rPr>
        <w:t xml:space="preserve"> </w:t>
      </w:r>
      <w:r w:rsidRPr="004D0F8C">
        <w:rPr>
          <w:rFonts w:hint="cs"/>
          <w:b/>
          <w:bCs/>
          <w:rtl/>
          <w:lang w:bidi="ar-EG"/>
        </w:rPr>
        <w:t xml:space="preserve">القوانين من أجل تطبيق حظر التعذيب وإساءة المعاملة تطبيقاً فعالاً </w:t>
      </w:r>
      <w:r>
        <w:rPr>
          <w:rFonts w:hint="cs"/>
          <w:b/>
          <w:bCs/>
          <w:rtl/>
          <w:lang w:bidi="ar-EG"/>
        </w:rPr>
        <w:t>للمعاقبة على</w:t>
      </w:r>
      <w:r w:rsidRPr="004D0F8C">
        <w:rPr>
          <w:rFonts w:hint="cs"/>
          <w:b/>
          <w:bCs/>
          <w:rtl/>
          <w:lang w:bidi="ar-EG"/>
        </w:rPr>
        <w:t xml:space="preserve"> تلك الأفعال بالشكل المناسب.</w:t>
      </w:r>
    </w:p>
    <w:p w:rsidR="00266725" w:rsidRPr="007B6B81" w:rsidRDefault="00266725" w:rsidP="004F4A19">
      <w:pPr>
        <w:pStyle w:val="H23GA"/>
        <w:rPr>
          <w:rFonts w:hint="cs"/>
          <w:rtl/>
          <w:lang w:bidi="ar-EG"/>
        </w:rPr>
      </w:pPr>
      <w:r>
        <w:rPr>
          <w:rFonts w:hint="cs"/>
          <w:rtl/>
          <w:lang w:bidi="ar-EG"/>
        </w:rPr>
        <w:tab/>
      </w:r>
      <w:r>
        <w:rPr>
          <w:rFonts w:hint="cs"/>
          <w:rtl/>
          <w:lang w:bidi="ar-EG"/>
        </w:rPr>
        <w:tab/>
      </w:r>
      <w:r w:rsidRPr="007B6B81">
        <w:rPr>
          <w:rFonts w:hint="cs"/>
          <w:rtl/>
          <w:lang w:bidi="ar-EG"/>
        </w:rPr>
        <w:t>إمكانية تطبيق الاتفاقية تطبيقاً مباشراً</w:t>
      </w:r>
    </w:p>
    <w:p w:rsidR="00266725" w:rsidRDefault="00016640" w:rsidP="004F4A19">
      <w:pPr>
        <w:pStyle w:val="SingleTxtGA"/>
        <w:keepNext/>
        <w:keepLines/>
        <w:rPr>
          <w:rFonts w:hint="cs"/>
          <w:rtl/>
          <w:lang w:bidi="ar-EG"/>
        </w:rPr>
      </w:pPr>
      <w:r>
        <w:rPr>
          <w:rFonts w:hint="cs"/>
          <w:rtl/>
        </w:rPr>
        <w:t>(</w:t>
      </w:r>
      <w:r w:rsidR="00266725">
        <w:rPr>
          <w:rFonts w:hint="cs"/>
          <w:rtl/>
        </w:rPr>
        <w:t>9</w:t>
      </w:r>
      <w:r>
        <w:rPr>
          <w:rFonts w:hint="cs"/>
          <w:rtl/>
        </w:rPr>
        <w:t>)</w:t>
      </w:r>
      <w:r w:rsidR="00266725" w:rsidRPr="00133788">
        <w:rPr>
          <w:rtl/>
        </w:rPr>
        <w:tab/>
      </w:r>
      <w:r w:rsidR="00266725">
        <w:rPr>
          <w:rFonts w:hint="cs"/>
          <w:rtl/>
        </w:rPr>
        <w:t>تلاحظ اللجنة أن الدولة الطرف ذكرت أثناء النظر في التقرير أن الاتفاقية قابلة للتطبيق بشكل مباشر و</w:t>
      </w:r>
      <w:r w:rsidR="00266725">
        <w:rPr>
          <w:rFonts w:hint="cs"/>
          <w:rtl/>
          <w:lang w:bidi="ar-EG"/>
        </w:rPr>
        <w:t>تلقائي، لكن اللجنة لم تحصل على معلومات محددة عن الحالات التي احتُج فيها بالاتفاقية وطبقت فيها تطبيقاً مباشراً أمام المحاكم الوطنية في كل جزء من أجزاء المملكة. (المادتان 2 و10).</w:t>
      </w:r>
    </w:p>
    <w:p w:rsidR="00266725" w:rsidRPr="00A83CF9" w:rsidRDefault="00266725" w:rsidP="004F4A19">
      <w:pPr>
        <w:pStyle w:val="SingleTxtGA"/>
        <w:rPr>
          <w:rFonts w:ascii="Times New Roman Bold" w:hAnsi="Times New Roman Bold" w:hint="cs"/>
          <w:b/>
          <w:bCs/>
          <w:spacing w:val="-4"/>
          <w:rtl/>
          <w:lang w:bidi="ar-EG"/>
        </w:rPr>
      </w:pPr>
      <w:r w:rsidRPr="00A83CF9">
        <w:rPr>
          <w:rFonts w:ascii="Times New Roman Bold" w:hAnsi="Times New Roman Bold"/>
          <w:b/>
          <w:bCs/>
          <w:spacing w:val="-4"/>
          <w:rtl/>
          <w:lang w:bidi="ar-EG"/>
        </w:rPr>
        <w:tab/>
      </w:r>
      <w:r w:rsidRPr="00A83CF9">
        <w:rPr>
          <w:rFonts w:ascii="Times New Roman Bold" w:hAnsi="Times New Roman Bold" w:hint="cs"/>
          <w:b/>
          <w:bCs/>
          <w:spacing w:val="-4"/>
          <w:rtl/>
          <w:lang w:bidi="ar-EG"/>
        </w:rPr>
        <w:t>توصي اللجنة الدولة الطرف بأن تتخذ كافة التدابير اللازمة لضمان تطبيق الاتفاقية تطبيقاً مباشراً، بما في ذلك عن طريق نشر</w:t>
      </w:r>
      <w:r w:rsidRPr="00A83CF9">
        <w:rPr>
          <w:rFonts w:ascii="Times New Roman Bold" w:hAnsi="Times New Roman Bold"/>
          <w:b/>
          <w:bCs/>
          <w:spacing w:val="-4"/>
          <w:rtl/>
          <w:lang w:bidi="ar-EG"/>
        </w:rPr>
        <w:t xml:space="preserve"> </w:t>
      </w:r>
      <w:r w:rsidRPr="00A83CF9">
        <w:rPr>
          <w:rFonts w:ascii="Times New Roman Bold" w:hAnsi="Times New Roman Bold" w:hint="cs"/>
          <w:b/>
          <w:bCs/>
          <w:spacing w:val="-4"/>
          <w:rtl/>
          <w:lang w:bidi="ar-EG"/>
        </w:rPr>
        <w:t>الاتفاقية</w:t>
      </w:r>
      <w:r w:rsidRPr="00A83CF9">
        <w:rPr>
          <w:rFonts w:ascii="Times New Roman Bold" w:hAnsi="Times New Roman Bold"/>
          <w:b/>
          <w:bCs/>
          <w:spacing w:val="-4"/>
          <w:rtl/>
          <w:lang w:bidi="ar-EG"/>
        </w:rPr>
        <w:t xml:space="preserve"> </w:t>
      </w:r>
      <w:r w:rsidRPr="00A83CF9">
        <w:rPr>
          <w:rFonts w:ascii="Times New Roman Bold" w:hAnsi="Times New Roman Bold" w:hint="cs"/>
          <w:b/>
          <w:bCs/>
          <w:spacing w:val="-4"/>
          <w:rtl/>
          <w:lang w:bidi="ar-EG"/>
        </w:rPr>
        <w:t>على</w:t>
      </w:r>
      <w:r w:rsidRPr="00A83CF9">
        <w:rPr>
          <w:rFonts w:ascii="Times New Roman Bold" w:hAnsi="Times New Roman Bold"/>
          <w:b/>
          <w:bCs/>
          <w:spacing w:val="-4"/>
          <w:rtl/>
          <w:lang w:bidi="ar-EG"/>
        </w:rPr>
        <w:t xml:space="preserve"> </w:t>
      </w:r>
      <w:r w:rsidRPr="00A83CF9">
        <w:rPr>
          <w:rFonts w:ascii="Times New Roman Bold" w:hAnsi="Times New Roman Bold" w:hint="cs"/>
          <w:b/>
          <w:bCs/>
          <w:spacing w:val="-4"/>
          <w:rtl/>
          <w:lang w:bidi="ar-EG"/>
        </w:rPr>
        <w:t>جميع</w:t>
      </w:r>
      <w:r w:rsidRPr="00A83CF9">
        <w:rPr>
          <w:rFonts w:ascii="Times New Roman Bold" w:hAnsi="Times New Roman Bold"/>
          <w:b/>
          <w:bCs/>
          <w:spacing w:val="-4"/>
          <w:rtl/>
          <w:lang w:bidi="ar-EG"/>
        </w:rPr>
        <w:t xml:space="preserve"> </w:t>
      </w:r>
      <w:r w:rsidRPr="00A83CF9">
        <w:rPr>
          <w:rFonts w:ascii="Times New Roman Bold" w:hAnsi="Times New Roman Bold" w:hint="cs"/>
          <w:b/>
          <w:bCs/>
          <w:spacing w:val="-4"/>
          <w:rtl/>
          <w:lang w:bidi="ar-EG"/>
        </w:rPr>
        <w:t>السلطات</w:t>
      </w:r>
      <w:r w:rsidRPr="00A83CF9">
        <w:rPr>
          <w:rFonts w:ascii="Times New Roman Bold" w:hAnsi="Times New Roman Bold"/>
          <w:b/>
          <w:bCs/>
          <w:spacing w:val="-4"/>
          <w:rtl/>
          <w:lang w:bidi="ar-EG"/>
        </w:rPr>
        <w:t xml:space="preserve"> </w:t>
      </w:r>
      <w:r w:rsidRPr="00A83CF9">
        <w:rPr>
          <w:rFonts w:ascii="Times New Roman Bold" w:hAnsi="Times New Roman Bold" w:hint="cs"/>
          <w:b/>
          <w:bCs/>
          <w:spacing w:val="-4"/>
          <w:rtl/>
          <w:lang w:bidi="ar-EG"/>
        </w:rPr>
        <w:t>العامة،</w:t>
      </w:r>
      <w:r w:rsidRPr="00A83CF9">
        <w:rPr>
          <w:rFonts w:ascii="Times New Roman Bold" w:hAnsi="Times New Roman Bold"/>
          <w:b/>
          <w:bCs/>
          <w:spacing w:val="-4"/>
          <w:rtl/>
          <w:lang w:bidi="ar-EG"/>
        </w:rPr>
        <w:t xml:space="preserve"> </w:t>
      </w:r>
      <w:r w:rsidRPr="00A83CF9">
        <w:rPr>
          <w:rFonts w:ascii="Times New Roman Bold" w:hAnsi="Times New Roman Bold" w:hint="cs"/>
          <w:b/>
          <w:bCs/>
          <w:spacing w:val="-4"/>
          <w:rtl/>
          <w:lang w:bidi="ar-EG"/>
        </w:rPr>
        <w:t>بما</w:t>
      </w:r>
      <w:r w:rsidRPr="00A83CF9">
        <w:rPr>
          <w:rFonts w:ascii="Times New Roman Bold" w:hAnsi="Times New Roman Bold"/>
          <w:b/>
          <w:bCs/>
          <w:spacing w:val="-4"/>
          <w:rtl/>
          <w:lang w:bidi="ar-EG"/>
        </w:rPr>
        <w:t xml:space="preserve"> </w:t>
      </w:r>
      <w:r w:rsidRPr="00A83CF9">
        <w:rPr>
          <w:rFonts w:ascii="Times New Roman Bold" w:hAnsi="Times New Roman Bold" w:hint="cs"/>
          <w:b/>
          <w:bCs/>
          <w:spacing w:val="-4"/>
          <w:rtl/>
          <w:lang w:bidi="ar-EG"/>
        </w:rPr>
        <w:t>في</w:t>
      </w:r>
      <w:r w:rsidRPr="00A83CF9">
        <w:rPr>
          <w:rFonts w:ascii="Times New Roman Bold" w:hAnsi="Times New Roman Bold"/>
          <w:b/>
          <w:bCs/>
          <w:spacing w:val="-4"/>
          <w:rtl/>
          <w:lang w:bidi="ar-EG"/>
        </w:rPr>
        <w:t xml:space="preserve"> </w:t>
      </w:r>
      <w:r w:rsidRPr="00A83CF9">
        <w:rPr>
          <w:rFonts w:ascii="Times New Roman Bold" w:hAnsi="Times New Roman Bold" w:hint="cs"/>
          <w:b/>
          <w:bCs/>
          <w:spacing w:val="-4"/>
          <w:rtl/>
          <w:lang w:bidi="ar-EG"/>
        </w:rPr>
        <w:t>ذلك</w:t>
      </w:r>
      <w:r w:rsidRPr="00A83CF9">
        <w:rPr>
          <w:rFonts w:ascii="Times New Roman Bold" w:hAnsi="Times New Roman Bold"/>
          <w:b/>
          <w:bCs/>
          <w:spacing w:val="-4"/>
          <w:rtl/>
          <w:lang w:bidi="ar-EG"/>
        </w:rPr>
        <w:t xml:space="preserve"> </w:t>
      </w:r>
      <w:r w:rsidRPr="00A83CF9">
        <w:rPr>
          <w:rFonts w:ascii="Times New Roman Bold" w:hAnsi="Times New Roman Bold" w:hint="cs"/>
          <w:b/>
          <w:bCs/>
          <w:spacing w:val="-4"/>
          <w:rtl/>
          <w:lang w:bidi="ar-EG"/>
        </w:rPr>
        <w:t>الجهاز</w:t>
      </w:r>
      <w:r w:rsidRPr="00A83CF9">
        <w:rPr>
          <w:rFonts w:ascii="Times New Roman Bold" w:hAnsi="Times New Roman Bold"/>
          <w:b/>
          <w:bCs/>
          <w:spacing w:val="-4"/>
          <w:rtl/>
          <w:lang w:bidi="ar-EG"/>
        </w:rPr>
        <w:t xml:space="preserve"> </w:t>
      </w:r>
      <w:r w:rsidRPr="00A83CF9">
        <w:rPr>
          <w:rFonts w:ascii="Times New Roman Bold" w:hAnsi="Times New Roman Bold" w:hint="cs"/>
          <w:b/>
          <w:bCs/>
          <w:spacing w:val="-4"/>
          <w:rtl/>
          <w:lang w:bidi="ar-EG"/>
        </w:rPr>
        <w:t>القضائي، وإذكاء الوعي بشأنها لتيسير التطبيق المباشر للاتفاقية أمام المحاكم الوطنية في جميع الأجزاء الأربعة للمملكة، وبأن تقدم معلومات محدّثة عن الحالات</w:t>
      </w:r>
      <w:r w:rsidRPr="00A83CF9">
        <w:rPr>
          <w:rFonts w:ascii="Times New Roman Bold" w:hAnsi="Times New Roman Bold" w:hint="eastAsia"/>
          <w:b/>
          <w:bCs/>
          <w:spacing w:val="-4"/>
          <w:rtl/>
          <w:lang w:bidi="ar-EG"/>
        </w:rPr>
        <w:t> </w:t>
      </w:r>
      <w:r w:rsidRPr="00A83CF9">
        <w:rPr>
          <w:rFonts w:ascii="Times New Roman Bold" w:hAnsi="Times New Roman Bold" w:hint="cs"/>
          <w:b/>
          <w:bCs/>
          <w:spacing w:val="-4"/>
          <w:rtl/>
          <w:lang w:bidi="ar-EG"/>
        </w:rPr>
        <w:t>التوضيحية.</w:t>
      </w:r>
    </w:p>
    <w:p w:rsidR="00266725" w:rsidRPr="00F32A59" w:rsidRDefault="00266725" w:rsidP="00266725">
      <w:pPr>
        <w:pStyle w:val="H23GA"/>
        <w:rPr>
          <w:rFonts w:hint="cs"/>
          <w:rtl/>
          <w:lang w:bidi="ar-EG"/>
        </w:rPr>
      </w:pPr>
      <w:r>
        <w:rPr>
          <w:rFonts w:hint="cs"/>
          <w:rtl/>
          <w:lang w:bidi="ar-EG"/>
        </w:rPr>
        <w:tab/>
      </w:r>
      <w:r>
        <w:rPr>
          <w:rFonts w:hint="cs"/>
          <w:rtl/>
          <w:lang w:bidi="ar-EG"/>
        </w:rPr>
        <w:tab/>
      </w:r>
      <w:r w:rsidRPr="00F32A59">
        <w:rPr>
          <w:rFonts w:hint="cs"/>
          <w:rtl/>
          <w:lang w:bidi="ar-EG"/>
        </w:rPr>
        <w:t>حق الاتصال بمحام</w:t>
      </w:r>
    </w:p>
    <w:p w:rsidR="00266725" w:rsidRDefault="007400FE" w:rsidP="007400FE">
      <w:pPr>
        <w:pStyle w:val="SingleTxtGA"/>
        <w:rPr>
          <w:rFonts w:hint="cs"/>
          <w:rtl/>
        </w:rPr>
      </w:pPr>
      <w:r>
        <w:rPr>
          <w:rFonts w:hint="cs"/>
          <w:rtl/>
        </w:rPr>
        <w:t>(</w:t>
      </w:r>
      <w:r w:rsidR="00266725">
        <w:rPr>
          <w:rFonts w:hint="cs"/>
          <w:rtl/>
        </w:rPr>
        <w:t>10</w:t>
      </w:r>
      <w:r>
        <w:rPr>
          <w:rFonts w:hint="cs"/>
          <w:rtl/>
        </w:rPr>
        <w:t>)</w:t>
      </w:r>
      <w:r w:rsidR="00266725" w:rsidRPr="00133788">
        <w:rPr>
          <w:rtl/>
        </w:rPr>
        <w:tab/>
      </w:r>
      <w:r w:rsidR="00266725">
        <w:rPr>
          <w:rFonts w:hint="cs"/>
          <w:rtl/>
          <w:lang w:bidi="ar-EG"/>
        </w:rPr>
        <w:t xml:space="preserve">تلاحظ اللجنة أن الأمر الصادر عن </w:t>
      </w:r>
      <w:r w:rsidR="00266725" w:rsidRPr="00622510">
        <w:rPr>
          <w:rFonts w:hint="cs"/>
          <w:rtl/>
          <w:lang w:bidi="ar-EG"/>
        </w:rPr>
        <w:t>مجلس</w:t>
      </w:r>
      <w:r w:rsidR="00266725" w:rsidRPr="00622510">
        <w:rPr>
          <w:rtl/>
          <w:lang w:bidi="ar-EG"/>
        </w:rPr>
        <w:t xml:space="preserve"> </w:t>
      </w:r>
      <w:r w:rsidR="00266725">
        <w:rPr>
          <w:rFonts w:hint="cs"/>
          <w:rtl/>
          <w:lang w:bidi="ar-EG"/>
        </w:rPr>
        <w:t>المدعين</w:t>
      </w:r>
      <w:r w:rsidR="00266725" w:rsidRPr="00622510">
        <w:rPr>
          <w:rtl/>
          <w:lang w:bidi="ar-EG"/>
        </w:rPr>
        <w:t xml:space="preserve"> </w:t>
      </w:r>
      <w:r w:rsidR="00266725" w:rsidRPr="00622510">
        <w:rPr>
          <w:rFonts w:hint="cs"/>
          <w:rtl/>
          <w:lang w:bidi="ar-EG"/>
        </w:rPr>
        <w:t>العامين</w:t>
      </w:r>
      <w:r w:rsidR="00266725">
        <w:rPr>
          <w:rFonts w:hint="cs"/>
          <w:rtl/>
          <w:lang w:bidi="ar-EG"/>
        </w:rPr>
        <w:t xml:space="preserve"> المؤرخ 1 نيسان/ أبريل</w:t>
      </w:r>
      <w:r w:rsidR="00266725">
        <w:rPr>
          <w:rFonts w:hint="eastAsia"/>
          <w:rtl/>
          <w:lang w:bidi="ar-EG"/>
        </w:rPr>
        <w:t> </w:t>
      </w:r>
      <w:r w:rsidR="00266725">
        <w:rPr>
          <w:rFonts w:hint="cs"/>
          <w:rtl/>
          <w:lang w:bidi="ar-EG"/>
        </w:rPr>
        <w:t xml:space="preserve">2010 ينظم حق الاتصال بمحام. كما تلاحظ أنه يجري إعداد مشروع قانون عن مقابلات المحامين والشرطة. وتشعر اللجنة بالقلق حيال ممارسة تقييد حق الاتصال بمحام أثناء الاستجواب من قبل الشرطة، ليقتصر فقط على المشتبه فيهم الذين تقل أعمارهم عن 18 عاماً، وأي شخص متهم بارتكاب </w:t>
      </w:r>
      <w:r w:rsidR="00266725" w:rsidRPr="00292FA0">
        <w:rPr>
          <w:rFonts w:hint="cs"/>
          <w:rtl/>
          <w:lang w:bidi="ar-EG"/>
        </w:rPr>
        <w:t>جريمة</w:t>
      </w:r>
      <w:r w:rsidR="00266725" w:rsidRPr="00292FA0">
        <w:rPr>
          <w:rtl/>
          <w:lang w:bidi="ar-EG"/>
        </w:rPr>
        <w:t xml:space="preserve"> </w:t>
      </w:r>
      <w:r w:rsidR="00266725" w:rsidRPr="00292FA0">
        <w:rPr>
          <w:rFonts w:hint="cs"/>
          <w:rtl/>
          <w:lang w:bidi="ar-EG"/>
        </w:rPr>
        <w:t>تستوجب</w:t>
      </w:r>
      <w:r w:rsidR="00266725" w:rsidRPr="00292FA0">
        <w:rPr>
          <w:rtl/>
          <w:lang w:bidi="ar-EG"/>
        </w:rPr>
        <w:t xml:space="preserve"> </w:t>
      </w:r>
      <w:r w:rsidR="00266725" w:rsidRPr="00292FA0">
        <w:rPr>
          <w:rFonts w:hint="cs"/>
          <w:rtl/>
          <w:lang w:bidi="ar-EG"/>
        </w:rPr>
        <w:t>حكما</w:t>
      </w:r>
      <w:r w:rsidR="00266725">
        <w:rPr>
          <w:rFonts w:hint="cs"/>
          <w:rtl/>
          <w:lang w:bidi="ar-EG"/>
        </w:rPr>
        <w:t>ً</w:t>
      </w:r>
      <w:r w:rsidR="00266725" w:rsidRPr="00292FA0">
        <w:rPr>
          <w:rtl/>
          <w:lang w:bidi="ar-EG"/>
        </w:rPr>
        <w:t xml:space="preserve"> </w:t>
      </w:r>
      <w:r w:rsidR="00266725" w:rsidRPr="00292FA0">
        <w:rPr>
          <w:rFonts w:hint="cs"/>
          <w:rtl/>
          <w:lang w:bidi="ar-EG"/>
        </w:rPr>
        <w:t>بالسجن</w:t>
      </w:r>
      <w:r w:rsidR="00266725" w:rsidRPr="00292FA0">
        <w:rPr>
          <w:rtl/>
          <w:lang w:bidi="ar-EG"/>
        </w:rPr>
        <w:t xml:space="preserve"> </w:t>
      </w:r>
      <w:r w:rsidR="00266725" w:rsidRPr="00292FA0">
        <w:rPr>
          <w:rFonts w:hint="cs"/>
          <w:rtl/>
          <w:lang w:bidi="ar-EG"/>
        </w:rPr>
        <w:t>لمدة</w:t>
      </w:r>
      <w:r w:rsidR="00266725">
        <w:rPr>
          <w:rFonts w:hint="cs"/>
          <w:rtl/>
          <w:lang w:bidi="ar-EG"/>
        </w:rPr>
        <w:t xml:space="preserve"> ست سنوات أو</w:t>
      </w:r>
      <w:r w:rsidR="00266725">
        <w:rPr>
          <w:rFonts w:hint="eastAsia"/>
          <w:rtl/>
          <w:lang w:bidi="ar-EG"/>
        </w:rPr>
        <w:t> </w:t>
      </w:r>
      <w:r w:rsidR="00266725">
        <w:rPr>
          <w:rFonts w:hint="cs"/>
          <w:rtl/>
          <w:lang w:bidi="ar-EG"/>
        </w:rPr>
        <w:t xml:space="preserve">أكثر. كما تشعر اللجنة بالقلق لأن مشروع القانون يتضمن استثناءاً مفاده أن من الممكن رفض طلب المساعدة القانونية إذا كانت تلك المساعدة "منافية لمصالح التحقيق". مما قد يؤدي إلى أن يقيد </w:t>
      </w:r>
      <w:r w:rsidR="00266725" w:rsidRPr="00B36EAA">
        <w:rPr>
          <w:rFonts w:hint="cs"/>
          <w:rtl/>
          <w:lang w:bidi="ar-EG"/>
        </w:rPr>
        <w:t>مكتب</w:t>
      </w:r>
      <w:r w:rsidR="00266725" w:rsidRPr="00B36EAA">
        <w:rPr>
          <w:rtl/>
          <w:lang w:bidi="ar-EG"/>
        </w:rPr>
        <w:t xml:space="preserve"> </w:t>
      </w:r>
      <w:r w:rsidR="00266725" w:rsidRPr="00B36EAA">
        <w:rPr>
          <w:rFonts w:hint="cs"/>
          <w:rtl/>
          <w:lang w:bidi="ar-EG"/>
        </w:rPr>
        <w:t>الادعاء</w:t>
      </w:r>
      <w:r w:rsidR="00266725" w:rsidRPr="00B36EAA">
        <w:rPr>
          <w:rtl/>
          <w:lang w:bidi="ar-EG"/>
        </w:rPr>
        <w:t xml:space="preserve"> </w:t>
      </w:r>
      <w:r w:rsidR="00266725" w:rsidRPr="00B36EAA">
        <w:rPr>
          <w:rFonts w:hint="cs"/>
          <w:rtl/>
          <w:lang w:bidi="ar-EG"/>
        </w:rPr>
        <w:t>العام</w:t>
      </w:r>
      <w:r w:rsidR="00266725">
        <w:rPr>
          <w:rFonts w:hint="cs"/>
          <w:rtl/>
          <w:lang w:bidi="ar-EG"/>
        </w:rPr>
        <w:t xml:space="preserve"> ذلك الحق تقييداً تعسفياً. وتلاحظ اللجنة أيضاً عدم وجود محامين مقيمين في </w:t>
      </w:r>
      <w:r w:rsidR="00266725" w:rsidRPr="00D62813">
        <w:rPr>
          <w:rFonts w:hint="cs"/>
          <w:rtl/>
        </w:rPr>
        <w:t>سان</w:t>
      </w:r>
      <w:r w:rsidR="00266725" w:rsidRPr="00D62813">
        <w:rPr>
          <w:rtl/>
        </w:rPr>
        <w:t xml:space="preserve"> </w:t>
      </w:r>
      <w:r w:rsidR="00266725" w:rsidRPr="00D62813">
        <w:rPr>
          <w:rFonts w:hint="cs"/>
          <w:rtl/>
        </w:rPr>
        <w:t>يوستاتيوس</w:t>
      </w:r>
      <w:r w:rsidR="00266725" w:rsidRPr="00D62813">
        <w:rPr>
          <w:rtl/>
        </w:rPr>
        <w:t xml:space="preserve"> </w:t>
      </w:r>
      <w:r w:rsidR="00266725" w:rsidRPr="00D62813">
        <w:rPr>
          <w:rFonts w:hint="cs"/>
          <w:rtl/>
        </w:rPr>
        <w:t>وسابا</w:t>
      </w:r>
      <w:r w:rsidR="00266725">
        <w:rPr>
          <w:rFonts w:hint="cs"/>
          <w:rtl/>
        </w:rPr>
        <w:t xml:space="preserve"> (الجزء الكاريبي من هولندا) وتلاحظ أن المشتبه فيهم المحتجزين لدى الشرطة في </w:t>
      </w:r>
      <w:r w:rsidR="00266725" w:rsidRPr="00D62813">
        <w:rPr>
          <w:rFonts w:hint="cs"/>
          <w:rtl/>
        </w:rPr>
        <w:t>سان</w:t>
      </w:r>
      <w:r w:rsidR="00266725" w:rsidRPr="00D62813">
        <w:rPr>
          <w:rtl/>
        </w:rPr>
        <w:t xml:space="preserve"> </w:t>
      </w:r>
      <w:r w:rsidR="00266725" w:rsidRPr="00D62813">
        <w:rPr>
          <w:rFonts w:hint="cs"/>
          <w:rtl/>
        </w:rPr>
        <w:t>يوستاتيوس</w:t>
      </w:r>
      <w:r w:rsidR="00266725">
        <w:rPr>
          <w:rFonts w:hint="cs"/>
          <w:rtl/>
        </w:rPr>
        <w:t xml:space="preserve"> يوقعون في كثير من الأحيان تنازلاً عن الحصول على محام ليكون حاضراً خلال تحقيقات الشرطة الأولية (المادة 2).</w:t>
      </w:r>
    </w:p>
    <w:p w:rsidR="00266725" w:rsidRPr="00A57CFD" w:rsidRDefault="00266725" w:rsidP="00266725">
      <w:pPr>
        <w:pStyle w:val="SingleTxtGA"/>
        <w:rPr>
          <w:rFonts w:hint="cs"/>
          <w:b/>
          <w:bCs/>
          <w:rtl/>
          <w:lang w:bidi="ar-EG"/>
        </w:rPr>
      </w:pPr>
      <w:r>
        <w:rPr>
          <w:b/>
          <w:bCs/>
          <w:rtl/>
          <w:lang w:bidi="ar-EG"/>
        </w:rPr>
        <w:tab/>
      </w:r>
      <w:r w:rsidRPr="00A57CFD">
        <w:rPr>
          <w:rFonts w:hint="cs"/>
          <w:b/>
          <w:bCs/>
          <w:rtl/>
          <w:lang w:bidi="ar-EG"/>
        </w:rPr>
        <w:t>يتعين على الدولة الطرف الآتي:</w:t>
      </w:r>
    </w:p>
    <w:p w:rsidR="00266725" w:rsidRPr="00C2623B" w:rsidRDefault="00266725" w:rsidP="007400FE">
      <w:pPr>
        <w:pStyle w:val="SingleTxtGA"/>
        <w:spacing w:line="370" w:lineRule="exact"/>
        <w:rPr>
          <w:rFonts w:hint="cs"/>
          <w:b/>
          <w:bCs/>
          <w:spacing w:val="-6"/>
          <w:lang w:bidi="ar-EG"/>
        </w:rPr>
      </w:pPr>
      <w:r w:rsidRPr="00C2623B">
        <w:rPr>
          <w:b/>
          <w:bCs/>
          <w:spacing w:val="-6"/>
          <w:rtl/>
          <w:lang w:bidi="ar-EG"/>
        </w:rPr>
        <w:tab/>
      </w:r>
      <w:r w:rsidRPr="00C2623B">
        <w:rPr>
          <w:rFonts w:hint="cs"/>
          <w:b/>
          <w:bCs/>
          <w:spacing w:val="-6"/>
          <w:rtl/>
          <w:lang w:bidi="ar-EG"/>
        </w:rPr>
        <w:t>(أ)</w:t>
      </w:r>
      <w:r w:rsidRPr="00C2623B">
        <w:rPr>
          <w:rFonts w:hint="cs"/>
          <w:b/>
          <w:bCs/>
          <w:spacing w:val="-6"/>
          <w:rtl/>
          <w:lang w:bidi="ar-EG"/>
        </w:rPr>
        <w:tab/>
        <w:t>أن تستعرض كافة إجراءاتها وممارساتها الجنائية في جميع أجزاء المملكة، لضمان إتاحة الاتصال بمحام للأشخاص المحتجزين لدى الشرطة منذ لحظة حرمانهم من الحرية؛</w:t>
      </w:r>
    </w:p>
    <w:p w:rsidR="00266725" w:rsidRPr="00C2623B" w:rsidRDefault="00266725" w:rsidP="007400FE">
      <w:pPr>
        <w:pStyle w:val="SingleTxtGA"/>
        <w:spacing w:line="370" w:lineRule="exact"/>
        <w:rPr>
          <w:rFonts w:hint="cs"/>
          <w:b/>
          <w:bCs/>
          <w:lang w:bidi="ar-EG"/>
        </w:rPr>
      </w:pPr>
      <w:r>
        <w:rPr>
          <w:b/>
          <w:bCs/>
          <w:rtl/>
          <w:lang w:bidi="ar-EG"/>
        </w:rPr>
        <w:tab/>
      </w:r>
      <w:r>
        <w:rPr>
          <w:rFonts w:hint="cs"/>
          <w:b/>
          <w:bCs/>
          <w:rtl/>
          <w:lang w:bidi="ar-EG"/>
        </w:rPr>
        <w:t>(ب)</w:t>
      </w:r>
      <w:r>
        <w:rPr>
          <w:rFonts w:hint="cs"/>
          <w:b/>
          <w:bCs/>
          <w:rtl/>
          <w:lang w:bidi="ar-EG"/>
        </w:rPr>
        <w:tab/>
      </w:r>
      <w:r w:rsidRPr="00C2623B">
        <w:rPr>
          <w:rFonts w:hint="cs"/>
          <w:b/>
          <w:bCs/>
          <w:rtl/>
          <w:lang w:bidi="ar-EG"/>
        </w:rPr>
        <w:t>أن تنظر على الفور في اعتماد مشروع القانون المتعلق بمقابلات المحامين والشرطة لتمكين كافة المشتبه في ارتكابهم جريمة يعاقب عليها، سواء كانوا محتجزين أم</w:t>
      </w:r>
      <w:r>
        <w:rPr>
          <w:rFonts w:hint="eastAsia"/>
          <w:b/>
          <w:bCs/>
          <w:rtl/>
          <w:lang w:bidi="ar-EG"/>
        </w:rPr>
        <w:t> </w:t>
      </w:r>
      <w:r w:rsidRPr="00C2623B">
        <w:rPr>
          <w:rFonts w:hint="cs"/>
          <w:b/>
          <w:bCs/>
          <w:rtl/>
          <w:lang w:bidi="ar-EG"/>
        </w:rPr>
        <w:t>لا، من الاتصال بمحام والحصول على مساعدته في مرحلة مبكرة من الإجراءات؛</w:t>
      </w:r>
    </w:p>
    <w:p w:rsidR="00266725" w:rsidRPr="00C2623B" w:rsidRDefault="00266725" w:rsidP="007400FE">
      <w:pPr>
        <w:pStyle w:val="SingleTxtGA"/>
        <w:spacing w:line="370" w:lineRule="exact"/>
        <w:rPr>
          <w:rFonts w:hint="cs"/>
          <w:b/>
          <w:bCs/>
          <w:lang w:bidi="ar-EG"/>
        </w:rPr>
      </w:pPr>
      <w:r>
        <w:rPr>
          <w:b/>
          <w:bCs/>
          <w:rtl/>
          <w:lang w:bidi="ar-EG"/>
        </w:rPr>
        <w:tab/>
      </w:r>
      <w:r>
        <w:rPr>
          <w:rFonts w:hint="cs"/>
          <w:b/>
          <w:bCs/>
          <w:rtl/>
          <w:lang w:bidi="ar-EG"/>
        </w:rPr>
        <w:t>(ج)</w:t>
      </w:r>
      <w:r>
        <w:rPr>
          <w:rFonts w:hint="cs"/>
          <w:b/>
          <w:bCs/>
          <w:rtl/>
          <w:lang w:bidi="ar-EG"/>
        </w:rPr>
        <w:tab/>
        <w:t xml:space="preserve">أن </w:t>
      </w:r>
      <w:r w:rsidRPr="00C2623B">
        <w:rPr>
          <w:rFonts w:hint="cs"/>
          <w:b/>
          <w:bCs/>
          <w:rtl/>
          <w:lang w:bidi="ar-EG"/>
        </w:rPr>
        <w:t>تحدد بموجب القانون الظروف التي يمكن أن تؤدي إلى تقييد الحق في المساعدة القانونية، لتفادي فرض قيود تعسفية على الحق في الحصول على محام.</w:t>
      </w:r>
    </w:p>
    <w:p w:rsidR="00266725" w:rsidRPr="00350DAE" w:rsidRDefault="00266725" w:rsidP="007400FE">
      <w:pPr>
        <w:pStyle w:val="H23GA"/>
        <w:spacing w:line="370" w:lineRule="exact"/>
        <w:rPr>
          <w:rFonts w:hint="cs"/>
          <w:rtl/>
          <w:lang w:bidi="ar-EG"/>
        </w:rPr>
      </w:pPr>
      <w:r>
        <w:rPr>
          <w:rFonts w:hint="cs"/>
          <w:rtl/>
          <w:lang w:bidi="ar-EG"/>
        </w:rPr>
        <w:tab/>
      </w:r>
      <w:r>
        <w:rPr>
          <w:rFonts w:hint="cs"/>
          <w:rtl/>
          <w:lang w:bidi="ar-EG"/>
        </w:rPr>
        <w:tab/>
      </w:r>
      <w:r w:rsidRPr="00350DAE">
        <w:rPr>
          <w:rFonts w:hint="cs"/>
          <w:rtl/>
          <w:lang w:bidi="ar-EG"/>
        </w:rPr>
        <w:t>عدم</w:t>
      </w:r>
      <w:r w:rsidRPr="00350DAE">
        <w:rPr>
          <w:rtl/>
          <w:lang w:bidi="ar-EG"/>
        </w:rPr>
        <w:t xml:space="preserve"> </w:t>
      </w:r>
      <w:r w:rsidRPr="00350DAE">
        <w:rPr>
          <w:rFonts w:hint="cs"/>
          <w:rtl/>
          <w:lang w:bidi="ar-EG"/>
        </w:rPr>
        <w:t>الإعادة</w:t>
      </w:r>
      <w:r w:rsidRPr="00350DAE">
        <w:rPr>
          <w:rtl/>
          <w:lang w:bidi="ar-EG"/>
        </w:rPr>
        <w:t xml:space="preserve"> </w:t>
      </w:r>
      <w:r w:rsidRPr="00350DAE">
        <w:rPr>
          <w:rFonts w:hint="cs"/>
          <w:rtl/>
          <w:lang w:bidi="ar-EG"/>
        </w:rPr>
        <w:t>القسرية</w:t>
      </w:r>
    </w:p>
    <w:p w:rsidR="00266725" w:rsidRDefault="007400FE" w:rsidP="007400FE">
      <w:pPr>
        <w:pStyle w:val="SingleTxtGA"/>
        <w:spacing w:line="370" w:lineRule="exact"/>
        <w:rPr>
          <w:rFonts w:hint="cs"/>
          <w:rtl/>
          <w:lang w:bidi="ar-EG"/>
        </w:rPr>
      </w:pPr>
      <w:r>
        <w:rPr>
          <w:rFonts w:hint="cs"/>
          <w:rtl/>
        </w:rPr>
        <w:t>(</w:t>
      </w:r>
      <w:r w:rsidR="00266725">
        <w:rPr>
          <w:rFonts w:hint="cs"/>
          <w:rtl/>
        </w:rPr>
        <w:t>11</w:t>
      </w:r>
      <w:r>
        <w:rPr>
          <w:rFonts w:hint="cs"/>
          <w:rtl/>
        </w:rPr>
        <w:t>)</w:t>
      </w:r>
      <w:r w:rsidR="00266725" w:rsidRPr="00133788">
        <w:rPr>
          <w:rtl/>
        </w:rPr>
        <w:tab/>
      </w:r>
      <w:r w:rsidR="00266725">
        <w:rPr>
          <w:rFonts w:hint="cs"/>
          <w:rtl/>
          <w:lang w:bidi="ar-EG"/>
        </w:rPr>
        <w:t>تلاحظ اللجنة الآثار الإيجابية لتعديل إجراءات اللجوء في تموز/يوليه 2010، حيث استحدث إجراء الثمانية أيام المعجل، وتلاحظ المعلومات التي تفيد بأنه قد أجري معالجة ما</w:t>
      </w:r>
      <w:r w:rsidR="00266725">
        <w:rPr>
          <w:rFonts w:hint="eastAsia"/>
          <w:rtl/>
          <w:lang w:bidi="ar-EG"/>
        </w:rPr>
        <w:t> </w:t>
      </w:r>
      <w:r w:rsidR="00266725">
        <w:rPr>
          <w:rFonts w:hint="cs"/>
          <w:rtl/>
          <w:lang w:bidi="ar-EG"/>
        </w:rPr>
        <w:t xml:space="preserve">يقرب من 90 في المائة من طلبات اللجوء الجديدة أو على الأقل أجريت مقابلات بشأنها في إطار إجراء الثمانية أيام، غير أن اللجنة تشعر بالقلق لأن الضغط من أجل البت في الطلبات بسرعة يضع قيوداً على </w:t>
      </w:r>
      <w:r w:rsidR="00266725" w:rsidRPr="00D62414">
        <w:rPr>
          <w:rFonts w:hint="cs"/>
          <w:rtl/>
          <w:lang w:bidi="ar-EG"/>
        </w:rPr>
        <w:t>الضمانات</w:t>
      </w:r>
      <w:r w:rsidR="00266725" w:rsidRPr="00D62414">
        <w:rPr>
          <w:rtl/>
          <w:lang w:bidi="ar-EG"/>
        </w:rPr>
        <w:t xml:space="preserve"> </w:t>
      </w:r>
      <w:r w:rsidR="00266725" w:rsidRPr="00D62414">
        <w:rPr>
          <w:rFonts w:hint="cs"/>
          <w:rtl/>
          <w:lang w:bidi="ar-EG"/>
        </w:rPr>
        <w:t>الإجرائية،</w:t>
      </w:r>
      <w:r w:rsidR="00266725">
        <w:rPr>
          <w:rFonts w:hint="cs"/>
          <w:rtl/>
          <w:lang w:bidi="ar-EG"/>
        </w:rPr>
        <w:t xml:space="preserve"> والاستعراض العادل للطلبات الذي تضطلع به </w:t>
      </w:r>
      <w:r w:rsidR="00266725" w:rsidRPr="001B5A5A">
        <w:rPr>
          <w:rFonts w:hint="cs"/>
          <w:rtl/>
          <w:lang w:bidi="ar-EG"/>
        </w:rPr>
        <w:t>دائرة</w:t>
      </w:r>
      <w:r w:rsidR="00266725" w:rsidRPr="001B5A5A">
        <w:rPr>
          <w:rtl/>
          <w:lang w:bidi="ar-EG"/>
        </w:rPr>
        <w:t xml:space="preserve"> </w:t>
      </w:r>
      <w:r w:rsidR="00266725" w:rsidRPr="001B5A5A">
        <w:rPr>
          <w:rFonts w:hint="cs"/>
          <w:rtl/>
          <w:lang w:bidi="ar-EG"/>
        </w:rPr>
        <w:t>الهجرة</w:t>
      </w:r>
      <w:r w:rsidR="00266725" w:rsidRPr="001B5A5A">
        <w:rPr>
          <w:rtl/>
          <w:lang w:bidi="ar-EG"/>
        </w:rPr>
        <w:t xml:space="preserve"> </w:t>
      </w:r>
      <w:r w:rsidR="00266725" w:rsidRPr="001B5A5A">
        <w:rPr>
          <w:rFonts w:hint="cs"/>
          <w:rtl/>
          <w:lang w:bidi="ar-EG"/>
        </w:rPr>
        <w:t>والجنسية</w:t>
      </w:r>
      <w:r w:rsidR="00266725">
        <w:rPr>
          <w:rFonts w:hint="cs"/>
          <w:rtl/>
          <w:lang w:bidi="ar-EG"/>
        </w:rPr>
        <w:t>. و</w:t>
      </w:r>
      <w:r w:rsidR="00266725" w:rsidRPr="007741C0">
        <w:rPr>
          <w:rFonts w:hint="cs"/>
          <w:rtl/>
          <w:lang w:bidi="ar-EG"/>
        </w:rPr>
        <w:t>تعرب</w:t>
      </w:r>
      <w:r w:rsidR="00266725" w:rsidRPr="007741C0">
        <w:rPr>
          <w:rtl/>
          <w:lang w:bidi="ar-EG"/>
        </w:rPr>
        <w:t xml:space="preserve"> </w:t>
      </w:r>
      <w:r w:rsidR="00266725" w:rsidRPr="007741C0">
        <w:rPr>
          <w:rFonts w:hint="cs"/>
          <w:rtl/>
          <w:lang w:bidi="ar-EG"/>
        </w:rPr>
        <w:t>اللجنة</w:t>
      </w:r>
      <w:r w:rsidR="00266725" w:rsidRPr="007741C0">
        <w:rPr>
          <w:rtl/>
          <w:lang w:bidi="ar-EG"/>
        </w:rPr>
        <w:t xml:space="preserve"> </w:t>
      </w:r>
      <w:r w:rsidR="00266725" w:rsidRPr="007741C0">
        <w:rPr>
          <w:rFonts w:hint="cs"/>
          <w:rtl/>
          <w:lang w:bidi="ar-EG"/>
        </w:rPr>
        <w:t>بوجه</w:t>
      </w:r>
      <w:r w:rsidR="00266725" w:rsidRPr="007741C0">
        <w:rPr>
          <w:rtl/>
          <w:lang w:bidi="ar-EG"/>
        </w:rPr>
        <w:t xml:space="preserve"> </w:t>
      </w:r>
      <w:r w:rsidR="00266725" w:rsidRPr="007741C0">
        <w:rPr>
          <w:rFonts w:hint="cs"/>
          <w:rtl/>
          <w:lang w:bidi="ar-EG"/>
        </w:rPr>
        <w:t>خاص،</w:t>
      </w:r>
      <w:r w:rsidR="00266725" w:rsidRPr="007741C0">
        <w:rPr>
          <w:rtl/>
          <w:lang w:bidi="ar-EG"/>
        </w:rPr>
        <w:t xml:space="preserve"> </w:t>
      </w:r>
      <w:r w:rsidR="00266725" w:rsidRPr="007741C0">
        <w:rPr>
          <w:rFonts w:hint="cs"/>
          <w:rtl/>
          <w:lang w:bidi="ar-EG"/>
        </w:rPr>
        <w:t>عن</w:t>
      </w:r>
      <w:r w:rsidR="00266725" w:rsidRPr="007741C0">
        <w:rPr>
          <w:rtl/>
          <w:lang w:bidi="ar-EG"/>
        </w:rPr>
        <w:t xml:space="preserve"> </w:t>
      </w:r>
      <w:r w:rsidR="00266725" w:rsidRPr="007741C0">
        <w:rPr>
          <w:rFonts w:hint="cs"/>
          <w:rtl/>
          <w:lang w:bidi="ar-EG"/>
        </w:rPr>
        <w:t>القلق</w:t>
      </w:r>
      <w:r w:rsidR="00266725" w:rsidRPr="007741C0">
        <w:rPr>
          <w:rtl/>
          <w:lang w:bidi="ar-EG"/>
        </w:rPr>
        <w:t xml:space="preserve"> </w:t>
      </w:r>
      <w:r w:rsidR="00266725">
        <w:rPr>
          <w:rFonts w:hint="cs"/>
          <w:rtl/>
          <w:lang w:bidi="ar-EG"/>
        </w:rPr>
        <w:t>إزاء ما يلي:</w:t>
      </w:r>
    </w:p>
    <w:p w:rsidR="00266725" w:rsidRDefault="00266725" w:rsidP="007400FE">
      <w:pPr>
        <w:pStyle w:val="SingleTxtGA"/>
        <w:spacing w:line="370" w:lineRule="exact"/>
        <w:rPr>
          <w:rFonts w:hint="cs"/>
          <w:lang w:bidi="ar-EG"/>
        </w:rPr>
      </w:pPr>
      <w:r>
        <w:rPr>
          <w:rtl/>
          <w:lang w:bidi="ar-EG"/>
        </w:rPr>
        <w:tab/>
      </w:r>
      <w:r>
        <w:rPr>
          <w:rFonts w:hint="cs"/>
          <w:rtl/>
          <w:lang w:bidi="ar-EG"/>
        </w:rPr>
        <w:t>(أ)</w:t>
      </w:r>
      <w:r>
        <w:rPr>
          <w:rFonts w:hint="cs"/>
          <w:rtl/>
          <w:lang w:bidi="ar-EG"/>
        </w:rPr>
        <w:tab/>
        <w:t>الإجراءات المعجلة قد تمنع ملتمسي اللجوء من عرض مطالباتهم وإثباتها بشكل كامل، ومن ثم تعرض الأشخاص المحتاجين إلى حماية دولية بدرجة أكبر لخطر الرفض وإمكانية إعادتهم إلى بلد قد يواجهون فيه التعرض للاضطهاد أو التعذيب أو إساءة المعاملة، مما يشكل انتهاكاً لمبدأ عدم الإعادة القسرية (المادة 3)؛</w:t>
      </w:r>
    </w:p>
    <w:p w:rsidR="00266725" w:rsidRDefault="00266725" w:rsidP="007400FE">
      <w:pPr>
        <w:pStyle w:val="SingleTxtGA"/>
        <w:spacing w:line="370" w:lineRule="exact"/>
        <w:rPr>
          <w:rFonts w:hint="cs"/>
          <w:lang w:bidi="ar-EG"/>
        </w:rPr>
      </w:pPr>
      <w:r>
        <w:rPr>
          <w:rtl/>
          <w:lang w:bidi="ar-EG"/>
        </w:rPr>
        <w:tab/>
      </w:r>
      <w:r>
        <w:rPr>
          <w:rFonts w:hint="cs"/>
          <w:rtl/>
          <w:lang w:bidi="ar-EG"/>
        </w:rPr>
        <w:t>(ب)</w:t>
      </w:r>
      <w:r>
        <w:rPr>
          <w:rFonts w:hint="cs"/>
          <w:rtl/>
          <w:lang w:bidi="ar-EG"/>
        </w:rPr>
        <w:tab/>
        <w:t>لا يخصص سوى 12 ساعة للمساعدة القانونية خلال إجراءات اللجوء، مما</w:t>
      </w:r>
      <w:r>
        <w:rPr>
          <w:rFonts w:hint="eastAsia"/>
          <w:rtl/>
          <w:lang w:bidi="ar-EG"/>
        </w:rPr>
        <w:t> </w:t>
      </w:r>
      <w:r>
        <w:rPr>
          <w:rFonts w:hint="cs"/>
          <w:rtl/>
          <w:lang w:bidi="ar-EG"/>
        </w:rPr>
        <w:t>قد يحد من جودة المشورة القانونية لملتمسي اللجوء ذوي المطالبات المعقدة (المادة 3)؛</w:t>
      </w:r>
    </w:p>
    <w:p w:rsidR="00266725" w:rsidRDefault="00266725" w:rsidP="007400FE">
      <w:pPr>
        <w:pStyle w:val="SingleTxtGA"/>
        <w:spacing w:line="370" w:lineRule="exact"/>
        <w:rPr>
          <w:rFonts w:hint="cs"/>
          <w:lang w:bidi="ar-EG"/>
        </w:rPr>
      </w:pPr>
      <w:r>
        <w:rPr>
          <w:rFonts w:hint="cs"/>
          <w:rtl/>
          <w:lang w:bidi="ar-EG"/>
        </w:rPr>
        <w:tab/>
        <w:t>(ج)</w:t>
      </w:r>
      <w:r>
        <w:rPr>
          <w:rFonts w:hint="cs"/>
          <w:rtl/>
          <w:lang w:bidi="ar-EG"/>
        </w:rPr>
        <w:tab/>
        <w:t>يُنظر إلى المعلومات التي يحيلها ملتمس اللجوء بعد اتخاذ السلطات المعنية للقرار الأولي باعتبارها ذات قيمة أقل من المعلومات التي تقدم قبل اعتماد القرار الأولي، ولا</w:t>
      </w:r>
      <w:r>
        <w:rPr>
          <w:rFonts w:hint="eastAsia"/>
          <w:rtl/>
          <w:lang w:bidi="ar-EG"/>
        </w:rPr>
        <w:t> </w:t>
      </w:r>
      <w:r>
        <w:rPr>
          <w:rFonts w:hint="cs"/>
          <w:rtl/>
          <w:lang w:bidi="ar-EG"/>
        </w:rPr>
        <w:t>تنص إجراءات الاستئناف أمام مجلس الدولة (</w:t>
      </w:r>
      <w:r w:rsidRPr="0073637D">
        <w:rPr>
          <w:rFonts w:hint="cs"/>
          <w:rtl/>
          <w:lang w:bidi="ar-EG"/>
        </w:rPr>
        <w:t>شعبة</w:t>
      </w:r>
      <w:r w:rsidRPr="0073637D">
        <w:rPr>
          <w:rtl/>
          <w:lang w:bidi="ar-EG"/>
        </w:rPr>
        <w:t xml:space="preserve"> </w:t>
      </w:r>
      <w:r w:rsidRPr="0073637D">
        <w:rPr>
          <w:rFonts w:hint="cs"/>
          <w:rtl/>
          <w:lang w:bidi="ar-EG"/>
        </w:rPr>
        <w:t>القضاء</w:t>
      </w:r>
      <w:r w:rsidRPr="0073637D">
        <w:rPr>
          <w:rtl/>
          <w:lang w:bidi="ar-EG"/>
        </w:rPr>
        <w:t xml:space="preserve"> </w:t>
      </w:r>
      <w:r w:rsidRPr="0073637D">
        <w:rPr>
          <w:rFonts w:hint="cs"/>
          <w:rtl/>
          <w:lang w:bidi="ar-EG"/>
        </w:rPr>
        <w:t>الإداري</w:t>
      </w:r>
      <w:r>
        <w:rPr>
          <w:rFonts w:hint="cs"/>
          <w:rtl/>
          <w:lang w:bidi="ar-EG"/>
        </w:rPr>
        <w:t>) سوى على إجراء استعراض هامشي للوقائع مما يحد بشكل كبير من فعالية إجراءات الاستئناف (المادة 3).</w:t>
      </w:r>
    </w:p>
    <w:p w:rsidR="00266725" w:rsidRPr="0010055C" w:rsidRDefault="00266725" w:rsidP="007400FE">
      <w:pPr>
        <w:pStyle w:val="SingleTxtGA"/>
        <w:spacing w:line="370" w:lineRule="exact"/>
        <w:rPr>
          <w:rFonts w:hint="cs"/>
          <w:b/>
          <w:bCs/>
          <w:rtl/>
          <w:lang w:bidi="ar-EG"/>
        </w:rPr>
      </w:pPr>
      <w:r>
        <w:rPr>
          <w:b/>
          <w:bCs/>
          <w:rtl/>
          <w:lang w:bidi="ar-EG"/>
        </w:rPr>
        <w:tab/>
      </w:r>
      <w:r w:rsidRPr="0010055C">
        <w:rPr>
          <w:rFonts w:hint="cs"/>
          <w:b/>
          <w:bCs/>
          <w:rtl/>
          <w:lang w:bidi="ar-EG"/>
        </w:rPr>
        <w:t>تلاحظ اللجنة اعتزام الدولة الطرف تقييم إجراءات اللجوء المعجلة في عام</w:t>
      </w:r>
      <w:r>
        <w:rPr>
          <w:rFonts w:hint="eastAsia"/>
          <w:b/>
          <w:bCs/>
          <w:rtl/>
          <w:lang w:bidi="ar-EG"/>
        </w:rPr>
        <w:t> </w:t>
      </w:r>
      <w:r w:rsidRPr="0010055C">
        <w:rPr>
          <w:rFonts w:hint="cs"/>
          <w:b/>
          <w:bCs/>
          <w:rtl/>
          <w:lang w:bidi="ar-EG"/>
        </w:rPr>
        <w:t>2013، وتوصي الدولة الطرف بالنظر في التنقيحات التالية:</w:t>
      </w:r>
    </w:p>
    <w:p w:rsidR="00266725" w:rsidRPr="007400FE" w:rsidRDefault="00266725" w:rsidP="007400FE">
      <w:pPr>
        <w:pStyle w:val="SingleTxtGA"/>
        <w:spacing w:line="370" w:lineRule="exact"/>
        <w:rPr>
          <w:rFonts w:ascii="Times New Roman Bold" w:hAnsi="Times New Roman Bold" w:hint="cs"/>
          <w:b/>
          <w:bCs/>
          <w:spacing w:val="-2"/>
          <w:lang w:bidi="ar-EG"/>
        </w:rPr>
      </w:pPr>
      <w:r w:rsidRPr="007400FE">
        <w:rPr>
          <w:rFonts w:ascii="Times New Roman Bold" w:hAnsi="Times New Roman Bold"/>
          <w:b/>
          <w:bCs/>
          <w:spacing w:val="-2"/>
          <w:rtl/>
          <w:lang w:bidi="ar-EG"/>
        </w:rPr>
        <w:tab/>
      </w:r>
      <w:r w:rsidRPr="007400FE">
        <w:rPr>
          <w:rFonts w:ascii="Times New Roman Bold" w:hAnsi="Times New Roman Bold" w:hint="cs"/>
          <w:b/>
          <w:bCs/>
          <w:spacing w:val="-2"/>
          <w:rtl/>
          <w:lang w:bidi="ar-EG"/>
        </w:rPr>
        <w:t>(أ)</w:t>
      </w:r>
      <w:r w:rsidRPr="007400FE">
        <w:rPr>
          <w:rFonts w:ascii="Times New Roman Bold" w:hAnsi="Times New Roman Bold" w:hint="cs"/>
          <w:b/>
          <w:bCs/>
          <w:spacing w:val="-2"/>
          <w:rtl/>
          <w:lang w:bidi="ar-EG"/>
        </w:rPr>
        <w:tab/>
        <w:t>منح الوقت الكافي لملتمسي اللجوء، لا سيما من يخضعون لإجراءات معجلة، ليوضحوا بشكل كامل أسباب طلبهم ويقدموا الأدلة الضرورية لضمان اتخاذ إجراءات لجوء عادلة وفعالة تكفل الاعتراف على النحو الواجب بشرعية الطلبات المقدمة من اللاجئين وغيرهم من الأشخاص المحتاجين إلى الحماية الدولية ومنع إعادتهم قسراً؛</w:t>
      </w:r>
    </w:p>
    <w:p w:rsidR="00266725" w:rsidRPr="00ED3489" w:rsidRDefault="00266725" w:rsidP="007400FE">
      <w:pPr>
        <w:pStyle w:val="SingleTxtGA"/>
        <w:spacing w:line="370" w:lineRule="exact"/>
        <w:rPr>
          <w:rFonts w:hint="cs"/>
          <w:b/>
          <w:bCs/>
          <w:lang w:bidi="ar-EG"/>
        </w:rPr>
      </w:pPr>
      <w:r>
        <w:rPr>
          <w:b/>
          <w:bCs/>
          <w:rtl/>
          <w:lang w:bidi="ar-EG"/>
        </w:rPr>
        <w:tab/>
      </w:r>
      <w:r>
        <w:rPr>
          <w:rFonts w:hint="cs"/>
          <w:b/>
          <w:bCs/>
          <w:rtl/>
          <w:lang w:bidi="ar-EG"/>
        </w:rPr>
        <w:t>(ب)</w:t>
      </w:r>
      <w:r>
        <w:rPr>
          <w:rFonts w:hint="cs"/>
          <w:b/>
          <w:bCs/>
          <w:rtl/>
          <w:lang w:bidi="ar-EG"/>
        </w:rPr>
        <w:tab/>
      </w:r>
      <w:r w:rsidRPr="00ED3489">
        <w:rPr>
          <w:rFonts w:hint="cs"/>
          <w:b/>
          <w:bCs/>
          <w:rtl/>
          <w:lang w:bidi="ar-EG"/>
        </w:rPr>
        <w:t>السماح بتقديم مساعدة قانونية مناسبة لكافة ملتمسي اللجوء بما في ذلك عن طريق تقديم استثناءات من الحد الأقصى لعدد ساعات المساعدة القانونية خلال إجراءات اللجوء لتيسير تقديم المطالبات المعقدة؛</w:t>
      </w:r>
    </w:p>
    <w:p w:rsidR="00266725" w:rsidRPr="00ED3489" w:rsidRDefault="00266725" w:rsidP="007400FE">
      <w:pPr>
        <w:pStyle w:val="SingleTxtGA"/>
        <w:spacing w:line="370" w:lineRule="exact"/>
        <w:rPr>
          <w:rFonts w:hint="cs"/>
          <w:b/>
          <w:bCs/>
          <w:lang w:bidi="ar-EG"/>
        </w:rPr>
      </w:pPr>
      <w:r>
        <w:rPr>
          <w:b/>
          <w:bCs/>
          <w:rtl/>
          <w:lang w:bidi="ar-EG"/>
        </w:rPr>
        <w:tab/>
      </w:r>
      <w:r>
        <w:rPr>
          <w:rFonts w:hint="cs"/>
          <w:b/>
          <w:bCs/>
          <w:rtl/>
          <w:lang w:bidi="ar-EG"/>
        </w:rPr>
        <w:t>(ج)</w:t>
      </w:r>
      <w:r>
        <w:rPr>
          <w:rFonts w:hint="cs"/>
          <w:b/>
          <w:bCs/>
          <w:rtl/>
          <w:lang w:bidi="ar-EG"/>
        </w:rPr>
        <w:tab/>
      </w:r>
      <w:r w:rsidRPr="00ED3489">
        <w:rPr>
          <w:rFonts w:hint="cs"/>
          <w:b/>
          <w:bCs/>
          <w:rtl/>
          <w:lang w:bidi="ar-EG"/>
        </w:rPr>
        <w:t>السماح لملتمسي اللجوء بتقديم الأدلة الجديدة التي لم يتمكنوا من إتاحتها خلال المقابلة الأولى بشأن الأسس الموضوعية، وضمان أن تنص إجراءات الاستئناف أمام مجلس الدولة على إجراء استعراض كامل للطلبات المرفوضة.</w:t>
      </w:r>
    </w:p>
    <w:p w:rsidR="00266725" w:rsidRPr="007A0F66" w:rsidRDefault="00266725" w:rsidP="007400FE">
      <w:pPr>
        <w:pStyle w:val="H23GA"/>
        <w:spacing w:line="370" w:lineRule="exact"/>
        <w:rPr>
          <w:rFonts w:hint="cs"/>
          <w:rtl/>
          <w:lang w:bidi="ar-EG"/>
        </w:rPr>
      </w:pPr>
      <w:r>
        <w:rPr>
          <w:rFonts w:hint="cs"/>
          <w:rtl/>
          <w:lang w:bidi="ar-EG"/>
        </w:rPr>
        <w:tab/>
      </w:r>
      <w:r>
        <w:rPr>
          <w:rFonts w:hint="cs"/>
          <w:rtl/>
          <w:lang w:bidi="ar-EG"/>
        </w:rPr>
        <w:tab/>
      </w:r>
      <w:r w:rsidRPr="007A0F66">
        <w:rPr>
          <w:rFonts w:hint="cs"/>
          <w:rtl/>
          <w:lang w:bidi="ar-EG"/>
        </w:rPr>
        <w:t>الفحوص الطبية كجزء من إجراءات اللجوء</w:t>
      </w:r>
    </w:p>
    <w:p w:rsidR="00266725" w:rsidRDefault="007400FE" w:rsidP="007400FE">
      <w:pPr>
        <w:pStyle w:val="SingleTxtGA"/>
        <w:spacing w:line="370" w:lineRule="exact"/>
        <w:rPr>
          <w:rFonts w:hint="cs"/>
          <w:rtl/>
          <w:lang w:bidi="ar-EG"/>
        </w:rPr>
      </w:pPr>
      <w:r>
        <w:rPr>
          <w:rFonts w:hint="cs"/>
          <w:rtl/>
          <w:lang w:bidi="ar-EG"/>
        </w:rPr>
        <w:t>(</w:t>
      </w:r>
      <w:r w:rsidR="00266725" w:rsidRPr="005409DF">
        <w:rPr>
          <w:rtl/>
          <w:lang w:bidi="ar-EG"/>
        </w:rPr>
        <w:t>12</w:t>
      </w:r>
      <w:r>
        <w:rPr>
          <w:rFonts w:hint="cs"/>
          <w:rtl/>
          <w:lang w:bidi="ar-EG"/>
        </w:rPr>
        <w:t>)</w:t>
      </w:r>
      <w:r w:rsidR="00266725" w:rsidRPr="005409DF">
        <w:rPr>
          <w:rtl/>
          <w:lang w:bidi="ar-EG"/>
        </w:rPr>
        <w:tab/>
        <w:t>تشعر اللجنة أيضاً بالقلق لأن تقييم الأفراد خلال الفحوص الطبية التي تشكل جزءاً من إجراءات اللجوء يستند بصورة رئيسية إلى قدرتهم على إجراء مقابلات، لكنه يغفل احتياجاتهم المحتملة للعلاج والدعم بسبب إساءة المعاملة والتعذيب والصدمات التي تصيبهم. وهذه الممارسة المتمثلة في عدم استخدام دليل التحقيق والتوثيق الفعالين في حالات التعذيب وغيرها من ضروب المعاملة أو العقوبة القاسية أو اللاإنسانية أو المهينة (بروتوكول اسطنبول) كوسيلة لإنشاء علاقة بين إساءة المعاملة المؤكدة في طلب اللجوء ونتائج الفحص البدني الفعلي، لا تتوافق مع الشروط المحددة في بروتوكول اسطنبول (المادتان 3 و10).</w:t>
      </w:r>
    </w:p>
    <w:p w:rsidR="00266725" w:rsidRPr="005409DF" w:rsidRDefault="00266725" w:rsidP="007400FE">
      <w:pPr>
        <w:pStyle w:val="SingleTxtGA"/>
        <w:spacing w:line="370" w:lineRule="exact"/>
        <w:rPr>
          <w:rFonts w:hint="cs"/>
          <w:b/>
          <w:bCs/>
          <w:rtl/>
          <w:lang w:bidi="ar-EG"/>
        </w:rPr>
      </w:pPr>
      <w:r>
        <w:rPr>
          <w:rtl/>
          <w:lang w:bidi="ar-EG"/>
        </w:rPr>
        <w:tab/>
      </w:r>
      <w:r w:rsidRPr="005409DF">
        <w:rPr>
          <w:rFonts w:hint="cs"/>
          <w:b/>
          <w:bCs/>
          <w:rtl/>
          <w:lang w:bidi="ar-EG"/>
        </w:rPr>
        <w:t>توصي اللجنة الدولة الطرف باتخاذ التدابير التالية:</w:t>
      </w:r>
    </w:p>
    <w:p w:rsidR="00266725" w:rsidRPr="00EF27CD" w:rsidRDefault="00266725" w:rsidP="007400FE">
      <w:pPr>
        <w:pStyle w:val="SingleTxtGA"/>
        <w:spacing w:line="370" w:lineRule="exact"/>
        <w:rPr>
          <w:rFonts w:hint="cs"/>
          <w:b/>
          <w:bCs/>
          <w:lang w:bidi="ar-EG"/>
        </w:rPr>
      </w:pPr>
      <w:r>
        <w:rPr>
          <w:rtl/>
          <w:lang w:bidi="ar-EG"/>
        </w:rPr>
        <w:tab/>
      </w:r>
      <w:r w:rsidRPr="00EF27CD">
        <w:rPr>
          <w:rFonts w:hint="cs"/>
          <w:b/>
          <w:bCs/>
          <w:rtl/>
          <w:lang w:bidi="ar-EG"/>
        </w:rPr>
        <w:t>(أ)</w:t>
      </w:r>
      <w:r w:rsidRPr="00EF27CD">
        <w:rPr>
          <w:rFonts w:hint="cs"/>
          <w:b/>
          <w:bCs/>
          <w:rtl/>
          <w:lang w:bidi="ar-EG"/>
        </w:rPr>
        <w:tab/>
        <w:t>القيام مبكراً بتحديد ملتمسي اللجوء الذين تكون لديهم احتياجات محددة لضمان تقييم مقدمي الطلبات خلال الفحص الطبي ب</w:t>
      </w:r>
      <w:r>
        <w:rPr>
          <w:rFonts w:hint="cs"/>
          <w:b/>
          <w:bCs/>
          <w:rtl/>
          <w:lang w:bidi="ar-EG"/>
        </w:rPr>
        <w:t>اعتباره جزءاً من إجراءات اللجوء</w:t>
      </w:r>
      <w:r w:rsidRPr="00EF27CD">
        <w:rPr>
          <w:rFonts w:hint="cs"/>
          <w:b/>
          <w:bCs/>
          <w:rtl/>
          <w:lang w:bidi="ar-EG"/>
        </w:rPr>
        <w:t>،</w:t>
      </w:r>
      <w:r>
        <w:rPr>
          <w:rFonts w:hint="cs"/>
          <w:b/>
          <w:bCs/>
          <w:rtl/>
          <w:lang w:bidi="ar-EG"/>
        </w:rPr>
        <w:t xml:space="preserve"> </w:t>
      </w:r>
      <w:r w:rsidRPr="00EF27CD">
        <w:rPr>
          <w:rFonts w:hint="cs"/>
          <w:b/>
          <w:bCs/>
          <w:rtl/>
          <w:lang w:bidi="ar-EG"/>
        </w:rPr>
        <w:t>وتحديد قدرتهم على إجراء المقابلة على نحو سليم وعلى أساس احتياجاتهم المحتملة للعلاج والدعم بسبب إساءة المعاملة أو التعذيب أو الصدمات التي تصيبهم؛</w:t>
      </w:r>
    </w:p>
    <w:p w:rsidR="00266725" w:rsidRPr="00EF27CD" w:rsidRDefault="00266725" w:rsidP="004C3E0C">
      <w:pPr>
        <w:pStyle w:val="SingleTxtGA"/>
        <w:rPr>
          <w:rFonts w:hint="cs"/>
          <w:b/>
          <w:bCs/>
          <w:lang w:bidi="ar-EG"/>
        </w:rPr>
      </w:pPr>
      <w:r w:rsidRPr="00EF27CD">
        <w:rPr>
          <w:b/>
          <w:bCs/>
          <w:rtl/>
          <w:lang w:bidi="ar-EG"/>
        </w:rPr>
        <w:tab/>
      </w:r>
      <w:r w:rsidRPr="00EF27CD">
        <w:rPr>
          <w:rFonts w:hint="cs"/>
          <w:b/>
          <w:bCs/>
          <w:rtl/>
          <w:lang w:bidi="ar-EG"/>
        </w:rPr>
        <w:t>(ب)</w:t>
      </w:r>
      <w:r w:rsidRPr="00EF27CD">
        <w:rPr>
          <w:rFonts w:hint="cs"/>
          <w:b/>
          <w:bCs/>
          <w:rtl/>
          <w:lang w:bidi="ar-EG"/>
        </w:rPr>
        <w:tab/>
        <w:t>تطبيق بروتوكول اسطنبول في إجراءات اللجوء وتوفير التدريب بشأنه للمهنيين المعنيين، من أجل تيسير رصد وتوثيق حالات التعذيب وإساءة المعاملة والتحقيق بشأنهما، والتركيز على آثار التعذيب البدنية والنفسية على حد سواء، بهدف توفير سبل الانتصاف للضحايا.</w:t>
      </w:r>
    </w:p>
    <w:p w:rsidR="00266725" w:rsidRPr="007A220B" w:rsidRDefault="00266725" w:rsidP="004C3E0C">
      <w:pPr>
        <w:pStyle w:val="H23GA"/>
        <w:rPr>
          <w:rFonts w:hint="cs"/>
          <w:rtl/>
          <w:lang w:bidi="ar-EG"/>
        </w:rPr>
      </w:pPr>
      <w:r>
        <w:rPr>
          <w:rFonts w:hint="cs"/>
          <w:rtl/>
          <w:lang w:bidi="ar-EG"/>
        </w:rPr>
        <w:tab/>
      </w:r>
      <w:r>
        <w:rPr>
          <w:rFonts w:hint="cs"/>
          <w:rtl/>
          <w:lang w:bidi="ar-EG"/>
        </w:rPr>
        <w:tab/>
        <w:t xml:space="preserve">إصدار </w:t>
      </w:r>
      <w:r w:rsidRPr="007A220B">
        <w:rPr>
          <w:rFonts w:hint="cs"/>
          <w:rtl/>
          <w:lang w:bidi="ar-EG"/>
        </w:rPr>
        <w:t>تصاريح إقامة لملتمسي اللجوء</w:t>
      </w:r>
    </w:p>
    <w:p w:rsidR="00266725" w:rsidRDefault="007400FE" w:rsidP="004C3E0C">
      <w:pPr>
        <w:pStyle w:val="SingleTxtGA"/>
        <w:rPr>
          <w:rFonts w:hint="cs"/>
          <w:rtl/>
          <w:lang w:bidi="ar-EG"/>
        </w:rPr>
      </w:pPr>
      <w:r>
        <w:rPr>
          <w:rFonts w:hint="cs"/>
          <w:rtl/>
        </w:rPr>
        <w:t>(</w:t>
      </w:r>
      <w:r w:rsidR="00266725">
        <w:rPr>
          <w:rFonts w:hint="cs"/>
          <w:rtl/>
        </w:rPr>
        <w:t>13</w:t>
      </w:r>
      <w:r>
        <w:rPr>
          <w:rFonts w:hint="cs"/>
          <w:rtl/>
        </w:rPr>
        <w:t>)</w:t>
      </w:r>
      <w:r w:rsidR="00266725" w:rsidRPr="00133788">
        <w:rPr>
          <w:rtl/>
        </w:rPr>
        <w:tab/>
      </w:r>
      <w:r w:rsidR="00266725">
        <w:rPr>
          <w:rFonts w:hint="cs"/>
          <w:rtl/>
        </w:rPr>
        <w:t xml:space="preserve">تلاحظ اللجنة بقلق التقارير التي تقدمها مصادر موثوق بها عن اعتزام الحكومة تغيير </w:t>
      </w:r>
      <w:r w:rsidR="00266725">
        <w:rPr>
          <w:rFonts w:hint="cs"/>
          <w:rtl/>
          <w:lang w:bidi="ar-EG"/>
        </w:rPr>
        <w:t>قانون الأجانب لإلغاء الفقرة 1(ج) من المادة 29 من القانون التي تنص على منح تصريح إقامة استناداً إلى أسس إنسانية، مع ترك السلطة التقديرية للحكومة لتفكر مثلاً في مستوى اندماج ملتمس اللجوء في المجتمع. ويقال إن السبب وراء ذلك هو السياسة الجديدة للحكومة الرامية إلى التصدي إلى ما يتصور أنه يمثل إساءة استخدام للقانون عن طريق مطالبة ملتمسي اللجوء بإثبات خوفهم القائم على أسباب وجيهة من الاضطهاد أو الخطر الحقيقي الكامن في</w:t>
      </w:r>
      <w:r>
        <w:rPr>
          <w:rFonts w:hint="eastAsia"/>
          <w:rtl/>
          <w:lang w:bidi="ar-EG"/>
        </w:rPr>
        <w:t> </w:t>
      </w:r>
      <w:r w:rsidR="00266725">
        <w:rPr>
          <w:rFonts w:hint="cs"/>
          <w:rtl/>
          <w:lang w:bidi="ar-EG"/>
        </w:rPr>
        <w:t>تعرضهم للمعاملة القاسية أو</w:t>
      </w:r>
      <w:r w:rsidR="002F691F">
        <w:rPr>
          <w:rFonts w:hint="cs"/>
          <w:rtl/>
          <w:lang w:bidi="ar-EG"/>
        </w:rPr>
        <w:t xml:space="preserve"> </w:t>
      </w:r>
      <w:r w:rsidR="00266725">
        <w:rPr>
          <w:rFonts w:hint="cs"/>
          <w:rtl/>
          <w:lang w:bidi="ar-EG"/>
        </w:rPr>
        <w:t>اللاإنسانية. ويساور القلق أيضاً اللجنة حيال التقارير التي تفيد بأن الحكومة تنحو في إطار تلك التقييمات إلى التركيز على أن ملاحقة مرتكبي الأعمال الفظيعة على النحو الواجب في بلد المقصد، يعني أن الضحايا أصبحوا غير معرضين لخطر الخضوع للتعذيب أو إساءة المعاملة لدى عودتهم إلى ذلك البلد. وقد لا تعالج تلك السياسة بشكل كامل الظروف النفسية للفرد المعني، لذا فلا ينبغي أن تؤدي إلى اتخاذ قرار سلبي بشأن اللجوء وعودة الشخص إلى بلده (المادتان 3 و16).</w:t>
      </w:r>
    </w:p>
    <w:p w:rsidR="00266725" w:rsidRPr="00667867" w:rsidRDefault="00266725" w:rsidP="004C3E0C">
      <w:pPr>
        <w:pStyle w:val="SingleTxtGA"/>
        <w:rPr>
          <w:rFonts w:hint="cs"/>
          <w:b/>
          <w:bCs/>
          <w:rtl/>
          <w:lang w:bidi="ar-EG"/>
        </w:rPr>
      </w:pPr>
      <w:r w:rsidRPr="00667867">
        <w:rPr>
          <w:b/>
          <w:bCs/>
          <w:rtl/>
          <w:lang w:bidi="ar-EG"/>
        </w:rPr>
        <w:tab/>
      </w:r>
      <w:r w:rsidRPr="00667867">
        <w:rPr>
          <w:rFonts w:hint="cs"/>
          <w:b/>
          <w:bCs/>
          <w:rtl/>
          <w:lang w:bidi="ar-EG"/>
        </w:rPr>
        <w:t>توصي اللجنة الدولة الطرف بالنظر في الاحتفاظ بالحكم الوارد في الفقرة 1(ج) من المادة 29 من قانون الأجانب وضمان أن يراعي تقييم الخوف القائم على أسباب وجيهة، ضمن جملة أمور، التعرض مسبقاً للاضطهاد أو الضرر الجسيم باعتبار ذلك مؤشراً خطيراً على الخوف القائم على أسباب وجيهة، سواء كان من الممكن توفير الحماية من العنف المنتشر والشائع في بلد المقصد عن طريق الدولة أو جهات أخرى، وفقاً للمادة 3 من الاتفاقية.</w:t>
      </w:r>
    </w:p>
    <w:p w:rsidR="00266725" w:rsidRPr="00AC4E69" w:rsidRDefault="00266725" w:rsidP="004C3E0C">
      <w:pPr>
        <w:pStyle w:val="H23GA"/>
        <w:rPr>
          <w:rFonts w:hint="cs"/>
          <w:rtl/>
          <w:lang w:bidi="ar-EG"/>
        </w:rPr>
      </w:pPr>
      <w:r>
        <w:rPr>
          <w:rFonts w:hint="cs"/>
          <w:rtl/>
          <w:lang w:bidi="ar-EG"/>
        </w:rPr>
        <w:tab/>
      </w:r>
      <w:r>
        <w:rPr>
          <w:rFonts w:hint="cs"/>
          <w:rtl/>
          <w:lang w:bidi="ar-EG"/>
        </w:rPr>
        <w:tab/>
      </w:r>
      <w:r w:rsidRPr="00AC4E69">
        <w:rPr>
          <w:rFonts w:hint="cs"/>
          <w:rtl/>
          <w:lang w:bidi="ar-EG"/>
        </w:rPr>
        <w:t>احتجاز ملتمسي اللجوء والأجانب استناداً إلى قانون الهجرة</w:t>
      </w:r>
    </w:p>
    <w:p w:rsidR="00266725" w:rsidRDefault="007400FE" w:rsidP="004C3E0C">
      <w:pPr>
        <w:pStyle w:val="SingleTxtGA"/>
        <w:rPr>
          <w:rFonts w:hint="cs"/>
          <w:rtl/>
          <w:lang w:bidi="ar-EG"/>
        </w:rPr>
      </w:pPr>
      <w:r>
        <w:rPr>
          <w:rFonts w:hint="cs"/>
          <w:rtl/>
        </w:rPr>
        <w:t>(</w:t>
      </w:r>
      <w:r w:rsidR="00266725">
        <w:rPr>
          <w:rFonts w:hint="cs"/>
          <w:rtl/>
        </w:rPr>
        <w:t>14</w:t>
      </w:r>
      <w:r>
        <w:rPr>
          <w:rFonts w:hint="cs"/>
          <w:rtl/>
        </w:rPr>
        <w:t>)</w:t>
      </w:r>
      <w:r w:rsidR="00266725" w:rsidRPr="00133788">
        <w:rPr>
          <w:rtl/>
        </w:rPr>
        <w:tab/>
      </w:r>
      <w:r w:rsidR="00266725">
        <w:rPr>
          <w:rFonts w:hint="cs"/>
          <w:rtl/>
        </w:rPr>
        <w:t xml:space="preserve">يساور اللجنة القلق إزاء التقارير التي تفيد بأن </w:t>
      </w:r>
      <w:r w:rsidR="00266725">
        <w:rPr>
          <w:rFonts w:hint="cs"/>
          <w:rtl/>
          <w:lang w:bidi="ar-EG"/>
        </w:rPr>
        <w:t>ملتمسي اللجوء الذين يصلون إلى مطار شيفول بأمستردام يحتجزون بشكل منهجي لفترة تمتد في المتوسط لأربع وأربعين يوماً بسبب عدم الامتثال للمتطلبات اللازمة للحصول على التأشيرة، وهو ما دفع مثلاً 19 محتجزاً إلى الإضراب عن الطعام في 30 نيسان/أبريل 2013، وإلى وقوع حوادث انتحار احتجاجاً على الاحتجاز. وتعالج دوافعهم للبقاء وفقاً لإجراءات نظام دبلن الثاني وهم يظلون محتجزين حتى الوصول إلى نتائج بهذا الشأن. (المادتان 11 و16).</w:t>
      </w:r>
    </w:p>
    <w:p w:rsidR="00266725" w:rsidRPr="00FC6C8E" w:rsidRDefault="00266725" w:rsidP="00266725">
      <w:pPr>
        <w:pStyle w:val="SingleTxtGA"/>
        <w:rPr>
          <w:rFonts w:hint="cs"/>
          <w:b/>
          <w:bCs/>
          <w:rtl/>
          <w:lang w:bidi="ar-EG"/>
        </w:rPr>
      </w:pPr>
      <w:r>
        <w:rPr>
          <w:rtl/>
          <w:lang w:bidi="ar-EG"/>
        </w:rPr>
        <w:tab/>
      </w:r>
      <w:r w:rsidRPr="00FC6C8E">
        <w:rPr>
          <w:rFonts w:hint="cs"/>
          <w:b/>
          <w:bCs/>
          <w:rtl/>
          <w:lang w:bidi="ar-EG"/>
        </w:rPr>
        <w:t>تحث اللجنة الدولة الطرف على ضمان عدم احتجاز ملتمسي اللجوء إلا كملاذ أخير وعند الضرورة، ولفترة قصيرة قدر الإمكان ودون قيود مفرطة، وتحثها على وضع بدائل لاحتجاز ملتمسي اللجوء وتطبيقها على نحو فعال.</w:t>
      </w:r>
    </w:p>
    <w:p w:rsidR="00266725" w:rsidRPr="00B61C73" w:rsidRDefault="007400FE" w:rsidP="00A83CF9">
      <w:pPr>
        <w:pStyle w:val="SingleTxtGA"/>
        <w:spacing w:line="370" w:lineRule="exact"/>
        <w:rPr>
          <w:rFonts w:hint="cs"/>
          <w:rtl/>
          <w:lang w:bidi="ar-EG"/>
        </w:rPr>
      </w:pPr>
      <w:r>
        <w:rPr>
          <w:rFonts w:hint="cs"/>
          <w:rtl/>
        </w:rPr>
        <w:t>(</w:t>
      </w:r>
      <w:r w:rsidR="00266725" w:rsidRPr="00B61C73">
        <w:rPr>
          <w:rFonts w:hint="cs"/>
          <w:rtl/>
        </w:rPr>
        <w:t>15</w:t>
      </w:r>
      <w:r>
        <w:rPr>
          <w:rFonts w:hint="cs"/>
          <w:rtl/>
        </w:rPr>
        <w:t>)</w:t>
      </w:r>
      <w:r w:rsidR="00266725" w:rsidRPr="00B61C73">
        <w:rPr>
          <w:rtl/>
        </w:rPr>
        <w:tab/>
      </w:r>
      <w:r w:rsidR="00266725" w:rsidRPr="00B61C73">
        <w:rPr>
          <w:rFonts w:hint="cs"/>
          <w:rtl/>
          <w:lang w:bidi="ar-EG"/>
        </w:rPr>
        <w:t>وتشعر اللجنة بالقلق لأنه لا يتم التقيد بصرامة على أرض الواقع بمدة الثمانية عشر شهراً وهي الفترة القصوى للاحتجاز الإداري للمواطنين الأجانب الذين يُنتظر طردهم أو</w:t>
      </w:r>
      <w:r w:rsidR="00266725" w:rsidRPr="00B61C73">
        <w:rPr>
          <w:rFonts w:hint="eastAsia"/>
          <w:rtl/>
          <w:lang w:bidi="ar-EG"/>
        </w:rPr>
        <w:t> </w:t>
      </w:r>
      <w:r w:rsidR="00266725" w:rsidRPr="00B61C73">
        <w:rPr>
          <w:rFonts w:hint="cs"/>
          <w:rtl/>
          <w:lang w:bidi="ar-EG"/>
        </w:rPr>
        <w:t>إعادتهم إلى بلدانهم الأصلية، استناداً إلى المادة 59 من قانون الأجانب والمادة 15 من توجيهات الاتحاد الأوروبي بشأن الإعادة (الأمر التوجيهي للاتحاد الأوروبي رقم</w:t>
      </w:r>
      <w:r w:rsidR="00266725" w:rsidRPr="00B61C73">
        <w:rPr>
          <w:rFonts w:hint="eastAsia"/>
          <w:rtl/>
          <w:lang w:bidi="ar-EG"/>
        </w:rPr>
        <w:t> </w:t>
      </w:r>
      <w:r w:rsidR="00266725" w:rsidRPr="00B61C73">
        <w:rPr>
          <w:rtl/>
          <w:lang w:bidi="ar-EG"/>
        </w:rPr>
        <w:t>2008/115/</w:t>
      </w:r>
      <w:r w:rsidR="00266725" w:rsidRPr="00B61C73">
        <w:rPr>
          <w:rFonts w:cs="Times New Roman"/>
          <w:lang w:bidi="ar-EG"/>
        </w:rPr>
        <w:t>EG</w:t>
      </w:r>
      <w:r w:rsidR="00266725" w:rsidRPr="00B61C73">
        <w:rPr>
          <w:rFonts w:hint="cs"/>
          <w:rtl/>
          <w:lang w:bidi="ar-EG"/>
        </w:rPr>
        <w:t>). وقد صدرت تقارير عن نحو 30 في المائة من الأجانب الذين يحتجزون إدارياً بشكل متكرر لفترات أطول من 18 شهراً بسبب توجس الشرطة عقب الإفراج عنهم من احتجازهم الأول نتيجة لعدم وجود تصريح إقامة ساري المفعول.</w:t>
      </w:r>
    </w:p>
    <w:p w:rsidR="00266725" w:rsidRPr="00B61C73" w:rsidRDefault="00266725" w:rsidP="00A83CF9">
      <w:pPr>
        <w:pStyle w:val="SingleTxtGA"/>
        <w:spacing w:line="370" w:lineRule="exact"/>
        <w:rPr>
          <w:rFonts w:hint="cs"/>
          <w:b/>
          <w:bCs/>
          <w:rtl/>
          <w:lang w:bidi="ar-EG"/>
        </w:rPr>
      </w:pPr>
      <w:r>
        <w:rPr>
          <w:rtl/>
          <w:lang w:bidi="ar-EG"/>
        </w:rPr>
        <w:tab/>
      </w:r>
      <w:r w:rsidRPr="00B61C73">
        <w:rPr>
          <w:rFonts w:hint="cs"/>
          <w:b/>
          <w:bCs/>
          <w:rtl/>
          <w:lang w:bidi="ar-EG"/>
        </w:rPr>
        <w:t>توصي اللجنة الدولة الطرف بالآتي:</w:t>
      </w:r>
    </w:p>
    <w:p w:rsidR="00266725" w:rsidRPr="00102559" w:rsidRDefault="00266725" w:rsidP="00A83CF9">
      <w:pPr>
        <w:pStyle w:val="SingleTxtGA"/>
        <w:spacing w:line="370" w:lineRule="exact"/>
        <w:rPr>
          <w:rFonts w:hint="cs"/>
          <w:b/>
          <w:bCs/>
          <w:lang w:bidi="ar-EG"/>
        </w:rPr>
      </w:pPr>
      <w:r w:rsidRPr="00102559">
        <w:rPr>
          <w:b/>
          <w:bCs/>
          <w:rtl/>
          <w:lang w:bidi="ar-EG"/>
        </w:rPr>
        <w:tab/>
      </w:r>
      <w:r w:rsidRPr="00102559">
        <w:rPr>
          <w:rFonts w:hint="cs"/>
          <w:b/>
          <w:bCs/>
          <w:rtl/>
          <w:lang w:bidi="ar-EG"/>
        </w:rPr>
        <w:t>(أ)</w:t>
      </w:r>
      <w:r w:rsidRPr="00102559">
        <w:rPr>
          <w:rFonts w:hint="cs"/>
          <w:b/>
          <w:bCs/>
          <w:rtl/>
          <w:lang w:bidi="ar-EG"/>
        </w:rPr>
        <w:tab/>
        <w:t>الالتزام بدقة بالحدود الزمنية المطلقة للاحتجاز الإداري للمواطنين الأجانب، بما في ذلك في إطار الاحتجاز المتكرر</w:t>
      </w:r>
      <w:r>
        <w:rPr>
          <w:rFonts w:hint="cs"/>
          <w:b/>
          <w:bCs/>
          <w:rtl/>
          <w:lang w:bidi="ar-EG"/>
        </w:rPr>
        <w:t>؛</w:t>
      </w:r>
    </w:p>
    <w:p w:rsidR="00266725" w:rsidRPr="00102559" w:rsidRDefault="00266725" w:rsidP="00A83CF9">
      <w:pPr>
        <w:pStyle w:val="SingleTxtGA"/>
        <w:spacing w:line="370" w:lineRule="exact"/>
        <w:rPr>
          <w:rFonts w:hint="cs"/>
          <w:b/>
          <w:bCs/>
          <w:lang w:bidi="ar-EG"/>
        </w:rPr>
      </w:pPr>
      <w:r w:rsidRPr="00102559">
        <w:rPr>
          <w:b/>
          <w:bCs/>
          <w:rtl/>
          <w:lang w:bidi="ar-EG"/>
        </w:rPr>
        <w:tab/>
      </w:r>
      <w:r w:rsidRPr="00102559">
        <w:rPr>
          <w:rFonts w:hint="cs"/>
          <w:b/>
          <w:bCs/>
          <w:rtl/>
          <w:lang w:bidi="ar-EG"/>
        </w:rPr>
        <w:t>(ب)</w:t>
      </w:r>
      <w:r w:rsidRPr="00102559">
        <w:rPr>
          <w:rFonts w:hint="cs"/>
          <w:b/>
          <w:bCs/>
          <w:rtl/>
          <w:lang w:bidi="ar-EG"/>
        </w:rPr>
        <w:tab/>
        <w:t>تفادي، متى أمكن ذلك، تراكم الاحتجاز الإداري والجزائي، الزائد عن الحدود الزمنية المطلقة وهي 18 شهراً لاحتجاز المهاجرين بموجب قانون الهجرة.</w:t>
      </w:r>
    </w:p>
    <w:p w:rsidR="00266725" w:rsidRDefault="007400FE" w:rsidP="00A83CF9">
      <w:pPr>
        <w:pStyle w:val="SingleTxtGA"/>
        <w:spacing w:line="370" w:lineRule="exact"/>
        <w:rPr>
          <w:rFonts w:hint="cs"/>
          <w:rtl/>
          <w:lang w:bidi="ar-EG"/>
        </w:rPr>
      </w:pPr>
      <w:r>
        <w:rPr>
          <w:rFonts w:hint="cs"/>
          <w:rtl/>
        </w:rPr>
        <w:t>(</w:t>
      </w:r>
      <w:r w:rsidR="00266725">
        <w:rPr>
          <w:rFonts w:hint="cs"/>
          <w:rtl/>
        </w:rPr>
        <w:t>16</w:t>
      </w:r>
      <w:r>
        <w:rPr>
          <w:rFonts w:hint="cs"/>
          <w:rtl/>
        </w:rPr>
        <w:t>)</w:t>
      </w:r>
      <w:r w:rsidR="00266725" w:rsidRPr="00133788">
        <w:rPr>
          <w:rtl/>
        </w:rPr>
        <w:tab/>
      </w:r>
      <w:r w:rsidR="00266725" w:rsidRPr="00F848D6">
        <w:rPr>
          <w:rFonts w:hint="cs"/>
          <w:rtl/>
          <w:lang w:bidi="ar-EG"/>
        </w:rPr>
        <w:t>وتلاحظ</w:t>
      </w:r>
      <w:r w:rsidR="00266725" w:rsidRPr="00F848D6">
        <w:rPr>
          <w:rtl/>
          <w:lang w:bidi="ar-EG"/>
        </w:rPr>
        <w:t xml:space="preserve"> </w:t>
      </w:r>
      <w:r w:rsidR="00266725" w:rsidRPr="00F848D6">
        <w:rPr>
          <w:rFonts w:hint="cs"/>
          <w:rtl/>
          <w:lang w:bidi="ar-EG"/>
        </w:rPr>
        <w:t>اللجنة</w:t>
      </w:r>
      <w:r w:rsidR="00266725" w:rsidRPr="00F848D6">
        <w:rPr>
          <w:rtl/>
          <w:lang w:bidi="ar-EG"/>
        </w:rPr>
        <w:t xml:space="preserve"> </w:t>
      </w:r>
      <w:r w:rsidR="00266725">
        <w:rPr>
          <w:rFonts w:hint="cs"/>
          <w:rtl/>
          <w:lang w:bidi="ar-EG"/>
        </w:rPr>
        <w:t xml:space="preserve">بقلق </w:t>
      </w:r>
      <w:r w:rsidR="00266725" w:rsidRPr="00F848D6">
        <w:rPr>
          <w:rFonts w:hint="cs"/>
          <w:rtl/>
          <w:lang w:bidi="ar-EG"/>
        </w:rPr>
        <w:t>أيضاً</w:t>
      </w:r>
      <w:r w:rsidR="00266725" w:rsidRPr="00F848D6">
        <w:rPr>
          <w:rtl/>
          <w:lang w:bidi="ar-EG"/>
        </w:rPr>
        <w:t xml:space="preserve"> </w:t>
      </w:r>
      <w:r w:rsidR="00266725">
        <w:rPr>
          <w:rFonts w:hint="cs"/>
          <w:rtl/>
          <w:lang w:bidi="ar-EG"/>
        </w:rPr>
        <w:t>أن النظام القانوني في مراكز احتجاز الأجانب لا يختلف عن النظام القانوني في مراكز الاحتجاز الجنائي. ومن الأمور التي أثارت القلق بوجه خاص، التقارير التي تلقتها اللجنة عن الحبس في زنزانة لمدة 16 ساعة، وعدم وجود أنشطة يومية، واستخدام زنازين العزل، واستخدام الأغلال وتعرية الأجانب المحتجزين بموجب قانون الهجرة، الذين ينتظرون طردهم إلى أوطانهم (المادتان 11 و16).</w:t>
      </w:r>
    </w:p>
    <w:p w:rsidR="00266725" w:rsidRPr="001B4250" w:rsidRDefault="00266725" w:rsidP="00A83CF9">
      <w:pPr>
        <w:pStyle w:val="SingleTxtGA"/>
        <w:spacing w:line="370" w:lineRule="exact"/>
        <w:rPr>
          <w:rFonts w:hint="cs"/>
          <w:b/>
          <w:bCs/>
          <w:rtl/>
          <w:lang w:bidi="ar-EG"/>
        </w:rPr>
      </w:pPr>
      <w:r>
        <w:rPr>
          <w:b/>
          <w:bCs/>
          <w:rtl/>
          <w:lang w:bidi="ar-EG"/>
        </w:rPr>
        <w:tab/>
      </w:r>
      <w:r w:rsidRPr="001B4250">
        <w:rPr>
          <w:rFonts w:hint="cs"/>
          <w:b/>
          <w:bCs/>
          <w:rtl/>
          <w:lang w:bidi="ar-EG"/>
        </w:rPr>
        <w:t>تحث اللجنة الدولة الطرف على ضمان أن يكون النظام القانوني لاحتجاز الأجانب مناسباً لذلك الغرض وأن يختلف عن النظام القانوني للاحتجاز الجنائي. كما</w:t>
      </w:r>
      <w:r>
        <w:rPr>
          <w:rFonts w:hint="eastAsia"/>
          <w:b/>
          <w:bCs/>
          <w:rtl/>
          <w:lang w:bidi="ar-EG"/>
        </w:rPr>
        <w:t> </w:t>
      </w:r>
      <w:r w:rsidRPr="001B4250">
        <w:rPr>
          <w:rFonts w:hint="cs"/>
          <w:b/>
          <w:bCs/>
          <w:rtl/>
          <w:lang w:bidi="ar-EG"/>
        </w:rPr>
        <w:t>تحث اللجنة الدولة الطرف على استخدام احتجاز الأجانب كملاذ أخير، وعند الضرورة، ولفترة قصيرة قدر الإمكان ودون قيود مفرطة، وتحث الدولة الطرف على وضع بدائل لذلك الاحتجاز وتطبيقها بشكل فعال.</w:t>
      </w:r>
    </w:p>
    <w:p w:rsidR="00266725" w:rsidRPr="005E7EF0" w:rsidRDefault="00266725" w:rsidP="00A83CF9">
      <w:pPr>
        <w:pStyle w:val="H23GA"/>
        <w:spacing w:line="370" w:lineRule="exact"/>
        <w:rPr>
          <w:rFonts w:hint="cs"/>
          <w:rtl/>
          <w:lang w:bidi="ar-EG"/>
        </w:rPr>
      </w:pPr>
      <w:r>
        <w:rPr>
          <w:rFonts w:hint="cs"/>
          <w:rtl/>
          <w:lang w:bidi="ar-EG"/>
        </w:rPr>
        <w:tab/>
      </w:r>
      <w:r>
        <w:rPr>
          <w:rFonts w:hint="cs"/>
          <w:rtl/>
          <w:lang w:bidi="ar-EG"/>
        </w:rPr>
        <w:tab/>
      </w:r>
      <w:r w:rsidRPr="005E7EF0">
        <w:rPr>
          <w:rFonts w:hint="cs"/>
          <w:rtl/>
          <w:lang w:bidi="ar-EG"/>
        </w:rPr>
        <w:t>الأطفال</w:t>
      </w:r>
      <w:r w:rsidRPr="005E7EF0">
        <w:rPr>
          <w:rtl/>
          <w:lang w:bidi="ar-EG"/>
        </w:rPr>
        <w:t xml:space="preserve"> </w:t>
      </w:r>
      <w:r>
        <w:rPr>
          <w:rFonts w:hint="cs"/>
          <w:rtl/>
          <w:lang w:bidi="ar-EG"/>
        </w:rPr>
        <w:t>ملتمسو اللجوء</w:t>
      </w:r>
      <w:r w:rsidRPr="005E7EF0">
        <w:rPr>
          <w:rFonts w:hint="cs"/>
          <w:rtl/>
          <w:lang w:bidi="ar-EG"/>
        </w:rPr>
        <w:t xml:space="preserve"> </w:t>
      </w:r>
      <w:r>
        <w:rPr>
          <w:rFonts w:hint="cs"/>
          <w:rtl/>
          <w:lang w:bidi="ar-EG"/>
        </w:rPr>
        <w:t xml:space="preserve">غير المصحوبين </w:t>
      </w:r>
      <w:r w:rsidRPr="005E7EF0">
        <w:rPr>
          <w:rFonts w:hint="cs"/>
          <w:rtl/>
          <w:lang w:bidi="ar-EG"/>
        </w:rPr>
        <w:t>والأطفال رهن الاحتجاز</w:t>
      </w:r>
    </w:p>
    <w:p w:rsidR="00266725" w:rsidRDefault="007400FE" w:rsidP="00A83CF9">
      <w:pPr>
        <w:pStyle w:val="SingleTxtGA"/>
        <w:spacing w:line="370" w:lineRule="exact"/>
        <w:rPr>
          <w:rFonts w:hint="cs"/>
          <w:rtl/>
          <w:lang w:bidi="ar-EG"/>
        </w:rPr>
      </w:pPr>
      <w:r>
        <w:rPr>
          <w:rFonts w:hint="cs"/>
          <w:rtl/>
        </w:rPr>
        <w:t>(</w:t>
      </w:r>
      <w:r w:rsidR="00266725">
        <w:rPr>
          <w:rFonts w:hint="cs"/>
          <w:rtl/>
        </w:rPr>
        <w:t>17</w:t>
      </w:r>
      <w:r>
        <w:rPr>
          <w:rFonts w:hint="cs"/>
          <w:rtl/>
        </w:rPr>
        <w:t>)</w:t>
      </w:r>
      <w:r w:rsidR="00266725" w:rsidRPr="00133788">
        <w:rPr>
          <w:rtl/>
        </w:rPr>
        <w:tab/>
      </w:r>
      <w:r w:rsidR="00266725">
        <w:rPr>
          <w:rFonts w:hint="cs"/>
          <w:rtl/>
        </w:rPr>
        <w:t xml:space="preserve">تلاحظ اللجنة </w:t>
      </w:r>
      <w:r w:rsidR="00266725">
        <w:rPr>
          <w:rFonts w:hint="cs"/>
          <w:rtl/>
          <w:lang w:bidi="ar-EG"/>
        </w:rPr>
        <w:t xml:space="preserve">المعلومات التي قدمتها الدولة الطرف والتي تفيد بأن </w:t>
      </w:r>
      <w:r w:rsidR="00266725" w:rsidRPr="00AD2EFD">
        <w:rPr>
          <w:rFonts w:hint="cs"/>
          <w:rtl/>
          <w:lang w:bidi="ar-EG"/>
        </w:rPr>
        <w:t>الأطفال</w:t>
      </w:r>
      <w:r w:rsidR="00266725" w:rsidRPr="00AD2EFD">
        <w:rPr>
          <w:rtl/>
          <w:lang w:bidi="ar-EG"/>
        </w:rPr>
        <w:t xml:space="preserve"> </w:t>
      </w:r>
      <w:r w:rsidR="00266725" w:rsidRPr="00AD2EFD">
        <w:rPr>
          <w:rFonts w:hint="cs"/>
          <w:rtl/>
          <w:lang w:bidi="ar-EG"/>
        </w:rPr>
        <w:t>غير</w:t>
      </w:r>
      <w:r w:rsidR="00266725" w:rsidRPr="00AD2EFD">
        <w:rPr>
          <w:rtl/>
          <w:lang w:bidi="ar-EG"/>
        </w:rPr>
        <w:t xml:space="preserve"> </w:t>
      </w:r>
      <w:r w:rsidR="00266725" w:rsidRPr="00AD2EFD">
        <w:rPr>
          <w:rFonts w:hint="cs"/>
          <w:rtl/>
          <w:lang w:bidi="ar-EG"/>
        </w:rPr>
        <w:t>المصحوبين</w:t>
      </w:r>
      <w:r w:rsidR="00266725" w:rsidRPr="00AD2EFD">
        <w:rPr>
          <w:rtl/>
          <w:lang w:bidi="ar-EG"/>
        </w:rPr>
        <w:t xml:space="preserve"> </w:t>
      </w:r>
      <w:r w:rsidR="00266725" w:rsidRPr="00AD2EFD">
        <w:rPr>
          <w:rFonts w:hint="cs"/>
          <w:rtl/>
          <w:lang w:bidi="ar-EG"/>
        </w:rPr>
        <w:t>من</w:t>
      </w:r>
      <w:r w:rsidR="00266725" w:rsidRPr="00AD2EFD">
        <w:rPr>
          <w:rtl/>
          <w:lang w:bidi="ar-EG"/>
        </w:rPr>
        <w:t xml:space="preserve"> </w:t>
      </w:r>
      <w:r w:rsidR="00266725" w:rsidRPr="00AD2EFD">
        <w:rPr>
          <w:rFonts w:hint="cs"/>
          <w:rtl/>
          <w:lang w:bidi="ar-EG"/>
        </w:rPr>
        <w:t>ملتمسي</w:t>
      </w:r>
      <w:r w:rsidR="00266725" w:rsidRPr="00AD2EFD">
        <w:rPr>
          <w:rtl/>
          <w:lang w:bidi="ar-EG"/>
        </w:rPr>
        <w:t xml:space="preserve"> </w:t>
      </w:r>
      <w:r w:rsidR="00266725" w:rsidRPr="00AD2EFD">
        <w:rPr>
          <w:rFonts w:hint="cs"/>
          <w:rtl/>
          <w:lang w:bidi="ar-EG"/>
        </w:rPr>
        <w:t xml:space="preserve">اللجوء </w:t>
      </w:r>
      <w:r w:rsidR="00266725">
        <w:rPr>
          <w:rFonts w:hint="cs"/>
          <w:rtl/>
          <w:lang w:bidi="ar-EG"/>
        </w:rPr>
        <w:t xml:space="preserve">يظلون في مراكز الاحتجاز في الجزء الأوروبي من المملكة إذا ثارت شكوك حول أعمارهم. ويساور القلق أيضاً اللجنة حيال التقارير التي تقدمها </w:t>
      </w:r>
      <w:r w:rsidR="00266725" w:rsidRPr="006D7794">
        <w:rPr>
          <w:rFonts w:hint="cs"/>
          <w:rtl/>
          <w:lang w:bidi="ar-EG"/>
        </w:rPr>
        <w:t>اللجنة</w:t>
      </w:r>
      <w:r w:rsidR="00266725" w:rsidRPr="006D7794">
        <w:rPr>
          <w:rtl/>
          <w:lang w:bidi="ar-EG"/>
        </w:rPr>
        <w:t xml:space="preserve"> </w:t>
      </w:r>
      <w:r w:rsidR="00266725" w:rsidRPr="006D7794">
        <w:rPr>
          <w:rFonts w:hint="cs"/>
          <w:rtl/>
          <w:lang w:bidi="ar-EG"/>
        </w:rPr>
        <w:t>الأوروبية</w:t>
      </w:r>
      <w:r w:rsidR="00266725" w:rsidRPr="006D7794">
        <w:rPr>
          <w:rtl/>
          <w:lang w:bidi="ar-EG"/>
        </w:rPr>
        <w:t xml:space="preserve"> </w:t>
      </w:r>
      <w:r w:rsidR="00266725" w:rsidRPr="006D7794">
        <w:rPr>
          <w:rFonts w:hint="cs"/>
          <w:rtl/>
          <w:lang w:bidi="ar-EG"/>
        </w:rPr>
        <w:t>لمنع</w:t>
      </w:r>
      <w:r w:rsidR="00266725" w:rsidRPr="006D7794">
        <w:rPr>
          <w:rtl/>
          <w:lang w:bidi="ar-EG"/>
        </w:rPr>
        <w:t xml:space="preserve"> </w:t>
      </w:r>
      <w:r w:rsidR="00266725" w:rsidRPr="006D7794">
        <w:rPr>
          <w:rFonts w:hint="cs"/>
          <w:rtl/>
          <w:lang w:bidi="ar-EG"/>
        </w:rPr>
        <w:t>التعذيب</w:t>
      </w:r>
      <w:r w:rsidR="00266725">
        <w:rPr>
          <w:rFonts w:hint="cs"/>
          <w:rtl/>
          <w:lang w:bidi="ar-EG"/>
        </w:rPr>
        <w:t xml:space="preserve"> فيما يتعلق بالأسر التي لديها أطفال والتي تنتظر الطرد، حيث يتم احتجازها لفترة تزيد على الفترة القصوى التي تبلغ 28 يوماً (المادتان 3 و11).</w:t>
      </w:r>
    </w:p>
    <w:p w:rsidR="00266725" w:rsidRPr="006F4BB1" w:rsidRDefault="00266725" w:rsidP="00A83CF9">
      <w:pPr>
        <w:pStyle w:val="SingleTxtGA"/>
        <w:spacing w:line="370" w:lineRule="exact"/>
        <w:rPr>
          <w:rFonts w:hint="cs"/>
          <w:b/>
          <w:bCs/>
          <w:rtl/>
          <w:lang w:bidi="ar-EG"/>
        </w:rPr>
      </w:pPr>
      <w:r>
        <w:rPr>
          <w:rtl/>
          <w:lang w:bidi="ar-EG"/>
        </w:rPr>
        <w:tab/>
      </w:r>
      <w:r w:rsidRPr="006F4BB1">
        <w:rPr>
          <w:rFonts w:hint="cs"/>
          <w:b/>
          <w:bCs/>
          <w:rtl/>
          <w:lang w:bidi="ar-EG"/>
        </w:rPr>
        <w:t>توصي اللجنة الدولة الطرف بالآتي:</w:t>
      </w:r>
    </w:p>
    <w:p w:rsidR="00266725" w:rsidRPr="006F4BB1" w:rsidRDefault="00266725" w:rsidP="00266725">
      <w:pPr>
        <w:pStyle w:val="SingleTxtGA"/>
        <w:rPr>
          <w:rFonts w:hint="cs"/>
          <w:b/>
          <w:bCs/>
          <w:lang w:bidi="ar-EG"/>
        </w:rPr>
      </w:pPr>
      <w:r>
        <w:rPr>
          <w:b/>
          <w:bCs/>
          <w:rtl/>
          <w:lang w:bidi="ar-EG"/>
        </w:rPr>
        <w:tab/>
      </w:r>
      <w:r>
        <w:rPr>
          <w:rFonts w:hint="cs"/>
          <w:b/>
          <w:bCs/>
          <w:rtl/>
          <w:lang w:bidi="ar-EG"/>
        </w:rPr>
        <w:t>(أ)</w:t>
      </w:r>
      <w:r>
        <w:rPr>
          <w:rFonts w:hint="cs"/>
          <w:b/>
          <w:bCs/>
          <w:rtl/>
          <w:lang w:bidi="ar-EG"/>
        </w:rPr>
        <w:tab/>
      </w:r>
      <w:r w:rsidRPr="006F4BB1">
        <w:rPr>
          <w:rFonts w:hint="cs"/>
          <w:b/>
          <w:bCs/>
          <w:rtl/>
          <w:lang w:bidi="ar-EG"/>
        </w:rPr>
        <w:t>التحقق من عمر الطفل غير المصحوب، إذا كان غير مؤكد، قبل وضعه رهن الاحتجاز. ولا ينبغي اللجوء إلى ذلك الاحتجاز إلا كملاذ أخير؛</w:t>
      </w:r>
    </w:p>
    <w:p w:rsidR="00266725" w:rsidRPr="006F4BB1" w:rsidRDefault="00266725" w:rsidP="00266725">
      <w:pPr>
        <w:pStyle w:val="SingleTxtGA"/>
        <w:rPr>
          <w:rFonts w:hint="cs"/>
          <w:b/>
          <w:bCs/>
          <w:lang w:bidi="ar-EG"/>
        </w:rPr>
      </w:pPr>
      <w:r>
        <w:rPr>
          <w:b/>
          <w:bCs/>
          <w:rtl/>
          <w:lang w:bidi="ar-EG"/>
        </w:rPr>
        <w:tab/>
      </w:r>
      <w:r>
        <w:rPr>
          <w:rFonts w:hint="cs"/>
          <w:b/>
          <w:bCs/>
          <w:rtl/>
          <w:lang w:bidi="ar-EG"/>
        </w:rPr>
        <w:t>(ب)</w:t>
      </w:r>
      <w:r>
        <w:rPr>
          <w:rFonts w:hint="cs"/>
          <w:b/>
          <w:bCs/>
          <w:rtl/>
          <w:lang w:bidi="ar-EG"/>
        </w:rPr>
        <w:tab/>
      </w:r>
      <w:r w:rsidRPr="006F4BB1">
        <w:rPr>
          <w:rFonts w:hint="cs"/>
          <w:b/>
          <w:bCs/>
          <w:rtl/>
          <w:lang w:bidi="ar-EG"/>
        </w:rPr>
        <w:t>اتخاذ تدابير بديلة لتفادي احتجاز الأطفال أو فصلهم عن ذويهم؛</w:t>
      </w:r>
    </w:p>
    <w:p w:rsidR="00266725" w:rsidRPr="006F4BB1" w:rsidRDefault="00266725" w:rsidP="00266725">
      <w:pPr>
        <w:pStyle w:val="SingleTxtGA"/>
        <w:rPr>
          <w:rFonts w:hint="cs"/>
          <w:b/>
          <w:bCs/>
          <w:lang w:bidi="ar-EG"/>
        </w:rPr>
      </w:pPr>
      <w:r>
        <w:rPr>
          <w:b/>
          <w:bCs/>
          <w:rtl/>
          <w:lang w:bidi="ar-EG"/>
        </w:rPr>
        <w:tab/>
      </w:r>
      <w:r>
        <w:rPr>
          <w:rFonts w:hint="cs"/>
          <w:b/>
          <w:bCs/>
          <w:rtl/>
          <w:lang w:bidi="ar-EG"/>
        </w:rPr>
        <w:t>(ج)</w:t>
      </w:r>
      <w:r>
        <w:rPr>
          <w:rFonts w:hint="cs"/>
          <w:b/>
          <w:bCs/>
          <w:rtl/>
          <w:lang w:bidi="ar-EG"/>
        </w:rPr>
        <w:tab/>
      </w:r>
      <w:r w:rsidRPr="006F4BB1">
        <w:rPr>
          <w:rFonts w:hint="cs"/>
          <w:b/>
          <w:bCs/>
          <w:rtl/>
          <w:lang w:bidi="ar-EG"/>
        </w:rPr>
        <w:t>ضمان إمكانية أن يتمتع القصر غير المصحوبين بالحقوق التي تضمنتها اتفاقية حقوق الطفل، التي تعد المملكة طرفاً فيها.</w:t>
      </w:r>
    </w:p>
    <w:p w:rsidR="00266725" w:rsidRPr="00A02BDF" w:rsidRDefault="00266725" w:rsidP="00266725">
      <w:pPr>
        <w:pStyle w:val="H23GA"/>
        <w:rPr>
          <w:rFonts w:hint="cs"/>
          <w:rtl/>
          <w:lang w:bidi="ar-EG"/>
        </w:rPr>
      </w:pPr>
      <w:r>
        <w:rPr>
          <w:rFonts w:hint="cs"/>
          <w:rtl/>
          <w:lang w:bidi="ar-EG"/>
        </w:rPr>
        <w:tab/>
      </w:r>
      <w:r>
        <w:rPr>
          <w:rFonts w:hint="cs"/>
          <w:rtl/>
          <w:lang w:bidi="ar-EG"/>
        </w:rPr>
        <w:tab/>
      </w:r>
      <w:r w:rsidRPr="00A02BDF">
        <w:rPr>
          <w:rFonts w:hint="cs"/>
          <w:rtl/>
          <w:lang w:bidi="ar-EG"/>
        </w:rPr>
        <w:t>الإبعاد القسري</w:t>
      </w:r>
    </w:p>
    <w:p w:rsidR="00266725" w:rsidRDefault="007400FE" w:rsidP="007400FE">
      <w:pPr>
        <w:pStyle w:val="SingleTxtGA"/>
        <w:rPr>
          <w:rFonts w:hint="cs"/>
          <w:rtl/>
          <w:lang w:bidi="ar-EG"/>
        </w:rPr>
      </w:pPr>
      <w:r>
        <w:rPr>
          <w:rFonts w:hint="cs"/>
          <w:rtl/>
        </w:rPr>
        <w:t>(</w:t>
      </w:r>
      <w:r w:rsidR="00266725">
        <w:rPr>
          <w:rFonts w:hint="cs"/>
          <w:rtl/>
        </w:rPr>
        <w:t>18</w:t>
      </w:r>
      <w:r>
        <w:rPr>
          <w:rFonts w:hint="cs"/>
          <w:rtl/>
        </w:rPr>
        <w:t>)</w:t>
      </w:r>
      <w:r w:rsidR="00266725" w:rsidRPr="00133788">
        <w:rPr>
          <w:rtl/>
        </w:rPr>
        <w:tab/>
      </w:r>
      <w:r w:rsidR="00266725">
        <w:rPr>
          <w:rFonts w:hint="cs"/>
          <w:rtl/>
          <w:lang w:bidi="ar-EG"/>
        </w:rPr>
        <w:t xml:space="preserve">تلاحظ اللجنة توضيحات الدولة الطرف </w:t>
      </w:r>
      <w:r w:rsidR="00266725" w:rsidRPr="00113030">
        <w:rPr>
          <w:rFonts w:hint="cs"/>
          <w:rtl/>
          <w:lang w:bidi="ar-EG"/>
        </w:rPr>
        <w:t>بشأن</w:t>
      </w:r>
      <w:r w:rsidR="00266725" w:rsidRPr="00113030">
        <w:rPr>
          <w:rtl/>
          <w:lang w:bidi="ar-EG"/>
        </w:rPr>
        <w:t xml:space="preserve"> </w:t>
      </w:r>
      <w:r w:rsidR="00266725" w:rsidRPr="00113030">
        <w:rPr>
          <w:rFonts w:hint="cs"/>
          <w:rtl/>
          <w:lang w:bidi="ar-EG"/>
        </w:rPr>
        <w:t>الأرقام</w:t>
      </w:r>
      <w:r w:rsidR="00266725" w:rsidRPr="00113030">
        <w:rPr>
          <w:rtl/>
          <w:lang w:bidi="ar-EG"/>
        </w:rPr>
        <w:t xml:space="preserve"> </w:t>
      </w:r>
      <w:r w:rsidR="00266725" w:rsidRPr="00113030">
        <w:rPr>
          <w:rFonts w:hint="cs"/>
          <w:rtl/>
          <w:lang w:bidi="ar-EG"/>
        </w:rPr>
        <w:t>المتعلقة</w:t>
      </w:r>
      <w:r w:rsidR="00266725">
        <w:rPr>
          <w:rFonts w:hint="cs"/>
          <w:rtl/>
          <w:lang w:bidi="ar-EG"/>
        </w:rPr>
        <w:t xml:space="preserve"> بحالات الإبعاد والإعادة القسرية للمواطنين الأجانب. وقد بلغ عدد العائدين قسراً نحو ستة آلاف من إجمالي عدد حالات الإبعاد التي تبلغ في السنوات الأخيرة نحو 20 ألف سنوياً. ويساور اللجنة القلق حيال الحوادث المبلغ عنها والمتعلقة بالاستخدام المفرط للقيود خلال حالات الإعادة القسرية، حيث لم يجر التحقيق في بعضها على النحو الواجب، وفقاً لمصادر معلومات المنظمات غير الحكومية. (المواد 2 و3 و11 و12 و16).</w:t>
      </w:r>
    </w:p>
    <w:p w:rsidR="00266725" w:rsidRPr="00B82884" w:rsidRDefault="00266725" w:rsidP="00266725">
      <w:pPr>
        <w:pStyle w:val="SingleTxtGA"/>
        <w:rPr>
          <w:rFonts w:hint="cs"/>
          <w:b/>
          <w:bCs/>
          <w:rtl/>
          <w:lang w:bidi="ar-EG"/>
        </w:rPr>
      </w:pPr>
      <w:r>
        <w:rPr>
          <w:b/>
          <w:bCs/>
          <w:rtl/>
          <w:lang w:bidi="ar-EG"/>
        </w:rPr>
        <w:tab/>
      </w:r>
      <w:r w:rsidRPr="00B82884">
        <w:rPr>
          <w:rFonts w:hint="cs"/>
          <w:b/>
          <w:bCs/>
          <w:rtl/>
          <w:lang w:bidi="ar-EG"/>
        </w:rPr>
        <w:t>تحث اللجنة الدولة الطرف على عدم استخدام القيود خلال عمليات الإعادة القسرية إلا وفقاً لمبدأ التناسب، والتحقيق في أي حوادث للاستخدام المفرط للقيود والقوة أثناء عمليات الإعادة القسرية.</w:t>
      </w:r>
    </w:p>
    <w:p w:rsidR="00266725" w:rsidRPr="00AE5A77" w:rsidRDefault="00266725" w:rsidP="00266725">
      <w:pPr>
        <w:pStyle w:val="H23GA"/>
        <w:rPr>
          <w:rFonts w:hint="cs"/>
          <w:rtl/>
          <w:lang w:bidi="ar-EG"/>
        </w:rPr>
      </w:pPr>
      <w:r>
        <w:rPr>
          <w:rFonts w:hint="cs"/>
          <w:rtl/>
          <w:lang w:bidi="ar-EG"/>
        </w:rPr>
        <w:tab/>
      </w:r>
      <w:r>
        <w:rPr>
          <w:rFonts w:hint="cs"/>
          <w:rtl/>
          <w:lang w:bidi="ar-EG"/>
        </w:rPr>
        <w:tab/>
      </w:r>
      <w:r w:rsidRPr="00AE5A77">
        <w:rPr>
          <w:rFonts w:hint="cs"/>
          <w:rtl/>
          <w:lang w:bidi="ar-EG"/>
        </w:rPr>
        <w:t>المعاملة غير القانونية من قبل الشرطة وموظفي السجن وحرس الحدود</w:t>
      </w:r>
    </w:p>
    <w:p w:rsidR="00266725" w:rsidRDefault="007400FE" w:rsidP="007400FE">
      <w:pPr>
        <w:pStyle w:val="SingleTxtGA"/>
        <w:rPr>
          <w:rFonts w:hint="cs"/>
          <w:rtl/>
        </w:rPr>
      </w:pPr>
      <w:r>
        <w:rPr>
          <w:rFonts w:hint="cs"/>
          <w:rtl/>
        </w:rPr>
        <w:t>(</w:t>
      </w:r>
      <w:r w:rsidR="00266725">
        <w:rPr>
          <w:rFonts w:hint="cs"/>
          <w:rtl/>
        </w:rPr>
        <w:t>19</w:t>
      </w:r>
      <w:r>
        <w:rPr>
          <w:rFonts w:hint="cs"/>
          <w:rtl/>
        </w:rPr>
        <w:t>)</w:t>
      </w:r>
      <w:r w:rsidR="00266725" w:rsidRPr="00133788">
        <w:rPr>
          <w:rtl/>
        </w:rPr>
        <w:tab/>
      </w:r>
      <w:r w:rsidR="00266725">
        <w:rPr>
          <w:rFonts w:hint="cs"/>
          <w:rtl/>
        </w:rPr>
        <w:t xml:space="preserve">تعرب اللجنة عن قلقها لأن الحوادث المزعومة المتعلقة باستخدام القوة والشتائم وإساءة المعاملة في </w:t>
      </w:r>
      <w:r w:rsidR="00266725">
        <w:rPr>
          <w:rFonts w:hint="cs"/>
          <w:rtl/>
          <w:lang w:bidi="ar-EG"/>
        </w:rPr>
        <w:t xml:space="preserve">سجن كورال سبخت في </w:t>
      </w:r>
      <w:r w:rsidR="00266725">
        <w:rPr>
          <w:rFonts w:hint="cs"/>
          <w:rtl/>
        </w:rPr>
        <w:t>كوراكاو وفي الزنازين في أقسام الشرطة في جزر</w:t>
      </w:r>
      <w:r w:rsidR="00266725">
        <w:rPr>
          <w:rFonts w:hint="eastAsia"/>
          <w:rtl/>
        </w:rPr>
        <w:t> </w:t>
      </w:r>
      <w:r w:rsidR="00266725">
        <w:rPr>
          <w:rFonts w:hint="cs"/>
          <w:rtl/>
        </w:rPr>
        <w:t>سينت مارتن وبونير وأروبا فضلاً عن عمليات التنميط الإثني من جانب الشرطة وحرس الحدود، استهدفت بالأخص الأجانب وأفراد الأقليات.</w:t>
      </w:r>
    </w:p>
    <w:p w:rsidR="00266725" w:rsidRPr="008E4569" w:rsidRDefault="00266725" w:rsidP="00266725">
      <w:pPr>
        <w:pStyle w:val="SingleTxtGA"/>
        <w:rPr>
          <w:rFonts w:hint="cs"/>
          <w:b/>
          <w:bCs/>
          <w:rtl/>
        </w:rPr>
      </w:pPr>
      <w:r>
        <w:rPr>
          <w:b/>
          <w:bCs/>
          <w:rtl/>
        </w:rPr>
        <w:tab/>
      </w:r>
      <w:r w:rsidRPr="008E4569">
        <w:rPr>
          <w:rFonts w:hint="cs"/>
          <w:b/>
          <w:bCs/>
          <w:rtl/>
        </w:rPr>
        <w:t>ينبغي للدولة الطرف أن تتخذ التدابير اللازمة لتعزيز التدريب المناسب للموظفين المكلفين بإنفاذ القانون وموظفي القضاء بشأن الالتزامات النابعة من الاتفاقية، ولتقييم تأثير وفعالية تلك التدابير على نحو منتظم من أجل منع أعمال التعذيب وإساءة المعاملة</w:t>
      </w:r>
      <w:r>
        <w:rPr>
          <w:rFonts w:hint="eastAsia"/>
          <w:b/>
          <w:bCs/>
          <w:rtl/>
        </w:rPr>
        <w:t> </w:t>
      </w:r>
      <w:r w:rsidRPr="008E4569">
        <w:rPr>
          <w:rFonts w:hint="cs"/>
          <w:b/>
          <w:bCs/>
          <w:rtl/>
        </w:rPr>
        <w:t>والعنف.</w:t>
      </w:r>
    </w:p>
    <w:p w:rsidR="00266725" w:rsidRPr="005320F0" w:rsidRDefault="00266725" w:rsidP="00266725">
      <w:pPr>
        <w:pStyle w:val="H23GA"/>
        <w:rPr>
          <w:rFonts w:hint="cs"/>
          <w:rtl/>
        </w:rPr>
      </w:pPr>
      <w:r>
        <w:rPr>
          <w:rFonts w:hint="cs"/>
          <w:rtl/>
        </w:rPr>
        <w:tab/>
      </w:r>
      <w:r>
        <w:rPr>
          <w:rFonts w:hint="cs"/>
          <w:rtl/>
        </w:rPr>
        <w:tab/>
      </w:r>
      <w:r w:rsidRPr="005320F0">
        <w:rPr>
          <w:rFonts w:hint="cs"/>
          <w:rtl/>
        </w:rPr>
        <w:t>الاحتجاز السابق للمحاكمة</w:t>
      </w:r>
    </w:p>
    <w:p w:rsidR="00266725" w:rsidRPr="00A83CF9" w:rsidRDefault="007400FE" w:rsidP="00A83CF9">
      <w:pPr>
        <w:pStyle w:val="SingleTxtGA"/>
        <w:spacing w:line="370" w:lineRule="exact"/>
        <w:rPr>
          <w:rFonts w:hint="cs"/>
          <w:spacing w:val="-2"/>
          <w:rtl/>
          <w:lang w:bidi="ar-EG"/>
        </w:rPr>
      </w:pPr>
      <w:r w:rsidRPr="00A83CF9">
        <w:rPr>
          <w:rFonts w:hint="cs"/>
          <w:spacing w:val="-2"/>
          <w:rtl/>
        </w:rPr>
        <w:t>(</w:t>
      </w:r>
      <w:r w:rsidR="00266725" w:rsidRPr="00A83CF9">
        <w:rPr>
          <w:rFonts w:hint="cs"/>
          <w:spacing w:val="-2"/>
          <w:rtl/>
        </w:rPr>
        <w:t>20</w:t>
      </w:r>
      <w:r w:rsidRPr="00A83CF9">
        <w:rPr>
          <w:rFonts w:hint="cs"/>
          <w:spacing w:val="-2"/>
          <w:rtl/>
        </w:rPr>
        <w:t>)</w:t>
      </w:r>
      <w:r w:rsidR="00266725" w:rsidRPr="00A83CF9">
        <w:rPr>
          <w:spacing w:val="-2"/>
          <w:rtl/>
        </w:rPr>
        <w:tab/>
      </w:r>
      <w:r w:rsidR="00266725" w:rsidRPr="00A83CF9">
        <w:rPr>
          <w:rFonts w:hint="cs"/>
          <w:spacing w:val="-2"/>
          <w:rtl/>
        </w:rPr>
        <w:t xml:space="preserve">يساور اللجنة القلق بسبب ارتفاع نسبة الاحتجاز السابق للمحاكمة (38 في المائة) في هولندا وقلة الاهتمام ببدائل الاحتجاز السابق للمحاكمة. كما تشعر اللجنة بالقلق لأن الاحتجاز السابق للمحاكمة لا يستخدم كتدبير </w:t>
      </w:r>
      <w:r w:rsidR="00266725" w:rsidRPr="00A83CF9">
        <w:rPr>
          <w:rFonts w:hint="cs"/>
          <w:spacing w:val="-2"/>
          <w:rtl/>
          <w:lang w:bidi="ar-EG"/>
        </w:rPr>
        <w:t xml:space="preserve">من تدابير الملاذ الأخير، بل إن الأنباء أفادت بأنه يجري حالياً مناقشة مشروع في البرلمان قد يؤدي إلى زيادة تمديد الاحتجاز السابق للمحاكمة ليصل إلى سبعة عشر يوماً قبل عقد جلسة الاستماع. كما تشعر اللجنة بالقلق حيال رد الدولة الطرف بأن طبيعة إصدار الحكم تتسم عادة بالتساهل. إذ لم تعتبر اللجنة ذلك حجة مقنعة، لا سيما في ضوء غياب الالتزام بالحد من استخدام الاحتجاز السابق للمحاكمة. كما تلاحظ اللجنة مع القلق غياب النظم اللازمة للحصول على بيانات مصنفة بشأن تكوين المحتجزين. وأخيراً، يساور اللجنة القلق حيال طول مدة الاحتجاز السابق للمحاكمة في أروبا (حيث يصل إلى 116 يوماً) وفي </w:t>
      </w:r>
      <w:r w:rsidR="00266725" w:rsidRPr="00A83CF9">
        <w:rPr>
          <w:rFonts w:hint="cs"/>
          <w:spacing w:val="-2"/>
          <w:rtl/>
        </w:rPr>
        <w:t xml:space="preserve">كوراكاو (حيث يصل إلى 116 يوماً و146 يوماً في </w:t>
      </w:r>
      <w:r w:rsidR="00266725" w:rsidRPr="00A83CF9">
        <w:rPr>
          <w:rFonts w:hint="cs"/>
          <w:spacing w:val="-2"/>
          <w:rtl/>
          <w:lang w:bidi="ar-EG"/>
        </w:rPr>
        <w:t>حالة التحقيقات القضائية الأولية) حيث يمكن تمديدها بشكل استثنائي (المادتان 2 و11).</w:t>
      </w:r>
    </w:p>
    <w:p w:rsidR="00266725" w:rsidRPr="0020038B" w:rsidRDefault="00266725" w:rsidP="00A83CF9">
      <w:pPr>
        <w:pStyle w:val="SingleTxtGA"/>
        <w:spacing w:line="370" w:lineRule="exact"/>
        <w:rPr>
          <w:rFonts w:ascii="Times New Roman Bold" w:hAnsi="Times New Roman Bold" w:hint="cs"/>
          <w:b/>
          <w:bCs/>
          <w:spacing w:val="-2"/>
          <w:rtl/>
          <w:lang w:bidi="ar-EG"/>
        </w:rPr>
      </w:pPr>
      <w:r w:rsidRPr="0020038B">
        <w:rPr>
          <w:rFonts w:ascii="Times New Roman Bold" w:hAnsi="Times New Roman Bold"/>
          <w:b/>
          <w:bCs/>
          <w:spacing w:val="-2"/>
          <w:rtl/>
          <w:lang w:bidi="ar-EG"/>
        </w:rPr>
        <w:tab/>
      </w:r>
      <w:r w:rsidRPr="0020038B">
        <w:rPr>
          <w:rFonts w:ascii="Times New Roman Bold" w:hAnsi="Times New Roman Bold" w:hint="cs"/>
          <w:b/>
          <w:bCs/>
          <w:spacing w:val="-2"/>
          <w:rtl/>
          <w:lang w:bidi="ar-EG"/>
        </w:rPr>
        <w:t xml:space="preserve">يتعين على الدولة الطرف أن تتخذ التدابير الملائمة للحد من استخدام الاحتجاز السابق للمحاكمة ولضمان أن القرارات التي تفرض الاحتجاز السابق للمحاكمة تستند إلى أسس صحيحة على النحو الواجب. وينبغي للدولة الطرف أن تستخدم الاحتجاز السابق للمحاكمة كتدبير من تدابير الملاذ الأخير، وأن تنظر في تدابير بديلة لاستخدامها وأن تلتزم بافتراض البراءة. وينبغي للدولة الطرف أن تضع نظماً للحصول على بيانات مصنفة بشأن تكوين المحتجزين لتفادي التمثيل غير المتناسب للأقليات. كما ينبغي لحكومتي أروبا وكوراكاو استعراض التشريعات الجنائية لمواصلة تقصير مدة الاحتجاز السابق للمحاكمة وضمان حق المشتبه فيهم في المثول أمام قاض خلال يوم أو يومين من إلقاء القبض عليهم. </w:t>
      </w:r>
    </w:p>
    <w:p w:rsidR="00266725" w:rsidRDefault="00266725" w:rsidP="00A83CF9">
      <w:pPr>
        <w:pStyle w:val="H23GA"/>
        <w:spacing w:line="370" w:lineRule="exact"/>
        <w:rPr>
          <w:rFonts w:hint="cs"/>
          <w:rtl/>
          <w:lang w:bidi="ar-EG"/>
        </w:rPr>
      </w:pPr>
      <w:r>
        <w:rPr>
          <w:rFonts w:hint="cs"/>
          <w:rtl/>
          <w:lang w:bidi="ar-EG"/>
        </w:rPr>
        <w:tab/>
      </w:r>
      <w:r>
        <w:rPr>
          <w:rFonts w:hint="cs"/>
          <w:rtl/>
          <w:lang w:bidi="ar-EG"/>
        </w:rPr>
        <w:tab/>
      </w:r>
      <w:r w:rsidRPr="00CC2282">
        <w:rPr>
          <w:rFonts w:hint="cs"/>
          <w:rtl/>
          <w:lang w:bidi="ar-EG"/>
        </w:rPr>
        <w:t xml:space="preserve">الإيداع القسري في </w:t>
      </w:r>
      <w:r>
        <w:rPr>
          <w:rFonts w:hint="cs"/>
          <w:rtl/>
          <w:lang w:bidi="ar-EG"/>
        </w:rPr>
        <w:t>مؤسسات</w:t>
      </w:r>
      <w:r w:rsidRPr="00CC2282">
        <w:rPr>
          <w:rFonts w:hint="cs"/>
          <w:rtl/>
          <w:lang w:bidi="ar-EG"/>
        </w:rPr>
        <w:t xml:space="preserve"> الرعاية الصحية للأمراض العقلية</w:t>
      </w:r>
    </w:p>
    <w:p w:rsidR="00266725" w:rsidRDefault="0020038B" w:rsidP="00A83CF9">
      <w:pPr>
        <w:pStyle w:val="SingleTxtGA"/>
        <w:spacing w:line="370" w:lineRule="exact"/>
        <w:rPr>
          <w:rFonts w:hint="cs"/>
          <w:rtl/>
          <w:lang w:bidi="ar-EG"/>
        </w:rPr>
      </w:pPr>
      <w:r>
        <w:rPr>
          <w:rFonts w:hint="cs"/>
          <w:rtl/>
        </w:rPr>
        <w:t>(</w:t>
      </w:r>
      <w:r w:rsidR="00266725">
        <w:rPr>
          <w:rFonts w:hint="cs"/>
          <w:rtl/>
        </w:rPr>
        <w:t>21</w:t>
      </w:r>
      <w:r>
        <w:rPr>
          <w:rFonts w:hint="cs"/>
          <w:rtl/>
        </w:rPr>
        <w:t>)</w:t>
      </w:r>
      <w:r w:rsidR="00266725" w:rsidRPr="00133788">
        <w:rPr>
          <w:rtl/>
        </w:rPr>
        <w:tab/>
      </w:r>
      <w:r w:rsidR="00266725">
        <w:rPr>
          <w:rFonts w:hint="cs"/>
          <w:rtl/>
        </w:rPr>
        <w:t xml:space="preserve">يساور اللجنة القلق لارتفاع عدد الأشخاص ذوي الإعاقات العقلية والنفسية الذين يحتجزون قسراً ولفترات طويلة في كثير من الأحيان في مؤسسات رعاية صحية للأمراض العقلية. كما تشعر اللجنة بالقلق حيال </w:t>
      </w:r>
      <w:r w:rsidR="00266725">
        <w:rPr>
          <w:rFonts w:hint="cs"/>
          <w:rtl/>
          <w:lang w:bidi="ar-EG"/>
        </w:rPr>
        <w:t>شيوع استخدام الحبس الانفرادي واستعمال الإكراه والإرغام على تناول الأدوية، وهو ما قد يشكل ضرباً من المعاملة اللاإنسانية والمهينة. ومع مراعاة المعلومات التي تلقتها اللجنة أثناء النظر في التقرير عن الخطط المتعلقة بالرعاية الصحية للأمراض العقلية، تظل اللجنة تشعر بالقلق إزاء غياب التركيز على بدائل لإيداع الأشخاص ذوي الإعاقات العقلية والنفسية في مستشفيات. وأخيراً، يساور اللجنة القلق لأنه لا تجرى في الغالب تحقيقات فعالة ومحايدة بشأن الاستخدام المفرط للتدابير التقييدية في مؤسسات الرعاية الصحية للأمراض العقلية (المواد 2 و11 و13 و16).</w:t>
      </w:r>
    </w:p>
    <w:p w:rsidR="00266725" w:rsidRPr="008761C4" w:rsidRDefault="00266725" w:rsidP="00A83CF9">
      <w:pPr>
        <w:pStyle w:val="SingleTxtGA"/>
        <w:spacing w:line="370" w:lineRule="exact"/>
        <w:rPr>
          <w:rFonts w:hint="cs"/>
          <w:b/>
          <w:bCs/>
          <w:rtl/>
          <w:lang w:bidi="ar-EG"/>
        </w:rPr>
      </w:pPr>
      <w:r w:rsidRPr="008761C4">
        <w:rPr>
          <w:rFonts w:hint="cs"/>
          <w:b/>
          <w:bCs/>
          <w:rtl/>
          <w:lang w:bidi="ar-EG"/>
        </w:rPr>
        <w:tab/>
        <w:t>توصي اللجنة الدولة الطرف بالآتي:</w:t>
      </w:r>
    </w:p>
    <w:p w:rsidR="00266725" w:rsidRPr="008761C4" w:rsidRDefault="00266725" w:rsidP="00A83CF9">
      <w:pPr>
        <w:pStyle w:val="SingleTxtGA"/>
        <w:spacing w:line="370" w:lineRule="exact"/>
        <w:rPr>
          <w:rFonts w:hint="cs"/>
          <w:b/>
          <w:bCs/>
          <w:lang w:bidi="ar-EG"/>
        </w:rPr>
      </w:pPr>
      <w:r>
        <w:rPr>
          <w:b/>
          <w:bCs/>
          <w:rtl/>
          <w:lang w:bidi="ar-EG"/>
        </w:rPr>
        <w:tab/>
      </w:r>
      <w:r>
        <w:rPr>
          <w:rFonts w:hint="cs"/>
          <w:b/>
          <w:bCs/>
          <w:rtl/>
          <w:lang w:bidi="ar-EG"/>
        </w:rPr>
        <w:t>(أ)</w:t>
      </w:r>
      <w:r>
        <w:rPr>
          <w:rFonts w:hint="cs"/>
          <w:b/>
          <w:bCs/>
          <w:rtl/>
          <w:lang w:bidi="ar-EG"/>
        </w:rPr>
        <w:tab/>
      </w:r>
      <w:r w:rsidRPr="008761C4">
        <w:rPr>
          <w:rFonts w:hint="cs"/>
          <w:b/>
          <w:bCs/>
          <w:rtl/>
          <w:lang w:bidi="ar-EG"/>
        </w:rPr>
        <w:t>وضع تدابير بديلة لتقليص عدد الأشخاص ذوي الإعاقات العقلية والنفسية المودعين قسراً في مؤسسات الرعاية وضمان أن يكون الإيداع القسري في أماكن الحرمان من الحرية، بما في ذلك مؤسسات الرعاية النفسية والاجتماعية، على أساس قرار قانوني، بما يكفل كافة الضمانات القانونية الفعالة؛</w:t>
      </w:r>
    </w:p>
    <w:p w:rsidR="00266725" w:rsidRPr="008761C4" w:rsidRDefault="00266725" w:rsidP="00A83CF9">
      <w:pPr>
        <w:pStyle w:val="SingleTxtGA"/>
        <w:spacing w:line="370" w:lineRule="exact"/>
        <w:rPr>
          <w:rFonts w:hint="cs"/>
          <w:b/>
          <w:bCs/>
          <w:lang w:bidi="ar-EG"/>
        </w:rPr>
      </w:pPr>
      <w:r>
        <w:rPr>
          <w:b/>
          <w:bCs/>
          <w:rtl/>
          <w:lang w:bidi="ar-EG"/>
        </w:rPr>
        <w:tab/>
      </w:r>
      <w:r>
        <w:rPr>
          <w:rFonts w:hint="cs"/>
          <w:b/>
          <w:bCs/>
          <w:rtl/>
          <w:lang w:bidi="ar-EG"/>
        </w:rPr>
        <w:t>(ب)</w:t>
      </w:r>
      <w:r>
        <w:rPr>
          <w:rFonts w:hint="cs"/>
          <w:b/>
          <w:bCs/>
          <w:rtl/>
          <w:lang w:bidi="ar-EG"/>
        </w:rPr>
        <w:tab/>
      </w:r>
      <w:r w:rsidRPr="008761C4">
        <w:rPr>
          <w:rFonts w:hint="cs"/>
          <w:b/>
          <w:bCs/>
          <w:rtl/>
          <w:lang w:bidi="ar-EG"/>
        </w:rPr>
        <w:t>تعزيز إمكانية قيام الأشخاص المعتقلين بالطعن في القرارات والوصول بشكل فعال إلى آليات تقديم الشكاوى؛</w:t>
      </w:r>
    </w:p>
    <w:p w:rsidR="00266725" w:rsidRPr="008761C4" w:rsidRDefault="00266725" w:rsidP="00A83CF9">
      <w:pPr>
        <w:pStyle w:val="SingleTxtGA"/>
        <w:spacing w:line="370" w:lineRule="exact"/>
        <w:rPr>
          <w:rFonts w:hint="cs"/>
          <w:b/>
          <w:bCs/>
          <w:lang w:bidi="ar-EG"/>
        </w:rPr>
      </w:pPr>
      <w:r>
        <w:rPr>
          <w:b/>
          <w:bCs/>
          <w:rtl/>
          <w:lang w:bidi="ar-EG"/>
        </w:rPr>
        <w:tab/>
      </w:r>
      <w:r>
        <w:rPr>
          <w:rFonts w:hint="cs"/>
          <w:b/>
          <w:bCs/>
          <w:rtl/>
          <w:lang w:bidi="ar-EG"/>
        </w:rPr>
        <w:t>(ج)</w:t>
      </w:r>
      <w:r>
        <w:rPr>
          <w:rFonts w:hint="cs"/>
          <w:b/>
          <w:bCs/>
          <w:rtl/>
          <w:lang w:bidi="ar-EG"/>
        </w:rPr>
        <w:tab/>
      </w:r>
      <w:r w:rsidRPr="008761C4">
        <w:rPr>
          <w:rFonts w:hint="cs"/>
          <w:b/>
          <w:bCs/>
          <w:rtl/>
          <w:lang w:bidi="ar-EG"/>
        </w:rPr>
        <w:t>استعمال الإكراه واستخدام الحبس الانفرادي كتدبير من تدابير الملاذ الأخير حين تفشل كافة البدائل الأخرى للتحكم، وذلك لأقصر فترة ممكنة وتحت إشراف طبي صارم؛</w:t>
      </w:r>
    </w:p>
    <w:p w:rsidR="00266725" w:rsidRPr="008761C4" w:rsidRDefault="00266725" w:rsidP="00A83CF9">
      <w:pPr>
        <w:pStyle w:val="SingleTxtGA"/>
        <w:spacing w:line="370" w:lineRule="exact"/>
        <w:rPr>
          <w:rFonts w:hint="cs"/>
          <w:b/>
          <w:bCs/>
          <w:lang w:bidi="ar-EG"/>
        </w:rPr>
      </w:pPr>
      <w:r>
        <w:rPr>
          <w:b/>
          <w:bCs/>
          <w:rtl/>
          <w:lang w:bidi="ar-EG"/>
        </w:rPr>
        <w:tab/>
      </w:r>
      <w:r>
        <w:rPr>
          <w:rFonts w:hint="cs"/>
          <w:b/>
          <w:bCs/>
          <w:rtl/>
          <w:lang w:bidi="ar-EG"/>
        </w:rPr>
        <w:t>(د)</w:t>
      </w:r>
      <w:r>
        <w:rPr>
          <w:rFonts w:hint="cs"/>
          <w:b/>
          <w:bCs/>
          <w:rtl/>
          <w:lang w:bidi="ar-EG"/>
        </w:rPr>
        <w:tab/>
      </w:r>
      <w:r w:rsidRPr="008761C4">
        <w:rPr>
          <w:rFonts w:hint="cs"/>
          <w:b/>
          <w:bCs/>
          <w:rtl/>
          <w:lang w:bidi="ar-EG"/>
        </w:rPr>
        <w:t>إجراء تحقيقات فعالة ومحايدة بشأن الحوادث حين يؤدي الاستخدام المفرط للتدابير التقييدية إلى إصابة الأشخاص المعتقلين أو وفاتهم؛</w:t>
      </w:r>
    </w:p>
    <w:p w:rsidR="00266725" w:rsidRPr="00F90689" w:rsidRDefault="00266725" w:rsidP="00A83CF9">
      <w:pPr>
        <w:pStyle w:val="SingleTxtGA"/>
        <w:spacing w:line="370" w:lineRule="exact"/>
        <w:rPr>
          <w:rFonts w:hint="cs"/>
          <w:lang w:bidi="ar-EG"/>
        </w:rPr>
      </w:pPr>
      <w:r>
        <w:rPr>
          <w:b/>
          <w:bCs/>
          <w:rtl/>
          <w:lang w:bidi="ar-EG"/>
        </w:rPr>
        <w:tab/>
      </w:r>
      <w:r>
        <w:rPr>
          <w:rFonts w:hint="cs"/>
          <w:b/>
          <w:bCs/>
          <w:rtl/>
          <w:lang w:bidi="ar-EG"/>
        </w:rPr>
        <w:t>(</w:t>
      </w:r>
      <w:r w:rsidRPr="00E50F61">
        <w:rPr>
          <w:rFonts w:hint="cs"/>
          <w:b/>
          <w:bCs/>
          <w:sz w:val="30"/>
          <w:rtl/>
          <w:lang w:bidi="ar-EG"/>
        </w:rPr>
        <w:t>ﻫ</w:t>
      </w:r>
      <w:r>
        <w:rPr>
          <w:rFonts w:hint="cs"/>
          <w:b/>
          <w:bCs/>
          <w:rtl/>
          <w:lang w:bidi="ar-EG"/>
        </w:rPr>
        <w:t>)</w:t>
      </w:r>
      <w:r>
        <w:rPr>
          <w:rFonts w:hint="cs"/>
          <w:b/>
          <w:bCs/>
          <w:rtl/>
          <w:lang w:bidi="ar-EG"/>
        </w:rPr>
        <w:tab/>
      </w:r>
      <w:r w:rsidRPr="008761C4">
        <w:rPr>
          <w:rFonts w:hint="cs"/>
          <w:b/>
          <w:bCs/>
          <w:rtl/>
          <w:lang w:bidi="ar-EG"/>
        </w:rPr>
        <w:t>إتاحة سبل التظلم والانتصاف للضحايا.</w:t>
      </w:r>
    </w:p>
    <w:p w:rsidR="00266725" w:rsidRPr="002D564C" w:rsidRDefault="00266725" w:rsidP="00A83CF9">
      <w:pPr>
        <w:pStyle w:val="H23GA"/>
        <w:spacing w:line="370" w:lineRule="exact"/>
        <w:rPr>
          <w:rFonts w:hint="cs"/>
          <w:rtl/>
          <w:lang w:bidi="ar-EG"/>
        </w:rPr>
      </w:pPr>
      <w:r>
        <w:rPr>
          <w:rFonts w:hint="cs"/>
          <w:rtl/>
          <w:lang w:bidi="ar-EG"/>
        </w:rPr>
        <w:tab/>
      </w:r>
      <w:r>
        <w:rPr>
          <w:rFonts w:hint="cs"/>
          <w:rtl/>
          <w:lang w:bidi="ar-EG"/>
        </w:rPr>
        <w:tab/>
      </w:r>
      <w:r w:rsidRPr="002D564C">
        <w:rPr>
          <w:rFonts w:hint="cs"/>
          <w:rtl/>
          <w:lang w:bidi="ar-EG"/>
        </w:rPr>
        <w:t>الوصول إلى آليات تقديم الشكاوى</w:t>
      </w:r>
    </w:p>
    <w:p w:rsidR="00266725" w:rsidRDefault="0020038B" w:rsidP="00A83CF9">
      <w:pPr>
        <w:pStyle w:val="SingleTxtGA"/>
        <w:spacing w:line="370" w:lineRule="exact"/>
        <w:rPr>
          <w:rFonts w:hint="cs"/>
          <w:rtl/>
        </w:rPr>
      </w:pPr>
      <w:r>
        <w:rPr>
          <w:rFonts w:hint="cs"/>
          <w:rtl/>
        </w:rPr>
        <w:t>(</w:t>
      </w:r>
      <w:r w:rsidR="00266725">
        <w:rPr>
          <w:rFonts w:hint="cs"/>
          <w:rtl/>
        </w:rPr>
        <w:t>22</w:t>
      </w:r>
      <w:r>
        <w:rPr>
          <w:rFonts w:hint="cs"/>
          <w:rtl/>
        </w:rPr>
        <w:t>)</w:t>
      </w:r>
      <w:r w:rsidR="00266725" w:rsidRPr="00133788">
        <w:rPr>
          <w:rtl/>
        </w:rPr>
        <w:tab/>
      </w:r>
      <w:r w:rsidR="00266725">
        <w:rPr>
          <w:rFonts w:hint="cs"/>
          <w:rtl/>
        </w:rPr>
        <w:t>تشعر اللجنة بالقلق إزاء عدم وضوح الاستراتيجيات التي تنتهجها الدولة الطرف للقيام، عن طريق هيئة تفتيش المؤسسات الاحتجازية، باطلاع الأشخاص الذين يُزعم أنهم ضحايا التعذيب وإساءة المعاملة في مرافق الاحتجاز، بما في ذلك مراكز احتجاز المهاجرين،</w:t>
      </w:r>
      <w:r>
        <w:rPr>
          <w:rFonts w:hint="eastAsia"/>
          <w:rtl/>
        </w:rPr>
        <w:t> </w:t>
      </w:r>
      <w:r w:rsidR="00266725">
        <w:rPr>
          <w:rFonts w:hint="cs"/>
          <w:rtl/>
        </w:rPr>
        <w:t>على الإجراءات المتاحة لتقديم الشكاوى ضد موظفي مراكز الاحتجاز (المواد 12 و13</w:t>
      </w:r>
      <w:r w:rsidR="00266725">
        <w:rPr>
          <w:rFonts w:hint="eastAsia"/>
          <w:rtl/>
        </w:rPr>
        <w:t> </w:t>
      </w:r>
      <w:r w:rsidR="00266725">
        <w:rPr>
          <w:rFonts w:hint="cs"/>
          <w:rtl/>
        </w:rPr>
        <w:t>و16).</w:t>
      </w:r>
    </w:p>
    <w:p w:rsidR="00266725" w:rsidRPr="008D56BB" w:rsidRDefault="00266725" w:rsidP="00A83CF9">
      <w:pPr>
        <w:pStyle w:val="SingleTxtGA"/>
        <w:keepNext/>
        <w:keepLines/>
        <w:spacing w:line="370" w:lineRule="exact"/>
        <w:rPr>
          <w:rFonts w:hint="cs"/>
          <w:b/>
          <w:bCs/>
          <w:rtl/>
        </w:rPr>
      </w:pPr>
      <w:r w:rsidRPr="008D56BB">
        <w:rPr>
          <w:b/>
          <w:bCs/>
          <w:rtl/>
        </w:rPr>
        <w:tab/>
      </w:r>
      <w:r w:rsidRPr="008D56BB">
        <w:rPr>
          <w:rFonts w:hint="cs"/>
          <w:b/>
          <w:bCs/>
          <w:rtl/>
        </w:rPr>
        <w:t>توصي اللجنة الدولة الطرف باتخاذ التدابير التالية:</w:t>
      </w:r>
    </w:p>
    <w:p w:rsidR="00266725" w:rsidRPr="008D56BB" w:rsidRDefault="00266725" w:rsidP="00A83CF9">
      <w:pPr>
        <w:pStyle w:val="SingleTxtGA"/>
        <w:spacing w:line="370" w:lineRule="exact"/>
        <w:rPr>
          <w:rFonts w:hint="cs"/>
          <w:b/>
          <w:bCs/>
          <w:lang w:bidi="ar-EG"/>
        </w:rPr>
      </w:pPr>
      <w:r>
        <w:rPr>
          <w:b/>
          <w:bCs/>
          <w:rtl/>
        </w:rPr>
        <w:tab/>
      </w:r>
      <w:r>
        <w:rPr>
          <w:rFonts w:hint="cs"/>
          <w:b/>
          <w:bCs/>
          <w:rtl/>
        </w:rPr>
        <w:t>(أ)</w:t>
      </w:r>
      <w:r>
        <w:rPr>
          <w:rFonts w:hint="cs"/>
          <w:b/>
          <w:bCs/>
          <w:rtl/>
        </w:rPr>
        <w:tab/>
      </w:r>
      <w:r w:rsidRPr="008D56BB">
        <w:rPr>
          <w:rFonts w:hint="cs"/>
          <w:b/>
          <w:bCs/>
          <w:rtl/>
        </w:rPr>
        <w:t>توعية المحتجزين من خلال هيئة تفتيش المؤسسات الاحتجازية بشأن إمكانية تقديم شكوى عن حالات التعذيب والمعاملة السيئة المزعومة في مرافق الاحتجاز، وإجراءات تقديمها ضد كل فئة من فئات موظفي الاحتجاز؛</w:t>
      </w:r>
    </w:p>
    <w:p w:rsidR="00266725" w:rsidRPr="008D56BB" w:rsidRDefault="00266725" w:rsidP="00A83CF9">
      <w:pPr>
        <w:pStyle w:val="SingleTxtGA"/>
        <w:spacing w:line="370" w:lineRule="exact"/>
        <w:rPr>
          <w:rFonts w:hint="cs"/>
          <w:b/>
          <w:bCs/>
          <w:lang w:bidi="ar-EG"/>
        </w:rPr>
      </w:pPr>
      <w:r>
        <w:rPr>
          <w:b/>
          <w:bCs/>
          <w:rtl/>
        </w:rPr>
        <w:tab/>
      </w:r>
      <w:r>
        <w:rPr>
          <w:rFonts w:hint="cs"/>
          <w:b/>
          <w:bCs/>
          <w:rtl/>
        </w:rPr>
        <w:t>(ب)</w:t>
      </w:r>
      <w:r>
        <w:rPr>
          <w:rFonts w:hint="cs"/>
          <w:b/>
          <w:bCs/>
          <w:rtl/>
        </w:rPr>
        <w:tab/>
      </w:r>
      <w:r w:rsidRPr="008D56BB">
        <w:rPr>
          <w:rFonts w:hint="cs"/>
          <w:b/>
          <w:bCs/>
          <w:rtl/>
        </w:rPr>
        <w:t>إتاحة تلك المعلومات و</w:t>
      </w:r>
      <w:r w:rsidRPr="008D56BB">
        <w:rPr>
          <w:rFonts w:hint="cs"/>
          <w:b/>
          <w:bCs/>
          <w:rtl/>
          <w:lang w:bidi="ar-EG"/>
        </w:rPr>
        <w:t>نشرها على نطاق واسع، بما في ذلك من خلال عرضها في كافة أماكن الاحتجاز؛</w:t>
      </w:r>
    </w:p>
    <w:p w:rsidR="00266725" w:rsidRPr="008D56BB" w:rsidRDefault="00266725" w:rsidP="00A83CF9">
      <w:pPr>
        <w:pStyle w:val="SingleTxtGA"/>
        <w:spacing w:line="370" w:lineRule="exact"/>
        <w:rPr>
          <w:rFonts w:hint="cs"/>
          <w:b/>
          <w:bCs/>
          <w:lang w:bidi="ar-EG"/>
        </w:rPr>
      </w:pPr>
      <w:r>
        <w:rPr>
          <w:b/>
          <w:bCs/>
          <w:rtl/>
          <w:lang w:bidi="ar-EG"/>
        </w:rPr>
        <w:tab/>
      </w:r>
      <w:r>
        <w:rPr>
          <w:rFonts w:hint="cs"/>
          <w:b/>
          <w:bCs/>
          <w:rtl/>
          <w:lang w:bidi="ar-EG"/>
        </w:rPr>
        <w:t>(ج)</w:t>
      </w:r>
      <w:r>
        <w:rPr>
          <w:rFonts w:hint="cs"/>
          <w:b/>
          <w:bCs/>
          <w:rtl/>
          <w:lang w:bidi="ar-EG"/>
        </w:rPr>
        <w:tab/>
      </w:r>
      <w:r w:rsidRPr="008D56BB">
        <w:rPr>
          <w:rFonts w:hint="cs"/>
          <w:b/>
          <w:bCs/>
          <w:rtl/>
          <w:lang w:bidi="ar-EG"/>
        </w:rPr>
        <w:t>ضمان أن كافة إدعاءات سوء السلوك من جانب موظفي الاحتجاز تخضع للتقييم والتحقيق على النحو الواجب، بما في ذلك حالات الترهيب أو الانتقام بسبب شكاوى إساءة المعاملة.</w:t>
      </w:r>
    </w:p>
    <w:p w:rsidR="00266725" w:rsidRDefault="00266725" w:rsidP="00A83CF9">
      <w:pPr>
        <w:pStyle w:val="H23GA"/>
        <w:spacing w:line="370" w:lineRule="exact"/>
        <w:rPr>
          <w:rFonts w:hint="cs"/>
          <w:rtl/>
          <w:lang w:bidi="ar-EG"/>
        </w:rPr>
      </w:pPr>
      <w:r>
        <w:rPr>
          <w:rFonts w:hint="cs"/>
          <w:rtl/>
          <w:lang w:bidi="ar-EG"/>
        </w:rPr>
        <w:tab/>
      </w:r>
      <w:r>
        <w:rPr>
          <w:rFonts w:hint="cs"/>
          <w:rtl/>
          <w:lang w:bidi="ar-EG"/>
        </w:rPr>
        <w:tab/>
      </w:r>
      <w:r w:rsidRPr="00DC06FB">
        <w:rPr>
          <w:rFonts w:hint="cs"/>
          <w:rtl/>
          <w:lang w:bidi="ar-EG"/>
        </w:rPr>
        <w:t>إجراء</w:t>
      </w:r>
      <w:r w:rsidRPr="00DC06FB">
        <w:rPr>
          <w:rtl/>
          <w:lang w:bidi="ar-EG"/>
        </w:rPr>
        <w:t xml:space="preserve"> </w:t>
      </w:r>
      <w:r w:rsidRPr="00DC06FB">
        <w:rPr>
          <w:rFonts w:hint="cs"/>
          <w:rtl/>
          <w:lang w:bidi="ar-EG"/>
        </w:rPr>
        <w:t>تحقيقات</w:t>
      </w:r>
      <w:r w:rsidRPr="00DC06FB">
        <w:rPr>
          <w:rtl/>
          <w:lang w:bidi="ar-EG"/>
        </w:rPr>
        <w:t xml:space="preserve"> </w:t>
      </w:r>
      <w:r w:rsidRPr="00DC06FB">
        <w:rPr>
          <w:rFonts w:hint="cs"/>
          <w:rtl/>
          <w:lang w:bidi="ar-EG"/>
        </w:rPr>
        <w:t>فورية</w:t>
      </w:r>
      <w:r w:rsidRPr="00DC06FB">
        <w:rPr>
          <w:rtl/>
          <w:lang w:bidi="ar-EG"/>
        </w:rPr>
        <w:t xml:space="preserve"> </w:t>
      </w:r>
      <w:r w:rsidRPr="00DC06FB">
        <w:rPr>
          <w:rFonts w:hint="cs"/>
          <w:rtl/>
          <w:lang w:bidi="ar-EG"/>
        </w:rPr>
        <w:t>ومستقلة</w:t>
      </w:r>
      <w:r w:rsidRPr="00DC06FB">
        <w:rPr>
          <w:rtl/>
          <w:lang w:bidi="ar-EG"/>
        </w:rPr>
        <w:t xml:space="preserve"> </w:t>
      </w:r>
      <w:r w:rsidRPr="00DC06FB">
        <w:rPr>
          <w:rFonts w:hint="cs"/>
          <w:rtl/>
          <w:lang w:bidi="ar-EG"/>
        </w:rPr>
        <w:t>وشاملة</w:t>
      </w:r>
    </w:p>
    <w:p w:rsidR="00266725" w:rsidRPr="00ED4A52" w:rsidRDefault="0020038B" w:rsidP="00A83CF9">
      <w:pPr>
        <w:pStyle w:val="SingleTxtGA"/>
        <w:spacing w:line="370" w:lineRule="exact"/>
        <w:rPr>
          <w:rFonts w:hint="cs"/>
          <w:spacing w:val="-2"/>
          <w:rtl/>
        </w:rPr>
      </w:pPr>
      <w:r w:rsidRPr="00ED4A52">
        <w:rPr>
          <w:rFonts w:hint="cs"/>
          <w:spacing w:val="-2"/>
          <w:rtl/>
        </w:rPr>
        <w:t>(</w:t>
      </w:r>
      <w:r w:rsidR="00266725" w:rsidRPr="00ED4A52">
        <w:rPr>
          <w:rFonts w:hint="cs"/>
          <w:spacing w:val="-2"/>
          <w:rtl/>
        </w:rPr>
        <w:t>23</w:t>
      </w:r>
      <w:r w:rsidRPr="00ED4A52">
        <w:rPr>
          <w:rFonts w:hint="cs"/>
          <w:spacing w:val="-2"/>
          <w:rtl/>
        </w:rPr>
        <w:t>)</w:t>
      </w:r>
      <w:r w:rsidR="00266725" w:rsidRPr="00ED4A52">
        <w:rPr>
          <w:spacing w:val="-2"/>
          <w:rtl/>
        </w:rPr>
        <w:tab/>
      </w:r>
      <w:r w:rsidR="00266725" w:rsidRPr="00ED4A52">
        <w:rPr>
          <w:rFonts w:hint="cs"/>
          <w:spacing w:val="-2"/>
          <w:rtl/>
        </w:rPr>
        <w:t>ترحب اللجنة بالتوضيح المقدم بشأن آليات التحقيق في إساءة معاملة السجناء والاعتداء عليهم (الفقرات 73-77 من التقرير)، لكنها تشعر بالقلق لعدم وجود أي مؤشرات عن تأثير التدابير الرامية إلى الحد من حالات إساءة المعاملة في مرافق الاحتجاز، بما</w:t>
      </w:r>
      <w:r w:rsidR="00266725" w:rsidRPr="00ED4A52">
        <w:rPr>
          <w:rFonts w:hint="eastAsia"/>
          <w:spacing w:val="-2"/>
          <w:rtl/>
        </w:rPr>
        <w:t> </w:t>
      </w:r>
      <w:r w:rsidR="00266725" w:rsidRPr="00ED4A52">
        <w:rPr>
          <w:rFonts w:hint="cs"/>
          <w:spacing w:val="-2"/>
          <w:rtl/>
        </w:rPr>
        <w:t xml:space="preserve">في ذلك مراكز احتجاز المهاجرين. كما يساور اللجنة القلق حيال عدم إجراء تحقيقات مستقلة ومحايدة وفعالة بشأن </w:t>
      </w:r>
      <w:r w:rsidR="00266725" w:rsidRPr="00ED4A52">
        <w:rPr>
          <w:rFonts w:hint="cs"/>
          <w:spacing w:val="-2"/>
          <w:rtl/>
          <w:lang w:bidi="ar-EG"/>
        </w:rPr>
        <w:t>العنف بين السجناء في أروبا و</w:t>
      </w:r>
      <w:r w:rsidR="00266725" w:rsidRPr="00ED4A52">
        <w:rPr>
          <w:rFonts w:hint="cs"/>
          <w:spacing w:val="-2"/>
          <w:rtl/>
        </w:rPr>
        <w:t>كوراكاو (المواد 12 و13</w:t>
      </w:r>
      <w:r w:rsidR="00266725" w:rsidRPr="00ED4A52">
        <w:rPr>
          <w:rFonts w:hint="eastAsia"/>
          <w:spacing w:val="-2"/>
          <w:rtl/>
        </w:rPr>
        <w:t> </w:t>
      </w:r>
      <w:r w:rsidR="00266725" w:rsidRPr="00ED4A52">
        <w:rPr>
          <w:rFonts w:hint="cs"/>
          <w:spacing w:val="-2"/>
          <w:rtl/>
        </w:rPr>
        <w:t>و16).</w:t>
      </w:r>
    </w:p>
    <w:p w:rsidR="00266725" w:rsidRPr="00D26DA0" w:rsidRDefault="00266725" w:rsidP="004C3E0C">
      <w:pPr>
        <w:pStyle w:val="SingleTxtGA"/>
        <w:keepNext/>
        <w:keepLines/>
        <w:spacing w:line="370" w:lineRule="exact"/>
        <w:rPr>
          <w:rFonts w:hint="cs"/>
          <w:b/>
          <w:bCs/>
          <w:rtl/>
        </w:rPr>
      </w:pPr>
      <w:r>
        <w:rPr>
          <w:rtl/>
        </w:rPr>
        <w:tab/>
      </w:r>
      <w:r w:rsidRPr="00D26DA0">
        <w:rPr>
          <w:rFonts w:hint="cs"/>
          <w:b/>
          <w:bCs/>
          <w:rtl/>
        </w:rPr>
        <w:t>توصي اللجنة الدولة الطرف بالآتي:</w:t>
      </w:r>
    </w:p>
    <w:p w:rsidR="00266725" w:rsidRPr="00D26DA0" w:rsidRDefault="00266725" w:rsidP="00A83CF9">
      <w:pPr>
        <w:pStyle w:val="SingleTxtGA"/>
        <w:spacing w:line="370" w:lineRule="exact"/>
        <w:rPr>
          <w:rFonts w:hint="cs"/>
          <w:b/>
          <w:bCs/>
          <w:spacing w:val="-2"/>
        </w:rPr>
      </w:pPr>
      <w:r w:rsidRPr="00D26DA0">
        <w:rPr>
          <w:b/>
          <w:bCs/>
          <w:spacing w:val="-2"/>
          <w:rtl/>
        </w:rPr>
        <w:tab/>
      </w:r>
      <w:r w:rsidRPr="00D26DA0">
        <w:rPr>
          <w:rFonts w:hint="cs"/>
          <w:b/>
          <w:bCs/>
          <w:spacing w:val="-2"/>
          <w:rtl/>
        </w:rPr>
        <w:t>(أ)</w:t>
      </w:r>
      <w:r w:rsidRPr="00D26DA0">
        <w:rPr>
          <w:rFonts w:hint="cs"/>
          <w:b/>
          <w:bCs/>
          <w:spacing w:val="-2"/>
          <w:rtl/>
        </w:rPr>
        <w:tab/>
        <w:t>إبلاغ اللجنة بالتدابير التي تكفل إجراء تحقيقات فورية ومحايدة وفعالة في كافة إدعاءات التعذيب وإساءة المعاملة في مرافق الاحتجاز، بما في ذلك مراكز احتجاز المهاجرين والتدابير اللازمة لتقديم الجناة إلى العدالة وتعويض الضحايا على النحو المناسب؛</w:t>
      </w:r>
    </w:p>
    <w:p w:rsidR="00266725" w:rsidRPr="00D26DA0" w:rsidRDefault="00266725" w:rsidP="00266725">
      <w:pPr>
        <w:pStyle w:val="SingleTxtGA"/>
        <w:rPr>
          <w:rFonts w:hint="cs"/>
          <w:b/>
          <w:bCs/>
        </w:rPr>
      </w:pPr>
      <w:r>
        <w:rPr>
          <w:b/>
          <w:bCs/>
          <w:rtl/>
        </w:rPr>
        <w:tab/>
      </w:r>
      <w:r>
        <w:rPr>
          <w:rFonts w:hint="cs"/>
          <w:b/>
          <w:bCs/>
          <w:rtl/>
        </w:rPr>
        <w:t>(ب)</w:t>
      </w:r>
      <w:r>
        <w:rPr>
          <w:rFonts w:hint="cs"/>
          <w:b/>
          <w:bCs/>
          <w:rtl/>
        </w:rPr>
        <w:tab/>
      </w:r>
      <w:r w:rsidRPr="00D26DA0">
        <w:rPr>
          <w:rFonts w:hint="cs"/>
          <w:b/>
          <w:bCs/>
          <w:rtl/>
        </w:rPr>
        <w:t>تقييم تأثير تلك التدابير في الحد من حالات إساءة المعاملة في كافة مرافق الاحتجاز وإطلاع اللجنة على ما يستجد في هذا الشأن بناء على ذلك؛</w:t>
      </w:r>
    </w:p>
    <w:p w:rsidR="00266725" w:rsidRPr="00D26DA0" w:rsidRDefault="00266725" w:rsidP="00A83CF9">
      <w:pPr>
        <w:pStyle w:val="SingleTxtGA"/>
        <w:rPr>
          <w:rFonts w:hint="cs"/>
          <w:b/>
          <w:bCs/>
        </w:rPr>
      </w:pPr>
      <w:r>
        <w:rPr>
          <w:b/>
          <w:bCs/>
          <w:rtl/>
        </w:rPr>
        <w:tab/>
      </w:r>
      <w:r>
        <w:rPr>
          <w:rFonts w:hint="cs"/>
          <w:b/>
          <w:bCs/>
          <w:rtl/>
        </w:rPr>
        <w:t>(ج)</w:t>
      </w:r>
      <w:r>
        <w:rPr>
          <w:rFonts w:hint="cs"/>
          <w:b/>
          <w:bCs/>
          <w:rtl/>
        </w:rPr>
        <w:tab/>
      </w:r>
      <w:r w:rsidRPr="00D26DA0">
        <w:rPr>
          <w:rFonts w:hint="cs"/>
          <w:b/>
          <w:bCs/>
          <w:rtl/>
        </w:rPr>
        <w:t>إجراء تحقيقات مستقلة ومحايدة وفعالة عن العنف بين السجناء في أروبا وكوراكاو وتيسير طلب التعويض، بما في ذلك من جانب أسر المحتجزين.</w:t>
      </w:r>
    </w:p>
    <w:p w:rsidR="00266725" w:rsidRDefault="00266725" w:rsidP="00A83CF9">
      <w:pPr>
        <w:pStyle w:val="H23GA"/>
        <w:rPr>
          <w:rFonts w:hint="cs"/>
          <w:rtl/>
        </w:rPr>
      </w:pPr>
      <w:r>
        <w:rPr>
          <w:rFonts w:hint="cs"/>
          <w:rtl/>
        </w:rPr>
        <w:tab/>
      </w:r>
      <w:r>
        <w:rPr>
          <w:rFonts w:hint="cs"/>
          <w:rtl/>
        </w:rPr>
        <w:tab/>
      </w:r>
      <w:r w:rsidRPr="001C2565">
        <w:rPr>
          <w:rFonts w:hint="cs"/>
          <w:rtl/>
        </w:rPr>
        <w:t>إنصاف ضحايا التعذيب</w:t>
      </w:r>
    </w:p>
    <w:p w:rsidR="00266725" w:rsidRDefault="00ED4A52" w:rsidP="00A83CF9">
      <w:pPr>
        <w:pStyle w:val="SingleTxtGA"/>
        <w:rPr>
          <w:rFonts w:hint="cs"/>
          <w:rtl/>
          <w:lang w:bidi="ar-EG"/>
        </w:rPr>
      </w:pPr>
      <w:r>
        <w:rPr>
          <w:rFonts w:hint="cs"/>
          <w:rtl/>
        </w:rPr>
        <w:t>(</w:t>
      </w:r>
      <w:r w:rsidR="00266725">
        <w:rPr>
          <w:rFonts w:hint="cs"/>
          <w:rtl/>
        </w:rPr>
        <w:t>24</w:t>
      </w:r>
      <w:r>
        <w:rPr>
          <w:rFonts w:hint="cs"/>
          <w:rtl/>
        </w:rPr>
        <w:t>)</w:t>
      </w:r>
      <w:r w:rsidR="00266725" w:rsidRPr="00133788">
        <w:rPr>
          <w:rtl/>
        </w:rPr>
        <w:tab/>
      </w:r>
      <w:r w:rsidR="00266725">
        <w:rPr>
          <w:rFonts w:hint="cs"/>
          <w:rtl/>
        </w:rPr>
        <w:t>تلاحظ اللجنة ما أشارت إليه الدولة الطرف بشأن سبل التماس الانتصاف و</w:t>
      </w:r>
      <w:r w:rsidR="00266725">
        <w:rPr>
          <w:rFonts w:hint="cs"/>
          <w:rtl/>
          <w:lang w:bidi="ar-EG"/>
        </w:rPr>
        <w:t xml:space="preserve">الجبر من خلال الإجراءات الجنائية والمدنية والإدارية (الفقرة 90 من التقرير)، لكنها تلاحظ مع القلق عدم وجود معلومات محددة عن عدد </w:t>
      </w:r>
      <w:r w:rsidR="00266725" w:rsidRPr="00C86611">
        <w:rPr>
          <w:rFonts w:hint="cs"/>
          <w:rtl/>
          <w:lang w:bidi="ar-EG"/>
        </w:rPr>
        <w:t>تدابير</w:t>
      </w:r>
      <w:r w:rsidR="00266725" w:rsidRPr="00C86611">
        <w:rPr>
          <w:rtl/>
          <w:lang w:bidi="ar-EG"/>
        </w:rPr>
        <w:t xml:space="preserve"> </w:t>
      </w:r>
      <w:r w:rsidR="00266725">
        <w:rPr>
          <w:rFonts w:hint="cs"/>
          <w:rtl/>
          <w:lang w:bidi="ar-EG"/>
        </w:rPr>
        <w:t>الانت</w:t>
      </w:r>
      <w:r w:rsidR="00266725" w:rsidRPr="00C86611">
        <w:rPr>
          <w:rFonts w:hint="cs"/>
          <w:rtl/>
          <w:lang w:bidi="ar-EG"/>
        </w:rPr>
        <w:t>صاف</w:t>
      </w:r>
      <w:r w:rsidR="00266725" w:rsidRPr="00C86611">
        <w:rPr>
          <w:rtl/>
          <w:lang w:bidi="ar-EG"/>
        </w:rPr>
        <w:t xml:space="preserve"> </w:t>
      </w:r>
      <w:r w:rsidR="00266725">
        <w:rPr>
          <w:rFonts w:hint="cs"/>
          <w:rtl/>
          <w:lang w:bidi="ar-EG"/>
        </w:rPr>
        <w:t>والجبر وأمثلة ذلك، بما في ذلك وسائل التعويض،</w:t>
      </w:r>
      <w:r w:rsidR="00266725" w:rsidRPr="00C86611">
        <w:rPr>
          <w:rtl/>
          <w:lang w:bidi="ar-EG"/>
        </w:rPr>
        <w:t xml:space="preserve"> </w:t>
      </w:r>
      <w:r w:rsidR="00266725" w:rsidRPr="00C86611">
        <w:rPr>
          <w:rFonts w:hint="cs"/>
          <w:rtl/>
          <w:lang w:bidi="ar-EG"/>
        </w:rPr>
        <w:t>التي</w:t>
      </w:r>
      <w:r w:rsidR="00266725" w:rsidRPr="00C86611">
        <w:rPr>
          <w:rtl/>
          <w:lang w:bidi="ar-EG"/>
        </w:rPr>
        <w:t xml:space="preserve"> </w:t>
      </w:r>
      <w:r w:rsidR="00266725" w:rsidRPr="00C86611">
        <w:rPr>
          <w:rFonts w:hint="cs"/>
          <w:rtl/>
          <w:lang w:bidi="ar-EG"/>
        </w:rPr>
        <w:t>أمرت</w:t>
      </w:r>
      <w:r w:rsidR="00266725" w:rsidRPr="00C86611">
        <w:rPr>
          <w:rtl/>
          <w:lang w:bidi="ar-EG"/>
        </w:rPr>
        <w:t xml:space="preserve"> </w:t>
      </w:r>
      <w:r w:rsidR="00266725" w:rsidRPr="00C86611">
        <w:rPr>
          <w:rFonts w:hint="cs"/>
          <w:rtl/>
          <w:lang w:bidi="ar-EG"/>
        </w:rPr>
        <w:t>بها</w:t>
      </w:r>
      <w:r w:rsidR="00266725" w:rsidRPr="00C86611">
        <w:rPr>
          <w:rtl/>
          <w:lang w:bidi="ar-EG"/>
        </w:rPr>
        <w:t xml:space="preserve"> </w:t>
      </w:r>
      <w:r w:rsidR="00266725" w:rsidRPr="00C86611">
        <w:rPr>
          <w:rFonts w:hint="cs"/>
          <w:rtl/>
          <w:lang w:bidi="ar-EG"/>
        </w:rPr>
        <w:t>المحاكم</w:t>
      </w:r>
      <w:r w:rsidR="00266725" w:rsidRPr="00C86611">
        <w:rPr>
          <w:rtl/>
          <w:lang w:bidi="ar-EG"/>
        </w:rPr>
        <w:t xml:space="preserve"> </w:t>
      </w:r>
      <w:r w:rsidR="00266725" w:rsidRPr="00C86611">
        <w:rPr>
          <w:rFonts w:hint="cs"/>
          <w:rtl/>
          <w:lang w:bidi="ar-EG"/>
        </w:rPr>
        <w:t>وما</w:t>
      </w:r>
      <w:r w:rsidR="00266725" w:rsidRPr="00C86611">
        <w:rPr>
          <w:rtl/>
          <w:lang w:bidi="ar-EG"/>
        </w:rPr>
        <w:t xml:space="preserve"> </w:t>
      </w:r>
      <w:r w:rsidR="00266725" w:rsidRPr="00C86611">
        <w:rPr>
          <w:rFonts w:hint="cs"/>
          <w:rtl/>
          <w:lang w:bidi="ar-EG"/>
        </w:rPr>
        <w:t>قُدم</w:t>
      </w:r>
      <w:r w:rsidR="00266725" w:rsidRPr="00C86611">
        <w:rPr>
          <w:rtl/>
          <w:lang w:bidi="ar-EG"/>
        </w:rPr>
        <w:t xml:space="preserve"> </w:t>
      </w:r>
      <w:r w:rsidR="00266725" w:rsidRPr="00C86611">
        <w:rPr>
          <w:rFonts w:hint="cs"/>
          <w:rtl/>
          <w:lang w:bidi="ar-EG"/>
        </w:rPr>
        <w:t>فعلاً</w:t>
      </w:r>
      <w:r w:rsidR="00266725" w:rsidRPr="00C86611">
        <w:rPr>
          <w:rtl/>
          <w:lang w:bidi="ar-EG"/>
        </w:rPr>
        <w:t xml:space="preserve"> </w:t>
      </w:r>
      <w:r w:rsidR="00266725" w:rsidRPr="00C86611">
        <w:rPr>
          <w:rFonts w:hint="cs"/>
          <w:rtl/>
          <w:lang w:bidi="ar-EG"/>
        </w:rPr>
        <w:t>إلى</w:t>
      </w:r>
      <w:r w:rsidR="00266725" w:rsidRPr="00C86611">
        <w:rPr>
          <w:rtl/>
          <w:lang w:bidi="ar-EG"/>
        </w:rPr>
        <w:t xml:space="preserve"> </w:t>
      </w:r>
      <w:r w:rsidR="00266725" w:rsidRPr="00C86611">
        <w:rPr>
          <w:rFonts w:hint="cs"/>
          <w:rtl/>
          <w:lang w:bidi="ar-EG"/>
        </w:rPr>
        <w:t>ضحايا</w:t>
      </w:r>
      <w:r w:rsidR="00266725" w:rsidRPr="00C86611">
        <w:rPr>
          <w:rtl/>
          <w:lang w:bidi="ar-EG"/>
        </w:rPr>
        <w:t xml:space="preserve"> </w:t>
      </w:r>
      <w:r w:rsidR="00266725" w:rsidRPr="00C86611">
        <w:rPr>
          <w:rFonts w:hint="cs"/>
          <w:rtl/>
          <w:lang w:bidi="ar-EG"/>
        </w:rPr>
        <w:t>التعذيب</w:t>
      </w:r>
      <w:r w:rsidR="00266725" w:rsidRPr="00C86611">
        <w:rPr>
          <w:rtl/>
          <w:lang w:bidi="ar-EG"/>
        </w:rPr>
        <w:t xml:space="preserve"> </w:t>
      </w:r>
      <w:r w:rsidR="00266725" w:rsidRPr="00C86611">
        <w:rPr>
          <w:rFonts w:hint="cs"/>
          <w:rtl/>
          <w:lang w:bidi="ar-EG"/>
        </w:rPr>
        <w:t>أو</w:t>
      </w:r>
      <w:r w:rsidR="00266725" w:rsidRPr="00C86611">
        <w:rPr>
          <w:rtl/>
          <w:lang w:bidi="ar-EG"/>
        </w:rPr>
        <w:t xml:space="preserve"> </w:t>
      </w:r>
      <w:r w:rsidR="00266725" w:rsidRPr="00C86611">
        <w:rPr>
          <w:rFonts w:hint="cs"/>
          <w:rtl/>
          <w:lang w:bidi="ar-EG"/>
        </w:rPr>
        <w:t>أسرهم،</w:t>
      </w:r>
      <w:r w:rsidR="00266725" w:rsidRPr="00C86611">
        <w:rPr>
          <w:rtl/>
          <w:lang w:bidi="ar-EG"/>
        </w:rPr>
        <w:t xml:space="preserve"> </w:t>
      </w:r>
      <w:r w:rsidR="00266725" w:rsidRPr="00C86611">
        <w:rPr>
          <w:rFonts w:hint="cs"/>
          <w:rtl/>
          <w:lang w:bidi="ar-EG"/>
        </w:rPr>
        <w:t>منذ</w:t>
      </w:r>
      <w:r w:rsidR="00266725" w:rsidRPr="00C86611">
        <w:rPr>
          <w:rtl/>
          <w:lang w:bidi="ar-EG"/>
        </w:rPr>
        <w:t xml:space="preserve"> </w:t>
      </w:r>
      <w:r w:rsidR="00266725" w:rsidRPr="00C86611">
        <w:rPr>
          <w:rFonts w:hint="cs"/>
          <w:rtl/>
          <w:lang w:bidi="ar-EG"/>
        </w:rPr>
        <w:t>النظر</w:t>
      </w:r>
      <w:r w:rsidR="00266725" w:rsidRPr="00C86611">
        <w:rPr>
          <w:rtl/>
          <w:lang w:bidi="ar-EG"/>
        </w:rPr>
        <w:t xml:space="preserve"> </w:t>
      </w:r>
      <w:r w:rsidR="00266725" w:rsidRPr="00C86611">
        <w:rPr>
          <w:rFonts w:hint="cs"/>
          <w:rtl/>
          <w:lang w:bidi="ar-EG"/>
        </w:rPr>
        <w:t>في</w:t>
      </w:r>
      <w:r w:rsidR="00266725" w:rsidRPr="00C86611">
        <w:rPr>
          <w:rtl/>
          <w:lang w:bidi="ar-EG"/>
        </w:rPr>
        <w:t xml:space="preserve"> </w:t>
      </w:r>
      <w:r w:rsidR="00266725" w:rsidRPr="00C86611">
        <w:rPr>
          <w:rFonts w:hint="cs"/>
          <w:rtl/>
          <w:lang w:bidi="ar-EG"/>
        </w:rPr>
        <w:t>التقرير</w:t>
      </w:r>
      <w:r w:rsidR="00266725" w:rsidRPr="00C86611">
        <w:rPr>
          <w:rtl/>
          <w:lang w:bidi="ar-EG"/>
        </w:rPr>
        <w:t xml:space="preserve"> </w:t>
      </w:r>
      <w:r w:rsidR="00266725" w:rsidRPr="00C86611">
        <w:rPr>
          <w:rFonts w:hint="cs"/>
          <w:rtl/>
          <w:lang w:bidi="ar-EG"/>
        </w:rPr>
        <w:t>الدوري</w:t>
      </w:r>
      <w:r w:rsidR="00266725" w:rsidRPr="00C86611">
        <w:rPr>
          <w:rtl/>
          <w:lang w:bidi="ar-EG"/>
        </w:rPr>
        <w:t xml:space="preserve"> </w:t>
      </w:r>
      <w:r w:rsidR="00266725">
        <w:rPr>
          <w:rFonts w:hint="cs"/>
          <w:rtl/>
          <w:lang w:bidi="ar-EG"/>
        </w:rPr>
        <w:t xml:space="preserve">الأخير </w:t>
      </w:r>
      <w:r w:rsidR="00266725" w:rsidRPr="00C86611">
        <w:rPr>
          <w:rFonts w:hint="cs"/>
          <w:rtl/>
          <w:lang w:bidi="ar-EG"/>
        </w:rPr>
        <w:t>لعام</w:t>
      </w:r>
      <w:r w:rsidR="00266725">
        <w:rPr>
          <w:rFonts w:hint="cs"/>
          <w:rtl/>
          <w:lang w:bidi="ar-EG"/>
        </w:rPr>
        <w:t xml:space="preserve"> 2007. كما تشعر اللجنة بالقلق لأنه على الرغم من أن التحقيقات المستقلة التي أجريت بشأن الحريق الذي شب في مركز احتجاز المهاجرين في مطار شيفول بأمستردام وأسفر عن مقتل 11 شخصاً وإصابة 15 في ليلة 26-27 تشرين الأول/أكتوبر 2005، قد خلصت إلى أن التدابير الوقائية لمكافحة الحريق لم تنجح بشكل كبير، فإنه لم يخضع أي موظف للمساءلة ولم يحصل أي من الضحايا أو أسرهم على سبل الانتصاف والجبر كجزء من الحكم الصادر عن محكمة هارلم لعام 2007 (المادة 14).</w:t>
      </w:r>
    </w:p>
    <w:p w:rsidR="00266725" w:rsidRPr="00126382" w:rsidRDefault="00266725" w:rsidP="00A83CF9">
      <w:pPr>
        <w:pStyle w:val="SingleTxtGA"/>
        <w:rPr>
          <w:rFonts w:hint="cs"/>
          <w:b/>
          <w:bCs/>
          <w:rtl/>
          <w:lang w:bidi="ar-EG"/>
        </w:rPr>
      </w:pPr>
      <w:r>
        <w:rPr>
          <w:b/>
          <w:bCs/>
          <w:rtl/>
          <w:lang w:bidi="ar-EG"/>
        </w:rPr>
        <w:tab/>
      </w:r>
      <w:r w:rsidRPr="00126382">
        <w:rPr>
          <w:rFonts w:hint="cs"/>
          <w:b/>
          <w:bCs/>
          <w:rtl/>
          <w:lang w:bidi="ar-EG"/>
        </w:rPr>
        <w:t>تطلب اللجنة إلى الدولة الطرف أن توضح في تقريرها الدوري المقبل عدد طلبات الانتصاف والجبر، بما في ذلك التعويض، وعدد الأشخاص الذين منحوا التعويض، ومبالغ التعويضات التي أمرت بها المحاكم وقدمت بالفعل في كل حالة. ويتعين بوجه خاص على الدولة الطرف أن تتيح الانتصاف والجبر لضحايا الحريق الذي شب في مركز احتجاز المهاجرين في مطار شيفول بأمستردام في عام 2005 أو لأسرهم. وتلفت اللجنة انتباه الدول</w:t>
      </w:r>
      <w:r>
        <w:rPr>
          <w:rFonts w:hint="cs"/>
          <w:b/>
          <w:bCs/>
          <w:rtl/>
          <w:lang w:bidi="ar-EG"/>
        </w:rPr>
        <w:t>ة الطرف إلى التعليق العام رقم 3</w:t>
      </w:r>
      <w:r w:rsidRPr="00126382">
        <w:rPr>
          <w:rFonts w:hint="cs"/>
          <w:b/>
          <w:bCs/>
          <w:rtl/>
          <w:lang w:bidi="ar-EG"/>
        </w:rPr>
        <w:t>(2012) الذي اعتمد مؤخراً بشأن المادة</w:t>
      </w:r>
      <w:r>
        <w:rPr>
          <w:rFonts w:hint="eastAsia"/>
          <w:b/>
          <w:bCs/>
          <w:rtl/>
          <w:lang w:bidi="ar-EG"/>
        </w:rPr>
        <w:t> </w:t>
      </w:r>
      <w:r w:rsidRPr="00126382">
        <w:rPr>
          <w:rFonts w:hint="cs"/>
          <w:b/>
          <w:bCs/>
          <w:rtl/>
          <w:lang w:bidi="ar-EG"/>
        </w:rPr>
        <w:t>14 من الاتفاقية والذي يوضح مضمون ومدى التزام الدول الأطراف بتقديم أوجه الانتصاف الكاملة لضحايا التعذيب.</w:t>
      </w:r>
    </w:p>
    <w:p w:rsidR="00266725" w:rsidRDefault="00266725" w:rsidP="00A83CF9">
      <w:pPr>
        <w:pStyle w:val="H23GA"/>
        <w:rPr>
          <w:rFonts w:hint="cs"/>
          <w:rtl/>
          <w:lang w:bidi="ar-EG"/>
        </w:rPr>
      </w:pPr>
      <w:r>
        <w:rPr>
          <w:rFonts w:hint="cs"/>
          <w:rtl/>
          <w:lang w:bidi="ar-EG"/>
        </w:rPr>
        <w:tab/>
      </w:r>
      <w:r>
        <w:rPr>
          <w:rFonts w:hint="cs"/>
          <w:rtl/>
          <w:lang w:bidi="ar-EG"/>
        </w:rPr>
        <w:tab/>
      </w:r>
      <w:r w:rsidRPr="009B0CA1">
        <w:rPr>
          <w:rFonts w:hint="cs"/>
          <w:rtl/>
          <w:lang w:bidi="ar-EG"/>
        </w:rPr>
        <w:t>الاتجار بالبشر</w:t>
      </w:r>
    </w:p>
    <w:p w:rsidR="00266725" w:rsidRDefault="00065A50" w:rsidP="004C3E0C">
      <w:pPr>
        <w:pStyle w:val="SingleTxtGA"/>
        <w:rPr>
          <w:rFonts w:hint="cs"/>
          <w:rtl/>
          <w:lang w:bidi="ar-EG"/>
        </w:rPr>
      </w:pPr>
      <w:r>
        <w:rPr>
          <w:rFonts w:hint="cs"/>
          <w:rtl/>
        </w:rPr>
        <w:t>(</w:t>
      </w:r>
      <w:r w:rsidR="00266725">
        <w:rPr>
          <w:rFonts w:hint="cs"/>
          <w:rtl/>
        </w:rPr>
        <w:t>25</w:t>
      </w:r>
      <w:r>
        <w:rPr>
          <w:rFonts w:hint="cs"/>
          <w:rtl/>
        </w:rPr>
        <w:t>)</w:t>
      </w:r>
      <w:r w:rsidR="00266725" w:rsidRPr="00133788">
        <w:rPr>
          <w:rtl/>
        </w:rPr>
        <w:tab/>
      </w:r>
      <w:r w:rsidR="00266725">
        <w:rPr>
          <w:rFonts w:hint="cs"/>
          <w:rtl/>
          <w:lang w:bidi="ar-EG"/>
        </w:rPr>
        <w:t>تلاحظ اللجنة مع القلق أن عدد التحقيقات الجنائية المتعلقة بالاتجار بالبشر قد ارتفع إلى 150 تحقيقاً في عام 2012 وأن عدد الإدانات بممارسة الاتجار بالبشر قد بلغ 140 إدانة في عام 2012، وهو ما يعد زيادة ملموسة مقارنة بالأعوام الماضية. وعليه، فإن اللجنة تشعر بالقلق حيال المعلومات التي قدمتها الدولة الطرف والتي تفيد "بأن من المتعذر للغاية الكشف عن الاتجار بالبشر، مما يجعل من المستحيل تحديد ما إذا كان قد حدث ارتفاع أو انخفاض في إجمالي عدد الحالات، حيث يتم الجمع بين حالات الاستغلال الجنسي والاتجار البشر المحددة وغير المحددة (الفقرة 150 من التقرير) (المواد 2 و3 و12 و14 و16).</w:t>
      </w:r>
    </w:p>
    <w:p w:rsidR="00266725" w:rsidRPr="002D2149" w:rsidRDefault="00266725" w:rsidP="004C3E0C">
      <w:pPr>
        <w:pStyle w:val="SingleTxtGA"/>
        <w:keepNext/>
        <w:keepLines/>
        <w:rPr>
          <w:rFonts w:hint="cs"/>
          <w:b/>
          <w:bCs/>
          <w:rtl/>
          <w:lang w:bidi="ar-EG"/>
        </w:rPr>
      </w:pPr>
      <w:r>
        <w:rPr>
          <w:b/>
          <w:bCs/>
          <w:rtl/>
          <w:lang w:bidi="ar-EG"/>
        </w:rPr>
        <w:tab/>
      </w:r>
      <w:r w:rsidRPr="002D2149">
        <w:rPr>
          <w:rFonts w:hint="cs"/>
          <w:b/>
          <w:bCs/>
          <w:rtl/>
          <w:lang w:bidi="ar-EG"/>
        </w:rPr>
        <w:t>توصي اللجنة الدولة الطرف بالآتي:</w:t>
      </w:r>
    </w:p>
    <w:p w:rsidR="00266725" w:rsidRPr="0065084B" w:rsidRDefault="00266725" w:rsidP="004C3E0C">
      <w:pPr>
        <w:pStyle w:val="SingleTxtGA"/>
        <w:rPr>
          <w:rFonts w:hint="cs"/>
          <w:b/>
          <w:bCs/>
          <w:lang w:bidi="ar-EG"/>
        </w:rPr>
      </w:pPr>
      <w:r>
        <w:rPr>
          <w:b/>
          <w:bCs/>
          <w:rtl/>
          <w:lang w:bidi="ar-EG"/>
        </w:rPr>
        <w:tab/>
      </w:r>
      <w:r>
        <w:rPr>
          <w:rFonts w:hint="cs"/>
          <w:b/>
          <w:bCs/>
          <w:rtl/>
          <w:lang w:bidi="ar-EG"/>
        </w:rPr>
        <w:t>(أ)</w:t>
      </w:r>
      <w:r>
        <w:rPr>
          <w:rFonts w:hint="cs"/>
          <w:b/>
          <w:bCs/>
          <w:rtl/>
          <w:lang w:bidi="ar-EG"/>
        </w:rPr>
        <w:tab/>
      </w:r>
      <w:r w:rsidRPr="0065084B">
        <w:rPr>
          <w:rFonts w:hint="cs"/>
          <w:b/>
          <w:bCs/>
          <w:rtl/>
          <w:lang w:bidi="ar-EG"/>
        </w:rPr>
        <w:t>أن</w:t>
      </w:r>
      <w:r w:rsidRPr="0065084B">
        <w:rPr>
          <w:b/>
          <w:bCs/>
          <w:rtl/>
          <w:lang w:bidi="ar-EG"/>
        </w:rPr>
        <w:t xml:space="preserve"> </w:t>
      </w:r>
      <w:r w:rsidRPr="0065084B">
        <w:rPr>
          <w:rFonts w:hint="cs"/>
          <w:b/>
          <w:bCs/>
          <w:rtl/>
          <w:lang w:bidi="ar-EG"/>
        </w:rPr>
        <w:t>تمنع</w:t>
      </w:r>
      <w:r w:rsidRPr="0065084B">
        <w:rPr>
          <w:b/>
          <w:bCs/>
          <w:rtl/>
          <w:lang w:bidi="ar-EG"/>
        </w:rPr>
        <w:t xml:space="preserve"> </w:t>
      </w:r>
      <w:r w:rsidRPr="0065084B">
        <w:rPr>
          <w:rFonts w:hint="cs"/>
          <w:b/>
          <w:bCs/>
          <w:rtl/>
          <w:lang w:bidi="ar-EG"/>
        </w:rPr>
        <w:t>الاتجار</w:t>
      </w:r>
      <w:r w:rsidRPr="0065084B">
        <w:rPr>
          <w:b/>
          <w:bCs/>
          <w:rtl/>
          <w:lang w:bidi="ar-EG"/>
        </w:rPr>
        <w:t xml:space="preserve"> </w:t>
      </w:r>
      <w:r w:rsidRPr="0065084B">
        <w:rPr>
          <w:rFonts w:hint="cs"/>
          <w:b/>
          <w:bCs/>
          <w:rtl/>
          <w:lang w:bidi="ar-EG"/>
        </w:rPr>
        <w:t>بالأشخاص</w:t>
      </w:r>
      <w:r w:rsidRPr="0065084B">
        <w:rPr>
          <w:b/>
          <w:bCs/>
          <w:rtl/>
          <w:lang w:bidi="ar-EG"/>
        </w:rPr>
        <w:t xml:space="preserve"> </w:t>
      </w:r>
      <w:r w:rsidRPr="0065084B">
        <w:rPr>
          <w:rFonts w:hint="cs"/>
          <w:b/>
          <w:bCs/>
          <w:rtl/>
          <w:lang w:bidi="ar-EG"/>
        </w:rPr>
        <w:t>والممارسات</w:t>
      </w:r>
      <w:r w:rsidRPr="0065084B">
        <w:rPr>
          <w:b/>
          <w:bCs/>
          <w:rtl/>
          <w:lang w:bidi="ar-EG"/>
        </w:rPr>
        <w:t xml:space="preserve"> </w:t>
      </w:r>
      <w:r w:rsidRPr="0065084B">
        <w:rPr>
          <w:rFonts w:hint="cs"/>
          <w:b/>
          <w:bCs/>
          <w:rtl/>
          <w:lang w:bidi="ar-EG"/>
        </w:rPr>
        <w:t>المرتبطة</w:t>
      </w:r>
      <w:r w:rsidRPr="0065084B">
        <w:rPr>
          <w:b/>
          <w:bCs/>
          <w:rtl/>
          <w:lang w:bidi="ar-EG"/>
        </w:rPr>
        <w:t xml:space="preserve"> </w:t>
      </w:r>
      <w:r w:rsidRPr="0065084B">
        <w:rPr>
          <w:rFonts w:hint="cs"/>
          <w:b/>
          <w:bCs/>
          <w:rtl/>
          <w:lang w:bidi="ar-EG"/>
        </w:rPr>
        <w:t>به، بما في ذلك حوادث الاتجار بالقصر</w:t>
      </w:r>
      <w:r w:rsidRPr="0065084B">
        <w:rPr>
          <w:b/>
          <w:bCs/>
          <w:rtl/>
          <w:lang w:bidi="ar-EG"/>
        </w:rPr>
        <w:t xml:space="preserve"> </w:t>
      </w:r>
      <w:r w:rsidRPr="0065084B">
        <w:rPr>
          <w:rFonts w:hint="cs"/>
          <w:b/>
          <w:bCs/>
          <w:rtl/>
          <w:lang w:bidi="ar-EG"/>
        </w:rPr>
        <w:t>وأن</w:t>
      </w:r>
      <w:r w:rsidRPr="0065084B">
        <w:rPr>
          <w:b/>
          <w:bCs/>
          <w:rtl/>
          <w:lang w:bidi="ar-EG"/>
        </w:rPr>
        <w:t xml:space="preserve"> </w:t>
      </w:r>
      <w:r w:rsidRPr="0065084B">
        <w:rPr>
          <w:rFonts w:hint="cs"/>
          <w:b/>
          <w:bCs/>
          <w:rtl/>
          <w:lang w:bidi="ar-EG"/>
        </w:rPr>
        <w:t>تقوم</w:t>
      </w:r>
      <w:r w:rsidRPr="0065084B">
        <w:rPr>
          <w:b/>
          <w:bCs/>
          <w:rtl/>
          <w:lang w:bidi="ar-EG"/>
        </w:rPr>
        <w:t xml:space="preserve"> </w:t>
      </w:r>
      <w:r w:rsidRPr="0065084B">
        <w:rPr>
          <w:rFonts w:hint="cs"/>
          <w:b/>
          <w:bCs/>
          <w:rtl/>
          <w:lang w:bidi="ar-EG"/>
        </w:rPr>
        <w:t>على</w:t>
      </w:r>
      <w:r w:rsidRPr="0065084B">
        <w:rPr>
          <w:b/>
          <w:bCs/>
          <w:rtl/>
          <w:lang w:bidi="ar-EG"/>
        </w:rPr>
        <w:t xml:space="preserve"> </w:t>
      </w:r>
      <w:r w:rsidRPr="0065084B">
        <w:rPr>
          <w:rFonts w:hint="cs"/>
          <w:b/>
          <w:bCs/>
          <w:rtl/>
          <w:lang w:bidi="ar-EG"/>
        </w:rPr>
        <w:t>وجه</w:t>
      </w:r>
      <w:r w:rsidRPr="0065084B">
        <w:rPr>
          <w:b/>
          <w:bCs/>
          <w:rtl/>
          <w:lang w:bidi="ar-EG"/>
        </w:rPr>
        <w:t xml:space="preserve"> </w:t>
      </w:r>
      <w:r w:rsidRPr="0065084B">
        <w:rPr>
          <w:rFonts w:hint="cs"/>
          <w:b/>
          <w:bCs/>
          <w:rtl/>
          <w:lang w:bidi="ar-EG"/>
        </w:rPr>
        <w:t>السرعة</w:t>
      </w:r>
      <w:r w:rsidRPr="0065084B">
        <w:rPr>
          <w:b/>
          <w:bCs/>
          <w:rtl/>
          <w:lang w:bidi="ar-EG"/>
        </w:rPr>
        <w:t xml:space="preserve"> </w:t>
      </w:r>
      <w:r w:rsidRPr="0065084B">
        <w:rPr>
          <w:rFonts w:hint="cs"/>
          <w:b/>
          <w:bCs/>
          <w:rtl/>
          <w:lang w:bidi="ar-EG"/>
        </w:rPr>
        <w:t>وبشكل</w:t>
      </w:r>
      <w:r w:rsidRPr="0065084B">
        <w:rPr>
          <w:b/>
          <w:bCs/>
          <w:rtl/>
          <w:lang w:bidi="ar-EG"/>
        </w:rPr>
        <w:t xml:space="preserve"> </w:t>
      </w:r>
      <w:r w:rsidRPr="0065084B">
        <w:rPr>
          <w:rFonts w:hint="cs"/>
          <w:b/>
          <w:bCs/>
          <w:rtl/>
          <w:lang w:bidi="ar-EG"/>
        </w:rPr>
        <w:t>كامل</w:t>
      </w:r>
      <w:r w:rsidRPr="0065084B">
        <w:rPr>
          <w:b/>
          <w:bCs/>
          <w:rtl/>
          <w:lang w:bidi="ar-EG"/>
        </w:rPr>
        <w:t xml:space="preserve"> </w:t>
      </w:r>
      <w:r w:rsidRPr="0065084B">
        <w:rPr>
          <w:rFonts w:hint="cs"/>
          <w:b/>
          <w:bCs/>
          <w:rtl/>
          <w:lang w:bidi="ar-EG"/>
        </w:rPr>
        <w:t>وغير</w:t>
      </w:r>
      <w:r w:rsidRPr="0065084B">
        <w:rPr>
          <w:b/>
          <w:bCs/>
          <w:rtl/>
          <w:lang w:bidi="ar-EG"/>
        </w:rPr>
        <w:t xml:space="preserve"> </w:t>
      </w:r>
      <w:r w:rsidRPr="0065084B">
        <w:rPr>
          <w:rFonts w:hint="cs"/>
          <w:b/>
          <w:bCs/>
          <w:rtl/>
          <w:lang w:bidi="ar-EG"/>
        </w:rPr>
        <w:t>متحيز</w:t>
      </w:r>
      <w:r w:rsidRPr="0065084B">
        <w:rPr>
          <w:b/>
          <w:bCs/>
          <w:rtl/>
          <w:lang w:bidi="ar-EG"/>
        </w:rPr>
        <w:t xml:space="preserve"> </w:t>
      </w:r>
      <w:r w:rsidRPr="0065084B">
        <w:rPr>
          <w:rFonts w:hint="cs"/>
          <w:b/>
          <w:bCs/>
          <w:rtl/>
          <w:lang w:bidi="ar-EG"/>
        </w:rPr>
        <w:t>بإجراء</w:t>
      </w:r>
      <w:r w:rsidRPr="0065084B">
        <w:rPr>
          <w:b/>
          <w:bCs/>
          <w:rtl/>
          <w:lang w:bidi="ar-EG"/>
        </w:rPr>
        <w:t xml:space="preserve"> </w:t>
      </w:r>
      <w:r w:rsidRPr="0065084B">
        <w:rPr>
          <w:rFonts w:hint="cs"/>
          <w:b/>
          <w:bCs/>
          <w:rtl/>
          <w:lang w:bidi="ar-EG"/>
        </w:rPr>
        <w:t>التحقيقات</w:t>
      </w:r>
      <w:r w:rsidRPr="0065084B">
        <w:rPr>
          <w:b/>
          <w:bCs/>
          <w:rtl/>
          <w:lang w:bidi="ar-EG"/>
        </w:rPr>
        <w:t xml:space="preserve"> </w:t>
      </w:r>
      <w:r w:rsidRPr="0065084B">
        <w:rPr>
          <w:rFonts w:hint="cs"/>
          <w:b/>
          <w:bCs/>
          <w:rtl/>
          <w:lang w:bidi="ar-EG"/>
        </w:rPr>
        <w:t>فيه</w:t>
      </w:r>
      <w:r w:rsidRPr="0065084B">
        <w:rPr>
          <w:b/>
          <w:bCs/>
          <w:rtl/>
          <w:lang w:bidi="ar-EG"/>
        </w:rPr>
        <w:t xml:space="preserve"> </w:t>
      </w:r>
      <w:r w:rsidRPr="0065084B">
        <w:rPr>
          <w:rFonts w:hint="cs"/>
          <w:b/>
          <w:bCs/>
          <w:rtl/>
          <w:lang w:bidi="ar-EG"/>
        </w:rPr>
        <w:t>وملاحقة</w:t>
      </w:r>
      <w:r w:rsidRPr="0065084B">
        <w:rPr>
          <w:b/>
          <w:bCs/>
          <w:rtl/>
          <w:lang w:bidi="ar-EG"/>
        </w:rPr>
        <w:t xml:space="preserve"> </w:t>
      </w:r>
      <w:r w:rsidRPr="0065084B">
        <w:rPr>
          <w:rFonts w:hint="cs"/>
          <w:b/>
          <w:bCs/>
          <w:rtl/>
          <w:lang w:bidi="ar-EG"/>
        </w:rPr>
        <w:t>الجناة</w:t>
      </w:r>
      <w:r w:rsidRPr="0065084B">
        <w:rPr>
          <w:b/>
          <w:bCs/>
          <w:rtl/>
          <w:lang w:bidi="ar-EG"/>
        </w:rPr>
        <w:t xml:space="preserve"> </w:t>
      </w:r>
      <w:r w:rsidRPr="0065084B">
        <w:rPr>
          <w:rFonts w:hint="cs"/>
          <w:b/>
          <w:bCs/>
          <w:rtl/>
          <w:lang w:bidi="ar-EG"/>
        </w:rPr>
        <w:t>ومعاقبتهم؛</w:t>
      </w:r>
    </w:p>
    <w:p w:rsidR="00266725" w:rsidRPr="0065084B" w:rsidRDefault="00266725" w:rsidP="004C3E0C">
      <w:pPr>
        <w:pStyle w:val="SingleTxtGA"/>
        <w:rPr>
          <w:rFonts w:hint="cs"/>
          <w:b/>
          <w:bCs/>
          <w:lang w:bidi="ar-EG"/>
        </w:rPr>
      </w:pPr>
      <w:r>
        <w:rPr>
          <w:b/>
          <w:bCs/>
          <w:rtl/>
          <w:lang w:bidi="ar-EG"/>
        </w:rPr>
        <w:tab/>
      </w:r>
      <w:r>
        <w:rPr>
          <w:rFonts w:hint="cs"/>
          <w:b/>
          <w:bCs/>
          <w:rtl/>
          <w:lang w:bidi="ar-EG"/>
        </w:rPr>
        <w:t>(ب)</w:t>
      </w:r>
      <w:r>
        <w:rPr>
          <w:rFonts w:hint="cs"/>
          <w:b/>
          <w:bCs/>
          <w:rtl/>
          <w:lang w:bidi="ar-EG"/>
        </w:rPr>
        <w:tab/>
      </w:r>
      <w:r w:rsidRPr="0065084B">
        <w:rPr>
          <w:rFonts w:hint="cs"/>
          <w:b/>
          <w:bCs/>
          <w:rtl/>
          <w:lang w:bidi="ar-EG"/>
        </w:rPr>
        <w:t>أن توفر الحماية الكافية وسبل الانتصاف لضحايا الاتجار بالبشر، بما في ذلك المساعدة على إبلاغ الشرطة عن حوادث الاتجار، لا سيما عن طريق تقديم المساعدة القانونية والطبية والنفسية وإعادة التأهيل، بما في ذلك توفير المأوى المناسب، وحماية الشهود، وفقاً للمادة 14 من الاتفاقية؛</w:t>
      </w:r>
    </w:p>
    <w:p w:rsidR="00266725" w:rsidRPr="00B62544" w:rsidRDefault="00266725" w:rsidP="004C3E0C">
      <w:pPr>
        <w:pStyle w:val="SingleTxtGA"/>
        <w:rPr>
          <w:rFonts w:hint="cs"/>
          <w:b/>
          <w:bCs/>
          <w:spacing w:val="-4"/>
          <w:rtl/>
          <w:lang w:bidi="ar-EG"/>
        </w:rPr>
      </w:pPr>
      <w:r w:rsidRPr="00B62544">
        <w:rPr>
          <w:b/>
          <w:bCs/>
          <w:spacing w:val="-4"/>
          <w:rtl/>
          <w:lang w:bidi="ar-EG"/>
        </w:rPr>
        <w:tab/>
        <w:t>(ج)</w:t>
      </w:r>
      <w:r w:rsidRPr="00B62544">
        <w:rPr>
          <w:b/>
          <w:bCs/>
          <w:spacing w:val="-4"/>
          <w:rtl/>
          <w:lang w:bidi="ar-EG"/>
        </w:rPr>
        <w:tab/>
        <w:t>أن تمنع عودة الأشخاص المتاجر بهم إلى بلدانهم الأصلية التي يوجد فيها أسباب موضوعية للاعتقاد باحتمال تعرضهم لخطر الاستغلال أو التعذيب أو إساءة المعاملة؛</w:t>
      </w:r>
    </w:p>
    <w:p w:rsidR="00266725" w:rsidRDefault="00266725" w:rsidP="004C3E0C">
      <w:pPr>
        <w:pStyle w:val="SingleTxtGA"/>
        <w:rPr>
          <w:rFonts w:hint="cs"/>
          <w:b/>
          <w:bCs/>
          <w:rtl/>
          <w:lang w:bidi="ar-EG"/>
        </w:rPr>
      </w:pPr>
      <w:r w:rsidRPr="00C07692">
        <w:rPr>
          <w:b/>
          <w:bCs/>
          <w:rtl/>
          <w:lang w:bidi="ar-EG"/>
        </w:rPr>
        <w:tab/>
        <w:t>(د)</w:t>
      </w:r>
      <w:r w:rsidRPr="00C07692">
        <w:rPr>
          <w:b/>
          <w:bCs/>
          <w:rtl/>
          <w:lang w:bidi="ar-EG"/>
        </w:rPr>
        <w:tab/>
        <w:t>أن توفر التدريب المنتظم للشرطة والمدعين العامين والقضاة على السبل الفعالة لمنع أعمال الاتجار بالأشخاص والتحقيق فيها وملاحقة مرتكبيها ومعاقبتهم، بما في ذلك التدريب على ضمانات حق المرء في أن يمثله محام من اختياره وإطلاع عامة الجمهور على الطبيعة الإجرامية لهذه الأفعال؛</w:t>
      </w:r>
    </w:p>
    <w:p w:rsidR="00266725" w:rsidRPr="0065084B" w:rsidRDefault="00266725" w:rsidP="004C3E0C">
      <w:pPr>
        <w:pStyle w:val="SingleTxtGA"/>
        <w:rPr>
          <w:rFonts w:hint="cs"/>
          <w:b/>
          <w:bCs/>
          <w:lang w:bidi="ar-EG"/>
        </w:rPr>
      </w:pPr>
      <w:r>
        <w:rPr>
          <w:b/>
          <w:bCs/>
          <w:rtl/>
          <w:lang w:bidi="ar-EG"/>
        </w:rPr>
        <w:tab/>
      </w:r>
      <w:r>
        <w:rPr>
          <w:rFonts w:hint="cs"/>
          <w:b/>
          <w:bCs/>
          <w:rtl/>
          <w:lang w:bidi="ar-EG"/>
        </w:rPr>
        <w:t>(</w:t>
      </w:r>
      <w:r w:rsidRPr="009139BB">
        <w:rPr>
          <w:rFonts w:hint="cs"/>
          <w:b/>
          <w:bCs/>
          <w:sz w:val="30"/>
          <w:rtl/>
          <w:lang w:bidi="ar-EG"/>
        </w:rPr>
        <w:t>ﻫ</w:t>
      </w:r>
      <w:r>
        <w:rPr>
          <w:rFonts w:hint="cs"/>
          <w:b/>
          <w:bCs/>
          <w:rtl/>
          <w:lang w:bidi="ar-EG"/>
        </w:rPr>
        <w:t>)</w:t>
      </w:r>
      <w:r>
        <w:rPr>
          <w:rFonts w:hint="cs"/>
          <w:b/>
          <w:bCs/>
          <w:rtl/>
          <w:lang w:bidi="ar-EG"/>
        </w:rPr>
        <w:tab/>
      </w:r>
      <w:r w:rsidRPr="0065084B">
        <w:rPr>
          <w:rFonts w:hint="cs"/>
          <w:b/>
          <w:bCs/>
          <w:rtl/>
          <w:lang w:bidi="ar-EG"/>
        </w:rPr>
        <w:t>أن تجري بحوث حول تأثير التدابير الوقائية والتدابير المتخذة في مجال العدالة الجنائية للتصدي للاتجار بالبشر من أجل زيادة فعاليتها؛</w:t>
      </w:r>
    </w:p>
    <w:p w:rsidR="00266725" w:rsidRPr="0065084B" w:rsidRDefault="00266725" w:rsidP="004C3E0C">
      <w:pPr>
        <w:pStyle w:val="SingleTxtGA"/>
        <w:rPr>
          <w:rFonts w:hint="cs"/>
          <w:b/>
          <w:bCs/>
          <w:lang w:bidi="ar-EG"/>
        </w:rPr>
      </w:pPr>
      <w:r>
        <w:rPr>
          <w:b/>
          <w:bCs/>
          <w:rtl/>
          <w:lang w:bidi="ar-EG"/>
        </w:rPr>
        <w:tab/>
      </w:r>
      <w:r>
        <w:rPr>
          <w:rFonts w:hint="cs"/>
          <w:b/>
          <w:bCs/>
          <w:rtl/>
          <w:lang w:bidi="ar-EG"/>
        </w:rPr>
        <w:t>(و)</w:t>
      </w:r>
      <w:r>
        <w:rPr>
          <w:rFonts w:hint="cs"/>
          <w:b/>
          <w:bCs/>
          <w:rtl/>
          <w:lang w:bidi="ar-EG"/>
        </w:rPr>
        <w:tab/>
      </w:r>
      <w:r w:rsidRPr="0065084B">
        <w:rPr>
          <w:rFonts w:hint="cs"/>
          <w:b/>
          <w:bCs/>
          <w:rtl/>
          <w:lang w:bidi="ar-EG"/>
        </w:rPr>
        <w:t>أن تجمع بيانات مصنفة عن الاتجار بالبشر بما في ذلك حالات الاستغلال الجنسي والاتجار بالأطفال، لتحديثها على نحو منتظم.</w:t>
      </w:r>
    </w:p>
    <w:p w:rsidR="00266725" w:rsidRDefault="00266725" w:rsidP="004C3E0C">
      <w:pPr>
        <w:pStyle w:val="H23GA"/>
        <w:rPr>
          <w:rFonts w:hint="cs"/>
          <w:lang w:bidi="ar-EG"/>
        </w:rPr>
      </w:pPr>
      <w:r>
        <w:rPr>
          <w:rFonts w:hint="cs"/>
          <w:rtl/>
          <w:lang w:bidi="ar-EG"/>
        </w:rPr>
        <w:tab/>
      </w:r>
      <w:r>
        <w:rPr>
          <w:rFonts w:hint="cs"/>
          <w:rtl/>
          <w:lang w:bidi="ar-EG"/>
        </w:rPr>
        <w:tab/>
        <w:t>الإكراه البدني</w:t>
      </w:r>
      <w:r w:rsidRPr="00564764">
        <w:rPr>
          <w:rFonts w:hint="cs"/>
          <w:rtl/>
          <w:lang w:bidi="ar-EG"/>
        </w:rPr>
        <w:t xml:space="preserve"> في أماكن الاحتجاز وحوادث الوفيات</w:t>
      </w:r>
    </w:p>
    <w:p w:rsidR="00266725" w:rsidRDefault="00065A50" w:rsidP="004C3E0C">
      <w:pPr>
        <w:pStyle w:val="SingleTxtGA"/>
        <w:rPr>
          <w:rFonts w:hint="cs"/>
          <w:rtl/>
          <w:lang w:bidi="ar-EG"/>
        </w:rPr>
      </w:pPr>
      <w:r>
        <w:rPr>
          <w:rFonts w:hint="cs"/>
          <w:rtl/>
        </w:rPr>
        <w:t>(</w:t>
      </w:r>
      <w:r w:rsidR="00266725">
        <w:rPr>
          <w:rFonts w:hint="cs"/>
          <w:rtl/>
        </w:rPr>
        <w:t>26</w:t>
      </w:r>
      <w:r>
        <w:rPr>
          <w:rFonts w:hint="cs"/>
          <w:rtl/>
        </w:rPr>
        <w:t>)</w:t>
      </w:r>
      <w:r w:rsidR="00266725" w:rsidRPr="00133788">
        <w:rPr>
          <w:rtl/>
        </w:rPr>
        <w:tab/>
      </w:r>
      <w:r w:rsidR="00266725">
        <w:rPr>
          <w:rFonts w:hint="cs"/>
          <w:rtl/>
          <w:lang w:bidi="ar-EG"/>
        </w:rPr>
        <w:t>تلاحظ اللجنة مع القلق التقارير المتعلقة بحوادث الوفيات في أماكن الاحتجاز، حيث يدعى أن بعضها يرتبط بالقسوة البدنية المفرطة مثل تدابير العزل.</w:t>
      </w:r>
    </w:p>
    <w:p w:rsidR="00266725" w:rsidRPr="00A10EB2" w:rsidRDefault="00266725" w:rsidP="004C3E0C">
      <w:pPr>
        <w:pStyle w:val="SingleTxtGA"/>
        <w:rPr>
          <w:rFonts w:hint="cs"/>
          <w:b/>
          <w:bCs/>
          <w:rtl/>
          <w:lang w:bidi="ar-EG"/>
        </w:rPr>
      </w:pPr>
      <w:r w:rsidRPr="00A10EB2">
        <w:rPr>
          <w:b/>
          <w:bCs/>
          <w:rtl/>
          <w:lang w:bidi="ar-EG"/>
        </w:rPr>
        <w:tab/>
      </w:r>
      <w:r w:rsidRPr="00A10EB2">
        <w:rPr>
          <w:rFonts w:hint="cs"/>
          <w:b/>
          <w:bCs/>
          <w:rtl/>
          <w:lang w:bidi="ar-EG"/>
        </w:rPr>
        <w:t>توصي اللجنة الدولة الطرف بإجراء تحقيقات شاملة عن الوفيات والتأكد مما إذا كانت ثمة صلة بين استخدام تدابير الإكراه البدني وحوادث الوفيات في أماكن الاحتجاز.</w:t>
      </w:r>
    </w:p>
    <w:p w:rsidR="00266725" w:rsidRPr="00061860" w:rsidRDefault="00266725" w:rsidP="00266725">
      <w:pPr>
        <w:pStyle w:val="H23GA"/>
        <w:rPr>
          <w:rFonts w:hint="cs"/>
          <w:rtl/>
          <w:lang w:bidi="ar-EG"/>
        </w:rPr>
      </w:pPr>
      <w:r>
        <w:rPr>
          <w:rFonts w:hint="cs"/>
          <w:rtl/>
          <w:lang w:bidi="ar-EG"/>
        </w:rPr>
        <w:tab/>
      </w:r>
      <w:r>
        <w:rPr>
          <w:rFonts w:hint="cs"/>
          <w:rtl/>
          <w:lang w:bidi="ar-EG"/>
        </w:rPr>
        <w:tab/>
      </w:r>
      <w:r w:rsidRPr="00061860">
        <w:rPr>
          <w:rFonts w:hint="cs"/>
          <w:rtl/>
          <w:lang w:bidi="ar-EG"/>
        </w:rPr>
        <w:t>استخدام أسلحة ا</w:t>
      </w:r>
      <w:r>
        <w:rPr>
          <w:rFonts w:hint="cs"/>
          <w:rtl/>
          <w:lang w:bidi="ar-EG"/>
        </w:rPr>
        <w:t>لصعق</w:t>
      </w:r>
      <w:r w:rsidRPr="00061860">
        <w:rPr>
          <w:rFonts w:hint="cs"/>
          <w:rtl/>
          <w:lang w:bidi="ar-EG"/>
        </w:rPr>
        <w:t xml:space="preserve"> الكهربائي</w:t>
      </w:r>
    </w:p>
    <w:p w:rsidR="00266725" w:rsidRDefault="0020632F" w:rsidP="0020632F">
      <w:pPr>
        <w:pStyle w:val="SingleTxtGA"/>
        <w:rPr>
          <w:rFonts w:hint="cs"/>
          <w:rtl/>
          <w:lang w:bidi="ar-EG"/>
        </w:rPr>
      </w:pPr>
      <w:r>
        <w:rPr>
          <w:rFonts w:hint="cs"/>
          <w:rtl/>
        </w:rPr>
        <w:t>(</w:t>
      </w:r>
      <w:r w:rsidR="00266725">
        <w:rPr>
          <w:rFonts w:hint="cs"/>
          <w:rtl/>
        </w:rPr>
        <w:t>27</w:t>
      </w:r>
      <w:r>
        <w:rPr>
          <w:rFonts w:hint="cs"/>
          <w:rtl/>
        </w:rPr>
        <w:t>)</w:t>
      </w:r>
      <w:r w:rsidR="00266725" w:rsidRPr="00133788">
        <w:rPr>
          <w:rtl/>
        </w:rPr>
        <w:tab/>
      </w:r>
      <w:r w:rsidR="00266725">
        <w:rPr>
          <w:rFonts w:hint="cs"/>
          <w:rtl/>
          <w:lang w:bidi="ar-EG"/>
        </w:rPr>
        <w:t>يساور اللجنة القلق حيال الخطة التجريبية التي تفيد الأنباء بأنها ستطلق لتوزيع أسلحة الصعق الكهربائي على قوة الشرطة الهولندية بأكملها، دون تقديم الضمانات الواجبة للوقاية من سوء استغلالها ودون توفير التدريب السليم للموظفين. وتشعر اللجنة بالقلق لأن ذلك قد يؤدي إلى استخدام مفرط للقوة (المواد 2 و11 و16).</w:t>
      </w:r>
    </w:p>
    <w:p w:rsidR="00266725" w:rsidRPr="007761A0" w:rsidRDefault="00266725" w:rsidP="00266725">
      <w:pPr>
        <w:pStyle w:val="SingleTxtGA"/>
        <w:rPr>
          <w:rFonts w:hint="cs"/>
          <w:b/>
          <w:bCs/>
          <w:rtl/>
          <w:lang w:bidi="ar-EG"/>
        </w:rPr>
      </w:pPr>
      <w:r>
        <w:rPr>
          <w:b/>
          <w:bCs/>
          <w:rtl/>
          <w:lang w:bidi="ar-EG"/>
        </w:rPr>
        <w:tab/>
      </w:r>
      <w:r w:rsidRPr="007761A0">
        <w:rPr>
          <w:rFonts w:hint="cs"/>
          <w:b/>
          <w:bCs/>
          <w:rtl/>
          <w:lang w:bidi="ar-EG"/>
        </w:rPr>
        <w:t>توصي اللجنة الدولة الطرف بالامتناع عن توزيع أسلحة الصعق الكهربائي بشكل نهائي على موظفي الشرطة لاستخدامها، وذلك وفقاً للمادتين 2 و16 من الاتفاقية. كما توصي باعتماد ضمانات للوقاية من سوء استخدام الأسلحة وبتوفير التدريب السليم للموظفين لتفادي الاستخدام المفرط للقوة. وتوصي اللجنة أيضاً بألا تستخدم أسلحة الصعق الكهربائي إلا في حالات محدودة للغاية حين يكون هناك تهديد حقيقي وفوري للحياة أو خطر الإصابة الشديدة، كبديل للأسلحة الفتاكة.</w:t>
      </w:r>
    </w:p>
    <w:p w:rsidR="00266725" w:rsidRPr="0002300F" w:rsidRDefault="00266725" w:rsidP="00266725">
      <w:pPr>
        <w:pStyle w:val="H23GA"/>
        <w:rPr>
          <w:rFonts w:hint="cs"/>
          <w:rtl/>
          <w:lang w:bidi="ar-EG"/>
        </w:rPr>
      </w:pPr>
      <w:r>
        <w:rPr>
          <w:rFonts w:hint="cs"/>
          <w:rtl/>
          <w:lang w:bidi="ar-EG"/>
        </w:rPr>
        <w:tab/>
      </w:r>
      <w:r>
        <w:rPr>
          <w:rFonts w:hint="cs"/>
          <w:rtl/>
          <w:lang w:bidi="ar-EG"/>
        </w:rPr>
        <w:tab/>
      </w:r>
      <w:r w:rsidRPr="0002300F">
        <w:rPr>
          <w:rFonts w:hint="cs"/>
          <w:rtl/>
          <w:lang w:bidi="ar-EG"/>
        </w:rPr>
        <w:t>الوكالة</w:t>
      </w:r>
      <w:r w:rsidRPr="0002300F">
        <w:rPr>
          <w:rtl/>
          <w:lang w:bidi="ar-EG"/>
        </w:rPr>
        <w:t xml:space="preserve"> </w:t>
      </w:r>
      <w:r w:rsidRPr="0002300F">
        <w:rPr>
          <w:rFonts w:hint="cs"/>
          <w:rtl/>
          <w:lang w:bidi="ar-EG"/>
        </w:rPr>
        <w:t>الوطنية</w:t>
      </w:r>
      <w:r w:rsidRPr="0002300F">
        <w:rPr>
          <w:rtl/>
          <w:lang w:bidi="ar-EG"/>
        </w:rPr>
        <w:t xml:space="preserve"> </w:t>
      </w:r>
      <w:r w:rsidRPr="0002300F">
        <w:rPr>
          <w:rFonts w:hint="cs"/>
          <w:rtl/>
          <w:lang w:bidi="ar-EG"/>
        </w:rPr>
        <w:t>لمنع</w:t>
      </w:r>
      <w:r w:rsidRPr="0002300F">
        <w:rPr>
          <w:rtl/>
          <w:lang w:bidi="ar-EG"/>
        </w:rPr>
        <w:t xml:space="preserve"> </w:t>
      </w:r>
      <w:r w:rsidRPr="0002300F">
        <w:rPr>
          <w:rFonts w:hint="cs"/>
          <w:rtl/>
          <w:lang w:bidi="ar-EG"/>
        </w:rPr>
        <w:t>التعذيب</w:t>
      </w:r>
    </w:p>
    <w:p w:rsidR="00266725" w:rsidRDefault="0020632F" w:rsidP="0020632F">
      <w:pPr>
        <w:pStyle w:val="SingleTxtGA"/>
        <w:rPr>
          <w:rFonts w:hint="cs"/>
          <w:rtl/>
          <w:lang w:bidi="ar-EG"/>
        </w:rPr>
      </w:pPr>
      <w:r>
        <w:rPr>
          <w:rFonts w:hint="cs"/>
          <w:rtl/>
        </w:rPr>
        <w:t>(</w:t>
      </w:r>
      <w:r w:rsidR="00266725">
        <w:rPr>
          <w:rFonts w:hint="cs"/>
          <w:rtl/>
        </w:rPr>
        <w:t>28</w:t>
      </w:r>
      <w:r>
        <w:rPr>
          <w:rFonts w:hint="cs"/>
          <w:rtl/>
        </w:rPr>
        <w:t>)</w:t>
      </w:r>
      <w:r w:rsidR="00266725" w:rsidRPr="00133788">
        <w:rPr>
          <w:rtl/>
        </w:rPr>
        <w:tab/>
      </w:r>
      <w:r w:rsidR="00266725">
        <w:rPr>
          <w:rFonts w:hint="cs"/>
          <w:rtl/>
        </w:rPr>
        <w:t>ت</w:t>
      </w:r>
      <w:r w:rsidR="00266725" w:rsidRPr="00AC669C">
        <w:rPr>
          <w:rFonts w:hint="cs"/>
          <w:rtl/>
        </w:rPr>
        <w:t>حيط</w:t>
      </w:r>
      <w:r w:rsidR="00266725" w:rsidRPr="00AC669C">
        <w:rPr>
          <w:rtl/>
        </w:rPr>
        <w:t xml:space="preserve"> </w:t>
      </w:r>
      <w:r w:rsidR="00266725">
        <w:rPr>
          <w:rFonts w:hint="cs"/>
          <w:rtl/>
        </w:rPr>
        <w:t xml:space="preserve">اللجنة </w:t>
      </w:r>
      <w:r w:rsidR="00266725" w:rsidRPr="00AC669C">
        <w:rPr>
          <w:rFonts w:hint="cs"/>
          <w:rtl/>
        </w:rPr>
        <w:t>علما</w:t>
      </w:r>
      <w:r w:rsidR="00266725" w:rsidRPr="00AC669C">
        <w:rPr>
          <w:rtl/>
        </w:rPr>
        <w:t xml:space="preserve"> </w:t>
      </w:r>
      <w:r w:rsidR="00266725" w:rsidRPr="00AC669C">
        <w:rPr>
          <w:rFonts w:hint="cs"/>
          <w:rtl/>
        </w:rPr>
        <w:t>على</w:t>
      </w:r>
      <w:r w:rsidR="00266725" w:rsidRPr="00AC669C">
        <w:rPr>
          <w:rtl/>
        </w:rPr>
        <w:t xml:space="preserve"> </w:t>
      </w:r>
      <w:r w:rsidR="00266725" w:rsidRPr="00AC669C">
        <w:rPr>
          <w:rFonts w:hint="cs"/>
          <w:rtl/>
        </w:rPr>
        <w:t>نحو</w:t>
      </w:r>
      <w:r w:rsidR="00266725" w:rsidRPr="00AC669C">
        <w:rPr>
          <w:rtl/>
        </w:rPr>
        <w:t xml:space="preserve"> </w:t>
      </w:r>
      <w:r w:rsidR="00266725" w:rsidRPr="00AC669C">
        <w:rPr>
          <w:rFonts w:hint="cs"/>
          <w:rtl/>
        </w:rPr>
        <w:t>إيجابي</w:t>
      </w:r>
      <w:r w:rsidR="00266725">
        <w:rPr>
          <w:rFonts w:hint="cs"/>
          <w:rtl/>
        </w:rPr>
        <w:t xml:space="preserve"> بقيام الدولة الطرف بتعيين ست هيئات مختلفة مثل الآلية الوقائية الوطنية وفقاً ل</w:t>
      </w:r>
      <w:r w:rsidR="00266725" w:rsidRPr="002428BA">
        <w:rPr>
          <w:rFonts w:hint="cs"/>
          <w:rtl/>
        </w:rPr>
        <w:t>لبروتوكول</w:t>
      </w:r>
      <w:r w:rsidR="00266725" w:rsidRPr="002428BA">
        <w:rPr>
          <w:rtl/>
        </w:rPr>
        <w:t xml:space="preserve"> </w:t>
      </w:r>
      <w:r w:rsidR="00266725" w:rsidRPr="002428BA">
        <w:rPr>
          <w:rFonts w:hint="cs"/>
          <w:rtl/>
        </w:rPr>
        <w:t>الاختياري</w:t>
      </w:r>
      <w:r w:rsidR="00266725" w:rsidRPr="002428BA">
        <w:rPr>
          <w:rtl/>
        </w:rPr>
        <w:t xml:space="preserve"> </w:t>
      </w:r>
      <w:r w:rsidR="00266725" w:rsidRPr="002428BA">
        <w:rPr>
          <w:rFonts w:hint="cs"/>
          <w:rtl/>
        </w:rPr>
        <w:t>الملحق</w:t>
      </w:r>
      <w:r w:rsidR="00266725" w:rsidRPr="002428BA">
        <w:rPr>
          <w:rtl/>
        </w:rPr>
        <w:t xml:space="preserve"> </w:t>
      </w:r>
      <w:r w:rsidR="00266725" w:rsidRPr="002428BA">
        <w:rPr>
          <w:rFonts w:hint="cs"/>
          <w:rtl/>
        </w:rPr>
        <w:t>ب</w:t>
      </w:r>
      <w:r w:rsidR="00266725">
        <w:rPr>
          <w:rFonts w:hint="cs"/>
          <w:rtl/>
        </w:rPr>
        <w:t>ال</w:t>
      </w:r>
      <w:r w:rsidR="00266725" w:rsidRPr="002428BA">
        <w:rPr>
          <w:rFonts w:hint="cs"/>
          <w:rtl/>
        </w:rPr>
        <w:t>اتفاقية</w:t>
      </w:r>
      <w:r w:rsidR="00266725">
        <w:rPr>
          <w:rFonts w:hint="cs"/>
          <w:rtl/>
        </w:rPr>
        <w:t xml:space="preserve"> في نيسان/أبريل 2012 (التي تتكون من ثلاث هيئات تفتيش وطنية معينة بالنظام العام والسلامة والرعاية الصحية ورعاية الشباب، ولجنة إشراف، ومجلس تنسق بينهم هيئة التفتيش المعنية بالعدالة والأمن). ونظراً لأن هيئات التفتيش التي تمثل الآلية الوقائية الوطنية تشكل شعباً تنظيمية لمختلف الوزارات، فإن اللجنة تشعر بالقلق إزاء </w:t>
      </w:r>
      <w:r w:rsidR="00266725">
        <w:rPr>
          <w:rFonts w:hint="cs"/>
          <w:rtl/>
          <w:lang w:bidi="ar-EG"/>
        </w:rPr>
        <w:t>ما يزعم بشأن مدى إمكانية استقلال الآلية وقصر ولايتها على الجزء الأوروبي من هولندا (المادتان 2 و12).</w:t>
      </w:r>
    </w:p>
    <w:p w:rsidR="00266725" w:rsidRPr="00A52D90" w:rsidRDefault="00266725" w:rsidP="00266725">
      <w:pPr>
        <w:pStyle w:val="SingleTxtGA"/>
        <w:rPr>
          <w:rFonts w:hint="cs"/>
          <w:b/>
          <w:bCs/>
          <w:rtl/>
          <w:lang w:bidi="ar-EG"/>
        </w:rPr>
      </w:pPr>
      <w:r w:rsidRPr="00A52D90">
        <w:rPr>
          <w:b/>
          <w:bCs/>
          <w:rtl/>
          <w:lang w:bidi="ar-EG"/>
        </w:rPr>
        <w:tab/>
      </w:r>
      <w:r w:rsidRPr="00A52D90">
        <w:rPr>
          <w:rFonts w:hint="cs"/>
          <w:b/>
          <w:bCs/>
          <w:rtl/>
          <w:lang w:bidi="ar-EG"/>
        </w:rPr>
        <w:t>تلاحظ اللجنة أن البروتوكول الاختياري يترك الصيغة المؤسسية التي تنشأ في إطارها الآلية الوقائية الوطنية للسلطة التقديرية للدولة الطرف، لكنها توصي الدولة الطرف بالآتي:</w:t>
      </w:r>
    </w:p>
    <w:p w:rsidR="00266725" w:rsidRPr="00A52D90" w:rsidRDefault="00266725" w:rsidP="00266725">
      <w:pPr>
        <w:pStyle w:val="SingleTxtGA"/>
        <w:rPr>
          <w:rFonts w:hint="cs"/>
          <w:b/>
          <w:bCs/>
          <w:lang w:bidi="ar-EG"/>
        </w:rPr>
      </w:pPr>
      <w:r>
        <w:rPr>
          <w:b/>
          <w:bCs/>
          <w:rtl/>
          <w:lang w:bidi="ar-EG"/>
        </w:rPr>
        <w:tab/>
      </w:r>
      <w:r>
        <w:rPr>
          <w:rFonts w:hint="cs"/>
          <w:b/>
          <w:bCs/>
          <w:rtl/>
          <w:lang w:bidi="ar-EG"/>
        </w:rPr>
        <w:t>(أ)</w:t>
      </w:r>
      <w:r>
        <w:rPr>
          <w:rFonts w:hint="cs"/>
          <w:b/>
          <w:bCs/>
          <w:rtl/>
          <w:lang w:bidi="ar-EG"/>
        </w:rPr>
        <w:tab/>
      </w:r>
      <w:r w:rsidRPr="00A52D90">
        <w:rPr>
          <w:rFonts w:hint="cs"/>
          <w:b/>
          <w:bCs/>
          <w:rtl/>
          <w:lang w:bidi="ar-EG"/>
        </w:rPr>
        <w:t>أن تضمن وتحترم الاستقلال المالي والعملي الكامل للآلية الوقائية الوطنية، سواء الفعلي أو المتصور، عند الاضطلاع بمهامها، وفقاً للفقرة 1 من المادة 18 من البروتوكول الاختياري و"المبادئ</w:t>
      </w:r>
      <w:r w:rsidRPr="00A52D90">
        <w:rPr>
          <w:b/>
          <w:bCs/>
          <w:rtl/>
          <w:lang w:bidi="ar-EG"/>
        </w:rPr>
        <w:t xml:space="preserve"> </w:t>
      </w:r>
      <w:r w:rsidRPr="00A52D90">
        <w:rPr>
          <w:rFonts w:hint="cs"/>
          <w:b/>
          <w:bCs/>
          <w:rtl/>
          <w:lang w:bidi="ar-EG"/>
        </w:rPr>
        <w:t>التوجيهية</w:t>
      </w:r>
      <w:r w:rsidRPr="00A52D90">
        <w:rPr>
          <w:b/>
          <w:bCs/>
          <w:rtl/>
          <w:lang w:bidi="ar-EG"/>
        </w:rPr>
        <w:t xml:space="preserve"> </w:t>
      </w:r>
      <w:r w:rsidRPr="00A52D90">
        <w:rPr>
          <w:rFonts w:hint="cs"/>
          <w:b/>
          <w:bCs/>
          <w:rtl/>
          <w:lang w:bidi="ar-EG"/>
        </w:rPr>
        <w:t>بشأن</w:t>
      </w:r>
      <w:r w:rsidRPr="00A52D90">
        <w:rPr>
          <w:b/>
          <w:bCs/>
          <w:rtl/>
          <w:lang w:bidi="ar-EG"/>
        </w:rPr>
        <w:t xml:space="preserve"> </w:t>
      </w:r>
      <w:r w:rsidRPr="00A52D90">
        <w:rPr>
          <w:rFonts w:hint="cs"/>
          <w:b/>
          <w:bCs/>
          <w:rtl/>
          <w:lang w:bidi="ar-EG"/>
        </w:rPr>
        <w:t>الآليات</w:t>
      </w:r>
      <w:r w:rsidRPr="00A52D90">
        <w:rPr>
          <w:b/>
          <w:bCs/>
          <w:rtl/>
          <w:lang w:bidi="ar-EG"/>
        </w:rPr>
        <w:t xml:space="preserve"> </w:t>
      </w:r>
      <w:r w:rsidRPr="00A52D90">
        <w:rPr>
          <w:rFonts w:hint="cs"/>
          <w:b/>
          <w:bCs/>
          <w:rtl/>
          <w:lang w:bidi="ar-EG"/>
        </w:rPr>
        <w:t>الوقائية</w:t>
      </w:r>
      <w:r w:rsidRPr="00A52D90">
        <w:rPr>
          <w:b/>
          <w:bCs/>
          <w:rtl/>
          <w:lang w:bidi="ar-EG"/>
        </w:rPr>
        <w:t xml:space="preserve"> </w:t>
      </w:r>
      <w:r w:rsidRPr="00A52D90">
        <w:rPr>
          <w:rFonts w:hint="cs"/>
          <w:b/>
          <w:bCs/>
          <w:rtl/>
          <w:lang w:bidi="ar-EG"/>
        </w:rPr>
        <w:t>الوطنية" للجنة الفرعية المعنية بمنع التعذيب، مع</w:t>
      </w:r>
      <w:r w:rsidRPr="00A52D90">
        <w:rPr>
          <w:b/>
          <w:bCs/>
          <w:rtl/>
          <w:lang w:bidi="ar-EG"/>
        </w:rPr>
        <w:t xml:space="preserve"> </w:t>
      </w:r>
      <w:r w:rsidRPr="00A52D90">
        <w:rPr>
          <w:rFonts w:hint="cs"/>
          <w:b/>
          <w:bCs/>
          <w:rtl/>
          <w:lang w:bidi="ar-EG"/>
        </w:rPr>
        <w:t>المراعاة</w:t>
      </w:r>
      <w:r w:rsidRPr="00A52D90">
        <w:rPr>
          <w:b/>
          <w:bCs/>
          <w:rtl/>
          <w:lang w:bidi="ar-EG"/>
        </w:rPr>
        <w:t xml:space="preserve"> </w:t>
      </w:r>
      <w:r w:rsidRPr="00A52D90">
        <w:rPr>
          <w:rFonts w:hint="cs"/>
          <w:b/>
          <w:bCs/>
          <w:rtl/>
          <w:lang w:bidi="ar-EG"/>
        </w:rPr>
        <w:t>الواجبة</w:t>
      </w:r>
      <w:r w:rsidRPr="00A52D90">
        <w:rPr>
          <w:b/>
          <w:bCs/>
          <w:rtl/>
          <w:lang w:bidi="ar-EG"/>
        </w:rPr>
        <w:t xml:space="preserve"> </w:t>
      </w:r>
      <w:r w:rsidRPr="00A52D90">
        <w:rPr>
          <w:rFonts w:hint="cs"/>
          <w:b/>
          <w:bCs/>
          <w:rtl/>
          <w:lang w:bidi="ar-EG"/>
        </w:rPr>
        <w:t>لمبادئ</w:t>
      </w:r>
      <w:r w:rsidRPr="00A52D90">
        <w:rPr>
          <w:b/>
          <w:bCs/>
          <w:rtl/>
          <w:lang w:bidi="ar-EG"/>
        </w:rPr>
        <w:t xml:space="preserve"> </w:t>
      </w:r>
      <w:r w:rsidRPr="00A52D90">
        <w:rPr>
          <w:rFonts w:hint="cs"/>
          <w:b/>
          <w:bCs/>
          <w:rtl/>
          <w:lang w:bidi="ar-EG"/>
        </w:rPr>
        <w:t>باريس؛</w:t>
      </w:r>
    </w:p>
    <w:p w:rsidR="00266725" w:rsidRPr="00A52D90" w:rsidRDefault="00266725" w:rsidP="00266725">
      <w:pPr>
        <w:pStyle w:val="SingleTxtGA"/>
        <w:rPr>
          <w:rFonts w:hint="cs"/>
          <w:b/>
          <w:bCs/>
          <w:lang w:bidi="ar-EG"/>
        </w:rPr>
      </w:pPr>
      <w:r>
        <w:rPr>
          <w:b/>
          <w:bCs/>
          <w:rtl/>
          <w:lang w:bidi="ar-EG"/>
        </w:rPr>
        <w:tab/>
      </w:r>
      <w:r>
        <w:rPr>
          <w:rFonts w:hint="cs"/>
          <w:b/>
          <w:bCs/>
          <w:rtl/>
          <w:lang w:bidi="ar-EG"/>
        </w:rPr>
        <w:t>(ب)</w:t>
      </w:r>
      <w:r>
        <w:rPr>
          <w:rFonts w:hint="cs"/>
          <w:b/>
          <w:bCs/>
          <w:rtl/>
          <w:lang w:bidi="ar-EG"/>
        </w:rPr>
        <w:tab/>
      </w:r>
      <w:r w:rsidRPr="00A52D90">
        <w:rPr>
          <w:rFonts w:hint="cs"/>
          <w:b/>
          <w:bCs/>
          <w:rtl/>
          <w:lang w:bidi="ar-EG"/>
        </w:rPr>
        <w:t>أن توضح في تقريرها الدوري المقبل التقدم المحرز لقبول البروتوكول الاختياري وتطبيقه على الجزء الكاريبي من أراضيها والجزر التي تتمتع بالحكم الذاتي، من أجل إنشاء الآلية الوقائية الوطنية على نحو يراعي احتياجات الجزر ويسمح بزيارات اللجنة الفرعية المعنية بمنع التعذيب.</w:t>
      </w:r>
    </w:p>
    <w:p w:rsidR="00266725" w:rsidRPr="00C24DBC" w:rsidRDefault="00266725" w:rsidP="00266725">
      <w:pPr>
        <w:pStyle w:val="H23GA"/>
        <w:rPr>
          <w:rFonts w:hint="cs"/>
          <w:rtl/>
          <w:lang w:bidi="ar-EG"/>
        </w:rPr>
      </w:pPr>
      <w:r>
        <w:rPr>
          <w:rFonts w:hint="cs"/>
          <w:rtl/>
          <w:lang w:bidi="ar-EG"/>
        </w:rPr>
        <w:tab/>
      </w:r>
      <w:r>
        <w:rPr>
          <w:rFonts w:hint="cs"/>
          <w:rtl/>
          <w:lang w:bidi="ar-EG"/>
        </w:rPr>
        <w:tab/>
      </w:r>
      <w:r w:rsidRPr="00C24DBC">
        <w:rPr>
          <w:rFonts w:hint="cs"/>
          <w:rtl/>
          <w:lang w:bidi="ar-EG"/>
        </w:rPr>
        <w:t>المؤسسة الوطنية لحقوق الإنسان</w:t>
      </w:r>
    </w:p>
    <w:p w:rsidR="00266725" w:rsidRDefault="0020632F" w:rsidP="0020632F">
      <w:pPr>
        <w:pStyle w:val="SingleTxtGA"/>
        <w:rPr>
          <w:rFonts w:hint="cs"/>
          <w:rtl/>
          <w:lang w:bidi="ar-EG"/>
        </w:rPr>
      </w:pPr>
      <w:r>
        <w:rPr>
          <w:rFonts w:hint="cs"/>
          <w:rtl/>
        </w:rPr>
        <w:t>(</w:t>
      </w:r>
      <w:r w:rsidR="00266725">
        <w:rPr>
          <w:rFonts w:hint="cs"/>
          <w:rtl/>
        </w:rPr>
        <w:t>29</w:t>
      </w:r>
      <w:r>
        <w:rPr>
          <w:rFonts w:hint="cs"/>
          <w:rtl/>
        </w:rPr>
        <w:t>)</w:t>
      </w:r>
      <w:r w:rsidR="00266725" w:rsidRPr="00133788">
        <w:rPr>
          <w:rtl/>
        </w:rPr>
        <w:tab/>
      </w:r>
      <w:r w:rsidR="00266725">
        <w:rPr>
          <w:rFonts w:hint="cs"/>
          <w:rtl/>
        </w:rPr>
        <w:t>تلاحظ اللجنة مع التقدير إنشاء المعهد الهولندي لحقوق الإنسان مستقلاً عن الحكومة في تشرين الأول/أكتوبر 2012، لكنها تأسف لأن ولاية المعهد لا تغطي الأقاليم المستقلة من المملكة رغم أنها تمتد إلى الجزء الكاريبي منها. وفي هذا الصدد، تلاحظ اللجنة التزام حكومتي أروبا و</w:t>
      </w:r>
      <w:r w:rsidR="00266725">
        <w:rPr>
          <w:rFonts w:hint="cs"/>
          <w:rtl/>
          <w:lang w:bidi="ar-EG"/>
        </w:rPr>
        <w:t>كوراكاو في سياق الاستعراض الدوري الشامل بإنشاء مؤسسات مماثلة لكنها منفصلة (المادتان 2 و12).</w:t>
      </w:r>
    </w:p>
    <w:p w:rsidR="00266725" w:rsidRPr="006949FB" w:rsidRDefault="00266725" w:rsidP="00266725">
      <w:pPr>
        <w:pStyle w:val="SingleTxtGA"/>
        <w:rPr>
          <w:rFonts w:hint="cs"/>
          <w:b/>
          <w:bCs/>
          <w:rtl/>
          <w:lang w:bidi="ar-EG"/>
        </w:rPr>
      </w:pPr>
      <w:r>
        <w:rPr>
          <w:b/>
          <w:bCs/>
          <w:rtl/>
          <w:lang w:bidi="ar-EG"/>
        </w:rPr>
        <w:tab/>
      </w:r>
      <w:r w:rsidRPr="006949FB">
        <w:rPr>
          <w:rFonts w:hint="cs"/>
          <w:b/>
          <w:bCs/>
          <w:rtl/>
          <w:lang w:bidi="ar-EG"/>
        </w:rPr>
        <w:t>توصي اللجنة حكومتي أروبا وكوراكاو الوفاء بالتزامهما وإنشاء مؤسسات وطنية منفصلة لحقوق الإنسان باعتبار ذلك من الأولويات. ويتعين أيضاً على حكومة سينت مارتن أن تنظر في إنشاء مؤسسة وطنية لحقوق الإنسان.</w:t>
      </w:r>
    </w:p>
    <w:p w:rsidR="00266725" w:rsidRPr="00840886" w:rsidRDefault="00266725" w:rsidP="00266725">
      <w:pPr>
        <w:pStyle w:val="H23GA"/>
        <w:rPr>
          <w:rFonts w:hint="cs"/>
          <w:rtl/>
          <w:lang w:bidi="ar-EG"/>
        </w:rPr>
      </w:pPr>
      <w:r>
        <w:rPr>
          <w:rFonts w:hint="cs"/>
          <w:rtl/>
          <w:lang w:bidi="ar-EG"/>
        </w:rPr>
        <w:tab/>
      </w:r>
      <w:r>
        <w:rPr>
          <w:rFonts w:hint="cs"/>
          <w:rtl/>
          <w:lang w:bidi="ar-EG"/>
        </w:rPr>
        <w:tab/>
      </w:r>
      <w:r w:rsidRPr="00840886">
        <w:rPr>
          <w:rFonts w:hint="cs"/>
          <w:rtl/>
          <w:lang w:bidi="ar-EG"/>
        </w:rPr>
        <w:t>جمع البيانات</w:t>
      </w:r>
    </w:p>
    <w:p w:rsidR="00266725" w:rsidRDefault="0020632F" w:rsidP="0020632F">
      <w:pPr>
        <w:pStyle w:val="SingleTxtGA"/>
        <w:rPr>
          <w:rFonts w:hint="cs"/>
          <w:rtl/>
          <w:lang w:bidi="ar-EG"/>
        </w:rPr>
      </w:pPr>
      <w:r>
        <w:rPr>
          <w:rFonts w:hint="cs"/>
          <w:rtl/>
        </w:rPr>
        <w:t>(</w:t>
      </w:r>
      <w:r w:rsidR="00266725">
        <w:rPr>
          <w:rFonts w:hint="cs"/>
          <w:rtl/>
        </w:rPr>
        <w:t>30</w:t>
      </w:r>
      <w:r>
        <w:rPr>
          <w:rFonts w:hint="cs"/>
          <w:rtl/>
        </w:rPr>
        <w:t>)</w:t>
      </w:r>
      <w:r w:rsidR="00266725" w:rsidRPr="00133788">
        <w:rPr>
          <w:rtl/>
        </w:rPr>
        <w:tab/>
      </w:r>
      <w:r w:rsidR="00266725">
        <w:rPr>
          <w:rFonts w:hint="cs"/>
          <w:rtl/>
          <w:lang w:bidi="ar-EG"/>
        </w:rPr>
        <w:t xml:space="preserve">في ضوء الملاحظات الختامية السابقة (الفقرة 17)، تأسف اللجنة لرد الدولة الطرف الذي يفيد بأن "الحكومة غير قادرة على تقديم بيانات لأن البيانات غير مسجلة بطريقة تسمح بإصدار إحصاءات (الفقرة 89 من التقرير) بشأن الشكاوى والتحقيقات والملاحقات والإدانات والعقوبات في قضايا التعذيب </w:t>
      </w:r>
      <w:r w:rsidR="00266725" w:rsidRPr="00531FC1">
        <w:rPr>
          <w:rFonts w:hint="cs"/>
          <w:rtl/>
          <w:lang w:bidi="ar-EG"/>
        </w:rPr>
        <w:t>وإساءة</w:t>
      </w:r>
      <w:r w:rsidR="00266725" w:rsidRPr="00531FC1">
        <w:rPr>
          <w:rtl/>
          <w:lang w:bidi="ar-EG"/>
        </w:rPr>
        <w:t xml:space="preserve"> </w:t>
      </w:r>
      <w:r w:rsidR="00266725" w:rsidRPr="00531FC1">
        <w:rPr>
          <w:rFonts w:hint="cs"/>
          <w:rtl/>
          <w:lang w:bidi="ar-EG"/>
        </w:rPr>
        <w:t>المعاملة</w:t>
      </w:r>
      <w:r w:rsidR="00266725" w:rsidRPr="00531FC1">
        <w:rPr>
          <w:rtl/>
          <w:lang w:bidi="ar-EG"/>
        </w:rPr>
        <w:t xml:space="preserve"> </w:t>
      </w:r>
      <w:r w:rsidR="00266725" w:rsidRPr="00531FC1">
        <w:rPr>
          <w:rFonts w:hint="cs"/>
          <w:rtl/>
          <w:lang w:bidi="ar-EG"/>
        </w:rPr>
        <w:t>من</w:t>
      </w:r>
      <w:r w:rsidR="00266725" w:rsidRPr="00531FC1">
        <w:rPr>
          <w:rtl/>
          <w:lang w:bidi="ar-EG"/>
        </w:rPr>
        <w:t xml:space="preserve"> </w:t>
      </w:r>
      <w:r w:rsidR="00266725" w:rsidRPr="00531FC1">
        <w:rPr>
          <w:rFonts w:hint="cs"/>
          <w:rtl/>
          <w:lang w:bidi="ar-EG"/>
        </w:rPr>
        <w:t>قِبل</w:t>
      </w:r>
      <w:r w:rsidR="00266725" w:rsidRPr="00531FC1">
        <w:rPr>
          <w:rtl/>
          <w:lang w:bidi="ar-EG"/>
        </w:rPr>
        <w:t xml:space="preserve"> </w:t>
      </w:r>
      <w:r w:rsidR="00266725" w:rsidRPr="00531FC1">
        <w:rPr>
          <w:rFonts w:hint="cs"/>
          <w:rtl/>
          <w:lang w:bidi="ar-EG"/>
        </w:rPr>
        <w:t>موظفي</w:t>
      </w:r>
      <w:r w:rsidR="00266725" w:rsidRPr="00531FC1">
        <w:rPr>
          <w:rtl/>
          <w:lang w:bidi="ar-EG"/>
        </w:rPr>
        <w:t xml:space="preserve"> </w:t>
      </w:r>
      <w:r w:rsidR="00266725" w:rsidRPr="00531FC1">
        <w:rPr>
          <w:rFonts w:hint="cs"/>
          <w:rtl/>
          <w:lang w:bidi="ar-EG"/>
        </w:rPr>
        <w:t>إنفاذ</w:t>
      </w:r>
      <w:r w:rsidR="00266725" w:rsidRPr="00531FC1">
        <w:rPr>
          <w:rtl/>
          <w:lang w:bidi="ar-EG"/>
        </w:rPr>
        <w:t xml:space="preserve"> </w:t>
      </w:r>
      <w:r w:rsidR="00266725" w:rsidRPr="00531FC1">
        <w:rPr>
          <w:rFonts w:hint="cs"/>
          <w:rtl/>
          <w:lang w:bidi="ar-EG"/>
        </w:rPr>
        <w:t>القانون</w:t>
      </w:r>
      <w:r w:rsidR="00266725" w:rsidRPr="00531FC1">
        <w:rPr>
          <w:rtl/>
          <w:lang w:bidi="ar-EG"/>
        </w:rPr>
        <w:t xml:space="preserve"> </w:t>
      </w:r>
      <w:r w:rsidR="00266725" w:rsidRPr="00531FC1">
        <w:rPr>
          <w:rFonts w:hint="cs"/>
          <w:rtl/>
          <w:lang w:bidi="ar-EG"/>
        </w:rPr>
        <w:t>والأمن</w:t>
      </w:r>
      <w:r w:rsidR="00266725" w:rsidRPr="00531FC1">
        <w:rPr>
          <w:rtl/>
          <w:lang w:bidi="ar-EG"/>
        </w:rPr>
        <w:t xml:space="preserve"> </w:t>
      </w:r>
      <w:r w:rsidR="00266725" w:rsidRPr="00531FC1">
        <w:rPr>
          <w:rFonts w:hint="cs"/>
          <w:rtl/>
          <w:lang w:bidi="ar-EG"/>
        </w:rPr>
        <w:t>والجيش</w:t>
      </w:r>
      <w:r w:rsidR="00266725" w:rsidRPr="00531FC1">
        <w:rPr>
          <w:rtl/>
          <w:lang w:bidi="ar-EG"/>
        </w:rPr>
        <w:t xml:space="preserve"> </w:t>
      </w:r>
      <w:r w:rsidR="00266725">
        <w:rPr>
          <w:rFonts w:hint="cs"/>
          <w:rtl/>
          <w:lang w:bidi="ar-EG"/>
        </w:rPr>
        <w:t>والسجون. وتلاحظ اللجنة مع القلق رد الدولة بأن القانون لا يسمح بجمع تلك البيانات (المواد 2 و12 و13 و16).</w:t>
      </w:r>
    </w:p>
    <w:p w:rsidR="00266725" w:rsidRPr="00F95E1D" w:rsidRDefault="00266725" w:rsidP="00266725">
      <w:pPr>
        <w:pStyle w:val="SingleTxtGA"/>
        <w:rPr>
          <w:rFonts w:hint="cs"/>
          <w:b/>
          <w:bCs/>
          <w:rtl/>
          <w:lang w:bidi="ar-EG"/>
        </w:rPr>
      </w:pPr>
      <w:r w:rsidRPr="00F95E1D">
        <w:rPr>
          <w:b/>
          <w:bCs/>
          <w:rtl/>
          <w:lang w:bidi="ar-EG"/>
        </w:rPr>
        <w:tab/>
      </w:r>
      <w:r w:rsidRPr="00F95E1D">
        <w:rPr>
          <w:rFonts w:hint="cs"/>
          <w:b/>
          <w:bCs/>
          <w:rtl/>
          <w:lang w:bidi="ar-EG"/>
        </w:rPr>
        <w:t>توصي اللجنة الدولة الطرف بالآتي:</w:t>
      </w:r>
    </w:p>
    <w:p w:rsidR="00266725" w:rsidRPr="00F95E1D" w:rsidRDefault="00266725" w:rsidP="00266725">
      <w:pPr>
        <w:pStyle w:val="SingleTxtGA"/>
        <w:rPr>
          <w:rFonts w:hint="cs"/>
          <w:b/>
          <w:bCs/>
          <w:lang w:bidi="ar-EG"/>
        </w:rPr>
      </w:pPr>
      <w:r>
        <w:rPr>
          <w:b/>
          <w:bCs/>
          <w:rtl/>
          <w:lang w:bidi="ar-EG"/>
        </w:rPr>
        <w:tab/>
      </w:r>
      <w:r>
        <w:rPr>
          <w:rFonts w:hint="cs"/>
          <w:b/>
          <w:bCs/>
          <w:rtl/>
          <w:lang w:bidi="ar-EG"/>
        </w:rPr>
        <w:t>(أ)</w:t>
      </w:r>
      <w:r>
        <w:rPr>
          <w:rFonts w:hint="cs"/>
          <w:b/>
          <w:bCs/>
          <w:rtl/>
          <w:lang w:bidi="ar-EG"/>
        </w:rPr>
        <w:tab/>
      </w:r>
      <w:r w:rsidRPr="00F95E1D">
        <w:rPr>
          <w:rFonts w:hint="cs"/>
          <w:b/>
          <w:bCs/>
          <w:rtl/>
          <w:lang w:bidi="ar-EG"/>
        </w:rPr>
        <w:t>أن تنشئ نظاماً وطنياً لجمع البيانات بما في ذلك من خلال دراسات البحوث لتيسير تحليل تنفيذ الاتفاقية؛</w:t>
      </w:r>
    </w:p>
    <w:p w:rsidR="00266725" w:rsidRPr="009C6ACD" w:rsidRDefault="00266725" w:rsidP="00266725">
      <w:pPr>
        <w:pStyle w:val="SingleTxtGA"/>
        <w:rPr>
          <w:rFonts w:hint="cs"/>
          <w:b/>
          <w:bCs/>
          <w:rtl/>
        </w:rPr>
      </w:pPr>
      <w:r w:rsidRPr="009C6ACD">
        <w:rPr>
          <w:b/>
          <w:bCs/>
          <w:rtl/>
        </w:rPr>
        <w:tab/>
        <w:t>(ب)</w:t>
      </w:r>
      <w:r w:rsidRPr="009C6ACD">
        <w:rPr>
          <w:b/>
          <w:bCs/>
          <w:rtl/>
        </w:rPr>
        <w:tab/>
        <w:t>أن تقدم للجنة بيانات إحصائية مفصلة ومصنفة بحسب الجريمة والأصل العرقي والسن ونوع الجنس تتعلق برصد تنفيذ الاتفاقية على المستوى الوطني، بما في ذلك بيانات عن الشكاوى والتحقيقات والملاحقات والإدانات والعقوبات الجنائية أو التأديبية المتعلقة بحالات التعذيب وإساءة المعاملة، من جانب الموظفين المكلفين بإنفاذ القوانين وموظفي الأمن والجيش والسجون، وحالات العنف المنزلي والجنسي، والجرائم ذات الدوافع العنصرية، والتكوين الإثني للمحتجزين، بما في ذلك تمثيل سكان جزر الأنتيل والمغاربة وأقلية الروما ومجموعة السنتي وسكان جزر تركس بين هؤلاء المحتجزين، وكذلك سبل الانتصاف المقدمة إلى الضحايا، بما في ذلك التعويض وإعادة التأهيل؛</w:t>
      </w:r>
    </w:p>
    <w:p w:rsidR="00266725" w:rsidRDefault="0020632F" w:rsidP="0020632F">
      <w:pPr>
        <w:pStyle w:val="SingleTxtGA"/>
        <w:rPr>
          <w:rFonts w:hint="cs"/>
          <w:rtl/>
          <w:lang w:bidi="ar-EG"/>
        </w:rPr>
      </w:pPr>
      <w:r>
        <w:rPr>
          <w:rFonts w:hint="cs"/>
          <w:rtl/>
        </w:rPr>
        <w:t>(</w:t>
      </w:r>
      <w:r w:rsidR="00266725">
        <w:rPr>
          <w:rFonts w:hint="cs"/>
          <w:rtl/>
        </w:rPr>
        <w:t>31</w:t>
      </w:r>
      <w:r>
        <w:rPr>
          <w:rFonts w:hint="cs"/>
          <w:rtl/>
        </w:rPr>
        <w:t>)</w:t>
      </w:r>
      <w:r w:rsidR="00266725" w:rsidRPr="00133788">
        <w:rPr>
          <w:rtl/>
        </w:rPr>
        <w:tab/>
      </w:r>
      <w:r w:rsidR="00266725">
        <w:rPr>
          <w:rFonts w:hint="cs"/>
          <w:rtl/>
          <w:lang w:bidi="ar-EG"/>
        </w:rPr>
        <w:t xml:space="preserve">كما يساور اللجنة القلق حيال عدم توافر آخر المستجدات في التقرير عن طلبات اللجوء، بما في ذلك نتائجها، بسبب </w:t>
      </w:r>
      <w:r w:rsidR="00266725" w:rsidRPr="008D3896">
        <w:rPr>
          <w:rFonts w:hint="cs"/>
          <w:rtl/>
          <w:lang w:bidi="ar-EG"/>
        </w:rPr>
        <w:t>الشواغل</w:t>
      </w:r>
      <w:r w:rsidR="00266725" w:rsidRPr="008D3896">
        <w:rPr>
          <w:rtl/>
          <w:lang w:bidi="ar-EG"/>
        </w:rPr>
        <w:t xml:space="preserve"> </w:t>
      </w:r>
      <w:r w:rsidR="00266725" w:rsidRPr="008D3896">
        <w:rPr>
          <w:rFonts w:hint="cs"/>
          <w:rtl/>
          <w:lang w:bidi="ar-EG"/>
        </w:rPr>
        <w:t>المتعلقة</w:t>
      </w:r>
      <w:r w:rsidR="00266725" w:rsidRPr="008D3896">
        <w:rPr>
          <w:rtl/>
          <w:lang w:bidi="ar-EG"/>
        </w:rPr>
        <w:t xml:space="preserve"> </w:t>
      </w:r>
      <w:r w:rsidR="00266725" w:rsidRPr="008D3896">
        <w:rPr>
          <w:rFonts w:hint="cs"/>
          <w:rtl/>
          <w:lang w:bidi="ar-EG"/>
        </w:rPr>
        <w:t>بخصوصية</w:t>
      </w:r>
      <w:r w:rsidR="00266725" w:rsidRPr="008D3896">
        <w:rPr>
          <w:rtl/>
          <w:lang w:bidi="ar-EG"/>
        </w:rPr>
        <w:t xml:space="preserve"> </w:t>
      </w:r>
      <w:r w:rsidR="00266725" w:rsidRPr="008D3896">
        <w:rPr>
          <w:rFonts w:hint="cs"/>
          <w:rtl/>
          <w:lang w:bidi="ar-EG"/>
        </w:rPr>
        <w:t>البيانات</w:t>
      </w:r>
      <w:r w:rsidR="00266725">
        <w:rPr>
          <w:rFonts w:hint="cs"/>
          <w:rtl/>
          <w:lang w:bidi="ar-EG"/>
        </w:rPr>
        <w:t>.</w:t>
      </w:r>
    </w:p>
    <w:p w:rsidR="00266725" w:rsidRPr="008059BC" w:rsidRDefault="00266725" w:rsidP="004C3E0C">
      <w:pPr>
        <w:pStyle w:val="SingleTxtGA"/>
        <w:spacing w:line="372" w:lineRule="exact"/>
        <w:rPr>
          <w:b/>
          <w:bCs/>
          <w:rtl/>
          <w:lang w:bidi="ar-EG"/>
        </w:rPr>
      </w:pPr>
      <w:r>
        <w:rPr>
          <w:b/>
          <w:bCs/>
          <w:rtl/>
          <w:lang w:bidi="ar-EG"/>
        </w:rPr>
        <w:tab/>
      </w:r>
      <w:r w:rsidRPr="008059BC">
        <w:rPr>
          <w:b/>
          <w:bCs/>
          <w:rtl/>
          <w:lang w:bidi="ar-EG"/>
        </w:rPr>
        <w:t>تكرر اللجنة توصيتها بأن تقوم الدولة الطرف، من أجل زيادة توضيح الوضع فيما يتعلق بالحماية من التعذيب، بتضمين تقاريرها المقبلة بيانات مصنفة بحسب السن ونوع الجنس والأصل العرقي، على أن تتناول البيانات ما يلي:</w:t>
      </w:r>
    </w:p>
    <w:p w:rsidR="00266725" w:rsidRPr="008059BC" w:rsidRDefault="00266725" w:rsidP="004C3E0C">
      <w:pPr>
        <w:pStyle w:val="SingleTxtGA"/>
        <w:spacing w:line="372" w:lineRule="exact"/>
        <w:rPr>
          <w:b/>
          <w:bCs/>
          <w:rtl/>
          <w:lang w:bidi="ar-EG"/>
        </w:rPr>
      </w:pPr>
      <w:r w:rsidRPr="008059BC">
        <w:rPr>
          <w:b/>
          <w:bCs/>
          <w:rtl/>
          <w:lang w:bidi="ar-EG"/>
        </w:rPr>
        <w:tab/>
        <w:t>(أ)</w:t>
      </w:r>
      <w:r w:rsidRPr="008059BC">
        <w:rPr>
          <w:b/>
          <w:bCs/>
          <w:rtl/>
          <w:lang w:bidi="ar-EG"/>
        </w:rPr>
        <w:tab/>
        <w:t>عدد طلبات اللجوء المسجلة وعدد الطلبات المتناوَلَة سواء في إطار الإجراءات العادية أو الإجراءات المُعجّلة؛</w:t>
      </w:r>
    </w:p>
    <w:p w:rsidR="00266725" w:rsidRPr="008059BC" w:rsidRDefault="00266725" w:rsidP="004C3E0C">
      <w:pPr>
        <w:pStyle w:val="SingleTxtGA"/>
        <w:spacing w:line="372" w:lineRule="exact"/>
        <w:rPr>
          <w:b/>
          <w:bCs/>
          <w:rtl/>
          <w:lang w:bidi="ar-EG"/>
        </w:rPr>
      </w:pPr>
      <w:r w:rsidRPr="008059BC">
        <w:rPr>
          <w:b/>
          <w:bCs/>
          <w:rtl/>
          <w:lang w:bidi="ar-EG"/>
        </w:rPr>
        <w:tab/>
        <w:t>(ب)</w:t>
      </w:r>
      <w:r w:rsidRPr="008059BC">
        <w:rPr>
          <w:b/>
          <w:bCs/>
          <w:rtl/>
          <w:lang w:bidi="ar-EG"/>
        </w:rPr>
        <w:tab/>
        <w:t>عدد الطلبات المقبولة؛</w:t>
      </w:r>
    </w:p>
    <w:p w:rsidR="00266725" w:rsidRPr="008059BC" w:rsidRDefault="00266725" w:rsidP="004C3E0C">
      <w:pPr>
        <w:pStyle w:val="SingleTxtGA"/>
        <w:spacing w:line="372" w:lineRule="exact"/>
        <w:rPr>
          <w:b/>
          <w:bCs/>
          <w:rtl/>
          <w:lang w:bidi="ar-EG"/>
        </w:rPr>
      </w:pPr>
      <w:r w:rsidRPr="008059BC">
        <w:rPr>
          <w:b/>
          <w:bCs/>
          <w:rtl/>
          <w:lang w:bidi="ar-EG"/>
        </w:rPr>
        <w:tab/>
        <w:t>(ج)</w:t>
      </w:r>
      <w:r w:rsidRPr="008059BC">
        <w:rPr>
          <w:b/>
          <w:bCs/>
          <w:rtl/>
          <w:lang w:bidi="ar-EG"/>
        </w:rPr>
        <w:tab/>
        <w:t>عدد ملتمسي اللجوء الذين قُبلت طلباتهم على أساس أنهم تعرضوا للتعذيب أو أنهم قد يتعرضون للتعذيب في حالة إعادتهم إلى بلدهم الأصلي، والبيانات المتعلقة بمنح اللجوء على أساس التعرض للعنف الجنسي؛</w:t>
      </w:r>
    </w:p>
    <w:p w:rsidR="00266725" w:rsidRPr="008059BC" w:rsidRDefault="00266725" w:rsidP="004C3E0C">
      <w:pPr>
        <w:pStyle w:val="SingleTxtGA"/>
        <w:spacing w:line="372" w:lineRule="exact"/>
        <w:rPr>
          <w:rFonts w:hint="cs"/>
          <w:b/>
          <w:bCs/>
          <w:lang w:bidi="ar-EG"/>
        </w:rPr>
      </w:pPr>
      <w:r w:rsidRPr="008059BC">
        <w:rPr>
          <w:b/>
          <w:bCs/>
          <w:rtl/>
          <w:lang w:bidi="ar-EG"/>
        </w:rPr>
        <w:tab/>
        <w:t>(د)</w:t>
      </w:r>
      <w:r w:rsidRPr="008059BC">
        <w:rPr>
          <w:b/>
          <w:bCs/>
          <w:rtl/>
          <w:lang w:bidi="ar-EG"/>
        </w:rPr>
        <w:tab/>
        <w:t>عدد حالات الإعادة القسرية أو الطرد.</w:t>
      </w:r>
    </w:p>
    <w:p w:rsidR="00266725" w:rsidRPr="00FC78C8" w:rsidRDefault="00266725" w:rsidP="004C3E0C">
      <w:pPr>
        <w:pStyle w:val="H23GA"/>
        <w:spacing w:line="372" w:lineRule="exact"/>
        <w:rPr>
          <w:rFonts w:hint="cs"/>
          <w:rtl/>
          <w:lang w:bidi="ar-EG"/>
        </w:rPr>
      </w:pPr>
      <w:r>
        <w:rPr>
          <w:rFonts w:hint="cs"/>
          <w:rtl/>
          <w:lang w:bidi="ar-EG"/>
        </w:rPr>
        <w:tab/>
      </w:r>
      <w:r>
        <w:rPr>
          <w:rFonts w:hint="cs"/>
          <w:rtl/>
          <w:lang w:bidi="ar-EG"/>
        </w:rPr>
        <w:tab/>
      </w:r>
      <w:r w:rsidRPr="00FC78C8">
        <w:rPr>
          <w:rFonts w:hint="cs"/>
          <w:rtl/>
          <w:lang w:bidi="ar-EG"/>
        </w:rPr>
        <w:t>مسائل أخرى</w:t>
      </w:r>
    </w:p>
    <w:p w:rsidR="00266725" w:rsidRDefault="0020632F" w:rsidP="004C3E0C">
      <w:pPr>
        <w:pStyle w:val="SingleTxtGA"/>
        <w:spacing w:line="372" w:lineRule="exact"/>
        <w:rPr>
          <w:rFonts w:hint="cs"/>
          <w:rtl/>
          <w:lang w:bidi="ar-EG"/>
        </w:rPr>
      </w:pPr>
      <w:r>
        <w:rPr>
          <w:rFonts w:hint="cs"/>
          <w:rtl/>
        </w:rPr>
        <w:t>(</w:t>
      </w:r>
      <w:r w:rsidR="00266725">
        <w:rPr>
          <w:rFonts w:hint="cs"/>
          <w:rtl/>
        </w:rPr>
        <w:t>32</w:t>
      </w:r>
      <w:r>
        <w:rPr>
          <w:rFonts w:hint="cs"/>
          <w:rtl/>
        </w:rPr>
        <w:t>)</w:t>
      </w:r>
      <w:r w:rsidR="00266725" w:rsidRPr="00133788">
        <w:rPr>
          <w:rtl/>
        </w:rPr>
        <w:tab/>
      </w:r>
      <w:r w:rsidR="00266725" w:rsidRPr="003C5F4B">
        <w:rPr>
          <w:rFonts w:hint="cs"/>
          <w:rtl/>
          <w:lang w:bidi="ar-EG"/>
        </w:rPr>
        <w:t>تدعو</w:t>
      </w:r>
      <w:r w:rsidR="00266725" w:rsidRPr="003C5F4B">
        <w:rPr>
          <w:rtl/>
          <w:lang w:bidi="ar-EG"/>
        </w:rPr>
        <w:t xml:space="preserve"> </w:t>
      </w:r>
      <w:r w:rsidR="00266725" w:rsidRPr="003C5F4B">
        <w:rPr>
          <w:rFonts w:hint="cs"/>
          <w:rtl/>
          <w:lang w:bidi="ar-EG"/>
        </w:rPr>
        <w:t>اللجنة</w:t>
      </w:r>
      <w:r w:rsidR="00266725" w:rsidRPr="003C5F4B">
        <w:rPr>
          <w:rtl/>
          <w:lang w:bidi="ar-EG"/>
        </w:rPr>
        <w:t xml:space="preserve"> </w:t>
      </w:r>
      <w:r w:rsidR="00266725" w:rsidRPr="003C5F4B">
        <w:rPr>
          <w:rFonts w:hint="cs"/>
          <w:rtl/>
          <w:lang w:bidi="ar-EG"/>
        </w:rPr>
        <w:t>الدولة</w:t>
      </w:r>
      <w:r w:rsidR="00266725" w:rsidRPr="003C5F4B">
        <w:rPr>
          <w:rtl/>
          <w:lang w:bidi="ar-EG"/>
        </w:rPr>
        <w:t xml:space="preserve"> </w:t>
      </w:r>
      <w:r w:rsidR="00266725" w:rsidRPr="003C5F4B">
        <w:rPr>
          <w:rFonts w:hint="cs"/>
          <w:rtl/>
          <w:lang w:bidi="ar-EG"/>
        </w:rPr>
        <w:t>الطرف</w:t>
      </w:r>
      <w:r w:rsidR="00266725" w:rsidRPr="003C5F4B">
        <w:rPr>
          <w:rtl/>
          <w:lang w:bidi="ar-EG"/>
        </w:rPr>
        <w:t xml:space="preserve"> </w:t>
      </w:r>
      <w:r w:rsidR="00266725" w:rsidRPr="003C5F4B">
        <w:rPr>
          <w:rFonts w:hint="cs"/>
          <w:rtl/>
          <w:lang w:bidi="ar-EG"/>
        </w:rPr>
        <w:t>إلى</w:t>
      </w:r>
      <w:r w:rsidR="00266725" w:rsidRPr="003C5F4B">
        <w:rPr>
          <w:rtl/>
          <w:lang w:bidi="ar-EG"/>
        </w:rPr>
        <w:t xml:space="preserve"> </w:t>
      </w:r>
      <w:r w:rsidR="00266725" w:rsidRPr="003C5F4B">
        <w:rPr>
          <w:rFonts w:hint="cs"/>
          <w:rtl/>
          <w:lang w:bidi="ar-EG"/>
        </w:rPr>
        <w:t>التصديق</w:t>
      </w:r>
      <w:r w:rsidR="00266725" w:rsidRPr="003C5F4B">
        <w:rPr>
          <w:rtl/>
          <w:lang w:bidi="ar-EG"/>
        </w:rPr>
        <w:t xml:space="preserve"> </w:t>
      </w:r>
      <w:r w:rsidR="00266725" w:rsidRPr="003C5F4B">
        <w:rPr>
          <w:rFonts w:hint="cs"/>
          <w:rtl/>
          <w:lang w:bidi="ar-EG"/>
        </w:rPr>
        <w:t>على</w:t>
      </w:r>
      <w:r w:rsidR="00266725" w:rsidRPr="003C5F4B">
        <w:rPr>
          <w:rtl/>
          <w:lang w:bidi="ar-EG"/>
        </w:rPr>
        <w:t xml:space="preserve"> </w:t>
      </w:r>
      <w:r w:rsidR="00266725" w:rsidRPr="003C5F4B">
        <w:rPr>
          <w:rFonts w:hint="cs"/>
          <w:rtl/>
          <w:lang w:bidi="ar-EG"/>
        </w:rPr>
        <w:t>الصكوك</w:t>
      </w:r>
      <w:r w:rsidR="00266725" w:rsidRPr="003C5F4B">
        <w:rPr>
          <w:rtl/>
          <w:lang w:bidi="ar-EG"/>
        </w:rPr>
        <w:t xml:space="preserve"> </w:t>
      </w:r>
      <w:r w:rsidR="00266725" w:rsidRPr="003C5F4B">
        <w:rPr>
          <w:rFonts w:hint="cs"/>
          <w:rtl/>
          <w:lang w:bidi="ar-EG"/>
        </w:rPr>
        <w:t>الأساسية</w:t>
      </w:r>
      <w:r w:rsidR="00266725" w:rsidRPr="003C5F4B">
        <w:rPr>
          <w:rtl/>
          <w:lang w:bidi="ar-EG"/>
        </w:rPr>
        <w:t xml:space="preserve"> </w:t>
      </w:r>
      <w:r w:rsidR="00266725" w:rsidRPr="003C5F4B">
        <w:rPr>
          <w:rFonts w:hint="cs"/>
          <w:rtl/>
          <w:lang w:bidi="ar-EG"/>
        </w:rPr>
        <w:t>للأمم</w:t>
      </w:r>
      <w:r w:rsidR="00266725" w:rsidRPr="003C5F4B">
        <w:rPr>
          <w:rtl/>
          <w:lang w:bidi="ar-EG"/>
        </w:rPr>
        <w:t xml:space="preserve"> </w:t>
      </w:r>
      <w:r w:rsidR="00266725" w:rsidRPr="003C5F4B">
        <w:rPr>
          <w:rFonts w:hint="cs"/>
          <w:rtl/>
          <w:lang w:bidi="ar-EG"/>
        </w:rPr>
        <w:t>المتحدة</w:t>
      </w:r>
      <w:r w:rsidR="00266725" w:rsidRPr="003C5F4B">
        <w:rPr>
          <w:rtl/>
          <w:lang w:bidi="ar-EG"/>
        </w:rPr>
        <w:t xml:space="preserve"> </w:t>
      </w:r>
      <w:r w:rsidR="00266725" w:rsidRPr="003C5F4B">
        <w:rPr>
          <w:rFonts w:hint="cs"/>
          <w:rtl/>
          <w:lang w:bidi="ar-EG"/>
        </w:rPr>
        <w:t>الخاصة</w:t>
      </w:r>
      <w:r w:rsidR="00266725" w:rsidRPr="003C5F4B">
        <w:rPr>
          <w:rtl/>
          <w:lang w:bidi="ar-EG"/>
        </w:rPr>
        <w:t xml:space="preserve"> </w:t>
      </w:r>
      <w:r w:rsidR="00266725" w:rsidRPr="003C5F4B">
        <w:rPr>
          <w:rFonts w:hint="cs"/>
          <w:rtl/>
          <w:lang w:bidi="ar-EG"/>
        </w:rPr>
        <w:t>بحقوق</w:t>
      </w:r>
      <w:r w:rsidR="00266725" w:rsidRPr="003C5F4B">
        <w:rPr>
          <w:rtl/>
          <w:lang w:bidi="ar-EG"/>
        </w:rPr>
        <w:t xml:space="preserve"> </w:t>
      </w:r>
      <w:r w:rsidR="00266725" w:rsidRPr="003C5F4B">
        <w:rPr>
          <w:rFonts w:hint="cs"/>
          <w:rtl/>
          <w:lang w:bidi="ar-EG"/>
        </w:rPr>
        <w:t>الإنسان</w:t>
      </w:r>
      <w:r w:rsidR="00266725" w:rsidRPr="003C5F4B">
        <w:rPr>
          <w:rtl/>
          <w:lang w:bidi="ar-EG"/>
        </w:rPr>
        <w:t xml:space="preserve"> </w:t>
      </w:r>
      <w:r w:rsidR="00266725">
        <w:rPr>
          <w:rFonts w:hint="cs"/>
          <w:rtl/>
          <w:lang w:bidi="ar-EG"/>
        </w:rPr>
        <w:t>لم تصبح</w:t>
      </w:r>
      <w:r w:rsidR="00266725" w:rsidRPr="003C5F4B">
        <w:rPr>
          <w:rtl/>
          <w:lang w:bidi="ar-EG"/>
        </w:rPr>
        <w:t xml:space="preserve"> </w:t>
      </w:r>
      <w:r w:rsidR="00266725" w:rsidRPr="003C5F4B">
        <w:rPr>
          <w:rFonts w:hint="cs"/>
          <w:rtl/>
          <w:lang w:bidi="ar-EG"/>
        </w:rPr>
        <w:t>طرفا</w:t>
      </w:r>
      <w:r w:rsidR="00266725">
        <w:rPr>
          <w:rFonts w:hint="cs"/>
          <w:rtl/>
          <w:lang w:bidi="ar-EG"/>
        </w:rPr>
        <w:t>ً</w:t>
      </w:r>
      <w:r w:rsidR="00266725" w:rsidRPr="003C5F4B">
        <w:rPr>
          <w:rtl/>
          <w:lang w:bidi="ar-EG"/>
        </w:rPr>
        <w:t xml:space="preserve"> </w:t>
      </w:r>
      <w:r w:rsidR="00266725" w:rsidRPr="003C5F4B">
        <w:rPr>
          <w:rFonts w:hint="cs"/>
          <w:rtl/>
          <w:lang w:bidi="ar-EG"/>
        </w:rPr>
        <w:t>فيها</w:t>
      </w:r>
      <w:r w:rsidR="00266725" w:rsidRPr="003C5F4B">
        <w:rPr>
          <w:rtl/>
          <w:lang w:bidi="ar-EG"/>
        </w:rPr>
        <w:t xml:space="preserve"> </w:t>
      </w:r>
      <w:r w:rsidR="00266725" w:rsidRPr="003C5F4B">
        <w:rPr>
          <w:rFonts w:hint="cs"/>
          <w:rtl/>
          <w:lang w:bidi="ar-EG"/>
        </w:rPr>
        <w:t>بعد،</w:t>
      </w:r>
      <w:r w:rsidR="00266725" w:rsidRPr="003C5F4B">
        <w:rPr>
          <w:rtl/>
          <w:lang w:bidi="ar-EG"/>
        </w:rPr>
        <w:t xml:space="preserve"> </w:t>
      </w:r>
      <w:r w:rsidR="00266725" w:rsidRPr="003C5F4B">
        <w:rPr>
          <w:rFonts w:hint="cs"/>
          <w:rtl/>
          <w:lang w:bidi="ar-EG"/>
        </w:rPr>
        <w:t>ولا</w:t>
      </w:r>
      <w:r w:rsidR="00266725" w:rsidRPr="003C5F4B">
        <w:rPr>
          <w:rtl/>
          <w:lang w:bidi="ar-EG"/>
        </w:rPr>
        <w:t xml:space="preserve"> </w:t>
      </w:r>
      <w:r w:rsidR="00266725" w:rsidRPr="003C5F4B">
        <w:rPr>
          <w:rFonts w:hint="cs"/>
          <w:rtl/>
          <w:lang w:bidi="ar-EG"/>
        </w:rPr>
        <w:t>سيما</w:t>
      </w:r>
      <w:r w:rsidR="00266725" w:rsidRPr="003C5F4B">
        <w:rPr>
          <w:rtl/>
          <w:lang w:bidi="ar-EG"/>
        </w:rPr>
        <w:t xml:space="preserve"> </w:t>
      </w:r>
      <w:r w:rsidR="00266725" w:rsidRPr="003C5F4B">
        <w:rPr>
          <w:rFonts w:hint="cs"/>
          <w:rtl/>
          <w:lang w:bidi="ar-EG"/>
        </w:rPr>
        <w:t>اتفاقية</w:t>
      </w:r>
      <w:r w:rsidR="00266725" w:rsidRPr="003C5F4B">
        <w:rPr>
          <w:rtl/>
          <w:lang w:bidi="ar-EG"/>
        </w:rPr>
        <w:t xml:space="preserve"> </w:t>
      </w:r>
      <w:r w:rsidR="00266725" w:rsidRPr="003C5F4B">
        <w:rPr>
          <w:rFonts w:hint="cs"/>
          <w:rtl/>
          <w:lang w:bidi="ar-EG"/>
        </w:rPr>
        <w:t>حقوق</w:t>
      </w:r>
      <w:r w:rsidR="00266725" w:rsidRPr="003C5F4B">
        <w:rPr>
          <w:rtl/>
          <w:lang w:bidi="ar-EG"/>
        </w:rPr>
        <w:t xml:space="preserve"> </w:t>
      </w:r>
      <w:r w:rsidR="00266725" w:rsidRPr="003C5F4B">
        <w:rPr>
          <w:rFonts w:hint="cs"/>
          <w:rtl/>
          <w:lang w:bidi="ar-EG"/>
        </w:rPr>
        <w:t>الأشخاص</w:t>
      </w:r>
      <w:r w:rsidR="00266725" w:rsidRPr="003C5F4B">
        <w:rPr>
          <w:rtl/>
          <w:lang w:bidi="ar-EG"/>
        </w:rPr>
        <w:t xml:space="preserve"> </w:t>
      </w:r>
      <w:r w:rsidR="00266725" w:rsidRPr="003C5F4B">
        <w:rPr>
          <w:rFonts w:hint="cs"/>
          <w:rtl/>
          <w:lang w:bidi="ar-EG"/>
        </w:rPr>
        <w:t>ذوي</w:t>
      </w:r>
      <w:r w:rsidR="00266725" w:rsidRPr="003C5F4B">
        <w:rPr>
          <w:rtl/>
          <w:lang w:bidi="ar-EG"/>
        </w:rPr>
        <w:t xml:space="preserve"> </w:t>
      </w:r>
      <w:r w:rsidR="00266725" w:rsidRPr="003C5F4B">
        <w:rPr>
          <w:rFonts w:hint="cs"/>
          <w:rtl/>
          <w:lang w:bidi="ar-EG"/>
        </w:rPr>
        <w:t>الإعاقة</w:t>
      </w:r>
      <w:r w:rsidR="00266725">
        <w:rPr>
          <w:rFonts w:hint="cs"/>
          <w:rtl/>
          <w:lang w:bidi="ar-EG"/>
        </w:rPr>
        <w:t>،</w:t>
      </w:r>
      <w:r w:rsidR="00266725" w:rsidRPr="003C5F4B">
        <w:rPr>
          <w:rtl/>
          <w:lang w:bidi="ar-EG"/>
        </w:rPr>
        <w:t xml:space="preserve"> </w:t>
      </w:r>
      <w:r w:rsidR="00266725">
        <w:rPr>
          <w:rFonts w:hint="cs"/>
          <w:rtl/>
          <w:lang w:bidi="ar-EG"/>
        </w:rPr>
        <w:t>و</w:t>
      </w:r>
      <w:r w:rsidR="00266725" w:rsidRPr="003C5F4B">
        <w:rPr>
          <w:rFonts w:hint="cs"/>
          <w:rtl/>
          <w:lang w:bidi="ar-EG"/>
        </w:rPr>
        <w:t>الاتفاقية</w:t>
      </w:r>
      <w:r w:rsidR="00266725" w:rsidRPr="003C5F4B">
        <w:rPr>
          <w:rtl/>
          <w:lang w:bidi="ar-EG"/>
        </w:rPr>
        <w:t xml:space="preserve"> </w:t>
      </w:r>
      <w:r w:rsidR="00266725" w:rsidRPr="003C5F4B">
        <w:rPr>
          <w:rFonts w:hint="cs"/>
          <w:rtl/>
          <w:lang w:bidi="ar-EG"/>
        </w:rPr>
        <w:t>الدولية</w:t>
      </w:r>
      <w:r w:rsidR="00266725" w:rsidRPr="003C5F4B">
        <w:rPr>
          <w:rtl/>
          <w:lang w:bidi="ar-EG"/>
        </w:rPr>
        <w:t xml:space="preserve"> </w:t>
      </w:r>
      <w:r w:rsidR="00266725" w:rsidRPr="003C5F4B">
        <w:rPr>
          <w:rFonts w:hint="cs"/>
          <w:rtl/>
          <w:lang w:bidi="ar-EG"/>
        </w:rPr>
        <w:t>لحماية</w:t>
      </w:r>
      <w:r w:rsidR="00266725" w:rsidRPr="003C5F4B">
        <w:rPr>
          <w:rtl/>
          <w:lang w:bidi="ar-EG"/>
        </w:rPr>
        <w:t xml:space="preserve"> </w:t>
      </w:r>
      <w:r w:rsidR="00266725" w:rsidRPr="003C5F4B">
        <w:rPr>
          <w:rFonts w:hint="cs"/>
          <w:rtl/>
          <w:lang w:bidi="ar-EG"/>
        </w:rPr>
        <w:t>حقوق</w:t>
      </w:r>
      <w:r w:rsidR="00266725" w:rsidRPr="003C5F4B">
        <w:rPr>
          <w:rtl/>
          <w:lang w:bidi="ar-EG"/>
        </w:rPr>
        <w:t xml:space="preserve"> </w:t>
      </w:r>
      <w:r w:rsidR="00266725" w:rsidRPr="003C5F4B">
        <w:rPr>
          <w:rFonts w:hint="cs"/>
          <w:rtl/>
          <w:lang w:bidi="ar-EG"/>
        </w:rPr>
        <w:t>جميع</w:t>
      </w:r>
      <w:r w:rsidR="00266725" w:rsidRPr="003C5F4B">
        <w:rPr>
          <w:rtl/>
          <w:lang w:bidi="ar-EG"/>
        </w:rPr>
        <w:t xml:space="preserve"> </w:t>
      </w:r>
      <w:r w:rsidR="00266725" w:rsidRPr="003C5F4B">
        <w:rPr>
          <w:rFonts w:hint="cs"/>
          <w:rtl/>
          <w:lang w:bidi="ar-EG"/>
        </w:rPr>
        <w:t>العمال</w:t>
      </w:r>
      <w:r w:rsidR="00266725" w:rsidRPr="003C5F4B">
        <w:rPr>
          <w:rtl/>
          <w:lang w:bidi="ar-EG"/>
        </w:rPr>
        <w:t xml:space="preserve"> </w:t>
      </w:r>
      <w:r w:rsidR="00266725" w:rsidRPr="003C5F4B">
        <w:rPr>
          <w:rFonts w:hint="cs"/>
          <w:rtl/>
          <w:lang w:bidi="ar-EG"/>
        </w:rPr>
        <w:t>المهاجرين</w:t>
      </w:r>
      <w:r w:rsidR="00266725" w:rsidRPr="003C5F4B">
        <w:rPr>
          <w:rtl/>
          <w:lang w:bidi="ar-EG"/>
        </w:rPr>
        <w:t xml:space="preserve"> </w:t>
      </w:r>
      <w:r w:rsidR="00266725" w:rsidRPr="003C5F4B">
        <w:rPr>
          <w:rFonts w:hint="cs"/>
          <w:rtl/>
          <w:lang w:bidi="ar-EG"/>
        </w:rPr>
        <w:t>وأفراد</w:t>
      </w:r>
      <w:r w:rsidR="00266725" w:rsidRPr="003C5F4B">
        <w:rPr>
          <w:rtl/>
          <w:lang w:bidi="ar-EG"/>
        </w:rPr>
        <w:t xml:space="preserve"> </w:t>
      </w:r>
      <w:r w:rsidR="00266725" w:rsidRPr="003C5F4B">
        <w:rPr>
          <w:rFonts w:hint="cs"/>
          <w:rtl/>
          <w:lang w:bidi="ar-EG"/>
        </w:rPr>
        <w:t>أسرهم،</w:t>
      </w:r>
      <w:r w:rsidR="00266725">
        <w:rPr>
          <w:rFonts w:hint="cs"/>
          <w:rtl/>
          <w:lang w:bidi="ar-EG"/>
        </w:rPr>
        <w:t xml:space="preserve"> والنظر في التوقيع والتصديق على </w:t>
      </w:r>
      <w:r w:rsidR="00266725" w:rsidRPr="003C5F4B">
        <w:rPr>
          <w:rFonts w:hint="cs"/>
          <w:rtl/>
          <w:lang w:bidi="ar-EG"/>
        </w:rPr>
        <w:t>البروتوكول</w:t>
      </w:r>
      <w:r w:rsidR="00266725" w:rsidRPr="003C5F4B">
        <w:rPr>
          <w:rtl/>
          <w:lang w:bidi="ar-EG"/>
        </w:rPr>
        <w:t xml:space="preserve"> </w:t>
      </w:r>
      <w:r w:rsidR="00266725" w:rsidRPr="003C5F4B">
        <w:rPr>
          <w:rFonts w:hint="cs"/>
          <w:rtl/>
          <w:lang w:bidi="ar-EG"/>
        </w:rPr>
        <w:t>الاختياري</w:t>
      </w:r>
      <w:r w:rsidR="00266725" w:rsidRPr="003C5F4B">
        <w:rPr>
          <w:rtl/>
          <w:lang w:bidi="ar-EG"/>
        </w:rPr>
        <w:t xml:space="preserve"> </w:t>
      </w:r>
      <w:r w:rsidR="00266725">
        <w:rPr>
          <w:rFonts w:hint="cs"/>
          <w:rtl/>
          <w:lang w:bidi="ar-EG"/>
        </w:rPr>
        <w:t>ل</w:t>
      </w:r>
      <w:r w:rsidR="00266725" w:rsidRPr="003C5F4B">
        <w:rPr>
          <w:rFonts w:hint="cs"/>
          <w:rtl/>
          <w:lang w:bidi="ar-EG"/>
        </w:rPr>
        <w:t>اتفاقية</w:t>
      </w:r>
      <w:r w:rsidR="00266725" w:rsidRPr="003C5F4B">
        <w:rPr>
          <w:rtl/>
          <w:lang w:bidi="ar-EG"/>
        </w:rPr>
        <w:t xml:space="preserve"> </w:t>
      </w:r>
      <w:r w:rsidR="00266725" w:rsidRPr="003C5F4B">
        <w:rPr>
          <w:rFonts w:hint="cs"/>
          <w:rtl/>
          <w:lang w:bidi="ar-EG"/>
        </w:rPr>
        <w:t>حقوق</w:t>
      </w:r>
      <w:r w:rsidR="00266725" w:rsidRPr="003C5F4B">
        <w:rPr>
          <w:rtl/>
          <w:lang w:bidi="ar-EG"/>
        </w:rPr>
        <w:t xml:space="preserve"> </w:t>
      </w:r>
      <w:r w:rsidR="00266725" w:rsidRPr="003C5F4B">
        <w:rPr>
          <w:rFonts w:hint="cs"/>
          <w:rtl/>
          <w:lang w:bidi="ar-EG"/>
        </w:rPr>
        <w:t>الأشخاص</w:t>
      </w:r>
      <w:r w:rsidR="00266725" w:rsidRPr="003C5F4B">
        <w:rPr>
          <w:rtl/>
          <w:lang w:bidi="ar-EG"/>
        </w:rPr>
        <w:t xml:space="preserve"> </w:t>
      </w:r>
      <w:r w:rsidR="00266725" w:rsidRPr="003C5F4B">
        <w:rPr>
          <w:rFonts w:hint="cs"/>
          <w:rtl/>
          <w:lang w:bidi="ar-EG"/>
        </w:rPr>
        <w:t>ذوي</w:t>
      </w:r>
      <w:r w:rsidR="00266725" w:rsidRPr="003C5F4B">
        <w:rPr>
          <w:rtl/>
          <w:lang w:bidi="ar-EG"/>
        </w:rPr>
        <w:t xml:space="preserve"> </w:t>
      </w:r>
      <w:r w:rsidR="00266725" w:rsidRPr="003C5F4B">
        <w:rPr>
          <w:rFonts w:hint="cs"/>
          <w:rtl/>
          <w:lang w:bidi="ar-EG"/>
        </w:rPr>
        <w:t>الإعاقة</w:t>
      </w:r>
      <w:r w:rsidR="00266725">
        <w:rPr>
          <w:rFonts w:hint="cs"/>
          <w:rtl/>
          <w:lang w:bidi="ar-EG"/>
        </w:rPr>
        <w:t>،</w:t>
      </w:r>
      <w:r w:rsidR="00266725" w:rsidRPr="003C5F4B">
        <w:rPr>
          <w:rtl/>
          <w:lang w:bidi="ar-EG"/>
        </w:rPr>
        <w:t xml:space="preserve"> </w:t>
      </w:r>
      <w:r w:rsidR="00266725">
        <w:rPr>
          <w:rFonts w:hint="cs"/>
          <w:rtl/>
          <w:lang w:bidi="ar-EG"/>
        </w:rPr>
        <w:t>و</w:t>
      </w:r>
      <w:r w:rsidR="00266725" w:rsidRPr="003C5F4B">
        <w:rPr>
          <w:rFonts w:hint="cs"/>
          <w:rtl/>
          <w:lang w:bidi="ar-EG"/>
        </w:rPr>
        <w:t>البروتوكول</w:t>
      </w:r>
      <w:r w:rsidR="00266725" w:rsidRPr="003C5F4B">
        <w:rPr>
          <w:rtl/>
          <w:lang w:bidi="ar-EG"/>
        </w:rPr>
        <w:t xml:space="preserve"> </w:t>
      </w:r>
      <w:r w:rsidR="00266725" w:rsidRPr="003C5F4B">
        <w:rPr>
          <w:rFonts w:hint="cs"/>
          <w:rtl/>
          <w:lang w:bidi="ar-EG"/>
        </w:rPr>
        <w:t>الاختياري</w:t>
      </w:r>
      <w:r w:rsidR="00266725" w:rsidRPr="003C5F4B">
        <w:rPr>
          <w:rtl/>
          <w:lang w:bidi="ar-EG"/>
        </w:rPr>
        <w:t xml:space="preserve"> </w:t>
      </w:r>
      <w:r w:rsidR="00266725" w:rsidRPr="003C5F4B">
        <w:rPr>
          <w:rFonts w:hint="cs"/>
          <w:rtl/>
          <w:lang w:bidi="ar-EG"/>
        </w:rPr>
        <w:t>للعهد</w:t>
      </w:r>
      <w:r w:rsidR="00266725" w:rsidRPr="003C5F4B">
        <w:rPr>
          <w:rtl/>
          <w:lang w:bidi="ar-EG"/>
        </w:rPr>
        <w:t xml:space="preserve"> </w:t>
      </w:r>
      <w:r w:rsidR="00266725" w:rsidRPr="003C5F4B">
        <w:rPr>
          <w:rFonts w:hint="cs"/>
          <w:rtl/>
          <w:lang w:bidi="ar-EG"/>
        </w:rPr>
        <w:t>الدولي</w:t>
      </w:r>
      <w:r w:rsidR="00266725" w:rsidRPr="003C5F4B">
        <w:rPr>
          <w:rtl/>
          <w:lang w:bidi="ar-EG"/>
        </w:rPr>
        <w:t xml:space="preserve"> </w:t>
      </w:r>
      <w:r w:rsidR="00266725" w:rsidRPr="003C5F4B">
        <w:rPr>
          <w:rFonts w:hint="cs"/>
          <w:rtl/>
          <w:lang w:bidi="ar-EG"/>
        </w:rPr>
        <w:t>الخاص</w:t>
      </w:r>
      <w:r w:rsidR="00266725" w:rsidRPr="003C5F4B">
        <w:rPr>
          <w:rtl/>
          <w:lang w:bidi="ar-EG"/>
        </w:rPr>
        <w:t xml:space="preserve"> </w:t>
      </w:r>
      <w:r w:rsidR="00266725" w:rsidRPr="003C5F4B">
        <w:rPr>
          <w:rFonts w:hint="cs"/>
          <w:rtl/>
          <w:lang w:bidi="ar-EG"/>
        </w:rPr>
        <w:t>بالحقوق</w:t>
      </w:r>
      <w:r w:rsidR="00266725" w:rsidRPr="003C5F4B">
        <w:rPr>
          <w:rtl/>
          <w:lang w:bidi="ar-EG"/>
        </w:rPr>
        <w:t xml:space="preserve"> </w:t>
      </w:r>
      <w:r w:rsidR="00266725" w:rsidRPr="003C5F4B">
        <w:rPr>
          <w:rFonts w:hint="cs"/>
          <w:rtl/>
          <w:lang w:bidi="ar-EG"/>
        </w:rPr>
        <w:t>الاقتصادية</w:t>
      </w:r>
      <w:r w:rsidR="00266725" w:rsidRPr="003C5F4B">
        <w:rPr>
          <w:rtl/>
          <w:lang w:bidi="ar-EG"/>
        </w:rPr>
        <w:t xml:space="preserve"> </w:t>
      </w:r>
      <w:r w:rsidR="00266725" w:rsidRPr="003C5F4B">
        <w:rPr>
          <w:rFonts w:hint="cs"/>
          <w:rtl/>
          <w:lang w:bidi="ar-EG"/>
        </w:rPr>
        <w:t>والاجتماعية</w:t>
      </w:r>
      <w:r w:rsidR="00266725" w:rsidRPr="003C5F4B">
        <w:rPr>
          <w:rtl/>
          <w:lang w:bidi="ar-EG"/>
        </w:rPr>
        <w:t xml:space="preserve"> </w:t>
      </w:r>
      <w:r w:rsidR="00266725" w:rsidRPr="003C5F4B">
        <w:rPr>
          <w:rFonts w:hint="cs"/>
          <w:rtl/>
          <w:lang w:bidi="ar-EG"/>
        </w:rPr>
        <w:t>والثقافية</w:t>
      </w:r>
      <w:r w:rsidR="00266725">
        <w:rPr>
          <w:rFonts w:hint="cs"/>
          <w:rtl/>
          <w:lang w:bidi="ar-EG"/>
        </w:rPr>
        <w:t>، و</w:t>
      </w:r>
      <w:r w:rsidR="00266725" w:rsidRPr="003C5F4B">
        <w:rPr>
          <w:rFonts w:hint="cs"/>
          <w:rtl/>
          <w:lang w:bidi="ar-EG"/>
        </w:rPr>
        <w:t>البروتوكول</w:t>
      </w:r>
      <w:r w:rsidR="00266725" w:rsidRPr="003C5F4B">
        <w:rPr>
          <w:rtl/>
          <w:lang w:bidi="ar-EG"/>
        </w:rPr>
        <w:t xml:space="preserve"> </w:t>
      </w:r>
      <w:r w:rsidR="00266725" w:rsidRPr="003C5F4B">
        <w:rPr>
          <w:rFonts w:hint="cs"/>
          <w:rtl/>
          <w:lang w:bidi="ar-EG"/>
        </w:rPr>
        <w:t>الاختياري</w:t>
      </w:r>
      <w:r w:rsidR="00266725">
        <w:rPr>
          <w:rFonts w:hint="cs"/>
          <w:rtl/>
          <w:lang w:bidi="ar-EG"/>
        </w:rPr>
        <w:t xml:space="preserve"> </w:t>
      </w:r>
      <w:r w:rsidR="00266725" w:rsidRPr="00C52533">
        <w:rPr>
          <w:rFonts w:hint="cs"/>
          <w:rtl/>
          <w:lang w:bidi="ar-EG"/>
        </w:rPr>
        <w:t>لاتفاقية</w:t>
      </w:r>
      <w:r w:rsidR="00266725" w:rsidRPr="00C52533">
        <w:rPr>
          <w:rtl/>
          <w:lang w:bidi="ar-EG"/>
        </w:rPr>
        <w:t xml:space="preserve"> </w:t>
      </w:r>
      <w:r w:rsidR="00266725" w:rsidRPr="00C52533">
        <w:rPr>
          <w:rFonts w:hint="cs"/>
          <w:rtl/>
          <w:lang w:bidi="ar-EG"/>
        </w:rPr>
        <w:t>حقوق</w:t>
      </w:r>
      <w:r w:rsidR="00266725" w:rsidRPr="00C52533">
        <w:rPr>
          <w:rtl/>
          <w:lang w:bidi="ar-EG"/>
        </w:rPr>
        <w:t xml:space="preserve"> </w:t>
      </w:r>
      <w:r w:rsidR="00266725" w:rsidRPr="00C52533">
        <w:rPr>
          <w:rFonts w:hint="cs"/>
          <w:rtl/>
          <w:lang w:bidi="ar-EG"/>
        </w:rPr>
        <w:t>الطفل</w:t>
      </w:r>
      <w:r w:rsidR="00266725" w:rsidRPr="00C52533">
        <w:rPr>
          <w:rtl/>
          <w:lang w:bidi="ar-EG"/>
        </w:rPr>
        <w:t xml:space="preserve"> </w:t>
      </w:r>
      <w:r w:rsidR="00266725" w:rsidRPr="00C52533">
        <w:rPr>
          <w:rFonts w:hint="cs"/>
          <w:rtl/>
          <w:lang w:bidi="ar-EG"/>
        </w:rPr>
        <w:t>المتعلق</w:t>
      </w:r>
      <w:r w:rsidR="00266725" w:rsidRPr="00C52533">
        <w:rPr>
          <w:rtl/>
          <w:lang w:bidi="ar-EG"/>
        </w:rPr>
        <w:t xml:space="preserve"> </w:t>
      </w:r>
      <w:r w:rsidR="00266725" w:rsidRPr="00C52533">
        <w:rPr>
          <w:rFonts w:hint="cs"/>
          <w:rtl/>
          <w:lang w:bidi="ar-EG"/>
        </w:rPr>
        <w:t>بإجراء</w:t>
      </w:r>
      <w:r w:rsidR="00266725" w:rsidRPr="00C52533">
        <w:rPr>
          <w:rtl/>
          <w:lang w:bidi="ar-EG"/>
        </w:rPr>
        <w:t xml:space="preserve"> </w:t>
      </w:r>
      <w:r w:rsidR="00266725" w:rsidRPr="00C52533">
        <w:rPr>
          <w:rFonts w:hint="cs"/>
          <w:rtl/>
          <w:lang w:bidi="ar-EG"/>
        </w:rPr>
        <w:t>تقديم</w:t>
      </w:r>
      <w:r w:rsidR="00266725" w:rsidRPr="00C52533">
        <w:rPr>
          <w:rtl/>
          <w:lang w:bidi="ar-EG"/>
        </w:rPr>
        <w:t xml:space="preserve"> </w:t>
      </w:r>
      <w:r w:rsidR="00266725" w:rsidRPr="00C52533">
        <w:rPr>
          <w:rFonts w:hint="cs"/>
          <w:rtl/>
          <w:lang w:bidi="ar-EG"/>
        </w:rPr>
        <w:t>البلاغات</w:t>
      </w:r>
      <w:r w:rsidR="00266725">
        <w:rPr>
          <w:rFonts w:hint="cs"/>
          <w:rtl/>
          <w:lang w:bidi="ar-EG"/>
        </w:rPr>
        <w:t>.</w:t>
      </w:r>
    </w:p>
    <w:p w:rsidR="00266725" w:rsidRDefault="0020632F" w:rsidP="004C3E0C">
      <w:pPr>
        <w:pStyle w:val="SingleTxtGA"/>
        <w:spacing w:line="372" w:lineRule="exact"/>
        <w:rPr>
          <w:rtl/>
          <w:lang w:bidi="ar-EG"/>
        </w:rPr>
      </w:pPr>
      <w:r>
        <w:rPr>
          <w:rFonts w:hint="cs"/>
          <w:rtl/>
        </w:rPr>
        <w:t>(</w:t>
      </w:r>
      <w:r w:rsidR="00266725">
        <w:rPr>
          <w:rFonts w:hint="cs"/>
          <w:rtl/>
        </w:rPr>
        <w:t>33</w:t>
      </w:r>
      <w:r>
        <w:rPr>
          <w:rFonts w:hint="cs"/>
          <w:rtl/>
          <w:lang w:bidi="ar-EG"/>
        </w:rPr>
        <w:t>)</w:t>
      </w:r>
      <w:r w:rsidR="00266725">
        <w:rPr>
          <w:rtl/>
          <w:lang w:bidi="ar-EG"/>
        </w:rPr>
        <w:tab/>
        <w:t>وترجو اللجنة من الدولة الطرف أن تنشر على نطاق واسع، وباللغات المناسبة، التقرير المقدم إلى اللجنة والملاحظات الختامية للجنة، عن طريق المواقع الرسمية على شبكة الإنترنت ووسائط الإعلام والمنظمات غير الحكومية.</w:t>
      </w:r>
    </w:p>
    <w:p w:rsidR="00266725" w:rsidRDefault="0020632F" w:rsidP="004C3E0C">
      <w:pPr>
        <w:pStyle w:val="SingleTxtGA"/>
        <w:spacing w:line="372" w:lineRule="exact"/>
        <w:rPr>
          <w:rFonts w:hint="cs"/>
          <w:rtl/>
          <w:lang w:bidi="ar-EG"/>
        </w:rPr>
      </w:pPr>
      <w:r>
        <w:rPr>
          <w:rFonts w:hint="cs"/>
          <w:rtl/>
          <w:lang w:bidi="ar-EG"/>
        </w:rPr>
        <w:t>(</w:t>
      </w:r>
      <w:r w:rsidR="00266725">
        <w:rPr>
          <w:rtl/>
          <w:lang w:bidi="ar-EG"/>
        </w:rPr>
        <w:t>34</w:t>
      </w:r>
      <w:r>
        <w:rPr>
          <w:rFonts w:hint="cs"/>
          <w:rtl/>
          <w:lang w:bidi="ar-EG"/>
        </w:rPr>
        <w:t>)</w:t>
      </w:r>
      <w:r w:rsidR="00266725">
        <w:rPr>
          <w:rtl/>
          <w:lang w:bidi="ar-EG"/>
        </w:rPr>
        <w:tab/>
        <w:t>والدولة الطرف مدعوة إلى تقديم وثيقتها الأساسية الموحدة وفقاً لشروط إعداد الوثائق الأساسية المشتركة المقررة في المبادئ التوجيهية المنسقة لتقديم التقارير بموجب المعاهدات الدولية لحقوق الإنسان (</w:t>
      </w:r>
      <w:r w:rsidR="00266725">
        <w:rPr>
          <w:lang w:bidi="ar-EG"/>
        </w:rPr>
        <w:t>HRI/GEN.2/Rev.6</w:t>
      </w:r>
      <w:r w:rsidR="00266725">
        <w:rPr>
          <w:rtl/>
          <w:lang w:bidi="ar-EG"/>
        </w:rPr>
        <w:t>)</w:t>
      </w:r>
      <w:r w:rsidR="00266725">
        <w:rPr>
          <w:rFonts w:hint="cs"/>
          <w:rtl/>
          <w:lang w:bidi="ar-EG"/>
        </w:rPr>
        <w:t>.</w:t>
      </w:r>
    </w:p>
    <w:p w:rsidR="00266725" w:rsidRDefault="0020632F" w:rsidP="004C3E0C">
      <w:pPr>
        <w:pStyle w:val="SingleTxtGA"/>
        <w:spacing w:line="372" w:lineRule="exact"/>
        <w:rPr>
          <w:rFonts w:hint="cs"/>
          <w:rtl/>
          <w:lang w:bidi="ar-EG"/>
        </w:rPr>
      </w:pPr>
      <w:r>
        <w:rPr>
          <w:rFonts w:hint="cs"/>
          <w:rtl/>
        </w:rPr>
        <w:t>(</w:t>
      </w:r>
      <w:r w:rsidR="00266725">
        <w:rPr>
          <w:rFonts w:hint="cs"/>
          <w:rtl/>
        </w:rPr>
        <w:t>35</w:t>
      </w:r>
      <w:r>
        <w:rPr>
          <w:rFonts w:hint="cs"/>
          <w:rtl/>
        </w:rPr>
        <w:t>)</w:t>
      </w:r>
      <w:r w:rsidR="00266725" w:rsidRPr="00133788">
        <w:rPr>
          <w:rtl/>
        </w:rPr>
        <w:tab/>
      </w:r>
      <w:r w:rsidR="00266725">
        <w:rPr>
          <w:rFonts w:hint="cs"/>
          <w:rtl/>
        </w:rPr>
        <w:t>وتطلب اللجنة إلى الدولة الطرف أن تقدم بحلول 31 أيار/مايو 2014 معلومات للمتابعة استجابة لتوصيات اللجنة المتعلقة بالآتي</w:t>
      </w:r>
      <w:r w:rsidR="00266725">
        <w:t>:</w:t>
      </w:r>
      <w:r w:rsidR="00266725">
        <w:rPr>
          <w:rFonts w:hint="cs"/>
          <w:rtl/>
          <w:lang w:bidi="ar-EG"/>
        </w:rPr>
        <w:t xml:space="preserve"> (أ) ضمان أو تعزيز حق الاتصال بمحام للأشخاص المحتجزين لدى الشرطة؛ (ب) إجراء تحقيقات عاجلة ومحايدة وفعالة؛ (ج) تقديم إحصاءات عن مقاضاة المشتبه فيهم ومعاقبة مرتكبي التعذيب أو إساءة المعاملة، كما ورد في الفقرات 10 و23 و30 من هذه الملاحظات الختامية. كما تطلب اللجنة معلومات للمتابعة بشأن احتجاز ملتمسي اللجوء والأجانب استناداً إلى قانون الهجرة و</w:t>
      </w:r>
      <w:r w:rsidR="00266725" w:rsidRPr="00820716">
        <w:rPr>
          <w:rFonts w:hint="cs"/>
          <w:rtl/>
          <w:lang w:bidi="ar-EG"/>
        </w:rPr>
        <w:t>الإيداع</w:t>
      </w:r>
      <w:r w:rsidR="00266725" w:rsidRPr="00820716">
        <w:rPr>
          <w:rtl/>
          <w:lang w:bidi="ar-EG"/>
        </w:rPr>
        <w:t xml:space="preserve"> </w:t>
      </w:r>
      <w:r w:rsidR="00266725" w:rsidRPr="00820716">
        <w:rPr>
          <w:rFonts w:hint="cs"/>
          <w:rtl/>
          <w:lang w:bidi="ar-EG"/>
        </w:rPr>
        <w:t>القسري</w:t>
      </w:r>
      <w:r w:rsidR="00266725" w:rsidRPr="00820716">
        <w:rPr>
          <w:rtl/>
          <w:lang w:bidi="ar-EG"/>
        </w:rPr>
        <w:t xml:space="preserve"> </w:t>
      </w:r>
      <w:r w:rsidR="00266725" w:rsidRPr="00820716">
        <w:rPr>
          <w:rFonts w:hint="cs"/>
          <w:rtl/>
          <w:lang w:bidi="ar-EG"/>
        </w:rPr>
        <w:t>في</w:t>
      </w:r>
      <w:r w:rsidR="00266725" w:rsidRPr="00820716">
        <w:rPr>
          <w:rtl/>
          <w:lang w:bidi="ar-EG"/>
        </w:rPr>
        <w:t xml:space="preserve"> </w:t>
      </w:r>
      <w:r w:rsidR="00266725" w:rsidRPr="00820716">
        <w:rPr>
          <w:rFonts w:hint="cs"/>
          <w:rtl/>
          <w:lang w:bidi="ar-EG"/>
        </w:rPr>
        <w:t>إطار</w:t>
      </w:r>
      <w:r w:rsidR="00266725" w:rsidRPr="00820716">
        <w:rPr>
          <w:rtl/>
          <w:lang w:bidi="ar-EG"/>
        </w:rPr>
        <w:t xml:space="preserve"> </w:t>
      </w:r>
      <w:r w:rsidR="00266725" w:rsidRPr="00820716">
        <w:rPr>
          <w:rFonts w:hint="cs"/>
          <w:rtl/>
          <w:lang w:bidi="ar-EG"/>
        </w:rPr>
        <w:t>الرعاية</w:t>
      </w:r>
      <w:r w:rsidR="00266725" w:rsidRPr="00820716">
        <w:rPr>
          <w:rtl/>
          <w:lang w:bidi="ar-EG"/>
        </w:rPr>
        <w:t xml:space="preserve"> </w:t>
      </w:r>
      <w:r w:rsidR="00266725" w:rsidRPr="00820716">
        <w:rPr>
          <w:rFonts w:hint="cs"/>
          <w:rtl/>
          <w:lang w:bidi="ar-EG"/>
        </w:rPr>
        <w:t>الصحية</w:t>
      </w:r>
      <w:r w:rsidR="00266725" w:rsidRPr="00820716">
        <w:rPr>
          <w:rtl/>
          <w:lang w:bidi="ar-EG"/>
        </w:rPr>
        <w:t xml:space="preserve"> </w:t>
      </w:r>
      <w:r w:rsidR="00266725" w:rsidRPr="00820716">
        <w:rPr>
          <w:rFonts w:hint="cs"/>
          <w:rtl/>
          <w:lang w:bidi="ar-EG"/>
        </w:rPr>
        <w:t>للأمراض</w:t>
      </w:r>
      <w:r w:rsidR="00266725" w:rsidRPr="00820716">
        <w:rPr>
          <w:rtl/>
          <w:lang w:bidi="ar-EG"/>
        </w:rPr>
        <w:t xml:space="preserve"> </w:t>
      </w:r>
      <w:r w:rsidR="00266725" w:rsidRPr="00820716">
        <w:rPr>
          <w:rFonts w:hint="cs"/>
          <w:rtl/>
          <w:lang w:bidi="ar-EG"/>
        </w:rPr>
        <w:t>العقلية</w:t>
      </w:r>
      <w:r w:rsidR="00266725">
        <w:rPr>
          <w:rFonts w:hint="cs"/>
          <w:rtl/>
          <w:lang w:bidi="ar-EG"/>
        </w:rPr>
        <w:t>، بما في ذلك "توفير سبل التظلم والانتصاف للضحايا"، كما</w:t>
      </w:r>
      <w:r w:rsidR="00266725">
        <w:rPr>
          <w:rFonts w:hint="eastAsia"/>
          <w:rtl/>
          <w:lang w:bidi="ar-EG"/>
        </w:rPr>
        <w:t> </w:t>
      </w:r>
      <w:r w:rsidR="00266725">
        <w:rPr>
          <w:rFonts w:hint="cs"/>
          <w:rtl/>
          <w:lang w:bidi="ar-EG"/>
        </w:rPr>
        <w:t>ورد في الفقرات 14-17 و21 من هذه الملاحظات الختامية.</w:t>
      </w:r>
    </w:p>
    <w:p w:rsidR="00266725" w:rsidRDefault="0020632F" w:rsidP="0020632F">
      <w:pPr>
        <w:pStyle w:val="SingleTxtGA"/>
        <w:rPr>
          <w:rFonts w:hint="cs"/>
          <w:rtl/>
        </w:rPr>
      </w:pPr>
      <w:r>
        <w:rPr>
          <w:rFonts w:hint="cs"/>
          <w:rtl/>
        </w:rPr>
        <w:t>(</w:t>
      </w:r>
      <w:r w:rsidR="00266725">
        <w:rPr>
          <w:rFonts w:hint="cs"/>
          <w:rtl/>
        </w:rPr>
        <w:t>36</w:t>
      </w:r>
      <w:r>
        <w:rPr>
          <w:rFonts w:hint="cs"/>
          <w:rtl/>
        </w:rPr>
        <w:t>)</w:t>
      </w:r>
      <w:r w:rsidR="00266725" w:rsidRPr="00133788">
        <w:rPr>
          <w:rtl/>
        </w:rPr>
        <w:tab/>
      </w:r>
      <w:r w:rsidR="00266725" w:rsidRPr="00C377DB">
        <w:rPr>
          <w:rFonts w:hint="cs"/>
          <w:rtl/>
        </w:rPr>
        <w:t>والدولة</w:t>
      </w:r>
      <w:r w:rsidR="00266725" w:rsidRPr="00C377DB">
        <w:rPr>
          <w:rtl/>
        </w:rPr>
        <w:t xml:space="preserve"> </w:t>
      </w:r>
      <w:r w:rsidR="00266725" w:rsidRPr="00C377DB">
        <w:rPr>
          <w:rFonts w:hint="cs"/>
          <w:rtl/>
        </w:rPr>
        <w:t>الطرف</w:t>
      </w:r>
      <w:r w:rsidR="00266725" w:rsidRPr="00C377DB">
        <w:rPr>
          <w:rtl/>
        </w:rPr>
        <w:t xml:space="preserve"> </w:t>
      </w:r>
      <w:r w:rsidR="00266725" w:rsidRPr="00C377DB">
        <w:rPr>
          <w:rFonts w:hint="cs"/>
          <w:rtl/>
        </w:rPr>
        <w:t>مدعوة</w:t>
      </w:r>
      <w:r w:rsidR="00266725" w:rsidRPr="00C377DB">
        <w:rPr>
          <w:rtl/>
        </w:rPr>
        <w:t xml:space="preserve"> </w:t>
      </w:r>
      <w:r w:rsidR="00266725" w:rsidRPr="00C377DB">
        <w:rPr>
          <w:rFonts w:hint="cs"/>
          <w:rtl/>
        </w:rPr>
        <w:t>إلى</w:t>
      </w:r>
      <w:r w:rsidR="00266725" w:rsidRPr="00C377DB">
        <w:rPr>
          <w:rtl/>
        </w:rPr>
        <w:t xml:space="preserve"> </w:t>
      </w:r>
      <w:r w:rsidR="00266725" w:rsidRPr="00C377DB">
        <w:rPr>
          <w:rFonts w:hint="cs"/>
          <w:rtl/>
        </w:rPr>
        <w:t>تقديم</w:t>
      </w:r>
      <w:r w:rsidR="00266725" w:rsidRPr="00C377DB">
        <w:rPr>
          <w:rtl/>
        </w:rPr>
        <w:t xml:space="preserve"> </w:t>
      </w:r>
      <w:r w:rsidR="00266725" w:rsidRPr="00C377DB">
        <w:rPr>
          <w:rFonts w:hint="cs"/>
          <w:rtl/>
        </w:rPr>
        <w:t>تقريرها</w:t>
      </w:r>
      <w:r w:rsidR="00266725" w:rsidRPr="00C377DB">
        <w:rPr>
          <w:rtl/>
        </w:rPr>
        <w:t xml:space="preserve"> </w:t>
      </w:r>
      <w:r w:rsidR="00266725" w:rsidRPr="00C377DB">
        <w:rPr>
          <w:rFonts w:hint="cs"/>
          <w:rtl/>
        </w:rPr>
        <w:t>المقبل،</w:t>
      </w:r>
      <w:r w:rsidR="00266725" w:rsidRPr="00C377DB">
        <w:rPr>
          <w:rtl/>
        </w:rPr>
        <w:t xml:space="preserve"> </w:t>
      </w:r>
      <w:r w:rsidR="00266725" w:rsidRPr="00C377DB">
        <w:rPr>
          <w:rFonts w:hint="cs"/>
          <w:rtl/>
        </w:rPr>
        <w:t>الذي</w:t>
      </w:r>
      <w:r w:rsidR="00266725">
        <w:rPr>
          <w:rFonts w:hint="cs"/>
          <w:rtl/>
        </w:rPr>
        <w:t xml:space="preserve"> يتعين أن يغطي كافة أجزاء مملكة هولندا، والذي</w:t>
      </w:r>
      <w:r w:rsidR="00266725" w:rsidRPr="00C377DB">
        <w:rPr>
          <w:rtl/>
        </w:rPr>
        <w:t xml:space="preserve"> </w:t>
      </w:r>
      <w:r w:rsidR="00266725" w:rsidRPr="00C377DB">
        <w:rPr>
          <w:rFonts w:hint="cs"/>
          <w:rtl/>
        </w:rPr>
        <w:t>سيكون</w:t>
      </w:r>
      <w:r w:rsidR="00266725" w:rsidRPr="00C377DB">
        <w:rPr>
          <w:rtl/>
        </w:rPr>
        <w:t xml:space="preserve"> </w:t>
      </w:r>
      <w:r w:rsidR="00266725" w:rsidRPr="00C377DB">
        <w:rPr>
          <w:rFonts w:hint="cs"/>
          <w:rtl/>
        </w:rPr>
        <w:t>تقريرها</w:t>
      </w:r>
      <w:r w:rsidR="00266725" w:rsidRPr="00C377DB">
        <w:rPr>
          <w:rtl/>
        </w:rPr>
        <w:t xml:space="preserve"> </w:t>
      </w:r>
      <w:r w:rsidR="00266725" w:rsidRPr="00C377DB">
        <w:rPr>
          <w:rFonts w:hint="cs"/>
          <w:rtl/>
        </w:rPr>
        <w:t>الدوري</w:t>
      </w:r>
      <w:r w:rsidR="00266725" w:rsidRPr="00C377DB">
        <w:rPr>
          <w:rtl/>
        </w:rPr>
        <w:t xml:space="preserve"> </w:t>
      </w:r>
      <w:r w:rsidR="00266725" w:rsidRPr="00C377DB">
        <w:rPr>
          <w:rFonts w:hint="cs"/>
          <w:rtl/>
        </w:rPr>
        <w:t>السابع،</w:t>
      </w:r>
      <w:r w:rsidR="00266725" w:rsidRPr="00C377DB">
        <w:rPr>
          <w:rtl/>
        </w:rPr>
        <w:t xml:space="preserve"> </w:t>
      </w:r>
      <w:r w:rsidR="00266725" w:rsidRPr="00C377DB">
        <w:rPr>
          <w:rFonts w:hint="cs"/>
          <w:rtl/>
        </w:rPr>
        <w:t>بحلول</w:t>
      </w:r>
      <w:r w:rsidR="00266725">
        <w:rPr>
          <w:rFonts w:hint="cs"/>
          <w:rtl/>
        </w:rPr>
        <w:t xml:space="preserve"> 31 أيار/مايو 2017. ولهذا الغرض، ستقدم اللجنة في الوقت المناسب للدولة الطرف قائمة بالمسائل التي تسبق تقديم التقارير، معتبرة أن الدولة الطرف قد وافقت على تقدم التقارير إلى اللجنة بموجب الإجراء الاختياري لتقديم التقارير.</w:t>
      </w:r>
    </w:p>
    <w:p w:rsidR="00266725" w:rsidRPr="0020632F" w:rsidRDefault="0020632F" w:rsidP="00A83CF9">
      <w:pPr>
        <w:pStyle w:val="SingleTxtGA"/>
        <w:keepNext/>
        <w:keepLines/>
        <w:rPr>
          <w:rFonts w:hint="cs"/>
          <w:b/>
          <w:bCs/>
          <w:rtl/>
        </w:rPr>
      </w:pPr>
      <w:r>
        <w:rPr>
          <w:rFonts w:hint="cs"/>
          <w:rtl/>
        </w:rPr>
        <w:t>75</w:t>
      </w:r>
      <w:r w:rsidR="00E2580D">
        <w:rPr>
          <w:rFonts w:hint="cs"/>
          <w:rtl/>
        </w:rPr>
        <w:t>-</w:t>
      </w:r>
      <w:r>
        <w:rPr>
          <w:rFonts w:hint="cs"/>
          <w:rtl/>
        </w:rPr>
        <w:tab/>
      </w:r>
      <w:r w:rsidR="00E2580D" w:rsidRPr="0020632F">
        <w:rPr>
          <w:rFonts w:hint="cs"/>
          <w:b/>
          <w:bCs/>
          <w:rtl/>
        </w:rPr>
        <w:t>المملكة المتحدة لبريطانيا العظمى و</w:t>
      </w:r>
      <w:r>
        <w:rPr>
          <w:rFonts w:hint="cs"/>
          <w:b/>
          <w:bCs/>
          <w:rtl/>
        </w:rPr>
        <w:t>أ</w:t>
      </w:r>
      <w:r w:rsidR="00E2580D" w:rsidRPr="0020632F">
        <w:rPr>
          <w:rFonts w:hint="cs"/>
          <w:b/>
          <w:bCs/>
          <w:rtl/>
        </w:rPr>
        <w:t>يرلندا الشمالية</w:t>
      </w:r>
    </w:p>
    <w:p w:rsidR="00823B8F" w:rsidRPr="0020632F" w:rsidRDefault="0020632F" w:rsidP="0020632F">
      <w:pPr>
        <w:pStyle w:val="SingleTxtGA"/>
        <w:rPr>
          <w:rFonts w:eastAsia="Calibri"/>
          <w:szCs w:val="36"/>
          <w:lang w:eastAsia="en-GB"/>
        </w:rPr>
      </w:pPr>
      <w:r>
        <w:rPr>
          <w:rFonts w:eastAsia="Calibri" w:hint="cs"/>
          <w:rtl/>
          <w:lang w:eastAsia="en-GB"/>
        </w:rPr>
        <w:t>(</w:t>
      </w:r>
      <w:r w:rsidR="00823B8F">
        <w:rPr>
          <w:rFonts w:eastAsia="Calibri" w:hint="cs"/>
          <w:rtl/>
          <w:lang w:eastAsia="en-GB"/>
        </w:rPr>
        <w:t>1</w:t>
      </w:r>
      <w:r>
        <w:rPr>
          <w:rFonts w:eastAsia="Calibri" w:hint="cs"/>
          <w:rtl/>
          <w:lang w:eastAsia="en-GB"/>
        </w:rPr>
        <w:t>)</w:t>
      </w:r>
      <w:r w:rsidR="00823B8F" w:rsidRPr="00F25249">
        <w:rPr>
          <w:rFonts w:eastAsia="Calibri"/>
          <w:rtl/>
          <w:lang w:eastAsia="en-GB"/>
        </w:rPr>
        <w:tab/>
      </w:r>
      <w:r w:rsidRPr="0020632F">
        <w:rPr>
          <w:rFonts w:eastAsia="Calibri"/>
          <w:rtl/>
          <w:lang w:eastAsia="en-GB"/>
        </w:rPr>
        <w:t>نظرت لجنة مناهضة التعذيب في التقرير الدوري الخامس للمملكة المتحدة لبريطانيا العظمى و</w:t>
      </w:r>
      <w:r>
        <w:rPr>
          <w:rFonts w:eastAsia="Calibri" w:hint="cs"/>
          <w:rtl/>
          <w:lang w:eastAsia="en-GB"/>
        </w:rPr>
        <w:t>أ</w:t>
      </w:r>
      <w:r w:rsidRPr="0020632F">
        <w:rPr>
          <w:rFonts w:eastAsia="Calibri"/>
          <w:rtl/>
          <w:lang w:eastAsia="en-GB"/>
        </w:rPr>
        <w:t>يرلندا الشمالية (</w:t>
      </w:r>
      <w:r w:rsidRPr="0020632F">
        <w:rPr>
          <w:rFonts w:eastAsia="Calibri"/>
          <w:lang w:eastAsia="en-GB"/>
        </w:rPr>
        <w:t>CAT/C/GBR/5</w:t>
      </w:r>
      <w:r w:rsidRPr="0020632F">
        <w:rPr>
          <w:rFonts w:eastAsia="Calibri"/>
          <w:rtl/>
          <w:lang w:eastAsia="en-GB"/>
        </w:rPr>
        <w:t xml:space="preserve">) في جلستيها 1136 و1139 المعقودتين في 7 </w:t>
      </w:r>
      <w:r w:rsidRPr="0020632F">
        <w:rPr>
          <w:rFonts w:eastAsia="Calibri"/>
          <w:spacing w:val="-2"/>
          <w:rtl/>
          <w:lang w:eastAsia="en-GB"/>
        </w:rPr>
        <w:t>و8 أيار/مايو 2013 (</w:t>
      </w:r>
      <w:r w:rsidRPr="0020632F">
        <w:rPr>
          <w:rFonts w:eastAsia="Calibri"/>
          <w:spacing w:val="-2"/>
          <w:lang w:eastAsia="en-GB"/>
        </w:rPr>
        <w:t>CAT/C/SR.1136</w:t>
      </w:r>
      <w:r w:rsidRPr="0020632F">
        <w:rPr>
          <w:rFonts w:eastAsia="Calibri"/>
          <w:spacing w:val="-2"/>
          <w:rtl/>
          <w:lang w:eastAsia="en-GB"/>
        </w:rPr>
        <w:t xml:space="preserve"> و</w:t>
      </w:r>
      <w:r w:rsidRPr="0020632F">
        <w:rPr>
          <w:rFonts w:eastAsia="Calibri"/>
          <w:spacing w:val="-2"/>
          <w:lang w:eastAsia="en-GB"/>
        </w:rPr>
        <w:t>CAT/C/SR.1139</w:t>
      </w:r>
      <w:r w:rsidRPr="0020632F">
        <w:rPr>
          <w:rFonts w:eastAsia="Calibri"/>
          <w:spacing w:val="-2"/>
          <w:rtl/>
          <w:lang w:eastAsia="en-GB"/>
        </w:rPr>
        <w:t>)، واعتمدت في جلستيها 1160</w:t>
      </w:r>
      <w:r>
        <w:rPr>
          <w:rFonts w:eastAsia="Calibri"/>
          <w:rtl/>
          <w:lang w:eastAsia="en-GB"/>
        </w:rPr>
        <w:t xml:space="preserve"> و</w:t>
      </w:r>
      <w:r w:rsidRPr="0020632F">
        <w:rPr>
          <w:rFonts w:eastAsia="Calibri"/>
          <w:rtl/>
          <w:lang w:eastAsia="en-GB"/>
        </w:rPr>
        <w:t>1161 (</w:t>
      </w:r>
      <w:r w:rsidRPr="0020632F">
        <w:rPr>
          <w:rFonts w:eastAsia="Calibri"/>
          <w:lang w:eastAsia="en-GB"/>
        </w:rPr>
        <w:t>CAT/C/SR.1160</w:t>
      </w:r>
      <w:r w:rsidRPr="0020632F">
        <w:rPr>
          <w:rFonts w:eastAsia="Calibri"/>
          <w:rtl/>
          <w:lang w:eastAsia="en-GB"/>
        </w:rPr>
        <w:t xml:space="preserve"> و</w:t>
      </w:r>
      <w:r w:rsidRPr="0020632F">
        <w:rPr>
          <w:rFonts w:eastAsia="Calibri"/>
          <w:lang w:eastAsia="en-GB"/>
        </w:rPr>
        <w:t>CAT/C/SR.1161</w:t>
      </w:r>
      <w:r w:rsidR="00777841">
        <w:rPr>
          <w:rFonts w:eastAsia="Calibri"/>
          <w:rtl/>
          <w:lang w:eastAsia="en-GB"/>
        </w:rPr>
        <w:t xml:space="preserve">)، </w:t>
      </w:r>
      <w:r w:rsidRPr="0020632F">
        <w:rPr>
          <w:rFonts w:eastAsia="Calibri"/>
          <w:rtl/>
          <w:lang w:eastAsia="en-GB"/>
        </w:rPr>
        <w:t>المعقودتين في 27 أيار/مايو 2013، الملاحظات الختامية التالية.</w:t>
      </w:r>
    </w:p>
    <w:p w:rsidR="00823B8F" w:rsidRPr="0020632F" w:rsidRDefault="00A83CF9" w:rsidP="00A83CF9">
      <w:pPr>
        <w:pStyle w:val="H23GA"/>
        <w:tabs>
          <w:tab w:val="left" w:pos="1940"/>
        </w:tabs>
        <w:rPr>
          <w:rFonts w:eastAsia="Calibri" w:hint="cs"/>
        </w:rPr>
      </w:pPr>
      <w:r>
        <w:rPr>
          <w:rFonts w:eastAsia="Calibri" w:hint="cs"/>
          <w:rtl/>
        </w:rPr>
        <w:tab/>
      </w:r>
      <w:r>
        <w:rPr>
          <w:rFonts w:eastAsia="Calibri" w:hint="cs"/>
          <w:rtl/>
        </w:rPr>
        <w:tab/>
      </w:r>
      <w:r w:rsidR="00823B8F" w:rsidRPr="0020632F">
        <w:rPr>
          <w:rFonts w:eastAsia="Calibri" w:hint="cs"/>
          <w:rtl/>
        </w:rPr>
        <w:t>ألف</w:t>
      </w:r>
      <w:r w:rsidR="0020632F">
        <w:rPr>
          <w:rFonts w:eastAsia="Calibri" w:hint="cs"/>
          <w:rtl/>
        </w:rPr>
        <w:t>-</w:t>
      </w:r>
      <w:r w:rsidR="0020632F">
        <w:rPr>
          <w:rFonts w:eastAsia="Calibri" w:hint="cs"/>
          <w:rtl/>
        </w:rPr>
        <w:tab/>
      </w:r>
      <w:r w:rsidR="00823B8F" w:rsidRPr="0020632F">
        <w:rPr>
          <w:rFonts w:eastAsia="Calibri" w:hint="cs"/>
          <w:rtl/>
        </w:rPr>
        <w:t>مقدمة</w:t>
      </w:r>
    </w:p>
    <w:p w:rsidR="00823B8F" w:rsidRPr="0020632F" w:rsidRDefault="0020632F" w:rsidP="0020632F">
      <w:pPr>
        <w:pStyle w:val="SingleTxtGA"/>
        <w:rPr>
          <w:rFonts w:eastAsia="Malgun Gothic"/>
          <w:szCs w:val="36"/>
          <w:lang w:eastAsia="en-GB"/>
        </w:rPr>
      </w:pPr>
      <w:r>
        <w:rPr>
          <w:rFonts w:eastAsia="Malgun Gothic" w:hint="cs"/>
          <w:rtl/>
          <w:lang w:eastAsia="en-GB"/>
        </w:rPr>
        <w:t>(</w:t>
      </w:r>
      <w:r w:rsidR="00823B8F">
        <w:rPr>
          <w:rFonts w:eastAsia="Malgun Gothic" w:hint="cs"/>
          <w:rtl/>
          <w:lang w:eastAsia="en-GB"/>
        </w:rPr>
        <w:t>2</w:t>
      </w:r>
      <w:r>
        <w:rPr>
          <w:rFonts w:eastAsia="Malgun Gothic" w:hint="cs"/>
          <w:rtl/>
          <w:lang w:eastAsia="en-GB"/>
        </w:rPr>
        <w:t>)</w:t>
      </w:r>
      <w:r>
        <w:rPr>
          <w:rFonts w:eastAsia="Malgun Gothic" w:hint="cs"/>
          <w:rtl/>
          <w:lang w:eastAsia="en-GB"/>
        </w:rPr>
        <w:tab/>
      </w:r>
      <w:r w:rsidRPr="0020632F">
        <w:rPr>
          <w:rFonts w:eastAsia="Malgun Gothic"/>
          <w:rtl/>
          <w:lang w:eastAsia="en-GB"/>
        </w:rPr>
        <w:t>ترحب اللجنة بتقديم التقرير الدوري الخامس للمملكة المتحدة، الذي اتبع عموماً المبادئ التوجيهية المتعلقة بشكل التقارير. وتعرب اللجنة عن تقديرها لردود الدولة الطرف الخطية على قائمة المسائل (</w:t>
      </w:r>
      <w:r w:rsidRPr="0020632F">
        <w:rPr>
          <w:rFonts w:eastAsia="Malgun Gothic"/>
          <w:lang w:eastAsia="en-GB"/>
        </w:rPr>
        <w:t>CAT/C/GBR/Q/5/Add.1</w:t>
      </w:r>
      <w:r w:rsidRPr="0020632F">
        <w:rPr>
          <w:rFonts w:eastAsia="Malgun Gothic"/>
          <w:rtl/>
          <w:lang w:eastAsia="en-GB"/>
        </w:rPr>
        <w:t xml:space="preserve"> ومرفقاتها).</w:t>
      </w:r>
    </w:p>
    <w:p w:rsidR="00823B8F" w:rsidRPr="008F467A" w:rsidRDefault="0020632F" w:rsidP="0020632F">
      <w:pPr>
        <w:pStyle w:val="SingleTxtGA"/>
        <w:rPr>
          <w:rFonts w:hint="cs"/>
          <w:rtl/>
          <w:lang w:eastAsia="en-GB"/>
        </w:rPr>
      </w:pPr>
      <w:r>
        <w:rPr>
          <w:rFonts w:hint="cs"/>
          <w:rtl/>
          <w:lang w:eastAsia="en-GB"/>
        </w:rPr>
        <w:t>(</w:t>
      </w:r>
      <w:r w:rsidR="00823B8F">
        <w:rPr>
          <w:rFonts w:hint="cs"/>
          <w:rtl/>
          <w:lang w:eastAsia="en-GB"/>
        </w:rPr>
        <w:t>3</w:t>
      </w:r>
      <w:r>
        <w:rPr>
          <w:rFonts w:hint="cs"/>
          <w:rtl/>
          <w:lang w:eastAsia="en-GB"/>
        </w:rPr>
        <w:t>)</w:t>
      </w:r>
      <w:r>
        <w:rPr>
          <w:rFonts w:hint="cs"/>
          <w:rtl/>
          <w:lang w:eastAsia="en-GB"/>
        </w:rPr>
        <w:tab/>
      </w:r>
      <w:r w:rsidR="00823B8F">
        <w:rPr>
          <w:rFonts w:hint="cs"/>
          <w:rtl/>
          <w:lang w:eastAsia="en-GB"/>
        </w:rPr>
        <w:t xml:space="preserve">وتعرب اللجنة عن تقديرها لما أبداه </w:t>
      </w:r>
      <w:r w:rsidR="00823B8F" w:rsidRPr="008F467A">
        <w:rPr>
          <w:rtl/>
          <w:lang w:eastAsia="en-GB"/>
        </w:rPr>
        <w:t>وفد الدولة الطرف الرفيع المستوى</w:t>
      </w:r>
      <w:r w:rsidR="00823B8F">
        <w:rPr>
          <w:rFonts w:hint="cs"/>
          <w:rtl/>
          <w:lang w:eastAsia="en-GB"/>
        </w:rPr>
        <w:t xml:space="preserve"> من التزام إيجابي وبنَّاء أثناء الحوار، وكذلك لما بذله من جهد من أجل تقديم ردود وافية بشأن القضايا التي أثارها أعضاء اللجنة. </w:t>
      </w:r>
    </w:p>
    <w:p w:rsidR="00823B8F" w:rsidRPr="0020632F" w:rsidRDefault="00A83CF9" w:rsidP="00A83CF9">
      <w:pPr>
        <w:pStyle w:val="H23GA"/>
        <w:tabs>
          <w:tab w:val="left" w:pos="1954"/>
        </w:tabs>
        <w:rPr>
          <w:rFonts w:eastAsia="Calibri" w:hint="cs"/>
        </w:rPr>
      </w:pPr>
      <w:r>
        <w:rPr>
          <w:rFonts w:eastAsia="Calibri" w:hint="cs"/>
          <w:rtl/>
        </w:rPr>
        <w:tab/>
      </w:r>
      <w:r>
        <w:rPr>
          <w:rFonts w:eastAsia="Calibri" w:hint="cs"/>
          <w:rtl/>
        </w:rPr>
        <w:tab/>
      </w:r>
      <w:r w:rsidR="00823B8F" w:rsidRPr="0020632F">
        <w:rPr>
          <w:rFonts w:eastAsia="Calibri" w:hint="cs"/>
          <w:rtl/>
        </w:rPr>
        <w:t>باء</w:t>
      </w:r>
      <w:r w:rsidR="0020632F">
        <w:rPr>
          <w:rFonts w:eastAsia="Calibri" w:hint="cs"/>
          <w:rtl/>
        </w:rPr>
        <w:t>-</w:t>
      </w:r>
      <w:r w:rsidR="0020632F">
        <w:rPr>
          <w:rFonts w:eastAsia="Calibri" w:hint="cs"/>
          <w:rtl/>
        </w:rPr>
        <w:tab/>
      </w:r>
      <w:r w:rsidR="00823B8F" w:rsidRPr="0020632F">
        <w:rPr>
          <w:rFonts w:eastAsia="Calibri" w:hint="cs"/>
          <w:rtl/>
        </w:rPr>
        <w:t>الجوانب الإيجابية</w:t>
      </w:r>
    </w:p>
    <w:p w:rsidR="00823B8F" w:rsidRPr="00DE34B7" w:rsidRDefault="0020632F" w:rsidP="0020632F">
      <w:pPr>
        <w:pStyle w:val="SingleTxtGA"/>
        <w:rPr>
          <w:rFonts w:eastAsia="Calibri" w:hint="cs"/>
          <w:rtl/>
          <w:lang w:eastAsia="en-GB"/>
        </w:rPr>
      </w:pPr>
      <w:r>
        <w:rPr>
          <w:rFonts w:eastAsia="Calibri" w:hint="cs"/>
          <w:rtl/>
          <w:lang w:eastAsia="en-GB"/>
        </w:rPr>
        <w:t>(</w:t>
      </w:r>
      <w:r w:rsidR="00823B8F">
        <w:rPr>
          <w:rFonts w:eastAsia="Calibri" w:hint="cs"/>
          <w:rtl/>
          <w:lang w:eastAsia="en-GB"/>
        </w:rPr>
        <w:t>4</w:t>
      </w:r>
      <w:r>
        <w:rPr>
          <w:rFonts w:eastAsia="Calibri" w:hint="cs"/>
          <w:rtl/>
          <w:lang w:eastAsia="en-GB"/>
        </w:rPr>
        <w:t>)</w:t>
      </w:r>
      <w:r>
        <w:rPr>
          <w:rFonts w:eastAsia="Calibri" w:hint="cs"/>
          <w:rtl/>
          <w:lang w:eastAsia="en-GB"/>
        </w:rPr>
        <w:tab/>
      </w:r>
      <w:r w:rsidR="00823B8F">
        <w:rPr>
          <w:rFonts w:eastAsia="Calibri" w:hint="cs"/>
          <w:rtl/>
          <w:lang w:eastAsia="en-GB"/>
        </w:rPr>
        <w:t xml:space="preserve">تلاحظ اللجنة بارتياح أن الدولة الطرف صدقت على الصكوك الدولية التالية لحقوق الإنسان: </w:t>
      </w:r>
    </w:p>
    <w:p w:rsidR="00823B8F" w:rsidRPr="001131A8" w:rsidRDefault="0020632F" w:rsidP="0020632F">
      <w:pPr>
        <w:pStyle w:val="SingleTxtGA"/>
        <w:rPr>
          <w:rFonts w:eastAsia="Calibri" w:hint="cs"/>
          <w:lang w:eastAsia="en-GB"/>
        </w:rPr>
      </w:pPr>
      <w:r>
        <w:rPr>
          <w:rFonts w:eastAsia="Calibri" w:hint="cs"/>
          <w:rtl/>
          <w:lang w:eastAsia="en-GB"/>
        </w:rPr>
        <w:tab/>
      </w:r>
      <w:r w:rsidR="00823B8F">
        <w:rPr>
          <w:rFonts w:eastAsia="Calibri" w:hint="cs"/>
          <w:rtl/>
          <w:lang w:eastAsia="en-GB"/>
        </w:rPr>
        <w:t>(أ)</w:t>
      </w:r>
      <w:r>
        <w:rPr>
          <w:rFonts w:eastAsia="Calibri" w:hint="cs"/>
          <w:rtl/>
          <w:lang w:eastAsia="en-GB"/>
        </w:rPr>
        <w:tab/>
      </w:r>
      <w:r w:rsidR="00823B8F" w:rsidRPr="001131A8">
        <w:rPr>
          <w:rFonts w:eastAsia="Calibri"/>
          <w:rtl/>
          <w:lang w:eastAsia="en-GB"/>
        </w:rPr>
        <w:t>اتفاقية حقوق الأشخاص ذوي الإعاقة</w:t>
      </w:r>
      <w:r w:rsidR="00823B8F">
        <w:rPr>
          <w:rFonts w:eastAsia="Calibri" w:hint="cs"/>
          <w:rtl/>
          <w:lang w:eastAsia="en-GB"/>
        </w:rPr>
        <w:t>، في عام 2009؛</w:t>
      </w:r>
    </w:p>
    <w:p w:rsidR="00823B8F" w:rsidRPr="00662127" w:rsidRDefault="0020632F" w:rsidP="0020632F">
      <w:pPr>
        <w:pStyle w:val="SingleTxtGA"/>
        <w:rPr>
          <w:rFonts w:eastAsia="Calibri"/>
          <w:rtl/>
          <w:lang w:eastAsia="en-GB"/>
        </w:rPr>
      </w:pPr>
      <w:r>
        <w:rPr>
          <w:rFonts w:eastAsia="Calibri" w:hint="cs"/>
          <w:rtl/>
          <w:lang w:eastAsia="en-GB"/>
        </w:rPr>
        <w:tab/>
      </w:r>
      <w:r w:rsidR="00823B8F">
        <w:rPr>
          <w:rFonts w:eastAsia="Calibri" w:hint="cs"/>
          <w:rtl/>
          <w:lang w:eastAsia="en-GB"/>
        </w:rPr>
        <w:t>(ب)</w:t>
      </w:r>
      <w:r>
        <w:rPr>
          <w:rFonts w:eastAsia="Calibri" w:hint="cs"/>
          <w:rtl/>
          <w:lang w:eastAsia="en-GB"/>
        </w:rPr>
        <w:tab/>
      </w:r>
      <w:r w:rsidR="00823B8F" w:rsidRPr="00662127">
        <w:rPr>
          <w:rFonts w:eastAsia="Calibri"/>
          <w:rtl/>
          <w:lang w:eastAsia="en-GB"/>
        </w:rPr>
        <w:t>البروتوكول الاختياري الملحق باتفاقية حقوق الطفل بشأن بيع الأطفال واستغلال الأطفال في البغاء وفي المواد الإباحية</w:t>
      </w:r>
      <w:r w:rsidR="00823B8F">
        <w:rPr>
          <w:rFonts w:eastAsia="Calibri" w:hint="cs"/>
          <w:rtl/>
          <w:lang w:eastAsia="en-GB"/>
        </w:rPr>
        <w:t>، في عام 2009.</w:t>
      </w:r>
    </w:p>
    <w:p w:rsidR="00823B8F" w:rsidRPr="00DE34B7" w:rsidRDefault="0020632F" w:rsidP="0020632F">
      <w:pPr>
        <w:pStyle w:val="SingleTxtGA"/>
        <w:rPr>
          <w:rFonts w:eastAsia="Calibri" w:hint="cs"/>
          <w:rtl/>
          <w:lang w:eastAsia="en-GB"/>
        </w:rPr>
      </w:pPr>
      <w:r>
        <w:rPr>
          <w:rFonts w:eastAsia="Calibri" w:hint="cs"/>
          <w:rtl/>
          <w:lang w:eastAsia="en-GB"/>
        </w:rPr>
        <w:t>(</w:t>
      </w:r>
      <w:r w:rsidR="00823B8F">
        <w:rPr>
          <w:rFonts w:eastAsia="Calibri" w:hint="cs"/>
          <w:rtl/>
          <w:lang w:eastAsia="en-GB"/>
        </w:rPr>
        <w:t>5</w:t>
      </w:r>
      <w:r>
        <w:rPr>
          <w:rFonts w:eastAsia="Calibri" w:hint="cs"/>
          <w:rtl/>
          <w:lang w:eastAsia="en-GB"/>
        </w:rPr>
        <w:t>)</w:t>
      </w:r>
      <w:r>
        <w:rPr>
          <w:rFonts w:eastAsia="Calibri" w:hint="cs"/>
          <w:rtl/>
          <w:lang w:eastAsia="en-GB"/>
        </w:rPr>
        <w:tab/>
      </w:r>
      <w:r w:rsidR="00823B8F">
        <w:rPr>
          <w:rFonts w:eastAsia="Calibri" w:hint="cs"/>
          <w:rtl/>
          <w:lang w:eastAsia="en-GB"/>
        </w:rPr>
        <w:t>وترحب اللجنة بالتطورات القضائية والجهود المتواصلة في الدولة الطرف من أجل تنقيح تشريعاتها لتنفيذ توصيات اللجنة وتعزيز تنفيذ الاتفاقية بما في ذلك ما يلي:</w:t>
      </w:r>
    </w:p>
    <w:p w:rsidR="00823B8F" w:rsidRPr="00DE34B7" w:rsidRDefault="0020632F" w:rsidP="0020632F">
      <w:pPr>
        <w:pStyle w:val="SingleTxtGA"/>
        <w:rPr>
          <w:rFonts w:hint="cs"/>
          <w:lang w:eastAsia="en-GB"/>
        </w:rPr>
      </w:pPr>
      <w:r w:rsidRPr="0020632F">
        <w:rPr>
          <w:rFonts w:hint="cs"/>
          <w:spacing w:val="-2"/>
          <w:rtl/>
          <w:lang w:eastAsia="en-GB"/>
        </w:rPr>
        <w:tab/>
      </w:r>
      <w:r w:rsidR="00823B8F" w:rsidRPr="0020632F">
        <w:rPr>
          <w:rFonts w:hint="cs"/>
          <w:spacing w:val="-2"/>
          <w:rtl/>
          <w:lang w:eastAsia="en-GB"/>
        </w:rPr>
        <w:t>(أ)</w:t>
      </w:r>
      <w:r w:rsidRPr="0020632F">
        <w:rPr>
          <w:rFonts w:hint="cs"/>
          <w:spacing w:val="-2"/>
          <w:rtl/>
          <w:lang w:eastAsia="en-GB"/>
        </w:rPr>
        <w:tab/>
      </w:r>
      <w:r w:rsidR="00823B8F" w:rsidRPr="0020632F">
        <w:rPr>
          <w:rFonts w:hint="cs"/>
          <w:spacing w:val="-2"/>
          <w:rtl/>
          <w:lang w:eastAsia="en-GB"/>
        </w:rPr>
        <w:t xml:space="preserve">تعديل القانون الخاص بالمحكمة الجنائية الدولية لعام 2001 بموجب المادة 70 </w:t>
      </w:r>
      <w:r w:rsidR="00823B8F">
        <w:rPr>
          <w:rFonts w:hint="cs"/>
          <w:rtl/>
          <w:lang w:eastAsia="en-GB"/>
        </w:rPr>
        <w:t xml:space="preserve">من </w:t>
      </w:r>
      <w:r w:rsidR="00823B8F" w:rsidRPr="00262E8F">
        <w:rPr>
          <w:rtl/>
          <w:lang w:eastAsia="en-GB"/>
        </w:rPr>
        <w:t>قانون قضاة التحقيق والعدل لعام 2009</w:t>
      </w:r>
      <w:r w:rsidR="00823B8F">
        <w:rPr>
          <w:rFonts w:hint="cs"/>
          <w:rtl/>
          <w:lang w:eastAsia="en-GB"/>
        </w:rPr>
        <w:t xml:space="preserve">، التي توسع من نطاق صلاحية محاكم المملكة من حيث </w:t>
      </w:r>
      <w:r w:rsidR="00823B8F" w:rsidRPr="005D1D3C">
        <w:rPr>
          <w:rFonts w:hint="cs"/>
          <w:i/>
          <w:iCs/>
          <w:rtl/>
          <w:lang w:eastAsia="en-GB"/>
        </w:rPr>
        <w:t>الاختصاص الشخصي والاختصاص الزماني</w:t>
      </w:r>
      <w:r w:rsidR="00823B8F">
        <w:rPr>
          <w:rFonts w:hint="cs"/>
          <w:rtl/>
          <w:lang w:eastAsia="en-GB"/>
        </w:rPr>
        <w:t xml:space="preserve"> بجرائم الإبادة وجرائم الحرب والجرائم ضد الإنسانية ليشمل المقيمين في المملكة المتحدة والأفعال المرتكبة في الخارج بعد تار</w:t>
      </w:r>
      <w:r w:rsidR="00777841">
        <w:rPr>
          <w:rFonts w:hint="cs"/>
          <w:rtl/>
          <w:lang w:eastAsia="en-GB"/>
        </w:rPr>
        <w:t>يخ 1 كانون الثاني/يناير 1991؛</w:t>
      </w:r>
    </w:p>
    <w:p w:rsidR="00823B8F" w:rsidRPr="000D2F0C" w:rsidRDefault="0020632F" w:rsidP="0020632F">
      <w:pPr>
        <w:pStyle w:val="SingleTxtGA"/>
        <w:rPr>
          <w:rFonts w:hint="cs"/>
          <w:rtl/>
          <w:lang w:eastAsia="en-GB"/>
        </w:rPr>
      </w:pPr>
      <w:r>
        <w:rPr>
          <w:rFonts w:hint="cs"/>
          <w:rtl/>
          <w:lang w:eastAsia="en-GB"/>
        </w:rPr>
        <w:tab/>
      </w:r>
      <w:r w:rsidR="00823B8F">
        <w:rPr>
          <w:rFonts w:hint="cs"/>
          <w:rtl/>
          <w:lang w:eastAsia="en-GB"/>
        </w:rPr>
        <w:t>(ب)</w:t>
      </w:r>
      <w:r>
        <w:rPr>
          <w:rFonts w:hint="cs"/>
          <w:rtl/>
          <w:lang w:eastAsia="en-GB"/>
        </w:rPr>
        <w:tab/>
      </w:r>
      <w:r w:rsidR="00823B8F">
        <w:rPr>
          <w:rFonts w:hint="cs"/>
          <w:rtl/>
          <w:lang w:eastAsia="en-GB"/>
        </w:rPr>
        <w:t>اعتماد قانون حماية الحريات لعام 2012، الذي يعدل ا</w:t>
      </w:r>
      <w:r w:rsidR="00823B8F" w:rsidRPr="00EB7FEB">
        <w:rPr>
          <w:rtl/>
          <w:lang w:eastAsia="en-GB"/>
        </w:rPr>
        <w:t>لقائمة 8 الملحقة بقانون الإرهاب لعام 2000</w:t>
      </w:r>
      <w:r w:rsidR="00823B8F">
        <w:rPr>
          <w:rFonts w:hint="cs"/>
          <w:rtl/>
          <w:lang w:eastAsia="en-GB"/>
        </w:rPr>
        <w:t xml:space="preserve">، ويقلص المدة </w:t>
      </w:r>
      <w:r w:rsidR="00823B8F" w:rsidRPr="000D2F0C">
        <w:rPr>
          <w:rtl/>
          <w:lang w:eastAsia="en-GB"/>
        </w:rPr>
        <w:t xml:space="preserve">القصوى </w:t>
      </w:r>
      <w:r w:rsidR="00823B8F">
        <w:rPr>
          <w:rFonts w:hint="cs"/>
          <w:rtl/>
          <w:lang w:eastAsia="en-GB"/>
        </w:rPr>
        <w:t>لإيداع</w:t>
      </w:r>
      <w:r w:rsidR="00823B8F" w:rsidRPr="000D2F0C">
        <w:rPr>
          <w:rtl/>
          <w:lang w:eastAsia="en-GB"/>
        </w:rPr>
        <w:t xml:space="preserve"> المشتبه في تورطهم في الإرهاب </w:t>
      </w:r>
      <w:r w:rsidR="00823B8F">
        <w:rPr>
          <w:rFonts w:hint="cs"/>
          <w:rtl/>
          <w:lang w:eastAsia="en-GB"/>
        </w:rPr>
        <w:t>الحبس الاحتياطي من 28 يوما</w:t>
      </w:r>
      <w:r>
        <w:rPr>
          <w:rFonts w:hint="cs"/>
          <w:rtl/>
          <w:lang w:eastAsia="en-GB"/>
        </w:rPr>
        <w:t>ً</w:t>
      </w:r>
      <w:r w:rsidR="00823B8F">
        <w:rPr>
          <w:rFonts w:hint="cs"/>
          <w:rtl/>
          <w:lang w:eastAsia="en-GB"/>
        </w:rPr>
        <w:t xml:space="preserve"> إلى 14 يوما</w:t>
      </w:r>
      <w:r>
        <w:rPr>
          <w:rFonts w:hint="cs"/>
          <w:rtl/>
          <w:lang w:eastAsia="en-GB"/>
        </w:rPr>
        <w:t>ً</w:t>
      </w:r>
      <w:r w:rsidR="00823B8F">
        <w:rPr>
          <w:rFonts w:hint="cs"/>
          <w:rtl/>
          <w:lang w:eastAsia="en-GB"/>
        </w:rPr>
        <w:t xml:space="preserve">؛ </w:t>
      </w:r>
    </w:p>
    <w:p w:rsidR="00823B8F" w:rsidRPr="00DE34B7" w:rsidRDefault="0020632F" w:rsidP="0020632F">
      <w:pPr>
        <w:pStyle w:val="SingleTxtGA"/>
        <w:rPr>
          <w:rFonts w:eastAsia="Calibri" w:hint="cs"/>
          <w:lang w:eastAsia="en-GB"/>
        </w:rPr>
      </w:pPr>
      <w:r>
        <w:rPr>
          <w:rFonts w:eastAsia="Calibri" w:hint="cs"/>
          <w:rtl/>
          <w:lang w:eastAsia="en-GB"/>
        </w:rPr>
        <w:tab/>
      </w:r>
      <w:r w:rsidR="00823B8F">
        <w:rPr>
          <w:rFonts w:eastAsia="Calibri" w:hint="cs"/>
          <w:rtl/>
          <w:lang w:eastAsia="en-GB"/>
        </w:rPr>
        <w:t>(ج)</w:t>
      </w:r>
      <w:r>
        <w:rPr>
          <w:rFonts w:eastAsia="Calibri" w:hint="cs"/>
          <w:rtl/>
          <w:lang w:eastAsia="en-GB"/>
        </w:rPr>
        <w:tab/>
      </w:r>
      <w:r w:rsidR="00823B8F">
        <w:rPr>
          <w:rFonts w:eastAsia="Calibri" w:hint="cs"/>
          <w:rtl/>
          <w:lang w:eastAsia="en-GB"/>
        </w:rPr>
        <w:t xml:space="preserve">الحكم الصادر عن مجلس اللوردات في قضية </w:t>
      </w:r>
      <w:r w:rsidR="00823B8F" w:rsidRPr="00433263">
        <w:rPr>
          <w:rFonts w:eastAsia="Calibri" w:hint="cs"/>
          <w:i/>
          <w:iCs/>
          <w:rtl/>
          <w:lang w:eastAsia="en-GB"/>
        </w:rPr>
        <w:t>أ. وآخرون ضد وزير الداخلية</w:t>
      </w:r>
      <w:r w:rsidR="00823B8F">
        <w:rPr>
          <w:rFonts w:eastAsia="Calibri" w:hint="cs"/>
          <w:rtl/>
          <w:lang w:eastAsia="en-GB"/>
        </w:rPr>
        <w:t xml:space="preserve"> (رقم 2) [2005]، والذي أشار بوضوح إلى أن الأدلة المنتزعة تحت التعذيب غير مقبولة في الإجراءات القانونية؛ </w:t>
      </w:r>
    </w:p>
    <w:p w:rsidR="00823B8F" w:rsidRPr="00DE34B7" w:rsidRDefault="0020632F" w:rsidP="0020632F">
      <w:pPr>
        <w:pStyle w:val="SingleTxtGA"/>
        <w:rPr>
          <w:rFonts w:eastAsia="Calibri" w:hint="cs"/>
          <w:lang w:eastAsia="en-GB"/>
        </w:rPr>
      </w:pPr>
      <w:r>
        <w:rPr>
          <w:rFonts w:eastAsia="Calibri" w:hint="cs"/>
          <w:rtl/>
          <w:lang w:eastAsia="en-GB"/>
        </w:rPr>
        <w:tab/>
      </w:r>
      <w:r w:rsidR="00823B8F">
        <w:rPr>
          <w:rFonts w:eastAsia="Calibri" w:hint="cs"/>
          <w:rtl/>
          <w:lang w:eastAsia="en-GB"/>
        </w:rPr>
        <w:t>(د)</w:t>
      </w:r>
      <w:r>
        <w:rPr>
          <w:rFonts w:eastAsia="Calibri" w:hint="cs"/>
          <w:rtl/>
          <w:lang w:eastAsia="en-GB"/>
        </w:rPr>
        <w:tab/>
      </w:r>
      <w:r w:rsidR="00823B8F">
        <w:rPr>
          <w:rFonts w:eastAsia="Calibri" w:hint="cs"/>
          <w:rtl/>
          <w:lang w:eastAsia="en-GB"/>
        </w:rPr>
        <w:t xml:space="preserve">قانون </w:t>
      </w:r>
      <w:r w:rsidR="00823B8F" w:rsidRPr="00705FA1">
        <w:rPr>
          <w:rFonts w:eastAsia="Calibri"/>
          <w:rtl/>
          <w:lang w:eastAsia="en-GB"/>
        </w:rPr>
        <w:t>الإجراءات الجنائية (</w:t>
      </w:r>
      <w:r w:rsidR="00823B8F">
        <w:rPr>
          <w:rFonts w:eastAsia="Calibri" w:hint="cs"/>
          <w:rtl/>
          <w:lang w:eastAsia="en-GB"/>
        </w:rPr>
        <w:t>المساعدة</w:t>
      </w:r>
      <w:r w:rsidR="00823B8F" w:rsidRPr="00705FA1">
        <w:rPr>
          <w:rFonts w:eastAsia="Calibri"/>
          <w:rtl/>
          <w:lang w:eastAsia="en-GB"/>
        </w:rPr>
        <w:t xml:space="preserve"> القانونية والاحتجاز والاستئناف) (اسكتلندا) لعام 2010، الذي ينص على حق </w:t>
      </w:r>
      <w:r w:rsidR="00823B8F">
        <w:rPr>
          <w:rFonts w:eastAsia="Calibri" w:hint="cs"/>
          <w:rtl/>
          <w:lang w:eastAsia="en-GB"/>
        </w:rPr>
        <w:t xml:space="preserve">الأشخاص المحتجزين في اسكتلندا </w:t>
      </w:r>
      <w:r w:rsidR="00823B8F">
        <w:rPr>
          <w:rFonts w:eastAsia="Calibri"/>
          <w:rtl/>
          <w:lang w:eastAsia="en-GB"/>
        </w:rPr>
        <w:t xml:space="preserve">في </w:t>
      </w:r>
      <w:r w:rsidR="00823B8F">
        <w:rPr>
          <w:rFonts w:eastAsia="Calibri" w:hint="cs"/>
          <w:rtl/>
          <w:lang w:eastAsia="en-GB"/>
        </w:rPr>
        <w:t>الاستعانة ب</w:t>
      </w:r>
      <w:r w:rsidR="00823B8F">
        <w:rPr>
          <w:rFonts w:eastAsia="Calibri"/>
          <w:rtl/>
          <w:lang w:eastAsia="en-GB"/>
        </w:rPr>
        <w:t>محام</w:t>
      </w:r>
      <w:r w:rsidR="00823B8F">
        <w:rPr>
          <w:rFonts w:eastAsia="Calibri" w:hint="cs"/>
          <w:rtl/>
          <w:lang w:eastAsia="en-GB"/>
        </w:rPr>
        <w:t xml:space="preserve">؛ </w:t>
      </w:r>
    </w:p>
    <w:p w:rsidR="00823B8F" w:rsidRPr="0044365A" w:rsidRDefault="0020632F" w:rsidP="0020632F">
      <w:pPr>
        <w:pStyle w:val="SingleTxtGA"/>
        <w:rPr>
          <w:rFonts w:eastAsia="Calibri" w:hint="cs"/>
          <w:rtl/>
          <w:lang w:eastAsia="en-GB"/>
        </w:rPr>
      </w:pPr>
      <w:r>
        <w:rPr>
          <w:rFonts w:eastAsia="Calibri" w:hint="cs"/>
          <w:rtl/>
          <w:lang w:eastAsia="en-GB"/>
        </w:rPr>
        <w:tab/>
      </w:r>
      <w:r w:rsidR="00823B8F">
        <w:rPr>
          <w:rFonts w:eastAsia="Calibri" w:hint="cs"/>
          <w:rtl/>
          <w:lang w:eastAsia="en-GB"/>
        </w:rPr>
        <w:t>(</w:t>
      </w:r>
      <w:r w:rsidRPr="0020632F">
        <w:rPr>
          <w:rFonts w:eastAsia="Calibri" w:hint="cs"/>
          <w:sz w:val="30"/>
          <w:rtl/>
          <w:lang w:eastAsia="en-GB"/>
        </w:rPr>
        <w:t>ﻫ</w:t>
      </w:r>
      <w:r>
        <w:rPr>
          <w:rFonts w:eastAsia="Calibri" w:hint="cs"/>
          <w:rtl/>
          <w:lang w:eastAsia="en-GB"/>
        </w:rPr>
        <w:t>)</w:t>
      </w:r>
      <w:r>
        <w:rPr>
          <w:rFonts w:eastAsia="Calibri" w:hint="cs"/>
          <w:rtl/>
          <w:lang w:eastAsia="en-GB"/>
        </w:rPr>
        <w:tab/>
      </w:r>
      <w:r w:rsidR="00823B8F" w:rsidRPr="0044365A">
        <w:rPr>
          <w:rFonts w:eastAsia="Calibri"/>
          <w:rtl/>
          <w:lang w:eastAsia="en-GB"/>
        </w:rPr>
        <w:t xml:space="preserve">قانون الشرطة والأدلة الجنائية لعام </w:t>
      </w:r>
      <w:r w:rsidR="00823B8F">
        <w:rPr>
          <w:rFonts w:eastAsia="Calibri" w:hint="cs"/>
          <w:rtl/>
          <w:lang w:eastAsia="en-GB"/>
        </w:rPr>
        <w:t>2006</w:t>
      </w:r>
      <w:r w:rsidR="00823B8F" w:rsidRPr="0044365A">
        <w:rPr>
          <w:rFonts w:eastAsia="Calibri"/>
          <w:rtl/>
          <w:lang w:eastAsia="en-GB"/>
        </w:rPr>
        <w:t>،</w:t>
      </w:r>
      <w:r w:rsidR="00823B8F">
        <w:rPr>
          <w:rFonts w:eastAsia="Calibri" w:hint="cs"/>
          <w:rtl/>
          <w:lang w:eastAsia="en-GB"/>
        </w:rPr>
        <w:t xml:space="preserve"> الذي يكرس حق المرء في إبلاغ شخص ما في حالة تعرضه للاعتقال في بيرمودا؛ </w:t>
      </w:r>
    </w:p>
    <w:p w:rsidR="00823B8F" w:rsidRPr="00DE34B7" w:rsidRDefault="0020632F" w:rsidP="00255B48">
      <w:pPr>
        <w:pStyle w:val="SingleTxtGA"/>
        <w:rPr>
          <w:rFonts w:eastAsia="Calibri" w:hint="cs"/>
          <w:lang w:eastAsia="en-GB"/>
        </w:rPr>
      </w:pPr>
      <w:r>
        <w:rPr>
          <w:rFonts w:eastAsia="Calibri" w:hint="cs"/>
          <w:rtl/>
          <w:lang w:eastAsia="en-GB"/>
        </w:rPr>
        <w:tab/>
      </w:r>
      <w:r w:rsidR="00823B8F">
        <w:rPr>
          <w:rFonts w:eastAsia="Calibri" w:hint="cs"/>
          <w:rtl/>
          <w:lang w:eastAsia="en-GB"/>
        </w:rPr>
        <w:t>(و)</w:t>
      </w:r>
      <w:r>
        <w:rPr>
          <w:rFonts w:eastAsia="Calibri" w:hint="cs"/>
          <w:rtl/>
          <w:lang w:eastAsia="en-GB"/>
        </w:rPr>
        <w:tab/>
      </w:r>
      <w:r w:rsidR="00823B8F">
        <w:rPr>
          <w:rFonts w:eastAsia="Calibri" w:hint="cs"/>
          <w:rtl/>
          <w:lang w:eastAsia="en-GB"/>
        </w:rPr>
        <w:t xml:space="preserve">القيام في عام 2007، بإلغاء أحكام محددة وردت في الباب السابع من قانون الإرهاب لعام 2000 بشأن </w:t>
      </w:r>
      <w:r w:rsidR="00255B48">
        <w:rPr>
          <w:rFonts w:eastAsia="Calibri" w:hint="cs"/>
          <w:rtl/>
          <w:lang w:eastAsia="en-GB"/>
        </w:rPr>
        <w:t>أ</w:t>
      </w:r>
      <w:r w:rsidR="00823B8F">
        <w:rPr>
          <w:rFonts w:eastAsia="Calibri" w:hint="cs"/>
          <w:rtl/>
          <w:lang w:eastAsia="en-GB"/>
        </w:rPr>
        <w:t>يرلندا الشمالية، وذلك في إطار برنامج</w:t>
      </w:r>
      <w:r>
        <w:rPr>
          <w:rFonts w:eastAsia="Calibri" w:hint="cs"/>
          <w:rtl/>
          <w:lang w:eastAsia="en-GB"/>
        </w:rPr>
        <w:t xml:space="preserve"> التطبيع في أيرلندا</w:t>
      </w:r>
      <w:r>
        <w:rPr>
          <w:rFonts w:eastAsia="Calibri" w:hint="eastAsia"/>
          <w:rtl/>
          <w:lang w:eastAsia="en-GB"/>
        </w:rPr>
        <w:t> </w:t>
      </w:r>
      <w:r>
        <w:rPr>
          <w:rFonts w:eastAsia="Calibri" w:hint="cs"/>
          <w:rtl/>
          <w:lang w:eastAsia="en-GB"/>
        </w:rPr>
        <w:t>الشمالية؛</w:t>
      </w:r>
    </w:p>
    <w:p w:rsidR="00823B8F" w:rsidRPr="0083368D" w:rsidRDefault="0020632F" w:rsidP="00B95ADB">
      <w:pPr>
        <w:pStyle w:val="SingleTxtGA"/>
        <w:rPr>
          <w:rFonts w:eastAsia="Calibri"/>
          <w:lang w:eastAsia="en-GB"/>
        </w:rPr>
      </w:pPr>
      <w:r>
        <w:rPr>
          <w:rFonts w:eastAsia="Calibri" w:hint="cs"/>
          <w:rtl/>
          <w:lang w:eastAsia="en-GB"/>
        </w:rPr>
        <w:tab/>
      </w:r>
      <w:r w:rsidR="00823B8F">
        <w:rPr>
          <w:rFonts w:eastAsia="Calibri" w:hint="cs"/>
          <w:rtl/>
          <w:lang w:eastAsia="en-GB"/>
        </w:rPr>
        <w:t>(ز)</w:t>
      </w:r>
      <w:r>
        <w:rPr>
          <w:rFonts w:eastAsia="Calibri" w:hint="cs"/>
          <w:rtl/>
          <w:lang w:eastAsia="en-GB"/>
        </w:rPr>
        <w:tab/>
      </w:r>
      <w:r w:rsidR="00823B8F">
        <w:rPr>
          <w:rFonts w:eastAsia="Calibri" w:hint="cs"/>
          <w:rtl/>
          <w:lang w:eastAsia="en-GB"/>
        </w:rPr>
        <w:t>بدء نفاذ الأوامر الدستورية الجديدة التي تكرس الحقوق والحريات الأساسية في جزر فرجن وجزر كايمان وجزر فوكلاند (مالفيناس)</w:t>
      </w:r>
      <w:r w:rsidR="00B95ADB" w:rsidRPr="00A25D78">
        <w:rPr>
          <w:rFonts w:hint="cs"/>
          <w:vertAlign w:val="superscript"/>
          <w:rtl/>
        </w:rPr>
        <w:t>(</w:t>
      </w:r>
      <w:r w:rsidR="00B95ADB" w:rsidRPr="00A25D78">
        <w:rPr>
          <w:rStyle w:val="FootnoteReference"/>
          <w:rtl/>
        </w:rPr>
        <w:footnoteReference w:id="9"/>
      </w:r>
      <w:r w:rsidR="00B95ADB" w:rsidRPr="00A25D78">
        <w:rPr>
          <w:rFonts w:hint="cs"/>
          <w:vertAlign w:val="superscript"/>
          <w:rtl/>
        </w:rPr>
        <w:t>)</w:t>
      </w:r>
      <w:r w:rsidR="00823B8F">
        <w:rPr>
          <w:rFonts w:eastAsia="Calibri" w:hint="cs"/>
          <w:rtl/>
          <w:lang w:eastAsia="en-GB"/>
        </w:rPr>
        <w:t xml:space="preserve"> </w:t>
      </w:r>
      <w:r w:rsidR="00823B8F" w:rsidRPr="0083368D">
        <w:rPr>
          <w:rFonts w:eastAsia="Calibri"/>
          <w:rtl/>
          <w:lang w:eastAsia="en-GB"/>
        </w:rPr>
        <w:t>وسانت هيلينا، وأسانسيون وتريستان دا كونها</w:t>
      </w:r>
      <w:r w:rsidR="00823B8F">
        <w:rPr>
          <w:rFonts w:eastAsia="Calibri" w:hint="cs"/>
          <w:rtl/>
          <w:lang w:eastAsia="en-GB"/>
        </w:rPr>
        <w:t xml:space="preserve"> في عام 2009، وفي </w:t>
      </w:r>
      <w:r w:rsidR="00823B8F" w:rsidRPr="0083368D">
        <w:rPr>
          <w:rFonts w:eastAsia="Calibri"/>
          <w:rtl/>
          <w:lang w:eastAsia="en-GB"/>
        </w:rPr>
        <w:t>جزر تركس وكايكوس</w:t>
      </w:r>
      <w:r w:rsidR="00823B8F">
        <w:rPr>
          <w:rFonts w:eastAsia="Calibri" w:hint="cs"/>
          <w:rtl/>
          <w:lang w:eastAsia="en-GB"/>
        </w:rPr>
        <w:t xml:space="preserve"> في عام 2012؛ </w:t>
      </w:r>
    </w:p>
    <w:p w:rsidR="00823B8F" w:rsidRPr="00B95ADB" w:rsidRDefault="00B95ADB" w:rsidP="00B95ADB">
      <w:pPr>
        <w:pStyle w:val="SingleTxtGA"/>
        <w:rPr>
          <w:rFonts w:eastAsia="Calibri" w:hint="cs"/>
          <w:spacing w:val="-4"/>
          <w:lang w:eastAsia="en-GB"/>
        </w:rPr>
      </w:pPr>
      <w:r w:rsidRPr="00B95ADB">
        <w:rPr>
          <w:rFonts w:eastAsia="Calibri" w:hint="cs"/>
          <w:spacing w:val="-4"/>
          <w:rtl/>
          <w:lang w:eastAsia="en-GB"/>
        </w:rPr>
        <w:tab/>
      </w:r>
      <w:r w:rsidR="00823B8F" w:rsidRPr="00B95ADB">
        <w:rPr>
          <w:rFonts w:eastAsia="Calibri" w:hint="cs"/>
          <w:spacing w:val="-4"/>
          <w:rtl/>
          <w:lang w:eastAsia="en-GB"/>
        </w:rPr>
        <w:t>(ح)</w:t>
      </w:r>
      <w:r w:rsidRPr="00B95ADB">
        <w:rPr>
          <w:rFonts w:eastAsia="Calibri" w:hint="cs"/>
          <w:spacing w:val="-4"/>
          <w:rtl/>
          <w:lang w:eastAsia="en-GB"/>
        </w:rPr>
        <w:tab/>
      </w:r>
      <w:r w:rsidR="00823B8F" w:rsidRPr="00B95ADB">
        <w:rPr>
          <w:rFonts w:eastAsia="Calibri" w:hint="cs"/>
          <w:spacing w:val="-4"/>
          <w:rtl/>
          <w:lang w:eastAsia="en-GB"/>
        </w:rPr>
        <w:t xml:space="preserve">بدء النفاذ في عام 2006 لقانون (غيرنسي) لحقوق الإنسان لعام 2000 وقانون (جيرسي) لحقوق الإنسان لعام 2000 وقانون جزيرة مان لحقوق الإنسان لعام 2001، التي تهدف إلى إدراج أحكام تتعلق بحقوق الإنسان بما في ذلك حظر التعذيب؛ </w:t>
      </w:r>
    </w:p>
    <w:p w:rsidR="00823B8F" w:rsidRPr="00DE34B7" w:rsidRDefault="00B95ADB" w:rsidP="00B95ADB">
      <w:pPr>
        <w:pStyle w:val="SingleTxtGA"/>
        <w:rPr>
          <w:rFonts w:eastAsia="Calibri" w:hint="cs"/>
          <w:rtl/>
          <w:lang w:eastAsia="en-GB"/>
        </w:rPr>
      </w:pPr>
      <w:r>
        <w:rPr>
          <w:rFonts w:eastAsia="Calibri" w:hint="cs"/>
          <w:rtl/>
          <w:lang w:eastAsia="en-GB"/>
        </w:rPr>
        <w:tab/>
      </w:r>
      <w:r w:rsidR="00823B8F">
        <w:rPr>
          <w:rFonts w:eastAsia="Calibri" w:hint="cs"/>
          <w:rtl/>
          <w:lang w:eastAsia="en-GB"/>
        </w:rPr>
        <w:t>(ط)</w:t>
      </w:r>
      <w:r>
        <w:rPr>
          <w:rFonts w:eastAsia="Calibri" w:hint="cs"/>
          <w:rtl/>
          <w:lang w:eastAsia="en-GB"/>
        </w:rPr>
        <w:tab/>
      </w:r>
      <w:r w:rsidR="00823B8F">
        <w:rPr>
          <w:rFonts w:eastAsia="Calibri" w:hint="cs"/>
          <w:rtl/>
          <w:lang w:eastAsia="en-GB"/>
        </w:rPr>
        <w:t>سن قانون (غيرنسي) الجديد للتظلم ضد الشرطة لعام 2008، وسن قانون العدالة الجنائية (أحكام متنوعة) (إقليم غيرنسي) لعام 2</w:t>
      </w:r>
      <w:r>
        <w:rPr>
          <w:rFonts w:eastAsia="Calibri" w:hint="cs"/>
          <w:rtl/>
          <w:lang w:eastAsia="en-GB"/>
        </w:rPr>
        <w:t>006، الذي يعزز حماية الشهود.</w:t>
      </w:r>
    </w:p>
    <w:p w:rsidR="00823B8F" w:rsidRPr="00DE34B7" w:rsidRDefault="00B95ADB" w:rsidP="00B95ADB">
      <w:pPr>
        <w:pStyle w:val="SingleTxtGA"/>
        <w:rPr>
          <w:rFonts w:eastAsia="Calibri" w:hint="cs"/>
          <w:rtl/>
          <w:lang w:eastAsia="en-GB"/>
        </w:rPr>
      </w:pPr>
      <w:r>
        <w:rPr>
          <w:rFonts w:eastAsia="Calibri" w:hint="cs"/>
          <w:rtl/>
          <w:lang w:eastAsia="en-GB"/>
        </w:rPr>
        <w:t>(</w:t>
      </w:r>
      <w:r w:rsidR="00823B8F">
        <w:rPr>
          <w:rFonts w:eastAsia="Calibri" w:hint="cs"/>
          <w:rtl/>
          <w:lang w:eastAsia="en-GB"/>
        </w:rPr>
        <w:t>6</w:t>
      </w:r>
      <w:r>
        <w:rPr>
          <w:rFonts w:eastAsia="Calibri" w:hint="cs"/>
          <w:rtl/>
          <w:lang w:eastAsia="en-GB"/>
        </w:rPr>
        <w:t>)</w:t>
      </w:r>
      <w:r>
        <w:rPr>
          <w:rFonts w:eastAsia="Calibri" w:hint="cs"/>
          <w:rtl/>
          <w:lang w:eastAsia="en-GB"/>
        </w:rPr>
        <w:tab/>
      </w:r>
      <w:r w:rsidR="00823B8F">
        <w:rPr>
          <w:rFonts w:eastAsia="Calibri" w:hint="cs"/>
          <w:rtl/>
          <w:lang w:eastAsia="en-GB"/>
        </w:rPr>
        <w:t>وترحب اللجنة أيضا</w:t>
      </w:r>
      <w:r>
        <w:rPr>
          <w:rFonts w:eastAsia="Calibri" w:hint="cs"/>
          <w:rtl/>
          <w:lang w:eastAsia="en-GB"/>
        </w:rPr>
        <w:t>ً</w:t>
      </w:r>
      <w:r w:rsidR="00823B8F">
        <w:rPr>
          <w:rFonts w:eastAsia="Calibri" w:hint="cs"/>
          <w:rtl/>
          <w:lang w:eastAsia="en-GB"/>
        </w:rPr>
        <w:t xml:space="preserve"> بالإجراءات التي اتخذتها الدولة الطرف لتعديل سياساتها وبرامجها وتدابيرها الإدارية من أجل ضمان حماية حقوق الإنسان أكثر وتنفيذ الاتفاقية، ويشمل ذلك ما يلي: </w:t>
      </w:r>
    </w:p>
    <w:p w:rsidR="00823B8F" w:rsidRPr="00DE34B7" w:rsidRDefault="00B95ADB" w:rsidP="00B95ADB">
      <w:pPr>
        <w:pStyle w:val="SingleTxtGA"/>
        <w:rPr>
          <w:rFonts w:eastAsia="Calibri" w:hint="cs"/>
          <w:lang w:eastAsia="en-GB"/>
        </w:rPr>
      </w:pPr>
      <w:r>
        <w:rPr>
          <w:rFonts w:eastAsia="Calibri" w:hint="cs"/>
          <w:rtl/>
          <w:lang w:eastAsia="en-GB"/>
        </w:rPr>
        <w:tab/>
      </w:r>
      <w:r w:rsidR="00823B8F">
        <w:rPr>
          <w:rFonts w:eastAsia="Calibri" w:hint="cs"/>
          <w:rtl/>
          <w:lang w:eastAsia="en-GB"/>
        </w:rPr>
        <w:t>(أ)</w:t>
      </w:r>
      <w:r>
        <w:rPr>
          <w:rFonts w:eastAsia="Calibri" w:hint="cs"/>
          <w:rtl/>
          <w:lang w:eastAsia="en-GB"/>
        </w:rPr>
        <w:tab/>
      </w:r>
      <w:r w:rsidR="00823B8F">
        <w:rPr>
          <w:rFonts w:eastAsia="Calibri" w:hint="cs"/>
          <w:rtl/>
          <w:lang w:eastAsia="en-GB"/>
        </w:rPr>
        <w:t xml:space="preserve">إنشاء لجنة المساواة وحقوق الإنسان في عام 2007، واللجنة الاسكتلندية لحقوق الإنسان في عام 2008؛ </w:t>
      </w:r>
    </w:p>
    <w:p w:rsidR="00823B8F" w:rsidRPr="00DE34B7" w:rsidRDefault="00B95ADB" w:rsidP="00B95ADB">
      <w:pPr>
        <w:pStyle w:val="SingleTxtGA"/>
        <w:rPr>
          <w:rFonts w:eastAsia="Calibri" w:hint="cs"/>
          <w:lang w:eastAsia="en-GB"/>
        </w:rPr>
      </w:pPr>
      <w:r>
        <w:rPr>
          <w:rFonts w:eastAsia="Calibri" w:hint="cs"/>
          <w:rtl/>
          <w:lang w:eastAsia="en-GB"/>
        </w:rPr>
        <w:tab/>
      </w:r>
      <w:r w:rsidR="00823B8F">
        <w:rPr>
          <w:rFonts w:eastAsia="Calibri" w:hint="cs"/>
          <w:rtl/>
          <w:lang w:eastAsia="en-GB"/>
        </w:rPr>
        <w:t>(ب)</w:t>
      </w:r>
      <w:r>
        <w:rPr>
          <w:rFonts w:eastAsia="Calibri" w:hint="cs"/>
          <w:rtl/>
          <w:lang w:eastAsia="en-GB"/>
        </w:rPr>
        <w:tab/>
      </w:r>
      <w:r w:rsidR="00823B8F">
        <w:rPr>
          <w:rFonts w:eastAsia="Calibri" w:hint="cs"/>
          <w:rtl/>
          <w:lang w:eastAsia="en-GB"/>
        </w:rPr>
        <w:t xml:space="preserve">تعيين أمين مظالم السجناء في </w:t>
      </w:r>
      <w:r>
        <w:rPr>
          <w:rFonts w:eastAsia="Calibri" w:hint="cs"/>
          <w:rtl/>
          <w:lang w:eastAsia="en-GB"/>
        </w:rPr>
        <w:t>أ</w:t>
      </w:r>
      <w:r w:rsidR="00777841">
        <w:rPr>
          <w:rFonts w:eastAsia="Calibri" w:hint="cs"/>
          <w:rtl/>
          <w:lang w:eastAsia="en-GB"/>
        </w:rPr>
        <w:t>يرلندا الشمالية في عام 2005؛</w:t>
      </w:r>
    </w:p>
    <w:p w:rsidR="00823B8F" w:rsidRPr="00B95ADB" w:rsidRDefault="00B95ADB" w:rsidP="00B95ADB">
      <w:pPr>
        <w:pStyle w:val="SingleTxtGA"/>
        <w:rPr>
          <w:rFonts w:eastAsia="Calibri" w:hint="cs"/>
          <w:spacing w:val="-7"/>
          <w:lang w:eastAsia="en-GB"/>
        </w:rPr>
      </w:pPr>
      <w:r w:rsidRPr="00B95ADB">
        <w:rPr>
          <w:rFonts w:eastAsia="Calibri" w:hint="cs"/>
          <w:spacing w:val="-7"/>
          <w:rtl/>
          <w:lang w:eastAsia="en-GB"/>
        </w:rPr>
        <w:tab/>
      </w:r>
      <w:r w:rsidR="00823B8F" w:rsidRPr="00B95ADB">
        <w:rPr>
          <w:rFonts w:eastAsia="Calibri" w:hint="cs"/>
          <w:spacing w:val="-7"/>
          <w:rtl/>
          <w:lang w:eastAsia="en-GB"/>
        </w:rPr>
        <w:t>(ج)</w:t>
      </w:r>
      <w:r w:rsidRPr="00B95ADB">
        <w:rPr>
          <w:rFonts w:eastAsia="Calibri" w:hint="cs"/>
          <w:spacing w:val="-7"/>
          <w:rtl/>
          <w:lang w:eastAsia="en-GB"/>
        </w:rPr>
        <w:tab/>
      </w:r>
      <w:r w:rsidR="00823B8F" w:rsidRPr="00B95ADB">
        <w:rPr>
          <w:rFonts w:eastAsia="Calibri" w:hint="cs"/>
          <w:spacing w:val="-7"/>
          <w:rtl/>
          <w:lang w:eastAsia="en-GB"/>
        </w:rPr>
        <w:t>اعتماد</w:t>
      </w:r>
      <w:r w:rsidR="00823B8F" w:rsidRPr="00B95ADB">
        <w:rPr>
          <w:spacing w:val="-7"/>
          <w:rtl/>
        </w:rPr>
        <w:t xml:space="preserve"> </w:t>
      </w:r>
      <w:r w:rsidR="00823B8F" w:rsidRPr="00B95ADB">
        <w:rPr>
          <w:rFonts w:eastAsia="Calibri" w:hint="cs"/>
          <w:spacing w:val="-7"/>
          <w:rtl/>
          <w:lang w:eastAsia="en-GB"/>
        </w:rPr>
        <w:t xml:space="preserve">استراتيجية </w:t>
      </w:r>
      <w:r w:rsidR="00823B8F" w:rsidRPr="00B95ADB">
        <w:rPr>
          <w:rFonts w:eastAsia="Calibri"/>
          <w:spacing w:val="-7"/>
          <w:rtl/>
          <w:lang w:eastAsia="en-GB"/>
        </w:rPr>
        <w:t>وزارة الخارجية والكومنولث</w:t>
      </w:r>
      <w:r w:rsidR="00823B8F" w:rsidRPr="00B95ADB">
        <w:rPr>
          <w:rFonts w:eastAsia="Calibri" w:hint="cs"/>
          <w:spacing w:val="-7"/>
          <w:rtl/>
          <w:lang w:eastAsia="en-GB"/>
        </w:rPr>
        <w:t xml:space="preserve"> لمنع التعذيب (2011-2015)؛ </w:t>
      </w:r>
    </w:p>
    <w:p w:rsidR="00823B8F" w:rsidRPr="00DE34B7" w:rsidRDefault="00B95ADB" w:rsidP="00A83CF9">
      <w:pPr>
        <w:pStyle w:val="SingleTxtGA"/>
        <w:spacing w:line="370" w:lineRule="exact"/>
        <w:rPr>
          <w:rFonts w:hint="cs"/>
          <w:rtl/>
          <w:lang w:eastAsia="en-GB"/>
        </w:rPr>
      </w:pPr>
      <w:r>
        <w:rPr>
          <w:rFonts w:hint="cs"/>
          <w:rtl/>
          <w:lang w:eastAsia="en-GB"/>
        </w:rPr>
        <w:tab/>
      </w:r>
      <w:r w:rsidR="00823B8F">
        <w:rPr>
          <w:rFonts w:hint="cs"/>
          <w:rtl/>
          <w:lang w:eastAsia="en-GB"/>
        </w:rPr>
        <w:t>(د)</w:t>
      </w:r>
      <w:r>
        <w:rPr>
          <w:rFonts w:hint="cs"/>
          <w:rtl/>
          <w:lang w:eastAsia="en-GB"/>
        </w:rPr>
        <w:tab/>
      </w:r>
      <w:r w:rsidR="00823B8F">
        <w:rPr>
          <w:rFonts w:hint="cs"/>
          <w:rtl/>
          <w:lang w:eastAsia="en-GB"/>
        </w:rPr>
        <w:t xml:space="preserve">إنشاء فريق التحقيقات التاريخية لمراجعة حالات الوفاة في </w:t>
      </w:r>
      <w:r>
        <w:rPr>
          <w:rFonts w:hint="cs"/>
          <w:rtl/>
          <w:lang w:eastAsia="en-GB"/>
        </w:rPr>
        <w:t>أ</w:t>
      </w:r>
      <w:r w:rsidR="00823B8F">
        <w:rPr>
          <w:rFonts w:hint="cs"/>
          <w:rtl/>
          <w:lang w:eastAsia="en-GB"/>
        </w:rPr>
        <w:t>يرلندا الشمالية التي تعزى إلى "الاضطرابات" التي شهدتها الفترة الممتدة من 1968 إلى 1998، وإجراء عدد من التحقيقات العلنية في حال</w:t>
      </w:r>
      <w:r>
        <w:rPr>
          <w:rFonts w:hint="cs"/>
          <w:rtl/>
          <w:lang w:eastAsia="en-GB"/>
        </w:rPr>
        <w:t>ات الوفاة ذات الصلة بالنزاع؛</w:t>
      </w:r>
    </w:p>
    <w:p w:rsidR="00823B8F" w:rsidRPr="00DE34B7" w:rsidRDefault="00B95ADB" w:rsidP="00A83CF9">
      <w:pPr>
        <w:pStyle w:val="SingleTxtGA"/>
        <w:spacing w:line="370" w:lineRule="exact"/>
        <w:rPr>
          <w:rFonts w:eastAsia="Calibri" w:hint="cs"/>
          <w:lang w:eastAsia="en-GB"/>
        </w:rPr>
      </w:pPr>
      <w:r>
        <w:rPr>
          <w:rFonts w:eastAsia="Calibri" w:hint="cs"/>
          <w:rtl/>
          <w:lang w:eastAsia="en-GB"/>
        </w:rPr>
        <w:tab/>
      </w:r>
      <w:r w:rsidR="00823B8F">
        <w:rPr>
          <w:rFonts w:eastAsia="Calibri" w:hint="cs"/>
          <w:rtl/>
          <w:lang w:eastAsia="en-GB"/>
        </w:rPr>
        <w:t>(</w:t>
      </w:r>
      <w:r w:rsidRPr="00B95ADB">
        <w:rPr>
          <w:rFonts w:eastAsia="Calibri" w:hint="cs"/>
          <w:sz w:val="30"/>
          <w:rtl/>
          <w:lang w:eastAsia="en-GB"/>
        </w:rPr>
        <w:t>ﻫ</w:t>
      </w:r>
      <w:r>
        <w:rPr>
          <w:rFonts w:eastAsia="Calibri" w:hint="cs"/>
          <w:rtl/>
          <w:lang w:eastAsia="en-GB"/>
        </w:rPr>
        <w:t>)</w:t>
      </w:r>
      <w:r>
        <w:rPr>
          <w:rFonts w:eastAsia="Calibri" w:hint="cs"/>
          <w:rtl/>
          <w:lang w:eastAsia="en-GB"/>
        </w:rPr>
        <w:tab/>
      </w:r>
      <w:r w:rsidR="00823B8F">
        <w:rPr>
          <w:rFonts w:eastAsia="Calibri" w:hint="cs"/>
          <w:rtl/>
          <w:lang w:eastAsia="en-GB"/>
        </w:rPr>
        <w:t xml:space="preserve">التدابير المتخذة في </w:t>
      </w:r>
      <w:r>
        <w:rPr>
          <w:rFonts w:eastAsia="Calibri" w:hint="cs"/>
          <w:rtl/>
          <w:lang w:eastAsia="en-GB"/>
        </w:rPr>
        <w:t>إنكلترا واسك</w:t>
      </w:r>
      <w:r w:rsidR="00823B8F">
        <w:rPr>
          <w:rFonts w:eastAsia="Calibri" w:hint="cs"/>
          <w:rtl/>
          <w:lang w:eastAsia="en-GB"/>
        </w:rPr>
        <w:t>تلندا و</w:t>
      </w:r>
      <w:r>
        <w:rPr>
          <w:rFonts w:eastAsia="Calibri" w:hint="cs"/>
          <w:rtl/>
          <w:lang w:eastAsia="en-GB"/>
        </w:rPr>
        <w:t>أ</w:t>
      </w:r>
      <w:r w:rsidR="00823B8F">
        <w:rPr>
          <w:rFonts w:eastAsia="Calibri" w:hint="cs"/>
          <w:rtl/>
          <w:lang w:eastAsia="en-GB"/>
        </w:rPr>
        <w:t>يرلندا الشمالية لإصلاح نظام العدالة الجنائية وتحسي</w:t>
      </w:r>
      <w:r>
        <w:rPr>
          <w:rFonts w:eastAsia="Calibri" w:hint="cs"/>
          <w:rtl/>
          <w:lang w:eastAsia="en-GB"/>
        </w:rPr>
        <w:t>ن مرافق السجون في إنكلترا واسك</w:t>
      </w:r>
      <w:r w:rsidR="00823B8F">
        <w:rPr>
          <w:rFonts w:eastAsia="Calibri" w:hint="cs"/>
          <w:rtl/>
          <w:lang w:eastAsia="en-GB"/>
        </w:rPr>
        <w:t xml:space="preserve">تلندا؛ </w:t>
      </w:r>
    </w:p>
    <w:p w:rsidR="00823B8F" w:rsidRPr="00B95ADB" w:rsidRDefault="00B95ADB" w:rsidP="00231234">
      <w:pPr>
        <w:pStyle w:val="SingleTxtGA"/>
        <w:spacing w:line="370" w:lineRule="exact"/>
        <w:rPr>
          <w:rFonts w:eastAsia="Calibri" w:hint="cs"/>
          <w:rtl/>
          <w:lang w:eastAsia="en-GB"/>
        </w:rPr>
      </w:pPr>
      <w:r w:rsidRPr="00B95ADB">
        <w:rPr>
          <w:rFonts w:eastAsia="Calibri" w:hint="cs"/>
          <w:rtl/>
          <w:lang w:eastAsia="en-GB"/>
        </w:rPr>
        <w:tab/>
      </w:r>
      <w:r w:rsidR="00823B8F" w:rsidRPr="00B95ADB">
        <w:rPr>
          <w:rFonts w:eastAsia="Calibri" w:hint="cs"/>
          <w:rtl/>
          <w:lang w:eastAsia="en-GB"/>
        </w:rPr>
        <w:t>(و)</w:t>
      </w:r>
      <w:r w:rsidRPr="00B95ADB">
        <w:rPr>
          <w:rFonts w:eastAsia="Calibri" w:hint="cs"/>
          <w:rtl/>
          <w:lang w:eastAsia="en-GB"/>
        </w:rPr>
        <w:tab/>
      </w:r>
      <w:r w:rsidR="00823B8F" w:rsidRPr="00B95ADB">
        <w:rPr>
          <w:rFonts w:eastAsia="Calibri" w:hint="cs"/>
          <w:rtl/>
          <w:lang w:eastAsia="en-GB"/>
        </w:rPr>
        <w:t xml:space="preserve">اعتماد استراتيجيات لمنع الانتحار وإيذاء النفس في الاحتجاز، من قبيل إجراءات التقييم والرعاية في السجن والعمل الجماعي التي وضعت بين عامي 2005 و2007 في </w:t>
      </w:r>
      <w:r w:rsidR="00231234">
        <w:rPr>
          <w:rFonts w:eastAsia="Calibri" w:hint="cs"/>
          <w:rtl/>
          <w:lang w:eastAsia="en-GB"/>
        </w:rPr>
        <w:t>إ</w:t>
      </w:r>
      <w:r w:rsidR="00823B8F" w:rsidRPr="00B95ADB">
        <w:rPr>
          <w:rFonts w:eastAsia="Calibri" w:hint="cs"/>
          <w:rtl/>
          <w:lang w:eastAsia="en-GB"/>
        </w:rPr>
        <w:t>نكلترا وويلز؛ وال</w:t>
      </w:r>
      <w:r w:rsidR="00823B8F" w:rsidRPr="00B95ADB">
        <w:rPr>
          <w:rFonts w:eastAsia="Calibri"/>
          <w:rtl/>
          <w:lang w:eastAsia="en-GB"/>
        </w:rPr>
        <w:t>استراتيجية</w:t>
      </w:r>
      <w:r w:rsidR="00823B8F" w:rsidRPr="00B95ADB">
        <w:rPr>
          <w:rFonts w:eastAsia="Calibri" w:hint="cs"/>
          <w:rtl/>
          <w:lang w:eastAsia="en-GB"/>
        </w:rPr>
        <w:t xml:space="preserve"> المنقحة ل</w:t>
      </w:r>
      <w:r w:rsidR="00823B8F" w:rsidRPr="00B95ADB">
        <w:rPr>
          <w:rFonts w:eastAsia="Calibri"/>
          <w:rtl/>
          <w:lang w:eastAsia="en-GB"/>
        </w:rPr>
        <w:t xml:space="preserve">إدارة مخاطر الانتحار </w:t>
      </w:r>
      <w:r w:rsidR="00823B8F" w:rsidRPr="00B95ADB">
        <w:rPr>
          <w:rFonts w:eastAsia="Calibri" w:hint="cs"/>
          <w:rtl/>
          <w:lang w:eastAsia="en-GB"/>
        </w:rPr>
        <w:t>(</w:t>
      </w:r>
      <w:r w:rsidR="00823B8F" w:rsidRPr="00B95ADB">
        <w:rPr>
          <w:rFonts w:eastAsia="Calibri"/>
        </w:rPr>
        <w:t>ACT2Care</w:t>
      </w:r>
      <w:r>
        <w:rPr>
          <w:rFonts w:eastAsia="Calibri" w:hint="cs"/>
          <w:rtl/>
          <w:lang w:eastAsia="en-GB"/>
        </w:rPr>
        <w:t>)، التي وضعت عام 2005 في اسك</w:t>
      </w:r>
      <w:r w:rsidR="00823B8F" w:rsidRPr="00B95ADB">
        <w:rPr>
          <w:rFonts w:eastAsia="Calibri" w:hint="cs"/>
          <w:rtl/>
          <w:lang w:eastAsia="en-GB"/>
        </w:rPr>
        <w:t>تلندا؛ فضلا</w:t>
      </w:r>
      <w:r>
        <w:rPr>
          <w:rFonts w:eastAsia="Calibri" w:hint="cs"/>
          <w:rtl/>
          <w:lang w:eastAsia="en-GB"/>
        </w:rPr>
        <w:t>ً</w:t>
      </w:r>
      <w:r w:rsidR="00823B8F" w:rsidRPr="00B95ADB">
        <w:rPr>
          <w:rFonts w:eastAsia="Calibri" w:hint="cs"/>
          <w:rtl/>
          <w:lang w:eastAsia="en-GB"/>
        </w:rPr>
        <w:t xml:space="preserve"> عن إجراءات مساندة السجناء المعرضين للخطر (</w:t>
      </w:r>
      <w:smartTag w:uri="urn:schemas-microsoft-com:office:smarttags" w:element="stockticker">
        <w:r w:rsidR="00823B8F" w:rsidRPr="00B95ADB">
          <w:rPr>
            <w:rFonts w:eastAsia="Calibri"/>
          </w:rPr>
          <w:t>SPAR</w:t>
        </w:r>
      </w:smartTag>
      <w:r w:rsidR="00823B8F" w:rsidRPr="00B95ADB">
        <w:rPr>
          <w:rFonts w:eastAsia="Calibri" w:hint="cs"/>
          <w:rtl/>
          <w:lang w:eastAsia="en-GB"/>
        </w:rPr>
        <w:t xml:space="preserve">)، التي وضعت عام 2009، والسياسة المنقحة لمنع الانتحار وإيذاء النفس، وإجراءات التشغيل القياسية التي صدرت عام 2011 في </w:t>
      </w:r>
      <w:r w:rsidR="00255B48">
        <w:rPr>
          <w:rFonts w:eastAsia="Calibri" w:hint="cs"/>
          <w:rtl/>
          <w:lang w:eastAsia="en-GB"/>
        </w:rPr>
        <w:t>أ</w:t>
      </w:r>
      <w:r w:rsidR="00823B8F" w:rsidRPr="00B95ADB">
        <w:rPr>
          <w:rFonts w:eastAsia="Calibri" w:hint="cs"/>
          <w:rtl/>
          <w:lang w:eastAsia="en-GB"/>
        </w:rPr>
        <w:t xml:space="preserve">يرلندا الشمالية؛ </w:t>
      </w:r>
    </w:p>
    <w:p w:rsidR="00823B8F" w:rsidRPr="00DE34B7" w:rsidRDefault="00B95ADB" w:rsidP="00A83CF9">
      <w:pPr>
        <w:pStyle w:val="SingleTxtGA"/>
        <w:spacing w:line="370" w:lineRule="exact"/>
        <w:rPr>
          <w:rFonts w:eastAsia="Calibri" w:hint="cs"/>
          <w:lang w:eastAsia="en-GB"/>
        </w:rPr>
      </w:pPr>
      <w:r>
        <w:rPr>
          <w:rFonts w:eastAsia="Calibri" w:hint="cs"/>
          <w:rtl/>
          <w:lang w:eastAsia="en-GB"/>
        </w:rPr>
        <w:tab/>
      </w:r>
      <w:r w:rsidR="00823B8F">
        <w:rPr>
          <w:rFonts w:eastAsia="Calibri" w:hint="cs"/>
          <w:rtl/>
          <w:lang w:eastAsia="en-GB"/>
        </w:rPr>
        <w:t>(ز)</w:t>
      </w:r>
      <w:r>
        <w:rPr>
          <w:rFonts w:eastAsia="Calibri" w:hint="cs"/>
          <w:rtl/>
          <w:lang w:eastAsia="en-GB"/>
        </w:rPr>
        <w:tab/>
      </w:r>
      <w:r w:rsidR="00823B8F">
        <w:rPr>
          <w:rFonts w:eastAsia="Calibri" w:hint="cs"/>
          <w:rtl/>
          <w:lang w:eastAsia="en-GB"/>
        </w:rPr>
        <w:t xml:space="preserve">التغييرات التي أدخلت على نظام عدالة الأحداث في </w:t>
      </w:r>
      <w:r>
        <w:rPr>
          <w:rFonts w:eastAsia="Calibri" w:hint="cs"/>
          <w:rtl/>
          <w:lang w:eastAsia="en-GB"/>
        </w:rPr>
        <w:t>إ</w:t>
      </w:r>
      <w:r w:rsidR="00823B8F">
        <w:rPr>
          <w:rFonts w:eastAsia="Calibri" w:hint="cs"/>
          <w:rtl/>
          <w:lang w:eastAsia="en-GB"/>
        </w:rPr>
        <w:t>نكلترا وويلز و</w:t>
      </w:r>
      <w:r>
        <w:rPr>
          <w:rFonts w:eastAsia="Calibri" w:hint="cs"/>
          <w:rtl/>
          <w:lang w:eastAsia="en-GB"/>
        </w:rPr>
        <w:t>أ</w:t>
      </w:r>
      <w:r w:rsidR="00823B8F">
        <w:rPr>
          <w:rFonts w:eastAsia="Calibri" w:hint="cs"/>
          <w:rtl/>
          <w:lang w:eastAsia="en-GB"/>
        </w:rPr>
        <w:t>يرلندا الشمالية بهدف تقليص عدد الأطفال المحتجز</w:t>
      </w:r>
      <w:r>
        <w:rPr>
          <w:rFonts w:eastAsia="Calibri" w:hint="cs"/>
          <w:rtl/>
          <w:lang w:eastAsia="en-GB"/>
        </w:rPr>
        <w:t>ين وتطوير عقوبات خدمة المجتمع؛</w:t>
      </w:r>
    </w:p>
    <w:p w:rsidR="00823B8F" w:rsidRPr="00DE34B7" w:rsidRDefault="00B95ADB" w:rsidP="00A83CF9">
      <w:pPr>
        <w:pStyle w:val="SingleTxtGA"/>
        <w:spacing w:line="370" w:lineRule="exact"/>
        <w:rPr>
          <w:rFonts w:eastAsia="Calibri" w:hint="cs"/>
          <w:lang w:eastAsia="en-GB"/>
        </w:rPr>
      </w:pPr>
      <w:r>
        <w:rPr>
          <w:rFonts w:eastAsia="Calibri" w:hint="cs"/>
          <w:rtl/>
          <w:lang w:eastAsia="en-GB"/>
        </w:rPr>
        <w:tab/>
      </w:r>
      <w:r w:rsidR="00823B8F">
        <w:rPr>
          <w:rFonts w:eastAsia="Calibri" w:hint="cs"/>
          <w:rtl/>
          <w:lang w:eastAsia="en-GB"/>
        </w:rPr>
        <w:t>(ح)</w:t>
      </w:r>
      <w:r>
        <w:rPr>
          <w:rFonts w:eastAsia="Calibri" w:hint="cs"/>
          <w:rtl/>
          <w:lang w:eastAsia="en-GB"/>
        </w:rPr>
        <w:tab/>
      </w:r>
      <w:r w:rsidR="00823B8F">
        <w:rPr>
          <w:rFonts w:eastAsia="Calibri" w:hint="cs"/>
          <w:rtl/>
          <w:lang w:eastAsia="en-GB"/>
        </w:rPr>
        <w:t xml:space="preserve">توسيع نطاق تصديق المملكة المتحدة على البروتوكول الاختياري لاتفاقية مناهضة التعذيب لتشمل جزيرة مان. </w:t>
      </w:r>
    </w:p>
    <w:p w:rsidR="00823B8F" w:rsidRPr="00B95ADB" w:rsidRDefault="00A83CF9" w:rsidP="00A83CF9">
      <w:pPr>
        <w:pStyle w:val="H23GA"/>
        <w:tabs>
          <w:tab w:val="left" w:pos="1940"/>
        </w:tabs>
        <w:spacing w:line="370" w:lineRule="exact"/>
        <w:rPr>
          <w:rFonts w:eastAsia="Calibri" w:hint="cs"/>
        </w:rPr>
      </w:pPr>
      <w:r>
        <w:rPr>
          <w:rFonts w:eastAsia="Calibri" w:hint="cs"/>
          <w:rtl/>
        </w:rPr>
        <w:tab/>
      </w:r>
      <w:r>
        <w:rPr>
          <w:rFonts w:eastAsia="Calibri" w:hint="cs"/>
          <w:rtl/>
        </w:rPr>
        <w:tab/>
      </w:r>
      <w:r w:rsidR="00823B8F" w:rsidRPr="00B95ADB">
        <w:rPr>
          <w:rFonts w:eastAsia="Calibri" w:hint="cs"/>
          <w:rtl/>
        </w:rPr>
        <w:t>جيم-</w:t>
      </w:r>
      <w:r w:rsidR="00B95ADB">
        <w:rPr>
          <w:rFonts w:eastAsia="Calibri" w:hint="cs"/>
          <w:rtl/>
        </w:rPr>
        <w:tab/>
      </w:r>
      <w:r w:rsidR="00823B8F" w:rsidRPr="00B95ADB">
        <w:rPr>
          <w:rFonts w:eastAsia="Calibri" w:hint="cs"/>
          <w:rtl/>
        </w:rPr>
        <w:t xml:space="preserve">دواعي القلق الرئيسية والتوصيات </w:t>
      </w:r>
    </w:p>
    <w:p w:rsidR="00823B8F" w:rsidRPr="00B87FFD" w:rsidRDefault="00B95ADB" w:rsidP="00A83CF9">
      <w:pPr>
        <w:pStyle w:val="H23GA"/>
        <w:spacing w:line="370" w:lineRule="exact"/>
        <w:rPr>
          <w:rFonts w:hint="cs"/>
        </w:rPr>
      </w:pPr>
      <w:r>
        <w:rPr>
          <w:rFonts w:hint="cs"/>
          <w:rtl/>
        </w:rPr>
        <w:tab/>
      </w:r>
      <w:r>
        <w:rPr>
          <w:rFonts w:hint="cs"/>
          <w:rtl/>
        </w:rPr>
        <w:tab/>
      </w:r>
      <w:r w:rsidR="00823B8F" w:rsidRPr="00B87FFD">
        <w:rPr>
          <w:rFonts w:hint="cs"/>
          <w:rtl/>
        </w:rPr>
        <w:t>دمج الاتفاقية في النظام القانوني المحلي</w:t>
      </w:r>
    </w:p>
    <w:p w:rsidR="00823B8F" w:rsidRPr="00100D79" w:rsidRDefault="00B95ADB" w:rsidP="00A83CF9">
      <w:pPr>
        <w:pStyle w:val="SingleTxtGA"/>
        <w:spacing w:line="370" w:lineRule="exact"/>
        <w:rPr>
          <w:rFonts w:eastAsia="Calibri" w:hint="cs"/>
          <w:lang w:eastAsia="en-GB"/>
        </w:rPr>
      </w:pPr>
      <w:r>
        <w:rPr>
          <w:rFonts w:eastAsia="Calibri" w:hint="cs"/>
          <w:rtl/>
          <w:lang w:eastAsia="en-GB"/>
        </w:rPr>
        <w:t>(</w:t>
      </w:r>
      <w:r w:rsidR="00823B8F">
        <w:rPr>
          <w:rFonts w:eastAsia="Calibri" w:hint="cs"/>
          <w:rtl/>
          <w:lang w:eastAsia="en-GB"/>
        </w:rPr>
        <w:t>7</w:t>
      </w:r>
      <w:r>
        <w:rPr>
          <w:rFonts w:eastAsia="Calibri" w:hint="cs"/>
          <w:rtl/>
          <w:lang w:eastAsia="en-GB"/>
        </w:rPr>
        <w:t>)</w:t>
      </w:r>
      <w:r w:rsidR="00823B8F" w:rsidRPr="00100D79">
        <w:rPr>
          <w:rFonts w:eastAsia="Calibri"/>
          <w:rtl/>
          <w:lang w:eastAsia="en-GB"/>
        </w:rPr>
        <w:tab/>
      </w:r>
      <w:r w:rsidR="00823B8F">
        <w:rPr>
          <w:rFonts w:eastAsia="Calibri" w:hint="cs"/>
          <w:rtl/>
          <w:lang w:eastAsia="en-GB"/>
        </w:rPr>
        <w:t>تحيط</w:t>
      </w:r>
      <w:r w:rsidR="00823B8F" w:rsidRPr="00100D79">
        <w:rPr>
          <w:rFonts w:eastAsia="Calibri"/>
          <w:rtl/>
          <w:lang w:eastAsia="en-GB"/>
        </w:rPr>
        <w:t xml:space="preserve"> اللجنة </w:t>
      </w:r>
      <w:r w:rsidR="00823B8F">
        <w:rPr>
          <w:rFonts w:eastAsia="Calibri" w:hint="cs"/>
          <w:rtl/>
          <w:lang w:eastAsia="en-GB"/>
        </w:rPr>
        <w:t>علما</w:t>
      </w:r>
      <w:r>
        <w:rPr>
          <w:rFonts w:eastAsia="Calibri" w:hint="cs"/>
          <w:rtl/>
          <w:lang w:eastAsia="en-GB"/>
        </w:rPr>
        <w:t>ً</w:t>
      </w:r>
      <w:r w:rsidR="00823B8F">
        <w:rPr>
          <w:rFonts w:eastAsia="Calibri" w:hint="cs"/>
          <w:rtl/>
          <w:lang w:eastAsia="en-GB"/>
        </w:rPr>
        <w:t xml:space="preserve"> بموقف الدولة الطرف ومفاده أن قانون حقوق الإنسان يتضمن أحكام الاتفاقية الأوروبية لحقوق الإنسان، بما في ذلك حظر التعذيب الذي تنص عليه. بيد أن اللجنة ترى أن دمج اتفاقية مناهضة التعذيب في تشريعات الدولة الطرف واعتماد تعريف للتعذيب مطابق تماما للمادة 1 من الاتفاقية من شأنه أن يعزز إطار الحماية ويمكِّن الأفراد من الاستظهار بأحكامها مباشرةً أمام المحاكم (المادة 2). </w:t>
      </w:r>
    </w:p>
    <w:p w:rsidR="00823B8F" w:rsidRPr="00B95ADB" w:rsidRDefault="00B95ADB" w:rsidP="00A83CF9">
      <w:pPr>
        <w:pStyle w:val="SingleTxtGA"/>
        <w:spacing w:line="370" w:lineRule="exact"/>
        <w:rPr>
          <w:b/>
          <w:bCs/>
          <w:lang w:eastAsia="en-GB"/>
        </w:rPr>
      </w:pPr>
      <w:r w:rsidRPr="00B95ADB">
        <w:rPr>
          <w:rFonts w:hint="cs"/>
          <w:b/>
          <w:bCs/>
          <w:rtl/>
          <w:lang w:eastAsia="en-GB"/>
        </w:rPr>
        <w:tab/>
      </w:r>
      <w:r w:rsidR="00823B8F" w:rsidRPr="00B95ADB">
        <w:rPr>
          <w:b/>
          <w:bCs/>
          <w:rtl/>
          <w:lang w:eastAsia="en-GB"/>
        </w:rPr>
        <w:t xml:space="preserve">توصي اللجنة </w:t>
      </w:r>
      <w:r w:rsidR="00823B8F" w:rsidRPr="00B95ADB">
        <w:rPr>
          <w:rFonts w:hint="cs"/>
          <w:b/>
          <w:bCs/>
          <w:rtl/>
          <w:lang w:eastAsia="en-GB"/>
        </w:rPr>
        <w:t xml:space="preserve">بأن تدمج </w:t>
      </w:r>
      <w:r w:rsidR="00823B8F" w:rsidRPr="00B95ADB">
        <w:rPr>
          <w:b/>
          <w:bCs/>
          <w:rtl/>
          <w:lang w:eastAsia="en-GB"/>
        </w:rPr>
        <w:t>الدولة الطرف جميع أحكام اتفاقية</w:t>
      </w:r>
      <w:r w:rsidR="00823B8F" w:rsidRPr="00B95ADB">
        <w:rPr>
          <w:rFonts w:hint="cs"/>
          <w:b/>
          <w:bCs/>
          <w:rtl/>
          <w:lang w:eastAsia="en-GB"/>
        </w:rPr>
        <w:t xml:space="preserve"> مناهضة التعذيب في تشريعاتها، وأن ترفع مستوى</w:t>
      </w:r>
      <w:r w:rsidR="00823B8F" w:rsidRPr="00B95ADB">
        <w:rPr>
          <w:b/>
          <w:bCs/>
          <w:rtl/>
          <w:lang w:eastAsia="en-GB"/>
        </w:rPr>
        <w:t xml:space="preserve"> الوعي بأحكامها </w:t>
      </w:r>
      <w:r w:rsidR="00823B8F" w:rsidRPr="00B95ADB">
        <w:rPr>
          <w:rFonts w:hint="cs"/>
          <w:b/>
          <w:bCs/>
          <w:rtl/>
          <w:lang w:eastAsia="en-GB"/>
        </w:rPr>
        <w:t>في أوساط</w:t>
      </w:r>
      <w:r w:rsidR="00823B8F" w:rsidRPr="00B95ADB">
        <w:rPr>
          <w:b/>
          <w:bCs/>
          <w:rtl/>
          <w:lang w:eastAsia="en-GB"/>
        </w:rPr>
        <w:t xml:space="preserve"> أعضاء </w:t>
      </w:r>
      <w:r w:rsidR="00823B8F" w:rsidRPr="00B95ADB">
        <w:rPr>
          <w:rFonts w:hint="cs"/>
          <w:b/>
          <w:bCs/>
          <w:rtl/>
          <w:lang w:eastAsia="en-GB"/>
        </w:rPr>
        <w:t>الجهاز</w:t>
      </w:r>
      <w:r w:rsidR="00823B8F" w:rsidRPr="00B95ADB">
        <w:rPr>
          <w:b/>
          <w:bCs/>
          <w:rtl/>
          <w:lang w:eastAsia="en-GB"/>
        </w:rPr>
        <w:t xml:space="preserve"> القضائي </w:t>
      </w:r>
      <w:r w:rsidR="00823B8F" w:rsidRPr="00B95ADB">
        <w:rPr>
          <w:rFonts w:hint="cs"/>
          <w:b/>
          <w:bCs/>
          <w:rtl/>
          <w:lang w:eastAsia="en-GB"/>
        </w:rPr>
        <w:t>و</w:t>
      </w:r>
      <w:r w:rsidR="00823B8F" w:rsidRPr="00B95ADB">
        <w:rPr>
          <w:b/>
          <w:bCs/>
          <w:rtl/>
          <w:lang w:eastAsia="en-GB"/>
        </w:rPr>
        <w:t>عامة</w:t>
      </w:r>
      <w:r>
        <w:rPr>
          <w:rFonts w:hint="cs"/>
          <w:b/>
          <w:bCs/>
          <w:rtl/>
          <w:lang w:eastAsia="en-GB"/>
        </w:rPr>
        <w:t> </w:t>
      </w:r>
      <w:r w:rsidR="00823B8F" w:rsidRPr="00B95ADB">
        <w:rPr>
          <w:b/>
          <w:bCs/>
          <w:rtl/>
          <w:lang w:eastAsia="en-GB"/>
        </w:rPr>
        <w:t xml:space="preserve">الجمهور. </w:t>
      </w:r>
    </w:p>
    <w:p w:rsidR="00823B8F" w:rsidRPr="00F01173" w:rsidRDefault="00B95ADB" w:rsidP="00A83CF9">
      <w:pPr>
        <w:pStyle w:val="H23GA"/>
        <w:spacing w:line="370" w:lineRule="exact"/>
        <w:rPr>
          <w:rFonts w:hint="cs"/>
        </w:rPr>
      </w:pPr>
      <w:r>
        <w:rPr>
          <w:rFonts w:hint="cs"/>
          <w:rtl/>
        </w:rPr>
        <w:tab/>
      </w:r>
      <w:r>
        <w:rPr>
          <w:rFonts w:hint="cs"/>
          <w:rtl/>
        </w:rPr>
        <w:tab/>
      </w:r>
      <w:r w:rsidR="00823B8F" w:rsidRPr="00F01173">
        <w:rPr>
          <w:rFonts w:hint="cs"/>
          <w:rtl/>
        </w:rPr>
        <w:t>قانون حقوق الإنسان لعام 1998</w:t>
      </w:r>
    </w:p>
    <w:p w:rsidR="00823B8F" w:rsidRPr="00DE34B7" w:rsidRDefault="00B95ADB" w:rsidP="00A83CF9">
      <w:pPr>
        <w:pStyle w:val="SingleTxtGA"/>
        <w:spacing w:line="370" w:lineRule="exact"/>
        <w:rPr>
          <w:rFonts w:eastAsia="Calibri" w:hint="cs"/>
          <w:rtl/>
          <w:lang w:eastAsia="en-GB"/>
        </w:rPr>
      </w:pPr>
      <w:r>
        <w:rPr>
          <w:rFonts w:eastAsia="Calibri" w:hint="cs"/>
          <w:rtl/>
          <w:lang w:eastAsia="en-GB"/>
        </w:rPr>
        <w:t>(</w:t>
      </w:r>
      <w:r w:rsidR="00823B8F">
        <w:rPr>
          <w:rFonts w:eastAsia="Calibri" w:hint="cs"/>
          <w:rtl/>
          <w:lang w:eastAsia="en-GB"/>
        </w:rPr>
        <w:t>8</w:t>
      </w:r>
      <w:r>
        <w:rPr>
          <w:rFonts w:eastAsia="Calibri" w:hint="cs"/>
          <w:rtl/>
          <w:lang w:eastAsia="en-GB"/>
        </w:rPr>
        <w:t>)</w:t>
      </w:r>
      <w:r>
        <w:rPr>
          <w:rFonts w:eastAsia="Calibri" w:hint="cs"/>
          <w:rtl/>
          <w:lang w:eastAsia="en-GB"/>
        </w:rPr>
        <w:tab/>
      </w:r>
      <w:r w:rsidR="00823B8F">
        <w:rPr>
          <w:rFonts w:eastAsia="Calibri" w:hint="cs"/>
          <w:rtl/>
          <w:lang w:eastAsia="en-GB"/>
        </w:rPr>
        <w:t>ترحب اللجنة بتأكيد وفد الدولة الطرف أن أحكام الاتفاقية الأوروبية لحقوق الإنسان ستظل مدرجة في تشريعاتها بغض النظر عن أي قرار يتعلق بشرعة الحقوق. بيد أنها تشعر بالقلق إزاء تعرض قانون حقوق الإنسان لعام 1998 لانتقا</w:t>
      </w:r>
      <w:r w:rsidR="00777841">
        <w:rPr>
          <w:rFonts w:eastAsia="Calibri" w:hint="cs"/>
          <w:rtl/>
          <w:lang w:eastAsia="en-GB"/>
        </w:rPr>
        <w:t>دات من شخصيات عامة (المادة 2).</w:t>
      </w:r>
    </w:p>
    <w:p w:rsidR="00823B8F" w:rsidRPr="00B95ADB" w:rsidRDefault="00B95ADB" w:rsidP="00A83CF9">
      <w:pPr>
        <w:pStyle w:val="SingleTxtGA"/>
        <w:rPr>
          <w:rFonts w:hint="cs"/>
          <w:b/>
          <w:bCs/>
          <w:lang w:eastAsia="en-GB"/>
        </w:rPr>
      </w:pPr>
      <w:r w:rsidRPr="00B95ADB">
        <w:rPr>
          <w:rFonts w:hint="cs"/>
          <w:b/>
          <w:bCs/>
          <w:rtl/>
          <w:lang w:eastAsia="en-GB"/>
        </w:rPr>
        <w:tab/>
      </w:r>
      <w:r w:rsidR="00823B8F" w:rsidRPr="00B95ADB">
        <w:rPr>
          <w:rFonts w:hint="cs"/>
          <w:b/>
          <w:bCs/>
          <w:rtl/>
          <w:lang w:eastAsia="en-GB"/>
        </w:rPr>
        <w:t>ينبغي أن تحرص الدولة الطرف على ألا تضعف البيانات العامة والتغييرات التشريعية كوضع شرعة للحقوق، من مستوى الحماية الدستورية التي يكفلها قانون حقوق الإنسان حاليا فيما يتعلق بحظر ا</w:t>
      </w:r>
      <w:r w:rsidR="00823B8F" w:rsidRPr="00B95ADB">
        <w:rPr>
          <w:b/>
          <w:bCs/>
          <w:rtl/>
          <w:lang w:eastAsia="en-GB"/>
        </w:rPr>
        <w:t>لتعذيب وغيره من أشكال المعاملة أو العقوبة القاسية أو اللاإنسانية أو المهينة</w:t>
      </w:r>
      <w:r w:rsidR="00823B8F" w:rsidRPr="00B95ADB">
        <w:rPr>
          <w:rFonts w:hint="cs"/>
          <w:b/>
          <w:bCs/>
          <w:rtl/>
          <w:lang w:eastAsia="en-GB"/>
        </w:rPr>
        <w:t xml:space="preserve">. </w:t>
      </w:r>
    </w:p>
    <w:p w:rsidR="00823B8F" w:rsidRPr="00B87FFD" w:rsidRDefault="00B95ADB" w:rsidP="00A83CF9">
      <w:pPr>
        <w:pStyle w:val="H23GA"/>
      </w:pPr>
      <w:r>
        <w:rPr>
          <w:rFonts w:hint="cs"/>
          <w:rtl/>
        </w:rPr>
        <w:tab/>
      </w:r>
      <w:r>
        <w:rPr>
          <w:rFonts w:hint="cs"/>
          <w:rtl/>
        </w:rPr>
        <w:tab/>
      </w:r>
      <w:r w:rsidR="00823B8F" w:rsidRPr="00B87FFD">
        <w:rPr>
          <w:rtl/>
        </w:rPr>
        <w:t>الحصانة من الاختصاص المحلي</w:t>
      </w:r>
    </w:p>
    <w:p w:rsidR="00823B8F" w:rsidRPr="00B95ADB" w:rsidRDefault="00B95ADB" w:rsidP="00A83CF9">
      <w:pPr>
        <w:pStyle w:val="SingleTxtGA"/>
        <w:rPr>
          <w:rFonts w:hint="cs"/>
          <w:lang w:eastAsia="en-GB"/>
        </w:rPr>
      </w:pPr>
      <w:r w:rsidRPr="00B95ADB">
        <w:rPr>
          <w:rFonts w:hint="cs"/>
          <w:rtl/>
          <w:lang w:eastAsia="en-GB"/>
        </w:rPr>
        <w:t>(</w:t>
      </w:r>
      <w:r w:rsidR="00823B8F" w:rsidRPr="00B95ADB">
        <w:rPr>
          <w:rFonts w:hint="cs"/>
          <w:rtl/>
          <w:lang w:eastAsia="en-GB"/>
        </w:rPr>
        <w:t>9</w:t>
      </w:r>
      <w:r w:rsidRPr="00B95ADB">
        <w:rPr>
          <w:rFonts w:hint="cs"/>
          <w:rtl/>
          <w:lang w:eastAsia="en-GB"/>
        </w:rPr>
        <w:t>)</w:t>
      </w:r>
      <w:r w:rsidRPr="00B95ADB">
        <w:rPr>
          <w:rFonts w:hint="cs"/>
          <w:rtl/>
          <w:lang w:eastAsia="en-GB"/>
        </w:rPr>
        <w:tab/>
      </w:r>
      <w:r w:rsidR="00823B8F" w:rsidRPr="00B95ADB">
        <w:rPr>
          <w:rFonts w:hint="cs"/>
          <w:rtl/>
          <w:lang w:eastAsia="en-GB"/>
        </w:rPr>
        <w:t xml:space="preserve">تشعر اللجنة بالقلق إزاء موقف الدولة الطرف بشأن </w:t>
      </w:r>
      <w:r w:rsidR="00823B8F" w:rsidRPr="00B95ADB">
        <w:rPr>
          <w:rtl/>
          <w:lang w:eastAsia="en-GB"/>
        </w:rPr>
        <w:t>تطبيق أحكام الاتفاقية خارج حدود الولاية القضائية</w:t>
      </w:r>
      <w:r w:rsidR="00823B8F" w:rsidRPr="00B95ADB">
        <w:rPr>
          <w:rFonts w:hint="cs"/>
          <w:rtl/>
          <w:lang w:eastAsia="en-GB"/>
        </w:rPr>
        <w:t xml:space="preserve">، لا سيما وأنها ترى أن نطاق كل مادة من مواد الاتفاقية "يجب أن ينظر فيه استنادا إلى مقتضياتها" مع أن قواتها المسلحة ملزمة بالتقيد المطلق بحظر التعذيب على نحو ما نصت عليه الاتفاقية </w:t>
      </w:r>
      <w:smartTag w:uri="urn:schemas-microsoft-com:office:smarttags" w:element="stockticker">
        <w:r w:rsidR="00823B8F" w:rsidRPr="00B95ADB">
          <w:rPr>
            <w:lang w:eastAsia="en-GB"/>
          </w:rPr>
          <w:t>CAT</w:t>
        </w:r>
      </w:smartTag>
      <w:r w:rsidR="00823B8F" w:rsidRPr="00B95ADB">
        <w:rPr>
          <w:lang w:eastAsia="en-GB"/>
        </w:rPr>
        <w:t>/C/</w:t>
      </w:r>
      <w:smartTag w:uri="urn:schemas-microsoft-com:office:smarttags" w:element="stockticker">
        <w:r w:rsidR="00823B8F" w:rsidRPr="00B95ADB">
          <w:rPr>
            <w:lang w:eastAsia="en-GB"/>
          </w:rPr>
          <w:t>GBR</w:t>
        </w:r>
      </w:smartTag>
      <w:r w:rsidR="00823B8F" w:rsidRPr="00B95ADB">
        <w:rPr>
          <w:lang w:eastAsia="en-GB"/>
        </w:rPr>
        <w:t>/Q/5/Add.1</w:t>
      </w:r>
      <w:r>
        <w:rPr>
          <w:rFonts w:hint="cs"/>
          <w:rtl/>
          <w:lang w:eastAsia="en-GB"/>
        </w:rPr>
        <w:t>،</w:t>
      </w:r>
      <w:r w:rsidR="00823B8F" w:rsidRPr="00B95ADB">
        <w:rPr>
          <w:rFonts w:hint="cs"/>
          <w:rtl/>
          <w:lang w:eastAsia="en-GB"/>
        </w:rPr>
        <w:t xml:space="preserve"> والفقرة 4-5 (المادة 2)</w:t>
      </w:r>
      <w:r>
        <w:rPr>
          <w:rFonts w:hint="cs"/>
          <w:rtl/>
          <w:lang w:eastAsia="en-GB"/>
        </w:rPr>
        <w:t>.</w:t>
      </w:r>
    </w:p>
    <w:p w:rsidR="00823B8F" w:rsidRPr="00B95ADB" w:rsidRDefault="00B95ADB" w:rsidP="00124AEF">
      <w:pPr>
        <w:pStyle w:val="SingleTxtGA"/>
        <w:rPr>
          <w:rFonts w:hint="cs"/>
          <w:b/>
          <w:bCs/>
          <w:rtl/>
          <w:lang w:eastAsia="en-GB"/>
        </w:rPr>
      </w:pPr>
      <w:r w:rsidRPr="00B95ADB">
        <w:rPr>
          <w:rFonts w:hint="cs"/>
          <w:b/>
          <w:bCs/>
          <w:rtl/>
          <w:lang w:eastAsia="en-GB"/>
        </w:rPr>
        <w:tab/>
      </w:r>
      <w:r w:rsidR="00823B8F" w:rsidRPr="00B95ADB">
        <w:rPr>
          <w:rFonts w:hint="cs"/>
          <w:b/>
          <w:bCs/>
          <w:rtl/>
          <w:lang w:eastAsia="en-GB"/>
        </w:rPr>
        <w:t>تدعو اللجنة الدولة الطرف إلى إعلان اعترافها بأن تطبيق الاتفاقية يشمل جميع الأشخاص الخاضعين لولايتها أو لسيطرتها، بمن فيهم القوات المسلحة والمستشارون العسكريون وغيرهم من موظفي الخدمة المدنية الذين جرى نشرهم في إطار عمليات في الخارج. وإذ تشير</w:t>
      </w:r>
      <w:r>
        <w:rPr>
          <w:rFonts w:hint="cs"/>
          <w:b/>
          <w:bCs/>
          <w:rtl/>
          <w:lang w:eastAsia="en-GB"/>
        </w:rPr>
        <w:t xml:space="preserve"> اللجنة إلى تعليقها العام رقم 2</w:t>
      </w:r>
      <w:r w:rsidR="00823B8F" w:rsidRPr="00B95ADB">
        <w:rPr>
          <w:rFonts w:hint="cs"/>
          <w:b/>
          <w:bCs/>
          <w:rtl/>
          <w:lang w:eastAsia="en-GB"/>
        </w:rPr>
        <w:t>(2008) بشأن تنفيذ الدول الأطراف للمادة 2، فإنها تُذكِّر الدولة الطرف بالتزاماتها باتخاذ إجراءات فعالة لمنع أعمال التعذيب ليس فقط في الإقليم الذي يخضع</w:t>
      </w:r>
      <w:r w:rsidR="00823B8F" w:rsidRPr="00B95ADB">
        <w:rPr>
          <w:b/>
          <w:bCs/>
          <w:rtl/>
          <w:lang w:eastAsia="en-GB"/>
        </w:rPr>
        <w:t xml:space="preserve"> لسيادتها فحسب، وإنما أيضاً "في أي إقليم يخضع لاختصاصها القضائي"</w:t>
      </w:r>
      <w:r w:rsidR="00823B8F" w:rsidRPr="00B95ADB">
        <w:rPr>
          <w:rFonts w:hint="cs"/>
          <w:b/>
          <w:bCs/>
          <w:rtl/>
          <w:lang w:eastAsia="en-GB"/>
        </w:rPr>
        <w:t>، بما في ذلك</w:t>
      </w:r>
      <w:r w:rsidR="00777841">
        <w:rPr>
          <w:b/>
          <w:bCs/>
          <w:rtl/>
          <w:lang w:eastAsia="en-GB"/>
        </w:rPr>
        <w:t xml:space="preserve"> جميع </w:t>
      </w:r>
      <w:r w:rsidR="00823B8F" w:rsidRPr="00B95ADB">
        <w:rPr>
          <w:rFonts w:hint="cs"/>
          <w:b/>
          <w:bCs/>
          <w:rtl/>
          <w:lang w:eastAsia="en-GB"/>
        </w:rPr>
        <w:t xml:space="preserve">المناطق </w:t>
      </w:r>
      <w:r w:rsidR="00823B8F" w:rsidRPr="00B95ADB">
        <w:rPr>
          <w:b/>
          <w:bCs/>
          <w:rtl/>
          <w:lang w:eastAsia="en-GB"/>
        </w:rPr>
        <w:t xml:space="preserve">التي تمارس </w:t>
      </w:r>
      <w:r w:rsidR="00823B8F" w:rsidRPr="00B95ADB">
        <w:rPr>
          <w:rFonts w:hint="cs"/>
          <w:b/>
          <w:bCs/>
          <w:rtl/>
          <w:lang w:eastAsia="en-GB"/>
        </w:rPr>
        <w:t>عليها</w:t>
      </w:r>
      <w:r w:rsidR="00823B8F" w:rsidRPr="00B95ADB">
        <w:rPr>
          <w:b/>
          <w:bCs/>
          <w:rtl/>
          <w:lang w:eastAsia="en-GB"/>
        </w:rPr>
        <w:t xml:space="preserve"> الدولة الطرف</w:t>
      </w:r>
      <w:r w:rsidR="00823B8F" w:rsidRPr="00B95ADB">
        <w:rPr>
          <w:rFonts w:hint="cs"/>
          <w:b/>
          <w:bCs/>
          <w:rtl/>
          <w:lang w:eastAsia="en-GB"/>
        </w:rPr>
        <w:t xml:space="preserve"> سيطرة فعلية</w:t>
      </w:r>
      <w:r w:rsidR="00823B8F" w:rsidRPr="00B95ADB">
        <w:rPr>
          <w:b/>
          <w:bCs/>
          <w:rtl/>
          <w:lang w:eastAsia="en-GB"/>
        </w:rPr>
        <w:t>،</w:t>
      </w:r>
      <w:r w:rsidR="00823B8F" w:rsidRPr="00B95ADB">
        <w:rPr>
          <w:rFonts w:hint="cs"/>
          <w:b/>
          <w:bCs/>
          <w:rtl/>
          <w:lang w:eastAsia="en-GB"/>
        </w:rPr>
        <w:t xml:space="preserve"> سواء بصورة مباشرة أو غير مباشرة، وعلى نحو كلي أو جزئي، وبحكم الواقع أو</w:t>
      </w:r>
      <w:r>
        <w:rPr>
          <w:rFonts w:hint="eastAsia"/>
          <w:b/>
          <w:bCs/>
          <w:rtl/>
          <w:lang w:eastAsia="en-GB"/>
        </w:rPr>
        <w:t> </w:t>
      </w:r>
      <w:r w:rsidR="00823B8F" w:rsidRPr="00B95ADB">
        <w:rPr>
          <w:rFonts w:hint="cs"/>
          <w:b/>
          <w:bCs/>
          <w:rtl/>
          <w:lang w:eastAsia="en-GB"/>
        </w:rPr>
        <w:t>بحكم القانون، وفقا لأحكام القانون الدولي</w:t>
      </w:r>
      <w:r w:rsidR="00124AEF">
        <w:rPr>
          <w:rFonts w:hint="cs"/>
          <w:b/>
          <w:bCs/>
          <w:rtl/>
          <w:lang w:eastAsia="en-GB"/>
        </w:rPr>
        <w:t xml:space="preserve"> </w:t>
      </w:r>
      <w:r w:rsidR="00823B8F" w:rsidRPr="00B95ADB">
        <w:rPr>
          <w:rFonts w:hint="cs"/>
          <w:b/>
          <w:bCs/>
          <w:rtl/>
          <w:lang w:eastAsia="en-GB"/>
        </w:rPr>
        <w:t>(الفقرة 16)</w:t>
      </w:r>
      <w:r w:rsidR="00124AEF">
        <w:rPr>
          <w:rFonts w:hint="cs"/>
          <w:b/>
          <w:bCs/>
          <w:rtl/>
          <w:lang w:eastAsia="en-GB"/>
        </w:rPr>
        <w:t>.</w:t>
      </w:r>
    </w:p>
    <w:p w:rsidR="00823B8F" w:rsidRPr="00B87FFD" w:rsidRDefault="00B95ADB" w:rsidP="00A83CF9">
      <w:pPr>
        <w:pStyle w:val="H23GA"/>
        <w:rPr>
          <w:rFonts w:hint="cs"/>
        </w:rPr>
      </w:pPr>
      <w:r>
        <w:rPr>
          <w:rFonts w:hint="cs"/>
          <w:rtl/>
        </w:rPr>
        <w:tab/>
      </w:r>
      <w:r>
        <w:rPr>
          <w:rFonts w:hint="cs"/>
          <w:rtl/>
        </w:rPr>
        <w:tab/>
      </w:r>
      <w:r w:rsidR="00823B8F" w:rsidRPr="00B87FFD">
        <w:rPr>
          <w:rFonts w:hint="cs"/>
          <w:rtl/>
        </w:rPr>
        <w:t xml:space="preserve">جوانب الغموض في التشريعات </w:t>
      </w:r>
    </w:p>
    <w:p w:rsidR="00823B8F" w:rsidRPr="00B95ADB" w:rsidRDefault="00B95ADB" w:rsidP="00A83CF9">
      <w:pPr>
        <w:pStyle w:val="SingleTxtGA"/>
        <w:rPr>
          <w:rFonts w:hint="cs"/>
          <w:lang w:eastAsia="en-GB"/>
        </w:rPr>
      </w:pPr>
      <w:r w:rsidRPr="00B95ADB">
        <w:rPr>
          <w:rFonts w:hint="cs"/>
          <w:spacing w:val="-2"/>
          <w:rtl/>
          <w:lang w:eastAsia="en-GB"/>
        </w:rPr>
        <w:t>(</w:t>
      </w:r>
      <w:r w:rsidR="00823B8F" w:rsidRPr="00B95ADB">
        <w:rPr>
          <w:rFonts w:hint="cs"/>
          <w:spacing w:val="-2"/>
          <w:rtl/>
          <w:lang w:eastAsia="en-GB"/>
        </w:rPr>
        <w:t>10</w:t>
      </w:r>
      <w:r w:rsidRPr="00B95ADB">
        <w:rPr>
          <w:rFonts w:hint="cs"/>
          <w:spacing w:val="-2"/>
          <w:rtl/>
          <w:lang w:eastAsia="en-GB"/>
        </w:rPr>
        <w:t>)</w:t>
      </w:r>
      <w:r w:rsidRPr="00B95ADB">
        <w:rPr>
          <w:rFonts w:hint="cs"/>
          <w:spacing w:val="-2"/>
          <w:rtl/>
          <w:lang w:eastAsia="en-GB"/>
        </w:rPr>
        <w:tab/>
      </w:r>
      <w:r w:rsidR="00823B8F" w:rsidRPr="00B95ADB">
        <w:rPr>
          <w:rFonts w:hint="cs"/>
          <w:spacing w:val="-2"/>
          <w:rtl/>
          <w:lang w:eastAsia="en-GB"/>
        </w:rPr>
        <w:t>تشعر اللجنة بالقلق إزاء الغموض الذي لا يزال يكتنف تشريعات الدولة الطرف، وهو ما يبدو أنه يوفر "شرطا</w:t>
      </w:r>
      <w:r w:rsidRPr="00B95ADB">
        <w:rPr>
          <w:rFonts w:hint="cs"/>
          <w:spacing w:val="-2"/>
          <w:rtl/>
          <w:lang w:eastAsia="en-GB"/>
        </w:rPr>
        <w:t>ً</w:t>
      </w:r>
      <w:r w:rsidR="00823B8F" w:rsidRPr="00B95ADB">
        <w:rPr>
          <w:rFonts w:hint="cs"/>
          <w:spacing w:val="-2"/>
          <w:rtl/>
          <w:lang w:eastAsia="en-GB"/>
        </w:rPr>
        <w:t xml:space="preserve"> تحوطيا</w:t>
      </w:r>
      <w:r w:rsidRPr="00B95ADB">
        <w:rPr>
          <w:rFonts w:hint="cs"/>
          <w:spacing w:val="-2"/>
          <w:rtl/>
          <w:lang w:eastAsia="en-GB"/>
        </w:rPr>
        <w:t>ً</w:t>
      </w:r>
      <w:r w:rsidR="00823B8F" w:rsidRPr="00B95ADB">
        <w:rPr>
          <w:rFonts w:hint="cs"/>
          <w:spacing w:val="-2"/>
          <w:rtl/>
          <w:lang w:eastAsia="en-GB"/>
        </w:rPr>
        <w:t xml:space="preserve">" فيما يتعلق بتطبيق الحظر المطلق للتعذيب. وتشير بوجه خاص، إلى أنه على الرغم من ملاحظاتها الختامية السابقة </w:t>
      </w:r>
      <w:smartTag w:uri="urn:schemas-microsoft-com:office:smarttags" w:element="stockticker">
        <w:r w:rsidR="00823B8F" w:rsidRPr="00B95ADB">
          <w:rPr>
            <w:spacing w:val="-2"/>
            <w:lang w:eastAsia="en-GB"/>
          </w:rPr>
          <w:t>CAT</w:t>
        </w:r>
      </w:smartTag>
      <w:r w:rsidR="00823B8F" w:rsidRPr="00B95ADB">
        <w:rPr>
          <w:spacing w:val="-2"/>
          <w:lang w:eastAsia="en-GB"/>
        </w:rPr>
        <w:t>/C/CR/33/3)</w:t>
      </w:r>
      <w:r w:rsidRPr="00B95ADB">
        <w:rPr>
          <w:rFonts w:hint="cs"/>
          <w:spacing w:val="-2"/>
          <w:rtl/>
          <w:lang w:eastAsia="en-GB"/>
        </w:rPr>
        <w:t>، الفقرة 4(أ)</w:t>
      </w:r>
      <w:r w:rsidR="00823B8F" w:rsidRPr="00B95ADB">
        <w:rPr>
          <w:rFonts w:hint="cs"/>
          <w:spacing w:val="-2"/>
          <w:rtl/>
          <w:lang w:eastAsia="en-GB"/>
        </w:rPr>
        <w:t>(2))، لم تلغِ ال</w:t>
      </w:r>
      <w:r>
        <w:rPr>
          <w:rFonts w:hint="cs"/>
          <w:spacing w:val="-2"/>
          <w:rtl/>
          <w:lang w:eastAsia="en-GB"/>
        </w:rPr>
        <w:t>دولة الطرف حتى الآن، المادة 134</w:t>
      </w:r>
      <w:r w:rsidR="00823B8F" w:rsidRPr="00B95ADB">
        <w:rPr>
          <w:rFonts w:hint="cs"/>
          <w:spacing w:val="-2"/>
          <w:rtl/>
          <w:lang w:eastAsia="en-GB"/>
        </w:rPr>
        <w:t>(4) و(5) من قانون القضاء الجنائي</w:t>
      </w:r>
      <w:r w:rsidR="00823B8F" w:rsidRPr="00B95ADB">
        <w:rPr>
          <w:rFonts w:hint="cs"/>
          <w:rtl/>
          <w:lang w:eastAsia="en-GB"/>
        </w:rPr>
        <w:t xml:space="preserve"> لعام 1988 التي تجيز للموظف الدفع</w:t>
      </w:r>
      <w:r w:rsidR="00823B8F" w:rsidRPr="00B95ADB">
        <w:rPr>
          <w:rtl/>
          <w:lang w:eastAsia="en-GB"/>
        </w:rPr>
        <w:t xml:space="preserve"> </w:t>
      </w:r>
      <w:r w:rsidR="00823B8F" w:rsidRPr="00B95ADB">
        <w:rPr>
          <w:rFonts w:hint="cs"/>
          <w:rtl/>
          <w:lang w:eastAsia="en-GB"/>
        </w:rPr>
        <w:t>"بشرعية السلطة</w:t>
      </w:r>
      <w:r w:rsidR="00823B8F" w:rsidRPr="00B95ADB">
        <w:rPr>
          <w:rtl/>
          <w:lang w:eastAsia="en-GB"/>
        </w:rPr>
        <w:t xml:space="preserve"> أو بوجود مبرر أو عذر</w:t>
      </w:r>
      <w:r w:rsidR="00823B8F" w:rsidRPr="00B95ADB">
        <w:rPr>
          <w:rFonts w:hint="cs"/>
          <w:rtl/>
          <w:lang w:eastAsia="en-GB"/>
        </w:rPr>
        <w:t xml:space="preserve">" إزاء تهمة </w:t>
      </w:r>
      <w:r w:rsidR="00823B8F" w:rsidRPr="00B95ADB">
        <w:rPr>
          <w:rtl/>
          <w:lang w:eastAsia="en-GB"/>
        </w:rPr>
        <w:t>إلحاق الألم أو العذاب الشديد</w:t>
      </w:r>
      <w:r w:rsidR="00823B8F" w:rsidRPr="00B95ADB">
        <w:rPr>
          <w:rFonts w:hint="cs"/>
          <w:rtl/>
          <w:lang w:eastAsia="en-GB"/>
        </w:rPr>
        <w:t xml:space="preserve"> عمدا، و</w:t>
      </w:r>
      <w:r w:rsidR="00823B8F" w:rsidRPr="00B95ADB">
        <w:rPr>
          <w:rtl/>
          <w:lang w:eastAsia="en-GB"/>
        </w:rPr>
        <w:t>تنص على جواز الدفاع عن فعل يجيزه القانون الأجنبي، حتى وإن كان هذا الفعل مخالفا لقانون الدولة الطرف</w:t>
      </w:r>
      <w:r w:rsidR="00823B8F" w:rsidRPr="00B95ADB">
        <w:rPr>
          <w:rFonts w:hint="cs"/>
          <w:rtl/>
          <w:lang w:eastAsia="en-GB"/>
        </w:rPr>
        <w:t xml:space="preserve"> (المادة 2). </w:t>
      </w:r>
    </w:p>
    <w:p w:rsidR="00823B8F" w:rsidRPr="00B95ADB" w:rsidRDefault="00B95ADB" w:rsidP="004C3E0C">
      <w:pPr>
        <w:pStyle w:val="SingleTxtGA"/>
        <w:rPr>
          <w:b/>
          <w:bCs/>
          <w:lang w:eastAsia="en-GB"/>
        </w:rPr>
      </w:pPr>
      <w:r w:rsidRPr="00B95ADB">
        <w:rPr>
          <w:rFonts w:hint="cs"/>
          <w:b/>
          <w:bCs/>
          <w:rtl/>
          <w:lang w:eastAsia="en-GB"/>
        </w:rPr>
        <w:tab/>
      </w:r>
      <w:r w:rsidR="00823B8F" w:rsidRPr="00B95ADB">
        <w:rPr>
          <w:rFonts w:hint="cs"/>
          <w:b/>
          <w:bCs/>
          <w:rtl/>
          <w:lang w:eastAsia="en-GB"/>
        </w:rPr>
        <w:t>يتعين على الدولة الطرف أن تلغي الما</w:t>
      </w:r>
      <w:r>
        <w:rPr>
          <w:rFonts w:hint="cs"/>
          <w:b/>
          <w:bCs/>
          <w:rtl/>
          <w:lang w:eastAsia="en-GB"/>
        </w:rPr>
        <w:t>دة 134</w:t>
      </w:r>
      <w:r w:rsidR="00823B8F" w:rsidRPr="00B95ADB">
        <w:rPr>
          <w:rFonts w:hint="cs"/>
          <w:b/>
          <w:bCs/>
          <w:rtl/>
          <w:lang w:eastAsia="en-GB"/>
        </w:rPr>
        <w:t>(4) و(5) من قانون القضاء الجنائي لعام 1988 وأن تحرص على تجسيد الحظر المطلق التعذيب في تشريعاتها وفقا</w:t>
      </w:r>
      <w:r w:rsidR="00C1733B">
        <w:rPr>
          <w:rFonts w:hint="cs"/>
          <w:b/>
          <w:bCs/>
          <w:rtl/>
          <w:lang w:eastAsia="en-GB"/>
        </w:rPr>
        <w:t>ً</w:t>
      </w:r>
      <w:r w:rsidR="00823B8F" w:rsidRPr="00B95ADB">
        <w:rPr>
          <w:rFonts w:hint="cs"/>
          <w:b/>
          <w:bCs/>
          <w:rtl/>
          <w:lang w:eastAsia="en-GB"/>
        </w:rPr>
        <w:t xml:space="preserve"> للفقرة 2 من المادة 2 من الاتفاقية التي تنص على عدم جواز </w:t>
      </w:r>
      <w:r w:rsidR="00823B8F" w:rsidRPr="00B95ADB">
        <w:rPr>
          <w:b/>
          <w:bCs/>
          <w:rtl/>
          <w:lang w:eastAsia="en-GB"/>
        </w:rPr>
        <w:t>التذرع بأية ظروف استثنائية كمبرر للتعذيب.</w:t>
      </w:r>
    </w:p>
    <w:p w:rsidR="00823B8F" w:rsidRPr="00B87FFD" w:rsidRDefault="00B95ADB" w:rsidP="00403EEF">
      <w:pPr>
        <w:pStyle w:val="H23GA"/>
        <w:rPr>
          <w:rFonts w:hint="cs"/>
          <w:rtl/>
        </w:rPr>
      </w:pPr>
      <w:r>
        <w:rPr>
          <w:rFonts w:hint="cs"/>
          <w:rtl/>
        </w:rPr>
        <w:tab/>
      </w:r>
      <w:r>
        <w:rPr>
          <w:rFonts w:hint="cs"/>
          <w:rtl/>
        </w:rPr>
        <w:tab/>
      </w:r>
      <w:r w:rsidR="00823B8F" w:rsidRPr="00B87FFD">
        <w:rPr>
          <w:rtl/>
        </w:rPr>
        <w:t xml:space="preserve">التوجيهات </w:t>
      </w:r>
      <w:r w:rsidR="00823B8F" w:rsidRPr="00B87FFD">
        <w:rPr>
          <w:rFonts w:hint="cs"/>
          <w:rtl/>
        </w:rPr>
        <w:t>الموحدة</w:t>
      </w:r>
      <w:r w:rsidR="00823B8F" w:rsidRPr="00B87FFD">
        <w:rPr>
          <w:rtl/>
        </w:rPr>
        <w:t xml:space="preserve"> </w:t>
      </w:r>
      <w:r w:rsidR="00823B8F" w:rsidRPr="00B87FFD">
        <w:rPr>
          <w:rFonts w:hint="cs"/>
          <w:rtl/>
        </w:rPr>
        <w:t>لضباط</w:t>
      </w:r>
      <w:r w:rsidR="00823B8F" w:rsidRPr="00B87FFD">
        <w:rPr>
          <w:rtl/>
        </w:rPr>
        <w:t xml:space="preserve"> المخابرات </w:t>
      </w:r>
      <w:r w:rsidR="00823B8F" w:rsidRPr="00B87FFD">
        <w:rPr>
          <w:rFonts w:hint="cs"/>
          <w:rtl/>
        </w:rPr>
        <w:t>والعسكريين</w:t>
      </w:r>
    </w:p>
    <w:p w:rsidR="00823B8F" w:rsidRPr="00DE34B7" w:rsidRDefault="00B95ADB" w:rsidP="004C3E0C">
      <w:pPr>
        <w:pStyle w:val="SingleTxtGA"/>
        <w:rPr>
          <w:rFonts w:hint="cs"/>
          <w:rtl/>
          <w:lang w:eastAsia="en-GB"/>
        </w:rPr>
      </w:pPr>
      <w:r>
        <w:rPr>
          <w:rFonts w:hint="cs"/>
          <w:rtl/>
          <w:lang w:eastAsia="en-GB"/>
        </w:rPr>
        <w:t>(</w:t>
      </w:r>
      <w:r w:rsidR="00823B8F">
        <w:rPr>
          <w:rFonts w:hint="cs"/>
          <w:rtl/>
          <w:lang w:eastAsia="en-GB"/>
        </w:rPr>
        <w:t>11</w:t>
      </w:r>
      <w:r>
        <w:rPr>
          <w:rFonts w:hint="cs"/>
          <w:rtl/>
          <w:lang w:eastAsia="en-GB"/>
        </w:rPr>
        <w:t>)</w:t>
      </w:r>
      <w:r>
        <w:rPr>
          <w:rFonts w:hint="cs"/>
          <w:rtl/>
          <w:lang w:eastAsia="en-GB"/>
        </w:rPr>
        <w:tab/>
      </w:r>
      <w:r w:rsidR="00823B8F">
        <w:rPr>
          <w:rFonts w:hint="cs"/>
          <w:rtl/>
          <w:lang w:eastAsia="en-GB"/>
        </w:rPr>
        <w:t>ترحب اللجنة بنشر التوجيهات الموحدة لضباط المخابرات والعسكريي</w:t>
      </w:r>
      <w:r w:rsidR="00823B8F">
        <w:rPr>
          <w:rFonts w:hint="eastAsia"/>
          <w:rtl/>
          <w:lang w:eastAsia="en-GB"/>
        </w:rPr>
        <w:t>ن</w:t>
      </w:r>
      <w:r w:rsidR="00823B8F">
        <w:rPr>
          <w:rFonts w:hint="cs"/>
          <w:rtl/>
          <w:lang w:eastAsia="en-GB"/>
        </w:rPr>
        <w:t xml:space="preserve"> بشأن </w:t>
      </w:r>
      <w:r w:rsidR="00823B8F" w:rsidRPr="006D1DBA">
        <w:rPr>
          <w:rtl/>
          <w:lang w:eastAsia="en-GB"/>
        </w:rPr>
        <w:t>الاحتجاز واستجواب المحتجزين في الخارج، وبشأن إرسال المعلومات الاستخباراتية المتعلقة بالمحتجزين وتلقيها</w:t>
      </w:r>
      <w:r w:rsidR="00823B8F">
        <w:rPr>
          <w:rFonts w:hint="cs"/>
          <w:rtl/>
          <w:lang w:eastAsia="en-GB"/>
        </w:rPr>
        <w:t xml:space="preserve"> (التوجيهات الموحدة) في عام 2010، وتعتبرها خطوة هامة باتجاه ضمان الشفافية والمساءلة بشأن ما يتخذه موظفوها في الخارج من إجراءات وعلاقاتهم بأجهزة المخابرات الأجنبية. وترحب اللجنة أيضا</w:t>
      </w:r>
      <w:r w:rsidR="002F691F">
        <w:rPr>
          <w:rFonts w:hint="cs"/>
          <w:rtl/>
          <w:lang w:eastAsia="en-GB"/>
        </w:rPr>
        <w:t>ً</w:t>
      </w:r>
      <w:r w:rsidR="00823B8F">
        <w:rPr>
          <w:rFonts w:hint="cs"/>
          <w:rtl/>
          <w:lang w:eastAsia="en-GB"/>
        </w:rPr>
        <w:t xml:space="preserve"> بتأكيد الوفد أن هذا الإطار "لا يقصد به مطلقا</w:t>
      </w:r>
      <w:r w:rsidR="002F691F">
        <w:rPr>
          <w:rFonts w:hint="cs"/>
          <w:rtl/>
          <w:lang w:eastAsia="en-GB"/>
        </w:rPr>
        <w:t>ً</w:t>
      </w:r>
      <w:r w:rsidR="00823B8F">
        <w:rPr>
          <w:rFonts w:hint="cs"/>
          <w:rtl/>
          <w:lang w:eastAsia="en-GB"/>
        </w:rPr>
        <w:t xml:space="preserve"> السماح باستمرار ممارسة التعذيب" بل "منعه". بيد أنها تشعر بالقلق إزاء جوانب الغموض التي لا تزال تكتنف التوجيهات الموحدة، وهي تشير بوجه خاص، إلى جواز طلب الضمانات في الحالات التي ي</w:t>
      </w:r>
      <w:r w:rsidR="00823B8F" w:rsidRPr="00DD7FA0">
        <w:rPr>
          <w:rFonts w:hint="cs"/>
          <w:rtl/>
          <w:lang w:eastAsia="en-GB"/>
        </w:rPr>
        <w:t xml:space="preserve">كون فيها </w:t>
      </w:r>
      <w:r w:rsidR="00823B8F">
        <w:rPr>
          <w:rFonts w:hint="cs"/>
          <w:rtl/>
          <w:lang w:eastAsia="en-GB"/>
        </w:rPr>
        <w:t>خطر</w:t>
      </w:r>
      <w:r w:rsidR="00823B8F" w:rsidRPr="00DD7FA0">
        <w:rPr>
          <w:rFonts w:hint="cs"/>
          <w:rtl/>
          <w:lang w:eastAsia="en-GB"/>
        </w:rPr>
        <w:t xml:space="preserve"> التعرض للتعذيب أو سوء المعا</w:t>
      </w:r>
      <w:r w:rsidR="00823B8F">
        <w:rPr>
          <w:rFonts w:hint="cs"/>
          <w:rtl/>
          <w:lang w:eastAsia="en-GB"/>
        </w:rPr>
        <w:t>ملة كبيرا بسبب إجراءات أجهزة الأمن والاستخبارات الأجنبية، من أجل "التخفيف بطريقة فعالة من هذا الخطر إلى ما</w:t>
      </w:r>
      <w:r w:rsidR="00C1733B">
        <w:rPr>
          <w:rFonts w:hint="eastAsia"/>
          <w:rtl/>
          <w:lang w:eastAsia="en-GB"/>
        </w:rPr>
        <w:t> </w:t>
      </w:r>
      <w:r w:rsidR="00823B8F">
        <w:rPr>
          <w:rFonts w:hint="cs"/>
          <w:rtl/>
          <w:lang w:eastAsia="en-GB"/>
        </w:rPr>
        <w:t>دون عتبة الخطر الكبير" (التوجيهات الموحدة، ا</w:t>
      </w:r>
      <w:r w:rsidR="00C1733B">
        <w:rPr>
          <w:rFonts w:hint="cs"/>
          <w:rtl/>
          <w:lang w:eastAsia="en-GB"/>
        </w:rPr>
        <w:t>لفقرات 17-21) (المادتان 2 و3).</w:t>
      </w:r>
    </w:p>
    <w:p w:rsidR="00823B8F" w:rsidRPr="00B95ADB" w:rsidRDefault="00B95ADB" w:rsidP="004C3E0C">
      <w:pPr>
        <w:pStyle w:val="SingleTxtGA"/>
        <w:rPr>
          <w:rFonts w:hint="cs"/>
          <w:b/>
          <w:bCs/>
          <w:lang w:eastAsia="en-GB"/>
        </w:rPr>
      </w:pPr>
      <w:r w:rsidRPr="00B95ADB">
        <w:rPr>
          <w:rFonts w:hint="cs"/>
          <w:b/>
          <w:bCs/>
          <w:rtl/>
          <w:lang w:eastAsia="en-GB"/>
        </w:rPr>
        <w:tab/>
      </w:r>
      <w:r w:rsidR="00823B8F" w:rsidRPr="00B95ADB">
        <w:rPr>
          <w:rFonts w:hint="cs"/>
          <w:b/>
          <w:bCs/>
          <w:rtl/>
          <w:lang w:eastAsia="en-GB"/>
        </w:rPr>
        <w:t>تحث اللجنة الدولة الطرف على إعادة صياغة التوجيهات الموحدة لتفادي أي غموض أو تفسير خاطئ محتمل. ويتعين على الدولة الطرف بوجه خاص، أن تلغي إمكانية</w:t>
      </w:r>
      <w:r w:rsidR="00C1733B">
        <w:rPr>
          <w:rFonts w:hint="eastAsia"/>
          <w:b/>
          <w:bCs/>
          <w:rtl/>
          <w:lang w:eastAsia="en-GB"/>
        </w:rPr>
        <w:t> </w:t>
      </w:r>
      <w:r w:rsidR="00823B8F" w:rsidRPr="00B95ADB">
        <w:rPr>
          <w:rFonts w:hint="cs"/>
          <w:b/>
          <w:bCs/>
          <w:rtl/>
          <w:lang w:eastAsia="en-GB"/>
        </w:rPr>
        <w:t>الاستعانة بالضمانات عندما يكون خطر التعرض للتعذيب أو سوء المعاملة كبيرا</w:t>
      </w:r>
      <w:r w:rsidR="00C1733B">
        <w:rPr>
          <w:rFonts w:hint="cs"/>
          <w:b/>
          <w:bCs/>
          <w:rtl/>
          <w:lang w:eastAsia="en-GB"/>
        </w:rPr>
        <w:t>ً</w:t>
      </w:r>
      <w:r w:rsidR="00823B8F" w:rsidRPr="00B95ADB">
        <w:rPr>
          <w:rFonts w:hint="cs"/>
          <w:b/>
          <w:bCs/>
          <w:rtl/>
          <w:lang w:eastAsia="en-GB"/>
        </w:rPr>
        <w:t>، وأن</w:t>
      </w:r>
      <w:r w:rsidR="00C1733B">
        <w:rPr>
          <w:rFonts w:hint="eastAsia"/>
          <w:b/>
          <w:bCs/>
          <w:rtl/>
          <w:lang w:eastAsia="en-GB"/>
        </w:rPr>
        <w:t> </w:t>
      </w:r>
      <w:r w:rsidR="00823B8F" w:rsidRPr="00B95ADB">
        <w:rPr>
          <w:rFonts w:hint="cs"/>
          <w:b/>
          <w:bCs/>
          <w:rtl/>
          <w:lang w:eastAsia="en-GB"/>
        </w:rPr>
        <w:t>تلزم وكالات الاستخبارات والقوات المسلحة بوقف الاستجواب أو تحري المعلومات من المحتجزين لدى أجهزة الاستخبارات الأجنبية في جميع الحالات التي تنطوي على خطر التعرض للتعذيب أو سوء المعاملة. وينبغي أن تحرص الدولة الطرف أيضا</w:t>
      </w:r>
      <w:r w:rsidR="00C1733B">
        <w:rPr>
          <w:rFonts w:hint="cs"/>
          <w:b/>
          <w:bCs/>
          <w:rtl/>
          <w:lang w:eastAsia="en-GB"/>
        </w:rPr>
        <w:t>ً</w:t>
      </w:r>
      <w:r w:rsidR="00823B8F" w:rsidRPr="00B95ADB">
        <w:rPr>
          <w:rFonts w:hint="cs"/>
          <w:b/>
          <w:bCs/>
          <w:rtl/>
          <w:lang w:eastAsia="en-GB"/>
        </w:rPr>
        <w:t xml:space="preserve"> على تدريب أفراد الجيش والمخابرات بشأن الحظر المطلق للتعذيب وسوء المعاملة. </w:t>
      </w:r>
    </w:p>
    <w:p w:rsidR="00823B8F" w:rsidRPr="00B87FFD" w:rsidRDefault="00074268" w:rsidP="00403EEF">
      <w:pPr>
        <w:pStyle w:val="H23GA"/>
      </w:pPr>
      <w:r>
        <w:rPr>
          <w:rFonts w:hint="cs"/>
          <w:rtl/>
        </w:rPr>
        <w:tab/>
      </w:r>
      <w:r>
        <w:rPr>
          <w:rFonts w:hint="cs"/>
          <w:rtl/>
        </w:rPr>
        <w:tab/>
      </w:r>
      <w:r w:rsidR="00823B8F" w:rsidRPr="00B87FFD">
        <w:rPr>
          <w:rFonts w:hint="cs"/>
          <w:rtl/>
        </w:rPr>
        <w:t>إجراءات الأدلة السرية</w:t>
      </w:r>
    </w:p>
    <w:p w:rsidR="00823B8F" w:rsidRPr="00DE34B7" w:rsidRDefault="00074268" w:rsidP="004C3E0C">
      <w:pPr>
        <w:pStyle w:val="SingleTxtGA"/>
        <w:rPr>
          <w:rFonts w:eastAsia="Calibri" w:hint="cs"/>
          <w:rtl/>
          <w:lang w:eastAsia="en-GB"/>
        </w:rPr>
      </w:pPr>
      <w:r>
        <w:rPr>
          <w:rFonts w:eastAsia="Calibri" w:hint="cs"/>
          <w:rtl/>
          <w:lang w:eastAsia="en-GB"/>
        </w:rPr>
        <w:t>(</w:t>
      </w:r>
      <w:r w:rsidR="00823B8F">
        <w:rPr>
          <w:rFonts w:eastAsia="Calibri" w:hint="cs"/>
          <w:rtl/>
          <w:lang w:eastAsia="en-GB"/>
        </w:rPr>
        <w:t>12</w:t>
      </w:r>
      <w:r>
        <w:rPr>
          <w:rFonts w:eastAsia="Calibri" w:hint="cs"/>
          <w:rtl/>
          <w:lang w:eastAsia="en-GB"/>
        </w:rPr>
        <w:t>)</w:t>
      </w:r>
      <w:r>
        <w:rPr>
          <w:rFonts w:eastAsia="Calibri" w:hint="cs"/>
          <w:rtl/>
          <w:lang w:eastAsia="en-GB"/>
        </w:rPr>
        <w:tab/>
      </w:r>
      <w:r w:rsidR="00823B8F">
        <w:rPr>
          <w:rFonts w:eastAsia="Calibri" w:hint="cs"/>
          <w:rtl/>
          <w:lang w:eastAsia="en-GB"/>
        </w:rPr>
        <w:t>ترى الدولة الطرف أن قانون القضاء والأمن لعام 2013 سيعزز الإشراف</w:t>
      </w:r>
      <w:r w:rsidR="00823B8F">
        <w:rPr>
          <w:rtl/>
        </w:rPr>
        <w:t xml:space="preserve"> </w:t>
      </w:r>
      <w:r w:rsidR="00823B8F" w:rsidRPr="000E052B">
        <w:rPr>
          <w:rFonts w:eastAsia="Calibri"/>
          <w:rtl/>
          <w:lang w:eastAsia="en-GB"/>
        </w:rPr>
        <w:t>والرقابة</w:t>
      </w:r>
      <w:r w:rsidR="00823B8F">
        <w:rPr>
          <w:rFonts w:eastAsia="Calibri" w:hint="cs"/>
          <w:rtl/>
          <w:lang w:eastAsia="en-GB"/>
        </w:rPr>
        <w:t xml:space="preserve"> على وكالات الاستخبارات، لكنها تخشى مع ذلك أن يوسع أيضا</w:t>
      </w:r>
      <w:r w:rsidR="002F691F">
        <w:rPr>
          <w:rFonts w:eastAsia="Calibri" w:hint="cs"/>
          <w:rtl/>
          <w:lang w:eastAsia="en-GB"/>
        </w:rPr>
        <w:t>ً</w:t>
      </w:r>
      <w:r w:rsidR="00823B8F">
        <w:rPr>
          <w:rFonts w:eastAsia="Calibri" w:hint="cs"/>
          <w:rtl/>
          <w:lang w:eastAsia="en-GB"/>
        </w:rPr>
        <w:t xml:space="preserve"> من نطاق تطبيق إجراءات الأدلة السرية لتشمل الدعاوى المدنية عندما يكون الأمن الوطني في خطر. وتلاحظ اللجنة أن</w:t>
      </w:r>
      <w:r w:rsidR="00C1733B">
        <w:rPr>
          <w:rFonts w:eastAsia="Calibri" w:hint="eastAsia"/>
          <w:rtl/>
          <w:lang w:eastAsia="en-GB"/>
        </w:rPr>
        <w:t> </w:t>
      </w:r>
      <w:r w:rsidR="00823B8F">
        <w:rPr>
          <w:rFonts w:eastAsia="Calibri" w:hint="cs"/>
          <w:rtl/>
          <w:lang w:eastAsia="en-GB"/>
        </w:rPr>
        <w:t xml:space="preserve">القرار قد اتخذ على الرغم من حكم المحكمة الأوروبية لحقوق الإنسان بشأن قضية </w:t>
      </w:r>
      <w:r w:rsidR="00823B8F" w:rsidRPr="00A07486">
        <w:rPr>
          <w:rFonts w:eastAsia="Calibri" w:hint="cs"/>
          <w:i/>
          <w:iCs/>
          <w:rtl/>
          <w:lang w:eastAsia="en-GB"/>
        </w:rPr>
        <w:t>أ.</w:t>
      </w:r>
      <w:r w:rsidR="00C1733B">
        <w:rPr>
          <w:rFonts w:eastAsia="Calibri" w:hint="eastAsia"/>
          <w:i/>
          <w:iCs/>
          <w:rtl/>
          <w:lang w:eastAsia="en-GB"/>
        </w:rPr>
        <w:t> </w:t>
      </w:r>
      <w:r w:rsidR="00823B8F" w:rsidRPr="00A07486">
        <w:rPr>
          <w:rFonts w:eastAsia="Calibri" w:hint="cs"/>
          <w:i/>
          <w:iCs/>
          <w:rtl/>
          <w:lang w:eastAsia="en-GB"/>
        </w:rPr>
        <w:t>وآخرون ضد المملكة المتحدة</w:t>
      </w:r>
      <w:r w:rsidR="00823B8F">
        <w:rPr>
          <w:rFonts w:eastAsia="Calibri" w:hint="cs"/>
          <w:rtl/>
          <w:lang w:eastAsia="en-GB"/>
        </w:rPr>
        <w:t xml:space="preserve"> (الطلب رقم 3455/05)</w:t>
      </w:r>
      <w:r w:rsidR="00C54611" w:rsidRPr="00A25D78">
        <w:rPr>
          <w:rFonts w:hint="cs"/>
          <w:vertAlign w:val="superscript"/>
          <w:rtl/>
        </w:rPr>
        <w:t>(</w:t>
      </w:r>
      <w:r w:rsidR="00C54611" w:rsidRPr="00A25D78">
        <w:rPr>
          <w:rStyle w:val="FootnoteReference"/>
          <w:rtl/>
        </w:rPr>
        <w:footnoteReference w:id="10"/>
      </w:r>
      <w:r w:rsidR="00C54611" w:rsidRPr="00A25D78">
        <w:rPr>
          <w:rFonts w:hint="cs"/>
          <w:vertAlign w:val="superscript"/>
          <w:rtl/>
        </w:rPr>
        <w:t>)</w:t>
      </w:r>
      <w:r w:rsidR="00823B8F">
        <w:rPr>
          <w:rFonts w:eastAsia="Calibri" w:hint="cs"/>
          <w:rtl/>
          <w:lang w:eastAsia="en-GB"/>
        </w:rPr>
        <w:t xml:space="preserve"> الذي يقضي بأن نظام المحامي الخاص في إجراءات الأدلة السرية لا يكفي لضمان حقوق المحتجزين، فضلا</w:t>
      </w:r>
      <w:r w:rsidR="002F691F">
        <w:rPr>
          <w:rFonts w:eastAsia="Calibri" w:hint="cs"/>
          <w:rtl/>
          <w:lang w:eastAsia="en-GB"/>
        </w:rPr>
        <w:t>ً</w:t>
      </w:r>
      <w:r w:rsidR="00823B8F">
        <w:rPr>
          <w:rFonts w:eastAsia="Calibri" w:hint="cs"/>
          <w:rtl/>
          <w:lang w:eastAsia="en-GB"/>
        </w:rPr>
        <w:t xml:space="preserve"> عن انتقادات شديدة أخرى، بما في ذلك انتقادات </w:t>
      </w:r>
      <w:r w:rsidR="00823B8F" w:rsidRPr="00CA026D">
        <w:rPr>
          <w:rFonts w:eastAsia="Calibri"/>
          <w:rtl/>
          <w:lang w:eastAsia="en-GB"/>
        </w:rPr>
        <w:t>المقرر الخاص المعني بمسألة التعذيب وغيره من ضروب المعاملة أو العقوبة القاسية أو اللاإنسانية أو المهينة</w:t>
      </w:r>
      <w:r w:rsidR="00C54611" w:rsidRPr="00A25D78">
        <w:rPr>
          <w:rFonts w:hint="cs"/>
          <w:vertAlign w:val="superscript"/>
          <w:rtl/>
        </w:rPr>
        <w:t>(</w:t>
      </w:r>
      <w:r w:rsidR="00C54611" w:rsidRPr="00A25D78">
        <w:rPr>
          <w:rStyle w:val="FootnoteReference"/>
          <w:rtl/>
        </w:rPr>
        <w:footnoteReference w:id="11"/>
      </w:r>
      <w:r w:rsidR="00C54611" w:rsidRPr="00A25D78">
        <w:rPr>
          <w:rFonts w:hint="cs"/>
          <w:vertAlign w:val="superscript"/>
          <w:rtl/>
        </w:rPr>
        <w:t>)</w:t>
      </w:r>
      <w:r w:rsidR="00823B8F">
        <w:rPr>
          <w:rFonts w:eastAsia="Calibri" w:hint="cs"/>
          <w:rtl/>
          <w:lang w:eastAsia="en-GB"/>
        </w:rPr>
        <w:t xml:space="preserve"> وغالبية المحامين الخاصين (مذكرات إلى اللجنة المشتركة المعنية بحقوق الإنسان بشأن قانون العدالة والأمن، حزيران/يونيه 2012 وشباط/فبراير 2013). وتشير اللجنة بوجه خاص</w:t>
      </w:r>
      <w:r w:rsidR="00777841">
        <w:rPr>
          <w:rFonts w:eastAsia="Calibri" w:hint="cs"/>
          <w:rtl/>
          <w:lang w:eastAsia="en-GB"/>
        </w:rPr>
        <w:t xml:space="preserve"> إلى ما يلي</w:t>
      </w:r>
      <w:r w:rsidR="00124AEF">
        <w:rPr>
          <w:rFonts w:eastAsia="Calibri" w:hint="cs"/>
          <w:rtl/>
          <w:lang w:eastAsia="en-GB"/>
        </w:rPr>
        <w:t xml:space="preserve"> </w:t>
      </w:r>
      <w:r w:rsidR="00777841">
        <w:rPr>
          <w:rFonts w:eastAsia="Calibri" w:hint="cs"/>
          <w:rtl/>
          <w:lang w:eastAsia="en-GB"/>
        </w:rPr>
        <w:t>(المواد 2 و15 و16):</w:t>
      </w:r>
    </w:p>
    <w:p w:rsidR="00823B8F" w:rsidRPr="00DE34B7" w:rsidRDefault="00C1733B" w:rsidP="004C3E0C">
      <w:pPr>
        <w:pStyle w:val="SingleTxtGA"/>
        <w:rPr>
          <w:rFonts w:eastAsia="Calibri" w:hint="cs"/>
          <w:rtl/>
          <w:lang w:eastAsia="en-GB"/>
        </w:rPr>
      </w:pPr>
      <w:r>
        <w:rPr>
          <w:rFonts w:eastAsia="Calibri" w:hint="cs"/>
          <w:rtl/>
          <w:lang w:eastAsia="en-GB"/>
        </w:rPr>
        <w:tab/>
      </w:r>
      <w:r w:rsidR="00823B8F">
        <w:rPr>
          <w:rFonts w:eastAsia="Calibri" w:hint="cs"/>
          <w:rtl/>
          <w:lang w:eastAsia="en-GB"/>
        </w:rPr>
        <w:t>(أ)</w:t>
      </w:r>
      <w:r>
        <w:rPr>
          <w:rFonts w:eastAsia="Calibri" w:hint="cs"/>
          <w:rtl/>
          <w:lang w:eastAsia="en-GB"/>
        </w:rPr>
        <w:tab/>
      </w:r>
      <w:r w:rsidR="00823B8F" w:rsidRPr="00BE7CE3">
        <w:rPr>
          <w:rFonts w:eastAsia="Calibri"/>
          <w:rtl/>
          <w:lang w:eastAsia="en-GB"/>
        </w:rPr>
        <w:t>التقييد الشديد لقدرة المحامين الخاصين على استجواب شهود الخصم و</w:t>
      </w:r>
      <w:r w:rsidR="00823B8F">
        <w:rPr>
          <w:rFonts w:eastAsia="Calibri" w:hint="cs"/>
          <w:rtl/>
          <w:lang w:eastAsia="en-GB"/>
        </w:rPr>
        <w:t xml:space="preserve">مناقشة كامل محتوى المواد السرية مع موكليهم، وهو ما </w:t>
      </w:r>
      <w:r w:rsidR="00777841">
        <w:rPr>
          <w:rFonts w:eastAsia="Calibri" w:hint="cs"/>
          <w:rtl/>
          <w:lang w:eastAsia="en-GB"/>
        </w:rPr>
        <w:t>يقوض الحق في المحاكمة العادلة؛</w:t>
      </w:r>
    </w:p>
    <w:p w:rsidR="00823B8F" w:rsidRPr="00DE34B7" w:rsidRDefault="00C1733B" w:rsidP="004C3E0C">
      <w:pPr>
        <w:pStyle w:val="SingleTxtGA"/>
        <w:rPr>
          <w:rFonts w:eastAsia="Calibri" w:hint="cs"/>
          <w:rtl/>
          <w:lang w:eastAsia="en-GB"/>
        </w:rPr>
      </w:pPr>
      <w:r>
        <w:rPr>
          <w:rFonts w:eastAsia="Calibri" w:hint="cs"/>
          <w:rtl/>
          <w:lang w:eastAsia="en-GB"/>
        </w:rPr>
        <w:tab/>
      </w:r>
      <w:r w:rsidR="00823B8F">
        <w:rPr>
          <w:rFonts w:eastAsia="Calibri" w:hint="cs"/>
          <w:rtl/>
          <w:lang w:eastAsia="en-GB"/>
        </w:rPr>
        <w:t>(ب)</w:t>
      </w:r>
      <w:r>
        <w:rPr>
          <w:rFonts w:eastAsia="Calibri" w:hint="cs"/>
          <w:rtl/>
          <w:lang w:eastAsia="en-GB"/>
        </w:rPr>
        <w:tab/>
      </w:r>
      <w:r w:rsidR="00823B8F">
        <w:rPr>
          <w:rFonts w:eastAsia="Calibri" w:hint="cs"/>
          <w:rtl/>
          <w:lang w:eastAsia="en-GB"/>
        </w:rPr>
        <w:t>الاعتماد الكبير في كثير من الأدلة السرية على معلومات مستقاة من مصادر استخبارية سرية ربما تضمنت إفادات منقولة عن طرف ثان أو عن طرف ثالث أو غي</w:t>
      </w:r>
      <w:r>
        <w:rPr>
          <w:rFonts w:eastAsia="Calibri" w:hint="cs"/>
          <w:rtl/>
          <w:lang w:eastAsia="en-GB"/>
        </w:rPr>
        <w:t xml:space="preserve">ر ذلك من المواد والإفادات التي </w:t>
      </w:r>
      <w:r w:rsidR="00823B8F">
        <w:rPr>
          <w:rFonts w:eastAsia="Calibri" w:hint="cs"/>
          <w:rtl/>
          <w:lang w:eastAsia="en-GB"/>
        </w:rPr>
        <w:t>يمكن أن تكون قد انتزعت تحت التعذيب، وهي لا تُقبل في الإجراءات الجنائية أو المدنية العادية، إلا لمواجهة ال</w:t>
      </w:r>
      <w:r w:rsidR="00777841">
        <w:rPr>
          <w:rFonts w:eastAsia="Calibri" w:hint="cs"/>
          <w:rtl/>
          <w:lang w:eastAsia="en-GB"/>
        </w:rPr>
        <w:t xml:space="preserve">شخص المتهم بممارسة التعذيب بها </w:t>
      </w:r>
      <w:r w:rsidR="00823B8F">
        <w:rPr>
          <w:rFonts w:eastAsia="Calibri" w:hint="cs"/>
          <w:rtl/>
          <w:lang w:eastAsia="en-GB"/>
        </w:rPr>
        <w:t xml:space="preserve">كدليل على انتزاع الإفادات؛ </w:t>
      </w:r>
    </w:p>
    <w:p w:rsidR="00823B8F" w:rsidRPr="00DE34B7" w:rsidRDefault="00C1733B" w:rsidP="004C3E0C">
      <w:pPr>
        <w:pStyle w:val="SingleTxtGA"/>
        <w:rPr>
          <w:rFonts w:eastAsia="Calibri" w:hint="cs"/>
          <w:lang w:eastAsia="en-GB"/>
        </w:rPr>
      </w:pPr>
      <w:r>
        <w:rPr>
          <w:rFonts w:eastAsia="Calibri" w:hint="cs"/>
          <w:rtl/>
          <w:lang w:eastAsia="en-GB"/>
        </w:rPr>
        <w:tab/>
      </w:r>
      <w:r w:rsidR="00823B8F">
        <w:rPr>
          <w:rFonts w:eastAsia="Calibri" w:hint="cs"/>
          <w:rtl/>
          <w:lang w:eastAsia="en-GB"/>
        </w:rPr>
        <w:t>(ج)</w:t>
      </w:r>
      <w:r>
        <w:rPr>
          <w:rFonts w:eastAsia="Calibri" w:hint="cs"/>
          <w:rtl/>
          <w:lang w:eastAsia="en-GB"/>
        </w:rPr>
        <w:tab/>
      </w:r>
      <w:r w:rsidR="00823B8F">
        <w:rPr>
          <w:rFonts w:eastAsia="Calibri" w:hint="cs"/>
          <w:rtl/>
          <w:lang w:eastAsia="en-GB"/>
        </w:rPr>
        <w:t xml:space="preserve">احتمال تأثير </w:t>
      </w:r>
      <w:r w:rsidR="00823B8F" w:rsidRPr="00551E79">
        <w:rPr>
          <w:b/>
          <w:rtl/>
          <w:lang w:eastAsia="en-GB"/>
        </w:rPr>
        <w:t>إجراءات المواد السرية في الجلسات المغلقة</w:t>
      </w:r>
      <w:r w:rsidR="00823B8F">
        <w:rPr>
          <w:rFonts w:eastAsia="Calibri" w:hint="cs"/>
          <w:rtl/>
          <w:lang w:eastAsia="en-GB"/>
        </w:rPr>
        <w:t xml:space="preserve"> سلبا في إمكانية تح</w:t>
      </w:r>
      <w:r>
        <w:rPr>
          <w:rFonts w:eastAsia="Calibri" w:hint="cs"/>
          <w:rtl/>
          <w:lang w:eastAsia="en-GB"/>
        </w:rPr>
        <w:t>ديد مسؤولية الدولة ومساءلتها.</w:t>
      </w:r>
    </w:p>
    <w:p w:rsidR="00823B8F" w:rsidRPr="00C54611" w:rsidRDefault="00C54611" w:rsidP="004C3E0C">
      <w:pPr>
        <w:pStyle w:val="SingleTxtGA"/>
        <w:rPr>
          <w:rFonts w:eastAsia="Calibri" w:hint="cs"/>
          <w:b/>
          <w:bCs/>
          <w:lang w:eastAsia="en-GB"/>
        </w:rPr>
      </w:pPr>
      <w:r w:rsidRPr="00C54611">
        <w:rPr>
          <w:rFonts w:eastAsia="Calibri" w:hint="cs"/>
          <w:b/>
          <w:bCs/>
          <w:rtl/>
          <w:lang w:eastAsia="en-GB"/>
        </w:rPr>
        <w:tab/>
      </w:r>
      <w:r w:rsidR="00823B8F" w:rsidRPr="00C54611">
        <w:rPr>
          <w:rFonts w:eastAsia="Calibri" w:hint="cs"/>
          <w:b/>
          <w:bCs/>
          <w:rtl/>
          <w:lang w:eastAsia="en-GB"/>
        </w:rPr>
        <w:t>توصي اللجنة بالامتثال الكامل للاتفاقية في جميع التدابير التي تُتَّخذ لتقييد ضمانات المحاكمة العادلة أو الحد منها لأسباب تتعلق بالأمن الوطني. ويتعين على الدولة الطرف أ</w:t>
      </w:r>
      <w:r w:rsidR="00777841">
        <w:rPr>
          <w:rFonts w:eastAsia="Calibri" w:hint="cs"/>
          <w:b/>
          <w:bCs/>
          <w:rtl/>
          <w:lang w:eastAsia="en-GB"/>
        </w:rPr>
        <w:t>ن تقوم بما يلي على وجه الخصوص:</w:t>
      </w:r>
    </w:p>
    <w:p w:rsidR="00823B8F" w:rsidRPr="00C54611" w:rsidRDefault="00C54611" w:rsidP="004C3E0C">
      <w:pPr>
        <w:pStyle w:val="SingleTxtGA"/>
        <w:rPr>
          <w:rFonts w:eastAsia="Calibri" w:hint="cs"/>
          <w:b/>
          <w:bCs/>
          <w:lang w:eastAsia="en-GB"/>
        </w:rPr>
      </w:pPr>
      <w:r w:rsidRPr="00C54611">
        <w:rPr>
          <w:rFonts w:eastAsia="Calibri" w:hint="cs"/>
          <w:b/>
          <w:bCs/>
          <w:rtl/>
          <w:lang w:eastAsia="en-GB"/>
        </w:rPr>
        <w:tab/>
      </w:r>
      <w:r w:rsidR="00823B8F" w:rsidRPr="00C54611">
        <w:rPr>
          <w:rFonts w:eastAsia="Calibri" w:hint="cs"/>
          <w:b/>
          <w:bCs/>
          <w:rtl/>
          <w:lang w:eastAsia="en-GB"/>
        </w:rPr>
        <w:t>(أ)</w:t>
      </w:r>
      <w:r w:rsidRPr="00C54611">
        <w:rPr>
          <w:rFonts w:eastAsia="Calibri" w:hint="cs"/>
          <w:b/>
          <w:bCs/>
          <w:rtl/>
          <w:lang w:eastAsia="en-GB"/>
        </w:rPr>
        <w:tab/>
      </w:r>
      <w:r w:rsidR="00823B8F" w:rsidRPr="00C54611">
        <w:rPr>
          <w:rFonts w:eastAsia="Calibri" w:hint="cs"/>
          <w:b/>
          <w:bCs/>
          <w:rtl/>
          <w:lang w:eastAsia="en-GB"/>
        </w:rPr>
        <w:t xml:space="preserve">معالجة الشواغل التي أثارتها اللجنة المشتركة المعنية بحقوق الإنسان والمحامين الخاصين بشأن قانون العدالة والأمن لعام 2013؛ </w:t>
      </w:r>
    </w:p>
    <w:p w:rsidR="00823B8F" w:rsidRPr="00C54611" w:rsidRDefault="00C54611" w:rsidP="004C3E0C">
      <w:pPr>
        <w:pStyle w:val="SingleTxtGA"/>
        <w:rPr>
          <w:rFonts w:eastAsia="Calibri" w:hint="cs"/>
          <w:b/>
          <w:bCs/>
          <w:lang w:eastAsia="en-GB"/>
        </w:rPr>
      </w:pPr>
      <w:r w:rsidRPr="00C54611">
        <w:rPr>
          <w:rFonts w:eastAsia="Calibri" w:hint="cs"/>
          <w:b/>
          <w:bCs/>
          <w:rtl/>
          <w:lang w:eastAsia="en-GB"/>
        </w:rPr>
        <w:tab/>
      </w:r>
      <w:r w:rsidR="00823B8F" w:rsidRPr="00C54611">
        <w:rPr>
          <w:rFonts w:eastAsia="Calibri" w:hint="cs"/>
          <w:b/>
          <w:bCs/>
          <w:rtl/>
          <w:lang w:eastAsia="en-GB"/>
        </w:rPr>
        <w:t>(ب)</w:t>
      </w:r>
      <w:r w:rsidRPr="00C54611">
        <w:rPr>
          <w:rFonts w:eastAsia="Calibri" w:hint="cs"/>
          <w:b/>
          <w:bCs/>
          <w:rtl/>
          <w:lang w:eastAsia="en-GB"/>
        </w:rPr>
        <w:tab/>
      </w:r>
      <w:r w:rsidR="00823B8F" w:rsidRPr="00C54611">
        <w:rPr>
          <w:rFonts w:eastAsia="Calibri" w:hint="cs"/>
          <w:b/>
          <w:bCs/>
          <w:rtl/>
          <w:lang w:eastAsia="en-GB"/>
        </w:rPr>
        <w:t>ضمان إمكانية الكشف عن المواد الاستخبارية وغيرها من المواد الحساسة إذا تبيَّن للمحكمة أنها تتضمن أدلة على ارتكاب انتهاكات حقوق الإنسان كالتعذيب أو المعاملة القاسية أو اللا</w:t>
      </w:r>
      <w:r w:rsidR="00C1733B">
        <w:rPr>
          <w:rFonts w:eastAsia="Calibri" w:hint="cs"/>
          <w:b/>
          <w:bCs/>
          <w:rtl/>
          <w:lang w:eastAsia="en-GB"/>
        </w:rPr>
        <w:t>إنسانية أو المهينة؛</w:t>
      </w:r>
    </w:p>
    <w:p w:rsidR="00823B8F" w:rsidRPr="00C1733B" w:rsidRDefault="00C54611" w:rsidP="004C3E0C">
      <w:pPr>
        <w:pStyle w:val="SingleTxtGA"/>
        <w:rPr>
          <w:rFonts w:ascii="Times New Roman Bold" w:eastAsia="Calibri" w:hAnsi="Times New Roman Bold" w:hint="cs"/>
          <w:b/>
          <w:bCs/>
          <w:spacing w:val="-2"/>
          <w:rtl/>
          <w:lang w:eastAsia="en-GB"/>
        </w:rPr>
      </w:pPr>
      <w:r w:rsidRPr="00C1733B">
        <w:rPr>
          <w:rFonts w:ascii="Times New Roman Bold" w:eastAsia="Calibri" w:hAnsi="Times New Roman Bold" w:hint="cs"/>
          <w:b/>
          <w:bCs/>
          <w:spacing w:val="-2"/>
          <w:rtl/>
          <w:lang w:eastAsia="en-GB"/>
        </w:rPr>
        <w:tab/>
      </w:r>
      <w:r w:rsidR="00823B8F" w:rsidRPr="00C1733B">
        <w:rPr>
          <w:rFonts w:ascii="Times New Roman Bold" w:eastAsia="Calibri" w:hAnsi="Times New Roman Bold" w:hint="cs"/>
          <w:b/>
          <w:bCs/>
          <w:spacing w:val="-2"/>
          <w:rtl/>
          <w:lang w:eastAsia="en-GB"/>
        </w:rPr>
        <w:t>(ج)</w:t>
      </w:r>
      <w:r w:rsidRPr="00C1733B">
        <w:rPr>
          <w:rFonts w:ascii="Times New Roman Bold" w:eastAsia="Calibri" w:hAnsi="Times New Roman Bold" w:hint="cs"/>
          <w:b/>
          <w:bCs/>
          <w:spacing w:val="-2"/>
          <w:rtl/>
          <w:lang w:eastAsia="en-GB"/>
        </w:rPr>
        <w:tab/>
      </w:r>
      <w:r w:rsidR="00823B8F" w:rsidRPr="00C1733B">
        <w:rPr>
          <w:rFonts w:ascii="Times New Roman Bold" w:eastAsia="Calibri" w:hAnsi="Times New Roman Bold" w:hint="cs"/>
          <w:b/>
          <w:bCs/>
          <w:spacing w:val="-2"/>
          <w:rtl/>
          <w:lang w:eastAsia="en-GB"/>
        </w:rPr>
        <w:t>ضمان عدم تحول قانون العدالة والأمن لعام 2013 إلى عائق يحول دون مساءلة الدولة عن المشاركة أو الضلوع في أعمال التعذيب أو المعاملة القاسية أو اللاإنسانية أو المهينة، وعدم تأثيره سلباً على حق الضحايا في الحصول على الجبر والإ</w:t>
      </w:r>
      <w:r w:rsidR="00C1733B" w:rsidRPr="00C1733B">
        <w:rPr>
          <w:rFonts w:ascii="Times New Roman Bold" w:eastAsia="Calibri" w:hAnsi="Times New Roman Bold" w:hint="cs"/>
          <w:b/>
          <w:bCs/>
          <w:spacing w:val="-2"/>
          <w:rtl/>
          <w:lang w:eastAsia="en-GB"/>
        </w:rPr>
        <w:t>نصاف والتعويض العادل والمناسب.</w:t>
      </w:r>
    </w:p>
    <w:p w:rsidR="00823B8F" w:rsidRPr="00B87FFD" w:rsidRDefault="00C54611" w:rsidP="00124AEF">
      <w:pPr>
        <w:pStyle w:val="H23GA"/>
        <w:rPr>
          <w:rFonts w:hint="cs"/>
        </w:rPr>
      </w:pPr>
      <w:r>
        <w:rPr>
          <w:rFonts w:hint="cs"/>
          <w:rtl/>
        </w:rPr>
        <w:tab/>
      </w:r>
      <w:r>
        <w:rPr>
          <w:rFonts w:hint="cs"/>
          <w:rtl/>
        </w:rPr>
        <w:tab/>
      </w:r>
      <w:r w:rsidR="00823B8F" w:rsidRPr="00B87FFD">
        <w:rPr>
          <w:rFonts w:hint="cs"/>
          <w:rtl/>
        </w:rPr>
        <w:t xml:space="preserve">المحاكمة بدون هيئة محلفين في </w:t>
      </w:r>
      <w:r w:rsidR="00255B48">
        <w:rPr>
          <w:rFonts w:hint="cs"/>
          <w:rtl/>
        </w:rPr>
        <w:t>أ</w:t>
      </w:r>
      <w:r w:rsidR="00823B8F" w:rsidRPr="00B87FFD">
        <w:rPr>
          <w:rFonts w:hint="cs"/>
          <w:rtl/>
        </w:rPr>
        <w:t>يرلندا الشمالية</w:t>
      </w:r>
    </w:p>
    <w:p w:rsidR="00823B8F" w:rsidRPr="00230F2E" w:rsidRDefault="00C54611" w:rsidP="004C3E0C">
      <w:pPr>
        <w:pStyle w:val="SingleTxtGA"/>
        <w:rPr>
          <w:rFonts w:eastAsia="Malgun Gothic" w:hint="cs"/>
          <w:lang w:eastAsia="en-GB"/>
        </w:rPr>
      </w:pPr>
      <w:r>
        <w:rPr>
          <w:rFonts w:eastAsia="Malgun Gothic" w:hint="cs"/>
          <w:rtl/>
          <w:lang w:eastAsia="en-GB"/>
        </w:rPr>
        <w:t>(</w:t>
      </w:r>
      <w:r w:rsidR="00823B8F" w:rsidRPr="00230F2E">
        <w:rPr>
          <w:rFonts w:eastAsia="Malgun Gothic" w:hint="cs"/>
          <w:rtl/>
          <w:lang w:eastAsia="en-GB"/>
        </w:rPr>
        <w:t>13</w:t>
      </w:r>
      <w:r>
        <w:rPr>
          <w:rFonts w:eastAsia="Malgun Gothic" w:hint="cs"/>
          <w:rtl/>
          <w:lang w:eastAsia="en-GB"/>
        </w:rPr>
        <w:t>)</w:t>
      </w:r>
      <w:r>
        <w:rPr>
          <w:rFonts w:eastAsia="Malgun Gothic" w:hint="cs"/>
          <w:rtl/>
          <w:lang w:eastAsia="en-GB"/>
        </w:rPr>
        <w:tab/>
      </w:r>
      <w:r w:rsidR="00823B8F">
        <w:rPr>
          <w:rFonts w:eastAsia="Malgun Gothic" w:hint="cs"/>
          <w:rtl/>
          <w:lang w:eastAsia="en-GB"/>
        </w:rPr>
        <w:t>تلاحظ اللجنة مع التقدير</w:t>
      </w:r>
      <w:r w:rsidR="00823B8F" w:rsidRPr="00230F2E">
        <w:rPr>
          <w:rFonts w:eastAsia="Malgun Gothic" w:hint="cs"/>
          <w:rtl/>
          <w:lang w:eastAsia="en-GB"/>
        </w:rPr>
        <w:t xml:space="preserve"> التدابير المتخذة في </w:t>
      </w:r>
      <w:r w:rsidR="00255B48">
        <w:rPr>
          <w:rFonts w:eastAsia="Malgun Gothic" w:hint="cs"/>
          <w:rtl/>
          <w:lang w:eastAsia="en-GB"/>
        </w:rPr>
        <w:t>أ</w:t>
      </w:r>
      <w:r w:rsidR="00823B8F" w:rsidRPr="00230F2E">
        <w:rPr>
          <w:rFonts w:eastAsia="Malgun Gothic" w:hint="cs"/>
          <w:rtl/>
          <w:lang w:eastAsia="en-GB"/>
        </w:rPr>
        <w:t>يرلندا الشمالية في سياق برنامج التطبيع الأمني لكنها تشعر بالأسف لأن قانون العدالة والأمن لعام 2007 (</w:t>
      </w:r>
      <w:r w:rsidR="00C1733B">
        <w:rPr>
          <w:rFonts w:eastAsia="Malgun Gothic" w:hint="cs"/>
          <w:rtl/>
          <w:lang w:eastAsia="en-GB"/>
        </w:rPr>
        <w:t>أ</w:t>
      </w:r>
      <w:r w:rsidR="00823B8F" w:rsidRPr="00230F2E">
        <w:rPr>
          <w:rFonts w:eastAsia="Malgun Gothic" w:hint="cs"/>
          <w:rtl/>
          <w:lang w:eastAsia="en-GB"/>
        </w:rPr>
        <w:t xml:space="preserve">يرلندا الشمالية) </w:t>
      </w:r>
      <w:r w:rsidR="00823B8F">
        <w:rPr>
          <w:rFonts w:eastAsia="Malgun Gothic" w:hint="cs"/>
          <w:rtl/>
          <w:lang w:eastAsia="en-GB"/>
        </w:rPr>
        <w:t>لا يزال</w:t>
      </w:r>
      <w:r w:rsidR="00823B8F" w:rsidRPr="00230F2E">
        <w:rPr>
          <w:rFonts w:eastAsia="Malgun Gothic" w:hint="cs"/>
          <w:rtl/>
          <w:lang w:eastAsia="en-GB"/>
        </w:rPr>
        <w:t xml:space="preserve"> يجيز إجراء محاكمات بدون هيئة محلفين على الرغم من توافق الآراء</w:t>
      </w:r>
      <w:r w:rsidR="00823B8F">
        <w:rPr>
          <w:rFonts w:eastAsia="Malgun Gothic" w:hint="cs"/>
          <w:rtl/>
          <w:lang w:eastAsia="en-GB"/>
        </w:rPr>
        <w:t xml:space="preserve"> الذي يبدو أنه تحقق </w:t>
      </w:r>
      <w:r w:rsidR="00823B8F" w:rsidRPr="00230F2E">
        <w:rPr>
          <w:rFonts w:eastAsia="Malgun Gothic" w:hint="cs"/>
          <w:rtl/>
          <w:lang w:eastAsia="en-GB"/>
        </w:rPr>
        <w:t xml:space="preserve">بين مجموعة واسعة من الجهات الفاعلة </w:t>
      </w:r>
      <w:r w:rsidR="00823B8F">
        <w:rPr>
          <w:rFonts w:eastAsia="Malgun Gothic" w:hint="cs"/>
          <w:rtl/>
          <w:lang w:eastAsia="en-GB"/>
        </w:rPr>
        <w:t xml:space="preserve">بشأن عدم وجود ما يبرهن على </w:t>
      </w:r>
      <w:r w:rsidR="00823B8F" w:rsidRPr="00230F2E">
        <w:rPr>
          <w:rFonts w:eastAsia="Malgun Gothic" w:hint="cs"/>
          <w:rtl/>
          <w:lang w:eastAsia="en-GB"/>
        </w:rPr>
        <w:t>تعرض المحلفين للتخويف</w:t>
      </w:r>
      <w:r w:rsidR="00823B8F">
        <w:rPr>
          <w:rFonts w:eastAsia="Malgun Gothic" w:hint="cs"/>
          <w:rtl/>
          <w:lang w:eastAsia="en-GB"/>
        </w:rPr>
        <w:t xml:space="preserve"> حتى الآن</w:t>
      </w:r>
      <w:r w:rsidR="00C1733B">
        <w:rPr>
          <w:rFonts w:eastAsia="Malgun Gothic" w:hint="cs"/>
          <w:rtl/>
          <w:lang w:eastAsia="en-GB"/>
        </w:rPr>
        <w:t xml:space="preserve"> (المادة 2).</w:t>
      </w:r>
    </w:p>
    <w:p w:rsidR="00823B8F" w:rsidRPr="00C1733B" w:rsidRDefault="00C54611" w:rsidP="00255B48">
      <w:pPr>
        <w:pStyle w:val="SingleTxtGA"/>
        <w:rPr>
          <w:rFonts w:ascii="Times New Roman Bold" w:eastAsia="Malgun Gothic" w:hAnsi="Times New Roman Bold" w:hint="cs"/>
          <w:b/>
          <w:bCs/>
          <w:spacing w:val="-2"/>
          <w:lang w:eastAsia="en-GB"/>
        </w:rPr>
      </w:pPr>
      <w:r w:rsidRPr="00C1733B">
        <w:rPr>
          <w:rFonts w:ascii="Times New Roman Bold" w:eastAsia="Malgun Gothic" w:hAnsi="Times New Roman Bold" w:hint="cs"/>
          <w:b/>
          <w:bCs/>
          <w:spacing w:val="-2"/>
          <w:rtl/>
          <w:lang w:eastAsia="en-GB"/>
        </w:rPr>
        <w:tab/>
      </w:r>
      <w:r w:rsidR="00823B8F" w:rsidRPr="00C1733B">
        <w:rPr>
          <w:rFonts w:ascii="Times New Roman Bold" w:eastAsia="Malgun Gothic" w:hAnsi="Times New Roman Bold" w:hint="cs"/>
          <w:b/>
          <w:bCs/>
          <w:spacing w:val="-2"/>
          <w:rtl/>
          <w:lang w:eastAsia="en-GB"/>
        </w:rPr>
        <w:t xml:space="preserve">توصي اللجنة بأن تولي الدولة الطرف الاعتبار الواجب لمبدأي الضرورة والتناسب عند اتخاذ القرار بشأن تجديد الصلاحيات الاستثنائية في </w:t>
      </w:r>
      <w:r w:rsidR="00C1733B">
        <w:rPr>
          <w:rFonts w:ascii="Times New Roman Bold" w:eastAsia="Malgun Gothic" w:hAnsi="Times New Roman Bold" w:hint="cs"/>
          <w:b/>
          <w:bCs/>
          <w:spacing w:val="-2"/>
          <w:rtl/>
          <w:lang w:eastAsia="en-GB"/>
        </w:rPr>
        <w:t>أ</w:t>
      </w:r>
      <w:r w:rsidR="00823B8F" w:rsidRPr="00C1733B">
        <w:rPr>
          <w:rFonts w:ascii="Times New Roman Bold" w:eastAsia="Malgun Gothic" w:hAnsi="Times New Roman Bold" w:hint="cs"/>
          <w:b/>
          <w:bCs/>
          <w:spacing w:val="-2"/>
          <w:rtl/>
          <w:lang w:eastAsia="en-GB"/>
        </w:rPr>
        <w:t xml:space="preserve">يرلندا الشمالية، ولا سيما الأحكام المتعلقة بالمحاكمة دون هيئة محلفين. وتشجع الدولة الطرف على مواصلة السعي نحو التطبيع الأمني في </w:t>
      </w:r>
      <w:r w:rsidR="00255B48">
        <w:rPr>
          <w:rFonts w:ascii="Times New Roman Bold" w:eastAsia="Malgun Gothic" w:hAnsi="Times New Roman Bold" w:hint="cs"/>
          <w:b/>
          <w:bCs/>
          <w:spacing w:val="-2"/>
          <w:rtl/>
          <w:lang w:eastAsia="en-GB"/>
        </w:rPr>
        <w:t>أ</w:t>
      </w:r>
      <w:r w:rsidR="00823B8F" w:rsidRPr="00C1733B">
        <w:rPr>
          <w:rFonts w:ascii="Times New Roman Bold" w:eastAsia="Malgun Gothic" w:hAnsi="Times New Roman Bold" w:hint="cs"/>
          <w:b/>
          <w:bCs/>
          <w:spacing w:val="-2"/>
          <w:rtl/>
          <w:lang w:eastAsia="en-GB"/>
        </w:rPr>
        <w:t>يرلندا الشمالية والنظر في اتخاذ</w:t>
      </w:r>
      <w:r w:rsidR="00C1733B">
        <w:rPr>
          <w:rFonts w:ascii="Times New Roman Bold" w:eastAsia="Malgun Gothic" w:hAnsi="Times New Roman Bold" w:hint="cs"/>
          <w:b/>
          <w:bCs/>
          <w:spacing w:val="-2"/>
          <w:rtl/>
          <w:lang w:eastAsia="en-GB"/>
        </w:rPr>
        <w:t xml:space="preserve"> تدابير بديلة لحماية المحلفين.</w:t>
      </w:r>
    </w:p>
    <w:p w:rsidR="00823B8F" w:rsidRPr="00B87FFD" w:rsidRDefault="00C54611" w:rsidP="00124AEF">
      <w:pPr>
        <w:pStyle w:val="H23GA"/>
        <w:rPr>
          <w:rFonts w:hint="cs"/>
        </w:rPr>
      </w:pPr>
      <w:r>
        <w:rPr>
          <w:rFonts w:hint="cs"/>
          <w:rtl/>
        </w:rPr>
        <w:tab/>
      </w:r>
      <w:r>
        <w:rPr>
          <w:rFonts w:hint="cs"/>
          <w:rtl/>
        </w:rPr>
        <w:tab/>
      </w:r>
      <w:r w:rsidR="00823B8F" w:rsidRPr="00B87FFD">
        <w:rPr>
          <w:rFonts w:hint="cs"/>
          <w:rtl/>
        </w:rPr>
        <w:t xml:space="preserve">آلية وقائية وطنية </w:t>
      </w:r>
    </w:p>
    <w:p w:rsidR="00823B8F" w:rsidRPr="004C7DA2" w:rsidRDefault="00C1733B" w:rsidP="00C1733B">
      <w:pPr>
        <w:pStyle w:val="SingleTxtGA"/>
        <w:rPr>
          <w:rFonts w:hint="cs"/>
          <w:rtl/>
          <w:lang w:eastAsia="en-GB"/>
        </w:rPr>
      </w:pPr>
      <w:r>
        <w:rPr>
          <w:rFonts w:hint="cs"/>
          <w:rtl/>
          <w:lang w:eastAsia="en-GB"/>
        </w:rPr>
        <w:t>(</w:t>
      </w:r>
      <w:r w:rsidR="00823B8F">
        <w:rPr>
          <w:rFonts w:hint="cs"/>
          <w:rtl/>
          <w:lang w:eastAsia="en-GB"/>
        </w:rPr>
        <w:t>14</w:t>
      </w:r>
      <w:r>
        <w:rPr>
          <w:rFonts w:hint="cs"/>
          <w:rtl/>
          <w:lang w:eastAsia="en-GB"/>
        </w:rPr>
        <w:t>)</w:t>
      </w:r>
      <w:r>
        <w:rPr>
          <w:rFonts w:hint="cs"/>
          <w:rtl/>
          <w:lang w:eastAsia="en-GB"/>
        </w:rPr>
        <w:tab/>
      </w:r>
      <w:r w:rsidR="00823B8F">
        <w:rPr>
          <w:rFonts w:hint="cs"/>
          <w:rtl/>
          <w:lang w:eastAsia="en-GB"/>
        </w:rPr>
        <w:t>إن اللجنة إذ تدرك تماما</w:t>
      </w:r>
      <w:r w:rsidR="00255B48">
        <w:rPr>
          <w:rFonts w:hint="cs"/>
          <w:rtl/>
          <w:lang w:eastAsia="en-GB"/>
        </w:rPr>
        <w:t>ً</w:t>
      </w:r>
      <w:r w:rsidR="00823B8F">
        <w:rPr>
          <w:rFonts w:hint="cs"/>
          <w:rtl/>
          <w:lang w:eastAsia="en-GB"/>
        </w:rPr>
        <w:t xml:space="preserve"> رغبة الدولة الطرف في تشجيع تبادل الخبرات، تشير إلى أن الممارسة المتبعة بشأن انتداب موظفي الدولة العاملين في أما</w:t>
      </w:r>
      <w:r w:rsidR="00777841">
        <w:rPr>
          <w:rFonts w:hint="cs"/>
          <w:rtl/>
          <w:lang w:eastAsia="en-GB"/>
        </w:rPr>
        <w:t xml:space="preserve">كن الحرمان من الحرية </w:t>
      </w:r>
      <w:r w:rsidR="00823B8F">
        <w:rPr>
          <w:rFonts w:hint="cs"/>
          <w:rtl/>
          <w:lang w:eastAsia="en-GB"/>
        </w:rPr>
        <w:t xml:space="preserve">للعمل لدى الهيئات التابعة للآلية الوقائية تثير شواغل بشأن </w:t>
      </w:r>
      <w:r w:rsidR="00823B8F" w:rsidRPr="004C7DA2">
        <w:rPr>
          <w:rtl/>
          <w:lang w:eastAsia="en-GB"/>
        </w:rPr>
        <w:t>ضمان</w:t>
      </w:r>
      <w:r w:rsidR="00823B8F">
        <w:rPr>
          <w:rFonts w:hint="cs"/>
          <w:rtl/>
          <w:lang w:eastAsia="en-GB"/>
        </w:rPr>
        <w:t xml:space="preserve"> </w:t>
      </w:r>
      <w:r w:rsidR="00823B8F" w:rsidRPr="004C7DA2">
        <w:rPr>
          <w:rtl/>
          <w:lang w:eastAsia="en-GB"/>
        </w:rPr>
        <w:t>الاستقلال</w:t>
      </w:r>
      <w:r w:rsidR="00823B8F">
        <w:rPr>
          <w:rFonts w:hint="cs"/>
          <w:rtl/>
          <w:lang w:eastAsia="en-GB"/>
        </w:rPr>
        <w:t xml:space="preserve"> الكامل</w:t>
      </w:r>
      <w:r w:rsidR="00823B8F" w:rsidRPr="004C7DA2">
        <w:rPr>
          <w:rtl/>
          <w:lang w:eastAsia="en-GB"/>
        </w:rPr>
        <w:t xml:space="preserve"> </w:t>
      </w:r>
      <w:r w:rsidR="00823B8F">
        <w:rPr>
          <w:rFonts w:hint="cs"/>
          <w:rtl/>
          <w:lang w:eastAsia="en-GB"/>
        </w:rPr>
        <w:t>الذي يُتوقع أن تتمتع به هذه الهيئات (المادة 2).</w:t>
      </w:r>
    </w:p>
    <w:p w:rsidR="00823B8F" w:rsidRPr="00C1733B" w:rsidRDefault="00C1733B" w:rsidP="00C54611">
      <w:pPr>
        <w:pStyle w:val="SingleTxtGA"/>
        <w:rPr>
          <w:rFonts w:ascii="Times New Roman Bold" w:eastAsia="Malgun Gothic" w:hAnsi="Times New Roman Bold" w:hint="cs"/>
          <w:b/>
          <w:bCs/>
          <w:spacing w:val="-2"/>
          <w:lang w:eastAsia="en-GB"/>
        </w:rPr>
      </w:pPr>
      <w:r w:rsidRPr="00C1733B">
        <w:rPr>
          <w:rFonts w:ascii="Times New Roman Bold" w:eastAsia="Malgun Gothic" w:hAnsi="Times New Roman Bold" w:hint="cs"/>
          <w:b/>
          <w:bCs/>
          <w:spacing w:val="-2"/>
          <w:rtl/>
          <w:lang w:eastAsia="en-GB"/>
        </w:rPr>
        <w:tab/>
      </w:r>
      <w:r w:rsidR="00823B8F" w:rsidRPr="00C1733B">
        <w:rPr>
          <w:rFonts w:ascii="Times New Roman Bold" w:eastAsia="Malgun Gothic" w:hAnsi="Times New Roman Bold" w:hint="cs"/>
          <w:b/>
          <w:bCs/>
          <w:spacing w:val="-2"/>
          <w:rtl/>
          <w:lang w:eastAsia="en-GB"/>
        </w:rPr>
        <w:t xml:space="preserve">توصي اللجنة بأن توقف الدولة الطرف ممارسة انتداب الأشخاص العاملين في أماكن الحرمان من الحرية للعمل في الهيئات التابعة للآلية الوقائية الوطنية. وتوصي بأن تستمر الدولة الطرف في تزويد الهيئات التي تتألف منها الآلية الوقائية الوطنية بما يكفي من الموارد البشرية والمادية والمالية لكي تضطلع بولايتها في مجال </w:t>
      </w:r>
      <w:r w:rsidRPr="00C1733B">
        <w:rPr>
          <w:rFonts w:ascii="Times New Roman Bold" w:eastAsia="Malgun Gothic" w:hAnsi="Times New Roman Bold" w:hint="cs"/>
          <w:b/>
          <w:bCs/>
          <w:spacing w:val="-2"/>
          <w:rtl/>
          <w:lang w:eastAsia="en-GB"/>
        </w:rPr>
        <w:t>الوقاية على نحو مستقل وفعال.</w:t>
      </w:r>
    </w:p>
    <w:p w:rsidR="00823B8F" w:rsidRPr="00B87FFD" w:rsidRDefault="00C1733B" w:rsidP="00124AEF">
      <w:pPr>
        <w:pStyle w:val="H23GA"/>
        <w:rPr>
          <w:rFonts w:hint="cs"/>
        </w:rPr>
      </w:pPr>
      <w:r>
        <w:rPr>
          <w:rFonts w:hint="cs"/>
          <w:rtl/>
        </w:rPr>
        <w:tab/>
      </w:r>
      <w:r>
        <w:rPr>
          <w:rFonts w:hint="cs"/>
          <w:rtl/>
        </w:rPr>
        <w:tab/>
      </w:r>
      <w:r w:rsidR="00823B8F" w:rsidRPr="00B87FFD">
        <w:rPr>
          <w:rFonts w:hint="cs"/>
          <w:rtl/>
        </w:rPr>
        <w:t xml:space="preserve">التحقيق في الادعاءات المتعلقة بأعمال التعذيب في الخارج </w:t>
      </w:r>
    </w:p>
    <w:p w:rsidR="00823B8F" w:rsidRPr="00C1733B" w:rsidRDefault="00C1733B" w:rsidP="00C1733B">
      <w:pPr>
        <w:pStyle w:val="SingleTxtGA"/>
        <w:rPr>
          <w:rFonts w:eastAsia="Calibri" w:hint="cs"/>
          <w:spacing w:val="-2"/>
          <w:rtl/>
          <w:lang w:eastAsia="en-GB"/>
        </w:rPr>
      </w:pPr>
      <w:r>
        <w:rPr>
          <w:rFonts w:eastAsia="Calibri" w:hint="cs"/>
          <w:rtl/>
          <w:lang w:eastAsia="en-GB"/>
        </w:rPr>
        <w:t>(</w:t>
      </w:r>
      <w:r w:rsidR="00823B8F">
        <w:rPr>
          <w:rFonts w:eastAsia="Calibri" w:hint="cs"/>
          <w:rtl/>
          <w:lang w:eastAsia="en-GB"/>
        </w:rPr>
        <w:t>15</w:t>
      </w:r>
      <w:r>
        <w:rPr>
          <w:rFonts w:eastAsia="Calibri" w:hint="cs"/>
          <w:rtl/>
          <w:lang w:eastAsia="en-GB"/>
        </w:rPr>
        <w:t>)</w:t>
      </w:r>
      <w:r>
        <w:rPr>
          <w:rFonts w:eastAsia="Calibri" w:hint="cs"/>
          <w:rtl/>
          <w:lang w:eastAsia="en-GB"/>
        </w:rPr>
        <w:tab/>
      </w:r>
      <w:r w:rsidR="00823B8F">
        <w:rPr>
          <w:rFonts w:eastAsia="Calibri" w:hint="cs"/>
          <w:rtl/>
          <w:lang w:eastAsia="en-GB"/>
        </w:rPr>
        <w:t>تشعر اللجنة بقلق بالغ إزاء تزايد عدد الادعاءات الخطيرة بشأن أعمال التعذيب وسوء المعاملة بما في ذلك التواطؤ، التي ارتكبت في إطار التدخل العسكري للدولة الطرف في العراق وأفغانستان. وهي ترحب بالضمانات التي قدمتها الدولة الطرف بشأن اعتزامها "إجراء تحقيق قضائي مستقل"، ونشر أكبر جزء ممكن من التقرير المؤقت عن التحقيق</w:t>
      </w:r>
      <w:r w:rsidR="00823B8F" w:rsidRPr="000B6026">
        <w:rPr>
          <w:rFonts w:eastAsia="Calibri"/>
          <w:rtl/>
          <w:lang w:eastAsia="en-GB"/>
        </w:rPr>
        <w:t xml:space="preserve"> </w:t>
      </w:r>
      <w:r w:rsidR="00823B8F">
        <w:rPr>
          <w:rFonts w:eastAsia="Calibri" w:hint="cs"/>
          <w:rtl/>
          <w:lang w:eastAsia="en-GB"/>
        </w:rPr>
        <w:t xml:space="preserve">بشأن </w:t>
      </w:r>
      <w:r w:rsidR="00823B8F" w:rsidRPr="00C1733B">
        <w:rPr>
          <w:rFonts w:eastAsia="Calibri" w:hint="cs"/>
          <w:spacing w:val="-2"/>
          <w:rtl/>
          <w:lang w:eastAsia="en-GB"/>
        </w:rPr>
        <w:t xml:space="preserve">المحتجزين </w:t>
      </w:r>
      <w:r w:rsidR="00823B8F" w:rsidRPr="00C1733B">
        <w:rPr>
          <w:rFonts w:eastAsia="Calibri"/>
          <w:spacing w:val="-2"/>
          <w:rtl/>
          <w:lang w:eastAsia="en-GB"/>
        </w:rPr>
        <w:t>برئاسة</w:t>
      </w:r>
      <w:r w:rsidR="00823B8F" w:rsidRPr="00C1733B">
        <w:rPr>
          <w:rFonts w:eastAsia="Calibri" w:hint="cs"/>
          <w:spacing w:val="-2"/>
          <w:rtl/>
          <w:lang w:eastAsia="en-GB"/>
        </w:rPr>
        <w:t xml:space="preserve"> السير بيتر جيبسون لتحديد مدى تورط الوكالات الأمنية والاستخباراتية التابعة للدولة </w:t>
      </w:r>
      <w:r w:rsidR="00823B8F" w:rsidRPr="00C1733B">
        <w:rPr>
          <w:rFonts w:eastAsia="Calibri"/>
          <w:spacing w:val="-2"/>
          <w:rtl/>
          <w:lang w:eastAsia="en-GB"/>
        </w:rPr>
        <w:t xml:space="preserve">في </w:t>
      </w:r>
      <w:r w:rsidR="00823B8F" w:rsidRPr="00C1733B">
        <w:rPr>
          <w:rFonts w:eastAsia="Calibri" w:hint="cs"/>
          <w:spacing w:val="-2"/>
          <w:rtl/>
          <w:lang w:eastAsia="en-GB"/>
        </w:rPr>
        <w:t>"</w:t>
      </w:r>
      <w:r w:rsidR="00823B8F" w:rsidRPr="00C1733B">
        <w:rPr>
          <w:rFonts w:eastAsia="Calibri"/>
          <w:spacing w:val="-2"/>
          <w:rtl/>
          <w:lang w:eastAsia="en-GB"/>
        </w:rPr>
        <w:t xml:space="preserve">معاملة </w:t>
      </w:r>
      <w:r w:rsidR="00823B8F" w:rsidRPr="00C1733B">
        <w:rPr>
          <w:rFonts w:eastAsia="Calibri" w:hint="cs"/>
          <w:spacing w:val="-2"/>
          <w:rtl/>
          <w:lang w:eastAsia="en-GB"/>
        </w:rPr>
        <w:t>الأشخاص الذين تحتجزهم</w:t>
      </w:r>
      <w:r w:rsidR="00823B8F" w:rsidRPr="00C1733B">
        <w:rPr>
          <w:rFonts w:eastAsia="Calibri"/>
          <w:spacing w:val="-2"/>
          <w:rtl/>
          <w:lang w:eastAsia="en-GB"/>
        </w:rPr>
        <w:t xml:space="preserve"> بلدان أخرى في </w:t>
      </w:r>
      <w:r w:rsidR="00823B8F" w:rsidRPr="00C1733B">
        <w:rPr>
          <w:rFonts w:eastAsia="Calibri" w:hint="cs"/>
          <w:spacing w:val="-2"/>
          <w:rtl/>
          <w:lang w:eastAsia="en-GB"/>
        </w:rPr>
        <w:t>إطار</w:t>
      </w:r>
      <w:r w:rsidR="00823B8F" w:rsidRPr="00C1733B">
        <w:rPr>
          <w:rFonts w:eastAsia="Calibri"/>
          <w:spacing w:val="-2"/>
          <w:rtl/>
          <w:lang w:eastAsia="en-GB"/>
        </w:rPr>
        <w:t xml:space="preserve"> عمليات مكافحة الإرهاب في الخارج</w:t>
      </w:r>
      <w:r w:rsidR="00823B8F" w:rsidRPr="00C1733B">
        <w:rPr>
          <w:rFonts w:eastAsia="Calibri" w:hint="cs"/>
          <w:spacing w:val="-2"/>
          <w:rtl/>
          <w:lang w:eastAsia="en-GB"/>
        </w:rPr>
        <w:t>، معاملة غير لائقة". وتلاحظ اللجنة بقلق</w:t>
      </w:r>
      <w:r w:rsidR="00823B8F" w:rsidRPr="00C1733B">
        <w:rPr>
          <w:rFonts w:eastAsia="Calibri"/>
          <w:spacing w:val="-2"/>
          <w:rtl/>
          <w:lang w:eastAsia="en-GB"/>
        </w:rPr>
        <w:t xml:space="preserve"> أن الدولة الطرف لم تحدد </w:t>
      </w:r>
      <w:r w:rsidR="00823B8F" w:rsidRPr="00C1733B">
        <w:rPr>
          <w:rFonts w:eastAsia="Calibri" w:hint="cs"/>
          <w:spacing w:val="-2"/>
          <w:rtl/>
          <w:lang w:eastAsia="en-GB"/>
        </w:rPr>
        <w:t>حتى الآن،</w:t>
      </w:r>
      <w:r w:rsidR="00823B8F" w:rsidRPr="00C1733B">
        <w:rPr>
          <w:rFonts w:eastAsia="Calibri"/>
          <w:spacing w:val="-2"/>
          <w:rtl/>
          <w:lang w:eastAsia="en-GB"/>
        </w:rPr>
        <w:t xml:space="preserve"> جدولا</w:t>
      </w:r>
      <w:r w:rsidRPr="00C1733B">
        <w:rPr>
          <w:rFonts w:eastAsia="Calibri" w:hint="cs"/>
          <w:spacing w:val="-2"/>
          <w:rtl/>
          <w:lang w:eastAsia="en-GB"/>
        </w:rPr>
        <w:t>ً</w:t>
      </w:r>
      <w:r w:rsidR="00823B8F" w:rsidRPr="00C1733B">
        <w:rPr>
          <w:rFonts w:eastAsia="Calibri"/>
          <w:spacing w:val="-2"/>
          <w:rtl/>
          <w:lang w:eastAsia="en-GB"/>
        </w:rPr>
        <w:t xml:space="preserve"> زمنيا</w:t>
      </w:r>
      <w:r w:rsidRPr="00C1733B">
        <w:rPr>
          <w:rFonts w:eastAsia="Calibri" w:hint="cs"/>
          <w:spacing w:val="-2"/>
          <w:rtl/>
          <w:lang w:eastAsia="en-GB"/>
        </w:rPr>
        <w:t>ً</w:t>
      </w:r>
      <w:r w:rsidR="00823B8F" w:rsidRPr="00C1733B">
        <w:rPr>
          <w:rFonts w:eastAsia="Calibri"/>
          <w:spacing w:val="-2"/>
          <w:rtl/>
          <w:lang w:eastAsia="en-GB"/>
        </w:rPr>
        <w:t xml:space="preserve"> واضحا</w:t>
      </w:r>
      <w:r w:rsidRPr="00C1733B">
        <w:rPr>
          <w:rFonts w:eastAsia="Calibri" w:hint="cs"/>
          <w:spacing w:val="-2"/>
          <w:rtl/>
          <w:lang w:eastAsia="en-GB"/>
        </w:rPr>
        <w:t>ً</w:t>
      </w:r>
      <w:r w:rsidR="00823B8F" w:rsidRPr="00C1733B">
        <w:rPr>
          <w:rFonts w:eastAsia="Calibri"/>
          <w:spacing w:val="-2"/>
          <w:rtl/>
          <w:lang w:eastAsia="en-GB"/>
        </w:rPr>
        <w:t xml:space="preserve"> لإ</w:t>
      </w:r>
      <w:r w:rsidR="00823B8F" w:rsidRPr="00C1733B">
        <w:rPr>
          <w:rFonts w:eastAsia="Calibri" w:hint="cs"/>
          <w:spacing w:val="-2"/>
          <w:rtl/>
          <w:lang w:eastAsia="en-GB"/>
        </w:rPr>
        <w:t>جر</w:t>
      </w:r>
      <w:r w:rsidR="00823B8F" w:rsidRPr="00C1733B">
        <w:rPr>
          <w:rFonts w:eastAsia="Calibri"/>
          <w:spacing w:val="-2"/>
          <w:rtl/>
          <w:lang w:eastAsia="en-GB"/>
        </w:rPr>
        <w:t xml:space="preserve">اء التحقيق الجديد </w:t>
      </w:r>
      <w:r w:rsidR="00823B8F" w:rsidRPr="00C1733B">
        <w:rPr>
          <w:rFonts w:eastAsia="Calibri" w:hint="cs"/>
          <w:spacing w:val="-2"/>
          <w:rtl/>
          <w:lang w:eastAsia="en-GB"/>
        </w:rPr>
        <w:t xml:space="preserve">الذي </w:t>
      </w:r>
      <w:r w:rsidR="00823B8F" w:rsidRPr="00C1733B">
        <w:rPr>
          <w:rFonts w:eastAsia="Calibri"/>
          <w:spacing w:val="-2"/>
          <w:rtl/>
          <w:lang w:eastAsia="en-GB"/>
        </w:rPr>
        <w:t xml:space="preserve">قد </w:t>
      </w:r>
      <w:r w:rsidR="00823B8F" w:rsidRPr="00C1733B">
        <w:rPr>
          <w:rFonts w:eastAsia="Calibri" w:hint="cs"/>
          <w:spacing w:val="-2"/>
          <w:rtl/>
          <w:lang w:eastAsia="en-GB"/>
        </w:rPr>
        <w:t xml:space="preserve">يفضي </w:t>
      </w:r>
      <w:r w:rsidRPr="00C1733B">
        <w:rPr>
          <w:rFonts w:eastAsia="Calibri"/>
          <w:spacing w:val="-2"/>
          <w:rtl/>
          <w:lang w:eastAsia="en-GB"/>
        </w:rPr>
        <w:t>إلى تعديل المادة 134(4) و</w:t>
      </w:r>
      <w:r w:rsidR="00823B8F" w:rsidRPr="00C1733B">
        <w:rPr>
          <w:rFonts w:eastAsia="Calibri"/>
          <w:spacing w:val="-2"/>
          <w:rtl/>
          <w:lang w:eastAsia="en-GB"/>
        </w:rPr>
        <w:t xml:space="preserve">(5) من القانون الجنائي لعام 1988، ولا لنشر التقرير المؤقت </w:t>
      </w:r>
      <w:r w:rsidR="00823B8F" w:rsidRPr="00C1733B">
        <w:rPr>
          <w:rFonts w:eastAsia="Calibri" w:hint="cs"/>
          <w:spacing w:val="-2"/>
          <w:rtl/>
          <w:lang w:eastAsia="en-GB"/>
        </w:rPr>
        <w:t>عن</w:t>
      </w:r>
      <w:r w:rsidR="00823B8F" w:rsidRPr="00C1733B">
        <w:rPr>
          <w:rFonts w:eastAsia="Calibri"/>
          <w:spacing w:val="-2"/>
          <w:rtl/>
          <w:lang w:eastAsia="en-GB"/>
        </w:rPr>
        <w:t xml:space="preserve"> التحقيق </w:t>
      </w:r>
      <w:r w:rsidR="00823B8F" w:rsidRPr="00C1733B">
        <w:rPr>
          <w:rFonts w:eastAsia="Calibri" w:hint="cs"/>
          <w:spacing w:val="-2"/>
          <w:rtl/>
          <w:lang w:eastAsia="en-GB"/>
        </w:rPr>
        <w:t>بشأن المحتجزين (المواد 2 و12 و13 و14 و16).</w:t>
      </w:r>
    </w:p>
    <w:p w:rsidR="00823B8F" w:rsidRPr="00ED1C5C" w:rsidRDefault="00C1733B" w:rsidP="00C54611">
      <w:pPr>
        <w:pStyle w:val="SingleTxtGA"/>
        <w:rPr>
          <w:rFonts w:ascii="Times New Roman Bold" w:eastAsia="Calibri" w:hAnsi="Times New Roman Bold" w:hint="cs"/>
          <w:b/>
          <w:bCs/>
          <w:spacing w:val="-2"/>
          <w:lang w:eastAsia="en-GB"/>
        </w:rPr>
      </w:pPr>
      <w:r w:rsidRPr="00ED1C5C">
        <w:rPr>
          <w:rFonts w:eastAsia="Calibri" w:hint="cs"/>
          <w:b/>
          <w:bCs/>
          <w:spacing w:val="-2"/>
          <w:rtl/>
          <w:lang w:eastAsia="en-GB"/>
        </w:rPr>
        <w:tab/>
      </w:r>
      <w:r w:rsidR="00823B8F" w:rsidRPr="00ED1C5C">
        <w:rPr>
          <w:rFonts w:eastAsia="Calibri" w:hint="cs"/>
          <w:b/>
          <w:bCs/>
          <w:spacing w:val="-2"/>
          <w:rtl/>
          <w:lang w:eastAsia="en-GB"/>
        </w:rPr>
        <w:t xml:space="preserve">توصي اللجنة بأن تبادر الدولة الطرف دون مزيد من التأخير إلى التحقيق في أعمال التعذيب وسوء المعاملة التي يُزعم أن الأشخاص المحتجزين في الخارج تعرضوا لها، إما بإيعاز من مسؤولين بريطانيين أو بموافقتهم. وينبغي أن تحرص الدولة الطرف على أن يستهدف التحقيق الجديد تدارك جوانب القصور التي تبيَّنتها مجموعة كبيرة من الجهات الفاعلة في لجنة التحقيق بشأن المحتجزين. وفي هذا الصدد، تشجع اللجنة الدولة الطرف على إيلاء الاعتبار الواجب لتقرير المقرر الخاص </w:t>
      </w:r>
      <w:r w:rsidR="00823B8F" w:rsidRPr="00ED1C5C">
        <w:rPr>
          <w:rFonts w:eastAsia="Calibri"/>
          <w:b/>
          <w:bCs/>
          <w:spacing w:val="-2"/>
          <w:rtl/>
          <w:lang w:eastAsia="en-GB"/>
        </w:rPr>
        <w:t>المعني بمسألة التعذيب وغيره من ضروب المعاملة أو العقوبة القاسية أو اللاإنسانية أو المهينة</w:t>
      </w:r>
      <w:r w:rsidR="00823B8F" w:rsidRPr="00ED1C5C">
        <w:rPr>
          <w:rFonts w:eastAsia="Calibri" w:hint="cs"/>
          <w:b/>
          <w:bCs/>
          <w:spacing w:val="-2"/>
          <w:rtl/>
          <w:lang w:eastAsia="en-GB"/>
        </w:rPr>
        <w:t xml:space="preserve"> </w:t>
      </w:r>
      <w:r w:rsidR="00823B8F" w:rsidRPr="00ED1C5C">
        <w:rPr>
          <w:rFonts w:eastAsia="Calibri"/>
          <w:b/>
          <w:bCs/>
          <w:spacing w:val="-2"/>
          <w:szCs w:val="28"/>
          <w:lang w:eastAsia="en-GB"/>
        </w:rPr>
        <w:t>(A/</w:t>
      </w:r>
      <w:smartTag w:uri="urn:schemas-microsoft-com:office:smarttags" w:element="stockticker">
        <w:r w:rsidR="00823B8F" w:rsidRPr="00ED1C5C">
          <w:rPr>
            <w:rFonts w:eastAsia="Calibri"/>
            <w:b/>
            <w:bCs/>
            <w:spacing w:val="-2"/>
            <w:szCs w:val="28"/>
            <w:lang w:eastAsia="en-GB"/>
          </w:rPr>
          <w:t>HRC</w:t>
        </w:r>
      </w:smartTag>
      <w:r w:rsidR="00823B8F" w:rsidRPr="00ED1C5C">
        <w:rPr>
          <w:rFonts w:eastAsia="Calibri"/>
          <w:b/>
          <w:bCs/>
          <w:spacing w:val="-2"/>
          <w:szCs w:val="28"/>
          <w:lang w:eastAsia="en-GB"/>
        </w:rPr>
        <w:t>/19/61)</w:t>
      </w:r>
      <w:r w:rsidR="00823B8F" w:rsidRPr="00ED1C5C">
        <w:rPr>
          <w:rFonts w:eastAsia="Calibri" w:hint="cs"/>
          <w:b/>
          <w:bCs/>
          <w:spacing w:val="-2"/>
          <w:rtl/>
          <w:lang w:eastAsia="en-GB"/>
        </w:rPr>
        <w:t xml:space="preserve">. وينبغي أن تضمن </w:t>
      </w:r>
      <w:r w:rsidR="00823B8F" w:rsidRPr="00ED1C5C">
        <w:rPr>
          <w:rFonts w:ascii="Times New Roman Bold" w:eastAsia="Calibri" w:hAnsi="Times New Roman Bold" w:hint="cs"/>
          <w:b/>
          <w:bCs/>
          <w:spacing w:val="-2"/>
          <w:rtl/>
          <w:lang w:eastAsia="en-GB"/>
        </w:rPr>
        <w:t>الدولة الطرف مقاضاة جميع مرتكبي أعمال التعذيب وسوء المعاملة الذين يكشف التحقيق هويتهم، وفق الأصول، وإنزال العقوبة المناسبة بهم، وحصول كل ضحية على الجبر الفعال بما في ذلك التعويض المناسب. وعلاوة على ذلك، تحث اللجنة الدولة الطرف على الإسراع في نشر مضمون التقرير المؤقت للجنة التحقيق بشأن</w:t>
      </w:r>
      <w:r w:rsidR="00ED1C5C">
        <w:rPr>
          <w:rFonts w:ascii="Times New Roman Bold" w:eastAsia="Calibri" w:hAnsi="Times New Roman Bold" w:hint="cs"/>
          <w:b/>
          <w:bCs/>
          <w:spacing w:val="-2"/>
          <w:rtl/>
          <w:lang w:eastAsia="en-GB"/>
        </w:rPr>
        <w:t xml:space="preserve"> المحتجزين على أوسع نطاق ممكن.</w:t>
      </w:r>
    </w:p>
    <w:p w:rsidR="00823B8F" w:rsidRPr="00C1733B" w:rsidRDefault="00ED1C5C" w:rsidP="00124AEF">
      <w:pPr>
        <w:pStyle w:val="H23GA"/>
        <w:rPr>
          <w:rFonts w:hint="cs"/>
        </w:rPr>
      </w:pPr>
      <w:r>
        <w:rPr>
          <w:rFonts w:hint="cs"/>
          <w:rtl/>
        </w:rPr>
        <w:tab/>
      </w:r>
      <w:r>
        <w:rPr>
          <w:rFonts w:hint="cs"/>
          <w:rtl/>
        </w:rPr>
        <w:tab/>
      </w:r>
      <w:r w:rsidR="00823B8F" w:rsidRPr="00C1733B">
        <w:rPr>
          <w:rFonts w:hint="cs"/>
          <w:rtl/>
        </w:rPr>
        <w:t xml:space="preserve">المساءلة بشأن التجاوزات التي حدثت في العراق </w:t>
      </w:r>
    </w:p>
    <w:p w:rsidR="00823B8F" w:rsidRPr="00C1733B" w:rsidRDefault="00ED1C5C" w:rsidP="00ED1C5C">
      <w:pPr>
        <w:pStyle w:val="SingleTxtGA"/>
        <w:rPr>
          <w:rFonts w:eastAsia="Calibri" w:hint="cs"/>
          <w:lang w:eastAsia="en-GB"/>
        </w:rPr>
      </w:pPr>
      <w:r>
        <w:rPr>
          <w:rFonts w:eastAsia="Calibri" w:hint="cs"/>
          <w:rtl/>
          <w:lang w:eastAsia="en-GB"/>
        </w:rPr>
        <w:t>(</w:t>
      </w:r>
      <w:r w:rsidR="00823B8F" w:rsidRPr="00C1733B">
        <w:rPr>
          <w:rFonts w:eastAsia="Calibri" w:hint="cs"/>
          <w:rtl/>
          <w:lang w:eastAsia="en-GB"/>
        </w:rPr>
        <w:t>16</w:t>
      </w:r>
      <w:r>
        <w:rPr>
          <w:rFonts w:eastAsia="Calibri" w:hint="cs"/>
          <w:rtl/>
          <w:lang w:eastAsia="en-GB"/>
        </w:rPr>
        <w:t>)</w:t>
      </w:r>
      <w:r>
        <w:rPr>
          <w:rFonts w:eastAsia="Calibri" w:hint="cs"/>
          <w:rtl/>
          <w:lang w:eastAsia="en-GB"/>
        </w:rPr>
        <w:tab/>
      </w:r>
      <w:r w:rsidR="00823B8F" w:rsidRPr="00C1733B">
        <w:rPr>
          <w:rFonts w:eastAsia="Calibri" w:hint="cs"/>
          <w:rtl/>
          <w:lang w:eastAsia="en-GB"/>
        </w:rPr>
        <w:t>تحيط اللجنة علما</w:t>
      </w:r>
      <w:r>
        <w:rPr>
          <w:rFonts w:eastAsia="Calibri" w:hint="cs"/>
          <w:rtl/>
          <w:lang w:eastAsia="en-GB"/>
        </w:rPr>
        <w:t>ً</w:t>
      </w:r>
      <w:r w:rsidR="00823B8F" w:rsidRPr="00C1733B">
        <w:rPr>
          <w:rFonts w:eastAsia="Calibri" w:hint="cs"/>
          <w:rtl/>
          <w:lang w:eastAsia="en-GB"/>
        </w:rPr>
        <w:t xml:space="preserve"> بإجراء تحقيقات في الادعاءات التي تستهدف جنود الدولة الطرف في العراق مثل التحقيق العام في قضية بهاء موسى والتحقيق العام الجاري في قضية السويدي. وتحيط علما</w:t>
      </w:r>
      <w:r w:rsidR="00255B48">
        <w:rPr>
          <w:rFonts w:eastAsia="Calibri" w:hint="cs"/>
          <w:rtl/>
          <w:lang w:eastAsia="en-GB"/>
        </w:rPr>
        <w:t>ً</w:t>
      </w:r>
      <w:r w:rsidR="00823B8F" w:rsidRPr="00C1733B">
        <w:rPr>
          <w:rFonts w:eastAsia="Calibri" w:hint="cs"/>
          <w:rtl/>
          <w:lang w:eastAsia="en-GB"/>
        </w:rPr>
        <w:t xml:space="preserve"> بإنشاء</w:t>
      </w:r>
      <w:r w:rsidR="00823B8F" w:rsidRPr="00C1733B">
        <w:rPr>
          <w:rtl/>
        </w:rPr>
        <w:t xml:space="preserve"> </w:t>
      </w:r>
      <w:r w:rsidR="00823B8F" w:rsidRPr="00C1733B">
        <w:rPr>
          <w:rFonts w:eastAsia="Calibri"/>
          <w:rtl/>
          <w:lang w:eastAsia="en-GB"/>
        </w:rPr>
        <w:t>فريق الادعاءات التاريخية العراقية</w:t>
      </w:r>
      <w:r w:rsidR="00823B8F" w:rsidRPr="00C1733B">
        <w:rPr>
          <w:rFonts w:eastAsia="Calibri" w:hint="cs"/>
          <w:rtl/>
          <w:lang w:eastAsia="en-GB"/>
        </w:rPr>
        <w:t xml:space="preserve"> للتحقيق في مزاعم تتعلق بتعرض مواطنين عراقيين للاعتداء على أيدي جنود بريطانيين، لكنها لا تزال تخشى على أعضاء هذا الفريق وعلى استقلاله الهيكلي من الصلات المؤسسية التي لا تزال تربطه بوزارة الدفاع. </w:t>
      </w:r>
      <w:r w:rsidR="00823B8F" w:rsidRPr="00ED1C5C">
        <w:rPr>
          <w:rFonts w:eastAsia="Calibri" w:hint="cs"/>
          <w:spacing w:val="-2"/>
          <w:rtl/>
          <w:lang w:eastAsia="en-GB"/>
        </w:rPr>
        <w:t>وبالنظر إلى عدد المطالبات القانونية التي لا تزال ترد حتى الآن، من عراقيين يدعون أنهم تعرضوا للإيذاء على أيدي ضباط بريطانيين في العراق في الفترة من 2003 إلى 2009، تأسف اللجنة لاستمرار رفض الدولة الطرف إجراء تحقيق عام شامل يسمح بتقييم حجم أعمال التعذيب وسوء المعاملة التي مورست ويحدد مسؤولية الشخصيات السياسية والعسكرية التي قد تكون ضالعة فيها. وعلاوة على ذلك، تشعر بقلق بالغ إزاء عدم إجراء</w:t>
      </w:r>
      <w:r w:rsidR="00823B8F" w:rsidRPr="00C1733B">
        <w:rPr>
          <w:rFonts w:eastAsia="Calibri" w:hint="cs"/>
          <w:rtl/>
          <w:lang w:eastAsia="en-GB"/>
        </w:rPr>
        <w:t xml:space="preserve"> أي محاكمات جنائية بشأن ممارسة التعذيب أو المشاركة في ممارسته لمسؤولين في الدولة أو أفراد من الأجهزة الأمنية أو</w:t>
      </w:r>
      <w:r>
        <w:rPr>
          <w:rFonts w:eastAsia="Calibri" w:hint="eastAsia"/>
          <w:rtl/>
          <w:lang w:eastAsia="en-GB"/>
        </w:rPr>
        <w:t> </w:t>
      </w:r>
      <w:r w:rsidR="00823B8F" w:rsidRPr="00C1733B">
        <w:rPr>
          <w:rFonts w:eastAsia="Calibri" w:hint="cs"/>
          <w:rtl/>
          <w:lang w:eastAsia="en-GB"/>
        </w:rPr>
        <w:t xml:space="preserve">من الجيش حتى هذا اليوم، على الرغم من خضوع عدد من الجنود للمحاكمة العسكرية بتهمة ارتكاب تجاوزات في حق مدنيين بالعراق (المواد </w:t>
      </w:r>
      <w:r>
        <w:rPr>
          <w:rFonts w:eastAsia="Calibri" w:hint="cs"/>
          <w:rtl/>
          <w:lang w:eastAsia="en-GB"/>
        </w:rPr>
        <w:t>2 و13 و14 و16).</w:t>
      </w:r>
    </w:p>
    <w:p w:rsidR="00823B8F" w:rsidRPr="00C1733B" w:rsidRDefault="00ED1C5C" w:rsidP="00ED1C5C">
      <w:pPr>
        <w:pStyle w:val="SingleTxtGA"/>
        <w:spacing w:line="364" w:lineRule="exact"/>
        <w:rPr>
          <w:rFonts w:eastAsia="Calibri"/>
          <w:b/>
          <w:bCs/>
          <w:lang w:eastAsia="en-GB"/>
        </w:rPr>
      </w:pPr>
      <w:r>
        <w:rPr>
          <w:rFonts w:eastAsia="Calibri" w:hint="cs"/>
          <w:b/>
          <w:bCs/>
          <w:rtl/>
          <w:lang w:eastAsia="en-GB"/>
        </w:rPr>
        <w:tab/>
      </w:r>
      <w:r w:rsidR="00823B8F" w:rsidRPr="00C1733B">
        <w:rPr>
          <w:rFonts w:eastAsia="Calibri" w:hint="cs"/>
          <w:b/>
          <w:bCs/>
          <w:rtl/>
          <w:lang w:eastAsia="en-GB"/>
        </w:rPr>
        <w:t>تحث اللجنة الدولة الطرف على اتخاذ جميع التدابير اللازمة لتحديد المسؤوليات وضمان المساءلة بما في ذلك تشكيل لجنة تحقيق مستقلة واحدة تتولى التحقيق في الادعاءات المتعلقة بالتعذيب</w:t>
      </w:r>
      <w:r w:rsidR="00823B8F" w:rsidRPr="00C1733B">
        <w:rPr>
          <w:b/>
          <w:bCs/>
          <w:rtl/>
        </w:rPr>
        <w:t xml:space="preserve"> </w:t>
      </w:r>
      <w:r w:rsidR="00823B8F" w:rsidRPr="00C1733B">
        <w:rPr>
          <w:rFonts w:eastAsia="Calibri"/>
          <w:b/>
          <w:bCs/>
          <w:color w:val="000000"/>
          <w:rtl/>
          <w:lang w:eastAsia="en-GB"/>
        </w:rPr>
        <w:t>وغيره من ضروب المعاملة أو العقوبة القاسية أو اللاإنسانية أو المهينة</w:t>
      </w:r>
      <w:r w:rsidR="00823B8F" w:rsidRPr="00C1733B">
        <w:rPr>
          <w:rFonts w:eastAsia="Calibri"/>
          <w:b/>
          <w:bCs/>
          <w:rtl/>
          <w:lang w:eastAsia="en-GB"/>
        </w:rPr>
        <w:t xml:space="preserve"> </w:t>
      </w:r>
      <w:r w:rsidR="00823B8F" w:rsidRPr="00C1733B">
        <w:rPr>
          <w:rFonts w:eastAsia="Calibri" w:hint="cs"/>
          <w:b/>
          <w:bCs/>
          <w:rtl/>
          <w:lang w:eastAsia="en-GB"/>
        </w:rPr>
        <w:t xml:space="preserve">في العراق خلال الفترة الممتدة من 2003 إلى 2009. </w:t>
      </w:r>
      <w:r>
        <w:rPr>
          <w:rFonts w:eastAsia="Calibri" w:hint="cs"/>
          <w:b/>
          <w:bCs/>
          <w:rtl/>
          <w:lang w:eastAsia="en-GB"/>
        </w:rPr>
        <w:t>ووفقاً لتعليق اللجنة العام رقم 3</w:t>
      </w:r>
      <w:r w:rsidR="00823B8F" w:rsidRPr="00C1733B">
        <w:rPr>
          <w:rFonts w:eastAsia="Calibri" w:hint="cs"/>
          <w:b/>
          <w:bCs/>
          <w:rtl/>
          <w:lang w:eastAsia="en-GB"/>
        </w:rPr>
        <w:t>(2012) بشأن تنفيذ الدول الأطراف للمادة 14، فإن الدولة الطرف مطالبةٌ أيضا</w:t>
      </w:r>
      <w:r>
        <w:rPr>
          <w:rFonts w:eastAsia="Calibri" w:hint="cs"/>
          <w:b/>
          <w:bCs/>
          <w:rtl/>
          <w:lang w:eastAsia="en-GB"/>
        </w:rPr>
        <w:t>ً</w:t>
      </w:r>
      <w:r w:rsidR="00823B8F" w:rsidRPr="00C1733B">
        <w:rPr>
          <w:rFonts w:eastAsia="Calibri" w:hint="cs"/>
          <w:b/>
          <w:bCs/>
          <w:rtl/>
          <w:lang w:eastAsia="en-GB"/>
        </w:rPr>
        <w:t xml:space="preserve"> ب</w:t>
      </w:r>
      <w:r w:rsidR="00823B8F" w:rsidRPr="00C1733B">
        <w:rPr>
          <w:rFonts w:eastAsia="Calibri"/>
          <w:b/>
          <w:bCs/>
          <w:rtl/>
          <w:lang w:eastAsia="en-GB"/>
        </w:rPr>
        <w:t xml:space="preserve">إنصاف </w:t>
      </w:r>
      <w:r w:rsidR="00823B8F" w:rsidRPr="00C1733B">
        <w:rPr>
          <w:rFonts w:eastAsia="Calibri" w:hint="cs"/>
          <w:b/>
          <w:bCs/>
          <w:rtl/>
          <w:lang w:eastAsia="en-GB"/>
        </w:rPr>
        <w:t xml:space="preserve">جميع ضحايا </w:t>
      </w:r>
      <w:r w:rsidR="00823B8F" w:rsidRPr="00C1733B">
        <w:rPr>
          <w:rFonts w:eastAsia="Calibri"/>
          <w:b/>
          <w:bCs/>
          <w:color w:val="000000"/>
          <w:rtl/>
          <w:lang w:eastAsia="en-GB"/>
        </w:rPr>
        <w:t>التعذيب وغيره من ضروب المعاملة أو العقوبة القاسية أو اللاإنسانية أو المهينة</w:t>
      </w:r>
      <w:r w:rsidR="00823B8F" w:rsidRPr="00C1733B">
        <w:rPr>
          <w:rFonts w:eastAsia="Calibri"/>
          <w:b/>
          <w:bCs/>
          <w:rtl/>
          <w:lang w:eastAsia="en-GB"/>
        </w:rPr>
        <w:t xml:space="preserve"> </w:t>
      </w:r>
      <w:r w:rsidR="00823B8F" w:rsidRPr="00C1733B">
        <w:rPr>
          <w:rFonts w:eastAsia="Calibri" w:hint="cs"/>
          <w:b/>
          <w:bCs/>
          <w:rtl/>
          <w:lang w:eastAsia="en-GB"/>
        </w:rPr>
        <w:t xml:space="preserve">بما في ذلك </w:t>
      </w:r>
      <w:r w:rsidR="00823B8F" w:rsidRPr="00C1733B">
        <w:rPr>
          <w:rFonts w:eastAsia="Calibri"/>
          <w:b/>
          <w:bCs/>
          <w:rtl/>
          <w:lang w:eastAsia="en-GB"/>
        </w:rPr>
        <w:t>رد الحقوق</w:t>
      </w:r>
      <w:r w:rsidR="00823B8F" w:rsidRPr="00C1733B">
        <w:rPr>
          <w:rFonts w:eastAsia="Calibri" w:hint="cs"/>
          <w:b/>
          <w:bCs/>
          <w:rtl/>
          <w:lang w:eastAsia="en-GB"/>
        </w:rPr>
        <w:t>،</w:t>
      </w:r>
      <w:r w:rsidR="00823B8F" w:rsidRPr="00C1733B">
        <w:rPr>
          <w:rFonts w:eastAsia="Calibri"/>
          <w:b/>
          <w:bCs/>
          <w:rtl/>
          <w:lang w:eastAsia="en-GB"/>
        </w:rPr>
        <w:t xml:space="preserve"> والتعويض</w:t>
      </w:r>
      <w:r w:rsidR="00823B8F" w:rsidRPr="00C1733B">
        <w:rPr>
          <w:rFonts w:eastAsia="Calibri" w:hint="cs"/>
          <w:b/>
          <w:bCs/>
          <w:rtl/>
          <w:lang w:eastAsia="en-GB"/>
        </w:rPr>
        <w:t>،</w:t>
      </w:r>
      <w:r w:rsidR="00823B8F" w:rsidRPr="00C1733B">
        <w:rPr>
          <w:rFonts w:eastAsia="Calibri"/>
          <w:b/>
          <w:bCs/>
          <w:rtl/>
          <w:lang w:eastAsia="en-GB"/>
        </w:rPr>
        <w:t xml:space="preserve"> والترضية</w:t>
      </w:r>
      <w:r w:rsidR="00823B8F" w:rsidRPr="00C1733B">
        <w:rPr>
          <w:rFonts w:eastAsia="Calibri" w:hint="cs"/>
          <w:b/>
          <w:bCs/>
          <w:rtl/>
          <w:lang w:eastAsia="en-GB"/>
        </w:rPr>
        <w:t>،</w:t>
      </w:r>
      <w:r w:rsidR="00823B8F" w:rsidRPr="00C1733B">
        <w:rPr>
          <w:rFonts w:eastAsia="Calibri"/>
          <w:b/>
          <w:bCs/>
          <w:rtl/>
          <w:lang w:eastAsia="en-GB"/>
        </w:rPr>
        <w:t xml:space="preserve"> </w:t>
      </w:r>
      <w:r w:rsidR="00823B8F" w:rsidRPr="00C1733B">
        <w:rPr>
          <w:rFonts w:eastAsia="Calibri" w:hint="cs"/>
          <w:b/>
          <w:bCs/>
          <w:rtl/>
          <w:lang w:eastAsia="en-GB"/>
        </w:rPr>
        <w:t xml:space="preserve">والرعاية الطبية الملائمة وإعادة التأهيل. </w:t>
      </w:r>
    </w:p>
    <w:p w:rsidR="00823B8F" w:rsidRPr="00C1733B" w:rsidRDefault="00ED1C5C" w:rsidP="00124AEF">
      <w:pPr>
        <w:pStyle w:val="H23GA"/>
        <w:rPr>
          <w:rFonts w:hint="cs"/>
        </w:rPr>
      </w:pPr>
      <w:r>
        <w:rPr>
          <w:rFonts w:hint="cs"/>
          <w:rtl/>
        </w:rPr>
        <w:tab/>
      </w:r>
      <w:r>
        <w:rPr>
          <w:rFonts w:hint="cs"/>
          <w:rtl/>
        </w:rPr>
        <w:tab/>
      </w:r>
      <w:r w:rsidR="00823B8F" w:rsidRPr="00C1733B">
        <w:rPr>
          <w:rFonts w:hint="cs"/>
          <w:rtl/>
        </w:rPr>
        <w:t xml:space="preserve">فرض عقوبات مناسبة على أعمال التعذيب </w:t>
      </w:r>
    </w:p>
    <w:p w:rsidR="00823B8F" w:rsidRPr="00C1733B" w:rsidRDefault="00ED1C5C" w:rsidP="00ED1C5C">
      <w:pPr>
        <w:pStyle w:val="SingleTxtGA"/>
        <w:spacing w:line="364" w:lineRule="exact"/>
        <w:rPr>
          <w:rFonts w:eastAsia="Calibri" w:hint="cs"/>
          <w:lang w:eastAsia="en-GB"/>
        </w:rPr>
      </w:pPr>
      <w:r>
        <w:rPr>
          <w:rFonts w:eastAsia="Calibri" w:hint="cs"/>
          <w:rtl/>
          <w:lang w:eastAsia="en-GB"/>
        </w:rPr>
        <w:t>(</w:t>
      </w:r>
      <w:r w:rsidR="00823B8F" w:rsidRPr="00C1733B">
        <w:rPr>
          <w:rFonts w:eastAsia="Calibri" w:hint="cs"/>
          <w:rtl/>
          <w:lang w:eastAsia="en-GB"/>
        </w:rPr>
        <w:t>17</w:t>
      </w:r>
      <w:r>
        <w:rPr>
          <w:rFonts w:eastAsia="Calibri" w:hint="cs"/>
          <w:rtl/>
          <w:lang w:eastAsia="en-GB"/>
        </w:rPr>
        <w:t>)</w:t>
      </w:r>
      <w:r>
        <w:rPr>
          <w:rFonts w:eastAsia="Calibri" w:hint="cs"/>
          <w:rtl/>
          <w:lang w:eastAsia="en-GB"/>
        </w:rPr>
        <w:tab/>
      </w:r>
      <w:r w:rsidR="00823B8F" w:rsidRPr="00C1733B">
        <w:rPr>
          <w:rFonts w:eastAsia="Calibri" w:hint="cs"/>
          <w:rtl/>
          <w:lang w:eastAsia="en-GB"/>
        </w:rPr>
        <w:t>تشعر اللجنة بقلق بالغ لأنه على الرغم من خطورة الإصابات التي ألحقها جنود بريطانيون ببهاء موسى، فإن أعمال التحقيق والملاحقة التي جرت بشأن وفاته انتهت بتبرئة أو</w:t>
      </w:r>
      <w:r>
        <w:rPr>
          <w:rFonts w:eastAsia="Calibri" w:hint="eastAsia"/>
          <w:rtl/>
          <w:lang w:eastAsia="en-GB"/>
        </w:rPr>
        <w:t> </w:t>
      </w:r>
      <w:r w:rsidR="00823B8F" w:rsidRPr="00C1733B">
        <w:rPr>
          <w:rFonts w:eastAsia="Calibri" w:hint="cs"/>
          <w:rtl/>
          <w:lang w:eastAsia="en-GB"/>
        </w:rPr>
        <w:t xml:space="preserve">إسقاط التهم عن ستة ضباط متهمين، وحبس عريف أقر بذنبه بممارسة المعاملة اللاإنسانية لمدة عام واحد فقط (المواد 4 و13 و14). </w:t>
      </w:r>
    </w:p>
    <w:p w:rsidR="00823B8F" w:rsidRPr="00C1733B" w:rsidRDefault="00ED1C5C" w:rsidP="00ED1C5C">
      <w:pPr>
        <w:pStyle w:val="SingleTxtGA"/>
        <w:spacing w:line="364" w:lineRule="exact"/>
        <w:rPr>
          <w:rFonts w:eastAsia="Calibri"/>
          <w:b/>
          <w:bCs/>
          <w:rtl/>
          <w:lang w:eastAsia="en-GB"/>
        </w:rPr>
      </w:pPr>
      <w:r>
        <w:rPr>
          <w:rFonts w:eastAsia="Calibri" w:hint="cs"/>
          <w:b/>
          <w:bCs/>
          <w:rtl/>
          <w:lang w:eastAsia="en-GB"/>
        </w:rPr>
        <w:tab/>
      </w:r>
      <w:r w:rsidR="00823B8F" w:rsidRPr="00C1733B">
        <w:rPr>
          <w:rFonts w:eastAsia="Calibri"/>
          <w:b/>
          <w:bCs/>
          <w:rtl/>
          <w:lang w:eastAsia="en-GB"/>
        </w:rPr>
        <w:t>إن اللجنة، إذ تشير إلى أن</w:t>
      </w:r>
      <w:r w:rsidR="00823B8F" w:rsidRPr="00C1733B">
        <w:rPr>
          <w:rFonts w:eastAsia="Calibri" w:hint="cs"/>
          <w:b/>
          <w:bCs/>
          <w:rtl/>
          <w:lang w:eastAsia="en-GB"/>
        </w:rPr>
        <w:t xml:space="preserve"> فرض </w:t>
      </w:r>
      <w:r w:rsidR="00823B8F" w:rsidRPr="00C1733B">
        <w:rPr>
          <w:rFonts w:eastAsia="Calibri"/>
          <w:b/>
          <w:bCs/>
          <w:rtl/>
          <w:lang w:eastAsia="en-GB"/>
        </w:rPr>
        <w:t xml:space="preserve">عقوبات </w:t>
      </w:r>
      <w:r w:rsidR="00823B8F" w:rsidRPr="00C1733B">
        <w:rPr>
          <w:rFonts w:eastAsia="Calibri" w:hint="cs"/>
          <w:b/>
          <w:bCs/>
          <w:rtl/>
          <w:lang w:eastAsia="en-GB"/>
        </w:rPr>
        <w:t>تتناسب</w:t>
      </w:r>
      <w:r w:rsidR="00823B8F" w:rsidRPr="00C1733B">
        <w:rPr>
          <w:rFonts w:eastAsia="Calibri"/>
          <w:b/>
          <w:bCs/>
          <w:rtl/>
          <w:lang w:eastAsia="en-GB"/>
        </w:rPr>
        <w:t xml:space="preserve"> مع خطورة جريمة التعذيب</w:t>
      </w:r>
      <w:r w:rsidR="00823B8F" w:rsidRPr="00C1733B">
        <w:rPr>
          <w:rFonts w:eastAsia="Calibri" w:hint="cs"/>
          <w:b/>
          <w:bCs/>
          <w:rtl/>
          <w:lang w:eastAsia="en-GB"/>
        </w:rPr>
        <w:t xml:space="preserve"> أمر </w:t>
      </w:r>
      <w:r w:rsidR="00823B8F" w:rsidRPr="00C1733B">
        <w:rPr>
          <w:rFonts w:eastAsia="Calibri"/>
          <w:b/>
          <w:bCs/>
          <w:rtl/>
          <w:lang w:eastAsia="en-GB"/>
        </w:rPr>
        <w:t>لا غنى عنها</w:t>
      </w:r>
      <w:r w:rsidR="00823B8F" w:rsidRPr="00C1733B">
        <w:rPr>
          <w:rFonts w:eastAsia="Calibri" w:hint="cs"/>
          <w:b/>
          <w:bCs/>
          <w:rtl/>
          <w:lang w:eastAsia="en-GB"/>
        </w:rPr>
        <w:t xml:space="preserve"> لتحقيق</w:t>
      </w:r>
      <w:r w:rsidR="00823B8F" w:rsidRPr="00C1733B">
        <w:rPr>
          <w:rFonts w:eastAsia="Calibri"/>
          <w:b/>
          <w:bCs/>
          <w:rtl/>
          <w:lang w:eastAsia="en-GB"/>
        </w:rPr>
        <w:t xml:space="preserve"> </w:t>
      </w:r>
      <w:r w:rsidR="00823B8F" w:rsidRPr="00C1733B">
        <w:rPr>
          <w:rFonts w:eastAsia="Calibri" w:hint="cs"/>
          <w:b/>
          <w:bCs/>
          <w:rtl/>
          <w:lang w:eastAsia="en-GB"/>
        </w:rPr>
        <w:t>الردع الفعال</w:t>
      </w:r>
      <w:r w:rsidR="00823B8F" w:rsidRPr="00C1733B">
        <w:rPr>
          <w:rFonts w:eastAsia="Calibri"/>
          <w:b/>
          <w:bCs/>
          <w:rtl/>
          <w:lang w:eastAsia="en-GB"/>
        </w:rPr>
        <w:t xml:space="preserve">، </w:t>
      </w:r>
      <w:r w:rsidR="00823B8F" w:rsidRPr="00C1733B">
        <w:rPr>
          <w:rFonts w:eastAsia="Calibri" w:hint="cs"/>
          <w:b/>
          <w:bCs/>
          <w:rtl/>
          <w:lang w:eastAsia="en-GB"/>
        </w:rPr>
        <w:t>فإنها تحث الدولة الطرف على ضمان معاقبة مسؤولي الدولة أو أفراد الأجهزة الأمنية أو العسكرية في الخارج الذين ارتكبوا أعمال تعذيب أو</w:t>
      </w:r>
      <w:r>
        <w:rPr>
          <w:rFonts w:eastAsia="Calibri" w:hint="eastAsia"/>
          <w:b/>
          <w:bCs/>
          <w:rtl/>
          <w:lang w:eastAsia="en-GB"/>
        </w:rPr>
        <w:t> </w:t>
      </w:r>
      <w:r w:rsidR="00823B8F" w:rsidRPr="00C1733B">
        <w:rPr>
          <w:rFonts w:eastAsia="Calibri" w:hint="cs"/>
          <w:b/>
          <w:bCs/>
          <w:rtl/>
          <w:lang w:eastAsia="en-GB"/>
        </w:rPr>
        <w:t>تواط</w:t>
      </w:r>
      <w:r>
        <w:rPr>
          <w:rFonts w:eastAsia="Calibri" w:hint="cs"/>
          <w:b/>
          <w:bCs/>
          <w:rtl/>
          <w:lang w:eastAsia="en-GB"/>
        </w:rPr>
        <w:t>ئ</w:t>
      </w:r>
      <w:r w:rsidR="00823B8F" w:rsidRPr="00C1733B">
        <w:rPr>
          <w:rFonts w:eastAsia="Calibri" w:hint="cs"/>
          <w:b/>
          <w:bCs/>
          <w:rtl/>
          <w:lang w:eastAsia="en-GB"/>
        </w:rPr>
        <w:t>وا على ارتكابها بما يستحقونه من عقوبة على أن تتناسب مع جسامة الجرم تماش</w:t>
      </w:r>
      <w:r>
        <w:rPr>
          <w:rFonts w:eastAsia="Calibri" w:hint="cs"/>
          <w:b/>
          <w:bCs/>
          <w:rtl/>
          <w:lang w:eastAsia="en-GB"/>
        </w:rPr>
        <w:t>ياً مع المادة 4 من الاتفاقية.</w:t>
      </w:r>
    </w:p>
    <w:p w:rsidR="00823B8F" w:rsidRPr="00C1733B" w:rsidRDefault="00ED1C5C" w:rsidP="00124AEF">
      <w:pPr>
        <w:pStyle w:val="H23GA"/>
        <w:rPr>
          <w:rFonts w:hint="cs"/>
        </w:rPr>
      </w:pPr>
      <w:r>
        <w:rPr>
          <w:rFonts w:hint="cs"/>
          <w:rtl/>
        </w:rPr>
        <w:tab/>
      </w:r>
      <w:r>
        <w:rPr>
          <w:rFonts w:hint="cs"/>
          <w:rtl/>
        </w:rPr>
        <w:tab/>
      </w:r>
      <w:r w:rsidR="00823B8F" w:rsidRPr="00C1733B">
        <w:rPr>
          <w:rFonts w:hint="cs"/>
          <w:rtl/>
        </w:rPr>
        <w:t>الاعتماد على الضمانات الدبلوماسية</w:t>
      </w:r>
    </w:p>
    <w:p w:rsidR="00823B8F" w:rsidRPr="00C1733B" w:rsidRDefault="00ED1C5C" w:rsidP="00ED1C5C">
      <w:pPr>
        <w:pStyle w:val="SingleTxtGA"/>
        <w:spacing w:line="364" w:lineRule="exact"/>
        <w:rPr>
          <w:rFonts w:hint="cs"/>
          <w:lang w:eastAsia="en-GB"/>
        </w:rPr>
      </w:pPr>
      <w:r>
        <w:rPr>
          <w:rFonts w:hint="cs"/>
          <w:rtl/>
          <w:lang w:eastAsia="en-GB"/>
        </w:rPr>
        <w:t>(</w:t>
      </w:r>
      <w:r w:rsidR="00823B8F" w:rsidRPr="00C1733B">
        <w:rPr>
          <w:rFonts w:hint="cs"/>
          <w:rtl/>
          <w:lang w:eastAsia="en-GB"/>
        </w:rPr>
        <w:t>18</w:t>
      </w:r>
      <w:r>
        <w:rPr>
          <w:rFonts w:hint="cs"/>
          <w:rtl/>
          <w:lang w:eastAsia="en-GB"/>
        </w:rPr>
        <w:t>)</w:t>
      </w:r>
      <w:r>
        <w:rPr>
          <w:rFonts w:hint="cs"/>
          <w:rtl/>
          <w:lang w:eastAsia="en-GB"/>
        </w:rPr>
        <w:tab/>
      </w:r>
      <w:r w:rsidR="00823B8F" w:rsidRPr="00C1733B">
        <w:rPr>
          <w:rFonts w:hint="cs"/>
          <w:rtl/>
          <w:lang w:eastAsia="en-GB"/>
        </w:rPr>
        <w:t xml:space="preserve">تشير اللجنة مع القلق إلى اعتماد الدولة الطرف على الضمانات الدبلوماسية لتبرير إبعاد الأجانب المشتبه في ارتكابهم جرائم تتعلق بالإرهاب إلى بلدان يزعم أن ممارسة التعذيب أمر شائع فيها (المادتان 3 و13). </w:t>
      </w:r>
    </w:p>
    <w:p w:rsidR="00823B8F" w:rsidRPr="00C1733B" w:rsidRDefault="00ED1C5C" w:rsidP="00ED1C5C">
      <w:pPr>
        <w:pStyle w:val="SingleTxtGA"/>
        <w:spacing w:line="364" w:lineRule="exact"/>
        <w:rPr>
          <w:rFonts w:eastAsia="Malgun Gothic" w:hint="cs"/>
          <w:b/>
          <w:bCs/>
          <w:kern w:val="2"/>
          <w:rtl/>
          <w:lang w:eastAsia="ko-KR"/>
        </w:rPr>
      </w:pPr>
      <w:r>
        <w:rPr>
          <w:rFonts w:eastAsia="Malgun Gothic" w:hint="cs"/>
          <w:b/>
          <w:bCs/>
          <w:kern w:val="2"/>
          <w:rtl/>
          <w:lang w:eastAsia="ko-KR"/>
        </w:rPr>
        <w:tab/>
      </w:r>
      <w:r w:rsidR="00823B8F" w:rsidRPr="00C1733B">
        <w:rPr>
          <w:rFonts w:eastAsia="Malgun Gothic" w:hint="cs"/>
          <w:b/>
          <w:bCs/>
          <w:kern w:val="2"/>
          <w:rtl/>
          <w:lang w:eastAsia="ko-KR"/>
        </w:rPr>
        <w:t xml:space="preserve">تدعو اللجنة الدولة الطرف إلى ضمان </w:t>
      </w:r>
      <w:r w:rsidR="00823B8F" w:rsidRPr="00C1733B">
        <w:rPr>
          <w:rFonts w:eastAsia="Malgun Gothic"/>
          <w:b/>
          <w:bCs/>
          <w:kern w:val="2"/>
          <w:rtl/>
          <w:lang w:eastAsia="ko-KR"/>
        </w:rPr>
        <w:t>عدم تعرض أي فرد، بما في ذلك الأشخاص المشتبه في ارتكابهم أعمال</w:t>
      </w:r>
      <w:r w:rsidR="00823B8F" w:rsidRPr="00C1733B">
        <w:rPr>
          <w:rFonts w:eastAsia="Malgun Gothic" w:hint="cs"/>
          <w:b/>
          <w:bCs/>
          <w:kern w:val="2"/>
          <w:rtl/>
          <w:lang w:eastAsia="ko-KR"/>
        </w:rPr>
        <w:t>ا</w:t>
      </w:r>
      <w:r w:rsidR="00823B8F" w:rsidRPr="00C1733B">
        <w:rPr>
          <w:rFonts w:eastAsia="Malgun Gothic"/>
          <w:b/>
          <w:bCs/>
          <w:kern w:val="2"/>
          <w:rtl/>
          <w:lang w:eastAsia="ko-KR"/>
        </w:rPr>
        <w:t xml:space="preserve"> إرهاب</w:t>
      </w:r>
      <w:r w:rsidR="00823B8F" w:rsidRPr="00C1733B">
        <w:rPr>
          <w:rFonts w:eastAsia="Malgun Gothic" w:hint="cs"/>
          <w:b/>
          <w:bCs/>
          <w:kern w:val="2"/>
          <w:rtl/>
          <w:lang w:eastAsia="ko-KR"/>
        </w:rPr>
        <w:t>ية</w:t>
      </w:r>
      <w:r w:rsidR="00823B8F" w:rsidRPr="00C1733B">
        <w:rPr>
          <w:rFonts w:eastAsia="Malgun Gothic"/>
          <w:b/>
          <w:bCs/>
          <w:kern w:val="2"/>
          <w:rtl/>
          <w:lang w:eastAsia="ko-KR"/>
        </w:rPr>
        <w:t xml:space="preserve"> الذين</w:t>
      </w:r>
      <w:r w:rsidR="00823B8F" w:rsidRPr="00C1733B">
        <w:rPr>
          <w:rFonts w:eastAsia="Malgun Gothic" w:hint="cs"/>
          <w:b/>
          <w:bCs/>
          <w:kern w:val="2"/>
          <w:rtl/>
          <w:lang w:eastAsia="ko-KR"/>
        </w:rPr>
        <w:t xml:space="preserve"> جرى طردهم أو إعادتهم أو تسليمهم أو ترحيلهم</w:t>
      </w:r>
      <w:r w:rsidR="00823B8F" w:rsidRPr="00C1733B">
        <w:rPr>
          <w:rFonts w:eastAsia="Malgun Gothic"/>
          <w:b/>
          <w:bCs/>
          <w:kern w:val="2"/>
          <w:rtl/>
          <w:lang w:eastAsia="ko-KR"/>
        </w:rPr>
        <w:t xml:space="preserve">، لخطر التعذيب أو </w:t>
      </w:r>
      <w:r w:rsidR="00823B8F" w:rsidRPr="00C1733B">
        <w:rPr>
          <w:rFonts w:eastAsia="Malgun Gothic" w:hint="cs"/>
          <w:b/>
          <w:bCs/>
          <w:kern w:val="2"/>
          <w:rtl/>
          <w:lang w:eastAsia="ko-KR"/>
        </w:rPr>
        <w:t xml:space="preserve">غيره من ضروب </w:t>
      </w:r>
      <w:r w:rsidR="00823B8F" w:rsidRPr="00C1733B">
        <w:rPr>
          <w:rFonts w:eastAsia="Malgun Gothic"/>
          <w:b/>
          <w:bCs/>
          <w:kern w:val="2"/>
          <w:rtl/>
          <w:lang w:eastAsia="ko-KR"/>
        </w:rPr>
        <w:t>المعاملة أو العقوبة القاسية أو اللاإنسانية أو المهينة</w:t>
      </w:r>
      <w:r w:rsidR="00823B8F" w:rsidRPr="00C1733B">
        <w:rPr>
          <w:rFonts w:eastAsia="Malgun Gothic" w:hint="cs"/>
          <w:b/>
          <w:bCs/>
          <w:kern w:val="2"/>
          <w:rtl/>
          <w:lang w:eastAsia="ko-KR"/>
        </w:rPr>
        <w:t>. وتحث الدولة الطرف على الامتناع عن طلب الضمانات الدبلوماسية أو</w:t>
      </w:r>
      <w:r>
        <w:rPr>
          <w:rFonts w:eastAsia="Malgun Gothic" w:hint="eastAsia"/>
          <w:b/>
          <w:bCs/>
          <w:kern w:val="2"/>
          <w:rtl/>
          <w:lang w:eastAsia="ko-KR"/>
        </w:rPr>
        <w:t> </w:t>
      </w:r>
      <w:r w:rsidR="00823B8F" w:rsidRPr="00C1733B">
        <w:rPr>
          <w:rFonts w:eastAsia="Malgun Gothic" w:hint="cs"/>
          <w:b/>
          <w:bCs/>
          <w:kern w:val="2"/>
          <w:rtl/>
          <w:lang w:eastAsia="ko-KR"/>
        </w:rPr>
        <w:t>الاعتماد عليها"</w:t>
      </w:r>
      <w:r w:rsidR="00823B8F" w:rsidRPr="00C1733B">
        <w:rPr>
          <w:b/>
          <w:bCs/>
          <w:rtl/>
        </w:rPr>
        <w:t xml:space="preserve"> </w:t>
      </w:r>
      <w:r w:rsidR="00823B8F" w:rsidRPr="00C1733B">
        <w:rPr>
          <w:rFonts w:eastAsia="Malgun Gothic"/>
          <w:b/>
          <w:bCs/>
          <w:kern w:val="2"/>
          <w:rtl/>
          <w:lang w:eastAsia="ko-KR"/>
        </w:rPr>
        <w:t>إذا توافرت لديها أسباب حقيقية تدعو إلى الاعتقاد بأن</w:t>
      </w:r>
      <w:r w:rsidR="00823B8F" w:rsidRPr="00C1733B">
        <w:rPr>
          <w:rFonts w:eastAsia="Malgun Gothic" w:hint="cs"/>
          <w:b/>
          <w:bCs/>
          <w:kern w:val="2"/>
          <w:rtl/>
          <w:lang w:eastAsia="ko-KR"/>
        </w:rPr>
        <w:t xml:space="preserve"> </w:t>
      </w:r>
      <w:r>
        <w:rPr>
          <w:rFonts w:eastAsia="Malgun Gothic" w:hint="cs"/>
          <w:b/>
          <w:bCs/>
          <w:kern w:val="2"/>
          <w:rtl/>
          <w:lang w:eastAsia="ko-KR"/>
        </w:rPr>
        <w:t>[</w:t>
      </w:r>
      <w:r w:rsidR="00823B8F" w:rsidRPr="00C1733B">
        <w:rPr>
          <w:rFonts w:eastAsia="Malgun Gothic" w:hint="cs"/>
          <w:b/>
          <w:bCs/>
          <w:kern w:val="2"/>
          <w:rtl/>
          <w:lang w:eastAsia="ko-KR"/>
        </w:rPr>
        <w:t>الشخص]</w:t>
      </w:r>
      <w:r w:rsidR="00823B8F" w:rsidRPr="00C1733B">
        <w:rPr>
          <w:rFonts w:eastAsia="Malgun Gothic"/>
          <w:b/>
          <w:bCs/>
          <w:kern w:val="2"/>
          <w:rtl/>
          <w:lang w:eastAsia="ko-KR"/>
        </w:rPr>
        <w:t xml:space="preserve"> </w:t>
      </w:r>
      <w:r w:rsidR="00823B8F" w:rsidRPr="00C1733B">
        <w:rPr>
          <w:rFonts w:eastAsia="Malgun Gothic" w:hint="cs"/>
          <w:b/>
          <w:bCs/>
          <w:kern w:val="2"/>
          <w:rtl/>
          <w:lang w:eastAsia="ko-KR"/>
        </w:rPr>
        <w:t xml:space="preserve">سيواجه </w:t>
      </w:r>
      <w:r w:rsidR="00823B8F" w:rsidRPr="00C1733B">
        <w:rPr>
          <w:rFonts w:eastAsia="Malgun Gothic"/>
          <w:b/>
          <w:bCs/>
          <w:kern w:val="2"/>
          <w:rtl/>
          <w:lang w:eastAsia="ko-KR"/>
        </w:rPr>
        <w:t xml:space="preserve">خطر </w:t>
      </w:r>
      <w:r w:rsidR="00823B8F" w:rsidRPr="00C1733B">
        <w:rPr>
          <w:rFonts w:eastAsia="Malgun Gothic" w:hint="cs"/>
          <w:b/>
          <w:bCs/>
          <w:kern w:val="2"/>
          <w:rtl/>
          <w:lang w:eastAsia="ko-KR"/>
        </w:rPr>
        <w:t>ا</w:t>
      </w:r>
      <w:r w:rsidR="00823B8F" w:rsidRPr="00C1733B">
        <w:rPr>
          <w:rFonts w:eastAsia="Malgun Gothic"/>
          <w:b/>
          <w:bCs/>
          <w:kern w:val="2"/>
          <w:rtl/>
          <w:lang w:eastAsia="ko-KR"/>
        </w:rPr>
        <w:t>لتعذيب</w:t>
      </w:r>
      <w:r w:rsidR="00823B8F" w:rsidRPr="00C1733B">
        <w:rPr>
          <w:rFonts w:eastAsia="Malgun Gothic" w:hint="cs"/>
          <w:b/>
          <w:bCs/>
          <w:kern w:val="2"/>
          <w:rtl/>
          <w:lang w:eastAsia="ko-KR"/>
        </w:rPr>
        <w:t>(المادة 3)</w:t>
      </w:r>
      <w:r w:rsidR="00823B8F" w:rsidRPr="00C1733B">
        <w:rPr>
          <w:rFonts w:eastAsia="Malgun Gothic"/>
          <w:b/>
          <w:bCs/>
          <w:kern w:val="2"/>
          <w:rtl/>
          <w:lang w:eastAsia="ko-KR"/>
        </w:rPr>
        <w:t>.</w:t>
      </w:r>
      <w:r w:rsidR="00823B8F" w:rsidRPr="00C1733B">
        <w:rPr>
          <w:rFonts w:eastAsia="Malgun Gothic" w:hint="cs"/>
          <w:b/>
          <w:bCs/>
          <w:kern w:val="2"/>
          <w:rtl/>
          <w:lang w:eastAsia="ko-KR"/>
        </w:rPr>
        <w:t xml:space="preserve"> إذ </w:t>
      </w:r>
      <w:r w:rsidR="00823B8F" w:rsidRPr="00C1733B">
        <w:rPr>
          <w:rFonts w:eastAsia="Malgun Gothic"/>
          <w:b/>
          <w:bCs/>
          <w:kern w:val="2"/>
          <w:rtl/>
          <w:lang w:eastAsia="ko-KR"/>
        </w:rPr>
        <w:t xml:space="preserve">كلّما كانت ممارسة التعذيب أو </w:t>
      </w:r>
      <w:r w:rsidR="00823B8F" w:rsidRPr="00C1733B">
        <w:rPr>
          <w:rFonts w:eastAsia="Malgun Gothic" w:hint="cs"/>
          <w:b/>
          <w:bCs/>
          <w:kern w:val="2"/>
          <w:rtl/>
          <w:lang w:eastAsia="ko-KR"/>
        </w:rPr>
        <w:t xml:space="preserve">غيره من ضروب </w:t>
      </w:r>
      <w:r w:rsidR="00823B8F" w:rsidRPr="00C1733B">
        <w:rPr>
          <w:rFonts w:eastAsia="Malgun Gothic"/>
          <w:b/>
          <w:bCs/>
          <w:kern w:val="2"/>
          <w:rtl/>
          <w:lang w:eastAsia="ko-KR"/>
        </w:rPr>
        <w:t xml:space="preserve">المعاملة القاسية أو اللاإنسانية أو المهينة </w:t>
      </w:r>
      <w:r w:rsidR="00823B8F" w:rsidRPr="00C1733B">
        <w:rPr>
          <w:rFonts w:eastAsia="Malgun Gothic" w:hint="cs"/>
          <w:b/>
          <w:bCs/>
          <w:kern w:val="2"/>
          <w:rtl/>
          <w:lang w:eastAsia="ko-KR"/>
        </w:rPr>
        <w:t>شائعة</w:t>
      </w:r>
      <w:r w:rsidR="00823B8F" w:rsidRPr="00C1733B">
        <w:rPr>
          <w:rFonts w:eastAsia="Malgun Gothic"/>
          <w:b/>
          <w:bCs/>
          <w:kern w:val="2"/>
          <w:rtl/>
          <w:lang w:eastAsia="ko-KR"/>
        </w:rPr>
        <w:t xml:space="preserve">ً، </w:t>
      </w:r>
      <w:r w:rsidR="00823B8F" w:rsidRPr="00C1733B">
        <w:rPr>
          <w:rFonts w:eastAsia="Malgun Gothic" w:hint="cs"/>
          <w:b/>
          <w:bCs/>
          <w:kern w:val="2"/>
          <w:rtl/>
          <w:lang w:eastAsia="ko-KR"/>
        </w:rPr>
        <w:t>تضاءلت الفرص لتجنب خطر التعرض ل</w:t>
      </w:r>
      <w:r w:rsidR="00823B8F" w:rsidRPr="00C1733B">
        <w:rPr>
          <w:rFonts w:eastAsia="Malgun Gothic"/>
          <w:b/>
          <w:bCs/>
          <w:kern w:val="2"/>
          <w:rtl/>
          <w:lang w:eastAsia="ko-KR"/>
        </w:rPr>
        <w:t>هذه المعاملة عن طريق الضمانات الدبلوماسية، مهما بلغت صرامة إجراءات المتابعة المتفق عليها</w:t>
      </w:r>
      <w:r w:rsidR="00823B8F" w:rsidRPr="00C1733B">
        <w:rPr>
          <w:rFonts w:eastAsia="Malgun Gothic" w:hint="cs"/>
          <w:b/>
          <w:bCs/>
          <w:kern w:val="2"/>
          <w:rtl/>
          <w:lang w:eastAsia="ko-KR"/>
        </w:rPr>
        <w:t xml:space="preserve">. ولذلك، فإن اللجنة تعتبر الضمانات الدبلوماسية غير موثوقة وغير فعالة ولا ينبغي اللجوء إليها كوسيلة للالتفاف على أحكام الاتفاقية. </w:t>
      </w:r>
    </w:p>
    <w:p w:rsidR="00823B8F" w:rsidRPr="00C1733B" w:rsidRDefault="00ED1C5C" w:rsidP="00124AEF">
      <w:pPr>
        <w:pStyle w:val="H23GA"/>
        <w:rPr>
          <w:rFonts w:hint="cs"/>
        </w:rPr>
      </w:pPr>
      <w:r>
        <w:rPr>
          <w:rFonts w:hint="cs"/>
          <w:rtl/>
        </w:rPr>
        <w:tab/>
      </w:r>
      <w:r>
        <w:rPr>
          <w:rFonts w:hint="cs"/>
          <w:rtl/>
        </w:rPr>
        <w:tab/>
      </w:r>
      <w:r w:rsidR="00823B8F" w:rsidRPr="00C1733B">
        <w:rPr>
          <w:rFonts w:hint="cs"/>
          <w:rtl/>
        </w:rPr>
        <w:t xml:space="preserve">نقل المحتجزين إلى أفغانستان </w:t>
      </w:r>
    </w:p>
    <w:p w:rsidR="00823B8F" w:rsidRPr="00C1733B" w:rsidRDefault="00ED1C5C" w:rsidP="00ED1C5C">
      <w:pPr>
        <w:pStyle w:val="SingleTxtGA"/>
        <w:rPr>
          <w:rFonts w:eastAsia="Malgun Gothic" w:hint="cs"/>
          <w:kern w:val="2"/>
          <w:rtl/>
          <w:lang w:eastAsia="ko-KR"/>
        </w:rPr>
      </w:pPr>
      <w:r>
        <w:rPr>
          <w:rFonts w:eastAsia="Malgun Gothic" w:hint="cs"/>
          <w:kern w:val="2"/>
          <w:rtl/>
          <w:lang w:eastAsia="ko-KR"/>
        </w:rPr>
        <w:t>(</w:t>
      </w:r>
      <w:r w:rsidR="00823B8F" w:rsidRPr="00C1733B">
        <w:rPr>
          <w:rFonts w:eastAsia="Malgun Gothic" w:hint="cs"/>
          <w:kern w:val="2"/>
          <w:rtl/>
          <w:lang w:eastAsia="ko-KR"/>
        </w:rPr>
        <w:t>19</w:t>
      </w:r>
      <w:r>
        <w:rPr>
          <w:rFonts w:eastAsia="Malgun Gothic" w:hint="cs"/>
          <w:kern w:val="2"/>
          <w:rtl/>
          <w:lang w:eastAsia="ko-KR"/>
        </w:rPr>
        <w:t>)</w:t>
      </w:r>
      <w:r>
        <w:rPr>
          <w:rFonts w:eastAsia="Malgun Gothic" w:hint="cs"/>
          <w:kern w:val="2"/>
          <w:rtl/>
          <w:lang w:eastAsia="ko-KR"/>
        </w:rPr>
        <w:tab/>
      </w:r>
      <w:r w:rsidR="00823B8F" w:rsidRPr="00C1733B">
        <w:rPr>
          <w:rFonts w:eastAsia="Malgun Gothic" w:hint="cs"/>
          <w:kern w:val="2"/>
          <w:rtl/>
          <w:lang w:eastAsia="ko-KR"/>
        </w:rPr>
        <w:t>تحيط اللجنة علما</w:t>
      </w:r>
      <w:r>
        <w:rPr>
          <w:rFonts w:eastAsia="Malgun Gothic" w:hint="cs"/>
          <w:kern w:val="2"/>
          <w:rtl/>
          <w:lang w:eastAsia="ko-KR"/>
        </w:rPr>
        <w:t>ً</w:t>
      </w:r>
      <w:r w:rsidR="00823B8F" w:rsidRPr="00C1733B">
        <w:rPr>
          <w:rFonts w:eastAsia="Malgun Gothic" w:hint="cs"/>
          <w:kern w:val="2"/>
          <w:rtl/>
          <w:lang w:eastAsia="ko-KR"/>
        </w:rPr>
        <w:t xml:space="preserve"> بقرار وزير الدفاع بشأن مواصلة</w:t>
      </w:r>
      <w:r w:rsidR="00823B8F" w:rsidRPr="00C1733B">
        <w:rPr>
          <w:rFonts w:eastAsia="Malgun Gothic"/>
          <w:kern w:val="2"/>
          <w:rtl/>
          <w:lang w:eastAsia="ko-KR"/>
        </w:rPr>
        <w:t xml:space="preserve"> الوقف الاختياري</w:t>
      </w:r>
      <w:r w:rsidR="00823B8F" w:rsidRPr="00C1733B">
        <w:rPr>
          <w:rFonts w:eastAsia="Malgun Gothic" w:hint="cs"/>
          <w:kern w:val="2"/>
          <w:rtl/>
          <w:lang w:eastAsia="ko-KR"/>
        </w:rPr>
        <w:t xml:space="preserve"> لنقل المحتجزين إلى عهدة السلطات الأفغانية في ضوء مخاطر التعرض للتعذيب وسوء المعاملة، وترحب بتأكيدات الدولة الطرف بعدم الإقدام على نقل المحتجزين إلى بلدان تتوافر فيها </w:t>
      </w:r>
      <w:r w:rsidR="00823B8F" w:rsidRPr="00C1733B">
        <w:rPr>
          <w:rFonts w:eastAsia="Malgun Gothic"/>
          <w:kern w:val="2"/>
          <w:rtl/>
          <w:lang w:eastAsia="ko-KR"/>
        </w:rPr>
        <w:t xml:space="preserve">أسباب حقيقية تدعو إلى الاعتقاد </w:t>
      </w:r>
      <w:r w:rsidR="00823B8F" w:rsidRPr="00C1733B">
        <w:rPr>
          <w:rFonts w:eastAsia="Malgun Gothic" w:hint="cs"/>
          <w:kern w:val="2"/>
          <w:rtl/>
          <w:lang w:eastAsia="ko-KR"/>
        </w:rPr>
        <w:t xml:space="preserve">بأن مخاطر </w:t>
      </w:r>
      <w:r w:rsidR="00823B8F" w:rsidRPr="00C1733B">
        <w:rPr>
          <w:rFonts w:eastAsia="Malgun Gothic"/>
          <w:kern w:val="2"/>
          <w:rtl/>
          <w:lang w:eastAsia="ko-KR"/>
        </w:rPr>
        <w:t>التعرض للتعذيب</w:t>
      </w:r>
      <w:r w:rsidR="00823B8F" w:rsidRPr="00C1733B">
        <w:rPr>
          <w:rFonts w:eastAsia="Malgun Gothic" w:hint="cs"/>
          <w:kern w:val="2"/>
          <w:rtl/>
          <w:lang w:eastAsia="ko-KR"/>
        </w:rPr>
        <w:t xml:space="preserve"> كبيرة فيها (المادة 3).</w:t>
      </w:r>
    </w:p>
    <w:p w:rsidR="00823B8F" w:rsidRPr="00C1733B" w:rsidRDefault="00ED1C5C" w:rsidP="00ED1C5C">
      <w:pPr>
        <w:pStyle w:val="SingleTxtGA"/>
        <w:rPr>
          <w:rFonts w:eastAsia="Malgun Gothic" w:hint="cs"/>
          <w:b/>
          <w:bCs/>
          <w:kern w:val="2"/>
          <w:lang w:eastAsia="ko-KR"/>
        </w:rPr>
      </w:pPr>
      <w:r>
        <w:rPr>
          <w:rFonts w:eastAsia="Malgun Gothic" w:hint="cs"/>
          <w:b/>
          <w:bCs/>
          <w:kern w:val="2"/>
          <w:rtl/>
          <w:lang w:eastAsia="ko-KR"/>
        </w:rPr>
        <w:tab/>
      </w:r>
      <w:r w:rsidR="00823B8F" w:rsidRPr="00C1733B">
        <w:rPr>
          <w:rFonts w:eastAsia="Malgun Gothic" w:hint="cs"/>
          <w:b/>
          <w:bCs/>
          <w:kern w:val="2"/>
          <w:rtl/>
          <w:lang w:eastAsia="ko-KR"/>
        </w:rPr>
        <w:t>توصي اللجنة بأن تعتمد الدولة الطرف سياسة واضحة وأن تحرص عمليا</w:t>
      </w:r>
      <w:r>
        <w:rPr>
          <w:rFonts w:eastAsia="Malgun Gothic" w:hint="cs"/>
          <w:b/>
          <w:bCs/>
          <w:kern w:val="2"/>
          <w:rtl/>
          <w:lang w:eastAsia="ko-KR"/>
        </w:rPr>
        <w:t>ً</w:t>
      </w:r>
      <w:r w:rsidR="00823B8F" w:rsidRPr="00C1733B">
        <w:rPr>
          <w:rFonts w:eastAsia="Malgun Gothic" w:hint="cs"/>
          <w:b/>
          <w:bCs/>
          <w:kern w:val="2"/>
          <w:rtl/>
          <w:lang w:eastAsia="ko-KR"/>
        </w:rPr>
        <w:t xml:space="preserve"> على فرض حظر صريح على نقل المحتجزين إلى بلد آخر عندما تتوافر أسباب حقيقية تدعو إلى الاعتقاد بأنهم سيتعرضون لخطر التعذيب. وتوصي كذلك بأن تعترف الدولة الطرف بأنه لا يمكن الاعتماد على الضمانات الدبلوماسية وترتيبات المراقبة لتبرير عمليات النقل عندما يكون خطر التعذيب قائما</w:t>
      </w:r>
      <w:r>
        <w:rPr>
          <w:rFonts w:eastAsia="Malgun Gothic" w:hint="cs"/>
          <w:b/>
          <w:bCs/>
          <w:kern w:val="2"/>
          <w:rtl/>
          <w:lang w:eastAsia="ko-KR"/>
        </w:rPr>
        <w:t>ً</w:t>
      </w:r>
      <w:r w:rsidR="00823B8F" w:rsidRPr="00C1733B">
        <w:rPr>
          <w:rFonts w:eastAsia="Malgun Gothic" w:hint="cs"/>
          <w:b/>
          <w:bCs/>
          <w:kern w:val="2"/>
          <w:rtl/>
          <w:lang w:eastAsia="ko-KR"/>
        </w:rPr>
        <w:t xml:space="preserve">. </w:t>
      </w:r>
    </w:p>
    <w:p w:rsidR="00823B8F" w:rsidRPr="00C1733B" w:rsidRDefault="00ED1C5C" w:rsidP="00124AEF">
      <w:pPr>
        <w:pStyle w:val="H23GA"/>
        <w:rPr>
          <w:rFonts w:hint="cs"/>
        </w:rPr>
      </w:pPr>
      <w:r>
        <w:rPr>
          <w:rFonts w:hint="cs"/>
          <w:rtl/>
        </w:rPr>
        <w:tab/>
      </w:r>
      <w:r>
        <w:rPr>
          <w:rFonts w:hint="cs"/>
          <w:rtl/>
        </w:rPr>
        <w:tab/>
      </w:r>
      <w:r w:rsidR="00823B8F" w:rsidRPr="00C1733B">
        <w:rPr>
          <w:rFonts w:hint="cs"/>
          <w:rtl/>
        </w:rPr>
        <w:t>عمليات الترحيل إلى سري لانكا</w:t>
      </w:r>
    </w:p>
    <w:p w:rsidR="00823B8F" w:rsidRPr="00C1733B" w:rsidRDefault="00ED1C5C" w:rsidP="00ED1C5C">
      <w:pPr>
        <w:pStyle w:val="SingleTxtGA"/>
        <w:rPr>
          <w:rFonts w:eastAsia="Calibri" w:hint="cs"/>
          <w:rtl/>
          <w:lang w:eastAsia="en-GB"/>
        </w:rPr>
      </w:pPr>
      <w:r>
        <w:rPr>
          <w:rFonts w:eastAsia="Calibri" w:hint="cs"/>
          <w:rtl/>
          <w:lang w:eastAsia="en-GB"/>
        </w:rPr>
        <w:t>(</w:t>
      </w:r>
      <w:r w:rsidR="00823B8F" w:rsidRPr="00C1733B">
        <w:rPr>
          <w:rFonts w:eastAsia="Calibri" w:hint="cs"/>
          <w:rtl/>
          <w:lang w:eastAsia="en-GB"/>
        </w:rPr>
        <w:t>20</w:t>
      </w:r>
      <w:r>
        <w:rPr>
          <w:rFonts w:eastAsia="Calibri" w:hint="cs"/>
          <w:rtl/>
          <w:lang w:eastAsia="en-GB"/>
        </w:rPr>
        <w:t>)</w:t>
      </w:r>
      <w:r>
        <w:rPr>
          <w:rFonts w:eastAsia="Calibri" w:hint="cs"/>
          <w:rtl/>
          <w:lang w:eastAsia="en-GB"/>
        </w:rPr>
        <w:tab/>
      </w:r>
      <w:r w:rsidR="00823B8F" w:rsidRPr="00C1733B">
        <w:rPr>
          <w:rFonts w:eastAsia="Calibri" w:hint="cs"/>
          <w:rtl/>
          <w:lang w:eastAsia="en-GB"/>
        </w:rPr>
        <w:t>تشير اللجنة إلى أن المحكمة العليا أمرت في يوم 28 شباط/فبراير 2013، بتعليق إعادة أفراد من التاميل</w:t>
      </w:r>
      <w:r>
        <w:rPr>
          <w:rFonts w:eastAsia="Calibri" w:hint="cs"/>
          <w:rtl/>
          <w:lang w:eastAsia="en-GB"/>
        </w:rPr>
        <w:t xml:space="preserve"> </w:t>
      </w:r>
      <w:r w:rsidR="00823B8F" w:rsidRPr="00C1733B">
        <w:rPr>
          <w:rFonts w:eastAsia="Calibri" w:hint="cs"/>
          <w:rtl/>
          <w:lang w:eastAsia="en-GB"/>
        </w:rPr>
        <w:t>- رُفضت طلباتهم لالتماس اللجوء - إلى سري</w:t>
      </w:r>
      <w:r>
        <w:rPr>
          <w:rFonts w:eastAsia="Calibri" w:hint="cs"/>
          <w:rtl/>
          <w:lang w:eastAsia="en-GB"/>
        </w:rPr>
        <w:t xml:space="preserve"> </w:t>
      </w:r>
      <w:r w:rsidR="00823B8F" w:rsidRPr="00C1733B">
        <w:rPr>
          <w:rFonts w:eastAsia="Calibri" w:hint="cs"/>
          <w:rtl/>
          <w:lang w:eastAsia="en-GB"/>
        </w:rPr>
        <w:t>لانكا في ضوء وجود ادعاءات ودلائل تشير إلى تعرض بعض التاميل السريلانكيين للتعذيب وسوء المعاملة بعد ترحيلهم قسرا أو طوعا من الدولة الطرف. ومع ذلك، تشعر اللجنة بالقلق لأن هذه الدلائل لم تنعكس بعد في سياسة اللجوء التي تتبعها الدولة الطرف (المادة 3).</w:t>
      </w:r>
    </w:p>
    <w:p w:rsidR="00823B8F" w:rsidRPr="00C1733B" w:rsidRDefault="00ED1C5C" w:rsidP="00ED1C5C">
      <w:pPr>
        <w:pStyle w:val="SingleTxtGA"/>
        <w:rPr>
          <w:rFonts w:eastAsia="Calibri" w:hint="cs"/>
          <w:b/>
          <w:bCs/>
          <w:rtl/>
          <w:lang w:eastAsia="en-GB"/>
        </w:rPr>
      </w:pPr>
      <w:r>
        <w:rPr>
          <w:rFonts w:eastAsia="Calibri" w:hint="cs"/>
          <w:b/>
          <w:bCs/>
          <w:rtl/>
          <w:lang w:eastAsia="en-GB"/>
        </w:rPr>
        <w:tab/>
      </w:r>
      <w:r w:rsidR="00823B8F" w:rsidRPr="00C1733B">
        <w:rPr>
          <w:rFonts w:eastAsia="Calibri" w:hint="cs"/>
          <w:b/>
          <w:bCs/>
          <w:rtl/>
          <w:lang w:eastAsia="en-GB"/>
        </w:rPr>
        <w:t xml:space="preserve">توصي اللجنة بأن تتقيد الدولة الطرف بالضمانات حرصا على </w:t>
      </w:r>
      <w:r w:rsidR="00823B8F" w:rsidRPr="00C1733B">
        <w:rPr>
          <w:rFonts w:eastAsia="Calibri"/>
          <w:b/>
          <w:bCs/>
          <w:rtl/>
          <w:lang w:eastAsia="en-GB"/>
        </w:rPr>
        <w:t xml:space="preserve">احترام مبدأ عدم الإعادة القسرية، بما في ذلك النظر فيما إذا كانت هناك أسباب حقيقيـة تشير إلى أن طالب اللجوء قد </w:t>
      </w:r>
      <w:r w:rsidR="00823B8F" w:rsidRPr="00C1733B">
        <w:rPr>
          <w:rFonts w:eastAsia="Calibri" w:hint="cs"/>
          <w:b/>
          <w:bCs/>
          <w:rtl/>
          <w:lang w:eastAsia="en-GB"/>
        </w:rPr>
        <w:t>يتعرض ل</w:t>
      </w:r>
      <w:r w:rsidR="00823B8F" w:rsidRPr="00C1733B">
        <w:rPr>
          <w:rFonts w:eastAsia="Calibri"/>
          <w:b/>
          <w:bCs/>
          <w:rtl/>
          <w:lang w:eastAsia="en-GB"/>
        </w:rPr>
        <w:t>لتعذيب أو سوء المعاملة عند ترحيله</w:t>
      </w:r>
      <w:r w:rsidR="00823B8F" w:rsidRPr="00C1733B">
        <w:rPr>
          <w:rFonts w:eastAsia="Calibri" w:hint="cs"/>
          <w:b/>
          <w:bCs/>
          <w:rtl/>
          <w:lang w:eastAsia="en-GB"/>
        </w:rPr>
        <w:t xml:space="preserve"> إلى بلده الأصلي. وتدعو اللجنة الدولة الطرف إلى إجراء تقييم شامل للمخاطر التي تنطوي عليها الحالات المشمولة بالمادة 3 من الاتفاقية، لا سيما من خلال إيلاء الاعتبار للقرائن المقدمة من السريلانكيين الذين ثبتت صحة ادعاءاتهم المتعلقة بالتعرض للتعذيب بعد ترحيلهم وإعادة النظر في توجيهاتها المتعلقة بهذا البلد، وفقا</w:t>
      </w:r>
      <w:r>
        <w:rPr>
          <w:rFonts w:eastAsia="Calibri" w:hint="cs"/>
          <w:b/>
          <w:bCs/>
          <w:rtl/>
          <w:lang w:eastAsia="en-GB"/>
        </w:rPr>
        <w:t>ً</w:t>
      </w:r>
      <w:r w:rsidR="00823B8F" w:rsidRPr="00C1733B">
        <w:rPr>
          <w:rFonts w:eastAsia="Calibri" w:hint="cs"/>
          <w:b/>
          <w:bCs/>
          <w:rtl/>
          <w:lang w:eastAsia="en-GB"/>
        </w:rPr>
        <w:t xml:space="preserve"> ل</w:t>
      </w:r>
      <w:r>
        <w:rPr>
          <w:rFonts w:eastAsia="Calibri" w:hint="cs"/>
          <w:b/>
          <w:bCs/>
          <w:rtl/>
          <w:lang w:eastAsia="en-GB"/>
        </w:rPr>
        <w:t xml:space="preserve">ذلك. </w:t>
      </w:r>
    </w:p>
    <w:p w:rsidR="00823B8F" w:rsidRPr="00C1733B" w:rsidRDefault="00ED1C5C" w:rsidP="00403EEF">
      <w:pPr>
        <w:pStyle w:val="H23GA"/>
        <w:rPr>
          <w:rFonts w:hint="cs"/>
        </w:rPr>
      </w:pPr>
      <w:r>
        <w:rPr>
          <w:rFonts w:hint="cs"/>
          <w:rtl/>
        </w:rPr>
        <w:tab/>
      </w:r>
      <w:r>
        <w:rPr>
          <w:rFonts w:hint="cs"/>
          <w:rtl/>
        </w:rPr>
        <w:tab/>
      </w:r>
      <w:r w:rsidR="00823B8F" w:rsidRPr="00C1733B">
        <w:rPr>
          <w:rFonts w:hint="cs"/>
          <w:rtl/>
        </w:rPr>
        <w:t xml:space="preserve">شاكر عامر </w:t>
      </w:r>
    </w:p>
    <w:p w:rsidR="00823B8F" w:rsidRPr="00C1733B" w:rsidRDefault="00ED1C5C" w:rsidP="00ED1C5C">
      <w:pPr>
        <w:pStyle w:val="SingleTxtGA"/>
        <w:rPr>
          <w:rFonts w:eastAsia="Calibri" w:hint="cs"/>
          <w:lang w:eastAsia="en-GB"/>
        </w:rPr>
      </w:pPr>
      <w:r>
        <w:rPr>
          <w:rFonts w:eastAsia="Calibri" w:hint="cs"/>
          <w:rtl/>
          <w:lang w:eastAsia="en-GB"/>
        </w:rPr>
        <w:t>(</w:t>
      </w:r>
      <w:r w:rsidR="00823B8F" w:rsidRPr="00C1733B">
        <w:rPr>
          <w:rFonts w:eastAsia="Calibri" w:hint="cs"/>
          <w:rtl/>
          <w:lang w:eastAsia="en-GB"/>
        </w:rPr>
        <w:t>21</w:t>
      </w:r>
      <w:r>
        <w:rPr>
          <w:rFonts w:eastAsia="Calibri" w:hint="cs"/>
          <w:rtl/>
          <w:lang w:eastAsia="en-GB"/>
        </w:rPr>
        <w:t>)</w:t>
      </w:r>
      <w:r>
        <w:rPr>
          <w:rFonts w:eastAsia="Calibri" w:hint="cs"/>
          <w:rtl/>
          <w:lang w:eastAsia="en-GB"/>
        </w:rPr>
        <w:tab/>
      </w:r>
      <w:r w:rsidR="00823B8F" w:rsidRPr="00C1733B">
        <w:rPr>
          <w:rFonts w:eastAsia="Calibri" w:hint="cs"/>
          <w:rtl/>
          <w:lang w:eastAsia="en-GB"/>
        </w:rPr>
        <w:t xml:space="preserve">تشير اللجنة بقلق كبير إلى قضية شاكر عامر </w:t>
      </w:r>
      <w:r w:rsidR="00823B8F" w:rsidRPr="00C1733B">
        <w:rPr>
          <w:rFonts w:eastAsia="Calibri"/>
          <w:rtl/>
          <w:lang w:eastAsia="en-GB"/>
        </w:rPr>
        <w:t xml:space="preserve">الذي يُعد آخر مقيم في بريطانيا </w:t>
      </w:r>
      <w:r w:rsidR="00823B8F" w:rsidRPr="00C1733B">
        <w:rPr>
          <w:rFonts w:eastAsia="Calibri" w:hint="cs"/>
          <w:rtl/>
          <w:lang w:eastAsia="en-GB"/>
        </w:rPr>
        <w:t>لا</w:t>
      </w:r>
      <w:r>
        <w:rPr>
          <w:rFonts w:eastAsia="Calibri" w:hint="eastAsia"/>
          <w:rtl/>
          <w:lang w:eastAsia="en-GB"/>
        </w:rPr>
        <w:t> </w:t>
      </w:r>
      <w:r w:rsidR="00823B8F" w:rsidRPr="00C1733B">
        <w:rPr>
          <w:rFonts w:eastAsia="Calibri" w:hint="cs"/>
          <w:rtl/>
          <w:lang w:eastAsia="en-GB"/>
        </w:rPr>
        <w:t>يزال قيد الاحتجاز</w:t>
      </w:r>
      <w:r w:rsidR="00823B8F" w:rsidRPr="00C1733B">
        <w:rPr>
          <w:rFonts w:eastAsia="Calibri"/>
          <w:rtl/>
          <w:lang w:eastAsia="en-GB"/>
        </w:rPr>
        <w:t xml:space="preserve"> في </w:t>
      </w:r>
      <w:r w:rsidR="00823B8F" w:rsidRPr="00C1733B">
        <w:rPr>
          <w:rFonts w:eastAsia="Calibri" w:hint="cs"/>
          <w:rtl/>
          <w:lang w:eastAsia="en-GB"/>
        </w:rPr>
        <w:t xml:space="preserve">خليج </w:t>
      </w:r>
      <w:r w:rsidR="00823B8F" w:rsidRPr="00C1733B">
        <w:rPr>
          <w:rFonts w:eastAsia="Calibri"/>
          <w:rtl/>
          <w:lang w:eastAsia="en-GB"/>
        </w:rPr>
        <w:t>غوانتانامو،</w:t>
      </w:r>
      <w:r w:rsidR="00823B8F" w:rsidRPr="00C1733B">
        <w:rPr>
          <w:rFonts w:eastAsia="Calibri" w:hint="cs"/>
          <w:rtl/>
          <w:lang w:eastAsia="en-GB"/>
        </w:rPr>
        <w:t xml:space="preserve"> إذ احتجز دون توجيه التهم إليه طيلة فترة تزيد عن 11 عاما</w:t>
      </w:r>
      <w:r>
        <w:rPr>
          <w:rFonts w:eastAsia="Calibri" w:hint="cs"/>
          <w:rtl/>
          <w:lang w:eastAsia="en-GB"/>
        </w:rPr>
        <w:t>ً</w:t>
      </w:r>
      <w:r w:rsidR="00823B8F" w:rsidRPr="00C1733B">
        <w:rPr>
          <w:rFonts w:eastAsia="Calibri" w:hint="cs"/>
          <w:rtl/>
          <w:lang w:eastAsia="en-GB"/>
        </w:rPr>
        <w:t>، وهو يعاني من تدهور سريع في صحته لا سيما في ظل إضرابه عن الطعام حاليا</w:t>
      </w:r>
      <w:r>
        <w:rPr>
          <w:rFonts w:eastAsia="Calibri" w:hint="cs"/>
          <w:rtl/>
          <w:lang w:eastAsia="en-GB"/>
        </w:rPr>
        <w:t>ً</w:t>
      </w:r>
      <w:r w:rsidR="00823B8F" w:rsidRPr="00C1733B">
        <w:rPr>
          <w:rFonts w:eastAsia="Calibri" w:hint="cs"/>
          <w:rtl/>
          <w:lang w:eastAsia="en-GB"/>
        </w:rPr>
        <w:t>. وتأسف اللجنة لعدم وجود ما يشير إلى أن الإفراج عنه بات وشيكا رغم أن الدولة الطرف بذ</w:t>
      </w:r>
      <w:r>
        <w:rPr>
          <w:rFonts w:eastAsia="Calibri" w:hint="cs"/>
          <w:rtl/>
          <w:lang w:eastAsia="en-GB"/>
        </w:rPr>
        <w:t>لت "قصارى جهدها" من أجل ذلك.</w:t>
      </w:r>
    </w:p>
    <w:p w:rsidR="00823B8F" w:rsidRPr="00C1733B" w:rsidRDefault="00ED1C5C" w:rsidP="00ED1C5C">
      <w:pPr>
        <w:pStyle w:val="SingleTxtGA"/>
        <w:rPr>
          <w:rFonts w:eastAsia="Calibri" w:hint="cs"/>
          <w:b/>
          <w:bCs/>
          <w:rtl/>
          <w:lang w:eastAsia="en-GB"/>
        </w:rPr>
      </w:pPr>
      <w:r>
        <w:rPr>
          <w:rFonts w:eastAsia="Calibri" w:hint="cs"/>
          <w:b/>
          <w:bCs/>
          <w:rtl/>
          <w:lang w:eastAsia="en-GB"/>
        </w:rPr>
        <w:tab/>
      </w:r>
      <w:r w:rsidR="00823B8F" w:rsidRPr="00C1733B">
        <w:rPr>
          <w:rFonts w:eastAsia="Calibri" w:hint="cs"/>
          <w:b/>
          <w:bCs/>
          <w:rtl/>
          <w:lang w:eastAsia="en-GB"/>
        </w:rPr>
        <w:t>تحث اللجنة الدولة الطرف على النظر في اتخاذ جميع التدابير الممكنة لضمان الإفراج فورا</w:t>
      </w:r>
      <w:r>
        <w:rPr>
          <w:rFonts w:eastAsia="Calibri" w:hint="cs"/>
          <w:b/>
          <w:bCs/>
          <w:rtl/>
          <w:lang w:eastAsia="en-GB"/>
        </w:rPr>
        <w:t>ً</w:t>
      </w:r>
      <w:r w:rsidR="00823B8F" w:rsidRPr="00C1733B">
        <w:rPr>
          <w:rFonts w:eastAsia="Calibri" w:hint="cs"/>
          <w:b/>
          <w:bCs/>
          <w:rtl/>
          <w:lang w:eastAsia="en-GB"/>
        </w:rPr>
        <w:t xml:space="preserve"> عن شاكر عامر وإعادته إلى المملكة المتحدة، بعد أن قضى في الاحتجاز 11 عاما</w:t>
      </w:r>
      <w:r w:rsidR="00255B48">
        <w:rPr>
          <w:rFonts w:eastAsia="Calibri" w:hint="cs"/>
          <w:b/>
          <w:bCs/>
          <w:rtl/>
          <w:lang w:eastAsia="en-GB"/>
        </w:rPr>
        <w:t>ً</w:t>
      </w:r>
      <w:r w:rsidR="00823B8F" w:rsidRPr="00C1733B">
        <w:rPr>
          <w:rFonts w:eastAsia="Calibri" w:hint="cs"/>
          <w:b/>
          <w:bCs/>
          <w:rtl/>
          <w:lang w:eastAsia="en-GB"/>
        </w:rPr>
        <w:t xml:space="preserve"> دون أن توجه له التهم. وفي هذا السياق، ينبغي أن تتابع الدولة الطرف الطلبين الذين قدمتهما إلى وزير الدفاع الأمريكي في حزيران/يونيه 2012 وفي أيار/مايو 2013 بشأن إصدار "تنازل" وفقا لما نص عليه قانون إقرار الدفاع الوطني لعام 2012، يتيح إطلاق سراح شاكر عامر. </w:t>
      </w:r>
    </w:p>
    <w:p w:rsidR="00823B8F" w:rsidRPr="00C1733B" w:rsidRDefault="00ED1C5C" w:rsidP="00124AEF">
      <w:pPr>
        <w:pStyle w:val="H23GA"/>
        <w:rPr>
          <w:rFonts w:hint="cs"/>
        </w:rPr>
      </w:pPr>
      <w:r>
        <w:rPr>
          <w:rFonts w:hint="cs"/>
          <w:rtl/>
        </w:rPr>
        <w:tab/>
      </w:r>
      <w:r>
        <w:rPr>
          <w:rFonts w:hint="cs"/>
          <w:rtl/>
        </w:rPr>
        <w:tab/>
      </w:r>
      <w:r w:rsidR="00823B8F" w:rsidRPr="00C1733B">
        <w:rPr>
          <w:rFonts w:hint="cs"/>
          <w:rtl/>
        </w:rPr>
        <w:t>الولاية القضائية العالمية</w:t>
      </w:r>
    </w:p>
    <w:p w:rsidR="00823B8F" w:rsidRPr="00C1733B" w:rsidRDefault="00ED1C5C" w:rsidP="00124AEF">
      <w:pPr>
        <w:pStyle w:val="SingleTxtGA"/>
        <w:rPr>
          <w:rFonts w:eastAsia="Calibri" w:hint="cs"/>
          <w:lang w:eastAsia="en-GB"/>
        </w:rPr>
      </w:pPr>
      <w:r w:rsidRPr="00F66167">
        <w:rPr>
          <w:rFonts w:eastAsia="Calibri" w:hint="cs"/>
          <w:spacing w:val="-6"/>
          <w:rtl/>
          <w:lang w:eastAsia="en-GB"/>
        </w:rPr>
        <w:t>(</w:t>
      </w:r>
      <w:r w:rsidR="00823B8F" w:rsidRPr="00F66167">
        <w:rPr>
          <w:rFonts w:eastAsia="Calibri" w:hint="cs"/>
          <w:spacing w:val="-6"/>
          <w:rtl/>
          <w:lang w:eastAsia="en-GB"/>
        </w:rPr>
        <w:t>22</w:t>
      </w:r>
      <w:r w:rsidRPr="00F66167">
        <w:rPr>
          <w:rFonts w:eastAsia="Calibri" w:hint="cs"/>
          <w:spacing w:val="-6"/>
          <w:rtl/>
          <w:lang w:eastAsia="en-GB"/>
        </w:rPr>
        <w:t>)</w:t>
      </w:r>
      <w:r w:rsidRPr="00F66167">
        <w:rPr>
          <w:rFonts w:eastAsia="Calibri" w:hint="cs"/>
          <w:spacing w:val="-6"/>
          <w:rtl/>
          <w:lang w:eastAsia="en-GB"/>
        </w:rPr>
        <w:tab/>
      </w:r>
      <w:r w:rsidR="00823B8F" w:rsidRPr="00F66167">
        <w:rPr>
          <w:rFonts w:eastAsia="Calibri" w:hint="cs"/>
          <w:spacing w:val="-6"/>
          <w:rtl/>
          <w:lang w:eastAsia="en-GB"/>
        </w:rPr>
        <w:t>تلاحظ اللجنة مع الارتياح أن استراتيجية الدولة الطرف لمنع التعذيب (2011-</w:t>
      </w:r>
      <w:r w:rsidR="00124AEF">
        <w:rPr>
          <w:rFonts w:eastAsia="Calibri" w:hint="cs"/>
          <w:spacing w:val="-6"/>
          <w:rtl/>
          <w:lang w:eastAsia="en-GB"/>
        </w:rPr>
        <w:t>2015</w:t>
      </w:r>
      <w:r w:rsidR="00823B8F" w:rsidRPr="00F66167">
        <w:rPr>
          <w:rFonts w:eastAsia="Calibri" w:hint="cs"/>
          <w:spacing w:val="-6"/>
          <w:rtl/>
          <w:lang w:eastAsia="en-GB"/>
        </w:rPr>
        <w:t>)</w:t>
      </w:r>
      <w:r w:rsidR="00823B8F" w:rsidRPr="00C1733B">
        <w:rPr>
          <w:rFonts w:eastAsia="Calibri" w:hint="cs"/>
          <w:rtl/>
          <w:lang w:eastAsia="en-GB"/>
        </w:rPr>
        <w:t xml:space="preserve"> تشير إلى الالتزام بموجب الاتفاقية بضمان عدم توفير "ملاذ آمن" للأشخاص المتهمين بممارسة التعذيب، وترحب بإجراء تعديلات تشريعية توسع صلاحية محاكم المملكة المتحدة لمحاكمة مرتكبي الجرائم الدولية. بيد أن اللجنة تشعر بالقلق إزاء القيام في الوقت نفسه، بإقرار تشريع (قانون الشرطة والمسؤولية الاجتماعية لعام 2011) يزيد من صعوبة إصدار مذكرات اعتقال خاصة في حق الأشخاص الموجودين في إقليم الدولة الطرف (المادة 5). </w:t>
      </w:r>
    </w:p>
    <w:p w:rsidR="00823B8F" w:rsidRPr="00C1733B" w:rsidRDefault="00F66167" w:rsidP="004C3E0C">
      <w:pPr>
        <w:pStyle w:val="SingleTxtGA"/>
        <w:rPr>
          <w:rFonts w:eastAsia="Calibri" w:hint="cs"/>
          <w:b/>
          <w:bCs/>
          <w:rtl/>
          <w:lang w:eastAsia="en-GB"/>
        </w:rPr>
      </w:pPr>
      <w:r>
        <w:rPr>
          <w:rFonts w:eastAsia="Calibri" w:hint="cs"/>
          <w:b/>
          <w:bCs/>
          <w:rtl/>
          <w:lang w:eastAsia="en-GB"/>
        </w:rPr>
        <w:tab/>
      </w:r>
      <w:r w:rsidR="00823B8F" w:rsidRPr="00C1733B">
        <w:rPr>
          <w:rFonts w:eastAsia="Calibri" w:hint="cs"/>
          <w:b/>
          <w:bCs/>
          <w:rtl/>
          <w:lang w:eastAsia="en-GB"/>
        </w:rPr>
        <w:t>توصي اللجنة بأن تتخذ الدولة الطرف جميع الخطوات اللازمة لضمان ممارسة الولاية القضائية العالمية فعليا على المسؤولين المزعومين ع</w:t>
      </w:r>
      <w:r w:rsidR="00823B8F" w:rsidRPr="00C1733B">
        <w:rPr>
          <w:rFonts w:eastAsia="Calibri"/>
          <w:b/>
          <w:bCs/>
          <w:rtl/>
          <w:lang w:eastAsia="en-GB"/>
        </w:rPr>
        <w:t>ن</w:t>
      </w:r>
      <w:r w:rsidR="00823B8F" w:rsidRPr="00C1733B">
        <w:rPr>
          <w:rFonts w:eastAsia="Calibri" w:hint="cs"/>
          <w:b/>
          <w:bCs/>
          <w:rtl/>
          <w:lang w:eastAsia="en-GB"/>
        </w:rPr>
        <w:t xml:space="preserve"> أعمال التعذيب بما في ذلك الجناة الأجانب المتواجدون في المملكة المتحدة بصورة مؤقتة. وبالإضافة إلى ذلك، توصي اللجنة بأن تعمل الدولة الطرف على سد ثغرة "الإفلات من العقاب" التي حددتها اللجنة المشتركة لحقوق الإنسان في عام 2009</w:t>
      </w:r>
      <w:r w:rsidR="00C54611" w:rsidRPr="00C1733B">
        <w:rPr>
          <w:rFonts w:hint="cs"/>
          <w:vertAlign w:val="superscript"/>
          <w:rtl/>
        </w:rPr>
        <w:t>(</w:t>
      </w:r>
      <w:r w:rsidR="00C54611" w:rsidRPr="00C1733B">
        <w:rPr>
          <w:rStyle w:val="FootnoteReference"/>
          <w:rtl/>
        </w:rPr>
        <w:footnoteReference w:id="12"/>
      </w:r>
      <w:r w:rsidR="00C54611" w:rsidRPr="00C1733B">
        <w:rPr>
          <w:rFonts w:hint="cs"/>
          <w:vertAlign w:val="superscript"/>
          <w:rtl/>
        </w:rPr>
        <w:t>)</w:t>
      </w:r>
      <w:r w:rsidR="00823B8F" w:rsidRPr="00C1733B">
        <w:rPr>
          <w:rFonts w:eastAsia="Calibri" w:hint="cs"/>
          <w:b/>
          <w:bCs/>
          <w:rtl/>
          <w:lang w:eastAsia="en-GB"/>
        </w:rPr>
        <w:t>،</w:t>
      </w:r>
      <w:r w:rsidR="00C54611" w:rsidRPr="00C1733B">
        <w:rPr>
          <w:rFonts w:eastAsia="Calibri" w:hint="cs"/>
          <w:b/>
          <w:bCs/>
          <w:rtl/>
          <w:lang w:eastAsia="en-GB"/>
        </w:rPr>
        <w:t xml:space="preserve"> </w:t>
      </w:r>
      <w:r w:rsidR="00823B8F" w:rsidRPr="00C1733B">
        <w:rPr>
          <w:rFonts w:eastAsia="Calibri" w:hint="cs"/>
          <w:b/>
          <w:bCs/>
          <w:rtl/>
          <w:lang w:eastAsia="en-GB"/>
        </w:rPr>
        <w:t xml:space="preserve">وذلك عن طريق اعتماد مشروع القانون المتعلق بالتعذيب (التعويض) الذي ينص على عالمية الاختصاص القضائي المدني </w:t>
      </w:r>
      <w:r>
        <w:rPr>
          <w:rFonts w:eastAsia="Calibri" w:hint="cs"/>
          <w:b/>
          <w:bCs/>
          <w:rtl/>
          <w:lang w:eastAsia="en-GB"/>
        </w:rPr>
        <w:t>للبت في بعض المطالبات المدنية.</w:t>
      </w:r>
    </w:p>
    <w:p w:rsidR="00823B8F" w:rsidRPr="00C1733B" w:rsidRDefault="00F66167" w:rsidP="00124AEF">
      <w:pPr>
        <w:pStyle w:val="H23GA"/>
        <w:rPr>
          <w:rFonts w:hint="cs"/>
        </w:rPr>
      </w:pPr>
      <w:r>
        <w:rPr>
          <w:rFonts w:hint="cs"/>
          <w:rtl/>
        </w:rPr>
        <w:tab/>
      </w:r>
      <w:r>
        <w:rPr>
          <w:rFonts w:hint="cs"/>
          <w:rtl/>
        </w:rPr>
        <w:tab/>
      </w:r>
      <w:r w:rsidR="00823B8F" w:rsidRPr="00C1733B">
        <w:rPr>
          <w:rFonts w:hint="cs"/>
          <w:rtl/>
        </w:rPr>
        <w:t xml:space="preserve">العدالة الانتقالية في </w:t>
      </w:r>
      <w:r>
        <w:rPr>
          <w:rFonts w:hint="cs"/>
          <w:rtl/>
        </w:rPr>
        <w:t>أ</w:t>
      </w:r>
      <w:r w:rsidR="00823B8F" w:rsidRPr="00C1733B">
        <w:rPr>
          <w:rFonts w:hint="cs"/>
          <w:rtl/>
        </w:rPr>
        <w:t>يرلندا الشمالية</w:t>
      </w:r>
    </w:p>
    <w:p w:rsidR="00823B8F" w:rsidRPr="00C1733B" w:rsidRDefault="00F66167" w:rsidP="004C3E0C">
      <w:pPr>
        <w:pStyle w:val="SingleTxtGA"/>
        <w:rPr>
          <w:rFonts w:eastAsia="Calibri" w:hint="cs"/>
          <w:lang w:eastAsia="en-GB"/>
        </w:rPr>
      </w:pPr>
      <w:r>
        <w:rPr>
          <w:rFonts w:eastAsia="Calibri" w:hint="cs"/>
          <w:rtl/>
          <w:lang w:eastAsia="en-GB"/>
        </w:rPr>
        <w:t>(</w:t>
      </w:r>
      <w:r w:rsidR="00823B8F" w:rsidRPr="00C1733B">
        <w:rPr>
          <w:rFonts w:eastAsia="Calibri" w:hint="cs"/>
          <w:rtl/>
          <w:lang w:eastAsia="en-GB"/>
        </w:rPr>
        <w:t>23</w:t>
      </w:r>
      <w:r>
        <w:rPr>
          <w:rFonts w:eastAsia="Calibri" w:hint="cs"/>
          <w:rtl/>
          <w:lang w:eastAsia="en-GB"/>
        </w:rPr>
        <w:t>)</w:t>
      </w:r>
      <w:r>
        <w:rPr>
          <w:rFonts w:eastAsia="Calibri" w:hint="cs"/>
          <w:rtl/>
          <w:lang w:eastAsia="en-GB"/>
        </w:rPr>
        <w:tab/>
      </w:r>
      <w:r w:rsidR="00823B8F" w:rsidRPr="00C1733B">
        <w:rPr>
          <w:rFonts w:eastAsia="Calibri" w:hint="cs"/>
          <w:rtl/>
          <w:lang w:eastAsia="en-GB"/>
        </w:rPr>
        <w:t xml:space="preserve">ترحب اللجنة </w:t>
      </w:r>
      <w:r w:rsidRPr="00F66167">
        <w:rPr>
          <w:rFonts w:eastAsia="Calibri" w:hint="cs"/>
          <w:sz w:val="30"/>
          <w:rtl/>
          <w:lang w:eastAsia="en-GB"/>
        </w:rPr>
        <w:t>ب‍</w:t>
      </w:r>
      <w:r w:rsidR="00823B8F" w:rsidRPr="00C1733B">
        <w:rPr>
          <w:rFonts w:eastAsia="Calibri" w:hint="cs"/>
          <w:rtl/>
          <w:lang w:eastAsia="en-GB"/>
        </w:rPr>
        <w:t xml:space="preserve"> "حزمة التدابير" التي وضعها مكتب </w:t>
      </w:r>
      <w:r w:rsidR="00255B48">
        <w:rPr>
          <w:rFonts w:eastAsia="Calibri" w:hint="cs"/>
          <w:rtl/>
          <w:lang w:eastAsia="en-GB"/>
        </w:rPr>
        <w:t>أ</w:t>
      </w:r>
      <w:r w:rsidR="00823B8F" w:rsidRPr="00C1733B">
        <w:rPr>
          <w:rFonts w:eastAsia="Calibri" w:hint="cs"/>
          <w:rtl/>
          <w:lang w:eastAsia="en-GB"/>
        </w:rPr>
        <w:t xml:space="preserve">يرلندا الشمالية ووزير العدل لدى </w:t>
      </w:r>
      <w:r>
        <w:rPr>
          <w:rFonts w:eastAsia="Calibri" w:hint="cs"/>
          <w:rtl/>
          <w:lang w:eastAsia="en-GB"/>
        </w:rPr>
        <w:t>أ</w:t>
      </w:r>
      <w:r w:rsidR="00823B8F" w:rsidRPr="00C1733B">
        <w:rPr>
          <w:rFonts w:eastAsia="Calibri" w:hint="cs"/>
          <w:rtl/>
          <w:lang w:eastAsia="en-GB"/>
        </w:rPr>
        <w:t xml:space="preserve">يرلندا الشمالية لطي صفحة الماضي في </w:t>
      </w:r>
      <w:r w:rsidR="00255B48">
        <w:rPr>
          <w:rFonts w:eastAsia="Calibri" w:hint="cs"/>
          <w:rtl/>
          <w:lang w:eastAsia="en-GB"/>
        </w:rPr>
        <w:t>أ</w:t>
      </w:r>
      <w:r w:rsidR="00823B8F" w:rsidRPr="00C1733B">
        <w:rPr>
          <w:rFonts w:eastAsia="Calibri" w:hint="cs"/>
          <w:rtl/>
          <w:lang w:eastAsia="en-GB"/>
        </w:rPr>
        <w:t>يرلندا الشمالية، ويشمل ذلك إنشاء آليات لإجراء تحقيقات تاريخية في حالات الوفاة المتصلة بالنزاع بما في ذلك وفيات ضحايا التعذيب وسوء المعاملة. لكنها تشير إلى ورود معلومات تتحدث عن وجود تناقضات واضحة في التحقيقات التي تستهدف مسؤولين عسكريين، الأمر الذي يؤدي إلى تأخير التحقيق أو وقفه، ويحد بذلك من قدرة الهيئات المختصة على إجراء تحقيقات فورية ونزيهة في انتهاكات حقوق الإنسان وعلى إجراء دراسة شاملة عن الطابع المنهجي للانتهاكات والتجاوزات المرتكبة أو</w:t>
      </w:r>
      <w:r>
        <w:rPr>
          <w:rFonts w:eastAsia="Calibri" w:hint="eastAsia"/>
          <w:rtl/>
          <w:lang w:eastAsia="en-GB"/>
        </w:rPr>
        <w:t> </w:t>
      </w:r>
      <w:r w:rsidR="00823B8F" w:rsidRPr="00C1733B">
        <w:rPr>
          <w:rFonts w:eastAsia="Calibri" w:hint="cs"/>
          <w:rtl/>
          <w:lang w:eastAsia="en-GB"/>
        </w:rPr>
        <w:t>عن وجود أنماط منها لضمان المساءلة وتوفير سبل الانتصاف الفعال. وبالإضافة إلى ذلك، تشعر اللجنة بالقلق إزاء القرار الذي اتخذته الدولة الطرف بعدم إجراء تحقيق رسمي في وفاة باتريك فينوكين (المواد 2 و12 و13</w:t>
      </w:r>
      <w:r>
        <w:rPr>
          <w:rFonts w:eastAsia="Calibri" w:hint="cs"/>
          <w:rtl/>
          <w:lang w:eastAsia="en-GB"/>
        </w:rPr>
        <w:t xml:space="preserve"> و14 و16).</w:t>
      </w:r>
    </w:p>
    <w:p w:rsidR="00823B8F" w:rsidRPr="00C1733B" w:rsidRDefault="00F66167" w:rsidP="004C3E0C">
      <w:pPr>
        <w:pStyle w:val="SingleTxtGA"/>
        <w:rPr>
          <w:rFonts w:hint="cs"/>
          <w:b/>
          <w:bCs/>
          <w:lang w:eastAsia="en-GB"/>
        </w:rPr>
      </w:pPr>
      <w:r>
        <w:rPr>
          <w:rFonts w:hint="cs"/>
          <w:b/>
          <w:bCs/>
          <w:rtl/>
          <w:lang w:eastAsia="en-GB"/>
        </w:rPr>
        <w:tab/>
      </w:r>
      <w:r w:rsidR="00823B8F" w:rsidRPr="00C1733B">
        <w:rPr>
          <w:rFonts w:hint="cs"/>
          <w:b/>
          <w:bCs/>
          <w:rtl/>
          <w:lang w:eastAsia="en-GB"/>
        </w:rPr>
        <w:t>توصي اللجنة بأن تضع الدولة الطرف إطارا</w:t>
      </w:r>
      <w:r>
        <w:rPr>
          <w:rFonts w:hint="cs"/>
          <w:b/>
          <w:bCs/>
          <w:rtl/>
          <w:lang w:eastAsia="en-GB"/>
        </w:rPr>
        <w:t>ً</w:t>
      </w:r>
      <w:r w:rsidR="00823B8F" w:rsidRPr="00C1733B">
        <w:rPr>
          <w:rFonts w:hint="cs"/>
          <w:b/>
          <w:bCs/>
          <w:rtl/>
          <w:lang w:eastAsia="en-GB"/>
        </w:rPr>
        <w:t xml:space="preserve"> شاملا</w:t>
      </w:r>
      <w:r>
        <w:rPr>
          <w:rFonts w:hint="cs"/>
          <w:b/>
          <w:bCs/>
          <w:rtl/>
          <w:lang w:eastAsia="en-GB"/>
        </w:rPr>
        <w:t>ً</w:t>
      </w:r>
      <w:r w:rsidR="00823B8F" w:rsidRPr="00C1733B">
        <w:rPr>
          <w:rFonts w:hint="cs"/>
          <w:b/>
          <w:bCs/>
          <w:rtl/>
          <w:lang w:eastAsia="en-GB"/>
        </w:rPr>
        <w:t xml:space="preserve"> للعدالة الانتقالية في </w:t>
      </w:r>
      <w:r>
        <w:rPr>
          <w:rFonts w:hint="cs"/>
          <w:b/>
          <w:bCs/>
          <w:rtl/>
          <w:lang w:eastAsia="en-GB"/>
        </w:rPr>
        <w:t>أ</w:t>
      </w:r>
      <w:r w:rsidR="00823B8F" w:rsidRPr="00C1733B">
        <w:rPr>
          <w:rFonts w:hint="cs"/>
          <w:b/>
          <w:bCs/>
          <w:rtl/>
          <w:lang w:eastAsia="en-GB"/>
        </w:rPr>
        <w:t>يرلندا الشمالية وتضمن إجراء تحقيقات فورية وشاملة ومستقلة لكشف الحقيقة وتحديد هوية الجناة وملاحقتهم ومعاقبتهم. وفي هذا السياق، ترى اللجنة أن هذا النهج الشامل بما فيه إجراء تحقيق رسمي في وفاة باتريك فينوكين، سيرسل إشارة قوية عن التزامها بمعالجة ما</w:t>
      </w:r>
      <w:r>
        <w:rPr>
          <w:rFonts w:hint="eastAsia"/>
          <w:b/>
          <w:bCs/>
          <w:rtl/>
          <w:lang w:eastAsia="en-GB"/>
        </w:rPr>
        <w:t> </w:t>
      </w:r>
      <w:r w:rsidR="00823B8F" w:rsidRPr="00C1733B">
        <w:rPr>
          <w:rFonts w:hint="cs"/>
          <w:b/>
          <w:bCs/>
          <w:rtl/>
          <w:lang w:eastAsia="en-GB"/>
        </w:rPr>
        <w:t>حدث في الماضي من انتهاكات لحقوق الإنسان بطريقة محايدة وشفافة. وينبغي أن تحرص الدولة الطرف أيضا</w:t>
      </w:r>
      <w:r w:rsidR="002F691F">
        <w:rPr>
          <w:rFonts w:hint="cs"/>
          <w:b/>
          <w:bCs/>
          <w:rtl/>
          <w:lang w:eastAsia="en-GB"/>
        </w:rPr>
        <w:t>ً</w:t>
      </w:r>
      <w:r w:rsidR="00823B8F" w:rsidRPr="00C1733B">
        <w:rPr>
          <w:rFonts w:hint="cs"/>
          <w:b/>
          <w:bCs/>
          <w:rtl/>
          <w:lang w:eastAsia="en-GB"/>
        </w:rPr>
        <w:t xml:space="preserve"> على تمكين جميع ضحايا التعذيب وسوء المعاملة من الحصول على الانتصاف والتعويض المناسبين. </w:t>
      </w:r>
    </w:p>
    <w:p w:rsidR="00823B8F" w:rsidRPr="00C1733B" w:rsidRDefault="00F66167" w:rsidP="00124AEF">
      <w:pPr>
        <w:pStyle w:val="H23GA"/>
        <w:spacing w:line="364" w:lineRule="exact"/>
        <w:rPr>
          <w:rFonts w:hint="cs"/>
        </w:rPr>
      </w:pPr>
      <w:r>
        <w:rPr>
          <w:rFonts w:hint="cs"/>
          <w:rtl/>
        </w:rPr>
        <w:tab/>
      </w:r>
      <w:r>
        <w:rPr>
          <w:rFonts w:hint="cs"/>
          <w:rtl/>
        </w:rPr>
        <w:tab/>
      </w:r>
      <w:r w:rsidR="00823B8F" w:rsidRPr="00C1733B">
        <w:rPr>
          <w:rFonts w:hint="cs"/>
          <w:rtl/>
        </w:rPr>
        <w:t>لجنة التحقيق في الاعتداءات التي ارتكبتها المؤسسات في الماضي</w:t>
      </w:r>
    </w:p>
    <w:p w:rsidR="00823B8F" w:rsidRPr="00F66167" w:rsidRDefault="00F66167" w:rsidP="00124AEF">
      <w:pPr>
        <w:pStyle w:val="SingleTxtGA"/>
        <w:spacing w:line="364" w:lineRule="exact"/>
        <w:rPr>
          <w:rFonts w:eastAsia="Calibri" w:hint="cs"/>
          <w:lang w:eastAsia="en-GB"/>
        </w:rPr>
      </w:pPr>
      <w:r>
        <w:rPr>
          <w:rFonts w:eastAsia="Calibri" w:hint="cs"/>
          <w:rtl/>
          <w:lang w:eastAsia="en-GB"/>
        </w:rPr>
        <w:t>(</w:t>
      </w:r>
      <w:r w:rsidR="00823B8F" w:rsidRPr="00C1733B">
        <w:rPr>
          <w:rFonts w:eastAsia="Calibri" w:hint="cs"/>
          <w:rtl/>
          <w:lang w:eastAsia="en-GB"/>
        </w:rPr>
        <w:t>24</w:t>
      </w:r>
      <w:r>
        <w:rPr>
          <w:rFonts w:eastAsia="Calibri" w:hint="cs"/>
          <w:rtl/>
          <w:lang w:eastAsia="en-GB"/>
        </w:rPr>
        <w:t>)</w:t>
      </w:r>
      <w:r>
        <w:rPr>
          <w:rFonts w:eastAsia="Calibri" w:hint="cs"/>
          <w:rtl/>
          <w:lang w:eastAsia="en-GB"/>
        </w:rPr>
        <w:tab/>
      </w:r>
      <w:r w:rsidR="00823B8F" w:rsidRPr="00C1733B">
        <w:rPr>
          <w:rFonts w:eastAsia="Calibri" w:hint="cs"/>
          <w:rtl/>
          <w:lang w:eastAsia="en-GB"/>
        </w:rPr>
        <w:t xml:space="preserve">ترحب اللجنة بإنشاء </w:t>
      </w:r>
      <w:r w:rsidR="00823B8F" w:rsidRPr="00C1733B">
        <w:rPr>
          <w:rFonts w:eastAsia="Calibri"/>
          <w:rtl/>
          <w:lang w:eastAsia="en-GB"/>
        </w:rPr>
        <w:t xml:space="preserve">لجنة التحقيق في الاعتداءات التي </w:t>
      </w:r>
      <w:r w:rsidR="00823B8F" w:rsidRPr="00C1733B">
        <w:rPr>
          <w:rFonts w:eastAsia="Calibri" w:hint="cs"/>
          <w:rtl/>
          <w:lang w:eastAsia="en-GB"/>
        </w:rPr>
        <w:t>ارتكبتها المؤسسات في الماضي في أيار/مايو 2012، لتتولى التحقيق في حالات الاعتداء على الأطفال الذين عاشوا في مؤسسات الرعاية ب</w:t>
      </w:r>
      <w:r w:rsidR="00255B48">
        <w:rPr>
          <w:rFonts w:eastAsia="Calibri" w:hint="cs"/>
          <w:rtl/>
          <w:lang w:eastAsia="en-GB"/>
        </w:rPr>
        <w:t>أ</w:t>
      </w:r>
      <w:r w:rsidR="00823B8F" w:rsidRPr="00C1733B">
        <w:rPr>
          <w:rFonts w:eastAsia="Calibri" w:hint="cs"/>
          <w:rtl/>
          <w:lang w:eastAsia="en-GB"/>
        </w:rPr>
        <w:t xml:space="preserve">يرلندا الشمالية في الفترة من 1922 إلى </w:t>
      </w:r>
      <w:r w:rsidR="00124AEF">
        <w:rPr>
          <w:rFonts w:eastAsia="Calibri" w:hint="cs"/>
          <w:rtl/>
          <w:lang w:eastAsia="en-GB"/>
        </w:rPr>
        <w:t>1995</w:t>
      </w:r>
      <w:r w:rsidR="00823B8F" w:rsidRPr="00C1733B">
        <w:rPr>
          <w:rFonts w:eastAsia="Calibri" w:hint="cs"/>
          <w:rtl/>
          <w:lang w:eastAsia="en-GB"/>
        </w:rPr>
        <w:t>، لكنها تشعر بالأسف لأن حالات بعض الضحايا كالنساء اللواتي تتجاوز أعمارهن 18 عاما</w:t>
      </w:r>
      <w:r w:rsidR="00255B48">
        <w:rPr>
          <w:rFonts w:eastAsia="Calibri" w:hint="cs"/>
          <w:rtl/>
          <w:lang w:eastAsia="en-GB"/>
        </w:rPr>
        <w:t>ً</w:t>
      </w:r>
      <w:r w:rsidR="00823B8F" w:rsidRPr="00C1733B">
        <w:rPr>
          <w:rFonts w:eastAsia="Calibri" w:hint="cs"/>
          <w:rtl/>
          <w:lang w:eastAsia="en-GB"/>
        </w:rPr>
        <w:t xml:space="preserve"> وعشن حبيسات مغاسل مريم المجدلية والمؤسسات المماثلة، وكذلك الأشخاص الذين ما زالوا على قيد الحياة ممن تعرضوا للاعتداء على أيدي رجال الدين، قد اس</w:t>
      </w:r>
      <w:r>
        <w:rPr>
          <w:rFonts w:eastAsia="Calibri" w:hint="cs"/>
          <w:rtl/>
          <w:lang w:eastAsia="en-GB"/>
        </w:rPr>
        <w:t xml:space="preserve">تثنيت من اختصاص لجنة التحقيق </w:t>
      </w:r>
      <w:r w:rsidRPr="00F66167">
        <w:rPr>
          <w:rFonts w:eastAsia="Calibri"/>
          <w:rtl/>
          <w:lang w:eastAsia="en-GB"/>
        </w:rPr>
        <w:t>(المواد</w:t>
      </w:r>
      <w:r>
        <w:rPr>
          <w:rFonts w:eastAsia="Calibri" w:hint="cs"/>
          <w:rtl/>
          <w:lang w:eastAsia="en-GB"/>
        </w:rPr>
        <w:t> </w:t>
      </w:r>
      <w:r w:rsidRPr="00F66167">
        <w:rPr>
          <w:rFonts w:eastAsia="Calibri"/>
          <w:rtl/>
          <w:lang w:eastAsia="en-GB"/>
        </w:rPr>
        <w:t>2 و12 و13 و14 و16)</w:t>
      </w:r>
      <w:r>
        <w:rPr>
          <w:rFonts w:eastAsia="Calibri"/>
          <w:rtl/>
          <w:lang w:eastAsia="en-GB"/>
        </w:rPr>
        <w:t>.</w:t>
      </w:r>
    </w:p>
    <w:p w:rsidR="00823B8F" w:rsidRPr="00C1733B" w:rsidRDefault="00F66167" w:rsidP="00124AEF">
      <w:pPr>
        <w:pStyle w:val="SingleTxtGA"/>
        <w:spacing w:line="364" w:lineRule="exact"/>
        <w:rPr>
          <w:rFonts w:eastAsia="Calibri" w:hint="cs"/>
          <w:b/>
          <w:bCs/>
          <w:lang w:eastAsia="en-GB"/>
        </w:rPr>
      </w:pPr>
      <w:r>
        <w:rPr>
          <w:rFonts w:eastAsia="Calibri" w:hint="cs"/>
          <w:b/>
          <w:bCs/>
          <w:rtl/>
          <w:lang w:eastAsia="en-GB"/>
        </w:rPr>
        <w:tab/>
      </w:r>
      <w:r w:rsidR="00823B8F" w:rsidRPr="00C1733B">
        <w:rPr>
          <w:rFonts w:eastAsia="Calibri" w:hint="cs"/>
          <w:b/>
          <w:bCs/>
          <w:rtl/>
          <w:lang w:eastAsia="en-GB"/>
        </w:rPr>
        <w:t xml:space="preserve">توصي اللجنة بأن تجري الدولة الطرف تحقيقات فورية ومستقلة وشاملة في جميع حالات الاعتداء التي شهدتها مؤسسات </w:t>
      </w:r>
      <w:r w:rsidR="00255B48">
        <w:rPr>
          <w:rFonts w:eastAsia="Calibri" w:hint="cs"/>
          <w:b/>
          <w:bCs/>
          <w:rtl/>
          <w:lang w:eastAsia="en-GB"/>
        </w:rPr>
        <w:t>أ</w:t>
      </w:r>
      <w:r w:rsidR="00823B8F" w:rsidRPr="00C1733B">
        <w:rPr>
          <w:rFonts w:eastAsia="Calibri" w:hint="cs"/>
          <w:b/>
          <w:bCs/>
          <w:rtl/>
          <w:lang w:eastAsia="en-GB"/>
        </w:rPr>
        <w:t xml:space="preserve">يرلندا الشمالية في الفترة من 1922 و1995، بما في ذلك حالات النساء اللواتي تجاوزن الثامنة عشرة وعشن حبيسات مغاسل مريم المجدلية والمؤسسات المماثلة في </w:t>
      </w:r>
      <w:r>
        <w:rPr>
          <w:rFonts w:eastAsia="Calibri" w:hint="cs"/>
          <w:b/>
          <w:bCs/>
          <w:rtl/>
          <w:lang w:eastAsia="en-GB"/>
        </w:rPr>
        <w:t>أ</w:t>
      </w:r>
      <w:r w:rsidR="00823B8F" w:rsidRPr="00C1733B">
        <w:rPr>
          <w:rFonts w:eastAsia="Calibri" w:hint="cs"/>
          <w:b/>
          <w:bCs/>
          <w:rtl/>
          <w:lang w:eastAsia="en-GB"/>
        </w:rPr>
        <w:t>يرلندا الشمالية، وأن تحرص قدر الإمكان على ملاحقة الجناة ومعاقبتهم كلما اقتضى الأمر ذلك، وعلى حصول جميع ضحايا الاعتداء على سبل الانتصاف والتعويض، ويشمل ذلك الوسائل اللازمة لإعادة التأهيل على أكمل وجه ممكن وفقا</w:t>
      </w:r>
      <w:r w:rsidR="00255B48">
        <w:rPr>
          <w:rFonts w:eastAsia="Calibri" w:hint="cs"/>
          <w:b/>
          <w:bCs/>
          <w:rtl/>
          <w:lang w:eastAsia="en-GB"/>
        </w:rPr>
        <w:t>ً</w:t>
      </w:r>
      <w:r w:rsidR="00823B8F" w:rsidRPr="00C1733B">
        <w:rPr>
          <w:rFonts w:eastAsia="Calibri" w:hint="cs"/>
          <w:b/>
          <w:bCs/>
          <w:rtl/>
          <w:lang w:eastAsia="en-GB"/>
        </w:rPr>
        <w:t xml:space="preserve"> لتعليق اللجنة العام رقم 3 بشأن تنفيذ الدول الأطراف للمادة 14. </w:t>
      </w:r>
    </w:p>
    <w:p w:rsidR="00823B8F" w:rsidRPr="00C1733B" w:rsidRDefault="00F66167" w:rsidP="00124AEF">
      <w:pPr>
        <w:pStyle w:val="H23GA"/>
        <w:spacing w:line="364" w:lineRule="exact"/>
        <w:rPr>
          <w:rFonts w:hint="cs"/>
        </w:rPr>
      </w:pPr>
      <w:r>
        <w:rPr>
          <w:rFonts w:hint="cs"/>
          <w:rtl/>
        </w:rPr>
        <w:tab/>
      </w:r>
      <w:r>
        <w:rPr>
          <w:rFonts w:hint="cs"/>
          <w:rtl/>
        </w:rPr>
        <w:tab/>
      </w:r>
      <w:r w:rsidR="00823B8F" w:rsidRPr="00C1733B">
        <w:rPr>
          <w:rFonts w:hint="cs"/>
          <w:rtl/>
        </w:rPr>
        <w:t>استخدام الأدلة المنتزعة بالتعذيب</w:t>
      </w:r>
    </w:p>
    <w:p w:rsidR="00823B8F" w:rsidRPr="00F66167" w:rsidRDefault="00F66167" w:rsidP="00124AEF">
      <w:pPr>
        <w:pStyle w:val="SingleTxtGA"/>
        <w:spacing w:line="364" w:lineRule="exact"/>
        <w:rPr>
          <w:rFonts w:eastAsia="Calibri" w:hint="cs"/>
          <w:spacing w:val="-2"/>
          <w:lang w:eastAsia="en-GB"/>
        </w:rPr>
      </w:pPr>
      <w:r w:rsidRPr="00F66167">
        <w:rPr>
          <w:rFonts w:eastAsia="Calibri" w:hint="cs"/>
          <w:spacing w:val="-2"/>
          <w:rtl/>
          <w:lang w:eastAsia="en-GB"/>
        </w:rPr>
        <w:t>(</w:t>
      </w:r>
      <w:r w:rsidR="00823B8F" w:rsidRPr="00F66167">
        <w:rPr>
          <w:rFonts w:eastAsia="Calibri" w:hint="cs"/>
          <w:spacing w:val="-2"/>
          <w:rtl/>
          <w:lang w:eastAsia="en-GB"/>
        </w:rPr>
        <w:t>25</w:t>
      </w:r>
      <w:r w:rsidRPr="00F66167">
        <w:rPr>
          <w:rFonts w:eastAsia="Calibri" w:hint="cs"/>
          <w:spacing w:val="-2"/>
          <w:rtl/>
          <w:lang w:eastAsia="en-GB"/>
        </w:rPr>
        <w:t>)</w:t>
      </w:r>
      <w:r w:rsidRPr="00F66167">
        <w:rPr>
          <w:rFonts w:eastAsia="Calibri" w:hint="cs"/>
          <w:spacing w:val="-2"/>
          <w:rtl/>
          <w:lang w:eastAsia="en-GB"/>
        </w:rPr>
        <w:tab/>
      </w:r>
      <w:r w:rsidR="00823B8F" w:rsidRPr="00F66167">
        <w:rPr>
          <w:rFonts w:eastAsia="Calibri" w:hint="cs"/>
          <w:spacing w:val="-2"/>
          <w:rtl/>
          <w:lang w:eastAsia="en-GB"/>
        </w:rPr>
        <w:t>تحيط اللجنة علما</w:t>
      </w:r>
      <w:r w:rsidRPr="00F66167">
        <w:rPr>
          <w:rFonts w:eastAsia="Calibri" w:hint="cs"/>
          <w:spacing w:val="-2"/>
          <w:rtl/>
          <w:lang w:eastAsia="en-GB"/>
        </w:rPr>
        <w:t>ً</w:t>
      </w:r>
      <w:r w:rsidR="00823B8F" w:rsidRPr="00F66167">
        <w:rPr>
          <w:rFonts w:eastAsia="Calibri" w:hint="cs"/>
          <w:spacing w:val="-2"/>
          <w:rtl/>
          <w:lang w:eastAsia="en-GB"/>
        </w:rPr>
        <w:t xml:space="preserve"> بالحكم الصادر عن مجلس اللوردات في </w:t>
      </w:r>
      <w:r>
        <w:rPr>
          <w:rFonts w:eastAsia="Calibri" w:hint="cs"/>
          <w:i/>
          <w:iCs/>
          <w:spacing w:val="-2"/>
          <w:rtl/>
          <w:lang w:eastAsia="en-GB"/>
        </w:rPr>
        <w:t xml:space="preserve">قضية أ. وآخرون ضد وزير </w:t>
      </w:r>
      <w:r w:rsidR="00823B8F" w:rsidRPr="00F66167">
        <w:rPr>
          <w:rFonts w:eastAsia="Calibri" w:hint="cs"/>
          <w:i/>
          <w:iCs/>
          <w:spacing w:val="-2"/>
          <w:rtl/>
          <w:lang w:eastAsia="en-GB"/>
        </w:rPr>
        <w:t xml:space="preserve">الداخلية </w:t>
      </w:r>
      <w:r w:rsidR="00823B8F" w:rsidRPr="00F66167">
        <w:rPr>
          <w:rFonts w:eastAsia="Calibri" w:hint="cs"/>
          <w:spacing w:val="-2"/>
          <w:rtl/>
          <w:lang w:eastAsia="en-GB"/>
        </w:rPr>
        <w:t xml:space="preserve">(رقم 2) </w:t>
      </w:r>
      <w:r w:rsidRPr="00F66167">
        <w:rPr>
          <w:rFonts w:eastAsia="Calibri" w:hint="cs"/>
          <w:spacing w:val="-2"/>
          <w:rtl/>
          <w:lang w:eastAsia="en-GB"/>
        </w:rPr>
        <w:t>[</w:t>
      </w:r>
      <w:r w:rsidR="00823B8F" w:rsidRPr="00F66167">
        <w:rPr>
          <w:rFonts w:eastAsia="Calibri" w:hint="cs"/>
          <w:spacing w:val="-2"/>
          <w:rtl/>
          <w:lang w:eastAsia="en-GB"/>
        </w:rPr>
        <w:t>2005] (</w:t>
      </w:r>
      <w:r w:rsidR="00823B8F" w:rsidRPr="00F66167">
        <w:rPr>
          <w:rFonts w:eastAsia="Calibri"/>
          <w:spacing w:val="-2"/>
          <w:szCs w:val="28"/>
          <w:lang w:eastAsia="en-GB"/>
        </w:rPr>
        <w:t>UKHL71</w:t>
      </w:r>
      <w:r w:rsidR="00823B8F" w:rsidRPr="00F66167">
        <w:rPr>
          <w:rFonts w:eastAsia="Calibri" w:hint="cs"/>
          <w:spacing w:val="-2"/>
          <w:rtl/>
          <w:lang w:eastAsia="en-GB"/>
        </w:rPr>
        <w:t>) (</w:t>
      </w:r>
      <w:smartTag w:uri="urn:schemas-microsoft-com:office:smarttags" w:element="stockticker">
        <w:r w:rsidR="00823B8F" w:rsidRPr="00F66167">
          <w:rPr>
            <w:rFonts w:eastAsia="Calibri"/>
            <w:spacing w:val="-2"/>
            <w:szCs w:val="28"/>
            <w:lang w:eastAsia="en-GB"/>
          </w:rPr>
          <w:t>CAT</w:t>
        </w:r>
      </w:smartTag>
      <w:r w:rsidR="00823B8F" w:rsidRPr="00F66167">
        <w:rPr>
          <w:rFonts w:eastAsia="Calibri"/>
          <w:spacing w:val="-2"/>
          <w:szCs w:val="28"/>
          <w:lang w:eastAsia="en-GB"/>
        </w:rPr>
        <w:t>/C/</w:t>
      </w:r>
      <w:smartTag w:uri="urn:schemas-microsoft-com:office:smarttags" w:element="stockticker">
        <w:r w:rsidR="00823B8F" w:rsidRPr="00F66167">
          <w:rPr>
            <w:rFonts w:eastAsia="Calibri"/>
            <w:spacing w:val="-2"/>
            <w:szCs w:val="28"/>
            <w:lang w:eastAsia="en-GB"/>
          </w:rPr>
          <w:t>GBR</w:t>
        </w:r>
      </w:smartTag>
      <w:r w:rsidR="00823B8F" w:rsidRPr="00F66167">
        <w:rPr>
          <w:rFonts w:eastAsia="Calibri"/>
          <w:spacing w:val="-2"/>
          <w:szCs w:val="28"/>
          <w:lang w:eastAsia="en-GB"/>
        </w:rPr>
        <w:t>/5</w:t>
      </w:r>
      <w:r w:rsidR="00823B8F" w:rsidRPr="00F66167">
        <w:rPr>
          <w:rFonts w:eastAsia="Calibri" w:hint="cs"/>
          <w:spacing w:val="-2"/>
          <w:rtl/>
          <w:lang w:eastAsia="en-GB"/>
        </w:rPr>
        <w:t>، الفقرة 27) الذي يقضي بعدم قبول الأدلة المنتزعة بالتعذيب في الإجراءات القانونية. وهي تشعر بالقلق لأن عبء الإثبات فيما يتعلق بمقبولية الأدلة المنتزعة بالتعذيب ما زال يقع على المد</w:t>
      </w:r>
      <w:r w:rsidRPr="00F66167">
        <w:rPr>
          <w:rFonts w:eastAsia="Calibri" w:hint="cs"/>
          <w:spacing w:val="-2"/>
          <w:rtl/>
          <w:lang w:eastAsia="en-GB"/>
        </w:rPr>
        <w:t>عى عليه/المدعي (المادة 15).</w:t>
      </w:r>
    </w:p>
    <w:p w:rsidR="00823B8F" w:rsidRPr="00C1733B" w:rsidRDefault="00F66167" w:rsidP="00124AEF">
      <w:pPr>
        <w:pStyle w:val="SingleTxtGA"/>
        <w:spacing w:line="364" w:lineRule="exact"/>
        <w:rPr>
          <w:rFonts w:eastAsia="Calibri" w:hint="cs"/>
          <w:b/>
          <w:bCs/>
          <w:lang w:eastAsia="en-GB"/>
        </w:rPr>
      </w:pPr>
      <w:r>
        <w:rPr>
          <w:rFonts w:eastAsia="Calibri" w:hint="cs"/>
          <w:b/>
          <w:bCs/>
          <w:rtl/>
          <w:lang w:eastAsia="en-GB"/>
        </w:rPr>
        <w:tab/>
      </w:r>
      <w:r w:rsidR="00823B8F" w:rsidRPr="00C1733B">
        <w:rPr>
          <w:rFonts w:eastAsia="Calibri" w:hint="cs"/>
          <w:b/>
          <w:bCs/>
          <w:rtl/>
          <w:lang w:eastAsia="en-GB"/>
        </w:rPr>
        <w:t>تدعو اللجنة الدولة الطرف إلى ضمان تحمل الدولة لعبء الإثبات عندما يتعلق الادعاء بتقديم إفادة تحت وطأة التعذيب. وبالإضافة إلى ذلك، يجب ألا تستند الدولة الطرف إلى المواد الاستخبارية التي حصلت عليها بلدان ثالثة عن طريق استخدام التعذيب أو غيره من ضروب المعاملة القاس</w:t>
      </w:r>
      <w:r>
        <w:rPr>
          <w:rFonts w:eastAsia="Calibri" w:hint="cs"/>
          <w:b/>
          <w:bCs/>
          <w:rtl/>
          <w:lang w:eastAsia="en-GB"/>
        </w:rPr>
        <w:t xml:space="preserve">ية أو اللاإنسانية أو المهينة. </w:t>
      </w:r>
    </w:p>
    <w:p w:rsidR="00823B8F" w:rsidRPr="00C1733B" w:rsidRDefault="00F66167" w:rsidP="00124AEF">
      <w:pPr>
        <w:pStyle w:val="H23GA"/>
        <w:spacing w:line="364" w:lineRule="exact"/>
        <w:rPr>
          <w:rFonts w:hint="cs"/>
        </w:rPr>
      </w:pPr>
      <w:r>
        <w:rPr>
          <w:rFonts w:hint="cs"/>
          <w:rtl/>
        </w:rPr>
        <w:tab/>
      </w:r>
      <w:r>
        <w:rPr>
          <w:rFonts w:hint="cs"/>
          <w:rtl/>
        </w:rPr>
        <w:tab/>
      </w:r>
      <w:r w:rsidR="00823B8F" w:rsidRPr="00C1733B">
        <w:rPr>
          <w:rFonts w:hint="cs"/>
          <w:rtl/>
        </w:rPr>
        <w:t>أسلحة الصعق الكهربائي (مسدس تايزر)</w:t>
      </w:r>
    </w:p>
    <w:p w:rsidR="00823B8F" w:rsidRPr="00C1733B" w:rsidRDefault="00F66167" w:rsidP="00231234">
      <w:pPr>
        <w:pStyle w:val="SingleTxtGA"/>
        <w:spacing w:line="364" w:lineRule="exact"/>
        <w:rPr>
          <w:rFonts w:hint="cs"/>
          <w:lang w:eastAsia="en-GB"/>
        </w:rPr>
      </w:pPr>
      <w:r>
        <w:rPr>
          <w:rFonts w:hint="cs"/>
          <w:rtl/>
          <w:lang w:eastAsia="en-GB"/>
        </w:rPr>
        <w:t>(</w:t>
      </w:r>
      <w:r w:rsidR="00823B8F" w:rsidRPr="00C1733B">
        <w:rPr>
          <w:rFonts w:hint="cs"/>
          <w:rtl/>
          <w:lang w:eastAsia="en-GB"/>
        </w:rPr>
        <w:t>26</w:t>
      </w:r>
      <w:r>
        <w:rPr>
          <w:rFonts w:hint="cs"/>
          <w:rtl/>
          <w:lang w:eastAsia="en-GB"/>
        </w:rPr>
        <w:t>)</w:t>
      </w:r>
      <w:r>
        <w:rPr>
          <w:rFonts w:hint="cs"/>
          <w:rtl/>
          <w:lang w:eastAsia="en-GB"/>
        </w:rPr>
        <w:tab/>
      </w:r>
      <w:r w:rsidR="00823B8F" w:rsidRPr="00C1733B">
        <w:rPr>
          <w:rFonts w:hint="cs"/>
          <w:rtl/>
          <w:lang w:eastAsia="en-GB"/>
        </w:rPr>
        <w:t>تحيط اللجنة علما</w:t>
      </w:r>
      <w:r>
        <w:rPr>
          <w:rFonts w:hint="cs"/>
          <w:rtl/>
          <w:lang w:eastAsia="en-GB"/>
        </w:rPr>
        <w:t>ً</w:t>
      </w:r>
      <w:r w:rsidR="00823B8F" w:rsidRPr="00C1733B">
        <w:rPr>
          <w:rFonts w:hint="cs"/>
          <w:rtl/>
          <w:lang w:eastAsia="en-GB"/>
        </w:rPr>
        <w:t xml:space="preserve"> بالتوجيهات المنطبقة في </w:t>
      </w:r>
      <w:r w:rsidR="00231234">
        <w:rPr>
          <w:rFonts w:hint="cs"/>
          <w:rtl/>
          <w:lang w:eastAsia="en-GB"/>
        </w:rPr>
        <w:t>إ</w:t>
      </w:r>
      <w:r w:rsidR="00823B8F" w:rsidRPr="00C1733B">
        <w:rPr>
          <w:rFonts w:hint="cs"/>
          <w:rtl/>
          <w:lang w:eastAsia="en-GB"/>
        </w:rPr>
        <w:t>نكلترا وويلز التي تسعى إلى حصر استخدام أسلحة الصعق الكهربائي في الحالات التي تنطوي على مخاطر عالية تنذر بالتعرض للعنف، وتعرب اللجنة عن قلقها لأن استخدام هذه الأسلحة تضاعف تقريبا</w:t>
      </w:r>
      <w:r w:rsidR="00444AF1">
        <w:rPr>
          <w:rFonts w:hint="cs"/>
          <w:rtl/>
          <w:lang w:eastAsia="en-GB"/>
        </w:rPr>
        <w:t>ً</w:t>
      </w:r>
      <w:r w:rsidR="00823B8F" w:rsidRPr="00C1733B">
        <w:rPr>
          <w:rFonts w:hint="cs"/>
          <w:rtl/>
          <w:lang w:eastAsia="en-GB"/>
        </w:rPr>
        <w:t xml:space="preserve"> في عام 1911 ولأن الدولة الطرف تعتزم توسيع نطاق استخدامها أكثر في المنطقة الخاضعة لشرطة العاصمة. وبالإضافة إلى ذلك، تشعر بقلق بالغ إزاء وجود حالات استخدمت فيها أسلحة الصعق الكهربائي ضد أطفال ومعاقين وفي عمليات نفذتها الشرطة مؤخرا</w:t>
      </w:r>
      <w:r w:rsidR="00124AEF">
        <w:rPr>
          <w:rFonts w:hint="cs"/>
          <w:rtl/>
          <w:lang w:eastAsia="en-GB"/>
        </w:rPr>
        <w:t>ً</w:t>
      </w:r>
      <w:r w:rsidR="00823B8F" w:rsidRPr="00C1733B">
        <w:rPr>
          <w:rFonts w:hint="cs"/>
          <w:rtl/>
          <w:lang w:eastAsia="en-GB"/>
        </w:rPr>
        <w:t>، لم تكن تنطوي في نظر البعض، على مخاطر عالية تنذر بالتعرض للعنف (المادتان 2 و16).</w:t>
      </w:r>
    </w:p>
    <w:p w:rsidR="00823B8F" w:rsidRPr="00F66167" w:rsidRDefault="00F66167" w:rsidP="00124AEF">
      <w:pPr>
        <w:pStyle w:val="SingleTxtGA"/>
        <w:rPr>
          <w:rFonts w:ascii="Times New Roman Bold" w:hAnsi="Times New Roman Bold" w:hint="cs"/>
          <w:b/>
          <w:bCs/>
          <w:spacing w:val="-2"/>
          <w:lang w:eastAsia="en-GB"/>
        </w:rPr>
      </w:pPr>
      <w:r>
        <w:rPr>
          <w:rFonts w:hint="cs"/>
          <w:b/>
          <w:bCs/>
          <w:rtl/>
          <w:lang w:eastAsia="en-GB"/>
        </w:rPr>
        <w:tab/>
      </w:r>
      <w:r w:rsidR="00823B8F" w:rsidRPr="00C1733B">
        <w:rPr>
          <w:rFonts w:hint="cs"/>
          <w:b/>
          <w:bCs/>
          <w:rtl/>
          <w:lang w:eastAsia="en-GB"/>
        </w:rPr>
        <w:t>يجب أن تضمن الدولة الطرف عدم استخدام أسلحة الصعق الكهربائي إلا في حالات قصوى ومحدودة حصرا</w:t>
      </w:r>
      <w:r w:rsidR="00124AEF">
        <w:rPr>
          <w:rFonts w:hint="cs"/>
          <w:b/>
          <w:bCs/>
          <w:rtl/>
          <w:lang w:eastAsia="en-GB"/>
        </w:rPr>
        <w:t xml:space="preserve">ً - </w:t>
      </w:r>
      <w:r w:rsidR="00823B8F" w:rsidRPr="00C1733B">
        <w:rPr>
          <w:rFonts w:hint="cs"/>
          <w:b/>
          <w:bCs/>
          <w:rtl/>
          <w:lang w:eastAsia="en-GB"/>
        </w:rPr>
        <w:t>الحالات التي تنطوي على خطر حقيقي وماثل يهدد الحياة أو على خطر التعرض لإصابة بالغة</w:t>
      </w:r>
      <w:r w:rsidR="00124AEF">
        <w:rPr>
          <w:rFonts w:hint="cs"/>
          <w:b/>
          <w:bCs/>
          <w:rtl/>
          <w:lang w:eastAsia="en-GB"/>
        </w:rPr>
        <w:t xml:space="preserve"> -</w:t>
      </w:r>
      <w:r w:rsidR="00823B8F" w:rsidRPr="00C1733B">
        <w:rPr>
          <w:rFonts w:hint="cs"/>
          <w:b/>
          <w:bCs/>
          <w:rtl/>
          <w:lang w:eastAsia="en-GB"/>
        </w:rPr>
        <w:t xml:space="preserve"> كبديل عن الأسلحة الفتاكة على أن يقتصر استخدامها على موظفي إنفاذ القانون المدربين دون غيرهم. وينبغي أن تنقح الدولة الطرف اللوائح الخاصة بتنظيم استخدام هذه الأسلحة بغية رفع سقف استخدامها وفرض حظر صريح على استخدامها ضد الأطفال والنساء الحوامل. وترى اللجنة أن استخدام </w:t>
      </w:r>
      <w:r w:rsidR="00823B8F" w:rsidRPr="00F66167">
        <w:rPr>
          <w:rFonts w:ascii="Times New Roman Bold" w:hAnsi="Times New Roman Bold" w:hint="cs"/>
          <w:b/>
          <w:bCs/>
          <w:spacing w:val="-2"/>
          <w:rtl/>
          <w:lang w:eastAsia="en-GB"/>
        </w:rPr>
        <w:t xml:space="preserve">أسلحة الصعق الكهربائي يجب أن يخضع لمبدأي الضرورة والتناسب وأن يُمنع على الموظفين العاملين في السجون أو في أي مكان آخر من أماكن الاحتجاز. وتحث اللجنة الدولة الطرف على إصدار تعليمات دقيقة وتوفير التدريب المناسب لموظفي إنفاذ القانون المخولين استخدام أسلحة الصعق الكهربائي، وعلى تشديد المراقبة والإشراف على استخدامها. </w:t>
      </w:r>
    </w:p>
    <w:p w:rsidR="00823B8F" w:rsidRPr="00C1733B" w:rsidRDefault="00F66167" w:rsidP="00124AEF">
      <w:pPr>
        <w:pStyle w:val="H23GA"/>
        <w:rPr>
          <w:rFonts w:hint="cs"/>
        </w:rPr>
      </w:pPr>
      <w:r>
        <w:rPr>
          <w:rFonts w:hint="cs"/>
          <w:rtl/>
        </w:rPr>
        <w:tab/>
      </w:r>
      <w:r>
        <w:rPr>
          <w:rFonts w:hint="cs"/>
          <w:rtl/>
        </w:rPr>
        <w:tab/>
      </w:r>
      <w:r w:rsidR="00823B8F" w:rsidRPr="00C1733B">
        <w:rPr>
          <w:rFonts w:hint="cs"/>
          <w:rtl/>
        </w:rPr>
        <w:t>سن تحمل المسؤولية الجن</w:t>
      </w:r>
      <w:r w:rsidR="00444AF1">
        <w:rPr>
          <w:rFonts w:hint="cs"/>
          <w:rtl/>
        </w:rPr>
        <w:t>ائية</w:t>
      </w:r>
    </w:p>
    <w:p w:rsidR="00823B8F" w:rsidRPr="00F66167" w:rsidRDefault="00F66167" w:rsidP="00124AEF">
      <w:pPr>
        <w:pStyle w:val="SingleTxtGA"/>
        <w:rPr>
          <w:rFonts w:eastAsia="Malgun Gothic" w:hint="cs"/>
          <w:spacing w:val="-2"/>
          <w:rtl/>
          <w:lang w:eastAsia="en-GB"/>
        </w:rPr>
      </w:pPr>
      <w:r w:rsidRPr="00F66167">
        <w:rPr>
          <w:rFonts w:eastAsia="Malgun Gothic" w:hint="cs"/>
          <w:spacing w:val="-2"/>
          <w:rtl/>
          <w:lang w:eastAsia="en-GB"/>
        </w:rPr>
        <w:t>(</w:t>
      </w:r>
      <w:r w:rsidR="00823B8F" w:rsidRPr="00F66167">
        <w:rPr>
          <w:rFonts w:eastAsia="Malgun Gothic" w:hint="cs"/>
          <w:spacing w:val="-2"/>
          <w:rtl/>
          <w:lang w:eastAsia="en-GB"/>
        </w:rPr>
        <w:t>27</w:t>
      </w:r>
      <w:r w:rsidRPr="00F66167">
        <w:rPr>
          <w:rFonts w:eastAsia="Malgun Gothic" w:hint="cs"/>
          <w:spacing w:val="-2"/>
          <w:rtl/>
          <w:lang w:eastAsia="en-GB"/>
        </w:rPr>
        <w:t>)</w:t>
      </w:r>
      <w:r w:rsidRPr="00F66167">
        <w:rPr>
          <w:rFonts w:eastAsia="Malgun Gothic" w:hint="cs"/>
          <w:spacing w:val="-2"/>
          <w:rtl/>
          <w:lang w:eastAsia="en-GB"/>
        </w:rPr>
        <w:tab/>
      </w:r>
      <w:r w:rsidR="00823B8F" w:rsidRPr="00F66167">
        <w:rPr>
          <w:rFonts w:eastAsia="Malgun Gothic" w:hint="cs"/>
          <w:spacing w:val="-2"/>
          <w:rtl/>
          <w:lang w:eastAsia="en-GB"/>
        </w:rPr>
        <w:t xml:space="preserve">ترحب اللجنة بسن </w:t>
      </w:r>
      <w:r w:rsidR="00823B8F" w:rsidRPr="00F66167">
        <w:rPr>
          <w:rFonts w:eastAsia="Malgun Gothic"/>
          <w:spacing w:val="-2"/>
          <w:rtl/>
          <w:lang w:eastAsia="en-GB"/>
        </w:rPr>
        <w:t>قانون العدالة الجنائية والترخيص (اسكتلندا) لعام 2010</w:t>
      </w:r>
      <w:r w:rsidR="00823B8F" w:rsidRPr="00F66167">
        <w:rPr>
          <w:rFonts w:eastAsia="Malgun Gothic" w:hint="cs"/>
          <w:spacing w:val="-2"/>
          <w:rtl/>
          <w:lang w:eastAsia="en-GB"/>
        </w:rPr>
        <w:t xml:space="preserve">، الذي ينص على رفع سن الملاحقة الجنائية من 8 سنوات إلى 12 سنة في </w:t>
      </w:r>
      <w:r w:rsidRPr="00F66167">
        <w:rPr>
          <w:rFonts w:eastAsia="Malgun Gothic" w:hint="cs"/>
          <w:spacing w:val="-2"/>
          <w:rtl/>
          <w:lang w:eastAsia="en-GB"/>
        </w:rPr>
        <w:t>اسك</w:t>
      </w:r>
      <w:r w:rsidR="00823B8F" w:rsidRPr="00F66167">
        <w:rPr>
          <w:rFonts w:eastAsia="Malgun Gothic" w:hint="cs"/>
          <w:spacing w:val="-2"/>
          <w:rtl/>
          <w:lang w:eastAsia="en-GB"/>
        </w:rPr>
        <w:t xml:space="preserve">تلندا. لكن اللجنة تظل قلقة مع ذلك، لأن سن المسؤولية الجنائية تبدأ في عمر 8 سنوات في </w:t>
      </w:r>
      <w:r w:rsidRPr="00F66167">
        <w:rPr>
          <w:rFonts w:eastAsia="Malgun Gothic" w:hint="cs"/>
          <w:spacing w:val="-2"/>
          <w:rtl/>
          <w:lang w:eastAsia="en-GB"/>
        </w:rPr>
        <w:t>اسك</w:t>
      </w:r>
      <w:r w:rsidR="00823B8F" w:rsidRPr="00F66167">
        <w:rPr>
          <w:rFonts w:eastAsia="Malgun Gothic" w:hint="cs"/>
          <w:spacing w:val="-2"/>
          <w:rtl/>
          <w:lang w:eastAsia="en-GB"/>
        </w:rPr>
        <w:t xml:space="preserve">تلندا وفي عمر 10 سنوات في </w:t>
      </w:r>
      <w:r w:rsidRPr="00F66167">
        <w:rPr>
          <w:rFonts w:eastAsia="Malgun Gothic" w:hint="cs"/>
          <w:spacing w:val="-2"/>
          <w:rtl/>
          <w:lang w:eastAsia="en-GB"/>
        </w:rPr>
        <w:t>إنكلترا</w:t>
      </w:r>
      <w:r w:rsidR="00823B8F" w:rsidRPr="00F66167">
        <w:rPr>
          <w:rFonts w:eastAsia="Malgun Gothic" w:hint="cs"/>
          <w:spacing w:val="-2"/>
          <w:rtl/>
          <w:lang w:eastAsia="en-GB"/>
        </w:rPr>
        <w:t>، وويلز و</w:t>
      </w:r>
      <w:r w:rsidRPr="00F66167">
        <w:rPr>
          <w:rFonts w:eastAsia="Malgun Gothic" w:hint="cs"/>
          <w:spacing w:val="-2"/>
          <w:rtl/>
          <w:lang w:eastAsia="en-GB"/>
        </w:rPr>
        <w:t>أ</w:t>
      </w:r>
      <w:r w:rsidR="00823B8F" w:rsidRPr="00F66167">
        <w:rPr>
          <w:rFonts w:eastAsia="Malgun Gothic" w:hint="cs"/>
          <w:spacing w:val="-2"/>
          <w:rtl/>
          <w:lang w:eastAsia="en-GB"/>
        </w:rPr>
        <w:t>يرلندا الشمالية، وهي تشعر بالأسف إزاء امتناع الدولة الطرف عن رفع هذه السن رغم أن أكثر من 50 منظمة وجمعية خيرية وخبير دعوا إلى ذلك في كانون الأول/ديسمبر 2012 ورغم أن لجنة حقوق الطفل</w:t>
      </w:r>
      <w:r w:rsidR="00C54611" w:rsidRPr="00F66167">
        <w:rPr>
          <w:rFonts w:hint="cs"/>
          <w:spacing w:val="-2"/>
          <w:vertAlign w:val="superscript"/>
          <w:rtl/>
        </w:rPr>
        <w:t>(</w:t>
      </w:r>
      <w:r w:rsidR="00C54611" w:rsidRPr="00F66167">
        <w:rPr>
          <w:rStyle w:val="FootnoteReference"/>
          <w:spacing w:val="-2"/>
          <w:rtl/>
        </w:rPr>
        <w:footnoteReference w:id="13"/>
      </w:r>
      <w:r w:rsidR="00C54611" w:rsidRPr="00F66167">
        <w:rPr>
          <w:rFonts w:hint="cs"/>
          <w:spacing w:val="-2"/>
          <w:vertAlign w:val="superscript"/>
          <w:rtl/>
        </w:rPr>
        <w:t>)</w:t>
      </w:r>
      <w:r w:rsidR="00823B8F" w:rsidRPr="00F66167">
        <w:rPr>
          <w:rFonts w:eastAsia="Malgun Gothic" w:hint="cs"/>
          <w:spacing w:val="-2"/>
          <w:rtl/>
          <w:lang w:eastAsia="en-GB"/>
        </w:rPr>
        <w:t xml:space="preserve"> أوصت بذلك مرارا (المادتان 2 و16). </w:t>
      </w:r>
    </w:p>
    <w:p w:rsidR="00823B8F" w:rsidRPr="00C1733B" w:rsidRDefault="00F66167" w:rsidP="00444AF1">
      <w:pPr>
        <w:pStyle w:val="SingleTxtGA"/>
        <w:rPr>
          <w:rFonts w:eastAsia="Malgun Gothic"/>
          <w:b/>
          <w:bCs/>
          <w:lang w:eastAsia="en-GB"/>
        </w:rPr>
      </w:pPr>
      <w:r>
        <w:rPr>
          <w:rFonts w:eastAsia="Malgun Gothic" w:hint="cs"/>
          <w:b/>
          <w:bCs/>
          <w:rtl/>
          <w:lang w:eastAsia="en-GB"/>
        </w:rPr>
        <w:tab/>
      </w:r>
      <w:r w:rsidR="00823B8F" w:rsidRPr="00C1733B">
        <w:rPr>
          <w:rFonts w:eastAsia="Malgun Gothic"/>
          <w:b/>
          <w:bCs/>
          <w:rtl/>
          <w:lang w:eastAsia="en-GB"/>
        </w:rPr>
        <w:t>ينبغي</w:t>
      </w:r>
      <w:r w:rsidR="00823B8F" w:rsidRPr="00C1733B">
        <w:rPr>
          <w:rFonts w:eastAsia="Malgun Gothic" w:hint="cs"/>
          <w:b/>
          <w:bCs/>
          <w:rtl/>
          <w:lang w:eastAsia="en-GB"/>
        </w:rPr>
        <w:t xml:space="preserve"> أن ترفع ا</w:t>
      </w:r>
      <w:r w:rsidR="00823B8F" w:rsidRPr="00C1733B">
        <w:rPr>
          <w:rFonts w:eastAsia="Malgun Gothic"/>
          <w:b/>
          <w:bCs/>
          <w:rtl/>
          <w:lang w:eastAsia="en-GB"/>
        </w:rPr>
        <w:t xml:space="preserve">لدولة الطرف السن </w:t>
      </w:r>
      <w:r w:rsidR="00823B8F" w:rsidRPr="00C1733B">
        <w:rPr>
          <w:rFonts w:eastAsia="Malgun Gothic" w:hint="cs"/>
          <w:b/>
          <w:bCs/>
          <w:rtl/>
          <w:lang w:eastAsia="en-GB"/>
        </w:rPr>
        <w:t>الدنيا</w:t>
      </w:r>
      <w:r w:rsidR="00823B8F" w:rsidRPr="00C1733B">
        <w:rPr>
          <w:rFonts w:eastAsia="Malgun Gothic"/>
          <w:b/>
          <w:bCs/>
          <w:rtl/>
          <w:lang w:eastAsia="en-GB"/>
        </w:rPr>
        <w:t xml:space="preserve"> للمسؤولية الجنائية </w:t>
      </w:r>
      <w:r w:rsidR="00823B8F" w:rsidRPr="00C1733B">
        <w:rPr>
          <w:rFonts w:eastAsia="Malgun Gothic" w:hint="cs"/>
          <w:b/>
          <w:bCs/>
          <w:rtl/>
          <w:lang w:eastAsia="en-GB"/>
        </w:rPr>
        <w:t>و</w:t>
      </w:r>
      <w:r w:rsidR="00823B8F" w:rsidRPr="00C1733B">
        <w:rPr>
          <w:rFonts w:eastAsia="Malgun Gothic"/>
          <w:b/>
          <w:bCs/>
          <w:rtl/>
          <w:lang w:eastAsia="en-GB"/>
        </w:rPr>
        <w:t>أن تضمن التنفيذ</w:t>
      </w:r>
      <w:r w:rsidR="00444AF1">
        <w:rPr>
          <w:rFonts w:eastAsia="Malgun Gothic" w:hint="cs"/>
          <w:b/>
          <w:bCs/>
          <w:rtl/>
          <w:lang w:eastAsia="en-GB"/>
        </w:rPr>
        <w:t> </w:t>
      </w:r>
      <w:r w:rsidR="00823B8F" w:rsidRPr="00C1733B">
        <w:rPr>
          <w:rFonts w:eastAsia="Malgun Gothic"/>
          <w:b/>
          <w:bCs/>
          <w:rtl/>
          <w:lang w:eastAsia="en-GB"/>
        </w:rPr>
        <w:t xml:space="preserve">الكامل لمعايير قضاء الأحداث </w:t>
      </w:r>
      <w:r w:rsidR="00823B8F" w:rsidRPr="00C1733B">
        <w:rPr>
          <w:rFonts w:eastAsia="Malgun Gothic" w:hint="cs"/>
          <w:b/>
          <w:bCs/>
          <w:rtl/>
          <w:lang w:eastAsia="en-GB"/>
        </w:rPr>
        <w:t>على النحو المنص</w:t>
      </w:r>
      <w:r w:rsidR="00444AF1">
        <w:rPr>
          <w:rFonts w:eastAsia="Malgun Gothic" w:hint="cs"/>
          <w:b/>
          <w:bCs/>
          <w:rtl/>
          <w:lang w:eastAsia="en-GB"/>
        </w:rPr>
        <w:t>وص عليه في التعليق العام رقم</w:t>
      </w:r>
      <w:r w:rsidR="00444AF1">
        <w:rPr>
          <w:rFonts w:eastAsia="Malgun Gothic" w:hint="eastAsia"/>
          <w:b/>
          <w:bCs/>
          <w:rtl/>
          <w:lang w:eastAsia="en-GB"/>
        </w:rPr>
        <w:t> </w:t>
      </w:r>
      <w:r w:rsidR="00444AF1">
        <w:rPr>
          <w:rFonts w:eastAsia="Malgun Gothic" w:hint="cs"/>
          <w:b/>
          <w:bCs/>
          <w:rtl/>
          <w:lang w:eastAsia="en-GB"/>
        </w:rPr>
        <w:t>10</w:t>
      </w:r>
      <w:r w:rsidR="00823B8F" w:rsidRPr="00C1733B">
        <w:rPr>
          <w:rFonts w:eastAsia="Malgun Gothic" w:hint="cs"/>
          <w:b/>
          <w:bCs/>
          <w:rtl/>
          <w:lang w:eastAsia="en-GB"/>
        </w:rPr>
        <w:t>(2007) بشأن حقوق الطفل في قضاء الأحداث الصادر عن لجنة حقوق الطفل (الفقرتان 32 و33). وينبغي أن تضمن الدولة الطرف التنفيذ الكامل ل</w:t>
      </w:r>
      <w:r w:rsidR="00823B8F" w:rsidRPr="00C1733B">
        <w:rPr>
          <w:rFonts w:eastAsia="Malgun Gothic"/>
          <w:b/>
          <w:bCs/>
          <w:rtl/>
          <w:lang w:eastAsia="en-GB"/>
        </w:rPr>
        <w:t>قواعد الأمم المتحدة النموذجية الدنيا لإدارة شؤون قضاء الأحداث (قواعد بيجين)</w:t>
      </w:r>
      <w:r w:rsidR="00823B8F" w:rsidRPr="00C1733B">
        <w:rPr>
          <w:rFonts w:eastAsia="Malgun Gothic" w:hint="cs"/>
          <w:b/>
          <w:bCs/>
          <w:rtl/>
          <w:lang w:eastAsia="en-GB"/>
        </w:rPr>
        <w:t xml:space="preserve"> (قرار الجمعية العامة رقم 40/33، المرفق) و</w:t>
      </w:r>
      <w:r w:rsidR="00823B8F" w:rsidRPr="00C1733B">
        <w:rPr>
          <w:rFonts w:eastAsia="Malgun Gothic"/>
          <w:b/>
          <w:bCs/>
          <w:rtl/>
          <w:lang w:eastAsia="en-GB"/>
        </w:rPr>
        <w:t>مبادئ الأمم المتحدة التوجيهية لمنع جنوح الأحداث (مبادئ الرياض التوجيهية)</w:t>
      </w:r>
      <w:r w:rsidR="00823B8F" w:rsidRPr="00C1733B">
        <w:rPr>
          <w:rFonts w:eastAsia="Malgun Gothic" w:hint="cs"/>
          <w:b/>
          <w:bCs/>
          <w:rtl/>
          <w:lang w:eastAsia="en-GB"/>
        </w:rPr>
        <w:t xml:space="preserve"> (قرار الجمعية العامة رقم 45/112، المرفق)</w:t>
      </w:r>
      <w:r w:rsidR="00823B8F" w:rsidRPr="00C1733B">
        <w:rPr>
          <w:rFonts w:eastAsia="Malgun Gothic"/>
          <w:b/>
          <w:bCs/>
          <w:rtl/>
          <w:lang w:eastAsia="en-GB"/>
        </w:rPr>
        <w:t>.</w:t>
      </w:r>
    </w:p>
    <w:p w:rsidR="00823B8F" w:rsidRPr="00C1733B" w:rsidRDefault="00F66167" w:rsidP="00124AEF">
      <w:pPr>
        <w:pStyle w:val="H23GA"/>
        <w:rPr>
          <w:rFonts w:hint="cs"/>
        </w:rPr>
      </w:pPr>
      <w:r>
        <w:rPr>
          <w:rFonts w:hint="cs"/>
          <w:rtl/>
        </w:rPr>
        <w:tab/>
      </w:r>
      <w:r>
        <w:rPr>
          <w:rFonts w:hint="cs"/>
          <w:rtl/>
        </w:rPr>
        <w:tab/>
      </w:r>
      <w:r w:rsidR="00823B8F" w:rsidRPr="00C1733B">
        <w:rPr>
          <w:rFonts w:hint="cs"/>
          <w:rtl/>
        </w:rPr>
        <w:t>تكتيف الأطفال</w:t>
      </w:r>
    </w:p>
    <w:p w:rsidR="00823B8F" w:rsidRPr="00C1733B" w:rsidRDefault="00F66167" w:rsidP="00124AEF">
      <w:pPr>
        <w:pStyle w:val="SingleTxtGA"/>
        <w:rPr>
          <w:rFonts w:hint="cs"/>
          <w:rtl/>
          <w:lang w:eastAsia="en-GB"/>
        </w:rPr>
      </w:pPr>
      <w:r>
        <w:rPr>
          <w:rFonts w:hint="cs"/>
          <w:rtl/>
          <w:lang w:eastAsia="en-GB"/>
        </w:rPr>
        <w:t>(</w:t>
      </w:r>
      <w:r w:rsidR="00823B8F" w:rsidRPr="00C1733B">
        <w:rPr>
          <w:rFonts w:hint="cs"/>
          <w:rtl/>
          <w:lang w:eastAsia="en-GB"/>
        </w:rPr>
        <w:t>28</w:t>
      </w:r>
      <w:r>
        <w:rPr>
          <w:rFonts w:hint="cs"/>
          <w:rtl/>
          <w:lang w:eastAsia="en-GB"/>
        </w:rPr>
        <w:t>)</w:t>
      </w:r>
      <w:r>
        <w:rPr>
          <w:rFonts w:hint="cs"/>
          <w:rtl/>
          <w:lang w:eastAsia="en-GB"/>
        </w:rPr>
        <w:tab/>
      </w:r>
      <w:r w:rsidR="00823B8F" w:rsidRPr="00C1733B">
        <w:rPr>
          <w:rFonts w:hint="cs"/>
          <w:rtl/>
          <w:lang w:eastAsia="en-GB"/>
        </w:rPr>
        <w:t xml:space="preserve">يساور اللجنة القلق بشأن استمرار الدولة الطرف في استخدام أساليب الإكراه بقصد إيلام الأطفال الذين يعيشون في مؤسسات الأحداث الجانحين، ولا سيما من أجل الحفاظ على النظام والانضباط (المادتان 2 و16). </w:t>
      </w:r>
    </w:p>
    <w:p w:rsidR="00823B8F" w:rsidRPr="00C1733B" w:rsidRDefault="00F66167" w:rsidP="00124AEF">
      <w:pPr>
        <w:pStyle w:val="SingleTxtGA"/>
        <w:rPr>
          <w:rFonts w:hint="cs"/>
          <w:b/>
          <w:bCs/>
          <w:lang w:eastAsia="en-GB"/>
        </w:rPr>
      </w:pPr>
      <w:r>
        <w:rPr>
          <w:rFonts w:hint="cs"/>
          <w:b/>
          <w:bCs/>
          <w:rtl/>
          <w:lang w:eastAsia="en-GB"/>
        </w:rPr>
        <w:tab/>
      </w:r>
      <w:r w:rsidR="00823B8F" w:rsidRPr="00C1733B">
        <w:rPr>
          <w:rFonts w:hint="cs"/>
          <w:b/>
          <w:bCs/>
          <w:rtl/>
          <w:lang w:eastAsia="en-GB"/>
        </w:rPr>
        <w:t xml:space="preserve">تكرر اللجنة التوصية الصادرة عن لجنة حقوق الطفل بشأن ضمان عدم اللجوء إلى تكتيف الأطفال إلا كآخر الحلول على أن يكون الهدف حصراً، منع الطفل من إلحاق الأذى بنفسه أو بغيره، وضمان إلغاء جميع الطرق التأديبية التي تقوم على الإكراه البدني </w:t>
      </w:r>
      <w:r w:rsidR="00823B8F" w:rsidRPr="00C1733B">
        <w:rPr>
          <w:b/>
          <w:bCs/>
          <w:szCs w:val="28"/>
          <w:lang w:eastAsia="en-GB"/>
        </w:rPr>
        <w:t>(</w:t>
      </w:r>
      <w:smartTag w:uri="urn:schemas-microsoft-com:office:smarttags" w:element="stockticker">
        <w:r w:rsidR="00823B8F" w:rsidRPr="00C1733B">
          <w:rPr>
            <w:b/>
            <w:bCs/>
            <w:szCs w:val="28"/>
            <w:lang w:eastAsia="en-GB"/>
          </w:rPr>
          <w:t>CRC</w:t>
        </w:r>
      </w:smartTag>
      <w:r w:rsidR="00823B8F" w:rsidRPr="00C1733B">
        <w:rPr>
          <w:b/>
          <w:bCs/>
          <w:szCs w:val="28"/>
          <w:lang w:eastAsia="en-GB"/>
        </w:rPr>
        <w:t>/C/</w:t>
      </w:r>
      <w:smartTag w:uri="urn:schemas-microsoft-com:office:smarttags" w:element="stockticker">
        <w:r w:rsidR="00823B8F" w:rsidRPr="00C1733B">
          <w:rPr>
            <w:b/>
            <w:bCs/>
            <w:szCs w:val="28"/>
            <w:lang w:eastAsia="en-GB"/>
          </w:rPr>
          <w:t>GBR</w:t>
        </w:r>
      </w:smartTag>
      <w:r w:rsidR="00823B8F" w:rsidRPr="00C1733B">
        <w:rPr>
          <w:b/>
          <w:bCs/>
          <w:szCs w:val="28"/>
          <w:lang w:eastAsia="en-GB"/>
        </w:rPr>
        <w:t>/CO/4)</w:t>
      </w:r>
      <w:r w:rsidR="00823B8F" w:rsidRPr="00C1733B">
        <w:rPr>
          <w:rFonts w:hint="cs"/>
          <w:b/>
          <w:bCs/>
          <w:rtl/>
          <w:lang w:eastAsia="en-GB"/>
        </w:rPr>
        <w:t>. وتوصي اللجنة أيضا</w:t>
      </w:r>
      <w:r w:rsidR="002F691F">
        <w:rPr>
          <w:rFonts w:hint="cs"/>
          <w:b/>
          <w:bCs/>
          <w:rtl/>
          <w:lang w:eastAsia="en-GB"/>
        </w:rPr>
        <w:t>ً</w:t>
      </w:r>
      <w:r w:rsidR="00823B8F" w:rsidRPr="00C1733B">
        <w:rPr>
          <w:rFonts w:hint="cs"/>
          <w:b/>
          <w:bCs/>
          <w:rtl/>
          <w:lang w:eastAsia="en-GB"/>
        </w:rPr>
        <w:t xml:space="preserve"> بأن تحظر الدولة الطرف استخدام أي </w:t>
      </w:r>
      <w:r>
        <w:rPr>
          <w:rFonts w:hint="cs"/>
          <w:b/>
          <w:bCs/>
          <w:rtl/>
          <w:lang w:eastAsia="en-GB"/>
        </w:rPr>
        <w:t xml:space="preserve">أسلوب يراد به إيلام الأطفال. </w:t>
      </w:r>
    </w:p>
    <w:p w:rsidR="00823B8F" w:rsidRPr="00C1733B" w:rsidRDefault="00F66167" w:rsidP="00124AEF">
      <w:pPr>
        <w:pStyle w:val="H23GA"/>
        <w:rPr>
          <w:rFonts w:hint="cs"/>
        </w:rPr>
      </w:pPr>
      <w:r>
        <w:rPr>
          <w:rFonts w:hint="cs"/>
          <w:rtl/>
        </w:rPr>
        <w:tab/>
      </w:r>
      <w:r>
        <w:rPr>
          <w:rFonts w:hint="cs"/>
          <w:rtl/>
        </w:rPr>
        <w:tab/>
      </w:r>
      <w:r w:rsidR="00823B8F" w:rsidRPr="00C1733B">
        <w:rPr>
          <w:rFonts w:hint="cs"/>
          <w:rtl/>
        </w:rPr>
        <w:t xml:space="preserve">العقوبة الجسدية </w:t>
      </w:r>
    </w:p>
    <w:p w:rsidR="00823B8F" w:rsidRPr="00C1733B" w:rsidRDefault="00F66167" w:rsidP="004C3E0C">
      <w:pPr>
        <w:pStyle w:val="SingleTxtGA"/>
        <w:spacing w:line="370" w:lineRule="exact"/>
        <w:rPr>
          <w:rFonts w:hint="cs"/>
          <w:rtl/>
          <w:lang w:eastAsia="en-GB"/>
        </w:rPr>
      </w:pPr>
      <w:r>
        <w:rPr>
          <w:rFonts w:hint="cs"/>
          <w:rtl/>
          <w:lang w:eastAsia="en-GB"/>
        </w:rPr>
        <w:t>(</w:t>
      </w:r>
      <w:r w:rsidR="00823B8F" w:rsidRPr="00C1733B">
        <w:rPr>
          <w:rFonts w:hint="cs"/>
          <w:rtl/>
          <w:lang w:eastAsia="en-GB"/>
        </w:rPr>
        <w:t>29</w:t>
      </w:r>
      <w:r>
        <w:rPr>
          <w:rFonts w:hint="cs"/>
          <w:rtl/>
          <w:lang w:eastAsia="en-GB"/>
        </w:rPr>
        <w:t>)</w:t>
      </w:r>
      <w:r>
        <w:rPr>
          <w:rFonts w:hint="cs"/>
          <w:rtl/>
          <w:lang w:eastAsia="en-GB"/>
        </w:rPr>
        <w:tab/>
      </w:r>
      <w:r w:rsidR="00823B8F" w:rsidRPr="00C1733B">
        <w:rPr>
          <w:rFonts w:hint="cs"/>
          <w:rtl/>
          <w:lang w:eastAsia="en-GB"/>
        </w:rPr>
        <w:t>تحيط اللجنة علما</w:t>
      </w:r>
      <w:r>
        <w:rPr>
          <w:rFonts w:hint="cs"/>
          <w:rtl/>
          <w:lang w:eastAsia="en-GB"/>
        </w:rPr>
        <w:t>ً</w:t>
      </w:r>
      <w:r w:rsidR="00823B8F" w:rsidRPr="00C1733B">
        <w:rPr>
          <w:rFonts w:hint="cs"/>
          <w:rtl/>
          <w:lang w:eastAsia="en-GB"/>
        </w:rPr>
        <w:t xml:space="preserve"> بالتعديلات التي أدخلت على التشريعات في </w:t>
      </w:r>
      <w:r>
        <w:rPr>
          <w:rFonts w:hint="cs"/>
          <w:rtl/>
          <w:lang w:eastAsia="en-GB"/>
        </w:rPr>
        <w:t xml:space="preserve">إنكلترا </w:t>
      </w:r>
      <w:r w:rsidR="00823B8F" w:rsidRPr="00C1733B">
        <w:rPr>
          <w:rFonts w:hint="cs"/>
          <w:rtl/>
          <w:lang w:eastAsia="en-GB"/>
        </w:rPr>
        <w:t>وويلز و</w:t>
      </w:r>
      <w:r>
        <w:rPr>
          <w:rFonts w:hint="cs"/>
          <w:rtl/>
          <w:lang w:eastAsia="en-GB"/>
        </w:rPr>
        <w:t>اسك</w:t>
      </w:r>
      <w:r w:rsidR="00823B8F" w:rsidRPr="00C1733B">
        <w:rPr>
          <w:rFonts w:hint="cs"/>
          <w:rtl/>
          <w:lang w:eastAsia="en-GB"/>
        </w:rPr>
        <w:t>تلندا و</w:t>
      </w:r>
      <w:r>
        <w:rPr>
          <w:rFonts w:hint="cs"/>
          <w:rtl/>
          <w:lang w:eastAsia="en-GB"/>
        </w:rPr>
        <w:t>أ</w:t>
      </w:r>
      <w:r w:rsidR="00823B8F" w:rsidRPr="00C1733B">
        <w:rPr>
          <w:rFonts w:hint="cs"/>
          <w:rtl/>
          <w:lang w:eastAsia="en-GB"/>
        </w:rPr>
        <w:t xml:space="preserve">يرلندا الشمالية، والتي تحد من إمكانية الدفع بمقولة "العقوبة في حدود المعقول" (أو "المبررة" في </w:t>
      </w:r>
      <w:r>
        <w:rPr>
          <w:rFonts w:hint="cs"/>
          <w:rtl/>
          <w:lang w:eastAsia="en-GB"/>
        </w:rPr>
        <w:t>اسك</w:t>
      </w:r>
      <w:r w:rsidR="00823B8F" w:rsidRPr="00C1733B">
        <w:rPr>
          <w:rFonts w:hint="cs"/>
          <w:rtl/>
          <w:lang w:eastAsia="en-GB"/>
        </w:rPr>
        <w:t>تلندا)، لكنها تظل قلقة مع ذلك، لأن القانون ما زال يجيز للوالدين ومن يقوم مقامهما ممارسة بعض أشكال العقوبة البدنية في المنزل. ويساورها القلق فضلا</w:t>
      </w:r>
      <w:r>
        <w:rPr>
          <w:rFonts w:hint="cs"/>
          <w:rtl/>
          <w:lang w:eastAsia="en-GB"/>
        </w:rPr>
        <w:t>ً</w:t>
      </w:r>
      <w:r w:rsidR="00823B8F" w:rsidRPr="00C1733B">
        <w:rPr>
          <w:rFonts w:hint="cs"/>
          <w:rtl/>
          <w:lang w:eastAsia="en-GB"/>
        </w:rPr>
        <w:t xml:space="preserve"> عن ذلك، لأن بعض أشكال العقوبة البدنية التي تمارس في المنزل والمدرسة ومؤسسات الرعاية البديلة تعتبر قانونية في معظم أقاليم ما وراء ا</w:t>
      </w:r>
      <w:r>
        <w:rPr>
          <w:rFonts w:hint="cs"/>
          <w:rtl/>
          <w:lang w:eastAsia="en-GB"/>
        </w:rPr>
        <w:t>لبحار والأقاليم التابعة للتاج.</w:t>
      </w:r>
    </w:p>
    <w:p w:rsidR="00823B8F" w:rsidRPr="00C1733B" w:rsidRDefault="00F66167" w:rsidP="004C3E0C">
      <w:pPr>
        <w:pStyle w:val="SingleTxtGA"/>
        <w:spacing w:line="370" w:lineRule="exact"/>
        <w:rPr>
          <w:rFonts w:hint="cs"/>
          <w:b/>
          <w:bCs/>
          <w:lang w:eastAsia="en-GB"/>
        </w:rPr>
      </w:pPr>
      <w:r>
        <w:rPr>
          <w:rFonts w:hint="cs"/>
          <w:b/>
          <w:bCs/>
          <w:rtl/>
          <w:lang w:eastAsia="en-GB"/>
        </w:rPr>
        <w:tab/>
      </w:r>
      <w:r w:rsidR="00823B8F" w:rsidRPr="00C1733B">
        <w:rPr>
          <w:rFonts w:hint="cs"/>
          <w:b/>
          <w:bCs/>
          <w:rtl/>
          <w:lang w:eastAsia="en-GB"/>
        </w:rPr>
        <w:t xml:space="preserve">توصي اللجنة بأن تحظر الدولة الطرف إنزال العقوبة الجسدية بالأطفال في جميع الأوساط في الإقليم </w:t>
      </w:r>
      <w:r w:rsidR="00823B8F" w:rsidRPr="00C1733B">
        <w:rPr>
          <w:b/>
          <w:bCs/>
          <w:rtl/>
          <w:lang w:eastAsia="en-GB"/>
        </w:rPr>
        <w:t>المتروبولي</w:t>
      </w:r>
      <w:r w:rsidR="00823B8F" w:rsidRPr="00C1733B">
        <w:rPr>
          <w:rFonts w:hint="cs"/>
          <w:b/>
          <w:bCs/>
          <w:rtl/>
          <w:lang w:eastAsia="en-GB"/>
        </w:rPr>
        <w:t xml:space="preserve"> وأقاليم ما وراء البحار والأقاليم التابعة للتاج، عن طريق إلغاء جميع الدفوع القانونية المتاحة حاليا</w:t>
      </w:r>
      <w:r w:rsidR="003A42D1">
        <w:rPr>
          <w:rFonts w:hint="cs"/>
          <w:b/>
          <w:bCs/>
          <w:rtl/>
          <w:lang w:eastAsia="en-GB"/>
        </w:rPr>
        <w:t>ً</w:t>
      </w:r>
      <w:r w:rsidR="00823B8F" w:rsidRPr="00C1733B">
        <w:rPr>
          <w:rFonts w:hint="cs"/>
          <w:b/>
          <w:bCs/>
          <w:rtl/>
          <w:lang w:eastAsia="en-GB"/>
        </w:rPr>
        <w:t>، والتشجيع أكثر على استخدام أشكال التأديب الإيجابي الخالي من العنف عوضا عن العقوبة الجسدية و</w:t>
      </w:r>
      <w:r>
        <w:rPr>
          <w:rFonts w:hint="cs"/>
          <w:b/>
          <w:bCs/>
          <w:rtl/>
          <w:lang w:eastAsia="en-GB"/>
        </w:rPr>
        <w:t>ذلك عن طريق تنظيم حملات عامة.</w:t>
      </w:r>
    </w:p>
    <w:p w:rsidR="00823B8F" w:rsidRPr="00C1733B" w:rsidRDefault="00F66167" w:rsidP="00124AEF">
      <w:pPr>
        <w:pStyle w:val="H23GA"/>
        <w:rPr>
          <w:rFonts w:hint="cs"/>
        </w:rPr>
      </w:pPr>
      <w:r>
        <w:rPr>
          <w:rFonts w:hint="cs"/>
          <w:rtl/>
        </w:rPr>
        <w:tab/>
      </w:r>
      <w:r>
        <w:rPr>
          <w:rFonts w:hint="cs"/>
          <w:rtl/>
        </w:rPr>
        <w:tab/>
      </w:r>
      <w:r w:rsidR="00823B8F" w:rsidRPr="00C1733B">
        <w:rPr>
          <w:rFonts w:hint="cs"/>
          <w:rtl/>
        </w:rPr>
        <w:t xml:space="preserve">احتجاز المهاجرين </w:t>
      </w:r>
    </w:p>
    <w:p w:rsidR="00823B8F" w:rsidRPr="009037B3" w:rsidRDefault="00F66167" w:rsidP="004C3E0C">
      <w:pPr>
        <w:pStyle w:val="SingleTxtGA"/>
        <w:spacing w:line="370" w:lineRule="exact"/>
        <w:rPr>
          <w:rFonts w:hint="cs"/>
          <w:rtl/>
          <w:lang w:eastAsia="en-GB"/>
        </w:rPr>
      </w:pPr>
      <w:r>
        <w:rPr>
          <w:rFonts w:hint="cs"/>
          <w:rtl/>
          <w:lang w:eastAsia="en-GB"/>
        </w:rPr>
        <w:t>(</w:t>
      </w:r>
      <w:r w:rsidR="00823B8F" w:rsidRPr="00C1733B">
        <w:rPr>
          <w:rFonts w:hint="cs"/>
          <w:rtl/>
          <w:lang w:eastAsia="en-GB"/>
        </w:rPr>
        <w:t>30</w:t>
      </w:r>
      <w:r>
        <w:rPr>
          <w:rFonts w:hint="cs"/>
          <w:rtl/>
          <w:lang w:eastAsia="en-GB"/>
        </w:rPr>
        <w:t>)</w:t>
      </w:r>
      <w:r>
        <w:rPr>
          <w:rFonts w:hint="cs"/>
          <w:rtl/>
          <w:lang w:eastAsia="en-GB"/>
        </w:rPr>
        <w:tab/>
      </w:r>
      <w:r w:rsidR="00823B8F" w:rsidRPr="00C1733B">
        <w:rPr>
          <w:rFonts w:hint="cs"/>
          <w:rtl/>
          <w:lang w:eastAsia="en-GB"/>
        </w:rPr>
        <w:t xml:space="preserve">تلاحظ اللجنة أن التوسع في اللجوء إلى احتجاز المهاجرين أدى إلى إجراء </w:t>
      </w:r>
      <w:r w:rsidR="00823B8F" w:rsidRPr="009037B3">
        <w:rPr>
          <w:rFonts w:hint="cs"/>
          <w:rtl/>
          <w:lang w:eastAsia="en-GB"/>
        </w:rPr>
        <w:t>إصلاحات معينة من بينها اعتماد القانون الخاص بالحدود والمواطنة والهجرة (2009)، الذي</w:t>
      </w:r>
      <w:r w:rsidR="003A42D1" w:rsidRPr="009037B3">
        <w:rPr>
          <w:rFonts w:hint="eastAsia"/>
          <w:rtl/>
          <w:lang w:eastAsia="en-GB"/>
        </w:rPr>
        <w:t> </w:t>
      </w:r>
      <w:r w:rsidR="00823B8F" w:rsidRPr="009037B3">
        <w:rPr>
          <w:rFonts w:hint="cs"/>
          <w:rtl/>
          <w:lang w:eastAsia="en-GB"/>
        </w:rPr>
        <w:t>يرمي إلى تبسيط إجراءات الهجرة؛ والتخلي رسميا عن احتجاز الأطفال واستعراض إجراءات تطبيق المادة</w:t>
      </w:r>
      <w:r w:rsidR="009037B3">
        <w:rPr>
          <w:rFonts w:hint="eastAsia"/>
          <w:rtl/>
          <w:lang w:eastAsia="en-GB"/>
        </w:rPr>
        <w:t> </w:t>
      </w:r>
      <w:r w:rsidR="00823B8F" w:rsidRPr="009037B3">
        <w:rPr>
          <w:rFonts w:hint="cs"/>
          <w:rtl/>
          <w:lang w:eastAsia="en-GB"/>
        </w:rPr>
        <w:t>35 من النظام الداخلي لمراكز الاحتجاز. غير أن الل</w:t>
      </w:r>
      <w:r w:rsidR="003A42D1" w:rsidRPr="009037B3">
        <w:rPr>
          <w:rFonts w:hint="cs"/>
          <w:rtl/>
          <w:lang w:eastAsia="en-GB"/>
        </w:rPr>
        <w:t>جنة لا تزال قلقة بشأن ما يلي:</w:t>
      </w:r>
    </w:p>
    <w:p w:rsidR="00823B8F" w:rsidRPr="00C1733B" w:rsidRDefault="003A42D1" w:rsidP="004C3E0C">
      <w:pPr>
        <w:pStyle w:val="SingleTxtGA"/>
        <w:spacing w:line="370" w:lineRule="exact"/>
        <w:rPr>
          <w:rFonts w:eastAsia="Malgun Gothic" w:hint="cs"/>
          <w:kern w:val="2"/>
          <w:lang w:eastAsia="ko-KR"/>
        </w:rPr>
      </w:pPr>
      <w:r>
        <w:rPr>
          <w:rFonts w:eastAsia="Malgun Gothic" w:hint="cs"/>
          <w:kern w:val="2"/>
          <w:rtl/>
          <w:lang w:eastAsia="ko-KR"/>
        </w:rPr>
        <w:tab/>
      </w:r>
      <w:r w:rsidR="00823B8F" w:rsidRPr="00C1733B">
        <w:rPr>
          <w:rFonts w:eastAsia="Malgun Gothic" w:hint="cs"/>
          <w:kern w:val="2"/>
          <w:rtl/>
          <w:lang w:eastAsia="ko-KR"/>
        </w:rPr>
        <w:t>(أ)</w:t>
      </w:r>
      <w:r>
        <w:rPr>
          <w:rFonts w:eastAsia="Malgun Gothic" w:hint="cs"/>
          <w:kern w:val="2"/>
          <w:rtl/>
          <w:lang w:eastAsia="ko-KR"/>
        </w:rPr>
        <w:tab/>
      </w:r>
      <w:r w:rsidR="00823B8F" w:rsidRPr="00C1733B">
        <w:rPr>
          <w:rFonts w:eastAsia="Malgun Gothic" w:hint="cs"/>
          <w:kern w:val="2"/>
          <w:rtl/>
          <w:lang w:eastAsia="ko-KR"/>
        </w:rPr>
        <w:t>الحالات المتعلقة باحتجاز الأطفال والناجين من التعذيب وضحايا الاتجار والأشخاص الذين يعانون من إعاقة ذهنية شديدة أثناء الب</w:t>
      </w:r>
      <w:r>
        <w:rPr>
          <w:rFonts w:eastAsia="Malgun Gothic" w:hint="cs"/>
          <w:kern w:val="2"/>
          <w:rtl/>
          <w:lang w:eastAsia="ko-KR"/>
        </w:rPr>
        <w:t xml:space="preserve">ت في طلباتهم لالتماس اللجوء؛ </w:t>
      </w:r>
    </w:p>
    <w:p w:rsidR="00823B8F" w:rsidRPr="00C1733B" w:rsidRDefault="003A42D1" w:rsidP="004C3E0C">
      <w:pPr>
        <w:pStyle w:val="SingleTxtGA"/>
        <w:spacing w:line="370" w:lineRule="exact"/>
        <w:rPr>
          <w:rFonts w:eastAsia="Malgun Gothic" w:hint="cs"/>
          <w:kern w:val="2"/>
          <w:rtl/>
          <w:lang w:eastAsia="ko-KR"/>
        </w:rPr>
      </w:pPr>
      <w:r>
        <w:rPr>
          <w:rFonts w:eastAsia="Malgun Gothic" w:hint="cs"/>
          <w:kern w:val="2"/>
          <w:rtl/>
          <w:lang w:eastAsia="ko-KR"/>
        </w:rPr>
        <w:tab/>
      </w:r>
      <w:r w:rsidR="00823B8F" w:rsidRPr="00C1733B">
        <w:rPr>
          <w:rFonts w:eastAsia="Malgun Gothic" w:hint="cs"/>
          <w:kern w:val="2"/>
          <w:rtl/>
          <w:lang w:eastAsia="ko-KR"/>
        </w:rPr>
        <w:t>(ب)</w:t>
      </w:r>
      <w:r>
        <w:rPr>
          <w:rFonts w:eastAsia="Malgun Gothic" w:hint="cs"/>
          <w:kern w:val="2"/>
          <w:rtl/>
          <w:lang w:eastAsia="ko-KR"/>
        </w:rPr>
        <w:tab/>
      </w:r>
      <w:r w:rsidR="00823B8F" w:rsidRPr="00C1733B">
        <w:rPr>
          <w:rFonts w:eastAsia="Malgun Gothic" w:hint="cs"/>
          <w:kern w:val="2"/>
          <w:rtl/>
          <w:lang w:eastAsia="ko-KR"/>
        </w:rPr>
        <w:t>الحالات المتعلقة بإدراج الأشخاص الناجين من التعذيب والأشخاص ال</w:t>
      </w:r>
      <w:r w:rsidR="00823B8F" w:rsidRPr="00C1733B">
        <w:rPr>
          <w:rFonts w:hint="cs"/>
          <w:rtl/>
        </w:rPr>
        <w:t xml:space="preserve">ذين يعانون من اضطرابات عقلية </w:t>
      </w:r>
      <w:r w:rsidR="00823B8F" w:rsidRPr="00C1733B">
        <w:rPr>
          <w:rFonts w:eastAsia="Malgun Gothic" w:hint="cs"/>
          <w:kern w:val="2"/>
          <w:rtl/>
          <w:lang w:eastAsia="ko-KR"/>
        </w:rPr>
        <w:t>في نظام ال</w:t>
      </w:r>
      <w:r w:rsidR="00823B8F" w:rsidRPr="00C1733B">
        <w:rPr>
          <w:rFonts w:eastAsia="Malgun Gothic"/>
          <w:kern w:val="2"/>
          <w:rtl/>
          <w:lang w:eastAsia="ko-KR"/>
        </w:rPr>
        <w:t>إجراء</w:t>
      </w:r>
      <w:r w:rsidR="00823B8F" w:rsidRPr="00C1733B">
        <w:rPr>
          <w:rFonts w:eastAsia="Malgun Gothic" w:hint="cs"/>
          <w:kern w:val="2"/>
          <w:rtl/>
          <w:lang w:eastAsia="ko-KR"/>
        </w:rPr>
        <w:t>ات المعجلة للبت</w:t>
      </w:r>
      <w:r w:rsidR="00823B8F" w:rsidRPr="00C1733B">
        <w:rPr>
          <w:rFonts w:eastAsia="Malgun Gothic"/>
          <w:kern w:val="2"/>
          <w:rtl/>
          <w:lang w:eastAsia="ko-KR"/>
        </w:rPr>
        <w:t xml:space="preserve"> في طلبات المحتجزين"</w:t>
      </w:r>
      <w:r w:rsidR="00823B8F" w:rsidRPr="00C1733B">
        <w:rPr>
          <w:rFonts w:eastAsia="Malgun Gothic" w:hint="cs"/>
          <w:kern w:val="2"/>
          <w:rtl/>
          <w:lang w:eastAsia="ko-KR"/>
        </w:rPr>
        <w:t xml:space="preserve"> بسبب عدم توفر مبادئ توجيهية واضحة وقصور عمليات الفرز، ومطالبة الناجين من التعذيب بتقديم "أدلة مستقاة من مصادر مستقلة تثبت تعرضهم للتعذيب" خلال مقابلات الفرز ليتم إعفاؤهم من الخضوع لنظام ال</w:t>
      </w:r>
      <w:r w:rsidR="00823B8F" w:rsidRPr="00C1733B">
        <w:rPr>
          <w:rFonts w:eastAsia="Malgun Gothic"/>
          <w:kern w:val="2"/>
          <w:rtl/>
          <w:lang w:eastAsia="ko-KR"/>
        </w:rPr>
        <w:t>إجراء</w:t>
      </w:r>
      <w:r w:rsidR="00823B8F" w:rsidRPr="00C1733B">
        <w:rPr>
          <w:rFonts w:eastAsia="Malgun Gothic" w:hint="cs"/>
          <w:kern w:val="2"/>
          <w:rtl/>
          <w:lang w:eastAsia="ko-KR"/>
        </w:rPr>
        <w:t xml:space="preserve">ات المعجلة </w:t>
      </w:r>
      <w:r w:rsidR="00823B8F" w:rsidRPr="00C1733B">
        <w:rPr>
          <w:rFonts w:eastAsia="Malgun Gothic"/>
          <w:kern w:val="2"/>
          <w:rtl/>
          <w:lang w:eastAsia="ko-KR"/>
        </w:rPr>
        <w:t>للنظر في طلبات المحتجزين</w:t>
      </w:r>
      <w:r w:rsidR="002F691F">
        <w:rPr>
          <w:rFonts w:eastAsia="Malgun Gothic" w:hint="cs"/>
          <w:kern w:val="2"/>
          <w:rtl/>
          <w:lang w:eastAsia="ko-KR"/>
        </w:rPr>
        <w:t>؛</w:t>
      </w:r>
    </w:p>
    <w:p w:rsidR="00823B8F" w:rsidRPr="00C1733B" w:rsidRDefault="003A42D1" w:rsidP="00A83CF9">
      <w:pPr>
        <w:pStyle w:val="SingleTxtGA"/>
        <w:rPr>
          <w:rFonts w:eastAsia="Malgun Gothic" w:hint="cs"/>
          <w:kern w:val="2"/>
          <w:lang w:eastAsia="ko-KR"/>
        </w:rPr>
      </w:pPr>
      <w:r>
        <w:rPr>
          <w:rFonts w:eastAsia="Malgun Gothic" w:hint="cs"/>
          <w:kern w:val="2"/>
          <w:rtl/>
          <w:lang w:eastAsia="ko-KR"/>
        </w:rPr>
        <w:tab/>
      </w:r>
      <w:r w:rsidR="00823B8F" w:rsidRPr="00C1733B">
        <w:rPr>
          <w:rFonts w:eastAsia="Malgun Gothic" w:hint="cs"/>
          <w:kern w:val="2"/>
          <w:rtl/>
          <w:lang w:eastAsia="ko-KR"/>
        </w:rPr>
        <w:t>(ج)</w:t>
      </w:r>
      <w:r>
        <w:rPr>
          <w:rFonts w:eastAsia="Malgun Gothic" w:hint="cs"/>
          <w:kern w:val="2"/>
          <w:rtl/>
          <w:lang w:eastAsia="ko-KR"/>
        </w:rPr>
        <w:tab/>
      </w:r>
      <w:r w:rsidR="00823B8F" w:rsidRPr="00C1733B">
        <w:rPr>
          <w:rFonts w:eastAsia="Malgun Gothic" w:hint="cs"/>
          <w:kern w:val="2"/>
          <w:rtl/>
          <w:lang w:eastAsia="ko-KR"/>
        </w:rPr>
        <w:t xml:space="preserve">عدم ربط مدة الاحتجاز في مراكز ترحيل المهاجرين بمدة محددة (المواد 2 و3 و11 و16). </w:t>
      </w:r>
    </w:p>
    <w:p w:rsidR="00823B8F" w:rsidRPr="003A42D1" w:rsidRDefault="003A42D1" w:rsidP="00A83CF9">
      <w:pPr>
        <w:pStyle w:val="SingleTxtGA"/>
        <w:rPr>
          <w:rFonts w:eastAsia="Malgun Gothic" w:hint="cs"/>
          <w:b/>
          <w:bCs/>
          <w:kern w:val="2"/>
          <w:lang w:eastAsia="ko-KR"/>
        </w:rPr>
      </w:pPr>
      <w:r w:rsidRPr="003A42D1">
        <w:rPr>
          <w:rFonts w:eastAsia="Malgun Gothic" w:hint="cs"/>
          <w:b/>
          <w:bCs/>
          <w:kern w:val="2"/>
          <w:rtl/>
          <w:lang w:eastAsia="ko-KR"/>
        </w:rPr>
        <w:tab/>
      </w:r>
      <w:r w:rsidR="00823B8F" w:rsidRPr="003A42D1">
        <w:rPr>
          <w:rFonts w:eastAsia="Malgun Gothic" w:hint="cs"/>
          <w:b/>
          <w:bCs/>
          <w:kern w:val="2"/>
          <w:rtl/>
          <w:lang w:eastAsia="ko-KR"/>
        </w:rPr>
        <w:t xml:space="preserve">تحث اللجنة الدولة الطرف على القيام بما يلي: </w:t>
      </w:r>
    </w:p>
    <w:p w:rsidR="00823B8F" w:rsidRPr="00C1733B" w:rsidRDefault="003A42D1" w:rsidP="00A83CF9">
      <w:pPr>
        <w:pStyle w:val="SingleTxtGA"/>
        <w:rPr>
          <w:rFonts w:eastAsia="Malgun Gothic" w:hint="cs"/>
          <w:b/>
          <w:bCs/>
          <w:kern w:val="2"/>
          <w:lang w:eastAsia="ko-KR"/>
        </w:rPr>
      </w:pPr>
      <w:r>
        <w:rPr>
          <w:rFonts w:eastAsia="Malgun Gothic" w:hint="cs"/>
          <w:b/>
          <w:bCs/>
          <w:kern w:val="2"/>
          <w:rtl/>
          <w:lang w:eastAsia="ko-KR"/>
        </w:rPr>
        <w:tab/>
      </w:r>
      <w:r w:rsidR="00823B8F" w:rsidRPr="00C1733B">
        <w:rPr>
          <w:rFonts w:eastAsia="Malgun Gothic" w:hint="cs"/>
          <w:b/>
          <w:bCs/>
          <w:kern w:val="2"/>
          <w:rtl/>
          <w:lang w:eastAsia="ko-KR"/>
        </w:rPr>
        <w:t>(أ)</w:t>
      </w:r>
      <w:r>
        <w:rPr>
          <w:rFonts w:eastAsia="Malgun Gothic" w:hint="cs"/>
          <w:b/>
          <w:bCs/>
          <w:kern w:val="2"/>
          <w:rtl/>
          <w:lang w:eastAsia="ko-KR"/>
        </w:rPr>
        <w:tab/>
      </w:r>
      <w:r w:rsidR="00823B8F" w:rsidRPr="00C1733B">
        <w:rPr>
          <w:rFonts w:eastAsia="Malgun Gothic" w:hint="cs"/>
          <w:b/>
          <w:bCs/>
          <w:kern w:val="2"/>
          <w:rtl/>
          <w:lang w:eastAsia="ko-KR"/>
        </w:rPr>
        <w:t>ضمان عدم اللجوء إلى الاحتجاز إلا كآخر الحلول وفقا</w:t>
      </w:r>
      <w:r w:rsidR="00255B48">
        <w:rPr>
          <w:rFonts w:eastAsia="Malgun Gothic" w:hint="cs"/>
          <w:b/>
          <w:bCs/>
          <w:kern w:val="2"/>
          <w:rtl/>
          <w:lang w:eastAsia="ko-KR"/>
        </w:rPr>
        <w:t>ً</w:t>
      </w:r>
      <w:r w:rsidR="00823B8F" w:rsidRPr="00C1733B">
        <w:rPr>
          <w:rFonts w:eastAsia="Malgun Gothic" w:hint="cs"/>
          <w:b/>
          <w:bCs/>
          <w:kern w:val="2"/>
          <w:rtl/>
          <w:lang w:eastAsia="ko-KR"/>
        </w:rPr>
        <w:t xml:space="preserve"> لمقتضيات القانون الدولي و</w:t>
      </w:r>
      <w:r w:rsidR="002F691F">
        <w:rPr>
          <w:rFonts w:eastAsia="Malgun Gothic" w:hint="cs"/>
          <w:b/>
          <w:bCs/>
          <w:kern w:val="2"/>
          <w:rtl/>
          <w:lang w:eastAsia="ko-KR"/>
        </w:rPr>
        <w:t>ليس لتسهيل الإجراءات الإدارية؛</w:t>
      </w:r>
    </w:p>
    <w:p w:rsidR="00823B8F" w:rsidRPr="00C1733B" w:rsidRDefault="003A42D1" w:rsidP="003A42D1">
      <w:pPr>
        <w:pStyle w:val="SingleTxtGA"/>
        <w:rPr>
          <w:rFonts w:eastAsia="Malgun Gothic" w:hint="cs"/>
          <w:b/>
          <w:bCs/>
          <w:kern w:val="2"/>
          <w:rtl/>
          <w:lang w:eastAsia="ko-KR"/>
        </w:rPr>
      </w:pPr>
      <w:r>
        <w:rPr>
          <w:rFonts w:eastAsia="Malgun Gothic" w:hint="cs"/>
          <w:b/>
          <w:bCs/>
          <w:kern w:val="2"/>
          <w:rtl/>
          <w:lang w:eastAsia="ko-KR"/>
        </w:rPr>
        <w:tab/>
      </w:r>
      <w:r w:rsidR="00823B8F" w:rsidRPr="00C1733B">
        <w:rPr>
          <w:rFonts w:eastAsia="Malgun Gothic"/>
          <w:b/>
          <w:bCs/>
          <w:kern w:val="2"/>
          <w:rtl/>
          <w:lang w:eastAsia="ko-KR"/>
        </w:rPr>
        <w:t>(ب)</w:t>
      </w:r>
      <w:r>
        <w:rPr>
          <w:rFonts w:eastAsia="Malgun Gothic" w:hint="cs"/>
          <w:b/>
          <w:bCs/>
          <w:kern w:val="2"/>
          <w:rtl/>
          <w:lang w:eastAsia="ko-KR"/>
        </w:rPr>
        <w:tab/>
      </w:r>
      <w:r w:rsidR="00823B8F" w:rsidRPr="00C1733B">
        <w:rPr>
          <w:rFonts w:eastAsia="Malgun Gothic"/>
          <w:b/>
          <w:bCs/>
          <w:kern w:val="2"/>
          <w:rtl/>
          <w:lang w:eastAsia="ko-KR"/>
        </w:rPr>
        <w:t>اتخاذ التدابير اللازمة لضمان عدم تحويل</w:t>
      </w:r>
      <w:r w:rsidR="00823B8F" w:rsidRPr="00C1733B">
        <w:rPr>
          <w:rFonts w:eastAsia="Malgun Gothic" w:hint="cs"/>
          <w:b/>
          <w:bCs/>
          <w:kern w:val="2"/>
          <w:rtl/>
          <w:lang w:eastAsia="ko-KR"/>
        </w:rPr>
        <w:t xml:space="preserve"> الأشخاص</w:t>
      </w:r>
      <w:r w:rsidR="00823B8F" w:rsidRPr="00C1733B">
        <w:rPr>
          <w:rFonts w:eastAsia="Malgun Gothic"/>
          <w:b/>
          <w:bCs/>
          <w:kern w:val="2"/>
          <w:rtl/>
          <w:lang w:eastAsia="ko-KR"/>
        </w:rPr>
        <w:t xml:space="preserve"> الضعفاء و</w:t>
      </w:r>
      <w:r w:rsidR="00823B8F" w:rsidRPr="00C1733B">
        <w:rPr>
          <w:rFonts w:eastAsia="Malgun Gothic" w:hint="cs"/>
          <w:b/>
          <w:bCs/>
          <w:kern w:val="2"/>
          <w:rtl/>
          <w:lang w:eastAsia="ko-KR"/>
        </w:rPr>
        <w:t>ا</w:t>
      </w:r>
      <w:r w:rsidR="00823B8F" w:rsidRPr="00C1733B">
        <w:rPr>
          <w:rFonts w:eastAsia="Malgun Gothic"/>
          <w:b/>
          <w:bCs/>
          <w:kern w:val="2"/>
          <w:rtl/>
          <w:lang w:eastAsia="ko-KR"/>
        </w:rPr>
        <w:t xml:space="preserve">لناجين من التعذيب إلى نظام الإجراءات المعجلة </w:t>
      </w:r>
      <w:r w:rsidR="00823B8F" w:rsidRPr="00C1733B">
        <w:rPr>
          <w:rFonts w:eastAsia="Malgun Gothic" w:hint="cs"/>
          <w:b/>
          <w:bCs/>
          <w:kern w:val="2"/>
          <w:rtl/>
          <w:lang w:eastAsia="ko-KR"/>
        </w:rPr>
        <w:t>للبت</w:t>
      </w:r>
      <w:r w:rsidR="00823B8F" w:rsidRPr="00C1733B">
        <w:rPr>
          <w:rFonts w:eastAsia="Malgun Gothic"/>
          <w:b/>
          <w:bCs/>
          <w:kern w:val="2"/>
          <w:rtl/>
          <w:lang w:eastAsia="ko-KR"/>
        </w:rPr>
        <w:t xml:space="preserve"> في طلبات المحتجزين بطرق منها ما يلي: ‘1‘ إعادة النظر في إجراء ال</w:t>
      </w:r>
      <w:r w:rsidR="002F691F">
        <w:rPr>
          <w:rFonts w:eastAsia="Malgun Gothic"/>
          <w:b/>
          <w:bCs/>
          <w:kern w:val="2"/>
          <w:rtl/>
          <w:lang w:eastAsia="ko-KR"/>
        </w:rPr>
        <w:t xml:space="preserve">فرز الخاص بتحديد ملتمسي اللجوء </w:t>
      </w:r>
      <w:r w:rsidR="00823B8F" w:rsidRPr="00C1733B">
        <w:rPr>
          <w:rFonts w:eastAsia="Malgun Gothic"/>
          <w:b/>
          <w:bCs/>
          <w:kern w:val="2"/>
          <w:rtl/>
          <w:lang w:eastAsia="ko-KR"/>
        </w:rPr>
        <w:t>الذين يودعون الاحتجاز الإداري عند الدخول؛ ‘2‘ التخفيف من عبء الإثبات على الأشخاص الناجين من التعذيب؛ ‘3‘ إجراء استعراض فوري ومستقل لتطبيق المادة 35 من النظام الداخلي لمراكز الاحتجاز في أماكن احتجاز المهاجرين، تماشيا مع التوصي</w:t>
      </w:r>
      <w:r w:rsidR="00823B8F" w:rsidRPr="00C1733B">
        <w:rPr>
          <w:rFonts w:eastAsia="Malgun Gothic" w:hint="cs"/>
          <w:b/>
          <w:bCs/>
          <w:kern w:val="2"/>
          <w:rtl/>
          <w:lang w:eastAsia="ko-KR"/>
        </w:rPr>
        <w:t>ة</w:t>
      </w:r>
      <w:r w:rsidR="00823B8F" w:rsidRPr="00C1733B">
        <w:rPr>
          <w:rFonts w:eastAsia="Malgun Gothic"/>
          <w:b/>
          <w:bCs/>
          <w:kern w:val="2"/>
          <w:rtl/>
          <w:lang w:eastAsia="ko-KR"/>
        </w:rPr>
        <w:t xml:space="preserve"> المقدمة من اللجنة المعنية بالشؤون الداخلية وضمان تطبيق قواعد مماثلة </w:t>
      </w:r>
      <w:r>
        <w:rPr>
          <w:rFonts w:eastAsia="Malgun Gothic"/>
          <w:b/>
          <w:bCs/>
          <w:kern w:val="2"/>
          <w:rtl/>
          <w:lang w:eastAsia="ko-KR"/>
        </w:rPr>
        <w:t>في مرافق الاحتجاز لفترة قصيرة</w:t>
      </w:r>
      <w:r>
        <w:rPr>
          <w:rFonts w:eastAsia="Malgun Gothic" w:hint="cs"/>
          <w:b/>
          <w:bCs/>
          <w:kern w:val="2"/>
          <w:rtl/>
          <w:lang w:eastAsia="ko-KR"/>
        </w:rPr>
        <w:t xml:space="preserve">؛ </w:t>
      </w:r>
      <w:r w:rsidR="00823B8F" w:rsidRPr="00C1733B">
        <w:rPr>
          <w:rFonts w:eastAsia="Malgun Gothic"/>
          <w:b/>
          <w:bCs/>
          <w:kern w:val="2"/>
          <w:rtl/>
          <w:lang w:eastAsia="ko-KR"/>
        </w:rPr>
        <w:t>‘4‘ تعديل تعليمات وإرشادات الإنفاذ التي وضعتها وكالة الحدود بالمملكة المتحدة، والتي تجيز احتجاز الأشخاص المصابين بمرض عقلي ما لم يكن هذا المرض من الخطورة بحيث يصع</w:t>
      </w:r>
      <w:r w:rsidR="009037B3">
        <w:rPr>
          <w:rFonts w:eastAsia="Malgun Gothic"/>
          <w:b/>
          <w:bCs/>
          <w:kern w:val="2"/>
          <w:rtl/>
          <w:lang w:eastAsia="ko-KR"/>
        </w:rPr>
        <w:t>ب التعامل معه في الاحتجاز؛</w:t>
      </w:r>
    </w:p>
    <w:p w:rsidR="00823B8F" w:rsidRPr="00C1733B" w:rsidRDefault="009037B3" w:rsidP="009037B3">
      <w:pPr>
        <w:pStyle w:val="SingleTxtGA"/>
        <w:rPr>
          <w:rFonts w:eastAsia="Malgun Gothic" w:hint="cs"/>
          <w:b/>
          <w:bCs/>
          <w:kern w:val="2"/>
          <w:rtl/>
          <w:lang w:eastAsia="ko-KR"/>
        </w:rPr>
      </w:pPr>
      <w:r>
        <w:rPr>
          <w:rFonts w:eastAsia="Malgun Gothic" w:hint="cs"/>
          <w:b/>
          <w:bCs/>
          <w:kern w:val="2"/>
          <w:rtl/>
          <w:lang w:eastAsia="ko-KR"/>
        </w:rPr>
        <w:tab/>
      </w:r>
      <w:r w:rsidR="00823B8F" w:rsidRPr="00C1733B">
        <w:rPr>
          <w:rFonts w:eastAsia="Malgun Gothic"/>
          <w:b/>
          <w:bCs/>
          <w:kern w:val="2"/>
          <w:rtl/>
          <w:lang w:eastAsia="ko-KR"/>
        </w:rPr>
        <w:t>(ج)</w:t>
      </w:r>
      <w:r>
        <w:rPr>
          <w:rFonts w:eastAsia="Malgun Gothic" w:hint="cs"/>
          <w:b/>
          <w:bCs/>
          <w:kern w:val="2"/>
          <w:rtl/>
          <w:lang w:eastAsia="ko-KR"/>
        </w:rPr>
        <w:tab/>
      </w:r>
      <w:r w:rsidR="00823B8F" w:rsidRPr="00C1733B">
        <w:rPr>
          <w:rFonts w:eastAsia="Malgun Gothic"/>
          <w:b/>
          <w:bCs/>
          <w:kern w:val="2"/>
          <w:rtl/>
          <w:lang w:eastAsia="ko-KR"/>
        </w:rPr>
        <w:t>وضع حد لمدة احتجاز المهاجرين والقيام بجميع الخطوات اللازمة لمنع حالات الاحتجاز لأجل غير مسمى بحكم الواقع.</w:t>
      </w:r>
    </w:p>
    <w:p w:rsidR="00823B8F" w:rsidRPr="00C1733B" w:rsidRDefault="009037B3" w:rsidP="00124AEF">
      <w:pPr>
        <w:pStyle w:val="H23GA"/>
        <w:rPr>
          <w:rFonts w:hint="cs"/>
        </w:rPr>
      </w:pPr>
      <w:r>
        <w:rPr>
          <w:rFonts w:hint="cs"/>
          <w:rtl/>
        </w:rPr>
        <w:tab/>
      </w:r>
      <w:r>
        <w:rPr>
          <w:rFonts w:hint="cs"/>
          <w:rtl/>
        </w:rPr>
        <w:tab/>
      </w:r>
      <w:r w:rsidR="00823B8F" w:rsidRPr="00C1733B">
        <w:rPr>
          <w:rFonts w:hint="cs"/>
          <w:rtl/>
        </w:rPr>
        <w:t>ظروف الاحتجاز</w:t>
      </w:r>
    </w:p>
    <w:p w:rsidR="00823B8F" w:rsidRPr="009037B3" w:rsidRDefault="009037B3" w:rsidP="009037B3">
      <w:pPr>
        <w:pStyle w:val="SingleTxtGA"/>
        <w:rPr>
          <w:rFonts w:hint="cs"/>
          <w:spacing w:val="-2"/>
          <w:rtl/>
          <w:lang w:eastAsia="en-GB"/>
        </w:rPr>
      </w:pPr>
      <w:r>
        <w:rPr>
          <w:rFonts w:hint="cs"/>
          <w:rtl/>
          <w:lang w:eastAsia="en-GB"/>
        </w:rPr>
        <w:t>(</w:t>
      </w:r>
      <w:r w:rsidR="00823B8F" w:rsidRPr="00C1733B">
        <w:rPr>
          <w:rtl/>
          <w:lang w:eastAsia="en-GB"/>
        </w:rPr>
        <w:t>31</w:t>
      </w:r>
      <w:r>
        <w:rPr>
          <w:rFonts w:hint="cs"/>
          <w:rtl/>
          <w:lang w:eastAsia="en-GB"/>
        </w:rPr>
        <w:t>)</w:t>
      </w:r>
      <w:r>
        <w:rPr>
          <w:rFonts w:hint="cs"/>
          <w:rtl/>
          <w:lang w:eastAsia="en-GB"/>
        </w:rPr>
        <w:tab/>
      </w:r>
      <w:r w:rsidR="00823B8F" w:rsidRPr="00C1733B">
        <w:rPr>
          <w:rtl/>
          <w:lang w:eastAsia="en-GB"/>
        </w:rPr>
        <w:t xml:space="preserve">تشعر اللجنة بالقلق إزاء الزيادة المطردة في عدد نزلاء السجون خلال العقد الماضي ومشكلة الاكتظاظ </w:t>
      </w:r>
      <w:r w:rsidR="00823B8F" w:rsidRPr="00C1733B">
        <w:rPr>
          <w:rFonts w:hint="cs"/>
          <w:rtl/>
          <w:lang w:eastAsia="en-GB"/>
        </w:rPr>
        <w:t>وتأثيرها</w:t>
      </w:r>
      <w:r w:rsidR="00823B8F" w:rsidRPr="00C1733B">
        <w:rPr>
          <w:rtl/>
          <w:lang w:eastAsia="en-GB"/>
        </w:rPr>
        <w:t xml:space="preserve"> على معدل الانتحار، </w:t>
      </w:r>
      <w:r w:rsidR="00823B8F" w:rsidRPr="00C1733B">
        <w:rPr>
          <w:rFonts w:hint="cs"/>
          <w:rtl/>
          <w:lang w:eastAsia="en-GB"/>
        </w:rPr>
        <w:t>وحوادث</w:t>
      </w:r>
      <w:r w:rsidR="00823B8F" w:rsidRPr="00C1733B">
        <w:rPr>
          <w:rtl/>
          <w:lang w:eastAsia="en-GB"/>
        </w:rPr>
        <w:t xml:space="preserve"> إلحاق الأذى بالنفس، والعنف بين السجناء و</w:t>
      </w:r>
      <w:r w:rsidR="00823B8F" w:rsidRPr="00C1733B">
        <w:rPr>
          <w:rFonts w:hint="cs"/>
          <w:rtl/>
          <w:lang w:eastAsia="en-GB"/>
        </w:rPr>
        <w:t xml:space="preserve">على </w:t>
      </w:r>
      <w:r w:rsidR="00823B8F" w:rsidRPr="00C1733B">
        <w:rPr>
          <w:rtl/>
          <w:lang w:eastAsia="en-GB"/>
        </w:rPr>
        <w:t xml:space="preserve">الاستفادة من الأنشطة الترفيهية. وتكرر اللجنة الإعراب عن الشواغل التي </w:t>
      </w:r>
      <w:r w:rsidR="00823B8F" w:rsidRPr="009037B3">
        <w:rPr>
          <w:spacing w:val="-2"/>
          <w:rtl/>
          <w:lang w:eastAsia="en-GB"/>
        </w:rPr>
        <w:t>أعربت عنها الآلية الوقائية الوطنية في عام 2010 بشأن أوج</w:t>
      </w:r>
      <w:r>
        <w:rPr>
          <w:spacing w:val="-2"/>
          <w:rtl/>
          <w:lang w:eastAsia="en-GB"/>
        </w:rPr>
        <w:t xml:space="preserve">ه القصور في الحصول على الرعاية </w:t>
      </w:r>
      <w:r w:rsidR="00823B8F" w:rsidRPr="009037B3">
        <w:rPr>
          <w:spacing w:val="-2"/>
          <w:rtl/>
          <w:lang w:eastAsia="en-GB"/>
        </w:rPr>
        <w:t>الصحية العقلية المناسبة وإيداع الأطفال في هذه المرافق</w:t>
      </w:r>
      <w:r w:rsidR="00823B8F" w:rsidRPr="009037B3">
        <w:rPr>
          <w:rFonts w:hint="cs"/>
          <w:spacing w:val="-2"/>
          <w:rtl/>
          <w:lang w:eastAsia="en-GB"/>
        </w:rPr>
        <w:t xml:space="preserve"> مما يضر بهم</w:t>
      </w:r>
      <w:r w:rsidR="00823B8F" w:rsidRPr="009037B3">
        <w:rPr>
          <w:spacing w:val="-2"/>
          <w:rtl/>
          <w:lang w:eastAsia="en-GB"/>
        </w:rPr>
        <w:t xml:space="preserve">. وتشعر بقلق بالغ إزاء احتمال تعرض الأطفال ذوي الإعاقة الذهنية في بعض الحالات، للإيداع في مراكز الشرطة في </w:t>
      </w:r>
      <w:r>
        <w:rPr>
          <w:rFonts w:hint="cs"/>
          <w:spacing w:val="-2"/>
          <w:rtl/>
          <w:lang w:eastAsia="en-GB"/>
        </w:rPr>
        <w:t>إ</w:t>
      </w:r>
      <w:r w:rsidR="00823B8F" w:rsidRPr="009037B3">
        <w:rPr>
          <w:spacing w:val="-2"/>
          <w:rtl/>
          <w:lang w:eastAsia="en-GB"/>
        </w:rPr>
        <w:t>نكلترا حرصا</w:t>
      </w:r>
      <w:r>
        <w:rPr>
          <w:rFonts w:hint="cs"/>
          <w:spacing w:val="-2"/>
          <w:rtl/>
          <w:lang w:eastAsia="en-GB"/>
        </w:rPr>
        <w:t>ً</w:t>
      </w:r>
      <w:r w:rsidR="00823B8F" w:rsidRPr="009037B3">
        <w:rPr>
          <w:spacing w:val="-2"/>
          <w:rtl/>
          <w:lang w:eastAsia="en-GB"/>
        </w:rPr>
        <w:t xml:space="preserve"> على "مصلحتهم الخاصة أو لحمايتهم </w:t>
      </w:r>
      <w:r w:rsidRPr="009037B3">
        <w:rPr>
          <w:spacing w:val="-2"/>
          <w:rtl/>
          <w:lang w:eastAsia="en-GB"/>
        </w:rPr>
        <w:t>من الآخرين" (المادتان 11 و16).</w:t>
      </w:r>
    </w:p>
    <w:p w:rsidR="00823B8F" w:rsidRPr="00C1733B" w:rsidRDefault="009037B3" w:rsidP="00C54611">
      <w:pPr>
        <w:pStyle w:val="SingleTxtGA"/>
        <w:rPr>
          <w:rFonts w:eastAsia="Calibri" w:hint="cs"/>
          <w:b/>
          <w:bCs/>
          <w:rtl/>
          <w:lang w:eastAsia="en-GB"/>
        </w:rPr>
      </w:pPr>
      <w:r>
        <w:rPr>
          <w:rFonts w:eastAsia="Calibri" w:hint="cs"/>
          <w:b/>
          <w:bCs/>
          <w:rtl/>
          <w:lang w:eastAsia="en-GB"/>
        </w:rPr>
        <w:tab/>
      </w:r>
      <w:r w:rsidR="00823B8F" w:rsidRPr="00C1733B">
        <w:rPr>
          <w:rFonts w:eastAsia="Calibri"/>
          <w:b/>
          <w:bCs/>
          <w:rtl/>
          <w:lang w:eastAsia="en-GB"/>
        </w:rPr>
        <w:t>تحث اللجنة الدولة الطرف على تكثيف جهودها وتحديد أهداف ملموسة للحد من ارتفاع مستوى الحبس والاكتظاظ في أماكن الاحتجاز، لا سيما من خلال توسيع نطاق اللجوء إلى التدابير غير الاحتجازية كبديل عن الحبس، وذلك عملا</w:t>
      </w:r>
      <w:r w:rsidR="00255B48">
        <w:rPr>
          <w:rFonts w:eastAsia="Calibri" w:hint="cs"/>
          <w:b/>
          <w:bCs/>
          <w:rtl/>
          <w:lang w:eastAsia="en-GB"/>
        </w:rPr>
        <w:t>ً</w:t>
      </w:r>
      <w:r w:rsidR="00823B8F" w:rsidRPr="00C1733B">
        <w:rPr>
          <w:rFonts w:eastAsia="Calibri"/>
          <w:b/>
          <w:bCs/>
          <w:rtl/>
          <w:lang w:eastAsia="en-GB"/>
        </w:rPr>
        <w:t xml:space="preserve"> بقواعد الأمم المتحدة النموذجية الدنيا للتدابير غير الاحتجازية (قواعد طوكيو) (قرار الجمعية العامة رقم 45/110، المرفق). وتوصي أيضا</w:t>
      </w:r>
      <w:r w:rsidR="002F691F">
        <w:rPr>
          <w:rFonts w:eastAsia="Calibri" w:hint="cs"/>
          <w:b/>
          <w:bCs/>
          <w:rtl/>
          <w:lang w:eastAsia="en-GB"/>
        </w:rPr>
        <w:t>ً</w:t>
      </w:r>
      <w:r w:rsidR="00823B8F" w:rsidRPr="00C1733B">
        <w:rPr>
          <w:rFonts w:eastAsia="Calibri"/>
          <w:b/>
          <w:bCs/>
          <w:rtl/>
          <w:lang w:eastAsia="en-GB"/>
        </w:rPr>
        <w:t xml:space="preserve"> بأن تعجل الدولة الطرف بتنفيذ الإصلاحات التي أجريت بغية تقليص معدل معاودة الإجرام. وينبغي للدولة الطرف أن تضمن عدم تعرض الأطفال ذوي الإعاقة الذهنية في أي حال من الأحوال، للاحتجاز في مراكز الشرطة، وإحالتهم عوضا</w:t>
      </w:r>
      <w:r>
        <w:rPr>
          <w:rFonts w:eastAsia="Calibri" w:hint="cs"/>
          <w:b/>
          <w:bCs/>
          <w:rtl/>
          <w:lang w:eastAsia="en-GB"/>
        </w:rPr>
        <w:t>ً</w:t>
      </w:r>
      <w:r w:rsidR="00823B8F" w:rsidRPr="00C1733B">
        <w:rPr>
          <w:rFonts w:eastAsia="Calibri"/>
          <w:b/>
          <w:bCs/>
          <w:rtl/>
          <w:lang w:eastAsia="en-GB"/>
        </w:rPr>
        <w:t xml:space="preserve"> عن ذلك، إلى المؤسسات الصحية المناسبة. وينبغي لها أن توفر للسجناء الذين تتطلب حالتهم إشرافاً وعلاجاً في إطار الطب النفسي</w:t>
      </w:r>
      <w:r w:rsidR="00823B8F" w:rsidRPr="00C1733B">
        <w:rPr>
          <w:rFonts w:eastAsia="Calibri" w:hint="cs"/>
          <w:b/>
          <w:bCs/>
          <w:rtl/>
          <w:lang w:eastAsia="en-GB"/>
        </w:rPr>
        <w:t>،</w:t>
      </w:r>
      <w:r w:rsidR="00823B8F" w:rsidRPr="00C1733B">
        <w:rPr>
          <w:rFonts w:eastAsia="Calibri"/>
          <w:b/>
          <w:bCs/>
          <w:rtl/>
          <w:lang w:eastAsia="en-GB"/>
        </w:rPr>
        <w:t xml:space="preserve"> المأوى اللائق والدعم النفسي. وتوصي اللجنة أيضا</w:t>
      </w:r>
      <w:r w:rsidR="002F691F">
        <w:rPr>
          <w:rFonts w:eastAsia="Calibri" w:hint="cs"/>
          <w:b/>
          <w:bCs/>
          <w:rtl/>
          <w:lang w:eastAsia="en-GB"/>
        </w:rPr>
        <w:t>ً</w:t>
      </w:r>
      <w:r w:rsidR="00823B8F" w:rsidRPr="00C1733B">
        <w:rPr>
          <w:rFonts w:eastAsia="Calibri"/>
          <w:b/>
          <w:bCs/>
          <w:rtl/>
          <w:lang w:eastAsia="en-GB"/>
        </w:rPr>
        <w:t xml:space="preserve"> بأن تكثف الدولة الطرف جهودها لمنع العنف وإلحاق ا</w:t>
      </w:r>
      <w:r>
        <w:rPr>
          <w:rFonts w:eastAsia="Calibri"/>
          <w:b/>
          <w:bCs/>
          <w:rtl/>
          <w:lang w:eastAsia="en-GB"/>
        </w:rPr>
        <w:t xml:space="preserve">لأذى بالنفس في أماكن الاحتجاز. </w:t>
      </w:r>
    </w:p>
    <w:p w:rsidR="00823B8F" w:rsidRPr="00C1733B" w:rsidRDefault="009037B3" w:rsidP="00124AEF">
      <w:pPr>
        <w:pStyle w:val="H23GA"/>
        <w:rPr>
          <w:rFonts w:hint="cs"/>
        </w:rPr>
      </w:pPr>
      <w:r>
        <w:rPr>
          <w:rFonts w:hint="cs"/>
          <w:rtl/>
        </w:rPr>
        <w:tab/>
      </w:r>
      <w:r>
        <w:rPr>
          <w:rFonts w:hint="cs"/>
          <w:rtl/>
        </w:rPr>
        <w:tab/>
      </w:r>
      <w:r w:rsidR="00823B8F" w:rsidRPr="00C1733B">
        <w:rPr>
          <w:rFonts w:hint="cs"/>
          <w:rtl/>
        </w:rPr>
        <w:t xml:space="preserve">النساء المجرمات </w:t>
      </w:r>
    </w:p>
    <w:p w:rsidR="00823B8F" w:rsidRPr="00C1733B" w:rsidRDefault="009037B3" w:rsidP="004C3E0C">
      <w:pPr>
        <w:pStyle w:val="SingleTxtGA"/>
        <w:spacing w:line="360" w:lineRule="exact"/>
        <w:rPr>
          <w:lang w:eastAsia="en-GB"/>
        </w:rPr>
      </w:pPr>
      <w:r>
        <w:rPr>
          <w:rFonts w:hint="cs"/>
          <w:rtl/>
          <w:lang w:eastAsia="en-GB"/>
        </w:rPr>
        <w:t>(</w:t>
      </w:r>
      <w:r w:rsidR="00823B8F" w:rsidRPr="00C1733B">
        <w:rPr>
          <w:rtl/>
          <w:lang w:eastAsia="en-GB"/>
        </w:rPr>
        <w:t>32</w:t>
      </w:r>
      <w:r>
        <w:rPr>
          <w:rFonts w:hint="cs"/>
          <w:rtl/>
          <w:lang w:eastAsia="en-GB"/>
        </w:rPr>
        <w:t>)</w:t>
      </w:r>
      <w:r>
        <w:rPr>
          <w:rFonts w:hint="cs"/>
          <w:rtl/>
          <w:lang w:eastAsia="en-GB"/>
        </w:rPr>
        <w:tab/>
      </w:r>
      <w:r w:rsidR="00823B8F" w:rsidRPr="00C1733B">
        <w:rPr>
          <w:rtl/>
          <w:lang w:eastAsia="en-GB"/>
        </w:rPr>
        <w:t xml:space="preserve">ترحب اللجنة باعتماد استراتيجيات جديدة تتعلق </w:t>
      </w:r>
      <w:r w:rsidR="00823B8F" w:rsidRPr="00C1733B">
        <w:rPr>
          <w:rFonts w:hint="cs"/>
          <w:rtl/>
          <w:lang w:eastAsia="en-GB"/>
        </w:rPr>
        <w:t>بالنساء الجانحات</w:t>
      </w:r>
      <w:r w:rsidR="00823B8F" w:rsidRPr="00C1733B">
        <w:rPr>
          <w:rtl/>
          <w:lang w:eastAsia="en-GB"/>
        </w:rPr>
        <w:t xml:space="preserve"> في إنكلترا وويلز وأيرلندا الشمالية، </w:t>
      </w:r>
      <w:r w:rsidR="00823B8F" w:rsidRPr="00C1733B">
        <w:rPr>
          <w:rFonts w:hint="cs"/>
          <w:rtl/>
          <w:lang w:eastAsia="en-GB"/>
        </w:rPr>
        <w:t>ب</w:t>
      </w:r>
      <w:r w:rsidR="00823B8F" w:rsidRPr="00C1733B">
        <w:rPr>
          <w:rtl/>
          <w:lang w:eastAsia="en-GB"/>
        </w:rPr>
        <w:t>هدف تقليص عدد</w:t>
      </w:r>
      <w:r w:rsidR="00823B8F" w:rsidRPr="00C1733B">
        <w:rPr>
          <w:rFonts w:hint="cs"/>
          <w:rtl/>
          <w:lang w:eastAsia="en-GB"/>
        </w:rPr>
        <w:t xml:space="preserve"> النساء في السجون وتوسيع نطاق فرض عقوبات خدمة المجتمع </w:t>
      </w:r>
      <w:r w:rsidR="00823B8F" w:rsidRPr="00C1733B">
        <w:rPr>
          <w:rtl/>
          <w:lang w:eastAsia="en-GB"/>
        </w:rPr>
        <w:t xml:space="preserve">مع </w:t>
      </w:r>
      <w:r w:rsidR="00823B8F" w:rsidRPr="00C1733B">
        <w:rPr>
          <w:rFonts w:hint="cs"/>
          <w:rtl/>
          <w:lang w:eastAsia="en-GB"/>
        </w:rPr>
        <w:t>توفير</w:t>
      </w:r>
      <w:r w:rsidR="00823B8F" w:rsidRPr="00C1733B">
        <w:rPr>
          <w:rtl/>
          <w:lang w:eastAsia="en-GB"/>
        </w:rPr>
        <w:t xml:space="preserve"> خدمات </w:t>
      </w:r>
      <w:r w:rsidR="00823B8F" w:rsidRPr="00C1733B">
        <w:rPr>
          <w:rFonts w:hint="cs"/>
          <w:rtl/>
          <w:lang w:eastAsia="en-GB"/>
        </w:rPr>
        <w:t>ال</w:t>
      </w:r>
      <w:r w:rsidR="00823B8F" w:rsidRPr="00C1733B">
        <w:rPr>
          <w:rtl/>
          <w:lang w:eastAsia="en-GB"/>
        </w:rPr>
        <w:t xml:space="preserve">دعم وإعادة </w:t>
      </w:r>
      <w:r w:rsidR="00823B8F" w:rsidRPr="00C1733B">
        <w:rPr>
          <w:rFonts w:hint="cs"/>
          <w:rtl/>
          <w:lang w:eastAsia="en-GB"/>
        </w:rPr>
        <w:t>ال</w:t>
      </w:r>
      <w:r w:rsidR="00823B8F" w:rsidRPr="00C1733B">
        <w:rPr>
          <w:rtl/>
          <w:lang w:eastAsia="en-GB"/>
        </w:rPr>
        <w:t xml:space="preserve">تأهيل لهن. وترحب كذلك بخطة وزير العدل في </w:t>
      </w:r>
      <w:r>
        <w:rPr>
          <w:rFonts w:hint="cs"/>
          <w:rtl/>
          <w:lang w:eastAsia="en-GB"/>
        </w:rPr>
        <w:t>أ</w:t>
      </w:r>
      <w:r w:rsidR="00823B8F" w:rsidRPr="00C1733B">
        <w:rPr>
          <w:rtl/>
          <w:lang w:eastAsia="en-GB"/>
        </w:rPr>
        <w:t>يرلندا الشمالية لبناء مرفق احتجاز منفصل للسجينات في</w:t>
      </w:r>
      <w:r w:rsidR="00823B8F" w:rsidRPr="00C1733B">
        <w:rPr>
          <w:rFonts w:hint="cs"/>
          <w:rtl/>
          <w:lang w:eastAsia="en-GB"/>
        </w:rPr>
        <w:t xml:space="preserve"> </w:t>
      </w:r>
      <w:r>
        <w:rPr>
          <w:rFonts w:hint="cs"/>
          <w:rtl/>
          <w:lang w:eastAsia="en-GB"/>
        </w:rPr>
        <w:t>أ</w:t>
      </w:r>
      <w:r w:rsidR="00823B8F" w:rsidRPr="00C1733B">
        <w:rPr>
          <w:rtl/>
          <w:lang w:eastAsia="en-GB"/>
        </w:rPr>
        <w:t>يرلندا الشمالية، و</w:t>
      </w:r>
      <w:r w:rsidR="00823B8F" w:rsidRPr="00C1733B">
        <w:rPr>
          <w:rFonts w:hint="cs"/>
          <w:rtl/>
          <w:lang w:eastAsia="en-GB"/>
        </w:rPr>
        <w:t>ب</w:t>
      </w:r>
      <w:r w:rsidR="00823B8F" w:rsidRPr="00C1733B">
        <w:rPr>
          <w:rtl/>
          <w:lang w:eastAsia="en-GB"/>
        </w:rPr>
        <w:t xml:space="preserve">الخطوات التي اتخذتها الحكومة الاسكتلندية لتنفيذ توصيات اللجنة المعنية بالنساء السجينات. لكن اللجنة تشعر بالقلق </w:t>
      </w:r>
      <w:r w:rsidR="00823B8F" w:rsidRPr="00C1733B">
        <w:rPr>
          <w:rFonts w:hint="cs"/>
          <w:rtl/>
          <w:lang w:eastAsia="en-GB"/>
        </w:rPr>
        <w:t>إزاء</w:t>
      </w:r>
      <w:r>
        <w:rPr>
          <w:rtl/>
          <w:lang w:eastAsia="en-GB"/>
        </w:rPr>
        <w:t xml:space="preserve"> </w:t>
      </w:r>
      <w:r w:rsidR="00823B8F" w:rsidRPr="00C1733B">
        <w:rPr>
          <w:rFonts w:hint="cs"/>
          <w:rtl/>
          <w:lang w:eastAsia="en-GB"/>
        </w:rPr>
        <w:t>زيادة</w:t>
      </w:r>
      <w:r w:rsidR="00823B8F" w:rsidRPr="00C1733B">
        <w:rPr>
          <w:rtl/>
          <w:lang w:eastAsia="en-GB"/>
        </w:rPr>
        <w:t xml:space="preserve"> عدد السجينات </w:t>
      </w:r>
      <w:r w:rsidR="00823B8F" w:rsidRPr="00C1733B">
        <w:rPr>
          <w:rFonts w:hint="cs"/>
          <w:rtl/>
          <w:lang w:eastAsia="en-GB"/>
        </w:rPr>
        <w:t xml:space="preserve">بشكل غير مسبوق </w:t>
      </w:r>
      <w:r w:rsidR="00823B8F" w:rsidRPr="00C1733B">
        <w:rPr>
          <w:rtl/>
          <w:lang w:eastAsia="en-GB"/>
        </w:rPr>
        <w:t>خلال السنوات الخمس عشرة الماضية، و</w:t>
      </w:r>
      <w:r w:rsidR="00823B8F" w:rsidRPr="00C1733B">
        <w:rPr>
          <w:rFonts w:hint="cs"/>
          <w:rtl/>
          <w:lang w:eastAsia="en-GB"/>
        </w:rPr>
        <w:t xml:space="preserve">إزاء ورود </w:t>
      </w:r>
      <w:r w:rsidR="00823B8F" w:rsidRPr="00C1733B">
        <w:rPr>
          <w:rtl/>
          <w:lang w:eastAsia="en-GB"/>
        </w:rPr>
        <w:t xml:space="preserve">معلومات تفيد بأن حوالي نصف هؤلاء النساء يعانين من </w:t>
      </w:r>
      <w:r w:rsidR="00823B8F" w:rsidRPr="00C1733B">
        <w:rPr>
          <w:rFonts w:hint="cs"/>
          <w:rtl/>
          <w:lang w:eastAsia="en-GB"/>
        </w:rPr>
        <w:t>اضطرابات</w:t>
      </w:r>
      <w:r w:rsidR="00823B8F" w:rsidRPr="00C1733B">
        <w:rPr>
          <w:rtl/>
          <w:lang w:eastAsia="en-GB"/>
        </w:rPr>
        <w:t xml:space="preserve"> عقلية </w:t>
      </w:r>
      <w:r w:rsidR="00823B8F" w:rsidRPr="00C1733B">
        <w:rPr>
          <w:rFonts w:hint="cs"/>
          <w:rtl/>
          <w:lang w:eastAsia="en-GB"/>
        </w:rPr>
        <w:t>حادة</w:t>
      </w:r>
      <w:r w:rsidR="00823B8F" w:rsidRPr="00C1733B">
        <w:rPr>
          <w:rtl/>
          <w:lang w:eastAsia="en-GB"/>
        </w:rPr>
        <w:t xml:space="preserve"> ومزمنة، و</w:t>
      </w:r>
      <w:r w:rsidR="00823B8F" w:rsidRPr="00C1733B">
        <w:rPr>
          <w:rFonts w:hint="cs"/>
          <w:rtl/>
          <w:lang w:eastAsia="en-GB"/>
        </w:rPr>
        <w:t>إزاء ارتفاع نسبة حالات إيذاء النفس بين ا</w:t>
      </w:r>
      <w:r w:rsidR="00823B8F" w:rsidRPr="00C1733B">
        <w:rPr>
          <w:rtl/>
          <w:lang w:eastAsia="en-GB"/>
        </w:rPr>
        <w:t xml:space="preserve">لسجينات </w:t>
      </w:r>
      <w:r w:rsidR="00823B8F" w:rsidRPr="00C1733B">
        <w:rPr>
          <w:rFonts w:hint="cs"/>
          <w:rtl/>
          <w:lang w:eastAsia="en-GB"/>
        </w:rPr>
        <w:t>قياسا إلى غيرهن</w:t>
      </w:r>
      <w:r w:rsidR="00823B8F" w:rsidRPr="00C1733B">
        <w:rPr>
          <w:rtl/>
          <w:lang w:eastAsia="en-GB"/>
        </w:rPr>
        <w:t xml:space="preserve"> (المادتان 11 و16).</w:t>
      </w:r>
    </w:p>
    <w:p w:rsidR="00823B8F" w:rsidRPr="009037B3" w:rsidRDefault="009037B3" w:rsidP="004C3E0C">
      <w:pPr>
        <w:pStyle w:val="SingleTxtGA"/>
        <w:spacing w:line="360" w:lineRule="exact"/>
        <w:rPr>
          <w:rFonts w:ascii="Times New Roman Bold" w:eastAsia="Calibri" w:hAnsi="Times New Roman Bold"/>
          <w:b/>
          <w:bCs/>
          <w:spacing w:val="-2"/>
          <w:lang w:eastAsia="en-GB"/>
        </w:rPr>
      </w:pPr>
      <w:r w:rsidRPr="009037B3">
        <w:rPr>
          <w:rFonts w:ascii="Times New Roman Bold" w:eastAsia="Calibri" w:hAnsi="Times New Roman Bold" w:hint="cs"/>
          <w:b/>
          <w:bCs/>
          <w:spacing w:val="-2"/>
          <w:rtl/>
          <w:lang w:eastAsia="en-GB"/>
        </w:rPr>
        <w:tab/>
      </w:r>
      <w:r w:rsidR="00823B8F" w:rsidRPr="009037B3">
        <w:rPr>
          <w:rFonts w:ascii="Times New Roman Bold" w:eastAsia="Calibri" w:hAnsi="Times New Roman Bold"/>
          <w:b/>
          <w:bCs/>
          <w:spacing w:val="-2"/>
          <w:rtl/>
          <w:lang w:eastAsia="en-GB"/>
        </w:rPr>
        <w:t xml:space="preserve">توصي اللجنة بأن </w:t>
      </w:r>
      <w:r w:rsidR="00823B8F" w:rsidRPr="009037B3">
        <w:rPr>
          <w:rFonts w:ascii="Times New Roman Bold" w:eastAsia="Calibri" w:hAnsi="Times New Roman Bold" w:hint="cs"/>
          <w:b/>
          <w:bCs/>
          <w:spacing w:val="-2"/>
          <w:rtl/>
          <w:lang w:eastAsia="en-GB"/>
        </w:rPr>
        <w:t>تشرع</w:t>
      </w:r>
      <w:r w:rsidR="00823B8F" w:rsidRPr="009037B3">
        <w:rPr>
          <w:rFonts w:ascii="Times New Roman Bold" w:eastAsia="Calibri" w:hAnsi="Times New Roman Bold"/>
          <w:b/>
          <w:bCs/>
          <w:spacing w:val="-2"/>
          <w:rtl/>
          <w:lang w:eastAsia="en-GB"/>
        </w:rPr>
        <w:t xml:space="preserve"> الدولة الطرف دون مزيد من </w:t>
      </w:r>
      <w:r w:rsidR="00823B8F" w:rsidRPr="009037B3">
        <w:rPr>
          <w:rFonts w:ascii="Times New Roman Bold" w:eastAsia="Calibri" w:hAnsi="Times New Roman Bold" w:hint="cs"/>
          <w:b/>
          <w:bCs/>
          <w:spacing w:val="-2"/>
          <w:rtl/>
          <w:lang w:eastAsia="en-GB"/>
        </w:rPr>
        <w:t>التأخير</w:t>
      </w:r>
      <w:r w:rsidR="00823B8F" w:rsidRPr="009037B3">
        <w:rPr>
          <w:rFonts w:ascii="Times New Roman Bold" w:eastAsia="Calibri" w:hAnsi="Times New Roman Bold"/>
          <w:b/>
          <w:bCs/>
          <w:spacing w:val="-2"/>
          <w:rtl/>
          <w:lang w:eastAsia="en-GB"/>
        </w:rPr>
        <w:t xml:space="preserve"> </w:t>
      </w:r>
      <w:r w:rsidR="00823B8F" w:rsidRPr="009037B3">
        <w:rPr>
          <w:rFonts w:ascii="Times New Roman Bold" w:eastAsia="Calibri" w:hAnsi="Times New Roman Bold" w:hint="cs"/>
          <w:b/>
          <w:bCs/>
          <w:spacing w:val="-2"/>
          <w:rtl/>
          <w:lang w:eastAsia="en-GB"/>
        </w:rPr>
        <w:t>في بناء</w:t>
      </w:r>
      <w:r w:rsidR="00823B8F" w:rsidRPr="009037B3">
        <w:rPr>
          <w:rFonts w:ascii="Times New Roman Bold" w:eastAsia="Calibri" w:hAnsi="Times New Roman Bold"/>
          <w:b/>
          <w:bCs/>
          <w:spacing w:val="-2"/>
          <w:rtl/>
          <w:lang w:eastAsia="en-GB"/>
        </w:rPr>
        <w:t xml:space="preserve"> مرفق ا</w:t>
      </w:r>
      <w:r w:rsidR="00823B8F" w:rsidRPr="009037B3">
        <w:rPr>
          <w:rFonts w:ascii="Times New Roman Bold" w:eastAsia="Calibri" w:hAnsi="Times New Roman Bold" w:hint="cs"/>
          <w:b/>
          <w:bCs/>
          <w:spacing w:val="-2"/>
          <w:rtl/>
          <w:lang w:eastAsia="en-GB"/>
        </w:rPr>
        <w:t>لا</w:t>
      </w:r>
      <w:r w:rsidR="00823B8F" w:rsidRPr="009037B3">
        <w:rPr>
          <w:rFonts w:ascii="Times New Roman Bold" w:eastAsia="Calibri" w:hAnsi="Times New Roman Bold"/>
          <w:b/>
          <w:bCs/>
          <w:spacing w:val="-2"/>
          <w:rtl/>
          <w:lang w:eastAsia="en-GB"/>
        </w:rPr>
        <w:t xml:space="preserve">حتجاز </w:t>
      </w:r>
      <w:r w:rsidR="00823B8F" w:rsidRPr="009037B3">
        <w:rPr>
          <w:rFonts w:ascii="Times New Roman Bold" w:eastAsia="Calibri" w:hAnsi="Times New Roman Bold" w:hint="cs"/>
          <w:b/>
          <w:bCs/>
          <w:spacing w:val="-2"/>
          <w:rtl/>
          <w:lang w:eastAsia="en-GB"/>
        </w:rPr>
        <w:t>ال</w:t>
      </w:r>
      <w:r w:rsidR="00823B8F" w:rsidRPr="009037B3">
        <w:rPr>
          <w:rFonts w:ascii="Times New Roman Bold" w:eastAsia="Calibri" w:hAnsi="Times New Roman Bold"/>
          <w:b/>
          <w:bCs/>
          <w:spacing w:val="-2"/>
          <w:rtl/>
          <w:lang w:eastAsia="en-GB"/>
        </w:rPr>
        <w:t>جديد ل</w:t>
      </w:r>
      <w:r w:rsidR="00823B8F" w:rsidRPr="009037B3">
        <w:rPr>
          <w:rFonts w:ascii="Times New Roman Bold" w:eastAsia="Calibri" w:hAnsi="Times New Roman Bold" w:hint="cs"/>
          <w:b/>
          <w:bCs/>
          <w:spacing w:val="-2"/>
          <w:rtl/>
          <w:lang w:eastAsia="en-GB"/>
        </w:rPr>
        <w:t xml:space="preserve">إيواء السجينات </w:t>
      </w:r>
      <w:r w:rsidR="00823B8F" w:rsidRPr="009037B3">
        <w:rPr>
          <w:rFonts w:ascii="Times New Roman Bold" w:eastAsia="Calibri" w:hAnsi="Times New Roman Bold"/>
          <w:b/>
          <w:bCs/>
          <w:spacing w:val="-2"/>
          <w:rtl/>
          <w:lang w:eastAsia="en-GB"/>
        </w:rPr>
        <w:t xml:space="preserve">في </w:t>
      </w:r>
      <w:r w:rsidR="00255B48">
        <w:rPr>
          <w:rFonts w:ascii="Times New Roman Bold" w:eastAsia="Calibri" w:hAnsi="Times New Roman Bold" w:hint="cs"/>
          <w:b/>
          <w:bCs/>
          <w:spacing w:val="-2"/>
          <w:rtl/>
          <w:lang w:eastAsia="en-GB"/>
        </w:rPr>
        <w:t>أ</w:t>
      </w:r>
      <w:r w:rsidR="00823B8F" w:rsidRPr="009037B3">
        <w:rPr>
          <w:rFonts w:ascii="Times New Roman Bold" w:eastAsia="Calibri" w:hAnsi="Times New Roman Bold" w:hint="cs"/>
          <w:b/>
          <w:bCs/>
          <w:spacing w:val="-2"/>
          <w:rtl/>
          <w:lang w:eastAsia="en-GB"/>
        </w:rPr>
        <w:t>ي</w:t>
      </w:r>
      <w:r w:rsidR="00823B8F" w:rsidRPr="009037B3">
        <w:rPr>
          <w:rFonts w:ascii="Times New Roman Bold" w:eastAsia="Calibri" w:hAnsi="Times New Roman Bold"/>
          <w:b/>
          <w:bCs/>
          <w:spacing w:val="-2"/>
          <w:rtl/>
          <w:lang w:eastAsia="en-GB"/>
        </w:rPr>
        <w:t xml:space="preserve">رلندا الشمالية وأن </w:t>
      </w:r>
      <w:r w:rsidR="00823B8F" w:rsidRPr="009037B3">
        <w:rPr>
          <w:rFonts w:ascii="Times New Roman Bold" w:eastAsia="Calibri" w:hAnsi="Times New Roman Bold" w:hint="cs"/>
          <w:b/>
          <w:bCs/>
          <w:spacing w:val="-2"/>
          <w:rtl/>
          <w:lang w:eastAsia="en-GB"/>
        </w:rPr>
        <w:t>تسارع إ</w:t>
      </w:r>
      <w:r w:rsidR="00823B8F" w:rsidRPr="009037B3">
        <w:rPr>
          <w:rFonts w:ascii="Times New Roman Bold" w:eastAsia="Calibri" w:hAnsi="Times New Roman Bold"/>
          <w:b/>
          <w:bCs/>
          <w:spacing w:val="-2"/>
          <w:rtl/>
          <w:lang w:eastAsia="en-GB"/>
        </w:rPr>
        <w:t xml:space="preserve">لى </w:t>
      </w:r>
      <w:r w:rsidR="00823B8F" w:rsidRPr="009037B3">
        <w:rPr>
          <w:rFonts w:ascii="Times New Roman Bold" w:eastAsia="Calibri" w:hAnsi="Times New Roman Bold" w:hint="cs"/>
          <w:b/>
          <w:bCs/>
          <w:spacing w:val="-2"/>
          <w:rtl/>
          <w:lang w:eastAsia="en-GB"/>
        </w:rPr>
        <w:t>تنفيذ</w:t>
      </w:r>
      <w:r w:rsidR="00823B8F" w:rsidRPr="009037B3">
        <w:rPr>
          <w:rFonts w:ascii="Times New Roman Bold" w:eastAsia="Calibri" w:hAnsi="Times New Roman Bold"/>
          <w:b/>
          <w:bCs/>
          <w:spacing w:val="-2"/>
          <w:rtl/>
          <w:lang w:eastAsia="en-GB"/>
        </w:rPr>
        <w:t xml:space="preserve"> استراتيجيتها الجديدة المتعلقة </w:t>
      </w:r>
      <w:r w:rsidR="00823B8F" w:rsidRPr="009037B3">
        <w:rPr>
          <w:rFonts w:ascii="Times New Roman Bold" w:eastAsia="Calibri" w:hAnsi="Times New Roman Bold" w:hint="cs"/>
          <w:b/>
          <w:bCs/>
          <w:spacing w:val="-2"/>
          <w:rtl/>
          <w:lang w:eastAsia="en-GB"/>
        </w:rPr>
        <w:t>بشأن النساء الجانحات</w:t>
      </w:r>
      <w:r w:rsidR="00823B8F" w:rsidRPr="009037B3">
        <w:rPr>
          <w:rFonts w:ascii="Times New Roman Bold" w:eastAsia="Calibri" w:hAnsi="Times New Roman Bold"/>
          <w:b/>
          <w:bCs/>
          <w:spacing w:val="-2"/>
          <w:rtl/>
          <w:lang w:eastAsia="en-GB"/>
        </w:rPr>
        <w:t>، وفقا</w:t>
      </w:r>
      <w:r w:rsidR="00255B48">
        <w:rPr>
          <w:rFonts w:ascii="Times New Roman Bold" w:eastAsia="Calibri" w:hAnsi="Times New Roman Bold" w:hint="cs"/>
          <w:b/>
          <w:bCs/>
          <w:spacing w:val="-2"/>
          <w:rtl/>
          <w:lang w:eastAsia="en-GB"/>
        </w:rPr>
        <w:t>ً</w:t>
      </w:r>
      <w:r w:rsidR="00823B8F" w:rsidRPr="009037B3">
        <w:rPr>
          <w:rFonts w:ascii="Times New Roman Bold" w:eastAsia="Calibri" w:hAnsi="Times New Roman Bold"/>
          <w:b/>
          <w:bCs/>
          <w:spacing w:val="-2"/>
          <w:rtl/>
          <w:lang w:eastAsia="en-GB"/>
        </w:rPr>
        <w:t xml:space="preserve"> لقواعد الأمم المتحدة لمعاملة السجينات والتدابير غير الاحتجازية للمجرمات (قواعد بانكوك) (مرفق قرار المجلس الاقتصادي والاجتماعي 2010/16). وتوصي اللجنة بأن تولي الدولة الطرف </w:t>
      </w:r>
      <w:r w:rsidR="00823B8F" w:rsidRPr="009037B3">
        <w:rPr>
          <w:rFonts w:ascii="Times New Roman Bold" w:eastAsia="Calibri" w:hAnsi="Times New Roman Bold" w:hint="cs"/>
          <w:b/>
          <w:bCs/>
          <w:spacing w:val="-2"/>
          <w:rtl/>
          <w:lang w:eastAsia="en-GB"/>
        </w:rPr>
        <w:t>الاعتبار</w:t>
      </w:r>
      <w:r w:rsidR="00823B8F" w:rsidRPr="009037B3">
        <w:rPr>
          <w:rFonts w:ascii="Times New Roman Bold" w:eastAsia="Calibri" w:hAnsi="Times New Roman Bold"/>
          <w:b/>
          <w:bCs/>
          <w:spacing w:val="-2"/>
          <w:rtl/>
          <w:lang w:eastAsia="en-GB"/>
        </w:rPr>
        <w:t xml:space="preserve"> الواجب لتوصيات اللجنة المعنية بالمجرمات (اسكتلندا) والتوصيات الواردة في تقرير كورستون (إنكلترا وويلز)، وأن تضمن، </w:t>
      </w:r>
      <w:r w:rsidR="00823B8F" w:rsidRPr="009037B3">
        <w:rPr>
          <w:rFonts w:ascii="Times New Roman Bold" w:eastAsia="Calibri" w:hAnsi="Times New Roman Bold" w:hint="cs"/>
          <w:b/>
          <w:bCs/>
          <w:spacing w:val="-2"/>
          <w:rtl/>
          <w:lang w:eastAsia="en-GB"/>
        </w:rPr>
        <w:t>بوجه خاص</w:t>
      </w:r>
      <w:r w:rsidR="00823B8F" w:rsidRPr="009037B3">
        <w:rPr>
          <w:rFonts w:ascii="Times New Roman Bold" w:eastAsia="Calibri" w:hAnsi="Times New Roman Bold"/>
          <w:b/>
          <w:bCs/>
          <w:spacing w:val="-2"/>
          <w:rtl/>
          <w:lang w:eastAsia="en-GB"/>
        </w:rPr>
        <w:t xml:space="preserve">، تجنب اللجوء إلى نظام العدالة الجنائية عندما يتعلق الأمر </w:t>
      </w:r>
      <w:r w:rsidR="00823B8F" w:rsidRPr="009037B3">
        <w:rPr>
          <w:rFonts w:ascii="Times New Roman Bold" w:eastAsia="Calibri" w:hAnsi="Times New Roman Bold" w:hint="cs"/>
          <w:b/>
          <w:bCs/>
          <w:spacing w:val="-2"/>
          <w:rtl/>
          <w:lang w:eastAsia="en-GB"/>
        </w:rPr>
        <w:t xml:space="preserve">بارتكاب جرائم بسيطة على يد </w:t>
      </w:r>
      <w:r w:rsidR="00823B8F" w:rsidRPr="009037B3">
        <w:rPr>
          <w:rFonts w:ascii="Times New Roman Bold" w:eastAsia="Calibri" w:hAnsi="Times New Roman Bold"/>
          <w:b/>
          <w:bCs/>
          <w:spacing w:val="-2"/>
          <w:rtl/>
          <w:lang w:eastAsia="en-GB"/>
        </w:rPr>
        <w:t xml:space="preserve">مجرمات غير عنيفات، </w:t>
      </w:r>
      <w:r w:rsidR="00823B8F" w:rsidRPr="009037B3">
        <w:rPr>
          <w:rFonts w:ascii="Times New Roman Bold" w:eastAsia="Calibri" w:hAnsi="Times New Roman Bold" w:hint="cs"/>
          <w:b/>
          <w:bCs/>
          <w:spacing w:val="-2"/>
          <w:rtl/>
          <w:lang w:eastAsia="en-GB"/>
        </w:rPr>
        <w:t xml:space="preserve">وتوسيع نطاق </w:t>
      </w:r>
      <w:r w:rsidR="00823B8F" w:rsidRPr="009037B3">
        <w:rPr>
          <w:rFonts w:ascii="Times New Roman Bold" w:eastAsia="Calibri" w:hAnsi="Times New Roman Bold"/>
          <w:b/>
          <w:bCs/>
          <w:spacing w:val="-2"/>
          <w:rtl/>
          <w:lang w:eastAsia="en-GB"/>
        </w:rPr>
        <w:t xml:space="preserve">اللجوء إلى </w:t>
      </w:r>
      <w:r w:rsidR="00823B8F" w:rsidRPr="009037B3">
        <w:rPr>
          <w:rFonts w:ascii="Times New Roman Bold" w:eastAsia="Calibri" w:hAnsi="Times New Roman Bold" w:hint="cs"/>
          <w:b/>
          <w:bCs/>
          <w:spacing w:val="-2"/>
          <w:rtl/>
          <w:lang w:eastAsia="en-GB"/>
        </w:rPr>
        <w:t>عقوبات خدمة المجتمع</w:t>
      </w:r>
      <w:r w:rsidR="00823B8F" w:rsidRPr="009037B3">
        <w:rPr>
          <w:rFonts w:ascii="Times New Roman Bold" w:eastAsia="Calibri" w:hAnsi="Times New Roman Bold"/>
          <w:b/>
          <w:bCs/>
          <w:spacing w:val="-2"/>
          <w:rtl/>
          <w:lang w:eastAsia="en-GB"/>
        </w:rPr>
        <w:t xml:space="preserve">، وإدخال تغييرات على نظام السجون للمضي في </w:t>
      </w:r>
      <w:r w:rsidR="00823B8F" w:rsidRPr="009037B3">
        <w:rPr>
          <w:rFonts w:ascii="Times New Roman Bold" w:eastAsia="Calibri" w:hAnsi="Times New Roman Bold" w:hint="cs"/>
          <w:b/>
          <w:bCs/>
          <w:spacing w:val="-2"/>
          <w:rtl/>
          <w:lang w:eastAsia="en-GB"/>
        </w:rPr>
        <w:t>تقليص</w:t>
      </w:r>
      <w:r w:rsidR="00823B8F" w:rsidRPr="009037B3">
        <w:rPr>
          <w:rFonts w:ascii="Times New Roman Bold" w:eastAsia="Calibri" w:hAnsi="Times New Roman Bold"/>
          <w:b/>
          <w:bCs/>
          <w:spacing w:val="-2"/>
          <w:rtl/>
          <w:lang w:eastAsia="en-GB"/>
        </w:rPr>
        <w:t xml:space="preserve"> الحوادث وحالات الوفاة الناجمة عن إ</w:t>
      </w:r>
      <w:r w:rsidR="00823B8F" w:rsidRPr="009037B3">
        <w:rPr>
          <w:rFonts w:ascii="Times New Roman Bold" w:eastAsia="Calibri" w:hAnsi="Times New Roman Bold" w:hint="cs"/>
          <w:b/>
          <w:bCs/>
          <w:spacing w:val="-2"/>
          <w:rtl/>
          <w:lang w:eastAsia="en-GB"/>
        </w:rPr>
        <w:t>يذاء النفس بين السجينات</w:t>
      </w:r>
      <w:r w:rsidR="00823B8F" w:rsidRPr="009037B3">
        <w:rPr>
          <w:rFonts w:ascii="Times New Roman Bold" w:eastAsia="Calibri" w:hAnsi="Times New Roman Bold"/>
          <w:b/>
          <w:bCs/>
          <w:spacing w:val="-2"/>
          <w:rtl/>
          <w:lang w:eastAsia="en-GB"/>
        </w:rPr>
        <w:t>.</w:t>
      </w:r>
    </w:p>
    <w:p w:rsidR="00823B8F" w:rsidRPr="00C1733B" w:rsidRDefault="00C54611" w:rsidP="00124AEF">
      <w:pPr>
        <w:pStyle w:val="H23GA"/>
      </w:pPr>
      <w:r w:rsidRPr="00C1733B">
        <w:rPr>
          <w:rFonts w:hint="cs"/>
          <w:rtl/>
        </w:rPr>
        <w:tab/>
      </w:r>
      <w:r w:rsidRPr="00C1733B">
        <w:rPr>
          <w:rFonts w:hint="cs"/>
          <w:rtl/>
        </w:rPr>
        <w:tab/>
      </w:r>
      <w:r w:rsidR="00823B8F" w:rsidRPr="00C1733B">
        <w:rPr>
          <w:rtl/>
        </w:rPr>
        <w:t xml:space="preserve">التحقيق </w:t>
      </w:r>
      <w:r w:rsidR="00823B8F" w:rsidRPr="00C1733B">
        <w:rPr>
          <w:rFonts w:hint="cs"/>
          <w:rtl/>
        </w:rPr>
        <w:t xml:space="preserve">العام بشأن </w:t>
      </w:r>
      <w:r w:rsidR="00823B8F" w:rsidRPr="00C1733B">
        <w:rPr>
          <w:rtl/>
        </w:rPr>
        <w:t xml:space="preserve">مستشفى </w:t>
      </w:r>
      <w:r w:rsidR="00823B8F" w:rsidRPr="00C1733B">
        <w:rPr>
          <w:rFonts w:hint="cs"/>
          <w:rtl/>
        </w:rPr>
        <w:t>ستانفور</w:t>
      </w:r>
      <w:r w:rsidR="00823B8F" w:rsidRPr="00C1733B">
        <w:rPr>
          <w:rFonts w:hint="eastAsia"/>
          <w:rtl/>
        </w:rPr>
        <w:t>د</w:t>
      </w:r>
      <w:r w:rsidR="00823B8F" w:rsidRPr="00C1733B">
        <w:rPr>
          <w:rtl/>
        </w:rPr>
        <w:t xml:space="preserve"> (الصندوق الاستئماني لمؤسسة الخدمات الصحية</w:t>
      </w:r>
      <w:r w:rsidR="009037B3">
        <w:rPr>
          <w:rFonts w:hint="cs"/>
          <w:rtl/>
        </w:rPr>
        <w:t> </w:t>
      </w:r>
      <w:r w:rsidR="00823B8F" w:rsidRPr="00C1733B">
        <w:rPr>
          <w:rtl/>
        </w:rPr>
        <w:t>الوطنية)</w:t>
      </w:r>
    </w:p>
    <w:p w:rsidR="00823B8F" w:rsidRPr="00C1733B" w:rsidRDefault="009037B3" w:rsidP="004C3E0C">
      <w:pPr>
        <w:pStyle w:val="SingleTxtGA"/>
        <w:spacing w:line="360" w:lineRule="exact"/>
        <w:rPr>
          <w:rFonts w:eastAsia="Calibri"/>
          <w:lang w:eastAsia="en-GB"/>
        </w:rPr>
      </w:pPr>
      <w:r>
        <w:rPr>
          <w:rFonts w:eastAsia="Calibri" w:hint="cs"/>
          <w:rtl/>
          <w:lang w:eastAsia="en-GB"/>
        </w:rPr>
        <w:t>(</w:t>
      </w:r>
      <w:r w:rsidR="00823B8F" w:rsidRPr="00C1733B">
        <w:rPr>
          <w:rFonts w:eastAsia="Calibri"/>
          <w:rtl/>
          <w:lang w:eastAsia="en-GB"/>
        </w:rPr>
        <w:t>33</w:t>
      </w:r>
      <w:r>
        <w:rPr>
          <w:rFonts w:eastAsia="Calibri" w:hint="cs"/>
          <w:rtl/>
          <w:lang w:eastAsia="en-GB"/>
        </w:rPr>
        <w:t>)</w:t>
      </w:r>
      <w:r>
        <w:rPr>
          <w:rFonts w:eastAsia="Calibri" w:hint="cs"/>
          <w:rtl/>
          <w:lang w:eastAsia="en-GB"/>
        </w:rPr>
        <w:tab/>
      </w:r>
      <w:r w:rsidR="00823B8F" w:rsidRPr="00C1733B">
        <w:rPr>
          <w:rFonts w:eastAsia="Calibri"/>
          <w:rtl/>
          <w:lang w:eastAsia="en-GB"/>
        </w:rPr>
        <w:t>تحيط اللجنة علما</w:t>
      </w:r>
      <w:r>
        <w:rPr>
          <w:rFonts w:eastAsia="Calibri" w:hint="cs"/>
          <w:rtl/>
          <w:lang w:eastAsia="en-GB"/>
        </w:rPr>
        <w:t>ً</w:t>
      </w:r>
      <w:r w:rsidR="00823B8F" w:rsidRPr="00C1733B">
        <w:rPr>
          <w:rFonts w:eastAsia="Calibri"/>
          <w:rtl/>
          <w:lang w:eastAsia="en-GB"/>
        </w:rPr>
        <w:t xml:space="preserve"> مع الاهتمام </w:t>
      </w:r>
      <w:r w:rsidR="00823B8F" w:rsidRPr="00C1733B">
        <w:rPr>
          <w:rFonts w:eastAsia="Calibri" w:hint="cs"/>
          <w:rtl/>
          <w:lang w:eastAsia="en-GB"/>
        </w:rPr>
        <w:t>ب</w:t>
      </w:r>
      <w:r w:rsidR="002F691F">
        <w:rPr>
          <w:rFonts w:eastAsia="Calibri"/>
          <w:rtl/>
          <w:lang w:eastAsia="en-GB"/>
        </w:rPr>
        <w:t xml:space="preserve">التقارير التي </w:t>
      </w:r>
      <w:r w:rsidR="00823B8F" w:rsidRPr="00C1733B">
        <w:rPr>
          <w:rFonts w:eastAsia="Calibri"/>
          <w:rtl/>
          <w:lang w:eastAsia="en-GB"/>
        </w:rPr>
        <w:t xml:space="preserve">نُشرت عامي 2010 و2013 عن التحقيق </w:t>
      </w:r>
      <w:r w:rsidR="00823B8F" w:rsidRPr="00C1733B">
        <w:rPr>
          <w:rFonts w:eastAsia="Calibri" w:hint="cs"/>
          <w:rtl/>
          <w:lang w:eastAsia="en-GB"/>
        </w:rPr>
        <w:t>العام</w:t>
      </w:r>
      <w:r w:rsidR="00823B8F" w:rsidRPr="00C1733B">
        <w:rPr>
          <w:rFonts w:eastAsia="Calibri"/>
          <w:rtl/>
          <w:lang w:eastAsia="en-GB"/>
        </w:rPr>
        <w:t xml:space="preserve"> الذي ترأسه مستشار الملكة روبرت فرانسيس، والذي يلقي الضوء على </w:t>
      </w:r>
      <w:r w:rsidR="00823B8F" w:rsidRPr="00C1733B">
        <w:rPr>
          <w:rFonts w:eastAsia="Calibri" w:hint="cs"/>
          <w:rtl/>
          <w:lang w:eastAsia="en-GB"/>
        </w:rPr>
        <w:t>تقاعس</w:t>
      </w:r>
      <w:r w:rsidR="00823B8F" w:rsidRPr="00C1733B">
        <w:rPr>
          <w:rFonts w:eastAsia="Calibri"/>
          <w:rtl/>
          <w:lang w:eastAsia="en-GB"/>
        </w:rPr>
        <w:t xml:space="preserve"> مديري نظام الصحة الوطنية والجهات المنظمة </w:t>
      </w:r>
      <w:r w:rsidR="00823B8F" w:rsidRPr="00C1733B">
        <w:rPr>
          <w:rFonts w:eastAsia="Calibri" w:hint="cs"/>
          <w:rtl/>
          <w:lang w:eastAsia="en-GB"/>
        </w:rPr>
        <w:t xml:space="preserve">فيه عن </w:t>
      </w:r>
      <w:r w:rsidR="00823B8F" w:rsidRPr="00C1733B">
        <w:rPr>
          <w:rFonts w:eastAsia="Calibri"/>
          <w:rtl/>
          <w:lang w:eastAsia="en-GB"/>
        </w:rPr>
        <w:t>تحديد المشكلات</w:t>
      </w:r>
      <w:r w:rsidR="00823B8F" w:rsidRPr="00C1733B">
        <w:rPr>
          <w:rFonts w:eastAsia="Calibri" w:hint="cs"/>
          <w:rtl/>
          <w:lang w:eastAsia="en-GB"/>
        </w:rPr>
        <w:t xml:space="preserve"> التي شهدها مستشفى ستانفورد</w:t>
      </w:r>
      <w:r w:rsidR="00823B8F" w:rsidRPr="00C1733B">
        <w:rPr>
          <w:rFonts w:eastAsia="Calibri"/>
          <w:rtl/>
          <w:lang w:eastAsia="en-GB"/>
        </w:rPr>
        <w:t xml:space="preserve"> </w:t>
      </w:r>
      <w:r w:rsidR="00823B8F" w:rsidRPr="00C1733B">
        <w:rPr>
          <w:rFonts w:eastAsia="Calibri" w:hint="cs"/>
          <w:rtl/>
          <w:lang w:eastAsia="en-GB"/>
        </w:rPr>
        <w:t>و</w:t>
      </w:r>
      <w:r w:rsidR="00823B8F" w:rsidRPr="00C1733B">
        <w:rPr>
          <w:rFonts w:eastAsia="Calibri"/>
          <w:rtl/>
          <w:lang w:eastAsia="en-GB"/>
        </w:rPr>
        <w:t>أدت إلى وفاة بين 400 و</w:t>
      </w:r>
      <w:r>
        <w:rPr>
          <w:rFonts w:eastAsia="Calibri" w:hint="cs"/>
          <w:rtl/>
          <w:lang w:eastAsia="en-GB"/>
        </w:rPr>
        <w:t>200 1</w:t>
      </w:r>
      <w:r w:rsidR="00823B8F" w:rsidRPr="00C1733B">
        <w:rPr>
          <w:rFonts w:eastAsia="Calibri"/>
          <w:rtl/>
          <w:lang w:eastAsia="en-GB"/>
        </w:rPr>
        <w:t xml:space="preserve"> شخص بين عامي 2005 و2009 و</w:t>
      </w:r>
      <w:r w:rsidR="00823B8F" w:rsidRPr="00C1733B">
        <w:rPr>
          <w:rFonts w:eastAsia="Calibri" w:hint="cs"/>
          <w:rtl/>
          <w:lang w:eastAsia="en-GB"/>
        </w:rPr>
        <w:t xml:space="preserve">عن </w:t>
      </w:r>
      <w:r w:rsidR="00823B8F" w:rsidRPr="00C1733B">
        <w:rPr>
          <w:rFonts w:eastAsia="Calibri"/>
          <w:rtl/>
          <w:lang w:eastAsia="en-GB"/>
        </w:rPr>
        <w:t>اتخ</w:t>
      </w:r>
      <w:r w:rsidR="002F691F">
        <w:rPr>
          <w:rFonts w:eastAsia="Calibri"/>
          <w:rtl/>
          <w:lang w:eastAsia="en-GB"/>
        </w:rPr>
        <w:t xml:space="preserve">اذ التدابير اللازمة لمعالجتها. </w:t>
      </w:r>
      <w:r w:rsidR="00823B8F" w:rsidRPr="00C1733B">
        <w:rPr>
          <w:rFonts w:eastAsia="Calibri"/>
          <w:rtl/>
          <w:lang w:eastAsia="en-GB"/>
        </w:rPr>
        <w:t>وتحيط اللجنة علما</w:t>
      </w:r>
      <w:r w:rsidR="002F691F">
        <w:rPr>
          <w:rFonts w:eastAsia="Calibri" w:hint="cs"/>
          <w:rtl/>
          <w:lang w:eastAsia="en-GB"/>
        </w:rPr>
        <w:t>ً</w:t>
      </w:r>
      <w:r w:rsidR="00823B8F" w:rsidRPr="00C1733B">
        <w:rPr>
          <w:rFonts w:eastAsia="Calibri"/>
          <w:rtl/>
          <w:lang w:eastAsia="en-GB"/>
        </w:rPr>
        <w:t xml:space="preserve"> على وجه الخصوص</w:t>
      </w:r>
      <w:r w:rsidR="00823B8F" w:rsidRPr="00C1733B">
        <w:rPr>
          <w:rFonts w:eastAsia="Calibri" w:hint="cs"/>
          <w:rtl/>
          <w:lang w:eastAsia="en-GB"/>
        </w:rPr>
        <w:t>،</w:t>
      </w:r>
      <w:r w:rsidR="00823B8F" w:rsidRPr="00C1733B">
        <w:rPr>
          <w:rFonts w:eastAsia="Calibri"/>
          <w:rtl/>
          <w:lang w:eastAsia="en-GB"/>
        </w:rPr>
        <w:t xml:space="preserve"> بالمعلومات التي تفيد بأن "النظام [...] تجاهل تحذيرات </w:t>
      </w:r>
      <w:r w:rsidR="00823B8F" w:rsidRPr="00C1733B">
        <w:rPr>
          <w:rFonts w:eastAsia="Calibri" w:hint="cs"/>
          <w:rtl/>
          <w:lang w:eastAsia="en-GB"/>
        </w:rPr>
        <w:t>تتعلق ب</w:t>
      </w:r>
      <w:r w:rsidR="00823B8F" w:rsidRPr="00C1733B">
        <w:rPr>
          <w:rFonts w:eastAsia="Calibri"/>
          <w:rtl/>
          <w:lang w:eastAsia="en-GB"/>
        </w:rPr>
        <w:t>سوء العناية الطبية و</w:t>
      </w:r>
      <w:r w:rsidR="00823B8F" w:rsidRPr="00C1733B">
        <w:rPr>
          <w:rFonts w:eastAsia="Calibri" w:hint="cs"/>
          <w:rtl/>
          <w:lang w:eastAsia="en-GB"/>
        </w:rPr>
        <w:t xml:space="preserve">تغليب </w:t>
      </w:r>
      <w:r w:rsidR="00823B8F" w:rsidRPr="00C1733B">
        <w:rPr>
          <w:rFonts w:eastAsia="Calibri"/>
          <w:rtl/>
          <w:lang w:eastAsia="en-GB"/>
        </w:rPr>
        <w:t xml:space="preserve">المصلحة التجارية وضبط النفقات </w:t>
      </w:r>
      <w:r w:rsidR="00823B8F" w:rsidRPr="00C1733B">
        <w:rPr>
          <w:rFonts w:eastAsia="Calibri" w:hint="cs"/>
          <w:rtl/>
          <w:lang w:eastAsia="en-GB"/>
        </w:rPr>
        <w:t>على</w:t>
      </w:r>
      <w:r w:rsidR="00823B8F" w:rsidRPr="00C1733B">
        <w:rPr>
          <w:rFonts w:eastAsia="Calibri"/>
          <w:rtl/>
          <w:lang w:eastAsia="en-GB"/>
        </w:rPr>
        <w:t xml:space="preserve"> مصلحة المرضى وسلامتهم" (بيان صحفي مؤرخ 6 شباط/فبراير 2013) (المادتان 11 و16).</w:t>
      </w:r>
    </w:p>
    <w:p w:rsidR="00823B8F" w:rsidRPr="00C1733B" w:rsidRDefault="009037B3" w:rsidP="00A83CF9">
      <w:pPr>
        <w:pStyle w:val="SingleTxtGA"/>
        <w:spacing w:line="370" w:lineRule="exact"/>
        <w:rPr>
          <w:rFonts w:eastAsia="Calibri"/>
          <w:b/>
          <w:bCs/>
          <w:lang w:eastAsia="en-GB"/>
        </w:rPr>
      </w:pPr>
      <w:r>
        <w:rPr>
          <w:rFonts w:eastAsia="Calibri" w:hint="cs"/>
          <w:b/>
          <w:bCs/>
          <w:rtl/>
          <w:lang w:eastAsia="en-GB"/>
        </w:rPr>
        <w:tab/>
      </w:r>
      <w:r w:rsidR="00823B8F" w:rsidRPr="00C1733B">
        <w:rPr>
          <w:rFonts w:eastAsia="Calibri"/>
          <w:b/>
          <w:bCs/>
          <w:rtl/>
          <w:lang w:eastAsia="en-GB"/>
        </w:rPr>
        <w:t xml:space="preserve">تدعو اللجنة الدولة الطرف إلى الوفاء بالتزامها بتنفيذ التوصيات الواردة في التقارير المتعلقة بالتحقيق </w:t>
      </w:r>
      <w:r w:rsidR="00823B8F" w:rsidRPr="00C1733B">
        <w:rPr>
          <w:rFonts w:eastAsia="Calibri" w:hint="cs"/>
          <w:b/>
          <w:bCs/>
          <w:rtl/>
          <w:lang w:eastAsia="en-GB"/>
        </w:rPr>
        <w:t>العام بشأن</w:t>
      </w:r>
      <w:r w:rsidR="00823B8F" w:rsidRPr="00C1733B">
        <w:rPr>
          <w:rFonts w:eastAsia="Calibri"/>
          <w:b/>
          <w:bCs/>
          <w:rtl/>
          <w:lang w:eastAsia="en-GB"/>
        </w:rPr>
        <w:t xml:space="preserve"> مستشفى </w:t>
      </w:r>
      <w:r w:rsidR="00823B8F" w:rsidRPr="00C1733B">
        <w:rPr>
          <w:rFonts w:eastAsia="Calibri" w:hint="cs"/>
          <w:b/>
          <w:bCs/>
          <w:rtl/>
          <w:lang w:eastAsia="en-GB"/>
        </w:rPr>
        <w:t>ستانفورد</w:t>
      </w:r>
      <w:r w:rsidR="00823B8F" w:rsidRPr="00C1733B">
        <w:rPr>
          <w:rFonts w:eastAsia="Calibri"/>
          <w:b/>
          <w:bCs/>
          <w:rtl/>
          <w:lang w:eastAsia="en-GB"/>
        </w:rPr>
        <w:t xml:space="preserve"> (الصندوق الاستئماني لمؤسسة الخدمات الصحية الوطنية، </w:t>
      </w:r>
      <w:r w:rsidR="002F691F">
        <w:rPr>
          <w:rFonts w:eastAsia="Calibri" w:hint="cs"/>
          <w:b/>
          <w:bCs/>
          <w:rtl/>
          <w:lang w:eastAsia="en-GB"/>
        </w:rPr>
        <w:t xml:space="preserve">وإلى </w:t>
      </w:r>
      <w:r w:rsidR="00823B8F" w:rsidRPr="00C1733B">
        <w:rPr>
          <w:rFonts w:eastAsia="Calibri" w:hint="cs"/>
          <w:b/>
          <w:bCs/>
          <w:rtl/>
          <w:lang w:eastAsia="en-GB"/>
        </w:rPr>
        <w:t>العمل بوجه خاص، على وضع</w:t>
      </w:r>
      <w:r w:rsidR="00823B8F" w:rsidRPr="00C1733B">
        <w:rPr>
          <w:rFonts w:eastAsia="Calibri"/>
          <w:b/>
          <w:bCs/>
          <w:rtl/>
          <w:lang w:eastAsia="en-GB"/>
        </w:rPr>
        <w:t xml:space="preserve"> مجموعة قواعد أساسية وتدابير تنفيذية لمنع إساءة معاملة المرضى المستفيدين من خدمات الرعاية الصحية.</w:t>
      </w:r>
    </w:p>
    <w:p w:rsidR="00823B8F" w:rsidRPr="00C1733B" w:rsidRDefault="00C54611" w:rsidP="00124AEF">
      <w:pPr>
        <w:pStyle w:val="H23GA"/>
      </w:pPr>
      <w:r w:rsidRPr="00C1733B">
        <w:rPr>
          <w:rFonts w:hint="cs"/>
          <w:rtl/>
        </w:rPr>
        <w:tab/>
      </w:r>
      <w:r w:rsidRPr="00C1733B">
        <w:rPr>
          <w:rFonts w:hint="cs"/>
          <w:rtl/>
        </w:rPr>
        <w:tab/>
      </w:r>
      <w:r w:rsidR="00823B8F" w:rsidRPr="00C1733B">
        <w:rPr>
          <w:rtl/>
        </w:rPr>
        <w:t>الإعلان المنصوص عليه في المادة 22</w:t>
      </w:r>
    </w:p>
    <w:p w:rsidR="00823B8F" w:rsidRPr="00C1733B" w:rsidRDefault="009037B3" w:rsidP="00A83CF9">
      <w:pPr>
        <w:pStyle w:val="SingleTxtGA"/>
        <w:spacing w:line="370" w:lineRule="exact"/>
        <w:rPr>
          <w:rFonts w:eastAsia="SimSun"/>
          <w:lang w:eastAsia="zh-CN"/>
        </w:rPr>
      </w:pPr>
      <w:r>
        <w:rPr>
          <w:rFonts w:eastAsia="SimSun" w:hint="cs"/>
          <w:rtl/>
          <w:lang w:eastAsia="zh-CN"/>
        </w:rPr>
        <w:t>(</w:t>
      </w:r>
      <w:r w:rsidR="00823B8F" w:rsidRPr="00C1733B">
        <w:rPr>
          <w:rFonts w:eastAsia="SimSun"/>
          <w:rtl/>
          <w:lang w:eastAsia="zh-CN"/>
        </w:rPr>
        <w:t>34</w:t>
      </w:r>
      <w:r>
        <w:rPr>
          <w:rFonts w:eastAsia="SimSun" w:hint="cs"/>
          <w:rtl/>
          <w:lang w:eastAsia="zh-CN"/>
        </w:rPr>
        <w:t>)</w:t>
      </w:r>
      <w:r>
        <w:rPr>
          <w:rFonts w:eastAsia="SimSun" w:hint="cs"/>
          <w:rtl/>
          <w:lang w:eastAsia="zh-CN"/>
        </w:rPr>
        <w:tab/>
      </w:r>
      <w:r w:rsidR="00823B8F" w:rsidRPr="00C1733B">
        <w:rPr>
          <w:rFonts w:eastAsia="SimSun"/>
          <w:rtl/>
          <w:lang w:eastAsia="zh-CN"/>
        </w:rPr>
        <w:t>تعرب اللجنة عن أسفها لأن الدولة الطرف "لم تقتنع بعد بالجدوى العملية للبلاغات</w:t>
      </w:r>
      <w:r>
        <w:rPr>
          <w:rFonts w:eastAsia="SimSun" w:hint="cs"/>
          <w:rtl/>
          <w:lang w:eastAsia="zh-CN"/>
        </w:rPr>
        <w:t> </w:t>
      </w:r>
      <w:r w:rsidR="00823B8F" w:rsidRPr="00C1733B">
        <w:rPr>
          <w:rFonts w:eastAsia="SimSun"/>
          <w:rtl/>
          <w:lang w:eastAsia="zh-CN"/>
        </w:rPr>
        <w:t>الفردية"وتحيط علما</w:t>
      </w:r>
      <w:r>
        <w:rPr>
          <w:rFonts w:eastAsia="SimSun" w:hint="cs"/>
          <w:rtl/>
          <w:lang w:eastAsia="zh-CN"/>
        </w:rPr>
        <w:t>ً</w:t>
      </w:r>
      <w:r w:rsidR="00823B8F" w:rsidRPr="00C1733B">
        <w:rPr>
          <w:rFonts w:eastAsia="SimSun"/>
          <w:rtl/>
          <w:lang w:eastAsia="zh-CN"/>
        </w:rPr>
        <w:t xml:space="preserve"> </w:t>
      </w:r>
      <w:r w:rsidR="00823B8F" w:rsidRPr="00C1733B">
        <w:rPr>
          <w:rFonts w:eastAsia="SimSun" w:hint="cs"/>
          <w:rtl/>
          <w:lang w:eastAsia="zh-CN"/>
        </w:rPr>
        <w:t xml:space="preserve">بخشية </w:t>
      </w:r>
      <w:r w:rsidR="00823B8F" w:rsidRPr="00C1733B">
        <w:rPr>
          <w:rFonts w:eastAsia="SimSun"/>
          <w:rtl/>
          <w:lang w:eastAsia="zh-CN"/>
        </w:rPr>
        <w:t>لجنة</w:t>
      </w:r>
      <w:r w:rsidR="00823B8F" w:rsidRPr="00C1733B">
        <w:rPr>
          <w:rFonts w:eastAsia="SimSun" w:hint="cs"/>
          <w:rtl/>
          <w:lang w:eastAsia="zh-CN"/>
        </w:rPr>
        <w:t xml:space="preserve"> ح</w:t>
      </w:r>
      <w:r w:rsidR="00823B8F" w:rsidRPr="00C1733B">
        <w:rPr>
          <w:rFonts w:eastAsia="SimSun"/>
          <w:rtl/>
          <w:lang w:eastAsia="zh-CN"/>
        </w:rPr>
        <w:t xml:space="preserve">قوق الإنسان المشتركة بين مجلس اللوردات ومجلس العموم </w:t>
      </w:r>
      <w:r w:rsidR="00823B8F" w:rsidRPr="00C1733B">
        <w:rPr>
          <w:rFonts w:eastAsia="SimSun" w:hint="cs"/>
          <w:rtl/>
          <w:lang w:eastAsia="zh-CN"/>
        </w:rPr>
        <w:t>من أن يؤدي</w:t>
      </w:r>
      <w:r w:rsidR="00823B8F" w:rsidRPr="00C1733B">
        <w:rPr>
          <w:rFonts w:eastAsia="SimSun"/>
          <w:rtl/>
          <w:lang w:eastAsia="zh-CN"/>
        </w:rPr>
        <w:t xml:space="preserve"> "</w:t>
      </w:r>
      <w:r w:rsidR="00823B8F" w:rsidRPr="00C1733B">
        <w:rPr>
          <w:rFonts w:eastAsia="SimSun" w:hint="cs"/>
          <w:rtl/>
          <w:lang w:eastAsia="zh-CN"/>
        </w:rPr>
        <w:t xml:space="preserve">تقدم </w:t>
      </w:r>
      <w:r w:rsidR="00823B8F" w:rsidRPr="00C1733B">
        <w:rPr>
          <w:rFonts w:eastAsia="SimSun"/>
          <w:rtl/>
          <w:lang w:eastAsia="zh-CN"/>
        </w:rPr>
        <w:t xml:space="preserve">(المملكة المتحدة) </w:t>
      </w:r>
      <w:r w:rsidR="00823B8F" w:rsidRPr="00C1733B">
        <w:rPr>
          <w:rFonts w:eastAsia="SimSun" w:hint="cs"/>
          <w:rtl/>
          <w:lang w:eastAsia="zh-CN"/>
        </w:rPr>
        <w:t xml:space="preserve">البطيء </w:t>
      </w:r>
      <w:r w:rsidR="00823B8F" w:rsidRPr="00C1733B">
        <w:rPr>
          <w:rFonts w:eastAsia="SimSun"/>
          <w:rtl/>
          <w:lang w:eastAsia="zh-CN"/>
        </w:rPr>
        <w:t xml:space="preserve">نحو قبول البلاغات الفردية [...] </w:t>
      </w:r>
      <w:r w:rsidR="00823B8F" w:rsidRPr="00C1733B">
        <w:rPr>
          <w:rFonts w:eastAsia="SimSun" w:hint="cs"/>
          <w:rtl/>
          <w:lang w:eastAsia="zh-CN"/>
        </w:rPr>
        <w:t>إلى تقويض</w:t>
      </w:r>
      <w:r w:rsidR="00823B8F" w:rsidRPr="00C1733B">
        <w:rPr>
          <w:rFonts w:eastAsia="SimSun"/>
          <w:rtl/>
          <w:lang w:eastAsia="zh-CN"/>
        </w:rPr>
        <w:t xml:space="preserve"> مصداقيتها في</w:t>
      </w:r>
      <w:r w:rsidR="00823B8F" w:rsidRPr="00C1733B">
        <w:rPr>
          <w:rFonts w:eastAsia="SimSun" w:hint="cs"/>
          <w:rtl/>
          <w:lang w:eastAsia="zh-CN"/>
        </w:rPr>
        <w:t xml:space="preserve"> مجال</w:t>
      </w:r>
      <w:r w:rsidR="00823B8F" w:rsidRPr="00C1733B">
        <w:rPr>
          <w:rFonts w:eastAsia="SimSun"/>
          <w:rtl/>
          <w:lang w:eastAsia="zh-CN"/>
        </w:rPr>
        <w:t xml:space="preserve"> تعزيز وحماية حقوق الإنسان دوليا" (التقرير</w:t>
      </w:r>
      <w:r>
        <w:rPr>
          <w:rFonts w:eastAsia="SimSun"/>
          <w:rtl/>
          <w:lang w:eastAsia="zh-CN"/>
        </w:rPr>
        <w:t xml:space="preserve"> السابع عشر، الدورة 2004-2005، </w:t>
      </w:r>
      <w:r w:rsidR="00823B8F" w:rsidRPr="00C1733B">
        <w:rPr>
          <w:rFonts w:eastAsia="SimSun"/>
          <w:szCs w:val="28"/>
          <w:lang w:eastAsia="zh-CN"/>
        </w:rPr>
        <w:t>HL 99/HC 264</w:t>
      </w:r>
      <w:r w:rsidR="00823B8F" w:rsidRPr="00C1733B">
        <w:rPr>
          <w:rFonts w:eastAsia="SimSun"/>
          <w:rtl/>
          <w:lang w:eastAsia="zh-CN"/>
        </w:rPr>
        <w:t>) (المادة 22).</w:t>
      </w:r>
    </w:p>
    <w:p w:rsidR="00823B8F" w:rsidRPr="00C1733B" w:rsidRDefault="009037B3" w:rsidP="00A83CF9">
      <w:pPr>
        <w:pStyle w:val="SingleTxtGA"/>
        <w:spacing w:line="370" w:lineRule="exact"/>
        <w:rPr>
          <w:rFonts w:eastAsia="SimSun"/>
          <w:b/>
          <w:bCs/>
          <w:lang w:eastAsia="zh-CN"/>
        </w:rPr>
      </w:pPr>
      <w:r>
        <w:rPr>
          <w:rFonts w:eastAsia="SimSun" w:hint="cs"/>
          <w:b/>
          <w:bCs/>
          <w:rtl/>
          <w:lang w:eastAsia="zh-CN"/>
        </w:rPr>
        <w:tab/>
      </w:r>
      <w:r w:rsidR="00823B8F" w:rsidRPr="00C1733B">
        <w:rPr>
          <w:rFonts w:eastAsia="SimSun"/>
          <w:b/>
          <w:bCs/>
          <w:rtl/>
          <w:lang w:eastAsia="zh-CN"/>
        </w:rPr>
        <w:t>توصي اللجنة بأن تعيد ال</w:t>
      </w:r>
      <w:r w:rsidR="002F691F">
        <w:rPr>
          <w:rFonts w:eastAsia="SimSun"/>
          <w:b/>
          <w:bCs/>
          <w:rtl/>
          <w:lang w:eastAsia="zh-CN"/>
        </w:rPr>
        <w:t xml:space="preserve">دولة الطرف النظر في موقفها وأن </w:t>
      </w:r>
      <w:r w:rsidR="00823B8F" w:rsidRPr="00C1733B">
        <w:rPr>
          <w:rFonts w:eastAsia="SimSun"/>
          <w:b/>
          <w:bCs/>
          <w:rtl/>
          <w:lang w:eastAsia="zh-CN"/>
        </w:rPr>
        <w:t>تصدر الإعلان المنصوص عليه في المادة 22 من الاتفاقية، للاعتراف باختصاص اللجنة بتلقي البلاغات الفردية والنظر فيها.</w:t>
      </w:r>
    </w:p>
    <w:p w:rsidR="00823B8F" w:rsidRPr="00C1733B" w:rsidRDefault="009037B3" w:rsidP="00124AEF">
      <w:pPr>
        <w:pStyle w:val="H23GA"/>
        <w:rPr>
          <w:rFonts w:hint="cs"/>
        </w:rPr>
      </w:pPr>
      <w:r>
        <w:rPr>
          <w:rFonts w:hint="cs"/>
          <w:rtl/>
        </w:rPr>
        <w:tab/>
      </w:r>
      <w:r>
        <w:rPr>
          <w:rFonts w:hint="cs"/>
          <w:rtl/>
        </w:rPr>
        <w:tab/>
      </w:r>
      <w:r w:rsidR="00823B8F" w:rsidRPr="00C1733B">
        <w:rPr>
          <w:rFonts w:hint="cs"/>
          <w:rtl/>
        </w:rPr>
        <w:t xml:space="preserve">جمع البيانات </w:t>
      </w:r>
    </w:p>
    <w:p w:rsidR="00823B8F" w:rsidRPr="00C1733B" w:rsidRDefault="009037B3" w:rsidP="00A83CF9">
      <w:pPr>
        <w:pStyle w:val="SingleTxtGA"/>
        <w:spacing w:line="370" w:lineRule="exact"/>
        <w:rPr>
          <w:rFonts w:hint="cs"/>
          <w:lang w:eastAsia="en-GB"/>
        </w:rPr>
      </w:pPr>
      <w:r>
        <w:rPr>
          <w:rFonts w:hint="cs"/>
          <w:rtl/>
          <w:lang w:eastAsia="en-GB"/>
        </w:rPr>
        <w:t>(</w:t>
      </w:r>
      <w:r w:rsidR="00823B8F" w:rsidRPr="00C1733B">
        <w:rPr>
          <w:rtl/>
          <w:lang w:eastAsia="en-GB"/>
        </w:rPr>
        <w:t>35</w:t>
      </w:r>
      <w:r>
        <w:rPr>
          <w:rFonts w:hint="cs"/>
          <w:rtl/>
          <w:lang w:eastAsia="en-GB"/>
        </w:rPr>
        <w:t>)</w:t>
      </w:r>
      <w:r>
        <w:rPr>
          <w:rFonts w:hint="cs"/>
          <w:rtl/>
          <w:lang w:eastAsia="en-GB"/>
        </w:rPr>
        <w:tab/>
      </w:r>
      <w:r w:rsidR="00823B8F" w:rsidRPr="00C1733B">
        <w:rPr>
          <w:rtl/>
          <w:lang w:eastAsia="en-GB"/>
        </w:rPr>
        <w:t>تعرب اللجنة عن تقديرها لجهود الدولة الطرف من أجل تزويدها بمعلومات وبيانات وإحصاءات مفصلة لكنها تأسف لعدم إدلائها ببيانات شاملة ومبوبة عن التحقيقات في ادعاءات التعذيب وسوء المعاملة التي ارتكبها الموظفون المكلفون بإنفاذ القانون وأفراد جهاز الأمن والجيش ونظام السجون في إطار العمليات التي اضطلع بها موظفو إنفاذ القانون وموظفو السجون في الخارج، ولا عن الملاحقات التي جرت بهذا الشأن. وتشعر بالأسف كذلك لأن الوفد لم يقدم تفاصيل عن إجراءات الجبر والتعويض التي استفاد منها ضحايا التعذيب أو سوء المعاملة ولا تفا</w:t>
      </w:r>
      <w:r>
        <w:rPr>
          <w:rtl/>
          <w:lang w:eastAsia="en-GB"/>
        </w:rPr>
        <w:t>صيل عن طرق الاستجواب والتدريب.</w:t>
      </w:r>
    </w:p>
    <w:p w:rsidR="00823B8F" w:rsidRPr="00C1733B" w:rsidRDefault="00823B8F" w:rsidP="00A83CF9">
      <w:pPr>
        <w:pStyle w:val="SingleTxtGA"/>
        <w:spacing w:line="370" w:lineRule="exact"/>
        <w:rPr>
          <w:rFonts w:hint="cs"/>
          <w:b/>
          <w:bCs/>
          <w:lang w:eastAsia="en-GB"/>
        </w:rPr>
      </w:pPr>
      <w:r w:rsidRPr="00C1733B">
        <w:rPr>
          <w:b/>
          <w:bCs/>
          <w:rtl/>
          <w:lang w:eastAsia="en-GB"/>
        </w:rPr>
        <w:tab/>
        <w:t>ينبغي للدولة الطرف أن تجمّع بيانات إحصائية تتصل برصد تنفيذ الاتفاقية على الصعيد الوطني، بما في ذلك البيانات المتعلقة بالشكاوى والتحقيقات والمحاكمات والإدانات بشأن قضايا التعذيب وسوء المعاملة، فضلا</w:t>
      </w:r>
      <w:r w:rsidR="009037B3">
        <w:rPr>
          <w:rFonts w:hint="cs"/>
          <w:b/>
          <w:bCs/>
          <w:rtl/>
          <w:lang w:eastAsia="en-GB"/>
        </w:rPr>
        <w:t>ً</w:t>
      </w:r>
      <w:r w:rsidRPr="00C1733B">
        <w:rPr>
          <w:b/>
          <w:bCs/>
          <w:rtl/>
          <w:lang w:eastAsia="en-GB"/>
        </w:rPr>
        <w:t xml:space="preserve"> عن البيانات المتعلقة بسبل الانتصاف، بما في ذلك التعويضات وخدمات إعادة التأهيل التي استفاد منها الضحايا. وينبغي أن تقدم أيضا</w:t>
      </w:r>
      <w:r w:rsidR="002F691F">
        <w:rPr>
          <w:rFonts w:hint="cs"/>
          <w:b/>
          <w:bCs/>
          <w:rtl/>
          <w:lang w:eastAsia="en-GB"/>
        </w:rPr>
        <w:t>ً</w:t>
      </w:r>
      <w:r w:rsidRPr="00C1733B">
        <w:rPr>
          <w:b/>
          <w:bCs/>
          <w:rtl/>
          <w:lang w:eastAsia="en-GB"/>
        </w:rPr>
        <w:t xml:space="preserve"> معلومات عن الدورات التدريبية والبرامج التثقيفية لا سيما ما تعلق منها بطرق الاستجواب، التي يستفيد منها جميع الموظفين بمن فيهم موظفو إنفاذ القانون وأفراد جهاز الأمن وموظفو السجون.</w:t>
      </w:r>
    </w:p>
    <w:p w:rsidR="00823B8F" w:rsidRPr="00C1733B" w:rsidRDefault="00C54611" w:rsidP="00124AEF">
      <w:pPr>
        <w:pStyle w:val="H23GA"/>
        <w:rPr>
          <w:rFonts w:eastAsia="SimSun" w:hint="cs"/>
        </w:rPr>
      </w:pPr>
      <w:r w:rsidRPr="00C1733B">
        <w:rPr>
          <w:rFonts w:eastAsia="SimSun" w:hint="cs"/>
          <w:rtl/>
        </w:rPr>
        <w:tab/>
      </w:r>
      <w:r w:rsidRPr="00C1733B">
        <w:rPr>
          <w:rFonts w:eastAsia="SimSun" w:hint="cs"/>
          <w:rtl/>
        </w:rPr>
        <w:tab/>
      </w:r>
      <w:r w:rsidR="00823B8F" w:rsidRPr="00C1733B">
        <w:rPr>
          <w:rFonts w:eastAsia="SimSun" w:hint="cs"/>
          <w:rtl/>
        </w:rPr>
        <w:t>مسائل أخرى</w:t>
      </w:r>
    </w:p>
    <w:p w:rsidR="00823B8F" w:rsidRPr="00C1733B" w:rsidRDefault="009037B3" w:rsidP="009037B3">
      <w:pPr>
        <w:pStyle w:val="SingleTxtGA"/>
        <w:rPr>
          <w:rFonts w:eastAsia="SimSun" w:hint="cs"/>
          <w:lang w:eastAsia="zh-CN"/>
        </w:rPr>
      </w:pPr>
      <w:r>
        <w:rPr>
          <w:rFonts w:eastAsia="SimSun" w:hint="cs"/>
          <w:rtl/>
          <w:lang w:eastAsia="zh-CN"/>
        </w:rPr>
        <w:t>(</w:t>
      </w:r>
      <w:r w:rsidR="00823B8F" w:rsidRPr="00C1733B">
        <w:rPr>
          <w:rFonts w:eastAsia="SimSun"/>
          <w:rtl/>
          <w:lang w:eastAsia="zh-CN"/>
        </w:rPr>
        <w:t>36</w:t>
      </w:r>
      <w:r>
        <w:rPr>
          <w:rFonts w:eastAsia="SimSun" w:hint="cs"/>
          <w:rtl/>
          <w:lang w:eastAsia="zh-CN"/>
        </w:rPr>
        <w:t>)</w:t>
      </w:r>
      <w:r>
        <w:rPr>
          <w:rFonts w:eastAsia="SimSun" w:hint="cs"/>
          <w:rtl/>
          <w:lang w:eastAsia="zh-CN"/>
        </w:rPr>
        <w:tab/>
      </w:r>
      <w:r w:rsidR="00823B8F" w:rsidRPr="00C1733B">
        <w:rPr>
          <w:rFonts w:eastAsia="SimSun"/>
          <w:rtl/>
          <w:lang w:eastAsia="zh-CN"/>
        </w:rPr>
        <w:t>تدعو اللجنة الدولة الطرف إلى التصديق على معاهدات الأمم المتحدة الأساسية لحقوق الإنسان التي لم تصبح طرفاً فيها بعد، ألا وهي الاتفاقية الدولية لحماية حقوق جميع</w:t>
      </w:r>
      <w:r>
        <w:rPr>
          <w:rFonts w:eastAsia="SimSun" w:hint="cs"/>
          <w:rtl/>
          <w:lang w:eastAsia="zh-CN"/>
        </w:rPr>
        <w:t> </w:t>
      </w:r>
      <w:r w:rsidR="00823B8F" w:rsidRPr="00C1733B">
        <w:rPr>
          <w:rFonts w:eastAsia="SimSun"/>
          <w:rtl/>
          <w:lang w:eastAsia="zh-CN"/>
        </w:rPr>
        <w:t>العمال المهاجرين وأفراد أسرهم والاتفاقية الدولية لحماية جميع الأشخاص من الاختفاء</w:t>
      </w:r>
      <w:r>
        <w:rPr>
          <w:rFonts w:eastAsia="SimSun" w:hint="cs"/>
          <w:rtl/>
          <w:lang w:eastAsia="zh-CN"/>
        </w:rPr>
        <w:t> </w:t>
      </w:r>
      <w:r w:rsidR="00823B8F" w:rsidRPr="00C1733B">
        <w:rPr>
          <w:rFonts w:eastAsia="SimSun"/>
          <w:rtl/>
          <w:lang w:eastAsia="zh-CN"/>
        </w:rPr>
        <w:t>القسري.</w:t>
      </w:r>
    </w:p>
    <w:p w:rsidR="00823B8F" w:rsidRPr="00C1733B" w:rsidRDefault="009037B3" w:rsidP="009037B3">
      <w:pPr>
        <w:pStyle w:val="SingleTxtGA"/>
        <w:rPr>
          <w:rFonts w:eastAsia="SimSun" w:hint="cs"/>
          <w:lang w:eastAsia="zh-CN"/>
        </w:rPr>
      </w:pPr>
      <w:r>
        <w:rPr>
          <w:rFonts w:eastAsia="SimSun" w:hint="cs"/>
          <w:rtl/>
          <w:lang w:eastAsia="zh-CN"/>
        </w:rPr>
        <w:t>(</w:t>
      </w:r>
      <w:r w:rsidR="00823B8F" w:rsidRPr="00C1733B">
        <w:rPr>
          <w:rFonts w:eastAsia="SimSun"/>
          <w:rtl/>
          <w:lang w:eastAsia="zh-CN"/>
        </w:rPr>
        <w:t>37</w:t>
      </w:r>
      <w:r>
        <w:rPr>
          <w:rFonts w:eastAsia="SimSun" w:hint="cs"/>
          <w:rtl/>
          <w:lang w:eastAsia="zh-CN"/>
        </w:rPr>
        <w:t>)</w:t>
      </w:r>
      <w:r>
        <w:rPr>
          <w:rFonts w:eastAsia="SimSun" w:hint="cs"/>
          <w:rtl/>
          <w:lang w:eastAsia="zh-CN"/>
        </w:rPr>
        <w:tab/>
      </w:r>
      <w:r w:rsidR="00823B8F" w:rsidRPr="00C1733B">
        <w:rPr>
          <w:rFonts w:eastAsia="SimSun"/>
          <w:rtl/>
          <w:lang w:eastAsia="zh-CN"/>
        </w:rPr>
        <w:t>وتطلب إلى الدولة الطرف نشر التقارير المقدمة إلى اللجنة وكذلك هذه الملاحظات الختامية، على نطاق واسع وباللغات المناسبة، عن طريق المواقع الشبكية الرسمية ووسائط الإعلام والمنظمات غير الحكومية.</w:t>
      </w:r>
    </w:p>
    <w:p w:rsidR="00823B8F" w:rsidRPr="009037B3" w:rsidRDefault="009037B3" w:rsidP="009037B3">
      <w:pPr>
        <w:pStyle w:val="SingleTxtGA"/>
        <w:rPr>
          <w:rFonts w:eastAsia="SimSun" w:hint="cs"/>
          <w:spacing w:val="-2"/>
          <w:lang w:eastAsia="zh-CN"/>
        </w:rPr>
      </w:pPr>
      <w:r w:rsidRPr="009037B3">
        <w:rPr>
          <w:rFonts w:eastAsia="SimSun" w:hint="cs"/>
          <w:spacing w:val="-2"/>
          <w:rtl/>
          <w:lang w:eastAsia="zh-CN"/>
        </w:rPr>
        <w:t>(</w:t>
      </w:r>
      <w:r w:rsidR="00823B8F" w:rsidRPr="009037B3">
        <w:rPr>
          <w:rFonts w:eastAsia="SimSun"/>
          <w:spacing w:val="-2"/>
          <w:rtl/>
          <w:lang w:eastAsia="zh-CN"/>
        </w:rPr>
        <w:t>38</w:t>
      </w:r>
      <w:r w:rsidRPr="009037B3">
        <w:rPr>
          <w:rFonts w:eastAsia="SimSun" w:hint="cs"/>
          <w:spacing w:val="-2"/>
          <w:rtl/>
          <w:lang w:eastAsia="zh-CN"/>
        </w:rPr>
        <w:t>)</w:t>
      </w:r>
      <w:r w:rsidRPr="009037B3">
        <w:rPr>
          <w:rFonts w:eastAsia="SimSun" w:hint="cs"/>
          <w:spacing w:val="-2"/>
          <w:rtl/>
          <w:lang w:eastAsia="zh-CN"/>
        </w:rPr>
        <w:tab/>
      </w:r>
      <w:r w:rsidR="00823B8F" w:rsidRPr="009037B3">
        <w:rPr>
          <w:rFonts w:eastAsia="SimSun"/>
          <w:spacing w:val="-2"/>
          <w:rtl/>
          <w:lang w:eastAsia="zh-CN"/>
        </w:rPr>
        <w:t xml:space="preserve">وتطلب اللجنة إلى الدولة الطرف أن تقدم، بحلول 31 أيار/مايو 2014، معلومات عن متابعة الإجراءات المتخذة استجابة لتوصيات اللجنة فيما يتعلق بالتالي: (أ) إجراء تحقيقات في المزاعم المتعلقة بالتعرض لأعمال تعذيب في الخارج؛ (ب) التقيد بالضمانات التي تكفل احترام مبدأ عدم الإعادة القسرية؛ (ج) ضمان الإفراج فورا عن شاكر عامر وعودته إلى المملكة المتحدة؛ (د) اعتماد تدابير شاملة </w:t>
      </w:r>
      <w:r w:rsidR="00823B8F" w:rsidRPr="009037B3">
        <w:rPr>
          <w:rFonts w:eastAsia="SimSun" w:hint="cs"/>
          <w:spacing w:val="-2"/>
          <w:rtl/>
          <w:lang w:eastAsia="zh-CN"/>
        </w:rPr>
        <w:t xml:space="preserve">فيما يتعلق </w:t>
      </w:r>
      <w:r w:rsidR="00823B8F" w:rsidRPr="009037B3">
        <w:rPr>
          <w:rFonts w:eastAsia="SimSun"/>
          <w:spacing w:val="-2"/>
          <w:rtl/>
          <w:lang w:eastAsia="zh-CN"/>
        </w:rPr>
        <w:t xml:space="preserve">بالعدالة الانتقالية في </w:t>
      </w:r>
      <w:r>
        <w:rPr>
          <w:rFonts w:eastAsia="SimSun" w:hint="cs"/>
          <w:spacing w:val="-2"/>
          <w:rtl/>
          <w:lang w:eastAsia="zh-CN"/>
        </w:rPr>
        <w:t>أ</w:t>
      </w:r>
      <w:r w:rsidR="00823B8F" w:rsidRPr="009037B3">
        <w:rPr>
          <w:rFonts w:eastAsia="SimSun"/>
          <w:spacing w:val="-2"/>
          <w:rtl/>
          <w:lang w:eastAsia="zh-CN"/>
        </w:rPr>
        <w:t>يرلندا الشمالية</w:t>
      </w:r>
      <w:r>
        <w:rPr>
          <w:rFonts w:eastAsia="SimSun" w:hint="cs"/>
          <w:spacing w:val="-2"/>
          <w:rtl/>
          <w:lang w:eastAsia="zh-CN"/>
        </w:rPr>
        <w:t>؛</w:t>
      </w:r>
      <w:r w:rsidR="00823B8F" w:rsidRPr="009037B3">
        <w:rPr>
          <w:rFonts w:eastAsia="SimSun"/>
          <w:spacing w:val="-2"/>
          <w:rtl/>
          <w:lang w:eastAsia="zh-CN"/>
        </w:rPr>
        <w:t xml:space="preserve"> (</w:t>
      </w:r>
      <w:r w:rsidR="003241B0" w:rsidRPr="009037B3">
        <w:rPr>
          <w:rFonts w:eastAsia="SimSun" w:hint="cs"/>
          <w:spacing w:val="-2"/>
          <w:rtl/>
          <w:lang w:eastAsia="zh-CN"/>
        </w:rPr>
        <w:t>ﻫ)</w:t>
      </w:r>
      <w:r w:rsidR="00823B8F" w:rsidRPr="009037B3">
        <w:rPr>
          <w:rFonts w:eastAsia="SimSun"/>
          <w:spacing w:val="-2"/>
          <w:rtl/>
          <w:lang w:eastAsia="zh-CN"/>
        </w:rPr>
        <w:t xml:space="preserve"> إجراء تحقيقات فورية وشاملة ومستقلة على النحو الوارد في الفقرات 15 و19 و20 و23 أعلاه.</w:t>
      </w:r>
    </w:p>
    <w:p w:rsidR="00631BFA" w:rsidRDefault="003241B0" w:rsidP="00124AEF">
      <w:pPr>
        <w:pStyle w:val="SingleTxtGA"/>
        <w:rPr>
          <w:rFonts w:eastAsia="SimSun" w:hint="cs"/>
          <w:rtl/>
          <w:lang w:eastAsia="zh-CN"/>
        </w:rPr>
      </w:pPr>
      <w:r w:rsidRPr="00C1733B">
        <w:rPr>
          <w:rFonts w:eastAsia="SimSun" w:hint="cs"/>
          <w:rtl/>
          <w:lang w:eastAsia="zh-CN"/>
        </w:rPr>
        <w:t>(</w:t>
      </w:r>
      <w:r w:rsidR="00823B8F" w:rsidRPr="00C1733B">
        <w:rPr>
          <w:rFonts w:eastAsia="SimSun" w:hint="cs"/>
          <w:rtl/>
          <w:lang w:eastAsia="zh-CN"/>
        </w:rPr>
        <w:t>39</w:t>
      </w:r>
      <w:r w:rsidRPr="00C1733B">
        <w:rPr>
          <w:rFonts w:eastAsia="SimSun" w:hint="cs"/>
          <w:rtl/>
          <w:lang w:eastAsia="zh-CN"/>
        </w:rPr>
        <w:t>)</w:t>
      </w:r>
      <w:r w:rsidRPr="00C1733B">
        <w:rPr>
          <w:rFonts w:eastAsia="SimSun" w:hint="cs"/>
          <w:rtl/>
          <w:lang w:eastAsia="zh-CN"/>
        </w:rPr>
        <w:tab/>
      </w:r>
      <w:r w:rsidR="00823B8F" w:rsidRPr="00C1733B">
        <w:rPr>
          <w:rFonts w:eastAsia="SimSun"/>
          <w:rtl/>
          <w:lang w:eastAsia="zh-CN"/>
        </w:rPr>
        <w:t xml:space="preserve">والدولة الطرف مدعوة إلى تقديم تقريرها المقبل، الذي سيكون التقرير الدوري </w:t>
      </w:r>
      <w:r w:rsidR="00823B8F" w:rsidRPr="00C1733B">
        <w:rPr>
          <w:rFonts w:eastAsia="SimSun" w:hint="cs"/>
          <w:rtl/>
          <w:lang w:eastAsia="zh-CN"/>
        </w:rPr>
        <w:t>السادس</w:t>
      </w:r>
      <w:r w:rsidR="00823B8F" w:rsidRPr="00C1733B">
        <w:rPr>
          <w:rFonts w:eastAsia="SimSun"/>
          <w:rtl/>
          <w:lang w:eastAsia="zh-CN"/>
        </w:rPr>
        <w:t xml:space="preserve">، بحلول </w:t>
      </w:r>
      <w:r w:rsidR="00823B8F" w:rsidRPr="00C1733B">
        <w:rPr>
          <w:rFonts w:eastAsia="SimSun" w:hint="cs"/>
          <w:rtl/>
          <w:lang w:eastAsia="zh-CN"/>
        </w:rPr>
        <w:t>31</w:t>
      </w:r>
      <w:r w:rsidR="00823B8F" w:rsidRPr="00C1733B">
        <w:rPr>
          <w:rFonts w:eastAsia="SimSun"/>
          <w:rtl/>
          <w:lang w:eastAsia="zh-CN"/>
        </w:rPr>
        <w:t xml:space="preserve"> </w:t>
      </w:r>
      <w:r w:rsidR="00823B8F" w:rsidRPr="00C1733B">
        <w:rPr>
          <w:rFonts w:eastAsia="SimSun" w:hint="cs"/>
          <w:rtl/>
          <w:lang w:eastAsia="zh-CN"/>
        </w:rPr>
        <w:t>أيار/مايو 2017</w:t>
      </w:r>
      <w:r w:rsidR="00823B8F" w:rsidRPr="00C1733B">
        <w:rPr>
          <w:rFonts w:eastAsia="SimSun"/>
          <w:rtl/>
          <w:lang w:eastAsia="zh-CN"/>
        </w:rPr>
        <w:t xml:space="preserve">. ولهذا الغرض، تدعو اللجنة الدولة الطرف إلى أن توافق، بحلول </w:t>
      </w:r>
      <w:r w:rsidR="00823B8F" w:rsidRPr="00C1733B">
        <w:rPr>
          <w:rFonts w:eastAsia="SimSun" w:hint="cs"/>
          <w:rtl/>
          <w:lang w:eastAsia="zh-CN"/>
        </w:rPr>
        <w:t>31 أيار/مايو 2014</w:t>
      </w:r>
      <w:r w:rsidR="00823B8F" w:rsidRPr="00C1733B">
        <w:rPr>
          <w:rFonts w:eastAsia="SimSun"/>
          <w:rtl/>
          <w:lang w:eastAsia="zh-CN"/>
        </w:rPr>
        <w:t>، على إعداد تقريرها وفقاً للإجراء الاختيار</w:t>
      </w:r>
      <w:r w:rsidR="00823B8F" w:rsidRPr="00C1733B">
        <w:rPr>
          <w:rFonts w:eastAsia="SimSun" w:hint="cs"/>
          <w:rtl/>
          <w:lang w:eastAsia="zh-CN"/>
        </w:rPr>
        <w:t>ي</w:t>
      </w:r>
      <w:r w:rsidR="00823B8F" w:rsidRPr="00C1733B">
        <w:rPr>
          <w:rtl/>
        </w:rPr>
        <w:t xml:space="preserve"> </w:t>
      </w:r>
      <w:r w:rsidR="00823B8F" w:rsidRPr="00C1733B">
        <w:rPr>
          <w:rFonts w:eastAsia="SimSun"/>
          <w:rtl/>
          <w:lang w:eastAsia="zh-CN"/>
        </w:rPr>
        <w:t xml:space="preserve">الذي توجه اللجنة بمقتضاه إلى الدولة الطرف قائمة </w:t>
      </w:r>
      <w:r w:rsidR="00124AEF">
        <w:rPr>
          <w:rFonts w:eastAsia="SimSun" w:hint="cs"/>
          <w:rtl/>
          <w:lang w:eastAsia="zh-CN"/>
        </w:rPr>
        <w:t xml:space="preserve">بالقضايا </w:t>
      </w:r>
      <w:r w:rsidR="00823B8F" w:rsidRPr="00C1733B">
        <w:rPr>
          <w:rFonts w:eastAsia="SimSun"/>
          <w:rtl/>
          <w:lang w:eastAsia="zh-CN"/>
        </w:rPr>
        <w:t xml:space="preserve">الواجب النظر فيها يتم إعدادها قبل تقديم التقرير الدوري. وتشكل ردود الدولة الطرف على قائمة </w:t>
      </w:r>
      <w:r w:rsidR="00124AEF">
        <w:rPr>
          <w:rFonts w:eastAsia="SimSun" w:hint="cs"/>
          <w:rtl/>
          <w:lang w:eastAsia="zh-CN"/>
        </w:rPr>
        <w:t xml:space="preserve">بالقضايا </w:t>
      </w:r>
      <w:r w:rsidR="00823B8F" w:rsidRPr="00C1733B">
        <w:rPr>
          <w:rFonts w:eastAsia="SimSun"/>
          <w:rtl/>
          <w:lang w:eastAsia="zh-CN"/>
        </w:rPr>
        <w:t>الواجب معالجتها تقريرها الدوري المقبل بموجب المادة 19 من الاتفاقية.</w:t>
      </w:r>
    </w:p>
    <w:p w:rsidR="00970856" w:rsidRPr="004E0A37" w:rsidRDefault="00970856" w:rsidP="00970856">
      <w:pPr>
        <w:pStyle w:val="HChGA"/>
        <w:spacing w:before="120"/>
        <w:rPr>
          <w:rFonts w:hint="cs"/>
          <w:rtl/>
          <w:lang w:val="fr-CH"/>
        </w:rPr>
      </w:pPr>
      <w:r>
        <w:rPr>
          <w:rFonts w:eastAsia="SimSun"/>
          <w:rtl/>
          <w:lang w:eastAsia="zh-CN"/>
        </w:rPr>
        <w:br w:type="page"/>
      </w:r>
      <w:r>
        <w:rPr>
          <w:rFonts w:hint="cs"/>
          <w:rtl/>
        </w:rPr>
        <w:tab/>
      </w:r>
      <w:r w:rsidRPr="004E0A37">
        <w:rPr>
          <w:rFonts w:hint="cs"/>
          <w:rtl/>
          <w:lang w:val="fr-CH"/>
        </w:rPr>
        <w:t>رابعاً-</w:t>
      </w:r>
      <w:r w:rsidRPr="004E0A37">
        <w:rPr>
          <w:rFonts w:hint="cs"/>
          <w:rtl/>
          <w:lang w:val="fr-CH"/>
        </w:rPr>
        <w:tab/>
        <w:t>متابعة الملاحظات الختامية بشأن تقارير الدول الأطراف</w:t>
      </w:r>
    </w:p>
    <w:p w:rsidR="00970856" w:rsidRPr="00377F31" w:rsidRDefault="00970856" w:rsidP="00970856">
      <w:pPr>
        <w:pStyle w:val="SingleTxtGA"/>
        <w:rPr>
          <w:rFonts w:hint="cs"/>
          <w:rtl/>
        </w:rPr>
      </w:pPr>
      <w:r>
        <w:rPr>
          <w:rFonts w:hint="cs"/>
          <w:rtl/>
        </w:rPr>
        <w:t>76</w:t>
      </w:r>
      <w:r w:rsidRPr="00377F31">
        <w:rPr>
          <w:rFonts w:hint="cs"/>
          <w:rtl/>
        </w:rPr>
        <w:t>-</w:t>
      </w:r>
      <w:r w:rsidRPr="00377F31">
        <w:rPr>
          <w:rFonts w:hint="cs"/>
          <w:rtl/>
          <w:lang/>
        </w:rPr>
        <w:tab/>
        <w:t xml:space="preserve">يقدم هذا الفصل </w:t>
      </w:r>
      <w:r w:rsidRPr="00377F31">
        <w:rPr>
          <w:rFonts w:hint="cs"/>
          <w:rtl/>
        </w:rPr>
        <w:t xml:space="preserve">معلومات عن ردود المتابعة الواردة من الدول الأطراف وعن أنشطة المقررة المعنية بمتابعة الملاحظات الختامية بموجب المادة 19 من الاتفاقية، بما في ذلك </w:t>
      </w:r>
      <w:r>
        <w:rPr>
          <w:rFonts w:hint="cs"/>
          <w:rtl/>
        </w:rPr>
        <w:t>موجز ل</w:t>
      </w:r>
      <w:r w:rsidRPr="00377F31">
        <w:rPr>
          <w:rFonts w:hint="cs"/>
          <w:rtl/>
        </w:rPr>
        <w:t xml:space="preserve">آراء المقررة بشأن نتائج هذا الإجراء. وقد تم تحديث هذه المعلومات إلى غاية 31 أيار/مايو 2013، موعد انتهاء الدورة الخمسين للجنة. </w:t>
      </w:r>
      <w:r>
        <w:rPr>
          <w:rFonts w:hint="cs"/>
          <w:rtl/>
        </w:rPr>
        <w:t xml:space="preserve">وترد معلومات مفصلة، منها بيانات وردود مقدمة في إطار إجراء المتابعة، على موقع لجنة مناهضة التعذيب على العنوان التالي: </w:t>
      </w:r>
      <w:r w:rsidRPr="00ED739B">
        <w:rPr>
          <w:lang/>
        </w:rPr>
        <w:t>http://tbinternet.ohchr.org/_layouts/TreatyBodyExternal/FollowUp.aspx?Lang=En&amp;TreatyID=1</w:t>
      </w:r>
      <w:r>
        <w:rPr>
          <w:rFonts w:hint="cs"/>
          <w:rtl/>
        </w:rPr>
        <w:t>.</w:t>
      </w:r>
    </w:p>
    <w:p w:rsidR="00970856" w:rsidRPr="004E0A37" w:rsidRDefault="00970856" w:rsidP="00970856">
      <w:pPr>
        <w:pStyle w:val="SingleTxtGA"/>
        <w:rPr>
          <w:rFonts w:hint="cs"/>
          <w:rtl/>
        </w:rPr>
      </w:pPr>
      <w:r>
        <w:rPr>
          <w:rFonts w:hint="cs"/>
          <w:rtl/>
        </w:rPr>
        <w:t>77</w:t>
      </w:r>
      <w:r w:rsidRPr="004E0A37">
        <w:rPr>
          <w:rFonts w:hint="cs"/>
          <w:rtl/>
        </w:rPr>
        <w:t>-</w:t>
      </w:r>
      <w:r w:rsidRPr="004E0A37">
        <w:rPr>
          <w:rFonts w:hint="cs"/>
          <w:rtl/>
        </w:rPr>
        <w:tab/>
        <w:t>وأنشأت اللجنة،</w:t>
      </w:r>
      <w:r>
        <w:rPr>
          <w:rFonts w:hint="cs"/>
          <w:rtl/>
        </w:rPr>
        <w:t xml:space="preserve"> وفقاً </w:t>
      </w:r>
      <w:r w:rsidRPr="004E0A37">
        <w:rPr>
          <w:rFonts w:hint="cs"/>
          <w:rtl/>
        </w:rPr>
        <w:t>لنظامها الداخلي، منصب المقرر المعني بمتابعة الملاحظات الختامية الموضوعة بموجب المادة 19 من الاتفاقية وعيَّنت السيدة فيليس غايير لشغل ذلك المنصب.</w:t>
      </w:r>
      <w:r>
        <w:rPr>
          <w:rFonts w:hint="cs"/>
          <w:rtl/>
        </w:rPr>
        <w:t xml:space="preserve"> </w:t>
      </w:r>
      <w:r w:rsidRPr="004E0A37">
        <w:rPr>
          <w:rFonts w:hint="cs"/>
          <w:rtl/>
        </w:rPr>
        <w:t>وقدمت اللجنة في تقريرها السنوي لعامي 2005-2006</w:t>
      </w:r>
      <w:r>
        <w:rPr>
          <w:vertAlign w:val="superscript"/>
          <w:rtl/>
        </w:rPr>
        <w:t>(</w:t>
      </w:r>
      <w:r>
        <w:rPr>
          <w:rStyle w:val="FootnoteReference"/>
          <w:rtl/>
        </w:rPr>
        <w:footnoteReference w:id="14"/>
      </w:r>
      <w:r>
        <w:rPr>
          <w:vertAlign w:val="superscript"/>
          <w:rtl/>
        </w:rPr>
        <w:t>)</w:t>
      </w:r>
      <w:r>
        <w:rPr>
          <w:rFonts w:hint="cs"/>
          <w:rtl/>
        </w:rPr>
        <w:t xml:space="preserve"> </w:t>
      </w:r>
      <w:r w:rsidRPr="004E0A37">
        <w:rPr>
          <w:rFonts w:hint="cs"/>
          <w:rtl/>
        </w:rPr>
        <w:t>وصفاً للإطار الذي وضعته للمتابعة عقب اعتماد الملاحظات الختامية على تقارير الدول الأطراف. وقدمت اللجنة في تقاريرها للسنوات اللاحقة معلومات عن تجربتها في تلقي المعلومات المتعلقة بتدابير المتابعة التي اتخذتها الدول الأطراف منذ بدء ا</w:t>
      </w:r>
      <w:r>
        <w:rPr>
          <w:rFonts w:hint="cs"/>
          <w:rtl/>
        </w:rPr>
        <w:t>لعمل بالإجراء في أيار/مايو 2003، بما في ذلك الاتجاهات الموضوعية والتعديلات الإضافية التي أدخلتها على الإجراء.</w:t>
      </w:r>
    </w:p>
    <w:p w:rsidR="00970856" w:rsidRPr="004E0A37" w:rsidRDefault="00970856" w:rsidP="00970856">
      <w:pPr>
        <w:pStyle w:val="SingleTxtGA"/>
        <w:rPr>
          <w:rFonts w:hint="cs"/>
          <w:rtl/>
        </w:rPr>
      </w:pPr>
      <w:r>
        <w:rPr>
          <w:rFonts w:hint="cs"/>
          <w:rtl/>
        </w:rPr>
        <w:t>78</w:t>
      </w:r>
      <w:r w:rsidRPr="004E0A37">
        <w:rPr>
          <w:rFonts w:hint="cs"/>
          <w:rtl/>
        </w:rPr>
        <w:t>-</w:t>
      </w:r>
      <w:r w:rsidRPr="004E0A37">
        <w:rPr>
          <w:rFonts w:hint="cs"/>
          <w:rtl/>
        </w:rPr>
        <w:tab/>
        <w:t xml:space="preserve">وفي اختتام استعراض اللجنة لتقرير كل دولة طرف، تحدد اللجنة دواعي القلق وتوصي بتدابير محددة بغية منع أعمال التعذيب و/أو سوء المعاملة. </w:t>
      </w:r>
      <w:r>
        <w:rPr>
          <w:rFonts w:hint="cs"/>
          <w:rtl/>
        </w:rPr>
        <w:t>وتقدم</w:t>
      </w:r>
      <w:r w:rsidRPr="004E0A37">
        <w:rPr>
          <w:rFonts w:hint="cs"/>
          <w:rtl/>
        </w:rPr>
        <w:t xml:space="preserve"> اللجنة بذلك</w:t>
      </w:r>
      <w:r>
        <w:rPr>
          <w:rFonts w:hint="cs"/>
          <w:rtl/>
        </w:rPr>
        <w:t xml:space="preserve"> المشورة إلى</w:t>
      </w:r>
      <w:r w:rsidRPr="004E0A37">
        <w:rPr>
          <w:rFonts w:hint="cs"/>
          <w:rtl/>
        </w:rPr>
        <w:t xml:space="preserve"> الدول الأطراف </w:t>
      </w:r>
      <w:r>
        <w:rPr>
          <w:rFonts w:hint="cs"/>
          <w:rtl/>
        </w:rPr>
        <w:t xml:space="preserve">فيما يخص آراء اللجنة في </w:t>
      </w:r>
      <w:r w:rsidRPr="004E0A37">
        <w:rPr>
          <w:rFonts w:hint="cs"/>
          <w:rtl/>
        </w:rPr>
        <w:t>التدابير التشريعية والقضائية والإدارية الفعالة وغيرها من التدابير من أجل جعل قوانين</w:t>
      </w:r>
      <w:r>
        <w:rPr>
          <w:rFonts w:hint="cs"/>
          <w:rtl/>
        </w:rPr>
        <w:t xml:space="preserve"> الدول الأطراف</w:t>
      </w:r>
      <w:r w:rsidRPr="004E0A37">
        <w:rPr>
          <w:rFonts w:hint="cs"/>
          <w:rtl/>
        </w:rPr>
        <w:t xml:space="preserve"> وممارساتها موافقة للالتزامات الناشئة عن الاتفاقية.</w:t>
      </w:r>
    </w:p>
    <w:p w:rsidR="00970856" w:rsidRDefault="00970856" w:rsidP="00970856">
      <w:pPr>
        <w:pStyle w:val="SingleTxtGA"/>
        <w:rPr>
          <w:rFonts w:hint="cs"/>
          <w:rtl/>
        </w:rPr>
      </w:pPr>
      <w:r>
        <w:rPr>
          <w:rFonts w:hint="cs"/>
          <w:rtl/>
        </w:rPr>
        <w:t>79</w:t>
      </w:r>
      <w:r w:rsidRPr="00377F31">
        <w:rPr>
          <w:rFonts w:hint="cs"/>
          <w:rtl/>
        </w:rPr>
        <w:t>-</w:t>
      </w:r>
      <w:r w:rsidRPr="00377F31">
        <w:rPr>
          <w:rFonts w:hint="cs"/>
          <w:rtl/>
        </w:rPr>
        <w:tab/>
        <w:t>و</w:t>
      </w:r>
      <w:r>
        <w:rPr>
          <w:rFonts w:hint="cs"/>
          <w:rtl/>
        </w:rPr>
        <w:t>ت</w:t>
      </w:r>
      <w:r w:rsidRPr="00377F31">
        <w:rPr>
          <w:rFonts w:hint="cs"/>
          <w:rtl/>
        </w:rPr>
        <w:t>حدد اللجنة، في الإجراء الذي وضعته بشأن المتابعة، عدداً من توصياتها التي وجهتها لكل دولة طرف على أنها تستدعي تقديم معلومات إضافية في غضون سنة واحدة. وح</w:t>
      </w:r>
      <w:r>
        <w:rPr>
          <w:rFonts w:hint="cs"/>
          <w:rtl/>
        </w:rPr>
        <w:t>ُ</w:t>
      </w:r>
      <w:r w:rsidRPr="00377F31">
        <w:rPr>
          <w:rFonts w:hint="cs"/>
          <w:rtl/>
        </w:rPr>
        <w:t>ددت توصيات المتابعة هذه لأنها توصيات جادة ووقائية ويُعتقد أن إنجازها ممكن في ظرف سنة واحدة. والدول الأطراف مدعوة إلى تقديم معلومات في غضون سنة بشأن التدابير المتخذة لوضع توصيات المتابعة موضع التنفيذ. وهذه التوصيات التي تتطلب المتابعة في غضون سنة واحدة مدرجة بشكل محدد في فقرة ترد في نهاية كل مجموعة من الملاحظات الختامية.</w:t>
      </w:r>
    </w:p>
    <w:p w:rsidR="00970856" w:rsidRPr="00A50C29" w:rsidRDefault="00970856" w:rsidP="00B0289D">
      <w:pPr>
        <w:pStyle w:val="SingleTxtGA"/>
        <w:rPr>
          <w:rFonts w:hint="cs"/>
          <w:rtl/>
        </w:rPr>
      </w:pPr>
      <w:r>
        <w:rPr>
          <w:rFonts w:hint="cs"/>
          <w:rtl/>
        </w:rPr>
        <w:t>80-</w:t>
      </w:r>
      <w:r>
        <w:rPr>
          <w:rFonts w:hint="cs"/>
          <w:rtl/>
        </w:rPr>
        <w:tab/>
        <w:t>وفي تشرين الثاني/نوفمبر 2011، وبعدما تلقت اللجنة ودرست تحليلا</w:t>
      </w:r>
      <w:r w:rsidR="00560456">
        <w:rPr>
          <w:rFonts w:hint="cs"/>
          <w:rtl/>
        </w:rPr>
        <w:t>ً</w:t>
      </w:r>
      <w:r>
        <w:rPr>
          <w:rFonts w:hint="cs"/>
          <w:rtl/>
        </w:rPr>
        <w:t xml:space="preserve"> لتجربتها بشأن إجراء المتابعة، ولاحظت بشكل خاص العدد الكبير والمتزايد للبنود التي تُحدَّد للمتابعة، اعتمدت اللجنة إطارا</w:t>
      </w:r>
      <w:r w:rsidR="00560456">
        <w:rPr>
          <w:rFonts w:hint="cs"/>
          <w:rtl/>
        </w:rPr>
        <w:t>ً</w:t>
      </w:r>
      <w:r>
        <w:rPr>
          <w:rFonts w:hint="cs"/>
          <w:rtl/>
        </w:rPr>
        <w:t xml:space="preserve"> جديدا</w:t>
      </w:r>
      <w:r w:rsidR="00560456">
        <w:rPr>
          <w:rFonts w:hint="cs"/>
          <w:rtl/>
        </w:rPr>
        <w:t>ً</w:t>
      </w:r>
      <w:r>
        <w:rPr>
          <w:rFonts w:hint="cs"/>
          <w:rtl/>
        </w:rPr>
        <w:t xml:space="preserve"> يرمي إلى تركيز الإجراء</w:t>
      </w:r>
      <w:r>
        <w:rPr>
          <w:vertAlign w:val="superscript"/>
          <w:rtl/>
        </w:rPr>
        <w:t>(</w:t>
      </w:r>
      <w:r>
        <w:rPr>
          <w:rStyle w:val="FootnoteReference"/>
          <w:spacing w:val="-2"/>
          <w:rtl/>
        </w:rPr>
        <w:footnoteReference w:id="15"/>
      </w:r>
      <w:r>
        <w:rPr>
          <w:rFonts w:hint="cs"/>
          <w:vertAlign w:val="superscript"/>
          <w:rtl/>
        </w:rPr>
        <w:t>)</w:t>
      </w:r>
      <w:r>
        <w:rPr>
          <w:rFonts w:hint="cs"/>
          <w:rtl/>
        </w:rPr>
        <w:t>. وتطلب اللجنة في فقرة ترد حوالي نهاية ملاحظاتها الختامية إلى كل دولة طرف تُستعرض بموجب المادة 19 أن تقدم، في غضون سنة واحدة، معلومات عن التدابير المتخذة لتفعيل الملاحظات الختامية فيما يخص (أ) حماية أو</w:t>
      </w:r>
      <w:r w:rsidR="00B0289D">
        <w:rPr>
          <w:rFonts w:hint="eastAsia"/>
          <w:rtl/>
        </w:rPr>
        <w:t> </w:t>
      </w:r>
      <w:r>
        <w:rPr>
          <w:rFonts w:hint="cs"/>
          <w:rtl/>
        </w:rPr>
        <w:t xml:space="preserve">تعزيز الضمانات القانونية للأشخاص المحرومين من حريتهم؛ و(ب) إجراء تحقيقات فورية نزيهة وفعالة؛ و(ج) ملاحقة المشتبه بهم ومعاقبة مرتكبي التعذيب أو إساءة المعاملة. وبالإضافة إلى ذلك، وعند اللزوم، قد يُطلب إلى الدولة الطرف أن تدرج معلومات عن قضايا أخرى وقفت عليها اللجنة في ملاحظاتها الختامية، بما فيها </w:t>
      </w:r>
      <w:r w:rsidR="007F4ECB">
        <w:rPr>
          <w:rFonts w:hint="cs"/>
          <w:rtl/>
        </w:rPr>
        <w:t>ال</w:t>
      </w:r>
      <w:r>
        <w:rPr>
          <w:rFonts w:hint="cs"/>
          <w:rtl/>
        </w:rPr>
        <w:t>سبل التي تنهجها لإنصاف الضحايا وجبر</w:t>
      </w:r>
      <w:r w:rsidR="00B0289D">
        <w:rPr>
          <w:rFonts w:hint="eastAsia"/>
          <w:rtl/>
        </w:rPr>
        <w:t> </w:t>
      </w:r>
      <w:r>
        <w:rPr>
          <w:rFonts w:hint="cs"/>
          <w:rtl/>
        </w:rPr>
        <w:t>ضررهم.</w:t>
      </w:r>
    </w:p>
    <w:p w:rsidR="00970856" w:rsidRDefault="00970856" w:rsidP="00970856">
      <w:pPr>
        <w:pStyle w:val="SingleTxtGA"/>
        <w:rPr>
          <w:rFonts w:hint="cs"/>
          <w:rtl/>
        </w:rPr>
      </w:pPr>
      <w:r>
        <w:rPr>
          <w:rFonts w:hint="cs"/>
          <w:rtl/>
        </w:rPr>
        <w:t>81</w:t>
      </w:r>
      <w:r w:rsidRPr="004E0A37">
        <w:rPr>
          <w:rFonts w:hint="cs"/>
          <w:rtl/>
        </w:rPr>
        <w:t>-</w:t>
      </w:r>
      <w:r w:rsidRPr="004E0A37">
        <w:rPr>
          <w:rFonts w:hint="cs"/>
          <w:rtl/>
        </w:rPr>
        <w:tab/>
        <w:t>ومنذ أن أُنشئ إجراء</w:t>
      </w:r>
      <w:r>
        <w:rPr>
          <w:rFonts w:hint="cs"/>
          <w:rtl/>
        </w:rPr>
        <w:t xml:space="preserve"> المتابعة</w:t>
      </w:r>
      <w:r w:rsidRPr="004E0A37">
        <w:rPr>
          <w:rFonts w:hint="cs"/>
          <w:rtl/>
        </w:rPr>
        <w:t xml:space="preserve"> في الدورة الثلاثين في أيار/مايو 2003 وحتى نهاية الدورة </w:t>
      </w:r>
      <w:r>
        <w:rPr>
          <w:rFonts w:hint="cs"/>
          <w:rtl/>
        </w:rPr>
        <w:t>الخمسين</w:t>
      </w:r>
      <w:r w:rsidRPr="004E0A37">
        <w:rPr>
          <w:rFonts w:hint="cs"/>
          <w:rtl/>
        </w:rPr>
        <w:t xml:space="preserve"> في </w:t>
      </w:r>
      <w:r>
        <w:rPr>
          <w:rFonts w:hint="cs"/>
          <w:rtl/>
          <w:lang/>
        </w:rPr>
        <w:t xml:space="preserve">أيار/مايو </w:t>
      </w:r>
      <w:r w:rsidRPr="004E0A37">
        <w:rPr>
          <w:rFonts w:hint="cs"/>
          <w:rtl/>
          <w:lang/>
        </w:rPr>
        <w:t>201</w:t>
      </w:r>
      <w:r>
        <w:rPr>
          <w:rFonts w:hint="cs"/>
          <w:rtl/>
          <w:lang/>
        </w:rPr>
        <w:t>3</w:t>
      </w:r>
      <w:r w:rsidRPr="004E0A37">
        <w:rPr>
          <w:rFonts w:hint="cs"/>
          <w:rtl/>
        </w:rPr>
        <w:t xml:space="preserve">، استعرضت اللجنة </w:t>
      </w:r>
      <w:r>
        <w:rPr>
          <w:rFonts w:hint="cs"/>
          <w:rtl/>
        </w:rPr>
        <w:t>142 تقريراً</w:t>
      </w:r>
      <w:r w:rsidRPr="004E0A37">
        <w:rPr>
          <w:rFonts w:hint="cs"/>
          <w:rtl/>
        </w:rPr>
        <w:t xml:space="preserve"> مقدمة من الدول الأطراف وتوصلت بشأنها إلى توصيات بالمتابعة. ومن أصل 1</w:t>
      </w:r>
      <w:r>
        <w:rPr>
          <w:rFonts w:hint="cs"/>
          <w:rtl/>
        </w:rPr>
        <w:t>25</w:t>
      </w:r>
      <w:r w:rsidRPr="004E0A37">
        <w:rPr>
          <w:rFonts w:hint="cs"/>
          <w:rtl/>
        </w:rPr>
        <w:t xml:space="preserve"> من </w:t>
      </w:r>
      <w:r>
        <w:rPr>
          <w:rFonts w:hint="cs"/>
          <w:rtl/>
        </w:rPr>
        <w:t>تقارير المتابعة</w:t>
      </w:r>
      <w:r w:rsidRPr="004E0A37">
        <w:rPr>
          <w:rFonts w:hint="cs"/>
          <w:rtl/>
        </w:rPr>
        <w:t xml:space="preserve"> </w:t>
      </w:r>
      <w:r>
        <w:rPr>
          <w:rFonts w:hint="cs"/>
          <w:rtl/>
        </w:rPr>
        <w:t>التي يحل موعد تقديمها</w:t>
      </w:r>
      <w:r w:rsidRPr="004E0A37">
        <w:rPr>
          <w:rFonts w:hint="cs"/>
          <w:rtl/>
        </w:rPr>
        <w:t xml:space="preserve"> بحلول </w:t>
      </w:r>
      <w:r>
        <w:rPr>
          <w:rFonts w:hint="cs"/>
          <w:rtl/>
        </w:rPr>
        <w:t>31</w:t>
      </w:r>
      <w:r w:rsidRPr="004E0A37">
        <w:rPr>
          <w:rFonts w:hint="cs"/>
          <w:rtl/>
        </w:rPr>
        <w:t xml:space="preserve"> </w:t>
      </w:r>
      <w:r>
        <w:rPr>
          <w:rFonts w:hint="cs"/>
          <w:rtl/>
        </w:rPr>
        <w:t>أيار</w:t>
      </w:r>
      <w:r w:rsidRPr="004E0A37">
        <w:rPr>
          <w:rFonts w:hint="cs"/>
          <w:rtl/>
        </w:rPr>
        <w:t>/</w:t>
      </w:r>
      <w:r>
        <w:rPr>
          <w:rFonts w:hint="cs"/>
          <w:rtl/>
        </w:rPr>
        <w:t>مايو</w:t>
      </w:r>
      <w:r w:rsidRPr="004E0A37">
        <w:rPr>
          <w:rFonts w:hint="cs"/>
          <w:rtl/>
        </w:rPr>
        <w:t xml:space="preserve"> 201</w:t>
      </w:r>
      <w:r>
        <w:rPr>
          <w:rFonts w:hint="cs"/>
          <w:rtl/>
        </w:rPr>
        <w:t>3</w:t>
      </w:r>
      <w:r w:rsidRPr="004E0A37">
        <w:rPr>
          <w:rFonts w:hint="cs"/>
          <w:rtl/>
        </w:rPr>
        <w:t xml:space="preserve">، وهو تاريخ اعتماد هذا التقرير، تلقت اللجنة </w:t>
      </w:r>
      <w:r>
        <w:rPr>
          <w:rFonts w:hint="cs"/>
          <w:rtl/>
        </w:rPr>
        <w:t>84</w:t>
      </w:r>
      <w:r w:rsidRPr="004E0A37">
        <w:rPr>
          <w:rFonts w:hint="cs"/>
          <w:rtl/>
        </w:rPr>
        <w:t xml:space="preserve"> تقريراً، أي بواقع </w:t>
      </w:r>
      <w:r>
        <w:rPr>
          <w:rFonts w:hint="cs"/>
          <w:rtl/>
        </w:rPr>
        <w:t>67</w:t>
      </w:r>
      <w:r w:rsidRPr="004E0A37">
        <w:rPr>
          <w:rFonts w:hint="cs"/>
          <w:rtl/>
        </w:rPr>
        <w:t xml:space="preserve"> في المائة من معدل الاستجابة الإجمالي.</w:t>
      </w:r>
    </w:p>
    <w:p w:rsidR="00970856" w:rsidRPr="007237A1" w:rsidRDefault="00970856" w:rsidP="007237A1">
      <w:pPr>
        <w:pStyle w:val="SingleTxtGA"/>
        <w:rPr>
          <w:rFonts w:hint="cs"/>
          <w:rtl/>
        </w:rPr>
      </w:pPr>
      <w:r w:rsidRPr="007237A1">
        <w:rPr>
          <w:rFonts w:hint="cs"/>
          <w:rtl/>
        </w:rPr>
        <w:t>82-</w:t>
      </w:r>
      <w:r w:rsidRPr="007237A1">
        <w:rPr>
          <w:rFonts w:hint="cs"/>
          <w:rtl/>
        </w:rPr>
        <w:tab/>
        <w:t>وحتى 31 أيار/مايو 2013، لم تكن الدول التالية قد قدمت بعد معلومات بشأن المتابعة كان قد حل موعد تقديمها: إثيوبيا (الدورة الخامسة والأربعون) وا</w:t>
      </w:r>
      <w:r w:rsidRPr="007237A1">
        <w:rPr>
          <w:rtl/>
        </w:rPr>
        <w:t>لأردن</w:t>
      </w:r>
      <w:r w:rsidRPr="007237A1">
        <w:rPr>
          <w:rFonts w:hint="cs"/>
          <w:rtl/>
        </w:rPr>
        <w:t xml:space="preserve"> (الدورة الرابعة والأربعون) وأرمينيا (الدورة الثامنة والأربعون) وإكوادور (الدورة الخامسة والأربعون) وألبانيا (الدورة الثامنة والأربعون) </w:t>
      </w:r>
      <w:r w:rsidRPr="007237A1">
        <w:rPr>
          <w:rtl/>
        </w:rPr>
        <w:t>وإندونيسيا</w:t>
      </w:r>
      <w:r w:rsidRPr="007237A1">
        <w:rPr>
          <w:rFonts w:hint="cs"/>
          <w:rtl/>
        </w:rPr>
        <w:t xml:space="preserve"> (الدورة الأربعون) </w:t>
      </w:r>
      <w:r w:rsidRPr="007237A1">
        <w:rPr>
          <w:rtl/>
        </w:rPr>
        <w:t>وأوغندا</w:t>
      </w:r>
      <w:r w:rsidRPr="007237A1">
        <w:rPr>
          <w:rFonts w:hint="cs"/>
          <w:rtl/>
        </w:rPr>
        <w:t xml:space="preserve"> (الدورة الرابعة والثلاثون) </w:t>
      </w:r>
      <w:r w:rsidRPr="007237A1">
        <w:rPr>
          <w:rtl/>
        </w:rPr>
        <w:t>وبلغاريا</w:t>
      </w:r>
      <w:r w:rsidRPr="007237A1">
        <w:rPr>
          <w:rFonts w:hint="cs"/>
          <w:rtl/>
        </w:rPr>
        <w:t xml:space="preserve"> (الدورة الثانية والثلاثون)</w:t>
      </w:r>
      <w:r w:rsidR="00B0289D" w:rsidRPr="007237A1">
        <w:rPr>
          <w:vertAlign w:val="superscript"/>
          <w:rtl/>
        </w:rPr>
        <w:t>(</w:t>
      </w:r>
      <w:r w:rsidR="00B0289D" w:rsidRPr="007237A1">
        <w:rPr>
          <w:rStyle w:val="FootnoteReference"/>
          <w:rtl/>
        </w:rPr>
        <w:footnoteReference w:id="16"/>
      </w:r>
      <w:r w:rsidR="00B0289D" w:rsidRPr="007237A1">
        <w:rPr>
          <w:vertAlign w:val="superscript"/>
          <w:rtl/>
        </w:rPr>
        <w:t>)</w:t>
      </w:r>
      <w:r w:rsidRPr="007237A1">
        <w:rPr>
          <w:rFonts w:hint="cs"/>
          <w:rtl/>
        </w:rPr>
        <w:t xml:space="preserve"> </w:t>
      </w:r>
      <w:r w:rsidRPr="007237A1">
        <w:rPr>
          <w:rtl/>
        </w:rPr>
        <w:t>وبنن</w:t>
      </w:r>
      <w:r w:rsidRPr="007237A1">
        <w:rPr>
          <w:rFonts w:hint="cs"/>
          <w:rtl/>
        </w:rPr>
        <w:t xml:space="preserve"> (الدورة التاسعة والثلاثون) </w:t>
      </w:r>
      <w:r w:rsidRPr="007237A1">
        <w:rPr>
          <w:rtl/>
        </w:rPr>
        <w:t>وبوروندي</w:t>
      </w:r>
      <w:r w:rsidRPr="007237A1">
        <w:rPr>
          <w:rFonts w:hint="cs"/>
          <w:rtl/>
        </w:rPr>
        <w:t xml:space="preserve"> (الدورة السابعة والثلاثون) </w:t>
      </w:r>
      <w:r w:rsidRPr="007237A1">
        <w:rPr>
          <w:rtl/>
        </w:rPr>
        <w:t>وبيرو</w:t>
      </w:r>
      <w:r w:rsidRPr="007237A1">
        <w:rPr>
          <w:rFonts w:hint="cs"/>
          <w:rtl/>
        </w:rPr>
        <w:t xml:space="preserve"> (الدورة السادسة والثلاثون) </w:t>
      </w:r>
      <w:r w:rsidRPr="007237A1">
        <w:rPr>
          <w:rtl/>
        </w:rPr>
        <w:t>وتشاد</w:t>
      </w:r>
      <w:r w:rsidRPr="007237A1">
        <w:rPr>
          <w:rFonts w:hint="cs"/>
          <w:rtl/>
        </w:rPr>
        <w:t xml:space="preserve"> </w:t>
      </w:r>
      <w:r w:rsidRPr="007237A1">
        <w:rPr>
          <w:rFonts w:hint="cs"/>
          <w:spacing w:val="-2"/>
          <w:rtl/>
        </w:rPr>
        <w:t xml:space="preserve">(الدورة الثانية والأربعون) </w:t>
      </w:r>
      <w:r w:rsidRPr="007237A1">
        <w:rPr>
          <w:spacing w:val="-2"/>
          <w:rtl/>
        </w:rPr>
        <w:t>وتوغو</w:t>
      </w:r>
      <w:r w:rsidRPr="007237A1">
        <w:rPr>
          <w:rFonts w:hint="cs"/>
          <w:spacing w:val="-2"/>
          <w:rtl/>
        </w:rPr>
        <w:t xml:space="preserve"> (الدورة السادسة والثلاثون) والجمهورية التشيكية (الدورة الثامنة والأربعون)</w:t>
      </w:r>
      <w:r w:rsidR="005E30E0" w:rsidRPr="007237A1">
        <w:rPr>
          <w:spacing w:val="-2"/>
          <w:vertAlign w:val="superscript"/>
          <w:rtl/>
        </w:rPr>
        <w:t>(</w:t>
      </w:r>
      <w:r w:rsidR="005E30E0" w:rsidRPr="007237A1">
        <w:rPr>
          <w:rStyle w:val="FootnoteReference"/>
          <w:spacing w:val="-2"/>
          <w:rtl/>
        </w:rPr>
        <w:footnoteReference w:id="17"/>
      </w:r>
      <w:r w:rsidR="005E30E0" w:rsidRPr="007237A1">
        <w:rPr>
          <w:spacing w:val="-2"/>
          <w:vertAlign w:val="superscript"/>
          <w:rtl/>
        </w:rPr>
        <w:t>)</w:t>
      </w:r>
      <w:r w:rsidRPr="007237A1">
        <w:rPr>
          <w:rFonts w:hint="cs"/>
          <w:spacing w:val="-2"/>
          <w:rtl/>
        </w:rPr>
        <w:t xml:space="preserve"> والجمهورية العربية السورية (الدورة الثامنة والأربعون) وجمهورية </w:t>
      </w:r>
      <w:r w:rsidRPr="007237A1">
        <w:rPr>
          <w:spacing w:val="-2"/>
          <w:rtl/>
        </w:rPr>
        <w:t>الكونغو الديمقراطية</w:t>
      </w:r>
      <w:r w:rsidRPr="007237A1">
        <w:rPr>
          <w:rFonts w:hint="cs"/>
          <w:spacing w:val="-2"/>
          <w:rtl/>
        </w:rPr>
        <w:t xml:space="preserve"> (الدورة الخامسة والثلاثون) </w:t>
      </w:r>
      <w:r w:rsidRPr="007237A1">
        <w:rPr>
          <w:spacing w:val="-2"/>
          <w:rtl/>
        </w:rPr>
        <w:t>وجمهورية مولدوفا</w:t>
      </w:r>
      <w:r w:rsidRPr="007237A1">
        <w:rPr>
          <w:rFonts w:hint="cs"/>
          <w:spacing w:val="-2"/>
          <w:rtl/>
        </w:rPr>
        <w:t xml:space="preserve"> (الدورة الثلاثون) </w:t>
      </w:r>
      <w:r w:rsidRPr="007237A1">
        <w:rPr>
          <w:spacing w:val="-2"/>
          <w:rtl/>
        </w:rPr>
        <w:t>وجنوب أفريقيا</w:t>
      </w:r>
      <w:r w:rsidRPr="007237A1">
        <w:rPr>
          <w:rFonts w:hint="cs"/>
          <w:spacing w:val="-2"/>
          <w:rtl/>
        </w:rPr>
        <w:t xml:space="preserve"> (الدورة السابعة والثلاثون) وجيبوتي (الدورة السابعة والأربعون) ورواندا (الدورة الثامنة والأربعون) </w:t>
      </w:r>
      <w:r w:rsidRPr="007237A1">
        <w:rPr>
          <w:spacing w:val="-2"/>
          <w:rtl/>
        </w:rPr>
        <w:t>وزامبيا</w:t>
      </w:r>
      <w:r w:rsidRPr="007237A1">
        <w:rPr>
          <w:rFonts w:hint="cs"/>
          <w:spacing w:val="-2"/>
          <w:rtl/>
        </w:rPr>
        <w:t xml:space="preserve"> (الدورة الأربعون) </w:t>
      </w:r>
      <w:r w:rsidRPr="007237A1">
        <w:rPr>
          <w:spacing w:val="-2"/>
          <w:rtl/>
        </w:rPr>
        <w:t>والسلفادور</w:t>
      </w:r>
      <w:r w:rsidRPr="007237A1">
        <w:rPr>
          <w:rFonts w:hint="cs"/>
          <w:spacing w:val="-2"/>
          <w:rtl/>
        </w:rPr>
        <w:t xml:space="preserve"> (الدورة الثالثة والأربعون) وطاجيكستان (الدورة السابعة والثلاثون) </w:t>
      </w:r>
      <w:r w:rsidRPr="007237A1">
        <w:rPr>
          <w:spacing w:val="-2"/>
          <w:rtl/>
        </w:rPr>
        <w:t>و</w:t>
      </w:r>
      <w:r w:rsidRPr="007237A1">
        <w:rPr>
          <w:rFonts w:hint="cs"/>
          <w:spacing w:val="-2"/>
          <w:rtl/>
        </w:rPr>
        <w:t xml:space="preserve">غانا (الدورة السادسة والأربعون) </w:t>
      </w:r>
      <w:r w:rsidRPr="007237A1">
        <w:rPr>
          <w:spacing w:val="-2"/>
          <w:rtl/>
        </w:rPr>
        <w:t>والكاميرون</w:t>
      </w:r>
      <w:r w:rsidRPr="007237A1">
        <w:rPr>
          <w:rFonts w:hint="cs"/>
          <w:spacing w:val="-2"/>
          <w:rtl/>
        </w:rPr>
        <w:t xml:space="preserve"> (الدورة الحادية والثلاثون والدورة الرابعة والأربعون) </w:t>
      </w:r>
      <w:r w:rsidRPr="007237A1">
        <w:rPr>
          <w:spacing w:val="-2"/>
          <w:rtl/>
        </w:rPr>
        <w:t>وكمبوديا</w:t>
      </w:r>
      <w:r w:rsidRPr="007237A1">
        <w:rPr>
          <w:rFonts w:hint="cs"/>
          <w:spacing w:val="-2"/>
          <w:rtl/>
        </w:rPr>
        <w:t xml:space="preserve"> (الدورة الحادية والثلاثون والدورة الخامسة والأربعون) وكندا (الدورة</w:t>
      </w:r>
      <w:r w:rsidRPr="007237A1">
        <w:rPr>
          <w:rFonts w:hint="eastAsia"/>
          <w:spacing w:val="-2"/>
          <w:rtl/>
        </w:rPr>
        <w:t> </w:t>
      </w:r>
      <w:r w:rsidRPr="007237A1">
        <w:rPr>
          <w:rFonts w:hint="cs"/>
          <w:spacing w:val="-2"/>
          <w:rtl/>
        </w:rPr>
        <w:t xml:space="preserve">الثامنة والأربعون) وكوبا (الدورة الثامنة والأربعون) </w:t>
      </w:r>
      <w:r w:rsidRPr="007237A1">
        <w:rPr>
          <w:spacing w:val="-2"/>
          <w:rtl/>
        </w:rPr>
        <w:t>وكوستاريكا</w:t>
      </w:r>
      <w:r w:rsidRPr="007237A1">
        <w:rPr>
          <w:rFonts w:hint="cs"/>
          <w:spacing w:val="-2"/>
          <w:rtl/>
        </w:rPr>
        <w:t xml:space="preserve"> (الدورة الأربعون) </w:t>
      </w:r>
      <w:r w:rsidRPr="007237A1">
        <w:rPr>
          <w:spacing w:val="-2"/>
          <w:rtl/>
        </w:rPr>
        <w:t>و</w:t>
      </w:r>
      <w:r w:rsidRPr="007237A1">
        <w:rPr>
          <w:rFonts w:hint="cs"/>
          <w:spacing w:val="-2"/>
          <w:rtl/>
        </w:rPr>
        <w:t xml:space="preserve">الكويت (الدورة السادسة والأربعون) ولكسمبرغ (الدورة الثامنة والثلاثون) ومدغشقر (الدورة السابعة والأربعون) ومنغوليا (الدورة الخامسة والأربعون) وموريشيوس (الدورة السادسة والأربعون) </w:t>
      </w:r>
      <w:r w:rsidRPr="007237A1">
        <w:rPr>
          <w:spacing w:val="-2"/>
          <w:rtl/>
        </w:rPr>
        <w:t>ونيكاراغوا</w:t>
      </w:r>
      <w:r w:rsidRPr="007237A1">
        <w:rPr>
          <w:rFonts w:hint="cs"/>
          <w:spacing w:val="-2"/>
          <w:rtl/>
        </w:rPr>
        <w:t xml:space="preserve"> (الدورة الثانية والأربعون) </w:t>
      </w:r>
      <w:r w:rsidRPr="007237A1">
        <w:rPr>
          <w:spacing w:val="-2"/>
          <w:rtl/>
        </w:rPr>
        <w:t>وهندوراس</w:t>
      </w:r>
      <w:r w:rsidR="007237A1">
        <w:rPr>
          <w:rFonts w:hint="eastAsia"/>
          <w:spacing w:val="-2"/>
          <w:rtl/>
        </w:rPr>
        <w:t> </w:t>
      </w:r>
      <w:r w:rsidRPr="007237A1">
        <w:rPr>
          <w:rFonts w:hint="cs"/>
          <w:spacing w:val="-2"/>
          <w:rtl/>
        </w:rPr>
        <w:t xml:space="preserve">(الدورة الثانية والأربعون) </w:t>
      </w:r>
      <w:r w:rsidRPr="007237A1">
        <w:rPr>
          <w:spacing w:val="-2"/>
          <w:rtl/>
        </w:rPr>
        <w:t>واليمن</w:t>
      </w:r>
      <w:r w:rsidRPr="007237A1">
        <w:rPr>
          <w:rFonts w:hint="cs"/>
          <w:spacing w:val="-2"/>
          <w:rtl/>
        </w:rPr>
        <w:t xml:space="preserve"> (الدورة الرابعة والأربعون)</w:t>
      </w:r>
      <w:r w:rsidRPr="007237A1">
        <w:rPr>
          <w:rFonts w:hint="cs"/>
          <w:rtl/>
        </w:rPr>
        <w:t xml:space="preserve"> واليونان (الدورة الثامنة والأربعون)</w:t>
      </w:r>
      <w:r w:rsidR="005E30E0" w:rsidRPr="007237A1">
        <w:rPr>
          <w:vertAlign w:val="superscript"/>
          <w:rtl/>
        </w:rPr>
        <w:t>(</w:t>
      </w:r>
      <w:r w:rsidR="005E30E0" w:rsidRPr="007237A1">
        <w:rPr>
          <w:rStyle w:val="FootnoteReference"/>
          <w:rtl/>
        </w:rPr>
        <w:footnoteReference w:id="18"/>
      </w:r>
      <w:r w:rsidR="005E30E0" w:rsidRPr="007237A1">
        <w:rPr>
          <w:vertAlign w:val="superscript"/>
          <w:rtl/>
        </w:rPr>
        <w:t>)</w:t>
      </w:r>
      <w:r w:rsidRPr="007237A1">
        <w:rPr>
          <w:rFonts w:hint="cs"/>
          <w:rtl/>
        </w:rPr>
        <w:t>.</w:t>
      </w:r>
    </w:p>
    <w:p w:rsidR="00970856" w:rsidRDefault="00970856" w:rsidP="00560456">
      <w:pPr>
        <w:pStyle w:val="SingleTxtGA"/>
        <w:rPr>
          <w:rFonts w:hint="cs"/>
          <w:rtl/>
        </w:rPr>
      </w:pPr>
      <w:r>
        <w:rPr>
          <w:rFonts w:hint="cs"/>
          <w:rtl/>
        </w:rPr>
        <w:t>83</w:t>
      </w:r>
      <w:r w:rsidRPr="004E0A37">
        <w:rPr>
          <w:rFonts w:hint="cs"/>
          <w:rtl/>
        </w:rPr>
        <w:t>-</w:t>
      </w:r>
      <w:r w:rsidRPr="004E0A37">
        <w:rPr>
          <w:rFonts w:hint="cs"/>
          <w:rtl/>
        </w:rPr>
        <w:tab/>
        <w:t xml:space="preserve">وتُوجّه المقررة رسائل تذكير تطلب فيها المعلومات المتأخرة إلى كل دولة </w:t>
      </w:r>
      <w:r>
        <w:rPr>
          <w:rFonts w:hint="cs"/>
          <w:rtl/>
        </w:rPr>
        <w:t>طرف</w:t>
      </w:r>
      <w:r w:rsidRPr="004E0A37">
        <w:rPr>
          <w:rFonts w:hint="cs"/>
          <w:rtl/>
        </w:rPr>
        <w:t xml:space="preserve"> حل موعد تقديم معلومات المتابعة الخاصة بها ولم تقدمها. </w:t>
      </w:r>
      <w:r>
        <w:rPr>
          <w:rFonts w:hint="cs"/>
          <w:rtl/>
        </w:rPr>
        <w:t>وقد جُمع في الماضي جدول يعرض</w:t>
      </w:r>
      <w:r w:rsidRPr="004E0A37">
        <w:rPr>
          <w:rFonts w:hint="cs"/>
          <w:rtl/>
        </w:rPr>
        <w:t xml:space="preserve"> حالة متابعة الملاحظات الختامية </w:t>
      </w:r>
      <w:r>
        <w:rPr>
          <w:rFonts w:hint="cs"/>
          <w:rtl/>
        </w:rPr>
        <w:t>ويوجد</w:t>
      </w:r>
      <w:r w:rsidRPr="004E0A37">
        <w:rPr>
          <w:rFonts w:hint="cs"/>
          <w:rtl/>
        </w:rPr>
        <w:t xml:space="preserve"> على </w:t>
      </w:r>
      <w:r>
        <w:rPr>
          <w:rFonts w:hint="cs"/>
          <w:rtl/>
        </w:rPr>
        <w:t>ال</w:t>
      </w:r>
      <w:r w:rsidRPr="004E0A37">
        <w:rPr>
          <w:rFonts w:hint="cs"/>
          <w:rtl/>
        </w:rPr>
        <w:t xml:space="preserve">صفحات </w:t>
      </w:r>
      <w:r>
        <w:rPr>
          <w:rFonts w:hint="cs"/>
          <w:rtl/>
        </w:rPr>
        <w:t>الشبكية</w:t>
      </w:r>
      <w:r w:rsidRPr="004E0A37">
        <w:rPr>
          <w:rFonts w:hint="cs"/>
          <w:rtl/>
        </w:rPr>
        <w:t xml:space="preserve"> التابعة للجنة</w:t>
      </w:r>
      <w:r>
        <w:rPr>
          <w:vertAlign w:val="superscript"/>
          <w:rtl/>
        </w:rPr>
        <w:t>(</w:t>
      </w:r>
      <w:r>
        <w:rPr>
          <w:rStyle w:val="FootnoteReference"/>
          <w:rtl/>
        </w:rPr>
        <w:footnoteReference w:id="19"/>
      </w:r>
      <w:r>
        <w:rPr>
          <w:vertAlign w:val="superscript"/>
          <w:rtl/>
        </w:rPr>
        <w:t>)</w:t>
      </w:r>
      <w:r w:rsidRPr="004E0A37">
        <w:rPr>
          <w:rFonts w:hint="cs"/>
          <w:rtl/>
        </w:rPr>
        <w:t>.</w:t>
      </w:r>
      <w:r w:rsidR="00560456">
        <w:rPr>
          <w:rFonts w:hint="cs"/>
          <w:rtl/>
        </w:rPr>
        <w:t xml:space="preserve"> ونُشرت </w:t>
      </w:r>
      <w:r w:rsidRPr="004E0A37">
        <w:rPr>
          <w:rFonts w:hint="cs"/>
          <w:rtl/>
        </w:rPr>
        <w:t>ردود الدول الأطراف على هذه الصفحة، شأنها شأن الرسائل الموجهة من المقررة إلى الدول الأ</w:t>
      </w:r>
      <w:r>
        <w:rPr>
          <w:rFonts w:hint="cs"/>
          <w:rtl/>
        </w:rPr>
        <w:t>طراف</w:t>
      </w:r>
      <w:r w:rsidRPr="004E0A37">
        <w:rPr>
          <w:rFonts w:hint="cs"/>
          <w:rtl/>
        </w:rPr>
        <w:t xml:space="preserve"> وأية </w:t>
      </w:r>
      <w:r>
        <w:rPr>
          <w:rFonts w:hint="cs"/>
          <w:rtl/>
        </w:rPr>
        <w:t>بيانات</w:t>
      </w:r>
      <w:r w:rsidRPr="004E0A37">
        <w:rPr>
          <w:rFonts w:hint="cs"/>
          <w:rtl/>
        </w:rPr>
        <w:t xml:space="preserve"> متعلقة بالمتابعة ترد من منظمات غير حكومية.</w:t>
      </w:r>
    </w:p>
    <w:p w:rsidR="00970856" w:rsidRPr="007237A1" w:rsidRDefault="00970856" w:rsidP="005E30E0">
      <w:pPr>
        <w:pStyle w:val="SingleTxtGA"/>
        <w:rPr>
          <w:rFonts w:hint="cs"/>
          <w:spacing w:val="-2"/>
          <w:rtl/>
        </w:rPr>
      </w:pPr>
      <w:r w:rsidRPr="007237A1">
        <w:rPr>
          <w:rFonts w:hint="cs"/>
          <w:spacing w:val="-2"/>
          <w:rtl/>
        </w:rPr>
        <w:t>84-</w:t>
      </w:r>
      <w:r w:rsidRPr="007237A1">
        <w:rPr>
          <w:rFonts w:hint="cs"/>
          <w:spacing w:val="-2"/>
          <w:rtl/>
        </w:rPr>
        <w:tab/>
        <w:t>وما بين حزيران/يونيه 2012 وأيار/مايو 2013، وردت ردود المتابعة من 12 دولة طرفاً فيما يلي أسماؤها (حسب ترتيب ردودها) موناكو، وفنلندا، وسلوفينيا، و</w:t>
      </w:r>
      <w:r w:rsidR="005E30E0" w:rsidRPr="007237A1">
        <w:rPr>
          <w:rFonts w:hint="cs"/>
          <w:spacing w:val="-2"/>
          <w:rtl/>
        </w:rPr>
        <w:t>أ</w:t>
      </w:r>
      <w:r w:rsidRPr="007237A1">
        <w:rPr>
          <w:rFonts w:hint="cs"/>
          <w:spacing w:val="-2"/>
          <w:rtl/>
        </w:rPr>
        <w:t>يرلندا، وصربيا، وتركمانستان، وبولندا، وألمانيا، وبيلاروس، وبلغاريا، وسري لانكا، وباراغواي</w:t>
      </w:r>
      <w:r w:rsidR="005E30E0" w:rsidRPr="007237A1">
        <w:rPr>
          <w:spacing w:val="-2"/>
          <w:vertAlign w:val="superscript"/>
          <w:rtl/>
        </w:rPr>
        <w:t>(</w:t>
      </w:r>
      <w:r w:rsidR="005E30E0" w:rsidRPr="007237A1">
        <w:rPr>
          <w:rStyle w:val="FootnoteReference"/>
          <w:spacing w:val="-2"/>
          <w:rtl/>
        </w:rPr>
        <w:footnoteReference w:id="20"/>
      </w:r>
      <w:r w:rsidR="005E30E0" w:rsidRPr="007237A1">
        <w:rPr>
          <w:spacing w:val="-2"/>
          <w:vertAlign w:val="superscript"/>
          <w:rtl/>
        </w:rPr>
        <w:t>)</w:t>
      </w:r>
      <w:r w:rsidRPr="007237A1">
        <w:rPr>
          <w:rFonts w:hint="cs"/>
          <w:spacing w:val="-2"/>
          <w:rtl/>
        </w:rPr>
        <w:t>.</w:t>
      </w:r>
    </w:p>
    <w:p w:rsidR="00970856" w:rsidRPr="004E0A37" w:rsidRDefault="00970856" w:rsidP="00970856">
      <w:pPr>
        <w:pStyle w:val="SingleTxtGA"/>
        <w:rPr>
          <w:rFonts w:hint="cs"/>
          <w:rtl/>
        </w:rPr>
      </w:pPr>
      <w:r>
        <w:rPr>
          <w:rFonts w:hint="cs"/>
          <w:rtl/>
        </w:rPr>
        <w:t>85</w:t>
      </w:r>
      <w:r w:rsidRPr="004E0A37">
        <w:rPr>
          <w:rFonts w:hint="cs"/>
          <w:rtl/>
        </w:rPr>
        <w:t>-</w:t>
      </w:r>
      <w:r w:rsidRPr="004E0A37">
        <w:rPr>
          <w:rFonts w:hint="cs"/>
          <w:rtl/>
        </w:rPr>
        <w:tab/>
        <w:t>وتعرب المقررة عن تقديرها للمعلومات التي قدمتها</w:t>
      </w:r>
      <w:r>
        <w:rPr>
          <w:rFonts w:hint="cs"/>
          <w:rtl/>
        </w:rPr>
        <w:t xml:space="preserve"> هذه</w:t>
      </w:r>
      <w:r w:rsidRPr="004E0A37">
        <w:rPr>
          <w:rFonts w:hint="cs"/>
          <w:rtl/>
        </w:rPr>
        <w:t xml:space="preserve"> الدول الأطراف </w:t>
      </w:r>
      <w:r>
        <w:rPr>
          <w:rFonts w:hint="cs"/>
          <w:rtl/>
        </w:rPr>
        <w:t>فيما </w:t>
      </w:r>
      <w:r w:rsidRPr="004E0A37">
        <w:rPr>
          <w:rFonts w:hint="cs"/>
          <w:rtl/>
        </w:rPr>
        <w:t xml:space="preserve">يتصل بالتدابير التي اتخذتها لتنفيذ التزاماتها بموجب الاتفاقية. </w:t>
      </w:r>
      <w:r>
        <w:rPr>
          <w:rFonts w:hint="cs"/>
          <w:rtl/>
        </w:rPr>
        <w:t>و</w:t>
      </w:r>
      <w:r w:rsidRPr="004E0A37">
        <w:rPr>
          <w:rFonts w:hint="cs"/>
          <w:rtl/>
        </w:rPr>
        <w:t>قيّمت المقررة الردود التي تلقتها لمعرفة إن كانت المسائل التي حددتها اللجنة للمتابعة قد عولجت جميعها، وهل استجابت المعلومات المقدمة لقلق اللجنة، وهل يحتاج الأمر إلى مزيد من المعلومات. وتردّ كل رسالة بالتحديد وبالتفصيل على المعلومات التي قدمتها الدولة الطرف. ومتى كانت هناك حاجة إلى مزيد من المعلومات، تتوجه المقررة خطياً إلى الدولة الطرف المعنية بطلبات محددة للحصول على مزيد من الإيضاحات. وحتى حينه</w:t>
      </w:r>
      <w:r w:rsidR="005E30E0">
        <w:rPr>
          <w:vertAlign w:val="superscript"/>
          <w:rtl/>
        </w:rPr>
        <w:t>(</w:t>
      </w:r>
      <w:r w:rsidR="005E30E0">
        <w:rPr>
          <w:rStyle w:val="FootnoteReference"/>
          <w:rtl/>
        </w:rPr>
        <w:footnoteReference w:id="21"/>
      </w:r>
      <w:r w:rsidR="005E30E0">
        <w:rPr>
          <w:vertAlign w:val="superscript"/>
          <w:rtl/>
        </w:rPr>
        <w:t>)</w:t>
      </w:r>
      <w:r w:rsidRPr="004E0A37">
        <w:rPr>
          <w:rFonts w:hint="cs"/>
          <w:rtl/>
        </w:rPr>
        <w:t>، قدمت 23 دولة طرفاً توضيحات إضافية رد</w:t>
      </w:r>
      <w:r>
        <w:rPr>
          <w:rFonts w:hint="cs"/>
          <w:rtl/>
        </w:rPr>
        <w:t xml:space="preserve">اً </w:t>
      </w:r>
      <w:r w:rsidRPr="004E0A37">
        <w:rPr>
          <w:rFonts w:hint="cs"/>
          <w:rtl/>
        </w:rPr>
        <w:t>على هذه الطلبات. و</w:t>
      </w:r>
      <w:r>
        <w:rPr>
          <w:rFonts w:hint="cs"/>
          <w:rtl/>
        </w:rPr>
        <w:t>فيما </w:t>
      </w:r>
      <w:r w:rsidRPr="004E0A37">
        <w:rPr>
          <w:rFonts w:hint="cs"/>
          <w:rtl/>
        </w:rPr>
        <w:t>يتعلق بالدول التي</w:t>
      </w:r>
      <w:r>
        <w:rPr>
          <w:rFonts w:hint="cs"/>
          <w:rtl/>
        </w:rPr>
        <w:t xml:space="preserve"> لم </w:t>
      </w:r>
      <w:r w:rsidRPr="004E0A37">
        <w:rPr>
          <w:rFonts w:hint="cs"/>
          <w:rtl/>
        </w:rPr>
        <w:t>تقدم معلومات المتابعة على الإطلاق، فإن المقررة تطلب منها تقديم المعلومات المتأخرة.</w:t>
      </w:r>
    </w:p>
    <w:p w:rsidR="00970856" w:rsidRDefault="00970856" w:rsidP="00970856">
      <w:pPr>
        <w:pStyle w:val="SingleTxtGA"/>
        <w:rPr>
          <w:rFonts w:hint="cs"/>
          <w:rtl/>
        </w:rPr>
      </w:pPr>
      <w:r>
        <w:rPr>
          <w:rFonts w:hint="cs"/>
          <w:rtl/>
        </w:rPr>
        <w:t>86</w:t>
      </w:r>
      <w:r w:rsidRPr="004E0A37">
        <w:rPr>
          <w:rFonts w:hint="cs"/>
          <w:rtl/>
        </w:rPr>
        <w:t>-</w:t>
      </w:r>
      <w:r w:rsidRPr="004E0A37">
        <w:rPr>
          <w:rFonts w:hint="cs"/>
          <w:rtl/>
        </w:rPr>
        <w:tab/>
        <w:t xml:space="preserve">وتعرب المقررة عن تقديرها أيضاً للمعلومات المقدمة بموجب إجراء المتابعة من منظمات غير حكومية ومجموعات أخرى من المجتمع المدني تنشط في مجال حقوق الإنسان. وحتى </w:t>
      </w:r>
      <w:r>
        <w:rPr>
          <w:rFonts w:hint="cs"/>
          <w:rtl/>
        </w:rPr>
        <w:t>31</w:t>
      </w:r>
      <w:r w:rsidRPr="004E0A37">
        <w:rPr>
          <w:rFonts w:hint="cs"/>
          <w:rtl/>
        </w:rPr>
        <w:t xml:space="preserve"> </w:t>
      </w:r>
      <w:r>
        <w:rPr>
          <w:rFonts w:hint="cs"/>
          <w:rtl/>
        </w:rPr>
        <w:t>أيار</w:t>
      </w:r>
      <w:r w:rsidRPr="004E0A37">
        <w:rPr>
          <w:rFonts w:hint="cs"/>
          <w:rtl/>
        </w:rPr>
        <w:t>/</w:t>
      </w:r>
      <w:r>
        <w:rPr>
          <w:rFonts w:hint="cs"/>
          <w:rtl/>
        </w:rPr>
        <w:t>مايو</w:t>
      </w:r>
      <w:r w:rsidRPr="004E0A37">
        <w:rPr>
          <w:rFonts w:hint="cs"/>
          <w:rtl/>
        </w:rPr>
        <w:t xml:space="preserve"> 201</w:t>
      </w:r>
      <w:r>
        <w:rPr>
          <w:rFonts w:hint="cs"/>
          <w:rtl/>
        </w:rPr>
        <w:t>3</w:t>
      </w:r>
      <w:r w:rsidRPr="004E0A37">
        <w:rPr>
          <w:rFonts w:hint="cs"/>
          <w:rtl/>
        </w:rPr>
        <w:t>، تلقت اللجنة من هذ</w:t>
      </w:r>
      <w:r>
        <w:rPr>
          <w:rFonts w:hint="cs"/>
          <w:rtl/>
        </w:rPr>
        <w:t xml:space="preserve">ه المصادر تقارير متابعة تتعلق </w:t>
      </w:r>
      <w:r w:rsidRPr="00614E22">
        <w:rPr>
          <w:rFonts w:hint="cs"/>
          <w:sz w:val="30"/>
          <w:rtl/>
        </w:rPr>
        <w:t>ب‍</w:t>
      </w:r>
      <w:r>
        <w:rPr>
          <w:rFonts w:hint="eastAsia"/>
          <w:rtl/>
        </w:rPr>
        <w:t> </w:t>
      </w:r>
      <w:r>
        <w:rPr>
          <w:rFonts w:hint="cs"/>
          <w:rtl/>
        </w:rPr>
        <w:t>25</w:t>
      </w:r>
      <w:r w:rsidRPr="004E0A37">
        <w:rPr>
          <w:rFonts w:hint="cs"/>
          <w:rtl/>
        </w:rPr>
        <w:t xml:space="preserve"> دولة</w:t>
      </w:r>
      <w:r>
        <w:rPr>
          <w:rFonts w:hint="eastAsia"/>
          <w:rtl/>
        </w:rPr>
        <w:t> </w:t>
      </w:r>
      <w:r>
        <w:rPr>
          <w:rFonts w:hint="cs"/>
          <w:rtl/>
        </w:rPr>
        <w:t>طرفاً</w:t>
      </w:r>
      <w:r w:rsidRPr="004E0A37">
        <w:rPr>
          <w:rFonts w:hint="cs"/>
          <w:rtl/>
        </w:rPr>
        <w:t>.</w:t>
      </w:r>
    </w:p>
    <w:p w:rsidR="00970856" w:rsidRPr="004E0A37" w:rsidRDefault="00970856" w:rsidP="00970856">
      <w:pPr>
        <w:pStyle w:val="SingleTxtGA"/>
        <w:rPr>
          <w:rFonts w:hint="cs"/>
          <w:rtl/>
        </w:rPr>
      </w:pPr>
      <w:r>
        <w:rPr>
          <w:rFonts w:hint="cs"/>
          <w:rtl/>
        </w:rPr>
        <w:t>87</w:t>
      </w:r>
      <w:r w:rsidRPr="004E0A37">
        <w:rPr>
          <w:rFonts w:hint="cs"/>
          <w:rtl/>
        </w:rPr>
        <w:t>-</w:t>
      </w:r>
      <w:r w:rsidRPr="004E0A37">
        <w:rPr>
          <w:rFonts w:hint="cs"/>
          <w:rtl/>
        </w:rPr>
        <w:tab/>
        <w:t>وبما أن التوصيات الموجهة إلى كل دولة طرف تُصاغ على نحو يعكس الحالة الخاصة بذلك البلد، فإن ردود المتابعة من الدول الأطراف والرسائل الموجهة من المقررة لطلب المزيد من الإيضاحات تتطرق لمجموعة واسعة من المواضيع. ومن بين المواضيع التي جرى التطرق لها في الرسائل الموجهة إلى الدول الأطراف لطلب المزيد من المعلومات هناك عدد من المسائل المحددة التي تعد أساسية لتنفيذ التوصية المعنية. وقد جرى التشديد على عدد من المسائل ليس فقط لتسليط الأضواء على المعلومات المقدمة، وإنما أيضاً لإبراز المسائل التي</w:t>
      </w:r>
      <w:r>
        <w:rPr>
          <w:rFonts w:hint="cs"/>
          <w:rtl/>
        </w:rPr>
        <w:t xml:space="preserve"> لم </w:t>
      </w:r>
      <w:r w:rsidRPr="004E0A37">
        <w:rPr>
          <w:rFonts w:hint="cs"/>
          <w:rtl/>
        </w:rPr>
        <w:t>تُعالج وتُعتبر مع ذلك أساسية بالنسبة إلى عمل اللجنة الجاري لتحقيق الفعالية في اتخاذ التدابير الوقائية والحمائية للقضاء على التعذيب وسوء المعاملة.</w:t>
      </w:r>
    </w:p>
    <w:p w:rsidR="00970856" w:rsidRDefault="00970856" w:rsidP="00970856">
      <w:pPr>
        <w:pStyle w:val="SingleTxtGA"/>
        <w:rPr>
          <w:rFonts w:hint="cs"/>
          <w:rtl/>
        </w:rPr>
      </w:pPr>
      <w:r>
        <w:rPr>
          <w:rFonts w:hint="cs"/>
          <w:rtl/>
        </w:rPr>
        <w:t>88</w:t>
      </w:r>
      <w:r w:rsidRPr="001124FE">
        <w:rPr>
          <w:rFonts w:hint="cs"/>
          <w:rtl/>
        </w:rPr>
        <w:t>-</w:t>
      </w:r>
      <w:r w:rsidRPr="001124FE">
        <w:rPr>
          <w:rFonts w:hint="cs"/>
          <w:rtl/>
        </w:rPr>
        <w:tab/>
        <w:t xml:space="preserve">وخلال الفترة قيد الاستعراض، أرسلت المقررة رسائل تذكير إلى </w:t>
      </w:r>
      <w:r>
        <w:rPr>
          <w:rFonts w:hint="cs"/>
          <w:rtl/>
        </w:rPr>
        <w:t>باراغواي وبلغاريا والجمهورية العربية السورية وجيبوتي وسري لانكا ومدغشقر</w:t>
      </w:r>
      <w:r w:rsidRPr="001124FE">
        <w:rPr>
          <w:rFonts w:hint="cs"/>
          <w:rtl/>
        </w:rPr>
        <w:t xml:space="preserve">. </w:t>
      </w:r>
    </w:p>
    <w:p w:rsidR="00970856" w:rsidRDefault="00970856" w:rsidP="005E30E0">
      <w:pPr>
        <w:pStyle w:val="SingleTxtGA"/>
        <w:rPr>
          <w:rFonts w:hint="cs"/>
          <w:rtl/>
        </w:rPr>
      </w:pPr>
      <w:r>
        <w:rPr>
          <w:rFonts w:hint="cs"/>
          <w:rtl/>
        </w:rPr>
        <w:t>89-</w:t>
      </w:r>
      <w:r>
        <w:rPr>
          <w:rFonts w:hint="cs"/>
          <w:rtl/>
        </w:rPr>
        <w:tab/>
        <w:t xml:space="preserve">وفي الدورتين التاسعة والأربعين والخمسين (تشرين الأول/أكتوبر </w:t>
      </w:r>
      <w:r w:rsidR="005E30E0">
        <w:rPr>
          <w:rFonts w:hint="cs"/>
          <w:rtl/>
        </w:rPr>
        <w:t>-</w:t>
      </w:r>
      <w:r>
        <w:rPr>
          <w:rFonts w:hint="cs"/>
          <w:rtl/>
        </w:rPr>
        <w:t xml:space="preserve"> تشرين الثاني/</w:t>
      </w:r>
      <w:r w:rsidR="005E30E0">
        <w:rPr>
          <w:rFonts w:hint="cs"/>
          <w:rtl/>
        </w:rPr>
        <w:t xml:space="preserve"> </w:t>
      </w:r>
      <w:r>
        <w:rPr>
          <w:rFonts w:hint="cs"/>
          <w:rtl/>
        </w:rPr>
        <w:t>نوفمبر 2012 وأيار/مايو 2013، على التوالي)، قدمت المقررة المعنية بمتابعة الملاحظات الختامية</w:t>
      </w:r>
      <w:r w:rsidRPr="00AC777D">
        <w:rPr>
          <w:rFonts w:hint="cs"/>
          <w:rtl/>
        </w:rPr>
        <w:t xml:space="preserve"> </w:t>
      </w:r>
      <w:r>
        <w:rPr>
          <w:rFonts w:hint="cs"/>
          <w:rtl/>
        </w:rPr>
        <w:t>إلى اللجنة تقريراً مرحلياً عن نتائج الإجراء، كما كان يُفعل في الدورات السابقة.</w:t>
      </w:r>
    </w:p>
    <w:p w:rsidR="00970856" w:rsidRPr="001124FE" w:rsidRDefault="00970856" w:rsidP="00970856">
      <w:pPr>
        <w:pStyle w:val="SingleTxtGA"/>
        <w:rPr>
          <w:rFonts w:hint="cs"/>
          <w:rtl/>
        </w:rPr>
      </w:pPr>
      <w:r>
        <w:rPr>
          <w:rFonts w:hint="cs"/>
          <w:rtl/>
        </w:rPr>
        <w:t>90-</w:t>
      </w:r>
      <w:r>
        <w:rPr>
          <w:rFonts w:hint="cs"/>
          <w:rtl/>
        </w:rPr>
        <w:tab/>
        <w:t>وناقشت المقررة واللجنة الخطوات التي يتعين اتخاذها من أجل معالجة مسألة عدم الرد على إجراء المتابعة والسبل الكفيلة بالاهتمام كما يجب بالمسائل المحدد متابعتها في الاستعراضات الدورية اللاحقة، لا</w:t>
      </w:r>
      <w:r w:rsidR="006D0355">
        <w:rPr>
          <w:rFonts w:hint="cs"/>
          <w:rtl/>
        </w:rPr>
        <w:t xml:space="preserve"> </w:t>
      </w:r>
      <w:r>
        <w:rPr>
          <w:rFonts w:hint="cs"/>
          <w:rtl/>
        </w:rPr>
        <w:t>سيما في إطار الإجراء المبسط الاختياري لتقديم التقارير.</w:t>
      </w:r>
    </w:p>
    <w:p w:rsidR="00970856" w:rsidRDefault="00970856" w:rsidP="00970856">
      <w:pPr>
        <w:pStyle w:val="SingleTxtGA"/>
        <w:rPr>
          <w:rFonts w:hint="cs"/>
          <w:rtl/>
        </w:rPr>
      </w:pPr>
      <w:r>
        <w:rPr>
          <w:rFonts w:hint="cs"/>
          <w:rtl/>
        </w:rPr>
        <w:t>91-</w:t>
      </w:r>
      <w:r>
        <w:rPr>
          <w:rFonts w:hint="cs"/>
          <w:rtl/>
        </w:rPr>
        <w:tab/>
        <w:t>وإذا كانت الدول الأطراف التي لم ترد قط على إجراء المتابعة تنتمي إلى جميع أنحاء العالم، لوحظ أن أكبر عدد منها (15) يوجد في المنطقة الأفريقية، بينما يوجد آخرون في أمريكا اللاتينية (7) وفي آسيا (7)، وفي أوروبا الشرقية (5)، وفي أوروبا الغربية/أمريكا الشمالية (2). وفي الدورة الخمسين، دعت المقررة أعضاء اللجنة إلى النظر في التدابير التي يمكن اتخاذها لمساعدة هذه الدول الأطراف على تقديم المعلومات المطلوبة لإجراء المتابعة. وأكد أعضاء اللجنة على أهمية معالجة هذه المشكلة، واقترحوا الاتصال بممثلي الدول الأطراف في جنيف، بما في ذلك من خلال توجيه رسائل تذكيرية؛ والاتصال بالهيئات الملائمة في الدولة الطرف التي ترصد تنفيذ التوصيات؛ والنظر في إجراء مشاورات داخل كل بلد. ولاحظت المقررة أن هذا الأمر قد يتيسر عن طريق الاتصال بالمؤسسات الوطنية لحقوق الإنسان في الدول الأطراف المعنية.</w:t>
      </w:r>
    </w:p>
    <w:p w:rsidR="00970856" w:rsidRDefault="00970856" w:rsidP="00970856">
      <w:pPr>
        <w:pStyle w:val="SingleTxtGA"/>
        <w:rPr>
          <w:rFonts w:hint="cs"/>
          <w:rtl/>
        </w:rPr>
      </w:pPr>
      <w:r>
        <w:rPr>
          <w:rFonts w:hint="cs"/>
          <w:rtl/>
        </w:rPr>
        <w:t>92-</w:t>
      </w:r>
      <w:r>
        <w:rPr>
          <w:rFonts w:hint="cs"/>
          <w:rtl/>
        </w:rPr>
        <w:tab/>
        <w:t>وفي مناقشة لإعداد قائمة المسائل السابقة لتقديم التقارير في إطار الإجراء المبسط الاختياري لتقديم التقارير، أكدت اللجنة من جديد أيضا</w:t>
      </w:r>
      <w:r w:rsidR="00560456">
        <w:rPr>
          <w:rFonts w:hint="cs"/>
          <w:rtl/>
        </w:rPr>
        <w:t>ً</w:t>
      </w:r>
      <w:r>
        <w:rPr>
          <w:rFonts w:hint="cs"/>
          <w:rtl/>
        </w:rPr>
        <w:t xml:space="preserve"> قرارها المتعلق بضرورة إدراج قضايا المتابعة غير المحلولة في قائمة القضايا السابقة لتقديم التقارير المعدة للتقارير اللاحقة.</w:t>
      </w:r>
    </w:p>
    <w:p w:rsidR="00970856" w:rsidRPr="00D74E11" w:rsidRDefault="00970856" w:rsidP="00970856">
      <w:pPr>
        <w:pStyle w:val="H23GA"/>
        <w:rPr>
          <w:rFonts w:hint="cs"/>
          <w:rtl/>
        </w:rPr>
      </w:pPr>
      <w:r>
        <w:rPr>
          <w:rFonts w:hint="cs"/>
          <w:rtl/>
        </w:rPr>
        <w:tab/>
      </w:r>
      <w:r>
        <w:rPr>
          <w:rFonts w:hint="cs"/>
          <w:rtl/>
        </w:rPr>
        <w:tab/>
      </w:r>
      <w:r w:rsidRPr="00D74E11">
        <w:rPr>
          <w:rFonts w:hint="cs"/>
          <w:rtl/>
        </w:rPr>
        <w:t>تقرير متابعة خاص للجمهورية العربية السورية</w:t>
      </w:r>
    </w:p>
    <w:p w:rsidR="00970856" w:rsidRDefault="00970856" w:rsidP="00560456">
      <w:pPr>
        <w:pStyle w:val="SingleTxtGA"/>
        <w:rPr>
          <w:rFonts w:hint="cs"/>
          <w:rtl/>
        </w:rPr>
      </w:pPr>
      <w:r>
        <w:rPr>
          <w:rFonts w:hint="cs"/>
          <w:rtl/>
        </w:rPr>
        <w:t>93-</w:t>
      </w:r>
      <w:r>
        <w:rPr>
          <w:rFonts w:hint="cs"/>
          <w:rtl/>
        </w:rPr>
        <w:tab/>
        <w:t xml:space="preserve">عقب استعراض اللجنة في دورتها الثامنة والأربعين (أيار/مايو 2012) للحالة في الجمهورية العربية السورية طلبت اللجنة </w:t>
      </w:r>
      <w:r w:rsidR="005E30E0">
        <w:rPr>
          <w:rFonts w:hint="cs"/>
          <w:rtl/>
        </w:rPr>
        <w:t>"</w:t>
      </w:r>
      <w:r w:rsidRPr="00661FA4">
        <w:rPr>
          <w:rtl/>
        </w:rPr>
        <w:t>عملاً بنهاية الفقرة 1 من المادة 19 من الاتفاقية، من الجمهورية العربية السورية أن تقدم إليها تقرير متابعة خاصاً عن التدابير المتخذة لتنفيذ التوصيات</w:t>
      </w:r>
      <w:r w:rsidR="005E30E0">
        <w:rPr>
          <w:rFonts w:hint="cs"/>
          <w:rtl/>
        </w:rPr>
        <w:t>"</w:t>
      </w:r>
      <w:r>
        <w:rPr>
          <w:rFonts w:hint="cs"/>
          <w:rtl/>
        </w:rPr>
        <w:t xml:space="preserve"> الواردة في الوثيقة </w:t>
      </w:r>
      <w:r w:rsidRPr="00A41311">
        <w:rPr>
          <w:lang/>
        </w:rPr>
        <w:t>CAT/C/SYR/CO/1/Add.2</w:t>
      </w:r>
      <w:r>
        <w:rPr>
          <w:rFonts w:hint="cs"/>
          <w:rtl/>
          <w:lang/>
        </w:rPr>
        <w:t>.</w:t>
      </w:r>
      <w:r>
        <w:rPr>
          <w:rFonts w:hint="cs"/>
          <w:rtl/>
        </w:rPr>
        <w:t xml:space="preserve"> وتناولت تلك التوصيات طائفة واسعة من التدابير الموصى بها أولا</w:t>
      </w:r>
      <w:r w:rsidR="00560456">
        <w:rPr>
          <w:rFonts w:hint="cs"/>
          <w:rtl/>
        </w:rPr>
        <w:t>ً</w:t>
      </w:r>
      <w:r>
        <w:rPr>
          <w:rFonts w:hint="cs"/>
          <w:rtl/>
        </w:rPr>
        <w:t xml:space="preserve"> في 2010، ومنها الإدانة العلنية </w:t>
      </w:r>
      <w:r>
        <w:rPr>
          <w:rFonts w:hint="cs"/>
          <w:rtl/>
          <w:lang w:val="fr-CH"/>
        </w:rPr>
        <w:t>لممارسات التعذيب الواسعة النطاق والمنهجية</w:t>
      </w:r>
      <w:r w:rsidRPr="00C91CB7">
        <w:rPr>
          <w:rFonts w:hint="cs"/>
          <w:rtl/>
          <w:lang w:val="fr-CH"/>
        </w:rPr>
        <w:t xml:space="preserve"> </w:t>
      </w:r>
      <w:r>
        <w:rPr>
          <w:rFonts w:hint="cs"/>
          <w:rtl/>
          <w:lang w:val="fr-CH"/>
        </w:rPr>
        <w:t>وبخاصة ممارسات قوات الأمن؛ و</w:t>
      </w:r>
      <w:r w:rsidRPr="00C91CB7">
        <w:rPr>
          <w:rFonts w:hint="cs"/>
          <w:rtl/>
          <w:lang w:val="fr-CH"/>
        </w:rPr>
        <w:t xml:space="preserve">إلغاء المراسيم التي </w:t>
      </w:r>
      <w:r>
        <w:rPr>
          <w:rFonts w:hint="cs"/>
          <w:rtl/>
          <w:lang w:val="fr-CH"/>
        </w:rPr>
        <w:t>تمنح</w:t>
      </w:r>
      <w:r w:rsidRPr="00C91CB7">
        <w:rPr>
          <w:rFonts w:hint="cs"/>
          <w:rtl/>
          <w:lang w:val="fr-CH"/>
        </w:rPr>
        <w:t xml:space="preserve"> الحصانة من </w:t>
      </w:r>
      <w:r>
        <w:rPr>
          <w:rFonts w:hint="cs"/>
          <w:rtl/>
          <w:lang w:val="fr-CH"/>
        </w:rPr>
        <w:t xml:space="preserve">الملاحقة </w:t>
      </w:r>
      <w:r w:rsidRPr="00C91CB7">
        <w:rPr>
          <w:rFonts w:hint="cs"/>
          <w:rtl/>
          <w:lang w:val="fr-CH"/>
        </w:rPr>
        <w:t>على أفعال التعذيب التي يرتكبها أفراد أجهزة الأمن ووكالات الاستخبار</w:t>
      </w:r>
      <w:r>
        <w:rPr>
          <w:rFonts w:hint="cs"/>
          <w:rtl/>
          <w:lang w:val="fr-CH"/>
        </w:rPr>
        <w:t>ات</w:t>
      </w:r>
      <w:r w:rsidRPr="00C91CB7">
        <w:rPr>
          <w:rFonts w:hint="cs"/>
          <w:rtl/>
          <w:lang w:val="fr-CH"/>
        </w:rPr>
        <w:t xml:space="preserve"> والشرطة</w:t>
      </w:r>
      <w:r>
        <w:rPr>
          <w:rFonts w:hint="cs"/>
          <w:rtl/>
        </w:rPr>
        <w:t>؛ و</w:t>
      </w:r>
      <w:r w:rsidRPr="00C91CB7">
        <w:rPr>
          <w:rFonts w:hint="cs"/>
          <w:rtl/>
          <w:lang w:val="fr-CH"/>
        </w:rPr>
        <w:t xml:space="preserve">إنشاء نظام وطني </w:t>
      </w:r>
      <w:r>
        <w:rPr>
          <w:rFonts w:hint="cs"/>
          <w:rtl/>
          <w:lang w:val="fr-CH"/>
        </w:rPr>
        <w:t xml:space="preserve">مستقل </w:t>
      </w:r>
      <w:r w:rsidRPr="00C91CB7">
        <w:rPr>
          <w:rFonts w:hint="cs"/>
          <w:rtl/>
          <w:lang w:val="fr-CH"/>
        </w:rPr>
        <w:t>لرصد أماكن الاحتجاز وتفتيش</w:t>
      </w:r>
      <w:r>
        <w:rPr>
          <w:rFonts w:hint="cs"/>
          <w:rtl/>
          <w:lang w:val="fr-CH"/>
        </w:rPr>
        <w:t xml:space="preserve">ها؛ </w:t>
      </w:r>
      <w:r>
        <w:rPr>
          <w:rFonts w:hint="cs"/>
          <w:rtl/>
        </w:rPr>
        <w:t>و</w:t>
      </w:r>
      <w:r>
        <w:rPr>
          <w:rFonts w:hint="cs"/>
          <w:rtl/>
          <w:lang w:val="fr-CH"/>
        </w:rPr>
        <w:t>الإفراج عن جميع الأشخاص المحتجزين تعسفاً</w:t>
      </w:r>
      <w:r>
        <w:rPr>
          <w:rFonts w:hint="cs"/>
          <w:rtl/>
        </w:rPr>
        <w:t xml:space="preserve">؛ </w:t>
      </w:r>
      <w:r>
        <w:rPr>
          <w:rFonts w:hint="cs"/>
          <w:rtl/>
          <w:lang w:val="fr-CH"/>
        </w:rPr>
        <w:t xml:space="preserve">والتحقيق </w:t>
      </w:r>
      <w:r w:rsidRPr="00C91CB7">
        <w:rPr>
          <w:rFonts w:hint="cs"/>
          <w:rtl/>
          <w:lang w:val="fr-CH"/>
        </w:rPr>
        <w:t xml:space="preserve">في </w:t>
      </w:r>
      <w:r>
        <w:rPr>
          <w:rFonts w:hint="cs"/>
          <w:rtl/>
          <w:lang w:val="fr-CH"/>
        </w:rPr>
        <w:t xml:space="preserve">جميع حالات الاختفاء؛ </w:t>
      </w:r>
      <w:r>
        <w:rPr>
          <w:rFonts w:hint="cs"/>
          <w:rtl/>
        </w:rPr>
        <w:t>و</w:t>
      </w:r>
      <w:r>
        <w:rPr>
          <w:rFonts w:hint="cs"/>
          <w:rtl/>
          <w:lang w:val="fr-CH"/>
        </w:rPr>
        <w:t>وقف جميع الاعتداءات على الصحفيين والمدافعين عن حقوق الإنسان</w:t>
      </w:r>
      <w:r>
        <w:rPr>
          <w:rFonts w:hint="cs"/>
          <w:rtl/>
        </w:rPr>
        <w:t>؛ واتخاذ تدابير حمائية (</w:t>
      </w:r>
      <w:r w:rsidRPr="00A41311">
        <w:rPr>
          <w:lang/>
        </w:rPr>
        <w:t>CAT/C/SYR/CO/1/Add.2</w:t>
      </w:r>
      <w:r>
        <w:rPr>
          <w:rFonts w:hint="cs"/>
          <w:rtl/>
        </w:rPr>
        <w:t>، الفقرة 22). وأضافت توصيات المتابعة أيضا</w:t>
      </w:r>
      <w:r w:rsidR="005E30E0">
        <w:rPr>
          <w:rFonts w:hint="cs"/>
          <w:rtl/>
        </w:rPr>
        <w:t>ً</w:t>
      </w:r>
      <w:r>
        <w:rPr>
          <w:rFonts w:hint="cs"/>
          <w:rtl/>
        </w:rPr>
        <w:t xml:space="preserve"> عددا</w:t>
      </w:r>
      <w:r w:rsidR="00560456">
        <w:rPr>
          <w:rFonts w:hint="cs"/>
          <w:rtl/>
        </w:rPr>
        <w:t>ً</w:t>
      </w:r>
      <w:r>
        <w:rPr>
          <w:rFonts w:hint="cs"/>
          <w:rtl/>
        </w:rPr>
        <w:t xml:space="preserve"> من التوصيات تدعو إلى </w:t>
      </w:r>
      <w:r w:rsidR="005E30E0">
        <w:rPr>
          <w:rFonts w:hint="cs"/>
          <w:rtl/>
        </w:rPr>
        <w:t>"</w:t>
      </w:r>
      <w:r>
        <w:rPr>
          <w:rFonts w:hint="cs"/>
          <w:rtl/>
          <w:lang w:val="fr-CH"/>
        </w:rPr>
        <w:t>وضع حد فوري لجميع الاعتداءات على [السكان السوريين]</w:t>
      </w:r>
      <w:r w:rsidR="005E30E0">
        <w:rPr>
          <w:rFonts w:hint="cs"/>
          <w:rtl/>
          <w:lang w:val="fr-CH"/>
        </w:rPr>
        <w:t>"</w:t>
      </w:r>
      <w:r>
        <w:rPr>
          <w:rFonts w:hint="cs"/>
          <w:rtl/>
          <w:lang w:val="fr-CH"/>
        </w:rPr>
        <w:t xml:space="preserve">، بما في ذلك الحرمان المنهجي من الغذاء والماء والرعاية الطبية، وإنشاء لجنة مستقلة للتحقيق في ادعاءات الانتهاكات الخطيرة التي </w:t>
      </w:r>
      <w:r>
        <w:rPr>
          <w:rFonts w:hint="cs"/>
          <w:rtl/>
        </w:rPr>
        <w:t>ارتك</w:t>
      </w:r>
      <w:r w:rsidR="00560456">
        <w:rPr>
          <w:rFonts w:hint="cs"/>
          <w:rtl/>
        </w:rPr>
        <w:t>بت</w:t>
      </w:r>
      <w:r>
        <w:rPr>
          <w:rFonts w:hint="cs"/>
          <w:rtl/>
        </w:rPr>
        <w:t xml:space="preserve">ها قوات الأمن؛ وإجراء تحقيقات فورية ونزيهة وشاملة في ادعاءات الإعدام بإجراءات موجزة والاحتجاز التعسفي والتعذيب أو إساءة المعاملة، والملاحقات القضائية بما في ذلك </w:t>
      </w:r>
      <w:r w:rsidR="005E30E0">
        <w:rPr>
          <w:rFonts w:hint="cs"/>
          <w:rtl/>
        </w:rPr>
        <w:t>"</w:t>
      </w:r>
      <w:r>
        <w:rPr>
          <w:rFonts w:hint="cs"/>
          <w:rtl/>
        </w:rPr>
        <w:t>إجراء تحقيقات في أعلى مستويات سلسلة القيادة</w:t>
      </w:r>
      <w:r w:rsidR="005E30E0">
        <w:rPr>
          <w:rFonts w:hint="cs"/>
          <w:rtl/>
        </w:rPr>
        <w:t>"</w:t>
      </w:r>
      <w:r>
        <w:rPr>
          <w:rFonts w:hint="cs"/>
          <w:rtl/>
        </w:rPr>
        <w:t xml:space="preserve"> (المرجع نفسه، الفقرة 23). وبعدما أشارت اللجنة إلى أن هذه الممارسات الحالية المنتهكة للاتفاقية </w:t>
      </w:r>
      <w:r w:rsidR="005E30E0">
        <w:rPr>
          <w:rFonts w:hint="cs"/>
          <w:rtl/>
        </w:rPr>
        <w:t>"</w:t>
      </w:r>
      <w:r>
        <w:rPr>
          <w:rFonts w:hint="cs"/>
          <w:rtl/>
        </w:rPr>
        <w:t>لا يمكن قبولها على الإطلاق</w:t>
      </w:r>
      <w:r w:rsidR="005E30E0">
        <w:rPr>
          <w:rFonts w:hint="cs"/>
          <w:rtl/>
        </w:rPr>
        <w:t>"</w:t>
      </w:r>
      <w:r>
        <w:rPr>
          <w:rFonts w:hint="cs"/>
          <w:rtl/>
        </w:rPr>
        <w:t xml:space="preserve">، أهابت اللجنة </w:t>
      </w:r>
      <w:r w:rsidR="00560456">
        <w:rPr>
          <w:rFonts w:hint="cs"/>
          <w:rtl/>
        </w:rPr>
        <w:t>ب</w:t>
      </w:r>
      <w:r>
        <w:rPr>
          <w:rFonts w:hint="cs"/>
          <w:rtl/>
        </w:rPr>
        <w:t>الدولة الطرف</w:t>
      </w:r>
      <w:r w:rsidR="005E30E0">
        <w:rPr>
          <w:rFonts w:hint="cs"/>
          <w:rtl/>
        </w:rPr>
        <w:t xml:space="preserve"> "</w:t>
      </w:r>
      <w:r>
        <w:rPr>
          <w:rFonts w:hint="cs"/>
          <w:rtl/>
        </w:rPr>
        <w:t>أن تكف عن خرقها الواضح للالتزامات بموجب الاتفاقية</w:t>
      </w:r>
      <w:r w:rsidR="005E30E0">
        <w:rPr>
          <w:rFonts w:hint="cs"/>
          <w:rtl/>
        </w:rPr>
        <w:t>"</w:t>
      </w:r>
      <w:r>
        <w:rPr>
          <w:rFonts w:hint="cs"/>
          <w:rtl/>
        </w:rPr>
        <w:t xml:space="preserve"> ودعت إلى </w:t>
      </w:r>
      <w:r w:rsidR="005E30E0">
        <w:rPr>
          <w:rFonts w:hint="cs"/>
          <w:rtl/>
        </w:rPr>
        <w:t>"</w:t>
      </w:r>
      <w:r>
        <w:rPr>
          <w:rFonts w:hint="cs"/>
          <w:rtl/>
        </w:rPr>
        <w:t>تنفيذ برنامج فوري وصارم لضمان الامتثال للاتفاقية</w:t>
      </w:r>
      <w:r w:rsidR="005E30E0">
        <w:rPr>
          <w:rFonts w:hint="cs"/>
          <w:rtl/>
        </w:rPr>
        <w:t>"</w:t>
      </w:r>
      <w:r>
        <w:rPr>
          <w:rFonts w:hint="cs"/>
          <w:rtl/>
        </w:rPr>
        <w:t xml:space="preserve"> (المرجع نفسه، الفقرة 24).</w:t>
      </w:r>
    </w:p>
    <w:p w:rsidR="00970856" w:rsidRDefault="00970856" w:rsidP="00970856">
      <w:pPr>
        <w:pStyle w:val="SingleTxtGA"/>
        <w:rPr>
          <w:rFonts w:hint="cs"/>
          <w:rtl/>
        </w:rPr>
      </w:pPr>
      <w:r>
        <w:rPr>
          <w:rFonts w:hint="cs"/>
          <w:rtl/>
        </w:rPr>
        <w:t>94-</w:t>
      </w:r>
      <w:r>
        <w:rPr>
          <w:rFonts w:hint="cs"/>
          <w:rtl/>
        </w:rPr>
        <w:tab/>
        <w:t>وناقشت اللجنة في دورتها التاسعة والأربعين مسألة عدم تقديم أي تقرير متابعة وفقا</w:t>
      </w:r>
      <w:r w:rsidR="00480F53">
        <w:rPr>
          <w:rFonts w:hint="cs"/>
          <w:rtl/>
        </w:rPr>
        <w:t>ً</w:t>
      </w:r>
      <w:r>
        <w:rPr>
          <w:rFonts w:hint="cs"/>
          <w:rtl/>
        </w:rPr>
        <w:t xml:space="preserve"> </w:t>
      </w:r>
      <w:r w:rsidRPr="00480F53">
        <w:rPr>
          <w:rFonts w:hint="cs"/>
          <w:spacing w:val="-2"/>
          <w:rtl/>
        </w:rPr>
        <w:t>للطلب، وإن كانت اللجنة تلقت مذكرة شفوية من حكومة الجمهورية العربية السورية. وعليه، بعثت المقررة المعنية بمتابعة الملاحظات الختامية برسالة في 21 كانون الأول/ديسمبر 2012 إلى الممثل الدائم للجمهورية العربية السورية لدى الأمم المتحدة في جنيف، تذَكر</w:t>
      </w:r>
      <w:r>
        <w:rPr>
          <w:rFonts w:hint="cs"/>
          <w:rtl/>
        </w:rPr>
        <w:t xml:space="preserve"> فيها بطلب المعلومات المحدثة بشأن هذه التوصيات وطلبت توضيح طبيعة الإجراءات التي اتخذت وتاريخ ورود المعلومات. </w:t>
      </w:r>
    </w:p>
    <w:p w:rsidR="00970856" w:rsidRDefault="00970856" w:rsidP="00480F53">
      <w:pPr>
        <w:pStyle w:val="SingleTxtGA"/>
        <w:rPr>
          <w:rFonts w:hint="cs"/>
          <w:rtl/>
        </w:rPr>
      </w:pPr>
      <w:r>
        <w:rPr>
          <w:rFonts w:hint="cs"/>
          <w:rtl/>
        </w:rPr>
        <w:t>95-</w:t>
      </w:r>
      <w:r>
        <w:rPr>
          <w:rFonts w:hint="cs"/>
          <w:rtl/>
        </w:rPr>
        <w:tab/>
        <w:t>وفي الدورة الخمسين للجنة، رفعت المقررة المعنية بمتابعة الملاحظات الختامية إلى اللجنة تقريرا</w:t>
      </w:r>
      <w:r w:rsidR="00560456">
        <w:rPr>
          <w:rFonts w:hint="cs"/>
          <w:rtl/>
        </w:rPr>
        <w:t>ً</w:t>
      </w:r>
      <w:r>
        <w:rPr>
          <w:rFonts w:hint="cs"/>
          <w:rtl/>
        </w:rPr>
        <w:t xml:space="preserve"> عن استمرار غياب المعلومات المطلوبة من الدولة الطرف فيما يتعلق بالامتثال للاتفاقية. فأبلغت اللجنةَ بأن معلومات قد وردت في تقريرين حديثين صدرا عن لجنة التحقيق الدولية بشأن الجمهورية العربية السورية التي أنشأها مجلس حقوق الإنسان، وعن مفوضة الأمم المتحدة السامية لحقوق الإنسان؛ وأوردا تفاصيل انتشار العنف والتعذيب والتنكيل، بما</w:t>
      </w:r>
      <w:r w:rsidR="00480F53">
        <w:rPr>
          <w:rFonts w:hint="eastAsia"/>
          <w:rtl/>
        </w:rPr>
        <w:t> </w:t>
      </w:r>
      <w:r>
        <w:rPr>
          <w:rFonts w:hint="cs"/>
          <w:rtl/>
        </w:rPr>
        <w:t>في ذلك ظهور أشكال جديدة من العنف في مراكز التفتيش، والعنف الجنسي وأعمال القتل. وردا</w:t>
      </w:r>
      <w:r w:rsidR="00560456">
        <w:rPr>
          <w:rFonts w:hint="cs"/>
          <w:rtl/>
        </w:rPr>
        <w:t>ً</w:t>
      </w:r>
      <w:r>
        <w:rPr>
          <w:rFonts w:hint="cs"/>
          <w:rtl/>
        </w:rPr>
        <w:t xml:space="preserve"> على طلب من اللجنة، أكدت المقررة أنها ستواصل التماس رد متابعة من الدولة الطرف. وبالإضافة إلى ذلك، لاحظت اللجنة أن موعد التقرير الدوري المقبل للجمهورية العربية السورية يحين في 2014 وطلبت أن تقبل الدولة الطرف إجراء الإبلاغ المبسط الاختياري فيما يخص ذلك التقرير.</w:t>
      </w:r>
    </w:p>
    <w:p w:rsidR="00970856" w:rsidRDefault="00970856" w:rsidP="00970856">
      <w:pPr>
        <w:pStyle w:val="HChGA"/>
        <w:spacing w:before="120"/>
        <w:rPr>
          <w:rtl/>
        </w:rPr>
      </w:pPr>
      <w:r>
        <w:rPr>
          <w:spacing w:val="6"/>
          <w:kern w:val="16"/>
          <w:sz w:val="22"/>
          <w:rtl/>
        </w:rPr>
        <w:br w:type="page"/>
      </w:r>
      <w:r>
        <w:rPr>
          <w:rtl/>
        </w:rPr>
        <w:tab/>
        <w:t>خامساً-</w:t>
      </w:r>
      <w:r>
        <w:rPr>
          <w:rtl/>
        </w:rPr>
        <w:tab/>
        <w:t>أنشطة اللجنة بموجب المادة 20 من الاتفاقية</w:t>
      </w:r>
    </w:p>
    <w:p w:rsidR="00970856" w:rsidRDefault="00970856" w:rsidP="00970856">
      <w:pPr>
        <w:pStyle w:val="SingleTxtGA"/>
        <w:rPr>
          <w:rtl/>
        </w:rPr>
      </w:pPr>
      <w:r>
        <w:rPr>
          <w:rFonts w:hint="cs"/>
          <w:rtl/>
        </w:rPr>
        <w:t>96</w:t>
      </w:r>
      <w:r>
        <w:rPr>
          <w:rtl/>
        </w:rPr>
        <w:t>-</w:t>
      </w:r>
      <w:r>
        <w:rPr>
          <w:rtl/>
        </w:rPr>
        <w:tab/>
        <w:t>وفقاً للفقرة 1 من المادة 20 من الاتفاقية، إذا تلقت اللجنة معلومات موثوقاً بها يبدو لها أنها تتضمن دلائل لها أساس قوي تشير إلى أن التعذيب يمارس على نحو منهجي في أراضي دولة طرف، تدعو اللجنة هذه الدولة الطرف إلى أن تتعاون في دراسة هذه المعلومات وأن</w:t>
      </w:r>
      <w:r>
        <w:rPr>
          <w:rFonts w:hint="cs"/>
          <w:rtl/>
        </w:rPr>
        <w:t> </w:t>
      </w:r>
      <w:r>
        <w:rPr>
          <w:rtl/>
        </w:rPr>
        <w:t>تقدم، تحقيقاً لهذه الغاية، ملاحظات بخصوص هذه المعلومات.</w:t>
      </w:r>
    </w:p>
    <w:p w:rsidR="00970856" w:rsidRDefault="00970856" w:rsidP="00970856">
      <w:pPr>
        <w:pStyle w:val="SingleTxtGA"/>
        <w:rPr>
          <w:rtl/>
        </w:rPr>
      </w:pPr>
      <w:r>
        <w:rPr>
          <w:rFonts w:hint="cs"/>
          <w:rtl/>
        </w:rPr>
        <w:t>97</w:t>
      </w:r>
      <w:r>
        <w:rPr>
          <w:rtl/>
        </w:rPr>
        <w:t>-</w:t>
      </w:r>
      <w:r>
        <w:rPr>
          <w:rtl/>
        </w:rPr>
        <w:tab/>
        <w:t>ووفقاً للمادة 75 من النظام الداخلي للجنة، يوجه الأمين العام انتباه اللجنة إلى المعلومات التي أحيلت إليها، أو التي يبدو أنها أحيلت إليها، لكي تنظر فيها بموجب الفقرة 1 من المادة 20 من الاتفاقية.</w:t>
      </w:r>
    </w:p>
    <w:p w:rsidR="00970856" w:rsidRDefault="00970856" w:rsidP="00970856">
      <w:pPr>
        <w:pStyle w:val="SingleTxtGA"/>
        <w:rPr>
          <w:rtl/>
        </w:rPr>
      </w:pPr>
      <w:r>
        <w:rPr>
          <w:rFonts w:hint="cs"/>
          <w:rtl/>
        </w:rPr>
        <w:t>98</w:t>
      </w:r>
      <w:r>
        <w:rPr>
          <w:rtl/>
        </w:rPr>
        <w:t>-</w:t>
      </w:r>
      <w:r>
        <w:rPr>
          <w:rtl/>
        </w:rPr>
        <w:tab/>
        <w:t>ولا تستلم اللجنة أي معلومات إذا كانت تتعلق بدولة طرف تكون قد أعلنت، وفقاً</w:t>
      </w:r>
      <w:r>
        <w:rPr>
          <w:rFonts w:hint="cs"/>
          <w:rtl/>
        </w:rPr>
        <w:t> </w:t>
      </w:r>
      <w:r>
        <w:rPr>
          <w:rtl/>
        </w:rPr>
        <w:t>للفقرة 1 من المادة 28 من الاتفاقية، وقت التصديق على الاتفاقية أو الانضمام إليها، أنها لا</w:t>
      </w:r>
      <w:r>
        <w:rPr>
          <w:rFonts w:hint="cs"/>
          <w:rtl/>
        </w:rPr>
        <w:t> </w:t>
      </w:r>
      <w:r>
        <w:rPr>
          <w:rtl/>
        </w:rPr>
        <w:t>تعترف باختصاص اللجنة المنصوص عليه في المادة 20، ما لم تكن هذه الدولة الطرف قد</w:t>
      </w:r>
      <w:r>
        <w:rPr>
          <w:rFonts w:hint="cs"/>
          <w:rtl/>
        </w:rPr>
        <w:t> </w:t>
      </w:r>
      <w:r>
        <w:rPr>
          <w:rtl/>
        </w:rPr>
        <w:t>سحبت تحفظها بعد ذلك وفقاً للفقرة 2 من المادة 28 من الاتفاقية.</w:t>
      </w:r>
    </w:p>
    <w:p w:rsidR="00970856" w:rsidRDefault="00970856" w:rsidP="00970856">
      <w:pPr>
        <w:pStyle w:val="SingleTxtGA"/>
        <w:rPr>
          <w:rtl/>
        </w:rPr>
      </w:pPr>
      <w:r>
        <w:rPr>
          <w:rFonts w:hint="cs"/>
          <w:rtl/>
        </w:rPr>
        <w:t>99</w:t>
      </w:r>
      <w:r>
        <w:rPr>
          <w:rtl/>
        </w:rPr>
        <w:t>-</w:t>
      </w:r>
      <w:r>
        <w:rPr>
          <w:rtl/>
        </w:rPr>
        <w:tab/>
        <w:t>وقد استمرت أعمال اللجنة بموجب المادة 20 من الاتفاقية خلال الفترة قيد الاستعراض. ووفقاً لأحكام المادة 20 من الاتفاقية والمادتين 78 و79 من النظام الداخلي، تكون جميع وثائق وإجراءات اللجنة المتعلقة بمهامها بموجب المادة 20 من الاتفاقية سرية، وتكون جميع الجلسات المتعلقة بإجراءاتها بموجب هذه المادة جلسات مغلقة. بيد أنه، وفقاً للفقرة 5 من المادة 20 من الاتفاقية، يجوز للجنة بعد التشاور مع الدولة الطرف المعنية، أن</w:t>
      </w:r>
      <w:r>
        <w:rPr>
          <w:rFonts w:hint="cs"/>
          <w:rtl/>
        </w:rPr>
        <w:t> </w:t>
      </w:r>
      <w:r>
        <w:rPr>
          <w:rtl/>
        </w:rPr>
        <w:t>تقرر إدراج بيان موجز بنتائج الإجراءات في تقريرها السنوي إلى الدول الأطراف وإلى الجمعية العامة.</w:t>
      </w:r>
    </w:p>
    <w:p w:rsidR="00970856" w:rsidRDefault="00970856" w:rsidP="00970856">
      <w:pPr>
        <w:pStyle w:val="SingleTxtGA"/>
        <w:rPr>
          <w:rFonts w:hint="cs"/>
          <w:rtl/>
        </w:rPr>
      </w:pPr>
      <w:r>
        <w:rPr>
          <w:rFonts w:hint="cs"/>
          <w:rtl/>
        </w:rPr>
        <w:t>100</w:t>
      </w:r>
      <w:r>
        <w:rPr>
          <w:rtl/>
        </w:rPr>
        <w:t>-</w:t>
      </w:r>
      <w:r>
        <w:rPr>
          <w:rtl/>
        </w:rPr>
        <w:tab/>
        <w:t>وفي إطار أنشطة المتابعة، واصل المقررون المعنيون بالمادة 20 الاضطلاع بأنشطة ترمي إلى تشجيع الدول الأطراف التي أجريت بشأنها تحقيقات نُشرت نتائجها على اتخاذ تدابير لتنفيذ توصيات اللجنة.</w:t>
      </w:r>
    </w:p>
    <w:p w:rsidR="00F30123" w:rsidRDefault="00970856" w:rsidP="00F30123">
      <w:pPr>
        <w:pStyle w:val="SingleTxtGA"/>
        <w:spacing w:after="0"/>
        <w:rPr>
          <w:rFonts w:hint="cs"/>
          <w:spacing w:val="-2"/>
          <w:rtl/>
        </w:rPr>
      </w:pPr>
      <w:r w:rsidRPr="00F30123">
        <w:rPr>
          <w:rFonts w:hint="cs"/>
          <w:rtl/>
        </w:rPr>
        <w:t>101</w:t>
      </w:r>
      <w:r w:rsidRPr="00F30123">
        <w:rPr>
          <w:rtl/>
        </w:rPr>
        <w:t>-</w:t>
      </w:r>
      <w:r w:rsidRPr="00F30123">
        <w:rPr>
          <w:rtl/>
        </w:rPr>
        <w:tab/>
        <w:t>وترد معلومات إضافية عن هذا الإجراء في الموقع الإلكتروني التابع للمفوضية السامية لحقوق الإنسان على العنوان التالي:</w:t>
      </w:r>
      <w:r w:rsidRPr="00F30123">
        <w:rPr>
          <w:spacing w:val="-2"/>
          <w:rtl/>
        </w:rPr>
        <w:t xml:space="preserve"> </w:t>
      </w:r>
    </w:p>
    <w:p w:rsidR="00970856" w:rsidRPr="00F30123" w:rsidRDefault="00970856" w:rsidP="00F30123">
      <w:pPr>
        <w:pStyle w:val="SingleTxtGA"/>
        <w:rPr>
          <w:spacing w:val="-2"/>
          <w:rtl/>
        </w:rPr>
      </w:pPr>
      <w:r w:rsidRPr="00F30123">
        <w:rPr>
          <w:spacing w:val="-2"/>
          <w:rtl/>
        </w:rPr>
        <w:t>(</w:t>
      </w:r>
      <w:r w:rsidRPr="00F30123">
        <w:rPr>
          <w:spacing w:val="-2"/>
        </w:rPr>
        <w:t>http://www2.ohchr.org/english/bodies/cat/confidential_art20.htm</w:t>
      </w:r>
      <w:r w:rsidRPr="00F30123">
        <w:rPr>
          <w:spacing w:val="-2"/>
          <w:rtl/>
        </w:rPr>
        <w:t>).</w:t>
      </w:r>
    </w:p>
    <w:p w:rsidR="00970856" w:rsidRPr="00D513BF" w:rsidRDefault="00970856" w:rsidP="00970856">
      <w:pPr>
        <w:pStyle w:val="HChGA"/>
        <w:spacing w:before="120"/>
        <w:rPr>
          <w:rFonts w:hint="cs"/>
          <w:rtl/>
          <w:lang w:val="fr-CH"/>
        </w:rPr>
      </w:pPr>
      <w:r>
        <w:rPr>
          <w:spacing w:val="6"/>
          <w:kern w:val="16"/>
          <w:sz w:val="22"/>
          <w:rtl/>
        </w:rPr>
        <w:br w:type="page"/>
      </w:r>
      <w:r>
        <w:rPr>
          <w:rFonts w:hint="cs"/>
          <w:rtl/>
          <w:lang w:val="fr-CH"/>
        </w:rPr>
        <w:tab/>
      </w:r>
      <w:r w:rsidRPr="00D513BF">
        <w:rPr>
          <w:rFonts w:hint="cs"/>
          <w:rtl/>
          <w:lang w:val="fr-CH"/>
        </w:rPr>
        <w:t>سادساً-</w:t>
      </w:r>
      <w:r w:rsidRPr="00D513BF">
        <w:rPr>
          <w:rFonts w:hint="cs"/>
          <w:rtl/>
          <w:lang w:val="fr-CH"/>
        </w:rPr>
        <w:tab/>
        <w:t>النظر في الشكاوى المقدمة بموجب المادة 22 من الاتفاقية</w:t>
      </w:r>
    </w:p>
    <w:p w:rsidR="00970856" w:rsidRPr="00D513BF" w:rsidRDefault="00970856" w:rsidP="00970856">
      <w:pPr>
        <w:pStyle w:val="H1GA"/>
        <w:rPr>
          <w:rFonts w:hint="cs"/>
          <w:rtl/>
          <w:lang w:val="fr-CH"/>
        </w:rPr>
      </w:pPr>
      <w:r w:rsidRPr="00D513BF">
        <w:rPr>
          <w:rFonts w:hint="cs"/>
          <w:rtl/>
          <w:lang w:val="fr-CH"/>
        </w:rPr>
        <w:tab/>
        <w:t>ألف-</w:t>
      </w:r>
      <w:r w:rsidRPr="00D513BF">
        <w:rPr>
          <w:rFonts w:hint="cs"/>
          <w:rtl/>
          <w:lang w:val="fr-CH"/>
        </w:rPr>
        <w:tab/>
        <w:t>مقدمة</w:t>
      </w:r>
    </w:p>
    <w:p w:rsidR="00970856" w:rsidRPr="004E0A37" w:rsidRDefault="00970856" w:rsidP="00970856">
      <w:pPr>
        <w:pStyle w:val="SingleTxtGA"/>
        <w:rPr>
          <w:rFonts w:hint="cs"/>
          <w:b/>
          <w:bCs/>
          <w:rtl/>
        </w:rPr>
      </w:pPr>
      <w:r>
        <w:rPr>
          <w:rFonts w:hint="cs"/>
          <w:rtl/>
        </w:rPr>
        <w:t>102</w:t>
      </w:r>
      <w:r w:rsidRPr="004E0A37">
        <w:rPr>
          <w:rFonts w:hint="cs"/>
          <w:rtl/>
        </w:rPr>
        <w:t>-</w:t>
      </w:r>
      <w:r w:rsidRPr="004E0A37">
        <w:rPr>
          <w:rFonts w:hint="cs"/>
          <w:rtl/>
        </w:rPr>
        <w:tab/>
        <w:t>عملاً بالمادة 22 من الاتفاقية، يجوز للأفراد الذين يدّعون أنهم ضحايا انتهاك دولة طرف لأحكام الاتفاقية رفع شكوى إلى لجنة مناهضة التعذيب للنظر فيها</w:t>
      </w:r>
      <w:r>
        <w:rPr>
          <w:rFonts w:hint="cs"/>
          <w:rtl/>
        </w:rPr>
        <w:t xml:space="preserve"> وفقاً </w:t>
      </w:r>
      <w:r w:rsidRPr="004E0A37">
        <w:rPr>
          <w:rFonts w:hint="cs"/>
          <w:rtl/>
        </w:rPr>
        <w:t>للشروط المبينة في تلك المادة. وقد أعلنت خمس وستون دولة انضمت إلى الاتفاقية أو صدقت عليها أنها تعترف باختصاص اللجنة في تلقي الشكاوى والنظر فيها بموجب المادة 22 من الاتفاقية. وترد قائمة بهذه الدول في المرفق الثالث. ولا يجوز أن تنظر اللجنة في أية شكوى إذا كانت تتصل بدولة طرف في الاتفاقية</w:t>
      </w:r>
      <w:r>
        <w:rPr>
          <w:rFonts w:hint="cs"/>
          <w:rtl/>
        </w:rPr>
        <w:t xml:space="preserve"> لم </w:t>
      </w:r>
      <w:r w:rsidRPr="004E0A37">
        <w:rPr>
          <w:rFonts w:hint="cs"/>
          <w:rtl/>
        </w:rPr>
        <w:t>تعترف باختصاص اللجنة بموجب المادة 22.</w:t>
      </w:r>
    </w:p>
    <w:p w:rsidR="00970856" w:rsidRPr="004E0A37" w:rsidRDefault="00970856" w:rsidP="00F30123">
      <w:pPr>
        <w:pStyle w:val="SingleTxtGA"/>
        <w:rPr>
          <w:rFonts w:hint="cs"/>
          <w:rtl/>
        </w:rPr>
      </w:pPr>
      <w:r>
        <w:rPr>
          <w:rFonts w:hint="cs"/>
          <w:rtl/>
        </w:rPr>
        <w:t>103</w:t>
      </w:r>
      <w:r w:rsidRPr="004E0A37">
        <w:rPr>
          <w:rFonts w:hint="cs"/>
          <w:rtl/>
        </w:rPr>
        <w:t>-</w:t>
      </w:r>
      <w:r w:rsidRPr="004E0A37">
        <w:rPr>
          <w:rFonts w:hint="cs"/>
          <w:rtl/>
        </w:rPr>
        <w:tab/>
        <w:t>وأنشأت اللجنة،</w:t>
      </w:r>
      <w:r>
        <w:rPr>
          <w:rFonts w:hint="cs"/>
          <w:rtl/>
        </w:rPr>
        <w:t xml:space="preserve"> وفقاً </w:t>
      </w:r>
      <w:r w:rsidRPr="004E0A37">
        <w:rPr>
          <w:rFonts w:hint="cs"/>
          <w:rtl/>
        </w:rPr>
        <w:t>للفقرة 1 من المادة 104 من نظامها الداخلي، منصب المقرر المعني بالشكاوى الجديدة والتدابير المؤقتة، وهو منصب يشغله</w:t>
      </w:r>
      <w:r>
        <w:rPr>
          <w:rFonts w:hint="cs"/>
          <w:rtl/>
        </w:rPr>
        <w:t xml:space="preserve"> حالياً السيد فرناندو مارين</w:t>
      </w:r>
      <w:r w:rsidRPr="004E0A37">
        <w:rPr>
          <w:rFonts w:hint="cs"/>
          <w:rtl/>
        </w:rPr>
        <w:t xml:space="preserve">و. </w:t>
      </w:r>
    </w:p>
    <w:p w:rsidR="00970856" w:rsidRPr="004E0A37" w:rsidRDefault="00970856" w:rsidP="00F30123">
      <w:pPr>
        <w:pStyle w:val="SingleTxtGA"/>
        <w:rPr>
          <w:rFonts w:hint="cs"/>
          <w:rtl/>
        </w:rPr>
      </w:pPr>
      <w:r>
        <w:rPr>
          <w:rFonts w:hint="cs"/>
          <w:rtl/>
        </w:rPr>
        <w:t>104</w:t>
      </w:r>
      <w:r w:rsidRPr="004E0A37">
        <w:rPr>
          <w:rFonts w:hint="cs"/>
          <w:rtl/>
        </w:rPr>
        <w:t>-</w:t>
      </w:r>
      <w:r w:rsidRPr="004E0A37">
        <w:rPr>
          <w:rFonts w:hint="cs"/>
          <w:rtl/>
        </w:rPr>
        <w:tab/>
        <w:t>ويُنظر في الشكاوى المقدمة بموجب المادة 22 من الاتفاقية في جلسات مغلقة (الفقرة</w:t>
      </w:r>
      <w:r w:rsidRPr="004E0A37">
        <w:rPr>
          <w:rFonts w:hint="eastAsia"/>
          <w:rtl/>
        </w:rPr>
        <w:t> </w:t>
      </w:r>
      <w:r w:rsidRPr="004E0A37">
        <w:rPr>
          <w:rFonts w:hint="cs"/>
          <w:rtl/>
        </w:rPr>
        <w:t>6 من المادة 22). وتكون جميع الوثائق المتصلة بأعمال اللجنة بموجب المادة 22، أي البيانات المقدمة من الأطراف وغيرها من وثائق عمل اللجنة، سريةً. وتحدد المادتان 113 و115 من النظام الداخلي للجنة الطرائق المتبعة في الإجراء المتعلق بالشكاوى.</w:t>
      </w:r>
    </w:p>
    <w:p w:rsidR="00970856" w:rsidRPr="004E0A37" w:rsidRDefault="00970856" w:rsidP="00970856">
      <w:pPr>
        <w:pStyle w:val="SingleTxtGA"/>
        <w:rPr>
          <w:rFonts w:hint="cs"/>
          <w:rtl/>
        </w:rPr>
      </w:pPr>
      <w:r>
        <w:rPr>
          <w:rFonts w:hint="cs"/>
          <w:rtl/>
        </w:rPr>
        <w:t>105</w:t>
      </w:r>
      <w:r w:rsidRPr="004E0A37">
        <w:rPr>
          <w:rFonts w:hint="cs"/>
          <w:rtl/>
        </w:rPr>
        <w:t>-</w:t>
      </w:r>
      <w:r w:rsidRPr="004E0A37">
        <w:rPr>
          <w:rFonts w:hint="cs"/>
          <w:rtl/>
        </w:rPr>
        <w:tab/>
        <w:t>وتتخذ اللجنة قرارها في الشكوى في ضوء كل المعلومات التي يتيحها لها صاحب الشكوى والدولة الطرف. وترسل نتائج تحقيقات اللجنة إلى الطرفين (الفقرة 7 من المادة 22 من الاتفاقية، والمادة 118 من النظام الداخلي للجنة)، وتتاح تلك النتائج لعامة الجمهور. ويتاح للجمهور أيضاً نص قرارات اللجنة التي تعلن فيها عدم مقبولية الشكاوى بموجب المادة</w:t>
      </w:r>
      <w:r w:rsidRPr="004E0A37">
        <w:rPr>
          <w:rFonts w:hint="eastAsia"/>
          <w:rtl/>
        </w:rPr>
        <w:t> </w:t>
      </w:r>
      <w:r w:rsidRPr="004E0A37">
        <w:rPr>
          <w:rFonts w:hint="cs"/>
          <w:rtl/>
        </w:rPr>
        <w:t xml:space="preserve">22 من الاتفاقية، وذلك دون الكشف عن هوية صاحب الشكوى، ولكن مع تحديد اسم الدولة الطرف المعنية. </w:t>
      </w:r>
    </w:p>
    <w:p w:rsidR="00970856" w:rsidRPr="004E0A37" w:rsidRDefault="00970856" w:rsidP="00970856">
      <w:pPr>
        <w:pStyle w:val="SingleTxtGA"/>
        <w:rPr>
          <w:rFonts w:hint="cs"/>
          <w:rtl/>
        </w:rPr>
      </w:pPr>
      <w:r>
        <w:rPr>
          <w:rFonts w:hint="cs"/>
          <w:rtl/>
        </w:rPr>
        <w:t>106</w:t>
      </w:r>
      <w:r w:rsidRPr="004E0A37">
        <w:rPr>
          <w:rFonts w:hint="cs"/>
          <w:rtl/>
        </w:rPr>
        <w:t>-</w:t>
      </w:r>
      <w:r w:rsidRPr="004E0A37">
        <w:rPr>
          <w:rFonts w:hint="cs"/>
          <w:rtl/>
        </w:rPr>
        <w:tab/>
        <w:t xml:space="preserve">ويجوز للجنة، عملاً بالفقرة 1 من المادة 121 من نظامها الداخلي، أن تقرر تضمين تقريرها السنوي موجزاً عن البلاغات التي بحثتها. وتدرج اللجنة أيضاً في تقريرها السنوي نصوص قراراتها المعتمدة بموجب الفقرة 7 من المادة 22 من الاتفاقية. </w:t>
      </w:r>
    </w:p>
    <w:p w:rsidR="00970856" w:rsidRPr="003B45E3" w:rsidRDefault="00970856" w:rsidP="00970856">
      <w:pPr>
        <w:pStyle w:val="H1GA"/>
        <w:rPr>
          <w:rFonts w:hint="cs"/>
          <w:rtl/>
          <w:lang w:val="fr-CH"/>
        </w:rPr>
      </w:pPr>
      <w:r w:rsidRPr="003B45E3">
        <w:rPr>
          <w:rFonts w:hint="cs"/>
          <w:rtl/>
          <w:lang w:val="fr-CH"/>
        </w:rPr>
        <w:tab/>
        <w:t>باء-</w:t>
      </w:r>
      <w:r w:rsidRPr="003B45E3">
        <w:rPr>
          <w:rFonts w:hint="cs"/>
          <w:rtl/>
          <w:lang w:val="fr-CH"/>
        </w:rPr>
        <w:tab/>
        <w:t>تدابير الحماية المؤقتة</w:t>
      </w:r>
    </w:p>
    <w:p w:rsidR="00970856" w:rsidRPr="004E0A37" w:rsidRDefault="00970856" w:rsidP="00970856">
      <w:pPr>
        <w:pStyle w:val="SingleTxtGA"/>
        <w:rPr>
          <w:rFonts w:hint="cs"/>
          <w:rtl/>
        </w:rPr>
      </w:pPr>
      <w:r>
        <w:rPr>
          <w:rFonts w:hint="cs"/>
          <w:rtl/>
        </w:rPr>
        <w:t>107</w:t>
      </w:r>
      <w:r w:rsidRPr="004E0A37">
        <w:rPr>
          <w:rFonts w:hint="cs"/>
          <w:rtl/>
        </w:rPr>
        <w:t>-</w:t>
      </w:r>
      <w:r w:rsidRPr="004E0A37">
        <w:rPr>
          <w:rFonts w:hint="cs"/>
          <w:rtl/>
        </w:rPr>
        <w:tab/>
        <w:t>كثيراً ما يطلب أصحاب الشكاوى حماية وقائية، ولا سيما في حالات الطرد أو</w:t>
      </w:r>
      <w:r w:rsidRPr="004E0A37">
        <w:rPr>
          <w:rFonts w:hint="eastAsia"/>
          <w:rtl/>
        </w:rPr>
        <w:t> </w:t>
      </w:r>
      <w:r w:rsidRPr="004E0A37">
        <w:rPr>
          <w:rFonts w:hint="cs"/>
          <w:rtl/>
        </w:rPr>
        <w:t>التسليم الوشيكة التي يدّعون فيها حدوث انتهاك لأحكام المادة 3 من الاتفاقية. وعملاً بالفقرة 1 من المادة 114 من النظام الداخلي للجنة، يجوز للجنة عبر مقررها المعني بالشكاوى الجديدة والتدابير المؤقتة، أن توجه، في أي وقت بعد تلقي الشكوى، طلباً إلى الدولة الطرف المعنية لكي تتخذ ما تراه اللجنة ضرورياً من تدابير مؤقتة لتفادي أي ضرر لا يمكن جبره قد يلحق بضحية أو ضحايا الانتهاكات المزعومة. وتبلَّغ الدولة الطرف بأن هذا الطلب لا يعني البت في مقبولية الشكوى أو في أسسها الموضوعية. وخلال الفترة المشمولة بهذا التقرير، وردت طلبات تتعلق بتدابير الحماية المؤقتة في إطار</w:t>
      </w:r>
      <w:r w:rsidRPr="004E0A37">
        <w:rPr>
          <w:rFonts w:hint="eastAsia"/>
          <w:rtl/>
        </w:rPr>
        <w:t> </w:t>
      </w:r>
      <w:r>
        <w:rPr>
          <w:rFonts w:hint="cs"/>
          <w:rtl/>
        </w:rPr>
        <w:t>44</w:t>
      </w:r>
      <w:r w:rsidRPr="004E0A37">
        <w:rPr>
          <w:rFonts w:hint="eastAsia"/>
          <w:rtl/>
        </w:rPr>
        <w:t> </w:t>
      </w:r>
      <w:r w:rsidRPr="004E0A37">
        <w:rPr>
          <w:rFonts w:hint="cs"/>
          <w:rtl/>
        </w:rPr>
        <w:t xml:space="preserve">شكوى واستجاب المقرر المعني بالشكاوى الجديدة والتدابير المؤقتة، الذي يقوم برصد منتظم لمدى الامتثال لطلبات اللجنة </w:t>
      </w:r>
      <w:r>
        <w:rPr>
          <w:rFonts w:hint="cs"/>
          <w:rtl/>
        </w:rPr>
        <w:t>فيما </w:t>
      </w:r>
      <w:r w:rsidRPr="004E0A37">
        <w:rPr>
          <w:rFonts w:hint="cs"/>
          <w:rtl/>
        </w:rPr>
        <w:t xml:space="preserve">يخص التدابير المؤقتة، لهذه الطلبات في إطار </w:t>
      </w:r>
      <w:r>
        <w:rPr>
          <w:rFonts w:hint="cs"/>
          <w:rtl/>
        </w:rPr>
        <w:t>30</w:t>
      </w:r>
      <w:r w:rsidRPr="004E0A37">
        <w:rPr>
          <w:rFonts w:hint="cs"/>
          <w:rtl/>
        </w:rPr>
        <w:t xml:space="preserve"> شكوى.</w:t>
      </w:r>
    </w:p>
    <w:p w:rsidR="00970856" w:rsidRPr="004E0A37" w:rsidRDefault="00970856" w:rsidP="00970856">
      <w:pPr>
        <w:pStyle w:val="SingleTxtGA"/>
        <w:rPr>
          <w:rFonts w:hint="cs"/>
          <w:rtl/>
        </w:rPr>
      </w:pPr>
      <w:r>
        <w:rPr>
          <w:rFonts w:hint="cs"/>
          <w:rtl/>
        </w:rPr>
        <w:t>108</w:t>
      </w:r>
      <w:r w:rsidRPr="004E0A37">
        <w:rPr>
          <w:rFonts w:hint="cs"/>
          <w:rtl/>
        </w:rPr>
        <w:t>-</w:t>
      </w:r>
      <w:r w:rsidRPr="004E0A37">
        <w:rPr>
          <w:rFonts w:hint="cs"/>
          <w:rtl/>
        </w:rPr>
        <w:tab/>
        <w:t>ويجوز اعتماد قرار الموافقة على التدابير المؤقتة على أساس المعلومات الواردة في الطلب المقدم من صاحب الشكوى. وعملاً بالفقرة 3 من المادة 114، يجوز للمقرر المعني بالشكاوى الجديدة والتدابير المؤقتة أن يستعرض هذا القرار بناء على مبادرة من الدولة الطرف في ضوء المعلومات الواردة في الوقت المناسب من الدولة الطرف ومفادها أن الحاجة إلى تدابير مؤقتة غير مبرَّرة وأن صاحب الشكوى لا يواجه أي احتمال لتعرضه لضرر لا يمكن جبره، وكذلك في ضوء أي تعليقات لاحقة، إن وُجدت، من صاحب الشكوى. وكان موقف المقرر هو أن مثل هذه الطلبات لا تستدعي النظر فيها إلاّ إذا استندت إلى معلومات جديدة ووجيهة</w:t>
      </w:r>
      <w:r>
        <w:rPr>
          <w:rFonts w:hint="cs"/>
          <w:rtl/>
        </w:rPr>
        <w:t xml:space="preserve"> لم </w:t>
      </w:r>
      <w:r w:rsidRPr="004E0A37">
        <w:rPr>
          <w:rFonts w:hint="cs"/>
          <w:rtl/>
        </w:rPr>
        <w:t>تكن متاحة له عند اتخاذ قراره الأولي بشأن التدابير المؤقتة.</w:t>
      </w:r>
    </w:p>
    <w:p w:rsidR="00970856" w:rsidRPr="004E0A37" w:rsidRDefault="00970856" w:rsidP="00970856">
      <w:pPr>
        <w:pStyle w:val="SingleTxtGA"/>
        <w:rPr>
          <w:rFonts w:hint="cs"/>
          <w:rtl/>
        </w:rPr>
      </w:pPr>
      <w:r>
        <w:rPr>
          <w:rFonts w:hint="cs"/>
          <w:rtl/>
        </w:rPr>
        <w:t>109</w:t>
      </w:r>
      <w:r w:rsidRPr="004E0A37">
        <w:rPr>
          <w:rFonts w:hint="cs"/>
          <w:rtl/>
        </w:rPr>
        <w:t>-</w:t>
      </w:r>
      <w:r w:rsidRPr="004E0A37">
        <w:rPr>
          <w:rFonts w:hint="cs"/>
          <w:rtl/>
        </w:rPr>
        <w:tab/>
        <w:t>وحددت اللجنة مفاهيم المعايير، من حيث الشكل والموضوع، التي يطبقها المقرر المعني بالشكاوى الجديدة والتدابير المؤقتة في معرض الاستجابة لطلبات تدابير الحماية المؤقتة أو رفضها. وإلى جانب قيام صاحب الشكوى بتقديم طلب تدابير الحماية المؤقتة في الوقت المناسب بموجب الفقرة 1 من المادة 114 من النظام الداخلي للجنة، فإنه يجب عليه أن يستوفي معايير القبول الأساسية المبيَّنة في الفقرات 1 إلى 5 من المادة 22 من الاتفاقية كي يتسنى للمقرر أن يتّخذ إجراءً بناءً على طلب صاحب الشكوى. ويجوز الإعفاء من شرط استنفاد سبل الانتصاف المحلية إذا</w:t>
      </w:r>
      <w:r>
        <w:rPr>
          <w:rFonts w:hint="cs"/>
          <w:rtl/>
        </w:rPr>
        <w:t xml:space="preserve"> لم </w:t>
      </w:r>
      <w:r w:rsidRPr="004E0A37">
        <w:rPr>
          <w:rFonts w:hint="cs"/>
          <w:rtl/>
        </w:rPr>
        <w:t xml:space="preserve">يكن لسبل الانتصاف الوحيدة المتاحة لصاحب الشكوى أي أثر إيقافي، أي، على سبيل المثال، سبل الانتصاف التي لا توقف بصورة تلقائية تنفيذ أمر بالطرد إلى دولة قد يتعرض فيها صاحب الشكوى للتعذيب، أو إذا كان من المحتمل ترحيل صاحب الشكوى فوراً بعد رفض طلبه اللجوء رفضاً نهائياً. وفي هذه الحالات، يجوز للمقرر أن يطلب إلى الدولة الطرف الامتناع عن ترحيل صاحب الشكوى ما دامت شكواه قيد نظر اللجنة، وذلك حتى قبل استنفاد سبل الانتصاف المحلية. أما </w:t>
      </w:r>
      <w:r>
        <w:rPr>
          <w:rFonts w:hint="cs"/>
          <w:rtl/>
        </w:rPr>
        <w:t>فيما </w:t>
      </w:r>
      <w:r w:rsidRPr="004E0A37">
        <w:rPr>
          <w:rFonts w:hint="cs"/>
          <w:rtl/>
        </w:rPr>
        <w:t>يتعلق بالمعايير الموضوعية التي يطبقها المقرر، فإنه يجب أن تتوفر للشكوى حظوظ معقولة في القبول من حيث الأسس الموضوعية لكي يمكن أن يُستنتج أن الشخص الذي يُدعى أنه ضحية سيعاني ضرراً لا يمكن جبره في حال ترحيله.</w:t>
      </w:r>
    </w:p>
    <w:p w:rsidR="00970856" w:rsidRPr="00D513BF" w:rsidRDefault="00970856" w:rsidP="00970856">
      <w:pPr>
        <w:pStyle w:val="SingleTxtGA"/>
        <w:rPr>
          <w:rFonts w:hint="cs"/>
          <w:rtl/>
        </w:rPr>
      </w:pPr>
      <w:r>
        <w:rPr>
          <w:rFonts w:hint="cs"/>
          <w:rtl/>
        </w:rPr>
        <w:t>110</w:t>
      </w:r>
      <w:r w:rsidRPr="00D513BF">
        <w:rPr>
          <w:rFonts w:hint="cs"/>
          <w:rtl/>
        </w:rPr>
        <w:t>-</w:t>
      </w:r>
      <w:r w:rsidRPr="00D513BF">
        <w:rPr>
          <w:rFonts w:hint="cs"/>
          <w:rtl/>
        </w:rPr>
        <w:tab/>
        <w:t>وفي الحالات المتعلقة بالطرد أو التسليم الوشيكين التي لا يتضح فيها من الشكوى وجود دعوى ظاهرة الوجاهة ذات حظوظ معقولة لكي تُقبل من حيث الأسس الموضوعية بما</w:t>
      </w:r>
      <w:r w:rsidRPr="00D513BF">
        <w:rPr>
          <w:rFonts w:hint="eastAsia"/>
          <w:rtl/>
        </w:rPr>
        <w:t> </w:t>
      </w:r>
      <w:r w:rsidRPr="00D513BF">
        <w:rPr>
          <w:rFonts w:hint="cs"/>
          <w:rtl/>
        </w:rPr>
        <w:t>يمكّن المقرر المعني بالشكاوى الجديدة والتدابير المؤقتة من استنتاج أن الشخص الذي يُدعى أنه ضحية سيعاني ضرراً لا يُجبر في حال ترحيله، يُطلب إلى صاحب الشكوى كتابةً أن يؤكد رغبته في عرض بلاغه على اللجنة من أجل النظر فيه، رغم رفض المقرر الخاص المعني بالشكاوى الجديدة والتدابير</w:t>
      </w:r>
      <w:r>
        <w:rPr>
          <w:rFonts w:hint="cs"/>
          <w:rtl/>
        </w:rPr>
        <w:t xml:space="preserve"> المؤقتة طلب التدابير المؤقتة</w:t>
      </w:r>
      <w:r w:rsidRPr="00D513BF">
        <w:rPr>
          <w:rFonts w:hint="cs"/>
          <w:rtl/>
        </w:rPr>
        <w:t xml:space="preserve">. </w:t>
      </w:r>
      <w:r>
        <w:rPr>
          <w:rFonts w:hint="cs"/>
          <w:rtl/>
        </w:rPr>
        <w:t>و</w:t>
      </w:r>
      <w:r w:rsidRPr="00D513BF">
        <w:rPr>
          <w:rFonts w:hint="cs"/>
          <w:rtl/>
        </w:rPr>
        <w:t>في بعض الحالات، يسحب المقرر طلبات الحماية المؤقتة استناداً إلى الفقرة 3 من المادة 114 من النظام الداخلي للجنة وعلى أساس معلومات وجيهة ترد من الدولة الطرف المعنية وتزيل الحاجة إلى اتخاذ تدابير مؤقتة.</w:t>
      </w:r>
    </w:p>
    <w:p w:rsidR="00970856" w:rsidRPr="00D513BF" w:rsidRDefault="00970856" w:rsidP="00970856">
      <w:pPr>
        <w:pStyle w:val="H1GA"/>
        <w:rPr>
          <w:rFonts w:hint="cs"/>
          <w:rtl/>
          <w:lang w:val="fr-CH"/>
        </w:rPr>
      </w:pPr>
      <w:r w:rsidRPr="00D513BF">
        <w:rPr>
          <w:rFonts w:hint="cs"/>
          <w:rtl/>
          <w:lang w:val="fr-CH"/>
        </w:rPr>
        <w:tab/>
        <w:t>جيم-</w:t>
      </w:r>
      <w:r w:rsidRPr="00D513BF">
        <w:rPr>
          <w:rFonts w:hint="cs"/>
          <w:rtl/>
          <w:lang w:val="fr-CH"/>
        </w:rPr>
        <w:tab/>
        <w:t>سير العمل</w:t>
      </w:r>
    </w:p>
    <w:p w:rsidR="00970856" w:rsidRPr="004E0A37" w:rsidRDefault="00970856" w:rsidP="00970856">
      <w:pPr>
        <w:pStyle w:val="SingleTxtGA"/>
        <w:rPr>
          <w:rFonts w:hint="cs"/>
          <w:rtl/>
        </w:rPr>
      </w:pPr>
      <w:r>
        <w:rPr>
          <w:rFonts w:hint="cs"/>
          <w:rtl/>
        </w:rPr>
        <w:t>111</w:t>
      </w:r>
      <w:r w:rsidRPr="004E0A37">
        <w:rPr>
          <w:rFonts w:hint="cs"/>
          <w:rtl/>
        </w:rPr>
        <w:t>-</w:t>
      </w:r>
      <w:r w:rsidRPr="004E0A37">
        <w:rPr>
          <w:rFonts w:hint="cs"/>
          <w:rtl/>
        </w:rPr>
        <w:tab/>
        <w:t xml:space="preserve">حتى تاريخ اعتماد هذا التقرير، كانت اللجنة قد سجلت، منذ عام 1989، </w:t>
      </w:r>
      <w:r>
        <w:rPr>
          <w:rFonts w:hint="cs"/>
          <w:rtl/>
        </w:rPr>
        <w:t>546</w:t>
      </w:r>
      <w:r w:rsidRPr="004E0A37">
        <w:rPr>
          <w:rFonts w:hint="cs"/>
          <w:rtl/>
        </w:rPr>
        <w:t xml:space="preserve"> شكاوى تخص 31 دولة من الدول الأطراف</w:t>
      </w:r>
      <w:r>
        <w:rPr>
          <w:vertAlign w:val="superscript"/>
          <w:rtl/>
        </w:rPr>
        <w:t>(</w:t>
      </w:r>
      <w:r>
        <w:rPr>
          <w:rStyle w:val="FootnoteReference"/>
          <w:rtl/>
        </w:rPr>
        <w:footnoteReference w:id="22"/>
      </w:r>
      <w:r>
        <w:rPr>
          <w:vertAlign w:val="superscript"/>
          <w:rtl/>
        </w:rPr>
        <w:t>)</w:t>
      </w:r>
      <w:r w:rsidRPr="004E0A37">
        <w:rPr>
          <w:rFonts w:hint="cs"/>
          <w:rtl/>
        </w:rPr>
        <w:t xml:space="preserve">. وأُوقف النظر في </w:t>
      </w:r>
      <w:r>
        <w:rPr>
          <w:rFonts w:hint="cs"/>
          <w:rtl/>
        </w:rPr>
        <w:t>151</w:t>
      </w:r>
      <w:r w:rsidRPr="004E0A37">
        <w:rPr>
          <w:rFonts w:hint="cs"/>
          <w:rtl/>
        </w:rPr>
        <w:t xml:space="preserve"> شكوى من مجموع هذه الشكاوى واعتُبرت </w:t>
      </w:r>
      <w:r>
        <w:rPr>
          <w:rFonts w:hint="cs"/>
          <w:rtl/>
        </w:rPr>
        <w:t>67</w:t>
      </w:r>
      <w:r w:rsidRPr="004E0A37">
        <w:rPr>
          <w:rFonts w:hint="cs"/>
          <w:rtl/>
        </w:rPr>
        <w:t xml:space="preserve"> شكوى أخرى غير مقبولة. واعتمدت اللجنة قرارات نهائية بشأن الأسس الموضوعية في </w:t>
      </w:r>
      <w:r>
        <w:rPr>
          <w:rFonts w:hint="cs"/>
          <w:rtl/>
        </w:rPr>
        <w:t>218</w:t>
      </w:r>
      <w:r w:rsidRPr="004E0A37">
        <w:rPr>
          <w:rFonts w:hint="cs"/>
          <w:rtl/>
        </w:rPr>
        <w:t xml:space="preserve"> </w:t>
      </w:r>
      <w:r>
        <w:rPr>
          <w:rFonts w:hint="cs"/>
          <w:rtl/>
        </w:rPr>
        <w:t>شكوى</w:t>
      </w:r>
      <w:r w:rsidRPr="004E0A37">
        <w:rPr>
          <w:rFonts w:hint="cs"/>
          <w:rtl/>
        </w:rPr>
        <w:t xml:space="preserve">، وخلصت إلى وقوع انتهاكات للاتفاقية في </w:t>
      </w:r>
      <w:r>
        <w:rPr>
          <w:rFonts w:hint="cs"/>
          <w:rtl/>
        </w:rPr>
        <w:t>76</w:t>
      </w:r>
      <w:r w:rsidRPr="004E0A37">
        <w:rPr>
          <w:rFonts w:hint="cs"/>
          <w:rtl/>
        </w:rPr>
        <w:t xml:space="preserve"> شكوى منها. وظلت </w:t>
      </w:r>
      <w:r>
        <w:rPr>
          <w:rFonts w:hint="cs"/>
          <w:rtl/>
        </w:rPr>
        <w:t>110</w:t>
      </w:r>
      <w:r w:rsidRPr="004E0A37">
        <w:rPr>
          <w:rFonts w:hint="cs"/>
          <w:rtl/>
        </w:rPr>
        <w:t xml:space="preserve"> من الشكاوى تنتظر البت فيها. </w:t>
      </w:r>
    </w:p>
    <w:p w:rsidR="00970856" w:rsidRPr="009022D4" w:rsidRDefault="00970856" w:rsidP="00F30123">
      <w:pPr>
        <w:pStyle w:val="SingleTxtGA"/>
        <w:rPr>
          <w:rFonts w:hint="cs"/>
          <w:rtl/>
        </w:rPr>
      </w:pPr>
      <w:r>
        <w:rPr>
          <w:rFonts w:hint="cs"/>
          <w:rtl/>
        </w:rPr>
        <w:t>112</w:t>
      </w:r>
      <w:r w:rsidRPr="009022D4">
        <w:rPr>
          <w:rFonts w:hint="cs"/>
          <w:rtl/>
        </w:rPr>
        <w:t>-</w:t>
      </w:r>
      <w:r w:rsidRPr="009022D4">
        <w:rPr>
          <w:rFonts w:hint="cs"/>
          <w:rtl/>
        </w:rPr>
        <w:tab/>
        <w:t>واعتمدت اللجنة في دورتها التاسعة والأربعين قرارات بشأن الأسس الموضوعية فيما يتعلق بالشكاوى رقم</w:t>
      </w:r>
      <w:r w:rsidRPr="009022D4">
        <w:rPr>
          <w:rFonts w:hint="eastAsia"/>
          <w:rtl/>
        </w:rPr>
        <w:t> </w:t>
      </w:r>
      <w:r w:rsidRPr="009022D4">
        <w:rPr>
          <w:rFonts w:hint="cs"/>
          <w:rtl/>
        </w:rPr>
        <w:t xml:space="preserve">416/2010 </w:t>
      </w:r>
      <w:r w:rsidRPr="009022D4">
        <w:rPr>
          <w:rFonts w:hint="cs"/>
          <w:i/>
          <w:iCs/>
          <w:rtl/>
        </w:rPr>
        <w:t>(</w:t>
      </w:r>
      <w:r>
        <w:rPr>
          <w:rFonts w:hint="cs"/>
          <w:i/>
          <w:iCs/>
          <w:rtl/>
        </w:rPr>
        <w:t xml:space="preserve">كي </w:t>
      </w:r>
      <w:r w:rsidRPr="009022D4">
        <w:rPr>
          <w:rFonts w:hint="cs"/>
          <w:i/>
          <w:iCs/>
          <w:rtl/>
        </w:rPr>
        <w:t>ضد أستراليا)</w:t>
      </w:r>
      <w:r w:rsidRPr="009022D4">
        <w:rPr>
          <w:rFonts w:hint="cs"/>
          <w:rtl/>
        </w:rPr>
        <w:t xml:space="preserve">، ورقم 464/2010 </w:t>
      </w:r>
      <w:r w:rsidRPr="009022D4">
        <w:rPr>
          <w:rFonts w:hint="cs"/>
          <w:i/>
          <w:iCs/>
          <w:rtl/>
        </w:rPr>
        <w:t>(ك.</w:t>
      </w:r>
      <w:r w:rsidRPr="009022D4">
        <w:rPr>
          <w:rFonts w:hint="eastAsia"/>
          <w:i/>
          <w:iCs/>
          <w:rtl/>
        </w:rPr>
        <w:t> </w:t>
      </w:r>
      <w:r w:rsidRPr="009022D4">
        <w:rPr>
          <w:rFonts w:hint="cs"/>
          <w:i/>
          <w:iCs/>
          <w:sz w:val="30"/>
          <w:rtl/>
        </w:rPr>
        <w:t>ﻫ</w:t>
      </w:r>
      <w:r w:rsidRPr="009022D4">
        <w:rPr>
          <w:rFonts w:hint="cs"/>
          <w:i/>
          <w:iCs/>
          <w:rtl/>
        </w:rPr>
        <w:t>. ضد الدانمرك)</w:t>
      </w:r>
      <w:r w:rsidRPr="009022D4">
        <w:rPr>
          <w:rFonts w:hint="cs"/>
          <w:rtl/>
        </w:rPr>
        <w:t xml:space="preserve">، ورقم 385/2009 </w:t>
      </w:r>
      <w:r w:rsidRPr="009022D4">
        <w:rPr>
          <w:rFonts w:hint="cs"/>
          <w:i/>
          <w:iCs/>
          <w:rtl/>
        </w:rPr>
        <w:t>(م.</w:t>
      </w:r>
      <w:r w:rsidRPr="009022D4">
        <w:rPr>
          <w:rFonts w:hint="eastAsia"/>
          <w:i/>
          <w:iCs/>
          <w:rtl/>
        </w:rPr>
        <w:t> </w:t>
      </w:r>
      <w:r w:rsidRPr="009022D4">
        <w:rPr>
          <w:rFonts w:hint="cs"/>
          <w:i/>
          <w:iCs/>
          <w:rtl/>
        </w:rPr>
        <w:t>أ-ف. وآخرون ضد السويد)</w:t>
      </w:r>
      <w:r w:rsidRPr="009022D4">
        <w:rPr>
          <w:rFonts w:hint="cs"/>
          <w:rtl/>
        </w:rPr>
        <w:t>، ورقم</w:t>
      </w:r>
      <w:r>
        <w:rPr>
          <w:rFonts w:hint="eastAsia"/>
          <w:rtl/>
        </w:rPr>
        <w:t> </w:t>
      </w:r>
      <w:r w:rsidRPr="009022D4">
        <w:rPr>
          <w:rFonts w:hint="cs"/>
          <w:rtl/>
        </w:rPr>
        <w:t xml:space="preserve">389/2009 </w:t>
      </w:r>
      <w:r w:rsidRPr="009022D4">
        <w:rPr>
          <w:rFonts w:hint="cs"/>
          <w:i/>
          <w:iCs/>
          <w:rtl/>
        </w:rPr>
        <w:t>(ر.</w:t>
      </w:r>
      <w:r w:rsidRPr="009022D4">
        <w:rPr>
          <w:rFonts w:hint="eastAsia"/>
          <w:i/>
          <w:iCs/>
          <w:rtl/>
        </w:rPr>
        <w:t> </w:t>
      </w:r>
      <w:r w:rsidRPr="009022D4">
        <w:rPr>
          <w:rFonts w:hint="cs"/>
          <w:i/>
          <w:iCs/>
          <w:rtl/>
        </w:rPr>
        <w:t>أ. ضد سويسرا)</w:t>
      </w:r>
      <w:r w:rsidRPr="009022D4">
        <w:rPr>
          <w:rFonts w:hint="cs"/>
          <w:rtl/>
        </w:rPr>
        <w:t xml:space="preserve">، ورقم 406/2009 </w:t>
      </w:r>
      <w:r w:rsidRPr="009022D4">
        <w:rPr>
          <w:rFonts w:hint="cs"/>
          <w:i/>
          <w:iCs/>
          <w:rtl/>
        </w:rPr>
        <w:t>(ص.</w:t>
      </w:r>
      <w:r>
        <w:rPr>
          <w:rFonts w:hint="cs"/>
          <w:i/>
          <w:iCs/>
          <w:rtl/>
        </w:rPr>
        <w:t xml:space="preserve"> </w:t>
      </w:r>
      <w:r w:rsidRPr="009022D4">
        <w:rPr>
          <w:rFonts w:hint="cs"/>
          <w:i/>
          <w:iCs/>
          <w:rtl/>
        </w:rPr>
        <w:t>م. ضد سويسرا)</w:t>
      </w:r>
      <w:r w:rsidRPr="009022D4">
        <w:rPr>
          <w:rFonts w:hint="cs"/>
          <w:rtl/>
        </w:rPr>
        <w:t xml:space="preserve">، </w:t>
      </w:r>
      <w:r w:rsidRPr="009A29C6">
        <w:rPr>
          <w:rFonts w:hint="cs"/>
          <w:spacing w:val="-2"/>
          <w:rtl/>
        </w:rPr>
        <w:t xml:space="preserve">ورقم 412/2010 </w:t>
      </w:r>
      <w:r w:rsidRPr="009A29C6">
        <w:rPr>
          <w:rFonts w:hint="cs"/>
          <w:i/>
          <w:iCs/>
          <w:spacing w:val="-2"/>
          <w:rtl/>
        </w:rPr>
        <w:t>(ع.</w:t>
      </w:r>
      <w:r w:rsidR="00F30123">
        <w:rPr>
          <w:rFonts w:hint="eastAsia"/>
          <w:i/>
          <w:iCs/>
          <w:spacing w:val="-2"/>
          <w:rtl/>
        </w:rPr>
        <w:t> </w:t>
      </w:r>
      <w:r w:rsidRPr="009A29C6">
        <w:rPr>
          <w:rFonts w:hint="cs"/>
          <w:i/>
          <w:iCs/>
          <w:spacing w:val="-2"/>
          <w:rtl/>
        </w:rPr>
        <w:t>أ. ضد الدانمرك)</w:t>
      </w:r>
      <w:r w:rsidRPr="009A29C6">
        <w:rPr>
          <w:rFonts w:hint="cs"/>
          <w:spacing w:val="-2"/>
          <w:rtl/>
        </w:rPr>
        <w:t>، ورقم</w:t>
      </w:r>
      <w:r w:rsidRPr="009A29C6">
        <w:rPr>
          <w:rFonts w:hint="eastAsia"/>
          <w:spacing w:val="-2"/>
          <w:rtl/>
        </w:rPr>
        <w:t> </w:t>
      </w:r>
      <w:r w:rsidRPr="009A29C6">
        <w:rPr>
          <w:rFonts w:hint="cs"/>
          <w:spacing w:val="-2"/>
          <w:rtl/>
        </w:rPr>
        <w:t xml:space="preserve">417/2010 </w:t>
      </w:r>
      <w:r w:rsidRPr="009A29C6">
        <w:rPr>
          <w:rFonts w:hint="cs"/>
          <w:i/>
          <w:iCs/>
          <w:spacing w:val="-2"/>
          <w:rtl/>
        </w:rPr>
        <w:t>(ي. ز. س. ضـد أستراليا)</w:t>
      </w:r>
      <w:r w:rsidRPr="009022D4">
        <w:rPr>
          <w:rFonts w:hint="cs"/>
          <w:rtl/>
        </w:rPr>
        <w:t xml:space="preserve"> ورقم 432/2010 </w:t>
      </w:r>
      <w:r w:rsidRPr="009022D4">
        <w:rPr>
          <w:rFonts w:hint="cs"/>
          <w:i/>
          <w:iCs/>
          <w:rtl/>
        </w:rPr>
        <w:t>(ح.</w:t>
      </w:r>
      <w:r>
        <w:rPr>
          <w:rFonts w:hint="cs"/>
          <w:i/>
          <w:iCs/>
          <w:rtl/>
        </w:rPr>
        <w:t xml:space="preserve"> </w:t>
      </w:r>
      <w:r w:rsidRPr="009022D4">
        <w:rPr>
          <w:rFonts w:hint="cs"/>
          <w:i/>
          <w:iCs/>
          <w:rtl/>
        </w:rPr>
        <w:t>ك. ضد</w:t>
      </w:r>
      <w:r w:rsidRPr="009022D4">
        <w:rPr>
          <w:rFonts w:hint="eastAsia"/>
          <w:i/>
          <w:iCs/>
          <w:rtl/>
        </w:rPr>
        <w:t> </w:t>
      </w:r>
      <w:r w:rsidRPr="009022D4">
        <w:rPr>
          <w:rFonts w:hint="cs"/>
          <w:i/>
          <w:iCs/>
          <w:rtl/>
        </w:rPr>
        <w:t>سويسرا)</w:t>
      </w:r>
      <w:r w:rsidRPr="009022D4">
        <w:rPr>
          <w:rFonts w:hint="cs"/>
          <w:rtl/>
        </w:rPr>
        <w:t xml:space="preserve"> ورقم 435/2010 </w:t>
      </w:r>
      <w:r w:rsidRPr="009022D4">
        <w:rPr>
          <w:rFonts w:hint="cs"/>
          <w:i/>
          <w:iCs/>
          <w:rtl/>
        </w:rPr>
        <w:t>(غ.</w:t>
      </w:r>
      <w:r>
        <w:rPr>
          <w:rFonts w:hint="cs"/>
          <w:i/>
          <w:iCs/>
          <w:rtl/>
        </w:rPr>
        <w:t xml:space="preserve"> </w:t>
      </w:r>
      <w:r w:rsidRPr="009022D4">
        <w:rPr>
          <w:rFonts w:hint="cs"/>
          <w:i/>
          <w:iCs/>
          <w:rtl/>
        </w:rPr>
        <w:t>ب.</w:t>
      </w:r>
      <w:r>
        <w:rPr>
          <w:rFonts w:hint="cs"/>
          <w:i/>
          <w:iCs/>
          <w:rtl/>
        </w:rPr>
        <w:t xml:space="preserve"> </w:t>
      </w:r>
      <w:r w:rsidRPr="009022D4">
        <w:rPr>
          <w:rFonts w:hint="cs"/>
          <w:i/>
          <w:iCs/>
          <w:rtl/>
        </w:rPr>
        <w:t>م. ضد</w:t>
      </w:r>
      <w:r w:rsidRPr="009022D4">
        <w:rPr>
          <w:rFonts w:hint="eastAsia"/>
          <w:i/>
          <w:iCs/>
          <w:rtl/>
        </w:rPr>
        <w:t> </w:t>
      </w:r>
      <w:r w:rsidRPr="009022D4">
        <w:rPr>
          <w:rFonts w:hint="cs"/>
          <w:i/>
          <w:iCs/>
          <w:rtl/>
        </w:rPr>
        <w:t>السويد)</w:t>
      </w:r>
      <w:r w:rsidRPr="009022D4">
        <w:rPr>
          <w:rFonts w:hint="cs"/>
          <w:rtl/>
        </w:rPr>
        <w:t xml:space="preserve">. ويرد نص هذه القرارات أيضاً في الفرع ألف من المرفق </w:t>
      </w:r>
      <w:r>
        <w:rPr>
          <w:rFonts w:hint="cs"/>
          <w:rtl/>
        </w:rPr>
        <w:t>السابع</w:t>
      </w:r>
      <w:r w:rsidRPr="009022D4">
        <w:rPr>
          <w:rFonts w:hint="cs"/>
          <w:rtl/>
        </w:rPr>
        <w:t xml:space="preserve"> عشر لهذا التقرير.</w:t>
      </w:r>
    </w:p>
    <w:p w:rsidR="00970856" w:rsidRDefault="00970856" w:rsidP="00970856">
      <w:pPr>
        <w:pStyle w:val="SingleTxtGA"/>
        <w:rPr>
          <w:rFonts w:hint="cs"/>
          <w:rtl/>
          <w:lang w:val="fr-CH"/>
        </w:rPr>
      </w:pPr>
      <w:r>
        <w:rPr>
          <w:rFonts w:hint="cs"/>
          <w:rtl/>
          <w:lang w:val="fr-CH"/>
        </w:rPr>
        <w:t>113-</w:t>
      </w:r>
      <w:r>
        <w:rPr>
          <w:rFonts w:hint="cs"/>
          <w:rtl/>
          <w:lang w:val="fr-CH"/>
        </w:rPr>
        <w:tab/>
        <w:t xml:space="preserve">تتعلق الشكوى رقم 416/2010 </w:t>
      </w:r>
      <w:r w:rsidRPr="00A011E0">
        <w:rPr>
          <w:rFonts w:hint="cs"/>
          <w:i/>
          <w:iCs/>
          <w:rtl/>
          <w:lang w:val="fr-CH"/>
        </w:rPr>
        <w:t>(</w:t>
      </w:r>
      <w:r>
        <w:rPr>
          <w:rFonts w:hint="cs"/>
          <w:i/>
          <w:iCs/>
          <w:rtl/>
          <w:lang w:val="fr-CH"/>
        </w:rPr>
        <w:t>تشون رونغ ضد أستراليا</w:t>
      </w:r>
      <w:r w:rsidRPr="00A011E0">
        <w:rPr>
          <w:rFonts w:hint="cs"/>
          <w:i/>
          <w:iCs/>
          <w:rtl/>
          <w:lang w:val="fr-CH"/>
        </w:rPr>
        <w:t>)</w:t>
      </w:r>
      <w:r>
        <w:rPr>
          <w:rFonts w:hint="cs"/>
          <w:rtl/>
          <w:lang w:val="fr-CH"/>
        </w:rPr>
        <w:t>، بمواطن صيني كان قد طلب الحصول على تأشيرة حماية بموجب القانون الأسترالي المتعلق بالهجرة لعام 1958، لكن السلطات الأسترالية رفضت طلبه هذا وأمرته بمغادرة البلد. ووقت تقديم الشكوى، كان السيد تشون غونغ محتجزاً في مركز فيلاوود لاحتجاز المهاجرين في سيدني في انتظار ترحيله. ويدعي صاحب الشكوى أنه إذا أُعيد إلى الصين سيخضع للاستجواب فور وصوله المطار كونه اعتُقل واحتُجز وسُجِّل اسمه بوصفه أحد قادة الفالون غونغ، مما قد يقود إلى احتجازه فترة من الزمن لمواصلة استجوابه ويؤدي إلى تعرضه للتعذيب. ويدَّعي صاحب الشكوى أن إعادته القسرية إلى الصين ستُشكل خرقاً من جانب أستراليا للمادة 3 من الاتفاقية. ولاحظت اللجنة أن استعراض الأسس الموضوعية لادعاءات صاحب الشكوى بشأن خطر التعذيب الذي كان يواجهه قد جرى بشكل أساسي استناداً إلى فحوى طلب تأشيرة الحماية الأول الذي قدمه بُعيد وصوله إلى البلد ودون معرفته بالنظام أو فهمه له؛ ولاحظت اللجنة أيضاً أنه لم تُجرَ مقابلة شخصية مع صاحب الشكوى سواء من قبل إدارة الهجرة، التي رفضت طلبه الأصلي، أو من قبل محكمة مراجعة الأحكام الخاصة باللاجئين. وبالتالي لم تسنح له الفرصة لتوضيح أي تباينات في إفادته الأولى. ورأت اللجنة أنه لا يمكن، إلا في حالات نادرة، توقع أن تتسم تصريحات ضحايا التعذيب بالدقة الكاملة، ولاحظت أن قرار محكمة الصلح الاتحادية وقرار المحكمة الاتحادية الأسترالية يقران بأن صاحب الشكوى لم يُبلَّغ بالدعوة لحضور جلسة الاستماع المنعقدة في محكمة مراجعة الأحكام الخاصة باللاجئين. كما لاحظت اللجنة أن الدولة الطرف لا تنازع في أن ممارسي الفالون غونغ في الصين معرضون للتعذيب، ولكنها تؤسس قرارها رفض حماية صاحب الشكوى على تقييمها لمدى مصداقية مزاعمه. واعتبرت اللجنة أن الدولة الطرف لم تتحقق على النحو الواجب من الادعاءات والأدلة التي ساقها صاحب الشكوى باتباع إجراءات تحترم التزام الدولة الطرف الإجرائي بأن تكفل مراجعة فعلية ومستقلة ونزيهة، وخلصت بالتالي إلى أن ترحيل صاحب الشكوى إلى بلده الأصل سيشكل خرقاً للمادة 3 من الاتفاقية.</w:t>
      </w:r>
    </w:p>
    <w:p w:rsidR="00970856" w:rsidRDefault="00970856" w:rsidP="00970856">
      <w:pPr>
        <w:pStyle w:val="SingleTxtGA"/>
        <w:rPr>
          <w:rFonts w:hint="cs"/>
          <w:rtl/>
          <w:lang w:val="fr-CH"/>
        </w:rPr>
      </w:pPr>
      <w:r>
        <w:rPr>
          <w:rFonts w:hint="cs"/>
          <w:rtl/>
          <w:lang w:val="fr-CH"/>
        </w:rPr>
        <w:t>114-</w:t>
      </w:r>
      <w:r>
        <w:rPr>
          <w:rFonts w:hint="cs"/>
          <w:rtl/>
          <w:lang w:val="fr-CH"/>
        </w:rPr>
        <w:tab/>
        <w:t xml:space="preserve">وتتعلق الشكوى رقم 464/2011 </w:t>
      </w:r>
      <w:r w:rsidRPr="00424DEA">
        <w:rPr>
          <w:rFonts w:hint="cs"/>
          <w:i/>
          <w:iCs/>
          <w:rtl/>
          <w:lang w:val="fr-CH"/>
        </w:rPr>
        <w:t>(</w:t>
      </w:r>
      <w:r>
        <w:rPr>
          <w:rFonts w:hint="cs"/>
          <w:i/>
          <w:iCs/>
          <w:rtl/>
          <w:lang w:val="fr-CH"/>
        </w:rPr>
        <w:t>ك. ه‍. ضد الدانمرك</w:t>
      </w:r>
      <w:r w:rsidRPr="00424DEA">
        <w:rPr>
          <w:rFonts w:hint="cs"/>
          <w:i/>
          <w:iCs/>
          <w:rtl/>
          <w:lang w:val="fr-CH"/>
        </w:rPr>
        <w:t>)</w:t>
      </w:r>
      <w:r>
        <w:rPr>
          <w:rFonts w:hint="cs"/>
          <w:rtl/>
          <w:lang w:val="fr-CH"/>
        </w:rPr>
        <w:t>، بمواطن أفغاني طلب اللجوء فور وصوله إلى الدانمرك. غير أن السلطات الدانمركية رفضت طلبه وأمرته بمغادرة البلد. وقد ادَّعى صاحب الشكوى أنه خضع للتعذيب على يد الطالبان والسلطات الأفغانية وأن الطالبان أجبروه على التعاون معهم. وبما أنه أصيل قرية ينتمي إليها الكثيرون من الطالبان ويتكلم الباشتو، اعتبر صاحب الشكوى أن الدانمرك ستنتهك حقوقه بموجب المادة 3 إذا أعادته إلى أفغانستان لأنه سيخضع للاستجواب فور وصوله مما قد يقود إلى احتجازه فترة من الزمن لمواصلة الاستجواب ويؤدي إلى تعرضه للتعذيب. ولاحظت اللجنة أن صاحب الشكوى، الذي لا يجيد القراءة والكتابة، أدلى أمام إدارة الهجرة الدانمركية ومجلس طعون اللاجئين بأقوال متضاربة وأن الاستجوابات جرت بمساعدة مترجم من لغة الباشتو وإليها؛ كما لاحظت أن صاحب الشكوى حاول توضيح أقواله في رده على أسئلة المجلس. ولاحظت اللجنة أيضاً أن صاحب الشكوى طلب في أثناء جلسة المجلس إخضاعه لفحص طبي متخصص وادعى أنه لا يملك مالاً لتحمل تكلفة الفحص بنفسه. وعلاوة على ذلك، لاحظت اللجنة أن الدولة الطرف لم تطعن في ادعاء صاحب البلاغ أنه كشف للمجلس عن الأمارات التي يحملها على جسمه نتيجة ما تعرض له من عنف على يد السلطات الأفغانية. ورأت اللجنة أن صاحب الشكوى قدم إلى سلطات الدولة الطرف ما يكفي من الأدلة لدعم ما</w:t>
      </w:r>
      <w:r>
        <w:rPr>
          <w:rFonts w:hint="eastAsia"/>
          <w:rtl/>
          <w:lang w:val="fr-CH"/>
        </w:rPr>
        <w:t xml:space="preserve"> يدعيه من خضوعه للتعذيب، سعياً منه إلى مواصلة التحقيق في ادعاءاته بطرق منها إجراء فحص طبي متخصص. </w:t>
      </w:r>
      <w:r>
        <w:rPr>
          <w:rFonts w:hint="cs"/>
          <w:rtl/>
          <w:lang w:val="fr-CH"/>
        </w:rPr>
        <w:t xml:space="preserve">وخلصت اللجنة إلى أن الدولة الطرف، إذ رفضت طلب لجوء صاحب الشكوى دون أن تسعى إلى التحقيق بقدر أكبر في ادعاءاته أو أن تأمر بإجراء فحص طبي، لم تحدد ما إذا كانت هناك أسباب جوهرية تدعو إلى الاعتقاد بأن صاحب الشكوى سيكون معرضاً لخطر الخضوع للتعذيب في حال إعادته. وخلصت اللجنة في هذه الظروف إلى أن ترحيل صاحب الشكوى إلى بلده الأصل سيُشكِّل انتهاكاً للمادة 3 من الاتفاقية. </w:t>
      </w:r>
    </w:p>
    <w:p w:rsidR="00970856" w:rsidRDefault="00970856" w:rsidP="00970856">
      <w:pPr>
        <w:pStyle w:val="SingleTxtGA"/>
        <w:rPr>
          <w:rFonts w:hint="cs"/>
          <w:rtl/>
          <w:lang w:val="fr-CH"/>
        </w:rPr>
      </w:pPr>
      <w:r>
        <w:rPr>
          <w:rFonts w:hint="cs"/>
          <w:rtl/>
          <w:lang w:val="fr-CH"/>
        </w:rPr>
        <w:t>115-</w:t>
      </w:r>
      <w:r>
        <w:rPr>
          <w:rFonts w:hint="cs"/>
          <w:rtl/>
          <w:lang w:val="fr-CH"/>
        </w:rPr>
        <w:tab/>
        <w:t xml:space="preserve">وتتعلق الشكوى رقم 385/2009 </w:t>
      </w:r>
      <w:r>
        <w:rPr>
          <w:rFonts w:hint="cs"/>
          <w:i/>
          <w:iCs/>
          <w:rtl/>
          <w:lang w:val="fr-CH"/>
        </w:rPr>
        <w:t>(م. أ. ف. وآخرون ضد السويد)</w:t>
      </w:r>
      <w:r>
        <w:rPr>
          <w:rFonts w:hint="cs"/>
          <w:rtl/>
          <w:lang w:val="fr-CH"/>
        </w:rPr>
        <w:t xml:space="preserve"> بأسرة تتألف من سبعة أفراد من مواطني ليبيا المقيمين في السويد. ويدَّعي أصحاب الشكوى أن ترحيلهم إلى ليبيا سيُشكِّل انتهاكاً من جانب السويد للمادة 3 من الاتفاقية. وقد تذرّعوا بوجود نمط من الانتهاكات الجسيمة والصارخة والجماعية لحقوق الإنسان في ليبيا من جانب حكومة القذافي، بما في ذلك ممارسة قوات الأمن للتعذيب بصورة منتظمة. وادَّعى أصحاب الشكوى كذلك أنهم معرضون لخطر شخصي نظراً إلى أن صاحب الشكوى الرئيسي قد تعرض في السابق للتعذيب بسبب النشاط السياسي لأفراد أسرته. وعقب الإطاحة بحكومة القذافي وإنشاء المجلس الانتقالي الوطني، ادَّعى أصحاب الشكوى أن ترحيلهم القسري سيُشكِّل أيضاً انتهاكاً للمادة 3 من الاتفاقية. وتذرّعوا في ذلك بعدم الاستقرار في منطقة أبو سالم بطرابلس، وزعموا أن زوجة صاحب الشكوى الرئيسي ستكون معرضة لخطر التعذيب على يد السلطات الليبية لأن أبناء عمومتها قد حاربوا في صفوف القذافي خلال الثورة. ولاحظت اللجنة أن أصحاب الشكوى قدموا معلومات ومستندات متضاربة تأييداً لطلبهم الأصلي ولم يُقدموا أية أدلة مستندية تدعم زعمهم الحالي بأنهم سيواجهون خطراً شخصياً بالتعرض للتعذيب إذا ما أُعيدوا إلى ليبيا ولذلك، خلصت اللجنة إلى أن قرار الدولة الطرف ترحيل صاحب الشكوى إلى ليبيا لن يُشكل خرقاً للمادة 3 من الاتفاقية. </w:t>
      </w:r>
    </w:p>
    <w:p w:rsidR="00970856" w:rsidRPr="00F011B2" w:rsidRDefault="00970856" w:rsidP="00970856">
      <w:pPr>
        <w:pStyle w:val="SingleTxtGA"/>
        <w:rPr>
          <w:rFonts w:hint="cs"/>
          <w:spacing w:val="-2"/>
          <w:rtl/>
          <w:lang w:val="fr-CH"/>
        </w:rPr>
      </w:pPr>
      <w:r>
        <w:rPr>
          <w:rFonts w:hint="cs"/>
          <w:rtl/>
          <w:lang w:val="fr-CH"/>
        </w:rPr>
        <w:t>116-</w:t>
      </w:r>
      <w:r>
        <w:rPr>
          <w:rFonts w:hint="cs"/>
          <w:rtl/>
          <w:lang w:val="fr-CH"/>
        </w:rPr>
        <w:tab/>
        <w:t xml:space="preserve">ويتعلق البلاغ رقم 389/2009 </w:t>
      </w:r>
      <w:r>
        <w:rPr>
          <w:rFonts w:hint="cs"/>
          <w:i/>
          <w:iCs/>
          <w:rtl/>
          <w:lang w:val="fr-CH"/>
        </w:rPr>
        <w:t>(ر. أ. ضد سويسرا)</w:t>
      </w:r>
      <w:r>
        <w:rPr>
          <w:rFonts w:hint="cs"/>
          <w:rtl/>
          <w:lang w:val="fr-CH"/>
        </w:rPr>
        <w:t xml:space="preserve"> بمواطن تركي من أصل كُردي علوي، يدَّعي أن ترحيله إلى تركيا سيُشكل انتهاكاً من جانب سويسرا للمادة 3 من الاتفاقية. وقد تذرّع صاحب الشكوى بأنشطته السياسية في تركيا، وتحدث عما تعرض له من مضايقة ومن تعذيب خلال احتجازه المتكرر في الفترة بين 1995 و2003؛ ويزعم صاحب الشكوى أنه كان يخضع لرقابة شديدة أساساً بسبب اشتهار أفراد أسرته بنشاطهم السياسي. وقد رأت اللجنة في قرارها أن صاحب الشكوى لم يُقدم أي حجة تُفند النتيجة التي خلصت إليها السلطات المحلية، من قبيل إمكانية وجود إجراءات جنائية ضده بدوافع سياسية، بما أنه لا يوجد أي شيء يُثبت أن الإجراءات الجنائية التي رُفعت ضده في تركيا، والتي انتهت بالبراءة، هي إجراءات ذات أبعاد سياسية. ولم يوثِّق صاحب الشكوى أيضاً لادعاءاته بإساءة المعاملة في معرض عمليات الاعتقال التي أبلغ عنها في تركيا ولم يقدم معلومات مفصلة بشأن ذلك أو يُفسر كيف تمكن من العيش والعمل في اسطنبول لمدة سنة دون أن يواجه أية مشاكل من جانب السلطات التركية خلال سنتي 2003 و2004 عندما غادر البلد؛ كما أنه لم يقدم دليلاً يُثبت علم السلطات التركية بأنشطته النضالية في الخارج ولم يُبيِّن كيف أن هذه الأنشطة قد تعرضه للخطر في بلده الأصلي. ورأت اللجنة كذلك أن الحجج التي ساقها صاحب الشكوى فيما يتعلق بحالة حزب الشعب الديمقراطي (وهي جماعة سياسية خلفت الحزب الديمقراطي الشعبي) والسكان الأكراد عموماً لا تكفي لإثبات احتمال </w:t>
      </w:r>
      <w:r w:rsidRPr="00F011B2">
        <w:rPr>
          <w:rFonts w:hint="cs"/>
          <w:spacing w:val="-2"/>
          <w:rtl/>
          <w:lang w:val="fr-CH"/>
        </w:rPr>
        <w:t xml:space="preserve">تعرضه لخطر شخصي. لذلك، خلُصت اللجنة إلى أن صاحب الشكوى لن يواجه، إذا ما أُعيد إلى تركيا، خطر التعرض لمعاملة تتنافى مع المادة 3 من الاتفاقية. </w:t>
      </w:r>
    </w:p>
    <w:p w:rsidR="00970856" w:rsidRPr="00F011B2" w:rsidRDefault="00970856" w:rsidP="00957BDD">
      <w:pPr>
        <w:pStyle w:val="SingleTxtGA"/>
        <w:rPr>
          <w:rFonts w:hint="cs"/>
          <w:spacing w:val="-2"/>
          <w:rtl/>
          <w:lang w:val="fr-CH"/>
        </w:rPr>
      </w:pPr>
      <w:r>
        <w:rPr>
          <w:rFonts w:hint="cs"/>
          <w:rtl/>
          <w:lang w:val="fr-CH"/>
        </w:rPr>
        <w:t>117-</w:t>
      </w:r>
      <w:r>
        <w:rPr>
          <w:rFonts w:hint="cs"/>
          <w:rtl/>
          <w:lang w:val="fr-CH"/>
        </w:rPr>
        <w:tab/>
        <w:t xml:space="preserve">وتتعلق الشكوى رقم 406/2009 </w:t>
      </w:r>
      <w:r w:rsidRPr="00742CF6">
        <w:rPr>
          <w:rFonts w:hint="cs"/>
          <w:i/>
          <w:iCs/>
          <w:rtl/>
          <w:lang w:val="fr-CH"/>
        </w:rPr>
        <w:t>(</w:t>
      </w:r>
      <w:r>
        <w:rPr>
          <w:rFonts w:hint="cs"/>
          <w:i/>
          <w:iCs/>
          <w:rtl/>
          <w:lang w:val="fr-CH"/>
        </w:rPr>
        <w:t>ص. م. ضد سويسرا)</w:t>
      </w:r>
      <w:r>
        <w:rPr>
          <w:rFonts w:hint="cs"/>
          <w:rtl/>
          <w:lang w:val="fr-CH"/>
        </w:rPr>
        <w:t xml:space="preserve"> بمواطنة إثيوبية مقيمة في سويسرا، ادعت أن ترحيلها إلى إثيوبيا سيشكل انتهاكاً من جانب سويسرا للمادة 3 من الاتفاقية. وتزعم صاحبة الشكوى أنها وُلدت في مخيم للاجئين في السودان ثم عادت إلى إثيوبيا رفقة والدتها وهي في سن المراهقة، وتدّعي أنها تعرّضت هناك للمضايقة من جانب أشخاص ينتمون إلى الدين الإسلامي نظراً لأنها مسيحية. وفي عام 2001، رحلت إلى كينيا ومن ثم سافرت إلى سويسرا حيث تقدمت بطلب لجوء في عام 2002. وادّعت صاحبة الشكوى أنها عضو من الأعضاء المؤسسين لمجموعة الدعم في سويسرا للتحالف من أجل الوحدة والديمقراطية، وأنها شاركت في مظاهرات وأنشطة سياسية عديدة، ومن بينها الاجتماع المؤسس للتحالف في جامعة جنيف في </w:t>
      </w:r>
      <w:r w:rsidRPr="00742CF6">
        <w:rPr>
          <w:rFonts w:hint="cs"/>
          <w:sz w:val="30"/>
          <w:rtl/>
          <w:lang w:val="fr-CH"/>
        </w:rPr>
        <w:t xml:space="preserve">نيسان/أبريل </w:t>
      </w:r>
      <w:r>
        <w:rPr>
          <w:rFonts w:hint="cs"/>
          <w:rtl/>
          <w:lang w:val="fr-CH"/>
        </w:rPr>
        <w:t xml:space="preserve">2006، فضلاً عن تواجدها عند تقديم التماس إلى الأمم المتحدة في جنيف في </w:t>
      </w:r>
      <w:r w:rsidRPr="00742CF6">
        <w:rPr>
          <w:rFonts w:hint="cs"/>
          <w:sz w:val="30"/>
          <w:rtl/>
          <w:lang w:val="fr-CH"/>
        </w:rPr>
        <w:t xml:space="preserve">تشرين الأول/أكتوبر </w:t>
      </w:r>
      <w:r>
        <w:rPr>
          <w:rFonts w:hint="cs"/>
          <w:rtl/>
          <w:lang w:val="fr-CH"/>
        </w:rPr>
        <w:t>2007. وادّعت صاحبة الشكوى أنها معرّضة لخطر الاعتقال والاستجواب والتعذيب أو المعاملة اللاإنسانية والمهينة على يد السلطات الإثيوبية نتيجة أنشطتها السياسية في سويسرا. وأحاطت اللجنة علماً بادعاءات صاحبة الشكوى بخصوص نشاطها السياسي في سويسرا. ولاحظت أن صاحبة الشكوى لم تدع أنها تعرضت للتوقيف أو سوء المعاملة على يد السلطات الإثيوبية، كما أنها لم تدع أن سلطات إثيوبيا وجهت إليها أي ت</w:t>
      </w:r>
      <w:r w:rsidR="00957BDD">
        <w:rPr>
          <w:rFonts w:hint="cs"/>
          <w:rtl/>
          <w:lang w:val="fr-CH"/>
        </w:rPr>
        <w:t xml:space="preserve">هم بموجب قانون مكافحة الإرهاب </w:t>
      </w:r>
      <w:r w:rsidRPr="00F011B2">
        <w:rPr>
          <w:rFonts w:hint="cs"/>
          <w:spacing w:val="-2"/>
          <w:rtl/>
          <w:lang w:val="fr-CH"/>
        </w:rPr>
        <w:t>أو</w:t>
      </w:r>
      <w:r w:rsidR="00957BDD">
        <w:rPr>
          <w:rFonts w:hint="eastAsia"/>
          <w:spacing w:val="-2"/>
          <w:rtl/>
          <w:lang w:val="fr-CH"/>
        </w:rPr>
        <w:t> </w:t>
      </w:r>
      <w:r w:rsidRPr="00F011B2">
        <w:rPr>
          <w:rFonts w:hint="cs"/>
          <w:spacing w:val="-2"/>
          <w:rtl/>
          <w:lang w:val="fr-CH"/>
        </w:rPr>
        <w:t xml:space="preserve">أي قانون محلي آخر. ورأت اللجنة أن صاحبة الشكوى لم تقدم أدلة كافية بشأن ممارستها لأي نشاط سياسي هام إلى درجة تثير اهتمام السلطات الإثيوبية. وبناء عليه، خلصت اللجنة إلى أن قرار الدولة إعادة صاحبة الشكوى إلى إثيوبيا لن يشكل انتهاكاً للمادة 3 من الاتفاقية. </w:t>
      </w:r>
    </w:p>
    <w:p w:rsidR="00970856" w:rsidRDefault="00970856" w:rsidP="00F30123">
      <w:pPr>
        <w:pStyle w:val="SingleTxtGA"/>
        <w:rPr>
          <w:rFonts w:hint="cs"/>
          <w:rtl/>
          <w:lang w:val="fr-CH"/>
        </w:rPr>
      </w:pPr>
      <w:r>
        <w:rPr>
          <w:rFonts w:hint="cs"/>
          <w:rtl/>
          <w:lang w:val="fr-CH"/>
        </w:rPr>
        <w:t>118-</w:t>
      </w:r>
      <w:r>
        <w:rPr>
          <w:rFonts w:hint="cs"/>
          <w:rtl/>
          <w:lang w:val="fr-CH"/>
        </w:rPr>
        <w:tab/>
        <w:t>ويتعلق البلاغ رقم 412/2010</w:t>
      </w:r>
      <w:r>
        <w:rPr>
          <w:rFonts w:hint="cs"/>
          <w:i/>
          <w:iCs/>
          <w:rtl/>
          <w:lang w:val="fr-CH"/>
        </w:rPr>
        <w:t xml:space="preserve"> (ع. أ. ضد الدانمرك)</w:t>
      </w:r>
      <w:r>
        <w:rPr>
          <w:rFonts w:hint="cs"/>
          <w:rtl/>
          <w:lang w:val="fr-CH"/>
        </w:rPr>
        <w:t xml:space="preserve">، بمواطن عراقي جرى ترحيله من الدانمرك إلى العراق في 2 </w:t>
      </w:r>
      <w:r w:rsidRPr="00742CF6">
        <w:rPr>
          <w:rFonts w:hint="cs"/>
          <w:sz w:val="30"/>
          <w:rtl/>
          <w:lang w:val="fr-CH"/>
        </w:rPr>
        <w:t xml:space="preserve">أيلول/سبتمبر </w:t>
      </w:r>
      <w:r>
        <w:rPr>
          <w:rFonts w:hint="cs"/>
          <w:rtl/>
          <w:lang w:val="fr-CH"/>
        </w:rPr>
        <w:t>2009، وه</w:t>
      </w:r>
      <w:r w:rsidR="00957BDD">
        <w:rPr>
          <w:rFonts w:hint="cs"/>
          <w:rtl/>
          <w:lang w:val="fr-CH"/>
        </w:rPr>
        <w:t xml:space="preserve">و يدعي أن احتجازه في الدانمرك </w:t>
      </w:r>
      <w:r>
        <w:rPr>
          <w:rFonts w:hint="cs"/>
          <w:rtl/>
          <w:lang w:val="fr-CH"/>
        </w:rPr>
        <w:t xml:space="preserve">من 18 </w:t>
      </w:r>
      <w:r w:rsidRPr="00786765">
        <w:rPr>
          <w:rFonts w:hint="cs"/>
          <w:sz w:val="30"/>
          <w:rtl/>
          <w:lang w:val="fr-CH"/>
        </w:rPr>
        <w:t xml:space="preserve">حزيران/يونيه </w:t>
      </w:r>
      <w:r>
        <w:rPr>
          <w:rFonts w:hint="cs"/>
          <w:rtl/>
          <w:lang w:val="fr-CH"/>
        </w:rPr>
        <w:t xml:space="preserve">2009 إلى 2 </w:t>
      </w:r>
      <w:r w:rsidRPr="00786765">
        <w:rPr>
          <w:rFonts w:hint="cs"/>
          <w:sz w:val="30"/>
          <w:rtl/>
          <w:lang w:val="fr-CH"/>
        </w:rPr>
        <w:t xml:space="preserve">أيلول/سبتمبر </w:t>
      </w:r>
      <w:r w:rsidR="00957BDD">
        <w:rPr>
          <w:rFonts w:hint="cs"/>
          <w:rtl/>
          <w:lang w:val="fr-CH"/>
        </w:rPr>
        <w:t xml:space="preserve">2009، كملتمس لجوء رُفض طلبه، </w:t>
      </w:r>
      <w:r>
        <w:rPr>
          <w:rFonts w:hint="cs"/>
          <w:rtl/>
          <w:lang w:val="fr-CH"/>
        </w:rPr>
        <w:t>بما في ذلك احتجازه في الحبس الانفرادي، يشكل انتهاكاً للمادتين 16 و2 من الاتفاقية، وادعى صاحب الشكوى كذلك أنه ضحية انتهاك الدولة الطرف للمادة 12 من الاتفاقية لأنها لم تحقق على النحو الواجب في الانتهاكات المزعومة للمادتين 16 و2 من الاتفاقية، وأن ترحيله يشكل انتهاكاً من جانب الدانمرك للفقرة 1 من المادة 3 من الاتفاقية لأنه كان من المتوقع أن يتعرض للتعذيب عقب عودته بالنظر إلى أنه كان قد تعرّض للتعذيب وسوء المعاملة في العراق في عام 2005 وتعرّض لتهديدات من أُسر تسعة نزلاء آخرين أُعدموا. وقد لاحظت اللجنة أن الدولة الطرف أقرّت بالوقائع التي تفيد بأن صاحب الشكوى تعرّض للتعذيب في الماضي وأخذت تلك الوقائع في الحسبان عند تقييم وجود خطر شخصي بأن يواجه صاحب الشكوى التعذيب في حالة عودته إلى بلده، بما في ذلك في سياق القرارات الثلاثة لمجلس طعون اللاجئين التي تناولت هذه المسألة. ولاحظت اللجنة كذلك أن صاحب الشكوى ادعى في عام 2009 أنه سيتعرض لخطر التعذيب بالاستناد حصراً إلى تهديدات أُسر أصدقائه الذين أُعدموا في عام 1995. وأشارت اللجنة إلى أن التزام الدولة الطرف بموجب المادة 3 يتمثل في الامتناع عن إعادة شخص ما قسراً إلى دولة أخرى إذا</w:t>
      </w:r>
      <w:r>
        <w:rPr>
          <w:rFonts w:hint="eastAsia"/>
          <w:rtl/>
          <w:lang w:val="fr-CH"/>
        </w:rPr>
        <w:t> </w:t>
      </w:r>
      <w:r>
        <w:rPr>
          <w:rFonts w:hint="cs"/>
          <w:rtl/>
          <w:lang w:val="fr-CH"/>
        </w:rPr>
        <w:t>توافرت أسباب حقيقية تدعو إلى الاعتقاد بأنه سيواجه خطر التعرض للتعذيب. ولاحظت اللجنة أن صاحب الشكوى في هذه القضية لم يقدم ما يكفي من الأدلة والحجج لدعم ما</w:t>
      </w:r>
      <w:r>
        <w:rPr>
          <w:rFonts w:hint="eastAsia"/>
          <w:rtl/>
          <w:lang w:val="fr-CH"/>
        </w:rPr>
        <w:t> </w:t>
      </w:r>
      <w:r>
        <w:rPr>
          <w:rFonts w:hint="cs"/>
          <w:rtl/>
          <w:lang w:val="fr-CH"/>
        </w:rPr>
        <w:t>ادعاه من خطر التعرض للتعذيب. وخلصت اللجنة إلى أن احتجاز صاحب الشكوى بوصفه ملتمس لجوء رُفض طلبه، لم يشكل انتهاكاً للمادتين 16 و2 من الاتفاقية وأن حقوقه بموجب المادة 12 من الاتفاقية لم تُنتهك وأن نقله إلى ا</w:t>
      </w:r>
      <w:r w:rsidR="00F30123">
        <w:rPr>
          <w:rFonts w:hint="cs"/>
          <w:rtl/>
          <w:lang w:val="fr-CH"/>
        </w:rPr>
        <w:t xml:space="preserve">لعراق من جانب الدولة الطرف </w:t>
      </w:r>
      <w:r>
        <w:rPr>
          <w:rFonts w:hint="cs"/>
          <w:rtl/>
          <w:lang w:val="fr-CH"/>
        </w:rPr>
        <w:t>لا</w:t>
      </w:r>
      <w:r w:rsidR="00F30123">
        <w:rPr>
          <w:rFonts w:hint="eastAsia"/>
          <w:rtl/>
          <w:lang w:val="fr-CH"/>
        </w:rPr>
        <w:t> </w:t>
      </w:r>
      <w:r>
        <w:rPr>
          <w:rFonts w:hint="cs"/>
          <w:rtl/>
          <w:lang w:val="fr-CH"/>
        </w:rPr>
        <w:t>يشكل خرقاً للمادة 3 من الاتفاقية.</w:t>
      </w:r>
    </w:p>
    <w:p w:rsidR="00970856" w:rsidRDefault="00970856" w:rsidP="00F30123">
      <w:pPr>
        <w:pStyle w:val="SingleTxtGA"/>
        <w:rPr>
          <w:rFonts w:hint="cs"/>
          <w:rtl/>
          <w:lang w:val="fr-CH"/>
        </w:rPr>
      </w:pPr>
      <w:r>
        <w:rPr>
          <w:rFonts w:hint="cs"/>
          <w:rtl/>
          <w:lang w:val="fr-CH"/>
        </w:rPr>
        <w:t>119-</w:t>
      </w:r>
      <w:r>
        <w:rPr>
          <w:rFonts w:hint="cs"/>
          <w:rtl/>
          <w:lang w:val="fr-CH"/>
        </w:rPr>
        <w:tab/>
        <w:t>وتتعلق الشكوى رقم 417/2010</w:t>
      </w:r>
      <w:r>
        <w:rPr>
          <w:rFonts w:hint="cs"/>
          <w:i/>
          <w:iCs/>
          <w:rtl/>
          <w:lang w:val="fr-CH"/>
        </w:rPr>
        <w:t xml:space="preserve"> (ي. ز. س. ضد أستراليا)</w:t>
      </w:r>
      <w:r>
        <w:rPr>
          <w:rFonts w:hint="cs"/>
          <w:rtl/>
          <w:lang w:val="fr-CH"/>
        </w:rPr>
        <w:t xml:space="preserve"> بمواطن صيني قدّم طلباً للحصول على تأشيرة حماية وفقاً لقانون الهجرة الأسترالي لعام 1958 ولكن السلطات الصينية رفضت طلبه وأمرته بمغادرة البلد. ووقت تقديم الشكوى، كان محتجزاً في مركز فيلاوود لاحتجاز المهاجرين في سيدني في انتظار ترحيله إلى الصين. وادعى صاحب الشكوى أنه سيواجه خطر التعذيب إذا ما أُعيد إلى الصين، بسبب ممارسته للفالون غونغ، وأن أي قرار بترحيله سيشكل خرقاً من جانب أستراليا للمادة 3 من الاتفاقية. ويُشار في هذا الصدد إلى أن السلطات الأسترالية رفضت منحه تدابير مؤقتة وقامت في مرحلة تالية بإعادته إلى الصين. وقد لاحظت اللجنة، في إطار نظرها في الأسس الموضوعية للقضية، أن صاحب الشكوى لم</w:t>
      </w:r>
      <w:r>
        <w:rPr>
          <w:rFonts w:hint="eastAsia"/>
          <w:rtl/>
          <w:lang w:val="fr-CH"/>
        </w:rPr>
        <w:t> </w:t>
      </w:r>
      <w:r>
        <w:rPr>
          <w:rFonts w:hint="cs"/>
          <w:rtl/>
          <w:lang w:val="fr-CH"/>
        </w:rPr>
        <w:t>يقدم معلومات تفصيلية كافية عن ممارسته للفالون غونغ، كما لاحظت وجود أوجه عدم اتساق عديدة في روايته تقوّض مصداقية مزاعمه بشكل عام. كما لاحظت اللجنة أن صاحب الشكوى لم يقدم أي دليل دامغ لدعم ادعائه. وأشارت إلى أن صاحب الشكوى قد تمكّن من مغادرة الصين بحرية مرتين والسفر إلى أستراليا، وفي ظل هذه الظروف لا يمكن للجنة أن تستنج أنه كان موضع اهتمام السلطات الصينية. ورأت اللجنة أن صاحب الشكوى لم يقدم ما يكفي من الأدلة ليثبت أنه واجه فعلاً خطراً حقيقياً ومتوقعاً وشخصياً بالتعرض للتعذيب عندما جرى ترحيله إلى الصين، وخلصت إلى أن ترحيل صاحب الشكوى إلى الصين لم يشكل انتهاكاً للمادة 3 من الاتفاقية.</w:t>
      </w:r>
    </w:p>
    <w:p w:rsidR="00970856" w:rsidRPr="003D5115" w:rsidRDefault="00970856" w:rsidP="00F30123">
      <w:pPr>
        <w:pStyle w:val="SingleTxtGA"/>
        <w:rPr>
          <w:rFonts w:hint="cs"/>
          <w:rtl/>
          <w:lang w:val="fr-CH"/>
        </w:rPr>
      </w:pPr>
      <w:r>
        <w:rPr>
          <w:rFonts w:hint="cs"/>
          <w:rtl/>
          <w:lang w:val="fr-CH"/>
        </w:rPr>
        <w:t>120-</w:t>
      </w:r>
      <w:r>
        <w:rPr>
          <w:rFonts w:hint="cs"/>
          <w:rtl/>
          <w:lang w:val="fr-CH"/>
        </w:rPr>
        <w:tab/>
        <w:t xml:space="preserve">وتتعلق الشكوى رقم 432/2010 </w:t>
      </w:r>
      <w:r>
        <w:rPr>
          <w:rFonts w:hint="cs"/>
          <w:i/>
          <w:iCs/>
          <w:rtl/>
          <w:lang w:val="fr-CH"/>
        </w:rPr>
        <w:t xml:space="preserve">(ح. ك. ضد سويسرا) </w:t>
      </w:r>
      <w:r>
        <w:rPr>
          <w:rFonts w:hint="cs"/>
          <w:rtl/>
          <w:lang w:val="fr-CH"/>
        </w:rPr>
        <w:t xml:space="preserve">بمواطنة إثيوبية مقيمة في سويسرا، ادعت أن ترحيلها إلى إثيوبيا سيشكل انتهاكاً من جانب سويسرا للمادة 3 من الاتفاقية. وادعت صاحبة الشكوى أنها انضمت إلى حزب التحالف من أجل الوحدة والديمقراطية الحديث التأسيس (اختصاراً حزب التحالف) في </w:t>
      </w:r>
      <w:r w:rsidRPr="003D5115">
        <w:rPr>
          <w:rFonts w:hint="cs"/>
          <w:sz w:val="30"/>
          <w:rtl/>
          <w:lang w:val="fr-CH"/>
        </w:rPr>
        <w:t xml:space="preserve">كانون الأول/ديسمبر </w:t>
      </w:r>
      <w:r>
        <w:rPr>
          <w:rFonts w:hint="cs"/>
          <w:rtl/>
          <w:lang w:val="fr-CH"/>
        </w:rPr>
        <w:t xml:space="preserve">2004، وأُلقي القبض عليها على أيد أفراد من قوات الجيش الإثيوبية وسُجنت لمدة شهر في </w:t>
      </w:r>
      <w:r w:rsidRPr="003D5115">
        <w:rPr>
          <w:rFonts w:hint="cs"/>
          <w:sz w:val="30"/>
          <w:rtl/>
          <w:lang w:val="fr-CH"/>
        </w:rPr>
        <w:t>أيار/</w:t>
      </w:r>
      <w:r w:rsidR="00F30123">
        <w:rPr>
          <w:rFonts w:hint="cs"/>
          <w:sz w:val="30"/>
          <w:rtl/>
          <w:lang w:val="fr-CH"/>
        </w:rPr>
        <w:t xml:space="preserve"> </w:t>
      </w:r>
      <w:r w:rsidRPr="003D5115">
        <w:rPr>
          <w:rFonts w:hint="cs"/>
          <w:sz w:val="30"/>
          <w:rtl/>
          <w:lang w:val="fr-CH"/>
        </w:rPr>
        <w:t>مايو</w:t>
      </w:r>
      <w:r w:rsidR="00F30123">
        <w:rPr>
          <w:rFonts w:hint="eastAsia"/>
          <w:sz w:val="30"/>
          <w:rtl/>
          <w:lang w:val="fr-CH"/>
        </w:rPr>
        <w:t> </w:t>
      </w:r>
      <w:r>
        <w:rPr>
          <w:rFonts w:hint="cs"/>
          <w:rtl/>
          <w:lang w:val="fr-CH"/>
        </w:rPr>
        <w:t xml:space="preserve">2006 وتعرضت لمعاملة قاسية خلال فترة احتجازها. وتفيد صاحبة الشكوى أنها اغتنمت فرصة حضور مؤتمر في جنيف في </w:t>
      </w:r>
      <w:r w:rsidRPr="003D5115">
        <w:rPr>
          <w:rFonts w:hint="cs"/>
          <w:sz w:val="30"/>
          <w:rtl/>
          <w:lang w:val="fr-CH"/>
        </w:rPr>
        <w:t xml:space="preserve">حزيران/يونيه </w:t>
      </w:r>
      <w:r>
        <w:rPr>
          <w:rFonts w:hint="cs"/>
          <w:rtl/>
          <w:lang w:val="fr-CH"/>
        </w:rPr>
        <w:t>2007 لتطلب اللجوء. واستمرت صاحبة الشكوى في أنشطتها السياسية في سويسرا وانضمت إلى جمعية الإثيوبيين في سويسرا التي غالباً ما ترتب اجتماعات وتنظّم مظاهرات المنظمة الداعمة لحزب التحالف في سويسرا وتنشر تعليقات ومقالات انتقادية على الإنترنت. وزعمت صاحبة الشكوى أنها ستواجه خطر التعذيب أو المعاملة القاسية أو اللاإنسانية أو المهينة على يد السلطات الإثيوبية بسبب أنشطتها السياسية في سويسرا وبوصفها عضواً من أنشط الأعضاء في حركة المنشقين الإثيوبية في سويسرا. ولاحظت اللجنة أن صاحبة الشكوى لم تقدم أية أدلة تدعم ادعاءاتها المتعلقة بمعاملتها معاملة قاسية على يد قوات الجيش الإثيوبية قبل وصولها إلى سويسرا أو تبيّن أن الشرطة أو سلطات أخرى في إثيوبيا تبحث عنها منذ مغادرتها إثيوبيا. كما لاحظت اللجنة أن صاحبة الشكوى لم تواجه أي تهم بموجب قانون مكافحة الإرهاب أو أي قانون محلي آخر. وأحاطت اللجنة علماً بادعاء صاحبة الشكوى أنها عضو من أنشط الأعضاء في حركة المنشقين الإثيوبية في سويسرا وأنها تنشر مقالات ناقدة للسلطات الإثيوبية على الإنترنت وتساهم بانتظام في مدونات المعارضة الإلكترونية. ولاحظت اللجنة أيضاً أن الدولة الطرف تشكك في صحة ما تدّعيه صاحبة الشكوى من أنها هي صاحبة المقالات والمدونات الإلكترونية المذكورة، وتحيط علماً بادعاء صاحبة الشكوى أن السلطات الإثيوبية تستخدم وسائل تكنولوجية متطورة لمراقبة المنشقين الإثيوبيين المقيمين في الخارج، إلا أنها لاحظت أن صاحبة الشكوى لم تدعم ادعاءها هذا بمزيد من التفاصيل ولم تقدم أي أدلة لإثباته. ورأت اللجنة أن صاحبة الشكوى لم تقدم أدلة كافية على تنظيم أي نشاط سياسي يبلغ درجة من الأهمية تصبح معها صاحبة الشكوى محل اهتمام السلطات الإثيوبية. وبناء عليه، خلصت اللجنة إلى أن المعلومات التي قدمتها صاحبة الشكوى، بما يشمل المعلومات المتعلقة بأنشطتها السياسية غير الواضحة في إثيوبيا قبل مغادرتها البلد وأنشطتها السياسية القليلة الأهمية في سويسرا، ليست كافية لإثبات تعرضها شخصياً لخطر التعذيب في حالة إعادتها إلى إثيوبيا. لذلك، اعتبرت اللجنة أن قرار الدولة الطرف إعادة صاحبة الشكوى إلى إثيوبيا لن يشكل خرقاً للمادة 3 من الاتفاقية.</w:t>
      </w:r>
    </w:p>
    <w:p w:rsidR="00970856" w:rsidRDefault="00970856" w:rsidP="00957BDD">
      <w:pPr>
        <w:pStyle w:val="SingleTxtGA"/>
        <w:rPr>
          <w:rFonts w:hint="cs"/>
          <w:rtl/>
          <w:lang w:val="fr-CH"/>
        </w:rPr>
      </w:pPr>
      <w:r>
        <w:rPr>
          <w:rFonts w:hint="cs"/>
          <w:rtl/>
          <w:lang w:val="fr-CH"/>
        </w:rPr>
        <w:t>121-</w:t>
      </w:r>
      <w:r>
        <w:rPr>
          <w:rFonts w:hint="cs"/>
          <w:rtl/>
          <w:lang w:val="fr-CH"/>
        </w:rPr>
        <w:tab/>
        <w:t xml:space="preserve">ويتعلق البلاغ رقم 435/2010 </w:t>
      </w:r>
      <w:r w:rsidRPr="00C64E75">
        <w:rPr>
          <w:rFonts w:hint="cs"/>
          <w:i/>
          <w:iCs/>
          <w:rtl/>
          <w:lang w:val="fr-CH"/>
        </w:rPr>
        <w:t>(</w:t>
      </w:r>
      <w:r>
        <w:rPr>
          <w:rFonts w:hint="cs"/>
          <w:i/>
          <w:iCs/>
          <w:rtl/>
          <w:lang w:val="fr-CH"/>
        </w:rPr>
        <w:t>غ. ب. م. ضد السويد</w:t>
      </w:r>
      <w:r w:rsidRPr="00C64E75">
        <w:rPr>
          <w:rFonts w:hint="cs"/>
          <w:i/>
          <w:iCs/>
          <w:rtl/>
          <w:lang w:val="fr-CH"/>
        </w:rPr>
        <w:t>)</w:t>
      </w:r>
      <w:r>
        <w:rPr>
          <w:rFonts w:hint="cs"/>
          <w:rtl/>
          <w:lang w:val="fr-CH"/>
        </w:rPr>
        <w:t xml:space="preserve"> بمواطن من جمهورية تنزانيا المتحدة يواجه خطر الترحيل إلى بلده الأصلي. وقد أكد صاحب الشكوى أن ترحيله إلى بلده سيشكل انتهاكاً من جانب السويد للمادة 3 من الاتفاقية لأنه سيتعرض للتوقيف ويخضع للتعذيب فور عودته متذرعاً بخضوعه للتعذيب وسوء المعاملة في جمهورية تنزانيا المتحدة ع</w:t>
      </w:r>
      <w:r w:rsidR="00F30123">
        <w:rPr>
          <w:rFonts w:hint="cs"/>
          <w:rtl/>
          <w:lang w:val="fr-CH"/>
        </w:rPr>
        <w:t>ام 2002. وفي 4 تشرين الثاني/</w:t>
      </w:r>
      <w:r>
        <w:rPr>
          <w:rFonts w:hint="cs"/>
          <w:rtl/>
          <w:lang w:val="fr-CH"/>
        </w:rPr>
        <w:t>نوفمبر 2010، رفضت اللجنة، من خلال المقرر المعني بالشكاوى الجديدة والتدابير المؤقتة، طلبه المتعلق بتدابير الحماية المؤقتة. وأبلغت الدولة الطرف السويد بأن صاحب الشكوى قد غادر السويد في 20 تشرين الثاني/نوفمبر 2010. وادعى صاحب الشكوى، من جانبه، أن السويد قامت فعلاً، في ذلك التاريخ، بإعادته قسراً إلى جمهورية تنزانيا المتحدة، لكنه تمكن من الفرار خلال التوقف في بلد ثالث. وخلصت اللجنة إلى أن إعادة صاحب الشكوى إلى جمهورية تنزانيا المتحدة لن تشكل خرقاً لأحكام المادة 3 من الاتفاقية. أولاً، لاحظت اللجنة أوجه عدم اتساق في أقوال صاحب الشكوى فيما يتعلق بأشكال التعذيب التي تعرض لها في جمهورية تنزانيا المتحدة في عام 2002 وبالفترة التي خضع خلالها للتعذيب المزعوم. وفي هذا الصدد، أشارت اللجنة إلى التقارير الحديثة التي تتحدث عن تحسن حالة حقوق الإنسان في جمهورية تنزانيا المتحدة. وأخيراً، وفيما يتعلق بالسجل الطبي المقدم في إطار هذا البلاغ وبالإصابات التي يزعم صاحب الشكوى أنه تكبدها نتيجة ما تعرض له من سوء المعاملة في عام 2002، لاحظت اللجنة أن صاحب الشكوى لم يبين الأسباب التي جعلته لا يقدم ذلك السجل إلى سلطات الدولة الطرف، وأن السجل المذكور لا يتضمن على أي حال ما من شأنه أن يأتي بتفاصيل إضافية تتصل بإساءة معاملته المزعومة في الماضي. وبناءً عليه، خلصت اللجنة إلى عدم حدوث انتهاك لأحكام المادة</w:t>
      </w:r>
      <w:r w:rsidR="00F30123">
        <w:rPr>
          <w:rFonts w:hint="eastAsia"/>
          <w:rtl/>
          <w:lang w:val="fr-CH"/>
        </w:rPr>
        <w:t> </w:t>
      </w:r>
      <w:r>
        <w:rPr>
          <w:rFonts w:hint="cs"/>
          <w:rtl/>
          <w:lang w:val="fr-CH"/>
        </w:rPr>
        <w:t>3 من الاتفاقية.</w:t>
      </w:r>
    </w:p>
    <w:p w:rsidR="00970856" w:rsidRDefault="00970856" w:rsidP="00970856">
      <w:pPr>
        <w:pStyle w:val="SingleTxtGA"/>
        <w:rPr>
          <w:rFonts w:hint="cs"/>
          <w:rtl/>
          <w:lang w:val="fr-CH"/>
        </w:rPr>
      </w:pPr>
      <w:r>
        <w:rPr>
          <w:rFonts w:hint="cs"/>
          <w:rtl/>
          <w:lang w:val="fr-CH"/>
        </w:rPr>
        <w:t>122-</w:t>
      </w:r>
      <w:r>
        <w:rPr>
          <w:rFonts w:hint="cs"/>
          <w:rtl/>
          <w:lang w:val="fr-CH"/>
        </w:rPr>
        <w:tab/>
        <w:t xml:space="preserve">وفي الدورة التاسعة والأربعين أيضاً، قررت اللجنة أن تعلن عدم مقبولية البلاغات </w:t>
      </w:r>
      <w:r w:rsidRPr="009A29C6">
        <w:rPr>
          <w:rFonts w:hint="cs"/>
          <w:spacing w:val="-4"/>
          <w:rtl/>
          <w:lang w:val="fr-CH"/>
        </w:rPr>
        <w:t xml:space="preserve">رقم 346/2008 </w:t>
      </w:r>
      <w:r w:rsidRPr="00C64E75">
        <w:rPr>
          <w:rFonts w:hint="cs"/>
          <w:i/>
          <w:iCs/>
          <w:spacing w:val="-4"/>
          <w:rtl/>
          <w:lang w:val="fr-CH"/>
        </w:rPr>
        <w:t>(</w:t>
      </w:r>
      <w:r w:rsidRPr="009A29C6">
        <w:rPr>
          <w:rFonts w:hint="cs"/>
          <w:i/>
          <w:iCs/>
          <w:spacing w:val="-4"/>
          <w:rtl/>
          <w:lang w:val="fr-CH"/>
        </w:rPr>
        <w:t>س. أ. س. ضد موناكو</w:t>
      </w:r>
      <w:r w:rsidRPr="00C64E75">
        <w:rPr>
          <w:rFonts w:hint="cs"/>
          <w:i/>
          <w:iCs/>
          <w:spacing w:val="-4"/>
          <w:rtl/>
          <w:lang w:val="fr-CH"/>
        </w:rPr>
        <w:t>)</w:t>
      </w:r>
      <w:r w:rsidRPr="009A29C6">
        <w:rPr>
          <w:rFonts w:hint="cs"/>
          <w:spacing w:val="-4"/>
          <w:rtl/>
          <w:lang w:val="fr-CH"/>
        </w:rPr>
        <w:t xml:space="preserve">، ورقم 425/2010 </w:t>
      </w:r>
      <w:r w:rsidRPr="00C64E75">
        <w:rPr>
          <w:rFonts w:hint="cs"/>
          <w:i/>
          <w:iCs/>
          <w:spacing w:val="-4"/>
          <w:rtl/>
          <w:lang w:val="fr-CH"/>
        </w:rPr>
        <w:t>(</w:t>
      </w:r>
      <w:r w:rsidRPr="009A29C6">
        <w:rPr>
          <w:rFonts w:hint="cs"/>
          <w:i/>
          <w:iCs/>
          <w:spacing w:val="-4"/>
          <w:rtl/>
          <w:lang w:val="fr-CH"/>
        </w:rPr>
        <w:t>إ.</w:t>
      </w:r>
      <w:r>
        <w:rPr>
          <w:rFonts w:hint="cs"/>
          <w:i/>
          <w:iCs/>
          <w:spacing w:val="-4"/>
          <w:rtl/>
          <w:lang w:val="fr-CH"/>
        </w:rPr>
        <w:t xml:space="preserve"> </w:t>
      </w:r>
      <w:r w:rsidRPr="009A29C6">
        <w:rPr>
          <w:rFonts w:hint="cs"/>
          <w:i/>
          <w:iCs/>
          <w:spacing w:val="-4"/>
          <w:rtl/>
          <w:lang w:val="fr-CH"/>
        </w:rPr>
        <w:t>أ.</w:t>
      </w:r>
      <w:r>
        <w:rPr>
          <w:rFonts w:hint="cs"/>
          <w:i/>
          <w:iCs/>
          <w:spacing w:val="-4"/>
          <w:rtl/>
          <w:lang w:val="fr-CH"/>
        </w:rPr>
        <w:t xml:space="preserve"> </w:t>
      </w:r>
      <w:r w:rsidRPr="009A29C6">
        <w:rPr>
          <w:rFonts w:hint="cs"/>
          <w:i/>
          <w:iCs/>
          <w:spacing w:val="-4"/>
          <w:rtl/>
          <w:lang w:val="fr-CH"/>
        </w:rPr>
        <w:t>ف.</w:t>
      </w:r>
      <w:r>
        <w:rPr>
          <w:rFonts w:hint="cs"/>
          <w:i/>
          <w:iCs/>
          <w:spacing w:val="-4"/>
          <w:rtl/>
          <w:lang w:val="fr-CH"/>
        </w:rPr>
        <w:t xml:space="preserve"> </w:t>
      </w:r>
      <w:r w:rsidRPr="009A29C6">
        <w:rPr>
          <w:rFonts w:hint="cs"/>
          <w:i/>
          <w:iCs/>
          <w:spacing w:val="-4"/>
          <w:rtl/>
          <w:lang w:val="fr-CH"/>
        </w:rPr>
        <w:t>ب. ضد السويد</w:t>
      </w:r>
      <w:r w:rsidRPr="00C64E75">
        <w:rPr>
          <w:rFonts w:hint="cs"/>
          <w:i/>
          <w:iCs/>
          <w:spacing w:val="-4"/>
          <w:rtl/>
          <w:lang w:val="fr-CH"/>
        </w:rPr>
        <w:t>)</w:t>
      </w:r>
      <w:r>
        <w:rPr>
          <w:rFonts w:hint="cs"/>
          <w:rtl/>
          <w:lang w:val="fr-CH"/>
        </w:rPr>
        <w:t xml:space="preserve"> ورقم 437/2010 </w:t>
      </w:r>
      <w:r w:rsidRPr="00C64E75">
        <w:rPr>
          <w:rFonts w:hint="cs"/>
          <w:i/>
          <w:iCs/>
          <w:rtl/>
          <w:lang w:val="fr-CH"/>
        </w:rPr>
        <w:t>(</w:t>
      </w:r>
      <w:r>
        <w:rPr>
          <w:rFonts w:hint="cs"/>
          <w:i/>
          <w:iCs/>
          <w:rtl/>
          <w:lang w:val="fr-CH"/>
        </w:rPr>
        <w:t>ب. م. س. ضد السويد</w:t>
      </w:r>
      <w:r w:rsidRPr="00C64E75">
        <w:rPr>
          <w:rFonts w:hint="cs"/>
          <w:i/>
          <w:iCs/>
          <w:rtl/>
          <w:lang w:val="fr-CH"/>
        </w:rPr>
        <w:t>)</w:t>
      </w:r>
      <w:r>
        <w:rPr>
          <w:rFonts w:hint="cs"/>
          <w:rtl/>
          <w:lang w:val="fr-CH"/>
        </w:rPr>
        <w:t>.</w:t>
      </w:r>
    </w:p>
    <w:p w:rsidR="00970856" w:rsidRDefault="00970856" w:rsidP="00F30123">
      <w:pPr>
        <w:pStyle w:val="SingleTxtGA"/>
        <w:rPr>
          <w:rFonts w:hint="cs"/>
          <w:rtl/>
          <w:lang w:val="fr-CH"/>
        </w:rPr>
      </w:pPr>
      <w:r>
        <w:rPr>
          <w:rFonts w:hint="cs"/>
          <w:rtl/>
          <w:lang w:val="fr-CH"/>
        </w:rPr>
        <w:t>123-</w:t>
      </w:r>
      <w:r>
        <w:rPr>
          <w:rFonts w:hint="cs"/>
          <w:rtl/>
          <w:lang w:val="fr-CH"/>
        </w:rPr>
        <w:tab/>
        <w:t xml:space="preserve">ويتعلق البلاغ رقم 346/2008 </w:t>
      </w:r>
      <w:r w:rsidRPr="00C64E75">
        <w:rPr>
          <w:rFonts w:hint="cs"/>
          <w:i/>
          <w:iCs/>
          <w:rtl/>
          <w:lang w:val="fr-CH"/>
        </w:rPr>
        <w:t>(</w:t>
      </w:r>
      <w:r>
        <w:rPr>
          <w:rFonts w:hint="cs"/>
          <w:i/>
          <w:iCs/>
          <w:rtl/>
          <w:lang w:val="fr-CH"/>
        </w:rPr>
        <w:t>س. أ. س. ضد موناكو</w:t>
      </w:r>
      <w:r w:rsidRPr="00C64E75">
        <w:rPr>
          <w:rFonts w:hint="cs"/>
          <w:i/>
          <w:iCs/>
          <w:rtl/>
          <w:lang w:val="fr-CH"/>
        </w:rPr>
        <w:t>)</w:t>
      </w:r>
      <w:r>
        <w:rPr>
          <w:rFonts w:hint="cs"/>
          <w:rtl/>
          <w:lang w:val="fr-CH"/>
        </w:rPr>
        <w:t xml:space="preserve"> بمواطن برازيلي حكم عليه بالسجن في البرازيل لمدة 13 سنة. وعقب قرار بالإفراج المشروط، غادر صاحب الشكوى البرازيل. وفي وقت تالٍ تم توقيفه في موناكو بالنظر إلى طلب ترحيله إلى البرازيل. وادعى</w:t>
      </w:r>
      <w:r>
        <w:rPr>
          <w:rFonts w:hint="eastAsia"/>
          <w:rtl/>
          <w:lang w:val="fr-CH"/>
        </w:rPr>
        <w:t> </w:t>
      </w:r>
      <w:r>
        <w:rPr>
          <w:rFonts w:hint="cs"/>
          <w:rtl/>
          <w:lang w:val="fr-CH"/>
        </w:rPr>
        <w:t>صاحب الشكوى أن ترحيله إلى بلده سيشكل انتهاكاً من جانب موناكو للمادة 3 من الاتفاقية نظراً لظروف الاحتجاز اللاإنسانية السائدة في البرازيل. وأعلنت اللجنة أن البلاغ غير مقبول بموجب الفقرة 2(ب) من المادة 22 من الاتفاقية لأن صاحب الشكوى لم</w:t>
      </w:r>
      <w:r>
        <w:rPr>
          <w:rFonts w:hint="eastAsia"/>
          <w:rtl/>
          <w:lang w:val="fr-CH"/>
        </w:rPr>
        <w:t> </w:t>
      </w:r>
      <w:r>
        <w:rPr>
          <w:rFonts w:hint="cs"/>
          <w:rtl/>
          <w:lang w:val="fr-CH"/>
        </w:rPr>
        <w:t>يستنفذ سبل الانتصاف المتاحة محلياً؛ فهو لم يقدم التماساً إلى المحكمة العليا من أجل إبطال قرار التسليم باعتباره سبيل انتصاف فعالاً لأنه يسمح بوقف تنفيذ إجراء الترحيل، وذلك ما كان سيحصل في حالة هذا البلاغ.</w:t>
      </w:r>
    </w:p>
    <w:p w:rsidR="00970856" w:rsidRDefault="00970856" w:rsidP="00F30123">
      <w:pPr>
        <w:pStyle w:val="SingleTxtGA"/>
        <w:rPr>
          <w:rFonts w:hint="cs"/>
          <w:rtl/>
          <w:lang w:val="fr-CH"/>
        </w:rPr>
      </w:pPr>
      <w:r>
        <w:rPr>
          <w:rFonts w:hint="cs"/>
          <w:rtl/>
          <w:lang w:val="fr-CH"/>
        </w:rPr>
        <w:t>124-</w:t>
      </w:r>
      <w:r>
        <w:rPr>
          <w:rFonts w:hint="cs"/>
          <w:rtl/>
          <w:lang w:val="fr-CH"/>
        </w:rPr>
        <w:tab/>
        <w:t xml:space="preserve">ويتعلق البلاغ رقم 425/2010 </w:t>
      </w:r>
      <w:r w:rsidRPr="00C64E75">
        <w:rPr>
          <w:rFonts w:hint="cs"/>
          <w:i/>
          <w:iCs/>
          <w:rtl/>
          <w:lang w:val="fr-CH"/>
        </w:rPr>
        <w:t>(</w:t>
      </w:r>
      <w:r>
        <w:rPr>
          <w:rFonts w:hint="cs"/>
          <w:i/>
          <w:iCs/>
          <w:rtl/>
          <w:lang w:val="fr-CH"/>
        </w:rPr>
        <w:t>إ. أ. ف. ب. ضد السويد</w:t>
      </w:r>
      <w:r w:rsidRPr="00C64E75">
        <w:rPr>
          <w:rFonts w:hint="cs"/>
          <w:i/>
          <w:iCs/>
          <w:rtl/>
          <w:lang w:val="fr-CH"/>
        </w:rPr>
        <w:t>)</w:t>
      </w:r>
      <w:r>
        <w:rPr>
          <w:rFonts w:hint="cs"/>
          <w:rtl/>
          <w:lang w:val="fr-CH"/>
        </w:rPr>
        <w:t xml:space="preserve"> بمواطن جزائري يدعي أن ترحيله إلى بلده الأصل سيشكل انتهاكاً من جانب السويد للمادة 3 من الاتفاقية. وادعى صاحب الشكوى أن السلطات السويدية لم تأخذ في الحسبان عدم احترام حقوق الإنسان في الجزائر التي لا تزال تشهد حالة طوارئ منذ 18 سنة. وادعى أيضاً أن التعذيب يمارس في الجزائر بانتظام من جانب دوائر المخابرات وأن موظفي هذه الدوائر يتصرفون في ظل إفلات تام من العقاب. وأكد أيضاً أن المواطنين الجزائريين الذين يعودون إلى الجزائر بعد أن يتعذر عليهم الحصول على اللجوء في بلد ثالث عادة ما يشتبه في انتمائهم إلى الإرهابيين الإسلاميين، مما قد يعرضهم للانتقام. وفي 13 تموز/يوليه 2012، غادر صاحب الشكوى السويد طوعاً متجهاً إلى مصر خوفاً من ترحيله إلى الجزائر. ولاحظت اللجنة أن صاحب الشكوى غادر الدولة الطرف طوعاً في 13 تموز/يوليه 2012 متجهاً إلى مصر وخلصت بالتالي إلى أنه برحيله إلى مصر لم يعد للبلاغ قيد نظر اللجنة أي غرض، وبذلك أصبح لا</w:t>
      </w:r>
      <w:r w:rsidR="00F30123">
        <w:rPr>
          <w:rFonts w:hint="eastAsia"/>
          <w:rtl/>
          <w:lang w:val="fr-CH"/>
        </w:rPr>
        <w:t> </w:t>
      </w:r>
      <w:r>
        <w:rPr>
          <w:rFonts w:hint="cs"/>
          <w:rtl/>
          <w:lang w:val="fr-CH"/>
        </w:rPr>
        <w:t>يتماشى مع أحكام الاتفاقية وفقاً للفقرة 2 من المادة 22، حيث لم يعد صاحب الشكوى معرضاً لخطر الترحيل من جانب الدولة الطرف إلى الجزائر.</w:t>
      </w:r>
    </w:p>
    <w:p w:rsidR="00970856" w:rsidRDefault="00970856" w:rsidP="00D969E7">
      <w:pPr>
        <w:pStyle w:val="SingleTxtGA"/>
        <w:spacing w:line="374" w:lineRule="exact"/>
        <w:rPr>
          <w:rFonts w:hint="cs"/>
          <w:rtl/>
          <w:lang w:val="fr-CH"/>
        </w:rPr>
      </w:pPr>
      <w:r>
        <w:rPr>
          <w:rFonts w:hint="cs"/>
          <w:rtl/>
          <w:lang w:val="fr-CH"/>
        </w:rPr>
        <w:t>125-</w:t>
      </w:r>
      <w:r>
        <w:rPr>
          <w:rFonts w:hint="cs"/>
          <w:rtl/>
          <w:lang w:val="fr-CH"/>
        </w:rPr>
        <w:tab/>
        <w:t xml:space="preserve">ويتعلق البلاغ رقم 437/2010 </w:t>
      </w:r>
      <w:r w:rsidRPr="00C64E75">
        <w:rPr>
          <w:rFonts w:hint="cs"/>
          <w:i/>
          <w:iCs/>
          <w:rtl/>
          <w:lang w:val="fr-CH"/>
        </w:rPr>
        <w:t>(</w:t>
      </w:r>
      <w:r>
        <w:rPr>
          <w:rFonts w:hint="cs"/>
          <w:i/>
          <w:iCs/>
          <w:rtl/>
          <w:lang w:val="fr-CH"/>
        </w:rPr>
        <w:t>ب. م. س. ضد السويد</w:t>
      </w:r>
      <w:r w:rsidRPr="00C64E75">
        <w:rPr>
          <w:rFonts w:hint="cs"/>
          <w:i/>
          <w:iCs/>
          <w:rtl/>
          <w:lang w:val="fr-CH"/>
        </w:rPr>
        <w:t>)</w:t>
      </w:r>
      <w:r>
        <w:rPr>
          <w:rFonts w:hint="cs"/>
          <w:rtl/>
          <w:lang w:val="fr-CH"/>
        </w:rPr>
        <w:t xml:space="preserve"> بمواطن جزائري ادعى أن ترحيله إلى بلده الأصل سيشكل انتهاكاً من جانب السويد للمادة 3 من الاتفاقية. وادعى صاحب الشكوى أنه سيواجه خطراً حقيقياً وشخصياً بالسجن على يد السلطات الجزائرية، وأنه سيخضع للتعذيب، لأن السلطات تعتبر أنه قد ساعد "إرهابيين" في تنفيذ هجوم على سيارة لنقل الأموال. وادعى أيضاً أنه سيواجه خطر القتل خارج نطاق القضاء على يد الإرهابيين الذين يعتقدون أنه كشف خطتهم للهجوم على سيارة نقل الأموال. وأعلنت اللجنة أن البلاغ غير مقبول لعدم استنفاذ سبل الانتصاف المتاحة محلياً، مشيرة إلى أن قرار ترحيل صاحب الشكوى سقط بقوة القانون في 24 تشرين الأول/أكتوبر 2012، وبالتالي لم يعد صاحب البلاغ مهدداً بالترحيل إلى الجزائر. وإضافة إلى ذلك، أشارت اللجنة إلى أن لديه إمكانية أن يقدم طلباً جديداً للجوء وأن سلطات الهجرة في الدولة الطرف ستنظر في هذا الطلب بأكمله من جديد.</w:t>
      </w:r>
    </w:p>
    <w:p w:rsidR="00970856" w:rsidRPr="00F30123" w:rsidRDefault="00970856" w:rsidP="00D969E7">
      <w:pPr>
        <w:pStyle w:val="SingleTxtGA"/>
        <w:spacing w:line="374" w:lineRule="exact"/>
        <w:rPr>
          <w:rFonts w:hint="cs"/>
          <w:spacing w:val="-2"/>
          <w:rtl/>
          <w:lang w:val="fr-CH"/>
        </w:rPr>
      </w:pPr>
      <w:r w:rsidRPr="00F30123">
        <w:rPr>
          <w:rFonts w:hint="cs"/>
          <w:spacing w:val="-2"/>
          <w:rtl/>
          <w:lang w:val="fr-CH"/>
        </w:rPr>
        <w:t>126-</w:t>
      </w:r>
      <w:r w:rsidRPr="00F30123">
        <w:rPr>
          <w:rFonts w:hint="cs"/>
          <w:spacing w:val="-2"/>
          <w:rtl/>
          <w:lang w:val="fr-CH"/>
        </w:rPr>
        <w:tab/>
        <w:t xml:space="preserve">وفي الدورة الخمسين، اعتمدت اللجنة قرارات بشأن الأسس الموضوعية فيما يتعلق بالشكاوى رقم 430/2010 </w:t>
      </w:r>
      <w:r w:rsidRPr="00F30123">
        <w:rPr>
          <w:rFonts w:hint="cs"/>
          <w:i/>
          <w:iCs/>
          <w:spacing w:val="-2"/>
          <w:rtl/>
          <w:lang w:val="fr-CH"/>
        </w:rPr>
        <w:t>(أبيشو ضد ألمانيا)</w:t>
      </w:r>
      <w:r w:rsidRPr="00F30123">
        <w:rPr>
          <w:rFonts w:hint="cs"/>
          <w:spacing w:val="-2"/>
          <w:rtl/>
          <w:lang w:val="fr-CH"/>
        </w:rPr>
        <w:t xml:space="preserve">، ورقم 392/2009 </w:t>
      </w:r>
      <w:r w:rsidRPr="00F30123">
        <w:rPr>
          <w:rFonts w:hint="cs"/>
          <w:i/>
          <w:iCs/>
          <w:spacing w:val="-2"/>
          <w:rtl/>
          <w:lang w:val="fr-CH"/>
        </w:rPr>
        <w:t>(ر. س. م. ضد كندا)</w:t>
      </w:r>
      <w:r w:rsidRPr="00F30123">
        <w:rPr>
          <w:rFonts w:hint="cs"/>
          <w:spacing w:val="-2"/>
          <w:rtl/>
          <w:lang w:val="fr-CH"/>
        </w:rPr>
        <w:t xml:space="preserve">، ورقم 431/2010 </w:t>
      </w:r>
      <w:r w:rsidRPr="00F30123">
        <w:rPr>
          <w:rFonts w:hint="cs"/>
          <w:i/>
          <w:iCs/>
          <w:spacing w:val="-2"/>
          <w:rtl/>
          <w:lang w:val="fr-CH"/>
        </w:rPr>
        <w:t>(ي. ضد سويسرا)</w:t>
      </w:r>
      <w:r w:rsidRPr="00F30123">
        <w:rPr>
          <w:rFonts w:hint="cs"/>
          <w:spacing w:val="-2"/>
          <w:rtl/>
          <w:lang w:val="fr-CH"/>
        </w:rPr>
        <w:t xml:space="preserve">، ورقم 439/2010 </w:t>
      </w:r>
      <w:r w:rsidRPr="00F30123">
        <w:rPr>
          <w:rFonts w:hint="cs"/>
          <w:i/>
          <w:iCs/>
          <w:spacing w:val="-2"/>
          <w:rtl/>
          <w:lang w:val="fr-CH"/>
        </w:rPr>
        <w:t>(م. ب. ضد سويسرا)</w:t>
      </w:r>
      <w:r w:rsidRPr="00F30123">
        <w:rPr>
          <w:rFonts w:hint="cs"/>
          <w:spacing w:val="-2"/>
          <w:rtl/>
          <w:lang w:val="fr-CH"/>
        </w:rPr>
        <w:t xml:space="preserve">، ورقم 467/2011 </w:t>
      </w:r>
      <w:r w:rsidRPr="00F30123">
        <w:rPr>
          <w:rFonts w:hint="cs"/>
          <w:i/>
          <w:iCs/>
          <w:spacing w:val="-2"/>
          <w:rtl/>
          <w:lang w:val="fr-CH"/>
        </w:rPr>
        <w:t>(ي. ب. ف. وآخرون ضد سويسرا)</w:t>
      </w:r>
      <w:r w:rsidRPr="00F30123">
        <w:rPr>
          <w:rFonts w:hint="cs"/>
          <w:spacing w:val="-2"/>
          <w:rtl/>
          <w:lang w:val="fr-CH"/>
        </w:rPr>
        <w:t xml:space="preserve">، ورقم 463/2011 </w:t>
      </w:r>
      <w:r w:rsidRPr="00F30123">
        <w:rPr>
          <w:rFonts w:hint="cs"/>
          <w:i/>
          <w:iCs/>
          <w:spacing w:val="-2"/>
          <w:rtl/>
          <w:lang w:val="fr-CH"/>
        </w:rPr>
        <w:t>(د. ي. ضد السويد)</w:t>
      </w:r>
      <w:r w:rsidRPr="00F30123">
        <w:rPr>
          <w:rFonts w:hint="cs"/>
          <w:spacing w:val="-2"/>
          <w:rtl/>
          <w:lang w:val="fr-CH"/>
        </w:rPr>
        <w:t>. ويرد نص هذه القرارات أيضا</w:t>
      </w:r>
      <w:r w:rsidR="00560456">
        <w:rPr>
          <w:rFonts w:hint="cs"/>
          <w:spacing w:val="-2"/>
          <w:rtl/>
          <w:lang w:val="fr-CH"/>
        </w:rPr>
        <w:t>ً</w:t>
      </w:r>
      <w:r w:rsidRPr="00F30123">
        <w:rPr>
          <w:rFonts w:hint="cs"/>
          <w:spacing w:val="-2"/>
          <w:rtl/>
          <w:lang w:val="fr-CH"/>
        </w:rPr>
        <w:t xml:space="preserve"> في المرفق السابع، الفرع ألف، من هذا التقرير.</w:t>
      </w:r>
    </w:p>
    <w:p w:rsidR="00970856" w:rsidRDefault="00970856" w:rsidP="00D969E7">
      <w:pPr>
        <w:pStyle w:val="SingleTxtGA"/>
        <w:spacing w:line="374" w:lineRule="exact"/>
        <w:rPr>
          <w:rFonts w:hint="cs"/>
          <w:rtl/>
          <w:lang w:val="fr-CH"/>
        </w:rPr>
      </w:pPr>
      <w:r>
        <w:rPr>
          <w:rFonts w:hint="cs"/>
          <w:rtl/>
          <w:lang w:val="fr-CH"/>
        </w:rPr>
        <w:t>127-</w:t>
      </w:r>
      <w:r>
        <w:rPr>
          <w:rFonts w:hint="cs"/>
          <w:rtl/>
          <w:lang w:val="fr-CH"/>
        </w:rPr>
        <w:tab/>
        <w:t xml:space="preserve">يتعلق البلاغ رقم 430/2010 </w:t>
      </w:r>
      <w:r w:rsidRPr="00F30123">
        <w:rPr>
          <w:rFonts w:hint="cs"/>
          <w:i/>
          <w:iCs/>
          <w:rtl/>
          <w:lang w:val="fr-CH"/>
        </w:rPr>
        <w:t>(أبيشو ضد ألمانيا)</w:t>
      </w:r>
      <w:r>
        <w:rPr>
          <w:rFonts w:hint="cs"/>
          <w:rtl/>
          <w:lang w:val="fr-CH"/>
        </w:rPr>
        <w:t xml:space="preserve"> بمواطن فرنسي اعتقل في ألمانيا بناء على مذكرة توقيف دولية أصدرتها تونس، عقب إدانة صاحب الشكوى في تونس غيابيا</w:t>
      </w:r>
      <w:r w:rsidR="00560456">
        <w:rPr>
          <w:rFonts w:hint="cs"/>
          <w:rtl/>
          <w:lang w:val="fr-CH"/>
        </w:rPr>
        <w:t>ً</w:t>
      </w:r>
      <w:r>
        <w:rPr>
          <w:rFonts w:hint="cs"/>
          <w:rtl/>
          <w:lang w:val="fr-CH"/>
        </w:rPr>
        <w:t>، بشأن جرائم اتجار بالمخدرات. ونظرت المحكمة العالية الإقليمية في سارلند فيما إذا كان تسليم صاحب البلاغ قانونياً، بعد تلقي ضمانات دبلوماسية من تونس، تضمنت الإشارة إلى أن صاحب البلاغ ستعاد محاكمته وفقا</w:t>
      </w:r>
      <w:r w:rsidR="00560456">
        <w:rPr>
          <w:rFonts w:hint="cs"/>
          <w:rtl/>
          <w:lang w:val="fr-CH"/>
        </w:rPr>
        <w:t>ً</w:t>
      </w:r>
      <w:r>
        <w:rPr>
          <w:rFonts w:hint="cs"/>
          <w:rtl/>
          <w:lang w:val="fr-CH"/>
        </w:rPr>
        <w:t xml:space="preserve"> للمعايير المنصوص عليها في العهد الدولي الخاص بالحقوق المدنية والسياسية، وأنه في حالة إدانته سيُحتجز في سجون تراعي قواعد الأمم المتحدة النموذجية الدنيا لمعاملة السجناء. وادعى صاحب البلاغ أن الدولة الطرف ستنتهك أحكام المادة 3 من الاتفاقية بتسليمها إياه لتونس: (أ) لأن إدانته استندت أساسا</w:t>
      </w:r>
      <w:r w:rsidR="00560456">
        <w:rPr>
          <w:rFonts w:hint="cs"/>
          <w:rtl/>
          <w:lang w:val="fr-CH"/>
        </w:rPr>
        <w:t>ً</w:t>
      </w:r>
      <w:r>
        <w:rPr>
          <w:rFonts w:hint="cs"/>
          <w:rtl/>
          <w:lang w:val="fr-CH"/>
        </w:rPr>
        <w:t xml:space="preserve"> إلى شهادة </w:t>
      </w:r>
      <w:r w:rsidRPr="005C4AA8">
        <w:rPr>
          <w:rFonts w:hint="cs"/>
          <w:spacing w:val="-2"/>
          <w:rtl/>
          <w:lang w:val="fr-CH"/>
        </w:rPr>
        <w:t>متهمين اعتقلا معه، حُصل عليها بالتعذيب، وكُشف أثناءها عن اسمه؛ و(ب) لأن التعذيب ممارسة منهجية في تونس. وفي 25 آب/أغسطس 2010</w:t>
      </w:r>
      <w:r w:rsidR="00560456" w:rsidRPr="005C4AA8">
        <w:rPr>
          <w:rFonts w:hint="cs"/>
          <w:spacing w:val="-2"/>
          <w:rtl/>
          <w:lang w:val="fr-CH"/>
        </w:rPr>
        <w:t>،</w:t>
      </w:r>
      <w:r w:rsidRPr="005C4AA8">
        <w:rPr>
          <w:rFonts w:hint="cs"/>
          <w:spacing w:val="-2"/>
          <w:rtl/>
          <w:lang w:val="fr-CH"/>
        </w:rPr>
        <w:t xml:space="preserve"> سلمت ألمانيا صاحب الشكوى إلى تونس، رغم تدابير الحماية المؤقتة التي طلبتها اللجنة في اليوم ذاته. وفي 19 أيار/مايو 2011، برأت محكمة الاستئناف في تونس صاحب الشكوى من جميع التهم الموجهة إليه.</w:t>
      </w:r>
      <w:r>
        <w:rPr>
          <w:rFonts w:hint="cs"/>
          <w:rtl/>
          <w:lang w:val="fr-CH"/>
        </w:rPr>
        <w:t xml:space="preserve"> فأفرج عنه. وأعلنت اللجنة البلاغ مقبولا</w:t>
      </w:r>
      <w:r w:rsidR="00560456">
        <w:rPr>
          <w:rFonts w:hint="cs"/>
          <w:rtl/>
          <w:lang w:val="fr-CH"/>
        </w:rPr>
        <w:t>ً</w:t>
      </w:r>
      <w:r>
        <w:rPr>
          <w:rFonts w:hint="cs"/>
          <w:rtl/>
          <w:lang w:val="fr-CH"/>
        </w:rPr>
        <w:t>، رغم أن القضية عرضت على المحكمة الأوروبية لحقوق الإنسان قبل عرضها على اللجنة، بما أن المحكمة لم تنظر سوى في جانب القضية المتعلق بطلب التدابير المؤقتة بموجب المادة 39 من النظام الداخلي للمحكمة.</w:t>
      </w:r>
    </w:p>
    <w:p w:rsidR="00970856" w:rsidRPr="00957BDD" w:rsidRDefault="00970856" w:rsidP="00D969E7">
      <w:pPr>
        <w:pStyle w:val="SingleTxtGA"/>
        <w:spacing w:line="374" w:lineRule="exact"/>
        <w:rPr>
          <w:rFonts w:hint="cs"/>
          <w:spacing w:val="-2"/>
          <w:rtl/>
          <w:lang w:val="fr-CH"/>
        </w:rPr>
      </w:pPr>
      <w:r>
        <w:rPr>
          <w:rFonts w:hint="cs"/>
          <w:rtl/>
          <w:lang w:val="fr-CH"/>
        </w:rPr>
        <w:t>128-</w:t>
      </w:r>
      <w:r>
        <w:rPr>
          <w:rFonts w:hint="cs"/>
          <w:rtl/>
          <w:lang w:val="fr-CH"/>
        </w:rPr>
        <w:tab/>
        <w:t>ففيما يتعلق بالتدابير المؤقتة التي طلبتها اللجنة، ونظرا</w:t>
      </w:r>
      <w:r w:rsidR="00560456">
        <w:rPr>
          <w:rFonts w:hint="cs"/>
          <w:rtl/>
          <w:lang w:val="fr-CH"/>
        </w:rPr>
        <w:t>ً</w:t>
      </w:r>
      <w:r>
        <w:rPr>
          <w:rFonts w:hint="cs"/>
          <w:rtl/>
          <w:lang w:val="fr-CH"/>
        </w:rPr>
        <w:t xml:space="preserve"> إلى قصر المدة الزمنية الفاصلة بين الطلب والتسليم المنظور، وإلى العناية التي أبدتها الدولة الطرف في تنفيذ الطلب، رأت</w:t>
      </w:r>
      <w:r w:rsidR="00D969E7">
        <w:rPr>
          <w:rFonts w:hint="eastAsia"/>
          <w:rtl/>
          <w:lang w:val="fr-CH"/>
        </w:rPr>
        <w:t> </w:t>
      </w:r>
      <w:r>
        <w:rPr>
          <w:rFonts w:hint="cs"/>
          <w:rtl/>
          <w:lang w:val="fr-CH"/>
        </w:rPr>
        <w:t xml:space="preserve">اللجنة أنه في هذه الظروف لم يقع أي انتهاك لأحكام المادة 22 من الاتفاقية في هذا الصدد. </w:t>
      </w:r>
      <w:r w:rsidRPr="00957BDD">
        <w:rPr>
          <w:rFonts w:hint="cs"/>
          <w:spacing w:val="-2"/>
          <w:rtl/>
          <w:lang w:val="fr-CH"/>
        </w:rPr>
        <w:t>ثم نظرت اللجنة في واقع حالة حقوق الإنسان في تونس وقت تسليم صاحب الشكوى وخلصت إلى أن السلطات في الدولة الطرف كانت تعلم أو كان ينبغي لها أن تعلم وقت تسليمه أن تونس كانت تلجأ بانتظام إلى التعذيب على نطاق واسع. وراعت اللجنة كما يجب أيضا</w:t>
      </w:r>
      <w:r w:rsidR="00560456">
        <w:rPr>
          <w:rFonts w:hint="cs"/>
          <w:spacing w:val="-2"/>
          <w:rtl/>
          <w:lang w:val="fr-CH"/>
        </w:rPr>
        <w:t>ً</w:t>
      </w:r>
      <w:r w:rsidRPr="00957BDD">
        <w:rPr>
          <w:rFonts w:hint="cs"/>
          <w:spacing w:val="-2"/>
          <w:rtl/>
          <w:lang w:val="fr-CH"/>
        </w:rPr>
        <w:t xml:space="preserve"> أن اسم صاحب الشكوى كُشف عنه عقب أعمال تعذيب يُفترض أنها لحقت بمتهميْن معه، مما زاد من حجم الخطر الذي تعرض له شخصياً. وتعد الضمانات الدبلوماسية التي أعطيت غير كافية لتستند إليها الدولة الطرف في قرارها تجاهل هذا الخطر الواضح، لا</w:t>
      </w:r>
      <w:r w:rsidR="00F30123" w:rsidRPr="00957BDD">
        <w:rPr>
          <w:rFonts w:hint="eastAsia"/>
          <w:spacing w:val="-2"/>
          <w:rtl/>
          <w:lang w:val="fr-CH"/>
        </w:rPr>
        <w:t> </w:t>
      </w:r>
      <w:r w:rsidRPr="00957BDD">
        <w:rPr>
          <w:rFonts w:hint="cs"/>
          <w:spacing w:val="-2"/>
          <w:rtl/>
          <w:lang w:val="fr-CH"/>
        </w:rPr>
        <w:t>سيما أن أيا</w:t>
      </w:r>
      <w:r w:rsidR="00560456">
        <w:rPr>
          <w:rFonts w:hint="cs"/>
          <w:spacing w:val="-2"/>
          <w:rtl/>
          <w:lang w:val="fr-CH"/>
        </w:rPr>
        <w:t>ً</w:t>
      </w:r>
      <w:r w:rsidRPr="00957BDD">
        <w:rPr>
          <w:rFonts w:hint="cs"/>
          <w:spacing w:val="-2"/>
          <w:rtl/>
          <w:lang w:val="fr-CH"/>
        </w:rPr>
        <w:t xml:space="preserve"> من هذه الضمانات يتعلق تحديداً بالحماية من التعذيب أو سوء المعاملة. ثم إن عدم تعرض صاحب الشكوى لهذه المعاملة في نهاية المطاف عقب تسليمه لا يمكن اتخاذه دليلا</w:t>
      </w:r>
      <w:r w:rsidR="00F30123" w:rsidRPr="00957BDD">
        <w:rPr>
          <w:rFonts w:hint="cs"/>
          <w:spacing w:val="-2"/>
          <w:rtl/>
          <w:lang w:val="fr-CH"/>
        </w:rPr>
        <w:t>ً</w:t>
      </w:r>
      <w:r w:rsidRPr="00957BDD">
        <w:rPr>
          <w:rFonts w:hint="cs"/>
          <w:spacing w:val="-2"/>
          <w:rtl/>
          <w:lang w:val="fr-CH"/>
        </w:rPr>
        <w:t xml:space="preserve"> للتشكيك في وجود هذا الخطر وقت التسليم أو التقليل من شأنه. فخلصت اللجنة إلى أن تسليم صاحب الشكوى يشكل انتهاكا</w:t>
      </w:r>
      <w:r w:rsidR="00560456">
        <w:rPr>
          <w:rFonts w:hint="cs"/>
          <w:spacing w:val="-2"/>
          <w:rtl/>
          <w:lang w:val="fr-CH"/>
        </w:rPr>
        <w:t>ً</w:t>
      </w:r>
      <w:r w:rsidRPr="00957BDD">
        <w:rPr>
          <w:rFonts w:hint="cs"/>
          <w:spacing w:val="-2"/>
          <w:rtl/>
          <w:lang w:val="fr-CH"/>
        </w:rPr>
        <w:t xml:space="preserve"> لأحكام المادة 3 من الاتفاقية.</w:t>
      </w:r>
    </w:p>
    <w:p w:rsidR="00970856" w:rsidRPr="00D969E7" w:rsidRDefault="00970856" w:rsidP="00560456">
      <w:pPr>
        <w:pStyle w:val="SingleTxtGA"/>
        <w:rPr>
          <w:rFonts w:hint="cs"/>
          <w:spacing w:val="-2"/>
          <w:rtl/>
          <w:lang w:val="fr-CH"/>
        </w:rPr>
      </w:pPr>
      <w:r>
        <w:rPr>
          <w:rFonts w:hint="cs"/>
          <w:rtl/>
          <w:lang w:val="fr-CH"/>
        </w:rPr>
        <w:t>129-</w:t>
      </w:r>
      <w:r>
        <w:rPr>
          <w:rFonts w:hint="cs"/>
          <w:rtl/>
          <w:lang w:val="fr-CH"/>
        </w:rPr>
        <w:tab/>
        <w:t xml:space="preserve">ويتعلق البلاغ رقم 392/2009 </w:t>
      </w:r>
      <w:r w:rsidRPr="00F30123">
        <w:rPr>
          <w:rFonts w:hint="cs"/>
          <w:i/>
          <w:iCs/>
          <w:rtl/>
          <w:lang w:val="fr-CH"/>
        </w:rPr>
        <w:t>(ر.</w:t>
      </w:r>
      <w:r w:rsidR="00F30123" w:rsidRPr="00F30123">
        <w:rPr>
          <w:rFonts w:hint="cs"/>
          <w:i/>
          <w:iCs/>
          <w:rtl/>
          <w:lang w:val="fr-CH"/>
        </w:rPr>
        <w:t xml:space="preserve"> </w:t>
      </w:r>
      <w:r w:rsidRPr="00F30123">
        <w:rPr>
          <w:rFonts w:hint="cs"/>
          <w:i/>
          <w:iCs/>
          <w:rtl/>
          <w:lang w:val="fr-CH"/>
        </w:rPr>
        <w:t>س.</w:t>
      </w:r>
      <w:r w:rsidR="00F30123" w:rsidRPr="00F30123">
        <w:rPr>
          <w:rFonts w:hint="cs"/>
          <w:i/>
          <w:iCs/>
          <w:rtl/>
          <w:lang w:val="fr-CH"/>
        </w:rPr>
        <w:t xml:space="preserve"> </w:t>
      </w:r>
      <w:r w:rsidRPr="00F30123">
        <w:rPr>
          <w:rFonts w:hint="cs"/>
          <w:i/>
          <w:iCs/>
          <w:rtl/>
          <w:lang w:val="fr-CH"/>
        </w:rPr>
        <w:t>م. ضد كندا)</w:t>
      </w:r>
      <w:r>
        <w:rPr>
          <w:rFonts w:hint="cs"/>
          <w:rtl/>
          <w:lang w:val="fr-CH"/>
        </w:rPr>
        <w:t xml:space="preserve"> بمواطن من </w:t>
      </w:r>
      <w:r w:rsidR="00560456">
        <w:rPr>
          <w:rFonts w:hint="cs"/>
          <w:rtl/>
          <w:lang w:val="fr-CH"/>
        </w:rPr>
        <w:t>ت</w:t>
      </w:r>
      <w:r>
        <w:rPr>
          <w:rFonts w:hint="cs"/>
          <w:rtl/>
          <w:lang w:val="fr-CH"/>
        </w:rPr>
        <w:t>وغو يلتمس</w:t>
      </w:r>
      <w:r w:rsidR="00F30123">
        <w:rPr>
          <w:rFonts w:hint="eastAsia"/>
          <w:rtl/>
          <w:lang w:val="fr-CH"/>
        </w:rPr>
        <w:t> </w:t>
      </w:r>
      <w:r>
        <w:rPr>
          <w:rFonts w:hint="cs"/>
          <w:rtl/>
          <w:lang w:val="fr-CH"/>
        </w:rPr>
        <w:t xml:space="preserve">اللجوء في كندا. ويدعي صاحب البلاغ أن بإعادته القسرية إلى </w:t>
      </w:r>
      <w:r w:rsidR="00560456">
        <w:rPr>
          <w:rFonts w:hint="cs"/>
          <w:rtl/>
          <w:lang w:val="fr-CH"/>
        </w:rPr>
        <w:t>ت</w:t>
      </w:r>
      <w:r>
        <w:rPr>
          <w:rFonts w:hint="cs"/>
          <w:rtl/>
          <w:lang w:val="fr-CH"/>
        </w:rPr>
        <w:t>وغو ستنتهك كندا أحكام المادة 3 من الاتفاقية. ويدعي صاحب البلاغ أنه كان عضوا</w:t>
      </w:r>
      <w:r w:rsidR="00560456">
        <w:rPr>
          <w:rFonts w:hint="cs"/>
          <w:rtl/>
          <w:lang w:val="fr-CH"/>
        </w:rPr>
        <w:t>ً</w:t>
      </w:r>
      <w:r>
        <w:rPr>
          <w:rFonts w:hint="cs"/>
          <w:rtl/>
          <w:lang w:val="fr-CH"/>
        </w:rPr>
        <w:t xml:space="preserve"> في اتحاد قوات التغيير (</w:t>
      </w:r>
      <w:r>
        <w:t>Union des Forces de Changement</w:t>
      </w:r>
      <w:r>
        <w:rPr>
          <w:rFonts w:hint="cs"/>
          <w:rtl/>
          <w:lang w:val="fr-CH"/>
        </w:rPr>
        <w:t>) وكان له دور فعال داخل الحزب، لا</w:t>
      </w:r>
      <w:r w:rsidR="00F30123">
        <w:rPr>
          <w:rFonts w:hint="cs"/>
          <w:rtl/>
          <w:lang w:val="fr-CH"/>
        </w:rPr>
        <w:t xml:space="preserve"> </w:t>
      </w:r>
      <w:r>
        <w:rPr>
          <w:rFonts w:hint="cs"/>
          <w:rtl/>
          <w:lang w:val="fr-CH"/>
        </w:rPr>
        <w:t xml:space="preserve">سيما أثناء الحملة </w:t>
      </w:r>
      <w:r w:rsidRPr="00D969E7">
        <w:rPr>
          <w:rFonts w:hint="cs"/>
          <w:spacing w:val="-2"/>
          <w:rtl/>
          <w:lang w:val="fr-CH"/>
        </w:rPr>
        <w:t xml:space="preserve">الانتخابية لعام 2005. وبعد الانتخابات اعتقل وظل رهن الاحتجاز إلى أن تمكن من الفرار في أيار/مايو 2006. ورأت اللجنة أن حالة حقوق الإنسان في </w:t>
      </w:r>
      <w:r w:rsidR="00560456" w:rsidRPr="00D969E7">
        <w:rPr>
          <w:rFonts w:hint="cs"/>
          <w:spacing w:val="-2"/>
          <w:rtl/>
          <w:lang w:val="fr-CH"/>
        </w:rPr>
        <w:t>ت</w:t>
      </w:r>
      <w:r w:rsidRPr="00D969E7">
        <w:rPr>
          <w:rFonts w:hint="cs"/>
          <w:spacing w:val="-2"/>
          <w:rtl/>
          <w:lang w:val="fr-CH"/>
        </w:rPr>
        <w:t>وغو صعبة. بيد أن ذلك لا</w:t>
      </w:r>
      <w:r w:rsidR="00F30123" w:rsidRPr="00D969E7">
        <w:rPr>
          <w:rFonts w:hint="eastAsia"/>
          <w:spacing w:val="-2"/>
          <w:rtl/>
          <w:lang w:val="fr-CH"/>
        </w:rPr>
        <w:t> </w:t>
      </w:r>
      <w:r w:rsidRPr="00D969E7">
        <w:rPr>
          <w:rFonts w:hint="cs"/>
          <w:spacing w:val="-2"/>
          <w:rtl/>
          <w:lang w:val="fr-CH"/>
        </w:rPr>
        <w:t>يكفي لإثبات وجود خطر تعذيب يتهدد صاحب الشكوى شخصيا</w:t>
      </w:r>
      <w:r w:rsidR="00560456" w:rsidRPr="00D969E7">
        <w:rPr>
          <w:rFonts w:hint="cs"/>
          <w:spacing w:val="-2"/>
          <w:rtl/>
          <w:lang w:val="fr-CH"/>
        </w:rPr>
        <w:t>ً</w:t>
      </w:r>
      <w:r w:rsidRPr="00D969E7">
        <w:rPr>
          <w:rFonts w:hint="cs"/>
          <w:spacing w:val="-2"/>
          <w:rtl/>
          <w:lang w:val="fr-CH"/>
        </w:rPr>
        <w:t xml:space="preserve"> إن هو أُعيد. ولا</w:t>
      </w:r>
      <w:r w:rsidR="00F30123" w:rsidRPr="00D969E7">
        <w:rPr>
          <w:rFonts w:hint="eastAsia"/>
          <w:spacing w:val="-2"/>
          <w:rtl/>
          <w:lang w:val="fr-CH"/>
        </w:rPr>
        <w:t> </w:t>
      </w:r>
      <w:r w:rsidRPr="00D969E7">
        <w:rPr>
          <w:rFonts w:hint="cs"/>
          <w:spacing w:val="-2"/>
          <w:rtl/>
          <w:lang w:val="fr-CH"/>
        </w:rPr>
        <w:t>تقدم الوقائع كما عرضها صاحب الشكوى أسبابا</w:t>
      </w:r>
      <w:r w:rsidR="00560456" w:rsidRPr="00D969E7">
        <w:rPr>
          <w:rFonts w:hint="cs"/>
          <w:spacing w:val="-2"/>
          <w:rtl/>
          <w:lang w:val="fr-CH"/>
        </w:rPr>
        <w:t>ً</w:t>
      </w:r>
      <w:r w:rsidRPr="00D969E7">
        <w:rPr>
          <w:rFonts w:hint="cs"/>
          <w:spacing w:val="-2"/>
          <w:rtl/>
          <w:lang w:val="fr-CH"/>
        </w:rPr>
        <w:t xml:space="preserve"> تجعل اللجنة تخلص إلى احتمال تعرضه لهذا الخطر. إذ لم يقدم من جملة أمور أخرى دليلا</w:t>
      </w:r>
      <w:r w:rsidR="00560456" w:rsidRPr="00D969E7">
        <w:rPr>
          <w:rFonts w:hint="cs"/>
          <w:spacing w:val="-2"/>
          <w:rtl/>
          <w:lang w:val="fr-CH"/>
        </w:rPr>
        <w:t>ً</w:t>
      </w:r>
      <w:r w:rsidRPr="00D969E7">
        <w:rPr>
          <w:rFonts w:hint="cs"/>
          <w:spacing w:val="-2"/>
          <w:rtl/>
          <w:lang w:val="fr-CH"/>
        </w:rPr>
        <w:t xml:space="preserve"> يثبت أن السلطات كانت تبحث عنه وأنه كان معرضا</w:t>
      </w:r>
      <w:r w:rsidR="00560456" w:rsidRPr="00D969E7">
        <w:rPr>
          <w:rFonts w:hint="cs"/>
          <w:spacing w:val="-2"/>
          <w:rtl/>
          <w:lang w:val="fr-CH"/>
        </w:rPr>
        <w:t>ً</w:t>
      </w:r>
      <w:r w:rsidRPr="00D969E7">
        <w:rPr>
          <w:rFonts w:hint="cs"/>
          <w:spacing w:val="-2"/>
          <w:rtl/>
          <w:lang w:val="fr-CH"/>
        </w:rPr>
        <w:t xml:space="preserve"> للاعتقال ولم يثبت اعتقاله السابق وادعاءه التعذيب. ولذلك خلصت اللجنة إلى أن قرار الدولة الطرف إعادة صاحب الشكوى إلى </w:t>
      </w:r>
      <w:r w:rsidR="00560456" w:rsidRPr="00D969E7">
        <w:rPr>
          <w:rFonts w:hint="cs"/>
          <w:spacing w:val="-2"/>
          <w:rtl/>
          <w:lang w:val="fr-CH"/>
        </w:rPr>
        <w:t>ت</w:t>
      </w:r>
      <w:r w:rsidRPr="00D969E7">
        <w:rPr>
          <w:rFonts w:hint="cs"/>
          <w:spacing w:val="-2"/>
          <w:rtl/>
          <w:lang w:val="fr-CH"/>
        </w:rPr>
        <w:t>وغو لا يشكل انتهاكا</w:t>
      </w:r>
      <w:r w:rsidR="00D969E7" w:rsidRPr="00D969E7">
        <w:rPr>
          <w:rFonts w:hint="cs"/>
          <w:spacing w:val="-2"/>
          <w:rtl/>
          <w:lang w:val="fr-CH"/>
        </w:rPr>
        <w:t>ً</w:t>
      </w:r>
      <w:r w:rsidRPr="00D969E7">
        <w:rPr>
          <w:rFonts w:hint="cs"/>
          <w:spacing w:val="-2"/>
          <w:rtl/>
          <w:lang w:val="fr-CH"/>
        </w:rPr>
        <w:t xml:space="preserve"> لأحكام المادة 3 من الاتفاقية.</w:t>
      </w:r>
    </w:p>
    <w:p w:rsidR="00970856" w:rsidRDefault="00970856" w:rsidP="00D969E7">
      <w:pPr>
        <w:pStyle w:val="SingleTxtGA"/>
        <w:spacing w:line="370" w:lineRule="exact"/>
        <w:rPr>
          <w:rFonts w:hint="cs"/>
          <w:spacing w:val="-2"/>
          <w:rtl/>
          <w:lang w:val="fr-CH"/>
        </w:rPr>
      </w:pPr>
      <w:r w:rsidRPr="00F30123">
        <w:rPr>
          <w:rFonts w:hint="cs"/>
          <w:spacing w:val="-2"/>
          <w:rtl/>
          <w:lang w:val="fr-CH"/>
        </w:rPr>
        <w:t>130-</w:t>
      </w:r>
      <w:r w:rsidRPr="00F30123">
        <w:rPr>
          <w:rFonts w:hint="cs"/>
          <w:spacing w:val="-2"/>
          <w:rtl/>
          <w:lang w:val="fr-CH"/>
        </w:rPr>
        <w:tab/>
        <w:t xml:space="preserve">وتتعلق القضية رقم 431/2010 </w:t>
      </w:r>
      <w:r w:rsidRPr="00F30123">
        <w:rPr>
          <w:rFonts w:hint="cs"/>
          <w:i/>
          <w:iCs/>
          <w:spacing w:val="-2"/>
          <w:rtl/>
          <w:lang w:val="fr-CH"/>
        </w:rPr>
        <w:t>(</w:t>
      </w:r>
      <w:r w:rsidR="00560456">
        <w:rPr>
          <w:rFonts w:hint="cs"/>
          <w:i/>
          <w:iCs/>
          <w:spacing w:val="-2"/>
          <w:rtl/>
          <w:lang w:val="fr-CH"/>
        </w:rPr>
        <w:t>ي</w:t>
      </w:r>
      <w:r w:rsidRPr="00F30123">
        <w:rPr>
          <w:rFonts w:hint="cs"/>
          <w:i/>
          <w:iCs/>
          <w:spacing w:val="-2"/>
          <w:rtl/>
          <w:lang w:val="fr-CH"/>
        </w:rPr>
        <w:t>. ضد سويسرا)</w:t>
      </w:r>
      <w:r w:rsidRPr="00F30123">
        <w:rPr>
          <w:rFonts w:hint="cs"/>
          <w:spacing w:val="-2"/>
          <w:rtl/>
          <w:lang w:val="fr-CH"/>
        </w:rPr>
        <w:t xml:space="preserve"> بمواطنة من تركيا رفضت سلطات الهجرة السويسرية طلب لجوئها في آب/أغسطس 2010. وتدعي صاحبة الشكوى</w:t>
      </w:r>
      <w:r w:rsidR="00F30123" w:rsidRPr="00F30123">
        <w:rPr>
          <w:rFonts w:hint="eastAsia"/>
          <w:spacing w:val="-2"/>
          <w:rtl/>
          <w:lang w:val="fr-CH"/>
        </w:rPr>
        <w:t> </w:t>
      </w:r>
      <w:r w:rsidRPr="00F30123">
        <w:rPr>
          <w:rFonts w:hint="cs"/>
          <w:spacing w:val="-2"/>
          <w:rtl/>
          <w:lang w:val="fr-CH"/>
        </w:rPr>
        <w:t>أنه إذا أعيدت إلى تركيا ستحتجزها الشرطة وستستجوبها وتسيء معاملتها نظرا</w:t>
      </w:r>
      <w:r w:rsidR="00F30123" w:rsidRPr="00F30123">
        <w:rPr>
          <w:rFonts w:hint="cs"/>
          <w:spacing w:val="-2"/>
          <w:rtl/>
          <w:lang w:val="fr-CH"/>
        </w:rPr>
        <w:t>ً</w:t>
      </w:r>
      <w:r w:rsidRPr="00F30123">
        <w:rPr>
          <w:rFonts w:hint="cs"/>
          <w:spacing w:val="-2"/>
          <w:rtl/>
          <w:lang w:val="fr-CH"/>
        </w:rPr>
        <w:t xml:space="preserve"> إلى (أ) احتجازها وتعذيبها في 1998؛ و(ب) اعتقالاتها القصيرة عقب زياراتها لأختها، المناضلة في صفوف حزب العمال الكردستاني، المحتجزة في السجن؛ و(ج) واستمرار مراقبتها منذ فرار أختها من البلد في 2002، والتحرش بها، وترويعها واحتجازها بسبب الأنشطة غير القانونية المناصرة للقضية الكردية لأختها ونظرا</w:t>
      </w:r>
      <w:r w:rsidR="00560456">
        <w:rPr>
          <w:rFonts w:hint="cs"/>
          <w:spacing w:val="-2"/>
          <w:rtl/>
          <w:lang w:val="fr-CH"/>
        </w:rPr>
        <w:t>ً</w:t>
      </w:r>
      <w:r w:rsidRPr="00F30123">
        <w:rPr>
          <w:rFonts w:hint="cs"/>
          <w:spacing w:val="-2"/>
          <w:rtl/>
          <w:lang w:val="fr-CH"/>
        </w:rPr>
        <w:t xml:space="preserve"> إلى الاشتباه في استغلال شبهها بأختها لتيسير فرارها من تركيا؛ و(د) وأنشطتها داخل المركز الثقافي لما بين النهرين في </w:t>
      </w:r>
      <w:r w:rsidR="00F30123" w:rsidRPr="00F30123">
        <w:rPr>
          <w:rFonts w:hint="cs"/>
          <w:spacing w:val="-2"/>
          <w:rtl/>
          <w:lang w:val="fr-CH"/>
        </w:rPr>
        <w:t>اسطنبول</w:t>
      </w:r>
      <w:r w:rsidRPr="00F30123">
        <w:rPr>
          <w:rFonts w:hint="cs"/>
          <w:spacing w:val="-2"/>
          <w:rtl/>
          <w:lang w:val="fr-CH"/>
        </w:rPr>
        <w:t>؛ و(ﻫ) خطر ملاحقة أسرتها بسبب علاقتها الأسرية الوثيقة مع أختها. وأشارت أيضا</w:t>
      </w:r>
      <w:r w:rsidR="00D43E1F">
        <w:rPr>
          <w:rFonts w:hint="cs"/>
          <w:spacing w:val="-2"/>
          <w:rtl/>
          <w:lang w:val="fr-CH"/>
        </w:rPr>
        <w:t>ً</w:t>
      </w:r>
      <w:r w:rsidRPr="00F30123">
        <w:rPr>
          <w:rFonts w:hint="cs"/>
          <w:spacing w:val="-2"/>
          <w:rtl/>
          <w:lang w:val="fr-CH"/>
        </w:rPr>
        <w:t xml:space="preserve"> إلى مشاكلها العقلية التي نجمت عن ذلك. وادعت صاحبة الشكوى أيضا</w:t>
      </w:r>
      <w:r w:rsidR="00D43E1F">
        <w:rPr>
          <w:rFonts w:hint="cs"/>
          <w:spacing w:val="-2"/>
          <w:rtl/>
          <w:lang w:val="fr-CH"/>
        </w:rPr>
        <w:t>ً</w:t>
      </w:r>
      <w:r w:rsidRPr="00F30123">
        <w:rPr>
          <w:rFonts w:hint="cs"/>
          <w:spacing w:val="-2"/>
          <w:rtl/>
          <w:lang w:val="fr-CH"/>
        </w:rPr>
        <w:t xml:space="preserve"> أن إعادتها القسرية إلى تركيا ستشكل انتهاكا</w:t>
      </w:r>
      <w:r w:rsidR="00957BDD">
        <w:rPr>
          <w:rFonts w:hint="cs"/>
          <w:spacing w:val="-2"/>
          <w:rtl/>
          <w:lang w:val="fr-CH"/>
        </w:rPr>
        <w:t>ً</w:t>
      </w:r>
      <w:r w:rsidRPr="00F30123">
        <w:rPr>
          <w:rFonts w:hint="cs"/>
          <w:spacing w:val="-2"/>
          <w:rtl/>
          <w:lang w:val="fr-CH"/>
        </w:rPr>
        <w:t xml:space="preserve"> من جانب سويسرا لأحكام المادة 3 من الاتفاقية. وأحاطت اللجنة علماً بالدليل الطبي الذي قدمته صاحبة الشكوى وبحجج الدولة الطرف بأن أصل المشاكل العقلية التي تدعيها صاحبة الشكوى غير ثابت وأن الاشتباه بوجود اضطراب إجهاد ما بعد الصدمة لا يمكن عده إشارة مهمة تدل على ملاحقتها في تركيا.</w:t>
      </w:r>
    </w:p>
    <w:p w:rsidR="00F72BDC" w:rsidRPr="00322426" w:rsidRDefault="00F72BDC" w:rsidP="00D969E7">
      <w:pPr>
        <w:pStyle w:val="SingleTxtGA"/>
        <w:rPr>
          <w:rtl/>
          <w:lang w:val="fr-CH"/>
        </w:rPr>
      </w:pPr>
      <w:r>
        <w:rPr>
          <w:rFonts w:hint="cs"/>
          <w:rtl/>
          <w:lang w:val="fr-CH"/>
        </w:rPr>
        <w:t>131-</w:t>
      </w:r>
      <w:r>
        <w:rPr>
          <w:rFonts w:hint="cs"/>
          <w:rtl/>
          <w:lang w:val="fr-CH"/>
        </w:rPr>
        <w:tab/>
        <w:t>وبينما</w:t>
      </w:r>
      <w:r w:rsidRPr="00322426">
        <w:rPr>
          <w:rtl/>
          <w:lang w:val="fr-CH"/>
        </w:rPr>
        <w:t xml:space="preserve"> لاحظت اللجنة أن تعذيب صاحب</w:t>
      </w:r>
      <w:r>
        <w:rPr>
          <w:rFonts w:hint="cs"/>
          <w:rtl/>
          <w:lang w:val="fr-CH"/>
        </w:rPr>
        <w:t>ة</w:t>
      </w:r>
      <w:r w:rsidRPr="00322426">
        <w:rPr>
          <w:rtl/>
          <w:lang w:val="fr-CH"/>
        </w:rPr>
        <w:t xml:space="preserve"> الشكوى في عام 1998 </w:t>
      </w:r>
      <w:r>
        <w:rPr>
          <w:rFonts w:hint="cs"/>
          <w:rtl/>
          <w:lang w:val="fr-CH"/>
        </w:rPr>
        <w:t>أمر لا نزاع فيه</w:t>
      </w:r>
      <w:r w:rsidRPr="00322426">
        <w:rPr>
          <w:rtl/>
          <w:lang w:val="fr-CH"/>
        </w:rPr>
        <w:t>، لاحظت أيضا</w:t>
      </w:r>
      <w:r w:rsidR="00D969E7">
        <w:rPr>
          <w:rFonts w:hint="cs"/>
          <w:rtl/>
          <w:lang w:val="fr-CH"/>
        </w:rPr>
        <w:t>ً</w:t>
      </w:r>
      <w:r w:rsidRPr="00322426">
        <w:rPr>
          <w:rtl/>
          <w:lang w:val="fr-CH"/>
        </w:rPr>
        <w:t xml:space="preserve"> فيما يتعلق </w:t>
      </w:r>
      <w:r>
        <w:rPr>
          <w:rFonts w:hint="cs"/>
          <w:rtl/>
          <w:lang w:val="fr-CH"/>
        </w:rPr>
        <w:t>ب</w:t>
      </w:r>
      <w:r w:rsidRPr="00322426">
        <w:rPr>
          <w:rtl/>
          <w:lang w:val="fr-CH"/>
        </w:rPr>
        <w:t>خطر</w:t>
      </w:r>
      <w:r>
        <w:rPr>
          <w:rFonts w:hint="cs"/>
          <w:rtl/>
          <w:lang w:val="fr-CH"/>
        </w:rPr>
        <w:t xml:space="preserve"> التعذيب</w:t>
      </w:r>
      <w:r w:rsidRPr="00322426">
        <w:rPr>
          <w:rtl/>
          <w:lang w:val="fr-CH"/>
        </w:rPr>
        <w:t xml:space="preserve"> </w:t>
      </w:r>
      <w:r>
        <w:rPr>
          <w:rFonts w:hint="cs"/>
          <w:rtl/>
          <w:lang w:val="fr-CH"/>
        </w:rPr>
        <w:t>القائم حالياً</w:t>
      </w:r>
      <w:r w:rsidRPr="00322426">
        <w:rPr>
          <w:rtl/>
          <w:lang w:val="fr-CH"/>
        </w:rPr>
        <w:t xml:space="preserve"> عند عودته</w:t>
      </w:r>
      <w:r>
        <w:rPr>
          <w:rFonts w:hint="cs"/>
          <w:rtl/>
          <w:lang w:val="fr-CH"/>
        </w:rPr>
        <w:t>ا</w:t>
      </w:r>
      <w:r w:rsidRPr="00322426">
        <w:rPr>
          <w:rtl/>
          <w:lang w:val="fr-CH"/>
        </w:rPr>
        <w:t xml:space="preserve"> إلى تركيا أن صاحب</w:t>
      </w:r>
      <w:r>
        <w:rPr>
          <w:rFonts w:hint="cs"/>
          <w:rtl/>
          <w:lang w:val="fr-CH"/>
        </w:rPr>
        <w:t>ة</w:t>
      </w:r>
      <w:r w:rsidRPr="00322426">
        <w:rPr>
          <w:rtl/>
          <w:lang w:val="fr-CH"/>
        </w:rPr>
        <w:t xml:space="preserve"> الشكوى لم </w:t>
      </w:r>
      <w:r>
        <w:rPr>
          <w:rFonts w:hint="cs"/>
          <w:rtl/>
          <w:lang w:val="fr-CH"/>
        </w:rPr>
        <w:t>ت</w:t>
      </w:r>
      <w:r w:rsidRPr="00322426">
        <w:rPr>
          <w:rtl/>
          <w:lang w:val="fr-CH"/>
        </w:rPr>
        <w:t xml:space="preserve">قدم العناصر التي من شأنها أن </w:t>
      </w:r>
      <w:r>
        <w:rPr>
          <w:rFonts w:hint="cs"/>
          <w:rtl/>
          <w:lang w:val="fr-CH"/>
        </w:rPr>
        <w:t>تثبت</w:t>
      </w:r>
      <w:r w:rsidRPr="00322426">
        <w:rPr>
          <w:rtl/>
          <w:lang w:val="fr-CH"/>
        </w:rPr>
        <w:t xml:space="preserve"> أن المراقبة المستمرة والمضايقات والاعتقالات القصير</w:t>
      </w:r>
      <w:r>
        <w:rPr>
          <w:rFonts w:hint="cs"/>
          <w:rtl/>
          <w:lang w:val="fr-CH"/>
        </w:rPr>
        <w:t>ة</w:t>
      </w:r>
      <w:r w:rsidRPr="00322426">
        <w:rPr>
          <w:rtl/>
          <w:lang w:val="fr-CH"/>
        </w:rPr>
        <w:t xml:space="preserve"> و</w:t>
      </w:r>
      <w:r>
        <w:rPr>
          <w:rFonts w:hint="cs"/>
          <w:rtl/>
          <w:lang w:val="fr-CH"/>
        </w:rPr>
        <w:t xml:space="preserve">أعمال </w:t>
      </w:r>
      <w:r w:rsidRPr="00322426">
        <w:rPr>
          <w:rtl/>
          <w:lang w:val="fr-CH"/>
        </w:rPr>
        <w:t xml:space="preserve">الاضطهاد </w:t>
      </w:r>
      <w:r>
        <w:rPr>
          <w:rFonts w:hint="cs"/>
          <w:rtl/>
          <w:lang w:val="fr-CH"/>
        </w:rPr>
        <w:t xml:space="preserve">التي عانتها </w:t>
      </w:r>
      <w:r w:rsidRPr="00322426">
        <w:rPr>
          <w:rtl/>
          <w:lang w:val="fr-CH"/>
        </w:rPr>
        <w:t xml:space="preserve">حتى هروبها إلى سويسرا في عام 2008 تصل إلى حد التعذيب؛ </w:t>
      </w:r>
      <w:r>
        <w:rPr>
          <w:rFonts w:hint="cs"/>
          <w:rtl/>
          <w:lang w:val="fr-CH"/>
        </w:rPr>
        <w:t>و</w:t>
      </w:r>
      <w:r>
        <w:rPr>
          <w:rtl/>
          <w:lang w:val="fr-CH"/>
        </w:rPr>
        <w:t>أنها لم تقدم أي دليل يبين أن</w:t>
      </w:r>
      <w:r>
        <w:rPr>
          <w:rFonts w:hint="cs"/>
          <w:rtl/>
          <w:lang w:val="fr-CH"/>
        </w:rPr>
        <w:t xml:space="preserve">ه </w:t>
      </w:r>
      <w:r w:rsidRPr="00322426">
        <w:rPr>
          <w:rtl/>
          <w:lang w:val="fr-CH"/>
        </w:rPr>
        <w:t>سبق استدعاؤه</w:t>
      </w:r>
      <w:r>
        <w:rPr>
          <w:rFonts w:hint="cs"/>
          <w:rtl/>
          <w:lang w:val="fr-CH"/>
        </w:rPr>
        <w:t>ا</w:t>
      </w:r>
      <w:r w:rsidRPr="00322426">
        <w:rPr>
          <w:rtl/>
          <w:lang w:val="fr-CH"/>
        </w:rPr>
        <w:t xml:space="preserve"> للتحقيق أو </w:t>
      </w:r>
      <w:r>
        <w:rPr>
          <w:rFonts w:hint="cs"/>
          <w:rtl/>
          <w:lang w:val="fr-CH"/>
        </w:rPr>
        <w:t>جرى</w:t>
      </w:r>
      <w:r w:rsidRPr="00322426">
        <w:rPr>
          <w:rtl/>
          <w:lang w:val="fr-CH"/>
        </w:rPr>
        <w:t xml:space="preserve"> توجيه الاتهام </w:t>
      </w:r>
      <w:r>
        <w:rPr>
          <w:rFonts w:hint="cs"/>
          <w:rtl/>
          <w:lang w:val="fr-CH"/>
        </w:rPr>
        <w:t>إ</w:t>
      </w:r>
      <w:r w:rsidRPr="00322426">
        <w:rPr>
          <w:rtl/>
          <w:lang w:val="fr-CH"/>
        </w:rPr>
        <w:t>ل</w:t>
      </w:r>
      <w:r>
        <w:rPr>
          <w:rFonts w:hint="cs"/>
          <w:rtl/>
          <w:lang w:val="fr-CH"/>
        </w:rPr>
        <w:t>ي</w:t>
      </w:r>
      <w:r w:rsidRPr="00322426">
        <w:rPr>
          <w:rtl/>
          <w:lang w:val="fr-CH"/>
        </w:rPr>
        <w:t xml:space="preserve">ها </w:t>
      </w:r>
      <w:r>
        <w:rPr>
          <w:rFonts w:hint="cs"/>
          <w:rtl/>
          <w:lang w:val="fr-CH"/>
        </w:rPr>
        <w:t>للاشتباه المزعوم بارتباطها ب</w:t>
      </w:r>
      <w:r w:rsidRPr="00322426">
        <w:rPr>
          <w:rtl/>
          <w:lang w:val="fr-CH"/>
        </w:rPr>
        <w:t xml:space="preserve">حزب العمال الكردستاني، </w:t>
      </w:r>
      <w:r>
        <w:rPr>
          <w:rFonts w:hint="cs"/>
          <w:rtl/>
          <w:lang w:val="fr-CH"/>
        </w:rPr>
        <w:t>و</w:t>
      </w:r>
      <w:r w:rsidRPr="00322426">
        <w:rPr>
          <w:rtl/>
          <w:lang w:val="fr-CH"/>
        </w:rPr>
        <w:t>لا</w:t>
      </w:r>
      <w:r>
        <w:rPr>
          <w:rFonts w:hint="cs"/>
          <w:rtl/>
          <w:lang w:val="fr-CH"/>
        </w:rPr>
        <w:t xml:space="preserve"> هي قدمت</w:t>
      </w:r>
      <w:r w:rsidRPr="00322426">
        <w:rPr>
          <w:rtl/>
          <w:lang w:val="fr-CH"/>
        </w:rPr>
        <w:t xml:space="preserve"> أي أدلة مؤيدة </w:t>
      </w:r>
      <w:r>
        <w:rPr>
          <w:rFonts w:hint="cs"/>
          <w:rtl/>
          <w:lang w:val="fr-CH"/>
        </w:rPr>
        <w:t>ل</w:t>
      </w:r>
      <w:r w:rsidRPr="00322426">
        <w:rPr>
          <w:rtl/>
          <w:lang w:val="fr-CH"/>
        </w:rPr>
        <w:t xml:space="preserve">ادعائها </w:t>
      </w:r>
      <w:r>
        <w:rPr>
          <w:rFonts w:hint="cs"/>
          <w:rtl/>
          <w:lang w:val="fr-CH"/>
        </w:rPr>
        <w:t>ب</w:t>
      </w:r>
      <w:r w:rsidRPr="00322426">
        <w:rPr>
          <w:rtl/>
          <w:lang w:val="fr-CH"/>
        </w:rPr>
        <w:t xml:space="preserve">أن الشرطة </w:t>
      </w:r>
      <w:r>
        <w:rPr>
          <w:rFonts w:hint="cs"/>
          <w:rtl/>
          <w:lang w:val="fr-CH"/>
        </w:rPr>
        <w:t xml:space="preserve">بحثت عنها </w:t>
      </w:r>
      <w:r w:rsidRPr="00322426">
        <w:rPr>
          <w:rtl/>
          <w:lang w:val="fr-CH"/>
        </w:rPr>
        <w:t xml:space="preserve">في منزل والديها منذ هروبها إلى سويسرا؛ </w:t>
      </w:r>
      <w:r>
        <w:rPr>
          <w:rFonts w:hint="cs"/>
          <w:rtl/>
          <w:lang w:val="fr-CH"/>
        </w:rPr>
        <w:t>و</w:t>
      </w:r>
      <w:r w:rsidRPr="00322426">
        <w:rPr>
          <w:rtl/>
          <w:lang w:val="fr-CH"/>
        </w:rPr>
        <w:t xml:space="preserve">أنها </w:t>
      </w:r>
      <w:r>
        <w:rPr>
          <w:rFonts w:hint="cs"/>
          <w:rtl/>
          <w:lang w:val="fr-CH"/>
        </w:rPr>
        <w:t xml:space="preserve">لم </w:t>
      </w:r>
      <w:r w:rsidRPr="00322426">
        <w:rPr>
          <w:rtl/>
          <w:lang w:val="fr-CH"/>
        </w:rPr>
        <w:t xml:space="preserve">تدع </w:t>
      </w:r>
      <w:r>
        <w:rPr>
          <w:rFonts w:hint="cs"/>
          <w:rtl/>
          <w:lang w:val="fr-CH"/>
        </w:rPr>
        <w:t>قط</w:t>
      </w:r>
      <w:r w:rsidRPr="00322426">
        <w:rPr>
          <w:rtl/>
          <w:lang w:val="fr-CH"/>
        </w:rPr>
        <w:t xml:space="preserve"> أن أفراد أسرتها الذين يعيشون في </w:t>
      </w:r>
      <w:r w:rsidR="00D969E7">
        <w:rPr>
          <w:rFonts w:hint="cs"/>
          <w:rtl/>
          <w:lang w:val="fr-CH"/>
        </w:rPr>
        <w:t xml:space="preserve">اسطنبول </w:t>
      </w:r>
      <w:r w:rsidRPr="00322426">
        <w:rPr>
          <w:rtl/>
          <w:lang w:val="fr-CH"/>
        </w:rPr>
        <w:t>ملاحق</w:t>
      </w:r>
      <w:r>
        <w:rPr>
          <w:rFonts w:hint="cs"/>
          <w:rtl/>
          <w:lang w:val="fr-CH"/>
        </w:rPr>
        <w:t>و</w:t>
      </w:r>
      <w:r w:rsidRPr="00322426">
        <w:rPr>
          <w:rtl/>
          <w:lang w:val="fr-CH"/>
        </w:rPr>
        <w:t xml:space="preserve">ن </w:t>
      </w:r>
      <w:r>
        <w:rPr>
          <w:rFonts w:hint="cs"/>
          <w:rtl/>
          <w:lang w:val="fr-CH"/>
        </w:rPr>
        <w:t>بسبب فرار</w:t>
      </w:r>
      <w:r w:rsidR="00AD3FDC">
        <w:rPr>
          <w:rtl/>
          <w:lang w:val="fr-CH"/>
        </w:rPr>
        <w:t xml:space="preserve"> شقيقتها و</w:t>
      </w:r>
      <w:r>
        <w:rPr>
          <w:rFonts w:hint="cs"/>
          <w:rtl/>
          <w:lang w:val="fr-CH"/>
        </w:rPr>
        <w:t>فرارها</w:t>
      </w:r>
      <w:r w:rsidRPr="00322426">
        <w:rPr>
          <w:rtl/>
          <w:lang w:val="fr-CH"/>
        </w:rPr>
        <w:t xml:space="preserve"> إلى سويسرا، و</w:t>
      </w:r>
      <w:r>
        <w:rPr>
          <w:rFonts w:hint="cs"/>
          <w:rtl/>
          <w:lang w:val="fr-CH"/>
        </w:rPr>
        <w:t xml:space="preserve">لم يُحكم على صاحبة </w:t>
      </w:r>
      <w:r w:rsidRPr="00322426">
        <w:rPr>
          <w:rtl/>
          <w:lang w:val="fr-CH"/>
        </w:rPr>
        <w:t>الشكوى نفسها</w:t>
      </w:r>
      <w:r>
        <w:rPr>
          <w:rFonts w:hint="cs"/>
          <w:rtl/>
          <w:lang w:val="fr-CH"/>
        </w:rPr>
        <w:t xml:space="preserve"> ولم تلاحق أو تتهم بشأن أي </w:t>
      </w:r>
      <w:r w:rsidRPr="00322426">
        <w:rPr>
          <w:rtl/>
          <w:lang w:val="fr-CH"/>
        </w:rPr>
        <w:t>جريمة في تركيا</w:t>
      </w:r>
      <w:r>
        <w:rPr>
          <w:rFonts w:hint="cs"/>
          <w:rtl/>
          <w:lang w:val="fr-CH"/>
        </w:rPr>
        <w:t>؛</w:t>
      </w:r>
      <w:r w:rsidR="00AD3FDC">
        <w:rPr>
          <w:rtl/>
          <w:lang w:val="fr-CH"/>
        </w:rPr>
        <w:t xml:space="preserve"> و</w:t>
      </w:r>
      <w:r w:rsidRPr="00322426">
        <w:rPr>
          <w:rtl/>
          <w:lang w:val="fr-CH"/>
        </w:rPr>
        <w:t>أنها لم تكن ناشطة سياسيا</w:t>
      </w:r>
      <w:r w:rsidR="00AD3FDC">
        <w:rPr>
          <w:rFonts w:hint="cs"/>
          <w:rtl/>
          <w:lang w:val="fr-CH"/>
        </w:rPr>
        <w:t>ً</w:t>
      </w:r>
      <w:r w:rsidRPr="00322426">
        <w:rPr>
          <w:rtl/>
          <w:lang w:val="fr-CH"/>
        </w:rPr>
        <w:t xml:space="preserve"> في سويسرا أو </w:t>
      </w:r>
      <w:r>
        <w:rPr>
          <w:rFonts w:hint="cs"/>
          <w:rtl/>
          <w:lang w:val="fr-CH"/>
        </w:rPr>
        <w:t>ت</w:t>
      </w:r>
      <w:r w:rsidRPr="00322426">
        <w:rPr>
          <w:rtl/>
          <w:lang w:val="fr-CH"/>
        </w:rPr>
        <w:t>تعاون مع أعضاء من حزب العمال الكردس</w:t>
      </w:r>
      <w:r w:rsidR="00AD3FDC">
        <w:rPr>
          <w:rtl/>
          <w:lang w:val="fr-CH"/>
        </w:rPr>
        <w:t>تاني سواء في تركيا أو في سويسرا</w:t>
      </w:r>
      <w:r w:rsidRPr="00322426">
        <w:rPr>
          <w:rtl/>
          <w:lang w:val="fr-CH"/>
        </w:rPr>
        <w:t xml:space="preserve">. </w:t>
      </w:r>
      <w:r>
        <w:rPr>
          <w:rFonts w:hint="cs"/>
          <w:rtl/>
          <w:lang w:val="fr-CH"/>
        </w:rPr>
        <w:t>وفيما يخص حا</w:t>
      </w:r>
      <w:r w:rsidRPr="00322426">
        <w:rPr>
          <w:rtl/>
          <w:lang w:val="fr-CH"/>
        </w:rPr>
        <w:t>لة حقوق الإنسان في تركيا، لاحظت اللجنة أنه لا توجد تقارير تشير إلى أن أفراد الأسرة من مسلحي حزب العمال الكردستاني استهدف</w:t>
      </w:r>
      <w:r>
        <w:rPr>
          <w:rFonts w:hint="cs"/>
          <w:rtl/>
          <w:lang w:val="fr-CH"/>
        </w:rPr>
        <w:t>وا</w:t>
      </w:r>
      <w:r w:rsidRPr="00322426">
        <w:rPr>
          <w:rtl/>
          <w:lang w:val="fr-CH"/>
        </w:rPr>
        <w:t xml:space="preserve"> تحديدا</w:t>
      </w:r>
      <w:r w:rsidR="00A94BC6">
        <w:rPr>
          <w:rFonts w:hint="cs"/>
          <w:rtl/>
          <w:lang w:val="fr-CH"/>
        </w:rPr>
        <w:t>ً</w:t>
      </w:r>
      <w:r w:rsidRPr="00322426">
        <w:rPr>
          <w:rtl/>
          <w:lang w:val="fr-CH"/>
        </w:rPr>
        <w:t xml:space="preserve"> وتعرض</w:t>
      </w:r>
      <w:r>
        <w:rPr>
          <w:rFonts w:hint="cs"/>
          <w:rtl/>
          <w:lang w:val="fr-CH"/>
        </w:rPr>
        <w:t>وا</w:t>
      </w:r>
      <w:r w:rsidR="00AD3FDC">
        <w:rPr>
          <w:rtl/>
          <w:lang w:val="fr-CH"/>
        </w:rPr>
        <w:t xml:space="preserve"> للتعذيب</w:t>
      </w:r>
      <w:r w:rsidRPr="00322426">
        <w:rPr>
          <w:rtl/>
          <w:lang w:val="fr-CH"/>
        </w:rPr>
        <w:t xml:space="preserve">. </w:t>
      </w:r>
      <w:r>
        <w:rPr>
          <w:rFonts w:hint="cs"/>
          <w:rtl/>
          <w:lang w:val="fr-CH"/>
        </w:rPr>
        <w:t>و</w:t>
      </w:r>
      <w:r w:rsidRPr="00322426">
        <w:rPr>
          <w:rtl/>
          <w:lang w:val="fr-CH"/>
        </w:rPr>
        <w:t xml:space="preserve">في ضوء الاعتبارات المذكورة أعلاه، خلصت اللجنة إلى أن </w:t>
      </w:r>
      <w:r>
        <w:rPr>
          <w:rFonts w:hint="cs"/>
          <w:rtl/>
          <w:lang w:val="fr-CH"/>
        </w:rPr>
        <w:t>ترحيل</w:t>
      </w:r>
      <w:r w:rsidRPr="00322426">
        <w:rPr>
          <w:rtl/>
          <w:lang w:val="fr-CH"/>
        </w:rPr>
        <w:t xml:space="preserve"> </w:t>
      </w:r>
      <w:r>
        <w:rPr>
          <w:rFonts w:hint="cs"/>
          <w:rtl/>
          <w:lang w:val="fr-CH"/>
        </w:rPr>
        <w:t>صاحبة</w:t>
      </w:r>
      <w:r w:rsidRPr="00322426">
        <w:rPr>
          <w:rtl/>
          <w:lang w:val="fr-CH"/>
        </w:rPr>
        <w:t xml:space="preserve"> الشكوى إلى تركيا لن يشك</w:t>
      </w:r>
      <w:r w:rsidR="00AD3FDC">
        <w:rPr>
          <w:rtl/>
          <w:lang w:val="fr-CH"/>
        </w:rPr>
        <w:t>ل انتهاكا</w:t>
      </w:r>
      <w:r w:rsidR="0020469C">
        <w:rPr>
          <w:rFonts w:hint="cs"/>
          <w:rtl/>
          <w:lang w:val="fr-CH"/>
        </w:rPr>
        <w:t>ً</w:t>
      </w:r>
      <w:r w:rsidR="00AD3FDC">
        <w:rPr>
          <w:rtl/>
          <w:lang w:val="fr-CH"/>
        </w:rPr>
        <w:t xml:space="preserve"> للمادة 3 من الاتفاقية</w:t>
      </w:r>
      <w:r w:rsidRPr="00322426">
        <w:rPr>
          <w:rtl/>
          <w:lang w:val="fr-CH"/>
        </w:rPr>
        <w:t xml:space="preserve">. </w:t>
      </w:r>
      <w:r>
        <w:rPr>
          <w:rFonts w:hint="cs"/>
          <w:rtl/>
          <w:lang w:val="fr-CH"/>
        </w:rPr>
        <w:t xml:space="preserve">وأرفق </w:t>
      </w:r>
      <w:r w:rsidRPr="00322426">
        <w:rPr>
          <w:rtl/>
          <w:lang w:val="fr-CH"/>
        </w:rPr>
        <w:t>أحد أعضاء اللجنة رأيا</w:t>
      </w:r>
      <w:r w:rsidR="0020469C">
        <w:rPr>
          <w:rFonts w:hint="cs"/>
          <w:rtl/>
          <w:lang w:val="fr-CH"/>
        </w:rPr>
        <w:t>ً</w:t>
      </w:r>
      <w:r w:rsidRPr="00322426">
        <w:rPr>
          <w:rtl/>
          <w:lang w:val="fr-CH"/>
        </w:rPr>
        <w:t xml:space="preserve"> شخصيا</w:t>
      </w:r>
      <w:r w:rsidR="0020469C">
        <w:rPr>
          <w:rFonts w:hint="cs"/>
          <w:rtl/>
          <w:lang w:val="fr-CH"/>
        </w:rPr>
        <w:t>ً</w:t>
      </w:r>
      <w:r w:rsidRPr="00322426">
        <w:rPr>
          <w:rtl/>
          <w:lang w:val="fr-CH"/>
        </w:rPr>
        <w:t>.</w:t>
      </w:r>
    </w:p>
    <w:p w:rsidR="00F72BDC" w:rsidRPr="00D969E7" w:rsidRDefault="00F72BDC" w:rsidP="00AD3FDC">
      <w:pPr>
        <w:pStyle w:val="SingleTxtGA"/>
        <w:rPr>
          <w:spacing w:val="-2"/>
          <w:rtl/>
          <w:lang w:val="fr-CH"/>
        </w:rPr>
      </w:pPr>
      <w:r w:rsidRPr="00D969E7">
        <w:rPr>
          <w:spacing w:val="-2"/>
          <w:rtl/>
          <w:lang w:val="fr-CH"/>
        </w:rPr>
        <w:t>132</w:t>
      </w:r>
      <w:r w:rsidR="00D969E7" w:rsidRPr="00D969E7">
        <w:rPr>
          <w:rFonts w:hint="cs"/>
          <w:spacing w:val="-2"/>
          <w:rtl/>
          <w:lang w:val="fr-CH"/>
        </w:rPr>
        <w:t>-</w:t>
      </w:r>
      <w:r w:rsidR="00D969E7" w:rsidRPr="00D969E7">
        <w:rPr>
          <w:rFonts w:hint="cs"/>
          <w:spacing w:val="-2"/>
          <w:rtl/>
          <w:lang w:val="fr-CH"/>
        </w:rPr>
        <w:tab/>
      </w:r>
      <w:r w:rsidRPr="00D969E7">
        <w:rPr>
          <w:rFonts w:hint="cs"/>
          <w:spacing w:val="-2"/>
          <w:rtl/>
          <w:lang w:val="fr-CH"/>
        </w:rPr>
        <w:t xml:space="preserve">ويتعلق </w:t>
      </w:r>
      <w:r w:rsidRPr="00D969E7">
        <w:rPr>
          <w:spacing w:val="-2"/>
          <w:rtl/>
          <w:lang w:val="fr-CH"/>
        </w:rPr>
        <w:t xml:space="preserve">البلاغ رقم </w:t>
      </w:r>
      <w:r w:rsidRPr="00D969E7">
        <w:rPr>
          <w:rFonts w:hint="cs"/>
          <w:spacing w:val="-2"/>
          <w:rtl/>
          <w:lang w:val="fr-CH"/>
        </w:rPr>
        <w:t xml:space="preserve">439/2010 </w:t>
      </w:r>
      <w:r w:rsidRPr="00D969E7">
        <w:rPr>
          <w:rFonts w:hint="cs"/>
          <w:i/>
          <w:iCs/>
          <w:spacing w:val="-2"/>
          <w:rtl/>
          <w:lang w:val="fr-CH"/>
        </w:rPr>
        <w:t>(م. ب.</w:t>
      </w:r>
      <w:r w:rsidRPr="00D969E7">
        <w:rPr>
          <w:i/>
          <w:iCs/>
          <w:spacing w:val="-2"/>
          <w:rtl/>
          <w:lang w:val="fr-CH"/>
        </w:rPr>
        <w:t xml:space="preserve"> ضد سويسرا)</w:t>
      </w:r>
      <w:r w:rsidRPr="00D969E7">
        <w:rPr>
          <w:spacing w:val="-2"/>
          <w:rtl/>
          <w:lang w:val="fr-CH"/>
        </w:rPr>
        <w:t xml:space="preserve"> </w:t>
      </w:r>
      <w:r w:rsidRPr="00D969E7">
        <w:rPr>
          <w:rFonts w:hint="cs"/>
          <w:spacing w:val="-2"/>
          <w:rtl/>
          <w:lang w:val="fr-CH"/>
        </w:rPr>
        <w:t>ب</w:t>
      </w:r>
      <w:r w:rsidRPr="00D969E7">
        <w:rPr>
          <w:spacing w:val="-2"/>
          <w:rtl/>
          <w:lang w:val="fr-CH"/>
        </w:rPr>
        <w:t>مواطن إيراني رفض</w:t>
      </w:r>
      <w:r w:rsidRPr="00D969E7">
        <w:rPr>
          <w:rFonts w:hint="cs"/>
          <w:spacing w:val="-2"/>
          <w:rtl/>
          <w:lang w:val="fr-CH"/>
        </w:rPr>
        <w:t xml:space="preserve">ت </w:t>
      </w:r>
      <w:r w:rsidRPr="00D969E7">
        <w:rPr>
          <w:spacing w:val="-2"/>
          <w:rtl/>
          <w:lang w:val="fr-CH"/>
        </w:rPr>
        <w:t>السلطات السويسرية</w:t>
      </w:r>
      <w:r w:rsidRPr="00D969E7">
        <w:rPr>
          <w:rFonts w:hint="cs"/>
          <w:spacing w:val="-2"/>
          <w:rtl/>
          <w:lang w:val="fr-CH"/>
        </w:rPr>
        <w:t xml:space="preserve"> طلب لجوئه</w:t>
      </w:r>
      <w:r w:rsidRPr="00D969E7">
        <w:rPr>
          <w:spacing w:val="-2"/>
          <w:rtl/>
          <w:lang w:val="fr-CH"/>
        </w:rPr>
        <w:t xml:space="preserve"> و</w:t>
      </w:r>
      <w:r w:rsidRPr="00D969E7">
        <w:rPr>
          <w:rFonts w:hint="cs"/>
          <w:spacing w:val="-2"/>
          <w:rtl/>
          <w:lang w:val="fr-CH"/>
        </w:rPr>
        <w:t xml:space="preserve">يدعي أنه سيتعرض </w:t>
      </w:r>
      <w:r w:rsidRPr="00D969E7">
        <w:rPr>
          <w:spacing w:val="-2"/>
          <w:rtl/>
          <w:lang w:val="fr-CH"/>
        </w:rPr>
        <w:t xml:space="preserve">في جمهورية إيران الإسلامية </w:t>
      </w:r>
      <w:r w:rsidRPr="00D969E7">
        <w:rPr>
          <w:rFonts w:hint="cs"/>
          <w:spacing w:val="-2"/>
          <w:rtl/>
          <w:lang w:val="fr-CH"/>
        </w:rPr>
        <w:t>ل</w:t>
      </w:r>
      <w:r w:rsidRPr="00D969E7">
        <w:rPr>
          <w:spacing w:val="-2"/>
          <w:rtl/>
          <w:lang w:val="fr-CH"/>
        </w:rPr>
        <w:t>لتعذيب في جملة أمور بسبب</w:t>
      </w:r>
      <w:r w:rsidRPr="00D969E7">
        <w:rPr>
          <w:rFonts w:hint="cs"/>
          <w:spacing w:val="-2"/>
          <w:rtl/>
          <w:lang w:val="fr-CH"/>
        </w:rPr>
        <w:t xml:space="preserve"> أصله</w:t>
      </w:r>
      <w:r w:rsidRPr="00D969E7">
        <w:rPr>
          <w:spacing w:val="-2"/>
          <w:rtl/>
          <w:lang w:val="fr-CH"/>
        </w:rPr>
        <w:t xml:space="preserve"> العربي؛ لأن واحد</w:t>
      </w:r>
      <w:r w:rsidRPr="00D969E7">
        <w:rPr>
          <w:rFonts w:hint="cs"/>
          <w:spacing w:val="-2"/>
          <w:rtl/>
          <w:lang w:val="fr-CH"/>
        </w:rPr>
        <w:t>ا</w:t>
      </w:r>
      <w:r w:rsidR="00A94BC6">
        <w:rPr>
          <w:rFonts w:hint="cs"/>
          <w:spacing w:val="-2"/>
          <w:rtl/>
          <w:lang w:val="fr-CH"/>
        </w:rPr>
        <w:t>ً</w:t>
      </w:r>
      <w:r w:rsidRPr="00D969E7">
        <w:rPr>
          <w:spacing w:val="-2"/>
          <w:rtl/>
          <w:lang w:val="fr-CH"/>
        </w:rPr>
        <w:t xml:space="preserve"> من أقربائه </w:t>
      </w:r>
      <w:r w:rsidR="00AD3FDC">
        <w:rPr>
          <w:spacing w:val="-2"/>
          <w:rtl/>
          <w:lang w:val="fr-CH"/>
        </w:rPr>
        <w:t>ناشط في حزب سياسي مؤيد للعرب، و</w:t>
      </w:r>
      <w:r w:rsidRPr="00D969E7">
        <w:rPr>
          <w:rFonts w:hint="cs"/>
          <w:spacing w:val="-2"/>
          <w:rtl/>
          <w:lang w:val="fr-CH"/>
        </w:rPr>
        <w:t>ل</w:t>
      </w:r>
      <w:r w:rsidRPr="00D969E7">
        <w:rPr>
          <w:spacing w:val="-2"/>
          <w:rtl/>
          <w:lang w:val="fr-CH"/>
        </w:rPr>
        <w:t>أنه شارك في مظاهرة أمام السفارة الإيرانية في برن. و</w:t>
      </w:r>
      <w:r w:rsidRPr="00D969E7">
        <w:rPr>
          <w:rFonts w:hint="cs"/>
          <w:spacing w:val="-2"/>
          <w:rtl/>
          <w:lang w:val="fr-CH"/>
        </w:rPr>
        <w:t>ي</w:t>
      </w:r>
      <w:r w:rsidRPr="00D969E7">
        <w:rPr>
          <w:spacing w:val="-2"/>
          <w:rtl/>
          <w:lang w:val="fr-CH"/>
        </w:rPr>
        <w:t>دعى أن إعادته قسرا</w:t>
      </w:r>
      <w:r w:rsidR="00A94BC6">
        <w:rPr>
          <w:rFonts w:hint="cs"/>
          <w:spacing w:val="-2"/>
          <w:rtl/>
          <w:lang w:val="fr-CH"/>
        </w:rPr>
        <w:t>ً</w:t>
      </w:r>
      <w:r w:rsidRPr="00D969E7">
        <w:rPr>
          <w:spacing w:val="-2"/>
          <w:rtl/>
          <w:lang w:val="fr-CH"/>
        </w:rPr>
        <w:t xml:space="preserve"> إلى جمهورية إيران الإسلامية س</w:t>
      </w:r>
      <w:r w:rsidRPr="00D969E7">
        <w:rPr>
          <w:rFonts w:hint="cs"/>
          <w:spacing w:val="-2"/>
          <w:rtl/>
          <w:lang w:val="fr-CH"/>
        </w:rPr>
        <w:t xml:space="preserve">تشكل </w:t>
      </w:r>
      <w:r w:rsidRPr="00D969E7">
        <w:rPr>
          <w:spacing w:val="-2"/>
          <w:rtl/>
          <w:lang w:val="fr-CH"/>
        </w:rPr>
        <w:t>انتهاكا</w:t>
      </w:r>
      <w:r w:rsidR="00D969E7" w:rsidRPr="00D969E7">
        <w:rPr>
          <w:rFonts w:hint="cs"/>
          <w:spacing w:val="-2"/>
          <w:rtl/>
          <w:lang w:val="fr-CH"/>
        </w:rPr>
        <w:t>ً</w:t>
      </w:r>
      <w:r w:rsidRPr="00D969E7">
        <w:rPr>
          <w:spacing w:val="-2"/>
          <w:rtl/>
          <w:lang w:val="fr-CH"/>
        </w:rPr>
        <w:t xml:space="preserve"> للمادة 3 من الاتفاقية. </w:t>
      </w:r>
      <w:r w:rsidRPr="00D969E7">
        <w:rPr>
          <w:rFonts w:hint="cs"/>
          <w:spacing w:val="-2"/>
          <w:rtl/>
          <w:lang w:val="fr-CH"/>
        </w:rPr>
        <w:t>و</w:t>
      </w:r>
      <w:r w:rsidRPr="00D969E7">
        <w:rPr>
          <w:spacing w:val="-2"/>
          <w:rtl/>
          <w:lang w:val="fr-CH"/>
        </w:rPr>
        <w:t xml:space="preserve">لاحظت اللجنة أن الحالة العامة لحقوق الإنسان في جمهورية إيران الإسلامية </w:t>
      </w:r>
      <w:r w:rsidRPr="00D969E7">
        <w:rPr>
          <w:rFonts w:hint="cs"/>
          <w:spacing w:val="-2"/>
          <w:rtl/>
          <w:lang w:val="fr-CH"/>
        </w:rPr>
        <w:t>قد تعد</w:t>
      </w:r>
      <w:r w:rsidRPr="00D969E7">
        <w:rPr>
          <w:spacing w:val="-2"/>
          <w:rtl/>
          <w:lang w:val="fr-CH"/>
        </w:rPr>
        <w:t xml:space="preserve"> إشكالية في كثير من الجوانب، إلا</w:t>
      </w:r>
      <w:r w:rsidR="00D969E7" w:rsidRPr="00D969E7">
        <w:rPr>
          <w:rFonts w:hint="cs"/>
          <w:spacing w:val="-2"/>
          <w:rtl/>
          <w:lang w:val="fr-CH"/>
        </w:rPr>
        <w:t> </w:t>
      </w:r>
      <w:r w:rsidRPr="00D969E7">
        <w:rPr>
          <w:spacing w:val="-2"/>
          <w:rtl/>
          <w:lang w:val="fr-CH"/>
        </w:rPr>
        <w:t xml:space="preserve">أن صاحب الشكوى لم </w:t>
      </w:r>
      <w:r w:rsidRPr="00D969E7">
        <w:rPr>
          <w:rFonts w:hint="cs"/>
          <w:spacing w:val="-2"/>
          <w:rtl/>
          <w:lang w:val="fr-CH"/>
        </w:rPr>
        <w:t>ي</w:t>
      </w:r>
      <w:r w:rsidRPr="00D969E7">
        <w:rPr>
          <w:spacing w:val="-2"/>
          <w:rtl/>
          <w:lang w:val="fr-CH"/>
        </w:rPr>
        <w:t xml:space="preserve">تعرض للتعذيب هناك في الماضي، لا بسبب </w:t>
      </w:r>
      <w:r w:rsidRPr="00D969E7">
        <w:rPr>
          <w:rFonts w:hint="cs"/>
          <w:spacing w:val="-2"/>
          <w:rtl/>
          <w:lang w:val="fr-CH"/>
        </w:rPr>
        <w:t xml:space="preserve">أصله العرقي </w:t>
      </w:r>
      <w:r w:rsidRPr="00D969E7">
        <w:rPr>
          <w:spacing w:val="-2"/>
          <w:rtl/>
          <w:lang w:val="fr-CH"/>
        </w:rPr>
        <w:t>ولا</w:t>
      </w:r>
      <w:r w:rsidR="00D969E7" w:rsidRPr="00D969E7">
        <w:rPr>
          <w:rFonts w:hint="cs"/>
          <w:spacing w:val="-2"/>
          <w:rtl/>
          <w:lang w:val="fr-CH"/>
        </w:rPr>
        <w:t> </w:t>
      </w:r>
      <w:r w:rsidRPr="00D969E7">
        <w:rPr>
          <w:spacing w:val="-2"/>
          <w:rtl/>
          <w:lang w:val="fr-CH"/>
        </w:rPr>
        <w:t>لأسباب أخرى. ولاحظت أيضا</w:t>
      </w:r>
      <w:r w:rsidR="00D75706">
        <w:rPr>
          <w:rFonts w:hint="cs"/>
          <w:spacing w:val="-2"/>
          <w:rtl/>
          <w:lang w:val="fr-CH"/>
        </w:rPr>
        <w:t>ً</w:t>
      </w:r>
      <w:r w:rsidRPr="00D969E7">
        <w:rPr>
          <w:spacing w:val="-2"/>
          <w:rtl/>
          <w:lang w:val="fr-CH"/>
        </w:rPr>
        <w:t xml:space="preserve"> أن </w:t>
      </w:r>
      <w:r w:rsidRPr="00D969E7">
        <w:rPr>
          <w:rFonts w:hint="cs"/>
          <w:spacing w:val="-2"/>
          <w:rtl/>
          <w:lang w:val="fr-CH"/>
        </w:rPr>
        <w:t>صاحب</w:t>
      </w:r>
      <w:r w:rsidRPr="00D969E7">
        <w:rPr>
          <w:spacing w:val="-2"/>
          <w:rtl/>
          <w:lang w:val="fr-CH"/>
        </w:rPr>
        <w:t xml:space="preserve"> الشكوى </w:t>
      </w:r>
      <w:r w:rsidRPr="00D969E7">
        <w:rPr>
          <w:rFonts w:hint="cs"/>
          <w:spacing w:val="-2"/>
          <w:rtl/>
          <w:lang w:val="fr-CH"/>
        </w:rPr>
        <w:t xml:space="preserve">لم يقدم </w:t>
      </w:r>
      <w:r w:rsidRPr="00D969E7">
        <w:rPr>
          <w:spacing w:val="-2"/>
          <w:rtl/>
          <w:lang w:val="fr-CH"/>
        </w:rPr>
        <w:t xml:space="preserve">أي دليل </w:t>
      </w:r>
      <w:r w:rsidRPr="00D969E7">
        <w:rPr>
          <w:rFonts w:hint="cs"/>
          <w:spacing w:val="-2"/>
          <w:rtl/>
          <w:lang w:val="fr-CH"/>
        </w:rPr>
        <w:t>ل</w:t>
      </w:r>
      <w:r w:rsidRPr="00D969E7">
        <w:rPr>
          <w:spacing w:val="-2"/>
          <w:rtl/>
          <w:lang w:val="fr-CH"/>
        </w:rPr>
        <w:t xml:space="preserve">إثبات ادعائه بأن أسرته تعرضت للاضطهاد في جمهورية إيران الإسلامية بسبب أنشطة سياسية </w:t>
      </w:r>
      <w:r w:rsidRPr="00D969E7">
        <w:rPr>
          <w:rFonts w:hint="cs"/>
          <w:spacing w:val="-2"/>
          <w:rtl/>
          <w:lang w:val="fr-CH"/>
        </w:rPr>
        <w:t>ل</w:t>
      </w:r>
      <w:r w:rsidRPr="00D969E7">
        <w:rPr>
          <w:spacing w:val="-2"/>
          <w:rtl/>
          <w:lang w:val="fr-CH"/>
        </w:rPr>
        <w:t>أحد أقاربه، وأنه لم</w:t>
      </w:r>
      <w:r w:rsidR="00AD3FDC">
        <w:rPr>
          <w:rFonts w:hint="cs"/>
          <w:spacing w:val="-2"/>
          <w:rtl/>
          <w:lang w:val="fr-CH"/>
        </w:rPr>
        <w:t> </w:t>
      </w:r>
      <w:r w:rsidRPr="00D969E7">
        <w:rPr>
          <w:spacing w:val="-2"/>
          <w:rtl/>
          <w:lang w:val="fr-CH"/>
        </w:rPr>
        <w:t>يكن نفسه ناشطا</w:t>
      </w:r>
      <w:r w:rsidR="00D969E7" w:rsidRPr="00D969E7">
        <w:rPr>
          <w:rFonts w:hint="cs"/>
          <w:spacing w:val="-2"/>
          <w:rtl/>
          <w:lang w:val="fr-CH"/>
        </w:rPr>
        <w:t>ً</w:t>
      </w:r>
      <w:r w:rsidRPr="00D969E7">
        <w:rPr>
          <w:spacing w:val="-2"/>
          <w:rtl/>
          <w:lang w:val="fr-CH"/>
        </w:rPr>
        <w:t xml:space="preserve"> سياسيا</w:t>
      </w:r>
      <w:r w:rsidR="00D969E7" w:rsidRPr="00D969E7">
        <w:rPr>
          <w:rFonts w:hint="cs"/>
          <w:spacing w:val="-2"/>
          <w:rtl/>
          <w:lang w:val="fr-CH"/>
        </w:rPr>
        <w:t>ً</w:t>
      </w:r>
      <w:r w:rsidRPr="00D969E7">
        <w:rPr>
          <w:rFonts w:hint="cs"/>
          <w:spacing w:val="-2"/>
          <w:rtl/>
          <w:lang w:val="fr-CH"/>
        </w:rPr>
        <w:t xml:space="preserve"> قط</w:t>
      </w:r>
      <w:r w:rsidRPr="00D969E7">
        <w:rPr>
          <w:spacing w:val="-2"/>
          <w:rtl/>
          <w:lang w:val="fr-CH"/>
        </w:rPr>
        <w:t xml:space="preserve"> في جمهورية</w:t>
      </w:r>
      <w:r w:rsidRPr="00D969E7">
        <w:rPr>
          <w:rFonts w:hint="cs"/>
          <w:spacing w:val="-2"/>
          <w:rtl/>
          <w:lang w:val="fr-CH"/>
        </w:rPr>
        <w:t xml:space="preserve"> إيران</w:t>
      </w:r>
      <w:r w:rsidRPr="00D969E7">
        <w:rPr>
          <w:spacing w:val="-2"/>
          <w:rtl/>
          <w:lang w:val="fr-CH"/>
        </w:rPr>
        <w:t xml:space="preserve"> الإسلامية. </w:t>
      </w:r>
      <w:r w:rsidRPr="00D969E7">
        <w:rPr>
          <w:rFonts w:hint="cs"/>
          <w:spacing w:val="-2"/>
          <w:rtl/>
          <w:lang w:val="fr-CH"/>
        </w:rPr>
        <w:t>ورأت</w:t>
      </w:r>
      <w:r w:rsidRPr="00D969E7">
        <w:rPr>
          <w:spacing w:val="-2"/>
          <w:rtl/>
          <w:lang w:val="fr-CH"/>
        </w:rPr>
        <w:t xml:space="preserve"> اللجنة كذلك أن مشاركة صاحب الشكوى، في مناسبة واحدة، في </w:t>
      </w:r>
      <w:r w:rsidRPr="00D969E7">
        <w:rPr>
          <w:rFonts w:hint="cs"/>
          <w:spacing w:val="-2"/>
          <w:rtl/>
          <w:lang w:val="fr-CH"/>
        </w:rPr>
        <w:t>م</w:t>
      </w:r>
      <w:r w:rsidRPr="00D969E7">
        <w:rPr>
          <w:spacing w:val="-2"/>
          <w:rtl/>
          <w:lang w:val="fr-CH"/>
        </w:rPr>
        <w:t>ظاهرة أمام السفارة الإيرانية في برن، جنبا</w:t>
      </w:r>
      <w:r w:rsidR="00D969E7" w:rsidRPr="00D969E7">
        <w:rPr>
          <w:rFonts w:hint="cs"/>
          <w:spacing w:val="-2"/>
          <w:rtl/>
          <w:lang w:val="fr-CH"/>
        </w:rPr>
        <w:t>ً</w:t>
      </w:r>
      <w:r w:rsidRPr="00D969E7">
        <w:rPr>
          <w:spacing w:val="-2"/>
          <w:rtl/>
          <w:lang w:val="fr-CH"/>
        </w:rPr>
        <w:t xml:space="preserve"> إلى جنب مع العديد من الأفراد الآخرين، في غياب عناصر أخرى، </w:t>
      </w:r>
      <w:r w:rsidRPr="00D969E7">
        <w:rPr>
          <w:rFonts w:hint="cs"/>
          <w:spacing w:val="-2"/>
          <w:rtl/>
          <w:lang w:val="fr-CH"/>
        </w:rPr>
        <w:t>ليس</w:t>
      </w:r>
      <w:r w:rsidRPr="00D969E7">
        <w:rPr>
          <w:spacing w:val="-2"/>
          <w:rtl/>
          <w:lang w:val="fr-CH"/>
        </w:rPr>
        <w:t xml:space="preserve"> كافيا</w:t>
      </w:r>
      <w:r w:rsidR="00D969E7" w:rsidRPr="00D969E7">
        <w:rPr>
          <w:rFonts w:hint="cs"/>
          <w:spacing w:val="-2"/>
          <w:rtl/>
          <w:lang w:val="fr-CH"/>
        </w:rPr>
        <w:t>ً</w:t>
      </w:r>
      <w:r w:rsidRPr="00D969E7">
        <w:rPr>
          <w:spacing w:val="-2"/>
          <w:rtl/>
          <w:lang w:val="fr-CH"/>
        </w:rPr>
        <w:t xml:space="preserve"> لاعتبار أن </w:t>
      </w:r>
      <w:r w:rsidRPr="00D969E7">
        <w:rPr>
          <w:rFonts w:hint="cs"/>
          <w:spacing w:val="-2"/>
          <w:rtl/>
          <w:lang w:val="fr-CH"/>
        </w:rPr>
        <w:t>صاحب</w:t>
      </w:r>
      <w:r w:rsidRPr="00D969E7">
        <w:rPr>
          <w:spacing w:val="-2"/>
          <w:rtl/>
          <w:lang w:val="fr-CH"/>
        </w:rPr>
        <w:t xml:space="preserve"> الشكوى </w:t>
      </w:r>
      <w:r w:rsidRPr="00D969E7">
        <w:rPr>
          <w:rFonts w:hint="cs"/>
          <w:spacing w:val="-2"/>
          <w:rtl/>
          <w:lang w:val="fr-CH"/>
        </w:rPr>
        <w:t>سيتعرض</w:t>
      </w:r>
      <w:r w:rsidRPr="00D969E7">
        <w:rPr>
          <w:spacing w:val="-2"/>
          <w:rtl/>
          <w:lang w:val="fr-CH"/>
        </w:rPr>
        <w:t xml:space="preserve"> للاض</w:t>
      </w:r>
      <w:r w:rsidR="00AD3FDC">
        <w:rPr>
          <w:spacing w:val="-2"/>
          <w:rtl/>
          <w:lang w:val="fr-CH"/>
        </w:rPr>
        <w:t>طهاد في جمهورية إيران الإسلامية</w:t>
      </w:r>
      <w:r w:rsidRPr="00D969E7">
        <w:rPr>
          <w:spacing w:val="-2"/>
          <w:rtl/>
          <w:lang w:val="fr-CH"/>
        </w:rPr>
        <w:t xml:space="preserve">. </w:t>
      </w:r>
      <w:r w:rsidRPr="00D969E7">
        <w:rPr>
          <w:rFonts w:hint="cs"/>
          <w:spacing w:val="-2"/>
          <w:rtl/>
          <w:lang w:val="fr-CH"/>
        </w:rPr>
        <w:t>و</w:t>
      </w:r>
      <w:r w:rsidRPr="00D969E7">
        <w:rPr>
          <w:spacing w:val="-2"/>
          <w:rtl/>
          <w:lang w:val="fr-CH"/>
        </w:rPr>
        <w:t xml:space="preserve">في ضوء ذلك، خلصت اللجنة إلى أن ترحيل </w:t>
      </w:r>
      <w:r w:rsidRPr="00D969E7">
        <w:rPr>
          <w:rFonts w:hint="cs"/>
          <w:spacing w:val="-2"/>
          <w:rtl/>
          <w:lang w:val="fr-CH"/>
        </w:rPr>
        <w:t>صاحب</w:t>
      </w:r>
      <w:r w:rsidRPr="00D969E7">
        <w:rPr>
          <w:spacing w:val="-2"/>
          <w:rtl/>
          <w:lang w:val="fr-CH"/>
        </w:rPr>
        <w:t xml:space="preserve"> الشكوى إلى بلده الأصلي لن يشكل انتهاكا</w:t>
      </w:r>
      <w:r w:rsidR="00D969E7" w:rsidRPr="00D969E7">
        <w:rPr>
          <w:rFonts w:hint="cs"/>
          <w:spacing w:val="-2"/>
          <w:rtl/>
          <w:lang w:val="fr-CH"/>
        </w:rPr>
        <w:t>ً</w:t>
      </w:r>
      <w:r w:rsidRPr="00D969E7">
        <w:rPr>
          <w:spacing w:val="-2"/>
          <w:rtl/>
          <w:lang w:val="fr-CH"/>
        </w:rPr>
        <w:t xml:space="preserve"> للمادة 3 من الاتفاقية.</w:t>
      </w:r>
    </w:p>
    <w:p w:rsidR="00F72BDC" w:rsidRPr="00322426" w:rsidRDefault="00F72BDC" w:rsidP="00D969E7">
      <w:pPr>
        <w:pStyle w:val="SingleTxtGA"/>
        <w:rPr>
          <w:rtl/>
          <w:lang w:val="fr-CH"/>
        </w:rPr>
      </w:pPr>
      <w:r w:rsidRPr="00322426">
        <w:rPr>
          <w:rtl/>
          <w:lang w:val="fr-CH"/>
        </w:rPr>
        <w:t>133</w:t>
      </w:r>
      <w:r w:rsidR="00D969E7">
        <w:rPr>
          <w:rFonts w:hint="cs"/>
          <w:rtl/>
          <w:lang w:val="fr-CH"/>
        </w:rPr>
        <w:t>-</w:t>
      </w:r>
      <w:r w:rsidR="00D969E7">
        <w:rPr>
          <w:rFonts w:hint="cs"/>
          <w:rtl/>
          <w:lang w:val="fr-CH"/>
        </w:rPr>
        <w:tab/>
      </w:r>
      <w:r>
        <w:rPr>
          <w:rFonts w:hint="cs"/>
          <w:rtl/>
          <w:lang w:val="fr-CH"/>
        </w:rPr>
        <w:t xml:space="preserve">ويتعلق </w:t>
      </w:r>
      <w:r w:rsidRPr="00322426">
        <w:rPr>
          <w:rtl/>
          <w:lang w:val="fr-CH"/>
        </w:rPr>
        <w:t xml:space="preserve">البلاغ رقم </w:t>
      </w:r>
      <w:r w:rsidRPr="00322426">
        <w:rPr>
          <w:rFonts w:hint="cs"/>
          <w:rtl/>
          <w:lang w:val="fr-CH"/>
        </w:rPr>
        <w:t xml:space="preserve">467/2011 </w:t>
      </w:r>
      <w:r w:rsidRPr="00D969E7">
        <w:rPr>
          <w:rFonts w:hint="cs"/>
          <w:i/>
          <w:iCs/>
          <w:rtl/>
          <w:lang w:val="fr-CH"/>
        </w:rPr>
        <w:t xml:space="preserve">(ص. ب. ف. </w:t>
      </w:r>
      <w:r w:rsidRPr="00D969E7">
        <w:rPr>
          <w:i/>
          <w:iCs/>
          <w:rtl/>
          <w:lang w:val="fr-CH"/>
        </w:rPr>
        <w:t>وآخرون ضد سويسرا)</w:t>
      </w:r>
      <w:r w:rsidRPr="00322426">
        <w:rPr>
          <w:rtl/>
          <w:lang w:val="fr-CH"/>
        </w:rPr>
        <w:t xml:space="preserve"> </w:t>
      </w:r>
      <w:r>
        <w:rPr>
          <w:rFonts w:hint="cs"/>
          <w:rtl/>
          <w:lang w:val="fr-CH"/>
        </w:rPr>
        <w:t>ب</w:t>
      </w:r>
      <w:r w:rsidR="00D969E7">
        <w:rPr>
          <w:rtl/>
          <w:lang w:val="fr-CH"/>
        </w:rPr>
        <w:t>فرد (</w:t>
      </w:r>
      <w:r>
        <w:rPr>
          <w:rFonts w:hint="cs"/>
          <w:rtl/>
          <w:lang w:val="fr-CH"/>
        </w:rPr>
        <w:t>صاحب الشكوى</w:t>
      </w:r>
      <w:r w:rsidRPr="00322426">
        <w:rPr>
          <w:rtl/>
          <w:lang w:val="fr-CH"/>
        </w:rPr>
        <w:t xml:space="preserve"> الأول)، وزوجته وابنه، وجميع</w:t>
      </w:r>
      <w:r>
        <w:rPr>
          <w:rFonts w:hint="cs"/>
          <w:rtl/>
          <w:lang w:val="fr-CH"/>
        </w:rPr>
        <w:t xml:space="preserve">هم </w:t>
      </w:r>
      <w:r w:rsidRPr="00322426">
        <w:rPr>
          <w:rtl/>
          <w:lang w:val="fr-CH"/>
        </w:rPr>
        <w:t>مواطن</w:t>
      </w:r>
      <w:r>
        <w:rPr>
          <w:rFonts w:hint="cs"/>
          <w:rtl/>
          <w:lang w:val="fr-CH"/>
        </w:rPr>
        <w:t>و</w:t>
      </w:r>
      <w:r w:rsidRPr="00322426">
        <w:rPr>
          <w:rtl/>
          <w:lang w:val="fr-CH"/>
        </w:rPr>
        <w:t>ن يمني</w:t>
      </w:r>
      <w:r>
        <w:rPr>
          <w:rFonts w:hint="cs"/>
          <w:rtl/>
          <w:lang w:val="fr-CH"/>
        </w:rPr>
        <w:t>و</w:t>
      </w:r>
      <w:r w:rsidRPr="00322426">
        <w:rPr>
          <w:rtl/>
          <w:lang w:val="fr-CH"/>
        </w:rPr>
        <w:t>ن</w:t>
      </w:r>
      <w:r>
        <w:rPr>
          <w:rtl/>
          <w:lang w:val="fr-CH"/>
        </w:rPr>
        <w:t>،</w:t>
      </w:r>
      <w:r w:rsidRPr="00322426">
        <w:rPr>
          <w:rtl/>
          <w:lang w:val="fr-CH"/>
        </w:rPr>
        <w:t xml:space="preserve"> </w:t>
      </w:r>
      <w:r>
        <w:rPr>
          <w:rFonts w:hint="cs"/>
          <w:rtl/>
          <w:lang w:val="fr-CH"/>
        </w:rPr>
        <w:t xml:space="preserve">يدعون </w:t>
      </w:r>
      <w:r w:rsidRPr="00322426">
        <w:rPr>
          <w:rtl/>
          <w:lang w:val="fr-CH"/>
        </w:rPr>
        <w:t xml:space="preserve">أن ترحيلهم إلى اليمن </w:t>
      </w:r>
      <w:r>
        <w:rPr>
          <w:rFonts w:hint="cs"/>
          <w:rtl/>
          <w:lang w:val="fr-CH"/>
        </w:rPr>
        <w:t>س</w:t>
      </w:r>
      <w:r w:rsidRPr="00322426">
        <w:rPr>
          <w:rtl/>
          <w:lang w:val="fr-CH"/>
        </w:rPr>
        <w:t>يشكل انتهاكا</w:t>
      </w:r>
      <w:r w:rsidR="00A94BC6">
        <w:rPr>
          <w:rFonts w:hint="cs"/>
          <w:rtl/>
          <w:lang w:val="fr-CH"/>
        </w:rPr>
        <w:t>ً</w:t>
      </w:r>
      <w:r w:rsidRPr="00322426">
        <w:rPr>
          <w:rtl/>
          <w:lang w:val="fr-CH"/>
        </w:rPr>
        <w:t xml:space="preserve"> للمادة 3 من الاتفاقية</w:t>
      </w:r>
      <w:r>
        <w:rPr>
          <w:rtl/>
          <w:lang w:val="fr-CH"/>
        </w:rPr>
        <w:t>،</w:t>
      </w:r>
      <w:r w:rsidRPr="00322426">
        <w:rPr>
          <w:rtl/>
          <w:lang w:val="fr-CH"/>
        </w:rPr>
        <w:t xml:space="preserve"> نظرا</w:t>
      </w:r>
      <w:r w:rsidR="00D969E7">
        <w:rPr>
          <w:rFonts w:hint="cs"/>
          <w:rtl/>
          <w:lang w:val="fr-CH"/>
        </w:rPr>
        <w:t>ً</w:t>
      </w:r>
      <w:r>
        <w:rPr>
          <w:rFonts w:hint="cs"/>
          <w:rtl/>
          <w:lang w:val="fr-CH"/>
        </w:rPr>
        <w:t xml:space="preserve"> إلى</w:t>
      </w:r>
      <w:r w:rsidRPr="00322426">
        <w:rPr>
          <w:rtl/>
          <w:lang w:val="fr-CH"/>
        </w:rPr>
        <w:t xml:space="preserve">: (أ) مشاركة </w:t>
      </w:r>
      <w:r>
        <w:rPr>
          <w:rFonts w:hint="cs"/>
          <w:rtl/>
          <w:lang w:val="fr-CH"/>
        </w:rPr>
        <w:t>صاحب</w:t>
      </w:r>
      <w:r>
        <w:rPr>
          <w:rtl/>
          <w:lang w:val="fr-CH"/>
        </w:rPr>
        <w:t xml:space="preserve"> الشكوى الأو</w:t>
      </w:r>
      <w:r>
        <w:rPr>
          <w:rFonts w:hint="cs"/>
          <w:rtl/>
          <w:lang w:val="fr-CH"/>
        </w:rPr>
        <w:t>ل</w:t>
      </w:r>
      <w:r w:rsidRPr="00322426">
        <w:rPr>
          <w:rtl/>
          <w:lang w:val="fr-CH"/>
        </w:rPr>
        <w:t xml:space="preserve"> في اليمن في </w:t>
      </w:r>
      <w:r>
        <w:rPr>
          <w:rFonts w:hint="cs"/>
          <w:rtl/>
          <w:lang w:val="fr-CH"/>
        </w:rPr>
        <w:t>م</w:t>
      </w:r>
      <w:r w:rsidRPr="00322426">
        <w:rPr>
          <w:rtl/>
          <w:lang w:val="fr-CH"/>
        </w:rPr>
        <w:t>ظاهرة نظمها أنصار الحراك الجنوبي</w:t>
      </w:r>
      <w:r>
        <w:rPr>
          <w:rtl/>
          <w:lang w:val="fr-CH"/>
        </w:rPr>
        <w:t>، الذي يد</w:t>
      </w:r>
      <w:r>
        <w:rPr>
          <w:rFonts w:hint="cs"/>
          <w:rtl/>
          <w:lang w:val="fr-CH"/>
        </w:rPr>
        <w:t>ع</w:t>
      </w:r>
      <w:r w:rsidRPr="00322426">
        <w:rPr>
          <w:rtl/>
          <w:lang w:val="fr-CH"/>
        </w:rPr>
        <w:t xml:space="preserve">و إلى استقلال جنوب </w:t>
      </w:r>
      <w:r>
        <w:rPr>
          <w:rFonts w:hint="cs"/>
          <w:rtl/>
          <w:lang w:val="fr-CH"/>
        </w:rPr>
        <w:t xml:space="preserve">شبة الجزيرة </w:t>
      </w:r>
      <w:r w:rsidRPr="00322426">
        <w:rPr>
          <w:rtl/>
          <w:lang w:val="fr-CH"/>
        </w:rPr>
        <w:t>العربي</w:t>
      </w:r>
      <w:r>
        <w:rPr>
          <w:rFonts w:hint="cs"/>
          <w:rtl/>
          <w:lang w:val="fr-CH"/>
        </w:rPr>
        <w:t>ة</w:t>
      </w:r>
      <w:r w:rsidRPr="00322426">
        <w:rPr>
          <w:rtl/>
          <w:lang w:val="fr-CH"/>
        </w:rPr>
        <w:t xml:space="preserve"> (اليمن الجنوبي) </w:t>
      </w:r>
      <w:r>
        <w:rPr>
          <w:rFonts w:hint="cs"/>
          <w:rtl/>
          <w:lang w:val="fr-CH"/>
        </w:rPr>
        <w:t>عن</w:t>
      </w:r>
      <w:r w:rsidRPr="00322426">
        <w:rPr>
          <w:rtl/>
          <w:lang w:val="fr-CH"/>
        </w:rPr>
        <w:t xml:space="preserve"> اليمن</w:t>
      </w:r>
      <w:r>
        <w:rPr>
          <w:rFonts w:hint="cs"/>
          <w:rtl/>
          <w:lang w:val="fr-CH"/>
        </w:rPr>
        <w:t>؛</w:t>
      </w:r>
      <w:r w:rsidRPr="00322426">
        <w:rPr>
          <w:rtl/>
          <w:lang w:val="fr-CH"/>
        </w:rPr>
        <w:t xml:space="preserve"> </w:t>
      </w:r>
      <w:r>
        <w:rPr>
          <w:rFonts w:hint="cs"/>
          <w:rtl/>
          <w:lang w:val="fr-CH"/>
        </w:rPr>
        <w:t>و</w:t>
      </w:r>
      <w:r w:rsidRPr="00322426">
        <w:rPr>
          <w:rtl/>
          <w:lang w:val="fr-CH"/>
        </w:rPr>
        <w:t>(ب) احتجازه لاحق</w:t>
      </w:r>
      <w:r>
        <w:rPr>
          <w:rFonts w:hint="cs"/>
          <w:rtl/>
          <w:lang w:val="fr-CH"/>
        </w:rPr>
        <w:t>ا</w:t>
      </w:r>
      <w:r w:rsidR="00A94BC6">
        <w:rPr>
          <w:rFonts w:hint="cs"/>
          <w:rtl/>
          <w:lang w:val="fr-CH"/>
        </w:rPr>
        <w:t>ً</w:t>
      </w:r>
      <w:r>
        <w:rPr>
          <w:rtl/>
          <w:lang w:val="fr-CH"/>
        </w:rPr>
        <w:t>،</w:t>
      </w:r>
      <w:r w:rsidRPr="00322426">
        <w:rPr>
          <w:rtl/>
          <w:lang w:val="fr-CH"/>
        </w:rPr>
        <w:t xml:space="preserve"> </w:t>
      </w:r>
      <w:r>
        <w:rPr>
          <w:rFonts w:hint="cs"/>
          <w:rtl/>
          <w:lang w:val="fr-CH"/>
        </w:rPr>
        <w:t>حيث زعم</w:t>
      </w:r>
      <w:r w:rsidRPr="00322426">
        <w:rPr>
          <w:rtl/>
          <w:lang w:val="fr-CH"/>
        </w:rPr>
        <w:t xml:space="preserve"> أنه تعرض للضرب</w:t>
      </w:r>
      <w:r>
        <w:rPr>
          <w:rFonts w:hint="cs"/>
          <w:rtl/>
          <w:lang w:val="fr-CH"/>
        </w:rPr>
        <w:t>؛</w:t>
      </w:r>
      <w:r w:rsidRPr="00322426">
        <w:rPr>
          <w:rtl/>
          <w:lang w:val="fr-CH"/>
        </w:rPr>
        <w:t xml:space="preserve"> و(ج) مضايقة</w:t>
      </w:r>
      <w:r>
        <w:rPr>
          <w:rFonts w:hint="cs"/>
          <w:rtl/>
          <w:lang w:val="fr-CH"/>
        </w:rPr>
        <w:t xml:space="preserve"> قوات الأمن</w:t>
      </w:r>
      <w:r w:rsidRPr="00322426">
        <w:rPr>
          <w:rtl/>
          <w:lang w:val="fr-CH"/>
        </w:rPr>
        <w:t xml:space="preserve"> </w:t>
      </w:r>
      <w:r>
        <w:rPr>
          <w:rFonts w:hint="cs"/>
          <w:rtl/>
          <w:lang w:val="fr-CH"/>
        </w:rPr>
        <w:t>ل</w:t>
      </w:r>
      <w:r w:rsidRPr="00322426">
        <w:rPr>
          <w:rtl/>
          <w:lang w:val="fr-CH"/>
        </w:rPr>
        <w:t xml:space="preserve">عائلته. </w:t>
      </w:r>
      <w:r>
        <w:rPr>
          <w:rFonts w:hint="cs"/>
          <w:rtl/>
          <w:lang w:val="fr-CH"/>
        </w:rPr>
        <w:t xml:space="preserve">ومما يزيد من </w:t>
      </w:r>
      <w:r w:rsidRPr="00322426">
        <w:rPr>
          <w:rtl/>
          <w:lang w:val="fr-CH"/>
        </w:rPr>
        <w:t xml:space="preserve">خطر اضطهاد </w:t>
      </w:r>
      <w:r>
        <w:rPr>
          <w:rFonts w:hint="cs"/>
          <w:rtl/>
          <w:lang w:val="fr-CH"/>
        </w:rPr>
        <w:t xml:space="preserve">أصحاب الشكوى </w:t>
      </w:r>
      <w:r w:rsidRPr="00322426">
        <w:rPr>
          <w:rtl/>
          <w:lang w:val="fr-CH"/>
        </w:rPr>
        <w:t>في اليمن الأنشطة السياسية</w:t>
      </w:r>
      <w:r>
        <w:rPr>
          <w:rFonts w:hint="cs"/>
          <w:rtl/>
          <w:lang w:val="fr-CH"/>
        </w:rPr>
        <w:t xml:space="preserve"> التي قام بها صاحب الشكوى الأول في </w:t>
      </w:r>
      <w:r>
        <w:rPr>
          <w:rtl/>
          <w:lang w:val="fr-CH"/>
        </w:rPr>
        <w:t>سويسرا بوصفه</w:t>
      </w:r>
      <w:r w:rsidRPr="00322426">
        <w:rPr>
          <w:rtl/>
          <w:lang w:val="fr-CH"/>
        </w:rPr>
        <w:t xml:space="preserve"> عضوا</w:t>
      </w:r>
      <w:r w:rsidR="005E4BCD">
        <w:rPr>
          <w:rFonts w:hint="cs"/>
          <w:rtl/>
          <w:lang w:val="fr-CH"/>
        </w:rPr>
        <w:t>ً</w:t>
      </w:r>
      <w:r w:rsidRPr="00322426">
        <w:rPr>
          <w:rtl/>
          <w:lang w:val="fr-CH"/>
        </w:rPr>
        <w:t xml:space="preserve"> في التجمع الديمقراطي الجنوبي. ورأت اللجنة أن المعلومات التي قدمها صاحب البلاغ الأول</w:t>
      </w:r>
      <w:r>
        <w:rPr>
          <w:rtl/>
          <w:lang w:val="fr-CH"/>
        </w:rPr>
        <w:t>،</w:t>
      </w:r>
      <w:r w:rsidRPr="00322426">
        <w:rPr>
          <w:rtl/>
          <w:lang w:val="fr-CH"/>
        </w:rPr>
        <w:t xml:space="preserve"> بما</w:t>
      </w:r>
      <w:r w:rsidR="00D969E7">
        <w:rPr>
          <w:rFonts w:hint="cs"/>
          <w:rtl/>
          <w:lang w:val="fr-CH"/>
        </w:rPr>
        <w:t> </w:t>
      </w:r>
      <w:r w:rsidRPr="00322426">
        <w:rPr>
          <w:rtl/>
          <w:lang w:val="fr-CH"/>
        </w:rPr>
        <w:t xml:space="preserve">في ذلك </w:t>
      </w:r>
      <w:r>
        <w:rPr>
          <w:rFonts w:hint="cs"/>
          <w:rtl/>
          <w:lang w:val="fr-CH"/>
        </w:rPr>
        <w:t>ال</w:t>
      </w:r>
      <w:r w:rsidRPr="00322426">
        <w:rPr>
          <w:rtl/>
          <w:lang w:val="fr-CH"/>
        </w:rPr>
        <w:t>طبيعة</w:t>
      </w:r>
      <w:r>
        <w:rPr>
          <w:rFonts w:hint="cs"/>
          <w:rtl/>
          <w:lang w:val="fr-CH"/>
        </w:rPr>
        <w:t xml:space="preserve"> غير الواضحة ل</w:t>
      </w:r>
      <w:r w:rsidRPr="00322426">
        <w:rPr>
          <w:rtl/>
          <w:lang w:val="fr-CH"/>
        </w:rPr>
        <w:t xml:space="preserve">نشاطه السياسي في اليمن قبل رحيله من ذلك البلد </w:t>
      </w:r>
      <w:r>
        <w:rPr>
          <w:rFonts w:hint="cs"/>
          <w:rtl/>
          <w:lang w:val="fr-CH"/>
        </w:rPr>
        <w:t xml:space="preserve">وتدني مستوى </w:t>
      </w:r>
      <w:r w:rsidRPr="00322426">
        <w:rPr>
          <w:rtl/>
          <w:lang w:val="fr-CH"/>
        </w:rPr>
        <w:t xml:space="preserve">أنشطته السياسية </w:t>
      </w:r>
      <w:r>
        <w:rPr>
          <w:rFonts w:hint="cs"/>
          <w:rtl/>
          <w:lang w:val="fr-CH"/>
        </w:rPr>
        <w:t xml:space="preserve">في </w:t>
      </w:r>
      <w:r w:rsidRPr="00322426">
        <w:rPr>
          <w:rtl/>
          <w:lang w:val="fr-CH"/>
        </w:rPr>
        <w:t>سويسرا</w:t>
      </w:r>
      <w:r>
        <w:rPr>
          <w:rtl/>
          <w:lang w:val="fr-CH"/>
        </w:rPr>
        <w:t>،</w:t>
      </w:r>
      <w:r w:rsidRPr="00322426">
        <w:rPr>
          <w:rtl/>
          <w:lang w:val="fr-CH"/>
        </w:rPr>
        <w:t xml:space="preserve"> </w:t>
      </w:r>
      <w:r>
        <w:rPr>
          <w:rFonts w:hint="cs"/>
          <w:rtl/>
          <w:lang w:val="fr-CH"/>
        </w:rPr>
        <w:t>ليست</w:t>
      </w:r>
      <w:r w:rsidRPr="00322426">
        <w:rPr>
          <w:rtl/>
          <w:lang w:val="fr-CH"/>
        </w:rPr>
        <w:t xml:space="preserve"> كافي</w:t>
      </w:r>
      <w:r>
        <w:rPr>
          <w:rFonts w:hint="cs"/>
          <w:rtl/>
          <w:lang w:val="fr-CH"/>
        </w:rPr>
        <w:t>ة</w:t>
      </w:r>
      <w:r w:rsidRPr="00322426">
        <w:rPr>
          <w:rtl/>
          <w:lang w:val="fr-CH"/>
        </w:rPr>
        <w:t xml:space="preserve"> </w:t>
      </w:r>
      <w:r>
        <w:rPr>
          <w:rFonts w:hint="cs"/>
          <w:rtl/>
          <w:lang w:val="fr-CH"/>
        </w:rPr>
        <w:t>لإثبات أ</w:t>
      </w:r>
      <w:r w:rsidRPr="00322426">
        <w:rPr>
          <w:rtl/>
          <w:lang w:val="fr-CH"/>
        </w:rPr>
        <w:t xml:space="preserve">نه </w:t>
      </w:r>
      <w:r>
        <w:rPr>
          <w:rFonts w:hint="cs"/>
          <w:rtl/>
          <w:lang w:val="fr-CH"/>
        </w:rPr>
        <w:t>س</w:t>
      </w:r>
      <w:r w:rsidRPr="00322426">
        <w:rPr>
          <w:rtl/>
          <w:lang w:val="fr-CH"/>
        </w:rPr>
        <w:t xml:space="preserve">يتعرض </w:t>
      </w:r>
      <w:r>
        <w:rPr>
          <w:rFonts w:hint="cs"/>
          <w:rtl/>
          <w:lang w:val="fr-CH"/>
        </w:rPr>
        <w:t>شخصيا</w:t>
      </w:r>
      <w:r w:rsidR="005E4BCD">
        <w:rPr>
          <w:rFonts w:hint="cs"/>
          <w:rtl/>
          <w:lang w:val="fr-CH"/>
        </w:rPr>
        <w:t>ً</w:t>
      </w:r>
      <w:r>
        <w:rPr>
          <w:rFonts w:hint="cs"/>
          <w:rtl/>
          <w:lang w:val="fr-CH"/>
        </w:rPr>
        <w:t xml:space="preserve"> </w:t>
      </w:r>
      <w:r w:rsidRPr="00322426">
        <w:rPr>
          <w:rtl/>
          <w:lang w:val="fr-CH"/>
        </w:rPr>
        <w:t xml:space="preserve">لخطر </w:t>
      </w:r>
      <w:r>
        <w:rPr>
          <w:rFonts w:hint="cs"/>
          <w:rtl/>
          <w:lang w:val="fr-CH"/>
        </w:rPr>
        <w:t>ال</w:t>
      </w:r>
      <w:r w:rsidRPr="00322426">
        <w:rPr>
          <w:rtl/>
          <w:lang w:val="fr-CH"/>
        </w:rPr>
        <w:t xml:space="preserve">تعذيب </w:t>
      </w:r>
      <w:r>
        <w:rPr>
          <w:rFonts w:hint="cs"/>
          <w:rtl/>
          <w:lang w:val="fr-CH"/>
        </w:rPr>
        <w:t>إن هو</w:t>
      </w:r>
      <w:r w:rsidRPr="00322426">
        <w:rPr>
          <w:rtl/>
          <w:lang w:val="fr-CH"/>
        </w:rPr>
        <w:t xml:space="preserve"> عاد إلى اليمن. وأعربت اللجنة عن قلقها إزاء تقارير عديدة عن انتهاكات حقوق الإنسان</w:t>
      </w:r>
      <w:r>
        <w:rPr>
          <w:rtl/>
          <w:lang w:val="fr-CH"/>
        </w:rPr>
        <w:t>،</w:t>
      </w:r>
      <w:r w:rsidRPr="00322426">
        <w:rPr>
          <w:rtl/>
          <w:lang w:val="fr-CH"/>
        </w:rPr>
        <w:t xml:space="preserve"> بما في ذلك استخدام التعذيب في اليمن</w:t>
      </w:r>
      <w:r>
        <w:rPr>
          <w:rtl/>
          <w:lang w:val="fr-CH"/>
        </w:rPr>
        <w:t>،</w:t>
      </w:r>
      <w:r w:rsidRPr="00322426">
        <w:rPr>
          <w:rtl/>
          <w:lang w:val="fr-CH"/>
        </w:rPr>
        <w:t xml:space="preserve"> لكنها أشارت إلى أنه لأغراض المادة</w:t>
      </w:r>
      <w:r w:rsidR="00D969E7">
        <w:rPr>
          <w:rFonts w:hint="cs"/>
          <w:rtl/>
          <w:lang w:val="fr-CH"/>
        </w:rPr>
        <w:t> </w:t>
      </w:r>
      <w:r w:rsidRPr="00322426">
        <w:rPr>
          <w:rtl/>
          <w:lang w:val="fr-CH"/>
        </w:rPr>
        <w:t xml:space="preserve">3 من الاتفاقية </w:t>
      </w:r>
      <w:r>
        <w:rPr>
          <w:rFonts w:hint="cs"/>
          <w:rtl/>
          <w:lang w:val="fr-CH"/>
        </w:rPr>
        <w:t xml:space="preserve">يجب أن يواجه </w:t>
      </w:r>
      <w:r w:rsidRPr="00322426">
        <w:rPr>
          <w:rtl/>
          <w:lang w:val="fr-CH"/>
        </w:rPr>
        <w:t>الفرد المعني خطر</w:t>
      </w:r>
      <w:r>
        <w:rPr>
          <w:rFonts w:hint="cs"/>
          <w:rtl/>
          <w:lang w:val="fr-CH"/>
        </w:rPr>
        <w:t>ا</w:t>
      </w:r>
      <w:r w:rsidR="005E4BCD">
        <w:rPr>
          <w:rFonts w:hint="cs"/>
          <w:rtl/>
          <w:lang w:val="fr-CH"/>
        </w:rPr>
        <w:t>ً</w:t>
      </w:r>
      <w:r w:rsidRPr="00322426">
        <w:rPr>
          <w:rtl/>
          <w:lang w:val="fr-CH"/>
        </w:rPr>
        <w:t xml:space="preserve"> متوقع</w:t>
      </w:r>
      <w:r>
        <w:rPr>
          <w:rFonts w:hint="cs"/>
          <w:rtl/>
          <w:lang w:val="fr-CH"/>
        </w:rPr>
        <w:t>ا</w:t>
      </w:r>
      <w:r w:rsidR="005E4BCD">
        <w:rPr>
          <w:rFonts w:hint="cs"/>
          <w:rtl/>
          <w:lang w:val="fr-CH"/>
        </w:rPr>
        <w:t>ً</w:t>
      </w:r>
      <w:r w:rsidRPr="00322426">
        <w:rPr>
          <w:rtl/>
          <w:lang w:val="fr-CH"/>
        </w:rPr>
        <w:t xml:space="preserve"> وحقيقي</w:t>
      </w:r>
      <w:r>
        <w:rPr>
          <w:rFonts w:hint="cs"/>
          <w:rtl/>
          <w:lang w:val="fr-CH"/>
        </w:rPr>
        <w:t>ا</w:t>
      </w:r>
      <w:r w:rsidR="005E4BCD">
        <w:rPr>
          <w:rFonts w:hint="cs"/>
          <w:rtl/>
          <w:lang w:val="fr-CH"/>
        </w:rPr>
        <w:t>ً</w:t>
      </w:r>
      <w:r w:rsidRPr="00322426">
        <w:rPr>
          <w:rtl/>
          <w:lang w:val="fr-CH"/>
        </w:rPr>
        <w:t xml:space="preserve"> وشخصي</w:t>
      </w:r>
      <w:r>
        <w:rPr>
          <w:rFonts w:hint="cs"/>
          <w:rtl/>
          <w:lang w:val="fr-CH"/>
        </w:rPr>
        <w:t>ا</w:t>
      </w:r>
      <w:r w:rsidR="005E4BCD">
        <w:rPr>
          <w:rFonts w:hint="cs"/>
          <w:rtl/>
          <w:lang w:val="fr-CH"/>
        </w:rPr>
        <w:t>ً</w:t>
      </w:r>
      <w:r w:rsidRPr="00322426">
        <w:rPr>
          <w:rtl/>
          <w:lang w:val="fr-CH"/>
        </w:rPr>
        <w:t xml:space="preserve"> للتعرض للتعذيب في البلد الذي سيعود إليه. </w:t>
      </w:r>
      <w:r>
        <w:rPr>
          <w:rFonts w:hint="cs"/>
          <w:rtl/>
          <w:lang w:val="fr-CH"/>
        </w:rPr>
        <w:t>ولأن قضيتي</w:t>
      </w:r>
      <w:r>
        <w:rPr>
          <w:rtl/>
          <w:lang w:val="fr-CH"/>
        </w:rPr>
        <w:t xml:space="preserve"> زوجة صاحب الشكوى الأول</w:t>
      </w:r>
      <w:r w:rsidR="00AD3FDC">
        <w:rPr>
          <w:rtl/>
          <w:lang w:val="fr-CH"/>
        </w:rPr>
        <w:t xml:space="preserve"> و</w:t>
      </w:r>
      <w:r w:rsidRPr="00322426">
        <w:rPr>
          <w:rtl/>
          <w:lang w:val="fr-CH"/>
        </w:rPr>
        <w:t>ابنهما تعتمد</w:t>
      </w:r>
      <w:r>
        <w:rPr>
          <w:rFonts w:hint="cs"/>
          <w:rtl/>
          <w:lang w:val="fr-CH"/>
        </w:rPr>
        <w:t>ان</w:t>
      </w:r>
      <w:r w:rsidRPr="00322426">
        <w:rPr>
          <w:rtl/>
          <w:lang w:val="fr-CH"/>
        </w:rPr>
        <w:t xml:space="preserve"> على قضيته</w:t>
      </w:r>
      <w:r>
        <w:rPr>
          <w:rtl/>
          <w:lang w:val="fr-CH"/>
        </w:rPr>
        <w:t>،</w:t>
      </w:r>
      <w:r w:rsidRPr="00322426">
        <w:rPr>
          <w:rtl/>
          <w:lang w:val="fr-CH"/>
        </w:rPr>
        <w:t xml:space="preserve"> </w:t>
      </w:r>
      <w:r>
        <w:rPr>
          <w:rFonts w:hint="cs"/>
          <w:rtl/>
          <w:lang w:val="fr-CH"/>
        </w:rPr>
        <w:t xml:space="preserve">لم تر </w:t>
      </w:r>
      <w:r w:rsidRPr="00322426">
        <w:rPr>
          <w:rtl/>
          <w:lang w:val="fr-CH"/>
        </w:rPr>
        <w:t xml:space="preserve">اللجنة من الضروري النظر في مطالباتهم بشكل منفصل. </w:t>
      </w:r>
      <w:r>
        <w:rPr>
          <w:rFonts w:hint="cs"/>
          <w:rtl/>
          <w:lang w:val="fr-CH"/>
        </w:rPr>
        <w:t>ف</w:t>
      </w:r>
      <w:r w:rsidRPr="00322426">
        <w:rPr>
          <w:rtl/>
          <w:lang w:val="fr-CH"/>
        </w:rPr>
        <w:t xml:space="preserve">خلصت اللجنة إلى أن </w:t>
      </w:r>
      <w:r>
        <w:rPr>
          <w:rFonts w:hint="cs"/>
          <w:rtl/>
          <w:lang w:val="fr-CH"/>
        </w:rPr>
        <w:t>إعادة</w:t>
      </w:r>
      <w:r w:rsidRPr="00322426">
        <w:rPr>
          <w:rtl/>
          <w:lang w:val="fr-CH"/>
        </w:rPr>
        <w:t xml:space="preserve"> </w:t>
      </w:r>
      <w:r>
        <w:rPr>
          <w:rFonts w:hint="cs"/>
          <w:rtl/>
          <w:lang w:val="fr-CH"/>
        </w:rPr>
        <w:t>أصحاب الشكوى إ</w:t>
      </w:r>
      <w:r w:rsidRPr="00322426">
        <w:rPr>
          <w:rtl/>
          <w:lang w:val="fr-CH"/>
        </w:rPr>
        <w:t xml:space="preserve">لى اليمن لن </w:t>
      </w:r>
      <w:r>
        <w:rPr>
          <w:rFonts w:hint="cs"/>
          <w:rtl/>
          <w:lang w:val="fr-CH"/>
        </w:rPr>
        <w:t>ت</w:t>
      </w:r>
      <w:r w:rsidRPr="00322426">
        <w:rPr>
          <w:rtl/>
          <w:lang w:val="fr-CH"/>
        </w:rPr>
        <w:t>شكل انتهاكا</w:t>
      </w:r>
      <w:r w:rsidR="005E4BCD">
        <w:rPr>
          <w:rFonts w:hint="cs"/>
          <w:rtl/>
          <w:lang w:val="fr-CH"/>
        </w:rPr>
        <w:t>ً</w:t>
      </w:r>
      <w:r w:rsidRPr="00322426">
        <w:rPr>
          <w:rtl/>
          <w:lang w:val="fr-CH"/>
        </w:rPr>
        <w:t xml:space="preserve"> للمادة 3 من الاتفاقية.</w:t>
      </w:r>
    </w:p>
    <w:p w:rsidR="00F72BDC" w:rsidRPr="00322426" w:rsidRDefault="00F72BDC" w:rsidP="00D969E7">
      <w:pPr>
        <w:pStyle w:val="SingleTxtGA"/>
        <w:rPr>
          <w:rtl/>
          <w:lang w:val="fr-CH"/>
        </w:rPr>
      </w:pPr>
      <w:r w:rsidRPr="00322426">
        <w:rPr>
          <w:rtl/>
          <w:lang w:val="fr-CH"/>
        </w:rPr>
        <w:t>134</w:t>
      </w:r>
      <w:r w:rsidR="00D969E7">
        <w:rPr>
          <w:rFonts w:hint="cs"/>
          <w:rtl/>
          <w:lang w:val="fr-CH"/>
        </w:rPr>
        <w:t>-</w:t>
      </w:r>
      <w:r w:rsidR="00D969E7">
        <w:rPr>
          <w:rFonts w:hint="cs"/>
          <w:rtl/>
          <w:lang w:val="fr-CH"/>
        </w:rPr>
        <w:tab/>
      </w:r>
      <w:r>
        <w:rPr>
          <w:rFonts w:hint="cs"/>
          <w:rtl/>
          <w:lang w:val="fr-CH"/>
        </w:rPr>
        <w:t xml:space="preserve">ويتعلق </w:t>
      </w:r>
      <w:r w:rsidRPr="00322426">
        <w:rPr>
          <w:rtl/>
          <w:lang w:val="fr-CH"/>
        </w:rPr>
        <w:t xml:space="preserve">البلاغ رقم </w:t>
      </w:r>
      <w:r w:rsidR="00D969E7">
        <w:rPr>
          <w:rFonts w:hint="cs"/>
          <w:rtl/>
          <w:lang w:val="fr-CH"/>
        </w:rPr>
        <w:t xml:space="preserve">463/2011 </w:t>
      </w:r>
      <w:r w:rsidR="00D969E7" w:rsidRPr="00D969E7">
        <w:rPr>
          <w:rFonts w:hint="cs"/>
          <w:i/>
          <w:iCs/>
          <w:rtl/>
          <w:lang w:val="fr-CH"/>
        </w:rPr>
        <w:t>(</w:t>
      </w:r>
      <w:r w:rsidRPr="00D969E7">
        <w:rPr>
          <w:rFonts w:hint="cs"/>
          <w:i/>
          <w:iCs/>
          <w:rtl/>
          <w:lang w:val="fr-CH"/>
        </w:rPr>
        <w:t>د. ي.</w:t>
      </w:r>
      <w:r w:rsidRPr="00D969E7">
        <w:rPr>
          <w:i/>
          <w:iCs/>
          <w:rtl/>
          <w:lang w:val="fr-CH"/>
        </w:rPr>
        <w:t xml:space="preserve"> ضد السويد)</w:t>
      </w:r>
      <w:r w:rsidRPr="00322426">
        <w:rPr>
          <w:rtl/>
          <w:lang w:val="fr-CH"/>
        </w:rPr>
        <w:t xml:space="preserve"> </w:t>
      </w:r>
      <w:r>
        <w:rPr>
          <w:rFonts w:hint="cs"/>
          <w:rtl/>
          <w:lang w:val="fr-CH"/>
        </w:rPr>
        <w:t>ب</w:t>
      </w:r>
      <w:r>
        <w:rPr>
          <w:rtl/>
          <w:lang w:val="fr-CH"/>
        </w:rPr>
        <w:t>مواطن</w:t>
      </w:r>
      <w:r>
        <w:rPr>
          <w:rFonts w:hint="cs"/>
          <w:rtl/>
          <w:lang w:val="fr-CH"/>
        </w:rPr>
        <w:t xml:space="preserve"> من</w:t>
      </w:r>
      <w:r w:rsidRPr="00322426">
        <w:rPr>
          <w:rtl/>
          <w:lang w:val="fr-CH"/>
        </w:rPr>
        <w:t xml:space="preserve"> أوزبكستان</w:t>
      </w:r>
      <w:r>
        <w:rPr>
          <w:rtl/>
          <w:lang w:val="fr-CH"/>
        </w:rPr>
        <w:t>،</w:t>
      </w:r>
      <w:r w:rsidRPr="00322426">
        <w:rPr>
          <w:rtl/>
          <w:lang w:val="fr-CH"/>
        </w:rPr>
        <w:t xml:space="preserve"> رفض طلب </w:t>
      </w:r>
      <w:r>
        <w:rPr>
          <w:rFonts w:hint="cs"/>
          <w:rtl/>
          <w:lang w:val="fr-CH"/>
        </w:rPr>
        <w:t>لجوئه</w:t>
      </w:r>
      <w:r w:rsidRPr="00322426">
        <w:rPr>
          <w:rtl/>
          <w:lang w:val="fr-CH"/>
        </w:rPr>
        <w:t>. وادعى أن</w:t>
      </w:r>
      <w:r>
        <w:rPr>
          <w:rFonts w:hint="cs"/>
          <w:rtl/>
          <w:lang w:val="fr-CH"/>
        </w:rPr>
        <w:t>ه</w:t>
      </w:r>
      <w:r>
        <w:rPr>
          <w:rtl/>
          <w:lang w:val="fr-CH"/>
        </w:rPr>
        <w:t xml:space="preserve"> أثناء خدمته</w:t>
      </w:r>
      <w:r w:rsidRPr="00322426">
        <w:rPr>
          <w:rtl/>
          <w:lang w:val="fr-CH"/>
        </w:rPr>
        <w:t xml:space="preserve"> في القوات الجوية في أوزبكستان</w:t>
      </w:r>
      <w:r>
        <w:rPr>
          <w:rtl/>
          <w:lang w:val="fr-CH"/>
        </w:rPr>
        <w:t>،</w:t>
      </w:r>
      <w:r w:rsidRPr="00322426">
        <w:rPr>
          <w:rtl/>
          <w:lang w:val="fr-CH"/>
        </w:rPr>
        <w:t xml:space="preserve"> </w:t>
      </w:r>
      <w:r>
        <w:rPr>
          <w:rFonts w:hint="cs"/>
          <w:rtl/>
          <w:lang w:val="fr-CH"/>
        </w:rPr>
        <w:t>في إطار</w:t>
      </w:r>
      <w:r w:rsidRPr="00322426">
        <w:rPr>
          <w:rtl/>
          <w:lang w:val="fr-CH"/>
        </w:rPr>
        <w:t xml:space="preserve"> خدمته العسكرية</w:t>
      </w:r>
      <w:r>
        <w:rPr>
          <w:rtl/>
          <w:lang w:val="fr-CH"/>
        </w:rPr>
        <w:t>،</w:t>
      </w:r>
      <w:r w:rsidRPr="00322426">
        <w:rPr>
          <w:rtl/>
          <w:lang w:val="fr-CH"/>
        </w:rPr>
        <w:t xml:space="preserve"> شارك في عملية لقمع مظاهرة عنيفة في </w:t>
      </w:r>
      <w:r>
        <w:rPr>
          <w:rFonts w:hint="cs"/>
          <w:rtl/>
          <w:lang w:val="fr-CH"/>
        </w:rPr>
        <w:t>أنديجان</w:t>
      </w:r>
      <w:r>
        <w:rPr>
          <w:rtl/>
          <w:lang w:val="fr-CH"/>
        </w:rPr>
        <w:t>،</w:t>
      </w:r>
      <w:r w:rsidRPr="00322426">
        <w:rPr>
          <w:rtl/>
          <w:lang w:val="fr-CH"/>
        </w:rPr>
        <w:t xml:space="preserve"> وصدرت</w:t>
      </w:r>
      <w:r>
        <w:rPr>
          <w:rFonts w:hint="cs"/>
          <w:rtl/>
          <w:lang w:val="fr-CH"/>
        </w:rPr>
        <w:t xml:space="preserve"> إليه</w:t>
      </w:r>
      <w:r w:rsidRPr="00322426">
        <w:rPr>
          <w:rtl/>
          <w:lang w:val="fr-CH"/>
        </w:rPr>
        <w:t xml:space="preserve"> تعليمات </w:t>
      </w:r>
      <w:r>
        <w:rPr>
          <w:rFonts w:hint="cs"/>
          <w:rtl/>
          <w:lang w:val="fr-CH"/>
        </w:rPr>
        <w:t>بإ</w:t>
      </w:r>
      <w:r w:rsidRPr="00322426">
        <w:rPr>
          <w:rtl/>
          <w:lang w:val="fr-CH"/>
        </w:rPr>
        <w:t xml:space="preserve">طلاق النار </w:t>
      </w:r>
      <w:r>
        <w:rPr>
          <w:rFonts w:hint="cs"/>
          <w:rtl/>
          <w:lang w:val="fr-CH"/>
        </w:rPr>
        <w:t>على</w:t>
      </w:r>
      <w:r w:rsidRPr="00322426">
        <w:rPr>
          <w:rtl/>
          <w:lang w:val="fr-CH"/>
        </w:rPr>
        <w:t xml:space="preserve"> المتظاهرين. </w:t>
      </w:r>
      <w:r>
        <w:rPr>
          <w:rFonts w:hint="cs"/>
          <w:rtl/>
          <w:lang w:val="fr-CH"/>
        </w:rPr>
        <w:t>وبما أن</w:t>
      </w:r>
      <w:r w:rsidR="00D75706">
        <w:rPr>
          <w:rFonts w:hint="cs"/>
          <w:rtl/>
          <w:lang w:val="fr-CH"/>
        </w:rPr>
        <w:t>ه</w:t>
      </w:r>
      <w:r>
        <w:rPr>
          <w:rFonts w:hint="cs"/>
          <w:rtl/>
          <w:lang w:val="fr-CH"/>
        </w:rPr>
        <w:t xml:space="preserve"> رفض</w:t>
      </w:r>
      <w:r w:rsidRPr="00322426">
        <w:rPr>
          <w:rtl/>
          <w:lang w:val="fr-CH"/>
        </w:rPr>
        <w:t xml:space="preserve"> وجنود آخر</w:t>
      </w:r>
      <w:r>
        <w:rPr>
          <w:rFonts w:hint="cs"/>
          <w:rtl/>
          <w:lang w:val="fr-CH"/>
        </w:rPr>
        <w:t>و</w:t>
      </w:r>
      <w:r w:rsidRPr="00322426">
        <w:rPr>
          <w:rtl/>
          <w:lang w:val="fr-CH"/>
        </w:rPr>
        <w:t xml:space="preserve">ن الانصياع لهذا </w:t>
      </w:r>
      <w:r>
        <w:rPr>
          <w:rFonts w:hint="cs"/>
          <w:rtl/>
          <w:lang w:val="fr-CH"/>
        </w:rPr>
        <w:t>الأمر</w:t>
      </w:r>
      <w:r w:rsidRPr="00322426">
        <w:rPr>
          <w:rtl/>
          <w:lang w:val="fr-CH"/>
        </w:rPr>
        <w:t xml:space="preserve"> </w:t>
      </w:r>
      <w:r>
        <w:rPr>
          <w:rFonts w:hint="cs"/>
          <w:rtl/>
          <w:lang w:val="fr-CH"/>
        </w:rPr>
        <w:t>و</w:t>
      </w:r>
      <w:r w:rsidRPr="00322426">
        <w:rPr>
          <w:rtl/>
          <w:lang w:val="fr-CH"/>
        </w:rPr>
        <w:t>ألقوا أسلحتهم</w:t>
      </w:r>
      <w:r>
        <w:rPr>
          <w:rtl/>
          <w:lang w:val="fr-CH"/>
        </w:rPr>
        <w:t>،</w:t>
      </w:r>
      <w:r w:rsidRPr="00322426">
        <w:rPr>
          <w:rtl/>
          <w:lang w:val="fr-CH"/>
        </w:rPr>
        <w:t xml:space="preserve"> </w:t>
      </w:r>
      <w:r>
        <w:rPr>
          <w:rFonts w:hint="cs"/>
          <w:rtl/>
          <w:lang w:val="fr-CH"/>
        </w:rPr>
        <w:t>ألقت</w:t>
      </w:r>
      <w:r w:rsidRPr="00322426">
        <w:rPr>
          <w:rtl/>
          <w:lang w:val="fr-CH"/>
        </w:rPr>
        <w:t xml:space="preserve"> الشرطة</w:t>
      </w:r>
      <w:r>
        <w:rPr>
          <w:rFonts w:hint="cs"/>
          <w:rtl/>
          <w:lang w:val="fr-CH"/>
        </w:rPr>
        <w:t xml:space="preserve"> القبض عليه</w:t>
      </w:r>
      <w:r w:rsidRPr="00322426">
        <w:rPr>
          <w:rtl/>
          <w:lang w:val="fr-CH"/>
        </w:rPr>
        <w:t xml:space="preserve"> مرتين </w:t>
      </w:r>
      <w:r>
        <w:rPr>
          <w:rFonts w:hint="cs"/>
          <w:rtl/>
          <w:lang w:val="fr-CH"/>
        </w:rPr>
        <w:t>وقدمته</w:t>
      </w:r>
      <w:r w:rsidRPr="00322426">
        <w:rPr>
          <w:rtl/>
          <w:lang w:val="fr-CH"/>
        </w:rPr>
        <w:t xml:space="preserve"> إلى محكمة عسكرية</w:t>
      </w:r>
      <w:r>
        <w:rPr>
          <w:rtl/>
          <w:lang w:val="fr-CH"/>
        </w:rPr>
        <w:t>،</w:t>
      </w:r>
      <w:r w:rsidRPr="00322426">
        <w:rPr>
          <w:rtl/>
          <w:lang w:val="fr-CH"/>
        </w:rPr>
        <w:t xml:space="preserve"> بتهمة عدم </w:t>
      </w:r>
      <w:r>
        <w:rPr>
          <w:rFonts w:hint="cs"/>
          <w:rtl/>
          <w:lang w:val="fr-CH"/>
        </w:rPr>
        <w:t>تنفيذ ال</w:t>
      </w:r>
      <w:r w:rsidRPr="00322426">
        <w:rPr>
          <w:rtl/>
          <w:lang w:val="fr-CH"/>
        </w:rPr>
        <w:t xml:space="preserve">أوامر </w:t>
      </w:r>
      <w:r>
        <w:rPr>
          <w:rFonts w:hint="cs"/>
          <w:rtl/>
          <w:lang w:val="fr-CH"/>
        </w:rPr>
        <w:t xml:space="preserve">وخيانة </w:t>
      </w:r>
      <w:r w:rsidRPr="00322426">
        <w:rPr>
          <w:rtl/>
          <w:lang w:val="fr-CH"/>
        </w:rPr>
        <w:t xml:space="preserve">الدولة. </w:t>
      </w:r>
      <w:r>
        <w:rPr>
          <w:rFonts w:hint="cs"/>
          <w:rtl/>
          <w:lang w:val="fr-CH"/>
        </w:rPr>
        <w:t>و</w:t>
      </w:r>
      <w:r w:rsidRPr="00322426">
        <w:rPr>
          <w:rtl/>
          <w:lang w:val="fr-CH"/>
        </w:rPr>
        <w:t>أثناء وجوده في السجن</w:t>
      </w:r>
      <w:r>
        <w:rPr>
          <w:rtl/>
          <w:lang w:val="fr-CH"/>
        </w:rPr>
        <w:t>،</w:t>
      </w:r>
      <w:r w:rsidRPr="00322426">
        <w:rPr>
          <w:rtl/>
          <w:lang w:val="fr-CH"/>
        </w:rPr>
        <w:t xml:space="preserve"> قال </w:t>
      </w:r>
      <w:r>
        <w:rPr>
          <w:rFonts w:hint="cs"/>
          <w:rtl/>
          <w:lang w:val="fr-CH"/>
        </w:rPr>
        <w:t>إ</w:t>
      </w:r>
      <w:r w:rsidRPr="00322426">
        <w:rPr>
          <w:rtl/>
          <w:lang w:val="fr-CH"/>
        </w:rPr>
        <w:t>نه تعرض للتعذيب</w:t>
      </w:r>
      <w:r>
        <w:rPr>
          <w:rtl/>
          <w:lang w:val="fr-CH"/>
        </w:rPr>
        <w:t>،</w:t>
      </w:r>
      <w:r w:rsidRPr="00322426">
        <w:rPr>
          <w:rtl/>
          <w:lang w:val="fr-CH"/>
        </w:rPr>
        <w:t xml:space="preserve"> </w:t>
      </w:r>
      <w:r>
        <w:rPr>
          <w:rFonts w:hint="cs"/>
          <w:rtl/>
          <w:lang w:val="fr-CH"/>
        </w:rPr>
        <w:t>وا</w:t>
      </w:r>
      <w:r w:rsidRPr="00322426">
        <w:rPr>
          <w:rtl/>
          <w:lang w:val="fr-CH"/>
        </w:rPr>
        <w:t xml:space="preserve">لاعتداء والإهانة. </w:t>
      </w:r>
      <w:r>
        <w:rPr>
          <w:rFonts w:hint="cs"/>
          <w:rtl/>
          <w:lang w:val="fr-CH"/>
        </w:rPr>
        <w:t xml:space="preserve">وفي الفترة التي أطلق فيها </w:t>
      </w:r>
      <w:r w:rsidRPr="00322426">
        <w:rPr>
          <w:rtl/>
          <w:lang w:val="fr-CH"/>
        </w:rPr>
        <w:t>سراحه من السجن</w:t>
      </w:r>
      <w:r>
        <w:rPr>
          <w:rtl/>
          <w:lang w:val="fr-CH"/>
        </w:rPr>
        <w:t>،</w:t>
      </w:r>
      <w:r w:rsidRPr="00322426">
        <w:rPr>
          <w:rtl/>
          <w:lang w:val="fr-CH"/>
        </w:rPr>
        <w:t xml:space="preserve"> </w:t>
      </w:r>
      <w:r>
        <w:rPr>
          <w:rFonts w:hint="cs"/>
          <w:rtl/>
          <w:lang w:val="fr-CH"/>
        </w:rPr>
        <w:t>تعرض</w:t>
      </w:r>
      <w:r w:rsidRPr="00322426">
        <w:rPr>
          <w:rtl/>
          <w:lang w:val="fr-CH"/>
        </w:rPr>
        <w:t xml:space="preserve"> أيضا</w:t>
      </w:r>
      <w:r w:rsidR="00D969E7">
        <w:rPr>
          <w:rFonts w:hint="cs"/>
          <w:rtl/>
          <w:lang w:val="fr-CH"/>
        </w:rPr>
        <w:t>ً</w:t>
      </w:r>
      <w:r w:rsidRPr="00322426">
        <w:rPr>
          <w:rtl/>
          <w:lang w:val="fr-CH"/>
        </w:rPr>
        <w:t xml:space="preserve"> للمضايقة والضرب من قبل الشرطة عدة مرات. </w:t>
      </w:r>
      <w:r>
        <w:rPr>
          <w:rFonts w:hint="cs"/>
          <w:rtl/>
          <w:lang w:val="fr-CH"/>
        </w:rPr>
        <w:t>ويدعى</w:t>
      </w:r>
      <w:r w:rsidRPr="00322426">
        <w:rPr>
          <w:rtl/>
          <w:lang w:val="fr-CH"/>
        </w:rPr>
        <w:t xml:space="preserve"> أنه إذا </w:t>
      </w:r>
      <w:r>
        <w:rPr>
          <w:rFonts w:hint="cs"/>
          <w:rtl/>
          <w:lang w:val="fr-CH"/>
        </w:rPr>
        <w:t>أعيد</w:t>
      </w:r>
      <w:r w:rsidRPr="00322426">
        <w:rPr>
          <w:rtl/>
          <w:lang w:val="fr-CH"/>
        </w:rPr>
        <w:t xml:space="preserve"> إلى أوزبكستان</w:t>
      </w:r>
      <w:r>
        <w:rPr>
          <w:rtl/>
          <w:lang w:val="fr-CH"/>
        </w:rPr>
        <w:t>،</w:t>
      </w:r>
      <w:r w:rsidRPr="00322426">
        <w:rPr>
          <w:rtl/>
          <w:lang w:val="fr-CH"/>
        </w:rPr>
        <w:t xml:space="preserve"> </w:t>
      </w:r>
      <w:r>
        <w:rPr>
          <w:rFonts w:hint="cs"/>
          <w:rtl/>
          <w:lang w:val="fr-CH"/>
        </w:rPr>
        <w:t>فسيتعرض ل</w:t>
      </w:r>
      <w:r w:rsidRPr="00322426">
        <w:rPr>
          <w:rtl/>
          <w:lang w:val="fr-CH"/>
        </w:rPr>
        <w:t xml:space="preserve">لسجن </w:t>
      </w:r>
      <w:r>
        <w:rPr>
          <w:rFonts w:hint="cs"/>
          <w:rtl/>
          <w:lang w:val="fr-CH"/>
        </w:rPr>
        <w:t>وسيلي</w:t>
      </w:r>
      <w:r w:rsidRPr="00322426">
        <w:rPr>
          <w:rtl/>
          <w:lang w:val="fr-CH"/>
        </w:rPr>
        <w:t xml:space="preserve"> هذا السجن</w:t>
      </w:r>
      <w:r>
        <w:rPr>
          <w:rFonts w:hint="cs"/>
          <w:rtl/>
          <w:lang w:val="fr-CH"/>
        </w:rPr>
        <w:t xml:space="preserve"> لا</w:t>
      </w:r>
      <w:r w:rsidR="00D969E7">
        <w:rPr>
          <w:rFonts w:hint="eastAsia"/>
          <w:rtl/>
          <w:lang w:val="fr-CH"/>
        </w:rPr>
        <w:t> </w:t>
      </w:r>
      <w:r>
        <w:rPr>
          <w:rFonts w:hint="cs"/>
          <w:rtl/>
          <w:lang w:val="fr-CH"/>
        </w:rPr>
        <w:t>محالة</w:t>
      </w:r>
      <w:r w:rsidRPr="00322426">
        <w:rPr>
          <w:rtl/>
          <w:lang w:val="fr-CH"/>
        </w:rPr>
        <w:t xml:space="preserve"> سوء المعاملة والتعذيب</w:t>
      </w:r>
      <w:r>
        <w:rPr>
          <w:rtl/>
          <w:lang w:val="fr-CH"/>
        </w:rPr>
        <w:t>،</w:t>
      </w:r>
      <w:r w:rsidRPr="00322426">
        <w:rPr>
          <w:rtl/>
          <w:lang w:val="fr-CH"/>
        </w:rPr>
        <w:t xml:space="preserve"> كما </w:t>
      </w:r>
      <w:r>
        <w:rPr>
          <w:rFonts w:hint="cs"/>
          <w:rtl/>
          <w:lang w:val="fr-CH"/>
        </w:rPr>
        <w:t>شهد</w:t>
      </w:r>
      <w:r w:rsidRPr="00322426">
        <w:rPr>
          <w:rtl/>
          <w:lang w:val="fr-CH"/>
        </w:rPr>
        <w:t xml:space="preserve"> من قبل</w:t>
      </w:r>
      <w:r>
        <w:rPr>
          <w:rtl/>
          <w:lang w:val="fr-CH"/>
        </w:rPr>
        <w:t>،</w:t>
      </w:r>
      <w:r w:rsidRPr="00322426">
        <w:rPr>
          <w:rtl/>
          <w:lang w:val="fr-CH"/>
        </w:rPr>
        <w:t xml:space="preserve"> </w:t>
      </w:r>
      <w:r>
        <w:rPr>
          <w:rFonts w:hint="cs"/>
          <w:rtl/>
          <w:lang w:val="fr-CH"/>
        </w:rPr>
        <w:t xml:space="preserve">مما سيشكل </w:t>
      </w:r>
      <w:r w:rsidRPr="00322426">
        <w:rPr>
          <w:rtl/>
          <w:lang w:val="fr-CH"/>
        </w:rPr>
        <w:t>انتهاكا</w:t>
      </w:r>
      <w:r w:rsidR="005E4BCD">
        <w:rPr>
          <w:rFonts w:hint="cs"/>
          <w:rtl/>
          <w:lang w:val="fr-CH"/>
        </w:rPr>
        <w:t>ً</w:t>
      </w:r>
      <w:r w:rsidRPr="00322426">
        <w:rPr>
          <w:rtl/>
          <w:lang w:val="fr-CH"/>
        </w:rPr>
        <w:t xml:space="preserve"> للمادة 3 من الاتفاقية. وأحاطت اللجنة علما</w:t>
      </w:r>
      <w:r w:rsidR="005E4BCD">
        <w:rPr>
          <w:rFonts w:hint="cs"/>
          <w:rtl/>
          <w:lang w:val="fr-CH"/>
        </w:rPr>
        <w:t>ً</w:t>
      </w:r>
      <w:r w:rsidRPr="00322426">
        <w:rPr>
          <w:rtl/>
          <w:lang w:val="fr-CH"/>
        </w:rPr>
        <w:t xml:space="preserve"> بملاحظة الدولة الطرف أن </w:t>
      </w:r>
      <w:r>
        <w:rPr>
          <w:rtl/>
          <w:lang w:val="fr-CH"/>
        </w:rPr>
        <w:t>صاحب الشكوى</w:t>
      </w:r>
      <w:r w:rsidRPr="00322426">
        <w:rPr>
          <w:rtl/>
          <w:lang w:val="fr-CH"/>
        </w:rPr>
        <w:t xml:space="preserve"> </w:t>
      </w:r>
      <w:r>
        <w:rPr>
          <w:rFonts w:hint="cs"/>
          <w:rtl/>
          <w:lang w:val="fr-CH"/>
        </w:rPr>
        <w:t>قدم</w:t>
      </w:r>
      <w:r w:rsidRPr="00322426">
        <w:rPr>
          <w:rtl/>
          <w:lang w:val="fr-CH"/>
        </w:rPr>
        <w:t xml:space="preserve"> هوية مزورة لمجلس الهجرة و</w:t>
      </w:r>
      <w:r>
        <w:rPr>
          <w:rFonts w:hint="cs"/>
          <w:rtl/>
          <w:lang w:val="fr-CH"/>
        </w:rPr>
        <w:t xml:space="preserve">أن المحكمة لم تتمكن </w:t>
      </w:r>
      <w:r w:rsidRPr="00322426">
        <w:rPr>
          <w:rtl/>
          <w:lang w:val="fr-CH"/>
        </w:rPr>
        <w:t>بعد ذلك</w:t>
      </w:r>
      <w:r>
        <w:rPr>
          <w:rtl/>
          <w:lang w:val="fr-CH"/>
        </w:rPr>
        <w:t>،</w:t>
      </w:r>
      <w:r w:rsidRPr="00322426">
        <w:rPr>
          <w:rtl/>
          <w:lang w:val="fr-CH"/>
        </w:rPr>
        <w:t xml:space="preserve"> </w:t>
      </w:r>
      <w:r>
        <w:rPr>
          <w:rFonts w:hint="cs"/>
          <w:rtl/>
          <w:lang w:val="fr-CH"/>
        </w:rPr>
        <w:t>من إثبات</w:t>
      </w:r>
      <w:r w:rsidRPr="00322426">
        <w:rPr>
          <w:rtl/>
          <w:lang w:val="fr-CH"/>
        </w:rPr>
        <w:t xml:space="preserve"> الهوية الحقيقية التي </w:t>
      </w:r>
      <w:r>
        <w:rPr>
          <w:rFonts w:hint="cs"/>
          <w:rtl/>
          <w:lang w:val="fr-CH"/>
        </w:rPr>
        <w:t>يدعيها</w:t>
      </w:r>
      <w:r>
        <w:rPr>
          <w:rtl/>
          <w:lang w:val="fr-CH"/>
        </w:rPr>
        <w:t>،</w:t>
      </w:r>
      <w:r w:rsidRPr="00322426">
        <w:rPr>
          <w:rtl/>
          <w:lang w:val="fr-CH"/>
        </w:rPr>
        <w:t xml:space="preserve"> وأنه </w:t>
      </w:r>
      <w:r>
        <w:rPr>
          <w:rFonts w:hint="cs"/>
          <w:rtl/>
          <w:lang w:val="fr-CH"/>
        </w:rPr>
        <w:t>عدل عن</w:t>
      </w:r>
      <w:r w:rsidRPr="00322426">
        <w:rPr>
          <w:rtl/>
          <w:lang w:val="fr-CH"/>
        </w:rPr>
        <w:t xml:space="preserve"> تصريحاته الأصل</w:t>
      </w:r>
      <w:r>
        <w:rPr>
          <w:rFonts w:hint="cs"/>
          <w:rtl/>
          <w:lang w:val="fr-CH"/>
        </w:rPr>
        <w:t>ية</w:t>
      </w:r>
      <w:r>
        <w:rPr>
          <w:rtl/>
          <w:lang w:val="fr-CH"/>
        </w:rPr>
        <w:t xml:space="preserve"> في أكثر من مناسبة</w:t>
      </w:r>
      <w:r w:rsidRPr="00322426">
        <w:rPr>
          <w:rtl/>
          <w:lang w:val="fr-CH"/>
        </w:rPr>
        <w:t xml:space="preserve">؛ </w:t>
      </w:r>
      <w:r>
        <w:rPr>
          <w:rFonts w:hint="cs"/>
          <w:rtl/>
          <w:lang w:val="fr-CH"/>
        </w:rPr>
        <w:t>و</w:t>
      </w:r>
      <w:r w:rsidRPr="00322426">
        <w:rPr>
          <w:rtl/>
          <w:lang w:val="fr-CH"/>
        </w:rPr>
        <w:t xml:space="preserve">أنه لم </w:t>
      </w:r>
      <w:r>
        <w:rPr>
          <w:rFonts w:hint="cs"/>
          <w:rtl/>
          <w:lang w:val="fr-CH"/>
        </w:rPr>
        <w:t>يستطع تقديم</w:t>
      </w:r>
      <w:r w:rsidRPr="00322426">
        <w:rPr>
          <w:rtl/>
          <w:lang w:val="fr-CH"/>
        </w:rPr>
        <w:t xml:space="preserve"> بعض المعلومات الأساسية </w:t>
      </w:r>
      <w:r>
        <w:rPr>
          <w:rFonts w:hint="cs"/>
          <w:rtl/>
          <w:lang w:val="fr-CH"/>
        </w:rPr>
        <w:t>المتعلقة ب</w:t>
      </w:r>
      <w:r w:rsidRPr="00322426">
        <w:rPr>
          <w:rtl/>
          <w:lang w:val="fr-CH"/>
        </w:rPr>
        <w:t xml:space="preserve">الأحداث في </w:t>
      </w:r>
      <w:r>
        <w:rPr>
          <w:rFonts w:hint="cs"/>
          <w:rtl/>
          <w:lang w:val="fr-CH"/>
        </w:rPr>
        <w:t>أنديجان</w:t>
      </w:r>
      <w:r>
        <w:rPr>
          <w:rtl/>
          <w:lang w:val="fr-CH"/>
        </w:rPr>
        <w:t>،</w:t>
      </w:r>
      <w:r w:rsidRPr="00322426">
        <w:rPr>
          <w:rtl/>
          <w:lang w:val="fr-CH"/>
        </w:rPr>
        <w:t xml:space="preserve"> مثل اسم الساحة الرئيسية حيث جرت المظاهرة</w:t>
      </w:r>
      <w:r>
        <w:rPr>
          <w:rtl/>
          <w:lang w:val="fr-CH"/>
        </w:rPr>
        <w:t>،</w:t>
      </w:r>
      <w:r w:rsidRPr="00322426">
        <w:rPr>
          <w:rtl/>
          <w:lang w:val="fr-CH"/>
        </w:rPr>
        <w:t xml:space="preserve"> وأنه لم </w:t>
      </w:r>
      <w:r>
        <w:rPr>
          <w:rFonts w:hint="cs"/>
          <w:rtl/>
          <w:lang w:val="fr-CH"/>
        </w:rPr>
        <w:t>ي</w:t>
      </w:r>
      <w:r w:rsidRPr="00322426">
        <w:rPr>
          <w:rtl/>
          <w:lang w:val="fr-CH"/>
        </w:rPr>
        <w:t xml:space="preserve">قدم أي وثيقة </w:t>
      </w:r>
      <w:r>
        <w:rPr>
          <w:rFonts w:hint="cs"/>
          <w:rtl/>
          <w:lang w:val="fr-CH"/>
        </w:rPr>
        <w:t>تثبت</w:t>
      </w:r>
      <w:r w:rsidRPr="00322426">
        <w:rPr>
          <w:rtl/>
          <w:lang w:val="fr-CH"/>
        </w:rPr>
        <w:t xml:space="preserve"> إد</w:t>
      </w:r>
      <w:r>
        <w:rPr>
          <w:rtl/>
          <w:lang w:val="fr-CH"/>
        </w:rPr>
        <w:t xml:space="preserve">انته من قبل محكمة عسكرية وحظر </w:t>
      </w:r>
      <w:r>
        <w:rPr>
          <w:rFonts w:hint="cs"/>
          <w:rtl/>
          <w:lang w:val="fr-CH"/>
        </w:rPr>
        <w:t>ا</w:t>
      </w:r>
      <w:r>
        <w:rPr>
          <w:rtl/>
          <w:lang w:val="fr-CH"/>
        </w:rPr>
        <w:t>ل</w:t>
      </w:r>
      <w:r w:rsidRPr="00322426">
        <w:rPr>
          <w:rtl/>
          <w:lang w:val="fr-CH"/>
        </w:rPr>
        <w:t>سفر</w:t>
      </w:r>
      <w:r>
        <w:rPr>
          <w:rFonts w:hint="cs"/>
          <w:rtl/>
          <w:lang w:val="fr-CH"/>
        </w:rPr>
        <w:t xml:space="preserve"> الذي شمله ولم يقدم </w:t>
      </w:r>
      <w:r w:rsidRPr="00322426">
        <w:rPr>
          <w:rtl/>
          <w:lang w:val="fr-CH"/>
        </w:rPr>
        <w:t>وصف</w:t>
      </w:r>
      <w:r>
        <w:rPr>
          <w:rFonts w:hint="cs"/>
          <w:rtl/>
          <w:lang w:val="fr-CH"/>
        </w:rPr>
        <w:t>اً</w:t>
      </w:r>
      <w:r w:rsidRPr="00322426">
        <w:rPr>
          <w:rtl/>
          <w:lang w:val="fr-CH"/>
        </w:rPr>
        <w:t xml:space="preserve"> لهذه الوثائق</w:t>
      </w:r>
      <w:r>
        <w:rPr>
          <w:rtl/>
          <w:lang w:val="fr-CH"/>
        </w:rPr>
        <w:t>،</w:t>
      </w:r>
      <w:r w:rsidRPr="00322426">
        <w:rPr>
          <w:rtl/>
          <w:lang w:val="fr-CH"/>
        </w:rPr>
        <w:t xml:space="preserve"> وأن ادعاءاته التعذيب كانت غامضة ولم </w:t>
      </w:r>
      <w:r>
        <w:rPr>
          <w:rFonts w:hint="cs"/>
          <w:rtl/>
          <w:lang w:val="fr-CH"/>
        </w:rPr>
        <w:t>ي</w:t>
      </w:r>
      <w:r w:rsidRPr="00322426">
        <w:rPr>
          <w:rtl/>
          <w:lang w:val="fr-CH"/>
        </w:rPr>
        <w:t xml:space="preserve">قدم تفاصيل عن الظروف التي </w:t>
      </w:r>
      <w:r>
        <w:rPr>
          <w:rFonts w:hint="cs"/>
          <w:rtl/>
          <w:lang w:val="fr-CH"/>
        </w:rPr>
        <w:t>تعرض فيها للتعذيب</w:t>
      </w:r>
      <w:r w:rsidRPr="00322426">
        <w:rPr>
          <w:rtl/>
          <w:lang w:val="fr-CH"/>
        </w:rPr>
        <w:t xml:space="preserve">. </w:t>
      </w:r>
      <w:r>
        <w:rPr>
          <w:rFonts w:hint="cs"/>
          <w:rtl/>
          <w:lang w:val="fr-CH"/>
        </w:rPr>
        <w:t>و</w:t>
      </w:r>
      <w:r w:rsidRPr="00322426">
        <w:rPr>
          <w:rtl/>
          <w:lang w:val="fr-CH"/>
        </w:rPr>
        <w:t>لاحظت اللجنة</w:t>
      </w:r>
      <w:r>
        <w:rPr>
          <w:rFonts w:hint="cs"/>
          <w:rtl/>
          <w:lang w:val="fr-CH"/>
        </w:rPr>
        <w:t>،</w:t>
      </w:r>
      <w:r w:rsidRPr="00322426">
        <w:rPr>
          <w:rtl/>
          <w:lang w:val="fr-CH"/>
        </w:rPr>
        <w:t xml:space="preserve"> على الرغم من ادعاءات صاحب الشكوى</w:t>
      </w:r>
      <w:r>
        <w:rPr>
          <w:rtl/>
          <w:lang w:val="fr-CH"/>
        </w:rPr>
        <w:t>،</w:t>
      </w:r>
      <w:r>
        <w:rPr>
          <w:rFonts w:hint="cs"/>
          <w:rtl/>
          <w:lang w:val="fr-CH"/>
        </w:rPr>
        <w:t xml:space="preserve"> أن</w:t>
      </w:r>
      <w:r w:rsidRPr="00322426">
        <w:rPr>
          <w:rtl/>
          <w:lang w:val="fr-CH"/>
        </w:rPr>
        <w:t xml:space="preserve"> أولاده</w:t>
      </w:r>
      <w:r>
        <w:rPr>
          <w:rtl/>
          <w:lang w:val="fr-CH"/>
        </w:rPr>
        <w:t>،</w:t>
      </w:r>
      <w:r w:rsidRPr="00322426">
        <w:rPr>
          <w:rtl/>
          <w:lang w:val="fr-CH"/>
        </w:rPr>
        <w:t xml:space="preserve"> الذين كانوا قد فروا في البداية مع زوجته </w:t>
      </w:r>
      <w:r>
        <w:rPr>
          <w:rFonts w:hint="cs"/>
          <w:rtl/>
          <w:lang w:val="fr-CH"/>
        </w:rPr>
        <w:t>إ</w:t>
      </w:r>
      <w:r w:rsidRPr="00322426">
        <w:rPr>
          <w:rtl/>
          <w:lang w:val="fr-CH"/>
        </w:rPr>
        <w:t>ل</w:t>
      </w:r>
      <w:r>
        <w:rPr>
          <w:rFonts w:hint="cs"/>
          <w:rtl/>
          <w:lang w:val="fr-CH"/>
        </w:rPr>
        <w:t>ى</w:t>
      </w:r>
      <w:r w:rsidRPr="00322426">
        <w:rPr>
          <w:rtl/>
          <w:lang w:val="fr-CH"/>
        </w:rPr>
        <w:t xml:space="preserve"> كازاخستان</w:t>
      </w:r>
      <w:r>
        <w:rPr>
          <w:rtl/>
          <w:lang w:val="fr-CH"/>
        </w:rPr>
        <w:t>،</w:t>
      </w:r>
      <w:r w:rsidRPr="00322426">
        <w:rPr>
          <w:rtl/>
          <w:lang w:val="fr-CH"/>
        </w:rPr>
        <w:t xml:space="preserve"> </w:t>
      </w:r>
      <w:r>
        <w:rPr>
          <w:rFonts w:hint="cs"/>
          <w:rtl/>
          <w:lang w:val="fr-CH"/>
        </w:rPr>
        <w:t xml:space="preserve">عادوا </w:t>
      </w:r>
      <w:r w:rsidRPr="00322426">
        <w:rPr>
          <w:rtl/>
          <w:lang w:val="fr-CH"/>
        </w:rPr>
        <w:t xml:space="preserve">إلى أوزبكستان </w:t>
      </w:r>
      <w:r>
        <w:rPr>
          <w:rFonts w:hint="cs"/>
          <w:rtl/>
          <w:lang w:val="fr-CH"/>
        </w:rPr>
        <w:t>ويعيشون</w:t>
      </w:r>
      <w:r w:rsidRPr="00322426">
        <w:rPr>
          <w:rtl/>
          <w:lang w:val="fr-CH"/>
        </w:rPr>
        <w:t xml:space="preserve"> مع والديه</w:t>
      </w:r>
      <w:r>
        <w:rPr>
          <w:rtl/>
          <w:lang w:val="fr-CH"/>
        </w:rPr>
        <w:t>،</w:t>
      </w:r>
      <w:r w:rsidRPr="00322426">
        <w:rPr>
          <w:rtl/>
          <w:lang w:val="fr-CH"/>
        </w:rPr>
        <w:t xml:space="preserve"> وأن </w:t>
      </w:r>
      <w:r>
        <w:rPr>
          <w:rtl/>
          <w:lang w:val="fr-CH"/>
        </w:rPr>
        <w:t>صاحب الشكوى</w:t>
      </w:r>
      <w:r w:rsidRPr="00322426">
        <w:rPr>
          <w:rtl/>
          <w:lang w:val="fr-CH"/>
        </w:rPr>
        <w:t xml:space="preserve"> لم </w:t>
      </w:r>
      <w:r>
        <w:rPr>
          <w:rFonts w:hint="cs"/>
          <w:rtl/>
          <w:lang w:val="fr-CH"/>
        </w:rPr>
        <w:t>يبلغ عن</w:t>
      </w:r>
      <w:r w:rsidRPr="00322426">
        <w:rPr>
          <w:rtl/>
          <w:lang w:val="fr-CH"/>
        </w:rPr>
        <w:t xml:space="preserve"> أي أعمال ضد أفراد من عائلته </w:t>
      </w:r>
      <w:r>
        <w:rPr>
          <w:rFonts w:hint="cs"/>
          <w:rtl/>
          <w:lang w:val="fr-CH"/>
        </w:rPr>
        <w:t>عدى طلب</w:t>
      </w:r>
      <w:r w:rsidRPr="00322426">
        <w:rPr>
          <w:rtl/>
          <w:lang w:val="fr-CH"/>
        </w:rPr>
        <w:t xml:space="preserve"> الشرطة معلومات عن مكان وجود</w:t>
      </w:r>
      <w:r>
        <w:rPr>
          <w:rFonts w:hint="cs"/>
          <w:rtl/>
          <w:lang w:val="fr-CH"/>
        </w:rPr>
        <w:t xml:space="preserve"> صاحب</w:t>
      </w:r>
      <w:r w:rsidRPr="00322426">
        <w:rPr>
          <w:rtl/>
          <w:lang w:val="fr-CH"/>
        </w:rPr>
        <w:t xml:space="preserve"> الشكوى. </w:t>
      </w:r>
      <w:r>
        <w:rPr>
          <w:rFonts w:hint="cs"/>
          <w:rtl/>
          <w:lang w:val="fr-CH"/>
        </w:rPr>
        <w:t>و</w:t>
      </w:r>
      <w:r w:rsidRPr="00322426">
        <w:rPr>
          <w:rtl/>
          <w:lang w:val="fr-CH"/>
        </w:rPr>
        <w:t>وفقا</w:t>
      </w:r>
      <w:r w:rsidR="005E4BCD">
        <w:rPr>
          <w:rFonts w:hint="cs"/>
          <w:rtl/>
          <w:lang w:val="fr-CH"/>
        </w:rPr>
        <w:t>ً</w:t>
      </w:r>
      <w:r w:rsidRPr="00322426">
        <w:rPr>
          <w:rtl/>
          <w:lang w:val="fr-CH"/>
        </w:rPr>
        <w:t xml:space="preserve"> لذلك</w:t>
      </w:r>
      <w:r>
        <w:rPr>
          <w:rtl/>
          <w:lang w:val="fr-CH"/>
        </w:rPr>
        <w:t>،</w:t>
      </w:r>
      <w:r w:rsidRPr="00322426">
        <w:rPr>
          <w:rtl/>
          <w:lang w:val="fr-CH"/>
        </w:rPr>
        <w:t xml:space="preserve"> رأت اللجنة أن </w:t>
      </w:r>
      <w:r>
        <w:rPr>
          <w:rtl/>
          <w:lang w:val="fr-CH"/>
        </w:rPr>
        <w:t>صاحب الشكوى</w:t>
      </w:r>
      <w:r w:rsidRPr="00322426">
        <w:rPr>
          <w:rtl/>
          <w:lang w:val="fr-CH"/>
        </w:rPr>
        <w:t xml:space="preserve"> لم </w:t>
      </w:r>
      <w:r>
        <w:rPr>
          <w:rFonts w:hint="cs"/>
          <w:rtl/>
          <w:lang w:val="fr-CH"/>
        </w:rPr>
        <w:t>ي</w:t>
      </w:r>
      <w:r w:rsidRPr="00322426">
        <w:rPr>
          <w:rtl/>
          <w:lang w:val="fr-CH"/>
        </w:rPr>
        <w:t xml:space="preserve">قدم أدلة كافية لدعم مزاعمه تفيد بأنه سيتعرض لخطر حقيقي </w:t>
      </w:r>
      <w:r>
        <w:rPr>
          <w:rFonts w:hint="cs"/>
          <w:rtl/>
          <w:lang w:val="fr-CH"/>
        </w:rPr>
        <w:t>ل</w:t>
      </w:r>
      <w:r>
        <w:rPr>
          <w:rtl/>
          <w:lang w:val="fr-CH"/>
        </w:rPr>
        <w:t xml:space="preserve">لتعذيب </w:t>
      </w:r>
      <w:r>
        <w:rPr>
          <w:rFonts w:hint="cs"/>
          <w:rtl/>
          <w:lang w:val="fr-CH"/>
        </w:rPr>
        <w:t xml:space="preserve">إن هو رُحل إلى </w:t>
      </w:r>
      <w:r w:rsidRPr="00322426">
        <w:rPr>
          <w:rtl/>
          <w:lang w:val="fr-CH"/>
        </w:rPr>
        <w:t>أوزبكستان.</w:t>
      </w:r>
    </w:p>
    <w:p w:rsidR="00F72BDC" w:rsidRPr="00322426" w:rsidRDefault="00F72BDC" w:rsidP="00D969E7">
      <w:pPr>
        <w:pStyle w:val="SingleTxtGA"/>
        <w:rPr>
          <w:rtl/>
          <w:lang w:val="fr-CH"/>
        </w:rPr>
      </w:pPr>
      <w:r w:rsidRPr="00322426">
        <w:rPr>
          <w:rtl/>
          <w:lang w:val="fr-CH"/>
        </w:rPr>
        <w:t>135</w:t>
      </w:r>
      <w:r w:rsidR="00D969E7">
        <w:rPr>
          <w:rFonts w:hint="cs"/>
          <w:rtl/>
          <w:lang w:val="fr-CH"/>
        </w:rPr>
        <w:t>-</w:t>
      </w:r>
      <w:r w:rsidR="00D969E7">
        <w:rPr>
          <w:rFonts w:hint="cs"/>
          <w:rtl/>
          <w:lang w:val="fr-CH"/>
        </w:rPr>
        <w:tab/>
      </w:r>
      <w:r>
        <w:rPr>
          <w:rFonts w:hint="cs"/>
          <w:rtl/>
          <w:lang w:val="fr-CH"/>
        </w:rPr>
        <w:t xml:space="preserve">وقررت اللجنة </w:t>
      </w:r>
      <w:r w:rsidRPr="00322426">
        <w:rPr>
          <w:rtl/>
          <w:lang w:val="fr-CH"/>
        </w:rPr>
        <w:t>في دورتها الخمسين أيضا</w:t>
      </w:r>
      <w:r w:rsidR="00D969E7">
        <w:rPr>
          <w:rFonts w:hint="cs"/>
          <w:rtl/>
          <w:lang w:val="fr-CH"/>
        </w:rPr>
        <w:t>ً</w:t>
      </w:r>
      <w:r>
        <w:rPr>
          <w:rtl/>
          <w:lang w:val="fr-CH"/>
        </w:rPr>
        <w:t>،</w:t>
      </w:r>
      <w:r w:rsidRPr="00322426">
        <w:rPr>
          <w:rtl/>
          <w:lang w:val="fr-CH"/>
        </w:rPr>
        <w:t xml:space="preserve"> أن تعلن عدم قبول الشكوى رقم</w:t>
      </w:r>
      <w:r w:rsidR="00D969E7">
        <w:rPr>
          <w:rFonts w:hint="cs"/>
          <w:rtl/>
          <w:lang w:val="fr-CH"/>
        </w:rPr>
        <w:t> </w:t>
      </w:r>
      <w:r w:rsidR="00D969E7">
        <w:rPr>
          <w:rtl/>
          <w:lang w:val="fr-CH"/>
        </w:rPr>
        <w:t xml:space="preserve">479/2011 </w:t>
      </w:r>
      <w:r w:rsidR="00D969E7" w:rsidRPr="00D969E7">
        <w:rPr>
          <w:i/>
          <w:iCs/>
          <w:rtl/>
          <w:lang w:val="fr-CH"/>
        </w:rPr>
        <w:t>(</w:t>
      </w:r>
      <w:r w:rsidRPr="00D969E7">
        <w:rPr>
          <w:rFonts w:hint="cs"/>
          <w:i/>
          <w:iCs/>
          <w:rtl/>
          <w:lang w:val="fr-CH"/>
        </w:rPr>
        <w:t>إ. إ.</w:t>
      </w:r>
      <w:r w:rsidRPr="00D969E7">
        <w:rPr>
          <w:i/>
          <w:iCs/>
          <w:rtl/>
          <w:lang w:val="fr-CH"/>
        </w:rPr>
        <w:t xml:space="preserve"> ضد الاتحاد الروسي)</w:t>
      </w:r>
      <w:r w:rsidRPr="00322426">
        <w:rPr>
          <w:rtl/>
          <w:lang w:val="fr-CH"/>
        </w:rPr>
        <w:t>.</w:t>
      </w:r>
    </w:p>
    <w:p w:rsidR="00F72BDC" w:rsidRDefault="00F72BDC" w:rsidP="00D969E7">
      <w:pPr>
        <w:pStyle w:val="SingleTxtGA"/>
        <w:rPr>
          <w:rFonts w:hint="cs"/>
          <w:rtl/>
          <w:lang w:val="fr-CH"/>
        </w:rPr>
      </w:pPr>
      <w:r w:rsidRPr="00322426">
        <w:rPr>
          <w:rtl/>
          <w:lang w:val="fr-CH"/>
        </w:rPr>
        <w:t>136</w:t>
      </w:r>
      <w:r w:rsidR="00D969E7">
        <w:rPr>
          <w:rFonts w:hint="cs"/>
          <w:rtl/>
          <w:lang w:val="fr-CH"/>
        </w:rPr>
        <w:t>-</w:t>
      </w:r>
      <w:r w:rsidR="00D969E7">
        <w:rPr>
          <w:rFonts w:hint="cs"/>
          <w:rtl/>
          <w:lang w:val="fr-CH"/>
        </w:rPr>
        <w:tab/>
      </w:r>
      <w:r>
        <w:rPr>
          <w:rFonts w:hint="cs"/>
          <w:rtl/>
          <w:lang w:val="fr-CH"/>
        </w:rPr>
        <w:t xml:space="preserve">ويتعلق </w:t>
      </w:r>
      <w:r w:rsidRPr="00322426">
        <w:rPr>
          <w:rtl/>
          <w:lang w:val="fr-CH"/>
        </w:rPr>
        <w:t>البلاغ رقم</w:t>
      </w:r>
      <w:r>
        <w:rPr>
          <w:rFonts w:hint="cs"/>
          <w:rtl/>
          <w:lang w:val="fr-CH"/>
        </w:rPr>
        <w:t xml:space="preserve"> </w:t>
      </w:r>
      <w:r w:rsidR="00D969E7">
        <w:rPr>
          <w:rFonts w:hint="cs"/>
          <w:rtl/>
          <w:lang w:val="fr-CH"/>
        </w:rPr>
        <w:t xml:space="preserve">479/2011 </w:t>
      </w:r>
      <w:r w:rsidR="00D969E7" w:rsidRPr="00D969E7">
        <w:rPr>
          <w:rFonts w:hint="cs"/>
          <w:i/>
          <w:iCs/>
          <w:rtl/>
          <w:lang w:val="fr-CH"/>
        </w:rPr>
        <w:t>(</w:t>
      </w:r>
      <w:r w:rsidRPr="00D969E7">
        <w:rPr>
          <w:rFonts w:hint="cs"/>
          <w:i/>
          <w:iCs/>
          <w:rtl/>
          <w:lang w:val="fr-CH"/>
        </w:rPr>
        <w:t>إ. إ.</w:t>
      </w:r>
      <w:r w:rsidRPr="00D969E7">
        <w:rPr>
          <w:i/>
          <w:iCs/>
          <w:rtl/>
          <w:lang w:val="fr-CH"/>
        </w:rPr>
        <w:t xml:space="preserve"> ضد الاتحاد الروسي)</w:t>
      </w:r>
      <w:r w:rsidRPr="00322426">
        <w:rPr>
          <w:rtl/>
          <w:lang w:val="fr-CH"/>
        </w:rPr>
        <w:t xml:space="preserve"> </w:t>
      </w:r>
      <w:r>
        <w:rPr>
          <w:rFonts w:hint="cs"/>
          <w:rtl/>
          <w:lang w:val="fr-CH"/>
        </w:rPr>
        <w:t>ب</w:t>
      </w:r>
      <w:r>
        <w:rPr>
          <w:rtl/>
          <w:lang w:val="fr-CH"/>
        </w:rPr>
        <w:t>مواطن</w:t>
      </w:r>
      <w:r>
        <w:rPr>
          <w:rFonts w:hint="cs"/>
          <w:rtl/>
          <w:lang w:val="fr-CH"/>
        </w:rPr>
        <w:t xml:space="preserve"> من </w:t>
      </w:r>
      <w:r w:rsidRPr="00322426">
        <w:rPr>
          <w:rtl/>
          <w:lang w:val="fr-CH"/>
        </w:rPr>
        <w:t>الاتحاد الروسي</w:t>
      </w:r>
      <w:r>
        <w:rPr>
          <w:rtl/>
          <w:lang w:val="fr-CH"/>
        </w:rPr>
        <w:t>،</w:t>
      </w:r>
      <w:r w:rsidRPr="00322426">
        <w:rPr>
          <w:rtl/>
          <w:lang w:val="fr-CH"/>
        </w:rPr>
        <w:t xml:space="preserve"> </w:t>
      </w:r>
      <w:r>
        <w:rPr>
          <w:rFonts w:hint="cs"/>
          <w:rtl/>
          <w:lang w:val="fr-CH"/>
        </w:rPr>
        <w:t>ي</w:t>
      </w:r>
      <w:r w:rsidRPr="00322426">
        <w:rPr>
          <w:rtl/>
          <w:lang w:val="fr-CH"/>
        </w:rPr>
        <w:t>زعم أنه تعرض للتعذيب وسوء المعاملة في المراحل الأولى من اعتقاله</w:t>
      </w:r>
      <w:r>
        <w:rPr>
          <w:rtl/>
          <w:lang w:val="fr-CH"/>
        </w:rPr>
        <w:t>،</w:t>
      </w:r>
      <w:r w:rsidRPr="00322426">
        <w:rPr>
          <w:rtl/>
          <w:lang w:val="fr-CH"/>
        </w:rPr>
        <w:t xml:space="preserve"> وكذلك أثناء الاحتجاز السابق للمحاكمة، وأن </w:t>
      </w:r>
      <w:r>
        <w:rPr>
          <w:rFonts w:hint="cs"/>
          <w:rtl/>
          <w:lang w:val="fr-CH"/>
        </w:rPr>
        <w:t>عدم ا</w:t>
      </w:r>
      <w:r w:rsidRPr="00322426">
        <w:rPr>
          <w:rtl/>
          <w:lang w:val="fr-CH"/>
        </w:rPr>
        <w:t>لتحقيق في شكواه</w:t>
      </w:r>
      <w:r>
        <w:rPr>
          <w:rFonts w:hint="cs"/>
          <w:rtl/>
          <w:lang w:val="fr-CH"/>
        </w:rPr>
        <w:t xml:space="preserve"> لاحقا</w:t>
      </w:r>
      <w:r w:rsidR="00D969E7">
        <w:rPr>
          <w:rFonts w:hint="cs"/>
          <w:rtl/>
          <w:lang w:val="fr-CH"/>
        </w:rPr>
        <w:t>ً</w:t>
      </w:r>
      <w:r>
        <w:rPr>
          <w:rFonts w:hint="cs"/>
          <w:rtl/>
          <w:lang w:val="fr-CH"/>
        </w:rPr>
        <w:t xml:space="preserve"> ي</w:t>
      </w:r>
      <w:r w:rsidRPr="00322426">
        <w:rPr>
          <w:rtl/>
          <w:lang w:val="fr-CH"/>
        </w:rPr>
        <w:t>مثل انتهاكا</w:t>
      </w:r>
      <w:r w:rsidR="00D969E7">
        <w:rPr>
          <w:rFonts w:hint="cs"/>
          <w:rtl/>
          <w:lang w:val="fr-CH"/>
        </w:rPr>
        <w:t>ً</w:t>
      </w:r>
      <w:r>
        <w:rPr>
          <w:rtl/>
          <w:lang w:val="fr-CH"/>
        </w:rPr>
        <w:t>،</w:t>
      </w:r>
      <w:r w:rsidRPr="00322426">
        <w:rPr>
          <w:rtl/>
          <w:lang w:val="fr-CH"/>
        </w:rPr>
        <w:t xml:space="preserve"> من قبل الدولة الطرف</w:t>
      </w:r>
      <w:r>
        <w:rPr>
          <w:rtl/>
          <w:lang w:val="fr-CH"/>
        </w:rPr>
        <w:t>،</w:t>
      </w:r>
      <w:r w:rsidRPr="00322426">
        <w:rPr>
          <w:rtl/>
          <w:lang w:val="fr-CH"/>
        </w:rPr>
        <w:t xml:space="preserve"> </w:t>
      </w:r>
      <w:r>
        <w:rPr>
          <w:rFonts w:hint="cs"/>
          <w:rtl/>
          <w:lang w:val="fr-CH"/>
        </w:rPr>
        <w:t>ل</w:t>
      </w:r>
      <w:r w:rsidRPr="00322426">
        <w:rPr>
          <w:rtl/>
          <w:lang w:val="fr-CH"/>
        </w:rPr>
        <w:t>حقوقه المنصوص عليها في الفقرة 1 من المادة 1 والفقرة 3 من المادة 2</w:t>
      </w:r>
      <w:r>
        <w:rPr>
          <w:rtl/>
          <w:lang w:val="fr-CH"/>
        </w:rPr>
        <w:t>،</w:t>
      </w:r>
      <w:r w:rsidRPr="00322426">
        <w:rPr>
          <w:rtl/>
          <w:lang w:val="fr-CH"/>
        </w:rPr>
        <w:t xml:space="preserve"> والمادة 3 والفقرة 1 من المادة 4 من الاتفاقية. و</w:t>
      </w:r>
      <w:r>
        <w:rPr>
          <w:rFonts w:hint="cs"/>
          <w:rtl/>
          <w:lang w:val="fr-CH"/>
        </w:rPr>
        <w:t>ي</w:t>
      </w:r>
      <w:r w:rsidRPr="00322426">
        <w:rPr>
          <w:rtl/>
          <w:lang w:val="fr-CH"/>
        </w:rPr>
        <w:t>دعى أيضا</w:t>
      </w:r>
      <w:r w:rsidR="00D969E7">
        <w:rPr>
          <w:rFonts w:hint="cs"/>
          <w:rtl/>
          <w:lang w:val="fr-CH"/>
        </w:rPr>
        <w:t>ً</w:t>
      </w:r>
      <w:r w:rsidRPr="00322426">
        <w:rPr>
          <w:rtl/>
          <w:lang w:val="fr-CH"/>
        </w:rPr>
        <w:t xml:space="preserve"> أن </w:t>
      </w:r>
      <w:r>
        <w:rPr>
          <w:rFonts w:hint="cs"/>
          <w:rtl/>
          <w:lang w:val="fr-CH"/>
        </w:rPr>
        <w:t xml:space="preserve">إساءة </w:t>
      </w:r>
      <w:r w:rsidRPr="00322426">
        <w:rPr>
          <w:rtl/>
          <w:lang w:val="fr-CH"/>
        </w:rPr>
        <w:t>معامل</w:t>
      </w:r>
      <w:r>
        <w:rPr>
          <w:rFonts w:hint="cs"/>
          <w:rtl/>
          <w:lang w:val="fr-CH"/>
        </w:rPr>
        <w:t>ته</w:t>
      </w:r>
      <w:r w:rsidR="00D969E7">
        <w:rPr>
          <w:rtl/>
          <w:lang w:val="fr-CH"/>
        </w:rPr>
        <w:t xml:space="preserve"> في مركز الشرطة و</w:t>
      </w:r>
      <w:r w:rsidRPr="00322426">
        <w:rPr>
          <w:rtl/>
          <w:lang w:val="fr-CH"/>
        </w:rPr>
        <w:t xml:space="preserve">السجن </w:t>
      </w:r>
      <w:r>
        <w:rPr>
          <w:rFonts w:hint="cs"/>
          <w:rtl/>
          <w:lang w:val="fr-CH"/>
        </w:rPr>
        <w:t>تبلغ</w:t>
      </w:r>
      <w:r w:rsidRPr="00322426">
        <w:rPr>
          <w:rtl/>
          <w:lang w:val="fr-CH"/>
        </w:rPr>
        <w:t xml:space="preserve"> حد التعذيب </w:t>
      </w:r>
      <w:r>
        <w:rPr>
          <w:rFonts w:hint="cs"/>
          <w:rtl/>
          <w:lang w:val="fr-CH"/>
        </w:rPr>
        <w:t>بهدف</w:t>
      </w:r>
      <w:r w:rsidRPr="00322426">
        <w:rPr>
          <w:rtl/>
          <w:lang w:val="fr-CH"/>
        </w:rPr>
        <w:t xml:space="preserve"> الحصول على اعتراف</w:t>
      </w:r>
      <w:r>
        <w:rPr>
          <w:rtl/>
          <w:lang w:val="fr-CH"/>
        </w:rPr>
        <w:t>،</w:t>
      </w:r>
      <w:r w:rsidRPr="00322426">
        <w:rPr>
          <w:rtl/>
          <w:lang w:val="fr-CH"/>
        </w:rPr>
        <w:t xml:space="preserve"> </w:t>
      </w:r>
      <w:r>
        <w:rPr>
          <w:rFonts w:hint="cs"/>
          <w:rtl/>
          <w:lang w:val="fr-CH"/>
        </w:rPr>
        <w:t>مما يعد</w:t>
      </w:r>
      <w:r w:rsidRPr="00322426">
        <w:rPr>
          <w:rtl/>
          <w:lang w:val="fr-CH"/>
        </w:rPr>
        <w:t xml:space="preserve"> انتهاك</w:t>
      </w:r>
      <w:r>
        <w:rPr>
          <w:rFonts w:hint="cs"/>
          <w:rtl/>
          <w:lang w:val="fr-CH"/>
        </w:rPr>
        <w:t>ا</w:t>
      </w:r>
      <w:r w:rsidR="00D969E7">
        <w:rPr>
          <w:rFonts w:hint="cs"/>
          <w:rtl/>
          <w:lang w:val="fr-CH"/>
        </w:rPr>
        <w:t>ً</w:t>
      </w:r>
      <w:r w:rsidRPr="00322426">
        <w:rPr>
          <w:rtl/>
          <w:lang w:val="fr-CH"/>
        </w:rPr>
        <w:t xml:space="preserve"> </w:t>
      </w:r>
      <w:r w:rsidR="00D969E7">
        <w:rPr>
          <w:rFonts w:hint="cs"/>
          <w:rtl/>
          <w:lang w:val="fr-CH"/>
        </w:rPr>
        <w:t xml:space="preserve">للمادة </w:t>
      </w:r>
      <w:r w:rsidRPr="00322426">
        <w:rPr>
          <w:rtl/>
          <w:lang w:val="fr-CH"/>
        </w:rPr>
        <w:t xml:space="preserve">15 من الاتفاقية. ولاحظت اللجنة أن ادعاءات </w:t>
      </w:r>
      <w:r>
        <w:rPr>
          <w:rtl/>
          <w:lang w:val="fr-CH"/>
        </w:rPr>
        <w:t>صاحب الشكوى</w:t>
      </w:r>
      <w:r w:rsidRPr="00322426">
        <w:rPr>
          <w:rtl/>
          <w:lang w:val="fr-CH"/>
        </w:rPr>
        <w:t xml:space="preserve"> </w:t>
      </w:r>
      <w:r>
        <w:rPr>
          <w:rFonts w:hint="cs"/>
          <w:rtl/>
          <w:lang w:val="fr-CH"/>
        </w:rPr>
        <w:t>نظرت فيها</w:t>
      </w:r>
      <w:r w:rsidRPr="00322426">
        <w:rPr>
          <w:rtl/>
          <w:lang w:val="fr-CH"/>
        </w:rPr>
        <w:t xml:space="preserve"> المحكمة الأوروبية لحقوق الإنسان، وأن</w:t>
      </w:r>
      <w:r>
        <w:rPr>
          <w:rFonts w:hint="cs"/>
          <w:rtl/>
          <w:lang w:val="fr-CH"/>
        </w:rPr>
        <w:t xml:space="preserve"> المحكمة خلصت إلى عدم قبول طلبه</w:t>
      </w:r>
      <w:r w:rsidRPr="00322426">
        <w:rPr>
          <w:rtl/>
          <w:lang w:val="fr-CH"/>
        </w:rPr>
        <w:t xml:space="preserve"> يوم 28 </w:t>
      </w:r>
      <w:r>
        <w:rPr>
          <w:rFonts w:hint="cs"/>
          <w:rtl/>
          <w:lang w:val="fr-CH"/>
        </w:rPr>
        <w:t>آذار/</w:t>
      </w:r>
      <w:r>
        <w:rPr>
          <w:rtl/>
          <w:lang w:val="fr-CH"/>
        </w:rPr>
        <w:t>مارس 2006</w:t>
      </w:r>
      <w:r w:rsidRPr="00322426">
        <w:rPr>
          <w:rtl/>
          <w:lang w:val="fr-CH"/>
        </w:rPr>
        <w:t xml:space="preserve">؛ </w:t>
      </w:r>
      <w:r>
        <w:rPr>
          <w:rFonts w:hint="cs"/>
          <w:rtl/>
          <w:lang w:val="fr-CH"/>
        </w:rPr>
        <w:t xml:space="preserve">فمن خلال </w:t>
      </w:r>
      <w:r w:rsidRPr="00322426">
        <w:rPr>
          <w:rtl/>
          <w:lang w:val="fr-CH"/>
        </w:rPr>
        <w:t>لجنة من ثلاثة قضاة</w:t>
      </w:r>
      <w:r>
        <w:rPr>
          <w:rtl/>
          <w:lang w:val="fr-CH"/>
        </w:rPr>
        <w:t>،</w:t>
      </w:r>
      <w:r>
        <w:rPr>
          <w:rFonts w:hint="cs"/>
          <w:rtl/>
          <w:lang w:val="fr-CH"/>
        </w:rPr>
        <w:t xml:space="preserve"> أعلنت المحكمة</w:t>
      </w:r>
      <w:r w:rsidRPr="00322426">
        <w:rPr>
          <w:rtl/>
          <w:lang w:val="fr-CH"/>
        </w:rPr>
        <w:t xml:space="preserve"> </w:t>
      </w:r>
      <w:r>
        <w:rPr>
          <w:rFonts w:hint="cs"/>
          <w:rtl/>
          <w:lang w:val="fr-CH"/>
        </w:rPr>
        <w:t xml:space="preserve">عدم قبول </w:t>
      </w:r>
      <w:r w:rsidRPr="00322426">
        <w:rPr>
          <w:rtl/>
          <w:lang w:val="fr-CH"/>
        </w:rPr>
        <w:t xml:space="preserve">المطالبات على أساس أن المعلومات المعروضة عليها لم تكشف عن أي انتهاك للحقوق والحريات التي تكفلها الاتفاقية الأوروبية لحماية حقوق الإنسان والحريات الأساسية. </w:t>
      </w:r>
      <w:r>
        <w:rPr>
          <w:rFonts w:hint="cs"/>
          <w:rtl/>
          <w:lang w:val="fr-CH"/>
        </w:rPr>
        <w:t>و</w:t>
      </w:r>
      <w:r w:rsidRPr="00322426">
        <w:rPr>
          <w:rtl/>
          <w:lang w:val="fr-CH"/>
        </w:rPr>
        <w:t>بالتالي</w:t>
      </w:r>
      <w:r>
        <w:rPr>
          <w:rtl/>
          <w:lang w:val="fr-CH"/>
        </w:rPr>
        <w:t>،</w:t>
      </w:r>
      <w:r w:rsidRPr="00322426">
        <w:rPr>
          <w:rtl/>
          <w:lang w:val="fr-CH"/>
        </w:rPr>
        <w:t xml:space="preserve"> رأت اللجنة أن </w:t>
      </w:r>
      <w:r>
        <w:rPr>
          <w:rFonts w:hint="cs"/>
          <w:rtl/>
          <w:lang w:val="fr-CH"/>
        </w:rPr>
        <w:t>نظر</w:t>
      </w:r>
      <w:r w:rsidRPr="00322426">
        <w:rPr>
          <w:rtl/>
          <w:lang w:val="fr-CH"/>
        </w:rPr>
        <w:t xml:space="preserve"> المحكمة الأوروبية لحقوق الإنسان في هذه القضية </w:t>
      </w:r>
      <w:r>
        <w:rPr>
          <w:rFonts w:hint="cs"/>
          <w:rtl/>
          <w:lang w:val="fr-CH"/>
        </w:rPr>
        <w:t xml:space="preserve">هو </w:t>
      </w:r>
      <w:r w:rsidRPr="00322426">
        <w:rPr>
          <w:rtl/>
          <w:lang w:val="fr-CH"/>
        </w:rPr>
        <w:t xml:space="preserve">إجراء آخر من إجراءات التحقيق الدولي أو التسوية الدولية وخلصت إلى أن </w:t>
      </w:r>
      <w:r w:rsidR="005E4BCD">
        <w:rPr>
          <w:rtl/>
          <w:lang w:val="fr-CH"/>
        </w:rPr>
        <w:t>البلاغ غير مقبول بموجب الفقرة 5</w:t>
      </w:r>
      <w:r w:rsidRPr="00322426">
        <w:rPr>
          <w:rtl/>
          <w:lang w:val="fr-CH"/>
        </w:rPr>
        <w:t>(أ</w:t>
      </w:r>
      <w:r>
        <w:rPr>
          <w:rtl/>
          <w:lang w:val="fr-CH"/>
        </w:rPr>
        <w:t>)</w:t>
      </w:r>
      <w:r w:rsidRPr="00322426">
        <w:rPr>
          <w:rtl/>
          <w:lang w:val="fr-CH"/>
        </w:rPr>
        <w:t xml:space="preserve"> من المادة 22 من الاتفاقية.</w:t>
      </w:r>
    </w:p>
    <w:p w:rsidR="00F72BDC" w:rsidRPr="00F41C55" w:rsidRDefault="00D969E7" w:rsidP="00D969E7">
      <w:pPr>
        <w:pStyle w:val="H1GA"/>
        <w:rPr>
          <w:rFonts w:hint="cs"/>
          <w:rtl/>
          <w:lang w:val="fr-CH"/>
        </w:rPr>
      </w:pPr>
      <w:r>
        <w:rPr>
          <w:rFonts w:hint="cs"/>
          <w:rtl/>
          <w:lang w:val="fr-CH"/>
        </w:rPr>
        <w:tab/>
      </w:r>
      <w:r w:rsidR="00F72BDC" w:rsidRPr="00F41C55">
        <w:rPr>
          <w:rFonts w:hint="cs"/>
          <w:rtl/>
          <w:lang w:val="fr-CH"/>
        </w:rPr>
        <w:t>دال</w:t>
      </w:r>
      <w:r>
        <w:rPr>
          <w:rFonts w:hint="cs"/>
          <w:rtl/>
          <w:lang w:val="fr-CH"/>
        </w:rPr>
        <w:t>-</w:t>
      </w:r>
      <w:r w:rsidR="00F72BDC" w:rsidRPr="00F41C55">
        <w:rPr>
          <w:rFonts w:hint="cs"/>
          <w:rtl/>
          <w:lang w:val="fr-CH"/>
        </w:rPr>
        <w:tab/>
        <w:t>أنشطة المتابعة</w:t>
      </w:r>
    </w:p>
    <w:p w:rsidR="00F72BDC" w:rsidRPr="00F41C55" w:rsidRDefault="00F72BDC" w:rsidP="00D969E7">
      <w:pPr>
        <w:pStyle w:val="SingleTxtGA"/>
        <w:rPr>
          <w:rFonts w:hint="cs"/>
          <w:rtl/>
        </w:rPr>
      </w:pPr>
      <w:r>
        <w:rPr>
          <w:rFonts w:hint="cs"/>
          <w:spacing w:val="-4"/>
          <w:rtl/>
        </w:rPr>
        <w:t>137</w:t>
      </w:r>
      <w:r w:rsidRPr="00F41C55">
        <w:rPr>
          <w:rFonts w:hint="cs"/>
          <w:spacing w:val="-4"/>
          <w:rtl/>
        </w:rPr>
        <w:t>-</w:t>
      </w:r>
      <w:r w:rsidRPr="00F41C55">
        <w:rPr>
          <w:rFonts w:hint="cs"/>
          <w:spacing w:val="-4"/>
          <w:rtl/>
        </w:rPr>
        <w:tab/>
        <w:t>أنشأت لجنة مناهضة التعذيب، في دورتها الثامنة والعشرين المعقودة في أيار/مايو 2002</w:t>
      </w:r>
      <w:r w:rsidRPr="00F41C55">
        <w:rPr>
          <w:rFonts w:hint="cs"/>
          <w:rtl/>
        </w:rPr>
        <w:t>، وظيفة مقرر يتولى متابعة تنفيذ القرارات المتعلقة بالشكاوى المقدمة بموجب المادة 22. وقررت</w:t>
      </w:r>
      <w:r w:rsidR="00D969E7">
        <w:rPr>
          <w:rFonts w:hint="cs"/>
          <w:rtl/>
        </w:rPr>
        <w:t xml:space="preserve"> </w:t>
      </w:r>
      <w:r w:rsidRPr="00F41C55">
        <w:rPr>
          <w:rFonts w:hint="cs"/>
          <w:rtl/>
        </w:rPr>
        <w:t xml:space="preserve">اللجنة، في جلستها 527 المعقودة في 16 أيار/مايو 2002، أن يضطلع المقرر بجملة أنشطة منها ما يلي: رصد الامتثال لقرارات اللجنة عن طريق إرسال مذكراتٍ شفوية إلى الدول الأطراف </w:t>
      </w:r>
      <w:r>
        <w:rPr>
          <w:rFonts w:hint="cs"/>
          <w:rtl/>
        </w:rPr>
        <w:t>يستفسر فيها</w:t>
      </w:r>
      <w:r w:rsidRPr="00F41C55">
        <w:rPr>
          <w:rFonts w:hint="cs"/>
          <w:rtl/>
        </w:rPr>
        <w:t xml:space="preserve"> عن التدابير المعتمدة عملاً بقرارات اللجنة؛ تقديم توصيات للجنة باتخاذ الإجراءات المناسبة في ضوء الردود التي </w:t>
      </w:r>
      <w:r>
        <w:rPr>
          <w:rFonts w:hint="cs"/>
          <w:rtl/>
        </w:rPr>
        <w:t>ي</w:t>
      </w:r>
      <w:r w:rsidRPr="00F41C55">
        <w:rPr>
          <w:rFonts w:hint="cs"/>
          <w:rtl/>
        </w:rPr>
        <w:t xml:space="preserve">تلقاها من الدول الأطراف، </w:t>
      </w:r>
      <w:r>
        <w:rPr>
          <w:rFonts w:hint="cs"/>
          <w:rtl/>
        </w:rPr>
        <w:t>و</w:t>
      </w:r>
      <w:r w:rsidRPr="00F41C55">
        <w:rPr>
          <w:rFonts w:hint="cs"/>
          <w:rtl/>
        </w:rPr>
        <w:t xml:space="preserve">في حالات عدم الرد، ولدى استلام </w:t>
      </w:r>
      <w:r>
        <w:rPr>
          <w:rFonts w:hint="cs"/>
          <w:rtl/>
        </w:rPr>
        <w:t>التعليقات</w:t>
      </w:r>
      <w:r w:rsidRPr="00F41C55">
        <w:rPr>
          <w:rFonts w:hint="cs"/>
          <w:rtl/>
        </w:rPr>
        <w:t xml:space="preserve"> من أصحاب الشكاوى </w:t>
      </w:r>
      <w:r>
        <w:rPr>
          <w:rFonts w:hint="cs"/>
          <w:rtl/>
        </w:rPr>
        <w:t xml:space="preserve">بشأن </w:t>
      </w:r>
      <w:r w:rsidRPr="00F41C55">
        <w:rPr>
          <w:rFonts w:hint="cs"/>
          <w:rtl/>
        </w:rPr>
        <w:t xml:space="preserve">عدم تنفيذ قرارات اللجنة، </w:t>
      </w:r>
      <w:r>
        <w:rPr>
          <w:rFonts w:hint="cs"/>
          <w:rtl/>
        </w:rPr>
        <w:t>لقاء</w:t>
      </w:r>
      <w:r w:rsidRPr="00F41C55">
        <w:rPr>
          <w:rFonts w:hint="cs"/>
          <w:rtl/>
        </w:rPr>
        <w:t xml:space="preserve"> ممثلي </w:t>
      </w:r>
      <w:r>
        <w:rPr>
          <w:rFonts w:hint="cs"/>
          <w:rtl/>
        </w:rPr>
        <w:t>ا</w:t>
      </w:r>
      <w:r w:rsidRPr="00F41C55">
        <w:rPr>
          <w:rFonts w:hint="cs"/>
          <w:rtl/>
        </w:rPr>
        <w:t>لدول الأطراف للتشجيع على الامتثال وتحديد ما إذا كانت الخدمات الاستشارية أو</w:t>
      </w:r>
      <w:r w:rsidRPr="00F41C55">
        <w:rPr>
          <w:rFonts w:hint="eastAsia"/>
          <w:rtl/>
        </w:rPr>
        <w:t> </w:t>
      </w:r>
      <w:r w:rsidRPr="00F41C55">
        <w:rPr>
          <w:rFonts w:hint="cs"/>
          <w:rtl/>
        </w:rPr>
        <w:t>المساعدة التقنية التي تقدمها مفوضية الأمم المتحدة السامية لحقوق الإنسان مناسبة أو</w:t>
      </w:r>
      <w:r w:rsidR="00D969E7">
        <w:rPr>
          <w:rFonts w:hint="eastAsia"/>
          <w:rtl/>
        </w:rPr>
        <w:t> </w:t>
      </w:r>
      <w:r w:rsidRPr="00F41C55">
        <w:rPr>
          <w:rFonts w:hint="cs"/>
          <w:rtl/>
        </w:rPr>
        <w:t>مرغوبة؛ تنظيم زيارات متابعة إلى الدول الأطراف بموافقة اللجنة؛ إعداد تقارير دورية عن أنشطته وتقديمها إلى اللجنة.</w:t>
      </w:r>
    </w:p>
    <w:p w:rsidR="00F72BDC" w:rsidRPr="00F41C55" w:rsidRDefault="00F72BDC" w:rsidP="00D969E7">
      <w:pPr>
        <w:pStyle w:val="SingleTxtGA"/>
        <w:rPr>
          <w:rFonts w:hint="cs"/>
          <w:rtl/>
        </w:rPr>
      </w:pPr>
      <w:r>
        <w:rPr>
          <w:rFonts w:hint="cs"/>
          <w:rtl/>
        </w:rPr>
        <w:t>138</w:t>
      </w:r>
      <w:r w:rsidRPr="00F41C55">
        <w:rPr>
          <w:rFonts w:hint="cs"/>
          <w:rtl/>
        </w:rPr>
        <w:t>-</w:t>
      </w:r>
      <w:r w:rsidRPr="00F41C55">
        <w:rPr>
          <w:rFonts w:hint="cs"/>
          <w:rtl/>
        </w:rPr>
        <w:tab/>
        <w:t>ويتضمن الجدول الوارد أدناه</w:t>
      </w:r>
      <w:r>
        <w:rPr>
          <w:rFonts w:hint="cs"/>
          <w:rtl/>
        </w:rPr>
        <w:t xml:space="preserve"> تجميعا</w:t>
      </w:r>
      <w:r w:rsidR="005E4BCD">
        <w:rPr>
          <w:rFonts w:hint="cs"/>
          <w:rtl/>
        </w:rPr>
        <w:t>ً</w:t>
      </w:r>
      <w:r>
        <w:rPr>
          <w:rFonts w:hint="cs"/>
          <w:rtl/>
        </w:rPr>
        <w:t xml:space="preserve"> ل</w:t>
      </w:r>
      <w:r w:rsidRPr="00F41C55">
        <w:rPr>
          <w:rFonts w:hint="cs"/>
          <w:rtl/>
        </w:rPr>
        <w:t xml:space="preserve">لمعلومات التي تلقتها اللجنة من الدول الأطراف وأصحاب الشكاوى منذ الدورة </w:t>
      </w:r>
      <w:r>
        <w:rPr>
          <w:rFonts w:hint="cs"/>
          <w:rtl/>
        </w:rPr>
        <w:t>الثامنة</w:t>
      </w:r>
      <w:r w:rsidRPr="00F41C55">
        <w:rPr>
          <w:rFonts w:hint="cs"/>
          <w:rtl/>
        </w:rPr>
        <w:t xml:space="preserve"> والأربعين للجنة مناهضة التعذيب</w:t>
      </w:r>
      <w:r>
        <w:rPr>
          <w:rFonts w:hint="cs"/>
          <w:rtl/>
        </w:rPr>
        <w:t>، التي جرت في الفترة من 7 أيار/مايو إلى 1 حزيران/يونيه 2012</w:t>
      </w:r>
      <w:r w:rsidRPr="00F41C55">
        <w:rPr>
          <w:rFonts w:hint="cs"/>
          <w:rtl/>
        </w:rPr>
        <w:t xml:space="preserve">. </w:t>
      </w:r>
    </w:p>
    <w:tbl>
      <w:tblPr>
        <w:tblStyle w:val="TableGrid"/>
        <w:bidiVisual/>
        <w:tblW w:w="7125" w:type="dxa"/>
        <w:tblInd w:w="13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757"/>
        <w:gridCol w:w="4368"/>
      </w:tblGrid>
      <w:tr w:rsidR="00F72BDC" w:rsidRPr="00F41C55" w:rsidTr="0011282D">
        <w:tc>
          <w:tcPr>
            <w:tcW w:w="2757" w:type="dxa"/>
            <w:tcBorders>
              <w:top w:val="single" w:sz="4" w:space="0" w:color="auto"/>
              <w:bottom w:val="single" w:sz="12" w:space="0" w:color="auto"/>
            </w:tcBorders>
            <w:shd w:val="clear" w:color="auto" w:fill="auto"/>
            <w:vAlign w:val="bottom"/>
          </w:tcPr>
          <w:p w:rsidR="00F72BDC" w:rsidRPr="00F41C55" w:rsidRDefault="00F72BDC" w:rsidP="0011282D">
            <w:pPr>
              <w:spacing w:after="120" w:line="380" w:lineRule="exact"/>
              <w:rPr>
                <w:rFonts w:cs="Traditional Arabic" w:hint="cs"/>
                <w:b/>
                <w:bCs/>
                <w:i/>
                <w:sz w:val="30"/>
                <w:szCs w:val="30"/>
                <w:rtl/>
                <w:lang w:val="fr-CH"/>
              </w:rPr>
            </w:pPr>
            <w:r w:rsidRPr="00F41C55">
              <w:rPr>
                <w:rFonts w:cs="Traditional Arabic" w:hint="cs"/>
                <w:b/>
                <w:bCs/>
                <w:i/>
                <w:sz w:val="30"/>
                <w:szCs w:val="30"/>
                <w:rtl/>
                <w:lang w:val="fr-CH"/>
              </w:rPr>
              <w:t>الدولة الطرف</w:t>
            </w:r>
          </w:p>
        </w:tc>
        <w:tc>
          <w:tcPr>
            <w:tcW w:w="4368" w:type="dxa"/>
            <w:tcBorders>
              <w:top w:val="single" w:sz="4" w:space="0" w:color="auto"/>
              <w:bottom w:val="single" w:sz="12" w:space="0" w:color="auto"/>
            </w:tcBorders>
            <w:shd w:val="clear" w:color="auto" w:fill="auto"/>
            <w:vAlign w:val="bottom"/>
          </w:tcPr>
          <w:p w:rsidR="00F72BDC" w:rsidRPr="00F41C55" w:rsidRDefault="00F72BDC" w:rsidP="0011282D">
            <w:pPr>
              <w:spacing w:after="120" w:line="380" w:lineRule="exact"/>
              <w:rPr>
                <w:rFonts w:cs="Traditional Arabic" w:hint="cs"/>
                <w:b/>
                <w:bCs/>
                <w:i/>
                <w:sz w:val="30"/>
                <w:szCs w:val="30"/>
                <w:rtl/>
                <w:lang w:val="fr-CH"/>
              </w:rPr>
            </w:pPr>
            <w:r>
              <w:rPr>
                <w:rFonts w:cs="Traditional Arabic" w:hint="cs"/>
                <w:b/>
                <w:bCs/>
                <w:i/>
                <w:sz w:val="30"/>
                <w:szCs w:val="30"/>
                <w:rtl/>
                <w:lang w:val="fr-CH"/>
              </w:rPr>
              <w:t>الجزائر</w:t>
            </w:r>
          </w:p>
        </w:tc>
      </w:tr>
      <w:tr w:rsidR="00F72BDC" w:rsidRPr="00F41C55" w:rsidTr="0011282D">
        <w:tc>
          <w:tcPr>
            <w:tcW w:w="2757" w:type="dxa"/>
            <w:tcBorders>
              <w:top w:val="single" w:sz="12" w:space="0" w:color="auto"/>
            </w:tcBorders>
            <w:shd w:val="clear" w:color="auto" w:fill="auto"/>
          </w:tcPr>
          <w:p w:rsidR="00F72BDC" w:rsidRPr="00F41C55" w:rsidRDefault="00F72BDC" w:rsidP="0011282D">
            <w:pPr>
              <w:spacing w:after="120" w:line="380" w:lineRule="exact"/>
              <w:rPr>
                <w:rFonts w:cs="Traditional Arabic" w:hint="cs"/>
                <w:b/>
                <w:bCs/>
                <w:sz w:val="30"/>
                <w:szCs w:val="30"/>
                <w:rtl/>
                <w:lang w:val="fr-CH"/>
              </w:rPr>
            </w:pPr>
            <w:r w:rsidRPr="00F41C55">
              <w:rPr>
                <w:rFonts w:cs="Traditional Arabic" w:hint="cs"/>
                <w:b/>
                <w:bCs/>
                <w:sz w:val="30"/>
                <w:szCs w:val="30"/>
                <w:rtl/>
                <w:lang w:val="fr-CH"/>
              </w:rPr>
              <w:t>القضية</w:t>
            </w:r>
          </w:p>
        </w:tc>
        <w:tc>
          <w:tcPr>
            <w:tcW w:w="4368" w:type="dxa"/>
            <w:tcBorders>
              <w:top w:val="single" w:sz="12" w:space="0" w:color="auto"/>
            </w:tcBorders>
            <w:shd w:val="clear" w:color="auto" w:fill="auto"/>
          </w:tcPr>
          <w:p w:rsidR="00F72BDC" w:rsidRPr="00F41C55" w:rsidRDefault="00F72BDC" w:rsidP="0011282D">
            <w:pPr>
              <w:spacing w:after="120" w:line="380" w:lineRule="exact"/>
              <w:rPr>
                <w:rFonts w:cs="Traditional Arabic" w:hint="cs"/>
                <w:b/>
                <w:bCs/>
                <w:sz w:val="30"/>
                <w:szCs w:val="30"/>
                <w:rtl/>
                <w:lang w:val="fr-CH"/>
              </w:rPr>
            </w:pPr>
            <w:r>
              <w:rPr>
                <w:rFonts w:cs="Traditional Arabic" w:hint="cs"/>
                <w:b/>
                <w:bCs/>
                <w:i/>
                <w:iCs/>
                <w:sz w:val="30"/>
                <w:szCs w:val="30"/>
                <w:rtl/>
                <w:lang w:val="fr-CH"/>
              </w:rPr>
              <w:t>حنفي</w:t>
            </w:r>
            <w:r w:rsidRPr="00F41C55">
              <w:rPr>
                <w:rFonts w:cs="Traditional Arabic" w:hint="cs"/>
                <w:b/>
                <w:bCs/>
                <w:sz w:val="30"/>
                <w:szCs w:val="30"/>
                <w:rtl/>
                <w:lang w:val="fr-CH"/>
              </w:rPr>
              <w:t xml:space="preserve">، </w:t>
            </w:r>
            <w:r>
              <w:rPr>
                <w:rFonts w:cs="Traditional Arabic" w:hint="cs"/>
                <w:b/>
                <w:bCs/>
                <w:sz w:val="30"/>
                <w:szCs w:val="30"/>
                <w:rtl/>
                <w:lang w:val="fr-CH"/>
              </w:rPr>
              <w:t>341</w:t>
            </w:r>
            <w:r w:rsidRPr="00F41C55">
              <w:rPr>
                <w:rFonts w:cs="Traditional Arabic" w:hint="cs"/>
                <w:b/>
                <w:bCs/>
                <w:sz w:val="30"/>
                <w:szCs w:val="30"/>
                <w:rtl/>
                <w:lang w:val="fr-CH"/>
              </w:rPr>
              <w:t>/</w:t>
            </w:r>
            <w:r>
              <w:rPr>
                <w:rFonts w:cs="Traditional Arabic" w:hint="cs"/>
                <w:b/>
                <w:bCs/>
                <w:sz w:val="30"/>
                <w:szCs w:val="30"/>
                <w:rtl/>
                <w:lang w:val="fr-CH"/>
              </w:rPr>
              <w:t>2008</w:t>
            </w:r>
            <w:r w:rsidRPr="00F41C55">
              <w:rPr>
                <w:rFonts w:cs="Traditional Arabic" w:hint="cs"/>
                <w:b/>
                <w:bCs/>
                <w:sz w:val="30"/>
                <w:szCs w:val="30"/>
                <w:rtl/>
                <w:lang w:val="fr-CH"/>
              </w:rPr>
              <w:t xml:space="preserve"> </w:t>
            </w:r>
          </w:p>
        </w:tc>
      </w:tr>
      <w:tr w:rsidR="00F72BDC" w:rsidRPr="00F41C55" w:rsidTr="0011282D">
        <w:tc>
          <w:tcPr>
            <w:tcW w:w="2757" w:type="dxa"/>
            <w:shd w:val="clear" w:color="auto" w:fill="auto"/>
          </w:tcPr>
          <w:p w:rsidR="00F72BDC" w:rsidRPr="00F41C55" w:rsidRDefault="00F72BDC" w:rsidP="0011282D">
            <w:pPr>
              <w:spacing w:after="120" w:line="380" w:lineRule="exact"/>
              <w:rPr>
                <w:rFonts w:cs="Traditional Arabic" w:hint="cs"/>
                <w:b/>
                <w:bCs/>
                <w:sz w:val="30"/>
                <w:szCs w:val="30"/>
                <w:rtl/>
                <w:lang w:val="fr-CH"/>
              </w:rPr>
            </w:pPr>
            <w:r>
              <w:rPr>
                <w:rFonts w:cs="Traditional Arabic" w:hint="cs"/>
                <w:b/>
                <w:bCs/>
                <w:sz w:val="30"/>
                <w:szCs w:val="30"/>
                <w:rtl/>
                <w:lang w:val="fr-CH"/>
              </w:rPr>
              <w:t>قرار</w:t>
            </w:r>
            <w:r w:rsidRPr="00F41C55">
              <w:rPr>
                <w:rFonts w:cs="Traditional Arabic" w:hint="cs"/>
                <w:b/>
                <w:bCs/>
                <w:sz w:val="30"/>
                <w:szCs w:val="30"/>
                <w:rtl/>
                <w:lang w:val="fr-CH"/>
              </w:rPr>
              <w:t xml:space="preserve"> معتمد في </w:t>
            </w:r>
          </w:p>
        </w:tc>
        <w:tc>
          <w:tcPr>
            <w:tcW w:w="4368" w:type="dxa"/>
            <w:shd w:val="clear" w:color="auto" w:fill="auto"/>
          </w:tcPr>
          <w:p w:rsidR="00F72BDC" w:rsidRPr="00F41C55" w:rsidRDefault="00F72BDC" w:rsidP="0011282D">
            <w:pPr>
              <w:spacing w:after="120" w:line="380" w:lineRule="exact"/>
              <w:rPr>
                <w:rFonts w:cs="Traditional Arabic" w:hint="cs"/>
                <w:sz w:val="30"/>
                <w:szCs w:val="30"/>
                <w:rtl/>
                <w:lang w:val="fr-CH"/>
              </w:rPr>
            </w:pPr>
            <w:r>
              <w:rPr>
                <w:rFonts w:cs="Traditional Arabic" w:hint="cs"/>
                <w:sz w:val="30"/>
                <w:szCs w:val="30"/>
                <w:rtl/>
                <w:lang w:val="fr-CH"/>
              </w:rPr>
              <w:t>3 حزيران/يونيه</w:t>
            </w:r>
            <w:r w:rsidRPr="00F41C55">
              <w:rPr>
                <w:rFonts w:cs="Traditional Arabic" w:hint="cs"/>
                <w:sz w:val="30"/>
                <w:szCs w:val="30"/>
                <w:rtl/>
                <w:lang w:val="fr-CH"/>
              </w:rPr>
              <w:t xml:space="preserve"> 2011</w:t>
            </w:r>
          </w:p>
        </w:tc>
      </w:tr>
      <w:tr w:rsidR="00F72BDC" w:rsidRPr="00F41C55" w:rsidTr="0011282D">
        <w:tc>
          <w:tcPr>
            <w:tcW w:w="2757" w:type="dxa"/>
            <w:shd w:val="clear" w:color="auto" w:fill="auto"/>
          </w:tcPr>
          <w:p w:rsidR="00F72BDC" w:rsidRPr="00F41C55" w:rsidRDefault="00F72BDC" w:rsidP="0011282D">
            <w:pPr>
              <w:spacing w:after="120" w:line="380" w:lineRule="exact"/>
              <w:rPr>
                <w:rFonts w:cs="Traditional Arabic" w:hint="cs"/>
                <w:b/>
                <w:bCs/>
                <w:sz w:val="30"/>
                <w:szCs w:val="30"/>
                <w:rtl/>
                <w:lang w:val="fr-CH"/>
              </w:rPr>
            </w:pPr>
            <w:r w:rsidRPr="00F41C55">
              <w:rPr>
                <w:rFonts w:cs="Traditional Arabic" w:hint="cs"/>
                <w:b/>
                <w:bCs/>
                <w:sz w:val="30"/>
                <w:szCs w:val="30"/>
                <w:rtl/>
                <w:lang w:val="fr-CH"/>
              </w:rPr>
              <w:t>الانتهاك</w:t>
            </w:r>
          </w:p>
        </w:tc>
        <w:tc>
          <w:tcPr>
            <w:tcW w:w="4368" w:type="dxa"/>
            <w:shd w:val="clear" w:color="auto" w:fill="auto"/>
          </w:tcPr>
          <w:p w:rsidR="00F72BDC" w:rsidRPr="00F41C55" w:rsidRDefault="00F72BDC" w:rsidP="0011282D">
            <w:pPr>
              <w:spacing w:after="120" w:line="380" w:lineRule="exact"/>
              <w:rPr>
                <w:rFonts w:cs="Traditional Arabic" w:hint="cs"/>
                <w:sz w:val="30"/>
                <w:szCs w:val="30"/>
                <w:rtl/>
                <w:lang w:val="fr-CH"/>
              </w:rPr>
            </w:pPr>
            <w:r w:rsidRPr="00F41C55">
              <w:rPr>
                <w:rFonts w:cs="Traditional Arabic" w:hint="cs"/>
                <w:sz w:val="30"/>
                <w:szCs w:val="30"/>
                <w:rtl/>
                <w:lang w:val="fr-CH"/>
              </w:rPr>
              <w:t xml:space="preserve">المادة </w:t>
            </w:r>
            <w:r>
              <w:rPr>
                <w:rFonts w:cs="Traditional Arabic" w:hint="cs"/>
                <w:sz w:val="30"/>
                <w:szCs w:val="30"/>
                <w:rtl/>
                <w:lang w:val="fr-CH"/>
              </w:rPr>
              <w:t>1، والفقرة 1 من المادة 2، والمواد 11، و12، و13، و14</w:t>
            </w:r>
            <w:r w:rsidRPr="00F41C55">
              <w:rPr>
                <w:rFonts w:cs="Traditional Arabic" w:hint="cs"/>
                <w:sz w:val="30"/>
                <w:szCs w:val="30"/>
                <w:rtl/>
                <w:lang w:val="fr-CH"/>
              </w:rPr>
              <w:t xml:space="preserve"> </w:t>
            </w:r>
          </w:p>
        </w:tc>
      </w:tr>
      <w:tr w:rsidR="00F72BDC" w:rsidRPr="00F41C55" w:rsidTr="0011282D">
        <w:tc>
          <w:tcPr>
            <w:tcW w:w="2757" w:type="dxa"/>
            <w:shd w:val="clear" w:color="auto" w:fill="auto"/>
          </w:tcPr>
          <w:p w:rsidR="00F72BDC" w:rsidRPr="00F41C55" w:rsidRDefault="00F72BDC" w:rsidP="0011282D">
            <w:pPr>
              <w:spacing w:after="120" w:line="380" w:lineRule="exact"/>
              <w:rPr>
                <w:rFonts w:cs="Traditional Arabic" w:hint="cs"/>
                <w:b/>
                <w:bCs/>
                <w:sz w:val="30"/>
                <w:szCs w:val="30"/>
                <w:rtl/>
                <w:lang w:val="fr-CH"/>
              </w:rPr>
            </w:pPr>
            <w:r w:rsidRPr="00F41C55">
              <w:rPr>
                <w:rFonts w:cs="Traditional Arabic" w:hint="cs"/>
                <w:b/>
                <w:bCs/>
                <w:sz w:val="30"/>
                <w:szCs w:val="30"/>
                <w:rtl/>
                <w:lang w:val="fr-CH"/>
              </w:rPr>
              <w:t>الانتصاف الموصى به</w:t>
            </w:r>
          </w:p>
        </w:tc>
        <w:tc>
          <w:tcPr>
            <w:tcW w:w="4368" w:type="dxa"/>
            <w:shd w:val="clear" w:color="auto" w:fill="auto"/>
          </w:tcPr>
          <w:p w:rsidR="00F72BDC" w:rsidRPr="00F41C55" w:rsidRDefault="00F72BDC" w:rsidP="0011282D">
            <w:pPr>
              <w:spacing w:after="120" w:line="380" w:lineRule="exact"/>
              <w:rPr>
                <w:rFonts w:cs="Traditional Arabic" w:hint="cs"/>
                <w:sz w:val="30"/>
                <w:szCs w:val="30"/>
                <w:rtl/>
                <w:lang w:val="fr-CH"/>
              </w:rPr>
            </w:pPr>
            <w:r>
              <w:rPr>
                <w:rFonts w:cs="Traditional Arabic" w:hint="cs"/>
                <w:sz w:val="30"/>
                <w:szCs w:val="30"/>
                <w:rtl/>
                <w:lang w:val="fr-CH"/>
              </w:rPr>
              <w:t>واجب إجراء تحقيق نزيه في الأحداث المعنية، بهدف تقديم المسؤولين عن معاملة الضحية إلى العدالة، وإبلاغ اللجنة في غضون 90 يوما</w:t>
            </w:r>
            <w:r w:rsidR="00D969E7">
              <w:rPr>
                <w:rFonts w:cs="Traditional Arabic" w:hint="cs"/>
                <w:sz w:val="30"/>
                <w:szCs w:val="30"/>
                <w:rtl/>
                <w:lang w:val="fr-CH"/>
              </w:rPr>
              <w:t>ً</w:t>
            </w:r>
            <w:r>
              <w:rPr>
                <w:rFonts w:cs="Traditional Arabic" w:hint="cs"/>
                <w:sz w:val="30"/>
                <w:szCs w:val="30"/>
                <w:rtl/>
                <w:lang w:val="fr-CH"/>
              </w:rPr>
              <w:t xml:space="preserve"> من تاريخ إحالة هذا القرار، بالخطوات التي اتخذتها الدولة الطرف استجابة للآراء المعرب عنها في هذا القرار، بما في ذلك تعويض صاحب الشكوى.</w:t>
            </w:r>
          </w:p>
        </w:tc>
      </w:tr>
      <w:tr w:rsidR="00F72BDC" w:rsidRPr="00F41C55" w:rsidTr="00D969E7">
        <w:tc>
          <w:tcPr>
            <w:tcW w:w="7125" w:type="dxa"/>
            <w:gridSpan w:val="2"/>
            <w:shd w:val="clear" w:color="auto" w:fill="auto"/>
          </w:tcPr>
          <w:p w:rsidR="00F72BDC" w:rsidRPr="00F41C55" w:rsidRDefault="00F72BDC" w:rsidP="0011282D">
            <w:pPr>
              <w:spacing w:after="120" w:line="380" w:lineRule="exact"/>
              <w:rPr>
                <w:rFonts w:cs="Traditional Arabic" w:hint="cs"/>
                <w:sz w:val="30"/>
                <w:szCs w:val="30"/>
                <w:rtl/>
                <w:lang w:val="fr-CH"/>
              </w:rPr>
            </w:pPr>
            <w:r>
              <w:rPr>
                <w:rFonts w:cs="Traditional Arabic"/>
                <w:sz w:val="30"/>
                <w:szCs w:val="30"/>
                <w:rtl/>
                <w:lang w:val="fr-CH"/>
              </w:rPr>
              <w:tab/>
            </w:r>
            <w:r>
              <w:rPr>
                <w:rFonts w:cs="Traditional Arabic" w:hint="cs"/>
                <w:sz w:val="30"/>
                <w:szCs w:val="30"/>
                <w:rtl/>
                <w:lang w:val="fr-CH"/>
              </w:rPr>
              <w:t>في 30 تموز/يولي</w:t>
            </w:r>
            <w:r w:rsidR="00D969E7">
              <w:rPr>
                <w:rFonts w:cs="Traditional Arabic" w:hint="cs"/>
                <w:sz w:val="30"/>
                <w:szCs w:val="30"/>
                <w:rtl/>
                <w:lang w:val="fr-CH"/>
              </w:rPr>
              <w:t>ه</w:t>
            </w:r>
            <w:r>
              <w:rPr>
                <w:rFonts w:cs="Traditional Arabic" w:hint="cs"/>
                <w:sz w:val="30"/>
                <w:szCs w:val="30"/>
                <w:rtl/>
                <w:lang w:val="fr-CH"/>
              </w:rPr>
              <w:t xml:space="preserve"> و4 تشرين الثاني/نوفمبر 2012، أبلغ محامي صاحب الشكوى اللجنة بأن الدولة الطرف لم تتخذ أية تدابير لتنفيذ قرار اللجنة وأن أي تعويض لم يُقدم إلى صاحبة الشكوى عن وفاة زوجها. وكتب المحامي إلى سلطات الدولة الطرف في 18 أيار/مايو 2012، يطلب تنفيذ قرار اللجنة، لكن دون جدوى. وأحيلت رسالتا المحامي إلى الدولة الطرف من أجل إبداء ملاحظات بشأنها لكن لم يرد أي جواب.</w:t>
            </w:r>
          </w:p>
        </w:tc>
      </w:tr>
      <w:tr w:rsidR="00F72BDC" w:rsidRPr="00F41C55" w:rsidTr="00D969E7">
        <w:tc>
          <w:tcPr>
            <w:tcW w:w="7125" w:type="dxa"/>
            <w:gridSpan w:val="2"/>
            <w:shd w:val="clear" w:color="auto" w:fill="auto"/>
          </w:tcPr>
          <w:p w:rsidR="00F72BDC" w:rsidRPr="00F41C55" w:rsidRDefault="00F72BDC" w:rsidP="0011282D">
            <w:pPr>
              <w:spacing w:after="120" w:line="380" w:lineRule="exact"/>
              <w:rPr>
                <w:rFonts w:cs="Traditional Arabic" w:hint="cs"/>
                <w:sz w:val="30"/>
                <w:szCs w:val="30"/>
                <w:rtl/>
                <w:lang w:val="fr-CH"/>
              </w:rPr>
            </w:pPr>
            <w:r>
              <w:rPr>
                <w:rFonts w:cs="Traditional Arabic" w:hint="cs"/>
                <w:sz w:val="30"/>
                <w:szCs w:val="30"/>
                <w:rtl/>
                <w:lang w:val="fr-CH"/>
              </w:rPr>
              <w:tab/>
              <w:t>وأُرسل تذكير إلى الدولة الطرف واتُخذ قرار بطلب عقد اجتماع بين المقرر المعني بمتابعة القرارات المتعلقة بالشكوى والممثل الدائم للجزائر لدى مكتب الأمم المتحدة في</w:t>
            </w:r>
            <w:r w:rsidR="00D969E7">
              <w:rPr>
                <w:rFonts w:cs="Traditional Arabic" w:hint="eastAsia"/>
                <w:sz w:val="30"/>
                <w:szCs w:val="30"/>
                <w:rtl/>
                <w:lang w:val="fr-CH"/>
              </w:rPr>
              <w:t> </w:t>
            </w:r>
            <w:r>
              <w:rPr>
                <w:rFonts w:cs="Traditional Arabic" w:hint="cs"/>
                <w:sz w:val="30"/>
                <w:szCs w:val="30"/>
                <w:rtl/>
                <w:lang w:val="fr-CH"/>
              </w:rPr>
              <w:t>جنيف.</w:t>
            </w:r>
          </w:p>
        </w:tc>
      </w:tr>
      <w:tr w:rsidR="00F72BDC" w:rsidRPr="00F41C55" w:rsidTr="00D969E7">
        <w:tc>
          <w:tcPr>
            <w:tcW w:w="7125" w:type="dxa"/>
            <w:gridSpan w:val="2"/>
            <w:tcBorders>
              <w:bottom w:val="single" w:sz="12" w:space="0" w:color="auto"/>
            </w:tcBorders>
            <w:shd w:val="clear" w:color="auto" w:fill="auto"/>
          </w:tcPr>
          <w:p w:rsidR="00F72BDC" w:rsidRPr="00F41C55" w:rsidRDefault="005E4BCD" w:rsidP="0011282D">
            <w:pPr>
              <w:spacing w:after="120" w:line="380" w:lineRule="exact"/>
              <w:rPr>
                <w:rFonts w:cs="Traditional Arabic" w:hint="cs"/>
                <w:sz w:val="30"/>
                <w:szCs w:val="30"/>
                <w:rtl/>
                <w:lang w:val="fr-CH"/>
              </w:rPr>
            </w:pPr>
            <w:r>
              <w:rPr>
                <w:rFonts w:cs="Traditional Arabic"/>
                <w:sz w:val="30"/>
                <w:szCs w:val="30"/>
                <w:rtl/>
                <w:lang w:val="fr-CH"/>
              </w:rPr>
              <w:tab/>
            </w:r>
            <w:r w:rsidR="00F72BDC" w:rsidRPr="00F41C55">
              <w:rPr>
                <w:rFonts w:cs="Traditional Arabic" w:hint="cs"/>
                <w:sz w:val="30"/>
                <w:szCs w:val="30"/>
                <w:rtl/>
                <w:lang w:val="fr-CH"/>
              </w:rPr>
              <w:t>قرار اللجنة: حوار المتابعة مستمر.</w:t>
            </w:r>
          </w:p>
        </w:tc>
      </w:tr>
    </w:tbl>
    <w:p w:rsidR="00F72BDC" w:rsidRDefault="00F72BDC" w:rsidP="00D969E7">
      <w:pPr>
        <w:pStyle w:val="SingleTxtGA"/>
        <w:rPr>
          <w:rFonts w:hint="cs"/>
          <w:kern w:val="16"/>
          <w:rtl/>
        </w:rPr>
      </w:pPr>
    </w:p>
    <w:tbl>
      <w:tblPr>
        <w:tblStyle w:val="TableGrid"/>
        <w:bidiVisual/>
        <w:tblW w:w="7060" w:type="dxa"/>
        <w:tblInd w:w="1376" w:type="dxa"/>
        <w:tblBorders>
          <w:bottom w:val="none" w:sz="0" w:space="0" w:color="auto"/>
          <w:insideH w:val="none" w:sz="0" w:space="0" w:color="auto"/>
          <w:insideV w:val="none" w:sz="0" w:space="0" w:color="auto"/>
        </w:tblBorders>
        <w:tblLayout w:type="fixed"/>
        <w:tblLook w:val="01E0"/>
      </w:tblPr>
      <w:tblGrid>
        <w:gridCol w:w="2757"/>
        <w:gridCol w:w="4303"/>
      </w:tblGrid>
      <w:tr w:rsidR="00F72BDC" w:rsidRPr="00F41C55" w:rsidTr="0011282D">
        <w:tc>
          <w:tcPr>
            <w:tcW w:w="2757" w:type="dxa"/>
            <w:tcBorders>
              <w:top w:val="single" w:sz="4" w:space="0" w:color="auto"/>
              <w:left w:val="nil"/>
              <w:bottom w:val="single" w:sz="12" w:space="0" w:color="auto"/>
            </w:tcBorders>
            <w:shd w:val="clear" w:color="auto" w:fill="auto"/>
            <w:vAlign w:val="bottom"/>
          </w:tcPr>
          <w:p w:rsidR="00F72BDC" w:rsidRPr="00F41C55" w:rsidRDefault="00F72BDC" w:rsidP="0011282D">
            <w:pPr>
              <w:spacing w:after="120" w:line="380" w:lineRule="exact"/>
              <w:rPr>
                <w:rFonts w:cs="Traditional Arabic" w:hint="cs"/>
                <w:b/>
                <w:bCs/>
                <w:i/>
                <w:sz w:val="30"/>
                <w:szCs w:val="30"/>
                <w:rtl/>
                <w:lang w:val="fr-CH"/>
              </w:rPr>
            </w:pPr>
            <w:r w:rsidRPr="00F41C55">
              <w:rPr>
                <w:rFonts w:cs="Traditional Arabic" w:hint="cs"/>
                <w:b/>
                <w:bCs/>
                <w:i/>
                <w:sz w:val="30"/>
                <w:szCs w:val="30"/>
                <w:rtl/>
                <w:lang w:val="fr-CH"/>
              </w:rPr>
              <w:t>الدولة الطرف</w:t>
            </w:r>
          </w:p>
        </w:tc>
        <w:tc>
          <w:tcPr>
            <w:tcW w:w="4303" w:type="dxa"/>
            <w:tcBorders>
              <w:top w:val="single" w:sz="4" w:space="0" w:color="auto"/>
              <w:bottom w:val="single" w:sz="12" w:space="0" w:color="auto"/>
              <w:right w:val="nil"/>
            </w:tcBorders>
            <w:shd w:val="clear" w:color="auto" w:fill="auto"/>
            <w:vAlign w:val="bottom"/>
          </w:tcPr>
          <w:p w:rsidR="00F72BDC" w:rsidRPr="00F41C55" w:rsidRDefault="00F72BDC" w:rsidP="0011282D">
            <w:pPr>
              <w:spacing w:after="120" w:line="380" w:lineRule="exact"/>
              <w:rPr>
                <w:rFonts w:cs="Traditional Arabic" w:hint="cs"/>
                <w:b/>
                <w:bCs/>
                <w:i/>
                <w:sz w:val="30"/>
                <w:szCs w:val="30"/>
                <w:rtl/>
                <w:lang w:val="fr-CH"/>
              </w:rPr>
            </w:pPr>
            <w:r>
              <w:rPr>
                <w:rFonts w:cs="Traditional Arabic" w:hint="cs"/>
                <w:b/>
                <w:bCs/>
                <w:i/>
                <w:sz w:val="30"/>
                <w:szCs w:val="30"/>
                <w:rtl/>
                <w:lang w:val="fr-CH"/>
              </w:rPr>
              <w:t>أستراليا</w:t>
            </w:r>
          </w:p>
        </w:tc>
      </w:tr>
      <w:tr w:rsidR="00F72BDC" w:rsidRPr="00F41C55" w:rsidTr="0011282D">
        <w:tc>
          <w:tcPr>
            <w:tcW w:w="2757" w:type="dxa"/>
            <w:tcBorders>
              <w:top w:val="single" w:sz="12" w:space="0" w:color="auto"/>
              <w:left w:val="nil"/>
            </w:tcBorders>
            <w:shd w:val="clear" w:color="auto" w:fill="auto"/>
          </w:tcPr>
          <w:p w:rsidR="00F72BDC" w:rsidRPr="00F41C55" w:rsidRDefault="00F72BDC" w:rsidP="0011282D">
            <w:pPr>
              <w:spacing w:after="120" w:line="380" w:lineRule="exact"/>
              <w:rPr>
                <w:rFonts w:cs="Traditional Arabic" w:hint="cs"/>
                <w:b/>
                <w:bCs/>
                <w:sz w:val="30"/>
                <w:szCs w:val="30"/>
                <w:rtl/>
                <w:lang w:val="fr-CH"/>
              </w:rPr>
            </w:pPr>
            <w:r w:rsidRPr="00F41C55">
              <w:rPr>
                <w:rFonts w:cs="Traditional Arabic" w:hint="cs"/>
                <w:b/>
                <w:bCs/>
                <w:sz w:val="30"/>
                <w:szCs w:val="30"/>
                <w:rtl/>
                <w:lang w:val="fr-CH"/>
              </w:rPr>
              <w:t>القضية</w:t>
            </w:r>
          </w:p>
        </w:tc>
        <w:tc>
          <w:tcPr>
            <w:tcW w:w="4303" w:type="dxa"/>
            <w:tcBorders>
              <w:top w:val="single" w:sz="12" w:space="0" w:color="auto"/>
              <w:right w:val="nil"/>
            </w:tcBorders>
            <w:shd w:val="clear" w:color="auto" w:fill="auto"/>
          </w:tcPr>
          <w:p w:rsidR="00F72BDC" w:rsidRPr="00F41C55" w:rsidRDefault="00F72BDC" w:rsidP="0011282D">
            <w:pPr>
              <w:spacing w:after="120" w:line="380" w:lineRule="exact"/>
              <w:rPr>
                <w:rFonts w:cs="Traditional Arabic" w:hint="cs"/>
                <w:b/>
                <w:bCs/>
                <w:sz w:val="30"/>
                <w:szCs w:val="30"/>
                <w:rtl/>
                <w:lang w:val="fr-CH"/>
              </w:rPr>
            </w:pPr>
            <w:r>
              <w:rPr>
                <w:rFonts w:cs="Traditional Arabic" w:hint="cs"/>
                <w:b/>
                <w:bCs/>
                <w:i/>
                <w:iCs/>
                <w:sz w:val="30"/>
                <w:szCs w:val="30"/>
                <w:rtl/>
                <w:lang w:val="fr-CH"/>
              </w:rPr>
              <w:t>كي</w:t>
            </w:r>
            <w:r w:rsidRPr="00F41C55">
              <w:rPr>
                <w:rFonts w:cs="Traditional Arabic" w:hint="cs"/>
                <w:b/>
                <w:bCs/>
                <w:sz w:val="30"/>
                <w:szCs w:val="30"/>
                <w:rtl/>
                <w:lang w:val="fr-CH"/>
              </w:rPr>
              <w:t xml:space="preserve">، </w:t>
            </w:r>
            <w:r>
              <w:rPr>
                <w:rFonts w:cs="Traditional Arabic" w:hint="cs"/>
                <w:b/>
                <w:bCs/>
                <w:sz w:val="30"/>
                <w:szCs w:val="30"/>
                <w:rtl/>
                <w:lang w:val="fr-CH"/>
              </w:rPr>
              <w:t>416</w:t>
            </w:r>
            <w:r w:rsidRPr="00F41C55">
              <w:rPr>
                <w:rFonts w:cs="Traditional Arabic" w:hint="cs"/>
                <w:b/>
                <w:bCs/>
                <w:sz w:val="30"/>
                <w:szCs w:val="30"/>
                <w:rtl/>
                <w:lang w:val="fr-CH"/>
              </w:rPr>
              <w:t>/</w:t>
            </w:r>
            <w:r>
              <w:rPr>
                <w:rFonts w:cs="Traditional Arabic" w:hint="cs"/>
                <w:b/>
                <w:bCs/>
                <w:sz w:val="30"/>
                <w:szCs w:val="30"/>
                <w:rtl/>
                <w:lang w:val="fr-CH"/>
              </w:rPr>
              <w:t>2010</w:t>
            </w:r>
          </w:p>
        </w:tc>
      </w:tr>
      <w:tr w:rsidR="00F72BDC" w:rsidRPr="00F41C55" w:rsidTr="0011282D">
        <w:tc>
          <w:tcPr>
            <w:tcW w:w="2757" w:type="dxa"/>
            <w:tcBorders>
              <w:top w:val="nil"/>
              <w:left w:val="nil"/>
              <w:right w:val="nil"/>
            </w:tcBorders>
            <w:shd w:val="clear" w:color="auto" w:fill="auto"/>
          </w:tcPr>
          <w:p w:rsidR="00F72BDC" w:rsidRPr="00F41C55" w:rsidRDefault="00F72BDC" w:rsidP="0011282D">
            <w:pPr>
              <w:spacing w:after="120" w:line="380" w:lineRule="exact"/>
              <w:rPr>
                <w:rFonts w:cs="Traditional Arabic" w:hint="cs"/>
                <w:b/>
                <w:bCs/>
                <w:sz w:val="30"/>
                <w:szCs w:val="30"/>
                <w:rtl/>
                <w:lang w:val="fr-CH"/>
              </w:rPr>
            </w:pPr>
            <w:r>
              <w:rPr>
                <w:rFonts w:cs="Traditional Arabic" w:hint="cs"/>
                <w:b/>
                <w:bCs/>
                <w:sz w:val="30"/>
                <w:szCs w:val="30"/>
                <w:rtl/>
                <w:lang w:val="fr-CH"/>
              </w:rPr>
              <w:t>قرار</w:t>
            </w:r>
            <w:r w:rsidRPr="00F41C55">
              <w:rPr>
                <w:rFonts w:cs="Traditional Arabic" w:hint="cs"/>
                <w:b/>
                <w:bCs/>
                <w:sz w:val="30"/>
                <w:szCs w:val="30"/>
                <w:rtl/>
                <w:lang w:val="fr-CH"/>
              </w:rPr>
              <w:t xml:space="preserve"> معتمد في </w:t>
            </w:r>
          </w:p>
        </w:tc>
        <w:tc>
          <w:tcPr>
            <w:tcW w:w="4303" w:type="dxa"/>
            <w:tcBorders>
              <w:top w:val="nil"/>
              <w:left w:val="nil"/>
              <w:right w:val="nil"/>
            </w:tcBorders>
            <w:shd w:val="clear" w:color="auto" w:fill="auto"/>
          </w:tcPr>
          <w:p w:rsidR="00F72BDC" w:rsidRPr="00F41C55" w:rsidRDefault="00F72BDC" w:rsidP="0011282D">
            <w:pPr>
              <w:spacing w:after="120" w:line="380" w:lineRule="exact"/>
              <w:rPr>
                <w:rFonts w:cs="Traditional Arabic" w:hint="cs"/>
                <w:sz w:val="30"/>
                <w:szCs w:val="30"/>
                <w:rtl/>
                <w:lang w:val="fr-CH"/>
              </w:rPr>
            </w:pPr>
            <w:r>
              <w:rPr>
                <w:rFonts w:cs="Traditional Arabic" w:hint="cs"/>
                <w:sz w:val="30"/>
                <w:szCs w:val="30"/>
                <w:rtl/>
                <w:lang w:val="fr-CH"/>
              </w:rPr>
              <w:t>5</w:t>
            </w:r>
            <w:r w:rsidRPr="00F41C55">
              <w:rPr>
                <w:rFonts w:cs="Traditional Arabic" w:hint="cs"/>
                <w:sz w:val="30"/>
                <w:szCs w:val="30"/>
                <w:rtl/>
                <w:lang w:val="fr-CH"/>
              </w:rPr>
              <w:t xml:space="preserve"> تشرين الثاني/نوفمبر </w:t>
            </w:r>
            <w:r>
              <w:rPr>
                <w:rFonts w:cs="Traditional Arabic" w:hint="cs"/>
                <w:sz w:val="30"/>
                <w:szCs w:val="30"/>
                <w:rtl/>
                <w:lang w:val="fr-CH"/>
              </w:rPr>
              <w:t>2012</w:t>
            </w:r>
          </w:p>
        </w:tc>
      </w:tr>
      <w:tr w:rsidR="00F72BDC" w:rsidRPr="00F41C55" w:rsidTr="0011282D">
        <w:tc>
          <w:tcPr>
            <w:tcW w:w="2757" w:type="dxa"/>
            <w:tcBorders>
              <w:top w:val="nil"/>
              <w:left w:val="nil"/>
              <w:right w:val="nil"/>
            </w:tcBorders>
            <w:shd w:val="clear" w:color="auto" w:fill="auto"/>
          </w:tcPr>
          <w:p w:rsidR="00F72BDC" w:rsidRPr="00F41C55" w:rsidRDefault="00F72BDC" w:rsidP="0011282D">
            <w:pPr>
              <w:spacing w:after="120" w:line="380" w:lineRule="exact"/>
              <w:rPr>
                <w:rFonts w:cs="Traditional Arabic" w:hint="cs"/>
                <w:b/>
                <w:bCs/>
                <w:sz w:val="30"/>
                <w:szCs w:val="30"/>
                <w:rtl/>
                <w:lang w:val="fr-CH"/>
              </w:rPr>
            </w:pPr>
            <w:r w:rsidRPr="00F41C55">
              <w:rPr>
                <w:rFonts w:cs="Traditional Arabic" w:hint="cs"/>
                <w:b/>
                <w:bCs/>
                <w:sz w:val="30"/>
                <w:szCs w:val="30"/>
                <w:rtl/>
                <w:lang w:val="fr-CH"/>
              </w:rPr>
              <w:t>الانتهاك</w:t>
            </w:r>
          </w:p>
        </w:tc>
        <w:tc>
          <w:tcPr>
            <w:tcW w:w="4303" w:type="dxa"/>
            <w:tcBorders>
              <w:top w:val="nil"/>
              <w:left w:val="nil"/>
              <w:right w:val="nil"/>
            </w:tcBorders>
            <w:shd w:val="clear" w:color="auto" w:fill="auto"/>
          </w:tcPr>
          <w:p w:rsidR="00F72BDC" w:rsidRPr="00F41C55" w:rsidRDefault="00F72BDC" w:rsidP="0011282D">
            <w:pPr>
              <w:spacing w:after="120" w:line="380" w:lineRule="exact"/>
              <w:rPr>
                <w:rFonts w:cs="Traditional Arabic" w:hint="cs"/>
                <w:sz w:val="30"/>
                <w:szCs w:val="30"/>
                <w:rtl/>
                <w:lang w:val="fr-CH"/>
              </w:rPr>
            </w:pPr>
            <w:r w:rsidRPr="00F41C55">
              <w:rPr>
                <w:rFonts w:cs="Traditional Arabic" w:hint="cs"/>
                <w:sz w:val="30"/>
                <w:szCs w:val="30"/>
                <w:rtl/>
                <w:lang w:val="fr-CH"/>
              </w:rPr>
              <w:t>الماد</w:t>
            </w:r>
            <w:r>
              <w:rPr>
                <w:rFonts w:cs="Traditional Arabic" w:hint="cs"/>
                <w:sz w:val="30"/>
                <w:szCs w:val="30"/>
                <w:rtl/>
                <w:lang w:val="fr-CH"/>
              </w:rPr>
              <w:t>ة</w:t>
            </w:r>
            <w:r w:rsidRPr="00F41C55">
              <w:rPr>
                <w:rFonts w:cs="Traditional Arabic" w:hint="cs"/>
                <w:sz w:val="30"/>
                <w:szCs w:val="30"/>
                <w:rtl/>
                <w:lang w:val="fr-CH"/>
              </w:rPr>
              <w:t xml:space="preserve"> 3 </w:t>
            </w:r>
            <w:r>
              <w:rPr>
                <w:rFonts w:cs="Traditional Arabic" w:hint="cs"/>
                <w:sz w:val="30"/>
                <w:szCs w:val="30"/>
                <w:rtl/>
                <w:lang w:val="fr-CH"/>
              </w:rPr>
              <w:t>(الترحيل إلى الصين)</w:t>
            </w:r>
          </w:p>
        </w:tc>
      </w:tr>
      <w:tr w:rsidR="00F72BDC" w:rsidRPr="00F41C55" w:rsidTr="0011282D">
        <w:tc>
          <w:tcPr>
            <w:tcW w:w="2757" w:type="dxa"/>
            <w:tcBorders>
              <w:top w:val="nil"/>
              <w:left w:val="nil"/>
              <w:right w:val="nil"/>
            </w:tcBorders>
            <w:shd w:val="clear" w:color="auto" w:fill="auto"/>
          </w:tcPr>
          <w:p w:rsidR="00F72BDC" w:rsidRPr="00F41C55" w:rsidRDefault="00F72BDC" w:rsidP="0011282D">
            <w:pPr>
              <w:keepNext/>
              <w:keepLines/>
              <w:spacing w:after="120" w:line="380" w:lineRule="exact"/>
              <w:rPr>
                <w:rFonts w:cs="Traditional Arabic" w:hint="cs"/>
                <w:b/>
                <w:bCs/>
                <w:sz w:val="30"/>
                <w:szCs w:val="30"/>
                <w:rtl/>
                <w:lang w:val="fr-CH"/>
              </w:rPr>
            </w:pPr>
            <w:r w:rsidRPr="00F41C55">
              <w:rPr>
                <w:rFonts w:cs="Traditional Arabic" w:hint="cs"/>
                <w:b/>
                <w:bCs/>
                <w:sz w:val="30"/>
                <w:szCs w:val="30"/>
                <w:rtl/>
                <w:lang w:val="fr-CH"/>
              </w:rPr>
              <w:t>الانتصاف الموصى به</w:t>
            </w:r>
          </w:p>
        </w:tc>
        <w:tc>
          <w:tcPr>
            <w:tcW w:w="4303" w:type="dxa"/>
            <w:tcBorders>
              <w:top w:val="nil"/>
              <w:left w:val="nil"/>
              <w:right w:val="nil"/>
            </w:tcBorders>
            <w:shd w:val="clear" w:color="auto" w:fill="auto"/>
          </w:tcPr>
          <w:p w:rsidR="00F72BDC" w:rsidRPr="00F41C55" w:rsidRDefault="00F72BDC" w:rsidP="0011282D">
            <w:pPr>
              <w:keepNext/>
              <w:keepLines/>
              <w:spacing w:after="120" w:line="380" w:lineRule="exact"/>
              <w:rPr>
                <w:rFonts w:cs="Traditional Arabic" w:hint="cs"/>
                <w:sz w:val="30"/>
                <w:szCs w:val="30"/>
                <w:rtl/>
                <w:lang w:val="fr-CH"/>
              </w:rPr>
            </w:pPr>
            <w:r>
              <w:rPr>
                <w:rFonts w:cs="Traditional Arabic" w:hint="cs"/>
                <w:sz w:val="30"/>
                <w:szCs w:val="30"/>
                <w:rtl/>
                <w:lang w:val="fr-CH"/>
              </w:rPr>
              <w:t>إبلاغ اللجنة في غضون 90 يوما</w:t>
            </w:r>
            <w:r w:rsidR="003101C1">
              <w:rPr>
                <w:rFonts w:cs="Traditional Arabic" w:hint="cs"/>
                <w:sz w:val="30"/>
                <w:szCs w:val="30"/>
                <w:rtl/>
                <w:lang w:val="fr-CH"/>
              </w:rPr>
              <w:t>ً</w:t>
            </w:r>
            <w:r>
              <w:rPr>
                <w:rFonts w:cs="Traditional Arabic" w:hint="cs"/>
                <w:sz w:val="30"/>
                <w:szCs w:val="30"/>
                <w:rtl/>
                <w:lang w:val="fr-CH"/>
              </w:rPr>
              <w:t xml:space="preserve"> من تاريخ إحالة هذا القرار، بالخطوات التي اتخذتها الدولة الطرف وفقا</w:t>
            </w:r>
            <w:r w:rsidR="00D75706">
              <w:rPr>
                <w:rFonts w:cs="Traditional Arabic" w:hint="cs"/>
                <w:sz w:val="30"/>
                <w:szCs w:val="30"/>
                <w:rtl/>
                <w:lang w:val="fr-CH"/>
              </w:rPr>
              <w:t>ً</w:t>
            </w:r>
            <w:r>
              <w:rPr>
                <w:rFonts w:cs="Traditional Arabic" w:hint="cs"/>
                <w:sz w:val="30"/>
                <w:szCs w:val="30"/>
                <w:rtl/>
                <w:lang w:val="fr-CH"/>
              </w:rPr>
              <w:t xml:space="preserve"> للملاحظات التي أُبديت في هذا البلاغ.</w:t>
            </w:r>
          </w:p>
        </w:tc>
      </w:tr>
      <w:tr w:rsidR="00F72BDC" w:rsidRPr="00F41C55" w:rsidTr="003101C1">
        <w:tc>
          <w:tcPr>
            <w:tcW w:w="7060" w:type="dxa"/>
            <w:gridSpan w:val="2"/>
            <w:tcBorders>
              <w:top w:val="nil"/>
              <w:left w:val="nil"/>
              <w:right w:val="nil"/>
            </w:tcBorders>
            <w:shd w:val="clear" w:color="auto" w:fill="auto"/>
          </w:tcPr>
          <w:p w:rsidR="00F72BDC" w:rsidRPr="00F41C55" w:rsidRDefault="00F72BDC" w:rsidP="0011282D">
            <w:pPr>
              <w:spacing w:after="120" w:line="380" w:lineRule="exact"/>
              <w:rPr>
                <w:rFonts w:cs="Traditional Arabic" w:hint="cs"/>
                <w:sz w:val="30"/>
                <w:szCs w:val="30"/>
                <w:rtl/>
                <w:lang w:val="fr-CH"/>
              </w:rPr>
            </w:pPr>
            <w:r>
              <w:rPr>
                <w:rFonts w:cs="Traditional Arabic"/>
                <w:sz w:val="30"/>
                <w:szCs w:val="30"/>
                <w:rtl/>
                <w:lang w:val="fr-CH"/>
              </w:rPr>
              <w:tab/>
            </w:r>
            <w:r>
              <w:rPr>
                <w:rFonts w:cs="Traditional Arabic" w:hint="cs"/>
                <w:sz w:val="30"/>
                <w:szCs w:val="30"/>
                <w:rtl/>
                <w:lang w:val="fr-CH"/>
              </w:rPr>
              <w:t>في 1 آذار/مارس 2013، أوضحت الدولة الطرف أنها لا توافق بالضرورة على أن ترحيل السيد كي من أستراليا يشكل خرقا</w:t>
            </w:r>
            <w:r w:rsidR="00D75706">
              <w:rPr>
                <w:rFonts w:cs="Traditional Arabic" w:hint="cs"/>
                <w:sz w:val="30"/>
                <w:szCs w:val="30"/>
                <w:rtl/>
                <w:lang w:val="fr-CH"/>
              </w:rPr>
              <w:t>ً</w:t>
            </w:r>
            <w:r>
              <w:rPr>
                <w:rFonts w:cs="Traditional Arabic" w:hint="cs"/>
                <w:sz w:val="30"/>
                <w:szCs w:val="30"/>
                <w:rtl/>
                <w:lang w:val="fr-CH"/>
              </w:rPr>
              <w:t xml:space="preserve"> للمادة 3 من الاتفاقية أو أن عمليات الهجرة في أستراليا معيبة إجرائياً في هذه القضية. ورغم ذلك، ومن باب الخطوة المؤقتة، سينظر وزير الهجرة والمواطنة في إمكانية السماح للسيد كي بتقديم طلب آخر للحصول على تأشيرة حماية بموجب قانون الهجرة لعام 1958. وإذا سمح الوزير للسيد كي بتقديم طلب آخر، فإن أي مطالبات يثيرها ومن شأنها أن تترتب عنها التزامات الدولة الطرف فيما يخص عدم الرد بموجب اتفاقية مناهضة التعذيب، والعهد الدولي الخاص بالحقوق المدنية والسياسية والاتفاقية الخاصة بوضع اللاجئين لعام 1951 سيعاد النظر فيها كلياً عبر </w:t>
            </w:r>
            <w:r w:rsidR="00D969E7">
              <w:rPr>
                <w:rFonts w:cs="Traditional Arabic" w:hint="cs"/>
                <w:sz w:val="30"/>
                <w:szCs w:val="30"/>
                <w:rtl/>
                <w:lang w:val="fr-CH"/>
              </w:rPr>
              <w:t>الإجراءات الداخلية للدولة الطرف</w:t>
            </w:r>
            <w:r w:rsidR="00D969E7" w:rsidRPr="00D969E7">
              <w:rPr>
                <w:rFonts w:cs="Traditional Arabic" w:hint="cs"/>
                <w:sz w:val="30"/>
                <w:szCs w:val="30"/>
                <w:vertAlign w:val="superscript"/>
                <w:rtl/>
                <w:lang w:val="fr-CH"/>
              </w:rPr>
              <w:t>(</w:t>
            </w:r>
            <w:r w:rsidRPr="00D969E7">
              <w:rPr>
                <w:rStyle w:val="FootnoteReference"/>
                <w:rFonts w:cs="Traditional Arabic"/>
                <w:sz w:val="30"/>
                <w:szCs w:val="30"/>
                <w:rtl/>
                <w:lang w:val="fr-CH"/>
              </w:rPr>
              <w:footnoteReference w:id="23"/>
            </w:r>
            <w:r w:rsidR="00D969E7" w:rsidRPr="00D969E7">
              <w:rPr>
                <w:rFonts w:cs="Traditional Arabic" w:hint="cs"/>
                <w:sz w:val="30"/>
                <w:szCs w:val="30"/>
                <w:vertAlign w:val="superscript"/>
                <w:rtl/>
                <w:lang w:val="fr-CH"/>
              </w:rPr>
              <w:t>)</w:t>
            </w:r>
            <w:r w:rsidR="00D969E7">
              <w:rPr>
                <w:rFonts w:cs="Traditional Arabic" w:hint="cs"/>
                <w:sz w:val="30"/>
                <w:szCs w:val="30"/>
                <w:rtl/>
                <w:lang w:val="fr-CH"/>
              </w:rPr>
              <w:t>.</w:t>
            </w:r>
          </w:p>
        </w:tc>
      </w:tr>
      <w:tr w:rsidR="00F72BDC" w:rsidRPr="00F41C55" w:rsidTr="003101C1">
        <w:tc>
          <w:tcPr>
            <w:tcW w:w="7060" w:type="dxa"/>
            <w:gridSpan w:val="2"/>
            <w:tcBorders>
              <w:top w:val="nil"/>
              <w:left w:val="nil"/>
              <w:right w:val="nil"/>
            </w:tcBorders>
            <w:shd w:val="clear" w:color="auto" w:fill="auto"/>
          </w:tcPr>
          <w:p w:rsidR="00F72BDC" w:rsidRPr="00F41C55" w:rsidRDefault="00F72BDC" w:rsidP="0011282D">
            <w:pPr>
              <w:spacing w:after="120" w:line="380" w:lineRule="exact"/>
              <w:rPr>
                <w:rFonts w:cs="Traditional Arabic" w:hint="cs"/>
                <w:sz w:val="30"/>
                <w:szCs w:val="30"/>
                <w:rtl/>
                <w:lang w:val="fr-CH"/>
              </w:rPr>
            </w:pPr>
            <w:r>
              <w:rPr>
                <w:rFonts w:cs="Traditional Arabic"/>
                <w:sz w:val="30"/>
                <w:szCs w:val="30"/>
                <w:rtl/>
                <w:lang w:val="fr-CH"/>
              </w:rPr>
              <w:tab/>
            </w:r>
            <w:r>
              <w:rPr>
                <w:rFonts w:cs="Traditional Arabic" w:hint="cs"/>
                <w:sz w:val="30"/>
                <w:szCs w:val="30"/>
                <w:rtl/>
                <w:lang w:val="fr-CH"/>
              </w:rPr>
              <w:t>وفي 6 آذار/مارس 2013، أحليت رسالة الدولة الطرف إلى محامي صاحب الشكوى للاطلاع عليها.</w:t>
            </w:r>
          </w:p>
        </w:tc>
      </w:tr>
      <w:tr w:rsidR="00F72BDC" w:rsidRPr="00F41C55" w:rsidTr="003101C1">
        <w:tc>
          <w:tcPr>
            <w:tcW w:w="7060" w:type="dxa"/>
            <w:gridSpan w:val="2"/>
            <w:tcBorders>
              <w:top w:val="nil"/>
              <w:left w:val="nil"/>
              <w:bottom w:val="single" w:sz="12" w:space="0" w:color="auto"/>
              <w:right w:val="nil"/>
            </w:tcBorders>
            <w:shd w:val="clear" w:color="auto" w:fill="auto"/>
          </w:tcPr>
          <w:p w:rsidR="00F72BDC" w:rsidRPr="005E4BCD" w:rsidRDefault="005E4BCD" w:rsidP="0011282D">
            <w:pPr>
              <w:spacing w:after="120" w:line="380" w:lineRule="exact"/>
              <w:rPr>
                <w:rFonts w:cs="Traditional Arabic" w:hint="cs"/>
                <w:sz w:val="30"/>
                <w:szCs w:val="30"/>
                <w:rtl/>
                <w:lang w:val="fr-CH"/>
              </w:rPr>
            </w:pPr>
            <w:r w:rsidRPr="005E4BCD">
              <w:rPr>
                <w:rFonts w:cs="Traditional Arabic"/>
                <w:sz w:val="30"/>
                <w:szCs w:val="30"/>
                <w:rtl/>
                <w:lang w:val="fr-CH"/>
              </w:rPr>
              <w:tab/>
            </w:r>
            <w:r w:rsidR="00F72BDC" w:rsidRPr="005E4BCD">
              <w:rPr>
                <w:rFonts w:cs="Traditional Arabic" w:hint="cs"/>
                <w:sz w:val="30"/>
                <w:szCs w:val="30"/>
                <w:rtl/>
                <w:lang w:val="fr-CH"/>
              </w:rPr>
              <w:t>قرار اللجنة: حوار المتابعة مستمر.</w:t>
            </w:r>
          </w:p>
        </w:tc>
      </w:tr>
    </w:tbl>
    <w:p w:rsidR="00F72BDC" w:rsidRDefault="00F72BDC" w:rsidP="00D969E7">
      <w:pPr>
        <w:pStyle w:val="SingleTxtGA"/>
        <w:rPr>
          <w:rFonts w:hint="cs"/>
          <w:kern w:val="16"/>
          <w:rtl/>
        </w:rPr>
      </w:pPr>
    </w:p>
    <w:tbl>
      <w:tblPr>
        <w:tblStyle w:val="TableGrid"/>
        <w:bidiVisual/>
        <w:tblW w:w="7158"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733"/>
        <w:gridCol w:w="4425"/>
      </w:tblGrid>
      <w:tr w:rsidR="00F72BDC" w:rsidRPr="00F41C55" w:rsidTr="0011282D">
        <w:tc>
          <w:tcPr>
            <w:tcW w:w="2733" w:type="dxa"/>
            <w:tcBorders>
              <w:top w:val="single" w:sz="4" w:space="0" w:color="auto"/>
              <w:bottom w:val="single" w:sz="12" w:space="0" w:color="auto"/>
            </w:tcBorders>
            <w:shd w:val="clear" w:color="auto" w:fill="auto"/>
            <w:vAlign w:val="bottom"/>
          </w:tcPr>
          <w:p w:rsidR="00F72BDC" w:rsidRPr="00F41C55" w:rsidRDefault="00F72BDC" w:rsidP="0011282D">
            <w:pPr>
              <w:spacing w:after="120" w:line="380" w:lineRule="exact"/>
              <w:ind w:left="113" w:right="113"/>
              <w:rPr>
                <w:rFonts w:cs="Traditional Arabic" w:hint="cs"/>
                <w:b/>
                <w:bCs/>
                <w:i/>
                <w:sz w:val="30"/>
                <w:szCs w:val="30"/>
                <w:rtl/>
                <w:lang w:val="fr-CH"/>
              </w:rPr>
            </w:pPr>
            <w:r w:rsidRPr="00F41C55">
              <w:rPr>
                <w:rFonts w:cs="Traditional Arabic" w:hint="cs"/>
                <w:b/>
                <w:bCs/>
                <w:i/>
                <w:sz w:val="30"/>
                <w:szCs w:val="30"/>
                <w:rtl/>
                <w:lang w:val="fr-CH"/>
              </w:rPr>
              <w:t>الدولة الطرف</w:t>
            </w:r>
          </w:p>
        </w:tc>
        <w:tc>
          <w:tcPr>
            <w:tcW w:w="4425" w:type="dxa"/>
            <w:tcBorders>
              <w:top w:val="single" w:sz="4" w:space="0" w:color="auto"/>
              <w:bottom w:val="single" w:sz="12" w:space="0" w:color="auto"/>
            </w:tcBorders>
            <w:shd w:val="clear" w:color="auto" w:fill="auto"/>
            <w:vAlign w:val="bottom"/>
          </w:tcPr>
          <w:p w:rsidR="00F72BDC" w:rsidRPr="00F41C55" w:rsidRDefault="00F72BDC" w:rsidP="0011282D">
            <w:pPr>
              <w:spacing w:after="120" w:line="380" w:lineRule="exact"/>
              <w:ind w:left="113" w:right="113"/>
              <w:rPr>
                <w:rFonts w:cs="Traditional Arabic" w:hint="cs"/>
                <w:b/>
                <w:bCs/>
                <w:i/>
                <w:sz w:val="30"/>
                <w:szCs w:val="30"/>
                <w:rtl/>
                <w:lang w:val="fr-CH"/>
              </w:rPr>
            </w:pPr>
            <w:r>
              <w:rPr>
                <w:rFonts w:cs="Traditional Arabic" w:hint="cs"/>
                <w:b/>
                <w:bCs/>
                <w:i/>
                <w:sz w:val="30"/>
                <w:szCs w:val="30"/>
                <w:rtl/>
                <w:lang w:val="fr-CH"/>
              </w:rPr>
              <w:t>كندا</w:t>
            </w:r>
          </w:p>
        </w:tc>
      </w:tr>
      <w:tr w:rsidR="00F72BDC" w:rsidRPr="00F41C55" w:rsidTr="0011282D">
        <w:tc>
          <w:tcPr>
            <w:tcW w:w="2733" w:type="dxa"/>
            <w:tcBorders>
              <w:top w:val="single" w:sz="12" w:space="0" w:color="auto"/>
            </w:tcBorders>
            <w:shd w:val="clear" w:color="auto" w:fill="auto"/>
          </w:tcPr>
          <w:p w:rsidR="00F72BDC" w:rsidRPr="00F41C55" w:rsidRDefault="00F72BDC" w:rsidP="0011282D">
            <w:pPr>
              <w:spacing w:after="120" w:line="380" w:lineRule="exact"/>
              <w:ind w:left="113" w:right="113"/>
              <w:rPr>
                <w:rFonts w:cs="Traditional Arabic" w:hint="cs"/>
                <w:b/>
                <w:bCs/>
                <w:sz w:val="30"/>
                <w:szCs w:val="30"/>
                <w:rtl/>
                <w:lang w:val="fr-CH"/>
              </w:rPr>
            </w:pPr>
            <w:r w:rsidRPr="00F41C55">
              <w:rPr>
                <w:rFonts w:cs="Traditional Arabic" w:hint="cs"/>
                <w:b/>
                <w:bCs/>
                <w:sz w:val="30"/>
                <w:szCs w:val="30"/>
                <w:rtl/>
                <w:lang w:val="fr-CH"/>
              </w:rPr>
              <w:t>القضية</w:t>
            </w:r>
          </w:p>
        </w:tc>
        <w:tc>
          <w:tcPr>
            <w:tcW w:w="4425" w:type="dxa"/>
            <w:tcBorders>
              <w:top w:val="single" w:sz="12" w:space="0" w:color="auto"/>
            </w:tcBorders>
            <w:shd w:val="clear" w:color="auto" w:fill="auto"/>
          </w:tcPr>
          <w:p w:rsidR="00F72BDC" w:rsidRPr="00F41C55" w:rsidRDefault="00F72BDC" w:rsidP="0011282D">
            <w:pPr>
              <w:spacing w:after="120" w:line="380" w:lineRule="exact"/>
              <w:ind w:left="113" w:right="113"/>
              <w:rPr>
                <w:rFonts w:cs="Traditional Arabic" w:hint="cs"/>
                <w:b/>
                <w:bCs/>
                <w:sz w:val="30"/>
                <w:szCs w:val="30"/>
                <w:rtl/>
                <w:lang w:val="fr-CH"/>
              </w:rPr>
            </w:pPr>
            <w:r>
              <w:rPr>
                <w:rFonts w:cs="Traditional Arabic" w:hint="cs"/>
                <w:b/>
                <w:bCs/>
                <w:i/>
                <w:iCs/>
                <w:sz w:val="30"/>
                <w:szCs w:val="30"/>
                <w:rtl/>
                <w:lang w:val="fr-CH"/>
              </w:rPr>
              <w:t>سينغ</w:t>
            </w:r>
            <w:r w:rsidRPr="00F41C55">
              <w:rPr>
                <w:rFonts w:cs="Traditional Arabic" w:hint="cs"/>
                <w:b/>
                <w:bCs/>
                <w:sz w:val="30"/>
                <w:szCs w:val="30"/>
                <w:rtl/>
                <w:lang w:val="fr-CH"/>
              </w:rPr>
              <w:t xml:space="preserve">، </w:t>
            </w:r>
            <w:r>
              <w:rPr>
                <w:rFonts w:cs="Traditional Arabic" w:hint="cs"/>
                <w:b/>
                <w:bCs/>
                <w:sz w:val="30"/>
                <w:szCs w:val="30"/>
                <w:rtl/>
                <w:lang w:val="fr-CH"/>
              </w:rPr>
              <w:t>319</w:t>
            </w:r>
            <w:r w:rsidRPr="00F41C55">
              <w:rPr>
                <w:rFonts w:cs="Traditional Arabic" w:hint="cs"/>
                <w:b/>
                <w:bCs/>
                <w:sz w:val="30"/>
                <w:szCs w:val="30"/>
                <w:rtl/>
                <w:lang w:val="fr-CH"/>
              </w:rPr>
              <w:t>/</w:t>
            </w:r>
            <w:r>
              <w:rPr>
                <w:rFonts w:cs="Traditional Arabic" w:hint="cs"/>
                <w:b/>
                <w:bCs/>
                <w:sz w:val="30"/>
                <w:szCs w:val="30"/>
                <w:rtl/>
                <w:lang w:val="fr-CH"/>
              </w:rPr>
              <w:t>2007</w:t>
            </w:r>
          </w:p>
        </w:tc>
      </w:tr>
      <w:tr w:rsidR="00F72BDC" w:rsidRPr="00F41C55" w:rsidTr="0011282D">
        <w:tc>
          <w:tcPr>
            <w:tcW w:w="2733" w:type="dxa"/>
            <w:shd w:val="clear" w:color="auto" w:fill="auto"/>
          </w:tcPr>
          <w:p w:rsidR="00F72BDC" w:rsidRPr="00F41C55" w:rsidRDefault="00F72BDC" w:rsidP="0011282D">
            <w:pPr>
              <w:spacing w:after="120" w:line="380" w:lineRule="exact"/>
              <w:ind w:left="113" w:right="113"/>
              <w:rPr>
                <w:rFonts w:cs="Traditional Arabic" w:hint="cs"/>
                <w:b/>
                <w:bCs/>
                <w:sz w:val="30"/>
                <w:szCs w:val="30"/>
                <w:rtl/>
                <w:lang w:val="fr-CH"/>
              </w:rPr>
            </w:pPr>
            <w:r>
              <w:rPr>
                <w:rFonts w:cs="Traditional Arabic" w:hint="cs"/>
                <w:b/>
                <w:bCs/>
                <w:sz w:val="30"/>
                <w:szCs w:val="30"/>
                <w:rtl/>
                <w:lang w:val="fr-CH"/>
              </w:rPr>
              <w:t>قرار</w:t>
            </w:r>
            <w:r w:rsidRPr="00F41C55">
              <w:rPr>
                <w:rFonts w:cs="Traditional Arabic" w:hint="cs"/>
                <w:b/>
                <w:bCs/>
                <w:sz w:val="30"/>
                <w:szCs w:val="30"/>
                <w:rtl/>
                <w:lang w:val="fr-CH"/>
              </w:rPr>
              <w:t xml:space="preserve"> معتمد في </w:t>
            </w:r>
          </w:p>
        </w:tc>
        <w:tc>
          <w:tcPr>
            <w:tcW w:w="4425" w:type="dxa"/>
            <w:shd w:val="clear" w:color="auto" w:fill="auto"/>
          </w:tcPr>
          <w:p w:rsidR="00F72BDC" w:rsidRPr="00F41C55" w:rsidRDefault="00F72BDC" w:rsidP="0011282D">
            <w:pPr>
              <w:spacing w:after="120" w:line="380" w:lineRule="exact"/>
              <w:ind w:left="113" w:right="113"/>
              <w:rPr>
                <w:rFonts w:cs="Traditional Arabic" w:hint="cs"/>
                <w:sz w:val="30"/>
                <w:szCs w:val="30"/>
                <w:rtl/>
                <w:lang w:val="fr-CH"/>
              </w:rPr>
            </w:pPr>
            <w:r>
              <w:rPr>
                <w:rFonts w:cs="Traditional Arabic" w:hint="cs"/>
                <w:sz w:val="30"/>
                <w:szCs w:val="30"/>
                <w:rtl/>
                <w:lang w:val="fr-CH"/>
              </w:rPr>
              <w:t>30 أيار/مايو 2011</w:t>
            </w:r>
          </w:p>
        </w:tc>
      </w:tr>
      <w:tr w:rsidR="00F72BDC" w:rsidRPr="00F41C55" w:rsidTr="0011282D">
        <w:tc>
          <w:tcPr>
            <w:tcW w:w="2733" w:type="dxa"/>
            <w:shd w:val="clear" w:color="auto" w:fill="auto"/>
          </w:tcPr>
          <w:p w:rsidR="00F72BDC" w:rsidRPr="00F41C55" w:rsidRDefault="00F72BDC" w:rsidP="0011282D">
            <w:pPr>
              <w:spacing w:after="120" w:line="380" w:lineRule="exact"/>
              <w:ind w:left="113" w:right="113"/>
              <w:rPr>
                <w:rFonts w:cs="Traditional Arabic" w:hint="cs"/>
                <w:b/>
                <w:bCs/>
                <w:sz w:val="30"/>
                <w:szCs w:val="30"/>
                <w:rtl/>
                <w:lang w:val="fr-CH"/>
              </w:rPr>
            </w:pPr>
            <w:r w:rsidRPr="00F41C55">
              <w:rPr>
                <w:rFonts w:cs="Traditional Arabic" w:hint="cs"/>
                <w:b/>
                <w:bCs/>
                <w:sz w:val="30"/>
                <w:szCs w:val="30"/>
                <w:rtl/>
                <w:lang w:val="fr-CH"/>
              </w:rPr>
              <w:t>الانتهاك</w:t>
            </w:r>
          </w:p>
        </w:tc>
        <w:tc>
          <w:tcPr>
            <w:tcW w:w="4425" w:type="dxa"/>
            <w:shd w:val="clear" w:color="auto" w:fill="auto"/>
          </w:tcPr>
          <w:p w:rsidR="00F72BDC" w:rsidRPr="00F41C55" w:rsidRDefault="00F72BDC" w:rsidP="0011282D">
            <w:pPr>
              <w:spacing w:after="120" w:line="380" w:lineRule="exact"/>
              <w:ind w:left="113" w:right="113"/>
              <w:rPr>
                <w:rFonts w:cs="Traditional Arabic" w:hint="cs"/>
                <w:sz w:val="30"/>
                <w:szCs w:val="30"/>
                <w:rtl/>
                <w:lang w:val="fr-CH"/>
              </w:rPr>
            </w:pPr>
            <w:r w:rsidRPr="00F41C55">
              <w:rPr>
                <w:rFonts w:cs="Traditional Arabic" w:hint="cs"/>
                <w:sz w:val="30"/>
                <w:szCs w:val="30"/>
                <w:rtl/>
                <w:lang w:val="fr-CH"/>
              </w:rPr>
              <w:t>الماد</w:t>
            </w:r>
            <w:r>
              <w:rPr>
                <w:rFonts w:cs="Traditional Arabic" w:hint="cs"/>
                <w:sz w:val="30"/>
                <w:szCs w:val="30"/>
                <w:rtl/>
                <w:lang w:val="fr-CH"/>
              </w:rPr>
              <w:t>ة</w:t>
            </w:r>
            <w:r w:rsidRPr="00F41C55">
              <w:rPr>
                <w:rFonts w:cs="Traditional Arabic" w:hint="cs"/>
                <w:sz w:val="30"/>
                <w:szCs w:val="30"/>
                <w:rtl/>
                <w:lang w:val="fr-CH"/>
              </w:rPr>
              <w:t xml:space="preserve"> 3 </w:t>
            </w:r>
            <w:r>
              <w:rPr>
                <w:rFonts w:cs="Traditional Arabic" w:hint="cs"/>
                <w:sz w:val="30"/>
                <w:szCs w:val="30"/>
                <w:rtl/>
                <w:lang w:val="fr-CH"/>
              </w:rPr>
              <w:t>(الترحيل إلى الهند)</w:t>
            </w:r>
          </w:p>
        </w:tc>
      </w:tr>
      <w:tr w:rsidR="00F72BDC" w:rsidRPr="00F41C55" w:rsidTr="0011282D">
        <w:tc>
          <w:tcPr>
            <w:tcW w:w="2733" w:type="dxa"/>
            <w:shd w:val="clear" w:color="auto" w:fill="auto"/>
          </w:tcPr>
          <w:p w:rsidR="00F72BDC" w:rsidRPr="00F41C55" w:rsidRDefault="00F72BDC" w:rsidP="0011282D">
            <w:pPr>
              <w:spacing w:after="120" w:line="380" w:lineRule="exact"/>
              <w:ind w:left="113" w:right="113"/>
              <w:rPr>
                <w:rFonts w:cs="Traditional Arabic" w:hint="cs"/>
                <w:b/>
                <w:bCs/>
                <w:sz w:val="30"/>
                <w:szCs w:val="30"/>
                <w:rtl/>
                <w:lang w:val="fr-CH"/>
              </w:rPr>
            </w:pPr>
            <w:r w:rsidRPr="00F41C55">
              <w:rPr>
                <w:rFonts w:cs="Traditional Arabic" w:hint="cs"/>
                <w:b/>
                <w:bCs/>
                <w:sz w:val="30"/>
                <w:szCs w:val="30"/>
                <w:rtl/>
                <w:lang w:val="fr-CH"/>
              </w:rPr>
              <w:t>الانتصاف الموصى به</w:t>
            </w:r>
          </w:p>
        </w:tc>
        <w:tc>
          <w:tcPr>
            <w:tcW w:w="4425" w:type="dxa"/>
            <w:shd w:val="clear" w:color="auto" w:fill="auto"/>
          </w:tcPr>
          <w:p w:rsidR="00F72BDC" w:rsidRPr="00F41C55" w:rsidRDefault="00F72BDC" w:rsidP="0011282D">
            <w:pPr>
              <w:spacing w:after="120" w:line="380" w:lineRule="exact"/>
              <w:ind w:left="113" w:right="113"/>
              <w:rPr>
                <w:rFonts w:cs="Traditional Arabic" w:hint="cs"/>
                <w:sz w:val="30"/>
                <w:szCs w:val="30"/>
                <w:rtl/>
                <w:lang w:val="fr-CH"/>
              </w:rPr>
            </w:pPr>
            <w:r>
              <w:rPr>
                <w:rFonts w:cs="Traditional Arabic" w:hint="cs"/>
                <w:sz w:val="30"/>
                <w:szCs w:val="30"/>
                <w:rtl/>
                <w:lang w:val="fr-CH"/>
              </w:rPr>
              <w:t>إبلاغ اللجنة في غضون 90 يوما من تاريخ إحالة هذا القرار، بالخطوات التي اتخذتها الدولة الطرف وفقا</w:t>
            </w:r>
            <w:r w:rsidR="00A94BC6">
              <w:rPr>
                <w:rFonts w:cs="Traditional Arabic" w:hint="cs"/>
                <w:sz w:val="30"/>
                <w:szCs w:val="30"/>
                <w:rtl/>
                <w:lang w:val="fr-CH"/>
              </w:rPr>
              <w:t>ً</w:t>
            </w:r>
            <w:r>
              <w:rPr>
                <w:rFonts w:cs="Traditional Arabic" w:hint="cs"/>
                <w:sz w:val="30"/>
                <w:szCs w:val="30"/>
                <w:rtl/>
                <w:lang w:val="fr-CH"/>
              </w:rPr>
              <w:t xml:space="preserve"> لملاحظات اللجنة.</w:t>
            </w:r>
          </w:p>
        </w:tc>
      </w:tr>
      <w:tr w:rsidR="00F72BDC" w:rsidRPr="00F41C55" w:rsidTr="003101C1">
        <w:tc>
          <w:tcPr>
            <w:tcW w:w="7158" w:type="dxa"/>
            <w:gridSpan w:val="2"/>
            <w:shd w:val="clear" w:color="auto" w:fill="auto"/>
          </w:tcPr>
          <w:p w:rsidR="00F72BDC" w:rsidRPr="00F41C55" w:rsidRDefault="00F72BDC" w:rsidP="0011282D">
            <w:pPr>
              <w:spacing w:after="120" w:line="380" w:lineRule="exact"/>
              <w:ind w:left="113" w:right="113"/>
              <w:rPr>
                <w:rFonts w:cs="Traditional Arabic" w:hint="cs"/>
                <w:sz w:val="30"/>
                <w:szCs w:val="30"/>
                <w:rtl/>
                <w:lang w:val="fr-CH"/>
              </w:rPr>
            </w:pPr>
            <w:r>
              <w:rPr>
                <w:rFonts w:cs="Traditional Arabic"/>
                <w:sz w:val="30"/>
                <w:szCs w:val="30"/>
                <w:rtl/>
                <w:lang w:val="fr-CH"/>
              </w:rPr>
              <w:tab/>
            </w:r>
            <w:r>
              <w:rPr>
                <w:rFonts w:cs="Traditional Arabic" w:hint="cs"/>
                <w:sz w:val="30"/>
                <w:szCs w:val="30"/>
                <w:rtl/>
                <w:lang w:val="fr-CH"/>
              </w:rPr>
              <w:t>في 18 تشرين الثاني/نوفمبر 2011، أبلغت الدولة الطرف اللجنة بأنها قررت عدم إعادة صاحب الشكوى إلى الهند.</w:t>
            </w:r>
          </w:p>
        </w:tc>
      </w:tr>
      <w:tr w:rsidR="00F72BDC" w:rsidRPr="00F41C55" w:rsidTr="003101C1">
        <w:tc>
          <w:tcPr>
            <w:tcW w:w="7158" w:type="dxa"/>
            <w:gridSpan w:val="2"/>
            <w:shd w:val="clear" w:color="auto" w:fill="auto"/>
          </w:tcPr>
          <w:p w:rsidR="00F72BDC" w:rsidRPr="00F41C55" w:rsidRDefault="00F72BDC" w:rsidP="0011282D">
            <w:pPr>
              <w:keepNext/>
              <w:keepLines/>
              <w:spacing w:after="120" w:line="380" w:lineRule="exact"/>
              <w:ind w:left="113" w:right="113"/>
              <w:rPr>
                <w:rFonts w:cs="Traditional Arabic" w:hint="cs"/>
                <w:sz w:val="30"/>
                <w:szCs w:val="30"/>
                <w:rtl/>
                <w:lang w:val="fr-CH"/>
              </w:rPr>
            </w:pPr>
            <w:r>
              <w:rPr>
                <w:rFonts w:cs="Traditional Arabic"/>
                <w:sz w:val="30"/>
                <w:szCs w:val="30"/>
                <w:rtl/>
                <w:lang w:val="fr-CH"/>
              </w:rPr>
              <w:tab/>
            </w:r>
            <w:r>
              <w:rPr>
                <w:rFonts w:cs="Traditional Arabic" w:hint="cs"/>
                <w:sz w:val="30"/>
                <w:szCs w:val="30"/>
                <w:rtl/>
                <w:lang w:val="fr-CH"/>
              </w:rPr>
              <w:t xml:space="preserve">وتوضح الدولة الطرف أنها لا تقبل التعميم بأن نظامها الداخلي للمراجعة القضائية ولا سيما الإجراءات المعروضة على محكمتها الاتحادية لا تشكل سبيل انتصاف فعال في مسألة الترحيل لما توجد أسباب موضوعية تدعو إلى الاعتقاد بأن الشخص يواجه خطر التعذيب. وتفسر الدولة الطرف قرار اللجنة في هذه القضية على أنه يشير، في هذه القضية بالذات، إلى أن اللجنة لا ترى أن سبل الانتصاف المحلية كافية. </w:t>
            </w:r>
          </w:p>
        </w:tc>
      </w:tr>
      <w:tr w:rsidR="00F72BDC" w:rsidRPr="00F41C55" w:rsidTr="003101C1">
        <w:tc>
          <w:tcPr>
            <w:tcW w:w="7158" w:type="dxa"/>
            <w:gridSpan w:val="2"/>
            <w:shd w:val="clear" w:color="auto" w:fill="auto"/>
          </w:tcPr>
          <w:p w:rsidR="00F72BDC" w:rsidRDefault="00F72BDC" w:rsidP="0011282D">
            <w:pPr>
              <w:spacing w:after="120" w:line="380" w:lineRule="exact"/>
              <w:ind w:left="113" w:right="113"/>
              <w:rPr>
                <w:rFonts w:cs="Traditional Arabic" w:hint="cs"/>
                <w:sz w:val="30"/>
                <w:szCs w:val="30"/>
                <w:rtl/>
                <w:lang w:val="fr-CH"/>
              </w:rPr>
            </w:pPr>
            <w:r>
              <w:rPr>
                <w:rFonts w:cs="Traditional Arabic" w:hint="cs"/>
                <w:sz w:val="30"/>
                <w:szCs w:val="30"/>
                <w:rtl/>
                <w:lang w:val="fr-CH"/>
              </w:rPr>
              <w:tab/>
              <w:t>وأحيلت ملاحظات الدولة الطرف إلى صاحب الشكوى، في 28 كانون الأول/</w:t>
            </w:r>
            <w:r w:rsidR="003101C1">
              <w:rPr>
                <w:rFonts w:cs="Traditional Arabic" w:hint="cs"/>
                <w:sz w:val="30"/>
                <w:szCs w:val="30"/>
                <w:rtl/>
                <w:lang w:val="fr-CH"/>
              </w:rPr>
              <w:t xml:space="preserve"> </w:t>
            </w:r>
            <w:r>
              <w:rPr>
                <w:rFonts w:cs="Traditional Arabic" w:hint="cs"/>
                <w:sz w:val="30"/>
                <w:szCs w:val="30"/>
                <w:rtl/>
                <w:lang w:val="fr-CH"/>
              </w:rPr>
              <w:t>ديسمبر 2011، للتعليق عليها.</w:t>
            </w:r>
          </w:p>
        </w:tc>
      </w:tr>
      <w:tr w:rsidR="00F72BDC" w:rsidRPr="00F41C55" w:rsidTr="003101C1">
        <w:tc>
          <w:tcPr>
            <w:tcW w:w="7158" w:type="dxa"/>
            <w:gridSpan w:val="2"/>
            <w:shd w:val="clear" w:color="auto" w:fill="auto"/>
          </w:tcPr>
          <w:p w:rsidR="00F72BDC" w:rsidRDefault="00F72BDC" w:rsidP="0011282D">
            <w:pPr>
              <w:spacing w:after="120" w:line="380" w:lineRule="exact"/>
              <w:ind w:left="113" w:right="113"/>
              <w:rPr>
                <w:rFonts w:cs="Traditional Arabic" w:hint="cs"/>
                <w:sz w:val="30"/>
                <w:szCs w:val="30"/>
                <w:rtl/>
                <w:lang w:val="fr-CH"/>
              </w:rPr>
            </w:pPr>
            <w:r>
              <w:rPr>
                <w:rFonts w:cs="Traditional Arabic" w:hint="cs"/>
                <w:sz w:val="30"/>
                <w:szCs w:val="30"/>
                <w:rtl/>
                <w:lang w:val="fr-CH"/>
              </w:rPr>
              <w:tab/>
              <w:t>ورغم عدة رسائل تذكيرية ومذكرة إلى المحامي تفيد بأن اللجنة قد تقرر، في غياب</w:t>
            </w:r>
            <w:r w:rsidR="003101C1">
              <w:rPr>
                <w:rFonts w:cs="Traditional Arabic" w:hint="eastAsia"/>
                <w:sz w:val="30"/>
                <w:szCs w:val="30"/>
                <w:rtl/>
                <w:lang w:val="fr-CH"/>
              </w:rPr>
              <w:t> </w:t>
            </w:r>
            <w:r>
              <w:rPr>
                <w:rFonts w:cs="Traditional Arabic" w:hint="cs"/>
                <w:sz w:val="30"/>
                <w:szCs w:val="30"/>
                <w:rtl/>
                <w:lang w:val="fr-CH"/>
              </w:rPr>
              <w:t>تعليقات منه، أن تغلق القضية وخلصت إلى أن القضية قد سُويت تسوية مرضية، لم</w:t>
            </w:r>
            <w:r w:rsidR="0011282D">
              <w:rPr>
                <w:rFonts w:cs="Traditional Arabic" w:hint="eastAsia"/>
                <w:sz w:val="30"/>
                <w:szCs w:val="30"/>
                <w:rtl/>
                <w:lang w:val="fr-CH"/>
              </w:rPr>
              <w:t> </w:t>
            </w:r>
            <w:r>
              <w:rPr>
                <w:rFonts w:cs="Traditional Arabic" w:hint="cs"/>
                <w:sz w:val="30"/>
                <w:szCs w:val="30"/>
                <w:rtl/>
                <w:lang w:val="fr-CH"/>
              </w:rPr>
              <w:t>يرد</w:t>
            </w:r>
            <w:r w:rsidR="003101C1">
              <w:rPr>
                <w:rFonts w:cs="Traditional Arabic" w:hint="eastAsia"/>
                <w:sz w:val="30"/>
                <w:szCs w:val="30"/>
                <w:rtl/>
                <w:lang w:val="fr-CH"/>
              </w:rPr>
              <w:t> </w:t>
            </w:r>
            <w:r>
              <w:rPr>
                <w:rFonts w:cs="Traditional Arabic" w:hint="cs"/>
                <w:sz w:val="30"/>
                <w:szCs w:val="30"/>
                <w:rtl/>
                <w:lang w:val="fr-CH"/>
              </w:rPr>
              <w:t>المحامي.</w:t>
            </w:r>
          </w:p>
        </w:tc>
      </w:tr>
      <w:tr w:rsidR="00F72BDC" w:rsidRPr="00F41C55" w:rsidTr="003101C1">
        <w:tc>
          <w:tcPr>
            <w:tcW w:w="7158" w:type="dxa"/>
            <w:gridSpan w:val="2"/>
            <w:tcBorders>
              <w:bottom w:val="single" w:sz="12" w:space="0" w:color="auto"/>
            </w:tcBorders>
            <w:shd w:val="clear" w:color="auto" w:fill="auto"/>
          </w:tcPr>
          <w:p w:rsidR="00F72BDC" w:rsidRDefault="00F72BDC" w:rsidP="0011282D">
            <w:pPr>
              <w:spacing w:after="120" w:line="380" w:lineRule="exact"/>
              <w:ind w:left="113" w:right="113"/>
              <w:rPr>
                <w:rFonts w:cs="Traditional Arabic" w:hint="cs"/>
                <w:sz w:val="30"/>
                <w:szCs w:val="30"/>
                <w:rtl/>
                <w:lang w:val="fr-CH"/>
              </w:rPr>
            </w:pPr>
            <w:r>
              <w:rPr>
                <w:rFonts w:cs="Traditional Arabic" w:hint="cs"/>
                <w:sz w:val="30"/>
                <w:szCs w:val="30"/>
                <w:rtl/>
                <w:lang w:val="fr-CH"/>
              </w:rPr>
              <w:tab/>
              <w:t>وقررت اللجنة في دورتها الخمسين، في ظل هذه الظروف، وفي ضوء المعلومات التي قدمتها الدولة الطرف، أن تغلق حوار المتابعة وخلصت إلى أن القضية قد سُويت تسوية مرضية، مع الإشارة إلى عدم تعليق المحامي على ذلك.</w:t>
            </w:r>
          </w:p>
        </w:tc>
      </w:tr>
    </w:tbl>
    <w:p w:rsidR="00F72BDC" w:rsidRDefault="00F72BDC" w:rsidP="0011282D">
      <w:pPr>
        <w:pStyle w:val="SingleTxtGA"/>
        <w:spacing w:after="0"/>
        <w:rPr>
          <w:rFonts w:hint="cs"/>
          <w:spacing w:val="-2"/>
          <w:kern w:val="16"/>
          <w:sz w:val="22"/>
          <w:rtl/>
        </w:rPr>
      </w:pPr>
    </w:p>
    <w:tbl>
      <w:tblPr>
        <w:tblStyle w:val="TableGrid"/>
        <w:bidiVisual/>
        <w:tblW w:w="7153" w:type="dxa"/>
        <w:tblInd w:w="12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790"/>
        <w:gridCol w:w="4363"/>
      </w:tblGrid>
      <w:tr w:rsidR="00F72BDC" w:rsidRPr="00F41C55" w:rsidTr="0011282D">
        <w:tc>
          <w:tcPr>
            <w:tcW w:w="2790" w:type="dxa"/>
            <w:tcBorders>
              <w:top w:val="single" w:sz="4" w:space="0" w:color="auto"/>
              <w:bottom w:val="single" w:sz="12" w:space="0" w:color="auto"/>
            </w:tcBorders>
            <w:shd w:val="clear" w:color="auto" w:fill="auto"/>
            <w:vAlign w:val="bottom"/>
          </w:tcPr>
          <w:p w:rsidR="00F72BDC" w:rsidRPr="00F41C55" w:rsidRDefault="00F72BDC" w:rsidP="0011282D">
            <w:pPr>
              <w:spacing w:after="120" w:line="360" w:lineRule="exact"/>
              <w:ind w:left="113" w:right="113"/>
              <w:rPr>
                <w:rFonts w:cs="Traditional Arabic" w:hint="cs"/>
                <w:b/>
                <w:bCs/>
                <w:i/>
                <w:sz w:val="30"/>
                <w:szCs w:val="30"/>
                <w:rtl/>
                <w:lang w:val="fr-CH"/>
              </w:rPr>
            </w:pPr>
            <w:r w:rsidRPr="00F41C55">
              <w:rPr>
                <w:rFonts w:cs="Traditional Arabic" w:hint="cs"/>
                <w:b/>
                <w:bCs/>
                <w:i/>
                <w:sz w:val="30"/>
                <w:szCs w:val="30"/>
                <w:rtl/>
                <w:lang w:val="fr-CH"/>
              </w:rPr>
              <w:t>الدولة الطرف</w:t>
            </w:r>
          </w:p>
        </w:tc>
        <w:tc>
          <w:tcPr>
            <w:tcW w:w="4363" w:type="dxa"/>
            <w:tcBorders>
              <w:top w:val="single" w:sz="4" w:space="0" w:color="auto"/>
              <w:bottom w:val="single" w:sz="12" w:space="0" w:color="auto"/>
            </w:tcBorders>
            <w:shd w:val="clear" w:color="auto" w:fill="auto"/>
            <w:vAlign w:val="bottom"/>
          </w:tcPr>
          <w:p w:rsidR="00F72BDC" w:rsidRPr="00F41C55" w:rsidRDefault="00F72BDC" w:rsidP="0011282D">
            <w:pPr>
              <w:spacing w:after="120" w:line="360" w:lineRule="exact"/>
              <w:ind w:left="113" w:right="113"/>
              <w:rPr>
                <w:rFonts w:cs="Traditional Arabic" w:hint="cs"/>
                <w:b/>
                <w:bCs/>
                <w:i/>
                <w:sz w:val="30"/>
                <w:szCs w:val="30"/>
                <w:rtl/>
                <w:lang w:val="fr-CH"/>
              </w:rPr>
            </w:pPr>
            <w:r w:rsidRPr="00F41C55">
              <w:rPr>
                <w:rFonts w:cs="Traditional Arabic" w:hint="cs"/>
                <w:b/>
                <w:bCs/>
                <w:i/>
                <w:sz w:val="30"/>
                <w:szCs w:val="30"/>
                <w:rtl/>
                <w:lang w:val="fr-CH"/>
              </w:rPr>
              <w:t>كندا</w:t>
            </w:r>
          </w:p>
        </w:tc>
      </w:tr>
      <w:tr w:rsidR="00F72BDC" w:rsidRPr="00F41C55" w:rsidTr="0011282D">
        <w:tc>
          <w:tcPr>
            <w:tcW w:w="2790" w:type="dxa"/>
            <w:tcBorders>
              <w:top w:val="single" w:sz="12" w:space="0" w:color="auto"/>
            </w:tcBorders>
            <w:shd w:val="clear" w:color="auto" w:fill="auto"/>
          </w:tcPr>
          <w:p w:rsidR="00F72BDC" w:rsidRPr="00F41C55" w:rsidRDefault="00F72BDC" w:rsidP="0011282D">
            <w:pPr>
              <w:spacing w:after="120" w:line="360" w:lineRule="exact"/>
              <w:ind w:left="113" w:right="113"/>
              <w:rPr>
                <w:rFonts w:cs="Traditional Arabic" w:hint="cs"/>
                <w:b/>
                <w:bCs/>
                <w:sz w:val="30"/>
                <w:szCs w:val="30"/>
                <w:rtl/>
                <w:lang w:val="fr-CH"/>
              </w:rPr>
            </w:pPr>
            <w:r w:rsidRPr="00F41C55">
              <w:rPr>
                <w:rFonts w:cs="Traditional Arabic" w:hint="cs"/>
                <w:b/>
                <w:bCs/>
                <w:sz w:val="30"/>
                <w:szCs w:val="30"/>
                <w:rtl/>
                <w:lang w:val="fr-CH"/>
              </w:rPr>
              <w:t>القضية</w:t>
            </w:r>
          </w:p>
        </w:tc>
        <w:tc>
          <w:tcPr>
            <w:tcW w:w="4363" w:type="dxa"/>
            <w:tcBorders>
              <w:top w:val="single" w:sz="12" w:space="0" w:color="auto"/>
            </w:tcBorders>
            <w:shd w:val="clear" w:color="auto" w:fill="auto"/>
          </w:tcPr>
          <w:p w:rsidR="00F72BDC" w:rsidRPr="00F41C55" w:rsidRDefault="00F72BDC" w:rsidP="0011282D">
            <w:pPr>
              <w:spacing w:after="120" w:line="360" w:lineRule="exact"/>
              <w:ind w:left="113" w:right="113"/>
              <w:rPr>
                <w:rFonts w:cs="Traditional Arabic" w:hint="cs"/>
                <w:b/>
                <w:bCs/>
                <w:sz w:val="30"/>
                <w:szCs w:val="30"/>
                <w:rtl/>
                <w:lang w:val="fr-CH"/>
              </w:rPr>
            </w:pPr>
            <w:r w:rsidRPr="00F41C55">
              <w:rPr>
                <w:rFonts w:cs="Traditional Arabic" w:hint="cs"/>
                <w:b/>
                <w:bCs/>
                <w:i/>
                <w:iCs/>
                <w:sz w:val="30"/>
                <w:szCs w:val="30"/>
                <w:rtl/>
                <w:lang w:val="fr-CH"/>
              </w:rPr>
              <w:t>بوالي</w:t>
            </w:r>
            <w:r w:rsidRPr="00F41C55">
              <w:rPr>
                <w:rFonts w:cs="Traditional Arabic" w:hint="cs"/>
                <w:b/>
                <w:bCs/>
                <w:sz w:val="30"/>
                <w:szCs w:val="30"/>
                <w:rtl/>
                <w:lang w:val="fr-CH"/>
              </w:rPr>
              <w:t>، 327/2007</w:t>
            </w:r>
          </w:p>
        </w:tc>
      </w:tr>
      <w:tr w:rsidR="00F72BDC" w:rsidRPr="00F41C55" w:rsidTr="0011282D">
        <w:tc>
          <w:tcPr>
            <w:tcW w:w="2790" w:type="dxa"/>
            <w:shd w:val="clear" w:color="auto" w:fill="auto"/>
          </w:tcPr>
          <w:p w:rsidR="00F72BDC" w:rsidRPr="00F41C55" w:rsidRDefault="00F72BDC" w:rsidP="0011282D">
            <w:pPr>
              <w:spacing w:after="120" w:line="360" w:lineRule="exact"/>
              <w:ind w:left="113" w:right="113"/>
              <w:rPr>
                <w:rFonts w:cs="Traditional Arabic" w:hint="cs"/>
                <w:b/>
                <w:bCs/>
                <w:sz w:val="30"/>
                <w:szCs w:val="30"/>
                <w:rtl/>
                <w:lang w:val="fr-CH"/>
              </w:rPr>
            </w:pPr>
            <w:r>
              <w:rPr>
                <w:rFonts w:cs="Traditional Arabic" w:hint="cs"/>
                <w:b/>
                <w:bCs/>
                <w:sz w:val="30"/>
                <w:szCs w:val="30"/>
                <w:rtl/>
                <w:lang w:val="fr-CH"/>
              </w:rPr>
              <w:t>قرار معتمد في</w:t>
            </w:r>
            <w:r w:rsidRPr="00F41C55">
              <w:rPr>
                <w:rFonts w:cs="Traditional Arabic" w:hint="cs"/>
                <w:b/>
                <w:bCs/>
                <w:sz w:val="30"/>
                <w:szCs w:val="30"/>
                <w:rtl/>
                <w:lang w:val="fr-CH"/>
              </w:rPr>
              <w:t xml:space="preserve"> </w:t>
            </w:r>
          </w:p>
        </w:tc>
        <w:tc>
          <w:tcPr>
            <w:tcW w:w="4363" w:type="dxa"/>
            <w:shd w:val="clear" w:color="auto" w:fill="auto"/>
          </w:tcPr>
          <w:p w:rsidR="00F72BDC" w:rsidRPr="00F41C55" w:rsidRDefault="00F72BDC" w:rsidP="0011282D">
            <w:pPr>
              <w:spacing w:after="120" w:line="360" w:lineRule="exact"/>
              <w:ind w:left="113" w:right="113"/>
              <w:rPr>
                <w:rFonts w:cs="Traditional Arabic" w:hint="cs"/>
                <w:sz w:val="30"/>
                <w:szCs w:val="30"/>
                <w:rtl/>
                <w:lang w:val="fr-CH"/>
              </w:rPr>
            </w:pPr>
            <w:r w:rsidRPr="00F41C55">
              <w:rPr>
                <w:rFonts w:cs="Traditional Arabic" w:hint="cs"/>
                <w:sz w:val="30"/>
                <w:szCs w:val="30"/>
                <w:rtl/>
                <w:lang w:val="fr-CH"/>
              </w:rPr>
              <w:t>14 تشرين الثاني/نوفمبر 2011</w:t>
            </w:r>
          </w:p>
        </w:tc>
      </w:tr>
      <w:tr w:rsidR="00F72BDC" w:rsidRPr="00F41C55" w:rsidTr="0011282D">
        <w:tc>
          <w:tcPr>
            <w:tcW w:w="2790" w:type="dxa"/>
            <w:shd w:val="clear" w:color="auto" w:fill="auto"/>
          </w:tcPr>
          <w:p w:rsidR="00F72BDC" w:rsidRPr="00F41C55" w:rsidRDefault="00F72BDC" w:rsidP="0011282D">
            <w:pPr>
              <w:spacing w:after="120" w:line="360" w:lineRule="exact"/>
              <w:ind w:left="113" w:right="113"/>
              <w:rPr>
                <w:rFonts w:cs="Traditional Arabic" w:hint="cs"/>
                <w:b/>
                <w:bCs/>
                <w:sz w:val="30"/>
                <w:szCs w:val="30"/>
                <w:rtl/>
                <w:lang w:val="fr-CH"/>
              </w:rPr>
            </w:pPr>
            <w:r w:rsidRPr="00F41C55">
              <w:rPr>
                <w:rFonts w:cs="Traditional Arabic" w:hint="cs"/>
                <w:b/>
                <w:bCs/>
                <w:sz w:val="30"/>
                <w:szCs w:val="30"/>
                <w:rtl/>
                <w:lang w:val="fr-CH"/>
              </w:rPr>
              <w:t>الانتهاك</w:t>
            </w:r>
          </w:p>
        </w:tc>
        <w:tc>
          <w:tcPr>
            <w:tcW w:w="4363" w:type="dxa"/>
            <w:shd w:val="clear" w:color="auto" w:fill="auto"/>
          </w:tcPr>
          <w:p w:rsidR="00F72BDC" w:rsidRPr="00F41C55" w:rsidRDefault="00F72BDC" w:rsidP="0011282D">
            <w:pPr>
              <w:spacing w:after="120" w:line="360" w:lineRule="exact"/>
              <w:ind w:left="113" w:right="113"/>
              <w:rPr>
                <w:rFonts w:cs="Traditional Arabic" w:hint="cs"/>
                <w:sz w:val="30"/>
                <w:szCs w:val="30"/>
                <w:rtl/>
                <w:lang w:val="fr-CH"/>
              </w:rPr>
            </w:pPr>
            <w:r w:rsidRPr="00F41C55">
              <w:rPr>
                <w:rFonts w:cs="Traditional Arabic" w:hint="cs"/>
                <w:sz w:val="30"/>
                <w:szCs w:val="30"/>
                <w:rtl/>
                <w:lang w:val="fr-CH"/>
              </w:rPr>
              <w:t xml:space="preserve">المادتان 3 و22 </w:t>
            </w:r>
            <w:r>
              <w:rPr>
                <w:rFonts w:cs="Traditional Arabic" w:hint="cs"/>
                <w:sz w:val="30"/>
                <w:szCs w:val="30"/>
                <w:rtl/>
                <w:lang w:val="fr-CH"/>
              </w:rPr>
              <w:t>(الترحيل إلى المكسيك)</w:t>
            </w:r>
          </w:p>
        </w:tc>
      </w:tr>
      <w:tr w:rsidR="00F72BDC" w:rsidRPr="00F41C55" w:rsidTr="0011282D">
        <w:tc>
          <w:tcPr>
            <w:tcW w:w="2790" w:type="dxa"/>
            <w:shd w:val="clear" w:color="auto" w:fill="auto"/>
          </w:tcPr>
          <w:p w:rsidR="00F72BDC" w:rsidRPr="00F41C55" w:rsidRDefault="00F72BDC" w:rsidP="0011282D">
            <w:pPr>
              <w:spacing w:after="120" w:line="360" w:lineRule="exact"/>
              <w:ind w:left="113" w:right="113"/>
              <w:rPr>
                <w:rFonts w:cs="Traditional Arabic" w:hint="cs"/>
                <w:b/>
                <w:bCs/>
                <w:sz w:val="30"/>
                <w:szCs w:val="30"/>
                <w:rtl/>
                <w:lang w:val="fr-CH"/>
              </w:rPr>
            </w:pPr>
            <w:r w:rsidRPr="00F41C55">
              <w:rPr>
                <w:rFonts w:cs="Traditional Arabic" w:hint="cs"/>
                <w:b/>
                <w:bCs/>
                <w:sz w:val="30"/>
                <w:szCs w:val="30"/>
                <w:rtl/>
                <w:lang w:val="fr-CH"/>
              </w:rPr>
              <w:t>الانتصاف الموصى به</w:t>
            </w:r>
          </w:p>
        </w:tc>
        <w:tc>
          <w:tcPr>
            <w:tcW w:w="4363" w:type="dxa"/>
            <w:shd w:val="clear" w:color="auto" w:fill="auto"/>
          </w:tcPr>
          <w:p w:rsidR="00F72BDC" w:rsidRPr="00F41C55" w:rsidRDefault="00F72BDC" w:rsidP="0011282D">
            <w:pPr>
              <w:spacing w:after="120" w:line="360" w:lineRule="exact"/>
              <w:ind w:left="113" w:right="113"/>
              <w:rPr>
                <w:rFonts w:cs="Traditional Arabic" w:hint="cs"/>
                <w:sz w:val="30"/>
                <w:szCs w:val="30"/>
                <w:rtl/>
                <w:lang w:val="fr-CH"/>
              </w:rPr>
            </w:pPr>
            <w:r w:rsidRPr="00F41C55">
              <w:rPr>
                <w:rFonts w:cs="Traditional Arabic" w:hint="cs"/>
                <w:sz w:val="30"/>
                <w:szCs w:val="30"/>
                <w:rtl/>
                <w:lang w:val="fr-CH"/>
              </w:rPr>
              <w:t>طُلب من الدولة الطرف، عملاً بالتزاماتها بموجب المادة 14 من الاتفاقية، توفير انتصاف فعال، ولا سيما ما يلي: (أ) تعويض صاحب الشكوى على انتهاك حقوقه بموجب المادة 3؛ (ب) تقديم أعلى مستوى ممكن من إعادة التأهيل وذلك بسبل منها توفير الرعاية الطبية والنفسية وتقديم الخدمات الاجتماعية والمساعدة القانونية، بما في ذلك دفع تكاليف النفقات السابقة والخدمات اللاحقة والمصاريف القانونية؛ (ج) إعادة النظر في نظام الضمانات الدبلوماسية المتبع بغية تجنب الوقوع في انتهاكات مماثلة مستقبلاً.</w:t>
            </w:r>
          </w:p>
        </w:tc>
      </w:tr>
      <w:tr w:rsidR="00F72BDC" w:rsidRPr="003101C1" w:rsidTr="003101C1">
        <w:tc>
          <w:tcPr>
            <w:tcW w:w="7153" w:type="dxa"/>
            <w:gridSpan w:val="2"/>
            <w:shd w:val="clear" w:color="auto" w:fill="auto"/>
          </w:tcPr>
          <w:p w:rsidR="00F72BDC" w:rsidRPr="003101C1" w:rsidRDefault="00F72BDC" w:rsidP="0011282D">
            <w:pPr>
              <w:keepNext/>
              <w:keepLines/>
              <w:spacing w:after="120" w:line="360" w:lineRule="exact"/>
              <w:ind w:left="113" w:right="113"/>
              <w:rPr>
                <w:rFonts w:ascii="Times New Roman Bold" w:hAnsi="Times New Roman Bold" w:cs="Traditional Arabic" w:hint="cs"/>
                <w:b/>
                <w:bCs/>
                <w:sz w:val="20"/>
                <w:szCs w:val="30"/>
                <w:rtl/>
                <w:lang w:val="fr-CH"/>
              </w:rPr>
            </w:pPr>
            <w:r w:rsidRPr="003101C1">
              <w:rPr>
                <w:rFonts w:ascii="Times New Roman Bold" w:hAnsi="Times New Roman Bold" w:cs="Traditional Arabic" w:hint="cs"/>
                <w:b/>
                <w:bCs/>
                <w:sz w:val="20"/>
                <w:szCs w:val="30"/>
                <w:rtl/>
                <w:lang w:val="fr-CH"/>
              </w:rPr>
              <w:t xml:space="preserve">معلومات متابعة سابقة: </w:t>
            </w:r>
            <w:r w:rsidRPr="003101C1">
              <w:rPr>
                <w:rFonts w:ascii="Times New Roman Bold" w:hAnsi="Times New Roman Bold" w:cs="Traditional Arabic"/>
                <w:b/>
                <w:bCs/>
                <w:sz w:val="20"/>
                <w:szCs w:val="30"/>
              </w:rPr>
              <w:t>A/67/44</w:t>
            </w:r>
            <w:r w:rsidRPr="003101C1">
              <w:rPr>
                <w:rFonts w:ascii="Times New Roman Bold" w:hAnsi="Times New Roman Bold" w:cs="Traditional Arabic" w:hint="cs"/>
                <w:b/>
                <w:bCs/>
                <w:sz w:val="20"/>
                <w:szCs w:val="30"/>
                <w:rtl/>
              </w:rPr>
              <w:t>، الفصل السادس.</w:t>
            </w:r>
          </w:p>
        </w:tc>
      </w:tr>
      <w:tr w:rsidR="00F72BDC" w:rsidRPr="00F41C55" w:rsidTr="003101C1">
        <w:tc>
          <w:tcPr>
            <w:tcW w:w="7153" w:type="dxa"/>
            <w:gridSpan w:val="2"/>
            <w:shd w:val="clear" w:color="auto" w:fill="auto"/>
          </w:tcPr>
          <w:p w:rsidR="00F72BDC" w:rsidRPr="00F41C55" w:rsidRDefault="00F72BDC" w:rsidP="0011282D">
            <w:pPr>
              <w:spacing w:after="120" w:line="360" w:lineRule="exact"/>
              <w:ind w:left="113" w:right="113"/>
              <w:rPr>
                <w:rFonts w:cs="Traditional Arabic" w:hint="cs"/>
                <w:sz w:val="30"/>
                <w:szCs w:val="30"/>
                <w:rtl/>
                <w:lang w:val="fr-CH"/>
              </w:rPr>
            </w:pPr>
            <w:r>
              <w:rPr>
                <w:rFonts w:cs="Traditional Arabic" w:hint="cs"/>
                <w:sz w:val="30"/>
                <w:szCs w:val="30"/>
                <w:rtl/>
                <w:lang w:val="fr-CH"/>
              </w:rPr>
              <w:tab/>
              <w:t>في كانون الثاني/يناير 2013 أُرسل تذكير إلى المحامي.</w:t>
            </w:r>
          </w:p>
        </w:tc>
      </w:tr>
      <w:tr w:rsidR="00F72BDC" w:rsidRPr="00F41C55" w:rsidTr="003101C1">
        <w:tc>
          <w:tcPr>
            <w:tcW w:w="7153" w:type="dxa"/>
            <w:gridSpan w:val="2"/>
            <w:shd w:val="clear" w:color="auto" w:fill="auto"/>
          </w:tcPr>
          <w:p w:rsidR="00F72BDC" w:rsidRPr="00F41C55" w:rsidRDefault="00F72BDC" w:rsidP="0011282D">
            <w:pPr>
              <w:spacing w:after="120" w:line="360" w:lineRule="exact"/>
              <w:ind w:left="113" w:right="113"/>
              <w:rPr>
                <w:rFonts w:cs="Traditional Arabic" w:hint="cs"/>
                <w:sz w:val="30"/>
                <w:szCs w:val="30"/>
                <w:rtl/>
                <w:lang w:val="fr-CH"/>
              </w:rPr>
            </w:pPr>
            <w:r>
              <w:rPr>
                <w:rFonts w:cs="Traditional Arabic" w:hint="cs"/>
                <w:sz w:val="30"/>
                <w:szCs w:val="30"/>
                <w:rtl/>
                <w:lang w:val="fr-CH"/>
              </w:rPr>
              <w:tab/>
              <w:t>وفي 4 شباط/فبراير 2013، انتقد محامي صاحب الشكوى رد الدولة الطرف، الذي يُبين، حسب رأيه، عن عدم تنفيذ الدولة الطرف لقرار اللجنة.</w:t>
            </w:r>
          </w:p>
        </w:tc>
      </w:tr>
      <w:tr w:rsidR="00F72BDC" w:rsidRPr="00F41C55" w:rsidTr="0011282D">
        <w:tc>
          <w:tcPr>
            <w:tcW w:w="7153" w:type="dxa"/>
            <w:gridSpan w:val="2"/>
            <w:shd w:val="clear" w:color="auto" w:fill="auto"/>
          </w:tcPr>
          <w:p w:rsidR="00F72BDC" w:rsidRPr="0011282D" w:rsidRDefault="00F72BDC" w:rsidP="0011282D">
            <w:pPr>
              <w:spacing w:after="120" w:line="360" w:lineRule="exact"/>
              <w:ind w:left="113" w:right="113"/>
              <w:rPr>
                <w:rFonts w:cs="Traditional Arabic" w:hint="cs"/>
                <w:spacing w:val="-4"/>
                <w:sz w:val="30"/>
                <w:szCs w:val="30"/>
                <w:rtl/>
                <w:lang w:val="fr-CH"/>
              </w:rPr>
            </w:pPr>
            <w:r w:rsidRPr="0011282D">
              <w:rPr>
                <w:rFonts w:cs="Traditional Arabic" w:hint="cs"/>
                <w:spacing w:val="-4"/>
                <w:sz w:val="30"/>
                <w:szCs w:val="30"/>
                <w:rtl/>
                <w:lang w:val="fr-CH"/>
              </w:rPr>
              <w:tab/>
              <w:t>وفي 8 آذار/مارس 2013، كررت الدولة الطرف موقفها بأنها لن تقدم ملاحظات على هذه المسألة في هذه المرحلة لأن الإجراءات ما تزال معروضة على المحكمة الاتحادية لكندا.</w:t>
            </w:r>
          </w:p>
        </w:tc>
      </w:tr>
      <w:tr w:rsidR="00F72BDC" w:rsidRPr="00F41C55" w:rsidTr="0011282D">
        <w:tc>
          <w:tcPr>
            <w:tcW w:w="7153" w:type="dxa"/>
            <w:gridSpan w:val="2"/>
            <w:tcBorders>
              <w:bottom w:val="single" w:sz="12" w:space="0" w:color="auto"/>
            </w:tcBorders>
            <w:shd w:val="clear" w:color="auto" w:fill="auto"/>
          </w:tcPr>
          <w:p w:rsidR="00F72BDC" w:rsidRPr="004531EB" w:rsidRDefault="004531EB" w:rsidP="0011282D">
            <w:pPr>
              <w:spacing w:after="120" w:line="360" w:lineRule="exact"/>
              <w:ind w:left="113" w:right="113"/>
              <w:rPr>
                <w:rFonts w:cs="Traditional Arabic" w:hint="cs"/>
                <w:sz w:val="30"/>
                <w:szCs w:val="30"/>
                <w:rtl/>
                <w:lang w:val="fr-CH"/>
              </w:rPr>
            </w:pPr>
            <w:r w:rsidRPr="004531EB">
              <w:rPr>
                <w:rFonts w:cs="Traditional Arabic"/>
                <w:sz w:val="30"/>
                <w:szCs w:val="30"/>
                <w:rtl/>
                <w:lang w:val="fr-CH"/>
              </w:rPr>
              <w:tab/>
            </w:r>
            <w:r w:rsidR="00F72BDC" w:rsidRPr="004531EB">
              <w:rPr>
                <w:rFonts w:cs="Traditional Arabic" w:hint="cs"/>
                <w:sz w:val="30"/>
                <w:szCs w:val="30"/>
                <w:rtl/>
                <w:lang w:val="fr-CH"/>
              </w:rPr>
              <w:t>قرار اللجنة: حوار المتابعة مستمر.</w:t>
            </w:r>
          </w:p>
        </w:tc>
      </w:tr>
    </w:tbl>
    <w:p w:rsidR="00F72BDC" w:rsidRDefault="00F72BDC" w:rsidP="0066270D">
      <w:pPr>
        <w:pStyle w:val="SingleTxtGA"/>
        <w:rPr>
          <w:rFonts w:hint="cs"/>
          <w:kern w:val="16"/>
          <w:rtl/>
        </w:rPr>
      </w:pPr>
    </w:p>
    <w:tbl>
      <w:tblPr>
        <w:tblStyle w:val="TableGrid"/>
        <w:bidiVisual/>
        <w:tblW w:w="7127" w:type="dxa"/>
        <w:tblInd w:w="13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646"/>
        <w:gridCol w:w="4481"/>
      </w:tblGrid>
      <w:tr w:rsidR="00F72BDC" w:rsidRPr="00773810" w:rsidTr="0011282D">
        <w:tc>
          <w:tcPr>
            <w:tcW w:w="2646" w:type="dxa"/>
            <w:tcBorders>
              <w:top w:val="single" w:sz="4" w:space="0" w:color="auto"/>
              <w:bottom w:val="single" w:sz="12" w:space="0" w:color="auto"/>
            </w:tcBorders>
            <w:shd w:val="clear" w:color="auto" w:fill="auto"/>
          </w:tcPr>
          <w:p w:rsidR="00F72BDC" w:rsidRPr="00773810" w:rsidRDefault="00F72BDC" w:rsidP="0066270D">
            <w:pPr>
              <w:spacing w:after="120" w:line="380" w:lineRule="exact"/>
              <w:rPr>
                <w:rFonts w:cs="Traditional Arabic" w:hint="cs"/>
                <w:b/>
                <w:bCs/>
                <w:i/>
                <w:sz w:val="30"/>
                <w:szCs w:val="30"/>
                <w:rtl/>
                <w:lang w:val="fr-CH"/>
              </w:rPr>
            </w:pPr>
            <w:r w:rsidRPr="00773810">
              <w:rPr>
                <w:rFonts w:cs="Traditional Arabic" w:hint="cs"/>
                <w:b/>
                <w:bCs/>
                <w:i/>
                <w:sz w:val="30"/>
                <w:szCs w:val="30"/>
                <w:rtl/>
                <w:lang w:val="fr-CH"/>
              </w:rPr>
              <w:t>الدولة الطرف</w:t>
            </w:r>
          </w:p>
        </w:tc>
        <w:tc>
          <w:tcPr>
            <w:tcW w:w="4481" w:type="dxa"/>
            <w:tcBorders>
              <w:top w:val="single" w:sz="4" w:space="0" w:color="auto"/>
              <w:bottom w:val="single" w:sz="12" w:space="0" w:color="auto"/>
            </w:tcBorders>
            <w:shd w:val="clear" w:color="auto" w:fill="auto"/>
          </w:tcPr>
          <w:p w:rsidR="00F72BDC" w:rsidRPr="00773810" w:rsidRDefault="00F72BDC" w:rsidP="0066270D">
            <w:pPr>
              <w:spacing w:after="120" w:line="380" w:lineRule="exact"/>
              <w:rPr>
                <w:rFonts w:cs="Traditional Arabic" w:hint="cs"/>
                <w:b/>
                <w:bCs/>
                <w:i/>
                <w:sz w:val="30"/>
                <w:szCs w:val="30"/>
                <w:rtl/>
                <w:lang w:val="fr-CH"/>
              </w:rPr>
            </w:pPr>
            <w:r w:rsidRPr="00773810">
              <w:rPr>
                <w:rFonts w:cs="Traditional Arabic" w:hint="cs"/>
                <w:b/>
                <w:bCs/>
                <w:i/>
                <w:sz w:val="30"/>
                <w:szCs w:val="30"/>
                <w:rtl/>
                <w:lang w:val="fr-CH"/>
              </w:rPr>
              <w:t>كندا</w:t>
            </w:r>
          </w:p>
        </w:tc>
      </w:tr>
      <w:tr w:rsidR="00F72BDC" w:rsidRPr="00773810" w:rsidTr="0011282D">
        <w:tc>
          <w:tcPr>
            <w:tcW w:w="2646" w:type="dxa"/>
            <w:tcBorders>
              <w:top w:val="single" w:sz="12" w:space="0" w:color="auto"/>
            </w:tcBorders>
            <w:shd w:val="clear" w:color="auto" w:fill="auto"/>
          </w:tcPr>
          <w:p w:rsidR="00F72BDC" w:rsidRPr="00773810" w:rsidRDefault="00F72BDC" w:rsidP="0066270D">
            <w:pPr>
              <w:spacing w:after="120" w:line="380" w:lineRule="exact"/>
              <w:rPr>
                <w:rFonts w:cs="Traditional Arabic" w:hint="cs"/>
                <w:b/>
                <w:bCs/>
                <w:sz w:val="30"/>
                <w:szCs w:val="30"/>
                <w:rtl/>
                <w:lang w:val="fr-CH"/>
              </w:rPr>
            </w:pPr>
            <w:r w:rsidRPr="00773810">
              <w:rPr>
                <w:rFonts w:cs="Traditional Arabic" w:hint="cs"/>
                <w:b/>
                <w:bCs/>
                <w:sz w:val="30"/>
                <w:szCs w:val="30"/>
                <w:rtl/>
                <w:lang w:val="fr-CH"/>
              </w:rPr>
              <w:t>القضية</w:t>
            </w:r>
          </w:p>
        </w:tc>
        <w:tc>
          <w:tcPr>
            <w:tcW w:w="4481" w:type="dxa"/>
            <w:tcBorders>
              <w:top w:val="single" w:sz="12" w:space="0" w:color="auto"/>
            </w:tcBorders>
            <w:shd w:val="clear" w:color="auto" w:fill="auto"/>
          </w:tcPr>
          <w:p w:rsidR="00F72BDC" w:rsidRPr="00773810" w:rsidRDefault="00F72BDC" w:rsidP="0066270D">
            <w:pPr>
              <w:spacing w:after="120" w:line="380" w:lineRule="exact"/>
              <w:rPr>
                <w:rFonts w:cs="Traditional Arabic" w:hint="cs"/>
                <w:b/>
                <w:bCs/>
                <w:sz w:val="30"/>
                <w:szCs w:val="30"/>
                <w:rtl/>
                <w:lang w:val="fr-CH"/>
              </w:rPr>
            </w:pPr>
            <w:r w:rsidRPr="00773810">
              <w:rPr>
                <w:rFonts w:cs="Traditional Arabic" w:hint="cs"/>
                <w:b/>
                <w:bCs/>
                <w:i/>
                <w:iCs/>
                <w:sz w:val="30"/>
                <w:szCs w:val="30"/>
                <w:rtl/>
                <w:lang w:val="fr-CH"/>
              </w:rPr>
              <w:t>كالونزو</w:t>
            </w:r>
            <w:r w:rsidRPr="00773810">
              <w:rPr>
                <w:rFonts w:cs="Traditional Arabic" w:hint="cs"/>
                <w:b/>
                <w:bCs/>
                <w:sz w:val="30"/>
                <w:szCs w:val="30"/>
                <w:rtl/>
                <w:lang w:val="fr-CH"/>
              </w:rPr>
              <w:t>، 343/2008</w:t>
            </w:r>
          </w:p>
        </w:tc>
      </w:tr>
      <w:tr w:rsidR="00F72BDC" w:rsidRPr="00773810" w:rsidTr="0011282D">
        <w:tc>
          <w:tcPr>
            <w:tcW w:w="2646" w:type="dxa"/>
            <w:shd w:val="clear" w:color="auto" w:fill="auto"/>
          </w:tcPr>
          <w:p w:rsidR="00F72BDC" w:rsidRPr="00773810" w:rsidRDefault="00F72BDC" w:rsidP="0066270D">
            <w:pPr>
              <w:spacing w:after="120" w:line="380" w:lineRule="exact"/>
              <w:rPr>
                <w:rFonts w:cs="Traditional Arabic" w:hint="cs"/>
                <w:b/>
                <w:bCs/>
                <w:sz w:val="30"/>
                <w:szCs w:val="30"/>
                <w:rtl/>
                <w:lang w:val="fr-CH"/>
              </w:rPr>
            </w:pPr>
            <w:r w:rsidRPr="00773810">
              <w:rPr>
                <w:rFonts w:cs="Traditional Arabic" w:hint="cs"/>
                <w:b/>
                <w:bCs/>
                <w:sz w:val="30"/>
                <w:szCs w:val="30"/>
                <w:rtl/>
                <w:lang w:val="fr-CH"/>
              </w:rPr>
              <w:t>قرار معتمد في</w:t>
            </w:r>
          </w:p>
        </w:tc>
        <w:tc>
          <w:tcPr>
            <w:tcW w:w="4481" w:type="dxa"/>
            <w:shd w:val="clear" w:color="auto" w:fill="auto"/>
          </w:tcPr>
          <w:p w:rsidR="00F72BDC" w:rsidRPr="00773810" w:rsidRDefault="00F72BDC" w:rsidP="0066270D">
            <w:pPr>
              <w:spacing w:after="120" w:line="380" w:lineRule="exact"/>
              <w:rPr>
                <w:rFonts w:cs="Traditional Arabic" w:hint="cs"/>
                <w:sz w:val="30"/>
                <w:szCs w:val="30"/>
                <w:rtl/>
                <w:lang w:val="fr-CH"/>
              </w:rPr>
            </w:pPr>
            <w:r w:rsidRPr="00773810">
              <w:rPr>
                <w:rFonts w:cs="Traditional Arabic" w:hint="cs"/>
                <w:sz w:val="30"/>
                <w:szCs w:val="30"/>
                <w:rtl/>
                <w:lang w:val="fr-CH"/>
              </w:rPr>
              <w:t>18 أيار/مايو 2012</w:t>
            </w:r>
          </w:p>
        </w:tc>
      </w:tr>
      <w:tr w:rsidR="00F72BDC" w:rsidRPr="00773810" w:rsidTr="0011282D">
        <w:tc>
          <w:tcPr>
            <w:tcW w:w="2646" w:type="dxa"/>
            <w:shd w:val="clear" w:color="auto" w:fill="auto"/>
          </w:tcPr>
          <w:p w:rsidR="00F72BDC" w:rsidRPr="00773810" w:rsidRDefault="00F72BDC" w:rsidP="0066270D">
            <w:pPr>
              <w:spacing w:after="120" w:line="380" w:lineRule="exact"/>
              <w:rPr>
                <w:rFonts w:cs="Traditional Arabic" w:hint="cs"/>
                <w:b/>
                <w:bCs/>
                <w:sz w:val="30"/>
                <w:szCs w:val="30"/>
                <w:rtl/>
                <w:lang w:val="fr-CH"/>
              </w:rPr>
            </w:pPr>
            <w:r w:rsidRPr="00773810">
              <w:rPr>
                <w:rFonts w:cs="Traditional Arabic" w:hint="cs"/>
                <w:b/>
                <w:bCs/>
                <w:sz w:val="30"/>
                <w:szCs w:val="30"/>
                <w:rtl/>
                <w:lang w:val="fr-CH"/>
              </w:rPr>
              <w:t>الانتهاك</w:t>
            </w:r>
          </w:p>
        </w:tc>
        <w:tc>
          <w:tcPr>
            <w:tcW w:w="4481" w:type="dxa"/>
            <w:shd w:val="clear" w:color="auto" w:fill="auto"/>
          </w:tcPr>
          <w:p w:rsidR="00F72BDC" w:rsidRPr="00773810" w:rsidRDefault="00F72BDC" w:rsidP="0066270D">
            <w:pPr>
              <w:spacing w:after="120" w:line="380" w:lineRule="exact"/>
              <w:rPr>
                <w:rFonts w:cs="Traditional Arabic" w:hint="cs"/>
                <w:sz w:val="30"/>
                <w:szCs w:val="30"/>
                <w:rtl/>
                <w:lang w:val="fr-CH"/>
              </w:rPr>
            </w:pPr>
            <w:r w:rsidRPr="00773810">
              <w:rPr>
                <w:rFonts w:cs="Traditional Arabic" w:hint="cs"/>
                <w:sz w:val="30"/>
                <w:szCs w:val="30"/>
                <w:rtl/>
                <w:lang w:val="fr-CH"/>
              </w:rPr>
              <w:t>المادة 3 (الترحيل إلى جمهورية الكونغو الديمقراطية)</w:t>
            </w:r>
          </w:p>
        </w:tc>
      </w:tr>
      <w:tr w:rsidR="00F72BDC" w:rsidRPr="00773810" w:rsidTr="0011282D">
        <w:tc>
          <w:tcPr>
            <w:tcW w:w="2646" w:type="dxa"/>
            <w:shd w:val="clear" w:color="auto" w:fill="auto"/>
          </w:tcPr>
          <w:p w:rsidR="00F72BDC" w:rsidRPr="00773810" w:rsidRDefault="00F72BDC" w:rsidP="0066270D">
            <w:pPr>
              <w:spacing w:after="120" w:line="380" w:lineRule="exact"/>
              <w:rPr>
                <w:rFonts w:cs="Traditional Arabic" w:hint="cs"/>
                <w:b/>
                <w:bCs/>
                <w:sz w:val="30"/>
                <w:szCs w:val="30"/>
                <w:rtl/>
                <w:lang w:val="fr-CH"/>
              </w:rPr>
            </w:pPr>
            <w:r w:rsidRPr="00773810">
              <w:rPr>
                <w:rFonts w:cs="Traditional Arabic" w:hint="cs"/>
                <w:b/>
                <w:bCs/>
                <w:sz w:val="30"/>
                <w:szCs w:val="30"/>
                <w:rtl/>
                <w:lang w:val="fr-CH"/>
              </w:rPr>
              <w:t xml:space="preserve">الانتصاف الموصى به </w:t>
            </w:r>
          </w:p>
        </w:tc>
        <w:tc>
          <w:tcPr>
            <w:tcW w:w="4481" w:type="dxa"/>
            <w:shd w:val="clear" w:color="auto" w:fill="auto"/>
          </w:tcPr>
          <w:p w:rsidR="00F72BDC" w:rsidRPr="00773810" w:rsidRDefault="00F72BDC" w:rsidP="0066270D">
            <w:pPr>
              <w:spacing w:after="120" w:line="380" w:lineRule="exact"/>
              <w:rPr>
                <w:rFonts w:cs="Traditional Arabic" w:hint="cs"/>
                <w:sz w:val="30"/>
                <w:szCs w:val="30"/>
                <w:rtl/>
                <w:lang w:val="fr-CH"/>
              </w:rPr>
            </w:pPr>
            <w:r w:rsidRPr="00773810">
              <w:rPr>
                <w:rFonts w:cs="Traditional Arabic" w:hint="cs"/>
                <w:sz w:val="30"/>
                <w:szCs w:val="30"/>
                <w:rtl/>
                <w:lang w:val="fr-CH"/>
              </w:rPr>
              <w:t>إبلاغ اللجنة، في غضون 90 يوماً من تاريخ إحالة هذا القرار، بالخطوات التي اتخذتها الدولة الطرف وفقاً لملاحظات اللجنة.</w:t>
            </w:r>
          </w:p>
        </w:tc>
      </w:tr>
      <w:tr w:rsidR="00F72BDC" w:rsidRPr="00773810" w:rsidTr="003101C1">
        <w:tc>
          <w:tcPr>
            <w:tcW w:w="7127" w:type="dxa"/>
            <w:gridSpan w:val="2"/>
            <w:shd w:val="clear" w:color="auto" w:fill="auto"/>
          </w:tcPr>
          <w:p w:rsidR="00F72BDC" w:rsidRPr="005E4BCD" w:rsidRDefault="00F72BDC" w:rsidP="0066270D">
            <w:pPr>
              <w:pStyle w:val="SingleTxtGA"/>
              <w:tabs>
                <w:tab w:val="clear" w:pos="1928"/>
                <w:tab w:val="clear" w:pos="2608"/>
                <w:tab w:val="clear" w:pos="3289"/>
                <w:tab w:val="clear" w:pos="3969"/>
                <w:tab w:val="clear" w:pos="4649"/>
                <w:tab w:val="clear" w:pos="5330"/>
              </w:tabs>
              <w:ind w:left="0" w:right="0"/>
              <w:rPr>
                <w:rFonts w:hint="cs"/>
                <w:spacing w:val="-2"/>
                <w:sz w:val="30"/>
                <w:rtl/>
                <w:lang w:val="fr-CH"/>
              </w:rPr>
            </w:pPr>
            <w:r w:rsidRPr="005E4BCD">
              <w:rPr>
                <w:rFonts w:hint="cs"/>
                <w:spacing w:val="-4"/>
                <w:sz w:val="30"/>
                <w:rtl/>
                <w:lang w:val="fr-CH"/>
              </w:rPr>
              <w:tab/>
              <w:t>في 25 أيلول/مايو 2012، أبلغت الدولة الطرف اللجنة بأن طلب صاحب الشكوى من أجل الحصول على إقامة دائمة في كندا لأسباب إنسا</w:t>
            </w:r>
            <w:r w:rsidR="005E4BCD" w:rsidRPr="005E4BCD">
              <w:rPr>
                <w:rFonts w:hint="cs"/>
                <w:spacing w:val="-4"/>
                <w:sz w:val="30"/>
                <w:rtl/>
                <w:lang w:val="fr-CH"/>
              </w:rPr>
              <w:t xml:space="preserve">نية ومن باب الرأفة (طلب لأسباب </w:t>
            </w:r>
            <w:r w:rsidRPr="005E4BCD">
              <w:rPr>
                <w:rFonts w:hint="cs"/>
                <w:spacing w:val="-4"/>
                <w:sz w:val="30"/>
                <w:rtl/>
                <w:lang w:val="fr-CH"/>
              </w:rPr>
              <w:t>إنسانية ومن باب الرأفة) قد ووفق عليه من حيث المبدأ في 15 أيار/مايو 2012.</w:t>
            </w:r>
            <w:r w:rsidRPr="005E4BCD">
              <w:rPr>
                <w:rFonts w:hint="cs"/>
                <w:spacing w:val="-2"/>
                <w:sz w:val="30"/>
                <w:rtl/>
                <w:lang w:val="fr-CH"/>
              </w:rPr>
              <w:t xml:space="preserve"> وبالإضافة إلى ذلك، مُنِحَ صاحب الشكوى إعفاءً من حكم الفقرة 36(2)(ب) من قانون الهجرة وحماية اللاجئين بشأن عدم المقبولية لأسباب إجرامية.</w:t>
            </w:r>
          </w:p>
          <w:p w:rsidR="00F72BDC" w:rsidRPr="00773810" w:rsidRDefault="00F72BDC" w:rsidP="0066270D">
            <w:pPr>
              <w:pStyle w:val="SingleTxtGA"/>
              <w:tabs>
                <w:tab w:val="clear" w:pos="1928"/>
                <w:tab w:val="clear" w:pos="2608"/>
                <w:tab w:val="clear" w:pos="3289"/>
                <w:tab w:val="clear" w:pos="3969"/>
                <w:tab w:val="clear" w:pos="4649"/>
                <w:tab w:val="clear" w:pos="5330"/>
              </w:tabs>
              <w:ind w:left="0" w:right="0"/>
              <w:rPr>
                <w:rFonts w:hint="cs"/>
                <w:sz w:val="30"/>
                <w:rtl/>
                <w:lang w:val="fr-CH"/>
              </w:rPr>
            </w:pPr>
            <w:r w:rsidRPr="00773810">
              <w:rPr>
                <w:rFonts w:hint="cs"/>
                <w:sz w:val="30"/>
                <w:rtl/>
                <w:lang w:val="fr-CH"/>
              </w:rPr>
              <w:tab/>
              <w:t>وفي 3 أيلول/سبتمبر 2012، ذكرت الدولة الطرف أن ترحيل صاحب الشكوى قد أوقف في انتظار الانتهاء من إجراءات التحقق من الهوية المطلوبة (بما في ذلك التحقق من المعلومات الجنائية، والأمنية والطبية) قبل منحه الإقامة الدائمة رسمياً. وبدأت عملية التحقق هذه في 18 حزيران/يونيه 2012. وإذا مُنِحَ صاحب الشكوى الإقامة الدائمة، فلن يُرحَّل من كندا. وبعد فترة الإقامة المطلوبة، سيكون من حق صاحب الشكوى التقدُّم بطلب الحصول على الجنسية الكندية.</w:t>
            </w:r>
          </w:p>
          <w:p w:rsidR="00F72BDC" w:rsidRPr="00773810" w:rsidRDefault="00F72BDC" w:rsidP="0066270D">
            <w:pPr>
              <w:pStyle w:val="SingleTxtGA"/>
              <w:tabs>
                <w:tab w:val="clear" w:pos="1928"/>
                <w:tab w:val="clear" w:pos="2608"/>
                <w:tab w:val="clear" w:pos="3289"/>
                <w:tab w:val="clear" w:pos="3969"/>
                <w:tab w:val="clear" w:pos="4649"/>
                <w:tab w:val="clear" w:pos="5330"/>
              </w:tabs>
              <w:ind w:left="0" w:right="0"/>
              <w:rPr>
                <w:rFonts w:hint="cs"/>
                <w:sz w:val="30"/>
                <w:rtl/>
                <w:lang w:val="fr-CH"/>
              </w:rPr>
            </w:pPr>
            <w:r w:rsidRPr="00773810">
              <w:rPr>
                <w:rFonts w:hint="cs"/>
                <w:sz w:val="30"/>
                <w:rtl/>
                <w:lang w:val="fr-CH"/>
              </w:rPr>
              <w:tab/>
              <w:t>وبما أن طلب صاحب الشكوى من أجل الحصول على الإقامة الدائمة قد جرت الموافقة عليه من حيث المبدأ، ولم يعد تحت خطر الترحيل، حثّت الدولة الطرف اللجنة، في</w:t>
            </w:r>
            <w:r w:rsidR="0066270D">
              <w:rPr>
                <w:rFonts w:hint="eastAsia"/>
                <w:sz w:val="30"/>
                <w:rtl/>
                <w:lang w:val="fr-CH"/>
              </w:rPr>
              <w:t> </w:t>
            </w:r>
            <w:r w:rsidRPr="00773810">
              <w:rPr>
                <w:rFonts w:hint="cs"/>
                <w:sz w:val="30"/>
                <w:rtl/>
                <w:lang w:val="fr-CH"/>
              </w:rPr>
              <w:t>25 أيار/مايو 2012، على اعتبار بلاغ صاحب الشكوى غير مقبول بموجب المادة</w:t>
            </w:r>
            <w:r w:rsidR="0066270D">
              <w:rPr>
                <w:rFonts w:hint="eastAsia"/>
                <w:sz w:val="30"/>
                <w:rtl/>
                <w:lang w:val="fr-CH"/>
              </w:rPr>
              <w:t> </w:t>
            </w:r>
            <w:r w:rsidRPr="00773810">
              <w:rPr>
                <w:rFonts w:hint="cs"/>
                <w:sz w:val="30"/>
                <w:rtl/>
                <w:lang w:val="fr-CH"/>
              </w:rPr>
              <w:t>22 من الاتفاقية. وتعرب الدولة الطرف عن أسفها لأن توقيت الوقائع لم يمكِّن اللجنة من الخلوص إلى عدم مقبولية هذا البلاغ وتفضِّل أن تنقض اللجنة قرارها بشأن</w:t>
            </w:r>
            <w:r w:rsidR="0066270D">
              <w:rPr>
                <w:rFonts w:hint="eastAsia"/>
                <w:sz w:val="30"/>
                <w:rtl/>
                <w:lang w:val="fr-CH"/>
              </w:rPr>
              <w:t> </w:t>
            </w:r>
            <w:r w:rsidRPr="00773810">
              <w:rPr>
                <w:rFonts w:hint="cs"/>
                <w:sz w:val="30"/>
                <w:rtl/>
                <w:lang w:val="fr-CH"/>
              </w:rPr>
              <w:t>المقبولية.</w:t>
            </w:r>
          </w:p>
          <w:p w:rsidR="00F72BDC" w:rsidRPr="00773810" w:rsidRDefault="00F72BDC" w:rsidP="0066270D">
            <w:pPr>
              <w:pStyle w:val="SingleTxtGA"/>
              <w:tabs>
                <w:tab w:val="clear" w:pos="1928"/>
                <w:tab w:val="clear" w:pos="2608"/>
                <w:tab w:val="clear" w:pos="3289"/>
                <w:tab w:val="clear" w:pos="3969"/>
                <w:tab w:val="clear" w:pos="4649"/>
                <w:tab w:val="clear" w:pos="5330"/>
              </w:tabs>
              <w:ind w:left="0" w:right="0"/>
              <w:rPr>
                <w:rFonts w:hint="cs"/>
                <w:sz w:val="30"/>
                <w:rtl/>
                <w:lang w:val="fr-CH"/>
              </w:rPr>
            </w:pPr>
            <w:r w:rsidRPr="00773810">
              <w:rPr>
                <w:rFonts w:hint="cs"/>
                <w:sz w:val="30"/>
                <w:rtl/>
                <w:lang w:val="fr-CH"/>
              </w:rPr>
              <w:tab/>
              <w:t>وفي معرض الإشارة إلى أن قرار اللجنة باعتبار الدولة الطرف ستنتهك المادة 3 من الاتفاقية إذا رُحِّل صاحب الشكوى إلى جمهورية الكونغو الديمقراطية، تلاحظ الدولة الطرف أن الأمر ليس كذلك لأن صاحب الشكوى يُنظر في أمر منحه الإقامة الدائمة. وتشير الدولة الطرف كذلك في هذه القضية، كما في عدد من قضايا أفراد آخرين قدموا بلاغات بموجب المادة 22، أن تقديم طلب لأسباب إنسانية ومن أجل الرأفة هو إجراء انتصاف فعّال.</w:t>
            </w:r>
          </w:p>
          <w:p w:rsidR="00F72BDC" w:rsidRPr="00773810" w:rsidRDefault="00F72BDC" w:rsidP="0066270D">
            <w:pPr>
              <w:spacing w:after="120" w:line="380" w:lineRule="exact"/>
              <w:rPr>
                <w:rFonts w:cs="Traditional Arabic" w:hint="cs"/>
                <w:sz w:val="30"/>
                <w:szCs w:val="30"/>
                <w:rtl/>
                <w:lang w:val="fr-CH"/>
              </w:rPr>
            </w:pPr>
            <w:r w:rsidRPr="00773810">
              <w:rPr>
                <w:rFonts w:cs="Traditional Arabic" w:hint="cs"/>
                <w:sz w:val="30"/>
                <w:szCs w:val="30"/>
                <w:rtl/>
                <w:lang w:val="fr-CH"/>
              </w:rPr>
              <w:tab/>
              <w:t>وفي 17 نيسان/أبريل 2013، طُلِب إلى الدولة الطرف تقديم آخر المستجدات فيما يتعلَّق بحالة صاحب الشكوى.</w:t>
            </w:r>
          </w:p>
        </w:tc>
      </w:tr>
      <w:tr w:rsidR="0066270D" w:rsidRPr="00773810" w:rsidTr="004531EB">
        <w:tc>
          <w:tcPr>
            <w:tcW w:w="7127" w:type="dxa"/>
            <w:gridSpan w:val="2"/>
            <w:tcBorders>
              <w:bottom w:val="single" w:sz="12" w:space="0" w:color="auto"/>
            </w:tcBorders>
            <w:shd w:val="clear" w:color="auto" w:fill="auto"/>
          </w:tcPr>
          <w:p w:rsidR="0066270D" w:rsidRPr="004531EB" w:rsidRDefault="004531EB" w:rsidP="0066270D">
            <w:pPr>
              <w:spacing w:after="120" w:line="380" w:lineRule="exact"/>
              <w:rPr>
                <w:rFonts w:cs="Traditional Arabic" w:hint="cs"/>
                <w:sz w:val="30"/>
                <w:szCs w:val="30"/>
                <w:rtl/>
                <w:lang w:val="fr-CH"/>
              </w:rPr>
            </w:pPr>
            <w:r w:rsidRPr="004531EB">
              <w:rPr>
                <w:rFonts w:cs="Traditional Arabic"/>
                <w:sz w:val="30"/>
                <w:szCs w:val="30"/>
                <w:rtl/>
                <w:lang w:val="fr-CH"/>
              </w:rPr>
              <w:tab/>
            </w:r>
            <w:r w:rsidR="0066270D" w:rsidRPr="004531EB">
              <w:rPr>
                <w:rFonts w:cs="Traditional Arabic" w:hint="cs"/>
                <w:sz w:val="30"/>
                <w:szCs w:val="30"/>
                <w:rtl/>
                <w:lang w:val="fr-CH"/>
              </w:rPr>
              <w:t>قرار اللجنة: حوار المتابعة مستمر.</w:t>
            </w:r>
          </w:p>
        </w:tc>
      </w:tr>
    </w:tbl>
    <w:p w:rsidR="00F72BDC" w:rsidRDefault="00F72BDC" w:rsidP="0066270D">
      <w:pPr>
        <w:pStyle w:val="SingleTxtGA"/>
        <w:rPr>
          <w:rFonts w:hint="cs"/>
          <w:kern w:val="16"/>
          <w:rtl/>
        </w:rPr>
      </w:pPr>
    </w:p>
    <w:tbl>
      <w:tblPr>
        <w:tblStyle w:val="TableGrid"/>
        <w:bidiVisual/>
        <w:tblW w:w="7127" w:type="dxa"/>
        <w:tblInd w:w="13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632"/>
        <w:gridCol w:w="4495"/>
      </w:tblGrid>
      <w:tr w:rsidR="00F72BDC" w:rsidRPr="0066270D" w:rsidTr="0066270D">
        <w:tc>
          <w:tcPr>
            <w:tcW w:w="2632" w:type="dxa"/>
            <w:tcBorders>
              <w:top w:val="single" w:sz="4" w:space="0" w:color="auto"/>
              <w:bottom w:val="single" w:sz="12" w:space="0" w:color="auto"/>
            </w:tcBorders>
            <w:shd w:val="clear" w:color="auto" w:fill="auto"/>
          </w:tcPr>
          <w:p w:rsidR="00F72BDC" w:rsidRPr="0066270D" w:rsidRDefault="00F72BDC" w:rsidP="0066270D">
            <w:pPr>
              <w:spacing w:after="120" w:line="380" w:lineRule="exact"/>
              <w:rPr>
                <w:rFonts w:cs="Traditional Arabic" w:hint="cs"/>
                <w:b/>
                <w:bCs/>
                <w:i/>
                <w:sz w:val="20"/>
                <w:szCs w:val="30"/>
                <w:rtl/>
                <w:lang w:val="fr-CH"/>
              </w:rPr>
            </w:pPr>
            <w:r w:rsidRPr="0066270D">
              <w:rPr>
                <w:rFonts w:cs="Traditional Arabic" w:hint="cs"/>
                <w:b/>
                <w:bCs/>
                <w:i/>
                <w:sz w:val="20"/>
                <w:szCs w:val="30"/>
                <w:rtl/>
                <w:lang w:val="fr-CH"/>
              </w:rPr>
              <w:t>الدولة الطرف</w:t>
            </w:r>
          </w:p>
        </w:tc>
        <w:tc>
          <w:tcPr>
            <w:tcW w:w="4495" w:type="dxa"/>
            <w:tcBorders>
              <w:top w:val="single" w:sz="4" w:space="0" w:color="auto"/>
              <w:bottom w:val="single" w:sz="12" w:space="0" w:color="auto"/>
            </w:tcBorders>
            <w:shd w:val="clear" w:color="auto" w:fill="auto"/>
          </w:tcPr>
          <w:p w:rsidR="00F72BDC" w:rsidRPr="0066270D" w:rsidRDefault="00F72BDC" w:rsidP="0066270D">
            <w:pPr>
              <w:spacing w:after="120" w:line="380" w:lineRule="exact"/>
              <w:rPr>
                <w:rFonts w:cs="Traditional Arabic" w:hint="cs"/>
                <w:b/>
                <w:bCs/>
                <w:i/>
                <w:sz w:val="20"/>
                <w:szCs w:val="30"/>
                <w:rtl/>
                <w:lang w:val="fr-CH"/>
              </w:rPr>
            </w:pPr>
            <w:r w:rsidRPr="0066270D">
              <w:rPr>
                <w:rFonts w:cs="Traditional Arabic" w:hint="cs"/>
                <w:b/>
                <w:bCs/>
                <w:i/>
                <w:sz w:val="20"/>
                <w:szCs w:val="30"/>
                <w:rtl/>
                <w:lang w:val="fr-CH"/>
              </w:rPr>
              <w:t>الدانمرك</w:t>
            </w:r>
          </w:p>
        </w:tc>
      </w:tr>
      <w:tr w:rsidR="00F72BDC" w:rsidRPr="0066270D" w:rsidTr="0066270D">
        <w:tc>
          <w:tcPr>
            <w:tcW w:w="2632" w:type="dxa"/>
            <w:tcBorders>
              <w:top w:val="single" w:sz="12" w:space="0" w:color="auto"/>
            </w:tcBorders>
            <w:shd w:val="clear" w:color="auto" w:fill="auto"/>
          </w:tcPr>
          <w:p w:rsidR="00F72BDC" w:rsidRPr="0066270D" w:rsidRDefault="00F72BDC" w:rsidP="0066270D">
            <w:pPr>
              <w:spacing w:after="120" w:line="380" w:lineRule="exact"/>
              <w:rPr>
                <w:rFonts w:cs="Traditional Arabic" w:hint="cs"/>
                <w:b/>
                <w:bCs/>
                <w:sz w:val="20"/>
                <w:szCs w:val="30"/>
                <w:rtl/>
                <w:lang w:val="fr-CH"/>
              </w:rPr>
            </w:pPr>
            <w:r w:rsidRPr="0066270D">
              <w:rPr>
                <w:rFonts w:cs="Traditional Arabic" w:hint="cs"/>
                <w:b/>
                <w:bCs/>
                <w:sz w:val="20"/>
                <w:szCs w:val="30"/>
                <w:rtl/>
                <w:lang w:val="fr-CH"/>
              </w:rPr>
              <w:t>القضية</w:t>
            </w:r>
          </w:p>
        </w:tc>
        <w:tc>
          <w:tcPr>
            <w:tcW w:w="4495" w:type="dxa"/>
            <w:tcBorders>
              <w:top w:val="single" w:sz="12" w:space="0" w:color="auto"/>
            </w:tcBorders>
            <w:shd w:val="clear" w:color="auto" w:fill="auto"/>
          </w:tcPr>
          <w:p w:rsidR="00F72BDC" w:rsidRPr="0066270D" w:rsidRDefault="00F72BDC" w:rsidP="0066270D">
            <w:pPr>
              <w:spacing w:after="120" w:line="380" w:lineRule="exact"/>
              <w:rPr>
                <w:rFonts w:cs="Traditional Arabic" w:hint="cs"/>
                <w:b/>
                <w:bCs/>
                <w:sz w:val="20"/>
                <w:szCs w:val="30"/>
                <w:rtl/>
                <w:lang w:val="fr-CH"/>
              </w:rPr>
            </w:pPr>
            <w:r w:rsidRPr="0066270D">
              <w:rPr>
                <w:rFonts w:cs="Traditional Arabic" w:hint="cs"/>
                <w:b/>
                <w:bCs/>
                <w:i/>
                <w:iCs/>
                <w:sz w:val="20"/>
                <w:szCs w:val="30"/>
                <w:rtl/>
                <w:lang w:val="fr-CH"/>
              </w:rPr>
              <w:t>ك. ﻫ.،</w:t>
            </w:r>
            <w:r w:rsidRPr="0066270D">
              <w:rPr>
                <w:rFonts w:cs="Traditional Arabic" w:hint="cs"/>
                <w:b/>
                <w:bCs/>
                <w:sz w:val="20"/>
                <w:szCs w:val="30"/>
                <w:rtl/>
                <w:lang w:val="fr-CH"/>
              </w:rPr>
              <w:t xml:space="preserve"> 464/2011</w:t>
            </w:r>
          </w:p>
        </w:tc>
      </w:tr>
      <w:tr w:rsidR="00F72BDC" w:rsidRPr="0066270D" w:rsidTr="0066270D">
        <w:tc>
          <w:tcPr>
            <w:tcW w:w="2632" w:type="dxa"/>
            <w:shd w:val="clear" w:color="auto" w:fill="auto"/>
          </w:tcPr>
          <w:p w:rsidR="00F72BDC" w:rsidRPr="0066270D" w:rsidRDefault="00F72BDC" w:rsidP="0066270D">
            <w:pPr>
              <w:spacing w:after="120" w:line="380" w:lineRule="exact"/>
              <w:rPr>
                <w:rFonts w:cs="Traditional Arabic" w:hint="cs"/>
                <w:b/>
                <w:bCs/>
                <w:sz w:val="20"/>
                <w:szCs w:val="30"/>
                <w:rtl/>
                <w:lang w:val="fr-CH"/>
              </w:rPr>
            </w:pPr>
            <w:r w:rsidRPr="0066270D">
              <w:rPr>
                <w:rFonts w:cs="Traditional Arabic" w:hint="cs"/>
                <w:b/>
                <w:bCs/>
                <w:sz w:val="20"/>
                <w:szCs w:val="30"/>
                <w:rtl/>
                <w:lang w:val="fr-CH"/>
              </w:rPr>
              <w:t>قرار معتمد في</w:t>
            </w:r>
          </w:p>
        </w:tc>
        <w:tc>
          <w:tcPr>
            <w:tcW w:w="4495" w:type="dxa"/>
            <w:shd w:val="clear" w:color="auto" w:fill="auto"/>
          </w:tcPr>
          <w:p w:rsidR="00F72BDC" w:rsidRPr="0066270D" w:rsidRDefault="00F72BDC" w:rsidP="0066270D">
            <w:pPr>
              <w:spacing w:after="120" w:line="380" w:lineRule="exact"/>
              <w:rPr>
                <w:rFonts w:cs="Traditional Arabic" w:hint="cs"/>
                <w:sz w:val="20"/>
                <w:szCs w:val="30"/>
                <w:rtl/>
                <w:lang w:val="fr-CH"/>
              </w:rPr>
            </w:pPr>
            <w:r w:rsidRPr="0066270D">
              <w:rPr>
                <w:rFonts w:cs="Traditional Arabic" w:hint="cs"/>
                <w:sz w:val="20"/>
                <w:szCs w:val="30"/>
                <w:rtl/>
                <w:lang w:val="fr-CH"/>
              </w:rPr>
              <w:t>23 تشرين الثاني/نوفمبر 2012</w:t>
            </w:r>
          </w:p>
        </w:tc>
      </w:tr>
      <w:tr w:rsidR="00F72BDC" w:rsidRPr="0066270D" w:rsidTr="0066270D">
        <w:tc>
          <w:tcPr>
            <w:tcW w:w="2632" w:type="dxa"/>
            <w:shd w:val="clear" w:color="auto" w:fill="auto"/>
          </w:tcPr>
          <w:p w:rsidR="00F72BDC" w:rsidRPr="0066270D" w:rsidRDefault="00F72BDC" w:rsidP="0066270D">
            <w:pPr>
              <w:spacing w:after="120" w:line="380" w:lineRule="exact"/>
              <w:rPr>
                <w:rFonts w:cs="Traditional Arabic" w:hint="cs"/>
                <w:b/>
                <w:bCs/>
                <w:sz w:val="20"/>
                <w:szCs w:val="30"/>
                <w:rtl/>
                <w:lang w:val="fr-CH"/>
              </w:rPr>
            </w:pPr>
            <w:r w:rsidRPr="0066270D">
              <w:rPr>
                <w:rFonts w:cs="Traditional Arabic" w:hint="cs"/>
                <w:b/>
                <w:bCs/>
                <w:sz w:val="20"/>
                <w:szCs w:val="30"/>
                <w:rtl/>
                <w:lang w:val="fr-CH"/>
              </w:rPr>
              <w:t>الانتهاك</w:t>
            </w:r>
          </w:p>
        </w:tc>
        <w:tc>
          <w:tcPr>
            <w:tcW w:w="4495" w:type="dxa"/>
            <w:shd w:val="clear" w:color="auto" w:fill="auto"/>
          </w:tcPr>
          <w:p w:rsidR="00F72BDC" w:rsidRPr="0066270D" w:rsidRDefault="00F72BDC" w:rsidP="0066270D">
            <w:pPr>
              <w:spacing w:after="120" w:line="380" w:lineRule="exact"/>
              <w:rPr>
                <w:rFonts w:cs="Traditional Arabic" w:hint="cs"/>
                <w:sz w:val="20"/>
                <w:szCs w:val="30"/>
                <w:rtl/>
                <w:lang w:val="fr-CH"/>
              </w:rPr>
            </w:pPr>
            <w:r w:rsidRPr="0066270D">
              <w:rPr>
                <w:rFonts w:cs="Traditional Arabic" w:hint="cs"/>
                <w:sz w:val="20"/>
                <w:szCs w:val="30"/>
                <w:rtl/>
                <w:lang w:val="fr-CH"/>
              </w:rPr>
              <w:t>المادة 3 (الترحيل إلى أفغانستان)</w:t>
            </w:r>
          </w:p>
        </w:tc>
      </w:tr>
      <w:tr w:rsidR="00F72BDC" w:rsidRPr="0066270D" w:rsidTr="0066270D">
        <w:tc>
          <w:tcPr>
            <w:tcW w:w="2632" w:type="dxa"/>
            <w:shd w:val="clear" w:color="auto" w:fill="auto"/>
          </w:tcPr>
          <w:p w:rsidR="00F72BDC" w:rsidRPr="0066270D" w:rsidRDefault="00F72BDC" w:rsidP="0066270D">
            <w:pPr>
              <w:spacing w:after="120" w:line="380" w:lineRule="exact"/>
              <w:rPr>
                <w:rFonts w:cs="Traditional Arabic" w:hint="cs"/>
                <w:b/>
                <w:bCs/>
                <w:sz w:val="20"/>
                <w:szCs w:val="30"/>
                <w:rtl/>
                <w:lang w:val="fr-CH"/>
              </w:rPr>
            </w:pPr>
            <w:r w:rsidRPr="0066270D">
              <w:rPr>
                <w:rFonts w:cs="Traditional Arabic" w:hint="cs"/>
                <w:b/>
                <w:bCs/>
                <w:sz w:val="20"/>
                <w:szCs w:val="30"/>
                <w:rtl/>
                <w:lang w:val="fr-CH"/>
              </w:rPr>
              <w:t xml:space="preserve">الانتصاف الموصى به </w:t>
            </w:r>
          </w:p>
        </w:tc>
        <w:tc>
          <w:tcPr>
            <w:tcW w:w="4495" w:type="dxa"/>
            <w:shd w:val="clear" w:color="auto" w:fill="auto"/>
          </w:tcPr>
          <w:p w:rsidR="00F72BDC" w:rsidRPr="0066270D" w:rsidRDefault="00F72BDC" w:rsidP="0066270D">
            <w:pPr>
              <w:spacing w:after="120" w:line="380" w:lineRule="exact"/>
              <w:rPr>
                <w:rFonts w:cs="Traditional Arabic" w:hint="cs"/>
                <w:sz w:val="20"/>
                <w:szCs w:val="30"/>
                <w:rtl/>
                <w:lang w:val="fr-CH"/>
              </w:rPr>
            </w:pPr>
            <w:r w:rsidRPr="0066270D">
              <w:rPr>
                <w:rFonts w:cs="Traditional Arabic" w:hint="cs"/>
                <w:sz w:val="20"/>
                <w:szCs w:val="30"/>
                <w:rtl/>
                <w:lang w:val="fr-CH"/>
              </w:rPr>
              <w:t>إبلاغ اللجنة، في غضون 90 يوماً من تاريخ إحالة هذا القرار، بالخطوات التي اتخذتها الدولة الطرف وفقاً لملاحظات اللجنة.</w:t>
            </w:r>
          </w:p>
        </w:tc>
      </w:tr>
      <w:tr w:rsidR="00F72BDC" w:rsidRPr="0066270D" w:rsidTr="004531EB">
        <w:tc>
          <w:tcPr>
            <w:tcW w:w="7127" w:type="dxa"/>
            <w:gridSpan w:val="2"/>
            <w:shd w:val="clear" w:color="auto" w:fill="auto"/>
          </w:tcPr>
          <w:p w:rsidR="00F72BDC" w:rsidRPr="0066270D" w:rsidRDefault="00F72BDC" w:rsidP="0066270D">
            <w:pPr>
              <w:spacing w:after="120" w:line="360" w:lineRule="exact"/>
              <w:rPr>
                <w:rFonts w:cs="Traditional Arabic" w:hint="cs"/>
                <w:sz w:val="20"/>
                <w:szCs w:val="30"/>
                <w:rtl/>
                <w:lang w:val="fr-CH"/>
              </w:rPr>
            </w:pPr>
            <w:r w:rsidRPr="0066270D">
              <w:rPr>
                <w:rFonts w:cs="Traditional Arabic" w:hint="cs"/>
                <w:sz w:val="20"/>
                <w:szCs w:val="30"/>
                <w:rtl/>
                <w:lang w:val="fr-CH"/>
              </w:rPr>
              <w:tab/>
              <w:t>في 18 شباط/فبراير 2013، أبلغ محامي صاحب الشكوى اللجنة أنه تبعاً لرفض المقرر المعني بالشكاوى الجديدة والتدابير المؤقتة لطلب التدابير المؤقتة الذي قُدِّم في حزيران/يونيه 2012، أُعيد صاحب الشكوى إلى أفغانستان، مما يجعل من الصعب تنفيذ قرار اللجنة اللاحق في هذه القضية.</w:t>
            </w:r>
          </w:p>
          <w:p w:rsidR="00F72BDC" w:rsidRPr="0066270D" w:rsidRDefault="00F72BDC" w:rsidP="0066270D">
            <w:pPr>
              <w:spacing w:after="120" w:line="360" w:lineRule="exact"/>
              <w:rPr>
                <w:rFonts w:cs="Traditional Arabic" w:hint="cs"/>
                <w:sz w:val="20"/>
                <w:szCs w:val="30"/>
                <w:rtl/>
                <w:lang w:val="fr-CH"/>
              </w:rPr>
            </w:pPr>
            <w:r w:rsidRPr="0066270D">
              <w:rPr>
                <w:rFonts w:cs="Traditional Arabic"/>
                <w:sz w:val="20"/>
                <w:szCs w:val="30"/>
                <w:rtl/>
                <w:lang w:val="fr-CH"/>
              </w:rPr>
              <w:tab/>
            </w:r>
            <w:r w:rsidRPr="0066270D">
              <w:rPr>
                <w:rFonts w:cs="Traditional Arabic" w:hint="cs"/>
                <w:sz w:val="20"/>
                <w:szCs w:val="30"/>
                <w:rtl/>
                <w:lang w:val="fr-CH"/>
              </w:rPr>
              <w:t>بيد أنه وفي إطار إجراء المتابعة، أبلغت الدولة الطرف في 6 آذار/مارس 2013 اللجنة بأنه في 18 كانون الأول/ديسمبر 2012، قرر مجلس الطعون الخاصة باللاجئين إعادة فتح القضية وإحالتها إلى دائرة الهجرة الدانمركية. وقرر مجلس الطعون الخاصة باللاجئين أيضاً أن يطلب إلى دائرة الهجرة المساعدة في تيسير عودة صاحب الشكوى إلى الدانمرك من أجل إعادة النظر في قضية لجوئه.</w:t>
            </w:r>
          </w:p>
          <w:p w:rsidR="00F72BDC" w:rsidRPr="0066270D" w:rsidRDefault="00F72BDC" w:rsidP="0066270D">
            <w:pPr>
              <w:spacing w:after="120" w:line="360" w:lineRule="exact"/>
              <w:rPr>
                <w:rFonts w:cs="Traditional Arabic" w:hint="cs"/>
                <w:sz w:val="20"/>
                <w:szCs w:val="30"/>
                <w:rtl/>
                <w:lang w:val="fr-CH"/>
              </w:rPr>
            </w:pPr>
            <w:r w:rsidRPr="0066270D">
              <w:rPr>
                <w:rFonts w:cs="Traditional Arabic"/>
                <w:sz w:val="20"/>
                <w:szCs w:val="30"/>
                <w:rtl/>
                <w:lang w:val="fr-CH"/>
              </w:rPr>
              <w:tab/>
            </w:r>
            <w:r w:rsidRPr="0066270D">
              <w:rPr>
                <w:rFonts w:cs="Traditional Arabic" w:hint="cs"/>
                <w:sz w:val="20"/>
                <w:szCs w:val="30"/>
                <w:rtl/>
                <w:lang w:val="fr-CH"/>
              </w:rPr>
              <w:t>وفي 1 آذار/مارس 2013، أبلغت السفارة الدانمركية في أفغانستان ومحامي صاحب الشكوى حكومة الدانمرك بأن صاحب الشكوى قد حُدِّد مكانه في أفغانستان، وفي 2 آذار/مارس 2013، أبلغت دائرة الهجرة الدانمركية حكومة الدانمرك بأن السفارة الدانمركية قد أصدرت لصاحب الشكوى جواز مرور وتأشيرة.</w:t>
            </w:r>
          </w:p>
          <w:p w:rsidR="00F72BDC" w:rsidRPr="0066270D" w:rsidRDefault="00F72BDC" w:rsidP="0066270D">
            <w:pPr>
              <w:spacing w:after="120" w:line="380" w:lineRule="exact"/>
              <w:rPr>
                <w:rFonts w:cs="Traditional Arabic" w:hint="cs"/>
                <w:sz w:val="20"/>
                <w:szCs w:val="30"/>
                <w:rtl/>
                <w:lang w:val="fr-CH"/>
              </w:rPr>
            </w:pPr>
            <w:r w:rsidRPr="0066270D">
              <w:rPr>
                <w:rFonts w:cs="Traditional Arabic"/>
                <w:sz w:val="20"/>
                <w:szCs w:val="30"/>
                <w:rtl/>
                <w:lang w:val="fr-CH"/>
              </w:rPr>
              <w:tab/>
            </w:r>
            <w:r w:rsidRPr="0066270D">
              <w:rPr>
                <w:rFonts w:cs="Traditional Arabic" w:hint="cs"/>
                <w:sz w:val="20"/>
                <w:szCs w:val="30"/>
                <w:rtl/>
                <w:lang w:val="fr-CH"/>
              </w:rPr>
              <w:t>وأُحيلت رسالة الدولة الطرف إلى المحامي من أجل التعليق عليها.</w:t>
            </w:r>
          </w:p>
          <w:p w:rsidR="00F72BDC" w:rsidRPr="0066270D" w:rsidRDefault="00F72BDC" w:rsidP="0066270D">
            <w:pPr>
              <w:spacing w:after="120" w:line="380" w:lineRule="exact"/>
              <w:rPr>
                <w:rFonts w:cs="Traditional Arabic" w:hint="cs"/>
                <w:sz w:val="20"/>
                <w:szCs w:val="30"/>
                <w:rtl/>
                <w:lang w:val="fr-CH"/>
              </w:rPr>
            </w:pPr>
            <w:r w:rsidRPr="0066270D">
              <w:rPr>
                <w:rFonts w:cs="Traditional Arabic"/>
                <w:sz w:val="20"/>
                <w:szCs w:val="30"/>
                <w:rtl/>
                <w:lang w:val="fr-CH"/>
              </w:rPr>
              <w:tab/>
            </w:r>
            <w:r w:rsidRPr="0066270D">
              <w:rPr>
                <w:rFonts w:cs="Traditional Arabic" w:hint="cs"/>
                <w:sz w:val="20"/>
                <w:szCs w:val="30"/>
                <w:rtl/>
                <w:lang w:val="fr-CH"/>
              </w:rPr>
              <w:t>وفي 11 آذار/مارس 2013، أبلغ محامي صاحب الشكوى اللجنة بأن صاحب الشكوى قد عاد فعلاً إلى الدانمرك وأن قضية جديدة بشأن اللجوء هي قيد النظر حالياً.</w:t>
            </w:r>
          </w:p>
          <w:p w:rsidR="00F72BDC" w:rsidRPr="0066270D" w:rsidRDefault="00F72BDC" w:rsidP="004531EB">
            <w:pPr>
              <w:spacing w:after="120" w:line="380" w:lineRule="exact"/>
              <w:rPr>
                <w:rFonts w:cs="Traditional Arabic" w:hint="cs"/>
                <w:sz w:val="20"/>
                <w:szCs w:val="30"/>
                <w:rtl/>
                <w:lang w:val="fr-CH"/>
              </w:rPr>
            </w:pPr>
            <w:r w:rsidRPr="0066270D">
              <w:rPr>
                <w:rFonts w:cs="Traditional Arabic"/>
                <w:sz w:val="20"/>
                <w:szCs w:val="30"/>
                <w:rtl/>
                <w:lang w:val="fr-CH"/>
              </w:rPr>
              <w:tab/>
            </w:r>
            <w:r w:rsidRPr="0066270D">
              <w:rPr>
                <w:rFonts w:cs="Traditional Arabic" w:hint="cs"/>
                <w:sz w:val="20"/>
                <w:szCs w:val="30"/>
                <w:rtl/>
                <w:lang w:val="fr-CH"/>
              </w:rPr>
              <w:t>وفي 16 نيسان/أبريل 2013، أبلغ محامي صاحب الشكوى اللجنة أنه بعد الدخول مجدداً إلى الدانمرك، مُنِح صاحب الشكوى إذناً بالإقامة وبالتالي فإن حوار المتابعة قد بلغ نهاية مرضية.</w:t>
            </w:r>
          </w:p>
        </w:tc>
      </w:tr>
      <w:tr w:rsidR="004531EB" w:rsidRPr="0066270D" w:rsidTr="004531EB">
        <w:tc>
          <w:tcPr>
            <w:tcW w:w="7127" w:type="dxa"/>
            <w:gridSpan w:val="2"/>
            <w:tcBorders>
              <w:bottom w:val="single" w:sz="12" w:space="0" w:color="auto"/>
            </w:tcBorders>
            <w:shd w:val="clear" w:color="auto" w:fill="auto"/>
          </w:tcPr>
          <w:p w:rsidR="004531EB" w:rsidRPr="0066270D" w:rsidRDefault="004531EB" w:rsidP="0066270D">
            <w:pPr>
              <w:spacing w:after="120" w:line="360" w:lineRule="exact"/>
              <w:rPr>
                <w:rFonts w:cs="Traditional Arabic" w:hint="cs"/>
                <w:sz w:val="20"/>
                <w:szCs w:val="30"/>
                <w:rtl/>
                <w:lang w:val="fr-CH"/>
              </w:rPr>
            </w:pPr>
            <w:r w:rsidRPr="0066270D">
              <w:rPr>
                <w:rFonts w:cs="Traditional Arabic"/>
                <w:sz w:val="20"/>
                <w:szCs w:val="30"/>
                <w:rtl/>
                <w:lang w:val="fr-CH"/>
              </w:rPr>
              <w:tab/>
            </w:r>
            <w:r w:rsidRPr="0066270D">
              <w:rPr>
                <w:rFonts w:cs="Traditional Arabic" w:hint="cs"/>
                <w:sz w:val="20"/>
                <w:szCs w:val="30"/>
                <w:rtl/>
                <w:lang w:val="fr-CH"/>
              </w:rPr>
              <w:t>وفي الدورة الخمسين، قررت اللجنة أن تغلق حوار المتابعة وخلصت إلى أن القضية قد سُويت تسوية مرضية.</w:t>
            </w:r>
          </w:p>
        </w:tc>
      </w:tr>
    </w:tbl>
    <w:p w:rsidR="00F72BDC" w:rsidRDefault="00F72BDC" w:rsidP="004531EB">
      <w:pPr>
        <w:pStyle w:val="SingleTxtGA"/>
        <w:spacing w:after="0"/>
        <w:rPr>
          <w:rFonts w:hint="cs"/>
          <w:spacing w:val="-2"/>
          <w:kern w:val="16"/>
          <w:sz w:val="22"/>
          <w:rtl/>
          <w:lang w:val="fr-CH"/>
        </w:rPr>
      </w:pPr>
    </w:p>
    <w:tbl>
      <w:tblPr>
        <w:tblStyle w:val="TableGrid"/>
        <w:bidiVisual/>
        <w:tblW w:w="7127" w:type="dxa"/>
        <w:tblInd w:w="13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646"/>
        <w:gridCol w:w="4481"/>
      </w:tblGrid>
      <w:tr w:rsidR="00F72BDC" w:rsidRPr="00773810" w:rsidTr="004531EB">
        <w:tc>
          <w:tcPr>
            <w:tcW w:w="2646" w:type="dxa"/>
            <w:tcBorders>
              <w:top w:val="single" w:sz="4" w:space="0" w:color="auto"/>
              <w:bottom w:val="single" w:sz="12" w:space="0" w:color="auto"/>
            </w:tcBorders>
            <w:shd w:val="clear" w:color="auto" w:fill="auto"/>
            <w:vAlign w:val="bottom"/>
          </w:tcPr>
          <w:p w:rsidR="00F72BDC" w:rsidRPr="00773810" w:rsidRDefault="00F72BDC" w:rsidP="004531EB">
            <w:pPr>
              <w:spacing w:after="120" w:line="380" w:lineRule="exact"/>
              <w:jc w:val="left"/>
              <w:rPr>
                <w:rFonts w:cs="Traditional Arabic" w:hint="cs"/>
                <w:b/>
                <w:bCs/>
                <w:i/>
                <w:sz w:val="30"/>
                <w:szCs w:val="30"/>
                <w:rtl/>
                <w:lang w:val="fr-CH"/>
              </w:rPr>
            </w:pPr>
            <w:r w:rsidRPr="00773810">
              <w:rPr>
                <w:rFonts w:cs="Traditional Arabic" w:hint="cs"/>
                <w:b/>
                <w:bCs/>
                <w:i/>
                <w:sz w:val="30"/>
                <w:szCs w:val="30"/>
                <w:rtl/>
                <w:lang w:val="fr-CH"/>
              </w:rPr>
              <w:t>الدولة الطرف</w:t>
            </w:r>
          </w:p>
        </w:tc>
        <w:tc>
          <w:tcPr>
            <w:tcW w:w="4481" w:type="dxa"/>
            <w:tcBorders>
              <w:top w:val="single" w:sz="4" w:space="0" w:color="auto"/>
              <w:bottom w:val="single" w:sz="12" w:space="0" w:color="auto"/>
            </w:tcBorders>
            <w:shd w:val="clear" w:color="auto" w:fill="auto"/>
            <w:vAlign w:val="bottom"/>
          </w:tcPr>
          <w:p w:rsidR="00F72BDC" w:rsidRPr="00773810" w:rsidRDefault="00F72BDC" w:rsidP="004531EB">
            <w:pPr>
              <w:spacing w:after="120" w:line="380" w:lineRule="exact"/>
              <w:jc w:val="left"/>
              <w:rPr>
                <w:rFonts w:cs="Traditional Arabic" w:hint="cs"/>
                <w:b/>
                <w:bCs/>
                <w:i/>
                <w:sz w:val="30"/>
                <w:szCs w:val="30"/>
                <w:rtl/>
                <w:lang w:val="fr-CH"/>
              </w:rPr>
            </w:pPr>
            <w:r w:rsidRPr="00773810">
              <w:rPr>
                <w:rFonts w:cs="Traditional Arabic" w:hint="cs"/>
                <w:b/>
                <w:bCs/>
                <w:i/>
                <w:sz w:val="30"/>
                <w:szCs w:val="30"/>
                <w:rtl/>
                <w:lang w:val="fr-CH"/>
              </w:rPr>
              <w:t>كازاخستان</w:t>
            </w:r>
          </w:p>
        </w:tc>
      </w:tr>
      <w:tr w:rsidR="00F72BDC" w:rsidRPr="00773810" w:rsidTr="004531EB">
        <w:tc>
          <w:tcPr>
            <w:tcW w:w="2646" w:type="dxa"/>
            <w:tcBorders>
              <w:top w:val="single" w:sz="12" w:space="0" w:color="auto"/>
            </w:tcBorders>
            <w:shd w:val="clear" w:color="auto" w:fill="auto"/>
          </w:tcPr>
          <w:p w:rsidR="00F72BDC" w:rsidRPr="00773810" w:rsidRDefault="00F72BDC" w:rsidP="004531EB">
            <w:pPr>
              <w:spacing w:after="120" w:line="380" w:lineRule="exact"/>
              <w:rPr>
                <w:rFonts w:cs="Traditional Arabic" w:hint="cs"/>
                <w:b/>
                <w:bCs/>
                <w:sz w:val="30"/>
                <w:szCs w:val="30"/>
                <w:rtl/>
                <w:lang w:val="fr-CH"/>
              </w:rPr>
            </w:pPr>
            <w:r w:rsidRPr="00773810">
              <w:rPr>
                <w:rFonts w:cs="Traditional Arabic" w:hint="cs"/>
                <w:b/>
                <w:bCs/>
                <w:sz w:val="30"/>
                <w:szCs w:val="30"/>
                <w:rtl/>
                <w:lang w:val="fr-CH"/>
              </w:rPr>
              <w:t>القضية</w:t>
            </w:r>
          </w:p>
        </w:tc>
        <w:tc>
          <w:tcPr>
            <w:tcW w:w="4481" w:type="dxa"/>
            <w:tcBorders>
              <w:top w:val="single" w:sz="12" w:space="0" w:color="auto"/>
            </w:tcBorders>
            <w:shd w:val="clear" w:color="auto" w:fill="auto"/>
          </w:tcPr>
          <w:p w:rsidR="00F72BDC" w:rsidRPr="00773810" w:rsidRDefault="00F72BDC" w:rsidP="004531EB">
            <w:pPr>
              <w:spacing w:after="120" w:line="380" w:lineRule="exact"/>
              <w:rPr>
                <w:rFonts w:cs="Traditional Arabic" w:hint="cs"/>
                <w:b/>
                <w:bCs/>
                <w:sz w:val="30"/>
                <w:szCs w:val="30"/>
                <w:rtl/>
                <w:lang w:val="fr-CH"/>
              </w:rPr>
            </w:pPr>
            <w:r>
              <w:rPr>
                <w:rFonts w:cs="Traditional Arabic" w:hint="cs"/>
                <w:b/>
                <w:bCs/>
                <w:i/>
                <w:iCs/>
                <w:sz w:val="30"/>
                <w:szCs w:val="30"/>
                <w:rtl/>
                <w:lang w:val="fr-CH"/>
              </w:rPr>
              <w:t>عبد الصمت</w:t>
            </w:r>
            <w:r w:rsidRPr="00773810">
              <w:rPr>
                <w:rFonts w:cs="Traditional Arabic" w:hint="cs"/>
                <w:b/>
                <w:bCs/>
                <w:i/>
                <w:iCs/>
                <w:sz w:val="30"/>
                <w:szCs w:val="30"/>
                <w:rtl/>
                <w:lang w:val="fr-CH"/>
              </w:rPr>
              <w:t>وف وآخرون</w:t>
            </w:r>
            <w:r w:rsidRPr="00773810">
              <w:rPr>
                <w:rFonts w:cs="Traditional Arabic" w:hint="cs"/>
                <w:b/>
                <w:bCs/>
                <w:sz w:val="30"/>
                <w:szCs w:val="30"/>
                <w:rtl/>
                <w:lang w:val="fr-CH"/>
              </w:rPr>
              <w:t>، 444/2010</w:t>
            </w:r>
          </w:p>
        </w:tc>
      </w:tr>
      <w:tr w:rsidR="00F72BDC" w:rsidRPr="00773810" w:rsidTr="004531EB">
        <w:tc>
          <w:tcPr>
            <w:tcW w:w="2646" w:type="dxa"/>
            <w:shd w:val="clear" w:color="auto" w:fill="auto"/>
          </w:tcPr>
          <w:p w:rsidR="00F72BDC" w:rsidRPr="00773810" w:rsidRDefault="00F72BDC" w:rsidP="004531EB">
            <w:pPr>
              <w:spacing w:after="120" w:line="380" w:lineRule="exact"/>
              <w:rPr>
                <w:rFonts w:cs="Traditional Arabic" w:hint="cs"/>
                <w:b/>
                <w:bCs/>
                <w:sz w:val="30"/>
                <w:szCs w:val="30"/>
                <w:rtl/>
                <w:lang w:val="fr-CH"/>
              </w:rPr>
            </w:pPr>
            <w:r w:rsidRPr="00773810">
              <w:rPr>
                <w:rFonts w:cs="Traditional Arabic" w:hint="cs"/>
                <w:b/>
                <w:bCs/>
                <w:sz w:val="30"/>
                <w:szCs w:val="30"/>
                <w:rtl/>
                <w:lang w:val="fr-CH"/>
              </w:rPr>
              <w:t>قرار معتمد في</w:t>
            </w:r>
          </w:p>
        </w:tc>
        <w:tc>
          <w:tcPr>
            <w:tcW w:w="4481" w:type="dxa"/>
            <w:shd w:val="clear" w:color="auto" w:fill="auto"/>
          </w:tcPr>
          <w:p w:rsidR="00F72BDC" w:rsidRPr="00773810" w:rsidRDefault="00F72BDC" w:rsidP="004531EB">
            <w:pPr>
              <w:spacing w:after="120" w:line="380" w:lineRule="exact"/>
              <w:rPr>
                <w:rFonts w:cs="Traditional Arabic" w:hint="cs"/>
                <w:sz w:val="30"/>
                <w:szCs w:val="30"/>
                <w:rtl/>
                <w:lang w:val="fr-CH"/>
              </w:rPr>
            </w:pPr>
            <w:r w:rsidRPr="00773810">
              <w:rPr>
                <w:rFonts w:cs="Traditional Arabic" w:hint="cs"/>
                <w:sz w:val="30"/>
                <w:szCs w:val="30"/>
                <w:rtl/>
                <w:lang w:val="fr-CH"/>
              </w:rPr>
              <w:t>1 حزيران/يونيه 2012</w:t>
            </w:r>
          </w:p>
        </w:tc>
      </w:tr>
      <w:tr w:rsidR="00F72BDC" w:rsidRPr="00773810" w:rsidTr="004531EB">
        <w:tc>
          <w:tcPr>
            <w:tcW w:w="2646" w:type="dxa"/>
            <w:shd w:val="clear" w:color="auto" w:fill="auto"/>
          </w:tcPr>
          <w:p w:rsidR="00F72BDC" w:rsidRPr="00773810" w:rsidRDefault="00F72BDC" w:rsidP="004531EB">
            <w:pPr>
              <w:spacing w:after="120" w:line="380" w:lineRule="exact"/>
              <w:rPr>
                <w:rFonts w:cs="Traditional Arabic" w:hint="cs"/>
                <w:b/>
                <w:bCs/>
                <w:sz w:val="30"/>
                <w:szCs w:val="30"/>
                <w:rtl/>
                <w:lang w:val="fr-CH"/>
              </w:rPr>
            </w:pPr>
            <w:r w:rsidRPr="00773810">
              <w:rPr>
                <w:rFonts w:cs="Traditional Arabic" w:hint="cs"/>
                <w:b/>
                <w:bCs/>
                <w:sz w:val="30"/>
                <w:szCs w:val="30"/>
                <w:rtl/>
                <w:lang w:val="fr-CH"/>
              </w:rPr>
              <w:t>الانتهاك</w:t>
            </w:r>
          </w:p>
        </w:tc>
        <w:tc>
          <w:tcPr>
            <w:tcW w:w="4481" w:type="dxa"/>
            <w:shd w:val="clear" w:color="auto" w:fill="auto"/>
          </w:tcPr>
          <w:p w:rsidR="00F72BDC" w:rsidRPr="00773810" w:rsidRDefault="00F72BDC" w:rsidP="004531EB">
            <w:pPr>
              <w:spacing w:after="120" w:line="380" w:lineRule="exact"/>
              <w:rPr>
                <w:rFonts w:cs="Traditional Arabic" w:hint="cs"/>
                <w:sz w:val="30"/>
                <w:szCs w:val="30"/>
                <w:rtl/>
                <w:lang w:val="fr-CH"/>
              </w:rPr>
            </w:pPr>
            <w:r w:rsidRPr="00773810">
              <w:rPr>
                <w:rFonts w:cs="Traditional Arabic" w:hint="cs"/>
                <w:sz w:val="30"/>
                <w:szCs w:val="30"/>
                <w:rtl/>
                <w:lang w:val="fr-CH"/>
              </w:rPr>
              <w:t>المادتان 3 و22 (التسليم إلى أوزبكستان)</w:t>
            </w:r>
          </w:p>
        </w:tc>
      </w:tr>
      <w:tr w:rsidR="00F72BDC" w:rsidRPr="00773810" w:rsidTr="004531EB">
        <w:tc>
          <w:tcPr>
            <w:tcW w:w="2646" w:type="dxa"/>
            <w:shd w:val="clear" w:color="auto" w:fill="auto"/>
          </w:tcPr>
          <w:p w:rsidR="00F72BDC" w:rsidRPr="00773810" w:rsidRDefault="00F72BDC" w:rsidP="004531EB">
            <w:pPr>
              <w:spacing w:after="120" w:line="380" w:lineRule="exact"/>
              <w:rPr>
                <w:rFonts w:cs="Traditional Arabic" w:hint="cs"/>
                <w:b/>
                <w:bCs/>
                <w:sz w:val="30"/>
                <w:szCs w:val="30"/>
                <w:rtl/>
                <w:lang w:val="fr-CH"/>
              </w:rPr>
            </w:pPr>
            <w:r w:rsidRPr="00773810">
              <w:rPr>
                <w:rFonts w:cs="Traditional Arabic" w:hint="cs"/>
                <w:b/>
                <w:bCs/>
                <w:sz w:val="30"/>
                <w:szCs w:val="30"/>
                <w:rtl/>
                <w:lang w:val="fr-CH"/>
              </w:rPr>
              <w:t xml:space="preserve">الانتصاف الموصى به </w:t>
            </w:r>
          </w:p>
        </w:tc>
        <w:tc>
          <w:tcPr>
            <w:tcW w:w="4481" w:type="dxa"/>
            <w:shd w:val="clear" w:color="auto" w:fill="auto"/>
          </w:tcPr>
          <w:p w:rsidR="00F72BDC" w:rsidRPr="00773810" w:rsidRDefault="00F72BDC" w:rsidP="004531EB">
            <w:pPr>
              <w:spacing w:after="120" w:line="380" w:lineRule="exact"/>
              <w:rPr>
                <w:rFonts w:cs="Traditional Arabic" w:hint="cs"/>
                <w:sz w:val="30"/>
                <w:szCs w:val="30"/>
                <w:rtl/>
                <w:lang w:val="fr-CH"/>
              </w:rPr>
            </w:pPr>
            <w:r w:rsidRPr="00773810">
              <w:rPr>
                <w:rFonts w:cs="Traditional Arabic" w:hint="cs"/>
                <w:sz w:val="30"/>
                <w:szCs w:val="30"/>
                <w:rtl/>
                <w:lang w:val="fr-CH"/>
              </w:rPr>
              <w:t>طلبت اللجنة إلى الدولة الطرف أن تقدِّم لأصحاب الشكوى جبراً، بما في ذلك عودة أصحاب الشكوى إلى كازاخستان والحصول على تعويض مناسب.</w:t>
            </w:r>
          </w:p>
        </w:tc>
      </w:tr>
      <w:tr w:rsidR="00F72BDC" w:rsidRPr="00773810" w:rsidTr="004531EB">
        <w:tc>
          <w:tcPr>
            <w:tcW w:w="7127" w:type="dxa"/>
            <w:gridSpan w:val="2"/>
            <w:shd w:val="clear" w:color="auto" w:fill="auto"/>
          </w:tcPr>
          <w:p w:rsidR="00F72BDC" w:rsidRPr="00773810" w:rsidRDefault="00F72BDC" w:rsidP="005E4BCD">
            <w:pPr>
              <w:spacing w:after="120" w:line="360" w:lineRule="exact"/>
              <w:rPr>
                <w:rFonts w:cs="Traditional Arabic" w:hint="cs"/>
                <w:sz w:val="30"/>
                <w:szCs w:val="30"/>
                <w:rtl/>
                <w:lang w:val="fr-CH"/>
              </w:rPr>
            </w:pPr>
            <w:r w:rsidRPr="00773810">
              <w:rPr>
                <w:rFonts w:cs="Traditional Arabic"/>
                <w:sz w:val="30"/>
                <w:szCs w:val="30"/>
                <w:rtl/>
                <w:lang w:val="fr-CH"/>
              </w:rPr>
              <w:tab/>
            </w:r>
            <w:r w:rsidRPr="00773810">
              <w:rPr>
                <w:rFonts w:cs="Traditional Arabic" w:hint="cs"/>
                <w:sz w:val="30"/>
                <w:szCs w:val="30"/>
                <w:rtl/>
                <w:lang w:val="fr-CH"/>
              </w:rPr>
              <w:t xml:space="preserve">في 8 تشرين الثاني/نوفمبر 2012، قدمت الدولة الطرف معلومات من مكتب المدعي العام لكازاخستان تفيد بأنه في الفترة من 3 إلى 14 آب/أغسطس 2012 عقد ممثلو الدائرة الدبلوماسية الكازاخستانية اجتماعات </w:t>
            </w:r>
            <w:r w:rsidR="00D75706">
              <w:rPr>
                <w:rFonts w:cs="Traditional Arabic" w:hint="cs"/>
                <w:sz w:val="30"/>
                <w:szCs w:val="30"/>
                <w:rtl/>
                <w:lang w:val="fr-CH"/>
              </w:rPr>
              <w:t xml:space="preserve">مع </w:t>
            </w:r>
            <w:r w:rsidRPr="00773810">
              <w:rPr>
                <w:rFonts w:cs="Traditional Arabic" w:hint="cs"/>
                <w:sz w:val="30"/>
                <w:szCs w:val="30"/>
                <w:rtl/>
                <w:lang w:val="fr-CH"/>
              </w:rPr>
              <w:t>18 من 28 من الأفراد المسلَّمين من أجل تقييم حالتهم في مجال حقوق الإنسان، وظروف احتجازهم والأسباب التي دعت إلى إخضاعهم للتعذيب أو المعاملة اللاإنسانية والمهينة. فلم يُشر أيٌّ من المدانين الذين جرت زيارتهم إلى أنه خضع للتعذيب، ولتدابير غير قانونية تتمثَّل في الضغط البدني والمعنوي وغير ذلك من أساليب التحقيق غير القانوني. وأُسند إليهم جميعاً محامون معينون وكانت لهم فرصة توكيل محامين خاصين كذلك. ولم تكن لأي منهم مطالب متعلِّقة بظروف الاحتجاز، أو الطعام أو الرعاية الطبية المقدمة. وتفيد الدولة الطرف أن كل فرد من الأفراد الذين جرت زيارتهم كتب بياناً إلى اللجنة يؤكد فيه ما ذُكِر أعلاه وأن البيانات أُرفقت مع مذكرة الدولة الطرف الشفوية (لم يرد أي من هذه الوثائق حتى الآن). وبالإضافة إلى ذلك، تفيد الدولة الطرف أنه بناءً على طلب من الدائرة الدبلوماسية الكازاخستانية، أُجريت فحوص طبية لأصحاب الشكوى البالغ عددهم 18 مشتكياً ولم</w:t>
            </w:r>
            <w:r w:rsidR="005E4BCD">
              <w:rPr>
                <w:rFonts w:cs="Traditional Arabic" w:hint="eastAsia"/>
                <w:sz w:val="30"/>
                <w:szCs w:val="30"/>
                <w:rtl/>
                <w:lang w:val="fr-CH"/>
              </w:rPr>
              <w:t> </w:t>
            </w:r>
            <w:r w:rsidRPr="00773810">
              <w:rPr>
                <w:rFonts w:cs="Traditional Arabic" w:hint="cs"/>
                <w:sz w:val="30"/>
                <w:szCs w:val="30"/>
                <w:rtl/>
                <w:lang w:val="fr-CH"/>
              </w:rPr>
              <w:t>توجد أي آثار للضرب أو التعذيب. (لم تُقدَّم أيُّ نسخ من الشواهد الطبية وليس من الواضح من الذي أجرى الفحوص الطبية).</w:t>
            </w:r>
          </w:p>
          <w:p w:rsidR="00F72BDC" w:rsidRPr="00773810" w:rsidRDefault="00F72BDC" w:rsidP="005E4BCD">
            <w:pPr>
              <w:spacing w:after="120" w:line="380" w:lineRule="exact"/>
              <w:rPr>
                <w:rFonts w:cs="Traditional Arabic" w:hint="cs"/>
                <w:sz w:val="30"/>
                <w:szCs w:val="30"/>
                <w:rtl/>
                <w:lang w:val="fr-CH"/>
              </w:rPr>
            </w:pPr>
            <w:r w:rsidRPr="00773810">
              <w:rPr>
                <w:rFonts w:cs="Traditional Arabic"/>
                <w:sz w:val="30"/>
                <w:szCs w:val="30"/>
                <w:rtl/>
                <w:lang w:val="fr-CH"/>
              </w:rPr>
              <w:tab/>
            </w:r>
            <w:r w:rsidRPr="00773810">
              <w:rPr>
                <w:rFonts w:cs="Traditional Arabic" w:hint="cs"/>
                <w:sz w:val="30"/>
                <w:szCs w:val="30"/>
                <w:rtl/>
                <w:lang w:val="fr-CH"/>
              </w:rPr>
              <w:t>وتفيد الدولة الطرف كذلك أن اجتماعات مع سبع من أصحاب الشكوى ستُرتَّب في مرحلة لاحقة بما أنهم لا يزالون في إطار التحقيق، وفقاً لممثلي أوزبكستان، وستُبلغ الدولة الطرف اللجنةَ بالنتائج. وتفيد الدولة الطرف أيضاً بأن ثلاثة من الأشخاص المسلَّمين قد أُدينوا وصدرت في حقهم عقوبات لا تشمل السجن؛ وأُغلقت القضية الجنائية لأحدهم على أساس العفو. وبما أن هؤلاء الأفراد ليسوا في مؤسسات إصلاحية، لم</w:t>
            </w:r>
            <w:r w:rsidR="005E4BCD">
              <w:rPr>
                <w:rFonts w:cs="Traditional Arabic" w:hint="eastAsia"/>
                <w:sz w:val="30"/>
                <w:szCs w:val="30"/>
                <w:rtl/>
                <w:lang w:val="fr-CH"/>
              </w:rPr>
              <w:t> </w:t>
            </w:r>
            <w:r w:rsidRPr="00773810">
              <w:rPr>
                <w:rFonts w:cs="Traditional Arabic" w:hint="cs"/>
                <w:sz w:val="30"/>
                <w:szCs w:val="30"/>
                <w:rtl/>
                <w:lang w:val="fr-CH"/>
              </w:rPr>
              <w:t xml:space="preserve">تُعقد معهم أي اجتماعات. </w:t>
            </w:r>
          </w:p>
          <w:p w:rsidR="00F72BDC" w:rsidRPr="00773810" w:rsidRDefault="00F72BDC" w:rsidP="005E4BCD">
            <w:pPr>
              <w:spacing w:after="120" w:line="380" w:lineRule="exact"/>
              <w:rPr>
                <w:rFonts w:cs="Traditional Arabic" w:hint="cs"/>
                <w:sz w:val="30"/>
                <w:szCs w:val="30"/>
                <w:rtl/>
                <w:lang w:val="fr-CH"/>
              </w:rPr>
            </w:pPr>
            <w:r w:rsidRPr="00773810">
              <w:rPr>
                <w:rFonts w:cs="Traditional Arabic"/>
                <w:sz w:val="30"/>
                <w:szCs w:val="30"/>
                <w:rtl/>
                <w:lang w:val="fr-CH"/>
              </w:rPr>
              <w:tab/>
            </w:r>
            <w:r w:rsidRPr="00773810">
              <w:rPr>
                <w:rFonts w:cs="Traditional Arabic" w:hint="cs"/>
                <w:sz w:val="30"/>
                <w:szCs w:val="30"/>
                <w:rtl/>
                <w:lang w:val="fr-CH"/>
              </w:rPr>
              <w:t>وفي 21 كانون الأول/ديسمبر 2012، يلاحظ محامي أصحاب الشكوى أن الدولة الطرف لم تفعِّل توصية اللجنة بتقديم جبر لأصحاب الشكوى. وبشكل خاص، لم</w:t>
            </w:r>
            <w:r w:rsidR="005E4BCD">
              <w:rPr>
                <w:rFonts w:cs="Traditional Arabic" w:hint="eastAsia"/>
                <w:sz w:val="30"/>
                <w:szCs w:val="30"/>
                <w:rtl/>
                <w:lang w:val="fr-CH"/>
              </w:rPr>
              <w:t> </w:t>
            </w:r>
            <w:r w:rsidRPr="00773810">
              <w:rPr>
                <w:rFonts w:cs="Traditional Arabic" w:hint="cs"/>
                <w:sz w:val="30"/>
                <w:szCs w:val="30"/>
                <w:rtl/>
                <w:lang w:val="fr-CH"/>
              </w:rPr>
              <w:t>يرد أي ذكر للتعويض المقدَّم لأصحاب الشكوى أو لأي محاولة هادفة من أجل إعادتهم من أوزبكستان إلى كازاخستان.</w:t>
            </w:r>
          </w:p>
          <w:p w:rsidR="00F72BDC" w:rsidRPr="00773810" w:rsidRDefault="00F72BDC" w:rsidP="004531EB">
            <w:pPr>
              <w:spacing w:after="120" w:line="380" w:lineRule="exact"/>
              <w:rPr>
                <w:rFonts w:cs="Traditional Arabic" w:hint="cs"/>
                <w:sz w:val="30"/>
                <w:szCs w:val="30"/>
                <w:rtl/>
                <w:lang w:val="fr-CH"/>
              </w:rPr>
            </w:pPr>
            <w:r w:rsidRPr="00773810">
              <w:rPr>
                <w:rFonts w:cs="Traditional Arabic"/>
                <w:sz w:val="30"/>
                <w:szCs w:val="30"/>
                <w:rtl/>
                <w:lang w:val="fr-CH"/>
              </w:rPr>
              <w:tab/>
            </w:r>
            <w:r w:rsidRPr="00773810">
              <w:rPr>
                <w:rFonts w:cs="Traditional Arabic" w:hint="cs"/>
                <w:sz w:val="30"/>
                <w:szCs w:val="30"/>
                <w:rtl/>
                <w:lang w:val="fr-CH"/>
              </w:rPr>
              <w:t>ويذكِّر محامي الدولة الطرف بأن الغرض من إجراء المتابعة ليس الطعن في قرار اللجنة وإنما تنفيذ هذا القرار. وبالتالي على الدولة الطرف أن لا تفسر الحالة الراهنة لأصحاب الشكوى في أوزبكستان وإنما تفسر طبيعة التدابير التي اتُّخذت من أجل جبر ضررهم في قضيتهم.</w:t>
            </w:r>
          </w:p>
          <w:p w:rsidR="00F72BDC" w:rsidRPr="004531EB" w:rsidRDefault="00F72BDC" w:rsidP="004531EB">
            <w:pPr>
              <w:spacing w:after="120" w:line="380" w:lineRule="exact"/>
              <w:rPr>
                <w:rFonts w:cs="Traditional Arabic" w:hint="cs"/>
                <w:spacing w:val="-2"/>
                <w:sz w:val="30"/>
                <w:szCs w:val="30"/>
                <w:rtl/>
                <w:lang w:val="fr-CH"/>
              </w:rPr>
            </w:pPr>
            <w:r w:rsidRPr="004531EB">
              <w:rPr>
                <w:rFonts w:cs="Traditional Arabic"/>
                <w:spacing w:val="-2"/>
                <w:sz w:val="30"/>
                <w:szCs w:val="30"/>
                <w:rtl/>
                <w:lang w:val="fr-CH"/>
              </w:rPr>
              <w:tab/>
            </w:r>
            <w:r w:rsidRPr="004531EB">
              <w:rPr>
                <w:rFonts w:cs="Traditional Arabic" w:hint="cs"/>
                <w:spacing w:val="-2"/>
                <w:sz w:val="30"/>
                <w:szCs w:val="30"/>
                <w:rtl/>
                <w:lang w:val="fr-CH"/>
              </w:rPr>
              <w:t>وحسب المعلومات التي قدمتها الدولة الطرف، فإن ممثلي الدائرة الدبلوماسية الكازاخستانية هم من قاموا بزيارات. ولم يكن من الحاضرين منظمة مستقلة ولا خبير مستقل من أجل رصد ظروف الاحتجاز. ولم تقدِّم الدولة الطرف تفاصيل بشأن طرائف إجراء هذه الزيارة، وتشكيلة الوفد وصفته، ومدى حضور طبيب وإجراء مقابلات على انفراد. وفي هذا الصدد، تلقى المحامي معلومات من أقارب أحد أصحاب الشكوى يدعون فيهم أن أفراداً أوزباكستانيي</w:t>
            </w:r>
            <w:r w:rsidRPr="004531EB">
              <w:rPr>
                <w:rFonts w:cs="Traditional Arabic" w:hint="eastAsia"/>
                <w:spacing w:val="-2"/>
                <w:sz w:val="30"/>
                <w:szCs w:val="30"/>
                <w:rtl/>
                <w:lang w:val="fr-CH"/>
              </w:rPr>
              <w:t>ن</w:t>
            </w:r>
            <w:r w:rsidRPr="004531EB">
              <w:rPr>
                <w:rFonts w:cs="Traditional Arabic" w:hint="cs"/>
                <w:spacing w:val="-2"/>
                <w:sz w:val="30"/>
                <w:szCs w:val="30"/>
                <w:rtl/>
                <w:lang w:val="fr-CH"/>
              </w:rPr>
              <w:t xml:space="preserve"> كانوا حاضرين في أثناء المقابلات (ترد شهادة القريبة التي تقدم هذه المعلومات مرفقة برسالة المحامي). ويحول هذا الحضور دون إجراء أية مناقشة سرية.</w:t>
            </w:r>
          </w:p>
          <w:p w:rsidR="00F72BDC" w:rsidRPr="00773810" w:rsidRDefault="00F72BDC" w:rsidP="005E4BCD">
            <w:pPr>
              <w:spacing w:after="120" w:line="380" w:lineRule="exact"/>
              <w:rPr>
                <w:rFonts w:cs="Traditional Arabic" w:hint="cs"/>
                <w:sz w:val="30"/>
                <w:szCs w:val="30"/>
                <w:rtl/>
                <w:lang w:val="fr-CH"/>
              </w:rPr>
            </w:pPr>
            <w:r w:rsidRPr="00773810">
              <w:rPr>
                <w:rFonts w:cs="Traditional Arabic"/>
                <w:sz w:val="30"/>
                <w:szCs w:val="30"/>
                <w:rtl/>
                <w:lang w:val="fr-CH"/>
              </w:rPr>
              <w:tab/>
            </w:r>
            <w:r w:rsidRPr="00773810">
              <w:rPr>
                <w:rFonts w:cs="Traditional Arabic" w:hint="cs"/>
                <w:sz w:val="30"/>
                <w:szCs w:val="30"/>
                <w:rtl/>
                <w:lang w:val="fr-CH"/>
              </w:rPr>
              <w:t>وبما أن تسعة من البيانات من أصل 18 وقعها أصحاب الشكوى وقدمتها الدولة الطرف قد أُعيد طبعها، يخشى المحامي أن تكون هذه الوثائق أُعدَّت سلفاً. ويشكّ أن تكون هذه البيانات قد صيغت دون تقييم لحالة أصحاب الشكوى وقُدِّمت لمجرد جمع</w:t>
            </w:r>
            <w:r w:rsidR="005E4BCD">
              <w:rPr>
                <w:rFonts w:cs="Traditional Arabic" w:hint="eastAsia"/>
                <w:sz w:val="30"/>
                <w:szCs w:val="30"/>
                <w:rtl/>
                <w:lang w:val="fr-CH"/>
              </w:rPr>
              <w:t> </w:t>
            </w:r>
            <w:r w:rsidRPr="00773810">
              <w:rPr>
                <w:rFonts w:cs="Traditional Arabic" w:hint="cs"/>
                <w:sz w:val="30"/>
                <w:szCs w:val="30"/>
                <w:rtl/>
                <w:lang w:val="fr-CH"/>
              </w:rPr>
              <w:t>توقيعهم وتفنيد أي انتهاك لحقوقهم دون أي رصد حقيقي وفعّال لظروفهم. أما</w:t>
            </w:r>
            <w:r w:rsidR="005E4BCD">
              <w:rPr>
                <w:rFonts w:cs="Traditional Arabic" w:hint="eastAsia"/>
                <w:sz w:val="30"/>
                <w:szCs w:val="30"/>
                <w:rtl/>
                <w:lang w:val="fr-CH"/>
              </w:rPr>
              <w:t> </w:t>
            </w:r>
            <w:r w:rsidRPr="00773810">
              <w:rPr>
                <w:rFonts w:cs="Traditional Arabic" w:hint="cs"/>
                <w:sz w:val="30"/>
                <w:szCs w:val="30"/>
                <w:rtl/>
                <w:lang w:val="fr-CH"/>
              </w:rPr>
              <w:t>فيما</w:t>
            </w:r>
            <w:r w:rsidR="005E4BCD">
              <w:rPr>
                <w:rFonts w:cs="Traditional Arabic" w:hint="eastAsia"/>
                <w:sz w:val="30"/>
                <w:szCs w:val="30"/>
                <w:rtl/>
                <w:lang w:val="fr-CH"/>
              </w:rPr>
              <w:t> </w:t>
            </w:r>
            <w:r w:rsidRPr="00773810">
              <w:rPr>
                <w:rFonts w:cs="Traditional Arabic" w:hint="cs"/>
                <w:sz w:val="30"/>
                <w:szCs w:val="30"/>
                <w:rtl/>
                <w:lang w:val="fr-CH"/>
              </w:rPr>
              <w:t>يتعلَّق بالبيانات الخطية، وبما أن مضمونها شبيه بمضمون البيانات التي أُعيد طبعها، يخشى المحامي أن تكون كُتِبت تحت الإكراه، لا سيما وأن أصحاب الشكوى هم رهن الاحتجاز وبالتالي قد يخافون من الانتقام. ويحاجج المحامي أن هذا الأسلوب ينبغي اعتباره منافياً لحق أصحاب الشكوى في تقديم ملتمس بموجب المادة 22 من الاتفاقية.</w:t>
            </w:r>
          </w:p>
          <w:p w:rsidR="00F72BDC" w:rsidRPr="00773810" w:rsidRDefault="00F72BDC" w:rsidP="004531EB">
            <w:pPr>
              <w:spacing w:after="120" w:line="380" w:lineRule="exact"/>
              <w:rPr>
                <w:rFonts w:cs="Traditional Arabic" w:hint="cs"/>
                <w:sz w:val="30"/>
                <w:szCs w:val="30"/>
                <w:rtl/>
                <w:lang w:val="fr-CH"/>
              </w:rPr>
            </w:pPr>
            <w:r w:rsidRPr="00773810">
              <w:rPr>
                <w:rFonts w:cs="Traditional Arabic"/>
                <w:sz w:val="30"/>
                <w:szCs w:val="30"/>
                <w:rtl/>
                <w:lang w:val="fr-CH"/>
              </w:rPr>
              <w:tab/>
            </w:r>
            <w:r w:rsidRPr="00773810">
              <w:rPr>
                <w:rFonts w:cs="Traditional Arabic" w:hint="cs"/>
                <w:sz w:val="30"/>
                <w:szCs w:val="30"/>
                <w:rtl/>
                <w:lang w:val="fr-CH"/>
              </w:rPr>
              <w:t>وفيما يتعلَّق بالفحوص الطبية التي أُجريت على 18 من أصحاب الشكوى، يلاحظ المحامي أن لا وجود لإشارة تدل على هوية من أجرى الفحص، وعلى مدى وجود طبيب مستقل، وما إذا كانت للشخص الذي أجرى الفحص الطبي أية مؤهلات أو</w:t>
            </w:r>
            <w:r w:rsidR="004531EB">
              <w:rPr>
                <w:rFonts w:cs="Traditional Arabic" w:hint="eastAsia"/>
                <w:sz w:val="30"/>
                <w:szCs w:val="30"/>
                <w:rtl/>
                <w:lang w:val="fr-CH"/>
              </w:rPr>
              <w:t> </w:t>
            </w:r>
            <w:r w:rsidRPr="00773810">
              <w:rPr>
                <w:rFonts w:cs="Traditional Arabic" w:hint="cs"/>
                <w:sz w:val="30"/>
                <w:szCs w:val="30"/>
                <w:rtl/>
                <w:lang w:val="fr-CH"/>
              </w:rPr>
              <w:t>تدريب يتعلَّق بالفحص الخاص المتعلِّق بإساءة المعاملة أو التعذيب، وبكيفية إجراء الفحوص (البروتوكول، السرية) وما هي النتائج المفصَّلة التي تمَّ التوصُّل إليها (وفقاً لبروتوكول اسطنبول). ويلاحظ المحامي عدم وجود أية شهادة طبية قدمتها الدولة الطرف. وبخلاف المعلومات التي قدمتها الدولة الطرف، حسب المدافعين عن حقوق الإنسان في أوزبكستان، فقد عُذِّب أربعة أشخاص على الأقل من أصل 18 من أصحاب الشكوى الذين زارتهم الدولة الطرف. ولم تُقدَّم أيُّ معلومات أخرى بشأن هذه المسألة ولا توجد أيُّ معلومات متعلِّقة ببقية أصحاب الشكوى. وعلاوةً على ذلك، تلقى المحامي شهادةً (نسخة مقدَّمة) يُدَّعى فيها بأن التعذيب قد استُخدم في حق أصحاب الشكوى، من قبيل الصعق بالكهرباء أو الخنق بوضع كيس بلاستيكي على الرأس. وتشير الشهادة أيضاً إلى أن أصحاب الشكوى هُدِّدوا بالانتقام قبل زيارة الدبلوماسيين الكازاخستانيين. ويُدَّعى أنهم أُجبروا على التصريح بعدم تعذيبهم. وفي ضوء ما ورد أعلاه، يرى المحامي أن الرصد الذي قامت به الدولة الطرف ليس مستقلاً ولا فعّالاً. ويلح المحامي على أن المعلومات المتعلِّقة بادعاءات التعذيب هي مقلقة للغاية.</w:t>
            </w:r>
          </w:p>
          <w:p w:rsidR="00F72BDC" w:rsidRPr="00773810" w:rsidRDefault="00F72BDC" w:rsidP="004531EB">
            <w:pPr>
              <w:spacing w:after="120" w:line="380" w:lineRule="exact"/>
              <w:rPr>
                <w:rFonts w:cs="Traditional Arabic" w:hint="cs"/>
                <w:sz w:val="30"/>
                <w:szCs w:val="30"/>
                <w:rtl/>
                <w:lang w:val="fr-CH"/>
              </w:rPr>
            </w:pPr>
            <w:r w:rsidRPr="00773810">
              <w:rPr>
                <w:rFonts w:cs="Traditional Arabic"/>
                <w:sz w:val="30"/>
                <w:szCs w:val="30"/>
                <w:rtl/>
                <w:lang w:val="fr-CH"/>
              </w:rPr>
              <w:tab/>
            </w:r>
            <w:r w:rsidRPr="00773810">
              <w:rPr>
                <w:rFonts w:cs="Traditional Arabic" w:hint="cs"/>
                <w:sz w:val="30"/>
                <w:szCs w:val="30"/>
                <w:rtl/>
                <w:lang w:val="fr-CH"/>
              </w:rPr>
              <w:t>وأُحيلت تعليقات المحامي إلى الدولة الطرف من أجل إبداء ملاحظات بشأنها، في أجل أقصاه 28 حزيران/يونيه 2013.</w:t>
            </w:r>
          </w:p>
        </w:tc>
      </w:tr>
      <w:tr w:rsidR="004531EB" w:rsidRPr="00773810" w:rsidTr="004531EB">
        <w:tc>
          <w:tcPr>
            <w:tcW w:w="7127" w:type="dxa"/>
            <w:gridSpan w:val="2"/>
            <w:tcBorders>
              <w:bottom w:val="single" w:sz="12" w:space="0" w:color="auto"/>
            </w:tcBorders>
            <w:shd w:val="clear" w:color="auto" w:fill="auto"/>
          </w:tcPr>
          <w:p w:rsidR="004531EB" w:rsidRPr="004531EB" w:rsidRDefault="004531EB" w:rsidP="004531EB">
            <w:pPr>
              <w:spacing w:after="120" w:line="380" w:lineRule="exact"/>
              <w:rPr>
                <w:rFonts w:cs="Traditional Arabic" w:hint="cs"/>
                <w:sz w:val="30"/>
                <w:szCs w:val="30"/>
                <w:rtl/>
                <w:lang w:val="fr-CH"/>
              </w:rPr>
            </w:pPr>
            <w:r>
              <w:rPr>
                <w:rFonts w:cs="Traditional Arabic"/>
                <w:sz w:val="30"/>
                <w:szCs w:val="30"/>
                <w:rtl/>
                <w:lang w:val="fr-CH"/>
              </w:rPr>
              <w:tab/>
            </w:r>
            <w:r w:rsidRPr="004531EB">
              <w:rPr>
                <w:rFonts w:cs="Traditional Arabic" w:hint="cs"/>
                <w:sz w:val="30"/>
                <w:szCs w:val="30"/>
                <w:rtl/>
                <w:lang w:val="fr-CH"/>
              </w:rPr>
              <w:t>قرار اللجنة: حوار المتابعة مستمر.</w:t>
            </w:r>
          </w:p>
        </w:tc>
      </w:tr>
    </w:tbl>
    <w:p w:rsidR="00F72BDC" w:rsidRDefault="00F72BDC" w:rsidP="00A32823">
      <w:pPr>
        <w:pStyle w:val="SingleTxtGA"/>
        <w:spacing w:after="0"/>
        <w:rPr>
          <w:rFonts w:hint="cs"/>
          <w:kern w:val="16"/>
          <w:rtl/>
          <w:lang w:val="fr-CH"/>
        </w:rPr>
      </w:pPr>
    </w:p>
    <w:tbl>
      <w:tblPr>
        <w:tblStyle w:val="TableGrid"/>
        <w:bidiVisual/>
        <w:tblW w:w="7127" w:type="dxa"/>
        <w:tblInd w:w="13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322"/>
        <w:gridCol w:w="4805"/>
      </w:tblGrid>
      <w:tr w:rsidR="00F72BDC" w:rsidRPr="00BC7145" w:rsidTr="00A32823">
        <w:tc>
          <w:tcPr>
            <w:tcW w:w="2322" w:type="dxa"/>
            <w:tcBorders>
              <w:top w:val="single" w:sz="4" w:space="0" w:color="auto"/>
              <w:bottom w:val="single" w:sz="12" w:space="0" w:color="auto"/>
            </w:tcBorders>
            <w:shd w:val="clear" w:color="auto" w:fill="auto"/>
          </w:tcPr>
          <w:p w:rsidR="00F72BDC" w:rsidRPr="00BC7145" w:rsidRDefault="00F72BDC" w:rsidP="00A32823">
            <w:pPr>
              <w:spacing w:after="120" w:line="380" w:lineRule="exact"/>
              <w:rPr>
                <w:rFonts w:cs="Traditional Arabic" w:hint="cs"/>
                <w:b/>
                <w:bCs/>
                <w:i/>
                <w:sz w:val="30"/>
                <w:szCs w:val="30"/>
                <w:rtl/>
                <w:lang w:val="fr-CH"/>
              </w:rPr>
            </w:pPr>
            <w:r w:rsidRPr="00BC7145">
              <w:rPr>
                <w:rFonts w:cs="Traditional Arabic" w:hint="cs"/>
                <w:b/>
                <w:bCs/>
                <w:i/>
                <w:sz w:val="30"/>
                <w:szCs w:val="30"/>
                <w:rtl/>
                <w:lang w:val="fr-CH"/>
              </w:rPr>
              <w:t>الدولة الطرف</w:t>
            </w:r>
          </w:p>
        </w:tc>
        <w:tc>
          <w:tcPr>
            <w:tcW w:w="4805" w:type="dxa"/>
            <w:tcBorders>
              <w:top w:val="single" w:sz="4" w:space="0" w:color="auto"/>
              <w:bottom w:val="single" w:sz="12" w:space="0" w:color="auto"/>
            </w:tcBorders>
            <w:shd w:val="clear" w:color="auto" w:fill="auto"/>
          </w:tcPr>
          <w:p w:rsidR="00F72BDC" w:rsidRPr="00BC7145" w:rsidRDefault="00F72BDC" w:rsidP="00A32823">
            <w:pPr>
              <w:spacing w:after="120" w:line="380" w:lineRule="exact"/>
              <w:rPr>
                <w:rFonts w:cs="Traditional Arabic" w:hint="cs"/>
                <w:b/>
                <w:bCs/>
                <w:i/>
                <w:sz w:val="30"/>
                <w:szCs w:val="30"/>
                <w:rtl/>
                <w:lang w:val="fr-CH"/>
              </w:rPr>
            </w:pPr>
            <w:r w:rsidRPr="00BC7145">
              <w:rPr>
                <w:rFonts w:cs="Traditional Arabic" w:hint="cs"/>
                <w:b/>
                <w:bCs/>
                <w:i/>
                <w:sz w:val="30"/>
                <w:szCs w:val="30"/>
                <w:rtl/>
                <w:lang w:val="fr-CH"/>
              </w:rPr>
              <w:t>المغرب</w:t>
            </w:r>
          </w:p>
        </w:tc>
      </w:tr>
      <w:tr w:rsidR="00F72BDC" w:rsidRPr="00BC7145" w:rsidTr="00A32823">
        <w:tc>
          <w:tcPr>
            <w:tcW w:w="2322" w:type="dxa"/>
            <w:tcBorders>
              <w:top w:val="single" w:sz="12" w:space="0" w:color="auto"/>
            </w:tcBorders>
            <w:shd w:val="clear" w:color="auto" w:fill="auto"/>
          </w:tcPr>
          <w:p w:rsidR="00F72BDC" w:rsidRPr="00BC7145" w:rsidRDefault="00F72BDC" w:rsidP="00A32823">
            <w:pPr>
              <w:spacing w:after="120" w:line="380" w:lineRule="exact"/>
              <w:rPr>
                <w:rFonts w:cs="Traditional Arabic" w:hint="cs"/>
                <w:b/>
                <w:bCs/>
                <w:sz w:val="30"/>
                <w:szCs w:val="30"/>
                <w:rtl/>
                <w:lang w:val="fr-CH"/>
              </w:rPr>
            </w:pPr>
            <w:r w:rsidRPr="00BC7145">
              <w:rPr>
                <w:rFonts w:cs="Traditional Arabic" w:hint="cs"/>
                <w:b/>
                <w:bCs/>
                <w:sz w:val="30"/>
                <w:szCs w:val="30"/>
                <w:rtl/>
                <w:lang w:val="fr-CH"/>
              </w:rPr>
              <w:t>القضية</w:t>
            </w:r>
          </w:p>
        </w:tc>
        <w:tc>
          <w:tcPr>
            <w:tcW w:w="4805" w:type="dxa"/>
            <w:tcBorders>
              <w:top w:val="single" w:sz="12" w:space="0" w:color="auto"/>
            </w:tcBorders>
            <w:shd w:val="clear" w:color="auto" w:fill="auto"/>
          </w:tcPr>
          <w:p w:rsidR="00F72BDC" w:rsidRPr="00BC7145" w:rsidRDefault="00F72BDC" w:rsidP="00A32823">
            <w:pPr>
              <w:spacing w:after="120" w:line="380" w:lineRule="exact"/>
              <w:rPr>
                <w:rFonts w:cs="Traditional Arabic" w:hint="cs"/>
                <w:b/>
                <w:bCs/>
                <w:sz w:val="30"/>
                <w:szCs w:val="30"/>
                <w:rtl/>
                <w:lang w:val="fr-CH"/>
              </w:rPr>
            </w:pPr>
            <w:r>
              <w:rPr>
                <w:rFonts w:cs="Traditional Arabic" w:hint="cs"/>
                <w:b/>
                <w:bCs/>
                <w:i/>
                <w:iCs/>
                <w:sz w:val="30"/>
                <w:szCs w:val="30"/>
                <w:rtl/>
                <w:lang w:val="fr-CH"/>
              </w:rPr>
              <w:t>الكتيتي</w:t>
            </w:r>
            <w:r w:rsidRPr="00BC7145">
              <w:rPr>
                <w:rFonts w:cs="Traditional Arabic" w:hint="cs"/>
                <w:b/>
                <w:bCs/>
                <w:sz w:val="30"/>
                <w:szCs w:val="30"/>
                <w:rtl/>
                <w:lang w:val="fr-CH"/>
              </w:rPr>
              <w:t>، 419/2010</w:t>
            </w:r>
          </w:p>
        </w:tc>
      </w:tr>
      <w:tr w:rsidR="00F72BDC" w:rsidRPr="00BC7145" w:rsidTr="00A32823">
        <w:tc>
          <w:tcPr>
            <w:tcW w:w="2322" w:type="dxa"/>
            <w:shd w:val="clear" w:color="auto" w:fill="auto"/>
          </w:tcPr>
          <w:p w:rsidR="00F72BDC" w:rsidRPr="00BC7145" w:rsidRDefault="00F72BDC" w:rsidP="00A32823">
            <w:pPr>
              <w:spacing w:after="120" w:line="380" w:lineRule="exact"/>
              <w:rPr>
                <w:rFonts w:cs="Traditional Arabic" w:hint="cs"/>
                <w:b/>
                <w:bCs/>
                <w:sz w:val="30"/>
                <w:szCs w:val="30"/>
                <w:rtl/>
                <w:lang w:val="fr-CH"/>
              </w:rPr>
            </w:pPr>
            <w:r w:rsidRPr="00BC7145">
              <w:rPr>
                <w:rFonts w:cs="Traditional Arabic" w:hint="cs"/>
                <w:b/>
                <w:bCs/>
                <w:sz w:val="30"/>
                <w:szCs w:val="30"/>
                <w:rtl/>
                <w:lang w:val="fr-CH"/>
              </w:rPr>
              <w:t>قرار معتمد في</w:t>
            </w:r>
          </w:p>
        </w:tc>
        <w:tc>
          <w:tcPr>
            <w:tcW w:w="4805" w:type="dxa"/>
            <w:shd w:val="clear" w:color="auto" w:fill="auto"/>
          </w:tcPr>
          <w:p w:rsidR="00F72BDC" w:rsidRPr="00BC7145" w:rsidRDefault="00F72BDC" w:rsidP="00A32823">
            <w:pPr>
              <w:spacing w:after="120" w:line="380" w:lineRule="exact"/>
              <w:rPr>
                <w:rFonts w:cs="Traditional Arabic" w:hint="cs"/>
                <w:sz w:val="30"/>
                <w:szCs w:val="30"/>
                <w:rtl/>
                <w:lang w:val="fr-CH"/>
              </w:rPr>
            </w:pPr>
            <w:r w:rsidRPr="00BC7145">
              <w:rPr>
                <w:rFonts w:cs="Traditional Arabic" w:hint="cs"/>
                <w:sz w:val="30"/>
                <w:szCs w:val="30"/>
                <w:rtl/>
                <w:lang w:val="fr-CH"/>
              </w:rPr>
              <w:t>26 أيار/مايو 2011</w:t>
            </w:r>
          </w:p>
        </w:tc>
      </w:tr>
      <w:tr w:rsidR="00F72BDC" w:rsidRPr="00BC7145" w:rsidTr="00A32823">
        <w:tc>
          <w:tcPr>
            <w:tcW w:w="2322" w:type="dxa"/>
            <w:shd w:val="clear" w:color="auto" w:fill="auto"/>
          </w:tcPr>
          <w:p w:rsidR="00F72BDC" w:rsidRPr="00BC7145" w:rsidRDefault="00F72BDC" w:rsidP="00A32823">
            <w:pPr>
              <w:spacing w:after="120" w:line="380" w:lineRule="exact"/>
              <w:rPr>
                <w:rFonts w:cs="Traditional Arabic" w:hint="cs"/>
                <w:b/>
                <w:bCs/>
                <w:sz w:val="30"/>
                <w:szCs w:val="30"/>
                <w:rtl/>
                <w:lang w:val="fr-CH"/>
              </w:rPr>
            </w:pPr>
            <w:r w:rsidRPr="00BC7145">
              <w:rPr>
                <w:rFonts w:cs="Traditional Arabic" w:hint="cs"/>
                <w:b/>
                <w:bCs/>
                <w:sz w:val="30"/>
                <w:szCs w:val="30"/>
                <w:rtl/>
                <w:lang w:val="fr-CH"/>
              </w:rPr>
              <w:t>الانتهاك</w:t>
            </w:r>
          </w:p>
        </w:tc>
        <w:tc>
          <w:tcPr>
            <w:tcW w:w="4805" w:type="dxa"/>
            <w:shd w:val="clear" w:color="auto" w:fill="auto"/>
          </w:tcPr>
          <w:p w:rsidR="00F72BDC" w:rsidRPr="00BC7145" w:rsidRDefault="00F72BDC" w:rsidP="00A32823">
            <w:pPr>
              <w:spacing w:after="120" w:line="380" w:lineRule="exact"/>
              <w:rPr>
                <w:rFonts w:cs="Traditional Arabic" w:hint="cs"/>
                <w:sz w:val="30"/>
                <w:szCs w:val="30"/>
                <w:rtl/>
                <w:lang w:val="fr-CH"/>
              </w:rPr>
            </w:pPr>
            <w:r w:rsidRPr="00BC7145">
              <w:rPr>
                <w:rFonts w:cs="Traditional Arabic" w:hint="cs"/>
                <w:sz w:val="30"/>
                <w:szCs w:val="30"/>
                <w:rtl/>
                <w:lang w:val="fr-CH"/>
              </w:rPr>
              <w:t>المادتان 3 و15 (التسليم إلى الجزائر)</w:t>
            </w:r>
          </w:p>
        </w:tc>
      </w:tr>
      <w:tr w:rsidR="00F72BDC" w:rsidRPr="00BC7145" w:rsidTr="00A32823">
        <w:tc>
          <w:tcPr>
            <w:tcW w:w="2322" w:type="dxa"/>
            <w:shd w:val="clear" w:color="auto" w:fill="auto"/>
          </w:tcPr>
          <w:p w:rsidR="00F72BDC" w:rsidRPr="00BC7145" w:rsidRDefault="00F72BDC" w:rsidP="00A32823">
            <w:pPr>
              <w:spacing w:after="120" w:line="380" w:lineRule="exact"/>
              <w:rPr>
                <w:rFonts w:cs="Traditional Arabic" w:hint="cs"/>
                <w:b/>
                <w:bCs/>
                <w:sz w:val="30"/>
                <w:szCs w:val="30"/>
                <w:rtl/>
                <w:lang w:val="fr-CH"/>
              </w:rPr>
            </w:pPr>
            <w:r w:rsidRPr="00BC7145">
              <w:rPr>
                <w:rFonts w:cs="Traditional Arabic" w:hint="cs"/>
                <w:b/>
                <w:bCs/>
                <w:sz w:val="30"/>
                <w:szCs w:val="30"/>
                <w:rtl/>
                <w:lang w:val="fr-CH"/>
              </w:rPr>
              <w:t>الانتصاف الموصى به</w:t>
            </w:r>
          </w:p>
        </w:tc>
        <w:tc>
          <w:tcPr>
            <w:tcW w:w="4805" w:type="dxa"/>
            <w:shd w:val="clear" w:color="auto" w:fill="auto"/>
          </w:tcPr>
          <w:p w:rsidR="00F72BDC" w:rsidRPr="00BC7145" w:rsidRDefault="00F72BDC" w:rsidP="00A32823">
            <w:pPr>
              <w:spacing w:after="120" w:line="380" w:lineRule="exact"/>
              <w:rPr>
                <w:rFonts w:cs="Traditional Arabic" w:hint="cs"/>
                <w:sz w:val="30"/>
                <w:szCs w:val="30"/>
                <w:rtl/>
                <w:lang w:val="fr-CH"/>
              </w:rPr>
            </w:pPr>
            <w:r w:rsidRPr="00BC7145">
              <w:rPr>
                <w:rFonts w:cs="Traditional Arabic" w:hint="cs"/>
                <w:sz w:val="30"/>
                <w:szCs w:val="30"/>
                <w:rtl/>
                <w:lang w:val="fr-CH"/>
              </w:rPr>
              <w:t xml:space="preserve">إبلاغ اللجنة، في غضون 90 يوماً من تاريخ إحالة هذا القرار، بالتدابير التي اتخذتها الدولة الطرف استجابةً لهذا القرار. وأضافت اللجنة أنه بما أن جمال </w:t>
            </w:r>
            <w:r>
              <w:rPr>
                <w:rFonts w:cs="Traditional Arabic" w:hint="cs"/>
                <w:sz w:val="30"/>
                <w:szCs w:val="30"/>
                <w:rtl/>
                <w:lang w:val="fr-CH"/>
              </w:rPr>
              <w:t>الكتيتي</w:t>
            </w:r>
            <w:r w:rsidRPr="00BC7145">
              <w:rPr>
                <w:rFonts w:cs="Traditional Arabic" w:hint="cs"/>
                <w:sz w:val="30"/>
                <w:szCs w:val="30"/>
                <w:rtl/>
                <w:lang w:val="fr-CH"/>
              </w:rPr>
              <w:t xml:space="preserve"> رهن الاحتجاز لمدة 21 شهراً رغم عدم توجيه أي تهم ضده، فإن الدولة الطرف ملزمة بالإفراج عنه أو بمحاكمته إذا وُجِّهت التهم إليه. وبالإشارة إلى آخر الملاحظات الختامية، حثت اللجنة مرة أخرى الدولة الطرف على استعراض قوانينها فيما يتعلَّق بدمج حكم يحظر الحصول على أي إفادة تحت التعذيب أو الاحتجاج بها دليلاً في أية إجراءات، وفقاً لأحكام المادة 15 من الاتفاقية.</w:t>
            </w:r>
          </w:p>
        </w:tc>
      </w:tr>
      <w:tr w:rsidR="00F72BDC" w:rsidRPr="00A32823" w:rsidTr="00A32823">
        <w:tc>
          <w:tcPr>
            <w:tcW w:w="7127" w:type="dxa"/>
            <w:gridSpan w:val="2"/>
            <w:shd w:val="clear" w:color="auto" w:fill="auto"/>
          </w:tcPr>
          <w:p w:rsidR="00F72BDC" w:rsidRPr="00A32823" w:rsidRDefault="00F72BDC" w:rsidP="00A32823">
            <w:pPr>
              <w:spacing w:after="120" w:line="380" w:lineRule="exact"/>
              <w:rPr>
                <w:rFonts w:ascii="Times New Roman Bold" w:hAnsi="Times New Roman Bold" w:cs="Traditional Arabic" w:hint="cs"/>
                <w:b/>
                <w:bCs/>
                <w:sz w:val="20"/>
                <w:szCs w:val="30"/>
                <w:rtl/>
              </w:rPr>
            </w:pPr>
            <w:r w:rsidRPr="00A32823">
              <w:rPr>
                <w:rFonts w:ascii="Times New Roman Bold" w:hAnsi="Times New Roman Bold" w:cs="Traditional Arabic" w:hint="cs"/>
                <w:b/>
                <w:bCs/>
                <w:sz w:val="20"/>
                <w:szCs w:val="30"/>
                <w:rtl/>
                <w:lang w:val="fr-CH"/>
              </w:rPr>
              <w:t xml:space="preserve">معلومات المتابعة التي قُدمت سابقا: </w:t>
            </w:r>
            <w:r w:rsidRPr="00A32823">
              <w:rPr>
                <w:rFonts w:ascii="Times New Roman Bold" w:hAnsi="Times New Roman Bold" w:cs="Traditional Arabic"/>
                <w:b/>
                <w:bCs/>
                <w:sz w:val="20"/>
                <w:szCs w:val="30"/>
              </w:rPr>
              <w:t>A/67/44</w:t>
            </w:r>
            <w:r w:rsidRPr="00A32823">
              <w:rPr>
                <w:rFonts w:ascii="Times New Roman Bold" w:hAnsi="Times New Roman Bold" w:cs="Traditional Arabic" w:hint="cs"/>
                <w:b/>
                <w:bCs/>
                <w:sz w:val="20"/>
                <w:szCs w:val="30"/>
                <w:rtl/>
              </w:rPr>
              <w:t>، الفصل السادس</w:t>
            </w:r>
          </w:p>
          <w:p w:rsidR="00F72BDC" w:rsidRPr="00A32823" w:rsidRDefault="00F72BDC" w:rsidP="00A32823">
            <w:pPr>
              <w:spacing w:after="120" w:line="380" w:lineRule="exact"/>
              <w:rPr>
                <w:rFonts w:cs="Traditional Arabic" w:hint="cs"/>
                <w:sz w:val="20"/>
                <w:szCs w:val="30"/>
                <w:rtl/>
              </w:rPr>
            </w:pPr>
            <w:r w:rsidRPr="00A32823">
              <w:rPr>
                <w:rFonts w:cs="Traditional Arabic"/>
                <w:sz w:val="20"/>
                <w:szCs w:val="30"/>
                <w:rtl/>
              </w:rPr>
              <w:tab/>
            </w:r>
            <w:r w:rsidRPr="00A32823">
              <w:rPr>
                <w:rFonts w:cs="Traditional Arabic" w:hint="cs"/>
                <w:sz w:val="20"/>
                <w:szCs w:val="30"/>
                <w:rtl/>
              </w:rPr>
              <w:t>أُرسِل تذكيران إلى محامي صاحب الشكوى في 4 كانون الثاني/يناير و12 آذار/</w:t>
            </w:r>
            <w:r w:rsidR="00C30464">
              <w:rPr>
                <w:rFonts w:cs="Traditional Arabic" w:hint="cs"/>
                <w:sz w:val="20"/>
                <w:szCs w:val="30"/>
                <w:rtl/>
              </w:rPr>
              <w:t xml:space="preserve"> </w:t>
            </w:r>
            <w:r w:rsidRPr="00A32823">
              <w:rPr>
                <w:rFonts w:cs="Traditional Arabic" w:hint="cs"/>
                <w:sz w:val="20"/>
                <w:szCs w:val="30"/>
                <w:rtl/>
              </w:rPr>
              <w:t xml:space="preserve">مارس 2013. </w:t>
            </w:r>
          </w:p>
          <w:p w:rsidR="00F72BDC" w:rsidRPr="00A32823" w:rsidRDefault="00F72BDC" w:rsidP="00A32823">
            <w:pPr>
              <w:spacing w:after="120" w:line="380" w:lineRule="exact"/>
              <w:rPr>
                <w:rFonts w:cs="Traditional Arabic" w:hint="cs"/>
                <w:sz w:val="20"/>
                <w:szCs w:val="30"/>
                <w:rtl/>
              </w:rPr>
            </w:pPr>
            <w:r w:rsidRPr="00A32823">
              <w:rPr>
                <w:rFonts w:cs="Traditional Arabic"/>
                <w:sz w:val="20"/>
                <w:szCs w:val="30"/>
                <w:rtl/>
              </w:rPr>
              <w:tab/>
            </w:r>
            <w:r w:rsidRPr="00A32823">
              <w:rPr>
                <w:rFonts w:cs="Traditional Arabic" w:hint="cs"/>
                <w:sz w:val="20"/>
                <w:szCs w:val="30"/>
                <w:rtl/>
              </w:rPr>
              <w:t>وفي 16 نيسان/أبريل 2013، أبلغ محامي صاحب الشكوى بأن صاحب الشكوى قد أُفرج عنه من سجن سلا في 2 شباط/فبراير 2012، وبالتالي ينتهي حوار المتابعة المتعلِّق بالبلاغ رقم 419/2010 بتسوية مرضية. وأعرب المحامي، باسم أسرة صاحب الشكوى، عن بالغ تقديرها لقرار اللجنة التي مكّنت من الإفراج عن صاحب الشكوى.</w:t>
            </w:r>
          </w:p>
        </w:tc>
      </w:tr>
      <w:tr w:rsidR="00A32823" w:rsidRPr="00A32823" w:rsidTr="00A32823">
        <w:tc>
          <w:tcPr>
            <w:tcW w:w="7127" w:type="dxa"/>
            <w:gridSpan w:val="2"/>
            <w:tcBorders>
              <w:bottom w:val="single" w:sz="12" w:space="0" w:color="auto"/>
            </w:tcBorders>
            <w:shd w:val="clear" w:color="auto" w:fill="auto"/>
          </w:tcPr>
          <w:p w:rsidR="00A32823" w:rsidRPr="00A32823" w:rsidRDefault="00A32823" w:rsidP="00A32823">
            <w:pPr>
              <w:spacing w:after="120" w:line="380" w:lineRule="exact"/>
              <w:rPr>
                <w:rFonts w:ascii="Times New Roman Bold" w:hAnsi="Times New Roman Bold" w:cs="Traditional Arabic" w:hint="cs"/>
                <w:b/>
                <w:bCs/>
                <w:sz w:val="20"/>
                <w:szCs w:val="30"/>
                <w:rtl/>
                <w:lang w:val="fr-CH"/>
              </w:rPr>
            </w:pPr>
            <w:r w:rsidRPr="00A32823">
              <w:rPr>
                <w:rFonts w:cs="Traditional Arabic"/>
                <w:sz w:val="20"/>
                <w:szCs w:val="30"/>
                <w:rtl/>
              </w:rPr>
              <w:tab/>
            </w:r>
            <w:r w:rsidRPr="00A32823">
              <w:rPr>
                <w:rFonts w:cs="Traditional Arabic" w:hint="cs"/>
                <w:sz w:val="20"/>
                <w:szCs w:val="30"/>
                <w:rtl/>
              </w:rPr>
              <w:t>وفي الدورة الخمسين، قررت اللجنة إغلاق حوار المتابعة وخلصت إلى أن القضية قد سويت تسوية مرضية.</w:t>
            </w:r>
          </w:p>
        </w:tc>
      </w:tr>
    </w:tbl>
    <w:p w:rsidR="00F72BDC" w:rsidRDefault="00F72BDC" w:rsidP="00A32823">
      <w:pPr>
        <w:pStyle w:val="SingleTxtGA"/>
        <w:rPr>
          <w:rFonts w:hint="cs"/>
          <w:kern w:val="16"/>
          <w:rtl/>
          <w:lang w:val="fr-CH"/>
        </w:rPr>
      </w:pPr>
    </w:p>
    <w:tbl>
      <w:tblPr>
        <w:tblStyle w:val="TableGrid"/>
        <w:bidiVisual/>
        <w:tblW w:w="7139" w:type="dxa"/>
        <w:tblInd w:w="13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548"/>
        <w:gridCol w:w="4591"/>
      </w:tblGrid>
      <w:tr w:rsidR="00F72BDC" w:rsidRPr="00A32823" w:rsidTr="005E4BCD">
        <w:tc>
          <w:tcPr>
            <w:tcW w:w="2548" w:type="dxa"/>
            <w:tcBorders>
              <w:top w:val="single" w:sz="4" w:space="0" w:color="auto"/>
              <w:bottom w:val="single" w:sz="12" w:space="0" w:color="auto"/>
            </w:tcBorders>
            <w:shd w:val="clear" w:color="auto" w:fill="auto"/>
            <w:vAlign w:val="bottom"/>
          </w:tcPr>
          <w:p w:rsidR="00F72BDC" w:rsidRPr="00A32823" w:rsidRDefault="00F72BDC" w:rsidP="00A32823">
            <w:pPr>
              <w:spacing w:after="120" w:line="380" w:lineRule="exact"/>
              <w:rPr>
                <w:rFonts w:cs="Traditional Arabic" w:hint="cs"/>
                <w:b/>
                <w:bCs/>
                <w:i/>
                <w:sz w:val="20"/>
                <w:szCs w:val="30"/>
                <w:rtl/>
                <w:lang w:val="fr-CH"/>
              </w:rPr>
            </w:pPr>
            <w:r w:rsidRPr="00A32823">
              <w:rPr>
                <w:rFonts w:cs="Traditional Arabic" w:hint="cs"/>
                <w:b/>
                <w:bCs/>
                <w:i/>
                <w:sz w:val="20"/>
                <w:szCs w:val="30"/>
                <w:rtl/>
                <w:lang w:val="fr-CH"/>
              </w:rPr>
              <w:t>الدولة الطرف</w:t>
            </w:r>
          </w:p>
        </w:tc>
        <w:tc>
          <w:tcPr>
            <w:tcW w:w="4591" w:type="dxa"/>
            <w:tcBorders>
              <w:top w:val="single" w:sz="4" w:space="0" w:color="auto"/>
              <w:bottom w:val="single" w:sz="12" w:space="0" w:color="auto"/>
            </w:tcBorders>
            <w:shd w:val="clear" w:color="auto" w:fill="auto"/>
            <w:vAlign w:val="bottom"/>
          </w:tcPr>
          <w:p w:rsidR="00F72BDC" w:rsidRPr="00A32823" w:rsidRDefault="00F72BDC" w:rsidP="00A32823">
            <w:pPr>
              <w:spacing w:after="120" w:line="380" w:lineRule="exact"/>
              <w:rPr>
                <w:rFonts w:cs="Traditional Arabic" w:hint="cs"/>
                <w:b/>
                <w:bCs/>
                <w:i/>
                <w:sz w:val="20"/>
                <w:szCs w:val="30"/>
                <w:rtl/>
                <w:lang w:val="fr-CH"/>
              </w:rPr>
            </w:pPr>
            <w:r w:rsidRPr="00A32823">
              <w:rPr>
                <w:rFonts w:cs="Traditional Arabic" w:hint="cs"/>
                <w:b/>
                <w:bCs/>
                <w:i/>
                <w:sz w:val="20"/>
                <w:szCs w:val="30"/>
                <w:rtl/>
                <w:lang w:val="fr-CH"/>
              </w:rPr>
              <w:t>المغرب</w:t>
            </w:r>
          </w:p>
        </w:tc>
      </w:tr>
      <w:tr w:rsidR="00F72BDC" w:rsidRPr="00A32823" w:rsidTr="005E4BCD">
        <w:tc>
          <w:tcPr>
            <w:tcW w:w="2548" w:type="dxa"/>
            <w:tcBorders>
              <w:top w:val="single" w:sz="12" w:space="0" w:color="auto"/>
            </w:tcBorders>
            <w:shd w:val="clear" w:color="auto" w:fill="auto"/>
          </w:tcPr>
          <w:p w:rsidR="00F72BDC" w:rsidRPr="00A32823" w:rsidRDefault="00F72BDC" w:rsidP="00A32823">
            <w:pPr>
              <w:spacing w:after="120" w:line="380" w:lineRule="exact"/>
              <w:rPr>
                <w:rFonts w:cs="Traditional Arabic" w:hint="cs"/>
                <w:b/>
                <w:bCs/>
                <w:sz w:val="20"/>
                <w:szCs w:val="30"/>
                <w:rtl/>
                <w:lang w:val="fr-CH"/>
              </w:rPr>
            </w:pPr>
            <w:r w:rsidRPr="00A32823">
              <w:rPr>
                <w:rFonts w:cs="Traditional Arabic" w:hint="cs"/>
                <w:b/>
                <w:bCs/>
                <w:sz w:val="20"/>
                <w:szCs w:val="30"/>
                <w:rtl/>
                <w:lang w:val="fr-CH"/>
              </w:rPr>
              <w:t>القضية</w:t>
            </w:r>
          </w:p>
        </w:tc>
        <w:tc>
          <w:tcPr>
            <w:tcW w:w="4591" w:type="dxa"/>
            <w:tcBorders>
              <w:top w:val="single" w:sz="12" w:space="0" w:color="auto"/>
            </w:tcBorders>
            <w:shd w:val="clear" w:color="auto" w:fill="auto"/>
          </w:tcPr>
          <w:p w:rsidR="00F72BDC" w:rsidRPr="00A32823" w:rsidRDefault="00F72BDC" w:rsidP="00A32823">
            <w:pPr>
              <w:spacing w:after="120" w:line="380" w:lineRule="exact"/>
              <w:rPr>
                <w:rFonts w:cs="Traditional Arabic" w:hint="cs"/>
                <w:b/>
                <w:bCs/>
                <w:sz w:val="20"/>
                <w:szCs w:val="30"/>
                <w:rtl/>
                <w:lang w:val="fr-CH"/>
              </w:rPr>
            </w:pPr>
            <w:r w:rsidRPr="00A32823">
              <w:rPr>
                <w:rFonts w:cs="Traditional Arabic" w:hint="cs"/>
                <w:b/>
                <w:bCs/>
                <w:i/>
                <w:iCs/>
                <w:sz w:val="20"/>
                <w:szCs w:val="30"/>
                <w:rtl/>
                <w:lang w:val="fr-CH"/>
              </w:rPr>
              <w:t>كاليتشينكو</w:t>
            </w:r>
            <w:r w:rsidRPr="00A32823">
              <w:rPr>
                <w:rFonts w:cs="Traditional Arabic" w:hint="cs"/>
                <w:b/>
                <w:bCs/>
                <w:sz w:val="20"/>
                <w:szCs w:val="30"/>
                <w:rtl/>
                <w:lang w:val="fr-CH"/>
              </w:rPr>
              <w:t xml:space="preserve">، 428/2010 </w:t>
            </w:r>
          </w:p>
        </w:tc>
      </w:tr>
      <w:tr w:rsidR="00F72BDC" w:rsidRPr="00A32823" w:rsidTr="00E658DF">
        <w:tc>
          <w:tcPr>
            <w:tcW w:w="2548" w:type="dxa"/>
            <w:shd w:val="clear" w:color="auto" w:fill="auto"/>
          </w:tcPr>
          <w:p w:rsidR="00F72BDC" w:rsidRPr="00A32823" w:rsidRDefault="00F72BDC" w:rsidP="00A32823">
            <w:pPr>
              <w:spacing w:after="120" w:line="380" w:lineRule="exact"/>
              <w:rPr>
                <w:rFonts w:cs="Traditional Arabic" w:hint="cs"/>
                <w:b/>
                <w:bCs/>
                <w:sz w:val="20"/>
                <w:szCs w:val="30"/>
                <w:rtl/>
                <w:lang w:val="fr-CH"/>
              </w:rPr>
            </w:pPr>
            <w:r w:rsidRPr="00A32823">
              <w:rPr>
                <w:rFonts w:cs="Traditional Arabic" w:hint="cs"/>
                <w:b/>
                <w:bCs/>
                <w:sz w:val="20"/>
                <w:szCs w:val="30"/>
                <w:rtl/>
                <w:lang w:val="fr-CH"/>
              </w:rPr>
              <w:t xml:space="preserve">قرار معتمد في </w:t>
            </w:r>
          </w:p>
        </w:tc>
        <w:tc>
          <w:tcPr>
            <w:tcW w:w="4591" w:type="dxa"/>
            <w:shd w:val="clear" w:color="auto" w:fill="auto"/>
          </w:tcPr>
          <w:p w:rsidR="00F72BDC" w:rsidRPr="00A32823" w:rsidRDefault="00F72BDC" w:rsidP="00A32823">
            <w:pPr>
              <w:spacing w:after="120" w:line="380" w:lineRule="exact"/>
              <w:rPr>
                <w:rFonts w:cs="Traditional Arabic" w:hint="cs"/>
                <w:sz w:val="20"/>
                <w:szCs w:val="30"/>
                <w:rtl/>
                <w:lang w:val="fr-CH"/>
              </w:rPr>
            </w:pPr>
            <w:r w:rsidRPr="00A32823">
              <w:rPr>
                <w:rFonts w:cs="Traditional Arabic" w:hint="cs"/>
                <w:sz w:val="20"/>
                <w:szCs w:val="30"/>
                <w:rtl/>
                <w:lang w:val="fr-CH"/>
              </w:rPr>
              <w:t>25 تشرين الثاني/نوفمبر 2011</w:t>
            </w:r>
          </w:p>
        </w:tc>
      </w:tr>
      <w:tr w:rsidR="00F72BDC" w:rsidRPr="00A32823" w:rsidTr="00E658DF">
        <w:tc>
          <w:tcPr>
            <w:tcW w:w="2548" w:type="dxa"/>
            <w:shd w:val="clear" w:color="auto" w:fill="auto"/>
          </w:tcPr>
          <w:p w:rsidR="00F72BDC" w:rsidRPr="00A32823" w:rsidRDefault="00F72BDC" w:rsidP="00A32823">
            <w:pPr>
              <w:spacing w:after="120" w:line="380" w:lineRule="exact"/>
              <w:rPr>
                <w:rFonts w:cs="Traditional Arabic" w:hint="cs"/>
                <w:b/>
                <w:bCs/>
                <w:sz w:val="20"/>
                <w:szCs w:val="30"/>
                <w:rtl/>
                <w:lang w:val="fr-CH"/>
              </w:rPr>
            </w:pPr>
            <w:r w:rsidRPr="00A32823">
              <w:rPr>
                <w:rFonts w:cs="Traditional Arabic" w:hint="cs"/>
                <w:b/>
                <w:bCs/>
                <w:sz w:val="20"/>
                <w:szCs w:val="30"/>
                <w:rtl/>
                <w:lang w:val="fr-CH"/>
              </w:rPr>
              <w:t>الانتهاك</w:t>
            </w:r>
          </w:p>
        </w:tc>
        <w:tc>
          <w:tcPr>
            <w:tcW w:w="4591" w:type="dxa"/>
            <w:shd w:val="clear" w:color="auto" w:fill="auto"/>
          </w:tcPr>
          <w:p w:rsidR="00F72BDC" w:rsidRPr="00A32823" w:rsidRDefault="00F72BDC" w:rsidP="00A32823">
            <w:pPr>
              <w:spacing w:after="120" w:line="380" w:lineRule="exact"/>
              <w:rPr>
                <w:rFonts w:cs="Traditional Arabic" w:hint="cs"/>
                <w:sz w:val="20"/>
                <w:szCs w:val="30"/>
                <w:rtl/>
                <w:lang w:val="fr-CH"/>
              </w:rPr>
            </w:pPr>
            <w:r w:rsidRPr="00A32823">
              <w:rPr>
                <w:rFonts w:cs="Traditional Arabic" w:hint="cs"/>
                <w:sz w:val="20"/>
                <w:szCs w:val="30"/>
                <w:rtl/>
                <w:lang w:val="fr-CH"/>
              </w:rPr>
              <w:t>المادتان 3 و22 (سبق تسليم صاحب الشكوى إلى الاتحاد الروسي)</w:t>
            </w:r>
          </w:p>
        </w:tc>
      </w:tr>
      <w:tr w:rsidR="00F72BDC" w:rsidRPr="00A32823" w:rsidTr="00E658DF">
        <w:tc>
          <w:tcPr>
            <w:tcW w:w="2548" w:type="dxa"/>
            <w:shd w:val="clear" w:color="auto" w:fill="auto"/>
          </w:tcPr>
          <w:p w:rsidR="00F72BDC" w:rsidRPr="00A32823" w:rsidRDefault="00F72BDC" w:rsidP="00A32823">
            <w:pPr>
              <w:spacing w:after="120" w:line="380" w:lineRule="exact"/>
              <w:rPr>
                <w:rFonts w:cs="Traditional Arabic" w:hint="cs"/>
                <w:b/>
                <w:bCs/>
                <w:sz w:val="20"/>
                <w:szCs w:val="30"/>
                <w:rtl/>
                <w:lang w:val="fr-CH"/>
              </w:rPr>
            </w:pPr>
            <w:r w:rsidRPr="00A32823">
              <w:rPr>
                <w:rFonts w:cs="Traditional Arabic" w:hint="cs"/>
                <w:b/>
                <w:bCs/>
                <w:sz w:val="20"/>
                <w:szCs w:val="30"/>
                <w:rtl/>
                <w:lang w:val="fr-CH"/>
              </w:rPr>
              <w:t>الانتصاف الموصى به</w:t>
            </w:r>
          </w:p>
        </w:tc>
        <w:tc>
          <w:tcPr>
            <w:tcW w:w="4591" w:type="dxa"/>
            <w:shd w:val="clear" w:color="auto" w:fill="auto"/>
          </w:tcPr>
          <w:p w:rsidR="00F72BDC" w:rsidRPr="00A32823" w:rsidRDefault="00F72BDC" w:rsidP="00A32823">
            <w:pPr>
              <w:spacing w:after="120" w:line="380" w:lineRule="exact"/>
              <w:rPr>
                <w:rFonts w:cs="Traditional Arabic" w:hint="cs"/>
                <w:sz w:val="20"/>
                <w:szCs w:val="30"/>
                <w:rtl/>
                <w:lang w:val="fr-CH"/>
              </w:rPr>
            </w:pPr>
            <w:r w:rsidRPr="00A32823">
              <w:rPr>
                <w:rFonts w:cs="Traditional Arabic" w:hint="cs"/>
                <w:sz w:val="20"/>
                <w:szCs w:val="30"/>
                <w:rtl/>
                <w:lang w:val="fr-CH"/>
              </w:rPr>
              <w:t>طُلب من الدولة الطرف بإلحاح تقديم الجبر لصاحب الشكوى، بما في ذلك التعويض وإيجاد آلية فعالة للمتابعة</w:t>
            </w:r>
            <w:r w:rsidR="005E4BCD">
              <w:rPr>
                <w:rFonts w:cs="Traditional Arabic" w:hint="eastAsia"/>
                <w:sz w:val="20"/>
                <w:szCs w:val="30"/>
                <w:rtl/>
                <w:lang w:val="fr-CH"/>
              </w:rPr>
              <w:t> </w:t>
            </w:r>
            <w:r w:rsidRPr="00A32823">
              <w:rPr>
                <w:rFonts w:cs="Traditional Arabic" w:hint="cs"/>
                <w:sz w:val="20"/>
                <w:szCs w:val="30"/>
                <w:rtl/>
                <w:lang w:val="fr-CH"/>
              </w:rPr>
              <w:t>بما يضمن عدم تعرض صاحب الشكوى للتعذيب أو</w:t>
            </w:r>
            <w:r w:rsidR="005E4BCD">
              <w:rPr>
                <w:rFonts w:cs="Traditional Arabic" w:hint="eastAsia"/>
                <w:sz w:val="20"/>
                <w:szCs w:val="30"/>
                <w:rtl/>
                <w:lang w:val="fr-CH"/>
              </w:rPr>
              <w:t> </w:t>
            </w:r>
            <w:r w:rsidRPr="00A32823">
              <w:rPr>
                <w:rFonts w:cs="Traditional Arabic" w:hint="cs"/>
                <w:sz w:val="20"/>
                <w:szCs w:val="30"/>
                <w:rtl/>
                <w:lang w:val="fr-CH"/>
              </w:rPr>
              <w:t xml:space="preserve">لسوء المعاملة. </w:t>
            </w:r>
          </w:p>
        </w:tc>
      </w:tr>
      <w:tr w:rsidR="00F72BDC" w:rsidRPr="00A32823" w:rsidTr="00E658DF">
        <w:tc>
          <w:tcPr>
            <w:tcW w:w="7139" w:type="dxa"/>
            <w:gridSpan w:val="2"/>
            <w:shd w:val="clear" w:color="auto" w:fill="auto"/>
          </w:tcPr>
          <w:p w:rsidR="00F72BDC" w:rsidRPr="00A32823" w:rsidRDefault="00F72BDC" w:rsidP="00A32823">
            <w:pPr>
              <w:spacing w:after="120" w:line="380" w:lineRule="exact"/>
              <w:rPr>
                <w:rFonts w:cs="Traditional Arabic" w:hint="cs"/>
                <w:b/>
                <w:bCs/>
                <w:sz w:val="20"/>
                <w:szCs w:val="30"/>
                <w:rtl/>
              </w:rPr>
            </w:pPr>
            <w:r w:rsidRPr="00A32823">
              <w:rPr>
                <w:rFonts w:cs="Traditional Arabic" w:hint="cs"/>
                <w:b/>
                <w:bCs/>
                <w:sz w:val="20"/>
                <w:szCs w:val="30"/>
                <w:rtl/>
                <w:lang w:val="fr-CH"/>
              </w:rPr>
              <w:t xml:space="preserve">معلومات المتابعة التي قُدمت سابقاً: </w:t>
            </w:r>
            <w:r w:rsidRPr="00A32823">
              <w:rPr>
                <w:rFonts w:cs="Traditional Arabic"/>
                <w:b/>
                <w:bCs/>
                <w:sz w:val="20"/>
                <w:szCs w:val="30"/>
              </w:rPr>
              <w:t>A/67/44</w:t>
            </w:r>
            <w:r w:rsidRPr="00A32823">
              <w:rPr>
                <w:rFonts w:cs="Traditional Arabic" w:hint="cs"/>
                <w:b/>
                <w:bCs/>
                <w:sz w:val="20"/>
                <w:szCs w:val="30"/>
                <w:rtl/>
              </w:rPr>
              <w:t>، الفصل السادس</w:t>
            </w:r>
          </w:p>
          <w:p w:rsidR="00F72BDC" w:rsidRPr="00A32823" w:rsidRDefault="00F72BDC" w:rsidP="00A32823">
            <w:pPr>
              <w:spacing w:after="120" w:line="380" w:lineRule="exact"/>
              <w:rPr>
                <w:rFonts w:cs="Traditional Arabic" w:hint="cs"/>
                <w:sz w:val="20"/>
                <w:szCs w:val="30"/>
                <w:rtl/>
                <w:lang w:val="fr-CH"/>
              </w:rPr>
            </w:pPr>
            <w:r w:rsidRPr="00A32823">
              <w:rPr>
                <w:rFonts w:cs="Traditional Arabic"/>
                <w:sz w:val="20"/>
                <w:szCs w:val="30"/>
                <w:rtl/>
              </w:rPr>
              <w:tab/>
            </w:r>
            <w:r w:rsidRPr="00A32823">
              <w:rPr>
                <w:rFonts w:cs="Traditional Arabic" w:hint="cs"/>
                <w:sz w:val="20"/>
                <w:szCs w:val="30"/>
                <w:rtl/>
              </w:rPr>
              <w:t>في 6 تموز/يوليه 2012، أوضح والدا صاحب الشكوى أن الدولة الطرف لم</w:t>
            </w:r>
            <w:r w:rsidR="00804F9C">
              <w:rPr>
                <w:rFonts w:cs="Traditional Arabic" w:hint="eastAsia"/>
                <w:sz w:val="20"/>
                <w:szCs w:val="30"/>
                <w:rtl/>
              </w:rPr>
              <w:t> </w:t>
            </w:r>
            <w:r w:rsidRPr="00A32823">
              <w:rPr>
                <w:rFonts w:cs="Traditional Arabic" w:hint="cs"/>
                <w:sz w:val="20"/>
                <w:szCs w:val="30"/>
                <w:rtl/>
              </w:rPr>
              <w:t>تفعِّل آراء اللجنة. وأُحيلت رسالتهما إلى الدولة الطرف، لإبداء ملاحظات بشأنها (آخر</w:t>
            </w:r>
            <w:r w:rsidR="00804F9C">
              <w:rPr>
                <w:rFonts w:cs="Traditional Arabic" w:hint="eastAsia"/>
                <w:sz w:val="20"/>
                <w:szCs w:val="30"/>
                <w:rtl/>
              </w:rPr>
              <w:t> </w:t>
            </w:r>
            <w:r w:rsidRPr="00A32823">
              <w:rPr>
                <w:rFonts w:cs="Traditional Arabic" w:hint="cs"/>
                <w:sz w:val="20"/>
                <w:szCs w:val="30"/>
                <w:rtl/>
              </w:rPr>
              <w:t>أجل محدد في 27 آب/أغسطس 2012). ولم يرد أي رد. وأُرسل تذكيرٌ إلى الدولة الطرف في 12 آذار/مارس 2013.</w:t>
            </w:r>
          </w:p>
        </w:tc>
      </w:tr>
      <w:tr w:rsidR="00F72BDC" w:rsidRPr="00A32823" w:rsidTr="00E658DF">
        <w:tc>
          <w:tcPr>
            <w:tcW w:w="7139" w:type="dxa"/>
            <w:gridSpan w:val="2"/>
            <w:tcBorders>
              <w:bottom w:val="single" w:sz="12" w:space="0" w:color="auto"/>
            </w:tcBorders>
            <w:shd w:val="clear" w:color="auto" w:fill="auto"/>
          </w:tcPr>
          <w:p w:rsidR="00F72BDC" w:rsidRPr="005E4BCD" w:rsidRDefault="005E4BCD" w:rsidP="00A32823">
            <w:pPr>
              <w:spacing w:after="120" w:line="380" w:lineRule="exact"/>
              <w:rPr>
                <w:rFonts w:cs="Traditional Arabic" w:hint="cs"/>
                <w:sz w:val="20"/>
                <w:szCs w:val="30"/>
                <w:rtl/>
                <w:lang w:val="fr-CH"/>
              </w:rPr>
            </w:pPr>
            <w:r w:rsidRPr="005E4BCD">
              <w:rPr>
                <w:rFonts w:cs="Traditional Arabic"/>
                <w:sz w:val="20"/>
                <w:szCs w:val="30"/>
                <w:rtl/>
                <w:lang w:val="fr-CH"/>
              </w:rPr>
              <w:tab/>
            </w:r>
            <w:r w:rsidR="00F72BDC" w:rsidRPr="005E4BCD">
              <w:rPr>
                <w:rFonts w:cs="Traditional Arabic" w:hint="cs"/>
                <w:sz w:val="20"/>
                <w:szCs w:val="30"/>
                <w:rtl/>
                <w:lang w:val="fr-CH"/>
              </w:rPr>
              <w:t>قرار اللجنة: حوار المتابعة مستمر.</w:t>
            </w:r>
          </w:p>
        </w:tc>
      </w:tr>
    </w:tbl>
    <w:p w:rsidR="00F72BDC" w:rsidRPr="00A32823" w:rsidRDefault="00F72BDC" w:rsidP="00560456">
      <w:pPr>
        <w:pStyle w:val="SingleTxtGA"/>
        <w:rPr>
          <w:rFonts w:hint="cs"/>
          <w:spacing w:val="-2"/>
          <w:kern w:val="16"/>
          <w:sz w:val="22"/>
          <w:rtl/>
          <w:lang w:val="fr-CH"/>
        </w:rPr>
      </w:pPr>
    </w:p>
    <w:tbl>
      <w:tblPr>
        <w:tblStyle w:val="TableGrid"/>
        <w:bidiVisual/>
        <w:tblW w:w="7030" w:type="dxa"/>
        <w:tblInd w:w="1376" w:type="dxa"/>
        <w:tblBorders>
          <w:bottom w:val="none" w:sz="0" w:space="0" w:color="auto"/>
          <w:insideH w:val="none" w:sz="0" w:space="0" w:color="auto"/>
          <w:insideV w:val="none" w:sz="0" w:space="0" w:color="auto"/>
        </w:tblBorders>
        <w:tblLayout w:type="fixed"/>
        <w:tblLook w:val="01E0"/>
      </w:tblPr>
      <w:tblGrid>
        <w:gridCol w:w="2534"/>
        <w:gridCol w:w="4496"/>
      </w:tblGrid>
      <w:tr w:rsidR="00F72BDC" w:rsidRPr="00E658DF" w:rsidTr="00E658DF">
        <w:tc>
          <w:tcPr>
            <w:tcW w:w="2534" w:type="dxa"/>
            <w:tcBorders>
              <w:top w:val="single" w:sz="4" w:space="0" w:color="auto"/>
              <w:left w:val="nil"/>
              <w:bottom w:val="single" w:sz="12" w:space="0" w:color="auto"/>
            </w:tcBorders>
            <w:shd w:val="clear" w:color="auto" w:fill="auto"/>
            <w:vAlign w:val="bottom"/>
          </w:tcPr>
          <w:p w:rsidR="00F72BDC" w:rsidRPr="00E658DF" w:rsidRDefault="00F72BDC" w:rsidP="00E658DF">
            <w:pPr>
              <w:keepNext/>
              <w:keepLines/>
              <w:spacing w:after="120" w:line="360" w:lineRule="exact"/>
              <w:rPr>
                <w:rFonts w:cs="Traditional Arabic" w:hint="cs"/>
                <w:b/>
                <w:bCs/>
                <w:i/>
                <w:sz w:val="20"/>
                <w:szCs w:val="30"/>
                <w:rtl/>
                <w:lang w:val="fr-CH"/>
              </w:rPr>
            </w:pPr>
            <w:r w:rsidRPr="00E658DF">
              <w:rPr>
                <w:rFonts w:cs="Traditional Arabic" w:hint="cs"/>
                <w:b/>
                <w:bCs/>
                <w:i/>
                <w:sz w:val="20"/>
                <w:szCs w:val="30"/>
                <w:rtl/>
                <w:lang w:val="fr-CH"/>
              </w:rPr>
              <w:t>الدولة الطرف</w:t>
            </w:r>
          </w:p>
        </w:tc>
        <w:tc>
          <w:tcPr>
            <w:tcW w:w="4496" w:type="dxa"/>
            <w:tcBorders>
              <w:top w:val="single" w:sz="4" w:space="0" w:color="auto"/>
              <w:bottom w:val="single" w:sz="12" w:space="0" w:color="auto"/>
              <w:right w:val="nil"/>
            </w:tcBorders>
            <w:shd w:val="clear" w:color="auto" w:fill="auto"/>
            <w:vAlign w:val="bottom"/>
          </w:tcPr>
          <w:p w:rsidR="00F72BDC" w:rsidRPr="00E658DF" w:rsidRDefault="00F72BDC" w:rsidP="00E658DF">
            <w:pPr>
              <w:keepNext/>
              <w:keepLines/>
              <w:spacing w:after="120" w:line="360" w:lineRule="exact"/>
              <w:rPr>
                <w:rFonts w:cs="Traditional Arabic" w:hint="cs"/>
                <w:b/>
                <w:bCs/>
                <w:i/>
                <w:sz w:val="20"/>
                <w:szCs w:val="30"/>
                <w:rtl/>
                <w:lang w:val="fr-CH"/>
              </w:rPr>
            </w:pPr>
            <w:r w:rsidRPr="00E658DF">
              <w:rPr>
                <w:rFonts w:cs="Traditional Arabic" w:hint="cs"/>
                <w:b/>
                <w:bCs/>
                <w:i/>
                <w:sz w:val="20"/>
                <w:szCs w:val="30"/>
                <w:rtl/>
                <w:lang w:val="fr-CH"/>
              </w:rPr>
              <w:t>النرويج</w:t>
            </w:r>
          </w:p>
        </w:tc>
      </w:tr>
      <w:tr w:rsidR="00F72BDC" w:rsidRPr="00E658DF" w:rsidTr="00E658DF">
        <w:tc>
          <w:tcPr>
            <w:tcW w:w="2534" w:type="dxa"/>
            <w:tcBorders>
              <w:top w:val="single" w:sz="12" w:space="0" w:color="auto"/>
              <w:left w:val="nil"/>
            </w:tcBorders>
            <w:shd w:val="clear" w:color="auto" w:fill="auto"/>
          </w:tcPr>
          <w:p w:rsidR="00F72BDC" w:rsidRPr="00E658DF" w:rsidRDefault="00F72BDC" w:rsidP="005E4BCD">
            <w:pPr>
              <w:spacing w:after="120" w:line="360" w:lineRule="exact"/>
              <w:rPr>
                <w:rFonts w:cs="Traditional Arabic" w:hint="cs"/>
                <w:b/>
                <w:bCs/>
                <w:sz w:val="20"/>
                <w:szCs w:val="30"/>
                <w:rtl/>
                <w:lang w:val="fr-CH"/>
              </w:rPr>
            </w:pPr>
            <w:r w:rsidRPr="00E658DF">
              <w:rPr>
                <w:rFonts w:cs="Traditional Arabic" w:hint="cs"/>
                <w:b/>
                <w:bCs/>
                <w:sz w:val="20"/>
                <w:szCs w:val="30"/>
                <w:rtl/>
                <w:lang w:val="fr-CH"/>
              </w:rPr>
              <w:t>القضية</w:t>
            </w:r>
          </w:p>
        </w:tc>
        <w:tc>
          <w:tcPr>
            <w:tcW w:w="4496" w:type="dxa"/>
            <w:tcBorders>
              <w:top w:val="single" w:sz="12" w:space="0" w:color="auto"/>
              <w:right w:val="nil"/>
            </w:tcBorders>
            <w:shd w:val="clear" w:color="auto" w:fill="auto"/>
          </w:tcPr>
          <w:p w:rsidR="00F72BDC" w:rsidRPr="00E658DF" w:rsidRDefault="00F72BDC" w:rsidP="005E4BCD">
            <w:pPr>
              <w:spacing w:after="120" w:line="360" w:lineRule="exact"/>
              <w:rPr>
                <w:rFonts w:cs="Traditional Arabic" w:hint="cs"/>
                <w:b/>
                <w:bCs/>
                <w:sz w:val="20"/>
                <w:szCs w:val="30"/>
                <w:rtl/>
                <w:lang w:val="fr-CH"/>
              </w:rPr>
            </w:pPr>
            <w:r w:rsidRPr="00E658DF">
              <w:rPr>
                <w:rFonts w:cs="Traditional Arabic" w:hint="cs"/>
                <w:b/>
                <w:bCs/>
                <w:i/>
                <w:iCs/>
                <w:sz w:val="20"/>
                <w:szCs w:val="30"/>
                <w:rtl/>
                <w:lang w:val="fr-CH"/>
              </w:rPr>
              <w:t>إفتخاري</w:t>
            </w:r>
            <w:r w:rsidRPr="00E658DF">
              <w:rPr>
                <w:rFonts w:cs="Traditional Arabic" w:hint="cs"/>
                <w:b/>
                <w:bCs/>
                <w:sz w:val="20"/>
                <w:szCs w:val="30"/>
                <w:rtl/>
                <w:lang w:val="fr-CH"/>
              </w:rPr>
              <w:t xml:space="preserve">، 312/2006 </w:t>
            </w:r>
          </w:p>
        </w:tc>
      </w:tr>
      <w:tr w:rsidR="00F72BDC" w:rsidRPr="00E658DF" w:rsidTr="00E658DF">
        <w:tc>
          <w:tcPr>
            <w:tcW w:w="2534" w:type="dxa"/>
            <w:tcBorders>
              <w:top w:val="nil"/>
              <w:left w:val="nil"/>
              <w:right w:val="nil"/>
            </w:tcBorders>
            <w:shd w:val="clear" w:color="auto" w:fill="auto"/>
          </w:tcPr>
          <w:p w:rsidR="00F72BDC" w:rsidRPr="00E658DF" w:rsidRDefault="00F72BDC" w:rsidP="005E4BCD">
            <w:pPr>
              <w:spacing w:after="120" w:line="360" w:lineRule="exact"/>
              <w:rPr>
                <w:rFonts w:cs="Traditional Arabic" w:hint="cs"/>
                <w:b/>
                <w:bCs/>
                <w:sz w:val="20"/>
                <w:szCs w:val="30"/>
                <w:rtl/>
                <w:lang w:val="fr-CH"/>
              </w:rPr>
            </w:pPr>
            <w:r w:rsidRPr="00E658DF">
              <w:rPr>
                <w:rFonts w:cs="Traditional Arabic" w:hint="cs"/>
                <w:b/>
                <w:bCs/>
                <w:sz w:val="20"/>
                <w:szCs w:val="30"/>
                <w:rtl/>
                <w:lang w:val="fr-CH"/>
              </w:rPr>
              <w:t>قرار معتمد في</w:t>
            </w:r>
          </w:p>
        </w:tc>
        <w:tc>
          <w:tcPr>
            <w:tcW w:w="4496" w:type="dxa"/>
            <w:tcBorders>
              <w:top w:val="nil"/>
              <w:left w:val="nil"/>
              <w:right w:val="nil"/>
            </w:tcBorders>
            <w:shd w:val="clear" w:color="auto" w:fill="auto"/>
          </w:tcPr>
          <w:p w:rsidR="00F72BDC" w:rsidRPr="00E658DF" w:rsidRDefault="00F72BDC" w:rsidP="005E4BCD">
            <w:pPr>
              <w:spacing w:after="120" w:line="360" w:lineRule="exact"/>
              <w:rPr>
                <w:rFonts w:cs="Traditional Arabic" w:hint="cs"/>
                <w:sz w:val="20"/>
                <w:szCs w:val="30"/>
                <w:rtl/>
                <w:lang w:val="fr-CH"/>
              </w:rPr>
            </w:pPr>
            <w:r w:rsidRPr="00E658DF">
              <w:rPr>
                <w:rFonts w:cs="Traditional Arabic" w:hint="cs"/>
                <w:sz w:val="20"/>
                <w:szCs w:val="30"/>
                <w:rtl/>
                <w:lang w:val="fr-CH"/>
              </w:rPr>
              <w:t>25 تشرين الثاني/نوفمبر 2011</w:t>
            </w:r>
          </w:p>
        </w:tc>
      </w:tr>
      <w:tr w:rsidR="00F72BDC" w:rsidRPr="00E658DF" w:rsidTr="00E658DF">
        <w:tc>
          <w:tcPr>
            <w:tcW w:w="2534" w:type="dxa"/>
            <w:tcBorders>
              <w:top w:val="nil"/>
              <w:left w:val="nil"/>
              <w:right w:val="nil"/>
            </w:tcBorders>
            <w:shd w:val="clear" w:color="auto" w:fill="auto"/>
          </w:tcPr>
          <w:p w:rsidR="00F72BDC" w:rsidRPr="00E658DF" w:rsidRDefault="00F72BDC" w:rsidP="005E4BCD">
            <w:pPr>
              <w:spacing w:after="120" w:line="360" w:lineRule="exact"/>
              <w:rPr>
                <w:rFonts w:cs="Traditional Arabic" w:hint="cs"/>
                <w:b/>
                <w:bCs/>
                <w:sz w:val="20"/>
                <w:szCs w:val="30"/>
                <w:rtl/>
                <w:lang w:val="fr-CH"/>
              </w:rPr>
            </w:pPr>
            <w:r w:rsidRPr="00E658DF">
              <w:rPr>
                <w:rFonts w:cs="Traditional Arabic" w:hint="cs"/>
                <w:b/>
                <w:bCs/>
                <w:sz w:val="20"/>
                <w:szCs w:val="30"/>
                <w:rtl/>
                <w:lang w:val="fr-CH"/>
              </w:rPr>
              <w:t>الانتهاك</w:t>
            </w:r>
          </w:p>
        </w:tc>
        <w:tc>
          <w:tcPr>
            <w:tcW w:w="4496" w:type="dxa"/>
            <w:tcBorders>
              <w:top w:val="nil"/>
              <w:left w:val="nil"/>
              <w:right w:val="nil"/>
            </w:tcBorders>
            <w:shd w:val="clear" w:color="auto" w:fill="auto"/>
          </w:tcPr>
          <w:p w:rsidR="00F72BDC" w:rsidRPr="00E658DF" w:rsidRDefault="00F72BDC" w:rsidP="005E4BCD">
            <w:pPr>
              <w:spacing w:after="120" w:line="360" w:lineRule="exact"/>
              <w:rPr>
                <w:rFonts w:cs="Traditional Arabic" w:hint="cs"/>
                <w:sz w:val="20"/>
                <w:szCs w:val="30"/>
                <w:rtl/>
                <w:lang w:val="fr-CH"/>
              </w:rPr>
            </w:pPr>
            <w:r w:rsidRPr="00E658DF">
              <w:rPr>
                <w:rFonts w:cs="Traditional Arabic" w:hint="cs"/>
                <w:sz w:val="20"/>
                <w:szCs w:val="30"/>
                <w:rtl/>
                <w:lang w:val="fr-CH"/>
              </w:rPr>
              <w:t>المادة 3 (الترحيل إلى جمهورية إيران الإسلامية)</w:t>
            </w:r>
          </w:p>
        </w:tc>
      </w:tr>
      <w:tr w:rsidR="00F72BDC" w:rsidRPr="00E658DF" w:rsidTr="00E658DF">
        <w:tc>
          <w:tcPr>
            <w:tcW w:w="2534" w:type="dxa"/>
            <w:tcBorders>
              <w:top w:val="nil"/>
              <w:left w:val="nil"/>
              <w:right w:val="nil"/>
            </w:tcBorders>
            <w:shd w:val="clear" w:color="auto" w:fill="auto"/>
          </w:tcPr>
          <w:p w:rsidR="00F72BDC" w:rsidRPr="00E658DF" w:rsidRDefault="00F72BDC" w:rsidP="005E4BCD">
            <w:pPr>
              <w:spacing w:after="120" w:line="360" w:lineRule="exact"/>
              <w:rPr>
                <w:rFonts w:cs="Traditional Arabic" w:hint="cs"/>
                <w:b/>
                <w:bCs/>
                <w:sz w:val="20"/>
                <w:szCs w:val="30"/>
                <w:rtl/>
                <w:lang w:val="fr-CH"/>
              </w:rPr>
            </w:pPr>
            <w:r w:rsidRPr="00E658DF">
              <w:rPr>
                <w:rFonts w:cs="Traditional Arabic" w:hint="cs"/>
                <w:b/>
                <w:bCs/>
                <w:sz w:val="20"/>
                <w:szCs w:val="30"/>
                <w:rtl/>
                <w:lang w:val="fr-CH"/>
              </w:rPr>
              <w:t>الانتصاف الموصى به</w:t>
            </w:r>
          </w:p>
        </w:tc>
        <w:tc>
          <w:tcPr>
            <w:tcW w:w="4496" w:type="dxa"/>
            <w:tcBorders>
              <w:top w:val="nil"/>
              <w:left w:val="nil"/>
              <w:right w:val="nil"/>
            </w:tcBorders>
            <w:shd w:val="clear" w:color="auto" w:fill="auto"/>
          </w:tcPr>
          <w:p w:rsidR="00F72BDC" w:rsidRPr="00E658DF" w:rsidRDefault="00F72BDC" w:rsidP="005E4BCD">
            <w:pPr>
              <w:spacing w:after="120" w:line="360" w:lineRule="exact"/>
              <w:rPr>
                <w:rFonts w:cs="Traditional Arabic" w:hint="cs"/>
                <w:spacing w:val="-6"/>
                <w:sz w:val="20"/>
                <w:szCs w:val="30"/>
                <w:rtl/>
                <w:lang w:val="fr-CH"/>
              </w:rPr>
            </w:pPr>
            <w:r w:rsidRPr="00E658DF">
              <w:rPr>
                <w:rFonts w:cs="Traditional Arabic" w:hint="cs"/>
                <w:spacing w:val="-6"/>
                <w:sz w:val="20"/>
                <w:szCs w:val="30"/>
                <w:rtl/>
                <w:lang w:val="fr-CH"/>
              </w:rPr>
              <w:t>إبلاغ اللجنة، في غضون 90 يوماً من تاريخ إحالة هذا القرار، بالخطوات التي اتخذتها الدولة الطرف وفقا</w:t>
            </w:r>
            <w:r w:rsidR="005E4BCD">
              <w:rPr>
                <w:rFonts w:cs="Traditional Arabic" w:hint="cs"/>
                <w:spacing w:val="-6"/>
                <w:sz w:val="20"/>
                <w:szCs w:val="30"/>
                <w:rtl/>
                <w:lang w:val="fr-CH"/>
              </w:rPr>
              <w:t>ً</w:t>
            </w:r>
            <w:r w:rsidRPr="00E658DF">
              <w:rPr>
                <w:rFonts w:cs="Traditional Arabic" w:hint="cs"/>
                <w:spacing w:val="-6"/>
                <w:sz w:val="20"/>
                <w:szCs w:val="30"/>
                <w:rtl/>
                <w:lang w:val="fr-CH"/>
              </w:rPr>
              <w:t xml:space="preserve"> لملاحظات اللجنة.</w:t>
            </w:r>
          </w:p>
        </w:tc>
      </w:tr>
      <w:tr w:rsidR="00F72BDC" w:rsidRPr="00E658DF" w:rsidTr="00E658DF">
        <w:tc>
          <w:tcPr>
            <w:tcW w:w="7030" w:type="dxa"/>
            <w:gridSpan w:val="2"/>
            <w:tcBorders>
              <w:top w:val="nil"/>
              <w:left w:val="nil"/>
              <w:right w:val="nil"/>
            </w:tcBorders>
            <w:shd w:val="clear" w:color="auto" w:fill="auto"/>
          </w:tcPr>
          <w:p w:rsidR="00F72BDC" w:rsidRPr="00E658DF" w:rsidRDefault="00F72BDC" w:rsidP="00E658DF">
            <w:pPr>
              <w:keepNext/>
              <w:keepLines/>
              <w:spacing w:after="120" w:line="360" w:lineRule="exact"/>
              <w:rPr>
                <w:rFonts w:cs="Traditional Arabic" w:hint="cs"/>
                <w:b/>
                <w:bCs/>
                <w:sz w:val="20"/>
                <w:szCs w:val="30"/>
                <w:rtl/>
              </w:rPr>
            </w:pPr>
            <w:r w:rsidRPr="00E658DF">
              <w:rPr>
                <w:rFonts w:cs="Traditional Arabic" w:hint="cs"/>
                <w:b/>
                <w:bCs/>
                <w:sz w:val="20"/>
                <w:szCs w:val="30"/>
                <w:rtl/>
                <w:lang w:val="fr-CH"/>
              </w:rPr>
              <w:t xml:space="preserve">معلومات المتابعة التي قدمت سابقاً: </w:t>
            </w:r>
            <w:r w:rsidRPr="00E658DF">
              <w:rPr>
                <w:rFonts w:cs="Traditional Arabic"/>
                <w:b/>
                <w:bCs/>
                <w:sz w:val="20"/>
                <w:szCs w:val="30"/>
              </w:rPr>
              <w:t>A/67/44</w:t>
            </w:r>
            <w:r w:rsidRPr="00E658DF">
              <w:rPr>
                <w:rFonts w:cs="Traditional Arabic" w:hint="cs"/>
                <w:b/>
                <w:bCs/>
                <w:sz w:val="20"/>
                <w:szCs w:val="30"/>
                <w:rtl/>
              </w:rPr>
              <w:t>، الفصل السادس</w:t>
            </w:r>
          </w:p>
          <w:p w:rsidR="00F72BDC" w:rsidRPr="00E658DF" w:rsidRDefault="00F72BDC" w:rsidP="00E658DF">
            <w:pPr>
              <w:keepNext/>
              <w:keepLines/>
              <w:spacing w:after="120" w:line="360" w:lineRule="exact"/>
              <w:rPr>
                <w:rFonts w:cs="Traditional Arabic" w:hint="cs"/>
                <w:spacing w:val="-2"/>
                <w:sz w:val="20"/>
                <w:szCs w:val="30"/>
                <w:rtl/>
                <w:lang w:val="fr-CH"/>
              </w:rPr>
            </w:pPr>
            <w:r w:rsidRPr="00E658DF">
              <w:rPr>
                <w:rFonts w:cs="Traditional Arabic"/>
                <w:spacing w:val="-2"/>
                <w:sz w:val="20"/>
                <w:szCs w:val="30"/>
                <w:rtl/>
                <w:lang w:val="fr-CH"/>
              </w:rPr>
              <w:tab/>
            </w:r>
            <w:r w:rsidRPr="00E658DF">
              <w:rPr>
                <w:rFonts w:cs="Traditional Arabic" w:hint="cs"/>
                <w:spacing w:val="-2"/>
                <w:sz w:val="20"/>
                <w:szCs w:val="30"/>
                <w:rtl/>
                <w:lang w:val="fr-CH"/>
              </w:rPr>
              <w:t xml:space="preserve">في 23 شباط/فبراير 2012، أبلغت الدولة الطرف اللجنة بأن </w:t>
            </w:r>
            <w:r w:rsidRPr="00E658DF">
              <w:rPr>
                <w:rFonts w:cs="Traditional Arabic" w:hint="cs"/>
                <w:spacing w:val="-2"/>
                <w:sz w:val="20"/>
                <w:szCs w:val="30"/>
                <w:rtl/>
                <w:lang/>
              </w:rPr>
              <w:t>مجلس طعون الهجرة النرويجي</w:t>
            </w:r>
            <w:r w:rsidRPr="00E658DF">
              <w:rPr>
                <w:rFonts w:cs="Traditional Arabic" w:hint="cs"/>
                <w:spacing w:val="-2"/>
                <w:sz w:val="20"/>
                <w:szCs w:val="30"/>
                <w:rtl/>
                <w:lang w:val="fr-CH"/>
              </w:rPr>
              <w:t xml:space="preserve"> قد أعاد فتح ملف قضية صاحب الشكوى، تبعا للقرار الذي اتخذته اللجنة</w:t>
            </w:r>
            <w:r w:rsidR="00AA6123">
              <w:rPr>
                <w:rFonts w:cs="Traditional Arabic" w:hint="cs"/>
                <w:spacing w:val="-2"/>
                <w:sz w:val="20"/>
                <w:szCs w:val="30"/>
                <w:rtl/>
                <w:lang w:val="fr-CH"/>
              </w:rPr>
              <w:t xml:space="preserve">، </w:t>
            </w:r>
            <w:r w:rsidRPr="00E658DF">
              <w:rPr>
                <w:rFonts w:cs="Traditional Arabic" w:hint="cs"/>
                <w:spacing w:val="-2"/>
                <w:sz w:val="20"/>
                <w:szCs w:val="30"/>
                <w:rtl/>
                <w:lang w:val="fr-CH"/>
              </w:rPr>
              <w:t xml:space="preserve">وأن صاحب الشكوى قد منح، في </w:t>
            </w:r>
            <w:r w:rsidR="00D75706">
              <w:rPr>
                <w:rFonts w:cs="Traditional Arabic" w:hint="cs"/>
                <w:spacing w:val="-2"/>
                <w:sz w:val="20"/>
                <w:szCs w:val="30"/>
                <w:rtl/>
                <w:lang w:val="fr-CH"/>
              </w:rPr>
              <w:t>31</w:t>
            </w:r>
            <w:r w:rsidRPr="00E658DF">
              <w:rPr>
                <w:rFonts w:cs="Traditional Arabic" w:hint="cs"/>
                <w:spacing w:val="-2"/>
                <w:sz w:val="20"/>
                <w:szCs w:val="30"/>
                <w:rtl/>
                <w:lang w:val="fr-CH"/>
              </w:rPr>
              <w:t xml:space="preserve"> كانون الثاني/يناير 2012، ترخيصاً بالبقاء في انتظار البت في استئنافه. وقد تقرر عقد جلسة استماع في 13 آذار/مارس 2012، وسيوف يكون بوسع صاحب الشكوى عرض قضيته.</w:t>
            </w:r>
          </w:p>
        </w:tc>
      </w:tr>
      <w:tr w:rsidR="00F72BDC" w:rsidRPr="00E658DF" w:rsidTr="00E658DF">
        <w:tc>
          <w:tcPr>
            <w:tcW w:w="7030" w:type="dxa"/>
            <w:gridSpan w:val="2"/>
            <w:tcBorders>
              <w:top w:val="nil"/>
              <w:left w:val="nil"/>
              <w:right w:val="nil"/>
            </w:tcBorders>
            <w:shd w:val="clear" w:color="auto" w:fill="auto"/>
          </w:tcPr>
          <w:p w:rsidR="00F72BDC" w:rsidRPr="00E658DF" w:rsidRDefault="00F72BDC" w:rsidP="00E658DF">
            <w:pPr>
              <w:keepNext/>
              <w:keepLines/>
              <w:spacing w:after="120" w:line="360" w:lineRule="exact"/>
              <w:rPr>
                <w:rFonts w:cs="Traditional Arabic" w:hint="cs"/>
                <w:spacing w:val="-2"/>
                <w:sz w:val="20"/>
                <w:szCs w:val="30"/>
                <w:rtl/>
                <w:lang w:val="fr-CH"/>
              </w:rPr>
            </w:pPr>
            <w:r w:rsidRPr="00E658DF">
              <w:rPr>
                <w:rFonts w:cs="Traditional Arabic"/>
                <w:spacing w:val="-2"/>
                <w:sz w:val="20"/>
                <w:szCs w:val="30"/>
                <w:rtl/>
                <w:lang w:val="fr-CH"/>
              </w:rPr>
              <w:tab/>
            </w:r>
            <w:r w:rsidRPr="00E658DF">
              <w:rPr>
                <w:rFonts w:cs="Traditional Arabic" w:hint="cs"/>
                <w:spacing w:val="-2"/>
                <w:sz w:val="20"/>
                <w:szCs w:val="30"/>
                <w:rtl/>
                <w:lang w:val="fr-CH"/>
              </w:rPr>
              <w:t xml:space="preserve">وأُرسلت المعلومات الواردة من الدولة الطرف إلى صاحب الشكوى في 23 آذار/مارس 2012 للتعليق عليها. وعادت الرسالة لخطأ في العنوان. ووُجهت رسالة </w:t>
            </w:r>
            <w:r w:rsidRPr="00D75706">
              <w:rPr>
                <w:rFonts w:cs="Traditional Arabic" w:hint="cs"/>
                <w:sz w:val="20"/>
                <w:szCs w:val="30"/>
                <w:rtl/>
                <w:lang w:val="fr-CH"/>
              </w:rPr>
              <w:t>ثانية</w:t>
            </w:r>
            <w:r w:rsidR="00D75706" w:rsidRPr="00D75706">
              <w:rPr>
                <w:rFonts w:cs="Traditional Arabic" w:hint="eastAsia"/>
                <w:sz w:val="20"/>
                <w:szCs w:val="30"/>
                <w:rtl/>
                <w:lang w:val="fr-CH"/>
              </w:rPr>
              <w:t> </w:t>
            </w:r>
            <w:r w:rsidRPr="00D75706">
              <w:rPr>
                <w:rFonts w:cs="Traditional Arabic" w:hint="cs"/>
                <w:sz w:val="20"/>
                <w:szCs w:val="30"/>
                <w:rtl/>
                <w:lang w:val="fr-CH"/>
              </w:rPr>
              <w:t>في كانون الثاني/يناير 2013، عادت أيضا</w:t>
            </w:r>
            <w:r w:rsidR="00E658DF" w:rsidRPr="00D75706">
              <w:rPr>
                <w:rFonts w:cs="Traditional Arabic" w:hint="cs"/>
                <w:sz w:val="20"/>
                <w:szCs w:val="30"/>
                <w:rtl/>
                <w:lang w:val="fr-CH"/>
              </w:rPr>
              <w:t>ً</w:t>
            </w:r>
            <w:r w:rsidRPr="00D75706">
              <w:rPr>
                <w:rFonts w:cs="Traditional Arabic" w:hint="cs"/>
                <w:sz w:val="20"/>
                <w:szCs w:val="30"/>
                <w:rtl/>
                <w:lang w:val="fr-CH"/>
              </w:rPr>
              <w:t>. وعليه، قررت اللجنة في 18 شباط/</w:t>
            </w:r>
            <w:r w:rsidR="00D75706">
              <w:rPr>
                <w:rFonts w:cs="Traditional Arabic" w:hint="cs"/>
                <w:sz w:val="20"/>
                <w:szCs w:val="30"/>
                <w:rtl/>
                <w:lang w:val="fr-CH"/>
              </w:rPr>
              <w:t xml:space="preserve"> </w:t>
            </w:r>
            <w:r w:rsidRPr="00D75706">
              <w:rPr>
                <w:rFonts w:cs="Traditional Arabic" w:hint="cs"/>
                <w:sz w:val="20"/>
                <w:szCs w:val="30"/>
                <w:rtl/>
                <w:lang w:val="fr-CH"/>
              </w:rPr>
              <w:t xml:space="preserve">فبراير 2013 </w:t>
            </w:r>
            <w:r w:rsidRPr="00E658DF">
              <w:rPr>
                <w:rFonts w:cs="Traditional Arabic" w:hint="cs"/>
                <w:spacing w:val="-2"/>
                <w:sz w:val="20"/>
                <w:szCs w:val="30"/>
                <w:rtl/>
                <w:lang w:val="fr-CH"/>
              </w:rPr>
              <w:t>أن ترسل إلى الدولة الطرف طلبا</w:t>
            </w:r>
            <w:r w:rsidR="00D75706">
              <w:rPr>
                <w:rFonts w:cs="Traditional Arabic" w:hint="cs"/>
                <w:spacing w:val="-2"/>
                <w:sz w:val="20"/>
                <w:szCs w:val="30"/>
                <w:rtl/>
                <w:lang w:val="fr-CH"/>
              </w:rPr>
              <w:t>ً</w:t>
            </w:r>
            <w:r w:rsidRPr="00E658DF">
              <w:rPr>
                <w:rFonts w:cs="Traditional Arabic" w:hint="cs"/>
                <w:spacing w:val="-2"/>
                <w:sz w:val="20"/>
                <w:szCs w:val="30"/>
                <w:rtl/>
                <w:lang w:val="fr-CH"/>
              </w:rPr>
              <w:t xml:space="preserve"> للحصول على معلومات بشأن حالة صاحب الشكوى. وستنتظر اللجنة تلقي مزيد من المعلومات قبل البت في المسألة.</w:t>
            </w:r>
          </w:p>
        </w:tc>
      </w:tr>
      <w:tr w:rsidR="00F72BDC" w:rsidRPr="00E658DF" w:rsidTr="00E658DF">
        <w:tc>
          <w:tcPr>
            <w:tcW w:w="7030" w:type="dxa"/>
            <w:gridSpan w:val="2"/>
            <w:tcBorders>
              <w:top w:val="nil"/>
              <w:left w:val="nil"/>
              <w:bottom w:val="single" w:sz="12" w:space="0" w:color="auto"/>
              <w:right w:val="nil"/>
            </w:tcBorders>
            <w:shd w:val="clear" w:color="auto" w:fill="auto"/>
          </w:tcPr>
          <w:p w:rsidR="00F72BDC" w:rsidRPr="00E658DF" w:rsidRDefault="00E658DF" w:rsidP="00E658DF">
            <w:pPr>
              <w:keepNext/>
              <w:keepLines/>
              <w:spacing w:after="120" w:line="360" w:lineRule="exact"/>
              <w:rPr>
                <w:rFonts w:cs="Traditional Arabic" w:hint="cs"/>
                <w:sz w:val="20"/>
                <w:szCs w:val="30"/>
                <w:rtl/>
                <w:lang w:val="fr-CH"/>
              </w:rPr>
            </w:pPr>
            <w:r w:rsidRPr="00E658DF">
              <w:rPr>
                <w:rFonts w:cs="Traditional Arabic"/>
                <w:sz w:val="20"/>
                <w:szCs w:val="30"/>
                <w:rtl/>
                <w:lang w:val="fr-CH"/>
              </w:rPr>
              <w:tab/>
            </w:r>
            <w:r w:rsidR="00F72BDC" w:rsidRPr="00E658DF">
              <w:rPr>
                <w:rFonts w:cs="Traditional Arabic" w:hint="cs"/>
                <w:sz w:val="20"/>
                <w:szCs w:val="30"/>
                <w:rtl/>
                <w:lang w:val="fr-CH"/>
              </w:rPr>
              <w:t>قرار اللجنة: حوار المتابعة مستمر.</w:t>
            </w:r>
          </w:p>
        </w:tc>
      </w:tr>
    </w:tbl>
    <w:p w:rsidR="00F72BDC" w:rsidRDefault="00F72BDC" w:rsidP="00E658DF">
      <w:pPr>
        <w:pStyle w:val="SingleTxtGA"/>
        <w:spacing w:after="0"/>
        <w:rPr>
          <w:rFonts w:hint="cs"/>
          <w:kern w:val="16"/>
          <w:rtl/>
          <w:lang w:val="fr-CH"/>
        </w:rPr>
      </w:pPr>
    </w:p>
    <w:tbl>
      <w:tblPr>
        <w:tblStyle w:val="TableGrid"/>
        <w:bidiVisual/>
        <w:tblW w:w="7035" w:type="dxa"/>
        <w:tblInd w:w="1376" w:type="dxa"/>
        <w:tblBorders>
          <w:insideH w:val="none" w:sz="0" w:space="0" w:color="auto"/>
          <w:insideV w:val="none" w:sz="0" w:space="0" w:color="auto"/>
        </w:tblBorders>
        <w:tblLayout w:type="fixed"/>
        <w:tblLook w:val="01E0"/>
      </w:tblPr>
      <w:tblGrid>
        <w:gridCol w:w="2604"/>
        <w:gridCol w:w="4431"/>
      </w:tblGrid>
      <w:tr w:rsidR="00F72BDC" w:rsidRPr="00AA6123" w:rsidTr="00DF6FC8">
        <w:tc>
          <w:tcPr>
            <w:tcW w:w="2604" w:type="dxa"/>
            <w:tcBorders>
              <w:top w:val="single" w:sz="4" w:space="0" w:color="auto"/>
              <w:left w:val="nil"/>
              <w:bottom w:val="single" w:sz="12" w:space="0" w:color="auto"/>
            </w:tcBorders>
            <w:shd w:val="clear" w:color="auto" w:fill="auto"/>
          </w:tcPr>
          <w:p w:rsidR="00F72BDC" w:rsidRPr="00AA6123" w:rsidRDefault="00F72BDC" w:rsidP="00E658DF">
            <w:pPr>
              <w:spacing w:after="120" w:line="380" w:lineRule="exact"/>
              <w:rPr>
                <w:rFonts w:cs="Traditional Arabic" w:hint="cs"/>
                <w:b/>
                <w:bCs/>
                <w:i/>
                <w:sz w:val="20"/>
                <w:szCs w:val="30"/>
                <w:rtl/>
                <w:lang w:val="fr-CH"/>
              </w:rPr>
            </w:pPr>
            <w:r w:rsidRPr="00AA6123">
              <w:rPr>
                <w:rFonts w:cs="Traditional Arabic" w:hint="cs"/>
                <w:b/>
                <w:bCs/>
                <w:i/>
                <w:sz w:val="20"/>
                <w:szCs w:val="30"/>
                <w:rtl/>
                <w:lang w:val="fr-CH"/>
              </w:rPr>
              <w:t>الدولة الطرف</w:t>
            </w:r>
          </w:p>
        </w:tc>
        <w:tc>
          <w:tcPr>
            <w:tcW w:w="4431" w:type="dxa"/>
            <w:tcBorders>
              <w:top w:val="single" w:sz="4" w:space="0" w:color="auto"/>
              <w:bottom w:val="single" w:sz="12" w:space="0" w:color="auto"/>
              <w:right w:val="nil"/>
            </w:tcBorders>
            <w:shd w:val="clear" w:color="auto" w:fill="auto"/>
          </w:tcPr>
          <w:p w:rsidR="00F72BDC" w:rsidRPr="00AA6123" w:rsidRDefault="00F72BDC" w:rsidP="00E658DF">
            <w:pPr>
              <w:spacing w:after="120" w:line="380" w:lineRule="exact"/>
              <w:rPr>
                <w:rFonts w:cs="Traditional Arabic" w:hint="cs"/>
                <w:b/>
                <w:bCs/>
                <w:i/>
                <w:sz w:val="20"/>
                <w:szCs w:val="30"/>
                <w:rtl/>
                <w:lang w:val="fr-CH"/>
              </w:rPr>
            </w:pPr>
            <w:r w:rsidRPr="00AA6123">
              <w:rPr>
                <w:rFonts w:cs="Traditional Arabic" w:hint="cs"/>
                <w:b/>
                <w:bCs/>
                <w:i/>
                <w:sz w:val="20"/>
                <w:szCs w:val="30"/>
                <w:rtl/>
                <w:lang w:val="fr-CH"/>
              </w:rPr>
              <w:t>السنغال</w:t>
            </w:r>
          </w:p>
        </w:tc>
      </w:tr>
      <w:tr w:rsidR="00F72BDC" w:rsidRPr="00AA6123" w:rsidTr="00DF6FC8">
        <w:tc>
          <w:tcPr>
            <w:tcW w:w="2604" w:type="dxa"/>
            <w:tcBorders>
              <w:top w:val="single" w:sz="12" w:space="0" w:color="auto"/>
              <w:left w:val="nil"/>
              <w:bottom w:val="nil"/>
              <w:right w:val="nil"/>
            </w:tcBorders>
            <w:shd w:val="clear" w:color="auto" w:fill="auto"/>
          </w:tcPr>
          <w:p w:rsidR="00F72BDC" w:rsidRPr="00AA6123" w:rsidRDefault="00F72BDC" w:rsidP="00E658DF">
            <w:pPr>
              <w:spacing w:after="120" w:line="380" w:lineRule="exact"/>
              <w:rPr>
                <w:rFonts w:cs="Traditional Arabic" w:hint="cs"/>
                <w:b/>
                <w:bCs/>
                <w:sz w:val="20"/>
                <w:szCs w:val="30"/>
                <w:rtl/>
                <w:lang w:val="fr-CH"/>
              </w:rPr>
            </w:pPr>
            <w:r w:rsidRPr="00AA6123">
              <w:rPr>
                <w:rFonts w:cs="Traditional Arabic" w:hint="cs"/>
                <w:b/>
                <w:bCs/>
                <w:sz w:val="20"/>
                <w:szCs w:val="30"/>
                <w:rtl/>
                <w:lang w:val="fr-CH"/>
              </w:rPr>
              <w:t>القضية</w:t>
            </w:r>
          </w:p>
        </w:tc>
        <w:tc>
          <w:tcPr>
            <w:tcW w:w="4431" w:type="dxa"/>
            <w:tcBorders>
              <w:top w:val="single" w:sz="12" w:space="0" w:color="auto"/>
              <w:left w:val="nil"/>
              <w:bottom w:val="nil"/>
              <w:right w:val="nil"/>
            </w:tcBorders>
            <w:shd w:val="clear" w:color="auto" w:fill="auto"/>
          </w:tcPr>
          <w:p w:rsidR="00F72BDC" w:rsidRPr="00AA6123" w:rsidRDefault="00F72BDC" w:rsidP="00E658DF">
            <w:pPr>
              <w:spacing w:after="120" w:line="380" w:lineRule="exact"/>
              <w:rPr>
                <w:rFonts w:cs="Traditional Arabic" w:hint="cs"/>
                <w:b/>
                <w:bCs/>
                <w:sz w:val="20"/>
                <w:szCs w:val="30"/>
                <w:rtl/>
                <w:lang w:val="fr-CH"/>
              </w:rPr>
            </w:pPr>
            <w:r w:rsidRPr="00AA6123">
              <w:rPr>
                <w:rFonts w:cs="Traditional Arabic" w:hint="cs"/>
                <w:b/>
                <w:bCs/>
                <w:i/>
                <w:iCs/>
                <w:sz w:val="20"/>
                <w:szCs w:val="30"/>
                <w:rtl/>
                <w:lang w:val="fr-CH"/>
              </w:rPr>
              <w:t>غينغينغ وآخرون</w:t>
            </w:r>
            <w:r w:rsidRPr="00AA6123">
              <w:rPr>
                <w:rFonts w:cs="Traditional Arabic" w:hint="cs"/>
                <w:b/>
                <w:bCs/>
                <w:sz w:val="20"/>
                <w:szCs w:val="30"/>
                <w:rtl/>
                <w:lang w:val="fr-CH"/>
              </w:rPr>
              <w:t>، 181/2001</w:t>
            </w:r>
          </w:p>
        </w:tc>
      </w:tr>
      <w:tr w:rsidR="00F72BDC" w:rsidRPr="00AA6123" w:rsidTr="00DF6FC8">
        <w:tc>
          <w:tcPr>
            <w:tcW w:w="2604" w:type="dxa"/>
            <w:tcBorders>
              <w:top w:val="nil"/>
              <w:left w:val="nil"/>
              <w:bottom w:val="nil"/>
              <w:right w:val="nil"/>
            </w:tcBorders>
            <w:shd w:val="clear" w:color="auto" w:fill="auto"/>
          </w:tcPr>
          <w:p w:rsidR="00F72BDC" w:rsidRPr="00AA6123" w:rsidRDefault="00F72BDC" w:rsidP="00E658DF">
            <w:pPr>
              <w:spacing w:after="120" w:line="380" w:lineRule="exact"/>
              <w:rPr>
                <w:rFonts w:cs="Traditional Arabic" w:hint="cs"/>
                <w:b/>
                <w:bCs/>
                <w:sz w:val="20"/>
                <w:szCs w:val="30"/>
                <w:rtl/>
                <w:lang w:val="fr-CH"/>
              </w:rPr>
            </w:pPr>
            <w:r w:rsidRPr="00AA6123">
              <w:rPr>
                <w:rFonts w:cs="Traditional Arabic" w:hint="cs"/>
                <w:b/>
                <w:bCs/>
                <w:sz w:val="20"/>
                <w:szCs w:val="30"/>
                <w:rtl/>
                <w:lang w:val="fr-CH"/>
              </w:rPr>
              <w:t xml:space="preserve">قرار معتمد في </w:t>
            </w:r>
          </w:p>
        </w:tc>
        <w:tc>
          <w:tcPr>
            <w:tcW w:w="4431" w:type="dxa"/>
            <w:tcBorders>
              <w:top w:val="nil"/>
              <w:left w:val="nil"/>
              <w:bottom w:val="nil"/>
              <w:right w:val="nil"/>
            </w:tcBorders>
            <w:shd w:val="clear" w:color="auto" w:fill="auto"/>
          </w:tcPr>
          <w:p w:rsidR="00F72BDC" w:rsidRPr="00AA6123" w:rsidRDefault="00F72BDC" w:rsidP="00E658DF">
            <w:pPr>
              <w:spacing w:after="120" w:line="380" w:lineRule="exact"/>
              <w:rPr>
                <w:rFonts w:cs="Traditional Arabic" w:hint="cs"/>
                <w:sz w:val="20"/>
                <w:szCs w:val="30"/>
                <w:rtl/>
                <w:lang w:val="fr-CH"/>
              </w:rPr>
            </w:pPr>
            <w:r w:rsidRPr="00AA6123">
              <w:rPr>
                <w:rFonts w:cs="Traditional Arabic" w:hint="cs"/>
                <w:sz w:val="20"/>
                <w:szCs w:val="30"/>
                <w:rtl/>
                <w:lang w:val="fr-CH"/>
              </w:rPr>
              <w:t>17 أيار/مايو 2006</w:t>
            </w:r>
          </w:p>
        </w:tc>
      </w:tr>
      <w:tr w:rsidR="00F72BDC" w:rsidRPr="00AA6123" w:rsidTr="00DF6FC8">
        <w:tc>
          <w:tcPr>
            <w:tcW w:w="2604" w:type="dxa"/>
            <w:tcBorders>
              <w:top w:val="nil"/>
              <w:left w:val="nil"/>
              <w:bottom w:val="nil"/>
            </w:tcBorders>
            <w:shd w:val="clear" w:color="auto" w:fill="auto"/>
          </w:tcPr>
          <w:p w:rsidR="00F72BDC" w:rsidRPr="00AA6123" w:rsidRDefault="00F72BDC" w:rsidP="00E658DF">
            <w:pPr>
              <w:spacing w:after="120" w:line="380" w:lineRule="exact"/>
              <w:rPr>
                <w:rFonts w:cs="Traditional Arabic" w:hint="cs"/>
                <w:b/>
                <w:bCs/>
                <w:sz w:val="20"/>
                <w:szCs w:val="30"/>
                <w:rtl/>
                <w:lang w:val="fr-CH"/>
              </w:rPr>
            </w:pPr>
            <w:r w:rsidRPr="00AA6123">
              <w:rPr>
                <w:rFonts w:cs="Traditional Arabic" w:hint="cs"/>
                <w:b/>
                <w:bCs/>
                <w:sz w:val="20"/>
                <w:szCs w:val="30"/>
                <w:rtl/>
                <w:lang w:val="fr-CH"/>
              </w:rPr>
              <w:t>الانتهاك</w:t>
            </w:r>
          </w:p>
        </w:tc>
        <w:tc>
          <w:tcPr>
            <w:tcW w:w="4431" w:type="dxa"/>
            <w:tcBorders>
              <w:top w:val="nil"/>
              <w:bottom w:val="nil"/>
              <w:right w:val="nil"/>
            </w:tcBorders>
            <w:shd w:val="clear" w:color="auto" w:fill="auto"/>
          </w:tcPr>
          <w:p w:rsidR="00F72BDC" w:rsidRPr="00AA6123" w:rsidRDefault="00F72BDC" w:rsidP="00E658DF">
            <w:pPr>
              <w:spacing w:after="120" w:line="380" w:lineRule="exact"/>
              <w:rPr>
                <w:rFonts w:cs="Traditional Arabic" w:hint="cs"/>
                <w:sz w:val="20"/>
                <w:szCs w:val="30"/>
                <w:rtl/>
                <w:lang w:val="fr-CH"/>
              </w:rPr>
            </w:pPr>
            <w:r w:rsidRPr="00AA6123">
              <w:rPr>
                <w:rFonts w:cs="Traditional Arabic" w:hint="cs"/>
                <w:sz w:val="20"/>
                <w:szCs w:val="30"/>
                <w:rtl/>
                <w:lang w:val="fr-CH"/>
              </w:rPr>
              <w:t>الفقرة 2 من المادة 5، والمادة 7</w:t>
            </w:r>
          </w:p>
        </w:tc>
      </w:tr>
      <w:tr w:rsidR="00F72BDC" w:rsidRPr="00AA6123" w:rsidTr="00DF6FC8">
        <w:tc>
          <w:tcPr>
            <w:tcW w:w="2604" w:type="dxa"/>
            <w:tcBorders>
              <w:top w:val="nil"/>
              <w:left w:val="nil"/>
              <w:bottom w:val="nil"/>
              <w:right w:val="nil"/>
            </w:tcBorders>
            <w:shd w:val="clear" w:color="auto" w:fill="auto"/>
          </w:tcPr>
          <w:p w:rsidR="00F72BDC" w:rsidRPr="00AA6123" w:rsidRDefault="00F72BDC" w:rsidP="00E658DF">
            <w:pPr>
              <w:spacing w:after="120" w:line="380" w:lineRule="exact"/>
              <w:rPr>
                <w:rFonts w:cs="Traditional Arabic" w:hint="cs"/>
                <w:b/>
                <w:bCs/>
                <w:sz w:val="20"/>
                <w:szCs w:val="30"/>
                <w:rtl/>
                <w:lang w:val="fr-CH"/>
              </w:rPr>
            </w:pPr>
            <w:r w:rsidRPr="00AA6123">
              <w:rPr>
                <w:rFonts w:cs="Traditional Arabic" w:hint="cs"/>
                <w:b/>
                <w:bCs/>
                <w:sz w:val="20"/>
                <w:szCs w:val="30"/>
                <w:rtl/>
                <w:lang w:val="fr-CH"/>
              </w:rPr>
              <w:t>الانتصاف الموصى به</w:t>
            </w:r>
          </w:p>
        </w:tc>
        <w:tc>
          <w:tcPr>
            <w:tcW w:w="4431" w:type="dxa"/>
            <w:tcBorders>
              <w:top w:val="nil"/>
              <w:left w:val="nil"/>
              <w:bottom w:val="nil"/>
              <w:right w:val="nil"/>
            </w:tcBorders>
            <w:shd w:val="clear" w:color="auto" w:fill="auto"/>
          </w:tcPr>
          <w:p w:rsidR="00F72BDC" w:rsidRPr="00AA6123" w:rsidRDefault="00F72BDC" w:rsidP="00E658DF">
            <w:pPr>
              <w:spacing w:after="120" w:line="380" w:lineRule="exact"/>
              <w:rPr>
                <w:rFonts w:cs="Traditional Arabic" w:hint="cs"/>
                <w:sz w:val="20"/>
                <w:szCs w:val="30"/>
                <w:rtl/>
                <w:lang w:val="fr-CH"/>
              </w:rPr>
            </w:pPr>
            <w:r w:rsidRPr="00AA6123">
              <w:rPr>
                <w:rFonts w:cs="Traditional Arabic" w:hint="cs"/>
                <w:sz w:val="20"/>
                <w:szCs w:val="30"/>
                <w:rtl/>
                <w:lang w:val="fr-CH"/>
              </w:rPr>
              <w:t xml:space="preserve">يجب على الدولة الطرف أن تعتمد التدابير الضرورية، بما في ذلك التدابير التشريعية، لإقامة ولايتها القضائية على الأفعال التي ارتكبها نظام حسان حبري والمشار إليها في هذا البلاغ. وعلاوة على ذلك، يتعين على الدولة الطرف، بموجب المادة 7 من الاتفاقية، أن تحيل هذه القضية إلى سلطاتها المختصة لإجراء المحاكمة </w:t>
            </w:r>
            <w:r w:rsidRPr="00FE65C0">
              <w:rPr>
                <w:rFonts w:cs="Traditional Arabic" w:hint="cs"/>
                <w:spacing w:val="-2"/>
                <w:sz w:val="20"/>
                <w:szCs w:val="30"/>
                <w:rtl/>
                <w:lang w:val="fr-CH"/>
              </w:rPr>
              <w:t>أو،</w:t>
            </w:r>
            <w:r w:rsidR="00AA6123" w:rsidRPr="00FE65C0">
              <w:rPr>
                <w:rFonts w:cs="Traditional Arabic" w:hint="eastAsia"/>
                <w:spacing w:val="-2"/>
                <w:sz w:val="20"/>
                <w:szCs w:val="30"/>
                <w:rtl/>
                <w:lang w:val="fr-CH"/>
              </w:rPr>
              <w:t> </w:t>
            </w:r>
            <w:r w:rsidRPr="00FE65C0">
              <w:rPr>
                <w:rFonts w:cs="Traditional Arabic" w:hint="cs"/>
                <w:spacing w:val="-2"/>
                <w:sz w:val="20"/>
                <w:szCs w:val="30"/>
                <w:rtl/>
                <w:lang w:val="fr-CH"/>
              </w:rPr>
              <w:t>إذا تعذر ذلك، وبما أن بلجيكا قدمت طلب تسليم، أن تمتثل لذلك الطلب، أو لأي طلب آخر تقدمه دولة أخرى، عند الاقتضاء، وذلك وفقاً لأحكام الاتفاقية.</w:t>
            </w:r>
            <w:r w:rsidRPr="00AA6123">
              <w:rPr>
                <w:rFonts w:cs="Traditional Arabic" w:hint="cs"/>
                <w:sz w:val="20"/>
                <w:szCs w:val="30"/>
                <w:rtl/>
                <w:lang w:val="fr-CH"/>
              </w:rPr>
              <w:t xml:space="preserve"> </w:t>
            </w:r>
          </w:p>
        </w:tc>
      </w:tr>
      <w:tr w:rsidR="00F72BDC" w:rsidRPr="00AA6123" w:rsidTr="00DF6FC8">
        <w:trPr>
          <w:trHeight w:val="1304"/>
        </w:trPr>
        <w:tc>
          <w:tcPr>
            <w:tcW w:w="7035" w:type="dxa"/>
            <w:gridSpan w:val="2"/>
            <w:tcBorders>
              <w:top w:val="nil"/>
              <w:left w:val="nil"/>
              <w:bottom w:val="nil"/>
              <w:right w:val="nil"/>
            </w:tcBorders>
            <w:shd w:val="clear" w:color="auto" w:fill="auto"/>
          </w:tcPr>
          <w:p w:rsidR="00F72BDC" w:rsidRPr="00AA6123" w:rsidRDefault="00F72BDC" w:rsidP="00E658DF">
            <w:pPr>
              <w:spacing w:after="120" w:line="380" w:lineRule="exact"/>
              <w:rPr>
                <w:rFonts w:cs="Traditional Arabic" w:hint="cs"/>
                <w:b/>
                <w:bCs/>
                <w:spacing w:val="-4"/>
                <w:sz w:val="20"/>
                <w:szCs w:val="30"/>
                <w:rtl/>
              </w:rPr>
            </w:pPr>
            <w:r w:rsidRPr="00AA6123">
              <w:rPr>
                <w:rFonts w:cs="Traditional Arabic" w:hint="cs"/>
                <w:b/>
                <w:bCs/>
                <w:spacing w:val="-4"/>
                <w:sz w:val="20"/>
                <w:szCs w:val="30"/>
                <w:rtl/>
                <w:lang w:val="fr-CH"/>
              </w:rPr>
              <w:t xml:space="preserve">معلومات المتابعة المُقدَّمة سابقاً: </w:t>
            </w:r>
            <w:r w:rsidRPr="00AA6123">
              <w:rPr>
                <w:rFonts w:cs="Traditional Arabic"/>
                <w:b/>
                <w:bCs/>
                <w:spacing w:val="-4"/>
                <w:sz w:val="20"/>
                <w:szCs w:val="30"/>
              </w:rPr>
              <w:t>A/66/44</w:t>
            </w:r>
            <w:r w:rsidRPr="00AA6123">
              <w:rPr>
                <w:rFonts w:cs="Traditional Arabic" w:hint="cs"/>
                <w:b/>
                <w:bCs/>
                <w:spacing w:val="-4"/>
                <w:sz w:val="20"/>
                <w:szCs w:val="30"/>
                <w:rtl/>
              </w:rPr>
              <w:t>، الفصل السادس، و</w:t>
            </w:r>
            <w:r w:rsidRPr="00AA6123">
              <w:rPr>
                <w:rFonts w:cs="Traditional Arabic"/>
                <w:b/>
                <w:bCs/>
                <w:spacing w:val="-4"/>
                <w:sz w:val="20"/>
                <w:szCs w:val="30"/>
              </w:rPr>
              <w:t>A/67/44</w:t>
            </w:r>
            <w:r w:rsidRPr="00AA6123">
              <w:rPr>
                <w:rFonts w:cs="Traditional Arabic" w:hint="cs"/>
                <w:b/>
                <w:bCs/>
                <w:spacing w:val="-4"/>
                <w:sz w:val="20"/>
                <w:szCs w:val="30"/>
                <w:rtl/>
              </w:rPr>
              <w:t>، الفصل السادس.</w:t>
            </w:r>
          </w:p>
          <w:p w:rsidR="00F72BDC" w:rsidRPr="00AA6123" w:rsidRDefault="00F72BDC" w:rsidP="00E658DF">
            <w:pPr>
              <w:spacing w:after="120" w:line="380" w:lineRule="exact"/>
              <w:rPr>
                <w:rFonts w:cs="Traditional Arabic" w:hint="cs"/>
                <w:b/>
                <w:bCs/>
                <w:sz w:val="20"/>
                <w:szCs w:val="30"/>
                <w:rtl/>
              </w:rPr>
            </w:pPr>
            <w:r w:rsidRPr="00AA6123">
              <w:rPr>
                <w:rFonts w:cs="Traditional Arabic"/>
                <w:sz w:val="20"/>
                <w:szCs w:val="30"/>
                <w:rtl/>
                <w:lang w:val="fr-CH"/>
              </w:rPr>
              <w:tab/>
            </w:r>
            <w:r w:rsidRPr="00AA6123">
              <w:rPr>
                <w:rFonts w:cs="Traditional Arabic" w:hint="cs"/>
                <w:sz w:val="20"/>
                <w:szCs w:val="30"/>
                <w:rtl/>
                <w:lang w:val="fr-CH"/>
              </w:rPr>
              <w:t>حتى كتابة هذا التقرير، لم تقدم الدولة الطرف ردا</w:t>
            </w:r>
            <w:r w:rsidR="00D75706">
              <w:rPr>
                <w:rFonts w:cs="Traditional Arabic" w:hint="cs"/>
                <w:sz w:val="20"/>
                <w:szCs w:val="30"/>
                <w:rtl/>
                <w:lang w:val="fr-CH"/>
              </w:rPr>
              <w:t>ً</w:t>
            </w:r>
            <w:r w:rsidRPr="00AA6123">
              <w:rPr>
                <w:rFonts w:cs="Traditional Arabic" w:hint="cs"/>
                <w:sz w:val="20"/>
                <w:szCs w:val="30"/>
                <w:rtl/>
                <w:lang w:val="fr-CH"/>
              </w:rPr>
              <w:t xml:space="preserve"> على المذكرة الشفوية التي وجهتها اللجنة بتاريخ 18 شباط/فبراير 2013 وتحدد فيها 8 نيسان/أبريل 2013 كآخر أجل للرد. وبالإضافة إلى تذكير سيرسل إلى الدولة الطرف، قررت اللجنة أن تطلب لقاء بين المقرر المعني بمتابعة القرارات المتعلقة بالشكاوى والممثل الدائم للسنغال لدى الأمم المتحدة في جنيف.</w:t>
            </w:r>
          </w:p>
        </w:tc>
      </w:tr>
      <w:tr w:rsidR="00F72BDC" w:rsidRPr="00AA6123" w:rsidTr="00DF6FC8">
        <w:tc>
          <w:tcPr>
            <w:tcW w:w="7035" w:type="dxa"/>
            <w:gridSpan w:val="2"/>
            <w:tcBorders>
              <w:top w:val="nil"/>
              <w:left w:val="nil"/>
              <w:bottom w:val="single" w:sz="12" w:space="0" w:color="auto"/>
              <w:right w:val="nil"/>
            </w:tcBorders>
            <w:shd w:val="clear" w:color="auto" w:fill="auto"/>
          </w:tcPr>
          <w:p w:rsidR="00F72BDC" w:rsidRPr="00AA6123" w:rsidRDefault="00AA6123" w:rsidP="00E658DF">
            <w:pPr>
              <w:spacing w:after="120" w:line="380" w:lineRule="exact"/>
              <w:rPr>
                <w:rFonts w:cs="Traditional Arabic" w:hint="cs"/>
                <w:sz w:val="20"/>
                <w:szCs w:val="30"/>
                <w:rtl/>
                <w:lang w:val="fr-CH"/>
              </w:rPr>
            </w:pPr>
            <w:r w:rsidRPr="00AA6123">
              <w:rPr>
                <w:rFonts w:cs="Traditional Arabic"/>
                <w:sz w:val="20"/>
                <w:szCs w:val="30"/>
                <w:rtl/>
                <w:lang w:val="fr-CH"/>
              </w:rPr>
              <w:tab/>
            </w:r>
            <w:r w:rsidR="00F72BDC" w:rsidRPr="00AA6123">
              <w:rPr>
                <w:rFonts w:cs="Traditional Arabic" w:hint="cs"/>
                <w:sz w:val="20"/>
                <w:szCs w:val="30"/>
                <w:rtl/>
                <w:lang w:val="fr-CH"/>
              </w:rPr>
              <w:t>قرار اللجنة: حوار المتابعة مستمر.</w:t>
            </w:r>
          </w:p>
        </w:tc>
      </w:tr>
    </w:tbl>
    <w:p w:rsidR="00F72BDC" w:rsidRPr="00F41C55" w:rsidRDefault="00F72BDC" w:rsidP="00FE65C0">
      <w:pPr>
        <w:pStyle w:val="SingleTxtGA"/>
        <w:spacing w:after="0"/>
        <w:rPr>
          <w:rFonts w:hint="cs"/>
          <w:rtl/>
        </w:rPr>
      </w:pPr>
    </w:p>
    <w:tbl>
      <w:tblPr>
        <w:tblStyle w:val="TableGrid"/>
        <w:bidiVisual/>
        <w:tblW w:w="7037" w:type="dxa"/>
        <w:tblInd w:w="13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698"/>
        <w:gridCol w:w="4339"/>
      </w:tblGrid>
      <w:tr w:rsidR="00F72BDC" w:rsidRPr="00AA6123" w:rsidTr="00AA6123">
        <w:tc>
          <w:tcPr>
            <w:tcW w:w="2698" w:type="dxa"/>
            <w:tcBorders>
              <w:top w:val="single" w:sz="4" w:space="0" w:color="auto"/>
              <w:bottom w:val="single" w:sz="12" w:space="0" w:color="auto"/>
            </w:tcBorders>
            <w:shd w:val="clear" w:color="auto" w:fill="auto"/>
          </w:tcPr>
          <w:p w:rsidR="00F72BDC" w:rsidRPr="00AA6123" w:rsidRDefault="00F72BDC" w:rsidP="00AA6123">
            <w:pPr>
              <w:keepNext/>
              <w:keepLines/>
              <w:spacing w:after="120" w:line="380" w:lineRule="exact"/>
              <w:rPr>
                <w:rFonts w:cs="Traditional Arabic" w:hint="cs"/>
                <w:b/>
                <w:bCs/>
                <w:i/>
                <w:sz w:val="20"/>
                <w:szCs w:val="30"/>
                <w:rtl/>
                <w:lang w:val="fr-CH"/>
              </w:rPr>
            </w:pPr>
            <w:r w:rsidRPr="00AA6123">
              <w:rPr>
                <w:rFonts w:cs="Traditional Arabic" w:hint="cs"/>
                <w:b/>
                <w:bCs/>
                <w:i/>
                <w:sz w:val="20"/>
                <w:szCs w:val="30"/>
                <w:rtl/>
                <w:lang w:val="fr-CH"/>
              </w:rPr>
              <w:t>الدولة الطرف</w:t>
            </w:r>
          </w:p>
        </w:tc>
        <w:tc>
          <w:tcPr>
            <w:tcW w:w="4339" w:type="dxa"/>
            <w:tcBorders>
              <w:top w:val="single" w:sz="4" w:space="0" w:color="auto"/>
              <w:bottom w:val="single" w:sz="12" w:space="0" w:color="auto"/>
            </w:tcBorders>
            <w:shd w:val="clear" w:color="auto" w:fill="auto"/>
          </w:tcPr>
          <w:p w:rsidR="00F72BDC" w:rsidRPr="00AA6123" w:rsidRDefault="00F72BDC" w:rsidP="00AA6123">
            <w:pPr>
              <w:keepNext/>
              <w:keepLines/>
              <w:spacing w:after="120" w:line="380" w:lineRule="exact"/>
              <w:rPr>
                <w:rFonts w:cs="Traditional Arabic" w:hint="cs"/>
                <w:b/>
                <w:bCs/>
                <w:i/>
                <w:sz w:val="20"/>
                <w:szCs w:val="30"/>
                <w:rtl/>
                <w:lang w:val="fr-CH"/>
              </w:rPr>
            </w:pPr>
            <w:r w:rsidRPr="00AA6123">
              <w:rPr>
                <w:rFonts w:cs="Traditional Arabic" w:hint="cs"/>
                <w:b/>
                <w:bCs/>
                <w:i/>
                <w:sz w:val="20"/>
                <w:szCs w:val="30"/>
                <w:rtl/>
                <w:lang w:val="fr-CH"/>
              </w:rPr>
              <w:t>صربيا</w:t>
            </w:r>
          </w:p>
        </w:tc>
      </w:tr>
      <w:tr w:rsidR="00F72BDC" w:rsidRPr="00AA6123" w:rsidTr="00AA6123">
        <w:tc>
          <w:tcPr>
            <w:tcW w:w="2698" w:type="dxa"/>
            <w:tcBorders>
              <w:top w:val="single" w:sz="12" w:space="0" w:color="auto"/>
            </w:tcBorders>
            <w:shd w:val="clear" w:color="auto" w:fill="auto"/>
          </w:tcPr>
          <w:p w:rsidR="00F72BDC" w:rsidRPr="00AA6123" w:rsidRDefault="00F72BDC" w:rsidP="00AA6123">
            <w:pPr>
              <w:spacing w:after="120" w:line="380" w:lineRule="exact"/>
              <w:rPr>
                <w:rFonts w:cs="Traditional Arabic" w:hint="cs"/>
                <w:b/>
                <w:bCs/>
                <w:sz w:val="20"/>
                <w:szCs w:val="30"/>
                <w:rtl/>
                <w:lang w:val="fr-CH"/>
              </w:rPr>
            </w:pPr>
            <w:r w:rsidRPr="00AA6123">
              <w:rPr>
                <w:rFonts w:cs="Traditional Arabic" w:hint="cs"/>
                <w:b/>
                <w:bCs/>
                <w:sz w:val="20"/>
                <w:szCs w:val="30"/>
                <w:rtl/>
                <w:lang w:val="fr-CH"/>
              </w:rPr>
              <w:t>القضية</w:t>
            </w:r>
          </w:p>
        </w:tc>
        <w:tc>
          <w:tcPr>
            <w:tcW w:w="4339" w:type="dxa"/>
            <w:tcBorders>
              <w:top w:val="single" w:sz="12" w:space="0" w:color="auto"/>
            </w:tcBorders>
            <w:shd w:val="clear" w:color="auto" w:fill="auto"/>
          </w:tcPr>
          <w:p w:rsidR="00F72BDC" w:rsidRPr="00AA6123" w:rsidRDefault="00F72BDC" w:rsidP="00AA6123">
            <w:pPr>
              <w:spacing w:after="120" w:line="380" w:lineRule="exact"/>
              <w:rPr>
                <w:rFonts w:cs="Traditional Arabic" w:hint="cs"/>
                <w:b/>
                <w:bCs/>
                <w:sz w:val="20"/>
                <w:szCs w:val="30"/>
                <w:rtl/>
                <w:lang w:val="fr-CH"/>
              </w:rPr>
            </w:pPr>
            <w:r w:rsidRPr="00AA6123">
              <w:rPr>
                <w:rFonts w:cs="Traditional Arabic" w:hint="cs"/>
                <w:b/>
                <w:bCs/>
                <w:i/>
                <w:iCs/>
                <w:sz w:val="20"/>
                <w:szCs w:val="30"/>
                <w:rtl/>
                <w:lang w:val="fr-CH"/>
              </w:rPr>
              <w:t>ريستيتش</w:t>
            </w:r>
            <w:r w:rsidRPr="00AA6123">
              <w:rPr>
                <w:rFonts w:cs="Traditional Arabic" w:hint="cs"/>
                <w:b/>
                <w:bCs/>
                <w:sz w:val="20"/>
                <w:szCs w:val="30"/>
                <w:rtl/>
                <w:lang w:val="fr-CH"/>
              </w:rPr>
              <w:t>، 113/1998</w:t>
            </w:r>
          </w:p>
        </w:tc>
      </w:tr>
      <w:tr w:rsidR="00F72BDC" w:rsidRPr="00AA6123" w:rsidTr="00AA6123">
        <w:tc>
          <w:tcPr>
            <w:tcW w:w="2698" w:type="dxa"/>
            <w:shd w:val="clear" w:color="auto" w:fill="auto"/>
          </w:tcPr>
          <w:p w:rsidR="00F72BDC" w:rsidRPr="00AA6123" w:rsidRDefault="00F72BDC" w:rsidP="00AA6123">
            <w:pPr>
              <w:spacing w:after="120" w:line="380" w:lineRule="exact"/>
              <w:rPr>
                <w:rFonts w:cs="Traditional Arabic" w:hint="cs"/>
                <w:b/>
                <w:bCs/>
                <w:sz w:val="20"/>
                <w:szCs w:val="30"/>
                <w:rtl/>
                <w:lang w:val="fr-CH"/>
              </w:rPr>
            </w:pPr>
            <w:r w:rsidRPr="00AA6123">
              <w:rPr>
                <w:rFonts w:cs="Traditional Arabic" w:hint="cs"/>
                <w:b/>
                <w:bCs/>
                <w:sz w:val="20"/>
                <w:szCs w:val="30"/>
                <w:rtl/>
                <w:lang w:val="fr-CH"/>
              </w:rPr>
              <w:t xml:space="preserve">قرار معتمد في </w:t>
            </w:r>
          </w:p>
        </w:tc>
        <w:tc>
          <w:tcPr>
            <w:tcW w:w="4339" w:type="dxa"/>
            <w:shd w:val="clear" w:color="auto" w:fill="auto"/>
          </w:tcPr>
          <w:p w:rsidR="00F72BDC" w:rsidRPr="00AA6123" w:rsidRDefault="00F72BDC" w:rsidP="00AA6123">
            <w:pPr>
              <w:spacing w:after="120" w:line="380" w:lineRule="exact"/>
              <w:rPr>
                <w:rFonts w:cs="Traditional Arabic" w:hint="cs"/>
                <w:sz w:val="20"/>
                <w:szCs w:val="30"/>
                <w:rtl/>
                <w:lang w:val="fr-CH"/>
              </w:rPr>
            </w:pPr>
            <w:r w:rsidRPr="00AA6123">
              <w:rPr>
                <w:rFonts w:cs="Traditional Arabic" w:hint="cs"/>
                <w:sz w:val="20"/>
                <w:szCs w:val="30"/>
                <w:rtl/>
                <w:lang w:val="fr-CH"/>
              </w:rPr>
              <w:t>11 أيار/مايو 2001</w:t>
            </w:r>
          </w:p>
        </w:tc>
      </w:tr>
      <w:tr w:rsidR="00F72BDC" w:rsidRPr="00AA6123" w:rsidTr="00AA6123">
        <w:tc>
          <w:tcPr>
            <w:tcW w:w="2698" w:type="dxa"/>
            <w:shd w:val="clear" w:color="auto" w:fill="auto"/>
          </w:tcPr>
          <w:p w:rsidR="00F72BDC" w:rsidRPr="00AA6123" w:rsidRDefault="00F72BDC" w:rsidP="00AA6123">
            <w:pPr>
              <w:spacing w:after="120" w:line="380" w:lineRule="exact"/>
              <w:rPr>
                <w:rFonts w:cs="Traditional Arabic" w:hint="cs"/>
                <w:b/>
                <w:bCs/>
                <w:sz w:val="20"/>
                <w:szCs w:val="30"/>
                <w:rtl/>
                <w:lang w:val="fr-CH"/>
              </w:rPr>
            </w:pPr>
            <w:r w:rsidRPr="00AA6123">
              <w:rPr>
                <w:rFonts w:cs="Traditional Arabic" w:hint="cs"/>
                <w:b/>
                <w:bCs/>
                <w:sz w:val="20"/>
                <w:szCs w:val="30"/>
                <w:rtl/>
                <w:lang w:val="fr-CH"/>
              </w:rPr>
              <w:t>الانتهاك</w:t>
            </w:r>
          </w:p>
        </w:tc>
        <w:tc>
          <w:tcPr>
            <w:tcW w:w="4339" w:type="dxa"/>
            <w:shd w:val="clear" w:color="auto" w:fill="auto"/>
          </w:tcPr>
          <w:p w:rsidR="00F72BDC" w:rsidRPr="00AA6123" w:rsidRDefault="00F72BDC" w:rsidP="00AA6123">
            <w:pPr>
              <w:spacing w:after="120" w:line="380" w:lineRule="exact"/>
              <w:rPr>
                <w:rFonts w:cs="Traditional Arabic" w:hint="cs"/>
                <w:sz w:val="20"/>
                <w:szCs w:val="30"/>
                <w:rtl/>
                <w:lang w:val="fr-CH"/>
              </w:rPr>
            </w:pPr>
            <w:r w:rsidRPr="00AA6123">
              <w:rPr>
                <w:rFonts w:cs="Traditional Arabic" w:hint="cs"/>
                <w:sz w:val="20"/>
                <w:szCs w:val="30"/>
                <w:rtl/>
                <w:lang w:val="fr-CH"/>
              </w:rPr>
              <w:t>المادتان 12 و13</w:t>
            </w:r>
          </w:p>
        </w:tc>
      </w:tr>
      <w:tr w:rsidR="00F72BDC" w:rsidRPr="00AA6123" w:rsidTr="00AA6123">
        <w:tc>
          <w:tcPr>
            <w:tcW w:w="2698" w:type="dxa"/>
            <w:shd w:val="clear" w:color="auto" w:fill="auto"/>
          </w:tcPr>
          <w:p w:rsidR="00F72BDC" w:rsidRPr="00AA6123" w:rsidRDefault="00F72BDC" w:rsidP="00AA6123">
            <w:pPr>
              <w:spacing w:after="120" w:line="380" w:lineRule="exact"/>
              <w:rPr>
                <w:rFonts w:cs="Traditional Arabic" w:hint="cs"/>
                <w:b/>
                <w:bCs/>
                <w:sz w:val="20"/>
                <w:szCs w:val="30"/>
                <w:rtl/>
                <w:lang w:val="fr-CH"/>
              </w:rPr>
            </w:pPr>
            <w:r w:rsidRPr="00AA6123">
              <w:rPr>
                <w:rFonts w:cs="Traditional Arabic" w:hint="cs"/>
                <w:b/>
                <w:bCs/>
                <w:sz w:val="20"/>
                <w:szCs w:val="30"/>
                <w:rtl/>
                <w:lang w:val="fr-CH"/>
              </w:rPr>
              <w:t>الانتصاف الموصى به</w:t>
            </w:r>
          </w:p>
        </w:tc>
        <w:tc>
          <w:tcPr>
            <w:tcW w:w="4339" w:type="dxa"/>
            <w:shd w:val="clear" w:color="auto" w:fill="auto"/>
          </w:tcPr>
          <w:p w:rsidR="00F72BDC" w:rsidRPr="00AA6123" w:rsidRDefault="00F72BDC" w:rsidP="00AA6123">
            <w:pPr>
              <w:spacing w:after="120" w:line="380" w:lineRule="exact"/>
              <w:rPr>
                <w:rFonts w:cs="Traditional Arabic" w:hint="cs"/>
                <w:sz w:val="20"/>
                <w:szCs w:val="30"/>
                <w:rtl/>
                <w:lang w:val="fr-CH"/>
              </w:rPr>
            </w:pPr>
            <w:r w:rsidRPr="00AA6123">
              <w:rPr>
                <w:rFonts w:cs="Traditional Arabic" w:hint="cs"/>
                <w:sz w:val="20"/>
                <w:szCs w:val="30"/>
                <w:rtl/>
                <w:lang w:val="fr-CH"/>
              </w:rPr>
              <w:t>حثت اللجنة الدولة الطرف على التحقيق في</w:t>
            </w:r>
            <w:r w:rsidRPr="00AA6123">
              <w:rPr>
                <w:rFonts w:cs="Traditional Arabic" w:hint="eastAsia"/>
                <w:sz w:val="20"/>
                <w:szCs w:val="30"/>
                <w:rtl/>
                <w:lang w:val="fr-CH"/>
              </w:rPr>
              <w:t> </w:t>
            </w:r>
            <w:r w:rsidRPr="00AA6123">
              <w:rPr>
                <w:rFonts w:cs="Traditional Arabic" w:hint="cs"/>
                <w:sz w:val="20"/>
                <w:szCs w:val="30"/>
                <w:rtl/>
                <w:lang w:val="fr-CH"/>
              </w:rPr>
              <w:t>ادعاءات ممارسة التعذيب من جانب أفراد</w:t>
            </w:r>
            <w:r w:rsidRPr="00AA6123">
              <w:rPr>
                <w:rFonts w:cs="Traditional Arabic" w:hint="eastAsia"/>
                <w:sz w:val="20"/>
                <w:szCs w:val="30"/>
                <w:rtl/>
                <w:lang w:val="fr-CH"/>
              </w:rPr>
              <w:t> </w:t>
            </w:r>
            <w:r w:rsidRPr="00AA6123">
              <w:rPr>
                <w:rFonts w:cs="Traditional Arabic" w:hint="cs"/>
                <w:sz w:val="20"/>
                <w:szCs w:val="30"/>
                <w:rtl/>
                <w:lang w:val="fr-CH"/>
              </w:rPr>
              <w:t>الشرطة.</w:t>
            </w:r>
          </w:p>
        </w:tc>
      </w:tr>
      <w:tr w:rsidR="00F72BDC" w:rsidRPr="00AA6123" w:rsidTr="00AA6123">
        <w:tc>
          <w:tcPr>
            <w:tcW w:w="7037" w:type="dxa"/>
            <w:gridSpan w:val="2"/>
            <w:shd w:val="clear" w:color="auto" w:fill="auto"/>
          </w:tcPr>
          <w:p w:rsidR="00F72BDC" w:rsidRPr="00AA6123" w:rsidRDefault="00F72BDC" w:rsidP="00FE65C0">
            <w:pPr>
              <w:spacing w:after="120" w:line="380" w:lineRule="exact"/>
              <w:rPr>
                <w:rFonts w:ascii="Times New Roman Bold" w:hAnsi="Times New Roman Bold" w:cs="Traditional Arabic" w:hint="cs"/>
                <w:b/>
                <w:bCs/>
                <w:spacing w:val="-4"/>
                <w:sz w:val="20"/>
                <w:szCs w:val="30"/>
                <w:rtl/>
              </w:rPr>
            </w:pPr>
            <w:r w:rsidRPr="00AA6123">
              <w:rPr>
                <w:rFonts w:ascii="Times New Roman Bold" w:hAnsi="Times New Roman Bold" w:cs="Traditional Arabic" w:hint="cs"/>
                <w:b/>
                <w:bCs/>
                <w:spacing w:val="-4"/>
                <w:sz w:val="20"/>
                <w:szCs w:val="30"/>
                <w:rtl/>
                <w:lang w:val="fr-CH"/>
              </w:rPr>
              <w:t xml:space="preserve">معلومات المتابعة المُقدَّمة سابقاً: </w:t>
            </w:r>
            <w:r w:rsidRPr="00AA6123">
              <w:rPr>
                <w:rFonts w:ascii="Times New Roman Bold" w:hAnsi="Times New Roman Bold" w:cs="Traditional Arabic"/>
                <w:b/>
                <w:bCs/>
                <w:spacing w:val="-4"/>
                <w:sz w:val="20"/>
                <w:szCs w:val="30"/>
              </w:rPr>
              <w:t>A/66/44</w:t>
            </w:r>
            <w:r w:rsidRPr="00AA6123">
              <w:rPr>
                <w:rFonts w:ascii="Times New Roman Bold" w:hAnsi="Times New Roman Bold" w:cs="Traditional Arabic" w:hint="cs"/>
                <w:b/>
                <w:bCs/>
                <w:spacing w:val="-4"/>
                <w:sz w:val="20"/>
                <w:szCs w:val="30"/>
                <w:rtl/>
              </w:rPr>
              <w:t>، الفصل السادس، و</w:t>
            </w:r>
            <w:r w:rsidRPr="00AA6123">
              <w:rPr>
                <w:rFonts w:ascii="Times New Roman Bold" w:hAnsi="Times New Roman Bold" w:cs="Traditional Arabic"/>
                <w:b/>
                <w:bCs/>
                <w:spacing w:val="-4"/>
                <w:sz w:val="20"/>
                <w:szCs w:val="30"/>
              </w:rPr>
              <w:t>A/67/44</w:t>
            </w:r>
            <w:r w:rsidRPr="00AA6123">
              <w:rPr>
                <w:rFonts w:ascii="Times New Roman Bold" w:hAnsi="Times New Roman Bold" w:cs="Traditional Arabic" w:hint="cs"/>
                <w:b/>
                <w:bCs/>
                <w:spacing w:val="-4"/>
                <w:sz w:val="20"/>
                <w:szCs w:val="30"/>
                <w:rtl/>
              </w:rPr>
              <w:t>، الفصل السادس</w:t>
            </w:r>
          </w:p>
        </w:tc>
      </w:tr>
      <w:tr w:rsidR="00F72BDC" w:rsidRPr="00AA6123" w:rsidTr="00FE65C0">
        <w:tc>
          <w:tcPr>
            <w:tcW w:w="7037" w:type="dxa"/>
            <w:gridSpan w:val="2"/>
            <w:shd w:val="clear" w:color="auto" w:fill="auto"/>
          </w:tcPr>
          <w:p w:rsidR="00F72BDC" w:rsidRPr="00AA6123" w:rsidRDefault="00F72BDC" w:rsidP="00AA6123">
            <w:pPr>
              <w:spacing w:after="120" w:line="380" w:lineRule="exact"/>
              <w:rPr>
                <w:rFonts w:cs="Traditional Arabic" w:hint="cs"/>
                <w:sz w:val="20"/>
                <w:szCs w:val="30"/>
                <w:rtl/>
              </w:rPr>
            </w:pPr>
            <w:r w:rsidRPr="00AA6123">
              <w:rPr>
                <w:rFonts w:cs="Traditional Arabic"/>
                <w:sz w:val="20"/>
                <w:szCs w:val="30"/>
                <w:rtl/>
              </w:rPr>
              <w:tab/>
            </w:r>
            <w:r w:rsidRPr="00AA6123">
              <w:rPr>
                <w:rFonts w:cs="Traditional Arabic" w:hint="cs"/>
                <w:sz w:val="20"/>
                <w:szCs w:val="30"/>
                <w:rtl/>
              </w:rPr>
              <w:t>أُرسل إلى الدولة الطرف تذكيرٌ من أجل الحصول على آخر المعلومات، مع طلب توضيحات بشأن الصعوبات الممكنة التي تواجهها الدولة الطرف في مجال تنفيذ توصيات اللجنة.</w:t>
            </w:r>
          </w:p>
          <w:p w:rsidR="00F72BDC" w:rsidRPr="00FE65C0" w:rsidRDefault="00F72BDC" w:rsidP="00AA6123">
            <w:pPr>
              <w:spacing w:after="120" w:line="380" w:lineRule="exact"/>
              <w:rPr>
                <w:rFonts w:cs="Traditional Arabic" w:hint="cs"/>
                <w:spacing w:val="-2"/>
                <w:sz w:val="20"/>
                <w:szCs w:val="30"/>
                <w:rtl/>
              </w:rPr>
            </w:pPr>
            <w:r w:rsidRPr="00FE65C0">
              <w:rPr>
                <w:rFonts w:cs="Traditional Arabic"/>
                <w:spacing w:val="-2"/>
                <w:sz w:val="20"/>
                <w:szCs w:val="30"/>
                <w:rtl/>
              </w:rPr>
              <w:tab/>
            </w:r>
            <w:r w:rsidRPr="00FE65C0">
              <w:rPr>
                <w:rFonts w:cs="Traditional Arabic" w:hint="cs"/>
                <w:spacing w:val="-2"/>
                <w:sz w:val="20"/>
                <w:szCs w:val="30"/>
                <w:rtl/>
              </w:rPr>
              <w:t>وفي 19 نيسان/أبريل 2013، أفادت الدولة الطرف بأنه في كانون الأول/ديسمبر 2004، حكمت محكمة بلغراد البلدية على كل من جمهورية صربيا واتحاد صربيا والجبل الأسود معاً بدفع مبلغ 000 500 دينار لكل من راديفوج وفيسنا ريستيتش كتعويض عن الأضرار غير النقدية. وفي 7 شباط/فبراير 2006، دفعت جمهورية صربيا التعويض المذكور أعلاه مع سعر الفائدة محسوباً من 30 كانون الأول/ديسمبر 2004، كتعويض عن المعاناة العقلية التي تسببت فيها وفاة ابنهما، ميلان ريستيتش.</w:t>
            </w:r>
          </w:p>
          <w:p w:rsidR="00F72BDC" w:rsidRPr="00AA6123" w:rsidRDefault="00F72BDC" w:rsidP="00AA6123">
            <w:pPr>
              <w:spacing w:after="120" w:line="380" w:lineRule="exact"/>
              <w:rPr>
                <w:rFonts w:cs="Traditional Arabic" w:hint="cs"/>
                <w:sz w:val="20"/>
                <w:szCs w:val="30"/>
                <w:rtl/>
                <w:lang w:val="fr-CH"/>
              </w:rPr>
            </w:pPr>
            <w:r w:rsidRPr="00AA6123">
              <w:rPr>
                <w:rFonts w:cs="Traditional Arabic"/>
                <w:sz w:val="20"/>
                <w:rtl/>
              </w:rPr>
              <w:tab/>
            </w:r>
            <w:r w:rsidRPr="00AA6123">
              <w:rPr>
                <w:rFonts w:cs="Traditional Arabic" w:hint="cs"/>
                <w:sz w:val="20"/>
                <w:szCs w:val="30"/>
                <w:rtl/>
              </w:rPr>
              <w:t>وأُحيلت معلومات الدولة الطرف إلى المحامي من أجل التعليق عليها.</w:t>
            </w:r>
          </w:p>
        </w:tc>
      </w:tr>
      <w:tr w:rsidR="00F72BDC" w:rsidRPr="00AA6123" w:rsidTr="00FE65C0">
        <w:tc>
          <w:tcPr>
            <w:tcW w:w="7037" w:type="dxa"/>
            <w:gridSpan w:val="2"/>
            <w:tcBorders>
              <w:bottom w:val="single" w:sz="12" w:space="0" w:color="auto"/>
            </w:tcBorders>
            <w:shd w:val="clear" w:color="auto" w:fill="auto"/>
          </w:tcPr>
          <w:p w:rsidR="00F72BDC" w:rsidRPr="00FE65C0" w:rsidRDefault="00FE65C0" w:rsidP="00AA6123">
            <w:pPr>
              <w:spacing w:after="120" w:line="380" w:lineRule="exact"/>
              <w:rPr>
                <w:rFonts w:cs="Traditional Arabic" w:hint="cs"/>
                <w:sz w:val="20"/>
                <w:szCs w:val="30"/>
                <w:rtl/>
                <w:lang w:val="fr-CH"/>
              </w:rPr>
            </w:pPr>
            <w:r w:rsidRPr="00FE65C0">
              <w:rPr>
                <w:rFonts w:cs="Traditional Arabic"/>
                <w:sz w:val="20"/>
                <w:szCs w:val="30"/>
                <w:rtl/>
                <w:lang w:val="fr-CH"/>
              </w:rPr>
              <w:tab/>
            </w:r>
            <w:r w:rsidR="00F72BDC" w:rsidRPr="00FE65C0">
              <w:rPr>
                <w:rFonts w:cs="Traditional Arabic" w:hint="cs"/>
                <w:sz w:val="20"/>
                <w:szCs w:val="30"/>
                <w:rtl/>
                <w:lang w:val="fr-CH"/>
              </w:rPr>
              <w:t>قرار اللجنة: حوار المتابعة مستمر.</w:t>
            </w:r>
          </w:p>
        </w:tc>
      </w:tr>
    </w:tbl>
    <w:p w:rsidR="00F72BDC" w:rsidRPr="00F41C55" w:rsidRDefault="00F72BDC" w:rsidP="00FE65C0">
      <w:pPr>
        <w:pStyle w:val="SingleTxtGA"/>
        <w:spacing w:after="0" w:line="60" w:lineRule="exact"/>
        <w:rPr>
          <w:rFonts w:hint="cs"/>
          <w:sz w:val="30"/>
          <w:rtl/>
        </w:rPr>
      </w:pPr>
    </w:p>
    <w:tbl>
      <w:tblPr>
        <w:tblStyle w:val="TableGrid"/>
        <w:bidiVisual/>
        <w:tblW w:w="7223" w:type="dxa"/>
        <w:tblInd w:w="13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520"/>
        <w:gridCol w:w="4703"/>
      </w:tblGrid>
      <w:tr w:rsidR="00F72BDC" w:rsidRPr="00FE65C0" w:rsidTr="00FE65C0">
        <w:tc>
          <w:tcPr>
            <w:tcW w:w="2520" w:type="dxa"/>
            <w:tcBorders>
              <w:top w:val="single" w:sz="4" w:space="0" w:color="auto"/>
              <w:bottom w:val="single" w:sz="12" w:space="0" w:color="auto"/>
            </w:tcBorders>
            <w:shd w:val="clear" w:color="auto" w:fill="auto"/>
            <w:vAlign w:val="bottom"/>
          </w:tcPr>
          <w:p w:rsidR="00F72BDC" w:rsidRPr="00FE65C0" w:rsidRDefault="00F72BDC" w:rsidP="00A822DC">
            <w:pPr>
              <w:spacing w:after="120" w:line="360" w:lineRule="exact"/>
              <w:rPr>
                <w:rFonts w:cs="Traditional Arabic" w:hint="cs"/>
                <w:b/>
                <w:bCs/>
                <w:i/>
                <w:sz w:val="20"/>
                <w:szCs w:val="30"/>
                <w:rtl/>
                <w:lang w:val="fr-CH"/>
              </w:rPr>
            </w:pPr>
            <w:r w:rsidRPr="00FE65C0">
              <w:rPr>
                <w:rFonts w:cs="Traditional Arabic" w:hint="cs"/>
                <w:b/>
                <w:bCs/>
                <w:i/>
                <w:sz w:val="20"/>
                <w:szCs w:val="30"/>
                <w:rtl/>
                <w:lang w:val="fr-CH"/>
              </w:rPr>
              <w:t>الدولة الطرف</w:t>
            </w:r>
          </w:p>
        </w:tc>
        <w:tc>
          <w:tcPr>
            <w:tcW w:w="4703" w:type="dxa"/>
            <w:tcBorders>
              <w:top w:val="single" w:sz="4" w:space="0" w:color="auto"/>
              <w:bottom w:val="single" w:sz="12" w:space="0" w:color="auto"/>
            </w:tcBorders>
            <w:shd w:val="clear" w:color="auto" w:fill="auto"/>
            <w:vAlign w:val="bottom"/>
          </w:tcPr>
          <w:p w:rsidR="00F72BDC" w:rsidRPr="00FE65C0" w:rsidRDefault="00F72BDC" w:rsidP="00A822DC">
            <w:pPr>
              <w:spacing w:after="120" w:line="360" w:lineRule="exact"/>
              <w:rPr>
                <w:rFonts w:cs="Traditional Arabic" w:hint="cs"/>
                <w:b/>
                <w:bCs/>
                <w:i/>
                <w:sz w:val="20"/>
                <w:szCs w:val="30"/>
                <w:rtl/>
                <w:lang w:val="fr-CH"/>
              </w:rPr>
            </w:pPr>
            <w:r w:rsidRPr="00FE65C0">
              <w:rPr>
                <w:rFonts w:cs="Traditional Arabic" w:hint="cs"/>
                <w:b/>
                <w:bCs/>
                <w:i/>
                <w:sz w:val="20"/>
                <w:szCs w:val="30"/>
                <w:rtl/>
                <w:lang w:val="fr-CH"/>
              </w:rPr>
              <w:t>صربيا</w:t>
            </w:r>
          </w:p>
        </w:tc>
      </w:tr>
      <w:tr w:rsidR="00F72BDC" w:rsidRPr="00FE65C0" w:rsidTr="00FE65C0">
        <w:tc>
          <w:tcPr>
            <w:tcW w:w="2520" w:type="dxa"/>
            <w:tcBorders>
              <w:top w:val="single" w:sz="12" w:space="0" w:color="auto"/>
            </w:tcBorders>
            <w:shd w:val="clear" w:color="auto" w:fill="auto"/>
          </w:tcPr>
          <w:p w:rsidR="00F72BDC" w:rsidRPr="00FE65C0" w:rsidRDefault="00F72BDC" w:rsidP="00A822DC">
            <w:pPr>
              <w:spacing w:after="120" w:line="360" w:lineRule="exact"/>
              <w:rPr>
                <w:rFonts w:cs="Traditional Arabic" w:hint="cs"/>
                <w:b/>
                <w:bCs/>
                <w:sz w:val="20"/>
                <w:szCs w:val="30"/>
                <w:rtl/>
                <w:lang w:val="fr-CH"/>
              </w:rPr>
            </w:pPr>
            <w:r w:rsidRPr="00FE65C0">
              <w:rPr>
                <w:rFonts w:cs="Traditional Arabic" w:hint="cs"/>
                <w:b/>
                <w:bCs/>
                <w:sz w:val="20"/>
                <w:szCs w:val="30"/>
                <w:rtl/>
                <w:lang w:val="fr-CH"/>
              </w:rPr>
              <w:t>القضية</w:t>
            </w:r>
          </w:p>
        </w:tc>
        <w:tc>
          <w:tcPr>
            <w:tcW w:w="4703" w:type="dxa"/>
            <w:tcBorders>
              <w:top w:val="single" w:sz="12" w:space="0" w:color="auto"/>
            </w:tcBorders>
            <w:shd w:val="clear" w:color="auto" w:fill="auto"/>
            <w:vAlign w:val="bottom"/>
          </w:tcPr>
          <w:p w:rsidR="00F72BDC" w:rsidRPr="00FE65C0" w:rsidRDefault="00F72BDC" w:rsidP="00A822DC">
            <w:pPr>
              <w:spacing w:after="120" w:line="360" w:lineRule="exact"/>
              <w:rPr>
                <w:rFonts w:cs="Traditional Arabic" w:hint="cs"/>
                <w:b/>
                <w:bCs/>
                <w:sz w:val="20"/>
                <w:szCs w:val="30"/>
                <w:rtl/>
                <w:lang w:val="fr-CH"/>
              </w:rPr>
            </w:pPr>
            <w:r w:rsidRPr="00FE65C0">
              <w:rPr>
                <w:rFonts w:cs="Traditional Arabic" w:hint="cs"/>
                <w:b/>
                <w:bCs/>
                <w:i/>
                <w:iCs/>
                <w:sz w:val="20"/>
                <w:szCs w:val="30"/>
                <w:rtl/>
                <w:lang w:val="fr-CH"/>
              </w:rPr>
              <w:t>ديميتروف</w:t>
            </w:r>
            <w:r w:rsidRPr="00FE65C0">
              <w:rPr>
                <w:rFonts w:cs="Traditional Arabic" w:hint="cs"/>
                <w:b/>
                <w:bCs/>
                <w:sz w:val="20"/>
                <w:szCs w:val="30"/>
                <w:rtl/>
                <w:lang w:val="fr-CH"/>
              </w:rPr>
              <w:t>، 171/2000</w:t>
            </w:r>
          </w:p>
        </w:tc>
      </w:tr>
      <w:tr w:rsidR="00F72BDC" w:rsidRPr="00FE65C0" w:rsidTr="00FE65C0">
        <w:tc>
          <w:tcPr>
            <w:tcW w:w="2520" w:type="dxa"/>
            <w:shd w:val="clear" w:color="auto" w:fill="auto"/>
          </w:tcPr>
          <w:p w:rsidR="00F72BDC" w:rsidRPr="00FE65C0" w:rsidRDefault="00F72BDC" w:rsidP="00A822DC">
            <w:pPr>
              <w:spacing w:after="120" w:line="360" w:lineRule="exact"/>
              <w:rPr>
                <w:rFonts w:cs="Traditional Arabic" w:hint="cs"/>
                <w:b/>
                <w:bCs/>
                <w:sz w:val="20"/>
                <w:szCs w:val="30"/>
                <w:rtl/>
                <w:lang w:val="fr-CH"/>
              </w:rPr>
            </w:pPr>
            <w:r w:rsidRPr="00FE65C0">
              <w:rPr>
                <w:rFonts w:cs="Traditional Arabic" w:hint="cs"/>
                <w:b/>
                <w:bCs/>
                <w:sz w:val="20"/>
                <w:szCs w:val="30"/>
                <w:rtl/>
                <w:lang w:val="fr-CH"/>
              </w:rPr>
              <w:t xml:space="preserve">قرار معتمد في </w:t>
            </w:r>
          </w:p>
        </w:tc>
        <w:tc>
          <w:tcPr>
            <w:tcW w:w="4703" w:type="dxa"/>
            <w:shd w:val="clear" w:color="auto" w:fill="auto"/>
            <w:vAlign w:val="bottom"/>
          </w:tcPr>
          <w:p w:rsidR="00F72BDC" w:rsidRPr="00FE65C0" w:rsidRDefault="00F72BDC" w:rsidP="00A822DC">
            <w:pPr>
              <w:spacing w:after="120" w:line="360" w:lineRule="exact"/>
              <w:rPr>
                <w:rFonts w:cs="Traditional Arabic" w:hint="cs"/>
                <w:sz w:val="20"/>
                <w:szCs w:val="30"/>
                <w:rtl/>
                <w:lang w:val="fr-CH"/>
              </w:rPr>
            </w:pPr>
            <w:r w:rsidRPr="00FE65C0">
              <w:rPr>
                <w:rFonts w:cs="Traditional Arabic" w:hint="cs"/>
                <w:sz w:val="20"/>
                <w:szCs w:val="30"/>
                <w:rtl/>
                <w:lang w:val="fr-CH"/>
              </w:rPr>
              <w:t>3 أيار/مايو 2005</w:t>
            </w:r>
          </w:p>
        </w:tc>
      </w:tr>
      <w:tr w:rsidR="00F72BDC" w:rsidRPr="00FE65C0" w:rsidTr="00FE65C0">
        <w:tc>
          <w:tcPr>
            <w:tcW w:w="2520" w:type="dxa"/>
            <w:shd w:val="clear" w:color="auto" w:fill="auto"/>
          </w:tcPr>
          <w:p w:rsidR="00F72BDC" w:rsidRPr="00FE65C0" w:rsidRDefault="00F72BDC" w:rsidP="00A822DC">
            <w:pPr>
              <w:spacing w:after="120" w:line="360" w:lineRule="exact"/>
              <w:rPr>
                <w:rFonts w:cs="Traditional Arabic" w:hint="cs"/>
                <w:b/>
                <w:bCs/>
                <w:sz w:val="20"/>
                <w:szCs w:val="30"/>
                <w:rtl/>
                <w:lang w:val="fr-CH"/>
              </w:rPr>
            </w:pPr>
            <w:r w:rsidRPr="00FE65C0">
              <w:rPr>
                <w:rFonts w:cs="Traditional Arabic" w:hint="cs"/>
                <w:b/>
                <w:bCs/>
                <w:sz w:val="20"/>
                <w:szCs w:val="30"/>
                <w:rtl/>
                <w:lang w:val="fr-CH"/>
              </w:rPr>
              <w:t>الانتهاك</w:t>
            </w:r>
          </w:p>
        </w:tc>
        <w:tc>
          <w:tcPr>
            <w:tcW w:w="4703" w:type="dxa"/>
            <w:shd w:val="clear" w:color="auto" w:fill="auto"/>
            <w:vAlign w:val="bottom"/>
          </w:tcPr>
          <w:p w:rsidR="00F72BDC" w:rsidRPr="00FE65C0" w:rsidRDefault="00F72BDC" w:rsidP="00A822DC">
            <w:pPr>
              <w:spacing w:after="120" w:line="360" w:lineRule="exact"/>
              <w:rPr>
                <w:rFonts w:cs="Traditional Arabic" w:hint="cs"/>
                <w:spacing w:val="-4"/>
                <w:sz w:val="20"/>
                <w:szCs w:val="30"/>
                <w:rtl/>
                <w:lang w:val="fr-CH"/>
              </w:rPr>
            </w:pPr>
            <w:r w:rsidRPr="00FE65C0">
              <w:rPr>
                <w:rFonts w:cs="Traditional Arabic" w:hint="cs"/>
                <w:spacing w:val="-4"/>
                <w:sz w:val="20"/>
                <w:szCs w:val="30"/>
                <w:rtl/>
                <w:lang w:val="fr-CH"/>
              </w:rPr>
              <w:t>الفقرة 1 من المادة 2 بالاقتران مع المواد 1 و12 و13 و14</w:t>
            </w:r>
          </w:p>
        </w:tc>
      </w:tr>
      <w:tr w:rsidR="00F72BDC" w:rsidRPr="00FE65C0" w:rsidTr="00FE65C0">
        <w:tc>
          <w:tcPr>
            <w:tcW w:w="2520" w:type="dxa"/>
            <w:shd w:val="clear" w:color="auto" w:fill="auto"/>
          </w:tcPr>
          <w:p w:rsidR="00F72BDC" w:rsidRPr="00FE65C0" w:rsidRDefault="00F72BDC" w:rsidP="00A822DC">
            <w:pPr>
              <w:spacing w:after="120" w:line="360" w:lineRule="exact"/>
              <w:rPr>
                <w:rFonts w:cs="Traditional Arabic" w:hint="cs"/>
                <w:b/>
                <w:bCs/>
                <w:sz w:val="20"/>
                <w:szCs w:val="30"/>
                <w:rtl/>
                <w:lang w:val="fr-CH"/>
              </w:rPr>
            </w:pPr>
            <w:r w:rsidRPr="00FE65C0">
              <w:rPr>
                <w:rFonts w:cs="Traditional Arabic" w:hint="cs"/>
                <w:b/>
                <w:bCs/>
                <w:sz w:val="20"/>
                <w:szCs w:val="30"/>
                <w:rtl/>
                <w:lang w:val="fr-CH"/>
              </w:rPr>
              <w:t>الانتصاف الموصى به</w:t>
            </w:r>
          </w:p>
        </w:tc>
        <w:tc>
          <w:tcPr>
            <w:tcW w:w="4703" w:type="dxa"/>
            <w:shd w:val="clear" w:color="auto" w:fill="auto"/>
            <w:vAlign w:val="bottom"/>
          </w:tcPr>
          <w:p w:rsidR="00F72BDC" w:rsidRPr="00FE65C0" w:rsidRDefault="00F72BDC" w:rsidP="00A822DC">
            <w:pPr>
              <w:spacing w:after="120" w:line="360" w:lineRule="exact"/>
              <w:rPr>
                <w:rFonts w:cs="Traditional Arabic" w:hint="cs"/>
                <w:sz w:val="20"/>
                <w:szCs w:val="30"/>
                <w:rtl/>
                <w:lang w:val="fr-CH"/>
              </w:rPr>
            </w:pPr>
            <w:r w:rsidRPr="00FE65C0">
              <w:rPr>
                <w:rFonts w:cs="Traditional Arabic" w:hint="cs"/>
                <w:sz w:val="20"/>
                <w:szCs w:val="30"/>
                <w:rtl/>
                <w:lang w:val="fr-CH"/>
              </w:rPr>
              <w:t>حثت اللجنة الدولة الطرف على إجراء تحقيق فعلي في الوقائع المزعومة من صاحب الشكوى.</w:t>
            </w:r>
          </w:p>
        </w:tc>
      </w:tr>
      <w:tr w:rsidR="00F72BDC" w:rsidRPr="00FE65C0" w:rsidTr="00FE65C0">
        <w:tc>
          <w:tcPr>
            <w:tcW w:w="7223" w:type="dxa"/>
            <w:gridSpan w:val="2"/>
            <w:shd w:val="clear" w:color="auto" w:fill="auto"/>
            <w:vAlign w:val="bottom"/>
          </w:tcPr>
          <w:p w:rsidR="00F72BDC" w:rsidRPr="00FE65C0" w:rsidRDefault="00F72BDC" w:rsidP="00A822DC">
            <w:pPr>
              <w:spacing w:after="120" w:line="360" w:lineRule="exact"/>
              <w:rPr>
                <w:rFonts w:cs="Traditional Arabic" w:hint="cs"/>
                <w:b/>
                <w:bCs/>
                <w:sz w:val="20"/>
                <w:szCs w:val="30"/>
                <w:rtl/>
              </w:rPr>
            </w:pPr>
            <w:r w:rsidRPr="00FE65C0">
              <w:rPr>
                <w:rFonts w:cs="Traditional Arabic" w:hint="cs"/>
                <w:b/>
                <w:bCs/>
                <w:sz w:val="20"/>
                <w:szCs w:val="30"/>
                <w:rtl/>
                <w:lang w:val="fr-CH"/>
              </w:rPr>
              <w:t xml:space="preserve">معلومات المتابعة المُقدَّمة سابقاً: </w:t>
            </w:r>
            <w:r w:rsidRPr="00FE65C0">
              <w:rPr>
                <w:rFonts w:cs="Traditional Arabic"/>
                <w:b/>
                <w:sz w:val="20"/>
                <w:szCs w:val="30"/>
              </w:rPr>
              <w:t>A/66/44</w:t>
            </w:r>
            <w:r w:rsidRPr="00FE65C0">
              <w:rPr>
                <w:rFonts w:cs="Traditional Arabic" w:hint="cs"/>
                <w:b/>
                <w:bCs/>
                <w:sz w:val="20"/>
                <w:szCs w:val="30"/>
                <w:rtl/>
                <w:lang w:val="fr-CH"/>
              </w:rPr>
              <w:t>، الفصل السادس و</w:t>
            </w:r>
            <w:r w:rsidRPr="00FE65C0">
              <w:rPr>
                <w:rFonts w:cs="Traditional Arabic"/>
                <w:b/>
                <w:bCs/>
                <w:sz w:val="20"/>
                <w:szCs w:val="30"/>
              </w:rPr>
              <w:t>A/67/44</w:t>
            </w:r>
            <w:r w:rsidRPr="00FE65C0">
              <w:rPr>
                <w:rFonts w:cs="Traditional Arabic" w:hint="cs"/>
                <w:b/>
                <w:bCs/>
                <w:sz w:val="20"/>
                <w:szCs w:val="30"/>
                <w:rtl/>
              </w:rPr>
              <w:t>، الفصل السادس</w:t>
            </w:r>
          </w:p>
        </w:tc>
      </w:tr>
      <w:tr w:rsidR="00F72BDC" w:rsidRPr="00FE65C0" w:rsidTr="00FE65C0">
        <w:tc>
          <w:tcPr>
            <w:tcW w:w="7223" w:type="dxa"/>
            <w:gridSpan w:val="2"/>
            <w:shd w:val="clear" w:color="auto" w:fill="auto"/>
            <w:vAlign w:val="bottom"/>
          </w:tcPr>
          <w:p w:rsidR="00F72BDC" w:rsidRPr="00FE65C0" w:rsidRDefault="00F72BDC" w:rsidP="00A822DC">
            <w:pPr>
              <w:spacing w:after="120" w:line="360" w:lineRule="exact"/>
              <w:jc w:val="left"/>
              <w:rPr>
                <w:rFonts w:cs="Traditional Arabic"/>
                <w:sz w:val="20"/>
                <w:szCs w:val="30"/>
                <w:lang w:val="fr-CH"/>
              </w:rPr>
            </w:pPr>
            <w:r w:rsidRPr="00FE65C0">
              <w:rPr>
                <w:rFonts w:cs="Traditional Arabic" w:hint="cs"/>
                <w:sz w:val="20"/>
                <w:szCs w:val="30"/>
                <w:rtl/>
                <w:lang w:val="fr-CH"/>
              </w:rPr>
              <w:tab/>
            </w:r>
            <w:r w:rsidRPr="00FE65C0">
              <w:rPr>
                <w:rFonts w:cs="Traditional Arabic"/>
                <w:sz w:val="20"/>
                <w:szCs w:val="30"/>
                <w:rtl/>
                <w:lang w:val="fr-CH"/>
              </w:rPr>
              <w:t>في 18 شباط/فبراير 2013، أُرسل تذكير من أجل الحصول على آخر المعلومات إلى الدولة الطرف</w:t>
            </w:r>
            <w:r w:rsidRPr="00FE65C0">
              <w:rPr>
                <w:rFonts w:cs="Traditional Arabic"/>
                <w:sz w:val="20"/>
                <w:szCs w:val="30"/>
                <w:lang w:val="fr-CH"/>
              </w:rPr>
              <w:t>.</w:t>
            </w:r>
          </w:p>
        </w:tc>
      </w:tr>
      <w:tr w:rsidR="00F72BDC" w:rsidRPr="00FE65C0" w:rsidTr="00FE65C0">
        <w:tc>
          <w:tcPr>
            <w:tcW w:w="7223" w:type="dxa"/>
            <w:gridSpan w:val="2"/>
            <w:shd w:val="clear" w:color="auto" w:fill="auto"/>
          </w:tcPr>
          <w:p w:rsidR="00F72BDC" w:rsidRPr="00FE65C0" w:rsidRDefault="00F72BDC" w:rsidP="00A822DC">
            <w:pPr>
              <w:spacing w:after="120" w:line="360" w:lineRule="exact"/>
              <w:rPr>
                <w:rFonts w:cs="Traditional Arabic"/>
                <w:sz w:val="20"/>
                <w:szCs w:val="30"/>
                <w:rtl/>
                <w:lang w:val="fr-CH"/>
              </w:rPr>
            </w:pPr>
            <w:r w:rsidRPr="00FE65C0">
              <w:rPr>
                <w:rFonts w:cs="Traditional Arabic"/>
                <w:sz w:val="20"/>
                <w:szCs w:val="30"/>
                <w:lang w:val="fr-CH"/>
              </w:rPr>
              <w:tab/>
            </w:r>
            <w:r w:rsidRPr="00FE65C0">
              <w:rPr>
                <w:rFonts w:cs="Traditional Arabic"/>
                <w:sz w:val="20"/>
                <w:szCs w:val="30"/>
                <w:rtl/>
                <w:lang w:val="fr-CH"/>
              </w:rPr>
              <w:t>وفي 19 نيسان/أبريل 2013، أفادت الدولة الطرف أنه في 7 تموز/يوليه 2010، رفع صاحب الشكوى دعوى ضد جمهورية صربيا لدى محكمة بلغراد الابتدائية من أجل الحصول على أضرار غير نقدية. وفي 20 تشرين الأول/أكتوبر 2011، جرى التوقيع على اتفاق بين جوفيتشا ديمتروف وصربيا، تُلزم بموجبه صربيا بأن تدفع إلى صاحب الشكوى مبلغاً قدره 000 450 دينار كتعويض عن انتهاك اتفاقية مناهضة التعذيب وغير ذلك من ضروب المعاملة أو العقوبة القاسية أو اللاإنسانية أو المهينة. وتم الدفع في 30 تشرين الثاني/نوفمبر 2011. وفي ضوء التسوية التي تمت خارج المحكمة بين صاحب الشكوى وصربيا، أوقفت المحكمة الابتدائية لبلغراد النظر في الإجراءات المتعلِّقة بالحصول على تعويضات غير نقدية في 28 كانون الأول/ديسمبر 2011</w:t>
            </w:r>
            <w:r w:rsidRPr="00FE65C0">
              <w:rPr>
                <w:rFonts w:cs="Traditional Arabic"/>
                <w:sz w:val="20"/>
                <w:szCs w:val="30"/>
                <w:lang w:val="fr-CH"/>
              </w:rPr>
              <w:t>.</w:t>
            </w:r>
          </w:p>
        </w:tc>
      </w:tr>
      <w:tr w:rsidR="00F72BDC" w:rsidRPr="00FE65C0" w:rsidTr="00FE65C0">
        <w:tc>
          <w:tcPr>
            <w:tcW w:w="7223" w:type="dxa"/>
            <w:gridSpan w:val="2"/>
            <w:shd w:val="clear" w:color="auto" w:fill="auto"/>
          </w:tcPr>
          <w:p w:rsidR="00F72BDC" w:rsidRPr="00FE65C0" w:rsidRDefault="00F72BDC" w:rsidP="00A822DC">
            <w:pPr>
              <w:spacing w:after="120" w:line="360" w:lineRule="exact"/>
              <w:rPr>
                <w:rFonts w:cs="Traditional Arabic"/>
                <w:sz w:val="20"/>
                <w:szCs w:val="30"/>
                <w:rtl/>
                <w:lang w:val="fr-CH"/>
              </w:rPr>
            </w:pPr>
            <w:r w:rsidRPr="00FE65C0">
              <w:rPr>
                <w:rFonts w:cs="Traditional Arabic"/>
                <w:sz w:val="20"/>
                <w:szCs w:val="30"/>
                <w:rtl/>
                <w:lang w:val="fr-CH"/>
              </w:rPr>
              <w:t xml:space="preserve">وأحيلت معلومات الدولة الطرف إلى </w:t>
            </w:r>
            <w:r w:rsidRPr="00FE65C0">
              <w:rPr>
                <w:rFonts w:cs="Traditional Arabic" w:hint="cs"/>
                <w:sz w:val="20"/>
                <w:szCs w:val="30"/>
                <w:rtl/>
                <w:lang w:val="fr-CH"/>
              </w:rPr>
              <w:t>ال</w:t>
            </w:r>
            <w:r w:rsidRPr="00FE65C0">
              <w:rPr>
                <w:rFonts w:cs="Traditional Arabic"/>
                <w:sz w:val="20"/>
                <w:szCs w:val="30"/>
                <w:rtl/>
                <w:lang w:val="fr-CH"/>
              </w:rPr>
              <w:t>محام</w:t>
            </w:r>
            <w:r w:rsidRPr="00FE65C0">
              <w:rPr>
                <w:rFonts w:cs="Traditional Arabic" w:hint="cs"/>
                <w:sz w:val="20"/>
                <w:szCs w:val="30"/>
                <w:rtl/>
                <w:lang w:val="fr-CH"/>
              </w:rPr>
              <w:t xml:space="preserve">ي </w:t>
            </w:r>
            <w:r w:rsidRPr="00FE65C0">
              <w:rPr>
                <w:rFonts w:cs="Traditional Arabic"/>
                <w:sz w:val="20"/>
                <w:szCs w:val="30"/>
                <w:rtl/>
                <w:lang w:val="fr-CH"/>
              </w:rPr>
              <w:t>من أجل التعليق عليها.</w:t>
            </w:r>
          </w:p>
        </w:tc>
      </w:tr>
      <w:tr w:rsidR="00F72BDC" w:rsidRPr="00FE65C0" w:rsidTr="00FE65C0">
        <w:tc>
          <w:tcPr>
            <w:tcW w:w="7223" w:type="dxa"/>
            <w:gridSpan w:val="2"/>
            <w:tcBorders>
              <w:bottom w:val="single" w:sz="12" w:space="0" w:color="auto"/>
            </w:tcBorders>
            <w:shd w:val="clear" w:color="auto" w:fill="auto"/>
            <w:vAlign w:val="bottom"/>
          </w:tcPr>
          <w:p w:rsidR="00F72BDC" w:rsidRPr="00FE65C0" w:rsidRDefault="00FE65C0" w:rsidP="00A822DC">
            <w:pPr>
              <w:spacing w:after="120" w:line="360" w:lineRule="exact"/>
              <w:rPr>
                <w:rFonts w:cs="Traditional Arabic" w:hint="cs"/>
                <w:sz w:val="20"/>
                <w:szCs w:val="30"/>
                <w:rtl/>
                <w:lang w:val="fr-CH"/>
              </w:rPr>
            </w:pPr>
            <w:r w:rsidRPr="00FE65C0">
              <w:rPr>
                <w:rFonts w:cs="Traditional Arabic"/>
                <w:sz w:val="20"/>
                <w:szCs w:val="30"/>
                <w:rtl/>
                <w:lang w:val="fr-CH"/>
              </w:rPr>
              <w:tab/>
            </w:r>
            <w:r w:rsidR="00F72BDC" w:rsidRPr="00FE65C0">
              <w:rPr>
                <w:rFonts w:cs="Traditional Arabic" w:hint="cs"/>
                <w:sz w:val="20"/>
                <w:szCs w:val="30"/>
                <w:rtl/>
                <w:lang w:val="fr-CH"/>
              </w:rPr>
              <w:t>قرار اللجنة: حوار المتابعة مستمر.</w:t>
            </w:r>
          </w:p>
        </w:tc>
      </w:tr>
    </w:tbl>
    <w:p w:rsidR="00F72BDC" w:rsidRPr="00F41C55" w:rsidRDefault="00F72BDC" w:rsidP="00A822DC">
      <w:pPr>
        <w:pStyle w:val="SingleTxtGA"/>
        <w:spacing w:after="0" w:line="280" w:lineRule="exact"/>
        <w:rPr>
          <w:rFonts w:hint="cs"/>
        </w:rPr>
      </w:pPr>
    </w:p>
    <w:tbl>
      <w:tblPr>
        <w:tblStyle w:val="TableGrid"/>
        <w:bidiVisual/>
        <w:tblW w:w="7209" w:type="dxa"/>
        <w:tblInd w:w="1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576"/>
        <w:gridCol w:w="4633"/>
      </w:tblGrid>
      <w:tr w:rsidR="00F72BDC" w:rsidRPr="00FE65C0" w:rsidTr="00FE65C0">
        <w:trPr>
          <w:cantSplit/>
        </w:trPr>
        <w:tc>
          <w:tcPr>
            <w:tcW w:w="2576" w:type="dxa"/>
            <w:tcBorders>
              <w:top w:val="single" w:sz="4" w:space="0" w:color="auto"/>
              <w:bottom w:val="single" w:sz="12" w:space="0" w:color="auto"/>
            </w:tcBorders>
            <w:shd w:val="clear" w:color="auto" w:fill="auto"/>
            <w:vAlign w:val="bottom"/>
          </w:tcPr>
          <w:p w:rsidR="00F72BDC" w:rsidRPr="00FE65C0" w:rsidRDefault="00F72BDC" w:rsidP="00A822DC">
            <w:pPr>
              <w:spacing w:after="100" w:line="360" w:lineRule="exact"/>
              <w:rPr>
                <w:rFonts w:cs="Traditional Arabic" w:hint="cs"/>
                <w:b/>
                <w:bCs/>
                <w:i/>
                <w:sz w:val="20"/>
                <w:szCs w:val="30"/>
                <w:rtl/>
                <w:lang w:val="fr-CH"/>
              </w:rPr>
            </w:pPr>
            <w:r w:rsidRPr="00FE65C0">
              <w:rPr>
                <w:rFonts w:cs="Traditional Arabic" w:hint="cs"/>
                <w:b/>
                <w:bCs/>
                <w:i/>
                <w:sz w:val="20"/>
                <w:szCs w:val="30"/>
                <w:rtl/>
                <w:lang w:val="fr-CH"/>
              </w:rPr>
              <w:t>الدولة الطرف</w:t>
            </w:r>
          </w:p>
        </w:tc>
        <w:tc>
          <w:tcPr>
            <w:tcW w:w="4633" w:type="dxa"/>
            <w:tcBorders>
              <w:top w:val="single" w:sz="4" w:space="0" w:color="auto"/>
              <w:bottom w:val="single" w:sz="12" w:space="0" w:color="auto"/>
            </w:tcBorders>
            <w:shd w:val="clear" w:color="auto" w:fill="auto"/>
            <w:vAlign w:val="bottom"/>
          </w:tcPr>
          <w:p w:rsidR="00F72BDC" w:rsidRPr="00FE65C0" w:rsidRDefault="00F72BDC" w:rsidP="00A822DC">
            <w:pPr>
              <w:spacing w:after="100" w:line="360" w:lineRule="exact"/>
              <w:rPr>
                <w:rFonts w:cs="Traditional Arabic" w:hint="cs"/>
                <w:b/>
                <w:bCs/>
                <w:i/>
                <w:sz w:val="20"/>
                <w:szCs w:val="30"/>
                <w:rtl/>
                <w:lang w:val="fr-CH"/>
              </w:rPr>
            </w:pPr>
            <w:r w:rsidRPr="00FE65C0">
              <w:rPr>
                <w:rFonts w:cs="Traditional Arabic" w:hint="cs"/>
                <w:b/>
                <w:bCs/>
                <w:i/>
                <w:sz w:val="20"/>
                <w:szCs w:val="30"/>
                <w:rtl/>
                <w:lang w:val="fr-CH"/>
              </w:rPr>
              <w:t>صربيا</w:t>
            </w:r>
          </w:p>
        </w:tc>
      </w:tr>
      <w:tr w:rsidR="00F72BDC" w:rsidRPr="00FE65C0" w:rsidTr="00FE65C0">
        <w:trPr>
          <w:cantSplit/>
        </w:trPr>
        <w:tc>
          <w:tcPr>
            <w:tcW w:w="2576" w:type="dxa"/>
            <w:tcBorders>
              <w:top w:val="single" w:sz="12" w:space="0" w:color="auto"/>
            </w:tcBorders>
            <w:shd w:val="clear" w:color="auto" w:fill="auto"/>
          </w:tcPr>
          <w:p w:rsidR="00F72BDC" w:rsidRPr="00FE65C0" w:rsidRDefault="00F72BDC" w:rsidP="00A822DC">
            <w:pPr>
              <w:spacing w:after="100" w:line="360" w:lineRule="exact"/>
              <w:rPr>
                <w:rFonts w:cs="Traditional Arabic" w:hint="cs"/>
                <w:b/>
                <w:bCs/>
                <w:sz w:val="20"/>
                <w:szCs w:val="30"/>
                <w:rtl/>
                <w:lang w:val="fr-CH"/>
              </w:rPr>
            </w:pPr>
            <w:r w:rsidRPr="00FE65C0">
              <w:rPr>
                <w:rFonts w:cs="Traditional Arabic" w:hint="cs"/>
                <w:b/>
                <w:bCs/>
                <w:sz w:val="20"/>
                <w:szCs w:val="30"/>
                <w:rtl/>
                <w:lang w:val="fr-CH"/>
              </w:rPr>
              <w:t>القضية</w:t>
            </w:r>
          </w:p>
        </w:tc>
        <w:tc>
          <w:tcPr>
            <w:tcW w:w="4633" w:type="dxa"/>
            <w:tcBorders>
              <w:top w:val="single" w:sz="12" w:space="0" w:color="auto"/>
            </w:tcBorders>
            <w:shd w:val="clear" w:color="auto" w:fill="auto"/>
            <w:vAlign w:val="bottom"/>
          </w:tcPr>
          <w:p w:rsidR="00F72BDC" w:rsidRPr="00FE65C0" w:rsidRDefault="00F72BDC" w:rsidP="00A822DC">
            <w:pPr>
              <w:spacing w:after="100" w:line="360" w:lineRule="exact"/>
              <w:rPr>
                <w:rFonts w:cs="Traditional Arabic" w:hint="cs"/>
                <w:b/>
                <w:bCs/>
                <w:sz w:val="20"/>
                <w:szCs w:val="30"/>
                <w:rtl/>
                <w:lang w:val="fr-CH"/>
              </w:rPr>
            </w:pPr>
            <w:r w:rsidRPr="00FE65C0">
              <w:rPr>
                <w:rFonts w:cs="Traditional Arabic" w:hint="cs"/>
                <w:b/>
                <w:bCs/>
                <w:i/>
                <w:iCs/>
                <w:sz w:val="20"/>
                <w:szCs w:val="30"/>
                <w:rtl/>
                <w:lang w:val="fr-CH"/>
              </w:rPr>
              <w:t>ديميتريجيفيتش</w:t>
            </w:r>
            <w:r w:rsidRPr="00FE65C0">
              <w:rPr>
                <w:rFonts w:cs="Traditional Arabic" w:hint="cs"/>
                <w:b/>
                <w:bCs/>
                <w:sz w:val="20"/>
                <w:szCs w:val="30"/>
                <w:rtl/>
                <w:lang w:val="fr-CH"/>
              </w:rPr>
              <w:t>، 172/2000</w:t>
            </w:r>
          </w:p>
        </w:tc>
      </w:tr>
      <w:tr w:rsidR="00F72BDC" w:rsidRPr="00FE65C0" w:rsidTr="00FE65C0">
        <w:trPr>
          <w:cantSplit/>
        </w:trPr>
        <w:tc>
          <w:tcPr>
            <w:tcW w:w="2576" w:type="dxa"/>
            <w:shd w:val="clear" w:color="auto" w:fill="auto"/>
          </w:tcPr>
          <w:p w:rsidR="00F72BDC" w:rsidRPr="00FE65C0" w:rsidRDefault="00F72BDC" w:rsidP="00A822DC">
            <w:pPr>
              <w:spacing w:after="100" w:line="360" w:lineRule="exact"/>
              <w:rPr>
                <w:rFonts w:cs="Traditional Arabic" w:hint="cs"/>
                <w:b/>
                <w:bCs/>
                <w:sz w:val="20"/>
                <w:szCs w:val="30"/>
                <w:rtl/>
                <w:lang w:val="fr-CH"/>
              </w:rPr>
            </w:pPr>
            <w:r w:rsidRPr="00FE65C0">
              <w:rPr>
                <w:rFonts w:cs="Traditional Arabic" w:hint="cs"/>
                <w:b/>
                <w:bCs/>
                <w:sz w:val="20"/>
                <w:szCs w:val="30"/>
                <w:rtl/>
                <w:lang w:val="fr-CH"/>
              </w:rPr>
              <w:t xml:space="preserve">قرار معتمد في </w:t>
            </w:r>
          </w:p>
        </w:tc>
        <w:tc>
          <w:tcPr>
            <w:tcW w:w="4633" w:type="dxa"/>
            <w:shd w:val="clear" w:color="auto" w:fill="auto"/>
            <w:vAlign w:val="bottom"/>
          </w:tcPr>
          <w:p w:rsidR="00F72BDC" w:rsidRPr="00FE65C0" w:rsidRDefault="00F72BDC" w:rsidP="00A822DC">
            <w:pPr>
              <w:spacing w:after="100" w:line="360" w:lineRule="exact"/>
              <w:rPr>
                <w:rFonts w:cs="Traditional Arabic" w:hint="cs"/>
                <w:sz w:val="20"/>
                <w:szCs w:val="30"/>
                <w:rtl/>
                <w:lang w:val="fr-CH"/>
              </w:rPr>
            </w:pPr>
            <w:r w:rsidRPr="00FE65C0">
              <w:rPr>
                <w:rFonts w:cs="Traditional Arabic" w:hint="cs"/>
                <w:sz w:val="20"/>
                <w:szCs w:val="30"/>
                <w:rtl/>
                <w:lang w:val="fr-CH"/>
              </w:rPr>
              <w:t>16 تشرين الثاني/نوفمبر 2005</w:t>
            </w:r>
          </w:p>
        </w:tc>
      </w:tr>
      <w:tr w:rsidR="00F72BDC" w:rsidRPr="00FE65C0" w:rsidTr="00FE65C0">
        <w:trPr>
          <w:cantSplit/>
        </w:trPr>
        <w:tc>
          <w:tcPr>
            <w:tcW w:w="2576" w:type="dxa"/>
            <w:shd w:val="clear" w:color="auto" w:fill="auto"/>
          </w:tcPr>
          <w:p w:rsidR="00F72BDC" w:rsidRPr="00FE65C0" w:rsidRDefault="00F72BDC" w:rsidP="00A822DC">
            <w:pPr>
              <w:spacing w:after="100" w:line="360" w:lineRule="exact"/>
              <w:rPr>
                <w:rFonts w:cs="Traditional Arabic" w:hint="cs"/>
                <w:b/>
                <w:bCs/>
                <w:sz w:val="20"/>
                <w:szCs w:val="30"/>
                <w:rtl/>
                <w:lang w:val="fr-CH"/>
              </w:rPr>
            </w:pPr>
            <w:r w:rsidRPr="00FE65C0">
              <w:rPr>
                <w:rFonts w:cs="Traditional Arabic" w:hint="cs"/>
                <w:b/>
                <w:bCs/>
                <w:sz w:val="20"/>
                <w:szCs w:val="30"/>
                <w:rtl/>
                <w:lang w:val="fr-CH"/>
              </w:rPr>
              <w:t>الانتهاك</w:t>
            </w:r>
          </w:p>
        </w:tc>
        <w:tc>
          <w:tcPr>
            <w:tcW w:w="4633" w:type="dxa"/>
            <w:shd w:val="clear" w:color="auto" w:fill="auto"/>
            <w:vAlign w:val="bottom"/>
          </w:tcPr>
          <w:p w:rsidR="00F72BDC" w:rsidRPr="00FE65C0" w:rsidRDefault="00F72BDC" w:rsidP="00A822DC">
            <w:pPr>
              <w:spacing w:after="100" w:line="360" w:lineRule="exact"/>
              <w:rPr>
                <w:rFonts w:cs="Traditional Arabic" w:hint="cs"/>
                <w:spacing w:val="-4"/>
                <w:sz w:val="20"/>
                <w:szCs w:val="30"/>
                <w:rtl/>
                <w:lang w:val="fr-CH"/>
              </w:rPr>
            </w:pPr>
            <w:r w:rsidRPr="00FE65C0">
              <w:rPr>
                <w:rFonts w:cs="Traditional Arabic" w:hint="cs"/>
                <w:spacing w:val="-4"/>
                <w:sz w:val="20"/>
                <w:szCs w:val="30"/>
                <w:rtl/>
                <w:lang w:val="fr-CH"/>
              </w:rPr>
              <w:t>الفقرة 1 من المادة 2 بالاقتران مع المواد 1 و12 و13 و14</w:t>
            </w:r>
          </w:p>
        </w:tc>
      </w:tr>
      <w:tr w:rsidR="00F72BDC" w:rsidRPr="00FE65C0" w:rsidTr="00FE65C0">
        <w:trPr>
          <w:cantSplit/>
        </w:trPr>
        <w:tc>
          <w:tcPr>
            <w:tcW w:w="2576" w:type="dxa"/>
            <w:shd w:val="clear" w:color="auto" w:fill="auto"/>
          </w:tcPr>
          <w:p w:rsidR="00F72BDC" w:rsidRPr="00FE65C0" w:rsidRDefault="00F72BDC" w:rsidP="00A822DC">
            <w:pPr>
              <w:spacing w:after="100" w:line="360" w:lineRule="exact"/>
              <w:rPr>
                <w:rFonts w:cs="Traditional Arabic" w:hint="cs"/>
                <w:b/>
                <w:bCs/>
                <w:sz w:val="20"/>
                <w:szCs w:val="30"/>
                <w:rtl/>
                <w:lang w:val="fr-CH"/>
              </w:rPr>
            </w:pPr>
            <w:r w:rsidRPr="00FE65C0">
              <w:rPr>
                <w:rFonts w:cs="Traditional Arabic" w:hint="cs"/>
                <w:b/>
                <w:bCs/>
                <w:sz w:val="20"/>
                <w:szCs w:val="30"/>
                <w:rtl/>
                <w:lang w:val="fr-CH"/>
              </w:rPr>
              <w:t>الانتصاف الموصى به</w:t>
            </w:r>
          </w:p>
        </w:tc>
        <w:tc>
          <w:tcPr>
            <w:tcW w:w="4633" w:type="dxa"/>
            <w:shd w:val="clear" w:color="auto" w:fill="auto"/>
            <w:vAlign w:val="bottom"/>
          </w:tcPr>
          <w:p w:rsidR="00F72BDC" w:rsidRPr="00FE65C0" w:rsidRDefault="00F72BDC" w:rsidP="00A822DC">
            <w:pPr>
              <w:spacing w:after="100" w:line="360" w:lineRule="exact"/>
              <w:rPr>
                <w:rFonts w:cs="Traditional Arabic" w:hint="cs"/>
                <w:spacing w:val="-4"/>
                <w:sz w:val="20"/>
                <w:szCs w:val="30"/>
                <w:rtl/>
                <w:lang w:val="fr-CH"/>
              </w:rPr>
            </w:pPr>
            <w:r w:rsidRPr="00FE65C0">
              <w:rPr>
                <w:rFonts w:cs="Traditional Arabic" w:hint="cs"/>
                <w:spacing w:val="-4"/>
                <w:sz w:val="20"/>
                <w:szCs w:val="30"/>
                <w:rtl/>
                <w:lang w:val="fr-CH"/>
              </w:rPr>
              <w:t>حثت اللجنة الدولة الطرف على محاكمة المسؤولين عن الانتهاك وعلى تقديم التعويض الواجب لصاحب الشكوى.</w:t>
            </w:r>
          </w:p>
        </w:tc>
      </w:tr>
      <w:tr w:rsidR="00F72BDC" w:rsidRPr="00FE65C0" w:rsidTr="00FE65C0">
        <w:trPr>
          <w:cantSplit/>
        </w:trPr>
        <w:tc>
          <w:tcPr>
            <w:tcW w:w="7209" w:type="dxa"/>
            <w:gridSpan w:val="2"/>
            <w:shd w:val="clear" w:color="auto" w:fill="auto"/>
            <w:vAlign w:val="bottom"/>
          </w:tcPr>
          <w:p w:rsidR="00F72BDC" w:rsidRPr="00FE65C0" w:rsidRDefault="00F72BDC" w:rsidP="00A822DC">
            <w:pPr>
              <w:keepNext/>
              <w:keepLines/>
              <w:spacing w:after="100" w:line="360" w:lineRule="exact"/>
              <w:rPr>
                <w:rFonts w:cs="Traditional Arabic" w:hint="cs"/>
                <w:b/>
                <w:bCs/>
                <w:sz w:val="20"/>
                <w:szCs w:val="30"/>
                <w:rtl/>
              </w:rPr>
            </w:pPr>
            <w:r w:rsidRPr="00FE65C0">
              <w:rPr>
                <w:rFonts w:cs="Traditional Arabic" w:hint="cs"/>
                <w:b/>
                <w:bCs/>
                <w:sz w:val="20"/>
                <w:szCs w:val="30"/>
                <w:rtl/>
                <w:lang w:val="fr-CH"/>
              </w:rPr>
              <w:t xml:space="preserve">معلومات المتابعة المُقدَّمة سابقاً: </w:t>
            </w:r>
            <w:r w:rsidRPr="00FE65C0">
              <w:rPr>
                <w:rFonts w:cs="Traditional Arabic"/>
                <w:b/>
                <w:sz w:val="20"/>
                <w:szCs w:val="30"/>
              </w:rPr>
              <w:t>A/66/44</w:t>
            </w:r>
            <w:r w:rsidRPr="00FE65C0">
              <w:rPr>
                <w:rFonts w:cs="Traditional Arabic" w:hint="cs"/>
                <w:b/>
                <w:bCs/>
                <w:sz w:val="20"/>
                <w:szCs w:val="30"/>
                <w:rtl/>
                <w:lang w:val="fr-CH"/>
              </w:rPr>
              <w:t>، الفصل السادس و</w:t>
            </w:r>
            <w:r w:rsidRPr="00FE65C0">
              <w:rPr>
                <w:rFonts w:cs="Traditional Arabic"/>
                <w:b/>
                <w:bCs/>
                <w:sz w:val="20"/>
                <w:szCs w:val="30"/>
              </w:rPr>
              <w:t>A/67/44</w:t>
            </w:r>
            <w:r w:rsidRPr="00FE65C0">
              <w:rPr>
                <w:rFonts w:cs="Traditional Arabic" w:hint="cs"/>
                <w:b/>
                <w:bCs/>
                <w:sz w:val="20"/>
                <w:szCs w:val="30"/>
                <w:rtl/>
              </w:rPr>
              <w:t>، الفصل السادس</w:t>
            </w:r>
          </w:p>
        </w:tc>
      </w:tr>
      <w:tr w:rsidR="00F72BDC" w:rsidRPr="00FE65C0" w:rsidTr="00A822DC">
        <w:trPr>
          <w:cantSplit/>
        </w:trPr>
        <w:tc>
          <w:tcPr>
            <w:tcW w:w="7209" w:type="dxa"/>
            <w:gridSpan w:val="2"/>
            <w:shd w:val="clear" w:color="auto" w:fill="auto"/>
            <w:vAlign w:val="bottom"/>
          </w:tcPr>
          <w:p w:rsidR="00F72BDC" w:rsidRPr="00FE65C0" w:rsidRDefault="00F72BDC" w:rsidP="00A822DC">
            <w:pPr>
              <w:spacing w:after="100" w:line="360" w:lineRule="exact"/>
              <w:rPr>
                <w:rFonts w:cs="Traditional Arabic" w:hint="cs"/>
                <w:sz w:val="20"/>
                <w:szCs w:val="30"/>
                <w:rtl/>
                <w:lang w:val="fr-CH"/>
              </w:rPr>
            </w:pPr>
            <w:r w:rsidRPr="00FE65C0">
              <w:rPr>
                <w:rFonts w:cs="Traditional Arabic"/>
                <w:sz w:val="20"/>
                <w:szCs w:val="30"/>
                <w:rtl/>
                <w:lang w:val="fr-CH"/>
              </w:rPr>
              <w:tab/>
            </w:r>
            <w:r w:rsidRPr="00FE65C0">
              <w:rPr>
                <w:rFonts w:cs="Traditional Arabic" w:hint="cs"/>
                <w:sz w:val="20"/>
                <w:szCs w:val="30"/>
                <w:rtl/>
                <w:lang w:val="fr-CH"/>
              </w:rPr>
              <w:t>في 18 شباط/فبراير 2013، أرسل تذكير إلى صاحب الشكوى لإبداء تعليقاته.</w:t>
            </w:r>
          </w:p>
        </w:tc>
      </w:tr>
      <w:tr w:rsidR="00F72BDC" w:rsidRPr="00FE65C0" w:rsidTr="00A822DC">
        <w:trPr>
          <w:cantSplit/>
        </w:trPr>
        <w:tc>
          <w:tcPr>
            <w:tcW w:w="7209" w:type="dxa"/>
            <w:gridSpan w:val="2"/>
            <w:tcBorders>
              <w:bottom w:val="single" w:sz="12" w:space="0" w:color="auto"/>
            </w:tcBorders>
            <w:shd w:val="clear" w:color="auto" w:fill="auto"/>
            <w:vAlign w:val="bottom"/>
          </w:tcPr>
          <w:p w:rsidR="00F72BDC" w:rsidRPr="005E4BCD" w:rsidRDefault="005E4BCD" w:rsidP="00A822DC">
            <w:pPr>
              <w:spacing w:after="100" w:line="360" w:lineRule="exact"/>
              <w:rPr>
                <w:rFonts w:cs="Traditional Arabic" w:hint="cs"/>
                <w:sz w:val="20"/>
                <w:szCs w:val="30"/>
                <w:rtl/>
                <w:lang w:val="fr-CH"/>
              </w:rPr>
            </w:pPr>
            <w:r w:rsidRPr="005E4BCD">
              <w:rPr>
                <w:rFonts w:cs="Traditional Arabic"/>
                <w:sz w:val="20"/>
                <w:szCs w:val="30"/>
                <w:rtl/>
                <w:lang w:val="fr-CH"/>
              </w:rPr>
              <w:tab/>
            </w:r>
            <w:r w:rsidR="00F72BDC" w:rsidRPr="005E4BCD">
              <w:rPr>
                <w:rFonts w:cs="Traditional Arabic" w:hint="cs"/>
                <w:sz w:val="20"/>
                <w:szCs w:val="30"/>
                <w:rtl/>
                <w:lang w:val="fr-CH"/>
              </w:rPr>
              <w:t>قرار اللجنة: حوار المتابعة مستمر.</w:t>
            </w:r>
          </w:p>
        </w:tc>
      </w:tr>
    </w:tbl>
    <w:p w:rsidR="00F72BDC" w:rsidRPr="00F41C55" w:rsidRDefault="00F72BDC" w:rsidP="00A822DC">
      <w:pPr>
        <w:pStyle w:val="SingleTxtGA"/>
        <w:spacing w:after="0" w:line="60" w:lineRule="exact"/>
        <w:rPr>
          <w:sz w:val="30"/>
        </w:rPr>
      </w:pPr>
    </w:p>
    <w:tbl>
      <w:tblPr>
        <w:tblStyle w:val="TableGrid"/>
        <w:bidiVisual/>
        <w:tblW w:w="7237" w:type="dxa"/>
        <w:tblInd w:w="13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744"/>
        <w:gridCol w:w="4493"/>
      </w:tblGrid>
      <w:tr w:rsidR="00F72BDC" w:rsidRPr="00A822DC" w:rsidTr="00A822DC">
        <w:trPr>
          <w:trHeight w:val="121"/>
        </w:trPr>
        <w:tc>
          <w:tcPr>
            <w:tcW w:w="2744" w:type="dxa"/>
            <w:tcBorders>
              <w:top w:val="single" w:sz="4" w:space="0" w:color="auto"/>
              <w:bottom w:val="single" w:sz="12" w:space="0" w:color="auto"/>
            </w:tcBorders>
            <w:shd w:val="clear" w:color="auto" w:fill="auto"/>
            <w:vAlign w:val="bottom"/>
          </w:tcPr>
          <w:p w:rsidR="00F72BDC" w:rsidRPr="00A822DC" w:rsidRDefault="00F72BDC" w:rsidP="00A822DC">
            <w:pPr>
              <w:keepNext/>
              <w:keepLines/>
              <w:spacing w:after="120" w:line="380" w:lineRule="exact"/>
              <w:rPr>
                <w:rFonts w:cs="Traditional Arabic" w:hint="cs"/>
                <w:b/>
                <w:bCs/>
                <w:sz w:val="20"/>
                <w:szCs w:val="30"/>
                <w:rtl/>
                <w:lang w:val="fr-CH"/>
              </w:rPr>
            </w:pPr>
            <w:r w:rsidRPr="00A822DC">
              <w:rPr>
                <w:rFonts w:cs="Traditional Arabic" w:hint="cs"/>
                <w:b/>
                <w:bCs/>
                <w:sz w:val="20"/>
                <w:szCs w:val="30"/>
                <w:rtl/>
                <w:lang w:val="fr-CH"/>
              </w:rPr>
              <w:t>الدولة الطرف</w:t>
            </w:r>
          </w:p>
        </w:tc>
        <w:tc>
          <w:tcPr>
            <w:tcW w:w="4493" w:type="dxa"/>
            <w:tcBorders>
              <w:top w:val="single" w:sz="4" w:space="0" w:color="auto"/>
              <w:bottom w:val="single" w:sz="12" w:space="0" w:color="auto"/>
            </w:tcBorders>
            <w:shd w:val="clear" w:color="auto" w:fill="auto"/>
            <w:vAlign w:val="bottom"/>
          </w:tcPr>
          <w:p w:rsidR="00F72BDC" w:rsidRPr="00A822DC" w:rsidRDefault="00F72BDC" w:rsidP="00A822DC">
            <w:pPr>
              <w:keepNext/>
              <w:keepLines/>
              <w:spacing w:after="120" w:line="380" w:lineRule="exact"/>
              <w:rPr>
                <w:rFonts w:cs="Traditional Arabic" w:hint="cs"/>
                <w:b/>
                <w:bCs/>
                <w:sz w:val="20"/>
                <w:szCs w:val="30"/>
                <w:rtl/>
                <w:lang w:val="fr-CH"/>
              </w:rPr>
            </w:pPr>
            <w:r w:rsidRPr="00A822DC">
              <w:rPr>
                <w:rFonts w:cs="Traditional Arabic" w:hint="cs"/>
                <w:b/>
                <w:bCs/>
                <w:sz w:val="20"/>
                <w:szCs w:val="30"/>
                <w:rtl/>
                <w:lang w:val="fr-CH"/>
              </w:rPr>
              <w:t>صربيا</w:t>
            </w:r>
          </w:p>
        </w:tc>
      </w:tr>
      <w:tr w:rsidR="00F72BDC" w:rsidRPr="00A822DC" w:rsidTr="00A822DC">
        <w:tc>
          <w:tcPr>
            <w:tcW w:w="2744" w:type="dxa"/>
            <w:tcBorders>
              <w:top w:val="single" w:sz="12" w:space="0" w:color="auto"/>
            </w:tcBorders>
            <w:shd w:val="clear" w:color="auto" w:fill="auto"/>
          </w:tcPr>
          <w:p w:rsidR="00F72BDC" w:rsidRPr="00A822DC" w:rsidRDefault="00F72BDC" w:rsidP="00A822DC">
            <w:pPr>
              <w:spacing w:after="120" w:line="380" w:lineRule="exact"/>
              <w:rPr>
                <w:rFonts w:cs="Traditional Arabic" w:hint="cs"/>
                <w:b/>
                <w:bCs/>
                <w:sz w:val="20"/>
                <w:szCs w:val="30"/>
                <w:rtl/>
                <w:lang w:val="fr-CH"/>
              </w:rPr>
            </w:pPr>
            <w:r w:rsidRPr="00A822DC">
              <w:rPr>
                <w:rFonts w:cs="Traditional Arabic" w:hint="cs"/>
                <w:b/>
                <w:bCs/>
                <w:sz w:val="20"/>
                <w:szCs w:val="30"/>
                <w:rtl/>
                <w:lang w:val="fr-CH"/>
              </w:rPr>
              <w:t xml:space="preserve">القضية </w:t>
            </w:r>
          </w:p>
        </w:tc>
        <w:tc>
          <w:tcPr>
            <w:tcW w:w="4493" w:type="dxa"/>
            <w:tcBorders>
              <w:top w:val="single" w:sz="12" w:space="0" w:color="auto"/>
            </w:tcBorders>
            <w:shd w:val="clear" w:color="auto" w:fill="auto"/>
            <w:vAlign w:val="bottom"/>
          </w:tcPr>
          <w:p w:rsidR="00F72BDC" w:rsidRPr="00A822DC" w:rsidRDefault="00F72BDC" w:rsidP="00A822DC">
            <w:pPr>
              <w:spacing w:after="120" w:line="380" w:lineRule="exact"/>
              <w:rPr>
                <w:rFonts w:cs="Traditional Arabic" w:hint="cs"/>
                <w:b/>
                <w:bCs/>
                <w:sz w:val="20"/>
                <w:szCs w:val="30"/>
                <w:rtl/>
                <w:lang w:val="fr-CH"/>
              </w:rPr>
            </w:pPr>
            <w:r w:rsidRPr="00A822DC">
              <w:rPr>
                <w:rFonts w:cs="Traditional Arabic" w:hint="cs"/>
                <w:b/>
                <w:bCs/>
                <w:i/>
                <w:iCs/>
                <w:sz w:val="20"/>
                <w:szCs w:val="30"/>
                <w:rtl/>
                <w:lang w:val="fr-CH"/>
              </w:rPr>
              <w:t>نيكوليتش</w:t>
            </w:r>
            <w:r w:rsidRPr="00A822DC">
              <w:rPr>
                <w:rFonts w:cs="Traditional Arabic" w:hint="cs"/>
                <w:b/>
                <w:bCs/>
                <w:sz w:val="20"/>
                <w:szCs w:val="30"/>
                <w:rtl/>
                <w:lang w:val="fr-CH"/>
              </w:rPr>
              <w:t>، 174/2000</w:t>
            </w:r>
          </w:p>
        </w:tc>
      </w:tr>
      <w:tr w:rsidR="00F72BDC" w:rsidRPr="00A822DC" w:rsidTr="00A822DC">
        <w:tc>
          <w:tcPr>
            <w:tcW w:w="2744" w:type="dxa"/>
            <w:shd w:val="clear" w:color="auto" w:fill="auto"/>
          </w:tcPr>
          <w:p w:rsidR="00F72BDC" w:rsidRPr="00A822DC" w:rsidRDefault="00F72BDC" w:rsidP="00A822DC">
            <w:pPr>
              <w:spacing w:after="120" w:line="380" w:lineRule="exact"/>
              <w:rPr>
                <w:rFonts w:cs="Traditional Arabic" w:hint="cs"/>
                <w:b/>
                <w:bCs/>
                <w:sz w:val="20"/>
                <w:szCs w:val="30"/>
                <w:rtl/>
                <w:lang w:val="fr-CH"/>
              </w:rPr>
            </w:pPr>
            <w:r w:rsidRPr="00A822DC">
              <w:rPr>
                <w:rFonts w:cs="Traditional Arabic" w:hint="cs"/>
                <w:b/>
                <w:bCs/>
                <w:sz w:val="20"/>
                <w:szCs w:val="30"/>
                <w:rtl/>
                <w:lang w:val="fr-CH"/>
              </w:rPr>
              <w:t xml:space="preserve">قرار معتمد في </w:t>
            </w:r>
          </w:p>
        </w:tc>
        <w:tc>
          <w:tcPr>
            <w:tcW w:w="4493" w:type="dxa"/>
            <w:shd w:val="clear" w:color="auto" w:fill="auto"/>
            <w:vAlign w:val="bottom"/>
          </w:tcPr>
          <w:p w:rsidR="00F72BDC" w:rsidRPr="00A822DC" w:rsidRDefault="00F72BDC" w:rsidP="00A822DC">
            <w:pPr>
              <w:spacing w:after="120" w:line="380" w:lineRule="exact"/>
              <w:rPr>
                <w:rFonts w:cs="Traditional Arabic" w:hint="cs"/>
                <w:sz w:val="20"/>
                <w:szCs w:val="30"/>
                <w:rtl/>
                <w:lang w:val="fr-CH"/>
              </w:rPr>
            </w:pPr>
            <w:r w:rsidRPr="00A822DC">
              <w:rPr>
                <w:rFonts w:cs="Traditional Arabic" w:hint="cs"/>
                <w:sz w:val="20"/>
                <w:szCs w:val="30"/>
                <w:rtl/>
                <w:lang w:val="fr-CH"/>
              </w:rPr>
              <w:t>24 تشرين الثاني/نوفمبر 2005</w:t>
            </w:r>
          </w:p>
        </w:tc>
      </w:tr>
      <w:tr w:rsidR="00F72BDC" w:rsidRPr="00A822DC" w:rsidTr="00A822DC">
        <w:tc>
          <w:tcPr>
            <w:tcW w:w="2744" w:type="dxa"/>
            <w:shd w:val="clear" w:color="auto" w:fill="auto"/>
          </w:tcPr>
          <w:p w:rsidR="00F72BDC" w:rsidRPr="00A822DC" w:rsidRDefault="00F72BDC" w:rsidP="00A822DC">
            <w:pPr>
              <w:spacing w:after="120" w:line="380" w:lineRule="exact"/>
              <w:rPr>
                <w:rFonts w:cs="Traditional Arabic" w:hint="cs"/>
                <w:b/>
                <w:bCs/>
                <w:sz w:val="20"/>
                <w:szCs w:val="30"/>
                <w:rtl/>
                <w:lang w:val="fr-CH"/>
              </w:rPr>
            </w:pPr>
            <w:r w:rsidRPr="00A822DC">
              <w:rPr>
                <w:rFonts w:cs="Traditional Arabic" w:hint="cs"/>
                <w:b/>
                <w:bCs/>
                <w:sz w:val="20"/>
                <w:szCs w:val="30"/>
                <w:rtl/>
                <w:lang w:val="fr-CH"/>
              </w:rPr>
              <w:t xml:space="preserve">الانتهاك </w:t>
            </w:r>
          </w:p>
        </w:tc>
        <w:tc>
          <w:tcPr>
            <w:tcW w:w="4493" w:type="dxa"/>
            <w:shd w:val="clear" w:color="auto" w:fill="auto"/>
            <w:vAlign w:val="bottom"/>
          </w:tcPr>
          <w:p w:rsidR="00F72BDC" w:rsidRPr="00A822DC" w:rsidRDefault="00F72BDC" w:rsidP="00A822DC">
            <w:pPr>
              <w:spacing w:after="120" w:line="380" w:lineRule="exact"/>
              <w:rPr>
                <w:rFonts w:cs="Traditional Arabic" w:hint="cs"/>
                <w:sz w:val="20"/>
                <w:szCs w:val="30"/>
                <w:rtl/>
                <w:lang w:val="fr-CH"/>
              </w:rPr>
            </w:pPr>
            <w:r w:rsidRPr="00A822DC">
              <w:rPr>
                <w:rFonts w:cs="Traditional Arabic" w:hint="cs"/>
                <w:sz w:val="20"/>
                <w:szCs w:val="30"/>
                <w:rtl/>
                <w:lang w:val="fr-CH"/>
              </w:rPr>
              <w:t>المادتان 12 و13</w:t>
            </w:r>
          </w:p>
        </w:tc>
      </w:tr>
      <w:tr w:rsidR="00F72BDC" w:rsidRPr="00A822DC" w:rsidTr="00A822DC">
        <w:tc>
          <w:tcPr>
            <w:tcW w:w="2744" w:type="dxa"/>
            <w:shd w:val="clear" w:color="auto" w:fill="auto"/>
          </w:tcPr>
          <w:p w:rsidR="00F72BDC" w:rsidRPr="00A822DC" w:rsidRDefault="00F72BDC" w:rsidP="00A822DC">
            <w:pPr>
              <w:spacing w:after="120" w:line="380" w:lineRule="exact"/>
              <w:rPr>
                <w:rFonts w:cs="Traditional Arabic" w:hint="cs"/>
                <w:b/>
                <w:bCs/>
                <w:sz w:val="20"/>
                <w:szCs w:val="30"/>
                <w:rtl/>
                <w:lang w:val="fr-CH"/>
              </w:rPr>
            </w:pPr>
            <w:r w:rsidRPr="00A822DC">
              <w:rPr>
                <w:rFonts w:cs="Traditional Arabic" w:hint="cs"/>
                <w:b/>
                <w:bCs/>
                <w:sz w:val="20"/>
                <w:szCs w:val="30"/>
                <w:rtl/>
                <w:lang w:val="fr-CH"/>
              </w:rPr>
              <w:t>الانتصاف الموصى به</w:t>
            </w:r>
          </w:p>
        </w:tc>
        <w:tc>
          <w:tcPr>
            <w:tcW w:w="4493" w:type="dxa"/>
            <w:shd w:val="clear" w:color="auto" w:fill="auto"/>
            <w:vAlign w:val="bottom"/>
          </w:tcPr>
          <w:p w:rsidR="00F72BDC" w:rsidRPr="00A822DC" w:rsidRDefault="00F72BDC" w:rsidP="00A822DC">
            <w:pPr>
              <w:spacing w:after="120" w:line="380" w:lineRule="exact"/>
              <w:rPr>
                <w:rFonts w:cs="Traditional Arabic" w:hint="cs"/>
                <w:sz w:val="20"/>
                <w:szCs w:val="30"/>
                <w:rtl/>
                <w:lang w:val="fr-CH"/>
              </w:rPr>
            </w:pPr>
            <w:r w:rsidRPr="00A822DC">
              <w:rPr>
                <w:rFonts w:cs="Traditional Arabic" w:hint="cs"/>
                <w:sz w:val="20"/>
                <w:szCs w:val="30"/>
                <w:rtl/>
                <w:lang w:val="fr-CH"/>
              </w:rPr>
              <w:t xml:space="preserve">إجراء تحقيق نزيه في ملابسات وفاة ابن صاحبي الشكوى. </w:t>
            </w:r>
          </w:p>
        </w:tc>
      </w:tr>
      <w:tr w:rsidR="00F72BDC" w:rsidRPr="00A822DC" w:rsidTr="00A822DC">
        <w:tc>
          <w:tcPr>
            <w:tcW w:w="7237" w:type="dxa"/>
            <w:gridSpan w:val="2"/>
            <w:shd w:val="clear" w:color="auto" w:fill="auto"/>
            <w:vAlign w:val="bottom"/>
          </w:tcPr>
          <w:p w:rsidR="00F72BDC" w:rsidRPr="00A822DC" w:rsidRDefault="00F72BDC" w:rsidP="00A822DC">
            <w:pPr>
              <w:spacing w:after="120" w:line="380" w:lineRule="exact"/>
              <w:rPr>
                <w:rFonts w:cs="Traditional Arabic" w:hint="cs"/>
                <w:b/>
                <w:bCs/>
                <w:sz w:val="20"/>
                <w:szCs w:val="30"/>
                <w:rtl/>
                <w:lang w:val="fr-CH"/>
              </w:rPr>
            </w:pPr>
            <w:r w:rsidRPr="00A822DC">
              <w:rPr>
                <w:rFonts w:cs="Traditional Arabic" w:hint="cs"/>
                <w:b/>
                <w:bCs/>
                <w:sz w:val="20"/>
                <w:szCs w:val="30"/>
                <w:rtl/>
                <w:lang w:val="fr-CH"/>
              </w:rPr>
              <w:t xml:space="preserve">معلومات المتابعة المُقدَّمة سابقاً: </w:t>
            </w:r>
            <w:r w:rsidRPr="00A822DC">
              <w:rPr>
                <w:rFonts w:cs="Traditional Arabic"/>
                <w:b/>
                <w:sz w:val="20"/>
                <w:szCs w:val="30"/>
              </w:rPr>
              <w:t>A/66/44</w:t>
            </w:r>
            <w:r w:rsidRPr="00A822DC">
              <w:rPr>
                <w:rFonts w:cs="Traditional Arabic" w:hint="cs"/>
                <w:b/>
                <w:bCs/>
                <w:sz w:val="20"/>
                <w:szCs w:val="30"/>
                <w:rtl/>
                <w:lang w:val="fr-CH"/>
              </w:rPr>
              <w:t>، الفصل السادس و</w:t>
            </w:r>
            <w:r w:rsidRPr="00A822DC">
              <w:rPr>
                <w:rFonts w:cs="Traditional Arabic"/>
                <w:b/>
                <w:bCs/>
                <w:sz w:val="20"/>
                <w:szCs w:val="30"/>
              </w:rPr>
              <w:t>A/67/44</w:t>
            </w:r>
            <w:r w:rsidRPr="00A822DC">
              <w:rPr>
                <w:rFonts w:cs="Traditional Arabic" w:hint="cs"/>
                <w:b/>
                <w:bCs/>
                <w:sz w:val="20"/>
                <w:szCs w:val="30"/>
                <w:rtl/>
              </w:rPr>
              <w:t>، الفصل السادس</w:t>
            </w:r>
          </w:p>
        </w:tc>
      </w:tr>
      <w:tr w:rsidR="00F72BDC" w:rsidRPr="00A822DC" w:rsidTr="00A822DC">
        <w:tc>
          <w:tcPr>
            <w:tcW w:w="7237" w:type="dxa"/>
            <w:gridSpan w:val="2"/>
            <w:shd w:val="clear" w:color="auto" w:fill="auto"/>
            <w:vAlign w:val="bottom"/>
          </w:tcPr>
          <w:p w:rsidR="00F72BDC" w:rsidRPr="00A822DC" w:rsidRDefault="00F72BDC" w:rsidP="00A822DC">
            <w:pPr>
              <w:tabs>
                <w:tab w:val="left" w:pos="536"/>
              </w:tabs>
              <w:spacing w:after="120" w:line="380" w:lineRule="exact"/>
              <w:rPr>
                <w:rFonts w:cs="Traditional Arabic" w:hint="cs"/>
                <w:spacing w:val="-4"/>
                <w:sz w:val="20"/>
                <w:szCs w:val="30"/>
                <w:rtl/>
                <w:lang w:val="fr-CH"/>
              </w:rPr>
            </w:pPr>
            <w:r w:rsidRPr="00A822DC">
              <w:rPr>
                <w:rFonts w:cs="Traditional Arabic"/>
                <w:spacing w:val="-4"/>
                <w:sz w:val="20"/>
                <w:szCs w:val="30"/>
                <w:rtl/>
                <w:lang w:val="fr-CH"/>
              </w:rPr>
              <w:tab/>
            </w:r>
            <w:r w:rsidRPr="00A822DC">
              <w:rPr>
                <w:rFonts w:cs="Traditional Arabic" w:hint="cs"/>
                <w:spacing w:val="-4"/>
                <w:sz w:val="20"/>
                <w:szCs w:val="30"/>
                <w:rtl/>
                <w:lang w:val="fr-CH"/>
              </w:rPr>
              <w:t>في 18 شباط/فبراير 2013، أرسل تذكير إلى محامي صاحب الشكوى لإبداء تعليقاته.</w:t>
            </w:r>
          </w:p>
        </w:tc>
      </w:tr>
      <w:tr w:rsidR="00F72BDC" w:rsidRPr="00A822DC" w:rsidTr="00A822DC">
        <w:tc>
          <w:tcPr>
            <w:tcW w:w="7237" w:type="dxa"/>
            <w:gridSpan w:val="2"/>
            <w:tcBorders>
              <w:bottom w:val="single" w:sz="12" w:space="0" w:color="auto"/>
            </w:tcBorders>
            <w:shd w:val="clear" w:color="auto" w:fill="auto"/>
            <w:vAlign w:val="bottom"/>
          </w:tcPr>
          <w:p w:rsidR="00F72BDC" w:rsidRPr="00A822DC" w:rsidRDefault="00A822DC" w:rsidP="00A822DC">
            <w:pPr>
              <w:tabs>
                <w:tab w:val="left" w:pos="536"/>
              </w:tabs>
              <w:spacing w:after="120" w:line="380" w:lineRule="exact"/>
              <w:rPr>
                <w:rFonts w:cs="Traditional Arabic" w:hint="cs"/>
                <w:sz w:val="20"/>
                <w:szCs w:val="30"/>
                <w:rtl/>
                <w:lang w:val="fr-CH"/>
              </w:rPr>
            </w:pPr>
            <w:r w:rsidRPr="00A822DC">
              <w:rPr>
                <w:rFonts w:cs="Traditional Arabic"/>
                <w:sz w:val="20"/>
                <w:szCs w:val="30"/>
                <w:rtl/>
                <w:lang w:val="fr-CH"/>
              </w:rPr>
              <w:tab/>
            </w:r>
            <w:r w:rsidR="00F72BDC" w:rsidRPr="00A822DC">
              <w:rPr>
                <w:rFonts w:cs="Traditional Arabic" w:hint="cs"/>
                <w:sz w:val="20"/>
                <w:szCs w:val="30"/>
                <w:rtl/>
                <w:lang w:val="fr-CH"/>
              </w:rPr>
              <w:t>قرار اللجنة: حوار المتابعة مستمر.</w:t>
            </w:r>
          </w:p>
        </w:tc>
      </w:tr>
    </w:tbl>
    <w:p w:rsidR="00F72BDC" w:rsidRPr="00F41C55" w:rsidRDefault="00F72BDC" w:rsidP="00AA34F8">
      <w:pPr>
        <w:pStyle w:val="SingleTxtGA"/>
        <w:spacing w:after="0"/>
        <w:rPr>
          <w:rFonts w:hint="cs"/>
          <w:rtl/>
        </w:rPr>
      </w:pPr>
    </w:p>
    <w:tbl>
      <w:tblPr>
        <w:tblStyle w:val="TableGrid"/>
        <w:bidiVisual/>
        <w:tblW w:w="7209" w:type="dxa"/>
        <w:tblInd w:w="1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743"/>
        <w:gridCol w:w="4466"/>
      </w:tblGrid>
      <w:tr w:rsidR="00F72BDC" w:rsidRPr="00A822DC" w:rsidTr="00A822DC">
        <w:tc>
          <w:tcPr>
            <w:tcW w:w="2743" w:type="dxa"/>
            <w:tcBorders>
              <w:top w:val="single" w:sz="4" w:space="0" w:color="auto"/>
              <w:bottom w:val="single" w:sz="12" w:space="0" w:color="auto"/>
            </w:tcBorders>
            <w:shd w:val="clear" w:color="auto" w:fill="auto"/>
            <w:vAlign w:val="bottom"/>
          </w:tcPr>
          <w:p w:rsidR="00F72BDC" w:rsidRPr="00A822DC" w:rsidRDefault="00F72BDC" w:rsidP="00A822DC">
            <w:pPr>
              <w:spacing w:after="120" w:line="380" w:lineRule="exact"/>
              <w:rPr>
                <w:rFonts w:cs="Traditional Arabic" w:hint="cs"/>
                <w:b/>
                <w:bCs/>
                <w:sz w:val="20"/>
                <w:szCs w:val="30"/>
                <w:rtl/>
                <w:lang w:val="fr-CH"/>
              </w:rPr>
            </w:pPr>
            <w:r w:rsidRPr="00A822DC">
              <w:rPr>
                <w:rFonts w:cs="Traditional Arabic" w:hint="cs"/>
                <w:b/>
                <w:bCs/>
                <w:sz w:val="20"/>
                <w:szCs w:val="30"/>
                <w:rtl/>
                <w:lang w:val="fr-CH"/>
              </w:rPr>
              <w:t>الدولة الطرف</w:t>
            </w:r>
          </w:p>
        </w:tc>
        <w:tc>
          <w:tcPr>
            <w:tcW w:w="4466" w:type="dxa"/>
            <w:tcBorders>
              <w:top w:val="single" w:sz="4" w:space="0" w:color="auto"/>
              <w:bottom w:val="single" w:sz="12" w:space="0" w:color="auto"/>
            </w:tcBorders>
            <w:shd w:val="clear" w:color="auto" w:fill="auto"/>
            <w:vAlign w:val="bottom"/>
          </w:tcPr>
          <w:p w:rsidR="00F72BDC" w:rsidRPr="00A822DC" w:rsidRDefault="00F72BDC" w:rsidP="00A822DC">
            <w:pPr>
              <w:spacing w:after="120" w:line="380" w:lineRule="exact"/>
              <w:rPr>
                <w:rFonts w:cs="Traditional Arabic" w:hint="cs"/>
                <w:b/>
                <w:bCs/>
                <w:sz w:val="20"/>
                <w:szCs w:val="30"/>
                <w:rtl/>
                <w:lang w:val="fr-CH"/>
              </w:rPr>
            </w:pPr>
            <w:r w:rsidRPr="00A822DC">
              <w:rPr>
                <w:rFonts w:cs="Traditional Arabic" w:hint="cs"/>
                <w:b/>
                <w:bCs/>
                <w:sz w:val="20"/>
                <w:szCs w:val="30"/>
                <w:rtl/>
                <w:lang w:val="fr-CH"/>
              </w:rPr>
              <w:t>إسبانيا</w:t>
            </w:r>
          </w:p>
        </w:tc>
      </w:tr>
      <w:tr w:rsidR="00F72BDC" w:rsidRPr="00A822DC" w:rsidTr="00A822DC">
        <w:tc>
          <w:tcPr>
            <w:tcW w:w="2743" w:type="dxa"/>
            <w:tcBorders>
              <w:top w:val="single" w:sz="12" w:space="0" w:color="auto"/>
            </w:tcBorders>
            <w:shd w:val="clear" w:color="auto" w:fill="auto"/>
          </w:tcPr>
          <w:p w:rsidR="00F72BDC" w:rsidRPr="00A822DC" w:rsidRDefault="00F72BDC" w:rsidP="00A822DC">
            <w:pPr>
              <w:spacing w:after="120" w:line="380" w:lineRule="exact"/>
              <w:rPr>
                <w:rFonts w:cs="Traditional Arabic" w:hint="cs"/>
                <w:b/>
                <w:bCs/>
                <w:sz w:val="20"/>
                <w:szCs w:val="30"/>
                <w:rtl/>
                <w:lang w:val="fr-CH"/>
              </w:rPr>
            </w:pPr>
            <w:r w:rsidRPr="00A822DC">
              <w:rPr>
                <w:rFonts w:cs="Traditional Arabic" w:hint="cs"/>
                <w:b/>
                <w:bCs/>
                <w:sz w:val="20"/>
                <w:szCs w:val="30"/>
                <w:rtl/>
                <w:lang w:val="fr-CH"/>
              </w:rPr>
              <w:t>القضية</w:t>
            </w:r>
          </w:p>
        </w:tc>
        <w:tc>
          <w:tcPr>
            <w:tcW w:w="4466" w:type="dxa"/>
            <w:tcBorders>
              <w:top w:val="single" w:sz="12" w:space="0" w:color="auto"/>
            </w:tcBorders>
            <w:shd w:val="clear" w:color="auto" w:fill="auto"/>
            <w:vAlign w:val="bottom"/>
          </w:tcPr>
          <w:p w:rsidR="00F72BDC" w:rsidRPr="00A822DC" w:rsidRDefault="00F72BDC" w:rsidP="00A822DC">
            <w:pPr>
              <w:spacing w:after="120" w:line="380" w:lineRule="exact"/>
              <w:rPr>
                <w:rFonts w:cs="Traditional Arabic" w:hint="cs"/>
                <w:b/>
                <w:bCs/>
                <w:sz w:val="20"/>
                <w:szCs w:val="30"/>
                <w:rtl/>
                <w:lang w:val="fr-CH"/>
              </w:rPr>
            </w:pPr>
            <w:r w:rsidRPr="00A822DC">
              <w:rPr>
                <w:rFonts w:cs="Traditional Arabic" w:hint="cs"/>
                <w:b/>
                <w:bCs/>
                <w:i/>
                <w:iCs/>
                <w:sz w:val="20"/>
                <w:szCs w:val="30"/>
                <w:rtl/>
                <w:lang w:val="fr-CH"/>
              </w:rPr>
              <w:t>سونكو</w:t>
            </w:r>
            <w:r w:rsidRPr="00A822DC">
              <w:rPr>
                <w:rFonts w:cs="Traditional Arabic" w:hint="cs"/>
                <w:b/>
                <w:bCs/>
                <w:sz w:val="20"/>
                <w:szCs w:val="30"/>
                <w:rtl/>
                <w:lang w:val="fr-CH"/>
              </w:rPr>
              <w:t>، 368/2008</w:t>
            </w:r>
          </w:p>
        </w:tc>
      </w:tr>
      <w:tr w:rsidR="00F72BDC" w:rsidRPr="00A822DC" w:rsidTr="00A822DC">
        <w:tc>
          <w:tcPr>
            <w:tcW w:w="2743" w:type="dxa"/>
            <w:shd w:val="clear" w:color="auto" w:fill="auto"/>
          </w:tcPr>
          <w:p w:rsidR="00F72BDC" w:rsidRPr="00A822DC" w:rsidRDefault="00F72BDC" w:rsidP="00A822DC">
            <w:pPr>
              <w:spacing w:after="120" w:line="380" w:lineRule="exact"/>
              <w:rPr>
                <w:rFonts w:cs="Traditional Arabic" w:hint="cs"/>
                <w:b/>
                <w:bCs/>
                <w:sz w:val="20"/>
                <w:szCs w:val="30"/>
                <w:rtl/>
                <w:lang w:val="fr-CH"/>
              </w:rPr>
            </w:pPr>
            <w:r w:rsidRPr="00A822DC">
              <w:rPr>
                <w:rFonts w:cs="Traditional Arabic" w:hint="cs"/>
                <w:b/>
                <w:bCs/>
                <w:sz w:val="20"/>
                <w:szCs w:val="30"/>
                <w:rtl/>
                <w:lang w:val="fr-CH"/>
              </w:rPr>
              <w:t>قرار معتمد في</w:t>
            </w:r>
          </w:p>
        </w:tc>
        <w:tc>
          <w:tcPr>
            <w:tcW w:w="4466" w:type="dxa"/>
            <w:shd w:val="clear" w:color="auto" w:fill="auto"/>
            <w:vAlign w:val="bottom"/>
          </w:tcPr>
          <w:p w:rsidR="00F72BDC" w:rsidRPr="00A822DC" w:rsidRDefault="00F72BDC" w:rsidP="00A822DC">
            <w:pPr>
              <w:spacing w:after="120" w:line="380" w:lineRule="exact"/>
              <w:rPr>
                <w:rFonts w:cs="Traditional Arabic" w:hint="cs"/>
                <w:sz w:val="20"/>
                <w:szCs w:val="30"/>
                <w:rtl/>
                <w:lang w:val="fr-CH"/>
              </w:rPr>
            </w:pPr>
            <w:r w:rsidRPr="00A822DC">
              <w:rPr>
                <w:rFonts w:cs="Traditional Arabic" w:hint="cs"/>
                <w:sz w:val="20"/>
                <w:szCs w:val="30"/>
                <w:rtl/>
                <w:lang w:val="fr-CH"/>
              </w:rPr>
              <w:t>25 تشرين الثاني/نوفمبر 2011</w:t>
            </w:r>
          </w:p>
        </w:tc>
      </w:tr>
      <w:tr w:rsidR="00F72BDC" w:rsidRPr="00A822DC" w:rsidTr="00A822DC">
        <w:tc>
          <w:tcPr>
            <w:tcW w:w="2743" w:type="dxa"/>
            <w:shd w:val="clear" w:color="auto" w:fill="auto"/>
          </w:tcPr>
          <w:p w:rsidR="00F72BDC" w:rsidRPr="00A822DC" w:rsidRDefault="00F72BDC" w:rsidP="00A822DC">
            <w:pPr>
              <w:spacing w:after="120" w:line="380" w:lineRule="exact"/>
              <w:rPr>
                <w:rFonts w:cs="Traditional Arabic" w:hint="cs"/>
                <w:b/>
                <w:bCs/>
                <w:sz w:val="20"/>
                <w:szCs w:val="30"/>
                <w:rtl/>
                <w:lang w:val="fr-CH"/>
              </w:rPr>
            </w:pPr>
            <w:r w:rsidRPr="00A822DC">
              <w:rPr>
                <w:rFonts w:cs="Traditional Arabic" w:hint="cs"/>
                <w:b/>
                <w:bCs/>
                <w:sz w:val="20"/>
                <w:szCs w:val="30"/>
                <w:rtl/>
                <w:lang w:val="fr-CH"/>
              </w:rPr>
              <w:t>الانتهاك</w:t>
            </w:r>
          </w:p>
        </w:tc>
        <w:tc>
          <w:tcPr>
            <w:tcW w:w="4466" w:type="dxa"/>
            <w:shd w:val="clear" w:color="auto" w:fill="auto"/>
            <w:vAlign w:val="bottom"/>
          </w:tcPr>
          <w:p w:rsidR="00F72BDC" w:rsidRPr="00A822DC" w:rsidRDefault="00F72BDC" w:rsidP="00A822DC">
            <w:pPr>
              <w:spacing w:after="120" w:line="380" w:lineRule="exact"/>
              <w:rPr>
                <w:rFonts w:cs="Traditional Arabic" w:hint="cs"/>
                <w:sz w:val="20"/>
                <w:szCs w:val="30"/>
                <w:rtl/>
                <w:lang w:val="fr-CH"/>
              </w:rPr>
            </w:pPr>
            <w:r w:rsidRPr="00A822DC">
              <w:rPr>
                <w:rFonts w:cs="Traditional Arabic" w:hint="cs"/>
                <w:sz w:val="20"/>
                <w:szCs w:val="30"/>
                <w:rtl/>
                <w:lang w:val="fr-CH"/>
              </w:rPr>
              <w:t>المادتان 12 و162</w:t>
            </w:r>
          </w:p>
        </w:tc>
      </w:tr>
      <w:tr w:rsidR="00F72BDC" w:rsidRPr="00A822DC" w:rsidTr="00A822DC">
        <w:tc>
          <w:tcPr>
            <w:tcW w:w="2743" w:type="dxa"/>
            <w:shd w:val="clear" w:color="auto" w:fill="auto"/>
          </w:tcPr>
          <w:p w:rsidR="00F72BDC" w:rsidRPr="00A822DC" w:rsidRDefault="00F72BDC" w:rsidP="00A822DC">
            <w:pPr>
              <w:spacing w:after="120" w:line="380" w:lineRule="exact"/>
              <w:rPr>
                <w:rFonts w:cs="Traditional Arabic" w:hint="cs"/>
                <w:b/>
                <w:bCs/>
                <w:sz w:val="20"/>
                <w:szCs w:val="30"/>
                <w:rtl/>
                <w:lang w:val="fr-CH"/>
              </w:rPr>
            </w:pPr>
            <w:r w:rsidRPr="00A822DC">
              <w:rPr>
                <w:rFonts w:cs="Traditional Arabic" w:hint="cs"/>
                <w:b/>
                <w:bCs/>
                <w:sz w:val="20"/>
                <w:szCs w:val="30"/>
                <w:rtl/>
                <w:lang w:val="fr-CH"/>
              </w:rPr>
              <w:t>الانتصاف الموصى به</w:t>
            </w:r>
          </w:p>
        </w:tc>
        <w:tc>
          <w:tcPr>
            <w:tcW w:w="4466" w:type="dxa"/>
            <w:shd w:val="clear" w:color="auto" w:fill="auto"/>
            <w:vAlign w:val="bottom"/>
          </w:tcPr>
          <w:p w:rsidR="00F72BDC" w:rsidRPr="00A822DC" w:rsidRDefault="00F72BDC" w:rsidP="00A822DC">
            <w:pPr>
              <w:spacing w:after="120" w:line="380" w:lineRule="exact"/>
              <w:rPr>
                <w:rFonts w:cs="Traditional Arabic" w:hint="cs"/>
                <w:sz w:val="20"/>
                <w:szCs w:val="30"/>
                <w:rtl/>
                <w:lang w:val="fr-CH"/>
              </w:rPr>
            </w:pPr>
            <w:r w:rsidRPr="00A822DC">
              <w:rPr>
                <w:rFonts w:cs="Traditional Arabic" w:hint="cs"/>
                <w:sz w:val="20"/>
                <w:szCs w:val="30"/>
                <w:rtl/>
                <w:lang w:val="fr-CH"/>
              </w:rPr>
              <w:t>إجراء تحقيق مناسب في الوقائع التي حدثت يوم 26 أيلول/سبتمبر 2007، ومحاكمة ومعاقبة أي شخص تثبت مسؤوليته عن تلك الأحداث، وتقديم انتصاف فعال يشمل تعويضاً كافياً لأسرة السيد سونكو.</w:t>
            </w:r>
          </w:p>
        </w:tc>
      </w:tr>
      <w:tr w:rsidR="00F72BDC" w:rsidRPr="00A822DC" w:rsidTr="00A822DC">
        <w:tc>
          <w:tcPr>
            <w:tcW w:w="7209" w:type="dxa"/>
            <w:gridSpan w:val="2"/>
            <w:shd w:val="clear" w:color="auto" w:fill="auto"/>
            <w:vAlign w:val="bottom"/>
          </w:tcPr>
          <w:p w:rsidR="00F72BDC" w:rsidRPr="00A822DC" w:rsidRDefault="00F72BDC" w:rsidP="00A822DC">
            <w:pPr>
              <w:spacing w:after="120" w:line="380" w:lineRule="exact"/>
              <w:rPr>
                <w:rFonts w:cs="Traditional Arabic" w:hint="cs"/>
                <w:b/>
                <w:bCs/>
                <w:sz w:val="20"/>
                <w:szCs w:val="30"/>
                <w:rtl/>
              </w:rPr>
            </w:pPr>
            <w:r w:rsidRPr="00A822DC">
              <w:rPr>
                <w:rFonts w:cs="Traditional Arabic" w:hint="cs"/>
                <w:b/>
                <w:bCs/>
                <w:sz w:val="20"/>
                <w:szCs w:val="30"/>
                <w:rtl/>
                <w:lang w:val="fr-CH"/>
              </w:rPr>
              <w:t xml:space="preserve">معلومات المتابعة التي قُدمت سابقاً: </w:t>
            </w:r>
            <w:r w:rsidRPr="00A822DC">
              <w:rPr>
                <w:rFonts w:cs="Traditional Arabic"/>
                <w:b/>
                <w:bCs/>
                <w:sz w:val="20"/>
                <w:szCs w:val="30"/>
              </w:rPr>
              <w:t>A/67/44</w:t>
            </w:r>
            <w:r w:rsidRPr="00A822DC">
              <w:rPr>
                <w:rFonts w:cs="Traditional Arabic" w:hint="cs"/>
                <w:b/>
                <w:bCs/>
                <w:sz w:val="20"/>
                <w:szCs w:val="30"/>
                <w:rtl/>
              </w:rPr>
              <w:t>، الفصل السادس</w:t>
            </w:r>
          </w:p>
          <w:p w:rsidR="00F72BDC" w:rsidRPr="00A822DC" w:rsidRDefault="00F72BDC" w:rsidP="00A822DC">
            <w:pPr>
              <w:spacing w:after="120" w:line="380" w:lineRule="exact"/>
              <w:rPr>
                <w:rFonts w:cs="Traditional Arabic" w:hint="cs"/>
                <w:spacing w:val="-4"/>
                <w:sz w:val="20"/>
                <w:szCs w:val="30"/>
                <w:rtl/>
                <w:lang w:val="fr-CH"/>
              </w:rPr>
            </w:pPr>
            <w:r w:rsidRPr="00A822DC">
              <w:rPr>
                <w:rFonts w:cs="Traditional Arabic"/>
                <w:sz w:val="20"/>
                <w:szCs w:val="30"/>
                <w:rtl/>
              </w:rPr>
              <w:tab/>
            </w:r>
            <w:r w:rsidRPr="00A822DC">
              <w:rPr>
                <w:rFonts w:cs="Traditional Arabic" w:hint="cs"/>
                <w:sz w:val="20"/>
                <w:szCs w:val="30"/>
                <w:rtl/>
              </w:rPr>
              <w:t>في 12 آذار/مارس 2013، أُرسل تذكير آخر إلى محامي صاحب الشكوى مع تحديد أجل الرد في 13 أيار/مايو 2013.</w:t>
            </w:r>
          </w:p>
        </w:tc>
      </w:tr>
      <w:tr w:rsidR="00F72BDC" w:rsidRPr="00A822DC" w:rsidTr="00A822DC">
        <w:tc>
          <w:tcPr>
            <w:tcW w:w="7209" w:type="dxa"/>
            <w:gridSpan w:val="2"/>
            <w:tcBorders>
              <w:bottom w:val="single" w:sz="12" w:space="0" w:color="auto"/>
            </w:tcBorders>
            <w:shd w:val="clear" w:color="auto" w:fill="auto"/>
            <w:vAlign w:val="bottom"/>
          </w:tcPr>
          <w:p w:rsidR="00F72BDC" w:rsidRPr="005E4BCD" w:rsidRDefault="005E4BCD" w:rsidP="00A822DC">
            <w:pPr>
              <w:spacing w:after="120" w:line="380" w:lineRule="exact"/>
              <w:rPr>
                <w:rFonts w:cs="Traditional Arabic" w:hint="cs"/>
                <w:sz w:val="20"/>
                <w:szCs w:val="30"/>
                <w:rtl/>
                <w:lang w:val="fr-CH"/>
              </w:rPr>
            </w:pPr>
            <w:r w:rsidRPr="005E4BCD">
              <w:rPr>
                <w:rFonts w:cs="Traditional Arabic"/>
                <w:sz w:val="20"/>
                <w:szCs w:val="30"/>
                <w:rtl/>
                <w:lang w:val="fr-CH"/>
              </w:rPr>
              <w:tab/>
            </w:r>
            <w:r w:rsidR="00F72BDC" w:rsidRPr="005E4BCD">
              <w:rPr>
                <w:rFonts w:cs="Traditional Arabic" w:hint="cs"/>
                <w:sz w:val="20"/>
                <w:szCs w:val="30"/>
                <w:rtl/>
                <w:lang w:val="fr-CH"/>
              </w:rPr>
              <w:t>قرار اللجنة: حوار المتابعة مستمر.</w:t>
            </w:r>
          </w:p>
        </w:tc>
      </w:tr>
    </w:tbl>
    <w:p w:rsidR="00F72BDC" w:rsidRDefault="00F72BDC" w:rsidP="00AA34F8">
      <w:pPr>
        <w:pStyle w:val="SingleTxtGA"/>
        <w:spacing w:after="0"/>
        <w:rPr>
          <w:rFonts w:hint="cs"/>
          <w:rtl/>
        </w:rPr>
      </w:pPr>
    </w:p>
    <w:tbl>
      <w:tblPr>
        <w:tblStyle w:val="TableGrid"/>
        <w:bidiVisual/>
        <w:tblW w:w="7181" w:type="dxa"/>
        <w:tblInd w:w="13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336"/>
        <w:gridCol w:w="4845"/>
      </w:tblGrid>
      <w:tr w:rsidR="00F72BDC" w:rsidRPr="00A822DC" w:rsidTr="00AA34F8">
        <w:tc>
          <w:tcPr>
            <w:tcW w:w="2336" w:type="dxa"/>
            <w:tcBorders>
              <w:top w:val="single" w:sz="4" w:space="0" w:color="auto"/>
              <w:bottom w:val="single" w:sz="12" w:space="0" w:color="auto"/>
            </w:tcBorders>
            <w:shd w:val="clear" w:color="auto" w:fill="auto"/>
          </w:tcPr>
          <w:p w:rsidR="00F72BDC" w:rsidRPr="00A822DC" w:rsidRDefault="00F72BDC" w:rsidP="00AA34F8">
            <w:pPr>
              <w:spacing w:after="120" w:line="360" w:lineRule="exact"/>
              <w:rPr>
                <w:rFonts w:cs="Traditional Arabic" w:hint="cs"/>
                <w:b/>
                <w:bCs/>
                <w:i/>
                <w:sz w:val="20"/>
                <w:szCs w:val="30"/>
                <w:rtl/>
                <w:lang w:val="fr-CH"/>
              </w:rPr>
            </w:pPr>
            <w:r w:rsidRPr="00A822DC">
              <w:rPr>
                <w:rFonts w:cs="Traditional Arabic" w:hint="cs"/>
                <w:b/>
                <w:bCs/>
                <w:i/>
                <w:sz w:val="20"/>
                <w:szCs w:val="30"/>
                <w:rtl/>
                <w:lang w:val="fr-CH"/>
              </w:rPr>
              <w:t>الدولة الطرف</w:t>
            </w:r>
          </w:p>
        </w:tc>
        <w:tc>
          <w:tcPr>
            <w:tcW w:w="4845" w:type="dxa"/>
            <w:tcBorders>
              <w:top w:val="single" w:sz="4" w:space="0" w:color="auto"/>
              <w:bottom w:val="single" w:sz="12" w:space="0" w:color="auto"/>
            </w:tcBorders>
            <w:shd w:val="clear" w:color="auto" w:fill="auto"/>
          </w:tcPr>
          <w:p w:rsidR="00F72BDC" w:rsidRPr="00A822DC" w:rsidRDefault="00F72BDC" w:rsidP="00AA34F8">
            <w:pPr>
              <w:spacing w:after="120" w:line="360" w:lineRule="exact"/>
              <w:rPr>
                <w:rFonts w:cs="Traditional Arabic" w:hint="cs"/>
                <w:b/>
                <w:bCs/>
                <w:i/>
                <w:sz w:val="20"/>
                <w:szCs w:val="30"/>
                <w:rtl/>
                <w:lang w:val="fr-CH"/>
              </w:rPr>
            </w:pPr>
            <w:r w:rsidRPr="00A822DC">
              <w:rPr>
                <w:rFonts w:cs="Traditional Arabic" w:hint="cs"/>
                <w:b/>
                <w:bCs/>
                <w:i/>
                <w:sz w:val="20"/>
                <w:szCs w:val="30"/>
                <w:rtl/>
                <w:lang w:val="fr-CH"/>
              </w:rPr>
              <w:t>إسبانيا</w:t>
            </w:r>
          </w:p>
        </w:tc>
      </w:tr>
      <w:tr w:rsidR="00F72BDC" w:rsidRPr="00A822DC" w:rsidTr="00AA34F8">
        <w:tc>
          <w:tcPr>
            <w:tcW w:w="2336" w:type="dxa"/>
            <w:tcBorders>
              <w:top w:val="single" w:sz="12" w:space="0" w:color="auto"/>
            </w:tcBorders>
            <w:shd w:val="clear" w:color="auto" w:fill="auto"/>
          </w:tcPr>
          <w:p w:rsidR="00F72BDC" w:rsidRPr="00A822DC" w:rsidRDefault="00F72BDC" w:rsidP="00AA34F8">
            <w:pPr>
              <w:spacing w:after="120" w:line="360" w:lineRule="exact"/>
              <w:rPr>
                <w:rFonts w:cs="Traditional Arabic" w:hint="cs"/>
                <w:b/>
                <w:bCs/>
                <w:sz w:val="20"/>
                <w:szCs w:val="30"/>
                <w:rtl/>
                <w:lang w:val="fr-CH"/>
              </w:rPr>
            </w:pPr>
            <w:r w:rsidRPr="00A822DC">
              <w:rPr>
                <w:rFonts w:cs="Traditional Arabic" w:hint="cs"/>
                <w:b/>
                <w:bCs/>
                <w:sz w:val="20"/>
                <w:szCs w:val="30"/>
                <w:rtl/>
                <w:lang w:val="fr-CH"/>
              </w:rPr>
              <w:t>القضية</w:t>
            </w:r>
          </w:p>
        </w:tc>
        <w:tc>
          <w:tcPr>
            <w:tcW w:w="4845" w:type="dxa"/>
            <w:tcBorders>
              <w:top w:val="single" w:sz="12" w:space="0" w:color="auto"/>
            </w:tcBorders>
            <w:shd w:val="clear" w:color="auto" w:fill="auto"/>
          </w:tcPr>
          <w:p w:rsidR="00F72BDC" w:rsidRPr="00A822DC" w:rsidRDefault="00F72BDC" w:rsidP="00AA34F8">
            <w:pPr>
              <w:spacing w:after="120" w:line="360" w:lineRule="exact"/>
              <w:rPr>
                <w:rFonts w:cs="Traditional Arabic" w:hint="cs"/>
                <w:b/>
                <w:bCs/>
                <w:sz w:val="20"/>
                <w:szCs w:val="30"/>
                <w:rtl/>
                <w:lang w:val="fr-CH"/>
              </w:rPr>
            </w:pPr>
            <w:r w:rsidRPr="00A822DC">
              <w:rPr>
                <w:rFonts w:cs="Traditional Arabic" w:hint="cs"/>
                <w:b/>
                <w:bCs/>
                <w:i/>
                <w:iCs/>
                <w:sz w:val="20"/>
                <w:szCs w:val="30"/>
                <w:rtl/>
                <w:lang w:val="fr-CH"/>
              </w:rPr>
              <w:t>غاياستيخي سودوبي</w:t>
            </w:r>
            <w:r w:rsidRPr="00A822DC">
              <w:rPr>
                <w:rFonts w:cs="Traditional Arabic" w:hint="cs"/>
                <w:b/>
                <w:bCs/>
                <w:sz w:val="20"/>
                <w:szCs w:val="30"/>
                <w:rtl/>
                <w:lang w:val="fr-CH"/>
              </w:rPr>
              <w:t>، 453/2011</w:t>
            </w:r>
          </w:p>
        </w:tc>
      </w:tr>
      <w:tr w:rsidR="00F72BDC" w:rsidRPr="00A822DC" w:rsidTr="00AA34F8">
        <w:tc>
          <w:tcPr>
            <w:tcW w:w="2336" w:type="dxa"/>
            <w:shd w:val="clear" w:color="auto" w:fill="auto"/>
          </w:tcPr>
          <w:p w:rsidR="00F72BDC" w:rsidRPr="00A822DC" w:rsidRDefault="00F72BDC" w:rsidP="00AA34F8">
            <w:pPr>
              <w:spacing w:after="120" w:line="360" w:lineRule="exact"/>
              <w:rPr>
                <w:rFonts w:cs="Traditional Arabic" w:hint="cs"/>
                <w:b/>
                <w:bCs/>
                <w:sz w:val="20"/>
                <w:szCs w:val="30"/>
                <w:rtl/>
                <w:lang w:val="fr-CH"/>
              </w:rPr>
            </w:pPr>
            <w:r w:rsidRPr="00A822DC">
              <w:rPr>
                <w:rFonts w:cs="Traditional Arabic" w:hint="cs"/>
                <w:b/>
                <w:bCs/>
                <w:sz w:val="20"/>
                <w:szCs w:val="30"/>
                <w:rtl/>
                <w:lang w:val="fr-CH"/>
              </w:rPr>
              <w:t>قرار معتمد في</w:t>
            </w:r>
          </w:p>
        </w:tc>
        <w:tc>
          <w:tcPr>
            <w:tcW w:w="4845" w:type="dxa"/>
            <w:shd w:val="clear" w:color="auto" w:fill="auto"/>
          </w:tcPr>
          <w:p w:rsidR="00F72BDC" w:rsidRPr="00A822DC" w:rsidRDefault="00F72BDC" w:rsidP="00AA34F8">
            <w:pPr>
              <w:spacing w:after="120" w:line="360" w:lineRule="exact"/>
              <w:rPr>
                <w:rFonts w:cs="Traditional Arabic" w:hint="cs"/>
                <w:sz w:val="20"/>
                <w:szCs w:val="30"/>
                <w:rtl/>
                <w:lang w:val="fr-CH"/>
              </w:rPr>
            </w:pPr>
            <w:r w:rsidRPr="00A822DC">
              <w:rPr>
                <w:rFonts w:cs="Traditional Arabic" w:hint="cs"/>
                <w:sz w:val="20"/>
                <w:szCs w:val="30"/>
                <w:rtl/>
                <w:lang w:val="fr-CH"/>
              </w:rPr>
              <w:t>23 أيار/مايو 2012</w:t>
            </w:r>
          </w:p>
        </w:tc>
      </w:tr>
      <w:tr w:rsidR="00F72BDC" w:rsidRPr="00A822DC" w:rsidTr="00AA34F8">
        <w:tc>
          <w:tcPr>
            <w:tcW w:w="2336" w:type="dxa"/>
            <w:shd w:val="clear" w:color="auto" w:fill="auto"/>
          </w:tcPr>
          <w:p w:rsidR="00F72BDC" w:rsidRPr="00A822DC" w:rsidRDefault="00F72BDC" w:rsidP="00AA34F8">
            <w:pPr>
              <w:spacing w:after="120" w:line="360" w:lineRule="exact"/>
              <w:rPr>
                <w:rFonts w:cs="Traditional Arabic" w:hint="cs"/>
                <w:b/>
                <w:bCs/>
                <w:sz w:val="20"/>
                <w:szCs w:val="30"/>
                <w:rtl/>
                <w:lang w:val="fr-CH"/>
              </w:rPr>
            </w:pPr>
            <w:r w:rsidRPr="00A822DC">
              <w:rPr>
                <w:rFonts w:cs="Traditional Arabic" w:hint="cs"/>
                <w:b/>
                <w:bCs/>
                <w:sz w:val="20"/>
                <w:szCs w:val="30"/>
                <w:rtl/>
                <w:lang w:val="fr-CH"/>
              </w:rPr>
              <w:t>الانتهاك</w:t>
            </w:r>
          </w:p>
        </w:tc>
        <w:tc>
          <w:tcPr>
            <w:tcW w:w="4845" w:type="dxa"/>
            <w:shd w:val="clear" w:color="auto" w:fill="auto"/>
          </w:tcPr>
          <w:p w:rsidR="00F72BDC" w:rsidRPr="00A822DC" w:rsidRDefault="00F72BDC" w:rsidP="00AA34F8">
            <w:pPr>
              <w:spacing w:after="120" w:line="360" w:lineRule="exact"/>
              <w:rPr>
                <w:rFonts w:cs="Traditional Arabic" w:hint="cs"/>
                <w:sz w:val="20"/>
                <w:szCs w:val="30"/>
                <w:rtl/>
                <w:lang w:val="fr-CH"/>
              </w:rPr>
            </w:pPr>
            <w:r w:rsidRPr="00A822DC">
              <w:rPr>
                <w:rFonts w:cs="Traditional Arabic" w:hint="cs"/>
                <w:sz w:val="20"/>
                <w:szCs w:val="30"/>
                <w:rtl/>
                <w:lang w:val="fr-CH"/>
              </w:rPr>
              <w:t>المادة 12</w:t>
            </w:r>
          </w:p>
        </w:tc>
      </w:tr>
      <w:tr w:rsidR="00F72BDC" w:rsidRPr="00A822DC" w:rsidTr="00AA34F8">
        <w:tc>
          <w:tcPr>
            <w:tcW w:w="2336" w:type="dxa"/>
            <w:shd w:val="clear" w:color="auto" w:fill="auto"/>
          </w:tcPr>
          <w:p w:rsidR="00F72BDC" w:rsidRPr="00A822DC" w:rsidRDefault="00F72BDC" w:rsidP="00DB5A0F">
            <w:pPr>
              <w:spacing w:after="100" w:line="360" w:lineRule="exact"/>
              <w:rPr>
                <w:rFonts w:cs="Traditional Arabic" w:hint="cs"/>
                <w:b/>
                <w:bCs/>
                <w:sz w:val="20"/>
                <w:szCs w:val="30"/>
                <w:rtl/>
                <w:lang w:val="fr-CH"/>
              </w:rPr>
            </w:pPr>
            <w:r w:rsidRPr="00A822DC">
              <w:rPr>
                <w:rFonts w:cs="Traditional Arabic" w:hint="cs"/>
                <w:b/>
                <w:bCs/>
                <w:sz w:val="20"/>
                <w:szCs w:val="30"/>
                <w:rtl/>
                <w:lang w:val="fr-CH"/>
              </w:rPr>
              <w:t>الانتصاف الموصى به</w:t>
            </w:r>
          </w:p>
        </w:tc>
        <w:tc>
          <w:tcPr>
            <w:tcW w:w="4845" w:type="dxa"/>
            <w:shd w:val="clear" w:color="auto" w:fill="auto"/>
          </w:tcPr>
          <w:p w:rsidR="00F72BDC" w:rsidRPr="00A822DC" w:rsidRDefault="00F72BDC" w:rsidP="00DB5A0F">
            <w:pPr>
              <w:spacing w:after="100" w:line="360" w:lineRule="exact"/>
              <w:rPr>
                <w:rFonts w:cs="Traditional Arabic" w:hint="cs"/>
                <w:sz w:val="20"/>
                <w:szCs w:val="30"/>
                <w:rtl/>
                <w:lang w:val="fr-CH"/>
              </w:rPr>
            </w:pPr>
            <w:r w:rsidRPr="00A822DC">
              <w:rPr>
                <w:rFonts w:cs="Traditional Arabic" w:hint="cs"/>
                <w:sz w:val="20"/>
                <w:szCs w:val="30"/>
                <w:rtl/>
                <w:lang w:val="fr-CH"/>
              </w:rPr>
              <w:t>تقديم انتصاف فعّال لصاحب الشكوى، بما في ذلك التحقيق الكامل والدقيق في مطالباته، ومنع وقوع انتهاكات مشابهة في المستقبل.</w:t>
            </w:r>
          </w:p>
        </w:tc>
      </w:tr>
      <w:tr w:rsidR="00F72BDC" w:rsidRPr="00A822DC" w:rsidTr="00232CB3">
        <w:tc>
          <w:tcPr>
            <w:tcW w:w="7181" w:type="dxa"/>
            <w:gridSpan w:val="2"/>
            <w:shd w:val="clear" w:color="auto" w:fill="auto"/>
          </w:tcPr>
          <w:p w:rsidR="00F72BDC" w:rsidRPr="00232CB3" w:rsidRDefault="00F72BDC" w:rsidP="00DB5A0F">
            <w:pPr>
              <w:spacing w:after="100" w:line="360" w:lineRule="exact"/>
              <w:rPr>
                <w:rFonts w:cs="Traditional Arabic" w:hint="cs"/>
                <w:spacing w:val="-2"/>
                <w:sz w:val="20"/>
                <w:szCs w:val="30"/>
                <w:rtl/>
              </w:rPr>
            </w:pPr>
            <w:r w:rsidRPr="00232CB3">
              <w:rPr>
                <w:rFonts w:cs="Traditional Arabic"/>
                <w:spacing w:val="-2"/>
                <w:sz w:val="20"/>
                <w:szCs w:val="30"/>
                <w:rtl/>
              </w:rPr>
              <w:tab/>
            </w:r>
            <w:r w:rsidRPr="00232CB3">
              <w:rPr>
                <w:rFonts w:cs="Traditional Arabic" w:hint="cs"/>
                <w:spacing w:val="-2"/>
                <w:sz w:val="20"/>
                <w:szCs w:val="30"/>
                <w:rtl/>
              </w:rPr>
              <w:t>في 19 أيلول/سبتمبر 2012، قدَّمت الدولة الطرف ملاحظاتها في إطار المتابعة. وتشير إلى النتائج التي توصلت إليها اللجنة وتؤكِّد من جديد حججها فيما يتعلَّق بالتحقيقات التي أجرتها السلطات التابعة لها وإلى غياب الأدلة في إطار الإجراءات القضية التي جرت أمام محكمة الصلح الثانية في فيكتوريا غاستييس والمحكمة العالية الإقليمية لألبا، (المقدمة عند عرض ملاحظاتها بشأن المقبولية والأسس الموضوعية للبلاغ). وتؤكِّد الدولة الطرف بشكل خاص أن أي ذكر لإساءة المعاملة لم يرد في تقرير الطب الشرعي التي أصدرها الأطباء الذين فحصوا صاحب الشكوى عندما كان رهن الاحتجاز. وفي إطار الإجراءات الجنائية الموجّهة ضد صاحب الشكوى، نظرت المحكمة العالية الوطنية في الظروف التي استجوب فيها صاحب الشكوى. وتشير الدولة الطرف كذلك إلى أن صاحب الشكوى لم يشتكِ من أعمال التعذيب المزعومة فوراً، وإنما بعد ثلاثة أشهر من احتجازه. وبالمثل، لم يعرض قضيته على هيئة دولية فور استنفاد سبل الانتصاف المحلية في حزيران/يونيه 2005.</w:t>
            </w:r>
          </w:p>
          <w:p w:rsidR="00F72BDC" w:rsidRPr="00A822DC" w:rsidRDefault="00F72BDC" w:rsidP="00DB5A0F">
            <w:pPr>
              <w:spacing w:after="100" w:line="360" w:lineRule="exact"/>
              <w:rPr>
                <w:rFonts w:cs="Traditional Arabic" w:hint="cs"/>
                <w:sz w:val="20"/>
                <w:szCs w:val="30"/>
                <w:rtl/>
              </w:rPr>
            </w:pPr>
            <w:r w:rsidRPr="00A822DC">
              <w:rPr>
                <w:rFonts w:cs="Traditional Arabic"/>
                <w:sz w:val="20"/>
                <w:szCs w:val="30"/>
                <w:rtl/>
              </w:rPr>
              <w:tab/>
            </w:r>
            <w:r w:rsidRPr="00A822DC">
              <w:rPr>
                <w:rFonts w:cs="Traditional Arabic" w:hint="cs"/>
                <w:sz w:val="20"/>
                <w:szCs w:val="30"/>
                <w:rtl/>
              </w:rPr>
              <w:t>وتبلغ الدولة الطرف اللجنة كذلك بأنها اتخذت التدابير التالية عملاً بقرار اللجنة: (أ) في أيلول/سبتمبر 2012، نُشِر قرار اللجنة في الجريدة الرسمية لوزارة العدل؛ و(ب)</w:t>
            </w:r>
            <w:r w:rsidR="00AA34F8">
              <w:rPr>
                <w:rFonts w:cs="Traditional Arabic" w:hint="eastAsia"/>
                <w:sz w:val="20"/>
                <w:szCs w:val="30"/>
                <w:rtl/>
              </w:rPr>
              <w:t> </w:t>
            </w:r>
            <w:r w:rsidRPr="00A822DC">
              <w:rPr>
                <w:rFonts w:cs="Traditional Arabic" w:hint="cs"/>
                <w:sz w:val="20"/>
                <w:szCs w:val="30"/>
                <w:rtl/>
              </w:rPr>
              <w:t>أُبلغ قرار اللجنة إلى جميع السلطات القضائية وغيرها من السلطات المعنية.</w:t>
            </w:r>
          </w:p>
          <w:p w:rsidR="00F72BDC" w:rsidRPr="00232CB3" w:rsidRDefault="00F72BDC" w:rsidP="00DB5A0F">
            <w:pPr>
              <w:spacing w:after="100" w:line="360" w:lineRule="exact"/>
              <w:rPr>
                <w:rFonts w:cs="Traditional Arabic" w:hint="cs"/>
                <w:spacing w:val="-4"/>
                <w:sz w:val="20"/>
                <w:szCs w:val="30"/>
                <w:rtl/>
              </w:rPr>
            </w:pPr>
            <w:r w:rsidRPr="00232CB3">
              <w:rPr>
                <w:rFonts w:cs="Traditional Arabic"/>
                <w:spacing w:val="-4"/>
                <w:sz w:val="20"/>
                <w:szCs w:val="30"/>
                <w:rtl/>
              </w:rPr>
              <w:tab/>
            </w:r>
            <w:r w:rsidRPr="00232CB3">
              <w:rPr>
                <w:rFonts w:cs="Traditional Arabic" w:hint="cs"/>
                <w:spacing w:val="-4"/>
                <w:sz w:val="20"/>
                <w:szCs w:val="30"/>
                <w:rtl/>
              </w:rPr>
              <w:t>وتشير الدولة الطرف إلى أن جريمة التعذيب وغيرها من ضروب سوء المعاملة ترد في قانون إجراءاتها الجنائية؛ وأن القانون العضوي رقم 2/1986 الصادر بتاريخ 13 آذار/</w:t>
            </w:r>
            <w:r w:rsidR="00232CB3" w:rsidRPr="00232CB3">
              <w:rPr>
                <w:rFonts w:cs="Traditional Arabic" w:hint="cs"/>
                <w:spacing w:val="-4"/>
                <w:sz w:val="20"/>
                <w:szCs w:val="30"/>
                <w:rtl/>
              </w:rPr>
              <w:t xml:space="preserve"> </w:t>
            </w:r>
            <w:r w:rsidRPr="00232CB3">
              <w:rPr>
                <w:rFonts w:cs="Traditional Arabic" w:hint="cs"/>
                <w:spacing w:val="-4"/>
                <w:sz w:val="20"/>
                <w:szCs w:val="30"/>
                <w:rtl/>
              </w:rPr>
              <w:t>مارس</w:t>
            </w:r>
            <w:r w:rsidR="00232CB3">
              <w:rPr>
                <w:rFonts w:cs="Traditional Arabic" w:hint="eastAsia"/>
                <w:spacing w:val="-4"/>
                <w:sz w:val="20"/>
                <w:szCs w:val="30"/>
                <w:rtl/>
              </w:rPr>
              <w:t> </w:t>
            </w:r>
            <w:r w:rsidRPr="00232CB3">
              <w:rPr>
                <w:rFonts w:cs="Traditional Arabic" w:hint="cs"/>
                <w:spacing w:val="-4"/>
                <w:sz w:val="20"/>
                <w:szCs w:val="30"/>
                <w:rtl/>
              </w:rPr>
              <w:t>1986 الخاص بالقوات والهيئات الأمنية ينظم استخدام القوة عموماً واستخدام الأسلحة النارية خصوصاً. ووفقاً لذلك، فإن استخدام القوة مقبول في حالة الدفاع عن النفس أو الدفاع عن الآخرين ضد خطر التهديد بالموت أو الإصابة الخطيرة، وفقاً لمبدأ التناسب، والاعتدال الاستثناء. فإذا عانى شخصٌ ضرراً ناجماً عن عمل دائرة حكومية، حقَّ له الحصول على تعويض</w:t>
            </w:r>
            <w:r w:rsidR="00232CB3">
              <w:rPr>
                <w:rFonts w:cs="Traditional Arabic" w:hint="eastAsia"/>
                <w:spacing w:val="-4"/>
                <w:sz w:val="20"/>
                <w:szCs w:val="30"/>
                <w:rtl/>
              </w:rPr>
              <w:t> </w:t>
            </w:r>
            <w:r w:rsidRPr="00232CB3">
              <w:rPr>
                <w:rFonts w:cs="Traditional Arabic" w:hint="cs"/>
                <w:spacing w:val="-4"/>
                <w:sz w:val="20"/>
                <w:szCs w:val="30"/>
                <w:rtl/>
              </w:rPr>
              <w:t>عملاً بالقانون رقم 30/1992 الصادر بتاريخ 26 تشرين الثاني/نوفمبر. وعملاً باجتهاد المحكمة الأوروبية لحقوق الإنسان، نصت المحكمة الدستورية على ضرورة تسريع</w:t>
            </w:r>
            <w:r w:rsidR="00232CB3">
              <w:rPr>
                <w:rFonts w:cs="Traditional Arabic" w:hint="eastAsia"/>
                <w:spacing w:val="-4"/>
                <w:sz w:val="20"/>
                <w:szCs w:val="30"/>
                <w:rtl/>
              </w:rPr>
              <w:t> </w:t>
            </w:r>
            <w:r w:rsidRPr="00232CB3">
              <w:rPr>
                <w:rFonts w:cs="Traditional Arabic" w:hint="cs"/>
                <w:spacing w:val="-4"/>
                <w:sz w:val="20"/>
                <w:szCs w:val="30"/>
                <w:rtl/>
              </w:rPr>
              <w:t>التحقيقات الكافية والفعّالة بشأن إساءة معاملة أصحاب الشكوى من قبل الشرطة، ومراعاة احتمال عدم وجود أدلة والصعوبات التي يواجهها الضحايا فيما</w:t>
            </w:r>
            <w:r w:rsidR="00AA34F8" w:rsidRPr="00232CB3">
              <w:rPr>
                <w:rFonts w:cs="Traditional Arabic" w:hint="eastAsia"/>
                <w:spacing w:val="-4"/>
                <w:sz w:val="20"/>
                <w:szCs w:val="30"/>
                <w:rtl/>
              </w:rPr>
              <w:t> </w:t>
            </w:r>
            <w:r w:rsidRPr="00232CB3">
              <w:rPr>
                <w:rFonts w:cs="Traditional Arabic" w:hint="cs"/>
                <w:spacing w:val="-4"/>
                <w:sz w:val="20"/>
                <w:szCs w:val="30"/>
                <w:rtl/>
              </w:rPr>
              <w:t>يتعلَّق بتقديم الأدلة. وينبغي أن تُعزى الإصابات التي تلحق بمحتجزٍ ولم تكن موجودةً قبل احتجازه إلى الشخص المسؤول عن الاحتجاز. وختاماً، يلاحظ أن القوات الأمنية، وكذا</w:t>
            </w:r>
            <w:r w:rsidR="00AA34F8" w:rsidRPr="00232CB3">
              <w:rPr>
                <w:rFonts w:cs="Traditional Arabic" w:hint="eastAsia"/>
                <w:spacing w:val="-4"/>
                <w:sz w:val="20"/>
                <w:szCs w:val="30"/>
                <w:rtl/>
              </w:rPr>
              <w:t> </w:t>
            </w:r>
            <w:r w:rsidRPr="00232CB3">
              <w:rPr>
                <w:rFonts w:cs="Traditional Arabic" w:hint="cs"/>
                <w:spacing w:val="-4"/>
                <w:sz w:val="20"/>
                <w:szCs w:val="30"/>
                <w:rtl/>
              </w:rPr>
              <w:t>موظفي الجهاز القضائي، يتلقون تدريباً في المسائل المتعلِّقة بحقوق الإنسان، لا سيما فيما يخص منع إساءة المعاملة.</w:t>
            </w:r>
          </w:p>
          <w:p w:rsidR="00F72BDC" w:rsidRPr="00A822DC" w:rsidRDefault="00F72BDC" w:rsidP="00DB5A0F">
            <w:pPr>
              <w:spacing w:after="100" w:line="360" w:lineRule="exact"/>
              <w:rPr>
                <w:rFonts w:cs="Traditional Arabic" w:hint="cs"/>
                <w:sz w:val="20"/>
                <w:szCs w:val="30"/>
                <w:rtl/>
              </w:rPr>
            </w:pPr>
            <w:r w:rsidRPr="00A822DC">
              <w:rPr>
                <w:rFonts w:cs="Traditional Arabic"/>
                <w:sz w:val="20"/>
                <w:szCs w:val="30"/>
                <w:rtl/>
              </w:rPr>
              <w:tab/>
            </w:r>
            <w:r w:rsidRPr="00A822DC">
              <w:rPr>
                <w:rFonts w:cs="Traditional Arabic" w:hint="cs"/>
                <w:sz w:val="20"/>
                <w:szCs w:val="30"/>
                <w:rtl/>
              </w:rPr>
              <w:t>وفي 8 كانون الثاني/يناير 2013، أُحيلت رسالة الدولة الطرف إلى صاحب الشكوى من أجل التعليق عليها مع تحديد أجل الرد في 8 شباط/فبراير 2013. وأُعدَّ تذكيرٌ إلى المحامي.</w:t>
            </w:r>
          </w:p>
        </w:tc>
      </w:tr>
      <w:tr w:rsidR="00232CB3" w:rsidRPr="00A822DC" w:rsidTr="00232CB3">
        <w:tc>
          <w:tcPr>
            <w:tcW w:w="7181" w:type="dxa"/>
            <w:gridSpan w:val="2"/>
            <w:tcBorders>
              <w:bottom w:val="single" w:sz="12" w:space="0" w:color="auto"/>
            </w:tcBorders>
            <w:shd w:val="clear" w:color="auto" w:fill="auto"/>
          </w:tcPr>
          <w:p w:rsidR="00232CB3" w:rsidRPr="00232CB3" w:rsidRDefault="00232CB3" w:rsidP="00DB5A0F">
            <w:pPr>
              <w:spacing w:after="100" w:line="360" w:lineRule="exact"/>
              <w:rPr>
                <w:rFonts w:cs="Traditional Arabic" w:hint="cs"/>
                <w:sz w:val="20"/>
                <w:szCs w:val="30"/>
                <w:rtl/>
                <w:lang w:val="fr-CH"/>
              </w:rPr>
            </w:pPr>
            <w:r w:rsidRPr="00232CB3">
              <w:rPr>
                <w:rFonts w:cs="Traditional Arabic"/>
                <w:sz w:val="20"/>
                <w:szCs w:val="30"/>
                <w:rtl/>
                <w:lang w:val="fr-CH"/>
              </w:rPr>
              <w:tab/>
            </w:r>
            <w:r w:rsidRPr="00232CB3">
              <w:rPr>
                <w:rFonts w:cs="Traditional Arabic" w:hint="cs"/>
                <w:sz w:val="20"/>
                <w:szCs w:val="30"/>
                <w:rtl/>
                <w:lang w:val="fr-CH"/>
              </w:rPr>
              <w:t>قرار اللجنة: حوار المتابعة مستمر.</w:t>
            </w:r>
          </w:p>
        </w:tc>
      </w:tr>
    </w:tbl>
    <w:p w:rsidR="00F72BDC" w:rsidRDefault="00F72BDC" w:rsidP="00DB5A0F">
      <w:pPr>
        <w:pStyle w:val="SingleTxtGA"/>
        <w:spacing w:after="0" w:line="60" w:lineRule="exact"/>
        <w:rPr>
          <w:sz w:val="30"/>
          <w:rtl/>
        </w:rPr>
      </w:pPr>
    </w:p>
    <w:tbl>
      <w:tblPr>
        <w:tblStyle w:val="TableGrid"/>
        <w:bidiVisual/>
        <w:tblW w:w="720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350"/>
        <w:gridCol w:w="4859"/>
      </w:tblGrid>
      <w:tr w:rsidR="00F72BDC" w:rsidRPr="004E076E" w:rsidTr="00D5428E">
        <w:trPr>
          <w:jc w:val="center"/>
        </w:trPr>
        <w:tc>
          <w:tcPr>
            <w:tcW w:w="2350" w:type="dxa"/>
            <w:tcBorders>
              <w:top w:val="single" w:sz="4" w:space="0" w:color="auto"/>
              <w:bottom w:val="single" w:sz="12" w:space="0" w:color="auto"/>
            </w:tcBorders>
            <w:shd w:val="clear" w:color="auto" w:fill="auto"/>
          </w:tcPr>
          <w:p w:rsidR="00F72BDC" w:rsidRPr="004E076E" w:rsidRDefault="00F72BDC" w:rsidP="00DB5A0F">
            <w:pPr>
              <w:spacing w:after="120" w:line="380" w:lineRule="exact"/>
              <w:rPr>
                <w:rFonts w:cs="Traditional Arabic" w:hint="cs"/>
                <w:b/>
                <w:bCs/>
                <w:i/>
                <w:sz w:val="30"/>
                <w:szCs w:val="30"/>
                <w:rtl/>
                <w:lang w:val="fr-CH"/>
              </w:rPr>
            </w:pPr>
            <w:r w:rsidRPr="004E076E">
              <w:rPr>
                <w:rFonts w:cs="Traditional Arabic" w:hint="cs"/>
                <w:b/>
                <w:bCs/>
                <w:i/>
                <w:sz w:val="30"/>
                <w:szCs w:val="30"/>
                <w:rtl/>
                <w:lang w:val="fr-CH"/>
              </w:rPr>
              <w:t>الدولة الطرف</w:t>
            </w:r>
          </w:p>
        </w:tc>
        <w:tc>
          <w:tcPr>
            <w:tcW w:w="4859" w:type="dxa"/>
            <w:tcBorders>
              <w:top w:val="single" w:sz="4" w:space="0" w:color="auto"/>
              <w:bottom w:val="single" w:sz="12" w:space="0" w:color="auto"/>
            </w:tcBorders>
            <w:shd w:val="clear" w:color="auto" w:fill="auto"/>
          </w:tcPr>
          <w:p w:rsidR="00F72BDC" w:rsidRPr="004E076E" w:rsidRDefault="00F72BDC" w:rsidP="00DB5A0F">
            <w:pPr>
              <w:spacing w:after="120" w:line="380" w:lineRule="exact"/>
              <w:rPr>
                <w:rFonts w:cs="Traditional Arabic" w:hint="cs"/>
                <w:b/>
                <w:bCs/>
                <w:i/>
                <w:sz w:val="30"/>
                <w:szCs w:val="30"/>
                <w:rtl/>
                <w:lang w:val="fr-CH"/>
              </w:rPr>
            </w:pPr>
            <w:r w:rsidRPr="004E076E">
              <w:rPr>
                <w:rFonts w:cs="Traditional Arabic" w:hint="cs"/>
                <w:b/>
                <w:bCs/>
                <w:i/>
                <w:sz w:val="30"/>
                <w:szCs w:val="30"/>
                <w:rtl/>
                <w:lang w:val="fr-CH"/>
              </w:rPr>
              <w:t>السويد</w:t>
            </w:r>
          </w:p>
        </w:tc>
      </w:tr>
      <w:tr w:rsidR="00F72BDC" w:rsidRPr="004E076E" w:rsidTr="00D5428E">
        <w:trPr>
          <w:jc w:val="center"/>
        </w:trPr>
        <w:tc>
          <w:tcPr>
            <w:tcW w:w="2350" w:type="dxa"/>
            <w:tcBorders>
              <w:top w:val="single" w:sz="12" w:space="0" w:color="auto"/>
            </w:tcBorders>
            <w:shd w:val="clear" w:color="auto" w:fill="auto"/>
          </w:tcPr>
          <w:p w:rsidR="00F72BDC" w:rsidRPr="004E076E" w:rsidRDefault="00F72BDC" w:rsidP="00DB5A0F">
            <w:pPr>
              <w:spacing w:after="120" w:line="380" w:lineRule="exact"/>
              <w:rPr>
                <w:rFonts w:cs="Traditional Arabic" w:hint="cs"/>
                <w:b/>
                <w:bCs/>
                <w:sz w:val="30"/>
                <w:szCs w:val="30"/>
                <w:rtl/>
                <w:lang w:val="fr-CH"/>
              </w:rPr>
            </w:pPr>
            <w:r w:rsidRPr="004E076E">
              <w:rPr>
                <w:rFonts w:cs="Traditional Arabic" w:hint="cs"/>
                <w:b/>
                <w:bCs/>
                <w:sz w:val="30"/>
                <w:szCs w:val="30"/>
                <w:rtl/>
                <w:lang w:val="fr-CH"/>
              </w:rPr>
              <w:t>القضية</w:t>
            </w:r>
          </w:p>
        </w:tc>
        <w:tc>
          <w:tcPr>
            <w:tcW w:w="4859" w:type="dxa"/>
            <w:tcBorders>
              <w:top w:val="single" w:sz="12" w:space="0" w:color="auto"/>
            </w:tcBorders>
            <w:shd w:val="clear" w:color="auto" w:fill="auto"/>
          </w:tcPr>
          <w:p w:rsidR="00F72BDC" w:rsidRPr="004E076E" w:rsidRDefault="00F72BDC" w:rsidP="00DB5A0F">
            <w:pPr>
              <w:spacing w:after="120" w:line="380" w:lineRule="exact"/>
              <w:rPr>
                <w:rFonts w:cs="Traditional Arabic" w:hint="cs"/>
                <w:b/>
                <w:bCs/>
                <w:sz w:val="30"/>
                <w:szCs w:val="30"/>
                <w:rtl/>
                <w:lang w:val="fr-CH"/>
              </w:rPr>
            </w:pPr>
            <w:r w:rsidRPr="004E076E">
              <w:rPr>
                <w:rFonts w:cs="Traditional Arabic" w:hint="cs"/>
                <w:b/>
                <w:bCs/>
                <w:i/>
                <w:iCs/>
                <w:sz w:val="30"/>
                <w:szCs w:val="30"/>
                <w:rtl/>
                <w:lang w:val="fr-CH"/>
              </w:rPr>
              <w:t>م. أ. م. أ. وآخرون</w:t>
            </w:r>
            <w:r w:rsidRPr="004E076E">
              <w:rPr>
                <w:rFonts w:cs="Traditional Arabic" w:hint="cs"/>
                <w:b/>
                <w:bCs/>
                <w:sz w:val="30"/>
                <w:szCs w:val="30"/>
                <w:rtl/>
                <w:lang w:val="fr-CH"/>
              </w:rPr>
              <w:t>، 391/2009</w:t>
            </w:r>
          </w:p>
        </w:tc>
      </w:tr>
      <w:tr w:rsidR="00F72BDC" w:rsidRPr="004E076E" w:rsidTr="00D5428E">
        <w:trPr>
          <w:jc w:val="center"/>
        </w:trPr>
        <w:tc>
          <w:tcPr>
            <w:tcW w:w="2350" w:type="dxa"/>
            <w:shd w:val="clear" w:color="auto" w:fill="auto"/>
          </w:tcPr>
          <w:p w:rsidR="00F72BDC" w:rsidRPr="004E076E" w:rsidRDefault="00F72BDC" w:rsidP="00DB5A0F">
            <w:pPr>
              <w:spacing w:after="120" w:line="380" w:lineRule="exact"/>
              <w:rPr>
                <w:rFonts w:cs="Traditional Arabic" w:hint="cs"/>
                <w:b/>
                <w:bCs/>
                <w:sz w:val="30"/>
                <w:szCs w:val="30"/>
                <w:rtl/>
                <w:lang w:val="fr-CH"/>
              </w:rPr>
            </w:pPr>
            <w:r w:rsidRPr="004E076E">
              <w:rPr>
                <w:rFonts w:cs="Traditional Arabic" w:hint="cs"/>
                <w:b/>
                <w:bCs/>
                <w:sz w:val="30"/>
                <w:szCs w:val="30"/>
                <w:rtl/>
                <w:lang w:val="fr-CH"/>
              </w:rPr>
              <w:t>قرار معتمد في</w:t>
            </w:r>
          </w:p>
        </w:tc>
        <w:tc>
          <w:tcPr>
            <w:tcW w:w="4859" w:type="dxa"/>
            <w:shd w:val="clear" w:color="auto" w:fill="auto"/>
          </w:tcPr>
          <w:p w:rsidR="00F72BDC" w:rsidRPr="004E076E" w:rsidRDefault="00F72BDC" w:rsidP="00DB5A0F">
            <w:pPr>
              <w:spacing w:after="120" w:line="380" w:lineRule="exact"/>
              <w:rPr>
                <w:rFonts w:cs="Traditional Arabic" w:hint="cs"/>
                <w:sz w:val="30"/>
                <w:szCs w:val="30"/>
                <w:rtl/>
                <w:lang w:val="fr-CH"/>
              </w:rPr>
            </w:pPr>
            <w:r w:rsidRPr="004E076E">
              <w:rPr>
                <w:rFonts w:cs="Traditional Arabic" w:hint="cs"/>
                <w:sz w:val="30"/>
                <w:szCs w:val="30"/>
                <w:rtl/>
                <w:lang w:val="fr-CH"/>
              </w:rPr>
              <w:t>23 أيار/مايو 2012</w:t>
            </w:r>
          </w:p>
        </w:tc>
      </w:tr>
      <w:tr w:rsidR="00F72BDC" w:rsidRPr="004E076E" w:rsidTr="00D5428E">
        <w:trPr>
          <w:jc w:val="center"/>
        </w:trPr>
        <w:tc>
          <w:tcPr>
            <w:tcW w:w="2350" w:type="dxa"/>
            <w:shd w:val="clear" w:color="auto" w:fill="auto"/>
          </w:tcPr>
          <w:p w:rsidR="00F72BDC" w:rsidRPr="004E076E" w:rsidRDefault="00F72BDC" w:rsidP="00DB5A0F">
            <w:pPr>
              <w:spacing w:after="120" w:line="380" w:lineRule="exact"/>
              <w:rPr>
                <w:rFonts w:cs="Traditional Arabic" w:hint="cs"/>
                <w:b/>
                <w:bCs/>
                <w:sz w:val="30"/>
                <w:szCs w:val="30"/>
                <w:rtl/>
                <w:lang w:val="fr-CH"/>
              </w:rPr>
            </w:pPr>
            <w:r w:rsidRPr="004E076E">
              <w:rPr>
                <w:rFonts w:cs="Traditional Arabic" w:hint="cs"/>
                <w:b/>
                <w:bCs/>
                <w:sz w:val="30"/>
                <w:szCs w:val="30"/>
                <w:rtl/>
                <w:lang w:val="fr-CH"/>
              </w:rPr>
              <w:t>الانتهاك</w:t>
            </w:r>
          </w:p>
        </w:tc>
        <w:tc>
          <w:tcPr>
            <w:tcW w:w="4859" w:type="dxa"/>
            <w:shd w:val="clear" w:color="auto" w:fill="auto"/>
          </w:tcPr>
          <w:p w:rsidR="00F72BDC" w:rsidRPr="004E076E" w:rsidRDefault="00F72BDC" w:rsidP="00DB5A0F">
            <w:pPr>
              <w:spacing w:after="120" w:line="380" w:lineRule="exact"/>
              <w:rPr>
                <w:rFonts w:cs="Traditional Arabic" w:hint="cs"/>
                <w:sz w:val="30"/>
                <w:szCs w:val="30"/>
                <w:rtl/>
                <w:lang w:val="fr-CH"/>
              </w:rPr>
            </w:pPr>
            <w:r w:rsidRPr="004E076E">
              <w:rPr>
                <w:rFonts w:cs="Traditional Arabic" w:hint="cs"/>
                <w:sz w:val="30"/>
                <w:szCs w:val="30"/>
                <w:rtl/>
                <w:lang w:val="fr-CH"/>
              </w:rPr>
              <w:t>المادة 3 (الترحيل إلى مصر)</w:t>
            </w:r>
          </w:p>
        </w:tc>
      </w:tr>
      <w:tr w:rsidR="00F72BDC" w:rsidRPr="004E076E" w:rsidTr="00D5428E">
        <w:trPr>
          <w:jc w:val="center"/>
        </w:trPr>
        <w:tc>
          <w:tcPr>
            <w:tcW w:w="2350" w:type="dxa"/>
            <w:shd w:val="clear" w:color="auto" w:fill="auto"/>
          </w:tcPr>
          <w:p w:rsidR="00F72BDC" w:rsidRPr="004E076E" w:rsidRDefault="00F72BDC" w:rsidP="00DB5A0F">
            <w:pPr>
              <w:spacing w:after="120" w:line="380" w:lineRule="exact"/>
              <w:rPr>
                <w:rFonts w:cs="Traditional Arabic" w:hint="cs"/>
                <w:b/>
                <w:bCs/>
                <w:sz w:val="30"/>
                <w:szCs w:val="30"/>
                <w:rtl/>
                <w:lang w:val="fr-CH"/>
              </w:rPr>
            </w:pPr>
            <w:r w:rsidRPr="004E076E">
              <w:rPr>
                <w:rFonts w:cs="Traditional Arabic" w:hint="cs"/>
                <w:b/>
                <w:bCs/>
                <w:sz w:val="30"/>
                <w:szCs w:val="30"/>
                <w:rtl/>
                <w:lang w:val="fr-CH"/>
              </w:rPr>
              <w:t>الانتصاف الموصى به</w:t>
            </w:r>
          </w:p>
        </w:tc>
        <w:tc>
          <w:tcPr>
            <w:tcW w:w="4859" w:type="dxa"/>
            <w:shd w:val="clear" w:color="auto" w:fill="auto"/>
          </w:tcPr>
          <w:p w:rsidR="00F72BDC" w:rsidRPr="004E076E" w:rsidRDefault="00F72BDC" w:rsidP="00DB5A0F">
            <w:pPr>
              <w:spacing w:after="120" w:line="380" w:lineRule="exact"/>
              <w:rPr>
                <w:rFonts w:cs="Traditional Arabic" w:hint="cs"/>
                <w:sz w:val="30"/>
                <w:szCs w:val="30"/>
                <w:rtl/>
                <w:lang w:val="fr-CH"/>
              </w:rPr>
            </w:pPr>
            <w:r w:rsidRPr="004E076E">
              <w:rPr>
                <w:rFonts w:cs="Traditional Arabic" w:hint="cs"/>
                <w:sz w:val="30"/>
                <w:szCs w:val="30"/>
                <w:rtl/>
                <w:lang w:val="fr-CH"/>
              </w:rPr>
              <w:t>إبلاغ اللجنة، في غضون 90 يوماً من تاريخ إحالة القرار، بالخطوات التي اتخذتها الدولة الطرف وفقاً لملاحظات اللجنة.</w:t>
            </w:r>
          </w:p>
        </w:tc>
      </w:tr>
      <w:tr w:rsidR="00F72BDC" w:rsidRPr="004E076E" w:rsidTr="00D5428E">
        <w:trPr>
          <w:jc w:val="center"/>
        </w:trPr>
        <w:tc>
          <w:tcPr>
            <w:tcW w:w="7209" w:type="dxa"/>
            <w:gridSpan w:val="2"/>
            <w:tcBorders>
              <w:bottom w:val="single" w:sz="12" w:space="0" w:color="auto"/>
            </w:tcBorders>
            <w:shd w:val="clear" w:color="auto" w:fill="auto"/>
          </w:tcPr>
          <w:p w:rsidR="00F72BDC" w:rsidRPr="004E076E" w:rsidRDefault="00F72BDC" w:rsidP="00DB5A0F">
            <w:pPr>
              <w:spacing w:after="120" w:line="380" w:lineRule="exact"/>
              <w:rPr>
                <w:rFonts w:cs="Traditional Arabic" w:hint="cs"/>
                <w:sz w:val="30"/>
                <w:szCs w:val="30"/>
                <w:rtl/>
              </w:rPr>
            </w:pPr>
            <w:r w:rsidRPr="004E076E">
              <w:rPr>
                <w:rFonts w:cs="Traditional Arabic"/>
                <w:sz w:val="30"/>
                <w:szCs w:val="30"/>
                <w:rtl/>
              </w:rPr>
              <w:tab/>
            </w:r>
            <w:r w:rsidRPr="004E076E">
              <w:rPr>
                <w:rFonts w:cs="Traditional Arabic" w:hint="cs"/>
                <w:sz w:val="30"/>
                <w:szCs w:val="30"/>
                <w:rtl/>
              </w:rPr>
              <w:t>في 23 آب/أغسطس 2012، أبلغت الدولة الطرف اللجنة بأنه في 12 و13 تموز/يوليه 2012، أصدرت دائرة الهجرة السويدية تصاريح الإقامة الدائمة إلى جميع أصحاب الشكوى بصفتهم لاجئين وبالتالي هم ليسوا معرضين لخطر الترحيل إلى مصر.</w:t>
            </w:r>
          </w:p>
          <w:p w:rsidR="00F72BDC" w:rsidRPr="004E076E" w:rsidRDefault="00F72BDC" w:rsidP="00DB5A0F">
            <w:pPr>
              <w:spacing w:after="120" w:line="380" w:lineRule="exact"/>
              <w:rPr>
                <w:rFonts w:cs="Traditional Arabic" w:hint="cs"/>
                <w:sz w:val="30"/>
                <w:szCs w:val="30"/>
                <w:rtl/>
              </w:rPr>
            </w:pPr>
            <w:r w:rsidRPr="004E076E">
              <w:rPr>
                <w:rFonts w:cs="Traditional Arabic"/>
                <w:sz w:val="30"/>
                <w:szCs w:val="30"/>
                <w:rtl/>
              </w:rPr>
              <w:tab/>
            </w:r>
            <w:r w:rsidRPr="004E076E">
              <w:rPr>
                <w:rFonts w:cs="Traditional Arabic" w:hint="cs"/>
                <w:sz w:val="30"/>
                <w:szCs w:val="30"/>
                <w:rtl/>
              </w:rPr>
              <w:t>وفي 10 نيسان/أبريل 2013، أكد المحامي المعلومات التي قدمتها الدولة الطرف وبالتالي يوافق على إغلاق القضية.</w:t>
            </w:r>
          </w:p>
          <w:p w:rsidR="00F72BDC" w:rsidRPr="004E076E" w:rsidRDefault="00F72BDC" w:rsidP="00DB5A0F">
            <w:pPr>
              <w:spacing w:after="120" w:line="380" w:lineRule="exact"/>
              <w:rPr>
                <w:rFonts w:cs="Traditional Arabic" w:hint="cs"/>
                <w:sz w:val="30"/>
                <w:szCs w:val="30"/>
                <w:rtl/>
              </w:rPr>
            </w:pPr>
            <w:r w:rsidRPr="004E076E">
              <w:rPr>
                <w:rFonts w:cs="Traditional Arabic"/>
                <w:sz w:val="30"/>
                <w:szCs w:val="30"/>
                <w:rtl/>
              </w:rPr>
              <w:tab/>
            </w:r>
            <w:r w:rsidRPr="004E076E">
              <w:rPr>
                <w:rFonts w:cs="Traditional Arabic" w:hint="cs"/>
                <w:sz w:val="30"/>
                <w:szCs w:val="30"/>
                <w:rtl/>
              </w:rPr>
              <w:t>وفي الدورة الخمسين، قررت اللجنة إغلاق حوار المتابعة وخلصت إلى أن القضية قد سويت تسوية مرضية.</w:t>
            </w:r>
          </w:p>
        </w:tc>
      </w:tr>
    </w:tbl>
    <w:p w:rsidR="00F72BDC" w:rsidRPr="00F41C55" w:rsidRDefault="00F72BDC" w:rsidP="00DB5A0F">
      <w:pPr>
        <w:pStyle w:val="SingleTxtGA"/>
        <w:rPr>
          <w:rFonts w:hint="cs"/>
          <w:rtl/>
        </w:rPr>
      </w:pPr>
    </w:p>
    <w:tbl>
      <w:tblPr>
        <w:tblStyle w:val="TableGrid"/>
        <w:bidiVisual/>
        <w:tblW w:w="7223" w:type="dxa"/>
        <w:jc w:val="center"/>
        <w:tblBorders>
          <w:insideH w:val="none" w:sz="0" w:space="0" w:color="auto"/>
          <w:insideV w:val="none" w:sz="0" w:space="0" w:color="auto"/>
        </w:tblBorders>
        <w:tblLayout w:type="fixed"/>
        <w:tblLook w:val="01E0"/>
      </w:tblPr>
      <w:tblGrid>
        <w:gridCol w:w="2338"/>
        <w:gridCol w:w="4885"/>
      </w:tblGrid>
      <w:tr w:rsidR="00F72BDC" w:rsidRPr="00DB5A0F" w:rsidTr="00D5428E">
        <w:trPr>
          <w:jc w:val="center"/>
        </w:trPr>
        <w:tc>
          <w:tcPr>
            <w:tcW w:w="2338" w:type="dxa"/>
            <w:tcBorders>
              <w:top w:val="single" w:sz="4" w:space="0" w:color="auto"/>
              <w:left w:val="nil"/>
              <w:bottom w:val="single" w:sz="12" w:space="0" w:color="auto"/>
              <w:right w:val="nil"/>
            </w:tcBorders>
            <w:shd w:val="clear" w:color="auto" w:fill="auto"/>
            <w:vAlign w:val="bottom"/>
          </w:tcPr>
          <w:p w:rsidR="00F72BDC" w:rsidRPr="00DB5A0F" w:rsidRDefault="00F72BDC" w:rsidP="00DB5A0F">
            <w:pPr>
              <w:spacing w:after="120" w:line="380" w:lineRule="exact"/>
              <w:rPr>
                <w:rFonts w:cs="Traditional Arabic" w:hint="cs"/>
                <w:b/>
                <w:bCs/>
                <w:i/>
                <w:sz w:val="20"/>
                <w:szCs w:val="30"/>
                <w:rtl/>
                <w:lang w:val="fr-CH"/>
              </w:rPr>
            </w:pPr>
            <w:r w:rsidRPr="00DB5A0F">
              <w:rPr>
                <w:rFonts w:cs="Traditional Arabic" w:hint="cs"/>
                <w:b/>
                <w:bCs/>
                <w:i/>
                <w:sz w:val="20"/>
                <w:szCs w:val="30"/>
                <w:rtl/>
                <w:lang w:val="fr-CH"/>
              </w:rPr>
              <w:t>الدولة الطرف</w:t>
            </w:r>
          </w:p>
        </w:tc>
        <w:tc>
          <w:tcPr>
            <w:tcW w:w="4885" w:type="dxa"/>
            <w:tcBorders>
              <w:top w:val="single" w:sz="4" w:space="0" w:color="auto"/>
              <w:left w:val="nil"/>
              <w:bottom w:val="single" w:sz="12" w:space="0" w:color="auto"/>
              <w:right w:val="nil"/>
            </w:tcBorders>
            <w:shd w:val="clear" w:color="auto" w:fill="auto"/>
            <w:vAlign w:val="bottom"/>
          </w:tcPr>
          <w:p w:rsidR="00F72BDC" w:rsidRPr="00DB5A0F" w:rsidRDefault="00F72BDC" w:rsidP="00DB5A0F">
            <w:pPr>
              <w:spacing w:after="120" w:line="380" w:lineRule="exact"/>
              <w:rPr>
                <w:rFonts w:cs="Traditional Arabic" w:hint="cs"/>
                <w:b/>
                <w:bCs/>
                <w:i/>
                <w:sz w:val="20"/>
                <w:szCs w:val="30"/>
                <w:rtl/>
                <w:lang w:val="fr-CH"/>
              </w:rPr>
            </w:pPr>
            <w:r w:rsidRPr="00DB5A0F">
              <w:rPr>
                <w:rFonts w:cs="Traditional Arabic" w:hint="cs"/>
                <w:b/>
                <w:bCs/>
                <w:i/>
                <w:sz w:val="20"/>
                <w:szCs w:val="30"/>
                <w:rtl/>
                <w:lang w:val="fr-CH"/>
              </w:rPr>
              <w:t>سويسرا</w:t>
            </w:r>
          </w:p>
        </w:tc>
      </w:tr>
      <w:tr w:rsidR="00F72BDC" w:rsidRPr="00DB5A0F" w:rsidTr="00D5428E">
        <w:trPr>
          <w:jc w:val="center"/>
        </w:trPr>
        <w:tc>
          <w:tcPr>
            <w:tcW w:w="2338" w:type="dxa"/>
            <w:tcBorders>
              <w:top w:val="single" w:sz="12" w:space="0" w:color="auto"/>
              <w:left w:val="nil"/>
              <w:bottom w:val="nil"/>
              <w:right w:val="nil"/>
            </w:tcBorders>
            <w:shd w:val="clear" w:color="auto" w:fill="auto"/>
          </w:tcPr>
          <w:p w:rsidR="00F72BDC" w:rsidRPr="00DB5A0F" w:rsidRDefault="00F72BDC" w:rsidP="00DB5A0F">
            <w:pPr>
              <w:spacing w:after="120" w:line="380" w:lineRule="exact"/>
              <w:rPr>
                <w:rFonts w:cs="Traditional Arabic" w:hint="cs"/>
                <w:b/>
                <w:bCs/>
                <w:sz w:val="20"/>
                <w:szCs w:val="30"/>
                <w:rtl/>
                <w:lang w:val="fr-CH"/>
              </w:rPr>
            </w:pPr>
            <w:r w:rsidRPr="00DB5A0F">
              <w:rPr>
                <w:rFonts w:cs="Traditional Arabic" w:hint="cs"/>
                <w:b/>
                <w:bCs/>
                <w:sz w:val="20"/>
                <w:szCs w:val="30"/>
                <w:rtl/>
                <w:lang w:val="fr-CH"/>
              </w:rPr>
              <w:t>القضية</w:t>
            </w:r>
          </w:p>
        </w:tc>
        <w:tc>
          <w:tcPr>
            <w:tcW w:w="4885" w:type="dxa"/>
            <w:tcBorders>
              <w:top w:val="single" w:sz="12" w:space="0" w:color="auto"/>
              <w:left w:val="nil"/>
              <w:bottom w:val="nil"/>
              <w:right w:val="nil"/>
            </w:tcBorders>
            <w:shd w:val="clear" w:color="auto" w:fill="auto"/>
            <w:vAlign w:val="bottom"/>
          </w:tcPr>
          <w:p w:rsidR="00F72BDC" w:rsidRPr="00DB5A0F" w:rsidRDefault="00F72BDC" w:rsidP="00DB5A0F">
            <w:pPr>
              <w:spacing w:after="120" w:line="380" w:lineRule="exact"/>
              <w:rPr>
                <w:rFonts w:cs="Traditional Arabic" w:hint="cs"/>
                <w:b/>
                <w:bCs/>
                <w:sz w:val="20"/>
                <w:szCs w:val="30"/>
                <w:rtl/>
                <w:lang w:val="fr-CH"/>
              </w:rPr>
            </w:pPr>
            <w:r w:rsidRPr="00DB5A0F">
              <w:rPr>
                <w:rFonts w:cs="Traditional Arabic" w:hint="cs"/>
                <w:b/>
                <w:bCs/>
                <w:i/>
                <w:iCs/>
                <w:sz w:val="20"/>
                <w:szCs w:val="30"/>
                <w:rtl/>
                <w:lang w:val="fr-CH"/>
              </w:rPr>
              <w:t>كالسا</w:t>
            </w:r>
            <w:r w:rsidR="00DB5A0F">
              <w:rPr>
                <w:rFonts w:cs="Traditional Arabic" w:hint="cs"/>
                <w:b/>
                <w:bCs/>
                <w:i/>
                <w:iCs/>
                <w:sz w:val="20"/>
                <w:szCs w:val="30"/>
                <w:rtl/>
                <w:lang w:val="fr-CH"/>
              </w:rPr>
              <w:t xml:space="preserve"> </w:t>
            </w:r>
            <w:r w:rsidR="005E4BCD">
              <w:rPr>
                <w:rFonts w:cs="Traditional Arabic" w:hint="cs"/>
                <w:b/>
                <w:bCs/>
                <w:i/>
                <w:iCs/>
                <w:sz w:val="20"/>
                <w:szCs w:val="30"/>
                <w:rtl/>
                <w:lang w:val="fr-CH"/>
              </w:rPr>
              <w:t>-</w:t>
            </w:r>
            <w:r w:rsidRPr="00DB5A0F">
              <w:rPr>
                <w:rFonts w:cs="Traditional Arabic" w:hint="cs"/>
                <w:b/>
                <w:bCs/>
                <w:i/>
                <w:iCs/>
                <w:sz w:val="20"/>
                <w:szCs w:val="30"/>
                <w:rtl/>
                <w:lang w:val="fr-CH"/>
              </w:rPr>
              <w:t xml:space="preserve"> سينغ وآخرون</w:t>
            </w:r>
            <w:r w:rsidRPr="00DB5A0F">
              <w:rPr>
                <w:rFonts w:cs="Traditional Arabic" w:hint="cs"/>
                <w:b/>
                <w:bCs/>
                <w:sz w:val="20"/>
                <w:szCs w:val="30"/>
                <w:rtl/>
                <w:lang w:val="fr-CH"/>
              </w:rPr>
              <w:t>، 336/2008</w:t>
            </w:r>
          </w:p>
        </w:tc>
      </w:tr>
      <w:tr w:rsidR="00F72BDC" w:rsidRPr="00DB5A0F" w:rsidTr="00D5428E">
        <w:trPr>
          <w:jc w:val="center"/>
        </w:trPr>
        <w:tc>
          <w:tcPr>
            <w:tcW w:w="2338" w:type="dxa"/>
            <w:tcBorders>
              <w:top w:val="nil"/>
              <w:left w:val="nil"/>
              <w:bottom w:val="nil"/>
              <w:right w:val="nil"/>
            </w:tcBorders>
            <w:shd w:val="clear" w:color="auto" w:fill="auto"/>
          </w:tcPr>
          <w:p w:rsidR="00F72BDC" w:rsidRPr="00DB5A0F" w:rsidRDefault="00F72BDC" w:rsidP="00DB5A0F">
            <w:pPr>
              <w:spacing w:after="120" w:line="380" w:lineRule="exact"/>
              <w:rPr>
                <w:rFonts w:cs="Traditional Arabic" w:hint="cs"/>
                <w:b/>
                <w:bCs/>
                <w:sz w:val="20"/>
                <w:szCs w:val="30"/>
                <w:rtl/>
                <w:lang w:val="fr-CH"/>
              </w:rPr>
            </w:pPr>
            <w:r w:rsidRPr="00DB5A0F">
              <w:rPr>
                <w:rFonts w:cs="Traditional Arabic" w:hint="cs"/>
                <w:b/>
                <w:bCs/>
                <w:sz w:val="20"/>
                <w:szCs w:val="30"/>
                <w:rtl/>
                <w:lang w:val="fr-CH"/>
              </w:rPr>
              <w:t xml:space="preserve">قرار معتمد في </w:t>
            </w:r>
          </w:p>
        </w:tc>
        <w:tc>
          <w:tcPr>
            <w:tcW w:w="4885" w:type="dxa"/>
            <w:tcBorders>
              <w:top w:val="nil"/>
              <w:left w:val="nil"/>
              <w:bottom w:val="nil"/>
              <w:right w:val="nil"/>
            </w:tcBorders>
            <w:shd w:val="clear" w:color="auto" w:fill="auto"/>
            <w:vAlign w:val="bottom"/>
          </w:tcPr>
          <w:p w:rsidR="00F72BDC" w:rsidRPr="00DB5A0F" w:rsidRDefault="00F72BDC" w:rsidP="00DB5A0F">
            <w:pPr>
              <w:spacing w:after="120" w:line="380" w:lineRule="exact"/>
              <w:rPr>
                <w:rFonts w:cs="Traditional Arabic" w:hint="cs"/>
                <w:sz w:val="20"/>
                <w:szCs w:val="30"/>
                <w:rtl/>
                <w:lang w:val="fr-CH"/>
              </w:rPr>
            </w:pPr>
            <w:r w:rsidRPr="00DB5A0F">
              <w:rPr>
                <w:rFonts w:cs="Traditional Arabic" w:hint="cs"/>
                <w:sz w:val="20"/>
                <w:szCs w:val="30"/>
                <w:rtl/>
                <w:lang w:val="fr-CH"/>
              </w:rPr>
              <w:t>26 أيار/مايو 2011</w:t>
            </w:r>
          </w:p>
        </w:tc>
      </w:tr>
      <w:tr w:rsidR="00F72BDC" w:rsidRPr="00DB5A0F" w:rsidTr="00D5428E">
        <w:trPr>
          <w:jc w:val="center"/>
        </w:trPr>
        <w:tc>
          <w:tcPr>
            <w:tcW w:w="2338" w:type="dxa"/>
            <w:tcBorders>
              <w:top w:val="nil"/>
              <w:left w:val="nil"/>
              <w:bottom w:val="nil"/>
              <w:right w:val="nil"/>
            </w:tcBorders>
            <w:shd w:val="clear" w:color="auto" w:fill="auto"/>
          </w:tcPr>
          <w:p w:rsidR="00F72BDC" w:rsidRPr="00DB5A0F" w:rsidRDefault="00F72BDC" w:rsidP="00DB5A0F">
            <w:pPr>
              <w:spacing w:after="120" w:line="380" w:lineRule="exact"/>
              <w:rPr>
                <w:rFonts w:cs="Traditional Arabic" w:hint="cs"/>
                <w:b/>
                <w:bCs/>
                <w:sz w:val="20"/>
                <w:szCs w:val="30"/>
                <w:rtl/>
                <w:lang w:val="fr-CH"/>
              </w:rPr>
            </w:pPr>
            <w:r w:rsidRPr="00DB5A0F">
              <w:rPr>
                <w:rFonts w:cs="Traditional Arabic" w:hint="cs"/>
                <w:b/>
                <w:bCs/>
                <w:sz w:val="20"/>
                <w:szCs w:val="30"/>
                <w:rtl/>
                <w:lang w:val="fr-CH"/>
              </w:rPr>
              <w:t xml:space="preserve">الانتهاك </w:t>
            </w:r>
          </w:p>
        </w:tc>
        <w:tc>
          <w:tcPr>
            <w:tcW w:w="4885" w:type="dxa"/>
            <w:tcBorders>
              <w:top w:val="nil"/>
              <w:left w:val="nil"/>
              <w:bottom w:val="nil"/>
              <w:right w:val="nil"/>
            </w:tcBorders>
            <w:shd w:val="clear" w:color="auto" w:fill="auto"/>
            <w:vAlign w:val="bottom"/>
          </w:tcPr>
          <w:p w:rsidR="00F72BDC" w:rsidRPr="00DB5A0F" w:rsidRDefault="00F72BDC" w:rsidP="00DB5A0F">
            <w:pPr>
              <w:spacing w:after="120" w:line="380" w:lineRule="exact"/>
              <w:rPr>
                <w:rFonts w:cs="Traditional Arabic" w:hint="cs"/>
                <w:sz w:val="20"/>
                <w:szCs w:val="30"/>
                <w:rtl/>
                <w:lang w:val="fr-CH"/>
              </w:rPr>
            </w:pPr>
            <w:r w:rsidRPr="00DB5A0F">
              <w:rPr>
                <w:rFonts w:cs="Traditional Arabic" w:hint="cs"/>
                <w:sz w:val="20"/>
                <w:szCs w:val="30"/>
                <w:rtl/>
                <w:lang w:val="fr-CH"/>
              </w:rPr>
              <w:t>المادة 3 (الترحيل إلى الهند</w:t>
            </w:r>
          </w:p>
        </w:tc>
      </w:tr>
      <w:tr w:rsidR="00F72BDC" w:rsidRPr="00DB5A0F" w:rsidTr="00D5428E">
        <w:trPr>
          <w:jc w:val="center"/>
        </w:trPr>
        <w:tc>
          <w:tcPr>
            <w:tcW w:w="2338" w:type="dxa"/>
            <w:tcBorders>
              <w:top w:val="nil"/>
              <w:left w:val="nil"/>
              <w:bottom w:val="nil"/>
              <w:right w:val="nil"/>
            </w:tcBorders>
            <w:shd w:val="clear" w:color="auto" w:fill="auto"/>
          </w:tcPr>
          <w:p w:rsidR="00F72BDC" w:rsidRPr="00DB5A0F" w:rsidRDefault="00F72BDC" w:rsidP="00DB5A0F">
            <w:pPr>
              <w:spacing w:after="120" w:line="380" w:lineRule="exact"/>
              <w:rPr>
                <w:rFonts w:cs="Traditional Arabic" w:hint="cs"/>
                <w:b/>
                <w:bCs/>
                <w:sz w:val="20"/>
                <w:szCs w:val="30"/>
                <w:rtl/>
                <w:lang w:val="fr-CH"/>
              </w:rPr>
            </w:pPr>
            <w:r w:rsidRPr="00DB5A0F">
              <w:rPr>
                <w:rFonts w:cs="Traditional Arabic" w:hint="cs"/>
                <w:b/>
                <w:bCs/>
                <w:sz w:val="20"/>
                <w:szCs w:val="30"/>
                <w:rtl/>
                <w:lang w:val="fr-CH"/>
              </w:rPr>
              <w:t>الانتصاف الموصى به</w:t>
            </w:r>
          </w:p>
        </w:tc>
        <w:tc>
          <w:tcPr>
            <w:tcW w:w="4885" w:type="dxa"/>
            <w:tcBorders>
              <w:top w:val="nil"/>
              <w:left w:val="nil"/>
              <w:bottom w:val="nil"/>
              <w:right w:val="nil"/>
            </w:tcBorders>
            <w:shd w:val="clear" w:color="auto" w:fill="auto"/>
          </w:tcPr>
          <w:p w:rsidR="00F72BDC" w:rsidRPr="00DB5A0F" w:rsidRDefault="00F72BDC" w:rsidP="00DB5A0F">
            <w:pPr>
              <w:spacing w:after="120" w:line="380" w:lineRule="exact"/>
              <w:rPr>
                <w:rFonts w:cs="Traditional Arabic" w:hint="cs"/>
                <w:spacing w:val="-4"/>
                <w:sz w:val="20"/>
                <w:szCs w:val="30"/>
                <w:rtl/>
                <w:lang w:val="fr-CH"/>
              </w:rPr>
            </w:pPr>
            <w:r w:rsidRPr="00DB5A0F">
              <w:rPr>
                <w:rFonts w:cs="Traditional Arabic" w:hint="cs"/>
                <w:spacing w:val="-4"/>
                <w:sz w:val="20"/>
                <w:szCs w:val="30"/>
                <w:rtl/>
                <w:lang w:val="fr-CH"/>
              </w:rPr>
              <w:t>إبلاغ اللجنة، في غضون 90 يوماً من تاريخ إحالة هذا القرار، بالخطوات التي اتخذتها الدولة الطرف وفقاً لملاحظات اللجنة.</w:t>
            </w:r>
          </w:p>
        </w:tc>
      </w:tr>
      <w:tr w:rsidR="00F72BDC" w:rsidRPr="00DB5A0F" w:rsidTr="00D5428E">
        <w:trPr>
          <w:jc w:val="center"/>
        </w:trPr>
        <w:tc>
          <w:tcPr>
            <w:tcW w:w="7223" w:type="dxa"/>
            <w:gridSpan w:val="2"/>
            <w:tcBorders>
              <w:top w:val="nil"/>
              <w:left w:val="nil"/>
              <w:bottom w:val="nil"/>
              <w:right w:val="nil"/>
            </w:tcBorders>
            <w:shd w:val="clear" w:color="auto" w:fill="auto"/>
            <w:vAlign w:val="bottom"/>
          </w:tcPr>
          <w:p w:rsidR="00F72BDC" w:rsidRPr="00DB5A0F" w:rsidRDefault="00F72BDC" w:rsidP="00DB5A0F">
            <w:pPr>
              <w:spacing w:after="120" w:line="380" w:lineRule="exact"/>
              <w:rPr>
                <w:rFonts w:cs="Traditional Arabic" w:hint="cs"/>
                <w:b/>
                <w:bCs/>
                <w:sz w:val="20"/>
                <w:szCs w:val="30"/>
                <w:rtl/>
              </w:rPr>
            </w:pPr>
            <w:r w:rsidRPr="00DB5A0F">
              <w:rPr>
                <w:rFonts w:cs="Traditional Arabic" w:hint="cs"/>
                <w:b/>
                <w:bCs/>
                <w:sz w:val="20"/>
                <w:szCs w:val="30"/>
                <w:rtl/>
              </w:rPr>
              <w:t xml:space="preserve">معلومات المتابعة التي قُدمت سابقاً: </w:t>
            </w:r>
            <w:r w:rsidRPr="00DB5A0F">
              <w:rPr>
                <w:rFonts w:cs="Traditional Arabic"/>
                <w:b/>
                <w:bCs/>
                <w:sz w:val="20"/>
                <w:szCs w:val="30"/>
              </w:rPr>
              <w:t>A/67/44</w:t>
            </w:r>
            <w:r w:rsidRPr="00DB5A0F">
              <w:rPr>
                <w:rFonts w:cs="Traditional Arabic" w:hint="cs"/>
                <w:b/>
                <w:bCs/>
                <w:sz w:val="20"/>
                <w:szCs w:val="30"/>
                <w:rtl/>
              </w:rPr>
              <w:t>، الفصل السادس</w:t>
            </w:r>
          </w:p>
          <w:p w:rsidR="00F72BDC" w:rsidRPr="00DB5A0F" w:rsidRDefault="00F72BDC" w:rsidP="00DB5A0F">
            <w:pPr>
              <w:spacing w:after="120" w:line="380" w:lineRule="exact"/>
              <w:rPr>
                <w:rFonts w:cs="Traditional Arabic" w:hint="cs"/>
                <w:sz w:val="20"/>
                <w:szCs w:val="30"/>
                <w:rtl/>
              </w:rPr>
            </w:pPr>
            <w:r w:rsidRPr="00DB5A0F">
              <w:rPr>
                <w:rFonts w:cs="Traditional Arabic"/>
                <w:sz w:val="20"/>
                <w:szCs w:val="30"/>
                <w:rtl/>
              </w:rPr>
              <w:tab/>
            </w:r>
            <w:r w:rsidRPr="00DB5A0F">
              <w:rPr>
                <w:rFonts w:cs="Traditional Arabic" w:hint="cs"/>
                <w:sz w:val="20"/>
                <w:szCs w:val="30"/>
                <w:rtl/>
              </w:rPr>
              <w:t xml:space="preserve">في 21 كانون الثاني/يناير 2013، أبلغ المحامي اللجنة بأن المحكمة الإدارية الاتحادية قررت بموجب حكمها الصادر في 4 كانون الثاني/يناير 2013 أن يستعرض المكتب الاتحادي لشؤون الهجرة قراره القاضي بمنح صاحب الشكوى وضعاً مؤقتاً في سويسرا فقط. وينص الحكم الصادر عن المحكمة على أن يكون طلب صاحب الشكوى لإعادة النظر في شكل طلب جديد للجوء وأنه ينبغي منح صاحب الشكوى وضع لاجئ. وأرفق محامي صاحب الشكوى الحكم الصادر عن المحكمة الإدارية الاتحادية برسالته. </w:t>
            </w:r>
          </w:p>
        </w:tc>
      </w:tr>
      <w:tr w:rsidR="00DB5A0F" w:rsidRPr="00DB5A0F" w:rsidTr="00D5428E">
        <w:trPr>
          <w:jc w:val="center"/>
        </w:trPr>
        <w:tc>
          <w:tcPr>
            <w:tcW w:w="7223" w:type="dxa"/>
            <w:gridSpan w:val="2"/>
            <w:tcBorders>
              <w:top w:val="nil"/>
              <w:left w:val="nil"/>
              <w:bottom w:val="nil"/>
              <w:right w:val="nil"/>
            </w:tcBorders>
            <w:shd w:val="clear" w:color="auto" w:fill="auto"/>
            <w:vAlign w:val="bottom"/>
          </w:tcPr>
          <w:p w:rsidR="00DB5A0F" w:rsidRPr="00DB5A0F" w:rsidRDefault="00DB5A0F" w:rsidP="00DB5A0F">
            <w:pPr>
              <w:keepNext/>
              <w:keepLines/>
              <w:spacing w:after="120" w:line="380" w:lineRule="exact"/>
              <w:rPr>
                <w:rFonts w:cs="Traditional Arabic"/>
                <w:sz w:val="20"/>
                <w:szCs w:val="30"/>
                <w:rtl/>
                <w:lang w:val="fr-CH"/>
              </w:rPr>
            </w:pPr>
            <w:r w:rsidRPr="00DB5A0F">
              <w:rPr>
                <w:rFonts w:cs="Traditional Arabic"/>
                <w:sz w:val="20"/>
                <w:szCs w:val="30"/>
                <w:rtl/>
              </w:rPr>
              <w:tab/>
            </w:r>
            <w:r w:rsidRPr="00DB5A0F">
              <w:rPr>
                <w:rFonts w:cs="Traditional Arabic" w:hint="cs"/>
                <w:sz w:val="20"/>
                <w:szCs w:val="30"/>
                <w:rtl/>
              </w:rPr>
              <w:t>وطُلِبَ إلى المحامي أن يبلغ اللجنة بأية قرارات تصدر مستقبلاً عن السلطات الداخلية السويسرية بشأن هذه المسألة في إطار إجراء المتابعة. وأُحيلت نسخة من رسالة المحامي إلى الدولة الطرف للعلم.</w:t>
            </w:r>
          </w:p>
        </w:tc>
      </w:tr>
      <w:tr w:rsidR="00F72BDC" w:rsidRPr="00DB5A0F" w:rsidTr="00D5428E">
        <w:trPr>
          <w:jc w:val="center"/>
        </w:trPr>
        <w:tc>
          <w:tcPr>
            <w:tcW w:w="7223" w:type="dxa"/>
            <w:gridSpan w:val="2"/>
            <w:tcBorders>
              <w:top w:val="nil"/>
              <w:left w:val="nil"/>
              <w:bottom w:val="single" w:sz="12" w:space="0" w:color="auto"/>
              <w:right w:val="nil"/>
            </w:tcBorders>
            <w:shd w:val="clear" w:color="auto" w:fill="auto"/>
            <w:vAlign w:val="bottom"/>
          </w:tcPr>
          <w:p w:rsidR="00F72BDC" w:rsidRPr="00DB5A0F" w:rsidRDefault="00DB5A0F" w:rsidP="00DB5A0F">
            <w:pPr>
              <w:spacing w:after="120" w:line="380" w:lineRule="exact"/>
              <w:rPr>
                <w:rFonts w:cs="Traditional Arabic" w:hint="cs"/>
                <w:sz w:val="20"/>
                <w:szCs w:val="30"/>
                <w:rtl/>
              </w:rPr>
            </w:pPr>
            <w:r w:rsidRPr="00DB5A0F">
              <w:rPr>
                <w:rFonts w:cs="Traditional Arabic"/>
                <w:sz w:val="20"/>
                <w:szCs w:val="30"/>
                <w:rtl/>
                <w:lang w:val="fr-CH"/>
              </w:rPr>
              <w:tab/>
            </w:r>
            <w:r w:rsidR="00F72BDC" w:rsidRPr="00DB5A0F">
              <w:rPr>
                <w:rFonts w:cs="Traditional Arabic" w:hint="cs"/>
                <w:sz w:val="20"/>
                <w:szCs w:val="30"/>
                <w:rtl/>
                <w:lang w:val="fr-CH"/>
              </w:rPr>
              <w:t xml:space="preserve">قرار اللجنة: </w:t>
            </w:r>
            <w:r w:rsidR="00F72BDC" w:rsidRPr="00DB5A0F">
              <w:rPr>
                <w:rFonts w:cs="Traditional Arabic" w:hint="cs"/>
                <w:sz w:val="20"/>
                <w:szCs w:val="30"/>
                <w:rtl/>
              </w:rPr>
              <w:t>حوار المتابعة مستمر.</w:t>
            </w:r>
          </w:p>
        </w:tc>
      </w:tr>
    </w:tbl>
    <w:p w:rsidR="00F72BDC" w:rsidRDefault="00F72BDC" w:rsidP="00F72BDC">
      <w:pPr>
        <w:pStyle w:val="SingleTxtGA"/>
        <w:rPr>
          <w:sz w:val="30"/>
          <w:rtl/>
        </w:rPr>
      </w:pPr>
    </w:p>
    <w:tbl>
      <w:tblPr>
        <w:tblStyle w:val="TableGrid"/>
        <w:bidiVisual/>
        <w:tblW w:w="72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350"/>
        <w:gridCol w:w="4873"/>
      </w:tblGrid>
      <w:tr w:rsidR="00F72BDC" w:rsidRPr="00DB5A0F" w:rsidTr="00D5428E">
        <w:trPr>
          <w:jc w:val="center"/>
        </w:trPr>
        <w:tc>
          <w:tcPr>
            <w:tcW w:w="2350" w:type="dxa"/>
            <w:tcBorders>
              <w:top w:val="single" w:sz="4" w:space="0" w:color="auto"/>
              <w:bottom w:val="single" w:sz="12" w:space="0" w:color="auto"/>
            </w:tcBorders>
            <w:shd w:val="clear" w:color="auto" w:fill="auto"/>
          </w:tcPr>
          <w:p w:rsidR="00F72BDC" w:rsidRPr="00DB5A0F" w:rsidRDefault="00F72BDC" w:rsidP="00DB5A0F">
            <w:pPr>
              <w:spacing w:after="120" w:line="380" w:lineRule="exact"/>
              <w:rPr>
                <w:rFonts w:cs="Traditional Arabic" w:hint="cs"/>
                <w:b/>
                <w:bCs/>
                <w:i/>
                <w:sz w:val="20"/>
                <w:szCs w:val="30"/>
                <w:rtl/>
                <w:lang w:val="fr-CH"/>
              </w:rPr>
            </w:pPr>
            <w:r w:rsidRPr="00DB5A0F">
              <w:rPr>
                <w:rFonts w:cs="Traditional Arabic" w:hint="cs"/>
                <w:b/>
                <w:bCs/>
                <w:i/>
                <w:sz w:val="20"/>
                <w:szCs w:val="30"/>
                <w:rtl/>
                <w:lang w:val="fr-CH"/>
              </w:rPr>
              <w:t>الدولة الطرف</w:t>
            </w:r>
          </w:p>
        </w:tc>
        <w:tc>
          <w:tcPr>
            <w:tcW w:w="4873" w:type="dxa"/>
            <w:tcBorders>
              <w:top w:val="single" w:sz="4" w:space="0" w:color="auto"/>
              <w:bottom w:val="single" w:sz="12" w:space="0" w:color="auto"/>
            </w:tcBorders>
            <w:shd w:val="clear" w:color="auto" w:fill="auto"/>
          </w:tcPr>
          <w:p w:rsidR="00F72BDC" w:rsidRPr="00DB5A0F" w:rsidRDefault="00F72BDC" w:rsidP="00DB5A0F">
            <w:pPr>
              <w:spacing w:after="120" w:line="380" w:lineRule="exact"/>
              <w:rPr>
                <w:rFonts w:cs="Traditional Arabic" w:hint="cs"/>
                <w:b/>
                <w:bCs/>
                <w:i/>
                <w:sz w:val="20"/>
                <w:szCs w:val="30"/>
                <w:rtl/>
                <w:lang w:val="fr-CH"/>
              </w:rPr>
            </w:pPr>
            <w:r w:rsidRPr="00DB5A0F">
              <w:rPr>
                <w:rFonts w:cs="Traditional Arabic" w:hint="cs"/>
                <w:b/>
                <w:bCs/>
                <w:i/>
                <w:sz w:val="20"/>
                <w:szCs w:val="30"/>
                <w:rtl/>
                <w:lang w:val="fr-CH"/>
              </w:rPr>
              <w:t>سويسرا</w:t>
            </w:r>
          </w:p>
        </w:tc>
      </w:tr>
      <w:tr w:rsidR="00F72BDC" w:rsidRPr="00DB5A0F" w:rsidTr="00D5428E">
        <w:trPr>
          <w:jc w:val="center"/>
        </w:trPr>
        <w:tc>
          <w:tcPr>
            <w:tcW w:w="2350" w:type="dxa"/>
            <w:tcBorders>
              <w:top w:val="single" w:sz="12" w:space="0" w:color="auto"/>
            </w:tcBorders>
            <w:shd w:val="clear" w:color="auto" w:fill="auto"/>
          </w:tcPr>
          <w:p w:rsidR="00F72BDC" w:rsidRPr="00DB5A0F" w:rsidRDefault="00F72BDC" w:rsidP="00DB5A0F">
            <w:pPr>
              <w:spacing w:after="120" w:line="380" w:lineRule="exact"/>
              <w:rPr>
                <w:rFonts w:cs="Traditional Arabic" w:hint="cs"/>
                <w:b/>
                <w:bCs/>
                <w:sz w:val="20"/>
                <w:szCs w:val="30"/>
                <w:rtl/>
                <w:lang w:val="fr-CH"/>
              </w:rPr>
            </w:pPr>
            <w:r w:rsidRPr="00DB5A0F">
              <w:rPr>
                <w:rFonts w:cs="Traditional Arabic" w:hint="cs"/>
                <w:b/>
                <w:bCs/>
                <w:sz w:val="20"/>
                <w:szCs w:val="30"/>
                <w:rtl/>
                <w:lang w:val="fr-CH"/>
              </w:rPr>
              <w:t>القضية</w:t>
            </w:r>
          </w:p>
        </w:tc>
        <w:tc>
          <w:tcPr>
            <w:tcW w:w="4873" w:type="dxa"/>
            <w:tcBorders>
              <w:top w:val="single" w:sz="12" w:space="0" w:color="auto"/>
            </w:tcBorders>
            <w:shd w:val="clear" w:color="auto" w:fill="auto"/>
          </w:tcPr>
          <w:p w:rsidR="00F72BDC" w:rsidRPr="00DB5A0F" w:rsidRDefault="00F72BDC" w:rsidP="00DB5A0F">
            <w:pPr>
              <w:spacing w:after="120" w:line="380" w:lineRule="exact"/>
              <w:rPr>
                <w:rFonts w:cs="Traditional Arabic" w:hint="cs"/>
                <w:b/>
                <w:bCs/>
                <w:sz w:val="20"/>
                <w:szCs w:val="30"/>
                <w:rtl/>
                <w:lang w:val="fr-CH"/>
              </w:rPr>
            </w:pPr>
            <w:r w:rsidRPr="00DB5A0F">
              <w:rPr>
                <w:rFonts w:cs="Traditional Arabic" w:hint="cs"/>
                <w:b/>
                <w:bCs/>
                <w:i/>
                <w:iCs/>
                <w:sz w:val="20"/>
                <w:szCs w:val="30"/>
                <w:rtl/>
                <w:lang w:val="fr-CH"/>
              </w:rPr>
              <w:t>غباديافي</w:t>
            </w:r>
            <w:r w:rsidRPr="00DB5A0F">
              <w:rPr>
                <w:rFonts w:cs="Traditional Arabic" w:hint="cs"/>
                <w:b/>
                <w:bCs/>
                <w:sz w:val="20"/>
                <w:szCs w:val="30"/>
                <w:rtl/>
                <w:lang w:val="fr-CH"/>
              </w:rPr>
              <w:t>، 396/2009</w:t>
            </w:r>
          </w:p>
        </w:tc>
      </w:tr>
      <w:tr w:rsidR="00F72BDC" w:rsidRPr="00DB5A0F" w:rsidTr="00D5428E">
        <w:trPr>
          <w:jc w:val="center"/>
        </w:trPr>
        <w:tc>
          <w:tcPr>
            <w:tcW w:w="2350" w:type="dxa"/>
            <w:shd w:val="clear" w:color="auto" w:fill="auto"/>
          </w:tcPr>
          <w:p w:rsidR="00F72BDC" w:rsidRPr="00DB5A0F" w:rsidRDefault="00F72BDC" w:rsidP="00DB5A0F">
            <w:pPr>
              <w:spacing w:after="120" w:line="380" w:lineRule="exact"/>
              <w:rPr>
                <w:rFonts w:cs="Traditional Arabic" w:hint="cs"/>
                <w:b/>
                <w:bCs/>
                <w:sz w:val="20"/>
                <w:szCs w:val="30"/>
                <w:rtl/>
                <w:lang w:val="fr-CH"/>
              </w:rPr>
            </w:pPr>
            <w:r w:rsidRPr="00DB5A0F">
              <w:rPr>
                <w:rFonts w:cs="Traditional Arabic" w:hint="cs"/>
                <w:b/>
                <w:bCs/>
                <w:sz w:val="20"/>
                <w:szCs w:val="30"/>
                <w:rtl/>
                <w:lang w:val="fr-CH"/>
              </w:rPr>
              <w:t>قرار معتمد في</w:t>
            </w:r>
          </w:p>
        </w:tc>
        <w:tc>
          <w:tcPr>
            <w:tcW w:w="4873" w:type="dxa"/>
            <w:shd w:val="clear" w:color="auto" w:fill="auto"/>
          </w:tcPr>
          <w:p w:rsidR="00F72BDC" w:rsidRPr="00DB5A0F" w:rsidRDefault="00F72BDC" w:rsidP="00DB5A0F">
            <w:pPr>
              <w:spacing w:after="120" w:line="380" w:lineRule="exact"/>
              <w:rPr>
                <w:rFonts w:cs="Traditional Arabic" w:hint="cs"/>
                <w:sz w:val="20"/>
                <w:szCs w:val="30"/>
                <w:rtl/>
                <w:lang w:val="fr-CH"/>
              </w:rPr>
            </w:pPr>
            <w:r w:rsidRPr="00DB5A0F">
              <w:rPr>
                <w:rFonts w:cs="Traditional Arabic" w:hint="cs"/>
                <w:sz w:val="20"/>
                <w:szCs w:val="30"/>
                <w:rtl/>
                <w:lang w:val="fr-CH"/>
              </w:rPr>
              <w:t>1 حزيران/يونيه 2012</w:t>
            </w:r>
          </w:p>
        </w:tc>
      </w:tr>
      <w:tr w:rsidR="00F72BDC" w:rsidRPr="00DB5A0F" w:rsidTr="00D5428E">
        <w:trPr>
          <w:jc w:val="center"/>
        </w:trPr>
        <w:tc>
          <w:tcPr>
            <w:tcW w:w="2350" w:type="dxa"/>
            <w:shd w:val="clear" w:color="auto" w:fill="auto"/>
          </w:tcPr>
          <w:p w:rsidR="00F72BDC" w:rsidRPr="00DB5A0F" w:rsidRDefault="00F72BDC" w:rsidP="00DB5A0F">
            <w:pPr>
              <w:spacing w:after="120" w:line="380" w:lineRule="exact"/>
              <w:rPr>
                <w:rFonts w:cs="Traditional Arabic" w:hint="cs"/>
                <w:b/>
                <w:bCs/>
                <w:sz w:val="20"/>
                <w:szCs w:val="30"/>
                <w:rtl/>
                <w:lang w:val="fr-CH"/>
              </w:rPr>
            </w:pPr>
            <w:r w:rsidRPr="00DB5A0F">
              <w:rPr>
                <w:rFonts w:cs="Traditional Arabic" w:hint="cs"/>
                <w:b/>
                <w:bCs/>
                <w:sz w:val="20"/>
                <w:szCs w:val="30"/>
                <w:rtl/>
                <w:lang w:val="fr-CH"/>
              </w:rPr>
              <w:t>الانتهاك</w:t>
            </w:r>
          </w:p>
        </w:tc>
        <w:tc>
          <w:tcPr>
            <w:tcW w:w="4873" w:type="dxa"/>
            <w:shd w:val="clear" w:color="auto" w:fill="auto"/>
          </w:tcPr>
          <w:p w:rsidR="00F72BDC" w:rsidRPr="00DB5A0F" w:rsidRDefault="00F72BDC" w:rsidP="00DB5A0F">
            <w:pPr>
              <w:spacing w:after="120" w:line="380" w:lineRule="exact"/>
              <w:rPr>
                <w:rFonts w:cs="Traditional Arabic" w:hint="cs"/>
                <w:sz w:val="20"/>
                <w:szCs w:val="30"/>
                <w:rtl/>
                <w:lang w:val="fr-CH"/>
              </w:rPr>
            </w:pPr>
            <w:r w:rsidRPr="00DB5A0F">
              <w:rPr>
                <w:rFonts w:cs="Traditional Arabic" w:hint="cs"/>
                <w:sz w:val="20"/>
                <w:szCs w:val="30"/>
                <w:rtl/>
                <w:lang w:val="fr-CH"/>
              </w:rPr>
              <w:t>المادة 3 (الترحيل إلى توغو)</w:t>
            </w:r>
          </w:p>
        </w:tc>
      </w:tr>
      <w:tr w:rsidR="00F72BDC" w:rsidRPr="00DB5A0F" w:rsidTr="00D5428E">
        <w:trPr>
          <w:jc w:val="center"/>
        </w:trPr>
        <w:tc>
          <w:tcPr>
            <w:tcW w:w="2350" w:type="dxa"/>
            <w:shd w:val="clear" w:color="auto" w:fill="auto"/>
          </w:tcPr>
          <w:p w:rsidR="00F72BDC" w:rsidRPr="00DB5A0F" w:rsidRDefault="00F72BDC" w:rsidP="00DB5A0F">
            <w:pPr>
              <w:spacing w:after="120" w:line="380" w:lineRule="exact"/>
              <w:rPr>
                <w:rFonts w:cs="Traditional Arabic" w:hint="cs"/>
                <w:b/>
                <w:bCs/>
                <w:sz w:val="20"/>
                <w:szCs w:val="30"/>
                <w:rtl/>
                <w:lang w:val="fr-CH"/>
              </w:rPr>
            </w:pPr>
            <w:r w:rsidRPr="00DB5A0F">
              <w:rPr>
                <w:rFonts w:cs="Traditional Arabic" w:hint="cs"/>
                <w:b/>
                <w:bCs/>
                <w:sz w:val="20"/>
                <w:szCs w:val="30"/>
                <w:rtl/>
                <w:lang w:val="fr-CH"/>
              </w:rPr>
              <w:t>الانتصاف الموصى به</w:t>
            </w:r>
          </w:p>
        </w:tc>
        <w:tc>
          <w:tcPr>
            <w:tcW w:w="4873" w:type="dxa"/>
            <w:shd w:val="clear" w:color="auto" w:fill="auto"/>
          </w:tcPr>
          <w:p w:rsidR="00F72BDC" w:rsidRPr="00DB5A0F" w:rsidRDefault="00F72BDC" w:rsidP="00DB5A0F">
            <w:pPr>
              <w:spacing w:after="120" w:line="380" w:lineRule="exact"/>
              <w:rPr>
                <w:rFonts w:cs="Traditional Arabic" w:hint="cs"/>
                <w:spacing w:val="-4"/>
                <w:sz w:val="20"/>
                <w:szCs w:val="30"/>
                <w:rtl/>
                <w:lang w:val="fr-CH"/>
              </w:rPr>
            </w:pPr>
            <w:r w:rsidRPr="00DB5A0F">
              <w:rPr>
                <w:rFonts w:cs="Traditional Arabic" w:hint="cs"/>
                <w:spacing w:val="-4"/>
                <w:sz w:val="20"/>
                <w:szCs w:val="30"/>
                <w:rtl/>
                <w:lang w:val="fr-CH"/>
              </w:rPr>
              <w:t>إبلاغ اللجنة، في غضون 90 يوماً من تاريخ إحالة هذا القرار، بالخطوات التي اتخذتها الدولة الطرف وفقاً لملاحظات اللجنة.</w:t>
            </w:r>
          </w:p>
        </w:tc>
      </w:tr>
      <w:tr w:rsidR="00F72BDC" w:rsidRPr="00DB5A0F" w:rsidTr="00D5428E">
        <w:trPr>
          <w:jc w:val="center"/>
        </w:trPr>
        <w:tc>
          <w:tcPr>
            <w:tcW w:w="7223" w:type="dxa"/>
            <w:gridSpan w:val="2"/>
            <w:tcBorders>
              <w:bottom w:val="single" w:sz="12" w:space="0" w:color="auto"/>
            </w:tcBorders>
            <w:shd w:val="clear" w:color="auto" w:fill="auto"/>
          </w:tcPr>
          <w:p w:rsidR="00F72BDC" w:rsidRPr="00DB5A0F" w:rsidRDefault="00F72BDC" w:rsidP="00DB5A0F">
            <w:pPr>
              <w:spacing w:after="120" w:line="380" w:lineRule="exact"/>
              <w:rPr>
                <w:rFonts w:cs="Traditional Arabic" w:hint="cs"/>
                <w:spacing w:val="-4"/>
                <w:sz w:val="20"/>
                <w:szCs w:val="30"/>
                <w:rtl/>
              </w:rPr>
            </w:pPr>
            <w:r w:rsidRPr="00DB5A0F">
              <w:rPr>
                <w:rFonts w:cs="Traditional Arabic"/>
                <w:sz w:val="20"/>
                <w:szCs w:val="30"/>
                <w:rtl/>
              </w:rPr>
              <w:tab/>
            </w:r>
            <w:r w:rsidRPr="00DB5A0F">
              <w:rPr>
                <w:rFonts w:cs="Traditional Arabic" w:hint="cs"/>
                <w:sz w:val="20"/>
                <w:szCs w:val="30"/>
                <w:rtl/>
              </w:rPr>
              <w:t>في 17 نيسان/أبريل 2013، أبلغت الدولة الطرف اللجنة بأنه في 19 تموز/</w:t>
            </w:r>
            <w:r w:rsidR="00DB5A0F">
              <w:rPr>
                <w:rFonts w:cs="Traditional Arabic" w:hint="cs"/>
                <w:sz w:val="20"/>
                <w:szCs w:val="30"/>
                <w:rtl/>
              </w:rPr>
              <w:t xml:space="preserve"> </w:t>
            </w:r>
            <w:r w:rsidRPr="00DB5A0F">
              <w:rPr>
                <w:rFonts w:cs="Traditional Arabic" w:hint="cs"/>
                <w:spacing w:val="-4"/>
                <w:sz w:val="20"/>
                <w:szCs w:val="30"/>
                <w:rtl/>
              </w:rPr>
              <w:t>يوليه</w:t>
            </w:r>
            <w:r w:rsidR="00DB5A0F" w:rsidRPr="00DB5A0F">
              <w:rPr>
                <w:rFonts w:cs="Traditional Arabic" w:hint="eastAsia"/>
                <w:spacing w:val="-4"/>
                <w:sz w:val="20"/>
                <w:szCs w:val="30"/>
                <w:rtl/>
              </w:rPr>
              <w:t> </w:t>
            </w:r>
            <w:r w:rsidRPr="00DB5A0F">
              <w:rPr>
                <w:rFonts w:cs="Traditional Arabic" w:hint="cs"/>
                <w:spacing w:val="-4"/>
                <w:sz w:val="20"/>
                <w:szCs w:val="30"/>
                <w:rtl/>
              </w:rPr>
              <w:t>2012، منح مكتب الهجرة الاتحادي السيد غباديافي وضع لاجئ وبالتالي مُنِحَ ترخيصاً بالإقامة في سويسرا. وعليه لا يبدو صاحب الشكوى معرضاً لخطر الطرد إلى توغو.</w:t>
            </w:r>
          </w:p>
          <w:p w:rsidR="00F72BDC" w:rsidRPr="00DB5A0F" w:rsidRDefault="00F72BDC" w:rsidP="00DB5A0F">
            <w:pPr>
              <w:spacing w:after="120" w:line="380" w:lineRule="exact"/>
              <w:rPr>
                <w:rFonts w:cs="Traditional Arabic" w:hint="cs"/>
                <w:sz w:val="20"/>
                <w:szCs w:val="30"/>
                <w:rtl/>
              </w:rPr>
            </w:pPr>
            <w:r w:rsidRPr="00DB5A0F">
              <w:rPr>
                <w:rFonts w:cs="Traditional Arabic"/>
                <w:sz w:val="20"/>
                <w:szCs w:val="30"/>
                <w:rtl/>
              </w:rPr>
              <w:tab/>
            </w:r>
            <w:r w:rsidRPr="00DB5A0F">
              <w:rPr>
                <w:rFonts w:cs="Traditional Arabic" w:hint="cs"/>
                <w:sz w:val="20"/>
                <w:szCs w:val="30"/>
                <w:rtl/>
              </w:rPr>
              <w:t>وقررت اللجنة، في دورتها الخمسين، إغلاق حوار المتابعة وخلصت إلى أن القضية قد سويت تسوية مرضية.</w:t>
            </w:r>
          </w:p>
        </w:tc>
      </w:tr>
    </w:tbl>
    <w:p w:rsidR="00F72BDC" w:rsidRDefault="00F72BDC" w:rsidP="00D5428E">
      <w:pPr>
        <w:pStyle w:val="SingleTxtGA"/>
        <w:spacing w:after="0"/>
        <w:rPr>
          <w:rFonts w:hint="cs"/>
          <w:sz w:val="30"/>
          <w:rtl/>
          <w:lang w:val="fr-CH"/>
        </w:rPr>
      </w:pPr>
    </w:p>
    <w:tbl>
      <w:tblPr>
        <w:tblStyle w:val="TableGrid"/>
        <w:bidiVisual/>
        <w:tblW w:w="7212" w:type="dxa"/>
        <w:jc w:val="center"/>
        <w:tblInd w:w="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357"/>
        <w:gridCol w:w="4855"/>
      </w:tblGrid>
      <w:tr w:rsidR="00D5428E" w:rsidRPr="00D5428E" w:rsidTr="00D5428E">
        <w:trPr>
          <w:jc w:val="center"/>
        </w:trPr>
        <w:tc>
          <w:tcPr>
            <w:tcW w:w="2357" w:type="dxa"/>
            <w:tcBorders>
              <w:top w:val="single" w:sz="4" w:space="0" w:color="auto"/>
              <w:bottom w:val="single" w:sz="12" w:space="0" w:color="auto"/>
            </w:tcBorders>
            <w:shd w:val="clear" w:color="auto" w:fill="auto"/>
          </w:tcPr>
          <w:p w:rsidR="00D5428E" w:rsidRPr="00D5428E" w:rsidRDefault="00D5428E" w:rsidP="00D5428E">
            <w:pPr>
              <w:spacing w:after="120" w:line="380" w:lineRule="exact"/>
              <w:rPr>
                <w:rFonts w:cs="Traditional Arabic" w:hint="cs"/>
                <w:b/>
                <w:bCs/>
                <w:i/>
                <w:sz w:val="20"/>
                <w:szCs w:val="30"/>
                <w:rtl/>
                <w:lang w:val="fr-CH"/>
              </w:rPr>
            </w:pPr>
            <w:r w:rsidRPr="00D5428E">
              <w:rPr>
                <w:rFonts w:cs="Traditional Arabic" w:hint="cs"/>
                <w:b/>
                <w:bCs/>
                <w:i/>
                <w:sz w:val="20"/>
                <w:szCs w:val="30"/>
                <w:rtl/>
                <w:lang w:val="fr-CH"/>
              </w:rPr>
              <w:t>الدولة الطرف</w:t>
            </w:r>
          </w:p>
        </w:tc>
        <w:tc>
          <w:tcPr>
            <w:tcW w:w="4855" w:type="dxa"/>
            <w:tcBorders>
              <w:top w:val="single" w:sz="4" w:space="0" w:color="auto"/>
              <w:bottom w:val="single" w:sz="12" w:space="0" w:color="auto"/>
            </w:tcBorders>
            <w:shd w:val="clear" w:color="auto" w:fill="auto"/>
          </w:tcPr>
          <w:p w:rsidR="00D5428E" w:rsidRPr="00D5428E" w:rsidRDefault="00D5428E" w:rsidP="00D5428E">
            <w:pPr>
              <w:spacing w:after="120" w:line="380" w:lineRule="exact"/>
              <w:rPr>
                <w:rFonts w:cs="Traditional Arabic" w:hint="cs"/>
                <w:b/>
                <w:bCs/>
                <w:i/>
                <w:sz w:val="20"/>
                <w:szCs w:val="30"/>
                <w:rtl/>
                <w:lang w:val="fr-CH"/>
              </w:rPr>
            </w:pPr>
            <w:r w:rsidRPr="00D5428E">
              <w:rPr>
                <w:rFonts w:cs="Traditional Arabic" w:hint="cs"/>
                <w:b/>
                <w:bCs/>
                <w:i/>
                <w:sz w:val="20"/>
                <w:szCs w:val="30"/>
                <w:rtl/>
                <w:lang w:val="fr-CH"/>
              </w:rPr>
              <w:t>تونس</w:t>
            </w:r>
          </w:p>
        </w:tc>
      </w:tr>
      <w:tr w:rsidR="00D5428E" w:rsidRPr="00D5428E" w:rsidTr="00D5428E">
        <w:trPr>
          <w:jc w:val="center"/>
        </w:trPr>
        <w:tc>
          <w:tcPr>
            <w:tcW w:w="2357" w:type="dxa"/>
            <w:tcBorders>
              <w:top w:val="single" w:sz="12" w:space="0" w:color="auto"/>
            </w:tcBorders>
            <w:shd w:val="clear" w:color="auto" w:fill="auto"/>
          </w:tcPr>
          <w:p w:rsidR="00D5428E" w:rsidRPr="00D5428E" w:rsidRDefault="00D5428E" w:rsidP="00D5428E">
            <w:pPr>
              <w:spacing w:after="120" w:line="380" w:lineRule="exact"/>
              <w:rPr>
                <w:rFonts w:cs="Traditional Arabic" w:hint="cs"/>
                <w:b/>
                <w:bCs/>
                <w:sz w:val="20"/>
                <w:szCs w:val="30"/>
                <w:rtl/>
                <w:lang w:val="fr-CH"/>
              </w:rPr>
            </w:pPr>
            <w:r w:rsidRPr="00D5428E">
              <w:rPr>
                <w:rFonts w:cs="Traditional Arabic" w:hint="cs"/>
                <w:b/>
                <w:bCs/>
                <w:sz w:val="20"/>
                <w:szCs w:val="30"/>
                <w:rtl/>
                <w:lang w:val="fr-CH"/>
              </w:rPr>
              <w:t>القضية</w:t>
            </w:r>
          </w:p>
        </w:tc>
        <w:tc>
          <w:tcPr>
            <w:tcW w:w="4855" w:type="dxa"/>
            <w:tcBorders>
              <w:top w:val="single" w:sz="12" w:space="0" w:color="auto"/>
            </w:tcBorders>
            <w:shd w:val="clear" w:color="auto" w:fill="auto"/>
          </w:tcPr>
          <w:p w:rsidR="00D5428E" w:rsidRPr="00D5428E" w:rsidRDefault="00D5428E" w:rsidP="00D5428E">
            <w:pPr>
              <w:spacing w:after="120" w:line="380" w:lineRule="exact"/>
              <w:rPr>
                <w:rFonts w:cs="Traditional Arabic" w:hint="cs"/>
                <w:b/>
                <w:bCs/>
                <w:sz w:val="20"/>
                <w:szCs w:val="30"/>
                <w:rtl/>
                <w:lang w:val="fr-CH"/>
              </w:rPr>
            </w:pPr>
            <w:r w:rsidRPr="00D5428E">
              <w:rPr>
                <w:rFonts w:cs="Traditional Arabic" w:hint="cs"/>
                <w:b/>
                <w:bCs/>
                <w:i/>
                <w:iCs/>
                <w:sz w:val="20"/>
                <w:szCs w:val="30"/>
                <w:rtl/>
                <w:lang w:val="fr-CH"/>
              </w:rPr>
              <w:t>مبارك</w:t>
            </w:r>
            <w:r w:rsidRPr="00D5428E">
              <w:rPr>
                <w:rFonts w:cs="Traditional Arabic" w:hint="cs"/>
                <w:b/>
                <w:bCs/>
                <w:sz w:val="20"/>
                <w:szCs w:val="30"/>
                <w:rtl/>
                <w:lang w:val="fr-CH"/>
              </w:rPr>
              <w:t>، 60/1996</w:t>
            </w:r>
          </w:p>
        </w:tc>
      </w:tr>
      <w:tr w:rsidR="00D5428E" w:rsidRPr="00D5428E" w:rsidTr="00D5428E">
        <w:trPr>
          <w:jc w:val="center"/>
        </w:trPr>
        <w:tc>
          <w:tcPr>
            <w:tcW w:w="2357" w:type="dxa"/>
            <w:shd w:val="clear" w:color="auto" w:fill="auto"/>
          </w:tcPr>
          <w:p w:rsidR="00D5428E" w:rsidRPr="00D5428E" w:rsidRDefault="00D5428E" w:rsidP="00D5428E">
            <w:pPr>
              <w:spacing w:after="120" w:line="380" w:lineRule="exact"/>
              <w:rPr>
                <w:rFonts w:cs="Traditional Arabic" w:hint="cs"/>
                <w:b/>
                <w:bCs/>
                <w:sz w:val="20"/>
                <w:szCs w:val="30"/>
                <w:rtl/>
                <w:lang w:val="fr-CH"/>
              </w:rPr>
            </w:pPr>
            <w:r w:rsidRPr="00D5428E">
              <w:rPr>
                <w:rFonts w:cs="Traditional Arabic" w:hint="cs"/>
                <w:b/>
                <w:bCs/>
                <w:sz w:val="20"/>
                <w:szCs w:val="30"/>
                <w:rtl/>
                <w:lang w:val="fr-CH"/>
              </w:rPr>
              <w:t>قرار معتمد في</w:t>
            </w:r>
          </w:p>
        </w:tc>
        <w:tc>
          <w:tcPr>
            <w:tcW w:w="4855" w:type="dxa"/>
            <w:shd w:val="clear" w:color="auto" w:fill="auto"/>
          </w:tcPr>
          <w:p w:rsidR="00D5428E" w:rsidRPr="00D5428E" w:rsidRDefault="00D5428E" w:rsidP="00D5428E">
            <w:pPr>
              <w:spacing w:after="120" w:line="380" w:lineRule="exact"/>
              <w:rPr>
                <w:rFonts w:cs="Traditional Arabic" w:hint="cs"/>
                <w:sz w:val="20"/>
                <w:szCs w:val="30"/>
                <w:rtl/>
                <w:lang w:val="fr-CH"/>
              </w:rPr>
            </w:pPr>
            <w:r w:rsidRPr="00D5428E">
              <w:rPr>
                <w:rFonts w:cs="Traditional Arabic" w:hint="cs"/>
                <w:sz w:val="20"/>
                <w:szCs w:val="30"/>
                <w:rtl/>
                <w:lang w:val="fr-CH"/>
              </w:rPr>
              <w:t>10 تشرين الثاني/نوفمبر 1999</w:t>
            </w:r>
          </w:p>
        </w:tc>
      </w:tr>
      <w:tr w:rsidR="00D5428E" w:rsidRPr="00D5428E" w:rsidTr="00D5428E">
        <w:trPr>
          <w:jc w:val="center"/>
        </w:trPr>
        <w:tc>
          <w:tcPr>
            <w:tcW w:w="2357" w:type="dxa"/>
            <w:shd w:val="clear" w:color="auto" w:fill="auto"/>
          </w:tcPr>
          <w:p w:rsidR="00D5428E" w:rsidRPr="00D5428E" w:rsidRDefault="00D5428E" w:rsidP="00D5428E">
            <w:pPr>
              <w:spacing w:after="120" w:line="380" w:lineRule="exact"/>
              <w:rPr>
                <w:rFonts w:cs="Traditional Arabic" w:hint="cs"/>
                <w:b/>
                <w:bCs/>
                <w:sz w:val="20"/>
                <w:szCs w:val="30"/>
                <w:rtl/>
                <w:lang w:val="fr-CH"/>
              </w:rPr>
            </w:pPr>
            <w:r w:rsidRPr="00D5428E">
              <w:rPr>
                <w:rFonts w:cs="Traditional Arabic" w:hint="cs"/>
                <w:b/>
                <w:bCs/>
                <w:sz w:val="20"/>
                <w:szCs w:val="30"/>
                <w:rtl/>
                <w:lang w:val="fr-CH"/>
              </w:rPr>
              <w:t>الانتهاك</w:t>
            </w:r>
          </w:p>
        </w:tc>
        <w:tc>
          <w:tcPr>
            <w:tcW w:w="4855" w:type="dxa"/>
            <w:shd w:val="clear" w:color="auto" w:fill="auto"/>
          </w:tcPr>
          <w:p w:rsidR="00D5428E" w:rsidRPr="00D5428E" w:rsidRDefault="00D5428E" w:rsidP="00D5428E">
            <w:pPr>
              <w:spacing w:after="120" w:line="380" w:lineRule="exact"/>
              <w:rPr>
                <w:rFonts w:cs="Traditional Arabic" w:hint="cs"/>
                <w:sz w:val="20"/>
                <w:szCs w:val="30"/>
                <w:rtl/>
                <w:lang w:val="fr-CH"/>
              </w:rPr>
            </w:pPr>
            <w:r w:rsidRPr="00D5428E">
              <w:rPr>
                <w:rFonts w:cs="Traditional Arabic" w:hint="cs"/>
                <w:sz w:val="20"/>
                <w:szCs w:val="30"/>
                <w:rtl/>
                <w:lang w:val="fr-CH"/>
              </w:rPr>
              <w:t>المادتان 12 و13</w:t>
            </w:r>
          </w:p>
        </w:tc>
      </w:tr>
      <w:tr w:rsidR="00D5428E" w:rsidRPr="00D5428E" w:rsidTr="00D5428E">
        <w:trPr>
          <w:jc w:val="center"/>
        </w:trPr>
        <w:tc>
          <w:tcPr>
            <w:tcW w:w="2357" w:type="dxa"/>
            <w:shd w:val="clear" w:color="auto" w:fill="auto"/>
          </w:tcPr>
          <w:p w:rsidR="00D5428E" w:rsidRPr="00D5428E" w:rsidRDefault="00D5428E" w:rsidP="00D5428E">
            <w:pPr>
              <w:spacing w:after="120" w:line="380" w:lineRule="exact"/>
              <w:rPr>
                <w:rFonts w:cs="Traditional Arabic" w:hint="cs"/>
                <w:b/>
                <w:bCs/>
                <w:sz w:val="20"/>
                <w:szCs w:val="30"/>
                <w:rtl/>
                <w:lang w:val="fr-CH"/>
              </w:rPr>
            </w:pPr>
            <w:r w:rsidRPr="00D5428E">
              <w:rPr>
                <w:rFonts w:cs="Traditional Arabic" w:hint="cs"/>
                <w:b/>
                <w:bCs/>
                <w:sz w:val="20"/>
                <w:szCs w:val="30"/>
                <w:rtl/>
                <w:lang w:val="fr-CH"/>
              </w:rPr>
              <w:t>الانتصاف الموصى به</w:t>
            </w:r>
          </w:p>
        </w:tc>
        <w:tc>
          <w:tcPr>
            <w:tcW w:w="4855" w:type="dxa"/>
            <w:shd w:val="clear" w:color="auto" w:fill="auto"/>
          </w:tcPr>
          <w:p w:rsidR="00D5428E" w:rsidRPr="00D5428E" w:rsidRDefault="00D5428E" w:rsidP="00D5428E">
            <w:pPr>
              <w:spacing w:after="120" w:line="380" w:lineRule="exact"/>
              <w:rPr>
                <w:rFonts w:cs="Traditional Arabic" w:hint="cs"/>
                <w:sz w:val="20"/>
                <w:szCs w:val="30"/>
                <w:rtl/>
                <w:lang w:val="fr-CH"/>
              </w:rPr>
            </w:pPr>
            <w:r w:rsidRPr="00D5428E">
              <w:rPr>
                <w:rFonts w:cs="Traditional Arabic" w:hint="cs"/>
                <w:sz w:val="20"/>
                <w:szCs w:val="30"/>
                <w:rtl/>
                <w:lang w:val="fr-CH"/>
              </w:rPr>
              <w:t>إجراء تحقيق نزيه من أجل التأكد من مدى وقوع أعمال تعذيب في هذه القضية.</w:t>
            </w:r>
          </w:p>
        </w:tc>
      </w:tr>
      <w:tr w:rsidR="00D5428E" w:rsidRPr="00D5428E" w:rsidTr="00D5428E">
        <w:trPr>
          <w:jc w:val="center"/>
        </w:trPr>
        <w:tc>
          <w:tcPr>
            <w:tcW w:w="7212" w:type="dxa"/>
            <w:gridSpan w:val="2"/>
            <w:shd w:val="clear" w:color="auto" w:fill="auto"/>
          </w:tcPr>
          <w:p w:rsidR="00D5428E" w:rsidRPr="00D5428E" w:rsidRDefault="00D5428E" w:rsidP="00D5428E">
            <w:pPr>
              <w:spacing w:after="120" w:line="380" w:lineRule="exact"/>
              <w:rPr>
                <w:rFonts w:cs="Traditional Arabic" w:hint="cs"/>
                <w:b/>
                <w:bCs/>
                <w:sz w:val="20"/>
                <w:szCs w:val="30"/>
                <w:rtl/>
              </w:rPr>
            </w:pPr>
            <w:r w:rsidRPr="00D5428E">
              <w:rPr>
                <w:rFonts w:cs="Traditional Arabic" w:hint="cs"/>
                <w:b/>
                <w:bCs/>
                <w:sz w:val="20"/>
                <w:szCs w:val="30"/>
                <w:rtl/>
                <w:lang w:val="fr-CH"/>
              </w:rPr>
              <w:t xml:space="preserve">معلومات المتابعة السابقة: </w:t>
            </w:r>
            <w:r w:rsidRPr="00D5428E">
              <w:rPr>
                <w:rFonts w:cs="Traditional Arabic"/>
                <w:b/>
                <w:bCs/>
                <w:sz w:val="20"/>
                <w:szCs w:val="30"/>
              </w:rPr>
              <w:t>A/66/44</w:t>
            </w:r>
            <w:r w:rsidRPr="00D5428E">
              <w:rPr>
                <w:rFonts w:cs="Traditional Arabic" w:hint="cs"/>
                <w:b/>
                <w:bCs/>
                <w:sz w:val="20"/>
                <w:szCs w:val="30"/>
                <w:rtl/>
              </w:rPr>
              <w:t>، الفصل السادس، و</w:t>
            </w:r>
            <w:r w:rsidRPr="00D5428E">
              <w:rPr>
                <w:rFonts w:cs="Traditional Arabic"/>
                <w:b/>
                <w:bCs/>
                <w:sz w:val="20"/>
                <w:szCs w:val="30"/>
              </w:rPr>
              <w:t>A/67/44</w:t>
            </w:r>
            <w:r w:rsidRPr="00D5428E">
              <w:rPr>
                <w:rFonts w:cs="Traditional Arabic" w:hint="cs"/>
                <w:b/>
                <w:bCs/>
                <w:sz w:val="20"/>
                <w:szCs w:val="30"/>
                <w:rtl/>
              </w:rPr>
              <w:t>، الفصل السادس</w:t>
            </w:r>
          </w:p>
          <w:p w:rsidR="00D5428E" w:rsidRPr="00D5428E" w:rsidRDefault="00D5428E" w:rsidP="00D5428E">
            <w:pPr>
              <w:spacing w:after="120" w:line="380" w:lineRule="exact"/>
              <w:rPr>
                <w:rFonts w:cs="Traditional Arabic" w:hint="cs"/>
                <w:sz w:val="20"/>
                <w:szCs w:val="30"/>
                <w:rtl/>
              </w:rPr>
            </w:pPr>
            <w:r w:rsidRPr="00D5428E">
              <w:rPr>
                <w:rFonts w:cs="Traditional Arabic"/>
                <w:sz w:val="20"/>
                <w:szCs w:val="30"/>
                <w:rtl/>
              </w:rPr>
              <w:tab/>
            </w:r>
            <w:r w:rsidRPr="00D5428E">
              <w:rPr>
                <w:rFonts w:cs="Traditional Arabic" w:hint="cs"/>
                <w:sz w:val="20"/>
                <w:szCs w:val="30"/>
                <w:rtl/>
              </w:rPr>
              <w:t>في 14 شباط/فبراير 2013، أكدت الدولة الطرف من جديد الملاحظات ذاتها التي قدمتها في 7 حزيران/يونيه 2011 وذكرت أنها ستبقي اللجنة على علم بأي معلومات جديدة في هذه القضية. وأكدت أن إخراج الجثة، وهو أمر لازم لمواصلة التحقيق، تمنعه أسرة المتوفى مما يوقف هذا الإجراء.</w:t>
            </w:r>
          </w:p>
          <w:p w:rsidR="00D5428E" w:rsidRPr="00D5428E" w:rsidRDefault="00D5428E" w:rsidP="00D5428E">
            <w:pPr>
              <w:spacing w:after="120" w:line="380" w:lineRule="exact"/>
              <w:rPr>
                <w:rFonts w:cs="Traditional Arabic" w:hint="cs"/>
                <w:sz w:val="20"/>
                <w:szCs w:val="30"/>
                <w:rtl/>
              </w:rPr>
            </w:pPr>
            <w:r w:rsidRPr="00D5428E">
              <w:rPr>
                <w:rFonts w:cs="Traditional Arabic"/>
                <w:sz w:val="20"/>
                <w:szCs w:val="30"/>
                <w:rtl/>
              </w:rPr>
              <w:tab/>
            </w:r>
            <w:r w:rsidRPr="00D5428E">
              <w:rPr>
                <w:rFonts w:cs="Traditional Arabic" w:hint="cs"/>
                <w:sz w:val="20"/>
                <w:szCs w:val="30"/>
                <w:rtl/>
              </w:rPr>
              <w:t>وأحيلت رسالة الدولة الطرف إلى صاحب الشكوى مع تحديد أجل الرد في 22 نيسان/أبريل 2013. وفي 22 نيسان/أبريل 2013، أبلغ صاحب الشكوى اللجنة بأنه عقب الثورة التونسية في 14 كانون الثاني/يناير 2011، بدأت الدولة الطرف تولي اهتماماً كاملاً بقضية صاحب الشكوى. ويذكر صاحب الشكوى أن جميع القضاة "الفاسدين" قد أعفوا من هذه القضية. ورفع صاحب الشكوى دعوى مدنية مستقلة من أجل التعويض لدى المحاكم التونسية. وفي 1 آذار/مارس 2013، شرعت السلطات التابعة للدولة في إخراج جثة المتوفى. ووفقاً لتوصية اللجنة، كُلِّف خبير مستقل اسكتلندي ببحث الطب الشرعي. ولا يزال الإجراء معلقاً ولم يطلع صاحب الشكوى على نتيجة فحص الطب الشرعي. وأضاف صاحب الشكوى أن قاضياً جديداً قد عُيِّن لهذه القضية. وذكر صاحب الشكوى أنه سيطلع اللجنة على نتائج الفحص والإجراءات القضائية.</w:t>
            </w:r>
          </w:p>
          <w:p w:rsidR="00D5428E" w:rsidRPr="00D5428E" w:rsidRDefault="00D5428E" w:rsidP="00D5428E">
            <w:pPr>
              <w:spacing w:after="120" w:line="380" w:lineRule="exact"/>
              <w:rPr>
                <w:rFonts w:cs="Traditional Arabic" w:hint="cs"/>
                <w:sz w:val="20"/>
                <w:szCs w:val="30"/>
                <w:rtl/>
              </w:rPr>
            </w:pPr>
            <w:r w:rsidRPr="00D5428E">
              <w:rPr>
                <w:rFonts w:cs="Traditional Arabic"/>
                <w:sz w:val="20"/>
                <w:szCs w:val="30"/>
                <w:rtl/>
              </w:rPr>
              <w:tab/>
            </w:r>
            <w:r w:rsidRPr="00D5428E">
              <w:rPr>
                <w:rFonts w:cs="Traditional Arabic" w:hint="cs"/>
                <w:sz w:val="20"/>
                <w:szCs w:val="30"/>
                <w:rtl/>
              </w:rPr>
              <w:t xml:space="preserve">وأُحيلت رسالة صاحب الشكوى إلى الدولة الطرف للعلم. </w:t>
            </w:r>
          </w:p>
        </w:tc>
      </w:tr>
      <w:tr w:rsidR="00E97F79" w:rsidRPr="00D5428E" w:rsidTr="0026457D">
        <w:trPr>
          <w:jc w:val="center"/>
        </w:trPr>
        <w:tc>
          <w:tcPr>
            <w:tcW w:w="7212" w:type="dxa"/>
            <w:gridSpan w:val="2"/>
            <w:tcBorders>
              <w:bottom w:val="single" w:sz="12" w:space="0" w:color="auto"/>
            </w:tcBorders>
            <w:shd w:val="clear" w:color="auto" w:fill="auto"/>
          </w:tcPr>
          <w:p w:rsidR="00E97F79" w:rsidRPr="00E97F79" w:rsidRDefault="00E97F79" w:rsidP="00E97F79">
            <w:pPr>
              <w:spacing w:after="120" w:line="380" w:lineRule="exact"/>
              <w:rPr>
                <w:rFonts w:cs="Traditional Arabic" w:hint="cs"/>
                <w:sz w:val="20"/>
                <w:szCs w:val="30"/>
                <w:rtl/>
                <w:lang w:val="fr-CH"/>
              </w:rPr>
            </w:pPr>
            <w:r w:rsidRPr="00E97F79">
              <w:rPr>
                <w:rFonts w:cs="Traditional Arabic"/>
                <w:sz w:val="20"/>
                <w:szCs w:val="30"/>
                <w:rtl/>
                <w:lang w:val="fr-CH"/>
              </w:rPr>
              <w:tab/>
            </w:r>
            <w:r w:rsidRPr="00E97F79">
              <w:rPr>
                <w:rFonts w:cs="Traditional Arabic" w:hint="cs"/>
                <w:sz w:val="20"/>
                <w:szCs w:val="30"/>
                <w:rtl/>
                <w:lang w:val="fr-CH"/>
              </w:rPr>
              <w:t>قرار اللجنة</w:t>
            </w:r>
            <w:r>
              <w:rPr>
                <w:rFonts w:cs="Traditional Arabic" w:hint="cs"/>
                <w:sz w:val="20"/>
                <w:szCs w:val="30"/>
                <w:rtl/>
                <w:lang w:val="fr-CH"/>
              </w:rPr>
              <w:t xml:space="preserve">: </w:t>
            </w:r>
            <w:r w:rsidRPr="00E97F79">
              <w:rPr>
                <w:rFonts w:cs="Traditional Arabic" w:hint="cs"/>
                <w:sz w:val="20"/>
                <w:szCs w:val="30"/>
                <w:rtl/>
                <w:lang w:val="fr-CH"/>
              </w:rPr>
              <w:t>حوار المتابعة مستمر.</w:t>
            </w:r>
          </w:p>
        </w:tc>
      </w:tr>
    </w:tbl>
    <w:p w:rsidR="00D5428E" w:rsidRDefault="00D5428E" w:rsidP="001B47EE">
      <w:pPr>
        <w:pStyle w:val="SingleTxtGA"/>
        <w:rPr>
          <w:rFonts w:hint="cs"/>
          <w:rtl/>
          <w:lang w:val="fr-CH"/>
        </w:rPr>
      </w:pPr>
    </w:p>
    <w:tbl>
      <w:tblPr>
        <w:tblStyle w:val="TableGrid"/>
        <w:bidiVisual/>
        <w:tblW w:w="725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350"/>
        <w:gridCol w:w="4901"/>
      </w:tblGrid>
      <w:tr w:rsidR="00F72BDC" w:rsidRPr="001B47EE" w:rsidTr="009B0D18">
        <w:trPr>
          <w:jc w:val="center"/>
        </w:trPr>
        <w:tc>
          <w:tcPr>
            <w:tcW w:w="2350" w:type="dxa"/>
            <w:tcBorders>
              <w:top w:val="single" w:sz="4" w:space="0" w:color="auto"/>
              <w:bottom w:val="single" w:sz="12" w:space="0" w:color="auto"/>
            </w:tcBorders>
            <w:shd w:val="clear" w:color="auto" w:fill="auto"/>
          </w:tcPr>
          <w:p w:rsidR="00F72BDC" w:rsidRPr="001B47EE" w:rsidRDefault="00F72BDC" w:rsidP="001B47EE">
            <w:pPr>
              <w:spacing w:after="120" w:line="380" w:lineRule="exact"/>
              <w:rPr>
                <w:rFonts w:cs="Traditional Arabic" w:hint="cs"/>
                <w:b/>
                <w:bCs/>
                <w:i/>
                <w:sz w:val="20"/>
                <w:szCs w:val="30"/>
                <w:rtl/>
                <w:lang w:val="fr-CH"/>
              </w:rPr>
            </w:pPr>
            <w:r w:rsidRPr="001B47EE">
              <w:rPr>
                <w:rFonts w:cs="Traditional Arabic" w:hint="cs"/>
                <w:b/>
                <w:bCs/>
                <w:i/>
                <w:sz w:val="20"/>
                <w:szCs w:val="30"/>
                <w:rtl/>
                <w:lang w:val="fr-CH"/>
              </w:rPr>
              <w:t>الدولة الطرف</w:t>
            </w:r>
          </w:p>
        </w:tc>
        <w:tc>
          <w:tcPr>
            <w:tcW w:w="4901" w:type="dxa"/>
            <w:tcBorders>
              <w:top w:val="single" w:sz="4" w:space="0" w:color="auto"/>
              <w:bottom w:val="single" w:sz="12" w:space="0" w:color="auto"/>
            </w:tcBorders>
            <w:shd w:val="clear" w:color="auto" w:fill="auto"/>
          </w:tcPr>
          <w:p w:rsidR="00F72BDC" w:rsidRPr="001B47EE" w:rsidRDefault="00F72BDC" w:rsidP="001B47EE">
            <w:pPr>
              <w:spacing w:after="120" w:line="380" w:lineRule="exact"/>
              <w:rPr>
                <w:rFonts w:cs="Traditional Arabic" w:hint="cs"/>
                <w:b/>
                <w:bCs/>
                <w:i/>
                <w:sz w:val="20"/>
                <w:szCs w:val="30"/>
                <w:rtl/>
                <w:lang w:val="fr-CH"/>
              </w:rPr>
            </w:pPr>
            <w:r w:rsidRPr="001B47EE">
              <w:rPr>
                <w:rFonts w:cs="Traditional Arabic" w:hint="cs"/>
                <w:b/>
                <w:bCs/>
                <w:i/>
                <w:sz w:val="20"/>
                <w:szCs w:val="30"/>
                <w:rtl/>
                <w:lang w:val="fr-CH"/>
              </w:rPr>
              <w:t>تونس</w:t>
            </w:r>
          </w:p>
        </w:tc>
      </w:tr>
      <w:tr w:rsidR="00F72BDC" w:rsidRPr="001B47EE" w:rsidTr="009B0D18">
        <w:trPr>
          <w:jc w:val="center"/>
        </w:trPr>
        <w:tc>
          <w:tcPr>
            <w:tcW w:w="2350" w:type="dxa"/>
            <w:tcBorders>
              <w:top w:val="single" w:sz="12" w:space="0" w:color="auto"/>
            </w:tcBorders>
            <w:shd w:val="clear" w:color="auto" w:fill="auto"/>
          </w:tcPr>
          <w:p w:rsidR="00F72BDC" w:rsidRPr="001B47EE" w:rsidRDefault="00F72BDC" w:rsidP="001B47EE">
            <w:pPr>
              <w:spacing w:after="120" w:line="380" w:lineRule="exact"/>
              <w:rPr>
                <w:rFonts w:cs="Traditional Arabic" w:hint="cs"/>
                <w:b/>
                <w:bCs/>
                <w:sz w:val="20"/>
                <w:szCs w:val="30"/>
                <w:rtl/>
                <w:lang w:val="fr-CH"/>
              </w:rPr>
            </w:pPr>
            <w:r w:rsidRPr="001B47EE">
              <w:rPr>
                <w:rFonts w:cs="Traditional Arabic" w:hint="cs"/>
                <w:b/>
                <w:bCs/>
                <w:sz w:val="20"/>
                <w:szCs w:val="30"/>
                <w:rtl/>
                <w:lang w:val="fr-CH"/>
              </w:rPr>
              <w:t>القضية</w:t>
            </w:r>
          </w:p>
        </w:tc>
        <w:tc>
          <w:tcPr>
            <w:tcW w:w="4901" w:type="dxa"/>
            <w:tcBorders>
              <w:top w:val="single" w:sz="12" w:space="0" w:color="auto"/>
            </w:tcBorders>
            <w:shd w:val="clear" w:color="auto" w:fill="auto"/>
          </w:tcPr>
          <w:p w:rsidR="00F72BDC" w:rsidRPr="001B47EE" w:rsidRDefault="00F72BDC" w:rsidP="001B47EE">
            <w:pPr>
              <w:spacing w:after="120" w:line="380" w:lineRule="exact"/>
              <w:rPr>
                <w:rFonts w:cs="Traditional Arabic" w:hint="cs"/>
                <w:b/>
                <w:bCs/>
                <w:sz w:val="20"/>
                <w:szCs w:val="30"/>
                <w:rtl/>
                <w:lang w:val="fr-CH"/>
              </w:rPr>
            </w:pPr>
            <w:r w:rsidRPr="001B47EE">
              <w:rPr>
                <w:rFonts w:cs="Traditional Arabic" w:hint="cs"/>
                <w:b/>
                <w:bCs/>
                <w:i/>
                <w:iCs/>
                <w:sz w:val="20"/>
                <w:szCs w:val="30"/>
                <w:rtl/>
                <w:lang w:val="fr-CH"/>
              </w:rPr>
              <w:t>سعدية علي</w:t>
            </w:r>
            <w:r w:rsidRPr="001B47EE">
              <w:rPr>
                <w:rFonts w:cs="Traditional Arabic" w:hint="cs"/>
                <w:b/>
                <w:bCs/>
                <w:sz w:val="20"/>
                <w:szCs w:val="30"/>
                <w:rtl/>
                <w:lang w:val="fr-CH"/>
              </w:rPr>
              <w:t>، 291/2006</w:t>
            </w:r>
          </w:p>
        </w:tc>
      </w:tr>
      <w:tr w:rsidR="00F72BDC" w:rsidRPr="001B47EE" w:rsidTr="009B0D18">
        <w:trPr>
          <w:jc w:val="center"/>
        </w:trPr>
        <w:tc>
          <w:tcPr>
            <w:tcW w:w="2350" w:type="dxa"/>
            <w:shd w:val="clear" w:color="auto" w:fill="auto"/>
          </w:tcPr>
          <w:p w:rsidR="00F72BDC" w:rsidRPr="001B47EE" w:rsidRDefault="00F72BDC" w:rsidP="001B47EE">
            <w:pPr>
              <w:spacing w:after="120" w:line="380" w:lineRule="exact"/>
              <w:rPr>
                <w:rFonts w:cs="Traditional Arabic" w:hint="cs"/>
                <w:b/>
                <w:bCs/>
                <w:sz w:val="20"/>
                <w:szCs w:val="30"/>
                <w:rtl/>
                <w:lang w:val="fr-CH"/>
              </w:rPr>
            </w:pPr>
            <w:r w:rsidRPr="001B47EE">
              <w:rPr>
                <w:rFonts w:cs="Traditional Arabic" w:hint="cs"/>
                <w:b/>
                <w:bCs/>
                <w:sz w:val="20"/>
                <w:szCs w:val="30"/>
                <w:rtl/>
                <w:lang w:val="fr-CH"/>
              </w:rPr>
              <w:t>قرار معتمد في</w:t>
            </w:r>
          </w:p>
        </w:tc>
        <w:tc>
          <w:tcPr>
            <w:tcW w:w="4901" w:type="dxa"/>
            <w:shd w:val="clear" w:color="auto" w:fill="auto"/>
          </w:tcPr>
          <w:p w:rsidR="00F72BDC" w:rsidRPr="001B47EE" w:rsidRDefault="00F72BDC" w:rsidP="001B47EE">
            <w:pPr>
              <w:spacing w:after="120" w:line="380" w:lineRule="exact"/>
              <w:rPr>
                <w:rFonts w:cs="Traditional Arabic" w:hint="cs"/>
                <w:sz w:val="20"/>
                <w:szCs w:val="30"/>
                <w:rtl/>
                <w:lang w:val="fr-CH"/>
              </w:rPr>
            </w:pPr>
            <w:r w:rsidRPr="001B47EE">
              <w:rPr>
                <w:rFonts w:cs="Traditional Arabic" w:hint="cs"/>
                <w:sz w:val="20"/>
                <w:szCs w:val="30"/>
                <w:rtl/>
                <w:lang w:val="fr-CH"/>
              </w:rPr>
              <w:t>21 تشرين الثاني/نوفمبر 2008</w:t>
            </w:r>
          </w:p>
        </w:tc>
      </w:tr>
      <w:tr w:rsidR="00F72BDC" w:rsidRPr="001B47EE" w:rsidTr="009B0D18">
        <w:trPr>
          <w:jc w:val="center"/>
        </w:trPr>
        <w:tc>
          <w:tcPr>
            <w:tcW w:w="2350" w:type="dxa"/>
            <w:shd w:val="clear" w:color="auto" w:fill="auto"/>
          </w:tcPr>
          <w:p w:rsidR="00F72BDC" w:rsidRPr="001B47EE" w:rsidRDefault="00F72BDC" w:rsidP="001B47EE">
            <w:pPr>
              <w:spacing w:after="120" w:line="380" w:lineRule="exact"/>
              <w:rPr>
                <w:rFonts w:cs="Traditional Arabic" w:hint="cs"/>
                <w:b/>
                <w:bCs/>
                <w:sz w:val="20"/>
                <w:szCs w:val="30"/>
                <w:rtl/>
                <w:lang w:val="fr-CH"/>
              </w:rPr>
            </w:pPr>
            <w:r w:rsidRPr="001B47EE">
              <w:rPr>
                <w:rFonts w:cs="Traditional Arabic" w:hint="cs"/>
                <w:b/>
                <w:bCs/>
                <w:sz w:val="20"/>
                <w:szCs w:val="30"/>
                <w:rtl/>
                <w:lang w:val="fr-CH"/>
              </w:rPr>
              <w:t>الانتهاك</w:t>
            </w:r>
          </w:p>
        </w:tc>
        <w:tc>
          <w:tcPr>
            <w:tcW w:w="4901" w:type="dxa"/>
            <w:shd w:val="clear" w:color="auto" w:fill="auto"/>
          </w:tcPr>
          <w:p w:rsidR="00F72BDC" w:rsidRPr="001B47EE" w:rsidRDefault="00F72BDC" w:rsidP="001B47EE">
            <w:pPr>
              <w:spacing w:after="120" w:line="380" w:lineRule="exact"/>
              <w:rPr>
                <w:rFonts w:cs="Traditional Arabic" w:hint="cs"/>
                <w:sz w:val="20"/>
                <w:szCs w:val="30"/>
                <w:rtl/>
                <w:lang w:val="fr-CH"/>
              </w:rPr>
            </w:pPr>
            <w:r w:rsidRPr="001B47EE">
              <w:rPr>
                <w:rFonts w:cs="Traditional Arabic" w:hint="cs"/>
                <w:sz w:val="20"/>
                <w:szCs w:val="30"/>
                <w:rtl/>
                <w:lang w:val="fr-CH"/>
              </w:rPr>
              <w:t>المواد 1 و12 و13 و14</w:t>
            </w:r>
          </w:p>
        </w:tc>
      </w:tr>
      <w:tr w:rsidR="00F72BDC" w:rsidRPr="001B47EE" w:rsidTr="009B0D18">
        <w:trPr>
          <w:jc w:val="center"/>
        </w:trPr>
        <w:tc>
          <w:tcPr>
            <w:tcW w:w="2350" w:type="dxa"/>
            <w:shd w:val="clear" w:color="auto" w:fill="auto"/>
          </w:tcPr>
          <w:p w:rsidR="00F72BDC" w:rsidRPr="001B47EE" w:rsidRDefault="00F72BDC" w:rsidP="001B47EE">
            <w:pPr>
              <w:spacing w:after="120" w:line="380" w:lineRule="exact"/>
              <w:rPr>
                <w:rFonts w:cs="Traditional Arabic" w:hint="cs"/>
                <w:b/>
                <w:bCs/>
                <w:sz w:val="20"/>
                <w:szCs w:val="30"/>
                <w:rtl/>
                <w:lang w:val="fr-CH"/>
              </w:rPr>
            </w:pPr>
            <w:r w:rsidRPr="001B47EE">
              <w:rPr>
                <w:rFonts w:cs="Traditional Arabic" w:hint="cs"/>
                <w:b/>
                <w:bCs/>
                <w:sz w:val="20"/>
                <w:szCs w:val="30"/>
                <w:rtl/>
                <w:lang w:val="fr-CH"/>
              </w:rPr>
              <w:t>الانتصاف الموصى به</w:t>
            </w:r>
          </w:p>
        </w:tc>
        <w:tc>
          <w:tcPr>
            <w:tcW w:w="4901" w:type="dxa"/>
            <w:shd w:val="clear" w:color="auto" w:fill="auto"/>
          </w:tcPr>
          <w:p w:rsidR="00F72BDC" w:rsidRPr="001B47EE" w:rsidRDefault="00F72BDC" w:rsidP="001B47EE">
            <w:pPr>
              <w:spacing w:after="120" w:line="380" w:lineRule="exact"/>
              <w:rPr>
                <w:rFonts w:cs="Traditional Arabic" w:hint="cs"/>
                <w:sz w:val="20"/>
                <w:szCs w:val="30"/>
                <w:rtl/>
                <w:lang w:val="fr-CH"/>
              </w:rPr>
            </w:pPr>
            <w:r w:rsidRPr="001B47EE">
              <w:rPr>
                <w:rFonts w:cs="Traditional Arabic" w:hint="cs"/>
                <w:sz w:val="20"/>
                <w:szCs w:val="30"/>
                <w:rtl/>
                <w:lang w:val="fr-CH"/>
              </w:rPr>
              <w:t>إنهاء التحقيق في أعمال التعذيب المزعوم إلحاقها بصاحب الشكوى، بهدف تقديم المسؤولين عنها إلى العدالة.</w:t>
            </w:r>
          </w:p>
        </w:tc>
      </w:tr>
      <w:tr w:rsidR="00F72BDC" w:rsidRPr="001B47EE" w:rsidTr="009B0D18">
        <w:trPr>
          <w:jc w:val="center"/>
        </w:trPr>
        <w:tc>
          <w:tcPr>
            <w:tcW w:w="7251" w:type="dxa"/>
            <w:gridSpan w:val="2"/>
            <w:shd w:val="clear" w:color="auto" w:fill="auto"/>
          </w:tcPr>
          <w:p w:rsidR="00F72BDC" w:rsidRPr="001B47EE" w:rsidRDefault="00F72BDC" w:rsidP="001B47EE">
            <w:pPr>
              <w:keepNext/>
              <w:keepLines/>
              <w:spacing w:after="120" w:line="380" w:lineRule="exact"/>
              <w:rPr>
                <w:rFonts w:cs="Traditional Arabic" w:hint="cs"/>
                <w:b/>
                <w:bCs/>
                <w:sz w:val="20"/>
                <w:szCs w:val="30"/>
                <w:rtl/>
              </w:rPr>
            </w:pPr>
            <w:r w:rsidRPr="001B47EE">
              <w:rPr>
                <w:rFonts w:cs="Traditional Arabic" w:hint="cs"/>
                <w:b/>
                <w:bCs/>
                <w:sz w:val="20"/>
                <w:szCs w:val="30"/>
                <w:rtl/>
                <w:lang w:val="fr-CH"/>
              </w:rPr>
              <w:t xml:space="preserve">معلومات المتابعة التي قُدمت سابقاً: </w:t>
            </w:r>
            <w:r w:rsidRPr="001B47EE">
              <w:rPr>
                <w:rFonts w:cs="Traditional Arabic"/>
                <w:b/>
                <w:bCs/>
                <w:sz w:val="20"/>
                <w:szCs w:val="30"/>
              </w:rPr>
              <w:t>A/67/44</w:t>
            </w:r>
          </w:p>
          <w:p w:rsidR="00F72BDC" w:rsidRPr="001B47EE" w:rsidRDefault="00F72BDC" w:rsidP="001B47EE">
            <w:pPr>
              <w:keepNext/>
              <w:keepLines/>
              <w:spacing w:after="120" w:line="380" w:lineRule="exact"/>
              <w:rPr>
                <w:rFonts w:cs="Traditional Arabic" w:hint="cs"/>
                <w:sz w:val="20"/>
                <w:szCs w:val="30"/>
                <w:rtl/>
              </w:rPr>
            </w:pPr>
            <w:r w:rsidRPr="001B47EE">
              <w:rPr>
                <w:rFonts w:cs="Traditional Arabic"/>
                <w:sz w:val="20"/>
                <w:szCs w:val="30"/>
                <w:rtl/>
              </w:rPr>
              <w:tab/>
            </w:r>
            <w:r w:rsidRPr="001B47EE">
              <w:rPr>
                <w:rFonts w:cs="Traditional Arabic" w:hint="cs"/>
                <w:sz w:val="20"/>
                <w:szCs w:val="30"/>
                <w:rtl/>
              </w:rPr>
              <w:t>في 14 شباط/فبراير 2013، أكدت الدولة الطرف من جديد ملاحظاتها السابقة مضيفةً أنه بموجب المادة 121 من قانون الإجراءات التونسية، لا يمكن البدء في تحقيق من قبل قاضي التحقيق إلا في حالة وجود عناصر جديدة. ومنذ قرار إغلاق التحقيق في 6 شباط/فبراير 2009، لم تظهر أيٌّ من هذه العناصر.</w:t>
            </w:r>
          </w:p>
          <w:p w:rsidR="00F72BDC" w:rsidRPr="001B47EE" w:rsidRDefault="00F72BDC" w:rsidP="001B47EE">
            <w:pPr>
              <w:keepNext/>
              <w:keepLines/>
              <w:spacing w:after="120" w:line="380" w:lineRule="exact"/>
              <w:rPr>
                <w:rFonts w:cs="Traditional Arabic" w:hint="cs"/>
                <w:sz w:val="20"/>
                <w:szCs w:val="30"/>
                <w:rtl/>
              </w:rPr>
            </w:pPr>
            <w:r w:rsidRPr="001B47EE">
              <w:rPr>
                <w:rFonts w:cs="Traditional Arabic"/>
                <w:sz w:val="20"/>
                <w:szCs w:val="30"/>
                <w:rtl/>
              </w:rPr>
              <w:tab/>
            </w:r>
            <w:r w:rsidRPr="001B47EE">
              <w:rPr>
                <w:rFonts w:cs="Traditional Arabic" w:hint="cs"/>
                <w:sz w:val="20"/>
                <w:szCs w:val="30"/>
                <w:rtl/>
              </w:rPr>
              <w:t xml:space="preserve">وأُحيلت ملاحظات الدولة الطرف إلى المحامي للتعليق عليها مع تحديد أجل 22 نيسان/أبريل 2013 للرد عليها. </w:t>
            </w:r>
          </w:p>
        </w:tc>
      </w:tr>
      <w:tr w:rsidR="00C15611" w:rsidRPr="001B47EE" w:rsidTr="009B0D18">
        <w:trPr>
          <w:jc w:val="center"/>
        </w:trPr>
        <w:tc>
          <w:tcPr>
            <w:tcW w:w="7251" w:type="dxa"/>
            <w:gridSpan w:val="2"/>
            <w:tcBorders>
              <w:bottom w:val="single" w:sz="12" w:space="0" w:color="auto"/>
            </w:tcBorders>
            <w:shd w:val="clear" w:color="auto" w:fill="auto"/>
          </w:tcPr>
          <w:p w:rsidR="00C15611" w:rsidRPr="00C15611" w:rsidRDefault="00C15611" w:rsidP="00C15611">
            <w:pPr>
              <w:spacing w:after="120" w:line="380" w:lineRule="exact"/>
              <w:rPr>
                <w:rFonts w:cs="Traditional Arabic" w:hint="cs"/>
                <w:sz w:val="20"/>
                <w:szCs w:val="30"/>
                <w:rtl/>
                <w:lang w:val="fr-CH"/>
              </w:rPr>
            </w:pPr>
            <w:r w:rsidRPr="00C15611">
              <w:rPr>
                <w:rFonts w:cs="Traditional Arabic"/>
                <w:sz w:val="20"/>
                <w:szCs w:val="30"/>
                <w:rtl/>
                <w:lang w:val="fr-CH"/>
              </w:rPr>
              <w:tab/>
            </w:r>
            <w:r w:rsidRPr="00C15611">
              <w:rPr>
                <w:rFonts w:cs="Traditional Arabic" w:hint="cs"/>
                <w:sz w:val="20"/>
                <w:szCs w:val="30"/>
                <w:rtl/>
                <w:lang w:val="fr-CH"/>
              </w:rPr>
              <w:t>قرار اللجنة: حوار المتابعة مستمر.</w:t>
            </w:r>
          </w:p>
        </w:tc>
      </w:tr>
    </w:tbl>
    <w:p w:rsidR="00F72BDC" w:rsidRPr="008D13FD" w:rsidRDefault="00F72BDC" w:rsidP="00F72BDC">
      <w:pPr>
        <w:pStyle w:val="SingleTxtGA"/>
        <w:rPr>
          <w:rFonts w:hint="cs"/>
          <w:sz w:val="30"/>
          <w:rtl/>
          <w:lang w:val="fr-CH"/>
        </w:rPr>
      </w:pPr>
    </w:p>
    <w:tbl>
      <w:tblPr>
        <w:tblStyle w:val="TableGrid"/>
        <w:bidiVisual/>
        <w:tblW w:w="7251" w:type="dxa"/>
        <w:tblInd w:w="1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355"/>
        <w:gridCol w:w="4896"/>
      </w:tblGrid>
      <w:tr w:rsidR="00F72BDC" w:rsidRPr="009B0D18" w:rsidTr="00C15611">
        <w:tc>
          <w:tcPr>
            <w:tcW w:w="2355" w:type="dxa"/>
            <w:tcBorders>
              <w:top w:val="single" w:sz="4" w:space="0" w:color="auto"/>
              <w:bottom w:val="single" w:sz="12" w:space="0" w:color="auto"/>
            </w:tcBorders>
            <w:shd w:val="clear" w:color="auto" w:fill="auto"/>
          </w:tcPr>
          <w:p w:rsidR="00F72BDC" w:rsidRPr="009B0D18" w:rsidRDefault="00F72BDC" w:rsidP="00C15611">
            <w:pPr>
              <w:spacing w:after="120" w:line="380" w:lineRule="exact"/>
              <w:rPr>
                <w:rFonts w:cs="Traditional Arabic" w:hint="cs"/>
                <w:b/>
                <w:bCs/>
                <w:i/>
                <w:sz w:val="20"/>
                <w:szCs w:val="30"/>
                <w:rtl/>
                <w:lang w:val="fr-CH"/>
              </w:rPr>
            </w:pPr>
            <w:r w:rsidRPr="009B0D18">
              <w:rPr>
                <w:rFonts w:cs="Traditional Arabic" w:hint="cs"/>
                <w:b/>
                <w:bCs/>
                <w:i/>
                <w:sz w:val="20"/>
                <w:szCs w:val="30"/>
                <w:rtl/>
                <w:lang w:val="fr-CH"/>
              </w:rPr>
              <w:t>الدولة الطرف</w:t>
            </w:r>
          </w:p>
        </w:tc>
        <w:tc>
          <w:tcPr>
            <w:tcW w:w="4896" w:type="dxa"/>
            <w:tcBorders>
              <w:top w:val="single" w:sz="4" w:space="0" w:color="auto"/>
              <w:bottom w:val="single" w:sz="12" w:space="0" w:color="auto"/>
            </w:tcBorders>
            <w:shd w:val="clear" w:color="auto" w:fill="auto"/>
          </w:tcPr>
          <w:p w:rsidR="00F72BDC" w:rsidRPr="009B0D18" w:rsidRDefault="00F72BDC" w:rsidP="00C15611">
            <w:pPr>
              <w:spacing w:after="120" w:line="380" w:lineRule="exact"/>
              <w:rPr>
                <w:rFonts w:cs="Traditional Arabic" w:hint="cs"/>
                <w:b/>
                <w:bCs/>
                <w:i/>
                <w:sz w:val="20"/>
                <w:szCs w:val="30"/>
                <w:rtl/>
                <w:lang w:val="fr-CH"/>
              </w:rPr>
            </w:pPr>
            <w:r w:rsidRPr="009B0D18">
              <w:rPr>
                <w:rFonts w:cs="Traditional Arabic" w:hint="cs"/>
                <w:b/>
                <w:bCs/>
                <w:i/>
                <w:sz w:val="20"/>
                <w:szCs w:val="30"/>
                <w:rtl/>
                <w:lang w:val="fr-CH"/>
              </w:rPr>
              <w:t>أوكرانيا</w:t>
            </w:r>
          </w:p>
        </w:tc>
      </w:tr>
      <w:tr w:rsidR="00F72BDC" w:rsidRPr="009B0D18" w:rsidTr="00C15611">
        <w:tc>
          <w:tcPr>
            <w:tcW w:w="2355" w:type="dxa"/>
            <w:tcBorders>
              <w:top w:val="single" w:sz="12" w:space="0" w:color="auto"/>
            </w:tcBorders>
            <w:shd w:val="clear" w:color="auto" w:fill="auto"/>
          </w:tcPr>
          <w:p w:rsidR="00F72BDC" w:rsidRPr="009B0D18" w:rsidRDefault="00F72BDC" w:rsidP="00C15611">
            <w:pPr>
              <w:spacing w:after="120" w:line="380" w:lineRule="exact"/>
              <w:rPr>
                <w:rFonts w:cs="Traditional Arabic" w:hint="cs"/>
                <w:b/>
                <w:bCs/>
                <w:sz w:val="20"/>
                <w:szCs w:val="30"/>
                <w:rtl/>
                <w:lang w:val="fr-CH"/>
              </w:rPr>
            </w:pPr>
            <w:r w:rsidRPr="009B0D18">
              <w:rPr>
                <w:rFonts w:cs="Traditional Arabic" w:hint="cs"/>
                <w:b/>
                <w:bCs/>
                <w:sz w:val="20"/>
                <w:szCs w:val="30"/>
                <w:rtl/>
                <w:lang w:val="fr-CH"/>
              </w:rPr>
              <w:t>القضية</w:t>
            </w:r>
          </w:p>
        </w:tc>
        <w:tc>
          <w:tcPr>
            <w:tcW w:w="4896" w:type="dxa"/>
            <w:tcBorders>
              <w:top w:val="single" w:sz="12" w:space="0" w:color="auto"/>
            </w:tcBorders>
            <w:shd w:val="clear" w:color="auto" w:fill="auto"/>
          </w:tcPr>
          <w:p w:rsidR="00F72BDC" w:rsidRPr="009B0D18" w:rsidRDefault="00F72BDC" w:rsidP="00C15611">
            <w:pPr>
              <w:spacing w:after="120" w:line="380" w:lineRule="exact"/>
              <w:rPr>
                <w:rFonts w:cs="Traditional Arabic" w:hint="cs"/>
                <w:b/>
                <w:bCs/>
                <w:sz w:val="20"/>
                <w:szCs w:val="30"/>
                <w:rtl/>
                <w:lang w:val="fr-CH"/>
              </w:rPr>
            </w:pPr>
            <w:r w:rsidRPr="009B0D18">
              <w:rPr>
                <w:rFonts w:cs="Traditional Arabic" w:hint="cs"/>
                <w:b/>
                <w:bCs/>
                <w:i/>
                <w:iCs/>
                <w:sz w:val="20"/>
                <w:szCs w:val="30"/>
                <w:rtl/>
                <w:lang w:val="fr-CH"/>
              </w:rPr>
              <w:t>سليوسار</w:t>
            </w:r>
            <w:r w:rsidRPr="009B0D18">
              <w:rPr>
                <w:rFonts w:cs="Traditional Arabic" w:hint="cs"/>
                <w:b/>
                <w:bCs/>
                <w:sz w:val="20"/>
                <w:szCs w:val="30"/>
                <w:rtl/>
                <w:lang w:val="fr-CH"/>
              </w:rPr>
              <w:t>، 353/2008</w:t>
            </w:r>
          </w:p>
        </w:tc>
      </w:tr>
      <w:tr w:rsidR="00F72BDC" w:rsidRPr="009B0D18" w:rsidTr="00C15611">
        <w:tc>
          <w:tcPr>
            <w:tcW w:w="2355" w:type="dxa"/>
            <w:shd w:val="clear" w:color="auto" w:fill="auto"/>
          </w:tcPr>
          <w:p w:rsidR="00F72BDC" w:rsidRPr="009B0D18" w:rsidRDefault="00F72BDC" w:rsidP="00C15611">
            <w:pPr>
              <w:spacing w:after="120" w:line="380" w:lineRule="exact"/>
              <w:rPr>
                <w:rFonts w:cs="Traditional Arabic" w:hint="cs"/>
                <w:b/>
                <w:bCs/>
                <w:sz w:val="20"/>
                <w:szCs w:val="30"/>
                <w:rtl/>
                <w:lang w:val="fr-CH"/>
              </w:rPr>
            </w:pPr>
            <w:r w:rsidRPr="009B0D18">
              <w:rPr>
                <w:rFonts w:cs="Traditional Arabic" w:hint="cs"/>
                <w:b/>
                <w:bCs/>
                <w:sz w:val="20"/>
                <w:szCs w:val="30"/>
                <w:rtl/>
                <w:lang w:val="fr-CH"/>
              </w:rPr>
              <w:t>قرار معتمد في</w:t>
            </w:r>
          </w:p>
        </w:tc>
        <w:tc>
          <w:tcPr>
            <w:tcW w:w="4896" w:type="dxa"/>
            <w:shd w:val="clear" w:color="auto" w:fill="auto"/>
          </w:tcPr>
          <w:p w:rsidR="00F72BDC" w:rsidRPr="009B0D18" w:rsidRDefault="00F72BDC" w:rsidP="00C15611">
            <w:pPr>
              <w:spacing w:after="120" w:line="380" w:lineRule="exact"/>
              <w:rPr>
                <w:rFonts w:cs="Traditional Arabic" w:hint="cs"/>
                <w:sz w:val="20"/>
                <w:szCs w:val="30"/>
                <w:rtl/>
                <w:lang w:val="fr-CH"/>
              </w:rPr>
            </w:pPr>
            <w:r w:rsidRPr="009B0D18">
              <w:rPr>
                <w:rFonts w:cs="Traditional Arabic" w:hint="cs"/>
                <w:sz w:val="20"/>
                <w:szCs w:val="30"/>
                <w:rtl/>
                <w:lang w:val="fr-CH"/>
              </w:rPr>
              <w:t>14 تشرين الثاني/نوفمبر 2011</w:t>
            </w:r>
          </w:p>
        </w:tc>
      </w:tr>
      <w:tr w:rsidR="00F72BDC" w:rsidRPr="009B0D18" w:rsidTr="00C15611">
        <w:tc>
          <w:tcPr>
            <w:tcW w:w="2355" w:type="dxa"/>
            <w:shd w:val="clear" w:color="auto" w:fill="auto"/>
          </w:tcPr>
          <w:p w:rsidR="00F72BDC" w:rsidRPr="009B0D18" w:rsidRDefault="00F72BDC" w:rsidP="00C15611">
            <w:pPr>
              <w:spacing w:after="120" w:line="380" w:lineRule="exact"/>
              <w:rPr>
                <w:rFonts w:cs="Traditional Arabic" w:hint="cs"/>
                <w:b/>
                <w:bCs/>
                <w:sz w:val="20"/>
                <w:szCs w:val="30"/>
                <w:rtl/>
                <w:lang w:val="fr-CH"/>
              </w:rPr>
            </w:pPr>
            <w:r w:rsidRPr="009B0D18">
              <w:rPr>
                <w:rFonts w:cs="Traditional Arabic" w:hint="cs"/>
                <w:b/>
                <w:bCs/>
                <w:sz w:val="20"/>
                <w:szCs w:val="30"/>
                <w:rtl/>
                <w:lang w:val="fr-CH"/>
              </w:rPr>
              <w:t>الانتهاك</w:t>
            </w:r>
          </w:p>
        </w:tc>
        <w:tc>
          <w:tcPr>
            <w:tcW w:w="4896" w:type="dxa"/>
            <w:shd w:val="clear" w:color="auto" w:fill="auto"/>
          </w:tcPr>
          <w:p w:rsidR="00F72BDC" w:rsidRPr="009B0D18" w:rsidRDefault="00F72BDC" w:rsidP="00C15611">
            <w:pPr>
              <w:spacing w:after="120" w:line="380" w:lineRule="exact"/>
              <w:rPr>
                <w:rFonts w:cs="Traditional Arabic" w:hint="cs"/>
                <w:sz w:val="20"/>
                <w:szCs w:val="30"/>
                <w:rtl/>
                <w:lang w:val="fr-CH"/>
              </w:rPr>
            </w:pPr>
            <w:r w:rsidRPr="009B0D18">
              <w:rPr>
                <w:rFonts w:cs="Traditional Arabic" w:hint="cs"/>
                <w:sz w:val="20"/>
                <w:szCs w:val="30"/>
                <w:rtl/>
                <w:lang w:val="fr-CH"/>
              </w:rPr>
              <w:t>المواد 1 و2 و12 و13 و14</w:t>
            </w:r>
          </w:p>
        </w:tc>
      </w:tr>
      <w:tr w:rsidR="00F72BDC" w:rsidRPr="009B0D18" w:rsidTr="00C15611">
        <w:tc>
          <w:tcPr>
            <w:tcW w:w="2355" w:type="dxa"/>
            <w:shd w:val="clear" w:color="auto" w:fill="auto"/>
          </w:tcPr>
          <w:p w:rsidR="00F72BDC" w:rsidRPr="009B0D18" w:rsidRDefault="00F72BDC" w:rsidP="00C15611">
            <w:pPr>
              <w:spacing w:after="120" w:line="380" w:lineRule="exact"/>
              <w:rPr>
                <w:rFonts w:cs="Traditional Arabic" w:hint="cs"/>
                <w:b/>
                <w:bCs/>
                <w:sz w:val="20"/>
                <w:szCs w:val="30"/>
                <w:rtl/>
                <w:lang w:val="fr-CH"/>
              </w:rPr>
            </w:pPr>
            <w:r w:rsidRPr="009B0D18">
              <w:rPr>
                <w:rFonts w:cs="Traditional Arabic" w:hint="cs"/>
                <w:b/>
                <w:bCs/>
                <w:sz w:val="20"/>
                <w:szCs w:val="30"/>
                <w:rtl/>
                <w:lang w:val="fr-CH"/>
              </w:rPr>
              <w:t>الانتصاف الموصى به</w:t>
            </w:r>
          </w:p>
        </w:tc>
        <w:tc>
          <w:tcPr>
            <w:tcW w:w="4896" w:type="dxa"/>
            <w:shd w:val="clear" w:color="auto" w:fill="auto"/>
          </w:tcPr>
          <w:p w:rsidR="00F72BDC" w:rsidRPr="009B0D18" w:rsidRDefault="00F72BDC" w:rsidP="00C15611">
            <w:pPr>
              <w:spacing w:after="120" w:line="380" w:lineRule="exact"/>
              <w:rPr>
                <w:rFonts w:cs="Traditional Arabic" w:hint="cs"/>
                <w:sz w:val="20"/>
                <w:szCs w:val="30"/>
                <w:rtl/>
                <w:lang w:val="fr-CH"/>
              </w:rPr>
            </w:pPr>
            <w:r w:rsidRPr="009B0D18">
              <w:rPr>
                <w:rFonts w:cs="Traditional Arabic" w:hint="cs"/>
                <w:sz w:val="20"/>
                <w:szCs w:val="30"/>
                <w:rtl/>
                <w:lang w:val="fr-CH"/>
              </w:rPr>
              <w:t>إبلاغ اللجنة، في غضون 90 يوماً من تاريخ إحالة هذا</w:t>
            </w:r>
            <w:r w:rsidR="009B0D18" w:rsidRPr="009B0D18">
              <w:rPr>
                <w:rFonts w:cs="Traditional Arabic" w:hint="eastAsia"/>
                <w:sz w:val="20"/>
                <w:szCs w:val="30"/>
                <w:rtl/>
                <w:lang w:val="fr-CH"/>
              </w:rPr>
              <w:t> </w:t>
            </w:r>
            <w:r w:rsidRPr="009B0D18">
              <w:rPr>
                <w:rFonts w:cs="Traditional Arabic" w:hint="cs"/>
                <w:sz w:val="20"/>
                <w:szCs w:val="30"/>
                <w:rtl/>
                <w:lang w:val="fr-CH"/>
              </w:rPr>
              <w:t>القرار، بالخطوات التي اتخذتها الدولة الطرف وفقاً لملاحظات اللجنة.</w:t>
            </w:r>
          </w:p>
        </w:tc>
      </w:tr>
      <w:tr w:rsidR="00F72BDC" w:rsidRPr="009B0D18" w:rsidTr="00C15611">
        <w:tc>
          <w:tcPr>
            <w:tcW w:w="7251" w:type="dxa"/>
            <w:gridSpan w:val="2"/>
            <w:shd w:val="clear" w:color="auto" w:fill="auto"/>
          </w:tcPr>
          <w:p w:rsidR="00F72BDC" w:rsidRPr="009B0D18" w:rsidRDefault="00F72BDC" w:rsidP="00C15611">
            <w:pPr>
              <w:spacing w:after="120" w:line="380" w:lineRule="exact"/>
              <w:rPr>
                <w:rFonts w:cs="Traditional Arabic" w:hint="cs"/>
                <w:sz w:val="20"/>
                <w:szCs w:val="30"/>
                <w:rtl/>
                <w:lang w:val="fr-CH"/>
              </w:rPr>
            </w:pPr>
            <w:r w:rsidRPr="009B0D18">
              <w:rPr>
                <w:rFonts w:cs="Traditional Arabic"/>
                <w:sz w:val="20"/>
                <w:szCs w:val="30"/>
                <w:rtl/>
                <w:lang w:val="fr-CH"/>
              </w:rPr>
              <w:tab/>
            </w:r>
            <w:r w:rsidRPr="009B0D18">
              <w:rPr>
                <w:rFonts w:cs="Traditional Arabic" w:hint="cs"/>
                <w:sz w:val="20"/>
                <w:szCs w:val="30"/>
                <w:rtl/>
                <w:lang w:val="fr-CH"/>
              </w:rPr>
              <w:t>في 4 تشرين الأول/أكتوبر 2012، أبلغ صاحب الشكوى اللجنة بأن الدولة الطرف لم تتخذ أية تدابير لتنفيذ قرار اللجنة، من قبيل اتخاذ خطوات لمعالجة جرائم التعذيب التي ارتكبتها الدولة الطرف ضده والتحقيق في تلك الجرائم، التي لا تزال حتى الآن دون عقاب. ولم يُمنح أي تعويض ولا قُدِّم أي اعتداء. وأُحيلت رسالة المحامي إلى الدولة الطرف لإبداء ملاحظات بشأنها.</w:t>
            </w:r>
          </w:p>
          <w:p w:rsidR="00F72BDC" w:rsidRPr="009B0D18" w:rsidRDefault="00F72BDC" w:rsidP="00C15611">
            <w:pPr>
              <w:spacing w:after="120" w:line="380" w:lineRule="exact"/>
              <w:rPr>
                <w:rFonts w:cs="Traditional Arabic" w:hint="cs"/>
                <w:sz w:val="20"/>
                <w:szCs w:val="30"/>
                <w:rtl/>
                <w:lang w:val="fr-CH"/>
              </w:rPr>
            </w:pPr>
            <w:r w:rsidRPr="009B0D18">
              <w:rPr>
                <w:rFonts w:cs="Traditional Arabic"/>
                <w:sz w:val="20"/>
                <w:szCs w:val="30"/>
                <w:rtl/>
                <w:lang w:val="fr-CH"/>
              </w:rPr>
              <w:tab/>
            </w:r>
            <w:r w:rsidRPr="009B0D18">
              <w:rPr>
                <w:rFonts w:cs="Traditional Arabic" w:hint="cs"/>
                <w:sz w:val="20"/>
                <w:szCs w:val="30"/>
                <w:rtl/>
                <w:lang w:val="fr-CH"/>
              </w:rPr>
              <w:t>وفي 30 تشرين الثاني/نوفمبر 2012، ردت الدولة الطرف قائلةً إنه في تشرين الأول/أكتوبر 2003، فُتِحت قضية جنائية متعلِّقة بقتل والد صاحب الشكوى. وجرى التحقيق في تورُّط عم صاحب الشكوى في عدد من المناسبات، لكن أيَّ دليل بشأن ذلك لم</w:t>
            </w:r>
            <w:r w:rsidRPr="009B0D18">
              <w:rPr>
                <w:rFonts w:cs="Traditional Arabic" w:hint="eastAsia"/>
                <w:sz w:val="20"/>
                <w:szCs w:val="30"/>
                <w:rtl/>
                <w:lang w:val="fr-CH"/>
              </w:rPr>
              <w:t> </w:t>
            </w:r>
            <w:r w:rsidRPr="009B0D18">
              <w:rPr>
                <w:rFonts w:cs="Traditional Arabic" w:hint="cs"/>
                <w:sz w:val="20"/>
                <w:szCs w:val="30"/>
                <w:rtl/>
                <w:lang w:val="fr-CH"/>
              </w:rPr>
              <w:t>يُكتشف.</w:t>
            </w:r>
          </w:p>
          <w:p w:rsidR="00F72BDC" w:rsidRPr="009B0D18" w:rsidRDefault="00F72BDC" w:rsidP="00C15611">
            <w:pPr>
              <w:spacing w:after="120" w:line="380" w:lineRule="exact"/>
              <w:rPr>
                <w:rFonts w:cs="Traditional Arabic" w:hint="cs"/>
                <w:sz w:val="20"/>
                <w:szCs w:val="30"/>
                <w:rtl/>
                <w:lang w:val="fr-CH"/>
              </w:rPr>
            </w:pPr>
            <w:r w:rsidRPr="009B0D18">
              <w:rPr>
                <w:rFonts w:cs="Traditional Arabic"/>
                <w:sz w:val="20"/>
                <w:szCs w:val="30"/>
                <w:rtl/>
                <w:lang w:val="fr-CH"/>
              </w:rPr>
              <w:tab/>
            </w:r>
            <w:r w:rsidRPr="009B0D18">
              <w:rPr>
                <w:rFonts w:cs="Traditional Arabic" w:hint="cs"/>
                <w:sz w:val="20"/>
                <w:szCs w:val="30"/>
                <w:rtl/>
                <w:lang w:val="fr-CH"/>
              </w:rPr>
              <w:t>وفي الوقت الحاضر، تجري التحقيقات وأنشطة البحث بالارتباط مع القضية الجنائية بهدف البحث بشكل شامل وموضوعي في ظروف القضية.</w:t>
            </w:r>
          </w:p>
          <w:p w:rsidR="00F72BDC" w:rsidRPr="009B0D18" w:rsidRDefault="00F72BDC" w:rsidP="00C15611">
            <w:pPr>
              <w:spacing w:after="120" w:line="380" w:lineRule="exact"/>
              <w:rPr>
                <w:rFonts w:cs="Traditional Arabic" w:hint="cs"/>
                <w:sz w:val="20"/>
                <w:szCs w:val="30"/>
                <w:rtl/>
                <w:lang w:val="fr-CH"/>
              </w:rPr>
            </w:pPr>
            <w:r w:rsidRPr="009B0D18">
              <w:rPr>
                <w:rFonts w:cs="Traditional Arabic"/>
                <w:sz w:val="20"/>
                <w:szCs w:val="30"/>
                <w:rtl/>
                <w:lang w:val="fr-CH"/>
              </w:rPr>
              <w:tab/>
            </w:r>
            <w:r w:rsidRPr="009B0D18">
              <w:rPr>
                <w:rFonts w:cs="Traditional Arabic" w:hint="cs"/>
                <w:sz w:val="20"/>
                <w:szCs w:val="30"/>
                <w:rtl/>
                <w:lang w:val="fr-CH"/>
              </w:rPr>
              <w:t>وتوبع وضع التحقيق قبل المحاكمة في إطار اجتماعات متابعة في مكتب المدعي بكييف ومكتب المدعي العام. وأصدر مكتب المدعي العام تعليمات كتابية تتعلَّق بالأنشطة التي ينبغي القيام بها. ورغم ما ذكر أعلاه، لا تزال الجريمة بدون حل. ولا يزال التحقيق قبل المحاكمة جارياً تحت مراقبة مكتب المدعي العام.</w:t>
            </w:r>
          </w:p>
          <w:p w:rsidR="00F72BDC" w:rsidRPr="009B0D18" w:rsidRDefault="00F72BDC" w:rsidP="009B0D18">
            <w:pPr>
              <w:spacing w:after="120" w:line="380" w:lineRule="exact"/>
              <w:rPr>
                <w:rFonts w:cs="Traditional Arabic" w:hint="cs"/>
                <w:sz w:val="20"/>
                <w:szCs w:val="30"/>
                <w:rtl/>
                <w:lang w:val="fr-CH"/>
              </w:rPr>
            </w:pPr>
            <w:r w:rsidRPr="009B0D18">
              <w:rPr>
                <w:rFonts w:cs="Traditional Arabic"/>
                <w:sz w:val="20"/>
                <w:szCs w:val="30"/>
                <w:rtl/>
                <w:lang w:val="fr-CH"/>
              </w:rPr>
              <w:tab/>
            </w:r>
            <w:r w:rsidRPr="009B0D18">
              <w:rPr>
                <w:rFonts w:cs="Traditional Arabic" w:hint="cs"/>
                <w:sz w:val="20"/>
                <w:szCs w:val="30"/>
                <w:rtl/>
                <w:lang w:val="fr-CH"/>
              </w:rPr>
              <w:t xml:space="preserve">وبحث كل من مكتب المدعي في كييف ومكتب المدعي العام في عدد من المناسبات ادعاءات صاحب الشكوى فيما يتعلَّق بالأعمال غير القانونية التي لحقت به على يد مسؤولين في شرطة مقاطعة سلوميانسكي والرفض المزعوم لفتح قضية جنائية ضد هؤلاء المسؤولين بشأن استخدام أساليب غير قانونية للتحقيق. وفي 26 تموز/يوليه 2006 تقرر عدم فتح قضية جنائية ضد المسؤولين المعنيين. ولا يوجد أي سبب لإعادة النظر في هذا القرار في الوقت الحاضر، وفقاً للدولة الطرف. وأُبلغ صاحب الشكوى بأن له أن يتقدم لدى المحكمة باستئناف ضد قرار عدم فتح قضية جنائية، بموجب المادة </w:t>
            </w:r>
            <w:r w:rsidR="009B0D18">
              <w:rPr>
                <w:rFonts w:cs="Traditional Arabic" w:hint="cs"/>
                <w:sz w:val="20"/>
                <w:szCs w:val="30"/>
                <w:rtl/>
                <w:lang w:val="fr-CH"/>
              </w:rPr>
              <w:t>236</w:t>
            </w:r>
            <w:r w:rsidRPr="009B0D18">
              <w:rPr>
                <w:rFonts w:cs="Traditional Arabic" w:hint="cs"/>
                <w:sz w:val="20"/>
                <w:szCs w:val="30"/>
                <w:rtl/>
                <w:lang w:val="fr-CH"/>
              </w:rPr>
              <w:t>-1 من قانون الإجراءات الجنائية.</w:t>
            </w:r>
          </w:p>
          <w:p w:rsidR="00F72BDC" w:rsidRPr="009B0D18" w:rsidRDefault="00F72BDC" w:rsidP="00C15611">
            <w:pPr>
              <w:spacing w:after="120" w:line="380" w:lineRule="exact"/>
              <w:rPr>
                <w:rFonts w:cs="Traditional Arabic" w:hint="cs"/>
                <w:sz w:val="20"/>
                <w:szCs w:val="30"/>
                <w:rtl/>
                <w:lang w:val="fr-CH"/>
              </w:rPr>
            </w:pPr>
            <w:r w:rsidRPr="009B0D18">
              <w:rPr>
                <w:rFonts w:cs="Traditional Arabic"/>
                <w:sz w:val="20"/>
                <w:szCs w:val="30"/>
                <w:rtl/>
                <w:lang w:val="fr-CH"/>
              </w:rPr>
              <w:tab/>
            </w:r>
            <w:r w:rsidRPr="009B0D18">
              <w:rPr>
                <w:rFonts w:cs="Traditional Arabic" w:hint="cs"/>
                <w:sz w:val="20"/>
                <w:szCs w:val="30"/>
                <w:rtl/>
                <w:lang w:val="fr-CH"/>
              </w:rPr>
              <w:t>وتضيف الدولة الطرف أنه في 1 آب/أغسطس 2006، تقدَّم صاحب الشكوى بطلب لدى المحكمة الأوروبية لحقوق الإنسان (الطلب رقم 34361/06) يشتكي فيه من عدم احترام ضمانات المحاكمة العادلة أثناء محاكمته، وعدم قدرته على الحضور في المحكمة أثناء النظر في استئنافه بتاريخ 18 أيار/مايو 2006. وفي 8 آذار/مارس 2012، خلصت المحكمة الأوروبية إلى أن حقوق صاحب الشكوى بموجب المادة 6، الفقرة 1، من الاتفاقية الأوروبية لحماية حقوق الإنسان والحريات الأساسية قد انتُهِكَت. وهذا الحكم نهائي.</w:t>
            </w:r>
          </w:p>
          <w:p w:rsidR="00F72BDC" w:rsidRPr="009B0D18" w:rsidRDefault="00F72BDC" w:rsidP="005E4BCD">
            <w:pPr>
              <w:spacing w:after="120" w:line="380" w:lineRule="exact"/>
              <w:rPr>
                <w:rFonts w:cs="Traditional Arabic" w:hint="cs"/>
                <w:sz w:val="20"/>
                <w:szCs w:val="30"/>
                <w:rtl/>
                <w:lang w:val="fr-CH"/>
              </w:rPr>
            </w:pPr>
            <w:r w:rsidRPr="009B0D18">
              <w:rPr>
                <w:rFonts w:cs="Traditional Arabic"/>
                <w:sz w:val="20"/>
                <w:szCs w:val="30"/>
                <w:rtl/>
                <w:lang w:val="fr-CH"/>
              </w:rPr>
              <w:tab/>
            </w:r>
            <w:r w:rsidRPr="009B0D18">
              <w:rPr>
                <w:rFonts w:cs="Traditional Arabic" w:hint="cs"/>
                <w:sz w:val="20"/>
                <w:szCs w:val="30"/>
                <w:rtl/>
                <w:lang w:val="fr-CH"/>
              </w:rPr>
              <w:t>وتوجد قضية أخرى قيد النظر أمام المحكمة الأوروبية لحقوق الإنسان (الطلب رقم</w:t>
            </w:r>
            <w:r w:rsidR="005E4BCD" w:rsidRPr="009B0D18">
              <w:rPr>
                <w:rFonts w:cs="Traditional Arabic" w:hint="eastAsia"/>
                <w:sz w:val="20"/>
                <w:szCs w:val="30"/>
                <w:rtl/>
                <w:lang w:val="fr-CH"/>
              </w:rPr>
              <w:t> </w:t>
            </w:r>
            <w:r w:rsidRPr="009B0D18">
              <w:rPr>
                <w:rFonts w:cs="Traditional Arabic" w:hint="cs"/>
                <w:sz w:val="20"/>
                <w:szCs w:val="30"/>
                <w:rtl/>
                <w:lang w:val="fr-CH"/>
              </w:rPr>
              <w:t>39797/05)، قدمه عم صاحب الشكوى، الذي يدعي أن الشرطة لم تجرِ تحقيقاً صحيحاً في شكواه المتعلِّقة باختفاء أخيه، وفي شكواه أيضاً التي يتهم فيها زوجة أخيه وابن أخيه (أي صاحب الشكوى) بقتل أخيه، في مسكنهم، في 16 نيسان/أبريل 2006.</w:t>
            </w:r>
          </w:p>
          <w:p w:rsidR="00F72BDC" w:rsidRPr="009B0D18" w:rsidRDefault="00F72BDC" w:rsidP="00C15611">
            <w:pPr>
              <w:spacing w:after="120" w:line="380" w:lineRule="exact"/>
              <w:rPr>
                <w:rFonts w:cs="Traditional Arabic" w:hint="cs"/>
                <w:sz w:val="20"/>
                <w:szCs w:val="30"/>
                <w:rtl/>
                <w:lang w:val="fr-CH"/>
              </w:rPr>
            </w:pPr>
            <w:r w:rsidRPr="009B0D18">
              <w:rPr>
                <w:rFonts w:cs="Traditional Arabic"/>
                <w:sz w:val="20"/>
                <w:szCs w:val="30"/>
                <w:rtl/>
                <w:lang w:val="fr-CH"/>
              </w:rPr>
              <w:tab/>
            </w:r>
            <w:r w:rsidRPr="009B0D18">
              <w:rPr>
                <w:rFonts w:cs="Traditional Arabic" w:hint="cs"/>
                <w:sz w:val="20"/>
                <w:szCs w:val="30"/>
                <w:rtl/>
                <w:lang w:val="fr-CH"/>
              </w:rPr>
              <w:t>وفي 7 كانون الثاني/يناير 2013، ذكر صاحب الشكوى أن عمه، يوري سليوسار، كان له نفوذ مباشر في التحقيق الجنائي بشأن اختفاء والد صاحب الشكوى. ويتهم صاحب الشكوى أيضاً عمه باحتمال وجود علاقة له بالمعاملة التي عانى منها على أيدي المحققين. ورغم العديد من الطلبات الموجّهة إلى المدعي العام في كييف من أجل القيام بالتحقيقات اللازمة بشأن عمه، لم تُجرَ أي تحقيقات.</w:t>
            </w:r>
          </w:p>
          <w:p w:rsidR="00F72BDC" w:rsidRPr="009B0D18" w:rsidRDefault="00F72BDC" w:rsidP="009B0D18">
            <w:pPr>
              <w:spacing w:after="120" w:line="380" w:lineRule="exact"/>
              <w:rPr>
                <w:rFonts w:cs="Traditional Arabic" w:hint="cs"/>
                <w:sz w:val="20"/>
                <w:szCs w:val="30"/>
                <w:rtl/>
                <w:lang w:val="fr-CH"/>
              </w:rPr>
            </w:pPr>
            <w:r w:rsidRPr="009B0D18">
              <w:rPr>
                <w:rFonts w:cs="Traditional Arabic"/>
                <w:spacing w:val="-4"/>
                <w:sz w:val="20"/>
                <w:szCs w:val="30"/>
                <w:rtl/>
                <w:lang w:val="fr-CH"/>
              </w:rPr>
              <w:tab/>
            </w:r>
            <w:r w:rsidRPr="009B0D18">
              <w:rPr>
                <w:rFonts w:cs="Traditional Arabic" w:hint="cs"/>
                <w:spacing w:val="-4"/>
                <w:sz w:val="20"/>
                <w:szCs w:val="30"/>
                <w:rtl/>
                <w:lang w:val="fr-CH"/>
              </w:rPr>
              <w:t>وعقب قرار مكتب المدعي في مقاطعة سلوميانسكي بتاريخ 17 شباط/فبراير 2006،</w:t>
            </w:r>
            <w:r w:rsidRPr="009B0D18">
              <w:rPr>
                <w:rFonts w:cs="Traditional Arabic" w:hint="cs"/>
                <w:sz w:val="20"/>
                <w:szCs w:val="30"/>
                <w:rtl/>
                <w:lang w:val="fr-CH"/>
              </w:rPr>
              <w:t xml:space="preserve"> نُقِلَ صاحب الشكوى إلى مركز احتجاز مؤقت في كييف. ولدى دخوله، لم يُكشف عن أي إصابات لدى صاحب الشكوى من قبل موظفي مركز الاحتجاز المؤقت. وفي 22 شباط/فبراير 2006، نُقِل إلى مركز شرطة سلوميانسكي حيث عُذِّب بشدة من أجل الحصول على اعتراف بقتل أبيه. وفي 24 شباط/فبراير 2006، كتب شكوى إلى المحقق في القضية يُبلغ فيها عن التعذيب الذي عاناه. ولم يُتَّخذ أي إجراء. وبما أنه في 17 شباط/فبراير</w:t>
            </w:r>
            <w:r w:rsidR="002F4035" w:rsidRPr="009B0D18">
              <w:rPr>
                <w:rFonts w:cs="Traditional Arabic" w:hint="eastAsia"/>
                <w:sz w:val="20"/>
                <w:szCs w:val="30"/>
                <w:rtl/>
                <w:lang w:val="fr-CH"/>
              </w:rPr>
              <w:t> </w:t>
            </w:r>
            <w:r w:rsidRPr="009B0D18">
              <w:rPr>
                <w:rFonts w:cs="Traditional Arabic" w:hint="cs"/>
                <w:sz w:val="20"/>
                <w:szCs w:val="30"/>
                <w:rtl/>
                <w:lang w:val="fr-CH"/>
              </w:rPr>
              <w:t>2006 لم تكن لديه أية إصابات وأنه في 28 شباط/فبراير 2006، وفقاً لما</w:t>
            </w:r>
            <w:r w:rsidR="009B0D18">
              <w:rPr>
                <w:rFonts w:cs="Traditional Arabic" w:hint="eastAsia"/>
                <w:sz w:val="20"/>
                <w:szCs w:val="30"/>
                <w:rtl/>
                <w:lang w:val="fr-CH"/>
              </w:rPr>
              <w:t> </w:t>
            </w:r>
            <w:r w:rsidRPr="009B0D18">
              <w:rPr>
                <w:rFonts w:cs="Traditional Arabic" w:hint="cs"/>
                <w:sz w:val="20"/>
                <w:szCs w:val="30"/>
                <w:rtl/>
                <w:lang w:val="fr-CH"/>
              </w:rPr>
              <w:t>خلص إليه خبير الطب الشرعي، ثبت أن لديه إصابات يعود تاريخها ما بين خمس و12 يوماً، مما لا</w:t>
            </w:r>
            <w:r w:rsidR="002F4035" w:rsidRPr="009B0D18">
              <w:rPr>
                <w:rFonts w:cs="Traditional Arabic" w:hint="eastAsia"/>
                <w:sz w:val="20"/>
                <w:szCs w:val="30"/>
                <w:rtl/>
                <w:lang w:val="fr-CH"/>
              </w:rPr>
              <w:t> </w:t>
            </w:r>
            <w:r w:rsidRPr="009B0D18">
              <w:rPr>
                <w:rFonts w:cs="Traditional Arabic" w:hint="cs"/>
                <w:sz w:val="20"/>
                <w:szCs w:val="30"/>
                <w:rtl/>
                <w:lang w:val="fr-CH"/>
              </w:rPr>
              <w:t xml:space="preserve">شك فيه أن هذه الإصابات لحقت به بينما كان محتجزاً لدى مركز الشرطة. وتُعدُّ هذه الإصابات كما يشهد بذلك خبير الطب الشرعي علامات نموذجية للتعذيب. </w:t>
            </w:r>
          </w:p>
          <w:p w:rsidR="00F72BDC" w:rsidRPr="009B0D18" w:rsidRDefault="00F72BDC" w:rsidP="00C15611">
            <w:pPr>
              <w:spacing w:after="120" w:line="380" w:lineRule="exact"/>
              <w:rPr>
                <w:rFonts w:cs="Traditional Arabic" w:hint="cs"/>
                <w:spacing w:val="-2"/>
                <w:sz w:val="20"/>
                <w:szCs w:val="30"/>
                <w:rtl/>
                <w:lang w:val="fr-CH"/>
              </w:rPr>
            </w:pPr>
            <w:r w:rsidRPr="009B0D18">
              <w:rPr>
                <w:rFonts w:cs="Traditional Arabic"/>
                <w:spacing w:val="-2"/>
                <w:sz w:val="20"/>
                <w:szCs w:val="30"/>
                <w:rtl/>
                <w:lang w:val="fr-CH"/>
              </w:rPr>
              <w:tab/>
            </w:r>
            <w:r w:rsidRPr="009B0D18">
              <w:rPr>
                <w:rFonts w:cs="Traditional Arabic" w:hint="cs"/>
                <w:spacing w:val="-2"/>
                <w:sz w:val="20"/>
                <w:szCs w:val="30"/>
                <w:rtl/>
                <w:lang w:val="fr-CH"/>
              </w:rPr>
              <w:t>ووفقاً لصاحب الشكوى، تؤكِّد هذه الوقائع المذكورة أعلاه بشكل واضح الانتهاكات التي ارتُكِبت ضده وأن هذه الانتهاكات ارتكبها أفراد من شرطة سلوميانسكي.</w:t>
            </w:r>
          </w:p>
          <w:p w:rsidR="00F72BDC" w:rsidRPr="009B0D18" w:rsidRDefault="00F72BDC" w:rsidP="002F4035">
            <w:pPr>
              <w:spacing w:after="120" w:line="380" w:lineRule="exact"/>
              <w:rPr>
                <w:rFonts w:cs="Traditional Arabic" w:hint="cs"/>
                <w:sz w:val="20"/>
                <w:szCs w:val="30"/>
                <w:rtl/>
                <w:lang w:val="fr-CH"/>
              </w:rPr>
            </w:pPr>
            <w:r w:rsidRPr="009B0D18">
              <w:rPr>
                <w:rFonts w:cs="Traditional Arabic"/>
                <w:sz w:val="20"/>
                <w:szCs w:val="30"/>
                <w:rtl/>
                <w:lang w:val="fr-CH"/>
              </w:rPr>
              <w:tab/>
            </w:r>
            <w:r w:rsidRPr="009B0D18">
              <w:rPr>
                <w:rFonts w:cs="Traditional Arabic" w:hint="cs"/>
                <w:sz w:val="20"/>
                <w:szCs w:val="30"/>
                <w:rtl/>
                <w:lang w:val="fr-CH"/>
              </w:rPr>
              <w:t>ورغم خلوص اللجنة إلى انتهاك لأحكام المادة و1 والفقرة 1 من المادة 2، والمادة</w:t>
            </w:r>
            <w:r w:rsidR="002F4035" w:rsidRPr="009B0D18">
              <w:rPr>
                <w:rFonts w:cs="Traditional Arabic" w:hint="eastAsia"/>
                <w:sz w:val="20"/>
                <w:szCs w:val="30"/>
                <w:rtl/>
                <w:lang w:val="fr-CH"/>
              </w:rPr>
              <w:t> </w:t>
            </w:r>
            <w:r w:rsidRPr="009B0D18">
              <w:rPr>
                <w:rFonts w:cs="Traditional Arabic" w:hint="cs"/>
                <w:sz w:val="20"/>
                <w:szCs w:val="30"/>
                <w:rtl/>
                <w:lang w:val="fr-CH"/>
              </w:rPr>
              <w:t>12 والمادة 13 والمادة 14 من الاتفاقية، لم تذكر الدولة الطرف في رسالتها أي شيء بشأن التحقيق في تلك الجرائم عقب قرار اللجنة. إذ لا تتعلَّق المعلومات التي قدمتها الدولة الطرف إلا بالخطوات المتخذة قبل ذلك القرار.</w:t>
            </w:r>
          </w:p>
          <w:p w:rsidR="00F72BDC" w:rsidRPr="009B0D18" w:rsidRDefault="00F72BDC" w:rsidP="00C15611">
            <w:pPr>
              <w:spacing w:after="120" w:line="380" w:lineRule="exact"/>
              <w:rPr>
                <w:rFonts w:cs="Traditional Arabic" w:hint="cs"/>
                <w:sz w:val="20"/>
                <w:szCs w:val="30"/>
                <w:rtl/>
                <w:lang w:val="fr-CH"/>
              </w:rPr>
            </w:pPr>
            <w:r w:rsidRPr="009B0D18">
              <w:rPr>
                <w:rFonts w:cs="Traditional Arabic"/>
                <w:sz w:val="20"/>
                <w:szCs w:val="30"/>
                <w:rtl/>
                <w:lang w:val="fr-CH"/>
              </w:rPr>
              <w:tab/>
            </w:r>
            <w:r w:rsidRPr="009B0D18">
              <w:rPr>
                <w:rFonts w:cs="Traditional Arabic" w:hint="cs"/>
                <w:sz w:val="20"/>
                <w:szCs w:val="30"/>
                <w:rtl/>
                <w:lang w:val="fr-CH"/>
              </w:rPr>
              <w:t>ووفقاً لصاحب الشكوى، يُعدُّ قرار اللجنة بموجب القانون الأوكراني دليلاً جديداً في السجل الوحيد للتحقيقات قبل المحاكمة وبالتالي يمكن أن يترتَّب عنه تحقيق جديد في الانتهاكات المزعومة.</w:t>
            </w:r>
          </w:p>
          <w:p w:rsidR="00F72BDC" w:rsidRPr="009B0D18" w:rsidRDefault="00F72BDC" w:rsidP="00C15611">
            <w:pPr>
              <w:spacing w:after="120" w:line="380" w:lineRule="exact"/>
              <w:rPr>
                <w:rFonts w:cs="Traditional Arabic" w:hint="cs"/>
                <w:sz w:val="20"/>
                <w:szCs w:val="30"/>
                <w:rtl/>
                <w:lang w:val="fr-CH"/>
              </w:rPr>
            </w:pPr>
            <w:r w:rsidRPr="009B0D18">
              <w:rPr>
                <w:rFonts w:cs="Traditional Arabic"/>
                <w:sz w:val="20"/>
                <w:szCs w:val="30"/>
                <w:rtl/>
                <w:lang w:val="fr-CH"/>
              </w:rPr>
              <w:tab/>
            </w:r>
            <w:r w:rsidRPr="009B0D18">
              <w:rPr>
                <w:rFonts w:cs="Traditional Arabic" w:hint="cs"/>
                <w:sz w:val="20"/>
                <w:szCs w:val="30"/>
                <w:rtl/>
                <w:lang w:val="fr-CH"/>
              </w:rPr>
              <w:t>وأُرسلت رسالة صاحب الشكوى إلى الدولة الطرف لإبداء ملاحظات بشأنها.</w:t>
            </w:r>
          </w:p>
        </w:tc>
      </w:tr>
      <w:tr w:rsidR="002F4035" w:rsidRPr="009B0D18" w:rsidTr="006F4680">
        <w:tc>
          <w:tcPr>
            <w:tcW w:w="7251" w:type="dxa"/>
            <w:gridSpan w:val="2"/>
            <w:tcBorders>
              <w:bottom w:val="single" w:sz="12" w:space="0" w:color="auto"/>
            </w:tcBorders>
            <w:shd w:val="clear" w:color="auto" w:fill="auto"/>
          </w:tcPr>
          <w:p w:rsidR="002F4035" w:rsidRPr="009B0D18" w:rsidRDefault="002F4035" w:rsidP="002F4035">
            <w:pPr>
              <w:spacing w:after="120" w:line="380" w:lineRule="exact"/>
              <w:rPr>
                <w:rFonts w:cs="Traditional Arabic" w:hint="cs"/>
                <w:sz w:val="20"/>
                <w:szCs w:val="30"/>
                <w:rtl/>
                <w:lang w:val="fr-CH"/>
              </w:rPr>
            </w:pPr>
            <w:r w:rsidRPr="009B0D18">
              <w:rPr>
                <w:rFonts w:cs="Traditional Arabic"/>
                <w:sz w:val="20"/>
                <w:szCs w:val="30"/>
                <w:rtl/>
                <w:lang w:val="fr-CH"/>
              </w:rPr>
              <w:tab/>
            </w:r>
            <w:r w:rsidRPr="009B0D18">
              <w:rPr>
                <w:rFonts w:cs="Traditional Arabic" w:hint="cs"/>
                <w:sz w:val="20"/>
                <w:szCs w:val="30"/>
                <w:rtl/>
                <w:lang w:val="fr-CH"/>
              </w:rPr>
              <w:t>قرار اللجنة: حوار المتابعة مستمر.</w:t>
            </w:r>
          </w:p>
        </w:tc>
      </w:tr>
    </w:tbl>
    <w:p w:rsidR="00F72BDC" w:rsidRPr="00A75940" w:rsidRDefault="006F4680" w:rsidP="006F4680">
      <w:pPr>
        <w:pStyle w:val="HChGA"/>
        <w:spacing w:before="120"/>
        <w:rPr>
          <w:rtl/>
        </w:rPr>
      </w:pPr>
      <w:r>
        <w:rPr>
          <w:rtl/>
        </w:rPr>
        <w:br w:type="page"/>
      </w:r>
      <w:r>
        <w:rPr>
          <w:rFonts w:hint="cs"/>
          <w:rtl/>
        </w:rPr>
        <w:tab/>
      </w:r>
      <w:r w:rsidR="00F72BDC" w:rsidRPr="00A75940">
        <w:rPr>
          <w:rtl/>
        </w:rPr>
        <w:t>سابعاً-</w:t>
      </w:r>
      <w:r w:rsidR="00F72BDC" w:rsidRPr="00A75940">
        <w:rPr>
          <w:rtl/>
        </w:rPr>
        <w:tab/>
        <w:t>الاجتماعات المقبلة للجنة</w:t>
      </w:r>
    </w:p>
    <w:p w:rsidR="00F72BDC" w:rsidRPr="004E0A37" w:rsidRDefault="00F72BDC" w:rsidP="006F4680">
      <w:pPr>
        <w:pStyle w:val="SingleTxtGA"/>
        <w:rPr>
          <w:rtl/>
        </w:rPr>
      </w:pPr>
      <w:r>
        <w:rPr>
          <w:rFonts w:hint="cs"/>
          <w:rtl/>
        </w:rPr>
        <w:t>139</w:t>
      </w:r>
      <w:r w:rsidRPr="004E0A37">
        <w:rPr>
          <w:rtl/>
        </w:rPr>
        <w:t>-</w:t>
      </w:r>
      <w:r w:rsidRPr="004E0A37">
        <w:rPr>
          <w:rtl/>
        </w:rPr>
        <w:tab/>
        <w:t>تعقد اللجنة،</w:t>
      </w:r>
      <w:r>
        <w:rPr>
          <w:rtl/>
        </w:rPr>
        <w:t xml:space="preserve"> وفقاً </w:t>
      </w:r>
      <w:r w:rsidRPr="004E0A37">
        <w:rPr>
          <w:rtl/>
        </w:rPr>
        <w:t>للمادة 2 من نظامها الداخلي، دورتين عاديتين كل سنة. وقد حددت اللجنة، بالتشاور مع الأمين العام، مواعيد انعقاد دورتها العادية المقبلة لعام 201</w:t>
      </w:r>
      <w:r>
        <w:rPr>
          <w:rFonts w:hint="cs"/>
          <w:rtl/>
        </w:rPr>
        <w:t>3</w:t>
      </w:r>
      <w:r w:rsidRPr="004E0A37">
        <w:rPr>
          <w:rtl/>
        </w:rPr>
        <w:t xml:space="preserve"> ودورتيها العاديتين لعام 201</w:t>
      </w:r>
      <w:r>
        <w:rPr>
          <w:rFonts w:hint="cs"/>
          <w:rtl/>
        </w:rPr>
        <w:t>4</w:t>
      </w:r>
      <w:r w:rsidRPr="004E0A37">
        <w:rPr>
          <w:rtl/>
        </w:rPr>
        <w:t>. و</w:t>
      </w:r>
      <w:r>
        <w:rPr>
          <w:rtl/>
        </w:rPr>
        <w:t>فيما </w:t>
      </w:r>
      <w:r w:rsidRPr="004E0A37">
        <w:rPr>
          <w:rtl/>
        </w:rPr>
        <w:t>يلي تلك المواعيد:</w:t>
      </w:r>
    </w:p>
    <w:tbl>
      <w:tblPr>
        <w:tblStyle w:val="TableGrid"/>
        <w:bidiVisual/>
        <w:tblW w:w="6481" w:type="dxa"/>
        <w:tblInd w:w="19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813"/>
        <w:gridCol w:w="3668"/>
      </w:tblGrid>
      <w:tr w:rsidR="00F72BDC" w:rsidRPr="006F4680" w:rsidTr="00F72BDC">
        <w:tc>
          <w:tcPr>
            <w:tcW w:w="2813" w:type="dxa"/>
            <w:shd w:val="clear" w:color="auto" w:fill="auto"/>
          </w:tcPr>
          <w:p w:rsidR="00F72BDC" w:rsidRPr="006F4680" w:rsidRDefault="00F72BDC" w:rsidP="006F4680">
            <w:pPr>
              <w:spacing w:before="60" w:after="60" w:line="380" w:lineRule="exact"/>
              <w:ind w:left="57"/>
              <w:rPr>
                <w:rFonts w:cs="Traditional Arabic" w:hint="cs"/>
                <w:sz w:val="20"/>
                <w:szCs w:val="30"/>
                <w:rtl/>
              </w:rPr>
            </w:pPr>
            <w:r w:rsidRPr="006F4680">
              <w:rPr>
                <w:rFonts w:cs="Traditional Arabic"/>
                <w:sz w:val="20"/>
                <w:szCs w:val="30"/>
                <w:rtl/>
              </w:rPr>
              <w:t xml:space="preserve">الدورة </w:t>
            </w:r>
            <w:r w:rsidRPr="006F4680">
              <w:rPr>
                <w:rFonts w:cs="Traditional Arabic" w:hint="cs"/>
                <w:sz w:val="20"/>
                <w:szCs w:val="30"/>
                <w:rtl/>
              </w:rPr>
              <w:t>الحادية والخمسون</w:t>
            </w:r>
          </w:p>
        </w:tc>
        <w:tc>
          <w:tcPr>
            <w:tcW w:w="3668" w:type="dxa"/>
            <w:shd w:val="clear" w:color="auto" w:fill="auto"/>
            <w:vAlign w:val="bottom"/>
          </w:tcPr>
          <w:p w:rsidR="00F72BDC" w:rsidRPr="006F4680" w:rsidRDefault="00F72BDC" w:rsidP="006F4680">
            <w:pPr>
              <w:spacing w:before="60" w:after="60" w:line="380" w:lineRule="exact"/>
              <w:ind w:left="57"/>
              <w:rPr>
                <w:rFonts w:cs="Traditional Arabic" w:hint="cs"/>
                <w:i/>
                <w:sz w:val="20"/>
                <w:szCs w:val="30"/>
                <w:rtl/>
              </w:rPr>
            </w:pPr>
            <w:r w:rsidRPr="006F4680">
              <w:rPr>
                <w:rFonts w:cs="Traditional Arabic" w:hint="cs"/>
                <w:sz w:val="20"/>
                <w:szCs w:val="30"/>
                <w:rtl/>
              </w:rPr>
              <w:t>28</w:t>
            </w:r>
            <w:r w:rsidRPr="006F4680">
              <w:rPr>
                <w:rFonts w:cs="Traditional Arabic"/>
                <w:sz w:val="20"/>
                <w:szCs w:val="30"/>
                <w:rtl/>
              </w:rPr>
              <w:t xml:space="preserve"> تشرين الأول/أكتوبر - 2</w:t>
            </w:r>
            <w:r w:rsidRPr="006F4680">
              <w:rPr>
                <w:rFonts w:cs="Traditional Arabic" w:hint="cs"/>
                <w:sz w:val="20"/>
                <w:szCs w:val="30"/>
                <w:rtl/>
              </w:rPr>
              <w:t>2</w:t>
            </w:r>
            <w:r w:rsidRPr="006F4680">
              <w:rPr>
                <w:rFonts w:cs="Traditional Arabic"/>
                <w:sz w:val="20"/>
                <w:szCs w:val="30"/>
                <w:rtl/>
              </w:rPr>
              <w:t xml:space="preserve"> تشرين الثاني/</w:t>
            </w:r>
            <w:r w:rsidRPr="006F4680">
              <w:rPr>
                <w:rFonts w:cs="Traditional Arabic" w:hint="cs"/>
                <w:sz w:val="20"/>
                <w:szCs w:val="30"/>
                <w:rtl/>
              </w:rPr>
              <w:t xml:space="preserve"> </w:t>
            </w:r>
            <w:r w:rsidRPr="006F4680">
              <w:rPr>
                <w:rFonts w:cs="Traditional Arabic"/>
                <w:sz w:val="20"/>
                <w:szCs w:val="30"/>
                <w:rtl/>
              </w:rPr>
              <w:t>نوفمبر 201</w:t>
            </w:r>
            <w:r w:rsidRPr="006F4680">
              <w:rPr>
                <w:rFonts w:cs="Traditional Arabic" w:hint="cs"/>
                <w:sz w:val="20"/>
                <w:szCs w:val="30"/>
                <w:rtl/>
              </w:rPr>
              <w:t>3</w:t>
            </w:r>
          </w:p>
        </w:tc>
      </w:tr>
      <w:tr w:rsidR="00F72BDC" w:rsidRPr="006F4680" w:rsidTr="00F72BDC">
        <w:tc>
          <w:tcPr>
            <w:tcW w:w="2813" w:type="dxa"/>
            <w:shd w:val="clear" w:color="auto" w:fill="auto"/>
            <w:vAlign w:val="bottom"/>
          </w:tcPr>
          <w:p w:rsidR="00F72BDC" w:rsidRPr="006F4680" w:rsidRDefault="00F72BDC" w:rsidP="006F4680">
            <w:pPr>
              <w:spacing w:before="60" w:after="60" w:line="380" w:lineRule="exact"/>
              <w:ind w:left="57"/>
              <w:rPr>
                <w:rFonts w:cs="Traditional Arabic" w:hint="cs"/>
                <w:sz w:val="20"/>
                <w:szCs w:val="30"/>
                <w:rtl/>
              </w:rPr>
            </w:pPr>
            <w:r w:rsidRPr="006F4680">
              <w:rPr>
                <w:rFonts w:cs="Traditional Arabic"/>
                <w:sz w:val="20"/>
                <w:szCs w:val="30"/>
                <w:rtl/>
              </w:rPr>
              <w:t xml:space="preserve">الدورة </w:t>
            </w:r>
            <w:r w:rsidRPr="006F4680">
              <w:rPr>
                <w:rFonts w:cs="Traditional Arabic" w:hint="cs"/>
                <w:sz w:val="20"/>
                <w:szCs w:val="30"/>
                <w:rtl/>
              </w:rPr>
              <w:t>الثانية والخمسون</w:t>
            </w:r>
          </w:p>
        </w:tc>
        <w:tc>
          <w:tcPr>
            <w:tcW w:w="3668" w:type="dxa"/>
            <w:shd w:val="clear" w:color="auto" w:fill="auto"/>
            <w:vAlign w:val="bottom"/>
          </w:tcPr>
          <w:p w:rsidR="00F72BDC" w:rsidRPr="006F4680" w:rsidRDefault="00F72BDC" w:rsidP="006F4680">
            <w:pPr>
              <w:spacing w:before="60" w:after="60" w:line="380" w:lineRule="exact"/>
              <w:ind w:left="57"/>
              <w:rPr>
                <w:rFonts w:cs="Traditional Arabic" w:hint="cs"/>
                <w:sz w:val="20"/>
                <w:szCs w:val="30"/>
                <w:rtl/>
              </w:rPr>
            </w:pPr>
            <w:r w:rsidRPr="006F4680">
              <w:rPr>
                <w:rFonts w:cs="Traditional Arabic" w:hint="cs"/>
                <w:sz w:val="20"/>
                <w:szCs w:val="30"/>
                <w:rtl/>
              </w:rPr>
              <w:t>5-30 أيار/مايو 2014</w:t>
            </w:r>
          </w:p>
        </w:tc>
      </w:tr>
      <w:tr w:rsidR="00F72BDC" w:rsidRPr="006F4680" w:rsidTr="00F72BDC">
        <w:tc>
          <w:tcPr>
            <w:tcW w:w="2813" w:type="dxa"/>
            <w:shd w:val="clear" w:color="auto" w:fill="auto"/>
          </w:tcPr>
          <w:p w:rsidR="00F72BDC" w:rsidRPr="006F4680" w:rsidRDefault="00F72BDC" w:rsidP="006F4680">
            <w:pPr>
              <w:spacing w:before="60" w:after="120" w:line="380" w:lineRule="exact"/>
              <w:ind w:left="57"/>
              <w:rPr>
                <w:rFonts w:cs="Traditional Arabic" w:hint="cs"/>
                <w:sz w:val="20"/>
                <w:szCs w:val="30"/>
                <w:rtl/>
              </w:rPr>
            </w:pPr>
            <w:r w:rsidRPr="006F4680">
              <w:rPr>
                <w:rFonts w:cs="Traditional Arabic"/>
                <w:sz w:val="20"/>
                <w:szCs w:val="30"/>
                <w:rtl/>
              </w:rPr>
              <w:t xml:space="preserve">الدورة </w:t>
            </w:r>
            <w:r w:rsidRPr="006F4680">
              <w:rPr>
                <w:rFonts w:cs="Traditional Arabic" w:hint="cs"/>
                <w:sz w:val="20"/>
                <w:szCs w:val="30"/>
                <w:rtl/>
              </w:rPr>
              <w:t>الثالثة والخمسون</w:t>
            </w:r>
          </w:p>
        </w:tc>
        <w:tc>
          <w:tcPr>
            <w:tcW w:w="3668" w:type="dxa"/>
            <w:shd w:val="clear" w:color="auto" w:fill="auto"/>
            <w:vAlign w:val="bottom"/>
          </w:tcPr>
          <w:p w:rsidR="00F72BDC" w:rsidRPr="006F4680" w:rsidRDefault="00F72BDC" w:rsidP="006F4680">
            <w:pPr>
              <w:spacing w:before="60" w:after="120" w:line="380" w:lineRule="exact"/>
              <w:ind w:left="57"/>
              <w:rPr>
                <w:rFonts w:cs="Traditional Arabic" w:hint="cs"/>
                <w:sz w:val="20"/>
                <w:szCs w:val="30"/>
                <w:rtl/>
              </w:rPr>
            </w:pPr>
            <w:r w:rsidRPr="006F4680">
              <w:rPr>
                <w:rFonts w:cs="Traditional Arabic"/>
                <w:sz w:val="20"/>
                <w:szCs w:val="30"/>
                <w:rtl/>
              </w:rPr>
              <w:t>2</w:t>
            </w:r>
            <w:r w:rsidRPr="006F4680">
              <w:rPr>
                <w:rFonts w:cs="Traditional Arabic" w:hint="cs"/>
                <w:sz w:val="20"/>
                <w:szCs w:val="30"/>
                <w:rtl/>
              </w:rPr>
              <w:t>7</w:t>
            </w:r>
            <w:r w:rsidRPr="006F4680">
              <w:rPr>
                <w:rFonts w:cs="Traditional Arabic"/>
                <w:sz w:val="20"/>
                <w:szCs w:val="30"/>
                <w:rtl/>
              </w:rPr>
              <w:t xml:space="preserve"> تشرين الأول/أكتوبر - 2</w:t>
            </w:r>
            <w:r w:rsidRPr="006F4680">
              <w:rPr>
                <w:rFonts w:cs="Traditional Arabic" w:hint="cs"/>
                <w:sz w:val="20"/>
                <w:szCs w:val="30"/>
                <w:rtl/>
              </w:rPr>
              <w:t>1</w:t>
            </w:r>
            <w:r w:rsidRPr="006F4680">
              <w:rPr>
                <w:rFonts w:cs="Traditional Arabic"/>
                <w:sz w:val="20"/>
                <w:szCs w:val="30"/>
                <w:rtl/>
              </w:rPr>
              <w:t xml:space="preserve"> تشرين الثاني/</w:t>
            </w:r>
            <w:r w:rsidRPr="006F4680">
              <w:rPr>
                <w:rFonts w:cs="Traditional Arabic" w:hint="cs"/>
                <w:sz w:val="20"/>
                <w:szCs w:val="30"/>
                <w:rtl/>
              </w:rPr>
              <w:t xml:space="preserve">   </w:t>
            </w:r>
            <w:r w:rsidRPr="006F4680">
              <w:rPr>
                <w:rFonts w:cs="Traditional Arabic"/>
                <w:sz w:val="20"/>
                <w:szCs w:val="30"/>
                <w:rtl/>
              </w:rPr>
              <w:t>نوفمبر 201</w:t>
            </w:r>
            <w:r w:rsidRPr="006F4680">
              <w:rPr>
                <w:rFonts w:cs="Traditional Arabic" w:hint="cs"/>
                <w:sz w:val="20"/>
                <w:szCs w:val="30"/>
                <w:rtl/>
              </w:rPr>
              <w:t>4</w:t>
            </w:r>
          </w:p>
        </w:tc>
      </w:tr>
    </w:tbl>
    <w:p w:rsidR="00F72BDC" w:rsidRPr="00A75940" w:rsidRDefault="00F72BDC" w:rsidP="006F4680">
      <w:pPr>
        <w:pStyle w:val="H1GA"/>
        <w:rPr>
          <w:rFonts w:hint="cs"/>
          <w:rtl/>
        </w:rPr>
      </w:pPr>
      <w:r w:rsidRPr="00A75940">
        <w:rPr>
          <w:rFonts w:hint="cs"/>
          <w:rtl/>
        </w:rPr>
        <w:tab/>
      </w:r>
      <w:r w:rsidRPr="00A75940">
        <w:rPr>
          <w:rFonts w:hint="cs"/>
          <w:rtl/>
        </w:rPr>
        <w:tab/>
        <w:t>تخصيص وقت إضافي للاجتماع في عامي 2013 و2014</w:t>
      </w:r>
    </w:p>
    <w:p w:rsidR="00F72BDC" w:rsidRPr="004E0A37" w:rsidRDefault="00F72BDC" w:rsidP="006F4680">
      <w:pPr>
        <w:pStyle w:val="SingleTxtGA"/>
        <w:rPr>
          <w:rFonts w:hint="cs"/>
          <w:rtl/>
        </w:rPr>
      </w:pPr>
      <w:r>
        <w:rPr>
          <w:rFonts w:hint="cs"/>
          <w:rtl/>
        </w:rPr>
        <w:t>140</w:t>
      </w:r>
      <w:r w:rsidRPr="004E0A37">
        <w:rPr>
          <w:rFonts w:hint="cs"/>
          <w:rtl/>
        </w:rPr>
        <w:t>-</w:t>
      </w:r>
      <w:r w:rsidRPr="004E0A37">
        <w:rPr>
          <w:rFonts w:hint="cs"/>
          <w:rtl/>
        </w:rPr>
        <w:tab/>
      </w:r>
      <w:r w:rsidRPr="004E0A37">
        <w:rPr>
          <w:rtl/>
        </w:rPr>
        <w:t xml:space="preserve">رحبت اللجنة </w:t>
      </w:r>
      <w:r w:rsidRPr="004E0A37">
        <w:rPr>
          <w:rFonts w:hint="cs"/>
          <w:rtl/>
        </w:rPr>
        <w:t>مجدد</w:t>
      </w:r>
      <w:r>
        <w:rPr>
          <w:rFonts w:hint="cs"/>
          <w:rtl/>
        </w:rPr>
        <w:t xml:space="preserve">اً </w:t>
      </w:r>
      <w:r w:rsidRPr="004E0A37">
        <w:rPr>
          <w:rtl/>
        </w:rPr>
        <w:t xml:space="preserve">بقرار الجمعية العامة </w:t>
      </w:r>
      <w:r w:rsidRPr="004E0A37">
        <w:rPr>
          <w:rFonts w:hint="cs"/>
          <w:rtl/>
        </w:rPr>
        <w:t>6</w:t>
      </w:r>
      <w:r>
        <w:rPr>
          <w:rFonts w:hint="cs"/>
          <w:rtl/>
        </w:rPr>
        <w:t>7</w:t>
      </w:r>
      <w:r w:rsidRPr="004E0A37">
        <w:rPr>
          <w:rFonts w:hint="cs"/>
          <w:rtl/>
        </w:rPr>
        <w:t>/2</w:t>
      </w:r>
      <w:r>
        <w:rPr>
          <w:rFonts w:hint="cs"/>
          <w:rtl/>
        </w:rPr>
        <w:t>32</w:t>
      </w:r>
      <w:r w:rsidRPr="004E0A37">
        <w:rPr>
          <w:rFonts w:hint="cs"/>
          <w:rtl/>
        </w:rPr>
        <w:t xml:space="preserve"> الذي </w:t>
      </w:r>
      <w:r w:rsidRPr="004E0A37">
        <w:rPr>
          <w:rtl/>
        </w:rPr>
        <w:t>أذن</w:t>
      </w:r>
      <w:r w:rsidRPr="004E0A37">
        <w:rPr>
          <w:rFonts w:hint="cs"/>
          <w:rtl/>
        </w:rPr>
        <w:t>ت الجمعية بموجبه للجنة</w:t>
      </w:r>
      <w:r>
        <w:rPr>
          <w:rtl/>
        </w:rPr>
        <w:t>، كتدبير مؤقت،</w:t>
      </w:r>
      <w:r>
        <w:rPr>
          <w:rFonts w:hint="cs"/>
          <w:rtl/>
        </w:rPr>
        <w:t xml:space="preserve"> بأن تواصل </w:t>
      </w:r>
      <w:r w:rsidRPr="004E0A37">
        <w:rPr>
          <w:rtl/>
        </w:rPr>
        <w:t>الاجتماع</w:t>
      </w:r>
      <w:r w:rsidRPr="004E0A37">
        <w:rPr>
          <w:rFonts w:hint="cs"/>
          <w:rtl/>
        </w:rPr>
        <w:t> </w:t>
      </w:r>
      <w:r w:rsidRPr="004E0A37">
        <w:rPr>
          <w:rtl/>
        </w:rPr>
        <w:t>لمدة أسبوع إضافي في كل دورة، وذلك اعتباراً من أيار/مايو 201</w:t>
      </w:r>
      <w:r>
        <w:rPr>
          <w:rFonts w:hint="cs"/>
          <w:rtl/>
        </w:rPr>
        <w:t>3</w:t>
      </w:r>
      <w:r w:rsidRPr="004E0A37">
        <w:rPr>
          <w:rtl/>
        </w:rPr>
        <w:t xml:space="preserve"> وإلى نهاية شهر</w:t>
      </w:r>
      <w:r w:rsidRPr="004E0A37">
        <w:rPr>
          <w:rFonts w:hint="cs"/>
          <w:rtl/>
        </w:rPr>
        <w:t> </w:t>
      </w:r>
      <w:r w:rsidRPr="004E0A37">
        <w:rPr>
          <w:rtl/>
        </w:rPr>
        <w:t>تشرين</w:t>
      </w:r>
      <w:r w:rsidRPr="004E0A37">
        <w:rPr>
          <w:rFonts w:hint="cs"/>
          <w:rtl/>
        </w:rPr>
        <w:t> </w:t>
      </w:r>
      <w:r w:rsidRPr="004E0A37">
        <w:rPr>
          <w:rtl/>
        </w:rPr>
        <w:t>الثاني/نوفمبر 201</w:t>
      </w:r>
      <w:r>
        <w:rPr>
          <w:rFonts w:hint="cs"/>
          <w:rtl/>
        </w:rPr>
        <w:t>4</w:t>
      </w:r>
      <w:r w:rsidRPr="004E0A37">
        <w:rPr>
          <w:rtl/>
        </w:rPr>
        <w:t>، بناءً على الطلب المُقدَّم من اللجنة إلى الجمعية العامة بتزويدها بالدعم المالي الملائم لهذا الغرض</w:t>
      </w:r>
      <w:r>
        <w:rPr>
          <w:vertAlign w:val="superscript"/>
          <w:rtl/>
        </w:rPr>
        <w:t>(</w:t>
      </w:r>
      <w:r>
        <w:rPr>
          <w:rStyle w:val="FootnoteReference"/>
          <w:rtl/>
        </w:rPr>
        <w:footnoteReference w:id="24"/>
      </w:r>
      <w:r>
        <w:rPr>
          <w:vertAlign w:val="superscript"/>
          <w:rtl/>
        </w:rPr>
        <w:t>)</w:t>
      </w:r>
      <w:r w:rsidRPr="004E0A37">
        <w:rPr>
          <w:rFonts w:hint="cs"/>
          <w:rtl/>
        </w:rPr>
        <w:t>.</w:t>
      </w:r>
    </w:p>
    <w:p w:rsidR="00F72BDC" w:rsidRDefault="00F72BDC" w:rsidP="006F4680">
      <w:pPr>
        <w:pStyle w:val="SingleTxtGA"/>
        <w:rPr>
          <w:rFonts w:hint="cs"/>
          <w:spacing w:val="6"/>
          <w:kern w:val="16"/>
          <w:sz w:val="22"/>
          <w:rtl/>
        </w:rPr>
      </w:pPr>
      <w:r>
        <w:rPr>
          <w:rFonts w:hint="cs"/>
          <w:rtl/>
        </w:rPr>
        <w:t>141</w:t>
      </w:r>
      <w:r w:rsidRPr="004E0A37">
        <w:rPr>
          <w:rFonts w:hint="cs"/>
          <w:rtl/>
        </w:rPr>
        <w:t>-</w:t>
      </w:r>
      <w:r w:rsidRPr="004E0A37">
        <w:rPr>
          <w:rFonts w:hint="cs"/>
          <w:rtl/>
        </w:rPr>
        <w:tab/>
        <w:t>و</w:t>
      </w:r>
      <w:r>
        <w:rPr>
          <w:rFonts w:hint="cs"/>
          <w:rtl/>
        </w:rPr>
        <w:t>تشير</w:t>
      </w:r>
      <w:r w:rsidRPr="004E0A37">
        <w:rPr>
          <w:rtl/>
        </w:rPr>
        <w:t xml:space="preserve"> اللجنة </w:t>
      </w:r>
      <w:r w:rsidRPr="004E0A37">
        <w:rPr>
          <w:rFonts w:hint="cs"/>
          <w:rtl/>
        </w:rPr>
        <w:t xml:space="preserve">إلى </w:t>
      </w:r>
      <w:r>
        <w:rPr>
          <w:rFonts w:hint="cs"/>
          <w:rtl/>
        </w:rPr>
        <w:t>أهمية هذا الإذن باعتباره يتيح للجنة الاستمرار في سعيها من أجل تحسين كفاءتها وأساليب عملها</w:t>
      </w:r>
      <w:r w:rsidRPr="004E0A37">
        <w:rPr>
          <w:rFonts w:hint="cs"/>
          <w:rtl/>
        </w:rPr>
        <w:t>.</w:t>
      </w:r>
      <w:r>
        <w:rPr>
          <w:rFonts w:hint="cs"/>
          <w:rtl/>
        </w:rPr>
        <w:t xml:space="preserve"> وتُراعي المواعيد المحددة للاجتماعات المقبلة للجنة الأسبوعَ</w:t>
      </w:r>
      <w:r w:rsidR="006F4680">
        <w:rPr>
          <w:rFonts w:hint="eastAsia"/>
          <w:rtl/>
        </w:rPr>
        <w:t> </w:t>
      </w:r>
      <w:r>
        <w:rPr>
          <w:rFonts w:hint="cs"/>
          <w:rtl/>
        </w:rPr>
        <w:t>الإضافي.</w:t>
      </w:r>
    </w:p>
    <w:p w:rsidR="00F72BDC" w:rsidRPr="00A75940" w:rsidRDefault="00F72BDC" w:rsidP="006F4680">
      <w:pPr>
        <w:pStyle w:val="HChGA"/>
        <w:spacing w:before="120"/>
        <w:rPr>
          <w:rFonts w:hint="cs"/>
          <w:rtl/>
        </w:rPr>
      </w:pPr>
      <w:r>
        <w:rPr>
          <w:spacing w:val="6"/>
          <w:kern w:val="16"/>
          <w:sz w:val="22"/>
          <w:rtl/>
        </w:rPr>
        <w:br w:type="page"/>
      </w:r>
      <w:r>
        <w:rPr>
          <w:rFonts w:hint="cs"/>
          <w:rtl/>
        </w:rPr>
        <w:tab/>
      </w:r>
      <w:r w:rsidRPr="00A75940">
        <w:rPr>
          <w:rFonts w:hint="cs"/>
          <w:rtl/>
        </w:rPr>
        <w:t>ثامناً-</w:t>
      </w:r>
      <w:r>
        <w:rPr>
          <w:rFonts w:hint="cs"/>
          <w:rtl/>
        </w:rPr>
        <w:tab/>
      </w:r>
      <w:r w:rsidRPr="00A75940">
        <w:rPr>
          <w:rFonts w:hint="cs"/>
          <w:rtl/>
        </w:rPr>
        <w:t>اعتماد تقرير اللجنة السنوي عن أنشطتها</w:t>
      </w:r>
    </w:p>
    <w:p w:rsidR="00F72BDC" w:rsidRPr="006F4680" w:rsidRDefault="006F4680" w:rsidP="006F4680">
      <w:pPr>
        <w:pStyle w:val="SingleTxtGA"/>
        <w:rPr>
          <w:rFonts w:hint="cs"/>
          <w:spacing w:val="-2"/>
          <w:kern w:val="16"/>
          <w:sz w:val="22"/>
          <w:rtl/>
        </w:rPr>
      </w:pPr>
      <w:r w:rsidRPr="006F4680">
        <w:rPr>
          <w:rFonts w:hint="cs"/>
          <w:spacing w:val="-2"/>
          <w:rtl/>
        </w:rPr>
        <w:t>142-</w:t>
      </w:r>
      <w:r w:rsidRPr="006F4680">
        <w:rPr>
          <w:rFonts w:hint="cs"/>
          <w:spacing w:val="-2"/>
          <w:rtl/>
        </w:rPr>
        <w:tab/>
      </w:r>
      <w:r w:rsidR="00F72BDC" w:rsidRPr="006F4680">
        <w:rPr>
          <w:rFonts w:hint="cs"/>
          <w:spacing w:val="-2"/>
          <w:rtl/>
        </w:rPr>
        <w:t>وفقاً للمادة ٢٤ من الاتفاقية، تقدم اللجنة تقريراً سنوياً عن أنشطتها إلى الدول الأطراف وإلى الجمعية العامة. ولمّا كانت اللجنة تعقد دورتها العادية الثانية لكل سنة تقويمية في تشرين الثاني/نوفمبر، وهي فترة توافق الدورات العادية للجمعية العامة، فإنها تعتمد تقريرها السنوي في نهاية دورة الربيع، ليتسنّى تقديمه إلى الجمعية العامة في نفس السنة التقويمية. وبناءً على ذلك، نظرت اللجنة في جلستها 1168، المعقودة في 31 أيار/مايو ٢٠13، في التقرير المتعلق بأنشطتها في الدورتين التاسعة والأربعين والخمسين واعتمدته بالإجماع.</w:t>
      </w:r>
    </w:p>
    <w:p w:rsidR="00F72BDC" w:rsidRPr="00417321" w:rsidRDefault="00F72BDC" w:rsidP="006F4680">
      <w:pPr>
        <w:pStyle w:val="HChGA"/>
        <w:spacing w:before="120"/>
        <w:rPr>
          <w:rFonts w:hint="cs"/>
          <w:rtl/>
          <w:lang w:val="fr-CH"/>
        </w:rPr>
      </w:pPr>
      <w:r>
        <w:rPr>
          <w:spacing w:val="6"/>
          <w:kern w:val="16"/>
          <w:sz w:val="22"/>
          <w:rtl/>
        </w:rPr>
        <w:br w:type="page"/>
      </w:r>
      <w:r w:rsidRPr="00417321">
        <w:rPr>
          <w:rtl/>
          <w:lang w:val="fr-CH"/>
        </w:rPr>
        <w:t>المرفق الأول</w:t>
      </w:r>
    </w:p>
    <w:p w:rsidR="00F72BDC" w:rsidRPr="00417321" w:rsidRDefault="00F72BDC" w:rsidP="006F4680">
      <w:pPr>
        <w:pStyle w:val="HChGA"/>
        <w:rPr>
          <w:rFonts w:hint="cs"/>
          <w:rtl/>
          <w:lang w:val="fr-CH"/>
        </w:rPr>
      </w:pPr>
      <w:r w:rsidRPr="00417321">
        <w:rPr>
          <w:rtl/>
          <w:lang w:val="fr-CH"/>
        </w:rPr>
        <w:tab/>
      </w:r>
      <w:r w:rsidRPr="00417321">
        <w:rPr>
          <w:rtl/>
          <w:lang w:val="fr-CH"/>
        </w:rPr>
        <w:tab/>
        <w:t>الدول التي وقعت على اتفاقية مناهضة التعذيب وغيره من ضروب المعاملة أو العقوبة القاسية أو اللاإنسانية أو المهينة، أو صدقت عليها أو</w:t>
      </w:r>
      <w:r w:rsidRPr="00417321">
        <w:rPr>
          <w:rFonts w:hint="cs"/>
          <w:rtl/>
          <w:lang w:val="fr-CH"/>
        </w:rPr>
        <w:t> </w:t>
      </w:r>
      <w:r w:rsidRPr="00417321">
        <w:rPr>
          <w:rtl/>
          <w:lang w:val="fr-CH"/>
        </w:rPr>
        <w:t xml:space="preserve">انضمت إليها حتى </w:t>
      </w:r>
      <w:r>
        <w:rPr>
          <w:rFonts w:hint="cs"/>
          <w:rtl/>
          <w:lang w:val="fr-CH"/>
        </w:rPr>
        <w:t>31</w:t>
      </w:r>
      <w:r w:rsidRPr="00417321">
        <w:rPr>
          <w:rtl/>
          <w:lang w:val="fr-CH"/>
        </w:rPr>
        <w:t xml:space="preserve"> </w:t>
      </w:r>
      <w:r>
        <w:rPr>
          <w:rFonts w:hint="cs"/>
          <w:rtl/>
          <w:lang w:val="fr-CH"/>
        </w:rPr>
        <w:t>أيار</w:t>
      </w:r>
      <w:r w:rsidRPr="00417321">
        <w:rPr>
          <w:rtl/>
          <w:lang w:val="fr-CH"/>
        </w:rPr>
        <w:t>/</w:t>
      </w:r>
      <w:r>
        <w:rPr>
          <w:rFonts w:hint="cs"/>
          <w:rtl/>
          <w:lang w:val="fr-CH"/>
        </w:rPr>
        <w:t>مايو 2013</w:t>
      </w:r>
    </w:p>
    <w:tbl>
      <w:tblPr>
        <w:bidiVisual/>
        <w:tblW w:w="8400" w:type="dxa"/>
        <w:tblInd w:w="1238" w:type="dxa"/>
        <w:tblLayout w:type="fixed"/>
        <w:tblCellMar>
          <w:left w:w="0" w:type="dxa"/>
          <w:right w:w="0" w:type="dxa"/>
        </w:tblCellMar>
        <w:tblLook w:val="0000"/>
      </w:tblPr>
      <w:tblGrid>
        <w:gridCol w:w="2606"/>
        <w:gridCol w:w="2701"/>
        <w:gridCol w:w="3093"/>
      </w:tblGrid>
      <w:tr w:rsidR="00F72BDC" w:rsidRPr="006F4680" w:rsidTr="006F4680">
        <w:trPr>
          <w:cantSplit/>
          <w:tblHeader/>
        </w:trPr>
        <w:tc>
          <w:tcPr>
            <w:tcW w:w="2606" w:type="dxa"/>
            <w:tcBorders>
              <w:top w:val="single" w:sz="4" w:space="0" w:color="auto"/>
              <w:bottom w:val="single" w:sz="12" w:space="0" w:color="auto"/>
            </w:tcBorders>
            <w:vAlign w:val="bottom"/>
          </w:tcPr>
          <w:p w:rsidR="00F72BDC" w:rsidRPr="006F4680" w:rsidRDefault="00F72BDC" w:rsidP="00745279">
            <w:pPr>
              <w:bidi/>
              <w:spacing w:before="60" w:after="60" w:line="360" w:lineRule="exact"/>
              <w:ind w:left="57" w:right="227"/>
              <w:rPr>
                <w:rFonts w:cs="Traditional Arabic"/>
                <w:i/>
                <w:iCs/>
                <w:sz w:val="18"/>
                <w:szCs w:val="28"/>
                <w:rtl/>
              </w:rPr>
            </w:pPr>
            <w:r w:rsidRPr="006F4680">
              <w:rPr>
                <w:rFonts w:cs="Traditional Arabic" w:hint="eastAsia"/>
                <w:i/>
                <w:iCs/>
                <w:sz w:val="18"/>
                <w:szCs w:val="28"/>
                <w:rtl/>
              </w:rPr>
              <w:t>الدولة</w:t>
            </w:r>
          </w:p>
        </w:tc>
        <w:tc>
          <w:tcPr>
            <w:tcW w:w="2701" w:type="dxa"/>
            <w:tcBorders>
              <w:top w:val="single" w:sz="4" w:space="0" w:color="auto"/>
              <w:bottom w:val="single" w:sz="12" w:space="0" w:color="auto"/>
            </w:tcBorders>
            <w:vAlign w:val="bottom"/>
          </w:tcPr>
          <w:p w:rsidR="00F72BDC" w:rsidRPr="006F4680" w:rsidRDefault="00F72BDC" w:rsidP="00745279">
            <w:pPr>
              <w:bidi/>
              <w:spacing w:before="60" w:after="60" w:line="360" w:lineRule="exact"/>
              <w:ind w:left="57" w:right="227"/>
              <w:rPr>
                <w:rFonts w:cs="Traditional Arabic"/>
                <w:i/>
                <w:iCs/>
                <w:spacing w:val="-4"/>
                <w:sz w:val="18"/>
                <w:szCs w:val="28"/>
                <w:rtl/>
              </w:rPr>
            </w:pPr>
            <w:r w:rsidRPr="006F4680">
              <w:rPr>
                <w:rFonts w:cs="Traditional Arabic" w:hint="eastAsia"/>
                <w:i/>
                <w:iCs/>
                <w:spacing w:val="-4"/>
                <w:sz w:val="18"/>
                <w:szCs w:val="28"/>
                <w:rtl/>
              </w:rPr>
              <w:t>تاريخ</w:t>
            </w:r>
            <w:r w:rsidRPr="006F4680">
              <w:rPr>
                <w:rFonts w:cs="Traditional Arabic"/>
                <w:i/>
                <w:iCs/>
                <w:spacing w:val="-4"/>
                <w:sz w:val="18"/>
                <w:szCs w:val="28"/>
                <w:rtl/>
              </w:rPr>
              <w:t xml:space="preserve"> </w:t>
            </w:r>
            <w:r w:rsidRPr="006F4680">
              <w:rPr>
                <w:rFonts w:cs="Traditional Arabic" w:hint="eastAsia"/>
                <w:i/>
                <w:iCs/>
                <w:spacing w:val="-4"/>
                <w:sz w:val="18"/>
                <w:szCs w:val="28"/>
                <w:rtl/>
              </w:rPr>
              <w:t>التوقيع</w:t>
            </w:r>
          </w:p>
        </w:tc>
        <w:tc>
          <w:tcPr>
            <w:tcW w:w="3093" w:type="dxa"/>
            <w:tcBorders>
              <w:top w:val="single" w:sz="4" w:space="0" w:color="auto"/>
              <w:bottom w:val="single" w:sz="12" w:space="0" w:color="auto"/>
            </w:tcBorders>
            <w:vAlign w:val="bottom"/>
          </w:tcPr>
          <w:p w:rsidR="00F72BDC" w:rsidRPr="006F4680" w:rsidRDefault="00F72BDC" w:rsidP="00745279">
            <w:pPr>
              <w:bidi/>
              <w:spacing w:before="60" w:after="60" w:line="360" w:lineRule="exact"/>
              <w:ind w:left="57"/>
              <w:jc w:val="lowKashida"/>
              <w:rPr>
                <w:rFonts w:cs="Traditional Arabic" w:hint="cs"/>
                <w:i/>
                <w:iCs/>
                <w:spacing w:val="-4"/>
                <w:sz w:val="18"/>
                <w:szCs w:val="28"/>
                <w:vertAlign w:val="superscript"/>
                <w:rtl/>
              </w:rPr>
            </w:pPr>
            <w:r w:rsidRPr="006F4680">
              <w:rPr>
                <w:rFonts w:cs="Traditional Arabic" w:hint="eastAsia"/>
                <w:i/>
                <w:iCs/>
                <w:spacing w:val="-4"/>
                <w:sz w:val="18"/>
                <w:szCs w:val="28"/>
                <w:rtl/>
              </w:rPr>
              <w:t>تاريخ</w:t>
            </w:r>
            <w:r w:rsidRPr="006F4680">
              <w:rPr>
                <w:rFonts w:cs="Traditional Arabic"/>
                <w:i/>
                <w:iCs/>
                <w:spacing w:val="-4"/>
                <w:sz w:val="18"/>
                <w:szCs w:val="28"/>
                <w:rtl/>
              </w:rPr>
              <w:t xml:space="preserve"> التصديق أو الانضمام</w:t>
            </w:r>
            <w:r w:rsidRPr="0020469C">
              <w:rPr>
                <w:rFonts w:cs="Traditional Arabic" w:hint="cs"/>
                <w:spacing w:val="-4"/>
                <w:sz w:val="18"/>
                <w:szCs w:val="28"/>
                <w:vertAlign w:val="superscript"/>
                <w:rtl/>
              </w:rPr>
              <w:t>(أ)</w:t>
            </w:r>
            <w:r w:rsidR="0020469C" w:rsidRPr="0020469C">
              <w:rPr>
                <w:rFonts w:cs="Traditional Arabic" w:hint="cs"/>
                <w:spacing w:val="-4"/>
                <w:sz w:val="18"/>
                <w:szCs w:val="28"/>
                <w:rtl/>
              </w:rPr>
              <w:t xml:space="preserve"> </w:t>
            </w:r>
            <w:r w:rsidRPr="006F4680">
              <w:rPr>
                <w:rFonts w:cs="Traditional Arabic" w:hint="cs"/>
                <w:i/>
                <w:iCs/>
                <w:spacing w:val="-4"/>
                <w:sz w:val="18"/>
                <w:szCs w:val="28"/>
                <w:rtl/>
              </w:rPr>
              <w:t xml:space="preserve"> </w:t>
            </w:r>
            <w:r w:rsidRPr="006F4680">
              <w:rPr>
                <w:rFonts w:cs="Traditional Arabic" w:hint="eastAsia"/>
                <w:i/>
                <w:iCs/>
                <w:spacing w:val="-4"/>
                <w:sz w:val="18"/>
                <w:szCs w:val="28"/>
                <w:rtl/>
              </w:rPr>
              <w:t>أو</w:t>
            </w:r>
            <w:r w:rsidR="006F4680" w:rsidRPr="006F4680">
              <w:rPr>
                <w:rFonts w:cs="Traditional Arabic" w:hint="cs"/>
                <w:i/>
                <w:iCs/>
                <w:spacing w:val="-4"/>
                <w:sz w:val="18"/>
                <w:szCs w:val="28"/>
                <w:rtl/>
              </w:rPr>
              <w:t xml:space="preserve"> </w:t>
            </w:r>
            <w:r w:rsidRPr="006F4680">
              <w:rPr>
                <w:rFonts w:cs="Traditional Arabic"/>
                <w:i/>
                <w:iCs/>
                <w:spacing w:val="-4"/>
                <w:sz w:val="18"/>
                <w:szCs w:val="28"/>
                <w:rtl/>
              </w:rPr>
              <w:t>الخلافة</w:t>
            </w:r>
            <w:r w:rsidRPr="006F4680">
              <w:rPr>
                <w:rFonts w:cs="Traditional Arabic" w:hint="cs"/>
                <w:spacing w:val="-4"/>
                <w:sz w:val="18"/>
                <w:szCs w:val="28"/>
                <w:vertAlign w:val="superscript"/>
                <w:rtl/>
              </w:rPr>
              <w:t>(ب)</w:t>
            </w:r>
          </w:p>
        </w:tc>
      </w:tr>
      <w:tr w:rsidR="00F72BDC" w:rsidRPr="006F4680" w:rsidTr="006F4680">
        <w:trPr>
          <w:cantSplit/>
        </w:trPr>
        <w:tc>
          <w:tcPr>
            <w:tcW w:w="2606" w:type="dxa"/>
            <w:tcBorders>
              <w:top w:val="single" w:sz="12" w:space="0" w:color="auto"/>
            </w:tcBorders>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الاتحاد</w:t>
            </w:r>
            <w:r w:rsidRPr="006F4680">
              <w:rPr>
                <w:rFonts w:cs="Traditional Arabic"/>
                <w:sz w:val="18"/>
                <w:szCs w:val="28"/>
                <w:rtl/>
              </w:rPr>
              <w:t xml:space="preserve"> الروسي</w:t>
            </w:r>
          </w:p>
        </w:tc>
        <w:tc>
          <w:tcPr>
            <w:tcW w:w="2701" w:type="dxa"/>
            <w:tcBorders>
              <w:top w:val="single" w:sz="12" w:space="0" w:color="auto"/>
            </w:tcBorders>
          </w:tcPr>
          <w:p w:rsidR="00F72BDC" w:rsidRPr="006F4680" w:rsidRDefault="00F72BDC" w:rsidP="00745279">
            <w:pPr>
              <w:bidi/>
              <w:spacing w:before="60" w:after="60" w:line="360" w:lineRule="exact"/>
              <w:ind w:left="57" w:right="227"/>
              <w:rPr>
                <w:rFonts w:cs="Traditional Arabic"/>
                <w:spacing w:val="-4"/>
                <w:sz w:val="18"/>
                <w:szCs w:val="28"/>
                <w:rtl/>
              </w:rPr>
            </w:pPr>
            <w:r w:rsidRPr="006F4680">
              <w:rPr>
                <w:rFonts w:cs="Traditional Arabic"/>
                <w:spacing w:val="-4"/>
                <w:sz w:val="18"/>
                <w:szCs w:val="28"/>
                <w:rtl/>
              </w:rPr>
              <w:t>10 كانون الأول/ديسمبر 1985</w:t>
            </w:r>
          </w:p>
        </w:tc>
        <w:tc>
          <w:tcPr>
            <w:tcW w:w="3093" w:type="dxa"/>
            <w:tcBorders>
              <w:top w:val="single" w:sz="12" w:space="0" w:color="auto"/>
            </w:tcBorders>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3 آذار/مارس 1987</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eastAsia"/>
                <w:sz w:val="18"/>
                <w:szCs w:val="28"/>
                <w:rtl/>
              </w:rPr>
              <w:t>إثيوبيا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14 آذار/مارس 1994</w:t>
            </w:r>
            <w:r w:rsidRPr="006F4680">
              <w:rPr>
                <w:rFonts w:cs="Traditional Arabic" w:hint="cs"/>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أذربيجان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16 آب/أغسطس 1996</w:t>
            </w:r>
            <w:r w:rsidRPr="006F4680">
              <w:rPr>
                <w:rFonts w:cs="Traditional Arabic" w:hint="cs"/>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الأرجنتين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4 شباط/فبراير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24 أيلول/سبتمبر 1986</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الأردن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13 تشرين الثاني/نوفمبر 1991</w:t>
            </w:r>
            <w:r w:rsidRPr="006F4680">
              <w:rPr>
                <w:rFonts w:cs="Traditional Arabic" w:hint="cs"/>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أرمينيا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13 أيلول/سبتمبر 1993</w:t>
            </w:r>
            <w:r w:rsidRPr="006F4680">
              <w:rPr>
                <w:rFonts w:cs="Traditional Arabic" w:hint="cs"/>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إسبانيا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4 شباط/فبراير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21 تشرين الأول/أكتوبر 1987</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أستراليا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10 كانون الأول/ديسمبر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8 آب/أغسطس 1989</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إستونيا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21 تشرين الأول/أكتوبر 1991</w:t>
            </w:r>
            <w:r w:rsidRPr="006F4680">
              <w:rPr>
                <w:rFonts w:cs="Traditional Arabic" w:hint="cs"/>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إسرائيل</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22 تشرين الأول/أكتوبر 1986</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3 تشرين الأول/أكتوبر 1991</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أفغانستان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4 شباط/فبراير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 نيسان/أبريل 1987</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إكوادور</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4 شباط/فبراير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30 آذار/مارس 1988</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cs"/>
                <w:sz w:val="18"/>
                <w:szCs w:val="28"/>
                <w:rtl/>
              </w:rPr>
              <w:t>الإمارات العربية المتحدة</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tl/>
              </w:rPr>
            </w:pPr>
            <w:r w:rsidRPr="006F4680">
              <w:rPr>
                <w:rFonts w:cs="Traditional Arabic" w:hint="cs"/>
                <w:sz w:val="18"/>
                <w:szCs w:val="28"/>
                <w:rtl/>
              </w:rPr>
              <w:t>19 تموز/يوليه 2012</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ألبانيا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11 أيار/مايو 19</w:t>
            </w:r>
            <w:r w:rsidRPr="006F4680">
              <w:rPr>
                <w:rFonts w:cs="Traditional Arabic" w:hint="cs"/>
                <w:sz w:val="18"/>
                <w:szCs w:val="28"/>
                <w:rtl/>
              </w:rPr>
              <w:t>9</w:t>
            </w:r>
            <w:r w:rsidRPr="006F4680">
              <w:rPr>
                <w:rFonts w:cs="Traditional Arabic"/>
                <w:sz w:val="18"/>
                <w:szCs w:val="28"/>
                <w:rtl/>
              </w:rPr>
              <w:t>4</w:t>
            </w:r>
            <w:r w:rsidRPr="006F4680">
              <w:rPr>
                <w:rFonts w:cs="Traditional Arabic" w:hint="cs"/>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ألمانيا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13 تشرين الأول/أكتوبر 1986</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 تشرين الأول/أكتوبر 1990</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أنتيغوا</w:t>
            </w:r>
            <w:r w:rsidRPr="006F4680">
              <w:rPr>
                <w:rFonts w:cs="Traditional Arabic"/>
                <w:sz w:val="18"/>
                <w:szCs w:val="28"/>
                <w:rtl/>
              </w:rPr>
              <w:t xml:space="preserve"> وبربودا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19 تموز/يوليه 1993</w:t>
            </w:r>
            <w:r w:rsidRPr="006F4680">
              <w:rPr>
                <w:rFonts w:cs="Traditional Arabic" w:hint="cs"/>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أندورا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5 آب/أغسطس 2002</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vertAlign w:val="superscript"/>
              </w:rPr>
            </w:pPr>
            <w:r w:rsidRPr="006F4680">
              <w:rPr>
                <w:rFonts w:cs="Traditional Arabic" w:hint="cs"/>
                <w:sz w:val="18"/>
                <w:szCs w:val="28"/>
                <w:rtl/>
              </w:rPr>
              <w:t>22 أيلول/سبتمبر 2006</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إندونيسيا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23 تشرين الأول/أكتوبر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28 تشرين الأول/أكتوبر 1998</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أوروغواي</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4 شباط/فبراير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24 تشرين الأول/أكتوبر 1986</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أوزبكستان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28 أيلول/سبتمبر 1995</w:t>
            </w:r>
            <w:r w:rsidRPr="006F4680">
              <w:rPr>
                <w:rFonts w:cs="Traditional Arabic" w:hint="cs"/>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أوغندا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tl/>
              </w:rPr>
            </w:pPr>
            <w:r w:rsidRPr="006F4680">
              <w:rPr>
                <w:rFonts w:cs="Traditional Arabic"/>
                <w:sz w:val="18"/>
                <w:szCs w:val="28"/>
                <w:rtl/>
              </w:rPr>
              <w:t>3 تشرين الثاني/نوفمبر 1986</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أوكرانيا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27 شباط/فبراير 1986</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24 شباط/فبراير 1987</w:t>
            </w:r>
          </w:p>
        </w:tc>
      </w:tr>
      <w:tr w:rsidR="00F72BDC" w:rsidRPr="006F4680" w:rsidTr="006F4680">
        <w:trPr>
          <w:cantSplit/>
        </w:trPr>
        <w:tc>
          <w:tcPr>
            <w:tcW w:w="2606" w:type="dxa"/>
          </w:tcPr>
          <w:p w:rsidR="00F72BDC" w:rsidRPr="006F4680" w:rsidRDefault="005E4BCD"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Pr>
                <w:rFonts w:cs="Traditional Arabic" w:hint="cs"/>
                <w:sz w:val="18"/>
                <w:szCs w:val="28"/>
                <w:rtl/>
              </w:rPr>
              <w:t>أ</w:t>
            </w:r>
            <w:r w:rsidR="00F72BDC" w:rsidRPr="006F4680">
              <w:rPr>
                <w:rFonts w:cs="Traditional Arabic" w:hint="eastAsia"/>
                <w:sz w:val="18"/>
                <w:szCs w:val="28"/>
                <w:rtl/>
              </w:rPr>
              <w:t>يرلندا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28 أيلول/سبتمبر 1992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11 نيسان/أبريل 2002</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آيسلندا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pacing w:val="-4"/>
                <w:sz w:val="18"/>
                <w:szCs w:val="28"/>
              </w:rPr>
            </w:pPr>
            <w:r w:rsidRPr="006F4680">
              <w:rPr>
                <w:rFonts w:cs="Traditional Arabic" w:hint="cs"/>
                <w:spacing w:val="-4"/>
                <w:sz w:val="18"/>
                <w:szCs w:val="28"/>
                <w:rtl/>
              </w:rPr>
              <w:t>4 شباط/فبراير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23 تشرين الأول/أكتوبر 1996</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إيطاليا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4 شباط/فبراير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12 كانون الثاني/يناير 1989</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باراغواي</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2</w:t>
            </w:r>
            <w:r w:rsidRPr="006F4680">
              <w:rPr>
                <w:rFonts w:cs="Traditional Arabic" w:hint="cs"/>
                <w:spacing w:val="-4"/>
                <w:sz w:val="18"/>
                <w:szCs w:val="28"/>
                <w:rtl/>
              </w:rPr>
              <w:t>3</w:t>
            </w:r>
            <w:r w:rsidRPr="006F4680">
              <w:rPr>
                <w:rFonts w:cs="Traditional Arabic"/>
                <w:spacing w:val="-4"/>
                <w:sz w:val="18"/>
                <w:szCs w:val="28"/>
                <w:rtl/>
              </w:rPr>
              <w:t xml:space="preserve"> تشرين الأول/أكتوبر 1989</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12 آذار/مارس 1990</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cs"/>
                <w:sz w:val="18"/>
                <w:szCs w:val="28"/>
                <w:rtl/>
              </w:rPr>
              <w:t>باكستان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pacing w:val="-4"/>
                <w:sz w:val="18"/>
                <w:szCs w:val="28"/>
              </w:rPr>
            </w:pPr>
            <w:r w:rsidRPr="006F4680">
              <w:rPr>
                <w:rFonts w:cs="Traditional Arabic" w:hint="cs"/>
                <w:spacing w:val="-4"/>
                <w:sz w:val="18"/>
                <w:szCs w:val="28"/>
                <w:rtl/>
              </w:rPr>
              <w:t>17 نيسان/أبريل 2008</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tl/>
              </w:rPr>
            </w:pPr>
            <w:r w:rsidRPr="006F4680">
              <w:rPr>
                <w:rFonts w:cs="Traditional Arabic" w:hint="cs"/>
                <w:sz w:val="18"/>
                <w:szCs w:val="28"/>
                <w:rtl/>
              </w:rPr>
              <w:t>23 حزيران/يونيه 2010</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cs"/>
                <w:sz w:val="18"/>
                <w:szCs w:val="28"/>
                <w:rtl/>
              </w:rPr>
              <w:t>بالاو</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pacing w:val="-4"/>
                <w:sz w:val="18"/>
                <w:szCs w:val="28"/>
              </w:rPr>
            </w:pPr>
            <w:r w:rsidRPr="006F4680">
              <w:rPr>
                <w:rFonts w:cs="Traditional Arabic" w:hint="cs"/>
                <w:spacing w:val="-4"/>
                <w:sz w:val="18"/>
                <w:szCs w:val="28"/>
                <w:rtl/>
              </w:rPr>
              <w:t>20 أيلول/سبتمبر 2011</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b/>
                <w:bCs/>
                <w:sz w:val="18"/>
                <w:szCs w:val="28"/>
                <w:u w:val="single"/>
                <w:rtl/>
              </w:rPr>
            </w:pPr>
            <w:r w:rsidRPr="006F4680">
              <w:rPr>
                <w:rFonts w:cs="Traditional Arabic" w:hint="eastAsia"/>
                <w:sz w:val="18"/>
                <w:szCs w:val="28"/>
                <w:rtl/>
              </w:rPr>
              <w:t>البحرين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6 آذار/مارس 1998</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b/>
                <w:bCs/>
                <w:sz w:val="18"/>
                <w:szCs w:val="28"/>
                <w:u w:val="single"/>
                <w:rtl/>
              </w:rPr>
            </w:pPr>
            <w:r w:rsidRPr="006F4680">
              <w:rPr>
                <w:rFonts w:cs="Traditional Arabic" w:hint="eastAsia"/>
                <w:sz w:val="18"/>
                <w:szCs w:val="28"/>
                <w:rtl/>
              </w:rPr>
              <w:t>البرازيل</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23 أيلول/سبتمبر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28 أيلول/ سبتمبر 1989</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البرتغال</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4 شباط/فبراير 1985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9 شباط/فبراير</w:t>
            </w:r>
            <w:r w:rsidRPr="006F4680">
              <w:rPr>
                <w:rFonts w:cs="Traditional Arabic" w:hint="cs"/>
                <w:sz w:val="18"/>
                <w:szCs w:val="28"/>
                <w:rtl/>
              </w:rPr>
              <w:t xml:space="preserve"> </w:t>
            </w:r>
            <w:r w:rsidRPr="006F4680">
              <w:rPr>
                <w:rFonts w:cs="Traditional Arabic"/>
                <w:sz w:val="18"/>
                <w:szCs w:val="28"/>
                <w:rtl/>
              </w:rPr>
              <w:t xml:space="preserve">1989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بلجيكا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4 شباط/فبراير 1985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 xml:space="preserve">25 حزيران/يونيه 1999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بلغاريا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 xml:space="preserve">10 حزيران/يونيه 1986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16 كانون الأول/ديسمبر 1986</w:t>
            </w:r>
          </w:p>
        </w:tc>
      </w:tr>
      <w:tr w:rsidR="00F72BDC" w:rsidRPr="006F4680" w:rsidTr="006F4680">
        <w:trPr>
          <w:cantSplit/>
        </w:trPr>
        <w:tc>
          <w:tcPr>
            <w:tcW w:w="2606" w:type="dxa"/>
            <w:vAlign w:val="center"/>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بليز</w:t>
            </w:r>
            <w:r w:rsidRPr="006F4680">
              <w:rPr>
                <w:rFonts w:cs="Traditional Arabic"/>
                <w:sz w:val="18"/>
                <w:szCs w:val="28"/>
                <w:rtl/>
              </w:rPr>
              <w:t xml:space="preserve"> </w:t>
            </w:r>
          </w:p>
        </w:tc>
        <w:tc>
          <w:tcPr>
            <w:tcW w:w="2701" w:type="dxa"/>
            <w:vAlign w:val="center"/>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center"/>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17 آذار/مارس 1986</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eastAsia"/>
                <w:sz w:val="18"/>
                <w:szCs w:val="28"/>
                <w:rtl/>
              </w:rPr>
              <w:t>بنغلاديش</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5 تشرين الأول/أكتوبر 1998</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بنما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22 شباط/فبراير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 xml:space="preserve">24 آب/أغسطس 1987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بنن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12 آذار/مارس 1992</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بوتسوانا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8 أيلول/سبتمبر 2000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8 أيلول/سبتمبر 2000</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بوركينا</w:t>
            </w:r>
            <w:r w:rsidRPr="006F4680">
              <w:rPr>
                <w:rFonts w:cs="Traditional Arabic"/>
                <w:sz w:val="18"/>
                <w:szCs w:val="28"/>
                <w:rtl/>
              </w:rPr>
              <w:t xml:space="preserve"> فاسو</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4 كانون الثاني/يناير</w:t>
            </w:r>
            <w:r w:rsidRPr="006F4680">
              <w:rPr>
                <w:rFonts w:cs="Traditional Arabic"/>
                <w:sz w:val="18"/>
                <w:szCs w:val="28"/>
                <w:vertAlign w:val="superscript"/>
                <w:rtl/>
              </w:rPr>
              <w:t xml:space="preserve"> </w:t>
            </w:r>
            <w:r w:rsidRPr="006F4680">
              <w:rPr>
                <w:rFonts w:cs="Traditional Arabic"/>
                <w:sz w:val="18"/>
                <w:szCs w:val="28"/>
                <w:rtl/>
              </w:rPr>
              <w:t>1999</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بوروندي</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18 شباط/فبراير 1993</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البوسنة</w:t>
            </w:r>
            <w:r w:rsidRPr="006F4680">
              <w:rPr>
                <w:rFonts w:cs="Traditional Arabic"/>
                <w:sz w:val="18"/>
                <w:szCs w:val="28"/>
                <w:rtl/>
              </w:rPr>
              <w:t xml:space="preserve"> والهرسك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 أيلول/سبتمبر 1993</w:t>
            </w:r>
            <w:r w:rsidRPr="006F4680">
              <w:rPr>
                <w:rFonts w:cs="Traditional Arabic"/>
                <w:sz w:val="18"/>
                <w:szCs w:val="28"/>
                <w:vertAlign w:val="superscript"/>
                <w:rtl/>
              </w:rPr>
              <w:t>(ب)</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بولندا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13 كانون الثاني/يناير 1986</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26 تموز/يوليه 1989</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pacing w:val="-4"/>
                <w:sz w:val="18"/>
                <w:szCs w:val="28"/>
                <w:rtl/>
              </w:rPr>
            </w:pPr>
            <w:r w:rsidRPr="006F4680">
              <w:rPr>
                <w:rFonts w:cs="Traditional Arabic" w:hint="eastAsia"/>
                <w:spacing w:val="-4"/>
                <w:sz w:val="18"/>
                <w:szCs w:val="28"/>
                <w:rtl/>
              </w:rPr>
              <w:t>بوليفيا</w:t>
            </w:r>
            <w:r w:rsidRPr="006F4680">
              <w:rPr>
                <w:rFonts w:cs="Traditional Arabic"/>
                <w:spacing w:val="-4"/>
                <w:sz w:val="18"/>
                <w:szCs w:val="28"/>
                <w:rtl/>
              </w:rPr>
              <w:t xml:space="preserve"> </w:t>
            </w:r>
            <w:r w:rsidRPr="006F4680">
              <w:rPr>
                <w:rFonts w:cs="Traditional Arabic" w:hint="cs"/>
                <w:spacing w:val="-4"/>
                <w:sz w:val="18"/>
                <w:szCs w:val="28"/>
                <w:rtl/>
              </w:rPr>
              <w:t>(دولة - المتعددة القوميات)</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4 شباط/فبراير 1985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12 نيسان/أبريل 1999</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بيرو</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29 أيار/مايو 1985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7 تموز/يو</w:t>
            </w:r>
            <w:r w:rsidRPr="006F4680">
              <w:rPr>
                <w:rFonts w:cs="Traditional Arabic" w:hint="cs"/>
                <w:sz w:val="18"/>
                <w:szCs w:val="28"/>
                <w:rtl/>
              </w:rPr>
              <w:t>ل</w:t>
            </w:r>
            <w:r w:rsidRPr="006F4680">
              <w:rPr>
                <w:rFonts w:cs="Traditional Arabic"/>
                <w:sz w:val="18"/>
                <w:szCs w:val="28"/>
                <w:rtl/>
              </w:rPr>
              <w:t>يه 1988</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بيلاروس</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pacing w:val="-4"/>
                <w:sz w:val="18"/>
                <w:szCs w:val="28"/>
              </w:rPr>
            </w:pPr>
            <w:r w:rsidRPr="006F4680">
              <w:rPr>
                <w:rFonts w:cs="Traditional Arabic"/>
                <w:spacing w:val="-4"/>
                <w:sz w:val="18"/>
                <w:szCs w:val="28"/>
                <w:rtl/>
              </w:rPr>
              <w:t>19 كانون الأول/ديسمبر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 xml:space="preserve">13 آذار/مارس 1987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cs"/>
                <w:sz w:val="18"/>
                <w:szCs w:val="28"/>
                <w:rtl/>
              </w:rPr>
              <w:t>تايلند</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tl/>
              </w:rPr>
            </w:pPr>
            <w:r w:rsidRPr="006F4680">
              <w:rPr>
                <w:rFonts w:cs="Traditional Arabic" w:hint="cs"/>
                <w:sz w:val="18"/>
                <w:szCs w:val="28"/>
                <w:rtl/>
              </w:rPr>
              <w:t>2 تشرين الأول/أكتوبر 2007</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تركمانستان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25 حزيران/يونيه 1999</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eastAsia"/>
                <w:sz w:val="18"/>
                <w:szCs w:val="28"/>
                <w:rtl/>
              </w:rPr>
              <w:t>تركيا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25 كانون الثاني/يناير 1988</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 آب/أغسطس 1988</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تشاد</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9 حزيران/يونيه 1995</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توغو</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25 آذار/مارس 1987</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18</w:t>
            </w:r>
            <w:r w:rsidR="006F4680">
              <w:rPr>
                <w:rFonts w:cs="Traditional Arabic" w:hint="cs"/>
                <w:sz w:val="18"/>
                <w:szCs w:val="28"/>
                <w:rtl/>
              </w:rPr>
              <w:t xml:space="preserve"> </w:t>
            </w:r>
            <w:r w:rsidRPr="006F4680">
              <w:rPr>
                <w:rFonts w:cs="Traditional Arabic"/>
                <w:sz w:val="18"/>
                <w:szCs w:val="28"/>
                <w:rtl/>
              </w:rPr>
              <w:t>تشرين الثاني/نوفمبر 1987</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تونس</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26 آب/أغسطس 1987</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23 أيلول/سبتمبر 1988</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تيمور</w:t>
            </w:r>
            <w:r w:rsidRPr="006F4680">
              <w:rPr>
                <w:rFonts w:cs="Traditional Arabic"/>
                <w:sz w:val="18"/>
                <w:szCs w:val="28"/>
                <w:rtl/>
              </w:rPr>
              <w:t xml:space="preserve"> - ليشتي</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16 نيسان/أبريل 2003</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cs"/>
                <w:sz w:val="18"/>
                <w:szCs w:val="28"/>
                <w:rtl/>
              </w:rPr>
              <w:t>الجبل الأسود</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hint="cs"/>
                <w:sz w:val="18"/>
                <w:szCs w:val="28"/>
                <w:rtl/>
              </w:rPr>
              <w:t>23 تشرين الأول/أكتوبر 2006</w:t>
            </w:r>
            <w:r w:rsidRPr="006F4680">
              <w:rPr>
                <w:rFonts w:cs="Traditional Arabic" w:hint="cs"/>
                <w:sz w:val="18"/>
                <w:szCs w:val="28"/>
                <w:vertAlign w:val="superscript"/>
                <w:rtl/>
              </w:rPr>
              <w:t>(ب)</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الجزائر</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26 تشرين الثاني/نوفمبر 1985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12 أيلول/سبتمبر 1989</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cs"/>
                <w:sz w:val="18"/>
                <w:szCs w:val="28"/>
                <w:rtl/>
              </w:rPr>
              <w:t>جزر البهاما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pacing w:val="-4"/>
                <w:sz w:val="18"/>
                <w:szCs w:val="28"/>
                <w:rtl/>
              </w:rPr>
            </w:pPr>
            <w:r w:rsidRPr="006F4680">
              <w:rPr>
                <w:rFonts w:cs="Traditional Arabic" w:hint="cs"/>
                <w:spacing w:val="-4"/>
                <w:sz w:val="18"/>
                <w:szCs w:val="28"/>
                <w:rtl/>
              </w:rPr>
              <w:t>26 كانون الأول/ديسمبر 2008</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جزر</w:t>
            </w:r>
            <w:r w:rsidRPr="006F4680">
              <w:rPr>
                <w:rFonts w:cs="Traditional Arabic"/>
                <w:sz w:val="18"/>
                <w:szCs w:val="28"/>
                <w:rtl/>
              </w:rPr>
              <w:t xml:space="preserve"> القمر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22 أيلول/سبتمبر 2000</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الجمهورية</w:t>
            </w:r>
            <w:r w:rsidRPr="006F4680">
              <w:rPr>
                <w:rFonts w:cs="Traditional Arabic"/>
                <w:sz w:val="18"/>
                <w:szCs w:val="28"/>
                <w:rtl/>
              </w:rPr>
              <w:t xml:space="preserve"> التشيكية</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tl/>
              </w:rPr>
            </w:pPr>
            <w:r w:rsidRPr="006F4680">
              <w:rPr>
                <w:rFonts w:cs="Traditional Arabic"/>
                <w:sz w:val="18"/>
                <w:szCs w:val="28"/>
                <w:rtl/>
              </w:rPr>
              <w:t>22 شباط/فبراير 1993</w:t>
            </w:r>
            <w:r w:rsidRPr="006F4680">
              <w:rPr>
                <w:rFonts w:cs="Traditional Arabic"/>
                <w:sz w:val="18"/>
                <w:szCs w:val="28"/>
                <w:vertAlign w:val="superscript"/>
                <w:rtl/>
              </w:rPr>
              <w:t>(ب)</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الجمهورية</w:t>
            </w:r>
            <w:r w:rsidRPr="006F4680">
              <w:rPr>
                <w:rFonts w:cs="Traditional Arabic"/>
                <w:sz w:val="18"/>
                <w:szCs w:val="28"/>
                <w:rtl/>
              </w:rPr>
              <w:t xml:space="preserve"> الدومينيكية</w:t>
            </w:r>
          </w:p>
        </w:tc>
        <w:tc>
          <w:tcPr>
            <w:tcW w:w="2701" w:type="dxa"/>
          </w:tcPr>
          <w:p w:rsidR="00F72BDC" w:rsidRPr="006F4680" w:rsidRDefault="009B0D18"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Pr>
                <w:rFonts w:cs="Traditional Arabic"/>
                <w:spacing w:val="-4"/>
                <w:sz w:val="18"/>
                <w:szCs w:val="28"/>
                <w:rtl/>
              </w:rPr>
              <w:t>4 شباط</w:t>
            </w:r>
            <w:r w:rsidR="00F72BDC" w:rsidRPr="006F4680">
              <w:rPr>
                <w:rFonts w:cs="Traditional Arabic"/>
                <w:spacing w:val="-4"/>
                <w:sz w:val="18"/>
                <w:szCs w:val="28"/>
                <w:rtl/>
              </w:rPr>
              <w:t>/فبراير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Pr>
            </w:pPr>
            <w:r w:rsidRPr="006F4680">
              <w:rPr>
                <w:rFonts w:cs="Traditional Arabic" w:hint="cs"/>
                <w:sz w:val="18"/>
                <w:szCs w:val="28"/>
                <w:rtl/>
              </w:rPr>
              <w:t>24 كانون الثاني/يناير 2012</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الجمهورية</w:t>
            </w:r>
            <w:r w:rsidRPr="006F4680">
              <w:rPr>
                <w:rFonts w:cs="Traditional Arabic"/>
                <w:sz w:val="18"/>
                <w:szCs w:val="28"/>
                <w:rtl/>
              </w:rPr>
              <w:t xml:space="preserve"> العربية ال</w:t>
            </w:r>
            <w:r w:rsidRPr="006F4680">
              <w:rPr>
                <w:rFonts w:cs="Traditional Arabic" w:hint="eastAsia"/>
                <w:sz w:val="18"/>
                <w:szCs w:val="28"/>
                <w:rtl/>
              </w:rPr>
              <w:t>سورية</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19 آب/أغسطس 2004</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جمهورية</w:t>
            </w:r>
            <w:r w:rsidRPr="006F4680">
              <w:rPr>
                <w:rFonts w:cs="Traditional Arabic"/>
                <w:sz w:val="18"/>
                <w:szCs w:val="28"/>
                <w:rtl/>
              </w:rPr>
              <w:t xml:space="preserve"> كوريا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9 كانون الثاني/يناير 1995</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جمهورية</w:t>
            </w:r>
            <w:r w:rsidRPr="006F4680">
              <w:rPr>
                <w:rFonts w:cs="Traditional Arabic"/>
                <w:sz w:val="18"/>
                <w:szCs w:val="28"/>
                <w:rtl/>
              </w:rPr>
              <w:t xml:space="preserve"> الكونغو الديمقراطية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18 آذار/مارس 1996</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cs"/>
                <w:sz w:val="18"/>
                <w:szCs w:val="28"/>
                <w:rtl/>
              </w:rPr>
              <w:t>جمهورية لاو الديمقراطية الشعبية</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pacing w:val="-4"/>
                <w:sz w:val="18"/>
                <w:szCs w:val="28"/>
              </w:rPr>
            </w:pPr>
            <w:r w:rsidRPr="006F4680">
              <w:rPr>
                <w:rFonts w:cs="Traditional Arabic" w:hint="cs"/>
                <w:spacing w:val="-4"/>
                <w:sz w:val="18"/>
                <w:szCs w:val="28"/>
                <w:rtl/>
              </w:rPr>
              <w:t>21 أيلول/سبتمبر 2010</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tl/>
              </w:rPr>
            </w:pPr>
            <w:r w:rsidRPr="006F4680">
              <w:rPr>
                <w:rFonts w:cs="Traditional Arabic" w:hint="cs"/>
                <w:sz w:val="18"/>
                <w:szCs w:val="28"/>
                <w:rtl/>
              </w:rPr>
              <w:t>26 أيلول/سبتمبر 2012</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جمهورية</w:t>
            </w:r>
            <w:r w:rsidRPr="006F4680">
              <w:rPr>
                <w:rFonts w:cs="Traditional Arabic"/>
                <w:sz w:val="18"/>
                <w:szCs w:val="28"/>
                <w:rtl/>
              </w:rPr>
              <w:t xml:space="preserve"> </w:t>
            </w:r>
            <w:r w:rsidRPr="006F4680">
              <w:rPr>
                <w:rFonts w:cs="Traditional Arabic" w:hint="eastAsia"/>
                <w:sz w:val="18"/>
                <w:szCs w:val="28"/>
                <w:rtl/>
              </w:rPr>
              <w:t>مقدونيا</w:t>
            </w:r>
            <w:r w:rsidRPr="006F4680">
              <w:rPr>
                <w:rFonts w:cs="Traditional Arabic"/>
                <w:sz w:val="18"/>
                <w:szCs w:val="28"/>
                <w:rtl/>
              </w:rPr>
              <w:t xml:space="preserve"> اليوغوسلافية السابقة</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12 كانون الأول/ديسمبر 1994</w:t>
            </w:r>
            <w:r w:rsidRPr="006F4680">
              <w:rPr>
                <w:rFonts w:cs="Traditional Arabic"/>
                <w:sz w:val="18"/>
                <w:szCs w:val="28"/>
                <w:vertAlign w:val="superscript"/>
                <w:rtl/>
              </w:rPr>
              <w:t>(ب)</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eastAsia"/>
                <w:sz w:val="18"/>
                <w:szCs w:val="28"/>
                <w:rtl/>
              </w:rPr>
              <w:t>جمهورية</w:t>
            </w:r>
            <w:r w:rsidRPr="006F4680">
              <w:rPr>
                <w:rFonts w:cs="Traditional Arabic"/>
                <w:sz w:val="18"/>
                <w:szCs w:val="28"/>
                <w:rtl/>
              </w:rPr>
              <w:t xml:space="preserve"> مولدوفا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28 تشرين الثاني/نوفمبر 1995</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جنوب</w:t>
            </w:r>
            <w:r w:rsidRPr="006F4680">
              <w:rPr>
                <w:rFonts w:cs="Traditional Arabic"/>
                <w:sz w:val="18"/>
                <w:szCs w:val="28"/>
                <w:rtl/>
              </w:rPr>
              <w:t xml:space="preserve"> أفريقيا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29</w:t>
            </w:r>
            <w:r w:rsidR="006F4680">
              <w:rPr>
                <w:rFonts w:cs="Traditional Arabic" w:hint="cs"/>
                <w:spacing w:val="-4"/>
                <w:sz w:val="18"/>
                <w:szCs w:val="28"/>
                <w:rtl/>
              </w:rPr>
              <w:t xml:space="preserve"> </w:t>
            </w:r>
            <w:r w:rsidRPr="006F4680">
              <w:rPr>
                <w:rFonts w:cs="Traditional Arabic"/>
                <w:spacing w:val="-4"/>
                <w:sz w:val="18"/>
                <w:szCs w:val="28"/>
                <w:rtl/>
              </w:rPr>
              <w:t xml:space="preserve">كانون الثاني/يناير 1993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10 كانون الأول/ديسمبر 1998</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جورجيا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26 تشرين الأول/أكتوبر 1994</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جيبوتي</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5 تشرين الثاني/نوفمبر 2002</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الدانمرك</w:t>
            </w:r>
          </w:p>
        </w:tc>
        <w:tc>
          <w:tcPr>
            <w:tcW w:w="2701" w:type="dxa"/>
          </w:tcPr>
          <w:p w:rsidR="00F72BDC" w:rsidRPr="006F4680" w:rsidRDefault="00EC36BE"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Pr>
                <w:rFonts w:cs="Traditional Arabic"/>
                <w:spacing w:val="-4"/>
                <w:sz w:val="18"/>
                <w:szCs w:val="28"/>
                <w:rtl/>
              </w:rPr>
              <w:t>4 شباط</w:t>
            </w:r>
            <w:r w:rsidR="00F72BDC" w:rsidRPr="006F4680">
              <w:rPr>
                <w:rFonts w:cs="Traditional Arabic"/>
                <w:spacing w:val="-4"/>
                <w:sz w:val="18"/>
                <w:szCs w:val="28"/>
                <w:rtl/>
              </w:rPr>
              <w:t>/فبراير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27 أيار/مايو 1987</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eastAsia"/>
                <w:sz w:val="18"/>
                <w:szCs w:val="28"/>
                <w:rtl/>
              </w:rPr>
              <w:t>الرأس</w:t>
            </w:r>
            <w:r w:rsidRPr="006F4680">
              <w:rPr>
                <w:rFonts w:cs="Traditional Arabic"/>
                <w:sz w:val="18"/>
                <w:szCs w:val="28"/>
                <w:rtl/>
              </w:rPr>
              <w:t xml:space="preserve"> الأخضر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4 حزيران/يونيه 1992</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cs"/>
                <w:sz w:val="18"/>
                <w:szCs w:val="28"/>
                <w:rtl/>
              </w:rPr>
              <w:t>رواندا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tl/>
              </w:rPr>
            </w:pPr>
            <w:r w:rsidRPr="006F4680">
              <w:rPr>
                <w:rFonts w:cs="Traditional Arabic" w:hint="cs"/>
                <w:sz w:val="18"/>
                <w:szCs w:val="28"/>
                <w:rtl/>
              </w:rPr>
              <w:t>15 كانون الأول/ديسمبر 2008</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رومانيا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18 كانون الأول/ديسمبر 1990</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زامبيا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Pr>
            </w:pPr>
            <w:r w:rsidRPr="006F4680">
              <w:rPr>
                <w:rFonts w:cs="Traditional Arabic"/>
                <w:sz w:val="18"/>
                <w:szCs w:val="28"/>
                <w:rtl/>
              </w:rPr>
              <w:t>7 تشرين الأول/</w:t>
            </w:r>
            <w:r w:rsidRPr="006F4680">
              <w:rPr>
                <w:rFonts w:cs="Traditional Arabic" w:hint="cs"/>
                <w:sz w:val="18"/>
                <w:szCs w:val="28"/>
                <w:rtl/>
              </w:rPr>
              <w:t>أكتوبر</w:t>
            </w:r>
            <w:r w:rsidRPr="006F4680">
              <w:rPr>
                <w:rFonts w:cs="Traditional Arabic"/>
                <w:sz w:val="18"/>
                <w:szCs w:val="28"/>
                <w:rtl/>
              </w:rPr>
              <w:t xml:space="preserve"> 1998</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سان</w:t>
            </w:r>
            <w:r w:rsidRPr="006F4680">
              <w:rPr>
                <w:rFonts w:cs="Traditional Arabic"/>
                <w:sz w:val="18"/>
                <w:szCs w:val="28"/>
                <w:rtl/>
              </w:rPr>
              <w:t xml:space="preserve"> تومي وبرينسيبي </w:t>
            </w:r>
          </w:p>
        </w:tc>
        <w:tc>
          <w:tcPr>
            <w:tcW w:w="2701" w:type="dxa"/>
          </w:tcPr>
          <w:p w:rsidR="00F72BDC" w:rsidRPr="006F4680" w:rsidRDefault="009B0D18"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Pr>
                <w:rFonts w:cs="Traditional Arabic"/>
                <w:spacing w:val="-4"/>
                <w:sz w:val="18"/>
                <w:szCs w:val="28"/>
                <w:rtl/>
              </w:rPr>
              <w:t>6 أيلول</w:t>
            </w:r>
            <w:r w:rsidR="00F72BDC" w:rsidRPr="006F4680">
              <w:rPr>
                <w:rFonts w:cs="Traditional Arabic"/>
                <w:spacing w:val="-4"/>
                <w:sz w:val="18"/>
                <w:szCs w:val="28"/>
                <w:rtl/>
              </w:rPr>
              <w:t>/سبتمبر 2000</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سانت</w:t>
            </w:r>
            <w:r w:rsidRPr="006F4680">
              <w:rPr>
                <w:rFonts w:cs="Traditional Arabic"/>
                <w:sz w:val="18"/>
                <w:szCs w:val="28"/>
                <w:rtl/>
              </w:rPr>
              <w:t xml:space="preserve"> فنسنت وجزر غرينادين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1 آب/أغسطس 2001</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eastAsia"/>
                <w:sz w:val="18"/>
                <w:szCs w:val="28"/>
                <w:rtl/>
              </w:rPr>
              <w:t>سان</w:t>
            </w:r>
            <w:r w:rsidRPr="006F4680">
              <w:rPr>
                <w:rFonts w:cs="Traditional Arabic"/>
                <w:sz w:val="18"/>
                <w:szCs w:val="28"/>
                <w:rtl/>
              </w:rPr>
              <w:t xml:space="preserve"> مارينو</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18 أيلول/سبتمبر 2002</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tl/>
              </w:rPr>
            </w:pPr>
            <w:r w:rsidRPr="006F4680">
              <w:rPr>
                <w:rFonts w:cs="Traditional Arabic" w:hint="cs"/>
                <w:sz w:val="18"/>
                <w:szCs w:val="28"/>
                <w:rtl/>
              </w:rPr>
              <w:t>27 تشرين الثاني/نوفمبر 2006</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سري</w:t>
            </w:r>
            <w:r w:rsidRPr="006F4680">
              <w:rPr>
                <w:rFonts w:cs="Traditional Arabic"/>
                <w:sz w:val="18"/>
                <w:szCs w:val="28"/>
                <w:rtl/>
              </w:rPr>
              <w:t xml:space="preserve"> لانكا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3 كانون الثاني/يناير 1994</w:t>
            </w:r>
            <w:r w:rsidRPr="006F4680">
              <w:rPr>
                <w:rFonts w:cs="Traditional Arabic"/>
                <w:sz w:val="18"/>
                <w:szCs w:val="28"/>
                <w:vertAlign w:val="superscript"/>
                <w:rtl/>
              </w:rPr>
              <w:t>(أ)</w:t>
            </w:r>
            <w:r w:rsidRPr="006F4680">
              <w:rPr>
                <w:rFonts w:cs="Traditional Arabic"/>
                <w:sz w:val="18"/>
                <w:szCs w:val="28"/>
                <w:rtl/>
              </w:rPr>
              <w:t xml:space="preserve">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السلفادور</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17 حزيران/يونيه 1996</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سلوفاكيا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w:t>
            </w:r>
            <w:r w:rsidRPr="006F4680">
              <w:rPr>
                <w:rFonts w:cs="Traditional Arabic" w:hint="cs"/>
                <w:sz w:val="18"/>
                <w:szCs w:val="28"/>
                <w:rtl/>
              </w:rPr>
              <w:t>8</w:t>
            </w:r>
            <w:r w:rsidRPr="006F4680">
              <w:rPr>
                <w:rFonts w:cs="Traditional Arabic"/>
                <w:sz w:val="18"/>
                <w:szCs w:val="28"/>
                <w:rtl/>
              </w:rPr>
              <w:t xml:space="preserve"> أيار/مايو 1993</w:t>
            </w:r>
            <w:r w:rsidRPr="006F4680">
              <w:rPr>
                <w:rFonts w:cs="Traditional Arabic"/>
                <w:sz w:val="18"/>
                <w:szCs w:val="28"/>
                <w:vertAlign w:val="superscript"/>
                <w:rtl/>
              </w:rPr>
              <w:t>(ب)</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سلوفينيا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16 تموز/يوليه 1993</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eastAsia"/>
                <w:sz w:val="18"/>
                <w:szCs w:val="28"/>
                <w:rtl/>
              </w:rPr>
              <w:t>السنغال</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pacing w:val="-4"/>
                <w:sz w:val="18"/>
                <w:szCs w:val="28"/>
                <w:rtl/>
              </w:rPr>
            </w:pPr>
            <w:r w:rsidRPr="006F4680">
              <w:rPr>
                <w:rFonts w:cs="Traditional Arabic"/>
                <w:spacing w:val="-4"/>
                <w:sz w:val="18"/>
                <w:szCs w:val="28"/>
                <w:rtl/>
              </w:rPr>
              <w:t xml:space="preserve">4 شباط/فبراير 1985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tl/>
              </w:rPr>
            </w:pPr>
            <w:r w:rsidRPr="006F4680">
              <w:rPr>
                <w:rFonts w:cs="Traditional Arabic"/>
                <w:sz w:val="18"/>
                <w:szCs w:val="28"/>
                <w:rtl/>
              </w:rPr>
              <w:t xml:space="preserve">21 آب/أغسطس 1986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cs"/>
                <w:sz w:val="18"/>
                <w:szCs w:val="28"/>
                <w:rtl/>
              </w:rPr>
              <w:t>سوازيلند</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pacing w:val="-4"/>
                <w:sz w:val="18"/>
                <w:szCs w:val="28"/>
                <w:rtl/>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hint="cs"/>
                <w:sz w:val="18"/>
                <w:szCs w:val="28"/>
                <w:rtl/>
              </w:rPr>
              <w:t>26 آذار/مارس 2004</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السودان</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4 حزيران/يونيه 1986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السويد</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 xml:space="preserve">4 شباط/فبراير 1985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 xml:space="preserve">8 كانون الثاني/يناير 1986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سويسرا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4 ش</w:t>
            </w:r>
            <w:r w:rsidR="009B0D18">
              <w:rPr>
                <w:rFonts w:cs="Traditional Arabic"/>
                <w:spacing w:val="-4"/>
                <w:sz w:val="18"/>
                <w:szCs w:val="28"/>
                <w:rtl/>
              </w:rPr>
              <w:t>باط</w:t>
            </w:r>
            <w:r w:rsidRPr="006F4680">
              <w:rPr>
                <w:rFonts w:cs="Traditional Arabic"/>
                <w:spacing w:val="-4"/>
                <w:sz w:val="18"/>
                <w:szCs w:val="28"/>
                <w:rtl/>
              </w:rPr>
              <w:t xml:space="preserve">/فبراير 1985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 xml:space="preserve">2 كانون الأول/ديسمبر 1986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eastAsia"/>
                <w:sz w:val="18"/>
                <w:szCs w:val="28"/>
                <w:rtl/>
              </w:rPr>
              <w:t>سيراليون</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18 آذار/مارس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 xml:space="preserve">25 نيسان/أبريل 2001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سيشيل</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5 أيار/مايو 1992</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شيلي</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23 أيلول/سبتمبر 1987</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30 أيلول/سبتمبر 1988</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صربيا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12 آذار/مارس 2001</w:t>
            </w:r>
            <w:r w:rsidRPr="006F4680">
              <w:rPr>
                <w:rFonts w:cs="Traditional Arabic"/>
                <w:sz w:val="18"/>
                <w:szCs w:val="28"/>
                <w:vertAlign w:val="superscript"/>
                <w:rtl/>
              </w:rPr>
              <w:t>(ب)</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الصومال</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24 كانون الثاني/يناير 1990</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eastAsia"/>
                <w:sz w:val="18"/>
                <w:szCs w:val="28"/>
                <w:rtl/>
              </w:rPr>
              <w:t>الصين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12 كانون الأول/ديسمبر 1986</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4 تشرين الأول/أكتوبر 1988</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طاجيكستان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11 كانون الثاني/يناير 1995</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cs"/>
                <w:sz w:val="18"/>
                <w:szCs w:val="28"/>
                <w:rtl/>
              </w:rPr>
              <w:t>العراق</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tl/>
              </w:rPr>
            </w:pPr>
            <w:r w:rsidRPr="006F4680">
              <w:rPr>
                <w:rFonts w:cs="Traditional Arabic" w:hint="cs"/>
                <w:sz w:val="18"/>
                <w:szCs w:val="28"/>
                <w:rtl/>
              </w:rPr>
              <w:t>7 تموز/يوليه 2011</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غابون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21 كانون الثاني/يناير 1986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8 أيلول/سبتمبر 2000</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غامبيا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23 تشرين الأول/أكتوبر 1985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غانا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7 أيلول/سبتمبر 2000</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vertAlign w:val="superscript"/>
                <w:rtl/>
              </w:rPr>
            </w:pPr>
            <w:r w:rsidRPr="006F4680">
              <w:rPr>
                <w:rFonts w:cs="Traditional Arabic"/>
                <w:sz w:val="18"/>
                <w:szCs w:val="28"/>
                <w:rtl/>
              </w:rPr>
              <w:t>7 أيلول/سبتمبر 2000</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غواتيمالا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5 كانون الثاني/يناير 1990</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غيانا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25 كانون الثاني/يناير 1988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 xml:space="preserve">19 أيار/مايو 1988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غينيا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30 أيار/مايو 1986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 xml:space="preserve">10 تشرين الأول/أكتوبر 1989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غينيا</w:t>
            </w:r>
            <w:r w:rsidRPr="006F4680">
              <w:rPr>
                <w:rFonts w:cs="Traditional Arabic"/>
                <w:sz w:val="18"/>
                <w:szCs w:val="28"/>
                <w:rtl/>
              </w:rPr>
              <w:t xml:space="preserve"> الاستوائية</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8 تشرين الأول/أكتوبر 2002</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غينيا</w:t>
            </w:r>
            <w:r w:rsidRPr="006F4680">
              <w:rPr>
                <w:rFonts w:cs="Traditional Arabic"/>
                <w:sz w:val="18"/>
                <w:szCs w:val="28"/>
                <w:rtl/>
              </w:rPr>
              <w:t xml:space="preserve"> - بيساو</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12 أيلول/سبتمبر 2000</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cs"/>
                <w:sz w:val="18"/>
                <w:szCs w:val="28"/>
                <w:rtl/>
              </w:rPr>
              <w:t>فانواتو</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tl/>
              </w:rPr>
            </w:pPr>
            <w:r w:rsidRPr="006F4680">
              <w:rPr>
                <w:rFonts w:cs="Traditional Arabic" w:hint="cs"/>
                <w:sz w:val="18"/>
                <w:szCs w:val="28"/>
                <w:rtl/>
              </w:rPr>
              <w:t>12 تموز/يوليه 2011</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eastAsia"/>
                <w:sz w:val="18"/>
                <w:szCs w:val="28"/>
                <w:rtl/>
              </w:rPr>
              <w:t>فرنسا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4 شباط/فبراير 1985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 xml:space="preserve">18 شباط/فبراير 1986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الفلبين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18 حزيران/يونيه 1986</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فنزويلا</w:t>
            </w:r>
            <w:r w:rsidRPr="006F4680">
              <w:rPr>
                <w:rFonts w:cs="Traditional Arabic"/>
                <w:sz w:val="18"/>
                <w:szCs w:val="28"/>
                <w:rtl/>
              </w:rPr>
              <w:t xml:space="preserve"> (جمهورية - </w:t>
            </w:r>
            <w:r w:rsidRPr="006F4680">
              <w:rPr>
                <w:rFonts w:cs="Traditional Arabic" w:hint="eastAsia"/>
                <w:sz w:val="18"/>
                <w:szCs w:val="28"/>
                <w:rtl/>
              </w:rPr>
              <w:t>البوليفارية</w:t>
            </w:r>
            <w:r w:rsidRPr="006F4680">
              <w:rPr>
                <w:rFonts w:cs="Traditional Arabic"/>
                <w:sz w:val="18"/>
                <w:szCs w:val="28"/>
                <w:rtl/>
              </w:rPr>
              <w:t>)</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15 شباط/فبراير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 xml:space="preserve">29 تموز/يوليه 1991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فنلندا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4 شباط/فبراير 1985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30 آب/أغسطس 1989</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قبرص</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 xml:space="preserve">9 تشرين الأول/أكتوبر 1985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18 تموز/يوليه 1991</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eastAsia"/>
                <w:sz w:val="18"/>
                <w:szCs w:val="28"/>
                <w:rtl/>
              </w:rPr>
              <w:t>قطر</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11 كانون الثاني/يناير 2000</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قيرغيزستان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5 أيلول/سبتمبر 1997</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كازاخستان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Pr>
            </w:pPr>
            <w:r w:rsidRPr="006F4680">
              <w:rPr>
                <w:rFonts w:cs="Traditional Arabic"/>
                <w:sz w:val="18"/>
                <w:szCs w:val="28"/>
                <w:rtl/>
              </w:rPr>
              <w:t>26 آب/أغسطس 1998</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الكاميرون</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19</w:t>
            </w:r>
            <w:r w:rsidR="006F4680">
              <w:rPr>
                <w:rFonts w:cs="Traditional Arabic" w:hint="cs"/>
                <w:sz w:val="18"/>
                <w:szCs w:val="28"/>
                <w:rtl/>
              </w:rPr>
              <w:t xml:space="preserve"> </w:t>
            </w:r>
            <w:r w:rsidRPr="006F4680">
              <w:rPr>
                <w:rFonts w:cs="Traditional Arabic"/>
                <w:sz w:val="18"/>
                <w:szCs w:val="28"/>
                <w:rtl/>
              </w:rPr>
              <w:t>كانون الأول/ديسمبر 1986</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الكرسي</w:t>
            </w:r>
            <w:r w:rsidRPr="006F4680">
              <w:rPr>
                <w:rFonts w:cs="Traditional Arabic"/>
                <w:sz w:val="18"/>
                <w:szCs w:val="28"/>
                <w:rtl/>
              </w:rPr>
              <w:t xml:space="preserve"> الرسولي</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26 حزيران/يونيه 2002</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كرواتيا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12 تشرين الأول/أكتوبر 1992</w:t>
            </w:r>
            <w:r w:rsidRPr="006F4680">
              <w:rPr>
                <w:rFonts w:cs="Traditional Arabic"/>
                <w:sz w:val="18"/>
                <w:szCs w:val="28"/>
                <w:vertAlign w:val="superscript"/>
                <w:rtl/>
              </w:rPr>
              <w:t>(ب)</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cs"/>
                <w:sz w:val="18"/>
                <w:szCs w:val="28"/>
                <w:rtl/>
              </w:rPr>
              <w:t>ك</w:t>
            </w:r>
            <w:r w:rsidRPr="006F4680">
              <w:rPr>
                <w:rFonts w:cs="Traditional Arabic" w:hint="eastAsia"/>
                <w:sz w:val="18"/>
                <w:szCs w:val="28"/>
                <w:rtl/>
              </w:rPr>
              <w:t>مبوديا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15 تشرين الأول/أكتوبر 1992</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كندا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23 آب/أغسطس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 xml:space="preserve">24 حزيران/يونيه 1987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كوبا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27 كانون الثاني/يناير 1986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 xml:space="preserve">17 أيار/مايو 1995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كوت</w:t>
            </w:r>
            <w:r w:rsidRPr="006F4680">
              <w:rPr>
                <w:rFonts w:cs="Traditional Arabic"/>
                <w:sz w:val="18"/>
                <w:szCs w:val="28"/>
                <w:rtl/>
              </w:rPr>
              <w:t xml:space="preserve"> ديفوار</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18 كانون الأول/ديسمبر 1995</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eastAsia"/>
                <w:sz w:val="18"/>
                <w:szCs w:val="28"/>
                <w:rtl/>
              </w:rPr>
              <w:t>كوستاريكا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4 شباط/فبراير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 xml:space="preserve">11 تشرين الثاني/نوفمبر 1993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Pr>
            </w:pPr>
            <w:r w:rsidRPr="006F4680">
              <w:rPr>
                <w:rFonts w:cs="Traditional Arabic" w:hint="eastAsia"/>
                <w:sz w:val="18"/>
                <w:szCs w:val="28"/>
                <w:rtl/>
              </w:rPr>
              <w:t>كولومبيا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10 نيسان/أبريل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8 كانون الأول/ديسمبر 1987</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cs"/>
                <w:sz w:val="18"/>
                <w:szCs w:val="28"/>
                <w:rtl/>
              </w:rPr>
              <w:t>الكونغو</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tl/>
              </w:rPr>
            </w:pPr>
            <w:r w:rsidRPr="006F4680">
              <w:rPr>
                <w:rFonts w:cs="Traditional Arabic" w:hint="cs"/>
                <w:sz w:val="18"/>
                <w:szCs w:val="28"/>
                <w:rtl/>
              </w:rPr>
              <w:t>30 تموز/يوليه 2003</w:t>
            </w:r>
            <w:r w:rsidRPr="006F4680">
              <w:rPr>
                <w:rFonts w:cs="Traditional Arabic" w:hint="cs"/>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الكويت</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8 آذار/مارس 1996</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كينيا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21 شباط/فبراير 1997</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eastAsia"/>
                <w:sz w:val="18"/>
                <w:szCs w:val="28"/>
                <w:rtl/>
              </w:rPr>
              <w:t>لاتفيا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14 نيسان/أبريل 1992</w:t>
            </w:r>
            <w:r w:rsidRPr="006F4680">
              <w:rPr>
                <w:rFonts w:cs="Traditional Arabic"/>
                <w:sz w:val="18"/>
                <w:szCs w:val="28"/>
                <w:vertAlign w:val="superscript"/>
                <w:rtl/>
              </w:rPr>
              <w:t>(أ)</w:t>
            </w:r>
            <w:r w:rsidRPr="006F4680">
              <w:rPr>
                <w:rFonts w:cs="Traditional Arabic"/>
                <w:sz w:val="18"/>
                <w:szCs w:val="28"/>
                <w:rtl/>
              </w:rPr>
              <w:t xml:space="preserve">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لبنان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5 تشرين الأول/أكتوبر 2000</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لكسمبرغ</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22 شباط/فبراير 1985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29 أيلول/سبتمبر 1987</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cs"/>
                <w:sz w:val="18"/>
                <w:szCs w:val="28"/>
                <w:rtl/>
              </w:rPr>
              <w:t>ليبيا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16 أيار/مايو 1989</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ليبيريا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22 أيلول/سبتمبر 2004</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ليتوانيا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 شباط/فبراير 1996</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eastAsia"/>
                <w:sz w:val="18"/>
                <w:szCs w:val="28"/>
                <w:rtl/>
              </w:rPr>
              <w:t>ليختنشتاين</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27 حزيران/يونيه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 xml:space="preserve">2 تشرين الثاني/نوفمبر 1990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ليسوتو</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12 تشرين الثاني/نوفمبر 2001</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مالطة</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13 أيلول/سبتمبر 1990</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مالي</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vertAlign w:val="superscript"/>
                <w:rtl/>
              </w:rPr>
            </w:pPr>
            <w:r w:rsidRPr="006F4680">
              <w:rPr>
                <w:rFonts w:cs="Traditional Arabic"/>
                <w:sz w:val="18"/>
                <w:szCs w:val="28"/>
                <w:rtl/>
              </w:rPr>
              <w:t>26 شباط/فبراير 1999</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مدغشقر</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1 تشرين الأول/أكتوبر 2001</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vertAlign w:val="superscript"/>
              </w:rPr>
            </w:pPr>
            <w:r w:rsidRPr="006F4680">
              <w:rPr>
                <w:rFonts w:cs="Traditional Arabic" w:hint="cs"/>
                <w:sz w:val="18"/>
                <w:szCs w:val="28"/>
                <w:rtl/>
              </w:rPr>
              <w:t>13 كانون الأول/ديسمبر 2005</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eastAsia"/>
                <w:sz w:val="18"/>
                <w:szCs w:val="28"/>
                <w:rtl/>
              </w:rPr>
              <w:t>مصر</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25 حزيران/يونيه 1986</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المغرب</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8 كانون الثاني/يناير 1986</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 xml:space="preserve">21 حزيران/يونيه 1993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المكسيك</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pacing w:val="-4"/>
                <w:sz w:val="18"/>
                <w:szCs w:val="28"/>
              </w:rPr>
            </w:pPr>
            <w:r w:rsidRPr="006F4680">
              <w:rPr>
                <w:rFonts w:cs="Traditional Arabic" w:hint="cs"/>
                <w:spacing w:val="-4"/>
                <w:sz w:val="18"/>
                <w:szCs w:val="28"/>
                <w:rtl/>
              </w:rPr>
              <w:t>18 آذار/مارس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 xml:space="preserve">23 كانون الثاني/يناير 1986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ملاوي</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11 حزيران/يونيه 1996</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cs"/>
                <w:sz w:val="18"/>
                <w:szCs w:val="28"/>
                <w:rtl/>
              </w:rPr>
            </w:pPr>
            <w:r w:rsidRPr="006F4680">
              <w:rPr>
                <w:rFonts w:cs="Traditional Arabic" w:hint="cs"/>
                <w:sz w:val="18"/>
                <w:szCs w:val="28"/>
                <w:rtl/>
              </w:rPr>
              <w:t>ملديف</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tl/>
              </w:rPr>
            </w:pPr>
            <w:r w:rsidRPr="006F4680">
              <w:rPr>
                <w:rFonts w:cs="Traditional Arabic" w:hint="cs"/>
                <w:sz w:val="18"/>
                <w:szCs w:val="28"/>
                <w:rtl/>
              </w:rPr>
              <w:t>20 نيسان/أبريل</w:t>
            </w:r>
            <w:r w:rsidRPr="006F4680">
              <w:rPr>
                <w:rFonts w:cs="Traditional Arabic"/>
                <w:sz w:val="18"/>
                <w:szCs w:val="28"/>
                <w:rtl/>
              </w:rPr>
              <w:t xml:space="preserve"> 2004</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eastAsia"/>
                <w:sz w:val="18"/>
                <w:szCs w:val="28"/>
                <w:rtl/>
              </w:rPr>
              <w:t>المملكة</w:t>
            </w:r>
            <w:r w:rsidRPr="006F4680">
              <w:rPr>
                <w:rFonts w:cs="Traditional Arabic"/>
                <w:sz w:val="18"/>
                <w:szCs w:val="28"/>
                <w:rtl/>
              </w:rPr>
              <w:t xml:space="preserve"> العربية السعودية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23 أيلول/سبتمبر 1997</w:t>
            </w:r>
            <w:r w:rsidRPr="006F4680">
              <w:rPr>
                <w:rFonts w:cs="Traditional Arabic"/>
                <w:sz w:val="18"/>
                <w:szCs w:val="28"/>
                <w:vertAlign w:val="superscript"/>
                <w:rtl/>
              </w:rPr>
              <w:t>(أ)</w:t>
            </w:r>
            <w:r w:rsidRPr="006F4680">
              <w:rPr>
                <w:rFonts w:cs="Traditional Arabic"/>
                <w:sz w:val="18"/>
                <w:szCs w:val="28"/>
                <w:rtl/>
              </w:rPr>
              <w:t xml:space="preserve">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المملكة</w:t>
            </w:r>
            <w:r w:rsidRPr="006F4680">
              <w:rPr>
                <w:rFonts w:cs="Traditional Arabic"/>
                <w:sz w:val="18"/>
                <w:szCs w:val="28"/>
                <w:rtl/>
              </w:rPr>
              <w:t xml:space="preserve"> </w:t>
            </w:r>
            <w:r w:rsidRPr="006F4680">
              <w:rPr>
                <w:rFonts w:cs="Traditional Arabic" w:hint="eastAsia"/>
                <w:sz w:val="18"/>
                <w:szCs w:val="28"/>
                <w:rtl/>
              </w:rPr>
              <w:t>المتحدة</w:t>
            </w:r>
            <w:r w:rsidRPr="006F4680">
              <w:rPr>
                <w:rFonts w:cs="Traditional Arabic"/>
                <w:sz w:val="18"/>
                <w:szCs w:val="28"/>
                <w:rtl/>
              </w:rPr>
              <w:t xml:space="preserve"> لبريطانيا العظمى</w:t>
            </w:r>
            <w:r w:rsidRPr="006F4680">
              <w:rPr>
                <w:rFonts w:cs="Traditional Arabic" w:hint="cs"/>
                <w:sz w:val="18"/>
                <w:szCs w:val="28"/>
                <w:rtl/>
              </w:rPr>
              <w:t xml:space="preserve"> و</w:t>
            </w:r>
            <w:r w:rsidR="00AC358D">
              <w:rPr>
                <w:rFonts w:cs="Traditional Arabic" w:hint="cs"/>
                <w:sz w:val="18"/>
                <w:szCs w:val="28"/>
                <w:rtl/>
              </w:rPr>
              <w:t>أ</w:t>
            </w:r>
            <w:r w:rsidRPr="006F4680">
              <w:rPr>
                <w:rFonts w:cs="Traditional Arabic"/>
                <w:sz w:val="18"/>
                <w:szCs w:val="28"/>
                <w:rtl/>
              </w:rPr>
              <w:t>يرلندا</w:t>
            </w:r>
            <w:r w:rsidRPr="006F4680">
              <w:rPr>
                <w:rFonts w:cs="Traditional Arabic" w:hint="cs"/>
                <w:sz w:val="18"/>
                <w:szCs w:val="28"/>
                <w:rtl/>
              </w:rPr>
              <w:t xml:space="preserve"> </w:t>
            </w:r>
            <w:r w:rsidRPr="006F4680">
              <w:rPr>
                <w:rFonts w:cs="Traditional Arabic" w:hint="eastAsia"/>
                <w:sz w:val="18"/>
                <w:szCs w:val="28"/>
                <w:rtl/>
              </w:rPr>
              <w:t>الشمالية</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15 آذار/مارس 1985 </w:t>
            </w:r>
          </w:p>
        </w:tc>
        <w:tc>
          <w:tcPr>
            <w:tcW w:w="3093" w:type="dxa"/>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8 كانون الأول/ديسمبر 1988</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منغوليا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24 كانون الثاني/يناير 2002</w:t>
            </w:r>
            <w:r w:rsidRPr="006F4680">
              <w:rPr>
                <w:rFonts w:cs="Traditional Arabic"/>
                <w:sz w:val="18"/>
                <w:szCs w:val="28"/>
                <w:vertAlign w:val="superscript"/>
                <w:rtl/>
              </w:rPr>
              <w:t>(أ)</w:t>
            </w:r>
            <w:r w:rsidRPr="006F4680">
              <w:rPr>
                <w:rFonts w:cs="Traditional Arabic"/>
                <w:sz w:val="18"/>
                <w:szCs w:val="28"/>
                <w:rtl/>
              </w:rPr>
              <w:t xml:space="preserve">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موريتانيا</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17 تشرين الثاني/نوفمبر 2004</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موريشيوس</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9 كانون الأول/ديسمبر 1992</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eastAsia"/>
                <w:sz w:val="18"/>
                <w:szCs w:val="28"/>
                <w:rtl/>
              </w:rPr>
              <w:t>موزامبيق</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14 أيلول/سبتمبر 1999</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موناكو</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6 كانون الأول/ديسمبر 1991</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ناميبيا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28 تشرين الثاني/نوفمبر 1994</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ناورو</w:t>
            </w:r>
            <w:r w:rsidRPr="006F4680">
              <w:rPr>
                <w:rFonts w:cs="Traditional Arabic"/>
                <w:sz w:val="18"/>
                <w:szCs w:val="28"/>
                <w:rtl/>
              </w:rPr>
              <w:t xml:space="preserve"> </w:t>
            </w:r>
          </w:p>
        </w:tc>
        <w:tc>
          <w:tcPr>
            <w:tcW w:w="2701" w:type="dxa"/>
          </w:tcPr>
          <w:p w:rsidR="00F72BDC" w:rsidRPr="006F4680" w:rsidRDefault="009B0D18"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Pr>
                <w:rFonts w:cs="Traditional Arabic"/>
                <w:spacing w:val="-4"/>
                <w:sz w:val="18"/>
                <w:szCs w:val="28"/>
                <w:rtl/>
              </w:rPr>
              <w:t>12 تشرين الثاني</w:t>
            </w:r>
            <w:r w:rsidR="00F72BDC" w:rsidRPr="006F4680">
              <w:rPr>
                <w:rFonts w:cs="Traditional Arabic"/>
                <w:spacing w:val="-4"/>
                <w:sz w:val="18"/>
                <w:szCs w:val="28"/>
                <w:rtl/>
              </w:rPr>
              <w:t>/نوفمبر 2001</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hint="cs"/>
                <w:sz w:val="18"/>
                <w:szCs w:val="28"/>
                <w:rtl/>
              </w:rPr>
              <w:t>26 أيلول/سبتمبر 2012</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النرويج</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4 شباط/فبراير 1985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 xml:space="preserve">9 تموز/يوليه 1986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eastAsia"/>
                <w:sz w:val="18"/>
                <w:szCs w:val="28"/>
                <w:rtl/>
              </w:rPr>
              <w:t>النمسا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14 آذار/مارس 1985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 xml:space="preserve">29 تموز/يوليه 1987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نيبال</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14 أيار/مايو</w:t>
            </w:r>
            <w:r w:rsidR="006F4680">
              <w:rPr>
                <w:rFonts w:cs="Traditional Arabic" w:hint="cs"/>
                <w:sz w:val="18"/>
                <w:szCs w:val="28"/>
                <w:rtl/>
              </w:rPr>
              <w:t xml:space="preserve"> </w:t>
            </w:r>
            <w:r w:rsidRPr="006F4680">
              <w:rPr>
                <w:rFonts w:cs="Traditional Arabic"/>
                <w:sz w:val="18"/>
                <w:szCs w:val="28"/>
                <w:rtl/>
              </w:rPr>
              <w:t>1991</w:t>
            </w:r>
            <w:r w:rsidRPr="006F4680">
              <w:rPr>
                <w:rFonts w:cs="Traditional Arabic"/>
                <w:sz w:val="18"/>
                <w:szCs w:val="28"/>
                <w:vertAlign w:val="superscript"/>
                <w:rtl/>
              </w:rPr>
              <w:t>(أ)</w:t>
            </w:r>
            <w:r w:rsidRPr="006F4680">
              <w:rPr>
                <w:rFonts w:cs="Traditional Arabic"/>
                <w:sz w:val="18"/>
                <w:szCs w:val="28"/>
                <w:rtl/>
              </w:rPr>
              <w:t xml:space="preserve">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النيجر</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5 تشرين الأول/أكتوبر 1998</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نيجيريا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28 تموز/يوليه 1988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 xml:space="preserve">28 حزيران/يونيه 2001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نيكاراغوا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15 نيسان/أبريل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hint="cs"/>
                <w:sz w:val="18"/>
                <w:szCs w:val="28"/>
              </w:rPr>
            </w:pPr>
            <w:r w:rsidRPr="006F4680">
              <w:rPr>
                <w:rFonts w:cs="Traditional Arabic"/>
                <w:sz w:val="18"/>
                <w:szCs w:val="28"/>
                <w:rtl/>
              </w:rPr>
              <w:t xml:space="preserve">5 </w:t>
            </w:r>
            <w:r w:rsidRPr="006F4680">
              <w:rPr>
                <w:rFonts w:cs="Traditional Arabic" w:hint="cs"/>
                <w:sz w:val="18"/>
                <w:szCs w:val="28"/>
                <w:rtl/>
              </w:rPr>
              <w:t>تموز/يوليه 2005</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eastAsia"/>
                <w:sz w:val="18"/>
                <w:szCs w:val="28"/>
                <w:rtl/>
              </w:rPr>
              <w:t>نيوزيلندا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14 كانون الثاني/يناير 1986</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 xml:space="preserve">10 كانون الأول/ديسمبر 1989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الهند</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 xml:space="preserve">14 تشرين الأول/أكتوبر 1997 </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هندوراس</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5 كانون الأول/ديسمبر 1996</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هنغاريا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28 تشرين الثاني/نوفمبر 1986</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15 نيسان/أبريل 1987</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هولندا</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4 شباط/فبراير 1985</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Pr>
            </w:pPr>
            <w:r w:rsidRPr="006F4680">
              <w:rPr>
                <w:rFonts w:cs="Traditional Arabic"/>
                <w:sz w:val="18"/>
                <w:szCs w:val="28"/>
                <w:rtl/>
              </w:rPr>
              <w:t xml:space="preserve">21 كانون الأول/ديسمبر 1988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hint="eastAsia"/>
                <w:sz w:val="18"/>
                <w:szCs w:val="28"/>
                <w:rtl/>
              </w:rPr>
            </w:pPr>
            <w:r w:rsidRPr="006F4680">
              <w:rPr>
                <w:rFonts w:cs="Traditional Arabic" w:hint="eastAsia"/>
                <w:sz w:val="18"/>
                <w:szCs w:val="28"/>
                <w:rtl/>
              </w:rPr>
              <w:t>الولايات</w:t>
            </w:r>
            <w:r w:rsidRPr="006F4680">
              <w:rPr>
                <w:rFonts w:cs="Traditional Arabic"/>
                <w:sz w:val="18"/>
                <w:szCs w:val="28"/>
                <w:rtl/>
              </w:rPr>
              <w:t xml:space="preserve"> المتحدة الأمريكية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r w:rsidRPr="006F4680">
              <w:rPr>
                <w:rFonts w:cs="Traditional Arabic"/>
                <w:spacing w:val="-4"/>
                <w:sz w:val="18"/>
                <w:szCs w:val="28"/>
                <w:rtl/>
              </w:rPr>
              <w:t>18 نيسان/أبريل 1988</w:t>
            </w: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 xml:space="preserve">21 تشرين الأول/أكتوبر 1994 </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اليابان</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29 حزيران/يونيه 1999</w:t>
            </w:r>
            <w:r w:rsidRPr="006F4680">
              <w:rPr>
                <w:rFonts w:cs="Traditional Arabic"/>
                <w:sz w:val="18"/>
                <w:szCs w:val="28"/>
                <w:vertAlign w:val="superscript"/>
                <w:rtl/>
              </w:rPr>
              <w:t>(أ)</w:t>
            </w:r>
          </w:p>
        </w:tc>
      </w:tr>
      <w:tr w:rsidR="00F72BDC" w:rsidRPr="006F4680" w:rsidTr="006F4680">
        <w:trPr>
          <w:cantSplit/>
        </w:trPr>
        <w:tc>
          <w:tcPr>
            <w:tcW w:w="2606"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اليمن</w:t>
            </w:r>
            <w:r w:rsidRPr="006F4680">
              <w:rPr>
                <w:rFonts w:cs="Traditional Arabic"/>
                <w:sz w:val="18"/>
                <w:szCs w:val="28"/>
                <w:rtl/>
              </w:rPr>
              <w:t xml:space="preserve"> </w:t>
            </w:r>
          </w:p>
        </w:tc>
        <w:tc>
          <w:tcPr>
            <w:tcW w:w="2701" w:type="dxa"/>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Pr>
            </w:pPr>
          </w:p>
        </w:tc>
        <w:tc>
          <w:tcPr>
            <w:tcW w:w="3093" w:type="dxa"/>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vertAlign w:val="superscript"/>
                <w:rtl/>
              </w:rPr>
            </w:pPr>
            <w:r w:rsidRPr="006F4680">
              <w:rPr>
                <w:rFonts w:cs="Traditional Arabic"/>
                <w:sz w:val="18"/>
                <w:szCs w:val="28"/>
                <w:rtl/>
              </w:rPr>
              <w:t>5 تشرين الثاني/نوفمبر 1991</w:t>
            </w:r>
            <w:r w:rsidRPr="006F4680">
              <w:rPr>
                <w:rFonts w:cs="Traditional Arabic"/>
                <w:sz w:val="18"/>
                <w:szCs w:val="28"/>
                <w:vertAlign w:val="superscript"/>
                <w:rtl/>
              </w:rPr>
              <w:t>(أ)</w:t>
            </w:r>
          </w:p>
        </w:tc>
      </w:tr>
      <w:tr w:rsidR="00F72BDC" w:rsidRPr="006F4680" w:rsidTr="006F4680">
        <w:trPr>
          <w:cantSplit/>
        </w:trPr>
        <w:tc>
          <w:tcPr>
            <w:tcW w:w="2606" w:type="dxa"/>
            <w:tcBorders>
              <w:bottom w:val="single" w:sz="12" w:space="0" w:color="auto"/>
            </w:tcBorders>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z w:val="18"/>
                <w:szCs w:val="28"/>
                <w:rtl/>
              </w:rPr>
            </w:pPr>
            <w:r w:rsidRPr="006F4680">
              <w:rPr>
                <w:rFonts w:cs="Traditional Arabic" w:hint="eastAsia"/>
                <w:sz w:val="18"/>
                <w:szCs w:val="28"/>
                <w:rtl/>
              </w:rPr>
              <w:t>اليونان</w:t>
            </w:r>
            <w:r w:rsidRPr="006F4680">
              <w:rPr>
                <w:rFonts w:cs="Traditional Arabic"/>
                <w:sz w:val="18"/>
                <w:szCs w:val="28"/>
                <w:rtl/>
              </w:rPr>
              <w:t xml:space="preserve"> </w:t>
            </w:r>
          </w:p>
        </w:tc>
        <w:tc>
          <w:tcPr>
            <w:tcW w:w="2701" w:type="dxa"/>
            <w:tcBorders>
              <w:bottom w:val="single" w:sz="12" w:space="0" w:color="auto"/>
            </w:tcBorders>
          </w:tcPr>
          <w:p w:rsidR="00F72BDC" w:rsidRPr="006F4680" w:rsidRDefault="00F72BDC" w:rsidP="00745279">
            <w:pPr>
              <w:tabs>
                <w:tab w:val="left" w:pos="288"/>
                <w:tab w:val="left" w:pos="576"/>
                <w:tab w:val="left" w:pos="864"/>
                <w:tab w:val="left" w:pos="1152"/>
              </w:tabs>
              <w:bidi/>
              <w:spacing w:before="60" w:after="60" w:line="360" w:lineRule="exact"/>
              <w:ind w:left="57" w:right="227"/>
              <w:rPr>
                <w:rFonts w:cs="Traditional Arabic"/>
                <w:spacing w:val="-4"/>
                <w:sz w:val="18"/>
                <w:szCs w:val="28"/>
                <w:rtl/>
              </w:rPr>
            </w:pPr>
            <w:r w:rsidRPr="006F4680">
              <w:rPr>
                <w:rFonts w:cs="Traditional Arabic"/>
                <w:spacing w:val="-4"/>
                <w:sz w:val="18"/>
                <w:szCs w:val="28"/>
                <w:rtl/>
              </w:rPr>
              <w:t>4 شباط/فبراير 1985</w:t>
            </w:r>
          </w:p>
        </w:tc>
        <w:tc>
          <w:tcPr>
            <w:tcW w:w="3093" w:type="dxa"/>
            <w:tcBorders>
              <w:bottom w:val="single" w:sz="12" w:space="0" w:color="auto"/>
            </w:tcBorders>
            <w:vAlign w:val="bottom"/>
          </w:tcPr>
          <w:p w:rsidR="00F72BDC" w:rsidRPr="006F4680" w:rsidRDefault="00F72BDC" w:rsidP="00745279">
            <w:pPr>
              <w:tabs>
                <w:tab w:val="left" w:pos="288"/>
                <w:tab w:val="left" w:pos="576"/>
                <w:tab w:val="left" w:pos="864"/>
                <w:tab w:val="left" w:pos="1152"/>
              </w:tabs>
              <w:bidi/>
              <w:spacing w:before="60" w:after="60" w:line="360" w:lineRule="exact"/>
              <w:ind w:left="57" w:right="57"/>
              <w:rPr>
                <w:rFonts w:cs="Traditional Arabic"/>
                <w:sz w:val="18"/>
                <w:szCs w:val="28"/>
                <w:rtl/>
              </w:rPr>
            </w:pPr>
            <w:r w:rsidRPr="006F4680">
              <w:rPr>
                <w:rFonts w:cs="Traditional Arabic"/>
                <w:sz w:val="18"/>
                <w:szCs w:val="28"/>
                <w:rtl/>
              </w:rPr>
              <w:t>6 تشرين الأول/أكتوبر 1988</w:t>
            </w:r>
          </w:p>
        </w:tc>
      </w:tr>
    </w:tbl>
    <w:p w:rsidR="00F72BDC" w:rsidRPr="00417321" w:rsidRDefault="00F72BDC" w:rsidP="006F4680">
      <w:pPr>
        <w:pStyle w:val="SingleTxtGA"/>
        <w:spacing w:before="120" w:line="300" w:lineRule="exact"/>
        <w:rPr>
          <w:i/>
          <w:iCs/>
          <w:sz w:val="30"/>
          <w:rtl/>
          <w:lang w:val="fr-CH"/>
        </w:rPr>
      </w:pPr>
      <w:r w:rsidRPr="00417321">
        <w:rPr>
          <w:i/>
          <w:iCs/>
          <w:sz w:val="30"/>
          <w:rtl/>
          <w:lang w:val="fr-CH"/>
        </w:rPr>
        <w:t>الحواشي</w:t>
      </w:r>
    </w:p>
    <w:p w:rsidR="006F4680" w:rsidRDefault="00F72BDC" w:rsidP="006F4680">
      <w:pPr>
        <w:pStyle w:val="SingleTxtGA"/>
        <w:tabs>
          <w:tab w:val="clear" w:pos="1928"/>
          <w:tab w:val="clear" w:pos="2608"/>
          <w:tab w:val="left" w:pos="1730"/>
          <w:tab w:val="left" w:pos="2429"/>
        </w:tabs>
        <w:spacing w:after="60" w:line="280" w:lineRule="exact"/>
        <w:rPr>
          <w:rFonts w:hint="cs"/>
          <w:sz w:val="18"/>
          <w:szCs w:val="26"/>
          <w:rtl/>
          <w:lang w:val="fr-CH"/>
        </w:rPr>
      </w:pPr>
      <w:r w:rsidRPr="000A5578">
        <w:rPr>
          <w:rFonts w:hint="cs"/>
          <w:sz w:val="18"/>
          <w:szCs w:val="26"/>
          <w:rtl/>
          <w:lang w:val="fr-CH"/>
        </w:rPr>
        <w:tab/>
      </w:r>
      <w:r w:rsidRPr="000A5578">
        <w:rPr>
          <w:sz w:val="18"/>
          <w:szCs w:val="26"/>
          <w:rtl/>
          <w:lang w:val="fr-CH"/>
        </w:rPr>
        <w:t>(أ)</w:t>
      </w:r>
      <w:r w:rsidRPr="000A5578">
        <w:rPr>
          <w:sz w:val="18"/>
          <w:szCs w:val="26"/>
          <w:rtl/>
          <w:lang w:val="fr-CH"/>
        </w:rPr>
        <w:tab/>
        <w:t>انضمام (</w:t>
      </w:r>
      <w:r>
        <w:rPr>
          <w:rFonts w:hint="cs"/>
          <w:sz w:val="18"/>
          <w:szCs w:val="26"/>
          <w:rtl/>
          <w:lang w:val="fr-CH"/>
        </w:rPr>
        <w:t>76</w:t>
      </w:r>
      <w:r w:rsidRPr="000A5578">
        <w:rPr>
          <w:sz w:val="18"/>
          <w:szCs w:val="26"/>
          <w:rtl/>
          <w:lang w:val="fr-CH"/>
        </w:rPr>
        <w:t xml:space="preserve"> دولة).</w:t>
      </w:r>
    </w:p>
    <w:p w:rsidR="00F72BDC" w:rsidRPr="006F4680" w:rsidRDefault="00F72BDC" w:rsidP="006F4680">
      <w:pPr>
        <w:pStyle w:val="SingleTxtGA"/>
        <w:tabs>
          <w:tab w:val="clear" w:pos="1928"/>
          <w:tab w:val="clear" w:pos="2608"/>
          <w:tab w:val="left" w:pos="1730"/>
          <w:tab w:val="left" w:pos="2429"/>
        </w:tabs>
        <w:spacing w:after="60" w:line="280" w:lineRule="exact"/>
        <w:rPr>
          <w:rFonts w:hint="cs"/>
          <w:sz w:val="18"/>
          <w:szCs w:val="26"/>
          <w:rtl/>
          <w:lang w:val="fr-CH"/>
        </w:rPr>
      </w:pPr>
      <w:r w:rsidRPr="000A5578">
        <w:rPr>
          <w:rFonts w:hint="cs"/>
          <w:sz w:val="18"/>
          <w:szCs w:val="26"/>
          <w:rtl/>
          <w:lang w:val="fr-CH"/>
        </w:rPr>
        <w:tab/>
      </w:r>
      <w:r w:rsidRPr="000A5578">
        <w:rPr>
          <w:sz w:val="18"/>
          <w:szCs w:val="26"/>
          <w:rtl/>
          <w:lang w:val="fr-CH"/>
        </w:rPr>
        <w:t>(ب)</w:t>
      </w:r>
      <w:r w:rsidRPr="000A5578">
        <w:rPr>
          <w:sz w:val="18"/>
          <w:szCs w:val="26"/>
          <w:rtl/>
          <w:lang w:val="fr-CH"/>
        </w:rPr>
        <w:tab/>
        <w:t>خلافة (7 دول).</w:t>
      </w:r>
    </w:p>
    <w:p w:rsidR="00F72BDC" w:rsidRPr="0094231B" w:rsidRDefault="00F72BDC" w:rsidP="006F4680">
      <w:pPr>
        <w:pStyle w:val="HChGA"/>
        <w:spacing w:before="120"/>
        <w:rPr>
          <w:rtl/>
          <w:lang w:val="fr-CH"/>
        </w:rPr>
      </w:pPr>
      <w:r>
        <w:rPr>
          <w:spacing w:val="6"/>
          <w:kern w:val="16"/>
          <w:sz w:val="22"/>
          <w:rtl/>
        </w:rPr>
        <w:br w:type="page"/>
      </w:r>
      <w:r w:rsidRPr="0094231B">
        <w:rPr>
          <w:rtl/>
          <w:lang w:val="fr-CH"/>
        </w:rPr>
        <w:t>المرفق الثاني</w:t>
      </w:r>
    </w:p>
    <w:p w:rsidR="00F72BDC" w:rsidRPr="00F86A90" w:rsidRDefault="00F72BDC" w:rsidP="006F4680">
      <w:pPr>
        <w:pStyle w:val="HChGA"/>
        <w:rPr>
          <w:rtl/>
          <w:lang w:val="fr-CH"/>
        </w:rPr>
      </w:pPr>
      <w:r w:rsidRPr="002840A6">
        <w:rPr>
          <w:rtl/>
          <w:lang w:val="fr-CH"/>
        </w:rPr>
        <w:tab/>
      </w:r>
      <w:r w:rsidRPr="002840A6">
        <w:rPr>
          <w:rtl/>
          <w:lang w:val="fr-CH"/>
        </w:rPr>
        <w:tab/>
      </w:r>
      <w:r w:rsidRPr="00F86A90">
        <w:rPr>
          <w:rtl/>
          <w:lang w:val="fr-CH"/>
        </w:rPr>
        <w:t>الدول الأطراف التي أعلنت أنها لا</w:t>
      </w:r>
      <w:r w:rsidRPr="00F86A90">
        <w:rPr>
          <w:rFonts w:hint="cs"/>
          <w:rtl/>
          <w:lang w:val="fr-CH"/>
        </w:rPr>
        <w:t> </w:t>
      </w:r>
      <w:r w:rsidRPr="00F86A90">
        <w:rPr>
          <w:rtl/>
          <w:lang w:val="fr-CH"/>
        </w:rPr>
        <w:t>تعترف باختصاص اللجنة الذي تنص عليه المادة 20 من الاتفاقية، حتى</w:t>
      </w:r>
      <w:r w:rsidRPr="00F86A90">
        <w:rPr>
          <w:rFonts w:hint="cs"/>
          <w:rtl/>
          <w:lang w:val="fr-CH"/>
        </w:rPr>
        <w:t> </w:t>
      </w:r>
      <w:r>
        <w:rPr>
          <w:rFonts w:hint="cs"/>
          <w:rtl/>
          <w:lang w:val="fr-CH"/>
        </w:rPr>
        <w:t>31</w:t>
      </w:r>
      <w:r w:rsidRPr="00F86A90">
        <w:rPr>
          <w:rtl/>
          <w:lang w:val="fr-CH"/>
        </w:rPr>
        <w:t xml:space="preserve"> </w:t>
      </w:r>
      <w:r>
        <w:rPr>
          <w:rFonts w:hint="cs"/>
          <w:rtl/>
          <w:lang w:val="fr-CH"/>
        </w:rPr>
        <w:t>أيار/مايو 2013</w:t>
      </w:r>
    </w:p>
    <w:p w:rsidR="00F72BDC" w:rsidRPr="002840A6" w:rsidRDefault="00F72BDC" w:rsidP="00F72BDC">
      <w:pPr>
        <w:pStyle w:val="SingleTxtGA"/>
        <w:rPr>
          <w:rtl/>
          <w:lang w:val="fr-CH"/>
        </w:rPr>
      </w:pPr>
      <w:r w:rsidRPr="002840A6">
        <w:rPr>
          <w:rtl/>
          <w:lang w:val="fr-CH"/>
        </w:rPr>
        <w:t>إسرائيل</w:t>
      </w:r>
    </w:p>
    <w:p w:rsidR="00F72BDC" w:rsidRDefault="00F72BDC" w:rsidP="00F72BDC">
      <w:pPr>
        <w:pStyle w:val="SingleTxtGA"/>
        <w:rPr>
          <w:rFonts w:hint="cs"/>
          <w:rtl/>
          <w:lang w:val="fr-CH"/>
        </w:rPr>
      </w:pPr>
      <w:r w:rsidRPr="002840A6">
        <w:rPr>
          <w:rtl/>
          <w:lang w:val="fr-CH"/>
        </w:rPr>
        <w:t>أفغانستان</w:t>
      </w:r>
    </w:p>
    <w:p w:rsidR="00F72BDC" w:rsidRPr="002840A6" w:rsidRDefault="00F72BDC" w:rsidP="00F72BDC">
      <w:pPr>
        <w:pStyle w:val="SingleTxtGA"/>
        <w:rPr>
          <w:rFonts w:hint="cs"/>
          <w:rtl/>
          <w:lang w:val="fr-CH"/>
        </w:rPr>
      </w:pPr>
      <w:r>
        <w:rPr>
          <w:rFonts w:hint="cs"/>
          <w:rtl/>
          <w:lang w:val="fr-CH"/>
        </w:rPr>
        <w:t>الإمارات العربية المتحدة</w:t>
      </w:r>
    </w:p>
    <w:p w:rsidR="00F72BDC" w:rsidRPr="002840A6" w:rsidRDefault="00F72BDC" w:rsidP="00F72BDC">
      <w:pPr>
        <w:pStyle w:val="SingleTxtGA"/>
        <w:rPr>
          <w:rtl/>
          <w:lang w:val="fr-CH"/>
        </w:rPr>
      </w:pPr>
      <w:r w:rsidRPr="002840A6">
        <w:rPr>
          <w:rtl/>
          <w:lang w:val="fr-CH"/>
        </w:rPr>
        <w:t>باكستان</w:t>
      </w:r>
    </w:p>
    <w:p w:rsidR="00F72BDC" w:rsidRDefault="00F72BDC" w:rsidP="00F72BDC">
      <w:pPr>
        <w:pStyle w:val="SingleTxtGA"/>
        <w:rPr>
          <w:rFonts w:hint="cs"/>
          <w:rtl/>
          <w:lang w:val="fr-CH"/>
        </w:rPr>
      </w:pPr>
      <w:r w:rsidRPr="002840A6">
        <w:rPr>
          <w:rtl/>
          <w:lang w:val="fr-CH"/>
        </w:rPr>
        <w:t>الجمهورية العربية السورية</w:t>
      </w:r>
    </w:p>
    <w:p w:rsidR="00F72BDC" w:rsidRPr="002840A6" w:rsidRDefault="00F72BDC" w:rsidP="00F72BDC">
      <w:pPr>
        <w:pStyle w:val="SingleTxtGA"/>
        <w:rPr>
          <w:rFonts w:hint="cs"/>
          <w:rtl/>
          <w:lang w:val="fr-CH"/>
        </w:rPr>
      </w:pPr>
      <w:r>
        <w:rPr>
          <w:rFonts w:hint="cs"/>
          <w:rtl/>
          <w:lang w:val="fr-CH"/>
        </w:rPr>
        <w:t>جمهورية لاو الديمقراطية الشعبية</w:t>
      </w:r>
    </w:p>
    <w:p w:rsidR="00F72BDC" w:rsidRPr="002840A6" w:rsidRDefault="00F72BDC" w:rsidP="00F72BDC">
      <w:pPr>
        <w:pStyle w:val="SingleTxtGA"/>
        <w:rPr>
          <w:rtl/>
          <w:lang w:val="fr-CH"/>
        </w:rPr>
      </w:pPr>
      <w:r w:rsidRPr="002840A6">
        <w:rPr>
          <w:rtl/>
          <w:lang w:val="fr-CH"/>
        </w:rPr>
        <w:t>الصين</w:t>
      </w:r>
    </w:p>
    <w:p w:rsidR="00F72BDC" w:rsidRPr="002840A6" w:rsidRDefault="00F72BDC" w:rsidP="00F72BDC">
      <w:pPr>
        <w:pStyle w:val="SingleTxtGA"/>
        <w:rPr>
          <w:rtl/>
          <w:lang w:val="fr-CH"/>
        </w:rPr>
      </w:pPr>
      <w:r w:rsidRPr="002840A6">
        <w:rPr>
          <w:rtl/>
          <w:lang w:val="fr-CH"/>
        </w:rPr>
        <w:t>غينيا الاستوائية</w:t>
      </w:r>
    </w:p>
    <w:p w:rsidR="00F72BDC" w:rsidRPr="002840A6" w:rsidRDefault="00F72BDC" w:rsidP="00F72BDC">
      <w:pPr>
        <w:pStyle w:val="SingleTxtGA"/>
        <w:rPr>
          <w:rtl/>
          <w:lang w:val="fr-CH"/>
        </w:rPr>
      </w:pPr>
      <w:r w:rsidRPr="002840A6">
        <w:rPr>
          <w:rtl/>
          <w:lang w:val="fr-CH"/>
        </w:rPr>
        <w:t>الكويت</w:t>
      </w:r>
    </w:p>
    <w:p w:rsidR="00F72BDC" w:rsidRPr="002840A6" w:rsidRDefault="00F72BDC" w:rsidP="00F72BDC">
      <w:pPr>
        <w:pStyle w:val="SingleTxtGA"/>
        <w:rPr>
          <w:rtl/>
          <w:lang w:val="fr-CH"/>
        </w:rPr>
      </w:pPr>
      <w:r w:rsidRPr="002840A6">
        <w:rPr>
          <w:rtl/>
          <w:lang w:val="fr-CH"/>
        </w:rPr>
        <w:t>المملكة العربية السعودية</w:t>
      </w:r>
    </w:p>
    <w:p w:rsidR="006F4680" w:rsidRDefault="00F72BDC" w:rsidP="00F72BDC">
      <w:pPr>
        <w:pStyle w:val="SingleTxtGA"/>
        <w:rPr>
          <w:rtl/>
          <w:lang w:val="fr-CH"/>
        </w:rPr>
      </w:pPr>
      <w:r w:rsidRPr="002840A6">
        <w:rPr>
          <w:rtl/>
          <w:lang w:val="fr-CH"/>
        </w:rPr>
        <w:t>موريتانيا</w:t>
      </w:r>
    </w:p>
    <w:p w:rsidR="00F72BDC" w:rsidRPr="002840A6" w:rsidRDefault="006F4680" w:rsidP="006F4680">
      <w:pPr>
        <w:pStyle w:val="HChGA"/>
        <w:spacing w:before="120"/>
        <w:rPr>
          <w:rtl/>
          <w:lang w:val="fr-CH"/>
        </w:rPr>
      </w:pPr>
      <w:r>
        <w:rPr>
          <w:rtl/>
          <w:lang w:val="fr-CH"/>
        </w:rPr>
        <w:br w:type="page"/>
      </w:r>
      <w:r w:rsidR="00F72BDC" w:rsidRPr="002840A6">
        <w:rPr>
          <w:rtl/>
          <w:lang w:val="fr-CH"/>
        </w:rPr>
        <w:t>المرفق الثالث</w:t>
      </w:r>
    </w:p>
    <w:p w:rsidR="00F72BDC" w:rsidRPr="006F4680" w:rsidRDefault="00F72BDC" w:rsidP="006F4680">
      <w:pPr>
        <w:pStyle w:val="HChGA"/>
        <w:rPr>
          <w:rFonts w:hint="cs"/>
          <w:spacing w:val="6"/>
          <w:kern w:val="16"/>
          <w:sz w:val="24"/>
          <w:szCs w:val="40"/>
          <w:rtl/>
        </w:rPr>
      </w:pPr>
      <w:r w:rsidRPr="006F4680">
        <w:rPr>
          <w:rFonts w:ascii="Times New Roman Bold" w:hAnsi="Times New Roman Bold"/>
          <w:spacing w:val="-4"/>
          <w:rtl/>
          <w:lang w:val="fr-CH"/>
        </w:rPr>
        <w:tab/>
      </w:r>
      <w:r w:rsidRPr="006F4680">
        <w:rPr>
          <w:rFonts w:ascii="Times New Roman Bold" w:hAnsi="Times New Roman Bold"/>
          <w:spacing w:val="-4"/>
          <w:rtl/>
          <w:lang w:val="fr-CH"/>
        </w:rPr>
        <w:tab/>
        <w:t>الدول الأطراف التي أصدرت الإعلانين المنصوص عليهما في المادتين</w:t>
      </w:r>
      <w:r w:rsidRPr="006F4680">
        <w:rPr>
          <w:rFonts w:ascii="Times New Roman Bold" w:hAnsi="Times New Roman Bold" w:hint="cs"/>
          <w:spacing w:val="-4"/>
          <w:rtl/>
          <w:lang w:val="fr-CH"/>
        </w:rPr>
        <w:t xml:space="preserve"> </w:t>
      </w:r>
      <w:r w:rsidRPr="006F4680">
        <w:rPr>
          <w:rFonts w:ascii="Times New Roman Bold" w:hAnsi="Times New Roman Bold"/>
          <w:spacing w:val="-4"/>
          <w:rtl/>
          <w:lang w:val="fr-CH"/>
        </w:rPr>
        <w:t xml:space="preserve">21 </w:t>
      </w:r>
      <w:r w:rsidRPr="002840A6">
        <w:rPr>
          <w:rtl/>
          <w:lang w:val="fr-CH"/>
        </w:rPr>
        <w:t xml:space="preserve">و22 من الاتفاقية، حتى </w:t>
      </w:r>
      <w:r>
        <w:rPr>
          <w:rFonts w:hint="cs"/>
          <w:rtl/>
          <w:lang w:val="fr-CH"/>
        </w:rPr>
        <w:t>31</w:t>
      </w:r>
      <w:r w:rsidRPr="002840A6">
        <w:rPr>
          <w:rtl/>
          <w:lang w:val="fr-CH"/>
        </w:rPr>
        <w:t xml:space="preserve"> </w:t>
      </w:r>
      <w:r>
        <w:rPr>
          <w:rFonts w:hint="cs"/>
          <w:rtl/>
          <w:lang w:val="fr-CH"/>
        </w:rPr>
        <w:t>أيار</w:t>
      </w:r>
      <w:r w:rsidRPr="002840A6">
        <w:rPr>
          <w:rtl/>
          <w:lang w:val="fr-CH"/>
        </w:rPr>
        <w:t>/</w:t>
      </w:r>
      <w:r>
        <w:rPr>
          <w:rFonts w:hint="cs"/>
          <w:rtl/>
          <w:lang w:val="fr-CH"/>
        </w:rPr>
        <w:t>مايو</w:t>
      </w:r>
      <w:r w:rsidRPr="002840A6">
        <w:rPr>
          <w:rtl/>
          <w:lang w:val="fr-CH"/>
        </w:rPr>
        <w:t xml:space="preserve"> 201</w:t>
      </w:r>
      <w:r>
        <w:rPr>
          <w:rFonts w:hint="cs"/>
          <w:rtl/>
          <w:lang w:val="fr-CH"/>
        </w:rPr>
        <w:t>3</w:t>
      </w:r>
      <w:r w:rsidRPr="006F4680">
        <w:rPr>
          <w:sz w:val="20"/>
          <w:szCs w:val="30"/>
          <w:vertAlign w:val="superscript"/>
          <w:rtl/>
          <w:lang w:val="fr-CH"/>
        </w:rPr>
        <w:t xml:space="preserve">(أ) </w:t>
      </w:r>
      <w:r w:rsidRPr="006F4680">
        <w:rPr>
          <w:b w:val="0"/>
          <w:bCs w:val="0"/>
          <w:sz w:val="20"/>
          <w:szCs w:val="30"/>
          <w:vertAlign w:val="superscript"/>
          <w:rtl/>
          <w:lang w:val="fr-CH"/>
        </w:rPr>
        <w:t>(ب)</w:t>
      </w:r>
    </w:p>
    <w:tbl>
      <w:tblPr>
        <w:bidiVisual/>
        <w:tblW w:w="7200" w:type="dxa"/>
        <w:tblInd w:w="1238" w:type="dxa"/>
        <w:tblLayout w:type="fixed"/>
        <w:tblCellMar>
          <w:left w:w="0" w:type="dxa"/>
          <w:right w:w="0" w:type="dxa"/>
        </w:tblCellMar>
        <w:tblLook w:val="0000"/>
      </w:tblPr>
      <w:tblGrid>
        <w:gridCol w:w="4257"/>
        <w:gridCol w:w="2943"/>
      </w:tblGrid>
      <w:tr w:rsidR="00F72BDC" w:rsidRPr="007525FC" w:rsidTr="007525FC">
        <w:tblPrEx>
          <w:tblCellMar>
            <w:top w:w="0" w:type="dxa"/>
            <w:bottom w:w="0" w:type="dxa"/>
          </w:tblCellMar>
        </w:tblPrEx>
        <w:trPr>
          <w:cantSplit/>
          <w:trHeight w:val="395"/>
          <w:tblHeader/>
        </w:trPr>
        <w:tc>
          <w:tcPr>
            <w:tcW w:w="4257" w:type="dxa"/>
            <w:tcBorders>
              <w:top w:val="single" w:sz="4" w:space="0" w:color="auto"/>
              <w:bottom w:val="single" w:sz="12" w:space="0" w:color="auto"/>
            </w:tcBorders>
          </w:tcPr>
          <w:p w:rsidR="00F72BDC" w:rsidRPr="007525FC" w:rsidRDefault="00F72BDC" w:rsidP="007525FC">
            <w:pPr>
              <w:bidi/>
              <w:spacing w:before="40" w:after="80" w:line="310" w:lineRule="exact"/>
              <w:ind w:left="57" w:right="57"/>
              <w:rPr>
                <w:rFonts w:cs="Traditional Arabic" w:hint="cs"/>
                <w:i/>
                <w:iCs/>
                <w:sz w:val="28"/>
                <w:szCs w:val="28"/>
                <w:rtl/>
              </w:rPr>
            </w:pPr>
            <w:r w:rsidRPr="007525FC">
              <w:rPr>
                <w:rFonts w:cs="Traditional Arabic" w:hint="cs"/>
                <w:i/>
                <w:iCs/>
                <w:sz w:val="28"/>
                <w:szCs w:val="28"/>
                <w:rtl/>
              </w:rPr>
              <w:t>الدولة الطرف</w:t>
            </w:r>
          </w:p>
        </w:tc>
        <w:tc>
          <w:tcPr>
            <w:tcW w:w="2943" w:type="dxa"/>
            <w:tcBorders>
              <w:top w:val="single" w:sz="4" w:space="0" w:color="auto"/>
              <w:bottom w:val="single" w:sz="12" w:space="0" w:color="auto"/>
            </w:tcBorders>
            <w:vAlign w:val="bottom"/>
          </w:tcPr>
          <w:p w:rsidR="00F72BDC" w:rsidRPr="007525FC" w:rsidRDefault="00F72BDC" w:rsidP="007525FC">
            <w:pPr>
              <w:bidi/>
              <w:spacing w:before="40" w:after="80" w:line="310" w:lineRule="exact"/>
              <w:ind w:left="57" w:right="57"/>
              <w:rPr>
                <w:rFonts w:cs="Traditional Arabic" w:hint="cs"/>
                <w:i/>
                <w:iCs/>
                <w:sz w:val="28"/>
                <w:szCs w:val="28"/>
                <w:rtl/>
              </w:rPr>
            </w:pPr>
            <w:r w:rsidRPr="007525FC">
              <w:rPr>
                <w:rFonts w:cs="Traditional Arabic" w:hint="cs"/>
                <w:i/>
                <w:iCs/>
                <w:sz w:val="28"/>
                <w:szCs w:val="28"/>
                <w:rtl/>
              </w:rPr>
              <w:t>تاريخ بدء النفاذ</w:t>
            </w:r>
          </w:p>
        </w:tc>
      </w:tr>
      <w:tr w:rsidR="00F72BDC" w:rsidRPr="007525FC" w:rsidTr="007525FC">
        <w:tblPrEx>
          <w:tblCellMar>
            <w:top w:w="0" w:type="dxa"/>
            <w:bottom w:w="0" w:type="dxa"/>
          </w:tblCellMar>
        </w:tblPrEx>
        <w:trPr>
          <w:cantSplit/>
        </w:trPr>
        <w:tc>
          <w:tcPr>
            <w:tcW w:w="4257" w:type="dxa"/>
            <w:tcBorders>
              <w:top w:val="single" w:sz="12" w:space="0" w:color="auto"/>
            </w:tcBorders>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الاتحاد الروسي </w:t>
            </w:r>
          </w:p>
        </w:tc>
        <w:tc>
          <w:tcPr>
            <w:tcW w:w="2943" w:type="dxa"/>
            <w:tcBorders>
              <w:top w:val="single" w:sz="12" w:space="0" w:color="auto"/>
            </w:tcBorders>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1 تشرين الأول/أكتوبر 1991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الأرجنتين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26 حزيران/يونيه 1987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إسبانيا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20 تشرين الثاني/نوفمبر 1987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 xml:space="preserve">أستراليا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29 كانون الثاني/يناير 1993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إكوادور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29 نيسان/أبريل 1988</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 xml:space="preserve">ألمانيا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19 تشرين الأول/أكتوبر 2001</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أندورا</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22 تشرين الثاني/نوفمبر 2006</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أوروغواي</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26 حزيران/يونيه 1987</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أوكرانيا</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12 أيلول/سبتمبر 2003</w:t>
            </w:r>
          </w:p>
        </w:tc>
      </w:tr>
      <w:tr w:rsidR="00F72BDC" w:rsidRPr="007525FC" w:rsidTr="007525FC">
        <w:tblPrEx>
          <w:tblCellMar>
            <w:top w:w="0" w:type="dxa"/>
            <w:bottom w:w="0" w:type="dxa"/>
          </w:tblCellMar>
        </w:tblPrEx>
        <w:trPr>
          <w:cantSplit/>
        </w:trPr>
        <w:tc>
          <w:tcPr>
            <w:tcW w:w="4257" w:type="dxa"/>
          </w:tcPr>
          <w:p w:rsidR="00F72BDC" w:rsidRPr="007525FC" w:rsidRDefault="005E4BCD" w:rsidP="007525FC">
            <w:pPr>
              <w:bidi/>
              <w:spacing w:before="40" w:after="40" w:line="310" w:lineRule="exact"/>
              <w:ind w:left="57" w:right="57"/>
              <w:rPr>
                <w:rFonts w:cs="Traditional Arabic" w:hint="cs"/>
                <w:sz w:val="28"/>
                <w:szCs w:val="28"/>
              </w:rPr>
            </w:pPr>
            <w:r>
              <w:rPr>
                <w:rFonts w:cs="Traditional Arabic" w:hint="cs"/>
                <w:sz w:val="28"/>
                <w:szCs w:val="28"/>
                <w:rtl/>
              </w:rPr>
              <w:t>أ</w:t>
            </w:r>
            <w:r w:rsidR="00F72BDC" w:rsidRPr="007525FC">
              <w:rPr>
                <w:rFonts w:cs="Traditional Arabic" w:hint="cs"/>
                <w:sz w:val="28"/>
                <w:szCs w:val="28"/>
                <w:rtl/>
              </w:rPr>
              <w:t xml:space="preserve">يرلندا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11 أيار/مايو 2002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آيسلندا</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22 تشرين الثاني/نوفمبر 1996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إيطاليا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10 تشرين الأول/أكتوبر 1989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باراغواي</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29 أيار/مايو 2002</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البرتغال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11 آذار/مارس 1989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بلجيكا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25 تموز/يوليه 1999</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بلغاريا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 xml:space="preserve">12 حزيران/يونيه 1993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بولندا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12 أيار/مايو 1993</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بوليفيا (دولة - المتعددة القوميات)</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14 شباط/فبراير 2006</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بيرو</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28 تشرين الأول/أكتوبر 2002</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تركيا</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1 أيلول/</w:t>
            </w:r>
            <w:r w:rsidRPr="007525FC">
              <w:rPr>
                <w:rFonts w:cs="Traditional Arabic" w:hint="eastAsia"/>
                <w:sz w:val="28"/>
                <w:szCs w:val="28"/>
                <w:rtl/>
              </w:rPr>
              <w:t>سبتمبر</w:t>
            </w:r>
            <w:r w:rsidRPr="007525FC">
              <w:rPr>
                <w:rFonts w:cs="Traditional Arabic" w:hint="cs"/>
                <w:sz w:val="28"/>
                <w:szCs w:val="28"/>
                <w:rtl/>
              </w:rPr>
              <w:t xml:space="preserve"> 1988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توغو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 xml:space="preserve">18 كانون الأول/ديسمبر 1987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تونس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23 تشرين الأول/أكتوبر 1988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الجبل الأسود</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vertAlign w:val="superscript"/>
                <w:rtl/>
              </w:rPr>
            </w:pPr>
            <w:r w:rsidRPr="007525FC">
              <w:rPr>
                <w:rFonts w:cs="Traditional Arabic" w:hint="cs"/>
                <w:sz w:val="28"/>
                <w:szCs w:val="28"/>
                <w:rtl/>
              </w:rPr>
              <w:t>23 تشرين الأول/أكتوبر 2006</w:t>
            </w:r>
            <w:r w:rsidRPr="007525FC">
              <w:rPr>
                <w:rFonts w:cs="Traditional Arabic" w:hint="cs"/>
                <w:sz w:val="28"/>
                <w:szCs w:val="28"/>
                <w:vertAlign w:val="superscript"/>
                <w:rtl/>
              </w:rPr>
              <w:t>(ج)</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الجزائر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12 تشرين الأول/أكتوبر 1989</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الجمهورية التشيكية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3 أيلول/سبتمبر 1996</w:t>
            </w:r>
            <w:r w:rsidRPr="007525FC">
              <w:rPr>
                <w:rFonts w:cs="Traditional Arabic" w:hint="cs"/>
                <w:sz w:val="28"/>
                <w:szCs w:val="28"/>
                <w:vertAlign w:val="superscript"/>
                <w:rtl/>
              </w:rPr>
              <w:t>(ج)</w:t>
            </w:r>
            <w:r w:rsidRPr="007525FC">
              <w:rPr>
                <w:rFonts w:cs="Traditional Arabic" w:hint="cs"/>
                <w:sz w:val="28"/>
                <w:szCs w:val="28"/>
                <w:rtl/>
              </w:rPr>
              <w:t xml:space="preserve">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جمهورية كوريا</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9 تشرين الثاني/نوفمبر 2007</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جنوب أفريقيا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 xml:space="preserve">10 كانون الأول/ديسمبر 1998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جورجيا</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30 حزيران/يونيه 2005</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الدانمرك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26 حزيران/يونيه 1987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sz w:val="28"/>
                <w:szCs w:val="28"/>
              </w:rPr>
            </w:pPr>
            <w:r w:rsidRPr="007525FC">
              <w:rPr>
                <w:rFonts w:cs="Traditional Arabic" w:hint="cs"/>
                <w:sz w:val="28"/>
                <w:szCs w:val="28"/>
                <w:rtl/>
              </w:rPr>
              <w:t xml:space="preserve">سلوفاكيا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17 آذار/مارس 1995</w:t>
            </w:r>
            <w:r w:rsidRPr="007525FC">
              <w:rPr>
                <w:rFonts w:cs="Traditional Arabic" w:hint="cs"/>
                <w:sz w:val="28"/>
                <w:szCs w:val="28"/>
                <w:vertAlign w:val="superscript"/>
                <w:rtl/>
              </w:rPr>
              <w:t>(ج)</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سلوفينيا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15 آب/أغسطس 1993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السنغال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16 تشرين الأول/أكتوبر 1996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السويد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26 حزيران/يونيه 1987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سويسرا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26 حزيران/يونيه 1987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شيلي</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15 آذار/مارس 2004</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 xml:space="preserve">صربيا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12 آذار/مارس 2001</w:t>
            </w:r>
            <w:r w:rsidRPr="007525FC">
              <w:rPr>
                <w:rFonts w:cs="Traditional Arabic" w:hint="cs"/>
                <w:sz w:val="28"/>
                <w:szCs w:val="28"/>
                <w:vertAlign w:val="superscript"/>
                <w:rtl/>
              </w:rPr>
              <w:t>(ج)</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غانا</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7 تشرين الأول/أكتوبر 2000</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فرنسا</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26 حزيران/يونيه 1987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فنزويلا (جمهورية - البوليفارية)</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 xml:space="preserve">26 نسيان/أبريل 1994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فنلندا</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29 أيلول/سبتمبر 1989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قبرص</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8 نسيان/أبريل 1993</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كازاخستان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21 شباط/فبراير 2008</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الكاميرون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11 تشرين الثاني/</w:t>
            </w:r>
            <w:r w:rsidRPr="007525FC">
              <w:rPr>
                <w:rFonts w:cs="Traditional Arabic" w:hint="eastAsia"/>
                <w:sz w:val="28"/>
                <w:szCs w:val="28"/>
                <w:rtl/>
              </w:rPr>
              <w:t>نوفمبر</w:t>
            </w:r>
            <w:r w:rsidRPr="007525FC">
              <w:rPr>
                <w:rFonts w:cs="Traditional Arabic" w:hint="cs"/>
                <w:sz w:val="28"/>
                <w:szCs w:val="28"/>
                <w:rtl/>
              </w:rPr>
              <w:t xml:space="preserve"> 2000</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 xml:space="preserve">كرواتيا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8 تشرين الأول/أكتوبر 1991</w:t>
            </w:r>
            <w:r w:rsidRPr="007525FC">
              <w:rPr>
                <w:rFonts w:cs="Traditional Arabic" w:hint="cs"/>
                <w:sz w:val="28"/>
                <w:szCs w:val="28"/>
                <w:vertAlign w:val="superscript"/>
                <w:rtl/>
              </w:rPr>
              <w:t>(ج)</w:t>
            </w:r>
            <w:r w:rsidRPr="007525FC">
              <w:rPr>
                <w:rFonts w:cs="Traditional Arabic" w:hint="cs"/>
                <w:sz w:val="28"/>
                <w:szCs w:val="28"/>
                <w:rtl/>
              </w:rPr>
              <w:t xml:space="preserve">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كندا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13 تشرين الثاني/نوفمبر 1989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كوستاريكا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27 شباط/</w:t>
            </w:r>
            <w:r w:rsidRPr="007525FC">
              <w:rPr>
                <w:rFonts w:cs="Traditional Arabic" w:hint="eastAsia"/>
                <w:sz w:val="28"/>
                <w:szCs w:val="28"/>
                <w:rtl/>
              </w:rPr>
              <w:t>فبراير</w:t>
            </w:r>
            <w:r w:rsidRPr="007525FC">
              <w:rPr>
                <w:rFonts w:cs="Traditional Arabic" w:hint="cs"/>
                <w:sz w:val="28"/>
                <w:szCs w:val="28"/>
                <w:rtl/>
              </w:rPr>
              <w:t xml:space="preserve"> 2002</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لكسمبرغ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29 تشرين الأول/أكتوبر 1987</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ليختنشتاين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2 كانون الأول/ديسمبر 1990</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مالطة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13 تشرين الأول/أكتوبر 1990</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موناكو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6 كانون الثاني/يناير 1992</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النرويج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26 حزيران/يونيه 1987</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النمسا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 xml:space="preserve">28 آب/أغسطس 1987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نيوزيلندا</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9 كانون الثاني/يناير 1990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هنغاريا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Pr>
            </w:pPr>
            <w:r w:rsidRPr="007525FC">
              <w:rPr>
                <w:rFonts w:cs="Traditional Arabic" w:hint="cs"/>
                <w:sz w:val="28"/>
                <w:szCs w:val="28"/>
                <w:rtl/>
              </w:rPr>
              <w:t xml:space="preserve">13 أيلول/سبتمبر 1989 </w:t>
            </w:r>
          </w:p>
        </w:tc>
      </w:tr>
      <w:tr w:rsidR="00F72BDC" w:rsidRPr="007525FC" w:rsidTr="007525FC">
        <w:tblPrEx>
          <w:tblCellMar>
            <w:top w:w="0" w:type="dxa"/>
            <w:bottom w:w="0" w:type="dxa"/>
          </w:tblCellMar>
        </w:tblPrEx>
        <w:trPr>
          <w:cantSplit/>
        </w:trPr>
        <w:tc>
          <w:tcPr>
            <w:tcW w:w="4257" w:type="dxa"/>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 xml:space="preserve">هولندا </w:t>
            </w:r>
          </w:p>
        </w:tc>
        <w:tc>
          <w:tcPr>
            <w:tcW w:w="2943" w:type="dxa"/>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 xml:space="preserve">20 كانون الثاني/يناير 1989 </w:t>
            </w:r>
          </w:p>
        </w:tc>
      </w:tr>
      <w:tr w:rsidR="00F72BDC" w:rsidRPr="007525FC" w:rsidTr="007525FC">
        <w:tblPrEx>
          <w:tblCellMar>
            <w:top w:w="0" w:type="dxa"/>
            <w:bottom w:w="0" w:type="dxa"/>
          </w:tblCellMar>
        </w:tblPrEx>
        <w:trPr>
          <w:cantSplit/>
        </w:trPr>
        <w:tc>
          <w:tcPr>
            <w:tcW w:w="4257" w:type="dxa"/>
            <w:tcBorders>
              <w:bottom w:val="single" w:sz="12" w:space="0" w:color="auto"/>
            </w:tcBorders>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اليونان</w:t>
            </w:r>
          </w:p>
        </w:tc>
        <w:tc>
          <w:tcPr>
            <w:tcW w:w="2943" w:type="dxa"/>
            <w:tcBorders>
              <w:bottom w:val="single" w:sz="12" w:space="0" w:color="auto"/>
            </w:tcBorders>
            <w:vAlign w:val="bottom"/>
          </w:tcPr>
          <w:p w:rsidR="00F72BDC" w:rsidRPr="007525FC" w:rsidRDefault="00F72BDC" w:rsidP="007525FC">
            <w:pPr>
              <w:bidi/>
              <w:spacing w:before="40" w:after="40" w:line="310" w:lineRule="exact"/>
              <w:ind w:left="57" w:right="57"/>
              <w:rPr>
                <w:rFonts w:cs="Traditional Arabic" w:hint="cs"/>
                <w:sz w:val="28"/>
                <w:szCs w:val="28"/>
                <w:rtl/>
              </w:rPr>
            </w:pPr>
            <w:r w:rsidRPr="007525FC">
              <w:rPr>
                <w:rFonts w:cs="Traditional Arabic" w:hint="cs"/>
                <w:sz w:val="28"/>
                <w:szCs w:val="28"/>
                <w:rtl/>
              </w:rPr>
              <w:t>5 تشرين الثاني/نوفمبر 1988</w:t>
            </w:r>
          </w:p>
        </w:tc>
      </w:tr>
    </w:tbl>
    <w:p w:rsidR="00F72BDC" w:rsidRDefault="00F72BDC" w:rsidP="007525FC">
      <w:pPr>
        <w:pStyle w:val="HChGA"/>
        <w:spacing w:before="120"/>
        <w:rPr>
          <w:rFonts w:hint="cs"/>
          <w:b w:val="0"/>
          <w:bCs w:val="0"/>
          <w:position w:val="6"/>
          <w:sz w:val="18"/>
          <w:szCs w:val="28"/>
          <w:vertAlign w:val="superscript"/>
          <w:rtl/>
          <w:lang w:val="fr-CH"/>
        </w:rPr>
      </w:pPr>
      <w:r w:rsidRPr="002840A6">
        <w:rPr>
          <w:rFonts w:ascii="Times New Roman Bold" w:hAnsi="Times New Roman Bold"/>
          <w:spacing w:val="-4"/>
          <w:rtl/>
          <w:lang w:val="fr-CH"/>
        </w:rPr>
        <w:tab/>
      </w:r>
      <w:r w:rsidRPr="002840A6">
        <w:rPr>
          <w:rFonts w:ascii="Times New Roman Bold" w:hAnsi="Times New Roman Bold"/>
          <w:spacing w:val="-4"/>
          <w:rtl/>
          <w:lang w:val="fr-CH"/>
        </w:rPr>
        <w:tab/>
        <w:t>الدول الأطراف التي لم تصدر سوى الإعلان المنصوص عليه في المادة 21</w:t>
      </w:r>
      <w:r w:rsidRPr="002840A6">
        <w:rPr>
          <w:rtl/>
          <w:lang w:val="fr-CH"/>
        </w:rPr>
        <w:t xml:space="preserve"> من الاتفاقية، حتى </w:t>
      </w:r>
      <w:r>
        <w:rPr>
          <w:rFonts w:hint="cs"/>
          <w:rtl/>
          <w:lang w:val="fr-CH"/>
        </w:rPr>
        <w:t>31</w:t>
      </w:r>
      <w:r w:rsidRPr="002840A6">
        <w:rPr>
          <w:rtl/>
          <w:lang w:val="fr-CH"/>
        </w:rPr>
        <w:t xml:space="preserve"> </w:t>
      </w:r>
      <w:r>
        <w:rPr>
          <w:rFonts w:hint="cs"/>
          <w:rtl/>
          <w:lang w:val="fr-CH"/>
        </w:rPr>
        <w:t>أيار</w:t>
      </w:r>
      <w:r w:rsidRPr="002840A6">
        <w:rPr>
          <w:rtl/>
          <w:lang w:val="fr-CH"/>
        </w:rPr>
        <w:t>/</w:t>
      </w:r>
      <w:r>
        <w:rPr>
          <w:rFonts w:hint="cs"/>
          <w:rtl/>
          <w:lang w:val="fr-CH"/>
        </w:rPr>
        <w:t>مايو</w:t>
      </w:r>
      <w:r w:rsidRPr="002840A6">
        <w:rPr>
          <w:rtl/>
          <w:lang w:val="fr-CH"/>
        </w:rPr>
        <w:t xml:space="preserve"> 201</w:t>
      </w:r>
      <w:r>
        <w:rPr>
          <w:rFonts w:hint="cs"/>
          <w:rtl/>
          <w:lang w:val="fr-CH"/>
        </w:rPr>
        <w:t>3</w:t>
      </w:r>
      <w:r w:rsidRPr="002840A6">
        <w:rPr>
          <w:b w:val="0"/>
          <w:bCs w:val="0"/>
          <w:position w:val="6"/>
          <w:sz w:val="18"/>
          <w:szCs w:val="28"/>
          <w:vertAlign w:val="superscript"/>
          <w:rtl/>
          <w:lang w:val="fr-CH"/>
        </w:rPr>
        <w:t>(أ)</w:t>
      </w:r>
    </w:p>
    <w:tbl>
      <w:tblPr>
        <w:bidiVisual/>
        <w:tblW w:w="7211" w:type="dxa"/>
        <w:tblInd w:w="1238" w:type="dxa"/>
        <w:tblLayout w:type="fixed"/>
        <w:tblCellMar>
          <w:left w:w="0" w:type="dxa"/>
          <w:right w:w="0" w:type="dxa"/>
        </w:tblCellMar>
        <w:tblLook w:val="0000"/>
      </w:tblPr>
      <w:tblGrid>
        <w:gridCol w:w="4257"/>
        <w:gridCol w:w="2954"/>
      </w:tblGrid>
      <w:tr w:rsidR="00F72BDC" w:rsidRPr="007525FC" w:rsidTr="007525FC">
        <w:tblPrEx>
          <w:tblCellMar>
            <w:top w:w="0" w:type="dxa"/>
            <w:bottom w:w="0" w:type="dxa"/>
          </w:tblCellMar>
        </w:tblPrEx>
        <w:trPr>
          <w:cantSplit/>
          <w:trHeight w:val="395"/>
          <w:tblHeader/>
        </w:trPr>
        <w:tc>
          <w:tcPr>
            <w:tcW w:w="4257" w:type="dxa"/>
            <w:tcBorders>
              <w:top w:val="single" w:sz="4" w:space="0" w:color="auto"/>
              <w:bottom w:val="single" w:sz="12" w:space="0" w:color="auto"/>
            </w:tcBorders>
          </w:tcPr>
          <w:p w:rsidR="00F72BDC" w:rsidRPr="007525FC" w:rsidRDefault="00F72BDC" w:rsidP="00745279">
            <w:pPr>
              <w:bidi/>
              <w:spacing w:before="60" w:after="60" w:line="340" w:lineRule="exact"/>
              <w:ind w:left="57" w:right="57"/>
              <w:rPr>
                <w:rFonts w:cs="Traditional Arabic" w:hint="cs"/>
                <w:i/>
                <w:iCs/>
                <w:sz w:val="30"/>
                <w:szCs w:val="30"/>
                <w:rtl/>
              </w:rPr>
            </w:pPr>
            <w:r w:rsidRPr="007525FC">
              <w:rPr>
                <w:rFonts w:cs="Traditional Arabic" w:hint="cs"/>
                <w:i/>
                <w:iCs/>
                <w:sz w:val="30"/>
                <w:szCs w:val="30"/>
                <w:rtl/>
              </w:rPr>
              <w:t>الدولة الطرف</w:t>
            </w:r>
          </w:p>
        </w:tc>
        <w:tc>
          <w:tcPr>
            <w:tcW w:w="2954" w:type="dxa"/>
            <w:tcBorders>
              <w:top w:val="single" w:sz="4" w:space="0" w:color="auto"/>
              <w:bottom w:val="single" w:sz="12" w:space="0" w:color="auto"/>
            </w:tcBorders>
            <w:vAlign w:val="bottom"/>
          </w:tcPr>
          <w:p w:rsidR="00F72BDC" w:rsidRPr="007525FC" w:rsidRDefault="00F72BDC" w:rsidP="00745279">
            <w:pPr>
              <w:bidi/>
              <w:spacing w:before="60" w:after="60" w:line="340" w:lineRule="exact"/>
              <w:ind w:left="57" w:right="57"/>
              <w:rPr>
                <w:rFonts w:cs="Traditional Arabic" w:hint="cs"/>
                <w:i/>
                <w:iCs/>
                <w:sz w:val="30"/>
                <w:szCs w:val="30"/>
                <w:rtl/>
              </w:rPr>
            </w:pPr>
            <w:r w:rsidRPr="007525FC">
              <w:rPr>
                <w:rFonts w:cs="Traditional Arabic" w:hint="cs"/>
                <w:i/>
                <w:iCs/>
                <w:sz w:val="30"/>
                <w:szCs w:val="30"/>
                <w:rtl/>
              </w:rPr>
              <w:t>تاريخ بدء النفاذ</w:t>
            </w:r>
          </w:p>
        </w:tc>
      </w:tr>
      <w:tr w:rsidR="00F72BDC" w:rsidRPr="007525FC" w:rsidTr="007525FC">
        <w:tblPrEx>
          <w:tblCellMar>
            <w:top w:w="0" w:type="dxa"/>
            <w:bottom w:w="0" w:type="dxa"/>
          </w:tblCellMar>
        </w:tblPrEx>
        <w:trPr>
          <w:cantSplit/>
        </w:trPr>
        <w:tc>
          <w:tcPr>
            <w:tcW w:w="4257" w:type="dxa"/>
            <w:tcBorders>
              <w:top w:val="single" w:sz="4" w:space="0" w:color="auto"/>
            </w:tcBorders>
          </w:tcPr>
          <w:p w:rsidR="00F72BDC" w:rsidRPr="007525FC" w:rsidRDefault="00F72BDC" w:rsidP="00745279">
            <w:pPr>
              <w:bidi/>
              <w:spacing w:before="60" w:after="60" w:line="340" w:lineRule="exact"/>
              <w:ind w:left="57" w:right="57"/>
              <w:rPr>
                <w:rFonts w:cs="Traditional Arabic" w:hint="cs"/>
                <w:sz w:val="30"/>
                <w:szCs w:val="30"/>
              </w:rPr>
            </w:pPr>
            <w:r w:rsidRPr="007525FC">
              <w:rPr>
                <w:rFonts w:cs="Traditional Arabic" w:hint="cs"/>
                <w:sz w:val="30"/>
                <w:szCs w:val="30"/>
                <w:rtl/>
              </w:rPr>
              <w:t xml:space="preserve">أوغندا </w:t>
            </w:r>
          </w:p>
        </w:tc>
        <w:tc>
          <w:tcPr>
            <w:tcW w:w="2954" w:type="dxa"/>
            <w:tcBorders>
              <w:top w:val="single" w:sz="4" w:space="0" w:color="auto"/>
            </w:tcBorders>
            <w:vAlign w:val="bottom"/>
          </w:tcPr>
          <w:p w:rsidR="00F72BDC" w:rsidRPr="007525FC" w:rsidRDefault="00F72BDC" w:rsidP="00745279">
            <w:pPr>
              <w:bidi/>
              <w:spacing w:before="60" w:after="60" w:line="340" w:lineRule="exact"/>
              <w:ind w:left="57" w:right="57"/>
              <w:rPr>
                <w:rFonts w:cs="Traditional Arabic" w:hint="cs"/>
                <w:sz w:val="30"/>
                <w:szCs w:val="30"/>
                <w:rtl/>
              </w:rPr>
            </w:pPr>
            <w:r w:rsidRPr="007525FC">
              <w:rPr>
                <w:rFonts w:cs="Traditional Arabic" w:hint="cs"/>
                <w:sz w:val="30"/>
                <w:szCs w:val="30"/>
                <w:rtl/>
              </w:rPr>
              <w:t>19 كانون الأول/ديسمبر 2001</w:t>
            </w:r>
          </w:p>
        </w:tc>
      </w:tr>
      <w:tr w:rsidR="00F72BDC" w:rsidRPr="007525FC" w:rsidTr="007525FC">
        <w:tblPrEx>
          <w:tblCellMar>
            <w:top w:w="0" w:type="dxa"/>
            <w:bottom w:w="0" w:type="dxa"/>
          </w:tblCellMar>
        </w:tblPrEx>
        <w:trPr>
          <w:cantSplit/>
        </w:trPr>
        <w:tc>
          <w:tcPr>
            <w:tcW w:w="4257" w:type="dxa"/>
          </w:tcPr>
          <w:p w:rsidR="00F72BDC" w:rsidRPr="007525FC" w:rsidRDefault="00F72BDC" w:rsidP="00745279">
            <w:pPr>
              <w:bidi/>
              <w:spacing w:before="60" w:after="60" w:line="340" w:lineRule="exact"/>
              <w:ind w:left="57" w:right="57"/>
              <w:rPr>
                <w:rFonts w:cs="Traditional Arabic" w:hint="cs"/>
                <w:sz w:val="30"/>
                <w:szCs w:val="30"/>
                <w:rtl/>
              </w:rPr>
            </w:pPr>
            <w:r w:rsidRPr="007525FC">
              <w:rPr>
                <w:rFonts w:cs="Traditional Arabic" w:hint="cs"/>
                <w:sz w:val="30"/>
                <w:szCs w:val="30"/>
                <w:rtl/>
              </w:rPr>
              <w:t>المملكة المتحدة لبريطانيا العظمى و</w:t>
            </w:r>
            <w:r w:rsidR="005E4BCD">
              <w:rPr>
                <w:rFonts w:cs="Traditional Arabic" w:hint="cs"/>
                <w:sz w:val="30"/>
                <w:szCs w:val="30"/>
                <w:rtl/>
              </w:rPr>
              <w:t>أ</w:t>
            </w:r>
            <w:r w:rsidRPr="007525FC">
              <w:rPr>
                <w:rFonts w:cs="Traditional Arabic" w:hint="cs"/>
                <w:sz w:val="30"/>
                <w:szCs w:val="30"/>
                <w:rtl/>
              </w:rPr>
              <w:t xml:space="preserve">يرلندا الشمالية </w:t>
            </w:r>
          </w:p>
        </w:tc>
        <w:tc>
          <w:tcPr>
            <w:tcW w:w="2954" w:type="dxa"/>
            <w:vAlign w:val="bottom"/>
          </w:tcPr>
          <w:p w:rsidR="00F72BDC" w:rsidRPr="007525FC" w:rsidRDefault="00F72BDC" w:rsidP="00745279">
            <w:pPr>
              <w:bidi/>
              <w:spacing w:before="60" w:after="60" w:line="340" w:lineRule="exact"/>
              <w:ind w:left="57" w:right="57"/>
              <w:rPr>
                <w:rFonts w:cs="Traditional Arabic" w:hint="cs"/>
                <w:sz w:val="30"/>
                <w:szCs w:val="30"/>
                <w:rtl/>
              </w:rPr>
            </w:pPr>
            <w:r w:rsidRPr="007525FC">
              <w:rPr>
                <w:rFonts w:cs="Traditional Arabic" w:hint="cs"/>
                <w:sz w:val="30"/>
                <w:szCs w:val="30"/>
                <w:rtl/>
              </w:rPr>
              <w:t>8 كانون الأول/</w:t>
            </w:r>
            <w:r w:rsidRPr="007525FC">
              <w:rPr>
                <w:rFonts w:cs="Traditional Arabic" w:hint="eastAsia"/>
                <w:sz w:val="30"/>
                <w:szCs w:val="30"/>
                <w:rtl/>
              </w:rPr>
              <w:t>ديسمبر</w:t>
            </w:r>
            <w:r w:rsidRPr="007525FC">
              <w:rPr>
                <w:rFonts w:cs="Traditional Arabic" w:hint="cs"/>
                <w:sz w:val="30"/>
                <w:szCs w:val="30"/>
                <w:rtl/>
              </w:rPr>
              <w:t xml:space="preserve"> 1988</w:t>
            </w:r>
          </w:p>
        </w:tc>
      </w:tr>
      <w:tr w:rsidR="00F72BDC" w:rsidRPr="007525FC" w:rsidTr="007525FC">
        <w:tblPrEx>
          <w:tblCellMar>
            <w:top w:w="0" w:type="dxa"/>
            <w:bottom w:w="0" w:type="dxa"/>
          </w:tblCellMar>
        </w:tblPrEx>
        <w:trPr>
          <w:cantSplit/>
        </w:trPr>
        <w:tc>
          <w:tcPr>
            <w:tcW w:w="4257" w:type="dxa"/>
          </w:tcPr>
          <w:p w:rsidR="00F72BDC" w:rsidRPr="007525FC" w:rsidRDefault="00F72BDC" w:rsidP="00745279">
            <w:pPr>
              <w:bidi/>
              <w:spacing w:before="60" w:after="60" w:line="340" w:lineRule="exact"/>
              <w:ind w:left="57" w:right="57"/>
              <w:rPr>
                <w:rFonts w:cs="Traditional Arabic" w:hint="cs"/>
                <w:sz w:val="30"/>
                <w:szCs w:val="30"/>
              </w:rPr>
            </w:pPr>
            <w:r w:rsidRPr="007525FC">
              <w:rPr>
                <w:rFonts w:cs="Traditional Arabic" w:hint="cs"/>
                <w:sz w:val="30"/>
                <w:szCs w:val="30"/>
                <w:rtl/>
              </w:rPr>
              <w:t xml:space="preserve">الولايات المتحدة الأمريكية </w:t>
            </w:r>
          </w:p>
        </w:tc>
        <w:tc>
          <w:tcPr>
            <w:tcW w:w="2954" w:type="dxa"/>
            <w:vAlign w:val="bottom"/>
          </w:tcPr>
          <w:p w:rsidR="00F72BDC" w:rsidRPr="007525FC" w:rsidRDefault="00F72BDC" w:rsidP="00745279">
            <w:pPr>
              <w:bidi/>
              <w:spacing w:before="60" w:after="60" w:line="340" w:lineRule="exact"/>
              <w:ind w:left="57" w:right="57"/>
              <w:rPr>
                <w:rFonts w:cs="Traditional Arabic" w:hint="cs"/>
                <w:sz w:val="30"/>
                <w:szCs w:val="30"/>
                <w:rtl/>
              </w:rPr>
            </w:pPr>
            <w:r w:rsidRPr="007525FC">
              <w:rPr>
                <w:rFonts w:cs="Traditional Arabic" w:hint="cs"/>
                <w:sz w:val="30"/>
                <w:szCs w:val="30"/>
                <w:rtl/>
              </w:rPr>
              <w:t>21 تشرين الأول/أكتوبر 1994</w:t>
            </w:r>
          </w:p>
        </w:tc>
      </w:tr>
      <w:tr w:rsidR="00F72BDC" w:rsidRPr="007525FC" w:rsidTr="007525FC">
        <w:tblPrEx>
          <w:tblCellMar>
            <w:top w:w="0" w:type="dxa"/>
            <w:bottom w:w="0" w:type="dxa"/>
          </w:tblCellMar>
        </w:tblPrEx>
        <w:trPr>
          <w:cantSplit/>
          <w:trHeight w:val="327"/>
        </w:trPr>
        <w:tc>
          <w:tcPr>
            <w:tcW w:w="4257" w:type="dxa"/>
            <w:tcBorders>
              <w:bottom w:val="single" w:sz="12" w:space="0" w:color="auto"/>
            </w:tcBorders>
          </w:tcPr>
          <w:p w:rsidR="00F72BDC" w:rsidRPr="007525FC" w:rsidRDefault="00F72BDC" w:rsidP="00745279">
            <w:pPr>
              <w:bidi/>
              <w:spacing w:before="60" w:after="60" w:line="340" w:lineRule="exact"/>
              <w:ind w:left="57" w:right="57"/>
              <w:rPr>
                <w:rFonts w:cs="Traditional Arabic" w:hint="cs"/>
                <w:sz w:val="30"/>
                <w:szCs w:val="30"/>
              </w:rPr>
            </w:pPr>
            <w:r w:rsidRPr="007525FC">
              <w:rPr>
                <w:rFonts w:cs="Traditional Arabic" w:hint="cs"/>
                <w:sz w:val="30"/>
                <w:szCs w:val="30"/>
                <w:rtl/>
              </w:rPr>
              <w:t xml:space="preserve">اليابان </w:t>
            </w:r>
          </w:p>
        </w:tc>
        <w:tc>
          <w:tcPr>
            <w:tcW w:w="2954" w:type="dxa"/>
            <w:tcBorders>
              <w:bottom w:val="single" w:sz="12" w:space="0" w:color="auto"/>
            </w:tcBorders>
            <w:vAlign w:val="bottom"/>
          </w:tcPr>
          <w:p w:rsidR="00F72BDC" w:rsidRPr="007525FC" w:rsidRDefault="00F72BDC" w:rsidP="00745279">
            <w:pPr>
              <w:bidi/>
              <w:spacing w:before="60" w:after="60" w:line="340" w:lineRule="exact"/>
              <w:ind w:left="57" w:right="57"/>
              <w:rPr>
                <w:rFonts w:cs="Traditional Arabic" w:hint="cs"/>
                <w:sz w:val="30"/>
                <w:szCs w:val="30"/>
                <w:rtl/>
              </w:rPr>
            </w:pPr>
            <w:r w:rsidRPr="007525FC">
              <w:rPr>
                <w:rFonts w:cs="Traditional Arabic" w:hint="cs"/>
                <w:sz w:val="30"/>
                <w:szCs w:val="30"/>
                <w:rtl/>
              </w:rPr>
              <w:t>29 حزيران/ يونيه 1999</w:t>
            </w:r>
          </w:p>
        </w:tc>
      </w:tr>
    </w:tbl>
    <w:p w:rsidR="00F72BDC" w:rsidRPr="00893EB0" w:rsidRDefault="00F72BDC" w:rsidP="007525FC">
      <w:pPr>
        <w:pStyle w:val="HChGA"/>
        <w:rPr>
          <w:rFonts w:hint="cs"/>
          <w:position w:val="4"/>
          <w:vertAlign w:val="superscript"/>
          <w:rtl/>
          <w:lang w:val="fr-CH"/>
        </w:rPr>
      </w:pPr>
      <w:r w:rsidRPr="007525FC">
        <w:rPr>
          <w:rFonts w:ascii="Times New Roman Bold" w:hAnsi="Times New Roman Bold"/>
          <w:spacing w:val="-4"/>
          <w:rtl/>
          <w:lang w:val="fr-CH"/>
        </w:rPr>
        <w:tab/>
      </w:r>
      <w:r w:rsidRPr="007525FC">
        <w:rPr>
          <w:rFonts w:ascii="Times New Roman Bold" w:hAnsi="Times New Roman Bold"/>
          <w:spacing w:val="-4"/>
          <w:rtl/>
          <w:lang w:val="fr-CH"/>
        </w:rPr>
        <w:tab/>
        <w:t xml:space="preserve">الدول الأطراف التي لم تصدر سوى الإعلان المنصوص عليه في المادة 22 </w:t>
      </w:r>
      <w:r w:rsidRPr="00893EB0">
        <w:rPr>
          <w:rtl/>
          <w:lang w:val="fr-CH"/>
        </w:rPr>
        <w:t xml:space="preserve">من الاتفاقية، حتى </w:t>
      </w:r>
      <w:r w:rsidRPr="00731C4D">
        <w:rPr>
          <w:rFonts w:hint="cs"/>
          <w:rtl/>
          <w:lang w:val="fr-CH"/>
        </w:rPr>
        <w:t>31</w:t>
      </w:r>
      <w:r w:rsidRPr="00731C4D">
        <w:rPr>
          <w:rtl/>
          <w:lang w:val="fr-CH"/>
        </w:rPr>
        <w:t xml:space="preserve"> </w:t>
      </w:r>
      <w:r w:rsidRPr="00731C4D">
        <w:rPr>
          <w:rFonts w:hint="cs"/>
          <w:rtl/>
          <w:lang w:val="fr-CH"/>
        </w:rPr>
        <w:t>أيار</w:t>
      </w:r>
      <w:r w:rsidRPr="00731C4D">
        <w:rPr>
          <w:rtl/>
          <w:lang w:val="fr-CH"/>
        </w:rPr>
        <w:t>/</w:t>
      </w:r>
      <w:r w:rsidRPr="00731C4D">
        <w:rPr>
          <w:rFonts w:hint="cs"/>
          <w:rtl/>
          <w:lang w:val="fr-CH"/>
        </w:rPr>
        <w:t>مايو</w:t>
      </w:r>
      <w:r w:rsidRPr="00731C4D">
        <w:rPr>
          <w:rtl/>
          <w:lang w:val="fr-CH"/>
        </w:rPr>
        <w:t xml:space="preserve"> 201</w:t>
      </w:r>
      <w:r w:rsidRPr="00731C4D">
        <w:rPr>
          <w:rFonts w:hint="cs"/>
          <w:rtl/>
          <w:lang w:val="fr-CH"/>
        </w:rPr>
        <w:t>3</w:t>
      </w:r>
      <w:r w:rsidRPr="007525FC">
        <w:rPr>
          <w:b w:val="0"/>
          <w:bCs w:val="0"/>
          <w:position w:val="4"/>
          <w:sz w:val="20"/>
          <w:szCs w:val="30"/>
          <w:vertAlign w:val="superscript"/>
          <w:rtl/>
          <w:lang w:val="fr-CH"/>
        </w:rPr>
        <w:t>(ب)</w:t>
      </w:r>
    </w:p>
    <w:tbl>
      <w:tblPr>
        <w:bidiVisual/>
        <w:tblW w:w="7225" w:type="dxa"/>
        <w:tblInd w:w="1238" w:type="dxa"/>
        <w:tblLayout w:type="fixed"/>
        <w:tblCellMar>
          <w:left w:w="0" w:type="dxa"/>
          <w:right w:w="0" w:type="dxa"/>
        </w:tblCellMar>
        <w:tblLook w:val="0000"/>
      </w:tblPr>
      <w:tblGrid>
        <w:gridCol w:w="4271"/>
        <w:gridCol w:w="2954"/>
      </w:tblGrid>
      <w:tr w:rsidR="00F72BDC" w:rsidRPr="00893EB0" w:rsidTr="007525FC">
        <w:tblPrEx>
          <w:tblCellMar>
            <w:top w:w="0" w:type="dxa"/>
            <w:bottom w:w="0" w:type="dxa"/>
          </w:tblCellMar>
        </w:tblPrEx>
        <w:trPr>
          <w:cantSplit/>
          <w:trHeight w:val="395"/>
          <w:tblHeader/>
        </w:trPr>
        <w:tc>
          <w:tcPr>
            <w:tcW w:w="4271" w:type="dxa"/>
            <w:tcBorders>
              <w:top w:val="single" w:sz="4" w:space="0" w:color="auto"/>
              <w:bottom w:val="single" w:sz="12" w:space="0" w:color="auto"/>
            </w:tcBorders>
          </w:tcPr>
          <w:p w:rsidR="00F72BDC" w:rsidRPr="00893EB0" w:rsidRDefault="00F72BDC" w:rsidP="00745279">
            <w:pPr>
              <w:bidi/>
              <w:spacing w:before="60" w:after="60" w:line="340" w:lineRule="exact"/>
              <w:ind w:left="57" w:right="57"/>
              <w:rPr>
                <w:rFonts w:cs="Traditional Arabic" w:hint="cs"/>
                <w:i/>
                <w:iCs/>
                <w:sz w:val="30"/>
                <w:szCs w:val="30"/>
                <w:rtl/>
              </w:rPr>
            </w:pPr>
            <w:r w:rsidRPr="00893EB0">
              <w:rPr>
                <w:rFonts w:cs="Traditional Arabic" w:hint="cs"/>
                <w:i/>
                <w:iCs/>
                <w:sz w:val="30"/>
                <w:szCs w:val="30"/>
                <w:rtl/>
              </w:rPr>
              <w:t>الدولة الطرف</w:t>
            </w:r>
          </w:p>
        </w:tc>
        <w:tc>
          <w:tcPr>
            <w:tcW w:w="2954" w:type="dxa"/>
            <w:tcBorders>
              <w:top w:val="single" w:sz="4" w:space="0" w:color="auto"/>
              <w:bottom w:val="single" w:sz="12" w:space="0" w:color="auto"/>
            </w:tcBorders>
            <w:vAlign w:val="bottom"/>
          </w:tcPr>
          <w:p w:rsidR="00F72BDC" w:rsidRPr="00893EB0" w:rsidRDefault="00F72BDC" w:rsidP="00745279">
            <w:pPr>
              <w:bidi/>
              <w:spacing w:before="60" w:after="60" w:line="340" w:lineRule="exact"/>
              <w:ind w:left="57" w:right="57"/>
              <w:rPr>
                <w:rFonts w:cs="Traditional Arabic" w:hint="cs"/>
                <w:i/>
                <w:iCs/>
                <w:sz w:val="30"/>
                <w:szCs w:val="30"/>
                <w:rtl/>
              </w:rPr>
            </w:pPr>
            <w:r w:rsidRPr="00893EB0">
              <w:rPr>
                <w:rFonts w:cs="Traditional Arabic" w:hint="cs"/>
                <w:i/>
                <w:iCs/>
                <w:sz w:val="30"/>
                <w:szCs w:val="30"/>
                <w:rtl/>
              </w:rPr>
              <w:t>تاريخ بدء النفاذ</w:t>
            </w:r>
          </w:p>
        </w:tc>
      </w:tr>
      <w:tr w:rsidR="00F72BDC" w:rsidRPr="00893EB0" w:rsidTr="007525FC">
        <w:tblPrEx>
          <w:tblCellMar>
            <w:top w:w="0" w:type="dxa"/>
            <w:bottom w:w="0" w:type="dxa"/>
          </w:tblCellMar>
        </w:tblPrEx>
        <w:trPr>
          <w:cantSplit/>
          <w:trHeight w:val="312"/>
        </w:trPr>
        <w:tc>
          <w:tcPr>
            <w:tcW w:w="4271" w:type="dxa"/>
            <w:tcBorders>
              <w:top w:val="single" w:sz="4" w:space="0" w:color="auto"/>
            </w:tcBorders>
          </w:tcPr>
          <w:p w:rsidR="00F72BDC" w:rsidRPr="00893EB0" w:rsidRDefault="00F72BDC" w:rsidP="00745279">
            <w:pPr>
              <w:bidi/>
              <w:spacing w:before="60" w:after="60" w:line="340" w:lineRule="exact"/>
              <w:ind w:left="57" w:right="57"/>
              <w:rPr>
                <w:rFonts w:cs="Traditional Arabic" w:hint="cs"/>
                <w:sz w:val="30"/>
                <w:szCs w:val="30"/>
                <w:rtl/>
              </w:rPr>
            </w:pPr>
            <w:r w:rsidRPr="00893EB0">
              <w:rPr>
                <w:rFonts w:cs="Traditional Arabic" w:hint="cs"/>
                <w:sz w:val="30"/>
                <w:szCs w:val="30"/>
                <w:rtl/>
              </w:rPr>
              <w:t>أذربيجان</w:t>
            </w:r>
          </w:p>
        </w:tc>
        <w:tc>
          <w:tcPr>
            <w:tcW w:w="2954" w:type="dxa"/>
            <w:tcBorders>
              <w:top w:val="single" w:sz="4" w:space="0" w:color="auto"/>
            </w:tcBorders>
            <w:vAlign w:val="bottom"/>
          </w:tcPr>
          <w:p w:rsidR="00F72BDC" w:rsidRPr="00893EB0" w:rsidRDefault="00EC36BE" w:rsidP="00745279">
            <w:pPr>
              <w:bidi/>
              <w:spacing w:before="60" w:after="60" w:line="340" w:lineRule="exact"/>
              <w:ind w:left="57" w:right="57"/>
              <w:rPr>
                <w:rFonts w:cs="Traditional Arabic" w:hint="cs"/>
                <w:sz w:val="30"/>
                <w:szCs w:val="30"/>
                <w:rtl/>
              </w:rPr>
            </w:pPr>
            <w:r>
              <w:rPr>
                <w:rFonts w:cs="Traditional Arabic" w:hint="cs"/>
                <w:sz w:val="30"/>
                <w:szCs w:val="30"/>
                <w:rtl/>
              </w:rPr>
              <w:t>4 شباط</w:t>
            </w:r>
            <w:r w:rsidR="00F72BDC" w:rsidRPr="00893EB0">
              <w:rPr>
                <w:rFonts w:cs="Traditional Arabic" w:hint="cs"/>
                <w:sz w:val="30"/>
                <w:szCs w:val="30"/>
                <w:rtl/>
              </w:rPr>
              <w:t>/فبراير 2002</w:t>
            </w:r>
          </w:p>
        </w:tc>
      </w:tr>
      <w:tr w:rsidR="00F72BDC" w:rsidRPr="00893EB0" w:rsidTr="007525FC">
        <w:tblPrEx>
          <w:tblCellMar>
            <w:top w:w="0" w:type="dxa"/>
            <w:bottom w:w="0" w:type="dxa"/>
          </w:tblCellMar>
        </w:tblPrEx>
        <w:trPr>
          <w:cantSplit/>
          <w:trHeight w:val="330"/>
        </w:trPr>
        <w:tc>
          <w:tcPr>
            <w:tcW w:w="4271" w:type="dxa"/>
          </w:tcPr>
          <w:p w:rsidR="00F72BDC" w:rsidRPr="00893EB0" w:rsidRDefault="00F72BDC" w:rsidP="00745279">
            <w:pPr>
              <w:bidi/>
              <w:spacing w:before="60" w:after="60" w:line="340" w:lineRule="exact"/>
              <w:ind w:left="57" w:right="57"/>
              <w:rPr>
                <w:rFonts w:cs="Traditional Arabic" w:hint="cs"/>
                <w:sz w:val="30"/>
                <w:szCs w:val="30"/>
                <w:rtl/>
              </w:rPr>
            </w:pPr>
            <w:r w:rsidRPr="00893EB0">
              <w:rPr>
                <w:rFonts w:cs="Traditional Arabic" w:hint="cs"/>
                <w:sz w:val="30"/>
                <w:szCs w:val="30"/>
                <w:rtl/>
              </w:rPr>
              <w:t>البرازيل</w:t>
            </w:r>
          </w:p>
        </w:tc>
        <w:tc>
          <w:tcPr>
            <w:tcW w:w="2954" w:type="dxa"/>
            <w:vAlign w:val="bottom"/>
          </w:tcPr>
          <w:p w:rsidR="00F72BDC" w:rsidRPr="00893EB0" w:rsidRDefault="00F72BDC" w:rsidP="00745279">
            <w:pPr>
              <w:bidi/>
              <w:spacing w:before="60" w:after="60" w:line="340" w:lineRule="exact"/>
              <w:ind w:left="57" w:right="57"/>
              <w:rPr>
                <w:rFonts w:cs="Traditional Arabic" w:hint="cs"/>
                <w:sz w:val="30"/>
                <w:szCs w:val="30"/>
                <w:rtl/>
              </w:rPr>
            </w:pPr>
            <w:r w:rsidRPr="00893EB0">
              <w:rPr>
                <w:rFonts w:cs="Traditional Arabic" w:hint="cs"/>
                <w:sz w:val="30"/>
                <w:szCs w:val="30"/>
                <w:rtl/>
              </w:rPr>
              <w:t>26 حزيران/يونيه 2006</w:t>
            </w:r>
          </w:p>
        </w:tc>
      </w:tr>
      <w:tr w:rsidR="00F72BDC" w:rsidRPr="00893EB0" w:rsidTr="007525FC">
        <w:tblPrEx>
          <w:tblCellMar>
            <w:top w:w="0" w:type="dxa"/>
            <w:bottom w:w="0" w:type="dxa"/>
          </w:tblCellMar>
        </w:tblPrEx>
        <w:trPr>
          <w:cantSplit/>
          <w:trHeight w:val="330"/>
        </w:trPr>
        <w:tc>
          <w:tcPr>
            <w:tcW w:w="4271" w:type="dxa"/>
          </w:tcPr>
          <w:p w:rsidR="00F72BDC" w:rsidRPr="00893EB0" w:rsidRDefault="00F72BDC" w:rsidP="00745279">
            <w:pPr>
              <w:bidi/>
              <w:spacing w:before="60" w:after="60" w:line="340" w:lineRule="exact"/>
              <w:ind w:left="57" w:right="57"/>
              <w:rPr>
                <w:rFonts w:cs="Traditional Arabic" w:hint="cs"/>
                <w:sz w:val="30"/>
                <w:szCs w:val="30"/>
                <w:rtl/>
              </w:rPr>
            </w:pPr>
            <w:r w:rsidRPr="00893EB0">
              <w:rPr>
                <w:rFonts w:cs="Traditional Arabic" w:hint="cs"/>
                <w:sz w:val="30"/>
                <w:szCs w:val="30"/>
                <w:rtl/>
              </w:rPr>
              <w:t>بوروندي</w:t>
            </w:r>
          </w:p>
        </w:tc>
        <w:tc>
          <w:tcPr>
            <w:tcW w:w="2954" w:type="dxa"/>
            <w:vAlign w:val="bottom"/>
          </w:tcPr>
          <w:p w:rsidR="00F72BDC" w:rsidRPr="00893EB0" w:rsidRDefault="00F72BDC" w:rsidP="00745279">
            <w:pPr>
              <w:bidi/>
              <w:spacing w:before="60" w:after="60" w:line="340" w:lineRule="exact"/>
              <w:ind w:left="57" w:right="57"/>
              <w:rPr>
                <w:rFonts w:cs="Traditional Arabic" w:hint="cs"/>
                <w:sz w:val="30"/>
                <w:szCs w:val="30"/>
                <w:rtl/>
              </w:rPr>
            </w:pPr>
            <w:r w:rsidRPr="00893EB0">
              <w:rPr>
                <w:rFonts w:cs="Traditional Arabic" w:hint="cs"/>
                <w:sz w:val="30"/>
                <w:szCs w:val="30"/>
                <w:rtl/>
              </w:rPr>
              <w:t>10 حزيران/يونيه 2003</w:t>
            </w:r>
          </w:p>
        </w:tc>
      </w:tr>
      <w:tr w:rsidR="00F72BDC" w:rsidRPr="00893EB0" w:rsidTr="007525FC">
        <w:tblPrEx>
          <w:tblCellMar>
            <w:top w:w="0" w:type="dxa"/>
            <w:bottom w:w="0" w:type="dxa"/>
          </w:tblCellMar>
        </w:tblPrEx>
        <w:trPr>
          <w:cantSplit/>
          <w:trHeight w:val="330"/>
        </w:trPr>
        <w:tc>
          <w:tcPr>
            <w:tcW w:w="4271" w:type="dxa"/>
          </w:tcPr>
          <w:p w:rsidR="00F72BDC" w:rsidRPr="00893EB0" w:rsidRDefault="00F72BDC" w:rsidP="00745279">
            <w:pPr>
              <w:bidi/>
              <w:spacing w:before="60" w:after="60" w:line="340" w:lineRule="exact"/>
              <w:ind w:left="57" w:right="57"/>
              <w:rPr>
                <w:rFonts w:cs="Traditional Arabic" w:hint="cs"/>
                <w:sz w:val="30"/>
                <w:szCs w:val="30"/>
                <w:rtl/>
              </w:rPr>
            </w:pPr>
            <w:r w:rsidRPr="00893EB0">
              <w:rPr>
                <w:rFonts w:cs="Traditional Arabic" w:hint="cs"/>
                <w:sz w:val="30"/>
                <w:szCs w:val="30"/>
                <w:rtl/>
              </w:rPr>
              <w:t>البوسنة والهرسك</w:t>
            </w:r>
          </w:p>
        </w:tc>
        <w:tc>
          <w:tcPr>
            <w:tcW w:w="2954" w:type="dxa"/>
            <w:vAlign w:val="bottom"/>
          </w:tcPr>
          <w:p w:rsidR="00F72BDC" w:rsidRPr="00893EB0" w:rsidRDefault="00F72BDC" w:rsidP="00745279">
            <w:pPr>
              <w:bidi/>
              <w:spacing w:before="60" w:after="60" w:line="340" w:lineRule="exact"/>
              <w:ind w:left="57" w:right="57"/>
              <w:rPr>
                <w:rFonts w:cs="Traditional Arabic" w:hint="cs"/>
                <w:sz w:val="30"/>
                <w:szCs w:val="30"/>
                <w:rtl/>
              </w:rPr>
            </w:pPr>
            <w:r w:rsidRPr="00893EB0">
              <w:rPr>
                <w:rFonts w:cs="Traditional Arabic" w:hint="cs"/>
                <w:sz w:val="30"/>
                <w:szCs w:val="30"/>
                <w:rtl/>
              </w:rPr>
              <w:t>4 حزيران/يونيه 2003</w:t>
            </w:r>
          </w:p>
        </w:tc>
      </w:tr>
      <w:tr w:rsidR="00F72BDC" w:rsidRPr="00893EB0" w:rsidTr="007525FC">
        <w:tblPrEx>
          <w:tblCellMar>
            <w:top w:w="0" w:type="dxa"/>
            <w:bottom w:w="0" w:type="dxa"/>
          </w:tblCellMar>
        </w:tblPrEx>
        <w:trPr>
          <w:cantSplit/>
          <w:trHeight w:val="330"/>
        </w:trPr>
        <w:tc>
          <w:tcPr>
            <w:tcW w:w="4271" w:type="dxa"/>
          </w:tcPr>
          <w:p w:rsidR="00F72BDC" w:rsidRPr="00893EB0" w:rsidRDefault="00F72BDC" w:rsidP="00745279">
            <w:pPr>
              <w:bidi/>
              <w:spacing w:before="60" w:after="60" w:line="340" w:lineRule="exact"/>
              <w:ind w:left="57" w:right="57"/>
              <w:rPr>
                <w:rFonts w:cs="Traditional Arabic" w:hint="cs"/>
                <w:sz w:val="30"/>
                <w:szCs w:val="30"/>
              </w:rPr>
            </w:pPr>
            <w:r w:rsidRPr="00893EB0">
              <w:rPr>
                <w:rFonts w:cs="Traditional Arabic" w:hint="cs"/>
                <w:sz w:val="30"/>
                <w:szCs w:val="30"/>
                <w:rtl/>
              </w:rPr>
              <w:t xml:space="preserve">سيشيل </w:t>
            </w:r>
          </w:p>
        </w:tc>
        <w:tc>
          <w:tcPr>
            <w:tcW w:w="2954" w:type="dxa"/>
            <w:vAlign w:val="bottom"/>
          </w:tcPr>
          <w:p w:rsidR="00F72BDC" w:rsidRPr="00893EB0" w:rsidRDefault="00F72BDC" w:rsidP="00745279">
            <w:pPr>
              <w:bidi/>
              <w:spacing w:before="60" w:after="60" w:line="340" w:lineRule="exact"/>
              <w:ind w:left="57" w:right="57"/>
              <w:rPr>
                <w:rFonts w:cs="Traditional Arabic" w:hint="cs"/>
                <w:sz w:val="30"/>
                <w:szCs w:val="30"/>
                <w:rtl/>
              </w:rPr>
            </w:pPr>
            <w:r w:rsidRPr="00893EB0">
              <w:rPr>
                <w:rFonts w:cs="Traditional Arabic" w:hint="cs"/>
                <w:sz w:val="30"/>
                <w:szCs w:val="30"/>
                <w:rtl/>
              </w:rPr>
              <w:t>6 آب/أغسطس 2001</w:t>
            </w:r>
          </w:p>
        </w:tc>
      </w:tr>
      <w:tr w:rsidR="00F72BDC" w:rsidRPr="00893EB0" w:rsidTr="007525FC">
        <w:tblPrEx>
          <w:tblCellMar>
            <w:top w:w="0" w:type="dxa"/>
            <w:bottom w:w="0" w:type="dxa"/>
          </w:tblCellMar>
        </w:tblPrEx>
        <w:trPr>
          <w:cantSplit/>
          <w:trHeight w:val="312"/>
        </w:trPr>
        <w:tc>
          <w:tcPr>
            <w:tcW w:w="4271" w:type="dxa"/>
          </w:tcPr>
          <w:p w:rsidR="00F72BDC" w:rsidRPr="00893EB0" w:rsidRDefault="00F72BDC" w:rsidP="00745279">
            <w:pPr>
              <w:bidi/>
              <w:spacing w:before="60" w:after="60" w:line="340" w:lineRule="exact"/>
              <w:ind w:left="57" w:right="57"/>
              <w:rPr>
                <w:rFonts w:cs="Traditional Arabic" w:hint="cs"/>
                <w:sz w:val="30"/>
                <w:szCs w:val="30"/>
                <w:rtl/>
              </w:rPr>
            </w:pPr>
            <w:r w:rsidRPr="00893EB0">
              <w:rPr>
                <w:rFonts w:cs="Traditional Arabic" w:hint="cs"/>
                <w:sz w:val="30"/>
                <w:szCs w:val="30"/>
                <w:rtl/>
              </w:rPr>
              <w:t>غواتيمالا</w:t>
            </w:r>
          </w:p>
        </w:tc>
        <w:tc>
          <w:tcPr>
            <w:tcW w:w="2954" w:type="dxa"/>
            <w:vAlign w:val="bottom"/>
          </w:tcPr>
          <w:p w:rsidR="00F72BDC" w:rsidRPr="00893EB0" w:rsidRDefault="00F72BDC" w:rsidP="00745279">
            <w:pPr>
              <w:bidi/>
              <w:spacing w:before="60" w:after="60" w:line="340" w:lineRule="exact"/>
              <w:ind w:left="57" w:right="57"/>
              <w:rPr>
                <w:rFonts w:cs="Traditional Arabic" w:hint="cs"/>
                <w:sz w:val="30"/>
                <w:szCs w:val="30"/>
                <w:rtl/>
              </w:rPr>
            </w:pPr>
            <w:r w:rsidRPr="00893EB0">
              <w:rPr>
                <w:rFonts w:cs="Traditional Arabic" w:hint="cs"/>
                <w:sz w:val="30"/>
                <w:szCs w:val="30"/>
                <w:rtl/>
              </w:rPr>
              <w:t>25 أيلول/سبتمبر 2003</w:t>
            </w:r>
          </w:p>
        </w:tc>
      </w:tr>
      <w:tr w:rsidR="00F72BDC" w:rsidRPr="00893EB0" w:rsidTr="007525FC">
        <w:tblPrEx>
          <w:tblCellMar>
            <w:top w:w="0" w:type="dxa"/>
            <w:bottom w:w="0" w:type="dxa"/>
          </w:tblCellMar>
        </w:tblPrEx>
        <w:trPr>
          <w:cantSplit/>
          <w:trHeight w:val="312"/>
        </w:trPr>
        <w:tc>
          <w:tcPr>
            <w:tcW w:w="4271" w:type="dxa"/>
          </w:tcPr>
          <w:p w:rsidR="00F72BDC" w:rsidRPr="00893EB0" w:rsidRDefault="00F72BDC" w:rsidP="00745279">
            <w:pPr>
              <w:bidi/>
              <w:spacing w:before="60" w:after="60" w:line="340" w:lineRule="exact"/>
              <w:ind w:left="57" w:right="57"/>
              <w:rPr>
                <w:rFonts w:cs="Traditional Arabic" w:hint="cs"/>
                <w:sz w:val="30"/>
                <w:szCs w:val="30"/>
                <w:rtl/>
              </w:rPr>
            </w:pPr>
            <w:r w:rsidRPr="00893EB0">
              <w:rPr>
                <w:rFonts w:cs="Traditional Arabic" w:hint="cs"/>
                <w:sz w:val="30"/>
                <w:szCs w:val="30"/>
                <w:rtl/>
              </w:rPr>
              <w:t>المغرب</w:t>
            </w:r>
          </w:p>
        </w:tc>
        <w:tc>
          <w:tcPr>
            <w:tcW w:w="2954" w:type="dxa"/>
            <w:vAlign w:val="bottom"/>
          </w:tcPr>
          <w:p w:rsidR="00F72BDC" w:rsidRPr="00893EB0" w:rsidRDefault="00F72BDC" w:rsidP="00745279">
            <w:pPr>
              <w:bidi/>
              <w:spacing w:before="60" w:after="60" w:line="340" w:lineRule="exact"/>
              <w:ind w:left="57" w:right="57"/>
              <w:rPr>
                <w:rFonts w:cs="Traditional Arabic" w:hint="cs"/>
                <w:sz w:val="30"/>
                <w:szCs w:val="30"/>
                <w:rtl/>
              </w:rPr>
            </w:pPr>
            <w:r w:rsidRPr="00893EB0">
              <w:rPr>
                <w:rFonts w:cs="Traditional Arabic" w:hint="cs"/>
                <w:sz w:val="30"/>
                <w:szCs w:val="30"/>
                <w:rtl/>
              </w:rPr>
              <w:t>19 تشرين الأول/أكتوبر 2006</w:t>
            </w:r>
          </w:p>
        </w:tc>
      </w:tr>
      <w:tr w:rsidR="00F72BDC" w:rsidRPr="00893EB0" w:rsidTr="007525FC">
        <w:tblPrEx>
          <w:tblCellMar>
            <w:top w:w="0" w:type="dxa"/>
            <w:bottom w:w="0" w:type="dxa"/>
          </w:tblCellMar>
        </w:tblPrEx>
        <w:trPr>
          <w:cantSplit/>
          <w:trHeight w:val="330"/>
        </w:trPr>
        <w:tc>
          <w:tcPr>
            <w:tcW w:w="4271" w:type="dxa"/>
            <w:tcBorders>
              <w:bottom w:val="single" w:sz="12" w:space="0" w:color="auto"/>
            </w:tcBorders>
          </w:tcPr>
          <w:p w:rsidR="00F72BDC" w:rsidRPr="00893EB0" w:rsidRDefault="00F72BDC" w:rsidP="00745279">
            <w:pPr>
              <w:bidi/>
              <w:spacing w:before="60" w:after="60" w:line="340" w:lineRule="exact"/>
              <w:ind w:left="57" w:right="57"/>
              <w:rPr>
                <w:rFonts w:cs="Traditional Arabic" w:hint="cs"/>
                <w:sz w:val="30"/>
                <w:szCs w:val="30"/>
              </w:rPr>
            </w:pPr>
            <w:r w:rsidRPr="00893EB0">
              <w:rPr>
                <w:rFonts w:cs="Traditional Arabic" w:hint="cs"/>
                <w:sz w:val="30"/>
                <w:szCs w:val="30"/>
                <w:rtl/>
              </w:rPr>
              <w:t xml:space="preserve">المكسيك </w:t>
            </w:r>
          </w:p>
        </w:tc>
        <w:tc>
          <w:tcPr>
            <w:tcW w:w="2954" w:type="dxa"/>
            <w:tcBorders>
              <w:bottom w:val="single" w:sz="12" w:space="0" w:color="auto"/>
            </w:tcBorders>
            <w:vAlign w:val="bottom"/>
          </w:tcPr>
          <w:p w:rsidR="00F72BDC" w:rsidRPr="00893EB0" w:rsidRDefault="00F72BDC" w:rsidP="00745279">
            <w:pPr>
              <w:bidi/>
              <w:spacing w:before="60" w:after="60" w:line="340" w:lineRule="exact"/>
              <w:ind w:left="57" w:right="57"/>
              <w:rPr>
                <w:rFonts w:cs="Traditional Arabic" w:hint="cs"/>
                <w:sz w:val="30"/>
                <w:szCs w:val="30"/>
                <w:rtl/>
              </w:rPr>
            </w:pPr>
            <w:r w:rsidRPr="00893EB0">
              <w:rPr>
                <w:rFonts w:cs="Traditional Arabic" w:hint="cs"/>
                <w:sz w:val="30"/>
                <w:szCs w:val="30"/>
                <w:rtl/>
              </w:rPr>
              <w:t>15 آذار/مارس 2002</w:t>
            </w:r>
          </w:p>
        </w:tc>
      </w:tr>
    </w:tbl>
    <w:p w:rsidR="00F72BDC" w:rsidRPr="007525FC" w:rsidRDefault="00F72BDC" w:rsidP="007525FC">
      <w:pPr>
        <w:pStyle w:val="SingleTxtGA"/>
        <w:spacing w:before="120" w:line="300" w:lineRule="exact"/>
        <w:jc w:val="left"/>
        <w:rPr>
          <w:i/>
          <w:iCs/>
          <w:sz w:val="30"/>
          <w:rtl/>
          <w:lang w:val="fr-CH"/>
        </w:rPr>
      </w:pPr>
      <w:r w:rsidRPr="007525FC">
        <w:rPr>
          <w:i/>
          <w:iCs/>
          <w:sz w:val="30"/>
          <w:rtl/>
          <w:lang w:val="fr-CH"/>
        </w:rPr>
        <w:t>الحواشي</w:t>
      </w:r>
    </w:p>
    <w:p w:rsidR="00F72BDC" w:rsidRPr="007525FC" w:rsidRDefault="00F72BDC" w:rsidP="007525FC">
      <w:pPr>
        <w:pStyle w:val="SingleTxtGA"/>
        <w:tabs>
          <w:tab w:val="clear" w:pos="1928"/>
          <w:tab w:val="clear" w:pos="2608"/>
          <w:tab w:val="left" w:pos="1786"/>
          <w:tab w:val="left" w:pos="2472"/>
        </w:tabs>
        <w:spacing w:after="60" w:line="300" w:lineRule="exact"/>
        <w:jc w:val="left"/>
        <w:rPr>
          <w:sz w:val="18"/>
          <w:szCs w:val="26"/>
          <w:rtl/>
          <w:lang w:val="fr-CH"/>
        </w:rPr>
      </w:pPr>
      <w:r w:rsidRPr="007525FC">
        <w:rPr>
          <w:rFonts w:hint="cs"/>
          <w:sz w:val="18"/>
          <w:szCs w:val="26"/>
          <w:rtl/>
          <w:lang w:val="fr-CH"/>
        </w:rPr>
        <w:tab/>
      </w:r>
      <w:r w:rsidRPr="007525FC">
        <w:rPr>
          <w:sz w:val="18"/>
          <w:szCs w:val="26"/>
          <w:rtl/>
          <w:lang w:val="fr-CH"/>
        </w:rPr>
        <w:t>(أ)</w:t>
      </w:r>
      <w:r w:rsidRPr="007525FC">
        <w:rPr>
          <w:sz w:val="18"/>
          <w:szCs w:val="26"/>
          <w:rtl/>
          <w:lang w:val="fr-CH"/>
        </w:rPr>
        <w:tab/>
        <w:t>أصدر ما مجموعه 61 دولة طرفاً الإعلان المنصوص عليه في المادة 21.</w:t>
      </w:r>
    </w:p>
    <w:p w:rsidR="00F72BDC" w:rsidRPr="007525FC" w:rsidRDefault="00F72BDC" w:rsidP="007525FC">
      <w:pPr>
        <w:pStyle w:val="SingleTxtGA"/>
        <w:tabs>
          <w:tab w:val="clear" w:pos="1928"/>
          <w:tab w:val="clear" w:pos="2608"/>
          <w:tab w:val="left" w:pos="1786"/>
          <w:tab w:val="left" w:pos="2472"/>
        </w:tabs>
        <w:spacing w:after="60" w:line="300" w:lineRule="exact"/>
        <w:jc w:val="left"/>
        <w:rPr>
          <w:sz w:val="18"/>
          <w:szCs w:val="26"/>
          <w:rtl/>
          <w:lang w:val="fr-CH"/>
        </w:rPr>
      </w:pPr>
      <w:r w:rsidRPr="007525FC">
        <w:rPr>
          <w:rFonts w:hint="cs"/>
          <w:sz w:val="18"/>
          <w:szCs w:val="26"/>
          <w:rtl/>
          <w:lang w:val="fr-CH"/>
        </w:rPr>
        <w:tab/>
      </w:r>
      <w:r w:rsidRPr="007525FC">
        <w:rPr>
          <w:sz w:val="18"/>
          <w:szCs w:val="26"/>
          <w:rtl/>
          <w:lang w:val="fr-CH"/>
        </w:rPr>
        <w:t>(ب)</w:t>
      </w:r>
      <w:r w:rsidRPr="007525FC">
        <w:rPr>
          <w:sz w:val="18"/>
          <w:szCs w:val="26"/>
          <w:rtl/>
          <w:lang w:val="fr-CH"/>
        </w:rPr>
        <w:tab/>
        <w:t>أصدر ما مجموعه 65 دولة طرفاً الإعلان المنصوص عليه في المادة 22.</w:t>
      </w:r>
    </w:p>
    <w:p w:rsidR="00F72BDC" w:rsidRPr="007525FC" w:rsidRDefault="00F72BDC" w:rsidP="007525FC">
      <w:pPr>
        <w:pStyle w:val="SingleTxtGA"/>
        <w:tabs>
          <w:tab w:val="clear" w:pos="1928"/>
          <w:tab w:val="clear" w:pos="2608"/>
          <w:tab w:val="left" w:pos="1786"/>
          <w:tab w:val="left" w:pos="2472"/>
        </w:tabs>
        <w:spacing w:after="60" w:line="300" w:lineRule="exact"/>
        <w:rPr>
          <w:rFonts w:hint="cs"/>
          <w:spacing w:val="6"/>
          <w:kern w:val="16"/>
          <w:sz w:val="18"/>
          <w:szCs w:val="26"/>
          <w:rtl/>
        </w:rPr>
      </w:pPr>
      <w:r w:rsidRPr="007525FC">
        <w:rPr>
          <w:rFonts w:hint="cs"/>
          <w:sz w:val="18"/>
          <w:szCs w:val="26"/>
          <w:rtl/>
          <w:lang w:val="fr-CH"/>
        </w:rPr>
        <w:tab/>
      </w:r>
      <w:r w:rsidRPr="007525FC">
        <w:rPr>
          <w:sz w:val="18"/>
          <w:szCs w:val="26"/>
          <w:rtl/>
          <w:lang w:val="fr-CH"/>
        </w:rPr>
        <w:t>(ج)</w:t>
      </w:r>
      <w:r w:rsidRPr="007525FC">
        <w:rPr>
          <w:sz w:val="18"/>
          <w:szCs w:val="26"/>
          <w:rtl/>
          <w:lang w:val="fr-CH"/>
        </w:rPr>
        <w:tab/>
        <w:t>الدول الأطراف التي أصدرت الإعلان المنصوص عليه في المادتين 21 و22 بالخلافة.</w:t>
      </w:r>
    </w:p>
    <w:p w:rsidR="00F72BDC" w:rsidRPr="00115F87" w:rsidRDefault="007525FC" w:rsidP="007525FC">
      <w:pPr>
        <w:pStyle w:val="HChGA"/>
        <w:spacing w:before="120"/>
        <w:rPr>
          <w:rtl/>
          <w:lang w:val="fr-CH"/>
        </w:rPr>
      </w:pPr>
      <w:r>
        <w:rPr>
          <w:rtl/>
          <w:lang w:val="fr-CH"/>
        </w:rPr>
        <w:br w:type="page"/>
      </w:r>
      <w:r w:rsidR="00F72BDC" w:rsidRPr="00115F87">
        <w:rPr>
          <w:rtl/>
          <w:lang w:val="fr-CH"/>
        </w:rPr>
        <w:t>المرفق الرابع</w:t>
      </w:r>
    </w:p>
    <w:p w:rsidR="00F72BDC" w:rsidRDefault="00F72BDC" w:rsidP="009B0D18">
      <w:pPr>
        <w:pStyle w:val="HChGA"/>
        <w:rPr>
          <w:rFonts w:hint="cs"/>
          <w:rtl/>
          <w:lang w:val="fr-CH"/>
        </w:rPr>
      </w:pPr>
      <w:r w:rsidRPr="00115F87">
        <w:rPr>
          <w:rtl/>
          <w:lang w:val="fr-CH"/>
        </w:rPr>
        <w:tab/>
      </w:r>
      <w:r w:rsidRPr="00115F87">
        <w:rPr>
          <w:rtl/>
          <w:lang w:val="fr-CH"/>
        </w:rPr>
        <w:tab/>
        <w:t xml:space="preserve">أعضاء لجنة مناهضة التعذيب في عام </w:t>
      </w:r>
      <w:r w:rsidR="009B0D18">
        <w:rPr>
          <w:rFonts w:hint="cs"/>
          <w:rtl/>
          <w:lang w:val="fr-CH"/>
        </w:rPr>
        <w:t>2013</w:t>
      </w:r>
    </w:p>
    <w:tbl>
      <w:tblPr>
        <w:bidiVisual/>
        <w:tblW w:w="7270" w:type="dxa"/>
        <w:tblInd w:w="1268" w:type="dxa"/>
        <w:tblCellMar>
          <w:left w:w="0" w:type="dxa"/>
          <w:right w:w="0" w:type="dxa"/>
        </w:tblCellMar>
        <w:tblLook w:val="0000"/>
      </w:tblPr>
      <w:tblGrid>
        <w:gridCol w:w="2714"/>
        <w:gridCol w:w="2455"/>
        <w:gridCol w:w="2101"/>
      </w:tblGrid>
      <w:tr w:rsidR="00F72BDC" w:rsidRPr="001B47DC" w:rsidTr="007C5F1F">
        <w:tblPrEx>
          <w:tblCellMar>
            <w:top w:w="0" w:type="dxa"/>
            <w:bottom w:w="0" w:type="dxa"/>
          </w:tblCellMar>
        </w:tblPrEx>
        <w:tc>
          <w:tcPr>
            <w:tcW w:w="2714" w:type="dxa"/>
            <w:tcBorders>
              <w:top w:val="single" w:sz="4" w:space="0" w:color="auto"/>
              <w:bottom w:val="single" w:sz="12" w:space="0" w:color="auto"/>
            </w:tcBorders>
            <w:vAlign w:val="bottom"/>
          </w:tcPr>
          <w:p w:rsidR="00F72BDC" w:rsidRPr="001B47DC" w:rsidRDefault="00F72BDC" w:rsidP="00F72BDC">
            <w:pPr>
              <w:bidi/>
              <w:spacing w:before="60" w:after="60" w:line="320" w:lineRule="exact"/>
              <w:ind w:left="57" w:right="227"/>
              <w:rPr>
                <w:rFonts w:cs="Traditional Arabic" w:hint="cs"/>
                <w:i/>
                <w:iCs/>
                <w:szCs w:val="28"/>
                <w:rtl/>
              </w:rPr>
            </w:pPr>
            <w:r w:rsidRPr="001B47DC">
              <w:rPr>
                <w:rFonts w:cs="Traditional Arabic" w:hint="cs"/>
                <w:i/>
                <w:iCs/>
                <w:szCs w:val="28"/>
                <w:rtl/>
              </w:rPr>
              <w:t>اسم العضو</w:t>
            </w:r>
          </w:p>
        </w:tc>
        <w:tc>
          <w:tcPr>
            <w:tcW w:w="2455" w:type="dxa"/>
            <w:tcBorders>
              <w:top w:val="single" w:sz="4" w:space="0" w:color="auto"/>
              <w:bottom w:val="single" w:sz="12" w:space="0" w:color="auto"/>
            </w:tcBorders>
            <w:vAlign w:val="bottom"/>
          </w:tcPr>
          <w:p w:rsidR="00F72BDC" w:rsidRPr="001B47DC" w:rsidRDefault="00F72BDC" w:rsidP="00F72BDC">
            <w:pPr>
              <w:bidi/>
              <w:spacing w:before="60" w:after="60" w:line="320" w:lineRule="exact"/>
              <w:ind w:left="57" w:right="227"/>
              <w:rPr>
                <w:rFonts w:cs="Traditional Arabic" w:hint="cs"/>
                <w:i/>
                <w:iCs/>
                <w:szCs w:val="28"/>
                <w:rtl/>
              </w:rPr>
            </w:pPr>
            <w:r w:rsidRPr="001B47DC">
              <w:rPr>
                <w:rFonts w:cs="Traditional Arabic" w:hint="cs"/>
                <w:i/>
                <w:iCs/>
                <w:szCs w:val="28"/>
                <w:rtl/>
              </w:rPr>
              <w:t>بلد الجنسية</w:t>
            </w:r>
          </w:p>
        </w:tc>
        <w:tc>
          <w:tcPr>
            <w:tcW w:w="2101" w:type="dxa"/>
            <w:tcBorders>
              <w:top w:val="single" w:sz="4" w:space="0" w:color="auto"/>
              <w:bottom w:val="single" w:sz="12" w:space="0" w:color="auto"/>
            </w:tcBorders>
          </w:tcPr>
          <w:p w:rsidR="00F72BDC" w:rsidRPr="001B47DC" w:rsidRDefault="00F72BDC" w:rsidP="00F72BDC">
            <w:pPr>
              <w:bidi/>
              <w:spacing w:before="60" w:after="60" w:line="320" w:lineRule="exact"/>
              <w:ind w:left="57" w:right="57"/>
              <w:rPr>
                <w:rFonts w:cs="Traditional Arabic" w:hint="cs"/>
                <w:i/>
                <w:iCs/>
                <w:szCs w:val="28"/>
              </w:rPr>
            </w:pPr>
            <w:r w:rsidRPr="001B47DC">
              <w:rPr>
                <w:rFonts w:cs="Traditional Arabic" w:hint="cs"/>
                <w:i/>
                <w:iCs/>
                <w:szCs w:val="28"/>
                <w:rtl/>
              </w:rPr>
              <w:t xml:space="preserve">مدة العضوية تنتهي في 31 كانون الأول/ديسمبر </w:t>
            </w:r>
          </w:p>
        </w:tc>
      </w:tr>
      <w:tr w:rsidR="00F72BDC" w:rsidRPr="001B47DC" w:rsidTr="007C5F1F">
        <w:tblPrEx>
          <w:tblCellMar>
            <w:top w:w="0" w:type="dxa"/>
            <w:bottom w:w="0" w:type="dxa"/>
          </w:tblCellMar>
        </w:tblPrEx>
        <w:tc>
          <w:tcPr>
            <w:tcW w:w="2714" w:type="dxa"/>
            <w:tcBorders>
              <w:top w:val="single" w:sz="12" w:space="0" w:color="auto"/>
            </w:tcBorders>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 xml:space="preserve">السيدة السعدية </w:t>
            </w:r>
            <w:r w:rsidRPr="001B47DC">
              <w:rPr>
                <w:rFonts w:cs="Traditional Arabic" w:hint="cs"/>
                <w:b/>
                <w:bCs/>
                <w:szCs w:val="28"/>
                <w:rtl/>
              </w:rPr>
              <w:t>بلمير</w:t>
            </w:r>
            <w:r w:rsidRPr="001B47DC">
              <w:rPr>
                <w:rFonts w:cs="Traditional Arabic"/>
                <w:szCs w:val="28"/>
                <w:rtl/>
              </w:rPr>
              <w:br/>
            </w:r>
            <w:r w:rsidRPr="001B47DC">
              <w:rPr>
                <w:rFonts w:cs="Traditional Arabic" w:hint="cs"/>
                <w:szCs w:val="28"/>
                <w:rtl/>
              </w:rPr>
              <w:t>(نائبة الرئيس)</w:t>
            </w:r>
          </w:p>
        </w:tc>
        <w:tc>
          <w:tcPr>
            <w:tcW w:w="2455" w:type="dxa"/>
            <w:tcBorders>
              <w:top w:val="single" w:sz="12" w:space="0" w:color="auto"/>
            </w:tcBorders>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المغرب</w:t>
            </w:r>
          </w:p>
        </w:tc>
        <w:tc>
          <w:tcPr>
            <w:tcW w:w="2101" w:type="dxa"/>
            <w:tcBorders>
              <w:top w:val="single" w:sz="12" w:space="0" w:color="auto"/>
            </w:tcBorders>
          </w:tcPr>
          <w:p w:rsidR="00F72BDC" w:rsidRPr="001B47DC" w:rsidRDefault="00F72BDC" w:rsidP="00F72BDC">
            <w:pPr>
              <w:bidi/>
              <w:spacing w:before="60" w:after="60" w:line="320" w:lineRule="exact"/>
              <w:ind w:left="57" w:right="57"/>
              <w:rPr>
                <w:rFonts w:cs="Traditional Arabic" w:hint="cs"/>
                <w:szCs w:val="28"/>
                <w:rtl/>
              </w:rPr>
            </w:pPr>
            <w:r w:rsidRPr="001B47DC">
              <w:rPr>
                <w:rFonts w:cs="Traditional Arabic" w:hint="cs"/>
                <w:szCs w:val="28"/>
                <w:rtl/>
              </w:rPr>
              <w:t>2013</w:t>
            </w:r>
          </w:p>
        </w:tc>
      </w:tr>
      <w:tr w:rsidR="00F72BDC" w:rsidRPr="001B47DC" w:rsidTr="007C5F1F">
        <w:tblPrEx>
          <w:tblCellMar>
            <w:top w:w="0" w:type="dxa"/>
            <w:bottom w:w="0" w:type="dxa"/>
          </w:tblCellMar>
        </w:tblPrEx>
        <w:tc>
          <w:tcPr>
            <w:tcW w:w="2714" w:type="dxa"/>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 xml:space="preserve">السيد أليسيو </w:t>
            </w:r>
            <w:r w:rsidRPr="001B47DC">
              <w:rPr>
                <w:rFonts w:cs="Traditional Arabic" w:hint="cs"/>
                <w:b/>
                <w:bCs/>
                <w:szCs w:val="28"/>
                <w:rtl/>
              </w:rPr>
              <w:t>بروني</w:t>
            </w:r>
          </w:p>
        </w:tc>
        <w:tc>
          <w:tcPr>
            <w:tcW w:w="2455" w:type="dxa"/>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إيطاليا</w:t>
            </w:r>
          </w:p>
        </w:tc>
        <w:tc>
          <w:tcPr>
            <w:tcW w:w="2101" w:type="dxa"/>
          </w:tcPr>
          <w:p w:rsidR="00F72BDC" w:rsidRPr="001B47DC" w:rsidRDefault="00F72BDC" w:rsidP="00F72BDC">
            <w:pPr>
              <w:bidi/>
              <w:spacing w:before="60" w:after="60" w:line="320" w:lineRule="exact"/>
              <w:ind w:left="57" w:right="57"/>
              <w:rPr>
                <w:rFonts w:cs="Traditional Arabic" w:hint="cs"/>
                <w:szCs w:val="28"/>
                <w:rtl/>
              </w:rPr>
            </w:pPr>
            <w:r w:rsidRPr="001B47DC">
              <w:rPr>
                <w:rFonts w:cs="Traditional Arabic" w:hint="cs"/>
                <w:szCs w:val="28"/>
                <w:rtl/>
              </w:rPr>
              <w:t>2013</w:t>
            </w:r>
          </w:p>
        </w:tc>
      </w:tr>
      <w:tr w:rsidR="00F72BDC" w:rsidRPr="001B47DC" w:rsidTr="007C5F1F">
        <w:tblPrEx>
          <w:tblCellMar>
            <w:top w:w="0" w:type="dxa"/>
            <w:bottom w:w="0" w:type="dxa"/>
          </w:tblCellMar>
        </w:tblPrEx>
        <w:tc>
          <w:tcPr>
            <w:tcW w:w="2714" w:type="dxa"/>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 xml:space="preserve">السيد ساتيابهوشون غوبت </w:t>
            </w:r>
            <w:r w:rsidRPr="001B47DC">
              <w:rPr>
                <w:rFonts w:cs="Traditional Arabic" w:hint="cs"/>
                <w:b/>
                <w:bCs/>
                <w:szCs w:val="28"/>
                <w:rtl/>
              </w:rPr>
              <w:t>دوماه</w:t>
            </w:r>
          </w:p>
        </w:tc>
        <w:tc>
          <w:tcPr>
            <w:tcW w:w="2455" w:type="dxa"/>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موريشيوس</w:t>
            </w:r>
          </w:p>
        </w:tc>
        <w:tc>
          <w:tcPr>
            <w:tcW w:w="2101" w:type="dxa"/>
          </w:tcPr>
          <w:p w:rsidR="00F72BDC" w:rsidRPr="001B47DC" w:rsidRDefault="00F72BDC" w:rsidP="00F72BDC">
            <w:pPr>
              <w:bidi/>
              <w:spacing w:before="60" w:after="60" w:line="320" w:lineRule="exact"/>
              <w:ind w:left="57" w:right="57"/>
              <w:rPr>
                <w:rFonts w:cs="Traditional Arabic" w:hint="cs"/>
                <w:szCs w:val="28"/>
                <w:rtl/>
              </w:rPr>
            </w:pPr>
            <w:r w:rsidRPr="001B47DC">
              <w:rPr>
                <w:rFonts w:cs="Traditional Arabic" w:hint="cs"/>
                <w:szCs w:val="28"/>
                <w:rtl/>
              </w:rPr>
              <w:t>2015</w:t>
            </w:r>
          </w:p>
        </w:tc>
      </w:tr>
      <w:tr w:rsidR="00F72BDC" w:rsidRPr="001B47DC" w:rsidTr="007C5F1F">
        <w:tblPrEx>
          <w:tblCellMar>
            <w:top w:w="0" w:type="dxa"/>
            <w:bottom w:w="0" w:type="dxa"/>
          </w:tblCellMar>
        </w:tblPrEx>
        <w:tc>
          <w:tcPr>
            <w:tcW w:w="2714" w:type="dxa"/>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 xml:space="preserve">السيدة فيليس </w:t>
            </w:r>
            <w:r w:rsidRPr="001B47DC">
              <w:rPr>
                <w:rFonts w:cs="Traditional Arabic" w:hint="cs"/>
                <w:b/>
                <w:bCs/>
                <w:szCs w:val="28"/>
                <w:rtl/>
              </w:rPr>
              <w:t>غاير</w:t>
            </w:r>
            <w:r w:rsidRPr="001B47DC">
              <w:rPr>
                <w:rFonts w:cs="Traditional Arabic"/>
                <w:szCs w:val="28"/>
                <w:rtl/>
              </w:rPr>
              <w:br/>
            </w:r>
            <w:r w:rsidRPr="001B47DC">
              <w:rPr>
                <w:rFonts w:cs="Traditional Arabic" w:hint="cs"/>
                <w:szCs w:val="28"/>
                <w:rtl/>
              </w:rPr>
              <w:t>(نائب</w:t>
            </w:r>
            <w:r w:rsidR="000B1767">
              <w:rPr>
                <w:rFonts w:cs="Traditional Arabic" w:hint="cs"/>
                <w:szCs w:val="28"/>
                <w:rtl/>
              </w:rPr>
              <w:t>ة</w:t>
            </w:r>
            <w:r w:rsidRPr="001B47DC">
              <w:rPr>
                <w:rFonts w:cs="Traditional Arabic" w:hint="cs"/>
                <w:szCs w:val="28"/>
                <w:rtl/>
              </w:rPr>
              <w:t xml:space="preserve"> الرئيس)</w:t>
            </w:r>
          </w:p>
        </w:tc>
        <w:tc>
          <w:tcPr>
            <w:tcW w:w="2455" w:type="dxa"/>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الولايات المتحدة الأمريكية</w:t>
            </w:r>
          </w:p>
        </w:tc>
        <w:tc>
          <w:tcPr>
            <w:tcW w:w="2101" w:type="dxa"/>
          </w:tcPr>
          <w:p w:rsidR="00F72BDC" w:rsidRPr="001B47DC" w:rsidRDefault="000B1767" w:rsidP="00F72BDC">
            <w:pPr>
              <w:bidi/>
              <w:spacing w:before="60" w:after="60" w:line="320" w:lineRule="exact"/>
              <w:ind w:left="57" w:right="57"/>
              <w:rPr>
                <w:rFonts w:cs="Traditional Arabic" w:hint="cs"/>
                <w:szCs w:val="28"/>
              </w:rPr>
            </w:pPr>
            <w:r>
              <w:rPr>
                <w:rFonts w:cs="Traditional Arabic" w:hint="cs"/>
                <w:szCs w:val="28"/>
                <w:rtl/>
              </w:rPr>
              <w:t>2015</w:t>
            </w:r>
          </w:p>
        </w:tc>
      </w:tr>
      <w:tr w:rsidR="00F72BDC" w:rsidRPr="001B47DC" w:rsidTr="007C5F1F">
        <w:tblPrEx>
          <w:tblCellMar>
            <w:top w:w="0" w:type="dxa"/>
            <w:bottom w:w="0" w:type="dxa"/>
          </w:tblCellMar>
        </w:tblPrEx>
        <w:tc>
          <w:tcPr>
            <w:tcW w:w="2714" w:type="dxa"/>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 xml:space="preserve">السيد عبدولاي </w:t>
            </w:r>
            <w:r w:rsidRPr="001B47DC">
              <w:rPr>
                <w:rFonts w:cs="Traditional Arabic" w:hint="cs"/>
                <w:b/>
                <w:bCs/>
                <w:szCs w:val="28"/>
                <w:rtl/>
              </w:rPr>
              <w:t>غاي</w:t>
            </w:r>
          </w:p>
        </w:tc>
        <w:tc>
          <w:tcPr>
            <w:tcW w:w="2455" w:type="dxa"/>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السنغال</w:t>
            </w:r>
          </w:p>
        </w:tc>
        <w:tc>
          <w:tcPr>
            <w:tcW w:w="2101" w:type="dxa"/>
          </w:tcPr>
          <w:p w:rsidR="00F72BDC" w:rsidRPr="001B47DC" w:rsidRDefault="00F72BDC" w:rsidP="00F72BDC">
            <w:pPr>
              <w:bidi/>
              <w:spacing w:before="60" w:after="60" w:line="320" w:lineRule="exact"/>
              <w:ind w:left="57" w:right="57"/>
              <w:rPr>
                <w:rFonts w:cs="Traditional Arabic" w:hint="cs"/>
                <w:szCs w:val="28"/>
                <w:rtl/>
              </w:rPr>
            </w:pPr>
            <w:r w:rsidRPr="001B47DC">
              <w:rPr>
                <w:rFonts w:cs="Traditional Arabic" w:hint="cs"/>
                <w:szCs w:val="28"/>
                <w:rtl/>
              </w:rPr>
              <w:t>2015</w:t>
            </w:r>
          </w:p>
        </w:tc>
      </w:tr>
      <w:tr w:rsidR="00F72BDC" w:rsidRPr="001B47DC" w:rsidTr="007C5F1F">
        <w:tblPrEx>
          <w:tblCellMar>
            <w:top w:w="0" w:type="dxa"/>
            <w:bottom w:w="0" w:type="dxa"/>
          </w:tblCellMar>
        </w:tblPrEx>
        <w:tc>
          <w:tcPr>
            <w:tcW w:w="2714" w:type="dxa"/>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 xml:space="preserve">السيد كلاوديو </w:t>
            </w:r>
            <w:r w:rsidRPr="001B47DC">
              <w:rPr>
                <w:rFonts w:cs="Traditional Arabic" w:hint="cs"/>
                <w:b/>
                <w:bCs/>
                <w:szCs w:val="28"/>
                <w:rtl/>
              </w:rPr>
              <w:t>غروسمان</w:t>
            </w:r>
            <w:r w:rsidRPr="001B47DC">
              <w:rPr>
                <w:rFonts w:cs="Traditional Arabic"/>
                <w:szCs w:val="28"/>
                <w:rtl/>
              </w:rPr>
              <w:br/>
            </w:r>
            <w:r w:rsidRPr="001B47DC">
              <w:rPr>
                <w:rFonts w:cs="Traditional Arabic" w:hint="cs"/>
                <w:szCs w:val="28"/>
                <w:rtl/>
              </w:rPr>
              <w:t>(الرئيس)</w:t>
            </w:r>
          </w:p>
        </w:tc>
        <w:tc>
          <w:tcPr>
            <w:tcW w:w="2455" w:type="dxa"/>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شيلي</w:t>
            </w:r>
          </w:p>
        </w:tc>
        <w:tc>
          <w:tcPr>
            <w:tcW w:w="2101" w:type="dxa"/>
          </w:tcPr>
          <w:p w:rsidR="00F72BDC" w:rsidRPr="001B47DC" w:rsidRDefault="00F72BDC" w:rsidP="00F72BDC">
            <w:pPr>
              <w:bidi/>
              <w:spacing w:before="60" w:after="60" w:line="320" w:lineRule="exact"/>
              <w:ind w:left="57" w:right="57"/>
              <w:rPr>
                <w:rFonts w:cs="Traditional Arabic" w:hint="cs"/>
                <w:szCs w:val="28"/>
                <w:rtl/>
              </w:rPr>
            </w:pPr>
            <w:r w:rsidRPr="001B47DC">
              <w:rPr>
                <w:rFonts w:cs="Traditional Arabic" w:hint="cs"/>
                <w:szCs w:val="28"/>
                <w:rtl/>
              </w:rPr>
              <w:t>2015</w:t>
            </w:r>
          </w:p>
        </w:tc>
      </w:tr>
      <w:tr w:rsidR="00F72BDC" w:rsidRPr="001B47DC" w:rsidTr="007C5F1F">
        <w:tblPrEx>
          <w:tblCellMar>
            <w:top w:w="0" w:type="dxa"/>
            <w:bottom w:w="0" w:type="dxa"/>
          </w:tblCellMar>
        </w:tblPrEx>
        <w:tc>
          <w:tcPr>
            <w:tcW w:w="2714" w:type="dxa"/>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 xml:space="preserve">السيد فرناندو مارينيو </w:t>
            </w:r>
            <w:r w:rsidRPr="001B47DC">
              <w:rPr>
                <w:rFonts w:cs="Traditional Arabic" w:hint="cs"/>
                <w:b/>
                <w:bCs/>
                <w:szCs w:val="28"/>
                <w:rtl/>
              </w:rPr>
              <w:t>مينيديز</w:t>
            </w:r>
          </w:p>
        </w:tc>
        <w:tc>
          <w:tcPr>
            <w:tcW w:w="2455" w:type="dxa"/>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إسبانيا</w:t>
            </w:r>
          </w:p>
        </w:tc>
        <w:tc>
          <w:tcPr>
            <w:tcW w:w="2101" w:type="dxa"/>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2013</w:t>
            </w:r>
          </w:p>
        </w:tc>
      </w:tr>
      <w:tr w:rsidR="00F72BDC" w:rsidRPr="001B47DC" w:rsidTr="007C5F1F">
        <w:tblPrEx>
          <w:tblCellMar>
            <w:top w:w="0" w:type="dxa"/>
            <w:bottom w:w="0" w:type="dxa"/>
          </w:tblCellMar>
        </w:tblPrEx>
        <w:tc>
          <w:tcPr>
            <w:tcW w:w="2714" w:type="dxa"/>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 xml:space="preserve">السيدة نورا </w:t>
            </w:r>
            <w:r w:rsidRPr="001B47DC">
              <w:rPr>
                <w:rFonts w:cs="Traditional Arabic" w:hint="cs"/>
                <w:b/>
                <w:bCs/>
                <w:szCs w:val="28"/>
                <w:rtl/>
              </w:rPr>
              <w:t>سفياس</w:t>
            </w:r>
            <w:r w:rsidRPr="001B47DC">
              <w:rPr>
                <w:rFonts w:cs="Traditional Arabic"/>
                <w:szCs w:val="28"/>
                <w:rtl/>
              </w:rPr>
              <w:br/>
            </w:r>
            <w:r w:rsidRPr="001B47DC">
              <w:rPr>
                <w:rFonts w:cs="Traditional Arabic" w:hint="cs"/>
                <w:szCs w:val="28"/>
                <w:rtl/>
              </w:rPr>
              <w:t>(المقررة)</w:t>
            </w:r>
          </w:p>
        </w:tc>
        <w:tc>
          <w:tcPr>
            <w:tcW w:w="2455" w:type="dxa"/>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النرويج</w:t>
            </w:r>
          </w:p>
        </w:tc>
        <w:tc>
          <w:tcPr>
            <w:tcW w:w="2101" w:type="dxa"/>
          </w:tcPr>
          <w:p w:rsidR="00F72BDC" w:rsidRPr="001B47DC" w:rsidRDefault="00F72BDC" w:rsidP="00F72BDC">
            <w:pPr>
              <w:bidi/>
              <w:spacing w:before="60" w:after="60" w:line="320" w:lineRule="exact"/>
              <w:ind w:left="57" w:right="57"/>
              <w:rPr>
                <w:rFonts w:cs="Traditional Arabic" w:hint="cs"/>
                <w:szCs w:val="28"/>
                <w:rtl/>
              </w:rPr>
            </w:pPr>
            <w:r w:rsidRPr="001B47DC">
              <w:rPr>
                <w:rFonts w:cs="Traditional Arabic" w:hint="cs"/>
                <w:szCs w:val="28"/>
                <w:rtl/>
              </w:rPr>
              <w:t>2013</w:t>
            </w:r>
          </w:p>
        </w:tc>
      </w:tr>
      <w:tr w:rsidR="00F72BDC" w:rsidRPr="001B47DC" w:rsidTr="007C5F1F">
        <w:tblPrEx>
          <w:tblCellMar>
            <w:top w:w="0" w:type="dxa"/>
            <w:bottom w:w="0" w:type="dxa"/>
          </w:tblCellMar>
        </w:tblPrEx>
        <w:tc>
          <w:tcPr>
            <w:tcW w:w="2714" w:type="dxa"/>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 xml:space="preserve">السيد جورج </w:t>
            </w:r>
            <w:r w:rsidRPr="001B47DC">
              <w:rPr>
                <w:rFonts w:cs="Traditional Arabic" w:hint="cs"/>
                <w:b/>
                <w:bCs/>
                <w:szCs w:val="28"/>
                <w:rtl/>
              </w:rPr>
              <w:t>توغوشي</w:t>
            </w:r>
          </w:p>
        </w:tc>
        <w:tc>
          <w:tcPr>
            <w:tcW w:w="2455" w:type="dxa"/>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جورجيا</w:t>
            </w:r>
          </w:p>
        </w:tc>
        <w:tc>
          <w:tcPr>
            <w:tcW w:w="2101" w:type="dxa"/>
          </w:tcPr>
          <w:p w:rsidR="00F72BDC" w:rsidRPr="001B47DC" w:rsidRDefault="00F72BDC" w:rsidP="00F72BDC">
            <w:pPr>
              <w:bidi/>
              <w:spacing w:before="60" w:after="60" w:line="320" w:lineRule="exact"/>
              <w:ind w:left="57" w:right="57"/>
              <w:rPr>
                <w:rFonts w:cs="Traditional Arabic" w:hint="cs"/>
                <w:szCs w:val="28"/>
                <w:rtl/>
              </w:rPr>
            </w:pPr>
            <w:r w:rsidRPr="001B47DC">
              <w:rPr>
                <w:rFonts w:cs="Traditional Arabic" w:hint="cs"/>
                <w:szCs w:val="28"/>
                <w:rtl/>
              </w:rPr>
              <w:t>2015</w:t>
            </w:r>
          </w:p>
        </w:tc>
      </w:tr>
      <w:tr w:rsidR="00F72BDC" w:rsidRPr="001B47DC" w:rsidTr="007C5F1F">
        <w:tblPrEx>
          <w:tblCellMar>
            <w:top w:w="0" w:type="dxa"/>
            <w:bottom w:w="0" w:type="dxa"/>
          </w:tblCellMar>
        </w:tblPrEx>
        <w:tc>
          <w:tcPr>
            <w:tcW w:w="2714" w:type="dxa"/>
            <w:tcBorders>
              <w:bottom w:val="single" w:sz="12" w:space="0" w:color="auto"/>
            </w:tcBorders>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 xml:space="preserve">السيد سييسيان </w:t>
            </w:r>
            <w:r w:rsidRPr="001B47DC">
              <w:rPr>
                <w:rFonts w:cs="Traditional Arabic" w:hint="cs"/>
                <w:b/>
                <w:bCs/>
                <w:szCs w:val="28"/>
                <w:rtl/>
              </w:rPr>
              <w:t>وانغ</w:t>
            </w:r>
            <w:r w:rsidRPr="001B47DC">
              <w:rPr>
                <w:rFonts w:cs="Traditional Arabic"/>
                <w:szCs w:val="28"/>
                <w:rtl/>
              </w:rPr>
              <w:br/>
            </w:r>
            <w:r w:rsidRPr="001B47DC">
              <w:rPr>
                <w:rFonts w:cs="Traditional Arabic" w:hint="cs"/>
                <w:szCs w:val="28"/>
                <w:rtl/>
              </w:rPr>
              <w:t>(نائب الرئيس)</w:t>
            </w:r>
          </w:p>
        </w:tc>
        <w:tc>
          <w:tcPr>
            <w:tcW w:w="2455" w:type="dxa"/>
            <w:tcBorders>
              <w:bottom w:val="single" w:sz="12" w:space="0" w:color="auto"/>
            </w:tcBorders>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الصين</w:t>
            </w:r>
          </w:p>
        </w:tc>
        <w:tc>
          <w:tcPr>
            <w:tcW w:w="2101" w:type="dxa"/>
            <w:tcBorders>
              <w:bottom w:val="single" w:sz="12" w:space="0" w:color="auto"/>
            </w:tcBorders>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2013</w:t>
            </w:r>
          </w:p>
        </w:tc>
      </w:tr>
    </w:tbl>
    <w:p w:rsidR="00F72BDC" w:rsidRPr="00974BD5" w:rsidRDefault="007525FC" w:rsidP="007525FC">
      <w:pPr>
        <w:pStyle w:val="HChGA"/>
        <w:spacing w:before="120"/>
        <w:rPr>
          <w:rtl/>
          <w:lang w:val="fr-CH"/>
        </w:rPr>
      </w:pPr>
      <w:r>
        <w:rPr>
          <w:rtl/>
          <w:lang w:val="fr-CH"/>
        </w:rPr>
        <w:br w:type="page"/>
      </w:r>
      <w:r w:rsidR="00F72BDC" w:rsidRPr="00974BD5">
        <w:rPr>
          <w:rtl/>
          <w:lang w:val="fr-CH"/>
        </w:rPr>
        <w:t>المرفق الخامس</w:t>
      </w:r>
    </w:p>
    <w:p w:rsidR="00F72BDC" w:rsidRPr="00F86A90" w:rsidRDefault="00F72BDC" w:rsidP="007525FC">
      <w:pPr>
        <w:pStyle w:val="HChGA"/>
        <w:rPr>
          <w:rFonts w:hint="cs"/>
          <w:rtl/>
          <w:lang w:val="fr-CH"/>
        </w:rPr>
      </w:pPr>
      <w:r w:rsidRPr="00974BD5">
        <w:rPr>
          <w:rtl/>
          <w:lang w:val="fr-CH"/>
        </w:rPr>
        <w:tab/>
      </w:r>
      <w:r w:rsidRPr="00974BD5">
        <w:rPr>
          <w:rtl/>
          <w:lang w:val="fr-CH"/>
        </w:rPr>
        <w:tab/>
      </w:r>
      <w:r w:rsidRPr="00F86A90">
        <w:rPr>
          <w:rtl/>
          <w:lang w:val="fr-CH"/>
        </w:rPr>
        <w:t>الدول الأطراف التي وقّعت على البروتوكول الاختياري لاتفاقية مناهضة التعذيب وغيره من ضروب المعاملة أو العقوبة القاسية أو</w:t>
      </w:r>
      <w:r w:rsidRPr="00F86A90">
        <w:rPr>
          <w:rFonts w:hint="cs"/>
          <w:rtl/>
          <w:lang w:val="fr-CH"/>
        </w:rPr>
        <w:t> </w:t>
      </w:r>
      <w:r w:rsidRPr="00F86A90">
        <w:rPr>
          <w:rtl/>
          <w:lang w:val="fr-CH"/>
        </w:rPr>
        <w:t xml:space="preserve">اللاإنسانية أو المهينة، أو صدقت عليه أو انضمت إليه حتى </w:t>
      </w:r>
      <w:r w:rsidRPr="008723EF">
        <w:rPr>
          <w:rFonts w:hint="cs"/>
          <w:sz w:val="38"/>
          <w:rtl/>
          <w:lang w:val="fr-CH"/>
        </w:rPr>
        <w:t>31</w:t>
      </w:r>
      <w:r w:rsidRPr="008723EF">
        <w:rPr>
          <w:sz w:val="38"/>
          <w:rtl/>
          <w:lang w:val="fr-CH"/>
        </w:rPr>
        <w:t xml:space="preserve"> </w:t>
      </w:r>
      <w:r w:rsidRPr="008723EF">
        <w:rPr>
          <w:rFonts w:hint="cs"/>
          <w:sz w:val="38"/>
          <w:rtl/>
          <w:lang w:val="fr-CH"/>
        </w:rPr>
        <w:t>أيار</w:t>
      </w:r>
      <w:r w:rsidRPr="008723EF">
        <w:rPr>
          <w:sz w:val="38"/>
          <w:rtl/>
          <w:lang w:val="fr-CH"/>
        </w:rPr>
        <w:t>/</w:t>
      </w:r>
      <w:r w:rsidRPr="008723EF">
        <w:rPr>
          <w:rFonts w:hint="cs"/>
          <w:sz w:val="38"/>
          <w:rtl/>
          <w:lang w:val="fr-CH"/>
        </w:rPr>
        <w:t>مايو</w:t>
      </w:r>
      <w:r w:rsidRPr="008723EF">
        <w:rPr>
          <w:sz w:val="38"/>
          <w:rtl/>
          <w:lang w:val="fr-CH"/>
        </w:rPr>
        <w:t xml:space="preserve"> 201</w:t>
      </w:r>
      <w:r w:rsidRPr="008723EF">
        <w:rPr>
          <w:rFonts w:hint="cs"/>
          <w:sz w:val="38"/>
          <w:rtl/>
          <w:lang w:val="fr-CH"/>
        </w:rPr>
        <w:t>3</w:t>
      </w:r>
    </w:p>
    <w:tbl>
      <w:tblPr>
        <w:bidiVisual/>
        <w:tblW w:w="8401" w:type="dxa"/>
        <w:tblInd w:w="1238" w:type="dxa"/>
        <w:tblLayout w:type="fixed"/>
        <w:tblCellMar>
          <w:left w:w="0" w:type="dxa"/>
          <w:right w:w="0" w:type="dxa"/>
        </w:tblCellMar>
        <w:tblLook w:val="0000"/>
      </w:tblPr>
      <w:tblGrid>
        <w:gridCol w:w="2410"/>
        <w:gridCol w:w="2897"/>
        <w:gridCol w:w="3094"/>
      </w:tblGrid>
      <w:tr w:rsidR="00F72BDC" w:rsidRPr="001B47DC" w:rsidTr="007525FC">
        <w:tblPrEx>
          <w:tblCellMar>
            <w:top w:w="0" w:type="dxa"/>
            <w:bottom w:w="0" w:type="dxa"/>
            <w:right w:w="0" w:type="dxa"/>
          </w:tblCellMar>
        </w:tblPrEx>
        <w:trPr>
          <w:cantSplit/>
          <w:trHeight w:val="521"/>
          <w:tblHeader/>
        </w:trPr>
        <w:tc>
          <w:tcPr>
            <w:tcW w:w="2410" w:type="dxa"/>
            <w:tcBorders>
              <w:top w:val="single" w:sz="4" w:space="0" w:color="auto"/>
              <w:bottom w:val="single" w:sz="12" w:space="0" w:color="auto"/>
            </w:tcBorders>
            <w:vAlign w:val="bottom"/>
          </w:tcPr>
          <w:p w:rsidR="00F72BDC" w:rsidRPr="001B47DC" w:rsidRDefault="00F72BDC" w:rsidP="00F72BDC">
            <w:pPr>
              <w:bidi/>
              <w:spacing w:before="60" w:after="60" w:line="320" w:lineRule="exact"/>
              <w:ind w:left="57" w:right="227"/>
              <w:rPr>
                <w:rFonts w:cs="Traditional Arabic" w:hint="cs"/>
                <w:i/>
                <w:iCs/>
                <w:szCs w:val="28"/>
              </w:rPr>
            </w:pPr>
            <w:r w:rsidRPr="001B47DC">
              <w:rPr>
                <w:rFonts w:cs="Traditional Arabic" w:hint="cs"/>
                <w:i/>
                <w:iCs/>
                <w:szCs w:val="28"/>
                <w:rtl/>
              </w:rPr>
              <w:t>الدولة</w:t>
            </w:r>
          </w:p>
        </w:tc>
        <w:tc>
          <w:tcPr>
            <w:tcW w:w="2897" w:type="dxa"/>
            <w:tcBorders>
              <w:top w:val="single" w:sz="4" w:space="0" w:color="auto"/>
              <w:bottom w:val="single" w:sz="12" w:space="0" w:color="auto"/>
            </w:tcBorders>
            <w:vAlign w:val="bottom"/>
          </w:tcPr>
          <w:p w:rsidR="00F72BDC" w:rsidRPr="007525FC" w:rsidRDefault="00F72BDC" w:rsidP="00F72BDC">
            <w:pPr>
              <w:bidi/>
              <w:spacing w:before="60" w:after="60" w:line="320" w:lineRule="exact"/>
              <w:ind w:left="57" w:right="227"/>
              <w:rPr>
                <w:rFonts w:cs="Traditional Arabic" w:hint="cs"/>
                <w:i/>
                <w:iCs/>
                <w:spacing w:val="-4"/>
                <w:szCs w:val="28"/>
              </w:rPr>
            </w:pPr>
            <w:r w:rsidRPr="007525FC">
              <w:rPr>
                <w:rFonts w:cs="Traditional Arabic" w:hint="cs"/>
                <w:i/>
                <w:iCs/>
                <w:spacing w:val="-4"/>
                <w:szCs w:val="28"/>
                <w:rtl/>
              </w:rPr>
              <w:t>تاريخ التوقيع أو الخلافة في التوقيع</w:t>
            </w:r>
            <w:r w:rsidRPr="007525FC">
              <w:rPr>
                <w:rFonts w:cs="Traditional Arabic" w:hint="cs"/>
                <w:spacing w:val="-4"/>
                <w:szCs w:val="28"/>
                <w:vertAlign w:val="superscript"/>
                <w:rtl/>
              </w:rPr>
              <w:t>(ب)</w:t>
            </w:r>
          </w:p>
        </w:tc>
        <w:tc>
          <w:tcPr>
            <w:tcW w:w="3094" w:type="dxa"/>
            <w:tcBorders>
              <w:top w:val="single" w:sz="4" w:space="0" w:color="auto"/>
              <w:bottom w:val="single" w:sz="12" w:space="0" w:color="auto"/>
            </w:tcBorders>
            <w:vAlign w:val="bottom"/>
          </w:tcPr>
          <w:p w:rsidR="00F72BDC" w:rsidRPr="007525FC" w:rsidRDefault="00F72BDC" w:rsidP="007525FC">
            <w:pPr>
              <w:bidi/>
              <w:spacing w:before="60" w:after="60" w:line="320" w:lineRule="exact"/>
              <w:ind w:left="57"/>
              <w:rPr>
                <w:rFonts w:cs="Traditional Arabic" w:hint="cs"/>
                <w:i/>
                <w:iCs/>
                <w:spacing w:val="-4"/>
                <w:szCs w:val="28"/>
              </w:rPr>
            </w:pPr>
            <w:r w:rsidRPr="007525FC">
              <w:rPr>
                <w:rFonts w:cs="Traditional Arabic" w:hint="cs"/>
                <w:i/>
                <w:iCs/>
                <w:spacing w:val="-4"/>
                <w:szCs w:val="28"/>
                <w:rtl/>
              </w:rPr>
              <w:t>تاريخ التصديق أو الانضمام</w:t>
            </w:r>
            <w:r w:rsidRPr="007525FC">
              <w:rPr>
                <w:rFonts w:cs="Traditional Arabic" w:hint="cs"/>
                <w:spacing w:val="-4"/>
                <w:szCs w:val="28"/>
                <w:vertAlign w:val="superscript"/>
                <w:rtl/>
              </w:rPr>
              <w:t>(أ)</w:t>
            </w:r>
            <w:r w:rsidR="0020469C">
              <w:rPr>
                <w:rFonts w:cs="Traditional Arabic" w:hint="cs"/>
                <w:i/>
                <w:iCs/>
                <w:spacing w:val="-4"/>
                <w:szCs w:val="28"/>
                <w:rtl/>
              </w:rPr>
              <w:t xml:space="preserve"> </w:t>
            </w:r>
            <w:r w:rsidRPr="007525FC">
              <w:rPr>
                <w:rFonts w:cs="Traditional Arabic" w:hint="cs"/>
                <w:i/>
                <w:iCs/>
                <w:spacing w:val="-4"/>
                <w:szCs w:val="28"/>
                <w:rtl/>
              </w:rPr>
              <w:t xml:space="preserve"> أو</w:t>
            </w:r>
            <w:r w:rsidRPr="007525FC">
              <w:rPr>
                <w:rFonts w:cs="Traditional Arabic" w:hint="eastAsia"/>
                <w:i/>
                <w:iCs/>
                <w:spacing w:val="-4"/>
                <w:szCs w:val="28"/>
                <w:rtl/>
              </w:rPr>
              <w:t> </w:t>
            </w:r>
            <w:r w:rsidRPr="007525FC">
              <w:rPr>
                <w:rFonts w:cs="Traditional Arabic" w:hint="cs"/>
                <w:i/>
                <w:iCs/>
                <w:spacing w:val="-4"/>
                <w:szCs w:val="28"/>
                <w:rtl/>
              </w:rPr>
              <w:t>الخلافة</w:t>
            </w:r>
            <w:r w:rsidRPr="007525FC">
              <w:rPr>
                <w:rFonts w:cs="Traditional Arabic" w:hint="cs"/>
                <w:spacing w:val="-4"/>
                <w:szCs w:val="28"/>
                <w:vertAlign w:val="superscript"/>
                <w:rtl/>
              </w:rPr>
              <w:t>(ب)</w:t>
            </w:r>
          </w:p>
        </w:tc>
      </w:tr>
      <w:tr w:rsidR="00F72BDC" w:rsidRPr="001B47DC" w:rsidTr="007525FC">
        <w:tblPrEx>
          <w:tblCellMar>
            <w:top w:w="0" w:type="dxa"/>
            <w:bottom w:w="0" w:type="dxa"/>
            <w:right w:w="0" w:type="dxa"/>
          </w:tblCellMar>
        </w:tblPrEx>
        <w:trPr>
          <w:cantSplit/>
        </w:trPr>
        <w:tc>
          <w:tcPr>
            <w:tcW w:w="2410" w:type="dxa"/>
            <w:tcBorders>
              <w:top w:val="single" w:sz="12" w:space="0" w:color="auto"/>
            </w:tcBorders>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أذربيجان</w:t>
            </w:r>
          </w:p>
        </w:tc>
        <w:tc>
          <w:tcPr>
            <w:tcW w:w="2897" w:type="dxa"/>
            <w:tcBorders>
              <w:top w:val="single" w:sz="12" w:space="0" w:color="auto"/>
            </w:tcBorders>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15 أيلول/سبتمبر 2005</w:t>
            </w:r>
          </w:p>
        </w:tc>
        <w:tc>
          <w:tcPr>
            <w:tcW w:w="3094" w:type="dxa"/>
            <w:tcBorders>
              <w:top w:val="single" w:sz="12" w:space="0" w:color="auto"/>
            </w:tcBorders>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28 كانون الثاني/يناير 2009</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الأرجنتين</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30 نيسان/أبريل 2003</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15 تشرين الثاني/نوفمبر 2004</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أرمينيا</w:t>
            </w:r>
          </w:p>
        </w:tc>
        <w:tc>
          <w:tcPr>
            <w:tcW w:w="2897" w:type="dxa"/>
            <w:vAlign w:val="bottom"/>
          </w:tcPr>
          <w:p w:rsidR="00F72BDC" w:rsidRPr="001B47DC" w:rsidRDefault="00F72BDC" w:rsidP="00F72BDC">
            <w:pPr>
              <w:bidi/>
              <w:spacing w:before="60" w:after="60" w:line="320" w:lineRule="exact"/>
              <w:ind w:left="57" w:right="227"/>
              <w:rPr>
                <w:rFonts w:cs="Traditional Arabic"/>
                <w:szCs w:val="28"/>
              </w:rPr>
            </w:pP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14 أيلول/سبتمبر 2006</w:t>
            </w:r>
            <w:r w:rsidRPr="001B47DC">
              <w:rPr>
                <w:rFonts w:cs="Traditional Arabic" w:hint="cs"/>
                <w:szCs w:val="28"/>
                <w:vertAlign w:val="superscript"/>
                <w:rtl/>
              </w:rPr>
              <w:t>(أ)</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إسبانيا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13 نيسان/أبريل 2005</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4 نيسان/أبريل 2006</w:t>
            </w:r>
          </w:p>
        </w:tc>
      </w:tr>
      <w:tr w:rsidR="00602A12" w:rsidRPr="001B47DC" w:rsidTr="007525FC">
        <w:tblPrEx>
          <w:tblCellMar>
            <w:top w:w="0" w:type="dxa"/>
            <w:bottom w:w="0" w:type="dxa"/>
            <w:right w:w="0" w:type="dxa"/>
          </w:tblCellMar>
        </w:tblPrEx>
        <w:trPr>
          <w:cantSplit/>
        </w:trPr>
        <w:tc>
          <w:tcPr>
            <w:tcW w:w="2410" w:type="dxa"/>
            <w:vAlign w:val="bottom"/>
          </w:tcPr>
          <w:p w:rsidR="00602A12" w:rsidRPr="001B47DC" w:rsidRDefault="00602A12" w:rsidP="00F72BDC">
            <w:pPr>
              <w:bidi/>
              <w:spacing w:before="60" w:after="60" w:line="320" w:lineRule="exact"/>
              <w:ind w:left="57" w:right="227"/>
              <w:rPr>
                <w:rFonts w:cs="Traditional Arabic" w:hint="cs"/>
                <w:szCs w:val="28"/>
                <w:rtl/>
              </w:rPr>
            </w:pPr>
            <w:r>
              <w:rPr>
                <w:rFonts w:cs="Traditional Arabic" w:hint="cs"/>
                <w:szCs w:val="28"/>
                <w:rtl/>
              </w:rPr>
              <w:t>أستراليا</w:t>
            </w:r>
          </w:p>
        </w:tc>
        <w:tc>
          <w:tcPr>
            <w:tcW w:w="2897" w:type="dxa"/>
            <w:vAlign w:val="bottom"/>
          </w:tcPr>
          <w:p w:rsidR="00602A12" w:rsidRPr="001B47DC" w:rsidRDefault="00602A12" w:rsidP="00F72BDC">
            <w:pPr>
              <w:bidi/>
              <w:spacing w:before="60" w:after="60" w:line="320" w:lineRule="exact"/>
              <w:ind w:left="57" w:right="227"/>
              <w:rPr>
                <w:rFonts w:cs="Traditional Arabic" w:hint="cs"/>
                <w:szCs w:val="28"/>
                <w:rtl/>
              </w:rPr>
            </w:pPr>
            <w:r>
              <w:rPr>
                <w:rFonts w:cs="Traditional Arabic" w:hint="cs"/>
                <w:szCs w:val="28"/>
                <w:rtl/>
              </w:rPr>
              <w:t>19 أيار/مايو 2009</w:t>
            </w:r>
          </w:p>
        </w:tc>
        <w:tc>
          <w:tcPr>
            <w:tcW w:w="3094" w:type="dxa"/>
            <w:vAlign w:val="bottom"/>
          </w:tcPr>
          <w:p w:rsidR="00602A12" w:rsidRPr="001B47DC" w:rsidRDefault="00602A12" w:rsidP="00F72BDC">
            <w:pPr>
              <w:bidi/>
              <w:spacing w:before="60" w:after="60" w:line="320" w:lineRule="exact"/>
              <w:ind w:left="57" w:right="57"/>
              <w:rPr>
                <w:rFonts w:cs="Traditional Arabic" w:hint="cs"/>
                <w:szCs w:val="28"/>
                <w:rtl/>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إستونيا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21 أيلول/سبتمبر 2004</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18 كانون الأول/ديسمبر 2006</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إكوادور</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24 أيار/مايو 2007</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20 تموز/يوليه 2010</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szCs w:val="28"/>
              </w:rPr>
            </w:pPr>
            <w:r w:rsidRPr="001B47DC">
              <w:rPr>
                <w:rFonts w:cs="Traditional Arabic" w:hint="cs"/>
                <w:szCs w:val="28"/>
                <w:rtl/>
              </w:rPr>
              <w:t>ألبانيا</w:t>
            </w:r>
            <w:r w:rsidRPr="001B47DC">
              <w:rPr>
                <w:rFonts w:cs="Traditional Arabic"/>
                <w:szCs w:val="28"/>
              </w:rPr>
              <w:t xml:space="preserve"> </w:t>
            </w:r>
          </w:p>
        </w:tc>
        <w:tc>
          <w:tcPr>
            <w:tcW w:w="2897" w:type="dxa"/>
            <w:vAlign w:val="bottom"/>
          </w:tcPr>
          <w:p w:rsidR="00F72BDC" w:rsidRPr="001B47DC" w:rsidRDefault="00F72BDC" w:rsidP="00F72BDC">
            <w:pPr>
              <w:bidi/>
              <w:spacing w:before="60" w:after="60" w:line="320" w:lineRule="exact"/>
              <w:ind w:left="57" w:right="227"/>
              <w:rPr>
                <w:rFonts w:cs="Traditional Arabic"/>
                <w:szCs w:val="28"/>
              </w:rPr>
            </w:pP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 تشرين الأول/أكتوبر 2003</w:t>
            </w:r>
            <w:r w:rsidRPr="001B47DC">
              <w:rPr>
                <w:rFonts w:cs="Traditional Arabic" w:hint="cs"/>
                <w:szCs w:val="28"/>
                <w:vertAlign w:val="superscript"/>
                <w:rtl/>
              </w:rPr>
              <w:t>(أ)</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ألمانيا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20 أيلول/سبتمبر 2006</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tl/>
              </w:rPr>
            </w:pPr>
            <w:r w:rsidRPr="001B47DC">
              <w:rPr>
                <w:rFonts w:cs="Traditional Arabic" w:hint="cs"/>
                <w:szCs w:val="28"/>
                <w:rtl/>
              </w:rPr>
              <w:t>4 كانون الأول/ديسمبر 2008</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أوروغواي</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12 كانون الثاني/يناير 2004</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8 كانون الأول/ديسمبر 2005</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أوكرانيا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23 أيلول/سبتمبر 2005</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19 أيلول/سبتمبر 2006</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7C5F1F" w:rsidP="00F72BDC">
            <w:pPr>
              <w:bidi/>
              <w:spacing w:before="60" w:after="60" w:line="320" w:lineRule="exact"/>
              <w:ind w:left="57" w:right="227"/>
              <w:rPr>
                <w:rFonts w:cs="Traditional Arabic" w:hint="cs"/>
                <w:szCs w:val="28"/>
              </w:rPr>
            </w:pPr>
            <w:r>
              <w:rPr>
                <w:rFonts w:cs="Traditional Arabic" w:hint="cs"/>
                <w:szCs w:val="28"/>
                <w:rtl/>
              </w:rPr>
              <w:t>أ</w:t>
            </w:r>
            <w:r w:rsidR="00F72BDC" w:rsidRPr="001B47DC">
              <w:rPr>
                <w:rFonts w:cs="Traditional Arabic" w:hint="cs"/>
                <w:szCs w:val="28"/>
                <w:rtl/>
              </w:rPr>
              <w:t>يرلندا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 تشرين الأول/أكتوبر 2007</w:t>
            </w:r>
          </w:p>
        </w:tc>
        <w:tc>
          <w:tcPr>
            <w:tcW w:w="3094" w:type="dxa"/>
            <w:vAlign w:val="bottom"/>
          </w:tcPr>
          <w:p w:rsidR="00F72BDC" w:rsidRPr="001B47DC" w:rsidRDefault="00F72BDC" w:rsidP="00F72BDC">
            <w:pPr>
              <w:bidi/>
              <w:spacing w:before="60" w:after="60" w:line="320" w:lineRule="exact"/>
              <w:ind w:left="57" w:right="57"/>
              <w:rPr>
                <w:rFonts w:cs="Traditional Arabic"/>
                <w:szCs w:val="28"/>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آيسلندا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24 أيلول/سبتمبر 2003</w:t>
            </w:r>
          </w:p>
        </w:tc>
        <w:tc>
          <w:tcPr>
            <w:tcW w:w="3094" w:type="dxa"/>
            <w:vAlign w:val="bottom"/>
          </w:tcPr>
          <w:p w:rsidR="00F72BDC" w:rsidRPr="001B47DC" w:rsidRDefault="00F72BDC" w:rsidP="00F72BDC">
            <w:pPr>
              <w:bidi/>
              <w:spacing w:before="60" w:after="60" w:line="320" w:lineRule="exact"/>
              <w:ind w:left="57" w:right="57"/>
              <w:rPr>
                <w:rFonts w:cs="Traditional Arabic"/>
                <w:szCs w:val="28"/>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إيطاليا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20 آب/أغسطس 2003</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Pr>
                <w:rFonts w:cs="Traditional Arabic" w:hint="cs"/>
                <w:szCs w:val="28"/>
                <w:rtl/>
              </w:rPr>
              <w:t>3 نيسان/أبريل 2013</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باراغواي</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22 أيلول/سبتمبر 2004</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 كانون الأول/ديسمبر 2005</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البرازيل</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13 تشرين الأول/أكتوبر 2003</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12 كانون الثاني/يناير 2007</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البرتغال</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15 شباط/فبراير 2006</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Pr>
                <w:rFonts w:cs="Traditional Arabic" w:hint="cs"/>
                <w:szCs w:val="28"/>
                <w:rtl/>
              </w:rPr>
              <w:t>15 كانون الثاني/يناير 2013</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بلجيكا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24 تشرين الأول/أكتوبر 2005</w:t>
            </w:r>
          </w:p>
        </w:tc>
        <w:tc>
          <w:tcPr>
            <w:tcW w:w="3094" w:type="dxa"/>
            <w:vAlign w:val="bottom"/>
          </w:tcPr>
          <w:p w:rsidR="00F72BDC" w:rsidRPr="001B47DC" w:rsidRDefault="00F72BDC" w:rsidP="00F72BDC">
            <w:pPr>
              <w:bidi/>
              <w:spacing w:before="60" w:after="60" w:line="320" w:lineRule="exact"/>
              <w:ind w:left="57" w:right="57"/>
              <w:rPr>
                <w:rFonts w:cs="Traditional Arabic"/>
                <w:szCs w:val="28"/>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بلغاريا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22 أيلول/سبتمبر 2010</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 حزيران/يونيه 2011</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بنما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22 أيلول/سبتمبر 2010</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tl/>
              </w:rPr>
            </w:pPr>
            <w:r w:rsidRPr="001B47DC">
              <w:rPr>
                <w:rFonts w:cs="Traditional Arabic" w:hint="cs"/>
                <w:szCs w:val="28"/>
                <w:rtl/>
              </w:rPr>
              <w:t>2 حزيران/يونيه 2011</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بنن</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24 شباط/فبراير 2005</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20 أيلول/سبتمبر 2006</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بوركينا فاسو</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21 أيلول/سبتمبر 2005</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7 تموز/يوليه 2010</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البوسنة والهرسك</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7 كانون الأول/ديسمبر 2007</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24 تشرين الأول/أكتوبر 2008</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بولندا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5 نيسان/أبريل 2004</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14 أيلول/سبتمبر 2005</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بوليفيا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22 أيار/مايو 2006</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23 أيار/مايو 2006</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بيرو</w:t>
            </w:r>
          </w:p>
        </w:tc>
        <w:tc>
          <w:tcPr>
            <w:tcW w:w="2897" w:type="dxa"/>
            <w:vAlign w:val="bottom"/>
          </w:tcPr>
          <w:p w:rsidR="00F72BDC" w:rsidRPr="001B47DC" w:rsidRDefault="00F72BDC" w:rsidP="00F72BDC">
            <w:pPr>
              <w:bidi/>
              <w:spacing w:before="60" w:after="60" w:line="320" w:lineRule="exact"/>
              <w:ind w:left="57" w:right="227"/>
              <w:rPr>
                <w:rFonts w:cs="Traditional Arabic"/>
                <w:szCs w:val="28"/>
              </w:rPr>
            </w:pP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14 أيلول/سبتمبر 2006</w:t>
            </w:r>
            <w:r w:rsidRPr="001B47DC">
              <w:rPr>
                <w:rFonts w:cs="Traditional Arabic" w:hint="cs"/>
                <w:szCs w:val="28"/>
                <w:vertAlign w:val="superscript"/>
                <w:rtl/>
              </w:rPr>
              <w:t>(أ)</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تركيا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14 أيلول/سبتمبر 2005</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27 أيلول/سبتمبر 2011</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tl/>
              </w:rPr>
            </w:pPr>
            <w:r>
              <w:rPr>
                <w:rFonts w:cs="Traditional Arabic" w:hint="cs"/>
                <w:szCs w:val="28"/>
                <w:rtl/>
              </w:rPr>
              <w:t>تشاد</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tl/>
              </w:rPr>
            </w:pPr>
            <w:r>
              <w:rPr>
                <w:rFonts w:cs="Traditional Arabic" w:hint="cs"/>
                <w:szCs w:val="28"/>
                <w:rtl/>
              </w:rPr>
              <w:t>26 أيلول/سبتمبر 2012</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tl/>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توغو</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15 أيلول/سبتمبر 2005</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20 تموز/يوليه 2010</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تونس</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tl/>
              </w:rPr>
            </w:pP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29 حزيران/يونيه 2011</w:t>
            </w:r>
            <w:r w:rsidR="00745279" w:rsidRPr="00745279">
              <w:rPr>
                <w:rFonts w:cs="Traditional Arabic" w:hint="cs"/>
                <w:szCs w:val="28"/>
                <w:vertAlign w:val="superscript"/>
                <w:rtl/>
              </w:rPr>
              <w:t>(أ)</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تيمور - ليشتي</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16 أيلول/سبتمبر 2005</w:t>
            </w:r>
          </w:p>
        </w:tc>
        <w:tc>
          <w:tcPr>
            <w:tcW w:w="3094" w:type="dxa"/>
            <w:vAlign w:val="bottom"/>
          </w:tcPr>
          <w:p w:rsidR="00F72BDC" w:rsidRPr="001B47DC" w:rsidRDefault="00F72BDC" w:rsidP="00F72BDC">
            <w:pPr>
              <w:bidi/>
              <w:spacing w:before="60" w:after="60" w:line="320" w:lineRule="exact"/>
              <w:ind w:left="57" w:right="57"/>
              <w:rPr>
                <w:rFonts w:cs="Traditional Arabic"/>
                <w:szCs w:val="28"/>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الجبل الأسود</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23 تشرين الأول/أكتوبر 2006</w:t>
            </w:r>
            <w:r w:rsidRPr="001B47DC">
              <w:rPr>
                <w:rFonts w:cs="Traditional Arabic" w:hint="cs"/>
                <w:szCs w:val="28"/>
                <w:vertAlign w:val="superscript"/>
                <w:rtl/>
              </w:rPr>
              <w:t>(ب)</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6 آذار/مارس 2009</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جمهورية الكونغو الديمقراطية</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tl/>
              </w:rPr>
            </w:pP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tl/>
              </w:rPr>
            </w:pPr>
            <w:r w:rsidRPr="001B47DC">
              <w:rPr>
                <w:rFonts w:cs="Traditional Arabic" w:hint="cs"/>
                <w:szCs w:val="28"/>
                <w:rtl/>
              </w:rPr>
              <w:t>23 أيلول/سبتمبر 2010</w:t>
            </w:r>
            <w:r w:rsidR="00745279" w:rsidRPr="00745279">
              <w:rPr>
                <w:rFonts w:cs="Traditional Arabic" w:hint="cs"/>
                <w:szCs w:val="28"/>
                <w:vertAlign w:val="superscript"/>
                <w:rtl/>
              </w:rPr>
              <w:t>(أ)</w:t>
            </w:r>
          </w:p>
        </w:tc>
      </w:tr>
      <w:tr w:rsidR="00F72BDC" w:rsidRPr="001B47DC" w:rsidTr="00745279">
        <w:tblPrEx>
          <w:tblCellMar>
            <w:top w:w="0" w:type="dxa"/>
            <w:bottom w:w="0" w:type="dxa"/>
            <w:right w:w="0" w:type="dxa"/>
          </w:tblCellMar>
        </w:tblPrEx>
        <w:trPr>
          <w:cantSplit/>
        </w:trPr>
        <w:tc>
          <w:tcPr>
            <w:tcW w:w="2410" w:type="dxa"/>
            <w:vAlign w:val="bottom"/>
          </w:tcPr>
          <w:p w:rsidR="00F72BDC" w:rsidRPr="007525FC" w:rsidRDefault="00F72BDC" w:rsidP="00F72BDC">
            <w:pPr>
              <w:bidi/>
              <w:spacing w:before="60" w:after="60" w:line="320" w:lineRule="exact"/>
              <w:ind w:left="57" w:right="227"/>
              <w:rPr>
                <w:rFonts w:cs="Traditional Arabic" w:hint="cs"/>
                <w:spacing w:val="-4"/>
                <w:szCs w:val="28"/>
              </w:rPr>
            </w:pPr>
            <w:r w:rsidRPr="007525FC">
              <w:rPr>
                <w:rFonts w:cs="Traditional Arabic" w:hint="cs"/>
                <w:spacing w:val="-4"/>
                <w:szCs w:val="28"/>
                <w:rtl/>
              </w:rPr>
              <w:t>جمهورية مقدونيا اليوغوسلافية السابقة</w:t>
            </w:r>
          </w:p>
        </w:tc>
        <w:tc>
          <w:tcPr>
            <w:tcW w:w="2897" w:type="dxa"/>
          </w:tcPr>
          <w:p w:rsidR="00F72BDC" w:rsidRPr="001B47DC" w:rsidRDefault="00F72BDC" w:rsidP="00745279">
            <w:pPr>
              <w:bidi/>
              <w:spacing w:before="60" w:after="60" w:line="320" w:lineRule="exact"/>
              <w:ind w:left="57" w:right="227"/>
              <w:rPr>
                <w:rFonts w:cs="Traditional Arabic" w:hint="cs"/>
                <w:szCs w:val="28"/>
              </w:rPr>
            </w:pPr>
            <w:r w:rsidRPr="001B47DC">
              <w:rPr>
                <w:rFonts w:cs="Traditional Arabic" w:hint="cs"/>
                <w:szCs w:val="28"/>
                <w:rtl/>
              </w:rPr>
              <w:t>1 أيلول/سبتمبر 2006</w:t>
            </w:r>
          </w:p>
        </w:tc>
        <w:tc>
          <w:tcPr>
            <w:tcW w:w="3094" w:type="dxa"/>
          </w:tcPr>
          <w:p w:rsidR="00F72BDC" w:rsidRPr="001B47DC" w:rsidRDefault="00F72BDC" w:rsidP="00745279">
            <w:pPr>
              <w:bidi/>
              <w:spacing w:before="60" w:after="60" w:line="320" w:lineRule="exact"/>
              <w:ind w:left="57" w:right="57"/>
              <w:rPr>
                <w:rFonts w:cs="Traditional Arabic" w:hint="cs"/>
                <w:szCs w:val="28"/>
              </w:rPr>
            </w:pPr>
            <w:r w:rsidRPr="001B47DC">
              <w:rPr>
                <w:rFonts w:cs="Traditional Arabic" w:hint="cs"/>
                <w:szCs w:val="28"/>
                <w:rtl/>
              </w:rPr>
              <w:t>13 شباط/فبراير 2009</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جمهورية مولدوفا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16 أيلول/سبتمبر 2005</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24 تموز/يوليه 2006</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جنوب أفريقيا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20 أيلول/سبتمبر 2006</w:t>
            </w:r>
          </w:p>
        </w:tc>
        <w:tc>
          <w:tcPr>
            <w:tcW w:w="3094" w:type="dxa"/>
            <w:vAlign w:val="bottom"/>
          </w:tcPr>
          <w:p w:rsidR="00F72BDC" w:rsidRPr="001B47DC" w:rsidRDefault="00F72BDC" w:rsidP="00F72BDC">
            <w:pPr>
              <w:bidi/>
              <w:spacing w:before="60" w:after="60" w:line="320" w:lineRule="exact"/>
              <w:ind w:left="57" w:right="57"/>
              <w:rPr>
                <w:rFonts w:cs="Traditional Arabic"/>
                <w:szCs w:val="28"/>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جورجيا</w:t>
            </w:r>
          </w:p>
        </w:tc>
        <w:tc>
          <w:tcPr>
            <w:tcW w:w="2897" w:type="dxa"/>
            <w:vAlign w:val="bottom"/>
          </w:tcPr>
          <w:p w:rsidR="00F72BDC" w:rsidRPr="001B47DC" w:rsidRDefault="00F72BDC" w:rsidP="00F72BDC">
            <w:pPr>
              <w:bidi/>
              <w:spacing w:before="60" w:after="60" w:line="320" w:lineRule="exact"/>
              <w:ind w:left="57" w:right="227"/>
              <w:rPr>
                <w:rFonts w:cs="Traditional Arabic"/>
                <w:szCs w:val="28"/>
              </w:rPr>
            </w:pP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9 آب/أغسطس 2005</w:t>
            </w:r>
            <w:r w:rsidRPr="001B47DC">
              <w:rPr>
                <w:rFonts w:cs="Traditional Arabic" w:hint="cs"/>
                <w:szCs w:val="28"/>
                <w:vertAlign w:val="superscript"/>
                <w:rtl/>
              </w:rPr>
              <w:t>(أ)</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الدانمرك</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26 حزيران/يونيه 2003</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25 حزيران/يونيه 2004</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الرأس الأخضر</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26 أيلول/سبتمبر 2011</w:t>
            </w:r>
          </w:p>
        </w:tc>
        <w:tc>
          <w:tcPr>
            <w:tcW w:w="3094" w:type="dxa"/>
            <w:vAlign w:val="bottom"/>
          </w:tcPr>
          <w:p w:rsidR="00F72BDC" w:rsidRPr="001B47DC" w:rsidRDefault="00F72BDC" w:rsidP="00F72BDC">
            <w:pPr>
              <w:bidi/>
              <w:spacing w:before="60" w:after="60" w:line="320" w:lineRule="exact"/>
              <w:ind w:left="57" w:right="57"/>
              <w:rPr>
                <w:rFonts w:cs="Traditional Arabic"/>
                <w:szCs w:val="28"/>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رومانيا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24 أيلول/سبتمبر 2003</w:t>
            </w:r>
          </w:p>
        </w:tc>
        <w:tc>
          <w:tcPr>
            <w:tcW w:w="3094" w:type="dxa"/>
            <w:vAlign w:val="bottom"/>
          </w:tcPr>
          <w:p w:rsidR="00F72BDC" w:rsidRPr="001B47DC" w:rsidRDefault="00745279" w:rsidP="00F72BDC">
            <w:pPr>
              <w:bidi/>
              <w:spacing w:before="60" w:after="60" w:line="320" w:lineRule="exact"/>
              <w:ind w:left="57" w:right="57"/>
              <w:rPr>
                <w:rFonts w:cs="Traditional Arabic" w:hint="cs"/>
                <w:szCs w:val="28"/>
              </w:rPr>
            </w:pPr>
            <w:r>
              <w:rPr>
                <w:rFonts w:cs="Traditional Arabic" w:hint="cs"/>
                <w:szCs w:val="28"/>
                <w:rtl/>
              </w:rPr>
              <w:t>2 تموز/يوليه 2009</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زامبيا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27 أيلول/سبتمبر 2010</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tl/>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سلوفينيا</w:t>
            </w:r>
          </w:p>
        </w:tc>
        <w:tc>
          <w:tcPr>
            <w:tcW w:w="2897" w:type="dxa"/>
            <w:vAlign w:val="bottom"/>
          </w:tcPr>
          <w:p w:rsidR="00F72BDC" w:rsidRPr="001B47DC" w:rsidRDefault="00F72BDC" w:rsidP="00F72BDC">
            <w:pPr>
              <w:bidi/>
              <w:spacing w:before="60" w:after="60" w:line="320" w:lineRule="exact"/>
              <w:ind w:left="57" w:right="227"/>
              <w:rPr>
                <w:rFonts w:cs="Traditional Arabic"/>
                <w:szCs w:val="28"/>
              </w:rPr>
            </w:pP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23 كانون الثاني/يناير 2007</w:t>
            </w:r>
            <w:r w:rsidRPr="001B47DC">
              <w:rPr>
                <w:rFonts w:cs="Traditional Arabic" w:hint="cs"/>
                <w:szCs w:val="28"/>
                <w:vertAlign w:val="superscript"/>
                <w:rtl/>
              </w:rPr>
              <w:t>(أ)</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السنغال</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4 شباط/فبراير 2003</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18 تشرين الأول/أكتوبر 2006</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السويد</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26 حزيران/يونيه 2003</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14 أيلول/سبتمبر 2005</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سويسرا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25 حزيران/يونيه 2004</w:t>
            </w:r>
          </w:p>
        </w:tc>
        <w:tc>
          <w:tcPr>
            <w:tcW w:w="3094" w:type="dxa"/>
            <w:vAlign w:val="bottom"/>
          </w:tcPr>
          <w:p w:rsidR="00F72BDC" w:rsidRPr="001B47DC" w:rsidRDefault="00745279" w:rsidP="00F72BDC">
            <w:pPr>
              <w:bidi/>
              <w:spacing w:before="60" w:after="60" w:line="320" w:lineRule="exact"/>
              <w:ind w:left="57" w:right="57"/>
              <w:rPr>
                <w:rFonts w:cs="Traditional Arabic" w:hint="cs"/>
                <w:szCs w:val="28"/>
              </w:rPr>
            </w:pPr>
            <w:r>
              <w:rPr>
                <w:rFonts w:cs="Traditional Arabic" w:hint="cs"/>
                <w:szCs w:val="28"/>
                <w:rtl/>
              </w:rPr>
              <w:t>24 أيلول/سبتمبر 2009</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سيراليون</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26 أيلول/سبتمبر 2003</w:t>
            </w:r>
          </w:p>
        </w:tc>
        <w:tc>
          <w:tcPr>
            <w:tcW w:w="3094" w:type="dxa"/>
            <w:vAlign w:val="bottom"/>
          </w:tcPr>
          <w:p w:rsidR="00F72BDC" w:rsidRPr="001B47DC" w:rsidRDefault="00F72BDC" w:rsidP="00F72BDC">
            <w:pPr>
              <w:bidi/>
              <w:spacing w:before="60" w:after="60" w:line="320" w:lineRule="exact"/>
              <w:ind w:left="57" w:right="57"/>
              <w:rPr>
                <w:rFonts w:cs="Traditional Arabic"/>
                <w:szCs w:val="28"/>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شيلي</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6 حزيران/يونيه 2005</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12 كانون الأول/ديسمبر 2008</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صربيا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25 أيلول/سبتمبر 2003</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26 أيلول/سبتمبر 2006</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غابون</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15 كانون الأول/ديسمبر 2004</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22 أيلول/سبتمبر 2010</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غانا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6 تشرين الثاني/نوفمبر 2006</w:t>
            </w:r>
          </w:p>
        </w:tc>
        <w:tc>
          <w:tcPr>
            <w:tcW w:w="3094" w:type="dxa"/>
            <w:vAlign w:val="bottom"/>
          </w:tcPr>
          <w:p w:rsidR="00F72BDC" w:rsidRPr="001B47DC" w:rsidRDefault="00F72BDC" w:rsidP="00F72BDC">
            <w:pPr>
              <w:bidi/>
              <w:spacing w:before="60" w:after="60" w:line="320" w:lineRule="exact"/>
              <w:ind w:left="57" w:right="57"/>
              <w:rPr>
                <w:rFonts w:cs="Traditional Arabic"/>
                <w:szCs w:val="28"/>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غواتيمالا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25 أيلول/سبتمبر 2003</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9 حزيران/يونيه 2008</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غينيا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16 أيلول/سبتمبر 2005</w:t>
            </w:r>
          </w:p>
        </w:tc>
        <w:tc>
          <w:tcPr>
            <w:tcW w:w="3094" w:type="dxa"/>
            <w:vAlign w:val="bottom"/>
          </w:tcPr>
          <w:p w:rsidR="00F72BDC" w:rsidRPr="001B47DC" w:rsidRDefault="00F72BDC" w:rsidP="00F72BDC">
            <w:pPr>
              <w:bidi/>
              <w:spacing w:before="60" w:after="60" w:line="320" w:lineRule="exact"/>
              <w:ind w:left="57" w:right="57"/>
              <w:rPr>
                <w:rFonts w:cs="Traditional Arabic"/>
                <w:szCs w:val="28"/>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فرنسا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16 أيلول/سبتمبر 2005</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11 تشرين الثاني/نوفمبر 2008</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الفلبين</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tl/>
              </w:rPr>
            </w:pP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17 نيسان/أبريل 2012</w:t>
            </w:r>
          </w:p>
        </w:tc>
      </w:tr>
      <w:tr w:rsidR="00F72BDC" w:rsidRPr="001B47DC" w:rsidTr="007525FC">
        <w:tblPrEx>
          <w:tblCellMar>
            <w:top w:w="0" w:type="dxa"/>
            <w:bottom w:w="0" w:type="dxa"/>
            <w:right w:w="0" w:type="dxa"/>
          </w:tblCellMar>
        </w:tblPrEx>
        <w:trPr>
          <w:cantSplit/>
        </w:trPr>
        <w:tc>
          <w:tcPr>
            <w:tcW w:w="2410" w:type="dxa"/>
            <w:vAlign w:val="bottom"/>
          </w:tcPr>
          <w:p w:rsidR="00F72BDC" w:rsidRPr="007525FC" w:rsidRDefault="00F72BDC" w:rsidP="007525FC">
            <w:pPr>
              <w:bidi/>
              <w:spacing w:before="60" w:after="60" w:line="320" w:lineRule="exact"/>
              <w:ind w:left="57" w:right="170"/>
              <w:rPr>
                <w:rFonts w:cs="Traditional Arabic" w:hint="cs"/>
                <w:spacing w:val="-4"/>
                <w:szCs w:val="28"/>
                <w:rtl/>
              </w:rPr>
            </w:pPr>
            <w:r w:rsidRPr="007525FC">
              <w:rPr>
                <w:rFonts w:cs="Traditional Arabic" w:hint="cs"/>
                <w:spacing w:val="-4"/>
                <w:szCs w:val="28"/>
                <w:rtl/>
              </w:rPr>
              <w:t xml:space="preserve">فنزويلا (جمهورية </w:t>
            </w:r>
            <w:r w:rsidR="007525FC">
              <w:rPr>
                <w:rFonts w:cs="Traditional Arabic" w:hint="cs"/>
                <w:spacing w:val="-4"/>
                <w:szCs w:val="28"/>
                <w:rtl/>
              </w:rPr>
              <w:t>-</w:t>
            </w:r>
            <w:r w:rsidRPr="007525FC">
              <w:rPr>
                <w:rFonts w:cs="Traditional Arabic" w:hint="cs"/>
                <w:spacing w:val="-4"/>
                <w:szCs w:val="28"/>
                <w:rtl/>
              </w:rPr>
              <w:t xml:space="preserve"> البوليفارية)</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1 تموز/يوليه 2011</w:t>
            </w:r>
          </w:p>
        </w:tc>
        <w:tc>
          <w:tcPr>
            <w:tcW w:w="3094" w:type="dxa"/>
            <w:vAlign w:val="bottom"/>
          </w:tcPr>
          <w:p w:rsidR="00F72BDC" w:rsidRPr="001B47DC" w:rsidRDefault="00F72BDC" w:rsidP="00F72BDC">
            <w:pPr>
              <w:bidi/>
              <w:spacing w:before="60" w:after="60" w:line="320" w:lineRule="exact"/>
              <w:ind w:left="57" w:right="57"/>
              <w:rPr>
                <w:rFonts w:cs="Traditional Arabic"/>
                <w:szCs w:val="28"/>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فنلندا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23 أيلول/سبتمبر 2003</w:t>
            </w:r>
          </w:p>
        </w:tc>
        <w:tc>
          <w:tcPr>
            <w:tcW w:w="3094" w:type="dxa"/>
            <w:vAlign w:val="bottom"/>
          </w:tcPr>
          <w:p w:rsidR="00F72BDC" w:rsidRPr="001B47DC" w:rsidRDefault="00F72BDC" w:rsidP="00F72BDC">
            <w:pPr>
              <w:bidi/>
              <w:spacing w:before="60" w:after="60" w:line="320" w:lineRule="exact"/>
              <w:ind w:left="57" w:right="57"/>
              <w:rPr>
                <w:rFonts w:cs="Traditional Arabic"/>
                <w:szCs w:val="28"/>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قبرص</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26 تموز/يوليه 2004</w:t>
            </w:r>
          </w:p>
        </w:tc>
        <w:tc>
          <w:tcPr>
            <w:tcW w:w="3094" w:type="dxa"/>
            <w:vAlign w:val="bottom"/>
          </w:tcPr>
          <w:p w:rsidR="00F72BDC" w:rsidRPr="001B47DC" w:rsidRDefault="00745279" w:rsidP="00F72BDC">
            <w:pPr>
              <w:bidi/>
              <w:spacing w:before="60" w:after="60" w:line="320" w:lineRule="exact"/>
              <w:ind w:left="57" w:right="57"/>
              <w:rPr>
                <w:rFonts w:cs="Traditional Arabic" w:hint="cs"/>
                <w:szCs w:val="28"/>
              </w:rPr>
            </w:pPr>
            <w:r>
              <w:rPr>
                <w:rFonts w:cs="Traditional Arabic" w:hint="cs"/>
                <w:szCs w:val="28"/>
                <w:rtl/>
              </w:rPr>
              <w:t>29 نيسان/أبريل 2009</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قيرغيزستان</w:t>
            </w:r>
          </w:p>
        </w:tc>
        <w:tc>
          <w:tcPr>
            <w:tcW w:w="2897" w:type="dxa"/>
            <w:vAlign w:val="bottom"/>
          </w:tcPr>
          <w:p w:rsidR="00F72BDC" w:rsidRPr="001B47DC" w:rsidRDefault="00F72BDC" w:rsidP="00F72BDC">
            <w:pPr>
              <w:bidi/>
              <w:spacing w:before="60" w:after="60" w:line="320" w:lineRule="exact"/>
              <w:ind w:left="57" w:right="227"/>
              <w:rPr>
                <w:rFonts w:cs="Traditional Arabic"/>
                <w:szCs w:val="28"/>
              </w:rPr>
            </w:pP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29 كانون الأول/ديسمبر 2008</w:t>
            </w:r>
            <w:r w:rsidR="00745279" w:rsidRPr="00745279">
              <w:rPr>
                <w:rFonts w:cs="Traditional Arabic" w:hint="cs"/>
                <w:szCs w:val="28"/>
                <w:vertAlign w:val="superscript"/>
                <w:rtl/>
              </w:rPr>
              <w:t>(أ)</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كازاخستان</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25 أيلول/سبتمبر 2007</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22 تشرين الأول/أكتوبر 2008</w:t>
            </w:r>
          </w:p>
        </w:tc>
      </w:tr>
      <w:tr w:rsidR="00745279" w:rsidRPr="001B47DC" w:rsidTr="007525FC">
        <w:tblPrEx>
          <w:tblCellMar>
            <w:top w:w="0" w:type="dxa"/>
            <w:bottom w:w="0" w:type="dxa"/>
            <w:right w:w="0" w:type="dxa"/>
          </w:tblCellMar>
        </w:tblPrEx>
        <w:trPr>
          <w:cantSplit/>
        </w:trPr>
        <w:tc>
          <w:tcPr>
            <w:tcW w:w="2410" w:type="dxa"/>
            <w:vAlign w:val="bottom"/>
          </w:tcPr>
          <w:p w:rsidR="00745279" w:rsidRPr="001B47DC" w:rsidRDefault="00745279" w:rsidP="00F72BDC">
            <w:pPr>
              <w:bidi/>
              <w:spacing w:before="60" w:after="60" w:line="320" w:lineRule="exact"/>
              <w:ind w:left="57" w:right="227"/>
              <w:rPr>
                <w:rFonts w:cs="Traditional Arabic" w:hint="cs"/>
                <w:szCs w:val="28"/>
                <w:rtl/>
              </w:rPr>
            </w:pPr>
            <w:r>
              <w:rPr>
                <w:rFonts w:cs="Traditional Arabic" w:hint="cs"/>
                <w:szCs w:val="28"/>
                <w:rtl/>
              </w:rPr>
              <w:t>الكاميرون</w:t>
            </w:r>
          </w:p>
        </w:tc>
        <w:tc>
          <w:tcPr>
            <w:tcW w:w="2897" w:type="dxa"/>
            <w:vAlign w:val="bottom"/>
          </w:tcPr>
          <w:p w:rsidR="00745279" w:rsidRPr="001B47DC" w:rsidRDefault="00745279" w:rsidP="00F72BDC">
            <w:pPr>
              <w:bidi/>
              <w:spacing w:before="60" w:after="60" w:line="320" w:lineRule="exact"/>
              <w:ind w:left="57" w:right="227"/>
              <w:rPr>
                <w:rFonts w:cs="Traditional Arabic" w:hint="cs"/>
                <w:szCs w:val="28"/>
                <w:rtl/>
              </w:rPr>
            </w:pPr>
            <w:r>
              <w:rPr>
                <w:rFonts w:cs="Traditional Arabic" w:hint="cs"/>
                <w:szCs w:val="28"/>
                <w:rtl/>
              </w:rPr>
              <w:t>15 كانون الأول/ديسمبر 2009</w:t>
            </w:r>
          </w:p>
        </w:tc>
        <w:tc>
          <w:tcPr>
            <w:tcW w:w="3094" w:type="dxa"/>
            <w:vAlign w:val="bottom"/>
          </w:tcPr>
          <w:p w:rsidR="00745279" w:rsidRPr="001B47DC" w:rsidRDefault="00745279" w:rsidP="00F72BDC">
            <w:pPr>
              <w:bidi/>
              <w:spacing w:before="60" w:after="60" w:line="320" w:lineRule="exact"/>
              <w:ind w:left="57" w:right="57"/>
              <w:rPr>
                <w:rFonts w:cs="Traditional Arabic" w:hint="cs"/>
                <w:szCs w:val="28"/>
                <w:rtl/>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كرواتيا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23 أيلول/سبتمبر 2003</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25 نيسان/أبريل 2005</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كمبوديا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14 أيلول/سبتمبر 2005</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30 آذار/مارس 2007</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كوستاريكا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4 شباط/فبراير 2003</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 كانون الأول/ديسمبر 2005</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الكونغو</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29 أيلول/سبتمبر 2008</w:t>
            </w:r>
          </w:p>
        </w:tc>
        <w:tc>
          <w:tcPr>
            <w:tcW w:w="3094" w:type="dxa"/>
            <w:vAlign w:val="bottom"/>
          </w:tcPr>
          <w:p w:rsidR="00F72BDC" w:rsidRPr="001B47DC" w:rsidRDefault="00F72BDC" w:rsidP="00F72BDC">
            <w:pPr>
              <w:bidi/>
              <w:spacing w:before="60" w:after="60" w:line="320" w:lineRule="exact"/>
              <w:ind w:left="57" w:right="57"/>
              <w:rPr>
                <w:rFonts w:cs="Traditional Arabic"/>
                <w:szCs w:val="28"/>
              </w:rPr>
            </w:pPr>
          </w:p>
        </w:tc>
      </w:tr>
      <w:tr w:rsidR="00F72BDC" w:rsidRPr="001B47DC" w:rsidTr="007525FC">
        <w:tblPrEx>
          <w:tblCellMar>
            <w:top w:w="0" w:type="dxa"/>
            <w:bottom w:w="0" w:type="dxa"/>
            <w:right w:w="0" w:type="dxa"/>
          </w:tblCellMar>
        </w:tblPrEx>
        <w:trPr>
          <w:cantSplit/>
        </w:trPr>
        <w:tc>
          <w:tcPr>
            <w:tcW w:w="2410" w:type="dxa"/>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لبنان</w:t>
            </w:r>
          </w:p>
        </w:tc>
        <w:tc>
          <w:tcPr>
            <w:tcW w:w="2897" w:type="dxa"/>
            <w:vAlign w:val="bottom"/>
          </w:tcPr>
          <w:p w:rsidR="00F72BDC" w:rsidRPr="001B47DC" w:rsidRDefault="00F72BDC" w:rsidP="00F72BDC">
            <w:pPr>
              <w:bidi/>
              <w:spacing w:before="60" w:after="60" w:line="320" w:lineRule="exact"/>
              <w:ind w:left="57" w:right="227"/>
              <w:rPr>
                <w:rFonts w:cs="Traditional Arabic"/>
                <w:szCs w:val="28"/>
              </w:rPr>
            </w:pP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22 كانون الأول/ديسمبر 2008</w:t>
            </w:r>
            <w:r w:rsidRPr="001B47DC">
              <w:rPr>
                <w:rFonts w:cs="Traditional Arabic" w:hint="cs"/>
                <w:szCs w:val="28"/>
                <w:vertAlign w:val="superscript"/>
                <w:rtl/>
              </w:rPr>
              <w:t>(أ)</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لكسمبرغ</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13 كانون الثاني/يناير 2005</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19 أيار/مايو 2010</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745279" w:rsidP="00F72BDC">
            <w:pPr>
              <w:bidi/>
              <w:spacing w:before="60" w:after="60" w:line="320" w:lineRule="exact"/>
              <w:ind w:left="57" w:right="227"/>
              <w:rPr>
                <w:rFonts w:cs="Traditional Arabic" w:hint="cs"/>
                <w:szCs w:val="28"/>
                <w:rtl/>
              </w:rPr>
            </w:pPr>
            <w:r>
              <w:rPr>
                <w:rFonts w:cs="Traditional Arabic" w:hint="cs"/>
                <w:szCs w:val="28"/>
                <w:rtl/>
              </w:rPr>
              <w:t>ليب</w:t>
            </w:r>
            <w:r w:rsidR="00F72BDC" w:rsidRPr="001B47DC">
              <w:rPr>
                <w:rFonts w:cs="Traditional Arabic" w:hint="cs"/>
                <w:szCs w:val="28"/>
                <w:rtl/>
              </w:rPr>
              <w:t>ريا</w:t>
            </w:r>
          </w:p>
        </w:tc>
        <w:tc>
          <w:tcPr>
            <w:tcW w:w="2897" w:type="dxa"/>
            <w:vAlign w:val="bottom"/>
          </w:tcPr>
          <w:p w:rsidR="00F72BDC" w:rsidRPr="001B47DC" w:rsidRDefault="00F72BDC" w:rsidP="00F72BDC">
            <w:pPr>
              <w:bidi/>
              <w:spacing w:before="60" w:after="60" w:line="320" w:lineRule="exact"/>
              <w:ind w:left="57" w:right="227"/>
              <w:rPr>
                <w:rFonts w:cs="Traditional Arabic"/>
                <w:szCs w:val="28"/>
              </w:rPr>
            </w:pP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22 أيلول/سبتمبر 2004</w:t>
            </w:r>
            <w:r w:rsidRPr="001B47DC">
              <w:rPr>
                <w:rFonts w:cs="Traditional Arabic" w:hint="cs"/>
                <w:szCs w:val="28"/>
                <w:vertAlign w:val="superscript"/>
                <w:rtl/>
              </w:rPr>
              <w:t>(أ)</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ليختنشتاين</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24 حزيران/يونيه 2005</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3 تشرين الثاني/نوفمبر 2006</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مالطة</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24 أيلول/سبتمبر 2003</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24 أيلول/سبتمبر 2003</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مالي</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19 كانون الثاني/يناير 2004</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12 أيار/مايو 2005</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مدغشقر</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24 أيلول/سبتمبر 2003</w:t>
            </w:r>
          </w:p>
        </w:tc>
        <w:tc>
          <w:tcPr>
            <w:tcW w:w="3094" w:type="dxa"/>
            <w:vAlign w:val="bottom"/>
          </w:tcPr>
          <w:p w:rsidR="00F72BDC" w:rsidRPr="001B47DC" w:rsidRDefault="00F72BDC" w:rsidP="00F72BDC">
            <w:pPr>
              <w:bidi/>
              <w:spacing w:before="60" w:after="60" w:line="320" w:lineRule="exact"/>
              <w:ind w:left="57" w:right="57"/>
              <w:rPr>
                <w:rFonts w:cs="Traditional Arabic"/>
                <w:szCs w:val="28"/>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المكسيك</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23 أيلول/سبتمبر 2003</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11 نيسان/أبريل 2005</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ملديف</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14 أيلول/سبتمبر 2005</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15 شباط/فبراير 2006</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359"/>
              <w:jc w:val="lowKashida"/>
              <w:rPr>
                <w:rFonts w:cs="Traditional Arabic" w:hint="cs"/>
                <w:szCs w:val="28"/>
              </w:rPr>
            </w:pPr>
            <w:r w:rsidRPr="001B47DC">
              <w:rPr>
                <w:rFonts w:cs="Traditional Arabic" w:hint="cs"/>
                <w:szCs w:val="28"/>
                <w:rtl/>
              </w:rPr>
              <w:t>المملكة المتحدة لبريطانيا العظمى و</w:t>
            </w:r>
            <w:r w:rsidR="007C5F1F">
              <w:rPr>
                <w:rFonts w:cs="Traditional Arabic" w:hint="cs"/>
                <w:szCs w:val="28"/>
                <w:rtl/>
              </w:rPr>
              <w:t>أ</w:t>
            </w:r>
            <w:r w:rsidRPr="001B47DC">
              <w:rPr>
                <w:rFonts w:cs="Traditional Arabic" w:hint="cs"/>
                <w:szCs w:val="28"/>
                <w:rtl/>
              </w:rPr>
              <w:t>يرلندا الشمالية</w:t>
            </w:r>
          </w:p>
        </w:tc>
        <w:tc>
          <w:tcPr>
            <w:tcW w:w="2897" w:type="dxa"/>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26 حزيران/يونيه 2003</w:t>
            </w:r>
          </w:p>
        </w:tc>
        <w:tc>
          <w:tcPr>
            <w:tcW w:w="3094" w:type="dxa"/>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10 كانون الأول/ديسمبر 2003</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موريتانيا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27 أيلول/سبتمبر 2011</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tl/>
              </w:rPr>
            </w:pPr>
            <w:r>
              <w:rPr>
                <w:rFonts w:cs="Traditional Arabic" w:hint="cs"/>
                <w:szCs w:val="28"/>
                <w:rtl/>
              </w:rPr>
              <w:t>3 تشرين الأول/أكتوبر 2012</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موريشيوس</w:t>
            </w:r>
          </w:p>
        </w:tc>
        <w:tc>
          <w:tcPr>
            <w:tcW w:w="2897" w:type="dxa"/>
            <w:vAlign w:val="bottom"/>
          </w:tcPr>
          <w:p w:rsidR="00F72BDC" w:rsidRPr="001B47DC" w:rsidRDefault="00F72BDC" w:rsidP="00F72BDC">
            <w:pPr>
              <w:bidi/>
              <w:spacing w:before="60" w:after="60" w:line="320" w:lineRule="exact"/>
              <w:ind w:left="57" w:right="227"/>
              <w:rPr>
                <w:rFonts w:cs="Traditional Arabic"/>
                <w:szCs w:val="28"/>
              </w:rPr>
            </w:pP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21 حزيران/يونيه 2005</w:t>
            </w:r>
            <w:r w:rsidRPr="001B47DC">
              <w:rPr>
                <w:rFonts w:cs="Traditional Arabic" w:hint="cs"/>
                <w:szCs w:val="28"/>
                <w:vertAlign w:val="superscript"/>
                <w:rtl/>
              </w:rPr>
              <w:t>(أ)</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tl/>
              </w:rPr>
            </w:pPr>
            <w:r>
              <w:rPr>
                <w:rFonts w:cs="Traditional Arabic" w:hint="cs"/>
                <w:szCs w:val="28"/>
                <w:rtl/>
              </w:rPr>
              <w:t>ناورو</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tl/>
              </w:rPr>
            </w:pP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Pr>
                <w:rFonts w:cs="Traditional Arabic" w:hint="cs"/>
                <w:szCs w:val="28"/>
                <w:rtl/>
              </w:rPr>
              <w:t>24 كانون الثاني/يناير 2013</w:t>
            </w:r>
            <w:r w:rsidR="00745279" w:rsidRPr="00745279">
              <w:rPr>
                <w:rFonts w:cs="Traditional Arabic" w:hint="cs"/>
                <w:szCs w:val="28"/>
                <w:vertAlign w:val="superscript"/>
                <w:rtl/>
              </w:rPr>
              <w:t>(أ)</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النرويج</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24 أيلول/سبتمبر 2003</w:t>
            </w:r>
          </w:p>
        </w:tc>
        <w:tc>
          <w:tcPr>
            <w:tcW w:w="3094" w:type="dxa"/>
            <w:vAlign w:val="bottom"/>
          </w:tcPr>
          <w:p w:rsidR="00F72BDC" w:rsidRPr="001B47DC" w:rsidRDefault="00F72BDC" w:rsidP="00F72BDC">
            <w:pPr>
              <w:bidi/>
              <w:spacing w:before="60" w:after="60" w:line="320" w:lineRule="exact"/>
              <w:ind w:left="57" w:right="57"/>
              <w:rPr>
                <w:rFonts w:cs="Traditional Arabic"/>
                <w:szCs w:val="28"/>
              </w:rPr>
            </w:pP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النمسا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25 أيلول/سبتمبر 2003</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Pr>
                <w:rFonts w:cs="Traditional Arabic" w:hint="cs"/>
                <w:szCs w:val="28"/>
                <w:rtl/>
              </w:rPr>
              <w:t>4 كانون الأول/ديسمبر 2012</w:t>
            </w:r>
          </w:p>
        </w:tc>
      </w:tr>
      <w:tr w:rsidR="00745279" w:rsidRPr="001B47DC" w:rsidTr="007525FC">
        <w:tblPrEx>
          <w:tblCellMar>
            <w:top w:w="0" w:type="dxa"/>
            <w:bottom w:w="0" w:type="dxa"/>
            <w:right w:w="0" w:type="dxa"/>
          </w:tblCellMar>
        </w:tblPrEx>
        <w:trPr>
          <w:cantSplit/>
        </w:trPr>
        <w:tc>
          <w:tcPr>
            <w:tcW w:w="2410" w:type="dxa"/>
            <w:vAlign w:val="bottom"/>
          </w:tcPr>
          <w:p w:rsidR="00745279" w:rsidRPr="001B47DC" w:rsidRDefault="00745279" w:rsidP="00F72BDC">
            <w:pPr>
              <w:bidi/>
              <w:spacing w:before="60" w:after="60" w:line="320" w:lineRule="exact"/>
              <w:ind w:left="57" w:right="227"/>
              <w:rPr>
                <w:rFonts w:cs="Traditional Arabic" w:hint="cs"/>
                <w:szCs w:val="28"/>
                <w:rtl/>
              </w:rPr>
            </w:pPr>
            <w:r>
              <w:rPr>
                <w:rFonts w:cs="Traditional Arabic" w:hint="cs"/>
                <w:szCs w:val="28"/>
                <w:rtl/>
              </w:rPr>
              <w:t>نيجيريا</w:t>
            </w:r>
          </w:p>
        </w:tc>
        <w:tc>
          <w:tcPr>
            <w:tcW w:w="2897" w:type="dxa"/>
            <w:vAlign w:val="bottom"/>
          </w:tcPr>
          <w:p w:rsidR="00745279" w:rsidRPr="001B47DC" w:rsidRDefault="00745279" w:rsidP="00F72BDC">
            <w:pPr>
              <w:bidi/>
              <w:spacing w:before="60" w:after="60" w:line="320" w:lineRule="exact"/>
              <w:ind w:left="57" w:right="227"/>
              <w:rPr>
                <w:rFonts w:cs="Traditional Arabic" w:hint="cs"/>
                <w:szCs w:val="28"/>
                <w:rtl/>
              </w:rPr>
            </w:pPr>
          </w:p>
        </w:tc>
        <w:tc>
          <w:tcPr>
            <w:tcW w:w="3094" w:type="dxa"/>
            <w:vAlign w:val="bottom"/>
          </w:tcPr>
          <w:p w:rsidR="00745279" w:rsidRPr="001B47DC" w:rsidRDefault="00745279" w:rsidP="00F72BDC">
            <w:pPr>
              <w:bidi/>
              <w:spacing w:before="60" w:after="60" w:line="320" w:lineRule="exact"/>
              <w:ind w:left="57" w:right="57"/>
              <w:rPr>
                <w:rFonts w:cs="Traditional Arabic" w:hint="cs"/>
                <w:szCs w:val="28"/>
                <w:rtl/>
              </w:rPr>
            </w:pPr>
            <w:r>
              <w:rPr>
                <w:rFonts w:cs="Traditional Arabic" w:hint="cs"/>
                <w:szCs w:val="28"/>
                <w:rtl/>
              </w:rPr>
              <w:t>27 تموز/يوليه 2009</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نيكاراغوا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14 آذار/مارس 2007</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25 شباط/فبراير 2009</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نيوزيلندا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23 أيلول/سبتمبر 2003</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14 آذار/مارس 2007</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هندوراس</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8 كانون الأول/ديسمبر 2004</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23 أيار/مايو 2006</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هنغاريا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tl/>
              </w:rPr>
            </w:pP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tl/>
              </w:rPr>
            </w:pPr>
            <w:r w:rsidRPr="001B47DC">
              <w:rPr>
                <w:rFonts w:cs="Traditional Arabic" w:hint="cs"/>
                <w:szCs w:val="28"/>
                <w:rtl/>
              </w:rPr>
              <w:t>12 كانون الثاني/يناير 2012</w:t>
            </w:r>
            <w:r w:rsidR="00745279" w:rsidRPr="00745279">
              <w:rPr>
                <w:rFonts w:cs="Traditional Arabic" w:hint="cs"/>
                <w:szCs w:val="28"/>
                <w:vertAlign w:val="superscript"/>
                <w:rtl/>
              </w:rPr>
              <w:t>(أ)</w:t>
            </w:r>
          </w:p>
        </w:tc>
      </w:tr>
      <w:tr w:rsidR="00F72BDC" w:rsidRPr="001B47DC" w:rsidTr="007525FC">
        <w:tblPrEx>
          <w:tblCellMar>
            <w:top w:w="0" w:type="dxa"/>
            <w:bottom w:w="0" w:type="dxa"/>
            <w:right w:w="0" w:type="dxa"/>
          </w:tblCellMar>
        </w:tblPrEx>
        <w:trPr>
          <w:cantSplit/>
        </w:trPr>
        <w:tc>
          <w:tcPr>
            <w:tcW w:w="2410"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هولندا</w:t>
            </w:r>
          </w:p>
        </w:tc>
        <w:tc>
          <w:tcPr>
            <w:tcW w:w="2897" w:type="dxa"/>
            <w:vAlign w:val="bottom"/>
          </w:tcPr>
          <w:p w:rsidR="00F72BDC" w:rsidRPr="001B47DC" w:rsidRDefault="00F72BDC" w:rsidP="00F72BDC">
            <w:pPr>
              <w:bidi/>
              <w:spacing w:before="60" w:after="60" w:line="320" w:lineRule="exact"/>
              <w:ind w:left="57" w:right="227"/>
              <w:rPr>
                <w:rFonts w:cs="Traditional Arabic" w:hint="cs"/>
                <w:szCs w:val="28"/>
              </w:rPr>
            </w:pPr>
            <w:r w:rsidRPr="001B47DC">
              <w:rPr>
                <w:rFonts w:cs="Traditional Arabic" w:hint="cs"/>
                <w:szCs w:val="28"/>
                <w:rtl/>
              </w:rPr>
              <w:t>3 حزيران/يونيه 2005</w:t>
            </w:r>
          </w:p>
        </w:tc>
        <w:tc>
          <w:tcPr>
            <w:tcW w:w="3094" w:type="dxa"/>
            <w:vAlign w:val="bottom"/>
          </w:tcPr>
          <w:p w:rsidR="00F72BDC" w:rsidRPr="001B47DC" w:rsidRDefault="00F72BDC" w:rsidP="00F72BDC">
            <w:pPr>
              <w:bidi/>
              <w:spacing w:before="60" w:after="60" w:line="320" w:lineRule="exact"/>
              <w:ind w:left="57" w:right="57"/>
              <w:rPr>
                <w:rFonts w:cs="Traditional Arabic" w:hint="cs"/>
                <w:szCs w:val="28"/>
              </w:rPr>
            </w:pPr>
            <w:r w:rsidRPr="001B47DC">
              <w:rPr>
                <w:rFonts w:cs="Traditional Arabic" w:hint="cs"/>
                <w:szCs w:val="28"/>
                <w:rtl/>
              </w:rPr>
              <w:t>28 أيلول/سبتمبر 2010</w:t>
            </w:r>
          </w:p>
        </w:tc>
      </w:tr>
      <w:tr w:rsidR="00F72BDC" w:rsidRPr="001B47DC" w:rsidTr="007525FC">
        <w:tblPrEx>
          <w:tblCellMar>
            <w:top w:w="0" w:type="dxa"/>
            <w:bottom w:w="0" w:type="dxa"/>
            <w:right w:w="0" w:type="dxa"/>
          </w:tblCellMar>
        </w:tblPrEx>
        <w:trPr>
          <w:cantSplit/>
        </w:trPr>
        <w:tc>
          <w:tcPr>
            <w:tcW w:w="2410" w:type="dxa"/>
            <w:tcBorders>
              <w:bottom w:val="single" w:sz="12" w:space="0" w:color="auto"/>
            </w:tcBorders>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اليونان</w:t>
            </w:r>
          </w:p>
        </w:tc>
        <w:tc>
          <w:tcPr>
            <w:tcW w:w="2897" w:type="dxa"/>
            <w:tcBorders>
              <w:bottom w:val="single" w:sz="12" w:space="0" w:color="auto"/>
            </w:tcBorders>
            <w:vAlign w:val="bottom"/>
          </w:tcPr>
          <w:p w:rsidR="00F72BDC" w:rsidRPr="001B47DC" w:rsidRDefault="00F72BDC" w:rsidP="00F72BDC">
            <w:pPr>
              <w:bidi/>
              <w:spacing w:before="60" w:after="60" w:line="320" w:lineRule="exact"/>
              <w:ind w:left="57" w:right="227"/>
              <w:rPr>
                <w:rFonts w:cs="Traditional Arabic" w:hint="cs"/>
                <w:szCs w:val="28"/>
                <w:rtl/>
              </w:rPr>
            </w:pPr>
            <w:r w:rsidRPr="001B47DC">
              <w:rPr>
                <w:rFonts w:cs="Traditional Arabic" w:hint="cs"/>
                <w:szCs w:val="28"/>
                <w:rtl/>
              </w:rPr>
              <w:t>3 آذار/مارس 2011</w:t>
            </w:r>
          </w:p>
        </w:tc>
        <w:tc>
          <w:tcPr>
            <w:tcW w:w="3094" w:type="dxa"/>
            <w:tcBorders>
              <w:bottom w:val="single" w:sz="12" w:space="0" w:color="auto"/>
            </w:tcBorders>
            <w:vAlign w:val="bottom"/>
          </w:tcPr>
          <w:p w:rsidR="00F72BDC" w:rsidRPr="001B47DC" w:rsidRDefault="00F72BDC" w:rsidP="00F72BDC">
            <w:pPr>
              <w:bidi/>
              <w:spacing w:before="60" w:after="60" w:line="320" w:lineRule="exact"/>
              <w:ind w:left="57" w:right="57"/>
              <w:rPr>
                <w:rFonts w:cs="Traditional Arabic"/>
                <w:szCs w:val="28"/>
              </w:rPr>
            </w:pPr>
          </w:p>
        </w:tc>
      </w:tr>
    </w:tbl>
    <w:p w:rsidR="00F72BDC" w:rsidRPr="003C0E49" w:rsidRDefault="00FC0CAE" w:rsidP="00FC0CAE">
      <w:pPr>
        <w:pStyle w:val="HChGA"/>
        <w:spacing w:before="120"/>
        <w:rPr>
          <w:rtl/>
          <w:lang w:val="fr-CH"/>
        </w:rPr>
      </w:pPr>
      <w:r>
        <w:rPr>
          <w:rtl/>
          <w:lang w:val="fr-CH"/>
        </w:rPr>
        <w:br w:type="page"/>
      </w:r>
      <w:r w:rsidR="00F72BDC" w:rsidRPr="003C0E49">
        <w:rPr>
          <w:rtl/>
          <w:lang w:val="fr-CH"/>
        </w:rPr>
        <w:t>المرفق السادس</w:t>
      </w:r>
    </w:p>
    <w:p w:rsidR="00F72BDC" w:rsidRPr="00F86A90" w:rsidRDefault="00F72BDC" w:rsidP="00FC0CAE">
      <w:pPr>
        <w:pStyle w:val="HChGA"/>
        <w:rPr>
          <w:rFonts w:hint="cs"/>
          <w:w w:val="90"/>
          <w:rtl/>
          <w:lang w:val="fr-CH"/>
        </w:rPr>
      </w:pPr>
      <w:r w:rsidRPr="00F86A90">
        <w:rPr>
          <w:w w:val="90"/>
          <w:rtl/>
          <w:lang w:val="fr-CH"/>
        </w:rPr>
        <w:tab/>
      </w:r>
      <w:r w:rsidRPr="00F86A90">
        <w:rPr>
          <w:w w:val="90"/>
          <w:rtl/>
          <w:lang w:val="fr-CH"/>
        </w:rPr>
        <w:tab/>
        <w:t>أعضاء اللجنة الفرعية لمنع التعذيب وغيره من ضروب المعاملة أو</w:t>
      </w:r>
      <w:r w:rsidRPr="00F86A90">
        <w:rPr>
          <w:rFonts w:hint="cs"/>
          <w:w w:val="90"/>
          <w:rtl/>
          <w:lang w:val="fr-CH"/>
        </w:rPr>
        <w:t> </w:t>
      </w:r>
      <w:r w:rsidRPr="00F86A90">
        <w:rPr>
          <w:w w:val="90"/>
          <w:rtl/>
          <w:lang w:val="fr-CH"/>
        </w:rPr>
        <w:t xml:space="preserve">العقوبة القاسية أو اللاإنسانية أو المهينة في عام </w:t>
      </w:r>
      <w:r>
        <w:rPr>
          <w:rFonts w:hint="cs"/>
          <w:w w:val="90"/>
          <w:rtl/>
          <w:lang w:val="fr-CH"/>
        </w:rPr>
        <w:t>2013</w:t>
      </w:r>
    </w:p>
    <w:tbl>
      <w:tblPr>
        <w:tblStyle w:val="1"/>
        <w:bidiVisual/>
        <w:tblW w:w="7199" w:type="dxa"/>
        <w:tblInd w:w="12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747"/>
        <w:gridCol w:w="2366"/>
        <w:gridCol w:w="2086"/>
      </w:tblGrid>
      <w:tr w:rsidR="00F72BDC" w:rsidRPr="001B47DC" w:rsidTr="00AD3FDC">
        <w:trPr>
          <w:tblHeader/>
        </w:trPr>
        <w:tc>
          <w:tcPr>
            <w:tcW w:w="2747" w:type="dxa"/>
            <w:tcBorders>
              <w:top w:val="single" w:sz="4" w:space="0" w:color="auto"/>
              <w:bottom w:val="single" w:sz="12" w:space="0" w:color="auto"/>
            </w:tcBorders>
            <w:vAlign w:val="bottom"/>
          </w:tcPr>
          <w:p w:rsidR="00F72BDC" w:rsidRPr="001B47DC" w:rsidRDefault="00F72BDC" w:rsidP="00FC0CAE">
            <w:pPr>
              <w:spacing w:before="60" w:after="60" w:line="320" w:lineRule="exact"/>
              <w:ind w:left="57" w:right="227"/>
              <w:jc w:val="left"/>
              <w:rPr>
                <w:rFonts w:cs="Traditional Arabic" w:hint="cs"/>
                <w:i/>
                <w:iCs/>
                <w:szCs w:val="28"/>
                <w:rtl/>
              </w:rPr>
            </w:pPr>
            <w:r w:rsidRPr="001B47DC">
              <w:rPr>
                <w:rFonts w:cs="Traditional Arabic" w:hint="cs"/>
                <w:i/>
                <w:iCs/>
                <w:szCs w:val="28"/>
                <w:rtl/>
              </w:rPr>
              <w:t>اسم العضو</w:t>
            </w:r>
          </w:p>
        </w:tc>
        <w:tc>
          <w:tcPr>
            <w:tcW w:w="2366" w:type="dxa"/>
            <w:tcBorders>
              <w:top w:val="single" w:sz="4" w:space="0" w:color="auto"/>
              <w:bottom w:val="single" w:sz="12" w:space="0" w:color="auto"/>
            </w:tcBorders>
            <w:vAlign w:val="bottom"/>
          </w:tcPr>
          <w:p w:rsidR="00F72BDC" w:rsidRPr="001B47DC" w:rsidRDefault="00F72BDC" w:rsidP="00F72BDC">
            <w:pPr>
              <w:spacing w:before="60" w:after="60" w:line="320" w:lineRule="exact"/>
              <w:ind w:left="57" w:right="227"/>
              <w:rPr>
                <w:rFonts w:cs="Traditional Arabic" w:hint="cs"/>
                <w:i/>
                <w:iCs/>
                <w:szCs w:val="28"/>
                <w:rtl/>
              </w:rPr>
            </w:pPr>
            <w:r w:rsidRPr="001B47DC">
              <w:rPr>
                <w:rFonts w:cs="Traditional Arabic" w:hint="cs"/>
                <w:i/>
                <w:iCs/>
                <w:szCs w:val="28"/>
                <w:rtl/>
              </w:rPr>
              <w:t>بلد الجنسية</w:t>
            </w:r>
          </w:p>
        </w:tc>
        <w:tc>
          <w:tcPr>
            <w:tcW w:w="2086" w:type="dxa"/>
            <w:tcBorders>
              <w:top w:val="single" w:sz="4" w:space="0" w:color="auto"/>
              <w:bottom w:val="single" w:sz="12" w:space="0" w:color="auto"/>
            </w:tcBorders>
            <w:vAlign w:val="bottom"/>
          </w:tcPr>
          <w:p w:rsidR="00F72BDC" w:rsidRPr="001B47DC" w:rsidRDefault="00F72BDC" w:rsidP="00F72BDC">
            <w:pPr>
              <w:spacing w:before="60" w:after="60" w:line="320" w:lineRule="exact"/>
              <w:ind w:left="57" w:right="57"/>
              <w:rPr>
                <w:rFonts w:cs="Traditional Arabic" w:hint="cs"/>
                <w:i/>
                <w:iCs/>
                <w:szCs w:val="28"/>
                <w:rtl/>
              </w:rPr>
            </w:pPr>
            <w:r w:rsidRPr="001B47DC">
              <w:rPr>
                <w:rFonts w:cs="Traditional Arabic" w:hint="cs"/>
                <w:i/>
                <w:iCs/>
                <w:szCs w:val="28"/>
                <w:rtl/>
              </w:rPr>
              <w:t>مدة العضوية تنتهي في 31 كانون الأول/ديسمبر</w:t>
            </w:r>
          </w:p>
        </w:tc>
      </w:tr>
      <w:tr w:rsidR="00F72BDC" w:rsidRPr="001B47DC" w:rsidTr="00FC0CAE">
        <w:tc>
          <w:tcPr>
            <w:tcW w:w="2747" w:type="dxa"/>
            <w:tcBorders>
              <w:top w:val="single" w:sz="12" w:space="0" w:color="auto"/>
            </w:tcBorders>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السيدة ماري </w:t>
            </w:r>
            <w:r w:rsidRPr="001B47DC">
              <w:rPr>
                <w:rFonts w:cs="Traditional Arabic" w:hint="cs"/>
                <w:b/>
                <w:bCs/>
                <w:szCs w:val="28"/>
                <w:rtl/>
              </w:rPr>
              <w:t>أموس</w:t>
            </w:r>
          </w:p>
        </w:tc>
        <w:tc>
          <w:tcPr>
            <w:tcW w:w="2366" w:type="dxa"/>
            <w:tcBorders>
              <w:top w:val="single" w:sz="12" w:space="0" w:color="auto"/>
            </w:tcBorders>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إستونيا</w:t>
            </w:r>
          </w:p>
        </w:tc>
        <w:tc>
          <w:tcPr>
            <w:tcW w:w="2086" w:type="dxa"/>
            <w:tcBorders>
              <w:top w:val="single" w:sz="12" w:space="0" w:color="auto"/>
            </w:tcBorders>
          </w:tcPr>
          <w:p w:rsidR="00F72BDC" w:rsidRPr="001B47DC" w:rsidRDefault="00F72BDC" w:rsidP="00F72BDC">
            <w:pPr>
              <w:spacing w:before="60" w:after="60" w:line="320" w:lineRule="exact"/>
              <w:ind w:left="57" w:right="57"/>
              <w:rPr>
                <w:rFonts w:cs="Traditional Arabic" w:hint="cs"/>
                <w:szCs w:val="28"/>
                <w:rtl/>
              </w:rPr>
            </w:pPr>
            <w:r w:rsidRPr="001B47DC">
              <w:rPr>
                <w:rFonts w:cs="Traditional Arabic" w:hint="cs"/>
                <w:szCs w:val="28"/>
                <w:rtl/>
              </w:rPr>
              <w:t>2014</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Pr>
                <w:rFonts w:cs="Traditional Arabic" w:hint="cs"/>
                <w:szCs w:val="28"/>
                <w:rtl/>
              </w:rPr>
              <w:t>السيد هانس</w:t>
            </w:r>
            <w:r w:rsidR="00FC0CAE">
              <w:rPr>
                <w:rFonts w:cs="Traditional Arabic" w:hint="cs"/>
                <w:szCs w:val="28"/>
                <w:rtl/>
              </w:rPr>
              <w:t xml:space="preserve"> </w:t>
            </w:r>
            <w:r>
              <w:rPr>
                <w:rFonts w:cs="Traditional Arabic" w:hint="cs"/>
                <w:szCs w:val="28"/>
                <w:rtl/>
              </w:rPr>
              <w:t>-</w:t>
            </w:r>
            <w:r w:rsidR="00FC0CAE">
              <w:rPr>
                <w:rFonts w:cs="Traditional Arabic" w:hint="cs"/>
                <w:szCs w:val="28"/>
                <w:rtl/>
              </w:rPr>
              <w:t xml:space="preserve"> </w:t>
            </w:r>
            <w:r>
              <w:rPr>
                <w:rFonts w:cs="Traditional Arabic" w:hint="cs"/>
                <w:szCs w:val="28"/>
                <w:rtl/>
              </w:rPr>
              <w:t xml:space="preserve">يورغ فيكتور </w:t>
            </w:r>
            <w:r w:rsidRPr="0002142D">
              <w:rPr>
                <w:rFonts w:cs="Traditional Arabic" w:hint="cs"/>
                <w:b/>
                <w:bCs/>
                <w:szCs w:val="28"/>
                <w:rtl/>
              </w:rPr>
              <w:t>بانفارت</w:t>
            </w:r>
          </w:p>
        </w:tc>
        <w:tc>
          <w:tcPr>
            <w:tcW w:w="2366" w:type="dxa"/>
          </w:tcPr>
          <w:p w:rsidR="00F72BDC" w:rsidRPr="001B47DC" w:rsidRDefault="00F72BDC" w:rsidP="00F72BDC">
            <w:pPr>
              <w:spacing w:before="60" w:after="60" w:line="320" w:lineRule="exact"/>
              <w:ind w:left="57" w:right="227"/>
              <w:rPr>
                <w:rFonts w:cs="Traditional Arabic" w:hint="cs"/>
                <w:szCs w:val="28"/>
                <w:rtl/>
              </w:rPr>
            </w:pPr>
            <w:r>
              <w:rPr>
                <w:rFonts w:cs="Traditional Arabic" w:hint="cs"/>
                <w:szCs w:val="28"/>
                <w:rtl/>
              </w:rPr>
              <w:t>سويسرا</w:t>
            </w:r>
          </w:p>
        </w:tc>
        <w:tc>
          <w:tcPr>
            <w:tcW w:w="2086" w:type="dxa"/>
          </w:tcPr>
          <w:p w:rsidR="00F72BDC" w:rsidRPr="001B47DC" w:rsidRDefault="00F72BDC" w:rsidP="00F72BDC">
            <w:pPr>
              <w:spacing w:before="60" w:after="60" w:line="320" w:lineRule="exact"/>
              <w:ind w:left="57" w:right="57"/>
              <w:rPr>
                <w:rFonts w:cs="Traditional Arabic" w:hint="cs"/>
                <w:szCs w:val="28"/>
                <w:rtl/>
              </w:rPr>
            </w:pPr>
            <w:r>
              <w:rPr>
                <w:rFonts w:cs="Traditional Arabic" w:hint="cs"/>
                <w:szCs w:val="28"/>
                <w:rtl/>
              </w:rPr>
              <w:t>2016</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 أرمان </w:t>
            </w:r>
            <w:r w:rsidRPr="001B47DC">
              <w:rPr>
                <w:rFonts w:cs="Traditional Arabic" w:hint="cs"/>
                <w:b/>
                <w:bCs/>
                <w:szCs w:val="28"/>
                <w:rtl/>
              </w:rPr>
              <w:t>دانياليان</w:t>
            </w:r>
          </w:p>
        </w:tc>
        <w:tc>
          <w:tcPr>
            <w:tcW w:w="2366" w:type="dxa"/>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أرمينيا</w:t>
            </w:r>
          </w:p>
        </w:tc>
        <w:tc>
          <w:tcPr>
            <w:tcW w:w="2086" w:type="dxa"/>
          </w:tcPr>
          <w:p w:rsidR="00F72BDC" w:rsidRPr="001B47DC" w:rsidRDefault="00F72BDC" w:rsidP="00F72BDC">
            <w:pPr>
              <w:spacing w:before="60" w:after="60" w:line="320" w:lineRule="exact"/>
              <w:ind w:left="57" w:right="57"/>
              <w:rPr>
                <w:rFonts w:cs="Traditional Arabic" w:hint="cs"/>
                <w:szCs w:val="28"/>
                <w:rtl/>
              </w:rPr>
            </w:pPr>
            <w:r w:rsidRPr="001B47DC">
              <w:rPr>
                <w:rFonts w:cs="Traditional Arabic" w:hint="cs"/>
                <w:szCs w:val="28"/>
                <w:rtl/>
              </w:rPr>
              <w:t>2014</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 مالكولم </w:t>
            </w:r>
            <w:r w:rsidRPr="001B47DC">
              <w:rPr>
                <w:rFonts w:cs="Traditional Arabic" w:hint="cs"/>
                <w:b/>
                <w:bCs/>
                <w:szCs w:val="28"/>
                <w:rtl/>
              </w:rPr>
              <w:t>إيفانس</w:t>
            </w:r>
            <w:r w:rsidRPr="001B47DC">
              <w:rPr>
                <w:rFonts w:cs="Traditional Arabic"/>
                <w:szCs w:val="28"/>
                <w:rtl/>
              </w:rPr>
              <w:br/>
            </w:r>
            <w:r w:rsidRPr="001B47DC">
              <w:rPr>
                <w:rFonts w:cs="Traditional Arabic" w:hint="cs"/>
                <w:szCs w:val="28"/>
                <w:rtl/>
              </w:rPr>
              <w:t>(الرئيس)</w:t>
            </w:r>
          </w:p>
        </w:tc>
        <w:tc>
          <w:tcPr>
            <w:tcW w:w="2366" w:type="dxa"/>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المملكة المتحدة لبريطانيا العظمى و</w:t>
            </w:r>
            <w:r w:rsidR="007C5F1F">
              <w:rPr>
                <w:rFonts w:cs="Traditional Arabic" w:hint="cs"/>
                <w:szCs w:val="28"/>
                <w:rtl/>
              </w:rPr>
              <w:t>أ</w:t>
            </w:r>
            <w:r w:rsidRPr="001B47DC">
              <w:rPr>
                <w:rFonts w:cs="Traditional Arabic" w:hint="cs"/>
                <w:szCs w:val="28"/>
                <w:rtl/>
              </w:rPr>
              <w:t>يرلندا الشمالية</w:t>
            </w:r>
          </w:p>
        </w:tc>
        <w:tc>
          <w:tcPr>
            <w:tcW w:w="2086" w:type="dxa"/>
          </w:tcPr>
          <w:p w:rsidR="00F72BDC" w:rsidRPr="001B47DC" w:rsidRDefault="00F72BDC" w:rsidP="00F72BDC">
            <w:pPr>
              <w:spacing w:before="60" w:after="60" w:line="320" w:lineRule="exact"/>
              <w:ind w:left="57" w:right="57"/>
              <w:rPr>
                <w:rFonts w:cs="Traditional Arabic" w:hint="cs"/>
                <w:szCs w:val="28"/>
                <w:rtl/>
              </w:rPr>
            </w:pPr>
            <w:r>
              <w:rPr>
                <w:rFonts w:cs="Traditional Arabic" w:hint="cs"/>
                <w:szCs w:val="28"/>
                <w:rtl/>
              </w:rPr>
              <w:t>2016</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Pr>
                <w:rFonts w:cs="Traditional Arabic" w:hint="cs"/>
                <w:szCs w:val="28"/>
                <w:rtl/>
              </w:rPr>
              <w:t xml:space="preserve">السيد إنريكي أندريس </w:t>
            </w:r>
            <w:r w:rsidRPr="00F633EB">
              <w:rPr>
                <w:rFonts w:cs="Traditional Arabic" w:hint="cs"/>
                <w:b/>
                <w:bCs/>
                <w:szCs w:val="28"/>
                <w:rtl/>
              </w:rPr>
              <w:t>فونت</w:t>
            </w:r>
          </w:p>
        </w:tc>
        <w:tc>
          <w:tcPr>
            <w:tcW w:w="2366" w:type="dxa"/>
          </w:tcPr>
          <w:p w:rsidR="00F72BDC" w:rsidRPr="001B47DC" w:rsidRDefault="00F72BDC" w:rsidP="00F72BDC">
            <w:pPr>
              <w:spacing w:before="60" w:after="60" w:line="320" w:lineRule="exact"/>
              <w:ind w:left="57" w:right="227"/>
              <w:rPr>
                <w:rFonts w:cs="Traditional Arabic" w:hint="cs"/>
                <w:szCs w:val="28"/>
                <w:rtl/>
              </w:rPr>
            </w:pPr>
            <w:r>
              <w:rPr>
                <w:rFonts w:cs="Traditional Arabic" w:hint="cs"/>
                <w:szCs w:val="28"/>
                <w:rtl/>
              </w:rPr>
              <w:t>الأرجنتين</w:t>
            </w:r>
          </w:p>
        </w:tc>
        <w:tc>
          <w:tcPr>
            <w:tcW w:w="2086" w:type="dxa"/>
          </w:tcPr>
          <w:p w:rsidR="00F72BDC" w:rsidRPr="001B47DC" w:rsidRDefault="00F72BDC" w:rsidP="00F72BDC">
            <w:pPr>
              <w:spacing w:before="60" w:after="60" w:line="320" w:lineRule="exact"/>
              <w:ind w:left="57" w:right="57"/>
              <w:rPr>
                <w:rFonts w:cs="Traditional Arabic" w:hint="cs"/>
                <w:szCs w:val="28"/>
                <w:rtl/>
              </w:rPr>
            </w:pPr>
            <w:r>
              <w:rPr>
                <w:rFonts w:cs="Traditional Arabic" w:hint="cs"/>
                <w:szCs w:val="28"/>
                <w:rtl/>
              </w:rPr>
              <w:t>2016</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 إميليو غينيس </w:t>
            </w:r>
            <w:r w:rsidRPr="001B47DC">
              <w:rPr>
                <w:rFonts w:cs="Traditional Arabic" w:hint="cs"/>
                <w:b/>
                <w:bCs/>
                <w:szCs w:val="28"/>
                <w:rtl/>
              </w:rPr>
              <w:t>سانتدريان</w:t>
            </w:r>
          </w:p>
        </w:tc>
        <w:tc>
          <w:tcPr>
            <w:tcW w:w="2366" w:type="dxa"/>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إسبانيا</w:t>
            </w:r>
          </w:p>
        </w:tc>
        <w:tc>
          <w:tcPr>
            <w:tcW w:w="2086" w:type="dxa"/>
          </w:tcPr>
          <w:p w:rsidR="00F72BDC" w:rsidRPr="001B47DC" w:rsidRDefault="00F72BDC" w:rsidP="00F72BDC">
            <w:pPr>
              <w:spacing w:before="60" w:after="60" w:line="320" w:lineRule="exact"/>
              <w:ind w:left="57" w:right="57"/>
              <w:rPr>
                <w:rFonts w:cs="Traditional Arabic" w:hint="cs"/>
                <w:szCs w:val="28"/>
                <w:rtl/>
              </w:rPr>
            </w:pPr>
            <w:r w:rsidRPr="001B47DC">
              <w:rPr>
                <w:rFonts w:cs="Traditional Arabic" w:hint="cs"/>
                <w:szCs w:val="28"/>
                <w:rtl/>
              </w:rPr>
              <w:t>2014</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السيدة لوول باتريا </w:t>
            </w:r>
            <w:r w:rsidRPr="001B47DC">
              <w:rPr>
                <w:rFonts w:cs="Traditional Arabic" w:hint="cs"/>
                <w:b/>
                <w:bCs/>
                <w:szCs w:val="28"/>
                <w:rtl/>
              </w:rPr>
              <w:t>غودار</w:t>
            </w:r>
          </w:p>
        </w:tc>
        <w:tc>
          <w:tcPr>
            <w:tcW w:w="2366" w:type="dxa"/>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نيوزيلندا</w:t>
            </w:r>
          </w:p>
        </w:tc>
        <w:tc>
          <w:tcPr>
            <w:tcW w:w="2086" w:type="dxa"/>
          </w:tcPr>
          <w:p w:rsidR="00F72BDC" w:rsidRPr="001B47DC" w:rsidRDefault="00F72BDC" w:rsidP="00F72BDC">
            <w:pPr>
              <w:spacing w:before="60" w:after="60" w:line="320" w:lineRule="exact"/>
              <w:ind w:left="57" w:right="57"/>
              <w:rPr>
                <w:rFonts w:cs="Traditional Arabic" w:hint="cs"/>
                <w:szCs w:val="28"/>
                <w:rtl/>
              </w:rPr>
            </w:pPr>
            <w:r>
              <w:rPr>
                <w:rFonts w:cs="Traditional Arabic" w:hint="cs"/>
                <w:szCs w:val="28"/>
                <w:rtl/>
              </w:rPr>
              <w:t>2016</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السيدة سوزان </w:t>
            </w:r>
            <w:r w:rsidRPr="001B47DC">
              <w:rPr>
                <w:rFonts w:cs="Traditional Arabic" w:hint="cs"/>
                <w:b/>
                <w:bCs/>
                <w:szCs w:val="28"/>
                <w:rtl/>
              </w:rPr>
              <w:t>جبور</w:t>
            </w:r>
            <w:r w:rsidRPr="001B47DC">
              <w:rPr>
                <w:rFonts w:cs="Traditional Arabic"/>
                <w:szCs w:val="28"/>
                <w:rtl/>
              </w:rPr>
              <w:br/>
            </w:r>
            <w:r w:rsidRPr="001B47DC">
              <w:rPr>
                <w:rFonts w:cs="Traditional Arabic" w:hint="cs"/>
                <w:szCs w:val="28"/>
                <w:rtl/>
              </w:rPr>
              <w:t>(نائبة الرئيس)</w:t>
            </w:r>
          </w:p>
        </w:tc>
        <w:tc>
          <w:tcPr>
            <w:tcW w:w="2366" w:type="dxa"/>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لبنان</w:t>
            </w:r>
          </w:p>
        </w:tc>
        <w:tc>
          <w:tcPr>
            <w:tcW w:w="2086" w:type="dxa"/>
          </w:tcPr>
          <w:p w:rsidR="00F72BDC" w:rsidRPr="001B47DC" w:rsidRDefault="00F72BDC" w:rsidP="00F72BDC">
            <w:pPr>
              <w:spacing w:before="60" w:after="60" w:line="320" w:lineRule="exact"/>
              <w:ind w:left="57" w:right="57"/>
              <w:rPr>
                <w:rFonts w:cs="Traditional Arabic" w:hint="cs"/>
                <w:szCs w:val="28"/>
                <w:rtl/>
              </w:rPr>
            </w:pPr>
            <w:r>
              <w:rPr>
                <w:rFonts w:cs="Traditional Arabic" w:hint="cs"/>
                <w:szCs w:val="28"/>
                <w:rtl/>
              </w:rPr>
              <w:t>2016</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Pr>
                <w:rFonts w:cs="Traditional Arabic" w:hint="cs"/>
                <w:szCs w:val="28"/>
                <w:rtl/>
              </w:rPr>
              <w:t xml:space="preserve">السيد ميلوس </w:t>
            </w:r>
            <w:r w:rsidRPr="00A575FF">
              <w:rPr>
                <w:rFonts w:cs="Traditional Arabic" w:hint="cs"/>
                <w:b/>
                <w:bCs/>
                <w:szCs w:val="28"/>
                <w:rtl/>
              </w:rPr>
              <w:t>يانكوفيتش</w:t>
            </w:r>
          </w:p>
        </w:tc>
        <w:tc>
          <w:tcPr>
            <w:tcW w:w="2366" w:type="dxa"/>
          </w:tcPr>
          <w:p w:rsidR="00F72BDC" w:rsidRPr="001B47DC" w:rsidRDefault="00F72BDC" w:rsidP="00F72BDC">
            <w:pPr>
              <w:spacing w:before="60" w:after="60" w:line="320" w:lineRule="exact"/>
              <w:ind w:left="57" w:right="227"/>
              <w:rPr>
                <w:rFonts w:cs="Traditional Arabic" w:hint="cs"/>
                <w:szCs w:val="28"/>
                <w:rtl/>
              </w:rPr>
            </w:pPr>
            <w:r>
              <w:rPr>
                <w:rFonts w:cs="Traditional Arabic" w:hint="cs"/>
                <w:szCs w:val="28"/>
                <w:rtl/>
              </w:rPr>
              <w:t>صربيا</w:t>
            </w:r>
          </w:p>
        </w:tc>
        <w:tc>
          <w:tcPr>
            <w:tcW w:w="2086" w:type="dxa"/>
          </w:tcPr>
          <w:p w:rsidR="00F72BDC" w:rsidRPr="001B47DC" w:rsidRDefault="00F72BDC" w:rsidP="00F72BDC">
            <w:pPr>
              <w:spacing w:before="60" w:after="60" w:line="320" w:lineRule="exact"/>
              <w:ind w:left="57" w:right="57"/>
              <w:rPr>
                <w:rFonts w:cs="Traditional Arabic" w:hint="cs"/>
                <w:szCs w:val="28"/>
                <w:rtl/>
              </w:rPr>
            </w:pPr>
            <w:r>
              <w:rPr>
                <w:rFonts w:cs="Traditional Arabic" w:hint="cs"/>
                <w:szCs w:val="28"/>
                <w:rtl/>
              </w:rPr>
              <w:t>2016</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 بول </w:t>
            </w:r>
            <w:r w:rsidRPr="00745279">
              <w:rPr>
                <w:rFonts w:cs="Traditional Arabic" w:hint="cs"/>
                <w:b/>
                <w:bCs/>
                <w:szCs w:val="28"/>
                <w:rtl/>
              </w:rPr>
              <w:t xml:space="preserve">لام شانغ </w:t>
            </w:r>
            <w:r w:rsidRPr="001B47DC">
              <w:rPr>
                <w:rFonts w:cs="Traditional Arabic" w:hint="cs"/>
                <w:b/>
                <w:bCs/>
                <w:szCs w:val="28"/>
                <w:rtl/>
              </w:rPr>
              <w:t>لين</w:t>
            </w:r>
          </w:p>
        </w:tc>
        <w:tc>
          <w:tcPr>
            <w:tcW w:w="2366" w:type="dxa"/>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موريشيوس</w:t>
            </w:r>
          </w:p>
        </w:tc>
        <w:tc>
          <w:tcPr>
            <w:tcW w:w="2086" w:type="dxa"/>
          </w:tcPr>
          <w:p w:rsidR="00F72BDC" w:rsidRPr="001B47DC" w:rsidRDefault="00F72BDC" w:rsidP="00F72BDC">
            <w:pPr>
              <w:spacing w:before="60" w:after="60" w:line="320" w:lineRule="exact"/>
              <w:ind w:left="57" w:right="57"/>
              <w:rPr>
                <w:rFonts w:cs="Traditional Arabic" w:hint="cs"/>
                <w:szCs w:val="28"/>
                <w:rtl/>
              </w:rPr>
            </w:pPr>
            <w:r>
              <w:rPr>
                <w:rFonts w:cs="Traditional Arabic" w:hint="cs"/>
                <w:szCs w:val="28"/>
                <w:rtl/>
              </w:rPr>
              <w:t>2016</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Pr>
                <w:rFonts w:cs="Traditional Arabic" w:hint="cs"/>
                <w:szCs w:val="28"/>
                <w:rtl/>
              </w:rPr>
              <w:t xml:space="preserve">السيد فيكتور </w:t>
            </w:r>
            <w:r w:rsidRPr="006947D6">
              <w:rPr>
                <w:rFonts w:cs="Traditional Arabic" w:hint="cs"/>
                <w:b/>
                <w:bCs/>
                <w:szCs w:val="28"/>
                <w:rtl/>
              </w:rPr>
              <w:t>مادريغال</w:t>
            </w:r>
            <w:r w:rsidR="00FC0CAE">
              <w:rPr>
                <w:rFonts w:cs="Traditional Arabic" w:hint="cs"/>
                <w:b/>
                <w:bCs/>
                <w:szCs w:val="28"/>
                <w:rtl/>
              </w:rPr>
              <w:t xml:space="preserve"> </w:t>
            </w:r>
            <w:r w:rsidRPr="006947D6">
              <w:rPr>
                <w:rFonts w:cs="Traditional Arabic" w:hint="cs"/>
                <w:b/>
                <w:bCs/>
                <w:szCs w:val="28"/>
                <w:rtl/>
              </w:rPr>
              <w:t>-</w:t>
            </w:r>
            <w:r w:rsidR="00FC0CAE">
              <w:rPr>
                <w:rFonts w:cs="Traditional Arabic" w:hint="cs"/>
                <w:b/>
                <w:bCs/>
                <w:szCs w:val="28"/>
                <w:rtl/>
              </w:rPr>
              <w:t xml:space="preserve"> </w:t>
            </w:r>
            <w:r w:rsidRPr="006947D6">
              <w:rPr>
                <w:rFonts w:cs="Traditional Arabic" w:hint="cs"/>
                <w:b/>
                <w:bCs/>
                <w:szCs w:val="28"/>
                <w:rtl/>
              </w:rPr>
              <w:t>بورلوس</w:t>
            </w:r>
          </w:p>
        </w:tc>
        <w:tc>
          <w:tcPr>
            <w:tcW w:w="2366" w:type="dxa"/>
          </w:tcPr>
          <w:p w:rsidR="00F72BDC" w:rsidRPr="001B47DC" w:rsidRDefault="00F72BDC" w:rsidP="00F72BDC">
            <w:pPr>
              <w:spacing w:before="60" w:after="60" w:line="320" w:lineRule="exact"/>
              <w:ind w:left="57" w:right="227"/>
              <w:rPr>
                <w:rFonts w:cs="Traditional Arabic" w:hint="cs"/>
                <w:szCs w:val="28"/>
                <w:rtl/>
              </w:rPr>
            </w:pPr>
            <w:r>
              <w:rPr>
                <w:rFonts w:cs="Traditional Arabic" w:hint="cs"/>
                <w:szCs w:val="28"/>
                <w:rtl/>
              </w:rPr>
              <w:t>كوستاريكا</w:t>
            </w:r>
          </w:p>
        </w:tc>
        <w:tc>
          <w:tcPr>
            <w:tcW w:w="2086" w:type="dxa"/>
          </w:tcPr>
          <w:p w:rsidR="00F72BDC" w:rsidRPr="001B47DC" w:rsidRDefault="00F72BDC" w:rsidP="00F72BDC">
            <w:pPr>
              <w:spacing w:before="60" w:after="60" w:line="320" w:lineRule="exact"/>
              <w:ind w:left="57" w:right="57"/>
              <w:rPr>
                <w:rFonts w:cs="Traditional Arabic" w:hint="cs"/>
                <w:szCs w:val="28"/>
                <w:rtl/>
              </w:rPr>
            </w:pPr>
            <w:r>
              <w:rPr>
                <w:rFonts w:cs="Traditional Arabic" w:hint="cs"/>
                <w:szCs w:val="28"/>
                <w:rtl/>
              </w:rPr>
              <w:t>2016</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 بيتروس </w:t>
            </w:r>
            <w:r w:rsidRPr="001B47DC">
              <w:rPr>
                <w:rFonts w:cs="Traditional Arabic" w:hint="cs"/>
                <w:b/>
                <w:bCs/>
                <w:szCs w:val="28"/>
                <w:rtl/>
              </w:rPr>
              <w:t>ميكايليدس</w:t>
            </w:r>
          </w:p>
        </w:tc>
        <w:tc>
          <w:tcPr>
            <w:tcW w:w="2366" w:type="dxa"/>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قبرص</w:t>
            </w:r>
          </w:p>
        </w:tc>
        <w:tc>
          <w:tcPr>
            <w:tcW w:w="2086" w:type="dxa"/>
          </w:tcPr>
          <w:p w:rsidR="00F72BDC" w:rsidRPr="001B47DC" w:rsidRDefault="00F72BDC" w:rsidP="00F72BDC">
            <w:pPr>
              <w:spacing w:before="60" w:after="60" w:line="320" w:lineRule="exact"/>
              <w:ind w:left="57" w:right="57"/>
              <w:rPr>
                <w:rFonts w:cs="Traditional Arabic" w:hint="cs"/>
                <w:szCs w:val="28"/>
                <w:rtl/>
              </w:rPr>
            </w:pPr>
            <w:r w:rsidRPr="001B47DC">
              <w:rPr>
                <w:rFonts w:cs="Traditional Arabic" w:hint="cs"/>
                <w:szCs w:val="28"/>
                <w:rtl/>
              </w:rPr>
              <w:t>2014</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السيدة عائشة شجون </w:t>
            </w:r>
            <w:r w:rsidRPr="001B47DC">
              <w:rPr>
                <w:rFonts w:cs="Traditional Arabic" w:hint="cs"/>
                <w:b/>
                <w:bCs/>
                <w:szCs w:val="28"/>
                <w:rtl/>
              </w:rPr>
              <w:t>محمد</w:t>
            </w:r>
            <w:r w:rsidRPr="001B47DC">
              <w:rPr>
                <w:rFonts w:cs="Traditional Arabic"/>
                <w:szCs w:val="28"/>
                <w:rtl/>
              </w:rPr>
              <w:br/>
            </w:r>
            <w:r w:rsidRPr="001B47DC">
              <w:rPr>
                <w:rFonts w:cs="Traditional Arabic" w:hint="cs"/>
                <w:szCs w:val="28"/>
                <w:rtl/>
              </w:rPr>
              <w:t>(نائبة الرئيس)</w:t>
            </w:r>
          </w:p>
        </w:tc>
        <w:tc>
          <w:tcPr>
            <w:tcW w:w="2366" w:type="dxa"/>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ملديف</w:t>
            </w:r>
          </w:p>
        </w:tc>
        <w:tc>
          <w:tcPr>
            <w:tcW w:w="2086" w:type="dxa"/>
          </w:tcPr>
          <w:p w:rsidR="00F72BDC" w:rsidRPr="001B47DC" w:rsidRDefault="00F72BDC" w:rsidP="00F72BDC">
            <w:pPr>
              <w:spacing w:before="60" w:after="60" w:line="320" w:lineRule="exact"/>
              <w:ind w:left="57" w:right="57"/>
              <w:rPr>
                <w:rFonts w:cs="Traditional Arabic" w:hint="cs"/>
                <w:szCs w:val="28"/>
                <w:rtl/>
              </w:rPr>
            </w:pPr>
            <w:r w:rsidRPr="001B47DC">
              <w:rPr>
                <w:rFonts w:cs="Traditional Arabic" w:hint="cs"/>
                <w:szCs w:val="28"/>
                <w:rtl/>
              </w:rPr>
              <w:t>2014</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 أوليفيي </w:t>
            </w:r>
            <w:r w:rsidRPr="001B47DC">
              <w:rPr>
                <w:rFonts w:cs="Traditional Arabic" w:hint="cs"/>
                <w:b/>
                <w:bCs/>
                <w:szCs w:val="28"/>
                <w:rtl/>
              </w:rPr>
              <w:t>أوبريشت</w:t>
            </w:r>
          </w:p>
        </w:tc>
        <w:tc>
          <w:tcPr>
            <w:tcW w:w="2366" w:type="dxa"/>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فرنسا</w:t>
            </w:r>
          </w:p>
        </w:tc>
        <w:tc>
          <w:tcPr>
            <w:tcW w:w="2086" w:type="dxa"/>
          </w:tcPr>
          <w:p w:rsidR="00F72BDC" w:rsidRPr="001B47DC" w:rsidRDefault="00F72BDC" w:rsidP="00F72BDC">
            <w:pPr>
              <w:spacing w:before="60" w:after="60" w:line="320" w:lineRule="exact"/>
              <w:ind w:left="57" w:right="57"/>
              <w:rPr>
                <w:rFonts w:cs="Traditional Arabic" w:hint="cs"/>
                <w:szCs w:val="28"/>
                <w:rtl/>
              </w:rPr>
            </w:pPr>
            <w:r w:rsidRPr="001B47DC">
              <w:rPr>
                <w:rFonts w:cs="Traditional Arabic" w:hint="cs"/>
                <w:szCs w:val="28"/>
                <w:rtl/>
              </w:rPr>
              <w:t>2014</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Pr>
                <w:rFonts w:cs="Traditional Arabic" w:hint="cs"/>
                <w:szCs w:val="28"/>
                <w:rtl/>
              </w:rPr>
              <w:t xml:space="preserve">السيدة جون كاريداد </w:t>
            </w:r>
            <w:r w:rsidRPr="00E35AF4">
              <w:rPr>
                <w:rFonts w:cs="Traditional Arabic" w:hint="cs"/>
                <w:b/>
                <w:bCs/>
                <w:szCs w:val="28"/>
                <w:rtl/>
              </w:rPr>
              <w:t>باغادوان لو</w:t>
            </w:r>
            <w:r w:rsidR="00745279">
              <w:rPr>
                <w:rFonts w:cs="Traditional Arabic" w:hint="cs"/>
                <w:b/>
                <w:bCs/>
                <w:szCs w:val="28"/>
                <w:rtl/>
              </w:rPr>
              <w:t>بيز</w:t>
            </w:r>
          </w:p>
        </w:tc>
        <w:tc>
          <w:tcPr>
            <w:tcW w:w="2366" w:type="dxa"/>
          </w:tcPr>
          <w:p w:rsidR="00F72BDC" w:rsidRPr="001B47DC" w:rsidRDefault="00F72BDC" w:rsidP="00F72BDC">
            <w:pPr>
              <w:spacing w:before="60" w:after="60" w:line="320" w:lineRule="exact"/>
              <w:ind w:left="57" w:right="227"/>
              <w:rPr>
                <w:rFonts w:cs="Traditional Arabic" w:hint="cs"/>
                <w:szCs w:val="28"/>
                <w:rtl/>
              </w:rPr>
            </w:pPr>
            <w:r>
              <w:rPr>
                <w:rFonts w:cs="Traditional Arabic" w:hint="cs"/>
                <w:szCs w:val="28"/>
                <w:rtl/>
              </w:rPr>
              <w:t>الفلبين</w:t>
            </w:r>
          </w:p>
        </w:tc>
        <w:tc>
          <w:tcPr>
            <w:tcW w:w="2086" w:type="dxa"/>
          </w:tcPr>
          <w:p w:rsidR="00F72BDC" w:rsidRPr="001B47DC" w:rsidRDefault="00F72BDC" w:rsidP="00F72BDC">
            <w:pPr>
              <w:spacing w:before="60" w:after="60" w:line="320" w:lineRule="exact"/>
              <w:ind w:left="57" w:right="57"/>
              <w:rPr>
                <w:rFonts w:cs="Traditional Arabic" w:hint="cs"/>
                <w:szCs w:val="28"/>
                <w:rtl/>
              </w:rPr>
            </w:pPr>
            <w:r>
              <w:rPr>
                <w:rFonts w:cs="Traditional Arabic" w:hint="cs"/>
                <w:szCs w:val="28"/>
                <w:rtl/>
              </w:rPr>
              <w:t>2016</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 هانس درامينسكي </w:t>
            </w:r>
            <w:r w:rsidRPr="001B47DC">
              <w:rPr>
                <w:rFonts w:cs="Traditional Arabic" w:hint="cs"/>
                <w:b/>
                <w:bCs/>
                <w:szCs w:val="28"/>
                <w:rtl/>
              </w:rPr>
              <w:t>بيترسن</w:t>
            </w:r>
          </w:p>
        </w:tc>
        <w:tc>
          <w:tcPr>
            <w:tcW w:w="2366" w:type="dxa"/>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الدانمرك</w:t>
            </w:r>
          </w:p>
        </w:tc>
        <w:tc>
          <w:tcPr>
            <w:tcW w:w="2086" w:type="dxa"/>
          </w:tcPr>
          <w:p w:rsidR="00F72BDC" w:rsidRPr="001B47DC" w:rsidRDefault="00F72BDC" w:rsidP="00F72BDC">
            <w:pPr>
              <w:spacing w:before="60" w:after="60" w:line="320" w:lineRule="exact"/>
              <w:ind w:left="57" w:right="57"/>
              <w:rPr>
                <w:rFonts w:cs="Traditional Arabic" w:hint="cs"/>
                <w:szCs w:val="28"/>
                <w:rtl/>
              </w:rPr>
            </w:pPr>
            <w:r w:rsidRPr="001B47DC">
              <w:rPr>
                <w:rFonts w:cs="Traditional Arabic" w:hint="cs"/>
                <w:szCs w:val="28"/>
                <w:rtl/>
              </w:rPr>
              <w:t>2014</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السيدة ماريا مارغاريدا إ. </w:t>
            </w:r>
            <w:r w:rsidRPr="001B47DC">
              <w:rPr>
                <w:rFonts w:cs="Traditional Arabic" w:hint="cs"/>
                <w:b/>
                <w:bCs/>
                <w:szCs w:val="28"/>
                <w:rtl/>
              </w:rPr>
              <w:t>براسبورغر</w:t>
            </w:r>
          </w:p>
        </w:tc>
        <w:tc>
          <w:tcPr>
            <w:tcW w:w="2366" w:type="dxa"/>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البرازيل</w:t>
            </w:r>
          </w:p>
        </w:tc>
        <w:tc>
          <w:tcPr>
            <w:tcW w:w="2086" w:type="dxa"/>
          </w:tcPr>
          <w:p w:rsidR="00F72BDC" w:rsidRPr="001B47DC" w:rsidDel="00910F4E" w:rsidRDefault="00F72BDC" w:rsidP="00F72BDC">
            <w:pPr>
              <w:spacing w:before="60" w:after="60" w:line="320" w:lineRule="exact"/>
              <w:ind w:left="57" w:right="57"/>
              <w:rPr>
                <w:rFonts w:cs="Traditional Arabic" w:hint="cs"/>
                <w:szCs w:val="28"/>
                <w:rtl/>
              </w:rPr>
            </w:pPr>
            <w:r>
              <w:rPr>
                <w:rFonts w:cs="Traditional Arabic" w:hint="cs"/>
                <w:szCs w:val="28"/>
                <w:rtl/>
              </w:rPr>
              <w:t>2016</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 كريستيان </w:t>
            </w:r>
            <w:r w:rsidRPr="001B47DC">
              <w:rPr>
                <w:rFonts w:cs="Traditional Arabic" w:hint="cs"/>
                <w:b/>
                <w:bCs/>
                <w:szCs w:val="28"/>
                <w:rtl/>
              </w:rPr>
              <w:t>بروس</w:t>
            </w:r>
          </w:p>
        </w:tc>
        <w:tc>
          <w:tcPr>
            <w:tcW w:w="2366" w:type="dxa"/>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ألمانيا</w:t>
            </w:r>
          </w:p>
        </w:tc>
        <w:tc>
          <w:tcPr>
            <w:tcW w:w="2086" w:type="dxa"/>
          </w:tcPr>
          <w:p w:rsidR="00F72BDC" w:rsidRPr="001B47DC" w:rsidDel="00910F4E" w:rsidRDefault="00F72BDC" w:rsidP="00F72BDC">
            <w:pPr>
              <w:spacing w:before="60" w:after="60" w:line="320" w:lineRule="exact"/>
              <w:ind w:left="57" w:right="57"/>
              <w:rPr>
                <w:rFonts w:cs="Traditional Arabic" w:hint="cs"/>
                <w:szCs w:val="28"/>
                <w:rtl/>
              </w:rPr>
            </w:pPr>
            <w:r>
              <w:rPr>
                <w:rFonts w:cs="Traditional Arabic" w:hint="cs"/>
                <w:szCs w:val="28"/>
                <w:rtl/>
              </w:rPr>
              <w:t>2016</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السيدة جوديث </w:t>
            </w:r>
            <w:r w:rsidRPr="00A64F0D">
              <w:rPr>
                <w:rFonts w:cs="Traditional Arabic" w:hint="cs"/>
                <w:b/>
                <w:bCs/>
                <w:szCs w:val="28"/>
                <w:rtl/>
              </w:rPr>
              <w:t>سالغادو</w:t>
            </w:r>
            <w:r w:rsidRPr="001B47DC">
              <w:rPr>
                <w:rFonts w:cs="Traditional Arabic" w:hint="cs"/>
                <w:szCs w:val="28"/>
                <w:rtl/>
              </w:rPr>
              <w:t xml:space="preserve"> </w:t>
            </w:r>
          </w:p>
        </w:tc>
        <w:tc>
          <w:tcPr>
            <w:tcW w:w="2366" w:type="dxa"/>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إكوادور</w:t>
            </w:r>
          </w:p>
        </w:tc>
        <w:tc>
          <w:tcPr>
            <w:tcW w:w="2086" w:type="dxa"/>
          </w:tcPr>
          <w:p w:rsidR="00F72BDC" w:rsidRPr="001B47DC" w:rsidRDefault="00F72BDC" w:rsidP="00F72BDC">
            <w:pPr>
              <w:spacing w:before="60" w:after="60" w:line="320" w:lineRule="exact"/>
              <w:ind w:left="57" w:right="57"/>
              <w:rPr>
                <w:rFonts w:cs="Traditional Arabic" w:hint="cs"/>
                <w:szCs w:val="28"/>
                <w:rtl/>
              </w:rPr>
            </w:pPr>
            <w:r w:rsidRPr="001B47DC">
              <w:rPr>
                <w:rFonts w:cs="Traditional Arabic" w:hint="cs"/>
                <w:szCs w:val="28"/>
                <w:rtl/>
              </w:rPr>
              <w:t>2014</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 ميغيل ساري </w:t>
            </w:r>
            <w:r w:rsidRPr="001B47DC">
              <w:rPr>
                <w:rFonts w:cs="Traditional Arabic" w:hint="cs"/>
                <w:b/>
                <w:bCs/>
                <w:szCs w:val="28"/>
                <w:rtl/>
              </w:rPr>
              <w:t>إيغينيس</w:t>
            </w:r>
          </w:p>
        </w:tc>
        <w:tc>
          <w:tcPr>
            <w:tcW w:w="2366" w:type="dxa"/>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المكسيك</w:t>
            </w:r>
          </w:p>
        </w:tc>
        <w:tc>
          <w:tcPr>
            <w:tcW w:w="2086" w:type="dxa"/>
          </w:tcPr>
          <w:p w:rsidR="00F72BDC" w:rsidRPr="001B47DC" w:rsidRDefault="00F72BDC" w:rsidP="00F72BDC">
            <w:pPr>
              <w:spacing w:before="60" w:after="60" w:line="320" w:lineRule="exact"/>
              <w:ind w:left="57" w:right="57"/>
              <w:rPr>
                <w:rFonts w:cs="Traditional Arabic" w:hint="cs"/>
                <w:szCs w:val="28"/>
                <w:rtl/>
              </w:rPr>
            </w:pPr>
            <w:r w:rsidRPr="001B47DC">
              <w:rPr>
                <w:rFonts w:cs="Traditional Arabic" w:hint="cs"/>
                <w:szCs w:val="28"/>
                <w:rtl/>
              </w:rPr>
              <w:t>2014</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السيدة أنيتا </w:t>
            </w:r>
            <w:r w:rsidRPr="001B47DC">
              <w:rPr>
                <w:rFonts w:cs="Traditional Arabic" w:hint="cs"/>
                <w:b/>
                <w:bCs/>
                <w:szCs w:val="28"/>
                <w:rtl/>
              </w:rPr>
              <w:t>ستانتشيفسكا</w:t>
            </w:r>
          </w:p>
        </w:tc>
        <w:tc>
          <w:tcPr>
            <w:tcW w:w="2366"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szCs w:val="28"/>
                <w:rtl/>
              </w:rPr>
              <w:t>جمهوري</w:t>
            </w:r>
            <w:r w:rsidR="00FC0CAE">
              <w:rPr>
                <w:rFonts w:cs="Traditional Arabic" w:hint="cs"/>
                <w:szCs w:val="28"/>
                <w:rtl/>
              </w:rPr>
              <w:t>ـ</w:t>
            </w:r>
            <w:r w:rsidRPr="001B47DC">
              <w:rPr>
                <w:rFonts w:cs="Traditional Arabic"/>
                <w:szCs w:val="28"/>
                <w:rtl/>
              </w:rPr>
              <w:t>ة مقدوني</w:t>
            </w:r>
            <w:r w:rsidR="00FC0CAE">
              <w:rPr>
                <w:rFonts w:cs="Traditional Arabic" w:hint="cs"/>
                <w:szCs w:val="28"/>
                <w:rtl/>
              </w:rPr>
              <w:t>ـ</w:t>
            </w:r>
            <w:r w:rsidRPr="001B47DC">
              <w:rPr>
                <w:rFonts w:cs="Traditional Arabic"/>
                <w:szCs w:val="28"/>
                <w:rtl/>
              </w:rPr>
              <w:t>ا اليوغوسلافية السابقة</w:t>
            </w:r>
          </w:p>
        </w:tc>
        <w:tc>
          <w:tcPr>
            <w:tcW w:w="2086" w:type="dxa"/>
          </w:tcPr>
          <w:p w:rsidR="00F72BDC" w:rsidRPr="001B47DC" w:rsidRDefault="00F72BDC" w:rsidP="00F72BDC">
            <w:pPr>
              <w:spacing w:before="60" w:after="60" w:line="320" w:lineRule="exact"/>
              <w:ind w:left="57" w:right="57"/>
              <w:rPr>
                <w:rFonts w:cs="Traditional Arabic" w:hint="cs"/>
                <w:szCs w:val="28"/>
                <w:rtl/>
              </w:rPr>
            </w:pPr>
            <w:r w:rsidRPr="001B47DC">
              <w:rPr>
                <w:rFonts w:cs="Traditional Arabic" w:hint="cs"/>
                <w:szCs w:val="28"/>
                <w:rtl/>
              </w:rPr>
              <w:t>2014</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 ويلدر تايلر </w:t>
            </w:r>
            <w:r w:rsidRPr="001B47DC">
              <w:rPr>
                <w:rFonts w:cs="Traditional Arabic" w:hint="cs"/>
                <w:b/>
                <w:bCs/>
                <w:szCs w:val="28"/>
                <w:rtl/>
              </w:rPr>
              <w:t>سوتو</w:t>
            </w:r>
          </w:p>
        </w:tc>
        <w:tc>
          <w:tcPr>
            <w:tcW w:w="2366" w:type="dxa"/>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أوروغواي</w:t>
            </w:r>
          </w:p>
        </w:tc>
        <w:tc>
          <w:tcPr>
            <w:tcW w:w="2086" w:type="dxa"/>
          </w:tcPr>
          <w:p w:rsidR="00F72BDC" w:rsidRPr="001B47DC" w:rsidRDefault="00F72BDC" w:rsidP="00F72BDC">
            <w:pPr>
              <w:spacing w:before="60" w:after="60" w:line="320" w:lineRule="exact"/>
              <w:ind w:left="57" w:right="57"/>
              <w:rPr>
                <w:rFonts w:cs="Traditional Arabic" w:hint="cs"/>
                <w:szCs w:val="28"/>
                <w:rtl/>
              </w:rPr>
            </w:pPr>
            <w:r w:rsidRPr="001B47DC">
              <w:rPr>
                <w:rFonts w:cs="Traditional Arabic" w:hint="cs"/>
                <w:szCs w:val="28"/>
                <w:rtl/>
              </w:rPr>
              <w:t>2014</w:t>
            </w:r>
          </w:p>
        </w:tc>
      </w:tr>
      <w:tr w:rsidR="00F72BDC" w:rsidRPr="001B47DC" w:rsidTr="00FC0CAE">
        <w:tc>
          <w:tcPr>
            <w:tcW w:w="2747" w:type="dxa"/>
          </w:tcPr>
          <w:p w:rsidR="00F72BDC" w:rsidRPr="00FC0CAE" w:rsidRDefault="00F72BDC" w:rsidP="00FC0CAE">
            <w:pPr>
              <w:spacing w:before="60" w:after="60" w:line="320" w:lineRule="exact"/>
              <w:ind w:left="57" w:right="227"/>
              <w:jc w:val="left"/>
              <w:rPr>
                <w:rFonts w:cs="Traditional Arabic" w:hint="cs"/>
                <w:spacing w:val="-4"/>
                <w:szCs w:val="28"/>
                <w:rtl/>
              </w:rPr>
            </w:pPr>
            <w:r w:rsidRPr="00FC0CAE">
              <w:rPr>
                <w:rFonts w:cs="Traditional Arabic" w:hint="cs"/>
                <w:spacing w:val="-4"/>
                <w:szCs w:val="28"/>
                <w:rtl/>
              </w:rPr>
              <w:t xml:space="preserve">السيد فيليب فيلافيسينسيو </w:t>
            </w:r>
            <w:r w:rsidRPr="00FC0CAE">
              <w:rPr>
                <w:rFonts w:cs="Traditional Arabic" w:hint="cs"/>
                <w:b/>
                <w:bCs/>
                <w:spacing w:val="-4"/>
                <w:szCs w:val="28"/>
                <w:rtl/>
              </w:rPr>
              <w:t>تيريروس</w:t>
            </w:r>
          </w:p>
        </w:tc>
        <w:tc>
          <w:tcPr>
            <w:tcW w:w="2366" w:type="dxa"/>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بيرو</w:t>
            </w:r>
          </w:p>
        </w:tc>
        <w:tc>
          <w:tcPr>
            <w:tcW w:w="2086" w:type="dxa"/>
          </w:tcPr>
          <w:p w:rsidR="00F72BDC" w:rsidRPr="001B47DC" w:rsidDel="00B24535" w:rsidRDefault="00F72BDC" w:rsidP="00F72BDC">
            <w:pPr>
              <w:spacing w:before="60" w:after="60" w:line="320" w:lineRule="exact"/>
              <w:ind w:left="57" w:right="57"/>
              <w:rPr>
                <w:rFonts w:cs="Traditional Arabic" w:hint="cs"/>
                <w:szCs w:val="28"/>
                <w:rtl/>
              </w:rPr>
            </w:pPr>
            <w:r w:rsidRPr="001B47DC">
              <w:rPr>
                <w:rFonts w:cs="Traditional Arabic" w:hint="cs"/>
                <w:szCs w:val="28"/>
                <w:rtl/>
              </w:rPr>
              <w:t>2014</w:t>
            </w:r>
          </w:p>
        </w:tc>
      </w:tr>
      <w:tr w:rsidR="00F72BDC" w:rsidRPr="001B47DC" w:rsidTr="00FC0CAE">
        <w:tc>
          <w:tcPr>
            <w:tcW w:w="2747" w:type="dxa"/>
          </w:tcPr>
          <w:p w:rsidR="00F72BDC" w:rsidRPr="001B47DC" w:rsidRDefault="00F72BDC" w:rsidP="00FC0CAE">
            <w:pPr>
              <w:spacing w:before="60" w:after="60" w:line="320" w:lineRule="exact"/>
              <w:ind w:left="57" w:right="227"/>
              <w:jc w:val="left"/>
              <w:rPr>
                <w:rFonts w:cs="Traditional Arabic" w:hint="cs"/>
                <w:szCs w:val="28"/>
                <w:rtl/>
              </w:rPr>
            </w:pPr>
            <w:r>
              <w:rPr>
                <w:rFonts w:cs="Traditional Arabic" w:hint="cs"/>
                <w:szCs w:val="28"/>
                <w:rtl/>
              </w:rPr>
              <w:t xml:space="preserve">السيد فيكتور </w:t>
            </w:r>
            <w:r w:rsidRPr="008E7E5A">
              <w:rPr>
                <w:rFonts w:cs="Traditional Arabic" w:hint="cs"/>
                <w:b/>
                <w:bCs/>
                <w:szCs w:val="28"/>
                <w:rtl/>
              </w:rPr>
              <w:t>زاهاريا</w:t>
            </w:r>
          </w:p>
        </w:tc>
        <w:tc>
          <w:tcPr>
            <w:tcW w:w="2366" w:type="dxa"/>
          </w:tcPr>
          <w:p w:rsidR="00F72BDC" w:rsidRPr="001B47DC" w:rsidRDefault="00F72BDC" w:rsidP="00F72BDC">
            <w:pPr>
              <w:spacing w:before="60" w:after="60" w:line="320" w:lineRule="exact"/>
              <w:ind w:left="57" w:right="227"/>
              <w:rPr>
                <w:rFonts w:cs="Traditional Arabic" w:hint="cs"/>
                <w:szCs w:val="28"/>
                <w:rtl/>
              </w:rPr>
            </w:pPr>
            <w:r>
              <w:rPr>
                <w:rFonts w:cs="Traditional Arabic" w:hint="cs"/>
                <w:szCs w:val="28"/>
                <w:rtl/>
              </w:rPr>
              <w:t>جمهورية مولدوفا</w:t>
            </w:r>
          </w:p>
        </w:tc>
        <w:tc>
          <w:tcPr>
            <w:tcW w:w="2086" w:type="dxa"/>
          </w:tcPr>
          <w:p w:rsidR="00F72BDC" w:rsidRPr="001B47DC" w:rsidRDefault="00F72BDC" w:rsidP="00F72BDC">
            <w:pPr>
              <w:spacing w:before="60" w:after="60" w:line="320" w:lineRule="exact"/>
              <w:ind w:left="57" w:right="57"/>
              <w:rPr>
                <w:rFonts w:cs="Traditional Arabic" w:hint="cs"/>
                <w:szCs w:val="28"/>
                <w:rtl/>
              </w:rPr>
            </w:pPr>
            <w:r>
              <w:rPr>
                <w:rFonts w:cs="Traditional Arabic" w:hint="cs"/>
                <w:szCs w:val="28"/>
                <w:rtl/>
              </w:rPr>
              <w:t>2016</w:t>
            </w:r>
          </w:p>
        </w:tc>
      </w:tr>
      <w:tr w:rsidR="00F72BDC" w:rsidRPr="001B47DC" w:rsidTr="00FC0CAE">
        <w:tc>
          <w:tcPr>
            <w:tcW w:w="2747" w:type="dxa"/>
            <w:tcBorders>
              <w:bottom w:val="single" w:sz="12" w:space="0" w:color="auto"/>
            </w:tcBorders>
          </w:tcPr>
          <w:p w:rsidR="00F72BDC" w:rsidRPr="001B47DC" w:rsidRDefault="00F72BDC" w:rsidP="00FC0CAE">
            <w:pPr>
              <w:spacing w:before="60" w:after="60" w:line="320" w:lineRule="exact"/>
              <w:ind w:left="57" w:right="227"/>
              <w:jc w:val="left"/>
              <w:rPr>
                <w:rFonts w:cs="Traditional Arabic" w:hint="cs"/>
                <w:szCs w:val="28"/>
                <w:rtl/>
              </w:rPr>
            </w:pPr>
            <w:r w:rsidRPr="001B47DC">
              <w:rPr>
                <w:rFonts w:cs="Traditional Arabic" w:hint="cs"/>
                <w:szCs w:val="28"/>
                <w:rtl/>
              </w:rPr>
              <w:t xml:space="preserve">السيد فورتوني غريتان </w:t>
            </w:r>
            <w:r w:rsidRPr="001B47DC">
              <w:rPr>
                <w:rFonts w:cs="Traditional Arabic" w:hint="cs"/>
                <w:b/>
                <w:bCs/>
                <w:szCs w:val="28"/>
                <w:rtl/>
              </w:rPr>
              <w:t>زونغو</w:t>
            </w:r>
          </w:p>
        </w:tc>
        <w:tc>
          <w:tcPr>
            <w:tcW w:w="2366" w:type="dxa"/>
            <w:tcBorders>
              <w:bottom w:val="single" w:sz="12" w:space="0" w:color="auto"/>
            </w:tcBorders>
          </w:tcPr>
          <w:p w:rsidR="00F72BDC" w:rsidRPr="001B47DC" w:rsidRDefault="00F72BDC" w:rsidP="00F72BDC">
            <w:pPr>
              <w:spacing w:before="60" w:after="60" w:line="320" w:lineRule="exact"/>
              <w:ind w:left="57" w:right="227"/>
              <w:rPr>
                <w:rFonts w:cs="Traditional Arabic" w:hint="cs"/>
                <w:szCs w:val="28"/>
                <w:rtl/>
              </w:rPr>
            </w:pPr>
            <w:r w:rsidRPr="001B47DC">
              <w:rPr>
                <w:rFonts w:cs="Traditional Arabic" w:hint="cs"/>
                <w:szCs w:val="28"/>
                <w:rtl/>
              </w:rPr>
              <w:t>بوركينا فاسو</w:t>
            </w:r>
          </w:p>
        </w:tc>
        <w:tc>
          <w:tcPr>
            <w:tcW w:w="2086" w:type="dxa"/>
            <w:tcBorders>
              <w:bottom w:val="single" w:sz="12" w:space="0" w:color="auto"/>
            </w:tcBorders>
          </w:tcPr>
          <w:p w:rsidR="00F72BDC" w:rsidRPr="001B47DC" w:rsidDel="00B24535" w:rsidRDefault="00F72BDC" w:rsidP="00F72BDC">
            <w:pPr>
              <w:spacing w:before="60" w:after="60" w:line="320" w:lineRule="exact"/>
              <w:ind w:left="57" w:right="57"/>
              <w:rPr>
                <w:rFonts w:cs="Traditional Arabic" w:hint="cs"/>
                <w:szCs w:val="28"/>
                <w:rtl/>
              </w:rPr>
            </w:pPr>
            <w:r w:rsidRPr="001B47DC">
              <w:rPr>
                <w:rFonts w:cs="Traditional Arabic" w:hint="cs"/>
                <w:szCs w:val="28"/>
                <w:rtl/>
              </w:rPr>
              <w:t>2014</w:t>
            </w:r>
          </w:p>
        </w:tc>
      </w:tr>
    </w:tbl>
    <w:p w:rsidR="00631BFA" w:rsidRDefault="00631BFA" w:rsidP="00124AEF">
      <w:pPr>
        <w:pStyle w:val="SingleTxtGA"/>
        <w:rPr>
          <w:rFonts w:eastAsia="SimSun" w:hint="cs"/>
          <w:rtl/>
          <w:lang w:eastAsia="zh-CN"/>
        </w:rPr>
      </w:pPr>
    </w:p>
    <w:p w:rsidR="00631BFA" w:rsidRDefault="00631BFA" w:rsidP="00124AEF">
      <w:pPr>
        <w:pStyle w:val="SingleTxtGA"/>
        <w:rPr>
          <w:rFonts w:eastAsia="SimSun" w:hint="cs"/>
          <w:rtl/>
          <w:lang w:eastAsia="zh-CN"/>
        </w:rPr>
        <w:sectPr w:rsidR="00631BFA" w:rsidSect="007E4A52">
          <w:headerReference w:type="even" r:id="rId28"/>
          <w:headerReference w:type="default" r:id="rId29"/>
          <w:footerReference w:type="even" r:id="rId30"/>
          <w:footerReference w:type="default" r:id="rId31"/>
          <w:footnotePr>
            <w:numRestart w:val="eachSect"/>
          </w:footnotePr>
          <w:endnotePr>
            <w:numFmt w:val="decimal"/>
          </w:endnotePr>
          <w:pgSz w:w="11907" w:h="16840" w:code="9"/>
          <w:pgMar w:top="1701" w:right="1134" w:bottom="2268" w:left="1134" w:header="1134" w:footer="1701" w:gutter="0"/>
          <w:pgNumType w:start="1"/>
          <w:cols w:space="720"/>
          <w:bidi/>
          <w:rtlGutter/>
          <w:docGrid w:linePitch="360"/>
        </w:sectPr>
      </w:pPr>
    </w:p>
    <w:p w:rsidR="00631BFA" w:rsidRPr="001B47DC" w:rsidRDefault="00631BFA" w:rsidP="00631BFA">
      <w:pPr>
        <w:pStyle w:val="HChGA"/>
        <w:spacing w:before="120"/>
        <w:rPr>
          <w:rtl/>
          <w:lang w:val="fr-CH"/>
        </w:rPr>
      </w:pPr>
      <w:r w:rsidRPr="001B47DC">
        <w:rPr>
          <w:rtl/>
          <w:lang w:val="fr-CH"/>
        </w:rPr>
        <w:t>المرفق السابع</w:t>
      </w:r>
    </w:p>
    <w:p w:rsidR="00631BFA" w:rsidRPr="001B47DC" w:rsidRDefault="00631BFA" w:rsidP="002844CB">
      <w:pPr>
        <w:pStyle w:val="HChGA"/>
        <w:spacing w:before="120" w:after="120"/>
        <w:rPr>
          <w:rFonts w:ascii="Times New Roman Bold" w:hAnsi="Times New Roman Bold" w:hint="cs"/>
          <w:bCs w:val="0"/>
          <w:spacing w:val="-2"/>
          <w:position w:val="4"/>
          <w:sz w:val="20"/>
          <w:rtl/>
          <w:lang w:val="fr-CH"/>
        </w:rPr>
      </w:pPr>
      <w:r w:rsidRPr="001B47DC">
        <w:rPr>
          <w:rFonts w:ascii="Times New Roman Bold" w:hAnsi="Times New Roman Bold"/>
          <w:spacing w:val="-2"/>
          <w:rtl/>
          <w:lang w:val="fr-CH"/>
        </w:rPr>
        <w:tab/>
      </w:r>
      <w:r w:rsidRPr="001B47DC">
        <w:rPr>
          <w:rFonts w:ascii="Times New Roman Bold" w:hAnsi="Times New Roman Bold"/>
          <w:spacing w:val="-2"/>
          <w:rtl/>
          <w:lang w:val="fr-CH"/>
        </w:rPr>
        <w:tab/>
        <w:t>التقرير السنوي ال</w:t>
      </w:r>
      <w:r>
        <w:rPr>
          <w:rFonts w:ascii="Times New Roman Bold" w:hAnsi="Times New Roman Bold" w:hint="cs"/>
          <w:spacing w:val="-2"/>
          <w:rtl/>
          <w:lang w:val="fr-CH"/>
        </w:rPr>
        <w:t>سادس</w:t>
      </w:r>
      <w:r w:rsidRPr="001B47DC">
        <w:rPr>
          <w:rFonts w:ascii="Times New Roman Bold" w:hAnsi="Times New Roman Bold"/>
          <w:spacing w:val="-2"/>
          <w:rtl/>
          <w:lang w:val="fr-CH"/>
        </w:rPr>
        <w:t xml:space="preserve"> للجنة الفرعية لمنع التعذيب وغيره من ضروب المعاملة أو العقوبة القاسية أو اللاإنسانية أو المهينة (كانون الثاني/يناير </w:t>
      </w:r>
      <w:r w:rsidR="002844CB">
        <w:rPr>
          <w:rFonts w:ascii="Times New Roman Bold" w:hAnsi="Times New Roman Bold" w:hint="cs"/>
          <w:spacing w:val="-2"/>
          <w:rtl/>
          <w:lang w:val="fr-CH"/>
        </w:rPr>
        <w:t>-</w:t>
      </w:r>
      <w:r w:rsidRPr="001B47DC">
        <w:rPr>
          <w:rFonts w:ascii="Times New Roman Bold" w:hAnsi="Times New Roman Bold"/>
          <w:spacing w:val="-2"/>
          <w:rtl/>
          <w:lang w:val="fr-CH"/>
        </w:rPr>
        <w:t xml:space="preserve"> </w:t>
      </w:r>
      <w:r w:rsidRPr="001B47DC">
        <w:rPr>
          <w:spacing w:val="-2"/>
          <w:rtl/>
          <w:lang w:val="fr-CH"/>
        </w:rPr>
        <w:t>كانون الأول/ديسمبر 201</w:t>
      </w:r>
      <w:r>
        <w:rPr>
          <w:rFonts w:hint="cs"/>
          <w:spacing w:val="-2"/>
          <w:rtl/>
          <w:lang w:val="fr-CH"/>
        </w:rPr>
        <w:t>2</w:t>
      </w:r>
      <w:r w:rsidRPr="001B47DC">
        <w:rPr>
          <w:spacing w:val="-2"/>
          <w:rtl/>
          <w:lang w:val="fr-CH"/>
        </w:rPr>
        <w:t>)</w:t>
      </w:r>
      <w:r w:rsidRPr="00631BFA">
        <w:rPr>
          <w:rStyle w:val="FootnoteReference"/>
          <w:rFonts w:ascii="Times New Roman Bold" w:hAnsi="Times New Roman Bold"/>
          <w:b w:val="0"/>
          <w:bCs w:val="0"/>
          <w:spacing w:val="-2"/>
          <w:position w:val="4"/>
          <w:sz w:val="12"/>
          <w:szCs w:val="30"/>
          <w:vertAlign w:val="baseline"/>
          <w:rtl/>
          <w:lang w:val="fr-CH"/>
        </w:rPr>
        <w:footnoteReference w:customMarkFollows="1" w:id="25"/>
        <w:t>*</w:t>
      </w:r>
    </w:p>
    <w:p w:rsidR="00631BFA" w:rsidRPr="001B47DC" w:rsidRDefault="00631BFA" w:rsidP="00631BFA">
      <w:pPr>
        <w:bidi/>
        <w:spacing w:line="320" w:lineRule="exact"/>
        <w:rPr>
          <w:rFonts w:cs="Traditional Arabic" w:hint="cs"/>
          <w:sz w:val="36"/>
          <w:szCs w:val="36"/>
          <w:rtl/>
        </w:rPr>
      </w:pPr>
      <w:r w:rsidRPr="001B47DC">
        <w:rPr>
          <w:rFonts w:cs="Traditional Arabic" w:hint="cs"/>
          <w:sz w:val="36"/>
          <w:szCs w:val="36"/>
          <w:rtl/>
        </w:rPr>
        <w:t>المحتويات</w:t>
      </w:r>
    </w:p>
    <w:p w:rsidR="00631BFA" w:rsidRPr="001B47DC" w:rsidRDefault="00631BFA" w:rsidP="00631BFA">
      <w:pPr>
        <w:tabs>
          <w:tab w:val="left" w:pos="7917"/>
          <w:tab w:val="right" w:pos="9638"/>
        </w:tabs>
        <w:bidi/>
        <w:spacing w:before="120" w:after="120" w:line="240" w:lineRule="exact"/>
        <w:ind w:left="284"/>
        <w:rPr>
          <w:rFonts w:cs="Traditional Arabic" w:hint="cs"/>
          <w:iCs/>
          <w:szCs w:val="28"/>
          <w:rtl/>
        </w:rPr>
      </w:pPr>
      <w:r w:rsidRPr="001B47DC">
        <w:rPr>
          <w:rFonts w:cs="Traditional Arabic"/>
          <w:i/>
        </w:rPr>
        <w:tab/>
      </w:r>
      <w:r w:rsidRPr="001B47DC">
        <w:rPr>
          <w:rFonts w:cs="Traditional Arabic" w:hint="cs"/>
          <w:iCs/>
          <w:szCs w:val="28"/>
          <w:rtl/>
        </w:rPr>
        <w:t>الفقـرات</w:t>
      </w:r>
      <w:r w:rsidRPr="001B47DC">
        <w:rPr>
          <w:rFonts w:cs="Traditional Arabic"/>
          <w:i/>
        </w:rPr>
        <w:tab/>
      </w:r>
      <w:r w:rsidRPr="001B47DC">
        <w:rPr>
          <w:rFonts w:cs="Traditional Arabic" w:hint="cs"/>
          <w:iCs/>
          <w:szCs w:val="28"/>
          <w:rtl/>
        </w:rPr>
        <w:t>الصفحة</w:t>
      </w:r>
    </w:p>
    <w:p w:rsidR="00631BFA" w:rsidRPr="001B47DC" w:rsidRDefault="00631BFA" w:rsidP="00631BFA">
      <w:pPr>
        <w:tabs>
          <w:tab w:val="right" w:pos="1021"/>
          <w:tab w:val="left" w:pos="1077"/>
          <w:tab w:val="left" w:pos="1525"/>
          <w:tab w:val="left" w:pos="1842"/>
          <w:tab w:val="left" w:leader="dot" w:pos="7469"/>
          <w:tab w:val="left" w:pos="7972"/>
          <w:tab w:val="right" w:pos="9638"/>
        </w:tabs>
        <w:bidi/>
        <w:spacing w:after="120" w:line="340" w:lineRule="exact"/>
        <w:rPr>
          <w:rFonts w:cs="Traditional Arabic" w:hint="cs"/>
          <w:szCs w:val="28"/>
          <w:rtl/>
          <w:lang w:val="fr-CH"/>
        </w:rPr>
      </w:pPr>
      <w:r w:rsidRPr="001B47DC">
        <w:rPr>
          <w:rFonts w:cs="Traditional Arabic" w:hint="cs"/>
          <w:szCs w:val="28"/>
          <w:rtl/>
          <w:lang w:val="fr-CH"/>
        </w:rPr>
        <w:tab/>
      </w:r>
      <w:r w:rsidRPr="001B47DC">
        <w:rPr>
          <w:rFonts w:cs="Traditional Arabic"/>
          <w:szCs w:val="28"/>
          <w:rtl/>
          <w:lang w:val="fr-CH"/>
        </w:rPr>
        <w:t>أولاً</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مقدمة</w:t>
      </w:r>
      <w:r w:rsidRPr="001B47DC">
        <w:rPr>
          <w:rFonts w:cs="Traditional Arabic" w:hint="cs"/>
          <w:szCs w:val="28"/>
          <w:rtl/>
          <w:lang w:val="fr-CH"/>
        </w:rPr>
        <w:tab/>
      </w:r>
      <w:r w:rsidRPr="001B47DC">
        <w:rPr>
          <w:rFonts w:cs="Traditional Arabic"/>
          <w:szCs w:val="28"/>
          <w:rtl/>
          <w:lang w:val="fr-CH"/>
        </w:rPr>
        <w:tab/>
      </w:r>
      <w:r w:rsidR="002844CB">
        <w:rPr>
          <w:rFonts w:cs="Traditional Arabic" w:hint="cs"/>
          <w:szCs w:val="28"/>
          <w:rtl/>
          <w:lang w:val="fr-CH"/>
        </w:rPr>
        <w:t>1-3</w:t>
      </w:r>
      <w:r>
        <w:rPr>
          <w:rFonts w:cs="Traditional Arabic" w:hint="cs"/>
          <w:szCs w:val="28"/>
          <w:rtl/>
          <w:lang w:val="fr-CH"/>
        </w:rPr>
        <w:tab/>
      </w:r>
      <w:r w:rsidR="00A97F91">
        <w:rPr>
          <w:rFonts w:cs="Traditional Arabic" w:hint="cs"/>
          <w:szCs w:val="28"/>
          <w:rtl/>
          <w:lang w:val="fr-CH"/>
        </w:rPr>
        <w:t>301</w:t>
      </w:r>
    </w:p>
    <w:p w:rsidR="00631BFA" w:rsidRPr="001B47DC" w:rsidRDefault="00631BFA" w:rsidP="00631BFA">
      <w:pPr>
        <w:tabs>
          <w:tab w:val="right" w:pos="1021"/>
          <w:tab w:val="left" w:pos="1077"/>
          <w:tab w:val="left" w:pos="1525"/>
          <w:tab w:val="left" w:pos="1842"/>
          <w:tab w:val="left" w:pos="2206"/>
          <w:tab w:val="left" w:pos="2681"/>
          <w:tab w:val="left" w:leader="dot" w:pos="7469"/>
          <w:tab w:val="left" w:pos="7972"/>
          <w:tab w:val="right" w:pos="9638"/>
        </w:tabs>
        <w:bidi/>
        <w:spacing w:line="340" w:lineRule="exact"/>
        <w:rPr>
          <w:rFonts w:cs="Traditional Arabic" w:hint="cs"/>
          <w:szCs w:val="28"/>
          <w:rtl/>
          <w:lang w:val="fr-CH"/>
        </w:rPr>
      </w:pPr>
      <w:r w:rsidRPr="001B47DC">
        <w:rPr>
          <w:rFonts w:cs="Traditional Arabic" w:hint="cs"/>
          <w:szCs w:val="28"/>
          <w:rtl/>
          <w:lang w:val="fr-CH"/>
        </w:rPr>
        <w:tab/>
      </w:r>
      <w:r w:rsidRPr="001B47DC">
        <w:rPr>
          <w:rFonts w:cs="Traditional Arabic"/>
          <w:szCs w:val="28"/>
          <w:rtl/>
          <w:lang w:val="fr-CH"/>
        </w:rPr>
        <w:t>ثانياً</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السنة المشمولة بالاستعراض</w:t>
      </w:r>
      <w:r w:rsidRPr="001B47DC">
        <w:rPr>
          <w:rFonts w:cs="Traditional Arabic" w:hint="cs"/>
          <w:szCs w:val="28"/>
          <w:rtl/>
          <w:lang w:val="fr-CH"/>
        </w:rPr>
        <w:tab/>
      </w:r>
      <w:r w:rsidRPr="001B47DC">
        <w:rPr>
          <w:rFonts w:cs="Traditional Arabic"/>
          <w:szCs w:val="28"/>
          <w:rtl/>
          <w:lang w:val="fr-CH"/>
        </w:rPr>
        <w:tab/>
      </w:r>
      <w:r w:rsidR="002844CB">
        <w:rPr>
          <w:rFonts w:cs="Traditional Arabic" w:hint="cs"/>
          <w:szCs w:val="28"/>
          <w:rtl/>
          <w:lang w:val="fr-CH"/>
        </w:rPr>
        <w:t>4-39</w:t>
      </w:r>
      <w:r w:rsidRPr="001B47DC">
        <w:rPr>
          <w:rFonts w:cs="Traditional Arabic"/>
          <w:szCs w:val="28"/>
          <w:rtl/>
          <w:lang w:val="fr-CH"/>
        </w:rPr>
        <w:tab/>
      </w:r>
      <w:r w:rsidR="00A97F91">
        <w:rPr>
          <w:rFonts w:cs="Traditional Arabic" w:hint="cs"/>
          <w:szCs w:val="28"/>
          <w:rtl/>
          <w:lang w:val="fr-CH"/>
        </w:rPr>
        <w:t>302</w:t>
      </w:r>
    </w:p>
    <w:p w:rsidR="00631BFA" w:rsidRPr="001B47DC" w:rsidRDefault="00631BFA" w:rsidP="00631BFA">
      <w:pPr>
        <w:tabs>
          <w:tab w:val="right" w:pos="1021"/>
          <w:tab w:val="left" w:pos="1077"/>
          <w:tab w:val="left" w:pos="1525"/>
          <w:tab w:val="left" w:pos="1883"/>
          <w:tab w:val="left" w:pos="2206"/>
          <w:tab w:val="left" w:pos="2681"/>
          <w:tab w:val="left" w:leader="dot" w:pos="7469"/>
          <w:tab w:val="left" w:pos="7972"/>
          <w:tab w:val="right" w:pos="9638"/>
        </w:tabs>
        <w:bidi/>
        <w:spacing w:line="340" w:lineRule="exact"/>
        <w:rPr>
          <w:rFonts w:cs="Traditional Arabic" w:hint="cs"/>
          <w:szCs w:val="28"/>
          <w:rtl/>
          <w:lang w:val="fr-CH"/>
        </w:rPr>
      </w:pPr>
      <w:r w:rsidRPr="001B47DC">
        <w:rPr>
          <w:rFonts w:cs="Traditional Arabic" w:hint="cs"/>
          <w:szCs w:val="28"/>
          <w:rtl/>
          <w:lang w:val="fr-CH"/>
        </w:rPr>
        <w:tab/>
      </w:r>
      <w:r w:rsidRPr="001B47DC">
        <w:rPr>
          <w:rFonts w:cs="Traditional Arabic"/>
          <w:szCs w:val="28"/>
          <w:rtl/>
          <w:lang w:val="fr-CH"/>
        </w:rPr>
        <w:tab/>
      </w:r>
      <w:r w:rsidRPr="001B47DC">
        <w:rPr>
          <w:rFonts w:cs="Traditional Arabic" w:hint="cs"/>
          <w:szCs w:val="28"/>
          <w:rtl/>
          <w:lang w:val="fr-CH"/>
        </w:rPr>
        <w:tab/>
      </w:r>
      <w:r w:rsidRPr="001B47DC">
        <w:rPr>
          <w:rFonts w:cs="Traditional Arabic"/>
          <w:szCs w:val="28"/>
          <w:rtl/>
          <w:lang w:val="fr-CH"/>
        </w:rPr>
        <w:t>ألف</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المشاركة في منظومة البروتوكول الاختياري</w:t>
      </w:r>
      <w:r w:rsidRPr="001B47DC">
        <w:rPr>
          <w:rFonts w:cs="Traditional Arabic"/>
          <w:szCs w:val="28"/>
          <w:rtl/>
          <w:lang w:val="fr-CH"/>
        </w:rPr>
        <w:tab/>
      </w:r>
      <w:r w:rsidRPr="001B47DC">
        <w:rPr>
          <w:rFonts w:cs="Traditional Arabic" w:hint="cs"/>
          <w:szCs w:val="28"/>
          <w:rtl/>
          <w:lang w:val="fr-CH"/>
        </w:rPr>
        <w:tab/>
      </w:r>
      <w:r w:rsidR="002844CB">
        <w:rPr>
          <w:rFonts w:cs="Traditional Arabic" w:hint="cs"/>
          <w:szCs w:val="28"/>
          <w:rtl/>
          <w:lang w:val="fr-CH"/>
        </w:rPr>
        <w:t>4-6</w:t>
      </w:r>
      <w:r w:rsidRPr="001B47DC">
        <w:rPr>
          <w:rFonts w:cs="Traditional Arabic"/>
          <w:szCs w:val="28"/>
          <w:rtl/>
          <w:lang w:val="fr-CH"/>
        </w:rPr>
        <w:tab/>
      </w:r>
      <w:r w:rsidR="00A97F91">
        <w:rPr>
          <w:rFonts w:cs="Traditional Arabic" w:hint="cs"/>
          <w:szCs w:val="28"/>
          <w:rtl/>
          <w:lang w:val="fr-CH"/>
        </w:rPr>
        <w:t>302</w:t>
      </w:r>
    </w:p>
    <w:p w:rsidR="00631BFA" w:rsidRPr="001B47DC" w:rsidRDefault="00631BFA" w:rsidP="00631BFA">
      <w:pPr>
        <w:tabs>
          <w:tab w:val="right" w:pos="1021"/>
          <w:tab w:val="left" w:pos="1077"/>
          <w:tab w:val="left" w:pos="1525"/>
          <w:tab w:val="left" w:pos="1883"/>
          <w:tab w:val="left" w:pos="2206"/>
          <w:tab w:val="left" w:pos="2681"/>
          <w:tab w:val="left" w:leader="dot" w:pos="7469"/>
          <w:tab w:val="left" w:pos="7972"/>
          <w:tab w:val="right" w:pos="9638"/>
        </w:tabs>
        <w:bidi/>
        <w:spacing w:line="340" w:lineRule="exact"/>
        <w:rPr>
          <w:rFonts w:cs="Traditional Arabic" w:hint="cs"/>
          <w:szCs w:val="28"/>
          <w:rtl/>
          <w:lang w:val="fr-CH"/>
        </w:rPr>
      </w:pPr>
      <w:r w:rsidRPr="001B47DC">
        <w:rPr>
          <w:rFonts w:cs="Traditional Arabic" w:hint="cs"/>
          <w:szCs w:val="28"/>
          <w:rtl/>
          <w:lang w:val="fr-CH"/>
        </w:rPr>
        <w:tab/>
      </w:r>
      <w:r w:rsidRPr="001B47DC">
        <w:rPr>
          <w:rFonts w:cs="Traditional Arabic"/>
          <w:szCs w:val="28"/>
          <w:rtl/>
          <w:lang w:val="fr-CH"/>
        </w:rPr>
        <w:tab/>
      </w:r>
      <w:r w:rsidRPr="001B47DC">
        <w:rPr>
          <w:rFonts w:cs="Traditional Arabic" w:hint="cs"/>
          <w:szCs w:val="28"/>
          <w:rtl/>
          <w:lang w:val="fr-CH"/>
        </w:rPr>
        <w:tab/>
      </w:r>
      <w:r w:rsidRPr="001B47DC">
        <w:rPr>
          <w:rFonts w:cs="Traditional Arabic"/>
          <w:szCs w:val="28"/>
          <w:rtl/>
          <w:lang w:val="fr-CH"/>
        </w:rPr>
        <w:t>باء</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المسائل التنظيمية والمتعلقة بالعضوية</w:t>
      </w:r>
      <w:r w:rsidRPr="001B47DC">
        <w:rPr>
          <w:rFonts w:cs="Traditional Arabic"/>
          <w:szCs w:val="28"/>
          <w:rtl/>
          <w:lang w:val="fr-CH"/>
        </w:rPr>
        <w:tab/>
      </w:r>
      <w:r w:rsidRPr="001B47DC">
        <w:rPr>
          <w:rFonts w:cs="Traditional Arabic" w:hint="cs"/>
          <w:szCs w:val="28"/>
          <w:rtl/>
          <w:lang w:val="fr-CH"/>
        </w:rPr>
        <w:tab/>
      </w:r>
      <w:r w:rsidR="002844CB">
        <w:rPr>
          <w:rFonts w:cs="Traditional Arabic" w:hint="cs"/>
          <w:szCs w:val="28"/>
          <w:rtl/>
          <w:lang w:val="fr-CH"/>
        </w:rPr>
        <w:t>7-13</w:t>
      </w:r>
      <w:r w:rsidRPr="001B47DC">
        <w:rPr>
          <w:rFonts w:cs="Traditional Arabic"/>
          <w:szCs w:val="28"/>
          <w:rtl/>
          <w:lang w:val="fr-CH"/>
        </w:rPr>
        <w:tab/>
      </w:r>
      <w:r w:rsidR="00A97F91">
        <w:rPr>
          <w:rFonts w:cs="Traditional Arabic" w:hint="cs"/>
          <w:szCs w:val="28"/>
          <w:rtl/>
          <w:lang w:val="fr-CH"/>
        </w:rPr>
        <w:t>302</w:t>
      </w:r>
    </w:p>
    <w:p w:rsidR="00631BFA" w:rsidRPr="001B47DC" w:rsidRDefault="00631BFA" w:rsidP="00631BFA">
      <w:pPr>
        <w:tabs>
          <w:tab w:val="right" w:pos="1021"/>
          <w:tab w:val="left" w:pos="1077"/>
          <w:tab w:val="left" w:pos="1525"/>
          <w:tab w:val="left" w:pos="1883"/>
          <w:tab w:val="left" w:pos="2206"/>
          <w:tab w:val="left" w:pos="2681"/>
          <w:tab w:val="left" w:leader="dot" w:pos="7469"/>
          <w:tab w:val="left" w:pos="7972"/>
          <w:tab w:val="right" w:pos="9638"/>
        </w:tabs>
        <w:bidi/>
        <w:spacing w:line="340" w:lineRule="exact"/>
        <w:rPr>
          <w:rFonts w:cs="Traditional Arabic" w:hint="cs"/>
          <w:szCs w:val="28"/>
          <w:rtl/>
          <w:lang w:val="fr-CH"/>
        </w:rPr>
      </w:pPr>
      <w:r w:rsidRPr="001B47DC">
        <w:rPr>
          <w:rFonts w:cs="Traditional Arabic" w:hint="cs"/>
          <w:szCs w:val="28"/>
          <w:rtl/>
          <w:lang w:val="fr-CH"/>
        </w:rPr>
        <w:tab/>
      </w:r>
      <w:r w:rsidRPr="001B47DC">
        <w:rPr>
          <w:rFonts w:cs="Traditional Arabic"/>
          <w:szCs w:val="28"/>
          <w:rtl/>
          <w:lang w:val="fr-CH"/>
        </w:rPr>
        <w:tab/>
      </w:r>
      <w:r w:rsidRPr="001B47DC">
        <w:rPr>
          <w:rFonts w:cs="Traditional Arabic" w:hint="cs"/>
          <w:szCs w:val="28"/>
          <w:rtl/>
          <w:lang w:val="fr-CH"/>
        </w:rPr>
        <w:tab/>
        <w:t>جيم</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الزيارات التي أجريت خلال الفترة المشمولة بالتقرير</w:t>
      </w:r>
      <w:r w:rsidRPr="001B47DC">
        <w:rPr>
          <w:rFonts w:cs="Traditional Arabic"/>
          <w:szCs w:val="28"/>
          <w:rtl/>
          <w:lang w:val="fr-CH"/>
        </w:rPr>
        <w:tab/>
      </w:r>
      <w:r w:rsidRPr="001B47DC">
        <w:rPr>
          <w:rFonts w:cs="Traditional Arabic"/>
          <w:szCs w:val="28"/>
          <w:rtl/>
          <w:lang w:val="fr-CH"/>
        </w:rPr>
        <w:tab/>
      </w:r>
      <w:r w:rsidR="002844CB">
        <w:rPr>
          <w:rFonts w:cs="Traditional Arabic" w:hint="cs"/>
          <w:szCs w:val="28"/>
          <w:rtl/>
          <w:lang w:val="fr-CH"/>
        </w:rPr>
        <w:t>14-17</w:t>
      </w:r>
      <w:r>
        <w:rPr>
          <w:rFonts w:cs="Traditional Arabic" w:hint="cs"/>
          <w:szCs w:val="28"/>
          <w:rtl/>
          <w:lang w:val="fr-CH"/>
        </w:rPr>
        <w:tab/>
      </w:r>
      <w:r w:rsidR="00A97F91">
        <w:rPr>
          <w:rFonts w:cs="Traditional Arabic" w:hint="cs"/>
          <w:szCs w:val="28"/>
          <w:rtl/>
          <w:lang w:val="fr-CH"/>
        </w:rPr>
        <w:t>304</w:t>
      </w:r>
    </w:p>
    <w:p w:rsidR="00631BFA" w:rsidRPr="001B47DC" w:rsidRDefault="00631BFA" w:rsidP="002844CB">
      <w:pPr>
        <w:tabs>
          <w:tab w:val="right" w:pos="1021"/>
          <w:tab w:val="left" w:pos="1077"/>
          <w:tab w:val="left" w:pos="1525"/>
          <w:tab w:val="left" w:pos="1883"/>
          <w:tab w:val="left" w:pos="2206"/>
          <w:tab w:val="left" w:pos="2681"/>
          <w:tab w:val="left" w:leader="dot" w:pos="7455"/>
          <w:tab w:val="left" w:pos="7972"/>
          <w:tab w:val="right" w:pos="9638"/>
        </w:tabs>
        <w:bidi/>
        <w:spacing w:line="340" w:lineRule="exact"/>
        <w:ind w:left="2191" w:right="2200" w:hanging="2191"/>
        <w:jc w:val="lowKashida"/>
        <w:rPr>
          <w:rFonts w:cs="Traditional Arabic" w:hint="cs"/>
          <w:szCs w:val="28"/>
          <w:rtl/>
          <w:lang w:val="fr-CH"/>
        </w:rPr>
      </w:pPr>
      <w:r w:rsidRPr="001B47DC">
        <w:rPr>
          <w:rFonts w:cs="Traditional Arabic" w:hint="cs"/>
          <w:szCs w:val="28"/>
          <w:rtl/>
          <w:lang w:val="fr-CH"/>
        </w:rPr>
        <w:tab/>
      </w:r>
      <w:r w:rsidRPr="001B47DC">
        <w:rPr>
          <w:rFonts w:cs="Traditional Arabic"/>
          <w:szCs w:val="28"/>
          <w:rtl/>
          <w:lang w:val="fr-CH"/>
        </w:rPr>
        <w:tab/>
      </w:r>
      <w:r w:rsidRPr="001B47DC">
        <w:rPr>
          <w:rFonts w:cs="Traditional Arabic" w:hint="cs"/>
          <w:szCs w:val="28"/>
          <w:rtl/>
          <w:lang w:val="fr-CH"/>
        </w:rPr>
        <w:tab/>
      </w:r>
      <w:r w:rsidRPr="001B47DC">
        <w:rPr>
          <w:rFonts w:cs="Traditional Arabic"/>
          <w:szCs w:val="28"/>
          <w:rtl/>
          <w:lang w:val="fr-CH"/>
        </w:rPr>
        <w:t>دال</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 xml:space="preserve">الحوار </w:t>
      </w:r>
      <w:r w:rsidRPr="001B47DC">
        <w:rPr>
          <w:rFonts w:cs="Traditional Arabic" w:hint="cs"/>
          <w:szCs w:val="28"/>
          <w:rtl/>
          <w:lang w:val="fr-CH"/>
        </w:rPr>
        <w:t xml:space="preserve">الناشئ </w:t>
      </w:r>
      <w:r w:rsidRPr="001B47DC">
        <w:rPr>
          <w:rFonts w:cs="Traditional Arabic"/>
          <w:szCs w:val="28"/>
          <w:rtl/>
          <w:lang w:val="fr-CH"/>
        </w:rPr>
        <w:t xml:space="preserve">عن الزيارات، بما في ذلك </w:t>
      </w:r>
      <w:r>
        <w:rPr>
          <w:rFonts w:cs="Traditional Arabic" w:hint="cs"/>
          <w:szCs w:val="28"/>
          <w:rtl/>
          <w:lang w:val="fr-CH"/>
        </w:rPr>
        <w:t xml:space="preserve">نشر التقارير الصادرة عن </w:t>
      </w:r>
      <w:r w:rsidRPr="001B47DC">
        <w:rPr>
          <w:rFonts w:cs="Traditional Arabic"/>
          <w:szCs w:val="28"/>
          <w:rtl/>
          <w:lang w:val="fr-CH"/>
        </w:rPr>
        <w:t>اللجنة الفرعية</w:t>
      </w:r>
      <w:r>
        <w:rPr>
          <w:rFonts w:cs="Traditional Arabic" w:hint="cs"/>
          <w:szCs w:val="28"/>
          <w:rtl/>
          <w:lang w:val="fr-CH"/>
        </w:rPr>
        <w:t xml:space="preserve"> من قِبَل</w:t>
      </w:r>
      <w:r w:rsidRPr="001B47DC">
        <w:rPr>
          <w:rFonts w:cs="Traditional Arabic"/>
          <w:szCs w:val="28"/>
          <w:rtl/>
          <w:lang w:val="fr-CH"/>
        </w:rPr>
        <w:t xml:space="preserve"> الدول الأطراف</w:t>
      </w:r>
      <w:r>
        <w:rPr>
          <w:rFonts w:cs="Traditional Arabic" w:hint="cs"/>
          <w:szCs w:val="28"/>
          <w:rtl/>
          <w:lang w:val="fr-CH"/>
        </w:rPr>
        <w:t xml:space="preserve"> والآليات الوقائية الوطنية</w:t>
      </w:r>
      <w:r w:rsidRPr="001B47DC">
        <w:rPr>
          <w:rFonts w:cs="Traditional Arabic"/>
          <w:szCs w:val="28"/>
          <w:rtl/>
          <w:lang w:val="fr-CH"/>
        </w:rPr>
        <w:tab/>
      </w:r>
      <w:r w:rsidRPr="001B47DC">
        <w:rPr>
          <w:rFonts w:cs="Traditional Arabic" w:hint="cs"/>
          <w:szCs w:val="28"/>
          <w:rtl/>
          <w:lang w:val="fr-CH"/>
        </w:rPr>
        <w:tab/>
      </w:r>
      <w:r w:rsidR="002844CB">
        <w:rPr>
          <w:rFonts w:cs="Traditional Arabic" w:hint="cs"/>
          <w:szCs w:val="28"/>
          <w:rtl/>
          <w:lang w:val="fr-CH"/>
        </w:rPr>
        <w:t>18-23</w:t>
      </w:r>
      <w:r w:rsidRPr="001B47DC">
        <w:rPr>
          <w:rFonts w:cs="Traditional Arabic" w:hint="cs"/>
          <w:szCs w:val="28"/>
          <w:rtl/>
          <w:lang w:val="fr-CH"/>
        </w:rPr>
        <w:tab/>
      </w:r>
      <w:r w:rsidR="00A97F91">
        <w:rPr>
          <w:rFonts w:cs="Traditional Arabic" w:hint="cs"/>
          <w:szCs w:val="28"/>
          <w:rtl/>
          <w:lang w:val="fr-CH"/>
        </w:rPr>
        <w:t>305</w:t>
      </w:r>
    </w:p>
    <w:p w:rsidR="00631BFA" w:rsidRPr="001B47DC" w:rsidRDefault="00631BFA" w:rsidP="00631BFA">
      <w:pPr>
        <w:tabs>
          <w:tab w:val="right" w:pos="1021"/>
          <w:tab w:val="left" w:pos="1077"/>
          <w:tab w:val="left" w:pos="1525"/>
          <w:tab w:val="left" w:pos="1883"/>
          <w:tab w:val="left" w:pos="2206"/>
          <w:tab w:val="left" w:pos="2681"/>
          <w:tab w:val="left" w:leader="dot" w:pos="7469"/>
          <w:tab w:val="left" w:pos="7972"/>
          <w:tab w:val="right" w:pos="9638"/>
        </w:tabs>
        <w:bidi/>
        <w:spacing w:line="340" w:lineRule="exact"/>
        <w:rPr>
          <w:rFonts w:cs="Traditional Arabic" w:hint="cs"/>
          <w:szCs w:val="28"/>
          <w:rtl/>
          <w:lang w:val="fr-CH"/>
        </w:rPr>
      </w:pPr>
      <w:r w:rsidRPr="001B47DC">
        <w:rPr>
          <w:rFonts w:cs="Traditional Arabic" w:hint="cs"/>
          <w:szCs w:val="28"/>
          <w:rtl/>
          <w:lang w:val="fr-CH"/>
        </w:rPr>
        <w:tab/>
      </w:r>
      <w:r w:rsidRPr="001B47DC">
        <w:rPr>
          <w:rFonts w:cs="Traditional Arabic"/>
          <w:szCs w:val="28"/>
          <w:rtl/>
          <w:lang w:val="fr-CH"/>
        </w:rPr>
        <w:tab/>
      </w:r>
      <w:r w:rsidRPr="001B47DC">
        <w:rPr>
          <w:rFonts w:cs="Traditional Arabic" w:hint="cs"/>
          <w:szCs w:val="28"/>
          <w:rtl/>
          <w:lang w:val="fr-CH"/>
        </w:rPr>
        <w:tab/>
      </w:r>
      <w:r w:rsidRPr="001B47DC">
        <w:rPr>
          <w:rFonts w:cs="Traditional Arabic"/>
          <w:szCs w:val="28"/>
          <w:rtl/>
          <w:lang w:val="fr-CH"/>
        </w:rPr>
        <w:t>هاء</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التطورات المتعلقة بإنشاء الآليات الوقائية الوطنية</w:t>
      </w:r>
      <w:r w:rsidRPr="001B47DC">
        <w:rPr>
          <w:rFonts w:cs="Traditional Arabic"/>
          <w:szCs w:val="28"/>
          <w:rtl/>
          <w:lang w:val="fr-CH"/>
        </w:rPr>
        <w:tab/>
      </w:r>
      <w:r w:rsidRPr="001B47DC">
        <w:rPr>
          <w:rFonts w:cs="Traditional Arabic" w:hint="cs"/>
          <w:szCs w:val="28"/>
          <w:rtl/>
          <w:lang w:val="fr-CH"/>
        </w:rPr>
        <w:tab/>
      </w:r>
      <w:r w:rsidR="002844CB">
        <w:rPr>
          <w:rFonts w:cs="Traditional Arabic" w:hint="cs"/>
          <w:szCs w:val="28"/>
          <w:rtl/>
          <w:lang w:val="fr-CH"/>
        </w:rPr>
        <w:t>24-33</w:t>
      </w:r>
      <w:r w:rsidRPr="001B47DC">
        <w:rPr>
          <w:rFonts w:cs="Traditional Arabic"/>
          <w:szCs w:val="28"/>
          <w:rtl/>
          <w:lang w:val="fr-CH"/>
        </w:rPr>
        <w:tab/>
      </w:r>
      <w:r w:rsidR="00A97F91">
        <w:rPr>
          <w:rFonts w:cs="Traditional Arabic" w:hint="cs"/>
          <w:szCs w:val="28"/>
          <w:rtl/>
          <w:lang w:val="fr-CH"/>
        </w:rPr>
        <w:t>306</w:t>
      </w:r>
    </w:p>
    <w:p w:rsidR="00631BFA" w:rsidRPr="001B47DC" w:rsidRDefault="00631BFA" w:rsidP="00631BFA">
      <w:pPr>
        <w:tabs>
          <w:tab w:val="right" w:pos="1021"/>
          <w:tab w:val="left" w:pos="1077"/>
          <w:tab w:val="left" w:pos="1525"/>
          <w:tab w:val="left" w:pos="1883"/>
          <w:tab w:val="left" w:pos="2206"/>
          <w:tab w:val="left" w:pos="2681"/>
          <w:tab w:val="left" w:leader="dot" w:pos="7469"/>
          <w:tab w:val="left" w:pos="7972"/>
          <w:tab w:val="right" w:pos="9638"/>
        </w:tabs>
        <w:bidi/>
        <w:spacing w:after="120" w:line="340" w:lineRule="exact"/>
        <w:ind w:left="2189" w:right="2200" w:hanging="2189"/>
        <w:rPr>
          <w:rFonts w:cs="Traditional Arabic" w:hint="cs"/>
          <w:szCs w:val="28"/>
          <w:rtl/>
          <w:lang w:val="fr-CH"/>
        </w:rPr>
      </w:pPr>
      <w:r w:rsidRPr="001B47DC">
        <w:rPr>
          <w:rFonts w:cs="Traditional Arabic" w:hint="cs"/>
          <w:szCs w:val="28"/>
          <w:rtl/>
          <w:lang w:val="fr-CH"/>
        </w:rPr>
        <w:tab/>
      </w:r>
      <w:r w:rsidRPr="001B47DC">
        <w:rPr>
          <w:rFonts w:cs="Traditional Arabic"/>
          <w:szCs w:val="28"/>
          <w:rtl/>
          <w:lang w:val="fr-CH"/>
        </w:rPr>
        <w:tab/>
      </w:r>
      <w:r w:rsidRPr="001B47DC">
        <w:rPr>
          <w:rFonts w:cs="Traditional Arabic" w:hint="cs"/>
          <w:szCs w:val="28"/>
          <w:rtl/>
          <w:lang w:val="fr-CH"/>
        </w:rPr>
        <w:tab/>
      </w:r>
      <w:r w:rsidRPr="001B47DC">
        <w:rPr>
          <w:rFonts w:cs="Traditional Arabic"/>
          <w:szCs w:val="28"/>
          <w:rtl/>
          <w:lang w:val="fr-CH"/>
        </w:rPr>
        <w:t>واو</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الصندوق الخاص المُنشأ بموجب المادة 26 من البروتوكول الاختياري</w:t>
      </w:r>
      <w:r w:rsidRPr="001B47DC">
        <w:rPr>
          <w:rFonts w:cs="Traditional Arabic"/>
          <w:szCs w:val="28"/>
          <w:rtl/>
          <w:lang w:val="fr-CH"/>
        </w:rPr>
        <w:tab/>
      </w:r>
      <w:r w:rsidRPr="001B47DC">
        <w:rPr>
          <w:rFonts w:cs="Traditional Arabic" w:hint="cs"/>
          <w:szCs w:val="28"/>
          <w:rtl/>
          <w:lang w:val="fr-CH"/>
        </w:rPr>
        <w:tab/>
      </w:r>
      <w:r w:rsidR="002844CB">
        <w:rPr>
          <w:rFonts w:cs="Traditional Arabic" w:hint="cs"/>
          <w:szCs w:val="28"/>
          <w:rtl/>
          <w:lang w:val="fr-CH"/>
        </w:rPr>
        <w:t>34-39</w:t>
      </w:r>
      <w:r w:rsidRPr="001B47DC">
        <w:rPr>
          <w:rFonts w:cs="Traditional Arabic" w:hint="cs"/>
          <w:szCs w:val="28"/>
          <w:rtl/>
          <w:lang w:val="fr-CH"/>
        </w:rPr>
        <w:tab/>
      </w:r>
      <w:r w:rsidR="00A97F91">
        <w:rPr>
          <w:rFonts w:cs="Traditional Arabic" w:hint="cs"/>
          <w:szCs w:val="28"/>
          <w:rtl/>
          <w:lang w:val="fr-CH"/>
        </w:rPr>
        <w:t>311</w:t>
      </w:r>
    </w:p>
    <w:p w:rsidR="00631BFA" w:rsidRPr="001B47DC" w:rsidRDefault="00631BFA" w:rsidP="00631BFA">
      <w:pPr>
        <w:tabs>
          <w:tab w:val="right" w:pos="1021"/>
          <w:tab w:val="left" w:pos="1077"/>
          <w:tab w:val="left" w:pos="1525"/>
          <w:tab w:val="left" w:pos="1883"/>
          <w:tab w:val="left" w:pos="2206"/>
          <w:tab w:val="left" w:pos="2681"/>
          <w:tab w:val="left" w:leader="dot" w:pos="7469"/>
          <w:tab w:val="left" w:pos="7972"/>
          <w:tab w:val="right" w:pos="9638"/>
        </w:tabs>
        <w:bidi/>
        <w:spacing w:line="340" w:lineRule="exact"/>
        <w:rPr>
          <w:rFonts w:cs="Traditional Arabic" w:hint="cs"/>
          <w:szCs w:val="28"/>
          <w:rtl/>
          <w:lang w:val="fr-CH"/>
        </w:rPr>
      </w:pPr>
      <w:r w:rsidRPr="001B47DC">
        <w:rPr>
          <w:rFonts w:cs="Traditional Arabic" w:hint="cs"/>
          <w:szCs w:val="28"/>
          <w:rtl/>
          <w:lang w:val="fr-CH"/>
        </w:rPr>
        <w:tab/>
      </w:r>
      <w:r w:rsidRPr="001B47DC">
        <w:rPr>
          <w:rFonts w:cs="Traditional Arabic"/>
          <w:szCs w:val="28"/>
          <w:rtl/>
          <w:lang w:val="fr-CH"/>
        </w:rPr>
        <w:t>ثالثاً</w:t>
      </w:r>
      <w:r w:rsidRPr="001B47DC">
        <w:rPr>
          <w:rFonts w:cs="Traditional Arabic" w:hint="cs"/>
          <w:szCs w:val="28"/>
          <w:rtl/>
          <w:lang w:val="fr-CH"/>
        </w:rPr>
        <w:tab/>
      </w:r>
      <w:r>
        <w:rPr>
          <w:rFonts w:cs="Traditional Arabic"/>
          <w:szCs w:val="28"/>
          <w:rtl/>
          <w:lang w:val="fr-CH"/>
        </w:rPr>
        <w:t>-</w:t>
      </w:r>
      <w:r>
        <w:rPr>
          <w:rFonts w:cs="Traditional Arabic"/>
          <w:szCs w:val="28"/>
          <w:rtl/>
          <w:lang w:val="fr-CH"/>
        </w:rPr>
        <w:tab/>
      </w:r>
      <w:r>
        <w:rPr>
          <w:rFonts w:cs="Traditional Arabic" w:hint="cs"/>
          <w:szCs w:val="28"/>
          <w:rtl/>
          <w:lang w:val="fr-CH"/>
        </w:rPr>
        <w:t>المشاركة</w:t>
      </w:r>
      <w:r w:rsidRPr="001B47DC">
        <w:rPr>
          <w:rFonts w:cs="Traditional Arabic"/>
          <w:szCs w:val="28"/>
          <w:rtl/>
          <w:lang w:val="fr-CH"/>
        </w:rPr>
        <w:t xml:space="preserve"> في العمل مع الهيئات الأخرى في مجال منع التعذيب</w:t>
      </w:r>
      <w:r w:rsidRPr="001B47DC">
        <w:rPr>
          <w:rFonts w:cs="Traditional Arabic"/>
          <w:szCs w:val="28"/>
          <w:rtl/>
          <w:lang w:val="fr-CH"/>
        </w:rPr>
        <w:tab/>
      </w:r>
      <w:r w:rsidRPr="001B47DC">
        <w:rPr>
          <w:rFonts w:cs="Traditional Arabic" w:hint="cs"/>
          <w:szCs w:val="28"/>
          <w:rtl/>
          <w:lang w:val="fr-CH"/>
        </w:rPr>
        <w:tab/>
      </w:r>
      <w:r w:rsidR="002844CB">
        <w:rPr>
          <w:rFonts w:cs="Traditional Arabic" w:hint="cs"/>
          <w:szCs w:val="28"/>
          <w:rtl/>
          <w:lang w:val="fr-CH"/>
        </w:rPr>
        <w:t>40-48</w:t>
      </w:r>
      <w:r w:rsidRPr="001B47DC">
        <w:rPr>
          <w:rFonts w:cs="Traditional Arabic"/>
          <w:szCs w:val="28"/>
          <w:rtl/>
          <w:lang w:val="fr-CH"/>
        </w:rPr>
        <w:tab/>
      </w:r>
      <w:r w:rsidR="00A97F91">
        <w:rPr>
          <w:rFonts w:cs="Traditional Arabic" w:hint="cs"/>
          <w:szCs w:val="28"/>
          <w:rtl/>
          <w:lang w:val="fr-CH"/>
        </w:rPr>
        <w:t>312</w:t>
      </w:r>
    </w:p>
    <w:p w:rsidR="00631BFA" w:rsidRDefault="00631BFA" w:rsidP="00631BFA">
      <w:pPr>
        <w:tabs>
          <w:tab w:val="right" w:pos="1021"/>
          <w:tab w:val="left" w:pos="1077"/>
          <w:tab w:val="left" w:pos="1525"/>
          <w:tab w:val="left" w:pos="1883"/>
          <w:tab w:val="left" w:pos="2206"/>
          <w:tab w:val="left" w:pos="2681"/>
          <w:tab w:val="left" w:leader="dot" w:pos="7469"/>
          <w:tab w:val="left" w:pos="7972"/>
          <w:tab w:val="right" w:pos="9638"/>
        </w:tabs>
        <w:bidi/>
        <w:spacing w:line="340" w:lineRule="exact"/>
        <w:rPr>
          <w:rFonts w:cs="Traditional Arabic" w:hint="cs"/>
          <w:szCs w:val="28"/>
          <w:rtl/>
          <w:lang w:val="fr-CH"/>
        </w:rPr>
      </w:pPr>
      <w:r w:rsidRPr="001B47DC">
        <w:rPr>
          <w:rFonts w:cs="Traditional Arabic" w:hint="cs"/>
          <w:szCs w:val="28"/>
          <w:rtl/>
          <w:lang w:val="fr-CH"/>
        </w:rPr>
        <w:tab/>
      </w:r>
      <w:r w:rsidRPr="001B47DC">
        <w:rPr>
          <w:rFonts w:cs="Traditional Arabic"/>
          <w:szCs w:val="28"/>
          <w:rtl/>
          <w:lang w:val="fr-CH"/>
        </w:rPr>
        <w:tab/>
      </w:r>
      <w:r w:rsidRPr="001B47DC">
        <w:rPr>
          <w:rFonts w:cs="Traditional Arabic" w:hint="cs"/>
          <w:szCs w:val="28"/>
          <w:rtl/>
          <w:lang w:val="fr-CH"/>
        </w:rPr>
        <w:tab/>
      </w:r>
      <w:r>
        <w:rPr>
          <w:rFonts w:cs="Traditional Arabic" w:hint="cs"/>
          <w:szCs w:val="28"/>
          <w:rtl/>
          <w:lang w:val="fr-CH"/>
        </w:rPr>
        <w:t>ألف</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 xml:space="preserve">التعاون </w:t>
      </w:r>
      <w:r>
        <w:rPr>
          <w:rFonts w:cs="Traditional Arabic" w:hint="cs"/>
          <w:szCs w:val="28"/>
          <w:rtl/>
          <w:lang w:val="fr-CH"/>
        </w:rPr>
        <w:t>الدولي</w:t>
      </w:r>
      <w:r w:rsidRPr="001B47DC">
        <w:rPr>
          <w:rFonts w:cs="Traditional Arabic"/>
          <w:szCs w:val="28"/>
          <w:rtl/>
          <w:lang w:val="fr-CH"/>
        </w:rPr>
        <w:tab/>
      </w:r>
      <w:r w:rsidR="002844CB">
        <w:rPr>
          <w:rFonts w:cs="Traditional Arabic" w:hint="cs"/>
          <w:szCs w:val="28"/>
          <w:rtl/>
          <w:lang w:val="fr-CH"/>
        </w:rPr>
        <w:tab/>
        <w:t>40-46</w:t>
      </w:r>
      <w:r w:rsidR="002844CB">
        <w:rPr>
          <w:rFonts w:cs="Traditional Arabic" w:hint="cs"/>
          <w:szCs w:val="28"/>
          <w:rtl/>
          <w:lang w:val="fr-CH"/>
        </w:rPr>
        <w:tab/>
      </w:r>
      <w:r w:rsidR="00A97F91">
        <w:rPr>
          <w:rFonts w:cs="Traditional Arabic" w:hint="cs"/>
          <w:szCs w:val="28"/>
          <w:rtl/>
          <w:lang w:val="fr-CH"/>
        </w:rPr>
        <w:t>312</w:t>
      </w:r>
    </w:p>
    <w:p w:rsidR="00631BFA" w:rsidRPr="001B47DC" w:rsidRDefault="00631BFA" w:rsidP="00631BFA">
      <w:pPr>
        <w:tabs>
          <w:tab w:val="right" w:pos="1021"/>
          <w:tab w:val="left" w:pos="1077"/>
          <w:tab w:val="left" w:pos="1525"/>
          <w:tab w:val="left" w:pos="1883"/>
          <w:tab w:val="left" w:pos="2206"/>
          <w:tab w:val="left" w:pos="2681"/>
          <w:tab w:val="left" w:leader="dot" w:pos="7469"/>
          <w:tab w:val="left" w:pos="7972"/>
          <w:tab w:val="right" w:pos="9638"/>
        </w:tabs>
        <w:bidi/>
        <w:spacing w:line="340" w:lineRule="exact"/>
        <w:rPr>
          <w:rFonts w:cs="Traditional Arabic" w:hint="cs"/>
          <w:szCs w:val="28"/>
          <w:rtl/>
          <w:lang w:val="fr-CH"/>
        </w:rPr>
      </w:pPr>
      <w:r>
        <w:rPr>
          <w:rFonts w:cs="Traditional Arabic" w:hint="cs"/>
          <w:szCs w:val="28"/>
          <w:rtl/>
          <w:lang w:val="fr-CH"/>
        </w:rPr>
        <w:tab/>
      </w:r>
      <w:r>
        <w:rPr>
          <w:rFonts w:cs="Traditional Arabic" w:hint="cs"/>
          <w:szCs w:val="28"/>
          <w:rtl/>
          <w:lang w:val="fr-CH"/>
        </w:rPr>
        <w:tab/>
      </w:r>
      <w:r>
        <w:rPr>
          <w:rFonts w:cs="Traditional Arabic" w:hint="cs"/>
          <w:szCs w:val="28"/>
          <w:rtl/>
          <w:lang w:val="fr-CH"/>
        </w:rPr>
        <w:tab/>
      </w:r>
      <w:r w:rsidRPr="001B47DC">
        <w:rPr>
          <w:rFonts w:cs="Traditional Arabic"/>
          <w:szCs w:val="28"/>
          <w:rtl/>
          <w:lang w:val="fr-CH"/>
        </w:rPr>
        <w:t>باء</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التعاون الإقليمي</w:t>
      </w:r>
      <w:r w:rsidRPr="001B47DC">
        <w:rPr>
          <w:rFonts w:cs="Traditional Arabic"/>
          <w:szCs w:val="28"/>
          <w:rtl/>
          <w:lang w:val="fr-CH"/>
        </w:rPr>
        <w:tab/>
      </w:r>
      <w:r w:rsidRPr="001B47DC">
        <w:rPr>
          <w:rFonts w:cs="Traditional Arabic" w:hint="cs"/>
          <w:szCs w:val="28"/>
          <w:rtl/>
          <w:lang w:val="fr-CH"/>
        </w:rPr>
        <w:tab/>
      </w:r>
      <w:r w:rsidR="002844CB">
        <w:rPr>
          <w:rFonts w:cs="Traditional Arabic" w:hint="cs"/>
          <w:szCs w:val="28"/>
          <w:rtl/>
          <w:lang w:val="fr-CH"/>
        </w:rPr>
        <w:t>47</w:t>
      </w:r>
      <w:r w:rsidRPr="001B47DC">
        <w:rPr>
          <w:rFonts w:cs="Traditional Arabic"/>
          <w:szCs w:val="28"/>
          <w:rtl/>
          <w:lang w:val="fr-CH"/>
        </w:rPr>
        <w:tab/>
      </w:r>
      <w:r w:rsidR="00A97F91">
        <w:rPr>
          <w:rFonts w:cs="Traditional Arabic" w:hint="cs"/>
          <w:szCs w:val="28"/>
          <w:rtl/>
          <w:lang w:val="fr-CH"/>
        </w:rPr>
        <w:t>313</w:t>
      </w:r>
    </w:p>
    <w:p w:rsidR="00631BFA" w:rsidRPr="001B47DC" w:rsidRDefault="00631BFA" w:rsidP="00631BFA">
      <w:pPr>
        <w:tabs>
          <w:tab w:val="right" w:pos="1021"/>
          <w:tab w:val="left" w:pos="1077"/>
          <w:tab w:val="left" w:pos="1525"/>
          <w:tab w:val="left" w:pos="1883"/>
          <w:tab w:val="left" w:pos="2206"/>
          <w:tab w:val="left" w:pos="2681"/>
          <w:tab w:val="left" w:leader="dot" w:pos="7469"/>
          <w:tab w:val="left" w:pos="7972"/>
          <w:tab w:val="right" w:pos="9638"/>
        </w:tabs>
        <w:bidi/>
        <w:spacing w:after="120" w:line="340" w:lineRule="exact"/>
        <w:rPr>
          <w:rFonts w:cs="Traditional Arabic" w:hint="cs"/>
          <w:szCs w:val="28"/>
          <w:rtl/>
          <w:lang w:val="fr-CH"/>
        </w:rPr>
      </w:pPr>
      <w:r w:rsidRPr="001B47DC">
        <w:rPr>
          <w:rFonts w:cs="Traditional Arabic" w:hint="cs"/>
          <w:szCs w:val="28"/>
          <w:rtl/>
          <w:lang w:val="fr-CH"/>
        </w:rPr>
        <w:tab/>
      </w:r>
      <w:r w:rsidRPr="001B47DC">
        <w:rPr>
          <w:rFonts w:cs="Traditional Arabic"/>
          <w:szCs w:val="28"/>
          <w:rtl/>
          <w:lang w:val="fr-CH"/>
        </w:rPr>
        <w:tab/>
      </w:r>
      <w:r w:rsidRPr="001B47DC">
        <w:rPr>
          <w:rFonts w:cs="Traditional Arabic" w:hint="cs"/>
          <w:szCs w:val="28"/>
          <w:rtl/>
          <w:lang w:val="fr-CH"/>
        </w:rPr>
        <w:tab/>
      </w:r>
      <w:r w:rsidRPr="001B47DC">
        <w:rPr>
          <w:rFonts w:cs="Traditional Arabic"/>
          <w:szCs w:val="28"/>
          <w:rtl/>
          <w:lang w:val="fr-CH"/>
        </w:rPr>
        <w:t>جيم</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المجتمع المدني</w:t>
      </w:r>
      <w:r w:rsidRPr="001B47DC">
        <w:rPr>
          <w:rFonts w:cs="Traditional Arabic"/>
          <w:szCs w:val="28"/>
          <w:rtl/>
          <w:lang w:val="fr-CH"/>
        </w:rPr>
        <w:tab/>
      </w:r>
      <w:r w:rsidRPr="001B47DC">
        <w:rPr>
          <w:rFonts w:cs="Traditional Arabic" w:hint="cs"/>
          <w:szCs w:val="28"/>
          <w:rtl/>
          <w:lang w:val="fr-CH"/>
        </w:rPr>
        <w:tab/>
      </w:r>
      <w:r w:rsidR="002844CB">
        <w:rPr>
          <w:rFonts w:cs="Traditional Arabic" w:hint="cs"/>
          <w:szCs w:val="28"/>
          <w:rtl/>
          <w:lang w:val="fr-CH"/>
        </w:rPr>
        <w:t>48</w:t>
      </w:r>
      <w:r w:rsidRPr="001B47DC">
        <w:rPr>
          <w:rFonts w:cs="Traditional Arabic"/>
          <w:szCs w:val="28"/>
          <w:rtl/>
          <w:lang w:val="fr-CH"/>
        </w:rPr>
        <w:tab/>
      </w:r>
      <w:r w:rsidR="00A97F91">
        <w:rPr>
          <w:rFonts w:cs="Traditional Arabic" w:hint="cs"/>
          <w:szCs w:val="28"/>
          <w:rtl/>
          <w:lang w:val="fr-CH"/>
        </w:rPr>
        <w:t>314</w:t>
      </w:r>
    </w:p>
    <w:p w:rsidR="00631BFA" w:rsidRPr="001B47DC" w:rsidRDefault="00631BFA" w:rsidP="002844CB">
      <w:pPr>
        <w:tabs>
          <w:tab w:val="right" w:pos="1021"/>
          <w:tab w:val="left" w:pos="1077"/>
          <w:tab w:val="left" w:pos="1525"/>
          <w:tab w:val="left" w:pos="1842"/>
          <w:tab w:val="left" w:pos="2681"/>
          <w:tab w:val="left" w:leader="dot" w:pos="7441"/>
          <w:tab w:val="left" w:pos="7972"/>
          <w:tab w:val="right" w:pos="9638"/>
        </w:tabs>
        <w:bidi/>
        <w:spacing w:line="340" w:lineRule="exact"/>
        <w:ind w:left="1538" w:right="2200" w:hanging="1538"/>
        <w:jc w:val="lowKashida"/>
        <w:rPr>
          <w:rFonts w:cs="Traditional Arabic"/>
          <w:szCs w:val="28"/>
          <w:rtl/>
          <w:lang w:val="fr-CH"/>
        </w:rPr>
      </w:pPr>
      <w:r w:rsidRPr="001B47DC">
        <w:rPr>
          <w:rFonts w:cs="Traditional Arabic" w:hint="cs"/>
          <w:szCs w:val="28"/>
          <w:rtl/>
          <w:lang w:val="fr-CH"/>
        </w:rPr>
        <w:tab/>
      </w:r>
      <w:r w:rsidRPr="001B47DC">
        <w:rPr>
          <w:rFonts w:cs="Traditional Arabic"/>
          <w:szCs w:val="28"/>
          <w:rtl/>
          <w:lang w:val="fr-CH"/>
        </w:rPr>
        <w:t>رابعاً</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 xml:space="preserve">المسائل الجديرة بالذِكر الناشئة عن الأعمال التي اضطلعت بها اللجنة الفرعية خلال الفترة </w:t>
      </w:r>
      <w:r w:rsidR="002844CB">
        <w:rPr>
          <w:rFonts w:cs="Traditional Arabic" w:hint="cs"/>
          <w:szCs w:val="28"/>
          <w:rtl/>
          <w:lang w:val="fr-CH"/>
        </w:rPr>
        <w:t xml:space="preserve">موضوع </w:t>
      </w:r>
      <w:r w:rsidRPr="001B47DC">
        <w:rPr>
          <w:rFonts w:cs="Traditional Arabic"/>
          <w:szCs w:val="28"/>
          <w:rtl/>
          <w:lang w:val="fr-CH"/>
        </w:rPr>
        <w:t>الاستعراض</w:t>
      </w:r>
      <w:r w:rsidRPr="001B47DC">
        <w:rPr>
          <w:rFonts w:cs="Traditional Arabic"/>
          <w:szCs w:val="28"/>
          <w:rtl/>
          <w:lang w:val="fr-CH"/>
        </w:rPr>
        <w:tab/>
      </w:r>
      <w:r w:rsidRPr="001B47DC">
        <w:rPr>
          <w:rFonts w:cs="Traditional Arabic" w:hint="cs"/>
          <w:szCs w:val="28"/>
          <w:rtl/>
          <w:lang w:val="fr-CH"/>
        </w:rPr>
        <w:tab/>
      </w:r>
      <w:r w:rsidR="002844CB">
        <w:rPr>
          <w:rFonts w:cs="Traditional Arabic" w:hint="cs"/>
          <w:szCs w:val="28"/>
          <w:rtl/>
          <w:lang w:val="fr-CH"/>
        </w:rPr>
        <w:t>49-68</w:t>
      </w:r>
      <w:r w:rsidRPr="001B47DC">
        <w:rPr>
          <w:rFonts w:cs="Traditional Arabic" w:hint="cs"/>
          <w:szCs w:val="28"/>
          <w:rtl/>
          <w:lang w:val="fr-CH"/>
        </w:rPr>
        <w:tab/>
      </w:r>
      <w:r w:rsidR="00A97F91">
        <w:rPr>
          <w:rFonts w:cs="Traditional Arabic" w:hint="cs"/>
          <w:szCs w:val="28"/>
          <w:rtl/>
          <w:lang w:val="fr-CH"/>
        </w:rPr>
        <w:t>314</w:t>
      </w:r>
    </w:p>
    <w:p w:rsidR="00631BFA" w:rsidRPr="001B47DC" w:rsidRDefault="00631BFA" w:rsidP="00631BFA">
      <w:pPr>
        <w:tabs>
          <w:tab w:val="right" w:pos="1021"/>
          <w:tab w:val="left" w:pos="1077"/>
          <w:tab w:val="left" w:pos="1525"/>
          <w:tab w:val="left" w:pos="1883"/>
          <w:tab w:val="left" w:pos="2206"/>
          <w:tab w:val="left" w:pos="2681"/>
          <w:tab w:val="left" w:leader="dot" w:pos="7469"/>
          <w:tab w:val="left" w:pos="7972"/>
          <w:tab w:val="right" w:pos="9638"/>
        </w:tabs>
        <w:bidi/>
        <w:spacing w:line="340" w:lineRule="exact"/>
        <w:rPr>
          <w:rFonts w:cs="Traditional Arabic" w:hint="cs"/>
          <w:szCs w:val="28"/>
          <w:rtl/>
          <w:lang w:val="fr-CH"/>
        </w:rPr>
      </w:pPr>
      <w:r w:rsidRPr="001B47DC">
        <w:rPr>
          <w:rFonts w:cs="Traditional Arabic" w:hint="cs"/>
          <w:szCs w:val="28"/>
          <w:rtl/>
          <w:lang w:val="fr-CH"/>
        </w:rPr>
        <w:tab/>
      </w:r>
      <w:r w:rsidRPr="001B47DC">
        <w:rPr>
          <w:rFonts w:cs="Traditional Arabic"/>
          <w:szCs w:val="28"/>
          <w:rtl/>
          <w:lang w:val="fr-CH"/>
        </w:rPr>
        <w:tab/>
      </w:r>
      <w:r w:rsidRPr="001B47DC">
        <w:rPr>
          <w:rFonts w:cs="Traditional Arabic" w:hint="cs"/>
          <w:szCs w:val="28"/>
          <w:rtl/>
          <w:lang w:val="fr-CH"/>
        </w:rPr>
        <w:tab/>
      </w:r>
      <w:r w:rsidRPr="001B47DC">
        <w:rPr>
          <w:rFonts w:cs="Traditional Arabic"/>
          <w:szCs w:val="28"/>
          <w:rtl/>
          <w:lang w:val="fr-CH"/>
        </w:rPr>
        <w:t>ألف</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تطوير ممارسات عمل اللجنة الفرعية</w:t>
      </w:r>
      <w:r w:rsidRPr="001B47DC">
        <w:rPr>
          <w:rFonts w:cs="Traditional Arabic"/>
          <w:szCs w:val="28"/>
          <w:rtl/>
          <w:lang w:val="fr-CH"/>
        </w:rPr>
        <w:tab/>
      </w:r>
      <w:r>
        <w:rPr>
          <w:rFonts w:cs="Traditional Arabic" w:hint="cs"/>
          <w:szCs w:val="28"/>
          <w:rtl/>
          <w:lang w:val="fr-CH"/>
        </w:rPr>
        <w:tab/>
      </w:r>
      <w:r w:rsidR="002844CB">
        <w:rPr>
          <w:rFonts w:cs="Traditional Arabic" w:hint="cs"/>
          <w:szCs w:val="28"/>
          <w:rtl/>
          <w:lang w:val="fr-CH"/>
        </w:rPr>
        <w:t>49-59</w:t>
      </w:r>
      <w:r w:rsidRPr="001B47DC">
        <w:rPr>
          <w:rFonts w:cs="Traditional Arabic"/>
          <w:szCs w:val="28"/>
          <w:rtl/>
          <w:lang w:val="fr-CH"/>
        </w:rPr>
        <w:tab/>
      </w:r>
      <w:r w:rsidR="00A97F91">
        <w:rPr>
          <w:rFonts w:cs="Traditional Arabic" w:hint="cs"/>
          <w:szCs w:val="28"/>
          <w:rtl/>
          <w:lang w:val="fr-CH"/>
        </w:rPr>
        <w:t>314</w:t>
      </w:r>
    </w:p>
    <w:p w:rsidR="00631BFA" w:rsidRPr="001B47DC" w:rsidRDefault="00631BFA" w:rsidP="00631BFA">
      <w:pPr>
        <w:tabs>
          <w:tab w:val="right" w:pos="1021"/>
          <w:tab w:val="left" w:pos="1077"/>
          <w:tab w:val="left" w:pos="1525"/>
          <w:tab w:val="left" w:pos="1883"/>
          <w:tab w:val="left" w:pos="2206"/>
          <w:tab w:val="left" w:pos="2681"/>
          <w:tab w:val="left" w:leader="dot" w:pos="7469"/>
          <w:tab w:val="left" w:pos="7972"/>
          <w:tab w:val="right" w:pos="9638"/>
        </w:tabs>
        <w:bidi/>
        <w:spacing w:line="340" w:lineRule="exact"/>
        <w:rPr>
          <w:rFonts w:cs="Traditional Arabic" w:hint="cs"/>
          <w:szCs w:val="28"/>
          <w:rtl/>
          <w:lang w:val="fr-CH"/>
        </w:rPr>
      </w:pPr>
      <w:r w:rsidRPr="001B47DC">
        <w:rPr>
          <w:rFonts w:cs="Traditional Arabic"/>
          <w:szCs w:val="28"/>
          <w:rtl/>
          <w:lang w:val="fr-CH"/>
        </w:rPr>
        <w:tab/>
      </w:r>
      <w:r w:rsidRPr="001B47DC">
        <w:rPr>
          <w:rFonts w:cs="Traditional Arabic" w:hint="cs"/>
          <w:szCs w:val="28"/>
          <w:rtl/>
          <w:lang w:val="fr-CH"/>
        </w:rPr>
        <w:tab/>
      </w:r>
      <w:r w:rsidRPr="001B47DC">
        <w:rPr>
          <w:rFonts w:cs="Traditional Arabic" w:hint="cs"/>
          <w:szCs w:val="28"/>
          <w:rtl/>
          <w:lang w:val="fr-CH"/>
        </w:rPr>
        <w:tab/>
      </w:r>
      <w:r w:rsidRPr="001B47DC">
        <w:rPr>
          <w:rFonts w:cs="Traditional Arabic"/>
          <w:szCs w:val="28"/>
          <w:rtl/>
          <w:lang w:val="fr-CH"/>
        </w:rPr>
        <w:t>باء</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إنشاء أفرقة عاملة</w:t>
      </w:r>
      <w:r>
        <w:rPr>
          <w:rFonts w:cs="Traditional Arabic" w:hint="cs"/>
          <w:szCs w:val="28"/>
          <w:rtl/>
          <w:lang w:val="fr-CH"/>
        </w:rPr>
        <w:t xml:space="preserve"> مخص</w:t>
      </w:r>
      <w:r w:rsidR="002844CB">
        <w:rPr>
          <w:rFonts w:cs="Traditional Arabic" w:hint="cs"/>
          <w:szCs w:val="28"/>
          <w:rtl/>
          <w:lang w:val="fr-CH"/>
        </w:rPr>
        <w:t>َّ</w:t>
      </w:r>
      <w:r>
        <w:rPr>
          <w:rFonts w:cs="Traditional Arabic" w:hint="cs"/>
          <w:szCs w:val="28"/>
          <w:rtl/>
          <w:lang w:val="fr-CH"/>
        </w:rPr>
        <w:t>صة</w:t>
      </w:r>
      <w:r w:rsidRPr="001B47DC">
        <w:rPr>
          <w:rFonts w:cs="Traditional Arabic"/>
          <w:szCs w:val="28"/>
          <w:rtl/>
          <w:lang w:val="fr-CH"/>
        </w:rPr>
        <w:tab/>
      </w:r>
      <w:r w:rsidRPr="001B47DC">
        <w:rPr>
          <w:rFonts w:cs="Traditional Arabic" w:hint="cs"/>
          <w:szCs w:val="28"/>
          <w:rtl/>
          <w:lang w:val="fr-CH"/>
        </w:rPr>
        <w:tab/>
      </w:r>
      <w:r w:rsidR="002844CB">
        <w:rPr>
          <w:rFonts w:cs="Traditional Arabic" w:hint="cs"/>
          <w:szCs w:val="28"/>
          <w:rtl/>
          <w:lang w:val="fr-CH"/>
        </w:rPr>
        <w:t>60-65</w:t>
      </w:r>
      <w:r w:rsidRPr="001B47DC">
        <w:rPr>
          <w:rFonts w:cs="Traditional Arabic"/>
          <w:szCs w:val="28"/>
          <w:rtl/>
          <w:lang w:val="fr-CH"/>
        </w:rPr>
        <w:tab/>
      </w:r>
      <w:r w:rsidR="00A97F91">
        <w:rPr>
          <w:rFonts w:cs="Traditional Arabic" w:hint="cs"/>
          <w:szCs w:val="28"/>
          <w:rtl/>
          <w:lang w:val="fr-CH"/>
        </w:rPr>
        <w:t>317</w:t>
      </w:r>
    </w:p>
    <w:p w:rsidR="00631BFA" w:rsidRPr="001B47DC" w:rsidRDefault="00631BFA" w:rsidP="00631BFA">
      <w:pPr>
        <w:tabs>
          <w:tab w:val="right" w:pos="1021"/>
          <w:tab w:val="left" w:pos="1077"/>
          <w:tab w:val="left" w:pos="1525"/>
          <w:tab w:val="left" w:pos="1883"/>
          <w:tab w:val="left" w:pos="2206"/>
          <w:tab w:val="left" w:pos="2681"/>
          <w:tab w:val="left" w:leader="dot" w:pos="7469"/>
          <w:tab w:val="left" w:pos="7972"/>
          <w:tab w:val="right" w:pos="9638"/>
        </w:tabs>
        <w:bidi/>
        <w:spacing w:after="120" w:line="340" w:lineRule="exact"/>
        <w:rPr>
          <w:rFonts w:cs="Traditional Arabic" w:hint="cs"/>
          <w:szCs w:val="28"/>
          <w:rtl/>
          <w:lang w:val="fr-CH"/>
        </w:rPr>
      </w:pPr>
      <w:r w:rsidRPr="001B47DC">
        <w:rPr>
          <w:rFonts w:cs="Traditional Arabic"/>
          <w:szCs w:val="28"/>
          <w:rtl/>
          <w:lang w:val="fr-CH"/>
        </w:rPr>
        <w:tab/>
      </w:r>
      <w:r w:rsidRPr="001B47DC">
        <w:rPr>
          <w:rFonts w:cs="Traditional Arabic" w:hint="cs"/>
          <w:szCs w:val="28"/>
          <w:rtl/>
          <w:lang w:val="fr-CH"/>
        </w:rPr>
        <w:tab/>
      </w:r>
      <w:r w:rsidRPr="001B47DC">
        <w:rPr>
          <w:rFonts w:cs="Traditional Arabic" w:hint="cs"/>
          <w:szCs w:val="28"/>
          <w:rtl/>
          <w:lang w:val="fr-CH"/>
        </w:rPr>
        <w:tab/>
      </w:r>
      <w:r w:rsidRPr="001B47DC">
        <w:rPr>
          <w:rFonts w:cs="Traditional Arabic"/>
          <w:szCs w:val="28"/>
          <w:rtl/>
          <w:lang w:val="fr-CH"/>
        </w:rPr>
        <w:t>جيم</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 xml:space="preserve">المسائل الناشئة عن </w:t>
      </w:r>
      <w:r>
        <w:rPr>
          <w:rFonts w:cs="Traditional Arabic" w:hint="cs"/>
          <w:szCs w:val="28"/>
          <w:rtl/>
          <w:lang w:val="fr-CH"/>
        </w:rPr>
        <w:t>عمل</w:t>
      </w:r>
      <w:r w:rsidRPr="00FA5ECC">
        <w:rPr>
          <w:rFonts w:cs="Traditional Arabic"/>
          <w:szCs w:val="28"/>
          <w:rtl/>
          <w:lang w:val="fr-CH"/>
        </w:rPr>
        <w:t xml:space="preserve"> </w:t>
      </w:r>
      <w:r w:rsidRPr="001B47DC">
        <w:rPr>
          <w:rFonts w:cs="Traditional Arabic"/>
          <w:szCs w:val="28"/>
          <w:rtl/>
          <w:lang w:val="fr-CH"/>
        </w:rPr>
        <w:t>اللجنة الفرعية</w:t>
      </w:r>
      <w:r w:rsidRPr="001B47DC">
        <w:rPr>
          <w:rFonts w:cs="Traditional Arabic"/>
          <w:szCs w:val="28"/>
          <w:rtl/>
          <w:lang w:val="fr-CH"/>
        </w:rPr>
        <w:tab/>
      </w:r>
      <w:r w:rsidRPr="001B47DC">
        <w:rPr>
          <w:rFonts w:cs="Traditional Arabic" w:hint="cs"/>
          <w:szCs w:val="28"/>
          <w:rtl/>
          <w:lang w:val="fr-CH"/>
        </w:rPr>
        <w:tab/>
      </w:r>
      <w:r w:rsidR="002844CB">
        <w:rPr>
          <w:rFonts w:cs="Traditional Arabic" w:hint="cs"/>
          <w:szCs w:val="28"/>
          <w:rtl/>
          <w:lang w:val="fr-CH"/>
        </w:rPr>
        <w:t>66-68</w:t>
      </w:r>
      <w:r w:rsidRPr="001B47DC">
        <w:rPr>
          <w:rFonts w:cs="Traditional Arabic"/>
          <w:szCs w:val="28"/>
          <w:rtl/>
          <w:lang w:val="fr-CH"/>
        </w:rPr>
        <w:tab/>
      </w:r>
      <w:r w:rsidR="00A97F91">
        <w:rPr>
          <w:rFonts w:cs="Traditional Arabic" w:hint="cs"/>
          <w:szCs w:val="28"/>
          <w:rtl/>
          <w:lang w:val="fr-CH"/>
        </w:rPr>
        <w:t>319</w:t>
      </w:r>
    </w:p>
    <w:p w:rsidR="00631BFA" w:rsidRPr="001B47DC" w:rsidRDefault="00631BFA" w:rsidP="00631BFA">
      <w:pPr>
        <w:tabs>
          <w:tab w:val="right" w:pos="1021"/>
          <w:tab w:val="left" w:pos="1077"/>
          <w:tab w:val="left" w:pos="1525"/>
          <w:tab w:val="left" w:pos="1842"/>
          <w:tab w:val="left" w:pos="2206"/>
          <w:tab w:val="left" w:pos="2681"/>
          <w:tab w:val="left" w:leader="dot" w:pos="7469"/>
          <w:tab w:val="left" w:pos="7972"/>
          <w:tab w:val="right" w:pos="9638"/>
        </w:tabs>
        <w:bidi/>
        <w:spacing w:line="340" w:lineRule="exact"/>
        <w:rPr>
          <w:rFonts w:cs="Traditional Arabic" w:hint="cs"/>
          <w:szCs w:val="28"/>
          <w:rtl/>
          <w:lang w:val="fr-CH"/>
        </w:rPr>
      </w:pPr>
      <w:r w:rsidRPr="001B47DC">
        <w:rPr>
          <w:rFonts w:cs="Traditional Arabic" w:hint="cs"/>
          <w:szCs w:val="28"/>
          <w:rtl/>
          <w:lang w:val="fr-CH"/>
        </w:rPr>
        <w:tab/>
      </w:r>
      <w:r w:rsidRPr="001B47DC">
        <w:rPr>
          <w:rFonts w:cs="Traditional Arabic"/>
          <w:szCs w:val="28"/>
          <w:rtl/>
          <w:lang w:val="fr-CH"/>
        </w:rPr>
        <w:t>خامساً</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المسائل الموضوعية</w:t>
      </w:r>
      <w:r w:rsidRPr="001B47DC">
        <w:rPr>
          <w:rFonts w:cs="Traditional Arabic"/>
          <w:szCs w:val="28"/>
          <w:rtl/>
          <w:lang w:val="fr-CH"/>
        </w:rPr>
        <w:tab/>
      </w:r>
      <w:r w:rsidRPr="001B47DC">
        <w:rPr>
          <w:rFonts w:cs="Traditional Arabic" w:hint="cs"/>
          <w:szCs w:val="28"/>
          <w:rtl/>
          <w:lang w:val="fr-CH"/>
        </w:rPr>
        <w:tab/>
      </w:r>
      <w:r w:rsidR="002844CB">
        <w:rPr>
          <w:rFonts w:cs="Traditional Arabic" w:hint="cs"/>
          <w:szCs w:val="28"/>
          <w:rtl/>
          <w:lang w:val="fr-CH"/>
        </w:rPr>
        <w:t>69-94</w:t>
      </w:r>
      <w:r w:rsidRPr="001B47DC">
        <w:rPr>
          <w:rFonts w:cs="Traditional Arabic"/>
          <w:szCs w:val="28"/>
          <w:rtl/>
          <w:lang w:val="fr-CH"/>
        </w:rPr>
        <w:tab/>
      </w:r>
      <w:r w:rsidR="00A97F91">
        <w:rPr>
          <w:rFonts w:cs="Traditional Arabic" w:hint="cs"/>
          <w:szCs w:val="28"/>
          <w:rtl/>
          <w:lang w:val="fr-CH"/>
        </w:rPr>
        <w:t>320</w:t>
      </w:r>
    </w:p>
    <w:p w:rsidR="00631BFA" w:rsidRPr="00631BFA" w:rsidRDefault="00631BFA" w:rsidP="00631BFA">
      <w:pPr>
        <w:tabs>
          <w:tab w:val="right" w:pos="1021"/>
          <w:tab w:val="left" w:pos="1077"/>
          <w:tab w:val="left" w:pos="1525"/>
          <w:tab w:val="left" w:pos="1883"/>
          <w:tab w:val="left" w:pos="2206"/>
          <w:tab w:val="left" w:pos="2681"/>
          <w:tab w:val="left" w:leader="dot" w:pos="7469"/>
          <w:tab w:val="left" w:pos="7972"/>
          <w:tab w:val="right" w:pos="9638"/>
        </w:tabs>
        <w:bidi/>
        <w:spacing w:line="340" w:lineRule="exact"/>
        <w:ind w:left="2191" w:right="2200" w:hanging="2191"/>
        <w:jc w:val="lowKashida"/>
        <w:rPr>
          <w:rFonts w:cs="Traditional Arabic" w:hint="cs"/>
          <w:spacing w:val="-4"/>
          <w:szCs w:val="28"/>
          <w:rtl/>
          <w:lang w:val="fr-CH"/>
        </w:rPr>
      </w:pPr>
      <w:r w:rsidRPr="00631BFA">
        <w:rPr>
          <w:rFonts w:cs="Traditional Arabic" w:hint="cs"/>
          <w:spacing w:val="-4"/>
          <w:szCs w:val="28"/>
          <w:rtl/>
          <w:lang w:val="fr-CH"/>
        </w:rPr>
        <w:tab/>
      </w:r>
      <w:r w:rsidRPr="00631BFA">
        <w:rPr>
          <w:rFonts w:cs="Traditional Arabic"/>
          <w:spacing w:val="-4"/>
          <w:szCs w:val="28"/>
          <w:rtl/>
          <w:lang w:val="fr-CH"/>
        </w:rPr>
        <w:tab/>
      </w:r>
      <w:r w:rsidRPr="00631BFA">
        <w:rPr>
          <w:rFonts w:cs="Traditional Arabic" w:hint="cs"/>
          <w:spacing w:val="-4"/>
          <w:szCs w:val="28"/>
          <w:rtl/>
          <w:lang w:val="fr-CH"/>
        </w:rPr>
        <w:tab/>
      </w:r>
      <w:r w:rsidRPr="00631BFA">
        <w:rPr>
          <w:rFonts w:cs="Traditional Arabic"/>
          <w:spacing w:val="-4"/>
          <w:szCs w:val="28"/>
          <w:rtl/>
          <w:lang w:val="fr-CH"/>
        </w:rPr>
        <w:t>ألف</w:t>
      </w:r>
      <w:r w:rsidRPr="00631BFA">
        <w:rPr>
          <w:rFonts w:cs="Traditional Arabic" w:hint="cs"/>
          <w:spacing w:val="-4"/>
          <w:szCs w:val="28"/>
          <w:rtl/>
          <w:lang w:val="fr-CH"/>
        </w:rPr>
        <w:tab/>
      </w:r>
      <w:r w:rsidRPr="00631BFA">
        <w:rPr>
          <w:rFonts w:cs="Traditional Arabic"/>
          <w:spacing w:val="-4"/>
          <w:szCs w:val="28"/>
          <w:rtl/>
          <w:lang w:val="fr-CH"/>
        </w:rPr>
        <w:t>-</w:t>
      </w:r>
      <w:r w:rsidRPr="00631BFA">
        <w:rPr>
          <w:rFonts w:cs="Traditional Arabic"/>
          <w:spacing w:val="-4"/>
          <w:szCs w:val="28"/>
          <w:rtl/>
          <w:lang w:val="fr-CH"/>
        </w:rPr>
        <w:tab/>
      </w:r>
      <w:r w:rsidRPr="00631BFA">
        <w:rPr>
          <w:rFonts w:cs="Traditional Arabic" w:hint="cs"/>
          <w:spacing w:val="-4"/>
          <w:szCs w:val="28"/>
          <w:rtl/>
          <w:lang w:val="fr-CH"/>
        </w:rPr>
        <w:t>دور المراجعة القضائية ومراعاة الأصول القانونية في منع التعذيب في</w:t>
      </w:r>
      <w:r w:rsidRPr="00631BFA">
        <w:rPr>
          <w:rFonts w:cs="Traditional Arabic" w:hint="eastAsia"/>
          <w:spacing w:val="-4"/>
          <w:szCs w:val="28"/>
          <w:rtl/>
          <w:lang w:val="fr-CH"/>
        </w:rPr>
        <w:t> </w:t>
      </w:r>
      <w:r w:rsidRPr="00631BFA">
        <w:rPr>
          <w:rFonts w:cs="Traditional Arabic" w:hint="cs"/>
          <w:spacing w:val="-4"/>
          <w:szCs w:val="28"/>
          <w:rtl/>
          <w:lang w:val="fr-CH"/>
        </w:rPr>
        <w:t>السجون</w:t>
      </w:r>
      <w:r w:rsidRPr="00631BFA">
        <w:rPr>
          <w:rFonts w:cs="Traditional Arabic" w:hint="cs"/>
          <w:spacing w:val="-4"/>
          <w:szCs w:val="28"/>
          <w:rtl/>
          <w:lang w:val="fr-CH"/>
        </w:rPr>
        <w:tab/>
      </w:r>
      <w:r w:rsidRPr="00631BFA">
        <w:rPr>
          <w:rFonts w:cs="Traditional Arabic"/>
          <w:spacing w:val="-4"/>
          <w:szCs w:val="28"/>
          <w:rtl/>
          <w:lang w:val="fr-CH"/>
        </w:rPr>
        <w:tab/>
      </w:r>
      <w:r w:rsidR="002844CB">
        <w:rPr>
          <w:rFonts w:cs="Traditional Arabic" w:hint="cs"/>
          <w:spacing w:val="-4"/>
          <w:szCs w:val="28"/>
          <w:rtl/>
          <w:lang w:val="fr-CH"/>
        </w:rPr>
        <w:t>70-80</w:t>
      </w:r>
      <w:r>
        <w:rPr>
          <w:rFonts w:cs="Traditional Arabic" w:hint="cs"/>
          <w:spacing w:val="-4"/>
          <w:szCs w:val="28"/>
          <w:rtl/>
          <w:lang w:val="fr-CH"/>
        </w:rPr>
        <w:tab/>
      </w:r>
      <w:r w:rsidR="00A97F91">
        <w:rPr>
          <w:rFonts w:cs="Traditional Arabic" w:hint="cs"/>
          <w:spacing w:val="-4"/>
          <w:szCs w:val="28"/>
          <w:rtl/>
          <w:lang w:val="fr-CH"/>
        </w:rPr>
        <w:t>320</w:t>
      </w:r>
    </w:p>
    <w:p w:rsidR="00631BFA" w:rsidRPr="001B47DC" w:rsidRDefault="00631BFA" w:rsidP="00631BFA">
      <w:pPr>
        <w:tabs>
          <w:tab w:val="right" w:pos="1021"/>
          <w:tab w:val="left" w:pos="1077"/>
          <w:tab w:val="left" w:pos="1525"/>
          <w:tab w:val="left" w:pos="1883"/>
          <w:tab w:val="left" w:pos="2206"/>
          <w:tab w:val="left" w:pos="2681"/>
          <w:tab w:val="left" w:leader="dot" w:pos="7469"/>
          <w:tab w:val="left" w:pos="7972"/>
          <w:tab w:val="right" w:pos="9638"/>
        </w:tabs>
        <w:bidi/>
        <w:spacing w:after="120" w:line="340" w:lineRule="exact"/>
        <w:rPr>
          <w:rFonts w:cs="Traditional Arabic" w:hint="cs"/>
          <w:szCs w:val="28"/>
          <w:rtl/>
          <w:lang w:val="fr-CH"/>
        </w:rPr>
      </w:pPr>
      <w:r w:rsidRPr="001B47DC">
        <w:rPr>
          <w:rFonts w:cs="Traditional Arabic" w:hint="cs"/>
          <w:szCs w:val="28"/>
          <w:rtl/>
          <w:lang w:val="fr-CH"/>
        </w:rPr>
        <w:tab/>
      </w:r>
      <w:r w:rsidRPr="001B47DC">
        <w:rPr>
          <w:rFonts w:cs="Traditional Arabic"/>
          <w:szCs w:val="28"/>
          <w:rtl/>
          <w:lang w:val="fr-CH"/>
        </w:rPr>
        <w:tab/>
      </w:r>
      <w:r w:rsidRPr="001B47DC">
        <w:rPr>
          <w:rFonts w:cs="Traditional Arabic" w:hint="cs"/>
          <w:szCs w:val="28"/>
          <w:rtl/>
          <w:lang w:val="fr-CH"/>
        </w:rPr>
        <w:tab/>
      </w:r>
      <w:r w:rsidRPr="001B47DC">
        <w:rPr>
          <w:rFonts w:cs="Traditional Arabic"/>
          <w:szCs w:val="28"/>
          <w:rtl/>
          <w:lang w:val="fr-CH"/>
        </w:rPr>
        <w:t>باء</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r>
      <w:r>
        <w:rPr>
          <w:rFonts w:cs="Traditional Arabic" w:hint="cs"/>
          <w:szCs w:val="28"/>
          <w:rtl/>
          <w:lang w:val="fr-CH"/>
        </w:rPr>
        <w:t xml:space="preserve">عدالة السكان الأصليين </w:t>
      </w:r>
      <w:r w:rsidRPr="001B47DC">
        <w:rPr>
          <w:rFonts w:cs="Traditional Arabic"/>
          <w:szCs w:val="28"/>
          <w:rtl/>
          <w:lang w:val="fr-CH"/>
        </w:rPr>
        <w:t>ومنع التعذيب</w:t>
      </w:r>
      <w:r w:rsidRPr="001B47DC">
        <w:rPr>
          <w:rFonts w:cs="Traditional Arabic"/>
          <w:szCs w:val="28"/>
          <w:rtl/>
          <w:lang w:val="fr-CH"/>
        </w:rPr>
        <w:tab/>
      </w:r>
      <w:r w:rsidRPr="001B47DC">
        <w:rPr>
          <w:rFonts w:cs="Traditional Arabic" w:hint="cs"/>
          <w:szCs w:val="28"/>
          <w:rtl/>
          <w:lang w:val="fr-CH"/>
        </w:rPr>
        <w:tab/>
      </w:r>
      <w:r w:rsidR="002844CB">
        <w:rPr>
          <w:rFonts w:cs="Traditional Arabic" w:hint="cs"/>
          <w:szCs w:val="28"/>
          <w:rtl/>
          <w:lang w:val="fr-CH"/>
        </w:rPr>
        <w:t>81-94</w:t>
      </w:r>
      <w:r>
        <w:rPr>
          <w:rFonts w:cs="Traditional Arabic" w:hint="cs"/>
          <w:szCs w:val="28"/>
          <w:rtl/>
          <w:lang w:val="fr-CH"/>
        </w:rPr>
        <w:tab/>
      </w:r>
      <w:r w:rsidR="007F2890">
        <w:rPr>
          <w:rFonts w:cs="Traditional Arabic" w:hint="cs"/>
          <w:szCs w:val="28"/>
          <w:rtl/>
          <w:lang w:val="fr-CH"/>
        </w:rPr>
        <w:t>323</w:t>
      </w:r>
    </w:p>
    <w:p w:rsidR="00631BFA" w:rsidRPr="001B47DC" w:rsidRDefault="00631BFA" w:rsidP="00631BFA">
      <w:pPr>
        <w:tabs>
          <w:tab w:val="right" w:pos="1021"/>
          <w:tab w:val="left" w:pos="1077"/>
          <w:tab w:val="left" w:pos="1525"/>
          <w:tab w:val="left" w:pos="1842"/>
          <w:tab w:val="left" w:pos="2206"/>
          <w:tab w:val="left" w:pos="2681"/>
          <w:tab w:val="left" w:leader="dot" w:pos="7469"/>
          <w:tab w:val="left" w:pos="7972"/>
          <w:tab w:val="right" w:pos="9638"/>
        </w:tabs>
        <w:bidi/>
        <w:spacing w:line="340" w:lineRule="exact"/>
        <w:rPr>
          <w:rFonts w:cs="Traditional Arabic" w:hint="cs"/>
          <w:szCs w:val="28"/>
          <w:rtl/>
          <w:lang w:val="fr-CH"/>
        </w:rPr>
      </w:pPr>
      <w:r w:rsidRPr="001B47DC">
        <w:rPr>
          <w:rFonts w:cs="Traditional Arabic" w:hint="cs"/>
          <w:szCs w:val="28"/>
          <w:rtl/>
          <w:lang w:val="fr-CH"/>
        </w:rPr>
        <w:tab/>
      </w:r>
      <w:r w:rsidRPr="001B47DC">
        <w:rPr>
          <w:rFonts w:cs="Traditional Arabic"/>
          <w:szCs w:val="28"/>
          <w:rtl/>
          <w:lang w:val="fr-CH"/>
        </w:rPr>
        <w:t>سادساً</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استشراف المستقبل</w:t>
      </w:r>
      <w:r w:rsidRPr="001B47DC">
        <w:rPr>
          <w:rFonts w:cs="Traditional Arabic"/>
          <w:szCs w:val="28"/>
          <w:rtl/>
          <w:lang w:val="fr-CH"/>
        </w:rPr>
        <w:tab/>
      </w:r>
      <w:r w:rsidRPr="001B47DC">
        <w:rPr>
          <w:rFonts w:cs="Traditional Arabic" w:hint="cs"/>
          <w:szCs w:val="28"/>
          <w:rtl/>
          <w:lang w:val="fr-CH"/>
        </w:rPr>
        <w:tab/>
      </w:r>
      <w:r w:rsidR="002844CB">
        <w:rPr>
          <w:rFonts w:cs="Traditional Arabic" w:hint="cs"/>
          <w:szCs w:val="28"/>
          <w:rtl/>
          <w:lang w:val="fr-CH"/>
        </w:rPr>
        <w:t>95-103</w:t>
      </w:r>
      <w:r>
        <w:rPr>
          <w:rFonts w:cs="Traditional Arabic" w:hint="cs"/>
          <w:szCs w:val="28"/>
          <w:rtl/>
          <w:lang w:val="fr-CH"/>
        </w:rPr>
        <w:tab/>
      </w:r>
      <w:r w:rsidR="007F2890">
        <w:rPr>
          <w:rFonts w:cs="Traditional Arabic" w:hint="cs"/>
          <w:szCs w:val="28"/>
          <w:rtl/>
          <w:lang w:val="fr-CH"/>
        </w:rPr>
        <w:t>326</w:t>
      </w:r>
    </w:p>
    <w:p w:rsidR="00631BFA" w:rsidRPr="001B47DC" w:rsidRDefault="00631BFA" w:rsidP="00631BFA">
      <w:pPr>
        <w:tabs>
          <w:tab w:val="right" w:pos="1021"/>
          <w:tab w:val="left" w:pos="1077"/>
          <w:tab w:val="left" w:pos="1525"/>
          <w:tab w:val="left" w:pos="1883"/>
          <w:tab w:val="left" w:pos="2206"/>
          <w:tab w:val="left" w:pos="2681"/>
          <w:tab w:val="left" w:leader="dot" w:pos="7469"/>
          <w:tab w:val="left" w:pos="7972"/>
          <w:tab w:val="right" w:pos="9638"/>
        </w:tabs>
        <w:bidi/>
        <w:spacing w:line="340" w:lineRule="exact"/>
        <w:rPr>
          <w:rFonts w:cs="Traditional Arabic" w:hint="cs"/>
          <w:szCs w:val="28"/>
          <w:rtl/>
          <w:lang w:val="fr-CH"/>
        </w:rPr>
      </w:pPr>
      <w:r w:rsidRPr="001B47DC">
        <w:rPr>
          <w:rFonts w:cs="Traditional Arabic" w:hint="cs"/>
          <w:szCs w:val="28"/>
          <w:rtl/>
          <w:lang w:val="fr-CH"/>
        </w:rPr>
        <w:tab/>
      </w:r>
      <w:r w:rsidRPr="001B47DC">
        <w:rPr>
          <w:rFonts w:cs="Traditional Arabic"/>
          <w:szCs w:val="28"/>
          <w:rtl/>
          <w:lang w:val="fr-CH"/>
        </w:rPr>
        <w:tab/>
      </w:r>
      <w:r w:rsidRPr="001B47DC">
        <w:rPr>
          <w:rFonts w:cs="Traditional Arabic" w:hint="cs"/>
          <w:szCs w:val="28"/>
          <w:rtl/>
          <w:lang w:val="fr-CH"/>
        </w:rPr>
        <w:tab/>
      </w:r>
      <w:r w:rsidRPr="001B47DC">
        <w:rPr>
          <w:rFonts w:cs="Traditional Arabic"/>
          <w:szCs w:val="28"/>
          <w:rtl/>
          <w:lang w:val="fr-CH"/>
        </w:rPr>
        <w:t>ألف</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t>خطة العمل لعام 201</w:t>
      </w:r>
      <w:r>
        <w:rPr>
          <w:rFonts w:cs="Traditional Arabic" w:hint="cs"/>
          <w:szCs w:val="28"/>
          <w:rtl/>
          <w:lang w:val="fr-CH"/>
        </w:rPr>
        <w:t>3</w:t>
      </w:r>
      <w:r w:rsidRPr="001B47DC">
        <w:rPr>
          <w:rFonts w:cs="Traditional Arabic"/>
          <w:szCs w:val="28"/>
          <w:rtl/>
          <w:lang w:val="fr-CH"/>
        </w:rPr>
        <w:tab/>
      </w:r>
      <w:r w:rsidRPr="001B47DC">
        <w:rPr>
          <w:rFonts w:cs="Traditional Arabic" w:hint="cs"/>
          <w:szCs w:val="28"/>
          <w:rtl/>
          <w:lang w:val="fr-CH"/>
        </w:rPr>
        <w:tab/>
      </w:r>
      <w:r w:rsidR="002844CB">
        <w:rPr>
          <w:rFonts w:cs="Traditional Arabic" w:hint="cs"/>
          <w:szCs w:val="28"/>
          <w:rtl/>
          <w:lang w:val="fr-CH"/>
        </w:rPr>
        <w:t>96-100</w:t>
      </w:r>
      <w:r>
        <w:rPr>
          <w:rFonts w:cs="Traditional Arabic" w:hint="cs"/>
          <w:szCs w:val="28"/>
          <w:rtl/>
          <w:lang w:val="fr-CH"/>
        </w:rPr>
        <w:tab/>
      </w:r>
      <w:r w:rsidR="007F2890">
        <w:rPr>
          <w:rFonts w:cs="Traditional Arabic" w:hint="cs"/>
          <w:szCs w:val="28"/>
          <w:rtl/>
          <w:lang w:val="fr-CH"/>
        </w:rPr>
        <w:t>326</w:t>
      </w:r>
    </w:p>
    <w:p w:rsidR="00631BFA" w:rsidRDefault="00631BFA" w:rsidP="00631BFA">
      <w:pPr>
        <w:tabs>
          <w:tab w:val="right" w:pos="1021"/>
          <w:tab w:val="left" w:pos="1077"/>
          <w:tab w:val="left" w:pos="1525"/>
          <w:tab w:val="left" w:pos="1883"/>
          <w:tab w:val="left" w:pos="2206"/>
          <w:tab w:val="left" w:pos="2681"/>
          <w:tab w:val="left" w:leader="dot" w:pos="7469"/>
          <w:tab w:val="left" w:pos="7972"/>
          <w:tab w:val="right" w:pos="9638"/>
        </w:tabs>
        <w:bidi/>
        <w:spacing w:line="340" w:lineRule="exact"/>
        <w:rPr>
          <w:rFonts w:hint="cs"/>
          <w:szCs w:val="28"/>
          <w:rtl/>
          <w:lang w:val="fr-CH"/>
        </w:rPr>
      </w:pPr>
      <w:r w:rsidRPr="001B47DC">
        <w:rPr>
          <w:rFonts w:cs="Traditional Arabic" w:hint="cs"/>
          <w:szCs w:val="28"/>
          <w:rtl/>
          <w:lang w:val="fr-CH"/>
        </w:rPr>
        <w:tab/>
      </w:r>
      <w:r w:rsidRPr="001B47DC">
        <w:rPr>
          <w:rFonts w:cs="Traditional Arabic"/>
          <w:szCs w:val="28"/>
          <w:rtl/>
          <w:lang w:val="fr-CH"/>
        </w:rPr>
        <w:tab/>
      </w:r>
      <w:r w:rsidRPr="001B47DC">
        <w:rPr>
          <w:rFonts w:cs="Traditional Arabic" w:hint="cs"/>
          <w:szCs w:val="28"/>
          <w:rtl/>
          <w:lang w:val="fr-CH"/>
        </w:rPr>
        <w:tab/>
      </w:r>
      <w:r w:rsidRPr="001B47DC">
        <w:rPr>
          <w:rFonts w:cs="Traditional Arabic"/>
          <w:szCs w:val="28"/>
          <w:rtl/>
          <w:lang w:val="fr-CH"/>
        </w:rPr>
        <w:t>باء</w:t>
      </w:r>
      <w:r w:rsidRPr="001B47DC">
        <w:rPr>
          <w:rFonts w:cs="Traditional Arabic" w:hint="cs"/>
          <w:szCs w:val="28"/>
          <w:rtl/>
          <w:lang w:val="fr-CH"/>
        </w:rPr>
        <w:tab/>
      </w:r>
      <w:r w:rsidRPr="001B47DC">
        <w:rPr>
          <w:rFonts w:cs="Traditional Arabic"/>
          <w:szCs w:val="28"/>
          <w:rtl/>
          <w:lang w:val="fr-CH"/>
        </w:rPr>
        <w:t>-</w:t>
      </w:r>
      <w:r w:rsidRPr="001B47DC">
        <w:rPr>
          <w:rFonts w:cs="Traditional Arabic"/>
          <w:szCs w:val="28"/>
          <w:rtl/>
          <w:lang w:val="fr-CH"/>
        </w:rPr>
        <w:tab/>
      </w:r>
      <w:r w:rsidRPr="00BA3826">
        <w:rPr>
          <w:rFonts w:cs="Traditional Arabic" w:hint="cs"/>
          <w:szCs w:val="28"/>
          <w:rtl/>
          <w:lang w:val="fr-CH"/>
        </w:rPr>
        <w:t>إرساء أسس النمو والتطور في المستقبل</w:t>
      </w:r>
      <w:r w:rsidRPr="001B47DC">
        <w:rPr>
          <w:rFonts w:cs="Traditional Arabic"/>
          <w:szCs w:val="28"/>
          <w:rtl/>
          <w:lang w:val="fr-CH"/>
        </w:rPr>
        <w:tab/>
      </w:r>
      <w:r>
        <w:rPr>
          <w:rFonts w:cs="Traditional Arabic" w:hint="cs"/>
          <w:szCs w:val="28"/>
          <w:rtl/>
          <w:lang w:val="fr-CH"/>
        </w:rPr>
        <w:tab/>
      </w:r>
      <w:r w:rsidR="002844CB">
        <w:rPr>
          <w:rFonts w:cs="Traditional Arabic" w:hint="cs"/>
          <w:szCs w:val="28"/>
          <w:rtl/>
          <w:lang w:val="fr-CH"/>
        </w:rPr>
        <w:t>101-103</w:t>
      </w:r>
      <w:r>
        <w:rPr>
          <w:rFonts w:cs="Traditional Arabic" w:hint="cs"/>
          <w:szCs w:val="28"/>
          <w:rtl/>
          <w:lang w:val="fr-CH"/>
        </w:rPr>
        <w:tab/>
      </w:r>
      <w:r w:rsidR="007F2890">
        <w:rPr>
          <w:rFonts w:cs="Traditional Arabic" w:hint="cs"/>
          <w:szCs w:val="28"/>
          <w:rtl/>
          <w:lang w:val="fr-CH"/>
        </w:rPr>
        <w:t>327</w:t>
      </w:r>
    </w:p>
    <w:p w:rsidR="00631BFA" w:rsidRPr="001B47DC" w:rsidRDefault="00631BFA" w:rsidP="00631BFA">
      <w:pPr>
        <w:pStyle w:val="HChGA"/>
        <w:spacing w:before="120"/>
        <w:rPr>
          <w:rFonts w:hint="cs"/>
          <w:rtl/>
          <w:lang w:val="fr-CH"/>
        </w:rPr>
      </w:pPr>
      <w:r>
        <w:rPr>
          <w:szCs w:val="28"/>
          <w:rtl/>
          <w:lang w:val="fr-CH"/>
        </w:rPr>
        <w:br w:type="page"/>
      </w:r>
      <w:bookmarkStart w:id="2" w:name="_Toc322593339"/>
      <w:r w:rsidRPr="001B47DC">
        <w:rPr>
          <w:rFonts w:hint="cs"/>
          <w:rtl/>
          <w:lang w:val="fr-CH"/>
        </w:rPr>
        <w:tab/>
        <w:t>أولاً-</w:t>
      </w:r>
      <w:r w:rsidRPr="001B47DC">
        <w:rPr>
          <w:rFonts w:hint="cs"/>
          <w:rtl/>
          <w:lang w:val="fr-CH"/>
        </w:rPr>
        <w:tab/>
        <w:t>مقدمة</w:t>
      </w:r>
      <w:bookmarkEnd w:id="2"/>
    </w:p>
    <w:p w:rsidR="00631BFA" w:rsidRPr="00BB5EF0" w:rsidRDefault="00631BFA" w:rsidP="00631BFA">
      <w:pPr>
        <w:pStyle w:val="SingleTxtGA"/>
        <w:rPr>
          <w:rtl/>
          <w:lang w:val="fr-CH"/>
        </w:rPr>
      </w:pPr>
      <w:r w:rsidRPr="00BB5EF0">
        <w:rPr>
          <w:rtl/>
          <w:lang w:val="fr-CH"/>
        </w:rPr>
        <w:t>1-</w:t>
      </w:r>
      <w:r w:rsidRPr="00BB5EF0">
        <w:rPr>
          <w:rtl/>
          <w:lang w:val="fr-CH"/>
        </w:rPr>
        <w:tab/>
      </w:r>
      <w:r w:rsidRPr="00BB5EF0">
        <w:rPr>
          <w:rFonts w:hint="cs"/>
          <w:rtl/>
          <w:lang w:val="fr-CH"/>
        </w:rPr>
        <w:t>يتزامن</w:t>
      </w:r>
      <w:r w:rsidRPr="00BB5EF0">
        <w:rPr>
          <w:rtl/>
          <w:lang w:val="fr-CH"/>
        </w:rPr>
        <w:t xml:space="preserve"> هذا التقرير السنوي السادس، المقدم عملاً بالفقرة</w:t>
      </w:r>
      <w:r w:rsidRPr="00BB5EF0">
        <w:rPr>
          <w:rFonts w:hint="cs"/>
          <w:rtl/>
          <w:lang w:val="fr-CH"/>
        </w:rPr>
        <w:t xml:space="preserve"> 3 من</w:t>
      </w:r>
      <w:r w:rsidRPr="00BB5EF0">
        <w:rPr>
          <w:rtl/>
          <w:lang w:val="fr-CH"/>
        </w:rPr>
        <w:t xml:space="preserve"> المادة</w:t>
      </w:r>
      <w:r w:rsidRPr="00BB5EF0">
        <w:rPr>
          <w:rFonts w:hint="cs"/>
          <w:rtl/>
          <w:lang w:val="fr-CH"/>
        </w:rPr>
        <w:t xml:space="preserve"> </w:t>
      </w:r>
      <w:r w:rsidRPr="00BB5EF0">
        <w:rPr>
          <w:rtl/>
          <w:lang w:val="fr-CH"/>
        </w:rPr>
        <w:t>16</w:t>
      </w:r>
      <w:r w:rsidRPr="00BB5EF0">
        <w:rPr>
          <w:rFonts w:hint="cs"/>
          <w:rtl/>
          <w:lang w:val="fr-CH"/>
        </w:rPr>
        <w:t xml:space="preserve"> </w:t>
      </w:r>
      <w:r w:rsidRPr="00BB5EF0">
        <w:rPr>
          <w:rtl/>
          <w:lang w:val="fr-CH"/>
        </w:rPr>
        <w:t>من البرتوكول الاختياري،</w:t>
      </w:r>
      <w:r w:rsidRPr="00BB5EF0">
        <w:rPr>
          <w:rFonts w:hint="cs"/>
          <w:rtl/>
          <w:lang w:val="fr-CH"/>
        </w:rPr>
        <w:t xml:space="preserve"> مع</w:t>
      </w:r>
      <w:r w:rsidRPr="00BB5EF0">
        <w:rPr>
          <w:rtl/>
          <w:lang w:val="fr-CH"/>
        </w:rPr>
        <w:t xml:space="preserve"> نهاية ما يمكن تسميته "المرحلة التأسيسية" للجنة الفرعية لمنع التعذيب وغيره من ضروب المعاملة أو العقوبة القاسية أو اللاإنسانية أو المهينة (اللجنة الفرعية). وكما</w:t>
      </w:r>
      <w:r w:rsidRPr="00BB5EF0">
        <w:rPr>
          <w:rFonts w:hint="cs"/>
          <w:rtl/>
          <w:lang w:val="fr-CH"/>
        </w:rPr>
        <w:t> </w:t>
      </w:r>
      <w:r w:rsidRPr="00BB5EF0">
        <w:rPr>
          <w:rtl/>
          <w:lang w:val="fr-CH"/>
        </w:rPr>
        <w:t>سيتم تناوله أدناه، تنحى خمسة أعضاء مؤسسين من ال</w:t>
      </w:r>
      <w:r w:rsidRPr="00BB5EF0">
        <w:rPr>
          <w:rFonts w:hint="cs"/>
          <w:rtl/>
          <w:lang w:val="fr-CH"/>
        </w:rPr>
        <w:t>ل</w:t>
      </w:r>
      <w:r w:rsidRPr="00BB5EF0">
        <w:rPr>
          <w:rtl/>
          <w:lang w:val="fr-CH"/>
        </w:rPr>
        <w:t>جنة في نهاية عام</w:t>
      </w:r>
      <w:r>
        <w:rPr>
          <w:rFonts w:hint="cs"/>
          <w:rtl/>
          <w:lang w:val="fr-CH"/>
        </w:rPr>
        <w:t> </w:t>
      </w:r>
      <w:r w:rsidRPr="00BB5EF0">
        <w:rPr>
          <w:rtl/>
          <w:lang w:val="fr-CH"/>
        </w:rPr>
        <w:t xml:space="preserve">2012، </w:t>
      </w:r>
      <w:r>
        <w:rPr>
          <w:rFonts w:hint="cs"/>
          <w:rtl/>
          <w:lang w:val="fr-CH"/>
        </w:rPr>
        <w:t>وانطلقت بذلك</w:t>
      </w:r>
      <w:r w:rsidRPr="00BB5EF0">
        <w:rPr>
          <w:rtl/>
          <w:lang w:val="fr-CH"/>
        </w:rPr>
        <w:t xml:space="preserve"> دورة تجدد أعضاء اللجنة الفرعية لكل ستة أشهر. وسعت اللجنة الفرعية</w:t>
      </w:r>
      <w:r w:rsidRPr="00BB5EF0">
        <w:rPr>
          <w:rFonts w:hint="cs"/>
          <w:rtl/>
          <w:lang w:val="fr-CH"/>
        </w:rPr>
        <w:t>،</w:t>
      </w:r>
      <w:r w:rsidRPr="00BB5EF0">
        <w:rPr>
          <w:rtl/>
          <w:lang w:val="fr-CH"/>
        </w:rPr>
        <w:t xml:space="preserve"> خلال الفترة المشمولة بالتقرير (من كانون الثاني/</w:t>
      </w:r>
      <w:r w:rsidRPr="00BB5EF0">
        <w:rPr>
          <w:rFonts w:hint="cs"/>
          <w:rtl/>
          <w:lang w:val="fr-CH"/>
        </w:rPr>
        <w:t>ي</w:t>
      </w:r>
      <w:r w:rsidRPr="00BB5EF0">
        <w:rPr>
          <w:rtl/>
          <w:lang w:val="fr-CH"/>
        </w:rPr>
        <w:t>ناير إلى كانون الأول</w:t>
      </w:r>
      <w:r w:rsidRPr="00BB5EF0">
        <w:rPr>
          <w:rFonts w:hint="cs"/>
          <w:rtl/>
          <w:lang w:val="fr-CH"/>
        </w:rPr>
        <w:t>/</w:t>
      </w:r>
      <w:r w:rsidRPr="00BB5EF0">
        <w:rPr>
          <w:rtl/>
          <w:lang w:val="fr-CH"/>
        </w:rPr>
        <w:t>ديسمبر 2012)</w:t>
      </w:r>
      <w:r w:rsidRPr="00BB5EF0">
        <w:rPr>
          <w:rFonts w:hint="cs"/>
          <w:rtl/>
          <w:lang w:val="fr-CH"/>
        </w:rPr>
        <w:t>،</w:t>
      </w:r>
      <w:r w:rsidRPr="00BB5EF0">
        <w:rPr>
          <w:rtl/>
          <w:lang w:val="fr-CH"/>
        </w:rPr>
        <w:t xml:space="preserve"> إلى الاستعداد لذلك بالاستفادة من الخبرة </w:t>
      </w:r>
      <w:r>
        <w:rPr>
          <w:rFonts w:hint="cs"/>
          <w:rtl/>
          <w:lang w:val="fr-CH"/>
        </w:rPr>
        <w:t>الواسعة التي اكتسبتها</w:t>
      </w:r>
      <w:r w:rsidRPr="00BB5EF0">
        <w:rPr>
          <w:rtl/>
          <w:lang w:val="fr-CH"/>
        </w:rPr>
        <w:t xml:space="preserve"> </w:t>
      </w:r>
      <w:r>
        <w:rPr>
          <w:rFonts w:hint="cs"/>
          <w:rtl/>
          <w:lang w:val="fr-CH"/>
        </w:rPr>
        <w:t>والتفكير</w:t>
      </w:r>
      <w:r w:rsidRPr="00BB5EF0">
        <w:rPr>
          <w:rFonts w:hint="cs"/>
          <w:rtl/>
          <w:lang w:val="fr-CH"/>
        </w:rPr>
        <w:t xml:space="preserve"> في الأمور التي عملت </w:t>
      </w:r>
      <w:r w:rsidRPr="00BB5EF0">
        <w:rPr>
          <w:rtl/>
          <w:lang w:val="fr-CH"/>
        </w:rPr>
        <w:t>بنجاح والسعي لإدراجه</w:t>
      </w:r>
      <w:r w:rsidRPr="00BB5EF0">
        <w:rPr>
          <w:rFonts w:hint="cs"/>
          <w:rtl/>
          <w:lang w:val="fr-CH"/>
        </w:rPr>
        <w:t>ا</w:t>
      </w:r>
      <w:r w:rsidRPr="00BB5EF0">
        <w:rPr>
          <w:rtl/>
          <w:lang w:val="fr-CH"/>
        </w:rPr>
        <w:t xml:space="preserve"> في ممارسات عملها. وفي الوقت ذاته، </w:t>
      </w:r>
      <w:r>
        <w:rPr>
          <w:rFonts w:hint="cs"/>
          <w:rtl/>
          <w:lang w:val="fr-CH"/>
        </w:rPr>
        <w:t>استمرت</w:t>
      </w:r>
      <w:r w:rsidRPr="00BB5EF0">
        <w:rPr>
          <w:rtl/>
          <w:lang w:val="fr-CH"/>
        </w:rPr>
        <w:t xml:space="preserve"> اللجنة الفرعية </w:t>
      </w:r>
      <w:r>
        <w:rPr>
          <w:rFonts w:hint="cs"/>
          <w:rtl/>
          <w:lang w:val="fr-CH"/>
        </w:rPr>
        <w:t xml:space="preserve">في تطوير </w:t>
      </w:r>
      <w:r w:rsidRPr="00BB5EF0">
        <w:rPr>
          <w:rtl/>
          <w:lang w:val="fr-CH"/>
        </w:rPr>
        <w:t>أساليبها، بما يعكس تغير أنماط التطلعات المتعلقة ببرنامج زيار</w:t>
      </w:r>
      <w:r w:rsidRPr="00BB5EF0">
        <w:rPr>
          <w:rFonts w:hint="cs"/>
          <w:rtl/>
          <w:lang w:val="fr-CH"/>
        </w:rPr>
        <w:t>ا</w:t>
      </w:r>
      <w:r w:rsidRPr="00BB5EF0">
        <w:rPr>
          <w:rtl/>
          <w:lang w:val="fr-CH"/>
        </w:rPr>
        <w:t>تها والعمل مع الآليات الوقائية الوطنية والدول الأطراف و</w:t>
      </w:r>
      <w:r w:rsidRPr="00BB5EF0">
        <w:rPr>
          <w:rFonts w:hint="cs"/>
          <w:rtl/>
          <w:lang w:val="fr-CH"/>
        </w:rPr>
        <w:t xml:space="preserve">توسيع التزامها </w:t>
      </w:r>
      <w:r w:rsidRPr="00BB5EF0">
        <w:rPr>
          <w:rtl/>
          <w:lang w:val="fr-CH"/>
        </w:rPr>
        <w:t xml:space="preserve">ضمن إطار الأمم المتحدة ومع المنظمات الدولية والنظم الإقليمية الأخرى. وترد تفاصيل ذلك في هذا التقرير، بيد أنه يمكن الحصول على المزيد من المعلومات على الموقع الشبكي للجنة الفرعية </w:t>
      </w:r>
      <w:r w:rsidRPr="00BB5EF0">
        <w:t>(http://www2.ohchr.org/english/bodies/cat/opcat/index.htm)</w:t>
      </w:r>
      <w:r w:rsidRPr="00BB5EF0">
        <w:rPr>
          <w:rtl/>
        </w:rPr>
        <w:t>.</w:t>
      </w:r>
    </w:p>
    <w:p w:rsidR="00631BFA" w:rsidRPr="0013373A" w:rsidRDefault="00631BFA" w:rsidP="00631BFA">
      <w:pPr>
        <w:pStyle w:val="SingleTxtGA"/>
        <w:rPr>
          <w:rtl/>
        </w:rPr>
      </w:pPr>
      <w:r w:rsidRPr="0013373A">
        <w:rPr>
          <w:rtl/>
          <w:lang w:val="fr-CH"/>
        </w:rPr>
        <w:t>2-</w:t>
      </w:r>
      <w:r w:rsidRPr="0013373A">
        <w:rPr>
          <w:rtl/>
          <w:lang w:val="fr-CH"/>
        </w:rPr>
        <w:tab/>
        <w:t xml:space="preserve">ورغم </w:t>
      </w:r>
      <w:r>
        <w:rPr>
          <w:rFonts w:hint="cs"/>
          <w:rtl/>
          <w:lang w:val="fr-CH"/>
        </w:rPr>
        <w:t>أن اللجنة الفرعية استكملت</w:t>
      </w:r>
      <w:r w:rsidRPr="0013373A">
        <w:rPr>
          <w:rtl/>
          <w:lang w:val="fr-CH"/>
        </w:rPr>
        <w:t xml:space="preserve"> إرساء النمط الأساسي لعملها</w:t>
      </w:r>
      <w:r>
        <w:rPr>
          <w:rFonts w:hint="cs"/>
          <w:rtl/>
          <w:lang w:val="fr-CH"/>
        </w:rPr>
        <w:t>،</w:t>
      </w:r>
      <w:r w:rsidRPr="0013373A">
        <w:rPr>
          <w:rtl/>
          <w:lang w:val="fr-CH"/>
        </w:rPr>
        <w:t xml:space="preserve"> </w:t>
      </w:r>
      <w:r>
        <w:rPr>
          <w:rFonts w:hint="cs"/>
          <w:rtl/>
          <w:lang w:val="fr-CH"/>
        </w:rPr>
        <w:t>فإنها ما</w:t>
      </w:r>
      <w:r>
        <w:rPr>
          <w:rFonts w:hint="eastAsia"/>
          <w:rtl/>
          <w:lang w:val="fr-CH"/>
        </w:rPr>
        <w:t> </w:t>
      </w:r>
      <w:r>
        <w:rPr>
          <w:rFonts w:hint="cs"/>
          <w:rtl/>
          <w:lang w:val="fr-CH"/>
        </w:rPr>
        <w:t xml:space="preserve">زالت تتطور. </w:t>
      </w:r>
      <w:r>
        <w:rPr>
          <w:rtl/>
          <w:lang w:val="fr-CH"/>
        </w:rPr>
        <w:t>وكما يُ</w:t>
      </w:r>
      <w:r>
        <w:rPr>
          <w:rFonts w:hint="cs"/>
          <w:rtl/>
          <w:lang w:val="fr-CH"/>
        </w:rPr>
        <w:t>وضحه</w:t>
      </w:r>
      <w:r w:rsidRPr="0013373A">
        <w:rPr>
          <w:rtl/>
          <w:lang w:val="fr-CH"/>
        </w:rPr>
        <w:t xml:space="preserve"> هذا التقرير، شملت أهم التطورات هذا العام زيادة في عدد الزيارات التي اضطلعت بها اللجنة الفرعية وبدء الزيارات الاستشارية للآليات الوقائية الوطنية وتقديم الصندوق الخاص لأول </w:t>
      </w:r>
      <w:r>
        <w:rPr>
          <w:rFonts w:hint="cs"/>
          <w:rtl/>
          <w:lang w:val="fr-CH"/>
        </w:rPr>
        <w:t>المِنَح</w:t>
      </w:r>
      <w:r w:rsidRPr="0013373A">
        <w:rPr>
          <w:rtl/>
          <w:lang w:val="fr-CH"/>
        </w:rPr>
        <w:t xml:space="preserve"> و</w:t>
      </w:r>
      <w:r>
        <w:rPr>
          <w:rFonts w:hint="cs"/>
          <w:rtl/>
          <w:lang w:val="fr-CH"/>
        </w:rPr>
        <w:t xml:space="preserve">استعانة </w:t>
      </w:r>
      <w:r w:rsidRPr="0013373A">
        <w:rPr>
          <w:rtl/>
          <w:lang w:val="fr-CH"/>
        </w:rPr>
        <w:t xml:space="preserve">اللجنة الفرعية </w:t>
      </w:r>
      <w:r>
        <w:rPr>
          <w:rFonts w:hint="cs"/>
          <w:rtl/>
          <w:lang w:val="fr-CH"/>
        </w:rPr>
        <w:t xml:space="preserve">على نحو مكثف بأفرقة </w:t>
      </w:r>
      <w:r w:rsidRPr="0013373A">
        <w:rPr>
          <w:rtl/>
          <w:lang w:val="fr-CH"/>
        </w:rPr>
        <w:t xml:space="preserve">العمل </w:t>
      </w:r>
      <w:r>
        <w:rPr>
          <w:rtl/>
          <w:lang w:val="fr-CH"/>
        </w:rPr>
        <w:t>وفرق</w:t>
      </w:r>
      <w:r>
        <w:rPr>
          <w:rFonts w:hint="cs"/>
          <w:rtl/>
          <w:lang w:val="fr-CH"/>
        </w:rPr>
        <w:t xml:space="preserve"> </w:t>
      </w:r>
      <w:r w:rsidRPr="0013373A">
        <w:rPr>
          <w:rtl/>
          <w:lang w:val="fr-CH"/>
        </w:rPr>
        <w:t xml:space="preserve">العمل </w:t>
      </w:r>
      <w:r>
        <w:rPr>
          <w:rFonts w:hint="cs"/>
          <w:rtl/>
          <w:lang w:val="fr-CH"/>
        </w:rPr>
        <w:t>المعنية با</w:t>
      </w:r>
      <w:r w:rsidRPr="0013373A">
        <w:rPr>
          <w:rtl/>
          <w:lang w:val="fr-CH"/>
        </w:rPr>
        <w:t>لآليات الوقائي</w:t>
      </w:r>
      <w:r>
        <w:rPr>
          <w:rtl/>
          <w:lang w:val="fr-CH"/>
        </w:rPr>
        <w:t xml:space="preserve">ة الوطنية الإقليمية في إدارة </w:t>
      </w:r>
      <w:r>
        <w:rPr>
          <w:rFonts w:hint="cs"/>
          <w:rtl/>
          <w:lang w:val="fr-CH"/>
        </w:rPr>
        <w:t>عملها</w:t>
      </w:r>
      <w:r w:rsidRPr="0013373A">
        <w:rPr>
          <w:rtl/>
          <w:lang w:val="fr-CH"/>
        </w:rPr>
        <w:t xml:space="preserve">. </w:t>
      </w:r>
      <w:r>
        <w:rPr>
          <w:rFonts w:hint="cs"/>
          <w:rtl/>
          <w:lang w:val="fr-CH"/>
        </w:rPr>
        <w:t>ومن التطورات التي لم تُسلَّط عليها الأضواء كثيرا</w:t>
      </w:r>
      <w:r w:rsidRPr="0013373A">
        <w:rPr>
          <w:rtl/>
          <w:lang w:val="fr-CH"/>
        </w:rPr>
        <w:t>، لكن</w:t>
      </w:r>
      <w:r>
        <w:rPr>
          <w:rFonts w:hint="cs"/>
          <w:rtl/>
          <w:lang w:val="fr-CH"/>
        </w:rPr>
        <w:t>ها</w:t>
      </w:r>
      <w:r w:rsidRPr="0013373A">
        <w:rPr>
          <w:rtl/>
          <w:lang w:val="fr-CH"/>
        </w:rPr>
        <w:t xml:space="preserve"> </w:t>
      </w:r>
      <w:r>
        <w:rPr>
          <w:rFonts w:hint="cs"/>
          <w:rtl/>
          <w:lang w:val="fr-CH"/>
        </w:rPr>
        <w:t xml:space="preserve">لا تقل </w:t>
      </w:r>
      <w:r w:rsidRPr="0013373A">
        <w:rPr>
          <w:rtl/>
          <w:lang w:val="fr-CH"/>
        </w:rPr>
        <w:t>أهمية، ارت</w:t>
      </w:r>
      <w:r>
        <w:rPr>
          <w:rFonts w:hint="cs"/>
          <w:rtl/>
          <w:lang w:val="fr-CH"/>
        </w:rPr>
        <w:t>فاع</w:t>
      </w:r>
      <w:r w:rsidRPr="0013373A">
        <w:rPr>
          <w:rtl/>
          <w:lang w:val="fr-CH"/>
        </w:rPr>
        <w:t xml:space="preserve"> عدد الردود على تقارير الزيارات الواردة من الدول الأطراف، مما </w:t>
      </w:r>
      <w:r>
        <w:rPr>
          <w:rFonts w:hint="cs"/>
          <w:rtl/>
          <w:lang w:val="fr-CH"/>
        </w:rPr>
        <w:t>أدى إلى زيادة عدد ال</w:t>
      </w:r>
      <w:r w:rsidRPr="0013373A">
        <w:rPr>
          <w:rtl/>
          <w:lang w:val="fr-CH"/>
        </w:rPr>
        <w:t xml:space="preserve">استجابات </w:t>
      </w:r>
      <w:r>
        <w:rPr>
          <w:rFonts w:hint="cs"/>
          <w:rtl/>
          <w:lang w:val="fr-CH"/>
        </w:rPr>
        <w:t xml:space="preserve">التي قدمتها </w:t>
      </w:r>
      <w:r w:rsidRPr="0013373A">
        <w:rPr>
          <w:rtl/>
          <w:lang w:val="fr-CH"/>
        </w:rPr>
        <w:t>اللجنة الفرعية في سياق الحوار الجاري.</w:t>
      </w:r>
    </w:p>
    <w:p w:rsidR="00631BFA" w:rsidRPr="00631BFA" w:rsidRDefault="00631BFA" w:rsidP="00631BFA">
      <w:pPr>
        <w:pStyle w:val="SingleTxtGA"/>
        <w:rPr>
          <w:rFonts w:hint="cs"/>
          <w:rtl/>
        </w:rPr>
      </w:pPr>
      <w:r w:rsidRPr="00631BFA">
        <w:rPr>
          <w:rtl/>
        </w:rPr>
        <w:t>3-</w:t>
      </w:r>
      <w:r w:rsidRPr="00631BFA">
        <w:rPr>
          <w:rtl/>
        </w:rPr>
        <w:tab/>
        <w:t xml:space="preserve">وتعتزم اللجنة الفرعية </w:t>
      </w:r>
      <w:r w:rsidRPr="00631BFA">
        <w:rPr>
          <w:rFonts w:hint="cs"/>
          <w:rtl/>
        </w:rPr>
        <w:t>مواصلة</w:t>
      </w:r>
      <w:r w:rsidRPr="00631BFA">
        <w:rPr>
          <w:rtl/>
        </w:rPr>
        <w:t xml:space="preserve"> توسيع نطاق عملها من أجل تنفيذ مهام </w:t>
      </w:r>
      <w:r w:rsidRPr="00631BFA">
        <w:rPr>
          <w:rFonts w:hint="cs"/>
          <w:rtl/>
        </w:rPr>
        <w:t>ال</w:t>
      </w:r>
      <w:r w:rsidRPr="00631BFA">
        <w:rPr>
          <w:rtl/>
        </w:rPr>
        <w:t>ولاي</w:t>
      </w:r>
      <w:r w:rsidRPr="00631BFA">
        <w:rPr>
          <w:rFonts w:hint="cs"/>
          <w:rtl/>
        </w:rPr>
        <w:t>ة الموكلة إليها</w:t>
      </w:r>
      <w:r w:rsidRPr="00631BFA">
        <w:rPr>
          <w:rtl/>
        </w:rPr>
        <w:t xml:space="preserve"> على أفضل نحو ممكن، </w:t>
      </w:r>
      <w:r w:rsidRPr="00631BFA">
        <w:rPr>
          <w:rFonts w:hint="cs"/>
          <w:rtl/>
        </w:rPr>
        <w:t xml:space="preserve">اقتناعاً </w:t>
      </w:r>
      <w:r w:rsidRPr="00631BFA">
        <w:rPr>
          <w:rtl/>
        </w:rPr>
        <w:t xml:space="preserve">منها </w:t>
      </w:r>
      <w:r w:rsidRPr="00631BFA">
        <w:rPr>
          <w:rFonts w:hint="cs"/>
          <w:rtl/>
        </w:rPr>
        <w:t>ب</w:t>
      </w:r>
      <w:r w:rsidRPr="00631BFA">
        <w:rPr>
          <w:rtl/>
        </w:rPr>
        <w:t>أن البر</w:t>
      </w:r>
      <w:r w:rsidRPr="00631BFA">
        <w:rPr>
          <w:rFonts w:hint="cs"/>
          <w:rtl/>
        </w:rPr>
        <w:t>و</w:t>
      </w:r>
      <w:r w:rsidRPr="00631BFA">
        <w:rPr>
          <w:rtl/>
        </w:rPr>
        <w:t>توكول الاختياري يمنح فرصاً لا نظير لها من أجل المنع الفعال للتعذيب والمعاملة أو العقوبة القاسية أو اللاإنسا</w:t>
      </w:r>
      <w:r w:rsidRPr="00631BFA">
        <w:rPr>
          <w:rFonts w:hint="cs"/>
          <w:rtl/>
        </w:rPr>
        <w:t>ن</w:t>
      </w:r>
      <w:r w:rsidRPr="00631BFA">
        <w:rPr>
          <w:rtl/>
        </w:rPr>
        <w:t>ية أو المهينة. غير أن، تفاقم عبء العمل بدون انقطاع يعني أن الأعضاء يحتاجون إلى المشاركة باستمرار في الأنشطة المتصلة باللجنة الفرعية وأن أمانة اللجنة الفرعية تعمل تحت وطأة مستويات ضغط متزايدة بشكل غير معقول بل ودائم. وبينما ت</w:t>
      </w:r>
      <w:r w:rsidRPr="00631BFA">
        <w:rPr>
          <w:rFonts w:hint="cs"/>
          <w:rtl/>
        </w:rPr>
        <w:t>ُ</w:t>
      </w:r>
      <w:r w:rsidRPr="00631BFA">
        <w:rPr>
          <w:rtl/>
        </w:rPr>
        <w:t xml:space="preserve">قدر اللجنة الفرعية حق التقدير العمل الذي </w:t>
      </w:r>
      <w:r w:rsidRPr="00631BFA">
        <w:rPr>
          <w:rFonts w:hint="cs"/>
          <w:rtl/>
        </w:rPr>
        <w:t>تضطلع به</w:t>
      </w:r>
      <w:r w:rsidRPr="00631BFA">
        <w:rPr>
          <w:rtl/>
        </w:rPr>
        <w:t xml:space="preserve"> مفوض</w:t>
      </w:r>
      <w:r w:rsidRPr="00631BFA">
        <w:rPr>
          <w:rFonts w:hint="cs"/>
          <w:rtl/>
        </w:rPr>
        <w:t>ية</w:t>
      </w:r>
      <w:r w:rsidRPr="00631BFA">
        <w:rPr>
          <w:rtl/>
        </w:rPr>
        <w:t xml:space="preserve"> الأمم المتحدة السامي</w:t>
      </w:r>
      <w:r w:rsidRPr="00631BFA">
        <w:rPr>
          <w:rFonts w:hint="cs"/>
          <w:rtl/>
        </w:rPr>
        <w:t>ة</w:t>
      </w:r>
      <w:r w:rsidRPr="00631BFA">
        <w:rPr>
          <w:rtl/>
        </w:rPr>
        <w:t xml:space="preserve"> لحقوق الإنسان الرامي إلى دعم عملها إلى أقصى حدود الموارد المتاحة، </w:t>
      </w:r>
      <w:r w:rsidRPr="00631BFA">
        <w:rPr>
          <w:rFonts w:hint="cs"/>
          <w:rtl/>
        </w:rPr>
        <w:t>فإنها ما فتئت تشعر بالقلق لأنها لم تتمكن من الاستفادة إلى أقصى حد من فرص</w:t>
      </w:r>
      <w:r w:rsidRPr="00631BFA">
        <w:rPr>
          <w:rtl/>
        </w:rPr>
        <w:t xml:space="preserve"> </w:t>
      </w:r>
      <w:r w:rsidRPr="00631BFA">
        <w:rPr>
          <w:rFonts w:hint="cs"/>
          <w:rtl/>
        </w:rPr>
        <w:t xml:space="preserve">منع التعذيب </w:t>
      </w:r>
      <w:r w:rsidRPr="00631BFA">
        <w:rPr>
          <w:rtl/>
        </w:rPr>
        <w:t xml:space="preserve">التي </w:t>
      </w:r>
      <w:r w:rsidRPr="00631BFA">
        <w:rPr>
          <w:rFonts w:hint="cs"/>
          <w:rtl/>
        </w:rPr>
        <w:t>يتيحها</w:t>
      </w:r>
      <w:r w:rsidRPr="00631BFA">
        <w:rPr>
          <w:rtl/>
        </w:rPr>
        <w:t xml:space="preserve"> البروتوكول الاختياري </w:t>
      </w:r>
      <w:r w:rsidRPr="00631BFA">
        <w:rPr>
          <w:rFonts w:hint="cs"/>
          <w:rtl/>
        </w:rPr>
        <w:t>نتيجة ل</w:t>
      </w:r>
      <w:r w:rsidRPr="00631BFA">
        <w:rPr>
          <w:rtl/>
        </w:rPr>
        <w:t>لقيود العملية التي تعمل</w:t>
      </w:r>
      <w:r w:rsidRPr="00631BFA">
        <w:rPr>
          <w:rFonts w:hint="cs"/>
          <w:rtl/>
        </w:rPr>
        <w:t xml:space="preserve"> في</w:t>
      </w:r>
      <w:r>
        <w:rPr>
          <w:rFonts w:hint="eastAsia"/>
          <w:rtl/>
        </w:rPr>
        <w:t> </w:t>
      </w:r>
      <w:r w:rsidRPr="00631BFA">
        <w:rPr>
          <w:rFonts w:hint="cs"/>
          <w:rtl/>
        </w:rPr>
        <w:t>ظلّها.</w:t>
      </w:r>
    </w:p>
    <w:p w:rsidR="00631BFA" w:rsidRPr="0013373A" w:rsidRDefault="00631BFA" w:rsidP="00631BFA">
      <w:pPr>
        <w:pStyle w:val="HChGA"/>
        <w:spacing w:before="120"/>
        <w:rPr>
          <w:rtl/>
        </w:rPr>
      </w:pPr>
      <w:r w:rsidRPr="001B47DC">
        <w:rPr>
          <w:rFonts w:hint="cs"/>
          <w:rtl/>
          <w:lang w:val="fr-CH"/>
        </w:rPr>
        <w:tab/>
      </w:r>
      <w:r>
        <w:rPr>
          <w:rtl/>
        </w:rPr>
        <w:t>ثانياً</w:t>
      </w:r>
      <w:r w:rsidRPr="0013373A">
        <w:rPr>
          <w:rtl/>
        </w:rPr>
        <w:t>-</w:t>
      </w:r>
      <w:r w:rsidRPr="0013373A">
        <w:rPr>
          <w:rtl/>
        </w:rPr>
        <w:tab/>
        <w:t>السنة المشمولة بالاستعراض</w:t>
      </w:r>
    </w:p>
    <w:p w:rsidR="00631BFA" w:rsidRPr="0013373A" w:rsidRDefault="00631BFA" w:rsidP="00510C3D">
      <w:pPr>
        <w:pStyle w:val="H1GA"/>
        <w:rPr>
          <w:rtl/>
        </w:rPr>
      </w:pPr>
      <w:r w:rsidRPr="0013373A">
        <w:rPr>
          <w:rtl/>
        </w:rPr>
        <w:tab/>
      </w:r>
      <w:r>
        <w:rPr>
          <w:rtl/>
        </w:rPr>
        <w:t>ألف</w:t>
      </w:r>
      <w:r w:rsidRPr="0013373A">
        <w:rPr>
          <w:rtl/>
        </w:rPr>
        <w:t>-</w:t>
      </w:r>
      <w:r w:rsidRPr="0013373A">
        <w:rPr>
          <w:rtl/>
        </w:rPr>
        <w:tab/>
        <w:t>المشاركة في منظومة البروتوكول الاختياري</w:t>
      </w:r>
    </w:p>
    <w:p w:rsidR="00631BFA" w:rsidRPr="0013373A" w:rsidRDefault="00631BFA" w:rsidP="00631BFA">
      <w:pPr>
        <w:pStyle w:val="SingleTxtGA"/>
        <w:rPr>
          <w:rtl/>
        </w:rPr>
      </w:pPr>
      <w:r w:rsidRPr="001D1516">
        <w:rPr>
          <w:spacing w:val="-2"/>
          <w:rtl/>
        </w:rPr>
        <w:t>4-</w:t>
      </w:r>
      <w:r w:rsidRPr="001D1516">
        <w:rPr>
          <w:spacing w:val="-2"/>
          <w:rtl/>
        </w:rPr>
        <w:tab/>
        <w:t>في 31 كانون الأول/ديسمبر 2012، بلغ عدد الدول الأطراف في البروتوكول الاختياري 65 دولة</w:t>
      </w:r>
      <w:r w:rsidRPr="001D1516">
        <w:rPr>
          <w:spacing w:val="-2"/>
          <w:vertAlign w:val="superscript"/>
          <w:rtl/>
        </w:rPr>
        <w:t>(</w:t>
      </w:r>
      <w:r w:rsidRPr="001D1516">
        <w:rPr>
          <w:rStyle w:val="FootnoteReference"/>
          <w:rFonts w:ascii="Traditional Arabic" w:hAnsi="Traditional Arabic"/>
          <w:spacing w:val="-2"/>
          <w:rtl/>
        </w:rPr>
        <w:footnoteReference w:id="26"/>
      </w:r>
      <w:r w:rsidRPr="001D1516">
        <w:rPr>
          <w:spacing w:val="-2"/>
          <w:vertAlign w:val="superscript"/>
          <w:rtl/>
        </w:rPr>
        <w:t>)</w:t>
      </w:r>
      <w:r w:rsidRPr="001D1516">
        <w:rPr>
          <w:spacing w:val="-2"/>
          <w:rtl/>
        </w:rPr>
        <w:t>. وفي عام 2012، صدقت أربع دول على البروتوكول الاختياري أو</w:t>
      </w:r>
      <w:r>
        <w:rPr>
          <w:rFonts w:hint="cs"/>
          <w:spacing w:val="-2"/>
          <w:rtl/>
        </w:rPr>
        <w:t> </w:t>
      </w:r>
      <w:r w:rsidRPr="001D1516">
        <w:rPr>
          <w:spacing w:val="-2"/>
          <w:rtl/>
        </w:rPr>
        <w:t>انضمت إليه وهي: هنغاريا (12 كانون الثاني/يناير)</w:t>
      </w:r>
      <w:r w:rsidRPr="001D1516">
        <w:rPr>
          <w:rFonts w:hint="cs"/>
          <w:spacing w:val="-2"/>
          <w:rtl/>
        </w:rPr>
        <w:t xml:space="preserve"> و</w:t>
      </w:r>
      <w:r w:rsidRPr="001D1516">
        <w:rPr>
          <w:spacing w:val="-2"/>
          <w:rtl/>
        </w:rPr>
        <w:t>الفلبين (17 نيسان/أبريل) وموريتانيا</w:t>
      </w:r>
      <w:r w:rsidRPr="0013373A">
        <w:rPr>
          <w:rtl/>
        </w:rPr>
        <w:t xml:space="preserve"> (3 تشرين الأول/أكتوبر) والنمسا (4 كانون الأول/ديسمبر). </w:t>
      </w:r>
    </w:p>
    <w:p w:rsidR="00631BFA" w:rsidRPr="0013373A" w:rsidRDefault="00631BFA" w:rsidP="00631BFA">
      <w:pPr>
        <w:pStyle w:val="SingleTxtGA"/>
        <w:rPr>
          <w:rtl/>
        </w:rPr>
      </w:pPr>
      <w:r w:rsidRPr="0013373A">
        <w:rPr>
          <w:rtl/>
        </w:rPr>
        <w:t>5-</w:t>
      </w:r>
      <w:r w:rsidRPr="0013373A">
        <w:rPr>
          <w:rtl/>
        </w:rPr>
        <w:tab/>
        <w:t>ونتيجة لذلك، أصبح شكل المشاركة الإقليمية</w:t>
      </w:r>
      <w:r>
        <w:rPr>
          <w:rFonts w:hint="cs"/>
          <w:rtl/>
        </w:rPr>
        <w:t>، الآن،</w:t>
      </w:r>
      <w:r w:rsidRPr="0013373A">
        <w:rPr>
          <w:rtl/>
        </w:rPr>
        <w:t xml:space="preserve"> على النحو التالي:</w:t>
      </w:r>
    </w:p>
    <w:p w:rsidR="00631BFA" w:rsidRPr="0013373A" w:rsidRDefault="00631BFA" w:rsidP="00631BFA">
      <w:pPr>
        <w:pStyle w:val="SingleTxtGA"/>
        <w:tabs>
          <w:tab w:val="clear" w:pos="1928"/>
          <w:tab w:val="clear" w:pos="2608"/>
          <w:tab w:val="clear" w:pos="3289"/>
          <w:tab w:val="clear" w:pos="3969"/>
          <w:tab w:val="clear" w:pos="4649"/>
          <w:tab w:val="clear" w:pos="5330"/>
        </w:tabs>
        <w:ind w:left="1911"/>
        <w:jc w:val="both"/>
        <w:rPr>
          <w:b/>
          <w:bCs/>
          <w:rtl/>
        </w:rPr>
      </w:pPr>
      <w:r w:rsidRPr="0013373A">
        <w:rPr>
          <w:b/>
          <w:bCs/>
          <w:rtl/>
        </w:rPr>
        <w:t>الدول الأطراف بحسب المنطقة</w:t>
      </w:r>
    </w:p>
    <w:p w:rsidR="00631BFA" w:rsidRPr="0013373A" w:rsidRDefault="00631BFA" w:rsidP="00510C3D">
      <w:pPr>
        <w:pStyle w:val="SingleTxtGA"/>
        <w:tabs>
          <w:tab w:val="clear" w:pos="1928"/>
          <w:tab w:val="clear" w:pos="2608"/>
          <w:tab w:val="clear" w:pos="3289"/>
          <w:tab w:val="clear" w:pos="3969"/>
          <w:tab w:val="clear" w:pos="4649"/>
          <w:tab w:val="clear" w:pos="5330"/>
          <w:tab w:val="left" w:pos="7006"/>
        </w:tabs>
        <w:spacing w:after="60" w:line="360" w:lineRule="exact"/>
        <w:ind w:left="1911"/>
        <w:jc w:val="both"/>
        <w:rPr>
          <w:rFonts w:ascii="Traditional Arabic" w:hAnsi="Traditional Arabic"/>
          <w:rtl/>
        </w:rPr>
      </w:pPr>
      <w:r w:rsidRPr="0013373A">
        <w:rPr>
          <w:rFonts w:ascii="Traditional Arabic" w:hAnsi="Traditional Arabic"/>
          <w:rtl/>
        </w:rPr>
        <w:t>أفريقيا</w:t>
      </w:r>
      <w:r w:rsidRPr="0013373A">
        <w:rPr>
          <w:rFonts w:ascii="Traditional Arabic" w:hAnsi="Traditional Arabic"/>
          <w:rtl/>
        </w:rPr>
        <w:tab/>
        <w:t>12</w:t>
      </w:r>
    </w:p>
    <w:p w:rsidR="00631BFA" w:rsidRPr="0013373A" w:rsidRDefault="00631BFA" w:rsidP="00510C3D">
      <w:pPr>
        <w:pStyle w:val="SingleTxtGA"/>
        <w:tabs>
          <w:tab w:val="clear" w:pos="1928"/>
          <w:tab w:val="clear" w:pos="2608"/>
          <w:tab w:val="clear" w:pos="3289"/>
          <w:tab w:val="clear" w:pos="3969"/>
          <w:tab w:val="clear" w:pos="4649"/>
          <w:tab w:val="clear" w:pos="5330"/>
          <w:tab w:val="left" w:pos="7006"/>
        </w:tabs>
        <w:spacing w:after="60" w:line="360" w:lineRule="exact"/>
        <w:ind w:left="1911"/>
        <w:jc w:val="both"/>
        <w:rPr>
          <w:rFonts w:ascii="Traditional Arabic" w:hAnsi="Traditional Arabic"/>
          <w:rtl/>
        </w:rPr>
      </w:pPr>
      <w:r w:rsidRPr="0013373A">
        <w:rPr>
          <w:rFonts w:ascii="Traditional Arabic" w:hAnsi="Traditional Arabic"/>
          <w:rtl/>
        </w:rPr>
        <w:t>آسيا</w:t>
      </w:r>
      <w:r w:rsidRPr="0013373A">
        <w:rPr>
          <w:rFonts w:ascii="Traditional Arabic" w:hAnsi="Traditional Arabic"/>
          <w:rtl/>
        </w:rPr>
        <w:tab/>
        <w:t>7</w:t>
      </w:r>
    </w:p>
    <w:p w:rsidR="00631BFA" w:rsidRPr="0013373A" w:rsidRDefault="00631BFA" w:rsidP="00510C3D">
      <w:pPr>
        <w:pStyle w:val="SingleTxtGA"/>
        <w:tabs>
          <w:tab w:val="clear" w:pos="1928"/>
          <w:tab w:val="clear" w:pos="2608"/>
          <w:tab w:val="clear" w:pos="3289"/>
          <w:tab w:val="clear" w:pos="3969"/>
          <w:tab w:val="clear" w:pos="4649"/>
          <w:tab w:val="clear" w:pos="5330"/>
          <w:tab w:val="left" w:pos="7006"/>
        </w:tabs>
        <w:spacing w:after="60" w:line="360" w:lineRule="exact"/>
        <w:ind w:left="1911"/>
        <w:jc w:val="both"/>
        <w:rPr>
          <w:rFonts w:ascii="Traditional Arabic" w:hAnsi="Traditional Arabic"/>
          <w:rtl/>
        </w:rPr>
      </w:pPr>
      <w:r w:rsidRPr="0013373A">
        <w:rPr>
          <w:rFonts w:ascii="Traditional Arabic" w:hAnsi="Traditional Arabic"/>
          <w:rtl/>
        </w:rPr>
        <w:t>أوروبا الشرقية</w:t>
      </w:r>
      <w:r w:rsidRPr="0013373A">
        <w:rPr>
          <w:rFonts w:ascii="Traditional Arabic" w:hAnsi="Traditional Arabic"/>
          <w:rtl/>
        </w:rPr>
        <w:tab/>
        <w:t>18</w:t>
      </w:r>
    </w:p>
    <w:p w:rsidR="00631BFA" w:rsidRPr="0013373A" w:rsidRDefault="00631BFA" w:rsidP="00510C3D">
      <w:pPr>
        <w:pStyle w:val="SingleTxtGA"/>
        <w:tabs>
          <w:tab w:val="clear" w:pos="1928"/>
          <w:tab w:val="clear" w:pos="2608"/>
          <w:tab w:val="clear" w:pos="3289"/>
          <w:tab w:val="clear" w:pos="3969"/>
          <w:tab w:val="clear" w:pos="4649"/>
          <w:tab w:val="clear" w:pos="5330"/>
          <w:tab w:val="left" w:pos="7006"/>
        </w:tabs>
        <w:spacing w:after="60" w:line="360" w:lineRule="exact"/>
        <w:ind w:left="1911"/>
        <w:jc w:val="both"/>
        <w:rPr>
          <w:rFonts w:ascii="Traditional Arabic" w:hAnsi="Traditional Arabic"/>
          <w:rtl/>
        </w:rPr>
      </w:pPr>
      <w:r w:rsidRPr="0013373A">
        <w:rPr>
          <w:rFonts w:ascii="Traditional Arabic" w:hAnsi="Traditional Arabic"/>
          <w:rtl/>
        </w:rPr>
        <w:t>مجموعة دول أمريكا اللاتينية ومنطقة البحر الكاريبي</w:t>
      </w:r>
      <w:r w:rsidRPr="0013373A">
        <w:rPr>
          <w:rFonts w:ascii="Traditional Arabic" w:hAnsi="Traditional Arabic"/>
          <w:rtl/>
        </w:rPr>
        <w:tab/>
        <w:t>14</w:t>
      </w:r>
    </w:p>
    <w:p w:rsidR="00631BFA" w:rsidRPr="0013373A" w:rsidRDefault="00631BFA" w:rsidP="00631BFA">
      <w:pPr>
        <w:pStyle w:val="SingleTxtGA"/>
        <w:tabs>
          <w:tab w:val="clear" w:pos="1928"/>
          <w:tab w:val="clear" w:pos="2608"/>
          <w:tab w:val="clear" w:pos="3289"/>
          <w:tab w:val="clear" w:pos="3969"/>
          <w:tab w:val="clear" w:pos="4649"/>
          <w:tab w:val="clear" w:pos="5330"/>
          <w:tab w:val="left" w:pos="7006"/>
        </w:tabs>
        <w:ind w:left="1911"/>
        <w:jc w:val="both"/>
        <w:rPr>
          <w:rFonts w:ascii="Traditional Arabic" w:hAnsi="Traditional Arabic"/>
          <w:rtl/>
        </w:rPr>
      </w:pPr>
      <w:r w:rsidRPr="0013373A">
        <w:rPr>
          <w:rFonts w:ascii="Traditional Arabic" w:hAnsi="Traditional Arabic"/>
          <w:rtl/>
        </w:rPr>
        <w:t>مجموعة دول أوروبا الغربية ودول أخرى</w:t>
      </w:r>
      <w:r w:rsidRPr="0013373A">
        <w:rPr>
          <w:rFonts w:ascii="Traditional Arabic" w:hAnsi="Traditional Arabic"/>
          <w:rtl/>
        </w:rPr>
        <w:tab/>
        <w:t>14</w:t>
      </w:r>
    </w:p>
    <w:p w:rsidR="00631BFA" w:rsidRPr="0013373A" w:rsidRDefault="00631BFA" w:rsidP="00631BFA">
      <w:pPr>
        <w:pStyle w:val="SingleTxtGA"/>
        <w:rPr>
          <w:rtl/>
        </w:rPr>
      </w:pPr>
      <w:r w:rsidRPr="0013373A">
        <w:rPr>
          <w:rtl/>
        </w:rPr>
        <w:t>6-</w:t>
      </w:r>
      <w:r w:rsidRPr="0013373A">
        <w:rPr>
          <w:rtl/>
        </w:rPr>
        <w:tab/>
        <w:t>وقد أصبح التوزيع</w:t>
      </w:r>
      <w:r>
        <w:rPr>
          <w:rtl/>
        </w:rPr>
        <w:t xml:space="preserve"> الإقليمي للدول الموقعة التي لم</w:t>
      </w:r>
      <w:r>
        <w:rPr>
          <w:rFonts w:hint="cs"/>
          <w:rtl/>
        </w:rPr>
        <w:t xml:space="preserve"> </w:t>
      </w:r>
      <w:r w:rsidRPr="0013373A">
        <w:rPr>
          <w:rtl/>
        </w:rPr>
        <w:t>ت</w:t>
      </w:r>
      <w:r>
        <w:rPr>
          <w:rFonts w:hint="cs"/>
          <w:rtl/>
        </w:rPr>
        <w:t>ُ</w:t>
      </w:r>
      <w:r w:rsidRPr="0013373A">
        <w:rPr>
          <w:rtl/>
        </w:rPr>
        <w:t>صدق بعد على البروتوكول الاختياري كما يلي:</w:t>
      </w:r>
    </w:p>
    <w:p w:rsidR="00631BFA" w:rsidRPr="0013373A" w:rsidRDefault="00631BFA" w:rsidP="00631BFA">
      <w:pPr>
        <w:pStyle w:val="SingleTxtGA"/>
        <w:tabs>
          <w:tab w:val="clear" w:pos="1928"/>
          <w:tab w:val="clear" w:pos="2608"/>
          <w:tab w:val="clear" w:pos="3289"/>
          <w:tab w:val="clear" w:pos="3969"/>
          <w:tab w:val="clear" w:pos="4649"/>
          <w:tab w:val="clear" w:pos="5330"/>
        </w:tabs>
        <w:ind w:left="1911"/>
        <w:jc w:val="both"/>
        <w:rPr>
          <w:rFonts w:ascii="Traditional Arabic" w:hAnsi="Traditional Arabic"/>
          <w:b/>
          <w:bCs/>
          <w:rtl/>
        </w:rPr>
      </w:pPr>
      <w:r w:rsidRPr="0013373A">
        <w:rPr>
          <w:rFonts w:ascii="Traditional Arabic" w:hAnsi="Traditional Arabic"/>
          <w:b/>
          <w:bCs/>
          <w:rtl/>
        </w:rPr>
        <w:t>الدول التي وقعت على البروتوكول الاختياري لكنها لم تصدق عليه، بحسب المنطقة (المجموع 25)</w:t>
      </w:r>
    </w:p>
    <w:p w:rsidR="00631BFA" w:rsidRPr="0013373A" w:rsidRDefault="00631BFA" w:rsidP="00510C3D">
      <w:pPr>
        <w:pStyle w:val="SingleTxtGA"/>
        <w:tabs>
          <w:tab w:val="clear" w:pos="1928"/>
          <w:tab w:val="clear" w:pos="2608"/>
          <w:tab w:val="clear" w:pos="3289"/>
          <w:tab w:val="clear" w:pos="3969"/>
          <w:tab w:val="clear" w:pos="4649"/>
          <w:tab w:val="clear" w:pos="5330"/>
          <w:tab w:val="left" w:pos="7006"/>
        </w:tabs>
        <w:spacing w:after="60" w:line="340" w:lineRule="exact"/>
        <w:ind w:left="1911"/>
        <w:jc w:val="both"/>
        <w:rPr>
          <w:rFonts w:ascii="Traditional Arabic" w:hAnsi="Traditional Arabic"/>
          <w:rtl/>
        </w:rPr>
      </w:pPr>
      <w:r w:rsidRPr="0013373A">
        <w:rPr>
          <w:rFonts w:ascii="Traditional Arabic" w:hAnsi="Traditional Arabic"/>
          <w:rtl/>
        </w:rPr>
        <w:t>أفريقيا</w:t>
      </w:r>
      <w:r w:rsidRPr="0013373A">
        <w:rPr>
          <w:rFonts w:ascii="Traditional Arabic" w:hAnsi="Traditional Arabic"/>
          <w:rtl/>
        </w:rPr>
        <w:tab/>
        <w:t>9</w:t>
      </w:r>
    </w:p>
    <w:p w:rsidR="00631BFA" w:rsidRPr="0013373A" w:rsidRDefault="00631BFA" w:rsidP="00510C3D">
      <w:pPr>
        <w:pStyle w:val="SingleTxtGA"/>
        <w:tabs>
          <w:tab w:val="clear" w:pos="1928"/>
          <w:tab w:val="clear" w:pos="2608"/>
          <w:tab w:val="clear" w:pos="3289"/>
          <w:tab w:val="clear" w:pos="3969"/>
          <w:tab w:val="clear" w:pos="4649"/>
          <w:tab w:val="clear" w:pos="5330"/>
          <w:tab w:val="left" w:pos="7006"/>
        </w:tabs>
        <w:spacing w:after="60" w:line="340" w:lineRule="exact"/>
        <w:ind w:left="1911"/>
        <w:jc w:val="both"/>
        <w:rPr>
          <w:rFonts w:ascii="Traditional Arabic" w:hAnsi="Traditional Arabic"/>
          <w:rtl/>
        </w:rPr>
      </w:pPr>
      <w:r w:rsidRPr="0013373A">
        <w:rPr>
          <w:rFonts w:ascii="Traditional Arabic" w:hAnsi="Traditional Arabic"/>
          <w:rtl/>
        </w:rPr>
        <w:t>آسيا</w:t>
      </w:r>
      <w:r w:rsidRPr="0013373A">
        <w:rPr>
          <w:rFonts w:ascii="Traditional Arabic" w:hAnsi="Traditional Arabic"/>
          <w:rtl/>
        </w:rPr>
        <w:tab/>
        <w:t>2</w:t>
      </w:r>
    </w:p>
    <w:p w:rsidR="00631BFA" w:rsidRPr="0013373A" w:rsidRDefault="00631BFA" w:rsidP="00510C3D">
      <w:pPr>
        <w:pStyle w:val="SingleTxtGA"/>
        <w:tabs>
          <w:tab w:val="clear" w:pos="1928"/>
          <w:tab w:val="clear" w:pos="2608"/>
          <w:tab w:val="clear" w:pos="3289"/>
          <w:tab w:val="clear" w:pos="3969"/>
          <w:tab w:val="clear" w:pos="4649"/>
          <w:tab w:val="clear" w:pos="5330"/>
          <w:tab w:val="left" w:pos="7006"/>
        </w:tabs>
        <w:spacing w:after="60" w:line="340" w:lineRule="exact"/>
        <w:ind w:left="1911"/>
        <w:jc w:val="both"/>
        <w:rPr>
          <w:rFonts w:ascii="Traditional Arabic" w:hAnsi="Traditional Arabic"/>
          <w:rtl/>
        </w:rPr>
      </w:pPr>
      <w:r w:rsidRPr="0013373A">
        <w:rPr>
          <w:rFonts w:ascii="Traditional Arabic" w:hAnsi="Traditional Arabic"/>
          <w:rtl/>
        </w:rPr>
        <w:t>أوروبا الشرقية</w:t>
      </w:r>
      <w:r w:rsidRPr="0013373A">
        <w:rPr>
          <w:rFonts w:ascii="Traditional Arabic" w:hAnsi="Traditional Arabic"/>
          <w:rtl/>
        </w:rPr>
        <w:tab/>
        <w:t>1</w:t>
      </w:r>
    </w:p>
    <w:p w:rsidR="00631BFA" w:rsidRPr="0013373A" w:rsidRDefault="00631BFA" w:rsidP="00510C3D">
      <w:pPr>
        <w:pStyle w:val="SingleTxtGA"/>
        <w:tabs>
          <w:tab w:val="clear" w:pos="1928"/>
          <w:tab w:val="clear" w:pos="2608"/>
          <w:tab w:val="clear" w:pos="3289"/>
          <w:tab w:val="clear" w:pos="3969"/>
          <w:tab w:val="clear" w:pos="4649"/>
          <w:tab w:val="clear" w:pos="5330"/>
          <w:tab w:val="left" w:pos="7006"/>
        </w:tabs>
        <w:spacing w:after="60" w:line="340" w:lineRule="exact"/>
        <w:ind w:left="1911"/>
        <w:jc w:val="both"/>
        <w:rPr>
          <w:rFonts w:ascii="Traditional Arabic" w:hAnsi="Traditional Arabic"/>
          <w:rtl/>
        </w:rPr>
      </w:pPr>
      <w:r w:rsidRPr="0013373A">
        <w:rPr>
          <w:rFonts w:ascii="Traditional Arabic" w:hAnsi="Traditional Arabic"/>
          <w:rtl/>
        </w:rPr>
        <w:t>مجموعة دول أمريكا اللاتينية ومنطقة البحر الكاريبي</w:t>
      </w:r>
      <w:r w:rsidRPr="0013373A">
        <w:rPr>
          <w:rFonts w:ascii="Traditional Arabic" w:hAnsi="Traditional Arabic"/>
          <w:rtl/>
        </w:rPr>
        <w:tab/>
        <w:t>2</w:t>
      </w:r>
    </w:p>
    <w:p w:rsidR="00631BFA" w:rsidRPr="0013373A" w:rsidRDefault="00631BFA" w:rsidP="00631BFA">
      <w:pPr>
        <w:pStyle w:val="SingleTxtGA"/>
        <w:tabs>
          <w:tab w:val="clear" w:pos="1928"/>
          <w:tab w:val="clear" w:pos="2608"/>
          <w:tab w:val="clear" w:pos="3289"/>
          <w:tab w:val="clear" w:pos="3969"/>
          <w:tab w:val="clear" w:pos="4649"/>
          <w:tab w:val="clear" w:pos="5330"/>
          <w:tab w:val="left" w:pos="7006"/>
        </w:tabs>
        <w:ind w:left="1911"/>
        <w:jc w:val="both"/>
        <w:rPr>
          <w:rFonts w:ascii="Traditional Arabic" w:hAnsi="Traditional Arabic" w:hint="cs"/>
          <w:rtl/>
        </w:rPr>
      </w:pPr>
      <w:r w:rsidRPr="004A52C9">
        <w:rPr>
          <w:rFonts w:ascii="Traditional Arabic" w:hAnsi="Traditional Arabic"/>
          <w:rtl/>
        </w:rPr>
        <w:t>مجموعة</w:t>
      </w:r>
      <w:r w:rsidRPr="0013373A">
        <w:rPr>
          <w:rtl/>
        </w:rPr>
        <w:t xml:space="preserve"> دول أوروبا الغربية ودول أخرى</w:t>
      </w:r>
      <w:r w:rsidRPr="0013373A">
        <w:rPr>
          <w:rtl/>
        </w:rPr>
        <w:tab/>
      </w:r>
      <w:r>
        <w:rPr>
          <w:rtl/>
        </w:rPr>
        <w:t>1</w:t>
      </w:r>
      <w:r>
        <w:rPr>
          <w:rFonts w:hint="cs"/>
          <w:rtl/>
        </w:rPr>
        <w:t>1</w:t>
      </w:r>
    </w:p>
    <w:p w:rsidR="00631BFA" w:rsidRPr="001B47DC" w:rsidRDefault="00631BFA" w:rsidP="00510C3D">
      <w:pPr>
        <w:pStyle w:val="H1GA"/>
        <w:rPr>
          <w:rFonts w:hint="cs"/>
          <w:rtl/>
          <w:lang w:val="fr-CH"/>
        </w:rPr>
      </w:pPr>
      <w:r w:rsidRPr="001B47DC">
        <w:rPr>
          <w:rFonts w:hint="cs"/>
          <w:rtl/>
          <w:lang w:val="fr-CH"/>
        </w:rPr>
        <w:tab/>
      </w:r>
      <w:bookmarkStart w:id="3" w:name="_Toc322593342"/>
      <w:r w:rsidRPr="001B47DC">
        <w:rPr>
          <w:rFonts w:hint="cs"/>
          <w:rtl/>
          <w:lang w:val="fr-CH"/>
        </w:rPr>
        <w:t>باء-</w:t>
      </w:r>
      <w:r w:rsidRPr="001B47DC">
        <w:rPr>
          <w:rFonts w:hint="cs"/>
          <w:rtl/>
          <w:lang w:val="fr-CH"/>
        </w:rPr>
        <w:tab/>
        <w:t>المسائل التنظيمية والمتعلقة بالعضوية</w:t>
      </w:r>
      <w:bookmarkEnd w:id="3"/>
    </w:p>
    <w:p w:rsidR="00631BFA" w:rsidRPr="00BF6EE6" w:rsidRDefault="00631BFA" w:rsidP="00631BFA">
      <w:pPr>
        <w:tabs>
          <w:tab w:val="left" w:pos="1928"/>
          <w:tab w:val="left" w:pos="2608"/>
          <w:tab w:val="left" w:pos="3289"/>
          <w:tab w:val="left" w:pos="3969"/>
          <w:tab w:val="left" w:pos="4649"/>
          <w:tab w:val="left" w:pos="5330"/>
        </w:tabs>
        <w:bidi/>
        <w:spacing w:after="120" w:line="380" w:lineRule="exact"/>
        <w:ind w:left="1247" w:right="1247"/>
        <w:jc w:val="lowKashida"/>
        <w:rPr>
          <w:rFonts w:cs="Traditional Arabic" w:hint="cs"/>
          <w:sz w:val="20"/>
          <w:szCs w:val="30"/>
          <w:rtl/>
        </w:rPr>
      </w:pPr>
      <w:r w:rsidRPr="00EB7192">
        <w:rPr>
          <w:rFonts w:cs="Traditional Arabic" w:hint="cs"/>
          <w:sz w:val="20"/>
          <w:szCs w:val="30"/>
          <w:rtl/>
        </w:rPr>
        <w:t>7</w:t>
      </w:r>
      <w:r w:rsidRPr="00BF6EE6">
        <w:rPr>
          <w:rFonts w:cs="Traditional Arabic" w:hint="cs"/>
          <w:sz w:val="20"/>
          <w:szCs w:val="30"/>
          <w:rtl/>
        </w:rPr>
        <w:t>-</w:t>
      </w:r>
      <w:r w:rsidRPr="00BF6EE6">
        <w:rPr>
          <w:rFonts w:cs="Traditional Arabic" w:hint="cs"/>
          <w:sz w:val="20"/>
          <w:szCs w:val="30"/>
          <w:rtl/>
        </w:rPr>
        <w:tab/>
        <w:t>خلال الفترة المشمولة بالتقرير (من 1 كانون الثاني/يناير إلى 31 كانون الأول/ ديسمبر</w:t>
      </w:r>
      <w:r w:rsidRPr="00BF6EE6">
        <w:rPr>
          <w:rFonts w:cs="Traditional Arabic" w:hint="eastAsia"/>
          <w:sz w:val="20"/>
          <w:szCs w:val="30"/>
          <w:rtl/>
        </w:rPr>
        <w:t> </w:t>
      </w:r>
      <w:r w:rsidRPr="00BF6EE6">
        <w:rPr>
          <w:rFonts w:cs="Traditional Arabic" w:hint="cs"/>
          <w:sz w:val="20"/>
          <w:szCs w:val="30"/>
          <w:rtl/>
        </w:rPr>
        <w:t>201</w:t>
      </w:r>
      <w:r>
        <w:rPr>
          <w:rFonts w:cs="Traditional Arabic" w:hint="cs"/>
          <w:sz w:val="20"/>
          <w:szCs w:val="30"/>
          <w:rtl/>
        </w:rPr>
        <w:t>2</w:t>
      </w:r>
      <w:r w:rsidRPr="00BF6EE6">
        <w:rPr>
          <w:rFonts w:cs="Traditional Arabic" w:hint="cs"/>
          <w:sz w:val="20"/>
          <w:szCs w:val="30"/>
          <w:rtl/>
        </w:rPr>
        <w:t>)، عقدت اللجنة الفرعية ثلاث دورات مدة كل منها أسبوع واحد في مكتب الأمم المتحدة في جنيف، في الفترات من 2</w:t>
      </w:r>
      <w:r>
        <w:rPr>
          <w:rFonts w:cs="Traditional Arabic" w:hint="cs"/>
          <w:sz w:val="20"/>
          <w:szCs w:val="30"/>
          <w:rtl/>
        </w:rPr>
        <w:t>0</w:t>
      </w:r>
      <w:r w:rsidRPr="00BF6EE6">
        <w:rPr>
          <w:rFonts w:cs="Traditional Arabic" w:hint="cs"/>
          <w:sz w:val="20"/>
          <w:szCs w:val="30"/>
          <w:rtl/>
        </w:rPr>
        <w:t xml:space="preserve"> إلى 2</w:t>
      </w:r>
      <w:r>
        <w:rPr>
          <w:rFonts w:cs="Traditional Arabic" w:hint="cs"/>
          <w:sz w:val="20"/>
          <w:szCs w:val="30"/>
          <w:rtl/>
        </w:rPr>
        <w:t>4</w:t>
      </w:r>
      <w:r w:rsidRPr="00BF6EE6">
        <w:rPr>
          <w:rFonts w:cs="Traditional Arabic" w:hint="cs"/>
          <w:sz w:val="20"/>
          <w:szCs w:val="30"/>
          <w:rtl/>
        </w:rPr>
        <w:t xml:space="preserve"> شباط/فبراير، ومن </w:t>
      </w:r>
      <w:r>
        <w:rPr>
          <w:rFonts w:cs="Traditional Arabic" w:hint="cs"/>
          <w:sz w:val="20"/>
          <w:szCs w:val="30"/>
          <w:rtl/>
        </w:rPr>
        <w:t>18</w:t>
      </w:r>
      <w:r w:rsidRPr="00BF6EE6">
        <w:rPr>
          <w:rFonts w:cs="Traditional Arabic" w:hint="cs"/>
          <w:sz w:val="20"/>
          <w:szCs w:val="30"/>
          <w:rtl/>
        </w:rPr>
        <w:t xml:space="preserve"> إلى 2</w:t>
      </w:r>
      <w:r>
        <w:rPr>
          <w:rFonts w:cs="Traditional Arabic" w:hint="cs"/>
          <w:sz w:val="20"/>
          <w:szCs w:val="30"/>
          <w:rtl/>
        </w:rPr>
        <w:t>2</w:t>
      </w:r>
      <w:r w:rsidRPr="00BF6EE6">
        <w:rPr>
          <w:rFonts w:cs="Traditional Arabic" w:hint="cs"/>
          <w:sz w:val="20"/>
          <w:szCs w:val="30"/>
          <w:rtl/>
        </w:rPr>
        <w:t xml:space="preserve"> حزيران/يونيه، ومن 1</w:t>
      </w:r>
      <w:r>
        <w:rPr>
          <w:rFonts w:cs="Traditional Arabic" w:hint="cs"/>
          <w:sz w:val="20"/>
          <w:szCs w:val="30"/>
          <w:rtl/>
        </w:rPr>
        <w:t>2</w:t>
      </w:r>
      <w:r w:rsidRPr="00BF6EE6">
        <w:rPr>
          <w:rFonts w:cs="Traditional Arabic" w:hint="cs"/>
          <w:sz w:val="20"/>
          <w:szCs w:val="30"/>
          <w:rtl/>
        </w:rPr>
        <w:t xml:space="preserve"> إلى 1</w:t>
      </w:r>
      <w:r>
        <w:rPr>
          <w:rFonts w:cs="Traditional Arabic" w:hint="cs"/>
          <w:sz w:val="20"/>
          <w:szCs w:val="30"/>
          <w:rtl/>
        </w:rPr>
        <w:t>6</w:t>
      </w:r>
      <w:r w:rsidRPr="00BF6EE6">
        <w:rPr>
          <w:rFonts w:cs="Traditional Arabic" w:hint="cs"/>
          <w:sz w:val="20"/>
          <w:szCs w:val="30"/>
          <w:rtl/>
        </w:rPr>
        <w:t xml:space="preserve"> تشرين الثاني/نوفمبر 201</w:t>
      </w:r>
      <w:r>
        <w:rPr>
          <w:rFonts w:cs="Traditional Arabic" w:hint="cs"/>
          <w:sz w:val="20"/>
          <w:szCs w:val="30"/>
          <w:rtl/>
        </w:rPr>
        <w:t>2</w:t>
      </w:r>
      <w:r w:rsidRPr="00BF6EE6">
        <w:rPr>
          <w:rFonts w:cs="Traditional Arabic" w:hint="cs"/>
          <w:sz w:val="20"/>
          <w:szCs w:val="30"/>
          <w:rtl/>
        </w:rPr>
        <w:t xml:space="preserve">. </w:t>
      </w:r>
    </w:p>
    <w:p w:rsidR="00631BFA" w:rsidRPr="0013373A" w:rsidRDefault="00631BFA" w:rsidP="00510C3D">
      <w:pPr>
        <w:pStyle w:val="SingleTxtGA"/>
        <w:rPr>
          <w:rtl/>
        </w:rPr>
      </w:pPr>
      <w:r>
        <w:rPr>
          <w:rFonts w:hint="cs"/>
          <w:rtl/>
        </w:rPr>
        <w:t>8</w:t>
      </w:r>
      <w:r w:rsidRPr="0013373A">
        <w:rPr>
          <w:rtl/>
        </w:rPr>
        <w:t>-</w:t>
      </w:r>
      <w:r w:rsidRPr="0013373A">
        <w:rPr>
          <w:rtl/>
        </w:rPr>
        <w:tab/>
        <w:t>ولم ت</w:t>
      </w:r>
      <w:r>
        <w:rPr>
          <w:rFonts w:hint="cs"/>
          <w:rtl/>
        </w:rPr>
        <w:t>ُ</w:t>
      </w:r>
      <w:r w:rsidRPr="0013373A">
        <w:rPr>
          <w:rtl/>
        </w:rPr>
        <w:t>سجل عضوية اللجنة الفرعية أي</w:t>
      </w:r>
      <w:r>
        <w:rPr>
          <w:rFonts w:hint="cs"/>
          <w:rtl/>
        </w:rPr>
        <w:t>ّ</w:t>
      </w:r>
      <w:r w:rsidRPr="0013373A">
        <w:rPr>
          <w:rtl/>
        </w:rPr>
        <w:t xml:space="preserve"> تغيير خلال عام</w:t>
      </w:r>
      <w:r>
        <w:rPr>
          <w:rFonts w:hint="cs"/>
          <w:rtl/>
        </w:rPr>
        <w:t xml:space="preserve"> </w:t>
      </w:r>
      <w:r w:rsidRPr="0013373A">
        <w:rPr>
          <w:rtl/>
        </w:rPr>
        <w:t>2012</w:t>
      </w:r>
      <w:r w:rsidRPr="0013373A">
        <w:rPr>
          <w:vertAlign w:val="superscript"/>
          <w:rtl/>
        </w:rPr>
        <w:t>(</w:t>
      </w:r>
      <w:r w:rsidRPr="0013373A">
        <w:rPr>
          <w:rStyle w:val="FootnoteReference"/>
          <w:rFonts w:ascii="Traditional Arabic" w:hAnsi="Traditional Arabic"/>
          <w:rtl/>
        </w:rPr>
        <w:footnoteReference w:id="27"/>
      </w:r>
      <w:r w:rsidRPr="0013373A">
        <w:rPr>
          <w:vertAlign w:val="superscript"/>
          <w:rtl/>
        </w:rPr>
        <w:t>)</w:t>
      </w:r>
      <w:r w:rsidRPr="0013373A">
        <w:rPr>
          <w:rtl/>
        </w:rPr>
        <w:t xml:space="preserve">. ثم في 25 تشرين الأول/أكتوبر 2012، انتُخب، في الاجتماع الرابع للدول الأطراف في البروتوكول الاختياري، </w:t>
      </w:r>
      <w:r>
        <w:rPr>
          <w:rFonts w:hint="cs"/>
          <w:rtl/>
        </w:rPr>
        <w:t>12</w:t>
      </w:r>
      <w:r w:rsidRPr="0013373A">
        <w:rPr>
          <w:rtl/>
        </w:rPr>
        <w:t xml:space="preserve"> عضواً لشغل المناصب الشاغرة لأعضاء اللجنة الفرعية المنتهية فترة ولايتهم في 31 كانون الأول/ديسمبر</w:t>
      </w:r>
      <w:r>
        <w:rPr>
          <w:rFonts w:hint="cs"/>
          <w:rtl/>
        </w:rPr>
        <w:t xml:space="preserve"> </w:t>
      </w:r>
      <w:r w:rsidRPr="0013373A">
        <w:rPr>
          <w:rtl/>
        </w:rPr>
        <w:t>2012. وتبدأ فترة ولاية جميع الأعضاء المنتخبين الجدد في 1 كانون الثاني/يناير</w:t>
      </w:r>
      <w:r>
        <w:rPr>
          <w:rFonts w:hint="cs"/>
          <w:rtl/>
        </w:rPr>
        <w:t xml:space="preserve"> </w:t>
      </w:r>
      <w:r w:rsidRPr="0013373A">
        <w:rPr>
          <w:rtl/>
        </w:rPr>
        <w:t xml:space="preserve">2013، لمدة أربعة أعوام وستنتهي في 31 كانون الأول/ديسمبر 2016. وعملاً بالنظام الداخلي للجنة الفرعية، </w:t>
      </w:r>
      <w:r>
        <w:rPr>
          <w:rFonts w:hint="cs"/>
          <w:rtl/>
        </w:rPr>
        <w:t xml:space="preserve">أدى </w:t>
      </w:r>
      <w:r w:rsidRPr="0013373A">
        <w:rPr>
          <w:rtl/>
        </w:rPr>
        <w:t xml:space="preserve">الأعضاء المنتخبون الجدد </w:t>
      </w:r>
      <w:r w:rsidR="00BE6C28">
        <w:rPr>
          <w:rFonts w:hint="cs"/>
          <w:rtl/>
        </w:rPr>
        <w:t>قسم</w:t>
      </w:r>
      <w:r>
        <w:rPr>
          <w:rFonts w:hint="cs"/>
          <w:rtl/>
        </w:rPr>
        <w:t>ا</w:t>
      </w:r>
      <w:r w:rsidR="00BE6C28">
        <w:rPr>
          <w:rFonts w:hint="cs"/>
          <w:rtl/>
        </w:rPr>
        <w:t>ً</w:t>
      </w:r>
      <w:r>
        <w:rPr>
          <w:rFonts w:hint="cs"/>
          <w:rtl/>
        </w:rPr>
        <w:t xml:space="preserve"> رسمياً </w:t>
      </w:r>
      <w:r w:rsidRPr="0013373A">
        <w:rPr>
          <w:rtl/>
        </w:rPr>
        <w:t>لدى افتتاح دورة شباط/فبراير</w:t>
      </w:r>
      <w:r>
        <w:rPr>
          <w:rFonts w:hint="cs"/>
          <w:rtl/>
        </w:rPr>
        <w:t xml:space="preserve"> </w:t>
      </w:r>
      <w:r w:rsidRPr="0013373A">
        <w:rPr>
          <w:rtl/>
        </w:rPr>
        <w:t>2013 قبل استلام مهامهم.</w:t>
      </w:r>
    </w:p>
    <w:p w:rsidR="00631BFA" w:rsidRPr="0013373A" w:rsidRDefault="00631BFA" w:rsidP="00510C3D">
      <w:pPr>
        <w:pStyle w:val="SingleTxtGA"/>
        <w:rPr>
          <w:rtl/>
        </w:rPr>
      </w:pPr>
      <w:r w:rsidRPr="0013373A">
        <w:rPr>
          <w:rtl/>
        </w:rPr>
        <w:t>9</w:t>
      </w:r>
      <w:r>
        <w:rPr>
          <w:rtl/>
        </w:rPr>
        <w:t>-</w:t>
      </w:r>
      <w:r>
        <w:rPr>
          <w:rtl/>
        </w:rPr>
        <w:tab/>
      </w:r>
      <w:r w:rsidRPr="0013373A">
        <w:rPr>
          <w:rtl/>
        </w:rPr>
        <w:t>ويضم المكتب، الذي انتُخب</w:t>
      </w:r>
      <w:r>
        <w:rPr>
          <w:rFonts w:hint="cs"/>
          <w:rtl/>
        </w:rPr>
        <w:t xml:space="preserve"> </w:t>
      </w:r>
      <w:r w:rsidRPr="0013373A">
        <w:rPr>
          <w:rtl/>
        </w:rPr>
        <w:t>لولاية</w:t>
      </w:r>
      <w:r>
        <w:rPr>
          <w:rFonts w:hint="cs"/>
          <w:rtl/>
        </w:rPr>
        <w:t xml:space="preserve"> تبدأ</w:t>
      </w:r>
      <w:r w:rsidRPr="0013373A">
        <w:rPr>
          <w:rtl/>
        </w:rPr>
        <w:t xml:space="preserve"> في شباط/فبراير</w:t>
      </w:r>
      <w:r>
        <w:rPr>
          <w:rFonts w:hint="cs"/>
          <w:rtl/>
        </w:rPr>
        <w:t xml:space="preserve"> </w:t>
      </w:r>
      <w:r w:rsidRPr="0013373A">
        <w:rPr>
          <w:rtl/>
        </w:rPr>
        <w:t xml:space="preserve">2011 </w:t>
      </w:r>
      <w:r>
        <w:rPr>
          <w:rFonts w:hint="cs"/>
          <w:rtl/>
        </w:rPr>
        <w:t>و</w:t>
      </w:r>
      <w:r w:rsidRPr="0013373A">
        <w:rPr>
          <w:rtl/>
        </w:rPr>
        <w:t>تنتهي في شباط/</w:t>
      </w:r>
      <w:r>
        <w:rPr>
          <w:rFonts w:hint="cs"/>
          <w:rtl/>
        </w:rPr>
        <w:t xml:space="preserve"> </w:t>
      </w:r>
      <w:r w:rsidRPr="0013373A">
        <w:rPr>
          <w:rtl/>
        </w:rPr>
        <w:t>فبراير</w:t>
      </w:r>
      <w:r>
        <w:rPr>
          <w:rFonts w:hint="cs"/>
          <w:rtl/>
        </w:rPr>
        <w:t> </w:t>
      </w:r>
      <w:r w:rsidRPr="0013373A">
        <w:rPr>
          <w:rtl/>
        </w:rPr>
        <w:t>2013، السيد مالكوم</w:t>
      </w:r>
      <w:r>
        <w:rPr>
          <w:rFonts w:hint="cs"/>
          <w:rtl/>
        </w:rPr>
        <w:t xml:space="preserve"> </w:t>
      </w:r>
      <w:r w:rsidRPr="0013373A">
        <w:rPr>
          <w:rtl/>
        </w:rPr>
        <w:t>إيفنس، بصفته رئيسا</w:t>
      </w:r>
      <w:r w:rsidR="00761DC0">
        <w:rPr>
          <w:rFonts w:hint="cs"/>
          <w:rtl/>
        </w:rPr>
        <w:t>ً</w:t>
      </w:r>
      <w:r>
        <w:rPr>
          <w:rFonts w:hint="cs"/>
          <w:rtl/>
        </w:rPr>
        <w:t>،</w:t>
      </w:r>
      <w:r w:rsidRPr="0013373A">
        <w:rPr>
          <w:rtl/>
        </w:rPr>
        <w:t xml:space="preserve"> وأربعة نواب للرئيس</w:t>
      </w:r>
      <w:r>
        <w:rPr>
          <w:rFonts w:hint="cs"/>
          <w:rtl/>
        </w:rPr>
        <w:t xml:space="preserve"> </w:t>
      </w:r>
      <w:r w:rsidRPr="0013373A">
        <w:rPr>
          <w:rtl/>
        </w:rPr>
        <w:t>تحم</w:t>
      </w:r>
      <w:r>
        <w:rPr>
          <w:rFonts w:hint="cs"/>
          <w:rtl/>
        </w:rPr>
        <w:t>ّ</w:t>
      </w:r>
      <w:r w:rsidRPr="0013373A">
        <w:rPr>
          <w:rtl/>
        </w:rPr>
        <w:t>ل كل واحد منهم مسؤولية رئيسية (تحت الإشراف العام للرئيس وبالتعاون فيما بينهم) في جانب من جوانب عمل اللجنة الفرعية على النحو المنصوص عليه في البروتوكول الاختياري. وفيما</w:t>
      </w:r>
      <w:r>
        <w:rPr>
          <w:rFonts w:hint="cs"/>
          <w:rtl/>
        </w:rPr>
        <w:t> </w:t>
      </w:r>
      <w:r w:rsidRPr="0013373A">
        <w:rPr>
          <w:rtl/>
        </w:rPr>
        <w:t xml:space="preserve">يلي أسماء نواب الرئيس الأربعة والمجالات التي تدخل في نطاق مسؤولياتهم الرئيسية: ماريو كوريولانو، الآليات الوقائية الوطنية؛ زدينك هايك، الزيارات؛ سوزان جبور، العلاقات الخارجية؛ عائشة محمد، </w:t>
      </w:r>
      <w:r>
        <w:rPr>
          <w:rFonts w:hint="cs"/>
          <w:rtl/>
        </w:rPr>
        <w:t xml:space="preserve">المسائل القضائية </w:t>
      </w:r>
      <w:r w:rsidRPr="0013373A">
        <w:rPr>
          <w:rtl/>
        </w:rPr>
        <w:t>و</w:t>
      </w:r>
      <w:r>
        <w:rPr>
          <w:rFonts w:hint="cs"/>
          <w:rtl/>
        </w:rPr>
        <w:t xml:space="preserve">شغل منصب </w:t>
      </w:r>
      <w:r w:rsidRPr="0013373A">
        <w:rPr>
          <w:rtl/>
        </w:rPr>
        <w:t xml:space="preserve">مقررة اللجنة الفرعية. وفي 1 </w:t>
      </w:r>
      <w:r>
        <w:rPr>
          <w:rFonts w:hint="cs"/>
          <w:rtl/>
        </w:rPr>
        <w:t>تشرين الأول/أكتوبر</w:t>
      </w:r>
      <w:r w:rsidRPr="0013373A">
        <w:rPr>
          <w:rtl/>
        </w:rPr>
        <w:t xml:space="preserve"> 2012، استقال السيد كوريولانو، بعد انتخابه لعضوية اللجنة الاستشارية لمجلس حقوق الإنسان.</w:t>
      </w:r>
    </w:p>
    <w:p w:rsidR="00631BFA" w:rsidRPr="0013373A" w:rsidRDefault="00631BFA" w:rsidP="00761DC0">
      <w:pPr>
        <w:pStyle w:val="SingleTxtGA"/>
        <w:rPr>
          <w:rtl/>
          <w:lang/>
        </w:rPr>
      </w:pPr>
      <w:r w:rsidRPr="0013373A">
        <w:rPr>
          <w:rtl/>
        </w:rPr>
        <w:t>10-</w:t>
      </w:r>
      <w:r w:rsidRPr="0013373A">
        <w:rPr>
          <w:rtl/>
        </w:rPr>
        <w:tab/>
        <w:t>وأوردت اللجنة</w:t>
      </w:r>
      <w:r>
        <w:rPr>
          <w:rFonts w:hint="cs"/>
          <w:rtl/>
        </w:rPr>
        <w:t xml:space="preserve"> الفرعية</w:t>
      </w:r>
      <w:r w:rsidRPr="0013373A">
        <w:rPr>
          <w:rtl/>
        </w:rPr>
        <w:t>، في تقريرها السنوي الخامس (</w:t>
      </w:r>
      <w:r w:rsidRPr="0013373A">
        <w:rPr>
          <w:spacing w:val="-2"/>
        </w:rPr>
        <w:t>CAT/C/48/3</w:t>
      </w:r>
      <w:r>
        <w:rPr>
          <w:rFonts w:hint="cs"/>
          <w:rtl/>
        </w:rPr>
        <w:t xml:space="preserve">، </w:t>
      </w:r>
      <w:r w:rsidRPr="0013373A">
        <w:rPr>
          <w:rtl/>
        </w:rPr>
        <w:t xml:space="preserve">الفقرة 10)، </w:t>
      </w:r>
      <w:r>
        <w:rPr>
          <w:rFonts w:hint="cs"/>
          <w:rtl/>
        </w:rPr>
        <w:t>معلومات تفصيلية</w:t>
      </w:r>
      <w:r w:rsidRPr="0013373A">
        <w:rPr>
          <w:rtl/>
        </w:rPr>
        <w:t xml:space="preserve"> عن </w:t>
      </w:r>
      <w:r>
        <w:rPr>
          <w:rFonts w:hint="cs"/>
          <w:rtl/>
        </w:rPr>
        <w:t>ال</w:t>
      </w:r>
      <w:r w:rsidRPr="0013373A">
        <w:rPr>
          <w:rtl/>
        </w:rPr>
        <w:t xml:space="preserve">نظام </w:t>
      </w:r>
      <w:r>
        <w:rPr>
          <w:rFonts w:hint="cs"/>
          <w:rtl/>
        </w:rPr>
        <w:t>الخاص ب</w:t>
      </w:r>
      <w:r w:rsidRPr="0013373A">
        <w:rPr>
          <w:rtl/>
        </w:rPr>
        <w:t xml:space="preserve">جهات </w:t>
      </w:r>
      <w:r>
        <w:rPr>
          <w:rFonts w:hint="cs"/>
          <w:rtl/>
        </w:rPr>
        <w:t xml:space="preserve">الاتصال </w:t>
      </w:r>
      <w:r w:rsidRPr="0013373A">
        <w:rPr>
          <w:rtl/>
        </w:rPr>
        <w:t>الإقليمية و</w:t>
      </w:r>
      <w:r w:rsidRPr="0013373A">
        <w:rPr>
          <w:rtl/>
          <w:lang/>
        </w:rPr>
        <w:t>فرق العمل الإقليمية المعنية بالآليات الوقائية الوطنية ال</w:t>
      </w:r>
      <w:r>
        <w:rPr>
          <w:rFonts w:hint="cs"/>
          <w:rtl/>
          <w:lang/>
        </w:rPr>
        <w:t>ذي</w:t>
      </w:r>
      <w:r w:rsidRPr="0013373A">
        <w:rPr>
          <w:rtl/>
          <w:lang/>
        </w:rPr>
        <w:t xml:space="preserve"> تم</w:t>
      </w:r>
      <w:r>
        <w:rPr>
          <w:rFonts w:hint="cs"/>
          <w:rtl/>
          <w:lang/>
        </w:rPr>
        <w:t xml:space="preserve"> إنشاؤه</w:t>
      </w:r>
      <w:r w:rsidRPr="0013373A">
        <w:rPr>
          <w:rtl/>
          <w:lang/>
        </w:rPr>
        <w:t>. وي</w:t>
      </w:r>
      <w:r>
        <w:rPr>
          <w:rFonts w:hint="cs"/>
          <w:rtl/>
          <w:lang/>
        </w:rPr>
        <w:t>ت</w:t>
      </w:r>
      <w:r w:rsidRPr="0013373A">
        <w:rPr>
          <w:rtl/>
          <w:lang/>
        </w:rPr>
        <w:t xml:space="preserve">مثل دور جهات </w:t>
      </w:r>
      <w:r>
        <w:rPr>
          <w:rFonts w:hint="cs"/>
          <w:rtl/>
          <w:lang/>
        </w:rPr>
        <w:t xml:space="preserve">الاتصال </w:t>
      </w:r>
      <w:r w:rsidRPr="0013373A">
        <w:rPr>
          <w:rtl/>
          <w:lang/>
        </w:rPr>
        <w:t xml:space="preserve">في الاضطلاع بأنشطة الاتصال وتيسير </w:t>
      </w:r>
      <w:r>
        <w:rPr>
          <w:rFonts w:hint="cs"/>
          <w:rtl/>
          <w:lang/>
        </w:rPr>
        <w:t>تنسيق عمل</w:t>
      </w:r>
      <w:r w:rsidRPr="0013373A">
        <w:rPr>
          <w:rtl/>
          <w:lang/>
        </w:rPr>
        <w:t xml:space="preserve"> اللجنة الفرعية بداخل المناطق التي تُعنى بها تلك الجهات وقيادة عمل فرق العمل الإقليمية المعنية بالآليات الوقائية الوطنية. و</w:t>
      </w:r>
      <w:r>
        <w:rPr>
          <w:rFonts w:hint="cs"/>
          <w:rtl/>
          <w:lang/>
        </w:rPr>
        <w:t xml:space="preserve">ترد </w:t>
      </w:r>
      <w:r w:rsidRPr="0013373A">
        <w:rPr>
          <w:rtl/>
          <w:lang/>
        </w:rPr>
        <w:t xml:space="preserve">فيما يلي أسماء منسقي جهات </w:t>
      </w:r>
      <w:r>
        <w:rPr>
          <w:rFonts w:hint="cs"/>
          <w:rtl/>
          <w:lang/>
        </w:rPr>
        <w:t xml:space="preserve">الاتصال </w:t>
      </w:r>
      <w:r w:rsidRPr="0013373A">
        <w:rPr>
          <w:rtl/>
          <w:lang/>
        </w:rPr>
        <w:t xml:space="preserve">الإقليمية: أفريقيا، </w:t>
      </w:r>
      <w:r>
        <w:rPr>
          <w:rFonts w:hint="cs"/>
          <w:rtl/>
          <w:lang/>
        </w:rPr>
        <w:t xml:space="preserve">فورتوني </w:t>
      </w:r>
      <w:r w:rsidRPr="0013373A">
        <w:rPr>
          <w:rtl/>
          <w:lang/>
        </w:rPr>
        <w:t>زونغو؛ آسيا ومنطقة المحيط</w:t>
      </w:r>
      <w:r>
        <w:rPr>
          <w:rtl/>
          <w:lang/>
        </w:rPr>
        <w:t xml:space="preserve"> الهادئ، لويل غودارد،؛ أوروبا، </w:t>
      </w:r>
      <w:r w:rsidRPr="0013373A">
        <w:rPr>
          <w:rtl/>
          <w:lang/>
        </w:rPr>
        <w:t>ماري أموس؛ أمريكا اللاتينية،</w:t>
      </w:r>
      <w:r>
        <w:rPr>
          <w:rFonts w:hint="cs"/>
          <w:rtl/>
          <w:lang/>
        </w:rPr>
        <w:t xml:space="preserve"> </w:t>
      </w:r>
      <w:r>
        <w:rPr>
          <w:rtl/>
          <w:lang/>
        </w:rPr>
        <w:t xml:space="preserve">فيكتور. رودريغس </w:t>
      </w:r>
      <w:r w:rsidRPr="0013373A">
        <w:rPr>
          <w:rtl/>
          <w:lang/>
        </w:rPr>
        <w:t>ريسيا. وخلال الفترة المشمولة بالتقرير، تم تطوير فرق العمل الإقليمية لت</w:t>
      </w:r>
      <w:r>
        <w:rPr>
          <w:rFonts w:hint="cs"/>
          <w:rtl/>
          <w:lang/>
        </w:rPr>
        <w:t>ُ</w:t>
      </w:r>
      <w:r w:rsidRPr="0013373A">
        <w:rPr>
          <w:rtl/>
          <w:lang/>
        </w:rPr>
        <w:t>شكل اللبنة الأولى لعمل اللجنة الفرعية. وتجتمع فرق العمل بالتوازي أثناء الجلسات العامة للنظر في التطورات المتصلة بالآليات الوقائية الوطنية بداخل المناطق التي تُعنى بها. وت</w:t>
      </w:r>
      <w:r>
        <w:rPr>
          <w:rFonts w:hint="cs"/>
          <w:rtl/>
          <w:lang/>
        </w:rPr>
        <w:t>ُ</w:t>
      </w:r>
      <w:r w:rsidRPr="0013373A">
        <w:rPr>
          <w:rtl/>
          <w:lang/>
        </w:rPr>
        <w:t xml:space="preserve">قدم تقريراً إلى الجلسة العامة مرفوقاً بتوصيات بشأن </w:t>
      </w:r>
      <w:r>
        <w:rPr>
          <w:rFonts w:hint="cs"/>
          <w:rtl/>
          <w:lang/>
        </w:rPr>
        <w:t xml:space="preserve">تصميم </w:t>
      </w:r>
      <w:r w:rsidRPr="0013373A">
        <w:rPr>
          <w:rtl/>
          <w:lang/>
        </w:rPr>
        <w:t xml:space="preserve">خطط </w:t>
      </w:r>
      <w:r>
        <w:rPr>
          <w:rFonts w:hint="cs"/>
          <w:rtl/>
          <w:lang/>
        </w:rPr>
        <w:t>تستهدف توسيع</w:t>
      </w:r>
      <w:r w:rsidRPr="0013373A">
        <w:rPr>
          <w:rtl/>
          <w:lang/>
        </w:rPr>
        <w:t xml:space="preserve"> </w:t>
      </w:r>
      <w:r>
        <w:rPr>
          <w:rFonts w:hint="cs"/>
          <w:rtl/>
          <w:lang/>
        </w:rPr>
        <w:t>مشاركة</w:t>
      </w:r>
      <w:r w:rsidRPr="0013373A">
        <w:rPr>
          <w:rtl/>
          <w:lang/>
        </w:rPr>
        <w:t xml:space="preserve"> </w:t>
      </w:r>
      <w:r>
        <w:rPr>
          <w:rFonts w:hint="cs"/>
          <w:rtl/>
          <w:lang/>
        </w:rPr>
        <w:t xml:space="preserve">اللجنة </w:t>
      </w:r>
      <w:r w:rsidRPr="0013373A">
        <w:rPr>
          <w:rtl/>
          <w:lang/>
        </w:rPr>
        <w:t xml:space="preserve">الفرعية في المستقبل. </w:t>
      </w:r>
      <w:r>
        <w:rPr>
          <w:rFonts w:hint="cs"/>
          <w:rtl/>
          <w:lang/>
        </w:rPr>
        <w:t>وت</w:t>
      </w:r>
      <w:r w:rsidRPr="0013373A">
        <w:rPr>
          <w:rtl/>
          <w:lang/>
        </w:rPr>
        <w:t>قدم فرق العمل أيضاً</w:t>
      </w:r>
      <w:r>
        <w:rPr>
          <w:rFonts w:hint="cs"/>
          <w:rtl/>
          <w:lang/>
        </w:rPr>
        <w:t>،</w:t>
      </w:r>
      <w:r w:rsidRPr="0013373A">
        <w:rPr>
          <w:rtl/>
          <w:lang/>
        </w:rPr>
        <w:t xml:space="preserve"> استناداً إلى </w:t>
      </w:r>
      <w:r>
        <w:rPr>
          <w:rFonts w:hint="cs"/>
          <w:rtl/>
          <w:lang/>
        </w:rPr>
        <w:t>ما اكتسبته من معرفة وخبرة على الصعيد الإقليمي</w:t>
      </w:r>
      <w:r w:rsidRPr="0013373A">
        <w:rPr>
          <w:rtl/>
          <w:lang/>
        </w:rPr>
        <w:t>، توصيات إلى الجلسة العامة بشأن برنامج الزيار</w:t>
      </w:r>
      <w:r>
        <w:rPr>
          <w:rFonts w:hint="cs"/>
          <w:rtl/>
          <w:lang/>
        </w:rPr>
        <w:t>ات</w:t>
      </w:r>
      <w:r w:rsidRPr="0013373A">
        <w:rPr>
          <w:rtl/>
          <w:lang/>
        </w:rPr>
        <w:t xml:space="preserve"> للعا</w:t>
      </w:r>
      <w:r>
        <w:rPr>
          <w:rtl/>
          <w:lang/>
        </w:rPr>
        <w:t>م القادم، بما يكفل وضع برنامج زيار</w:t>
      </w:r>
      <w:r>
        <w:rPr>
          <w:rFonts w:hint="cs"/>
          <w:rtl/>
          <w:lang/>
        </w:rPr>
        <w:t>ات</w:t>
      </w:r>
      <w:r>
        <w:rPr>
          <w:rtl/>
          <w:lang/>
        </w:rPr>
        <w:t xml:space="preserve"> </w:t>
      </w:r>
      <w:r w:rsidRPr="0013373A">
        <w:rPr>
          <w:rtl/>
          <w:lang/>
        </w:rPr>
        <w:t xml:space="preserve">عالمي على أساس منطقي وقائم على المشاركة وفقاً </w:t>
      </w:r>
      <w:r>
        <w:rPr>
          <w:rFonts w:hint="cs"/>
          <w:rtl/>
          <w:lang/>
        </w:rPr>
        <w:t xml:space="preserve">لمعايير </w:t>
      </w:r>
      <w:r w:rsidRPr="0013373A">
        <w:rPr>
          <w:rtl/>
          <w:lang/>
        </w:rPr>
        <w:t>التشغيل الاستراتيجي</w:t>
      </w:r>
      <w:r>
        <w:rPr>
          <w:rFonts w:hint="cs"/>
          <w:rtl/>
          <w:lang/>
        </w:rPr>
        <w:t>ة</w:t>
      </w:r>
      <w:r w:rsidRPr="0013373A">
        <w:rPr>
          <w:rtl/>
          <w:lang/>
        </w:rPr>
        <w:t xml:space="preserve"> </w:t>
      </w:r>
      <w:r>
        <w:rPr>
          <w:rFonts w:hint="cs"/>
          <w:rtl/>
          <w:lang/>
        </w:rPr>
        <w:t xml:space="preserve">التي تطبق </w:t>
      </w:r>
      <w:r w:rsidRPr="0013373A">
        <w:rPr>
          <w:rtl/>
          <w:lang/>
        </w:rPr>
        <w:t>بشكل محايد.</w:t>
      </w:r>
    </w:p>
    <w:p w:rsidR="00631BFA" w:rsidRPr="001D1516" w:rsidRDefault="00631BFA" w:rsidP="00510C3D">
      <w:pPr>
        <w:pStyle w:val="SingleTxtGA"/>
        <w:rPr>
          <w:spacing w:val="-2"/>
          <w:rtl/>
          <w:lang/>
        </w:rPr>
      </w:pPr>
      <w:r w:rsidRPr="0013373A">
        <w:rPr>
          <w:rtl/>
          <w:lang/>
        </w:rPr>
        <w:t>11-</w:t>
      </w:r>
      <w:r>
        <w:rPr>
          <w:rFonts w:hint="cs"/>
          <w:rtl/>
          <w:lang/>
        </w:rPr>
        <w:tab/>
      </w:r>
      <w:r>
        <w:rPr>
          <w:rtl/>
          <w:lang/>
        </w:rPr>
        <w:t xml:space="preserve">واجتمع </w:t>
      </w:r>
      <w:r>
        <w:rPr>
          <w:rFonts w:hint="cs"/>
          <w:rtl/>
          <w:lang/>
        </w:rPr>
        <w:t xml:space="preserve">فريقا العمل المعنيان بمسائل </w:t>
      </w:r>
      <w:r w:rsidRPr="0013373A">
        <w:rPr>
          <w:rtl/>
          <w:lang/>
        </w:rPr>
        <w:t xml:space="preserve">الأمن والمسائل الطبية </w:t>
      </w:r>
      <w:r>
        <w:rPr>
          <w:rFonts w:hint="cs"/>
          <w:rtl/>
          <w:lang/>
        </w:rPr>
        <w:t xml:space="preserve">التابعان </w:t>
      </w:r>
      <w:r w:rsidRPr="0013373A">
        <w:rPr>
          <w:rtl/>
          <w:lang/>
        </w:rPr>
        <w:t xml:space="preserve">للجنة الفرعية خلال الفترة المشمولة بالتقرير. </w:t>
      </w:r>
      <w:r>
        <w:rPr>
          <w:rtl/>
          <w:lang/>
        </w:rPr>
        <w:t>وأبرم</w:t>
      </w:r>
      <w:r>
        <w:rPr>
          <w:rFonts w:hint="cs"/>
          <w:rtl/>
          <w:lang/>
        </w:rPr>
        <w:t xml:space="preserve"> الفريقان </w:t>
      </w:r>
      <w:r w:rsidRPr="0013373A">
        <w:rPr>
          <w:rtl/>
          <w:lang/>
        </w:rPr>
        <w:t xml:space="preserve">بروتوكولاً بشأن الأمن الميداني </w:t>
      </w:r>
      <w:r w:rsidRPr="001D1516">
        <w:rPr>
          <w:spacing w:val="-2"/>
          <w:rtl/>
          <w:lang/>
        </w:rPr>
        <w:t>أثناء زيارات اللجنة الفرعية. وفي الدورة السابعة عشر</w:t>
      </w:r>
      <w:r>
        <w:rPr>
          <w:rFonts w:hint="cs"/>
          <w:spacing w:val="-2"/>
          <w:rtl/>
          <w:lang/>
        </w:rPr>
        <w:t>ة</w:t>
      </w:r>
      <w:r w:rsidRPr="001D1516">
        <w:rPr>
          <w:spacing w:val="-2"/>
          <w:rtl/>
          <w:lang/>
        </w:rPr>
        <w:t xml:space="preserve"> للجنة الفرعية، عقد فريق العمل المعني بالمسائل الطبية حلقة عمل موضوعها الصحة العقلية في أماكن الاحتجاز، بمشاركة ثمانية خبراء وطنيين وبدعم مالي سخي </w:t>
      </w:r>
      <w:r w:rsidRPr="001D1516">
        <w:rPr>
          <w:rFonts w:hint="cs"/>
          <w:spacing w:val="-2"/>
          <w:rtl/>
          <w:lang/>
        </w:rPr>
        <w:t xml:space="preserve">قدمته وزارة الخارجية الألمانية </w:t>
      </w:r>
      <w:r w:rsidRPr="001D1516">
        <w:rPr>
          <w:spacing w:val="-2"/>
          <w:rtl/>
          <w:lang/>
        </w:rPr>
        <w:t>ومساعدة رابطة منع التعذيب.</w:t>
      </w:r>
    </w:p>
    <w:p w:rsidR="00631BFA" w:rsidRPr="0013373A" w:rsidRDefault="00631BFA" w:rsidP="00631BFA">
      <w:pPr>
        <w:pStyle w:val="SingleTxtGA"/>
        <w:rPr>
          <w:rtl/>
          <w:lang/>
        </w:rPr>
      </w:pPr>
      <w:r w:rsidRPr="0013373A">
        <w:rPr>
          <w:rtl/>
          <w:lang/>
        </w:rPr>
        <w:t>12-</w:t>
      </w:r>
      <w:r>
        <w:rPr>
          <w:rFonts w:hint="cs"/>
          <w:rtl/>
          <w:lang/>
        </w:rPr>
        <w:tab/>
        <w:t>و</w:t>
      </w:r>
      <w:r w:rsidRPr="0013373A">
        <w:rPr>
          <w:rtl/>
          <w:lang/>
        </w:rPr>
        <w:t>قررت اللجنة الفرعية</w:t>
      </w:r>
      <w:r>
        <w:rPr>
          <w:rFonts w:hint="cs"/>
          <w:rtl/>
          <w:lang/>
        </w:rPr>
        <w:t>،</w:t>
      </w:r>
      <w:r w:rsidRPr="0013373A">
        <w:rPr>
          <w:rtl/>
          <w:lang/>
        </w:rPr>
        <w:t xml:space="preserve"> في دورتها السابعة عشر</w:t>
      </w:r>
      <w:r>
        <w:rPr>
          <w:rFonts w:hint="cs"/>
          <w:rtl/>
          <w:lang/>
        </w:rPr>
        <w:t>ة</w:t>
      </w:r>
      <w:r w:rsidRPr="0013373A">
        <w:rPr>
          <w:rtl/>
          <w:lang/>
        </w:rPr>
        <w:t xml:space="preserve"> (حزيران/يونيه 2012)، </w:t>
      </w:r>
      <w:r>
        <w:rPr>
          <w:rtl/>
          <w:lang/>
        </w:rPr>
        <w:t xml:space="preserve">استحداث عدد من </w:t>
      </w:r>
      <w:r>
        <w:rPr>
          <w:rFonts w:hint="cs"/>
          <w:rtl/>
          <w:lang/>
        </w:rPr>
        <w:t xml:space="preserve">أفرقة </w:t>
      </w:r>
      <w:r w:rsidRPr="0013373A">
        <w:rPr>
          <w:rtl/>
          <w:lang/>
        </w:rPr>
        <w:t>العمل المخصصة، وسيرد أدناه المزيد من المعلومات بشأنها في الفرعين ألف وباء من الفصل الرابع.</w:t>
      </w:r>
    </w:p>
    <w:p w:rsidR="00631BFA" w:rsidRPr="0013373A" w:rsidRDefault="00631BFA" w:rsidP="00631BFA">
      <w:pPr>
        <w:pStyle w:val="SingleTxtGA"/>
        <w:rPr>
          <w:rtl/>
        </w:rPr>
      </w:pPr>
      <w:r w:rsidRPr="0013373A">
        <w:rPr>
          <w:rtl/>
          <w:lang/>
        </w:rPr>
        <w:t>13-</w:t>
      </w:r>
      <w:r>
        <w:rPr>
          <w:rFonts w:hint="cs"/>
          <w:rtl/>
          <w:lang/>
        </w:rPr>
        <w:tab/>
      </w:r>
      <w:r w:rsidRPr="0013373A">
        <w:rPr>
          <w:rtl/>
          <w:lang/>
        </w:rPr>
        <w:t>وتعكس جميع التطورات المشار إليها أعلاه رغبة اللجنة الفرعية في الاستفادة إلى أقصى حد</w:t>
      </w:r>
      <w:r>
        <w:rPr>
          <w:rFonts w:hint="cs"/>
          <w:rtl/>
          <w:lang/>
        </w:rPr>
        <w:t>ِ</w:t>
      </w:r>
      <w:r w:rsidRPr="0013373A">
        <w:rPr>
          <w:rtl/>
          <w:lang/>
        </w:rPr>
        <w:t xml:space="preserve"> من </w:t>
      </w:r>
      <w:r>
        <w:rPr>
          <w:rFonts w:hint="cs"/>
          <w:rtl/>
          <w:lang/>
        </w:rPr>
        <w:t>ال</w:t>
      </w:r>
      <w:r>
        <w:rPr>
          <w:rtl/>
          <w:lang/>
        </w:rPr>
        <w:t>إمكان</w:t>
      </w:r>
      <w:r w:rsidRPr="0013373A">
        <w:rPr>
          <w:rtl/>
          <w:lang/>
        </w:rPr>
        <w:t xml:space="preserve">ات </w:t>
      </w:r>
      <w:r>
        <w:rPr>
          <w:rFonts w:hint="cs"/>
          <w:rtl/>
          <w:lang/>
        </w:rPr>
        <w:t xml:space="preserve">التي تقدمها </w:t>
      </w:r>
      <w:r w:rsidRPr="0013373A">
        <w:rPr>
          <w:rtl/>
          <w:lang/>
        </w:rPr>
        <w:t xml:space="preserve">جلساتها العامة </w:t>
      </w:r>
      <w:r>
        <w:rPr>
          <w:rFonts w:hint="cs"/>
          <w:rtl/>
          <w:lang/>
        </w:rPr>
        <w:t>ب</w:t>
      </w:r>
      <w:r>
        <w:rPr>
          <w:rtl/>
          <w:lang/>
        </w:rPr>
        <w:t xml:space="preserve">الاجتماع في شكل </w:t>
      </w:r>
      <w:r>
        <w:rPr>
          <w:rFonts w:hint="cs"/>
          <w:rtl/>
          <w:lang/>
        </w:rPr>
        <w:t xml:space="preserve">أفرقة </w:t>
      </w:r>
      <w:r>
        <w:rPr>
          <w:rtl/>
          <w:lang/>
        </w:rPr>
        <w:t xml:space="preserve">فرعية </w:t>
      </w:r>
      <w:r>
        <w:rPr>
          <w:rFonts w:hint="cs"/>
          <w:rtl/>
          <w:lang/>
        </w:rPr>
        <w:t xml:space="preserve">وأفرقة </w:t>
      </w:r>
      <w:r w:rsidRPr="0013373A">
        <w:rPr>
          <w:rtl/>
          <w:lang/>
        </w:rPr>
        <w:t xml:space="preserve">عمل مما يسهل </w:t>
      </w:r>
      <w:r>
        <w:rPr>
          <w:rFonts w:hint="cs"/>
          <w:rtl/>
          <w:lang/>
        </w:rPr>
        <w:t>تناول</w:t>
      </w:r>
      <w:r w:rsidRPr="0013373A">
        <w:rPr>
          <w:rtl/>
          <w:lang/>
        </w:rPr>
        <w:t xml:space="preserve"> مجموعة </w:t>
      </w:r>
      <w:r>
        <w:rPr>
          <w:rFonts w:hint="cs"/>
          <w:rtl/>
          <w:lang/>
        </w:rPr>
        <w:t>أوسع</w:t>
      </w:r>
      <w:r w:rsidRPr="0013373A">
        <w:rPr>
          <w:rtl/>
          <w:lang/>
        </w:rPr>
        <w:t xml:space="preserve"> من </w:t>
      </w:r>
      <w:r>
        <w:rPr>
          <w:rFonts w:hint="cs"/>
          <w:rtl/>
          <w:lang/>
        </w:rPr>
        <w:t>المسائل</w:t>
      </w:r>
      <w:r w:rsidRPr="0013373A">
        <w:rPr>
          <w:rtl/>
          <w:lang/>
        </w:rPr>
        <w:t>، بمزيد من التركيز والتعمق وعلى نحو شامل</w:t>
      </w:r>
      <w:r>
        <w:rPr>
          <w:rFonts w:hint="cs"/>
          <w:rtl/>
          <w:lang/>
        </w:rPr>
        <w:t>، وهو</w:t>
      </w:r>
      <w:r>
        <w:rPr>
          <w:rtl/>
          <w:lang/>
        </w:rPr>
        <w:t xml:space="preserve"> </w:t>
      </w:r>
      <w:r w:rsidRPr="0013373A">
        <w:rPr>
          <w:rtl/>
          <w:lang/>
        </w:rPr>
        <w:t>ما كان متعذراً لولا ذلك.</w:t>
      </w:r>
    </w:p>
    <w:p w:rsidR="00631BFA" w:rsidRPr="001B47DC" w:rsidRDefault="00631BFA" w:rsidP="00510C3D">
      <w:pPr>
        <w:pStyle w:val="H1GA"/>
        <w:rPr>
          <w:rFonts w:hint="cs"/>
          <w:rtl/>
          <w:lang w:val="fr-CH"/>
        </w:rPr>
      </w:pPr>
      <w:r w:rsidRPr="001B47DC">
        <w:rPr>
          <w:rFonts w:hint="cs"/>
          <w:rtl/>
          <w:lang w:val="fr-CH"/>
        </w:rPr>
        <w:tab/>
      </w:r>
      <w:bookmarkStart w:id="4" w:name="_Toc322593343"/>
      <w:r w:rsidRPr="001B47DC">
        <w:rPr>
          <w:rFonts w:hint="cs"/>
          <w:rtl/>
          <w:lang w:val="fr-CH"/>
        </w:rPr>
        <w:t>جيم-</w:t>
      </w:r>
      <w:r w:rsidRPr="001B47DC">
        <w:rPr>
          <w:rFonts w:hint="cs"/>
          <w:rtl/>
          <w:lang w:val="fr-CH"/>
        </w:rPr>
        <w:tab/>
        <w:t>الزيارات التي أجريت خلال الفترة المشمولة بالتقرير</w:t>
      </w:r>
      <w:bookmarkEnd w:id="4"/>
    </w:p>
    <w:p w:rsidR="00631BFA" w:rsidRPr="0013373A" w:rsidRDefault="00631BFA" w:rsidP="00631BFA">
      <w:pPr>
        <w:pStyle w:val="SingleTxtGA"/>
        <w:rPr>
          <w:rtl/>
          <w:lang w:val="fr-CH"/>
        </w:rPr>
      </w:pPr>
      <w:r>
        <w:rPr>
          <w:rFonts w:hint="cs"/>
          <w:rtl/>
          <w:lang w:val="fr-CH"/>
        </w:rPr>
        <w:t>14</w:t>
      </w:r>
      <w:r w:rsidRPr="0013373A">
        <w:rPr>
          <w:rtl/>
          <w:lang w:val="fr-CH"/>
        </w:rPr>
        <w:t>-</w:t>
      </w:r>
      <w:r w:rsidRPr="0013373A">
        <w:rPr>
          <w:rtl/>
          <w:lang w:val="fr-CH"/>
        </w:rPr>
        <w:tab/>
      </w:r>
      <w:r w:rsidRPr="0013373A">
        <w:rPr>
          <w:rtl/>
          <w:lang/>
        </w:rPr>
        <w:t xml:space="preserve">في عام </w:t>
      </w:r>
      <w:r>
        <w:rPr>
          <w:rFonts w:hint="cs"/>
          <w:rtl/>
          <w:lang/>
        </w:rPr>
        <w:t xml:space="preserve">2012، </w:t>
      </w:r>
      <w:r w:rsidRPr="0013373A">
        <w:rPr>
          <w:rtl/>
          <w:lang w:val="fr-CH"/>
        </w:rPr>
        <w:t xml:space="preserve">قامت اللجنة الفرعية بخمس زيارات </w:t>
      </w:r>
      <w:r w:rsidRPr="0013373A">
        <w:rPr>
          <w:rtl/>
          <w:lang/>
        </w:rPr>
        <w:t>تنفيذاً لولايتها.</w:t>
      </w:r>
    </w:p>
    <w:p w:rsidR="00631BFA" w:rsidRPr="0013373A" w:rsidRDefault="00631BFA" w:rsidP="00631BFA">
      <w:pPr>
        <w:pStyle w:val="SingleTxtGA"/>
        <w:rPr>
          <w:rtl/>
          <w:lang w:val="fr-CH"/>
        </w:rPr>
      </w:pPr>
      <w:r w:rsidRPr="0013373A">
        <w:rPr>
          <w:rtl/>
          <w:lang w:val="fr-CH"/>
        </w:rPr>
        <w:t>15-</w:t>
      </w:r>
      <w:r w:rsidRPr="0013373A">
        <w:rPr>
          <w:rtl/>
          <w:lang w:val="fr-CH"/>
        </w:rPr>
        <w:tab/>
        <w:t>واتبعت زيارتان</w:t>
      </w:r>
      <w:r>
        <w:rPr>
          <w:rFonts w:hint="cs"/>
          <w:rtl/>
          <w:lang w:val="fr-CH"/>
        </w:rPr>
        <w:t>، قامت بهما اللجنة الفرعية،</w:t>
      </w:r>
      <w:r w:rsidRPr="0013373A">
        <w:rPr>
          <w:rtl/>
          <w:lang w:val="fr-CH"/>
        </w:rPr>
        <w:t xml:space="preserve"> نمط الزيارة القائم بموجب المادة</w:t>
      </w:r>
      <w:r>
        <w:rPr>
          <w:rtl/>
          <w:lang w:val="fr-CH"/>
        </w:rPr>
        <w:t xml:space="preserve"> 11</w:t>
      </w:r>
      <w:r w:rsidRPr="0013373A">
        <w:rPr>
          <w:rtl/>
          <w:lang w:val="fr-CH"/>
        </w:rPr>
        <w:t xml:space="preserve">(أ) من البرتوكول الاختياري. وفي الفترة من 18 إلى 27 نيسان/أبريل 2012، زارت اللجنة الفرعية الأرجنتين، وهي سادس بلد تزوره في أمريكا اللاتينية. وفي الفترة من 19 إلى 28 أيلول/سبتمبر 2012، زارت </w:t>
      </w:r>
      <w:r w:rsidRPr="0013373A">
        <w:rPr>
          <w:rtl/>
          <w:lang/>
        </w:rPr>
        <w:t>قيرغيزستان</w:t>
      </w:r>
      <w:r>
        <w:rPr>
          <w:rFonts w:hint="cs"/>
          <w:rtl/>
          <w:lang/>
        </w:rPr>
        <w:t xml:space="preserve"> بصفتها</w:t>
      </w:r>
      <w:r w:rsidRPr="0013373A">
        <w:rPr>
          <w:rtl/>
          <w:lang/>
        </w:rPr>
        <w:t xml:space="preserve"> رابع بلد تزوره في آسيا. وأعلنت اللجنة الفرعية عن نيتها الاضطلاع </w:t>
      </w:r>
      <w:r>
        <w:rPr>
          <w:rFonts w:hint="cs"/>
          <w:rtl/>
          <w:lang/>
        </w:rPr>
        <w:t>ب</w:t>
      </w:r>
      <w:r w:rsidRPr="0013373A">
        <w:rPr>
          <w:rtl/>
          <w:lang/>
        </w:rPr>
        <w:t>زيارة</w:t>
      </w:r>
      <w:r>
        <w:rPr>
          <w:rFonts w:hint="cs"/>
          <w:rtl/>
          <w:lang/>
        </w:rPr>
        <w:t xml:space="preserve"> ثالثة،</w:t>
      </w:r>
      <w:r w:rsidRPr="0013373A">
        <w:rPr>
          <w:rtl/>
          <w:lang/>
        </w:rPr>
        <w:t xml:space="preserve"> إلى </w:t>
      </w:r>
      <w:r>
        <w:rPr>
          <w:rFonts w:hint="cs"/>
          <w:rtl/>
          <w:lang/>
        </w:rPr>
        <w:t>غابون،</w:t>
      </w:r>
      <w:r w:rsidRPr="0013373A">
        <w:rPr>
          <w:rtl/>
          <w:lang/>
        </w:rPr>
        <w:t xml:space="preserve"> خلال عام 2012، بيد أن هذه الزيارة تأجلت لأسباب تشغيلية.</w:t>
      </w:r>
    </w:p>
    <w:p w:rsidR="00631BFA" w:rsidRPr="0013373A" w:rsidRDefault="00631BFA" w:rsidP="00631BFA">
      <w:pPr>
        <w:pStyle w:val="SingleTxtGA"/>
        <w:rPr>
          <w:rtl/>
          <w:lang w:val="fr-CH"/>
        </w:rPr>
      </w:pPr>
      <w:r w:rsidRPr="0013373A">
        <w:rPr>
          <w:rtl/>
          <w:lang w:val="fr-CH"/>
        </w:rPr>
        <w:t>16-</w:t>
      </w:r>
      <w:r w:rsidRPr="0013373A">
        <w:rPr>
          <w:rtl/>
          <w:lang w:val="fr-CH"/>
        </w:rPr>
        <w:tab/>
        <w:t>و</w:t>
      </w:r>
      <w:r>
        <w:rPr>
          <w:rFonts w:hint="cs"/>
          <w:rtl/>
          <w:lang w:val="fr-CH"/>
        </w:rPr>
        <w:t xml:space="preserve">اضطلعت اللجنة الفرعية، </w:t>
      </w:r>
      <w:r w:rsidRPr="0013373A">
        <w:rPr>
          <w:rtl/>
          <w:lang w:val="fr-CH"/>
        </w:rPr>
        <w:t>عملاً بالولاي</w:t>
      </w:r>
      <w:r>
        <w:rPr>
          <w:rtl/>
          <w:lang w:val="fr-CH"/>
        </w:rPr>
        <w:t>ة الموكلة إليها بموجب المادة 11</w:t>
      </w:r>
      <w:r w:rsidRPr="0013373A">
        <w:rPr>
          <w:rtl/>
          <w:lang w:val="fr-CH"/>
        </w:rPr>
        <w:t>(ب) والمادة</w:t>
      </w:r>
      <w:r>
        <w:rPr>
          <w:rFonts w:hint="cs"/>
          <w:rtl/>
          <w:lang w:val="fr-CH"/>
        </w:rPr>
        <w:t> </w:t>
      </w:r>
      <w:r w:rsidRPr="0013373A">
        <w:rPr>
          <w:rtl/>
          <w:lang w:val="fr-CH"/>
        </w:rPr>
        <w:t xml:space="preserve">12 من البروتوكول الاختياري، في عام 2012 وللمرة الأولى </w:t>
      </w:r>
      <w:r w:rsidRPr="0013373A">
        <w:rPr>
          <w:rtl/>
          <w:lang/>
        </w:rPr>
        <w:t xml:space="preserve">بزيارات استشارية قصيرة بشأن إنشاء </w:t>
      </w:r>
      <w:r>
        <w:rPr>
          <w:rFonts w:hint="cs"/>
          <w:rtl/>
          <w:lang/>
        </w:rPr>
        <w:t xml:space="preserve">آليات </w:t>
      </w:r>
      <w:r w:rsidRPr="0013373A">
        <w:rPr>
          <w:rtl/>
          <w:lang/>
        </w:rPr>
        <w:t>وقائية وطنية وتشغيلها في هندوراس (نيسان/أبريل و</w:t>
      </w:r>
      <w:r>
        <w:rPr>
          <w:rFonts w:hint="cs"/>
          <w:rtl/>
          <w:lang/>
        </w:rPr>
        <w:t>أ</w:t>
      </w:r>
      <w:r w:rsidRPr="0013373A">
        <w:rPr>
          <w:rtl/>
          <w:lang/>
        </w:rPr>
        <w:t>يار/مايو)</w:t>
      </w:r>
      <w:r>
        <w:rPr>
          <w:rFonts w:hint="cs"/>
          <w:rtl/>
          <w:lang/>
        </w:rPr>
        <w:t xml:space="preserve"> و</w:t>
      </w:r>
      <w:r w:rsidRPr="0013373A">
        <w:rPr>
          <w:rtl/>
          <w:lang/>
        </w:rPr>
        <w:t>جمهورية مولدوفا (تشرين الأول/أكتوبر) والسنغال (كانون الأول/ديسمبر)</w:t>
      </w:r>
      <w:r>
        <w:rPr>
          <w:rFonts w:hint="cs"/>
          <w:rtl/>
          <w:lang/>
        </w:rPr>
        <w:t>.</w:t>
      </w:r>
      <w:r w:rsidRPr="0013373A">
        <w:rPr>
          <w:rtl/>
          <w:lang/>
        </w:rPr>
        <w:t xml:space="preserve"> وترد أدناه المزيد من المعلومات بشأن هذه التطورات في الفرع </w:t>
      </w:r>
      <w:r>
        <w:rPr>
          <w:rFonts w:hint="cs"/>
          <w:rtl/>
          <w:lang/>
        </w:rPr>
        <w:t>"</w:t>
      </w:r>
      <w:r w:rsidRPr="0013373A">
        <w:rPr>
          <w:rtl/>
          <w:lang/>
        </w:rPr>
        <w:t>ألف</w:t>
      </w:r>
      <w:r>
        <w:rPr>
          <w:rFonts w:hint="cs"/>
          <w:rtl/>
          <w:lang/>
        </w:rPr>
        <w:t>"</w:t>
      </w:r>
      <w:r w:rsidRPr="0013373A">
        <w:rPr>
          <w:rtl/>
          <w:lang/>
        </w:rPr>
        <w:t xml:space="preserve"> من الفصل الرابع. </w:t>
      </w:r>
    </w:p>
    <w:p w:rsidR="00631BFA" w:rsidRDefault="00631BFA" w:rsidP="00510C3D">
      <w:pPr>
        <w:pStyle w:val="SingleTxtGA"/>
        <w:rPr>
          <w:rFonts w:hint="cs"/>
          <w:rtl/>
          <w:lang w:val="fr-CH"/>
        </w:rPr>
      </w:pPr>
      <w:r>
        <w:rPr>
          <w:rFonts w:hint="cs"/>
          <w:rtl/>
          <w:lang w:val="fr-CH"/>
        </w:rPr>
        <w:t>17</w:t>
      </w:r>
      <w:r w:rsidRPr="00A05F28">
        <w:rPr>
          <w:rtl/>
          <w:lang w:val="fr-CH"/>
        </w:rPr>
        <w:t>-</w:t>
      </w:r>
      <w:r w:rsidR="00510C3D">
        <w:rPr>
          <w:rFonts w:hint="cs"/>
          <w:rtl/>
          <w:lang w:val="fr-CH"/>
        </w:rPr>
        <w:tab/>
      </w:r>
      <w:r w:rsidRPr="00A05F28">
        <w:rPr>
          <w:rFonts w:hint="cs"/>
          <w:rtl/>
          <w:lang w:val="fr-CH"/>
        </w:rPr>
        <w:t xml:space="preserve">ويمكن الاطلاع على </w:t>
      </w:r>
      <w:r w:rsidRPr="00A05F28">
        <w:rPr>
          <w:rtl/>
          <w:lang w:val="fr-CH"/>
        </w:rPr>
        <w:t xml:space="preserve">تفاصيل إضافية موجزة عن كافة هذه الزيارات، </w:t>
      </w:r>
      <w:r w:rsidRPr="00A05F28">
        <w:rPr>
          <w:rFonts w:hint="cs"/>
          <w:rtl/>
          <w:lang w:val="fr-CH"/>
        </w:rPr>
        <w:t xml:space="preserve">بما في ذلك </w:t>
      </w:r>
      <w:r w:rsidRPr="00A05F28">
        <w:rPr>
          <w:rtl/>
          <w:lang w:val="fr-CH"/>
        </w:rPr>
        <w:t xml:space="preserve">قوائم بأسماء الأماكن التي زارتها اللجنة، في البيانات الصحفية التي أصدرتها اللجنة الفرعية بخصوص كل زيارة، </w:t>
      </w:r>
      <w:r w:rsidRPr="00A05F28">
        <w:rPr>
          <w:rFonts w:hint="cs"/>
          <w:rtl/>
          <w:lang w:val="fr-CH"/>
        </w:rPr>
        <w:t xml:space="preserve">وهي متاحة على </w:t>
      </w:r>
      <w:r w:rsidRPr="00A05F28">
        <w:rPr>
          <w:rtl/>
          <w:lang w:val="fr-CH"/>
        </w:rPr>
        <w:t>الموقع الشبكي للجنة الفرعية.</w:t>
      </w:r>
    </w:p>
    <w:p w:rsidR="00631BFA" w:rsidRPr="00A05F28" w:rsidRDefault="00631BFA" w:rsidP="00510C3D">
      <w:pPr>
        <w:pStyle w:val="H1GA"/>
        <w:spacing w:before="120"/>
        <w:rPr>
          <w:rFonts w:hint="cs"/>
          <w:sz w:val="20"/>
          <w:szCs w:val="30"/>
          <w:rtl/>
          <w:lang w:val="fr-CH"/>
        </w:rPr>
      </w:pPr>
      <w:r w:rsidRPr="00A05F28">
        <w:rPr>
          <w:rFonts w:hint="cs"/>
          <w:sz w:val="20"/>
          <w:szCs w:val="30"/>
          <w:rtl/>
          <w:lang w:val="fr-CH"/>
        </w:rPr>
        <w:tab/>
      </w:r>
      <w:bookmarkStart w:id="5" w:name="_Toc322593344"/>
      <w:r w:rsidRPr="00A05F28">
        <w:rPr>
          <w:rFonts w:hint="cs"/>
          <w:sz w:val="20"/>
          <w:szCs w:val="30"/>
          <w:rtl/>
          <w:lang w:val="fr-CH"/>
        </w:rPr>
        <w:t>دال-</w:t>
      </w:r>
      <w:r w:rsidRPr="00A05F28">
        <w:rPr>
          <w:rFonts w:hint="cs"/>
          <w:sz w:val="20"/>
          <w:szCs w:val="30"/>
          <w:rtl/>
          <w:lang w:val="fr-CH"/>
        </w:rPr>
        <w:tab/>
      </w:r>
      <w:bookmarkEnd w:id="5"/>
      <w:r w:rsidRPr="0013373A">
        <w:rPr>
          <w:rtl/>
          <w:lang/>
        </w:rPr>
        <w:t>الحوار النا</w:t>
      </w:r>
      <w:r>
        <w:rPr>
          <w:rFonts w:hint="cs"/>
          <w:rtl/>
          <w:lang/>
        </w:rPr>
        <w:t>شئ</w:t>
      </w:r>
      <w:r w:rsidRPr="0013373A">
        <w:rPr>
          <w:rtl/>
          <w:lang/>
        </w:rPr>
        <w:t xml:space="preserve"> عن الزيارات</w:t>
      </w:r>
      <w:r w:rsidRPr="0013373A">
        <w:rPr>
          <w:rtl/>
        </w:rPr>
        <w:t>، بما في ذلك نشر التقارير الصادرة عن اللجنة الفرعية من قِبل الدول الأطراف والآليات الوقائية الوطنية</w:t>
      </w:r>
    </w:p>
    <w:p w:rsidR="00631BFA" w:rsidRPr="0013373A" w:rsidRDefault="00631BFA" w:rsidP="00510C3D">
      <w:pPr>
        <w:pStyle w:val="SingleTxtGA"/>
        <w:rPr>
          <w:spacing w:val="-2"/>
          <w:rtl/>
        </w:rPr>
      </w:pPr>
      <w:r w:rsidRPr="001B47DC">
        <w:rPr>
          <w:rFonts w:hint="cs"/>
          <w:rtl/>
          <w:lang w:val="fr-CH"/>
        </w:rPr>
        <w:t>1</w:t>
      </w:r>
      <w:r>
        <w:rPr>
          <w:rFonts w:hint="cs"/>
          <w:rtl/>
          <w:lang w:val="fr-CH"/>
        </w:rPr>
        <w:t>8</w:t>
      </w:r>
      <w:r w:rsidRPr="0013373A">
        <w:rPr>
          <w:spacing w:val="-2"/>
          <w:rtl/>
        </w:rPr>
        <w:t>-</w:t>
      </w:r>
      <w:r w:rsidRPr="0013373A">
        <w:rPr>
          <w:spacing w:val="-2"/>
          <w:rtl/>
        </w:rPr>
        <w:tab/>
      </w:r>
      <w:r w:rsidRPr="0013373A">
        <w:rPr>
          <w:rtl/>
          <w:lang/>
        </w:rPr>
        <w:t xml:space="preserve">تخضع الجوانب الفنية لعملية الحوار </w:t>
      </w:r>
      <w:r>
        <w:rPr>
          <w:rFonts w:hint="cs"/>
          <w:rtl/>
          <w:lang/>
        </w:rPr>
        <w:t xml:space="preserve">الناشئة عن الزيارات </w:t>
      </w:r>
      <w:r w:rsidRPr="0013373A">
        <w:rPr>
          <w:rtl/>
          <w:lang/>
        </w:rPr>
        <w:t>لق</w:t>
      </w:r>
      <w:r>
        <w:rPr>
          <w:rtl/>
          <w:lang/>
        </w:rPr>
        <w:t>اعدة السرية</w:t>
      </w:r>
      <w:r w:rsidRPr="0013373A">
        <w:rPr>
          <w:rtl/>
          <w:lang/>
        </w:rPr>
        <w:t xml:space="preserve"> ولا تُنشر هذه الجوانب إلا بموافقة الدولة الطرف المعنية. وقدمت اللجنة الفرعية</w:t>
      </w:r>
      <w:r>
        <w:rPr>
          <w:rFonts w:hint="cs"/>
          <w:rtl/>
          <w:lang/>
        </w:rPr>
        <w:t>،</w:t>
      </w:r>
      <w:r w:rsidRPr="0013373A">
        <w:rPr>
          <w:rtl/>
          <w:lang/>
        </w:rPr>
        <w:t xml:space="preserve"> في نهاية الفترة المشمولة بالتقرير</w:t>
      </w:r>
      <w:r>
        <w:rPr>
          <w:rFonts w:hint="cs"/>
          <w:rtl/>
          <w:lang/>
        </w:rPr>
        <w:t>،</w:t>
      </w:r>
      <w:r w:rsidRPr="0013373A">
        <w:rPr>
          <w:rtl/>
          <w:lang/>
        </w:rPr>
        <w:t xml:space="preserve"> ما مجموعه خمس</w:t>
      </w:r>
      <w:r>
        <w:rPr>
          <w:rFonts w:hint="cs"/>
          <w:rtl/>
          <w:lang/>
        </w:rPr>
        <w:t>ة</w:t>
      </w:r>
      <w:r>
        <w:rPr>
          <w:rtl/>
          <w:lang/>
        </w:rPr>
        <w:t xml:space="preserve"> عشر</w:t>
      </w:r>
      <w:r w:rsidRPr="0013373A">
        <w:rPr>
          <w:rtl/>
          <w:lang/>
        </w:rPr>
        <w:t xml:space="preserve"> تقرير زيارة إلى الدول الأطراف (قُدمت ثلاثة تقارير إلى الأرجنتين والبرازيل ومالي خلال الفترة المشمولة بالتقرير)، وتقرير زيارة متابعة واحد، وتقرير</w:t>
      </w:r>
      <w:r>
        <w:rPr>
          <w:rFonts w:hint="cs"/>
          <w:rtl/>
          <w:lang/>
        </w:rPr>
        <w:t>ي</w:t>
      </w:r>
      <w:r>
        <w:rPr>
          <w:rtl/>
          <w:lang/>
        </w:rPr>
        <w:t>ن ناشئ</w:t>
      </w:r>
      <w:r>
        <w:rPr>
          <w:rFonts w:hint="cs"/>
          <w:rtl/>
          <w:lang/>
        </w:rPr>
        <w:t>ي</w:t>
      </w:r>
      <w:r w:rsidRPr="0013373A">
        <w:rPr>
          <w:rtl/>
          <w:lang/>
        </w:rPr>
        <w:t>ن عن زيارة استشارية قامت بها الآليات الوقائية الوطنية إلى آلية وقائية معينة وتقرير</w:t>
      </w:r>
      <w:r>
        <w:rPr>
          <w:rFonts w:hint="cs"/>
          <w:rtl/>
          <w:lang/>
        </w:rPr>
        <w:t>ي</w:t>
      </w:r>
      <w:r w:rsidRPr="0013373A">
        <w:rPr>
          <w:rtl/>
          <w:lang/>
        </w:rPr>
        <w:t>ن ناجم</w:t>
      </w:r>
      <w:r>
        <w:rPr>
          <w:rFonts w:hint="cs"/>
          <w:rtl/>
          <w:lang/>
        </w:rPr>
        <w:t>ي</w:t>
      </w:r>
      <w:r w:rsidRPr="0013373A">
        <w:rPr>
          <w:rtl/>
          <w:lang/>
        </w:rPr>
        <w:t>ن عن زيارة استشارية قامت بها ا</w:t>
      </w:r>
      <w:r>
        <w:rPr>
          <w:rtl/>
          <w:lang/>
        </w:rPr>
        <w:t>لآليات الوقائية الوطنية</w:t>
      </w:r>
      <w:r w:rsidRPr="0013373A">
        <w:rPr>
          <w:rtl/>
          <w:lang/>
        </w:rPr>
        <w:t xml:space="preserve"> </w:t>
      </w:r>
      <w:r>
        <w:rPr>
          <w:rFonts w:hint="cs"/>
          <w:rtl/>
          <w:lang/>
        </w:rPr>
        <w:t>لإحدى ال</w:t>
      </w:r>
      <w:r>
        <w:rPr>
          <w:rtl/>
          <w:lang/>
        </w:rPr>
        <w:t>دول</w:t>
      </w:r>
      <w:r w:rsidRPr="0013373A">
        <w:rPr>
          <w:rtl/>
          <w:lang/>
        </w:rPr>
        <w:t xml:space="preserve"> </w:t>
      </w:r>
      <w:r>
        <w:rPr>
          <w:rFonts w:hint="cs"/>
          <w:rtl/>
          <w:lang/>
        </w:rPr>
        <w:t>الأ</w:t>
      </w:r>
      <w:r w:rsidRPr="0013373A">
        <w:rPr>
          <w:rtl/>
          <w:lang/>
        </w:rPr>
        <w:t>طر</w:t>
      </w:r>
      <w:r>
        <w:rPr>
          <w:rFonts w:hint="cs"/>
          <w:rtl/>
          <w:lang/>
        </w:rPr>
        <w:t>ا</w:t>
      </w:r>
      <w:r w:rsidRPr="0013373A">
        <w:rPr>
          <w:rtl/>
          <w:lang/>
        </w:rPr>
        <w:t xml:space="preserve">ف (قُدم التقريران إلى جمهورية مولدوفا وهندوراس خلال الفترة المشمولة بالتقرير). ونُشر ما مجموعه سبعة تقارير عن الزيارات التي قامت بها اللجنة الفرعية بناءً على طلب الدولة الطرف بموجب الفقرة 2 </w:t>
      </w:r>
      <w:r>
        <w:rPr>
          <w:rFonts w:hint="cs"/>
          <w:rtl/>
          <w:lang/>
        </w:rPr>
        <w:t xml:space="preserve">من </w:t>
      </w:r>
      <w:r>
        <w:rPr>
          <w:rtl/>
          <w:lang/>
        </w:rPr>
        <w:t>المادة 16</w:t>
      </w:r>
      <w:r w:rsidRPr="0013373A">
        <w:rPr>
          <w:rtl/>
          <w:lang/>
        </w:rPr>
        <w:t xml:space="preserve"> من البروتوكول الاختياري، ونُشر التقرير المقدم إلى البرازيل خلال الفترة المشمولة بالتقرير بناء على طلبه، ونُشر تقرير الزيارة الناجم عن الزيارة الاستشارية التي قامت بها الآليات الوقائية ا</w:t>
      </w:r>
      <w:r>
        <w:rPr>
          <w:rtl/>
          <w:lang/>
        </w:rPr>
        <w:t xml:space="preserve">لوطنية إلى هندوراس بعد طلب من </w:t>
      </w:r>
      <w:r>
        <w:rPr>
          <w:rFonts w:hint="cs"/>
          <w:rtl/>
          <w:lang/>
        </w:rPr>
        <w:t>ال</w:t>
      </w:r>
      <w:r>
        <w:rPr>
          <w:rtl/>
          <w:lang/>
        </w:rPr>
        <w:t>آلي</w:t>
      </w:r>
      <w:r>
        <w:rPr>
          <w:rFonts w:hint="cs"/>
          <w:rtl/>
          <w:lang/>
        </w:rPr>
        <w:t>ة</w:t>
      </w:r>
      <w:r w:rsidRPr="0013373A">
        <w:rPr>
          <w:rtl/>
          <w:lang/>
        </w:rPr>
        <w:t xml:space="preserve"> الوقائية الوطنية </w:t>
      </w:r>
      <w:r>
        <w:rPr>
          <w:rFonts w:hint="cs"/>
          <w:rtl/>
          <w:lang/>
        </w:rPr>
        <w:t xml:space="preserve">التابعة </w:t>
      </w:r>
      <w:r w:rsidRPr="0013373A">
        <w:rPr>
          <w:rtl/>
          <w:lang/>
        </w:rPr>
        <w:t>لهندوراس.</w:t>
      </w:r>
    </w:p>
    <w:p w:rsidR="00631BFA" w:rsidRPr="0013373A" w:rsidRDefault="00631BFA" w:rsidP="00510C3D">
      <w:pPr>
        <w:pStyle w:val="SingleTxtGA"/>
        <w:rPr>
          <w:rtl/>
        </w:rPr>
      </w:pPr>
      <w:r w:rsidRPr="0013373A">
        <w:rPr>
          <w:rtl/>
        </w:rPr>
        <w:t>19-</w:t>
      </w:r>
      <w:r w:rsidRPr="0013373A">
        <w:rPr>
          <w:rtl/>
        </w:rPr>
        <w:tab/>
        <w:t xml:space="preserve">وعملاً بالممارسة القائمة، يُطلب إلى الدول الأطراف أن تقدم، في غضون ستة أشهر من إحالة التقرير إلى الدولة الطرف، رداً يتضمن شرحاً مفصّلاً لمختلف الإجراءات المتخذة لوضع التوصيات الواردة في تقرير الزيارة موضع التنفيذ. وفي نهاية الفترة المشمولة بالتقرير، وردت </w:t>
      </w:r>
      <w:r>
        <w:rPr>
          <w:rFonts w:hint="cs"/>
          <w:rtl/>
        </w:rPr>
        <w:t>إلى</w:t>
      </w:r>
      <w:r w:rsidRPr="0013373A">
        <w:rPr>
          <w:rtl/>
        </w:rPr>
        <w:t xml:space="preserve"> اللجنة الفرعية تسعة ردود من دول أطراف، ووردت أربعة من هذه الردود خلال الفترة المشمولة بالتقرير (من أوكرانيا والبرازيل ولبنان والمكسيك). وتعتبر اللجنة الفرعية ردود الدول الأطراف التالية أسما</w:t>
      </w:r>
      <w:r>
        <w:rPr>
          <w:rFonts w:hint="cs"/>
          <w:rtl/>
        </w:rPr>
        <w:t>ؤ</w:t>
      </w:r>
      <w:r w:rsidRPr="0013373A">
        <w:rPr>
          <w:rtl/>
        </w:rPr>
        <w:t xml:space="preserve">ها متأخرة عن الموعد حالياً: كمبوديا وليبيريا </w:t>
      </w:r>
      <w:r>
        <w:rPr>
          <w:rFonts w:hint="cs"/>
          <w:rtl/>
        </w:rPr>
        <w:t>وم</w:t>
      </w:r>
      <w:r w:rsidRPr="0013373A">
        <w:rPr>
          <w:rtl/>
        </w:rPr>
        <w:t xml:space="preserve">لديف وهندوراس. ووُجهت رسائل تذكير إلى </w:t>
      </w:r>
      <w:r>
        <w:rPr>
          <w:rFonts w:hint="cs"/>
          <w:rtl/>
        </w:rPr>
        <w:t xml:space="preserve">تلك </w:t>
      </w:r>
      <w:r w:rsidRPr="0013373A">
        <w:rPr>
          <w:rtl/>
        </w:rPr>
        <w:t xml:space="preserve">الدول الأطراف. وظلت الردود المقدمة من أوكرانيا وبوليفيا (جمهورية </w:t>
      </w:r>
      <w:r>
        <w:rPr>
          <w:rFonts w:hint="cs"/>
          <w:rtl/>
        </w:rPr>
        <w:t>- ال</w:t>
      </w:r>
      <w:r w:rsidRPr="0013373A">
        <w:rPr>
          <w:rtl/>
        </w:rPr>
        <w:t xml:space="preserve">متعددة القوميات) ولبنان وموريشيوس سريةً، في حين نُشرت الردود المقدمة من باراغواي </w:t>
      </w:r>
      <w:r>
        <w:rPr>
          <w:rFonts w:hint="cs"/>
          <w:rtl/>
        </w:rPr>
        <w:t>و</w:t>
      </w:r>
      <w:r w:rsidRPr="0013373A">
        <w:rPr>
          <w:rtl/>
        </w:rPr>
        <w:t>البرازيل وبنن والسويد والمكسيك بناءً على طلب من هذه الدول الأطراف.</w:t>
      </w:r>
    </w:p>
    <w:p w:rsidR="00631BFA" w:rsidRPr="0013373A" w:rsidRDefault="00631BFA" w:rsidP="00510C3D">
      <w:pPr>
        <w:pStyle w:val="SingleTxtGA"/>
        <w:rPr>
          <w:spacing w:val="-2"/>
          <w:rtl/>
        </w:rPr>
      </w:pPr>
      <w:r w:rsidRPr="0013373A">
        <w:rPr>
          <w:spacing w:val="-2"/>
          <w:rtl/>
        </w:rPr>
        <w:t>20-</w:t>
      </w:r>
      <w:r>
        <w:rPr>
          <w:rFonts w:hint="cs"/>
          <w:spacing w:val="-2"/>
          <w:rtl/>
        </w:rPr>
        <w:tab/>
      </w:r>
      <w:r w:rsidRPr="0013373A">
        <w:rPr>
          <w:spacing w:val="-2"/>
          <w:rtl/>
        </w:rPr>
        <w:t xml:space="preserve">وخلال الفترة المشمولة بالتقرير، </w:t>
      </w:r>
      <w:r w:rsidRPr="0013373A">
        <w:rPr>
          <w:rtl/>
          <w:lang/>
        </w:rPr>
        <w:t>قدمت اللجنة الفرعية أجوبتها و/أو توصياتها على ال</w:t>
      </w:r>
      <w:r>
        <w:rPr>
          <w:rFonts w:hint="cs"/>
          <w:rtl/>
          <w:lang/>
        </w:rPr>
        <w:t>ر</w:t>
      </w:r>
      <w:r w:rsidRPr="0013373A">
        <w:rPr>
          <w:rtl/>
          <w:lang/>
        </w:rPr>
        <w:t xml:space="preserve">دود المقدمة من </w:t>
      </w:r>
      <w:r>
        <w:rPr>
          <w:rFonts w:hint="cs"/>
          <w:rtl/>
          <w:lang/>
        </w:rPr>
        <w:t xml:space="preserve">قبل </w:t>
      </w:r>
      <w:r w:rsidRPr="0013373A">
        <w:rPr>
          <w:rtl/>
          <w:lang/>
        </w:rPr>
        <w:t xml:space="preserve">أوكرانيا وبنن وجمهورية بوليفيا </w:t>
      </w:r>
      <w:r>
        <w:rPr>
          <w:rFonts w:hint="cs"/>
          <w:rtl/>
          <w:lang/>
        </w:rPr>
        <w:t>ال</w:t>
      </w:r>
      <w:r w:rsidRPr="0013373A">
        <w:rPr>
          <w:rtl/>
          <w:lang/>
        </w:rPr>
        <w:t>متعددة القوميات ولبنان؛ وق</w:t>
      </w:r>
      <w:r>
        <w:rPr>
          <w:rFonts w:hint="cs"/>
          <w:rtl/>
          <w:lang/>
        </w:rPr>
        <w:t>ُ</w:t>
      </w:r>
      <w:r w:rsidRPr="0013373A">
        <w:rPr>
          <w:rtl/>
          <w:lang/>
        </w:rPr>
        <w:t xml:space="preserve">دمت هذه الأجوبة أيضاً إلى </w:t>
      </w:r>
      <w:r w:rsidRPr="0013373A">
        <w:rPr>
          <w:spacing w:val="-2"/>
          <w:rtl/>
        </w:rPr>
        <w:t>السويد</w:t>
      </w:r>
      <w:r>
        <w:rPr>
          <w:rFonts w:hint="cs"/>
          <w:spacing w:val="-2"/>
          <w:rtl/>
        </w:rPr>
        <w:t xml:space="preserve"> و</w:t>
      </w:r>
      <w:r>
        <w:rPr>
          <w:spacing w:val="-2"/>
          <w:rtl/>
        </w:rPr>
        <w:t>موريشيوس</w:t>
      </w:r>
      <w:r w:rsidRPr="0013373A">
        <w:rPr>
          <w:spacing w:val="-2"/>
          <w:rtl/>
        </w:rPr>
        <w:t xml:space="preserve"> قبل هذه الفترة. </w:t>
      </w:r>
      <w:r w:rsidRPr="0013373A">
        <w:rPr>
          <w:rFonts w:hint="cs"/>
          <w:spacing w:val="-2"/>
          <w:rtl/>
        </w:rPr>
        <w:t>و</w:t>
      </w:r>
      <w:r>
        <w:rPr>
          <w:rFonts w:hint="cs"/>
          <w:spacing w:val="-2"/>
          <w:rtl/>
        </w:rPr>
        <w:t>لا تزا</w:t>
      </w:r>
      <w:r>
        <w:rPr>
          <w:rFonts w:hint="eastAsia"/>
          <w:spacing w:val="-2"/>
          <w:rtl/>
        </w:rPr>
        <w:t>ل</w:t>
      </w:r>
      <w:r w:rsidRPr="0013373A">
        <w:rPr>
          <w:spacing w:val="-2"/>
          <w:rtl/>
        </w:rPr>
        <w:t xml:space="preserve"> جميع هذه الأجوبة سرية</w:t>
      </w:r>
      <w:r>
        <w:rPr>
          <w:rFonts w:hint="eastAsia"/>
          <w:spacing w:val="-2"/>
          <w:rtl/>
        </w:rPr>
        <w:t> </w:t>
      </w:r>
      <w:r>
        <w:rPr>
          <w:rFonts w:hint="cs"/>
          <w:spacing w:val="-2"/>
          <w:rtl/>
        </w:rPr>
        <w:t>حالياً</w:t>
      </w:r>
      <w:r w:rsidRPr="0013373A">
        <w:rPr>
          <w:spacing w:val="-2"/>
          <w:rtl/>
        </w:rPr>
        <w:t>.</w:t>
      </w:r>
    </w:p>
    <w:p w:rsidR="00631BFA" w:rsidRPr="0013373A" w:rsidRDefault="00631BFA" w:rsidP="00510C3D">
      <w:pPr>
        <w:pStyle w:val="SingleTxtGA"/>
        <w:rPr>
          <w:rtl/>
        </w:rPr>
      </w:pPr>
      <w:r>
        <w:rPr>
          <w:rtl/>
        </w:rPr>
        <w:t>21-</w:t>
      </w:r>
      <w:r>
        <w:rPr>
          <w:rFonts w:hint="cs"/>
          <w:rtl/>
        </w:rPr>
        <w:tab/>
      </w:r>
      <w:r>
        <w:rPr>
          <w:rtl/>
        </w:rPr>
        <w:t>وقامت</w:t>
      </w:r>
      <w:r w:rsidRPr="0013373A">
        <w:rPr>
          <w:rtl/>
        </w:rPr>
        <w:t xml:space="preserve"> اللجنة الفرعية بزيارة متابعة واحدة حتى الآن إلى باراغواي، أعقبها إعداد تقرير زيارة متابعة أُحيل إلى الدولة الطرف، وتسلمت اللجنة الفرعية رداً عليه. ونُشر تقرير زيارة المتابعة ورد</w:t>
      </w:r>
      <w:r>
        <w:rPr>
          <w:rFonts w:hint="cs"/>
          <w:rtl/>
        </w:rPr>
        <w:t>ّ</w:t>
      </w:r>
      <w:r w:rsidRPr="0013373A">
        <w:rPr>
          <w:rtl/>
        </w:rPr>
        <w:t xml:space="preserve"> المتابعة بناءً على طلب الدولة الطرف.</w:t>
      </w:r>
    </w:p>
    <w:p w:rsidR="00631BFA" w:rsidRPr="0013373A" w:rsidRDefault="00631BFA" w:rsidP="00510C3D">
      <w:pPr>
        <w:pStyle w:val="SingleTxtGA"/>
        <w:rPr>
          <w:rtl/>
        </w:rPr>
      </w:pPr>
      <w:r w:rsidRPr="0013373A">
        <w:rPr>
          <w:rtl/>
        </w:rPr>
        <w:t>22-</w:t>
      </w:r>
      <w:r>
        <w:rPr>
          <w:rFonts w:hint="cs"/>
          <w:rtl/>
        </w:rPr>
        <w:tab/>
      </w:r>
      <w:r w:rsidRPr="0013373A">
        <w:rPr>
          <w:rtl/>
        </w:rPr>
        <w:t xml:space="preserve">وقدمت اللجنة الفرعية إلى الآليات الوقائية الوطنية والدولة الطرف التقارير الناجمة عن الزيارات الاستشارية التي قامت بها الآليات الوقائية الوطنية إلى جمهورية مولدوفا وهندوراس، وظلت هذه التقارير سرية، والردود المتصلة بها </w:t>
      </w:r>
      <w:r>
        <w:rPr>
          <w:rFonts w:hint="cs"/>
          <w:rtl/>
        </w:rPr>
        <w:t>لم يحل موعد تقديمها</w:t>
      </w:r>
      <w:r w:rsidRPr="0013373A">
        <w:rPr>
          <w:rtl/>
        </w:rPr>
        <w:t xml:space="preserve"> بعد. </w:t>
      </w:r>
    </w:p>
    <w:p w:rsidR="00631BFA" w:rsidRPr="008400B5" w:rsidRDefault="00631BFA" w:rsidP="00510C3D">
      <w:pPr>
        <w:pStyle w:val="SingleTxtGA"/>
        <w:rPr>
          <w:rFonts w:hint="cs"/>
          <w:rtl/>
        </w:rPr>
      </w:pPr>
      <w:r w:rsidRPr="001D1516">
        <w:rPr>
          <w:rtl/>
        </w:rPr>
        <w:t>23-</w:t>
      </w:r>
      <w:r w:rsidRPr="001D1516">
        <w:rPr>
          <w:rFonts w:hint="cs"/>
          <w:rtl/>
        </w:rPr>
        <w:tab/>
      </w:r>
      <w:r>
        <w:rPr>
          <w:rFonts w:hint="cs"/>
          <w:rtl/>
        </w:rPr>
        <w:t>ودشنت اللجنة الفرعية</w:t>
      </w:r>
      <w:r w:rsidRPr="008400B5">
        <w:rPr>
          <w:rtl/>
        </w:rPr>
        <w:t xml:space="preserve"> </w:t>
      </w:r>
      <w:r>
        <w:rPr>
          <w:rFonts w:hint="cs"/>
          <w:rtl/>
        </w:rPr>
        <w:t xml:space="preserve">في دورتها </w:t>
      </w:r>
      <w:r w:rsidRPr="001D1516">
        <w:rPr>
          <w:rtl/>
        </w:rPr>
        <w:t>السابعة عشر</w:t>
      </w:r>
      <w:r w:rsidRPr="001D1516">
        <w:rPr>
          <w:rFonts w:hint="cs"/>
          <w:rtl/>
        </w:rPr>
        <w:t>ة</w:t>
      </w:r>
      <w:r>
        <w:rPr>
          <w:rFonts w:hint="cs"/>
          <w:rtl/>
        </w:rPr>
        <w:t xml:space="preserve"> ممارسةً جديدةً في إطار حوار المتابعة</w:t>
      </w:r>
      <w:r w:rsidRPr="001D1516">
        <w:rPr>
          <w:rtl/>
        </w:rPr>
        <w:t xml:space="preserve">، عندما </w:t>
      </w:r>
      <w:r>
        <w:rPr>
          <w:rFonts w:hint="cs"/>
          <w:rtl/>
        </w:rPr>
        <w:t>عقدت جلسةً خاصةً</w:t>
      </w:r>
      <w:r w:rsidRPr="001D1516">
        <w:rPr>
          <w:rtl/>
        </w:rPr>
        <w:t xml:space="preserve"> مع السلطات المكسيكية بشأن رد الدولة الطرف على تقرير الزيارة التي قامت بها اللجنة الفرعية. وفي سياق هذا الاجتماع المثمر مع وفد مكسيكي كبير</w:t>
      </w:r>
      <w:r>
        <w:rPr>
          <w:rFonts w:hint="cs"/>
          <w:rtl/>
        </w:rPr>
        <w:t xml:space="preserve"> العدد</w:t>
      </w:r>
      <w:r w:rsidRPr="001D1516">
        <w:rPr>
          <w:rtl/>
        </w:rPr>
        <w:t xml:space="preserve">، قدمت الدولة الطرف رداً إضافياً </w:t>
      </w:r>
      <w:r w:rsidRPr="001D1516">
        <w:rPr>
          <w:rFonts w:hint="cs"/>
          <w:rtl/>
        </w:rPr>
        <w:t>شكّل</w:t>
      </w:r>
      <w:r w:rsidRPr="001D1516">
        <w:rPr>
          <w:rtl/>
        </w:rPr>
        <w:t xml:space="preserve"> حجر الأساس لنقاش مجد</w:t>
      </w:r>
      <w:r w:rsidRPr="001D1516">
        <w:rPr>
          <w:rFonts w:hint="cs"/>
          <w:rtl/>
        </w:rPr>
        <w:t>ٍ</w:t>
      </w:r>
      <w:r w:rsidRPr="001D1516">
        <w:rPr>
          <w:rtl/>
        </w:rPr>
        <w:t>. ومكنت اللجنة الفرعية الآلي</w:t>
      </w:r>
      <w:r>
        <w:rPr>
          <w:rFonts w:hint="cs"/>
          <w:rtl/>
        </w:rPr>
        <w:t>ة</w:t>
      </w:r>
      <w:r w:rsidRPr="001D1516">
        <w:rPr>
          <w:rtl/>
        </w:rPr>
        <w:t xml:space="preserve"> الوقائية الوطنية</w:t>
      </w:r>
      <w:r w:rsidRPr="001D1516">
        <w:rPr>
          <w:rFonts w:hint="cs"/>
          <w:rtl/>
        </w:rPr>
        <w:t xml:space="preserve"> المكسيكية</w:t>
      </w:r>
      <w:r w:rsidRPr="001D1516">
        <w:rPr>
          <w:rtl/>
        </w:rPr>
        <w:t xml:space="preserve"> من المشاركة في هذا الاجتماع، بناءً على طلبها، وسمحت</w:t>
      </w:r>
      <w:r>
        <w:rPr>
          <w:rFonts w:hint="cs"/>
          <w:rtl/>
        </w:rPr>
        <w:t> </w:t>
      </w:r>
      <w:r w:rsidRPr="001D1516">
        <w:rPr>
          <w:rtl/>
        </w:rPr>
        <w:t xml:space="preserve">لها بالإفصاح عن تعليقاتها الشفهية بشأن تقرير الزيارة التي قامت بها اللجنة الفرعية، والذي قدمته لها اللجنة الفرعية في وقت سابق عملاً بأحكام الفقرة 1 </w:t>
      </w:r>
      <w:r w:rsidRPr="001D1516">
        <w:rPr>
          <w:rFonts w:hint="cs"/>
          <w:rtl/>
        </w:rPr>
        <w:t xml:space="preserve">من </w:t>
      </w:r>
      <w:r w:rsidRPr="001D1516">
        <w:rPr>
          <w:rtl/>
        </w:rPr>
        <w:t>المادة 16 من البروتوكول الاختياري.</w:t>
      </w:r>
    </w:p>
    <w:p w:rsidR="00631BFA" w:rsidRPr="001B47DC" w:rsidRDefault="00631BFA" w:rsidP="00510C3D">
      <w:pPr>
        <w:pStyle w:val="H1GA"/>
        <w:rPr>
          <w:rFonts w:hint="cs"/>
          <w:rtl/>
          <w:lang w:val="fr-CH"/>
        </w:rPr>
      </w:pPr>
      <w:r w:rsidRPr="001B47DC">
        <w:rPr>
          <w:rFonts w:hint="cs"/>
          <w:rtl/>
          <w:lang w:val="fr-CH"/>
        </w:rPr>
        <w:tab/>
      </w:r>
      <w:bookmarkStart w:id="6" w:name="_Toc322593345"/>
      <w:r w:rsidRPr="001B47DC">
        <w:rPr>
          <w:rFonts w:hint="cs"/>
          <w:rtl/>
          <w:lang w:val="fr-CH"/>
        </w:rPr>
        <w:t>هاء-</w:t>
      </w:r>
      <w:r w:rsidRPr="001B47DC">
        <w:rPr>
          <w:rFonts w:hint="cs"/>
          <w:rtl/>
          <w:lang w:val="fr-CH"/>
        </w:rPr>
        <w:tab/>
        <w:t>التطورات المتعلقة بإنشاء الآليات الوقائية الوطنية</w:t>
      </w:r>
      <w:bookmarkEnd w:id="6"/>
    </w:p>
    <w:p w:rsidR="00631BFA" w:rsidRPr="0013373A" w:rsidRDefault="00631BFA" w:rsidP="00510C3D">
      <w:pPr>
        <w:pStyle w:val="SingleTxtGA"/>
        <w:rPr>
          <w:rtl/>
        </w:rPr>
      </w:pPr>
      <w:r w:rsidRPr="0013373A">
        <w:rPr>
          <w:rtl/>
        </w:rPr>
        <w:t>24-</w:t>
      </w:r>
      <w:r w:rsidRPr="0013373A">
        <w:rPr>
          <w:rtl/>
        </w:rPr>
        <w:tab/>
        <w:t xml:space="preserve">تلقت اللجنة الفرعية إخطاراً رسمياً بتعيين آلية وقائية وطنية من </w:t>
      </w:r>
      <w:r>
        <w:rPr>
          <w:rFonts w:hint="cs"/>
          <w:rtl/>
        </w:rPr>
        <w:t>43 دولة من أصل</w:t>
      </w:r>
      <w:r>
        <w:rPr>
          <w:rFonts w:hint="eastAsia"/>
          <w:rtl/>
        </w:rPr>
        <w:t> </w:t>
      </w:r>
      <w:r w:rsidRPr="0013373A">
        <w:rPr>
          <w:rtl/>
        </w:rPr>
        <w:t>65 دولة طرفاً. وترد المعلومات المتعلقة بالآليات الوقائية الوطنية التي عيّنتها الدول الأطراف في الموقع الشبكي للجنة الفرعية.</w:t>
      </w:r>
    </w:p>
    <w:p w:rsidR="00631BFA" w:rsidRPr="0013373A" w:rsidRDefault="00631BFA" w:rsidP="00510C3D">
      <w:pPr>
        <w:pStyle w:val="SingleTxtGA"/>
        <w:rPr>
          <w:rFonts w:hint="cs"/>
          <w:rtl/>
        </w:rPr>
      </w:pPr>
      <w:r w:rsidRPr="0013373A">
        <w:rPr>
          <w:spacing w:val="-2"/>
          <w:rtl/>
        </w:rPr>
        <w:t>25-</w:t>
      </w:r>
      <w:r w:rsidRPr="0013373A">
        <w:rPr>
          <w:spacing w:val="-2"/>
          <w:rtl/>
        </w:rPr>
        <w:tab/>
      </w:r>
      <w:r w:rsidRPr="0013373A">
        <w:rPr>
          <w:rtl/>
        </w:rPr>
        <w:t>وتلقت اللجنة الفرعية</w:t>
      </w:r>
      <w:r>
        <w:rPr>
          <w:rFonts w:hint="cs"/>
          <w:rtl/>
        </w:rPr>
        <w:t>،</w:t>
      </w:r>
      <w:r w:rsidRPr="0013373A">
        <w:rPr>
          <w:rtl/>
        </w:rPr>
        <w:t xml:space="preserve"> في عام 2012</w:t>
      </w:r>
      <w:r>
        <w:rPr>
          <w:rFonts w:hint="cs"/>
          <w:rtl/>
        </w:rPr>
        <w:t>،</w:t>
      </w:r>
      <w:r w:rsidRPr="0013373A">
        <w:rPr>
          <w:rtl/>
        </w:rPr>
        <w:t xml:space="preserve"> </w:t>
      </w:r>
      <w:r>
        <w:rPr>
          <w:rFonts w:hint="cs"/>
          <w:rtl/>
        </w:rPr>
        <w:t>ا</w:t>
      </w:r>
      <w:r w:rsidRPr="0013373A">
        <w:rPr>
          <w:rtl/>
        </w:rPr>
        <w:t>ثن</w:t>
      </w:r>
      <w:r>
        <w:rPr>
          <w:rFonts w:hint="cs"/>
          <w:rtl/>
        </w:rPr>
        <w:t>ي</w:t>
      </w:r>
      <w:r w:rsidRPr="0013373A">
        <w:rPr>
          <w:rtl/>
        </w:rPr>
        <w:t xml:space="preserve"> عشر إخطاراً رسمياً يتعلق بتعيين آلية وقائية وطنية: الأرجنتين وأرمينيا وإكوادور وأوروغواي وأوكرانيا وبلغاريا وتوغو والجبل الأسود وكرواتيا ونيجيريا ونيكاراغوا وهنغاريا.</w:t>
      </w:r>
    </w:p>
    <w:p w:rsidR="00631BFA" w:rsidRPr="0013373A" w:rsidRDefault="00631BFA" w:rsidP="00510C3D">
      <w:pPr>
        <w:pStyle w:val="SingleTxtGA"/>
        <w:rPr>
          <w:rtl/>
        </w:rPr>
      </w:pPr>
      <w:r w:rsidRPr="0013373A">
        <w:rPr>
          <w:rtl/>
        </w:rPr>
        <w:t>26-</w:t>
      </w:r>
      <w:r w:rsidRPr="0013373A">
        <w:rPr>
          <w:rtl/>
        </w:rPr>
        <w:tab/>
        <w:t xml:space="preserve">وبناءً عليه، لم تتلق اللجنة الفرعية حتى الآن إخطاراً بتعيين آلية وقائية وطنية من 22 دولة طرفاً. ولم تنقض </w:t>
      </w:r>
      <w:r>
        <w:rPr>
          <w:rFonts w:hint="cs"/>
          <w:rtl/>
        </w:rPr>
        <w:t xml:space="preserve">بعد </w:t>
      </w:r>
      <w:r w:rsidRPr="0013373A">
        <w:rPr>
          <w:rtl/>
        </w:rPr>
        <w:t xml:space="preserve">مهلة السنة المحددة لإنشاء آلية وقائية وطنية، على نحو ما تنص عليه المادة 17 من البروتوكول الاختياري، بالنسبة إلى دولة طرف واحدة (الفلبين). </w:t>
      </w:r>
      <w:r>
        <w:rPr>
          <w:rFonts w:hint="cs"/>
          <w:rtl/>
        </w:rPr>
        <w:t>و</w:t>
      </w:r>
      <w:r w:rsidRPr="0013373A">
        <w:rPr>
          <w:rtl/>
        </w:rPr>
        <w:t>علاوة على ذلك، أصدرت دولتان طرفان (البوسنة والهرسك وكازاخستان) الإعلانات المنصوص عليها في المادة 24 من البروتوكول الاختياري التي تسمح بتأجيل التعيين لمدة سنتين أخريين. وفي 9 تموز/يوليه 2012، تقدمت رومانيا بطلب تمديد أجل التزامها بإنشاء آلية وقائية وطنية بموجب</w:t>
      </w:r>
      <w:r w:rsidRPr="008C48B7">
        <w:rPr>
          <w:rtl/>
        </w:rPr>
        <w:t xml:space="preserve"> </w:t>
      </w:r>
      <w:r>
        <w:rPr>
          <w:rtl/>
        </w:rPr>
        <w:t>الفقرة 2</w:t>
      </w:r>
      <w:r w:rsidRPr="0013373A">
        <w:rPr>
          <w:rtl/>
        </w:rPr>
        <w:t xml:space="preserve"> </w:t>
      </w:r>
      <w:r>
        <w:rPr>
          <w:rFonts w:hint="cs"/>
          <w:rtl/>
        </w:rPr>
        <w:t xml:space="preserve">من </w:t>
      </w:r>
      <w:r w:rsidRPr="0013373A">
        <w:rPr>
          <w:rtl/>
        </w:rPr>
        <w:t>المادة 24</w:t>
      </w:r>
      <w:r>
        <w:rPr>
          <w:rFonts w:hint="cs"/>
          <w:rtl/>
        </w:rPr>
        <w:t xml:space="preserve"> </w:t>
      </w:r>
      <w:r w:rsidRPr="0013373A">
        <w:rPr>
          <w:rtl/>
        </w:rPr>
        <w:t>من البروتوكول الاختياري لمدة عامين إضافيين. و</w:t>
      </w:r>
      <w:r>
        <w:rPr>
          <w:rFonts w:hint="cs"/>
          <w:rtl/>
        </w:rPr>
        <w:t xml:space="preserve">وافقت لجنة مناهضة التعذيب، </w:t>
      </w:r>
      <w:r w:rsidRPr="0013373A">
        <w:rPr>
          <w:rtl/>
        </w:rPr>
        <w:t>في دورتها التاسعة والأربعين</w:t>
      </w:r>
      <w:r>
        <w:rPr>
          <w:rFonts w:hint="cs"/>
          <w:rtl/>
        </w:rPr>
        <w:t xml:space="preserve"> </w:t>
      </w:r>
      <w:r>
        <w:rPr>
          <w:rtl/>
        </w:rPr>
        <w:t>(</w:t>
      </w:r>
      <w:r>
        <w:rPr>
          <w:rFonts w:hint="cs"/>
          <w:rtl/>
        </w:rPr>
        <w:t>تشرين الثاني/نوفمبر 2012</w:t>
      </w:r>
      <w:r>
        <w:rPr>
          <w:rtl/>
        </w:rPr>
        <w:t>)</w:t>
      </w:r>
      <w:r w:rsidRPr="0013373A">
        <w:rPr>
          <w:rtl/>
        </w:rPr>
        <w:t xml:space="preserve">، على هذا الطلب، </w:t>
      </w:r>
      <w:r w:rsidRPr="0013373A">
        <w:rPr>
          <w:rtl/>
          <w:lang/>
        </w:rPr>
        <w:t>على إثر تقديم الدولة الطرف لما يلزم من الحجج وبعد التشاور مع اللجنة الفرعية.</w:t>
      </w:r>
    </w:p>
    <w:p w:rsidR="00631BFA" w:rsidRPr="0013373A" w:rsidRDefault="00631BFA" w:rsidP="00510C3D">
      <w:pPr>
        <w:pStyle w:val="SingleTxtGA"/>
        <w:rPr>
          <w:rtl/>
        </w:rPr>
      </w:pPr>
      <w:r w:rsidRPr="0013373A">
        <w:rPr>
          <w:rtl/>
        </w:rPr>
        <w:t>27-</w:t>
      </w:r>
      <w:r w:rsidRPr="0013373A">
        <w:rPr>
          <w:rtl/>
        </w:rPr>
        <w:tab/>
        <w:t xml:space="preserve">وبالتالي، يبلغ عدد الدول الأطراف التي لم تفِ بالتزاماتها بموجب المادة 17 </w:t>
      </w:r>
      <w:r>
        <w:rPr>
          <w:rtl/>
        </w:rPr>
        <w:t>من البروتوكول الاختياري ثماني</w:t>
      </w:r>
      <w:r w:rsidRPr="0013373A">
        <w:rPr>
          <w:rtl/>
        </w:rPr>
        <w:t xml:space="preserve"> عشر</w:t>
      </w:r>
      <w:r>
        <w:rPr>
          <w:rFonts w:hint="cs"/>
          <w:rtl/>
        </w:rPr>
        <w:t>ة</w:t>
      </w:r>
      <w:r w:rsidRPr="0013373A">
        <w:rPr>
          <w:rtl/>
        </w:rPr>
        <w:t xml:space="preserve"> دولة، </w:t>
      </w:r>
      <w:r>
        <w:rPr>
          <w:rFonts w:hint="cs"/>
          <w:rtl/>
        </w:rPr>
        <w:t xml:space="preserve">وهذه </w:t>
      </w:r>
      <w:r w:rsidRPr="0013373A">
        <w:rPr>
          <w:rtl/>
        </w:rPr>
        <w:t>مسألة تشكل مصدر قلق بالغ بالنسبة إلى اللجنة الفرعية.</w:t>
      </w:r>
    </w:p>
    <w:p w:rsidR="00631BFA" w:rsidRPr="00510C3D" w:rsidRDefault="00631BFA" w:rsidP="00510C3D">
      <w:pPr>
        <w:pStyle w:val="SingleTxtGA"/>
        <w:rPr>
          <w:spacing w:val="-2"/>
          <w:rtl/>
        </w:rPr>
      </w:pPr>
      <w:r w:rsidRPr="002724A3">
        <w:rPr>
          <w:rtl/>
        </w:rPr>
        <w:t>28-</w:t>
      </w:r>
      <w:r w:rsidRPr="002724A3">
        <w:rPr>
          <w:rtl/>
        </w:rPr>
        <w:tab/>
        <w:t>وواصلت اللجنة الفرعية حوارها مع جميع الدول الأطراف التي لم تعيّن بعد آلية وقائية وطنية، وشجعتها على أن تحيط اللجنة الفرعية علماً بما تحرزه من تقدم في هذا الصدد. وقد</w:t>
      </w:r>
      <w:r>
        <w:rPr>
          <w:rFonts w:hint="cs"/>
          <w:rtl/>
        </w:rPr>
        <w:t> </w:t>
      </w:r>
      <w:r w:rsidRPr="002724A3">
        <w:rPr>
          <w:rtl/>
        </w:rPr>
        <w:t xml:space="preserve">طُلب إلى هذه الدول الأطراف أن تقدم معلومات مفصّلة عن الآليات الوقائية الوطنية </w:t>
      </w:r>
      <w:r w:rsidRPr="00510C3D">
        <w:rPr>
          <w:spacing w:val="-2"/>
          <w:rtl/>
        </w:rPr>
        <w:t xml:space="preserve">التي تقترح إنشاءها (من قبيل الولاية القانونية لهذه الآليات وتشكيلها وحجمها وخبرتها والموارد المالية والبشرية المتاحة لها وتواتر زياراتها). </w:t>
      </w:r>
      <w:r w:rsidRPr="00510C3D">
        <w:rPr>
          <w:rFonts w:hint="cs"/>
          <w:spacing w:val="-2"/>
          <w:rtl/>
        </w:rPr>
        <w:t xml:space="preserve">وعقدت اللجنة الفرعية، في </w:t>
      </w:r>
      <w:r w:rsidRPr="00510C3D">
        <w:rPr>
          <w:spacing w:val="-2"/>
          <w:rtl/>
        </w:rPr>
        <w:t>دورتها السابعة عشر</w:t>
      </w:r>
      <w:r w:rsidRPr="00510C3D">
        <w:rPr>
          <w:rFonts w:hint="cs"/>
          <w:spacing w:val="-2"/>
          <w:rtl/>
        </w:rPr>
        <w:t>ة</w:t>
      </w:r>
      <w:r w:rsidRPr="00510C3D">
        <w:rPr>
          <w:spacing w:val="-2"/>
          <w:rtl/>
        </w:rPr>
        <w:t xml:space="preserve">، اجتماعات مع البعثات الدائمة لباراغواي وبيرو وشيلي ونيكاراغوا، كما عقدت اجتماعات بشأن إنشاء الآليات الوقائية الوطنية وتشغيلها مع </w:t>
      </w:r>
      <w:r w:rsidRPr="00510C3D">
        <w:rPr>
          <w:spacing w:val="-2"/>
          <w:rtl/>
          <w:lang/>
        </w:rPr>
        <w:t>الدول الأفريقية الأطراف في البروتوكول الاختياري. وفي دورتها الثا</w:t>
      </w:r>
      <w:r w:rsidRPr="00510C3D">
        <w:rPr>
          <w:rFonts w:hint="cs"/>
          <w:spacing w:val="-2"/>
          <w:rtl/>
          <w:lang/>
        </w:rPr>
        <w:t>من</w:t>
      </w:r>
      <w:r w:rsidRPr="00510C3D">
        <w:rPr>
          <w:spacing w:val="-2"/>
          <w:rtl/>
          <w:lang/>
        </w:rPr>
        <w:t>ة عشر</w:t>
      </w:r>
      <w:r w:rsidRPr="00510C3D">
        <w:rPr>
          <w:rFonts w:hint="cs"/>
          <w:spacing w:val="-2"/>
          <w:rtl/>
          <w:lang/>
        </w:rPr>
        <w:t>ة</w:t>
      </w:r>
      <w:r w:rsidRPr="00510C3D">
        <w:rPr>
          <w:spacing w:val="-2"/>
          <w:rtl/>
          <w:lang/>
        </w:rPr>
        <w:t>، عقدت اللجنة الفرعية اجتماعات مع البعثت</w:t>
      </w:r>
      <w:r w:rsidRPr="00510C3D">
        <w:rPr>
          <w:rFonts w:hint="cs"/>
          <w:spacing w:val="-2"/>
          <w:rtl/>
          <w:lang/>
        </w:rPr>
        <w:t>ين</w:t>
      </w:r>
      <w:r w:rsidRPr="00510C3D">
        <w:rPr>
          <w:spacing w:val="-2"/>
          <w:rtl/>
          <w:lang/>
        </w:rPr>
        <w:t xml:space="preserve"> </w:t>
      </w:r>
      <w:r w:rsidRPr="00510C3D">
        <w:rPr>
          <w:rFonts w:hint="cs"/>
          <w:spacing w:val="-2"/>
          <w:rtl/>
          <w:lang/>
        </w:rPr>
        <w:t>الدائمتي</w:t>
      </w:r>
      <w:r w:rsidRPr="00510C3D">
        <w:rPr>
          <w:rFonts w:hint="eastAsia"/>
          <w:spacing w:val="-2"/>
          <w:rtl/>
          <w:lang/>
        </w:rPr>
        <w:t>ن</w:t>
      </w:r>
      <w:r w:rsidRPr="00510C3D">
        <w:rPr>
          <w:spacing w:val="-2"/>
          <w:rtl/>
          <w:lang/>
        </w:rPr>
        <w:t xml:space="preserve"> لغواتيمالا وكمبوديا بشأن المسائل المتعلقة بالآليات الوقائية الوطنية. </w:t>
      </w:r>
      <w:r w:rsidRPr="00510C3D">
        <w:rPr>
          <w:rFonts w:hint="cs"/>
          <w:spacing w:val="-2"/>
          <w:rtl/>
          <w:lang/>
        </w:rPr>
        <w:t>وأعضاء</w:t>
      </w:r>
      <w:r w:rsidR="00510C3D" w:rsidRPr="00510C3D">
        <w:rPr>
          <w:rFonts w:hint="cs"/>
          <w:spacing w:val="-2"/>
          <w:rtl/>
          <w:lang/>
        </w:rPr>
        <w:t xml:space="preserve"> </w:t>
      </w:r>
      <w:r w:rsidRPr="00510C3D">
        <w:rPr>
          <w:rFonts w:hint="cs"/>
          <w:spacing w:val="-2"/>
          <w:rtl/>
          <w:lang/>
        </w:rPr>
        <w:t xml:space="preserve">اللجنة الفرعية هم أيضاً على اتصال مع الدول الأطراف الأخرى التي هي بصدد إنشاء آلياتها الوقائية الوطنية. </w:t>
      </w:r>
      <w:r w:rsidRPr="00510C3D">
        <w:rPr>
          <w:spacing w:val="-2"/>
          <w:rtl/>
          <w:lang/>
        </w:rPr>
        <w:t>وفي</w:t>
      </w:r>
      <w:r w:rsidRPr="00510C3D">
        <w:rPr>
          <w:rFonts w:hint="cs"/>
          <w:spacing w:val="-2"/>
          <w:rtl/>
          <w:lang/>
        </w:rPr>
        <w:t> </w:t>
      </w:r>
      <w:r w:rsidRPr="00510C3D">
        <w:rPr>
          <w:spacing w:val="-2"/>
          <w:rtl/>
          <w:lang/>
        </w:rPr>
        <w:t xml:space="preserve">كل دورة من دورات اللجنة الفرعية، تستعرض فرق العمل التابعة للآليات الوقائية الوطنية التقدم المحرز نحو وفاء كل دولة طرف بالتزاماتها، وتقدم توصيات مناسبة إلى الجلسة العامة عن </w:t>
      </w:r>
      <w:r w:rsidRPr="00510C3D">
        <w:rPr>
          <w:rFonts w:hint="cs"/>
          <w:spacing w:val="-2"/>
          <w:rtl/>
          <w:lang/>
        </w:rPr>
        <w:t xml:space="preserve">الكيفية التي يمكن بها </w:t>
      </w:r>
      <w:r w:rsidRPr="00510C3D">
        <w:rPr>
          <w:spacing w:val="-2"/>
          <w:rtl/>
          <w:lang/>
        </w:rPr>
        <w:t>للجنة الفرعية أن تسدي المشورة والمساعدة في هذه العملية على أحسن وجه، عملاً بالولاية المسندة إليها بموجب المادة 11(ب)</w:t>
      </w:r>
      <w:r w:rsidRPr="00510C3D">
        <w:rPr>
          <w:rFonts w:hint="cs"/>
          <w:spacing w:val="-2"/>
          <w:rtl/>
          <w:lang/>
        </w:rPr>
        <w:t>‘1‘</w:t>
      </w:r>
      <w:r w:rsidRPr="00510C3D">
        <w:rPr>
          <w:spacing w:val="-2"/>
          <w:rtl/>
          <w:lang/>
        </w:rPr>
        <w:t xml:space="preserve"> من البروتوكول الاختياري.</w:t>
      </w:r>
    </w:p>
    <w:p w:rsidR="00631BFA" w:rsidRPr="007F0C4C" w:rsidRDefault="00631BFA" w:rsidP="00510C3D">
      <w:pPr>
        <w:pStyle w:val="SingleTxtGA"/>
        <w:rPr>
          <w:rFonts w:hint="cs"/>
          <w:spacing w:val="-2"/>
          <w:rtl/>
        </w:rPr>
      </w:pPr>
      <w:r w:rsidRPr="007F0C4C">
        <w:rPr>
          <w:spacing w:val="-2"/>
          <w:rtl/>
        </w:rPr>
        <w:t>29-</w:t>
      </w:r>
      <w:r w:rsidRPr="007F0C4C">
        <w:rPr>
          <w:spacing w:val="-2"/>
          <w:rtl/>
        </w:rPr>
        <w:tab/>
        <w:t>وأقامت اللجنة الفرعية أيضاً اتصالات مع الآليات الوقائية الوطنية نفسها وأبقت على تلك الاتصالات، تنفيذاً لولايتها بموجب المادة 11(ب)</w:t>
      </w:r>
      <w:r w:rsidRPr="007F0C4C">
        <w:rPr>
          <w:rFonts w:hint="cs"/>
          <w:spacing w:val="-2"/>
          <w:rtl/>
        </w:rPr>
        <w:t>‘2‘</w:t>
      </w:r>
      <w:r w:rsidRPr="007F0C4C">
        <w:rPr>
          <w:spacing w:val="-2"/>
          <w:rtl/>
        </w:rPr>
        <w:t xml:space="preserve"> من البروتوكول الاختياري. وعقدت اللجنة الفرعية، في دورتها السادسة عشر</w:t>
      </w:r>
      <w:r w:rsidRPr="007F0C4C">
        <w:rPr>
          <w:rFonts w:hint="cs"/>
          <w:spacing w:val="-2"/>
          <w:rtl/>
        </w:rPr>
        <w:t>ة</w:t>
      </w:r>
      <w:r w:rsidRPr="007F0C4C">
        <w:rPr>
          <w:spacing w:val="-2"/>
          <w:rtl/>
        </w:rPr>
        <w:t>، اجتماعاً مع الآلية الوقائية الوطنية الإسبانية من أجل تبادل المعلومات والخبرات ومناقشة مجالات التعاون</w:t>
      </w:r>
      <w:r w:rsidRPr="007F0C4C">
        <w:rPr>
          <w:rFonts w:hint="cs"/>
          <w:spacing w:val="-2"/>
          <w:rtl/>
        </w:rPr>
        <w:t xml:space="preserve"> في المستقبل</w:t>
      </w:r>
      <w:r w:rsidRPr="007F0C4C">
        <w:rPr>
          <w:spacing w:val="-2"/>
          <w:rtl/>
        </w:rPr>
        <w:t>. وعقدت اللجنة الفرعية، في دورتها السابعة عشر</w:t>
      </w:r>
      <w:r w:rsidRPr="007F0C4C">
        <w:rPr>
          <w:rFonts w:hint="cs"/>
          <w:spacing w:val="-2"/>
          <w:rtl/>
        </w:rPr>
        <w:t>ة</w:t>
      </w:r>
      <w:r w:rsidRPr="007F0C4C">
        <w:rPr>
          <w:spacing w:val="-2"/>
          <w:rtl/>
        </w:rPr>
        <w:t>، اجتماعا</w:t>
      </w:r>
      <w:r w:rsidRPr="007F0C4C">
        <w:rPr>
          <w:rFonts w:hint="cs"/>
          <w:spacing w:val="-2"/>
          <w:rtl/>
        </w:rPr>
        <w:t>ً</w:t>
      </w:r>
      <w:r w:rsidRPr="007F0C4C">
        <w:rPr>
          <w:spacing w:val="-2"/>
          <w:rtl/>
        </w:rPr>
        <w:t xml:space="preserve"> مماثل</w:t>
      </w:r>
      <w:r w:rsidRPr="007F0C4C">
        <w:rPr>
          <w:rFonts w:hint="cs"/>
          <w:spacing w:val="-2"/>
          <w:rtl/>
        </w:rPr>
        <w:t>اً</w:t>
      </w:r>
      <w:r w:rsidRPr="007F0C4C">
        <w:rPr>
          <w:spacing w:val="-2"/>
          <w:rtl/>
        </w:rPr>
        <w:t xml:space="preserve"> مع الآلية الوقائية الوطنية السلوفينية. وأخيراً، عقدت اللجنة الفرعية، في دورتها الث</w:t>
      </w:r>
      <w:r w:rsidRPr="007F0C4C">
        <w:rPr>
          <w:rFonts w:hint="cs"/>
          <w:spacing w:val="-2"/>
          <w:rtl/>
        </w:rPr>
        <w:t>امنة</w:t>
      </w:r>
      <w:r w:rsidRPr="007F0C4C">
        <w:rPr>
          <w:spacing w:val="-2"/>
          <w:rtl/>
        </w:rPr>
        <w:t xml:space="preserve"> عشر</w:t>
      </w:r>
      <w:r w:rsidRPr="007F0C4C">
        <w:rPr>
          <w:rFonts w:hint="cs"/>
          <w:spacing w:val="-2"/>
          <w:rtl/>
        </w:rPr>
        <w:t>ة</w:t>
      </w:r>
      <w:r w:rsidRPr="007F0C4C">
        <w:rPr>
          <w:spacing w:val="-2"/>
          <w:rtl/>
        </w:rPr>
        <w:t>، اجتماعاً مع الآلي</w:t>
      </w:r>
      <w:r w:rsidRPr="007F0C4C">
        <w:rPr>
          <w:rFonts w:hint="cs"/>
          <w:spacing w:val="-2"/>
          <w:rtl/>
        </w:rPr>
        <w:t>تين</w:t>
      </w:r>
      <w:r w:rsidRPr="007F0C4C">
        <w:rPr>
          <w:spacing w:val="-2"/>
          <w:rtl/>
        </w:rPr>
        <w:t xml:space="preserve"> الوقائي</w:t>
      </w:r>
      <w:r w:rsidRPr="007F0C4C">
        <w:rPr>
          <w:rFonts w:hint="cs"/>
          <w:spacing w:val="-2"/>
          <w:rtl/>
        </w:rPr>
        <w:t>تين</w:t>
      </w:r>
      <w:r w:rsidRPr="007F0C4C">
        <w:rPr>
          <w:spacing w:val="-2"/>
          <w:rtl/>
        </w:rPr>
        <w:t xml:space="preserve"> الوطني</w:t>
      </w:r>
      <w:r w:rsidRPr="007F0C4C">
        <w:rPr>
          <w:rFonts w:hint="cs"/>
          <w:spacing w:val="-2"/>
          <w:rtl/>
        </w:rPr>
        <w:t>تين</w:t>
      </w:r>
      <w:r w:rsidRPr="007F0C4C">
        <w:rPr>
          <w:spacing w:val="-2"/>
          <w:rtl/>
        </w:rPr>
        <w:t xml:space="preserve"> لإكوادور وفرنسا. وتجدر الإشارة إلى أنه خلال الدورة السابعة عشر</w:t>
      </w:r>
      <w:r w:rsidRPr="007F0C4C">
        <w:rPr>
          <w:rFonts w:hint="cs"/>
          <w:spacing w:val="-2"/>
          <w:rtl/>
        </w:rPr>
        <w:t>ة</w:t>
      </w:r>
      <w:r w:rsidRPr="007F0C4C">
        <w:rPr>
          <w:spacing w:val="-2"/>
          <w:rtl/>
        </w:rPr>
        <w:t xml:space="preserve"> للجنة الفرعية، شاركت الآلية الوقائية الوطنية المكسيكية في المناقشة التي دارت بين اللجنة الفرعية والسلطات المكسيكية بشأن متابعة تقرير الزيارة التي قامت بها </w:t>
      </w:r>
      <w:r w:rsidRPr="007F0C4C">
        <w:rPr>
          <w:rFonts w:hint="cs"/>
          <w:spacing w:val="-2"/>
          <w:rtl/>
        </w:rPr>
        <w:t>اللجنة الفرعية</w:t>
      </w:r>
      <w:r w:rsidRPr="007F0C4C">
        <w:rPr>
          <w:spacing w:val="-2"/>
          <w:rtl/>
        </w:rPr>
        <w:t xml:space="preserve"> إلى المكسيك (انظر أعلاه الفرع "دال" </w:t>
      </w:r>
      <w:r w:rsidRPr="007F0C4C">
        <w:rPr>
          <w:rFonts w:hint="cs"/>
          <w:spacing w:val="-2"/>
          <w:rtl/>
        </w:rPr>
        <w:t xml:space="preserve">من </w:t>
      </w:r>
      <w:r w:rsidRPr="007F0C4C">
        <w:rPr>
          <w:spacing w:val="-2"/>
          <w:rtl/>
        </w:rPr>
        <w:t>الفصل الثاني)</w:t>
      </w:r>
      <w:r w:rsidRPr="007F0C4C">
        <w:rPr>
          <w:rFonts w:hint="cs"/>
          <w:spacing w:val="-2"/>
          <w:rtl/>
        </w:rPr>
        <w:t>.</w:t>
      </w:r>
      <w:r w:rsidRPr="007F0C4C">
        <w:rPr>
          <w:spacing w:val="-2"/>
          <w:rtl/>
        </w:rPr>
        <w:t xml:space="preserve"> وتلاحظ اللجنة الفرعية بسرور أيضاً أن 23 آلية وقائية وطنية أحالت تقاريرها السنوية</w:t>
      </w:r>
      <w:r w:rsidRPr="007F0C4C">
        <w:rPr>
          <w:rFonts w:hint="cs"/>
          <w:spacing w:val="-2"/>
          <w:rtl/>
        </w:rPr>
        <w:t xml:space="preserve"> إلى اللجنة الفرعية</w:t>
      </w:r>
      <w:r w:rsidRPr="007F0C4C">
        <w:rPr>
          <w:spacing w:val="-2"/>
          <w:rtl/>
        </w:rPr>
        <w:t xml:space="preserve"> خلال عام 2012. وهي تقارير تم نشرها على الموقع الشبكي التابع للجنة الفرعية</w:t>
      </w:r>
      <w:r w:rsidRPr="007F0C4C">
        <w:rPr>
          <w:rFonts w:hint="cs"/>
          <w:spacing w:val="-2"/>
          <w:rtl/>
        </w:rPr>
        <w:t xml:space="preserve"> وقامت باستعراضها فرق العمل التابعة للآليات الوقائية الوطنية.</w:t>
      </w:r>
    </w:p>
    <w:p w:rsidR="00631BFA" w:rsidRPr="0013373A" w:rsidRDefault="00631BFA" w:rsidP="007F0C4C">
      <w:pPr>
        <w:pStyle w:val="SingleTxtGA"/>
        <w:rPr>
          <w:rtl/>
        </w:rPr>
      </w:pPr>
      <w:r w:rsidRPr="0013373A">
        <w:rPr>
          <w:rtl/>
        </w:rPr>
        <w:t>30-</w:t>
      </w:r>
      <w:r w:rsidRPr="0013373A">
        <w:rPr>
          <w:rtl/>
        </w:rPr>
        <w:tab/>
        <w:t>واستجاب أعضاء اللجنة الفرعية</w:t>
      </w:r>
      <w:r>
        <w:rPr>
          <w:rFonts w:hint="cs"/>
          <w:rtl/>
        </w:rPr>
        <w:t>،</w:t>
      </w:r>
      <w:r w:rsidRPr="000848B8">
        <w:rPr>
          <w:rtl/>
        </w:rPr>
        <w:t xml:space="preserve"> </w:t>
      </w:r>
      <w:r w:rsidRPr="0013373A">
        <w:rPr>
          <w:rtl/>
        </w:rPr>
        <w:t>خلال الفترة المشمولة بالتقري</w:t>
      </w:r>
      <w:r>
        <w:rPr>
          <w:rtl/>
        </w:rPr>
        <w:t>ر،</w:t>
      </w:r>
      <w:r w:rsidRPr="0013373A">
        <w:rPr>
          <w:rtl/>
        </w:rPr>
        <w:t xml:space="preserve"> لدعوات للمشاركة في عدد من الاجتماعات التي عُقدت على </w:t>
      </w:r>
      <w:r>
        <w:rPr>
          <w:rFonts w:hint="cs"/>
          <w:rtl/>
          <w:lang/>
        </w:rPr>
        <w:t>المستويات الوطنية والإقليمية والدولية</w:t>
      </w:r>
      <w:r w:rsidRPr="0013373A">
        <w:rPr>
          <w:rtl/>
        </w:rPr>
        <w:t xml:space="preserve"> </w:t>
      </w:r>
      <w:r>
        <w:rPr>
          <w:rFonts w:hint="cs"/>
          <w:rtl/>
        </w:rPr>
        <w:t xml:space="preserve">وتناولت </w:t>
      </w:r>
      <w:r w:rsidRPr="0013373A">
        <w:rPr>
          <w:rtl/>
        </w:rPr>
        <w:t>إنشاء الآليات الوقائية الوطنية وتطويرها</w:t>
      </w:r>
      <w:r>
        <w:rPr>
          <w:rFonts w:hint="cs"/>
          <w:rtl/>
        </w:rPr>
        <w:t xml:space="preserve"> على وجه الخصوص</w:t>
      </w:r>
      <w:r w:rsidRPr="0013373A">
        <w:rPr>
          <w:rtl/>
        </w:rPr>
        <w:t xml:space="preserve">، أو البروتوكول الاختياري </w:t>
      </w:r>
      <w:r w:rsidRPr="002724A3">
        <w:rPr>
          <w:spacing w:val="-2"/>
          <w:rtl/>
        </w:rPr>
        <w:t>ب</w:t>
      </w:r>
      <w:r>
        <w:rPr>
          <w:rFonts w:hint="cs"/>
          <w:spacing w:val="-2"/>
          <w:rtl/>
        </w:rPr>
        <w:t>وجه</w:t>
      </w:r>
      <w:r w:rsidRPr="002724A3">
        <w:rPr>
          <w:spacing w:val="-2"/>
          <w:rtl/>
        </w:rPr>
        <w:t xml:space="preserve"> عام (بما </w:t>
      </w:r>
      <w:r w:rsidRPr="002724A3">
        <w:rPr>
          <w:rFonts w:hint="cs"/>
          <w:spacing w:val="-2"/>
          <w:rtl/>
        </w:rPr>
        <w:t xml:space="preserve">في ذلك </w:t>
      </w:r>
      <w:r w:rsidRPr="002724A3">
        <w:rPr>
          <w:spacing w:val="-2"/>
          <w:rtl/>
        </w:rPr>
        <w:t xml:space="preserve">الآليات الوقائية الوطنية). وقد نُظمت هذه </w:t>
      </w:r>
      <w:r w:rsidRPr="002724A3">
        <w:rPr>
          <w:rFonts w:hint="cs"/>
          <w:spacing w:val="-2"/>
          <w:rtl/>
        </w:rPr>
        <w:t>الأنشطة</w:t>
      </w:r>
      <w:r w:rsidRPr="002724A3">
        <w:rPr>
          <w:spacing w:val="-2"/>
          <w:rtl/>
        </w:rPr>
        <w:t xml:space="preserve"> بدعم من منظمات المجتمع المدني (وبخاصة رابطة منع التعذيب، ومنظمة العفو الدولية</w:t>
      </w:r>
      <w:r>
        <w:rPr>
          <w:rFonts w:hint="cs"/>
          <w:spacing w:val="-2"/>
          <w:rtl/>
        </w:rPr>
        <w:t>،</w:t>
      </w:r>
      <w:r w:rsidRPr="002724A3">
        <w:rPr>
          <w:spacing w:val="-2"/>
          <w:rtl/>
        </w:rPr>
        <w:t xml:space="preserve"> وم</w:t>
      </w:r>
      <w:r w:rsidRPr="002724A3">
        <w:rPr>
          <w:spacing w:val="-2"/>
          <w:rtl/>
          <w:lang/>
        </w:rPr>
        <w:t>ركز الدراسات القانونية والاجتماعية،</w:t>
      </w:r>
      <w:r w:rsidRPr="002724A3">
        <w:rPr>
          <w:spacing w:val="-2"/>
          <w:rtl/>
        </w:rPr>
        <w:t xml:space="preserve"> و</w:t>
      </w:r>
      <w:r w:rsidRPr="002724A3">
        <w:rPr>
          <w:spacing w:val="-2"/>
          <w:rtl/>
          <w:lang/>
        </w:rPr>
        <w:t>المجلس الدولي لإعادة تأهيل ضحايا التعذيب،</w:t>
      </w:r>
      <w:r w:rsidRPr="002724A3">
        <w:rPr>
          <w:spacing w:val="-2"/>
          <w:rtl/>
        </w:rPr>
        <w:t xml:space="preserve"> و</w:t>
      </w:r>
      <w:r w:rsidRPr="002724A3">
        <w:rPr>
          <w:spacing w:val="-2"/>
          <w:rtl/>
          <w:lang/>
        </w:rPr>
        <w:t>المنظمـة الدولية للدفاع عن الأطفال، والاتحاد الدولي للعمل المسيحي من أجل إلغاء التعذيب، ولجنة</w:t>
      </w:r>
      <w:r w:rsidR="007F0C4C">
        <w:rPr>
          <w:rFonts w:hint="cs"/>
          <w:spacing w:val="-2"/>
          <w:rtl/>
          <w:lang/>
        </w:rPr>
        <w:t> </w:t>
      </w:r>
      <w:r w:rsidRPr="002724A3">
        <w:rPr>
          <w:spacing w:val="-2"/>
          <w:rtl/>
          <w:lang/>
        </w:rPr>
        <w:t>هلسنكي</w:t>
      </w:r>
      <w:r w:rsidRPr="0013373A">
        <w:rPr>
          <w:rtl/>
          <w:lang/>
        </w:rPr>
        <w:t xml:space="preserve"> الهنغارية، والمنظمة العالمية لمناهضة التعذيب، والمنظمة الدولية لإصلاح القانون الجنائي، </w:t>
      </w:r>
      <w:r w:rsidRPr="0013373A">
        <w:rPr>
          <w:rtl/>
        </w:rPr>
        <w:t xml:space="preserve">وفريق الاتصال المعني بالبروتوكول الاختياري) </w:t>
      </w:r>
      <w:r w:rsidRPr="0013373A">
        <w:rPr>
          <w:rtl/>
          <w:lang/>
        </w:rPr>
        <w:t>ومؤسسات أكاديمية (مركز إعمال حقوق الإنسان التابع لجامعة بريستول، ومعهد لودفيغ بولتزمان، وكلية واشنطن للقانون التابعة للجامعة الأمريكية)</w:t>
      </w:r>
      <w:r>
        <w:rPr>
          <w:rFonts w:hint="cs"/>
          <w:rtl/>
          <w:lang/>
        </w:rPr>
        <w:t>،</w:t>
      </w:r>
      <w:r w:rsidRPr="0013373A">
        <w:rPr>
          <w:rtl/>
          <w:lang/>
        </w:rPr>
        <w:t xml:space="preserve"> </w:t>
      </w:r>
      <w:r w:rsidRPr="0013373A">
        <w:rPr>
          <w:rtl/>
        </w:rPr>
        <w:t>ومن الآليات الوقائية الوطنية، والدول (لا</w:t>
      </w:r>
      <w:r>
        <w:rPr>
          <w:rFonts w:hint="cs"/>
          <w:rtl/>
        </w:rPr>
        <w:t xml:space="preserve"> </w:t>
      </w:r>
      <w:r w:rsidRPr="0013373A">
        <w:rPr>
          <w:rtl/>
        </w:rPr>
        <w:t xml:space="preserve">سيما </w:t>
      </w:r>
      <w:r w:rsidRPr="0013373A">
        <w:rPr>
          <w:rtl/>
          <w:lang/>
        </w:rPr>
        <w:t>البعثة الدائمة لفرنسا لدى مكتب الأمم المتحدة في نيويورك</w:t>
      </w:r>
      <w:r w:rsidRPr="0013373A">
        <w:rPr>
          <w:rtl/>
        </w:rPr>
        <w:t>)، والهيئات الإقليمية مثل اللجنة الأفريقية لحقوق الإنسان والشعوب،</w:t>
      </w:r>
      <w:r w:rsidRPr="0013373A">
        <w:rPr>
          <w:rtl/>
          <w:lang/>
        </w:rPr>
        <w:t xml:space="preserve"> ولجنة منع التعذيب في أفريقيا،</w:t>
      </w:r>
      <w:r w:rsidRPr="0013373A">
        <w:rPr>
          <w:rtl/>
        </w:rPr>
        <w:t xml:space="preserve"> ولجنة البلدان الأمريكية لحقوق الإنسان، ومجلس أوروبا، </w:t>
      </w:r>
      <w:r>
        <w:rPr>
          <w:rFonts w:hint="cs"/>
          <w:rtl/>
        </w:rPr>
        <w:t xml:space="preserve">والمفوضية </w:t>
      </w:r>
      <w:r w:rsidRPr="0013373A">
        <w:rPr>
          <w:rtl/>
        </w:rPr>
        <w:t>الأوروبي</w:t>
      </w:r>
      <w:r>
        <w:rPr>
          <w:rFonts w:hint="cs"/>
          <w:rtl/>
        </w:rPr>
        <w:t>ة</w:t>
      </w:r>
      <w:r w:rsidRPr="0013373A">
        <w:rPr>
          <w:rtl/>
        </w:rPr>
        <w:t xml:space="preserve">، ومكتب المؤسسات الديمقراطية وحقوق الإنسان التابع لمنظمة الأمن والتعاون في أوروبا، إلى جانب منظمات دولية مثل </w:t>
      </w:r>
      <w:r w:rsidRPr="0013373A">
        <w:rPr>
          <w:rtl/>
          <w:lang/>
        </w:rPr>
        <w:t>المنظمة الدولية للفرانكفونية، ومكتب الأمم المتحدة المعني بالمخدِّرات والجريمة، و</w:t>
      </w:r>
      <w:r w:rsidRPr="0013373A">
        <w:rPr>
          <w:rtl/>
        </w:rPr>
        <w:t>مفوضية الأمم المتحدة السامية لحقوق الإنسان. وشملت الأنشطة المذكورة</w:t>
      </w:r>
      <w:r>
        <w:rPr>
          <w:rFonts w:hint="cs"/>
          <w:rtl/>
        </w:rPr>
        <w:t>،</w:t>
      </w:r>
      <w:r w:rsidRPr="0013373A">
        <w:rPr>
          <w:rtl/>
        </w:rPr>
        <w:t xml:space="preserve"> فيما شملت</w:t>
      </w:r>
      <w:r>
        <w:rPr>
          <w:rFonts w:hint="cs"/>
          <w:rtl/>
        </w:rPr>
        <w:t>، ما يلي</w:t>
      </w:r>
      <w:r w:rsidRPr="0013373A">
        <w:rPr>
          <w:rtl/>
        </w:rPr>
        <w:t>:</w:t>
      </w:r>
    </w:p>
    <w:p w:rsidR="00631BFA" w:rsidRPr="0013373A" w:rsidRDefault="00631BFA" w:rsidP="00510C3D">
      <w:pPr>
        <w:pStyle w:val="SingleTxtGA"/>
        <w:rPr>
          <w:rtl/>
        </w:rPr>
      </w:pPr>
      <w:r w:rsidRPr="0013373A">
        <w:rPr>
          <w:rtl/>
        </w:rPr>
        <w:tab/>
        <w:t>(أ)</w:t>
      </w:r>
      <w:r w:rsidRPr="0013373A">
        <w:rPr>
          <w:rtl/>
        </w:rPr>
        <w:tab/>
        <w:t>شباط/فبراير 2012: اجتماعات تشاور إقليمية بشأن تح</w:t>
      </w:r>
      <w:r>
        <w:rPr>
          <w:rtl/>
        </w:rPr>
        <w:t>سين التعاون بين الأمم المتحدة و</w:t>
      </w:r>
      <w:r>
        <w:rPr>
          <w:rFonts w:hint="cs"/>
          <w:rtl/>
        </w:rPr>
        <w:t>الآليات</w:t>
      </w:r>
      <w:r w:rsidRPr="0013373A">
        <w:rPr>
          <w:rtl/>
        </w:rPr>
        <w:t xml:space="preserve"> الأفريقية لحقوق الإنسان </w:t>
      </w:r>
      <w:r>
        <w:rPr>
          <w:rFonts w:hint="cs"/>
          <w:rtl/>
        </w:rPr>
        <w:t>المعنية</w:t>
      </w:r>
      <w:r w:rsidRPr="0013373A">
        <w:rPr>
          <w:rtl/>
        </w:rPr>
        <w:t xml:space="preserve"> </w:t>
      </w:r>
      <w:r>
        <w:rPr>
          <w:rFonts w:hint="cs"/>
          <w:rtl/>
        </w:rPr>
        <w:t>ب</w:t>
      </w:r>
      <w:r w:rsidRPr="0013373A">
        <w:rPr>
          <w:rtl/>
        </w:rPr>
        <w:t>منع التعذيب</w:t>
      </w:r>
      <w:r>
        <w:rPr>
          <w:rFonts w:hint="cs"/>
          <w:rtl/>
        </w:rPr>
        <w:t>،</w:t>
      </w:r>
      <w:r w:rsidRPr="00262A4F">
        <w:rPr>
          <w:rtl/>
        </w:rPr>
        <w:t xml:space="preserve"> </w:t>
      </w:r>
      <w:r w:rsidRPr="0013373A">
        <w:rPr>
          <w:rtl/>
        </w:rPr>
        <w:t xml:space="preserve">عُقدت في </w:t>
      </w:r>
      <w:r>
        <w:rPr>
          <w:rtl/>
          <w:lang/>
        </w:rPr>
        <w:t>أديس أبابا</w:t>
      </w:r>
      <w:r w:rsidRPr="0013373A">
        <w:rPr>
          <w:rtl/>
        </w:rPr>
        <w:t xml:space="preserve"> ونظمتها مفوضية الأمم المتحدة السامية لحقوق الإنسان بالتعاون مع اللجنة الأفريقية لحقوق الإنسان والشعوب؛</w:t>
      </w:r>
    </w:p>
    <w:p w:rsidR="00631BFA" w:rsidRPr="0013373A" w:rsidRDefault="00631BFA" w:rsidP="00510C3D">
      <w:pPr>
        <w:pStyle w:val="SingleTxtGA"/>
        <w:rPr>
          <w:rtl/>
        </w:rPr>
      </w:pPr>
      <w:r w:rsidRPr="0013373A">
        <w:rPr>
          <w:rtl/>
        </w:rPr>
        <w:tab/>
        <w:t>(ب)</w:t>
      </w:r>
      <w:r w:rsidRPr="0013373A">
        <w:rPr>
          <w:rtl/>
        </w:rPr>
        <w:tab/>
        <w:t>شباط/فبراير</w:t>
      </w:r>
      <w:r w:rsidR="00BE6C28">
        <w:rPr>
          <w:rFonts w:hint="cs"/>
          <w:rtl/>
        </w:rPr>
        <w:t xml:space="preserve"> </w:t>
      </w:r>
      <w:r w:rsidRPr="0013373A">
        <w:rPr>
          <w:rtl/>
        </w:rPr>
        <w:t xml:space="preserve">2012: حلقة دراسية حول "أدلة الطب الشرعي في مكافحة التعذيب"، </w:t>
      </w:r>
      <w:r>
        <w:rPr>
          <w:rFonts w:hint="cs"/>
          <w:rtl/>
        </w:rPr>
        <w:t xml:space="preserve">عُقدت </w:t>
      </w:r>
      <w:r w:rsidRPr="0013373A">
        <w:rPr>
          <w:rtl/>
        </w:rPr>
        <w:t xml:space="preserve">في واشنطن ونظمتها </w:t>
      </w:r>
      <w:r w:rsidRPr="0013373A">
        <w:rPr>
          <w:rtl/>
          <w:lang/>
        </w:rPr>
        <w:t>كلية واشنطن للقانون التابعة للجامعة الأمريكية</w:t>
      </w:r>
      <w:r w:rsidRPr="0013373A">
        <w:rPr>
          <w:rtl/>
        </w:rPr>
        <w:t xml:space="preserve"> </w:t>
      </w:r>
      <w:r>
        <w:rPr>
          <w:rFonts w:hint="cs"/>
          <w:rtl/>
        </w:rPr>
        <w:t xml:space="preserve">بالتعاون مع </w:t>
      </w:r>
      <w:r w:rsidRPr="0013373A">
        <w:rPr>
          <w:rtl/>
        </w:rPr>
        <w:t>رابطة منع التعذيب؛</w:t>
      </w:r>
    </w:p>
    <w:p w:rsidR="00631BFA" w:rsidRPr="0013373A" w:rsidRDefault="00631BFA" w:rsidP="00761DC0">
      <w:pPr>
        <w:pStyle w:val="SingleTxtGA"/>
        <w:rPr>
          <w:rtl/>
        </w:rPr>
      </w:pPr>
      <w:r w:rsidRPr="0013373A">
        <w:rPr>
          <w:rtl/>
        </w:rPr>
        <w:tab/>
        <w:t>(ج)</w:t>
      </w:r>
      <w:r w:rsidRPr="0013373A">
        <w:rPr>
          <w:rtl/>
        </w:rPr>
        <w:tab/>
        <w:t>شباط/فبراير</w:t>
      </w:r>
      <w:r>
        <w:rPr>
          <w:rFonts w:hint="cs"/>
          <w:rtl/>
        </w:rPr>
        <w:t xml:space="preserve"> </w:t>
      </w:r>
      <w:r w:rsidRPr="0013373A">
        <w:rPr>
          <w:rtl/>
        </w:rPr>
        <w:t xml:space="preserve">2012: حلقة دراسية حول "ترتيبات جديدة من أجل </w:t>
      </w:r>
      <w:r w:rsidRPr="0013373A">
        <w:rPr>
          <w:rtl/>
          <w:lang/>
        </w:rPr>
        <w:t xml:space="preserve">رصد </w:t>
      </w:r>
      <w:r>
        <w:rPr>
          <w:rFonts w:hint="cs"/>
          <w:rtl/>
          <w:lang/>
        </w:rPr>
        <w:t>ال</w:t>
      </w:r>
      <w:r w:rsidRPr="0013373A">
        <w:rPr>
          <w:rtl/>
          <w:lang/>
        </w:rPr>
        <w:t xml:space="preserve">حالة </w:t>
      </w:r>
      <w:r>
        <w:rPr>
          <w:rFonts w:hint="cs"/>
          <w:rtl/>
          <w:lang/>
        </w:rPr>
        <w:t xml:space="preserve">في </w:t>
      </w:r>
      <w:r w:rsidRPr="0013373A">
        <w:rPr>
          <w:rtl/>
          <w:lang/>
        </w:rPr>
        <w:t xml:space="preserve">أماكن الاحتجاز في </w:t>
      </w:r>
      <w:r w:rsidR="00CF2669">
        <w:rPr>
          <w:rFonts w:hint="cs"/>
          <w:rtl/>
          <w:lang/>
        </w:rPr>
        <w:t>أ</w:t>
      </w:r>
      <w:r w:rsidRPr="0013373A">
        <w:rPr>
          <w:rtl/>
          <w:lang/>
        </w:rPr>
        <w:t xml:space="preserve">يرلندا: البروتوكول الاختياري لاتفاقية الأمم المتحدة لمناهضة التعذيب"، </w:t>
      </w:r>
      <w:r>
        <w:rPr>
          <w:rFonts w:hint="cs"/>
          <w:rtl/>
          <w:lang/>
        </w:rPr>
        <w:t xml:space="preserve">عُقدت </w:t>
      </w:r>
      <w:r w:rsidRPr="0013373A">
        <w:rPr>
          <w:rtl/>
          <w:lang/>
        </w:rPr>
        <w:t xml:space="preserve">في دبلن ونظمها المجلس </w:t>
      </w:r>
      <w:r w:rsidR="00761DC0">
        <w:rPr>
          <w:rFonts w:hint="cs"/>
          <w:rtl/>
          <w:lang/>
        </w:rPr>
        <w:t>الأ</w:t>
      </w:r>
      <w:r w:rsidRPr="0013373A">
        <w:rPr>
          <w:rtl/>
          <w:lang/>
        </w:rPr>
        <w:t>يرلندي للحريات المدنية؛</w:t>
      </w:r>
    </w:p>
    <w:p w:rsidR="00631BFA" w:rsidRPr="0013373A" w:rsidRDefault="00631BFA" w:rsidP="00510C3D">
      <w:pPr>
        <w:pStyle w:val="SingleTxtGA"/>
        <w:rPr>
          <w:rtl/>
        </w:rPr>
      </w:pPr>
      <w:r w:rsidRPr="0013373A">
        <w:rPr>
          <w:rtl/>
        </w:rPr>
        <w:tab/>
        <w:t>(د)</w:t>
      </w:r>
      <w:r w:rsidRPr="0013373A">
        <w:rPr>
          <w:rtl/>
        </w:rPr>
        <w:tab/>
        <w:t>آذار/مارس 2012:</w:t>
      </w:r>
      <w:r>
        <w:rPr>
          <w:rtl/>
          <w:lang/>
        </w:rPr>
        <w:t xml:space="preserve"> </w:t>
      </w:r>
      <w:r>
        <w:rPr>
          <w:rFonts w:hint="cs"/>
          <w:rtl/>
          <w:lang/>
        </w:rPr>
        <w:t>"</w:t>
      </w:r>
      <w:r>
        <w:rPr>
          <w:rtl/>
          <w:lang/>
        </w:rPr>
        <w:t xml:space="preserve">مشروع </w:t>
      </w:r>
      <w:r w:rsidRPr="0013373A">
        <w:rPr>
          <w:rtl/>
          <w:lang/>
        </w:rPr>
        <w:t>أطلس التعذيب"، عُقد في أسونس</w:t>
      </w:r>
      <w:r>
        <w:rPr>
          <w:rFonts w:hint="cs"/>
          <w:rtl/>
          <w:lang/>
        </w:rPr>
        <w:t>ي</w:t>
      </w:r>
      <w:r w:rsidRPr="0013373A">
        <w:rPr>
          <w:rtl/>
          <w:lang/>
        </w:rPr>
        <w:t>ون</w:t>
      </w:r>
      <w:r w:rsidRPr="0013373A">
        <w:rPr>
          <w:rtl/>
        </w:rPr>
        <w:t xml:space="preserve"> ونظمه </w:t>
      </w:r>
      <w:r w:rsidRPr="0013373A">
        <w:rPr>
          <w:rtl/>
          <w:lang/>
        </w:rPr>
        <w:t>معهد لودفيغ بولتزمان</w:t>
      </w:r>
      <w:r w:rsidRPr="0013373A">
        <w:rPr>
          <w:rtl/>
        </w:rPr>
        <w:t>؛</w:t>
      </w:r>
    </w:p>
    <w:p w:rsidR="00631BFA" w:rsidRPr="0013373A" w:rsidRDefault="00631BFA" w:rsidP="00510C3D">
      <w:pPr>
        <w:pStyle w:val="SingleTxtGA"/>
        <w:rPr>
          <w:rtl/>
          <w:lang/>
        </w:rPr>
      </w:pPr>
      <w:r w:rsidRPr="0013373A">
        <w:rPr>
          <w:rtl/>
        </w:rPr>
        <w:tab/>
        <w:t>(</w:t>
      </w:r>
      <w:r w:rsidRPr="0013373A">
        <w:rPr>
          <w:sz w:val="30"/>
          <w:rtl/>
        </w:rPr>
        <w:t>ﻫ</w:t>
      </w:r>
      <w:r w:rsidRPr="0013373A">
        <w:rPr>
          <w:rtl/>
        </w:rPr>
        <w:t>)</w:t>
      </w:r>
      <w:r w:rsidRPr="0013373A">
        <w:rPr>
          <w:rtl/>
        </w:rPr>
        <w:tab/>
        <w:t xml:space="preserve">آذار/مارس 2012: </w:t>
      </w:r>
      <w:r w:rsidRPr="0013373A">
        <w:rPr>
          <w:rtl/>
          <w:lang/>
        </w:rPr>
        <w:t xml:space="preserve">الاجتماع السنوي الخامس </w:t>
      </w:r>
      <w:r>
        <w:rPr>
          <w:rFonts w:hint="cs"/>
          <w:rtl/>
          <w:lang/>
        </w:rPr>
        <w:t xml:space="preserve">والعشرون </w:t>
      </w:r>
      <w:r w:rsidRPr="0013373A">
        <w:rPr>
          <w:rtl/>
          <w:lang/>
        </w:rPr>
        <w:t>للجنة التنسيق الدولية للمؤسسات الوطنية لتعزيز وحماية حقو</w:t>
      </w:r>
      <w:r>
        <w:rPr>
          <w:rtl/>
          <w:lang/>
        </w:rPr>
        <w:t>ق الإنسان، بشأن الجزء المعنون "</w:t>
      </w:r>
      <w:r w:rsidRPr="0013373A">
        <w:rPr>
          <w:rtl/>
          <w:lang/>
        </w:rPr>
        <w:t xml:space="preserve">المؤسسات الوطنية لحقوق الإنسان والرصد </w:t>
      </w:r>
      <w:r>
        <w:rPr>
          <w:rFonts w:hint="cs"/>
          <w:rtl/>
          <w:lang/>
        </w:rPr>
        <w:t>-</w:t>
      </w:r>
      <w:r w:rsidRPr="0013373A">
        <w:rPr>
          <w:rtl/>
          <w:lang/>
        </w:rPr>
        <w:t xml:space="preserve"> التركيز على البروتوكول الاختياري لاتفاقية الأمم المتحدة لمناهضة التعذيب والاحتجاز"، عُقد في جنيف ونظم</w:t>
      </w:r>
      <w:r>
        <w:rPr>
          <w:rFonts w:hint="cs"/>
          <w:rtl/>
          <w:lang/>
        </w:rPr>
        <w:t>ت</w:t>
      </w:r>
      <w:r w:rsidRPr="0013373A">
        <w:rPr>
          <w:rtl/>
          <w:lang/>
        </w:rPr>
        <w:t>ه المفوض</w:t>
      </w:r>
      <w:r>
        <w:rPr>
          <w:rFonts w:hint="cs"/>
          <w:rtl/>
          <w:lang/>
        </w:rPr>
        <w:t>ي</w:t>
      </w:r>
      <w:r w:rsidRPr="0013373A">
        <w:rPr>
          <w:rtl/>
          <w:lang/>
        </w:rPr>
        <w:t>ة السامية لحقوق الإنسان؛</w:t>
      </w:r>
    </w:p>
    <w:p w:rsidR="00631BFA" w:rsidRPr="0013373A" w:rsidRDefault="00631BFA" w:rsidP="00510C3D">
      <w:pPr>
        <w:pStyle w:val="SingleTxtGA"/>
        <w:rPr>
          <w:rtl/>
        </w:rPr>
      </w:pPr>
      <w:r w:rsidRPr="0013373A">
        <w:rPr>
          <w:rtl/>
        </w:rPr>
        <w:tab/>
        <w:t>(و)</w:t>
      </w:r>
      <w:r w:rsidRPr="0013373A">
        <w:rPr>
          <w:rtl/>
        </w:rPr>
        <w:tab/>
        <w:t>آذار/مارس 2012: مؤتمر إقليم</w:t>
      </w:r>
      <w:r>
        <w:rPr>
          <w:rtl/>
        </w:rPr>
        <w:t>ي بعنوان "</w:t>
      </w:r>
      <w:r w:rsidRPr="0013373A">
        <w:rPr>
          <w:rtl/>
        </w:rPr>
        <w:t xml:space="preserve">مكافحة التعذيب وسوء المعاملة ومنعهما </w:t>
      </w:r>
      <w:r w:rsidRPr="0013373A">
        <w:rPr>
          <w:rtl/>
          <w:lang/>
        </w:rPr>
        <w:t>في جنوب القوقاز"، ع</w:t>
      </w:r>
      <w:r>
        <w:rPr>
          <w:rFonts w:hint="cs"/>
          <w:rtl/>
          <w:lang/>
        </w:rPr>
        <w:t>ُ</w:t>
      </w:r>
      <w:r w:rsidRPr="0013373A">
        <w:rPr>
          <w:rtl/>
          <w:lang/>
        </w:rPr>
        <w:t>قد في تبيليسي</w:t>
      </w:r>
      <w:r w:rsidRPr="0013373A">
        <w:rPr>
          <w:rtl/>
        </w:rPr>
        <w:t xml:space="preserve"> ونظمه </w:t>
      </w:r>
      <w:r w:rsidRPr="0013373A">
        <w:rPr>
          <w:rtl/>
          <w:lang/>
        </w:rPr>
        <w:t>مكتب المؤسسات الديمقراطية وحقوق الإنسان بالتعاون مع المنظمة الدولية لإصلاح القانون الجنائي</w:t>
      </w:r>
      <w:r w:rsidRPr="0013373A">
        <w:rPr>
          <w:rtl/>
        </w:rPr>
        <w:t>؛</w:t>
      </w:r>
    </w:p>
    <w:p w:rsidR="00631BFA" w:rsidRPr="007F0C4C" w:rsidRDefault="00631BFA" w:rsidP="007F0C4C">
      <w:pPr>
        <w:pStyle w:val="SingleTxtGA"/>
        <w:rPr>
          <w:spacing w:val="-4"/>
          <w:rtl/>
        </w:rPr>
      </w:pPr>
      <w:r w:rsidRPr="007F0C4C">
        <w:rPr>
          <w:spacing w:val="-2"/>
          <w:rtl/>
        </w:rPr>
        <w:tab/>
        <w:t>(ز)</w:t>
      </w:r>
      <w:r w:rsidRPr="007F0C4C">
        <w:rPr>
          <w:spacing w:val="-2"/>
          <w:rtl/>
        </w:rPr>
        <w:tab/>
        <w:t xml:space="preserve">آذار/مارس 2012: حلقة دراسية حول "دور </w:t>
      </w:r>
      <w:r w:rsidRPr="007F0C4C">
        <w:rPr>
          <w:spacing w:val="-2"/>
          <w:rtl/>
          <w:lang/>
        </w:rPr>
        <w:t>نظام الدفاع العام في منع</w:t>
      </w:r>
      <w:r w:rsidR="007F0C4C">
        <w:rPr>
          <w:rFonts w:hint="cs"/>
          <w:spacing w:val="-2"/>
          <w:rtl/>
          <w:lang/>
        </w:rPr>
        <w:t xml:space="preserve"> </w:t>
      </w:r>
      <w:r w:rsidRPr="007F0C4C">
        <w:rPr>
          <w:spacing w:val="-4"/>
          <w:rtl/>
          <w:lang/>
        </w:rPr>
        <w:t xml:space="preserve">التعذيب" </w:t>
      </w:r>
      <w:r w:rsidRPr="007F0C4C">
        <w:rPr>
          <w:rFonts w:hint="cs"/>
          <w:spacing w:val="-4"/>
          <w:rtl/>
          <w:lang/>
        </w:rPr>
        <w:t xml:space="preserve">عُقدت </w:t>
      </w:r>
      <w:r w:rsidRPr="007F0C4C">
        <w:rPr>
          <w:spacing w:val="-4"/>
          <w:rtl/>
          <w:lang/>
        </w:rPr>
        <w:t xml:space="preserve">في ساو باولو ونظمها مكتب </w:t>
      </w:r>
      <w:r w:rsidRPr="007F0C4C">
        <w:rPr>
          <w:rFonts w:hint="cs"/>
          <w:spacing w:val="-4"/>
          <w:rtl/>
          <w:lang/>
        </w:rPr>
        <w:t xml:space="preserve">محامي المساعدة القضائية </w:t>
      </w:r>
      <w:r w:rsidRPr="007F0C4C">
        <w:rPr>
          <w:spacing w:val="-4"/>
          <w:rtl/>
          <w:lang/>
        </w:rPr>
        <w:t xml:space="preserve">التابع لولاية ساو باولو؛ </w:t>
      </w:r>
    </w:p>
    <w:p w:rsidR="00631BFA" w:rsidRPr="0013373A" w:rsidRDefault="00631BFA" w:rsidP="007F0C4C">
      <w:pPr>
        <w:pStyle w:val="SingleTxtGA"/>
        <w:spacing w:line="370" w:lineRule="exact"/>
        <w:rPr>
          <w:rtl/>
        </w:rPr>
      </w:pPr>
      <w:r w:rsidRPr="0013373A">
        <w:rPr>
          <w:rtl/>
        </w:rPr>
        <w:tab/>
        <w:t>(ح)</w:t>
      </w:r>
      <w:r w:rsidRPr="0013373A">
        <w:rPr>
          <w:rtl/>
        </w:rPr>
        <w:tab/>
        <w:t>نيسا</w:t>
      </w:r>
      <w:r>
        <w:rPr>
          <w:rtl/>
        </w:rPr>
        <w:t>ن/أبريل 2012: حلقة دراسية حول "</w:t>
      </w:r>
      <w:r w:rsidRPr="0013373A">
        <w:rPr>
          <w:rtl/>
        </w:rPr>
        <w:t xml:space="preserve">دور </w:t>
      </w:r>
      <w:r w:rsidRPr="0013373A">
        <w:rPr>
          <w:rtl/>
          <w:lang/>
        </w:rPr>
        <w:t xml:space="preserve">نظام الدفاع العام في منع التعذيب"، عُقدت </w:t>
      </w:r>
      <w:r>
        <w:rPr>
          <w:rFonts w:hint="cs"/>
          <w:rtl/>
          <w:lang/>
        </w:rPr>
        <w:t xml:space="preserve">في </w:t>
      </w:r>
      <w:r w:rsidRPr="0013373A">
        <w:rPr>
          <w:rtl/>
          <w:lang/>
        </w:rPr>
        <w:t>أسونس</w:t>
      </w:r>
      <w:r>
        <w:rPr>
          <w:rFonts w:hint="cs"/>
          <w:rtl/>
          <w:lang/>
        </w:rPr>
        <w:t>ي</w:t>
      </w:r>
      <w:r w:rsidRPr="0013373A">
        <w:rPr>
          <w:rtl/>
          <w:lang/>
        </w:rPr>
        <w:t>ون</w:t>
      </w:r>
      <w:r w:rsidRPr="0013373A">
        <w:rPr>
          <w:rtl/>
        </w:rPr>
        <w:t xml:space="preserve"> ونظمها </w:t>
      </w:r>
      <w:r w:rsidRPr="0013373A">
        <w:rPr>
          <w:rtl/>
          <w:lang/>
        </w:rPr>
        <w:t>معهد لودفيغ بولتزمان؛</w:t>
      </w:r>
    </w:p>
    <w:p w:rsidR="00631BFA" w:rsidRPr="0013373A" w:rsidRDefault="00631BFA" w:rsidP="007F0C4C">
      <w:pPr>
        <w:pStyle w:val="SingleTxtGA"/>
        <w:spacing w:line="370" w:lineRule="exact"/>
        <w:rPr>
          <w:rtl/>
        </w:rPr>
      </w:pPr>
      <w:r w:rsidRPr="0013373A">
        <w:rPr>
          <w:rtl/>
        </w:rPr>
        <w:tab/>
        <w:t>(ط)</w:t>
      </w:r>
      <w:r w:rsidRPr="0013373A">
        <w:rPr>
          <w:rtl/>
        </w:rPr>
        <w:tab/>
        <w:t xml:space="preserve">نيسان/أبريل 2012: حلقة دراسية حول </w:t>
      </w:r>
      <w:r>
        <w:rPr>
          <w:rFonts w:hint="cs"/>
          <w:rtl/>
        </w:rPr>
        <w:t xml:space="preserve">تنفيذ </w:t>
      </w:r>
      <w:r w:rsidRPr="0013373A">
        <w:rPr>
          <w:rtl/>
        </w:rPr>
        <w:t xml:space="preserve">البروتوكول الاختياري في </w:t>
      </w:r>
      <w:r>
        <w:rPr>
          <w:rFonts w:hint="cs"/>
          <w:rtl/>
        </w:rPr>
        <w:t xml:space="preserve">منغوليا، عُقدت في </w:t>
      </w:r>
      <w:r>
        <w:rPr>
          <w:rtl/>
          <w:lang/>
        </w:rPr>
        <w:t>أولانباتار</w:t>
      </w:r>
      <w:r w:rsidRPr="0013373A">
        <w:rPr>
          <w:rtl/>
        </w:rPr>
        <w:t xml:space="preserve"> ونظمتها رابطة منع التعذيب بالتعاون مع منظمة العفو الدولية و</w:t>
      </w:r>
      <w:r w:rsidRPr="0013373A">
        <w:rPr>
          <w:rtl/>
          <w:lang/>
        </w:rPr>
        <w:t>منتدى آسيا والمحيط الهادئ واللجنة الوطنية المنغولية لحقوق الإنسان</w:t>
      </w:r>
      <w:r w:rsidRPr="0013373A">
        <w:rPr>
          <w:rtl/>
        </w:rPr>
        <w:t>؛</w:t>
      </w:r>
    </w:p>
    <w:p w:rsidR="00631BFA" w:rsidRPr="0013373A" w:rsidRDefault="00631BFA" w:rsidP="007F0C4C">
      <w:pPr>
        <w:pStyle w:val="SingleTxtGA"/>
        <w:spacing w:line="370" w:lineRule="exact"/>
        <w:rPr>
          <w:rtl/>
        </w:rPr>
      </w:pPr>
      <w:r w:rsidRPr="0013373A">
        <w:rPr>
          <w:rtl/>
        </w:rPr>
        <w:tab/>
        <w:t>(ي)</w:t>
      </w:r>
      <w:r w:rsidRPr="0013373A">
        <w:rPr>
          <w:rtl/>
        </w:rPr>
        <w:tab/>
      </w:r>
      <w:r>
        <w:rPr>
          <w:rFonts w:hint="cs"/>
          <w:rtl/>
        </w:rPr>
        <w:t>أ</w:t>
      </w:r>
      <w:r w:rsidRPr="0013373A">
        <w:rPr>
          <w:rtl/>
        </w:rPr>
        <w:t xml:space="preserve">يار/مايو 2012: حلقة عمل حول تنفيذ تقرير الزيارة التي قامت بها اللجنة الفرعية إلى المكسيك، </w:t>
      </w:r>
      <w:r>
        <w:rPr>
          <w:rFonts w:hint="cs"/>
          <w:rtl/>
        </w:rPr>
        <w:t>عُقدت</w:t>
      </w:r>
      <w:r w:rsidRPr="0013373A">
        <w:rPr>
          <w:rtl/>
        </w:rPr>
        <w:t xml:space="preserve"> في </w:t>
      </w:r>
      <w:r>
        <w:rPr>
          <w:rtl/>
          <w:lang/>
        </w:rPr>
        <w:t>سان كريستوبال دي لا</w:t>
      </w:r>
      <w:r w:rsidRPr="0013373A">
        <w:rPr>
          <w:rtl/>
          <w:lang/>
        </w:rPr>
        <w:t xml:space="preserve"> كاساس</w:t>
      </w:r>
      <w:r w:rsidRPr="0013373A">
        <w:rPr>
          <w:rtl/>
        </w:rPr>
        <w:t xml:space="preserve"> </w:t>
      </w:r>
      <w:r>
        <w:rPr>
          <w:rFonts w:hint="cs"/>
          <w:rtl/>
        </w:rPr>
        <w:t xml:space="preserve">ونظمتها </w:t>
      </w:r>
      <w:r w:rsidRPr="0013373A">
        <w:rPr>
          <w:rtl/>
        </w:rPr>
        <w:t>رابطة منع</w:t>
      </w:r>
      <w:r>
        <w:rPr>
          <w:rFonts w:hint="cs"/>
          <w:rtl/>
        </w:rPr>
        <w:t> </w:t>
      </w:r>
      <w:r w:rsidRPr="0013373A">
        <w:rPr>
          <w:rtl/>
        </w:rPr>
        <w:t>التعذيب؛</w:t>
      </w:r>
    </w:p>
    <w:p w:rsidR="00631BFA" w:rsidRPr="0013373A" w:rsidRDefault="00631BFA" w:rsidP="007F0C4C">
      <w:pPr>
        <w:pStyle w:val="SingleTxtGA"/>
        <w:spacing w:line="370" w:lineRule="exact"/>
        <w:rPr>
          <w:rtl/>
        </w:rPr>
      </w:pPr>
      <w:r w:rsidRPr="0013373A">
        <w:rPr>
          <w:rtl/>
        </w:rPr>
        <w:tab/>
        <w:t>(</w:t>
      </w:r>
      <w:r>
        <w:rPr>
          <w:rFonts w:hint="cs"/>
          <w:rtl/>
        </w:rPr>
        <w:t>ك</w:t>
      </w:r>
      <w:r w:rsidRPr="0013373A">
        <w:rPr>
          <w:rtl/>
        </w:rPr>
        <w:t>)</w:t>
      </w:r>
      <w:r w:rsidRPr="0013373A">
        <w:rPr>
          <w:rtl/>
        </w:rPr>
        <w:tab/>
      </w:r>
      <w:r>
        <w:rPr>
          <w:rFonts w:hint="cs"/>
          <w:rtl/>
        </w:rPr>
        <w:t>أ</w:t>
      </w:r>
      <w:r w:rsidRPr="0013373A">
        <w:rPr>
          <w:rtl/>
        </w:rPr>
        <w:t>يا</w:t>
      </w:r>
      <w:r>
        <w:rPr>
          <w:rtl/>
        </w:rPr>
        <w:t>ر/مايو 2012: مشاورات بشأن الآلي</w:t>
      </w:r>
      <w:r>
        <w:rPr>
          <w:rFonts w:hint="cs"/>
          <w:rtl/>
        </w:rPr>
        <w:t>ة</w:t>
      </w:r>
      <w:r w:rsidRPr="0013373A">
        <w:rPr>
          <w:rtl/>
        </w:rPr>
        <w:t xml:space="preserve"> الوقائية الوطنية الغواتيمالية، عُقدت في غو</w:t>
      </w:r>
      <w:r>
        <w:rPr>
          <w:rFonts w:hint="cs"/>
          <w:rtl/>
        </w:rPr>
        <w:t>ا</w:t>
      </w:r>
      <w:r w:rsidRPr="0013373A">
        <w:rPr>
          <w:rtl/>
        </w:rPr>
        <w:t>تيمالا ونظم</w:t>
      </w:r>
      <w:r>
        <w:rPr>
          <w:rFonts w:hint="cs"/>
          <w:rtl/>
        </w:rPr>
        <w:t>ت</w:t>
      </w:r>
      <w:r w:rsidRPr="0013373A">
        <w:rPr>
          <w:rtl/>
        </w:rPr>
        <w:t>ها المفوض</w:t>
      </w:r>
      <w:r>
        <w:rPr>
          <w:rFonts w:hint="cs"/>
          <w:rtl/>
        </w:rPr>
        <w:t>ي</w:t>
      </w:r>
      <w:r w:rsidRPr="0013373A">
        <w:rPr>
          <w:rtl/>
        </w:rPr>
        <w:t>ة السامية لحقوق الإنسان بالتعاون مع المجلس الدولي لإعادة تأهيل ضحايا التعذيب؛</w:t>
      </w:r>
    </w:p>
    <w:p w:rsidR="00631BFA" w:rsidRPr="0013373A" w:rsidRDefault="00631BFA" w:rsidP="007F0C4C">
      <w:pPr>
        <w:pStyle w:val="SingleTxtGA"/>
        <w:spacing w:line="370" w:lineRule="exact"/>
        <w:rPr>
          <w:rtl/>
        </w:rPr>
      </w:pPr>
      <w:r w:rsidRPr="0013373A">
        <w:rPr>
          <w:rtl/>
        </w:rPr>
        <w:tab/>
        <w:t>(</w:t>
      </w:r>
      <w:r>
        <w:rPr>
          <w:rFonts w:hint="cs"/>
          <w:rtl/>
        </w:rPr>
        <w:t>ل</w:t>
      </w:r>
      <w:r w:rsidRPr="0013373A">
        <w:rPr>
          <w:rtl/>
        </w:rPr>
        <w:t>)</w:t>
      </w:r>
      <w:r w:rsidRPr="0013373A">
        <w:rPr>
          <w:rtl/>
        </w:rPr>
        <w:tab/>
      </w:r>
      <w:r>
        <w:rPr>
          <w:rFonts w:hint="cs"/>
          <w:rtl/>
        </w:rPr>
        <w:t>أ</w:t>
      </w:r>
      <w:r w:rsidRPr="0013373A">
        <w:rPr>
          <w:rtl/>
        </w:rPr>
        <w:t xml:space="preserve">يار/مايو 2012: مشاورات بشأن إنشاء الآليات الوقائية الوطنية، عُقدت في تونس ونظمتها المنظمة العالمية </w:t>
      </w:r>
      <w:r w:rsidRPr="0013373A">
        <w:rPr>
          <w:rtl/>
          <w:lang/>
        </w:rPr>
        <w:t>لمناهضة التعذيب؛</w:t>
      </w:r>
    </w:p>
    <w:p w:rsidR="00631BFA" w:rsidRPr="0013373A" w:rsidRDefault="00631BFA" w:rsidP="007F0C4C">
      <w:pPr>
        <w:pStyle w:val="SingleTxtGA"/>
        <w:spacing w:line="370" w:lineRule="exact"/>
        <w:rPr>
          <w:rtl/>
        </w:rPr>
      </w:pPr>
      <w:r w:rsidRPr="0013373A">
        <w:rPr>
          <w:rtl/>
        </w:rPr>
        <w:tab/>
        <w:t>(</w:t>
      </w:r>
      <w:r>
        <w:rPr>
          <w:rFonts w:hint="cs"/>
          <w:rtl/>
        </w:rPr>
        <w:t>م</w:t>
      </w:r>
      <w:r w:rsidRPr="0013373A">
        <w:rPr>
          <w:rtl/>
        </w:rPr>
        <w:t>)</w:t>
      </w:r>
      <w:r w:rsidRPr="0013373A">
        <w:rPr>
          <w:rtl/>
        </w:rPr>
        <w:tab/>
      </w:r>
      <w:r>
        <w:rPr>
          <w:rFonts w:hint="cs"/>
          <w:rtl/>
        </w:rPr>
        <w:t>أ</w:t>
      </w:r>
      <w:r w:rsidRPr="0013373A">
        <w:rPr>
          <w:rtl/>
        </w:rPr>
        <w:t xml:space="preserve">يار/مايو 2012: </w:t>
      </w:r>
      <w:r>
        <w:rPr>
          <w:rFonts w:hint="cs"/>
          <w:rtl/>
        </w:rPr>
        <w:t xml:space="preserve">مائدة </w:t>
      </w:r>
      <w:r w:rsidRPr="0013373A">
        <w:rPr>
          <w:rtl/>
        </w:rPr>
        <w:t xml:space="preserve">مستديرة حول "الرصد الفعال لمنع التعذيب: تحفيز </w:t>
      </w:r>
      <w:r w:rsidRPr="0013373A">
        <w:rPr>
          <w:rtl/>
          <w:lang/>
        </w:rPr>
        <w:t>البروتوكول الاختياري لاتفاقية الأمم المتحدة لمناهضة التعذيب"، عُقدت في بودابست ونظمتها لجنة هلسنكي الهنغارية بالتعاون مع مركز الدفاع عن المعوقين عقلياً؛</w:t>
      </w:r>
    </w:p>
    <w:p w:rsidR="00631BFA" w:rsidRPr="0013373A" w:rsidRDefault="00631BFA" w:rsidP="007F0C4C">
      <w:pPr>
        <w:pStyle w:val="SingleTxtGA"/>
        <w:spacing w:line="370" w:lineRule="exact"/>
        <w:rPr>
          <w:rtl/>
          <w:lang/>
        </w:rPr>
      </w:pPr>
      <w:r w:rsidRPr="0013373A">
        <w:rPr>
          <w:rtl/>
        </w:rPr>
        <w:tab/>
        <w:t>(</w:t>
      </w:r>
      <w:r>
        <w:rPr>
          <w:rFonts w:hint="cs"/>
          <w:rtl/>
        </w:rPr>
        <w:t>ن</w:t>
      </w:r>
      <w:r w:rsidRPr="0013373A">
        <w:rPr>
          <w:rtl/>
        </w:rPr>
        <w:t>)</w:t>
      </w:r>
      <w:r w:rsidRPr="0013373A">
        <w:rPr>
          <w:rtl/>
        </w:rPr>
        <w:tab/>
      </w:r>
      <w:r>
        <w:rPr>
          <w:rFonts w:hint="cs"/>
          <w:rtl/>
        </w:rPr>
        <w:t>أ</w:t>
      </w:r>
      <w:r w:rsidRPr="0013373A">
        <w:rPr>
          <w:rtl/>
        </w:rPr>
        <w:t xml:space="preserve">يار/مايو 2012: </w:t>
      </w:r>
      <w:r>
        <w:rPr>
          <w:rFonts w:hint="cs"/>
          <w:rtl/>
        </w:rPr>
        <w:t xml:space="preserve">تظاهرة </w:t>
      </w:r>
      <w:r w:rsidRPr="0013373A">
        <w:rPr>
          <w:rtl/>
        </w:rPr>
        <w:t xml:space="preserve">بشأن متابعة تقرير الزيارة التي قام بها </w:t>
      </w:r>
      <w:r w:rsidRPr="0013373A">
        <w:rPr>
          <w:rtl/>
          <w:lang/>
        </w:rPr>
        <w:t>المقرر الخاص المعني بمسألة التعذيب وغيره من ضروب المعاملة أو العقوبة القاسية أو اللاإنسانية أو</w:t>
      </w:r>
      <w:r>
        <w:rPr>
          <w:rFonts w:hint="cs"/>
          <w:rtl/>
          <w:lang/>
        </w:rPr>
        <w:t> </w:t>
      </w:r>
      <w:r w:rsidRPr="0013373A">
        <w:rPr>
          <w:rtl/>
          <w:lang/>
        </w:rPr>
        <w:t xml:space="preserve">المهينة، </w:t>
      </w:r>
      <w:r>
        <w:rPr>
          <w:rFonts w:hint="cs"/>
          <w:rtl/>
          <w:lang/>
        </w:rPr>
        <w:t xml:space="preserve">نظمتها </w:t>
      </w:r>
      <w:r w:rsidRPr="0013373A">
        <w:rPr>
          <w:rtl/>
          <w:lang/>
        </w:rPr>
        <w:t>في بشكيك رابطة منع التعذيب؛</w:t>
      </w:r>
    </w:p>
    <w:p w:rsidR="00631BFA" w:rsidRPr="0013373A" w:rsidRDefault="00631BFA" w:rsidP="007F0C4C">
      <w:pPr>
        <w:pStyle w:val="SingleTxtGA"/>
        <w:spacing w:line="370" w:lineRule="exact"/>
        <w:rPr>
          <w:rtl/>
          <w:lang/>
        </w:rPr>
      </w:pPr>
      <w:r w:rsidRPr="0013373A">
        <w:rPr>
          <w:rtl/>
        </w:rPr>
        <w:tab/>
        <w:t>(</w:t>
      </w:r>
      <w:r>
        <w:rPr>
          <w:rFonts w:hint="cs"/>
          <w:rtl/>
        </w:rPr>
        <w:t>س</w:t>
      </w:r>
      <w:r w:rsidRPr="0013373A">
        <w:rPr>
          <w:rtl/>
        </w:rPr>
        <w:t>)</w:t>
      </w:r>
      <w:r w:rsidRPr="0013373A">
        <w:rPr>
          <w:rtl/>
        </w:rPr>
        <w:tab/>
      </w:r>
      <w:r>
        <w:rPr>
          <w:rFonts w:hint="cs"/>
          <w:rtl/>
        </w:rPr>
        <w:t>أ</w:t>
      </w:r>
      <w:r w:rsidRPr="0013373A">
        <w:rPr>
          <w:rtl/>
        </w:rPr>
        <w:t>يار/مايو 2012: مشاورات بشأن إنشاء الآليات الوقائية الوطنية، عُقدت في سانتياغو ونظم</w:t>
      </w:r>
      <w:r>
        <w:rPr>
          <w:rFonts w:hint="cs"/>
          <w:rtl/>
        </w:rPr>
        <w:t>ت</w:t>
      </w:r>
      <w:r w:rsidRPr="0013373A">
        <w:rPr>
          <w:rtl/>
        </w:rPr>
        <w:t>ها المفوض</w:t>
      </w:r>
      <w:r>
        <w:rPr>
          <w:rFonts w:hint="cs"/>
          <w:rtl/>
        </w:rPr>
        <w:t>ي</w:t>
      </w:r>
      <w:r w:rsidRPr="0013373A">
        <w:rPr>
          <w:rtl/>
        </w:rPr>
        <w:t xml:space="preserve">ة السامية لحقوق الإنسان بالتعاون مع </w:t>
      </w:r>
      <w:r w:rsidRPr="0013373A">
        <w:rPr>
          <w:rtl/>
          <w:lang/>
        </w:rPr>
        <w:t>المؤسسات الوطنية لحقوق الإنسان الشيلية؛</w:t>
      </w:r>
    </w:p>
    <w:p w:rsidR="00631BFA" w:rsidRPr="0013373A" w:rsidRDefault="00631BFA" w:rsidP="007F0C4C">
      <w:pPr>
        <w:pStyle w:val="SingleTxtGA"/>
        <w:spacing w:line="370" w:lineRule="exact"/>
        <w:rPr>
          <w:rtl/>
          <w:lang/>
        </w:rPr>
      </w:pPr>
      <w:r w:rsidRPr="0013373A">
        <w:rPr>
          <w:rtl/>
        </w:rPr>
        <w:tab/>
        <w:t>(</w:t>
      </w:r>
      <w:r>
        <w:rPr>
          <w:rFonts w:hint="cs"/>
          <w:rtl/>
        </w:rPr>
        <w:t>ع</w:t>
      </w:r>
      <w:r w:rsidRPr="0013373A">
        <w:rPr>
          <w:rtl/>
        </w:rPr>
        <w:t>)</w:t>
      </w:r>
      <w:r w:rsidRPr="0013373A">
        <w:rPr>
          <w:rtl/>
        </w:rPr>
        <w:tab/>
        <w:t xml:space="preserve">حزيران/يونيه 2012: حلقة دراسية حول "علاقات العمل الثلاثية بين </w:t>
      </w:r>
      <w:r w:rsidRPr="0013373A">
        <w:rPr>
          <w:rtl/>
          <w:lang/>
        </w:rPr>
        <w:t>اللجنة الفرعية لمنع التعذيب ولجنة منع التعذيب والآلي</w:t>
      </w:r>
      <w:r>
        <w:rPr>
          <w:rFonts w:hint="cs"/>
          <w:rtl/>
          <w:lang/>
        </w:rPr>
        <w:t>ة</w:t>
      </w:r>
      <w:r w:rsidRPr="0013373A">
        <w:rPr>
          <w:rtl/>
          <w:lang/>
        </w:rPr>
        <w:t xml:space="preserve"> الوقائية الوطنية: </w:t>
      </w:r>
      <w:r>
        <w:rPr>
          <w:rFonts w:hint="cs"/>
          <w:rtl/>
          <w:lang/>
        </w:rPr>
        <w:t>ال</w:t>
      </w:r>
      <w:r w:rsidRPr="0013373A">
        <w:rPr>
          <w:rtl/>
          <w:lang/>
        </w:rPr>
        <w:t>تفتيش على المستوى العالمي والإقليمي والمحلي</w:t>
      </w:r>
      <w:r w:rsidRPr="002978D5">
        <w:rPr>
          <w:rtl/>
          <w:lang/>
        </w:rPr>
        <w:t xml:space="preserve"> </w:t>
      </w:r>
      <w:r w:rsidRPr="0013373A">
        <w:rPr>
          <w:rtl/>
          <w:lang/>
        </w:rPr>
        <w:t xml:space="preserve">في </w:t>
      </w:r>
      <w:r>
        <w:rPr>
          <w:rFonts w:hint="cs"/>
          <w:rtl/>
          <w:lang/>
        </w:rPr>
        <w:t>مجال</w:t>
      </w:r>
      <w:r w:rsidRPr="0013373A">
        <w:rPr>
          <w:rtl/>
          <w:lang/>
        </w:rPr>
        <w:t xml:space="preserve"> الاحتجا</w:t>
      </w:r>
      <w:r>
        <w:rPr>
          <w:rtl/>
          <w:lang/>
        </w:rPr>
        <w:t>ز</w:t>
      </w:r>
      <w:r>
        <w:rPr>
          <w:rFonts w:hint="cs"/>
          <w:rtl/>
          <w:lang/>
        </w:rPr>
        <w:t>"</w:t>
      </w:r>
      <w:r w:rsidRPr="0013373A">
        <w:rPr>
          <w:rtl/>
          <w:lang/>
        </w:rPr>
        <w:t>، عُقدت في نيوفيرسليوس ونظمتها الآلي</w:t>
      </w:r>
      <w:r>
        <w:rPr>
          <w:rFonts w:hint="cs"/>
          <w:rtl/>
          <w:lang/>
        </w:rPr>
        <w:t>ة</w:t>
      </w:r>
      <w:r w:rsidRPr="0013373A">
        <w:rPr>
          <w:rtl/>
          <w:lang/>
        </w:rPr>
        <w:t xml:space="preserve"> الوقائية الوطنية لهولندا؛</w:t>
      </w:r>
    </w:p>
    <w:p w:rsidR="00631BFA" w:rsidRPr="0013373A" w:rsidRDefault="00631BFA" w:rsidP="007F0C4C">
      <w:pPr>
        <w:pStyle w:val="SingleTxtGA"/>
        <w:spacing w:line="370" w:lineRule="exact"/>
        <w:rPr>
          <w:rtl/>
          <w:lang/>
        </w:rPr>
      </w:pPr>
      <w:r w:rsidRPr="0013373A">
        <w:rPr>
          <w:rtl/>
        </w:rPr>
        <w:tab/>
        <w:t>(</w:t>
      </w:r>
      <w:r>
        <w:rPr>
          <w:rFonts w:hint="cs"/>
          <w:rtl/>
        </w:rPr>
        <w:t>ف</w:t>
      </w:r>
      <w:r w:rsidRPr="0013373A">
        <w:rPr>
          <w:rtl/>
        </w:rPr>
        <w:t>)</w:t>
      </w:r>
      <w:r w:rsidRPr="0013373A">
        <w:rPr>
          <w:rtl/>
        </w:rPr>
        <w:tab/>
        <w:t>حزيران/يونيه 2012:</w:t>
      </w:r>
      <w:r>
        <w:rPr>
          <w:rtl/>
        </w:rPr>
        <w:t xml:space="preserve"> حلقة عمل حول "</w:t>
      </w:r>
      <w:r w:rsidRPr="0013373A">
        <w:rPr>
          <w:rtl/>
        </w:rPr>
        <w:t>منع التعذيب في سياق التحولات الديمقراطية في شمال أفريقيا"، عُقدت في الرباط ونظم</w:t>
      </w:r>
      <w:r>
        <w:rPr>
          <w:rFonts w:hint="cs"/>
          <w:rtl/>
        </w:rPr>
        <w:t>ت</w:t>
      </w:r>
      <w:r w:rsidRPr="0013373A">
        <w:rPr>
          <w:rtl/>
        </w:rPr>
        <w:t>ها المفوض</w:t>
      </w:r>
      <w:r>
        <w:rPr>
          <w:rFonts w:hint="cs"/>
          <w:rtl/>
        </w:rPr>
        <w:t>ي</w:t>
      </w:r>
      <w:r w:rsidRPr="0013373A">
        <w:rPr>
          <w:rtl/>
        </w:rPr>
        <w:t>ة السامية لحقوق الإنسان بالتعاون مع رابطة منع التعذيب و</w:t>
      </w:r>
      <w:r w:rsidRPr="0013373A">
        <w:rPr>
          <w:rtl/>
          <w:lang/>
        </w:rPr>
        <w:t>اللجنة المشتركة بين الوزارات في المغرب؛</w:t>
      </w:r>
    </w:p>
    <w:p w:rsidR="00631BFA" w:rsidRPr="0013373A" w:rsidRDefault="00631BFA" w:rsidP="007F0C4C">
      <w:pPr>
        <w:pStyle w:val="SingleTxtGA"/>
        <w:spacing w:line="370" w:lineRule="exact"/>
        <w:rPr>
          <w:rtl/>
        </w:rPr>
      </w:pPr>
      <w:r w:rsidRPr="0013373A">
        <w:rPr>
          <w:rtl/>
        </w:rPr>
        <w:tab/>
        <w:t>(</w:t>
      </w:r>
      <w:r>
        <w:rPr>
          <w:rFonts w:hint="cs"/>
          <w:rtl/>
        </w:rPr>
        <w:t>ص</w:t>
      </w:r>
      <w:r w:rsidRPr="0013373A">
        <w:rPr>
          <w:rtl/>
        </w:rPr>
        <w:t>)</w:t>
      </w:r>
      <w:r w:rsidRPr="0013373A">
        <w:rPr>
          <w:rtl/>
        </w:rPr>
        <w:tab/>
        <w:t>حزيران/يونيه 2012: مشاورات بشأن الآلي</w:t>
      </w:r>
      <w:r>
        <w:rPr>
          <w:rFonts w:hint="cs"/>
          <w:rtl/>
        </w:rPr>
        <w:t>ة</w:t>
      </w:r>
      <w:r w:rsidRPr="0013373A">
        <w:rPr>
          <w:rtl/>
        </w:rPr>
        <w:t xml:space="preserve"> الوقائية الوطنية لبنما، عُقدت في بنما ونظمتها رابطة منع التعذيب؛</w:t>
      </w:r>
    </w:p>
    <w:p w:rsidR="00631BFA" w:rsidRPr="0013373A" w:rsidRDefault="00631BFA" w:rsidP="007F0C4C">
      <w:pPr>
        <w:pStyle w:val="SingleTxtGA"/>
        <w:spacing w:line="364" w:lineRule="exact"/>
        <w:rPr>
          <w:rtl/>
        </w:rPr>
      </w:pPr>
      <w:r w:rsidRPr="0013373A">
        <w:rPr>
          <w:rtl/>
        </w:rPr>
        <w:tab/>
        <w:t>(</w:t>
      </w:r>
      <w:r>
        <w:rPr>
          <w:rFonts w:hint="cs"/>
          <w:rtl/>
        </w:rPr>
        <w:t>ق</w:t>
      </w:r>
      <w:r w:rsidRPr="0013373A">
        <w:rPr>
          <w:rtl/>
        </w:rPr>
        <w:t>)</w:t>
      </w:r>
      <w:r w:rsidRPr="0013373A">
        <w:rPr>
          <w:rtl/>
        </w:rPr>
        <w:tab/>
        <w:t xml:space="preserve">تموز/يوليه 2012: مشاورات </w:t>
      </w:r>
      <w:r>
        <w:rPr>
          <w:rFonts w:hint="cs"/>
          <w:rtl/>
        </w:rPr>
        <w:t xml:space="preserve">في إطار </w:t>
      </w:r>
      <w:r w:rsidRPr="0013373A">
        <w:rPr>
          <w:rtl/>
        </w:rPr>
        <w:t>متابعة الزيارة الت</w:t>
      </w:r>
      <w:r>
        <w:rPr>
          <w:rtl/>
        </w:rPr>
        <w:t>ي تقوم بها اللجنة الفرعية، عُقد</w:t>
      </w:r>
      <w:r>
        <w:rPr>
          <w:rFonts w:hint="cs"/>
          <w:rtl/>
        </w:rPr>
        <w:t>ت</w:t>
      </w:r>
      <w:r w:rsidRPr="0013373A">
        <w:rPr>
          <w:rtl/>
        </w:rPr>
        <w:t xml:space="preserve"> في بيروت ونظم</w:t>
      </w:r>
      <w:r>
        <w:rPr>
          <w:rFonts w:hint="cs"/>
          <w:rtl/>
        </w:rPr>
        <w:t>ت</w:t>
      </w:r>
      <w:r w:rsidRPr="0013373A">
        <w:rPr>
          <w:rtl/>
        </w:rPr>
        <w:t>ها المفوض</w:t>
      </w:r>
      <w:r>
        <w:rPr>
          <w:rFonts w:hint="cs"/>
          <w:rtl/>
        </w:rPr>
        <w:t>ي</w:t>
      </w:r>
      <w:r w:rsidRPr="0013373A">
        <w:rPr>
          <w:rtl/>
        </w:rPr>
        <w:t>ة السامية لحقوق الإنسان؛</w:t>
      </w:r>
    </w:p>
    <w:p w:rsidR="00631BFA" w:rsidRPr="0013373A" w:rsidRDefault="00631BFA" w:rsidP="007F0C4C">
      <w:pPr>
        <w:pStyle w:val="SingleTxtGA"/>
        <w:spacing w:line="364" w:lineRule="exact"/>
        <w:rPr>
          <w:rtl/>
          <w:lang/>
        </w:rPr>
      </w:pPr>
      <w:r w:rsidRPr="0098723A">
        <w:rPr>
          <w:spacing w:val="-2"/>
          <w:rtl/>
        </w:rPr>
        <w:tab/>
        <w:t>(</w:t>
      </w:r>
      <w:r w:rsidRPr="0098723A">
        <w:rPr>
          <w:rFonts w:hint="cs"/>
          <w:spacing w:val="-2"/>
          <w:rtl/>
        </w:rPr>
        <w:t>ر</w:t>
      </w:r>
      <w:r w:rsidRPr="0098723A">
        <w:rPr>
          <w:spacing w:val="-2"/>
          <w:rtl/>
        </w:rPr>
        <w:t>)</w:t>
      </w:r>
      <w:r w:rsidRPr="0098723A">
        <w:rPr>
          <w:spacing w:val="-2"/>
          <w:rtl/>
        </w:rPr>
        <w:tab/>
        <w:t>آب/أغسطس 2012: حلقة دراسية حول منع التعذيب في أفريقيا، لا</w:t>
      </w:r>
      <w:r w:rsidRPr="0098723A">
        <w:rPr>
          <w:rFonts w:hint="cs"/>
          <w:spacing w:val="-2"/>
          <w:rtl/>
        </w:rPr>
        <w:t xml:space="preserve"> </w:t>
      </w:r>
      <w:r w:rsidRPr="0098723A">
        <w:rPr>
          <w:spacing w:val="-2"/>
          <w:rtl/>
        </w:rPr>
        <w:t>سيما</w:t>
      </w:r>
      <w:r w:rsidRPr="0013373A">
        <w:rPr>
          <w:rtl/>
        </w:rPr>
        <w:t xml:space="preserve"> </w:t>
      </w:r>
      <w:r>
        <w:rPr>
          <w:rFonts w:hint="cs"/>
          <w:rtl/>
        </w:rPr>
        <w:t>بشأن</w:t>
      </w:r>
      <w:r w:rsidRPr="0013373A">
        <w:rPr>
          <w:rtl/>
        </w:rPr>
        <w:t xml:space="preserve"> الذكرى العاشرة لاعتماد </w:t>
      </w:r>
      <w:r w:rsidRPr="0013373A">
        <w:rPr>
          <w:rtl/>
          <w:lang/>
        </w:rPr>
        <w:t>المبادئ التوجيهية والتدابير الرامية إلى حظر ومنع التعذيب والمعاملة أو العقوبة القاسية أو اللاإنسانية أو المهينة في أفريقيا (مبادئ روبن آيلند التوجيهية)،</w:t>
      </w:r>
      <w:r>
        <w:rPr>
          <w:rtl/>
          <w:lang/>
        </w:rPr>
        <w:t xml:space="preserve"> عُقدت في جوهانسب</w:t>
      </w:r>
      <w:r w:rsidRPr="0013373A">
        <w:rPr>
          <w:rtl/>
          <w:lang/>
        </w:rPr>
        <w:t xml:space="preserve">رغ ونظمتها </w:t>
      </w:r>
      <w:r>
        <w:rPr>
          <w:rFonts w:hint="cs"/>
          <w:rtl/>
          <w:lang/>
        </w:rPr>
        <w:t>رابطة</w:t>
      </w:r>
      <w:r w:rsidRPr="0013373A">
        <w:rPr>
          <w:rtl/>
          <w:lang/>
        </w:rPr>
        <w:t xml:space="preserve"> منع التعذيب بالتعاون مع اللجنة الأفريقية لحقوق الإنسان والشعوب؛</w:t>
      </w:r>
    </w:p>
    <w:p w:rsidR="00631BFA" w:rsidRPr="0013373A" w:rsidRDefault="00631BFA" w:rsidP="007F0C4C">
      <w:pPr>
        <w:pStyle w:val="SingleTxtGA"/>
        <w:spacing w:line="364" w:lineRule="exact"/>
        <w:rPr>
          <w:rtl/>
          <w:lang/>
        </w:rPr>
      </w:pPr>
      <w:r w:rsidRPr="0013373A">
        <w:rPr>
          <w:rtl/>
        </w:rPr>
        <w:tab/>
        <w:t>(</w:t>
      </w:r>
      <w:r>
        <w:rPr>
          <w:rFonts w:hint="cs"/>
          <w:rtl/>
        </w:rPr>
        <w:t>ش</w:t>
      </w:r>
      <w:r w:rsidRPr="0013373A">
        <w:rPr>
          <w:rtl/>
        </w:rPr>
        <w:t>)</w:t>
      </w:r>
      <w:r w:rsidRPr="0013373A">
        <w:rPr>
          <w:rtl/>
        </w:rPr>
        <w:tab/>
        <w:t xml:space="preserve">أيلول/سبتمبر 2012: حلقة </w:t>
      </w:r>
      <w:r>
        <w:rPr>
          <w:rtl/>
        </w:rPr>
        <w:t>دراسية ومشاورات حول إنشاء الآلي</w:t>
      </w:r>
      <w:r>
        <w:rPr>
          <w:rFonts w:hint="cs"/>
          <w:rtl/>
        </w:rPr>
        <w:t>ة</w:t>
      </w:r>
      <w:r w:rsidRPr="0013373A">
        <w:rPr>
          <w:rtl/>
        </w:rPr>
        <w:t xml:space="preserve"> الوقائية الوطنية في تركيا، عُقدت في أنقرة ونظمتها رابطة منع التعذيب بالتعاون مع </w:t>
      </w:r>
      <w:r w:rsidRPr="0013373A">
        <w:rPr>
          <w:rtl/>
          <w:lang/>
        </w:rPr>
        <w:t xml:space="preserve">اتحاد </w:t>
      </w:r>
      <w:r>
        <w:rPr>
          <w:rFonts w:hint="cs"/>
          <w:rtl/>
          <w:lang/>
        </w:rPr>
        <w:t>ا</w:t>
      </w:r>
      <w:r w:rsidRPr="0013373A">
        <w:rPr>
          <w:rtl/>
          <w:lang/>
        </w:rPr>
        <w:t xml:space="preserve">لمنظمات غير </w:t>
      </w:r>
      <w:r>
        <w:rPr>
          <w:rFonts w:hint="cs"/>
          <w:rtl/>
          <w:lang/>
        </w:rPr>
        <w:t>ال</w:t>
      </w:r>
      <w:r w:rsidRPr="0013373A">
        <w:rPr>
          <w:rtl/>
          <w:lang/>
        </w:rPr>
        <w:t xml:space="preserve">حكومية </w:t>
      </w:r>
      <w:r>
        <w:rPr>
          <w:rFonts w:hint="cs"/>
          <w:rtl/>
          <w:lang/>
        </w:rPr>
        <w:t>ال</w:t>
      </w:r>
      <w:r w:rsidRPr="0013373A">
        <w:rPr>
          <w:rtl/>
          <w:lang/>
        </w:rPr>
        <w:t>تركية؛</w:t>
      </w:r>
    </w:p>
    <w:p w:rsidR="00631BFA" w:rsidRPr="0013373A" w:rsidRDefault="00631BFA" w:rsidP="007F0C4C">
      <w:pPr>
        <w:pStyle w:val="SingleTxtGA"/>
        <w:spacing w:line="364" w:lineRule="exact"/>
        <w:rPr>
          <w:rtl/>
        </w:rPr>
      </w:pPr>
      <w:r w:rsidRPr="0013373A">
        <w:rPr>
          <w:rtl/>
        </w:rPr>
        <w:tab/>
        <w:t>(</w:t>
      </w:r>
      <w:r>
        <w:rPr>
          <w:rFonts w:hint="cs"/>
          <w:rtl/>
        </w:rPr>
        <w:t>ت</w:t>
      </w:r>
      <w:r w:rsidRPr="0013373A">
        <w:rPr>
          <w:rtl/>
        </w:rPr>
        <w:t>)</w:t>
      </w:r>
      <w:r w:rsidRPr="0013373A">
        <w:rPr>
          <w:rtl/>
        </w:rPr>
        <w:tab/>
        <w:t xml:space="preserve">كانون الأول/ديسمبر 2012: </w:t>
      </w:r>
      <w:r>
        <w:rPr>
          <w:rtl/>
          <w:lang/>
        </w:rPr>
        <w:t xml:space="preserve">مؤتمر </w:t>
      </w:r>
      <w:r w:rsidRPr="0013373A">
        <w:rPr>
          <w:rtl/>
          <w:lang/>
        </w:rPr>
        <w:t xml:space="preserve">دولي بشأن "الأطفال والعنف في قضاء الأحداث </w:t>
      </w:r>
      <w:r>
        <w:rPr>
          <w:rFonts w:hint="cs"/>
          <w:rtl/>
          <w:lang/>
        </w:rPr>
        <w:t>-</w:t>
      </w:r>
      <w:r w:rsidRPr="0013373A">
        <w:rPr>
          <w:rtl/>
          <w:lang/>
        </w:rPr>
        <w:t xml:space="preserve"> الوضع الراهن: آليات المنع والرد: تجربة أمريكا اللاتينية"</w:t>
      </w:r>
      <w:r>
        <w:rPr>
          <w:rFonts w:hint="cs"/>
          <w:rtl/>
          <w:lang/>
        </w:rPr>
        <w:t>،</w:t>
      </w:r>
      <w:r w:rsidRPr="0013373A">
        <w:rPr>
          <w:rtl/>
          <w:lang/>
        </w:rPr>
        <w:t xml:space="preserve"> عُقد في أسونسيون </w:t>
      </w:r>
      <w:r>
        <w:rPr>
          <w:rFonts w:hint="cs"/>
          <w:rtl/>
          <w:lang/>
        </w:rPr>
        <w:t>و</w:t>
      </w:r>
      <w:r w:rsidRPr="0013373A">
        <w:rPr>
          <w:rtl/>
          <w:lang/>
        </w:rPr>
        <w:t>نظمته المنظمـة الدولية للدفاع عن الأطفال بدعم من مكتب الأمم المتحدة المعني بالمخدِّرات</w:t>
      </w:r>
      <w:r>
        <w:rPr>
          <w:rFonts w:hint="cs"/>
          <w:rtl/>
          <w:lang/>
        </w:rPr>
        <w:t xml:space="preserve"> والجريمة.</w:t>
      </w:r>
      <w:r w:rsidRPr="0013373A">
        <w:rPr>
          <w:rtl/>
          <w:lang/>
        </w:rPr>
        <w:t xml:space="preserve"> </w:t>
      </w:r>
    </w:p>
    <w:p w:rsidR="00631BFA" w:rsidRPr="0013373A" w:rsidRDefault="00631BFA" w:rsidP="007F0C4C">
      <w:pPr>
        <w:pStyle w:val="SingleTxtGA"/>
        <w:spacing w:line="364" w:lineRule="exact"/>
        <w:rPr>
          <w:rtl/>
          <w:lang w:val="fr-CH"/>
        </w:rPr>
      </w:pPr>
      <w:r w:rsidRPr="0013373A">
        <w:rPr>
          <w:rtl/>
          <w:lang w:val="fr-CH"/>
        </w:rPr>
        <w:t>31-</w:t>
      </w:r>
      <w:r w:rsidRPr="0013373A">
        <w:rPr>
          <w:rtl/>
          <w:lang w:val="fr-CH"/>
        </w:rPr>
        <w:tab/>
        <w:t xml:space="preserve">وفي إطار المشروع الأوروبي للآليات الوقائية الوطنية التابع لمجلس أوروبا/الاتحاد الأوروبي، والذي يضم رابطة منع التعذيب بصفتها شريكاً منفذاً، شاركت اللجنة الفرعية في حلقتي العمل المواضيعيتين التاليتين: (أ) حلقة حول عملية ترحيل المهاجرين والرصد الوقائي، عُقدت في سويسرا في آذار/مارس 2012؛ (ب) حلقة حول عملية الترحيل: اتصال الآليات الوقائية الوطنية </w:t>
      </w:r>
      <w:r>
        <w:rPr>
          <w:rFonts w:hint="cs"/>
          <w:rtl/>
          <w:lang w:val="fr-CH"/>
        </w:rPr>
        <w:t xml:space="preserve">مع </w:t>
      </w:r>
      <w:r w:rsidRPr="0013373A">
        <w:rPr>
          <w:rtl/>
          <w:lang/>
        </w:rPr>
        <w:t xml:space="preserve">الوكالة الأوروبية لإدارة التعاون في مجال العمليات على الحدود الخارجية للدول الأعضاء في الاتحاد الأوروبي (اختصاراً وكالة "فرونتكس") </w:t>
      </w:r>
      <w:r>
        <w:rPr>
          <w:rFonts w:hint="cs"/>
          <w:rtl/>
          <w:lang/>
        </w:rPr>
        <w:t xml:space="preserve">وغيرها </w:t>
      </w:r>
      <w:r w:rsidRPr="0013373A">
        <w:rPr>
          <w:rtl/>
          <w:lang/>
        </w:rPr>
        <w:t>من أصحاب المصلحة المعنيين بشؤون الهجرة،</w:t>
      </w:r>
      <w:r>
        <w:rPr>
          <w:rFonts w:hint="cs"/>
          <w:rtl/>
          <w:lang/>
        </w:rPr>
        <w:t xml:space="preserve"> </w:t>
      </w:r>
      <w:r w:rsidRPr="0013373A">
        <w:rPr>
          <w:rtl/>
          <w:lang/>
        </w:rPr>
        <w:t xml:space="preserve">عُقدت في صربيا في حزيران/يونيه 2012. </w:t>
      </w:r>
      <w:r>
        <w:rPr>
          <w:rFonts w:hint="cs"/>
          <w:rtl/>
          <w:lang/>
        </w:rPr>
        <w:t>و</w:t>
      </w:r>
      <w:r w:rsidRPr="0013373A">
        <w:rPr>
          <w:rtl/>
          <w:lang/>
        </w:rPr>
        <w:t>علاوة على ذلك، شاركت اللجنة الفرعية في مشاورات بشأن عملية إنشاء آلية وقائية في أوكرانيا في نيسان/أبريل 2012.</w:t>
      </w:r>
    </w:p>
    <w:p w:rsidR="00631BFA" w:rsidRPr="0013373A" w:rsidRDefault="00631BFA" w:rsidP="007F0C4C">
      <w:pPr>
        <w:pStyle w:val="SingleTxtGA"/>
        <w:spacing w:line="364" w:lineRule="exact"/>
        <w:rPr>
          <w:rtl/>
          <w:lang w:val="fr-CH"/>
        </w:rPr>
      </w:pPr>
      <w:r w:rsidRPr="00510C3D">
        <w:rPr>
          <w:spacing w:val="-2"/>
          <w:rtl/>
          <w:lang w:val="fr-CH"/>
        </w:rPr>
        <w:t>32-</w:t>
      </w:r>
      <w:r w:rsidRPr="00510C3D">
        <w:rPr>
          <w:spacing w:val="-2"/>
          <w:rtl/>
          <w:lang w:val="fr-CH"/>
        </w:rPr>
        <w:tab/>
        <w:t xml:space="preserve">وفي سياق الذكرى </w:t>
      </w:r>
      <w:r w:rsidRPr="00510C3D">
        <w:rPr>
          <w:rFonts w:hint="cs"/>
          <w:spacing w:val="-2"/>
          <w:rtl/>
          <w:lang w:val="fr-CH"/>
        </w:rPr>
        <w:t xml:space="preserve">السنوية </w:t>
      </w:r>
      <w:r w:rsidRPr="00510C3D">
        <w:rPr>
          <w:spacing w:val="-2"/>
          <w:rtl/>
          <w:lang w:val="fr-CH"/>
        </w:rPr>
        <w:t>العاشرة لاعتماد الجمعية العامة للبروتوكول الاختياري، نظمت البعثة الدائمة لفرنسا لدى الأمم المتحدة في نيويورك حلقة دراسية بعنوان "</w:t>
      </w:r>
      <w:r w:rsidRPr="00510C3D">
        <w:rPr>
          <w:spacing w:val="-2"/>
          <w:rtl/>
          <w:lang/>
        </w:rPr>
        <w:t xml:space="preserve">البروتوكول الاختياري لاتفاقية الأمم المتحدة لمناهضة التعذيب </w:t>
      </w:r>
      <w:r w:rsidRPr="00510C3D">
        <w:rPr>
          <w:rFonts w:hint="cs"/>
          <w:spacing w:val="-2"/>
          <w:rtl/>
          <w:lang/>
        </w:rPr>
        <w:t>بعد مضي عشر سنوات</w:t>
      </w:r>
      <w:r w:rsidRPr="00510C3D">
        <w:rPr>
          <w:spacing w:val="-2"/>
          <w:rtl/>
          <w:lang/>
        </w:rPr>
        <w:t>:</w:t>
      </w:r>
      <w:r w:rsidRPr="0013373A">
        <w:rPr>
          <w:rtl/>
          <w:lang/>
        </w:rPr>
        <w:t xml:space="preserve"> إحداث </w:t>
      </w:r>
      <w:r>
        <w:rPr>
          <w:rFonts w:hint="cs"/>
          <w:rtl/>
          <w:lang/>
        </w:rPr>
        <w:t xml:space="preserve">الفارق </w:t>
      </w:r>
      <w:r w:rsidRPr="0013373A">
        <w:rPr>
          <w:rtl/>
          <w:lang/>
        </w:rPr>
        <w:t xml:space="preserve">في مجال منع التعذيب"، عُقدت في 10 </w:t>
      </w:r>
      <w:r>
        <w:rPr>
          <w:rFonts w:hint="cs"/>
          <w:rtl/>
          <w:lang/>
        </w:rPr>
        <w:t>أ</w:t>
      </w:r>
      <w:r w:rsidRPr="0013373A">
        <w:rPr>
          <w:rtl/>
          <w:lang/>
        </w:rPr>
        <w:t xml:space="preserve">يار/مايو 2012 في مقر الأمم المتحدة. وشاركت رابطة منع التعذيب </w:t>
      </w:r>
      <w:r>
        <w:rPr>
          <w:rFonts w:hint="cs"/>
          <w:rtl/>
          <w:lang/>
        </w:rPr>
        <w:t>و</w:t>
      </w:r>
      <w:r w:rsidRPr="0013373A">
        <w:rPr>
          <w:rtl/>
          <w:lang/>
        </w:rPr>
        <w:t>المفوض</w:t>
      </w:r>
      <w:r>
        <w:rPr>
          <w:rFonts w:hint="cs"/>
          <w:rtl/>
          <w:lang/>
        </w:rPr>
        <w:t>ي</w:t>
      </w:r>
      <w:r w:rsidRPr="0013373A">
        <w:rPr>
          <w:rtl/>
          <w:lang/>
        </w:rPr>
        <w:t>ة السامية لحقوق الإنسان في رعاية</w:t>
      </w:r>
      <w:r>
        <w:rPr>
          <w:rFonts w:hint="cs"/>
          <w:rtl/>
          <w:lang/>
        </w:rPr>
        <w:t xml:space="preserve"> تلك التظاهرة التي جمعت </w:t>
      </w:r>
      <w:r w:rsidRPr="0013373A">
        <w:rPr>
          <w:rtl/>
          <w:lang/>
        </w:rPr>
        <w:t>بين خبراء دوليين ووطنيين (بما في ذلك رئيس الآلية الوقائية الوطنية لفرنسا) ولاق</w:t>
      </w:r>
      <w:r>
        <w:rPr>
          <w:rFonts w:hint="cs"/>
          <w:rtl/>
          <w:lang/>
        </w:rPr>
        <w:t>ت</w:t>
      </w:r>
      <w:r w:rsidRPr="0013373A">
        <w:rPr>
          <w:rtl/>
          <w:lang/>
        </w:rPr>
        <w:t xml:space="preserve"> إقبالا كبيراً (إذ</w:t>
      </w:r>
      <w:r w:rsidR="00510C3D">
        <w:rPr>
          <w:rFonts w:hint="cs"/>
          <w:rtl/>
          <w:lang/>
        </w:rPr>
        <w:t> </w:t>
      </w:r>
      <w:r>
        <w:rPr>
          <w:rFonts w:hint="cs"/>
          <w:rtl/>
          <w:lang/>
        </w:rPr>
        <w:t xml:space="preserve">حضرها </w:t>
      </w:r>
      <w:r w:rsidRPr="0013373A">
        <w:rPr>
          <w:rtl/>
          <w:lang/>
        </w:rPr>
        <w:t xml:space="preserve">ما </w:t>
      </w:r>
      <w:r>
        <w:rPr>
          <w:rFonts w:hint="cs"/>
          <w:rtl/>
          <w:lang/>
        </w:rPr>
        <w:t xml:space="preserve">يقارب </w:t>
      </w:r>
      <w:r w:rsidRPr="0013373A">
        <w:rPr>
          <w:rtl/>
          <w:lang/>
        </w:rPr>
        <w:t>60 ممثلاً عن دول ومنظمات غير حكومية).</w:t>
      </w:r>
      <w:r w:rsidRPr="0023286B">
        <w:rPr>
          <w:rFonts w:hint="cs"/>
          <w:rtl/>
          <w:lang/>
        </w:rPr>
        <w:t xml:space="preserve"> </w:t>
      </w:r>
      <w:r>
        <w:rPr>
          <w:rFonts w:hint="cs"/>
          <w:rtl/>
          <w:lang/>
        </w:rPr>
        <w:t>وتبادل المشاركون خبراتهم وحددوا التحديات التي تقف أمام مجال منع التعذيب الذي ما انفك يتطور.</w:t>
      </w:r>
    </w:p>
    <w:p w:rsidR="00631BFA" w:rsidRPr="0013373A" w:rsidRDefault="00631BFA" w:rsidP="007F0C4C">
      <w:pPr>
        <w:pStyle w:val="SingleTxtGA"/>
        <w:spacing w:line="364" w:lineRule="exact"/>
        <w:rPr>
          <w:rtl/>
          <w:lang w:val="fr-CH"/>
        </w:rPr>
      </w:pPr>
      <w:r w:rsidRPr="0013373A">
        <w:rPr>
          <w:rtl/>
          <w:lang w:val="fr-CH"/>
        </w:rPr>
        <w:t>33-</w:t>
      </w:r>
      <w:r w:rsidRPr="0013373A">
        <w:rPr>
          <w:rtl/>
          <w:lang w:val="fr-CH"/>
        </w:rPr>
        <w:tab/>
        <w:t xml:space="preserve">وتود اللجنة الفرعية أن تغتنم هذه الفرصة للتوجه بالشكر إلى الجهات المنظمة </w:t>
      </w:r>
      <w:r>
        <w:rPr>
          <w:rFonts w:hint="cs"/>
          <w:rtl/>
          <w:lang w:val="fr-CH"/>
        </w:rPr>
        <w:t>للتظاهرات</w:t>
      </w:r>
      <w:r w:rsidRPr="0013373A">
        <w:rPr>
          <w:rtl/>
          <w:lang w:val="fr-CH"/>
        </w:rPr>
        <w:t xml:space="preserve"> المذكورة على دعوتها إياها للمشاركة فيها.</w:t>
      </w:r>
    </w:p>
    <w:p w:rsidR="00631BFA" w:rsidRPr="001B47DC" w:rsidRDefault="00631BFA" w:rsidP="007F0C4C">
      <w:pPr>
        <w:pStyle w:val="H1GA"/>
        <w:spacing w:before="120"/>
        <w:rPr>
          <w:rFonts w:hint="cs"/>
          <w:rtl/>
          <w:lang w:val="fr-CH"/>
        </w:rPr>
      </w:pPr>
      <w:r w:rsidRPr="001B47DC">
        <w:rPr>
          <w:rFonts w:hint="cs"/>
          <w:rtl/>
          <w:lang w:val="fr-CH"/>
        </w:rPr>
        <w:tab/>
      </w:r>
      <w:bookmarkStart w:id="7" w:name="_Toc322593346"/>
      <w:r w:rsidRPr="001B47DC">
        <w:rPr>
          <w:rFonts w:hint="cs"/>
          <w:rtl/>
          <w:lang w:val="fr-CH"/>
        </w:rPr>
        <w:t>واو-</w:t>
      </w:r>
      <w:r w:rsidRPr="001B47DC">
        <w:rPr>
          <w:rFonts w:hint="cs"/>
          <w:rtl/>
          <w:lang w:val="fr-CH"/>
        </w:rPr>
        <w:tab/>
        <w:t>الصندوق الخاص المُنشأ بموجب المادة 26 من البروتوكول</w:t>
      </w:r>
      <w:r w:rsidRPr="001B47DC">
        <w:rPr>
          <w:rFonts w:hint="eastAsia"/>
          <w:rtl/>
          <w:lang w:val="fr-CH"/>
        </w:rPr>
        <w:t> </w:t>
      </w:r>
      <w:r w:rsidRPr="001B47DC">
        <w:rPr>
          <w:rFonts w:hint="cs"/>
          <w:rtl/>
          <w:lang w:val="fr-CH"/>
        </w:rPr>
        <w:t>الاختياري</w:t>
      </w:r>
      <w:bookmarkEnd w:id="7"/>
    </w:p>
    <w:p w:rsidR="00631BFA" w:rsidRPr="0013373A" w:rsidRDefault="00631BFA" w:rsidP="00510C3D">
      <w:pPr>
        <w:pStyle w:val="SingleTxtGA"/>
        <w:rPr>
          <w:rtl/>
          <w:lang w:val="fr-CH"/>
        </w:rPr>
      </w:pPr>
      <w:r w:rsidRPr="0013373A">
        <w:rPr>
          <w:rtl/>
          <w:lang w:val="fr-CH"/>
        </w:rPr>
        <w:t>34-</w:t>
      </w:r>
      <w:r w:rsidRPr="0013373A">
        <w:rPr>
          <w:rtl/>
          <w:lang w:val="fr-CH"/>
        </w:rPr>
        <w:tab/>
      </w:r>
      <w:r w:rsidRPr="0013373A">
        <w:rPr>
          <w:rtl/>
          <w:lang/>
        </w:rPr>
        <w:t xml:space="preserve">حسب الفقرة 1 من المادة 26 من البروتوكول الاختياري، يتمثل الغرض من الصندوق الخاص في المساعدة في تمويل تنفيذ التوصيات التي تقدمها اللجنة الفرعية بعد زيارة الدولة الطرف في البروتوكول الاختياري فضلاً عن البرامج التعليمية للآليات الوقائية الوطنية. وتتولى مفوضية الأمم المتحدة السامية لحقوق الإنسان إدارة الصندوق الخاص عملاً بالقواعد والأنظمة المالية للأمم المتحدة وبالسياسات والإجراءات ذات الصلة الصادرة من الأمين العام. ووُضعت خطة مؤقتة تقرر فيها أن </w:t>
      </w:r>
      <w:r>
        <w:rPr>
          <w:rFonts w:hint="cs"/>
          <w:rtl/>
          <w:lang/>
        </w:rPr>
        <w:t xml:space="preserve">تبتّ </w:t>
      </w:r>
      <w:r w:rsidRPr="0013373A">
        <w:rPr>
          <w:rtl/>
          <w:lang/>
        </w:rPr>
        <w:t xml:space="preserve">لجنة المنح التابعة للمفوضية، وهي الهيئة الاستشارية التابعة لمفوضة الأمم المتحدة </w:t>
      </w:r>
      <w:r>
        <w:rPr>
          <w:rFonts w:hint="cs"/>
          <w:rtl/>
          <w:lang/>
        </w:rPr>
        <w:t xml:space="preserve">السامية </w:t>
      </w:r>
      <w:r w:rsidRPr="0013373A">
        <w:rPr>
          <w:rtl/>
          <w:lang/>
        </w:rPr>
        <w:t xml:space="preserve">لحقوق الإنسان، </w:t>
      </w:r>
      <w:r>
        <w:rPr>
          <w:rFonts w:hint="cs"/>
          <w:rtl/>
          <w:lang/>
        </w:rPr>
        <w:t xml:space="preserve">في </w:t>
      </w:r>
      <w:r w:rsidRPr="0013373A">
        <w:rPr>
          <w:rtl/>
          <w:lang/>
        </w:rPr>
        <w:t>أهلية المشاريع</w:t>
      </w:r>
      <w:r>
        <w:rPr>
          <w:rtl/>
          <w:lang/>
        </w:rPr>
        <w:t xml:space="preserve"> وتقد</w:t>
      </w:r>
      <w:r>
        <w:rPr>
          <w:rFonts w:hint="cs"/>
          <w:rtl/>
          <w:lang/>
        </w:rPr>
        <w:t>م</w:t>
      </w:r>
      <w:r w:rsidRPr="0013373A">
        <w:rPr>
          <w:rtl/>
          <w:lang/>
        </w:rPr>
        <w:t xml:space="preserve"> المنح على أساس معايير </w:t>
      </w:r>
      <w:r>
        <w:rPr>
          <w:rFonts w:hint="cs"/>
          <w:rtl/>
          <w:lang/>
        </w:rPr>
        <w:t>ال</w:t>
      </w:r>
      <w:r>
        <w:rPr>
          <w:rtl/>
          <w:lang/>
        </w:rPr>
        <w:t xml:space="preserve">تقييم </w:t>
      </w:r>
      <w:r>
        <w:rPr>
          <w:rFonts w:hint="cs"/>
          <w:rtl/>
          <w:lang/>
        </w:rPr>
        <w:t>المحددة</w:t>
      </w:r>
      <w:r w:rsidRPr="0013373A">
        <w:rPr>
          <w:rtl/>
          <w:lang/>
        </w:rPr>
        <w:t xml:space="preserve"> في المبادئ التوجيهية لتقديم الطلبات. وستُستعرض هذه الخطة المؤقتة في عام 2013.</w:t>
      </w:r>
    </w:p>
    <w:p w:rsidR="00631BFA" w:rsidRPr="0013373A" w:rsidRDefault="00631BFA" w:rsidP="00510C3D">
      <w:pPr>
        <w:pStyle w:val="SingleTxtGA"/>
        <w:rPr>
          <w:rtl/>
          <w:lang w:val="fr-CH"/>
        </w:rPr>
      </w:pPr>
      <w:r w:rsidRPr="0013373A">
        <w:rPr>
          <w:rtl/>
          <w:lang w:val="fr-CH"/>
        </w:rPr>
        <w:t>35-</w:t>
      </w:r>
      <w:r w:rsidRPr="0013373A">
        <w:rPr>
          <w:rtl/>
          <w:lang w:val="fr-CH"/>
        </w:rPr>
        <w:tab/>
      </w:r>
      <w:r w:rsidRPr="0013373A">
        <w:rPr>
          <w:rtl/>
          <w:lang/>
        </w:rPr>
        <w:t xml:space="preserve">ويتلقى الصندوق الخاص تبرعات من الحكومات والمنظمات الحكومية الدولية والمنظمات غير الحكومية ومن كيانات أخرى خاصة أو عامة. </w:t>
      </w:r>
      <w:r>
        <w:rPr>
          <w:rFonts w:hint="cs"/>
          <w:rtl/>
          <w:lang/>
        </w:rPr>
        <w:t xml:space="preserve">وقد وردت </w:t>
      </w:r>
      <w:r w:rsidRPr="0013373A">
        <w:rPr>
          <w:rtl/>
          <w:lang/>
        </w:rPr>
        <w:t>إلى الص</w:t>
      </w:r>
      <w:r>
        <w:rPr>
          <w:rFonts w:hint="cs"/>
          <w:rtl/>
          <w:lang/>
        </w:rPr>
        <w:t>ـ</w:t>
      </w:r>
      <w:r w:rsidRPr="0013373A">
        <w:rPr>
          <w:rtl/>
          <w:lang/>
        </w:rPr>
        <w:t>ندوق الخاص</w:t>
      </w:r>
      <w:r>
        <w:rPr>
          <w:rFonts w:hint="cs"/>
          <w:rtl/>
          <w:lang/>
        </w:rPr>
        <w:t>،</w:t>
      </w:r>
      <w:r w:rsidRPr="0013373A">
        <w:rPr>
          <w:rtl/>
          <w:lang/>
        </w:rPr>
        <w:t xml:space="preserve"> </w:t>
      </w:r>
      <w:r>
        <w:rPr>
          <w:rFonts w:hint="cs"/>
          <w:rtl/>
          <w:lang/>
        </w:rPr>
        <w:t xml:space="preserve">حـتى هذا التاريخ، </w:t>
      </w:r>
      <w:r w:rsidRPr="0013373A">
        <w:rPr>
          <w:rtl/>
          <w:lang/>
        </w:rPr>
        <w:t xml:space="preserve">تبرعات مجموعها </w:t>
      </w:r>
      <w:r>
        <w:rPr>
          <w:rFonts w:hint="cs"/>
          <w:rtl/>
          <w:lang/>
        </w:rPr>
        <w:t xml:space="preserve">462.29 130 1 </w:t>
      </w:r>
      <w:r w:rsidRPr="0013373A">
        <w:rPr>
          <w:rtl/>
          <w:lang/>
        </w:rPr>
        <w:t>دولار</w:t>
      </w:r>
      <w:r>
        <w:rPr>
          <w:rFonts w:hint="cs"/>
          <w:rtl/>
          <w:lang/>
        </w:rPr>
        <w:t>اً</w:t>
      </w:r>
      <w:r w:rsidRPr="0013373A">
        <w:rPr>
          <w:rtl/>
          <w:lang/>
        </w:rPr>
        <w:t xml:space="preserve"> أمريكي</w:t>
      </w:r>
      <w:r>
        <w:rPr>
          <w:rFonts w:hint="cs"/>
          <w:rtl/>
          <w:lang/>
        </w:rPr>
        <w:t>اً</w:t>
      </w:r>
      <w:r w:rsidRPr="0013373A">
        <w:rPr>
          <w:rtl/>
          <w:lang/>
        </w:rPr>
        <w:t xml:space="preserve"> تتوزع كالآتي: </w:t>
      </w:r>
      <w:r>
        <w:rPr>
          <w:rFonts w:hint="cs"/>
          <w:rtl/>
          <w:lang/>
        </w:rPr>
        <w:t xml:space="preserve">704.98 29 </w:t>
      </w:r>
      <w:r w:rsidRPr="0013373A">
        <w:rPr>
          <w:rtl/>
          <w:lang/>
        </w:rPr>
        <w:t>دولار</w:t>
      </w:r>
      <w:r>
        <w:rPr>
          <w:rFonts w:hint="cs"/>
          <w:rtl/>
          <w:lang/>
        </w:rPr>
        <w:t>اً</w:t>
      </w:r>
      <w:r w:rsidRPr="0013373A">
        <w:rPr>
          <w:rtl/>
          <w:lang/>
        </w:rPr>
        <w:t xml:space="preserve"> من الجمهورية التشيكية، و</w:t>
      </w:r>
      <w:r>
        <w:rPr>
          <w:rFonts w:hint="cs"/>
          <w:rtl/>
          <w:lang/>
        </w:rPr>
        <w:t>000 5</w:t>
      </w:r>
      <w:r w:rsidRPr="0013373A">
        <w:rPr>
          <w:rtl/>
          <w:lang/>
        </w:rPr>
        <w:t xml:space="preserve"> دولار من ملديف، و</w:t>
      </w:r>
      <w:r>
        <w:rPr>
          <w:rFonts w:hint="cs"/>
          <w:rtl/>
          <w:lang/>
        </w:rPr>
        <w:t>266.30 82</w:t>
      </w:r>
      <w:r w:rsidRPr="0013373A">
        <w:rPr>
          <w:rtl/>
          <w:lang/>
        </w:rPr>
        <w:t xml:space="preserve"> دولار</w:t>
      </w:r>
      <w:r>
        <w:rPr>
          <w:rFonts w:hint="cs"/>
          <w:rtl/>
          <w:lang/>
        </w:rPr>
        <w:t>اً</w:t>
      </w:r>
      <w:r w:rsidRPr="0013373A">
        <w:rPr>
          <w:rtl/>
          <w:lang/>
        </w:rPr>
        <w:t xml:space="preserve"> من إسبانيا، و</w:t>
      </w:r>
      <w:r>
        <w:rPr>
          <w:rFonts w:hint="cs"/>
          <w:rtl/>
          <w:lang/>
        </w:rPr>
        <w:t xml:space="preserve">491.01 013 1 </w:t>
      </w:r>
      <w:r w:rsidRPr="0013373A">
        <w:rPr>
          <w:rtl/>
          <w:lang/>
        </w:rPr>
        <w:t>دولار</w:t>
      </w:r>
      <w:r>
        <w:rPr>
          <w:rFonts w:hint="cs"/>
          <w:rtl/>
          <w:lang/>
        </w:rPr>
        <w:t>اً</w:t>
      </w:r>
      <w:r w:rsidRPr="0013373A">
        <w:rPr>
          <w:rtl/>
          <w:lang/>
        </w:rPr>
        <w:t xml:space="preserve"> من المملكة المتحدة لبريطانيا العظمى و</w:t>
      </w:r>
      <w:r w:rsidR="00510C3D">
        <w:rPr>
          <w:rFonts w:hint="cs"/>
          <w:rtl/>
          <w:lang/>
        </w:rPr>
        <w:t>أ</w:t>
      </w:r>
      <w:r w:rsidRPr="0013373A">
        <w:rPr>
          <w:rtl/>
          <w:lang/>
        </w:rPr>
        <w:t xml:space="preserve">يرلندا الشمالية. واللجنة الفرعية على </w:t>
      </w:r>
      <w:r>
        <w:rPr>
          <w:rFonts w:hint="cs"/>
          <w:rtl/>
          <w:lang/>
        </w:rPr>
        <w:t xml:space="preserve">اقتناع بأن </w:t>
      </w:r>
      <w:r w:rsidRPr="0013373A">
        <w:rPr>
          <w:rtl/>
          <w:lang/>
        </w:rPr>
        <w:t xml:space="preserve">الصندوق الخاص أداة قيمة </w:t>
      </w:r>
      <w:r>
        <w:rPr>
          <w:rFonts w:hint="cs"/>
          <w:rtl/>
          <w:lang/>
        </w:rPr>
        <w:t xml:space="preserve">لتعزيز </w:t>
      </w:r>
      <w:r w:rsidRPr="0013373A">
        <w:rPr>
          <w:rtl/>
          <w:lang/>
        </w:rPr>
        <w:t>منع التعذيب وتود أن تعرب عن امتنانها لهذه الدول لما</w:t>
      </w:r>
      <w:r w:rsidRPr="0013373A">
        <w:rPr>
          <w:rtl/>
          <w:lang w:val="fr-CH"/>
        </w:rPr>
        <w:t xml:space="preserve"> قدمته</w:t>
      </w:r>
      <w:r w:rsidRPr="0013373A">
        <w:rPr>
          <w:rtl/>
          <w:lang/>
        </w:rPr>
        <w:t xml:space="preserve"> من تبرعات سخية.</w:t>
      </w:r>
    </w:p>
    <w:p w:rsidR="00631BFA" w:rsidRPr="0013373A" w:rsidRDefault="00631BFA" w:rsidP="007F0C4C">
      <w:pPr>
        <w:pStyle w:val="SingleTxtGA"/>
        <w:rPr>
          <w:rtl/>
          <w:lang/>
        </w:rPr>
      </w:pPr>
      <w:r w:rsidRPr="0013373A">
        <w:rPr>
          <w:rtl/>
          <w:lang w:val="fr-CH"/>
        </w:rPr>
        <w:t>36-</w:t>
      </w:r>
      <w:r w:rsidRPr="0013373A">
        <w:rPr>
          <w:rtl/>
          <w:lang w:val="fr-CH"/>
        </w:rPr>
        <w:tab/>
      </w:r>
      <w:r>
        <w:rPr>
          <w:rFonts w:hint="cs"/>
          <w:rtl/>
          <w:lang w:val="fr-CH"/>
        </w:rPr>
        <w:t>و</w:t>
      </w:r>
      <w:r w:rsidRPr="0013373A">
        <w:rPr>
          <w:rtl/>
          <w:lang w:val="fr-CH"/>
        </w:rPr>
        <w:t>باشر الصندوق الخاص عمله في صيف عام 2011 وأ</w:t>
      </w:r>
      <w:r>
        <w:rPr>
          <w:rFonts w:hint="cs"/>
          <w:rtl/>
          <w:lang w:val="fr-CH"/>
        </w:rPr>
        <w:t>ُ</w:t>
      </w:r>
      <w:r w:rsidRPr="0013373A">
        <w:rPr>
          <w:rtl/>
          <w:lang w:val="fr-CH"/>
        </w:rPr>
        <w:t>طلقت أول دعوة لتقديم الطلبات في تشرين الثاني/نوفمبر 2011. وقُدمت أول المنح خلال عام 2012. وبالفعل، وفي أعقاب الدعوة لتقديم الطلبات لعام 2012، ورد 69 طلباً على الصندوق، اعت</w:t>
      </w:r>
      <w:r>
        <w:rPr>
          <w:rFonts w:hint="cs"/>
          <w:rtl/>
          <w:lang w:val="fr-CH"/>
        </w:rPr>
        <w:t>ُ</w:t>
      </w:r>
      <w:r w:rsidRPr="0013373A">
        <w:rPr>
          <w:rtl/>
          <w:lang w:val="fr-CH"/>
        </w:rPr>
        <w:t xml:space="preserve">بر 25 منها مقبولاً (وهي </w:t>
      </w:r>
      <w:r w:rsidRPr="0013373A">
        <w:rPr>
          <w:rtl/>
          <w:lang/>
        </w:rPr>
        <w:t>الطلبات التي قُدّمت خلال المهلة الزمنية المحددة والتي تستوفي شروط الأهلية الجغرافية، أي المشاريع التي تستهدف تنفيذ التوصيات التي قدمتها اللجنة الفرعية بعد زيارتها لإحدى الدول</w:t>
      </w:r>
      <w:r>
        <w:rPr>
          <w:rtl/>
          <w:lang/>
        </w:rPr>
        <w:t xml:space="preserve"> ا</w:t>
      </w:r>
      <w:r>
        <w:rPr>
          <w:rFonts w:hint="cs"/>
          <w:rtl/>
          <w:lang/>
        </w:rPr>
        <w:t>لأ</w:t>
      </w:r>
      <w:r w:rsidRPr="0013373A">
        <w:rPr>
          <w:rtl/>
          <w:lang/>
        </w:rPr>
        <w:t>طر</w:t>
      </w:r>
      <w:r>
        <w:rPr>
          <w:rFonts w:hint="cs"/>
          <w:rtl/>
          <w:lang/>
        </w:rPr>
        <w:t>ا</w:t>
      </w:r>
      <w:r w:rsidRPr="0013373A">
        <w:rPr>
          <w:rtl/>
          <w:lang/>
        </w:rPr>
        <w:t xml:space="preserve">ف، </w:t>
      </w:r>
      <w:r>
        <w:rPr>
          <w:rFonts w:hint="cs"/>
          <w:rtl/>
          <w:lang/>
        </w:rPr>
        <w:t xml:space="preserve">شريطة </w:t>
      </w:r>
      <w:r w:rsidRPr="0013373A">
        <w:rPr>
          <w:rtl/>
          <w:lang/>
        </w:rPr>
        <w:t>أن تكون هذه التوصيات واردة في التقرير الذي نُشر بناءً على طلب الدولة الطرف</w:t>
      </w:r>
      <w:r w:rsidRPr="0013373A">
        <w:rPr>
          <w:rtl/>
          <w:lang w:val="fr-CH"/>
        </w:rPr>
        <w:t xml:space="preserve">). وحظيت تسعة مشاريع بالموافقة وقُدمت إليها </w:t>
      </w:r>
      <w:r>
        <w:rPr>
          <w:rFonts w:hint="cs"/>
          <w:rtl/>
          <w:lang w:val="fr-CH"/>
        </w:rPr>
        <w:t>مِنح</w:t>
      </w:r>
      <w:r w:rsidRPr="0013373A">
        <w:rPr>
          <w:rtl/>
          <w:lang w:val="fr-CH"/>
        </w:rPr>
        <w:t>، ويتعلق</w:t>
      </w:r>
      <w:r w:rsidR="007F0C4C">
        <w:rPr>
          <w:rFonts w:hint="cs"/>
          <w:rtl/>
          <w:lang w:val="fr-CH"/>
        </w:rPr>
        <w:t> </w:t>
      </w:r>
      <w:r w:rsidRPr="0013373A">
        <w:rPr>
          <w:rtl/>
          <w:lang w:val="fr-CH"/>
        </w:rPr>
        <w:t xml:space="preserve">الأمر بمشاريع تضم طيفاً واسعاً من الأنشطة، عملاً بتوصيات اللجنة الفرعية، والتي تعالج مسألة منع التعذيب في باراغواي </w:t>
      </w:r>
      <w:r>
        <w:rPr>
          <w:rFonts w:hint="cs"/>
          <w:rtl/>
          <w:lang w:val="fr-CH"/>
        </w:rPr>
        <w:t>و</w:t>
      </w:r>
      <w:r w:rsidRPr="0013373A">
        <w:rPr>
          <w:rtl/>
          <w:lang w:val="fr-CH"/>
        </w:rPr>
        <w:t xml:space="preserve">بنن والمكسيك وملديف وهندوراس. ورفضت لجنة المنح المشاريع المتبقية وعددها ستة عشر مشروعاً لعدم </w:t>
      </w:r>
      <w:r>
        <w:rPr>
          <w:rFonts w:hint="cs"/>
          <w:rtl/>
          <w:lang w:val="fr-CH"/>
        </w:rPr>
        <w:t xml:space="preserve">استيفائها </w:t>
      </w:r>
      <w:r w:rsidRPr="0013373A">
        <w:rPr>
          <w:rtl/>
          <w:lang w:val="fr-CH"/>
        </w:rPr>
        <w:t>ل</w:t>
      </w:r>
      <w:r w:rsidRPr="0013373A">
        <w:rPr>
          <w:rtl/>
          <w:lang/>
        </w:rPr>
        <w:t xml:space="preserve">معايير الاختيار المواضيعية التي حددتها المبادئ التوجيهية لتقديم الطلبات </w:t>
      </w:r>
      <w:r>
        <w:rPr>
          <w:rFonts w:hint="cs"/>
          <w:rtl/>
          <w:lang/>
        </w:rPr>
        <w:t>لل</w:t>
      </w:r>
      <w:r w:rsidRPr="0013373A">
        <w:rPr>
          <w:rtl/>
          <w:lang/>
        </w:rPr>
        <w:t>فترة 2011-2012.</w:t>
      </w:r>
    </w:p>
    <w:p w:rsidR="00631BFA" w:rsidRPr="00977284" w:rsidRDefault="00631BFA" w:rsidP="007F0C4C">
      <w:pPr>
        <w:pStyle w:val="SingleTxtGA"/>
        <w:spacing w:line="370" w:lineRule="exact"/>
        <w:rPr>
          <w:rtl/>
          <w:lang w:val="fr-CH"/>
        </w:rPr>
      </w:pPr>
      <w:r w:rsidRPr="00977284">
        <w:rPr>
          <w:rtl/>
          <w:lang/>
        </w:rPr>
        <w:t>37-</w:t>
      </w:r>
      <w:r w:rsidRPr="00977284">
        <w:rPr>
          <w:rtl/>
          <w:lang/>
        </w:rPr>
        <w:tab/>
        <w:t>ونُشرت دعوة جديدة لتقديم الطلبات إلى الصندوق الخاص في 15 آب/أغسطس</w:t>
      </w:r>
      <w:r>
        <w:rPr>
          <w:rFonts w:hint="cs"/>
          <w:rtl/>
          <w:lang/>
        </w:rPr>
        <w:t> </w:t>
      </w:r>
      <w:r w:rsidRPr="00977284">
        <w:rPr>
          <w:rtl/>
          <w:lang/>
        </w:rPr>
        <w:t>2012 وانقضت مهلة تقديم الطلبات في 15 تشرين الأول/أكتوبر 2012. وورد</w:t>
      </w:r>
      <w:r>
        <w:rPr>
          <w:rFonts w:hint="cs"/>
          <w:rtl/>
          <w:lang/>
        </w:rPr>
        <w:t> </w:t>
      </w:r>
      <w:r w:rsidRPr="00977284">
        <w:rPr>
          <w:rtl/>
          <w:lang/>
        </w:rPr>
        <w:t>34 طلباً في أعقاب هذه الدعوة، رُفضت أربع</w:t>
      </w:r>
      <w:r w:rsidRPr="00977284">
        <w:rPr>
          <w:rFonts w:hint="cs"/>
          <w:rtl/>
          <w:lang/>
        </w:rPr>
        <w:t>ة</w:t>
      </w:r>
      <w:r w:rsidRPr="00977284">
        <w:rPr>
          <w:rtl/>
          <w:lang/>
        </w:rPr>
        <w:t xml:space="preserve"> طلبات من بينها. أما الطلبات التي تمت الموافقة عليها وعددها ثلاثون طلباً (</w:t>
      </w:r>
      <w:r w:rsidRPr="00977284">
        <w:rPr>
          <w:rtl/>
          <w:lang w:val="fr-CH"/>
        </w:rPr>
        <w:t xml:space="preserve">وهي </w:t>
      </w:r>
      <w:r w:rsidRPr="00977284">
        <w:rPr>
          <w:rtl/>
          <w:lang/>
        </w:rPr>
        <w:t>الطلبات التي قُدّمت خلال المهلة الزمنية المحددة والتي تستوفي شروط الأهلية الجغرافية) فتخص ستة بلدان من أصل سبعة و</w:t>
      </w:r>
      <w:r w:rsidRPr="00977284">
        <w:rPr>
          <w:rFonts w:hint="cs"/>
          <w:rtl/>
          <w:lang/>
        </w:rPr>
        <w:t>يتعلق الأمر</w:t>
      </w:r>
      <w:r w:rsidRPr="00977284">
        <w:rPr>
          <w:rtl/>
          <w:lang/>
        </w:rPr>
        <w:t xml:space="preserve"> </w:t>
      </w:r>
      <w:r w:rsidRPr="00977284">
        <w:rPr>
          <w:rFonts w:hint="cs"/>
          <w:rtl/>
          <w:lang/>
        </w:rPr>
        <w:t>ب</w:t>
      </w:r>
      <w:r w:rsidRPr="00977284">
        <w:rPr>
          <w:rtl/>
          <w:lang/>
        </w:rPr>
        <w:t xml:space="preserve">البلدان التي قبلت نشر تقرير اللجنة الفرعية بعد زيارة البلد وهي: باراغواي والبرازيل وبنن والمكسيك وملديف وهندوراس. </w:t>
      </w:r>
      <w:r w:rsidRPr="00977284">
        <w:rPr>
          <w:rFonts w:hint="cs"/>
          <w:rtl/>
          <w:lang/>
        </w:rPr>
        <w:t xml:space="preserve">ومن </w:t>
      </w:r>
      <w:r w:rsidRPr="00977284">
        <w:rPr>
          <w:rtl/>
          <w:lang/>
        </w:rPr>
        <w:t>بين المشاريع التي نالت القبول،</w:t>
      </w:r>
      <w:r w:rsidRPr="00977284">
        <w:rPr>
          <w:rFonts w:hint="cs"/>
          <w:rtl/>
          <w:lang/>
        </w:rPr>
        <w:t xml:space="preserve"> هناك</w:t>
      </w:r>
      <w:r w:rsidRPr="00977284">
        <w:rPr>
          <w:rtl/>
          <w:lang/>
        </w:rPr>
        <w:t xml:space="preserve"> 11 طلباً مقدماً من </w:t>
      </w:r>
      <w:r w:rsidRPr="00977284">
        <w:rPr>
          <w:rFonts w:hint="cs"/>
          <w:rtl/>
          <w:lang/>
        </w:rPr>
        <w:t xml:space="preserve">قِبل </w:t>
      </w:r>
      <w:r w:rsidRPr="00977284">
        <w:rPr>
          <w:rtl/>
          <w:lang/>
        </w:rPr>
        <w:t xml:space="preserve">هيئات حكومية و17 طلباً </w:t>
      </w:r>
      <w:r w:rsidRPr="00977284">
        <w:rPr>
          <w:rFonts w:hint="cs"/>
          <w:rtl/>
          <w:lang/>
        </w:rPr>
        <w:t xml:space="preserve">مقدماً من قِبل </w:t>
      </w:r>
      <w:r w:rsidRPr="00977284">
        <w:rPr>
          <w:rtl/>
          <w:lang/>
        </w:rPr>
        <w:t xml:space="preserve">منظمات غير حكومية وطلبان مقدمان من </w:t>
      </w:r>
      <w:r w:rsidRPr="00977284">
        <w:rPr>
          <w:rFonts w:hint="cs"/>
          <w:rtl/>
          <w:lang/>
        </w:rPr>
        <w:t xml:space="preserve">قِبل آليتين </w:t>
      </w:r>
      <w:r w:rsidRPr="00977284">
        <w:rPr>
          <w:rtl/>
          <w:lang/>
        </w:rPr>
        <w:t>وقائيت</w:t>
      </w:r>
      <w:r w:rsidRPr="00977284">
        <w:rPr>
          <w:rFonts w:hint="cs"/>
          <w:rtl/>
          <w:lang/>
        </w:rPr>
        <w:t>ي</w:t>
      </w:r>
      <w:r w:rsidRPr="00977284">
        <w:rPr>
          <w:rtl/>
          <w:lang/>
        </w:rPr>
        <w:t>ن وطنيت</w:t>
      </w:r>
      <w:r w:rsidRPr="00977284">
        <w:rPr>
          <w:rFonts w:hint="cs"/>
          <w:rtl/>
          <w:lang/>
        </w:rPr>
        <w:t>ي</w:t>
      </w:r>
      <w:r w:rsidRPr="00977284">
        <w:rPr>
          <w:rtl/>
          <w:lang/>
        </w:rPr>
        <w:t>ن.</w:t>
      </w:r>
    </w:p>
    <w:p w:rsidR="00631BFA" w:rsidRPr="003827EE" w:rsidRDefault="00631BFA" w:rsidP="007F0C4C">
      <w:pPr>
        <w:pStyle w:val="SingleTxtGA"/>
        <w:spacing w:line="370" w:lineRule="exact"/>
        <w:rPr>
          <w:rFonts w:eastAsia="Calibri" w:hint="cs"/>
          <w:spacing w:val="-2"/>
          <w:rtl/>
          <w:lang w:eastAsia="en-GB"/>
        </w:rPr>
      </w:pPr>
      <w:r w:rsidRPr="003827EE">
        <w:rPr>
          <w:spacing w:val="-4"/>
          <w:rtl/>
          <w:lang w:val="fr-CH"/>
        </w:rPr>
        <w:t>38-</w:t>
      </w:r>
      <w:r w:rsidRPr="003827EE">
        <w:rPr>
          <w:spacing w:val="-4"/>
          <w:rtl/>
          <w:lang w:val="fr-CH"/>
        </w:rPr>
        <w:tab/>
        <w:t xml:space="preserve">وتُعرب اللجنة الفرعية عن </w:t>
      </w:r>
      <w:r>
        <w:rPr>
          <w:rFonts w:hint="cs"/>
          <w:spacing w:val="-4"/>
          <w:rtl/>
          <w:lang w:val="fr-CH"/>
        </w:rPr>
        <w:t>امتنانها</w:t>
      </w:r>
      <w:r w:rsidRPr="003827EE">
        <w:rPr>
          <w:spacing w:val="-4"/>
          <w:rtl/>
          <w:lang w:val="fr-CH"/>
        </w:rPr>
        <w:t xml:space="preserve"> </w:t>
      </w:r>
      <w:r>
        <w:rPr>
          <w:rFonts w:hint="cs"/>
          <w:spacing w:val="-4"/>
          <w:rtl/>
          <w:lang w:val="fr-CH"/>
        </w:rPr>
        <w:t>للم</w:t>
      </w:r>
      <w:r w:rsidRPr="003827EE">
        <w:rPr>
          <w:spacing w:val="-4"/>
          <w:rtl/>
          <w:lang w:val="fr-CH"/>
        </w:rPr>
        <w:t xml:space="preserve">فوضية السامية لحقوق الإنسان </w:t>
      </w:r>
      <w:r>
        <w:rPr>
          <w:rFonts w:hint="cs"/>
          <w:spacing w:val="-4"/>
          <w:rtl/>
          <w:lang w:val="fr-CH"/>
        </w:rPr>
        <w:t xml:space="preserve">التي قبلت </w:t>
      </w:r>
      <w:r w:rsidRPr="003827EE">
        <w:rPr>
          <w:spacing w:val="-4"/>
          <w:rtl/>
          <w:lang w:val="fr-CH"/>
        </w:rPr>
        <w:t>خلال الفترة المشمولة بالتقرير، بصفتها مديرة الصندوق الخاص، التشاو</w:t>
      </w:r>
      <w:r>
        <w:rPr>
          <w:rFonts w:hint="cs"/>
          <w:spacing w:val="-4"/>
          <w:rtl/>
          <w:lang w:val="fr-CH"/>
        </w:rPr>
        <w:t>رَ</w:t>
      </w:r>
      <w:r w:rsidRPr="003827EE">
        <w:rPr>
          <w:spacing w:val="-4"/>
          <w:rtl/>
          <w:lang w:val="fr-CH"/>
        </w:rPr>
        <w:t xml:space="preserve"> معها فيما يتعلق بعملية تقييم المشاريع </w:t>
      </w:r>
      <w:r>
        <w:rPr>
          <w:rFonts w:hint="cs"/>
          <w:spacing w:val="-4"/>
          <w:rtl/>
          <w:lang w:val="fr-CH"/>
        </w:rPr>
        <w:t>التي تدخل في نطاق</w:t>
      </w:r>
      <w:r w:rsidRPr="003827EE">
        <w:rPr>
          <w:spacing w:val="-4"/>
          <w:rtl/>
          <w:lang w:val="fr-CH"/>
        </w:rPr>
        <w:t xml:space="preserve"> الدعوة إلى تقديم الطلبات لعام 2012 والدعوة </w:t>
      </w:r>
      <w:r>
        <w:rPr>
          <w:rFonts w:hint="cs"/>
          <w:spacing w:val="-4"/>
          <w:rtl/>
          <w:lang w:val="fr-CH"/>
        </w:rPr>
        <w:t xml:space="preserve">إلى </w:t>
      </w:r>
      <w:r w:rsidRPr="003827EE">
        <w:rPr>
          <w:spacing w:val="-4"/>
          <w:rtl/>
          <w:lang w:val="fr-CH"/>
        </w:rPr>
        <w:t>تقديم الطلبات لعام 2013. وطلبت المفوضية من اللجنة الفرعية تحديد الأولويات المواضيعية ذات الصلة بالبلدان المعنية مما</w:t>
      </w:r>
      <w:r>
        <w:rPr>
          <w:rFonts w:hint="cs"/>
          <w:spacing w:val="-4"/>
          <w:rtl/>
          <w:lang w:val="fr-CH"/>
        </w:rPr>
        <w:t> </w:t>
      </w:r>
      <w:r w:rsidRPr="003827EE">
        <w:rPr>
          <w:spacing w:val="-4"/>
          <w:rtl/>
          <w:lang w:val="fr-CH"/>
        </w:rPr>
        <w:t xml:space="preserve">أسهم في </w:t>
      </w:r>
      <w:r w:rsidRPr="003827EE">
        <w:rPr>
          <w:rFonts w:hint="cs"/>
          <w:spacing w:val="-4"/>
          <w:rtl/>
          <w:lang w:val="fr-CH"/>
        </w:rPr>
        <w:t xml:space="preserve">بلورة </w:t>
      </w:r>
      <w:r w:rsidRPr="003827EE">
        <w:rPr>
          <w:spacing w:val="-4"/>
          <w:rtl/>
          <w:lang w:val="fr-CH"/>
        </w:rPr>
        <w:t xml:space="preserve">الدعوة إلى تقديم الطلبات لعام 2013، </w:t>
      </w:r>
      <w:r>
        <w:rPr>
          <w:rFonts w:hint="cs"/>
          <w:spacing w:val="-4"/>
          <w:rtl/>
          <w:lang w:val="fr-CH"/>
        </w:rPr>
        <w:t xml:space="preserve">التي ترد تفاصيلها </w:t>
      </w:r>
      <w:r w:rsidRPr="003827EE">
        <w:rPr>
          <w:spacing w:val="-4"/>
          <w:rtl/>
          <w:lang w:val="fr-CH"/>
        </w:rPr>
        <w:t>على الموقع الشبكي التالي:</w:t>
      </w:r>
      <w:r w:rsidRPr="003827EE">
        <w:rPr>
          <w:spacing w:val="-2"/>
          <w:rtl/>
          <w:lang w:val="fr-CH"/>
        </w:rPr>
        <w:t xml:space="preserve"> </w:t>
      </w:r>
      <w:r w:rsidRPr="003827EE">
        <w:rPr>
          <w:rFonts w:eastAsia="Calibri"/>
          <w:spacing w:val="-2"/>
          <w:lang w:eastAsia="en-GB"/>
        </w:rPr>
        <w:t>http://www2.ohchr.org/english/bodies/cat/opcat/SpecialFund2013.htm</w:t>
      </w:r>
      <w:r w:rsidRPr="003827EE">
        <w:rPr>
          <w:rFonts w:eastAsia="Calibri" w:hint="cs"/>
          <w:spacing w:val="-2"/>
          <w:rtl/>
          <w:lang w:eastAsia="en-GB"/>
        </w:rPr>
        <w:t>.</w:t>
      </w:r>
    </w:p>
    <w:p w:rsidR="00631BFA" w:rsidRPr="0013373A" w:rsidRDefault="00631BFA" w:rsidP="007F0C4C">
      <w:pPr>
        <w:pStyle w:val="SingleTxtGA"/>
        <w:spacing w:line="370" w:lineRule="exact"/>
        <w:rPr>
          <w:rtl/>
          <w:lang w:val="fr-CH"/>
        </w:rPr>
      </w:pPr>
      <w:r w:rsidRPr="0013373A">
        <w:rPr>
          <w:rFonts w:eastAsia="Calibri"/>
          <w:rtl/>
          <w:lang w:eastAsia="en-GB"/>
        </w:rPr>
        <w:t>39-</w:t>
      </w:r>
      <w:r w:rsidRPr="0013373A">
        <w:rPr>
          <w:rFonts w:eastAsia="Calibri"/>
          <w:rtl/>
          <w:lang w:eastAsia="en-GB"/>
        </w:rPr>
        <w:tab/>
        <w:t xml:space="preserve">واللجنة الفرعية </w:t>
      </w:r>
      <w:r>
        <w:rPr>
          <w:rFonts w:eastAsia="Calibri" w:hint="cs"/>
          <w:rtl/>
          <w:lang w:eastAsia="en-GB"/>
        </w:rPr>
        <w:t>مقتنعة ب</w:t>
      </w:r>
      <w:r w:rsidRPr="0013373A">
        <w:rPr>
          <w:rFonts w:eastAsia="Calibri"/>
          <w:rtl/>
          <w:lang w:eastAsia="en-GB"/>
        </w:rPr>
        <w:t>أن هذ</w:t>
      </w:r>
      <w:r>
        <w:rPr>
          <w:rFonts w:eastAsia="Calibri" w:hint="cs"/>
          <w:rtl/>
          <w:lang w:eastAsia="en-GB"/>
        </w:rPr>
        <w:t xml:space="preserve">ه الإرشادات المحددة </w:t>
      </w:r>
      <w:r w:rsidRPr="0013373A">
        <w:rPr>
          <w:rFonts w:eastAsia="Calibri"/>
          <w:rtl/>
          <w:lang w:eastAsia="en-GB"/>
        </w:rPr>
        <w:t>س</w:t>
      </w:r>
      <w:r>
        <w:rPr>
          <w:rFonts w:eastAsia="Calibri" w:hint="cs"/>
          <w:rtl/>
          <w:lang w:eastAsia="en-GB"/>
        </w:rPr>
        <w:t>ت</w:t>
      </w:r>
      <w:r w:rsidRPr="0013373A">
        <w:rPr>
          <w:rFonts w:eastAsia="Calibri"/>
          <w:rtl/>
          <w:lang w:eastAsia="en-GB"/>
        </w:rPr>
        <w:t>ساعد مقدمي الطلبات بشكل كبير عند عرضهم لمشاريعهم.</w:t>
      </w:r>
      <w:r>
        <w:rPr>
          <w:rFonts w:eastAsia="Calibri" w:hint="cs"/>
          <w:rtl/>
          <w:lang w:eastAsia="en-GB"/>
        </w:rPr>
        <w:t xml:space="preserve"> و</w:t>
      </w:r>
      <w:r w:rsidRPr="0013373A">
        <w:rPr>
          <w:rFonts w:eastAsia="Calibri"/>
          <w:rtl/>
          <w:lang w:eastAsia="en-GB"/>
        </w:rPr>
        <w:t>س</w:t>
      </w:r>
      <w:r>
        <w:rPr>
          <w:rFonts w:eastAsia="Calibri" w:hint="cs"/>
          <w:rtl/>
          <w:lang w:eastAsia="en-GB"/>
        </w:rPr>
        <w:t>ت</w:t>
      </w:r>
      <w:r w:rsidRPr="0013373A">
        <w:rPr>
          <w:rFonts w:eastAsia="Calibri"/>
          <w:rtl/>
          <w:lang w:eastAsia="en-GB"/>
        </w:rPr>
        <w:t xml:space="preserve">ساعد أيضاً على </w:t>
      </w:r>
      <w:r>
        <w:rPr>
          <w:rFonts w:eastAsia="Calibri" w:hint="cs"/>
          <w:rtl/>
          <w:lang w:eastAsia="en-GB"/>
        </w:rPr>
        <w:t>تعزيز</w:t>
      </w:r>
      <w:r w:rsidRPr="0013373A">
        <w:rPr>
          <w:rFonts w:eastAsia="Calibri"/>
          <w:rtl/>
          <w:lang w:eastAsia="en-GB"/>
        </w:rPr>
        <w:t xml:space="preserve"> الأثر الوقائي للمنح </w:t>
      </w:r>
      <w:r>
        <w:rPr>
          <w:rFonts w:eastAsia="Calibri" w:hint="cs"/>
          <w:rtl/>
          <w:lang w:eastAsia="en-GB"/>
        </w:rPr>
        <w:t xml:space="preserve">وذلك </w:t>
      </w:r>
      <w:r w:rsidRPr="0013373A">
        <w:rPr>
          <w:rFonts w:eastAsia="Calibri"/>
          <w:rtl/>
          <w:lang w:eastAsia="en-GB"/>
        </w:rPr>
        <w:t xml:space="preserve">بضمان استعمالها لسد أشد الحاجات إلحاحاً، بتوافق مع الموارد المتاحة. ويسر اللجنة الفرعية أن تعلن </w:t>
      </w:r>
      <w:r>
        <w:rPr>
          <w:rFonts w:eastAsia="Calibri" w:hint="cs"/>
          <w:rtl/>
          <w:lang w:eastAsia="en-GB"/>
        </w:rPr>
        <w:t>عن رفع سقف ا</w:t>
      </w:r>
      <w:r>
        <w:rPr>
          <w:rFonts w:eastAsia="Calibri"/>
          <w:rtl/>
          <w:lang w:eastAsia="en-GB"/>
        </w:rPr>
        <w:t>لمنح</w:t>
      </w:r>
      <w:r w:rsidRPr="0013373A">
        <w:rPr>
          <w:rFonts w:eastAsia="Calibri"/>
          <w:rtl/>
          <w:lang w:eastAsia="en-GB"/>
        </w:rPr>
        <w:t xml:space="preserve"> وتتمنى أن يُسهم نجاح الصندوق في در المزيد من التبرعات وأن يستمر الحال على هذا المنوال. وستواصل اللجنة الفرعية استعراض فعالية الصندوق وتقديم المشورة إلى</w:t>
      </w:r>
      <w:r>
        <w:rPr>
          <w:rFonts w:eastAsia="Calibri" w:hint="cs"/>
          <w:rtl/>
          <w:lang w:eastAsia="en-GB"/>
        </w:rPr>
        <w:t xml:space="preserve"> الجهات التي تتولى إدارته</w:t>
      </w:r>
      <w:r w:rsidRPr="0013373A">
        <w:rPr>
          <w:rFonts w:eastAsia="Calibri"/>
          <w:rtl/>
          <w:lang w:eastAsia="en-GB"/>
        </w:rPr>
        <w:t>.</w:t>
      </w:r>
    </w:p>
    <w:p w:rsidR="00631BFA" w:rsidRPr="001B47DC" w:rsidRDefault="00631BFA" w:rsidP="00631BFA">
      <w:pPr>
        <w:pStyle w:val="HChGA"/>
        <w:rPr>
          <w:rFonts w:hint="cs"/>
          <w:rtl/>
        </w:rPr>
      </w:pPr>
      <w:r w:rsidRPr="001B47DC">
        <w:rPr>
          <w:rFonts w:hint="cs"/>
          <w:rtl/>
        </w:rPr>
        <w:tab/>
      </w:r>
      <w:bookmarkStart w:id="8" w:name="_Toc322593347"/>
      <w:r w:rsidRPr="001B47DC">
        <w:rPr>
          <w:rFonts w:hint="cs"/>
          <w:rtl/>
        </w:rPr>
        <w:t>ثالثاً-</w:t>
      </w:r>
      <w:r w:rsidRPr="001B47DC">
        <w:rPr>
          <w:rFonts w:hint="cs"/>
          <w:rtl/>
        </w:rPr>
        <w:tab/>
        <w:t>المشاركة</w:t>
      </w:r>
      <w:r>
        <w:rPr>
          <w:rFonts w:hint="cs"/>
          <w:rtl/>
        </w:rPr>
        <w:t xml:space="preserve"> في العمل</w:t>
      </w:r>
      <w:r w:rsidRPr="001B47DC">
        <w:rPr>
          <w:rFonts w:hint="cs"/>
          <w:rtl/>
        </w:rPr>
        <w:t xml:space="preserve"> مع الهيئات الأخرى في مجال منع التعذيب</w:t>
      </w:r>
      <w:bookmarkEnd w:id="8"/>
    </w:p>
    <w:p w:rsidR="00631BFA" w:rsidRPr="001B47DC" w:rsidRDefault="00631BFA" w:rsidP="00631BFA">
      <w:pPr>
        <w:pStyle w:val="H1GA"/>
        <w:rPr>
          <w:rFonts w:hint="cs"/>
          <w:rtl/>
        </w:rPr>
      </w:pPr>
      <w:r w:rsidRPr="001B47DC">
        <w:rPr>
          <w:rFonts w:hint="cs"/>
          <w:rtl/>
        </w:rPr>
        <w:tab/>
      </w:r>
      <w:bookmarkStart w:id="9" w:name="_Toc322593348"/>
      <w:r w:rsidRPr="001B47DC">
        <w:rPr>
          <w:rFonts w:hint="cs"/>
          <w:rtl/>
        </w:rPr>
        <w:t>ألف-</w:t>
      </w:r>
      <w:r w:rsidRPr="001B47DC">
        <w:rPr>
          <w:rFonts w:hint="cs"/>
          <w:rtl/>
        </w:rPr>
        <w:tab/>
        <w:t>التعاون الدولي</w:t>
      </w:r>
      <w:bookmarkEnd w:id="9"/>
    </w:p>
    <w:p w:rsidR="00631BFA" w:rsidRPr="001B47DC" w:rsidRDefault="00631BFA" w:rsidP="00631BFA">
      <w:pPr>
        <w:pStyle w:val="H23GA"/>
        <w:rPr>
          <w:rFonts w:hint="cs"/>
          <w:rtl/>
        </w:rPr>
      </w:pPr>
      <w:r w:rsidRPr="001B47DC">
        <w:rPr>
          <w:rFonts w:hint="cs"/>
          <w:rtl/>
        </w:rPr>
        <w:tab/>
        <w:t>1-</w:t>
      </w:r>
      <w:r w:rsidRPr="001B47DC">
        <w:rPr>
          <w:rFonts w:hint="cs"/>
          <w:rtl/>
        </w:rPr>
        <w:tab/>
        <w:t>التعاون مع الهيئات الأخرى التابعة للأمم المتحدة</w:t>
      </w:r>
    </w:p>
    <w:p w:rsidR="00631BFA" w:rsidRPr="0013373A" w:rsidRDefault="00631BFA" w:rsidP="007F0C4C">
      <w:pPr>
        <w:pStyle w:val="SingleTxtGA"/>
        <w:rPr>
          <w:rtl/>
          <w:lang w:val="fr-CH"/>
        </w:rPr>
      </w:pPr>
      <w:r w:rsidRPr="0013373A">
        <w:rPr>
          <w:rtl/>
          <w:lang w:val="fr-CH"/>
        </w:rPr>
        <w:t>40-</w:t>
      </w:r>
      <w:r w:rsidRPr="0013373A">
        <w:rPr>
          <w:rtl/>
          <w:lang w:val="fr-CH"/>
        </w:rPr>
        <w:tab/>
        <w:t xml:space="preserve">عملاً بأحكام البروتوكول الاختياري، قدم رئيس اللجنة الفرعية التقرير السنوي الخامس للجنة الفرعية </w:t>
      </w:r>
      <w:r>
        <w:t>(CAT/C/48/3)</w:t>
      </w:r>
      <w:r w:rsidRPr="0013373A">
        <w:rPr>
          <w:rtl/>
        </w:rPr>
        <w:t xml:space="preserve"> </w:t>
      </w:r>
      <w:r w:rsidRPr="0013373A">
        <w:rPr>
          <w:rtl/>
          <w:lang w:val="fr-CH"/>
        </w:rPr>
        <w:t xml:space="preserve">إلى لجنة مناهضة التعذيب </w:t>
      </w:r>
      <w:r>
        <w:rPr>
          <w:rFonts w:hint="cs"/>
          <w:rtl/>
          <w:lang w:val="fr-CH"/>
        </w:rPr>
        <w:t xml:space="preserve">في </w:t>
      </w:r>
      <w:r w:rsidRPr="0013373A">
        <w:rPr>
          <w:rtl/>
          <w:lang w:val="fr-CH"/>
        </w:rPr>
        <w:t xml:space="preserve">جلسة عامة عُقدت في 8 </w:t>
      </w:r>
      <w:r w:rsidRPr="0013373A">
        <w:rPr>
          <w:sz w:val="30"/>
          <w:rtl/>
          <w:lang w:val="fr-CH"/>
        </w:rPr>
        <w:t xml:space="preserve">أيار/مايو </w:t>
      </w:r>
      <w:r w:rsidRPr="0013373A">
        <w:rPr>
          <w:rtl/>
          <w:lang w:val="fr-CH"/>
        </w:rPr>
        <w:t xml:space="preserve">2012. إضافة إلى ذلك، اغتنمت اللجنة الفرعية ولجنة مناهضة التعذيب فرصة تزامن دورتيهما في جنيف، في </w:t>
      </w:r>
      <w:r w:rsidRPr="0013373A">
        <w:rPr>
          <w:sz w:val="30"/>
          <w:rtl/>
          <w:lang w:val="fr-CH"/>
        </w:rPr>
        <w:t xml:space="preserve">تشرين الثاني/نوفمبر </w:t>
      </w:r>
      <w:r w:rsidRPr="0013373A">
        <w:rPr>
          <w:rtl/>
          <w:lang w:val="fr-CH"/>
        </w:rPr>
        <w:t xml:space="preserve">2012، لمناقشة طائفة من </w:t>
      </w:r>
      <w:r>
        <w:rPr>
          <w:rFonts w:hint="cs"/>
          <w:rtl/>
          <w:lang w:val="fr-CH"/>
        </w:rPr>
        <w:t>المسائل</w:t>
      </w:r>
      <w:r w:rsidRPr="0013373A">
        <w:rPr>
          <w:rtl/>
          <w:lang w:val="fr-CH"/>
        </w:rPr>
        <w:t>، الموضوعية والإجرائية، ذات الاهتمام المشترك.</w:t>
      </w:r>
    </w:p>
    <w:p w:rsidR="00631BFA" w:rsidRPr="007F0C4C" w:rsidRDefault="00631BFA" w:rsidP="007F0C4C">
      <w:pPr>
        <w:pStyle w:val="SingleTxtGA"/>
        <w:rPr>
          <w:spacing w:val="-2"/>
          <w:rtl/>
          <w:lang w:val="fr-CH"/>
        </w:rPr>
      </w:pPr>
      <w:r w:rsidRPr="007F0C4C">
        <w:rPr>
          <w:spacing w:val="-2"/>
          <w:rtl/>
          <w:lang w:val="fr-CH"/>
        </w:rPr>
        <w:t>41-</w:t>
      </w:r>
      <w:r w:rsidRPr="007F0C4C">
        <w:rPr>
          <w:spacing w:val="-2"/>
          <w:rtl/>
          <w:lang w:val="fr-CH"/>
        </w:rPr>
        <w:tab/>
        <w:t xml:space="preserve">ووفقاً لقرار الجمعية العامة 66/150، قدم رئيس اللجنة الفرعية، في </w:t>
      </w:r>
      <w:r w:rsidRPr="007F0C4C">
        <w:rPr>
          <w:spacing w:val="-2"/>
          <w:sz w:val="30"/>
          <w:rtl/>
          <w:lang w:val="fr-CH"/>
        </w:rPr>
        <w:t>تشرين الأول/</w:t>
      </w:r>
      <w:r w:rsidR="007F0C4C">
        <w:rPr>
          <w:rFonts w:hint="cs"/>
          <w:spacing w:val="-2"/>
          <w:sz w:val="30"/>
          <w:rtl/>
          <w:lang w:val="fr-CH"/>
        </w:rPr>
        <w:t xml:space="preserve"> </w:t>
      </w:r>
      <w:r w:rsidRPr="007F0C4C">
        <w:rPr>
          <w:spacing w:val="-2"/>
          <w:sz w:val="30"/>
          <w:rtl/>
          <w:lang w:val="fr-CH"/>
        </w:rPr>
        <w:t xml:space="preserve">أكتوبر </w:t>
      </w:r>
      <w:r w:rsidRPr="007F0C4C">
        <w:rPr>
          <w:spacing w:val="-2"/>
          <w:rtl/>
          <w:lang w:val="fr-CH"/>
        </w:rPr>
        <w:t>2012، التقرير السنوي الخامس للجنة الفرعية إلى الجمعية العامة في دورتها السابعة والستين. وأتاح هذا الحدث أيضاً فرصة لاجتماع رئيس اللجنة الفرعية مع رئيس لجنة مناهضة التعذيب و</w:t>
      </w:r>
      <w:r w:rsidRPr="007F0C4C">
        <w:rPr>
          <w:spacing w:val="-2"/>
          <w:rtl/>
          <w:lang/>
        </w:rPr>
        <w:t>المقرر الخاص المعني بمسألة التعذيب،</w:t>
      </w:r>
      <w:r w:rsidRPr="007F0C4C">
        <w:rPr>
          <w:spacing w:val="-2"/>
          <w:rtl/>
          <w:lang w:val="fr-CH"/>
        </w:rPr>
        <w:t xml:space="preserve"> </w:t>
      </w:r>
      <w:r w:rsidRPr="007F0C4C">
        <w:rPr>
          <w:rFonts w:hint="cs"/>
          <w:spacing w:val="-2"/>
          <w:rtl/>
          <w:lang w:val="fr-CH"/>
        </w:rPr>
        <w:t xml:space="preserve">اللذين </w:t>
      </w:r>
      <w:r w:rsidRPr="007F0C4C">
        <w:rPr>
          <w:spacing w:val="-2"/>
          <w:rtl/>
          <w:lang w:val="fr-CH"/>
        </w:rPr>
        <w:t>ألقيا أيضاً كلمة أمام الجمعية العامة.</w:t>
      </w:r>
    </w:p>
    <w:p w:rsidR="00631BFA" w:rsidRPr="0013373A" w:rsidRDefault="00631BFA" w:rsidP="007F0C4C">
      <w:pPr>
        <w:pStyle w:val="SingleTxtGA"/>
        <w:rPr>
          <w:rtl/>
          <w:lang w:val="fr-CH"/>
        </w:rPr>
      </w:pPr>
      <w:r w:rsidRPr="0013373A">
        <w:rPr>
          <w:rtl/>
          <w:lang w:val="fr-CH"/>
        </w:rPr>
        <w:t>42-</w:t>
      </w:r>
      <w:r w:rsidRPr="0013373A">
        <w:rPr>
          <w:rtl/>
          <w:lang w:val="fr-CH"/>
        </w:rPr>
        <w:tab/>
        <w:t>وواصلت اللجنة الفرعية مشاركتها النشيطة في الاجتماع السنوي لرؤساء هيئات معاهدات حقوق الإنسان التابعة للأمم المتحدة (</w:t>
      </w:r>
      <w:r>
        <w:rPr>
          <w:rtl/>
          <w:lang w:val="fr-CH"/>
        </w:rPr>
        <w:t xml:space="preserve">عُقد الاجتماع الرابع </w:t>
      </w:r>
      <w:r>
        <w:rPr>
          <w:rFonts w:hint="cs"/>
          <w:rtl/>
          <w:lang w:val="fr-CH"/>
        </w:rPr>
        <w:t xml:space="preserve">والعشرون </w:t>
      </w:r>
      <w:r w:rsidRPr="0013373A">
        <w:rPr>
          <w:rtl/>
          <w:lang w:val="fr-CH"/>
        </w:rPr>
        <w:t>في الفترة من</w:t>
      </w:r>
      <w:r>
        <w:rPr>
          <w:rFonts w:hint="cs"/>
          <w:rtl/>
          <w:lang w:val="fr-CH"/>
        </w:rPr>
        <w:t> </w:t>
      </w:r>
      <w:r w:rsidRPr="0013373A">
        <w:rPr>
          <w:rtl/>
          <w:lang w:val="fr-CH"/>
        </w:rPr>
        <w:t>25 إلى 29 حزيران/يونيه 2012 في أديس أبابا). وأي</w:t>
      </w:r>
      <w:r>
        <w:rPr>
          <w:rFonts w:hint="cs"/>
          <w:rtl/>
          <w:lang w:val="fr-CH"/>
        </w:rPr>
        <w:t>ّ</w:t>
      </w:r>
      <w:r w:rsidRPr="0013373A">
        <w:rPr>
          <w:rtl/>
          <w:lang w:val="fr-CH"/>
        </w:rPr>
        <w:t xml:space="preserve">دت اللجنة الفرعية </w:t>
      </w:r>
      <w:r w:rsidRPr="0013373A">
        <w:rPr>
          <w:rtl/>
          <w:lang/>
        </w:rPr>
        <w:t>الوثيقة الختامية لاجتماع دبلن الثاني في دورتها السابعة عشر</w:t>
      </w:r>
      <w:r>
        <w:rPr>
          <w:rFonts w:hint="cs"/>
          <w:rtl/>
          <w:lang/>
        </w:rPr>
        <w:t>ة</w:t>
      </w:r>
      <w:r w:rsidRPr="0013373A">
        <w:rPr>
          <w:rtl/>
          <w:lang/>
        </w:rPr>
        <w:t>، تلبية للدعوة التي وجهتها المفوضة السامية لحقوق الإنسان من أجل تعزيز نظام هيئات المعاهدات. و</w:t>
      </w:r>
      <w:r>
        <w:rPr>
          <w:rFonts w:hint="cs"/>
          <w:rtl/>
          <w:lang/>
        </w:rPr>
        <w:t>أقرت</w:t>
      </w:r>
      <w:r w:rsidRPr="0013373A">
        <w:rPr>
          <w:rtl/>
          <w:lang/>
        </w:rPr>
        <w:t xml:space="preserve"> اللجنة الفرعية، في دورتها الثامنة عشر</w:t>
      </w:r>
      <w:r>
        <w:rPr>
          <w:rFonts w:hint="cs"/>
          <w:rtl/>
          <w:lang/>
        </w:rPr>
        <w:t>ة</w:t>
      </w:r>
      <w:r w:rsidRPr="0013373A">
        <w:rPr>
          <w:rtl/>
          <w:lang/>
        </w:rPr>
        <w:t xml:space="preserve">، المبادئ التوجيهية المتعلقـة باستقلالية وحيادية أعضاء </w:t>
      </w:r>
      <w:r>
        <w:rPr>
          <w:rFonts w:hint="cs"/>
          <w:rtl/>
          <w:lang/>
        </w:rPr>
        <w:t>هيئات</w:t>
      </w:r>
      <w:r w:rsidRPr="0013373A">
        <w:rPr>
          <w:rtl/>
          <w:lang/>
        </w:rPr>
        <w:t xml:space="preserve"> معاهدات حقوق الإنسان (مبادئ أديس أبابا التوجيهية)</w:t>
      </w:r>
      <w:r>
        <w:rPr>
          <w:rtl/>
          <w:lang/>
        </w:rPr>
        <w:t xml:space="preserve"> وعدلت نظامها الداخلي لينسجم </w:t>
      </w:r>
      <w:r w:rsidRPr="0013373A">
        <w:rPr>
          <w:rtl/>
          <w:lang/>
        </w:rPr>
        <w:t xml:space="preserve">كامل </w:t>
      </w:r>
      <w:r>
        <w:rPr>
          <w:rFonts w:hint="cs"/>
          <w:rtl/>
          <w:lang/>
        </w:rPr>
        <w:t xml:space="preserve">الانسجام </w:t>
      </w:r>
      <w:r w:rsidRPr="0013373A">
        <w:rPr>
          <w:rtl/>
          <w:lang/>
        </w:rPr>
        <w:t>مع المبادئ التوجيهية</w:t>
      </w:r>
      <w:r w:rsidR="007F0C4C">
        <w:rPr>
          <w:rFonts w:hint="cs"/>
          <w:rtl/>
          <w:lang/>
        </w:rPr>
        <w:t>.</w:t>
      </w:r>
      <w:r w:rsidRPr="0013373A">
        <w:rPr>
          <w:rtl/>
          <w:lang/>
        </w:rPr>
        <w:t xml:space="preserve"> </w:t>
      </w:r>
      <w:r>
        <w:rPr>
          <w:rFonts w:hint="cs"/>
          <w:rtl/>
          <w:lang/>
        </w:rPr>
        <w:t>و</w:t>
      </w:r>
      <w:r w:rsidRPr="0013373A">
        <w:rPr>
          <w:rtl/>
          <w:lang/>
        </w:rPr>
        <w:t xml:space="preserve">اعتمدت </w:t>
      </w:r>
      <w:r>
        <w:rPr>
          <w:rFonts w:hint="cs"/>
          <w:rtl/>
          <w:lang/>
        </w:rPr>
        <w:t xml:space="preserve">أيضاً </w:t>
      </w:r>
      <w:r w:rsidRPr="0013373A">
        <w:rPr>
          <w:rtl/>
          <w:lang/>
        </w:rPr>
        <w:t>بياناً بشأن عملية تعزيز نظام هيئات المعاهدات (</w:t>
      </w:r>
      <w:r>
        <w:rPr>
          <w:rFonts w:hint="cs"/>
          <w:rtl/>
          <w:lang/>
        </w:rPr>
        <w:t>م</w:t>
      </w:r>
      <w:r w:rsidRPr="0013373A">
        <w:rPr>
          <w:rtl/>
          <w:lang/>
        </w:rPr>
        <w:t xml:space="preserve">تاح على الموقع الشبكي للجنة الفرعية). </w:t>
      </w:r>
      <w:r>
        <w:rPr>
          <w:rFonts w:hint="cs"/>
          <w:rtl/>
          <w:lang/>
        </w:rPr>
        <w:t>و</w:t>
      </w:r>
      <w:r w:rsidRPr="0013373A">
        <w:rPr>
          <w:rtl/>
          <w:lang/>
        </w:rPr>
        <w:t>علاوة على ذلك، شاركت اللجنة الفرعية أيضاً في العديد من الأنشطة الأخرى التي تضطلع بها المفوضية السامية لحقوق الإنسان</w:t>
      </w:r>
      <w:r>
        <w:rPr>
          <w:rFonts w:hint="cs"/>
          <w:rtl/>
          <w:lang/>
        </w:rPr>
        <w:t xml:space="preserve"> </w:t>
      </w:r>
      <w:r>
        <w:rPr>
          <w:rtl/>
          <w:lang/>
        </w:rPr>
        <w:t>(</w:t>
      </w:r>
      <w:r>
        <w:rPr>
          <w:rFonts w:hint="cs"/>
          <w:rtl/>
          <w:lang/>
        </w:rPr>
        <w:t>انظر أعلاه الفرع "هاء" من الفصل الثاني</w:t>
      </w:r>
      <w:r>
        <w:rPr>
          <w:rtl/>
          <w:lang/>
        </w:rPr>
        <w:t>)</w:t>
      </w:r>
      <w:r w:rsidRPr="0013373A">
        <w:rPr>
          <w:rtl/>
          <w:lang/>
        </w:rPr>
        <w:t>.</w:t>
      </w:r>
    </w:p>
    <w:p w:rsidR="00631BFA" w:rsidRPr="0013373A" w:rsidRDefault="00631BFA" w:rsidP="00631BFA">
      <w:pPr>
        <w:pStyle w:val="SingleTxtGA"/>
        <w:rPr>
          <w:rtl/>
          <w:lang/>
        </w:rPr>
      </w:pPr>
      <w:r w:rsidRPr="0013373A">
        <w:rPr>
          <w:rtl/>
          <w:lang w:val="fr-CH"/>
        </w:rPr>
        <w:t>43-</w:t>
      </w:r>
      <w:r w:rsidRPr="0013373A">
        <w:rPr>
          <w:rtl/>
          <w:lang w:val="fr-CH"/>
        </w:rPr>
        <w:tab/>
      </w:r>
      <w:r>
        <w:rPr>
          <w:rFonts w:hint="cs"/>
          <w:rtl/>
          <w:lang w:val="fr-CH"/>
        </w:rPr>
        <w:t xml:space="preserve">وواصلت </w:t>
      </w:r>
      <w:r w:rsidRPr="0013373A">
        <w:rPr>
          <w:rtl/>
          <w:lang w:val="fr-CH"/>
        </w:rPr>
        <w:t xml:space="preserve">اللجنة الفرعية </w:t>
      </w:r>
      <w:r>
        <w:rPr>
          <w:rFonts w:hint="cs"/>
          <w:rtl/>
          <w:lang w:val="fr-CH"/>
        </w:rPr>
        <w:t xml:space="preserve">تعاونها </w:t>
      </w:r>
      <w:r w:rsidRPr="0013373A">
        <w:rPr>
          <w:rtl/>
          <w:lang w:val="fr-CH"/>
        </w:rPr>
        <w:t>مع المقرر الخاص المعني بمسألة التعذيب وانضمت إليه، إلى جانب لجنة مناهضة التعذيب و</w:t>
      </w:r>
      <w:r w:rsidRPr="0013373A">
        <w:rPr>
          <w:rtl/>
          <w:lang/>
        </w:rPr>
        <w:t>مجلس أمناء صندوق الأمم المتحدة للتبرعات لضحايا التعذيب، لإصدار بيان بمناسبة يوم الأمم المتحدة الدولي لمساندة ضحايا التعذيب في 26 حزيران/يونيه 2012.</w:t>
      </w:r>
    </w:p>
    <w:p w:rsidR="00631BFA" w:rsidRPr="0013373A" w:rsidRDefault="00631BFA" w:rsidP="007F0C4C">
      <w:pPr>
        <w:pStyle w:val="SingleTxtGA"/>
        <w:rPr>
          <w:rFonts w:hint="cs"/>
          <w:rtl/>
          <w:lang w:val="fr-CH"/>
        </w:rPr>
      </w:pPr>
      <w:r w:rsidRPr="0013373A">
        <w:rPr>
          <w:sz w:val="30"/>
          <w:rtl/>
          <w:lang w:val="fr-CH"/>
        </w:rPr>
        <w:t>44-</w:t>
      </w:r>
      <w:r w:rsidRPr="0013373A">
        <w:rPr>
          <w:sz w:val="30"/>
          <w:rtl/>
          <w:lang w:val="fr-CH"/>
        </w:rPr>
        <w:tab/>
        <w:t>وواصلت اللجنة الفرعية تعاونها</w:t>
      </w:r>
      <w:r w:rsidRPr="0013373A">
        <w:rPr>
          <w:rtl/>
          <w:lang w:val="fr-CH"/>
        </w:rPr>
        <w:t xml:space="preserve"> مع مفوضية الأمم المتحدة لشؤون اللاجئين ومنظمة الصحة العالمية ومكتب الأمم المتحدة المعني بالمخدرات والجريمة</w:t>
      </w:r>
      <w:r w:rsidR="007F0C4C">
        <w:rPr>
          <w:rFonts w:hint="cs"/>
          <w:rtl/>
          <w:lang w:val="fr-CH"/>
        </w:rPr>
        <w:t>.</w:t>
      </w:r>
    </w:p>
    <w:p w:rsidR="00631BFA" w:rsidRPr="0013373A" w:rsidRDefault="00631BFA" w:rsidP="00631BFA">
      <w:pPr>
        <w:pStyle w:val="H23GA"/>
        <w:rPr>
          <w:rtl/>
          <w:lang w:val="fr-CH"/>
        </w:rPr>
      </w:pPr>
      <w:r w:rsidRPr="0013373A">
        <w:rPr>
          <w:rtl/>
          <w:lang w:val="fr-CH"/>
        </w:rPr>
        <w:tab/>
        <w:t>2-</w:t>
      </w:r>
      <w:r w:rsidRPr="0013373A">
        <w:rPr>
          <w:rtl/>
          <w:lang w:val="fr-CH"/>
        </w:rPr>
        <w:tab/>
        <w:t>التعاون مع المنظمات الدولية الأخرى ذات الصلة</w:t>
      </w:r>
    </w:p>
    <w:p w:rsidR="00631BFA" w:rsidRPr="0013373A" w:rsidRDefault="00631BFA" w:rsidP="00631BFA">
      <w:pPr>
        <w:pStyle w:val="SingleTxtGA"/>
        <w:rPr>
          <w:rtl/>
          <w:lang w:val="fr-CH"/>
        </w:rPr>
      </w:pPr>
      <w:r w:rsidRPr="0013373A">
        <w:rPr>
          <w:rtl/>
          <w:lang w:val="fr-CH"/>
        </w:rPr>
        <w:t>45-</w:t>
      </w:r>
      <w:r w:rsidRPr="0013373A">
        <w:rPr>
          <w:rtl/>
          <w:lang w:val="fr-CH"/>
        </w:rPr>
        <w:tab/>
        <w:t>استمرت اللجنة الفرعية في التعاون مع اللجنة الدولية للصليب الأحمر، لا</w:t>
      </w:r>
      <w:r>
        <w:rPr>
          <w:rFonts w:hint="cs"/>
          <w:rtl/>
          <w:lang w:val="fr-CH"/>
        </w:rPr>
        <w:t xml:space="preserve"> </w:t>
      </w:r>
      <w:r w:rsidRPr="0013373A">
        <w:rPr>
          <w:rtl/>
          <w:lang w:val="fr-CH"/>
        </w:rPr>
        <w:t>سيما في سياق زياراتها الميدانية.</w:t>
      </w:r>
    </w:p>
    <w:p w:rsidR="00631BFA" w:rsidRPr="007F0C4C" w:rsidRDefault="00631BFA" w:rsidP="00631BFA">
      <w:pPr>
        <w:pStyle w:val="SingleTxtGA"/>
        <w:rPr>
          <w:spacing w:val="-2"/>
          <w:rtl/>
          <w:lang w:val="fr-CH"/>
        </w:rPr>
      </w:pPr>
      <w:r w:rsidRPr="007F0C4C">
        <w:rPr>
          <w:spacing w:val="-2"/>
          <w:rtl/>
          <w:lang w:val="fr-CH"/>
        </w:rPr>
        <w:t>46-</w:t>
      </w:r>
      <w:r w:rsidRPr="007F0C4C">
        <w:rPr>
          <w:spacing w:val="-2"/>
          <w:rtl/>
          <w:lang w:val="fr-CH"/>
        </w:rPr>
        <w:tab/>
        <w:t xml:space="preserve">وتُعرب اللجنة الفرعية عن سعادتها </w:t>
      </w:r>
      <w:r w:rsidRPr="007F0C4C">
        <w:rPr>
          <w:rFonts w:hint="cs"/>
          <w:spacing w:val="-2"/>
          <w:rtl/>
          <w:lang w:val="fr-CH"/>
        </w:rPr>
        <w:t>ب</w:t>
      </w:r>
      <w:r w:rsidRPr="007F0C4C">
        <w:rPr>
          <w:spacing w:val="-2"/>
          <w:rtl/>
          <w:lang w:val="fr-CH"/>
        </w:rPr>
        <w:t>بد</w:t>
      </w:r>
      <w:r w:rsidRPr="007F0C4C">
        <w:rPr>
          <w:rFonts w:hint="cs"/>
          <w:spacing w:val="-2"/>
          <w:rtl/>
          <w:lang w:val="fr-CH"/>
        </w:rPr>
        <w:t>ء</w:t>
      </w:r>
      <w:r w:rsidRPr="007F0C4C">
        <w:rPr>
          <w:spacing w:val="-2"/>
          <w:rtl/>
          <w:lang/>
        </w:rPr>
        <w:t xml:space="preserve"> عملية التعاون مع المنظمة الدولية للفر</w:t>
      </w:r>
      <w:r w:rsidRPr="007F0C4C">
        <w:rPr>
          <w:rFonts w:hint="cs"/>
          <w:spacing w:val="-2"/>
          <w:rtl/>
          <w:lang/>
        </w:rPr>
        <w:t>ا</w:t>
      </w:r>
      <w:r w:rsidRPr="007F0C4C">
        <w:rPr>
          <w:spacing w:val="-2"/>
          <w:rtl/>
          <w:lang/>
        </w:rPr>
        <w:t>نكفونية</w:t>
      </w:r>
      <w:r w:rsidRPr="007F0C4C">
        <w:rPr>
          <w:spacing w:val="-2"/>
          <w:rtl/>
          <w:lang w:val="fr-CH"/>
        </w:rPr>
        <w:t xml:space="preserve">، </w:t>
      </w:r>
      <w:r w:rsidRPr="007F0C4C">
        <w:rPr>
          <w:spacing w:val="-2"/>
          <w:rtl/>
          <w:lang/>
        </w:rPr>
        <w:t xml:space="preserve">خلال الفترة المشمولة بالتقرير، </w:t>
      </w:r>
      <w:r w:rsidRPr="007F0C4C">
        <w:rPr>
          <w:rFonts w:hint="cs"/>
          <w:spacing w:val="-2"/>
          <w:rtl/>
          <w:lang/>
        </w:rPr>
        <w:t xml:space="preserve">عن طريق </w:t>
      </w:r>
      <w:r w:rsidRPr="007F0C4C">
        <w:rPr>
          <w:spacing w:val="-2"/>
          <w:rtl/>
          <w:lang/>
        </w:rPr>
        <w:t>الاجتماع بها أثناء الجلسة العامة في الدورة السادسة عشر</w:t>
      </w:r>
      <w:r w:rsidRPr="007F0C4C">
        <w:rPr>
          <w:rFonts w:hint="cs"/>
          <w:spacing w:val="-2"/>
          <w:rtl/>
          <w:lang/>
        </w:rPr>
        <w:t>ة</w:t>
      </w:r>
      <w:r w:rsidRPr="007F0C4C">
        <w:rPr>
          <w:spacing w:val="-2"/>
          <w:rtl/>
          <w:lang/>
        </w:rPr>
        <w:t>. وتض</w:t>
      </w:r>
      <w:r w:rsidRPr="007F0C4C">
        <w:rPr>
          <w:rFonts w:hint="cs"/>
          <w:spacing w:val="-2"/>
          <w:rtl/>
          <w:lang/>
        </w:rPr>
        <w:t>ُ</w:t>
      </w:r>
      <w:r w:rsidRPr="007F0C4C">
        <w:rPr>
          <w:spacing w:val="-2"/>
          <w:rtl/>
          <w:lang/>
        </w:rPr>
        <w:t>م المنظمة الدولية للفر</w:t>
      </w:r>
      <w:r w:rsidRPr="007F0C4C">
        <w:rPr>
          <w:rFonts w:hint="cs"/>
          <w:spacing w:val="-2"/>
          <w:rtl/>
          <w:lang/>
        </w:rPr>
        <w:t>ا</w:t>
      </w:r>
      <w:r w:rsidRPr="007F0C4C">
        <w:rPr>
          <w:spacing w:val="-2"/>
          <w:rtl/>
          <w:lang/>
        </w:rPr>
        <w:t xml:space="preserve">نكفونية 33 من الدول الأطراف و11 من الموقعين على البروتوكول الاختياري، وهو ما يُشكل قاعدة صلبة للتعاون </w:t>
      </w:r>
      <w:r w:rsidRPr="007F0C4C">
        <w:rPr>
          <w:rFonts w:hint="cs"/>
          <w:spacing w:val="-2"/>
          <w:rtl/>
          <w:lang/>
        </w:rPr>
        <w:t>في إطار</w:t>
      </w:r>
      <w:r w:rsidRPr="007F0C4C">
        <w:rPr>
          <w:spacing w:val="-2"/>
          <w:rtl/>
          <w:lang/>
        </w:rPr>
        <w:t xml:space="preserve"> </w:t>
      </w:r>
      <w:r w:rsidRPr="007F0C4C">
        <w:rPr>
          <w:rFonts w:hint="cs"/>
          <w:spacing w:val="-2"/>
          <w:rtl/>
          <w:lang/>
        </w:rPr>
        <w:t>ركن العمل الرئيسي</w:t>
      </w:r>
      <w:r w:rsidRPr="007F0C4C">
        <w:rPr>
          <w:spacing w:val="-2"/>
          <w:rtl/>
          <w:lang/>
        </w:rPr>
        <w:t xml:space="preserve"> لأنشطة اللجنة الفرعية. وفي عام 2012، شارك </w:t>
      </w:r>
      <w:r w:rsidRPr="007F0C4C">
        <w:rPr>
          <w:rFonts w:hint="cs"/>
          <w:spacing w:val="-2"/>
          <w:rtl/>
          <w:lang/>
        </w:rPr>
        <w:t xml:space="preserve">أحد </w:t>
      </w:r>
      <w:r w:rsidRPr="007F0C4C">
        <w:rPr>
          <w:spacing w:val="-2"/>
          <w:rtl/>
          <w:lang/>
        </w:rPr>
        <w:t>أعضاء اللجنة الفرعية في ا</w:t>
      </w:r>
      <w:r w:rsidRPr="007F0C4C">
        <w:rPr>
          <w:rFonts w:hint="cs"/>
          <w:spacing w:val="-2"/>
          <w:rtl/>
          <w:lang/>
        </w:rPr>
        <w:t>ختيار</w:t>
      </w:r>
      <w:r w:rsidRPr="007F0C4C">
        <w:rPr>
          <w:spacing w:val="-2"/>
          <w:rtl/>
          <w:lang/>
        </w:rPr>
        <w:t xml:space="preserve"> المشاريع التي تستهدف مكافحة التعذيب ومنعه و</w:t>
      </w:r>
      <w:r w:rsidRPr="007F0C4C">
        <w:rPr>
          <w:rFonts w:hint="cs"/>
          <w:spacing w:val="-2"/>
          <w:rtl/>
          <w:lang/>
        </w:rPr>
        <w:t xml:space="preserve">التي </w:t>
      </w:r>
      <w:r w:rsidRPr="007F0C4C">
        <w:rPr>
          <w:spacing w:val="-2"/>
          <w:rtl/>
          <w:lang/>
        </w:rPr>
        <w:t>ست</w:t>
      </w:r>
      <w:r w:rsidRPr="007F0C4C">
        <w:rPr>
          <w:rFonts w:hint="cs"/>
          <w:spacing w:val="-2"/>
          <w:rtl/>
          <w:lang/>
        </w:rPr>
        <w:t>ُ</w:t>
      </w:r>
      <w:r w:rsidRPr="007F0C4C">
        <w:rPr>
          <w:spacing w:val="-2"/>
          <w:rtl/>
          <w:lang/>
        </w:rPr>
        <w:t>مولها المنظمة الدولية للفر</w:t>
      </w:r>
      <w:r w:rsidRPr="007F0C4C">
        <w:rPr>
          <w:rFonts w:hint="cs"/>
          <w:spacing w:val="-2"/>
          <w:rtl/>
          <w:lang/>
        </w:rPr>
        <w:t>ا</w:t>
      </w:r>
      <w:r w:rsidRPr="007F0C4C">
        <w:rPr>
          <w:spacing w:val="-2"/>
          <w:rtl/>
          <w:lang/>
        </w:rPr>
        <w:t>نكفونية.</w:t>
      </w:r>
    </w:p>
    <w:p w:rsidR="00631BFA" w:rsidRPr="0013373A" w:rsidRDefault="00631BFA" w:rsidP="007F0C4C">
      <w:pPr>
        <w:pStyle w:val="H1GA"/>
        <w:rPr>
          <w:rtl/>
          <w:lang w:val="fr-CH"/>
        </w:rPr>
      </w:pPr>
      <w:r>
        <w:rPr>
          <w:rtl/>
          <w:lang w:val="fr-CH"/>
        </w:rPr>
        <w:tab/>
        <w:t>باء</w:t>
      </w:r>
      <w:r w:rsidRPr="0013373A">
        <w:rPr>
          <w:rtl/>
          <w:lang w:val="fr-CH"/>
        </w:rPr>
        <w:t>-</w:t>
      </w:r>
      <w:r w:rsidRPr="0013373A">
        <w:rPr>
          <w:rtl/>
          <w:lang w:val="fr-CH"/>
        </w:rPr>
        <w:tab/>
        <w:t>التعاون الإقليمي</w:t>
      </w:r>
    </w:p>
    <w:p w:rsidR="00631BFA" w:rsidRPr="0013373A" w:rsidRDefault="00631BFA" w:rsidP="00631BFA">
      <w:pPr>
        <w:pStyle w:val="SingleTxtGA"/>
        <w:spacing w:line="370" w:lineRule="exact"/>
        <w:rPr>
          <w:rtl/>
          <w:lang w:val="fr-CH"/>
        </w:rPr>
      </w:pPr>
      <w:r w:rsidRPr="0013373A">
        <w:rPr>
          <w:rtl/>
          <w:lang w:val="fr-CH"/>
        </w:rPr>
        <w:t>47-</w:t>
      </w:r>
      <w:r w:rsidRPr="0013373A">
        <w:rPr>
          <w:rtl/>
          <w:lang w:val="fr-CH"/>
        </w:rPr>
        <w:tab/>
        <w:t xml:space="preserve">واصلت اللجنة الفرعية، من خلال جهات </w:t>
      </w:r>
      <w:r>
        <w:rPr>
          <w:rFonts w:hint="cs"/>
          <w:rtl/>
          <w:lang w:val="fr-CH"/>
        </w:rPr>
        <w:t>ال</w:t>
      </w:r>
      <w:r w:rsidRPr="0013373A">
        <w:rPr>
          <w:rtl/>
          <w:lang w:val="fr-CH"/>
        </w:rPr>
        <w:t>وص</w:t>
      </w:r>
      <w:r>
        <w:rPr>
          <w:rFonts w:hint="cs"/>
          <w:rtl/>
          <w:lang w:val="fr-CH"/>
        </w:rPr>
        <w:t>ل التابعة لها</w:t>
      </w:r>
      <w:r w:rsidRPr="0013373A">
        <w:rPr>
          <w:rtl/>
          <w:lang w:val="fr-CH"/>
        </w:rPr>
        <w:t xml:space="preserve"> </w:t>
      </w:r>
      <w:r>
        <w:rPr>
          <w:rFonts w:hint="cs"/>
          <w:rtl/>
          <w:lang w:val="fr-CH"/>
        </w:rPr>
        <w:t>ال</w:t>
      </w:r>
      <w:r w:rsidRPr="0013373A">
        <w:rPr>
          <w:rtl/>
          <w:lang w:val="fr-CH"/>
        </w:rPr>
        <w:t xml:space="preserve">مسؤولة عن الاتصال والتنسيق مع الهيئات الإقليمية، تعاونها مع الشركاء الآخرين ذوي الصلة في مجال منع التعذيب، من قبيل اللجنة الأفريقية لحقوق الإنسان والشعوب، ولجنة البلدان الأمريكية لحقوق الإنسان، ومجلس أوروبا، واللجنة الأوروبية لمنع التعذيب والمعاملة أو العقوبة القاسية أو اللاإنسانية </w:t>
      </w:r>
      <w:r>
        <w:rPr>
          <w:rFonts w:hint="cs"/>
          <w:rtl/>
          <w:lang w:val="fr-CH"/>
        </w:rPr>
        <w:t xml:space="preserve">أو </w:t>
      </w:r>
      <w:r w:rsidRPr="0013373A">
        <w:rPr>
          <w:rtl/>
          <w:lang w:val="fr-CH"/>
        </w:rPr>
        <w:t xml:space="preserve">المهينة، </w:t>
      </w:r>
      <w:r>
        <w:rPr>
          <w:rFonts w:hint="cs"/>
          <w:rtl/>
          <w:lang w:val="fr-CH"/>
        </w:rPr>
        <w:t xml:space="preserve">والمفوضية </w:t>
      </w:r>
      <w:r w:rsidRPr="0013373A">
        <w:rPr>
          <w:rtl/>
          <w:lang w:val="fr-CH"/>
        </w:rPr>
        <w:t>الأوروبية، ومكتب المؤسسات الديمقراطية وحقوق الإنسان التابع لمنظمة الأمن والتعاون في أوروبا.</w:t>
      </w:r>
    </w:p>
    <w:p w:rsidR="00631BFA" w:rsidRPr="0013373A" w:rsidRDefault="00631BFA" w:rsidP="007F0C4C">
      <w:pPr>
        <w:pStyle w:val="H1GA"/>
        <w:rPr>
          <w:rtl/>
          <w:lang w:val="fr-CH"/>
        </w:rPr>
      </w:pPr>
      <w:r>
        <w:rPr>
          <w:rtl/>
          <w:lang w:val="fr-CH"/>
        </w:rPr>
        <w:tab/>
        <w:t>جيم</w:t>
      </w:r>
      <w:r w:rsidRPr="0013373A">
        <w:rPr>
          <w:rtl/>
          <w:lang w:val="fr-CH"/>
        </w:rPr>
        <w:t>-</w:t>
      </w:r>
      <w:r w:rsidRPr="0013373A">
        <w:rPr>
          <w:rtl/>
          <w:lang w:val="fr-CH"/>
        </w:rPr>
        <w:tab/>
        <w:t>المجتمع المدني</w:t>
      </w:r>
    </w:p>
    <w:p w:rsidR="00631BFA" w:rsidRDefault="00631BFA" w:rsidP="00631BFA">
      <w:pPr>
        <w:pStyle w:val="SingleTxtGA"/>
        <w:spacing w:line="370" w:lineRule="exact"/>
        <w:rPr>
          <w:rFonts w:hint="cs"/>
          <w:rtl/>
          <w:lang w:val="fr-CH"/>
        </w:rPr>
      </w:pPr>
      <w:r w:rsidRPr="0013373A">
        <w:rPr>
          <w:rtl/>
          <w:lang w:val="fr-CH"/>
        </w:rPr>
        <w:t>48-</w:t>
      </w:r>
      <w:r w:rsidRPr="0013373A">
        <w:rPr>
          <w:rtl/>
          <w:lang w:val="fr-CH"/>
        </w:rPr>
        <w:tab/>
        <w:t>واصلت اللجنة الفرعية الاستفادة من الدعم الأساسي المقدم من الجهات الفاعلة في المجتمع المدني، ولا</w:t>
      </w:r>
      <w:r>
        <w:rPr>
          <w:rFonts w:hint="cs"/>
          <w:rtl/>
          <w:lang w:val="fr-CH"/>
        </w:rPr>
        <w:t xml:space="preserve"> </w:t>
      </w:r>
      <w:r w:rsidRPr="0013373A">
        <w:rPr>
          <w:rtl/>
          <w:lang w:val="fr-CH"/>
        </w:rPr>
        <w:t>سيما فريق الاتصال المعني بالبروتوكول الاختياري</w:t>
      </w:r>
      <w:r w:rsidRPr="0013373A">
        <w:rPr>
          <w:vertAlign w:val="superscript"/>
          <w:rtl/>
        </w:rPr>
        <w:t>(</w:t>
      </w:r>
      <w:r w:rsidRPr="0013373A">
        <w:rPr>
          <w:rStyle w:val="FootnoteReference"/>
          <w:rFonts w:ascii="Traditional Arabic" w:hAnsi="Traditional Arabic"/>
          <w:rtl/>
        </w:rPr>
        <w:footnoteReference w:id="28"/>
      </w:r>
      <w:r w:rsidRPr="0013373A">
        <w:rPr>
          <w:vertAlign w:val="superscript"/>
          <w:rtl/>
        </w:rPr>
        <w:t>)</w:t>
      </w:r>
      <w:r w:rsidRPr="0013373A">
        <w:rPr>
          <w:rtl/>
          <w:lang w:val="fr-CH"/>
        </w:rPr>
        <w:t xml:space="preserve"> (الذي شارك في كل دورة من </w:t>
      </w:r>
      <w:r>
        <w:rPr>
          <w:rFonts w:hint="cs"/>
          <w:rtl/>
          <w:lang w:val="fr-CH"/>
        </w:rPr>
        <w:t>ال</w:t>
      </w:r>
      <w:r w:rsidRPr="0013373A">
        <w:rPr>
          <w:rtl/>
          <w:lang w:val="fr-CH"/>
        </w:rPr>
        <w:t>دورات</w:t>
      </w:r>
      <w:r>
        <w:rPr>
          <w:rFonts w:hint="cs"/>
          <w:rtl/>
          <w:lang w:val="fr-CH"/>
        </w:rPr>
        <w:t xml:space="preserve"> التي عقدتها</w:t>
      </w:r>
      <w:r w:rsidRPr="0013373A">
        <w:rPr>
          <w:rtl/>
          <w:lang w:val="fr-CH"/>
        </w:rPr>
        <w:t xml:space="preserve"> اللجنة الفرعية</w:t>
      </w:r>
      <w:r>
        <w:rPr>
          <w:rFonts w:hint="cs"/>
          <w:rtl/>
          <w:lang w:val="fr-CH"/>
        </w:rPr>
        <w:t xml:space="preserve"> خلال الفترة المشمولة بالتقرير</w:t>
      </w:r>
      <w:r w:rsidRPr="0013373A">
        <w:rPr>
          <w:sz w:val="30"/>
          <w:rtl/>
          <w:lang w:val="fr-CH"/>
        </w:rPr>
        <w:t>) والمؤسسات الأكاديمية (</w:t>
      </w:r>
      <w:r>
        <w:rPr>
          <w:rFonts w:hint="cs"/>
          <w:rtl/>
          <w:lang/>
        </w:rPr>
        <w:t xml:space="preserve">بما في ذلك </w:t>
      </w:r>
      <w:r w:rsidRPr="0013373A">
        <w:rPr>
          <w:rtl/>
          <w:lang/>
        </w:rPr>
        <w:t>مركز إعمال حقوق الإنسان</w:t>
      </w:r>
      <w:r w:rsidRPr="0013373A">
        <w:rPr>
          <w:sz w:val="30"/>
          <w:rtl/>
          <w:lang w:val="fr-CH"/>
        </w:rPr>
        <w:t xml:space="preserve"> و</w:t>
      </w:r>
      <w:r w:rsidRPr="0013373A">
        <w:rPr>
          <w:rtl/>
          <w:lang/>
        </w:rPr>
        <w:t>معهد لودفي</w:t>
      </w:r>
      <w:r>
        <w:rPr>
          <w:rFonts w:hint="cs"/>
          <w:rtl/>
          <w:lang/>
        </w:rPr>
        <w:t>غ</w:t>
      </w:r>
      <w:r w:rsidRPr="0013373A">
        <w:rPr>
          <w:rtl/>
          <w:lang/>
        </w:rPr>
        <w:t xml:space="preserve"> بولدزمان</w:t>
      </w:r>
      <w:r w:rsidRPr="0013373A">
        <w:rPr>
          <w:sz w:val="30"/>
          <w:rtl/>
          <w:lang w:val="fr-CH"/>
        </w:rPr>
        <w:t xml:space="preserve">). وتود </w:t>
      </w:r>
      <w:r>
        <w:rPr>
          <w:rFonts w:hint="cs"/>
          <w:sz w:val="30"/>
          <w:rtl/>
          <w:lang w:val="fr-CH"/>
        </w:rPr>
        <w:t xml:space="preserve">اللجنة الفرعية </w:t>
      </w:r>
      <w:r w:rsidRPr="0013373A">
        <w:rPr>
          <w:sz w:val="30"/>
          <w:rtl/>
          <w:lang w:val="fr-CH"/>
        </w:rPr>
        <w:t xml:space="preserve">أن تغتنم هذه الفرصة </w:t>
      </w:r>
      <w:r>
        <w:rPr>
          <w:rFonts w:hint="cs"/>
          <w:sz w:val="30"/>
          <w:rtl/>
          <w:lang w:val="fr-CH"/>
        </w:rPr>
        <w:t>لتعرب عن شكرها ل</w:t>
      </w:r>
      <w:r w:rsidRPr="0013373A">
        <w:rPr>
          <w:sz w:val="30"/>
          <w:rtl/>
          <w:lang w:val="fr-CH"/>
        </w:rPr>
        <w:t>لجهات الفاعلة في المجتمع المدني على سعيها إلى الترويج للبروتوكول الاختياري ودعم اللجنة الفرعية في الاضطلاع بأنشطتها. وتود أن تخص بالشكر والعرفان رابطة منع التعذيب لما قدمته من دعم، لا</w:t>
      </w:r>
      <w:r>
        <w:rPr>
          <w:rFonts w:hint="cs"/>
          <w:sz w:val="30"/>
          <w:rtl/>
          <w:lang w:val="fr-CH"/>
        </w:rPr>
        <w:t xml:space="preserve"> </w:t>
      </w:r>
      <w:r w:rsidRPr="0013373A">
        <w:rPr>
          <w:sz w:val="30"/>
          <w:rtl/>
          <w:lang w:val="fr-CH"/>
        </w:rPr>
        <w:t>سيما المساعدة التي قدمتها من أجل تنظيم ال</w:t>
      </w:r>
      <w:r w:rsidRPr="0013373A">
        <w:rPr>
          <w:rtl/>
          <w:lang/>
        </w:rPr>
        <w:t>حلقة التدريبية في الدورة السابعة عشر</w:t>
      </w:r>
      <w:r>
        <w:rPr>
          <w:rFonts w:hint="cs"/>
          <w:rtl/>
          <w:lang/>
        </w:rPr>
        <w:t>ة</w:t>
      </w:r>
      <w:r w:rsidRPr="0013373A">
        <w:rPr>
          <w:rtl/>
          <w:lang/>
        </w:rPr>
        <w:t xml:space="preserve"> للجنة الفرعية.</w:t>
      </w:r>
    </w:p>
    <w:p w:rsidR="00631BFA" w:rsidRPr="00E105A3" w:rsidRDefault="00631BFA" w:rsidP="007F0C4C">
      <w:pPr>
        <w:pStyle w:val="HChGA"/>
        <w:rPr>
          <w:rFonts w:hint="cs"/>
          <w:rtl/>
          <w:lang w:val="fr-CH"/>
        </w:rPr>
      </w:pPr>
      <w:r w:rsidRPr="00E105A3">
        <w:rPr>
          <w:rFonts w:hint="cs"/>
          <w:rtl/>
          <w:lang w:val="fr-CH"/>
        </w:rPr>
        <w:tab/>
      </w:r>
      <w:bookmarkStart w:id="10" w:name="_Toc322593351"/>
      <w:r w:rsidRPr="00E105A3">
        <w:rPr>
          <w:rFonts w:hint="cs"/>
          <w:rtl/>
          <w:lang w:val="fr-CH"/>
        </w:rPr>
        <w:t>رابعاً-</w:t>
      </w:r>
      <w:r w:rsidRPr="00E105A3">
        <w:rPr>
          <w:rFonts w:hint="cs"/>
          <w:rtl/>
          <w:lang w:val="fr-CH"/>
        </w:rPr>
        <w:tab/>
        <w:t xml:space="preserve">المسائل الجديرة بالذِكر الناشئة عن الأعمال التي اضطلعت بها اللجنة الفرعية خلال الفترة </w:t>
      </w:r>
      <w:r>
        <w:rPr>
          <w:rFonts w:hint="cs"/>
          <w:rtl/>
          <w:lang w:val="fr-CH"/>
        </w:rPr>
        <w:t>موضوع</w:t>
      </w:r>
      <w:r w:rsidRPr="00E105A3">
        <w:rPr>
          <w:rFonts w:hint="cs"/>
          <w:rtl/>
          <w:lang w:val="fr-CH"/>
        </w:rPr>
        <w:t xml:space="preserve"> الاستعراض</w:t>
      </w:r>
      <w:bookmarkEnd w:id="10"/>
    </w:p>
    <w:p w:rsidR="00631BFA" w:rsidRPr="00E105A3" w:rsidRDefault="00631BFA" w:rsidP="007F0C4C">
      <w:pPr>
        <w:pStyle w:val="H1GA"/>
        <w:rPr>
          <w:rFonts w:hint="cs"/>
          <w:rtl/>
          <w:lang w:val="fr-CH"/>
        </w:rPr>
      </w:pPr>
      <w:r w:rsidRPr="00E105A3">
        <w:rPr>
          <w:rFonts w:hint="cs"/>
          <w:rtl/>
          <w:lang w:val="fr-CH"/>
        </w:rPr>
        <w:tab/>
      </w:r>
      <w:bookmarkStart w:id="11" w:name="_Toc322593352"/>
      <w:r w:rsidRPr="00E105A3">
        <w:rPr>
          <w:rFonts w:hint="cs"/>
          <w:rtl/>
          <w:lang w:val="fr-CH"/>
        </w:rPr>
        <w:t>ألف-</w:t>
      </w:r>
      <w:r w:rsidRPr="00E105A3">
        <w:rPr>
          <w:rFonts w:hint="cs"/>
          <w:rtl/>
          <w:lang w:val="fr-CH"/>
        </w:rPr>
        <w:tab/>
        <w:t>تطوير ممارسات عمل اللجنة الفرعية</w:t>
      </w:r>
      <w:bookmarkEnd w:id="11"/>
    </w:p>
    <w:p w:rsidR="00631BFA" w:rsidRDefault="007F0C4C" w:rsidP="007F0C4C">
      <w:pPr>
        <w:pStyle w:val="H23GA"/>
        <w:rPr>
          <w:rFonts w:hint="cs"/>
          <w:rtl/>
          <w:lang w:val="fr-CH"/>
        </w:rPr>
      </w:pPr>
      <w:r>
        <w:rPr>
          <w:rFonts w:hint="cs"/>
          <w:rtl/>
          <w:lang w:val="fr-CH"/>
        </w:rPr>
        <w:tab/>
      </w:r>
      <w:r w:rsidR="00631BFA">
        <w:rPr>
          <w:rFonts w:hint="cs"/>
          <w:rtl/>
          <w:lang w:val="fr-CH"/>
        </w:rPr>
        <w:t>1-</w:t>
      </w:r>
      <w:r w:rsidR="00631BFA">
        <w:rPr>
          <w:rFonts w:hint="cs"/>
          <w:rtl/>
          <w:lang w:val="fr-CH"/>
        </w:rPr>
        <w:tab/>
        <w:t>برنامج الزيارات</w:t>
      </w:r>
    </w:p>
    <w:p w:rsidR="00631BFA" w:rsidRDefault="00631BFA" w:rsidP="00631BFA">
      <w:pPr>
        <w:pStyle w:val="SingleTxtGA"/>
        <w:spacing w:line="370" w:lineRule="exact"/>
        <w:rPr>
          <w:rFonts w:hint="cs"/>
          <w:rtl/>
          <w:lang w:val="fr-CH"/>
        </w:rPr>
      </w:pPr>
      <w:r>
        <w:rPr>
          <w:rFonts w:hint="cs"/>
          <w:rtl/>
          <w:lang w:val="fr-CH"/>
        </w:rPr>
        <w:t>49-</w:t>
      </w:r>
      <w:r>
        <w:rPr>
          <w:rFonts w:hint="cs"/>
          <w:rtl/>
          <w:lang w:val="fr-CH"/>
        </w:rPr>
        <w:tab/>
        <w:t>حتى تاريخ هذا التقرير، اتخذت غالبية زيارات اللجنة الفرعية، وفقاً لولايتها بموجب المادة 11(أ) من البروتوكول الاختياري، شكل "زيارات منتظمة" إلى الدول الأطراف، إضافة إلى الاضطلاع بزيارة متابعة</w:t>
      </w:r>
      <w:r>
        <w:rPr>
          <w:vertAlign w:val="superscript"/>
          <w:rtl/>
          <w:lang w:val="fr-CH"/>
        </w:rPr>
        <w:t>(</w:t>
      </w:r>
      <w:r>
        <w:rPr>
          <w:rStyle w:val="FootnoteReference"/>
          <w:rtl/>
          <w:lang w:val="fr-CH"/>
        </w:rPr>
        <w:footnoteReference w:id="29"/>
      </w:r>
      <w:r>
        <w:rPr>
          <w:vertAlign w:val="superscript"/>
          <w:rtl/>
          <w:lang w:val="fr-CH"/>
        </w:rPr>
        <w:t>)</w:t>
      </w:r>
      <w:r>
        <w:rPr>
          <w:rFonts w:hint="cs"/>
          <w:rtl/>
          <w:lang w:val="fr-CH"/>
        </w:rPr>
        <w:t>. وهذه الزيارات جزء هام من ولاية اللجنة الفرعية لكنها لا</w:t>
      </w:r>
      <w:r>
        <w:rPr>
          <w:rFonts w:hint="eastAsia"/>
          <w:rtl/>
          <w:lang w:val="fr-CH"/>
        </w:rPr>
        <w:t> </w:t>
      </w:r>
      <w:r>
        <w:rPr>
          <w:rFonts w:hint="cs"/>
          <w:rtl/>
          <w:lang w:val="fr-CH"/>
        </w:rPr>
        <w:t>تتيح بالضرورة فرصاً ملائمة للجنة الفرعية كي تفي بولايتها بموجب المادة 11(ب) فيما</w:t>
      </w:r>
      <w:r>
        <w:rPr>
          <w:rFonts w:hint="eastAsia"/>
          <w:rtl/>
          <w:lang w:val="fr-CH"/>
        </w:rPr>
        <w:t> </w:t>
      </w:r>
      <w:r>
        <w:rPr>
          <w:rFonts w:hint="cs"/>
          <w:rtl/>
          <w:lang w:val="fr-CH"/>
        </w:rPr>
        <w:t>يتعلَّق بالآليات الوقائية الوطنية.</w:t>
      </w:r>
    </w:p>
    <w:p w:rsidR="00631BFA" w:rsidRPr="008409FB" w:rsidRDefault="00631BFA" w:rsidP="00631BFA">
      <w:pPr>
        <w:pStyle w:val="SingleTxtGA"/>
        <w:rPr>
          <w:rFonts w:hint="cs"/>
          <w:spacing w:val="-2"/>
          <w:rtl/>
          <w:lang w:val="fr-CH"/>
        </w:rPr>
      </w:pPr>
      <w:r w:rsidRPr="008409FB">
        <w:rPr>
          <w:rFonts w:hint="cs"/>
          <w:spacing w:val="-2"/>
          <w:rtl/>
          <w:lang w:val="fr-CH"/>
        </w:rPr>
        <w:t>50-</w:t>
      </w:r>
      <w:r w:rsidRPr="008409FB">
        <w:rPr>
          <w:rFonts w:hint="cs"/>
          <w:spacing w:val="-2"/>
          <w:rtl/>
          <w:lang w:val="fr-CH"/>
        </w:rPr>
        <w:tab/>
        <w:t>ولسدِّ هذه الثغرة</w:t>
      </w:r>
      <w:r w:rsidRPr="008409FB">
        <w:rPr>
          <w:spacing w:val="-2"/>
          <w:vertAlign w:val="superscript"/>
          <w:rtl/>
          <w:lang w:val="fr-CH"/>
        </w:rPr>
        <w:t>(</w:t>
      </w:r>
      <w:r w:rsidRPr="008409FB">
        <w:rPr>
          <w:rStyle w:val="FootnoteReference"/>
          <w:spacing w:val="-2"/>
          <w:rtl/>
          <w:lang w:val="fr-CH"/>
        </w:rPr>
        <w:footnoteReference w:id="30"/>
      </w:r>
      <w:r w:rsidRPr="008409FB">
        <w:rPr>
          <w:spacing w:val="-2"/>
          <w:vertAlign w:val="superscript"/>
          <w:rtl/>
          <w:lang w:val="fr-CH"/>
        </w:rPr>
        <w:t>)</w:t>
      </w:r>
      <w:r w:rsidRPr="008409FB">
        <w:rPr>
          <w:rFonts w:hint="cs"/>
          <w:spacing w:val="-2"/>
          <w:rtl/>
          <w:lang w:val="fr-CH"/>
        </w:rPr>
        <w:t xml:space="preserve">، قررت اللجنة الفرعية، </w:t>
      </w:r>
      <w:r>
        <w:rPr>
          <w:rFonts w:hint="cs"/>
          <w:spacing w:val="-2"/>
          <w:rtl/>
          <w:lang w:val="fr-CH"/>
        </w:rPr>
        <w:t>من أجل الوفاء على النحو الأمثل</w:t>
      </w:r>
      <w:r w:rsidRPr="008409FB">
        <w:rPr>
          <w:rFonts w:hint="cs"/>
          <w:spacing w:val="-2"/>
          <w:rtl/>
          <w:lang w:val="fr-CH"/>
        </w:rPr>
        <w:t xml:space="preserve"> </w:t>
      </w:r>
      <w:r>
        <w:rPr>
          <w:rFonts w:hint="cs"/>
          <w:spacing w:val="-2"/>
          <w:rtl/>
          <w:lang w:val="fr-CH"/>
        </w:rPr>
        <w:t>ب</w:t>
      </w:r>
      <w:r w:rsidRPr="008409FB">
        <w:rPr>
          <w:rFonts w:hint="cs"/>
          <w:spacing w:val="-2"/>
          <w:rtl/>
          <w:lang w:val="fr-CH"/>
        </w:rPr>
        <w:t xml:space="preserve">جميع جوانب ولايتها واستخدام عضويتها الموسعة وخبراتها أفضل استخدام، أن تدرج في برنامج زياراتها السنوي، بالإضافة إلى الزيارات المنتظمة وزيارات المتابعة، شكلاً جديداً من الزيارات يركِّز على </w:t>
      </w:r>
      <w:r>
        <w:rPr>
          <w:rFonts w:hint="cs"/>
          <w:spacing w:val="-2"/>
          <w:rtl/>
          <w:lang w:val="fr-CH"/>
        </w:rPr>
        <w:t>تناول</w:t>
      </w:r>
      <w:r w:rsidRPr="008409FB">
        <w:rPr>
          <w:rFonts w:hint="cs"/>
          <w:spacing w:val="-2"/>
          <w:rtl/>
          <w:lang w:val="fr-CH"/>
        </w:rPr>
        <w:t xml:space="preserve"> المسائل الخاصة بالآلية الوقائية الوطنية: "زيارات استشارية </w:t>
      </w:r>
      <w:r>
        <w:rPr>
          <w:rFonts w:hint="cs"/>
          <w:spacing w:val="-2"/>
          <w:rtl/>
          <w:lang w:val="fr-CH"/>
        </w:rPr>
        <w:t>إلى</w:t>
      </w:r>
      <w:r w:rsidRPr="008409FB">
        <w:rPr>
          <w:rFonts w:hint="cs"/>
          <w:spacing w:val="-2"/>
          <w:rtl/>
          <w:lang w:val="fr-CH"/>
        </w:rPr>
        <w:t xml:space="preserve"> الآلي</w:t>
      </w:r>
      <w:r>
        <w:rPr>
          <w:rFonts w:hint="cs"/>
          <w:spacing w:val="-2"/>
          <w:rtl/>
          <w:lang w:val="fr-CH"/>
        </w:rPr>
        <w:t>ات</w:t>
      </w:r>
      <w:r w:rsidRPr="008409FB">
        <w:rPr>
          <w:rFonts w:hint="cs"/>
          <w:spacing w:val="-2"/>
          <w:rtl/>
          <w:lang w:val="fr-CH"/>
        </w:rPr>
        <w:t xml:space="preserve"> الوقائية الوطنية". ووضعت اللجنة الفرعية منهجية جديدة لهذه الزيارات.</w:t>
      </w:r>
    </w:p>
    <w:p w:rsidR="00631BFA" w:rsidRPr="00B65492" w:rsidRDefault="00631BFA" w:rsidP="007F0C4C">
      <w:pPr>
        <w:pStyle w:val="SingleTxtGA"/>
        <w:rPr>
          <w:rFonts w:hint="cs"/>
          <w:rtl/>
          <w:lang w:val="fr-CH"/>
        </w:rPr>
      </w:pPr>
      <w:r w:rsidRPr="00B65492">
        <w:rPr>
          <w:rFonts w:hint="cs"/>
          <w:rtl/>
          <w:lang w:val="fr-CH"/>
        </w:rPr>
        <w:t>51-</w:t>
      </w:r>
      <w:r w:rsidRPr="00B65492">
        <w:rPr>
          <w:rFonts w:hint="cs"/>
          <w:rtl/>
          <w:lang w:val="fr-CH"/>
        </w:rPr>
        <w:tab/>
        <w:t xml:space="preserve">وخلال السنة قيد الاستعراض، أُدرجت في برنامج الزيارات ثلاث زيارات استشارية </w:t>
      </w:r>
      <w:r>
        <w:rPr>
          <w:rFonts w:hint="cs"/>
          <w:rtl/>
          <w:lang w:val="fr-CH"/>
        </w:rPr>
        <w:t>إلى</w:t>
      </w:r>
      <w:r w:rsidRPr="00B65492">
        <w:rPr>
          <w:rFonts w:hint="cs"/>
          <w:rtl/>
          <w:lang w:val="fr-CH"/>
        </w:rPr>
        <w:t xml:space="preserve"> آلي</w:t>
      </w:r>
      <w:r>
        <w:rPr>
          <w:rFonts w:hint="cs"/>
          <w:rtl/>
          <w:lang w:val="fr-CH"/>
        </w:rPr>
        <w:t>ات</w:t>
      </w:r>
      <w:r w:rsidRPr="00B65492">
        <w:rPr>
          <w:rFonts w:hint="cs"/>
          <w:rtl/>
          <w:lang w:val="fr-CH"/>
        </w:rPr>
        <w:t xml:space="preserve"> وقائية وطنية. وقد اختار أعضاء اللجنة الفرعية الزيارات </w:t>
      </w:r>
      <w:r>
        <w:rPr>
          <w:rFonts w:hint="cs"/>
          <w:rtl/>
          <w:lang w:val="fr-CH"/>
        </w:rPr>
        <w:t>بالرجوع إلى</w:t>
      </w:r>
      <w:r w:rsidRPr="00B65492">
        <w:rPr>
          <w:rFonts w:hint="cs"/>
          <w:rtl/>
          <w:lang w:val="fr-CH"/>
        </w:rPr>
        <w:t xml:space="preserve"> تاريخ التصديق على البروتوكول الاختياري من جانب الدولة المعنية؛ وممارساتها المتعلِّقة بوضع وتطوير الآليات الوطنية لمنع التعذيب</w:t>
      </w:r>
      <w:r>
        <w:rPr>
          <w:rFonts w:hint="cs"/>
          <w:rtl/>
          <w:lang w:val="fr-CH"/>
        </w:rPr>
        <w:t>؛</w:t>
      </w:r>
      <w:r w:rsidRPr="00B65492">
        <w:rPr>
          <w:rFonts w:hint="cs"/>
          <w:rtl/>
          <w:lang w:val="fr-CH"/>
        </w:rPr>
        <w:t xml:space="preserve"> و</w:t>
      </w:r>
      <w:r>
        <w:rPr>
          <w:rFonts w:hint="cs"/>
          <w:rtl/>
          <w:lang w:val="fr-CH"/>
        </w:rPr>
        <w:t>بالاس</w:t>
      </w:r>
      <w:r w:rsidRPr="00B65492">
        <w:rPr>
          <w:rFonts w:hint="cs"/>
          <w:rtl/>
          <w:lang w:val="fr-CH"/>
        </w:rPr>
        <w:t>ت</w:t>
      </w:r>
      <w:r w:rsidR="00BE6C28">
        <w:rPr>
          <w:rFonts w:hint="cs"/>
          <w:rtl/>
          <w:lang w:val="fr-CH"/>
        </w:rPr>
        <w:t>ناد أيض</w:t>
      </w:r>
      <w:r>
        <w:rPr>
          <w:rFonts w:hint="cs"/>
          <w:rtl/>
          <w:lang w:val="fr-CH"/>
        </w:rPr>
        <w:t>ا</w:t>
      </w:r>
      <w:r w:rsidR="00BE6C28">
        <w:rPr>
          <w:rFonts w:hint="cs"/>
          <w:rtl/>
          <w:lang w:val="fr-CH"/>
        </w:rPr>
        <w:t>ً</w:t>
      </w:r>
      <w:r>
        <w:rPr>
          <w:rFonts w:hint="cs"/>
          <w:rtl/>
          <w:lang w:val="fr-CH"/>
        </w:rPr>
        <w:t xml:space="preserve"> إلى الت</w:t>
      </w:r>
      <w:r w:rsidRPr="00B65492">
        <w:rPr>
          <w:rFonts w:hint="cs"/>
          <w:rtl/>
          <w:lang w:val="fr-CH"/>
        </w:rPr>
        <w:t>وزيع الجغرافي و</w:t>
      </w:r>
      <w:r>
        <w:rPr>
          <w:rFonts w:hint="cs"/>
          <w:rtl/>
          <w:lang w:val="fr-CH"/>
        </w:rPr>
        <w:t>حجم الدولة</w:t>
      </w:r>
      <w:r w:rsidRPr="00B65492">
        <w:rPr>
          <w:rFonts w:hint="cs"/>
          <w:rtl/>
          <w:lang w:val="fr-CH"/>
        </w:rPr>
        <w:t xml:space="preserve"> </w:t>
      </w:r>
      <w:r>
        <w:rPr>
          <w:rFonts w:hint="cs"/>
          <w:rtl/>
          <w:lang w:val="fr-CH"/>
        </w:rPr>
        <w:t>ومدى تعقيدها</w:t>
      </w:r>
      <w:r w:rsidRPr="00B65492">
        <w:rPr>
          <w:rFonts w:hint="cs"/>
          <w:rtl/>
          <w:lang w:val="fr-CH"/>
        </w:rPr>
        <w:t>؛ ورصد إجراءات منع التعذيب على الصعيد الإقليمي؛ وأية مسائل محدَّدة أو</w:t>
      </w:r>
      <w:r w:rsidR="007F0C4C">
        <w:rPr>
          <w:rFonts w:hint="eastAsia"/>
          <w:rtl/>
          <w:lang w:val="fr-CH"/>
        </w:rPr>
        <w:t> </w:t>
      </w:r>
      <w:r w:rsidRPr="00B65492">
        <w:rPr>
          <w:rFonts w:hint="cs"/>
          <w:rtl/>
          <w:lang w:val="fr-CH"/>
        </w:rPr>
        <w:t xml:space="preserve">عاجلة يمكن أن تجعل نتيجة هذه الزيارة إيجابية، إضافة إلى إمكانية الجمع بين الزيارات </w:t>
      </w:r>
      <w:r>
        <w:rPr>
          <w:rFonts w:hint="cs"/>
          <w:rtl/>
          <w:lang w:val="fr-CH"/>
        </w:rPr>
        <w:t>لأسباب</w:t>
      </w:r>
      <w:r w:rsidRPr="00B65492">
        <w:rPr>
          <w:rFonts w:hint="cs"/>
          <w:rtl/>
          <w:lang w:val="fr-CH"/>
        </w:rPr>
        <w:t xml:space="preserve"> </w:t>
      </w:r>
      <w:r>
        <w:rPr>
          <w:rFonts w:hint="cs"/>
          <w:rtl/>
          <w:lang w:val="fr-CH"/>
        </w:rPr>
        <w:t>ع</w:t>
      </w:r>
      <w:r w:rsidRPr="00B65492">
        <w:rPr>
          <w:rFonts w:hint="cs"/>
          <w:rtl/>
          <w:lang w:val="fr-CH"/>
        </w:rPr>
        <w:t xml:space="preserve">ملية </w:t>
      </w:r>
      <w:r>
        <w:rPr>
          <w:rFonts w:hint="cs"/>
          <w:rtl/>
          <w:lang w:val="fr-CH"/>
        </w:rPr>
        <w:t>أو متصلة</w:t>
      </w:r>
      <w:r w:rsidRPr="00B65492">
        <w:rPr>
          <w:rFonts w:hint="cs"/>
          <w:rtl/>
          <w:lang w:val="fr-CH"/>
        </w:rPr>
        <w:t xml:space="preserve"> بالميزانية. ولا تقوم اللجنة الفرعية خلال زياراتها الاستشارية </w:t>
      </w:r>
      <w:r>
        <w:rPr>
          <w:rFonts w:hint="cs"/>
          <w:rtl/>
          <w:lang w:val="fr-CH"/>
        </w:rPr>
        <w:t>إلى</w:t>
      </w:r>
      <w:r w:rsidRPr="00B65492">
        <w:rPr>
          <w:rFonts w:hint="cs"/>
          <w:rtl/>
          <w:lang w:val="fr-CH"/>
        </w:rPr>
        <w:t xml:space="preserve"> الآلي</w:t>
      </w:r>
      <w:r>
        <w:rPr>
          <w:rFonts w:hint="cs"/>
          <w:rtl/>
          <w:lang w:val="fr-CH"/>
        </w:rPr>
        <w:t>ات</w:t>
      </w:r>
      <w:r w:rsidRPr="00B65492">
        <w:rPr>
          <w:rFonts w:hint="cs"/>
          <w:rtl/>
          <w:lang w:val="fr-CH"/>
        </w:rPr>
        <w:t xml:space="preserve"> الوقائية الوطنية بزيارة أماكن ا</w:t>
      </w:r>
      <w:r>
        <w:rPr>
          <w:rFonts w:hint="cs"/>
          <w:rtl/>
          <w:lang w:val="fr-CH"/>
        </w:rPr>
        <w:t>لا</w:t>
      </w:r>
      <w:r w:rsidRPr="00B65492">
        <w:rPr>
          <w:rFonts w:hint="cs"/>
          <w:rtl/>
          <w:lang w:val="fr-CH"/>
        </w:rPr>
        <w:t xml:space="preserve">حتجاز على أساس </w:t>
      </w:r>
      <w:r>
        <w:rPr>
          <w:rFonts w:hint="cs"/>
          <w:rtl/>
          <w:lang w:val="fr-CH"/>
        </w:rPr>
        <w:t>ولايتها التي تخولها</w:t>
      </w:r>
      <w:r w:rsidRPr="00B65492">
        <w:rPr>
          <w:rFonts w:hint="cs"/>
          <w:rtl/>
          <w:lang w:val="fr-CH"/>
        </w:rPr>
        <w:t xml:space="preserve"> القيام بزيارات، لكن يمكنها أن تقوم بذلك إذا ما</w:t>
      </w:r>
      <w:r>
        <w:rPr>
          <w:rFonts w:hint="eastAsia"/>
          <w:rtl/>
          <w:lang w:val="fr-CH"/>
        </w:rPr>
        <w:t> </w:t>
      </w:r>
      <w:r w:rsidRPr="00B65492">
        <w:rPr>
          <w:rFonts w:hint="cs"/>
          <w:rtl/>
          <w:lang w:val="fr-CH"/>
        </w:rPr>
        <w:t>تلقّت دعوةً من الآلية الوقائية الوطنية</w:t>
      </w:r>
      <w:r>
        <w:rPr>
          <w:rFonts w:hint="cs"/>
          <w:rtl/>
          <w:lang w:val="fr-CH"/>
        </w:rPr>
        <w:t xml:space="preserve"> </w:t>
      </w:r>
      <w:r w:rsidRPr="00B65492">
        <w:rPr>
          <w:rFonts w:hint="cs"/>
          <w:rtl/>
          <w:lang w:val="fr-CH"/>
        </w:rPr>
        <w:t xml:space="preserve">وفقاً لممارسات العمل </w:t>
      </w:r>
      <w:r>
        <w:rPr>
          <w:rFonts w:hint="cs"/>
          <w:rtl/>
          <w:lang w:val="fr-CH"/>
        </w:rPr>
        <w:t>العادية</w:t>
      </w:r>
      <w:r w:rsidRPr="00B65492">
        <w:rPr>
          <w:rFonts w:hint="cs"/>
          <w:rtl/>
          <w:lang w:val="fr-CH"/>
        </w:rPr>
        <w:t xml:space="preserve"> للآلية الوقائية الوطنية.</w:t>
      </w:r>
    </w:p>
    <w:p w:rsidR="00631BFA" w:rsidRPr="00B65492" w:rsidRDefault="00631BFA" w:rsidP="007F0C4C">
      <w:pPr>
        <w:pStyle w:val="SingleTxtGA"/>
        <w:rPr>
          <w:rFonts w:hint="cs"/>
          <w:rtl/>
          <w:lang w:val="fr-CH"/>
        </w:rPr>
      </w:pPr>
      <w:r w:rsidRPr="00B65492">
        <w:rPr>
          <w:rFonts w:hint="cs"/>
          <w:rtl/>
          <w:lang w:val="fr-CH"/>
        </w:rPr>
        <w:t>52-</w:t>
      </w:r>
      <w:r w:rsidRPr="00B65492">
        <w:rPr>
          <w:rFonts w:hint="cs"/>
          <w:rtl/>
          <w:lang w:val="fr-CH"/>
        </w:rPr>
        <w:tab/>
        <w:t>وتصدر اللجنة الفرعية، عقب زياراتها المنتظمة وزيارات المتابعة، تقارير سرية تحيلها إلى الدول الأطراف. وعندما ت</w:t>
      </w:r>
      <w:r>
        <w:rPr>
          <w:rFonts w:hint="cs"/>
          <w:rtl/>
          <w:lang w:val="fr-CH"/>
        </w:rPr>
        <w:t>ؤدي</w:t>
      </w:r>
      <w:r w:rsidRPr="00B65492">
        <w:rPr>
          <w:rFonts w:hint="cs"/>
          <w:rtl/>
          <w:lang w:val="fr-CH"/>
        </w:rPr>
        <w:t xml:space="preserve"> اللجنة الفرعية زيارة استشارية </w:t>
      </w:r>
      <w:r>
        <w:rPr>
          <w:rFonts w:hint="cs"/>
          <w:rtl/>
          <w:lang w:val="fr-CH"/>
        </w:rPr>
        <w:t xml:space="preserve">إلى </w:t>
      </w:r>
      <w:r w:rsidRPr="00B65492">
        <w:rPr>
          <w:rFonts w:hint="cs"/>
          <w:rtl/>
          <w:lang w:val="fr-CH"/>
        </w:rPr>
        <w:t>الآلية الوقائية الوطنية فإنها تصدر تقريرين: تقرير إلى الآلية الوقائية الوطنية وآخر إلى الدولة الطرف، وكلاهما سريٌ يخصُّ المتلقي وفقاً للأحكام والنهج المحدَّدين في البروتوكول الإضافي. بيد أنه يمكن نشر هذين التقريرين بموافقة المتلقّي كما هو الحال بالنسبة لأي تقرير آخر من تقارير اللجنة الفرعية.</w:t>
      </w:r>
    </w:p>
    <w:p w:rsidR="00631BFA" w:rsidRDefault="00631BFA" w:rsidP="007F0C4C">
      <w:pPr>
        <w:pStyle w:val="SingleTxtGA"/>
        <w:rPr>
          <w:rFonts w:hint="cs"/>
          <w:rtl/>
          <w:lang w:val="fr-CH"/>
        </w:rPr>
      </w:pPr>
      <w:r>
        <w:rPr>
          <w:rFonts w:hint="cs"/>
          <w:rtl/>
          <w:lang w:val="fr-CH"/>
        </w:rPr>
        <w:t>53-</w:t>
      </w:r>
      <w:r>
        <w:rPr>
          <w:rFonts w:hint="cs"/>
          <w:rtl/>
          <w:lang w:val="fr-CH"/>
        </w:rPr>
        <w:tab/>
        <w:t>ومن مزايا هذا النهج الجديد أنه يمكِّن اللجنة الفرعية من القيام بالمزيد من الزيارات مقارنةً بالسنوات السابقة وذلك من خلال توليفة من الزيارات المنتظمة والزيارات الاستشارية إلى الآليات الوقائية الوطنية وزيارات المتابعة. وبالتالي، فإن هذا النهج سوف يمكِّن اللجنة الفرعية من الوفاء بولايتها الكاملة بطريقة شاملة وغير تمييزية وغير انتقائية. وبالإضافة إلى ذلك، فإن القيود المالية والتحدِّيات التي يطرحها نقص الموظفين في الأمانة - والتي لا تزال تشكِّل عقباتٍ تحول دون وفاء اللجنة الفرعية بولايتها - تعزز هذا النهج الذي تزداد أهدافه وضوحاً في عمل اللجنة الفرعية.</w:t>
      </w:r>
    </w:p>
    <w:p w:rsidR="00631BFA" w:rsidRDefault="00631BFA" w:rsidP="00631BFA">
      <w:pPr>
        <w:pStyle w:val="H23GA"/>
        <w:rPr>
          <w:rFonts w:hint="cs"/>
          <w:rtl/>
          <w:lang w:val="fr-CH"/>
        </w:rPr>
      </w:pPr>
      <w:r>
        <w:rPr>
          <w:rFonts w:hint="cs"/>
          <w:rtl/>
          <w:lang w:val="fr-CH"/>
        </w:rPr>
        <w:tab/>
        <w:t>2-</w:t>
      </w:r>
      <w:r>
        <w:rPr>
          <w:rFonts w:hint="cs"/>
          <w:rtl/>
          <w:lang w:val="fr-CH"/>
        </w:rPr>
        <w:tab/>
        <w:t>الأنشطة المتصلة بالآليات الوقائية الوطنية، من غير برنامج الزيارات</w:t>
      </w:r>
    </w:p>
    <w:p w:rsidR="00631BFA" w:rsidRDefault="00631BFA" w:rsidP="007F0C4C">
      <w:pPr>
        <w:pStyle w:val="SingleTxtGA"/>
        <w:rPr>
          <w:rFonts w:hint="cs"/>
          <w:rtl/>
          <w:lang w:val="fr-CH"/>
        </w:rPr>
      </w:pPr>
      <w:r>
        <w:rPr>
          <w:rFonts w:hint="cs"/>
          <w:rtl/>
          <w:lang w:val="fr-CH"/>
        </w:rPr>
        <w:t>54-</w:t>
      </w:r>
      <w:r>
        <w:rPr>
          <w:rFonts w:hint="cs"/>
          <w:rtl/>
          <w:lang w:val="fr-CH"/>
        </w:rPr>
        <w:tab/>
        <w:t>نجحت فرق العمل الإقليمية التي شُكِّلت عام 2011 في إرساء علاقات أكثر فائدةً وتنظيماً مع الآليات الوقائية الوطنية. وقد شرعت تلك الفرق في التواصل والحوار مع الآليات</w:t>
      </w:r>
      <w:r>
        <w:rPr>
          <w:rFonts w:hint="eastAsia"/>
          <w:rtl/>
          <w:lang w:val="fr-CH"/>
        </w:rPr>
        <w:t> </w:t>
      </w:r>
      <w:r>
        <w:rPr>
          <w:rFonts w:hint="cs"/>
          <w:rtl/>
          <w:lang w:val="fr-CH"/>
        </w:rPr>
        <w:t>الوقائية الوطنية، فجمعت معلوماتٍ عن حالة الأشخاص المحرومين من حريتهم. ولاحظت اللجنة الفرعية الفائدة الكبيرة للعمل مع الآليات الوقائية الوطنية في بعض البلدان والمناطق لكنها أشارت إلى أن ذلك لم يكن مفيداً في جميع الحالات. فقد كان إرساء التواصل وتبادل المعلومات مع بعض الآليات الوقائية الوطنية والحفاظ عليهما صعباً، ويبدو أن ذلك مرتبطٌ ارتباطاً مباشراً بهيكل الآليات الوقائية الوطنية وطبيعة عملها، كما يرتبط، بطبيعة الحال، بوجود هذه الآليات أصلاً. وتودُّ اللجنة الفرعية أن تبرز أهمية إنشاء آلية وقائية وطنية مستقلة ومن ثمَّ أهمية أن تعمل بفعالية، وفقاً لتوجيهات اللجنة الفرعية، من أجل ضمان امتثال البروتوكول الاختياري.</w:t>
      </w:r>
    </w:p>
    <w:p w:rsidR="00631BFA" w:rsidRDefault="00631BFA" w:rsidP="007F0C4C">
      <w:pPr>
        <w:pStyle w:val="SingleTxtGA"/>
        <w:rPr>
          <w:rFonts w:hint="cs"/>
          <w:rtl/>
          <w:lang w:val="fr-CH"/>
        </w:rPr>
      </w:pPr>
      <w:r>
        <w:rPr>
          <w:rFonts w:hint="cs"/>
          <w:rtl/>
          <w:lang w:val="fr-CH"/>
        </w:rPr>
        <w:t>55-</w:t>
      </w:r>
      <w:r>
        <w:rPr>
          <w:rFonts w:hint="cs"/>
          <w:rtl/>
          <w:lang w:val="fr-CH"/>
        </w:rPr>
        <w:tab/>
        <w:t>وستواصل اللجنة الفرعية الممارسة التي تتبعها في دعوة الآليات الوقائية الوطنية إلى حضور دوراتها، أي حضور اجتماعات الهيئة العامة أو اجتماعات أفرقة العمل الإقليمية، وذلك لإطلاعها على كيفية تنفيذ مختلف الآليات الوقائية الوطنية لعملها وتبادل التجارب معها. وترى اللجنة الفرعية أن هذه المداولات مفيدة للغاية، إذا تعزِّز فهمها وتنمّي قدرتها على تحديد الممارسات الجيدة وتقاسمها ونشرها.</w:t>
      </w:r>
    </w:p>
    <w:p w:rsidR="00631BFA" w:rsidRPr="00FC4D4D" w:rsidRDefault="00631BFA" w:rsidP="00631BFA">
      <w:pPr>
        <w:pStyle w:val="H23GA"/>
        <w:rPr>
          <w:rFonts w:hint="cs"/>
          <w:rtl/>
          <w:lang w:val="fr-CH"/>
        </w:rPr>
      </w:pPr>
      <w:r>
        <w:rPr>
          <w:rFonts w:hint="cs"/>
          <w:rtl/>
          <w:lang w:val="fr-CH"/>
        </w:rPr>
        <w:tab/>
      </w:r>
      <w:r w:rsidRPr="00FC4D4D">
        <w:rPr>
          <w:rFonts w:hint="cs"/>
          <w:rtl/>
          <w:lang w:val="fr-CH"/>
        </w:rPr>
        <w:t>3-</w:t>
      </w:r>
      <w:r w:rsidRPr="00FC4D4D">
        <w:rPr>
          <w:rFonts w:hint="cs"/>
          <w:rtl/>
          <w:lang w:val="fr-CH"/>
        </w:rPr>
        <w:tab/>
      </w:r>
      <w:r>
        <w:rPr>
          <w:rFonts w:hint="cs"/>
          <w:rtl/>
          <w:lang w:val="fr-CH"/>
        </w:rPr>
        <w:t>صياغة تعليقات على القضايا الموضوعية</w:t>
      </w:r>
    </w:p>
    <w:p w:rsidR="00631BFA" w:rsidRDefault="00631BFA" w:rsidP="007F0C4C">
      <w:pPr>
        <w:pStyle w:val="SingleTxtGA"/>
        <w:rPr>
          <w:rFonts w:hint="cs"/>
          <w:rtl/>
          <w:lang w:val="fr-CH"/>
        </w:rPr>
      </w:pPr>
      <w:r>
        <w:rPr>
          <w:rFonts w:hint="cs"/>
          <w:rtl/>
          <w:lang w:val="fr-CH"/>
        </w:rPr>
        <w:t>56-</w:t>
      </w:r>
      <w:r>
        <w:rPr>
          <w:rFonts w:hint="cs"/>
          <w:rtl/>
          <w:lang w:val="fr-CH"/>
        </w:rPr>
        <w:tab/>
        <w:t>تدرك اللجنة الفرعية أن لزيادة بروز تعليقاتها ونهجها فيما يتعلَّق بمنع التعذيب نتيجةً إيجابية تتمثَّل في تعزيز اهتمام ذوي الخبرة في المجالات ذات الصلة بعملها ورغبتهم في المشاركة في تلك العملية. ولذلك وضعت منهجية يتعيَّن اتباعها لدى وضع الورقات المواضيعية، وهي منهجية تشمل إمكانية إجراء مشاورات عامة مع أصحاب المصلحة المعنيين في مراحل مناسبة من عملية صوغها عندما ترى اللجنة الفرعية أن ذلك مفيد وعملي.</w:t>
      </w:r>
    </w:p>
    <w:p w:rsidR="00631BFA" w:rsidRDefault="00631BFA" w:rsidP="007F0C4C">
      <w:pPr>
        <w:pStyle w:val="SingleTxtGA"/>
        <w:rPr>
          <w:rFonts w:hint="cs"/>
          <w:rtl/>
          <w:lang w:val="fr-CH"/>
        </w:rPr>
      </w:pPr>
      <w:r>
        <w:rPr>
          <w:rFonts w:hint="cs"/>
          <w:rtl/>
          <w:lang w:val="fr-CH"/>
        </w:rPr>
        <w:t>57-</w:t>
      </w:r>
      <w:r>
        <w:rPr>
          <w:rFonts w:hint="cs"/>
          <w:rtl/>
          <w:lang w:val="fr-CH"/>
        </w:rPr>
        <w:tab/>
        <w:t>ونشرت اللجنة الفرعية بياناً مؤقتاً عن القواعد النموذجية الدنيا لمعاملة السجناء وهي تأمل أن تتمكن من نشر ورقة توجيهية بشأن الأعمال الانتقامية. وترحِّب اللجنة الفرعية بأي تعليقات على هذه المسائل، حتى تكون الوثائق أكثر شمولاً.</w:t>
      </w:r>
    </w:p>
    <w:p w:rsidR="00631BFA" w:rsidRPr="003B0F7E" w:rsidRDefault="00631BFA" w:rsidP="00631BFA">
      <w:pPr>
        <w:pStyle w:val="H23GA"/>
        <w:rPr>
          <w:rFonts w:hint="cs"/>
          <w:rtl/>
          <w:lang w:val="fr-CH"/>
        </w:rPr>
      </w:pPr>
      <w:r>
        <w:rPr>
          <w:rFonts w:hint="cs"/>
          <w:rtl/>
          <w:lang w:val="fr-CH"/>
        </w:rPr>
        <w:tab/>
      </w:r>
      <w:r w:rsidRPr="003B0F7E">
        <w:rPr>
          <w:rFonts w:hint="cs"/>
          <w:rtl/>
          <w:lang w:val="fr-CH"/>
        </w:rPr>
        <w:t>4-</w:t>
      </w:r>
      <w:r w:rsidRPr="003B0F7E">
        <w:rPr>
          <w:rFonts w:hint="cs"/>
          <w:rtl/>
          <w:lang w:val="fr-CH"/>
        </w:rPr>
        <w:tab/>
        <w:t>السرية</w:t>
      </w:r>
    </w:p>
    <w:p w:rsidR="009B0506" w:rsidRDefault="00631BFA" w:rsidP="00631BFA">
      <w:pPr>
        <w:pStyle w:val="SingleTxtGA"/>
        <w:rPr>
          <w:rFonts w:eastAsia="SimSun" w:hint="cs"/>
          <w:rtl/>
          <w:lang w:eastAsia="zh-CN"/>
        </w:rPr>
      </w:pPr>
      <w:r>
        <w:rPr>
          <w:rFonts w:hint="cs"/>
          <w:rtl/>
          <w:lang w:val="fr-CH"/>
        </w:rPr>
        <w:t>58-</w:t>
      </w:r>
      <w:r>
        <w:rPr>
          <w:rFonts w:hint="cs"/>
          <w:rtl/>
          <w:lang w:val="fr-CH"/>
        </w:rPr>
        <w:tab/>
        <w:t>تدرك اللجنة الفرعية إدراكا تاماً ضرورة أن تضمن الاحترام الكامل لمبدأ السرية في عملها، بوصفه عنصراً مركزياً من عناصر الإطار الذي يحيط بولايتها الخاصة بالزيارات. وهي تقوم باستعراض متواصل للتبعات العملية لهذا المبدأ كي تضمن تطبيقه بأقل أثر ممكن على قدرتها على العمل بفعالية.</w:t>
      </w:r>
    </w:p>
    <w:p w:rsidR="00631BFA" w:rsidRPr="00A7466D" w:rsidRDefault="00631BFA" w:rsidP="00631BFA">
      <w:pPr>
        <w:pStyle w:val="H23GA"/>
        <w:rPr>
          <w:rFonts w:hint="cs"/>
          <w:rtl/>
          <w:lang w:val="fr-CH"/>
        </w:rPr>
      </w:pPr>
      <w:r>
        <w:rPr>
          <w:rFonts w:hint="cs"/>
          <w:rtl/>
          <w:lang w:val="fr-CH"/>
        </w:rPr>
        <w:tab/>
      </w:r>
      <w:r w:rsidRPr="00A7466D">
        <w:rPr>
          <w:rFonts w:hint="cs"/>
          <w:rtl/>
          <w:lang w:val="fr-CH"/>
        </w:rPr>
        <w:t>5-</w:t>
      </w:r>
      <w:r w:rsidRPr="00A7466D">
        <w:rPr>
          <w:rFonts w:hint="cs"/>
          <w:rtl/>
          <w:lang w:val="fr-CH"/>
        </w:rPr>
        <w:tab/>
        <w:t>التدريب</w:t>
      </w:r>
    </w:p>
    <w:p w:rsidR="00631BFA" w:rsidRPr="007F0C4C" w:rsidRDefault="00631BFA" w:rsidP="007F0C4C">
      <w:pPr>
        <w:pStyle w:val="SingleTxtGA"/>
        <w:spacing w:line="370" w:lineRule="exact"/>
        <w:rPr>
          <w:rFonts w:hint="cs"/>
          <w:spacing w:val="-2"/>
          <w:rtl/>
          <w:lang w:val="fr-CH"/>
        </w:rPr>
      </w:pPr>
      <w:r>
        <w:rPr>
          <w:rFonts w:hint="cs"/>
          <w:rtl/>
          <w:lang w:val="fr-CH"/>
        </w:rPr>
        <w:t>59-</w:t>
      </w:r>
      <w:r>
        <w:rPr>
          <w:rFonts w:hint="cs"/>
          <w:rtl/>
          <w:lang w:val="fr-CH"/>
        </w:rPr>
        <w:tab/>
        <w:t xml:space="preserve">عقدت اللجنة الفرعية، سعياً لتعزيز معارفها وقدراتها في مجال رصد أماكن الاحتجاز غير التقليدية، حلقة عمل استمرت يومين بشأن مراقبة مؤسسات الصحة العقلية والرعاية الاجتماعية، بمساعدة مالية من حكومة ألمانيا ومساعدة إدارية من رابطة منع التعذيب. وكان الهدف من حلقة العمل هذه هو تعزيز قدرة اللجنة الفرعية على تناول ما يتعرَّض له الأشخاص المصابون بأمراض وإعاقات عقلية من وصم، وتمييز، وحرمان من حقوق الإنسان، وإهمال، وسوء معاملة والتصدي لهذه المسائل خلال الزيارات التي تقوم بها اللجنة الفرعية. وتدرك اللجنة الفرعية أن الأشخاص الموجودين في مؤسسات الصحة العقلية والرعاية الاجتماعية هم مجموعة من مجموعات عديدة من الأشخاص المستضعفين وهي تعي وضع </w:t>
      </w:r>
      <w:r w:rsidRPr="007F0C4C">
        <w:rPr>
          <w:rFonts w:hint="cs"/>
          <w:spacing w:val="-2"/>
          <w:rtl/>
          <w:lang w:val="fr-CH"/>
        </w:rPr>
        <w:t>النساء، والأحداث، وأفراد الأقليات، والرعايا الأجانب، وملتمسي اللجوء، والأشخاص ذوي الإعاقة، والمثليين، والمثليات، ومزدوجي الميل الجنسي، ومغايري الهوية الجنسية، وأفراد المجموعات المستضعفة الأخرى المحرومين من حريتهم. وحلقة العمل هذه هي الأولى من نوعها وتأمل اللجنة الفرعية تطوير معارفها ومهاراتها من خلال حلقات عمل مماثلة في المستقبل.</w:t>
      </w:r>
    </w:p>
    <w:p w:rsidR="00631BFA" w:rsidRDefault="00631BFA" w:rsidP="007F0C4C">
      <w:pPr>
        <w:pStyle w:val="H1GA"/>
        <w:rPr>
          <w:rFonts w:hint="cs"/>
          <w:rtl/>
          <w:lang w:val="fr-CH"/>
        </w:rPr>
      </w:pPr>
      <w:r>
        <w:rPr>
          <w:rFonts w:hint="cs"/>
          <w:rtl/>
          <w:lang w:val="fr-CH"/>
        </w:rPr>
        <w:tab/>
        <w:t>باء-</w:t>
      </w:r>
      <w:r>
        <w:rPr>
          <w:rFonts w:hint="cs"/>
          <w:rtl/>
          <w:lang w:val="fr-CH"/>
        </w:rPr>
        <w:tab/>
        <w:t>إنشاء أفرقة عاملة مخصَّصة</w:t>
      </w:r>
    </w:p>
    <w:p w:rsidR="00631BFA" w:rsidRPr="007F0C4C" w:rsidRDefault="00631BFA" w:rsidP="007F0C4C">
      <w:pPr>
        <w:pStyle w:val="SingleTxtGA"/>
        <w:spacing w:line="370" w:lineRule="exact"/>
        <w:rPr>
          <w:rFonts w:hint="cs"/>
          <w:spacing w:val="-2"/>
          <w:rtl/>
          <w:lang w:val="fr-CH"/>
        </w:rPr>
      </w:pPr>
      <w:r>
        <w:rPr>
          <w:rFonts w:hint="cs"/>
          <w:rtl/>
          <w:lang w:val="fr-CH"/>
        </w:rPr>
        <w:t>60-</w:t>
      </w:r>
      <w:r>
        <w:rPr>
          <w:rFonts w:hint="cs"/>
          <w:rtl/>
          <w:lang w:val="fr-CH"/>
        </w:rPr>
        <w:tab/>
        <w:t>خلال عام 2012، أنشأت اللجنة الفرعية عدداً من الأفرقة العاملة المخصصة للنظر في (أ) القضايا النظمية المتصلة بتفاعل اللجنة الفرعية مع الآليات الوقائية الوطنية، (ب)</w:t>
      </w:r>
      <w:r>
        <w:rPr>
          <w:rFonts w:hint="eastAsia"/>
          <w:rtl/>
          <w:lang w:val="fr-CH"/>
        </w:rPr>
        <w:t> </w:t>
      </w:r>
      <w:r>
        <w:rPr>
          <w:rFonts w:hint="cs"/>
          <w:rtl/>
          <w:lang w:val="fr-CH"/>
        </w:rPr>
        <w:t>الانخراط في العمليات المتصلة بالقواعد النموذجية الدنيا لمعاملة السجناء، (ج) إجراء تدريب تمهيدي وتدريب مستمر لأعضاء اللجنة الفرعية، (د) الأعمال الانتقامية، (</w:t>
      </w:r>
      <w:r w:rsidRPr="000E1960">
        <w:rPr>
          <w:rFonts w:hint="cs"/>
          <w:sz w:val="30"/>
          <w:rtl/>
          <w:lang w:val="fr-CH"/>
        </w:rPr>
        <w:t>ﻫ</w:t>
      </w:r>
      <w:r>
        <w:rPr>
          <w:rFonts w:hint="cs"/>
          <w:rtl/>
          <w:lang w:val="fr-CH"/>
        </w:rPr>
        <w:t xml:space="preserve">) المسائل الإجرائية، بما في ذلك المسائل المتصلة بالوصول إلى أماكن الاحتجاز. وتقدِّم الأفرقة العاملة تقاريرها إلى الهيئة العامة، التي تضطلع بمسؤولية اتخاذ القرارات. وتعتقد اللجنة الفرعية أن </w:t>
      </w:r>
      <w:r w:rsidRPr="007F0C4C">
        <w:rPr>
          <w:rFonts w:hint="cs"/>
          <w:spacing w:val="-2"/>
          <w:rtl/>
          <w:lang w:val="fr-CH"/>
        </w:rPr>
        <w:t>استخدام الأفرقة العاملة يتيح النظر، بتركيز أكبر، في طائفة أوسع من القضايا مما هو ممكن بطرق أخرى، وهي تنوي البناء على هذه الممارسة لتعزيز مشاركة الأعضاء وتفعيل سير العمل. وتشعر اللجنة الفرعية بالأسف إزاء نقص مرافق الترجمة الخاصة باجتماع الأفرقة العاملة خارج قاعة الجلسة العامة، مما يحول دون استخدام وقت الدورة بقدر أكبر من الفعالية.</w:t>
      </w:r>
    </w:p>
    <w:p w:rsidR="00631BFA" w:rsidRDefault="00631BFA" w:rsidP="007F0C4C">
      <w:pPr>
        <w:pStyle w:val="SingleTxtGA"/>
        <w:spacing w:line="370" w:lineRule="exact"/>
        <w:rPr>
          <w:rFonts w:hint="cs"/>
          <w:rtl/>
          <w:lang w:val="fr-CH"/>
        </w:rPr>
      </w:pPr>
      <w:r>
        <w:rPr>
          <w:rFonts w:hint="cs"/>
          <w:rtl/>
          <w:lang w:val="fr-CH"/>
        </w:rPr>
        <w:t>61-</w:t>
      </w:r>
      <w:r>
        <w:rPr>
          <w:rFonts w:hint="cs"/>
          <w:rtl/>
          <w:lang w:val="fr-CH"/>
        </w:rPr>
        <w:tab/>
        <w:t>وألقى الفريق العامل المعني بالتفاعل بين اللجنة الفرعية والآليات الوقائية الوطنية الضوء على جملة أمور منها:</w:t>
      </w:r>
    </w:p>
    <w:p w:rsidR="00631BFA" w:rsidRDefault="00631BFA" w:rsidP="007F0C4C">
      <w:pPr>
        <w:pStyle w:val="SingleTxtGA"/>
        <w:spacing w:line="370" w:lineRule="exact"/>
        <w:rPr>
          <w:rFonts w:hint="cs"/>
          <w:rtl/>
          <w:lang w:val="fr-CH"/>
        </w:rPr>
      </w:pPr>
      <w:r>
        <w:rPr>
          <w:rFonts w:hint="cs"/>
          <w:rtl/>
          <w:lang w:val="fr-CH"/>
        </w:rPr>
        <w:tab/>
        <w:t>(أ)</w:t>
      </w:r>
      <w:r>
        <w:rPr>
          <w:rFonts w:hint="cs"/>
          <w:rtl/>
          <w:lang w:val="fr-CH"/>
        </w:rPr>
        <w:tab/>
        <w:t>الحاجة إلى ضمان الاتساق الداخلي للمنهجيات التي تستخدمها أفرقة العمل الإقليمية، من أجل المحافظة على المساواة في المعاملة؛</w:t>
      </w:r>
    </w:p>
    <w:p w:rsidR="00631BFA" w:rsidRDefault="00631BFA" w:rsidP="007F0C4C">
      <w:pPr>
        <w:pStyle w:val="SingleTxtGA"/>
        <w:spacing w:line="370" w:lineRule="exact"/>
        <w:rPr>
          <w:rFonts w:hint="cs"/>
          <w:rtl/>
          <w:lang w:val="fr-CH"/>
        </w:rPr>
      </w:pPr>
      <w:r>
        <w:rPr>
          <w:rFonts w:hint="cs"/>
          <w:rtl/>
          <w:lang w:val="fr-CH"/>
        </w:rPr>
        <w:tab/>
        <w:t>(ب)</w:t>
      </w:r>
      <w:r>
        <w:rPr>
          <w:rFonts w:hint="cs"/>
          <w:rtl/>
          <w:lang w:val="fr-CH"/>
        </w:rPr>
        <w:tab/>
        <w:t>الحاجة إلى إنشاء آلية تستطيع الآليات الوقائية الوطنية أن تتراسل من خلالها مع اللجنة الفرعية وتتلقى منها الردود الملائمة؛</w:t>
      </w:r>
    </w:p>
    <w:p w:rsidR="00631BFA" w:rsidRDefault="00631BFA" w:rsidP="007F0C4C">
      <w:pPr>
        <w:pStyle w:val="SingleTxtGA"/>
        <w:spacing w:line="370" w:lineRule="exact"/>
        <w:rPr>
          <w:rFonts w:hint="cs"/>
          <w:rtl/>
          <w:lang w:val="fr-CH"/>
        </w:rPr>
      </w:pPr>
      <w:r>
        <w:rPr>
          <w:rFonts w:hint="cs"/>
          <w:rtl/>
          <w:lang w:val="fr-CH"/>
        </w:rPr>
        <w:tab/>
        <w:t>(ج)</w:t>
      </w:r>
      <w:r>
        <w:rPr>
          <w:rFonts w:hint="cs"/>
          <w:rtl/>
          <w:lang w:val="fr-CH"/>
        </w:rPr>
        <w:tab/>
        <w:t>أهمية وضع استبيان لجمع البيانات من الآليات الوقائية الوطنية وذلك للتمكُّن من إنشاء قاعدة بيانات تتضمَّن معلومات قابلة للمقارنة والمحافظة على هذه القاعدة؛</w:t>
      </w:r>
    </w:p>
    <w:p w:rsidR="00631BFA" w:rsidRDefault="00631BFA" w:rsidP="007F0C4C">
      <w:pPr>
        <w:pStyle w:val="SingleTxtGA"/>
        <w:spacing w:line="370" w:lineRule="exact"/>
        <w:rPr>
          <w:rFonts w:hint="cs"/>
          <w:rtl/>
          <w:lang w:val="fr-CH"/>
        </w:rPr>
      </w:pPr>
      <w:r>
        <w:rPr>
          <w:rFonts w:hint="cs"/>
          <w:rtl/>
          <w:lang w:val="fr-CH"/>
        </w:rPr>
        <w:tab/>
        <w:t>(د)</w:t>
      </w:r>
      <w:r>
        <w:rPr>
          <w:rFonts w:hint="cs"/>
          <w:rtl/>
          <w:lang w:val="fr-CH"/>
        </w:rPr>
        <w:tab/>
        <w:t>أهمية الانخراط مع الآليات الوقائية الوطنية فيما يتعلَّق بأنشطة اللجنة الفرعية، بما في ذلك الأنشطة القطرية.</w:t>
      </w:r>
    </w:p>
    <w:p w:rsidR="00631BFA" w:rsidRDefault="00631BFA" w:rsidP="007F0C4C">
      <w:pPr>
        <w:pStyle w:val="SingleTxtGA"/>
        <w:spacing w:line="370" w:lineRule="exact"/>
        <w:rPr>
          <w:rFonts w:hint="cs"/>
          <w:rtl/>
          <w:lang w:val="fr-CH"/>
        </w:rPr>
      </w:pPr>
      <w:r>
        <w:rPr>
          <w:rFonts w:hint="cs"/>
          <w:rtl/>
          <w:lang w:val="fr-CH"/>
        </w:rPr>
        <w:t>62-</w:t>
      </w:r>
      <w:r>
        <w:rPr>
          <w:rFonts w:hint="cs"/>
          <w:rtl/>
          <w:lang w:val="fr-CH"/>
        </w:rPr>
        <w:tab/>
        <w:t xml:space="preserve">وألقى الفريق العامل المعني بالقواعد الدنيا النموذجية لمعاملة السجناء الضوء، في جملة أمور، على المساهمة الرئيسية التي يُعتقد عموماً أن بإمكان اللجنة الفرعية تقديمها إلى المناقشات الخاصة بالقواعد الدنيا النموذجية. وألقى الضوء بوجه خاص على عدَّة جوانب جديرة بالتقييم ومنها على سبيل المثال لا الحصر: </w:t>
      </w:r>
    </w:p>
    <w:p w:rsidR="00631BFA" w:rsidRDefault="00631BFA" w:rsidP="00D86241">
      <w:pPr>
        <w:pStyle w:val="SingleTxtGA"/>
        <w:spacing w:after="100" w:line="370" w:lineRule="exact"/>
        <w:rPr>
          <w:rFonts w:hint="cs"/>
          <w:rtl/>
          <w:lang w:val="fr-CH"/>
        </w:rPr>
      </w:pPr>
      <w:r>
        <w:rPr>
          <w:rtl/>
          <w:lang w:val="fr-CH"/>
        </w:rPr>
        <w:tab/>
      </w:r>
      <w:r>
        <w:rPr>
          <w:rFonts w:hint="cs"/>
          <w:rtl/>
          <w:lang w:val="fr-CH"/>
        </w:rPr>
        <w:t>(أ)</w:t>
      </w:r>
      <w:r>
        <w:rPr>
          <w:rFonts w:hint="cs"/>
          <w:rtl/>
          <w:lang w:val="fr-CH"/>
        </w:rPr>
        <w:tab/>
        <w:t xml:space="preserve">اللغة والمصطلحات المستخدمتان في النص؛ </w:t>
      </w:r>
    </w:p>
    <w:p w:rsidR="00631BFA" w:rsidRDefault="00631BFA" w:rsidP="00D86241">
      <w:pPr>
        <w:pStyle w:val="SingleTxtGA"/>
        <w:spacing w:after="100" w:line="370" w:lineRule="exact"/>
        <w:rPr>
          <w:rFonts w:hint="cs"/>
          <w:rtl/>
          <w:lang w:val="fr-CH"/>
        </w:rPr>
      </w:pPr>
      <w:r>
        <w:rPr>
          <w:rtl/>
          <w:lang w:val="fr-CH"/>
        </w:rPr>
        <w:tab/>
      </w:r>
      <w:r>
        <w:rPr>
          <w:rFonts w:hint="cs"/>
          <w:rtl/>
          <w:lang w:val="fr-CH"/>
        </w:rPr>
        <w:t>(ب)</w:t>
      </w:r>
      <w:r>
        <w:rPr>
          <w:rFonts w:hint="cs"/>
          <w:rtl/>
          <w:lang w:val="fr-CH"/>
        </w:rPr>
        <w:tab/>
        <w:t xml:space="preserve">المعلومات المقدَّمة إلى السجناء والشكاوى الواردة منهم؛ </w:t>
      </w:r>
    </w:p>
    <w:p w:rsidR="00631BFA" w:rsidRDefault="00631BFA" w:rsidP="00D86241">
      <w:pPr>
        <w:pStyle w:val="SingleTxtGA"/>
        <w:spacing w:after="100" w:line="370" w:lineRule="exact"/>
        <w:rPr>
          <w:rFonts w:hint="cs"/>
          <w:rtl/>
          <w:lang w:val="fr-CH"/>
        </w:rPr>
      </w:pPr>
      <w:r>
        <w:rPr>
          <w:rtl/>
          <w:lang w:val="fr-CH"/>
        </w:rPr>
        <w:tab/>
      </w:r>
      <w:r>
        <w:rPr>
          <w:rFonts w:hint="cs"/>
          <w:rtl/>
          <w:lang w:val="fr-CH"/>
        </w:rPr>
        <w:t>(ج)</w:t>
      </w:r>
      <w:r>
        <w:rPr>
          <w:rFonts w:hint="cs"/>
          <w:rtl/>
          <w:lang w:val="fr-CH"/>
        </w:rPr>
        <w:tab/>
        <w:t xml:space="preserve">الاتصال بالعالم الخارجي/العلاقات الاجتماعية وخدمات ما بعد الإفراج؛ </w:t>
      </w:r>
    </w:p>
    <w:p w:rsidR="00631BFA" w:rsidRDefault="00631BFA" w:rsidP="00D86241">
      <w:pPr>
        <w:pStyle w:val="SingleTxtGA"/>
        <w:spacing w:after="100" w:line="370" w:lineRule="exact"/>
        <w:rPr>
          <w:rFonts w:hint="cs"/>
          <w:rtl/>
          <w:lang w:val="fr-CH"/>
        </w:rPr>
      </w:pPr>
      <w:r>
        <w:rPr>
          <w:rtl/>
          <w:lang w:val="fr-CH"/>
        </w:rPr>
        <w:tab/>
      </w:r>
      <w:r>
        <w:rPr>
          <w:rFonts w:hint="cs"/>
          <w:rtl/>
          <w:lang w:val="fr-CH"/>
        </w:rPr>
        <w:t>(د)</w:t>
      </w:r>
      <w:r>
        <w:rPr>
          <w:rFonts w:hint="cs"/>
          <w:rtl/>
          <w:lang w:val="fr-CH"/>
        </w:rPr>
        <w:tab/>
        <w:t xml:space="preserve">الدين؛ </w:t>
      </w:r>
    </w:p>
    <w:p w:rsidR="00631BFA" w:rsidRDefault="00631BFA" w:rsidP="00D86241">
      <w:pPr>
        <w:pStyle w:val="SingleTxtGA"/>
        <w:spacing w:after="100" w:line="370" w:lineRule="exact"/>
        <w:rPr>
          <w:rFonts w:hint="cs"/>
          <w:rtl/>
          <w:lang w:val="fr-CH"/>
        </w:rPr>
      </w:pPr>
      <w:r>
        <w:rPr>
          <w:rtl/>
          <w:lang w:val="fr-CH"/>
        </w:rPr>
        <w:tab/>
      </w:r>
      <w:r>
        <w:rPr>
          <w:rFonts w:hint="cs"/>
          <w:rtl/>
          <w:lang w:val="fr-CH"/>
        </w:rPr>
        <w:t>(</w:t>
      </w:r>
      <w:r w:rsidRPr="00726572">
        <w:rPr>
          <w:rFonts w:hint="cs"/>
          <w:sz w:val="30"/>
          <w:rtl/>
          <w:lang w:val="fr-CH"/>
        </w:rPr>
        <w:t>ﻫ</w:t>
      </w:r>
      <w:r>
        <w:rPr>
          <w:rFonts w:hint="cs"/>
          <w:rtl/>
          <w:lang w:val="fr-CH"/>
        </w:rPr>
        <w:t>)</w:t>
      </w:r>
      <w:r>
        <w:rPr>
          <w:rFonts w:hint="cs"/>
          <w:rtl/>
          <w:lang w:val="fr-CH"/>
        </w:rPr>
        <w:tab/>
        <w:t xml:space="preserve">الأشخاص الذين يعيشون في حالة ضعف؛ </w:t>
      </w:r>
    </w:p>
    <w:p w:rsidR="00631BFA" w:rsidRDefault="00631BFA" w:rsidP="00D86241">
      <w:pPr>
        <w:pStyle w:val="SingleTxtGA"/>
        <w:spacing w:after="100" w:line="370" w:lineRule="exact"/>
        <w:rPr>
          <w:rFonts w:hint="cs"/>
          <w:rtl/>
          <w:lang w:val="fr-CH"/>
        </w:rPr>
      </w:pPr>
      <w:r>
        <w:rPr>
          <w:rtl/>
          <w:lang w:val="fr-CH"/>
        </w:rPr>
        <w:tab/>
      </w:r>
      <w:r>
        <w:rPr>
          <w:rFonts w:hint="cs"/>
          <w:rtl/>
          <w:lang w:val="fr-CH"/>
        </w:rPr>
        <w:t>(و)</w:t>
      </w:r>
      <w:r>
        <w:rPr>
          <w:rFonts w:hint="cs"/>
          <w:rtl/>
          <w:lang w:val="fr-CH"/>
        </w:rPr>
        <w:tab/>
        <w:t xml:space="preserve">التصنيف/الفئات الخاصة؛ </w:t>
      </w:r>
    </w:p>
    <w:p w:rsidR="00631BFA" w:rsidRDefault="00631BFA" w:rsidP="00D86241">
      <w:pPr>
        <w:pStyle w:val="SingleTxtGA"/>
        <w:spacing w:after="100" w:line="370" w:lineRule="exact"/>
        <w:rPr>
          <w:rFonts w:hint="cs"/>
          <w:rtl/>
          <w:lang w:val="fr-CH"/>
        </w:rPr>
      </w:pPr>
      <w:r>
        <w:rPr>
          <w:rtl/>
          <w:lang w:val="fr-CH"/>
        </w:rPr>
        <w:tab/>
      </w:r>
      <w:r>
        <w:rPr>
          <w:rFonts w:hint="cs"/>
          <w:rtl/>
          <w:lang w:val="fr-CH"/>
        </w:rPr>
        <w:t>(ز)</w:t>
      </w:r>
      <w:r>
        <w:rPr>
          <w:rFonts w:hint="cs"/>
          <w:rtl/>
          <w:lang w:val="fr-CH"/>
        </w:rPr>
        <w:tab/>
        <w:t xml:space="preserve">التفتيش المستقل؛ </w:t>
      </w:r>
    </w:p>
    <w:p w:rsidR="00631BFA" w:rsidRDefault="00631BFA" w:rsidP="00D86241">
      <w:pPr>
        <w:pStyle w:val="SingleTxtGA"/>
        <w:spacing w:after="100" w:line="370" w:lineRule="exact"/>
        <w:rPr>
          <w:rFonts w:hint="cs"/>
          <w:rtl/>
          <w:lang w:val="fr-CH"/>
        </w:rPr>
      </w:pPr>
      <w:r>
        <w:rPr>
          <w:rFonts w:hint="cs"/>
          <w:rtl/>
          <w:lang w:val="fr-CH"/>
        </w:rPr>
        <w:tab/>
        <w:t>(ح)</w:t>
      </w:r>
      <w:r>
        <w:rPr>
          <w:rFonts w:hint="cs"/>
          <w:rtl/>
          <w:lang w:val="fr-CH"/>
        </w:rPr>
        <w:tab/>
        <w:t>السجون الخاصة؛</w:t>
      </w:r>
    </w:p>
    <w:p w:rsidR="00631BFA" w:rsidRDefault="00631BFA" w:rsidP="00D86241">
      <w:pPr>
        <w:pStyle w:val="SingleTxtGA"/>
        <w:spacing w:line="370" w:lineRule="exact"/>
        <w:rPr>
          <w:rFonts w:hint="cs"/>
          <w:rtl/>
          <w:lang w:val="fr-CH"/>
        </w:rPr>
      </w:pPr>
      <w:r>
        <w:rPr>
          <w:rFonts w:hint="cs"/>
          <w:rtl/>
          <w:lang w:val="fr-CH"/>
        </w:rPr>
        <w:tab/>
        <w:t>(ط)</w:t>
      </w:r>
      <w:r>
        <w:rPr>
          <w:rFonts w:hint="cs"/>
          <w:rtl/>
          <w:lang w:val="fr-CH"/>
        </w:rPr>
        <w:tab/>
        <w:t>نُهج لمنع التعذيب والمعاملة أو العقوبة القاسية أو اللاإنسانية أو المهينة.</w:t>
      </w:r>
    </w:p>
    <w:p w:rsidR="00631BFA" w:rsidRDefault="00631BFA" w:rsidP="00D86241">
      <w:pPr>
        <w:pStyle w:val="SingleTxtGA"/>
        <w:spacing w:line="370" w:lineRule="exact"/>
        <w:rPr>
          <w:rFonts w:hint="cs"/>
          <w:rtl/>
          <w:lang w:val="fr-CH"/>
        </w:rPr>
      </w:pPr>
      <w:r>
        <w:rPr>
          <w:rFonts w:hint="cs"/>
          <w:rtl/>
          <w:lang w:val="fr-CH"/>
        </w:rPr>
        <w:t>63-</w:t>
      </w:r>
      <w:r>
        <w:rPr>
          <w:rFonts w:hint="cs"/>
          <w:rtl/>
          <w:lang w:val="fr-CH"/>
        </w:rPr>
        <w:tab/>
        <w:t>وألقى الفريق العامل المعني بالتدريب التمهيدي والتدريب المستمر الضوء على جملة أمور بينها ما يلي:</w:t>
      </w:r>
    </w:p>
    <w:p w:rsidR="00631BFA" w:rsidRDefault="00631BFA" w:rsidP="00D86241">
      <w:pPr>
        <w:pStyle w:val="SingleTxtGA"/>
        <w:spacing w:line="370" w:lineRule="exact"/>
        <w:rPr>
          <w:rFonts w:hint="cs"/>
          <w:rtl/>
          <w:lang w:val="fr-CH"/>
        </w:rPr>
      </w:pPr>
      <w:r>
        <w:rPr>
          <w:rFonts w:hint="cs"/>
          <w:rtl/>
          <w:lang w:val="fr-CH"/>
        </w:rPr>
        <w:tab/>
        <w:t>(أ)</w:t>
      </w:r>
      <w:r>
        <w:rPr>
          <w:rFonts w:hint="cs"/>
          <w:rtl/>
          <w:lang w:val="fr-CH"/>
        </w:rPr>
        <w:tab/>
        <w:t>الحاجة إلى إيلاء الأولوية للتدريب التمهيدي والتدريب المستمر للأعضاء الجدد في الدورة التاسعة عشرة للجنة الفرعية؛</w:t>
      </w:r>
    </w:p>
    <w:p w:rsidR="00631BFA" w:rsidRDefault="00631BFA" w:rsidP="00D86241">
      <w:pPr>
        <w:pStyle w:val="SingleTxtGA"/>
        <w:spacing w:line="370" w:lineRule="exact"/>
        <w:rPr>
          <w:rFonts w:hint="cs"/>
          <w:rtl/>
          <w:lang w:val="fr-CH"/>
        </w:rPr>
      </w:pPr>
      <w:r>
        <w:rPr>
          <w:rFonts w:hint="cs"/>
          <w:rtl/>
          <w:lang w:val="fr-CH"/>
        </w:rPr>
        <w:tab/>
        <w:t>(ب)</w:t>
      </w:r>
      <w:r>
        <w:rPr>
          <w:rFonts w:hint="cs"/>
          <w:rtl/>
          <w:lang w:val="fr-CH"/>
        </w:rPr>
        <w:tab/>
        <w:t>الحاجة إلى مساعدة الأعضاء المنتخبين الجدد بفضل توفير المعلومات والدعم الشخصي والمساعدة العملية لتيسير تجاربهم الأولى في الهيئة العامة للجنة الفرعية (مع الإقرار بوجود ترابط وثيق بين كلٍّ من هذه العناصر)؛</w:t>
      </w:r>
    </w:p>
    <w:p w:rsidR="00631BFA" w:rsidRDefault="00631BFA" w:rsidP="00D86241">
      <w:pPr>
        <w:pStyle w:val="SingleTxtGA"/>
        <w:spacing w:line="370" w:lineRule="exact"/>
        <w:rPr>
          <w:rFonts w:hint="cs"/>
          <w:rtl/>
          <w:lang w:val="fr-CH"/>
        </w:rPr>
      </w:pPr>
      <w:r>
        <w:rPr>
          <w:rFonts w:hint="cs"/>
          <w:rtl/>
          <w:lang w:val="fr-CH"/>
        </w:rPr>
        <w:tab/>
        <w:t>(ج)</w:t>
      </w:r>
      <w:r>
        <w:rPr>
          <w:rFonts w:hint="cs"/>
          <w:rtl/>
          <w:lang w:val="fr-CH"/>
        </w:rPr>
        <w:tab/>
        <w:t>استصواب تنقيح النظام الداخلي للجنة الفرعية فيما يتعلَّق بتوقيت انتخاب المكتب.</w:t>
      </w:r>
    </w:p>
    <w:p w:rsidR="00631BFA" w:rsidRDefault="00631BFA" w:rsidP="00D86241">
      <w:pPr>
        <w:pStyle w:val="SingleTxtGA"/>
        <w:spacing w:line="370" w:lineRule="exact"/>
        <w:rPr>
          <w:rFonts w:hint="cs"/>
          <w:rtl/>
          <w:lang w:val="fr-CH"/>
        </w:rPr>
      </w:pPr>
      <w:r>
        <w:rPr>
          <w:rFonts w:hint="cs"/>
          <w:rtl/>
          <w:lang w:val="fr-CH"/>
        </w:rPr>
        <w:t>64-</w:t>
      </w:r>
      <w:r>
        <w:rPr>
          <w:rFonts w:hint="cs"/>
          <w:rtl/>
          <w:lang w:val="fr-CH"/>
        </w:rPr>
        <w:tab/>
        <w:t>وألقى الفريق العامل المعني بالأعمال الانتقامية الضوء على جملة أمور بينها:</w:t>
      </w:r>
    </w:p>
    <w:p w:rsidR="00631BFA" w:rsidRDefault="00631BFA" w:rsidP="00D86241">
      <w:pPr>
        <w:pStyle w:val="SingleTxtGA"/>
        <w:spacing w:line="370" w:lineRule="exact"/>
        <w:rPr>
          <w:rFonts w:hint="cs"/>
          <w:rtl/>
          <w:lang w:val="fr-CH"/>
        </w:rPr>
      </w:pPr>
      <w:r>
        <w:rPr>
          <w:rFonts w:hint="cs"/>
          <w:rtl/>
          <w:lang w:val="fr-CH"/>
        </w:rPr>
        <w:tab/>
        <w:t>(أ)</w:t>
      </w:r>
      <w:r>
        <w:rPr>
          <w:rFonts w:hint="cs"/>
          <w:rtl/>
          <w:lang w:val="fr-CH"/>
        </w:rPr>
        <w:tab/>
        <w:t>ضرورة النظر في اتخاذ موقف رسمي بشأن السياسة التي ينبغي نهجها للتصدِّي لمخاطر الأعمال الانتقامية والشكل الذي ينبغي أن تتخذه هذه السياسة؛</w:t>
      </w:r>
    </w:p>
    <w:p w:rsidR="00631BFA" w:rsidRDefault="00631BFA" w:rsidP="00D86241">
      <w:pPr>
        <w:pStyle w:val="SingleTxtGA"/>
        <w:spacing w:line="370" w:lineRule="exact"/>
        <w:rPr>
          <w:rFonts w:hint="cs"/>
          <w:rtl/>
          <w:lang w:val="fr-CH"/>
        </w:rPr>
      </w:pPr>
      <w:r>
        <w:rPr>
          <w:rFonts w:hint="cs"/>
          <w:rtl/>
          <w:lang w:val="fr-CH"/>
        </w:rPr>
        <w:tab/>
        <w:t>(ب)</w:t>
      </w:r>
      <w:r>
        <w:rPr>
          <w:rFonts w:hint="cs"/>
          <w:rtl/>
          <w:lang w:val="fr-CH"/>
        </w:rPr>
        <w:tab/>
        <w:t>ضرورة النظر في العلاقة بين مبدأ السرية وضرورة ضمان توقُّف الأعمال الانتقامية؛</w:t>
      </w:r>
    </w:p>
    <w:p w:rsidR="00631BFA" w:rsidRDefault="00631BFA" w:rsidP="00D86241">
      <w:pPr>
        <w:pStyle w:val="SingleTxtGA"/>
        <w:spacing w:line="370" w:lineRule="exact"/>
        <w:rPr>
          <w:rFonts w:hint="cs"/>
          <w:rtl/>
          <w:lang w:val="fr-CH"/>
        </w:rPr>
      </w:pPr>
      <w:r>
        <w:rPr>
          <w:rFonts w:hint="cs"/>
          <w:rtl/>
          <w:lang w:val="fr-CH"/>
        </w:rPr>
        <w:tab/>
        <w:t>(ج)</w:t>
      </w:r>
      <w:r>
        <w:rPr>
          <w:rFonts w:hint="cs"/>
          <w:rtl/>
          <w:lang w:val="fr-CH"/>
        </w:rPr>
        <w:tab/>
        <w:t>ضرورة النظر في دور الآليات الوقائية الوطنية ومسؤولياتها فيما يتعلَّق بمخاطر الأعمال الانتقامية.</w:t>
      </w:r>
    </w:p>
    <w:p w:rsidR="00631BFA" w:rsidRDefault="00631BFA" w:rsidP="00D86241">
      <w:pPr>
        <w:pStyle w:val="SingleTxtGA"/>
        <w:spacing w:line="370" w:lineRule="exact"/>
        <w:rPr>
          <w:rFonts w:hint="cs"/>
          <w:rtl/>
          <w:lang w:val="fr-CH"/>
        </w:rPr>
      </w:pPr>
      <w:r>
        <w:rPr>
          <w:rFonts w:hint="cs"/>
          <w:rtl/>
          <w:lang w:val="fr-CH"/>
        </w:rPr>
        <w:t>65-</w:t>
      </w:r>
      <w:r>
        <w:rPr>
          <w:rFonts w:hint="cs"/>
          <w:rtl/>
          <w:lang w:val="fr-CH"/>
        </w:rPr>
        <w:tab/>
        <w:t>وألقى الفريق العامل المعني بالمسائل الإجرائية، بما في ذلك صعوبات الوصول إلى أماكن الاحتجاز، الضوء على جملة أمور منها ما يلي:</w:t>
      </w:r>
    </w:p>
    <w:p w:rsidR="00631BFA" w:rsidRDefault="00631BFA" w:rsidP="00D86241">
      <w:pPr>
        <w:pStyle w:val="SingleTxtGA"/>
        <w:spacing w:line="370" w:lineRule="exact"/>
        <w:rPr>
          <w:rFonts w:hint="cs"/>
          <w:rtl/>
          <w:lang w:val="fr-CH"/>
        </w:rPr>
      </w:pPr>
      <w:r>
        <w:rPr>
          <w:rFonts w:hint="cs"/>
          <w:rtl/>
          <w:lang w:val="fr-CH"/>
        </w:rPr>
        <w:tab/>
        <w:t>(أ)</w:t>
      </w:r>
      <w:r>
        <w:rPr>
          <w:rFonts w:hint="cs"/>
          <w:rtl/>
          <w:lang w:val="fr-CH"/>
        </w:rPr>
        <w:tab/>
        <w:t>ضرورة النظر في الردود العملية في حالات منع أو تأخير الوصول إلى بعض أماكن الاحتجاز؛</w:t>
      </w:r>
    </w:p>
    <w:p w:rsidR="00631BFA" w:rsidRDefault="00631BFA" w:rsidP="00631BFA">
      <w:pPr>
        <w:pStyle w:val="SingleTxtGA"/>
        <w:rPr>
          <w:rFonts w:hint="cs"/>
          <w:rtl/>
          <w:lang w:val="fr-CH"/>
        </w:rPr>
      </w:pPr>
      <w:r>
        <w:rPr>
          <w:rFonts w:hint="cs"/>
          <w:rtl/>
          <w:lang w:val="fr-CH"/>
        </w:rPr>
        <w:tab/>
        <w:t>(ب)</w:t>
      </w:r>
      <w:r>
        <w:rPr>
          <w:rFonts w:hint="cs"/>
          <w:rtl/>
          <w:lang w:val="fr-CH"/>
        </w:rPr>
        <w:tab/>
        <w:t>ضرورة النظر في الردود العملية للتصدي لصعوبات الوصول إلى بعض القاعات/الأرجاء في بعض أماكن الاحتجاز؛</w:t>
      </w:r>
    </w:p>
    <w:p w:rsidR="00631BFA" w:rsidRDefault="00631BFA" w:rsidP="00631BFA">
      <w:pPr>
        <w:pStyle w:val="SingleTxtGA"/>
        <w:rPr>
          <w:rFonts w:hint="cs"/>
          <w:rtl/>
          <w:lang w:val="fr-CH"/>
        </w:rPr>
      </w:pPr>
      <w:r>
        <w:rPr>
          <w:rFonts w:hint="cs"/>
          <w:rtl/>
          <w:lang w:val="fr-CH"/>
        </w:rPr>
        <w:tab/>
        <w:t>(ج)</w:t>
      </w:r>
      <w:r>
        <w:rPr>
          <w:rFonts w:hint="cs"/>
          <w:rtl/>
          <w:lang w:val="fr-CH"/>
        </w:rPr>
        <w:tab/>
        <w:t>ضرورة النظر في ردود عملية لتذليل العقبات التي تحول دون الالتقاء ببعض الأشخاص المحرومين من حريتهم، أو الالتقاء بهم في ظروف ملائمة؛</w:t>
      </w:r>
    </w:p>
    <w:p w:rsidR="00631BFA" w:rsidRDefault="00631BFA" w:rsidP="00631BFA">
      <w:pPr>
        <w:pStyle w:val="SingleTxtGA"/>
        <w:rPr>
          <w:rFonts w:hint="cs"/>
          <w:rtl/>
          <w:lang w:val="fr-CH"/>
        </w:rPr>
      </w:pPr>
      <w:r>
        <w:rPr>
          <w:rFonts w:hint="cs"/>
          <w:rtl/>
          <w:lang w:val="fr-CH"/>
        </w:rPr>
        <w:tab/>
        <w:t>(د)</w:t>
      </w:r>
      <w:r>
        <w:rPr>
          <w:rFonts w:hint="cs"/>
          <w:rtl/>
          <w:lang w:val="fr-CH"/>
        </w:rPr>
        <w:tab/>
        <w:t>استخدام المعلومات التي تقدِّمها منظمات المجتمع المدني؛</w:t>
      </w:r>
    </w:p>
    <w:p w:rsidR="00631BFA" w:rsidRPr="00535805" w:rsidRDefault="00631BFA" w:rsidP="00631BFA">
      <w:pPr>
        <w:pStyle w:val="SingleTxtGA"/>
        <w:rPr>
          <w:rFonts w:hint="cs"/>
          <w:rtl/>
          <w:lang w:val="fr-CH"/>
        </w:rPr>
      </w:pPr>
      <w:r>
        <w:rPr>
          <w:rFonts w:hint="cs"/>
          <w:rtl/>
          <w:lang w:val="fr-CH"/>
        </w:rPr>
        <w:tab/>
        <w:t>(</w:t>
      </w:r>
      <w:r w:rsidRPr="00726572">
        <w:rPr>
          <w:rFonts w:hint="cs"/>
          <w:sz w:val="30"/>
          <w:rtl/>
          <w:lang w:val="fr-CH"/>
        </w:rPr>
        <w:t>ﻫ</w:t>
      </w:r>
      <w:r>
        <w:rPr>
          <w:rFonts w:hint="cs"/>
          <w:rtl/>
          <w:lang w:val="fr-CH"/>
        </w:rPr>
        <w:t>)</w:t>
      </w:r>
      <w:r>
        <w:rPr>
          <w:rFonts w:hint="cs"/>
          <w:rtl/>
          <w:lang w:val="fr-CH"/>
        </w:rPr>
        <w:tab/>
        <w:t>مسائل إجرائية خاصة أخرى يمكن مواجهتها لدى زيارة السجون ومخافر الشرطة.</w:t>
      </w:r>
    </w:p>
    <w:p w:rsidR="00631BFA" w:rsidRDefault="00631BFA" w:rsidP="00D86241">
      <w:pPr>
        <w:pStyle w:val="H1GA"/>
        <w:rPr>
          <w:rFonts w:hint="cs"/>
          <w:rtl/>
          <w:lang w:val="fr-CH"/>
        </w:rPr>
      </w:pPr>
      <w:r>
        <w:rPr>
          <w:rFonts w:hint="cs"/>
          <w:rtl/>
          <w:lang w:val="fr-CH"/>
        </w:rPr>
        <w:tab/>
        <w:t>جيم-</w:t>
      </w:r>
      <w:r>
        <w:rPr>
          <w:rFonts w:hint="cs"/>
          <w:rtl/>
          <w:lang w:val="fr-CH"/>
        </w:rPr>
        <w:tab/>
        <w:t>المسائل الناشئة عن عمل اللجنة الفرعية</w:t>
      </w:r>
    </w:p>
    <w:p w:rsidR="00631BFA" w:rsidRDefault="00631BFA" w:rsidP="00631BFA">
      <w:pPr>
        <w:pStyle w:val="SingleTxtGA"/>
        <w:rPr>
          <w:rFonts w:hint="cs"/>
          <w:rtl/>
          <w:lang w:val="fr-CH"/>
        </w:rPr>
      </w:pPr>
      <w:r>
        <w:rPr>
          <w:rFonts w:hint="cs"/>
          <w:rtl/>
          <w:lang w:val="fr-CH"/>
        </w:rPr>
        <w:t>66-</w:t>
      </w:r>
      <w:r>
        <w:rPr>
          <w:rFonts w:hint="cs"/>
          <w:rtl/>
          <w:lang w:val="fr-CH"/>
        </w:rPr>
        <w:tab/>
        <w:t>تود اللجنة الفرعية أن تلفت الانتباه إلى بعض المسائل المحددة التي برزت أثناء عملها. إذ لم تتمكن، في بعض الأحيان، من قضاء الوقت الذي ترغب فيه في مرافق الاحتجاز بسبب التأخر في الحصول على إذن بالدخول أو في تذليل عقبات بيروقراطية أخرى. إنه استهلاك مؤسف لموارد قيِّمة، وينبغي أن تكفل الدول الأطراف تمكين اللجنة الفرعية من الوصول الفوري إلى جميع أماكن الاحتجاز وجميع أرجائها، وإلى الأشخاص المحرومين من حريتهم، وإلى الوثائق، وفقا</w:t>
      </w:r>
      <w:r w:rsidR="00761DC0">
        <w:rPr>
          <w:rFonts w:hint="cs"/>
          <w:rtl/>
          <w:lang w:val="fr-CH"/>
        </w:rPr>
        <w:t>ً</w:t>
      </w:r>
      <w:r>
        <w:rPr>
          <w:rFonts w:hint="cs"/>
          <w:rtl/>
          <w:lang w:val="fr-CH"/>
        </w:rPr>
        <w:t xml:space="preserve"> لأحكام البروتوكول الاختياري. وتقر اللجنة الفرعية بما</w:t>
      </w:r>
      <w:r>
        <w:rPr>
          <w:rFonts w:hint="eastAsia"/>
          <w:rtl/>
          <w:lang w:val="fr-CH"/>
        </w:rPr>
        <w:t> </w:t>
      </w:r>
      <w:r>
        <w:rPr>
          <w:rFonts w:hint="cs"/>
          <w:rtl/>
          <w:lang w:val="fr-CH"/>
        </w:rPr>
        <w:t>يبذله المجتمع المدني من جهود متواصلة وما يقدمه من دعم في منع التعذيب وغيره من ضروب المعاملة أو العقوبة القاسية أو اللاإنسانية أو المهينة، إلا أنها تود أن تشدد على أهمية تزويد اللجنة الفرعية بمعلومات ومواد تتسم بأقصى قدر ممكن من الدقة والتحديث.</w:t>
      </w:r>
    </w:p>
    <w:p w:rsidR="00631BFA" w:rsidRDefault="00631BFA" w:rsidP="00631BFA">
      <w:pPr>
        <w:pStyle w:val="SingleTxtGA"/>
        <w:rPr>
          <w:rFonts w:hint="cs"/>
          <w:rtl/>
          <w:lang w:val="fr-CH"/>
        </w:rPr>
      </w:pPr>
      <w:r>
        <w:rPr>
          <w:rFonts w:hint="cs"/>
          <w:rtl/>
          <w:lang w:val="fr-CH"/>
        </w:rPr>
        <w:t>67-</w:t>
      </w:r>
      <w:r>
        <w:rPr>
          <w:rFonts w:hint="cs"/>
          <w:rtl/>
          <w:lang w:val="fr-CH"/>
        </w:rPr>
        <w:tab/>
        <w:t>وترى اللجنة الفرعية، كما ذُكر سابقاً في عدد من الوثائق المنشورة، أن عبارة "أماكن الاحتجاز"، المذكورة في المادة 4 من البروتوكول الاختياري، ينبغي أن تُفسر تفسيراً واسعاً، كي تشمل، فيما تشمل، السجون المدنية والعسكرية، ومخافر الشرطة، ومراكز الاحتجاز السابق للمحاكمة، ومؤسسات الطب النفسي، ومراكز الصحة العقلية، ومراكز احتجاز المهاجرين، ومراكز احتجاز الأحداث، ومؤسسات الرعاية الاجتماعية. وتنطبق هذه العبارة على أي مكان دائم أو مؤقت، يُحرم فيه الأشخاص من حريتهم من جانب السلطات العامة أو بتحريض منها أو بقبولها و/أو بموافقة ضمنية منها. وبالتالي فإن تفسير "أماكن الاحتجاز" المحصور في الأماكن التقليدية للحرمان من الحرية كالسجون هو، في رأي اللجنة، تفسير محدود للغاية يتنافى بشكل واضح مع البروتوكول الاختياري.</w:t>
      </w:r>
    </w:p>
    <w:p w:rsidR="00631BFA" w:rsidRPr="00D86241" w:rsidRDefault="00631BFA" w:rsidP="00631BFA">
      <w:pPr>
        <w:pStyle w:val="SingleTxtGA"/>
        <w:rPr>
          <w:rFonts w:hint="cs"/>
          <w:spacing w:val="-2"/>
          <w:rtl/>
        </w:rPr>
      </w:pPr>
      <w:r>
        <w:rPr>
          <w:rFonts w:hint="cs"/>
          <w:rtl/>
          <w:lang w:val="fr-CH"/>
        </w:rPr>
        <w:t>68-</w:t>
      </w:r>
      <w:r>
        <w:rPr>
          <w:rFonts w:hint="cs"/>
          <w:rtl/>
          <w:lang w:val="fr-CH"/>
        </w:rPr>
        <w:tab/>
        <w:t>وقد علقت اللجنة الفرعية، في تقريرها السنوي الرابع (</w:t>
      </w:r>
      <w:r>
        <w:t>CAT/46/2</w:t>
      </w:r>
      <w:r>
        <w:rPr>
          <w:rFonts w:hint="cs"/>
          <w:rtl/>
        </w:rPr>
        <w:t xml:space="preserve">)، على النهج الذي تتبعه في التعامل مع الحالات الفردية للتعذيب وسوء المعاملة التي أُبلغت بها خلال زياراتها إلى أماكن الاحتجاز. وعلمت، منذ ذلك الحين، أن هذا التعليق قد أُسيء فهمه، وفُسر على أن اللجنة الفرعية والآليات الوقائية الوطنية لا ينبغي لهما التدخل في الحالات </w:t>
      </w:r>
      <w:r w:rsidRPr="00D86241">
        <w:rPr>
          <w:rFonts w:hint="cs"/>
          <w:spacing w:val="-2"/>
          <w:rtl/>
        </w:rPr>
        <w:t>الفردية على الإطلاق. وليس هذا هو موقف اللجنة الفرعية. والمؤكد أن اللجنة لا تحقق في الادعاءات الفردية، لكنها وثقت خلال العديد من زياراتها القطرية ادعاءات تعذيب وسوء معاملة، وأدرجت وصفاً لهذه الحالات في تقاريرها. وكما يتضح من التقرير السنوي الرابع، ترى اللجنة الفرعية ضرورة تحليل هذه الحالات لتحديد الثغرات الكامنة في الحماية ولتقديم التوصيات الأكثر فعالية في مجال منع التعذيب. ولا يعني ذلك أن اللجنة الفرعية لا يمكنها إثارة مسائل ناشئة عن حالات محددة تطَّلع عليها، وقد فعلت ذلك بين الحين والآخر. إلا أن ذلك يستدعي كشف هوية ضحية التعذيب أو سوء المعاملة، الأمر الذي لا يتطلب الموافقة المستنيرة للشخص المُدعى أنه ضحية فحسب بل يتطلب أيضاً النظر بتمعن في مخاطر الأعمال الانتقامية أو غير ذلك من النتائج الضارة لهذا الكشف. وتعتقد اللجنة الفرعية أن إساءة فهم موقفها قد يرجع إلى ما ذكرته في تقريرها السنوي الرابع وهو أن اللجنة الفرعية لا تملك صلاحية إجراء تحقيقات أو صلاحية تقديم الجبر. بيد أن بوسع اللجنة الفرعية أن تقدم توصيات إلى السلطات في هذا الشأن وهي تقوم بذلك فعلاً، وإذا تجاهلت السلطات هذه التوصيات أو امتنعت عن تنفيذها دون سبب وجيه، فإن اللجنة الفرعية تعتبر أن تلك السلطات لا تتعاون معها.</w:t>
      </w:r>
    </w:p>
    <w:p w:rsidR="00631BFA" w:rsidRPr="00E105A3" w:rsidRDefault="00631BFA" w:rsidP="00D86241">
      <w:pPr>
        <w:pStyle w:val="HChGA"/>
        <w:rPr>
          <w:rFonts w:hint="cs"/>
          <w:rtl/>
          <w:lang w:val="fr-CH"/>
        </w:rPr>
      </w:pPr>
      <w:r w:rsidRPr="00E105A3">
        <w:rPr>
          <w:rFonts w:hint="cs"/>
          <w:rtl/>
          <w:lang w:val="fr-CH"/>
        </w:rPr>
        <w:tab/>
      </w:r>
      <w:bookmarkStart w:id="12" w:name="_Toc322593355"/>
      <w:r w:rsidRPr="00E105A3">
        <w:rPr>
          <w:rFonts w:hint="cs"/>
          <w:rtl/>
          <w:lang w:val="fr-CH"/>
        </w:rPr>
        <w:t>خامساً-</w:t>
      </w:r>
      <w:r w:rsidRPr="00E105A3">
        <w:rPr>
          <w:rFonts w:hint="cs"/>
          <w:rtl/>
          <w:lang w:val="fr-CH"/>
        </w:rPr>
        <w:tab/>
        <w:t>المسائل الموضوعية</w:t>
      </w:r>
      <w:bookmarkEnd w:id="12"/>
    </w:p>
    <w:p w:rsidR="00631BFA" w:rsidRDefault="00631BFA" w:rsidP="00D86241">
      <w:pPr>
        <w:pStyle w:val="SingleTxtGA"/>
        <w:rPr>
          <w:rFonts w:hint="cs"/>
          <w:rtl/>
        </w:rPr>
      </w:pPr>
      <w:r>
        <w:rPr>
          <w:rFonts w:hint="cs"/>
          <w:rtl/>
        </w:rPr>
        <w:t>69-</w:t>
      </w:r>
      <w:r>
        <w:rPr>
          <w:rFonts w:hint="cs"/>
          <w:rtl/>
        </w:rPr>
        <w:tab/>
        <w:t>تود اللجنة الفرعية أن تحدد في هذا الفصل وجهة نظرها الحالية بشأن عدد من المسائل ذات الأهمية بالنسبة لولايتها.</w:t>
      </w:r>
    </w:p>
    <w:p w:rsidR="00631BFA" w:rsidRDefault="00631BFA" w:rsidP="00D86241">
      <w:pPr>
        <w:pStyle w:val="H1GA"/>
        <w:rPr>
          <w:rFonts w:hint="cs"/>
          <w:rtl/>
        </w:rPr>
      </w:pPr>
      <w:r>
        <w:rPr>
          <w:rFonts w:hint="cs"/>
          <w:rtl/>
        </w:rPr>
        <w:tab/>
        <w:t>ألف-</w:t>
      </w:r>
      <w:r>
        <w:rPr>
          <w:rFonts w:hint="cs"/>
          <w:rtl/>
        </w:rPr>
        <w:tab/>
        <w:t>دور المراجعة القضائية ومراعاة الأصول القانونية في منع التعذيب في السجون</w:t>
      </w:r>
    </w:p>
    <w:p w:rsidR="00631BFA" w:rsidRPr="00916E69" w:rsidRDefault="00631BFA" w:rsidP="00D86241">
      <w:pPr>
        <w:pStyle w:val="H23GA"/>
        <w:rPr>
          <w:rFonts w:hint="cs"/>
          <w:rtl/>
        </w:rPr>
      </w:pPr>
      <w:r>
        <w:rPr>
          <w:rFonts w:hint="cs"/>
          <w:rtl/>
        </w:rPr>
        <w:tab/>
        <w:t>1-</w:t>
      </w:r>
      <w:r>
        <w:rPr>
          <w:rFonts w:hint="cs"/>
          <w:rtl/>
        </w:rPr>
        <w:tab/>
        <w:t>موجز</w:t>
      </w:r>
    </w:p>
    <w:p w:rsidR="00631BFA" w:rsidRDefault="00631BFA" w:rsidP="00D86241">
      <w:pPr>
        <w:pStyle w:val="SingleTxtGA"/>
        <w:rPr>
          <w:rFonts w:hint="cs"/>
          <w:smallCaps/>
          <w:rtl/>
        </w:rPr>
      </w:pPr>
      <w:r>
        <w:rPr>
          <w:rFonts w:hint="cs"/>
          <w:rtl/>
        </w:rPr>
        <w:t>70-</w:t>
      </w:r>
      <w:r>
        <w:rPr>
          <w:rFonts w:hint="cs"/>
          <w:rtl/>
        </w:rPr>
        <w:tab/>
        <w:t>الافتراض الخاطئ بأن مراعاة الأصول القانونية تنتهي لحظة إصدار الحكم، وأنها لا</w:t>
      </w:r>
      <w:r>
        <w:rPr>
          <w:rFonts w:hint="eastAsia"/>
          <w:rtl/>
        </w:rPr>
        <w:t> </w:t>
      </w:r>
      <w:r>
        <w:rPr>
          <w:rFonts w:hint="cs"/>
          <w:rtl/>
        </w:rPr>
        <w:t>تنطبق على نظام السجن وظروفه، يشجع استخدام التعذيب وسوء المعاملة في أماكن الاحتجاز، وبالتحديد في سجون البالغين والأحداث. وبالإضافة إلى إجراءات تقديم الشكاوى ومراقبة أماكن الاحتجاز هذه</w:t>
      </w:r>
      <w:r>
        <w:rPr>
          <w:rFonts w:hint="cs"/>
          <w:smallCaps/>
          <w:rtl/>
        </w:rPr>
        <w:t>، لا بد أن توفر الدول آلية قضائية خاصة أو آلية مشابهة لحماية حقوق جميع المدانين والمحتجزين قبل المحاكمة.</w:t>
      </w:r>
    </w:p>
    <w:p w:rsidR="00631BFA" w:rsidRPr="00712584" w:rsidRDefault="00631BFA" w:rsidP="00D86241">
      <w:pPr>
        <w:pStyle w:val="H23GA"/>
        <w:rPr>
          <w:rFonts w:hint="cs"/>
          <w:rtl/>
        </w:rPr>
      </w:pPr>
      <w:r>
        <w:rPr>
          <w:rFonts w:hint="cs"/>
          <w:rtl/>
        </w:rPr>
        <w:tab/>
      </w:r>
      <w:r w:rsidRPr="00712584">
        <w:rPr>
          <w:rFonts w:hint="cs"/>
          <w:rtl/>
        </w:rPr>
        <w:t>2-</w:t>
      </w:r>
      <w:r w:rsidRPr="00712584">
        <w:rPr>
          <w:rFonts w:hint="cs"/>
          <w:rtl/>
        </w:rPr>
        <w:tab/>
        <w:t>مقدمة</w:t>
      </w:r>
    </w:p>
    <w:p w:rsidR="00631BFA" w:rsidRDefault="00631BFA" w:rsidP="00631BFA">
      <w:pPr>
        <w:pStyle w:val="SingleTxtGA"/>
        <w:rPr>
          <w:rFonts w:hint="cs"/>
          <w:rtl/>
        </w:rPr>
      </w:pPr>
      <w:r>
        <w:rPr>
          <w:rFonts w:hint="cs"/>
          <w:rtl/>
        </w:rPr>
        <w:t>71-</w:t>
      </w:r>
      <w:r>
        <w:rPr>
          <w:rFonts w:hint="cs"/>
          <w:rtl/>
        </w:rPr>
        <w:tab/>
        <w:t>في حالة السجون بشكل محدد، تسهم عوامل ثقافية مختلفة، من قبيل الفكرة القائلة بأن النزلاء "خارجون عن المجتمع" أو أنهم أشخاص "خطرون"، أو ردود فعل وسائط الإعلام إزاء انعدام الأمن، في إهمال أو استضعاف الأشخاص الذين يقضون عقوبة السجن أو</w:t>
      </w:r>
      <w:r>
        <w:rPr>
          <w:rFonts w:hint="eastAsia"/>
          <w:rtl/>
        </w:rPr>
        <w:t> </w:t>
      </w:r>
      <w:r>
        <w:rPr>
          <w:rFonts w:hint="cs"/>
          <w:rtl/>
        </w:rPr>
        <w:t>المحبوسين احتياطياً.</w:t>
      </w:r>
    </w:p>
    <w:p w:rsidR="00631BFA" w:rsidRPr="00B65492" w:rsidRDefault="00631BFA" w:rsidP="00D86241">
      <w:pPr>
        <w:pStyle w:val="SingleTxtGA"/>
        <w:rPr>
          <w:rFonts w:hint="cs"/>
          <w:rtl/>
        </w:rPr>
      </w:pPr>
      <w:r w:rsidRPr="00B65492">
        <w:rPr>
          <w:rFonts w:hint="cs"/>
          <w:rtl/>
        </w:rPr>
        <w:t>72-</w:t>
      </w:r>
      <w:r w:rsidRPr="00B65492">
        <w:rPr>
          <w:rFonts w:hint="cs"/>
          <w:rtl/>
        </w:rPr>
        <w:tab/>
      </w:r>
      <w:r>
        <w:rPr>
          <w:rFonts w:hint="cs"/>
          <w:rtl/>
        </w:rPr>
        <w:t>ولتدارك</w:t>
      </w:r>
      <w:r w:rsidRPr="00B65492">
        <w:rPr>
          <w:rFonts w:hint="cs"/>
          <w:rtl/>
        </w:rPr>
        <w:t xml:space="preserve"> النقص في حماية السجناء، يجب أن ينص القانون على أن للمحتجزين حقوقاً أساسية (تشمل الحق في السلامة الشخصية وحرية الضمير) وأن القليل فقط من حقوقهم معلق (مثل حرية</w:t>
      </w:r>
      <w:r>
        <w:rPr>
          <w:rFonts w:hint="cs"/>
          <w:rtl/>
        </w:rPr>
        <w:t xml:space="preserve"> اختيار مكان</w:t>
      </w:r>
      <w:r w:rsidRPr="00B65492">
        <w:rPr>
          <w:rFonts w:hint="cs"/>
          <w:rtl/>
        </w:rPr>
        <w:t xml:space="preserve"> الإقامة) أو مقيد (مثل حرية التجمع والتعبير). وبالإضافة إلى ذلك، لا بد من ضمان حصولهم على بعض الحقوق أثناء الاحتجاز (كالحق في الغذاء، وظروف العيش اللائق، والخدمات الصحية)</w:t>
      </w:r>
      <w:r>
        <w:rPr>
          <w:rFonts w:hint="cs"/>
          <w:rtl/>
        </w:rPr>
        <w:t xml:space="preserve"> والتأكد من أنهم يتمتعون بتلك الحقوق</w:t>
      </w:r>
      <w:r w:rsidRPr="00B65492">
        <w:rPr>
          <w:rFonts w:hint="cs"/>
          <w:rtl/>
        </w:rPr>
        <w:t>. وثمة نقص في الآليات والقواعد الإجرائية وسبل الانتصاف اللازمة لإنفاذ هذا الإطار القانوني. والواقع أن للمحتجزين "حقوقاً دون ضمانات".</w:t>
      </w:r>
    </w:p>
    <w:p w:rsidR="00631BFA" w:rsidRPr="00032924" w:rsidRDefault="00631BFA" w:rsidP="00631BFA">
      <w:pPr>
        <w:pStyle w:val="H23GA"/>
        <w:rPr>
          <w:rFonts w:hint="cs"/>
          <w:rtl/>
        </w:rPr>
      </w:pPr>
      <w:r>
        <w:rPr>
          <w:rFonts w:hint="cs"/>
          <w:rtl/>
        </w:rPr>
        <w:tab/>
      </w:r>
      <w:r w:rsidRPr="00032924">
        <w:rPr>
          <w:rFonts w:hint="cs"/>
          <w:rtl/>
        </w:rPr>
        <w:t>3-</w:t>
      </w:r>
      <w:r w:rsidRPr="00032924">
        <w:rPr>
          <w:rFonts w:hint="cs"/>
          <w:rtl/>
        </w:rPr>
        <w:tab/>
        <w:t>غياب الحماية المؤسسية</w:t>
      </w:r>
    </w:p>
    <w:p w:rsidR="00631BFA" w:rsidRDefault="00631BFA" w:rsidP="00D86241">
      <w:pPr>
        <w:pStyle w:val="SingleTxtGA"/>
        <w:rPr>
          <w:rFonts w:hint="cs"/>
          <w:rtl/>
        </w:rPr>
      </w:pPr>
      <w:r>
        <w:rPr>
          <w:rFonts w:hint="cs"/>
          <w:rtl/>
        </w:rPr>
        <w:t>73-</w:t>
      </w:r>
      <w:r>
        <w:rPr>
          <w:rFonts w:hint="cs"/>
          <w:rtl/>
        </w:rPr>
        <w:tab/>
        <w:t>إن غياب الحماية القانونية في أماكن الاحتجاز يرتبط أيضاً بالتصورات المتعلقة بالعقوبة كأداة للتأهيل والإصلاح</w:t>
      </w:r>
      <w:r>
        <w:rPr>
          <w:vertAlign w:val="superscript"/>
          <w:rtl/>
        </w:rPr>
        <w:t>(</w:t>
      </w:r>
      <w:r>
        <w:rPr>
          <w:rStyle w:val="FootnoteReference"/>
          <w:smallCaps/>
          <w:rtl/>
        </w:rPr>
        <w:footnoteReference w:id="31"/>
      </w:r>
      <w:r>
        <w:rPr>
          <w:vertAlign w:val="superscript"/>
          <w:rtl/>
        </w:rPr>
        <w:t>)</w:t>
      </w:r>
      <w:r>
        <w:rPr>
          <w:rFonts w:hint="cs"/>
          <w:rtl/>
        </w:rPr>
        <w:t>، التي أسهمت في سيطرة نموذج تقرر فيه سلطات السجن والموظفون الفنيون وحراس الأمن من طرف واحد نظام العقوبة.</w:t>
      </w:r>
    </w:p>
    <w:p w:rsidR="00631BFA" w:rsidRPr="000055D0" w:rsidRDefault="00631BFA" w:rsidP="00631BFA">
      <w:pPr>
        <w:pStyle w:val="H23GA"/>
        <w:rPr>
          <w:rFonts w:hint="cs"/>
          <w:rtl/>
        </w:rPr>
      </w:pPr>
      <w:r>
        <w:rPr>
          <w:rFonts w:hint="cs"/>
          <w:rtl/>
        </w:rPr>
        <w:tab/>
      </w:r>
      <w:r w:rsidRPr="000055D0">
        <w:rPr>
          <w:rFonts w:hint="cs"/>
          <w:rtl/>
        </w:rPr>
        <w:t>4-</w:t>
      </w:r>
      <w:r w:rsidRPr="000055D0">
        <w:rPr>
          <w:rFonts w:hint="cs"/>
          <w:rtl/>
        </w:rPr>
        <w:tab/>
        <w:t>مراعاة الأصول القانونية</w:t>
      </w:r>
    </w:p>
    <w:p w:rsidR="00631BFA" w:rsidRDefault="00631BFA" w:rsidP="00D86241">
      <w:pPr>
        <w:pStyle w:val="SingleTxtGA"/>
        <w:rPr>
          <w:rFonts w:hint="cs"/>
          <w:rtl/>
        </w:rPr>
      </w:pPr>
      <w:r>
        <w:rPr>
          <w:rFonts w:hint="cs"/>
          <w:rtl/>
        </w:rPr>
        <w:t>74-</w:t>
      </w:r>
      <w:r>
        <w:rPr>
          <w:rFonts w:hint="cs"/>
          <w:rtl/>
        </w:rPr>
        <w:tab/>
        <w:t>تعني مراعاة الأصول القانونية ضرورة اتباع إجراءات معينة كي تتمكن الدولة من إنفاذ الحقوق الأساسية بشكل مشروع؛ وهي بذلك ترسي مجموعة من المتطلبات التي لا بد من تلبيتها حتى يتمكن الأفراد من الدفاع عن أنفسهم بشكل مناسب في وجه أي عمل من جانب الدولة يمكن أن يمس بحقوقهم.</w:t>
      </w:r>
    </w:p>
    <w:p w:rsidR="00631BFA" w:rsidRDefault="00631BFA" w:rsidP="00D86241">
      <w:pPr>
        <w:pStyle w:val="SingleTxtGA"/>
        <w:rPr>
          <w:rFonts w:hint="cs"/>
          <w:rtl/>
        </w:rPr>
      </w:pPr>
      <w:r>
        <w:rPr>
          <w:rFonts w:hint="cs"/>
          <w:rtl/>
        </w:rPr>
        <w:t>75-</w:t>
      </w:r>
      <w:r>
        <w:rPr>
          <w:rFonts w:hint="cs"/>
          <w:rtl/>
        </w:rPr>
        <w:tab/>
        <w:t>وداخل نظام العدالة الجنائية، ينبغي ألا تقتصر مراعاة الأصول القانونية على تحديد العقوبات بل ينبغي أن تشمل أيضاً ضمان حماية جميع المحتجزين، وتوفير إطار للعلاقة بين السجناء وسلطات السجن فيما يتعلق بالحقوق والالتزامات، بما في ذلك سبل الحصول على خدمات الدفاع وسبل الانتصاف القانوني.</w:t>
      </w:r>
    </w:p>
    <w:p w:rsidR="00631BFA" w:rsidRPr="00E7444D" w:rsidRDefault="00631BFA" w:rsidP="00631BFA">
      <w:pPr>
        <w:pStyle w:val="H23GA"/>
        <w:rPr>
          <w:rFonts w:hint="cs"/>
          <w:rtl/>
        </w:rPr>
      </w:pPr>
      <w:r>
        <w:rPr>
          <w:rFonts w:hint="cs"/>
          <w:rtl/>
        </w:rPr>
        <w:tab/>
      </w:r>
      <w:r w:rsidRPr="00E7444D">
        <w:rPr>
          <w:rFonts w:hint="cs"/>
          <w:rtl/>
        </w:rPr>
        <w:t>5-</w:t>
      </w:r>
      <w:r w:rsidRPr="00E7444D">
        <w:rPr>
          <w:rFonts w:hint="cs"/>
          <w:rtl/>
        </w:rPr>
        <w:tab/>
        <w:t>المراقبة القضائية</w:t>
      </w:r>
    </w:p>
    <w:p w:rsidR="00631BFA" w:rsidRDefault="00631BFA" w:rsidP="00D86241">
      <w:pPr>
        <w:pStyle w:val="SingleTxtGA"/>
        <w:rPr>
          <w:rFonts w:hint="cs"/>
          <w:rtl/>
        </w:rPr>
      </w:pPr>
      <w:r>
        <w:rPr>
          <w:rFonts w:hint="cs"/>
          <w:rtl/>
        </w:rPr>
        <w:t>76-</w:t>
      </w:r>
      <w:r>
        <w:rPr>
          <w:rFonts w:hint="cs"/>
          <w:rtl/>
        </w:rPr>
        <w:tab/>
        <w:t>إن التدخل القضائي خلال فترة الاحتجاز، من جانب قضاة غير القضاة الذين حددوا التهم الجنائية، يسير جنباً إلى جنب مع مراعاة الأصول القانونية. فلكي يتمكن السجناء من الاحتجاج بالمعايير التي تحميهم من إهمال أو تعسف سلطات السجون، لا بد من طرف ثالث محايد ينفذ تلك المعايير، نظراً لعدم جواز أن يقوم أي شخص بدور الخصم والقاضي في نفس الوقت. ولهذا السبب أيضاً، ينبغي ألا يتصرف القضاة المعنيون بمسائل إنفاذ أحكام السجن إلا في إطار الإجراءات القضائية المنفذة على أساس المغارمة. وبوصفهم جزءاً من نظام العدالة الجنائية، فإن دورهم يختلف اختلافاً واضحاً عن دور هيئات المراقبة، ويجب أن تكون قراراتهم قابلة للإنفاذ إنفاذاً كاملاً ضد أي سلطة حكومية.</w:t>
      </w:r>
    </w:p>
    <w:p w:rsidR="00631BFA" w:rsidRPr="00F20BE3" w:rsidRDefault="00631BFA" w:rsidP="00631BFA">
      <w:pPr>
        <w:pStyle w:val="SingleTxtGA"/>
        <w:rPr>
          <w:rFonts w:hint="cs"/>
          <w:spacing w:val="-2"/>
          <w:rtl/>
        </w:rPr>
      </w:pPr>
      <w:r w:rsidRPr="00F20BE3">
        <w:rPr>
          <w:rFonts w:hint="cs"/>
          <w:spacing w:val="-2"/>
          <w:rtl/>
        </w:rPr>
        <w:t>77-</w:t>
      </w:r>
      <w:r w:rsidRPr="00F20BE3">
        <w:rPr>
          <w:rFonts w:hint="cs"/>
          <w:spacing w:val="-2"/>
          <w:rtl/>
        </w:rPr>
        <w:tab/>
        <w:t>وإذا كانت إدارة السجن توفر المساعدة، فإن المتظلم (أي السجين المتقدم بشكوى) قد يكون مطالباً بمتابعة سبيل الانتصاف هذا قبل السعي إلى الحصول على الانتصاف من المحكمة.</w:t>
      </w:r>
    </w:p>
    <w:p w:rsidR="00631BFA" w:rsidRDefault="00631BFA" w:rsidP="00631BFA">
      <w:pPr>
        <w:pStyle w:val="SingleTxtGA"/>
        <w:rPr>
          <w:rFonts w:hint="cs"/>
          <w:rtl/>
        </w:rPr>
      </w:pPr>
      <w:r>
        <w:rPr>
          <w:rFonts w:hint="cs"/>
          <w:rtl/>
        </w:rPr>
        <w:t>78-</w:t>
      </w:r>
      <w:r>
        <w:rPr>
          <w:rFonts w:hint="cs"/>
          <w:rtl/>
        </w:rPr>
        <w:tab/>
        <w:t>وكثيراً ما يُناط بالسلطة الإدارية تنفيذ الأحكام وأوامر الاحتجاز السابق للمحاكمة؛ بيد أن القضايا المقدمة خلال فترات التنفيذ تندرج ضمن علاقة ثلاثية يحتل فيها قاضٍ متخصص أو سلطة مستقلة مماثلة قمة الهرم بينما تحتل سلطات السجون والسجناء زاويتي الهرم السفليتين تطبيقاً لمبدأ المساواة في الوسائل. وفي نهج يقوم على حقوق الإنسان، لا يبقى السجين "موضوع" المعاملة بل يصبح "فاعلاً" في علاقة قانونية لتأكيد حقوقه:</w:t>
      </w:r>
    </w:p>
    <w:p w:rsidR="00631BFA" w:rsidRDefault="00D86241" w:rsidP="00631BFA">
      <w:pPr>
        <w:pStyle w:val="SingleTxtGA"/>
        <w:spacing w:before="100" w:beforeAutospacing="1" w:after="100" w:afterAutospacing="1" w:line="240" w:lineRule="auto"/>
        <w:rPr>
          <w:rFonts w:hint="cs"/>
          <w:rtl/>
        </w:rPr>
      </w:pPr>
      <w:r>
        <w:rPr>
          <w:rFonts w:hint="cs"/>
          <w:noProof/>
          <w:rtl/>
        </w:rPr>
        <w:pict>
          <v:group id="_x0000_s2075" style="position:absolute;left:0;text-align:left;margin-left:60pt;margin-top:7pt;width:350pt;height:153pt;z-index:3" coordorigin="2334,6761" coordsize="7000,3060">
            <v:shapetype id="_x0000_t202" coordsize="21600,21600" o:spt="202" path="m,l,21600r21600,l21600,xe">
              <v:stroke joinstyle="miter"/>
              <v:path gradientshapeok="t" o:connecttype="rect"/>
            </v:shapetype>
            <v:shape id="_x0000_s2065" type="#_x0000_t202" style="position:absolute;left:5934;top:6761;width:1000;height:360" o:regroupid="1" filled="f" stroked="f">
              <v:textbox style="mso-next-textbox:#_x0000_s2065" inset="0,0,0,0">
                <w:txbxContent>
                  <w:p w:rsidR="00F815BA" w:rsidRPr="00D86241" w:rsidRDefault="00F815BA" w:rsidP="00D86241">
                    <w:pPr>
                      <w:bidi/>
                      <w:spacing w:before="40" w:line="240" w:lineRule="exact"/>
                      <w:jc w:val="center"/>
                      <w:rPr>
                        <w:rFonts w:cs="Traditional Arabic" w:hint="cs"/>
                        <w:sz w:val="26"/>
                        <w:szCs w:val="26"/>
                      </w:rPr>
                    </w:pPr>
                    <w:r w:rsidRPr="00D86241">
                      <w:rPr>
                        <w:rFonts w:cs="Traditional Arabic" w:hint="cs"/>
                        <w:sz w:val="26"/>
                        <w:szCs w:val="26"/>
                        <w:rtl/>
                      </w:rPr>
                      <w:t>الحماية</w:t>
                    </w:r>
                  </w:p>
                </w:txbxContent>
              </v:textbox>
            </v:shape>
            <v:shape id="_x0000_s2066" type="#_x0000_t202" style="position:absolute;left:2334;top:6761;width:1700;height:360" o:regroupid="1" filled="f" stroked="f">
              <v:textbox style="mso-next-textbox:#_x0000_s2066" inset="0,0,0,0">
                <w:txbxContent>
                  <w:p w:rsidR="00F815BA" w:rsidRPr="00D86241" w:rsidRDefault="00F815BA" w:rsidP="00D86241">
                    <w:pPr>
                      <w:bidi/>
                      <w:spacing w:before="40" w:line="240" w:lineRule="exact"/>
                      <w:jc w:val="center"/>
                      <w:rPr>
                        <w:rFonts w:cs="Traditional Arabic" w:hint="cs"/>
                        <w:sz w:val="26"/>
                        <w:szCs w:val="26"/>
                      </w:rPr>
                    </w:pPr>
                    <w:r w:rsidRPr="00D86241">
                      <w:rPr>
                        <w:rFonts w:cs="Traditional Arabic" w:hint="cs"/>
                        <w:sz w:val="26"/>
                        <w:szCs w:val="26"/>
                        <w:rtl/>
                      </w:rPr>
                      <w:t>النقص في الحماية</w:t>
                    </w:r>
                  </w:p>
                </w:txbxContent>
              </v:textbox>
            </v:shape>
            <v:shape id="_x0000_s2067" type="#_x0000_t202" style="position:absolute;left:6231;top:7301;width:1000;height:360" o:regroupid="1" filled="f" stroked="f">
              <v:textbox style="mso-next-textbox:#_x0000_s2067" inset="0,0,0,0">
                <w:txbxContent>
                  <w:p w:rsidR="00F815BA" w:rsidRPr="00D86241" w:rsidRDefault="00F815BA" w:rsidP="00D86241">
                    <w:pPr>
                      <w:bidi/>
                      <w:spacing w:before="40" w:line="240" w:lineRule="exact"/>
                      <w:jc w:val="center"/>
                      <w:rPr>
                        <w:rFonts w:cs="Traditional Arabic" w:hint="cs"/>
                        <w:sz w:val="28"/>
                        <w:szCs w:val="28"/>
                      </w:rPr>
                    </w:pPr>
                    <w:r w:rsidRPr="00D86241">
                      <w:rPr>
                        <w:rFonts w:cs="Traditional Arabic" w:hint="cs"/>
                        <w:sz w:val="26"/>
                        <w:szCs w:val="26"/>
                        <w:rtl/>
                      </w:rPr>
                      <w:t>القرار</w:t>
                    </w:r>
                  </w:p>
                </w:txbxContent>
              </v:textbox>
            </v:shape>
            <v:shape id="_x0000_s2068" type="#_x0000_t202" style="position:absolute;left:4634;top:7661;width:1300;height:360" o:regroupid="1" filled="f" stroked="f">
              <v:textbox style="mso-next-textbox:#_x0000_s2068" inset="0,0,0,0">
                <w:txbxContent>
                  <w:p w:rsidR="00F815BA" w:rsidRPr="00D86241" w:rsidRDefault="00F815BA" w:rsidP="00D86241">
                    <w:pPr>
                      <w:bidi/>
                      <w:spacing w:before="40" w:line="240" w:lineRule="exact"/>
                      <w:jc w:val="center"/>
                      <w:rPr>
                        <w:rFonts w:cs="Traditional Arabic" w:hint="cs"/>
                        <w:sz w:val="26"/>
                        <w:szCs w:val="26"/>
                      </w:rPr>
                    </w:pPr>
                    <w:r w:rsidRPr="00D86241">
                      <w:rPr>
                        <w:rFonts w:cs="Traditional Arabic" w:hint="cs"/>
                        <w:sz w:val="26"/>
                        <w:szCs w:val="26"/>
                        <w:rtl/>
                      </w:rPr>
                      <w:t>سلطات السجن</w:t>
                    </w:r>
                  </w:p>
                </w:txbxContent>
              </v:textbox>
            </v:shape>
            <v:shape id="_x0000_s2069" type="#_x0000_t202" style="position:absolute;left:8334;top:8021;width:1000;height:360" o:regroupid="1" filled="f" stroked="f">
              <v:textbox style="mso-next-textbox:#_x0000_s2069" inset="0,0,0,0">
                <w:txbxContent>
                  <w:p w:rsidR="00F815BA" w:rsidRPr="00D86241" w:rsidRDefault="00F815BA" w:rsidP="00D86241">
                    <w:pPr>
                      <w:bidi/>
                      <w:spacing w:before="40" w:line="240" w:lineRule="exact"/>
                      <w:jc w:val="center"/>
                      <w:rPr>
                        <w:rFonts w:cs="Traditional Arabic" w:hint="cs"/>
                        <w:sz w:val="26"/>
                        <w:szCs w:val="26"/>
                      </w:rPr>
                    </w:pPr>
                    <w:r w:rsidRPr="00D86241">
                      <w:rPr>
                        <w:rFonts w:cs="Traditional Arabic" w:hint="cs"/>
                        <w:sz w:val="26"/>
                        <w:szCs w:val="26"/>
                        <w:rtl/>
                      </w:rPr>
                      <w:t>السلطة</w:t>
                    </w:r>
                  </w:p>
                </w:txbxContent>
              </v:textbox>
            </v:shape>
            <v:shape id="_x0000_s2070" type="#_x0000_t202" style="position:absolute;left:7234;top:7601;width:700;height:360" o:regroupid="1" filled="f" stroked="f">
              <v:textbox style="mso-next-textbox:#_x0000_s2070" inset="0,0,0,0">
                <w:txbxContent>
                  <w:p w:rsidR="00F815BA" w:rsidRPr="00D86241" w:rsidRDefault="00F815BA" w:rsidP="00D86241">
                    <w:pPr>
                      <w:bidi/>
                      <w:spacing w:before="40" w:line="240" w:lineRule="exact"/>
                      <w:jc w:val="center"/>
                      <w:rPr>
                        <w:rFonts w:cs="Traditional Arabic" w:hint="cs"/>
                        <w:sz w:val="26"/>
                        <w:szCs w:val="26"/>
                      </w:rPr>
                    </w:pPr>
                    <w:r w:rsidRPr="00D86241">
                      <w:rPr>
                        <w:rFonts w:cs="Traditional Arabic" w:hint="cs"/>
                        <w:sz w:val="26"/>
                        <w:szCs w:val="26"/>
                        <w:rtl/>
                      </w:rPr>
                      <w:t>القاضي</w:t>
                    </w:r>
                  </w:p>
                </w:txbxContent>
              </v:textbox>
            </v:shape>
            <v:shape id="_x0000_s2071" type="#_x0000_t202" style="position:absolute;left:2334;top:9101;width:1800;height:720" o:regroupid="1" filled="f" stroked="f">
              <v:textbox style="mso-next-textbox:#_x0000_s2071" inset="0,0,0,0">
                <w:txbxContent>
                  <w:p w:rsidR="00F815BA" w:rsidRPr="00D86241" w:rsidRDefault="00F815BA" w:rsidP="00D86241">
                    <w:pPr>
                      <w:bidi/>
                      <w:spacing w:before="20" w:after="20" w:line="320" w:lineRule="exact"/>
                      <w:jc w:val="center"/>
                      <w:rPr>
                        <w:rFonts w:cs="Traditional Arabic" w:hint="cs"/>
                        <w:spacing w:val="-4"/>
                        <w:sz w:val="26"/>
                        <w:szCs w:val="26"/>
                      </w:rPr>
                    </w:pPr>
                    <w:r w:rsidRPr="00D86241">
                      <w:rPr>
                        <w:rFonts w:cs="Traditional Arabic" w:hint="cs"/>
                        <w:spacing w:val="-4"/>
                        <w:sz w:val="26"/>
                        <w:szCs w:val="26"/>
                        <w:rtl/>
                      </w:rPr>
                      <w:t xml:space="preserve">السجين </w:t>
                    </w:r>
                    <w:r w:rsidRPr="00D86241">
                      <w:rPr>
                        <w:rFonts w:cs="Traditional Arabic" w:hint="cs"/>
                        <w:sz w:val="26"/>
                        <w:szCs w:val="26"/>
                        <w:rtl/>
                      </w:rPr>
                      <w:t>بصفته</w:t>
                    </w:r>
                    <w:r w:rsidRPr="00D86241">
                      <w:rPr>
                        <w:rFonts w:cs="Traditional Arabic" w:hint="cs"/>
                        <w:spacing w:val="-4"/>
                        <w:sz w:val="26"/>
                        <w:szCs w:val="26"/>
                        <w:rtl/>
                      </w:rPr>
                      <w:t xml:space="preserve"> "موضوع" </w:t>
                    </w:r>
                    <w:r w:rsidRPr="00D86241">
                      <w:rPr>
                        <w:rFonts w:cs="Traditional Arabic" w:hint="cs"/>
                        <w:sz w:val="26"/>
                        <w:szCs w:val="26"/>
                        <w:rtl/>
                      </w:rPr>
                      <w:t>المعاملة</w:t>
                    </w:r>
                  </w:p>
                </w:txbxContent>
              </v:textbox>
            </v:shape>
            <v:shape id="_x0000_s2072" type="#_x0000_t202" style="position:absolute;left:4434;top:9101;width:1700;height:720" o:regroupid="1" filled="f" stroked="f">
              <v:textbox style="mso-next-textbox:#_x0000_s2072" inset="0,0,0,0">
                <w:txbxContent>
                  <w:p w:rsidR="00F815BA" w:rsidRPr="00D86241" w:rsidRDefault="00F815BA" w:rsidP="00D86241">
                    <w:pPr>
                      <w:bidi/>
                      <w:spacing w:before="20" w:after="20" w:line="320" w:lineRule="exact"/>
                      <w:jc w:val="center"/>
                      <w:rPr>
                        <w:rFonts w:cs="Traditional Arabic" w:hint="cs"/>
                        <w:spacing w:val="-4"/>
                        <w:sz w:val="26"/>
                        <w:szCs w:val="26"/>
                      </w:rPr>
                    </w:pPr>
                    <w:r w:rsidRPr="00D86241">
                      <w:rPr>
                        <w:rFonts w:cs="Traditional Arabic" w:hint="cs"/>
                        <w:spacing w:val="-4"/>
                        <w:sz w:val="26"/>
                        <w:szCs w:val="26"/>
                        <w:rtl/>
                      </w:rPr>
                      <w:t xml:space="preserve">السجين بصفته "فاعلاً" في </w:t>
                    </w:r>
                    <w:r w:rsidRPr="00D86241">
                      <w:rPr>
                        <w:rFonts w:cs="Traditional Arabic" w:hint="cs"/>
                        <w:sz w:val="26"/>
                        <w:szCs w:val="26"/>
                        <w:rtl/>
                      </w:rPr>
                      <w:t>الحقوق</w:t>
                    </w:r>
                    <w:r w:rsidRPr="00D86241">
                      <w:rPr>
                        <w:rFonts w:cs="Traditional Arabic" w:hint="cs"/>
                        <w:spacing w:val="-4"/>
                        <w:sz w:val="26"/>
                        <w:szCs w:val="26"/>
                        <w:rtl/>
                      </w:rPr>
                      <w:t xml:space="preserve"> والواجبات</w:t>
                    </w:r>
                  </w:p>
                </w:txbxContent>
              </v:textbox>
            </v:shape>
            <v:shape id="_x0000_s2073" type="#_x0000_t202" style="position:absolute;left:6334;top:9101;width:2000;height:720" o:regroupid="1" filled="f" stroked="f">
              <v:textbox style="mso-next-textbox:#_x0000_s2073" inset="0,0,0,0">
                <w:txbxContent>
                  <w:p w:rsidR="00F815BA" w:rsidRPr="00D86241" w:rsidRDefault="00F815BA" w:rsidP="00D86241">
                    <w:pPr>
                      <w:bidi/>
                      <w:spacing w:before="20" w:after="20" w:line="320" w:lineRule="exact"/>
                      <w:jc w:val="center"/>
                      <w:rPr>
                        <w:rFonts w:cs="Traditional Arabic" w:hint="cs"/>
                        <w:spacing w:val="-4"/>
                        <w:sz w:val="26"/>
                        <w:szCs w:val="26"/>
                      </w:rPr>
                    </w:pPr>
                    <w:r w:rsidRPr="00D86241">
                      <w:rPr>
                        <w:rFonts w:cs="Traditional Arabic" w:hint="cs"/>
                        <w:spacing w:val="-4"/>
                        <w:sz w:val="26"/>
                        <w:szCs w:val="26"/>
                        <w:rtl/>
                      </w:rPr>
                      <w:t>ادعاءات السجين/المُدعى عليه</w:t>
                    </w:r>
                    <w:r w:rsidRPr="00D86241">
                      <w:rPr>
                        <w:rFonts w:cs="Traditional Arabic" w:hint="cs"/>
                        <w:spacing w:val="-4"/>
                        <w:sz w:val="26"/>
                        <w:szCs w:val="26"/>
                        <w:rtl/>
                      </w:rPr>
                      <w:br/>
                      <w:t xml:space="preserve">الحماية </w:t>
                    </w:r>
                    <w:r w:rsidRPr="00D86241">
                      <w:rPr>
                        <w:rFonts w:cs="Traditional Arabic" w:hint="cs"/>
                        <w:sz w:val="26"/>
                        <w:szCs w:val="26"/>
                        <w:rtl/>
                      </w:rPr>
                      <w:t>القانونية</w:t>
                    </w:r>
                    <w:r w:rsidRPr="00D86241">
                      <w:rPr>
                        <w:rFonts w:cs="Traditional Arabic" w:hint="cs"/>
                        <w:spacing w:val="-4"/>
                        <w:sz w:val="26"/>
                        <w:szCs w:val="26"/>
                        <w:rtl/>
                      </w:rPr>
                      <w:t xml:space="preserve"> </w:t>
                    </w:r>
                  </w:p>
                </w:txbxContent>
              </v:textbox>
            </v:shape>
            <v:shape id="_x0000_s2074" type="#_x0000_t202" style="position:absolute;left:4734;top:8561;width:1000;height:444" o:regroupid="1" filled="f" stroked="f">
              <v:textbox style="mso-next-textbox:#_x0000_s2074" inset="0,0,0,0">
                <w:txbxContent>
                  <w:p w:rsidR="00F815BA" w:rsidRPr="00D86241" w:rsidRDefault="00F815BA" w:rsidP="00D86241">
                    <w:pPr>
                      <w:bidi/>
                      <w:spacing w:before="40"/>
                      <w:jc w:val="center"/>
                      <w:rPr>
                        <w:rFonts w:cs="Traditional Arabic" w:hint="cs"/>
                        <w:sz w:val="26"/>
                        <w:szCs w:val="26"/>
                      </w:rPr>
                    </w:pPr>
                    <w:r w:rsidRPr="00D86241">
                      <w:rPr>
                        <w:rFonts w:cs="Traditional Arabic" w:hint="cs"/>
                        <w:sz w:val="26"/>
                        <w:szCs w:val="26"/>
                        <w:rtl/>
                      </w:rPr>
                      <w:t>السجين</w:t>
                    </w:r>
                  </w:p>
                </w:txbxContent>
              </v:textbox>
            </v:shape>
          </v:group>
        </w:pict>
      </w:r>
      <w:r w:rsidR="00631BFA">
        <w:rPr>
          <w:rFonts w:hint="cs"/>
        </w:rPr>
        <w:pict>
          <v:shape id="_x0000_i1025" type="#_x0000_t75" style="width:369pt;height:171pt">
            <v:imagedata r:id="rId32" o:title=""/>
          </v:shape>
        </w:pict>
      </w:r>
    </w:p>
    <w:p w:rsidR="00631BFA" w:rsidRDefault="00631BFA" w:rsidP="00D86241">
      <w:pPr>
        <w:pStyle w:val="SingleTxtGA"/>
        <w:rPr>
          <w:rFonts w:hint="cs"/>
          <w:rtl/>
        </w:rPr>
      </w:pPr>
      <w:r>
        <w:rPr>
          <w:rFonts w:hint="cs"/>
          <w:rtl/>
        </w:rPr>
        <w:t>79-</w:t>
      </w:r>
      <w:r>
        <w:rPr>
          <w:rFonts w:hint="cs"/>
          <w:rtl/>
        </w:rPr>
        <w:tab/>
        <w:t>ووجود محامين يتمتعون بخبرات تختلف عن خبرات المحامين الذي يوّكلون في قضايا الدفاع الجنائي أمرٌ أساسي لضمان لجوء السجناء</w:t>
      </w:r>
      <w:r w:rsidRPr="006225D9">
        <w:rPr>
          <w:rFonts w:hint="cs"/>
          <w:rtl/>
        </w:rPr>
        <w:t xml:space="preserve"> </w:t>
      </w:r>
      <w:r>
        <w:rPr>
          <w:rFonts w:hint="cs"/>
          <w:rtl/>
        </w:rPr>
        <w:t>إلى العدالة داخل السجن سواءٌ خلال قضاء العقوبة أو خلال فترة الاحتجاز قبل المحاكمة.</w:t>
      </w:r>
    </w:p>
    <w:p w:rsidR="00631BFA" w:rsidRDefault="00631BFA" w:rsidP="00D86241">
      <w:pPr>
        <w:pStyle w:val="SingleTxtGA"/>
        <w:rPr>
          <w:rFonts w:hint="cs"/>
          <w:rtl/>
        </w:rPr>
      </w:pPr>
      <w:r>
        <w:rPr>
          <w:rFonts w:hint="cs"/>
          <w:rtl/>
        </w:rPr>
        <w:t>80-</w:t>
      </w:r>
      <w:r>
        <w:rPr>
          <w:rFonts w:hint="cs"/>
          <w:rtl/>
        </w:rPr>
        <w:tab/>
        <w:t>وليس وجود التعذيب وسوء المعاملة في أماكن الاحتجاز محض صدفة؛ بل هو يتعزز بالفراغ التشريعي والجمود القضائي اللذين يهّيئان أرضية خصبة لهذه الممارسات. ويمكن تحقيق تقدم في هذا المجال من خلال "إجراءات تشريعية أو إدارية أو قضائية فعالة أو أية إجراءات أخرى لمنع أعمال التعذيب في أي إقليم يخضع لاختصاصها القضائي" (الفقرة 1 من المادة 2 من اتفاقية مناهضة التعذيب وغيره من ضروب المعاملة أو العقوبة القاسية أو</w:t>
      </w:r>
      <w:r>
        <w:rPr>
          <w:rFonts w:hint="eastAsia"/>
          <w:rtl/>
        </w:rPr>
        <w:t> </w:t>
      </w:r>
      <w:r>
        <w:rPr>
          <w:rFonts w:hint="cs"/>
          <w:rtl/>
        </w:rPr>
        <w:t>اللاإنسانية أو المهينة، التي تنطبق على جميع الموقعين على البروتوكول الاختياري).</w:t>
      </w:r>
    </w:p>
    <w:p w:rsidR="00631BFA" w:rsidRDefault="00631BFA" w:rsidP="00D86241">
      <w:pPr>
        <w:pStyle w:val="H1GA"/>
        <w:spacing w:before="120"/>
        <w:rPr>
          <w:rFonts w:hint="cs"/>
          <w:rtl/>
        </w:rPr>
      </w:pPr>
      <w:r>
        <w:rPr>
          <w:rFonts w:hint="cs"/>
          <w:rtl/>
        </w:rPr>
        <w:tab/>
        <w:t>باء-</w:t>
      </w:r>
      <w:r>
        <w:rPr>
          <w:rFonts w:hint="cs"/>
          <w:rtl/>
        </w:rPr>
        <w:tab/>
        <w:t>عدالة السكان الأصليين ومنع التعذيب</w:t>
      </w:r>
    </w:p>
    <w:p w:rsidR="00631BFA" w:rsidRDefault="00631BFA" w:rsidP="00D86241">
      <w:pPr>
        <w:pStyle w:val="H23GA"/>
        <w:rPr>
          <w:rFonts w:hint="cs"/>
          <w:rtl/>
        </w:rPr>
      </w:pPr>
      <w:r>
        <w:rPr>
          <w:rFonts w:hint="cs"/>
          <w:rtl/>
        </w:rPr>
        <w:tab/>
        <w:t>1-</w:t>
      </w:r>
      <w:r>
        <w:rPr>
          <w:rFonts w:hint="cs"/>
          <w:rtl/>
        </w:rPr>
        <w:tab/>
        <w:t>التنوع الثقافي وعدالة السكان الأصليين</w:t>
      </w:r>
    </w:p>
    <w:p w:rsidR="00631BFA" w:rsidRDefault="00631BFA" w:rsidP="00631BFA">
      <w:pPr>
        <w:pStyle w:val="SingleTxtGA"/>
        <w:rPr>
          <w:rFonts w:hint="cs"/>
          <w:rtl/>
        </w:rPr>
      </w:pPr>
      <w:r>
        <w:rPr>
          <w:rFonts w:hint="cs"/>
          <w:rtl/>
        </w:rPr>
        <w:t>81-</w:t>
      </w:r>
      <w:r>
        <w:rPr>
          <w:rFonts w:hint="cs"/>
          <w:rtl/>
        </w:rPr>
        <w:tab/>
        <w:t>إن حماية وتعزيز تنوع أشكال التعبير الثقافي يفترضان الاعتراف بأن جميع الثقافات، بما فيها ثقافات الأشخاص المنتمين إلى الأقليات وثقافات الشعوب الأصلية، متساوية في الكرامة وفي الجدارة بالاحترام</w:t>
      </w:r>
      <w:r>
        <w:rPr>
          <w:vertAlign w:val="superscript"/>
          <w:rtl/>
        </w:rPr>
        <w:t>(</w:t>
      </w:r>
      <w:r>
        <w:rPr>
          <w:rStyle w:val="FootnoteReference"/>
          <w:b/>
          <w:smallCaps/>
          <w:rtl/>
        </w:rPr>
        <w:footnoteReference w:id="32"/>
      </w:r>
      <w:r>
        <w:rPr>
          <w:vertAlign w:val="superscript"/>
          <w:rtl/>
        </w:rPr>
        <w:t>)</w:t>
      </w:r>
      <w:r>
        <w:rPr>
          <w:rFonts w:hint="cs"/>
          <w:rtl/>
        </w:rPr>
        <w:t>.</w:t>
      </w:r>
    </w:p>
    <w:p w:rsidR="00631BFA" w:rsidRPr="00D17A16" w:rsidRDefault="00631BFA" w:rsidP="00631BFA">
      <w:pPr>
        <w:pStyle w:val="SingleTxtGA"/>
        <w:rPr>
          <w:rFonts w:hint="cs"/>
          <w:spacing w:val="-4"/>
          <w:rtl/>
        </w:rPr>
      </w:pPr>
      <w:r w:rsidRPr="00D17A16">
        <w:rPr>
          <w:rFonts w:hint="cs"/>
          <w:spacing w:val="-4"/>
          <w:rtl/>
        </w:rPr>
        <w:t>82-</w:t>
      </w:r>
      <w:r w:rsidRPr="00D17A16">
        <w:rPr>
          <w:rFonts w:hint="cs"/>
          <w:spacing w:val="-4"/>
          <w:rtl/>
        </w:rPr>
        <w:tab/>
        <w:t>ويعني احترام التنوع الثقافي ضمناً بناء علاقة تتسم بالمساواة بين الثقافات وتجاوز أوجه الخلل في علاقات القوة المستندة إلى أفكار التفوق أو الدونية. كما تفترض مسبقاً مواجهة أي ممارسة تقليدية من أي ثقافة تمس بكرامة الأفراد والشعوب، بما في ذلك ثقافة الغرب.</w:t>
      </w:r>
    </w:p>
    <w:p w:rsidR="00631BFA" w:rsidRPr="00D17A16" w:rsidRDefault="00631BFA" w:rsidP="00D86241">
      <w:pPr>
        <w:pStyle w:val="H23GA"/>
        <w:rPr>
          <w:rFonts w:hint="cs"/>
          <w:rtl/>
        </w:rPr>
      </w:pPr>
      <w:r>
        <w:rPr>
          <w:rFonts w:hint="cs"/>
          <w:rtl/>
        </w:rPr>
        <w:tab/>
      </w:r>
      <w:r w:rsidRPr="00D17A16">
        <w:rPr>
          <w:rFonts w:hint="cs"/>
          <w:rtl/>
        </w:rPr>
        <w:t>2-</w:t>
      </w:r>
      <w:r w:rsidRPr="00D17A16">
        <w:rPr>
          <w:rFonts w:hint="cs"/>
          <w:rtl/>
        </w:rPr>
        <w:tab/>
        <w:t>مفهوم عدالة السكان الأصليين</w:t>
      </w:r>
    </w:p>
    <w:p w:rsidR="00631BFA" w:rsidRDefault="00631BFA" w:rsidP="00761DC0">
      <w:pPr>
        <w:pStyle w:val="SingleTxtGA"/>
        <w:rPr>
          <w:rFonts w:hint="cs"/>
          <w:rtl/>
        </w:rPr>
      </w:pPr>
      <w:r>
        <w:rPr>
          <w:rFonts w:hint="cs"/>
          <w:rtl/>
        </w:rPr>
        <w:t>83-</w:t>
      </w:r>
      <w:r>
        <w:rPr>
          <w:rFonts w:hint="cs"/>
          <w:rtl/>
        </w:rPr>
        <w:tab/>
        <w:t>إن الاعتراف بعدالة السكان الأصليين يشكل جزءاً من الحقوق الجماعية للشعوب الأصلية على النحو المبين في القانون الدولي لحقوق الإنسان. وتنص اتفاقية منظمة العمل الدولية رقم 169</w:t>
      </w:r>
      <w:r w:rsidR="00761DC0">
        <w:rPr>
          <w:rFonts w:hint="cs"/>
          <w:rtl/>
        </w:rPr>
        <w:t>(1989)</w:t>
      </w:r>
      <w:r>
        <w:rPr>
          <w:rFonts w:hint="cs"/>
          <w:rtl/>
        </w:rPr>
        <w:t xml:space="preserve"> بشأن الشعوب الأصلية والقبلية في البلدان المستقلة على أن الشعوب الأصلية والقبلية "تتمتع ... بحق الاحتفاظ بعاداتها ومؤسساتها الخاصة، عندما لا تتعارض هذه العادات والنظم مع الحقوق الأساسية التي يحددها النظام القانوني الوطني، أو مع حقوق الإنسان المعترف بها دولياً" (الفقرة 2 من المادة 8).</w:t>
      </w:r>
    </w:p>
    <w:p w:rsidR="00631BFA" w:rsidRDefault="00631BFA" w:rsidP="00631BFA">
      <w:pPr>
        <w:pStyle w:val="SingleTxtGA"/>
        <w:rPr>
          <w:rFonts w:hint="cs"/>
          <w:rtl/>
        </w:rPr>
      </w:pPr>
      <w:r>
        <w:rPr>
          <w:rFonts w:hint="cs"/>
          <w:rtl/>
        </w:rPr>
        <w:t>84-</w:t>
      </w:r>
      <w:r>
        <w:rPr>
          <w:rFonts w:hint="cs"/>
          <w:rtl/>
        </w:rPr>
        <w:tab/>
        <w:t>ويقر إعلان الأمم المتحدة بشأن الشعوب الأصلية بأن للشعوب الأصلية الحق في الحفاظ على مؤسساتها القانونية (المادة 5) فضلاً عن الحق في عدم التعرض للدمج القسري أو</w:t>
      </w:r>
      <w:r>
        <w:rPr>
          <w:rFonts w:hint="eastAsia"/>
          <w:rtl/>
        </w:rPr>
        <w:t> </w:t>
      </w:r>
      <w:r>
        <w:rPr>
          <w:rFonts w:hint="cs"/>
          <w:rtl/>
        </w:rPr>
        <w:t>لتدمير ثقافاتها (الفقرة 1 من المادة 8). وينص هذا الصك الدولي كذلك على أن للشعوب الأصلية الحق في تعزيز وتطوير وصون نظمها أو عاداتها القانونية، إن وجدت، وفقاً لمعايير حقوق الإنسان الدولية (المادة 34) والحق في تقرير مسؤوليات الأفراد تجاه مجتمعاتهم المحلية (المادة 35).</w:t>
      </w:r>
    </w:p>
    <w:p w:rsidR="00631BFA" w:rsidRPr="00514EF3" w:rsidRDefault="00631BFA" w:rsidP="00631BFA">
      <w:pPr>
        <w:pStyle w:val="H23GA"/>
        <w:rPr>
          <w:rFonts w:hint="cs"/>
          <w:rtl/>
        </w:rPr>
      </w:pPr>
      <w:r>
        <w:rPr>
          <w:rFonts w:hint="cs"/>
          <w:rtl/>
        </w:rPr>
        <w:tab/>
      </w:r>
      <w:r w:rsidRPr="00514EF3">
        <w:rPr>
          <w:rFonts w:hint="cs"/>
          <w:rtl/>
        </w:rPr>
        <w:t>3-</w:t>
      </w:r>
      <w:r w:rsidRPr="00514EF3">
        <w:rPr>
          <w:rFonts w:hint="cs"/>
          <w:rtl/>
        </w:rPr>
        <w:tab/>
        <w:t>العلاقة بين النظام القضائي الوطني ونظام عدالة السكان الأصليين</w:t>
      </w:r>
    </w:p>
    <w:p w:rsidR="00631BFA" w:rsidRPr="00AD6528" w:rsidRDefault="00631BFA" w:rsidP="00631BFA">
      <w:pPr>
        <w:pStyle w:val="SingleTxtGA"/>
        <w:rPr>
          <w:rFonts w:hint="cs"/>
          <w:spacing w:val="-2"/>
          <w:rtl/>
        </w:rPr>
      </w:pPr>
      <w:r w:rsidRPr="00AD6528">
        <w:rPr>
          <w:rFonts w:hint="cs"/>
          <w:spacing w:val="-2"/>
          <w:rtl/>
        </w:rPr>
        <w:t>85-</w:t>
      </w:r>
      <w:r w:rsidRPr="00AD6528">
        <w:rPr>
          <w:rFonts w:hint="cs"/>
          <w:spacing w:val="-2"/>
          <w:rtl/>
        </w:rPr>
        <w:tab/>
        <w:t xml:space="preserve">إن وجود نظم قانونية مختلفة داخل أقاليم تخضع لولاية دولة واحدة يمثل تحدياً حاسم الأهمية في بناء علاقات تستند إلى التبادل بين الثقافات. ويجب أن تستند العلاقة بين نظام العدالة الوطني ونظام عدالة السكان الأصليين إلى إعطاء نفس القيمة والاعتراف لكل من النظامين القانونيين (سواء أكان النظام </w:t>
      </w:r>
      <w:r>
        <w:rPr>
          <w:rFonts w:hint="cs"/>
          <w:spacing w:val="-2"/>
          <w:rtl/>
        </w:rPr>
        <w:t>وضعيا</w:t>
      </w:r>
      <w:r w:rsidR="00BE6C28">
        <w:rPr>
          <w:rFonts w:hint="cs"/>
          <w:spacing w:val="-2"/>
          <w:rtl/>
        </w:rPr>
        <w:t>ً</w:t>
      </w:r>
      <w:r>
        <w:rPr>
          <w:rFonts w:hint="cs"/>
          <w:spacing w:val="-2"/>
          <w:rtl/>
        </w:rPr>
        <w:t xml:space="preserve"> </w:t>
      </w:r>
      <w:r w:rsidRPr="00AD6528">
        <w:rPr>
          <w:rFonts w:hint="cs"/>
          <w:spacing w:val="-2"/>
          <w:rtl/>
        </w:rPr>
        <w:t xml:space="preserve">أم عُرفياً أم ذا طابع مختلط) </w:t>
      </w:r>
      <w:r>
        <w:rPr>
          <w:rFonts w:hint="cs"/>
          <w:spacing w:val="-2"/>
          <w:rtl/>
        </w:rPr>
        <w:t>وإلى</w:t>
      </w:r>
      <w:r w:rsidRPr="00AD6528">
        <w:rPr>
          <w:rFonts w:hint="cs"/>
          <w:spacing w:val="-2"/>
          <w:rtl/>
        </w:rPr>
        <w:t xml:space="preserve"> السلطات التي تتمتع بسلطة تطبيقه. فلا غنى عن علاقة تستند إلى الاحترام والتعاون والتواصل.</w:t>
      </w:r>
    </w:p>
    <w:p w:rsidR="00631BFA" w:rsidRDefault="00631BFA" w:rsidP="00D86241">
      <w:pPr>
        <w:pStyle w:val="SingleTxtGA"/>
        <w:spacing w:line="366" w:lineRule="exact"/>
        <w:rPr>
          <w:rFonts w:hint="cs"/>
          <w:rtl/>
        </w:rPr>
      </w:pPr>
      <w:r>
        <w:rPr>
          <w:rFonts w:hint="cs"/>
          <w:rtl/>
        </w:rPr>
        <w:t>86-</w:t>
      </w:r>
      <w:r>
        <w:rPr>
          <w:rFonts w:hint="cs"/>
          <w:rtl/>
        </w:rPr>
        <w:tab/>
        <w:t>وينبغي اعتبار نظام عدالة السكان الأصليين جزءاً من كلّ وأن له علاقة جدلية وثقافية مع نظام العدالة الوطني، وذلك كي يتمكن كل نظام من أن يستوحي من الآخر ويثريه. وهذا "التبادل الثقافي القانوني" مبين بوضوح في اتفاقية منظمة العمل الدولية رقم</w:t>
      </w:r>
      <w:r>
        <w:rPr>
          <w:rFonts w:hint="eastAsia"/>
          <w:rtl/>
        </w:rPr>
        <w:t> </w:t>
      </w:r>
      <w:r>
        <w:rPr>
          <w:rFonts w:hint="cs"/>
          <w:rtl/>
        </w:rPr>
        <w:t>169، التي تنص على ما يلي: "يولى الاعتبار الواجب، عند تطبيق القوانين واللوائح الوطنية على الشعوب المعنية، لعاداتها أو لقوانين العرف الخاصة بها، "ولهذا الغرض توضع ... إجراءات لحل المنازعات التي يمكن أن تظهر عند تطبيق هذا المبدأ" (المادة 8).</w:t>
      </w:r>
    </w:p>
    <w:p w:rsidR="00631BFA" w:rsidRPr="00AD6528" w:rsidRDefault="00631BFA" w:rsidP="00D86241">
      <w:pPr>
        <w:pStyle w:val="H23GA"/>
        <w:spacing w:line="366" w:lineRule="exact"/>
        <w:rPr>
          <w:rFonts w:hint="cs"/>
          <w:rtl/>
        </w:rPr>
      </w:pPr>
      <w:r>
        <w:rPr>
          <w:rFonts w:hint="cs"/>
          <w:rtl/>
        </w:rPr>
        <w:tab/>
      </w:r>
      <w:r w:rsidRPr="00AD6528">
        <w:rPr>
          <w:rFonts w:hint="cs"/>
          <w:rtl/>
        </w:rPr>
        <w:t>4-</w:t>
      </w:r>
      <w:r w:rsidRPr="00AD6528">
        <w:rPr>
          <w:rFonts w:hint="cs"/>
          <w:rtl/>
        </w:rPr>
        <w:tab/>
        <w:t>حدود نظام العدالة الوطني في الدعاوى ضد أشخاص من السكان الأصليين</w:t>
      </w:r>
    </w:p>
    <w:p w:rsidR="00631BFA" w:rsidRDefault="00631BFA" w:rsidP="00D86241">
      <w:pPr>
        <w:pStyle w:val="SingleTxtGA"/>
        <w:spacing w:line="366" w:lineRule="exact"/>
        <w:rPr>
          <w:rFonts w:hint="cs"/>
          <w:rtl/>
        </w:rPr>
      </w:pPr>
      <w:r>
        <w:rPr>
          <w:rFonts w:hint="cs"/>
          <w:rtl/>
        </w:rPr>
        <w:t>87-</w:t>
      </w:r>
      <w:r>
        <w:rPr>
          <w:rFonts w:hint="cs"/>
          <w:rtl/>
        </w:rPr>
        <w:tab/>
        <w:t>في الحالات التي يكون فيها لنظام العدالة الوطني ولاية قضائية على أشخاص لهم خلفيات ثقافية ترتبط بالسكان الأصليين، لا بد من توفير صكوك قانونية ملائمة تتيح، عند الاقتضاء، إجراء تقييم لمسؤولية هؤلاء الأشخاص (على أن تراعى، على سبيل المثال، الميول الثقافية أو الأسس الأخرى التي يمكن أن تبرر إعفاءً من المسؤولية الجنائية). وفي مثل هذه الحالات، يُفضل دائماً إجراء المحاكمة في إطار نظام عدالة السكان الأصليين.</w:t>
      </w:r>
    </w:p>
    <w:p w:rsidR="00631BFA" w:rsidRDefault="00631BFA" w:rsidP="00D86241">
      <w:pPr>
        <w:pStyle w:val="SingleTxtGA"/>
        <w:spacing w:line="366" w:lineRule="exact"/>
        <w:rPr>
          <w:rFonts w:hint="cs"/>
          <w:rtl/>
        </w:rPr>
      </w:pPr>
      <w:r>
        <w:rPr>
          <w:rFonts w:hint="cs"/>
          <w:rtl/>
        </w:rPr>
        <w:t>88-</w:t>
      </w:r>
      <w:r>
        <w:rPr>
          <w:rFonts w:hint="cs"/>
          <w:rtl/>
        </w:rPr>
        <w:tab/>
        <w:t>والواضح أن أي شكل من أشكال السَّجن المفروضة على السكان الأصليين من جانب السلطات العامة - بما في ذلك السلطات التقليدية التي يمكنها، في حالات استثنائية، احتجاز الشخص - ينبغي أن يكون الاستثناء وليس القاعدة. وفي هذه الظروف، خصوصاً عندما يكون الاحتجاز غير قانوني، ثمة خطر أكبر للتعرض للتعذيب أو المعاملة القاسية أو</w:t>
      </w:r>
      <w:r>
        <w:rPr>
          <w:rFonts w:hint="eastAsia"/>
          <w:rtl/>
        </w:rPr>
        <w:t> </w:t>
      </w:r>
      <w:r>
        <w:rPr>
          <w:rFonts w:hint="cs"/>
          <w:rtl/>
        </w:rPr>
        <w:t>اللاإنسانية أو المهينة.</w:t>
      </w:r>
    </w:p>
    <w:p w:rsidR="00631BFA" w:rsidRDefault="00631BFA" w:rsidP="00D86241">
      <w:pPr>
        <w:pStyle w:val="SingleTxtGA"/>
        <w:spacing w:line="366" w:lineRule="exact"/>
        <w:rPr>
          <w:rFonts w:hint="cs"/>
          <w:rtl/>
        </w:rPr>
      </w:pPr>
      <w:r>
        <w:rPr>
          <w:rFonts w:hint="cs"/>
          <w:rtl/>
        </w:rPr>
        <w:t>89-</w:t>
      </w:r>
      <w:r>
        <w:rPr>
          <w:rFonts w:hint="cs"/>
          <w:rtl/>
        </w:rPr>
        <w:tab/>
        <w:t xml:space="preserve">ويجب الحكم على مشروعية الاحتجاز بناء على قانونيته ومدى تناسبه، ويجب أن تراعى في حالة السكان الأصليين مبادئ أخرى مختلفة للتأكد من أنه ليس تدبيراً تعسفياً ينطوي على خطر التعرض للتعذيب. وهذا يعني أنه بالإضافة إلى الضمانات القانونية التي تنطبق على كل فرد محتجز، يجب بذل عناية خاصة من أجل: </w:t>
      </w:r>
    </w:p>
    <w:p w:rsidR="00631BFA" w:rsidRDefault="00631BFA" w:rsidP="00D86241">
      <w:pPr>
        <w:pStyle w:val="SingleTxtGA"/>
        <w:spacing w:line="366" w:lineRule="exact"/>
        <w:rPr>
          <w:rFonts w:hint="cs"/>
          <w:rtl/>
        </w:rPr>
      </w:pPr>
      <w:r>
        <w:rPr>
          <w:rtl/>
        </w:rPr>
        <w:tab/>
      </w:r>
      <w:r>
        <w:rPr>
          <w:rFonts w:hint="cs"/>
          <w:rtl/>
        </w:rPr>
        <w:t>(أ)</w:t>
      </w:r>
      <w:r>
        <w:rPr>
          <w:rFonts w:hint="cs"/>
          <w:rtl/>
        </w:rPr>
        <w:tab/>
        <w:t>ضمان إبلاغ أفراد السكان الأصليين، بلغتهم، عن أسباب احتجازهم وعن حقوقهم؛</w:t>
      </w:r>
    </w:p>
    <w:p w:rsidR="00631BFA" w:rsidRDefault="00631BFA" w:rsidP="00D86241">
      <w:pPr>
        <w:pStyle w:val="SingleTxtGA"/>
        <w:spacing w:line="366" w:lineRule="exact"/>
        <w:rPr>
          <w:rFonts w:hint="cs"/>
          <w:rtl/>
        </w:rPr>
      </w:pPr>
      <w:r>
        <w:rPr>
          <w:rtl/>
        </w:rPr>
        <w:tab/>
      </w:r>
      <w:r>
        <w:rPr>
          <w:rFonts w:hint="cs"/>
          <w:rtl/>
        </w:rPr>
        <w:t>(ب)</w:t>
      </w:r>
      <w:r>
        <w:rPr>
          <w:rFonts w:hint="cs"/>
          <w:rtl/>
        </w:rPr>
        <w:tab/>
        <w:t>ضمان إبلاغ أُسرهم أو، إذا تعذر ذلك، سلطات مجتمعهم المحلي بشأن احتجازهم؛</w:t>
      </w:r>
    </w:p>
    <w:p w:rsidR="00631BFA" w:rsidRDefault="00631BFA" w:rsidP="00D86241">
      <w:pPr>
        <w:pStyle w:val="SingleTxtGA"/>
        <w:spacing w:line="366" w:lineRule="exact"/>
        <w:rPr>
          <w:rFonts w:hint="cs"/>
          <w:rtl/>
        </w:rPr>
      </w:pPr>
      <w:r>
        <w:rPr>
          <w:rtl/>
        </w:rPr>
        <w:tab/>
      </w:r>
      <w:r>
        <w:rPr>
          <w:rFonts w:hint="cs"/>
          <w:rtl/>
        </w:rPr>
        <w:t>(ج)</w:t>
      </w:r>
      <w:r>
        <w:rPr>
          <w:rFonts w:hint="cs"/>
          <w:rtl/>
        </w:rPr>
        <w:tab/>
        <w:t>ضمان استعانتهم، منذ لحظة احتجازهم، مجاناً، بمحامٍ عام يتكلم لغتهم (أو</w:t>
      </w:r>
      <w:r>
        <w:rPr>
          <w:rFonts w:hint="eastAsia"/>
          <w:rtl/>
        </w:rPr>
        <w:t> </w:t>
      </w:r>
      <w:r>
        <w:rPr>
          <w:rFonts w:hint="cs"/>
          <w:rtl/>
        </w:rPr>
        <w:t>يعمل معه مترجم فوري) ويكون ملماً بقانون السكان الأصليين أو بمبادئه الأساسية، بما</w:t>
      </w:r>
      <w:r>
        <w:rPr>
          <w:rFonts w:hint="eastAsia"/>
          <w:rtl/>
        </w:rPr>
        <w:t> </w:t>
      </w:r>
      <w:r>
        <w:rPr>
          <w:rFonts w:hint="cs"/>
          <w:rtl/>
        </w:rPr>
        <w:t>في ذلك إمكانية النظر في القضية برمتها في إطار نظام عدالة السكان الأصليين عند الاقتضاء، وإمكانية الاستعانة بخبراء في مجال الثقافة وعلم الإنسان؛</w:t>
      </w:r>
    </w:p>
    <w:p w:rsidR="00631BFA" w:rsidRDefault="00631BFA" w:rsidP="00D86241">
      <w:pPr>
        <w:pStyle w:val="SingleTxtGA"/>
        <w:spacing w:line="366" w:lineRule="exact"/>
        <w:rPr>
          <w:rFonts w:hint="cs"/>
          <w:rtl/>
        </w:rPr>
      </w:pPr>
      <w:r>
        <w:rPr>
          <w:rtl/>
        </w:rPr>
        <w:tab/>
      </w:r>
      <w:r>
        <w:rPr>
          <w:rFonts w:hint="cs"/>
          <w:rtl/>
        </w:rPr>
        <w:t>(د)</w:t>
      </w:r>
      <w:r>
        <w:rPr>
          <w:rFonts w:hint="cs"/>
          <w:rtl/>
        </w:rPr>
        <w:tab/>
        <w:t xml:space="preserve">ضمان أن تكون جميع السلطات المشاركة، بأي شكل من الأشكال، في مسائل الاحتجاز أو التحقيق أو إنفاذ الأحكام (كمكتب المحامي العام، ومكتب النائب العام، وشرطة التحقيقات الجنائية، والقضاة المكلفين بالقضية، وغيرهم من المسؤولين القضائيين، وسلطات السجون) ملمة بالضمانات القانونية الدنيا وبحقوق السكان الأصليين التي تقرها الصكوك الدولية ذات الصلة، وأن تدعم هذه الضمانات القانونية الدنيا والحقوق، وفق اجتهادها، بهدف اتخاذ إجراءات إيجابية؛ </w:t>
      </w:r>
    </w:p>
    <w:p w:rsidR="00631BFA" w:rsidRPr="00E40B49" w:rsidRDefault="00631BFA" w:rsidP="00D86241">
      <w:pPr>
        <w:pStyle w:val="SingleTxtGA"/>
        <w:spacing w:line="366" w:lineRule="exact"/>
        <w:rPr>
          <w:rFonts w:hint="cs"/>
          <w:rtl/>
        </w:rPr>
      </w:pPr>
      <w:r>
        <w:rPr>
          <w:rtl/>
        </w:rPr>
        <w:tab/>
      </w:r>
      <w:r>
        <w:rPr>
          <w:rFonts w:hint="cs"/>
          <w:rtl/>
        </w:rPr>
        <w:t>(</w:t>
      </w:r>
      <w:r w:rsidRPr="00E40B49">
        <w:rPr>
          <w:rFonts w:hint="cs"/>
          <w:sz w:val="30"/>
          <w:rtl/>
        </w:rPr>
        <w:t>ﻫ</w:t>
      </w:r>
      <w:r>
        <w:rPr>
          <w:rFonts w:hint="cs"/>
          <w:rtl/>
        </w:rPr>
        <w:t>)</w:t>
      </w:r>
      <w:r>
        <w:rPr>
          <w:rFonts w:hint="cs"/>
          <w:rtl/>
        </w:rPr>
        <w:tab/>
        <w:t>ضمان أن يكون الاحتجاز، في حالة احتجاز أشخاص من السكان الأصليين بشكل قانوني في حالات استثنائية، في ظروف تراعي الكرامة الشخصية، وضرورة أن تضمن الدولة حق هؤلاء الأشخاص في السلامة الشخصية</w:t>
      </w:r>
      <w:r>
        <w:rPr>
          <w:vertAlign w:val="superscript"/>
          <w:rtl/>
        </w:rPr>
        <w:t>(</w:t>
      </w:r>
      <w:r>
        <w:rPr>
          <w:rStyle w:val="FootnoteReference"/>
          <w:b/>
          <w:smallCaps/>
          <w:rtl/>
        </w:rPr>
        <w:footnoteReference w:id="33"/>
      </w:r>
      <w:r>
        <w:rPr>
          <w:vertAlign w:val="superscript"/>
          <w:rtl/>
        </w:rPr>
        <w:t>)</w:t>
      </w:r>
      <w:r>
        <w:rPr>
          <w:rFonts w:hint="cs"/>
          <w:rtl/>
        </w:rPr>
        <w:t>؛</w:t>
      </w:r>
    </w:p>
    <w:p w:rsidR="00631BFA" w:rsidRDefault="00631BFA" w:rsidP="00D86241">
      <w:pPr>
        <w:pStyle w:val="SingleTxtGA"/>
        <w:spacing w:line="366" w:lineRule="exact"/>
        <w:rPr>
          <w:rFonts w:hint="cs"/>
          <w:rtl/>
          <w:lang w:val="fr-CH"/>
        </w:rPr>
      </w:pPr>
      <w:r>
        <w:rPr>
          <w:rFonts w:hint="cs"/>
          <w:rtl/>
          <w:lang w:val="fr-CH"/>
        </w:rPr>
        <w:tab/>
        <w:t>(و)</w:t>
      </w:r>
      <w:r>
        <w:rPr>
          <w:rFonts w:hint="cs"/>
          <w:rtl/>
          <w:lang w:val="fr-CH"/>
        </w:rPr>
        <w:tab/>
        <w:t>ضمان وضعهم في مراكز الاحتجاز الأقرب إلى مجتمع السكان الأصليين الخاص بهم والأقرب إلى أُسرهم، كي يتمكنوا من تلقي زيارات متكررة ويتابعوا ممارساتهم وعادتهم التقليدية، مما يقلل من خطر عزلهم عن أقاربهم وثقافتهم ودينهم؛</w:t>
      </w:r>
    </w:p>
    <w:p w:rsidR="00631BFA" w:rsidRDefault="00631BFA" w:rsidP="00D86241">
      <w:pPr>
        <w:pStyle w:val="SingleTxtGA"/>
        <w:spacing w:line="366" w:lineRule="exact"/>
        <w:rPr>
          <w:rFonts w:hint="cs"/>
          <w:rtl/>
          <w:lang w:val="fr-CH"/>
        </w:rPr>
      </w:pPr>
      <w:r>
        <w:rPr>
          <w:rFonts w:hint="cs"/>
          <w:rtl/>
          <w:lang w:val="fr-CH"/>
        </w:rPr>
        <w:tab/>
        <w:t>(ز)</w:t>
      </w:r>
      <w:r>
        <w:rPr>
          <w:rFonts w:hint="cs"/>
          <w:rtl/>
          <w:lang w:val="fr-CH"/>
        </w:rPr>
        <w:tab/>
        <w:t>ضمان عدم فصل أفراد السكان الأصليين في أماكن الاحتجاز عن غيرهم وعدم تعرضهم للتمييز بسبب انتمائهم هذا. كما لا ينبغي دفعهم نحو التخلي عن لغتهم أو</w:t>
      </w:r>
      <w:r>
        <w:rPr>
          <w:rFonts w:hint="eastAsia"/>
          <w:rtl/>
          <w:lang w:val="fr-CH"/>
        </w:rPr>
        <w:t> </w:t>
      </w:r>
      <w:r>
        <w:rPr>
          <w:rFonts w:hint="cs"/>
          <w:rtl/>
          <w:lang w:val="fr-CH"/>
        </w:rPr>
        <w:t>لباسهم التقليدي أو عاداتهم عن طريق التهديد أو السخرية أو الإهانة؛</w:t>
      </w:r>
    </w:p>
    <w:p w:rsidR="00631BFA" w:rsidRDefault="00631BFA" w:rsidP="00D86241">
      <w:pPr>
        <w:pStyle w:val="SingleTxtGA"/>
        <w:spacing w:line="366" w:lineRule="exact"/>
        <w:rPr>
          <w:rFonts w:hint="cs"/>
          <w:rtl/>
          <w:lang w:val="fr-CH"/>
        </w:rPr>
      </w:pPr>
      <w:r>
        <w:rPr>
          <w:rFonts w:hint="cs"/>
          <w:rtl/>
          <w:lang w:val="fr-CH"/>
        </w:rPr>
        <w:tab/>
        <w:t>(ح)</w:t>
      </w:r>
      <w:r>
        <w:rPr>
          <w:rFonts w:hint="cs"/>
          <w:rtl/>
          <w:lang w:val="fr-CH"/>
        </w:rPr>
        <w:tab/>
        <w:t>ضمان مساواة النساء بالرجال من السكان الأصليين في التمتع بنفس الحماية، وضمان احترام كرامتهن فيما يتعلق بالممارسات المتصلة بحياتهن الجنسية وقيمهن التقليدية المرتبطة، في جملة أمور، بمظهرهن وشعرهن وملابسهن وعريهن؛</w:t>
      </w:r>
    </w:p>
    <w:p w:rsidR="00631BFA" w:rsidRPr="00F0750A" w:rsidRDefault="00631BFA" w:rsidP="00D86241">
      <w:pPr>
        <w:pStyle w:val="SingleTxtGA"/>
        <w:spacing w:line="366" w:lineRule="exact"/>
        <w:rPr>
          <w:rFonts w:hint="cs"/>
          <w:rtl/>
          <w:lang w:val="fr-CH"/>
        </w:rPr>
      </w:pPr>
      <w:r w:rsidRPr="00F0750A">
        <w:rPr>
          <w:rFonts w:hint="cs"/>
          <w:rtl/>
          <w:lang w:val="fr-CH"/>
        </w:rPr>
        <w:tab/>
        <w:t>(ط)</w:t>
      </w:r>
      <w:r w:rsidRPr="00F0750A">
        <w:rPr>
          <w:rFonts w:hint="cs"/>
          <w:rtl/>
          <w:lang w:val="fr-CH"/>
        </w:rPr>
        <w:tab/>
        <w:t>ضمان تمتع المحتجزين من السكان الأصليين بحقهم في حرية التعبير باللغة التي يفضلونها. وأي حظر أو تقييد لاستخدام هذه اللغة يمثل انتهاكاً لقواعد المعاملة الموحدة للمحتجزين، وهو أمر خطير للغاية عندما تكون اللغة جزءاً من هوية الشخص كفرد من أفراد مجتمع السكان الأصليين الذي ينتمي إليه.</w:t>
      </w:r>
    </w:p>
    <w:p w:rsidR="00631BFA" w:rsidRDefault="00631BFA" w:rsidP="00631BFA">
      <w:pPr>
        <w:pStyle w:val="H23GA"/>
        <w:rPr>
          <w:rFonts w:hint="cs"/>
          <w:rtl/>
          <w:lang w:val="fr-CH"/>
        </w:rPr>
      </w:pPr>
      <w:r w:rsidRPr="00570212">
        <w:rPr>
          <w:rtl/>
          <w:lang w:val="fr-CH"/>
        </w:rPr>
        <w:tab/>
      </w:r>
      <w:r w:rsidRPr="00570212">
        <w:rPr>
          <w:rFonts w:hint="cs"/>
          <w:rtl/>
          <w:lang w:val="fr-CH"/>
        </w:rPr>
        <w:t>5-</w:t>
      </w:r>
      <w:r w:rsidRPr="00570212">
        <w:rPr>
          <w:rFonts w:hint="cs"/>
          <w:rtl/>
          <w:lang w:val="fr-CH"/>
        </w:rPr>
        <w:tab/>
      </w:r>
      <w:r>
        <w:rPr>
          <w:rFonts w:hint="cs"/>
          <w:rtl/>
          <w:lang w:val="fr-CH"/>
        </w:rPr>
        <w:t>الصلات بين عدالة السكان الأصليين ومنع التعذيب</w:t>
      </w:r>
    </w:p>
    <w:p w:rsidR="00631BFA" w:rsidRPr="00164E60" w:rsidRDefault="00631BFA" w:rsidP="00D86241">
      <w:pPr>
        <w:pStyle w:val="H4GA"/>
        <w:rPr>
          <w:rFonts w:hint="cs"/>
          <w:rtl/>
          <w:lang w:val="fr-CH"/>
        </w:rPr>
      </w:pPr>
      <w:r w:rsidRPr="00164E60">
        <w:rPr>
          <w:rtl/>
          <w:lang w:val="fr-CH"/>
        </w:rPr>
        <w:tab/>
      </w:r>
      <w:r w:rsidRPr="00164E60">
        <w:rPr>
          <w:rFonts w:hint="cs"/>
          <w:rtl/>
          <w:lang w:val="fr-CH"/>
        </w:rPr>
        <w:t>(أ)</w:t>
      </w:r>
      <w:r w:rsidRPr="00164E60">
        <w:rPr>
          <w:rFonts w:hint="cs"/>
          <w:rtl/>
          <w:lang w:val="fr-CH"/>
        </w:rPr>
        <w:tab/>
        <w:t>منع التعذيب في نظام عدالة السكان الأصليين</w:t>
      </w:r>
    </w:p>
    <w:p w:rsidR="00631BFA" w:rsidRDefault="00631BFA" w:rsidP="00D86241">
      <w:pPr>
        <w:pStyle w:val="SingleTxtGA"/>
        <w:rPr>
          <w:rFonts w:hint="cs"/>
          <w:rtl/>
          <w:lang w:val="fr-CH"/>
        </w:rPr>
      </w:pPr>
      <w:r>
        <w:rPr>
          <w:rFonts w:hint="cs"/>
          <w:rtl/>
          <w:lang w:val="fr-CH"/>
        </w:rPr>
        <w:t>90-</w:t>
      </w:r>
      <w:r>
        <w:rPr>
          <w:rFonts w:hint="cs"/>
          <w:rtl/>
          <w:lang w:val="fr-CH"/>
        </w:rPr>
        <w:tab/>
        <w:t>إن الاعتراف بعدالة السكان الأصليين، بوصفها جزءاً من الحقوق الجماعية للسكان الأصليين، يحمِّل سلطات السكان الأصليين التي تمارس سلطتها في تسوية النزاعات شيئاً من المسؤولية. ولا تقتصر هذه المسؤولية على احترام المعايير والقيم والمبادئ التي تشكل قانون السكان الأصليين بل تتعداها إلى احترام حقوق الإنسان المعترف بها دولياً، كالحق في السلامة الشخصية، وحظر التعذيب والمعاملة القاسية واللاإنسانية والمهينة.</w:t>
      </w:r>
    </w:p>
    <w:p w:rsidR="00631BFA" w:rsidRDefault="00631BFA" w:rsidP="00631BFA">
      <w:pPr>
        <w:pStyle w:val="SingleTxtGA"/>
        <w:rPr>
          <w:rFonts w:hint="cs"/>
          <w:rtl/>
          <w:lang w:val="fr-CH"/>
        </w:rPr>
      </w:pPr>
      <w:r>
        <w:rPr>
          <w:rFonts w:hint="cs"/>
          <w:rtl/>
          <w:lang w:val="fr-CH"/>
        </w:rPr>
        <w:t>91-</w:t>
      </w:r>
      <w:r>
        <w:rPr>
          <w:rFonts w:hint="cs"/>
          <w:rtl/>
          <w:lang w:val="fr-CH"/>
        </w:rPr>
        <w:tab/>
        <w:t>ولا بد من تمييز أعمال التعذيب أو المعاملة القاسية واللاإنسانية والمهينة عن الممارسات التي تعد، وفقاً لرؤية السكان الأصليين للعالم، أشكالاً من التطهير الروحي والتعافي للأشخاص الذين عوقبوا وفق نظام عدالة السكان الأصليين من منظورٍ يراعي الاختلاف بين الثقافات، فإن هذه الممارسات ومنها حمامات المياه المثلجة أو استخدام القُرّاص للتطهير الروحي للجناة، تتسق مع ما ورد في اتفاقية مناهضة التعذيب لأن تعريف التعذيب في الاتفاقية "لا يتضمن ذلك الألم أو العذاب الناشئ فقط عن عقوبات قانونية أو</w:t>
      </w:r>
      <w:r>
        <w:rPr>
          <w:rFonts w:hint="eastAsia"/>
          <w:rtl/>
          <w:lang w:val="fr-CH"/>
        </w:rPr>
        <w:t> </w:t>
      </w:r>
      <w:r>
        <w:rPr>
          <w:rFonts w:hint="cs"/>
          <w:rtl/>
          <w:lang w:val="fr-CH"/>
        </w:rPr>
        <w:t>الملازم لهذه العقوبات أو الذي يكون نتيجة عرضية لها" (المادة 1).</w:t>
      </w:r>
    </w:p>
    <w:p w:rsidR="00631BFA" w:rsidRPr="00E840EA" w:rsidRDefault="00631BFA" w:rsidP="00D86241">
      <w:pPr>
        <w:pStyle w:val="H4GA"/>
        <w:rPr>
          <w:rFonts w:hint="cs"/>
          <w:rtl/>
          <w:lang w:val="fr-CH"/>
        </w:rPr>
      </w:pPr>
      <w:r w:rsidRPr="00E840EA">
        <w:rPr>
          <w:rtl/>
          <w:lang w:val="fr-CH"/>
        </w:rPr>
        <w:tab/>
      </w:r>
      <w:r w:rsidRPr="00E840EA">
        <w:rPr>
          <w:rFonts w:hint="cs"/>
          <w:rtl/>
          <w:lang w:val="fr-CH"/>
        </w:rPr>
        <w:t>(ب)</w:t>
      </w:r>
      <w:r w:rsidRPr="00E840EA">
        <w:rPr>
          <w:rFonts w:hint="cs"/>
          <w:rtl/>
          <w:lang w:val="fr-CH"/>
        </w:rPr>
        <w:tab/>
        <w:t>دور عدالة</w:t>
      </w:r>
      <w:r>
        <w:rPr>
          <w:rFonts w:hint="cs"/>
          <w:rtl/>
          <w:lang w:val="fr-CH"/>
        </w:rPr>
        <w:t xml:space="preserve"> السكان الأصليين في منع التعذيب</w:t>
      </w:r>
    </w:p>
    <w:p w:rsidR="00631BFA" w:rsidRPr="00D86241" w:rsidRDefault="00631BFA" w:rsidP="00D86241">
      <w:pPr>
        <w:pStyle w:val="SingleTxtGA"/>
        <w:spacing w:line="370" w:lineRule="exact"/>
        <w:rPr>
          <w:rFonts w:hint="cs"/>
          <w:spacing w:val="-4"/>
          <w:rtl/>
          <w:lang w:val="fr-CH"/>
        </w:rPr>
      </w:pPr>
      <w:r w:rsidRPr="00D86241">
        <w:rPr>
          <w:rFonts w:hint="cs"/>
          <w:spacing w:val="-4"/>
          <w:rtl/>
          <w:lang w:val="fr-CH"/>
        </w:rPr>
        <w:t>92-</w:t>
      </w:r>
      <w:r w:rsidRPr="00D86241">
        <w:rPr>
          <w:rFonts w:hint="cs"/>
          <w:spacing w:val="-4"/>
          <w:rtl/>
          <w:lang w:val="fr-CH"/>
        </w:rPr>
        <w:tab/>
        <w:t>في المجتمعات الحديثة، يرتبط التعذيب وسوء المعاملة ارتباطاً وثيقاً بمفهوم سلطة الدولة. أما في المجتمعات التقليدية، فإن تنظيم المجتمع يختلف اختلافاً تاماً، إذ تقوم العدالة أساساً على توافق الآراء والوساطة. وبالتالي، فإن المرحلة الأولى مما نعتبره إجراءات جنائية لا تشمل بالضرورة الحرمان من الحرية. ولذلك، فإن التعذيب وسوء المعاملة نادران جداً في المجتمعات التقليدية.</w:t>
      </w:r>
    </w:p>
    <w:p w:rsidR="00631BFA" w:rsidRDefault="00631BFA" w:rsidP="00D86241">
      <w:pPr>
        <w:pStyle w:val="SingleTxtGA"/>
        <w:spacing w:line="370" w:lineRule="exact"/>
        <w:rPr>
          <w:rFonts w:hint="cs"/>
          <w:rtl/>
          <w:lang w:val="fr-CH"/>
        </w:rPr>
      </w:pPr>
      <w:r>
        <w:rPr>
          <w:rFonts w:hint="cs"/>
          <w:rtl/>
          <w:lang w:val="fr-CH"/>
        </w:rPr>
        <w:t>93-</w:t>
      </w:r>
      <w:r>
        <w:rPr>
          <w:rFonts w:hint="cs"/>
          <w:rtl/>
          <w:lang w:val="fr-CH"/>
        </w:rPr>
        <w:tab/>
        <w:t>وأحكام السجن التي يفرضها نظام عدالة الدول عادة في القضايا الجنائية، تكاد لا تُستخدم في نظام عدالة السكان الأصليين، لأن العلاقات داخل المجتمع المحلي تحدد هيكل الهوية الشخصية والجماعية لأفراد المجتمع المحلي، والسجن يُقوض هذه العلاقات بشكل مباشر. ويرى الكثير من أفراد السكان الأصليين أن السجن يُشكل معاملة قاسية ولا إنسانية ومهينة بل ويمثل شكلاً من أشكال التعذيب.</w:t>
      </w:r>
    </w:p>
    <w:p w:rsidR="00631BFA" w:rsidRPr="00E105A3" w:rsidRDefault="00631BFA" w:rsidP="00D86241">
      <w:pPr>
        <w:pStyle w:val="SingleTxtGA"/>
        <w:spacing w:line="370" w:lineRule="exact"/>
        <w:rPr>
          <w:rFonts w:hint="cs"/>
          <w:rtl/>
          <w:lang w:val="fr-CH"/>
        </w:rPr>
      </w:pPr>
      <w:r>
        <w:rPr>
          <w:rFonts w:hint="cs"/>
          <w:rtl/>
          <w:lang w:val="fr-CH"/>
        </w:rPr>
        <w:t>94-</w:t>
      </w:r>
      <w:r>
        <w:rPr>
          <w:rFonts w:hint="cs"/>
          <w:rtl/>
          <w:lang w:val="fr-CH"/>
        </w:rPr>
        <w:tab/>
        <w:t>وبالتالي فإن تعزيز نظام عدالة السكان الأصليين والأشكال التي يتبعها في ضبط المجتمع ومعاقبة مخالفي قوانينه يمكن أن يؤدي إلى منع التعذيب والمعاملة القاسية أو اللاإنسانية أو المهينة لأفراد السكان الأصليين.</w:t>
      </w:r>
    </w:p>
    <w:p w:rsidR="00631BFA" w:rsidRPr="00E105A3" w:rsidRDefault="00631BFA" w:rsidP="00D86241">
      <w:pPr>
        <w:pStyle w:val="HChGA"/>
        <w:rPr>
          <w:rFonts w:hint="cs"/>
          <w:rtl/>
          <w:lang w:val="fr-CH"/>
        </w:rPr>
      </w:pPr>
      <w:r w:rsidRPr="00E105A3">
        <w:rPr>
          <w:rFonts w:hint="cs"/>
          <w:rtl/>
          <w:lang w:val="fr-CH"/>
        </w:rPr>
        <w:tab/>
      </w:r>
      <w:bookmarkStart w:id="13" w:name="_Toc322593358"/>
      <w:r w:rsidRPr="00E105A3">
        <w:rPr>
          <w:rFonts w:hint="cs"/>
          <w:rtl/>
          <w:lang w:val="fr-CH"/>
        </w:rPr>
        <w:t>سادساً-</w:t>
      </w:r>
      <w:r w:rsidRPr="00E105A3">
        <w:rPr>
          <w:rFonts w:hint="cs"/>
          <w:rtl/>
          <w:lang w:val="fr-CH"/>
        </w:rPr>
        <w:tab/>
        <w:t>استشراف المستقبل</w:t>
      </w:r>
      <w:bookmarkEnd w:id="13"/>
    </w:p>
    <w:p w:rsidR="00631BFA" w:rsidRDefault="00631BFA" w:rsidP="00D86241">
      <w:pPr>
        <w:pStyle w:val="SingleTxtGA"/>
        <w:spacing w:line="370" w:lineRule="exact"/>
        <w:rPr>
          <w:rFonts w:hint="cs"/>
          <w:rtl/>
          <w:lang w:val="fr-CH"/>
        </w:rPr>
      </w:pPr>
      <w:r>
        <w:rPr>
          <w:rFonts w:hint="cs"/>
          <w:rtl/>
          <w:lang w:val="fr-CH"/>
        </w:rPr>
        <w:t>95-</w:t>
      </w:r>
      <w:r>
        <w:rPr>
          <w:rFonts w:hint="cs"/>
          <w:rtl/>
          <w:lang w:val="fr-CH"/>
        </w:rPr>
        <w:tab/>
        <w:t>تشهد نهاية فترة الإبلاغ هذه مغادرة خمسة من أصل عشرة من الأعضاء المؤسسين للجنة الفرعية والذين انتُخبوا في تشرين الأول/أكتوبر 2006 ولم يكن يحق لهم الترشح لولاية جديدة خلال اجتماع الدول الأطراف في تشرين الأول/أكتوبر 2012. وستفتقد اللجنة الفرعية كثيراً هؤلاء الأشخاص وستفتقد خبراتهم، ومن المؤسف أنها تخسر هذا العدد من الأعضاء ذوي الخبرة في فترة التحول والتطور هذه. بيد أن مغادرة هؤلاء الأعضاء تتيح الفرصة لاستقبال أعضاء جدد واللجنة الفرعية تتطلع إلى استقبال أعضائها الجدد في عام 2013 وإلى العمل معهم على المضي في تطوير وسائل جديدة ومبتكرة وفعالة للوفاء بولايتها المتمثلة في منع التعذيب وسوء المعاملة.</w:t>
      </w:r>
    </w:p>
    <w:p w:rsidR="00631BFA" w:rsidRDefault="00631BFA" w:rsidP="00D86241">
      <w:pPr>
        <w:pStyle w:val="H1GA"/>
        <w:rPr>
          <w:rFonts w:hint="cs"/>
          <w:rtl/>
          <w:lang w:val="fr-CH"/>
        </w:rPr>
      </w:pPr>
      <w:r>
        <w:rPr>
          <w:rtl/>
          <w:lang w:val="fr-CH"/>
        </w:rPr>
        <w:tab/>
      </w:r>
      <w:r>
        <w:rPr>
          <w:rFonts w:hint="cs"/>
          <w:rtl/>
          <w:lang w:val="fr-CH"/>
        </w:rPr>
        <w:t>ألف-</w:t>
      </w:r>
      <w:r>
        <w:rPr>
          <w:rFonts w:hint="cs"/>
          <w:rtl/>
          <w:lang w:val="fr-CH"/>
        </w:rPr>
        <w:tab/>
        <w:t>خطة العمل لعام 2013</w:t>
      </w:r>
    </w:p>
    <w:p w:rsidR="00631BFA" w:rsidRDefault="00631BFA" w:rsidP="00D86241">
      <w:pPr>
        <w:pStyle w:val="SingleTxtGA"/>
        <w:spacing w:line="370" w:lineRule="exact"/>
        <w:rPr>
          <w:rFonts w:hint="cs"/>
          <w:rtl/>
          <w:lang w:val="fr-CH"/>
        </w:rPr>
      </w:pPr>
      <w:r>
        <w:rPr>
          <w:rFonts w:hint="cs"/>
          <w:rtl/>
          <w:lang w:val="fr-CH"/>
        </w:rPr>
        <w:t>96-</w:t>
      </w:r>
      <w:r>
        <w:rPr>
          <w:rFonts w:hint="cs"/>
          <w:rtl/>
          <w:lang w:val="fr-CH"/>
        </w:rPr>
        <w:tab/>
        <w:t>كانت خطة العمل لعام 2012 طموحة كمَّاً ونوعاً. وحتى الآن، كانت اللجنة الفرعية تقوم بثلاث زيارات كحد أقصى كل اثني عشر شهراً. وبسبب تزايد عدد الدول الأطراف والفرص التي يتيحها توسع العضوية، ارتفع العدد إلى ست زيارات. وعلاوة على ذلك، كانت ثلاث من هذه الزيارات ذات طابع مبتكر، إذ ركزت على إنشاء وعمل الآلية الوقائية الوطنية، مما يلقي الضوء على مسؤولية اللجنة الفرعية بموجب المادة 11(ب)‘2‘ و‘3‘ من البروتوكول الاختياري. ولأسباب عملية، فإن إحدى الزيارات المخطط لها، وهي زيارة غابون، ستُجرى عام 2013.</w:t>
      </w:r>
    </w:p>
    <w:p w:rsidR="00631BFA" w:rsidRDefault="00631BFA" w:rsidP="00D86241">
      <w:pPr>
        <w:pStyle w:val="SingleTxtGA"/>
        <w:spacing w:line="370" w:lineRule="exact"/>
        <w:rPr>
          <w:rFonts w:hint="cs"/>
          <w:rtl/>
          <w:lang w:val="fr-CH"/>
        </w:rPr>
      </w:pPr>
      <w:r>
        <w:rPr>
          <w:rFonts w:hint="cs"/>
          <w:rtl/>
          <w:lang w:val="fr-CH"/>
        </w:rPr>
        <w:t>97-</w:t>
      </w:r>
      <w:r>
        <w:rPr>
          <w:rFonts w:hint="cs"/>
          <w:rtl/>
          <w:lang w:val="fr-CH"/>
        </w:rPr>
        <w:tab/>
        <w:t>ويسعى برنامج عام 2013 إلى تعزيز إنجازات عام 2012 بطريقتين. فهو سيحافظ أولاً على الوتيرة المتزايدة لأنشطة اللجنة الفرعية والمتمثلة بالاضطلاع بست زيارات إضافة إلى الزيارة المؤجلة من العام السابق. وهو يشمل ثانياً طائفة أوسع من أشكال الزيارات خلال سنة واحدة عما كان عليه الوضع سابقاً. ولهذه الغاية، قررت اللجنة الفرعية، في دورتها السابعة عشرة (حزيران/يونيه 2012)، القيام بالزيارات القطرية التالية عام 2013: زيارات</w:t>
      </w:r>
      <w:r>
        <w:rPr>
          <w:rFonts w:hint="eastAsia"/>
          <w:rtl/>
          <w:lang w:val="fr-CH"/>
        </w:rPr>
        <w:t> </w:t>
      </w:r>
      <w:r>
        <w:rPr>
          <w:rFonts w:hint="cs"/>
          <w:rtl/>
          <w:lang w:val="fr-CH"/>
        </w:rPr>
        <w:t>قطرية منتظمة إلى كل من بيرو وتوغو ونيوزيلندا؛ وزيارات استشارية تتعلق بالآليات الوقائية الوطنية في كل من أرمينيا وألمانيا؛ وزيارة متابعة وفقاً للفقرة 4 من المادة 13 من البروتوكول الاختياري.</w:t>
      </w:r>
    </w:p>
    <w:p w:rsidR="00631BFA" w:rsidRDefault="00631BFA" w:rsidP="00D86241">
      <w:pPr>
        <w:pStyle w:val="SingleTxtGA"/>
        <w:spacing w:line="370" w:lineRule="exact"/>
        <w:rPr>
          <w:rFonts w:hint="cs"/>
          <w:rtl/>
          <w:lang w:val="fr-CH"/>
        </w:rPr>
      </w:pPr>
      <w:r>
        <w:rPr>
          <w:rFonts w:hint="cs"/>
          <w:rtl/>
          <w:lang w:val="fr-CH"/>
        </w:rPr>
        <w:t>98-</w:t>
      </w:r>
      <w:r>
        <w:rPr>
          <w:rFonts w:hint="cs"/>
          <w:rtl/>
          <w:lang w:val="fr-CH"/>
        </w:rPr>
        <w:tab/>
        <w:t xml:space="preserve">وكما حدث في السنوات السابقة، راعت اللجنة الفرعية عوامل مختلفة لدى اختيارها للبلدان التي ستزورها، مع إيلاء العناية الواجبة لعدد من العوامل منها الفترة المنقضية منذ التصديق، والوضع فيما يتعلق بإنشاء وتشغيل الآلية الوقائية الوطنية، والتنوع الجغرافي، والمسائل اللوجستية المتعلقة بحجم الدولة ومدى تعقيدها، والعوامل المتصلة برصد إجراءات منع التعذيب على الصعيد الإقليمي، وعمل الآليات والوكالات الأخرى للأمم المتحدة، والتصورات المتعلقة بالفائدة التي ستُجنى من القيام بكل زيارة خلال السنة. </w:t>
      </w:r>
    </w:p>
    <w:p w:rsidR="00631BFA" w:rsidRDefault="00631BFA" w:rsidP="00D86241">
      <w:pPr>
        <w:pStyle w:val="SingleTxtGA"/>
        <w:spacing w:line="370" w:lineRule="exact"/>
        <w:rPr>
          <w:rFonts w:hint="cs"/>
          <w:rtl/>
          <w:lang w:val="fr-CH"/>
        </w:rPr>
      </w:pPr>
      <w:r>
        <w:rPr>
          <w:rFonts w:hint="cs"/>
          <w:rtl/>
          <w:lang w:val="fr-CH"/>
        </w:rPr>
        <w:t>99-</w:t>
      </w:r>
      <w:r>
        <w:rPr>
          <w:rFonts w:hint="cs"/>
          <w:rtl/>
          <w:lang w:val="fr-CH"/>
        </w:rPr>
        <w:tab/>
        <w:t>وتأمل اللجنة الفرعية أن تثمر ممارسات عملها المبتكرة والمتطورة المزيد من الفعالية والكفاءة في الوفاء بولاياتها. وقد أتاح العمل مع الآليات الوقائية الوطنية التقدم خطوات أكبر نحو إرساء حوار متواصل وبنَّاء بشأن منع التعذيب. وعلاوة على ذلك، تمثل الأفرقة المواضيعية المخصصة سُبلاً لإلقاء الضوء على مسائل هامة وفحصها بدقة.</w:t>
      </w:r>
    </w:p>
    <w:p w:rsidR="00631BFA" w:rsidRDefault="00631BFA" w:rsidP="00D86241">
      <w:pPr>
        <w:pStyle w:val="SingleTxtGA"/>
        <w:spacing w:line="370" w:lineRule="exact"/>
        <w:rPr>
          <w:rFonts w:hint="cs"/>
          <w:rtl/>
          <w:lang w:val="fr-CH"/>
        </w:rPr>
      </w:pPr>
      <w:r>
        <w:rPr>
          <w:rFonts w:hint="cs"/>
          <w:rtl/>
          <w:lang w:val="fr-CH"/>
        </w:rPr>
        <w:t>100-</w:t>
      </w:r>
      <w:r>
        <w:rPr>
          <w:rFonts w:hint="cs"/>
          <w:rtl/>
          <w:lang w:val="fr-CH"/>
        </w:rPr>
        <w:tab/>
        <w:t>وخلال عام 2013، تقوم اللجنة الفرعية، إضافة إلى المضي في تطوير اجتهاداتها القانونية، بتركيز اهتمامها على القضايا النظمية المتصلة بتفاعل اللجنة الفرعية مع الآليات الوقائية الوطنية، وعلى القواعد النموذجية الدنيا لمعاملة السجناء، والتدريب التمهيدي، والتدريب المستمر، والأعمال الانتقامية، والمسائل الإجرائية (بما في ذلك المصاعب التي تحول دون الوصول إلى أماكن الاحتجاز).</w:t>
      </w:r>
    </w:p>
    <w:p w:rsidR="00631BFA" w:rsidRDefault="00631BFA" w:rsidP="00D86241">
      <w:pPr>
        <w:pStyle w:val="H1GA"/>
        <w:rPr>
          <w:rFonts w:hint="cs"/>
          <w:rtl/>
          <w:lang w:val="fr-CH"/>
        </w:rPr>
      </w:pPr>
      <w:r w:rsidRPr="009E4846">
        <w:rPr>
          <w:rtl/>
          <w:lang w:val="fr-CH"/>
        </w:rPr>
        <w:tab/>
      </w:r>
      <w:r w:rsidRPr="009E4846">
        <w:rPr>
          <w:rFonts w:hint="cs"/>
          <w:rtl/>
          <w:lang w:val="fr-CH"/>
        </w:rPr>
        <w:t>باء-</w:t>
      </w:r>
      <w:r w:rsidRPr="009E4846">
        <w:rPr>
          <w:rFonts w:hint="cs"/>
          <w:rtl/>
          <w:lang w:val="fr-CH"/>
        </w:rPr>
        <w:tab/>
      </w:r>
      <w:r>
        <w:rPr>
          <w:rFonts w:hint="cs"/>
          <w:rtl/>
          <w:lang w:val="fr-CH"/>
        </w:rPr>
        <w:t>إرساء أسس النمو والتطور في المستقبل</w:t>
      </w:r>
    </w:p>
    <w:p w:rsidR="00631BFA" w:rsidRPr="00D86241" w:rsidRDefault="00631BFA" w:rsidP="00D86241">
      <w:pPr>
        <w:pStyle w:val="SingleTxtGA"/>
        <w:rPr>
          <w:rFonts w:hint="cs"/>
          <w:rtl/>
          <w:lang w:val="fr-CH"/>
        </w:rPr>
      </w:pPr>
      <w:r w:rsidRPr="00D86241">
        <w:rPr>
          <w:rFonts w:hint="cs"/>
          <w:rtl/>
          <w:lang w:val="fr-CH"/>
        </w:rPr>
        <w:t>101-</w:t>
      </w:r>
      <w:r w:rsidRPr="00D86241">
        <w:rPr>
          <w:rFonts w:hint="cs"/>
          <w:rtl/>
          <w:lang w:val="fr-CH"/>
        </w:rPr>
        <w:tab/>
        <w:t>تشهد فترة الإبلاغ هذه مغادرة خمسة من أصل عشرة أعضاء مؤسسين للجنة الفرعية انتُخبوا في تشرين الأول/أكتوبر 2006 ولم يكن يحق لهم الترشح لولاية جديدة. وتود اللجنة الفرعية أن تسجل شعورها العميق بالخسارة الناجمة عن مغادرة العديد من أكثر أعضائها خبرة، وهم أعضاء أسسوا، مع زملائهم، اللجنة الفرعية وأرسوا الأسس اللازمة لإنشاء نظام البروتوكول الاختياري. وقد أسهموا إسهامات لا يمكن محوها في تطوير اللجنة الفرعية وعملها ولذلك سيكون لغيابهم وقع شديد. بيد أن مغادرتهم ستفتح الباب أمام استقبال زملاء جدد. وتتطلع اللجنة الفرعية بتشوق لاستقبال الأعضاء الجدد الستة الذين انتخبتهم الدول الأطراف لعضويتها.</w:t>
      </w:r>
    </w:p>
    <w:p w:rsidR="00631BFA" w:rsidRPr="00D86241" w:rsidRDefault="00631BFA" w:rsidP="00761DC0">
      <w:pPr>
        <w:pStyle w:val="SingleTxtGA"/>
        <w:rPr>
          <w:rFonts w:hint="cs"/>
          <w:rtl/>
          <w:lang w:val="fr-CH"/>
        </w:rPr>
      </w:pPr>
      <w:r w:rsidRPr="00D86241">
        <w:rPr>
          <w:rFonts w:hint="cs"/>
          <w:rtl/>
          <w:lang w:val="fr-CH"/>
        </w:rPr>
        <w:t>102-</w:t>
      </w:r>
      <w:r w:rsidRPr="00D86241">
        <w:rPr>
          <w:rFonts w:hint="cs"/>
          <w:rtl/>
          <w:lang w:val="fr-CH"/>
        </w:rPr>
        <w:tab/>
        <w:t>وأجالت اللجنة الفرعية، خلال دورتها الثامنة عشرة، الفكر في السنوات الست الأولى من تجربتها، ولاحظت تزايد التركيز على عملها المتصل بالآليات الوقائية الوطنية، وزيادة عدد طلبات المشاركة في أنشطتها المضطلع بها بين الدورات، وضرورة المضي في تطوير وتيرة وطيف برامج زيارتها. وشملت عملية التفكر تلك واقع الدعم المقدم من المفوضية السامية لحقوق الإنسان إلى اللجنة الفرعية. وتود اللجنة الفرعية أن تشيد بالمستوى المتميز من الالتزام الذي تبديه الأمانة، وهو مستوى يعكسه حجم العمل المذهل الذي يتحمله موظفو الأمانة نيابة عن اللجنة الفرعية. ويسر اللجنة الفرعية أن تلاحظ الرغبة في توسيع نطاق الدعم المقدم إلى اللجنة الفرعية المعلنة في تقرير المفوضة السامية لحقوق الإنسان بشأن تعزيز هيئات معاهدات حقوق الإنسان (</w:t>
      </w:r>
      <w:r w:rsidRPr="00D86241">
        <w:t>A/66/860</w:t>
      </w:r>
      <w:r w:rsidRPr="00D86241">
        <w:rPr>
          <w:rFonts w:hint="cs"/>
          <w:rtl/>
          <w:lang w:val="fr-CH"/>
        </w:rPr>
        <w:t>). ومع ذلك، فإنها تدرك أن التزام وتفاني الأمانة وكذلك الزيادة المتواضعة في الموارد لن تكون كافية، كما قالت المفوضة السامية، لتلبية طلبات الدول الأطراف والآليات الوقائية الوطنية ومنظمات المجتمع المدني التي تتوقع من اللجنة، وبحق، أن تفي بالتزاماتها بموجب البروتوكول الاختياري. وتمكنت اللجنة الفرعية، عام 2012، من الاضطلاع بزيارتين فقط بموجب المادة 11(أ) من ولايتها، رغم أن الدول الأطراف يبلغ عددها 65 دولة. وهذا يعني أنها تستطيع القيام بزيارة واحدة لكل دولة كل</w:t>
      </w:r>
      <w:r w:rsidR="00B81503">
        <w:rPr>
          <w:rFonts w:hint="eastAsia"/>
          <w:rtl/>
          <w:lang w:val="fr-CH"/>
        </w:rPr>
        <w:t> </w:t>
      </w:r>
      <w:r w:rsidRPr="00D86241">
        <w:rPr>
          <w:rFonts w:hint="cs"/>
          <w:rtl/>
          <w:lang w:val="fr-CH"/>
        </w:rPr>
        <w:t xml:space="preserve">20 سنة أو أكثر. ولا يتماشى ذلك مع الهدف المنشود المتمثل بالقيام بزيارات "منتظمة" وإجراء حوار مستمر. ونود أن تتم زيارة كل دولة من الدول الأطراف على أساس دورة مشابهة لدورات الإبلاغ المعمول بها في هيئات المعاهدات الأخرى، أي كل أربع أو خمس سنوات. ويعني ذلك ضمناً ضرورة إجراء تغيير هام في حجم العمل المضطلع به </w:t>
      </w:r>
      <w:r w:rsidR="00761DC0">
        <w:rPr>
          <w:rFonts w:hint="cs"/>
          <w:rtl/>
          <w:lang w:val="fr-CH"/>
        </w:rPr>
        <w:t xml:space="preserve">حالياً </w:t>
      </w:r>
      <w:r w:rsidRPr="00D86241">
        <w:rPr>
          <w:rFonts w:hint="cs"/>
          <w:rtl/>
          <w:lang w:val="fr-CH"/>
        </w:rPr>
        <w:t>وفي مستوى الدعم المقدم لنا. فمنع التعذيب بشكل فعال لا يتحقق بأقل من ذلك.</w:t>
      </w:r>
    </w:p>
    <w:p w:rsidR="00631BFA" w:rsidRPr="00D86241" w:rsidRDefault="00631BFA" w:rsidP="00D86241">
      <w:pPr>
        <w:pStyle w:val="SingleTxtGA"/>
        <w:rPr>
          <w:rFonts w:hint="cs"/>
          <w:rtl/>
          <w:lang w:val="fr-CH"/>
        </w:rPr>
      </w:pPr>
      <w:r w:rsidRPr="00D86241">
        <w:rPr>
          <w:rFonts w:hint="cs"/>
          <w:rtl/>
          <w:lang w:val="fr-CH"/>
        </w:rPr>
        <w:t>103-</w:t>
      </w:r>
      <w:r w:rsidRPr="00D86241">
        <w:rPr>
          <w:rFonts w:hint="cs"/>
          <w:rtl/>
          <w:lang w:val="fr-CH"/>
        </w:rPr>
        <w:tab/>
        <w:t>وعلاوة على ذلك، يزيد عمل اللجنة الفرعية زيادة كبيرة كل سنة. ويؤدي إنشاء كل آلية وقائية وطنية جديدة والاضطلاع بكل زيارة جديدة إلى سلسلة من الالتزامات والحوارات المستمرة تجري بالتوازي مع الالتزامات والحوارات القائمة ولا تحل محلها. ولا تزال اللجنة الفرعية تعتقد أنه بالإضافة إلى الزيادة الكبيرة في حجم الموارد، المالية والبشرية، التي هي بأمس الحاجة إليها، لا بد للجنة الفرعية من المضي في صقل ممارساتها العملية وزيادة عدد شركائها لتحقيق أقصى أثر ممكن في مجال منع التعذيب، ولإعادة تقييم طريقة استخدامها للموارد الموضوعة في تصرفها، بما في ذلك شكل الزيارات المنتظمة وعددها</w:t>
      </w:r>
      <w:r w:rsidR="00D86241">
        <w:rPr>
          <w:rFonts w:hint="eastAsia"/>
          <w:rtl/>
          <w:lang w:val="fr-CH"/>
        </w:rPr>
        <w:t> </w:t>
      </w:r>
      <w:r w:rsidRPr="00D86241">
        <w:rPr>
          <w:rFonts w:hint="cs"/>
          <w:rtl/>
          <w:lang w:val="fr-CH"/>
        </w:rPr>
        <w:t>ونطاقها.</w:t>
      </w:r>
    </w:p>
    <w:p w:rsidR="00631BFA" w:rsidRDefault="00631BFA" w:rsidP="00D86241">
      <w:pPr>
        <w:pStyle w:val="HChGA"/>
        <w:spacing w:before="120"/>
        <w:rPr>
          <w:rFonts w:hint="cs"/>
          <w:rtl/>
          <w:lang w:val="fr-CH"/>
        </w:rPr>
      </w:pPr>
      <w:r>
        <w:rPr>
          <w:rFonts w:hint="cs"/>
          <w:rtl/>
          <w:lang w:val="fr-CH"/>
        </w:rPr>
        <w:t>المرفق الثامن</w:t>
      </w:r>
    </w:p>
    <w:p w:rsidR="00631BFA" w:rsidRDefault="00631BFA" w:rsidP="00D86241">
      <w:pPr>
        <w:pStyle w:val="HChGA"/>
        <w:rPr>
          <w:rFonts w:hint="cs"/>
          <w:rtl/>
          <w:lang w:val="fr-CH"/>
        </w:rPr>
      </w:pPr>
      <w:r>
        <w:rPr>
          <w:rFonts w:hint="cs"/>
          <w:rtl/>
          <w:lang w:val="fr-CH"/>
        </w:rPr>
        <w:tab/>
      </w:r>
      <w:r>
        <w:rPr>
          <w:rFonts w:hint="cs"/>
          <w:rtl/>
          <w:lang w:val="fr-CH"/>
        </w:rPr>
        <w:tab/>
        <w:t xml:space="preserve">قرار لجنة مناهضة التعذيب الذي اعتمدته في دورتها التاسعة والأربعين (29 </w:t>
      </w:r>
      <w:r w:rsidRPr="006E5271">
        <w:rPr>
          <w:rFonts w:hint="cs"/>
          <w:sz w:val="30"/>
          <w:rtl/>
          <w:lang w:val="fr-CH"/>
        </w:rPr>
        <w:t xml:space="preserve">تشرين الأول/أكتوبر </w:t>
      </w:r>
      <w:r>
        <w:rPr>
          <w:rFonts w:hint="cs"/>
          <w:rtl/>
          <w:lang w:val="fr-CH"/>
        </w:rPr>
        <w:t xml:space="preserve">- 23 </w:t>
      </w:r>
      <w:r w:rsidRPr="006E5271">
        <w:rPr>
          <w:rFonts w:hint="cs"/>
          <w:sz w:val="30"/>
          <w:rtl/>
          <w:lang w:val="fr-CH"/>
        </w:rPr>
        <w:t xml:space="preserve">تشرين الثاني/نوفمبر </w:t>
      </w:r>
      <w:r>
        <w:rPr>
          <w:rFonts w:hint="cs"/>
          <w:rtl/>
          <w:lang w:val="fr-CH"/>
        </w:rPr>
        <w:t>2012) بشأن الطلب المقدم من رومانيا بموجب الفقرة 2 من المادة 24 من البروتوكول الاختياري لاتفاقية مناهضة التعذيب وغيره من ضروب المعاملة أو العقوبة القاسية أو اللاإنسانية أو المهينة</w:t>
      </w:r>
    </w:p>
    <w:p w:rsidR="00631BFA" w:rsidRDefault="00631BFA" w:rsidP="00631BFA">
      <w:pPr>
        <w:pStyle w:val="SingleTxtGA"/>
        <w:rPr>
          <w:rFonts w:hint="cs"/>
          <w:rtl/>
          <w:lang w:val="fr-CH"/>
        </w:rPr>
      </w:pPr>
      <w:r>
        <w:rPr>
          <w:rFonts w:hint="cs"/>
          <w:rtl/>
          <w:lang w:val="fr-CH"/>
        </w:rPr>
        <w:t>1-</w:t>
      </w:r>
      <w:r>
        <w:rPr>
          <w:rFonts w:hint="cs"/>
          <w:rtl/>
          <w:lang w:val="fr-CH"/>
        </w:rPr>
        <w:tab/>
        <w:t xml:space="preserve">صدقت رومانيا على </w:t>
      </w:r>
      <w:r w:rsidRPr="00632B25">
        <w:rPr>
          <w:rtl/>
          <w:lang w:val="fr-CH"/>
        </w:rPr>
        <w:t xml:space="preserve">اتفاقية مناهضة التعذيب وغيره من ضروب </w:t>
      </w:r>
      <w:r w:rsidRPr="00632B25">
        <w:rPr>
          <w:rFonts w:hint="cs"/>
          <w:rtl/>
          <w:lang w:val="fr-CH"/>
        </w:rPr>
        <w:t>المعاملة أو</w:t>
      </w:r>
      <w:r w:rsidRPr="00632B25">
        <w:rPr>
          <w:rtl/>
          <w:lang w:val="fr-CH"/>
        </w:rPr>
        <w:t xml:space="preserve"> العقوبة القاسية أو اللاإنسانية أو المهينة</w:t>
      </w:r>
      <w:r>
        <w:rPr>
          <w:rFonts w:hint="cs"/>
          <w:rtl/>
          <w:lang w:val="fr-CH"/>
        </w:rPr>
        <w:t xml:space="preserve"> في 18 </w:t>
      </w:r>
      <w:r w:rsidRPr="006E5271">
        <w:rPr>
          <w:rFonts w:hint="cs"/>
          <w:sz w:val="30"/>
          <w:rtl/>
          <w:lang w:val="fr-CH"/>
        </w:rPr>
        <w:t xml:space="preserve">كانون الأول/ديسمبر </w:t>
      </w:r>
      <w:r>
        <w:rPr>
          <w:rFonts w:hint="cs"/>
          <w:rtl/>
          <w:lang w:val="fr-CH"/>
        </w:rPr>
        <w:t xml:space="preserve">1990، وعلى البروتوكول الاختياري للاتفاقية في 2 </w:t>
      </w:r>
      <w:r w:rsidRPr="006E5271">
        <w:rPr>
          <w:rFonts w:hint="cs"/>
          <w:sz w:val="30"/>
          <w:rtl/>
          <w:lang w:val="fr-CH"/>
        </w:rPr>
        <w:t xml:space="preserve">تموز/يوليه </w:t>
      </w:r>
      <w:r>
        <w:rPr>
          <w:rFonts w:hint="cs"/>
          <w:rtl/>
          <w:lang w:val="fr-CH"/>
        </w:rPr>
        <w:t>2009، وأصدرت إعلاناً مفاده أنها ستؤجل إنشاء آلية وقائية وطنية لمدة ثلاث سنوات، وفقاً للفقرة 1 من المادة 24 من البروتوكول الاختياري.</w:t>
      </w:r>
    </w:p>
    <w:p w:rsidR="00631BFA" w:rsidRPr="00D86241" w:rsidRDefault="00631BFA" w:rsidP="00631BFA">
      <w:pPr>
        <w:pStyle w:val="SingleTxtGA"/>
        <w:rPr>
          <w:rFonts w:hint="cs"/>
          <w:spacing w:val="-2"/>
          <w:rtl/>
          <w:lang w:val="fr-CH"/>
        </w:rPr>
      </w:pPr>
      <w:r>
        <w:rPr>
          <w:rFonts w:hint="cs"/>
          <w:rtl/>
          <w:lang w:val="fr-CH"/>
        </w:rPr>
        <w:t>2-</w:t>
      </w:r>
      <w:r>
        <w:rPr>
          <w:rFonts w:hint="cs"/>
          <w:rtl/>
          <w:lang w:val="fr-CH"/>
        </w:rPr>
        <w:tab/>
        <w:t xml:space="preserve">وتلقت اللجنة طلباً من رومانيا بموجب الفقرة 2 من المادة 24 من البروتوكول الاختياري، لتمديد فترة التأجيل هذه سنتين أخريين. واستندت الدولة الطرف في طلبها إلى </w:t>
      </w:r>
      <w:r w:rsidRPr="00D86241">
        <w:rPr>
          <w:rFonts w:hint="cs"/>
          <w:spacing w:val="-2"/>
          <w:rtl/>
          <w:lang w:val="fr-CH"/>
        </w:rPr>
        <w:t xml:space="preserve">"الصعوبة الواقعية في الفراغ من اعتماد التشريعات الوطنية خلال هذه الفترة". وتلاحظ اللجنة بأسف أن هذا الطلب قُدِّم بعد انقضاء الأجل المحدد لذلك، وهو 2 </w:t>
      </w:r>
      <w:r w:rsidRPr="00D86241">
        <w:rPr>
          <w:rFonts w:hint="cs"/>
          <w:spacing w:val="-2"/>
          <w:sz w:val="30"/>
          <w:rtl/>
          <w:lang w:val="fr-CH"/>
        </w:rPr>
        <w:t xml:space="preserve">تموز/يوليه </w:t>
      </w:r>
      <w:r w:rsidRPr="00D86241">
        <w:rPr>
          <w:rFonts w:hint="cs"/>
          <w:spacing w:val="-2"/>
          <w:rtl/>
          <w:lang w:val="fr-CH"/>
        </w:rPr>
        <w:t xml:space="preserve">2012. </w:t>
      </w:r>
    </w:p>
    <w:p w:rsidR="00631BFA" w:rsidRDefault="00631BFA" w:rsidP="00631BFA">
      <w:pPr>
        <w:pStyle w:val="SingleTxtGA"/>
        <w:rPr>
          <w:rFonts w:hint="cs"/>
          <w:rtl/>
          <w:lang w:val="fr-CH"/>
        </w:rPr>
      </w:pPr>
      <w:r>
        <w:rPr>
          <w:rFonts w:hint="cs"/>
          <w:rtl/>
          <w:lang w:val="fr-CH"/>
        </w:rPr>
        <w:t>3-</w:t>
      </w:r>
      <w:r>
        <w:rPr>
          <w:rFonts w:hint="cs"/>
          <w:rtl/>
          <w:lang w:val="fr-CH"/>
        </w:rPr>
        <w:tab/>
        <w:t xml:space="preserve">وبالإضافة إلى ذلك، تأسف اللجنة لأن التقرير الدوري الثاني للدولة الطرف، الذي حل موعد تقديمه في 16 </w:t>
      </w:r>
      <w:r w:rsidRPr="006E5271">
        <w:rPr>
          <w:rFonts w:hint="cs"/>
          <w:sz w:val="30"/>
          <w:rtl/>
          <w:lang w:val="fr-CH"/>
        </w:rPr>
        <w:t xml:space="preserve">كانون الثاني/يناير </w:t>
      </w:r>
      <w:r>
        <w:rPr>
          <w:rFonts w:hint="cs"/>
          <w:rtl/>
          <w:lang w:val="fr-CH"/>
        </w:rPr>
        <w:t>1996، تأخر 16 سنة، وتلاحظ أن عدم وجود تقارير دورية يحول دون ممارسة اللجنة لوظائفها الإشرافية، مما يجعل من غير الممكن مساعدة الدولة بتقديم توصيات تتعلق بتنفيذها الكامل لأحكام الاتفاقية.</w:t>
      </w:r>
    </w:p>
    <w:p w:rsidR="00631BFA" w:rsidRDefault="00631BFA" w:rsidP="00631BFA">
      <w:pPr>
        <w:pStyle w:val="SingleTxtGA"/>
        <w:rPr>
          <w:rFonts w:hint="cs"/>
          <w:rtl/>
          <w:lang w:val="fr-CH"/>
        </w:rPr>
      </w:pPr>
      <w:r>
        <w:rPr>
          <w:rFonts w:hint="cs"/>
          <w:rtl/>
          <w:lang w:val="fr-CH"/>
        </w:rPr>
        <w:t>4-</w:t>
      </w:r>
      <w:r>
        <w:rPr>
          <w:rFonts w:hint="cs"/>
          <w:rtl/>
          <w:lang w:val="fr-CH"/>
        </w:rPr>
        <w:tab/>
        <w:t xml:space="preserve">وقررت اللجنة، بعد التشاور بشأن هذه المسألة مع اللجنة الفرعية لمنع التعذيب وغيره من ضروب المعاملة أو العقوبة القاسية أو اللاإنسانية أو المهينة في 14 </w:t>
      </w:r>
      <w:r w:rsidRPr="003C1A52">
        <w:rPr>
          <w:rFonts w:hint="cs"/>
          <w:sz w:val="30"/>
          <w:rtl/>
          <w:lang w:val="fr-CH"/>
        </w:rPr>
        <w:t>تشرين الثاني/</w:t>
      </w:r>
      <w:r w:rsidR="00B81503">
        <w:rPr>
          <w:rFonts w:hint="cs"/>
          <w:sz w:val="30"/>
          <w:rtl/>
          <w:lang w:val="fr-CH"/>
        </w:rPr>
        <w:t xml:space="preserve"> </w:t>
      </w:r>
      <w:r w:rsidRPr="003C1A52">
        <w:rPr>
          <w:rFonts w:hint="cs"/>
          <w:sz w:val="30"/>
          <w:rtl/>
          <w:lang w:val="fr-CH"/>
        </w:rPr>
        <w:t xml:space="preserve">نوفمبر </w:t>
      </w:r>
      <w:r>
        <w:rPr>
          <w:rFonts w:hint="cs"/>
          <w:rtl/>
          <w:lang w:val="fr-CH"/>
        </w:rPr>
        <w:t xml:space="preserve">2012، قبول طلب الدولة الطرف وتمديد فترة تنفيذها لالتزاماتها بموجب الجزء الرابع من البروتوكول الاختياري لمدة سنتين أخريين وفقاً للفقرة 2 من المادة 24 من البروتوكول الاختياري، على أساس أن الدولة الطرف ستُنشئ الآلية الوقائية الوطنية خلال هذه المهلة ووفقاً لجدول زمني دقيق. </w:t>
      </w:r>
    </w:p>
    <w:p w:rsidR="00631BFA" w:rsidRPr="00D86241" w:rsidRDefault="00631BFA" w:rsidP="00631BFA">
      <w:pPr>
        <w:pStyle w:val="SingleTxtGA"/>
        <w:rPr>
          <w:rFonts w:hint="cs"/>
          <w:spacing w:val="-4"/>
          <w:rtl/>
          <w:lang w:val="fr-CH"/>
        </w:rPr>
      </w:pPr>
      <w:r w:rsidRPr="00D86241">
        <w:rPr>
          <w:rFonts w:hint="cs"/>
          <w:spacing w:val="-4"/>
          <w:rtl/>
          <w:lang w:val="fr-CH"/>
        </w:rPr>
        <w:t>5-</w:t>
      </w:r>
      <w:r w:rsidRPr="00D86241">
        <w:rPr>
          <w:rFonts w:hint="cs"/>
          <w:spacing w:val="-4"/>
          <w:rtl/>
          <w:lang w:val="fr-CH"/>
        </w:rPr>
        <w:tab/>
        <w:t>وتطبيقاً لهذا القرار، تدعو اللجنة الدولة الطرف إلى الاجتماع معها خلال دورتها الخمسين المقرر عقدها في الفترة من</w:t>
      </w:r>
      <w:r w:rsidRPr="00D86241">
        <w:rPr>
          <w:rFonts w:hint="eastAsia"/>
          <w:spacing w:val="-4"/>
          <w:rtl/>
          <w:lang w:val="fr-CH"/>
        </w:rPr>
        <w:t> </w:t>
      </w:r>
      <w:r w:rsidRPr="00D86241">
        <w:rPr>
          <w:rFonts w:hint="cs"/>
          <w:spacing w:val="-4"/>
          <w:rtl/>
          <w:lang w:val="fr-CH"/>
        </w:rPr>
        <w:t xml:space="preserve">6 إلى 31 </w:t>
      </w:r>
      <w:r w:rsidRPr="00D86241">
        <w:rPr>
          <w:rFonts w:hint="cs"/>
          <w:spacing w:val="-4"/>
          <w:sz w:val="30"/>
          <w:rtl/>
          <w:lang w:val="fr-CH"/>
        </w:rPr>
        <w:t xml:space="preserve">أيار/مايو </w:t>
      </w:r>
      <w:r w:rsidRPr="00D86241">
        <w:rPr>
          <w:rFonts w:hint="cs"/>
          <w:spacing w:val="-4"/>
          <w:rtl/>
          <w:lang w:val="fr-CH"/>
        </w:rPr>
        <w:t>2013، من أجل تقديم تقرير مرحلي عن التدابير المتخذة لإنشاء الآلية الوقائية الوطنية والجدول الزمني المحدد لإنشائها، وكذلك عن التقدم المحرز في اتجاه تقديم تقريرها الدوري الثاني الذي طال انتظاره إلى اللجنة في أقرب وقت.</w:t>
      </w:r>
    </w:p>
    <w:p w:rsidR="00631BFA" w:rsidRDefault="00631BFA" w:rsidP="00631BFA">
      <w:pPr>
        <w:pStyle w:val="SingleTxtGA"/>
        <w:rPr>
          <w:rFonts w:hint="cs"/>
          <w:rtl/>
          <w:lang w:val="fr-CH"/>
        </w:rPr>
      </w:pPr>
      <w:r>
        <w:rPr>
          <w:rFonts w:hint="cs"/>
          <w:rtl/>
          <w:lang w:val="fr-CH"/>
        </w:rPr>
        <w:t>6-</w:t>
      </w:r>
      <w:r>
        <w:rPr>
          <w:rFonts w:hint="cs"/>
          <w:rtl/>
          <w:lang w:val="fr-CH"/>
        </w:rPr>
        <w:tab/>
        <w:t>يُعلن هذا القرار بعد أن تطّلع عليه الدولة الطرف واللجنة الفرعية لمنع التعذيب.</w:t>
      </w:r>
    </w:p>
    <w:p w:rsidR="00E464F2" w:rsidRPr="00E464F2" w:rsidRDefault="00E464F2" w:rsidP="00E464F2">
      <w:pPr>
        <w:pStyle w:val="HChGA"/>
        <w:spacing w:before="120"/>
        <w:rPr>
          <w:rFonts w:hint="cs"/>
          <w:rtl/>
          <w:lang w:val="fr-CH"/>
        </w:rPr>
      </w:pPr>
      <w:r w:rsidRPr="00E464F2">
        <w:rPr>
          <w:rFonts w:hint="cs"/>
          <w:rtl/>
          <w:lang w:val="fr-CH"/>
        </w:rPr>
        <w:t>المرفق التاسع</w:t>
      </w:r>
    </w:p>
    <w:p w:rsidR="00E464F2" w:rsidRPr="00E464F2" w:rsidRDefault="00E464F2" w:rsidP="00E464F2">
      <w:pPr>
        <w:pStyle w:val="HChGA"/>
        <w:rPr>
          <w:rFonts w:hint="cs"/>
          <w:rtl/>
          <w:lang w:val="fr-CH"/>
        </w:rPr>
      </w:pPr>
      <w:r>
        <w:rPr>
          <w:rFonts w:hint="cs"/>
          <w:rtl/>
          <w:lang w:val="fr-CH"/>
        </w:rPr>
        <w:tab/>
      </w:r>
      <w:r>
        <w:rPr>
          <w:rFonts w:hint="cs"/>
          <w:rtl/>
          <w:lang w:val="fr-CH"/>
        </w:rPr>
        <w:tab/>
      </w:r>
      <w:r w:rsidRPr="00E464F2">
        <w:rPr>
          <w:rFonts w:hint="cs"/>
          <w:rtl/>
          <w:lang w:val="fr-CH"/>
        </w:rPr>
        <w:t>بيان مشترك بمناسبة يوم الأمم المتحدة الدولي لمساندة ضحايا التعذيب</w:t>
      </w:r>
    </w:p>
    <w:p w:rsidR="00E464F2" w:rsidRPr="00E464F2" w:rsidRDefault="00E464F2" w:rsidP="00FC59C9">
      <w:pPr>
        <w:pStyle w:val="SingleTxtGA"/>
        <w:spacing w:line="370" w:lineRule="exact"/>
        <w:rPr>
          <w:rFonts w:hint="cs"/>
          <w:rtl/>
          <w:lang w:val="fr-CH"/>
        </w:rPr>
      </w:pPr>
      <w:r w:rsidRPr="00E464F2">
        <w:rPr>
          <w:rFonts w:hint="cs"/>
          <w:rtl/>
          <w:lang w:val="fr-CH"/>
        </w:rPr>
        <w:tab/>
        <w:t>بمناسبة الاحتفال باليوم الدولي لمساندة ضحايا التعذيب، أصدرت لجنة مناهضة التعذيب بالاشتراك مع اللجنة الفرعية لمنع التعذيب والمقرر الخاص المعني بمسألة التعذيب وغيره من ضروب المعاملة أو العقوبة القاسية أو اللاإنسانية أو المهينة ومجلس إدارة صندوق الأمم المتحدة للتبرعات لضحايا التعذيب والمقرر الخاص المعني بتعزيز الحقيقة والعدالة والجبر وضمانات عدم التكرار، البيان التالي:</w:t>
      </w:r>
    </w:p>
    <w:p w:rsidR="00E464F2" w:rsidRPr="00E464F2" w:rsidRDefault="00E464F2" w:rsidP="00FC59C9">
      <w:pPr>
        <w:pStyle w:val="SingleTxtGA"/>
        <w:spacing w:line="370" w:lineRule="exact"/>
        <w:rPr>
          <w:rFonts w:hint="cs"/>
          <w:rtl/>
          <w:lang w:val="fr-CH"/>
        </w:rPr>
      </w:pPr>
      <w:r>
        <w:rPr>
          <w:rFonts w:hint="cs"/>
          <w:rtl/>
          <w:lang w:val="fr-CH"/>
        </w:rPr>
        <w:tab/>
      </w:r>
      <w:r w:rsidRPr="00E464F2">
        <w:rPr>
          <w:rFonts w:hint="cs"/>
          <w:rtl/>
          <w:lang w:val="fr-CH"/>
        </w:rPr>
        <w:t>لقد شددت آليات حقوق الإنسان التابعة للأمم المتحدة</w:t>
      </w:r>
      <w:r>
        <w:rPr>
          <w:rFonts w:hint="cs"/>
          <w:rtl/>
          <w:lang w:val="fr-CH"/>
        </w:rPr>
        <w:t>،</w:t>
      </w:r>
      <w:r w:rsidRPr="00E464F2">
        <w:rPr>
          <w:rFonts w:hint="cs"/>
          <w:rtl/>
          <w:lang w:val="fr-CH"/>
        </w:rPr>
        <w:t xml:space="preserve"> في نداء مشترك</w:t>
      </w:r>
      <w:r>
        <w:rPr>
          <w:rFonts w:hint="cs"/>
          <w:rtl/>
          <w:lang w:val="fr-CH"/>
        </w:rPr>
        <w:t>،</w:t>
      </w:r>
      <w:r w:rsidRPr="00E464F2">
        <w:rPr>
          <w:rFonts w:hint="cs"/>
          <w:rtl/>
          <w:lang w:val="fr-CH"/>
        </w:rPr>
        <w:t xml:space="preserve"> على ضرورة أن تبذل الحكومات المزيد من الجهود للوفاء بالتزاماتها بضمان حصول ضحايا التعذيب وأفراد أسرهم على الإنصاف وإعادة التأهيل عما تكبدوه من معاناة. </w:t>
      </w:r>
    </w:p>
    <w:p w:rsidR="00E464F2" w:rsidRPr="00E464F2" w:rsidRDefault="00E464F2" w:rsidP="00FC59C9">
      <w:pPr>
        <w:pStyle w:val="SingleTxtGA"/>
        <w:spacing w:line="370" w:lineRule="exact"/>
        <w:rPr>
          <w:rFonts w:hint="cs"/>
          <w:rtl/>
          <w:lang w:val="fr-CH"/>
        </w:rPr>
      </w:pPr>
      <w:r>
        <w:rPr>
          <w:rFonts w:hint="cs"/>
          <w:rtl/>
          <w:lang w:val="fr-CH"/>
        </w:rPr>
        <w:tab/>
      </w:r>
      <w:r w:rsidRPr="00E464F2">
        <w:rPr>
          <w:rFonts w:hint="cs"/>
          <w:rtl/>
          <w:lang w:val="fr-CH"/>
        </w:rPr>
        <w:t xml:space="preserve">وبمناسبة الاحتفال باليوم الدولي لمساندة ضحايا التعذيب، في 26 حزيران/يونيه، تؤكد هذه الآليات أن الضحايا المصدومين غالباً ما </w:t>
      </w:r>
      <w:r w:rsidR="00FC59C9">
        <w:rPr>
          <w:rFonts w:hint="cs"/>
          <w:rtl/>
          <w:lang w:val="fr-CH"/>
        </w:rPr>
        <w:t xml:space="preserve">يصارعون </w:t>
      </w:r>
      <w:r w:rsidRPr="00E464F2">
        <w:rPr>
          <w:rFonts w:hint="cs"/>
          <w:rtl/>
          <w:lang w:val="fr-CH"/>
        </w:rPr>
        <w:t xml:space="preserve">من أجل الحصول على ما يحق لهم من إعادة تأهيل بدني ونفسي وعدالة وتعويضات. </w:t>
      </w:r>
    </w:p>
    <w:p w:rsidR="00E464F2" w:rsidRPr="00E464F2" w:rsidRDefault="00FC59C9" w:rsidP="00FC59C9">
      <w:pPr>
        <w:pStyle w:val="SingleTxtGA"/>
        <w:spacing w:line="370" w:lineRule="exact"/>
        <w:rPr>
          <w:rFonts w:hint="cs"/>
          <w:rtl/>
          <w:lang w:val="fr-CH"/>
        </w:rPr>
      </w:pPr>
      <w:r>
        <w:rPr>
          <w:rFonts w:hint="cs"/>
          <w:rtl/>
          <w:lang w:val="fr-CH"/>
        </w:rPr>
        <w:tab/>
      </w:r>
      <w:r w:rsidR="00E464F2" w:rsidRPr="00E464F2">
        <w:rPr>
          <w:rFonts w:hint="cs"/>
          <w:rtl/>
          <w:lang w:val="fr-CH"/>
        </w:rPr>
        <w:t xml:space="preserve">"إن التعذيب لا يزال مع الأسف يمارَس في العديد من البلدان، وتجريد الضحية والقائمين بالتعذيب والمجتمع ككل من الروح الإنسانية يجعله أمراً ممكناً"، </w:t>
      </w:r>
      <w:r>
        <w:rPr>
          <w:rFonts w:hint="cs"/>
          <w:rtl/>
          <w:lang w:val="fr-CH"/>
        </w:rPr>
        <w:t>ب</w:t>
      </w:r>
      <w:r w:rsidR="00E464F2" w:rsidRPr="00E464F2">
        <w:rPr>
          <w:rFonts w:hint="cs"/>
          <w:rtl/>
          <w:lang w:val="fr-CH"/>
        </w:rPr>
        <w:t>حسب ما ورد في بيان للسيد كلاوديو غروسمان، رئيس لجنة مناهضة التعذيب، التي أصدرت في تشرين الثاني/نوفمبر الماضي تعريفاً تاريخياً للحق في تعويض الضحايا (التعليق العام للجنة مناهضة التعذيب رقم 3 لعام 2012 بشأن تنفيذ المادة 14 من الاتفاقية).</w:t>
      </w:r>
    </w:p>
    <w:p w:rsidR="00E464F2" w:rsidRPr="00E464F2" w:rsidRDefault="00FC59C9" w:rsidP="00FC59C9">
      <w:pPr>
        <w:pStyle w:val="SingleTxtGA"/>
        <w:spacing w:line="370" w:lineRule="exact"/>
        <w:rPr>
          <w:rFonts w:hint="cs"/>
          <w:rtl/>
          <w:lang w:val="fr-CH"/>
        </w:rPr>
      </w:pPr>
      <w:r>
        <w:rPr>
          <w:rFonts w:hint="cs"/>
          <w:rtl/>
          <w:lang w:val="fr-CH"/>
        </w:rPr>
        <w:tab/>
      </w:r>
      <w:r w:rsidR="00E464F2" w:rsidRPr="00E464F2">
        <w:rPr>
          <w:rFonts w:hint="cs"/>
          <w:rtl/>
          <w:lang w:val="fr-CH"/>
        </w:rPr>
        <w:t xml:space="preserve">وللضحايا حق قابل للإنفاذ في الحصول على الجبر، الذي يشمل تعويضاً عادلاً ومناسباً وإمكانية الحصول على خدمات التأهيل على أكمل وجه ممكن. وعلى الدول أيضاً أن تجنِّب الضحايا خطر التعرض من جديد لسوء المعاملة وتكفل التحقيق في الانتهاكات والمعاقبة عليها. </w:t>
      </w:r>
    </w:p>
    <w:p w:rsidR="00E464F2" w:rsidRPr="00E464F2" w:rsidRDefault="00FC59C9" w:rsidP="00FC59C9">
      <w:pPr>
        <w:pStyle w:val="SingleTxtGA"/>
        <w:spacing w:line="370" w:lineRule="exact"/>
        <w:rPr>
          <w:rFonts w:hint="cs"/>
          <w:rtl/>
          <w:lang w:val="fr-CH"/>
        </w:rPr>
      </w:pPr>
      <w:r>
        <w:rPr>
          <w:rFonts w:hint="cs"/>
          <w:rtl/>
          <w:lang w:val="fr-CH"/>
        </w:rPr>
        <w:tab/>
      </w:r>
      <w:r w:rsidR="00E464F2" w:rsidRPr="00E464F2">
        <w:rPr>
          <w:rFonts w:hint="cs"/>
          <w:rtl/>
          <w:lang w:val="fr-CH"/>
        </w:rPr>
        <w:t>وقد عُزز موقف اللجنة هذا في آذار/مارس بقرار مجلس حقوق الإنسان 22/21 الذي دعا فيه المجلس الدول إلى ألا توفر الجبر لضحايا التعذيب فحسب، بل أن تكفل إشراك الضحايا بشكل كامل في العملية لمساعدتهم في إعادة بناء حياتهم والاندماج مجدداً في المجتمع.</w:t>
      </w:r>
    </w:p>
    <w:p w:rsidR="00E464F2" w:rsidRPr="00E464F2" w:rsidRDefault="00FC59C9" w:rsidP="00C03C80">
      <w:pPr>
        <w:pStyle w:val="SingleTxtGA"/>
        <w:spacing w:line="370" w:lineRule="exact"/>
        <w:rPr>
          <w:rFonts w:hint="cs"/>
          <w:rtl/>
          <w:lang w:val="fr-CH"/>
        </w:rPr>
      </w:pPr>
      <w:r>
        <w:rPr>
          <w:rFonts w:hint="cs"/>
          <w:rtl/>
          <w:lang w:val="fr-CH"/>
        </w:rPr>
        <w:tab/>
      </w:r>
      <w:r w:rsidR="00E464F2" w:rsidRPr="00E464F2">
        <w:rPr>
          <w:rFonts w:hint="cs"/>
          <w:rtl/>
          <w:lang w:val="fr-CH"/>
        </w:rPr>
        <w:t>وقال المقرر الخاص المعني بمسألة التعذيب، السيد خوان إ. مِنديز، "إن الأخذ بنهج يركز على الضحايا يستلزم إجراء تقييم إفرادي لاحتياجات الضحايا وتوفير علاج يتجاوز الأجل القصير". وأضاف السيد مِنديز بالقول "فاتباع نهج كلي أمر بالغ الأهمية لكفالة أن يعمل أهل الاختصاص بالتعاون مع الشخص الذي تعرض للتعذيب بدلاً من اعتباره موضوعاً</w:t>
      </w:r>
      <w:r>
        <w:rPr>
          <w:rFonts w:hint="eastAsia"/>
          <w:rtl/>
          <w:lang w:val="fr-CH"/>
        </w:rPr>
        <w:t> </w:t>
      </w:r>
      <w:r w:rsidR="00E464F2" w:rsidRPr="00E464F2">
        <w:rPr>
          <w:rFonts w:hint="cs"/>
          <w:rtl/>
          <w:lang w:val="fr-CH"/>
        </w:rPr>
        <w:t>لعملهم</w:t>
      </w:r>
      <w:r w:rsidR="00C03C80">
        <w:rPr>
          <w:rFonts w:hint="cs"/>
          <w:rtl/>
          <w:lang w:val="fr-CH"/>
        </w:rPr>
        <w:t>".</w:t>
      </w:r>
    </w:p>
    <w:p w:rsidR="00E464F2" w:rsidRPr="00E464F2" w:rsidRDefault="00FC59C9" w:rsidP="00E464F2">
      <w:pPr>
        <w:pStyle w:val="SingleTxtGA"/>
        <w:rPr>
          <w:rFonts w:hint="cs"/>
          <w:rtl/>
          <w:lang w:val="fr-CH"/>
        </w:rPr>
      </w:pPr>
      <w:r>
        <w:rPr>
          <w:rFonts w:hint="cs"/>
          <w:rtl/>
          <w:lang w:val="fr-CH"/>
        </w:rPr>
        <w:tab/>
      </w:r>
      <w:r w:rsidR="00E464F2" w:rsidRPr="00E464F2">
        <w:rPr>
          <w:rFonts w:hint="cs"/>
          <w:rtl/>
          <w:lang w:val="fr-CH"/>
        </w:rPr>
        <w:t xml:space="preserve">ويؤكد الخبراء أن أحد الواجبات الرئيسية الأخرى للدول يتمثل في التصدي للإفلات من العقاب وتعزيز الإجراءات القضائية لمنع استمرار التعذيب. </w:t>
      </w:r>
    </w:p>
    <w:p w:rsidR="00E464F2" w:rsidRPr="00E464F2" w:rsidRDefault="00FC59C9" w:rsidP="00FC59C9">
      <w:pPr>
        <w:pStyle w:val="SingleTxtGA"/>
        <w:rPr>
          <w:rFonts w:hint="cs"/>
          <w:rtl/>
          <w:lang w:val="fr-CH"/>
        </w:rPr>
      </w:pPr>
      <w:r>
        <w:rPr>
          <w:rFonts w:hint="cs"/>
          <w:rtl/>
          <w:lang w:val="fr-CH"/>
        </w:rPr>
        <w:tab/>
      </w:r>
      <w:r w:rsidR="00E464F2" w:rsidRPr="00E464F2">
        <w:rPr>
          <w:rFonts w:hint="cs"/>
          <w:rtl/>
          <w:lang w:val="fr-CH"/>
        </w:rPr>
        <w:t xml:space="preserve">وقال المقرر الخاص المعني بتعزيز الحقيقة والعدالة والجبر وضمانات عدم التكرار، السيد بابلو دي غريف، "إن الجبر الفعال غير ممكن من دون حرص من الدول على التصدي للإفلات من العقاب". وأردف بالقول "بالإضافة إلى الحصول على الجبر، من الأهمية بمكان بالنسبة </w:t>
      </w:r>
      <w:r>
        <w:rPr>
          <w:rFonts w:hint="cs"/>
          <w:rtl/>
          <w:lang w:val="fr-CH"/>
        </w:rPr>
        <w:t>إلى ا</w:t>
      </w:r>
      <w:r w:rsidR="00E464F2" w:rsidRPr="00E464F2">
        <w:rPr>
          <w:rFonts w:hint="cs"/>
          <w:rtl/>
          <w:lang w:val="fr-CH"/>
        </w:rPr>
        <w:t>لضحايا أن يجري إشراكهم في عمليات البحث عن الحقيقة وفي الإجراءات القضائية من أجل كفالة إجراء التحقيقات والمحاكمات وإصدار الأحكام على نحو فعال ونزيه بما يعكس جسامة الجريمة". وقال أيضاً "إنه من المحوري أيضاً بالنسبة إلى المجتمعات إنشاء المؤسسات والآليات اللازمة للحيلولة دون وقوع انتهاكات في المستقبل".</w:t>
      </w:r>
    </w:p>
    <w:p w:rsidR="00E464F2" w:rsidRPr="00E464F2" w:rsidRDefault="00FC59C9" w:rsidP="00FC59C9">
      <w:pPr>
        <w:pStyle w:val="SingleTxtGA"/>
        <w:rPr>
          <w:rFonts w:hint="cs"/>
          <w:rtl/>
          <w:lang w:val="fr-CH"/>
        </w:rPr>
      </w:pPr>
      <w:r>
        <w:rPr>
          <w:rFonts w:hint="cs"/>
          <w:rtl/>
          <w:lang w:val="fr-CH"/>
        </w:rPr>
        <w:tab/>
      </w:r>
      <w:r w:rsidR="00E464F2" w:rsidRPr="00E464F2">
        <w:rPr>
          <w:rFonts w:hint="cs"/>
          <w:rtl/>
          <w:lang w:val="fr-CH"/>
        </w:rPr>
        <w:t>ويرى مالكولم إيفانس، رئيس اللجنة الفرعية لمنع التعذيب، التي تقوم بزيارات ميدانية إلى أماكن الاحتجاز، أن إعادة تأهيل الضحايا أمر أساسي ليس فقط بالنسبة إلى الأفراد المتضررين، بل بالنسبة إلى المجتمع ككل. فهو يقول "أينما وكلما حدث التعذيب وإساءة المعاملة، فإن الوقاية الفعالة تنطوي على حماية الضحايا وأقربائهم". ويضيف بالقول "إن اللجنة الفرعية تعلمت من تجربتها المباشرة أن إعادة التأهيل تؤدي دوراً مركزياً في دورة</w:t>
      </w:r>
      <w:r>
        <w:rPr>
          <w:rFonts w:hint="eastAsia"/>
          <w:rtl/>
          <w:lang w:val="fr-CH"/>
        </w:rPr>
        <w:t> </w:t>
      </w:r>
      <w:r w:rsidR="00E464F2" w:rsidRPr="00E464F2">
        <w:rPr>
          <w:rFonts w:hint="cs"/>
          <w:rtl/>
          <w:lang w:val="fr-CH"/>
        </w:rPr>
        <w:t>الوقاية".</w:t>
      </w:r>
    </w:p>
    <w:p w:rsidR="00E464F2" w:rsidRPr="00E464F2" w:rsidRDefault="00E464F2" w:rsidP="00E464F2">
      <w:pPr>
        <w:pStyle w:val="H1GA"/>
        <w:rPr>
          <w:rFonts w:hint="cs"/>
          <w:rtl/>
          <w:lang w:val="fr-CH"/>
        </w:rPr>
      </w:pPr>
      <w:r>
        <w:rPr>
          <w:rFonts w:hint="cs"/>
          <w:rtl/>
          <w:lang w:val="fr-CH"/>
        </w:rPr>
        <w:tab/>
      </w:r>
      <w:r>
        <w:rPr>
          <w:rFonts w:hint="cs"/>
          <w:rtl/>
          <w:lang w:val="fr-CH"/>
        </w:rPr>
        <w:tab/>
      </w:r>
      <w:r w:rsidRPr="00E464F2">
        <w:rPr>
          <w:rFonts w:hint="cs"/>
          <w:rtl/>
          <w:lang w:val="fr-CH"/>
        </w:rPr>
        <w:t>مساعدة الضحايا في إعادة بناء حياتهم</w:t>
      </w:r>
    </w:p>
    <w:p w:rsidR="00E464F2" w:rsidRPr="00E464F2" w:rsidRDefault="00FC59C9" w:rsidP="00E464F2">
      <w:pPr>
        <w:pStyle w:val="SingleTxtGA"/>
        <w:rPr>
          <w:rFonts w:hint="cs"/>
          <w:rtl/>
          <w:lang w:val="fr-CH"/>
        </w:rPr>
      </w:pPr>
      <w:r>
        <w:rPr>
          <w:rFonts w:hint="cs"/>
          <w:rtl/>
          <w:lang w:val="fr-CH"/>
        </w:rPr>
        <w:tab/>
      </w:r>
      <w:r w:rsidR="00E464F2" w:rsidRPr="00E464F2">
        <w:rPr>
          <w:rFonts w:hint="cs"/>
          <w:rtl/>
          <w:lang w:val="fr-CH"/>
        </w:rPr>
        <w:t>يقول الخبراء إن التشديد على اعتماد نهج يركز على الضحايا يبرز أيضاً الحاجة إلى وجود مراكز لإعادة التأهيل تتاح لها الموارد المناسبة.</w:t>
      </w:r>
    </w:p>
    <w:p w:rsidR="00E464F2" w:rsidRPr="00E464F2" w:rsidRDefault="00FC59C9" w:rsidP="00E464F2">
      <w:pPr>
        <w:pStyle w:val="SingleTxtGA"/>
        <w:rPr>
          <w:rFonts w:hint="cs"/>
          <w:rtl/>
          <w:lang w:val="fr-CH"/>
        </w:rPr>
      </w:pPr>
      <w:r>
        <w:rPr>
          <w:rFonts w:hint="cs"/>
          <w:rtl/>
          <w:lang w:val="fr-CH"/>
        </w:rPr>
        <w:tab/>
      </w:r>
      <w:r w:rsidR="00E464F2" w:rsidRPr="00E464F2">
        <w:rPr>
          <w:rFonts w:hint="cs"/>
          <w:rtl/>
          <w:lang w:val="fr-CH"/>
        </w:rPr>
        <w:t>فصندوق الأمم المتحدة للتبرعات لضحايا التعذيب يدعم سنوياً المئات من هذه المراكز لتقديم المساعدة الإنسانية والطبية والقانونية إلى الضحايا وأقربائهم.</w:t>
      </w:r>
    </w:p>
    <w:p w:rsidR="00B8750E" w:rsidRDefault="00FC59C9" w:rsidP="00E464F2">
      <w:pPr>
        <w:pStyle w:val="SingleTxtGA"/>
        <w:rPr>
          <w:rFonts w:hint="cs"/>
          <w:rtl/>
          <w:lang w:val="fr-CH"/>
        </w:rPr>
      </w:pPr>
      <w:r w:rsidRPr="00FC59C9">
        <w:rPr>
          <w:rFonts w:hint="cs"/>
          <w:spacing w:val="-2"/>
          <w:rtl/>
          <w:lang w:val="fr-CH"/>
        </w:rPr>
        <w:tab/>
      </w:r>
      <w:r w:rsidR="00E464F2" w:rsidRPr="00FC59C9">
        <w:rPr>
          <w:rFonts w:hint="cs"/>
          <w:spacing w:val="-2"/>
          <w:rtl/>
          <w:lang w:val="fr-CH"/>
        </w:rPr>
        <w:t>وتشير التقديرات إلى أن صندوق التبرعات يقدم المساعدة سنوياً إلى ما بين 000 50</w:t>
      </w:r>
      <w:r w:rsidR="00E464F2" w:rsidRPr="00E464F2">
        <w:rPr>
          <w:rFonts w:hint="cs"/>
          <w:rtl/>
          <w:lang w:val="fr-CH"/>
        </w:rPr>
        <w:t xml:space="preserve"> و000 70 من الضحايا وأقربائهم، بمن فيهم اللاجئة السورية سابين، التي اختُطفت واغتُصبت مراراً وشاهدت أفراد أسرتها يُقتلون أمامها. وسابين، التي تبلغ 24 سنة من العمر، فرّت إلى الأردن حيث أودعتها أمها مركزاً كان قد تلقى منحة من الصندوق لتقديم العلاج والدعم إلى ضحايا التعذيب.</w:t>
      </w:r>
    </w:p>
    <w:p w:rsidR="00B8750E" w:rsidRDefault="00B8750E" w:rsidP="00E464F2">
      <w:pPr>
        <w:pStyle w:val="SingleTxtGA"/>
        <w:rPr>
          <w:rFonts w:hint="cs"/>
          <w:rtl/>
          <w:lang w:val="fr-CH"/>
        </w:rPr>
      </w:pPr>
    </w:p>
    <w:p w:rsidR="00B8750E" w:rsidRDefault="00B8750E" w:rsidP="00E464F2">
      <w:pPr>
        <w:pStyle w:val="SingleTxtGA"/>
        <w:rPr>
          <w:rtl/>
          <w:lang w:val="fr-CH"/>
        </w:rPr>
        <w:sectPr w:rsidR="00B8750E" w:rsidSect="00631BFA">
          <w:headerReference w:type="default" r:id="rId33"/>
          <w:footerReference w:type="default" r:id="rId34"/>
          <w:footnotePr>
            <w:numRestart w:val="eachSect"/>
          </w:footnotePr>
          <w:endnotePr>
            <w:numFmt w:val="decimal"/>
          </w:endnotePr>
          <w:pgSz w:w="11907" w:h="16840" w:code="9"/>
          <w:pgMar w:top="1701" w:right="1134" w:bottom="2268" w:left="1134" w:header="1134" w:footer="1701" w:gutter="0"/>
          <w:cols w:space="720"/>
          <w:bidi/>
          <w:rtlGutter/>
          <w:docGrid w:linePitch="360"/>
        </w:sectPr>
      </w:pPr>
    </w:p>
    <w:p w:rsidR="00631BFA" w:rsidRDefault="00631BFA" w:rsidP="00B8750E">
      <w:pPr>
        <w:pStyle w:val="HChGA"/>
        <w:spacing w:before="120"/>
        <w:rPr>
          <w:rFonts w:hint="cs"/>
          <w:rtl/>
        </w:rPr>
      </w:pPr>
      <w:r>
        <w:rPr>
          <w:rFonts w:hint="cs"/>
          <w:rtl/>
        </w:rPr>
        <w:t>المرفق العاشر</w:t>
      </w:r>
    </w:p>
    <w:p w:rsidR="00631BFA" w:rsidRPr="009230BA" w:rsidRDefault="00C03C80" w:rsidP="00C03C80">
      <w:pPr>
        <w:pStyle w:val="HChGA"/>
        <w:rPr>
          <w:rFonts w:hint="cs"/>
          <w:rtl/>
        </w:rPr>
      </w:pPr>
      <w:r>
        <w:rPr>
          <w:rFonts w:hint="cs"/>
          <w:rtl/>
        </w:rPr>
        <w:tab/>
      </w:r>
      <w:r>
        <w:rPr>
          <w:rFonts w:hint="cs"/>
          <w:rtl/>
        </w:rPr>
        <w:tab/>
      </w:r>
      <w:r w:rsidR="00631BFA" w:rsidRPr="009230BA">
        <w:rPr>
          <w:rFonts w:hint="cs"/>
          <w:rtl/>
        </w:rPr>
        <w:t xml:space="preserve">التعليق العام رقم </w:t>
      </w:r>
      <w:r w:rsidR="00631BFA">
        <w:rPr>
          <w:rFonts w:hint="cs"/>
          <w:rtl/>
        </w:rPr>
        <w:t>3(2012)</w:t>
      </w:r>
    </w:p>
    <w:p w:rsidR="00631BFA" w:rsidRPr="009230BA" w:rsidRDefault="00631BFA" w:rsidP="00C03C80">
      <w:pPr>
        <w:pStyle w:val="H1GA"/>
        <w:rPr>
          <w:rFonts w:hint="cs"/>
          <w:rtl/>
        </w:rPr>
      </w:pPr>
      <w:r>
        <w:rPr>
          <w:rtl/>
        </w:rPr>
        <w:tab/>
      </w:r>
      <w:r>
        <w:rPr>
          <w:rFonts w:hint="cs"/>
          <w:rtl/>
        </w:rPr>
        <w:tab/>
      </w:r>
      <w:r w:rsidRPr="009230BA">
        <w:rPr>
          <w:rFonts w:hint="cs"/>
          <w:rtl/>
        </w:rPr>
        <w:t xml:space="preserve">تنفيذ الدول الأطراف </w:t>
      </w:r>
      <w:r>
        <w:rPr>
          <w:rFonts w:hint="cs"/>
          <w:rtl/>
        </w:rPr>
        <w:t>ل</w:t>
      </w:r>
      <w:r w:rsidRPr="009230BA">
        <w:rPr>
          <w:rFonts w:hint="cs"/>
          <w:rtl/>
        </w:rPr>
        <w:t xml:space="preserve">لمادة </w:t>
      </w:r>
      <w:r>
        <w:rPr>
          <w:rFonts w:hint="cs"/>
          <w:rtl/>
        </w:rPr>
        <w:t>14</w:t>
      </w:r>
    </w:p>
    <w:p w:rsidR="00631BFA" w:rsidRDefault="00631BFA" w:rsidP="00B8750E">
      <w:pPr>
        <w:pStyle w:val="SingleTxtGA"/>
        <w:rPr>
          <w:rFonts w:hint="cs"/>
          <w:rtl/>
        </w:rPr>
      </w:pPr>
      <w:r w:rsidRPr="009230BA">
        <w:rPr>
          <w:rtl/>
        </w:rPr>
        <w:t>1-</w:t>
      </w:r>
      <w:r w:rsidRPr="009230BA">
        <w:rPr>
          <w:rFonts w:hint="cs"/>
          <w:rtl/>
        </w:rPr>
        <w:tab/>
      </w:r>
      <w:r w:rsidRPr="009230BA">
        <w:rPr>
          <w:color w:val="000000"/>
          <w:rtl/>
        </w:rPr>
        <w:t xml:space="preserve">هذا التعليق العام </w:t>
      </w:r>
      <w:r>
        <w:rPr>
          <w:rFonts w:hint="cs"/>
          <w:color w:val="000000"/>
          <w:rtl/>
        </w:rPr>
        <w:t>يفسر ويوضح</w:t>
      </w:r>
      <w:r w:rsidRPr="009230BA">
        <w:rPr>
          <w:rFonts w:hint="cs"/>
          <w:color w:val="000000"/>
          <w:rtl/>
        </w:rPr>
        <w:t xml:space="preserve"> </w:t>
      </w:r>
      <w:r>
        <w:rPr>
          <w:rFonts w:hint="cs"/>
          <w:rtl/>
        </w:rPr>
        <w:t xml:space="preserve">للدول الأطراف مضمون ونطاق الالتزامات الناشئة عن المادة 14 من </w:t>
      </w:r>
      <w:r w:rsidRPr="00D534DF">
        <w:rPr>
          <w:cs/>
        </w:rPr>
        <w:t>‎‎</w:t>
      </w:r>
      <w:r w:rsidRPr="00D534DF">
        <w:rPr>
          <w:rtl/>
        </w:rPr>
        <w:t>اتفاقية مناهضة التعذيب وغيره من ضروب المعاملة أو العقوبة القاسية أو</w:t>
      </w:r>
      <w:r w:rsidR="00B8750E">
        <w:rPr>
          <w:rFonts w:hint="cs"/>
          <w:rtl/>
        </w:rPr>
        <w:t> </w:t>
      </w:r>
      <w:r w:rsidRPr="00D534DF">
        <w:rPr>
          <w:rtl/>
        </w:rPr>
        <w:t>اللاإنسانية أو المهينة‏</w:t>
      </w:r>
      <w:r>
        <w:rPr>
          <w:rFonts w:hint="cs"/>
          <w:rtl/>
        </w:rPr>
        <w:t>. فكل دولة طرف مطالبة بموجبها بأن "</w:t>
      </w:r>
      <w:r>
        <w:rPr>
          <w:rtl/>
        </w:rPr>
        <w:t>تضمن</w:t>
      </w:r>
      <w:r>
        <w:rPr>
          <w:rFonts w:hint="cs"/>
          <w:rtl/>
        </w:rPr>
        <w:t xml:space="preserve"> (...)،</w:t>
      </w:r>
      <w:r>
        <w:rPr>
          <w:rtl/>
        </w:rPr>
        <w:t xml:space="preserve"> في نظامها القانوني، إنصاف من يتعرض لعمل من أعمال التعذيب وتمتعه بحق قابل للتنفيذ في تعويض عادل ومناسب بما في ذلك وسائل إعادة تأهيله على أكمل وجه ممكن</w:t>
      </w:r>
      <w:r>
        <w:rPr>
          <w:rFonts w:hint="cs"/>
          <w:rtl/>
        </w:rPr>
        <w:t xml:space="preserve">". وتعتبر اللجنة أن المادة 14 تنطبق على جميع ضحايا التعذيب وأفعال </w:t>
      </w:r>
      <w:r w:rsidRPr="00D534DF">
        <w:rPr>
          <w:rtl/>
        </w:rPr>
        <w:t>المعاملة أو العقوبة القاسية أو اللاإنسانية أو المهينة</w:t>
      </w:r>
      <w:r>
        <w:rPr>
          <w:rFonts w:hint="cs"/>
          <w:rtl/>
        </w:rPr>
        <w:t xml:space="preserve"> (يشار إليها فيما يلي بعبارة "سوء المعاملة") دون تمييز أياً كان نوعه، تماشياً مع تعليق اللجنة العام رقم 2.</w:t>
      </w:r>
    </w:p>
    <w:p w:rsidR="00631BFA" w:rsidRDefault="00631BFA" w:rsidP="00631BFA">
      <w:pPr>
        <w:pStyle w:val="SingleTxtGA"/>
        <w:rPr>
          <w:rFonts w:hint="cs"/>
          <w:rtl/>
        </w:rPr>
      </w:pPr>
      <w:r>
        <w:rPr>
          <w:rFonts w:hint="cs"/>
          <w:rtl/>
        </w:rPr>
        <w:t>2-</w:t>
      </w:r>
      <w:r>
        <w:rPr>
          <w:rFonts w:hint="cs"/>
          <w:rtl/>
        </w:rPr>
        <w:tab/>
        <w:t>وترى اللجنة أن كلمة "إنصاف" في المادة 14 تشمل مفهومي "الانتصاف الفعال" و"الجبر". وبالتالي، فإن مفهوم الجبر الشامل ينطوي على رد الحقوق والتعويض وإعادة التأهيل والترضية وضمانات بعدم تكرار الانتهاكات، ويشير إلى النطاق الكام</w:t>
      </w:r>
      <w:r>
        <w:rPr>
          <w:rFonts w:hint="eastAsia"/>
          <w:rtl/>
        </w:rPr>
        <w:t>ل</w:t>
      </w:r>
      <w:r>
        <w:rPr>
          <w:rFonts w:hint="cs"/>
          <w:rtl/>
        </w:rPr>
        <w:t xml:space="preserve"> للتدابير اللازمة لإتاحة الإنصاف من الانتهاكات بموجب الاتفاقية.</w:t>
      </w:r>
    </w:p>
    <w:p w:rsidR="00631BFA" w:rsidRDefault="00631BFA" w:rsidP="00B81503">
      <w:pPr>
        <w:pStyle w:val="SingleTxtGA"/>
        <w:rPr>
          <w:rFonts w:hint="cs"/>
          <w:rtl/>
          <w:lang/>
        </w:rPr>
      </w:pPr>
      <w:r>
        <w:rPr>
          <w:rFonts w:hint="cs"/>
          <w:rtl/>
        </w:rPr>
        <w:t>3-</w:t>
      </w:r>
      <w:r>
        <w:rPr>
          <w:rFonts w:hint="cs"/>
          <w:rtl/>
        </w:rPr>
        <w:tab/>
        <w:t>والضحايا هم الأشخاص الذين</w:t>
      </w:r>
      <w:r>
        <w:rPr>
          <w:rFonts w:hint="cs"/>
          <w:rtl/>
          <w:lang/>
        </w:rPr>
        <w:t xml:space="preserve"> لحق بهم ضرر بشكل فردي أو جماعي، بما في ذلك الضرر البدني أو العقلي، أو المعاناة النفسية، أو الخسارة الاقتصادية، أو الحرمان بدرجة كبيرة من التمتع بحقوقهم الأساسية، عن طريق أفعال أو حالات امتناع عن أفعال تشكل </w:t>
      </w:r>
      <w:r w:rsidRPr="0031789D">
        <w:rPr>
          <w:rFonts w:hint="cs"/>
          <w:rtl/>
          <w:lang/>
        </w:rPr>
        <w:t>انتهاكاً للاتفاقية.</w:t>
      </w:r>
      <w:r>
        <w:rPr>
          <w:rFonts w:hint="cs"/>
          <w:rtl/>
          <w:lang/>
        </w:rPr>
        <w:t xml:space="preserve"> وينبغي اعتبار شخص ما ضحية بصرف النظر عما إذا كان قد جرى التعرف على مرتكب الفعل أو قُبض عليه أو قُوضي أو</w:t>
      </w:r>
      <w:r>
        <w:rPr>
          <w:rFonts w:hint="eastAsia"/>
          <w:rtl/>
        </w:rPr>
        <w:t> </w:t>
      </w:r>
      <w:r>
        <w:rPr>
          <w:rFonts w:hint="cs"/>
          <w:rtl/>
          <w:lang/>
        </w:rPr>
        <w:t>أُدين، وبصرف النظر عن أي علاقة أسرية أو علاقة أخرى بينه وبين الضحية. ويغطي مصطلح "الضحية" أيضاً أفراد أسرة الضحية الأقربين أو</w:t>
      </w:r>
      <w:r w:rsidR="00B81503">
        <w:rPr>
          <w:rFonts w:hint="eastAsia"/>
          <w:rtl/>
          <w:lang/>
        </w:rPr>
        <w:t> </w:t>
      </w:r>
      <w:r>
        <w:rPr>
          <w:rFonts w:hint="cs"/>
          <w:rtl/>
          <w:lang/>
        </w:rPr>
        <w:t>مُعاليه المتضررين فضلاً عن الأشخاص الذين لحق بهم ضرر عند تدخلهم لمساعدة الضحايا أو منع الأذى. وقد يفضل الأشخاص الذين لحق بهم الضرر مصطلح "الباقين على قيد الحياة" في بعض الحالات. وتستخدم اللجنة المصطلح القانوني "الضحايا" دون الإخلال بأي مصطلحات أخرى قد تكون محبذة في سياقات معينة.</w:t>
      </w:r>
    </w:p>
    <w:p w:rsidR="00631BFA" w:rsidRDefault="00631BFA" w:rsidP="00631BFA">
      <w:pPr>
        <w:pStyle w:val="SingleTxtGA"/>
        <w:rPr>
          <w:rFonts w:hint="cs"/>
          <w:rtl/>
          <w:lang/>
        </w:rPr>
      </w:pPr>
      <w:r>
        <w:rPr>
          <w:rFonts w:hint="cs"/>
          <w:rtl/>
          <w:lang/>
        </w:rPr>
        <w:t>4-</w:t>
      </w:r>
      <w:r>
        <w:rPr>
          <w:rFonts w:hint="cs"/>
          <w:rtl/>
          <w:lang/>
        </w:rPr>
        <w:tab/>
        <w:t>وتؤكد اللجنة أهمية مشاركة الضحايا في عملية الإنصاف، وأن إعادة الكرامة إلى الضحية هو الهدف النهائي المتوخى من إتاحة سبل الانتصاف.</w:t>
      </w:r>
    </w:p>
    <w:p w:rsidR="00631BFA" w:rsidRDefault="00631BFA" w:rsidP="00631BFA">
      <w:pPr>
        <w:pStyle w:val="SingleTxtGA"/>
        <w:rPr>
          <w:rFonts w:hint="cs"/>
          <w:rtl/>
          <w:lang/>
        </w:rPr>
      </w:pPr>
      <w:r>
        <w:rPr>
          <w:rFonts w:hint="cs"/>
          <w:rtl/>
          <w:lang/>
        </w:rPr>
        <w:t>5-</w:t>
      </w:r>
      <w:r>
        <w:rPr>
          <w:rFonts w:hint="cs"/>
          <w:rtl/>
          <w:lang/>
        </w:rPr>
        <w:tab/>
        <w:t>ولالتزامات الدول الأطراف بتوفير الإنصاف بموجب المادة 14 من الاتفاقية وجهان: وجه إجرائي وآخر موضوعي. ولكي تفي الدول الأطراف بالتزاماتها الإجرائية، عليها أن تسن تشريعات وأن تنشئ آليات لتقديم الشكاوى وهيئات ومؤسسات للتحقيق، بما فيها هيئات قضائية مستقلة قادرة على إثبات حق ضحايا التعذيب وسوء المعاملة في الإنصاف ومنحه، وأن تضمن فعالية هذه الآليات والهيئات وإمكانية وصول جميع الضحايا إليها. ومن الناحية الموضوعية، على الدول الأطراف أن تضمن حصول ضحايا التعذيب أو سوء المعاملة على إنصاف وجبر كاملين وفعالين، بما في ذلك التعويض و</w:t>
      </w:r>
      <w:r w:rsidRPr="00A30FF8">
        <w:rPr>
          <w:rFonts w:hint="cs"/>
          <w:rtl/>
          <w:lang/>
        </w:rPr>
        <w:t>الوسائل اللازمة لإعادة تأهيلهم على أكمل وجه ممكن</w:t>
      </w:r>
      <w:r>
        <w:rPr>
          <w:rFonts w:hint="cs"/>
          <w:rtl/>
          <w:lang/>
        </w:rPr>
        <w:t>.</w:t>
      </w:r>
    </w:p>
    <w:p w:rsidR="00631BFA" w:rsidRPr="00972BB8" w:rsidRDefault="00631BFA" w:rsidP="00631BFA">
      <w:pPr>
        <w:pStyle w:val="H23GA"/>
        <w:rPr>
          <w:rFonts w:hint="cs"/>
          <w:rtl/>
        </w:rPr>
      </w:pPr>
      <w:r>
        <w:rPr>
          <w:rtl/>
          <w:lang/>
        </w:rPr>
        <w:tab/>
      </w:r>
      <w:r>
        <w:rPr>
          <w:rFonts w:hint="cs"/>
          <w:rtl/>
          <w:lang/>
        </w:rPr>
        <w:tab/>
      </w:r>
      <w:r w:rsidRPr="00972BB8">
        <w:rPr>
          <w:rFonts w:hint="cs"/>
          <w:rtl/>
          <w:lang/>
        </w:rPr>
        <w:t>الالتزاما</w:t>
      </w:r>
      <w:r w:rsidRPr="00972BB8">
        <w:rPr>
          <w:rFonts w:hint="eastAsia"/>
          <w:rtl/>
          <w:lang/>
        </w:rPr>
        <w:t>ت</w:t>
      </w:r>
      <w:r w:rsidRPr="00972BB8">
        <w:rPr>
          <w:rFonts w:hint="cs"/>
          <w:rtl/>
          <w:lang/>
        </w:rPr>
        <w:t xml:space="preserve"> الموضوعية:</w:t>
      </w:r>
      <w:r w:rsidRPr="00972BB8">
        <w:rPr>
          <w:rFonts w:hint="cs"/>
          <w:rtl/>
        </w:rPr>
        <w:t xml:space="preserve"> نطاق الحق في </w:t>
      </w:r>
      <w:r>
        <w:rPr>
          <w:rFonts w:hint="cs"/>
          <w:rtl/>
        </w:rPr>
        <w:t>الإنصاف</w:t>
      </w:r>
    </w:p>
    <w:p w:rsidR="00631BFA" w:rsidRPr="00B8750E" w:rsidRDefault="00631BFA" w:rsidP="00B8750E">
      <w:pPr>
        <w:pStyle w:val="SingleTxtGA"/>
        <w:rPr>
          <w:rFonts w:hint="cs"/>
          <w:spacing w:val="-2"/>
          <w:rtl/>
          <w:lang/>
        </w:rPr>
      </w:pPr>
      <w:r>
        <w:rPr>
          <w:rFonts w:hint="cs"/>
          <w:rtl/>
          <w:lang/>
        </w:rPr>
        <w:t>6-</w:t>
      </w:r>
      <w:r>
        <w:rPr>
          <w:rFonts w:hint="cs"/>
          <w:rtl/>
          <w:lang/>
        </w:rPr>
        <w:tab/>
        <w:t xml:space="preserve">يشمل الإنصاف، مثلما ذُكر في الفقرة 2 أعلاه، الأشكال الخمسة التالية من الجبر، وهي: رد الحقوق والتعويض وإعادة التأهيل والترضية وضمانات بعدم تكرار الانتهاكات. وتقر اللجنة بعناصر الإنصاف الكامل بموجب القانون والممارسة الدوليين، مثلما ترد في </w:t>
      </w:r>
      <w:r w:rsidRPr="00663DC4">
        <w:rPr>
          <w:rtl/>
          <w:lang/>
        </w:rPr>
        <w:t>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الإنساني الدولي</w:t>
      </w:r>
      <w:r>
        <w:rPr>
          <w:rFonts w:hint="cs"/>
          <w:rtl/>
          <w:lang/>
        </w:rPr>
        <w:t xml:space="preserve"> </w:t>
      </w:r>
      <w:r w:rsidRPr="00B8750E">
        <w:rPr>
          <w:rFonts w:hint="cs"/>
          <w:spacing w:val="-2"/>
          <w:rtl/>
          <w:lang/>
        </w:rPr>
        <w:t>(</w:t>
      </w:r>
      <w:r w:rsidRPr="00B8750E">
        <w:rPr>
          <w:spacing w:val="-2"/>
          <w:rtl/>
          <w:lang/>
        </w:rPr>
        <w:t>المبادئ الأساسية والمبادئ التوجيهية</w:t>
      </w:r>
      <w:r w:rsidRPr="00B8750E">
        <w:rPr>
          <w:rFonts w:hint="cs"/>
          <w:spacing w:val="-2"/>
          <w:rtl/>
          <w:lang/>
        </w:rPr>
        <w:t>)</w:t>
      </w:r>
      <w:r w:rsidR="00B8750E" w:rsidRPr="00B8750E">
        <w:rPr>
          <w:spacing w:val="-2"/>
          <w:vertAlign w:val="superscript"/>
          <w:rtl/>
        </w:rPr>
        <w:t>(</w:t>
      </w:r>
      <w:r w:rsidR="00B8750E" w:rsidRPr="00B8750E">
        <w:rPr>
          <w:rStyle w:val="FootnoteReference"/>
          <w:b/>
          <w:smallCaps/>
          <w:spacing w:val="-2"/>
          <w:rtl/>
        </w:rPr>
        <w:footnoteReference w:id="34"/>
      </w:r>
      <w:r w:rsidR="00B8750E" w:rsidRPr="00B8750E">
        <w:rPr>
          <w:spacing w:val="-2"/>
          <w:vertAlign w:val="superscript"/>
          <w:rtl/>
        </w:rPr>
        <w:t>)</w:t>
      </w:r>
      <w:r w:rsidRPr="00B8750E">
        <w:rPr>
          <w:rFonts w:hint="cs"/>
          <w:spacing w:val="-2"/>
          <w:rtl/>
          <w:lang/>
        </w:rPr>
        <w:t>. ويجب أن يكون الجبر مناسباً وفعالاً وشاملاً. وتذكَّر الدول الأطراف بأنه عند تحديد الإنصاف وتدابير الجبر المقدمة أو الممنوحة لضحايا التعذيب أو</w:t>
      </w:r>
      <w:r w:rsidR="00B8750E">
        <w:rPr>
          <w:rFonts w:hint="eastAsia"/>
          <w:spacing w:val="-2"/>
          <w:rtl/>
          <w:lang/>
        </w:rPr>
        <w:t> </w:t>
      </w:r>
      <w:r w:rsidRPr="00B8750E">
        <w:rPr>
          <w:rFonts w:hint="cs"/>
          <w:spacing w:val="-2"/>
          <w:rtl/>
          <w:lang/>
        </w:rPr>
        <w:t>سوء المعاملة، يجب مراعاة خصوصيات كل حالة وظروفها وينبغي أن يكون الإنصاف مكيفاً مع الاحتياجات الخاصة للضحايا ومتناسباً مع خطورة الانتهاكات المرتكبة بحقهم. وتؤكد اللجنة أن لتوفير الجبر أثراً أصيلاً مانعاً ورادعاً لارتكاب انتهاكات في المستقبل.</w:t>
      </w:r>
    </w:p>
    <w:p w:rsidR="00631BFA" w:rsidRDefault="00631BFA" w:rsidP="00631BFA">
      <w:pPr>
        <w:pStyle w:val="SingleTxtGA"/>
        <w:rPr>
          <w:rFonts w:hint="cs"/>
          <w:rtl/>
          <w:lang/>
        </w:rPr>
      </w:pPr>
      <w:r>
        <w:rPr>
          <w:rFonts w:hint="cs"/>
          <w:rtl/>
          <w:lang/>
        </w:rPr>
        <w:t>7-</w:t>
      </w:r>
      <w:r>
        <w:rPr>
          <w:rFonts w:hint="cs"/>
          <w:rtl/>
          <w:lang/>
        </w:rPr>
        <w:tab/>
        <w:t>وإذا ارتكبت</w:t>
      </w:r>
      <w:r>
        <w:rPr>
          <w:rtl/>
          <w:lang/>
        </w:rPr>
        <w:t xml:space="preserve"> سلطات الدولة أو جهات </w:t>
      </w:r>
      <w:r w:rsidRPr="00F02539">
        <w:rPr>
          <w:rtl/>
          <w:lang/>
        </w:rPr>
        <w:t xml:space="preserve">أخرى تتصرف بصفة رسمية </w:t>
      </w:r>
      <w:r>
        <w:rPr>
          <w:rFonts w:hint="cs"/>
          <w:rtl/>
          <w:lang/>
        </w:rPr>
        <w:t xml:space="preserve">أعمال التعذيب أو سوء المعاملة، أو كانت على علم بأن </w:t>
      </w:r>
      <w:r w:rsidRPr="00F02539">
        <w:rPr>
          <w:rtl/>
          <w:lang/>
        </w:rPr>
        <w:t>موظفين غير حكوميين أو أطراف</w:t>
      </w:r>
      <w:r>
        <w:rPr>
          <w:rFonts w:hint="cs"/>
          <w:rtl/>
          <w:lang/>
        </w:rPr>
        <w:t>اً</w:t>
      </w:r>
      <w:r w:rsidRPr="00F02539">
        <w:rPr>
          <w:rtl/>
          <w:lang/>
        </w:rPr>
        <w:t xml:space="preserve"> فاعلة خاصة </w:t>
      </w:r>
      <w:r>
        <w:rPr>
          <w:rFonts w:hint="cs"/>
          <w:rtl/>
          <w:lang/>
        </w:rPr>
        <w:t>قد ارتكبت هذه الأعمال،</w:t>
      </w:r>
      <w:r w:rsidRPr="00F02539">
        <w:rPr>
          <w:rtl/>
          <w:lang/>
        </w:rPr>
        <w:t xml:space="preserve"> أو كان</w:t>
      </w:r>
      <w:r>
        <w:rPr>
          <w:rtl/>
          <w:lang/>
        </w:rPr>
        <w:t xml:space="preserve"> لد</w:t>
      </w:r>
      <w:r>
        <w:rPr>
          <w:rFonts w:hint="cs"/>
          <w:rtl/>
          <w:lang/>
        </w:rPr>
        <w:t xml:space="preserve">يها </w:t>
      </w:r>
      <w:r w:rsidRPr="00F02539">
        <w:rPr>
          <w:rtl/>
          <w:lang/>
        </w:rPr>
        <w:t>من الأسباب المعقول</w:t>
      </w:r>
      <w:r>
        <w:rPr>
          <w:rtl/>
          <w:lang/>
        </w:rPr>
        <w:t>ة ما يدفع إلى الاعتقاد بارتكاب</w:t>
      </w:r>
      <w:r>
        <w:rPr>
          <w:rFonts w:hint="cs"/>
          <w:rtl/>
          <w:lang/>
        </w:rPr>
        <w:t>هم لهذه الأعمال</w:t>
      </w:r>
      <w:r w:rsidRPr="00F02539">
        <w:rPr>
          <w:rtl/>
          <w:lang/>
        </w:rPr>
        <w:t xml:space="preserve">، </w:t>
      </w:r>
      <w:r>
        <w:rPr>
          <w:rFonts w:hint="cs"/>
          <w:rtl/>
          <w:lang/>
        </w:rPr>
        <w:t>وأخفقت في</w:t>
      </w:r>
      <w:r>
        <w:rPr>
          <w:rtl/>
          <w:lang/>
        </w:rPr>
        <w:t xml:space="preserve"> ممارسة العناية الواجبة لمنع</w:t>
      </w:r>
      <w:r>
        <w:rPr>
          <w:rFonts w:hint="cs"/>
          <w:rtl/>
          <w:lang/>
        </w:rPr>
        <w:t xml:space="preserve"> هؤلاء الموظفين غير الحكوميين أو هذه الجهات الخاصة</w:t>
      </w:r>
      <w:r w:rsidRPr="00F02539">
        <w:rPr>
          <w:rtl/>
          <w:lang/>
        </w:rPr>
        <w:t xml:space="preserve"> والتحقيق معهم ومقاضاتهم ومعاقبتهم بما يتفق وأحكام الاتفاقية، فإن الدولة تتحمل مسؤولية</w:t>
      </w:r>
      <w:r>
        <w:rPr>
          <w:rFonts w:hint="cs"/>
          <w:rtl/>
          <w:lang/>
        </w:rPr>
        <w:t xml:space="preserve"> توفير الإنصاف للضحايا (التعليق العام رقم 2).</w:t>
      </w:r>
    </w:p>
    <w:p w:rsidR="00631BFA" w:rsidRPr="00185B32" w:rsidRDefault="00631BFA" w:rsidP="00631BFA">
      <w:pPr>
        <w:pStyle w:val="H23GA"/>
        <w:rPr>
          <w:rFonts w:hint="cs"/>
          <w:rtl/>
          <w:lang/>
        </w:rPr>
      </w:pPr>
      <w:r>
        <w:rPr>
          <w:rtl/>
          <w:lang/>
        </w:rPr>
        <w:tab/>
      </w:r>
      <w:r>
        <w:rPr>
          <w:rFonts w:hint="cs"/>
          <w:rtl/>
          <w:lang/>
        </w:rPr>
        <w:tab/>
      </w:r>
      <w:r w:rsidRPr="00185B32">
        <w:rPr>
          <w:rFonts w:hint="cs"/>
          <w:rtl/>
          <w:lang/>
        </w:rPr>
        <w:t>رد الحق</w:t>
      </w:r>
      <w:r>
        <w:rPr>
          <w:rFonts w:hint="cs"/>
          <w:rtl/>
          <w:lang/>
        </w:rPr>
        <w:t>وق</w:t>
      </w:r>
    </w:p>
    <w:p w:rsidR="00631BFA" w:rsidRDefault="00631BFA" w:rsidP="00631BFA">
      <w:pPr>
        <w:pStyle w:val="SingleTxtGA"/>
        <w:rPr>
          <w:rFonts w:hint="cs"/>
          <w:rtl/>
          <w:lang/>
        </w:rPr>
      </w:pPr>
      <w:r>
        <w:rPr>
          <w:rFonts w:hint="cs"/>
          <w:rtl/>
          <w:lang/>
        </w:rPr>
        <w:t>8-</w:t>
      </w:r>
      <w:r>
        <w:rPr>
          <w:rFonts w:hint="cs"/>
          <w:rtl/>
          <w:lang/>
        </w:rPr>
        <w:tab/>
        <w:t xml:space="preserve">رد الحقوق شكل من أشكال الإنصاف مصمم لإعادة </w:t>
      </w:r>
      <w:r w:rsidRPr="00185B32">
        <w:rPr>
          <w:rFonts w:hint="cs"/>
          <w:rtl/>
          <w:lang/>
        </w:rPr>
        <w:t>حالة</w:t>
      </w:r>
      <w:r>
        <w:rPr>
          <w:rFonts w:hint="cs"/>
          <w:rtl/>
          <w:lang/>
        </w:rPr>
        <w:t xml:space="preserve"> الضحية</w:t>
      </w:r>
      <w:r w:rsidRPr="00185B32">
        <w:rPr>
          <w:rFonts w:hint="cs"/>
          <w:rtl/>
          <w:lang/>
        </w:rPr>
        <w:t xml:space="preserve"> إلى ما كانت عليه قبل </w:t>
      </w:r>
      <w:r>
        <w:rPr>
          <w:rFonts w:hint="cs"/>
          <w:rtl/>
          <w:lang/>
        </w:rPr>
        <w:t>انتهاك الاتفاقية، مع مراعاة خصوصيات كل حالة. وتقتضي الالتزامات الوقائية بموجب الاتفاقية من الدول الأطراف أن تضمن عدم وضع ضحية يرد له الحق في موقف يعرضه للتعذيب أو سوء المعاملة من جديد. وفي بعض الحالات، قد يرى الضحية أن رد الحقوق غير ممكن بالنظر إلى طبيعة الانتهاك؛ ومع ذلك، فإن على الدولة أن توفر الإنصاف للضحية بشكل كامل. ولكي يكون رد الحقوق فعالاً، ينبغي بذل جهود من أجل التصدي لأي أسباب هيكلية للانتهاكات، بما في ذلك أي نوع من التمييز المتعلق، على سبيل المثال، بنوع الجنس والميل الجنسي والإعاقة والرأي السياسي أو أي رأي آخر و</w:t>
      </w:r>
      <w:r w:rsidRPr="009230BA">
        <w:rPr>
          <w:color w:val="000000"/>
          <w:rtl/>
        </w:rPr>
        <w:t>ا</w:t>
      </w:r>
      <w:r w:rsidRPr="009230BA">
        <w:rPr>
          <w:rFonts w:hint="cs"/>
          <w:color w:val="000000"/>
          <w:rtl/>
        </w:rPr>
        <w:t>لانتماء العرقي</w:t>
      </w:r>
      <w:r>
        <w:rPr>
          <w:rFonts w:hint="cs"/>
          <w:rtl/>
          <w:lang/>
        </w:rPr>
        <w:t xml:space="preserve"> والسن والدين وجميع أسباب التمييز الأخرى.</w:t>
      </w:r>
    </w:p>
    <w:p w:rsidR="00631BFA" w:rsidRPr="00AF4FCD" w:rsidRDefault="00631BFA" w:rsidP="00631BFA">
      <w:pPr>
        <w:pStyle w:val="H23GA"/>
        <w:rPr>
          <w:rFonts w:hint="cs"/>
          <w:rtl/>
          <w:lang/>
        </w:rPr>
      </w:pPr>
      <w:r>
        <w:rPr>
          <w:rtl/>
          <w:lang/>
        </w:rPr>
        <w:tab/>
      </w:r>
      <w:r>
        <w:rPr>
          <w:rFonts w:hint="cs"/>
          <w:rtl/>
          <w:lang/>
        </w:rPr>
        <w:tab/>
      </w:r>
      <w:r w:rsidRPr="00AF4FCD">
        <w:rPr>
          <w:rFonts w:hint="cs"/>
          <w:rtl/>
          <w:lang/>
        </w:rPr>
        <w:t>التعويض</w:t>
      </w:r>
    </w:p>
    <w:p w:rsidR="00631BFA" w:rsidRDefault="00631BFA" w:rsidP="00631BFA">
      <w:pPr>
        <w:pStyle w:val="SingleTxtGA"/>
        <w:rPr>
          <w:rFonts w:hint="cs"/>
          <w:rtl/>
          <w:lang/>
        </w:rPr>
      </w:pPr>
      <w:r>
        <w:rPr>
          <w:rFonts w:hint="cs"/>
          <w:rtl/>
          <w:lang/>
        </w:rPr>
        <w:t>9-</w:t>
      </w:r>
      <w:r>
        <w:rPr>
          <w:rFonts w:hint="cs"/>
          <w:rtl/>
          <w:lang/>
        </w:rPr>
        <w:tab/>
        <w:t>تؤكد اللجنة أن التعويض النقدي وحده قد لا يكون سبيل انتصاف كاف لضحية من ضحايا التعذيب وسوء المعاملة. وتؤكد اللجنة أن تقديم التعويض النقدي فقط لا يكفي لكي تفي دولة طرف بالتزاماتها بموجب المادة 14.</w:t>
      </w:r>
    </w:p>
    <w:p w:rsidR="00631BFA" w:rsidRDefault="00631BFA" w:rsidP="00B8750E">
      <w:pPr>
        <w:pStyle w:val="SingleTxtGA"/>
        <w:rPr>
          <w:rFonts w:hint="cs"/>
          <w:rtl/>
          <w:lang/>
        </w:rPr>
      </w:pPr>
      <w:r>
        <w:rPr>
          <w:rFonts w:hint="cs"/>
          <w:rtl/>
          <w:lang/>
        </w:rPr>
        <w:t>10-</w:t>
      </w:r>
      <w:r>
        <w:rPr>
          <w:rFonts w:hint="cs"/>
          <w:rtl/>
          <w:lang/>
        </w:rPr>
        <w:tab/>
        <w:t>وإن الحق في الحصول على تعويض فوري وعادل ومناسب عن أعمال التعذيب أو</w:t>
      </w:r>
      <w:r w:rsidR="00B8750E">
        <w:rPr>
          <w:rFonts w:hint="eastAsia"/>
          <w:rtl/>
          <w:lang/>
        </w:rPr>
        <w:t> </w:t>
      </w:r>
      <w:r>
        <w:rPr>
          <w:rFonts w:hint="cs"/>
          <w:rtl/>
          <w:lang/>
        </w:rPr>
        <w:t xml:space="preserve">سوء المعاملة بموجب المادة 14 هو حق متعدد المستويات وينبغي أن يكون التعويض الممنوح للضحية كافياً للتعويض عن أي ضرر قابل للتقييم من الناحية الاقتصادية ينتج عن التعذيب أو سوء المعاملة، سواء كان مالياً أو غير مالي. وقد يشمل هذا ما يلي: </w:t>
      </w:r>
      <w:r w:rsidRPr="007C0409">
        <w:rPr>
          <w:rtl/>
        </w:rPr>
        <w:t>تسديد</w:t>
      </w:r>
      <w:r w:rsidRPr="007C0409">
        <w:rPr>
          <w:rtl/>
          <w:lang/>
        </w:rPr>
        <w:t xml:space="preserve"> </w:t>
      </w:r>
      <w:r w:rsidRPr="007C0409">
        <w:rPr>
          <w:rtl/>
        </w:rPr>
        <w:t>النفقات الطبية</w:t>
      </w:r>
      <w:r w:rsidRPr="007C0409">
        <w:rPr>
          <w:rtl/>
          <w:lang/>
        </w:rPr>
        <w:t xml:space="preserve"> </w:t>
      </w:r>
      <w:r w:rsidRPr="007C0409">
        <w:rPr>
          <w:rtl/>
        </w:rPr>
        <w:t>المدفوعة و</w:t>
      </w:r>
      <w:r w:rsidRPr="007C0409">
        <w:rPr>
          <w:rtl/>
          <w:lang/>
        </w:rPr>
        <w:t xml:space="preserve">توفير </w:t>
      </w:r>
      <w:r w:rsidRPr="007C0409">
        <w:rPr>
          <w:rtl/>
        </w:rPr>
        <w:t>الأموال اللازمة لتغطية</w:t>
      </w:r>
      <w:r w:rsidRPr="007C0409">
        <w:rPr>
          <w:rtl/>
          <w:lang/>
        </w:rPr>
        <w:t xml:space="preserve"> </w:t>
      </w:r>
      <w:r>
        <w:rPr>
          <w:rFonts w:hint="cs"/>
          <w:rtl/>
          <w:lang/>
        </w:rPr>
        <w:t xml:space="preserve">ما يحتاج إليه الضحية في المستقبل من </w:t>
      </w:r>
      <w:r w:rsidRPr="007C0409">
        <w:rPr>
          <w:rtl/>
        </w:rPr>
        <w:t>الخدمات الطبية</w:t>
      </w:r>
      <w:r w:rsidRPr="007C0409">
        <w:rPr>
          <w:rtl/>
          <w:lang/>
        </w:rPr>
        <w:t xml:space="preserve"> </w:t>
      </w:r>
      <w:r w:rsidRPr="007C0409">
        <w:rPr>
          <w:rtl/>
        </w:rPr>
        <w:t>أو</w:t>
      </w:r>
      <w:r>
        <w:rPr>
          <w:rFonts w:hint="cs"/>
          <w:rtl/>
        </w:rPr>
        <w:t xml:space="preserve"> خدمات</w:t>
      </w:r>
      <w:r w:rsidRPr="007C0409">
        <w:rPr>
          <w:rtl/>
          <w:lang/>
        </w:rPr>
        <w:t xml:space="preserve"> </w:t>
      </w:r>
      <w:r w:rsidRPr="007C0409">
        <w:rPr>
          <w:rtl/>
        </w:rPr>
        <w:t>إعادة التأهيل</w:t>
      </w:r>
      <w:r w:rsidRPr="007C0409">
        <w:rPr>
          <w:rtl/>
          <w:lang/>
        </w:rPr>
        <w:t xml:space="preserve"> </w:t>
      </w:r>
      <w:r>
        <w:rPr>
          <w:rFonts w:hint="cs"/>
          <w:rtl/>
        </w:rPr>
        <w:t xml:space="preserve">لضمان إعادة تأهيله على أكمل وجه ممكن؛ والأضرار المالية وغير المالية الناجمة عن الضرر البدني والعقلي </w:t>
      </w:r>
      <w:r>
        <w:rPr>
          <w:rFonts w:hint="cs"/>
          <w:rtl/>
          <w:lang/>
        </w:rPr>
        <w:t xml:space="preserve">الواقع؛ </w:t>
      </w:r>
      <w:r w:rsidRPr="00AF19EA">
        <w:rPr>
          <w:rtl/>
          <w:lang/>
        </w:rPr>
        <w:t>وفقدان الأرباح و</w:t>
      </w:r>
      <w:r>
        <w:rPr>
          <w:rFonts w:hint="cs"/>
          <w:rtl/>
          <w:lang/>
        </w:rPr>
        <w:t xml:space="preserve">إمكانات كسب الربح </w:t>
      </w:r>
      <w:r w:rsidRPr="00AF19EA">
        <w:rPr>
          <w:rtl/>
          <w:lang/>
        </w:rPr>
        <w:t xml:space="preserve">بسبب </w:t>
      </w:r>
      <w:r>
        <w:rPr>
          <w:rtl/>
          <w:lang/>
        </w:rPr>
        <w:t>الإعاق</w:t>
      </w:r>
      <w:r>
        <w:rPr>
          <w:rFonts w:hint="cs"/>
          <w:rtl/>
          <w:lang/>
        </w:rPr>
        <w:t xml:space="preserve">ة الناجمة عن </w:t>
      </w:r>
      <w:r w:rsidRPr="00AF19EA">
        <w:rPr>
          <w:rtl/>
          <w:lang/>
        </w:rPr>
        <w:t>التعذيب أو سوء المعاملة؛ و</w:t>
      </w:r>
      <w:r>
        <w:rPr>
          <w:rFonts w:hint="cs"/>
          <w:rtl/>
          <w:lang/>
        </w:rPr>
        <w:t xml:space="preserve">ضياع الفرص </w:t>
      </w:r>
      <w:r w:rsidRPr="00AF19EA">
        <w:rPr>
          <w:rtl/>
          <w:lang/>
        </w:rPr>
        <w:t xml:space="preserve">مثل </w:t>
      </w:r>
      <w:r>
        <w:rPr>
          <w:rFonts w:hint="cs"/>
          <w:rtl/>
          <w:lang/>
        </w:rPr>
        <w:t xml:space="preserve">فرص </w:t>
      </w:r>
      <w:r w:rsidRPr="00AF19EA">
        <w:rPr>
          <w:rtl/>
          <w:lang/>
        </w:rPr>
        <w:t>العمل والتعليم. وبالإضافة إلى ذلك</w:t>
      </w:r>
      <w:r>
        <w:rPr>
          <w:rtl/>
          <w:lang/>
        </w:rPr>
        <w:t>، ي</w:t>
      </w:r>
      <w:r>
        <w:rPr>
          <w:rFonts w:hint="cs"/>
          <w:rtl/>
          <w:lang/>
        </w:rPr>
        <w:t>نبغي أن يشمل</w:t>
      </w:r>
      <w:r w:rsidRPr="00AF19EA">
        <w:rPr>
          <w:rtl/>
          <w:lang/>
        </w:rPr>
        <w:t xml:space="preserve"> التعويض المناسب </w:t>
      </w:r>
      <w:r>
        <w:rPr>
          <w:rFonts w:hint="cs"/>
          <w:rtl/>
          <w:lang/>
        </w:rPr>
        <w:t>الذي تمنحه</w:t>
      </w:r>
      <w:r w:rsidRPr="00AF19EA">
        <w:rPr>
          <w:rtl/>
          <w:lang/>
        </w:rPr>
        <w:t xml:space="preserve"> الدول الأطراف </w:t>
      </w:r>
      <w:r>
        <w:rPr>
          <w:rFonts w:hint="cs"/>
          <w:rtl/>
          <w:lang/>
        </w:rPr>
        <w:t>ل</w:t>
      </w:r>
      <w:r>
        <w:rPr>
          <w:rtl/>
          <w:lang/>
        </w:rPr>
        <w:t>ضح</w:t>
      </w:r>
      <w:r>
        <w:rPr>
          <w:rFonts w:hint="cs"/>
          <w:rtl/>
          <w:lang/>
        </w:rPr>
        <w:t>ايا</w:t>
      </w:r>
      <w:r>
        <w:rPr>
          <w:rtl/>
          <w:lang/>
        </w:rPr>
        <w:t xml:space="preserve"> </w:t>
      </w:r>
      <w:r>
        <w:rPr>
          <w:rFonts w:hint="cs"/>
          <w:rtl/>
          <w:lang/>
        </w:rPr>
        <w:t>ال</w:t>
      </w:r>
      <w:r w:rsidRPr="00AF19EA">
        <w:rPr>
          <w:rtl/>
          <w:lang/>
        </w:rPr>
        <w:t xml:space="preserve">تعذيب أو سوء المعاملة </w:t>
      </w:r>
      <w:r>
        <w:rPr>
          <w:rFonts w:hint="cs"/>
          <w:rtl/>
          <w:lang/>
        </w:rPr>
        <w:t>تقديم</w:t>
      </w:r>
      <w:r w:rsidRPr="00AF19EA">
        <w:rPr>
          <w:rtl/>
          <w:lang/>
        </w:rPr>
        <w:t xml:space="preserve"> المساعدة </w:t>
      </w:r>
      <w:r>
        <w:rPr>
          <w:rFonts w:hint="cs"/>
          <w:rtl/>
          <w:lang/>
        </w:rPr>
        <w:t>القضائية</w:t>
      </w:r>
      <w:r w:rsidRPr="00AF19EA">
        <w:rPr>
          <w:rtl/>
          <w:lang/>
        </w:rPr>
        <w:t xml:space="preserve"> أو</w:t>
      </w:r>
      <w:r w:rsidR="00B8750E">
        <w:rPr>
          <w:rFonts w:hint="cs"/>
          <w:rtl/>
          <w:lang/>
        </w:rPr>
        <w:t> </w:t>
      </w:r>
      <w:r w:rsidRPr="00AF19EA">
        <w:rPr>
          <w:rtl/>
          <w:lang/>
        </w:rPr>
        <w:t xml:space="preserve">المتخصصة، وغيرها من التكاليف المرتبطة </w:t>
      </w:r>
      <w:r>
        <w:rPr>
          <w:rFonts w:hint="cs"/>
          <w:rtl/>
          <w:lang/>
        </w:rPr>
        <w:t>برفع شكوى للحصول على الإنصاف.</w:t>
      </w:r>
    </w:p>
    <w:p w:rsidR="00631BFA" w:rsidRPr="00352FC5" w:rsidRDefault="00631BFA" w:rsidP="00631BFA">
      <w:pPr>
        <w:pStyle w:val="H23GA"/>
        <w:rPr>
          <w:rFonts w:hint="cs"/>
          <w:rtl/>
          <w:lang/>
        </w:rPr>
      </w:pPr>
      <w:r>
        <w:rPr>
          <w:rtl/>
          <w:lang/>
        </w:rPr>
        <w:tab/>
      </w:r>
      <w:r>
        <w:rPr>
          <w:rFonts w:hint="cs"/>
          <w:rtl/>
          <w:lang/>
        </w:rPr>
        <w:tab/>
      </w:r>
      <w:r w:rsidRPr="00352FC5">
        <w:rPr>
          <w:rFonts w:hint="cs"/>
          <w:rtl/>
          <w:lang/>
        </w:rPr>
        <w:t>إعادة التأهيل</w:t>
      </w:r>
    </w:p>
    <w:p w:rsidR="00631BFA" w:rsidRDefault="00631BFA" w:rsidP="00631BFA">
      <w:pPr>
        <w:pStyle w:val="SingleTxtGA"/>
        <w:rPr>
          <w:rFonts w:hint="cs"/>
          <w:rtl/>
          <w:lang/>
        </w:rPr>
      </w:pPr>
      <w:r>
        <w:rPr>
          <w:rFonts w:hint="cs"/>
          <w:rtl/>
          <w:lang/>
        </w:rPr>
        <w:t>11-</w:t>
      </w:r>
      <w:r>
        <w:rPr>
          <w:rFonts w:hint="cs"/>
          <w:rtl/>
          <w:lang/>
        </w:rPr>
        <w:tab/>
        <w:t>تؤكد اللجنة أن توفير وسائل إعادة التأهيل على أكمل وجه ممكن لأي شخص تضرر نتيجة انتهاك للاتفاقية ينبغي أن يكون شمولياً وأن يغطي الرعاية الصحية والنفسية فضلاً عن الخدمات القانونية والاجتماعية. وتحيل إعادة التأهيل، لأغراض هذا التعليق العام، إلى استعادة وظيفة أو اكتساب مهارات جديدة باتت ضرورية بسبب تغير ظروف الضحية بعد التعذيب أو سوء المعاملة. والهدف من</w:t>
      </w:r>
      <w:r w:rsidRPr="00884DE0">
        <w:rPr>
          <w:rFonts w:hint="cs"/>
          <w:rtl/>
          <w:lang/>
        </w:rPr>
        <w:t xml:space="preserve"> </w:t>
      </w:r>
      <w:r>
        <w:rPr>
          <w:rFonts w:hint="cs"/>
          <w:rtl/>
          <w:lang/>
        </w:rPr>
        <w:t>إعادة التأهيل هو تمكين الشخص المعني من بلوغ أقصى قدر ممكن من الاعتماد على الذات وأداء العمل، وقد تشمل إجراءات لتكييف بيئة الشخص المادية والاجتماعية. و</w:t>
      </w:r>
      <w:r w:rsidRPr="002536A1">
        <w:rPr>
          <w:rtl/>
          <w:lang/>
        </w:rPr>
        <w:t xml:space="preserve">ينبغي </w:t>
      </w:r>
      <w:r>
        <w:rPr>
          <w:rFonts w:hint="cs"/>
          <w:rtl/>
          <w:lang/>
        </w:rPr>
        <w:t xml:space="preserve">أن تهدف إعادة </w:t>
      </w:r>
      <w:r w:rsidRPr="002536A1">
        <w:rPr>
          <w:rtl/>
          <w:lang/>
        </w:rPr>
        <w:t xml:space="preserve">تأهيل </w:t>
      </w:r>
      <w:r>
        <w:rPr>
          <w:rFonts w:hint="cs"/>
          <w:rtl/>
          <w:lang/>
        </w:rPr>
        <w:t>ا</w:t>
      </w:r>
      <w:r w:rsidRPr="002536A1">
        <w:rPr>
          <w:rtl/>
          <w:lang/>
        </w:rPr>
        <w:t xml:space="preserve">لضحايا إلى </w:t>
      </w:r>
      <w:r>
        <w:rPr>
          <w:rtl/>
          <w:lang/>
        </w:rPr>
        <w:t>استعاد</w:t>
      </w:r>
      <w:r>
        <w:rPr>
          <w:rFonts w:hint="cs"/>
          <w:rtl/>
          <w:lang/>
        </w:rPr>
        <w:t>تهم</w:t>
      </w:r>
      <w:r w:rsidRPr="002536A1">
        <w:rPr>
          <w:rtl/>
          <w:lang/>
        </w:rPr>
        <w:t xml:space="preserve">، قدر الإمكان، </w:t>
      </w:r>
      <w:r>
        <w:rPr>
          <w:rFonts w:hint="cs"/>
          <w:rtl/>
          <w:lang/>
        </w:rPr>
        <w:t>ل</w:t>
      </w:r>
      <w:r>
        <w:rPr>
          <w:rtl/>
          <w:lang/>
        </w:rPr>
        <w:t>استقلا</w:t>
      </w:r>
      <w:r>
        <w:rPr>
          <w:rFonts w:hint="cs"/>
          <w:rtl/>
          <w:lang/>
        </w:rPr>
        <w:t>ليتهم</w:t>
      </w:r>
      <w:r w:rsidRPr="002536A1">
        <w:rPr>
          <w:rtl/>
          <w:lang/>
        </w:rPr>
        <w:t xml:space="preserve"> البدنية </w:t>
      </w:r>
      <w:r>
        <w:rPr>
          <w:rtl/>
          <w:lang/>
        </w:rPr>
        <w:t>والعقلية والاجتماعية والمهنية، و</w:t>
      </w:r>
      <w:r w:rsidRPr="002536A1">
        <w:rPr>
          <w:rtl/>
          <w:lang/>
        </w:rPr>
        <w:t>إدماج</w:t>
      </w:r>
      <w:r>
        <w:rPr>
          <w:rFonts w:hint="cs"/>
          <w:rtl/>
          <w:lang/>
        </w:rPr>
        <w:t>هم</w:t>
      </w:r>
      <w:r w:rsidRPr="002536A1">
        <w:rPr>
          <w:rtl/>
          <w:lang/>
        </w:rPr>
        <w:t xml:space="preserve"> </w:t>
      </w:r>
      <w:r>
        <w:rPr>
          <w:rFonts w:hint="cs"/>
          <w:rtl/>
          <w:lang/>
        </w:rPr>
        <w:t xml:space="preserve">في </w:t>
      </w:r>
      <w:r w:rsidRPr="002536A1">
        <w:rPr>
          <w:rtl/>
          <w:lang/>
        </w:rPr>
        <w:t>المجتمع</w:t>
      </w:r>
      <w:r>
        <w:rPr>
          <w:rFonts w:hint="cs"/>
          <w:rtl/>
          <w:lang/>
        </w:rPr>
        <w:t xml:space="preserve"> ومشاركتهم فيه على نحو كامل</w:t>
      </w:r>
      <w:r w:rsidRPr="002536A1">
        <w:rPr>
          <w:rtl/>
          <w:lang/>
        </w:rPr>
        <w:t>.</w:t>
      </w:r>
    </w:p>
    <w:p w:rsidR="00631BFA" w:rsidRDefault="00631BFA" w:rsidP="00631BFA">
      <w:pPr>
        <w:pStyle w:val="SingleTxtGA"/>
        <w:rPr>
          <w:rFonts w:hint="cs"/>
          <w:rtl/>
          <w:lang/>
        </w:rPr>
      </w:pPr>
      <w:r>
        <w:rPr>
          <w:rFonts w:hint="cs"/>
          <w:rtl/>
          <w:lang/>
        </w:rPr>
        <w:t>12-</w:t>
      </w:r>
      <w:r>
        <w:rPr>
          <w:rFonts w:hint="cs"/>
          <w:rtl/>
          <w:lang/>
        </w:rPr>
        <w:tab/>
        <w:t>وتؤكد اللجنة أن التزام الدول الأطراف بتقديم الوسائل اللازمة من أجل "إعادة التأهيل على أكمل وجه ممكن" يحيل إلى ضرورة جبر الضرر اللاحق بالضحية الذي قد لا</w:t>
      </w:r>
      <w:r>
        <w:rPr>
          <w:rFonts w:hint="eastAsia"/>
          <w:rtl/>
          <w:lang/>
        </w:rPr>
        <w:t> </w:t>
      </w:r>
      <w:r>
        <w:rPr>
          <w:rFonts w:hint="cs"/>
          <w:rtl/>
          <w:lang/>
        </w:rPr>
        <w:t>يسترجع أبداً بشكل تام ظروف حياته السابقة، بما في ذلك كرامته وصحته واعتماده على ذاته، نتيجة للأثر الكبير للتعذيب. ولا يتصل هذا الالتزام بالموارد المتاحة للدول الأطراف ولا</w:t>
      </w:r>
      <w:r>
        <w:rPr>
          <w:rFonts w:hint="eastAsia"/>
          <w:rtl/>
          <w:lang/>
        </w:rPr>
        <w:t> </w:t>
      </w:r>
      <w:r>
        <w:rPr>
          <w:rFonts w:hint="cs"/>
          <w:rtl/>
          <w:lang/>
        </w:rPr>
        <w:t>يجوز تأجيله.</w:t>
      </w:r>
    </w:p>
    <w:p w:rsidR="00631BFA" w:rsidRPr="00B8750E" w:rsidRDefault="00631BFA" w:rsidP="00B8750E">
      <w:pPr>
        <w:pStyle w:val="SingleTxtGA"/>
        <w:rPr>
          <w:rFonts w:hint="cs"/>
          <w:spacing w:val="-2"/>
          <w:rtl/>
          <w:lang/>
        </w:rPr>
      </w:pPr>
      <w:r>
        <w:rPr>
          <w:rFonts w:hint="cs"/>
          <w:rtl/>
          <w:lang/>
        </w:rPr>
        <w:t>13-</w:t>
      </w:r>
      <w:r>
        <w:rPr>
          <w:rFonts w:hint="cs"/>
          <w:rtl/>
          <w:lang/>
        </w:rPr>
        <w:tab/>
        <w:t xml:space="preserve">ولكي تفي كل دولة عضو بالتزاماتها بتوفير وسائل إعادة التأهيل على أكمل وجه ممكن لضحايا التعذيب أو سوء المعاملة، ينبغي لها أن تعتمد نهجاً متكاملاً وطويل الأجل وأن تضمن أن الخدمات المتخصصة اللازمة لضحايا التعذيب أو سوء المعاملة متاحة ومناسبة وأن من الممكن الوصول إليها بسهولة. وينبغي أن تشمل هذه الخدمات ما يلي: إجراء لتقدير وتقييم احتياجات الأفراد العلاجية وغيرها من الاحتياجات، يستند فيما يستند إليه إلى دليل التقصي والتوثيق الفعالين للتعذيب وغيره من ضروب المعاملة أو العقوبة القاسية أو اللاإنسانية أو المهينة (بروتوكول اسطنبول)؛ ويمكن أن تشمل مجموعة كبيرة من التدابير المتعددة التخصصات مثل الخدمات الطبية والبدنية والنفسية وخدمات إعادة التأهيل؛ وخدمات إعادة الإدماج والخدمات الاجتماعية؛ والمساعدة والخدمات الموجهة إلى المجتمع المحلي والأسرة؛ </w:t>
      </w:r>
      <w:r w:rsidRPr="00B8750E">
        <w:rPr>
          <w:rFonts w:hint="cs"/>
          <w:spacing w:val="-2"/>
          <w:rtl/>
          <w:lang/>
        </w:rPr>
        <w:t>والتدريب المهني؛ والتعليم وغير ذلك. كما أن الأخذ بنهج شمولي لإعادة التأهيل يراعي أيضاً قوة الضحية وقدرته على التكيف هو أمر في غاية الأهمية. وفضلاً عن هذا، قد يكون الضحايا عرضة لصدمات نفسية جديدة وقد تكون لديهم مخاوف مبررة من أفعال تذكرهم بما</w:t>
      </w:r>
      <w:r w:rsidR="00B8750E" w:rsidRPr="00B8750E">
        <w:rPr>
          <w:rFonts w:hint="eastAsia"/>
          <w:spacing w:val="-2"/>
          <w:rtl/>
          <w:lang/>
        </w:rPr>
        <w:t> </w:t>
      </w:r>
      <w:r w:rsidRPr="00B8750E">
        <w:rPr>
          <w:rFonts w:hint="cs"/>
          <w:spacing w:val="-2"/>
          <w:rtl/>
          <w:lang/>
        </w:rPr>
        <w:t>تعرضوا له من تعذيب أو سوء المعاملة. ونتيجة لذلك، ينبغي إيلاء أولوية قصوى لضرورة تهيئة جو من الثقة والأمان يمكن تقديم المساعدة فيه. كما ينبغي توفير خدمات سرية عند اللزوم.</w:t>
      </w:r>
    </w:p>
    <w:p w:rsidR="00631BFA" w:rsidRDefault="00631BFA" w:rsidP="00B8750E">
      <w:pPr>
        <w:pStyle w:val="SingleTxtGA"/>
        <w:rPr>
          <w:rFonts w:hint="cs"/>
          <w:rtl/>
          <w:lang/>
        </w:rPr>
      </w:pPr>
      <w:r>
        <w:rPr>
          <w:rFonts w:hint="cs"/>
          <w:rtl/>
          <w:lang/>
        </w:rPr>
        <w:t>14-</w:t>
      </w:r>
      <w:r>
        <w:rPr>
          <w:rFonts w:hint="cs"/>
          <w:rtl/>
          <w:lang/>
        </w:rPr>
        <w:tab/>
        <w:t>ولا يبطل الشرط الوارد في الاتفاقية بتوفير هذه الأشكال من خدمات إعادة التأهيل ضرورةَ تقديم خدمات طبية ونفسية اجتماعية للضحايا بعد تعرضهم للتعذيب</w:t>
      </w:r>
      <w:r w:rsidRPr="00BE18EF">
        <w:rPr>
          <w:rFonts w:hint="cs"/>
          <w:rtl/>
          <w:lang/>
        </w:rPr>
        <w:t xml:space="preserve"> </w:t>
      </w:r>
      <w:r>
        <w:rPr>
          <w:rFonts w:hint="cs"/>
          <w:rtl/>
          <w:lang/>
        </w:rPr>
        <w:t>مباشرة، كما</w:t>
      </w:r>
      <w:r w:rsidR="00B8750E">
        <w:rPr>
          <w:rFonts w:hint="eastAsia"/>
          <w:rtl/>
          <w:lang/>
        </w:rPr>
        <w:t> </w:t>
      </w:r>
      <w:r>
        <w:rPr>
          <w:rFonts w:hint="cs"/>
          <w:rtl/>
          <w:lang/>
        </w:rPr>
        <w:t>أن هذه الرعاية الأولوية لا تمثل وفاء بالالتزام المتعلق بتوفير</w:t>
      </w:r>
      <w:r w:rsidRPr="009F1F1F">
        <w:rPr>
          <w:rFonts w:hint="cs"/>
          <w:rtl/>
          <w:lang/>
        </w:rPr>
        <w:t xml:space="preserve"> </w:t>
      </w:r>
      <w:r>
        <w:rPr>
          <w:rFonts w:hint="cs"/>
          <w:rtl/>
          <w:lang/>
        </w:rPr>
        <w:t>الوسائل اللازمة لإعادة التأهيل على أكمل وجه ممكن.</w:t>
      </w:r>
    </w:p>
    <w:p w:rsidR="00631BFA" w:rsidRDefault="00631BFA" w:rsidP="00B8750E">
      <w:pPr>
        <w:pStyle w:val="SingleTxtGA"/>
        <w:rPr>
          <w:rFonts w:hint="cs"/>
          <w:rtl/>
          <w:lang/>
        </w:rPr>
      </w:pPr>
      <w:r>
        <w:rPr>
          <w:rFonts w:hint="cs"/>
          <w:rtl/>
          <w:lang/>
        </w:rPr>
        <w:t>15-</w:t>
      </w:r>
      <w:r>
        <w:rPr>
          <w:rFonts w:hint="cs"/>
          <w:rtl/>
          <w:lang/>
        </w:rPr>
        <w:tab/>
        <w:t>ويجب أن تكفل الدول الأطراف إنشاء خدمات وبرامج فعالة لإعادة التأهيل في الدولة، مع مراعاة ثقافة الضحية وشخصيته وتاريخه وخلفيته، وأن تضمن إمكانية وصول جميع الضحايا إلى هذه الخدمات والبرامج دون تمييز وبصرف النظر عن هوية الضحايا أو وضعهم داخل مجموعة مهمشة أو ضعيفة، مثلما تبين ذلك الفقرة 32، بمن فيهم ملتمسو اللجوء واللاجئون. وينبغي أن تنشئ تشريعات الدول الأطراف آليات وبرامج ملموسة لتوفير إعادة التأهيل لضحايا التعذيب أو سوء المعاملة. وينبغي أن يُمنح ضحايا التعذيب إمكانية الاستفادة من برامج إعادة التأهيل في أسرع وقت ممكن بعد تقييم يجريه أخصائيون طبيون مستقلون ومؤهلون. وينبغي ألا تتوقف الاستفادة من برامج إعادة التأهيل</w:t>
      </w:r>
      <w:r>
        <w:rPr>
          <w:rFonts w:hint="cs"/>
          <w:rtl/>
        </w:rPr>
        <w:t xml:space="preserve"> على الضحية الملتمس لسبل الانتصاف القضائية. ويمكن الوفاء بالالتزام المنصوص عليه في المادة 14 والمتعلق</w:t>
      </w:r>
      <w:r w:rsidR="00B8750E">
        <w:rPr>
          <w:rFonts w:hint="eastAsia"/>
          <w:rtl/>
        </w:rPr>
        <w:t> </w:t>
      </w:r>
      <w:r>
        <w:rPr>
          <w:rFonts w:hint="cs"/>
          <w:rtl/>
        </w:rPr>
        <w:t xml:space="preserve">بتوفير </w:t>
      </w:r>
      <w:r>
        <w:rPr>
          <w:rFonts w:hint="cs"/>
          <w:rtl/>
          <w:lang/>
        </w:rPr>
        <w:t>وسائل إعادة التأهيل على أكمل وجه ممكن، من خلال تقديم الدولة لخدمات إعادة التأهيل بشكل مباشر، أو من خلال تمويل المرافق الطبية والقانونية وغيرها من المرافق التابعة للقطاع الخاص، بما فيها تلك التي تديرها منظمات غير حكومية، وفي هذه الحالة يجب أن تضمن الدولة عدم تعرض هذه المرافق لأي عمليات انتقام أو تخويف. ومشاركة الضحية في اختيار الجهة المقدمة للخدمة أمر أساسي. وينبغي إتاحة الخدمات باللغات المناسبة. وتشجَّع الدول الأطراف على إنشاء نظم لتقييم فعالية تنفيذ برامج وخدمات إعادة التأهيل، بوسائل منها استخدام مؤشرات ومعايير مناسبة.</w:t>
      </w:r>
    </w:p>
    <w:p w:rsidR="00631BFA" w:rsidRPr="001D359C" w:rsidRDefault="00631BFA" w:rsidP="00631BFA">
      <w:pPr>
        <w:pStyle w:val="H23GA"/>
        <w:rPr>
          <w:rFonts w:hint="cs"/>
          <w:szCs w:val="24"/>
          <w:rtl/>
        </w:rPr>
      </w:pPr>
      <w:r>
        <w:rPr>
          <w:rtl/>
          <w:lang/>
        </w:rPr>
        <w:tab/>
      </w:r>
      <w:r>
        <w:rPr>
          <w:rFonts w:hint="cs"/>
          <w:rtl/>
          <w:lang/>
        </w:rPr>
        <w:tab/>
      </w:r>
      <w:r w:rsidRPr="001D359C">
        <w:rPr>
          <w:rFonts w:hint="cs"/>
          <w:rtl/>
          <w:lang/>
        </w:rPr>
        <w:t>الترضية والحق في معرفة الحقيقة</w:t>
      </w:r>
    </w:p>
    <w:p w:rsidR="00631BFA" w:rsidRDefault="00631BFA" w:rsidP="00631BFA">
      <w:pPr>
        <w:pStyle w:val="SingleTxtGA"/>
        <w:rPr>
          <w:rFonts w:hint="cs"/>
          <w:rtl/>
          <w:lang/>
        </w:rPr>
      </w:pPr>
      <w:r>
        <w:rPr>
          <w:rFonts w:hint="cs"/>
          <w:rtl/>
          <w:lang/>
        </w:rPr>
        <w:t>16-</w:t>
      </w:r>
      <w:r>
        <w:rPr>
          <w:rFonts w:hint="cs"/>
          <w:rtl/>
          <w:lang/>
        </w:rPr>
        <w:tab/>
      </w:r>
      <w:r>
        <w:rPr>
          <w:rFonts w:hint="cs"/>
          <w:rtl/>
        </w:rPr>
        <w:t xml:space="preserve">ينبغي أن تشمل الترضية، عن طريق التزامات التحقيق والملاحقة الجنائية المنصوص عليها في المادتين 12 و13 من الاتفاقية، وبالإضافة إلى هذه الالتزامات، أي سبيل من سبل الانتصاف التالية أو جميعها: تدابير فعالة ترمي إلى وقف الانتهاكات المتواصلة؛ والتحقق من الوقائع والكشف بشكل كامل وعلني عن الحقيقة بالقدر الذي لا يؤدي معه هذا الكشف إلى ضرر آخر أو تهديد لسلامة ومصالح الضحية أو أقاربه أو الشهود أو الأشخاص الذين تدخلوا من أجل مساعدة الضحية أو منع وقوع مزيد من الانتهاكات؛ والبحث عن مكان المفقودين، وعن هويات الأطفال المختطفين، وعن جثث القتلى، والمساعدة في استعادة جثث الضحايا والتعرف على هويتها </w:t>
      </w:r>
      <w:r>
        <w:rPr>
          <w:rtl/>
        </w:rPr>
        <w:t>وإعادة دفن</w:t>
      </w:r>
      <w:r>
        <w:rPr>
          <w:rFonts w:hint="cs"/>
          <w:rtl/>
        </w:rPr>
        <w:t>ها</w:t>
      </w:r>
      <w:r>
        <w:rPr>
          <w:rtl/>
        </w:rPr>
        <w:t xml:space="preserve"> وفقا</w:t>
      </w:r>
      <w:r>
        <w:rPr>
          <w:rFonts w:hint="cs"/>
          <w:rtl/>
        </w:rPr>
        <w:t>ً</w:t>
      </w:r>
      <w:r>
        <w:rPr>
          <w:rtl/>
        </w:rPr>
        <w:t xml:space="preserve"> </w:t>
      </w:r>
      <w:r>
        <w:rPr>
          <w:rFonts w:hint="cs"/>
          <w:rtl/>
        </w:rPr>
        <w:t>لل</w:t>
      </w:r>
      <w:r w:rsidRPr="00DC1DA4">
        <w:rPr>
          <w:rtl/>
        </w:rPr>
        <w:t>رغبة</w:t>
      </w:r>
      <w:r>
        <w:rPr>
          <w:rFonts w:hint="cs"/>
          <w:rtl/>
        </w:rPr>
        <w:t xml:space="preserve"> الصريحة أو المفترضة للضحايا</w:t>
      </w:r>
      <w:r w:rsidRPr="00DC1DA4">
        <w:rPr>
          <w:rtl/>
        </w:rPr>
        <w:t xml:space="preserve"> أو </w:t>
      </w:r>
      <w:r>
        <w:rPr>
          <w:rFonts w:hint="cs"/>
          <w:rtl/>
        </w:rPr>
        <w:t xml:space="preserve">الأسر المتضررة؛ وإصدار إعلان رسمي أو قرار قضائي يعيد للضحية والأشخاص المرتبطين به ارتباطاً وثيقاً كرامتهم وسمعتهم وحقوقهم؛ وفرض عقوبات قضائية وإدارية على الأشخاص المسؤولين عن الانتهاكات؛ وتقديم اعتذارات علنية، بما في ذلك </w:t>
      </w:r>
      <w:r>
        <w:rPr>
          <w:rFonts w:hint="cs"/>
          <w:rtl/>
          <w:lang/>
        </w:rPr>
        <w:t>الاعتراف بالوقائع وقبول المسؤولية؛ وإحياء ذكرى الضحايا وتكريمهم.</w:t>
      </w:r>
    </w:p>
    <w:p w:rsidR="00631BFA" w:rsidRDefault="00631BFA" w:rsidP="00B8750E">
      <w:pPr>
        <w:pStyle w:val="SingleTxtGA"/>
        <w:rPr>
          <w:rFonts w:hint="cs"/>
          <w:rtl/>
        </w:rPr>
      </w:pPr>
      <w:r>
        <w:rPr>
          <w:rFonts w:hint="cs"/>
          <w:rtl/>
          <w:lang/>
        </w:rPr>
        <w:t>17-</w:t>
      </w:r>
      <w:r>
        <w:rPr>
          <w:rFonts w:hint="cs"/>
          <w:rtl/>
          <w:lang/>
        </w:rPr>
        <w:tab/>
        <w:t>وإذا لم تجر دولة ما تحقيقات أو ملاحقات جنائية أو لم تسمح برفع دعاوى مدنية بشأن ادعاءات تتعلق بارتكاب أعمال التعذيب على وجه السرعة، فإن هذا قد يشكل حرماناً فعلياً من الإنصاف وقد يشكل بالتالي انتهاكاً لالتزامات الدولة بموجب المادة 14.</w:t>
      </w:r>
    </w:p>
    <w:p w:rsidR="00631BFA" w:rsidRPr="000D245F" w:rsidRDefault="00631BFA" w:rsidP="00631BFA">
      <w:pPr>
        <w:pStyle w:val="H23GA"/>
        <w:rPr>
          <w:rFonts w:hint="cs"/>
          <w:rtl/>
        </w:rPr>
      </w:pPr>
      <w:r>
        <w:rPr>
          <w:rtl/>
        </w:rPr>
        <w:tab/>
      </w:r>
      <w:r>
        <w:rPr>
          <w:rFonts w:hint="cs"/>
          <w:rtl/>
        </w:rPr>
        <w:tab/>
      </w:r>
      <w:r w:rsidRPr="000D245F">
        <w:rPr>
          <w:rFonts w:hint="cs"/>
          <w:rtl/>
        </w:rPr>
        <w:t xml:space="preserve">الضمانات </w:t>
      </w:r>
      <w:r>
        <w:rPr>
          <w:rFonts w:hint="cs"/>
          <w:rtl/>
        </w:rPr>
        <w:t>ب</w:t>
      </w:r>
      <w:r w:rsidRPr="000D245F">
        <w:rPr>
          <w:rFonts w:hint="cs"/>
          <w:rtl/>
        </w:rPr>
        <w:t>عدم التكرار</w:t>
      </w:r>
    </w:p>
    <w:p w:rsidR="00631BFA" w:rsidRDefault="00631BFA" w:rsidP="00B8750E">
      <w:pPr>
        <w:pStyle w:val="SingleTxtGA"/>
        <w:rPr>
          <w:rFonts w:hint="cs"/>
          <w:rtl/>
        </w:rPr>
      </w:pPr>
      <w:r>
        <w:rPr>
          <w:rFonts w:hint="cs"/>
          <w:rtl/>
        </w:rPr>
        <w:t>18-</w:t>
      </w:r>
      <w:r>
        <w:rPr>
          <w:rFonts w:hint="cs"/>
          <w:rtl/>
        </w:rPr>
        <w:tab/>
        <w:t xml:space="preserve">تشكل المواد من 1 إلى 16 من الاتفاقية </w:t>
      </w:r>
      <w:r w:rsidRPr="009230BA">
        <w:rPr>
          <w:rtl/>
        </w:rPr>
        <w:t xml:space="preserve">تدابير وقائية محددة </w:t>
      </w:r>
      <w:r w:rsidRPr="009230BA">
        <w:rPr>
          <w:rFonts w:hint="cs"/>
          <w:rtl/>
        </w:rPr>
        <w:t xml:space="preserve">تعتبرها </w:t>
      </w:r>
      <w:r w:rsidRPr="009230BA">
        <w:rPr>
          <w:rtl/>
        </w:rPr>
        <w:t>الدول</w:t>
      </w:r>
      <w:r w:rsidRPr="009230BA">
        <w:rPr>
          <w:rFonts w:hint="cs"/>
          <w:rtl/>
        </w:rPr>
        <w:t xml:space="preserve"> </w:t>
      </w:r>
      <w:r w:rsidRPr="009230BA">
        <w:rPr>
          <w:rtl/>
        </w:rPr>
        <w:t>ال</w:t>
      </w:r>
      <w:r w:rsidRPr="009230BA">
        <w:rPr>
          <w:rFonts w:hint="cs"/>
          <w:rtl/>
        </w:rPr>
        <w:t>أ</w:t>
      </w:r>
      <w:r w:rsidRPr="009230BA">
        <w:rPr>
          <w:rtl/>
        </w:rPr>
        <w:t xml:space="preserve">طراف </w:t>
      </w:r>
      <w:r w:rsidRPr="009230BA">
        <w:rPr>
          <w:rFonts w:hint="cs"/>
          <w:rtl/>
        </w:rPr>
        <w:t>أ</w:t>
      </w:r>
      <w:r w:rsidRPr="009230BA">
        <w:rPr>
          <w:rtl/>
        </w:rPr>
        <w:t xml:space="preserve">ساسية لمنع التعذيب </w:t>
      </w:r>
      <w:r w:rsidRPr="009230BA">
        <w:rPr>
          <w:rFonts w:hint="cs"/>
          <w:rtl/>
        </w:rPr>
        <w:t>و</w:t>
      </w:r>
      <w:r>
        <w:rPr>
          <w:rFonts w:hint="cs"/>
          <w:rtl/>
        </w:rPr>
        <w:t xml:space="preserve">سوء </w:t>
      </w:r>
      <w:r w:rsidRPr="009230BA">
        <w:rPr>
          <w:rFonts w:hint="cs"/>
          <w:rtl/>
        </w:rPr>
        <w:t>المعاملة</w:t>
      </w:r>
      <w:r>
        <w:rPr>
          <w:rFonts w:hint="cs"/>
          <w:rtl/>
        </w:rPr>
        <w:t>. ولضمان عدم تكرار التعذيب وسوء المعاملة، ينبغي أن تتخذ الدول الأطراف تدابير لمكافحة الإفلات من العقاب عند ارتكاب انتهاكات للاتفاقية. وتشمل هذه التدابير إصدار تعليمات فعالة وواضحة إلى الموظفين الحكوميين بشأن أحكام الاتفاقية، ولا سيما بشأن الحظر المطلق للتعذيب. وينبغي أن تشمل التدابير الأخرى أياً من الأمور التالية أو جميعها: المراقبة المدنية للقوات العسكرية وقوات الأمن؛ وضمان تقيد جميع الإجراءات القضائية بالمعايير الدولية المتعلقة بالمحاكمة وفقاً للأصول القانونية والعدالة والنزاهة؛ وتعزيز استقلال القضاء؛ وحماية المدافعين عن حقوق الإنسان والأخصائيين في المجالين القانوني والصحي وغيرهما من المجالات، الذين يساعدون ضحايا التعذيب؛ وإنشاء نظم للرصد المنتظم والمستقل لجميع أماكن الاحتجاز؛ والحرص، من باب الأولوية وباستمرار، على تقديم تدريب للموظفين المكلفين بإنفاذ القوانين، وكذلك للقوات العسكرية وقوات الأمن في مجال قانون حقوق الإنسان، يشمل الاحتياجات المحددة للفئات المهمشة والضعيفة من السكان، وتدريب محدد بشأن بروتوكول اسطنبول للأخصائيين في المجالين الصحي والقانوني والموظفين المكلفين بإنفاذ القوانين؛ وتعزيز تقيّد الموظفين العموميين، بمن فيهم الموظفون المكلفون بإنفاذ القوانين والعاملون في الخدمات الإصلاحية والطبية والنفسية والاجتماعية والقوات المسلحة، بالمعايير الدولية ومدونات قواعد السلوك؛ وإعادة النظر في القوانين التي تساهم في التعذيب وسوء المعاملة أو تسمح بهما؛ وضمان الامتثال للمادة 3 من الاتفاقي</w:t>
      </w:r>
      <w:r>
        <w:rPr>
          <w:rFonts w:hint="eastAsia"/>
          <w:rtl/>
        </w:rPr>
        <w:t>ة</w:t>
      </w:r>
      <w:r>
        <w:rPr>
          <w:rFonts w:hint="cs"/>
          <w:rtl/>
        </w:rPr>
        <w:t xml:space="preserve"> التي تحظر الإعادة القسرية؛ وضمان توفير خدمات مؤقتة للأفراد أو مجموعات الأفراد، مثل توفير المأوى لضحايا أعمال التعذيب أو سوء المعاملة المرتبطة بنوع الجنس أو غيرها. وتشير اللجنة إلى أنه باتخاذ تدابير مثل التدابير المذكورة هنا، يمكن للدول الأطراف أن تفي أيضاً بالتزاماتها بمنع أعمال التعذيب، المنصوص عليها في المادة 2 من الاتفاقية. وفضلاً عن هذا، تمنح الضمانات بعدم التكرار إمكانات مهمة لتغيير العلاقات الاجتماعية التي قد تشكل الأسباب الكامنة وراء العنف، ويمكن أن تشمل هذه الإمكانات، على سبيل الذكر لا الحصر، تعديل القوانين ذات الصلة، ومكافحة الإفلات من العقاب، واتخاذ تدابير وقائية ورادعة فعالة.</w:t>
      </w:r>
    </w:p>
    <w:p w:rsidR="00631BFA" w:rsidRPr="00537C13" w:rsidRDefault="00631BFA" w:rsidP="00631BFA">
      <w:pPr>
        <w:pStyle w:val="H23GA"/>
        <w:rPr>
          <w:rFonts w:hint="cs"/>
          <w:rtl/>
        </w:rPr>
      </w:pPr>
      <w:r>
        <w:rPr>
          <w:rtl/>
        </w:rPr>
        <w:tab/>
      </w:r>
      <w:r>
        <w:rPr>
          <w:rFonts w:hint="cs"/>
          <w:rtl/>
        </w:rPr>
        <w:tab/>
        <w:t>الالتزامات الإجرائية</w:t>
      </w:r>
      <w:r w:rsidRPr="00537C13">
        <w:rPr>
          <w:rFonts w:hint="cs"/>
          <w:rtl/>
        </w:rPr>
        <w:t xml:space="preserve">: إعمال الحق في </w:t>
      </w:r>
      <w:r>
        <w:rPr>
          <w:rFonts w:hint="cs"/>
          <w:rtl/>
        </w:rPr>
        <w:t>الإنصاف</w:t>
      </w:r>
    </w:p>
    <w:p w:rsidR="00631BFA" w:rsidRPr="00537C13" w:rsidRDefault="00631BFA" w:rsidP="00631BFA">
      <w:pPr>
        <w:pStyle w:val="H23GA"/>
        <w:rPr>
          <w:rFonts w:hint="cs"/>
          <w:rtl/>
        </w:rPr>
      </w:pPr>
      <w:r>
        <w:rPr>
          <w:rtl/>
        </w:rPr>
        <w:tab/>
      </w:r>
      <w:r>
        <w:rPr>
          <w:rFonts w:hint="cs"/>
          <w:rtl/>
        </w:rPr>
        <w:tab/>
      </w:r>
      <w:r w:rsidRPr="00537C13">
        <w:rPr>
          <w:rFonts w:hint="cs"/>
          <w:rtl/>
        </w:rPr>
        <w:t>التشريعات</w:t>
      </w:r>
    </w:p>
    <w:p w:rsidR="00631BFA" w:rsidRDefault="00631BFA" w:rsidP="00631BFA">
      <w:pPr>
        <w:pStyle w:val="SingleTxtGA"/>
        <w:rPr>
          <w:rFonts w:hint="cs"/>
          <w:rtl/>
        </w:rPr>
      </w:pPr>
      <w:r>
        <w:rPr>
          <w:rFonts w:hint="cs"/>
          <w:rtl/>
        </w:rPr>
        <w:t>19-</w:t>
      </w:r>
      <w:r>
        <w:rPr>
          <w:rFonts w:hint="cs"/>
          <w:rtl/>
        </w:rPr>
        <w:tab/>
        <w:t>يجب على الدول الأطراف، بموجب المادة 2 من الاتفاقية، أن تتخذ "</w:t>
      </w:r>
      <w:r w:rsidRPr="00793FF1">
        <w:rPr>
          <w:rtl/>
        </w:rPr>
        <w:t>إجراءات تشريعية أو إدارية أو قضائية فعالة أو أية إجراءات أخرى لمنع أعمال التعذيب في أي إقليم يخضع لاختصاصها القضائي</w:t>
      </w:r>
      <w:r>
        <w:rPr>
          <w:rFonts w:hint="cs"/>
          <w:rtl/>
        </w:rPr>
        <w:t>". ومثلما توضح اللجنة في تعليقها العام رقم 2، "</w:t>
      </w:r>
      <w:r w:rsidRPr="009230BA">
        <w:rPr>
          <w:rFonts w:hint="cs"/>
          <w:color w:val="000000"/>
          <w:rtl/>
        </w:rPr>
        <w:t>يجب أن تجعل</w:t>
      </w:r>
      <w:r w:rsidRPr="009230BA">
        <w:rPr>
          <w:color w:val="000000"/>
          <w:rtl/>
        </w:rPr>
        <w:t xml:space="preserve"> الدول ال</w:t>
      </w:r>
      <w:r w:rsidRPr="009230BA">
        <w:rPr>
          <w:rFonts w:hint="cs"/>
          <w:color w:val="000000"/>
          <w:rtl/>
        </w:rPr>
        <w:t>أ</w:t>
      </w:r>
      <w:r w:rsidRPr="009230BA">
        <w:rPr>
          <w:color w:val="000000"/>
          <w:rtl/>
        </w:rPr>
        <w:t>طراف جريم</w:t>
      </w:r>
      <w:r w:rsidRPr="009230BA">
        <w:rPr>
          <w:rFonts w:hint="cs"/>
          <w:color w:val="000000"/>
          <w:rtl/>
        </w:rPr>
        <w:t>ة</w:t>
      </w:r>
      <w:r w:rsidRPr="009230BA">
        <w:rPr>
          <w:color w:val="000000"/>
          <w:rtl/>
        </w:rPr>
        <w:t xml:space="preserve"> التعذيب</w:t>
      </w:r>
      <w:r w:rsidRPr="009230BA">
        <w:rPr>
          <w:rFonts w:hint="cs"/>
          <w:color w:val="000000"/>
          <w:rtl/>
        </w:rPr>
        <w:t xml:space="preserve"> جريمة مستوجبة للعقاب بموجب </w:t>
      </w:r>
      <w:r w:rsidRPr="009230BA">
        <w:rPr>
          <w:color w:val="000000"/>
          <w:rtl/>
        </w:rPr>
        <w:t xml:space="preserve">قانونها الجنائي، </w:t>
      </w:r>
      <w:r w:rsidRPr="009230BA">
        <w:rPr>
          <w:rFonts w:hint="cs"/>
          <w:color w:val="000000"/>
          <w:rtl/>
        </w:rPr>
        <w:t xml:space="preserve">وذلك </w:t>
      </w:r>
      <w:r w:rsidRPr="009230BA">
        <w:rPr>
          <w:color w:val="000000"/>
          <w:rtl/>
        </w:rPr>
        <w:t xml:space="preserve">كحد أدنى، </w:t>
      </w:r>
      <w:r>
        <w:rPr>
          <w:rFonts w:hint="cs"/>
          <w:color w:val="000000"/>
          <w:rtl/>
        </w:rPr>
        <w:t xml:space="preserve">حسب أركان جريمة </w:t>
      </w:r>
      <w:r w:rsidRPr="009230BA">
        <w:rPr>
          <w:color w:val="000000"/>
          <w:rtl/>
        </w:rPr>
        <w:t xml:space="preserve">التعذيب </w:t>
      </w:r>
      <w:r>
        <w:rPr>
          <w:rFonts w:hint="cs"/>
          <w:color w:val="000000"/>
          <w:rtl/>
        </w:rPr>
        <w:t xml:space="preserve">كما هي محددة </w:t>
      </w:r>
      <w:r w:rsidRPr="009230BA">
        <w:rPr>
          <w:color w:val="000000"/>
          <w:rtl/>
        </w:rPr>
        <w:t>في المادة 1 من الاتفاقية، و</w:t>
      </w:r>
      <w:r>
        <w:rPr>
          <w:rFonts w:hint="cs"/>
          <w:color w:val="000000"/>
          <w:rtl/>
        </w:rPr>
        <w:t>وفقاً ل</w:t>
      </w:r>
      <w:r w:rsidRPr="009230BA">
        <w:rPr>
          <w:color w:val="000000"/>
          <w:rtl/>
        </w:rPr>
        <w:t>متطلبات المادة 4</w:t>
      </w:r>
      <w:r w:rsidRPr="009230BA">
        <w:rPr>
          <w:rFonts w:hint="cs"/>
          <w:color w:val="000000"/>
          <w:rtl/>
        </w:rPr>
        <w:t xml:space="preserve"> منها</w:t>
      </w:r>
      <w:r>
        <w:rPr>
          <w:rFonts w:hint="cs"/>
          <w:color w:val="000000"/>
          <w:rtl/>
        </w:rPr>
        <w:t>"</w:t>
      </w:r>
      <w:r w:rsidRPr="009230BA">
        <w:rPr>
          <w:color w:val="000000"/>
          <w:rtl/>
        </w:rPr>
        <w:t>.</w:t>
      </w:r>
      <w:r>
        <w:rPr>
          <w:rFonts w:hint="cs"/>
          <w:rtl/>
        </w:rPr>
        <w:t xml:space="preserve"> وإن عدم إصدار الدول الأطراف لتشريعات تدرج بشكل واضح التزاماتها المنصوص عليها في الاتفاقية وتجرم التعذيب وسوء المعاملة، وما ينتج عن ذلك من عدم اعتبار التعذيب وسوء المعاملة جرائم جنائية، يعيق قدرة الضحية على الحصول على حقوقه التي تكفلها المادة 14 والتمتع بها.</w:t>
      </w:r>
    </w:p>
    <w:p w:rsidR="00631BFA" w:rsidRDefault="00631BFA" w:rsidP="00F36856">
      <w:pPr>
        <w:pStyle w:val="SingleTxtGA"/>
        <w:spacing w:line="370" w:lineRule="exact"/>
        <w:rPr>
          <w:rFonts w:hint="cs"/>
          <w:rtl/>
        </w:rPr>
      </w:pPr>
      <w:r>
        <w:rPr>
          <w:rFonts w:hint="cs"/>
          <w:rtl/>
        </w:rPr>
        <w:t>20-</w:t>
      </w:r>
      <w:r>
        <w:rPr>
          <w:rFonts w:hint="cs"/>
          <w:rtl/>
        </w:rPr>
        <w:tab/>
        <w:t>ولإعمال المادة 14، على الدول الأطراف أن تسن تشريعات تمنح بشكل محدد لضحايا التعذيب وسوء المعاملة سبيل انتصاف فعّالاً والحق في الحصول على إنصاف كاف ومناسب، بما في ذلك التعويض وإعادة التأهيل على أكمل وجه ممكن. ويجب أن تسمح هذه التشريعات للأفراد بممارسة هذا الحق وأن تضمن حصولهم على سبيل انتصاف قضائي. وفي</w:t>
      </w:r>
      <w:r w:rsidR="00F36856">
        <w:rPr>
          <w:rFonts w:hint="eastAsia"/>
          <w:rtl/>
        </w:rPr>
        <w:t> </w:t>
      </w:r>
      <w:r>
        <w:rPr>
          <w:rFonts w:hint="cs"/>
          <w:rtl/>
        </w:rPr>
        <w:t>حين يمكن قبول برامج الجبر الجماعي والجبر الإداري كشكل من أشكال الإنصاف، لا</w:t>
      </w:r>
      <w:r w:rsidR="00F36856">
        <w:rPr>
          <w:rFonts w:hint="eastAsia"/>
          <w:rtl/>
        </w:rPr>
        <w:t> </w:t>
      </w:r>
      <w:r>
        <w:rPr>
          <w:rFonts w:hint="cs"/>
          <w:rtl/>
        </w:rPr>
        <w:t>يجوز لهذه البرامج أن تبطل حق الفرد في سبيل انتصاف وفي الحصول على الإنصاف.</w:t>
      </w:r>
    </w:p>
    <w:p w:rsidR="00631BFA" w:rsidRPr="00B8750E" w:rsidRDefault="00631BFA" w:rsidP="00F36856">
      <w:pPr>
        <w:pStyle w:val="SingleTxtGA"/>
        <w:rPr>
          <w:rFonts w:hint="cs"/>
          <w:spacing w:val="-2"/>
          <w:rtl/>
        </w:rPr>
      </w:pPr>
      <w:r w:rsidRPr="00B8750E">
        <w:rPr>
          <w:rFonts w:hint="cs"/>
          <w:spacing w:val="-2"/>
          <w:rtl/>
        </w:rPr>
        <w:t>21-</w:t>
      </w:r>
      <w:r w:rsidRPr="00B8750E">
        <w:rPr>
          <w:rFonts w:hint="cs"/>
          <w:spacing w:val="-2"/>
          <w:rtl/>
        </w:rPr>
        <w:tab/>
        <w:t>وينبغي للدول الأطراف أن تضمن أن قوانينها المحلية تنص على ضرورة أن يستفيد أي ضحية تعرض للعنف أو لصدمة نفسية، من الرعاية والحماية الكافيتين لتفادي تعرضه لصدمات نفسية جديدة أثناء الإجراءات القانونية والإدارية المصممة من أجل إقامة العدل والجبر.</w:t>
      </w:r>
    </w:p>
    <w:p w:rsidR="00631BFA" w:rsidRDefault="00631BFA" w:rsidP="00F36856">
      <w:pPr>
        <w:pStyle w:val="SingleTxtGA"/>
        <w:rPr>
          <w:rFonts w:hint="cs"/>
          <w:rtl/>
        </w:rPr>
      </w:pPr>
      <w:r>
        <w:rPr>
          <w:rFonts w:hint="cs"/>
          <w:rtl/>
        </w:rPr>
        <w:t>22-</w:t>
      </w:r>
      <w:r>
        <w:rPr>
          <w:rFonts w:hint="cs"/>
          <w:rtl/>
        </w:rPr>
        <w:tab/>
        <w:t>والدول الأطراف مطالبة بموجب الاتفاقية بملاحقة مرتكبي أعمال التعذيب المزعومين أو تسليمهم عند العثور عليهم في أي إقليم خاضع لولايتها القضائية، وأن تعتمد التشريعات اللازمة لجعل ذلك أمراً ممكناً. وترى اللجنة أن تطبيق المادة 14 لا يقتصر على الضحايا الذين لحق بهم ضرر في إقليم الدولة الطرف أو على يد مواطني الدولة الطرف أو ضدهم. وقد أشادت اللجنة بجهود الدول الأطراف المبذولة من أجل تقديم سبل انتصاف مدنية لضحايا تعرضوا للتعذيب وسوء المعاملة خارج أقاليمها. ويكتسي هذا أهمية خاصة عندما يكون الضحية غير قادر على ممارسة حقوقه المكفولة بموجب المادة 14 في الإقليم الذي ارتُكب فيه الانتهاك. وفي الواقع، فإن المادة 14 تطالب الدول الأطراف بأن تضمن تمكين جميع ضحايا التعذيب وسوء المعاملة من الوصول إلى سبيل انتصاف والحصول على الإنصاف.</w:t>
      </w:r>
    </w:p>
    <w:p w:rsidR="00631BFA" w:rsidRPr="009D5BDF" w:rsidRDefault="00631BFA" w:rsidP="00F36856">
      <w:pPr>
        <w:pStyle w:val="H23GA"/>
        <w:rPr>
          <w:rFonts w:hint="cs"/>
          <w:rtl/>
        </w:rPr>
      </w:pPr>
      <w:r>
        <w:rPr>
          <w:rtl/>
        </w:rPr>
        <w:tab/>
      </w:r>
      <w:r>
        <w:rPr>
          <w:rFonts w:hint="cs"/>
          <w:rtl/>
        </w:rPr>
        <w:tab/>
      </w:r>
      <w:r w:rsidRPr="009D5BDF">
        <w:rPr>
          <w:rFonts w:hint="cs"/>
          <w:rtl/>
        </w:rPr>
        <w:t xml:space="preserve">الآليات الفعالة </w:t>
      </w:r>
      <w:r>
        <w:rPr>
          <w:rFonts w:hint="cs"/>
          <w:rtl/>
        </w:rPr>
        <w:t>لتقديم</w:t>
      </w:r>
      <w:r w:rsidRPr="009D5BDF">
        <w:rPr>
          <w:rFonts w:hint="cs"/>
          <w:rtl/>
        </w:rPr>
        <w:t xml:space="preserve"> الشكاوى وإجراء التحقيقات</w:t>
      </w:r>
    </w:p>
    <w:p w:rsidR="00631BFA" w:rsidRDefault="00631BFA" w:rsidP="00F36856">
      <w:pPr>
        <w:pStyle w:val="SingleTxtGA"/>
        <w:rPr>
          <w:rFonts w:hint="cs"/>
          <w:rtl/>
        </w:rPr>
      </w:pPr>
      <w:r>
        <w:rPr>
          <w:rFonts w:hint="cs"/>
          <w:rtl/>
        </w:rPr>
        <w:t>23-</w:t>
      </w:r>
      <w:r>
        <w:rPr>
          <w:rFonts w:hint="cs"/>
          <w:rtl/>
        </w:rPr>
        <w:tab/>
        <w:t xml:space="preserve">حددت اللجنة، في ملاحظاتها الختامية، الالتزامات الأخرى للدول التي يجب الوفاء بها من أجل ضمان احترام حقوق الضحايا المنصوص عليها في المادة 14 احتراماً تاماً. وفي هذا الصدد تؤكد اللجنة العلاقة المهمة القائمة بين وفاء الدول الأطراف بالتزاماتها المنصوص عليها في المادتين 12 و13 والتزامها المنصوص عليه في المادة 14. وبموجب المادة 12، على الدول الأطراف </w:t>
      </w:r>
      <w:r w:rsidRPr="007178AE">
        <w:rPr>
          <w:rtl/>
        </w:rPr>
        <w:t>إجراء تحقيق</w:t>
      </w:r>
      <w:r>
        <w:rPr>
          <w:rFonts w:hint="cs"/>
          <w:rtl/>
        </w:rPr>
        <w:t>ات</w:t>
      </w:r>
      <w:r w:rsidRPr="007178AE">
        <w:rPr>
          <w:rtl/>
        </w:rPr>
        <w:t xml:space="preserve"> سريع</w:t>
      </w:r>
      <w:r>
        <w:rPr>
          <w:rFonts w:hint="cs"/>
          <w:rtl/>
        </w:rPr>
        <w:t>ة</w:t>
      </w:r>
      <w:r w:rsidRPr="007178AE">
        <w:rPr>
          <w:rtl/>
        </w:rPr>
        <w:t xml:space="preserve"> </w:t>
      </w:r>
      <w:r>
        <w:rPr>
          <w:rFonts w:hint="cs"/>
          <w:rtl/>
        </w:rPr>
        <w:t xml:space="preserve">وفعالة </w:t>
      </w:r>
      <w:r w:rsidRPr="007178AE">
        <w:rPr>
          <w:rtl/>
        </w:rPr>
        <w:t>ونزيه</w:t>
      </w:r>
      <w:r>
        <w:rPr>
          <w:rFonts w:hint="cs"/>
          <w:rtl/>
        </w:rPr>
        <w:t>ة</w:t>
      </w:r>
      <w:r w:rsidRPr="007178AE">
        <w:rPr>
          <w:rtl/>
        </w:rPr>
        <w:t xml:space="preserve"> كلما </w:t>
      </w:r>
      <w:r>
        <w:rPr>
          <w:rFonts w:hint="cs"/>
          <w:rtl/>
        </w:rPr>
        <w:t>وُ</w:t>
      </w:r>
      <w:r w:rsidRPr="007178AE">
        <w:rPr>
          <w:rtl/>
        </w:rPr>
        <w:t>جدت أسباب معقولة تدعو إلى الاعتقاد بأن عملا</w:t>
      </w:r>
      <w:r>
        <w:rPr>
          <w:rFonts w:hint="cs"/>
          <w:rtl/>
        </w:rPr>
        <w:t>ً</w:t>
      </w:r>
      <w:r w:rsidRPr="007178AE">
        <w:rPr>
          <w:rtl/>
        </w:rPr>
        <w:t xml:space="preserve"> من أعمال التعذيب قد ارت</w:t>
      </w:r>
      <w:r>
        <w:rPr>
          <w:rFonts w:hint="cs"/>
          <w:rtl/>
        </w:rPr>
        <w:t>ُ</w:t>
      </w:r>
      <w:r w:rsidRPr="007178AE">
        <w:rPr>
          <w:rtl/>
        </w:rPr>
        <w:t>كب في أي من الأقاليم الخاضعة لولايتها القضائية</w:t>
      </w:r>
      <w:r w:rsidRPr="007178AE">
        <w:rPr>
          <w:rFonts w:hint="cs"/>
          <w:rtl/>
        </w:rPr>
        <w:t xml:space="preserve"> نتيجة </w:t>
      </w:r>
      <w:r>
        <w:rPr>
          <w:rFonts w:hint="cs"/>
          <w:rtl/>
          <w:lang/>
        </w:rPr>
        <w:t>أفعالها أو امتناعها عن أفعال</w:t>
      </w:r>
      <w:r w:rsidRPr="007178AE">
        <w:rPr>
          <w:rFonts w:hint="cs"/>
          <w:rtl/>
        </w:rPr>
        <w:t xml:space="preserve"> </w:t>
      </w:r>
      <w:r>
        <w:rPr>
          <w:rFonts w:hint="cs"/>
          <w:rtl/>
        </w:rPr>
        <w:t xml:space="preserve">وعليها، </w:t>
      </w:r>
      <w:r w:rsidRPr="007178AE">
        <w:rPr>
          <w:rFonts w:hint="cs"/>
          <w:rtl/>
        </w:rPr>
        <w:t xml:space="preserve">مثلما </w:t>
      </w:r>
      <w:r>
        <w:rPr>
          <w:rFonts w:hint="cs"/>
          <w:rtl/>
        </w:rPr>
        <w:t>تبين المادة 13 ومثلما أكدت اللجنة في تعليقها العام رقم 2، أن تضمن إقامة آليات نزيهة وفعالة لتقديم الشكاوى. ولا</w:t>
      </w:r>
      <w:r>
        <w:rPr>
          <w:rFonts w:hint="eastAsia"/>
          <w:rtl/>
        </w:rPr>
        <w:t> </w:t>
      </w:r>
      <w:r>
        <w:rPr>
          <w:rFonts w:hint="cs"/>
          <w:rtl/>
        </w:rPr>
        <w:t xml:space="preserve">يمكن الحصول على الإنصاف الكامل إذا لم يكن الوفاء بالالتزامات المنصوص عليها في المادتين 12 و13 مكفولاً. ويجب إعلام الجمهور بوجود آليات تقديم الشكاوى وتيسير وصوله إليها، بما في ذلك الأشخاص المحرومون من حريتهم، سواء كانوا رهن الاحتجاز أو في مصحات عقلية أو في أي مكان آخر، بوسائل منها على سبيل المثال الخطوط الهاتفية المباشرة أو صناديق لإيداع الشكاوى السرية داخل السجون، والأشخاص الذين ينتمون إلى مجموعات ضعيفة أو مهمشة، بمن فيهم أولئك الذين قد تكون قدرتهم على الاتصال محدودة. </w:t>
      </w:r>
    </w:p>
    <w:p w:rsidR="00631BFA" w:rsidRDefault="00631BFA" w:rsidP="00F36856">
      <w:pPr>
        <w:pStyle w:val="SingleTxtGA"/>
        <w:rPr>
          <w:rFonts w:hint="cs"/>
          <w:rtl/>
        </w:rPr>
      </w:pPr>
      <w:r>
        <w:rPr>
          <w:rFonts w:hint="cs"/>
          <w:rtl/>
        </w:rPr>
        <w:t>24-</w:t>
      </w:r>
      <w:r>
        <w:rPr>
          <w:rFonts w:hint="cs"/>
          <w:rtl/>
        </w:rPr>
        <w:tab/>
        <w:t xml:space="preserve">وعلى المستوى الإجرائي، على الدول الأطراف أن تضمن وجود مؤسسات مختصة بإنفاذ القرارات النهائية من خلال إجراء يرسيه القانون لتمكين ضحايا التعذيب أو سوء المعاملة من الحصول على الإنصاف، بما في ذلك التعويض الكافي وإعادة التأهيل. </w:t>
      </w:r>
    </w:p>
    <w:p w:rsidR="00631BFA" w:rsidRDefault="00631BFA" w:rsidP="00631BFA">
      <w:pPr>
        <w:pStyle w:val="SingleTxtGA"/>
        <w:rPr>
          <w:rFonts w:hint="cs"/>
          <w:rtl/>
        </w:rPr>
      </w:pPr>
      <w:r>
        <w:rPr>
          <w:rFonts w:hint="cs"/>
          <w:rtl/>
        </w:rPr>
        <w:t>25-</w:t>
      </w:r>
      <w:r>
        <w:rPr>
          <w:rFonts w:hint="cs"/>
          <w:rtl/>
        </w:rPr>
        <w:tab/>
        <w:t>ويقتضي ضمان حق الضحية في الحصول على سبيل انتصاف أن تجري السلطات المختصة للدولة الطرف تحقيقات وتحريات على نحو فوري وفعال ونزيه بشأن حالة أي فرد يدعي أنه تعرض للتعذيب أو سوء المعاملة. وينبغي أن تشمل هذه التحقيقات كتدبير معتاد فحصاً بدنياً ونفسياً مستقلاً على يد طبيب شرعي مثلما ينص على ذلك بروتوكول اسطنبول. فأي تأجيلات غير لازمة لبدء التحقيقات القانونية أو استكمالها فيما يخص شكاوى التعذيب أو سوء المعاملة تضر بحقوق الضحايا بموجب المادة 14 في الحصول على الإنصاف بما فيه التعويض العادل والكافي ووسائل إعادة التأهيل على أكمل وجه ممكن.</w:t>
      </w:r>
    </w:p>
    <w:p w:rsidR="00631BFA" w:rsidRDefault="00631BFA" w:rsidP="00631BFA">
      <w:pPr>
        <w:pStyle w:val="SingleTxtGA"/>
        <w:rPr>
          <w:rFonts w:hint="cs"/>
          <w:rtl/>
        </w:rPr>
      </w:pPr>
      <w:r>
        <w:rPr>
          <w:rFonts w:hint="cs"/>
          <w:rtl/>
        </w:rPr>
        <w:t>26-</w:t>
      </w:r>
      <w:r>
        <w:rPr>
          <w:rFonts w:hint="cs"/>
          <w:rtl/>
        </w:rPr>
        <w:tab/>
      </w:r>
      <w:r>
        <w:rPr>
          <w:rFonts w:hint="cs"/>
          <w:rtl/>
          <w:lang/>
        </w:rPr>
        <w:t>وعلى الرغم من الفوائد الاستدلالية التي توفرها التحقيقات الجنائية للضحايا،</w:t>
      </w:r>
      <w:r>
        <w:rPr>
          <w:rFonts w:hint="cs"/>
          <w:rtl/>
        </w:rPr>
        <w:t xml:space="preserve"> ينبغي ألا تتوقف الدعوى المدنية ومطالبة الضحية بالتعويض على الفصل في الدعوى الجنائية. وترى اللجنة أنه ينبغي ألا يؤجل التعويض دون مبرر إلى حين ثبوت المسؤولية الجنائية. وينبغي أن تكون المسؤولية المدنية متاحة بشكل مستقل عن الإجراءات الجنائية، وينبغي أن تكون التشريعات والمؤسسات اللازمة لهذا الغرض متوافرة. وإذا كانت التشريعات المحلية تفرض إقامة الإجراءات الجنائية قبل التماس التعويض المدني، فإن عدم اتخاذ هذه الإجراءات الجنائية أو التأخر دون مبرر في اتخاذها يشكل إخفاقاً من جانب الدولة الطرف في الوفاء بالتزاماتها بموجب الاتفاقية. ويجب ألا تعتبر الإجراءات التأديبية وحدها سبيلاً فعالاً للانتصاف بالمعنى الوارد في المادة 14.</w:t>
      </w:r>
    </w:p>
    <w:p w:rsidR="00631BFA" w:rsidRDefault="00631BFA" w:rsidP="00631BFA">
      <w:pPr>
        <w:pStyle w:val="SingleTxtGA"/>
        <w:rPr>
          <w:rFonts w:hint="cs"/>
          <w:rtl/>
        </w:rPr>
      </w:pPr>
      <w:r>
        <w:rPr>
          <w:rFonts w:hint="cs"/>
          <w:rtl/>
        </w:rPr>
        <w:t>27-</w:t>
      </w:r>
      <w:r>
        <w:rPr>
          <w:rFonts w:hint="cs"/>
          <w:rtl/>
        </w:rPr>
        <w:tab/>
        <w:t>وعلى الدولة الطرف بموجب المادة 14 أن تضمن إنصاف ضحايا أي عمل من أعمال التعذيب أو سوء المعاملة خاضعين لولايتها القضائية. ويقع على عاتق الدول الأطراف التزام باتخاذ جميع التدابير اللازمة والفعالة لضمان إنصاف جميع ضحايا مثل هذه الأعمال. ويشمل هذا الالتزام التزام الدول الأطراف ببدء إجراء على وجه السرعة لضمان إنصاف الضحايا، حتى في حالة عدم وجود شكوى، عندما تكون هناك أسباب معقولة تدعو إلى الاعتقاد بوقوع التعذيب أو سوء المعاملة.</w:t>
      </w:r>
    </w:p>
    <w:p w:rsidR="00631BFA" w:rsidRDefault="00631BFA" w:rsidP="00631BFA">
      <w:pPr>
        <w:pStyle w:val="SingleTxtGA"/>
        <w:rPr>
          <w:rFonts w:hint="cs"/>
          <w:rtl/>
        </w:rPr>
      </w:pPr>
      <w:r>
        <w:rPr>
          <w:rFonts w:hint="cs"/>
          <w:rtl/>
        </w:rPr>
        <w:t>28-</w:t>
      </w:r>
      <w:r>
        <w:rPr>
          <w:rFonts w:hint="cs"/>
          <w:rtl/>
        </w:rPr>
        <w:tab/>
        <w:t>وتشجع اللجنة الدول الأطراف بشدة على الاعتراف باختصاص اللجنة بالنظر في شكاوى الأفراد بموجب المادة 22 من أجل السماح للضحايا بتقديم بلاغاتهم والتماس آراء اللجنة. كما تشجع اللجنة الدول الأطراف على التصديق على البروتوكول الاختياري لاتفاقية مناهضة التعذيب أو الانضمام إليه بغية تعزيز تدابير منع التعذيب وسوء المعاملة.</w:t>
      </w:r>
    </w:p>
    <w:p w:rsidR="00631BFA" w:rsidRDefault="00631BFA" w:rsidP="00631BFA">
      <w:pPr>
        <w:pStyle w:val="H23GA"/>
        <w:rPr>
          <w:rFonts w:hint="cs"/>
          <w:rtl/>
        </w:rPr>
      </w:pPr>
      <w:r>
        <w:rPr>
          <w:rtl/>
        </w:rPr>
        <w:tab/>
      </w:r>
      <w:r>
        <w:rPr>
          <w:rFonts w:hint="cs"/>
          <w:rtl/>
        </w:rPr>
        <w:tab/>
        <w:t>الوصول إلى آليات الإنصاف</w:t>
      </w:r>
    </w:p>
    <w:p w:rsidR="00631BFA" w:rsidRPr="00F36856" w:rsidRDefault="00631BFA" w:rsidP="00F36856">
      <w:pPr>
        <w:pStyle w:val="SingleTxtGA"/>
        <w:rPr>
          <w:rFonts w:hint="cs"/>
          <w:spacing w:val="-2"/>
          <w:rtl/>
        </w:rPr>
      </w:pPr>
      <w:r>
        <w:rPr>
          <w:rFonts w:hint="cs"/>
          <w:rtl/>
        </w:rPr>
        <w:t>29-</w:t>
      </w:r>
      <w:r>
        <w:rPr>
          <w:rFonts w:hint="cs"/>
          <w:rtl/>
        </w:rPr>
        <w:tab/>
        <w:t xml:space="preserve">تشدد اللجنة على أهمية أن تضمن الدولة الطرف بشكل إيجابي تقديم المعلومات الكافية للضحايا وأسرهم عن حقهم في التماس الإنصاف. وفي هذا الصدد، ينبغي أن تكون إجراءات التماس الجبر إجراءات شفافة. وينبغي للدولة الطرف أيضاً أن تقدم المساعدة والدعم لتخفيف المشقة على أصحاب الشكاوى وممثليهم. وينبغي ألا تضع الإجراءات المدنية </w:t>
      </w:r>
      <w:r w:rsidRPr="00F36856">
        <w:rPr>
          <w:rFonts w:hint="cs"/>
          <w:spacing w:val="-2"/>
          <w:rtl/>
        </w:rPr>
        <w:t>أو غيرها من الإجراءات ثقلاً مالياً على كاهل الضحايا، قد يمنعهم من التماس الإنصاف أو</w:t>
      </w:r>
      <w:r w:rsidR="00F36856">
        <w:rPr>
          <w:rFonts w:hint="eastAsia"/>
          <w:spacing w:val="-2"/>
          <w:rtl/>
        </w:rPr>
        <w:t> </w:t>
      </w:r>
      <w:r w:rsidRPr="00F36856">
        <w:rPr>
          <w:rFonts w:hint="cs"/>
          <w:spacing w:val="-2"/>
          <w:rtl/>
        </w:rPr>
        <w:t>يثنيهم عنه. وإذا لم يكن بإمكان الإجراءات المدنية القائمة توفير الإنصاف المناسب للضحايا، فإن اللجنة توصي بتطبيق آليات يسهل وصول ضحايا التعذيب وسوء المعاملة إليها، ويشمل ذلك إنشاء صندوق وطني لتوفير الإنصاف لضحايا التعذيب. وينبغي اعتماد تدابير خاصة لضمان أن يصل إليها الأشخاص الذين ينتمون إلى المجموعات التي هُمشت أو استُضعفت.</w:t>
      </w:r>
    </w:p>
    <w:p w:rsidR="00631BFA" w:rsidRDefault="00631BFA" w:rsidP="00631BFA">
      <w:pPr>
        <w:pStyle w:val="SingleTxtGA"/>
        <w:rPr>
          <w:rFonts w:hint="cs"/>
          <w:rtl/>
        </w:rPr>
      </w:pPr>
      <w:r>
        <w:rPr>
          <w:rFonts w:hint="cs"/>
          <w:rtl/>
        </w:rPr>
        <w:t>30-</w:t>
      </w:r>
      <w:r>
        <w:rPr>
          <w:rFonts w:hint="cs"/>
          <w:rtl/>
        </w:rPr>
        <w:tab/>
        <w:t>ويجب أن تكون سبل الانتصاف القضائية دائما</w:t>
      </w:r>
      <w:r w:rsidR="00761DC0">
        <w:rPr>
          <w:rFonts w:hint="cs"/>
          <w:rtl/>
        </w:rPr>
        <w:t>ً</w:t>
      </w:r>
      <w:r>
        <w:rPr>
          <w:rFonts w:hint="cs"/>
          <w:rtl/>
        </w:rPr>
        <w:t xml:space="preserve"> متاحة للضحايا، بغض النظر عن سبل الانتصاف الأخرى التي قد تكون متاحة، وينبغي أن تمكِّن الضحايا من المشاركة. وينبغي أن تقدم الدول الأطراف المساعدة القضائية الكافية لضحايا التعذيب وسوء المعاملة الذين يفتقرون إلى الموارد اللازمة من أجل رفع الشكاوى والمطالبة بالإنصاف. وعلى الدول الأطراف أيضاً أن تتيح للضحايا على نحو ميسّر جميع الأدلة المتعلقة بأعمال التعذيب أو سوء المعاملة بناء على طلب الضحايا أو مستشارهم القانوني أو القاضي. وعدم تقديم دولة طرف للأدلة والمعلومات، مثل سجلات التقييمات أو العلاجات الطبية، يمكن أن يعيق دون مبرر قدرة الضحايا على رفع الشكاوى والتماس الإنصاف والتعويض وإعادة التأهيل.</w:t>
      </w:r>
    </w:p>
    <w:p w:rsidR="00631BFA" w:rsidRDefault="00631BFA" w:rsidP="00631BFA">
      <w:pPr>
        <w:pStyle w:val="SingleTxtGA"/>
        <w:rPr>
          <w:rFonts w:hint="cs"/>
          <w:rtl/>
        </w:rPr>
      </w:pPr>
      <w:r>
        <w:rPr>
          <w:rFonts w:hint="cs"/>
          <w:rtl/>
        </w:rPr>
        <w:t>31-</w:t>
      </w:r>
      <w:r>
        <w:rPr>
          <w:rFonts w:hint="cs"/>
          <w:rtl/>
        </w:rPr>
        <w:tab/>
        <w:t>وينبغي أيضاً للدولة الطرف أن تتخذ تدابير لمنع التدخل في خصوصية الضحايا وحماية الضحايا وأسرهم والشهود وغيرهم من الأشخاص الذين تصرفوا نيابة عنهم من التخويف والثأر في جميع الأوقات سواء قبل الإجراءات القضائية أو الإدارية أو غيرها من الإجراءات التي تؤثر في مصالح الضحايا،</w:t>
      </w:r>
      <w:r w:rsidRPr="0082711F">
        <w:rPr>
          <w:rFonts w:hint="cs"/>
          <w:rtl/>
        </w:rPr>
        <w:t xml:space="preserve"> </w:t>
      </w:r>
      <w:r>
        <w:rPr>
          <w:rFonts w:hint="cs"/>
          <w:rtl/>
        </w:rPr>
        <w:t>أو في أثنائها أو بعدها. وعدم توفير الحماية يحول دون رفع الضحايا لشكاواهم وينتهك بالتالي الحق في التماس الإنصاف والحصول عليه.</w:t>
      </w:r>
    </w:p>
    <w:p w:rsidR="00631BFA" w:rsidRDefault="00631BFA" w:rsidP="00F36856">
      <w:pPr>
        <w:pStyle w:val="SingleTxtGA"/>
        <w:rPr>
          <w:rFonts w:hint="cs"/>
          <w:rtl/>
        </w:rPr>
      </w:pPr>
      <w:r>
        <w:rPr>
          <w:rFonts w:hint="cs"/>
          <w:rtl/>
        </w:rPr>
        <w:t>32-</w:t>
      </w:r>
      <w:r>
        <w:rPr>
          <w:rFonts w:hint="cs"/>
          <w:rtl/>
        </w:rPr>
        <w:tab/>
        <w:t>وإن مبدأ عدم التمييز هو مبدأ أساسي وعام في حماية حقوق الإنسان وجوهري لتفسير الاتفاقية وتطبيقها. وعلى الدول الأطراف أن تضمن أن إمكانية الوصول إلى العدالة وآليات التماس الإنصاف والحصول عليه هي إمكانية متاحة بسهولة وأن التدابير الإيجابية تضمن الإنصاف لجميع الأشخاص على قدم المساواة</w:t>
      </w:r>
      <w:r>
        <w:rPr>
          <w:rFonts w:hint="cs"/>
          <w:color w:val="000000"/>
          <w:rtl/>
        </w:rPr>
        <w:t xml:space="preserve"> </w:t>
      </w:r>
      <w:r w:rsidRPr="009230BA">
        <w:rPr>
          <w:color w:val="000000"/>
          <w:rtl/>
        </w:rPr>
        <w:t>بصرف النظر عن العرق</w:t>
      </w:r>
      <w:r w:rsidRPr="009230BA">
        <w:rPr>
          <w:rFonts w:hint="cs"/>
          <w:color w:val="000000"/>
          <w:rtl/>
        </w:rPr>
        <w:t>،</w:t>
      </w:r>
      <w:r w:rsidRPr="009230BA">
        <w:rPr>
          <w:color w:val="000000"/>
          <w:rtl/>
        </w:rPr>
        <w:t xml:space="preserve"> أو اللون</w:t>
      </w:r>
      <w:r w:rsidRPr="009230BA">
        <w:rPr>
          <w:rFonts w:hint="cs"/>
          <w:color w:val="000000"/>
          <w:rtl/>
        </w:rPr>
        <w:t>،</w:t>
      </w:r>
      <w:r w:rsidRPr="009230BA">
        <w:rPr>
          <w:color w:val="000000"/>
          <w:rtl/>
        </w:rPr>
        <w:t xml:space="preserve"> أو</w:t>
      </w:r>
      <w:r w:rsidR="00F36856">
        <w:rPr>
          <w:rFonts w:hint="cs"/>
          <w:color w:val="000000"/>
          <w:rtl/>
        </w:rPr>
        <w:t> </w:t>
      </w:r>
      <w:r w:rsidRPr="009230BA">
        <w:rPr>
          <w:color w:val="000000"/>
          <w:rtl/>
        </w:rPr>
        <w:t>ا</w:t>
      </w:r>
      <w:r w:rsidRPr="009230BA">
        <w:rPr>
          <w:rFonts w:hint="cs"/>
          <w:color w:val="000000"/>
          <w:rtl/>
        </w:rPr>
        <w:t>لانتماء العرقي، أ</w:t>
      </w:r>
      <w:r w:rsidRPr="009230BA">
        <w:rPr>
          <w:color w:val="000000"/>
          <w:rtl/>
        </w:rPr>
        <w:t>و</w:t>
      </w:r>
      <w:r w:rsidRPr="009230BA">
        <w:rPr>
          <w:rFonts w:hint="cs"/>
          <w:color w:val="000000"/>
          <w:rtl/>
        </w:rPr>
        <w:t xml:space="preserve"> </w:t>
      </w:r>
      <w:r w:rsidRPr="009230BA">
        <w:rPr>
          <w:color w:val="000000"/>
          <w:rtl/>
        </w:rPr>
        <w:t>السن</w:t>
      </w:r>
      <w:r w:rsidRPr="009230BA">
        <w:rPr>
          <w:rFonts w:hint="cs"/>
          <w:color w:val="000000"/>
          <w:rtl/>
        </w:rPr>
        <w:t>، أ</w:t>
      </w:r>
      <w:r w:rsidRPr="009230BA">
        <w:rPr>
          <w:color w:val="000000"/>
          <w:rtl/>
        </w:rPr>
        <w:t>و</w:t>
      </w:r>
      <w:r w:rsidRPr="009230BA">
        <w:rPr>
          <w:rFonts w:hint="cs"/>
          <w:color w:val="000000"/>
          <w:rtl/>
        </w:rPr>
        <w:t xml:space="preserve"> </w:t>
      </w:r>
      <w:r w:rsidRPr="009230BA">
        <w:rPr>
          <w:color w:val="000000"/>
          <w:rtl/>
        </w:rPr>
        <w:t xml:space="preserve">المعتقد </w:t>
      </w:r>
      <w:r w:rsidRPr="009230BA">
        <w:rPr>
          <w:rFonts w:hint="cs"/>
          <w:color w:val="000000"/>
          <w:rtl/>
        </w:rPr>
        <w:t xml:space="preserve">أو الانتساب </w:t>
      </w:r>
      <w:r w:rsidRPr="009230BA">
        <w:rPr>
          <w:color w:val="000000"/>
          <w:rtl/>
        </w:rPr>
        <w:t xml:space="preserve">الديني، </w:t>
      </w:r>
      <w:r w:rsidRPr="009230BA">
        <w:rPr>
          <w:rFonts w:hint="cs"/>
          <w:color w:val="000000"/>
          <w:rtl/>
        </w:rPr>
        <w:t>أ</w:t>
      </w:r>
      <w:r w:rsidRPr="009230BA">
        <w:rPr>
          <w:color w:val="000000"/>
          <w:rtl/>
        </w:rPr>
        <w:t>و الر</w:t>
      </w:r>
      <w:r w:rsidRPr="009230BA">
        <w:rPr>
          <w:rFonts w:hint="cs"/>
          <w:color w:val="000000"/>
          <w:rtl/>
        </w:rPr>
        <w:t>أ</w:t>
      </w:r>
      <w:r w:rsidRPr="009230BA">
        <w:rPr>
          <w:color w:val="000000"/>
          <w:rtl/>
        </w:rPr>
        <w:t xml:space="preserve">ي السياسي </w:t>
      </w:r>
      <w:r w:rsidRPr="009230BA">
        <w:rPr>
          <w:rFonts w:hint="cs"/>
          <w:color w:val="000000"/>
          <w:rtl/>
        </w:rPr>
        <w:t>أ</w:t>
      </w:r>
      <w:r w:rsidRPr="009230BA">
        <w:rPr>
          <w:color w:val="000000"/>
          <w:rtl/>
        </w:rPr>
        <w:t>و غير</w:t>
      </w:r>
      <w:r>
        <w:rPr>
          <w:rFonts w:hint="cs"/>
          <w:color w:val="000000"/>
          <w:rtl/>
        </w:rPr>
        <w:t xml:space="preserve"> السياسي</w:t>
      </w:r>
      <w:r w:rsidRPr="009230BA">
        <w:rPr>
          <w:color w:val="000000"/>
          <w:rtl/>
        </w:rPr>
        <w:t xml:space="preserve">، </w:t>
      </w:r>
      <w:r w:rsidRPr="009230BA">
        <w:rPr>
          <w:rFonts w:hint="cs"/>
          <w:color w:val="000000"/>
          <w:rtl/>
        </w:rPr>
        <w:t>أو الأصل القومي</w:t>
      </w:r>
      <w:r w:rsidRPr="009230BA">
        <w:rPr>
          <w:color w:val="000000"/>
          <w:rtl/>
        </w:rPr>
        <w:t xml:space="preserve"> </w:t>
      </w:r>
      <w:r w:rsidRPr="009230BA">
        <w:rPr>
          <w:rFonts w:hint="cs"/>
          <w:color w:val="000000"/>
          <w:rtl/>
        </w:rPr>
        <w:t>أ</w:t>
      </w:r>
      <w:r w:rsidRPr="009230BA">
        <w:rPr>
          <w:color w:val="000000"/>
          <w:rtl/>
        </w:rPr>
        <w:t>و ا</w:t>
      </w:r>
      <w:r w:rsidRPr="009230BA">
        <w:rPr>
          <w:rFonts w:hint="cs"/>
          <w:color w:val="000000"/>
          <w:rtl/>
        </w:rPr>
        <w:t>لا</w:t>
      </w:r>
      <w:r w:rsidRPr="009230BA">
        <w:rPr>
          <w:color w:val="000000"/>
          <w:rtl/>
        </w:rPr>
        <w:t>جتماعي</w:t>
      </w:r>
      <w:r w:rsidRPr="009230BA">
        <w:rPr>
          <w:rFonts w:hint="cs"/>
          <w:color w:val="000000"/>
          <w:rtl/>
        </w:rPr>
        <w:t xml:space="preserve">، </w:t>
      </w:r>
      <w:r w:rsidRPr="009230BA">
        <w:rPr>
          <w:color w:val="000000"/>
          <w:rtl/>
        </w:rPr>
        <w:t xml:space="preserve">أو </w:t>
      </w:r>
      <w:r w:rsidRPr="009230BA">
        <w:rPr>
          <w:rFonts w:hint="cs"/>
          <w:color w:val="000000"/>
          <w:rtl/>
        </w:rPr>
        <w:t xml:space="preserve">نوع </w:t>
      </w:r>
      <w:r w:rsidRPr="009230BA">
        <w:rPr>
          <w:color w:val="000000"/>
          <w:rtl/>
        </w:rPr>
        <w:t>الجنس</w:t>
      </w:r>
      <w:r w:rsidRPr="009230BA">
        <w:rPr>
          <w:rFonts w:hint="cs"/>
          <w:color w:val="000000"/>
          <w:rtl/>
        </w:rPr>
        <w:t xml:space="preserve">، </w:t>
      </w:r>
      <w:r>
        <w:rPr>
          <w:color w:val="000000"/>
          <w:rtl/>
        </w:rPr>
        <w:t>أو ال</w:t>
      </w:r>
      <w:r>
        <w:rPr>
          <w:rFonts w:hint="cs"/>
          <w:color w:val="000000"/>
          <w:rtl/>
        </w:rPr>
        <w:t>ميل</w:t>
      </w:r>
      <w:r w:rsidRPr="009230BA">
        <w:rPr>
          <w:color w:val="000000"/>
          <w:rtl/>
        </w:rPr>
        <w:t xml:space="preserve"> الجنسي، </w:t>
      </w:r>
      <w:r w:rsidRPr="009230BA">
        <w:rPr>
          <w:rFonts w:hint="cs"/>
          <w:color w:val="000000"/>
          <w:rtl/>
        </w:rPr>
        <w:t xml:space="preserve">أو </w:t>
      </w:r>
      <w:r>
        <w:rPr>
          <w:rFonts w:hint="cs"/>
          <w:color w:val="000000"/>
          <w:rtl/>
        </w:rPr>
        <w:t>الهوية الجنسانية</w:t>
      </w:r>
      <w:r w:rsidRPr="009230BA">
        <w:rPr>
          <w:color w:val="000000"/>
          <w:rtl/>
        </w:rPr>
        <w:t xml:space="preserve">، </w:t>
      </w:r>
      <w:r w:rsidRPr="009230BA">
        <w:rPr>
          <w:rFonts w:hint="cs"/>
          <w:color w:val="000000"/>
          <w:rtl/>
        </w:rPr>
        <w:t>أ</w:t>
      </w:r>
      <w:r w:rsidRPr="009230BA">
        <w:rPr>
          <w:color w:val="000000"/>
          <w:rtl/>
        </w:rPr>
        <w:t xml:space="preserve">و </w:t>
      </w:r>
      <w:r w:rsidRPr="009230BA">
        <w:rPr>
          <w:rFonts w:hint="cs"/>
          <w:color w:val="000000"/>
          <w:rtl/>
        </w:rPr>
        <w:t>العوق العقلي أو غيره من حالات الإعاقة</w:t>
      </w:r>
      <w:r w:rsidRPr="009230BA">
        <w:rPr>
          <w:color w:val="000000"/>
          <w:rtl/>
        </w:rPr>
        <w:t xml:space="preserve">، </w:t>
      </w:r>
      <w:r w:rsidRPr="009230BA">
        <w:rPr>
          <w:rFonts w:hint="cs"/>
          <w:color w:val="000000"/>
          <w:rtl/>
        </w:rPr>
        <w:t>أ</w:t>
      </w:r>
      <w:r w:rsidRPr="009230BA">
        <w:rPr>
          <w:color w:val="000000"/>
          <w:rtl/>
        </w:rPr>
        <w:t>و</w:t>
      </w:r>
      <w:r w:rsidRPr="009230BA">
        <w:rPr>
          <w:rFonts w:hint="cs"/>
          <w:color w:val="000000"/>
          <w:rtl/>
        </w:rPr>
        <w:t xml:space="preserve"> </w:t>
      </w:r>
      <w:r w:rsidRPr="009230BA">
        <w:rPr>
          <w:color w:val="000000"/>
          <w:rtl/>
        </w:rPr>
        <w:t xml:space="preserve">الوضع الصحي، </w:t>
      </w:r>
      <w:r w:rsidRPr="009230BA">
        <w:rPr>
          <w:rFonts w:hint="cs"/>
          <w:color w:val="000000"/>
          <w:rtl/>
        </w:rPr>
        <w:t xml:space="preserve">أو الحالة </w:t>
      </w:r>
      <w:r w:rsidRPr="009230BA">
        <w:rPr>
          <w:color w:val="000000"/>
          <w:rtl/>
        </w:rPr>
        <w:t>الاقتصادي</w:t>
      </w:r>
      <w:r w:rsidRPr="009230BA">
        <w:rPr>
          <w:rFonts w:hint="cs"/>
          <w:color w:val="000000"/>
          <w:rtl/>
        </w:rPr>
        <w:t xml:space="preserve">ة </w:t>
      </w:r>
      <w:r w:rsidRPr="009230BA">
        <w:rPr>
          <w:color w:val="000000"/>
          <w:rtl/>
        </w:rPr>
        <w:t xml:space="preserve">أو </w:t>
      </w:r>
      <w:r w:rsidRPr="009230BA">
        <w:rPr>
          <w:rFonts w:hint="cs"/>
          <w:color w:val="000000"/>
          <w:rtl/>
        </w:rPr>
        <w:t xml:space="preserve">الانتماء إلى الشعوب </w:t>
      </w:r>
      <w:r w:rsidRPr="009230BA">
        <w:rPr>
          <w:color w:val="000000"/>
          <w:rtl/>
        </w:rPr>
        <w:t>ال</w:t>
      </w:r>
      <w:r w:rsidRPr="009230BA">
        <w:rPr>
          <w:rFonts w:hint="cs"/>
          <w:color w:val="000000"/>
          <w:rtl/>
        </w:rPr>
        <w:t>أ</w:t>
      </w:r>
      <w:r w:rsidRPr="009230BA">
        <w:rPr>
          <w:color w:val="000000"/>
          <w:rtl/>
        </w:rPr>
        <w:t>صلي</w:t>
      </w:r>
      <w:r w:rsidRPr="009230BA">
        <w:rPr>
          <w:rFonts w:hint="cs"/>
          <w:color w:val="000000"/>
          <w:rtl/>
        </w:rPr>
        <w:t>ة</w:t>
      </w:r>
      <w:r w:rsidRPr="009230BA">
        <w:rPr>
          <w:color w:val="000000"/>
          <w:rtl/>
        </w:rPr>
        <w:t xml:space="preserve">، </w:t>
      </w:r>
      <w:r>
        <w:rPr>
          <w:rFonts w:hint="cs"/>
          <w:color w:val="000000"/>
          <w:rtl/>
        </w:rPr>
        <w:t xml:space="preserve">أو السبب وراء </w:t>
      </w:r>
      <w:r w:rsidRPr="009230BA">
        <w:rPr>
          <w:rFonts w:hint="cs"/>
          <w:color w:val="000000"/>
          <w:rtl/>
        </w:rPr>
        <w:t>احتجاز الأشخاص، بمن فيهم الأفراد ا</w:t>
      </w:r>
      <w:r w:rsidRPr="009230BA">
        <w:rPr>
          <w:color w:val="000000"/>
          <w:rtl/>
        </w:rPr>
        <w:t>لمتهم</w:t>
      </w:r>
      <w:r>
        <w:rPr>
          <w:rFonts w:hint="cs"/>
          <w:color w:val="000000"/>
          <w:rtl/>
        </w:rPr>
        <w:t>و</w:t>
      </w:r>
      <w:r w:rsidRPr="009230BA">
        <w:rPr>
          <w:color w:val="000000"/>
          <w:rtl/>
        </w:rPr>
        <w:t xml:space="preserve">ن بارتكاب جرائم سياسية </w:t>
      </w:r>
      <w:r w:rsidRPr="009230BA">
        <w:rPr>
          <w:rFonts w:hint="cs"/>
          <w:color w:val="000000"/>
          <w:rtl/>
        </w:rPr>
        <w:t>أ</w:t>
      </w:r>
      <w:r w:rsidRPr="009230BA">
        <w:rPr>
          <w:color w:val="000000"/>
          <w:rtl/>
        </w:rPr>
        <w:t xml:space="preserve">و </w:t>
      </w:r>
      <w:r w:rsidRPr="009230BA">
        <w:rPr>
          <w:rFonts w:hint="cs"/>
          <w:color w:val="000000"/>
          <w:rtl/>
        </w:rPr>
        <w:t>أ</w:t>
      </w:r>
      <w:r w:rsidRPr="009230BA">
        <w:rPr>
          <w:color w:val="000000"/>
          <w:rtl/>
        </w:rPr>
        <w:t xml:space="preserve">عمال </w:t>
      </w:r>
      <w:r w:rsidRPr="009230BA">
        <w:rPr>
          <w:rFonts w:hint="cs"/>
          <w:color w:val="000000"/>
          <w:rtl/>
        </w:rPr>
        <w:t>إ</w:t>
      </w:r>
      <w:r w:rsidRPr="009230BA">
        <w:rPr>
          <w:color w:val="000000"/>
          <w:rtl/>
        </w:rPr>
        <w:t>رهابي</w:t>
      </w:r>
      <w:r w:rsidRPr="009230BA">
        <w:rPr>
          <w:rFonts w:hint="cs"/>
          <w:color w:val="000000"/>
          <w:rtl/>
        </w:rPr>
        <w:t>ة</w:t>
      </w:r>
      <w:r w:rsidRPr="009230BA">
        <w:rPr>
          <w:color w:val="000000"/>
          <w:rtl/>
        </w:rPr>
        <w:t xml:space="preserve">، </w:t>
      </w:r>
      <w:r w:rsidRPr="009230BA">
        <w:rPr>
          <w:rFonts w:hint="cs"/>
          <w:color w:val="000000"/>
          <w:rtl/>
        </w:rPr>
        <w:t>أ</w:t>
      </w:r>
      <w:r w:rsidRPr="009230BA">
        <w:rPr>
          <w:color w:val="000000"/>
          <w:rtl/>
        </w:rPr>
        <w:t>و</w:t>
      </w:r>
      <w:r w:rsidRPr="009230BA">
        <w:rPr>
          <w:rFonts w:hint="cs"/>
          <w:color w:val="000000"/>
          <w:rtl/>
        </w:rPr>
        <w:t xml:space="preserve"> </w:t>
      </w:r>
      <w:r>
        <w:rPr>
          <w:rFonts w:hint="cs"/>
          <w:color w:val="000000"/>
          <w:rtl/>
        </w:rPr>
        <w:t>ملتمسو</w:t>
      </w:r>
      <w:r w:rsidRPr="009230BA">
        <w:rPr>
          <w:color w:val="000000"/>
          <w:rtl/>
        </w:rPr>
        <w:t xml:space="preserve"> اللجوء </w:t>
      </w:r>
      <w:r w:rsidRPr="009230BA">
        <w:rPr>
          <w:rFonts w:hint="cs"/>
          <w:color w:val="000000"/>
          <w:rtl/>
        </w:rPr>
        <w:t>أ</w:t>
      </w:r>
      <w:r w:rsidRPr="009230BA">
        <w:rPr>
          <w:color w:val="000000"/>
          <w:rtl/>
        </w:rPr>
        <w:t>و</w:t>
      </w:r>
      <w:r w:rsidRPr="009230BA">
        <w:rPr>
          <w:rFonts w:hint="cs"/>
          <w:color w:val="000000"/>
          <w:rtl/>
        </w:rPr>
        <w:t xml:space="preserve"> </w:t>
      </w:r>
      <w:r w:rsidRPr="009230BA">
        <w:rPr>
          <w:color w:val="000000"/>
          <w:rtl/>
        </w:rPr>
        <w:t>اللاجئ</w:t>
      </w:r>
      <w:r>
        <w:rPr>
          <w:rFonts w:hint="cs"/>
          <w:color w:val="000000"/>
          <w:rtl/>
        </w:rPr>
        <w:t>و</w:t>
      </w:r>
      <w:r w:rsidRPr="009230BA">
        <w:rPr>
          <w:color w:val="000000"/>
          <w:rtl/>
        </w:rPr>
        <w:t xml:space="preserve">ن </w:t>
      </w:r>
      <w:r w:rsidRPr="009230BA">
        <w:rPr>
          <w:rFonts w:hint="cs"/>
          <w:color w:val="000000"/>
          <w:rtl/>
        </w:rPr>
        <w:t>أ</w:t>
      </w:r>
      <w:r w:rsidRPr="009230BA">
        <w:rPr>
          <w:color w:val="000000"/>
          <w:rtl/>
        </w:rPr>
        <w:t xml:space="preserve">و </w:t>
      </w:r>
      <w:r>
        <w:rPr>
          <w:rFonts w:hint="cs"/>
          <w:color w:val="000000"/>
          <w:rtl/>
        </w:rPr>
        <w:t>الأشخاص الآخرون المشمولون ب</w:t>
      </w:r>
      <w:r w:rsidRPr="009230BA">
        <w:rPr>
          <w:color w:val="000000"/>
          <w:rtl/>
        </w:rPr>
        <w:t>ال</w:t>
      </w:r>
      <w:r w:rsidRPr="009230BA">
        <w:rPr>
          <w:rFonts w:hint="cs"/>
          <w:color w:val="000000"/>
          <w:rtl/>
        </w:rPr>
        <w:t>حماية</w:t>
      </w:r>
      <w:r w:rsidRPr="009230BA">
        <w:rPr>
          <w:color w:val="000000"/>
          <w:rtl/>
        </w:rPr>
        <w:t xml:space="preserve"> الدولي</w:t>
      </w:r>
      <w:r w:rsidRPr="009230BA">
        <w:rPr>
          <w:rFonts w:hint="cs"/>
          <w:color w:val="000000"/>
          <w:rtl/>
        </w:rPr>
        <w:t>ة</w:t>
      </w:r>
      <w:r w:rsidRPr="009230BA">
        <w:rPr>
          <w:color w:val="000000"/>
          <w:rtl/>
        </w:rPr>
        <w:t>، أو أي وضع آخر أو تمييز ضار</w:t>
      </w:r>
      <w:r>
        <w:rPr>
          <w:rFonts w:hint="cs"/>
          <w:rtl/>
        </w:rPr>
        <w:t>، وبمن فيهم الأشخاص المهمشون أو المستضعفون لأسباب مثل الأسباب السالفة الذكر. ويجب أن تتاح تدابير الجبر الجماعي التي تراعي الجانب الثقافي للمجموعات ذات هوية مشتركة، مثل مجموعات الأقليات ومجموعات الشعوب الأصلية وغيرها. وتشير اللجنة إلى أن التدابير الجماعية لا</w:t>
      </w:r>
      <w:r>
        <w:rPr>
          <w:rFonts w:hint="eastAsia"/>
          <w:rtl/>
        </w:rPr>
        <w:t> </w:t>
      </w:r>
      <w:r>
        <w:rPr>
          <w:rFonts w:hint="cs"/>
          <w:rtl/>
        </w:rPr>
        <w:t>تستبعد حق الفرد في الإنصاف.</w:t>
      </w:r>
    </w:p>
    <w:p w:rsidR="00631BFA" w:rsidRPr="00A96FFB" w:rsidRDefault="00631BFA" w:rsidP="00631BFA">
      <w:pPr>
        <w:pStyle w:val="SingleTxtGA"/>
        <w:rPr>
          <w:rFonts w:hint="cs"/>
          <w:rtl/>
        </w:rPr>
      </w:pPr>
      <w:r>
        <w:rPr>
          <w:rFonts w:hint="cs"/>
          <w:rtl/>
        </w:rPr>
        <w:t>33-</w:t>
      </w:r>
      <w:r>
        <w:rPr>
          <w:rFonts w:hint="cs"/>
          <w:rtl/>
        </w:rPr>
        <w:tab/>
        <w:t>ويجب أن تطبق الإجراءات القضائية وغير القضائية تدابير تراعي نوع الجنس وتحول دون تعرض ضحايا التعذيب أو سوء المعاملة للأذى من جديد والوصم. وفيما يخص العنف الجنسي أو الجنساني والحصول على محاكمة وفقاً للأصول القانونية والوصول إلى قضاء نزيه، تؤكد اللجنة أنه في أي إجراءات، مدنية كانت</w:t>
      </w:r>
      <w:r w:rsidRPr="001E3D28">
        <w:rPr>
          <w:rFonts w:hint="cs"/>
          <w:rtl/>
        </w:rPr>
        <w:t xml:space="preserve"> </w:t>
      </w:r>
      <w:r>
        <w:rPr>
          <w:rFonts w:hint="cs"/>
          <w:rtl/>
        </w:rPr>
        <w:t>أو جنائية، ترمي إلى تحديد حق الضحية في الانتصاف، بما فيه التعويض، يجب أن تمنح قواعد الإثبات والإجراءات المتعلقة بالعنف القائم على نوع الجنس القيمة نفسها لشهادة النساء والفتيات، كما هو من المفترض أن ينطبق هذا على جميع الضحايا الآخرين، وأن تمنع إدراج أدلة تميزية ومضايقة الضحايا والشهود. وترى اللجنة أن آليات الشكاوى والتحقيقات تتطلب تدابير إيجابية محددة تراعي الجوانب الجنسانية لضمان أن يكون بإمكان ضحايا الاعتداءات، من قبيل العنف والاعتداء الجنسيين والاغتصاب والاغتصاب في إطار الزواج والعنف المن‍زلي وتشويه الأعضاء التناسلية للإناث والاتجار بالأشخاص، المضي قدماً والتماس الإنصاف والحصول عليه.</w:t>
      </w:r>
    </w:p>
    <w:p w:rsidR="00631BFA" w:rsidRDefault="00631BFA" w:rsidP="00631BFA">
      <w:pPr>
        <w:pStyle w:val="SingleTxtGA"/>
        <w:rPr>
          <w:rFonts w:hint="cs"/>
          <w:rtl/>
        </w:rPr>
      </w:pPr>
      <w:r>
        <w:rPr>
          <w:rFonts w:hint="cs"/>
          <w:rtl/>
        </w:rPr>
        <w:t>34-</w:t>
      </w:r>
      <w:r>
        <w:rPr>
          <w:rFonts w:hint="cs"/>
          <w:rtl/>
        </w:rPr>
        <w:tab/>
        <w:t>ولتجنب إعادة إيذاء ضحايا التعذيب وسوء المعاملة ووصمهم، تنطبق أيضاً أنواع الحماية المبينة في الفقرة السابقة على أي شخص مهمش أو مستضعف بسبب انتمائه إلى هويات أو مجموعات مماثلة للنماذج المبينة في إطار مبدأ عدم التمييز في الفقرة 32. وفي الإجراءات القضائية وغير القضائية، يجب مراعاة الوضع الخاص بكل شخص من هؤلاء. وعليه، تشير اللجنة إلى أنه يجب أن يتلقى العاملون في الجهاز القضائي تدريباً خاصاً على مختلف آثار التعذيب وسوء المعاملة، بما في ذلك آثارهما على الضحايا من المجموعات المهمشة والضعيفة، وكيفية التعاطي مع ضحايا التعذيب وسوء المعاملة، بما يشمل ضربَي التمييز بسبب الجنس أو نوع الجنس، من أجل منع الإيذاء من الجديد والوصم.</w:t>
      </w:r>
    </w:p>
    <w:p w:rsidR="00631BFA" w:rsidRDefault="00631BFA" w:rsidP="00631BFA">
      <w:pPr>
        <w:pStyle w:val="SingleTxtGA"/>
        <w:rPr>
          <w:rFonts w:hint="cs"/>
          <w:rtl/>
        </w:rPr>
      </w:pPr>
      <w:r>
        <w:rPr>
          <w:rFonts w:hint="cs"/>
          <w:rtl/>
        </w:rPr>
        <w:t>35-</w:t>
      </w:r>
      <w:r>
        <w:rPr>
          <w:rFonts w:hint="cs"/>
          <w:rtl/>
        </w:rPr>
        <w:tab/>
        <w:t>وترى اللجنة أن تدريب المعنيين من رجال الشرطة، والعاملين في السجون، والعاملين في القطاع الطبي، والعاملين في الجهاز القضائي، وموظفي الهجرة، بما في ذلك التدريب على بروتوكول اسطنبول، أمر أساسي لضمان إجراء تحقيقات فعالة. وعلاوة على ذلك، ينبغي أن يتلقى المسؤولون والموظفون المشاركون في جهود الحصول على الإنصاف تدريباً منهجياً بغية منع تجديد صدمة ضحايا التعذيب أو سوء المعاملة. وينبغي أن يشمل هذا التدريب بالنسبة للعاملين في قطاع الصحة والقطاع الطبي ضرورة إبلاغ ضحايا العنف الجنساني والجنسي وسائر أشكال التمييز الأخرى بتوافر إجراءات طبية عاجلة على كل من المستويين البدني والنفسي. كما تحث اللجنة الدول الأطراف على إنشاء مكاتب لحقوق الإنسان داخل قوات الشرطة، ووحدات من الموظفين المدربين خصيصاً لمعالجة حالات العنف الجنساني والجنسي، بما في ذلك العنف الجنسي المرتكب ضد الرجال والأولاد، والعنف ضد الأطفال والأقليات الإثنية والدينية والوطنية أو الأقليات الأخرى وغيرها من المجموعات المهمشة أو</w:t>
      </w:r>
      <w:r>
        <w:rPr>
          <w:rFonts w:hint="eastAsia"/>
          <w:rtl/>
        </w:rPr>
        <w:t> </w:t>
      </w:r>
      <w:r>
        <w:rPr>
          <w:rFonts w:hint="cs"/>
          <w:rtl/>
        </w:rPr>
        <w:t>الضعيفة.</w:t>
      </w:r>
    </w:p>
    <w:p w:rsidR="00631BFA" w:rsidRDefault="00631BFA" w:rsidP="00631BFA">
      <w:pPr>
        <w:pStyle w:val="SingleTxtGA"/>
        <w:rPr>
          <w:rFonts w:hint="cs"/>
          <w:rtl/>
        </w:rPr>
      </w:pPr>
      <w:r>
        <w:rPr>
          <w:rFonts w:hint="cs"/>
          <w:rtl/>
        </w:rPr>
        <w:t>36-</w:t>
      </w:r>
      <w:r>
        <w:rPr>
          <w:rFonts w:hint="cs"/>
          <w:rtl/>
        </w:rPr>
        <w:tab/>
        <w:t xml:space="preserve">وتؤكد اللجنة، علاوة على ذلك، أهمية وجود إجراءات مناسبة لتناول احتياجات الأطفال، مع مراعاة مصالح الطفل الفضلى وحق الطفل في التعبير عن رأيه بحرية في جميع المسائل التي تخصه، بما في ذلك الإجراءات القضائية والإدارية، وأهمية </w:t>
      </w:r>
      <w:r w:rsidRPr="006348A4">
        <w:rPr>
          <w:rtl/>
        </w:rPr>
        <w:t>إيلاء آراء الطفل الاعتبار الواجب</w:t>
      </w:r>
      <w:r>
        <w:rPr>
          <w:rFonts w:hint="cs"/>
          <w:rtl/>
        </w:rPr>
        <w:t xml:space="preserve"> وفقاً لسن الطفل ودرجة نضجه. وينبغي أن تكفل الدول الأطراف توافر تدابير تعويض مراعية للطفل تعزز صحة الطفل وكرامته.</w:t>
      </w:r>
    </w:p>
    <w:p w:rsidR="00631BFA" w:rsidRPr="009E72CF" w:rsidRDefault="00631BFA" w:rsidP="00631BFA">
      <w:pPr>
        <w:pStyle w:val="H23GA"/>
        <w:rPr>
          <w:rFonts w:hint="cs"/>
          <w:rtl/>
        </w:rPr>
      </w:pPr>
      <w:r>
        <w:rPr>
          <w:rtl/>
        </w:rPr>
        <w:tab/>
      </w:r>
      <w:r>
        <w:rPr>
          <w:rFonts w:hint="cs"/>
          <w:rtl/>
        </w:rPr>
        <w:tab/>
      </w:r>
      <w:r w:rsidRPr="009E72CF">
        <w:rPr>
          <w:rFonts w:hint="cs"/>
          <w:rtl/>
        </w:rPr>
        <w:t>العقبات التي تعترض الحق في ال</w:t>
      </w:r>
      <w:r>
        <w:rPr>
          <w:rFonts w:hint="cs"/>
          <w:rtl/>
        </w:rPr>
        <w:t>إنصاف</w:t>
      </w:r>
    </w:p>
    <w:p w:rsidR="00631BFA" w:rsidRDefault="00631BFA" w:rsidP="00631BFA">
      <w:pPr>
        <w:pStyle w:val="SingleTxtGA"/>
        <w:rPr>
          <w:rFonts w:hint="cs"/>
          <w:rtl/>
        </w:rPr>
      </w:pPr>
      <w:r>
        <w:rPr>
          <w:rFonts w:hint="cs"/>
          <w:rtl/>
        </w:rPr>
        <w:t>37-</w:t>
      </w:r>
      <w:r>
        <w:rPr>
          <w:rFonts w:hint="cs"/>
          <w:rtl/>
        </w:rPr>
        <w:tab/>
        <w:t>من المكونات البالغة الأهمية للحق في الإنصاف الاعتراف الواضح من الدولة الطرف المعنية بأن تدابير التعويض الموفرة للضحية أو الممنوحة له تقدم عن وقوع انتهاكات للاتفاقية سواء بالفعل أو بالامتناع عن الفعل. ومن ثم ترى اللجنة أنه لا يجوز لدولة طرف أن تنفذ تدابير إنمائية أو تقدم مساعدة إنمائية كبديل عن إنصاف ضحايا التعذيب أو سوء المعاملة. وعدم قيام الدولة الطرف بتوفير الإنصاف لأحد ضحايا التعذيب من الأفراد لا يجوز تبريره بالتذرع بمستوى التنمية في الدولة. وتشير اللجنة إلى أن الحكومات المتعاقبة وكذلك الدول الخلف تظل ملزمة بضمان الوصول إلى الحق في الإنصاف.</w:t>
      </w:r>
    </w:p>
    <w:p w:rsidR="00631BFA" w:rsidRDefault="00631BFA" w:rsidP="00631BFA">
      <w:pPr>
        <w:pStyle w:val="SingleTxtGA"/>
        <w:tabs>
          <w:tab w:val="left" w:pos="5678"/>
        </w:tabs>
        <w:rPr>
          <w:rFonts w:hint="cs"/>
          <w:rtl/>
        </w:rPr>
      </w:pPr>
      <w:r>
        <w:rPr>
          <w:rFonts w:hint="cs"/>
          <w:rtl/>
        </w:rPr>
        <w:t>38-</w:t>
      </w:r>
      <w:r>
        <w:rPr>
          <w:rFonts w:hint="cs"/>
          <w:rtl/>
        </w:rPr>
        <w:tab/>
        <w:t>وتتحمل الدول الأطراف في الاتفاقية التزاماً بضمان فعالية الحق في الإنصاف. وتتضمن العقبات المحددة التي تعترض التمتع بالحق في الإنصاف والتي تحول فعلياً دون تنفيذ المادة 14، وإن لم تكن مقصورة على ذلك، ما يلي: عدم ملاءمة التشريعات الوطنية، والتمييز فيما يتصل بالوصول إلى آليات وإجراءات تقديم الشكاوى والتحقيق من أجل الانتصاف والإنصاف؛ وعدم ملاءمة التدابير التي تؤمن احتجاز الجناة المزعومين، وقوانين أسرار الدولة، وأعباء الإثبات والمتطلبات الإجرائية التي تتدخل في إثبات الحق في الإنصاف؛ وقوانين التقادم والعفو والحصانات؛ وعدم تقديم المساعدة القانونية الكافية وتدابير حماية الضحايا والشهود؛ فضلاً عما يقترن بذلك من وصم، وما للتعذيب وسوء المعاملة من آثار بدنية ونفسية وآثار أخرى تتصل به. وبالإضافة إلى ذلك، فعدم تنفيذ الدولة الطرف للأحكام التي توفر تدابير جبر ضحايا التعذيب التي تصدرها المحاكم الوطنية أو الدولية أو الإقليمية، يشكل عقبة هائلة تعترض الحق في الإنصاف. وينبغي للدول الأطراف أن تنشئ آليات منسقة لتمكين الضحايا من تنفيذ الأحكام عبر حدود الدول، بما في ذلك الاعتراف بصحة قرارات محاكم الدول الأطراف الأخرى، والمساعدة في تحديد أماكن أصول الجناة.</w:t>
      </w:r>
    </w:p>
    <w:p w:rsidR="00631BFA" w:rsidRDefault="00631BFA" w:rsidP="00631BFA">
      <w:pPr>
        <w:pStyle w:val="SingleTxtGA"/>
        <w:rPr>
          <w:rFonts w:hint="cs"/>
          <w:rtl/>
        </w:rPr>
      </w:pPr>
      <w:r>
        <w:rPr>
          <w:rFonts w:hint="cs"/>
          <w:rtl/>
        </w:rPr>
        <w:t>39-</w:t>
      </w:r>
      <w:r>
        <w:rPr>
          <w:rFonts w:hint="cs"/>
          <w:rtl/>
        </w:rPr>
        <w:tab/>
        <w:t xml:space="preserve">وفيما يتعلق بالالتزامات الواردة في المادة 14، على الدول الأطراف أن تكفل بحكم القانون والأمر الواقع على حد سواء وصول أعضاء المجموعات المهمشة و/أو الضعيفة إلى آليات الإنصاف العاجلة والفعالة، وتجنب التدابير التي تقوض قدرة أعضاء هذه المجموعات على التماس الإنصاف والحصول عليه، والتصدي للعقبات الرسمية وغير الرسمية التي قد تواجهها في الحصول على الإنصاف. وتتضمن هذه العقبات مثلاً عدم ملاءمة الإجراءات القضائية أو الإجراءات الأخرى لتحديد كم الأضرار التي يمكن أن تسفر عن تأثير مختلف سلبي على هؤلاء الأفراد في الوصول إلى المال أو الاحتفاظ به. وكما أكدت اللجنة في تعليقها العام رقم 2، "المرأة عامل رئيسي. </w:t>
      </w:r>
      <w:r w:rsidRPr="00CF30E6">
        <w:rPr>
          <w:rtl/>
        </w:rPr>
        <w:t>ويتقاطع طابعها الأنثوي مع الخصائص الأخرى التي تميز المرأة أو مع وضعها</w:t>
      </w:r>
      <w:r>
        <w:rPr>
          <w:rFonts w:hint="cs"/>
          <w:rtl/>
        </w:rPr>
        <w:t xml:space="preserve"> ...</w:t>
      </w:r>
      <w:r w:rsidRPr="00CF30E6">
        <w:rPr>
          <w:rtl/>
        </w:rPr>
        <w:t xml:space="preserve"> من أجل تحديد الطرائق التي تخضع بها النساء والفتيات لأعمال التعذيب أو إساءة المعاملة التي تكون بها عرضة لهذا الخطر</w:t>
      </w:r>
      <w:r>
        <w:rPr>
          <w:rFonts w:hint="cs"/>
          <w:rtl/>
        </w:rPr>
        <w:t>"</w:t>
      </w:r>
      <w:r w:rsidRPr="00CF30E6">
        <w:rPr>
          <w:rtl/>
        </w:rPr>
        <w:t>.</w:t>
      </w:r>
      <w:r>
        <w:rPr>
          <w:rFonts w:hint="cs"/>
          <w:rtl/>
        </w:rPr>
        <w:t xml:space="preserve"> وعلى الدول الأطراف أن تضمن إيلاء العناية الواجبة للمرأة في إتاحة جميع العناصر المذكورة أعلاه في عملية كفالة وجوب معاملة الجميع، ولا سيما أفراد المجموعات المستضعفة، بمن فيها المثليات والمثليون ومزدوجو الميل الجنسي ومغايرو الجنس، بطريقة عادلة ومتساوية، وحصولهم على تعويض عادل وكاف، وإعادة تأهيلهم، واتخاذ تدابير الجبر الأخرى التي تلبي احتياجاتهم الخاصة.</w:t>
      </w:r>
    </w:p>
    <w:p w:rsidR="00631BFA" w:rsidRPr="00327856" w:rsidRDefault="00631BFA" w:rsidP="00631BFA">
      <w:pPr>
        <w:pStyle w:val="SingleTxtGA"/>
        <w:rPr>
          <w:rFonts w:hint="cs"/>
          <w:spacing w:val="-2"/>
          <w:rtl/>
        </w:rPr>
      </w:pPr>
      <w:r w:rsidRPr="00327856">
        <w:rPr>
          <w:rFonts w:hint="cs"/>
          <w:spacing w:val="-2"/>
          <w:rtl/>
        </w:rPr>
        <w:t>40-</w:t>
      </w:r>
      <w:r w:rsidRPr="00327856">
        <w:rPr>
          <w:rFonts w:hint="cs"/>
          <w:spacing w:val="-2"/>
          <w:rtl/>
        </w:rPr>
        <w:tab/>
        <w:t>وفيما يتصل بالطابع المستمر لآثار التعذيب، لا ينبغي تطبيق قوانين التقادم حيث إنها تحرم الضحايا مما يستحقونه من إنصاف وتعويض وإعادة تأهيل. فمرور الزمن، بالنسبة للعديد من الضحايا، لا يخفف الضرر، بل إن الضرر قد يتزايد في بعض الحالات نتيجة للإجهاد اللاحق للصدمة الذي يتطلب دعماً طبياً ونفسياً واجتماعياً، وكثيراً ما لا يكون هذا متوافراً لمن لا يتلقون الإنصاف. وعلى الدول الأطراف أن تكفل لجميع ضحايا التعذيب أو سوء المعاملة، بصرف النظر عن وقت وقوع الانتهاك أو عما إذا كان قد حدث بواسطة نظام سابق أو برضاه أم لا، تمكّنهم من الحصول على حقوقهم في سبل الانتصاف والحصول على الإنصاف.</w:t>
      </w:r>
    </w:p>
    <w:p w:rsidR="00631BFA" w:rsidRDefault="00631BFA" w:rsidP="00631BFA">
      <w:pPr>
        <w:pStyle w:val="SingleTxtGA"/>
        <w:rPr>
          <w:rFonts w:hint="cs"/>
          <w:rtl/>
        </w:rPr>
      </w:pPr>
      <w:r>
        <w:rPr>
          <w:rFonts w:hint="cs"/>
          <w:rtl/>
        </w:rPr>
        <w:t>41-</w:t>
      </w:r>
      <w:r>
        <w:rPr>
          <w:rFonts w:hint="cs"/>
          <w:rtl/>
        </w:rPr>
        <w:tab/>
        <w:t>ولقد ظلت اللجنة تؤكد باستمرار أن قرارات العفو عن جريمة التعذيب لا تتوافق مع التزامات الدول الأطراف بموجب الاتفاقية، بما فيها المادة 14. وكما هو مذكور في التعليق العام رقم 2، "</w:t>
      </w:r>
      <w:r w:rsidRPr="008F402E">
        <w:rPr>
          <w:rtl/>
        </w:rPr>
        <w:t>قرارات العفو أو العقبات الأخرى التي تحول دون محاكمة مرتكبي أفعال التعذيب أو إساءة المعاملة محاكمة سريعة ومنصفة ومعاقبتهم على هذه الأفعال أو التي تدل على عدم الاستعداد للقيام بذلك، تشكل انتهاكاً لمبدأ عدم جواز التقييد</w:t>
      </w:r>
      <w:r>
        <w:rPr>
          <w:rFonts w:hint="cs"/>
          <w:rtl/>
        </w:rPr>
        <w:t>". وترى اللجنة أن قرارات العفو عن التعذيب وسوء المعاملة تشكل عقبات غير مقبولة أمام الضحايا فيما يبذلونه من جهود للحصول على الإنصاف، وأنها تسهم في مناخ الإفلات من العقاب. ومن ثم، تدعو اللجنة الدول الأطراف إلى إلغاء أي قرار بالعفو عن التعذيب أو سوء المعاملة.</w:t>
      </w:r>
    </w:p>
    <w:p w:rsidR="00631BFA" w:rsidRDefault="00631BFA" w:rsidP="00631BFA">
      <w:pPr>
        <w:pStyle w:val="SingleTxtGA"/>
        <w:rPr>
          <w:rFonts w:hint="cs"/>
          <w:rtl/>
        </w:rPr>
      </w:pPr>
      <w:r>
        <w:rPr>
          <w:rFonts w:hint="cs"/>
          <w:rtl/>
        </w:rPr>
        <w:t>42-</w:t>
      </w:r>
      <w:r>
        <w:rPr>
          <w:rFonts w:hint="cs"/>
          <w:rtl/>
        </w:rPr>
        <w:tab/>
        <w:t>وبالمثل، فمنح الحصانة، في انتهاك للقانون الدولي، لأي دولة أو موظفيها أو الجهات الفاعلة غير الحكومية عن التعذيب أو سوء المعاملة يتعارض تعارضاً مباشراً مع الالتزام بتوفير الإنصاف للضحايا. وعندما تسمح القوانين بالإفلات من العقاب أو عندما يكون أمراً واقعاً، فهو يمنع الضحايا من التماس الإنصاف الكامل حيث إنه يتيح عدم معاقبة منتهكي الحقوق ويحرم الضحايا من الضمان الكامل لحقوقهم بموجب المادة 14. وتؤكد اللجنة أنه لا يجوز بحال الاحتجاج بالأمن القومي لحرمان الضحايا من الإنصاف.</w:t>
      </w:r>
    </w:p>
    <w:p w:rsidR="00631BFA" w:rsidRDefault="00631BFA" w:rsidP="00631BFA">
      <w:pPr>
        <w:pStyle w:val="SingleTxtGA"/>
        <w:rPr>
          <w:rFonts w:hint="cs"/>
          <w:rtl/>
        </w:rPr>
      </w:pPr>
      <w:r>
        <w:rPr>
          <w:rFonts w:hint="cs"/>
          <w:rtl/>
        </w:rPr>
        <w:t>43-</w:t>
      </w:r>
      <w:r>
        <w:rPr>
          <w:rFonts w:hint="cs"/>
          <w:rtl/>
        </w:rPr>
        <w:tab/>
        <w:t>وترى اللجنة أن التحفظات التي تسعى إلى الحد من تطبيق المادة 14 تتنافى مع هدف الاتفاقية وغايتها. ومن ثم، تشجَّع الدول الأطراف على النظر في سحب أي تحفظات على المادة 14 تحد من تطبيقها من أجل ضمان حصول جميع ضحايا التعذيب وسوء المعاملة على الإنصاف والانتصاف.</w:t>
      </w:r>
    </w:p>
    <w:p w:rsidR="00631BFA" w:rsidRPr="000E4FC7" w:rsidRDefault="00631BFA" w:rsidP="00327856">
      <w:pPr>
        <w:pStyle w:val="H23GA"/>
        <w:rPr>
          <w:rFonts w:hint="cs"/>
          <w:rtl/>
        </w:rPr>
      </w:pPr>
      <w:r>
        <w:rPr>
          <w:rtl/>
        </w:rPr>
        <w:tab/>
      </w:r>
      <w:r>
        <w:rPr>
          <w:rFonts w:hint="cs"/>
          <w:rtl/>
        </w:rPr>
        <w:tab/>
      </w:r>
      <w:r w:rsidRPr="000E4FC7">
        <w:rPr>
          <w:rFonts w:hint="cs"/>
          <w:rtl/>
        </w:rPr>
        <w:t>صندوق الأمم المتحدة للتبرعات لضحايا التعذيب</w:t>
      </w:r>
    </w:p>
    <w:p w:rsidR="00631BFA" w:rsidRDefault="00631BFA" w:rsidP="00631BFA">
      <w:pPr>
        <w:pStyle w:val="SingleTxtGA"/>
        <w:rPr>
          <w:rFonts w:hint="cs"/>
          <w:rtl/>
        </w:rPr>
      </w:pPr>
      <w:r>
        <w:rPr>
          <w:rFonts w:hint="cs"/>
          <w:rtl/>
        </w:rPr>
        <w:t>44-</w:t>
      </w:r>
      <w:r>
        <w:rPr>
          <w:rFonts w:hint="cs"/>
          <w:rtl/>
        </w:rPr>
        <w:tab/>
        <w:t>تؤدي التبرعات المقدمة إلى الصناديق الدولية لضحايا التعذيب دوراً مهماً في تقديم المساعدة إليهم. وتؤكد اللجنة أهمية العمل الذي يضطلع به صندوق الأمم المتحدة للتبرعات لضحايا التعذيب الذي يقدم المساعدة الإنسانية إلى ضحايا التعذيب. كما تؤكد اللجنة إمكانية قيام الدول الأطراف بتقديم تبرعات إلى هذا الصندوق بغض النظر عن التدابير الوطنية المتخذة أو التبرعات المقدمة.</w:t>
      </w:r>
    </w:p>
    <w:p w:rsidR="00631BFA" w:rsidRPr="000E4FC7" w:rsidRDefault="00631BFA" w:rsidP="00631BFA">
      <w:pPr>
        <w:pStyle w:val="H23GA"/>
        <w:rPr>
          <w:rFonts w:hint="cs"/>
          <w:rtl/>
        </w:rPr>
      </w:pPr>
      <w:r>
        <w:rPr>
          <w:rtl/>
        </w:rPr>
        <w:tab/>
      </w:r>
      <w:r>
        <w:rPr>
          <w:rFonts w:hint="cs"/>
          <w:rtl/>
        </w:rPr>
        <w:tab/>
      </w:r>
      <w:r w:rsidRPr="000E4FC7">
        <w:rPr>
          <w:rFonts w:hint="cs"/>
          <w:rtl/>
        </w:rPr>
        <w:t>الرصد والإبلاغ</w:t>
      </w:r>
    </w:p>
    <w:p w:rsidR="00631BFA" w:rsidRDefault="00631BFA" w:rsidP="00631BFA">
      <w:pPr>
        <w:pStyle w:val="SingleTxtGA"/>
        <w:rPr>
          <w:rFonts w:hint="cs"/>
          <w:rtl/>
        </w:rPr>
      </w:pPr>
      <w:r>
        <w:rPr>
          <w:rFonts w:hint="cs"/>
          <w:rtl/>
        </w:rPr>
        <w:t>45-</w:t>
      </w:r>
      <w:r>
        <w:rPr>
          <w:rFonts w:hint="cs"/>
          <w:rtl/>
        </w:rPr>
        <w:tab/>
        <w:t>على الدول الأطراف أن تنشئ نظاماً للإشراف والرصد والتقييم والإبلاغ عما توفره من تدابير الإنصاف وخدمات إعادة التأهيل الضرورية لضحايا التعذيب أو سوء المعاملة. وبالتالي، ينبغي أن تضمِّن الدول الأطراف تقاريرها المقدمة إلى اللجنة بيانات مصنفة حسب السن ونوع الجنس والجنسية وغير ذلك من العوامل الرئيسية المتصلة بتدابير الإنصاف المتاحة لضحايا التعذيب أو سوء المعاملة، للوفاء بالتزامها المشار إليه في التعليق العام رقم 2 بتقديم تقييم مستمر لما تبذله من جهود لتوفير الإنصاف للضحايا.</w:t>
      </w:r>
    </w:p>
    <w:p w:rsidR="00631BFA" w:rsidRDefault="00631BFA" w:rsidP="00631BFA">
      <w:pPr>
        <w:pStyle w:val="SingleTxtGA"/>
        <w:rPr>
          <w:rFonts w:hint="cs"/>
          <w:rtl/>
        </w:rPr>
      </w:pPr>
      <w:r>
        <w:rPr>
          <w:rFonts w:hint="cs"/>
          <w:rtl/>
        </w:rPr>
        <w:t>46-</w:t>
      </w:r>
      <w:r>
        <w:rPr>
          <w:rFonts w:hint="cs"/>
          <w:rtl/>
        </w:rPr>
        <w:tab/>
        <w:t>وفيما يتصل بتنفيذ المادة 14، تلاحظ اللجنة الحاجة إلى تقديم معلومات كافية عن تنفيذ المادة 14 في تقارير الدول الأطراف. ومن ثم، تود اللجنة أن تؤكد أنه ينبغي تقديم معلومات محددة عما يلي:</w:t>
      </w:r>
    </w:p>
    <w:p w:rsidR="00631BFA" w:rsidRDefault="00631BFA" w:rsidP="00631BFA">
      <w:pPr>
        <w:pStyle w:val="SingleTxtGA"/>
        <w:rPr>
          <w:rFonts w:hint="cs"/>
          <w:rtl/>
        </w:rPr>
      </w:pPr>
      <w:r>
        <w:rPr>
          <w:rFonts w:hint="cs"/>
          <w:rtl/>
        </w:rPr>
        <w:tab/>
        <w:t>(أ)</w:t>
      </w:r>
      <w:r>
        <w:rPr>
          <w:rFonts w:hint="cs"/>
          <w:rtl/>
        </w:rPr>
        <w:tab/>
        <w:t>عدد ضحايا التعذيب أو سوء المعاملة الذين التمسوا تعويضاً بالوسائل القانونية والإدارية وغيرها، وطبيعة الانتهاكات المزعومة؛ وعدد الضحايا الذين مُنحوا تعويضاً؛ وقيمة مبالغ التعويض؛</w:t>
      </w:r>
    </w:p>
    <w:p w:rsidR="00631BFA" w:rsidRDefault="00631BFA" w:rsidP="00631BFA">
      <w:pPr>
        <w:pStyle w:val="SingleTxtGA"/>
        <w:rPr>
          <w:rFonts w:hint="cs"/>
          <w:rtl/>
        </w:rPr>
      </w:pPr>
      <w:r>
        <w:rPr>
          <w:rFonts w:hint="cs"/>
          <w:rtl/>
        </w:rPr>
        <w:tab/>
        <w:t>(ب)</w:t>
      </w:r>
      <w:r>
        <w:rPr>
          <w:rFonts w:hint="cs"/>
          <w:rtl/>
        </w:rPr>
        <w:tab/>
        <w:t>التدابير المتخذة لمساعدة الضحايا بعد وقوع التعذيب مباشرة؛</w:t>
      </w:r>
    </w:p>
    <w:p w:rsidR="00631BFA" w:rsidRDefault="00631BFA" w:rsidP="00631BFA">
      <w:pPr>
        <w:pStyle w:val="SingleTxtGA"/>
        <w:rPr>
          <w:rFonts w:hint="cs"/>
          <w:rtl/>
        </w:rPr>
      </w:pPr>
      <w:r>
        <w:rPr>
          <w:rFonts w:hint="cs"/>
          <w:rtl/>
        </w:rPr>
        <w:tab/>
        <w:t>(ج)</w:t>
      </w:r>
      <w:r>
        <w:rPr>
          <w:rFonts w:hint="cs"/>
          <w:rtl/>
        </w:rPr>
        <w:tab/>
        <w:t>مرافق إعادة التأهيل المتاحة لضحايا التعذيب أو سوء المعاملة وإمكانية الوصول إليها، فضلاً عن مخصصات الميزانية لبرامج إعادة التأهيل وعدد الضحايا الذين حصلوا على خدمات إعادة التأهيل المناسبة لاحتياجاتهم؛</w:t>
      </w:r>
    </w:p>
    <w:p w:rsidR="00631BFA" w:rsidRDefault="00631BFA" w:rsidP="00631BFA">
      <w:pPr>
        <w:pStyle w:val="SingleTxtGA"/>
        <w:rPr>
          <w:rFonts w:hint="cs"/>
          <w:rtl/>
        </w:rPr>
      </w:pPr>
      <w:r>
        <w:rPr>
          <w:rFonts w:hint="cs"/>
          <w:rtl/>
        </w:rPr>
        <w:tab/>
        <w:t>(د)</w:t>
      </w:r>
      <w:r>
        <w:rPr>
          <w:rFonts w:hint="cs"/>
          <w:rtl/>
        </w:rPr>
        <w:tab/>
        <w:t>الأساليب المتاحة لتقييم فعالية برامج وخدمات إعادة التأهيل، بما في ذلك تطبيق المؤشرات والمعايير المناسبة، ونتائج هذا التقييم؛</w:t>
      </w:r>
    </w:p>
    <w:p w:rsidR="00631BFA" w:rsidRDefault="00631BFA" w:rsidP="00631BFA">
      <w:pPr>
        <w:pStyle w:val="SingleTxtGA"/>
        <w:rPr>
          <w:rFonts w:hint="cs"/>
          <w:rtl/>
        </w:rPr>
      </w:pPr>
      <w:r>
        <w:rPr>
          <w:rFonts w:hint="cs"/>
          <w:rtl/>
        </w:rPr>
        <w:tab/>
        <w:t>(ﻫ)</w:t>
      </w:r>
      <w:r>
        <w:rPr>
          <w:rFonts w:hint="cs"/>
          <w:rtl/>
        </w:rPr>
        <w:tab/>
        <w:t>التدابير المتخذة لضمان الترضية والضمانات بعدم التكرار؛</w:t>
      </w:r>
    </w:p>
    <w:p w:rsidR="00631BFA" w:rsidRDefault="00631BFA" w:rsidP="00631BFA">
      <w:pPr>
        <w:pStyle w:val="SingleTxtGA"/>
        <w:rPr>
          <w:rFonts w:hint="cs"/>
          <w:rtl/>
        </w:rPr>
      </w:pPr>
      <w:r>
        <w:rPr>
          <w:rFonts w:hint="cs"/>
          <w:rtl/>
        </w:rPr>
        <w:tab/>
        <w:t>(و)</w:t>
      </w:r>
      <w:r>
        <w:rPr>
          <w:rFonts w:hint="cs"/>
          <w:rtl/>
        </w:rPr>
        <w:tab/>
        <w:t>التشريعات الداخلية التي توفر لضحايا التعذيب أو سوء المعاملة الحق في سبل الانتصاف والإنصاف، وتدابير التنفيذ ذات الصلة التي اتخذتها الدولة الطرف. وفي حالة عدم وجود هذه التشريعات، ينبغي أن تتضمن التقارير معلومات عن التدابير التي اتخذتها الدولة الطرف لاعتماد هذه التشريعات وتنفيذها؛</w:t>
      </w:r>
    </w:p>
    <w:p w:rsidR="00631BFA" w:rsidRDefault="00631BFA" w:rsidP="00631BFA">
      <w:pPr>
        <w:pStyle w:val="SingleTxtGA"/>
        <w:rPr>
          <w:rFonts w:hint="cs"/>
          <w:rtl/>
        </w:rPr>
      </w:pPr>
      <w:r>
        <w:rPr>
          <w:rFonts w:hint="cs"/>
          <w:rtl/>
        </w:rPr>
        <w:tab/>
        <w:t>(ز)</w:t>
      </w:r>
      <w:r>
        <w:rPr>
          <w:rFonts w:hint="cs"/>
          <w:rtl/>
        </w:rPr>
        <w:tab/>
        <w:t>التدابير المتخذة لضمان تمكين جميع ضحايا التعذيب أو سوء المعاملة من ممارسة حقوقهم بموجب المادة 14 والتمتع بها؛</w:t>
      </w:r>
    </w:p>
    <w:p w:rsidR="00631BFA" w:rsidRDefault="00631BFA" w:rsidP="00631BFA">
      <w:pPr>
        <w:pStyle w:val="SingleTxtGA"/>
        <w:rPr>
          <w:rFonts w:hint="cs"/>
          <w:rtl/>
        </w:rPr>
      </w:pPr>
      <w:r>
        <w:rPr>
          <w:rFonts w:hint="cs"/>
          <w:rtl/>
        </w:rPr>
        <w:tab/>
        <w:t>(ح)</w:t>
      </w:r>
      <w:r>
        <w:rPr>
          <w:rFonts w:hint="cs"/>
          <w:rtl/>
        </w:rPr>
        <w:tab/>
        <w:t>آليات تقديم الشكاوى المتاحة لضحايا التعذيب أو سوء المعاملة، بما في ذلك كيفية إعلام جميع الضحايا بهذه الآليات وإتاحة وصولهم إليها. وينبغي أيضاً للدول الأطراف أن تضمِّن تقاريرها بيانات مصنفة حسب السن ونوع الجنس والجنسية والمكان والانتهاك المزعوم عن عدد الشكاوى الواردة عبر هذه الآليات؛</w:t>
      </w:r>
    </w:p>
    <w:p w:rsidR="00631BFA" w:rsidRDefault="00631BFA" w:rsidP="00631BFA">
      <w:pPr>
        <w:pStyle w:val="SingleTxtGA"/>
        <w:rPr>
          <w:rFonts w:hint="cs"/>
          <w:rtl/>
        </w:rPr>
      </w:pPr>
      <w:r>
        <w:rPr>
          <w:rFonts w:hint="cs"/>
          <w:rtl/>
        </w:rPr>
        <w:tab/>
        <w:t>(ط)</w:t>
      </w:r>
      <w:r>
        <w:rPr>
          <w:rFonts w:hint="cs"/>
          <w:rtl/>
        </w:rPr>
        <w:tab/>
        <w:t>التدابير التي اتخذتها الدول الأطراف لضمان التحقيق بفعالية في جميع الادعاءات بوقوع تعذيب وسوء معاملة؛</w:t>
      </w:r>
    </w:p>
    <w:p w:rsidR="00631BFA" w:rsidRDefault="00631BFA" w:rsidP="00631BFA">
      <w:pPr>
        <w:pStyle w:val="SingleTxtGA"/>
        <w:rPr>
          <w:rFonts w:hint="cs"/>
          <w:rtl/>
        </w:rPr>
      </w:pPr>
      <w:r>
        <w:rPr>
          <w:rFonts w:hint="cs"/>
          <w:rtl/>
        </w:rPr>
        <w:tab/>
        <w:t>(ي)</w:t>
      </w:r>
      <w:r>
        <w:rPr>
          <w:rFonts w:hint="cs"/>
          <w:rtl/>
        </w:rPr>
        <w:tab/>
        <w:t>التشريعات والتدابير السياساتية المصممة لتحديد ضحايا التعذيب بطريقة إيجابية من أجل توفير الإنصاف لهم؛</w:t>
      </w:r>
    </w:p>
    <w:p w:rsidR="00631BFA" w:rsidRDefault="00631BFA" w:rsidP="00631BFA">
      <w:pPr>
        <w:pStyle w:val="SingleTxtGA"/>
        <w:rPr>
          <w:rFonts w:hint="cs"/>
          <w:rtl/>
        </w:rPr>
      </w:pPr>
      <w:r>
        <w:rPr>
          <w:rFonts w:hint="cs"/>
          <w:rtl/>
        </w:rPr>
        <w:tab/>
        <w:t>(ك)</w:t>
      </w:r>
      <w:r>
        <w:rPr>
          <w:rFonts w:hint="cs"/>
          <w:rtl/>
        </w:rPr>
        <w:tab/>
        <w:t>الطرق المتاحة أمام ضحية التعذيب أو سوء المعاملة للحصول على إنصاف، بما في ذلك جميع الإجراءات الجنائية والمدنية والإدارية وغير القضائية، كبرامج الجبر الإدارية، فضلاً عن معلومات عن عدد الضحايا الذين وصلوا إلى هذه الآليات، وعدد من حصلوا على الإنصاف واستفادوا من تدابير الجبر، وفي أي شكل و/أو بأي مبلغ؛</w:t>
      </w:r>
    </w:p>
    <w:p w:rsidR="00631BFA" w:rsidRDefault="00631BFA" w:rsidP="00631BFA">
      <w:pPr>
        <w:pStyle w:val="SingleTxtGA"/>
        <w:rPr>
          <w:rFonts w:hint="cs"/>
          <w:rtl/>
        </w:rPr>
      </w:pPr>
      <w:r>
        <w:rPr>
          <w:rFonts w:hint="cs"/>
          <w:rtl/>
        </w:rPr>
        <w:tab/>
        <w:t>(ل)</w:t>
      </w:r>
      <w:r>
        <w:rPr>
          <w:rFonts w:hint="cs"/>
          <w:rtl/>
        </w:rPr>
        <w:tab/>
        <w:t>المساعدة القضائية وحماية الشهود المتاحتان لضحايا التعذيب أو سوء المعاملة، فضلاً عن الشهود وغيرهم ممن تدخلوا باسم الضحايا، بما في ذلك كيفية الإعلام بهذه الحماية وكيفية إتاحتها في الواقع العملي؛ وعدد الضحايا الذين مُنحوا المساعدة القضائية؛ وعدد الأشخاص الذين تمتعوا بحماية الدولة للشهود؛ وتقييم الدولة الطرف لفعالية هذه الحماية؛</w:t>
      </w:r>
    </w:p>
    <w:p w:rsidR="00631BFA" w:rsidRDefault="00631BFA" w:rsidP="00B81503">
      <w:pPr>
        <w:pStyle w:val="SingleTxtGA"/>
        <w:rPr>
          <w:rFonts w:hint="cs"/>
          <w:rtl/>
        </w:rPr>
      </w:pPr>
      <w:r>
        <w:rPr>
          <w:rFonts w:hint="cs"/>
          <w:rtl/>
        </w:rPr>
        <w:tab/>
        <w:t>(م)</w:t>
      </w:r>
      <w:r>
        <w:rPr>
          <w:rFonts w:hint="cs"/>
          <w:rtl/>
        </w:rPr>
        <w:tab/>
        <w:t>الخطوات المتخذة لتنفيذ الأحكام الصادرة عن المحاكم الوطنية أو الإقليمية أو الدولية، بما في ذلك الزمن المنقضي منذ تاريخ صدور الحكم إلى التقديم الفعلي للتعويض أو</w:t>
      </w:r>
      <w:r w:rsidR="00B81503">
        <w:rPr>
          <w:rFonts w:hint="eastAsia"/>
          <w:rtl/>
        </w:rPr>
        <w:t> </w:t>
      </w:r>
      <w:r>
        <w:rPr>
          <w:rFonts w:hint="cs"/>
          <w:rtl/>
        </w:rPr>
        <w:t>غيره من أشكال الإنصاف. وينبغي أيضاً للدول الأطراف أن تضمِّن تقاريرها بيانات مصنفة عن عدد الضحايا المستفيدين من تدابير الجبر بموجب أحكام قضائية، وعدد من حصل منهم بالفعل على إنصاف، وعن الانتهاكات المعنية؛</w:t>
      </w:r>
    </w:p>
    <w:p w:rsidR="00631BFA" w:rsidRDefault="00631BFA" w:rsidP="00631BFA">
      <w:pPr>
        <w:pStyle w:val="SingleTxtGA"/>
        <w:rPr>
          <w:rFonts w:hint="cs"/>
          <w:rtl/>
        </w:rPr>
      </w:pPr>
      <w:r>
        <w:rPr>
          <w:rFonts w:hint="cs"/>
          <w:rtl/>
        </w:rPr>
        <w:tab/>
        <w:t>(ن)</w:t>
      </w:r>
      <w:r>
        <w:rPr>
          <w:rFonts w:hint="cs"/>
          <w:rtl/>
        </w:rPr>
        <w:tab/>
        <w:t>الضمانات المتاحة للحماية الخاصة الموفرة لأفراد المجموعات المهمشة والضعيفة، بما في ذلك النساء والأطفال الذين التمسوا ممارسة الحقوق التي تكفلها لهم المادة</w:t>
      </w:r>
      <w:r>
        <w:rPr>
          <w:rFonts w:hint="eastAsia"/>
          <w:rtl/>
        </w:rPr>
        <w:t> </w:t>
      </w:r>
      <w:r>
        <w:rPr>
          <w:rFonts w:hint="cs"/>
          <w:rtl/>
        </w:rPr>
        <w:t>14 من الاتفاقية؛</w:t>
      </w:r>
    </w:p>
    <w:p w:rsidR="00631BFA" w:rsidRDefault="00631BFA" w:rsidP="00631BFA">
      <w:pPr>
        <w:pStyle w:val="SingleTxtGA"/>
        <w:rPr>
          <w:rFonts w:hint="cs"/>
          <w:rtl/>
        </w:rPr>
      </w:pPr>
      <w:r>
        <w:rPr>
          <w:rFonts w:hint="cs"/>
          <w:rtl/>
        </w:rPr>
        <w:tab/>
        <w:t>(س)</w:t>
      </w:r>
      <w:r>
        <w:rPr>
          <w:rFonts w:hint="cs"/>
          <w:rtl/>
        </w:rPr>
        <w:tab/>
        <w:t>أي مسائل أخرى قد تطلبها اللجنة.</w:t>
      </w:r>
    </w:p>
    <w:p w:rsidR="00631BFA" w:rsidRDefault="00631BFA" w:rsidP="00327856">
      <w:pPr>
        <w:pStyle w:val="HChGA"/>
        <w:spacing w:before="120"/>
        <w:rPr>
          <w:rFonts w:hint="cs"/>
          <w:kern w:val="16"/>
          <w:rtl/>
        </w:rPr>
      </w:pPr>
      <w:r>
        <w:rPr>
          <w:rFonts w:eastAsia="SimSun"/>
          <w:rtl/>
          <w:lang w:eastAsia="zh-CN"/>
        </w:rPr>
        <w:br w:type="page"/>
      </w:r>
      <w:r w:rsidRPr="0008310A">
        <w:rPr>
          <w:rFonts w:hint="cs"/>
          <w:kern w:val="16"/>
          <w:rtl/>
        </w:rPr>
        <w:t>المرفق الحادي عشر</w:t>
      </w:r>
    </w:p>
    <w:p w:rsidR="00631BFA" w:rsidRPr="00327856" w:rsidRDefault="00631BFA" w:rsidP="00327856">
      <w:pPr>
        <w:pStyle w:val="HChGA"/>
        <w:rPr>
          <w:rFonts w:ascii="Times New Roman Bold" w:hAnsi="Times New Roman Bold" w:hint="cs"/>
          <w:spacing w:val="-2"/>
          <w:rtl/>
        </w:rPr>
      </w:pPr>
      <w:r w:rsidRPr="00327856">
        <w:rPr>
          <w:rFonts w:ascii="Times New Roman Bold" w:hAnsi="Times New Roman Bold" w:hint="cs"/>
          <w:spacing w:val="-2"/>
          <w:rtl/>
        </w:rPr>
        <w:tab/>
      </w:r>
      <w:r w:rsidRPr="00327856">
        <w:rPr>
          <w:rFonts w:ascii="Times New Roman Bold" w:hAnsi="Times New Roman Bold" w:hint="cs"/>
          <w:spacing w:val="-2"/>
          <w:rtl/>
        </w:rPr>
        <w:tab/>
        <w:t>بيان لجنـة مناهضة التعذيب الذي اعتمدته في دورتها التاسعة والأربعين (29 تشرين الأول/أكتوبر - 23 تشرين الثاني/نوفمبر</w:t>
      </w:r>
      <w:r w:rsidR="00327856" w:rsidRPr="00327856">
        <w:rPr>
          <w:rFonts w:ascii="Times New Roman Bold" w:hAnsi="Times New Roman Bold" w:hint="eastAsia"/>
          <w:spacing w:val="-2"/>
          <w:rtl/>
        </w:rPr>
        <w:t> </w:t>
      </w:r>
      <w:r w:rsidRPr="00327856">
        <w:rPr>
          <w:rFonts w:ascii="Times New Roman Bold" w:hAnsi="Times New Roman Bold" w:hint="cs"/>
          <w:spacing w:val="-2"/>
          <w:rtl/>
        </w:rPr>
        <w:t>2012) بشأن</w:t>
      </w:r>
      <w:r w:rsidRPr="00327856">
        <w:rPr>
          <w:rFonts w:ascii="Times New Roman Bold" w:hAnsi="Times New Roman Bold"/>
          <w:spacing w:val="-2"/>
          <w:rtl/>
        </w:rPr>
        <w:t xml:space="preserve"> تقرير مفوضة الأمم المتحدة السامية</w:t>
      </w:r>
      <w:r w:rsidRPr="00327856">
        <w:rPr>
          <w:rFonts w:ascii="Times New Roman Bold" w:hAnsi="Times New Roman Bold" w:hint="cs"/>
          <w:spacing w:val="-2"/>
          <w:rtl/>
        </w:rPr>
        <w:t xml:space="preserve"> </w:t>
      </w:r>
      <w:r w:rsidRPr="00327856">
        <w:rPr>
          <w:rFonts w:ascii="Times New Roman Bold" w:hAnsi="Times New Roman Bold"/>
          <w:spacing w:val="-2"/>
          <w:rtl/>
        </w:rPr>
        <w:t xml:space="preserve">لحقوق الإنسان عن </w:t>
      </w:r>
      <w:r w:rsidRPr="00327856">
        <w:rPr>
          <w:rFonts w:ascii="Times New Roman Bold" w:hAnsi="Times New Roman Bold" w:hint="cs"/>
          <w:spacing w:val="-2"/>
          <w:rtl/>
        </w:rPr>
        <w:t>تعزيز هيئات معاهدات الأمم المتحدة لحقوق الإنسان (</w:t>
      </w:r>
      <w:r w:rsidRPr="00327856">
        <w:rPr>
          <w:rFonts w:ascii="Times New Roman Bold" w:eastAsia="Calibri" w:hAnsi="Times New Roman Bold"/>
          <w:spacing w:val="-2"/>
          <w:szCs w:val="28"/>
        </w:rPr>
        <w:t>A/66/860</w:t>
      </w:r>
      <w:r w:rsidRPr="00327856">
        <w:rPr>
          <w:rFonts w:ascii="Times New Roman Bold" w:hAnsi="Times New Roman Bold" w:hint="cs"/>
          <w:spacing w:val="-2"/>
          <w:rtl/>
        </w:rPr>
        <w:t>)</w:t>
      </w:r>
    </w:p>
    <w:p w:rsidR="00631BFA" w:rsidRPr="002E7CAB" w:rsidRDefault="00631BFA" w:rsidP="00327856">
      <w:pPr>
        <w:pStyle w:val="SingleTxtGA"/>
        <w:rPr>
          <w:spacing w:val="-2"/>
          <w:rtl/>
        </w:rPr>
      </w:pPr>
      <w:r w:rsidRPr="00290DE2">
        <w:rPr>
          <w:spacing w:val="4"/>
          <w:rtl/>
        </w:rPr>
        <w:t>1-</w:t>
      </w:r>
      <w:r w:rsidRPr="00290DE2">
        <w:rPr>
          <w:spacing w:val="4"/>
          <w:rtl/>
        </w:rPr>
        <w:tab/>
      </w:r>
      <w:r w:rsidRPr="00626297">
        <w:rPr>
          <w:rFonts w:hint="cs"/>
          <w:spacing w:val="4"/>
          <w:rtl/>
        </w:rPr>
        <w:t>ترحب</w:t>
      </w:r>
      <w:r w:rsidRPr="00626297">
        <w:rPr>
          <w:spacing w:val="4"/>
          <w:rtl/>
        </w:rPr>
        <w:t xml:space="preserve"> لجنة مناهضة التعذيب</w:t>
      </w:r>
      <w:r w:rsidRPr="00626297">
        <w:rPr>
          <w:rFonts w:hint="cs"/>
          <w:spacing w:val="4"/>
          <w:rtl/>
        </w:rPr>
        <w:t xml:space="preserve"> بتقرير</w:t>
      </w:r>
      <w:r w:rsidRPr="00626297">
        <w:rPr>
          <w:rFonts w:hint="cs"/>
          <w:rtl/>
        </w:rPr>
        <w:t xml:space="preserve"> </w:t>
      </w:r>
      <w:r w:rsidRPr="00626297">
        <w:rPr>
          <w:rtl/>
        </w:rPr>
        <w:t xml:space="preserve">مفوضة الأمم المتحدة السامية لحقوق الإنسان عن تعزيز </w:t>
      </w:r>
      <w:r w:rsidRPr="00626297">
        <w:rPr>
          <w:rFonts w:hint="cs"/>
          <w:sz w:val="30"/>
          <w:rtl/>
        </w:rPr>
        <w:t>هيئات معاهدات الأمم المتحدة لحقوق الإنسان</w:t>
      </w:r>
      <w:r w:rsidRPr="00FB1699">
        <w:rPr>
          <w:rFonts w:hint="cs"/>
          <w:rtl/>
        </w:rPr>
        <w:t xml:space="preserve"> (</w:t>
      </w:r>
      <w:r w:rsidRPr="00FB1699">
        <w:rPr>
          <w:rFonts w:eastAsia="Calibri"/>
        </w:rPr>
        <w:t>A/66/860</w:t>
      </w:r>
      <w:r w:rsidRPr="00FB1699">
        <w:rPr>
          <w:rFonts w:hint="cs"/>
          <w:rtl/>
        </w:rPr>
        <w:t>)</w:t>
      </w:r>
      <w:r w:rsidRPr="00FB1699">
        <w:rPr>
          <w:spacing w:val="4"/>
          <w:rtl/>
        </w:rPr>
        <w:t>،</w:t>
      </w:r>
      <w:r w:rsidRPr="00FB1699">
        <w:rPr>
          <w:rtl/>
        </w:rPr>
        <w:t xml:space="preserve"> </w:t>
      </w:r>
      <w:r w:rsidRPr="00FB1699">
        <w:rPr>
          <w:rFonts w:hint="cs"/>
          <w:rtl/>
        </w:rPr>
        <w:t xml:space="preserve">الذي </w:t>
      </w:r>
      <w:r w:rsidRPr="00FB1699">
        <w:rPr>
          <w:rtl/>
        </w:rPr>
        <w:t>صدر في حزيران</w:t>
      </w:r>
      <w:r w:rsidRPr="00FB1699">
        <w:rPr>
          <w:rFonts w:hint="cs"/>
          <w:rtl/>
        </w:rPr>
        <w:t>/يونيه</w:t>
      </w:r>
      <w:r w:rsidRPr="00FB1699">
        <w:rPr>
          <w:rtl/>
        </w:rPr>
        <w:t xml:space="preserve"> 2012، وتعرب عن تقديرها للجهود التي تبذلها المفوضة السامية </w:t>
      </w:r>
      <w:r w:rsidRPr="00FB1699">
        <w:rPr>
          <w:rFonts w:hint="cs"/>
          <w:rtl/>
        </w:rPr>
        <w:t xml:space="preserve">بعد </w:t>
      </w:r>
      <w:r>
        <w:rPr>
          <w:rFonts w:hint="cs"/>
          <w:rtl/>
        </w:rPr>
        <w:t>العملية</w:t>
      </w:r>
      <w:r w:rsidRPr="00FB1699">
        <w:rPr>
          <w:rtl/>
        </w:rPr>
        <w:t xml:space="preserve"> </w:t>
      </w:r>
      <w:r w:rsidRPr="002E7CAB">
        <w:rPr>
          <w:rFonts w:hint="cs"/>
          <w:spacing w:val="-2"/>
          <w:rtl/>
        </w:rPr>
        <w:t>ال</w:t>
      </w:r>
      <w:r w:rsidRPr="002E7CAB">
        <w:rPr>
          <w:spacing w:val="-2"/>
          <w:rtl/>
        </w:rPr>
        <w:t xml:space="preserve">تشاركية </w:t>
      </w:r>
      <w:r w:rsidRPr="002E7CAB">
        <w:rPr>
          <w:rFonts w:hint="cs"/>
          <w:spacing w:val="-2"/>
          <w:rtl/>
        </w:rPr>
        <w:t>ال</w:t>
      </w:r>
      <w:r w:rsidRPr="002E7CAB">
        <w:rPr>
          <w:spacing w:val="-2"/>
          <w:rtl/>
        </w:rPr>
        <w:t xml:space="preserve">واسعة </w:t>
      </w:r>
      <w:r w:rsidRPr="002E7CAB">
        <w:rPr>
          <w:rFonts w:hint="cs"/>
          <w:spacing w:val="-2"/>
          <w:rtl/>
        </w:rPr>
        <w:t xml:space="preserve">النطاق التي </w:t>
      </w:r>
      <w:r w:rsidRPr="002E7CAB">
        <w:rPr>
          <w:spacing w:val="-2"/>
          <w:rtl/>
        </w:rPr>
        <w:t>شارك فيها جميع أصحاب المصلحة في نظام هيئ</w:t>
      </w:r>
      <w:r w:rsidRPr="002E7CAB">
        <w:rPr>
          <w:rFonts w:hint="cs"/>
          <w:spacing w:val="-2"/>
          <w:rtl/>
        </w:rPr>
        <w:t>ات</w:t>
      </w:r>
      <w:r w:rsidRPr="002E7CAB">
        <w:rPr>
          <w:spacing w:val="-2"/>
          <w:rtl/>
        </w:rPr>
        <w:t xml:space="preserve"> المعاهد</w:t>
      </w:r>
      <w:r w:rsidRPr="002E7CAB">
        <w:rPr>
          <w:rFonts w:hint="cs"/>
          <w:spacing w:val="-2"/>
          <w:rtl/>
        </w:rPr>
        <w:t>ات</w:t>
      </w:r>
      <w:r w:rsidRPr="002E7CAB">
        <w:rPr>
          <w:spacing w:val="-2"/>
          <w:rtl/>
        </w:rPr>
        <w:t xml:space="preserve">. </w:t>
      </w:r>
      <w:r w:rsidRPr="002E7CAB">
        <w:rPr>
          <w:rFonts w:hint="cs"/>
          <w:spacing w:val="-2"/>
          <w:rtl/>
        </w:rPr>
        <w:t xml:space="preserve">وتُعدّ </w:t>
      </w:r>
      <w:r w:rsidRPr="002E7CAB">
        <w:rPr>
          <w:spacing w:val="-2"/>
          <w:rtl/>
        </w:rPr>
        <w:t xml:space="preserve">الجهود </w:t>
      </w:r>
      <w:r w:rsidRPr="002E7CAB">
        <w:rPr>
          <w:rFonts w:hint="cs"/>
          <w:spacing w:val="-2"/>
          <w:rtl/>
        </w:rPr>
        <w:t>المبذولة من أجل</w:t>
      </w:r>
      <w:r w:rsidRPr="002E7CAB">
        <w:rPr>
          <w:spacing w:val="-2"/>
          <w:rtl/>
        </w:rPr>
        <w:t xml:space="preserve"> تعزيز نظام هيئات المعاهدات، بما في ذلك توفير الموارد الكافية، </w:t>
      </w:r>
      <w:r w:rsidRPr="002E7CAB">
        <w:rPr>
          <w:rFonts w:hint="cs"/>
          <w:spacing w:val="-2"/>
          <w:rtl/>
        </w:rPr>
        <w:t>أمراً ضرورياً</w:t>
      </w:r>
      <w:r w:rsidRPr="002E7CAB">
        <w:rPr>
          <w:spacing w:val="-2"/>
          <w:rtl/>
        </w:rPr>
        <w:t xml:space="preserve"> </w:t>
      </w:r>
      <w:r w:rsidRPr="002E7CAB">
        <w:rPr>
          <w:rFonts w:hint="cs"/>
          <w:spacing w:val="-2"/>
          <w:rtl/>
        </w:rPr>
        <w:t>لتحقيق</w:t>
      </w:r>
      <w:r w:rsidRPr="002E7CAB">
        <w:rPr>
          <w:spacing w:val="-2"/>
          <w:rtl/>
        </w:rPr>
        <w:t xml:space="preserve"> الأداء الفعال لنظام </w:t>
      </w:r>
      <w:r w:rsidRPr="002E7CAB">
        <w:rPr>
          <w:rFonts w:hint="cs"/>
          <w:spacing w:val="-2"/>
          <w:rtl/>
        </w:rPr>
        <w:t>يستند إلى</w:t>
      </w:r>
      <w:r w:rsidRPr="002E7CAB">
        <w:rPr>
          <w:spacing w:val="-2"/>
          <w:rtl/>
        </w:rPr>
        <w:t xml:space="preserve"> الالتزامات التعاهدية و</w:t>
      </w:r>
      <w:r w:rsidRPr="002E7CAB">
        <w:rPr>
          <w:rFonts w:hint="cs"/>
          <w:spacing w:val="-2"/>
          <w:rtl/>
        </w:rPr>
        <w:t xml:space="preserve">عمليات </w:t>
      </w:r>
      <w:r w:rsidRPr="002E7CAB">
        <w:rPr>
          <w:spacing w:val="-2"/>
          <w:rtl/>
        </w:rPr>
        <w:t xml:space="preserve">تقييم </w:t>
      </w:r>
      <w:r w:rsidRPr="002E7CAB">
        <w:rPr>
          <w:rFonts w:hint="cs"/>
          <w:spacing w:val="-2"/>
          <w:rtl/>
        </w:rPr>
        <w:t>ال</w:t>
      </w:r>
      <w:r w:rsidRPr="002E7CAB">
        <w:rPr>
          <w:spacing w:val="-2"/>
          <w:rtl/>
        </w:rPr>
        <w:t>امتثال</w:t>
      </w:r>
      <w:r w:rsidRPr="002E7CAB">
        <w:rPr>
          <w:rFonts w:hint="cs"/>
          <w:spacing w:val="-2"/>
          <w:rtl/>
        </w:rPr>
        <w:t xml:space="preserve"> التي تضطلع بها</w:t>
      </w:r>
      <w:r w:rsidRPr="002E7CAB">
        <w:rPr>
          <w:spacing w:val="-2"/>
          <w:rtl/>
        </w:rPr>
        <w:t xml:space="preserve"> </w:t>
      </w:r>
      <w:r w:rsidRPr="002E7CAB">
        <w:rPr>
          <w:rFonts w:hint="cs"/>
          <w:spacing w:val="-2"/>
          <w:rtl/>
        </w:rPr>
        <w:t>هيئات</w:t>
      </w:r>
      <w:r w:rsidRPr="002E7CAB">
        <w:rPr>
          <w:spacing w:val="-2"/>
          <w:rtl/>
        </w:rPr>
        <w:t xml:space="preserve"> </w:t>
      </w:r>
      <w:r w:rsidRPr="002E7CAB">
        <w:rPr>
          <w:rFonts w:hint="cs"/>
          <w:spacing w:val="-2"/>
          <w:rtl/>
        </w:rPr>
        <w:t xml:space="preserve">إشرافية مستقلة </w:t>
      </w:r>
      <w:r w:rsidRPr="002E7CAB">
        <w:rPr>
          <w:spacing w:val="-2"/>
          <w:rtl/>
        </w:rPr>
        <w:t>تتألف من خبراء مستقلين</w:t>
      </w:r>
      <w:r w:rsidRPr="002E7CAB">
        <w:rPr>
          <w:spacing w:val="-2"/>
        </w:rPr>
        <w:t>.</w:t>
      </w:r>
      <w:r w:rsidRPr="002E7CAB">
        <w:rPr>
          <w:spacing w:val="-2"/>
          <w:rtl/>
        </w:rPr>
        <w:t xml:space="preserve"> </w:t>
      </w:r>
      <w:r w:rsidRPr="002E7CAB">
        <w:rPr>
          <w:rFonts w:hint="cs"/>
          <w:spacing w:val="-2"/>
          <w:rtl/>
        </w:rPr>
        <w:t xml:space="preserve">ويُعدّ </w:t>
      </w:r>
      <w:r w:rsidRPr="002E7CAB">
        <w:rPr>
          <w:spacing w:val="-2"/>
          <w:rtl/>
        </w:rPr>
        <w:t>اعتماد</w:t>
      </w:r>
      <w:r w:rsidRPr="002E7CAB">
        <w:rPr>
          <w:rFonts w:hint="cs"/>
          <w:spacing w:val="-2"/>
          <w:rtl/>
        </w:rPr>
        <w:t xml:space="preserve"> هيئات المعاهدات نفسها</w:t>
      </w:r>
      <w:r w:rsidRPr="002E7CAB">
        <w:rPr>
          <w:spacing w:val="-2"/>
          <w:rtl/>
        </w:rPr>
        <w:t xml:space="preserve"> أساليب عمل </w:t>
      </w:r>
      <w:r>
        <w:rPr>
          <w:rFonts w:hint="cs"/>
          <w:spacing w:val="-2"/>
          <w:rtl/>
        </w:rPr>
        <w:t>ونظاماً داخلياً شكلاً</w:t>
      </w:r>
      <w:r w:rsidRPr="002E7CAB">
        <w:rPr>
          <w:rFonts w:hint="cs"/>
          <w:spacing w:val="-2"/>
          <w:rtl/>
        </w:rPr>
        <w:t xml:space="preserve"> أساسياً وجوهرياً</w:t>
      </w:r>
      <w:r>
        <w:rPr>
          <w:rFonts w:hint="cs"/>
          <w:spacing w:val="-2"/>
          <w:rtl/>
        </w:rPr>
        <w:t xml:space="preserve"> من أشكال التعبير</w:t>
      </w:r>
      <w:r w:rsidRPr="002E7CAB">
        <w:rPr>
          <w:rFonts w:hint="cs"/>
          <w:spacing w:val="-2"/>
          <w:rtl/>
        </w:rPr>
        <w:t xml:space="preserve"> عن هذا الاستقلال.</w:t>
      </w:r>
      <w:r w:rsidRPr="002E7CAB">
        <w:rPr>
          <w:b/>
          <w:bCs/>
          <w:spacing w:val="-2"/>
          <w:rtl/>
        </w:rPr>
        <w:t xml:space="preserve"> </w:t>
      </w:r>
    </w:p>
    <w:p w:rsidR="00631BFA" w:rsidRPr="00290DE2" w:rsidRDefault="00631BFA" w:rsidP="00631BFA">
      <w:pPr>
        <w:pStyle w:val="SingleTxtGA"/>
        <w:spacing w:line="374" w:lineRule="exact"/>
        <w:rPr>
          <w:spacing w:val="4"/>
          <w:rtl/>
        </w:rPr>
      </w:pPr>
      <w:r w:rsidRPr="00290DE2">
        <w:rPr>
          <w:spacing w:val="4"/>
          <w:rtl/>
        </w:rPr>
        <w:t>2-</w:t>
      </w:r>
      <w:r w:rsidRPr="00290DE2">
        <w:rPr>
          <w:spacing w:val="4"/>
          <w:rtl/>
        </w:rPr>
        <w:tab/>
      </w:r>
      <w:r w:rsidRPr="002621EE">
        <w:rPr>
          <w:rtl/>
        </w:rPr>
        <w:t>وستواصل اللجنة مناقشة الاقتراحات القي</w:t>
      </w:r>
      <w:r>
        <w:rPr>
          <w:rFonts w:hint="cs"/>
          <w:rtl/>
        </w:rPr>
        <w:t>ّ</w:t>
      </w:r>
      <w:r w:rsidRPr="002621EE">
        <w:rPr>
          <w:rtl/>
        </w:rPr>
        <w:t>مة التي ج</w:t>
      </w:r>
      <w:r>
        <w:rPr>
          <w:rFonts w:hint="cs"/>
          <w:rtl/>
        </w:rPr>
        <w:t>ُ</w:t>
      </w:r>
      <w:r w:rsidRPr="002621EE">
        <w:rPr>
          <w:rtl/>
        </w:rPr>
        <w:t>معت في تقرير المفوض</w:t>
      </w:r>
      <w:r w:rsidRPr="002621EE">
        <w:rPr>
          <w:rFonts w:hint="cs"/>
          <w:rtl/>
        </w:rPr>
        <w:t>ة</w:t>
      </w:r>
      <w:r w:rsidRPr="002621EE">
        <w:rPr>
          <w:rtl/>
        </w:rPr>
        <w:t xml:space="preserve"> السامي</w:t>
      </w:r>
      <w:r w:rsidRPr="002621EE">
        <w:rPr>
          <w:rFonts w:hint="cs"/>
          <w:rtl/>
        </w:rPr>
        <w:t>ة</w:t>
      </w:r>
      <w:r>
        <w:rPr>
          <w:rFonts w:hint="cs"/>
          <w:rtl/>
        </w:rPr>
        <w:t>،</w:t>
      </w:r>
      <w:r w:rsidRPr="002621EE">
        <w:rPr>
          <w:rtl/>
        </w:rPr>
        <w:t xml:space="preserve"> و</w:t>
      </w:r>
      <w:r w:rsidRPr="002621EE">
        <w:rPr>
          <w:rFonts w:hint="cs"/>
          <w:rtl/>
        </w:rPr>
        <w:t>س</w:t>
      </w:r>
      <w:r w:rsidRPr="002621EE">
        <w:rPr>
          <w:rtl/>
        </w:rPr>
        <w:t xml:space="preserve">تبدي رأيها </w:t>
      </w:r>
      <w:r w:rsidRPr="002621EE">
        <w:rPr>
          <w:rFonts w:hint="cs"/>
          <w:rtl/>
        </w:rPr>
        <w:t>بشأن</w:t>
      </w:r>
      <w:r w:rsidRPr="002621EE">
        <w:rPr>
          <w:rtl/>
        </w:rPr>
        <w:t xml:space="preserve"> مقترحات محددة في الوقت المناسب. </w:t>
      </w:r>
      <w:r w:rsidRPr="002621EE">
        <w:rPr>
          <w:rFonts w:hint="cs"/>
          <w:rtl/>
        </w:rPr>
        <w:t xml:space="preserve">وتمثل </w:t>
      </w:r>
      <w:r w:rsidRPr="002621EE">
        <w:rPr>
          <w:rtl/>
        </w:rPr>
        <w:t xml:space="preserve">التعليقات التالية </w:t>
      </w:r>
      <w:r w:rsidRPr="002621EE">
        <w:rPr>
          <w:rFonts w:hint="cs"/>
          <w:rtl/>
        </w:rPr>
        <w:t>رداً أولياً</w:t>
      </w:r>
      <w:r w:rsidRPr="002621EE">
        <w:rPr>
          <w:rtl/>
        </w:rPr>
        <w:t xml:space="preserve"> على التوصيات الواردة في</w:t>
      </w:r>
      <w:r w:rsidRPr="002621EE">
        <w:rPr>
          <w:rFonts w:hint="cs"/>
          <w:rtl/>
        </w:rPr>
        <w:t xml:space="preserve"> التقرير.</w:t>
      </w:r>
    </w:p>
    <w:p w:rsidR="00631BFA" w:rsidRPr="009A56CE" w:rsidRDefault="00631BFA" w:rsidP="00631BFA">
      <w:pPr>
        <w:pStyle w:val="SingleTxtGA"/>
        <w:spacing w:line="374" w:lineRule="exact"/>
        <w:rPr>
          <w:spacing w:val="4"/>
          <w:rtl/>
        </w:rPr>
      </w:pPr>
      <w:r w:rsidRPr="00290DE2">
        <w:rPr>
          <w:spacing w:val="4"/>
          <w:rtl/>
        </w:rPr>
        <w:t>3-</w:t>
      </w:r>
      <w:r w:rsidRPr="00290DE2">
        <w:rPr>
          <w:spacing w:val="4"/>
          <w:rtl/>
        </w:rPr>
        <w:tab/>
      </w:r>
      <w:r w:rsidRPr="009A56CE">
        <w:rPr>
          <w:rtl/>
        </w:rPr>
        <w:t xml:space="preserve">وترحب اللجنة </w:t>
      </w:r>
      <w:r w:rsidRPr="009A56CE">
        <w:rPr>
          <w:rFonts w:hint="cs"/>
          <w:rtl/>
        </w:rPr>
        <w:t>بال</w:t>
      </w:r>
      <w:r w:rsidRPr="009A56CE">
        <w:rPr>
          <w:rtl/>
        </w:rPr>
        <w:t>اقتراح</w:t>
      </w:r>
      <w:r w:rsidRPr="009A56CE">
        <w:rPr>
          <w:rFonts w:hint="cs"/>
          <w:rtl/>
        </w:rPr>
        <w:t xml:space="preserve"> المتعلق ب</w:t>
      </w:r>
      <w:r w:rsidRPr="009A56CE">
        <w:rPr>
          <w:rtl/>
        </w:rPr>
        <w:t xml:space="preserve">إجراءات </w:t>
      </w:r>
      <w:r>
        <w:rPr>
          <w:rFonts w:hint="cs"/>
          <w:rtl/>
        </w:rPr>
        <w:t xml:space="preserve">التبليغ </w:t>
      </w:r>
      <w:r w:rsidRPr="009A56CE">
        <w:rPr>
          <w:rtl/>
        </w:rPr>
        <w:t>المبسطة</w:t>
      </w:r>
      <w:r w:rsidRPr="009A56CE">
        <w:rPr>
          <w:rFonts w:hint="cs"/>
          <w:rtl/>
        </w:rPr>
        <w:t xml:space="preserve">، </w:t>
      </w:r>
      <w:r w:rsidRPr="009A56CE">
        <w:rPr>
          <w:rtl/>
        </w:rPr>
        <w:t>وتلاحظ أن</w:t>
      </w:r>
      <w:r w:rsidRPr="009A56CE">
        <w:rPr>
          <w:rFonts w:hint="cs"/>
          <w:rtl/>
        </w:rPr>
        <w:t>ها قد شرعت في تطبيق هذه الإجراءات</w:t>
      </w:r>
      <w:r w:rsidRPr="009A56CE">
        <w:rPr>
          <w:rtl/>
        </w:rPr>
        <w:t xml:space="preserve"> في عام 2007 </w:t>
      </w:r>
      <w:r>
        <w:rPr>
          <w:rFonts w:hint="cs"/>
          <w:rtl/>
        </w:rPr>
        <w:t>عن طريق وضع</w:t>
      </w:r>
      <w:r w:rsidRPr="009A56CE">
        <w:rPr>
          <w:rtl/>
        </w:rPr>
        <w:t xml:space="preserve"> إجراء </w:t>
      </w:r>
      <w:r w:rsidRPr="009A56CE">
        <w:rPr>
          <w:rFonts w:hint="cs"/>
          <w:rtl/>
        </w:rPr>
        <w:t>اختياري جديد لتقديم التقارير</w:t>
      </w:r>
      <w:r w:rsidRPr="009A56CE">
        <w:rPr>
          <w:rtl/>
        </w:rPr>
        <w:t xml:space="preserve"> (قوائم المسائل</w:t>
      </w:r>
      <w:r w:rsidRPr="009A56CE">
        <w:rPr>
          <w:rFonts w:hint="cs"/>
          <w:rtl/>
        </w:rPr>
        <w:t xml:space="preserve"> المرسلة</w:t>
      </w:r>
      <w:r w:rsidRPr="009A56CE">
        <w:rPr>
          <w:rtl/>
        </w:rPr>
        <w:t xml:space="preserve"> قبل تقديم التقارير</w:t>
      </w:r>
      <w:r w:rsidRPr="009A56CE">
        <w:rPr>
          <w:rFonts w:hint="cs"/>
          <w:rtl/>
        </w:rPr>
        <w:t xml:space="preserve">، انظر الفقرة 23 من الوثيقة </w:t>
      </w:r>
      <w:r w:rsidRPr="009A56CE">
        <w:rPr>
          <w:rFonts w:eastAsia="Calibri"/>
        </w:rPr>
        <w:t>A/62/44</w:t>
      </w:r>
      <w:r w:rsidRPr="009A56CE">
        <w:rPr>
          <w:rFonts w:hint="cs"/>
          <w:rtl/>
        </w:rPr>
        <w:t>).</w:t>
      </w:r>
      <w:r w:rsidRPr="009A56CE">
        <w:rPr>
          <w:rtl/>
        </w:rPr>
        <w:t xml:space="preserve"> </w:t>
      </w:r>
      <w:r>
        <w:rPr>
          <w:rFonts w:hint="cs"/>
          <w:rtl/>
        </w:rPr>
        <w:t>و</w:t>
      </w:r>
      <w:r w:rsidRPr="009A56CE">
        <w:rPr>
          <w:rtl/>
        </w:rPr>
        <w:t xml:space="preserve">لجنة مناهضة التعذيب </w:t>
      </w:r>
      <w:r>
        <w:rPr>
          <w:rFonts w:hint="cs"/>
          <w:rtl/>
        </w:rPr>
        <w:t xml:space="preserve">هي </w:t>
      </w:r>
      <w:r w:rsidRPr="009A56CE">
        <w:rPr>
          <w:rtl/>
        </w:rPr>
        <w:t xml:space="preserve">أول </w:t>
      </w:r>
      <w:r>
        <w:rPr>
          <w:rFonts w:hint="cs"/>
          <w:rtl/>
        </w:rPr>
        <w:t>هيئات المعاهدات التي تستخدم</w:t>
      </w:r>
      <w:r w:rsidRPr="009A56CE">
        <w:rPr>
          <w:rFonts w:hint="cs"/>
          <w:rtl/>
        </w:rPr>
        <w:t xml:space="preserve"> هذا الإجراء. </w:t>
      </w:r>
      <w:r w:rsidRPr="009A56CE">
        <w:rPr>
          <w:rtl/>
        </w:rPr>
        <w:t>وتوافق اللجنة على</w:t>
      </w:r>
      <w:r w:rsidRPr="009A56CE">
        <w:rPr>
          <w:rFonts w:hint="cs"/>
          <w:rtl/>
        </w:rPr>
        <w:t xml:space="preserve"> أن </w:t>
      </w:r>
      <w:r w:rsidRPr="009A56CE">
        <w:rPr>
          <w:rtl/>
        </w:rPr>
        <w:t>التقي</w:t>
      </w:r>
      <w:r>
        <w:rPr>
          <w:rFonts w:hint="cs"/>
          <w:rtl/>
        </w:rPr>
        <w:t>ّ</w:t>
      </w:r>
      <w:r w:rsidRPr="009A56CE">
        <w:rPr>
          <w:rtl/>
        </w:rPr>
        <w:t xml:space="preserve">د الصارم </w:t>
      </w:r>
      <w:r>
        <w:rPr>
          <w:rFonts w:hint="cs"/>
          <w:rtl/>
        </w:rPr>
        <w:t xml:space="preserve">بعدد </w:t>
      </w:r>
      <w:r w:rsidRPr="009A56CE">
        <w:rPr>
          <w:rtl/>
        </w:rPr>
        <w:t>الصفحات</w:t>
      </w:r>
      <w:r w:rsidRPr="009A56CE">
        <w:rPr>
          <w:rFonts w:hint="cs"/>
          <w:rtl/>
        </w:rPr>
        <w:t xml:space="preserve"> قد يتيح الحفاظ على الموارد المالية، وتلاحظ أنها قد نفذت بالفعل</w:t>
      </w:r>
      <w:r w:rsidRPr="009A56CE">
        <w:rPr>
          <w:rtl/>
        </w:rPr>
        <w:t xml:space="preserve"> هذا الاقتراح </w:t>
      </w:r>
      <w:r w:rsidRPr="007B35B0">
        <w:rPr>
          <w:rtl/>
        </w:rPr>
        <w:t>فيما </w:t>
      </w:r>
      <w:r w:rsidRPr="009A56CE">
        <w:rPr>
          <w:rtl/>
        </w:rPr>
        <w:t xml:space="preserve">يتعلق </w:t>
      </w:r>
      <w:r>
        <w:rPr>
          <w:rFonts w:hint="cs"/>
          <w:rtl/>
        </w:rPr>
        <w:t>ب</w:t>
      </w:r>
      <w:r w:rsidRPr="009A56CE">
        <w:rPr>
          <w:rtl/>
        </w:rPr>
        <w:t>ملاحظاتها الختامية وقوائم ا</w:t>
      </w:r>
      <w:r>
        <w:rPr>
          <w:rFonts w:hint="cs"/>
          <w:rtl/>
        </w:rPr>
        <w:t xml:space="preserve">لمسائل </w:t>
      </w:r>
      <w:r w:rsidRPr="009A56CE">
        <w:rPr>
          <w:rtl/>
        </w:rPr>
        <w:t xml:space="preserve">وقوائم </w:t>
      </w:r>
      <w:r>
        <w:rPr>
          <w:rFonts w:hint="cs"/>
          <w:rtl/>
        </w:rPr>
        <w:t>المسائل المرسلة قبل</w:t>
      </w:r>
      <w:r>
        <w:rPr>
          <w:rtl/>
        </w:rPr>
        <w:t xml:space="preserve"> </w:t>
      </w:r>
      <w:r w:rsidRPr="009A56CE">
        <w:rPr>
          <w:rtl/>
        </w:rPr>
        <w:t>تقديم التقارير. وتلاحظ اللجنة أيض</w:t>
      </w:r>
      <w:r w:rsidRPr="007B35B0">
        <w:rPr>
          <w:rtl/>
        </w:rPr>
        <w:t xml:space="preserve">اً </w:t>
      </w:r>
      <w:r w:rsidRPr="009A56CE">
        <w:rPr>
          <w:rtl/>
        </w:rPr>
        <w:t>أنه</w:t>
      </w:r>
      <w:r>
        <w:rPr>
          <w:rFonts w:hint="cs"/>
          <w:rtl/>
        </w:rPr>
        <w:t>ا</w:t>
      </w:r>
      <w:r w:rsidRPr="009A56CE">
        <w:rPr>
          <w:rtl/>
        </w:rPr>
        <w:t xml:space="preserve"> نفذت بالفعل </w:t>
      </w:r>
      <w:r w:rsidRPr="009A56CE">
        <w:rPr>
          <w:rFonts w:hint="cs"/>
          <w:rtl/>
        </w:rPr>
        <w:t>التوصية التي تدعو إلى</w:t>
      </w:r>
      <w:r w:rsidRPr="009A56CE">
        <w:rPr>
          <w:rtl/>
        </w:rPr>
        <w:t xml:space="preserve"> الحد من ترجمة ملخصات محاضر الجلسات</w:t>
      </w:r>
      <w:r w:rsidRPr="009A56CE">
        <w:rPr>
          <w:rFonts w:hint="cs"/>
          <w:rtl/>
        </w:rPr>
        <w:t>.</w:t>
      </w:r>
    </w:p>
    <w:p w:rsidR="00631BFA" w:rsidRPr="002037D7" w:rsidRDefault="00631BFA" w:rsidP="00327856">
      <w:pPr>
        <w:pStyle w:val="SingleTxtGA"/>
        <w:rPr>
          <w:spacing w:val="4"/>
          <w:rtl/>
        </w:rPr>
      </w:pPr>
      <w:r w:rsidRPr="00290DE2">
        <w:rPr>
          <w:spacing w:val="4"/>
          <w:rtl/>
        </w:rPr>
        <w:t>4-</w:t>
      </w:r>
      <w:r w:rsidRPr="00290DE2">
        <w:rPr>
          <w:spacing w:val="4"/>
          <w:rtl/>
        </w:rPr>
        <w:tab/>
      </w:r>
      <w:r w:rsidRPr="002037D7">
        <w:rPr>
          <w:rtl/>
        </w:rPr>
        <w:t>وتؤيد اللجنة بشدة ضرورة الاعتراف</w:t>
      </w:r>
      <w:r w:rsidRPr="002037D7">
        <w:rPr>
          <w:rFonts w:hint="cs"/>
          <w:rtl/>
        </w:rPr>
        <w:t xml:space="preserve"> الكامل</w:t>
      </w:r>
      <w:r w:rsidRPr="002037D7">
        <w:rPr>
          <w:rtl/>
        </w:rPr>
        <w:t xml:space="preserve"> </w:t>
      </w:r>
      <w:r w:rsidRPr="002037D7">
        <w:rPr>
          <w:rFonts w:hint="cs"/>
          <w:rtl/>
        </w:rPr>
        <w:t>ب</w:t>
      </w:r>
      <w:r>
        <w:rPr>
          <w:rtl/>
        </w:rPr>
        <w:t>استقلال و</w:t>
      </w:r>
      <w:r>
        <w:rPr>
          <w:rFonts w:hint="cs"/>
          <w:rtl/>
        </w:rPr>
        <w:t>حياد</w:t>
      </w:r>
      <w:r>
        <w:rPr>
          <w:rtl/>
        </w:rPr>
        <w:t xml:space="preserve"> أعضا</w:t>
      </w:r>
      <w:r>
        <w:rPr>
          <w:rFonts w:hint="cs"/>
          <w:rtl/>
        </w:rPr>
        <w:t xml:space="preserve">ئها </w:t>
      </w:r>
      <w:r w:rsidRPr="002037D7">
        <w:rPr>
          <w:rtl/>
        </w:rPr>
        <w:t>في مما</w:t>
      </w:r>
      <w:r>
        <w:rPr>
          <w:rFonts w:hint="cs"/>
          <w:rtl/>
        </w:rPr>
        <w:t>رسة</w:t>
      </w:r>
      <w:r w:rsidRPr="002037D7">
        <w:rPr>
          <w:rtl/>
        </w:rPr>
        <w:t xml:space="preserve"> وظائفهم</w:t>
      </w:r>
      <w:r w:rsidRPr="002037D7">
        <w:rPr>
          <w:rFonts w:hint="cs"/>
          <w:rtl/>
        </w:rPr>
        <w:t xml:space="preserve"> وتعزيزهما.</w:t>
      </w:r>
      <w:r w:rsidRPr="002037D7">
        <w:rPr>
          <w:rtl/>
        </w:rPr>
        <w:t xml:space="preserve"> </w:t>
      </w:r>
      <w:r w:rsidRPr="002037D7">
        <w:rPr>
          <w:rFonts w:hint="cs"/>
          <w:rtl/>
        </w:rPr>
        <w:t xml:space="preserve">ويحدد </w:t>
      </w:r>
      <w:r w:rsidRPr="002037D7">
        <w:rPr>
          <w:rtl/>
        </w:rPr>
        <w:t>نظام اللجنة الداخلي مستوى عال</w:t>
      </w:r>
      <w:r w:rsidRPr="002037D7">
        <w:rPr>
          <w:rFonts w:hint="cs"/>
          <w:rtl/>
        </w:rPr>
        <w:t>ياً</w:t>
      </w:r>
      <w:r w:rsidRPr="002037D7">
        <w:rPr>
          <w:rtl/>
        </w:rPr>
        <w:t xml:space="preserve"> </w:t>
      </w:r>
      <w:r w:rsidRPr="007B35B0">
        <w:rPr>
          <w:rFonts w:hint="cs"/>
          <w:rtl/>
        </w:rPr>
        <w:t>فيما </w:t>
      </w:r>
      <w:r>
        <w:rPr>
          <w:rFonts w:hint="cs"/>
          <w:rtl/>
        </w:rPr>
        <w:t>يتعلق</w:t>
      </w:r>
      <w:r w:rsidRPr="002037D7">
        <w:rPr>
          <w:rtl/>
        </w:rPr>
        <w:t xml:space="preserve"> </w:t>
      </w:r>
      <w:r>
        <w:rPr>
          <w:rFonts w:hint="cs"/>
          <w:rtl/>
        </w:rPr>
        <w:t>ب</w:t>
      </w:r>
      <w:r>
        <w:rPr>
          <w:rtl/>
        </w:rPr>
        <w:t>استقلال</w:t>
      </w:r>
      <w:r>
        <w:rPr>
          <w:rFonts w:hint="cs"/>
          <w:rtl/>
        </w:rPr>
        <w:t xml:space="preserve"> وحياد</w:t>
      </w:r>
      <w:r w:rsidRPr="002037D7">
        <w:rPr>
          <w:rtl/>
        </w:rPr>
        <w:t xml:space="preserve"> أعضائها، بما يتفق مع معايير </w:t>
      </w:r>
      <w:r w:rsidRPr="002037D7">
        <w:rPr>
          <w:rFonts w:hint="cs"/>
          <w:rtl/>
        </w:rPr>
        <w:t>هيئات</w:t>
      </w:r>
      <w:r w:rsidRPr="002037D7">
        <w:rPr>
          <w:rtl/>
        </w:rPr>
        <w:t xml:space="preserve"> معاهدات حقوق الإنسان على النحو المبين في </w:t>
      </w:r>
      <w:r w:rsidRPr="002037D7">
        <w:rPr>
          <w:rFonts w:hint="cs"/>
          <w:rtl/>
        </w:rPr>
        <w:t>م</w:t>
      </w:r>
      <w:r w:rsidRPr="002037D7">
        <w:rPr>
          <w:rtl/>
        </w:rPr>
        <w:t>بادئ أديس أبابا التوجيهية، و</w:t>
      </w:r>
      <w:r w:rsidRPr="002037D7">
        <w:rPr>
          <w:rFonts w:hint="cs"/>
          <w:rtl/>
        </w:rPr>
        <w:t xml:space="preserve">هي المبادئ </w:t>
      </w:r>
      <w:r w:rsidRPr="002037D7">
        <w:rPr>
          <w:rtl/>
        </w:rPr>
        <w:t xml:space="preserve">التي ستنظر اللجنة في </w:t>
      </w:r>
      <w:r w:rsidRPr="002037D7">
        <w:rPr>
          <w:rFonts w:hint="cs"/>
          <w:rtl/>
        </w:rPr>
        <w:t>إدراجها ضمن</w:t>
      </w:r>
      <w:r w:rsidRPr="002037D7">
        <w:rPr>
          <w:rtl/>
        </w:rPr>
        <w:t xml:space="preserve"> نظامها الداخلي</w:t>
      </w:r>
      <w:r w:rsidRPr="002037D7">
        <w:rPr>
          <w:rFonts w:hint="cs"/>
          <w:rtl/>
        </w:rPr>
        <w:t>.</w:t>
      </w:r>
    </w:p>
    <w:p w:rsidR="00631BFA" w:rsidRPr="00327856" w:rsidRDefault="00631BFA" w:rsidP="00631BFA">
      <w:pPr>
        <w:pStyle w:val="SingleTxtGA"/>
        <w:rPr>
          <w:rtl/>
        </w:rPr>
      </w:pPr>
      <w:r w:rsidRPr="00327856">
        <w:rPr>
          <w:rtl/>
        </w:rPr>
        <w:t>5-</w:t>
      </w:r>
      <w:r w:rsidRPr="00327856">
        <w:rPr>
          <w:rtl/>
        </w:rPr>
        <w:tab/>
        <w:t xml:space="preserve">وتلاحظ اللجنة الاقتراح الداعي إلى </w:t>
      </w:r>
      <w:r w:rsidRPr="00327856">
        <w:rPr>
          <w:rFonts w:hint="cs"/>
          <w:rtl/>
        </w:rPr>
        <w:t>وضع</w:t>
      </w:r>
      <w:r w:rsidRPr="00327856">
        <w:rPr>
          <w:rtl/>
        </w:rPr>
        <w:t xml:space="preserve"> تقويم </w:t>
      </w:r>
      <w:r w:rsidRPr="00327856">
        <w:rPr>
          <w:rFonts w:hint="cs"/>
          <w:rtl/>
        </w:rPr>
        <w:t>شامل</w:t>
      </w:r>
      <w:r w:rsidRPr="00327856">
        <w:rPr>
          <w:rtl/>
        </w:rPr>
        <w:t xml:space="preserve"> للتقارير لضمان </w:t>
      </w:r>
      <w:r w:rsidRPr="00327856">
        <w:rPr>
          <w:rFonts w:hint="cs"/>
          <w:rtl/>
        </w:rPr>
        <w:t>تقديم الدول الأطراف لتقاريرها</w:t>
      </w:r>
      <w:r w:rsidRPr="00327856">
        <w:rPr>
          <w:rtl/>
        </w:rPr>
        <w:t xml:space="preserve"> في الوقت المناسب وفقاً لالتزاماتها. ومع ذلك، فإن هذا الاقتراح ي</w:t>
      </w:r>
      <w:r w:rsidRPr="00327856">
        <w:rPr>
          <w:rFonts w:hint="cs"/>
          <w:rtl/>
        </w:rPr>
        <w:t>قتضي</w:t>
      </w:r>
      <w:r w:rsidRPr="00327856">
        <w:rPr>
          <w:rtl/>
        </w:rPr>
        <w:t xml:space="preserve"> أيضا</w:t>
      </w:r>
      <w:r w:rsidRPr="00327856">
        <w:rPr>
          <w:rFonts w:hint="cs"/>
          <w:rtl/>
        </w:rPr>
        <w:t>ً</w:t>
      </w:r>
      <w:r w:rsidRPr="00327856">
        <w:rPr>
          <w:rtl/>
        </w:rPr>
        <w:t xml:space="preserve"> ضرورة تأمين الموارد المالية والبشرية الكافية كشرط مسبق </w:t>
      </w:r>
      <w:r w:rsidRPr="00327856">
        <w:rPr>
          <w:rFonts w:hint="cs"/>
          <w:rtl/>
        </w:rPr>
        <w:t>لإدراج هذا</w:t>
      </w:r>
      <w:r w:rsidRPr="00327856">
        <w:rPr>
          <w:rtl/>
        </w:rPr>
        <w:t xml:space="preserve"> التقويم، و</w:t>
      </w:r>
      <w:r w:rsidRPr="00327856">
        <w:rPr>
          <w:rFonts w:hint="cs"/>
          <w:rtl/>
        </w:rPr>
        <w:t xml:space="preserve">يتطلب </w:t>
      </w:r>
      <w:r w:rsidRPr="00327856">
        <w:rPr>
          <w:rtl/>
        </w:rPr>
        <w:t xml:space="preserve">كذلك تعاون الدول الأطراف. وتتطلع اللجنة </w:t>
      </w:r>
      <w:r w:rsidRPr="00327856">
        <w:rPr>
          <w:rFonts w:hint="cs"/>
          <w:rtl/>
        </w:rPr>
        <w:t>إلى مواصلة</w:t>
      </w:r>
      <w:r w:rsidRPr="00327856">
        <w:rPr>
          <w:rtl/>
        </w:rPr>
        <w:t xml:space="preserve"> مناقشة </w:t>
      </w:r>
      <w:r w:rsidRPr="00327856">
        <w:rPr>
          <w:rFonts w:hint="cs"/>
          <w:rtl/>
        </w:rPr>
        <w:t xml:space="preserve">هذا </w:t>
      </w:r>
      <w:r w:rsidRPr="00327856">
        <w:rPr>
          <w:rtl/>
        </w:rPr>
        <w:t>الاقتراح وتأثير التقويم على حجم العمل</w:t>
      </w:r>
      <w:r w:rsidRPr="00327856">
        <w:rPr>
          <w:rFonts w:hint="cs"/>
          <w:rtl/>
        </w:rPr>
        <w:t xml:space="preserve"> الذي تضطلع به </w:t>
      </w:r>
      <w:r w:rsidRPr="00327856">
        <w:rPr>
          <w:rtl/>
        </w:rPr>
        <w:t>و</w:t>
      </w:r>
      <w:r w:rsidRPr="00327856">
        <w:rPr>
          <w:rFonts w:hint="cs"/>
          <w:rtl/>
        </w:rPr>
        <w:t xml:space="preserve">على </w:t>
      </w:r>
      <w:r w:rsidRPr="00327856">
        <w:rPr>
          <w:rtl/>
        </w:rPr>
        <w:t xml:space="preserve">أساليب </w:t>
      </w:r>
      <w:r w:rsidRPr="00327856">
        <w:rPr>
          <w:rFonts w:hint="cs"/>
          <w:rtl/>
        </w:rPr>
        <w:t>عملها،</w:t>
      </w:r>
      <w:r w:rsidRPr="00327856">
        <w:rPr>
          <w:rtl/>
        </w:rPr>
        <w:t xml:space="preserve"> </w:t>
      </w:r>
      <w:r w:rsidRPr="00327856">
        <w:rPr>
          <w:rFonts w:hint="cs"/>
          <w:rtl/>
        </w:rPr>
        <w:t>وكذلك على</w:t>
      </w:r>
      <w:r w:rsidRPr="00327856">
        <w:rPr>
          <w:rtl/>
        </w:rPr>
        <w:t xml:space="preserve"> نظام هيئات المعاهدات </w:t>
      </w:r>
      <w:r w:rsidRPr="00327856">
        <w:rPr>
          <w:rFonts w:hint="cs"/>
          <w:rtl/>
        </w:rPr>
        <w:t>برمته.</w:t>
      </w:r>
    </w:p>
    <w:p w:rsidR="00631BFA" w:rsidRPr="00327856" w:rsidRDefault="00631BFA" w:rsidP="00631BFA">
      <w:pPr>
        <w:pStyle w:val="SingleTxtGA"/>
        <w:rPr>
          <w:rtl/>
        </w:rPr>
      </w:pPr>
      <w:r w:rsidRPr="00327856">
        <w:rPr>
          <w:rtl/>
        </w:rPr>
        <w:t>6-</w:t>
      </w:r>
      <w:r w:rsidRPr="00327856">
        <w:rPr>
          <w:rtl/>
        </w:rPr>
        <w:tab/>
        <w:t xml:space="preserve">وتلاحظ اللجنة </w:t>
      </w:r>
      <w:r w:rsidRPr="00327856">
        <w:rPr>
          <w:rFonts w:hint="cs"/>
          <w:rtl/>
        </w:rPr>
        <w:t>با</w:t>
      </w:r>
      <w:r w:rsidRPr="00327856">
        <w:rPr>
          <w:rtl/>
        </w:rPr>
        <w:t xml:space="preserve">هتمام </w:t>
      </w:r>
      <w:r w:rsidRPr="00327856">
        <w:rPr>
          <w:rFonts w:hint="cs"/>
          <w:rtl/>
        </w:rPr>
        <w:t>الاقتراح المتعلق</w:t>
      </w:r>
      <w:r w:rsidRPr="00327856">
        <w:rPr>
          <w:rtl/>
        </w:rPr>
        <w:t xml:space="preserve"> </w:t>
      </w:r>
      <w:r w:rsidRPr="00327856">
        <w:rPr>
          <w:rFonts w:hint="cs"/>
          <w:rtl/>
        </w:rPr>
        <w:t>ب</w:t>
      </w:r>
      <w:r w:rsidRPr="00327856">
        <w:rPr>
          <w:rtl/>
        </w:rPr>
        <w:t xml:space="preserve">المنهجية المتناسقة لإجراء </w:t>
      </w:r>
      <w:r w:rsidRPr="00327856">
        <w:rPr>
          <w:rFonts w:hint="cs"/>
          <w:rtl/>
        </w:rPr>
        <w:t>ح</w:t>
      </w:r>
      <w:r w:rsidRPr="00327856">
        <w:rPr>
          <w:rtl/>
        </w:rPr>
        <w:t xml:space="preserve">وار بناء بين الدول الأطراف </w:t>
      </w:r>
      <w:r w:rsidRPr="00327856">
        <w:rPr>
          <w:rFonts w:hint="cs"/>
          <w:rtl/>
        </w:rPr>
        <w:t>وهيئات معاهدات حقوق</w:t>
      </w:r>
      <w:r w:rsidRPr="00327856">
        <w:rPr>
          <w:rtl/>
        </w:rPr>
        <w:t xml:space="preserve"> الإنسان</w:t>
      </w:r>
      <w:r w:rsidRPr="00327856">
        <w:rPr>
          <w:rFonts w:hint="cs"/>
          <w:rtl/>
        </w:rPr>
        <w:t xml:space="preserve">، </w:t>
      </w:r>
      <w:r w:rsidRPr="00327856">
        <w:rPr>
          <w:rtl/>
        </w:rPr>
        <w:t>و</w:t>
      </w:r>
      <w:r w:rsidRPr="00327856">
        <w:rPr>
          <w:rFonts w:hint="cs"/>
          <w:rtl/>
        </w:rPr>
        <w:t>تشدد على أنها تجري</w:t>
      </w:r>
      <w:r w:rsidRPr="00327856">
        <w:rPr>
          <w:rtl/>
        </w:rPr>
        <w:t xml:space="preserve"> خلال دور</w:t>
      </w:r>
      <w:r w:rsidRPr="00327856">
        <w:rPr>
          <w:rFonts w:hint="cs"/>
          <w:rtl/>
        </w:rPr>
        <w:t>ا</w:t>
      </w:r>
      <w:r w:rsidRPr="00327856">
        <w:rPr>
          <w:rtl/>
        </w:rPr>
        <w:t>تها اجتماعات</w:t>
      </w:r>
      <w:r w:rsidRPr="00327856">
        <w:rPr>
          <w:rFonts w:hint="cs"/>
          <w:rtl/>
        </w:rPr>
        <w:t xml:space="preserve"> لمدة</w:t>
      </w:r>
      <w:r w:rsidRPr="00327856">
        <w:rPr>
          <w:rtl/>
        </w:rPr>
        <w:t xml:space="preserve"> ساعة واحدة </w:t>
      </w:r>
      <w:r w:rsidRPr="00327856">
        <w:rPr>
          <w:rFonts w:hint="cs"/>
          <w:rtl/>
        </w:rPr>
        <w:t>من أجل ا</w:t>
      </w:r>
      <w:r w:rsidRPr="00327856">
        <w:rPr>
          <w:rtl/>
        </w:rPr>
        <w:t>لحصول على معلومات من منظمات المجتمع المدني</w:t>
      </w:r>
      <w:r w:rsidRPr="00327856">
        <w:rPr>
          <w:rFonts w:hint="cs"/>
          <w:rtl/>
        </w:rPr>
        <w:t>،</w:t>
      </w:r>
      <w:r w:rsidRPr="00327856">
        <w:rPr>
          <w:rtl/>
        </w:rPr>
        <w:t xml:space="preserve"> وحوار</w:t>
      </w:r>
      <w:r w:rsidRPr="00327856">
        <w:rPr>
          <w:rFonts w:hint="cs"/>
          <w:rtl/>
        </w:rPr>
        <w:t>اً</w:t>
      </w:r>
      <w:r w:rsidRPr="00327856">
        <w:rPr>
          <w:rtl/>
        </w:rPr>
        <w:t xml:space="preserve"> </w:t>
      </w:r>
      <w:r w:rsidRPr="00327856">
        <w:rPr>
          <w:rFonts w:hint="cs"/>
          <w:rtl/>
        </w:rPr>
        <w:t>لمدة</w:t>
      </w:r>
      <w:r w:rsidRPr="00327856">
        <w:rPr>
          <w:rtl/>
        </w:rPr>
        <w:t xml:space="preserve"> خمس ساعات مع كل دولة </w:t>
      </w:r>
      <w:r w:rsidRPr="00327856">
        <w:rPr>
          <w:rFonts w:hint="cs"/>
          <w:rtl/>
        </w:rPr>
        <w:t>طرف</w:t>
      </w:r>
      <w:r w:rsidRPr="00327856">
        <w:rPr>
          <w:rtl/>
        </w:rPr>
        <w:t xml:space="preserve">. </w:t>
      </w:r>
      <w:r w:rsidRPr="00327856">
        <w:rPr>
          <w:rFonts w:hint="cs"/>
          <w:rtl/>
        </w:rPr>
        <w:t>وس</w:t>
      </w:r>
      <w:r w:rsidRPr="00327856">
        <w:rPr>
          <w:rtl/>
        </w:rPr>
        <w:t>تنظر اللجنة في</w:t>
      </w:r>
      <w:r w:rsidRPr="00327856">
        <w:rPr>
          <w:rFonts w:hint="cs"/>
          <w:rtl/>
        </w:rPr>
        <w:t xml:space="preserve"> مسألة</w:t>
      </w:r>
      <w:r w:rsidRPr="00327856">
        <w:rPr>
          <w:rtl/>
        </w:rPr>
        <w:t xml:space="preserve"> اعتماد مبادئ توجيهية مكتوبة تعكس ال</w:t>
      </w:r>
      <w:r w:rsidRPr="00327856">
        <w:rPr>
          <w:rFonts w:hint="cs"/>
          <w:rtl/>
        </w:rPr>
        <w:t>اقتراحات</w:t>
      </w:r>
      <w:r w:rsidRPr="00327856">
        <w:rPr>
          <w:rtl/>
        </w:rPr>
        <w:t xml:space="preserve"> ذات الصلة</w:t>
      </w:r>
      <w:r w:rsidRPr="00327856">
        <w:rPr>
          <w:rFonts w:hint="cs"/>
          <w:rtl/>
        </w:rPr>
        <w:t xml:space="preserve"> التي وردت </w:t>
      </w:r>
      <w:r w:rsidRPr="00327856">
        <w:rPr>
          <w:rtl/>
        </w:rPr>
        <w:t>في تقرير المفوض</w:t>
      </w:r>
      <w:r w:rsidRPr="00327856">
        <w:rPr>
          <w:rFonts w:hint="cs"/>
          <w:rtl/>
        </w:rPr>
        <w:t>ة</w:t>
      </w:r>
      <w:r w:rsidRPr="00327856">
        <w:rPr>
          <w:rtl/>
        </w:rPr>
        <w:t xml:space="preserve"> السامي</w:t>
      </w:r>
      <w:r w:rsidRPr="00327856">
        <w:rPr>
          <w:rFonts w:hint="cs"/>
          <w:rtl/>
        </w:rPr>
        <w:t>ة.</w:t>
      </w:r>
    </w:p>
    <w:p w:rsidR="00631BFA" w:rsidRPr="00327856" w:rsidRDefault="00631BFA" w:rsidP="00631BFA">
      <w:pPr>
        <w:pStyle w:val="SingleTxtGA"/>
        <w:rPr>
          <w:rtl/>
        </w:rPr>
      </w:pPr>
      <w:r w:rsidRPr="00327856">
        <w:rPr>
          <w:rtl/>
        </w:rPr>
        <w:t>7-</w:t>
      </w:r>
      <w:r w:rsidRPr="00327856">
        <w:rPr>
          <w:rtl/>
        </w:rPr>
        <w:tab/>
        <w:t>وتلاحظ اللجنة أيضا</w:t>
      </w:r>
      <w:r w:rsidRPr="00327856">
        <w:rPr>
          <w:rFonts w:hint="cs"/>
          <w:rtl/>
        </w:rPr>
        <w:t>ً</w:t>
      </w:r>
      <w:r w:rsidRPr="00327856">
        <w:rPr>
          <w:rtl/>
        </w:rPr>
        <w:t xml:space="preserve"> باهتمام</w:t>
      </w:r>
      <w:r w:rsidRPr="00327856">
        <w:rPr>
          <w:rFonts w:hint="cs"/>
          <w:rtl/>
        </w:rPr>
        <w:t xml:space="preserve"> المقترحات الداعية إلى</w:t>
      </w:r>
      <w:r w:rsidRPr="00327856">
        <w:rPr>
          <w:rtl/>
        </w:rPr>
        <w:t xml:space="preserve"> تعزيز إجراءات الشكاوى الفردية. </w:t>
      </w:r>
      <w:r w:rsidRPr="00327856">
        <w:rPr>
          <w:rFonts w:hint="cs"/>
          <w:rtl/>
        </w:rPr>
        <w:t>وتسلط</w:t>
      </w:r>
      <w:r w:rsidRPr="00327856">
        <w:rPr>
          <w:rtl/>
        </w:rPr>
        <w:t xml:space="preserve"> الضوء على أهمية </w:t>
      </w:r>
      <w:r w:rsidRPr="00327856">
        <w:rPr>
          <w:rFonts w:hint="cs"/>
          <w:rtl/>
        </w:rPr>
        <w:t>ال</w:t>
      </w:r>
      <w:r w:rsidRPr="00327856">
        <w:rPr>
          <w:rtl/>
        </w:rPr>
        <w:t xml:space="preserve">معايير </w:t>
      </w:r>
      <w:r w:rsidRPr="00327856">
        <w:rPr>
          <w:rFonts w:hint="cs"/>
          <w:rtl/>
        </w:rPr>
        <w:t>ال</w:t>
      </w:r>
      <w:r w:rsidRPr="00327856">
        <w:rPr>
          <w:rtl/>
        </w:rPr>
        <w:t>ثابتة للحماية ون</w:t>
      </w:r>
      <w:r w:rsidRPr="00327856">
        <w:rPr>
          <w:rFonts w:hint="cs"/>
          <w:rtl/>
        </w:rPr>
        <w:t>ُ</w:t>
      </w:r>
      <w:r w:rsidRPr="00327856">
        <w:rPr>
          <w:rtl/>
        </w:rPr>
        <w:t>هج العمل</w:t>
      </w:r>
      <w:r w:rsidRPr="00327856">
        <w:rPr>
          <w:rFonts w:hint="cs"/>
          <w:rtl/>
        </w:rPr>
        <w:t xml:space="preserve"> المتسقة في التعامل مع الشكاوى</w:t>
      </w:r>
      <w:r w:rsidRPr="00327856">
        <w:rPr>
          <w:rtl/>
        </w:rPr>
        <w:t xml:space="preserve">. وترحب اللجنة بإنشاء قاعدة بيانات </w:t>
      </w:r>
      <w:r w:rsidRPr="00327856">
        <w:rPr>
          <w:rFonts w:hint="cs"/>
          <w:rtl/>
        </w:rPr>
        <w:t>للاجتهادات القانونية لهيئات المعاهدات.</w:t>
      </w:r>
    </w:p>
    <w:p w:rsidR="00631BFA" w:rsidRPr="00327856" w:rsidRDefault="00631BFA" w:rsidP="00631BFA">
      <w:pPr>
        <w:pStyle w:val="SingleTxtGA"/>
        <w:rPr>
          <w:rtl/>
        </w:rPr>
      </w:pPr>
      <w:r w:rsidRPr="00327856">
        <w:rPr>
          <w:rtl/>
        </w:rPr>
        <w:t>8-</w:t>
      </w:r>
      <w:r w:rsidRPr="00327856">
        <w:rPr>
          <w:rtl/>
        </w:rPr>
        <w:tab/>
        <w:t>وت</w:t>
      </w:r>
      <w:r w:rsidRPr="00327856">
        <w:rPr>
          <w:rFonts w:hint="cs"/>
          <w:rtl/>
        </w:rPr>
        <w:t>شير</w:t>
      </w:r>
      <w:r w:rsidRPr="00327856">
        <w:rPr>
          <w:rtl/>
        </w:rPr>
        <w:t xml:space="preserve"> اللجنة</w:t>
      </w:r>
      <w:r w:rsidRPr="00327856">
        <w:rPr>
          <w:rFonts w:hint="cs"/>
          <w:rtl/>
        </w:rPr>
        <w:t>، في معرض ترحيبها</w:t>
      </w:r>
      <w:r w:rsidRPr="00327856">
        <w:rPr>
          <w:rtl/>
        </w:rPr>
        <w:t xml:space="preserve"> </w:t>
      </w:r>
      <w:r w:rsidRPr="00327856">
        <w:rPr>
          <w:rFonts w:hint="cs"/>
          <w:rtl/>
        </w:rPr>
        <w:t>ب</w:t>
      </w:r>
      <w:r w:rsidRPr="00327856">
        <w:rPr>
          <w:rtl/>
        </w:rPr>
        <w:t xml:space="preserve">التوصية </w:t>
      </w:r>
      <w:r w:rsidRPr="00327856">
        <w:rPr>
          <w:rFonts w:hint="cs"/>
          <w:rtl/>
        </w:rPr>
        <w:t xml:space="preserve">الداعية إلى </w:t>
      </w:r>
      <w:r w:rsidRPr="00327856">
        <w:rPr>
          <w:rtl/>
        </w:rPr>
        <w:t xml:space="preserve">اعتماد ملاحظات ختامية </w:t>
      </w:r>
      <w:r w:rsidR="00BE6C28">
        <w:rPr>
          <w:rFonts w:hint="cs"/>
          <w:rtl/>
        </w:rPr>
        <w:t>موجزة و</w:t>
      </w:r>
      <w:r w:rsidRPr="00327856">
        <w:rPr>
          <w:rFonts w:hint="cs"/>
          <w:rtl/>
        </w:rPr>
        <w:t xml:space="preserve">مركزة </w:t>
      </w:r>
      <w:r w:rsidRPr="00327856">
        <w:rPr>
          <w:rtl/>
        </w:rPr>
        <w:t>وواقعية</w:t>
      </w:r>
      <w:r w:rsidRPr="00327856">
        <w:rPr>
          <w:rFonts w:hint="cs"/>
          <w:rtl/>
        </w:rPr>
        <w:t>،</w:t>
      </w:r>
      <w:r w:rsidRPr="00327856">
        <w:rPr>
          <w:rtl/>
        </w:rPr>
        <w:t xml:space="preserve"> إلى الجهود التي </w:t>
      </w:r>
      <w:r w:rsidRPr="00327856">
        <w:rPr>
          <w:rFonts w:hint="cs"/>
          <w:rtl/>
        </w:rPr>
        <w:t>بذلتها</w:t>
      </w:r>
      <w:r w:rsidRPr="00327856">
        <w:rPr>
          <w:rtl/>
        </w:rPr>
        <w:t xml:space="preserve"> بالفعل في هذا الصدد، وتسعى لمواصلة هذا العمل، </w:t>
      </w:r>
      <w:r w:rsidRPr="00327856">
        <w:rPr>
          <w:rFonts w:hint="cs"/>
          <w:rtl/>
        </w:rPr>
        <w:t>على النحو ال</w:t>
      </w:r>
      <w:r w:rsidRPr="00327856">
        <w:rPr>
          <w:rtl/>
        </w:rPr>
        <w:t>مذكور في الفقرة 1 أعلاه، و</w:t>
      </w:r>
      <w:r w:rsidRPr="00327856">
        <w:rPr>
          <w:rFonts w:hint="cs"/>
          <w:rtl/>
        </w:rPr>
        <w:t xml:space="preserve">تشير </w:t>
      </w:r>
      <w:r w:rsidRPr="00327856">
        <w:rPr>
          <w:rtl/>
        </w:rPr>
        <w:t>كذلك</w:t>
      </w:r>
      <w:r w:rsidRPr="00327856">
        <w:rPr>
          <w:rFonts w:hint="cs"/>
          <w:rtl/>
        </w:rPr>
        <w:t xml:space="preserve"> إلى</w:t>
      </w:r>
      <w:r w:rsidRPr="00327856">
        <w:rPr>
          <w:rtl/>
        </w:rPr>
        <w:t xml:space="preserve"> أهمية تقديم توصيات واضحة إلى الدول الأطراف</w:t>
      </w:r>
      <w:r w:rsidRPr="00327856">
        <w:rPr>
          <w:rFonts w:hint="cs"/>
          <w:rtl/>
        </w:rPr>
        <w:t>.</w:t>
      </w:r>
    </w:p>
    <w:p w:rsidR="00631BFA" w:rsidRPr="00327856" w:rsidRDefault="00631BFA" w:rsidP="00631BFA">
      <w:pPr>
        <w:pStyle w:val="SingleTxtGA"/>
        <w:rPr>
          <w:rtl/>
        </w:rPr>
      </w:pPr>
      <w:r w:rsidRPr="00327856">
        <w:rPr>
          <w:rtl/>
        </w:rPr>
        <w:t>9-</w:t>
      </w:r>
      <w:r w:rsidRPr="00327856">
        <w:rPr>
          <w:rtl/>
        </w:rPr>
        <w:tab/>
        <w:t xml:space="preserve">وترحب اللجنة </w:t>
      </w:r>
      <w:r w:rsidRPr="00327856">
        <w:rPr>
          <w:rFonts w:hint="cs"/>
          <w:rtl/>
        </w:rPr>
        <w:t>بال</w:t>
      </w:r>
      <w:r w:rsidRPr="00327856">
        <w:rPr>
          <w:rtl/>
        </w:rPr>
        <w:t xml:space="preserve">توصية </w:t>
      </w:r>
      <w:r w:rsidRPr="00327856">
        <w:rPr>
          <w:rFonts w:hint="cs"/>
          <w:rtl/>
        </w:rPr>
        <w:t xml:space="preserve">الداعية إلى </w:t>
      </w:r>
      <w:r w:rsidRPr="00327856">
        <w:rPr>
          <w:rtl/>
        </w:rPr>
        <w:t xml:space="preserve">تعزيز تفاعلها مع كيانات الأمم المتحدة ذات الصلة ومنظمات المجتمع المدني. وقد أكدت اللجنة على قيمة المعلومات </w:t>
      </w:r>
      <w:r w:rsidRPr="00327856">
        <w:rPr>
          <w:rFonts w:hint="cs"/>
          <w:rtl/>
        </w:rPr>
        <w:t>ال</w:t>
      </w:r>
      <w:r w:rsidRPr="00327856">
        <w:rPr>
          <w:rtl/>
        </w:rPr>
        <w:t>موثوقة</w:t>
      </w:r>
      <w:r w:rsidRPr="00327856">
        <w:rPr>
          <w:rFonts w:hint="cs"/>
          <w:rtl/>
        </w:rPr>
        <w:t xml:space="preserve"> والمستقلة التي تقدمها</w:t>
      </w:r>
      <w:r w:rsidRPr="00327856">
        <w:rPr>
          <w:rtl/>
        </w:rPr>
        <w:t xml:space="preserve"> منظمات المجتمع المدني و</w:t>
      </w:r>
      <w:r w:rsidRPr="00327856">
        <w:rPr>
          <w:rFonts w:hint="cs"/>
          <w:rtl/>
        </w:rPr>
        <w:t xml:space="preserve">أهمية تلقي </w:t>
      </w:r>
      <w:r w:rsidRPr="00327856">
        <w:rPr>
          <w:rtl/>
        </w:rPr>
        <w:t>إحاطات من كيانات الأمم المتحدة ذات الصلة. وتلاحظ اللجنة أنه</w:t>
      </w:r>
      <w:r w:rsidRPr="00327856">
        <w:rPr>
          <w:rFonts w:hint="cs"/>
          <w:rtl/>
        </w:rPr>
        <w:t>ا تجتمع</w:t>
      </w:r>
      <w:r w:rsidRPr="00327856">
        <w:rPr>
          <w:rtl/>
        </w:rPr>
        <w:t xml:space="preserve"> بالفعل مع كيانات الأمم المتحدة ومنظمات المجتمع المدني فيما يتعلق بكل تقرير </w:t>
      </w:r>
      <w:r w:rsidRPr="00327856">
        <w:rPr>
          <w:rFonts w:hint="cs"/>
          <w:rtl/>
        </w:rPr>
        <w:t>تنظر فيه، وتعمل</w:t>
      </w:r>
      <w:r w:rsidRPr="00327856">
        <w:rPr>
          <w:rtl/>
        </w:rPr>
        <w:t xml:space="preserve">، </w:t>
      </w:r>
      <w:r w:rsidRPr="00327856">
        <w:rPr>
          <w:rFonts w:hint="cs"/>
          <w:rtl/>
        </w:rPr>
        <w:t>من باب</w:t>
      </w:r>
      <w:r w:rsidRPr="00327856">
        <w:rPr>
          <w:rtl/>
        </w:rPr>
        <w:t xml:space="preserve"> الشفافية، </w:t>
      </w:r>
      <w:r w:rsidRPr="00327856">
        <w:rPr>
          <w:rFonts w:hint="cs"/>
          <w:rtl/>
        </w:rPr>
        <w:t>على أن تتيح للجمهور</w:t>
      </w:r>
      <w:r w:rsidRPr="00327856">
        <w:rPr>
          <w:rtl/>
        </w:rPr>
        <w:t xml:space="preserve"> جميع المساهمات</w:t>
      </w:r>
      <w:r w:rsidRPr="00327856">
        <w:rPr>
          <w:rFonts w:hint="cs"/>
          <w:rtl/>
        </w:rPr>
        <w:t xml:space="preserve"> الواردة</w:t>
      </w:r>
      <w:r w:rsidRPr="00327856">
        <w:rPr>
          <w:rtl/>
        </w:rPr>
        <w:t xml:space="preserve"> من منظمات المجتمع المدني على موقعها </w:t>
      </w:r>
      <w:r w:rsidRPr="00327856">
        <w:rPr>
          <w:rFonts w:hint="cs"/>
          <w:rtl/>
        </w:rPr>
        <w:t>الشبكي</w:t>
      </w:r>
      <w:r w:rsidRPr="00327856">
        <w:rPr>
          <w:rtl/>
        </w:rPr>
        <w:t xml:space="preserve">، باستثناء </w:t>
      </w:r>
      <w:r w:rsidRPr="00327856">
        <w:rPr>
          <w:rFonts w:hint="cs"/>
          <w:rtl/>
        </w:rPr>
        <w:t>الحالات التي</w:t>
      </w:r>
      <w:r w:rsidRPr="00327856">
        <w:rPr>
          <w:rtl/>
        </w:rPr>
        <w:t xml:space="preserve"> </w:t>
      </w:r>
      <w:r w:rsidRPr="00327856">
        <w:rPr>
          <w:rFonts w:hint="cs"/>
          <w:rtl/>
        </w:rPr>
        <w:t>يخشى فيها حدوث أعمال انتقامية.</w:t>
      </w:r>
      <w:r w:rsidRPr="00327856">
        <w:rPr>
          <w:rtl/>
        </w:rPr>
        <w:t xml:space="preserve"> </w:t>
      </w:r>
    </w:p>
    <w:p w:rsidR="00631BFA" w:rsidRPr="00327856" w:rsidRDefault="00631BFA" w:rsidP="00631BFA">
      <w:pPr>
        <w:pStyle w:val="SingleTxtGA"/>
        <w:rPr>
          <w:rtl/>
        </w:rPr>
      </w:pPr>
      <w:r w:rsidRPr="00327856">
        <w:rPr>
          <w:rtl/>
        </w:rPr>
        <w:t>10-</w:t>
      </w:r>
      <w:r w:rsidRPr="00327856">
        <w:rPr>
          <w:rtl/>
        </w:rPr>
        <w:tab/>
      </w:r>
      <w:r w:rsidRPr="00327856">
        <w:rPr>
          <w:rFonts w:hint="cs"/>
          <w:rtl/>
        </w:rPr>
        <w:t>و</w:t>
      </w:r>
      <w:r w:rsidRPr="00327856">
        <w:rPr>
          <w:rtl/>
        </w:rPr>
        <w:t xml:space="preserve">تؤيد اللجنة التوصيات المقدمة بشأن </w:t>
      </w:r>
      <w:r w:rsidRPr="00327856">
        <w:rPr>
          <w:rFonts w:hint="cs"/>
          <w:rtl/>
        </w:rPr>
        <w:t>ضرورة</w:t>
      </w:r>
      <w:r w:rsidRPr="00327856">
        <w:rPr>
          <w:rtl/>
        </w:rPr>
        <w:t xml:space="preserve"> رصد </w:t>
      </w:r>
      <w:r w:rsidRPr="00327856">
        <w:rPr>
          <w:rFonts w:hint="cs"/>
          <w:rtl/>
        </w:rPr>
        <w:t>ا</w:t>
      </w:r>
      <w:r w:rsidRPr="00327856">
        <w:rPr>
          <w:rtl/>
        </w:rPr>
        <w:t xml:space="preserve">لأعمال </w:t>
      </w:r>
      <w:r w:rsidRPr="00327856">
        <w:rPr>
          <w:rFonts w:hint="cs"/>
          <w:rtl/>
        </w:rPr>
        <w:t>ال</w:t>
      </w:r>
      <w:r w:rsidRPr="00327856">
        <w:rPr>
          <w:rtl/>
        </w:rPr>
        <w:t xml:space="preserve">انتقامية ضد المدافعين عن حقوق الإنسان بعد </w:t>
      </w:r>
      <w:r w:rsidRPr="00327856">
        <w:rPr>
          <w:rFonts w:hint="cs"/>
          <w:rtl/>
        </w:rPr>
        <w:t xml:space="preserve">تعاملهم </w:t>
      </w:r>
      <w:r w:rsidRPr="00327856">
        <w:rPr>
          <w:rtl/>
        </w:rPr>
        <w:t>مع اللجنة ووضع حد</w:t>
      </w:r>
      <w:r w:rsidRPr="00327856">
        <w:rPr>
          <w:rFonts w:hint="cs"/>
          <w:rtl/>
        </w:rPr>
        <w:t xml:space="preserve"> لهذه الأعمال</w:t>
      </w:r>
      <w:r w:rsidRPr="00327856">
        <w:rPr>
          <w:rtl/>
        </w:rPr>
        <w:t>. وت</w:t>
      </w:r>
      <w:r w:rsidRPr="00327856">
        <w:rPr>
          <w:rFonts w:hint="cs"/>
          <w:rtl/>
        </w:rPr>
        <w:t>رى</w:t>
      </w:r>
      <w:r w:rsidRPr="00327856">
        <w:rPr>
          <w:rtl/>
        </w:rPr>
        <w:t xml:space="preserve"> </w:t>
      </w:r>
      <w:r w:rsidRPr="00327856">
        <w:rPr>
          <w:rFonts w:hint="cs"/>
          <w:rtl/>
        </w:rPr>
        <w:t>أن</w:t>
      </w:r>
      <w:r w:rsidRPr="00327856">
        <w:rPr>
          <w:rtl/>
        </w:rPr>
        <w:t xml:space="preserve"> هذه ال</w:t>
      </w:r>
      <w:r w:rsidRPr="00327856">
        <w:rPr>
          <w:rFonts w:hint="cs"/>
          <w:rtl/>
        </w:rPr>
        <w:t>أعمال</w:t>
      </w:r>
      <w:r w:rsidRPr="00327856">
        <w:rPr>
          <w:rtl/>
        </w:rPr>
        <w:t xml:space="preserve"> الانتقامية </w:t>
      </w:r>
      <w:r w:rsidRPr="00327856">
        <w:rPr>
          <w:rFonts w:hint="cs"/>
          <w:rtl/>
        </w:rPr>
        <w:t>تتسبب في إلحاق ضرر</w:t>
      </w:r>
      <w:r w:rsidRPr="00327856">
        <w:rPr>
          <w:rtl/>
        </w:rPr>
        <w:t xml:space="preserve"> كبير </w:t>
      </w:r>
      <w:r w:rsidRPr="00327856">
        <w:rPr>
          <w:rFonts w:hint="cs"/>
          <w:rtl/>
        </w:rPr>
        <w:t>بالجهود المبذولة</w:t>
      </w:r>
      <w:r w:rsidRPr="00327856">
        <w:rPr>
          <w:rtl/>
        </w:rPr>
        <w:t xml:space="preserve"> لضمان الامتثال لمتطلبات الاتفاقية، و</w:t>
      </w:r>
      <w:r w:rsidRPr="00327856">
        <w:rPr>
          <w:rFonts w:hint="cs"/>
          <w:rtl/>
        </w:rPr>
        <w:t>ت</w:t>
      </w:r>
      <w:r w:rsidRPr="00327856">
        <w:rPr>
          <w:rtl/>
        </w:rPr>
        <w:t xml:space="preserve">ؤكد </w:t>
      </w:r>
      <w:r w:rsidRPr="00327856">
        <w:rPr>
          <w:rFonts w:hint="cs"/>
          <w:rtl/>
        </w:rPr>
        <w:t>استعدادها</w:t>
      </w:r>
      <w:r w:rsidRPr="00327856">
        <w:rPr>
          <w:rtl/>
        </w:rPr>
        <w:t xml:space="preserve"> لاتخاذ تدابير عاجلة ومتسقة في حالة </w:t>
      </w:r>
      <w:r w:rsidRPr="00327856">
        <w:rPr>
          <w:rFonts w:hint="cs"/>
          <w:rtl/>
        </w:rPr>
        <w:t>ارتكاب أعمال انتقامية</w:t>
      </w:r>
      <w:r w:rsidRPr="00327856">
        <w:rPr>
          <w:rtl/>
        </w:rPr>
        <w:t>.</w:t>
      </w:r>
      <w:r w:rsidRPr="00327856">
        <w:rPr>
          <w:rFonts w:hint="cs"/>
          <w:rtl/>
        </w:rPr>
        <w:t xml:space="preserve"> و</w:t>
      </w:r>
      <w:r w:rsidRPr="00327856">
        <w:rPr>
          <w:rtl/>
        </w:rPr>
        <w:t xml:space="preserve">لهذا الغرض، </w:t>
      </w:r>
      <w:r w:rsidRPr="00327856">
        <w:rPr>
          <w:rFonts w:hint="cs"/>
          <w:rtl/>
        </w:rPr>
        <w:t xml:space="preserve">عينت </w:t>
      </w:r>
      <w:r w:rsidRPr="00327856">
        <w:rPr>
          <w:rtl/>
        </w:rPr>
        <w:t>اللجنة خلال</w:t>
      </w:r>
      <w:r w:rsidRPr="00327856">
        <w:rPr>
          <w:rFonts w:hint="cs"/>
          <w:rtl/>
        </w:rPr>
        <w:t xml:space="preserve"> دورتها الحالية مقررين معنيين بأعمال الانتقام للاضطلاع بالمهام الموكلة إليها</w:t>
      </w:r>
      <w:r w:rsidRPr="00327856">
        <w:rPr>
          <w:rtl/>
        </w:rPr>
        <w:t xml:space="preserve"> بموجب </w:t>
      </w:r>
      <w:r w:rsidRPr="00327856">
        <w:rPr>
          <w:rFonts w:hint="cs"/>
          <w:rtl/>
        </w:rPr>
        <w:t xml:space="preserve">المادتين </w:t>
      </w:r>
      <w:r w:rsidRPr="00327856">
        <w:rPr>
          <w:rtl/>
        </w:rPr>
        <w:t xml:space="preserve">19 </w:t>
      </w:r>
      <w:r w:rsidRPr="00327856">
        <w:rPr>
          <w:rFonts w:hint="cs"/>
          <w:rtl/>
        </w:rPr>
        <w:t xml:space="preserve">و22 </w:t>
      </w:r>
      <w:r w:rsidRPr="00327856">
        <w:rPr>
          <w:rtl/>
        </w:rPr>
        <w:t>من الاتفاقي</w:t>
      </w:r>
      <w:r w:rsidRPr="00327856">
        <w:rPr>
          <w:rFonts w:hint="cs"/>
          <w:rtl/>
        </w:rPr>
        <w:t>ة.</w:t>
      </w:r>
    </w:p>
    <w:p w:rsidR="00631BFA" w:rsidRPr="00327856" w:rsidRDefault="00631BFA" w:rsidP="00631BFA">
      <w:pPr>
        <w:pStyle w:val="SingleTxtGA"/>
        <w:rPr>
          <w:rtl/>
        </w:rPr>
      </w:pPr>
      <w:r w:rsidRPr="00327856">
        <w:rPr>
          <w:rtl/>
        </w:rPr>
        <w:t>11-</w:t>
      </w:r>
      <w:r w:rsidRPr="00327856">
        <w:rPr>
          <w:rtl/>
        </w:rPr>
        <w:tab/>
      </w:r>
      <w:r w:rsidRPr="00327856">
        <w:rPr>
          <w:rFonts w:hint="cs"/>
          <w:rtl/>
        </w:rPr>
        <w:t xml:space="preserve">وتشير اللجنة، في معرض تسليطها الضوء على </w:t>
      </w:r>
      <w:r w:rsidRPr="00327856">
        <w:rPr>
          <w:rtl/>
        </w:rPr>
        <w:t>أهمية إجراء</w:t>
      </w:r>
      <w:r w:rsidRPr="00327856">
        <w:rPr>
          <w:rFonts w:hint="cs"/>
          <w:rtl/>
        </w:rPr>
        <w:t xml:space="preserve">ات متابعة </w:t>
      </w:r>
      <w:r w:rsidRPr="00327856">
        <w:rPr>
          <w:rtl/>
        </w:rPr>
        <w:t>الملاحظات الختامية، إلى أنه</w:t>
      </w:r>
      <w:r w:rsidRPr="00327856">
        <w:rPr>
          <w:rFonts w:hint="cs"/>
          <w:rtl/>
        </w:rPr>
        <w:t>ا</w:t>
      </w:r>
      <w:r w:rsidRPr="00327856">
        <w:rPr>
          <w:rtl/>
        </w:rPr>
        <w:t xml:space="preserve"> قد عين</w:t>
      </w:r>
      <w:r w:rsidRPr="00327856">
        <w:rPr>
          <w:rFonts w:hint="cs"/>
          <w:rtl/>
        </w:rPr>
        <w:t>ت منذ عام 2003</w:t>
      </w:r>
      <w:r w:rsidRPr="00327856">
        <w:rPr>
          <w:rtl/>
        </w:rPr>
        <w:t xml:space="preserve"> مقررين</w:t>
      </w:r>
      <w:r w:rsidRPr="00327856">
        <w:rPr>
          <w:rFonts w:hint="cs"/>
          <w:rtl/>
        </w:rPr>
        <w:t xml:space="preserve"> اثنين</w:t>
      </w:r>
      <w:r w:rsidRPr="00327856">
        <w:rPr>
          <w:rtl/>
        </w:rPr>
        <w:t xml:space="preserve"> </w:t>
      </w:r>
      <w:r w:rsidRPr="00327856">
        <w:rPr>
          <w:rFonts w:hint="cs"/>
          <w:rtl/>
        </w:rPr>
        <w:t>معنيين بالمتابعة، يضطلع أحدهما بالتقارير القطرية ويضطلع الآخر بالشكاوى الفردية.</w:t>
      </w:r>
      <w:r w:rsidRPr="00327856">
        <w:rPr>
          <w:rtl/>
        </w:rPr>
        <w:t xml:space="preserve"> </w:t>
      </w:r>
      <w:r w:rsidRPr="00327856">
        <w:rPr>
          <w:rFonts w:hint="cs"/>
          <w:rtl/>
        </w:rPr>
        <w:t>وهي تناقش</w:t>
      </w:r>
      <w:r w:rsidRPr="00327856">
        <w:rPr>
          <w:rtl/>
        </w:rPr>
        <w:t xml:space="preserve"> بشكل روتيني سبل تحسين إجراءات</w:t>
      </w:r>
      <w:r w:rsidRPr="00327856">
        <w:rPr>
          <w:rFonts w:hint="cs"/>
          <w:rtl/>
        </w:rPr>
        <w:t>ها المتعلقة بالمتابعة حتى تتمكن من المضي</w:t>
      </w:r>
      <w:r w:rsidRPr="00327856">
        <w:rPr>
          <w:rtl/>
        </w:rPr>
        <w:t xml:space="preserve"> قدما</w:t>
      </w:r>
      <w:r w:rsidRPr="00327856">
        <w:rPr>
          <w:rFonts w:hint="cs"/>
          <w:rtl/>
        </w:rPr>
        <w:t>ً</w:t>
      </w:r>
      <w:r w:rsidRPr="00327856">
        <w:rPr>
          <w:rtl/>
        </w:rPr>
        <w:t xml:space="preserve"> في تنفيذ متطلبات الاتفاقي</w:t>
      </w:r>
      <w:r w:rsidRPr="00327856">
        <w:rPr>
          <w:rFonts w:hint="cs"/>
          <w:rtl/>
        </w:rPr>
        <w:t>ة.</w:t>
      </w:r>
    </w:p>
    <w:p w:rsidR="00631BFA" w:rsidRPr="00327856" w:rsidRDefault="00631BFA" w:rsidP="00631BFA">
      <w:pPr>
        <w:pStyle w:val="SingleTxtGA"/>
        <w:rPr>
          <w:rtl/>
        </w:rPr>
      </w:pPr>
      <w:r w:rsidRPr="00327856">
        <w:rPr>
          <w:rtl/>
        </w:rPr>
        <w:t>12-</w:t>
      </w:r>
      <w:r w:rsidRPr="00327856">
        <w:rPr>
          <w:rtl/>
        </w:rPr>
        <w:tab/>
        <w:t xml:space="preserve">وترحب اللجنة </w:t>
      </w:r>
      <w:r w:rsidRPr="00327856">
        <w:rPr>
          <w:rFonts w:hint="cs"/>
          <w:rtl/>
        </w:rPr>
        <w:t>ب</w:t>
      </w:r>
      <w:r w:rsidRPr="00327856">
        <w:rPr>
          <w:rtl/>
        </w:rPr>
        <w:t xml:space="preserve">الاقتراح المتعلق </w:t>
      </w:r>
      <w:r w:rsidRPr="00327856">
        <w:rPr>
          <w:rFonts w:hint="cs"/>
          <w:rtl/>
        </w:rPr>
        <w:t xml:space="preserve">بإجراء </w:t>
      </w:r>
      <w:r w:rsidRPr="00327856">
        <w:rPr>
          <w:rtl/>
        </w:rPr>
        <w:t>عملية تشاور مت</w:t>
      </w:r>
      <w:r w:rsidRPr="00327856">
        <w:rPr>
          <w:rFonts w:hint="cs"/>
          <w:rtl/>
        </w:rPr>
        <w:t>سقة</w:t>
      </w:r>
      <w:r w:rsidRPr="00327856">
        <w:rPr>
          <w:rtl/>
        </w:rPr>
        <w:t xml:space="preserve"> لإعداد التعليقات العامة</w:t>
      </w:r>
      <w:r w:rsidRPr="00327856">
        <w:rPr>
          <w:rFonts w:hint="cs"/>
          <w:rtl/>
        </w:rPr>
        <w:t xml:space="preserve">، </w:t>
      </w:r>
      <w:r w:rsidRPr="00327856">
        <w:rPr>
          <w:rtl/>
        </w:rPr>
        <w:t>وس</w:t>
      </w:r>
      <w:r w:rsidRPr="00327856">
        <w:rPr>
          <w:rFonts w:hint="cs"/>
          <w:rtl/>
        </w:rPr>
        <w:t>وف تواصل مناقشة هذا الاقتراح.</w:t>
      </w:r>
    </w:p>
    <w:p w:rsidR="00631BFA" w:rsidRPr="00327856" w:rsidRDefault="00631BFA" w:rsidP="00631BFA">
      <w:pPr>
        <w:pStyle w:val="SingleTxtGA"/>
        <w:rPr>
          <w:rtl/>
        </w:rPr>
      </w:pPr>
      <w:r w:rsidRPr="00327856">
        <w:rPr>
          <w:rtl/>
        </w:rPr>
        <w:t>13-</w:t>
      </w:r>
      <w:r w:rsidRPr="00327856">
        <w:rPr>
          <w:rtl/>
        </w:rPr>
        <w:tab/>
      </w:r>
      <w:r w:rsidRPr="00327856">
        <w:rPr>
          <w:rFonts w:hint="cs"/>
          <w:rtl/>
        </w:rPr>
        <w:t>وإذ تشير اللجنة</w:t>
      </w:r>
      <w:r w:rsidRPr="00327856">
        <w:rPr>
          <w:rtl/>
        </w:rPr>
        <w:t xml:space="preserve"> إلى أن</w:t>
      </w:r>
      <w:r w:rsidRPr="00327856">
        <w:rPr>
          <w:rFonts w:hint="cs"/>
          <w:rtl/>
        </w:rPr>
        <w:t>ه قد تسنى</w:t>
      </w:r>
      <w:r w:rsidRPr="00327856">
        <w:rPr>
          <w:rtl/>
        </w:rPr>
        <w:t xml:space="preserve"> منذ عام 2010</w:t>
      </w:r>
      <w:r w:rsidRPr="00327856">
        <w:rPr>
          <w:rFonts w:hint="cs"/>
          <w:rtl/>
        </w:rPr>
        <w:t>، بالتعاون مع منظمات غير حكومية، البث الشبكي لجميع</w:t>
      </w:r>
      <w:r w:rsidRPr="00327856">
        <w:rPr>
          <w:rtl/>
        </w:rPr>
        <w:t xml:space="preserve"> الجلسات العلنية التي </w:t>
      </w:r>
      <w:r w:rsidRPr="00327856">
        <w:rPr>
          <w:rFonts w:hint="cs"/>
          <w:rtl/>
        </w:rPr>
        <w:t xml:space="preserve">تتضمن </w:t>
      </w:r>
      <w:r w:rsidRPr="00327856">
        <w:rPr>
          <w:rtl/>
        </w:rPr>
        <w:t>حوارات مع وفود الدول ال</w:t>
      </w:r>
      <w:r w:rsidRPr="00327856">
        <w:rPr>
          <w:rFonts w:hint="cs"/>
          <w:rtl/>
        </w:rPr>
        <w:t>أطرا</w:t>
      </w:r>
      <w:r w:rsidRPr="00327856">
        <w:rPr>
          <w:rtl/>
        </w:rPr>
        <w:t xml:space="preserve">ف، </w:t>
      </w:r>
      <w:r w:rsidRPr="00327856">
        <w:rPr>
          <w:rFonts w:hint="cs"/>
          <w:rtl/>
        </w:rPr>
        <w:t xml:space="preserve">فإنها </w:t>
      </w:r>
      <w:r w:rsidRPr="00327856">
        <w:rPr>
          <w:rtl/>
        </w:rPr>
        <w:t xml:space="preserve">ترحب </w:t>
      </w:r>
      <w:r w:rsidRPr="00327856">
        <w:rPr>
          <w:rFonts w:hint="cs"/>
          <w:rtl/>
        </w:rPr>
        <w:t>ب</w:t>
      </w:r>
      <w:r w:rsidRPr="00327856">
        <w:rPr>
          <w:rtl/>
        </w:rPr>
        <w:t>مختلف ا</w:t>
      </w:r>
      <w:r w:rsidRPr="00327856">
        <w:rPr>
          <w:rFonts w:hint="cs"/>
          <w:rtl/>
        </w:rPr>
        <w:t>لاقتراحات</w:t>
      </w:r>
      <w:r w:rsidRPr="00327856">
        <w:rPr>
          <w:rtl/>
        </w:rPr>
        <w:t xml:space="preserve"> التي </w:t>
      </w:r>
      <w:r w:rsidRPr="00327856">
        <w:rPr>
          <w:rFonts w:hint="cs"/>
          <w:rtl/>
        </w:rPr>
        <w:t>قدمت</w:t>
      </w:r>
      <w:r w:rsidRPr="00327856">
        <w:rPr>
          <w:rtl/>
        </w:rPr>
        <w:t xml:space="preserve"> لتعزيز </w:t>
      </w:r>
      <w:r w:rsidRPr="00327856">
        <w:rPr>
          <w:rFonts w:hint="cs"/>
          <w:rtl/>
        </w:rPr>
        <w:t>إبراز هيئات معاهدات حقوق</w:t>
      </w:r>
      <w:r w:rsidRPr="00327856">
        <w:rPr>
          <w:rtl/>
        </w:rPr>
        <w:t xml:space="preserve"> الإنسان و</w:t>
      </w:r>
      <w:r w:rsidRPr="00327856">
        <w:rPr>
          <w:rFonts w:hint="cs"/>
          <w:rtl/>
        </w:rPr>
        <w:t>تيسير</w:t>
      </w:r>
      <w:r w:rsidRPr="00327856">
        <w:rPr>
          <w:rtl/>
        </w:rPr>
        <w:t xml:space="preserve"> الوصول إليها</w:t>
      </w:r>
      <w:r w:rsidRPr="00327856">
        <w:rPr>
          <w:rFonts w:hint="cs"/>
          <w:rtl/>
        </w:rPr>
        <w:t>، من قبيل</w:t>
      </w:r>
      <w:r w:rsidRPr="00327856">
        <w:rPr>
          <w:rtl/>
        </w:rPr>
        <w:t xml:space="preserve"> البث عبر شبكة الإنترنت وعقد المؤتمرات عبر الفيديو، وسوف </w:t>
      </w:r>
      <w:r w:rsidRPr="00327856">
        <w:rPr>
          <w:rFonts w:hint="cs"/>
          <w:rtl/>
        </w:rPr>
        <w:t>تواصل</w:t>
      </w:r>
      <w:r w:rsidRPr="00327856">
        <w:rPr>
          <w:rtl/>
        </w:rPr>
        <w:t xml:space="preserve"> استكشاف هذه </w:t>
      </w:r>
      <w:r w:rsidRPr="00327856">
        <w:rPr>
          <w:rFonts w:hint="cs"/>
          <w:rtl/>
        </w:rPr>
        <w:t>الإمكانيات.</w:t>
      </w:r>
    </w:p>
    <w:p w:rsidR="00631BFA" w:rsidRPr="00327856" w:rsidRDefault="00631BFA" w:rsidP="00631BFA">
      <w:pPr>
        <w:pStyle w:val="SingleTxtGA"/>
        <w:rPr>
          <w:rFonts w:hint="cs"/>
          <w:rtl/>
        </w:rPr>
      </w:pPr>
      <w:r w:rsidRPr="00327856">
        <w:rPr>
          <w:rtl/>
        </w:rPr>
        <w:t>14-</w:t>
      </w:r>
      <w:r w:rsidRPr="00327856">
        <w:rPr>
          <w:rtl/>
        </w:rPr>
        <w:tab/>
        <w:t>وت</w:t>
      </w:r>
      <w:r w:rsidRPr="00327856">
        <w:rPr>
          <w:rFonts w:hint="cs"/>
          <w:rtl/>
        </w:rPr>
        <w:t>ؤكد</w:t>
      </w:r>
      <w:r w:rsidRPr="00327856">
        <w:rPr>
          <w:rtl/>
        </w:rPr>
        <w:t xml:space="preserve"> لجنة مناهضة التعذيب </w:t>
      </w:r>
      <w:r w:rsidRPr="00327856">
        <w:rPr>
          <w:rFonts w:hint="cs"/>
          <w:rtl/>
        </w:rPr>
        <w:t>مجدداً</w:t>
      </w:r>
      <w:r w:rsidRPr="00327856">
        <w:rPr>
          <w:rtl/>
        </w:rPr>
        <w:t xml:space="preserve"> أهمية </w:t>
      </w:r>
      <w:r w:rsidRPr="00327856">
        <w:rPr>
          <w:rFonts w:hint="cs"/>
          <w:rtl/>
        </w:rPr>
        <w:t>الاقتراحات التي قدمتها</w:t>
      </w:r>
      <w:r w:rsidRPr="00327856">
        <w:rPr>
          <w:rtl/>
        </w:rPr>
        <w:t xml:space="preserve"> المفوض</w:t>
      </w:r>
      <w:r w:rsidRPr="00327856">
        <w:rPr>
          <w:rFonts w:hint="cs"/>
          <w:rtl/>
        </w:rPr>
        <w:t>ة</w:t>
      </w:r>
      <w:r w:rsidRPr="00327856">
        <w:rPr>
          <w:rtl/>
        </w:rPr>
        <w:t xml:space="preserve"> السامي</w:t>
      </w:r>
      <w:r w:rsidRPr="00327856">
        <w:rPr>
          <w:rFonts w:hint="cs"/>
          <w:rtl/>
        </w:rPr>
        <w:t>ة</w:t>
      </w:r>
      <w:r w:rsidRPr="00327856">
        <w:rPr>
          <w:rtl/>
        </w:rPr>
        <w:t xml:space="preserve">، وتتطلع إلى </w:t>
      </w:r>
      <w:r w:rsidRPr="00327856">
        <w:rPr>
          <w:rFonts w:hint="cs"/>
          <w:rtl/>
        </w:rPr>
        <w:t>مواصلة</w:t>
      </w:r>
      <w:r w:rsidRPr="00327856">
        <w:rPr>
          <w:rtl/>
        </w:rPr>
        <w:t xml:space="preserve"> مناقشة التوصيات </w:t>
      </w:r>
      <w:r w:rsidRPr="00327856">
        <w:rPr>
          <w:rFonts w:hint="cs"/>
          <w:rtl/>
        </w:rPr>
        <w:t>التي وردت</w:t>
      </w:r>
      <w:r w:rsidRPr="00327856">
        <w:rPr>
          <w:rtl/>
        </w:rPr>
        <w:t xml:space="preserve"> في تقرير المفوضة السامية لحقوق الإنسان </w:t>
      </w:r>
      <w:r w:rsidRPr="00327856">
        <w:rPr>
          <w:rFonts w:hint="cs"/>
          <w:rtl/>
        </w:rPr>
        <w:t>ووُجّهت</w:t>
      </w:r>
      <w:r w:rsidRPr="00327856">
        <w:rPr>
          <w:rtl/>
        </w:rPr>
        <w:t xml:space="preserve"> إلى </w:t>
      </w:r>
      <w:r w:rsidRPr="00327856">
        <w:rPr>
          <w:rFonts w:hint="cs"/>
          <w:rtl/>
        </w:rPr>
        <w:t>هيئات المعاهدات.</w:t>
      </w:r>
    </w:p>
    <w:p w:rsidR="00327856" w:rsidRDefault="00327856" w:rsidP="00327856">
      <w:pPr>
        <w:pStyle w:val="HChGA"/>
        <w:spacing w:before="120"/>
        <w:rPr>
          <w:rFonts w:hint="cs"/>
          <w:rtl/>
        </w:rPr>
      </w:pPr>
    </w:p>
    <w:p w:rsidR="00327856" w:rsidRPr="00327856" w:rsidRDefault="00327856" w:rsidP="00327856">
      <w:pPr>
        <w:rPr>
          <w:rFonts w:hint="cs"/>
          <w:rtl/>
        </w:rPr>
        <w:sectPr w:rsidR="00327856" w:rsidRPr="00327856" w:rsidSect="00631BFA">
          <w:footnotePr>
            <w:numRestart w:val="eachSect"/>
          </w:footnotePr>
          <w:endnotePr>
            <w:numFmt w:val="decimal"/>
          </w:endnotePr>
          <w:pgSz w:w="11907" w:h="16840" w:code="9"/>
          <w:pgMar w:top="1701" w:right="1134" w:bottom="2268" w:left="1134" w:header="1134" w:footer="1701" w:gutter="0"/>
          <w:cols w:space="720"/>
          <w:bidi/>
          <w:rtlGutter/>
          <w:docGrid w:linePitch="360"/>
        </w:sectPr>
      </w:pPr>
    </w:p>
    <w:p w:rsidR="00631BFA" w:rsidRPr="00BD34C6" w:rsidRDefault="00631BFA" w:rsidP="00327856">
      <w:pPr>
        <w:pStyle w:val="HChGA"/>
        <w:spacing w:before="120"/>
        <w:rPr>
          <w:rFonts w:hint="cs"/>
          <w:rtl/>
        </w:rPr>
      </w:pPr>
      <w:r w:rsidRPr="00BD34C6">
        <w:rPr>
          <w:rFonts w:hint="cs"/>
          <w:rtl/>
        </w:rPr>
        <w:t>المرفق الثاني عشر</w:t>
      </w:r>
    </w:p>
    <w:p w:rsidR="00631BFA" w:rsidRPr="00327856" w:rsidRDefault="00631BFA" w:rsidP="00327856">
      <w:pPr>
        <w:pStyle w:val="HChGA"/>
        <w:rPr>
          <w:rFonts w:ascii="Times New Roman Bold" w:hAnsi="Times New Roman Bold" w:hint="cs"/>
          <w:spacing w:val="-2"/>
        </w:rPr>
      </w:pPr>
      <w:r>
        <w:rPr>
          <w:rFonts w:hint="cs"/>
          <w:rtl/>
        </w:rPr>
        <w:tab/>
      </w:r>
      <w:r w:rsidRPr="00327856">
        <w:rPr>
          <w:rFonts w:ascii="Times New Roman Bold" w:hAnsi="Times New Roman Bold" w:hint="cs"/>
          <w:spacing w:val="-2"/>
          <w:rtl/>
        </w:rPr>
        <w:tab/>
        <w:t xml:space="preserve">بيان لجنـة مناهضة التعذيب الذي اعتمدته في دورتها التاسعة والأربعين (29 تشرين الأول/أكتوبر - 23 تشرين الثاني/نوفمبر </w:t>
      </w:r>
      <w:r w:rsidRPr="00327856">
        <w:rPr>
          <w:rFonts w:ascii="Times New Roman Bold" w:hAnsi="Times New Roman Bold"/>
          <w:spacing w:val="-2"/>
          <w:rtl/>
        </w:rPr>
        <w:t xml:space="preserve">2012) بشأن المبادئ التوجيهية المتعلقة باستقلال </w:t>
      </w:r>
      <w:r w:rsidRPr="00327856">
        <w:rPr>
          <w:rFonts w:ascii="Times New Roman Bold" w:hAnsi="Times New Roman Bold" w:hint="cs"/>
          <w:spacing w:val="-2"/>
          <w:rtl/>
        </w:rPr>
        <w:t xml:space="preserve">وحياد </w:t>
      </w:r>
      <w:r w:rsidRPr="00327856">
        <w:rPr>
          <w:rFonts w:ascii="Times New Roman Bold" w:hAnsi="Times New Roman Bold"/>
          <w:spacing w:val="-2"/>
          <w:rtl/>
        </w:rPr>
        <w:t xml:space="preserve">أعضاء هيئات معاهدات حقوق الإنسان </w:t>
      </w:r>
      <w:r w:rsidRPr="00327856">
        <w:rPr>
          <w:rFonts w:ascii="Times New Roman Bold" w:hAnsi="Times New Roman Bold" w:hint="cs"/>
          <w:spacing w:val="-2"/>
          <w:rtl/>
        </w:rPr>
        <w:t>("مبادئ أديس أبابا التوجيهية")</w:t>
      </w:r>
    </w:p>
    <w:p w:rsidR="00631BFA" w:rsidRDefault="00631BFA" w:rsidP="00327856">
      <w:pPr>
        <w:pStyle w:val="SingleTxtGA"/>
        <w:rPr>
          <w:rFonts w:hint="cs"/>
          <w:spacing w:val="4"/>
          <w:rtl/>
        </w:rPr>
      </w:pPr>
      <w:r w:rsidRPr="00E505CD">
        <w:rPr>
          <w:rFonts w:hint="cs"/>
          <w:spacing w:val="4"/>
          <w:rtl/>
        </w:rPr>
        <w:t>1-</w:t>
      </w:r>
      <w:r w:rsidRPr="00E505CD">
        <w:rPr>
          <w:rFonts w:hint="cs"/>
          <w:spacing w:val="4"/>
          <w:rtl/>
        </w:rPr>
        <w:tab/>
      </w:r>
      <w:r w:rsidRPr="00B46ED0">
        <w:rPr>
          <w:rFonts w:hint="cs"/>
          <w:spacing w:val="4"/>
          <w:rtl/>
        </w:rPr>
        <w:t>ناقش أعضاء لجنة مناهضة التعذيب، خلال الدورة التاسعة والأربعين للجنة،</w:t>
      </w:r>
      <w:r w:rsidRPr="00B46ED0">
        <w:rPr>
          <w:spacing w:val="4"/>
          <w:rtl/>
        </w:rPr>
        <w:t xml:space="preserve"> </w:t>
      </w:r>
      <w:r w:rsidRPr="00B46ED0">
        <w:rPr>
          <w:rtl/>
        </w:rPr>
        <w:t>المبا</w:t>
      </w:r>
      <w:r>
        <w:rPr>
          <w:rtl/>
        </w:rPr>
        <w:t>دئ التوجيهية المتعلقة باستقلال</w:t>
      </w:r>
      <w:r>
        <w:rPr>
          <w:rFonts w:hint="cs"/>
          <w:rtl/>
        </w:rPr>
        <w:t xml:space="preserve"> وحياد</w:t>
      </w:r>
      <w:r w:rsidRPr="00B46ED0">
        <w:rPr>
          <w:rtl/>
        </w:rPr>
        <w:t xml:space="preserve"> أعضاء هيئات معاهدات حقوق الإنسان </w:t>
      </w:r>
      <w:r w:rsidRPr="00B46ED0">
        <w:rPr>
          <w:rFonts w:hint="cs"/>
          <w:rtl/>
        </w:rPr>
        <w:t xml:space="preserve">("مبادئ أديس أبابا التوجيهية"، المرفق الأول من الوثيقة </w:t>
      </w:r>
      <w:r w:rsidRPr="00B46ED0">
        <w:rPr>
          <w:rFonts w:eastAsia="Calibri"/>
        </w:rPr>
        <w:t>A/67/222</w:t>
      </w:r>
      <w:r w:rsidRPr="00B46ED0">
        <w:rPr>
          <w:rFonts w:hint="cs"/>
          <w:rtl/>
        </w:rPr>
        <w:t>، والوثيق</w:t>
      </w:r>
      <w:r>
        <w:rPr>
          <w:rFonts w:hint="cs"/>
          <w:rtl/>
        </w:rPr>
        <w:t xml:space="preserve">ة </w:t>
      </w:r>
      <w:r w:rsidRPr="00B46ED0">
        <w:rPr>
          <w:rFonts w:eastAsia="Calibri"/>
        </w:rPr>
        <w:t>A/67/222/Corr.</w:t>
      </w:r>
      <w:r>
        <w:rPr>
          <w:rFonts w:eastAsia="Calibri"/>
        </w:rPr>
        <w:t>1</w:t>
      </w:r>
      <w:r>
        <w:rPr>
          <w:rFonts w:hint="cs"/>
          <w:rtl/>
        </w:rPr>
        <w:t>)</w:t>
      </w:r>
      <w:r w:rsidRPr="00B46ED0">
        <w:rPr>
          <w:rFonts w:hint="cs"/>
          <w:rtl/>
        </w:rPr>
        <w:t xml:space="preserve">، وهي المبادئ </w:t>
      </w:r>
      <w:r w:rsidRPr="00B46ED0">
        <w:rPr>
          <w:rtl/>
        </w:rPr>
        <w:t xml:space="preserve">التي </w:t>
      </w:r>
      <w:r w:rsidRPr="00B46ED0">
        <w:rPr>
          <w:rFonts w:hint="cs"/>
          <w:rtl/>
        </w:rPr>
        <w:t>تعزز وتؤكد</w:t>
      </w:r>
      <w:r w:rsidRPr="00B46ED0">
        <w:rPr>
          <w:rtl/>
        </w:rPr>
        <w:t xml:space="preserve"> </w:t>
      </w:r>
      <w:r w:rsidRPr="00B46ED0">
        <w:rPr>
          <w:rFonts w:hint="cs"/>
          <w:rtl/>
        </w:rPr>
        <w:t>النظام الداخلي وأفضل الممارسات في 10 هيئات من هيئات معاهدات حقوق الإنسان التابعة للأمم المتحدة</w:t>
      </w:r>
      <w:r w:rsidR="00327856">
        <w:rPr>
          <w:vertAlign w:val="superscript"/>
          <w:rtl/>
        </w:rPr>
        <w:t>(</w:t>
      </w:r>
      <w:r w:rsidR="00327856">
        <w:rPr>
          <w:rStyle w:val="FootnoteReference"/>
          <w:b/>
          <w:smallCaps/>
          <w:rtl/>
        </w:rPr>
        <w:footnoteReference w:id="35"/>
      </w:r>
      <w:r w:rsidR="00327856">
        <w:rPr>
          <w:vertAlign w:val="superscript"/>
          <w:rtl/>
        </w:rPr>
        <w:t>)</w:t>
      </w:r>
      <w:r w:rsidRPr="00B46ED0">
        <w:rPr>
          <w:rFonts w:hint="cs"/>
          <w:rtl/>
        </w:rPr>
        <w:t>.</w:t>
      </w:r>
      <w:r>
        <w:rPr>
          <w:rFonts w:hint="cs"/>
          <w:rtl/>
        </w:rPr>
        <w:t xml:space="preserve"> </w:t>
      </w:r>
      <w:r w:rsidRPr="00B46ED0">
        <w:rPr>
          <w:rFonts w:hint="cs"/>
          <w:rtl/>
        </w:rPr>
        <w:t xml:space="preserve">ويرحب </w:t>
      </w:r>
      <w:r w:rsidRPr="00B46ED0">
        <w:rPr>
          <w:rtl/>
        </w:rPr>
        <w:t>أعضاء اللجنة بالمبادرة التي اتخذ</w:t>
      </w:r>
      <w:r w:rsidRPr="00B46ED0">
        <w:rPr>
          <w:rFonts w:hint="cs"/>
          <w:rtl/>
        </w:rPr>
        <w:t>ها</w:t>
      </w:r>
      <w:r w:rsidRPr="00B46ED0">
        <w:rPr>
          <w:rtl/>
        </w:rPr>
        <w:t xml:space="preserve"> الاجتماعا</w:t>
      </w:r>
      <w:r w:rsidRPr="00B46ED0">
        <w:rPr>
          <w:rFonts w:hint="cs"/>
          <w:rtl/>
        </w:rPr>
        <w:t>ن</w:t>
      </w:r>
      <w:r w:rsidRPr="00B46ED0">
        <w:rPr>
          <w:rtl/>
        </w:rPr>
        <w:t xml:space="preserve"> الثالث والعشر</w:t>
      </w:r>
      <w:r w:rsidRPr="00B46ED0">
        <w:rPr>
          <w:rFonts w:hint="cs"/>
          <w:rtl/>
        </w:rPr>
        <w:t>و</w:t>
      </w:r>
      <w:r w:rsidRPr="00B46ED0">
        <w:rPr>
          <w:rtl/>
        </w:rPr>
        <w:t>ن والراب</w:t>
      </w:r>
      <w:r w:rsidRPr="00B46ED0">
        <w:rPr>
          <w:rFonts w:hint="cs"/>
          <w:rtl/>
        </w:rPr>
        <w:t>ع</w:t>
      </w:r>
      <w:r w:rsidRPr="00B46ED0">
        <w:rPr>
          <w:rtl/>
        </w:rPr>
        <w:t xml:space="preserve"> والعشر</w:t>
      </w:r>
      <w:r w:rsidRPr="00B46ED0">
        <w:rPr>
          <w:rFonts w:hint="cs"/>
          <w:rtl/>
        </w:rPr>
        <w:t>و</w:t>
      </w:r>
      <w:r w:rsidRPr="00B46ED0">
        <w:rPr>
          <w:rtl/>
        </w:rPr>
        <w:t xml:space="preserve">ن لرؤساء </w:t>
      </w:r>
      <w:r w:rsidRPr="00B46ED0">
        <w:rPr>
          <w:rFonts w:hint="cs"/>
          <w:rtl/>
        </w:rPr>
        <w:t>هيئات</w:t>
      </w:r>
      <w:r w:rsidRPr="00B46ED0">
        <w:rPr>
          <w:rtl/>
        </w:rPr>
        <w:t xml:space="preserve"> </w:t>
      </w:r>
      <w:r w:rsidRPr="00B46ED0">
        <w:rPr>
          <w:rFonts w:hint="cs"/>
          <w:rtl/>
        </w:rPr>
        <w:t>ال</w:t>
      </w:r>
      <w:r w:rsidRPr="00B46ED0">
        <w:rPr>
          <w:rtl/>
        </w:rPr>
        <w:t>معاهدات</w:t>
      </w:r>
      <w:r w:rsidRPr="00B46ED0">
        <w:rPr>
          <w:rFonts w:hint="cs"/>
          <w:rtl/>
        </w:rPr>
        <w:t xml:space="preserve"> الذين أعدا</w:t>
      </w:r>
      <w:r w:rsidRPr="00B46ED0">
        <w:rPr>
          <w:rtl/>
        </w:rPr>
        <w:t xml:space="preserve"> هذه المبادئ التوجيهية </w:t>
      </w:r>
      <w:r w:rsidRPr="00B46ED0">
        <w:rPr>
          <w:rFonts w:hint="cs"/>
          <w:rtl/>
        </w:rPr>
        <w:t>وأوص</w:t>
      </w:r>
      <w:r>
        <w:rPr>
          <w:rFonts w:hint="cs"/>
          <w:rtl/>
        </w:rPr>
        <w:t>يا</w:t>
      </w:r>
      <w:r w:rsidRPr="00B46ED0">
        <w:rPr>
          <w:rFonts w:hint="cs"/>
          <w:rtl/>
        </w:rPr>
        <w:t xml:space="preserve"> كل لجنة بالنظر فيها.</w:t>
      </w:r>
    </w:p>
    <w:p w:rsidR="00631BFA" w:rsidRDefault="00631BFA" w:rsidP="00631BFA">
      <w:pPr>
        <w:pStyle w:val="SingleTxtGA"/>
        <w:rPr>
          <w:rFonts w:hint="cs"/>
          <w:spacing w:val="4"/>
          <w:rtl/>
        </w:rPr>
      </w:pPr>
      <w:r>
        <w:rPr>
          <w:rFonts w:hint="cs"/>
          <w:spacing w:val="4"/>
          <w:rtl/>
        </w:rPr>
        <w:t>2</w:t>
      </w:r>
      <w:r w:rsidRPr="00E505CD">
        <w:rPr>
          <w:rFonts w:hint="cs"/>
          <w:spacing w:val="4"/>
          <w:rtl/>
        </w:rPr>
        <w:t>-</w:t>
      </w:r>
      <w:r w:rsidRPr="00E505CD">
        <w:rPr>
          <w:rFonts w:hint="cs"/>
          <w:spacing w:val="4"/>
          <w:rtl/>
        </w:rPr>
        <w:tab/>
      </w:r>
      <w:r>
        <w:rPr>
          <w:rFonts w:hint="cs"/>
          <w:spacing w:val="4"/>
          <w:rtl/>
        </w:rPr>
        <w:t>و</w:t>
      </w:r>
      <w:r>
        <w:rPr>
          <w:rFonts w:ascii="Traditional Arabic" w:hAnsi="Traditional Arabic" w:hint="cs"/>
          <w:spacing w:val="4"/>
          <w:rtl/>
        </w:rPr>
        <w:t>يرحب أعضاء</w:t>
      </w:r>
      <w:r w:rsidRPr="00FB1699">
        <w:rPr>
          <w:rFonts w:ascii="Traditional Arabic" w:hAnsi="Traditional Arabic"/>
          <w:spacing w:val="4"/>
          <w:rtl/>
        </w:rPr>
        <w:t xml:space="preserve"> لجنة مناهضة التعذيب</w:t>
      </w:r>
      <w:r w:rsidRPr="00FB1699">
        <w:rPr>
          <w:rFonts w:ascii="Traditional Arabic" w:hAnsi="Traditional Arabic" w:hint="cs"/>
          <w:spacing w:val="4"/>
          <w:rtl/>
        </w:rPr>
        <w:t xml:space="preserve"> بتقرير</w:t>
      </w:r>
      <w:r w:rsidRPr="00FB1699">
        <w:rPr>
          <w:rFonts w:hint="cs"/>
          <w:rtl/>
        </w:rPr>
        <w:t xml:space="preserve"> </w:t>
      </w:r>
      <w:r w:rsidRPr="00FB1699">
        <w:rPr>
          <w:rtl/>
        </w:rPr>
        <w:t xml:space="preserve">مفوضة الأمم المتحدة السامية لحقوق الإنسان عن تعزيز </w:t>
      </w:r>
      <w:r>
        <w:rPr>
          <w:rFonts w:hint="cs"/>
          <w:sz w:val="30"/>
          <w:rtl/>
        </w:rPr>
        <w:t>ه</w:t>
      </w:r>
      <w:r w:rsidRPr="006A02D9">
        <w:rPr>
          <w:rFonts w:hint="cs"/>
          <w:sz w:val="30"/>
          <w:rtl/>
        </w:rPr>
        <w:t>يئات معاهدات الأمم المتحدة لحقوق الإنسان</w:t>
      </w:r>
      <w:r w:rsidRPr="00FB1699">
        <w:rPr>
          <w:rFonts w:hint="cs"/>
          <w:rtl/>
        </w:rPr>
        <w:t xml:space="preserve"> (</w:t>
      </w:r>
      <w:r w:rsidRPr="00FB1699">
        <w:rPr>
          <w:rFonts w:eastAsia="Calibri"/>
        </w:rPr>
        <w:t>A/66/860</w:t>
      </w:r>
      <w:r w:rsidRPr="00FB1699">
        <w:rPr>
          <w:rFonts w:hint="cs"/>
          <w:rtl/>
        </w:rPr>
        <w:t>)</w:t>
      </w:r>
      <w:r w:rsidRPr="00FB1699">
        <w:rPr>
          <w:rFonts w:ascii="Traditional Arabic" w:hAnsi="Traditional Arabic"/>
          <w:spacing w:val="4"/>
          <w:rtl/>
        </w:rPr>
        <w:t>،</w:t>
      </w:r>
      <w:r>
        <w:rPr>
          <w:rFonts w:ascii="Traditional Arabic" w:hAnsi="Traditional Arabic" w:hint="cs"/>
          <w:spacing w:val="4"/>
          <w:rtl/>
        </w:rPr>
        <w:t xml:space="preserve"> والذي تشير فيه المفوضة السامية إلى "</w:t>
      </w:r>
      <w:r>
        <w:rPr>
          <w:rtl/>
        </w:rPr>
        <w:t xml:space="preserve">صلاحيات </w:t>
      </w:r>
      <w:r>
        <w:rPr>
          <w:rFonts w:hint="cs"/>
          <w:rtl/>
        </w:rPr>
        <w:t>هيئات المعاهدات فيما يتعلق بتحديد</w:t>
      </w:r>
      <w:r>
        <w:rPr>
          <w:rtl/>
        </w:rPr>
        <w:t xml:space="preserve"> أساليب </w:t>
      </w:r>
      <w:r>
        <w:rPr>
          <w:rFonts w:hint="cs"/>
          <w:rtl/>
        </w:rPr>
        <w:t xml:space="preserve">عملها </w:t>
      </w:r>
      <w:r>
        <w:rPr>
          <w:rtl/>
        </w:rPr>
        <w:t xml:space="preserve">وقواعد الإجراءات </w:t>
      </w:r>
      <w:r>
        <w:rPr>
          <w:rFonts w:hint="cs"/>
          <w:rtl/>
        </w:rPr>
        <w:t xml:space="preserve">الخاصة بها </w:t>
      </w:r>
      <w:r>
        <w:rPr>
          <w:rtl/>
        </w:rPr>
        <w:t>وضمان استقلالها على النحو المحدد في المعاهدات ذات الصلة</w:t>
      </w:r>
      <w:r>
        <w:rPr>
          <w:rFonts w:ascii="Traditional Arabic" w:hAnsi="Traditional Arabic" w:hint="cs"/>
          <w:spacing w:val="4"/>
          <w:rtl/>
        </w:rPr>
        <w:t>" (الصفحة 11). وأكد تقرير المفوضة السامية أن "</w:t>
      </w:r>
      <w:r>
        <w:rPr>
          <w:rtl/>
        </w:rPr>
        <w:t>تحقيق مثل هذا المعيار من الاستقلال وال</w:t>
      </w:r>
      <w:r>
        <w:rPr>
          <w:rFonts w:hint="cs"/>
          <w:rtl/>
        </w:rPr>
        <w:t>حياد</w:t>
      </w:r>
      <w:r>
        <w:rPr>
          <w:rtl/>
        </w:rPr>
        <w:t xml:space="preserve"> يُعد</w:t>
      </w:r>
      <w:r>
        <w:rPr>
          <w:rFonts w:hint="cs"/>
          <w:rtl/>
        </w:rPr>
        <w:t>ّ</w:t>
      </w:r>
      <w:r>
        <w:rPr>
          <w:rtl/>
        </w:rPr>
        <w:t xml:space="preserve"> شرطا</w:t>
      </w:r>
      <w:r>
        <w:rPr>
          <w:rFonts w:hint="cs"/>
          <w:rtl/>
        </w:rPr>
        <w:t>ً</w:t>
      </w:r>
      <w:r>
        <w:rPr>
          <w:rtl/>
        </w:rPr>
        <w:t xml:space="preserve"> مسبقا</w:t>
      </w:r>
      <w:r>
        <w:rPr>
          <w:rFonts w:hint="cs"/>
          <w:rtl/>
        </w:rPr>
        <w:t>ً</w:t>
      </w:r>
      <w:r>
        <w:rPr>
          <w:rtl/>
        </w:rPr>
        <w:t xml:space="preserve"> لتحقيق الهدف </w:t>
      </w:r>
      <w:r>
        <w:rPr>
          <w:rFonts w:hint="cs"/>
          <w:rtl/>
        </w:rPr>
        <w:t>المنشود ل</w:t>
      </w:r>
      <w:r>
        <w:rPr>
          <w:rtl/>
        </w:rPr>
        <w:t xml:space="preserve">نظام </w:t>
      </w:r>
      <w:r>
        <w:rPr>
          <w:rFonts w:hint="cs"/>
          <w:rtl/>
        </w:rPr>
        <w:t>هيئات المعاهدات</w:t>
      </w:r>
      <w:r>
        <w:rPr>
          <w:rtl/>
        </w:rPr>
        <w:t>، وهو تقديم تقييم وتوجيهات أكثر موضوعية واحتراما</w:t>
      </w:r>
      <w:r>
        <w:rPr>
          <w:rFonts w:hint="cs"/>
          <w:rtl/>
        </w:rPr>
        <w:t>ً</w:t>
      </w:r>
      <w:r>
        <w:rPr>
          <w:rtl/>
        </w:rPr>
        <w:t xml:space="preserve"> للدول الأطراف في الوفاء بالتزاماتها الخاصة بمعاهدات حقوق الإنسان</w:t>
      </w:r>
      <w:r>
        <w:rPr>
          <w:rFonts w:ascii="Traditional Arabic" w:hAnsi="Traditional Arabic" w:hint="cs"/>
          <w:spacing w:val="4"/>
          <w:rtl/>
        </w:rPr>
        <w:t>" (الصفحة 105).</w:t>
      </w:r>
    </w:p>
    <w:p w:rsidR="00631BFA" w:rsidRPr="00FC4938" w:rsidRDefault="00631BFA" w:rsidP="00631BFA">
      <w:pPr>
        <w:pStyle w:val="SingleTxtGA"/>
        <w:rPr>
          <w:spacing w:val="4"/>
          <w:rtl/>
        </w:rPr>
      </w:pPr>
      <w:r w:rsidRPr="00403CC4">
        <w:rPr>
          <w:spacing w:val="4"/>
          <w:rtl/>
        </w:rPr>
        <w:t>3-</w:t>
      </w:r>
      <w:r w:rsidRPr="00403CC4">
        <w:rPr>
          <w:spacing w:val="4"/>
          <w:rtl/>
        </w:rPr>
        <w:tab/>
      </w:r>
      <w:r w:rsidRPr="00FC4938">
        <w:rPr>
          <w:rFonts w:hint="cs"/>
          <w:rtl/>
        </w:rPr>
        <w:t>و</w:t>
      </w:r>
      <w:r>
        <w:rPr>
          <w:rFonts w:hint="cs"/>
          <w:rtl/>
        </w:rPr>
        <w:t>يُ</w:t>
      </w:r>
      <w:r w:rsidRPr="00FC4938">
        <w:rPr>
          <w:rtl/>
        </w:rPr>
        <w:t>ذك</w:t>
      </w:r>
      <w:r w:rsidRPr="00FC4938">
        <w:rPr>
          <w:rFonts w:hint="cs"/>
          <w:rtl/>
        </w:rPr>
        <w:t>ّ</w:t>
      </w:r>
      <w:r w:rsidRPr="00FC4938">
        <w:rPr>
          <w:rtl/>
        </w:rPr>
        <w:t xml:space="preserve">ر أعضاء اللجنة </w:t>
      </w:r>
      <w:r w:rsidRPr="00FC4938">
        <w:rPr>
          <w:rFonts w:hint="cs"/>
          <w:rtl/>
        </w:rPr>
        <w:t xml:space="preserve">بأن </w:t>
      </w:r>
      <w:r w:rsidRPr="00FC4938">
        <w:rPr>
          <w:rtl/>
        </w:rPr>
        <w:t xml:space="preserve">المادة 18 من اتفاقية مناهضة التعذيب وغيره من ضروب المعاملة أو العقوبة القاسية أو اللاإنسانية أو المهينة، </w:t>
      </w:r>
      <w:r w:rsidRPr="00FC4938">
        <w:rPr>
          <w:rFonts w:hint="cs"/>
          <w:rtl/>
        </w:rPr>
        <w:t>تطلب من اللجنة وضع</w:t>
      </w:r>
      <w:r w:rsidRPr="00FC4938">
        <w:rPr>
          <w:rtl/>
        </w:rPr>
        <w:t xml:space="preserve"> "نظامها الداخلي"، وأن</w:t>
      </w:r>
      <w:r w:rsidRPr="00FC4938">
        <w:rPr>
          <w:rFonts w:hint="cs"/>
          <w:rtl/>
        </w:rPr>
        <w:t xml:space="preserve"> اللجنة قد حددت</w:t>
      </w:r>
      <w:r>
        <w:rPr>
          <w:rFonts w:hint="cs"/>
          <w:rtl/>
        </w:rPr>
        <w:t xml:space="preserve"> </w:t>
      </w:r>
      <w:r w:rsidRPr="00FC4938">
        <w:rPr>
          <w:rtl/>
        </w:rPr>
        <w:t>في نظامها الداخلي</w:t>
      </w:r>
      <w:r w:rsidRPr="00FC4938">
        <w:rPr>
          <w:rFonts w:hint="cs"/>
          <w:rtl/>
        </w:rPr>
        <w:t xml:space="preserve"> (</w:t>
      </w:r>
      <w:r w:rsidRPr="00FC4938">
        <w:rPr>
          <w:rFonts w:eastAsia="Calibri"/>
        </w:rPr>
        <w:t>CAT/C/3/Rev.5</w:t>
      </w:r>
      <w:r w:rsidRPr="00FC4938">
        <w:rPr>
          <w:rFonts w:hint="cs"/>
          <w:rtl/>
        </w:rPr>
        <w:t>)</w:t>
      </w:r>
      <w:r w:rsidRPr="00FC4938">
        <w:rPr>
          <w:rtl/>
        </w:rPr>
        <w:t xml:space="preserve">، </w:t>
      </w:r>
      <w:r w:rsidRPr="00FC4938">
        <w:rPr>
          <w:rFonts w:hint="cs"/>
          <w:rtl/>
        </w:rPr>
        <w:t>لدى</w:t>
      </w:r>
      <w:r w:rsidRPr="00FC4938">
        <w:rPr>
          <w:rtl/>
        </w:rPr>
        <w:t xml:space="preserve"> </w:t>
      </w:r>
      <w:r w:rsidRPr="00FC4938">
        <w:rPr>
          <w:rFonts w:hint="cs"/>
          <w:rtl/>
        </w:rPr>
        <w:t>تطبيق</w:t>
      </w:r>
      <w:r w:rsidRPr="00FC4938">
        <w:rPr>
          <w:rtl/>
        </w:rPr>
        <w:t xml:space="preserve"> هذا الحكم </w:t>
      </w:r>
      <w:r w:rsidRPr="00FC4938">
        <w:rPr>
          <w:rFonts w:hint="cs"/>
          <w:rtl/>
        </w:rPr>
        <w:t>من أحكام المعاهدة</w:t>
      </w:r>
      <w:r w:rsidRPr="00FC4938">
        <w:rPr>
          <w:rtl/>
        </w:rPr>
        <w:t>، مستوى عال</w:t>
      </w:r>
      <w:r w:rsidRPr="00FC4938">
        <w:rPr>
          <w:rFonts w:hint="cs"/>
          <w:rtl/>
        </w:rPr>
        <w:t>ياً</w:t>
      </w:r>
      <w:r w:rsidRPr="00FC4938">
        <w:rPr>
          <w:rtl/>
        </w:rPr>
        <w:t xml:space="preserve"> </w:t>
      </w:r>
      <w:r w:rsidRPr="00FC4938">
        <w:rPr>
          <w:rFonts w:hint="cs"/>
          <w:rtl/>
        </w:rPr>
        <w:t>فيما يتعلق</w:t>
      </w:r>
      <w:r w:rsidRPr="00FC4938">
        <w:rPr>
          <w:rtl/>
        </w:rPr>
        <w:t xml:space="preserve"> </w:t>
      </w:r>
      <w:r w:rsidRPr="00FC4938">
        <w:rPr>
          <w:rFonts w:hint="cs"/>
          <w:rtl/>
        </w:rPr>
        <w:t>ب</w:t>
      </w:r>
      <w:r>
        <w:rPr>
          <w:rtl/>
        </w:rPr>
        <w:t>استقلال</w:t>
      </w:r>
      <w:r w:rsidRPr="00FC4938">
        <w:rPr>
          <w:rtl/>
        </w:rPr>
        <w:t xml:space="preserve"> و</w:t>
      </w:r>
      <w:r>
        <w:rPr>
          <w:rFonts w:hint="cs"/>
          <w:rtl/>
        </w:rPr>
        <w:t>حياد</w:t>
      </w:r>
      <w:r w:rsidRPr="00FC4938">
        <w:rPr>
          <w:rtl/>
        </w:rPr>
        <w:t xml:space="preserve"> أعضائها</w:t>
      </w:r>
      <w:r w:rsidRPr="00FC4938">
        <w:rPr>
          <w:rFonts w:hint="cs"/>
          <w:rtl/>
        </w:rPr>
        <w:t>.</w:t>
      </w:r>
      <w:r w:rsidRPr="00FC4938">
        <w:rPr>
          <w:rtl/>
        </w:rPr>
        <w:t xml:space="preserve"> </w:t>
      </w:r>
      <w:r>
        <w:rPr>
          <w:rFonts w:hint="cs"/>
          <w:rtl/>
        </w:rPr>
        <w:t>وبوجه خاص،</w:t>
      </w:r>
      <w:r w:rsidRPr="00FC4938">
        <w:rPr>
          <w:rtl/>
        </w:rPr>
        <w:t xml:space="preserve"> </w:t>
      </w:r>
      <w:r>
        <w:rPr>
          <w:rFonts w:hint="cs"/>
          <w:rtl/>
        </w:rPr>
        <w:t xml:space="preserve">تتناول </w:t>
      </w:r>
      <w:r w:rsidRPr="00FC4938">
        <w:rPr>
          <w:rtl/>
        </w:rPr>
        <w:t xml:space="preserve">المادة 15 "استقلال </w:t>
      </w:r>
      <w:r w:rsidRPr="00FC4938">
        <w:rPr>
          <w:rFonts w:hint="cs"/>
          <w:rtl/>
        </w:rPr>
        <w:t>ال</w:t>
      </w:r>
      <w:r w:rsidRPr="00FC4938">
        <w:rPr>
          <w:rtl/>
        </w:rPr>
        <w:t>أعضاء"</w:t>
      </w:r>
      <w:r w:rsidRPr="00FC4938">
        <w:rPr>
          <w:rFonts w:hint="cs"/>
          <w:rtl/>
        </w:rPr>
        <w:t xml:space="preserve">، وتتناول </w:t>
      </w:r>
      <w:r w:rsidRPr="00FC4938">
        <w:rPr>
          <w:rtl/>
        </w:rPr>
        <w:t>المادة 73 "</w:t>
      </w:r>
      <w:r>
        <w:rPr>
          <w:rFonts w:hint="cs"/>
          <w:rtl/>
        </w:rPr>
        <w:t>إلزامية عدم</w:t>
      </w:r>
      <w:r w:rsidRPr="00FC4938">
        <w:rPr>
          <w:rFonts w:hint="cs"/>
          <w:rtl/>
        </w:rPr>
        <w:t xml:space="preserve"> مشاركة أي عضو في النظر في تقرير ما أو حضوره خلال </w:t>
      </w:r>
      <w:r>
        <w:rPr>
          <w:rFonts w:hint="cs"/>
          <w:rtl/>
        </w:rPr>
        <w:t>النظر في هذا التقرير</w:t>
      </w:r>
      <w:r w:rsidRPr="00FC4938">
        <w:rPr>
          <w:rFonts w:hint="cs"/>
          <w:rtl/>
        </w:rPr>
        <w:t>".</w:t>
      </w:r>
    </w:p>
    <w:p w:rsidR="00631BFA" w:rsidRPr="00403CC4" w:rsidRDefault="00631BFA" w:rsidP="00631BFA">
      <w:pPr>
        <w:pStyle w:val="SingleTxtGA"/>
        <w:rPr>
          <w:spacing w:val="4"/>
          <w:rtl/>
        </w:rPr>
      </w:pPr>
      <w:r w:rsidRPr="00403CC4">
        <w:rPr>
          <w:spacing w:val="4"/>
          <w:rtl/>
        </w:rPr>
        <w:t>4-</w:t>
      </w:r>
      <w:r w:rsidRPr="00403CC4">
        <w:rPr>
          <w:spacing w:val="4"/>
          <w:rtl/>
        </w:rPr>
        <w:tab/>
      </w:r>
      <w:r w:rsidRPr="002A16E0">
        <w:rPr>
          <w:rFonts w:hint="cs"/>
          <w:spacing w:val="4"/>
          <w:rtl/>
        </w:rPr>
        <w:t>ويلا</w:t>
      </w:r>
      <w:r w:rsidRPr="002A16E0">
        <w:rPr>
          <w:rtl/>
        </w:rPr>
        <w:t xml:space="preserve">حظ أعضاء اللجنة أن </w:t>
      </w:r>
      <w:r w:rsidRPr="002A16E0">
        <w:rPr>
          <w:rFonts w:hint="cs"/>
          <w:rtl/>
        </w:rPr>
        <w:t>م</w:t>
      </w:r>
      <w:r w:rsidRPr="002A16E0">
        <w:rPr>
          <w:rtl/>
        </w:rPr>
        <w:t xml:space="preserve">بادئ أديس أبابا التوجيهية </w:t>
      </w:r>
      <w:r w:rsidRPr="002A16E0">
        <w:rPr>
          <w:rFonts w:hint="cs"/>
          <w:rtl/>
        </w:rPr>
        <w:t>تعكس</w:t>
      </w:r>
      <w:r w:rsidRPr="002A16E0">
        <w:rPr>
          <w:rtl/>
        </w:rPr>
        <w:t xml:space="preserve"> وتؤكد </w:t>
      </w:r>
      <w:r w:rsidRPr="002A16E0">
        <w:rPr>
          <w:rFonts w:hint="cs"/>
          <w:rtl/>
        </w:rPr>
        <w:t>النظام</w:t>
      </w:r>
      <w:r w:rsidRPr="002A16E0">
        <w:rPr>
          <w:rtl/>
        </w:rPr>
        <w:t xml:space="preserve"> الداخلي</w:t>
      </w:r>
      <w:r w:rsidRPr="002A16E0">
        <w:rPr>
          <w:rFonts w:hint="cs"/>
          <w:rtl/>
        </w:rPr>
        <w:t xml:space="preserve"> للجنة</w:t>
      </w:r>
      <w:r w:rsidRPr="002A16E0">
        <w:rPr>
          <w:rtl/>
        </w:rPr>
        <w:t xml:space="preserve">، بما في ذلك الفقرة 1 من المادة 15 </w:t>
      </w:r>
      <w:r>
        <w:rPr>
          <w:rFonts w:hint="cs"/>
          <w:rtl/>
        </w:rPr>
        <w:t>المتعلقة</w:t>
      </w:r>
      <w:r w:rsidRPr="002A16E0">
        <w:rPr>
          <w:rFonts w:hint="cs"/>
          <w:rtl/>
        </w:rPr>
        <w:t xml:space="preserve"> </w:t>
      </w:r>
      <w:r>
        <w:rPr>
          <w:rFonts w:hint="cs"/>
          <w:rtl/>
        </w:rPr>
        <w:t>ب</w:t>
      </w:r>
      <w:r w:rsidRPr="002A16E0">
        <w:rPr>
          <w:rFonts w:hint="cs"/>
          <w:rtl/>
        </w:rPr>
        <w:t>عدم خضوع</w:t>
      </w:r>
      <w:r>
        <w:rPr>
          <w:rtl/>
        </w:rPr>
        <w:t xml:space="preserve"> </w:t>
      </w:r>
      <w:r>
        <w:rPr>
          <w:rFonts w:hint="cs"/>
          <w:rtl/>
        </w:rPr>
        <w:t>الأعضاء</w:t>
      </w:r>
      <w:r w:rsidRPr="002A16E0">
        <w:rPr>
          <w:rFonts w:hint="cs"/>
          <w:rtl/>
        </w:rPr>
        <w:t xml:space="preserve"> إلا لمساءلة</w:t>
      </w:r>
      <w:r w:rsidRPr="002A16E0">
        <w:rPr>
          <w:rtl/>
        </w:rPr>
        <w:t xml:space="preserve"> "</w:t>
      </w:r>
      <w:r w:rsidRPr="002A16E0">
        <w:rPr>
          <w:rFonts w:hint="cs"/>
          <w:rtl/>
        </w:rPr>
        <w:t>اللجنة ولما يمليه عليهم ضميرهم</w:t>
      </w:r>
      <w:r w:rsidRPr="002A16E0">
        <w:rPr>
          <w:rtl/>
        </w:rPr>
        <w:t>". وتشير المبادئ التوجيهية أيضا</w:t>
      </w:r>
      <w:r w:rsidRPr="002A16E0">
        <w:rPr>
          <w:rFonts w:hint="cs"/>
          <w:rtl/>
        </w:rPr>
        <w:t>ً</w:t>
      </w:r>
      <w:r w:rsidRPr="002A16E0">
        <w:rPr>
          <w:rtl/>
        </w:rPr>
        <w:t xml:space="preserve"> إلى أن </w:t>
      </w:r>
      <w:r w:rsidRPr="002A16E0">
        <w:rPr>
          <w:rFonts w:hint="cs"/>
          <w:rtl/>
        </w:rPr>
        <w:t>ال</w:t>
      </w:r>
      <w:r w:rsidRPr="002A16E0">
        <w:rPr>
          <w:rtl/>
        </w:rPr>
        <w:t>أعضاء "</w:t>
      </w:r>
      <w:r w:rsidRPr="002A16E0">
        <w:rPr>
          <w:rFonts w:hint="cs"/>
          <w:rtl/>
        </w:rPr>
        <w:t>لا يتلقون توجيهات أو يُمارس عليهم نفوذ من أي نوع، أو</w:t>
      </w:r>
      <w:r w:rsidRPr="002A16E0">
        <w:rPr>
          <w:rFonts w:hint="eastAsia"/>
          <w:rtl/>
        </w:rPr>
        <w:t> </w:t>
      </w:r>
      <w:r w:rsidRPr="002A16E0">
        <w:rPr>
          <w:rFonts w:hint="cs"/>
          <w:rtl/>
        </w:rPr>
        <w:t>يتعرضون لضغط" من دو</w:t>
      </w:r>
      <w:r w:rsidR="00761DC0">
        <w:rPr>
          <w:rFonts w:hint="cs"/>
          <w:rtl/>
        </w:rPr>
        <w:t>لهم أو أي دولة أخرى أو وكالاتها</w:t>
      </w:r>
      <w:r w:rsidRPr="002A16E0">
        <w:rPr>
          <w:rtl/>
        </w:rPr>
        <w:t xml:space="preserve">. </w:t>
      </w:r>
      <w:r>
        <w:rPr>
          <w:rFonts w:hint="cs"/>
          <w:rtl/>
        </w:rPr>
        <w:t>وتدعو</w:t>
      </w:r>
      <w:r w:rsidRPr="002A16E0">
        <w:rPr>
          <w:rFonts w:hint="cs"/>
          <w:rtl/>
        </w:rPr>
        <w:t xml:space="preserve"> كل </w:t>
      </w:r>
      <w:r>
        <w:rPr>
          <w:rFonts w:hint="cs"/>
          <w:rtl/>
        </w:rPr>
        <w:t xml:space="preserve">الأعضاء </w:t>
      </w:r>
      <w:r w:rsidRPr="002A16E0">
        <w:rPr>
          <w:rFonts w:hint="cs"/>
          <w:rtl/>
        </w:rPr>
        <w:t>والرئيس واللجنة ككل إلى</w:t>
      </w:r>
      <w:r w:rsidRPr="002A16E0">
        <w:rPr>
          <w:rtl/>
        </w:rPr>
        <w:t xml:space="preserve"> "</w:t>
      </w:r>
      <w:r w:rsidRPr="002A16E0">
        <w:rPr>
          <w:rFonts w:hint="cs"/>
          <w:rtl/>
        </w:rPr>
        <w:t>الحفاظ</w:t>
      </w:r>
      <w:r w:rsidRPr="002A16E0">
        <w:rPr>
          <w:rtl/>
        </w:rPr>
        <w:t xml:space="preserve"> على متطلبات </w:t>
      </w:r>
      <w:r w:rsidRPr="002A16E0">
        <w:rPr>
          <w:rFonts w:hint="cs"/>
          <w:rtl/>
        </w:rPr>
        <w:t>استقلال وحياد</w:t>
      </w:r>
      <w:r w:rsidRPr="002A16E0">
        <w:rPr>
          <w:rtl/>
        </w:rPr>
        <w:t xml:space="preserve"> أعضائه</w:t>
      </w:r>
      <w:r w:rsidRPr="002A16E0">
        <w:rPr>
          <w:rFonts w:hint="cs"/>
          <w:rtl/>
        </w:rPr>
        <w:t>ا".</w:t>
      </w:r>
    </w:p>
    <w:p w:rsidR="00631BFA" w:rsidRPr="00290DE2" w:rsidRDefault="00631BFA" w:rsidP="00631BFA">
      <w:pPr>
        <w:pStyle w:val="SingleTxtGA"/>
        <w:rPr>
          <w:rFonts w:hint="cs"/>
          <w:spacing w:val="4"/>
          <w:rtl/>
        </w:rPr>
      </w:pPr>
      <w:r w:rsidRPr="00403CC4">
        <w:rPr>
          <w:spacing w:val="4"/>
          <w:rtl/>
        </w:rPr>
        <w:t>5-</w:t>
      </w:r>
      <w:r w:rsidRPr="00403CC4">
        <w:rPr>
          <w:spacing w:val="4"/>
          <w:rtl/>
        </w:rPr>
        <w:tab/>
      </w:r>
      <w:r w:rsidRPr="00D41BBB">
        <w:rPr>
          <w:rFonts w:hint="cs"/>
          <w:spacing w:val="4"/>
          <w:rtl/>
        </w:rPr>
        <w:t xml:space="preserve">ويؤكد </w:t>
      </w:r>
      <w:r w:rsidRPr="00D41BBB">
        <w:rPr>
          <w:rtl/>
        </w:rPr>
        <w:t xml:space="preserve">أعضاء لجنة مناهضة التعذيب </w:t>
      </w:r>
      <w:r w:rsidRPr="00D41BBB">
        <w:rPr>
          <w:rFonts w:hint="cs"/>
          <w:rtl/>
        </w:rPr>
        <w:t>دعمهم</w:t>
      </w:r>
      <w:r w:rsidRPr="00D41BBB">
        <w:rPr>
          <w:rtl/>
        </w:rPr>
        <w:t xml:space="preserve"> القوي لاستقلال و</w:t>
      </w:r>
      <w:r w:rsidRPr="00D41BBB">
        <w:rPr>
          <w:rFonts w:hint="cs"/>
          <w:rtl/>
        </w:rPr>
        <w:t xml:space="preserve">حياد </w:t>
      </w:r>
      <w:r w:rsidRPr="00D41BBB">
        <w:rPr>
          <w:rtl/>
        </w:rPr>
        <w:t>جميع أعضا</w:t>
      </w:r>
      <w:r w:rsidRPr="00D41BBB">
        <w:rPr>
          <w:rFonts w:hint="cs"/>
          <w:rtl/>
        </w:rPr>
        <w:t>ئها</w:t>
      </w:r>
      <w:r w:rsidRPr="00D41BBB">
        <w:rPr>
          <w:rtl/>
        </w:rPr>
        <w:t xml:space="preserve">، </w:t>
      </w:r>
      <w:r w:rsidRPr="00D41BBB">
        <w:rPr>
          <w:rFonts w:hint="cs"/>
          <w:rtl/>
        </w:rPr>
        <w:t>على النحو المكرس في</w:t>
      </w:r>
      <w:r w:rsidRPr="00D41BBB">
        <w:rPr>
          <w:rtl/>
        </w:rPr>
        <w:t xml:space="preserve"> </w:t>
      </w:r>
      <w:r w:rsidRPr="00D41BBB">
        <w:rPr>
          <w:rFonts w:hint="cs"/>
          <w:rtl/>
        </w:rPr>
        <w:t>م</w:t>
      </w:r>
      <w:r w:rsidRPr="00D41BBB">
        <w:rPr>
          <w:rtl/>
        </w:rPr>
        <w:t xml:space="preserve">بادئ أديس أبابا التوجيهية، </w:t>
      </w:r>
      <w:r w:rsidRPr="00D41BBB">
        <w:rPr>
          <w:rFonts w:hint="cs"/>
          <w:rtl/>
        </w:rPr>
        <w:t>ويتطلعون إلى مواصلة مناقشة</w:t>
      </w:r>
      <w:r w:rsidRPr="00D41BBB">
        <w:rPr>
          <w:rtl/>
        </w:rPr>
        <w:t xml:space="preserve"> </w:t>
      </w:r>
      <w:r w:rsidRPr="00D41BBB">
        <w:rPr>
          <w:rFonts w:hint="cs"/>
          <w:rtl/>
        </w:rPr>
        <w:t>السبل الكفيلة</w:t>
      </w:r>
      <w:r w:rsidRPr="00D41BBB">
        <w:rPr>
          <w:rtl/>
        </w:rPr>
        <w:t xml:space="preserve"> </w:t>
      </w:r>
      <w:r w:rsidRPr="00D41BBB">
        <w:rPr>
          <w:rFonts w:hint="cs"/>
          <w:rtl/>
        </w:rPr>
        <w:t>ب</w:t>
      </w:r>
      <w:r w:rsidRPr="00D41BBB">
        <w:rPr>
          <w:rtl/>
        </w:rPr>
        <w:t>إنفاذ هذه المبادئ التوجيهية خلال الدورة الخمسين القادمة للجنة (</w:t>
      </w:r>
      <w:r w:rsidRPr="00D41BBB">
        <w:rPr>
          <w:rFonts w:hint="cs"/>
          <w:rtl/>
        </w:rPr>
        <w:t xml:space="preserve">في الفترة </w:t>
      </w:r>
      <w:r w:rsidRPr="00D41BBB">
        <w:rPr>
          <w:rtl/>
        </w:rPr>
        <w:t xml:space="preserve">من 6 إلى 31 </w:t>
      </w:r>
      <w:r w:rsidRPr="00D41BBB">
        <w:rPr>
          <w:rFonts w:hint="cs"/>
          <w:rtl/>
        </w:rPr>
        <w:t>أيار/</w:t>
      </w:r>
      <w:r w:rsidRPr="00D41BBB">
        <w:rPr>
          <w:rtl/>
        </w:rPr>
        <w:t>مايو 2013)</w:t>
      </w:r>
      <w:r w:rsidRPr="00D41BBB">
        <w:rPr>
          <w:rFonts w:hint="cs"/>
          <w:rtl/>
        </w:rPr>
        <w:t xml:space="preserve"> بوسائل منها</w:t>
      </w:r>
      <w:r w:rsidRPr="00D41BBB">
        <w:rPr>
          <w:rtl/>
        </w:rPr>
        <w:t xml:space="preserve"> تعديل المادة 14 من </w:t>
      </w:r>
      <w:r w:rsidRPr="00D41BBB">
        <w:rPr>
          <w:rFonts w:hint="cs"/>
          <w:rtl/>
        </w:rPr>
        <w:t>النظام الداخلي للجنة</w:t>
      </w:r>
      <w:r w:rsidRPr="00D41BBB">
        <w:rPr>
          <w:rtl/>
        </w:rPr>
        <w:t xml:space="preserve">. </w:t>
      </w:r>
      <w:r w:rsidRPr="00D41BBB">
        <w:rPr>
          <w:rFonts w:hint="cs"/>
          <w:rtl/>
        </w:rPr>
        <w:t>وسيضيف هذا التعديل</w:t>
      </w:r>
      <w:r w:rsidRPr="00D41BBB">
        <w:rPr>
          <w:rtl/>
        </w:rPr>
        <w:t xml:space="preserve"> </w:t>
      </w:r>
      <w:r w:rsidRPr="00D41BBB">
        <w:rPr>
          <w:rFonts w:hint="cs"/>
          <w:rtl/>
        </w:rPr>
        <w:t>عبارة</w:t>
      </w:r>
      <w:r w:rsidRPr="00D41BBB">
        <w:rPr>
          <w:rtl/>
        </w:rPr>
        <w:t xml:space="preserve"> "</w:t>
      </w:r>
      <w:r w:rsidRPr="00D41BBB">
        <w:rPr>
          <w:rFonts w:hint="cs"/>
          <w:rtl/>
        </w:rPr>
        <w:t xml:space="preserve">بشكل </w:t>
      </w:r>
      <w:r w:rsidRPr="00D41BBB">
        <w:rPr>
          <w:rtl/>
        </w:rPr>
        <w:t xml:space="preserve">مستقل" إلى </w:t>
      </w:r>
      <w:r w:rsidRPr="00D41BBB">
        <w:rPr>
          <w:rFonts w:hint="cs"/>
          <w:rtl/>
        </w:rPr>
        <w:t>ال</w:t>
      </w:r>
      <w:r>
        <w:rPr>
          <w:rFonts w:hint="cs"/>
          <w:rtl/>
        </w:rPr>
        <w:t>ت</w:t>
      </w:r>
      <w:r w:rsidRPr="00D41BBB">
        <w:rPr>
          <w:rFonts w:hint="cs"/>
          <w:rtl/>
        </w:rPr>
        <w:t>عهد</w:t>
      </w:r>
      <w:r>
        <w:rPr>
          <w:rtl/>
        </w:rPr>
        <w:t xml:space="preserve"> الرسمي ال</w:t>
      </w:r>
      <w:r>
        <w:rPr>
          <w:rFonts w:hint="cs"/>
          <w:rtl/>
        </w:rPr>
        <w:t>ذي يُطلب</w:t>
      </w:r>
      <w:r w:rsidRPr="00D41BBB">
        <w:rPr>
          <w:rtl/>
        </w:rPr>
        <w:t xml:space="preserve"> من أعضاء اللجنة</w:t>
      </w:r>
      <w:r>
        <w:rPr>
          <w:rFonts w:hint="cs"/>
          <w:rtl/>
        </w:rPr>
        <w:t xml:space="preserve"> أداؤه</w:t>
      </w:r>
      <w:r w:rsidRPr="00D41BBB">
        <w:rPr>
          <w:rtl/>
        </w:rPr>
        <w:t xml:space="preserve"> قبل </w:t>
      </w:r>
      <w:r w:rsidRPr="00D41BBB">
        <w:rPr>
          <w:rFonts w:hint="cs"/>
          <w:rtl/>
        </w:rPr>
        <w:t>أن يتولوا مهامه</w:t>
      </w:r>
      <w:r>
        <w:rPr>
          <w:rFonts w:hint="cs"/>
          <w:rtl/>
        </w:rPr>
        <w:t>م</w:t>
      </w:r>
      <w:r>
        <w:rPr>
          <w:rtl/>
        </w:rPr>
        <w:t xml:space="preserve"> </w:t>
      </w:r>
      <w:r>
        <w:rPr>
          <w:rFonts w:hint="cs"/>
          <w:rtl/>
        </w:rPr>
        <w:t>عقب</w:t>
      </w:r>
      <w:r w:rsidRPr="00D41BBB">
        <w:rPr>
          <w:rtl/>
        </w:rPr>
        <w:t xml:space="preserve"> </w:t>
      </w:r>
      <w:r w:rsidRPr="00D41BBB">
        <w:rPr>
          <w:rFonts w:hint="cs"/>
          <w:rtl/>
        </w:rPr>
        <w:t>انتخابهم لأول مرة في اللجنة.</w:t>
      </w:r>
    </w:p>
    <w:p w:rsidR="00631BFA" w:rsidRPr="00BD34C6" w:rsidRDefault="00631BFA" w:rsidP="00977626">
      <w:pPr>
        <w:pStyle w:val="HChGA"/>
        <w:spacing w:before="120"/>
        <w:rPr>
          <w:rFonts w:hint="cs"/>
          <w:rtl/>
        </w:rPr>
      </w:pPr>
      <w:r>
        <w:rPr>
          <w:rFonts w:eastAsia="SimSun"/>
          <w:rtl/>
          <w:lang w:eastAsia="zh-CN"/>
        </w:rPr>
        <w:br w:type="page"/>
      </w:r>
      <w:r>
        <w:rPr>
          <w:rFonts w:hint="cs"/>
          <w:rtl/>
        </w:rPr>
        <w:t>المرفق الثالث</w:t>
      </w:r>
      <w:r w:rsidRPr="00BD34C6">
        <w:rPr>
          <w:rFonts w:hint="cs"/>
          <w:rtl/>
        </w:rPr>
        <w:t xml:space="preserve"> عشر</w:t>
      </w:r>
    </w:p>
    <w:p w:rsidR="00631BFA" w:rsidRDefault="00631BFA" w:rsidP="00977626">
      <w:pPr>
        <w:pStyle w:val="HChGA"/>
        <w:rPr>
          <w:rFonts w:hint="cs"/>
        </w:rPr>
      </w:pPr>
      <w:r>
        <w:rPr>
          <w:rFonts w:hint="cs"/>
          <w:rtl/>
        </w:rPr>
        <w:tab/>
      </w:r>
      <w:r>
        <w:rPr>
          <w:rFonts w:hint="cs"/>
          <w:rtl/>
        </w:rPr>
        <w:tab/>
      </w:r>
      <w:r w:rsidRPr="00B72119">
        <w:rPr>
          <w:rFonts w:hint="cs"/>
          <w:rtl/>
        </w:rPr>
        <w:t xml:space="preserve">بيان لجنـة مناهضة التعذيب الذي اعتمدته في دورتها </w:t>
      </w:r>
      <w:r>
        <w:rPr>
          <w:rFonts w:hint="cs"/>
          <w:rtl/>
        </w:rPr>
        <w:t>الخمسين</w:t>
      </w:r>
      <w:r w:rsidRPr="00B72119">
        <w:rPr>
          <w:rFonts w:hint="cs"/>
          <w:rtl/>
        </w:rPr>
        <w:t xml:space="preserve"> </w:t>
      </w:r>
      <w:r w:rsidRPr="00FE46EE">
        <w:rPr>
          <w:rtl/>
        </w:rPr>
        <w:t xml:space="preserve">بشأن المبادئ التوجيهية المتعلقة باستقلال </w:t>
      </w:r>
      <w:r>
        <w:rPr>
          <w:rFonts w:hint="cs"/>
          <w:rtl/>
        </w:rPr>
        <w:t xml:space="preserve">وحياد </w:t>
      </w:r>
      <w:r w:rsidRPr="00FE46EE">
        <w:rPr>
          <w:rtl/>
        </w:rPr>
        <w:t xml:space="preserve">أعضاء هيئات معاهدات حقوق الإنسان </w:t>
      </w:r>
      <w:r>
        <w:rPr>
          <w:rFonts w:hint="cs"/>
          <w:rtl/>
        </w:rPr>
        <w:t>("مبادئ أديس أبابا التوجيهية") والتعديلات المدخلة على نظامها الداخلي</w:t>
      </w:r>
    </w:p>
    <w:p w:rsidR="00631BFA" w:rsidRDefault="00631BFA" w:rsidP="00977626">
      <w:pPr>
        <w:pStyle w:val="SingleTxtGA"/>
        <w:rPr>
          <w:rFonts w:hint="cs"/>
          <w:rtl/>
        </w:rPr>
      </w:pPr>
      <w:r>
        <w:rPr>
          <w:rFonts w:hint="cs"/>
          <w:rtl/>
        </w:rPr>
        <w:t>1-</w:t>
      </w:r>
      <w:r>
        <w:rPr>
          <w:rFonts w:hint="cs"/>
          <w:rtl/>
        </w:rPr>
        <w:tab/>
        <w:t xml:space="preserve">كررت </w:t>
      </w:r>
      <w:r w:rsidRPr="00B46ED0">
        <w:rPr>
          <w:rFonts w:hint="cs"/>
          <w:rtl/>
        </w:rPr>
        <w:t>لجنة مناهضة التعذيب، خلال دور</w:t>
      </w:r>
      <w:r>
        <w:rPr>
          <w:rFonts w:hint="cs"/>
          <w:rtl/>
        </w:rPr>
        <w:t>تها الخمسين</w:t>
      </w:r>
      <w:r w:rsidRPr="00B46ED0">
        <w:rPr>
          <w:rFonts w:hint="cs"/>
          <w:rtl/>
        </w:rPr>
        <w:t>،</w:t>
      </w:r>
      <w:r w:rsidRPr="00B46ED0">
        <w:rPr>
          <w:rtl/>
        </w:rPr>
        <w:t xml:space="preserve"> </w:t>
      </w:r>
      <w:r>
        <w:rPr>
          <w:rFonts w:hint="cs"/>
          <w:rtl/>
        </w:rPr>
        <w:t>تأكيد دعمها القوي ل</w:t>
      </w:r>
      <w:r w:rsidRPr="00AE18F1">
        <w:rPr>
          <w:rtl/>
        </w:rPr>
        <w:t>استقلال وحياد أعضاء هيئات معاهدات حقوق الإنسان</w:t>
      </w:r>
      <w:r>
        <w:rPr>
          <w:rFonts w:hint="cs"/>
          <w:rtl/>
        </w:rPr>
        <w:t xml:space="preserve"> على النحو الذي أكدته </w:t>
      </w:r>
      <w:r w:rsidRPr="00AE18F1">
        <w:rPr>
          <w:rtl/>
        </w:rPr>
        <w:t>مبادئ أديس أبابا التوجيهية</w:t>
      </w:r>
      <w:r w:rsidRPr="00B46ED0">
        <w:rPr>
          <w:rFonts w:hint="cs"/>
          <w:rtl/>
        </w:rPr>
        <w:t xml:space="preserve"> </w:t>
      </w:r>
      <w:r>
        <w:rPr>
          <w:rFonts w:hint="cs"/>
          <w:rtl/>
        </w:rPr>
        <w:t>(</w:t>
      </w:r>
      <w:r w:rsidRPr="00B46ED0">
        <w:rPr>
          <w:rFonts w:hint="cs"/>
          <w:rtl/>
        </w:rPr>
        <w:t xml:space="preserve">المرفق الأول من الوثيقة </w:t>
      </w:r>
      <w:r w:rsidRPr="00B46ED0">
        <w:rPr>
          <w:rFonts w:eastAsia="Calibri"/>
        </w:rPr>
        <w:t>A/67/222</w:t>
      </w:r>
      <w:r w:rsidRPr="00B46ED0">
        <w:rPr>
          <w:rFonts w:hint="cs"/>
          <w:rtl/>
        </w:rPr>
        <w:t>، والوثيق</w:t>
      </w:r>
      <w:r>
        <w:rPr>
          <w:rFonts w:hint="cs"/>
          <w:rtl/>
        </w:rPr>
        <w:t xml:space="preserve">ة </w:t>
      </w:r>
      <w:r w:rsidRPr="00B46ED0">
        <w:rPr>
          <w:rFonts w:eastAsia="Calibri"/>
        </w:rPr>
        <w:t>A/67/222/Corr.</w:t>
      </w:r>
      <w:r>
        <w:rPr>
          <w:rFonts w:eastAsia="Calibri"/>
        </w:rPr>
        <w:t>1</w:t>
      </w:r>
      <w:r>
        <w:rPr>
          <w:rFonts w:hint="cs"/>
          <w:rtl/>
        </w:rPr>
        <w:t xml:space="preserve">)، وتابعت مناقشة سبل وضع هذه </w:t>
      </w:r>
      <w:r w:rsidRPr="00B46ED0">
        <w:rPr>
          <w:rFonts w:hint="cs"/>
          <w:rtl/>
        </w:rPr>
        <w:t xml:space="preserve">المبادئ </w:t>
      </w:r>
      <w:r>
        <w:rPr>
          <w:rFonts w:hint="cs"/>
          <w:rtl/>
        </w:rPr>
        <w:t>التوجيهية موضع التنفيذ.</w:t>
      </w:r>
    </w:p>
    <w:p w:rsidR="00631BFA" w:rsidRDefault="00631BFA" w:rsidP="00977626">
      <w:pPr>
        <w:pStyle w:val="SingleTxtGA"/>
        <w:rPr>
          <w:rFonts w:hint="cs"/>
          <w:rtl/>
        </w:rPr>
      </w:pPr>
      <w:r>
        <w:rPr>
          <w:rFonts w:hint="cs"/>
          <w:rtl/>
        </w:rPr>
        <w:t>2</w:t>
      </w:r>
      <w:r w:rsidRPr="00E505CD">
        <w:rPr>
          <w:rFonts w:hint="cs"/>
          <w:rtl/>
        </w:rPr>
        <w:t>-</w:t>
      </w:r>
      <w:r>
        <w:rPr>
          <w:rFonts w:hint="cs"/>
          <w:rtl/>
        </w:rPr>
        <w:tab/>
        <w:t>وبحثت ال</w:t>
      </w:r>
      <w:r w:rsidRPr="00094A35">
        <w:rPr>
          <w:rtl/>
        </w:rPr>
        <w:t xml:space="preserve">لجنة </w:t>
      </w:r>
      <w:r>
        <w:rPr>
          <w:rFonts w:hint="cs"/>
          <w:rtl/>
        </w:rPr>
        <w:t xml:space="preserve">مرة أخرى </w:t>
      </w:r>
      <w:r w:rsidRPr="00094A35">
        <w:rPr>
          <w:rtl/>
        </w:rPr>
        <w:t>هذه المبادئ التوجيهية وعلاق</w:t>
      </w:r>
      <w:r>
        <w:rPr>
          <w:rFonts w:hint="cs"/>
          <w:rtl/>
        </w:rPr>
        <w:t>تها</w:t>
      </w:r>
      <w:r w:rsidRPr="00094A35">
        <w:rPr>
          <w:rtl/>
        </w:rPr>
        <w:t xml:space="preserve"> </w:t>
      </w:r>
      <w:r>
        <w:rPr>
          <w:rFonts w:hint="cs"/>
          <w:rtl/>
        </w:rPr>
        <w:t>ب</w:t>
      </w:r>
      <w:r w:rsidRPr="00094A35">
        <w:rPr>
          <w:rtl/>
        </w:rPr>
        <w:t>نظامه</w:t>
      </w:r>
      <w:r>
        <w:rPr>
          <w:rFonts w:hint="cs"/>
          <w:rtl/>
        </w:rPr>
        <w:t>ا</w:t>
      </w:r>
      <w:r w:rsidRPr="00094A35">
        <w:rPr>
          <w:rtl/>
        </w:rPr>
        <w:t xml:space="preserve"> الداخلي، </w:t>
      </w:r>
      <w:r>
        <w:rPr>
          <w:rFonts w:hint="cs"/>
          <w:rtl/>
        </w:rPr>
        <w:t>وإلحاقاً ب</w:t>
      </w:r>
      <w:r w:rsidRPr="00094A35">
        <w:rPr>
          <w:rtl/>
        </w:rPr>
        <w:t xml:space="preserve">بيانها المؤرخ 23 </w:t>
      </w:r>
      <w:r>
        <w:rPr>
          <w:rFonts w:hint="cs"/>
          <w:rtl/>
        </w:rPr>
        <w:t xml:space="preserve">تشرين الثاني/نوفمبر </w:t>
      </w:r>
      <w:r w:rsidRPr="00094A35">
        <w:rPr>
          <w:rtl/>
        </w:rPr>
        <w:t>2012 بشأن المبادئ التوجيهية (</w:t>
      </w:r>
      <w:r w:rsidRPr="00094A35">
        <w:t>CAT/C/49/3</w:t>
      </w:r>
      <w:r w:rsidRPr="00094A35">
        <w:rPr>
          <w:rtl/>
        </w:rPr>
        <w:t xml:space="preserve">)، قررت، في 13 </w:t>
      </w:r>
      <w:r>
        <w:rPr>
          <w:rFonts w:hint="cs"/>
          <w:rtl/>
        </w:rPr>
        <w:t xml:space="preserve">أيار/مايو </w:t>
      </w:r>
      <w:r w:rsidRPr="00094A35">
        <w:rPr>
          <w:rtl/>
        </w:rPr>
        <w:t>2013، تعديل نظام</w:t>
      </w:r>
      <w:r>
        <w:rPr>
          <w:rFonts w:hint="cs"/>
          <w:rtl/>
        </w:rPr>
        <w:t>ها</w:t>
      </w:r>
      <w:r w:rsidRPr="00094A35">
        <w:rPr>
          <w:rtl/>
        </w:rPr>
        <w:t xml:space="preserve"> الداخلي ل</w:t>
      </w:r>
      <w:r>
        <w:rPr>
          <w:rFonts w:hint="cs"/>
          <w:rtl/>
        </w:rPr>
        <w:t>إضافة</w:t>
      </w:r>
      <w:r w:rsidRPr="00094A35">
        <w:rPr>
          <w:rtl/>
        </w:rPr>
        <w:t xml:space="preserve"> جملة أمور</w:t>
      </w:r>
      <w:r>
        <w:rPr>
          <w:rFonts w:hint="cs"/>
          <w:rtl/>
        </w:rPr>
        <w:t xml:space="preserve"> من بينها </w:t>
      </w:r>
      <w:r w:rsidRPr="00094A35">
        <w:rPr>
          <w:rtl/>
        </w:rPr>
        <w:t xml:space="preserve">فقرة ثالثة </w:t>
      </w:r>
      <w:r>
        <w:rPr>
          <w:rFonts w:hint="cs"/>
          <w:rtl/>
        </w:rPr>
        <w:t>إلى ا</w:t>
      </w:r>
      <w:r w:rsidRPr="00094A35">
        <w:rPr>
          <w:rtl/>
        </w:rPr>
        <w:t>لمادة 15 على النحو التالي: "ترد مبادئ أديس أبابا التوجيهية بشأن استقلال و</w:t>
      </w:r>
      <w:r>
        <w:rPr>
          <w:rFonts w:hint="cs"/>
          <w:rtl/>
        </w:rPr>
        <w:t xml:space="preserve">حياد </w:t>
      </w:r>
      <w:r w:rsidRPr="00094A35">
        <w:rPr>
          <w:rtl/>
        </w:rPr>
        <w:t xml:space="preserve">أعضاء هيئات معاهدات حقوق الإنسان </w:t>
      </w:r>
      <w:r>
        <w:rPr>
          <w:rFonts w:hint="cs"/>
          <w:rtl/>
        </w:rPr>
        <w:t xml:space="preserve">في مرفق </w:t>
      </w:r>
      <w:r w:rsidRPr="00094A35">
        <w:rPr>
          <w:rtl/>
        </w:rPr>
        <w:t xml:space="preserve">هذا النظام الداخلي. </w:t>
      </w:r>
      <w:r>
        <w:rPr>
          <w:rFonts w:hint="cs"/>
          <w:rtl/>
        </w:rPr>
        <w:t xml:space="preserve">وتمثل </w:t>
      </w:r>
      <w:r w:rsidRPr="00094A35">
        <w:rPr>
          <w:rtl/>
        </w:rPr>
        <w:t>هذه المبادئ التوجيهية أداة مهمة لتفسير القواعد المتعلقة باستقلال و</w:t>
      </w:r>
      <w:r>
        <w:rPr>
          <w:rFonts w:hint="cs"/>
          <w:rtl/>
        </w:rPr>
        <w:t xml:space="preserve">حياد </w:t>
      </w:r>
      <w:r w:rsidRPr="00094A35">
        <w:rPr>
          <w:rtl/>
        </w:rPr>
        <w:t>أعضاء اللجنة".</w:t>
      </w:r>
    </w:p>
    <w:p w:rsidR="00631BFA" w:rsidRPr="003C20EA" w:rsidRDefault="00631BFA" w:rsidP="00977626">
      <w:pPr>
        <w:pStyle w:val="HChGA"/>
        <w:spacing w:before="120"/>
        <w:rPr>
          <w:rFonts w:hint="cs"/>
          <w:rtl/>
        </w:rPr>
      </w:pPr>
      <w:r>
        <w:rPr>
          <w:rFonts w:eastAsia="SimSun"/>
          <w:rtl/>
          <w:lang w:eastAsia="zh-CN"/>
        </w:rPr>
        <w:br w:type="page"/>
      </w:r>
      <w:r w:rsidRPr="003C20EA">
        <w:rPr>
          <w:rFonts w:hint="cs"/>
          <w:rtl/>
        </w:rPr>
        <w:t>المرفق الرابع عشر</w:t>
      </w:r>
    </w:p>
    <w:p w:rsidR="00631BFA" w:rsidRDefault="00631BFA" w:rsidP="00977626">
      <w:pPr>
        <w:pStyle w:val="HChGA"/>
        <w:rPr>
          <w:rFonts w:hint="cs"/>
          <w:rtl/>
        </w:rPr>
      </w:pPr>
      <w:r>
        <w:rPr>
          <w:rFonts w:hint="cs"/>
          <w:rtl/>
        </w:rPr>
        <w:tab/>
      </w:r>
      <w:r>
        <w:rPr>
          <w:rFonts w:hint="cs"/>
          <w:rtl/>
        </w:rPr>
        <w:tab/>
      </w:r>
      <w:r w:rsidRPr="00F30B56">
        <w:rPr>
          <w:rFonts w:hint="cs"/>
          <w:rtl/>
        </w:rPr>
        <w:t xml:space="preserve">المواد 14 و15 و109 من النظام الداخلي للجنة، بصيغتها المنقحة </w:t>
      </w:r>
      <w:r w:rsidRPr="00F30B56">
        <w:t>(CAT/C/3/Rev.6)</w:t>
      </w:r>
    </w:p>
    <w:p w:rsidR="00631BFA" w:rsidRDefault="00977626" w:rsidP="00977626">
      <w:pPr>
        <w:pStyle w:val="H1GA"/>
        <w:rPr>
          <w:rFonts w:hint="cs"/>
          <w:rtl/>
        </w:rPr>
      </w:pPr>
      <w:r>
        <w:rPr>
          <w:rFonts w:hint="cs"/>
          <w:rtl/>
        </w:rPr>
        <w:tab/>
      </w:r>
      <w:r>
        <w:rPr>
          <w:rFonts w:hint="cs"/>
          <w:rtl/>
        </w:rPr>
        <w:tab/>
      </w:r>
      <w:r w:rsidR="00631BFA">
        <w:rPr>
          <w:rFonts w:hint="cs"/>
          <w:rtl/>
        </w:rPr>
        <w:t>التعهد</w:t>
      </w:r>
      <w:r w:rsidR="00631BFA" w:rsidRPr="008162D7">
        <w:rPr>
          <w:rFonts w:hint="cs"/>
          <w:rtl/>
        </w:rPr>
        <w:t xml:space="preserve"> الرسمي</w:t>
      </w:r>
    </w:p>
    <w:p w:rsidR="00631BFA" w:rsidRPr="008162D7" w:rsidRDefault="00631BFA" w:rsidP="00977626">
      <w:pPr>
        <w:pStyle w:val="H23GA"/>
        <w:rPr>
          <w:rFonts w:hint="cs"/>
          <w:rtl/>
        </w:rPr>
      </w:pPr>
      <w:r>
        <w:rPr>
          <w:rFonts w:hint="cs"/>
          <w:rtl/>
        </w:rPr>
        <w:tab/>
      </w:r>
      <w:r>
        <w:rPr>
          <w:rFonts w:hint="cs"/>
          <w:rtl/>
        </w:rPr>
        <w:tab/>
      </w:r>
      <w:r w:rsidRPr="008162D7">
        <w:rPr>
          <w:rFonts w:hint="cs"/>
          <w:rtl/>
        </w:rPr>
        <w:t>المادة 14</w:t>
      </w:r>
    </w:p>
    <w:p w:rsidR="00631BFA" w:rsidRPr="008162D7" w:rsidRDefault="00631BFA" w:rsidP="00977626">
      <w:pPr>
        <w:pStyle w:val="SingleTxtGA"/>
        <w:rPr>
          <w:rFonts w:hint="cs"/>
          <w:rtl/>
        </w:rPr>
      </w:pPr>
      <w:r w:rsidRPr="008162D7">
        <w:rPr>
          <w:rFonts w:hint="cs"/>
          <w:rtl/>
        </w:rPr>
        <w:tab/>
      </w:r>
      <w:r>
        <w:rPr>
          <w:rFonts w:hint="cs"/>
          <w:rtl/>
        </w:rPr>
        <w:t xml:space="preserve">يقدم كل </w:t>
      </w:r>
      <w:r w:rsidRPr="008162D7">
        <w:rPr>
          <w:rFonts w:hint="cs"/>
          <w:rtl/>
        </w:rPr>
        <w:t>عضو من أعضاء اللجنة</w:t>
      </w:r>
      <w:r>
        <w:rPr>
          <w:rFonts w:hint="cs"/>
          <w:rtl/>
        </w:rPr>
        <w:t>، قبل أن يتولى مهامه بعد انتخابه الأول، التعهد الرسمي التالي في جلسة مفتوحة</w:t>
      </w:r>
      <w:r w:rsidRPr="008162D7">
        <w:rPr>
          <w:rFonts w:hint="cs"/>
          <w:rtl/>
        </w:rPr>
        <w:t xml:space="preserve"> للجنة:</w:t>
      </w:r>
    </w:p>
    <w:p w:rsidR="00631BFA" w:rsidRDefault="00631BFA" w:rsidP="00631BFA">
      <w:pPr>
        <w:pStyle w:val="SingleTxtGA"/>
        <w:ind w:left="1928"/>
        <w:rPr>
          <w:rFonts w:hint="cs"/>
          <w:rtl/>
        </w:rPr>
      </w:pPr>
      <w:r w:rsidRPr="008162D7">
        <w:rPr>
          <w:rFonts w:hint="cs"/>
          <w:rtl/>
        </w:rPr>
        <w:tab/>
        <w:t xml:space="preserve">"أتعهد رسمياً بأن أؤدي </w:t>
      </w:r>
      <w:r>
        <w:rPr>
          <w:rFonts w:hint="cs"/>
          <w:rtl/>
        </w:rPr>
        <w:t>واجباتي</w:t>
      </w:r>
      <w:r w:rsidRPr="008162D7">
        <w:rPr>
          <w:rFonts w:hint="cs"/>
          <w:rtl/>
        </w:rPr>
        <w:t xml:space="preserve"> وأمارس </w:t>
      </w:r>
      <w:r>
        <w:rPr>
          <w:rFonts w:hint="cs"/>
          <w:rtl/>
        </w:rPr>
        <w:t>سلطاتي</w:t>
      </w:r>
      <w:r w:rsidRPr="008162D7">
        <w:rPr>
          <w:rFonts w:hint="cs"/>
          <w:rtl/>
        </w:rPr>
        <w:t xml:space="preserve"> كعضو في لجنة مناهضة التعذيب، بشرف، </w:t>
      </w:r>
      <w:r>
        <w:rPr>
          <w:rFonts w:hint="cs"/>
          <w:rtl/>
        </w:rPr>
        <w:t>وأمانة</w:t>
      </w:r>
      <w:r w:rsidRPr="008162D7">
        <w:rPr>
          <w:rFonts w:hint="cs"/>
          <w:rtl/>
        </w:rPr>
        <w:t>، ونزاهة،</w:t>
      </w:r>
      <w:r>
        <w:rPr>
          <w:rFonts w:hint="cs"/>
          <w:rtl/>
        </w:rPr>
        <w:t xml:space="preserve"> وبشكل مستقل،</w:t>
      </w:r>
      <w:r w:rsidRPr="008162D7">
        <w:rPr>
          <w:rFonts w:hint="cs"/>
          <w:rtl/>
        </w:rPr>
        <w:t xml:space="preserve"> وبما يمليه عليَّ </w:t>
      </w:r>
      <w:r>
        <w:rPr>
          <w:rFonts w:hint="cs"/>
          <w:rtl/>
        </w:rPr>
        <w:t>ضميري</w:t>
      </w:r>
      <w:r w:rsidRPr="008162D7">
        <w:rPr>
          <w:rFonts w:hint="cs"/>
          <w:rtl/>
        </w:rPr>
        <w:t>".</w:t>
      </w:r>
    </w:p>
    <w:p w:rsidR="00631BFA" w:rsidRDefault="00631BFA" w:rsidP="00977626">
      <w:pPr>
        <w:pStyle w:val="H1GA"/>
        <w:rPr>
          <w:rFonts w:hint="cs"/>
          <w:rtl/>
        </w:rPr>
      </w:pPr>
      <w:r>
        <w:rPr>
          <w:rFonts w:hint="cs"/>
          <w:rtl/>
        </w:rPr>
        <w:tab/>
      </w:r>
      <w:r>
        <w:rPr>
          <w:rFonts w:hint="cs"/>
          <w:rtl/>
        </w:rPr>
        <w:tab/>
        <w:t>استقلال الأعضاء</w:t>
      </w:r>
    </w:p>
    <w:p w:rsidR="00631BFA" w:rsidRDefault="00631BFA" w:rsidP="00977626">
      <w:pPr>
        <w:pStyle w:val="H23GA"/>
        <w:rPr>
          <w:rFonts w:hint="cs"/>
          <w:rtl/>
        </w:rPr>
      </w:pPr>
      <w:r>
        <w:rPr>
          <w:rFonts w:hint="cs"/>
          <w:rtl/>
        </w:rPr>
        <w:tab/>
      </w:r>
      <w:r>
        <w:rPr>
          <w:rFonts w:hint="cs"/>
          <w:rtl/>
        </w:rPr>
        <w:tab/>
        <w:t>المادة 15</w:t>
      </w:r>
    </w:p>
    <w:p w:rsidR="00631BFA" w:rsidRDefault="00761DC0" w:rsidP="00977626">
      <w:pPr>
        <w:pStyle w:val="SingleTxtGA"/>
        <w:rPr>
          <w:rFonts w:hint="cs"/>
          <w:rtl/>
        </w:rPr>
      </w:pPr>
      <w:r>
        <w:rPr>
          <w:rFonts w:hint="cs"/>
          <w:rtl/>
        </w:rPr>
        <w:tab/>
      </w:r>
      <w:r w:rsidR="00631BFA">
        <w:rPr>
          <w:rFonts w:hint="cs"/>
          <w:rtl/>
        </w:rPr>
        <w:t>1-</w:t>
      </w:r>
      <w:r w:rsidR="00631BFA">
        <w:rPr>
          <w:rFonts w:hint="cs"/>
          <w:rtl/>
        </w:rPr>
        <w:tab/>
        <w:t>استقلال أعضاء اللجنة ضروري لأداء واجباتهم وهو يقتضي أن يضطلعوا بمهامهم بصفتهم الشخصية وألا يلتمسوا أو يقبلوا أية تعليمات من أية جهة فيما يتعلق بأدائهم لواجباتهم. ولا يخضع الأعضاء إلا لمساءلة اللجنة ولما يمليه عليهم ضميرهم.</w:t>
      </w:r>
    </w:p>
    <w:p w:rsidR="00631BFA" w:rsidRDefault="00761DC0" w:rsidP="00977626">
      <w:pPr>
        <w:pStyle w:val="SingleTxtGA"/>
        <w:rPr>
          <w:rFonts w:hint="cs"/>
          <w:b/>
          <w:bCs/>
          <w:spacing w:val="6"/>
          <w:kern w:val="16"/>
          <w:sz w:val="30"/>
          <w:rtl/>
        </w:rPr>
      </w:pPr>
      <w:r>
        <w:rPr>
          <w:rFonts w:hint="cs"/>
          <w:rtl/>
        </w:rPr>
        <w:tab/>
      </w:r>
      <w:r w:rsidR="00631BFA">
        <w:rPr>
          <w:rFonts w:hint="cs"/>
          <w:rtl/>
        </w:rPr>
        <w:t>2-</w:t>
      </w:r>
      <w:r w:rsidR="00631BFA">
        <w:rPr>
          <w:rFonts w:hint="cs"/>
          <w:rtl/>
        </w:rPr>
        <w:tab/>
        <w:t>يتمسك الأعضاء، في أدائهم لمهامهم بموجب الاتفاقية، بأعلى معايير التجرد والنزاهة، ويطبقون معايير الاتفاقية تطبيقاً متساوياً على جميع الدول وجميع الأفراد دون خوف أو محاباة ودون تمييز من أي نوع.</w:t>
      </w:r>
    </w:p>
    <w:p w:rsidR="00631BFA" w:rsidRDefault="00761DC0" w:rsidP="00977626">
      <w:pPr>
        <w:pStyle w:val="SingleTxtGA"/>
        <w:rPr>
          <w:rFonts w:hint="cs"/>
          <w:rtl/>
        </w:rPr>
      </w:pPr>
      <w:r>
        <w:rPr>
          <w:rFonts w:hint="cs"/>
          <w:rtl/>
        </w:rPr>
        <w:tab/>
      </w:r>
      <w:r w:rsidR="00631BFA">
        <w:rPr>
          <w:rFonts w:hint="cs"/>
          <w:rtl/>
        </w:rPr>
        <w:t>3</w:t>
      </w:r>
      <w:r w:rsidR="00631BFA" w:rsidRPr="00E505CD">
        <w:rPr>
          <w:rFonts w:hint="cs"/>
          <w:rtl/>
        </w:rPr>
        <w:t>-</w:t>
      </w:r>
      <w:r w:rsidR="00631BFA">
        <w:rPr>
          <w:rFonts w:hint="cs"/>
          <w:rtl/>
        </w:rPr>
        <w:tab/>
      </w:r>
      <w:r w:rsidR="00631BFA" w:rsidRPr="00094A35">
        <w:rPr>
          <w:rtl/>
        </w:rPr>
        <w:t xml:space="preserve">ترد </w:t>
      </w:r>
      <w:r w:rsidR="00631BFA">
        <w:rPr>
          <w:rFonts w:hint="cs"/>
          <w:rtl/>
        </w:rPr>
        <w:t>ال</w:t>
      </w:r>
      <w:r w:rsidR="00631BFA" w:rsidRPr="00094A35">
        <w:rPr>
          <w:rtl/>
        </w:rPr>
        <w:t xml:space="preserve">مبادئ التوجيهية </w:t>
      </w:r>
      <w:r w:rsidR="00631BFA">
        <w:rPr>
          <w:rFonts w:hint="cs"/>
          <w:rtl/>
        </w:rPr>
        <w:t>المتعلقة</w:t>
      </w:r>
      <w:r w:rsidR="00631BFA" w:rsidRPr="00094A35">
        <w:rPr>
          <w:rtl/>
        </w:rPr>
        <w:t xml:space="preserve"> </w:t>
      </w:r>
      <w:r w:rsidR="00631BFA">
        <w:rPr>
          <w:rFonts w:hint="cs"/>
          <w:rtl/>
        </w:rPr>
        <w:t>ب</w:t>
      </w:r>
      <w:r w:rsidR="00631BFA" w:rsidRPr="00094A35">
        <w:rPr>
          <w:rtl/>
        </w:rPr>
        <w:t>استقلال و</w:t>
      </w:r>
      <w:r w:rsidR="00631BFA">
        <w:rPr>
          <w:rFonts w:hint="cs"/>
          <w:rtl/>
        </w:rPr>
        <w:t xml:space="preserve">حياد </w:t>
      </w:r>
      <w:r w:rsidR="00631BFA" w:rsidRPr="00094A35">
        <w:rPr>
          <w:rtl/>
        </w:rPr>
        <w:t>أعضاء هيئات معاهدات حقوق الإنسان</w:t>
      </w:r>
      <w:r w:rsidR="00631BFA">
        <w:rPr>
          <w:rFonts w:hint="cs"/>
          <w:rtl/>
        </w:rPr>
        <w:t xml:space="preserve"> (</w:t>
      </w:r>
      <w:r w:rsidR="00631BFA" w:rsidRPr="00AE18F1">
        <w:rPr>
          <w:rtl/>
        </w:rPr>
        <w:t>مبادئ أديس أبابا التوجيهية</w:t>
      </w:r>
      <w:r w:rsidR="00631BFA">
        <w:rPr>
          <w:rFonts w:hint="cs"/>
          <w:rtl/>
        </w:rPr>
        <w:t>)</w:t>
      </w:r>
      <w:r w:rsidR="00631BFA" w:rsidRPr="00094A35">
        <w:rPr>
          <w:rtl/>
        </w:rPr>
        <w:t xml:space="preserve"> </w:t>
      </w:r>
      <w:r w:rsidR="00631BFA">
        <w:rPr>
          <w:rFonts w:hint="cs"/>
          <w:rtl/>
        </w:rPr>
        <w:t xml:space="preserve">في مرفق </w:t>
      </w:r>
      <w:r w:rsidR="00631BFA" w:rsidRPr="00094A35">
        <w:rPr>
          <w:rtl/>
        </w:rPr>
        <w:t xml:space="preserve">هذا النظام الداخلي. </w:t>
      </w:r>
      <w:r w:rsidR="00631BFA">
        <w:rPr>
          <w:rFonts w:hint="cs"/>
          <w:rtl/>
        </w:rPr>
        <w:t xml:space="preserve">وتمثل </w:t>
      </w:r>
      <w:r w:rsidR="00631BFA" w:rsidRPr="00094A35">
        <w:rPr>
          <w:rtl/>
        </w:rPr>
        <w:t>هذه المبادئ التوجيهية أداة مهمة لتفسير القواعد المتعلقة باستقلال و</w:t>
      </w:r>
      <w:r w:rsidR="00631BFA">
        <w:rPr>
          <w:rFonts w:hint="cs"/>
          <w:rtl/>
        </w:rPr>
        <w:t xml:space="preserve">حياد </w:t>
      </w:r>
      <w:r w:rsidR="00631BFA" w:rsidRPr="00094A35">
        <w:rPr>
          <w:rtl/>
        </w:rPr>
        <w:t>أعضاء اللجنة.</w:t>
      </w:r>
    </w:p>
    <w:p w:rsidR="00631BFA" w:rsidRPr="00FD24AD" w:rsidRDefault="00977626" w:rsidP="00977626">
      <w:pPr>
        <w:pStyle w:val="H1GA"/>
        <w:rPr>
          <w:rFonts w:hint="cs"/>
          <w:rtl/>
        </w:rPr>
      </w:pPr>
      <w:r>
        <w:rPr>
          <w:rFonts w:hint="cs"/>
          <w:rtl/>
        </w:rPr>
        <w:tab/>
      </w:r>
      <w:r>
        <w:rPr>
          <w:rFonts w:hint="cs"/>
          <w:rtl/>
        </w:rPr>
        <w:tab/>
      </w:r>
      <w:r w:rsidR="00631BFA">
        <w:rPr>
          <w:rFonts w:hint="cs"/>
          <w:rtl/>
        </w:rPr>
        <w:t xml:space="preserve">وجوب عدم مشاركة </w:t>
      </w:r>
      <w:r w:rsidR="00631BFA" w:rsidRPr="00FD24AD">
        <w:rPr>
          <w:rFonts w:hint="cs"/>
          <w:rtl/>
        </w:rPr>
        <w:t>أحد الأعضاء في دراسة شكوى ما</w:t>
      </w:r>
    </w:p>
    <w:p w:rsidR="00631BFA" w:rsidRPr="00FD24AD" w:rsidRDefault="00631BFA" w:rsidP="00977626">
      <w:pPr>
        <w:pStyle w:val="H23GA"/>
        <w:rPr>
          <w:rFonts w:hint="cs"/>
          <w:rtl/>
        </w:rPr>
      </w:pPr>
      <w:r>
        <w:rPr>
          <w:rFonts w:hint="cs"/>
          <w:rtl/>
        </w:rPr>
        <w:tab/>
      </w:r>
      <w:r>
        <w:rPr>
          <w:rFonts w:hint="cs"/>
          <w:rtl/>
        </w:rPr>
        <w:tab/>
      </w:r>
      <w:r w:rsidRPr="00FD24AD">
        <w:rPr>
          <w:rFonts w:hint="cs"/>
          <w:rtl/>
        </w:rPr>
        <w:t xml:space="preserve">المادة </w:t>
      </w:r>
      <w:r>
        <w:rPr>
          <w:rFonts w:hint="cs"/>
          <w:rtl/>
        </w:rPr>
        <w:t>109</w:t>
      </w:r>
    </w:p>
    <w:p w:rsidR="00631BFA" w:rsidRPr="008162D7" w:rsidRDefault="00631BFA" w:rsidP="00631BFA">
      <w:pPr>
        <w:pStyle w:val="SingleTxtGA"/>
        <w:rPr>
          <w:rFonts w:hint="cs"/>
          <w:rtl/>
        </w:rPr>
      </w:pPr>
      <w:r w:rsidRPr="008162D7">
        <w:rPr>
          <w:rFonts w:hint="cs"/>
          <w:rtl/>
        </w:rPr>
        <w:tab/>
        <w:t>1-</w:t>
      </w:r>
      <w:r w:rsidRPr="008162D7">
        <w:rPr>
          <w:rFonts w:hint="cs"/>
          <w:rtl/>
        </w:rPr>
        <w:tab/>
        <w:t xml:space="preserve">لا </w:t>
      </w:r>
      <w:r>
        <w:rPr>
          <w:rFonts w:hint="cs"/>
          <w:rtl/>
        </w:rPr>
        <w:t xml:space="preserve">يشارك </w:t>
      </w:r>
      <w:r w:rsidRPr="008162D7">
        <w:rPr>
          <w:rFonts w:hint="cs"/>
          <w:rtl/>
        </w:rPr>
        <w:t>العضو في دراسة اللجنة أو هيئتها الفرعية لشكوى ما:</w:t>
      </w:r>
    </w:p>
    <w:p w:rsidR="00631BFA" w:rsidRPr="008162D7" w:rsidRDefault="00631BFA" w:rsidP="00977626">
      <w:pPr>
        <w:pStyle w:val="SingleTxtGA"/>
        <w:rPr>
          <w:rFonts w:hint="cs"/>
          <w:rtl/>
        </w:rPr>
      </w:pPr>
      <w:r w:rsidRPr="008162D7">
        <w:rPr>
          <w:rFonts w:hint="cs"/>
          <w:rtl/>
        </w:rPr>
        <w:tab/>
        <w:t>(أ)</w:t>
      </w:r>
      <w:r w:rsidRPr="008162D7">
        <w:rPr>
          <w:rFonts w:hint="cs"/>
          <w:rtl/>
        </w:rPr>
        <w:tab/>
        <w:t>إذا كانت له أي مصلحة شخصية في الدعوى</w:t>
      </w:r>
      <w:r>
        <w:rPr>
          <w:rFonts w:hint="cs"/>
          <w:rtl/>
        </w:rPr>
        <w:t xml:space="preserve"> أو ف</w:t>
      </w:r>
      <w:r w:rsidR="00BE6C28">
        <w:rPr>
          <w:rFonts w:hint="cs"/>
          <w:rtl/>
        </w:rPr>
        <w:t>ي حال وجود تضارب في المصالح أيّ</w:t>
      </w:r>
      <w:r>
        <w:rPr>
          <w:rFonts w:hint="cs"/>
          <w:rtl/>
        </w:rPr>
        <w:t>ا</w:t>
      </w:r>
      <w:r w:rsidR="00BE6C28">
        <w:rPr>
          <w:rFonts w:hint="cs"/>
          <w:rtl/>
        </w:rPr>
        <w:t>ً</w:t>
      </w:r>
      <w:r>
        <w:rPr>
          <w:rFonts w:hint="cs"/>
          <w:rtl/>
        </w:rPr>
        <w:t xml:space="preserve"> كان نوعه</w:t>
      </w:r>
      <w:r w:rsidRPr="008162D7">
        <w:rPr>
          <w:rFonts w:hint="cs"/>
          <w:rtl/>
        </w:rPr>
        <w:t xml:space="preserve">؛ أو </w:t>
      </w:r>
    </w:p>
    <w:p w:rsidR="00631BFA" w:rsidRPr="008162D7" w:rsidRDefault="00631BFA" w:rsidP="00977626">
      <w:pPr>
        <w:pStyle w:val="SingleTxtGA"/>
        <w:rPr>
          <w:rFonts w:hint="cs"/>
          <w:rtl/>
        </w:rPr>
      </w:pPr>
      <w:r w:rsidRPr="008162D7">
        <w:rPr>
          <w:rFonts w:hint="cs"/>
          <w:rtl/>
        </w:rPr>
        <w:tab/>
        <w:t>(ب)</w:t>
      </w:r>
      <w:r w:rsidRPr="008162D7">
        <w:rPr>
          <w:rFonts w:hint="cs"/>
          <w:rtl/>
        </w:rPr>
        <w:tab/>
        <w:t xml:space="preserve">إذا كان قد </w:t>
      </w:r>
      <w:r>
        <w:rPr>
          <w:rFonts w:hint="cs"/>
          <w:rtl/>
        </w:rPr>
        <w:t xml:space="preserve">شارك </w:t>
      </w:r>
      <w:r w:rsidRPr="008162D7">
        <w:rPr>
          <w:rFonts w:hint="cs"/>
          <w:rtl/>
        </w:rPr>
        <w:t xml:space="preserve">بأية صفة غير صفة عضو اللجنة في اتخاذ أي مقرر؛ أو </w:t>
      </w:r>
    </w:p>
    <w:p w:rsidR="00631BFA" w:rsidRDefault="00631BFA" w:rsidP="00977626">
      <w:pPr>
        <w:pStyle w:val="SingleTxtGA"/>
        <w:rPr>
          <w:rFonts w:hint="cs"/>
          <w:rtl/>
        </w:rPr>
      </w:pPr>
      <w:r w:rsidRPr="008162D7">
        <w:rPr>
          <w:rFonts w:hint="cs"/>
          <w:rtl/>
        </w:rPr>
        <w:tab/>
        <w:t>(ج)</w:t>
      </w:r>
      <w:r w:rsidRPr="008162D7">
        <w:rPr>
          <w:rFonts w:hint="cs"/>
          <w:rtl/>
        </w:rPr>
        <w:tab/>
        <w:t xml:space="preserve">إذا كان من مواطني الدولة الطرف المعنية أو موظفاً لدى ذلك البلد. </w:t>
      </w:r>
    </w:p>
    <w:p w:rsidR="00631BFA" w:rsidRPr="002257F8" w:rsidRDefault="00631BFA" w:rsidP="00977626">
      <w:pPr>
        <w:pStyle w:val="SingleTxtGA"/>
        <w:rPr>
          <w:rFonts w:hint="cs"/>
          <w:rtl/>
        </w:rPr>
      </w:pPr>
      <w:r w:rsidRPr="008162D7">
        <w:rPr>
          <w:rFonts w:hint="cs"/>
          <w:rtl/>
        </w:rPr>
        <w:tab/>
      </w:r>
      <w:r>
        <w:rPr>
          <w:rFonts w:hint="cs"/>
          <w:rtl/>
        </w:rPr>
        <w:t>2-</w:t>
      </w:r>
      <w:r>
        <w:rPr>
          <w:rFonts w:hint="cs"/>
          <w:rtl/>
        </w:rPr>
        <w:tab/>
        <w:t xml:space="preserve">لا يحضر هذا العضو أثناء أية </w:t>
      </w:r>
      <w:r w:rsidR="00BE6C28">
        <w:rPr>
          <w:rFonts w:hint="cs"/>
          <w:rtl/>
        </w:rPr>
        <w:t xml:space="preserve">مشاورات أو اجتماعات غير </w:t>
      </w:r>
      <w:r>
        <w:rPr>
          <w:rFonts w:hint="cs"/>
          <w:rtl/>
        </w:rPr>
        <w:t>علنية تعقدها اللجنة، ولا خلال أية أعمال تتعلق بمناقشة الشكوى أو النظر فيها أو اعتماد قرار بشأنها</w:t>
      </w:r>
      <w:r w:rsidRPr="008162D7">
        <w:rPr>
          <w:rFonts w:hint="cs"/>
          <w:rtl/>
        </w:rPr>
        <w:t>.</w:t>
      </w:r>
    </w:p>
    <w:p w:rsidR="00E81A2B" w:rsidRDefault="00631BFA" w:rsidP="00977626">
      <w:pPr>
        <w:pStyle w:val="SingleTxtGA"/>
        <w:rPr>
          <w:rtl/>
        </w:rPr>
      </w:pPr>
      <w:r w:rsidRPr="008162D7">
        <w:rPr>
          <w:rFonts w:hint="cs"/>
          <w:rtl/>
        </w:rPr>
        <w:tab/>
      </w:r>
      <w:r>
        <w:rPr>
          <w:rFonts w:hint="cs"/>
          <w:rtl/>
        </w:rPr>
        <w:t>3</w:t>
      </w:r>
      <w:r w:rsidRPr="008162D7">
        <w:rPr>
          <w:rFonts w:hint="cs"/>
          <w:rtl/>
        </w:rPr>
        <w:t>-</w:t>
      </w:r>
      <w:r w:rsidRPr="008162D7">
        <w:rPr>
          <w:rFonts w:hint="cs"/>
          <w:rtl/>
        </w:rPr>
        <w:tab/>
        <w:t>تبت اللجنة في أية مسألة يمكن أن تنشأ في إطار الفقر</w:t>
      </w:r>
      <w:r>
        <w:rPr>
          <w:rFonts w:hint="cs"/>
          <w:rtl/>
        </w:rPr>
        <w:t xml:space="preserve">تين 1 و2 </w:t>
      </w:r>
      <w:r w:rsidRPr="008162D7">
        <w:rPr>
          <w:rFonts w:hint="cs"/>
          <w:rtl/>
        </w:rPr>
        <w:t xml:space="preserve">أعلاه دون </w:t>
      </w:r>
      <w:r>
        <w:rPr>
          <w:rFonts w:hint="cs"/>
          <w:rtl/>
        </w:rPr>
        <w:t xml:space="preserve">مشاركة </w:t>
      </w:r>
      <w:r w:rsidRPr="008162D7">
        <w:rPr>
          <w:rFonts w:hint="cs"/>
          <w:rtl/>
        </w:rPr>
        <w:t>العضو المعني.</w:t>
      </w:r>
    </w:p>
    <w:p w:rsidR="00E81A2B" w:rsidRDefault="00E81A2B" w:rsidP="00E81A2B">
      <w:pPr>
        <w:pStyle w:val="HChGA"/>
        <w:spacing w:before="120"/>
        <w:rPr>
          <w:rFonts w:hint="cs"/>
          <w:rtl/>
        </w:rPr>
      </w:pPr>
      <w:r>
        <w:rPr>
          <w:rtl/>
        </w:rPr>
        <w:br w:type="page"/>
      </w:r>
      <w:r w:rsidRPr="00F86A90">
        <w:rPr>
          <w:rFonts w:hint="cs"/>
          <w:rtl/>
        </w:rPr>
        <w:t xml:space="preserve">المرفق </w:t>
      </w:r>
      <w:r>
        <w:rPr>
          <w:rFonts w:hint="cs"/>
          <w:rtl/>
        </w:rPr>
        <w:t>الخامس</w:t>
      </w:r>
      <w:r w:rsidRPr="00F86A90">
        <w:rPr>
          <w:rFonts w:hint="cs"/>
          <w:rtl/>
        </w:rPr>
        <w:t xml:space="preserve"> عشر</w:t>
      </w:r>
    </w:p>
    <w:p w:rsidR="00E81A2B" w:rsidRPr="007E13FE" w:rsidRDefault="00E81A2B" w:rsidP="00E81A2B">
      <w:pPr>
        <w:pStyle w:val="HChGA"/>
        <w:spacing w:before="120"/>
        <w:rPr>
          <w:rFonts w:hint="cs"/>
          <w:rtl/>
        </w:rPr>
      </w:pPr>
      <w:r>
        <w:rPr>
          <w:rFonts w:hint="cs"/>
          <w:rtl/>
        </w:rPr>
        <w:tab/>
      </w:r>
      <w:r>
        <w:rPr>
          <w:rFonts w:hint="cs"/>
          <w:rtl/>
        </w:rPr>
        <w:tab/>
      </w:r>
      <w:r>
        <w:rPr>
          <w:rFonts w:ascii="Times New Roman Bold" w:hAnsi="Times New Roman Bold" w:hint="cs"/>
          <w:rtl/>
        </w:rPr>
        <w:t>الحالة فيما يتعلق ب</w:t>
      </w:r>
      <w:r w:rsidRPr="00F86A90">
        <w:rPr>
          <w:rFonts w:ascii="Times New Roman Bold" w:hAnsi="Times New Roman Bold" w:hint="cs"/>
          <w:rtl/>
        </w:rPr>
        <w:t>التقارير</w:t>
      </w:r>
      <w:r>
        <w:rPr>
          <w:rFonts w:ascii="Times New Roman Bold" w:hAnsi="Times New Roman Bold" w:hint="cs"/>
          <w:rtl/>
        </w:rPr>
        <w:t>،</w:t>
      </w:r>
      <w:r w:rsidRPr="00F86A90">
        <w:rPr>
          <w:rFonts w:ascii="Times New Roman Bold" w:hAnsi="Times New Roman Bold" w:hint="cs"/>
          <w:rtl/>
        </w:rPr>
        <w:t xml:space="preserve"> </w:t>
      </w:r>
      <w:r>
        <w:rPr>
          <w:rFonts w:ascii="Times New Roman Bold" w:hAnsi="Times New Roman Bold" w:hint="cs"/>
          <w:rtl/>
        </w:rPr>
        <w:t>في</w:t>
      </w:r>
      <w:r w:rsidRPr="00F86A90">
        <w:rPr>
          <w:rFonts w:ascii="Times New Roman Bold" w:hAnsi="Times New Roman Bold" w:hint="cs"/>
          <w:rtl/>
        </w:rPr>
        <w:t xml:space="preserve"> </w:t>
      </w:r>
      <w:r>
        <w:rPr>
          <w:rFonts w:ascii="Times New Roman Bold" w:hAnsi="Times New Roman Bold" w:hint="cs"/>
          <w:rtl/>
        </w:rPr>
        <w:t>31 أيار/مايو 2013</w:t>
      </w:r>
    </w:p>
    <w:p w:rsidR="00E81A2B" w:rsidRDefault="00E81A2B" w:rsidP="00E81A2B">
      <w:pPr>
        <w:pStyle w:val="H1GA"/>
        <w:rPr>
          <w:rFonts w:hint="cs"/>
          <w:rtl/>
        </w:rPr>
      </w:pPr>
      <w:r w:rsidRPr="00F86A90">
        <w:rPr>
          <w:rFonts w:hint="cs"/>
          <w:rtl/>
        </w:rPr>
        <w:tab/>
      </w:r>
      <w:r>
        <w:rPr>
          <w:rFonts w:hint="cs"/>
          <w:rtl/>
        </w:rPr>
        <w:tab/>
      </w:r>
      <w:r w:rsidRPr="00F86A90">
        <w:rPr>
          <w:rFonts w:hint="cs"/>
          <w:rtl/>
        </w:rPr>
        <w:t>ألف-</w:t>
      </w:r>
      <w:r w:rsidRPr="00F86A90">
        <w:rPr>
          <w:rFonts w:hint="cs"/>
          <w:rtl/>
        </w:rPr>
        <w:tab/>
        <w:t>التقارير الأولية</w:t>
      </w:r>
    </w:p>
    <w:p w:rsidR="00E81A2B" w:rsidRDefault="00E81A2B" w:rsidP="00E81A2B">
      <w:pPr>
        <w:pStyle w:val="SingleTxtGA"/>
        <w:rPr>
          <w:rFonts w:hint="cs"/>
          <w:rtl/>
        </w:rPr>
      </w:pPr>
      <w:r>
        <w:rPr>
          <w:rFonts w:hint="cs"/>
          <w:rtl/>
        </w:rPr>
        <w:tab/>
        <w:t>في 31 أيار/مايو 2013، كانت الحالة فيما يتعلق بالتقارير الأولية كالآتي:</w:t>
      </w:r>
    </w:p>
    <w:p w:rsidR="00987BE9" w:rsidRPr="00180A38" w:rsidRDefault="00987BE9" w:rsidP="00987BE9">
      <w:pPr>
        <w:pStyle w:val="H23GA"/>
        <w:rPr>
          <w:rFonts w:hint="cs"/>
          <w:rtl/>
        </w:rPr>
      </w:pPr>
      <w:r>
        <w:rPr>
          <w:rFonts w:hint="cs"/>
          <w:rtl/>
        </w:rPr>
        <w:tab/>
      </w:r>
      <w:r>
        <w:rPr>
          <w:rFonts w:hint="cs"/>
          <w:rtl/>
        </w:rPr>
        <w:tab/>
        <w:t>التقارير الأولية</w:t>
      </w:r>
    </w:p>
    <w:tbl>
      <w:tblPr>
        <w:tblStyle w:val="TableGrid"/>
        <w:bidiVisual/>
        <w:tblW w:w="0" w:type="auto"/>
        <w:tblInd w:w="12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039"/>
        <w:gridCol w:w="2562"/>
        <w:gridCol w:w="2842"/>
        <w:tblGridChange w:id="14">
          <w:tblGrid>
            <w:gridCol w:w="3039"/>
            <w:gridCol w:w="2562"/>
            <w:gridCol w:w="2842"/>
          </w:tblGrid>
        </w:tblGridChange>
      </w:tblGrid>
      <w:tr w:rsidR="00E81A2B" w:rsidRPr="00987BE9" w:rsidTr="00987BE9">
        <w:trPr>
          <w:tblHeader/>
        </w:trPr>
        <w:tc>
          <w:tcPr>
            <w:tcW w:w="3039" w:type="dxa"/>
            <w:tcBorders>
              <w:top w:val="single" w:sz="4" w:space="0" w:color="auto"/>
              <w:bottom w:val="single" w:sz="12" w:space="0" w:color="auto"/>
            </w:tcBorders>
            <w:vAlign w:val="bottom"/>
          </w:tcPr>
          <w:p w:rsidR="00E81A2B" w:rsidRPr="00987BE9" w:rsidRDefault="00E81A2B" w:rsidP="00987BE9">
            <w:pPr>
              <w:spacing w:before="40" w:after="60" w:line="320" w:lineRule="exact"/>
              <w:rPr>
                <w:rFonts w:cs="Traditional Arabic" w:hint="cs"/>
                <w:i/>
                <w:iCs/>
                <w:sz w:val="18"/>
                <w:szCs w:val="26"/>
                <w:rtl/>
              </w:rPr>
            </w:pPr>
            <w:r w:rsidRPr="00987BE9">
              <w:rPr>
                <w:rFonts w:cs="Traditional Arabic" w:hint="cs"/>
                <w:i/>
                <w:iCs/>
                <w:sz w:val="18"/>
                <w:szCs w:val="26"/>
                <w:rtl/>
              </w:rPr>
              <w:t>دولة طرف (منذ)</w:t>
            </w:r>
          </w:p>
        </w:tc>
        <w:tc>
          <w:tcPr>
            <w:tcW w:w="2562" w:type="dxa"/>
            <w:tcBorders>
              <w:top w:val="single" w:sz="4" w:space="0" w:color="auto"/>
              <w:bottom w:val="single" w:sz="12" w:space="0" w:color="auto"/>
            </w:tcBorders>
          </w:tcPr>
          <w:p w:rsidR="00E81A2B" w:rsidRPr="00987BE9" w:rsidRDefault="00E81A2B" w:rsidP="00987BE9">
            <w:pPr>
              <w:spacing w:before="40" w:after="60" w:line="320" w:lineRule="exact"/>
              <w:rPr>
                <w:rFonts w:cs="Traditional Arabic" w:hint="cs"/>
                <w:i/>
                <w:iCs/>
                <w:sz w:val="18"/>
                <w:szCs w:val="26"/>
                <w:rtl/>
              </w:rPr>
            </w:pPr>
            <w:r w:rsidRPr="00987BE9">
              <w:rPr>
                <w:rFonts w:cs="Traditional Arabic" w:hint="cs"/>
                <w:i/>
                <w:iCs/>
                <w:sz w:val="18"/>
                <w:szCs w:val="26"/>
                <w:rtl/>
              </w:rPr>
              <w:t>تأخر تقديم التقرير منذ</w:t>
            </w:r>
          </w:p>
        </w:tc>
        <w:tc>
          <w:tcPr>
            <w:tcW w:w="2842" w:type="dxa"/>
            <w:tcBorders>
              <w:top w:val="single" w:sz="4" w:space="0" w:color="auto"/>
              <w:bottom w:val="single" w:sz="12" w:space="0" w:color="auto"/>
            </w:tcBorders>
          </w:tcPr>
          <w:p w:rsidR="00E81A2B" w:rsidRPr="00987BE9" w:rsidRDefault="00E81A2B" w:rsidP="00987BE9">
            <w:pPr>
              <w:spacing w:before="40" w:after="60" w:line="320" w:lineRule="exact"/>
              <w:rPr>
                <w:rFonts w:cs="Traditional Arabic" w:hint="cs"/>
                <w:i/>
                <w:iCs/>
                <w:sz w:val="18"/>
                <w:szCs w:val="26"/>
                <w:rtl/>
              </w:rPr>
            </w:pPr>
            <w:r w:rsidRPr="00987BE9">
              <w:rPr>
                <w:rFonts w:cs="Traditional Arabic" w:hint="cs"/>
                <w:i/>
                <w:iCs/>
                <w:sz w:val="18"/>
                <w:szCs w:val="26"/>
                <w:rtl/>
              </w:rPr>
              <w:t>يحل موعد تقديمه/ورد في</w:t>
            </w:r>
          </w:p>
        </w:tc>
      </w:tr>
      <w:tr w:rsidR="00E81A2B" w:rsidRPr="00987BE9" w:rsidTr="00987BE9">
        <w:tc>
          <w:tcPr>
            <w:tcW w:w="3039" w:type="dxa"/>
            <w:tcBorders>
              <w:top w:val="single" w:sz="12" w:space="0" w:color="auto"/>
            </w:tcBorders>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الإمارات العربية المتحدة (2012)</w:t>
            </w:r>
          </w:p>
        </w:tc>
        <w:tc>
          <w:tcPr>
            <w:tcW w:w="2562" w:type="dxa"/>
            <w:tcBorders>
              <w:top w:val="single" w:sz="12" w:space="0" w:color="auto"/>
            </w:tcBorders>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w:t>
            </w:r>
          </w:p>
        </w:tc>
        <w:tc>
          <w:tcPr>
            <w:tcW w:w="2842" w:type="dxa"/>
            <w:tcBorders>
              <w:top w:val="single" w:sz="12" w:space="0" w:color="auto"/>
            </w:tcBorders>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يحل موعد تقديمه في</w:t>
            </w:r>
            <w:r w:rsidR="00987BE9" w:rsidRPr="00987BE9">
              <w:rPr>
                <w:rFonts w:cs="Traditional Arabic" w:hint="cs"/>
                <w:sz w:val="18"/>
                <w:szCs w:val="26"/>
                <w:rtl/>
              </w:rPr>
              <w:t xml:space="preserve"> </w:t>
            </w:r>
            <w:r w:rsidRPr="00987BE9">
              <w:rPr>
                <w:rFonts w:cs="Traditional Arabic" w:hint="cs"/>
                <w:sz w:val="18"/>
                <w:szCs w:val="26"/>
                <w:rtl/>
              </w:rPr>
              <w:t>19 آب/</w:t>
            </w:r>
            <w:r w:rsidR="00987BE9" w:rsidRPr="00987BE9">
              <w:rPr>
                <w:rFonts w:cs="Traditional Arabic" w:hint="cs"/>
                <w:sz w:val="18"/>
                <w:szCs w:val="26"/>
                <w:rtl/>
              </w:rPr>
              <w:t xml:space="preserve"> </w:t>
            </w:r>
            <w:r w:rsidRPr="00987BE9">
              <w:rPr>
                <w:rFonts w:cs="Traditional Arabic" w:hint="cs"/>
                <w:sz w:val="18"/>
                <w:szCs w:val="26"/>
                <w:rtl/>
              </w:rPr>
              <w:t>أغسطس 2013</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أنتيغوا وبربودا (1993)</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17 آب/أغسطس 1994</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أندورا (2006)</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w:t>
            </w:r>
          </w:p>
        </w:tc>
        <w:tc>
          <w:tcPr>
            <w:tcW w:w="2842" w:type="dxa"/>
          </w:tcPr>
          <w:p w:rsidR="00E81A2B" w:rsidRPr="00761DC0" w:rsidRDefault="00E81A2B" w:rsidP="00987BE9">
            <w:pPr>
              <w:spacing w:before="40" w:after="60" w:line="320" w:lineRule="exact"/>
              <w:rPr>
                <w:rFonts w:cs="Traditional Arabic" w:hint="cs"/>
                <w:spacing w:val="-4"/>
                <w:sz w:val="18"/>
                <w:szCs w:val="26"/>
                <w:rtl/>
              </w:rPr>
            </w:pPr>
            <w:r w:rsidRPr="00761DC0">
              <w:rPr>
                <w:rFonts w:cs="Traditional Arabic" w:hint="cs"/>
                <w:spacing w:val="-4"/>
                <w:sz w:val="18"/>
                <w:szCs w:val="26"/>
                <w:rtl/>
              </w:rPr>
              <w:t>ورد في 14 تشرين الثاني/نوفمبر 2012</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باكستان (2010)</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23 تموز/يوليه 2011</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بنغلاديش (1998)</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4 تشرين الثاني/نوفمبر 1999</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بوتسوانا (2000)</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7 تشرين الأول/أكتوبر 2001</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بوركينا فاسو (1999)</w:t>
            </w:r>
          </w:p>
        </w:tc>
        <w:tc>
          <w:tcPr>
            <w:tcW w:w="256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c>
          <w:tcPr>
            <w:tcW w:w="284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ورد في 8 تشرين الثاني/</w:t>
            </w:r>
            <w:r w:rsidR="00987BE9" w:rsidRPr="00987BE9">
              <w:rPr>
                <w:rFonts w:cs="Traditional Arabic" w:hint="cs"/>
                <w:sz w:val="18"/>
                <w:szCs w:val="26"/>
                <w:rtl/>
              </w:rPr>
              <w:t xml:space="preserve"> </w:t>
            </w:r>
            <w:r w:rsidRPr="00987BE9">
              <w:rPr>
                <w:rFonts w:cs="Traditional Arabic" w:hint="cs"/>
                <w:sz w:val="18"/>
                <w:szCs w:val="26"/>
                <w:rtl/>
              </w:rPr>
              <w:t>نوفمبر 2012</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تايلند (2007)</w:t>
            </w:r>
          </w:p>
        </w:tc>
        <w:tc>
          <w:tcPr>
            <w:tcW w:w="256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c>
          <w:tcPr>
            <w:tcW w:w="2842" w:type="dxa"/>
          </w:tcPr>
          <w:p w:rsidR="00E81A2B" w:rsidRPr="00987BE9" w:rsidRDefault="00BE6C28" w:rsidP="00987BE9">
            <w:pPr>
              <w:spacing w:before="40" w:after="60" w:line="320" w:lineRule="exact"/>
              <w:rPr>
                <w:rFonts w:cs="Traditional Arabic" w:hint="cs"/>
                <w:sz w:val="18"/>
                <w:szCs w:val="26"/>
                <w:rtl/>
              </w:rPr>
            </w:pPr>
            <w:r>
              <w:rPr>
                <w:rFonts w:cs="Traditional Arabic" w:hint="cs"/>
                <w:sz w:val="18"/>
                <w:szCs w:val="26"/>
                <w:rtl/>
              </w:rPr>
              <w:t xml:space="preserve">ورد في 26 شباط/فبراير </w:t>
            </w:r>
            <w:r w:rsidR="00E81A2B" w:rsidRPr="00987BE9">
              <w:rPr>
                <w:rFonts w:cs="Traditional Arabic" w:hint="cs"/>
                <w:sz w:val="18"/>
                <w:szCs w:val="26"/>
                <w:rtl/>
              </w:rPr>
              <w:t>2013</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 xml:space="preserve">تيمور </w:t>
            </w:r>
            <w:r w:rsidR="00987BE9" w:rsidRPr="00987BE9">
              <w:rPr>
                <w:rFonts w:cs="Traditional Arabic" w:hint="cs"/>
                <w:sz w:val="18"/>
                <w:szCs w:val="26"/>
                <w:rtl/>
              </w:rPr>
              <w:t>-</w:t>
            </w:r>
            <w:r w:rsidRPr="00987BE9">
              <w:rPr>
                <w:rFonts w:cs="Traditional Arabic" w:hint="cs"/>
                <w:sz w:val="18"/>
                <w:szCs w:val="26"/>
                <w:rtl/>
              </w:rPr>
              <w:t xml:space="preserve"> ليشتي (2003)</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16 أيار/مايو 2004</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الجمهورية الدومينيكية (2012)</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23 شباط/فبراير 2013</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جمهورية لاو الديمقراطية الشعبية (2012)</w:t>
            </w:r>
          </w:p>
        </w:tc>
        <w:tc>
          <w:tcPr>
            <w:tcW w:w="256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c>
          <w:tcPr>
            <w:tcW w:w="284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يحل موعد تقديمه في 26 تشرين الأول/</w:t>
            </w:r>
            <w:r w:rsidR="00BE6C28">
              <w:rPr>
                <w:rFonts w:cs="Traditional Arabic" w:hint="cs"/>
                <w:sz w:val="18"/>
                <w:szCs w:val="26"/>
                <w:rtl/>
              </w:rPr>
              <w:t xml:space="preserve"> </w:t>
            </w:r>
            <w:r w:rsidRPr="00987BE9">
              <w:rPr>
                <w:rFonts w:cs="Traditional Arabic" w:hint="cs"/>
                <w:sz w:val="18"/>
                <w:szCs w:val="26"/>
                <w:rtl/>
              </w:rPr>
              <w:t>أكتوبر 2013</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الرأس الأخضر (1992)</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3 تموز/يوليه 1993</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سان مارينو (2006)</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27 كانون الأول/ديسمبر 2007</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سانت فنسنت وجزر غرينادين (2001)</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 xml:space="preserve">30 </w:t>
            </w:r>
            <w:r w:rsidR="00987BE9" w:rsidRPr="00987BE9">
              <w:rPr>
                <w:rFonts w:cs="Traditional Arabic" w:hint="cs"/>
                <w:sz w:val="18"/>
                <w:szCs w:val="26"/>
                <w:rtl/>
              </w:rPr>
              <w:t>آب/أغسطس</w:t>
            </w:r>
            <w:r w:rsidRPr="00987BE9">
              <w:rPr>
                <w:rFonts w:cs="Traditional Arabic" w:hint="cs"/>
                <w:sz w:val="18"/>
                <w:szCs w:val="26"/>
                <w:rtl/>
              </w:rPr>
              <w:t xml:space="preserve"> 2002</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سوازيلند (2004)</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25 نيسان/أبريل 2005</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سيراليون (2001)</w:t>
            </w:r>
          </w:p>
        </w:tc>
        <w:tc>
          <w:tcPr>
            <w:tcW w:w="256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c>
          <w:tcPr>
            <w:tcW w:w="2842" w:type="dxa"/>
          </w:tcPr>
          <w:p w:rsidR="00E81A2B" w:rsidRPr="00987BE9" w:rsidRDefault="00BE6C28" w:rsidP="00987BE9">
            <w:pPr>
              <w:spacing w:before="40" w:after="60" w:line="320" w:lineRule="exact"/>
              <w:rPr>
                <w:rFonts w:cs="Traditional Arabic" w:hint="cs"/>
                <w:sz w:val="18"/>
                <w:szCs w:val="26"/>
                <w:rtl/>
              </w:rPr>
            </w:pPr>
            <w:r>
              <w:rPr>
                <w:rFonts w:cs="Traditional Arabic" w:hint="cs"/>
                <w:sz w:val="18"/>
                <w:szCs w:val="26"/>
                <w:rtl/>
              </w:rPr>
              <w:t xml:space="preserve">ورد في 7 شباط/فبراير </w:t>
            </w:r>
            <w:r w:rsidR="00E81A2B" w:rsidRPr="00987BE9">
              <w:rPr>
                <w:rFonts w:cs="Traditional Arabic" w:hint="cs"/>
                <w:sz w:val="18"/>
                <w:szCs w:val="26"/>
                <w:rtl/>
              </w:rPr>
              <w:t>2013</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سيشيل (1992)</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3 حزيران/يونيه 1993</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الصومال (1990)</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22 شباط/فبراير 1991</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العراق (2011)</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6 آب/أغسطس 2012</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غينيا (1989)</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8 تشرين الثاني/نوفمبر 1990</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غينيا الاستوائية (2002)</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6 تشرين الثاني/نوفمبر 2003</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فانواتو (2011)</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11 آب/أغسطس 2012</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الكرسي الرسولي (2002)</w:t>
            </w:r>
          </w:p>
        </w:tc>
        <w:tc>
          <w:tcPr>
            <w:tcW w:w="256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c>
          <w:tcPr>
            <w:tcW w:w="2842" w:type="dxa"/>
          </w:tcPr>
          <w:p w:rsidR="00E81A2B" w:rsidRPr="00987BE9" w:rsidRDefault="00E81A2B" w:rsidP="00987BE9">
            <w:pPr>
              <w:spacing w:before="40" w:after="60" w:line="320" w:lineRule="exact"/>
              <w:rPr>
                <w:rFonts w:cs="Traditional Arabic" w:hint="cs"/>
                <w:spacing w:val="-4"/>
                <w:sz w:val="18"/>
                <w:szCs w:val="26"/>
                <w:rtl/>
              </w:rPr>
            </w:pPr>
            <w:r w:rsidRPr="00987BE9">
              <w:rPr>
                <w:rFonts w:cs="Traditional Arabic" w:hint="cs"/>
                <w:spacing w:val="-4"/>
                <w:sz w:val="18"/>
                <w:szCs w:val="26"/>
                <w:rtl/>
              </w:rPr>
              <w:t>ورد في 7 كانون الأول/ديسمبر 2012</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كوت ديفوار (1995)</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16 كانون الثاني/يناير 1997</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الكونغو (2003)</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30 آب/أغسطس 2004</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لبنان (2000)</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3 تشرين الثاني/نوفمبر 2001</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ليبيريا (2004)</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22 تشرين الأول/أكتوبر 2005</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20" w:lineRule="exact"/>
              <w:rPr>
                <w:rFonts w:cs="Traditional Arabic" w:hint="cs"/>
                <w:sz w:val="18"/>
                <w:szCs w:val="26"/>
                <w:rtl/>
              </w:rPr>
            </w:pPr>
            <w:r w:rsidRPr="00987BE9">
              <w:rPr>
                <w:rFonts w:cs="Traditional Arabic" w:hint="cs"/>
                <w:sz w:val="18"/>
                <w:szCs w:val="26"/>
                <w:rtl/>
              </w:rPr>
              <w:t>ليسوتو (2001)</w:t>
            </w:r>
          </w:p>
        </w:tc>
        <w:tc>
          <w:tcPr>
            <w:tcW w:w="2562" w:type="dxa"/>
          </w:tcPr>
          <w:p w:rsidR="00E81A2B" w:rsidRPr="00987BE9" w:rsidRDefault="00E81A2B" w:rsidP="00987BE9">
            <w:pPr>
              <w:spacing w:before="40" w:after="60" w:line="320" w:lineRule="exact"/>
              <w:rPr>
                <w:rFonts w:cs="Traditional Arabic" w:hint="cs"/>
                <w:sz w:val="18"/>
                <w:szCs w:val="26"/>
                <w:rtl/>
              </w:rPr>
            </w:pPr>
            <w:r w:rsidRPr="00987BE9">
              <w:rPr>
                <w:rFonts w:cs="Traditional Arabic" w:hint="cs"/>
                <w:sz w:val="18"/>
                <w:szCs w:val="26"/>
                <w:rtl/>
              </w:rPr>
              <w:t>11 كانون الأول/ديسمبر 2002</w:t>
            </w:r>
          </w:p>
        </w:tc>
        <w:tc>
          <w:tcPr>
            <w:tcW w:w="2842" w:type="dxa"/>
          </w:tcPr>
          <w:p w:rsidR="00E81A2B" w:rsidRPr="00987BE9" w:rsidRDefault="00987BE9" w:rsidP="00987BE9">
            <w:pPr>
              <w:spacing w:before="40" w:after="60" w:line="32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40" w:lineRule="exact"/>
              <w:rPr>
                <w:rFonts w:cs="Traditional Arabic" w:hint="cs"/>
                <w:sz w:val="18"/>
                <w:szCs w:val="26"/>
                <w:rtl/>
              </w:rPr>
            </w:pPr>
            <w:r w:rsidRPr="00987BE9">
              <w:rPr>
                <w:rFonts w:cs="Traditional Arabic" w:hint="cs"/>
                <w:sz w:val="18"/>
                <w:szCs w:val="26"/>
                <w:rtl/>
              </w:rPr>
              <w:t>مالي (1999)</w:t>
            </w:r>
          </w:p>
        </w:tc>
        <w:tc>
          <w:tcPr>
            <w:tcW w:w="2562" w:type="dxa"/>
          </w:tcPr>
          <w:p w:rsidR="00E81A2B" w:rsidRPr="00987BE9" w:rsidRDefault="00E81A2B" w:rsidP="00987BE9">
            <w:pPr>
              <w:spacing w:before="40" w:after="60" w:line="340" w:lineRule="exact"/>
              <w:rPr>
                <w:rFonts w:cs="Traditional Arabic" w:hint="cs"/>
                <w:sz w:val="18"/>
                <w:szCs w:val="26"/>
                <w:rtl/>
              </w:rPr>
            </w:pPr>
            <w:r w:rsidRPr="00987BE9">
              <w:rPr>
                <w:rFonts w:cs="Traditional Arabic" w:hint="cs"/>
                <w:sz w:val="18"/>
                <w:szCs w:val="26"/>
                <w:rtl/>
              </w:rPr>
              <w:t>27 آذار/مارس 2000</w:t>
            </w:r>
          </w:p>
        </w:tc>
        <w:tc>
          <w:tcPr>
            <w:tcW w:w="2842" w:type="dxa"/>
          </w:tcPr>
          <w:p w:rsidR="00E81A2B" w:rsidRPr="00987BE9" w:rsidRDefault="00987BE9" w:rsidP="00987BE9">
            <w:pPr>
              <w:spacing w:before="40" w:after="60" w:line="34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40" w:lineRule="exact"/>
              <w:rPr>
                <w:rFonts w:cs="Traditional Arabic" w:hint="cs"/>
                <w:sz w:val="18"/>
                <w:szCs w:val="26"/>
                <w:rtl/>
              </w:rPr>
            </w:pPr>
            <w:r w:rsidRPr="00987BE9">
              <w:rPr>
                <w:rFonts w:cs="Traditional Arabic" w:hint="cs"/>
                <w:sz w:val="18"/>
                <w:szCs w:val="26"/>
                <w:rtl/>
              </w:rPr>
              <w:t>ملاوي (1996)</w:t>
            </w:r>
          </w:p>
        </w:tc>
        <w:tc>
          <w:tcPr>
            <w:tcW w:w="2562" w:type="dxa"/>
          </w:tcPr>
          <w:p w:rsidR="00E81A2B" w:rsidRPr="00987BE9" w:rsidRDefault="00E81A2B" w:rsidP="00987BE9">
            <w:pPr>
              <w:spacing w:before="40" w:after="60" w:line="340" w:lineRule="exact"/>
              <w:rPr>
                <w:rFonts w:cs="Traditional Arabic" w:hint="cs"/>
                <w:sz w:val="18"/>
                <w:szCs w:val="26"/>
                <w:rtl/>
              </w:rPr>
            </w:pPr>
            <w:r w:rsidRPr="00987BE9">
              <w:rPr>
                <w:rFonts w:cs="Traditional Arabic" w:hint="cs"/>
                <w:sz w:val="18"/>
                <w:szCs w:val="26"/>
                <w:rtl/>
              </w:rPr>
              <w:t>10 تموز/يوليه 1997</w:t>
            </w:r>
          </w:p>
        </w:tc>
        <w:tc>
          <w:tcPr>
            <w:tcW w:w="2842" w:type="dxa"/>
          </w:tcPr>
          <w:p w:rsidR="00E81A2B" w:rsidRPr="00987BE9" w:rsidRDefault="00987BE9" w:rsidP="00987BE9">
            <w:pPr>
              <w:spacing w:before="40" w:after="60" w:line="34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40" w:lineRule="exact"/>
              <w:rPr>
                <w:rFonts w:cs="Traditional Arabic" w:hint="cs"/>
                <w:sz w:val="18"/>
                <w:szCs w:val="26"/>
                <w:rtl/>
              </w:rPr>
            </w:pPr>
            <w:r w:rsidRPr="00987BE9">
              <w:rPr>
                <w:rFonts w:cs="Traditional Arabic" w:hint="cs"/>
                <w:sz w:val="18"/>
                <w:szCs w:val="26"/>
                <w:rtl/>
              </w:rPr>
              <w:t>ملديف (2004)</w:t>
            </w:r>
          </w:p>
        </w:tc>
        <w:tc>
          <w:tcPr>
            <w:tcW w:w="2562" w:type="dxa"/>
          </w:tcPr>
          <w:p w:rsidR="00E81A2B" w:rsidRPr="00987BE9" w:rsidRDefault="00E81A2B" w:rsidP="00987BE9">
            <w:pPr>
              <w:spacing w:before="40" w:after="60" w:line="340" w:lineRule="exact"/>
              <w:rPr>
                <w:rFonts w:cs="Traditional Arabic" w:hint="cs"/>
                <w:sz w:val="18"/>
                <w:szCs w:val="26"/>
                <w:rtl/>
              </w:rPr>
            </w:pPr>
            <w:r w:rsidRPr="00987BE9">
              <w:rPr>
                <w:rFonts w:cs="Traditional Arabic" w:hint="cs"/>
                <w:sz w:val="18"/>
                <w:szCs w:val="26"/>
                <w:rtl/>
              </w:rPr>
              <w:t>20 أيار/مايو 2005</w:t>
            </w:r>
          </w:p>
        </w:tc>
        <w:tc>
          <w:tcPr>
            <w:tcW w:w="2842" w:type="dxa"/>
          </w:tcPr>
          <w:p w:rsidR="00E81A2B" w:rsidRPr="00987BE9" w:rsidRDefault="00987BE9" w:rsidP="00987BE9">
            <w:pPr>
              <w:spacing w:before="40" w:after="60" w:line="34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Pr>
          <w:p w:rsidR="00E81A2B" w:rsidRPr="00987BE9" w:rsidRDefault="00E81A2B" w:rsidP="00987BE9">
            <w:pPr>
              <w:tabs>
                <w:tab w:val="left" w:pos="587"/>
              </w:tabs>
              <w:spacing w:before="40" w:after="60" w:line="340" w:lineRule="exact"/>
              <w:rPr>
                <w:rFonts w:cs="Traditional Arabic" w:hint="cs"/>
                <w:sz w:val="18"/>
                <w:szCs w:val="26"/>
                <w:rtl/>
              </w:rPr>
            </w:pPr>
            <w:r w:rsidRPr="00987BE9">
              <w:rPr>
                <w:rFonts w:cs="Traditional Arabic" w:hint="cs"/>
                <w:sz w:val="18"/>
                <w:szCs w:val="26"/>
                <w:rtl/>
              </w:rPr>
              <w:t>موزامبيق (1999)</w:t>
            </w:r>
          </w:p>
        </w:tc>
        <w:tc>
          <w:tcPr>
            <w:tcW w:w="2562" w:type="dxa"/>
          </w:tcPr>
          <w:p w:rsidR="00E81A2B" w:rsidRPr="00987BE9" w:rsidRDefault="00987BE9" w:rsidP="00987BE9">
            <w:pPr>
              <w:spacing w:before="40" w:after="60" w:line="340" w:lineRule="exact"/>
              <w:rPr>
                <w:rFonts w:cs="Traditional Arabic" w:hint="cs"/>
                <w:sz w:val="18"/>
                <w:szCs w:val="26"/>
                <w:rtl/>
              </w:rPr>
            </w:pPr>
            <w:r w:rsidRPr="00987BE9">
              <w:rPr>
                <w:rFonts w:cs="Traditional Arabic" w:hint="cs"/>
                <w:sz w:val="18"/>
                <w:szCs w:val="26"/>
                <w:rtl/>
              </w:rPr>
              <w:t>-</w:t>
            </w:r>
          </w:p>
        </w:tc>
        <w:tc>
          <w:tcPr>
            <w:tcW w:w="2842" w:type="dxa"/>
          </w:tcPr>
          <w:p w:rsidR="00E81A2B" w:rsidRPr="00987BE9" w:rsidRDefault="00E81A2B" w:rsidP="00987BE9">
            <w:pPr>
              <w:spacing w:before="40" w:after="60" w:line="340" w:lineRule="exact"/>
              <w:rPr>
                <w:rFonts w:cs="Traditional Arabic" w:hint="cs"/>
                <w:spacing w:val="-4"/>
                <w:sz w:val="18"/>
                <w:szCs w:val="26"/>
                <w:rtl/>
              </w:rPr>
            </w:pPr>
            <w:r w:rsidRPr="00987BE9">
              <w:rPr>
                <w:rFonts w:cs="Traditional Arabic" w:hint="cs"/>
                <w:spacing w:val="-4"/>
                <w:sz w:val="18"/>
                <w:szCs w:val="26"/>
                <w:rtl/>
              </w:rPr>
              <w:t>ورد في 18 تشرين الأول/أكتوبر 2012</w:t>
            </w:r>
          </w:p>
        </w:tc>
      </w:tr>
      <w:tr w:rsidR="00E81A2B" w:rsidRPr="00987BE9" w:rsidTr="00987BE9">
        <w:tc>
          <w:tcPr>
            <w:tcW w:w="3039" w:type="dxa"/>
          </w:tcPr>
          <w:p w:rsidR="00E81A2B" w:rsidRPr="00987BE9" w:rsidRDefault="00E81A2B" w:rsidP="00987BE9">
            <w:pPr>
              <w:tabs>
                <w:tab w:val="left" w:pos="587"/>
              </w:tabs>
              <w:spacing w:before="40" w:after="60" w:line="340" w:lineRule="exact"/>
              <w:rPr>
                <w:rFonts w:cs="Traditional Arabic" w:hint="cs"/>
                <w:sz w:val="18"/>
                <w:szCs w:val="26"/>
                <w:rtl/>
              </w:rPr>
            </w:pPr>
            <w:r w:rsidRPr="00987BE9">
              <w:rPr>
                <w:rFonts w:cs="Traditional Arabic" w:hint="cs"/>
                <w:sz w:val="18"/>
                <w:szCs w:val="26"/>
                <w:rtl/>
              </w:rPr>
              <w:t>ناورو (2012)</w:t>
            </w:r>
          </w:p>
        </w:tc>
        <w:tc>
          <w:tcPr>
            <w:tcW w:w="2562" w:type="dxa"/>
          </w:tcPr>
          <w:p w:rsidR="00E81A2B" w:rsidRPr="00987BE9" w:rsidRDefault="00987BE9" w:rsidP="00987BE9">
            <w:pPr>
              <w:spacing w:before="40" w:after="60" w:line="340" w:lineRule="exact"/>
              <w:rPr>
                <w:rFonts w:cs="Traditional Arabic" w:hint="cs"/>
                <w:sz w:val="18"/>
                <w:szCs w:val="26"/>
                <w:rtl/>
              </w:rPr>
            </w:pPr>
            <w:r w:rsidRPr="00987BE9">
              <w:rPr>
                <w:rFonts w:cs="Traditional Arabic" w:hint="cs"/>
                <w:sz w:val="18"/>
                <w:szCs w:val="26"/>
                <w:rtl/>
              </w:rPr>
              <w:t>-</w:t>
            </w:r>
          </w:p>
        </w:tc>
        <w:tc>
          <w:tcPr>
            <w:tcW w:w="2842" w:type="dxa"/>
          </w:tcPr>
          <w:p w:rsidR="00E81A2B" w:rsidRPr="00987BE9" w:rsidRDefault="00E81A2B" w:rsidP="00987BE9">
            <w:pPr>
              <w:spacing w:before="40" w:after="60" w:line="340" w:lineRule="exact"/>
              <w:rPr>
                <w:rFonts w:cs="Traditional Arabic" w:hint="cs"/>
                <w:sz w:val="18"/>
                <w:szCs w:val="26"/>
                <w:rtl/>
              </w:rPr>
            </w:pPr>
            <w:r w:rsidRPr="00987BE9">
              <w:rPr>
                <w:rFonts w:cs="Traditional Arabic" w:hint="cs"/>
                <w:sz w:val="18"/>
                <w:szCs w:val="26"/>
                <w:rtl/>
              </w:rPr>
              <w:t>يحل موعد تقديمه في 26 تشرين الأول/أكتوبر 2013</w:t>
            </w:r>
          </w:p>
        </w:tc>
      </w:tr>
      <w:tr w:rsidR="00E81A2B" w:rsidRPr="00987BE9" w:rsidTr="00987BE9">
        <w:tc>
          <w:tcPr>
            <w:tcW w:w="3039" w:type="dxa"/>
          </w:tcPr>
          <w:p w:rsidR="00E81A2B" w:rsidRPr="00987BE9" w:rsidRDefault="00E81A2B" w:rsidP="00987BE9">
            <w:pPr>
              <w:tabs>
                <w:tab w:val="left" w:pos="587"/>
              </w:tabs>
              <w:spacing w:before="40" w:after="60" w:line="340" w:lineRule="exact"/>
              <w:rPr>
                <w:rFonts w:cs="Traditional Arabic" w:hint="cs"/>
                <w:sz w:val="18"/>
                <w:szCs w:val="26"/>
                <w:rtl/>
              </w:rPr>
            </w:pPr>
            <w:r w:rsidRPr="00987BE9">
              <w:rPr>
                <w:rFonts w:cs="Traditional Arabic" w:hint="cs"/>
                <w:sz w:val="18"/>
                <w:szCs w:val="26"/>
                <w:rtl/>
              </w:rPr>
              <w:t>النيجر (1998)</w:t>
            </w:r>
          </w:p>
        </w:tc>
        <w:tc>
          <w:tcPr>
            <w:tcW w:w="2562" w:type="dxa"/>
          </w:tcPr>
          <w:p w:rsidR="00E81A2B" w:rsidRPr="00987BE9" w:rsidRDefault="00E81A2B" w:rsidP="00987BE9">
            <w:pPr>
              <w:spacing w:before="40" w:after="60" w:line="340" w:lineRule="exact"/>
              <w:rPr>
                <w:rFonts w:cs="Traditional Arabic" w:hint="cs"/>
                <w:sz w:val="18"/>
                <w:szCs w:val="26"/>
                <w:rtl/>
              </w:rPr>
            </w:pPr>
            <w:r w:rsidRPr="00987BE9">
              <w:rPr>
                <w:rFonts w:cs="Traditional Arabic" w:hint="cs"/>
                <w:sz w:val="18"/>
                <w:szCs w:val="26"/>
                <w:rtl/>
              </w:rPr>
              <w:t>3 تشرين الثاني/نوفمبر 1999</w:t>
            </w:r>
          </w:p>
        </w:tc>
        <w:tc>
          <w:tcPr>
            <w:tcW w:w="2842" w:type="dxa"/>
          </w:tcPr>
          <w:p w:rsidR="00E81A2B" w:rsidRPr="00987BE9" w:rsidRDefault="00987BE9" w:rsidP="00987BE9">
            <w:pPr>
              <w:spacing w:before="40" w:after="60" w:line="340" w:lineRule="exact"/>
              <w:rPr>
                <w:rFonts w:cs="Traditional Arabic" w:hint="cs"/>
                <w:sz w:val="18"/>
                <w:szCs w:val="26"/>
                <w:rtl/>
              </w:rPr>
            </w:pPr>
            <w:r w:rsidRPr="00987BE9">
              <w:rPr>
                <w:rFonts w:cs="Traditional Arabic" w:hint="cs"/>
                <w:sz w:val="18"/>
                <w:szCs w:val="26"/>
                <w:rtl/>
              </w:rPr>
              <w:t>-</w:t>
            </w:r>
          </w:p>
        </w:tc>
      </w:tr>
      <w:tr w:rsidR="00E81A2B" w:rsidRPr="00987BE9" w:rsidTr="00987BE9">
        <w:tc>
          <w:tcPr>
            <w:tcW w:w="3039" w:type="dxa"/>
            <w:tcBorders>
              <w:bottom w:val="single" w:sz="12" w:space="0" w:color="auto"/>
            </w:tcBorders>
          </w:tcPr>
          <w:p w:rsidR="00E81A2B" w:rsidRPr="00987BE9" w:rsidRDefault="00E81A2B" w:rsidP="00987BE9">
            <w:pPr>
              <w:tabs>
                <w:tab w:val="left" w:pos="587"/>
              </w:tabs>
              <w:spacing w:before="40" w:after="60" w:line="340" w:lineRule="exact"/>
              <w:rPr>
                <w:rFonts w:cs="Traditional Arabic" w:hint="cs"/>
                <w:sz w:val="18"/>
                <w:szCs w:val="26"/>
                <w:rtl/>
              </w:rPr>
            </w:pPr>
            <w:r w:rsidRPr="00987BE9">
              <w:rPr>
                <w:rFonts w:cs="Traditional Arabic" w:hint="cs"/>
                <w:sz w:val="18"/>
                <w:szCs w:val="26"/>
                <w:rtl/>
              </w:rPr>
              <w:t>نيجيريا (2001)</w:t>
            </w:r>
          </w:p>
        </w:tc>
        <w:tc>
          <w:tcPr>
            <w:tcW w:w="2562" w:type="dxa"/>
            <w:tcBorders>
              <w:bottom w:val="single" w:sz="12" w:space="0" w:color="auto"/>
            </w:tcBorders>
          </w:tcPr>
          <w:p w:rsidR="00E81A2B" w:rsidRPr="00987BE9" w:rsidRDefault="00E81A2B" w:rsidP="00987BE9">
            <w:pPr>
              <w:spacing w:before="40" w:after="60" w:line="340" w:lineRule="exact"/>
              <w:rPr>
                <w:rFonts w:cs="Traditional Arabic" w:hint="cs"/>
                <w:sz w:val="18"/>
                <w:szCs w:val="26"/>
                <w:rtl/>
              </w:rPr>
            </w:pPr>
            <w:r w:rsidRPr="00987BE9">
              <w:rPr>
                <w:rFonts w:cs="Traditional Arabic" w:hint="cs"/>
                <w:sz w:val="18"/>
                <w:szCs w:val="26"/>
                <w:rtl/>
              </w:rPr>
              <w:t>28 حزيران/يونيه 2002</w:t>
            </w:r>
          </w:p>
        </w:tc>
        <w:tc>
          <w:tcPr>
            <w:tcW w:w="2842" w:type="dxa"/>
            <w:tcBorders>
              <w:bottom w:val="single" w:sz="12" w:space="0" w:color="auto"/>
            </w:tcBorders>
          </w:tcPr>
          <w:p w:rsidR="00E81A2B" w:rsidRPr="00987BE9" w:rsidRDefault="00987BE9" w:rsidP="00987BE9">
            <w:pPr>
              <w:spacing w:before="40" w:after="60" w:line="340" w:lineRule="exact"/>
              <w:rPr>
                <w:rFonts w:cs="Traditional Arabic" w:hint="cs"/>
                <w:sz w:val="18"/>
                <w:szCs w:val="26"/>
                <w:rtl/>
              </w:rPr>
            </w:pPr>
            <w:r w:rsidRPr="00987BE9">
              <w:rPr>
                <w:rFonts w:cs="Traditional Arabic" w:hint="cs"/>
                <w:sz w:val="18"/>
                <w:szCs w:val="26"/>
                <w:rtl/>
              </w:rPr>
              <w:t>-</w:t>
            </w:r>
          </w:p>
        </w:tc>
      </w:tr>
    </w:tbl>
    <w:p w:rsidR="00E81A2B" w:rsidRDefault="00E81A2B" w:rsidP="00761DC0">
      <w:pPr>
        <w:pStyle w:val="H1GA"/>
        <w:spacing w:before="360"/>
        <w:rPr>
          <w:rFonts w:hint="cs"/>
          <w:rtl/>
        </w:rPr>
      </w:pPr>
      <w:r w:rsidRPr="00B8252B">
        <w:rPr>
          <w:rFonts w:hint="cs"/>
          <w:rtl/>
        </w:rPr>
        <w:tab/>
        <w:t>باء-</w:t>
      </w:r>
      <w:r w:rsidRPr="00B8252B">
        <w:rPr>
          <w:rFonts w:hint="cs"/>
          <w:rtl/>
        </w:rPr>
        <w:tab/>
        <w:t>التقارير الدورية</w:t>
      </w:r>
    </w:p>
    <w:p w:rsidR="00987BE9" w:rsidRDefault="00987BE9" w:rsidP="00987BE9">
      <w:pPr>
        <w:pStyle w:val="SingleTxtGA"/>
        <w:rPr>
          <w:rFonts w:hint="cs"/>
          <w:rtl/>
        </w:rPr>
      </w:pPr>
      <w:r>
        <w:rPr>
          <w:rFonts w:hint="cs"/>
          <w:rtl/>
        </w:rPr>
        <w:tab/>
        <w:t>في 31 أيار/مايو 2013، كانت الحالة فيما يتعلق بالتقارير الدورية كالآتي:</w:t>
      </w:r>
    </w:p>
    <w:p w:rsidR="00987BE9" w:rsidRDefault="00987BE9" w:rsidP="00987BE9">
      <w:pPr>
        <w:pStyle w:val="H23GA"/>
        <w:rPr>
          <w:rFonts w:hint="cs"/>
          <w:rtl/>
        </w:rPr>
      </w:pPr>
      <w:r>
        <w:rPr>
          <w:rFonts w:hint="cs"/>
          <w:rtl/>
        </w:rPr>
        <w:tab/>
      </w:r>
      <w:r>
        <w:rPr>
          <w:rFonts w:hint="cs"/>
          <w:rtl/>
        </w:rPr>
        <w:tab/>
        <w:t>التقارير الدورية</w:t>
      </w:r>
    </w:p>
    <w:tbl>
      <w:tblPr>
        <w:tblStyle w:val="TableGrid"/>
        <w:bidiVisual/>
        <w:tblW w:w="8516" w:type="dxa"/>
        <w:tblInd w:w="12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054"/>
        <w:gridCol w:w="2029"/>
        <w:gridCol w:w="2044"/>
        <w:gridCol w:w="2389"/>
      </w:tblGrid>
      <w:tr w:rsidR="00987BE9" w:rsidRPr="00987BE9" w:rsidTr="00F50F4E">
        <w:trPr>
          <w:cantSplit/>
          <w:tblHeader/>
        </w:trPr>
        <w:tc>
          <w:tcPr>
            <w:tcW w:w="2054" w:type="dxa"/>
            <w:tcBorders>
              <w:top w:val="single" w:sz="4" w:space="0" w:color="auto"/>
              <w:bottom w:val="single" w:sz="12" w:space="0" w:color="auto"/>
            </w:tcBorders>
            <w:vAlign w:val="bottom"/>
          </w:tcPr>
          <w:p w:rsidR="00987BE9" w:rsidRPr="00987BE9" w:rsidRDefault="00987BE9" w:rsidP="00987BE9">
            <w:pPr>
              <w:spacing w:before="40" w:after="40" w:line="320" w:lineRule="exact"/>
              <w:rPr>
                <w:rFonts w:cs="Traditional Arabic" w:hint="cs"/>
                <w:i/>
                <w:iCs/>
                <w:sz w:val="16"/>
                <w:szCs w:val="26"/>
                <w:rtl/>
              </w:rPr>
            </w:pPr>
            <w:r w:rsidRPr="00987BE9">
              <w:rPr>
                <w:rFonts w:cs="Traditional Arabic" w:hint="cs"/>
                <w:i/>
                <w:iCs/>
                <w:sz w:val="16"/>
                <w:szCs w:val="26"/>
                <w:rtl/>
              </w:rPr>
              <w:t>دولة طرف (منذ)</w:t>
            </w:r>
          </w:p>
        </w:tc>
        <w:tc>
          <w:tcPr>
            <w:tcW w:w="2029" w:type="dxa"/>
            <w:tcBorders>
              <w:top w:val="single" w:sz="4" w:space="0" w:color="auto"/>
              <w:bottom w:val="single" w:sz="12" w:space="0" w:color="auto"/>
            </w:tcBorders>
            <w:vAlign w:val="bottom"/>
          </w:tcPr>
          <w:p w:rsidR="00987BE9" w:rsidRPr="00987BE9" w:rsidRDefault="00987BE9" w:rsidP="00987BE9">
            <w:pPr>
              <w:spacing w:before="40" w:after="40" w:line="320" w:lineRule="exact"/>
              <w:rPr>
                <w:rFonts w:cs="Traditional Arabic" w:hint="cs"/>
                <w:i/>
                <w:iCs/>
                <w:sz w:val="16"/>
                <w:szCs w:val="26"/>
                <w:rtl/>
              </w:rPr>
            </w:pPr>
            <w:r w:rsidRPr="00987BE9">
              <w:rPr>
                <w:rFonts w:cs="Traditional Arabic" w:hint="cs"/>
                <w:i/>
                <w:iCs/>
                <w:sz w:val="16"/>
                <w:szCs w:val="26"/>
                <w:rtl/>
              </w:rPr>
              <w:t>آخر استعراض</w:t>
            </w:r>
          </w:p>
        </w:tc>
        <w:tc>
          <w:tcPr>
            <w:tcW w:w="2044" w:type="dxa"/>
            <w:tcBorders>
              <w:top w:val="single" w:sz="4" w:space="0" w:color="auto"/>
              <w:bottom w:val="single" w:sz="12" w:space="0" w:color="auto"/>
            </w:tcBorders>
            <w:vAlign w:val="bottom"/>
          </w:tcPr>
          <w:p w:rsidR="00987BE9" w:rsidRPr="00781EE0" w:rsidRDefault="00987BE9" w:rsidP="00CC3672">
            <w:pPr>
              <w:spacing w:before="40" w:after="40" w:line="320" w:lineRule="exact"/>
              <w:ind w:left="57" w:right="57"/>
              <w:jc w:val="left"/>
              <w:rPr>
                <w:rFonts w:cs="Traditional Arabic" w:hint="cs"/>
                <w:i/>
                <w:iCs/>
                <w:spacing w:val="-4"/>
                <w:sz w:val="16"/>
                <w:szCs w:val="26"/>
                <w:rtl/>
              </w:rPr>
            </w:pPr>
            <w:r w:rsidRPr="00781EE0">
              <w:rPr>
                <w:rFonts w:cs="Traditional Arabic" w:hint="cs"/>
                <w:i/>
                <w:iCs/>
                <w:spacing w:val="-4"/>
                <w:sz w:val="16"/>
                <w:szCs w:val="26"/>
                <w:rtl/>
              </w:rPr>
              <w:t>تأخر تقديم التقرير منذ</w:t>
            </w:r>
          </w:p>
        </w:tc>
        <w:tc>
          <w:tcPr>
            <w:tcW w:w="2389" w:type="dxa"/>
            <w:tcBorders>
              <w:top w:val="single" w:sz="4" w:space="0" w:color="auto"/>
              <w:bottom w:val="single" w:sz="12" w:space="0" w:color="auto"/>
            </w:tcBorders>
            <w:vAlign w:val="bottom"/>
          </w:tcPr>
          <w:p w:rsidR="00987BE9" w:rsidRPr="00987BE9" w:rsidRDefault="00987BE9" w:rsidP="00987BE9">
            <w:pPr>
              <w:spacing w:before="40" w:after="40" w:line="320" w:lineRule="exact"/>
              <w:rPr>
                <w:rFonts w:cs="Traditional Arabic" w:hint="cs"/>
                <w:i/>
                <w:iCs/>
                <w:sz w:val="16"/>
                <w:szCs w:val="26"/>
                <w:rtl/>
              </w:rPr>
            </w:pPr>
            <w:r w:rsidRPr="00987BE9">
              <w:rPr>
                <w:rFonts w:cs="Traditional Arabic" w:hint="cs"/>
                <w:i/>
                <w:iCs/>
                <w:sz w:val="16"/>
                <w:szCs w:val="26"/>
                <w:rtl/>
              </w:rPr>
              <w:t>يحل موعد تقديمه/ورد في</w:t>
            </w:r>
          </w:p>
        </w:tc>
      </w:tr>
      <w:tr w:rsidR="00987BE9" w:rsidRPr="00987BE9" w:rsidTr="00781EE0">
        <w:trPr>
          <w:cantSplit/>
        </w:trPr>
        <w:tc>
          <w:tcPr>
            <w:tcW w:w="2054" w:type="dxa"/>
            <w:tcBorders>
              <w:top w:val="single" w:sz="12" w:space="0" w:color="auto"/>
            </w:tcBorders>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الاتحاد الروسي* (1987)</w:t>
            </w:r>
          </w:p>
        </w:tc>
        <w:tc>
          <w:tcPr>
            <w:tcW w:w="2029" w:type="dxa"/>
            <w:tcBorders>
              <w:top w:val="single" w:sz="12" w:space="0" w:color="auto"/>
            </w:tcBorders>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الخامس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2012</w:t>
            </w:r>
          </w:p>
        </w:tc>
        <w:tc>
          <w:tcPr>
            <w:tcW w:w="2044" w:type="dxa"/>
            <w:tcBorders>
              <w:top w:val="single" w:sz="12" w:space="0" w:color="auto"/>
            </w:tcBorders>
          </w:tcPr>
          <w:p w:rsidR="00987BE9" w:rsidRPr="00781EE0" w:rsidRDefault="00781EE0"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w:t>
            </w:r>
          </w:p>
        </w:tc>
        <w:tc>
          <w:tcPr>
            <w:tcW w:w="2389" w:type="dxa"/>
            <w:tcBorders>
              <w:top w:val="single" w:sz="12" w:space="0" w:color="auto"/>
            </w:tcBorders>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السادس</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23 تشرين الثاني/نوفمبر 2016</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إثيوبيا (1994)</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2010</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الثاني</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19 تشرين الثاني/نوفمبر 2014</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أذربيجان* (1996)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الثالث</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2009</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الرابع</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20 تشرين الثاني/نوفمبر 2013</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الأرجنتين* (1986)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2004</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الخامس والسادس</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25 </w:t>
            </w:r>
            <w:r w:rsidRPr="00781EE0">
              <w:rPr>
                <w:rFonts w:cs="Traditional Arabic" w:hint="cs"/>
                <w:sz w:val="16"/>
                <w:szCs w:val="26"/>
                <w:rtl/>
              </w:rPr>
              <w:t>حزيران</w:t>
            </w:r>
            <w:r w:rsidRPr="00781EE0">
              <w:rPr>
                <w:rFonts w:cs="Traditional Arabic" w:hint="cs"/>
                <w:spacing w:val="-4"/>
                <w:sz w:val="16"/>
                <w:szCs w:val="26"/>
                <w:rtl/>
              </w:rPr>
              <w:t>/يونيه 2008</w:t>
            </w:r>
          </w:p>
        </w:tc>
        <w:tc>
          <w:tcPr>
            <w:tcW w:w="2389" w:type="dxa"/>
          </w:tcPr>
          <w:p w:rsidR="00987BE9" w:rsidRPr="00987BE9" w:rsidRDefault="00987BE9" w:rsidP="00987BE9">
            <w:pPr>
              <w:rPr>
                <w:rFonts w:cs="Traditional Arabic"/>
                <w:sz w:val="16"/>
                <w:szCs w:val="26"/>
              </w:rPr>
            </w:pP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الأردن* (1991)</w:t>
            </w:r>
          </w:p>
        </w:tc>
        <w:tc>
          <w:tcPr>
            <w:tcW w:w="202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الثاني</w:t>
            </w:r>
          </w:p>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أيار/مايو 2010</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781EE0" w:rsidP="00781EE0">
            <w:pPr>
              <w:spacing w:after="120" w:line="320" w:lineRule="exact"/>
              <w:rPr>
                <w:rFonts w:cs="Traditional Arabic" w:hint="cs"/>
                <w:sz w:val="16"/>
                <w:szCs w:val="26"/>
                <w:rtl/>
              </w:rPr>
            </w:pPr>
            <w:r>
              <w:rPr>
                <w:rFonts w:cs="Traditional Arabic" w:hint="cs"/>
                <w:sz w:val="16"/>
                <w:szCs w:val="26"/>
                <w:rtl/>
              </w:rPr>
              <w:t>يحل موعد تقديمه في 14 أيار</w:t>
            </w:r>
            <w:r w:rsidR="00987BE9" w:rsidRPr="00987BE9">
              <w:rPr>
                <w:rFonts w:cs="Traditional Arabic" w:hint="cs"/>
                <w:sz w:val="16"/>
                <w:szCs w:val="26"/>
                <w:rtl/>
              </w:rPr>
              <w:t>/</w:t>
            </w:r>
            <w:r>
              <w:rPr>
                <w:rFonts w:cs="Traditional Arabic" w:hint="cs"/>
                <w:sz w:val="16"/>
                <w:szCs w:val="26"/>
                <w:rtl/>
              </w:rPr>
              <w:t xml:space="preserve"> </w:t>
            </w:r>
            <w:r w:rsidR="00987BE9" w:rsidRPr="00987BE9">
              <w:rPr>
                <w:rFonts w:cs="Traditional Arabic" w:hint="cs"/>
                <w:sz w:val="16"/>
                <w:szCs w:val="26"/>
                <w:rtl/>
              </w:rPr>
              <w:t>مايو 2014</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أرمينيا (1993)</w:t>
            </w:r>
          </w:p>
        </w:tc>
        <w:tc>
          <w:tcPr>
            <w:tcW w:w="202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أيار/مايو 2012</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الرابع</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1 حزيران/</w:t>
            </w:r>
            <w:r w:rsidR="00781EE0">
              <w:rPr>
                <w:rFonts w:cs="Traditional Arabic" w:hint="cs"/>
                <w:sz w:val="16"/>
                <w:szCs w:val="26"/>
                <w:rtl/>
              </w:rPr>
              <w:t xml:space="preserve"> </w:t>
            </w:r>
            <w:r w:rsidRPr="00987BE9">
              <w:rPr>
                <w:rFonts w:cs="Traditional Arabic" w:hint="cs"/>
                <w:sz w:val="16"/>
                <w:szCs w:val="26"/>
                <w:rtl/>
              </w:rPr>
              <w:t>يونيه 2016</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إسبانيا* (1987)</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الخامس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2009</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السادس</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20 تشرين الثاني/نوفمبر 2013</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أستراليا* (1989)</w:t>
            </w:r>
          </w:p>
        </w:tc>
        <w:tc>
          <w:tcPr>
            <w:tcW w:w="202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أيار/مايو 2008</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الرابع والخامس</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30 حزيران/يونيه 2012</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إستونيا* (1991)</w:t>
            </w:r>
          </w:p>
        </w:tc>
        <w:tc>
          <w:tcPr>
            <w:tcW w:w="202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الخامس</w:t>
            </w:r>
          </w:p>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أيار/مايو 2013</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السادس</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31 أيار/</w:t>
            </w:r>
            <w:r w:rsidR="00781EE0">
              <w:rPr>
                <w:rFonts w:cs="Traditional Arabic" w:hint="cs"/>
                <w:sz w:val="16"/>
                <w:szCs w:val="26"/>
                <w:rtl/>
              </w:rPr>
              <w:t xml:space="preserve"> </w:t>
            </w:r>
            <w:r w:rsidRPr="00987BE9">
              <w:rPr>
                <w:rFonts w:cs="Traditional Arabic" w:hint="cs"/>
                <w:sz w:val="16"/>
                <w:szCs w:val="26"/>
                <w:rtl/>
              </w:rPr>
              <w:t>مايو 2017</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إسرائيل* (1991)</w:t>
            </w:r>
          </w:p>
        </w:tc>
        <w:tc>
          <w:tcPr>
            <w:tcW w:w="202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الرابع</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أيار/مايو 2009</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الخامس</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15 أيار/مايو 2013</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أفغانستان (1987)</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781EE0">
            <w:pPr>
              <w:spacing w:after="120" w:line="320" w:lineRule="exact"/>
              <w:rPr>
                <w:rFonts w:cs="Traditional Arabic" w:hint="cs"/>
                <w:spacing w:val="-4"/>
                <w:sz w:val="16"/>
                <w:szCs w:val="26"/>
                <w:rtl/>
              </w:rPr>
            </w:pPr>
            <w:r w:rsidRPr="00987BE9">
              <w:rPr>
                <w:rFonts w:cs="Traditional Arabic" w:hint="cs"/>
                <w:spacing w:val="-4"/>
                <w:sz w:val="16"/>
                <w:szCs w:val="26"/>
                <w:rtl/>
              </w:rPr>
              <w:t xml:space="preserve">تشرين </w:t>
            </w:r>
            <w:r w:rsidRPr="00781EE0">
              <w:rPr>
                <w:rFonts w:cs="Traditional Arabic" w:hint="cs"/>
                <w:sz w:val="16"/>
                <w:szCs w:val="26"/>
                <w:rtl/>
              </w:rPr>
              <w:t>الثاني</w:t>
            </w:r>
            <w:r w:rsidRPr="00987BE9">
              <w:rPr>
                <w:rFonts w:cs="Traditional Arabic" w:hint="cs"/>
                <w:spacing w:val="-4"/>
                <w:sz w:val="16"/>
                <w:szCs w:val="26"/>
                <w:rtl/>
              </w:rPr>
              <w:t>/نوفمبر 1992</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الثاني</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25 </w:t>
            </w:r>
            <w:r w:rsidRPr="00781EE0">
              <w:rPr>
                <w:rFonts w:cs="Traditional Arabic" w:hint="cs"/>
                <w:sz w:val="16"/>
                <w:szCs w:val="26"/>
                <w:rtl/>
              </w:rPr>
              <w:t>حزيران</w:t>
            </w:r>
            <w:r w:rsidRPr="00781EE0">
              <w:rPr>
                <w:rFonts w:cs="Traditional Arabic" w:hint="cs"/>
                <w:spacing w:val="-4"/>
                <w:sz w:val="16"/>
                <w:szCs w:val="26"/>
                <w:rtl/>
              </w:rPr>
              <w:t>/يونيه 1996</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إكوادور* (1988)</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 إلى السادس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2010</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السابع</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19 تشرين الثاني/نوفمبر 2014</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ألبانيا (1994)</w:t>
            </w:r>
          </w:p>
        </w:tc>
        <w:tc>
          <w:tcPr>
            <w:tcW w:w="202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الثاني</w:t>
            </w:r>
          </w:p>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أيار/مايو 2012</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1 حزيران/</w:t>
            </w:r>
            <w:r w:rsidR="00781EE0">
              <w:rPr>
                <w:rFonts w:cs="Traditional Arabic" w:hint="cs"/>
                <w:sz w:val="16"/>
                <w:szCs w:val="26"/>
                <w:rtl/>
              </w:rPr>
              <w:t xml:space="preserve"> </w:t>
            </w:r>
            <w:r w:rsidRPr="00987BE9">
              <w:rPr>
                <w:rFonts w:cs="Traditional Arabic" w:hint="cs"/>
                <w:sz w:val="16"/>
                <w:szCs w:val="26"/>
                <w:rtl/>
              </w:rPr>
              <w:t>يونيه 2016</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ألمانيا* (1990)</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الخامس</w:t>
            </w:r>
          </w:p>
          <w:p w:rsidR="00987BE9" w:rsidRPr="00987BE9" w:rsidRDefault="00987BE9" w:rsidP="00781EE0">
            <w:pPr>
              <w:spacing w:after="120" w:line="320" w:lineRule="exact"/>
              <w:rPr>
                <w:rFonts w:cs="Traditional Arabic" w:hint="cs"/>
                <w:spacing w:val="-4"/>
                <w:sz w:val="16"/>
                <w:szCs w:val="26"/>
                <w:rtl/>
              </w:rPr>
            </w:pPr>
            <w:r w:rsidRPr="00987BE9">
              <w:rPr>
                <w:rFonts w:cs="Traditional Arabic" w:hint="cs"/>
                <w:spacing w:val="-4"/>
                <w:sz w:val="16"/>
                <w:szCs w:val="26"/>
                <w:rtl/>
              </w:rPr>
              <w:t xml:space="preserve">تشرين </w:t>
            </w:r>
            <w:r w:rsidRPr="00781EE0">
              <w:rPr>
                <w:rFonts w:cs="Traditional Arabic" w:hint="cs"/>
                <w:sz w:val="16"/>
                <w:szCs w:val="26"/>
                <w:rtl/>
              </w:rPr>
              <w:t>الثاني</w:t>
            </w:r>
            <w:r w:rsidRPr="00987BE9">
              <w:rPr>
                <w:rFonts w:cs="Traditional Arabic" w:hint="cs"/>
                <w:spacing w:val="-4"/>
                <w:sz w:val="16"/>
                <w:szCs w:val="26"/>
                <w:rtl/>
              </w:rPr>
              <w:t>/نوفمبر 2011</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السادس</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25 تشرين الثاني/نوفمبر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إندونيسيا (1998)</w:t>
            </w:r>
          </w:p>
        </w:tc>
        <w:tc>
          <w:tcPr>
            <w:tcW w:w="202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الثاني</w:t>
            </w:r>
          </w:p>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أيار/مايو 2008</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الثالث</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30 </w:t>
            </w:r>
            <w:r w:rsidRPr="00781EE0">
              <w:rPr>
                <w:rFonts w:cs="Traditional Arabic" w:hint="cs"/>
                <w:sz w:val="16"/>
                <w:szCs w:val="26"/>
                <w:rtl/>
              </w:rPr>
              <w:t>حزيران</w:t>
            </w:r>
            <w:r w:rsidRPr="00781EE0">
              <w:rPr>
                <w:rFonts w:cs="Traditional Arabic" w:hint="cs"/>
                <w:spacing w:val="-4"/>
                <w:sz w:val="16"/>
                <w:szCs w:val="26"/>
                <w:rtl/>
              </w:rPr>
              <w:t>/يونيه 2012</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أوروغواي* (1986)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781EE0">
            <w:pPr>
              <w:spacing w:after="120" w:line="320" w:lineRule="exact"/>
              <w:rPr>
                <w:rFonts w:cs="Traditional Arabic" w:hint="cs"/>
                <w:spacing w:val="-4"/>
                <w:sz w:val="16"/>
                <w:szCs w:val="26"/>
                <w:rtl/>
              </w:rPr>
            </w:pPr>
            <w:r w:rsidRPr="00987BE9">
              <w:rPr>
                <w:rFonts w:cs="Traditional Arabic" w:hint="cs"/>
                <w:spacing w:val="-4"/>
                <w:sz w:val="16"/>
                <w:szCs w:val="26"/>
                <w:rtl/>
              </w:rPr>
              <w:t>تشرين الثاني/نوفمبر 1996</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781EE0" w:rsidRDefault="00987BE9" w:rsidP="00987BE9">
            <w:pPr>
              <w:spacing w:line="320" w:lineRule="exact"/>
              <w:rPr>
                <w:rFonts w:cs="Traditional Arabic" w:hint="cs"/>
                <w:spacing w:val="-4"/>
                <w:sz w:val="16"/>
                <w:szCs w:val="26"/>
                <w:rtl/>
              </w:rPr>
            </w:pPr>
            <w:r w:rsidRPr="00781EE0">
              <w:rPr>
                <w:rFonts w:cs="Traditional Arabic" w:hint="cs"/>
                <w:spacing w:val="-4"/>
                <w:sz w:val="16"/>
                <w:szCs w:val="26"/>
                <w:rtl/>
              </w:rPr>
              <w:t>الثالث</w:t>
            </w:r>
          </w:p>
          <w:p w:rsidR="00987BE9" w:rsidRPr="00781EE0" w:rsidRDefault="00987BE9" w:rsidP="00781EE0">
            <w:pPr>
              <w:spacing w:after="120" w:line="320" w:lineRule="exact"/>
              <w:rPr>
                <w:rFonts w:cs="Traditional Arabic" w:hint="cs"/>
                <w:spacing w:val="-4"/>
                <w:sz w:val="16"/>
                <w:szCs w:val="26"/>
                <w:rtl/>
              </w:rPr>
            </w:pPr>
            <w:r w:rsidRPr="00781EE0">
              <w:rPr>
                <w:rFonts w:cs="Traditional Arabic" w:hint="cs"/>
                <w:spacing w:val="-4"/>
                <w:sz w:val="16"/>
                <w:szCs w:val="26"/>
                <w:rtl/>
              </w:rPr>
              <w:t>ورد في 14 أيلول/سبتمبر 2012</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أوزباكستان (1995)</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الثالث</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2007</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الرابع</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ورد في 29 كانون الأول/</w:t>
            </w:r>
            <w:r w:rsidR="00781EE0">
              <w:rPr>
                <w:rFonts w:cs="Traditional Arabic" w:hint="cs"/>
                <w:sz w:val="16"/>
                <w:szCs w:val="26"/>
                <w:rtl/>
              </w:rPr>
              <w:t xml:space="preserve"> </w:t>
            </w:r>
            <w:r w:rsidRPr="00781EE0">
              <w:rPr>
                <w:rFonts w:cs="Traditional Arabic" w:hint="cs"/>
                <w:spacing w:val="-4"/>
                <w:sz w:val="16"/>
                <w:szCs w:val="26"/>
                <w:rtl/>
              </w:rPr>
              <w:t>ديسمبر</w:t>
            </w:r>
            <w:r w:rsidRPr="00987BE9">
              <w:rPr>
                <w:rFonts w:cs="Traditional Arabic" w:hint="cs"/>
                <w:sz w:val="16"/>
                <w:szCs w:val="26"/>
                <w:rtl/>
              </w:rPr>
              <w:t xml:space="preserve"> 2011</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أوغندا* (1986)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2005</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الثاني</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25 حزيران/يونيه 2008</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أوكرانيا* (1987)</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الخامس</w:t>
            </w:r>
          </w:p>
          <w:p w:rsidR="00987BE9" w:rsidRPr="00987BE9" w:rsidRDefault="00987BE9" w:rsidP="00781EE0">
            <w:pPr>
              <w:spacing w:after="120" w:line="320" w:lineRule="exact"/>
              <w:rPr>
                <w:rFonts w:cs="Traditional Arabic" w:hint="cs"/>
                <w:spacing w:val="-4"/>
                <w:sz w:val="16"/>
                <w:szCs w:val="26"/>
                <w:rtl/>
              </w:rPr>
            </w:pPr>
            <w:r w:rsidRPr="00987BE9">
              <w:rPr>
                <w:rFonts w:cs="Traditional Arabic" w:hint="cs"/>
                <w:spacing w:val="-4"/>
                <w:sz w:val="16"/>
                <w:szCs w:val="26"/>
                <w:rtl/>
              </w:rPr>
              <w:t>أيار/مايو 2007</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السادس</w:t>
            </w:r>
          </w:p>
          <w:p w:rsidR="00987BE9" w:rsidRPr="00987BE9" w:rsidRDefault="00987BE9" w:rsidP="00781EE0">
            <w:pPr>
              <w:spacing w:after="120" w:line="320" w:lineRule="exact"/>
              <w:rPr>
                <w:rFonts w:cs="Traditional Arabic" w:hint="cs"/>
                <w:sz w:val="16"/>
                <w:szCs w:val="26"/>
                <w:rtl/>
              </w:rPr>
            </w:pPr>
            <w:r w:rsidRPr="00781EE0">
              <w:rPr>
                <w:rFonts w:cs="Traditional Arabic" w:hint="cs"/>
                <w:spacing w:val="-4"/>
                <w:sz w:val="16"/>
                <w:szCs w:val="26"/>
                <w:rtl/>
              </w:rPr>
              <w:t>ورد</w:t>
            </w:r>
            <w:r w:rsidRPr="00987BE9">
              <w:rPr>
                <w:rFonts w:cs="Traditional Arabic" w:hint="cs"/>
                <w:sz w:val="16"/>
                <w:szCs w:val="26"/>
                <w:rtl/>
              </w:rPr>
              <w:t xml:space="preserve"> في 4 آذار/مارس 2013</w:t>
            </w:r>
          </w:p>
        </w:tc>
      </w:tr>
      <w:tr w:rsidR="00987BE9" w:rsidRPr="00987BE9" w:rsidTr="00781EE0">
        <w:trPr>
          <w:cantSplit/>
        </w:trPr>
        <w:tc>
          <w:tcPr>
            <w:tcW w:w="2054" w:type="dxa"/>
          </w:tcPr>
          <w:p w:rsidR="00987BE9" w:rsidRPr="00987BE9" w:rsidRDefault="00CF2669" w:rsidP="00987BE9">
            <w:pPr>
              <w:spacing w:line="320" w:lineRule="exact"/>
              <w:rPr>
                <w:rFonts w:cs="Traditional Arabic" w:hint="cs"/>
                <w:sz w:val="16"/>
                <w:szCs w:val="26"/>
                <w:rtl/>
              </w:rPr>
            </w:pPr>
            <w:r>
              <w:rPr>
                <w:rFonts w:cs="Traditional Arabic" w:hint="cs"/>
                <w:sz w:val="16"/>
                <w:szCs w:val="26"/>
                <w:rtl/>
              </w:rPr>
              <w:t>أ</w:t>
            </w:r>
            <w:r w:rsidR="00987BE9" w:rsidRPr="00987BE9">
              <w:rPr>
                <w:rFonts w:cs="Traditional Arabic" w:hint="cs"/>
                <w:sz w:val="16"/>
                <w:szCs w:val="26"/>
                <w:rtl/>
              </w:rPr>
              <w:t>يرلندا* (2002)</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2011</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الثاني</w:t>
            </w:r>
          </w:p>
          <w:p w:rsidR="00987BE9" w:rsidRPr="00987BE9" w:rsidRDefault="00781EE0" w:rsidP="00781EE0">
            <w:pPr>
              <w:spacing w:after="120" w:line="320" w:lineRule="exact"/>
              <w:rPr>
                <w:rFonts w:cs="Traditional Arabic" w:hint="cs"/>
                <w:sz w:val="16"/>
                <w:szCs w:val="26"/>
                <w:rtl/>
              </w:rPr>
            </w:pPr>
            <w:r>
              <w:rPr>
                <w:rFonts w:cs="Traditional Arabic" w:hint="cs"/>
                <w:sz w:val="16"/>
                <w:szCs w:val="26"/>
                <w:rtl/>
              </w:rPr>
              <w:t>يحل موعد تقديمه في 3 حزيران</w:t>
            </w:r>
            <w:r w:rsidR="00987BE9" w:rsidRPr="00987BE9">
              <w:rPr>
                <w:rFonts w:cs="Traditional Arabic" w:hint="cs"/>
                <w:sz w:val="16"/>
                <w:szCs w:val="26"/>
                <w:rtl/>
              </w:rPr>
              <w:t>/</w:t>
            </w:r>
            <w:r>
              <w:rPr>
                <w:rFonts w:cs="Traditional Arabic" w:hint="cs"/>
                <w:sz w:val="16"/>
                <w:szCs w:val="26"/>
                <w:rtl/>
              </w:rPr>
              <w:t xml:space="preserve"> </w:t>
            </w:r>
            <w:r w:rsidR="00987BE9" w:rsidRPr="00781EE0">
              <w:rPr>
                <w:rFonts w:cs="Traditional Arabic" w:hint="cs"/>
                <w:spacing w:val="-4"/>
                <w:sz w:val="16"/>
                <w:szCs w:val="26"/>
                <w:rtl/>
              </w:rPr>
              <w:t>يونيه</w:t>
            </w:r>
            <w:r w:rsidR="00987BE9" w:rsidRPr="00987BE9">
              <w:rPr>
                <w:rFonts w:cs="Traditional Arabic" w:hint="cs"/>
                <w:sz w:val="16"/>
                <w:szCs w:val="26"/>
                <w:rtl/>
              </w:rPr>
              <w:t xml:space="preserve">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آيسلندا* (1996)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الثالث</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2008</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الرابع</w:t>
            </w:r>
          </w:p>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30 حزيران/يونيه 2012</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إيطاليا* (1989)</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 والخامس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2007</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السادس</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30 حزيران/يونيه 2011</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Del="00193067" w:rsidRDefault="00987BE9" w:rsidP="00987BE9">
            <w:pPr>
              <w:spacing w:line="320" w:lineRule="exact"/>
              <w:rPr>
                <w:rFonts w:cs="Traditional Arabic" w:hint="cs"/>
                <w:sz w:val="16"/>
                <w:szCs w:val="26"/>
                <w:rtl/>
              </w:rPr>
            </w:pPr>
            <w:r w:rsidRPr="00987BE9">
              <w:rPr>
                <w:rFonts w:cs="Traditional Arabic" w:hint="cs"/>
                <w:sz w:val="16"/>
                <w:szCs w:val="26"/>
                <w:rtl/>
              </w:rPr>
              <w:t>باراغواي* (1990)</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 إلى السادس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2011</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السابع</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25 تشرين </w:t>
            </w:r>
            <w:r w:rsidRPr="00781EE0">
              <w:rPr>
                <w:rFonts w:cs="Traditional Arabic" w:hint="cs"/>
                <w:spacing w:val="-4"/>
                <w:sz w:val="16"/>
                <w:szCs w:val="26"/>
                <w:rtl/>
              </w:rPr>
              <w:t>الثاني</w:t>
            </w:r>
            <w:r w:rsidRPr="00987BE9">
              <w:rPr>
                <w:rFonts w:cs="Traditional Arabic" w:hint="cs"/>
                <w:sz w:val="16"/>
                <w:szCs w:val="26"/>
                <w:rtl/>
              </w:rPr>
              <w:t>/نوفمبر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البحرين (1998)</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2005</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الثاني</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4 نيسان/أبريل</w:t>
            </w:r>
            <w:r w:rsidR="00781EE0">
              <w:rPr>
                <w:rFonts w:cs="Traditional Arabic" w:hint="cs"/>
                <w:spacing w:val="-4"/>
                <w:sz w:val="16"/>
                <w:szCs w:val="26"/>
                <w:rtl/>
              </w:rPr>
              <w:t xml:space="preserve"> </w:t>
            </w:r>
            <w:r w:rsidRPr="00781EE0">
              <w:rPr>
                <w:rFonts w:cs="Traditional Arabic" w:hint="cs"/>
                <w:spacing w:val="-4"/>
                <w:sz w:val="16"/>
                <w:szCs w:val="26"/>
                <w:rtl/>
              </w:rPr>
              <w:t>2007</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البرازيل* (1989)</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w:t>
            </w:r>
            <w:r w:rsidR="00781EE0">
              <w:rPr>
                <w:rFonts w:cs="Traditional Arabic" w:hint="cs"/>
                <w:spacing w:val="-4"/>
                <w:sz w:val="16"/>
                <w:szCs w:val="26"/>
                <w:rtl/>
              </w:rPr>
              <w:t xml:space="preserve"> </w:t>
            </w:r>
            <w:r w:rsidRPr="00987BE9">
              <w:rPr>
                <w:rFonts w:cs="Traditional Arabic" w:hint="cs"/>
                <w:spacing w:val="-4"/>
                <w:sz w:val="16"/>
                <w:szCs w:val="26"/>
                <w:rtl/>
              </w:rPr>
              <w:t>2001</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الثاني</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27 تشرين الأول/أكتوبر 2002 </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البرتغال* (1989)</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2007</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781EE0" w:rsidRDefault="00987BE9" w:rsidP="00987BE9">
            <w:pPr>
              <w:spacing w:line="320" w:lineRule="exact"/>
              <w:rPr>
                <w:rFonts w:cs="Traditional Arabic" w:hint="cs"/>
                <w:spacing w:val="-6"/>
                <w:sz w:val="16"/>
                <w:szCs w:val="26"/>
                <w:rtl/>
              </w:rPr>
            </w:pPr>
            <w:r w:rsidRPr="00781EE0">
              <w:rPr>
                <w:rFonts w:cs="Traditional Arabic" w:hint="cs"/>
                <w:spacing w:val="-6"/>
                <w:sz w:val="16"/>
                <w:szCs w:val="26"/>
                <w:rtl/>
              </w:rPr>
              <w:t>الخامس والسادس</w:t>
            </w:r>
          </w:p>
          <w:p w:rsidR="00987BE9" w:rsidRPr="00781EE0" w:rsidRDefault="00987BE9" w:rsidP="00781EE0">
            <w:pPr>
              <w:spacing w:after="120" w:line="320" w:lineRule="exact"/>
              <w:rPr>
                <w:rFonts w:cs="Traditional Arabic" w:hint="cs"/>
                <w:spacing w:val="-6"/>
                <w:sz w:val="16"/>
                <w:szCs w:val="26"/>
                <w:rtl/>
              </w:rPr>
            </w:pPr>
            <w:r w:rsidRPr="00781EE0">
              <w:rPr>
                <w:rFonts w:cs="Traditional Arabic" w:hint="cs"/>
                <w:spacing w:val="-4"/>
                <w:sz w:val="16"/>
                <w:szCs w:val="26"/>
                <w:rtl/>
              </w:rPr>
              <w:t>وردا</w:t>
            </w:r>
            <w:r w:rsidRPr="00781EE0">
              <w:rPr>
                <w:rFonts w:cs="Traditional Arabic" w:hint="cs"/>
                <w:spacing w:val="-6"/>
                <w:sz w:val="16"/>
                <w:szCs w:val="26"/>
                <w:rtl/>
              </w:rPr>
              <w:t xml:space="preserve"> في 29 آب/أغسطس 2012</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بلجيكا* (1999)</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2009</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ورد في 5 تموز/يوليه 2012</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بلغاريا* (1986)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 والخامس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2011</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السادس</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25 تشرين الثاني/نوفمبر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بليز* (1986)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1993</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الأولي والثاني</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25 حزيران/يونيه 1996**</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بنما (1987)</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الثالث</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1998</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الرابع</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27 أيلول/سبتمبر 2000</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بنن* (1992)</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2007</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الثالث</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30 كانون الأول/ديسمبر</w:t>
            </w:r>
            <w:r w:rsidR="00781EE0">
              <w:rPr>
                <w:rFonts w:cs="Traditional Arabic" w:hint="cs"/>
                <w:spacing w:val="-4"/>
                <w:sz w:val="16"/>
                <w:szCs w:val="26"/>
                <w:rtl/>
              </w:rPr>
              <w:t xml:space="preserve"> </w:t>
            </w:r>
            <w:r w:rsidRPr="00781EE0">
              <w:rPr>
                <w:rFonts w:cs="Traditional Arabic" w:hint="cs"/>
                <w:spacing w:val="-4"/>
                <w:sz w:val="16"/>
                <w:szCs w:val="26"/>
                <w:rtl/>
              </w:rPr>
              <w:t>2011</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بوروندي (1993)</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2006</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781EE0" w:rsidRDefault="00987BE9" w:rsidP="00987BE9">
            <w:pPr>
              <w:spacing w:line="320" w:lineRule="exact"/>
              <w:rPr>
                <w:rFonts w:cs="Traditional Arabic" w:hint="cs"/>
                <w:spacing w:val="-4"/>
                <w:sz w:val="16"/>
                <w:szCs w:val="26"/>
                <w:rtl/>
              </w:rPr>
            </w:pPr>
            <w:r w:rsidRPr="00781EE0">
              <w:rPr>
                <w:rFonts w:cs="Traditional Arabic" w:hint="cs"/>
                <w:spacing w:val="-4"/>
                <w:sz w:val="16"/>
                <w:szCs w:val="26"/>
                <w:rtl/>
              </w:rPr>
              <w:t>الثاني</w:t>
            </w:r>
          </w:p>
          <w:p w:rsidR="00987BE9" w:rsidRPr="00781EE0" w:rsidRDefault="00987BE9" w:rsidP="00781EE0">
            <w:pPr>
              <w:spacing w:after="120" w:line="320" w:lineRule="exact"/>
              <w:rPr>
                <w:rFonts w:cs="Traditional Arabic" w:hint="cs"/>
                <w:spacing w:val="-4"/>
                <w:sz w:val="16"/>
                <w:szCs w:val="26"/>
                <w:rtl/>
              </w:rPr>
            </w:pPr>
            <w:r w:rsidRPr="00781EE0">
              <w:rPr>
                <w:rFonts w:cs="Traditional Arabic" w:hint="cs"/>
                <w:spacing w:val="-4"/>
                <w:sz w:val="16"/>
                <w:szCs w:val="26"/>
                <w:rtl/>
              </w:rPr>
              <w:t>ورد في 18 نيسان/أبريل 2012</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البوسنة والهرسك* (1993)</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 إلى الخامس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2010</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السادس</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19 تشرين </w:t>
            </w:r>
            <w:r w:rsidRPr="00781EE0">
              <w:rPr>
                <w:rFonts w:cs="Traditional Arabic" w:hint="cs"/>
                <w:spacing w:val="-4"/>
                <w:sz w:val="16"/>
                <w:szCs w:val="26"/>
                <w:rtl/>
              </w:rPr>
              <w:t>الثاني</w:t>
            </w:r>
            <w:r w:rsidRPr="00987BE9">
              <w:rPr>
                <w:rFonts w:cs="Traditional Arabic" w:hint="cs"/>
                <w:sz w:val="16"/>
                <w:szCs w:val="26"/>
                <w:rtl/>
              </w:rPr>
              <w:t>/نوفمبر 2014</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بولندا* (1989)</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2007</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الخامس والسادس</w:t>
            </w:r>
          </w:p>
          <w:p w:rsidR="00987BE9" w:rsidRPr="00987BE9" w:rsidRDefault="00987BE9" w:rsidP="00781EE0">
            <w:pPr>
              <w:spacing w:after="120" w:line="320" w:lineRule="exact"/>
              <w:rPr>
                <w:rFonts w:cs="Traditional Arabic" w:hint="cs"/>
                <w:sz w:val="16"/>
                <w:szCs w:val="26"/>
                <w:rtl/>
              </w:rPr>
            </w:pPr>
            <w:r w:rsidRPr="00781EE0">
              <w:rPr>
                <w:rFonts w:cs="Traditional Arabic" w:hint="cs"/>
                <w:spacing w:val="-4"/>
                <w:sz w:val="16"/>
                <w:szCs w:val="26"/>
                <w:rtl/>
              </w:rPr>
              <w:t>وردا</w:t>
            </w:r>
            <w:r w:rsidRPr="00987BE9">
              <w:rPr>
                <w:rFonts w:cs="Traditional Arabic" w:hint="cs"/>
                <w:sz w:val="16"/>
                <w:szCs w:val="26"/>
                <w:rtl/>
              </w:rPr>
              <w:t xml:space="preserve"> في 22 أيار/مايو 2012</w:t>
            </w:r>
          </w:p>
        </w:tc>
      </w:tr>
      <w:tr w:rsidR="00987BE9" w:rsidRPr="00987BE9" w:rsidTr="00781EE0">
        <w:trPr>
          <w:cantSplit/>
        </w:trPr>
        <w:tc>
          <w:tcPr>
            <w:tcW w:w="2054" w:type="dxa"/>
          </w:tcPr>
          <w:p w:rsidR="00987BE9" w:rsidRPr="00987BE9" w:rsidRDefault="00987BE9" w:rsidP="00987BE9">
            <w:pPr>
              <w:spacing w:line="320" w:lineRule="exact"/>
              <w:jc w:val="left"/>
              <w:rPr>
                <w:rFonts w:cs="Traditional Arabic" w:hint="cs"/>
                <w:sz w:val="16"/>
                <w:szCs w:val="26"/>
                <w:rtl/>
              </w:rPr>
            </w:pPr>
            <w:r w:rsidRPr="00987BE9">
              <w:rPr>
                <w:rFonts w:cs="Traditional Arabic" w:hint="cs"/>
                <w:sz w:val="16"/>
                <w:szCs w:val="26"/>
                <w:rtl/>
              </w:rPr>
              <w:t>بوليفيا (دولة - المتعددة القوميات) * (1999)</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2013</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31 </w:t>
            </w:r>
            <w:r w:rsidRPr="00781EE0">
              <w:rPr>
                <w:rFonts w:cs="Traditional Arabic" w:hint="cs"/>
                <w:spacing w:val="-4"/>
                <w:sz w:val="16"/>
                <w:szCs w:val="26"/>
                <w:rtl/>
              </w:rPr>
              <w:t>أيار</w:t>
            </w:r>
            <w:r w:rsidRPr="00987BE9">
              <w:rPr>
                <w:rFonts w:cs="Traditional Arabic" w:hint="cs"/>
                <w:sz w:val="16"/>
                <w:szCs w:val="26"/>
                <w:rtl/>
              </w:rPr>
              <w:t>/</w:t>
            </w:r>
            <w:r w:rsidR="00781EE0">
              <w:rPr>
                <w:rFonts w:cs="Traditional Arabic" w:hint="cs"/>
                <w:sz w:val="16"/>
                <w:szCs w:val="26"/>
                <w:rtl/>
              </w:rPr>
              <w:t xml:space="preserve"> </w:t>
            </w:r>
            <w:r w:rsidRPr="00987BE9">
              <w:rPr>
                <w:rFonts w:cs="Traditional Arabic" w:hint="cs"/>
                <w:sz w:val="16"/>
                <w:szCs w:val="26"/>
                <w:rtl/>
              </w:rPr>
              <w:t>مايو 2017</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بيرو* (1988)</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الخامس إلى السادس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2012</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السابع</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23 تشرين </w:t>
            </w:r>
            <w:r w:rsidRPr="00781EE0">
              <w:rPr>
                <w:rFonts w:cs="Traditional Arabic" w:hint="cs"/>
                <w:spacing w:val="-4"/>
                <w:sz w:val="16"/>
                <w:szCs w:val="26"/>
                <w:rtl/>
              </w:rPr>
              <w:t>الثاني</w:t>
            </w:r>
            <w:r w:rsidRPr="00987BE9">
              <w:rPr>
                <w:rFonts w:cs="Traditional Arabic" w:hint="cs"/>
                <w:sz w:val="16"/>
                <w:szCs w:val="26"/>
                <w:rtl/>
              </w:rPr>
              <w:t>/نوفمبر 2016</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بيلاروس* (1987)</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2011</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الخامس</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25 تشرين </w:t>
            </w:r>
            <w:r w:rsidRPr="00781EE0">
              <w:rPr>
                <w:rFonts w:cs="Traditional Arabic" w:hint="cs"/>
                <w:spacing w:val="-4"/>
                <w:sz w:val="16"/>
                <w:szCs w:val="26"/>
                <w:rtl/>
              </w:rPr>
              <w:t>الثاني</w:t>
            </w:r>
            <w:r w:rsidRPr="00987BE9">
              <w:rPr>
                <w:rFonts w:cs="Traditional Arabic" w:hint="cs"/>
                <w:sz w:val="16"/>
                <w:szCs w:val="26"/>
                <w:rtl/>
              </w:rPr>
              <w:t>/نوفمبر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تركمانستان (1999)</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2011</w:t>
            </w:r>
          </w:p>
        </w:tc>
        <w:tc>
          <w:tcPr>
            <w:tcW w:w="2044" w:type="dxa"/>
          </w:tcPr>
          <w:p w:rsidR="00987BE9" w:rsidRPr="00781EE0" w:rsidRDefault="00B93686"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p w:rsidR="00987BE9" w:rsidRPr="00781EE0" w:rsidRDefault="00987BE9" w:rsidP="00CC3672">
            <w:pPr>
              <w:spacing w:after="120" w:line="320" w:lineRule="exact"/>
              <w:ind w:left="57" w:right="57"/>
              <w:jc w:val="left"/>
              <w:rPr>
                <w:rFonts w:cs="Traditional Arabic" w:hint="cs"/>
                <w:spacing w:val="-4"/>
                <w:sz w:val="16"/>
                <w:szCs w:val="26"/>
                <w:rtl/>
              </w:rPr>
            </w:pP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الثاني</w:t>
            </w:r>
          </w:p>
          <w:p w:rsidR="00987BE9" w:rsidRPr="00987BE9" w:rsidRDefault="00781EE0" w:rsidP="00781EE0">
            <w:pPr>
              <w:spacing w:after="120" w:line="320" w:lineRule="exact"/>
              <w:rPr>
                <w:rFonts w:cs="Traditional Arabic" w:hint="cs"/>
                <w:sz w:val="16"/>
                <w:szCs w:val="26"/>
                <w:rtl/>
              </w:rPr>
            </w:pPr>
            <w:r>
              <w:rPr>
                <w:rFonts w:cs="Traditional Arabic" w:hint="cs"/>
                <w:sz w:val="16"/>
                <w:szCs w:val="26"/>
                <w:rtl/>
              </w:rPr>
              <w:t>يحل موعد تقديمه في 3 حزيران</w:t>
            </w:r>
            <w:r w:rsidR="00987BE9" w:rsidRPr="00987BE9">
              <w:rPr>
                <w:rFonts w:cs="Traditional Arabic" w:hint="cs"/>
                <w:sz w:val="16"/>
                <w:szCs w:val="26"/>
                <w:rtl/>
              </w:rPr>
              <w:t>/</w:t>
            </w:r>
            <w:r>
              <w:rPr>
                <w:rFonts w:cs="Traditional Arabic" w:hint="cs"/>
                <w:sz w:val="16"/>
                <w:szCs w:val="26"/>
                <w:rtl/>
              </w:rPr>
              <w:t xml:space="preserve"> </w:t>
            </w:r>
            <w:r w:rsidR="00987BE9" w:rsidRPr="00781EE0">
              <w:rPr>
                <w:rFonts w:cs="Traditional Arabic" w:hint="cs"/>
                <w:spacing w:val="-4"/>
                <w:sz w:val="16"/>
                <w:szCs w:val="26"/>
                <w:rtl/>
              </w:rPr>
              <w:t>يونيه</w:t>
            </w:r>
            <w:r w:rsidR="00987BE9" w:rsidRPr="00987BE9">
              <w:rPr>
                <w:rFonts w:cs="Traditional Arabic" w:hint="cs"/>
                <w:sz w:val="16"/>
                <w:szCs w:val="26"/>
                <w:rtl/>
              </w:rPr>
              <w:t xml:space="preserve">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تركيا* (1988)</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الثالث</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2010</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الرابع</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19 تشرين </w:t>
            </w:r>
            <w:r w:rsidRPr="00781EE0">
              <w:rPr>
                <w:rFonts w:cs="Traditional Arabic" w:hint="cs"/>
                <w:spacing w:val="-4"/>
                <w:sz w:val="16"/>
                <w:szCs w:val="26"/>
                <w:rtl/>
              </w:rPr>
              <w:t>الثاني</w:t>
            </w:r>
            <w:r w:rsidRPr="00987BE9">
              <w:rPr>
                <w:rFonts w:cs="Traditional Arabic" w:hint="cs"/>
                <w:sz w:val="16"/>
                <w:szCs w:val="26"/>
                <w:rtl/>
              </w:rPr>
              <w:t>/نوفمبر 2014</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تشاد* (1995)</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2009</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الثاني</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15 أيار/مايو 2012</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توغو (1987)</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2012</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23 تشرين </w:t>
            </w:r>
            <w:r w:rsidRPr="00781EE0">
              <w:rPr>
                <w:rFonts w:cs="Traditional Arabic" w:hint="cs"/>
                <w:spacing w:val="-4"/>
                <w:sz w:val="16"/>
                <w:szCs w:val="26"/>
                <w:rtl/>
              </w:rPr>
              <w:t>الثاني</w:t>
            </w:r>
            <w:r w:rsidRPr="00987BE9">
              <w:rPr>
                <w:rFonts w:cs="Traditional Arabic" w:hint="cs"/>
                <w:sz w:val="16"/>
                <w:szCs w:val="26"/>
                <w:rtl/>
              </w:rPr>
              <w:t>/نوفمبر 2016</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تونس (1988)***</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1998</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ورد في 16 تشرين الثاني/نوفمبر </w:t>
            </w:r>
            <w:r w:rsidRPr="00781EE0">
              <w:rPr>
                <w:rFonts w:cs="Traditional Arabic" w:hint="cs"/>
                <w:spacing w:val="-4"/>
                <w:sz w:val="16"/>
                <w:szCs w:val="26"/>
                <w:rtl/>
              </w:rPr>
              <w:t>2009</w:t>
            </w:r>
          </w:p>
        </w:tc>
      </w:tr>
      <w:tr w:rsidR="00987BE9" w:rsidRPr="00987BE9" w:rsidTr="00781EE0">
        <w:trPr>
          <w:cantSplit/>
        </w:trPr>
        <w:tc>
          <w:tcPr>
            <w:tcW w:w="2054" w:type="dxa"/>
          </w:tcPr>
          <w:p w:rsidR="00987BE9" w:rsidRPr="00987BE9" w:rsidDel="00193067" w:rsidRDefault="00987BE9" w:rsidP="00987BE9">
            <w:pPr>
              <w:spacing w:line="320" w:lineRule="exact"/>
              <w:rPr>
                <w:rFonts w:cs="Traditional Arabic" w:hint="cs"/>
                <w:sz w:val="16"/>
                <w:szCs w:val="26"/>
                <w:rtl/>
              </w:rPr>
            </w:pPr>
            <w:r w:rsidRPr="00987BE9">
              <w:rPr>
                <w:rFonts w:cs="Traditional Arabic" w:hint="cs"/>
                <w:sz w:val="16"/>
                <w:szCs w:val="26"/>
                <w:rtl/>
              </w:rPr>
              <w:t>الجبل الأسود* (2006)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2008</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781EE0" w:rsidRDefault="00987BE9" w:rsidP="00987BE9">
            <w:pPr>
              <w:spacing w:line="320" w:lineRule="exact"/>
              <w:rPr>
                <w:rFonts w:cs="Traditional Arabic" w:hint="cs"/>
                <w:spacing w:val="-6"/>
                <w:sz w:val="16"/>
                <w:szCs w:val="26"/>
                <w:rtl/>
              </w:rPr>
            </w:pPr>
            <w:r w:rsidRPr="00781EE0">
              <w:rPr>
                <w:rFonts w:cs="Traditional Arabic" w:hint="cs"/>
                <w:spacing w:val="-6"/>
                <w:sz w:val="16"/>
                <w:szCs w:val="26"/>
                <w:rtl/>
              </w:rPr>
              <w:t>الثاني</w:t>
            </w:r>
          </w:p>
          <w:p w:rsidR="00987BE9" w:rsidRPr="00781EE0" w:rsidRDefault="00987BE9" w:rsidP="00781EE0">
            <w:pPr>
              <w:spacing w:after="120" w:line="320" w:lineRule="exact"/>
              <w:rPr>
                <w:rFonts w:cs="Traditional Arabic" w:hint="cs"/>
                <w:spacing w:val="-6"/>
                <w:sz w:val="16"/>
                <w:szCs w:val="26"/>
                <w:rtl/>
              </w:rPr>
            </w:pPr>
            <w:r w:rsidRPr="00781EE0">
              <w:rPr>
                <w:rFonts w:cs="Traditional Arabic" w:hint="cs"/>
                <w:spacing w:val="-6"/>
                <w:sz w:val="16"/>
                <w:szCs w:val="26"/>
                <w:rtl/>
              </w:rPr>
              <w:t>ورد في 24 كانون الأول/ديسمبر 2012</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الجزائر (1989)</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الثالث</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2008</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الرابع</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20 حزيران/يونيه 2012</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761DC0">
            <w:pPr>
              <w:spacing w:line="320" w:lineRule="exact"/>
              <w:jc w:val="left"/>
              <w:rPr>
                <w:rFonts w:cs="Traditional Arabic" w:hint="cs"/>
                <w:sz w:val="16"/>
                <w:szCs w:val="26"/>
                <w:rtl/>
              </w:rPr>
            </w:pPr>
            <w:r w:rsidRPr="00987BE9">
              <w:rPr>
                <w:rFonts w:cs="Traditional Arabic" w:hint="cs"/>
                <w:sz w:val="16"/>
                <w:szCs w:val="26"/>
                <w:rtl/>
              </w:rPr>
              <w:t>الجمهورية التشيكية* (1993)</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 والخامس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2012</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السادس</w:t>
            </w:r>
          </w:p>
          <w:p w:rsidR="00987BE9" w:rsidRPr="00987BE9" w:rsidRDefault="00781EE0" w:rsidP="00781EE0">
            <w:pPr>
              <w:spacing w:after="120" w:line="320" w:lineRule="exact"/>
              <w:rPr>
                <w:rFonts w:cs="Traditional Arabic" w:hint="cs"/>
                <w:sz w:val="16"/>
                <w:szCs w:val="26"/>
                <w:rtl/>
              </w:rPr>
            </w:pPr>
            <w:r>
              <w:rPr>
                <w:rFonts w:cs="Traditional Arabic" w:hint="cs"/>
                <w:sz w:val="16"/>
                <w:szCs w:val="26"/>
                <w:rtl/>
              </w:rPr>
              <w:t>يحل موعد تقديمه في 1 حزيران</w:t>
            </w:r>
            <w:r w:rsidR="00987BE9" w:rsidRPr="00987BE9">
              <w:rPr>
                <w:rFonts w:cs="Traditional Arabic" w:hint="cs"/>
                <w:sz w:val="16"/>
                <w:szCs w:val="26"/>
                <w:rtl/>
              </w:rPr>
              <w:t>/</w:t>
            </w:r>
            <w:r>
              <w:rPr>
                <w:rFonts w:cs="Traditional Arabic" w:hint="cs"/>
                <w:sz w:val="16"/>
                <w:szCs w:val="26"/>
                <w:rtl/>
              </w:rPr>
              <w:t xml:space="preserve"> </w:t>
            </w:r>
            <w:r w:rsidR="00987BE9" w:rsidRPr="00781EE0">
              <w:rPr>
                <w:rFonts w:cs="Traditional Arabic" w:hint="cs"/>
                <w:spacing w:val="-4"/>
                <w:sz w:val="16"/>
                <w:szCs w:val="26"/>
                <w:rtl/>
              </w:rPr>
              <w:t>يونيه</w:t>
            </w:r>
            <w:r w:rsidR="00987BE9" w:rsidRPr="00987BE9">
              <w:rPr>
                <w:rFonts w:cs="Traditional Arabic" w:hint="cs"/>
                <w:sz w:val="16"/>
                <w:szCs w:val="26"/>
                <w:rtl/>
              </w:rPr>
              <w:t xml:space="preserve"> 2016</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الجمهورية العربية السورية (2004)</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2010</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الثاني</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w:t>
            </w:r>
            <w:r w:rsidR="00781EE0">
              <w:rPr>
                <w:rFonts w:cs="Traditional Arabic" w:hint="cs"/>
                <w:sz w:val="16"/>
                <w:szCs w:val="26"/>
                <w:rtl/>
              </w:rPr>
              <w:t xml:space="preserve"> </w:t>
            </w:r>
            <w:r w:rsidR="00BE6C28">
              <w:rPr>
                <w:rFonts w:cs="Traditional Arabic" w:hint="cs"/>
                <w:sz w:val="16"/>
                <w:szCs w:val="26"/>
                <w:rtl/>
              </w:rPr>
              <w:t xml:space="preserve">14 </w:t>
            </w:r>
            <w:r w:rsidRPr="00987BE9">
              <w:rPr>
                <w:rFonts w:cs="Traditional Arabic" w:hint="cs"/>
                <w:sz w:val="16"/>
                <w:szCs w:val="26"/>
                <w:rtl/>
              </w:rPr>
              <w:t>أيار/</w:t>
            </w:r>
            <w:r w:rsidR="00781EE0">
              <w:rPr>
                <w:rFonts w:cs="Traditional Arabic" w:hint="cs"/>
                <w:sz w:val="16"/>
                <w:szCs w:val="26"/>
                <w:rtl/>
              </w:rPr>
              <w:t xml:space="preserve"> </w:t>
            </w:r>
            <w:r w:rsidRPr="00987BE9">
              <w:rPr>
                <w:rFonts w:cs="Traditional Arabic" w:hint="cs"/>
                <w:sz w:val="16"/>
                <w:szCs w:val="26"/>
                <w:rtl/>
              </w:rPr>
              <w:t>مايو 2014</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جمهورية كوريا* (1995)</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2006</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الثالث إلى الخامس</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7 شباط/فبراير 2012</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761DC0">
            <w:pPr>
              <w:spacing w:line="320" w:lineRule="exact"/>
              <w:jc w:val="left"/>
              <w:rPr>
                <w:rFonts w:cs="Traditional Arabic" w:hint="cs"/>
                <w:sz w:val="16"/>
                <w:szCs w:val="26"/>
                <w:rtl/>
              </w:rPr>
            </w:pPr>
            <w:r w:rsidRPr="00987BE9">
              <w:rPr>
                <w:rFonts w:cs="Traditional Arabic" w:hint="cs"/>
                <w:sz w:val="16"/>
                <w:szCs w:val="26"/>
                <w:rtl/>
              </w:rPr>
              <w:t>جمهورية الكونغو الديمقراطية (1996)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2005</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الثاني إلى الرابع</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16 نيسان/أبريل 2009</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jc w:val="left"/>
              <w:rPr>
                <w:rFonts w:cs="Traditional Arabic" w:hint="cs"/>
                <w:sz w:val="16"/>
                <w:szCs w:val="26"/>
                <w:rtl/>
              </w:rPr>
            </w:pPr>
            <w:r w:rsidRPr="00987BE9">
              <w:rPr>
                <w:rFonts w:cs="Traditional Arabic" w:hint="cs"/>
                <w:sz w:val="16"/>
                <w:szCs w:val="26"/>
                <w:rtl/>
              </w:rPr>
              <w:t>جمهورية مقدونيا اليوغوسلافية سابقا</w:t>
            </w:r>
            <w:r w:rsidR="00761DC0">
              <w:rPr>
                <w:rFonts w:cs="Traditional Arabic" w:hint="cs"/>
                <w:sz w:val="16"/>
                <w:szCs w:val="26"/>
                <w:rtl/>
              </w:rPr>
              <w:t>ً</w:t>
            </w:r>
            <w:r w:rsidRPr="00987BE9">
              <w:rPr>
                <w:rFonts w:cs="Traditional Arabic" w:hint="cs"/>
                <w:sz w:val="16"/>
                <w:szCs w:val="26"/>
                <w:rtl/>
              </w:rPr>
              <w:t>* (1994)</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2008</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الثالث</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30 حزيران/يونيه 2012</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761DC0">
            <w:pPr>
              <w:spacing w:line="320" w:lineRule="exact"/>
              <w:jc w:val="left"/>
              <w:rPr>
                <w:rFonts w:cs="Traditional Arabic" w:hint="cs"/>
                <w:sz w:val="16"/>
                <w:szCs w:val="26"/>
                <w:rtl/>
              </w:rPr>
            </w:pPr>
            <w:r w:rsidRPr="00987BE9">
              <w:rPr>
                <w:rFonts w:cs="Traditional Arabic" w:hint="cs"/>
                <w:sz w:val="16"/>
                <w:szCs w:val="26"/>
                <w:rtl/>
              </w:rPr>
              <w:t>جمهورية مولدوفا* (1995)</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2009</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20 تشرين </w:t>
            </w:r>
            <w:r w:rsidRPr="00781EE0">
              <w:rPr>
                <w:rFonts w:cs="Traditional Arabic" w:hint="cs"/>
                <w:spacing w:val="-4"/>
                <w:sz w:val="16"/>
                <w:szCs w:val="26"/>
                <w:rtl/>
              </w:rPr>
              <w:t>الثاني</w:t>
            </w:r>
            <w:r w:rsidRPr="00987BE9">
              <w:rPr>
                <w:rFonts w:cs="Traditional Arabic" w:hint="cs"/>
                <w:sz w:val="16"/>
                <w:szCs w:val="26"/>
                <w:rtl/>
              </w:rPr>
              <w:t>/نوفمبر 2013</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جنوب أفريقيا (1998)</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2006</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الثاني </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31 كانون الأول/ديسمبر 2009</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جورجيا* (1994)</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الثالث</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2006</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الرابع والخامس</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24 تشرين الثاني/نوفمبر 2011</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جيبوتي (2002)</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2011</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الثاني</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25 تشرين </w:t>
            </w:r>
            <w:r w:rsidRPr="00781EE0">
              <w:rPr>
                <w:rFonts w:cs="Traditional Arabic" w:hint="cs"/>
                <w:spacing w:val="-4"/>
                <w:sz w:val="16"/>
                <w:szCs w:val="26"/>
                <w:rtl/>
              </w:rPr>
              <w:t>الثاني</w:t>
            </w:r>
            <w:r w:rsidRPr="00987BE9">
              <w:rPr>
                <w:rFonts w:cs="Traditional Arabic" w:hint="cs"/>
                <w:sz w:val="16"/>
                <w:szCs w:val="26"/>
                <w:rtl/>
              </w:rPr>
              <w:t>/نوفمبر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الدانمرك* (1987)</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الخامس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2007</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السادس والسابع</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30 حزيران/يونيه 2011</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رواندا (2008)</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2012</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الثاني</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1 حزيران/</w:t>
            </w:r>
            <w:r w:rsidR="00781EE0">
              <w:rPr>
                <w:rFonts w:cs="Traditional Arabic" w:hint="cs"/>
                <w:sz w:val="16"/>
                <w:szCs w:val="26"/>
                <w:rtl/>
              </w:rPr>
              <w:t xml:space="preserve"> </w:t>
            </w:r>
            <w:r w:rsidRPr="00987BE9">
              <w:rPr>
                <w:rFonts w:cs="Traditional Arabic" w:hint="cs"/>
                <w:sz w:val="16"/>
                <w:szCs w:val="26"/>
                <w:rtl/>
              </w:rPr>
              <w:t xml:space="preserve">يونيه 2016 </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رومانيا (1990)</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1992</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الثاني </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16 كانون الثاني/يناير 1996</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زامبيا* (1998)</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2008</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الثالث</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30 حزيران/يونيه 2012</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سري لانكا (1994)</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الثالث والرابع</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2011</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الخامس</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25 تشرين </w:t>
            </w:r>
            <w:r w:rsidRPr="00781EE0">
              <w:rPr>
                <w:rFonts w:cs="Traditional Arabic" w:hint="cs"/>
                <w:spacing w:val="-4"/>
                <w:sz w:val="16"/>
                <w:szCs w:val="26"/>
                <w:rtl/>
              </w:rPr>
              <w:t>الثاني</w:t>
            </w:r>
            <w:r w:rsidRPr="00987BE9">
              <w:rPr>
                <w:rFonts w:cs="Traditional Arabic" w:hint="cs"/>
                <w:sz w:val="16"/>
                <w:szCs w:val="26"/>
                <w:rtl/>
              </w:rPr>
              <w:t>/نوفمبر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السلفادور* (1996)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2009</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20 تشرين </w:t>
            </w:r>
            <w:r w:rsidRPr="00781EE0">
              <w:rPr>
                <w:rFonts w:cs="Traditional Arabic" w:hint="cs"/>
                <w:spacing w:val="-4"/>
                <w:sz w:val="16"/>
                <w:szCs w:val="26"/>
                <w:rtl/>
              </w:rPr>
              <w:t>الثاني</w:t>
            </w:r>
            <w:r w:rsidRPr="00987BE9">
              <w:rPr>
                <w:rFonts w:cs="Traditional Arabic" w:hint="cs"/>
                <w:sz w:val="16"/>
                <w:szCs w:val="26"/>
                <w:rtl/>
              </w:rPr>
              <w:t>/نوفمبر 2013</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سلوفاكيا* (1993)</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2009</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20 تشرين </w:t>
            </w:r>
            <w:r w:rsidRPr="00781EE0">
              <w:rPr>
                <w:rFonts w:cs="Traditional Arabic" w:hint="cs"/>
                <w:spacing w:val="-4"/>
                <w:sz w:val="16"/>
                <w:szCs w:val="26"/>
                <w:rtl/>
              </w:rPr>
              <w:t>الثاني</w:t>
            </w:r>
            <w:r w:rsidRPr="00987BE9">
              <w:rPr>
                <w:rFonts w:cs="Traditional Arabic" w:hint="cs"/>
                <w:sz w:val="16"/>
                <w:szCs w:val="26"/>
                <w:rtl/>
              </w:rPr>
              <w:t>/نوفمبر 2013</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سلوفينيا* (1993)</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الثالث</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2011</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الرابع</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3 حزيران/</w:t>
            </w:r>
            <w:r w:rsidR="00781EE0">
              <w:rPr>
                <w:rFonts w:cs="Traditional Arabic" w:hint="cs"/>
                <w:sz w:val="16"/>
                <w:szCs w:val="26"/>
                <w:rtl/>
              </w:rPr>
              <w:t xml:space="preserve"> </w:t>
            </w:r>
            <w:r w:rsidRPr="00781EE0">
              <w:rPr>
                <w:rFonts w:cs="Traditional Arabic" w:hint="cs"/>
                <w:spacing w:val="-4"/>
                <w:sz w:val="16"/>
                <w:szCs w:val="26"/>
                <w:rtl/>
              </w:rPr>
              <w:t>يونيه</w:t>
            </w:r>
            <w:r w:rsidRPr="00987BE9">
              <w:rPr>
                <w:rFonts w:cs="Traditional Arabic" w:hint="cs"/>
                <w:sz w:val="16"/>
                <w:szCs w:val="26"/>
                <w:rtl/>
              </w:rPr>
              <w:t xml:space="preserve">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السنغال (1986)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الثالث</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2012</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الرابع</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23 تشرين </w:t>
            </w:r>
            <w:r w:rsidRPr="00781EE0">
              <w:rPr>
                <w:rFonts w:cs="Traditional Arabic" w:hint="cs"/>
                <w:spacing w:val="-4"/>
                <w:sz w:val="16"/>
                <w:szCs w:val="26"/>
                <w:rtl/>
              </w:rPr>
              <w:t>الثاني</w:t>
            </w:r>
            <w:r w:rsidRPr="00987BE9">
              <w:rPr>
                <w:rFonts w:cs="Traditional Arabic" w:hint="cs"/>
                <w:sz w:val="16"/>
                <w:szCs w:val="26"/>
                <w:rtl/>
              </w:rPr>
              <w:t>/نوفمبر 2016</w:t>
            </w:r>
          </w:p>
        </w:tc>
      </w:tr>
      <w:tr w:rsidR="00987BE9" w:rsidRPr="00987BE9" w:rsidTr="00781EE0">
        <w:trPr>
          <w:cantSplit/>
        </w:trPr>
        <w:tc>
          <w:tcPr>
            <w:tcW w:w="2054" w:type="dxa"/>
          </w:tcPr>
          <w:p w:rsidR="00987BE9" w:rsidRPr="00987BE9" w:rsidDel="00193067" w:rsidRDefault="00987BE9" w:rsidP="00987BE9">
            <w:pPr>
              <w:spacing w:line="320" w:lineRule="exact"/>
              <w:rPr>
                <w:rFonts w:cs="Traditional Arabic" w:hint="cs"/>
                <w:sz w:val="16"/>
                <w:szCs w:val="26"/>
                <w:rtl/>
              </w:rPr>
            </w:pPr>
            <w:r w:rsidRPr="00987BE9">
              <w:rPr>
                <w:rFonts w:cs="Traditional Arabic" w:hint="cs"/>
                <w:sz w:val="16"/>
                <w:szCs w:val="26"/>
                <w:rtl/>
              </w:rPr>
              <w:t>السويد* (1986)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الخامس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2008</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السادس والسابع</w:t>
            </w:r>
          </w:p>
          <w:p w:rsidR="00987BE9" w:rsidRPr="00987BE9" w:rsidRDefault="00987BE9" w:rsidP="00781EE0">
            <w:pPr>
              <w:spacing w:after="120" w:line="320" w:lineRule="exact"/>
              <w:rPr>
                <w:rFonts w:cs="Traditional Arabic" w:hint="cs"/>
                <w:sz w:val="16"/>
                <w:szCs w:val="26"/>
                <w:rtl/>
              </w:rPr>
            </w:pPr>
            <w:r w:rsidRPr="00781EE0">
              <w:rPr>
                <w:rFonts w:cs="Traditional Arabic" w:hint="cs"/>
                <w:spacing w:val="-4"/>
                <w:sz w:val="16"/>
                <w:szCs w:val="26"/>
                <w:rtl/>
              </w:rPr>
              <w:t>وردا</w:t>
            </w:r>
            <w:r w:rsidRPr="00987BE9">
              <w:rPr>
                <w:rFonts w:cs="Traditional Arabic" w:hint="cs"/>
                <w:sz w:val="16"/>
                <w:szCs w:val="26"/>
                <w:rtl/>
              </w:rPr>
              <w:t xml:space="preserve"> في 11 آذار/مارس 2013</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سويسرا* (1986)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الخامس والسادس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2010</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السابع</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w:t>
            </w:r>
            <w:r w:rsidR="00781EE0">
              <w:rPr>
                <w:rFonts w:cs="Traditional Arabic" w:hint="cs"/>
                <w:sz w:val="16"/>
                <w:szCs w:val="26"/>
                <w:rtl/>
              </w:rPr>
              <w:t xml:space="preserve"> </w:t>
            </w:r>
            <w:r w:rsidR="00BE6C28">
              <w:rPr>
                <w:rFonts w:cs="Traditional Arabic" w:hint="cs"/>
                <w:sz w:val="16"/>
                <w:szCs w:val="26"/>
                <w:rtl/>
              </w:rPr>
              <w:t xml:space="preserve">14 </w:t>
            </w:r>
            <w:r w:rsidRPr="00987BE9">
              <w:rPr>
                <w:rFonts w:cs="Traditional Arabic" w:hint="cs"/>
                <w:sz w:val="16"/>
                <w:szCs w:val="26"/>
                <w:rtl/>
              </w:rPr>
              <w:t>أيار/</w:t>
            </w:r>
            <w:r w:rsidR="00781EE0">
              <w:rPr>
                <w:rFonts w:cs="Traditional Arabic" w:hint="cs"/>
                <w:sz w:val="16"/>
                <w:szCs w:val="26"/>
                <w:rtl/>
              </w:rPr>
              <w:t xml:space="preserve"> </w:t>
            </w:r>
            <w:r w:rsidRPr="00781EE0">
              <w:rPr>
                <w:rFonts w:cs="Traditional Arabic" w:hint="cs"/>
                <w:spacing w:val="-4"/>
                <w:sz w:val="16"/>
                <w:szCs w:val="26"/>
                <w:rtl/>
              </w:rPr>
              <w:t>مايو</w:t>
            </w:r>
            <w:r w:rsidRPr="00987BE9">
              <w:rPr>
                <w:rFonts w:cs="Traditional Arabic" w:hint="cs"/>
                <w:sz w:val="16"/>
                <w:szCs w:val="26"/>
                <w:rtl/>
              </w:rPr>
              <w:t xml:space="preserve"> 2014</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شيلي* (1998)</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الخامس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2009</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السادس</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15 أيار/مايو 2013</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Del="00193067" w:rsidRDefault="00987BE9" w:rsidP="00987BE9">
            <w:pPr>
              <w:spacing w:line="320" w:lineRule="exact"/>
              <w:rPr>
                <w:rFonts w:cs="Traditional Arabic" w:hint="cs"/>
                <w:sz w:val="16"/>
                <w:szCs w:val="26"/>
                <w:rtl/>
              </w:rPr>
            </w:pPr>
            <w:r w:rsidRPr="00987BE9">
              <w:rPr>
                <w:rFonts w:cs="Traditional Arabic" w:hint="cs"/>
                <w:sz w:val="16"/>
                <w:szCs w:val="26"/>
                <w:rtl/>
              </w:rPr>
              <w:t>صربيا* (2001)</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2008</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الثاني</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21 تشرين الثاني/نوفمبر 2012</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after="120" w:line="320" w:lineRule="exact"/>
              <w:rPr>
                <w:rFonts w:cs="Traditional Arabic" w:hint="cs"/>
                <w:sz w:val="16"/>
                <w:szCs w:val="26"/>
                <w:rtl/>
              </w:rPr>
            </w:pPr>
            <w:r w:rsidRPr="00987BE9">
              <w:rPr>
                <w:rFonts w:cs="Traditional Arabic" w:hint="cs"/>
                <w:sz w:val="16"/>
                <w:szCs w:val="26"/>
                <w:rtl/>
              </w:rPr>
              <w:t>الصين، بما في ذلك منطقة هونغ كونغ ومنطقة ماكاو (1988)</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2008</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الخامس</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21 تشرين الثاني/نوفمبر 2012</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طاجيكستان (1995)</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2012</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23 تشرين </w:t>
            </w:r>
            <w:r w:rsidRPr="00781EE0">
              <w:rPr>
                <w:rFonts w:cs="Traditional Arabic" w:hint="cs"/>
                <w:spacing w:val="-4"/>
                <w:sz w:val="16"/>
                <w:szCs w:val="26"/>
                <w:rtl/>
              </w:rPr>
              <w:t>الثاني</w:t>
            </w:r>
            <w:r w:rsidRPr="00987BE9">
              <w:rPr>
                <w:rFonts w:cs="Traditional Arabic" w:hint="cs"/>
                <w:sz w:val="16"/>
                <w:szCs w:val="26"/>
                <w:rtl/>
              </w:rPr>
              <w:t>/نوفمبر 2016</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غابون (2000)</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2010</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الثاني</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23 تشرين </w:t>
            </w:r>
            <w:r w:rsidRPr="00781EE0">
              <w:rPr>
                <w:rFonts w:cs="Traditional Arabic" w:hint="cs"/>
                <w:spacing w:val="-4"/>
                <w:sz w:val="16"/>
                <w:szCs w:val="26"/>
                <w:rtl/>
              </w:rPr>
              <w:t>الثاني</w:t>
            </w:r>
            <w:r w:rsidRPr="00987BE9">
              <w:rPr>
                <w:rFonts w:cs="Traditional Arabic" w:hint="cs"/>
                <w:sz w:val="16"/>
                <w:szCs w:val="26"/>
                <w:rtl/>
              </w:rPr>
              <w:t>/نوفمبر 2016</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غانا (2000)</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2011</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الثاني</w:t>
            </w:r>
          </w:p>
          <w:p w:rsidR="00987BE9" w:rsidRPr="00987BE9" w:rsidRDefault="00781EE0" w:rsidP="00781EE0">
            <w:pPr>
              <w:spacing w:after="120" w:line="320" w:lineRule="exact"/>
              <w:rPr>
                <w:rFonts w:cs="Traditional Arabic" w:hint="cs"/>
                <w:sz w:val="16"/>
                <w:szCs w:val="26"/>
                <w:rtl/>
              </w:rPr>
            </w:pPr>
            <w:r>
              <w:rPr>
                <w:rFonts w:cs="Traditional Arabic" w:hint="cs"/>
                <w:sz w:val="16"/>
                <w:szCs w:val="26"/>
                <w:rtl/>
              </w:rPr>
              <w:t>يحل موعد تقديمه في 3 حزيران</w:t>
            </w:r>
            <w:r w:rsidR="00987BE9" w:rsidRPr="00987BE9">
              <w:rPr>
                <w:rFonts w:cs="Traditional Arabic" w:hint="cs"/>
                <w:sz w:val="16"/>
                <w:szCs w:val="26"/>
                <w:rtl/>
              </w:rPr>
              <w:t>/</w:t>
            </w:r>
            <w:r>
              <w:rPr>
                <w:rFonts w:cs="Traditional Arabic" w:hint="cs"/>
                <w:sz w:val="16"/>
                <w:szCs w:val="26"/>
                <w:rtl/>
              </w:rPr>
              <w:t xml:space="preserve"> </w:t>
            </w:r>
            <w:r w:rsidR="00987BE9" w:rsidRPr="00781EE0">
              <w:rPr>
                <w:rFonts w:cs="Traditional Arabic" w:hint="cs"/>
                <w:spacing w:val="-4"/>
                <w:sz w:val="16"/>
                <w:szCs w:val="26"/>
                <w:rtl/>
              </w:rPr>
              <w:t>يونيه</w:t>
            </w:r>
            <w:r w:rsidR="00987BE9" w:rsidRPr="00987BE9">
              <w:rPr>
                <w:rFonts w:cs="Traditional Arabic" w:hint="cs"/>
                <w:sz w:val="16"/>
                <w:szCs w:val="26"/>
                <w:rtl/>
              </w:rPr>
              <w:t xml:space="preserve">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غواتيمالا* (1990)</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الخامس والسادس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2013</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السابع</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31 أيار/</w:t>
            </w:r>
            <w:r w:rsidR="00781EE0">
              <w:rPr>
                <w:rFonts w:cs="Traditional Arabic" w:hint="cs"/>
                <w:sz w:val="16"/>
                <w:szCs w:val="26"/>
                <w:rtl/>
              </w:rPr>
              <w:t xml:space="preserve"> </w:t>
            </w:r>
            <w:r w:rsidRPr="00987BE9">
              <w:rPr>
                <w:rFonts w:cs="Traditional Arabic" w:hint="cs"/>
                <w:sz w:val="16"/>
                <w:szCs w:val="26"/>
                <w:rtl/>
              </w:rPr>
              <w:t>مايو 2017</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غيانا* (1988)</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2006</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الثاني</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31 كانون الأول/ديسمبر 2008 </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فرنسا (1986)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 إلى السادس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2010</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الثالث</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15 أيار/مايو 2013</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الفلبين* (1986)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2009</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الثالث</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15 أيار/مايو 2013</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فنزويلا (جمهورية - البوليفارية) (1991)</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 والثالث</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2002</w:t>
            </w:r>
          </w:p>
        </w:tc>
        <w:tc>
          <w:tcPr>
            <w:tcW w:w="2044" w:type="dxa"/>
          </w:tcPr>
          <w:p w:rsidR="00987BE9" w:rsidRPr="00781EE0" w:rsidRDefault="00781EE0" w:rsidP="00CC3672">
            <w:pPr>
              <w:spacing w:after="120"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781EE0" w:rsidRDefault="00987BE9" w:rsidP="00987BE9">
            <w:pPr>
              <w:spacing w:line="320" w:lineRule="exact"/>
              <w:rPr>
                <w:rFonts w:cs="Traditional Arabic" w:hint="cs"/>
                <w:spacing w:val="-4"/>
                <w:sz w:val="16"/>
                <w:szCs w:val="26"/>
                <w:rtl/>
              </w:rPr>
            </w:pPr>
            <w:r w:rsidRPr="00781EE0">
              <w:rPr>
                <w:rFonts w:cs="Traditional Arabic" w:hint="cs"/>
                <w:spacing w:val="-4"/>
                <w:sz w:val="16"/>
                <w:szCs w:val="26"/>
                <w:rtl/>
              </w:rPr>
              <w:t>الثالث والرابع</w:t>
            </w:r>
          </w:p>
          <w:p w:rsidR="00987BE9" w:rsidRPr="00781EE0" w:rsidRDefault="00987BE9" w:rsidP="00781EE0">
            <w:pPr>
              <w:spacing w:after="120" w:line="320" w:lineRule="exact"/>
              <w:rPr>
                <w:rFonts w:cs="Traditional Arabic" w:hint="cs"/>
                <w:spacing w:val="-4"/>
                <w:sz w:val="16"/>
                <w:szCs w:val="26"/>
                <w:rtl/>
              </w:rPr>
            </w:pPr>
            <w:r w:rsidRPr="00781EE0">
              <w:rPr>
                <w:rFonts w:cs="Traditional Arabic" w:hint="cs"/>
                <w:spacing w:val="-4"/>
                <w:sz w:val="16"/>
                <w:szCs w:val="26"/>
                <w:rtl/>
              </w:rPr>
              <w:t>وردا في 11 أيلول/سبتمبر 2012</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فنلندا* (1989)</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الخامس والسادس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2011</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السابع</w:t>
            </w:r>
          </w:p>
          <w:p w:rsidR="00987BE9" w:rsidRPr="00987BE9" w:rsidRDefault="00781EE0" w:rsidP="00781EE0">
            <w:pPr>
              <w:spacing w:after="120" w:line="320" w:lineRule="exact"/>
              <w:rPr>
                <w:rFonts w:cs="Traditional Arabic" w:hint="cs"/>
                <w:sz w:val="16"/>
                <w:szCs w:val="26"/>
                <w:rtl/>
              </w:rPr>
            </w:pPr>
            <w:r>
              <w:rPr>
                <w:rFonts w:cs="Traditional Arabic" w:hint="cs"/>
                <w:sz w:val="16"/>
                <w:szCs w:val="26"/>
                <w:rtl/>
              </w:rPr>
              <w:t>يحل موعد تقديمه في 3 حزيران</w:t>
            </w:r>
            <w:r w:rsidR="00987BE9" w:rsidRPr="00987BE9">
              <w:rPr>
                <w:rFonts w:cs="Traditional Arabic" w:hint="cs"/>
                <w:sz w:val="16"/>
                <w:szCs w:val="26"/>
                <w:rtl/>
              </w:rPr>
              <w:t>/</w:t>
            </w:r>
            <w:r>
              <w:rPr>
                <w:rFonts w:cs="Traditional Arabic" w:hint="cs"/>
                <w:sz w:val="16"/>
                <w:szCs w:val="26"/>
                <w:rtl/>
              </w:rPr>
              <w:t xml:space="preserve"> </w:t>
            </w:r>
            <w:r w:rsidR="00987BE9" w:rsidRPr="00781EE0">
              <w:rPr>
                <w:rFonts w:cs="Traditional Arabic" w:hint="cs"/>
                <w:spacing w:val="-4"/>
                <w:sz w:val="16"/>
                <w:szCs w:val="26"/>
                <w:rtl/>
              </w:rPr>
              <w:t>يونيه</w:t>
            </w:r>
            <w:r w:rsidR="00987BE9" w:rsidRPr="00987BE9">
              <w:rPr>
                <w:rFonts w:cs="Traditional Arabic" w:hint="cs"/>
                <w:sz w:val="16"/>
                <w:szCs w:val="26"/>
                <w:rtl/>
              </w:rPr>
              <w:t xml:space="preserve">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قبرص* (1991)</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الثالث</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2002</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الثاني</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19 تشرين </w:t>
            </w:r>
            <w:r w:rsidRPr="00781EE0">
              <w:rPr>
                <w:rFonts w:cs="Traditional Arabic" w:hint="cs"/>
                <w:spacing w:val="-4"/>
                <w:sz w:val="16"/>
                <w:szCs w:val="26"/>
                <w:rtl/>
              </w:rPr>
              <w:t>الثاني</w:t>
            </w:r>
            <w:r w:rsidRPr="00987BE9">
              <w:rPr>
                <w:rFonts w:cs="Traditional Arabic" w:hint="cs"/>
                <w:sz w:val="16"/>
                <w:szCs w:val="26"/>
                <w:rtl/>
              </w:rPr>
              <w:t>/نوفمبر 2014</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قطر (2000)</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2012</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يحل موعد تقديمه في 23 تشرين </w:t>
            </w:r>
            <w:r w:rsidRPr="00781EE0">
              <w:rPr>
                <w:rFonts w:cs="Traditional Arabic" w:hint="cs"/>
                <w:spacing w:val="-4"/>
                <w:sz w:val="16"/>
                <w:szCs w:val="26"/>
                <w:rtl/>
              </w:rPr>
              <w:t>الثاني</w:t>
            </w:r>
            <w:r w:rsidRPr="00987BE9">
              <w:rPr>
                <w:rFonts w:cs="Traditional Arabic" w:hint="cs"/>
                <w:sz w:val="16"/>
                <w:szCs w:val="26"/>
                <w:rtl/>
              </w:rPr>
              <w:t>/نوفمبر 2016</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قيرغيزستان* (1997)</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1999</w:t>
            </w:r>
          </w:p>
        </w:tc>
        <w:tc>
          <w:tcPr>
            <w:tcW w:w="2044" w:type="dxa"/>
          </w:tcPr>
          <w:p w:rsidR="00987BE9" w:rsidRPr="00781EE0" w:rsidRDefault="00F50F4E" w:rsidP="00CC3672">
            <w:pPr>
              <w:spacing w:after="120"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الثاني</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 xml:space="preserve">ورد </w:t>
            </w:r>
            <w:r w:rsidRPr="00781EE0">
              <w:rPr>
                <w:rFonts w:cs="Traditional Arabic" w:hint="cs"/>
                <w:spacing w:val="-4"/>
                <w:sz w:val="16"/>
                <w:szCs w:val="26"/>
                <w:rtl/>
              </w:rPr>
              <w:t>في</w:t>
            </w:r>
            <w:r w:rsidRPr="00987BE9">
              <w:rPr>
                <w:rFonts w:cs="Traditional Arabic" w:hint="cs"/>
                <w:sz w:val="16"/>
                <w:szCs w:val="26"/>
                <w:rtl/>
              </w:rPr>
              <w:t xml:space="preserve"> 3 نيسان/أبريل 2012</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كازاخستان (1998)</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2008</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الثالث</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21 تشرين الثاني/نوفمبر </w:t>
            </w:r>
            <w:r w:rsidRPr="00781EE0">
              <w:rPr>
                <w:rFonts w:cs="Traditional Arabic" w:hint="cs"/>
                <w:sz w:val="16"/>
                <w:szCs w:val="26"/>
                <w:rtl/>
              </w:rPr>
              <w:t>2012</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الكاميرون (1986)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2010</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الخامس</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14 أيار/</w:t>
            </w:r>
            <w:r w:rsidR="00F50F4E">
              <w:rPr>
                <w:rFonts w:cs="Traditional Arabic" w:hint="cs"/>
                <w:sz w:val="16"/>
                <w:szCs w:val="26"/>
                <w:rtl/>
              </w:rPr>
              <w:t xml:space="preserve"> </w:t>
            </w:r>
            <w:r w:rsidRPr="00987BE9">
              <w:rPr>
                <w:rFonts w:cs="Traditional Arabic" w:hint="cs"/>
                <w:sz w:val="16"/>
                <w:szCs w:val="26"/>
                <w:rtl/>
              </w:rPr>
              <w:t>مايو 2014</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كرواتيا* (1992)</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الثالث</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2004</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الرابع والخامس</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وردا في 19 آذار/مارس 2013</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كمبوديا* (1992)</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2010</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19 تشرين الثاني/نوفمبر 2014</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كندا (1987)</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السادس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2012</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السابع</w:t>
            </w:r>
          </w:p>
          <w:p w:rsidR="00987BE9" w:rsidRPr="00987BE9" w:rsidRDefault="00781EE0" w:rsidP="00781EE0">
            <w:pPr>
              <w:spacing w:after="120" w:line="320" w:lineRule="exact"/>
              <w:rPr>
                <w:rFonts w:cs="Traditional Arabic" w:hint="cs"/>
                <w:sz w:val="16"/>
                <w:szCs w:val="26"/>
                <w:rtl/>
              </w:rPr>
            </w:pPr>
            <w:r>
              <w:rPr>
                <w:rFonts w:cs="Traditional Arabic" w:hint="cs"/>
                <w:sz w:val="16"/>
                <w:szCs w:val="26"/>
                <w:rtl/>
              </w:rPr>
              <w:t>يحل موعد تقديمه في 1 حزيران</w:t>
            </w:r>
            <w:r w:rsidR="00987BE9" w:rsidRPr="00987BE9">
              <w:rPr>
                <w:rFonts w:cs="Traditional Arabic" w:hint="cs"/>
                <w:sz w:val="16"/>
                <w:szCs w:val="26"/>
                <w:rtl/>
              </w:rPr>
              <w:t>/</w:t>
            </w:r>
            <w:r>
              <w:rPr>
                <w:rFonts w:cs="Traditional Arabic" w:hint="cs"/>
                <w:sz w:val="16"/>
                <w:szCs w:val="26"/>
                <w:rtl/>
              </w:rPr>
              <w:t xml:space="preserve"> </w:t>
            </w:r>
            <w:r w:rsidR="00987BE9" w:rsidRPr="00987BE9">
              <w:rPr>
                <w:rFonts w:cs="Traditional Arabic" w:hint="cs"/>
                <w:sz w:val="16"/>
                <w:szCs w:val="26"/>
                <w:rtl/>
              </w:rPr>
              <w:t>يونيه 2016</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كوبا (1995)</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2012</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1 حزيران/</w:t>
            </w:r>
            <w:r w:rsidR="00F50F4E">
              <w:rPr>
                <w:rFonts w:cs="Traditional Arabic" w:hint="cs"/>
                <w:sz w:val="16"/>
                <w:szCs w:val="26"/>
                <w:rtl/>
              </w:rPr>
              <w:t xml:space="preserve"> </w:t>
            </w:r>
            <w:r w:rsidRPr="00987BE9">
              <w:rPr>
                <w:rFonts w:cs="Traditional Arabic" w:hint="cs"/>
                <w:sz w:val="16"/>
                <w:szCs w:val="26"/>
                <w:rtl/>
              </w:rPr>
              <w:t>يونيه 2016</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كوستاريكا* (1993)</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2008</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الثالث</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30 </w:t>
            </w:r>
            <w:r w:rsidRPr="00781EE0">
              <w:rPr>
                <w:rFonts w:cs="Traditional Arabic" w:hint="cs"/>
                <w:sz w:val="16"/>
                <w:szCs w:val="26"/>
                <w:rtl/>
              </w:rPr>
              <w:t>حزيران</w:t>
            </w:r>
            <w:r w:rsidRPr="00781EE0">
              <w:rPr>
                <w:rFonts w:cs="Traditional Arabic" w:hint="cs"/>
                <w:spacing w:val="-4"/>
                <w:sz w:val="16"/>
                <w:szCs w:val="26"/>
                <w:rtl/>
              </w:rPr>
              <w:t>/يونيه 2012</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كولومبيا* (1987)</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2009</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الخامس</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20 تشرين الثاني/نوفمبر 2013</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الكويت* (1996)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2011</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3 حزيران/</w:t>
            </w:r>
            <w:r w:rsidR="00F50F4E">
              <w:rPr>
                <w:rFonts w:cs="Traditional Arabic" w:hint="cs"/>
                <w:sz w:val="16"/>
                <w:szCs w:val="26"/>
                <w:rtl/>
              </w:rPr>
              <w:t xml:space="preserve"> </w:t>
            </w:r>
            <w:r w:rsidRPr="00987BE9">
              <w:rPr>
                <w:rFonts w:cs="Traditional Arabic" w:hint="cs"/>
                <w:sz w:val="16"/>
                <w:szCs w:val="26"/>
                <w:rtl/>
              </w:rPr>
              <w:t>يونيه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كينيا* (1997)</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2013</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3 حزيران/</w:t>
            </w:r>
            <w:r w:rsidR="00F50F4E">
              <w:rPr>
                <w:rFonts w:cs="Traditional Arabic" w:hint="cs"/>
                <w:sz w:val="16"/>
                <w:szCs w:val="26"/>
                <w:rtl/>
              </w:rPr>
              <w:t xml:space="preserve"> </w:t>
            </w:r>
            <w:r w:rsidRPr="00987BE9">
              <w:rPr>
                <w:rFonts w:cs="Traditional Arabic" w:hint="cs"/>
                <w:sz w:val="16"/>
                <w:szCs w:val="26"/>
                <w:rtl/>
              </w:rPr>
              <w:t>يونيه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لاتفيا* (1992)</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2007</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 إلى الخامس</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ورد في 3 أيار/مايو 2012</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لكسمبرغ* (1987)</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الخامس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2007</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السادس والسابع</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30 </w:t>
            </w:r>
            <w:r w:rsidRPr="00781EE0">
              <w:rPr>
                <w:rFonts w:cs="Traditional Arabic" w:hint="cs"/>
                <w:sz w:val="16"/>
                <w:szCs w:val="26"/>
                <w:rtl/>
              </w:rPr>
              <w:t>حزيران</w:t>
            </w:r>
            <w:r w:rsidRPr="00781EE0">
              <w:rPr>
                <w:rFonts w:cs="Traditional Arabic" w:hint="cs"/>
                <w:spacing w:val="-4"/>
                <w:sz w:val="16"/>
                <w:szCs w:val="26"/>
                <w:rtl/>
              </w:rPr>
              <w:t>/يونيه 2011</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ليبيا* (1989)</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الثالث</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1999</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الرابع</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14 </w:t>
            </w:r>
            <w:r w:rsidRPr="00781EE0">
              <w:rPr>
                <w:rFonts w:cs="Traditional Arabic" w:hint="cs"/>
                <w:sz w:val="16"/>
                <w:szCs w:val="26"/>
                <w:rtl/>
              </w:rPr>
              <w:t>حزيران</w:t>
            </w:r>
            <w:r w:rsidRPr="00781EE0">
              <w:rPr>
                <w:rFonts w:cs="Traditional Arabic" w:hint="cs"/>
                <w:spacing w:val="-4"/>
                <w:sz w:val="16"/>
                <w:szCs w:val="26"/>
                <w:rtl/>
              </w:rPr>
              <w:t>/يونيه 2002</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ليتوانيا* (1996)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2008</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ورد في 8 تشرين الأول/أكتوبر 2012</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ليختنشتاين* (1990)</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الثالث</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2010</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الرابع</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14 أ</w:t>
            </w:r>
            <w:r w:rsidR="00781EE0">
              <w:rPr>
                <w:rFonts w:cs="Traditional Arabic" w:hint="cs"/>
                <w:sz w:val="16"/>
                <w:szCs w:val="26"/>
                <w:rtl/>
              </w:rPr>
              <w:t>يار</w:t>
            </w:r>
            <w:r w:rsidRPr="00987BE9">
              <w:rPr>
                <w:rFonts w:cs="Traditional Arabic" w:hint="cs"/>
                <w:sz w:val="16"/>
                <w:szCs w:val="26"/>
                <w:rtl/>
              </w:rPr>
              <w:t>/</w:t>
            </w:r>
            <w:r w:rsidR="00781EE0">
              <w:rPr>
                <w:rFonts w:cs="Traditional Arabic" w:hint="cs"/>
                <w:sz w:val="16"/>
                <w:szCs w:val="26"/>
                <w:rtl/>
              </w:rPr>
              <w:t xml:space="preserve"> </w:t>
            </w:r>
            <w:r w:rsidRPr="00987BE9">
              <w:rPr>
                <w:rFonts w:cs="Traditional Arabic" w:hint="cs"/>
                <w:sz w:val="16"/>
                <w:szCs w:val="26"/>
                <w:rtl/>
              </w:rPr>
              <w:t>مايو 2014</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مالطة* (1990)</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1999</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الثالث</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12 كانون الأول/ديسمبر 2000 </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مدغشقر (2005)</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2011</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الثاني</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25 تشرين الثاني/نوفمبر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مصر (1986)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2002</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الخامس</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25 حزيران/</w:t>
            </w:r>
            <w:r w:rsidRPr="00781EE0">
              <w:rPr>
                <w:rFonts w:cs="Traditional Arabic" w:hint="cs"/>
                <w:sz w:val="16"/>
                <w:szCs w:val="26"/>
                <w:rtl/>
              </w:rPr>
              <w:t>يونيه</w:t>
            </w:r>
            <w:r w:rsidRPr="00781EE0">
              <w:rPr>
                <w:rFonts w:cs="Traditional Arabic" w:hint="cs"/>
                <w:spacing w:val="-4"/>
                <w:sz w:val="16"/>
                <w:szCs w:val="26"/>
                <w:rtl/>
              </w:rPr>
              <w:t xml:space="preserve"> 2004</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المغرب* (1993)</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2011</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الخامس</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25 تشرين الثاني/نوفمبر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المكسيك* (1986)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الخامس والسادس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2012</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السابع</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23 تشرين الثاني/نوفمبر 2016</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المملكة العربية السعودية (1997)</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2002</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الثاني</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21 تشرين الأول/أكتوبر </w:t>
            </w:r>
            <w:r w:rsidRPr="00781EE0">
              <w:rPr>
                <w:rFonts w:cs="Traditional Arabic" w:hint="cs"/>
                <w:sz w:val="16"/>
                <w:szCs w:val="26"/>
                <w:rtl/>
              </w:rPr>
              <w:t>2002</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after="120" w:line="320" w:lineRule="exact"/>
              <w:rPr>
                <w:rFonts w:cs="Traditional Arabic" w:hint="cs"/>
                <w:sz w:val="16"/>
                <w:szCs w:val="26"/>
                <w:rtl/>
              </w:rPr>
            </w:pPr>
            <w:r w:rsidRPr="00987BE9">
              <w:rPr>
                <w:rFonts w:cs="Traditional Arabic" w:hint="cs"/>
                <w:sz w:val="16"/>
                <w:szCs w:val="26"/>
                <w:rtl/>
              </w:rPr>
              <w:t>المملكة المتحدة لبريطانيا العظمى وأيرلندا الشمالية (1988)</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الخامس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2013</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السادس</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31 أيار/</w:t>
            </w:r>
            <w:r w:rsidR="00F50F4E">
              <w:rPr>
                <w:rFonts w:cs="Traditional Arabic" w:hint="cs"/>
                <w:sz w:val="16"/>
                <w:szCs w:val="26"/>
                <w:rtl/>
              </w:rPr>
              <w:t xml:space="preserve"> </w:t>
            </w:r>
            <w:r w:rsidRPr="00987BE9">
              <w:rPr>
                <w:rFonts w:cs="Traditional Arabic" w:hint="cs"/>
                <w:sz w:val="16"/>
                <w:szCs w:val="26"/>
                <w:rtl/>
              </w:rPr>
              <w:t>مايو 2017</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منغوليا* (2002)</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2010</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الثاني</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19 تشرين الثاني/نوفمبر 2014</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موريتانيا (2004)</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2013</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الثاني</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31 أيار/</w:t>
            </w:r>
            <w:r w:rsidR="00F50F4E">
              <w:rPr>
                <w:rFonts w:cs="Traditional Arabic" w:hint="cs"/>
                <w:sz w:val="16"/>
                <w:szCs w:val="26"/>
                <w:rtl/>
              </w:rPr>
              <w:t xml:space="preserve"> </w:t>
            </w:r>
            <w:r w:rsidRPr="00987BE9">
              <w:rPr>
                <w:rFonts w:cs="Traditional Arabic" w:hint="cs"/>
                <w:sz w:val="16"/>
                <w:szCs w:val="26"/>
                <w:rtl/>
              </w:rPr>
              <w:t>مايو 2017</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موريشيوس* (1992)</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الثالث</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2011</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الرابع</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3 حزيران/</w:t>
            </w:r>
            <w:r w:rsidR="00F50F4E">
              <w:rPr>
                <w:rFonts w:cs="Traditional Arabic" w:hint="cs"/>
                <w:sz w:val="16"/>
                <w:szCs w:val="26"/>
                <w:rtl/>
              </w:rPr>
              <w:t xml:space="preserve"> </w:t>
            </w:r>
            <w:r w:rsidRPr="00987BE9">
              <w:rPr>
                <w:rFonts w:cs="Traditional Arabic" w:hint="cs"/>
                <w:sz w:val="16"/>
                <w:szCs w:val="26"/>
                <w:rtl/>
              </w:rPr>
              <w:t>يونيه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موناكو* (1993)</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 والخامس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2011</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السادس</w:t>
            </w:r>
          </w:p>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يحل موعد تقديمه في 3 حزيران/</w:t>
            </w:r>
            <w:r w:rsidR="00F50F4E">
              <w:rPr>
                <w:rFonts w:cs="Traditional Arabic" w:hint="cs"/>
                <w:sz w:val="16"/>
                <w:szCs w:val="26"/>
                <w:rtl/>
              </w:rPr>
              <w:t xml:space="preserve"> </w:t>
            </w:r>
            <w:r w:rsidRPr="00987BE9">
              <w:rPr>
                <w:rFonts w:cs="Traditional Arabic" w:hint="cs"/>
                <w:sz w:val="16"/>
                <w:szCs w:val="26"/>
                <w:rtl/>
              </w:rPr>
              <w:t>يونيه 2015</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ناميبيا (1994)</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1997</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الثاني</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27 كانون الأول/ديسمبر </w:t>
            </w:r>
            <w:r w:rsidRPr="00781EE0">
              <w:rPr>
                <w:rFonts w:cs="Traditional Arabic" w:hint="cs"/>
                <w:sz w:val="16"/>
                <w:szCs w:val="26"/>
                <w:rtl/>
              </w:rPr>
              <w:t>1999</w:t>
            </w:r>
            <w:r w:rsidRPr="00781EE0">
              <w:rPr>
                <w:rFonts w:cs="Traditional Arabic" w:hint="cs"/>
                <w:spacing w:val="-4"/>
                <w:sz w:val="16"/>
                <w:szCs w:val="26"/>
                <w:rtl/>
              </w:rPr>
              <w:t xml:space="preserve"> </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النرويج* (1986)</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السادس والسابع</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تشرين الثاني/نوفمبر 2012</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الثامن</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23 تشرين الثاني/نوفمبر 2016</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النمسا* (1987)</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الرابع والخامس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2010</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السادس</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14 أيار/</w:t>
            </w:r>
            <w:r w:rsidR="00781EE0">
              <w:rPr>
                <w:rFonts w:cs="Traditional Arabic" w:hint="cs"/>
                <w:sz w:val="16"/>
                <w:szCs w:val="26"/>
                <w:rtl/>
              </w:rPr>
              <w:t xml:space="preserve"> </w:t>
            </w:r>
            <w:r w:rsidRPr="00987BE9">
              <w:rPr>
                <w:rFonts w:cs="Traditional Arabic" w:hint="cs"/>
                <w:sz w:val="16"/>
                <w:szCs w:val="26"/>
                <w:rtl/>
              </w:rPr>
              <w:t>مايو 2014</w:t>
            </w:r>
          </w:p>
        </w:tc>
      </w:tr>
      <w:tr w:rsidR="00987BE9" w:rsidRPr="00987BE9" w:rsidTr="00781EE0">
        <w:trPr>
          <w:cantSplit/>
        </w:trPr>
        <w:tc>
          <w:tcPr>
            <w:tcW w:w="2054" w:type="dxa"/>
          </w:tcPr>
          <w:p w:rsidR="00987BE9" w:rsidRPr="00987BE9" w:rsidRDefault="00987BE9" w:rsidP="00F50F4E">
            <w:pPr>
              <w:spacing w:line="300" w:lineRule="exact"/>
              <w:rPr>
                <w:rFonts w:cs="Traditional Arabic" w:hint="cs"/>
                <w:sz w:val="16"/>
                <w:szCs w:val="26"/>
                <w:rtl/>
              </w:rPr>
            </w:pPr>
            <w:r w:rsidRPr="00987BE9">
              <w:rPr>
                <w:rFonts w:cs="Traditional Arabic" w:hint="cs"/>
                <w:sz w:val="16"/>
                <w:szCs w:val="26"/>
                <w:rtl/>
              </w:rPr>
              <w:t>نيبال (1991)</w:t>
            </w:r>
          </w:p>
        </w:tc>
        <w:tc>
          <w:tcPr>
            <w:tcW w:w="2029" w:type="dxa"/>
          </w:tcPr>
          <w:p w:rsidR="00987BE9" w:rsidRPr="00987BE9" w:rsidRDefault="00987BE9" w:rsidP="00F50F4E">
            <w:pPr>
              <w:spacing w:line="30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F50F4E">
            <w:pPr>
              <w:spacing w:line="300" w:lineRule="exact"/>
              <w:rPr>
                <w:rFonts w:cs="Traditional Arabic" w:hint="cs"/>
                <w:spacing w:val="-4"/>
                <w:sz w:val="16"/>
                <w:szCs w:val="26"/>
                <w:rtl/>
              </w:rPr>
            </w:pPr>
            <w:r w:rsidRPr="00987BE9">
              <w:rPr>
                <w:rFonts w:cs="Traditional Arabic" w:hint="cs"/>
                <w:spacing w:val="-4"/>
                <w:sz w:val="16"/>
                <w:szCs w:val="26"/>
                <w:rtl/>
              </w:rPr>
              <w:t>تشرين الثاني/نوفمبر 2005</w:t>
            </w:r>
          </w:p>
        </w:tc>
        <w:tc>
          <w:tcPr>
            <w:tcW w:w="2044" w:type="dxa"/>
          </w:tcPr>
          <w:p w:rsidR="00987BE9" w:rsidRPr="00781EE0" w:rsidRDefault="00987BE9" w:rsidP="00CC3672">
            <w:pPr>
              <w:spacing w:line="300" w:lineRule="exact"/>
              <w:ind w:left="57" w:right="57"/>
              <w:jc w:val="left"/>
              <w:rPr>
                <w:rFonts w:cs="Traditional Arabic" w:hint="cs"/>
                <w:spacing w:val="-4"/>
                <w:sz w:val="16"/>
                <w:szCs w:val="26"/>
                <w:rtl/>
              </w:rPr>
            </w:pPr>
            <w:r w:rsidRPr="00781EE0">
              <w:rPr>
                <w:rFonts w:cs="Traditional Arabic" w:hint="cs"/>
                <w:spacing w:val="-4"/>
                <w:sz w:val="16"/>
                <w:szCs w:val="26"/>
                <w:rtl/>
              </w:rPr>
              <w:t>الثالث إلى الخامس</w:t>
            </w:r>
          </w:p>
          <w:p w:rsidR="00987BE9" w:rsidRPr="00781EE0" w:rsidRDefault="00987BE9" w:rsidP="00CC3672">
            <w:pPr>
              <w:spacing w:after="120" w:line="30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12 </w:t>
            </w:r>
            <w:r w:rsidRPr="00781EE0">
              <w:rPr>
                <w:rFonts w:cs="Traditional Arabic" w:hint="cs"/>
                <w:sz w:val="16"/>
                <w:szCs w:val="26"/>
                <w:rtl/>
              </w:rPr>
              <w:t>حزيران</w:t>
            </w:r>
            <w:r w:rsidRPr="00781EE0">
              <w:rPr>
                <w:rFonts w:cs="Traditional Arabic" w:hint="cs"/>
                <w:spacing w:val="-4"/>
                <w:sz w:val="16"/>
                <w:szCs w:val="26"/>
                <w:rtl/>
              </w:rPr>
              <w:t>/يونيه 2008</w:t>
            </w:r>
          </w:p>
        </w:tc>
        <w:tc>
          <w:tcPr>
            <w:tcW w:w="2389" w:type="dxa"/>
          </w:tcPr>
          <w:p w:rsidR="00987BE9" w:rsidRPr="00987BE9" w:rsidRDefault="00781EE0" w:rsidP="00F50F4E">
            <w:pPr>
              <w:spacing w:line="30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F50F4E">
            <w:pPr>
              <w:spacing w:line="300" w:lineRule="exact"/>
              <w:rPr>
                <w:rFonts w:cs="Traditional Arabic" w:hint="cs"/>
                <w:sz w:val="16"/>
                <w:szCs w:val="26"/>
                <w:rtl/>
              </w:rPr>
            </w:pPr>
            <w:r w:rsidRPr="00987BE9">
              <w:rPr>
                <w:rFonts w:cs="Traditional Arabic" w:hint="cs"/>
                <w:sz w:val="16"/>
                <w:szCs w:val="26"/>
                <w:rtl/>
              </w:rPr>
              <w:t>نيكاراغوا (2005)</w:t>
            </w:r>
          </w:p>
        </w:tc>
        <w:tc>
          <w:tcPr>
            <w:tcW w:w="2029" w:type="dxa"/>
          </w:tcPr>
          <w:p w:rsidR="00987BE9" w:rsidRPr="00987BE9" w:rsidRDefault="00987BE9" w:rsidP="00F50F4E">
            <w:pPr>
              <w:spacing w:line="30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F50F4E">
            <w:pPr>
              <w:spacing w:line="300" w:lineRule="exact"/>
              <w:rPr>
                <w:rFonts w:cs="Traditional Arabic" w:hint="cs"/>
                <w:spacing w:val="-4"/>
                <w:sz w:val="16"/>
                <w:szCs w:val="26"/>
                <w:rtl/>
              </w:rPr>
            </w:pPr>
            <w:r w:rsidRPr="00987BE9">
              <w:rPr>
                <w:rFonts w:cs="Traditional Arabic" w:hint="cs"/>
                <w:spacing w:val="-4"/>
                <w:sz w:val="16"/>
                <w:szCs w:val="26"/>
                <w:rtl/>
              </w:rPr>
              <w:t>أيار/مايو 2009</w:t>
            </w:r>
          </w:p>
        </w:tc>
        <w:tc>
          <w:tcPr>
            <w:tcW w:w="2044" w:type="dxa"/>
          </w:tcPr>
          <w:p w:rsidR="00987BE9" w:rsidRPr="00781EE0" w:rsidRDefault="00987BE9" w:rsidP="00CC3672">
            <w:pPr>
              <w:spacing w:line="300" w:lineRule="exact"/>
              <w:ind w:left="57" w:right="57"/>
              <w:jc w:val="left"/>
              <w:rPr>
                <w:rFonts w:cs="Traditional Arabic" w:hint="cs"/>
                <w:spacing w:val="-4"/>
                <w:sz w:val="16"/>
                <w:szCs w:val="26"/>
                <w:rtl/>
              </w:rPr>
            </w:pPr>
            <w:r w:rsidRPr="00781EE0">
              <w:rPr>
                <w:rFonts w:cs="Traditional Arabic" w:hint="cs"/>
                <w:spacing w:val="-4"/>
                <w:sz w:val="16"/>
                <w:szCs w:val="26"/>
                <w:rtl/>
              </w:rPr>
              <w:t>الثاني</w:t>
            </w:r>
          </w:p>
          <w:p w:rsidR="00987BE9" w:rsidRPr="00781EE0" w:rsidRDefault="00987BE9" w:rsidP="00CC3672">
            <w:pPr>
              <w:spacing w:after="120" w:line="30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15 أيار/مايو 2013 </w:t>
            </w:r>
          </w:p>
        </w:tc>
        <w:tc>
          <w:tcPr>
            <w:tcW w:w="2389" w:type="dxa"/>
          </w:tcPr>
          <w:p w:rsidR="00987BE9" w:rsidRPr="00987BE9" w:rsidRDefault="00781EE0" w:rsidP="00F50F4E">
            <w:pPr>
              <w:spacing w:line="30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F50F4E">
            <w:pPr>
              <w:spacing w:line="300" w:lineRule="exact"/>
              <w:rPr>
                <w:rFonts w:cs="Traditional Arabic" w:hint="cs"/>
                <w:sz w:val="16"/>
                <w:szCs w:val="26"/>
                <w:rtl/>
              </w:rPr>
            </w:pPr>
            <w:r w:rsidRPr="00987BE9">
              <w:rPr>
                <w:rFonts w:cs="Traditional Arabic" w:hint="cs"/>
                <w:sz w:val="16"/>
                <w:szCs w:val="26"/>
                <w:rtl/>
              </w:rPr>
              <w:t>نيوزيلندا* (1989)</w:t>
            </w:r>
          </w:p>
        </w:tc>
        <w:tc>
          <w:tcPr>
            <w:tcW w:w="2029" w:type="dxa"/>
          </w:tcPr>
          <w:p w:rsidR="00987BE9" w:rsidRPr="00987BE9" w:rsidRDefault="00987BE9" w:rsidP="00F50F4E">
            <w:pPr>
              <w:spacing w:line="300" w:lineRule="exact"/>
              <w:rPr>
                <w:rFonts w:cs="Traditional Arabic" w:hint="cs"/>
                <w:spacing w:val="-4"/>
                <w:sz w:val="16"/>
                <w:szCs w:val="26"/>
                <w:rtl/>
              </w:rPr>
            </w:pPr>
            <w:r w:rsidRPr="00987BE9">
              <w:rPr>
                <w:rFonts w:cs="Traditional Arabic" w:hint="cs"/>
                <w:spacing w:val="-4"/>
                <w:sz w:val="16"/>
                <w:szCs w:val="26"/>
                <w:rtl/>
              </w:rPr>
              <w:t>الخامس</w:t>
            </w:r>
          </w:p>
          <w:p w:rsidR="00987BE9" w:rsidRPr="00987BE9" w:rsidRDefault="00987BE9" w:rsidP="00F50F4E">
            <w:pPr>
              <w:spacing w:line="300" w:lineRule="exact"/>
              <w:rPr>
                <w:rFonts w:cs="Traditional Arabic" w:hint="cs"/>
                <w:spacing w:val="-4"/>
                <w:sz w:val="16"/>
                <w:szCs w:val="26"/>
                <w:rtl/>
              </w:rPr>
            </w:pPr>
            <w:r w:rsidRPr="00987BE9">
              <w:rPr>
                <w:rFonts w:cs="Traditional Arabic" w:hint="cs"/>
                <w:spacing w:val="-4"/>
                <w:sz w:val="16"/>
                <w:szCs w:val="26"/>
                <w:rtl/>
              </w:rPr>
              <w:t>أيار/مايو 2009</w:t>
            </w:r>
          </w:p>
        </w:tc>
        <w:tc>
          <w:tcPr>
            <w:tcW w:w="2044" w:type="dxa"/>
          </w:tcPr>
          <w:p w:rsidR="00987BE9" w:rsidRPr="00781EE0" w:rsidRDefault="00987BE9" w:rsidP="00CC3672">
            <w:pPr>
              <w:spacing w:line="300" w:lineRule="exact"/>
              <w:ind w:left="57" w:right="57"/>
              <w:jc w:val="left"/>
              <w:rPr>
                <w:rFonts w:cs="Traditional Arabic" w:hint="cs"/>
                <w:spacing w:val="-4"/>
                <w:sz w:val="16"/>
                <w:szCs w:val="26"/>
                <w:rtl/>
              </w:rPr>
            </w:pPr>
            <w:r w:rsidRPr="00781EE0">
              <w:rPr>
                <w:rFonts w:cs="Traditional Arabic" w:hint="cs"/>
                <w:spacing w:val="-4"/>
                <w:sz w:val="16"/>
                <w:szCs w:val="26"/>
                <w:rtl/>
              </w:rPr>
              <w:t>السادس</w:t>
            </w:r>
          </w:p>
          <w:p w:rsidR="00987BE9" w:rsidRPr="00781EE0" w:rsidRDefault="00987BE9" w:rsidP="00CC3672">
            <w:pPr>
              <w:spacing w:after="120" w:line="30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15 أيار/مايو 2013 </w:t>
            </w:r>
          </w:p>
        </w:tc>
        <w:tc>
          <w:tcPr>
            <w:tcW w:w="2389" w:type="dxa"/>
          </w:tcPr>
          <w:p w:rsidR="00987BE9" w:rsidRPr="00987BE9" w:rsidRDefault="00781EE0" w:rsidP="00F50F4E">
            <w:pPr>
              <w:spacing w:line="30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F50F4E">
            <w:pPr>
              <w:spacing w:line="300" w:lineRule="exact"/>
              <w:rPr>
                <w:rFonts w:cs="Traditional Arabic" w:hint="cs"/>
                <w:sz w:val="16"/>
                <w:szCs w:val="26"/>
                <w:rtl/>
              </w:rPr>
            </w:pPr>
            <w:r w:rsidRPr="00987BE9">
              <w:rPr>
                <w:rFonts w:cs="Traditional Arabic" w:hint="cs"/>
                <w:sz w:val="16"/>
                <w:szCs w:val="26"/>
                <w:rtl/>
              </w:rPr>
              <w:t>هندوراس* (1996)</w:t>
            </w:r>
          </w:p>
        </w:tc>
        <w:tc>
          <w:tcPr>
            <w:tcW w:w="2029" w:type="dxa"/>
          </w:tcPr>
          <w:p w:rsidR="00987BE9" w:rsidRPr="00987BE9" w:rsidRDefault="00987BE9" w:rsidP="00F50F4E">
            <w:pPr>
              <w:spacing w:line="300" w:lineRule="exact"/>
              <w:rPr>
                <w:rFonts w:cs="Traditional Arabic" w:hint="cs"/>
                <w:spacing w:val="-4"/>
                <w:sz w:val="16"/>
                <w:szCs w:val="26"/>
                <w:rtl/>
              </w:rPr>
            </w:pPr>
            <w:r w:rsidRPr="00987BE9">
              <w:rPr>
                <w:rFonts w:cs="Traditional Arabic" w:hint="cs"/>
                <w:spacing w:val="-4"/>
                <w:sz w:val="16"/>
                <w:szCs w:val="26"/>
                <w:rtl/>
              </w:rPr>
              <w:t>الأولي</w:t>
            </w:r>
          </w:p>
          <w:p w:rsidR="00987BE9" w:rsidRPr="00987BE9" w:rsidRDefault="00987BE9" w:rsidP="00F50F4E">
            <w:pPr>
              <w:spacing w:line="300" w:lineRule="exact"/>
              <w:rPr>
                <w:rFonts w:cs="Traditional Arabic" w:hint="cs"/>
                <w:spacing w:val="-4"/>
                <w:sz w:val="16"/>
                <w:szCs w:val="26"/>
                <w:rtl/>
              </w:rPr>
            </w:pPr>
            <w:r w:rsidRPr="00987BE9">
              <w:rPr>
                <w:rFonts w:cs="Traditional Arabic" w:hint="cs"/>
                <w:spacing w:val="-4"/>
                <w:sz w:val="16"/>
                <w:szCs w:val="26"/>
                <w:rtl/>
              </w:rPr>
              <w:t>أيار/مايو 2009</w:t>
            </w:r>
          </w:p>
        </w:tc>
        <w:tc>
          <w:tcPr>
            <w:tcW w:w="2044" w:type="dxa"/>
          </w:tcPr>
          <w:p w:rsidR="00987BE9" w:rsidRPr="00781EE0" w:rsidRDefault="00987BE9" w:rsidP="00CC3672">
            <w:pPr>
              <w:spacing w:line="300" w:lineRule="exact"/>
              <w:ind w:left="57" w:right="57"/>
              <w:jc w:val="left"/>
              <w:rPr>
                <w:rFonts w:cs="Traditional Arabic" w:hint="cs"/>
                <w:spacing w:val="-4"/>
                <w:sz w:val="16"/>
                <w:szCs w:val="26"/>
                <w:rtl/>
              </w:rPr>
            </w:pPr>
            <w:r w:rsidRPr="00781EE0">
              <w:rPr>
                <w:rFonts w:cs="Traditional Arabic" w:hint="cs"/>
                <w:spacing w:val="-4"/>
                <w:sz w:val="16"/>
                <w:szCs w:val="26"/>
                <w:rtl/>
              </w:rPr>
              <w:t>الثاني</w:t>
            </w:r>
          </w:p>
          <w:p w:rsidR="00987BE9" w:rsidRPr="00781EE0" w:rsidRDefault="00987BE9" w:rsidP="00CC3672">
            <w:pPr>
              <w:spacing w:after="120" w:line="30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15 </w:t>
            </w:r>
            <w:r w:rsidRPr="00781EE0">
              <w:rPr>
                <w:rFonts w:cs="Traditional Arabic" w:hint="cs"/>
                <w:sz w:val="16"/>
                <w:szCs w:val="26"/>
                <w:rtl/>
              </w:rPr>
              <w:t>أيار</w:t>
            </w:r>
            <w:r w:rsidRPr="00781EE0">
              <w:rPr>
                <w:rFonts w:cs="Traditional Arabic" w:hint="cs"/>
                <w:spacing w:val="-4"/>
                <w:sz w:val="16"/>
                <w:szCs w:val="26"/>
                <w:rtl/>
              </w:rPr>
              <w:t xml:space="preserve">/مايو 2013 </w:t>
            </w:r>
          </w:p>
        </w:tc>
        <w:tc>
          <w:tcPr>
            <w:tcW w:w="2389" w:type="dxa"/>
          </w:tcPr>
          <w:p w:rsidR="00987BE9" w:rsidRPr="00987BE9" w:rsidRDefault="00781EE0" w:rsidP="00F50F4E">
            <w:pPr>
              <w:spacing w:line="30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F50F4E">
            <w:pPr>
              <w:spacing w:line="300" w:lineRule="exact"/>
              <w:rPr>
                <w:rFonts w:cs="Traditional Arabic" w:hint="cs"/>
                <w:sz w:val="16"/>
                <w:szCs w:val="26"/>
                <w:rtl/>
              </w:rPr>
            </w:pPr>
            <w:r w:rsidRPr="00987BE9">
              <w:rPr>
                <w:rFonts w:cs="Traditional Arabic" w:hint="cs"/>
                <w:sz w:val="16"/>
                <w:szCs w:val="26"/>
                <w:rtl/>
              </w:rPr>
              <w:t>هنغاريا* (1987)</w:t>
            </w:r>
          </w:p>
        </w:tc>
        <w:tc>
          <w:tcPr>
            <w:tcW w:w="2029" w:type="dxa"/>
          </w:tcPr>
          <w:p w:rsidR="00987BE9" w:rsidRPr="00987BE9" w:rsidRDefault="00987BE9" w:rsidP="00F50F4E">
            <w:pPr>
              <w:spacing w:line="300" w:lineRule="exact"/>
              <w:rPr>
                <w:rFonts w:cs="Traditional Arabic" w:hint="cs"/>
                <w:spacing w:val="-4"/>
                <w:sz w:val="16"/>
                <w:szCs w:val="26"/>
                <w:rtl/>
              </w:rPr>
            </w:pPr>
            <w:r w:rsidRPr="00987BE9">
              <w:rPr>
                <w:rFonts w:cs="Traditional Arabic" w:hint="cs"/>
                <w:spacing w:val="-4"/>
                <w:sz w:val="16"/>
                <w:szCs w:val="26"/>
                <w:rtl/>
              </w:rPr>
              <w:t>الرابع</w:t>
            </w:r>
          </w:p>
          <w:p w:rsidR="00987BE9" w:rsidRPr="00987BE9" w:rsidRDefault="00987BE9" w:rsidP="00F50F4E">
            <w:pPr>
              <w:spacing w:line="300" w:lineRule="exact"/>
              <w:rPr>
                <w:rFonts w:cs="Traditional Arabic" w:hint="cs"/>
                <w:spacing w:val="-4"/>
                <w:sz w:val="16"/>
                <w:szCs w:val="26"/>
                <w:rtl/>
              </w:rPr>
            </w:pPr>
            <w:r w:rsidRPr="00987BE9">
              <w:rPr>
                <w:rFonts w:cs="Traditional Arabic" w:hint="cs"/>
                <w:spacing w:val="-4"/>
                <w:sz w:val="16"/>
                <w:szCs w:val="26"/>
                <w:rtl/>
              </w:rPr>
              <w:t>تشرين الثاني/نوفمبر 2006</w:t>
            </w:r>
          </w:p>
        </w:tc>
        <w:tc>
          <w:tcPr>
            <w:tcW w:w="2044" w:type="dxa"/>
          </w:tcPr>
          <w:p w:rsidR="00987BE9" w:rsidRPr="00781EE0" w:rsidRDefault="00987BE9" w:rsidP="00CC3672">
            <w:pPr>
              <w:spacing w:line="300" w:lineRule="exact"/>
              <w:ind w:left="57" w:right="57"/>
              <w:jc w:val="left"/>
              <w:rPr>
                <w:rFonts w:cs="Traditional Arabic" w:hint="cs"/>
                <w:spacing w:val="-4"/>
                <w:sz w:val="16"/>
                <w:szCs w:val="26"/>
                <w:rtl/>
              </w:rPr>
            </w:pPr>
            <w:r w:rsidRPr="00781EE0">
              <w:rPr>
                <w:rFonts w:cs="Traditional Arabic" w:hint="cs"/>
                <w:spacing w:val="-4"/>
                <w:sz w:val="16"/>
                <w:szCs w:val="26"/>
                <w:rtl/>
              </w:rPr>
              <w:t>الخامس والسادس</w:t>
            </w:r>
          </w:p>
          <w:p w:rsidR="00987BE9" w:rsidRPr="00781EE0" w:rsidRDefault="00987BE9" w:rsidP="00CC3672">
            <w:pPr>
              <w:spacing w:after="120" w:line="30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31 كانون الأول/ديسمبر </w:t>
            </w:r>
            <w:r w:rsidRPr="00781EE0">
              <w:rPr>
                <w:rFonts w:cs="Traditional Arabic" w:hint="cs"/>
                <w:sz w:val="16"/>
                <w:szCs w:val="26"/>
                <w:rtl/>
              </w:rPr>
              <w:t>2010</w:t>
            </w:r>
            <w:r w:rsidRPr="00781EE0">
              <w:rPr>
                <w:rFonts w:cs="Traditional Arabic" w:hint="cs"/>
                <w:spacing w:val="-4"/>
                <w:sz w:val="16"/>
                <w:szCs w:val="26"/>
                <w:rtl/>
              </w:rPr>
              <w:t xml:space="preserve"> </w:t>
            </w:r>
          </w:p>
        </w:tc>
        <w:tc>
          <w:tcPr>
            <w:tcW w:w="2389" w:type="dxa"/>
          </w:tcPr>
          <w:p w:rsidR="00987BE9" w:rsidRPr="00987BE9" w:rsidRDefault="00781EE0" w:rsidP="00F50F4E">
            <w:pPr>
              <w:spacing w:line="30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هولندا* (1988)</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الخامس والسادس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2013</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السابع</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31 أيار/</w:t>
            </w:r>
            <w:r w:rsidR="00781EE0">
              <w:rPr>
                <w:rFonts w:cs="Traditional Arabic" w:hint="cs"/>
                <w:sz w:val="16"/>
                <w:szCs w:val="26"/>
                <w:rtl/>
              </w:rPr>
              <w:t xml:space="preserve"> </w:t>
            </w:r>
            <w:r w:rsidRPr="00987BE9">
              <w:rPr>
                <w:rFonts w:cs="Traditional Arabic" w:hint="cs"/>
                <w:sz w:val="16"/>
                <w:szCs w:val="26"/>
                <w:rtl/>
              </w:rPr>
              <w:t>مايو 2017</w:t>
            </w:r>
          </w:p>
        </w:tc>
      </w:tr>
      <w:tr w:rsidR="00987BE9" w:rsidRPr="00987BE9" w:rsidTr="00781EE0">
        <w:trPr>
          <w:cantSplit/>
        </w:trPr>
        <w:tc>
          <w:tcPr>
            <w:tcW w:w="2054" w:type="dxa"/>
          </w:tcPr>
          <w:p w:rsidR="00987BE9" w:rsidRPr="00987BE9" w:rsidRDefault="00987BE9" w:rsidP="00761DC0">
            <w:pPr>
              <w:spacing w:line="320" w:lineRule="exact"/>
              <w:jc w:val="left"/>
              <w:rPr>
                <w:rFonts w:cs="Traditional Arabic" w:hint="cs"/>
                <w:sz w:val="16"/>
                <w:szCs w:val="26"/>
                <w:rtl/>
              </w:rPr>
            </w:pPr>
            <w:r w:rsidRPr="00987BE9">
              <w:rPr>
                <w:rFonts w:cs="Traditional Arabic" w:hint="cs"/>
                <w:sz w:val="16"/>
                <w:szCs w:val="26"/>
                <w:rtl/>
              </w:rPr>
              <w:t>الولايات المتحدة الأمريكية* (1994)</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 إلى الرابع</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2006</w:t>
            </w:r>
          </w:p>
        </w:tc>
        <w:tc>
          <w:tcPr>
            <w:tcW w:w="2044" w:type="dxa"/>
          </w:tcPr>
          <w:p w:rsidR="00987BE9" w:rsidRPr="00781EE0" w:rsidRDefault="00987BE9" w:rsidP="00CC3672">
            <w:pPr>
              <w:spacing w:line="320" w:lineRule="exact"/>
              <w:ind w:left="57" w:right="57"/>
              <w:jc w:val="left"/>
              <w:rPr>
                <w:rFonts w:cs="Traditional Arabic" w:hint="cs"/>
                <w:spacing w:val="-4"/>
                <w:sz w:val="16"/>
                <w:szCs w:val="26"/>
                <w:rtl/>
              </w:rPr>
            </w:pPr>
            <w:r w:rsidRPr="00781EE0">
              <w:rPr>
                <w:rFonts w:cs="Traditional Arabic" w:hint="cs"/>
                <w:spacing w:val="-4"/>
                <w:sz w:val="16"/>
                <w:szCs w:val="26"/>
                <w:rtl/>
              </w:rPr>
              <w:t>الخامس</w:t>
            </w:r>
          </w:p>
          <w:p w:rsidR="00987BE9" w:rsidRPr="00781EE0" w:rsidRDefault="00987BE9" w:rsidP="00CC3672">
            <w:pPr>
              <w:spacing w:after="120" w:line="320" w:lineRule="exact"/>
              <w:ind w:left="57" w:right="57"/>
              <w:jc w:val="left"/>
              <w:rPr>
                <w:rFonts w:cs="Traditional Arabic" w:hint="cs"/>
                <w:spacing w:val="-4"/>
                <w:sz w:val="16"/>
                <w:szCs w:val="26"/>
                <w:rtl/>
              </w:rPr>
            </w:pPr>
            <w:r w:rsidRPr="00781EE0">
              <w:rPr>
                <w:rFonts w:cs="Traditional Arabic" w:hint="cs"/>
                <w:spacing w:val="-4"/>
                <w:sz w:val="16"/>
                <w:szCs w:val="26"/>
                <w:rtl/>
              </w:rPr>
              <w:t xml:space="preserve">19 تشرين الثاني/نوفمبر </w:t>
            </w:r>
            <w:r w:rsidRPr="00781EE0">
              <w:rPr>
                <w:rFonts w:cs="Traditional Arabic" w:hint="cs"/>
                <w:sz w:val="16"/>
                <w:szCs w:val="26"/>
                <w:rtl/>
              </w:rPr>
              <w:t>2011</w:t>
            </w:r>
          </w:p>
        </w:tc>
        <w:tc>
          <w:tcPr>
            <w:tcW w:w="2389" w:type="dxa"/>
          </w:tcPr>
          <w:p w:rsidR="00987BE9" w:rsidRPr="00987BE9" w:rsidRDefault="00781EE0" w:rsidP="00987BE9">
            <w:pPr>
              <w:spacing w:line="320" w:lineRule="exact"/>
              <w:rPr>
                <w:rFonts w:cs="Traditional Arabic" w:hint="cs"/>
                <w:sz w:val="16"/>
                <w:szCs w:val="26"/>
                <w:rtl/>
              </w:rPr>
            </w:pPr>
            <w:r>
              <w:rPr>
                <w:rFonts w:cs="Traditional Arabic" w:hint="cs"/>
                <w:sz w:val="16"/>
                <w:szCs w:val="26"/>
                <w:rtl/>
              </w:rPr>
              <w:t>-</w:t>
            </w:r>
          </w:p>
        </w:tc>
      </w:tr>
      <w:tr w:rsidR="00987BE9" w:rsidRPr="00987BE9" w:rsidTr="00781EE0">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اليابان* (1999)</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2013</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781EE0" w:rsidP="00781EE0">
            <w:pPr>
              <w:spacing w:after="120" w:line="320" w:lineRule="exact"/>
              <w:rPr>
                <w:rFonts w:cs="Traditional Arabic" w:hint="cs"/>
                <w:sz w:val="16"/>
                <w:szCs w:val="26"/>
                <w:rtl/>
              </w:rPr>
            </w:pPr>
            <w:r>
              <w:rPr>
                <w:rFonts w:cs="Traditional Arabic" w:hint="cs"/>
                <w:sz w:val="16"/>
                <w:szCs w:val="26"/>
                <w:rtl/>
              </w:rPr>
              <w:t>يحل موعد تقديمه في 31 أيار</w:t>
            </w:r>
            <w:r w:rsidR="00987BE9" w:rsidRPr="00987BE9">
              <w:rPr>
                <w:rFonts w:cs="Traditional Arabic" w:hint="cs"/>
                <w:sz w:val="16"/>
                <w:szCs w:val="26"/>
                <w:rtl/>
              </w:rPr>
              <w:t>/</w:t>
            </w:r>
            <w:r>
              <w:rPr>
                <w:rFonts w:cs="Traditional Arabic" w:hint="cs"/>
                <w:sz w:val="16"/>
                <w:szCs w:val="26"/>
                <w:rtl/>
              </w:rPr>
              <w:t xml:space="preserve"> </w:t>
            </w:r>
            <w:r w:rsidR="00987BE9" w:rsidRPr="00987BE9">
              <w:rPr>
                <w:rFonts w:cs="Traditional Arabic" w:hint="cs"/>
                <w:sz w:val="16"/>
                <w:szCs w:val="26"/>
                <w:rtl/>
              </w:rPr>
              <w:t>مايو 2017</w:t>
            </w:r>
          </w:p>
        </w:tc>
      </w:tr>
      <w:tr w:rsidR="00987BE9" w:rsidRPr="00987BE9" w:rsidTr="00F50F4E">
        <w:trPr>
          <w:cantSplit/>
        </w:trPr>
        <w:tc>
          <w:tcPr>
            <w:tcW w:w="2054"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اليمن (1991)</w:t>
            </w:r>
          </w:p>
        </w:tc>
        <w:tc>
          <w:tcPr>
            <w:tcW w:w="2029" w:type="dxa"/>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الثاني</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2010</w:t>
            </w:r>
          </w:p>
        </w:tc>
        <w:tc>
          <w:tcPr>
            <w:tcW w:w="2044" w:type="dxa"/>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الثالث</w:t>
            </w:r>
          </w:p>
          <w:p w:rsidR="00987BE9" w:rsidRPr="00987BE9" w:rsidRDefault="00987BE9" w:rsidP="00781EE0">
            <w:pPr>
              <w:spacing w:after="120" w:line="320" w:lineRule="exact"/>
              <w:rPr>
                <w:rFonts w:cs="Traditional Arabic" w:hint="cs"/>
                <w:sz w:val="16"/>
                <w:szCs w:val="26"/>
                <w:rtl/>
              </w:rPr>
            </w:pPr>
            <w:r w:rsidRPr="00987BE9">
              <w:rPr>
                <w:rFonts w:cs="Traditional Arabic" w:hint="cs"/>
                <w:sz w:val="16"/>
                <w:szCs w:val="26"/>
                <w:rtl/>
              </w:rPr>
              <w:t>يحل موعد تقديمه في 14 أيار/</w:t>
            </w:r>
            <w:r w:rsidR="00781EE0">
              <w:rPr>
                <w:rFonts w:cs="Traditional Arabic" w:hint="cs"/>
                <w:sz w:val="16"/>
                <w:szCs w:val="26"/>
                <w:rtl/>
              </w:rPr>
              <w:t xml:space="preserve"> </w:t>
            </w:r>
            <w:r w:rsidRPr="00987BE9">
              <w:rPr>
                <w:rFonts w:cs="Traditional Arabic" w:hint="cs"/>
                <w:sz w:val="16"/>
                <w:szCs w:val="26"/>
                <w:rtl/>
              </w:rPr>
              <w:t>مايو 2014</w:t>
            </w:r>
          </w:p>
        </w:tc>
      </w:tr>
      <w:tr w:rsidR="00987BE9" w:rsidRPr="00987BE9" w:rsidTr="00F50F4E">
        <w:trPr>
          <w:cantSplit/>
        </w:trPr>
        <w:tc>
          <w:tcPr>
            <w:tcW w:w="2054" w:type="dxa"/>
            <w:tcBorders>
              <w:bottom w:val="single" w:sz="12" w:space="0" w:color="auto"/>
            </w:tcBorders>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اليونان* (1988)</w:t>
            </w:r>
          </w:p>
        </w:tc>
        <w:tc>
          <w:tcPr>
            <w:tcW w:w="2029" w:type="dxa"/>
            <w:tcBorders>
              <w:bottom w:val="single" w:sz="12" w:space="0" w:color="auto"/>
            </w:tcBorders>
          </w:tcPr>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الخامس والسادس</w:t>
            </w:r>
          </w:p>
          <w:p w:rsidR="00987BE9" w:rsidRPr="00987BE9" w:rsidRDefault="00987BE9" w:rsidP="00987BE9">
            <w:pPr>
              <w:spacing w:line="320" w:lineRule="exact"/>
              <w:rPr>
                <w:rFonts w:cs="Traditional Arabic" w:hint="cs"/>
                <w:spacing w:val="-4"/>
                <w:sz w:val="16"/>
                <w:szCs w:val="26"/>
                <w:rtl/>
              </w:rPr>
            </w:pPr>
            <w:r w:rsidRPr="00987BE9">
              <w:rPr>
                <w:rFonts w:cs="Traditional Arabic" w:hint="cs"/>
                <w:spacing w:val="-4"/>
                <w:sz w:val="16"/>
                <w:szCs w:val="26"/>
                <w:rtl/>
              </w:rPr>
              <w:t>أيار/مايو 2012</w:t>
            </w:r>
          </w:p>
        </w:tc>
        <w:tc>
          <w:tcPr>
            <w:tcW w:w="2044" w:type="dxa"/>
            <w:tcBorders>
              <w:bottom w:val="single" w:sz="12" w:space="0" w:color="auto"/>
            </w:tcBorders>
          </w:tcPr>
          <w:p w:rsidR="00987BE9" w:rsidRPr="00781EE0" w:rsidRDefault="00781EE0" w:rsidP="00CC3672">
            <w:pPr>
              <w:spacing w:line="320" w:lineRule="exact"/>
              <w:ind w:left="57" w:right="57"/>
              <w:jc w:val="left"/>
              <w:rPr>
                <w:rFonts w:cs="Traditional Arabic" w:hint="cs"/>
                <w:spacing w:val="-4"/>
                <w:sz w:val="16"/>
                <w:szCs w:val="26"/>
                <w:rtl/>
              </w:rPr>
            </w:pPr>
            <w:r>
              <w:rPr>
                <w:rFonts w:cs="Traditional Arabic" w:hint="cs"/>
                <w:spacing w:val="-4"/>
                <w:sz w:val="16"/>
                <w:szCs w:val="26"/>
                <w:rtl/>
              </w:rPr>
              <w:t>-</w:t>
            </w:r>
          </w:p>
        </w:tc>
        <w:tc>
          <w:tcPr>
            <w:tcW w:w="2389" w:type="dxa"/>
            <w:tcBorders>
              <w:bottom w:val="single" w:sz="12" w:space="0" w:color="auto"/>
            </w:tcBorders>
          </w:tcPr>
          <w:p w:rsidR="00987BE9" w:rsidRPr="00987BE9" w:rsidRDefault="00987BE9" w:rsidP="00987BE9">
            <w:pPr>
              <w:spacing w:line="320" w:lineRule="exact"/>
              <w:rPr>
                <w:rFonts w:cs="Traditional Arabic" w:hint="cs"/>
                <w:sz w:val="16"/>
                <w:szCs w:val="26"/>
                <w:rtl/>
              </w:rPr>
            </w:pPr>
            <w:r w:rsidRPr="00987BE9">
              <w:rPr>
                <w:rFonts w:cs="Traditional Arabic" w:hint="cs"/>
                <w:sz w:val="16"/>
                <w:szCs w:val="26"/>
                <w:rtl/>
              </w:rPr>
              <w:t>السابع</w:t>
            </w:r>
          </w:p>
          <w:p w:rsidR="00987BE9" w:rsidRPr="00987BE9" w:rsidRDefault="00781EE0" w:rsidP="00781EE0">
            <w:pPr>
              <w:spacing w:after="120" w:line="320" w:lineRule="exact"/>
              <w:rPr>
                <w:rFonts w:cs="Traditional Arabic" w:hint="cs"/>
                <w:sz w:val="16"/>
                <w:szCs w:val="26"/>
                <w:rtl/>
              </w:rPr>
            </w:pPr>
            <w:r>
              <w:rPr>
                <w:rFonts w:cs="Traditional Arabic" w:hint="cs"/>
                <w:sz w:val="16"/>
                <w:szCs w:val="26"/>
                <w:rtl/>
              </w:rPr>
              <w:t>يحل موعد تقديمه في 1 حزيران</w:t>
            </w:r>
            <w:r w:rsidR="00987BE9" w:rsidRPr="00987BE9">
              <w:rPr>
                <w:rFonts w:cs="Traditional Arabic" w:hint="cs"/>
                <w:sz w:val="16"/>
                <w:szCs w:val="26"/>
                <w:rtl/>
              </w:rPr>
              <w:t>/</w:t>
            </w:r>
            <w:r>
              <w:rPr>
                <w:rFonts w:cs="Traditional Arabic" w:hint="cs"/>
                <w:sz w:val="16"/>
                <w:szCs w:val="26"/>
                <w:rtl/>
              </w:rPr>
              <w:t xml:space="preserve"> </w:t>
            </w:r>
            <w:r w:rsidR="00987BE9" w:rsidRPr="00987BE9">
              <w:rPr>
                <w:rFonts w:cs="Traditional Arabic" w:hint="cs"/>
                <w:sz w:val="16"/>
                <w:szCs w:val="26"/>
                <w:rtl/>
              </w:rPr>
              <w:t>يونيه 2016</w:t>
            </w:r>
          </w:p>
        </w:tc>
      </w:tr>
    </w:tbl>
    <w:p w:rsidR="00BC346F" w:rsidRPr="00BC346F" w:rsidRDefault="00761DC0" w:rsidP="00761DC0">
      <w:pPr>
        <w:tabs>
          <w:tab w:val="right" w:pos="1674"/>
          <w:tab w:val="left" w:pos="1968"/>
        </w:tabs>
        <w:bidi/>
        <w:spacing w:before="120" w:after="60" w:line="300" w:lineRule="exact"/>
        <w:ind w:left="1968" w:hanging="726"/>
        <w:rPr>
          <w:rFonts w:cs="Traditional Arabic" w:hint="cs"/>
          <w:sz w:val="18"/>
          <w:szCs w:val="26"/>
          <w:rtl/>
        </w:rPr>
      </w:pPr>
      <w:r>
        <w:rPr>
          <w:rFonts w:cs="Traditional Arabic" w:hint="cs"/>
          <w:sz w:val="18"/>
          <w:szCs w:val="26"/>
          <w:rtl/>
        </w:rPr>
        <w:tab/>
      </w:r>
      <w:r w:rsidR="00BC346F" w:rsidRPr="00BC346F">
        <w:rPr>
          <w:rFonts w:cs="Traditional Arabic" w:hint="cs"/>
          <w:sz w:val="18"/>
          <w:szCs w:val="26"/>
          <w:rtl/>
        </w:rPr>
        <w:t>*</w:t>
      </w:r>
      <w:r w:rsidR="00BC346F">
        <w:rPr>
          <w:rFonts w:cs="Traditional Arabic" w:hint="cs"/>
          <w:sz w:val="18"/>
          <w:szCs w:val="26"/>
          <w:rtl/>
        </w:rPr>
        <w:tab/>
      </w:r>
      <w:r w:rsidR="00BC346F" w:rsidRPr="00BC346F">
        <w:rPr>
          <w:rFonts w:cs="Traditional Arabic" w:hint="cs"/>
          <w:sz w:val="18"/>
          <w:szCs w:val="26"/>
          <w:rtl/>
        </w:rPr>
        <w:t>الدول الأطراف التي أعلنت قبولها للإجراء الاختياري لتقديم التقارير.</w:t>
      </w:r>
    </w:p>
    <w:p w:rsidR="00BC346F" w:rsidRPr="00BC346F" w:rsidRDefault="00761DC0" w:rsidP="00761DC0">
      <w:pPr>
        <w:tabs>
          <w:tab w:val="right" w:pos="1674"/>
          <w:tab w:val="left" w:pos="1968"/>
        </w:tabs>
        <w:bidi/>
        <w:spacing w:after="60" w:line="300" w:lineRule="exact"/>
        <w:ind w:left="1968" w:hanging="726"/>
        <w:rPr>
          <w:rFonts w:cs="Traditional Arabic" w:hint="cs"/>
          <w:sz w:val="18"/>
          <w:szCs w:val="26"/>
          <w:rtl/>
        </w:rPr>
      </w:pPr>
      <w:r>
        <w:rPr>
          <w:rFonts w:cs="Traditional Arabic" w:hint="cs"/>
          <w:sz w:val="18"/>
          <w:szCs w:val="26"/>
          <w:rtl/>
        </w:rPr>
        <w:tab/>
      </w:r>
      <w:r w:rsidR="00BC346F" w:rsidRPr="00BC346F">
        <w:rPr>
          <w:rFonts w:cs="Traditional Arabic" w:hint="cs"/>
          <w:sz w:val="18"/>
          <w:szCs w:val="26"/>
          <w:rtl/>
        </w:rPr>
        <w:t>**</w:t>
      </w:r>
      <w:r w:rsidR="00BC346F">
        <w:rPr>
          <w:rFonts w:cs="Traditional Arabic" w:hint="cs"/>
          <w:sz w:val="18"/>
          <w:szCs w:val="26"/>
          <w:rtl/>
        </w:rPr>
        <w:tab/>
      </w:r>
      <w:r w:rsidR="00BC346F" w:rsidRPr="00BC346F">
        <w:rPr>
          <w:rFonts w:cs="Traditional Arabic" w:hint="cs"/>
          <w:sz w:val="18"/>
          <w:szCs w:val="26"/>
          <w:rtl/>
        </w:rPr>
        <w:t xml:space="preserve">انظر </w:t>
      </w:r>
      <w:r w:rsidR="00BC346F" w:rsidRPr="00BC346F">
        <w:rPr>
          <w:rFonts w:cs="Traditional Arabic" w:hint="cs"/>
          <w:i/>
          <w:iCs/>
          <w:sz w:val="18"/>
          <w:szCs w:val="26"/>
          <w:rtl/>
        </w:rPr>
        <w:t>الوثائق الرسمية للجمعية العامة، الدورة التاسعة والأربعون، الملحق رقم 44</w:t>
      </w:r>
      <w:r w:rsidR="00BC346F" w:rsidRPr="00BC346F">
        <w:rPr>
          <w:rFonts w:cs="Traditional Arabic" w:hint="cs"/>
          <w:sz w:val="18"/>
          <w:szCs w:val="26"/>
          <w:rtl/>
        </w:rPr>
        <w:t xml:space="preserve"> </w:t>
      </w:r>
      <w:r w:rsidR="00BC346F" w:rsidRPr="00BC346F">
        <w:rPr>
          <w:rFonts w:cs="Traditional Arabic"/>
          <w:sz w:val="18"/>
          <w:szCs w:val="26"/>
        </w:rPr>
        <w:t>(A/49/44)</w:t>
      </w:r>
      <w:r w:rsidR="00BC346F" w:rsidRPr="00BC346F">
        <w:rPr>
          <w:rFonts w:cs="Traditional Arabic" w:hint="cs"/>
          <w:sz w:val="18"/>
          <w:szCs w:val="26"/>
          <w:rtl/>
        </w:rPr>
        <w:t>، الفقرة 46.</w:t>
      </w:r>
    </w:p>
    <w:p w:rsidR="00BC346F" w:rsidRDefault="00761DC0" w:rsidP="00761DC0">
      <w:pPr>
        <w:tabs>
          <w:tab w:val="right" w:pos="1674"/>
          <w:tab w:val="left" w:pos="1968"/>
        </w:tabs>
        <w:bidi/>
        <w:spacing w:after="60" w:line="300" w:lineRule="exact"/>
        <w:ind w:left="1968" w:hanging="726"/>
        <w:rPr>
          <w:rFonts w:cs="Traditional Arabic" w:hint="cs"/>
          <w:sz w:val="18"/>
          <w:szCs w:val="26"/>
          <w:rtl/>
        </w:rPr>
      </w:pPr>
      <w:r>
        <w:rPr>
          <w:rFonts w:cs="Traditional Arabic" w:hint="cs"/>
          <w:sz w:val="18"/>
          <w:szCs w:val="26"/>
          <w:rtl/>
        </w:rPr>
        <w:tab/>
      </w:r>
      <w:r w:rsidR="00BC346F" w:rsidRPr="00BC346F">
        <w:rPr>
          <w:rFonts w:cs="Traditional Arabic" w:hint="cs"/>
          <w:sz w:val="18"/>
          <w:szCs w:val="26"/>
          <w:rtl/>
        </w:rPr>
        <w:t>***</w:t>
      </w:r>
      <w:r w:rsidR="00BC346F">
        <w:rPr>
          <w:rFonts w:cs="Traditional Arabic" w:hint="cs"/>
          <w:sz w:val="18"/>
          <w:szCs w:val="26"/>
          <w:rtl/>
        </w:rPr>
        <w:tab/>
      </w:r>
      <w:r w:rsidR="00BC346F" w:rsidRPr="00BC346F">
        <w:rPr>
          <w:rFonts w:cs="Traditional Arabic" w:hint="cs"/>
          <w:sz w:val="18"/>
          <w:szCs w:val="26"/>
          <w:rtl/>
        </w:rPr>
        <w:t>ست</w:t>
      </w:r>
      <w:r w:rsidR="00BE6C28">
        <w:rPr>
          <w:rFonts w:cs="Traditional Arabic" w:hint="cs"/>
          <w:sz w:val="18"/>
          <w:szCs w:val="26"/>
          <w:rtl/>
        </w:rPr>
        <w:t>قدم الدولة الطرف تقرير</w:t>
      </w:r>
      <w:r w:rsidR="00BC346F">
        <w:rPr>
          <w:rFonts w:cs="Traditional Arabic" w:hint="cs"/>
          <w:sz w:val="18"/>
          <w:szCs w:val="26"/>
          <w:rtl/>
        </w:rPr>
        <w:t>ا</w:t>
      </w:r>
      <w:r w:rsidR="00BE6C28">
        <w:rPr>
          <w:rFonts w:cs="Traditional Arabic" w:hint="cs"/>
          <w:sz w:val="18"/>
          <w:szCs w:val="26"/>
          <w:rtl/>
        </w:rPr>
        <w:t>ً</w:t>
      </w:r>
      <w:r w:rsidR="00BC346F">
        <w:rPr>
          <w:rFonts w:cs="Traditional Arabic" w:hint="cs"/>
          <w:sz w:val="18"/>
          <w:szCs w:val="26"/>
          <w:rtl/>
        </w:rPr>
        <w:t xml:space="preserve"> محدَّث</w:t>
      </w:r>
      <w:r w:rsidR="00BC346F" w:rsidRPr="00BC346F">
        <w:rPr>
          <w:rFonts w:cs="Traditional Arabic" w:hint="cs"/>
          <w:sz w:val="18"/>
          <w:szCs w:val="26"/>
          <w:rtl/>
        </w:rPr>
        <w:t>ا</w:t>
      </w:r>
      <w:r w:rsidR="00BC346F">
        <w:rPr>
          <w:rFonts w:cs="Traditional Arabic" w:hint="cs"/>
          <w:sz w:val="18"/>
          <w:szCs w:val="26"/>
          <w:rtl/>
        </w:rPr>
        <w:t>ً إضافيّ</w:t>
      </w:r>
      <w:r w:rsidR="00BC346F" w:rsidRPr="00BC346F">
        <w:rPr>
          <w:rFonts w:cs="Traditional Arabic" w:hint="cs"/>
          <w:sz w:val="18"/>
          <w:szCs w:val="26"/>
          <w:rtl/>
        </w:rPr>
        <w:t>ا</w:t>
      </w:r>
      <w:r w:rsidR="00BC346F">
        <w:rPr>
          <w:rFonts w:cs="Traditional Arabic" w:hint="cs"/>
          <w:sz w:val="18"/>
          <w:szCs w:val="26"/>
          <w:rtl/>
        </w:rPr>
        <w:t>ً</w:t>
      </w:r>
      <w:r w:rsidR="00BC346F" w:rsidRPr="00BC346F">
        <w:rPr>
          <w:rFonts w:cs="Traditional Arabic" w:hint="cs"/>
          <w:sz w:val="18"/>
          <w:szCs w:val="26"/>
          <w:rtl/>
        </w:rPr>
        <w:t>.</w:t>
      </w:r>
    </w:p>
    <w:p w:rsidR="00BC346F" w:rsidRPr="00D731BA" w:rsidRDefault="00631BFA" w:rsidP="00BC346F">
      <w:pPr>
        <w:pStyle w:val="HChGA"/>
        <w:spacing w:before="120"/>
        <w:rPr>
          <w:rFonts w:ascii="Times New Roman Bold" w:hAnsi="Times New Roman Bold" w:hint="cs"/>
          <w:rtl/>
        </w:rPr>
      </w:pPr>
      <w:r>
        <w:rPr>
          <w:rFonts w:eastAsia="SimSun"/>
          <w:b w:val="0"/>
          <w:bCs w:val="0"/>
          <w:rtl/>
          <w:lang w:eastAsia="zh-CN"/>
        </w:rPr>
        <w:br w:type="page"/>
      </w:r>
      <w:r w:rsidR="00BC346F" w:rsidRPr="00D731BA">
        <w:rPr>
          <w:rFonts w:ascii="Times New Roman Bold" w:hAnsi="Times New Roman Bold" w:hint="cs"/>
          <w:rtl/>
        </w:rPr>
        <w:t xml:space="preserve">المرفق </w:t>
      </w:r>
      <w:r w:rsidR="00BC346F">
        <w:rPr>
          <w:rFonts w:ascii="Times New Roman Bold" w:hAnsi="Times New Roman Bold" w:hint="cs"/>
          <w:rtl/>
        </w:rPr>
        <w:t>السادس</w:t>
      </w:r>
      <w:r w:rsidR="00BC346F" w:rsidRPr="00D731BA">
        <w:rPr>
          <w:rFonts w:ascii="Times New Roman Bold" w:hAnsi="Times New Roman Bold" w:hint="cs"/>
          <w:rtl/>
        </w:rPr>
        <w:t xml:space="preserve"> عشر</w:t>
      </w:r>
    </w:p>
    <w:p w:rsidR="00BC346F" w:rsidRPr="00D731BA" w:rsidRDefault="00BC346F" w:rsidP="00B81503">
      <w:pPr>
        <w:pStyle w:val="HChGA"/>
        <w:spacing w:before="240"/>
        <w:rPr>
          <w:rFonts w:hint="cs"/>
          <w:w w:val="94"/>
          <w:rtl/>
        </w:rPr>
      </w:pPr>
      <w:r w:rsidRPr="00D731BA">
        <w:rPr>
          <w:rFonts w:hint="cs"/>
          <w:w w:val="94"/>
          <w:rtl/>
        </w:rPr>
        <w:tab/>
      </w:r>
      <w:r w:rsidRPr="00D731BA">
        <w:rPr>
          <w:rFonts w:hint="cs"/>
          <w:w w:val="94"/>
          <w:rtl/>
        </w:rPr>
        <w:tab/>
      </w:r>
      <w:r w:rsidRPr="00D731BA">
        <w:rPr>
          <w:w w:val="94"/>
          <w:rtl/>
        </w:rPr>
        <w:t>المقررون القطريون المعنيون بتقارير الدول الأطراف</w:t>
      </w:r>
      <w:r w:rsidRPr="00D731BA">
        <w:rPr>
          <w:rFonts w:hint="cs"/>
          <w:w w:val="94"/>
          <w:rtl/>
        </w:rPr>
        <w:t xml:space="preserve"> </w:t>
      </w:r>
      <w:r w:rsidRPr="00D731BA">
        <w:rPr>
          <w:w w:val="94"/>
          <w:rtl/>
        </w:rPr>
        <w:t xml:space="preserve">التي نظرت فيها اللجنة في دورتيها </w:t>
      </w:r>
      <w:r>
        <w:rPr>
          <w:rFonts w:hint="cs"/>
          <w:w w:val="94"/>
          <w:rtl/>
        </w:rPr>
        <w:t>التاسعة</w:t>
      </w:r>
      <w:r w:rsidRPr="00D731BA">
        <w:rPr>
          <w:rFonts w:hint="cs"/>
          <w:w w:val="94"/>
          <w:rtl/>
        </w:rPr>
        <w:t xml:space="preserve"> والأربعين </w:t>
      </w:r>
      <w:r>
        <w:rPr>
          <w:rFonts w:hint="cs"/>
          <w:w w:val="94"/>
          <w:rtl/>
        </w:rPr>
        <w:t>والخمسين</w:t>
      </w:r>
      <w:r w:rsidRPr="00D731BA">
        <w:rPr>
          <w:rFonts w:hint="cs"/>
          <w:w w:val="94"/>
          <w:rtl/>
        </w:rPr>
        <w:t xml:space="preserve"> </w:t>
      </w:r>
      <w:r w:rsidRPr="00D731BA">
        <w:rPr>
          <w:w w:val="94"/>
          <w:sz w:val="36"/>
          <w:szCs w:val="36"/>
          <w:rtl/>
        </w:rPr>
        <w:t xml:space="preserve">(بحسب </w:t>
      </w:r>
      <w:r w:rsidRPr="00D731BA">
        <w:rPr>
          <w:rFonts w:hint="cs"/>
          <w:w w:val="94"/>
          <w:sz w:val="36"/>
          <w:szCs w:val="36"/>
          <w:rtl/>
        </w:rPr>
        <w:t>ال</w:t>
      </w:r>
      <w:r w:rsidRPr="00D731BA">
        <w:rPr>
          <w:w w:val="94"/>
          <w:sz w:val="36"/>
          <w:szCs w:val="36"/>
          <w:rtl/>
        </w:rPr>
        <w:t xml:space="preserve">ترتيب </w:t>
      </w:r>
      <w:r w:rsidRPr="00D731BA">
        <w:rPr>
          <w:rFonts w:hint="cs"/>
          <w:w w:val="94"/>
          <w:sz w:val="36"/>
          <w:szCs w:val="36"/>
          <w:rtl/>
        </w:rPr>
        <w:t>الأبجدي</w:t>
      </w:r>
      <w:r w:rsidRPr="00D731BA">
        <w:rPr>
          <w:w w:val="94"/>
          <w:sz w:val="36"/>
          <w:szCs w:val="36"/>
          <w:rtl/>
        </w:rPr>
        <w:t>)</w:t>
      </w:r>
    </w:p>
    <w:p w:rsidR="00BC346F" w:rsidRPr="00D731BA" w:rsidRDefault="00BC346F" w:rsidP="00BC346F">
      <w:pPr>
        <w:pStyle w:val="H1GA"/>
        <w:rPr>
          <w:rFonts w:hint="cs"/>
          <w:rtl/>
        </w:rPr>
      </w:pPr>
      <w:r w:rsidRPr="00D731BA">
        <w:rPr>
          <w:rFonts w:hint="cs"/>
          <w:rtl/>
        </w:rPr>
        <w:tab/>
      </w:r>
      <w:r w:rsidRPr="00D731BA">
        <w:rPr>
          <w:rtl/>
        </w:rPr>
        <w:t>ألف-</w:t>
      </w:r>
      <w:r w:rsidRPr="00D731BA">
        <w:rPr>
          <w:rFonts w:hint="cs"/>
          <w:rtl/>
        </w:rPr>
        <w:tab/>
      </w:r>
      <w:r w:rsidRPr="00D731BA">
        <w:rPr>
          <w:rtl/>
        </w:rPr>
        <w:t xml:space="preserve">الدورة </w:t>
      </w:r>
      <w:r>
        <w:rPr>
          <w:rFonts w:hint="cs"/>
          <w:rtl/>
        </w:rPr>
        <w:t>التاسع</w:t>
      </w:r>
      <w:r w:rsidRPr="00D731BA">
        <w:rPr>
          <w:rFonts w:hint="cs"/>
          <w:rtl/>
        </w:rPr>
        <w:t>ة والأربعون</w:t>
      </w:r>
    </w:p>
    <w:tbl>
      <w:tblPr>
        <w:bidiVisual/>
        <w:tblW w:w="7178" w:type="dxa"/>
        <w:tblInd w:w="1238" w:type="dxa"/>
        <w:tblCellMar>
          <w:left w:w="0" w:type="dxa"/>
          <w:right w:w="0" w:type="dxa"/>
        </w:tblCellMar>
        <w:tblLook w:val="0000"/>
      </w:tblPr>
      <w:tblGrid>
        <w:gridCol w:w="3389"/>
        <w:gridCol w:w="2212"/>
        <w:gridCol w:w="1577"/>
      </w:tblGrid>
      <w:tr w:rsidR="00BC346F" w:rsidRPr="00BC346F" w:rsidTr="00BC346F">
        <w:tblPrEx>
          <w:tblCellMar>
            <w:top w:w="0" w:type="dxa"/>
            <w:bottom w:w="0" w:type="dxa"/>
          </w:tblCellMar>
        </w:tblPrEx>
        <w:trPr>
          <w:trHeight w:val="330"/>
        </w:trPr>
        <w:tc>
          <w:tcPr>
            <w:tcW w:w="3389" w:type="dxa"/>
            <w:tcBorders>
              <w:top w:val="single" w:sz="4" w:space="0" w:color="auto"/>
              <w:bottom w:val="single" w:sz="12" w:space="0" w:color="auto"/>
            </w:tcBorders>
          </w:tcPr>
          <w:p w:rsidR="00BC346F" w:rsidRPr="00BC346F" w:rsidRDefault="00BC346F" w:rsidP="00BC346F">
            <w:pPr>
              <w:bidi/>
              <w:spacing w:before="40" w:after="60" w:line="300" w:lineRule="exact"/>
              <w:ind w:left="57" w:right="57"/>
              <w:jc w:val="lowKashida"/>
              <w:rPr>
                <w:rFonts w:cs="Traditional Arabic" w:hint="cs"/>
                <w:i/>
                <w:iCs/>
                <w:sz w:val="18"/>
                <w:szCs w:val="28"/>
                <w:rtl/>
              </w:rPr>
            </w:pPr>
            <w:r w:rsidRPr="00BC346F">
              <w:rPr>
                <w:rFonts w:cs="Traditional Arabic" w:hint="cs"/>
                <w:i/>
                <w:iCs/>
                <w:sz w:val="18"/>
                <w:szCs w:val="28"/>
                <w:rtl/>
              </w:rPr>
              <w:t>التقرير</w:t>
            </w:r>
          </w:p>
        </w:tc>
        <w:tc>
          <w:tcPr>
            <w:tcW w:w="2212" w:type="dxa"/>
            <w:tcBorders>
              <w:top w:val="single" w:sz="4" w:space="0" w:color="auto"/>
              <w:bottom w:val="single" w:sz="12" w:space="0" w:color="auto"/>
            </w:tcBorders>
          </w:tcPr>
          <w:p w:rsidR="00BC346F" w:rsidRPr="00BC346F" w:rsidRDefault="00BC346F" w:rsidP="00BC346F">
            <w:pPr>
              <w:bidi/>
              <w:spacing w:before="40" w:after="60" w:line="300" w:lineRule="exact"/>
              <w:ind w:left="57" w:right="57"/>
              <w:jc w:val="lowKashida"/>
              <w:rPr>
                <w:rFonts w:cs="Traditional Arabic" w:hint="cs"/>
                <w:i/>
                <w:iCs/>
                <w:sz w:val="18"/>
                <w:szCs w:val="28"/>
                <w:rtl/>
              </w:rPr>
            </w:pPr>
            <w:r w:rsidRPr="00BC346F">
              <w:rPr>
                <w:rFonts w:cs="Traditional Arabic" w:hint="cs"/>
                <w:i/>
                <w:iCs/>
                <w:sz w:val="18"/>
                <w:szCs w:val="28"/>
                <w:rtl/>
              </w:rPr>
              <w:t>المقرر 1</w:t>
            </w:r>
          </w:p>
        </w:tc>
        <w:tc>
          <w:tcPr>
            <w:tcW w:w="1577" w:type="dxa"/>
            <w:tcBorders>
              <w:top w:val="single" w:sz="4" w:space="0" w:color="auto"/>
              <w:bottom w:val="single" w:sz="12" w:space="0" w:color="auto"/>
            </w:tcBorders>
          </w:tcPr>
          <w:p w:rsidR="00BC346F" w:rsidRPr="00BC346F" w:rsidRDefault="00BC346F" w:rsidP="00BC346F">
            <w:pPr>
              <w:bidi/>
              <w:spacing w:before="40" w:after="60" w:line="300" w:lineRule="exact"/>
              <w:ind w:left="57" w:right="57"/>
              <w:jc w:val="lowKashida"/>
              <w:rPr>
                <w:rFonts w:cs="Traditional Arabic" w:hint="cs"/>
                <w:i/>
                <w:iCs/>
                <w:sz w:val="18"/>
                <w:szCs w:val="28"/>
                <w:rtl/>
              </w:rPr>
            </w:pPr>
            <w:r w:rsidRPr="00BC346F">
              <w:rPr>
                <w:rFonts w:cs="Traditional Arabic" w:hint="cs"/>
                <w:i/>
                <w:iCs/>
                <w:sz w:val="18"/>
                <w:szCs w:val="28"/>
                <w:rtl/>
              </w:rPr>
              <w:t>المقرر 2</w:t>
            </w:r>
          </w:p>
        </w:tc>
      </w:tr>
      <w:tr w:rsidR="00BC346F" w:rsidRPr="00BC346F" w:rsidTr="00BC346F">
        <w:tblPrEx>
          <w:tblCellMar>
            <w:top w:w="0" w:type="dxa"/>
            <w:bottom w:w="0" w:type="dxa"/>
          </w:tblCellMar>
        </w:tblPrEx>
        <w:tc>
          <w:tcPr>
            <w:tcW w:w="3389" w:type="dxa"/>
            <w:tcBorders>
              <w:top w:val="single" w:sz="12" w:space="0" w:color="auto"/>
            </w:tcBorders>
          </w:tcPr>
          <w:p w:rsidR="00BC346F" w:rsidRPr="00BC346F" w:rsidRDefault="00BC346F" w:rsidP="00BC346F">
            <w:pPr>
              <w:bidi/>
              <w:spacing w:before="40" w:after="60" w:line="300" w:lineRule="exact"/>
              <w:ind w:left="57" w:right="57"/>
              <w:rPr>
                <w:rFonts w:cs="Traditional Arabic" w:hint="cs"/>
                <w:sz w:val="18"/>
                <w:szCs w:val="28"/>
              </w:rPr>
            </w:pPr>
            <w:r w:rsidRPr="00BC346F">
              <w:rPr>
                <w:rFonts w:cs="Traditional Arabic" w:hint="cs"/>
                <w:sz w:val="18"/>
                <w:szCs w:val="28"/>
                <w:rtl/>
              </w:rPr>
              <w:t>الاتحاد الروسي</w:t>
            </w:r>
            <w:r w:rsidRPr="00BC346F">
              <w:rPr>
                <w:rFonts w:cs="Traditional Arabic"/>
                <w:sz w:val="18"/>
                <w:szCs w:val="28"/>
                <w:rtl/>
              </w:rPr>
              <w:br/>
            </w:r>
            <w:r w:rsidRPr="00BC346F">
              <w:rPr>
                <w:rFonts w:cs="Traditional Arabic" w:hint="cs"/>
                <w:sz w:val="18"/>
                <w:szCs w:val="28"/>
                <w:rtl/>
              </w:rPr>
              <w:t>(</w:t>
            </w:r>
            <w:r w:rsidRPr="00BC346F">
              <w:rPr>
                <w:rFonts w:cs="Traditional Arabic"/>
                <w:sz w:val="18"/>
                <w:szCs w:val="28"/>
                <w:lang w:val="en-GB"/>
              </w:rPr>
              <w:t>CAT/C/RUS/5</w:t>
            </w:r>
            <w:r w:rsidRPr="00BC346F">
              <w:rPr>
                <w:rFonts w:cs="Traditional Arabic" w:hint="cs"/>
                <w:sz w:val="18"/>
                <w:szCs w:val="28"/>
                <w:rtl/>
              </w:rPr>
              <w:t>)</w:t>
            </w:r>
          </w:p>
        </w:tc>
        <w:tc>
          <w:tcPr>
            <w:tcW w:w="2212" w:type="dxa"/>
            <w:tcBorders>
              <w:top w:val="single" w:sz="12" w:space="0" w:color="auto"/>
            </w:tcBorders>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 xml:space="preserve">السيد </w:t>
            </w:r>
            <w:r>
              <w:rPr>
                <w:rFonts w:cs="Traditional Arabic" w:hint="cs"/>
                <w:sz w:val="18"/>
                <w:szCs w:val="28"/>
                <w:rtl/>
              </w:rPr>
              <w:t>غا</w:t>
            </w:r>
            <w:r w:rsidRPr="00BC346F">
              <w:rPr>
                <w:rFonts w:cs="Traditional Arabic" w:hint="cs"/>
                <w:sz w:val="18"/>
                <w:szCs w:val="28"/>
                <w:rtl/>
              </w:rPr>
              <w:t>ير</w:t>
            </w:r>
          </w:p>
        </w:tc>
        <w:tc>
          <w:tcPr>
            <w:tcW w:w="1577" w:type="dxa"/>
            <w:tcBorders>
              <w:top w:val="single" w:sz="12" w:space="0" w:color="auto"/>
            </w:tcBorders>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بروني</w:t>
            </w:r>
          </w:p>
        </w:tc>
      </w:tr>
      <w:tr w:rsidR="00BC346F" w:rsidRPr="00BC346F" w:rsidTr="00BC346F">
        <w:tblPrEx>
          <w:tblCellMar>
            <w:top w:w="0" w:type="dxa"/>
            <w:bottom w:w="0" w:type="dxa"/>
          </w:tblCellMar>
        </w:tblPrEx>
        <w:tc>
          <w:tcPr>
            <w:tcW w:w="3389" w:type="dxa"/>
          </w:tcPr>
          <w:p w:rsidR="00BC346F" w:rsidRPr="00BC346F" w:rsidRDefault="00BC346F" w:rsidP="00BC346F">
            <w:pPr>
              <w:bidi/>
              <w:spacing w:before="40" w:after="60" w:line="300" w:lineRule="exact"/>
              <w:ind w:left="57" w:right="57"/>
              <w:rPr>
                <w:rFonts w:cs="Traditional Arabic" w:hint="cs"/>
                <w:sz w:val="18"/>
                <w:szCs w:val="28"/>
                <w:rtl/>
              </w:rPr>
            </w:pPr>
            <w:r w:rsidRPr="00BC346F">
              <w:rPr>
                <w:rFonts w:cs="Traditional Arabic" w:hint="cs"/>
                <w:sz w:val="18"/>
                <w:szCs w:val="28"/>
                <w:rtl/>
              </w:rPr>
              <w:t>بيرو</w:t>
            </w:r>
            <w:r w:rsidRPr="00BC346F">
              <w:rPr>
                <w:rFonts w:cs="Traditional Arabic"/>
                <w:sz w:val="18"/>
                <w:szCs w:val="28"/>
                <w:rtl/>
              </w:rPr>
              <w:br/>
            </w:r>
            <w:r w:rsidRPr="00BC346F">
              <w:rPr>
                <w:rFonts w:cs="Traditional Arabic" w:hint="cs"/>
                <w:sz w:val="18"/>
                <w:szCs w:val="28"/>
                <w:rtl/>
              </w:rPr>
              <w:t>(</w:t>
            </w:r>
            <w:r w:rsidRPr="00BC346F">
              <w:rPr>
                <w:rFonts w:cs="Traditional Arabic"/>
                <w:sz w:val="18"/>
                <w:szCs w:val="28"/>
                <w:lang w:val="en-GB"/>
              </w:rPr>
              <w:t>CAT/C/PER/6</w:t>
            </w:r>
            <w:r w:rsidRPr="00BC346F">
              <w:rPr>
                <w:rFonts w:cs="Traditional Arabic" w:hint="cs"/>
                <w:sz w:val="18"/>
                <w:szCs w:val="28"/>
                <w:rtl/>
              </w:rPr>
              <w:t>)</w:t>
            </w:r>
          </w:p>
        </w:tc>
        <w:tc>
          <w:tcPr>
            <w:tcW w:w="2212"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السيدة سفيّاس</w:t>
            </w:r>
          </w:p>
        </w:tc>
        <w:tc>
          <w:tcPr>
            <w:tcW w:w="1577"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وانغ</w:t>
            </w:r>
          </w:p>
        </w:tc>
      </w:tr>
      <w:tr w:rsidR="00BC346F" w:rsidRPr="00BC346F" w:rsidTr="00BC346F">
        <w:tblPrEx>
          <w:tblCellMar>
            <w:top w:w="0" w:type="dxa"/>
            <w:bottom w:w="0" w:type="dxa"/>
          </w:tblCellMar>
        </w:tblPrEx>
        <w:tc>
          <w:tcPr>
            <w:tcW w:w="3389" w:type="dxa"/>
          </w:tcPr>
          <w:p w:rsidR="00BC346F" w:rsidRPr="00BC346F" w:rsidRDefault="00BC346F" w:rsidP="00BC346F">
            <w:pPr>
              <w:bidi/>
              <w:spacing w:before="40" w:after="60" w:line="300" w:lineRule="exact"/>
              <w:ind w:left="57" w:right="57"/>
              <w:rPr>
                <w:rFonts w:cs="Traditional Arabic" w:hint="cs"/>
                <w:sz w:val="18"/>
                <w:szCs w:val="28"/>
                <w:rtl/>
              </w:rPr>
            </w:pPr>
            <w:r w:rsidRPr="00BC346F">
              <w:rPr>
                <w:rFonts w:cs="Traditional Arabic" w:hint="cs"/>
                <w:sz w:val="18"/>
                <w:szCs w:val="28"/>
                <w:rtl/>
              </w:rPr>
              <w:t>توغو</w:t>
            </w:r>
            <w:r w:rsidRPr="00BC346F">
              <w:rPr>
                <w:rFonts w:cs="Traditional Arabic"/>
                <w:sz w:val="18"/>
                <w:szCs w:val="28"/>
                <w:rtl/>
              </w:rPr>
              <w:br/>
            </w:r>
            <w:r w:rsidRPr="00BC346F">
              <w:rPr>
                <w:rFonts w:cs="Traditional Arabic" w:hint="cs"/>
                <w:sz w:val="18"/>
                <w:szCs w:val="28"/>
                <w:rtl/>
              </w:rPr>
              <w:t>(</w:t>
            </w:r>
            <w:r w:rsidRPr="00BC346F">
              <w:rPr>
                <w:rFonts w:cs="Traditional Arabic"/>
                <w:sz w:val="18"/>
                <w:szCs w:val="28"/>
                <w:lang w:val="en-GB"/>
              </w:rPr>
              <w:t>CAT/C/TGO/2</w:t>
            </w:r>
            <w:r w:rsidRPr="00BC346F">
              <w:rPr>
                <w:rFonts w:cs="Traditional Arabic" w:hint="cs"/>
                <w:sz w:val="18"/>
                <w:szCs w:val="28"/>
                <w:rtl/>
              </w:rPr>
              <w:t>)</w:t>
            </w:r>
          </w:p>
        </w:tc>
        <w:tc>
          <w:tcPr>
            <w:tcW w:w="2212"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 xml:space="preserve">السيد بروني </w:t>
            </w:r>
          </w:p>
        </w:tc>
        <w:tc>
          <w:tcPr>
            <w:tcW w:w="1577"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غاي</w:t>
            </w:r>
          </w:p>
        </w:tc>
      </w:tr>
      <w:tr w:rsidR="00BC346F" w:rsidRPr="00BC346F" w:rsidTr="00BC346F">
        <w:tblPrEx>
          <w:tblCellMar>
            <w:top w:w="0" w:type="dxa"/>
            <w:bottom w:w="0" w:type="dxa"/>
          </w:tblCellMar>
        </w:tblPrEx>
        <w:tc>
          <w:tcPr>
            <w:tcW w:w="3389" w:type="dxa"/>
          </w:tcPr>
          <w:p w:rsidR="00BC346F" w:rsidRPr="00BC346F" w:rsidRDefault="00BC346F" w:rsidP="00BC346F">
            <w:pPr>
              <w:bidi/>
              <w:spacing w:before="40" w:after="60" w:line="300" w:lineRule="exact"/>
              <w:ind w:left="57" w:right="57"/>
              <w:rPr>
                <w:rFonts w:cs="Traditional Arabic" w:hint="cs"/>
                <w:spacing w:val="4"/>
                <w:sz w:val="18"/>
                <w:szCs w:val="28"/>
              </w:rPr>
            </w:pPr>
            <w:r w:rsidRPr="00BC346F">
              <w:rPr>
                <w:rFonts w:cs="Traditional Arabic" w:hint="cs"/>
                <w:sz w:val="18"/>
                <w:szCs w:val="28"/>
                <w:rtl/>
              </w:rPr>
              <w:t>طاجيكستان</w:t>
            </w:r>
            <w:r w:rsidRPr="00BC346F">
              <w:rPr>
                <w:rFonts w:cs="Traditional Arabic"/>
                <w:spacing w:val="4"/>
                <w:sz w:val="18"/>
                <w:szCs w:val="28"/>
                <w:rtl/>
              </w:rPr>
              <w:br/>
            </w:r>
            <w:r w:rsidRPr="00BC346F">
              <w:rPr>
                <w:rFonts w:cs="Traditional Arabic" w:hint="cs"/>
                <w:spacing w:val="4"/>
                <w:sz w:val="18"/>
                <w:szCs w:val="28"/>
                <w:rtl/>
              </w:rPr>
              <w:t>(</w:t>
            </w:r>
            <w:r w:rsidRPr="00BC346F">
              <w:rPr>
                <w:rFonts w:cs="Traditional Arabic"/>
                <w:spacing w:val="4"/>
                <w:sz w:val="18"/>
                <w:szCs w:val="28"/>
                <w:lang w:val="en-GB"/>
              </w:rPr>
              <w:t>CAT/C/TJK/2</w:t>
            </w:r>
            <w:r w:rsidRPr="00BC346F">
              <w:rPr>
                <w:rFonts w:cs="Traditional Arabic" w:hint="cs"/>
                <w:spacing w:val="4"/>
                <w:sz w:val="18"/>
                <w:szCs w:val="28"/>
                <w:rtl/>
              </w:rPr>
              <w:t>)</w:t>
            </w:r>
          </w:p>
        </w:tc>
        <w:tc>
          <w:tcPr>
            <w:tcW w:w="2212"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السيدة سفيّاس</w:t>
            </w:r>
          </w:p>
        </w:tc>
        <w:tc>
          <w:tcPr>
            <w:tcW w:w="1577"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السيدة توغوشي</w:t>
            </w:r>
          </w:p>
        </w:tc>
      </w:tr>
      <w:tr w:rsidR="00BC346F" w:rsidRPr="00BC346F" w:rsidTr="00BC346F">
        <w:tblPrEx>
          <w:tblCellMar>
            <w:top w:w="0" w:type="dxa"/>
            <w:bottom w:w="0" w:type="dxa"/>
          </w:tblCellMar>
        </w:tblPrEx>
        <w:tc>
          <w:tcPr>
            <w:tcW w:w="3389" w:type="dxa"/>
          </w:tcPr>
          <w:p w:rsidR="00BC346F" w:rsidRPr="00BC346F" w:rsidRDefault="00BC346F" w:rsidP="00BC346F">
            <w:pPr>
              <w:bidi/>
              <w:spacing w:before="40" w:after="60" w:line="300" w:lineRule="exact"/>
              <w:ind w:left="57" w:right="57"/>
              <w:rPr>
                <w:rFonts w:cs="Traditional Arabic" w:hint="cs"/>
                <w:sz w:val="18"/>
                <w:szCs w:val="28"/>
              </w:rPr>
            </w:pPr>
            <w:r w:rsidRPr="00BC346F">
              <w:rPr>
                <w:rFonts w:cs="Traditional Arabic" w:hint="cs"/>
                <w:sz w:val="18"/>
                <w:szCs w:val="28"/>
                <w:rtl/>
              </w:rPr>
              <w:t>السنغال</w:t>
            </w:r>
            <w:r w:rsidRPr="00BC346F">
              <w:rPr>
                <w:rFonts w:cs="Traditional Arabic"/>
                <w:sz w:val="18"/>
                <w:szCs w:val="28"/>
                <w:rtl/>
              </w:rPr>
              <w:br/>
            </w:r>
            <w:r w:rsidRPr="00BC346F">
              <w:rPr>
                <w:rFonts w:cs="Traditional Arabic" w:hint="cs"/>
                <w:sz w:val="18"/>
                <w:szCs w:val="28"/>
                <w:rtl/>
              </w:rPr>
              <w:t>(</w:t>
            </w:r>
            <w:r w:rsidRPr="00BC346F">
              <w:rPr>
                <w:rFonts w:cs="Traditional Arabic"/>
                <w:sz w:val="18"/>
                <w:szCs w:val="28"/>
                <w:lang w:val="en-GB"/>
              </w:rPr>
              <w:t>CAT/C/SEN/3</w:t>
            </w:r>
            <w:r w:rsidRPr="00BC346F">
              <w:rPr>
                <w:rFonts w:cs="Traditional Arabic" w:hint="cs"/>
                <w:sz w:val="18"/>
                <w:szCs w:val="28"/>
                <w:rtl/>
              </w:rPr>
              <w:t>)</w:t>
            </w:r>
          </w:p>
        </w:tc>
        <w:tc>
          <w:tcPr>
            <w:tcW w:w="2212"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مارينو</w:t>
            </w:r>
          </w:p>
        </w:tc>
        <w:tc>
          <w:tcPr>
            <w:tcW w:w="1577"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غروسمان</w:t>
            </w:r>
          </w:p>
        </w:tc>
      </w:tr>
      <w:tr w:rsidR="00BC346F" w:rsidRPr="00BC346F" w:rsidTr="00BC346F">
        <w:tblPrEx>
          <w:tblCellMar>
            <w:top w:w="0" w:type="dxa"/>
            <w:bottom w:w="0" w:type="dxa"/>
          </w:tblCellMar>
        </w:tblPrEx>
        <w:tc>
          <w:tcPr>
            <w:tcW w:w="3389" w:type="dxa"/>
          </w:tcPr>
          <w:p w:rsidR="00BC346F" w:rsidRPr="00BC346F" w:rsidRDefault="00BC346F" w:rsidP="00BC346F">
            <w:pPr>
              <w:bidi/>
              <w:spacing w:before="40" w:after="60" w:line="300" w:lineRule="exact"/>
              <w:ind w:left="57" w:right="57"/>
              <w:rPr>
                <w:rFonts w:cs="Traditional Arabic" w:hint="cs"/>
                <w:sz w:val="18"/>
                <w:szCs w:val="28"/>
                <w:rtl/>
                <w:lang w:val="es-ES"/>
              </w:rPr>
            </w:pPr>
            <w:r w:rsidRPr="00BC346F">
              <w:rPr>
                <w:rFonts w:cs="Traditional Arabic" w:hint="cs"/>
                <w:sz w:val="18"/>
                <w:szCs w:val="28"/>
                <w:rtl/>
                <w:lang w:val="es-ES"/>
              </w:rPr>
              <w:t>غابون</w:t>
            </w:r>
            <w:r w:rsidRPr="00BC346F">
              <w:rPr>
                <w:rFonts w:cs="Traditional Arabic"/>
                <w:sz w:val="18"/>
                <w:szCs w:val="28"/>
                <w:rtl/>
                <w:lang w:val="es-ES"/>
              </w:rPr>
              <w:br/>
            </w:r>
            <w:r w:rsidRPr="00BC346F">
              <w:rPr>
                <w:rFonts w:cs="Traditional Arabic" w:hint="cs"/>
                <w:sz w:val="18"/>
                <w:szCs w:val="28"/>
                <w:rtl/>
                <w:lang w:val="es-ES"/>
              </w:rPr>
              <w:t>(</w:t>
            </w:r>
            <w:r w:rsidRPr="00BC346F">
              <w:rPr>
                <w:rFonts w:cs="Traditional Arabic"/>
                <w:sz w:val="18"/>
                <w:szCs w:val="28"/>
                <w:lang w:val="en-GB"/>
              </w:rPr>
              <w:t>CAT/C/GAB/1</w:t>
            </w:r>
            <w:r w:rsidRPr="00BC346F">
              <w:rPr>
                <w:rFonts w:cs="Traditional Arabic" w:hint="cs"/>
                <w:sz w:val="18"/>
                <w:szCs w:val="28"/>
                <w:rtl/>
                <w:lang w:val="es-ES"/>
              </w:rPr>
              <w:t>)</w:t>
            </w:r>
          </w:p>
        </w:tc>
        <w:tc>
          <w:tcPr>
            <w:tcW w:w="2212"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السيدة بلمير</w:t>
            </w:r>
          </w:p>
        </w:tc>
        <w:tc>
          <w:tcPr>
            <w:tcW w:w="1577"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دوماه</w:t>
            </w:r>
          </w:p>
        </w:tc>
      </w:tr>
      <w:tr w:rsidR="00BC346F" w:rsidRPr="00BC346F" w:rsidTr="00BC346F">
        <w:tblPrEx>
          <w:tblCellMar>
            <w:top w:w="0" w:type="dxa"/>
            <w:bottom w:w="0" w:type="dxa"/>
          </w:tblCellMar>
        </w:tblPrEx>
        <w:tc>
          <w:tcPr>
            <w:tcW w:w="3389" w:type="dxa"/>
          </w:tcPr>
          <w:p w:rsidR="00BC346F" w:rsidRPr="00BC346F" w:rsidRDefault="00BC346F" w:rsidP="00BC346F">
            <w:pPr>
              <w:bidi/>
              <w:spacing w:before="40" w:after="60" w:line="300" w:lineRule="exact"/>
              <w:ind w:left="57" w:right="57"/>
              <w:rPr>
                <w:rFonts w:cs="Traditional Arabic" w:hint="cs"/>
                <w:sz w:val="18"/>
                <w:szCs w:val="28"/>
                <w:rtl/>
              </w:rPr>
            </w:pPr>
            <w:r w:rsidRPr="00BC346F">
              <w:rPr>
                <w:rFonts w:cs="Traditional Arabic" w:hint="cs"/>
                <w:sz w:val="18"/>
                <w:szCs w:val="28"/>
                <w:rtl/>
                <w:lang w:val="es-ES"/>
              </w:rPr>
              <w:t>قطر</w:t>
            </w:r>
            <w:r w:rsidRPr="00BC346F">
              <w:rPr>
                <w:rFonts w:cs="Traditional Arabic"/>
                <w:sz w:val="18"/>
                <w:szCs w:val="28"/>
                <w:rtl/>
                <w:lang w:val="es-ES"/>
              </w:rPr>
              <w:br/>
            </w:r>
            <w:r w:rsidRPr="00BC346F">
              <w:rPr>
                <w:rFonts w:cs="Traditional Arabic" w:hint="cs"/>
                <w:sz w:val="18"/>
                <w:szCs w:val="28"/>
                <w:rtl/>
                <w:lang w:val="es-ES"/>
              </w:rPr>
              <w:t>(</w:t>
            </w:r>
            <w:r w:rsidRPr="00BC346F">
              <w:rPr>
                <w:rFonts w:cs="Traditional Arabic"/>
                <w:sz w:val="18"/>
                <w:szCs w:val="28"/>
                <w:lang w:val="en-GB"/>
              </w:rPr>
              <w:t>CAT/C/QAT/2/Rev.1</w:t>
            </w:r>
            <w:r w:rsidRPr="00BC346F">
              <w:rPr>
                <w:rFonts w:cs="Traditional Arabic" w:hint="cs"/>
                <w:sz w:val="18"/>
                <w:szCs w:val="28"/>
                <w:rtl/>
                <w:lang w:val="es-ES"/>
              </w:rPr>
              <w:t>)</w:t>
            </w:r>
          </w:p>
        </w:tc>
        <w:tc>
          <w:tcPr>
            <w:tcW w:w="2212"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 xml:space="preserve">السيد </w:t>
            </w:r>
            <w:r w:rsidR="00BE6C28">
              <w:rPr>
                <w:rFonts w:cs="Traditional Arabic" w:hint="cs"/>
                <w:sz w:val="18"/>
                <w:szCs w:val="28"/>
                <w:rtl/>
              </w:rPr>
              <w:t>غا</w:t>
            </w:r>
            <w:r w:rsidRPr="00BC346F">
              <w:rPr>
                <w:rFonts w:cs="Traditional Arabic" w:hint="cs"/>
                <w:sz w:val="18"/>
                <w:szCs w:val="28"/>
                <w:rtl/>
              </w:rPr>
              <w:t>ير</w:t>
            </w:r>
          </w:p>
        </w:tc>
        <w:tc>
          <w:tcPr>
            <w:tcW w:w="1577"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السيدة بلمير</w:t>
            </w:r>
          </w:p>
        </w:tc>
      </w:tr>
      <w:tr w:rsidR="00BC346F" w:rsidRPr="00BC346F" w:rsidTr="00BC346F">
        <w:tblPrEx>
          <w:tblCellMar>
            <w:top w:w="0" w:type="dxa"/>
            <w:bottom w:w="0" w:type="dxa"/>
          </w:tblCellMar>
        </w:tblPrEx>
        <w:tc>
          <w:tcPr>
            <w:tcW w:w="3389" w:type="dxa"/>
          </w:tcPr>
          <w:p w:rsidR="00BC346F" w:rsidRPr="00BC346F" w:rsidRDefault="00BC346F" w:rsidP="00BC346F">
            <w:pPr>
              <w:bidi/>
              <w:spacing w:before="40" w:after="60" w:line="300" w:lineRule="exact"/>
              <w:ind w:left="57" w:right="57"/>
              <w:rPr>
                <w:rFonts w:cs="Traditional Arabic" w:hint="cs"/>
                <w:sz w:val="18"/>
                <w:szCs w:val="28"/>
                <w:rtl/>
              </w:rPr>
            </w:pPr>
            <w:r w:rsidRPr="00BC346F">
              <w:rPr>
                <w:rFonts w:cs="Traditional Arabic" w:hint="cs"/>
                <w:sz w:val="18"/>
                <w:szCs w:val="28"/>
                <w:rtl/>
              </w:rPr>
              <w:t>المكسيك</w:t>
            </w:r>
          </w:p>
          <w:p w:rsidR="00BC346F" w:rsidRPr="00BC346F" w:rsidRDefault="00BC346F" w:rsidP="00BC346F">
            <w:pPr>
              <w:bidi/>
              <w:spacing w:before="40" w:after="60" w:line="300" w:lineRule="exact"/>
              <w:ind w:left="57" w:right="57"/>
              <w:rPr>
                <w:rFonts w:cs="Traditional Arabic" w:hint="cs"/>
                <w:sz w:val="18"/>
                <w:szCs w:val="28"/>
                <w:rtl/>
              </w:rPr>
            </w:pPr>
            <w:r w:rsidRPr="00BC346F">
              <w:rPr>
                <w:rFonts w:cs="Traditional Arabic" w:hint="cs"/>
                <w:sz w:val="18"/>
                <w:szCs w:val="28"/>
                <w:rtl/>
              </w:rPr>
              <w:t>(</w:t>
            </w:r>
            <w:r w:rsidRPr="00BC346F">
              <w:rPr>
                <w:rFonts w:cs="Traditional Arabic"/>
                <w:sz w:val="18"/>
                <w:szCs w:val="28"/>
                <w:lang w:val="en-GB"/>
              </w:rPr>
              <w:t>CAT/C/MEX/5-6</w:t>
            </w:r>
            <w:r w:rsidRPr="00BC346F">
              <w:rPr>
                <w:rFonts w:cs="Traditional Arabic" w:hint="cs"/>
                <w:sz w:val="18"/>
                <w:szCs w:val="28"/>
                <w:rtl/>
              </w:rPr>
              <w:t>)</w:t>
            </w:r>
          </w:p>
        </w:tc>
        <w:tc>
          <w:tcPr>
            <w:tcW w:w="2212"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مارينو</w:t>
            </w:r>
          </w:p>
        </w:tc>
        <w:tc>
          <w:tcPr>
            <w:tcW w:w="1577"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غاي</w:t>
            </w:r>
          </w:p>
        </w:tc>
      </w:tr>
      <w:tr w:rsidR="00BC346F" w:rsidRPr="00BC346F" w:rsidTr="00BC346F">
        <w:tblPrEx>
          <w:tblCellMar>
            <w:top w:w="0" w:type="dxa"/>
            <w:bottom w:w="0" w:type="dxa"/>
          </w:tblCellMar>
        </w:tblPrEx>
        <w:tc>
          <w:tcPr>
            <w:tcW w:w="3389" w:type="dxa"/>
            <w:tcBorders>
              <w:bottom w:val="single" w:sz="12" w:space="0" w:color="auto"/>
            </w:tcBorders>
          </w:tcPr>
          <w:p w:rsidR="00BC346F" w:rsidRPr="00BC346F" w:rsidRDefault="00BC346F" w:rsidP="00BC346F">
            <w:pPr>
              <w:bidi/>
              <w:spacing w:before="40" w:after="60" w:line="300" w:lineRule="exact"/>
              <w:ind w:left="57" w:right="57"/>
              <w:rPr>
                <w:rFonts w:cs="Traditional Arabic" w:hint="cs"/>
                <w:sz w:val="18"/>
                <w:szCs w:val="28"/>
                <w:rtl/>
              </w:rPr>
            </w:pPr>
            <w:r w:rsidRPr="00BC346F">
              <w:rPr>
                <w:rFonts w:cs="Traditional Arabic" w:hint="cs"/>
                <w:sz w:val="18"/>
                <w:szCs w:val="28"/>
                <w:rtl/>
              </w:rPr>
              <w:t>النرويج</w:t>
            </w:r>
            <w:r w:rsidRPr="00BC346F">
              <w:rPr>
                <w:rFonts w:cs="Traditional Arabic"/>
                <w:sz w:val="18"/>
                <w:szCs w:val="28"/>
                <w:rtl/>
              </w:rPr>
              <w:br/>
            </w:r>
            <w:r w:rsidRPr="00BC346F">
              <w:rPr>
                <w:rFonts w:cs="Traditional Arabic" w:hint="cs"/>
                <w:sz w:val="18"/>
                <w:szCs w:val="28"/>
                <w:rtl/>
              </w:rPr>
              <w:t>(</w:t>
            </w:r>
            <w:r w:rsidRPr="00BC346F">
              <w:rPr>
                <w:rFonts w:cs="Traditional Arabic"/>
                <w:sz w:val="18"/>
                <w:szCs w:val="28"/>
                <w:lang w:val="en-GB"/>
              </w:rPr>
              <w:t>CAT/C/NOR/6-7</w:t>
            </w:r>
            <w:r w:rsidRPr="00BC346F">
              <w:rPr>
                <w:rFonts w:cs="Traditional Arabic" w:hint="cs"/>
                <w:sz w:val="18"/>
                <w:szCs w:val="28"/>
                <w:rtl/>
              </w:rPr>
              <w:t>)</w:t>
            </w:r>
          </w:p>
        </w:tc>
        <w:tc>
          <w:tcPr>
            <w:tcW w:w="2212" w:type="dxa"/>
            <w:tcBorders>
              <w:bottom w:val="single" w:sz="12" w:space="0" w:color="auto"/>
            </w:tcBorders>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غروسمان</w:t>
            </w:r>
          </w:p>
        </w:tc>
        <w:tc>
          <w:tcPr>
            <w:tcW w:w="1577" w:type="dxa"/>
            <w:tcBorders>
              <w:bottom w:val="single" w:sz="12" w:space="0" w:color="auto"/>
            </w:tcBorders>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غاي</w:t>
            </w:r>
          </w:p>
        </w:tc>
      </w:tr>
    </w:tbl>
    <w:p w:rsidR="00BC346F" w:rsidRPr="00B8252B" w:rsidRDefault="00BC346F" w:rsidP="00B81503">
      <w:pPr>
        <w:pStyle w:val="H1GA"/>
        <w:spacing w:before="360"/>
        <w:rPr>
          <w:rFonts w:hint="cs"/>
          <w:rtl/>
        </w:rPr>
      </w:pPr>
      <w:r>
        <w:rPr>
          <w:rFonts w:hint="cs"/>
          <w:rtl/>
        </w:rPr>
        <w:tab/>
      </w:r>
      <w:r w:rsidRPr="00B8252B">
        <w:rPr>
          <w:rFonts w:hint="cs"/>
          <w:rtl/>
        </w:rPr>
        <w:t>باء-</w:t>
      </w:r>
      <w:r w:rsidRPr="00B8252B">
        <w:rPr>
          <w:rFonts w:hint="cs"/>
          <w:rtl/>
        </w:rPr>
        <w:tab/>
        <w:t xml:space="preserve">الدورة </w:t>
      </w:r>
      <w:r>
        <w:rPr>
          <w:rFonts w:hint="cs"/>
          <w:rtl/>
        </w:rPr>
        <w:t>الخمسون</w:t>
      </w:r>
    </w:p>
    <w:tbl>
      <w:tblPr>
        <w:bidiVisual/>
        <w:tblW w:w="0" w:type="auto"/>
        <w:tblInd w:w="1238" w:type="dxa"/>
        <w:tblCellMar>
          <w:left w:w="0" w:type="dxa"/>
          <w:right w:w="0" w:type="dxa"/>
        </w:tblCellMar>
        <w:tblLook w:val="0000"/>
      </w:tblPr>
      <w:tblGrid>
        <w:gridCol w:w="3403"/>
        <w:gridCol w:w="2198"/>
        <w:gridCol w:w="1577"/>
      </w:tblGrid>
      <w:tr w:rsidR="00BC346F" w:rsidRPr="00BC346F" w:rsidTr="00BC346F">
        <w:tblPrEx>
          <w:tblCellMar>
            <w:top w:w="0" w:type="dxa"/>
            <w:bottom w:w="0" w:type="dxa"/>
          </w:tblCellMar>
        </w:tblPrEx>
        <w:trPr>
          <w:tblHeader/>
        </w:trPr>
        <w:tc>
          <w:tcPr>
            <w:tcW w:w="3403" w:type="dxa"/>
            <w:tcBorders>
              <w:top w:val="single" w:sz="4" w:space="0" w:color="auto"/>
              <w:bottom w:val="single" w:sz="12" w:space="0" w:color="auto"/>
            </w:tcBorders>
          </w:tcPr>
          <w:p w:rsidR="00BC346F" w:rsidRPr="00BC346F" w:rsidRDefault="00BC346F" w:rsidP="00BC346F">
            <w:pPr>
              <w:bidi/>
              <w:spacing w:before="40" w:after="60" w:line="300" w:lineRule="exact"/>
              <w:ind w:left="57" w:right="57"/>
              <w:rPr>
                <w:rFonts w:cs="Traditional Arabic" w:hint="cs"/>
                <w:i/>
                <w:iCs/>
                <w:spacing w:val="4"/>
                <w:sz w:val="18"/>
                <w:szCs w:val="28"/>
                <w:rtl/>
              </w:rPr>
            </w:pPr>
            <w:r w:rsidRPr="00BC346F">
              <w:rPr>
                <w:rFonts w:cs="Traditional Arabic" w:hint="cs"/>
                <w:i/>
                <w:iCs/>
                <w:spacing w:val="4"/>
                <w:sz w:val="18"/>
                <w:szCs w:val="28"/>
                <w:rtl/>
              </w:rPr>
              <w:t>التقرير</w:t>
            </w:r>
          </w:p>
        </w:tc>
        <w:tc>
          <w:tcPr>
            <w:tcW w:w="2198" w:type="dxa"/>
            <w:tcBorders>
              <w:top w:val="single" w:sz="4" w:space="0" w:color="auto"/>
              <w:bottom w:val="single" w:sz="12" w:space="0" w:color="auto"/>
            </w:tcBorders>
          </w:tcPr>
          <w:p w:rsidR="00BC346F" w:rsidRPr="00BC346F" w:rsidRDefault="00BC346F" w:rsidP="00BC346F">
            <w:pPr>
              <w:bidi/>
              <w:spacing w:before="40" w:after="60" w:line="300" w:lineRule="exact"/>
              <w:ind w:left="57" w:right="57"/>
              <w:jc w:val="lowKashida"/>
              <w:rPr>
                <w:rFonts w:cs="Traditional Arabic" w:hint="cs"/>
                <w:i/>
                <w:iCs/>
                <w:sz w:val="18"/>
                <w:szCs w:val="28"/>
                <w:rtl/>
              </w:rPr>
            </w:pPr>
            <w:r w:rsidRPr="00BC346F">
              <w:rPr>
                <w:rFonts w:cs="Traditional Arabic" w:hint="cs"/>
                <w:i/>
                <w:iCs/>
                <w:sz w:val="18"/>
                <w:szCs w:val="28"/>
                <w:rtl/>
              </w:rPr>
              <w:t>المقرر 1</w:t>
            </w:r>
          </w:p>
        </w:tc>
        <w:tc>
          <w:tcPr>
            <w:tcW w:w="1577" w:type="dxa"/>
            <w:tcBorders>
              <w:top w:val="single" w:sz="4" w:space="0" w:color="auto"/>
              <w:bottom w:val="single" w:sz="12" w:space="0" w:color="auto"/>
            </w:tcBorders>
          </w:tcPr>
          <w:p w:rsidR="00BC346F" w:rsidRPr="00BC346F" w:rsidRDefault="00BC346F" w:rsidP="00BC346F">
            <w:pPr>
              <w:bidi/>
              <w:spacing w:before="40" w:after="60" w:line="300" w:lineRule="exact"/>
              <w:ind w:left="57" w:right="57"/>
              <w:jc w:val="lowKashida"/>
              <w:rPr>
                <w:rFonts w:cs="Traditional Arabic" w:hint="cs"/>
                <w:i/>
                <w:iCs/>
                <w:sz w:val="18"/>
                <w:szCs w:val="28"/>
                <w:rtl/>
              </w:rPr>
            </w:pPr>
            <w:r w:rsidRPr="00BC346F">
              <w:rPr>
                <w:rFonts w:cs="Traditional Arabic" w:hint="cs"/>
                <w:i/>
                <w:iCs/>
                <w:sz w:val="18"/>
                <w:szCs w:val="28"/>
                <w:rtl/>
              </w:rPr>
              <w:t>المقرر 2</w:t>
            </w:r>
          </w:p>
        </w:tc>
      </w:tr>
      <w:tr w:rsidR="00BC346F" w:rsidRPr="00BC346F" w:rsidTr="00BC346F">
        <w:tblPrEx>
          <w:tblCellMar>
            <w:top w:w="0" w:type="dxa"/>
            <w:bottom w:w="0" w:type="dxa"/>
          </w:tblCellMar>
        </w:tblPrEx>
        <w:tc>
          <w:tcPr>
            <w:tcW w:w="3403" w:type="dxa"/>
            <w:tcBorders>
              <w:top w:val="single" w:sz="12" w:space="0" w:color="auto"/>
            </w:tcBorders>
          </w:tcPr>
          <w:p w:rsidR="00BC346F" w:rsidRPr="00BC346F" w:rsidRDefault="00BC346F" w:rsidP="00BC346F">
            <w:pPr>
              <w:bidi/>
              <w:spacing w:before="40" w:after="60" w:line="300" w:lineRule="exact"/>
              <w:ind w:left="57" w:right="57"/>
              <w:rPr>
                <w:rFonts w:cs="Traditional Arabic" w:hint="cs"/>
                <w:spacing w:val="4"/>
                <w:sz w:val="18"/>
                <w:szCs w:val="28"/>
              </w:rPr>
            </w:pPr>
            <w:r w:rsidRPr="00BC346F">
              <w:rPr>
                <w:rFonts w:cs="Traditional Arabic" w:hint="cs"/>
                <w:sz w:val="18"/>
                <w:szCs w:val="28"/>
                <w:rtl/>
              </w:rPr>
              <w:t>إستونيا</w:t>
            </w:r>
            <w:r w:rsidRPr="00BC346F">
              <w:rPr>
                <w:rFonts w:cs="Traditional Arabic"/>
                <w:spacing w:val="4"/>
                <w:sz w:val="18"/>
                <w:szCs w:val="28"/>
                <w:rtl/>
              </w:rPr>
              <w:br/>
            </w:r>
            <w:r w:rsidRPr="00BC346F">
              <w:rPr>
                <w:rFonts w:cs="Traditional Arabic" w:hint="cs"/>
                <w:sz w:val="18"/>
                <w:szCs w:val="28"/>
                <w:rtl/>
              </w:rPr>
              <w:t>(</w:t>
            </w:r>
            <w:r w:rsidRPr="00BC346F">
              <w:rPr>
                <w:rFonts w:cs="Traditional Arabic"/>
                <w:sz w:val="18"/>
                <w:szCs w:val="28"/>
              </w:rPr>
              <w:t>CAT/C/EST/5</w:t>
            </w:r>
            <w:r w:rsidRPr="00BC346F">
              <w:rPr>
                <w:rFonts w:cs="Traditional Arabic" w:hint="cs"/>
                <w:sz w:val="18"/>
                <w:szCs w:val="28"/>
                <w:rtl/>
              </w:rPr>
              <w:t>)</w:t>
            </w:r>
          </w:p>
        </w:tc>
        <w:tc>
          <w:tcPr>
            <w:tcW w:w="2198" w:type="dxa"/>
            <w:tcBorders>
              <w:top w:val="single" w:sz="12" w:space="0" w:color="auto"/>
            </w:tcBorders>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السيدة غاير</w:t>
            </w:r>
          </w:p>
        </w:tc>
        <w:tc>
          <w:tcPr>
            <w:tcW w:w="1577" w:type="dxa"/>
            <w:tcBorders>
              <w:top w:val="single" w:sz="12" w:space="0" w:color="auto"/>
            </w:tcBorders>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وانغ</w:t>
            </w:r>
          </w:p>
        </w:tc>
      </w:tr>
      <w:tr w:rsidR="00BC346F" w:rsidRPr="00BC346F" w:rsidTr="00BC346F">
        <w:tblPrEx>
          <w:tblCellMar>
            <w:top w:w="0" w:type="dxa"/>
            <w:bottom w:w="0" w:type="dxa"/>
          </w:tblCellMar>
        </w:tblPrEx>
        <w:tc>
          <w:tcPr>
            <w:tcW w:w="3403" w:type="dxa"/>
          </w:tcPr>
          <w:p w:rsidR="00BC346F" w:rsidRPr="00BC346F" w:rsidRDefault="00BC346F" w:rsidP="00BC346F">
            <w:pPr>
              <w:bidi/>
              <w:spacing w:before="40" w:after="60" w:line="300" w:lineRule="exact"/>
              <w:ind w:left="57" w:right="57"/>
              <w:rPr>
                <w:rFonts w:cs="Traditional Arabic" w:hint="cs"/>
                <w:sz w:val="18"/>
                <w:szCs w:val="28"/>
                <w:rtl/>
              </w:rPr>
            </w:pPr>
            <w:r w:rsidRPr="00BC346F">
              <w:rPr>
                <w:rFonts w:cs="Traditional Arabic" w:hint="cs"/>
                <w:spacing w:val="4"/>
                <w:sz w:val="18"/>
                <w:szCs w:val="28"/>
                <w:rtl/>
              </w:rPr>
              <w:t>بوليفيا (دولة</w:t>
            </w:r>
            <w:r w:rsidR="00B81503">
              <w:rPr>
                <w:rFonts w:cs="Traditional Arabic" w:hint="cs"/>
                <w:spacing w:val="4"/>
                <w:sz w:val="18"/>
                <w:szCs w:val="28"/>
                <w:rtl/>
              </w:rPr>
              <w:t xml:space="preserve"> </w:t>
            </w:r>
            <w:r w:rsidRPr="00BC346F">
              <w:rPr>
                <w:rFonts w:cs="Traditional Arabic" w:hint="cs"/>
                <w:spacing w:val="4"/>
                <w:sz w:val="18"/>
                <w:szCs w:val="28"/>
                <w:rtl/>
              </w:rPr>
              <w:t>-</w:t>
            </w:r>
            <w:r w:rsidR="00B81503">
              <w:rPr>
                <w:rFonts w:cs="Traditional Arabic" w:hint="cs"/>
                <w:spacing w:val="4"/>
                <w:sz w:val="18"/>
                <w:szCs w:val="28"/>
                <w:rtl/>
              </w:rPr>
              <w:t xml:space="preserve"> </w:t>
            </w:r>
            <w:r w:rsidRPr="00BC346F">
              <w:rPr>
                <w:rFonts w:cs="Traditional Arabic" w:hint="cs"/>
                <w:spacing w:val="4"/>
                <w:sz w:val="18"/>
                <w:szCs w:val="28"/>
                <w:rtl/>
              </w:rPr>
              <w:t>المتعددة القوميات)</w:t>
            </w:r>
            <w:r w:rsidRPr="00BC346F">
              <w:rPr>
                <w:rFonts w:cs="Traditional Arabic"/>
                <w:spacing w:val="4"/>
                <w:sz w:val="18"/>
                <w:szCs w:val="28"/>
                <w:rtl/>
              </w:rPr>
              <w:br/>
            </w:r>
            <w:r w:rsidRPr="00BC346F">
              <w:rPr>
                <w:rFonts w:cs="Traditional Arabic" w:hint="cs"/>
                <w:sz w:val="18"/>
                <w:szCs w:val="28"/>
                <w:rtl/>
              </w:rPr>
              <w:t>(</w:t>
            </w:r>
            <w:r w:rsidRPr="00BC346F">
              <w:rPr>
                <w:rFonts w:cs="Traditional Arabic"/>
                <w:sz w:val="18"/>
                <w:szCs w:val="28"/>
              </w:rPr>
              <w:t>CAT/C/BOL/2</w:t>
            </w:r>
            <w:r w:rsidRPr="00BC346F">
              <w:rPr>
                <w:rFonts w:cs="Traditional Arabic" w:hint="cs"/>
                <w:sz w:val="18"/>
                <w:szCs w:val="28"/>
                <w:rtl/>
              </w:rPr>
              <w:t>)</w:t>
            </w:r>
          </w:p>
        </w:tc>
        <w:tc>
          <w:tcPr>
            <w:tcW w:w="2198"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مارينو</w:t>
            </w:r>
          </w:p>
        </w:tc>
        <w:tc>
          <w:tcPr>
            <w:tcW w:w="1577"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السيدة سفيّاس</w:t>
            </w:r>
          </w:p>
        </w:tc>
      </w:tr>
      <w:tr w:rsidR="00BC346F" w:rsidRPr="00BC346F" w:rsidTr="00BC346F">
        <w:tblPrEx>
          <w:tblCellMar>
            <w:top w:w="0" w:type="dxa"/>
            <w:bottom w:w="0" w:type="dxa"/>
          </w:tblCellMar>
        </w:tblPrEx>
        <w:tc>
          <w:tcPr>
            <w:tcW w:w="3403" w:type="dxa"/>
          </w:tcPr>
          <w:p w:rsidR="00BC346F" w:rsidRPr="00BC346F" w:rsidRDefault="00BC346F" w:rsidP="00BC346F">
            <w:pPr>
              <w:bidi/>
              <w:spacing w:before="40" w:after="60" w:line="300" w:lineRule="exact"/>
              <w:ind w:left="57" w:right="57"/>
              <w:rPr>
                <w:rFonts w:cs="Traditional Arabic" w:hint="cs"/>
                <w:sz w:val="18"/>
                <w:szCs w:val="28"/>
                <w:rtl/>
              </w:rPr>
            </w:pPr>
            <w:r w:rsidRPr="00BC346F">
              <w:rPr>
                <w:rFonts w:cs="Traditional Arabic" w:hint="cs"/>
                <w:sz w:val="18"/>
                <w:szCs w:val="28"/>
                <w:rtl/>
              </w:rPr>
              <w:t>غواتيمالا</w:t>
            </w:r>
            <w:r w:rsidRPr="00BC346F">
              <w:rPr>
                <w:rFonts w:cs="Traditional Arabic"/>
                <w:sz w:val="18"/>
                <w:szCs w:val="28"/>
                <w:rtl/>
              </w:rPr>
              <w:br/>
            </w:r>
            <w:r w:rsidRPr="00BC346F">
              <w:rPr>
                <w:rFonts w:cs="Traditional Arabic" w:hint="cs"/>
                <w:sz w:val="18"/>
                <w:szCs w:val="28"/>
                <w:rtl/>
              </w:rPr>
              <w:t>(</w:t>
            </w:r>
            <w:r w:rsidRPr="00BC346F">
              <w:rPr>
                <w:rFonts w:cs="Traditional Arabic"/>
                <w:sz w:val="18"/>
                <w:szCs w:val="28"/>
              </w:rPr>
              <w:t>CAT/C/GTM/5-6</w:t>
            </w:r>
            <w:r w:rsidRPr="00BC346F">
              <w:rPr>
                <w:rFonts w:cs="Traditional Arabic" w:hint="cs"/>
                <w:sz w:val="18"/>
                <w:szCs w:val="28"/>
                <w:rtl/>
              </w:rPr>
              <w:t>)</w:t>
            </w:r>
          </w:p>
        </w:tc>
        <w:tc>
          <w:tcPr>
            <w:tcW w:w="2198"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غروسمان</w:t>
            </w:r>
          </w:p>
        </w:tc>
        <w:tc>
          <w:tcPr>
            <w:tcW w:w="1577"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السيدة سفيّاس</w:t>
            </w:r>
          </w:p>
        </w:tc>
      </w:tr>
      <w:tr w:rsidR="00BC346F" w:rsidRPr="00BC346F" w:rsidTr="00BC346F">
        <w:tblPrEx>
          <w:tblCellMar>
            <w:top w:w="0" w:type="dxa"/>
            <w:bottom w:w="0" w:type="dxa"/>
          </w:tblCellMar>
        </w:tblPrEx>
        <w:tc>
          <w:tcPr>
            <w:tcW w:w="3403" w:type="dxa"/>
          </w:tcPr>
          <w:p w:rsidR="00BC346F" w:rsidRPr="00BC346F" w:rsidRDefault="00BC346F" w:rsidP="00BC346F">
            <w:pPr>
              <w:bidi/>
              <w:spacing w:before="40" w:after="60" w:line="300" w:lineRule="exact"/>
              <w:ind w:left="57" w:right="57"/>
              <w:rPr>
                <w:rFonts w:cs="Traditional Arabic" w:hint="cs"/>
                <w:sz w:val="18"/>
                <w:szCs w:val="28"/>
                <w:rtl/>
              </w:rPr>
            </w:pPr>
            <w:r w:rsidRPr="00BC346F">
              <w:rPr>
                <w:rFonts w:cs="Traditional Arabic" w:hint="cs"/>
                <w:sz w:val="18"/>
                <w:szCs w:val="28"/>
                <w:rtl/>
              </w:rPr>
              <w:t>كينيا</w:t>
            </w:r>
            <w:r w:rsidRPr="00BC346F">
              <w:rPr>
                <w:rFonts w:cs="Traditional Arabic"/>
                <w:sz w:val="18"/>
                <w:szCs w:val="28"/>
                <w:rtl/>
              </w:rPr>
              <w:br/>
            </w:r>
            <w:r w:rsidRPr="00BC346F">
              <w:rPr>
                <w:rFonts w:cs="Traditional Arabic" w:hint="cs"/>
                <w:sz w:val="18"/>
                <w:szCs w:val="28"/>
                <w:rtl/>
              </w:rPr>
              <w:t>(</w:t>
            </w:r>
            <w:r w:rsidRPr="00BC346F">
              <w:rPr>
                <w:rFonts w:cs="Traditional Arabic"/>
                <w:sz w:val="18"/>
                <w:szCs w:val="28"/>
              </w:rPr>
              <w:t>CAT/C/KEN/2</w:t>
            </w:r>
            <w:r w:rsidRPr="00BC346F">
              <w:rPr>
                <w:rFonts w:cs="Traditional Arabic" w:hint="cs"/>
                <w:sz w:val="18"/>
                <w:szCs w:val="28"/>
                <w:rtl/>
              </w:rPr>
              <w:t>)</w:t>
            </w:r>
          </w:p>
        </w:tc>
        <w:tc>
          <w:tcPr>
            <w:tcW w:w="2198"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دوماه</w:t>
            </w:r>
          </w:p>
        </w:tc>
        <w:tc>
          <w:tcPr>
            <w:tcW w:w="1577"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وانغ</w:t>
            </w:r>
          </w:p>
        </w:tc>
      </w:tr>
      <w:tr w:rsidR="00BC346F" w:rsidRPr="00BC346F" w:rsidTr="00BC346F">
        <w:tblPrEx>
          <w:tblCellMar>
            <w:top w:w="0" w:type="dxa"/>
            <w:bottom w:w="0" w:type="dxa"/>
          </w:tblCellMar>
        </w:tblPrEx>
        <w:tc>
          <w:tcPr>
            <w:tcW w:w="3403" w:type="dxa"/>
          </w:tcPr>
          <w:p w:rsidR="00BC346F" w:rsidRPr="00BC346F" w:rsidRDefault="00BC346F" w:rsidP="00BC346F">
            <w:pPr>
              <w:bidi/>
              <w:spacing w:before="40" w:after="60" w:line="300" w:lineRule="exact"/>
              <w:ind w:left="57" w:right="57"/>
              <w:rPr>
                <w:rFonts w:cs="Traditional Arabic" w:hint="cs"/>
                <w:sz w:val="18"/>
                <w:szCs w:val="28"/>
                <w:rtl/>
              </w:rPr>
            </w:pPr>
            <w:r w:rsidRPr="00BC346F">
              <w:rPr>
                <w:rFonts w:cs="Traditional Arabic" w:hint="cs"/>
                <w:sz w:val="18"/>
                <w:szCs w:val="28"/>
                <w:rtl/>
              </w:rPr>
              <w:t>المملكة المتحدة لبريطانيا العظمى وأيرلندا الشمالية</w:t>
            </w:r>
            <w:r w:rsidRPr="00BC346F">
              <w:rPr>
                <w:rFonts w:cs="Traditional Arabic"/>
                <w:sz w:val="18"/>
                <w:szCs w:val="28"/>
                <w:rtl/>
              </w:rPr>
              <w:br/>
            </w:r>
            <w:r w:rsidRPr="00BC346F">
              <w:rPr>
                <w:rFonts w:cs="Traditional Arabic" w:hint="cs"/>
                <w:sz w:val="18"/>
                <w:szCs w:val="28"/>
                <w:rtl/>
              </w:rPr>
              <w:t>(</w:t>
            </w:r>
            <w:r w:rsidRPr="00BC346F">
              <w:rPr>
                <w:rFonts w:cs="Traditional Arabic"/>
                <w:sz w:val="18"/>
                <w:szCs w:val="28"/>
                <w:lang w:val="en-GB"/>
              </w:rPr>
              <w:t>CAT/C/GBR/5</w:t>
            </w:r>
            <w:r w:rsidRPr="00BC346F">
              <w:rPr>
                <w:rFonts w:cs="Traditional Arabic" w:hint="cs"/>
                <w:sz w:val="18"/>
                <w:szCs w:val="28"/>
                <w:rtl/>
              </w:rPr>
              <w:t>)</w:t>
            </w:r>
          </w:p>
        </w:tc>
        <w:tc>
          <w:tcPr>
            <w:tcW w:w="2198"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بروني</w:t>
            </w:r>
          </w:p>
        </w:tc>
        <w:tc>
          <w:tcPr>
            <w:tcW w:w="1577"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السيدة توغوشي</w:t>
            </w:r>
          </w:p>
        </w:tc>
      </w:tr>
      <w:tr w:rsidR="00BC346F" w:rsidRPr="00BC346F" w:rsidTr="00BC346F">
        <w:tblPrEx>
          <w:tblCellMar>
            <w:top w:w="0" w:type="dxa"/>
            <w:bottom w:w="0" w:type="dxa"/>
          </w:tblCellMar>
        </w:tblPrEx>
        <w:tc>
          <w:tcPr>
            <w:tcW w:w="3403" w:type="dxa"/>
          </w:tcPr>
          <w:p w:rsidR="00BC346F" w:rsidRPr="00BC346F" w:rsidRDefault="00BC346F" w:rsidP="00BC346F">
            <w:pPr>
              <w:bidi/>
              <w:spacing w:before="40" w:after="60" w:line="300" w:lineRule="exact"/>
              <w:ind w:left="57" w:right="57"/>
              <w:rPr>
                <w:rFonts w:cs="Traditional Arabic" w:hint="cs"/>
                <w:sz w:val="18"/>
                <w:szCs w:val="28"/>
                <w:rtl/>
              </w:rPr>
            </w:pPr>
            <w:r w:rsidRPr="00BC346F">
              <w:rPr>
                <w:rFonts w:cs="Traditional Arabic" w:hint="cs"/>
                <w:sz w:val="18"/>
                <w:szCs w:val="28"/>
                <w:rtl/>
              </w:rPr>
              <w:t>موريتانيا</w:t>
            </w:r>
            <w:r w:rsidRPr="00BC346F">
              <w:rPr>
                <w:rFonts w:cs="Traditional Arabic"/>
                <w:sz w:val="18"/>
                <w:szCs w:val="28"/>
                <w:rtl/>
              </w:rPr>
              <w:br/>
            </w:r>
            <w:r w:rsidRPr="00BC346F">
              <w:rPr>
                <w:rFonts w:cs="Traditional Arabic" w:hint="cs"/>
                <w:sz w:val="18"/>
                <w:szCs w:val="28"/>
                <w:rtl/>
                <w:lang w:val="es-ES"/>
              </w:rPr>
              <w:t>(</w:t>
            </w:r>
            <w:r w:rsidRPr="00BC346F">
              <w:rPr>
                <w:rFonts w:cs="Traditional Arabic"/>
                <w:sz w:val="18"/>
                <w:szCs w:val="28"/>
                <w:lang w:val="en-GB"/>
              </w:rPr>
              <w:t>CAT/C/</w:t>
            </w:r>
            <w:r w:rsidRPr="00BC346F">
              <w:rPr>
                <w:rFonts w:cs="Traditional Arabic"/>
                <w:sz w:val="18"/>
                <w:szCs w:val="28"/>
              </w:rPr>
              <w:t>MRT</w:t>
            </w:r>
            <w:r w:rsidRPr="00BC346F">
              <w:rPr>
                <w:rFonts w:cs="Traditional Arabic"/>
                <w:sz w:val="18"/>
                <w:szCs w:val="28"/>
                <w:lang w:val="en-GB"/>
              </w:rPr>
              <w:t>/1</w:t>
            </w:r>
            <w:r w:rsidRPr="00BC346F">
              <w:rPr>
                <w:rFonts w:cs="Traditional Arabic" w:hint="cs"/>
                <w:sz w:val="18"/>
                <w:szCs w:val="28"/>
                <w:rtl/>
                <w:lang w:val="es-ES"/>
              </w:rPr>
              <w:t>)</w:t>
            </w:r>
          </w:p>
        </w:tc>
        <w:tc>
          <w:tcPr>
            <w:tcW w:w="2198"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دوماه</w:t>
            </w:r>
          </w:p>
        </w:tc>
        <w:tc>
          <w:tcPr>
            <w:tcW w:w="1577"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غاي</w:t>
            </w:r>
          </w:p>
        </w:tc>
      </w:tr>
      <w:tr w:rsidR="00BC346F" w:rsidRPr="00BC346F" w:rsidTr="00BC346F">
        <w:tblPrEx>
          <w:tblCellMar>
            <w:top w:w="0" w:type="dxa"/>
            <w:bottom w:w="0" w:type="dxa"/>
          </w:tblCellMar>
        </w:tblPrEx>
        <w:tc>
          <w:tcPr>
            <w:tcW w:w="3403" w:type="dxa"/>
          </w:tcPr>
          <w:p w:rsidR="00BC346F" w:rsidRPr="00BC346F" w:rsidRDefault="00BC346F" w:rsidP="00BC346F">
            <w:pPr>
              <w:bidi/>
              <w:spacing w:before="40" w:after="60" w:line="300" w:lineRule="exact"/>
              <w:ind w:left="57" w:right="57"/>
              <w:rPr>
                <w:rFonts w:cs="Traditional Arabic" w:hint="cs"/>
                <w:sz w:val="18"/>
                <w:szCs w:val="28"/>
                <w:rtl/>
              </w:rPr>
            </w:pPr>
            <w:r w:rsidRPr="00BC346F">
              <w:rPr>
                <w:rFonts w:cs="Traditional Arabic" w:hint="cs"/>
                <w:sz w:val="18"/>
                <w:szCs w:val="28"/>
                <w:rtl/>
              </w:rPr>
              <w:t>هولندا</w:t>
            </w:r>
            <w:r w:rsidRPr="00BC346F">
              <w:rPr>
                <w:rFonts w:cs="Traditional Arabic"/>
                <w:sz w:val="18"/>
                <w:szCs w:val="28"/>
                <w:rtl/>
              </w:rPr>
              <w:br/>
            </w:r>
            <w:r w:rsidRPr="00BC346F">
              <w:rPr>
                <w:rFonts w:cs="Traditional Arabic" w:hint="cs"/>
                <w:sz w:val="18"/>
                <w:szCs w:val="28"/>
                <w:rtl/>
              </w:rPr>
              <w:t>(</w:t>
            </w:r>
            <w:r w:rsidRPr="00BC346F">
              <w:rPr>
                <w:rFonts w:cs="Traditional Arabic"/>
                <w:sz w:val="18"/>
                <w:szCs w:val="28"/>
              </w:rPr>
              <w:t>CAT/C/NLD/5-6</w:t>
            </w:r>
            <w:r w:rsidRPr="00BC346F">
              <w:rPr>
                <w:rFonts w:cs="Traditional Arabic" w:hint="cs"/>
                <w:sz w:val="18"/>
                <w:szCs w:val="28"/>
                <w:rtl/>
              </w:rPr>
              <w:t>)</w:t>
            </w:r>
          </w:p>
        </w:tc>
        <w:tc>
          <w:tcPr>
            <w:tcW w:w="2198"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بروني</w:t>
            </w:r>
          </w:p>
        </w:tc>
        <w:tc>
          <w:tcPr>
            <w:tcW w:w="1577" w:type="dxa"/>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السيدة بلمير</w:t>
            </w:r>
          </w:p>
        </w:tc>
      </w:tr>
      <w:tr w:rsidR="00BC346F" w:rsidRPr="00BC346F" w:rsidTr="00BC346F">
        <w:tblPrEx>
          <w:tblCellMar>
            <w:top w:w="0" w:type="dxa"/>
            <w:bottom w:w="0" w:type="dxa"/>
          </w:tblCellMar>
        </w:tblPrEx>
        <w:tc>
          <w:tcPr>
            <w:tcW w:w="3403" w:type="dxa"/>
            <w:tcBorders>
              <w:bottom w:val="single" w:sz="12" w:space="0" w:color="auto"/>
            </w:tcBorders>
          </w:tcPr>
          <w:p w:rsidR="00BC346F" w:rsidRPr="00BC346F" w:rsidRDefault="00BC346F" w:rsidP="00BC346F">
            <w:pPr>
              <w:bidi/>
              <w:spacing w:before="40" w:after="60" w:line="300" w:lineRule="exact"/>
              <w:ind w:left="57" w:right="57"/>
              <w:rPr>
                <w:rFonts w:cs="Traditional Arabic" w:hint="cs"/>
                <w:sz w:val="18"/>
                <w:szCs w:val="28"/>
                <w:rtl/>
              </w:rPr>
            </w:pPr>
            <w:r w:rsidRPr="00BC346F">
              <w:rPr>
                <w:rFonts w:cs="Traditional Arabic" w:hint="cs"/>
                <w:sz w:val="18"/>
                <w:szCs w:val="28"/>
                <w:rtl/>
              </w:rPr>
              <w:t>اليابان</w:t>
            </w:r>
            <w:r w:rsidRPr="00BC346F">
              <w:rPr>
                <w:rFonts w:cs="Traditional Arabic"/>
                <w:sz w:val="18"/>
                <w:szCs w:val="28"/>
                <w:rtl/>
              </w:rPr>
              <w:br/>
            </w:r>
            <w:r w:rsidRPr="00BC346F">
              <w:rPr>
                <w:rFonts w:cs="Traditional Arabic" w:hint="cs"/>
                <w:sz w:val="18"/>
                <w:szCs w:val="28"/>
                <w:rtl/>
              </w:rPr>
              <w:t>(</w:t>
            </w:r>
            <w:r w:rsidRPr="00BC346F">
              <w:rPr>
                <w:rFonts w:cs="Traditional Arabic"/>
                <w:sz w:val="18"/>
                <w:szCs w:val="28"/>
              </w:rPr>
              <w:t>CAT/C/JPN/2</w:t>
            </w:r>
            <w:r w:rsidRPr="00BC346F">
              <w:rPr>
                <w:rFonts w:cs="Traditional Arabic" w:hint="cs"/>
                <w:sz w:val="18"/>
                <w:szCs w:val="28"/>
                <w:rtl/>
              </w:rPr>
              <w:t>)</w:t>
            </w:r>
          </w:p>
        </w:tc>
        <w:tc>
          <w:tcPr>
            <w:tcW w:w="2198" w:type="dxa"/>
            <w:tcBorders>
              <w:bottom w:val="single" w:sz="12" w:space="0" w:color="auto"/>
            </w:tcBorders>
          </w:tcPr>
          <w:p w:rsidR="00BC346F" w:rsidRPr="00BC346F" w:rsidRDefault="00BC346F" w:rsidP="00BC346F">
            <w:pPr>
              <w:bidi/>
              <w:spacing w:before="40" w:after="60" w:line="300" w:lineRule="exact"/>
              <w:ind w:left="57" w:right="57"/>
              <w:jc w:val="lowKashida"/>
              <w:rPr>
                <w:rFonts w:cs="Traditional Arabic" w:hint="cs"/>
                <w:sz w:val="18"/>
                <w:szCs w:val="28"/>
                <w:rtl/>
              </w:rPr>
            </w:pPr>
            <w:r w:rsidRPr="00BC346F">
              <w:rPr>
                <w:rFonts w:cs="Traditional Arabic" w:hint="cs"/>
                <w:sz w:val="18"/>
                <w:szCs w:val="28"/>
                <w:rtl/>
              </w:rPr>
              <w:t>السيد مارينو</w:t>
            </w:r>
          </w:p>
        </w:tc>
        <w:tc>
          <w:tcPr>
            <w:tcW w:w="1577" w:type="dxa"/>
            <w:tcBorders>
              <w:bottom w:val="single" w:sz="12" w:space="0" w:color="auto"/>
            </w:tcBorders>
          </w:tcPr>
          <w:p w:rsidR="00BC346F" w:rsidRPr="00BC346F" w:rsidRDefault="00BC346F" w:rsidP="00BC346F">
            <w:pPr>
              <w:bidi/>
              <w:spacing w:before="40" w:after="60" w:line="300" w:lineRule="exact"/>
              <w:ind w:left="57" w:right="57"/>
              <w:jc w:val="lowKashida"/>
              <w:rPr>
                <w:rFonts w:cs="Traditional Arabic"/>
                <w:sz w:val="18"/>
                <w:szCs w:val="28"/>
              </w:rPr>
            </w:pPr>
            <w:r w:rsidRPr="00BC346F">
              <w:rPr>
                <w:rFonts w:cs="Traditional Arabic" w:hint="cs"/>
                <w:sz w:val="18"/>
                <w:szCs w:val="28"/>
                <w:rtl/>
              </w:rPr>
              <w:t>السيد غروسمان</w:t>
            </w:r>
          </w:p>
        </w:tc>
      </w:tr>
    </w:tbl>
    <w:p w:rsidR="00F1742A" w:rsidRDefault="00F1742A" w:rsidP="003241B0">
      <w:pPr>
        <w:pStyle w:val="SingleTxtGA"/>
        <w:rPr>
          <w:rFonts w:eastAsia="SimSun" w:hint="cs"/>
          <w:b/>
          <w:bCs/>
          <w:rtl/>
          <w:lang w:eastAsia="zh-CN"/>
        </w:rPr>
      </w:pPr>
    </w:p>
    <w:p w:rsidR="00F1742A" w:rsidRDefault="00F1742A" w:rsidP="003241B0">
      <w:pPr>
        <w:pStyle w:val="SingleTxtGA"/>
        <w:rPr>
          <w:rFonts w:eastAsia="SimSun"/>
          <w:b/>
          <w:bCs/>
          <w:rtl/>
          <w:lang w:eastAsia="zh-CN"/>
        </w:rPr>
        <w:sectPr w:rsidR="00F1742A" w:rsidSect="00631BFA">
          <w:footnotePr>
            <w:numFmt w:val="arabicAbjad"/>
            <w:numRestart w:val="eachSect"/>
          </w:footnotePr>
          <w:endnotePr>
            <w:numFmt w:val="decimal"/>
          </w:endnotePr>
          <w:pgSz w:w="11907" w:h="16840" w:code="9"/>
          <w:pgMar w:top="1701" w:right="1134" w:bottom="2268" w:left="1134" w:header="1134" w:footer="1701" w:gutter="0"/>
          <w:cols w:space="720"/>
          <w:bidi/>
          <w:rtlGutter/>
          <w:docGrid w:linePitch="360"/>
        </w:sectPr>
      </w:pPr>
    </w:p>
    <w:p w:rsidR="00363456" w:rsidRDefault="00363456" w:rsidP="00363456">
      <w:pPr>
        <w:pStyle w:val="HChGA"/>
        <w:spacing w:before="120"/>
        <w:rPr>
          <w:rFonts w:hint="cs"/>
          <w:rtl/>
          <w:lang w:bidi="ar-SY"/>
        </w:rPr>
      </w:pPr>
      <w:r>
        <w:rPr>
          <w:rFonts w:hint="cs"/>
          <w:rtl/>
          <w:lang w:bidi="ar-SY"/>
        </w:rPr>
        <w:t>المرفق السابع عشر</w:t>
      </w:r>
    </w:p>
    <w:p w:rsidR="00363456" w:rsidRDefault="00363456" w:rsidP="00363456">
      <w:pPr>
        <w:pStyle w:val="HChGA"/>
        <w:rPr>
          <w:rFonts w:hint="cs"/>
          <w:szCs w:val="28"/>
          <w:rtl/>
        </w:rPr>
      </w:pPr>
      <w:r w:rsidRPr="00B41DC4">
        <w:rPr>
          <w:rFonts w:hint="cs"/>
          <w:rtl/>
          <w:lang w:bidi="ar-SY"/>
        </w:rPr>
        <w:tab/>
      </w:r>
      <w:r w:rsidRPr="00B41DC4">
        <w:rPr>
          <w:rFonts w:hint="cs"/>
          <w:rtl/>
          <w:lang w:bidi="ar-SY"/>
        </w:rPr>
        <w:tab/>
      </w:r>
      <w:r w:rsidRPr="00B41DC4">
        <w:rPr>
          <w:rtl/>
          <w:lang w:bidi="ar-SY"/>
        </w:rPr>
        <w:t>قرار</w:t>
      </w:r>
      <w:r>
        <w:rPr>
          <w:rFonts w:hint="cs"/>
          <w:rtl/>
          <w:lang w:bidi="ar-SY"/>
        </w:rPr>
        <w:t>ات</w:t>
      </w:r>
      <w:r w:rsidRPr="00B41DC4">
        <w:rPr>
          <w:rtl/>
          <w:lang w:bidi="ar-SY"/>
        </w:rPr>
        <w:t xml:space="preserve"> لجنة مناهضة </w:t>
      </w:r>
      <w:r w:rsidR="00EF08EF">
        <w:rPr>
          <w:rFonts w:hint="cs"/>
          <w:rtl/>
          <w:lang w:bidi="ar-SY"/>
        </w:rPr>
        <w:t xml:space="preserve">التعذيب </w:t>
      </w:r>
      <w:r w:rsidRPr="00B41DC4">
        <w:rPr>
          <w:rtl/>
          <w:lang w:bidi="ar-SY"/>
        </w:rPr>
        <w:t xml:space="preserve">بموجب المادة 22 من </w:t>
      </w:r>
      <w:r>
        <w:rPr>
          <w:rFonts w:hint="cs"/>
          <w:rtl/>
          <w:lang w:bidi="ar-SY"/>
        </w:rPr>
        <w:t>ال</w:t>
      </w:r>
      <w:r w:rsidRPr="00B41DC4">
        <w:rPr>
          <w:rtl/>
          <w:lang w:bidi="ar-SY"/>
        </w:rPr>
        <w:t>اتفاقية</w:t>
      </w:r>
    </w:p>
    <w:p w:rsidR="00363456" w:rsidRPr="00363456" w:rsidRDefault="00363456" w:rsidP="00363456">
      <w:pPr>
        <w:pStyle w:val="H1GA"/>
        <w:rPr>
          <w:rFonts w:hint="cs"/>
          <w:rtl/>
        </w:rPr>
      </w:pPr>
      <w:r>
        <w:rPr>
          <w:rFonts w:hint="cs"/>
          <w:rtl/>
        </w:rPr>
        <w:tab/>
        <w:t>ألف-</w:t>
      </w:r>
      <w:r>
        <w:rPr>
          <w:rFonts w:hint="cs"/>
          <w:rtl/>
        </w:rPr>
        <w:tab/>
        <w:t>قرارات بشأن الأسس الموضوعية</w:t>
      </w:r>
    </w:p>
    <w:p w:rsidR="00363456" w:rsidRPr="00363456" w:rsidRDefault="00363456" w:rsidP="0052191A">
      <w:pPr>
        <w:pStyle w:val="H1GA"/>
        <w:rPr>
          <w:rFonts w:hint="cs"/>
          <w:szCs w:val="24"/>
          <w:rtl/>
        </w:rPr>
      </w:pPr>
      <w:r w:rsidRPr="00B41DC4">
        <w:rPr>
          <w:rFonts w:hint="cs"/>
          <w:rtl/>
          <w:lang w:bidi="ar-SY"/>
        </w:rPr>
        <w:tab/>
      </w:r>
      <w:r w:rsidRPr="00B41DC4">
        <w:rPr>
          <w:rFonts w:hint="cs"/>
          <w:rtl/>
          <w:lang w:bidi="ar-SY"/>
        </w:rPr>
        <w:tab/>
        <w:t xml:space="preserve">البلاغ رقم </w:t>
      </w:r>
      <w:r>
        <w:rPr>
          <w:rFonts w:hint="cs"/>
          <w:rtl/>
          <w:lang w:bidi="ar-SY"/>
        </w:rPr>
        <w:t>385</w:t>
      </w:r>
      <w:r w:rsidRPr="00B41DC4">
        <w:rPr>
          <w:rFonts w:hint="cs"/>
          <w:rtl/>
          <w:lang w:bidi="ar-SY"/>
        </w:rPr>
        <w:t>/20</w:t>
      </w:r>
      <w:r>
        <w:rPr>
          <w:rFonts w:hint="cs"/>
          <w:rtl/>
          <w:lang w:bidi="ar-SY"/>
        </w:rPr>
        <w:t xml:space="preserve">09: </w:t>
      </w:r>
      <w:r w:rsidRPr="0052191A">
        <w:rPr>
          <w:rFonts w:hint="cs"/>
          <w:i/>
          <w:iCs/>
          <w:rtl/>
          <w:lang w:bidi="ar-SY"/>
        </w:rPr>
        <w:t>م. أ. ف. وآخرون ضد السويد</w:t>
      </w:r>
    </w:p>
    <w:p w:rsidR="00363456" w:rsidRPr="00B41DC4" w:rsidRDefault="00363456" w:rsidP="00363456">
      <w:pPr>
        <w:pStyle w:val="SingleTxtGA"/>
        <w:tabs>
          <w:tab w:val="clear" w:pos="2608"/>
          <w:tab w:val="clear" w:pos="3289"/>
          <w:tab w:val="clear" w:pos="3969"/>
          <w:tab w:val="clear" w:pos="4649"/>
          <w:tab w:val="clear" w:pos="5330"/>
          <w:tab w:val="left" w:pos="4598"/>
        </w:tabs>
        <w:ind w:left="4598" w:hanging="2700"/>
        <w:rPr>
          <w:rFonts w:hint="cs"/>
          <w:i/>
          <w:iCs/>
          <w:color w:val="000000"/>
          <w:rtl/>
          <w:lang w:bidi="ar-SY"/>
        </w:rPr>
      </w:pPr>
      <w:r w:rsidRPr="00B41DC4">
        <w:rPr>
          <w:rFonts w:hint="cs"/>
          <w:i/>
          <w:iCs/>
          <w:color w:val="000000"/>
          <w:rtl/>
          <w:lang w:bidi="ar-SY"/>
        </w:rPr>
        <w:t>المقدم من</w:t>
      </w:r>
      <w:r w:rsidRPr="00363456">
        <w:rPr>
          <w:rFonts w:hint="cs"/>
          <w:color w:val="000000"/>
          <w:rtl/>
          <w:lang w:bidi="ar-SY"/>
        </w:rPr>
        <w:t>:</w:t>
      </w:r>
      <w:r w:rsidRPr="00B41DC4">
        <w:rPr>
          <w:rFonts w:hint="cs"/>
          <w:i/>
          <w:iCs/>
          <w:color w:val="000000"/>
          <w:rtl/>
          <w:lang w:bidi="ar-SY"/>
        </w:rPr>
        <w:tab/>
      </w:r>
      <w:r w:rsidRPr="00E65B41">
        <w:rPr>
          <w:color w:val="000000"/>
          <w:rtl/>
          <w:lang w:bidi="ar-SY"/>
        </w:rPr>
        <w:t>م. أ. ف. وآخرون (لا يمثلهم محام)</w:t>
      </w:r>
    </w:p>
    <w:p w:rsidR="00363456" w:rsidRPr="00B41DC4" w:rsidRDefault="00363456" w:rsidP="00363456">
      <w:pPr>
        <w:pStyle w:val="SingleTxtGA"/>
        <w:tabs>
          <w:tab w:val="clear" w:pos="2608"/>
          <w:tab w:val="clear" w:pos="3289"/>
          <w:tab w:val="clear" w:pos="3969"/>
          <w:tab w:val="clear" w:pos="4649"/>
          <w:tab w:val="clear" w:pos="5330"/>
          <w:tab w:val="left" w:pos="4598"/>
        </w:tabs>
        <w:ind w:left="4598" w:hanging="2700"/>
        <w:rPr>
          <w:rFonts w:hint="cs"/>
          <w:color w:val="000000"/>
          <w:rtl/>
          <w:lang w:bidi="ar-SY"/>
        </w:rPr>
      </w:pPr>
      <w:r w:rsidRPr="00B41DC4">
        <w:rPr>
          <w:rFonts w:hint="cs"/>
          <w:i/>
          <w:iCs/>
          <w:color w:val="000000"/>
          <w:rtl/>
          <w:lang w:bidi="ar-SY"/>
        </w:rPr>
        <w:t>الشخص المدع</w:t>
      </w:r>
      <w:r>
        <w:rPr>
          <w:rFonts w:hint="cs"/>
          <w:i/>
          <w:iCs/>
          <w:color w:val="000000"/>
          <w:rtl/>
          <w:lang w:bidi="ar-SY"/>
        </w:rPr>
        <w:t>ى</w:t>
      </w:r>
      <w:r w:rsidRPr="00B41DC4">
        <w:rPr>
          <w:rFonts w:hint="cs"/>
          <w:i/>
          <w:iCs/>
          <w:color w:val="000000"/>
          <w:rtl/>
          <w:lang w:bidi="ar-SY"/>
        </w:rPr>
        <w:t xml:space="preserve"> أنه ضحية</w:t>
      </w:r>
      <w:r w:rsidRPr="00363456">
        <w:rPr>
          <w:rFonts w:hint="cs"/>
          <w:color w:val="000000"/>
          <w:rtl/>
          <w:lang w:bidi="ar-SY"/>
        </w:rPr>
        <w:t>:</w:t>
      </w:r>
      <w:r w:rsidRPr="00B41DC4">
        <w:rPr>
          <w:rFonts w:hint="cs"/>
          <w:color w:val="000000"/>
          <w:rtl/>
          <w:lang w:bidi="ar-SY"/>
        </w:rPr>
        <w:tab/>
      </w:r>
      <w:r>
        <w:rPr>
          <w:rFonts w:hint="cs"/>
          <w:color w:val="000000"/>
          <w:rtl/>
          <w:lang w:bidi="ar-SY"/>
        </w:rPr>
        <w:t>أصحاب</w:t>
      </w:r>
      <w:r w:rsidRPr="00B41DC4">
        <w:rPr>
          <w:color w:val="000000"/>
          <w:rtl/>
          <w:lang w:bidi="ar-SY"/>
        </w:rPr>
        <w:t xml:space="preserve"> الشكوى</w:t>
      </w:r>
    </w:p>
    <w:p w:rsidR="00363456" w:rsidRPr="00B41DC4" w:rsidRDefault="00363456" w:rsidP="00363456">
      <w:pPr>
        <w:pStyle w:val="SingleTxtGA"/>
        <w:tabs>
          <w:tab w:val="clear" w:pos="2608"/>
          <w:tab w:val="clear" w:pos="3289"/>
          <w:tab w:val="clear" w:pos="3969"/>
          <w:tab w:val="clear" w:pos="4649"/>
          <w:tab w:val="clear" w:pos="5330"/>
          <w:tab w:val="left" w:pos="4598"/>
        </w:tabs>
        <w:ind w:left="4598" w:hanging="2700"/>
        <w:rPr>
          <w:rFonts w:hint="cs"/>
          <w:color w:val="000000"/>
          <w:rtl/>
          <w:lang w:bidi="ar-SY"/>
        </w:rPr>
      </w:pPr>
      <w:r w:rsidRPr="00B41DC4">
        <w:rPr>
          <w:rFonts w:hint="cs"/>
          <w:i/>
          <w:iCs/>
          <w:color w:val="000000"/>
          <w:rtl/>
          <w:lang w:bidi="ar-SY"/>
        </w:rPr>
        <w:t>الدولة الطرف</w:t>
      </w:r>
      <w:r w:rsidRPr="00363456">
        <w:rPr>
          <w:rFonts w:hint="cs"/>
          <w:color w:val="000000"/>
          <w:rtl/>
          <w:lang w:bidi="ar-SY"/>
        </w:rPr>
        <w:t>:</w:t>
      </w:r>
      <w:r w:rsidRPr="00B41DC4">
        <w:rPr>
          <w:rFonts w:hint="cs"/>
          <w:color w:val="000000"/>
          <w:rtl/>
          <w:lang w:bidi="ar-SY"/>
        </w:rPr>
        <w:tab/>
        <w:t>السويد</w:t>
      </w:r>
    </w:p>
    <w:p w:rsidR="00363456" w:rsidRPr="00176BBE" w:rsidRDefault="00363456" w:rsidP="008671F0">
      <w:pPr>
        <w:pStyle w:val="SingleTxtGA"/>
        <w:tabs>
          <w:tab w:val="clear" w:pos="2608"/>
          <w:tab w:val="clear" w:pos="3289"/>
          <w:tab w:val="clear" w:pos="3969"/>
          <w:tab w:val="clear" w:pos="4649"/>
          <w:tab w:val="clear" w:pos="5330"/>
          <w:tab w:val="left" w:pos="4598"/>
        </w:tabs>
        <w:ind w:left="4598" w:hanging="2700"/>
        <w:rPr>
          <w:rFonts w:hint="cs"/>
          <w:color w:val="000000"/>
          <w:spacing w:val="-4"/>
          <w:rtl/>
        </w:rPr>
      </w:pPr>
      <w:r w:rsidRPr="00176BBE">
        <w:rPr>
          <w:rFonts w:hint="cs"/>
          <w:i/>
          <w:iCs/>
          <w:color w:val="000000"/>
          <w:spacing w:val="-4"/>
          <w:rtl/>
          <w:lang w:bidi="ar-SY"/>
        </w:rPr>
        <w:t>تاريخ تقديم الشكوى</w:t>
      </w:r>
      <w:r w:rsidRPr="008671F0">
        <w:rPr>
          <w:rFonts w:hint="cs"/>
          <w:color w:val="000000"/>
          <w:spacing w:val="-4"/>
          <w:rtl/>
          <w:lang w:bidi="ar-SY"/>
        </w:rPr>
        <w:t>:</w:t>
      </w:r>
      <w:r w:rsidRPr="00176BBE">
        <w:rPr>
          <w:rFonts w:hint="cs"/>
          <w:color w:val="000000"/>
          <w:spacing w:val="-4"/>
          <w:rtl/>
          <w:lang w:bidi="ar-SY"/>
        </w:rPr>
        <w:tab/>
      </w:r>
      <w:r w:rsidRPr="00176BBE">
        <w:rPr>
          <w:rFonts w:hint="cs"/>
          <w:color w:val="000000"/>
          <w:spacing w:val="-4"/>
          <w:rtl/>
        </w:rPr>
        <w:t>13 أيار/مايو 2009</w:t>
      </w:r>
      <w:r w:rsidRPr="00176BBE">
        <w:rPr>
          <w:color w:val="000000"/>
          <w:spacing w:val="-4"/>
          <w:rtl/>
        </w:rPr>
        <w:t xml:space="preserve"> (تاريخ الرسالة الأولى)</w:t>
      </w:r>
    </w:p>
    <w:p w:rsidR="00363456" w:rsidRPr="00B41DC4" w:rsidRDefault="00363456" w:rsidP="00363456">
      <w:pPr>
        <w:pStyle w:val="SingleTxtGA"/>
        <w:rPr>
          <w:rFonts w:hint="cs"/>
          <w:color w:val="000000"/>
          <w:sz w:val="30"/>
          <w:szCs w:val="20"/>
          <w:rtl/>
        </w:rPr>
      </w:pPr>
      <w:r w:rsidRPr="00B41DC4">
        <w:rPr>
          <w:rFonts w:hint="cs"/>
          <w:i/>
          <w:iCs/>
          <w:color w:val="000000"/>
          <w:rtl/>
          <w:lang w:bidi="ar-SY"/>
        </w:rPr>
        <w:tab/>
        <w:t xml:space="preserve">إن </w:t>
      </w:r>
      <w:r>
        <w:rPr>
          <w:rFonts w:hint="cs"/>
          <w:i/>
          <w:iCs/>
          <w:color w:val="000000"/>
          <w:rtl/>
          <w:lang w:bidi="ar-SY"/>
        </w:rPr>
        <w:t>لج</w:t>
      </w:r>
      <w:r w:rsidRPr="00B41DC4">
        <w:rPr>
          <w:rFonts w:hint="cs"/>
          <w:i/>
          <w:iCs/>
          <w:color w:val="000000"/>
          <w:rtl/>
          <w:lang w:bidi="ar-SY"/>
        </w:rPr>
        <w:t>نة مناهضة التعذيب</w:t>
      </w:r>
      <w:r w:rsidRPr="00B41DC4">
        <w:rPr>
          <w:rFonts w:hint="cs"/>
          <w:color w:val="000000"/>
          <w:rtl/>
          <w:lang w:bidi="ar-SY"/>
        </w:rPr>
        <w:t xml:space="preserve">، المنشأة بموجب المادة 17 من </w:t>
      </w:r>
      <w:r w:rsidRPr="00B41DC4">
        <w:rPr>
          <w:color w:val="000000"/>
          <w:rtl/>
          <w:lang w:bidi="ar-SY"/>
        </w:rPr>
        <w:t>اتفاقية مناهضة التعذيب وغيره من ضروب المعاملة أو العقوبة القاسية أو اللاإنسانية أو المهينة</w:t>
      </w:r>
      <w:r w:rsidRPr="00B41DC4">
        <w:rPr>
          <w:rFonts w:hint="cs"/>
          <w:color w:val="000000"/>
          <w:rtl/>
          <w:lang w:bidi="ar-SY"/>
        </w:rPr>
        <w:t>،</w:t>
      </w:r>
    </w:p>
    <w:p w:rsidR="00363456" w:rsidRPr="00B41DC4" w:rsidRDefault="00363456" w:rsidP="00363456">
      <w:pPr>
        <w:pStyle w:val="SingleTxtGA"/>
        <w:rPr>
          <w:rFonts w:hint="cs"/>
          <w:color w:val="000000"/>
          <w:szCs w:val="20"/>
          <w:rtl/>
        </w:rPr>
      </w:pPr>
      <w:r w:rsidRPr="00B41DC4">
        <w:rPr>
          <w:rFonts w:hint="cs"/>
          <w:i/>
          <w:iCs/>
          <w:color w:val="000000"/>
          <w:rtl/>
          <w:lang w:bidi="ar-SY"/>
        </w:rPr>
        <w:tab/>
        <w:t>وقد اجتمعت</w:t>
      </w:r>
      <w:r w:rsidRPr="00B41DC4">
        <w:rPr>
          <w:rFonts w:hint="cs"/>
          <w:color w:val="000000"/>
          <w:rtl/>
          <w:lang w:bidi="ar-SY"/>
        </w:rPr>
        <w:t xml:space="preserve"> في </w:t>
      </w:r>
      <w:r w:rsidRPr="00B41DC4">
        <w:rPr>
          <w:rFonts w:hint="cs"/>
          <w:color w:val="000000"/>
          <w:rtl/>
        </w:rPr>
        <w:t xml:space="preserve">23 </w:t>
      </w:r>
      <w:r>
        <w:rPr>
          <w:rFonts w:hint="cs"/>
          <w:color w:val="000000"/>
          <w:rtl/>
        </w:rPr>
        <w:t>تشرين الثاني/نوفمبر</w:t>
      </w:r>
      <w:r w:rsidRPr="00B41DC4">
        <w:rPr>
          <w:rFonts w:hint="cs"/>
          <w:color w:val="000000"/>
          <w:rtl/>
        </w:rPr>
        <w:t xml:space="preserve"> 2012</w:t>
      </w:r>
      <w:r w:rsidRPr="00B41DC4">
        <w:rPr>
          <w:rFonts w:hint="cs"/>
          <w:color w:val="000000"/>
          <w:rtl/>
          <w:lang w:bidi="ar-SY"/>
        </w:rPr>
        <w:t>،</w:t>
      </w:r>
    </w:p>
    <w:p w:rsidR="00363456" w:rsidRPr="00B41DC4" w:rsidRDefault="00363456" w:rsidP="00363456">
      <w:pPr>
        <w:pStyle w:val="SingleTxtGA"/>
        <w:rPr>
          <w:rFonts w:hint="cs"/>
          <w:color w:val="000000"/>
          <w:rtl/>
          <w:lang w:bidi="ar-SY"/>
        </w:rPr>
      </w:pPr>
      <w:r w:rsidRPr="00B41DC4">
        <w:rPr>
          <w:rFonts w:hint="cs"/>
          <w:i/>
          <w:iCs/>
          <w:color w:val="000000"/>
          <w:rtl/>
          <w:lang w:bidi="ar-SY"/>
        </w:rPr>
        <w:tab/>
        <w:t>وقد فرغت</w:t>
      </w:r>
      <w:r w:rsidRPr="00B41DC4">
        <w:rPr>
          <w:rFonts w:hint="cs"/>
          <w:color w:val="000000"/>
          <w:rtl/>
          <w:lang w:bidi="ar-SY"/>
        </w:rPr>
        <w:t xml:space="preserve"> من النظر في الشكوى</w:t>
      </w:r>
      <w:r w:rsidRPr="00B41DC4">
        <w:rPr>
          <w:color w:val="000000"/>
          <w:rtl/>
          <w:lang w:bidi="ar-SY"/>
        </w:rPr>
        <w:t xml:space="preserve"> رقم </w:t>
      </w:r>
      <w:r>
        <w:rPr>
          <w:rFonts w:hint="cs"/>
          <w:color w:val="000000"/>
          <w:rtl/>
          <w:lang w:bidi="ar-SY"/>
        </w:rPr>
        <w:t>385</w:t>
      </w:r>
      <w:r w:rsidRPr="00B41DC4">
        <w:rPr>
          <w:color w:val="000000"/>
          <w:rtl/>
          <w:lang w:bidi="ar-SY"/>
        </w:rPr>
        <w:t>/20</w:t>
      </w:r>
      <w:r>
        <w:rPr>
          <w:rFonts w:hint="cs"/>
          <w:color w:val="000000"/>
          <w:rtl/>
          <w:lang w:bidi="ar-SY"/>
        </w:rPr>
        <w:t>09</w:t>
      </w:r>
      <w:r w:rsidRPr="00B41DC4">
        <w:rPr>
          <w:color w:val="000000"/>
          <w:rtl/>
          <w:lang w:bidi="ar-SY"/>
        </w:rPr>
        <w:t>، المقدم</w:t>
      </w:r>
      <w:r w:rsidRPr="00B41DC4">
        <w:rPr>
          <w:rFonts w:hint="cs"/>
          <w:color w:val="000000"/>
          <w:rtl/>
          <w:lang w:bidi="ar-SY"/>
        </w:rPr>
        <w:t>ة</w:t>
      </w:r>
      <w:r w:rsidRPr="00B41DC4">
        <w:rPr>
          <w:color w:val="000000"/>
          <w:rtl/>
          <w:lang w:bidi="ar-SY"/>
        </w:rPr>
        <w:t xml:space="preserve"> إلى لجنة مناهضة التعذيب من </w:t>
      </w:r>
      <w:r>
        <w:rPr>
          <w:rFonts w:hint="cs"/>
          <w:color w:val="000000"/>
          <w:rtl/>
          <w:lang w:bidi="ar-SY"/>
        </w:rPr>
        <w:t>م</w:t>
      </w:r>
      <w:r w:rsidRPr="00E65B41">
        <w:rPr>
          <w:color w:val="000000"/>
          <w:rtl/>
          <w:lang w:bidi="ar-SY"/>
        </w:rPr>
        <w:t xml:space="preserve">. أ. ف. </w:t>
      </w:r>
      <w:r w:rsidRPr="00B41DC4">
        <w:rPr>
          <w:color w:val="000000"/>
          <w:rtl/>
          <w:lang w:bidi="ar-SY"/>
        </w:rPr>
        <w:t>بموجب المادة 22 من اتفاقية</w:t>
      </w:r>
      <w:r w:rsidRPr="00B41DC4">
        <w:rPr>
          <w:rFonts w:hint="cs"/>
          <w:color w:val="000000"/>
          <w:rtl/>
          <w:lang w:bidi="ar-SY"/>
        </w:rPr>
        <w:t xml:space="preserve"> </w:t>
      </w:r>
      <w:r w:rsidRPr="00B41DC4">
        <w:rPr>
          <w:color w:val="000000"/>
          <w:rtl/>
          <w:lang w:bidi="ar-SY"/>
        </w:rPr>
        <w:t>مناهضة التعذيب وغيره من ضروب المعاملة أو العقوبة القاسية أو اللاإنسانية أو المهينة</w:t>
      </w:r>
      <w:r w:rsidRPr="00B41DC4">
        <w:rPr>
          <w:rFonts w:hint="cs"/>
          <w:color w:val="000000"/>
          <w:rtl/>
          <w:lang w:bidi="ar-SY"/>
        </w:rPr>
        <w:t>،</w:t>
      </w:r>
    </w:p>
    <w:p w:rsidR="00363456" w:rsidRPr="00B41DC4" w:rsidRDefault="00363456" w:rsidP="00363456">
      <w:pPr>
        <w:pStyle w:val="SingleTxtGA"/>
        <w:rPr>
          <w:rFonts w:hint="cs"/>
          <w:color w:val="000000"/>
          <w:szCs w:val="20"/>
          <w:rtl/>
        </w:rPr>
      </w:pPr>
      <w:r w:rsidRPr="00B41DC4">
        <w:rPr>
          <w:rFonts w:hint="cs"/>
          <w:i/>
          <w:iCs/>
          <w:color w:val="000000"/>
          <w:rtl/>
          <w:lang w:bidi="ar-SY"/>
        </w:rPr>
        <w:tab/>
        <w:t>وقد</w:t>
      </w:r>
      <w:r w:rsidRPr="00176BBE">
        <w:rPr>
          <w:rFonts w:hint="cs"/>
          <w:i/>
          <w:iCs/>
          <w:color w:val="000000"/>
          <w:rtl/>
          <w:lang w:bidi="ar-SY"/>
        </w:rPr>
        <w:t xml:space="preserve"> أخذت في الحسبان</w:t>
      </w:r>
      <w:r>
        <w:rPr>
          <w:rFonts w:hint="cs"/>
          <w:color w:val="000000"/>
          <w:rtl/>
          <w:lang w:bidi="ar-SY"/>
        </w:rPr>
        <w:t xml:space="preserve"> </w:t>
      </w:r>
      <w:r w:rsidRPr="00B41DC4">
        <w:rPr>
          <w:rFonts w:hint="cs"/>
          <w:color w:val="000000"/>
          <w:rtl/>
          <w:lang w:bidi="ar-SY"/>
        </w:rPr>
        <w:t xml:space="preserve">جميع المعلومات التي أتاحها لها </w:t>
      </w:r>
      <w:r>
        <w:rPr>
          <w:rFonts w:hint="cs"/>
          <w:color w:val="000000"/>
          <w:rtl/>
          <w:lang w:bidi="ar-SY"/>
        </w:rPr>
        <w:t>صاحب الشكوى</w:t>
      </w:r>
      <w:r w:rsidRPr="00B41DC4">
        <w:rPr>
          <w:rFonts w:hint="cs"/>
          <w:color w:val="000000"/>
          <w:rtl/>
          <w:lang w:bidi="ar-SY"/>
        </w:rPr>
        <w:t xml:space="preserve"> والدولة الطرف،</w:t>
      </w:r>
    </w:p>
    <w:p w:rsidR="00363456" w:rsidRPr="00B41DC4" w:rsidRDefault="00363456" w:rsidP="00363456">
      <w:pPr>
        <w:pStyle w:val="SingleTxtGA"/>
        <w:rPr>
          <w:rFonts w:hint="cs"/>
          <w:i/>
          <w:iCs/>
          <w:color w:val="000000"/>
          <w:rtl/>
        </w:rPr>
      </w:pPr>
      <w:r w:rsidRPr="00B41DC4">
        <w:rPr>
          <w:rFonts w:hint="cs"/>
          <w:i/>
          <w:iCs/>
          <w:color w:val="000000"/>
          <w:rtl/>
          <w:lang w:bidi="ar-SY"/>
        </w:rPr>
        <w:tab/>
        <w:t xml:space="preserve">تعتمد </w:t>
      </w:r>
      <w:r w:rsidRPr="00B41DC4">
        <w:rPr>
          <w:rFonts w:hint="cs"/>
          <w:color w:val="000000"/>
          <w:rtl/>
          <w:lang w:bidi="ar-SY"/>
        </w:rPr>
        <w:t>ما يلي</w:t>
      </w:r>
      <w:r w:rsidRPr="00B41DC4">
        <w:rPr>
          <w:rFonts w:hint="cs"/>
          <w:color w:val="000000"/>
          <w:rtl/>
        </w:rPr>
        <w:t>:</w:t>
      </w:r>
    </w:p>
    <w:p w:rsidR="00363456" w:rsidRPr="00B41DC4" w:rsidRDefault="00363456" w:rsidP="008671F0">
      <w:pPr>
        <w:pStyle w:val="H1GA"/>
        <w:rPr>
          <w:rFonts w:hint="cs"/>
          <w:rtl/>
        </w:rPr>
      </w:pPr>
      <w:r w:rsidRPr="00B41DC4">
        <w:rPr>
          <w:rFonts w:hint="cs"/>
          <w:rtl/>
        </w:rPr>
        <w:tab/>
      </w:r>
      <w:r w:rsidRPr="00B41DC4">
        <w:rPr>
          <w:rFonts w:hint="cs"/>
          <w:rtl/>
        </w:rPr>
        <w:tab/>
      </w:r>
      <w:r w:rsidRPr="00B41DC4">
        <w:rPr>
          <w:rtl/>
        </w:rPr>
        <w:t>قرار بموجب الفقرة 7 من المادة 22 من اتفاقية مناهضة التعذيب</w:t>
      </w:r>
    </w:p>
    <w:p w:rsidR="00363456" w:rsidRPr="00B41DC4" w:rsidRDefault="00363456" w:rsidP="00363456">
      <w:pPr>
        <w:pStyle w:val="SingleTxtGA"/>
        <w:rPr>
          <w:rFonts w:hint="cs"/>
          <w:color w:val="000000"/>
          <w:rtl/>
          <w:lang w:val="en-CA"/>
        </w:rPr>
      </w:pPr>
      <w:r w:rsidRPr="00B41DC4">
        <w:rPr>
          <w:rFonts w:hint="cs"/>
          <w:color w:val="000000"/>
          <w:rtl/>
          <w:lang w:bidi="ar-MA"/>
        </w:rPr>
        <w:t>1-1</w:t>
      </w:r>
      <w:r w:rsidRPr="00B41DC4">
        <w:rPr>
          <w:rFonts w:hint="cs"/>
          <w:color w:val="000000"/>
          <w:rtl/>
          <w:lang w:bidi="ar-MA"/>
        </w:rPr>
        <w:tab/>
        <w:t>صاحب</w:t>
      </w:r>
      <w:r>
        <w:rPr>
          <w:rFonts w:hint="cs"/>
          <w:color w:val="000000"/>
          <w:rtl/>
          <w:lang w:bidi="ar-MA"/>
        </w:rPr>
        <w:t xml:space="preserve"> الشكوى الرئيسي هو السيد م. أ. ف.، وهو مواطن ليبي من مواليد عام</w:t>
      </w:r>
      <w:r>
        <w:rPr>
          <w:rFonts w:hint="eastAsia"/>
          <w:color w:val="000000"/>
          <w:rtl/>
          <w:lang w:bidi="ar-MA"/>
        </w:rPr>
        <w:t> </w:t>
      </w:r>
      <w:r>
        <w:rPr>
          <w:rFonts w:hint="cs"/>
          <w:color w:val="000000"/>
          <w:rtl/>
          <w:lang w:bidi="ar-MA"/>
        </w:rPr>
        <w:t xml:space="preserve">1971. وأصحاب الشكوى الآخرون هم زوجته ز. أ.، وهي مواطنة ليبية من مواليد عام 1970، وأطفالها الخمسة. </w:t>
      </w:r>
      <w:r w:rsidRPr="00B41DC4">
        <w:rPr>
          <w:rFonts w:hint="cs"/>
          <w:color w:val="000000"/>
          <w:rtl/>
          <w:lang w:val="en-CA"/>
        </w:rPr>
        <w:t>و</w:t>
      </w:r>
      <w:r>
        <w:rPr>
          <w:rFonts w:hint="cs"/>
          <w:color w:val="000000"/>
          <w:rtl/>
          <w:lang w:val="en-CA"/>
        </w:rPr>
        <w:t>ي</w:t>
      </w:r>
      <w:r w:rsidRPr="00B41DC4">
        <w:rPr>
          <w:rFonts w:hint="cs"/>
          <w:color w:val="000000"/>
          <w:rtl/>
          <w:lang w:val="en-CA"/>
        </w:rPr>
        <w:t>د</w:t>
      </w:r>
      <w:r>
        <w:rPr>
          <w:rFonts w:hint="cs"/>
          <w:color w:val="000000"/>
          <w:rtl/>
          <w:lang w:val="en-CA"/>
        </w:rPr>
        <w:t>ّ</w:t>
      </w:r>
      <w:r w:rsidRPr="00B41DC4">
        <w:rPr>
          <w:rFonts w:hint="cs"/>
          <w:color w:val="000000"/>
          <w:rtl/>
          <w:lang w:val="en-CA"/>
        </w:rPr>
        <w:t xml:space="preserve">عي </w:t>
      </w:r>
      <w:r>
        <w:rPr>
          <w:rFonts w:hint="cs"/>
          <w:color w:val="000000"/>
          <w:rtl/>
          <w:lang w:val="en-CA"/>
        </w:rPr>
        <w:t xml:space="preserve">أصحاب الشكوى أن ترحيلهم إلى ليبيا يشكل انتهاكاً من جانب الدولة الطرف للمادة 3 من الاتفاقية. ولا </w:t>
      </w:r>
      <w:r w:rsidRPr="00B41DC4">
        <w:rPr>
          <w:rFonts w:hint="cs"/>
          <w:color w:val="000000"/>
          <w:rtl/>
          <w:lang w:val="en-CA"/>
        </w:rPr>
        <w:t xml:space="preserve">يمثل </w:t>
      </w:r>
      <w:r>
        <w:rPr>
          <w:rFonts w:hint="cs"/>
          <w:color w:val="000000"/>
          <w:rtl/>
          <w:lang w:val="en-CA"/>
        </w:rPr>
        <w:t>أصحاب الشكوى محام</w:t>
      </w:r>
      <w:r w:rsidRPr="00B41DC4">
        <w:rPr>
          <w:rFonts w:hint="cs"/>
          <w:color w:val="000000"/>
          <w:rtl/>
          <w:lang w:val="en-CA"/>
        </w:rPr>
        <w:t xml:space="preserve">. </w:t>
      </w:r>
    </w:p>
    <w:p w:rsidR="00363456" w:rsidRPr="00B41DC4" w:rsidRDefault="00363456" w:rsidP="00363456">
      <w:pPr>
        <w:pStyle w:val="SingleTxtGA"/>
        <w:rPr>
          <w:rFonts w:hint="cs"/>
          <w:color w:val="000000"/>
          <w:rtl/>
          <w:lang w:val="en-CA"/>
        </w:rPr>
      </w:pPr>
      <w:r w:rsidRPr="00B41DC4">
        <w:rPr>
          <w:rFonts w:hint="cs"/>
          <w:color w:val="000000"/>
          <w:rtl/>
          <w:lang w:bidi="ar-MA"/>
        </w:rPr>
        <w:t>1-2</w:t>
      </w:r>
      <w:r w:rsidRPr="00B41DC4">
        <w:rPr>
          <w:rFonts w:hint="cs"/>
          <w:color w:val="000000"/>
          <w:rtl/>
          <w:lang w:bidi="ar-MA"/>
        </w:rPr>
        <w:tab/>
      </w:r>
      <w:r w:rsidRPr="00B41DC4">
        <w:rPr>
          <w:rFonts w:hint="cs"/>
          <w:color w:val="000000"/>
          <w:rtl/>
        </w:rPr>
        <w:t>و</w:t>
      </w:r>
      <w:r w:rsidRPr="00B41DC4">
        <w:rPr>
          <w:rFonts w:hint="cs"/>
          <w:color w:val="000000"/>
          <w:rtl/>
          <w:lang w:val="en-CA"/>
        </w:rPr>
        <w:t xml:space="preserve">في </w:t>
      </w:r>
      <w:r>
        <w:rPr>
          <w:rFonts w:hint="cs"/>
          <w:color w:val="000000"/>
          <w:rtl/>
          <w:lang w:val="en-CA"/>
        </w:rPr>
        <w:t>26 حزيران/يونيه 2009،</w:t>
      </w:r>
      <w:r w:rsidRPr="00B41DC4">
        <w:rPr>
          <w:rFonts w:hint="cs"/>
          <w:color w:val="000000"/>
          <w:rtl/>
        </w:rPr>
        <w:t xml:space="preserve"> </w:t>
      </w:r>
      <w:r w:rsidRPr="00B41DC4">
        <w:rPr>
          <w:rFonts w:hint="cs"/>
          <w:color w:val="000000"/>
          <w:rtl/>
          <w:lang w:bidi="ar-MA"/>
        </w:rPr>
        <w:t xml:space="preserve">طلبت اللجنة </w:t>
      </w:r>
      <w:r w:rsidRPr="00B41DC4">
        <w:rPr>
          <w:rFonts w:hint="cs"/>
          <w:color w:val="000000"/>
          <w:rtl/>
          <w:lang w:val="en-CA"/>
        </w:rPr>
        <w:t>إلى الدولة الطرف</w:t>
      </w:r>
      <w:r w:rsidRPr="00B41DC4">
        <w:rPr>
          <w:rFonts w:hint="cs"/>
          <w:color w:val="000000"/>
          <w:rtl/>
          <w:lang w:bidi="ar-MA"/>
        </w:rPr>
        <w:t xml:space="preserve">، </w:t>
      </w:r>
      <w:r>
        <w:rPr>
          <w:rFonts w:hint="cs"/>
          <w:color w:val="000000"/>
          <w:rtl/>
          <w:lang w:bidi="ar-MA"/>
        </w:rPr>
        <w:t>تطبيقاً للفقرة 1 من المادة 108 من</w:t>
      </w:r>
      <w:r w:rsidRPr="00B41DC4">
        <w:rPr>
          <w:rFonts w:hint="cs"/>
          <w:color w:val="000000"/>
          <w:rtl/>
          <w:lang w:bidi="ar-MA"/>
        </w:rPr>
        <w:t xml:space="preserve"> </w:t>
      </w:r>
      <w:r w:rsidRPr="00B41DC4">
        <w:rPr>
          <w:rFonts w:hint="cs"/>
          <w:color w:val="000000"/>
          <w:rtl/>
          <w:lang w:val="en-CA"/>
        </w:rPr>
        <w:t>نظامها الداخلي</w:t>
      </w:r>
      <w:r w:rsidRPr="00B41DC4">
        <w:rPr>
          <w:rFonts w:hint="cs"/>
          <w:color w:val="000000"/>
          <w:sz w:val="28"/>
          <w:szCs w:val="28"/>
          <w:vertAlign w:val="superscript"/>
          <w:rtl/>
          <w:lang w:val="en-CA"/>
        </w:rPr>
        <w:t>(</w:t>
      </w:r>
      <w:r w:rsidRPr="00B41DC4">
        <w:rPr>
          <w:color w:val="000000"/>
          <w:sz w:val="28"/>
          <w:szCs w:val="28"/>
          <w:vertAlign w:val="superscript"/>
          <w:rtl/>
        </w:rPr>
        <w:footnoteReference w:id="36"/>
      </w:r>
      <w:r w:rsidRPr="00B41DC4">
        <w:rPr>
          <w:rFonts w:hint="cs"/>
          <w:color w:val="000000"/>
          <w:sz w:val="28"/>
          <w:szCs w:val="28"/>
          <w:vertAlign w:val="superscript"/>
          <w:rtl/>
          <w:lang w:val="en-CA"/>
        </w:rPr>
        <w:t>)</w:t>
      </w:r>
      <w:r>
        <w:rPr>
          <w:rFonts w:hint="cs"/>
          <w:color w:val="000000"/>
          <w:rtl/>
          <w:lang w:val="en-CA"/>
        </w:rPr>
        <w:t xml:space="preserve">، </w:t>
      </w:r>
      <w:r w:rsidRPr="00B41DC4">
        <w:rPr>
          <w:rFonts w:hint="cs"/>
          <w:color w:val="000000"/>
          <w:rtl/>
          <w:lang w:val="en-CA"/>
        </w:rPr>
        <w:t xml:space="preserve">عدم طرد </w:t>
      </w:r>
      <w:r>
        <w:rPr>
          <w:rFonts w:hint="cs"/>
          <w:color w:val="000000"/>
          <w:rtl/>
          <w:lang w:val="en-CA"/>
        </w:rPr>
        <w:t>أصحاب</w:t>
      </w:r>
      <w:r>
        <w:rPr>
          <w:rFonts w:hint="cs"/>
          <w:color w:val="000000"/>
          <w:rtl/>
          <w:lang w:val="en-CA" w:bidi="ar-EG"/>
        </w:rPr>
        <w:t xml:space="preserve"> الشكوى إلى ليبيا</w:t>
      </w:r>
      <w:r w:rsidRPr="00B41DC4">
        <w:rPr>
          <w:rFonts w:hint="cs"/>
          <w:color w:val="000000"/>
          <w:sz w:val="28"/>
          <w:szCs w:val="28"/>
          <w:vertAlign w:val="superscript"/>
          <w:rtl/>
          <w:lang w:val="en-CA"/>
        </w:rPr>
        <w:t>(</w:t>
      </w:r>
      <w:r w:rsidRPr="00B41DC4">
        <w:rPr>
          <w:color w:val="000000"/>
          <w:sz w:val="28"/>
          <w:szCs w:val="28"/>
          <w:vertAlign w:val="superscript"/>
          <w:rtl/>
        </w:rPr>
        <w:footnoteReference w:id="37"/>
      </w:r>
      <w:r w:rsidRPr="00B41DC4">
        <w:rPr>
          <w:rFonts w:hint="cs"/>
          <w:color w:val="000000"/>
          <w:sz w:val="28"/>
          <w:szCs w:val="28"/>
          <w:vertAlign w:val="superscript"/>
          <w:rtl/>
          <w:lang w:val="en-CA"/>
        </w:rPr>
        <w:t>)</w:t>
      </w:r>
      <w:r>
        <w:rPr>
          <w:rFonts w:hint="cs"/>
          <w:color w:val="000000"/>
          <w:rtl/>
          <w:lang w:val="en-CA" w:bidi="ar-EG"/>
        </w:rPr>
        <w:t xml:space="preserve"> </w:t>
      </w:r>
      <w:r>
        <w:rPr>
          <w:rFonts w:hint="cs"/>
          <w:color w:val="000000"/>
          <w:rtl/>
          <w:lang w:val="en-CA"/>
        </w:rPr>
        <w:t>أثناء النظر</w:t>
      </w:r>
      <w:r w:rsidRPr="00B41DC4">
        <w:rPr>
          <w:rFonts w:hint="cs"/>
          <w:color w:val="000000"/>
          <w:rtl/>
          <w:lang w:val="en-CA"/>
        </w:rPr>
        <w:t xml:space="preserve"> في</w:t>
      </w:r>
      <w:r>
        <w:rPr>
          <w:rFonts w:hint="eastAsia"/>
          <w:color w:val="000000"/>
          <w:rtl/>
          <w:lang w:val="en-CA"/>
        </w:rPr>
        <w:t> </w:t>
      </w:r>
      <w:r>
        <w:rPr>
          <w:rFonts w:hint="cs"/>
          <w:color w:val="000000"/>
          <w:rtl/>
          <w:lang w:val="en-CA"/>
        </w:rPr>
        <w:t>شكواهم</w:t>
      </w:r>
      <w:r w:rsidRPr="00B41DC4">
        <w:rPr>
          <w:rFonts w:hint="cs"/>
          <w:color w:val="000000"/>
          <w:rtl/>
          <w:lang w:val="en-CA"/>
        </w:rPr>
        <w:t>.</w:t>
      </w:r>
    </w:p>
    <w:p w:rsidR="00363456" w:rsidRPr="00B41DC4" w:rsidRDefault="00363456" w:rsidP="00363456">
      <w:pPr>
        <w:pStyle w:val="H23GA"/>
        <w:rPr>
          <w:rFonts w:hint="cs"/>
          <w:rtl/>
        </w:rPr>
      </w:pPr>
      <w:r>
        <w:rPr>
          <w:rFonts w:hint="cs"/>
          <w:rtl/>
        </w:rPr>
        <w:tab/>
      </w:r>
      <w:r>
        <w:rPr>
          <w:rFonts w:hint="cs"/>
          <w:rtl/>
        </w:rPr>
        <w:tab/>
      </w:r>
      <w:r w:rsidRPr="00B41DC4">
        <w:rPr>
          <w:rFonts w:hint="eastAsia"/>
          <w:rtl/>
        </w:rPr>
        <w:t>الوقائع</w:t>
      </w:r>
      <w:r>
        <w:rPr>
          <w:rFonts w:hint="cs"/>
          <w:rtl/>
        </w:rPr>
        <w:t xml:space="preserve"> كما عرضها أصحاب الشكوى</w:t>
      </w:r>
    </w:p>
    <w:p w:rsidR="00363456" w:rsidRDefault="00363456" w:rsidP="00363456">
      <w:pPr>
        <w:pStyle w:val="SingleTxtGA"/>
        <w:rPr>
          <w:rFonts w:ascii="Traditional Arabic" w:hAnsi="Traditional Arabic" w:hint="cs"/>
          <w:color w:val="000000"/>
          <w:rtl/>
          <w:lang w:val="en-CA" w:bidi="ar-EG"/>
        </w:rPr>
      </w:pPr>
      <w:r w:rsidRPr="00B41DC4">
        <w:rPr>
          <w:color w:val="000000"/>
          <w:rtl/>
          <w:lang w:val="en-CA"/>
        </w:rPr>
        <w:t>2-1</w:t>
      </w:r>
      <w:r w:rsidRPr="00B41DC4">
        <w:rPr>
          <w:color w:val="000000"/>
          <w:rtl/>
          <w:lang w:val="en-CA"/>
        </w:rPr>
        <w:tab/>
      </w:r>
      <w:r>
        <w:rPr>
          <w:rFonts w:hint="cs"/>
          <w:color w:val="000000"/>
          <w:rtl/>
          <w:lang w:val="en-CA"/>
        </w:rPr>
        <w:t>كان شقيق م. أ. ف. ناشطاً سياسياً ضد حكومة القذافي وأُلقي القبض عليه وحُكم عليه بالسجن في عام 2001</w:t>
      </w:r>
      <w:r w:rsidRPr="00B41DC4">
        <w:rPr>
          <w:rFonts w:ascii="Traditional Arabic" w:hAnsi="Traditional Arabic" w:hint="cs"/>
          <w:color w:val="000000"/>
          <w:rtl/>
        </w:rPr>
        <w:t>.</w:t>
      </w:r>
      <w:r>
        <w:rPr>
          <w:rFonts w:ascii="Traditional Arabic" w:hAnsi="Traditional Arabic" w:hint="cs"/>
          <w:color w:val="000000"/>
          <w:rtl/>
        </w:rPr>
        <w:t xml:space="preserve"> وصادرت السلطات الليبية منزل صاحب الشكوى، بعد إلقاء القبض على شقيقه، وأمرت رب عمل م. أ. ف. بفصله عن العمل، متهمة إياه وأسرته بدعم المعارضة ضد حكومة القذافي. وتعرض م. أ. ف. للعنف والتعذيب أثناء استجوابات أجرتها معه قوات الأمن الليبية في كانون الثاني/يناير 2001 ومرة أخرى في تشرين الثاني/ نوفمبر</w:t>
      </w:r>
      <w:r>
        <w:rPr>
          <w:rFonts w:ascii="Traditional Arabic" w:hAnsi="Traditional Arabic" w:hint="eastAsia"/>
          <w:color w:val="000000"/>
          <w:rtl/>
        </w:rPr>
        <w:t> </w:t>
      </w:r>
      <w:r>
        <w:rPr>
          <w:rFonts w:ascii="Traditional Arabic" w:hAnsi="Traditional Arabic" w:hint="cs"/>
          <w:color w:val="000000"/>
          <w:rtl/>
        </w:rPr>
        <w:t>2002، عندما كسرت الشرطة أنفه. وفي</w:t>
      </w:r>
      <w:r w:rsidRPr="00707ABF">
        <w:rPr>
          <w:rFonts w:ascii="Traditional Arabic" w:hAnsi="Traditional Arabic" w:hint="cs"/>
          <w:color w:val="000000"/>
          <w:rtl/>
        </w:rPr>
        <w:t xml:space="preserve"> </w:t>
      </w:r>
      <w:r>
        <w:rPr>
          <w:rFonts w:ascii="Traditional Arabic" w:hAnsi="Traditional Arabic" w:hint="cs"/>
          <w:color w:val="000000"/>
          <w:rtl/>
        </w:rPr>
        <w:t xml:space="preserve">تشرين الثاني/نوفمبر 2002 أيضاً، </w:t>
      </w:r>
      <w:r>
        <w:rPr>
          <w:rFonts w:ascii="Traditional Arabic" w:hAnsi="Traditional Arabic" w:hint="cs"/>
          <w:color w:val="000000"/>
          <w:rtl/>
          <w:lang w:val="en-CA" w:bidi="ar-EG"/>
        </w:rPr>
        <w:t>دفعت الشرطة بعنف ز. أ.، مما تسبب في وقوعها وفقدانها للجنين الذي كانت تحمله. وفي عام</w:t>
      </w:r>
      <w:r>
        <w:rPr>
          <w:rFonts w:ascii="Traditional Arabic" w:hAnsi="Traditional Arabic" w:hint="eastAsia"/>
          <w:color w:val="000000"/>
          <w:rtl/>
          <w:lang w:val="en-CA" w:bidi="ar-EG"/>
        </w:rPr>
        <w:t> </w:t>
      </w:r>
      <w:r>
        <w:rPr>
          <w:rFonts w:ascii="Traditional Arabic" w:hAnsi="Traditional Arabic" w:hint="cs"/>
          <w:color w:val="000000"/>
          <w:rtl/>
          <w:lang w:val="en-CA" w:bidi="ar-EG"/>
        </w:rPr>
        <w:t>2003، ألقت السلطات الليبية القبض على أحد الأشقاء الآخرين للسيد م. أ. ف. وسجنته. وكان الشقيقان لا يزالان في السجن وقت تقديم الشكوى. وفي 4 أيار/ مايو</w:t>
      </w:r>
      <w:r>
        <w:rPr>
          <w:rFonts w:ascii="Traditional Arabic" w:hAnsi="Traditional Arabic" w:hint="eastAsia"/>
          <w:color w:val="000000"/>
          <w:rtl/>
          <w:lang w:val="en-CA" w:bidi="ar-EG"/>
        </w:rPr>
        <w:t> </w:t>
      </w:r>
      <w:r>
        <w:rPr>
          <w:rFonts w:ascii="Traditional Arabic" w:hAnsi="Traditional Arabic" w:hint="cs"/>
          <w:color w:val="000000"/>
          <w:rtl/>
          <w:lang w:val="en-CA" w:bidi="ar-EG"/>
        </w:rPr>
        <w:t>2006، أُلقي القبض على م.</w:t>
      </w:r>
      <w:r>
        <w:rPr>
          <w:rFonts w:ascii="Traditional Arabic" w:hAnsi="Traditional Arabic" w:hint="eastAsia"/>
          <w:color w:val="000000"/>
          <w:rtl/>
          <w:lang w:val="en-CA" w:bidi="ar-EG"/>
        </w:rPr>
        <w:t> </w:t>
      </w:r>
      <w:r>
        <w:rPr>
          <w:rFonts w:ascii="Traditional Arabic" w:hAnsi="Traditional Arabic" w:hint="cs"/>
          <w:color w:val="000000"/>
          <w:rtl/>
          <w:lang w:val="en-CA" w:bidi="ar-EG"/>
        </w:rPr>
        <w:t>أ.</w:t>
      </w:r>
      <w:r>
        <w:rPr>
          <w:rFonts w:ascii="Traditional Arabic" w:hAnsi="Traditional Arabic" w:hint="eastAsia"/>
          <w:color w:val="000000"/>
          <w:rtl/>
          <w:lang w:val="en-CA" w:bidi="ar-EG"/>
        </w:rPr>
        <w:t> </w:t>
      </w:r>
      <w:r>
        <w:rPr>
          <w:rFonts w:ascii="Traditional Arabic" w:hAnsi="Traditional Arabic" w:hint="cs"/>
          <w:color w:val="000000"/>
          <w:rtl/>
          <w:lang w:val="en-CA" w:bidi="ar-EG"/>
        </w:rPr>
        <w:t xml:space="preserve">ف. وسُجن لمدة شهرين، تعرض خلالها للتعذيب. وأصيبت السيدة ز. أ. بانهيار عصبي بعد احتجازه ولم يعد باستطاعة أبنائه الذهاب إلى المدرسة، بالنظر إلى أن الأسرة غيرت محل إقامتها مرات عديدة بسبب اضطهاد السلطات الليبية. وفي آذار/مارس 2007، أصدرت السلطات الليبية أمراً بإلقاء القبض على م. أ. ف.، على أن ينفذ قبل 1 أيلول/سبتمبر 2007. وقرر أصحاب الشكوى التماس اللجوء في بلد أوروبي. ودفع أصحاب الشكوى 000 15 دولار من دولارات الولايات المتحدة و000 30 دينار ليبي لمسؤول ليبي رفيع المستوى يعمل في دائرة جوازات السفر، قدم إلى الأسرة جوازات سفر مزيفة بأسماء مختلفة. وسافر هذا المسؤول مع الأسرة إلى </w:t>
      </w:r>
      <w:r w:rsidR="00EF7160">
        <w:rPr>
          <w:rFonts w:ascii="Traditional Arabic" w:hAnsi="Traditional Arabic" w:hint="cs"/>
          <w:color w:val="000000"/>
          <w:rtl/>
          <w:lang w:val="en-CA" w:bidi="ar-EG"/>
        </w:rPr>
        <w:t>ا</w:t>
      </w:r>
      <w:r>
        <w:rPr>
          <w:rFonts w:ascii="Traditional Arabic" w:hAnsi="Traditional Arabic" w:hint="cs"/>
          <w:color w:val="000000"/>
          <w:rtl/>
          <w:lang w:val="en-CA" w:bidi="ar-EG"/>
        </w:rPr>
        <w:t>ستكهولم، حيث استعاد جوازات السفر المزيفة</w:t>
      </w:r>
      <w:r w:rsidRPr="000B64EE">
        <w:rPr>
          <w:rFonts w:ascii="Traditional Arabic" w:hAnsi="Traditional Arabic" w:hint="cs"/>
          <w:color w:val="000000"/>
          <w:rtl/>
          <w:lang w:val="en-CA" w:bidi="ar-EG"/>
        </w:rPr>
        <w:t xml:space="preserve"> </w:t>
      </w:r>
      <w:r>
        <w:rPr>
          <w:rFonts w:ascii="Traditional Arabic" w:hAnsi="Traditional Arabic" w:hint="cs"/>
          <w:color w:val="000000"/>
          <w:rtl/>
          <w:lang w:val="en-CA" w:bidi="ar-EG"/>
        </w:rPr>
        <w:t>مرة أخرى قبل العودة إلى طرابلس.</w:t>
      </w:r>
    </w:p>
    <w:p w:rsidR="00363456" w:rsidRPr="00253C94" w:rsidRDefault="00363456" w:rsidP="00363456">
      <w:pPr>
        <w:pStyle w:val="SingleTxtGA"/>
        <w:rPr>
          <w:rFonts w:ascii="Traditional Arabic" w:hAnsi="Traditional Arabic"/>
          <w:color w:val="000000"/>
          <w:lang w:val="en-CA"/>
        </w:rPr>
      </w:pPr>
      <w:r w:rsidRPr="00B41DC4">
        <w:rPr>
          <w:rFonts w:ascii="Traditional Arabic" w:hAnsi="Traditional Arabic"/>
          <w:color w:val="000000"/>
          <w:rtl/>
        </w:rPr>
        <w:t>2-2</w:t>
      </w:r>
      <w:r w:rsidRPr="00B41DC4">
        <w:rPr>
          <w:rFonts w:ascii="Traditional Arabic" w:hAnsi="Traditional Arabic"/>
          <w:color w:val="000000"/>
          <w:rtl/>
        </w:rPr>
        <w:tab/>
      </w:r>
      <w:r>
        <w:rPr>
          <w:rFonts w:ascii="Traditional Arabic" w:hAnsi="Traditional Arabic" w:hint="cs"/>
          <w:color w:val="000000"/>
          <w:rtl/>
        </w:rPr>
        <w:t>وعقب وصول أصحاب الشكوى إلى السويد في 28 أيار/مايو 2007، قدموا طلب لجوء. ورفض مجلس الهجرة السويدي طلبهم في 10 كانون الأول/ديسمبر 2007. وأشار المجلس إلى أن م. أ. ف. وز. أ. لم يكونا ناشطيْن سياسيْين ولم يدانا بارتكاب أي جريمة، ولم</w:t>
      </w:r>
      <w:r>
        <w:rPr>
          <w:rFonts w:ascii="Traditional Arabic" w:hAnsi="Traditional Arabic" w:hint="eastAsia"/>
          <w:color w:val="000000"/>
          <w:rtl/>
        </w:rPr>
        <w:t> </w:t>
      </w:r>
      <w:r>
        <w:rPr>
          <w:rFonts w:ascii="Traditional Arabic" w:hAnsi="Traditional Arabic" w:hint="cs"/>
          <w:color w:val="000000"/>
          <w:rtl/>
        </w:rPr>
        <w:t>يستطيعا وصف الأنشطة السياسية التي يقوم بها شقيق م. أ. ف. وشكك المجلس في صحة المعلومات المتعلقة بطريق السفر الذي سلكته الأسرة على النحو الذي ذكرته، وخاصة ادعاء الأسرة المرور عبر إجراءات مراقبة صارمة بالمطار في طرابلس مع شخص مهرّب. وعموماً، رأى المجلس أن الطريقة التي تركت بها الأسرة البلد تبين عدم اهتمام السلطات الليبية بها، وخلصت إلى أن إعادة أفراد الأسرة إلى ليبيا لن يعرضهم لخطر حقيقي بالتعرض للاضطها</w:t>
      </w:r>
      <w:r>
        <w:rPr>
          <w:rFonts w:ascii="Traditional Arabic" w:hAnsi="Traditional Arabic" w:hint="eastAsia"/>
          <w:color w:val="000000"/>
          <w:rtl/>
        </w:rPr>
        <w:t>د</w:t>
      </w:r>
      <w:r>
        <w:rPr>
          <w:rFonts w:ascii="Traditional Arabic" w:hAnsi="Traditional Arabic" w:hint="cs"/>
          <w:color w:val="000000"/>
          <w:rtl/>
        </w:rPr>
        <w:t xml:space="preserve"> أو العقوبة البدنية أو التعذيب أو أي معاملة لا إنسانية أو مهينة من جانب سلطات الدولة.</w:t>
      </w:r>
    </w:p>
    <w:p w:rsidR="00363456" w:rsidRPr="00770F75" w:rsidRDefault="00363456" w:rsidP="00770F75">
      <w:pPr>
        <w:pStyle w:val="SingleTxtGA"/>
        <w:rPr>
          <w:rFonts w:ascii="Traditional Arabic" w:hAnsi="Traditional Arabic" w:hint="cs"/>
          <w:color w:val="000000"/>
          <w:rtl/>
        </w:rPr>
      </w:pPr>
      <w:r w:rsidRPr="00770F75">
        <w:rPr>
          <w:rFonts w:ascii="Traditional Arabic" w:hAnsi="Traditional Arabic"/>
          <w:color w:val="000000"/>
          <w:rtl/>
          <w:lang w:val="en-CA"/>
        </w:rPr>
        <w:t>2-3</w:t>
      </w:r>
      <w:r w:rsidRPr="00770F75">
        <w:rPr>
          <w:rFonts w:ascii="Traditional Arabic" w:hAnsi="Traditional Arabic"/>
          <w:color w:val="000000"/>
          <w:rtl/>
          <w:lang w:val="en-CA"/>
        </w:rPr>
        <w:tab/>
      </w:r>
      <w:r w:rsidRPr="00770F75">
        <w:rPr>
          <w:rFonts w:ascii="Traditional Arabic" w:hAnsi="Traditional Arabic" w:hint="cs"/>
          <w:color w:val="000000"/>
          <w:rtl/>
        </w:rPr>
        <w:t>وقدم أصحاب الشكوى بعد ذلك طعناً إلى محكمة الهجرة السويدية، التي رفضت الطعن في 16 أيار/مايو 2008. ورأت المحكمة أن العناصر الجديدة في قضية أصحاب الشكوى والتي لم تُطرح أمام مجلس الهجرة تقلل من مصداقيتهم وتتعارض في بعض الأحيان مع المعلومات الشفوية. وتضمنت هذه العناصر تعرض م. أ. ف. للضرب من جانب الشرطة في تشرين الثاني/نوفمبر 2002، وفقدان ز. أ. لجنينها، والمطالبة بحضور م. أ. ف. إلى مكتب السلطات الليبية بصورة منتظمة بعد إطلاق سراحه من السجن. وشككت المحكمة في صحة الوثائق الجديدة المقدمة لإثبات هوية أفراد الأسرة، والتي كانت تستند إلى نسخ. ووُجد أن المعلومات التي قدمها أصحاب الشكوى بشأن الوضع في ليبيا معلومات عامة ولا تبين أن الأسرة كانت تواجه خطراً معيناً.</w:t>
      </w:r>
    </w:p>
    <w:p w:rsidR="00363456" w:rsidRPr="00770F75" w:rsidRDefault="00363456" w:rsidP="00770F75">
      <w:pPr>
        <w:pStyle w:val="SingleTxtGA"/>
        <w:rPr>
          <w:rFonts w:ascii="Traditional Arabic" w:hAnsi="Traditional Arabic" w:hint="cs"/>
          <w:color w:val="000000"/>
          <w:rtl/>
        </w:rPr>
      </w:pPr>
      <w:r w:rsidRPr="00770F75">
        <w:rPr>
          <w:rFonts w:ascii="Traditional Arabic" w:hAnsi="Traditional Arabic" w:hint="cs"/>
          <w:color w:val="000000"/>
          <w:rtl/>
        </w:rPr>
        <w:t>2-4</w:t>
      </w:r>
      <w:r w:rsidRPr="00770F75">
        <w:rPr>
          <w:rFonts w:ascii="Traditional Arabic" w:hAnsi="Traditional Arabic" w:hint="cs"/>
          <w:color w:val="000000"/>
          <w:rtl/>
        </w:rPr>
        <w:tab/>
        <w:t>ورُفِض</w:t>
      </w:r>
      <w:r w:rsidRPr="00770F75">
        <w:rPr>
          <w:rFonts w:ascii="Traditional Arabic" w:hAnsi="Traditional Arabic"/>
          <w:color w:val="000000"/>
          <w:rtl/>
        </w:rPr>
        <w:t xml:space="preserve"> </w:t>
      </w:r>
      <w:r w:rsidRPr="00770F75">
        <w:rPr>
          <w:rFonts w:ascii="Traditional Arabic" w:hAnsi="Traditional Arabic" w:hint="cs"/>
          <w:color w:val="000000"/>
          <w:rtl/>
        </w:rPr>
        <w:t>في 30 حزيران/يونيه 2008 ال</w:t>
      </w:r>
      <w:r w:rsidRPr="00770F75">
        <w:rPr>
          <w:rFonts w:ascii="Traditional Arabic" w:hAnsi="Traditional Arabic"/>
          <w:color w:val="000000"/>
          <w:rtl/>
        </w:rPr>
        <w:t xml:space="preserve">إذن </w:t>
      </w:r>
      <w:r w:rsidRPr="00770F75">
        <w:rPr>
          <w:rFonts w:ascii="Traditional Arabic" w:hAnsi="Traditional Arabic" w:hint="cs"/>
          <w:color w:val="000000"/>
          <w:rtl/>
        </w:rPr>
        <w:t>لأصحاب الشكوى بالطعن</w:t>
      </w:r>
      <w:r w:rsidRPr="00770F75">
        <w:rPr>
          <w:rFonts w:ascii="Traditional Arabic" w:hAnsi="Traditional Arabic"/>
          <w:color w:val="000000"/>
          <w:rtl/>
        </w:rPr>
        <w:t xml:space="preserve"> </w:t>
      </w:r>
      <w:r w:rsidRPr="00770F75">
        <w:rPr>
          <w:rFonts w:ascii="Traditional Arabic" w:hAnsi="Traditional Arabic" w:hint="cs"/>
          <w:color w:val="000000"/>
          <w:rtl/>
        </w:rPr>
        <w:t xml:space="preserve">أمام </w:t>
      </w:r>
      <w:r w:rsidRPr="00770F75">
        <w:rPr>
          <w:rFonts w:ascii="Traditional Arabic" w:hAnsi="Traditional Arabic"/>
          <w:color w:val="000000"/>
          <w:rtl/>
        </w:rPr>
        <w:t xml:space="preserve">محكمة الاستئناف </w:t>
      </w:r>
      <w:r w:rsidRPr="00770F75">
        <w:rPr>
          <w:rFonts w:ascii="Traditional Arabic" w:hAnsi="Traditional Arabic" w:hint="cs"/>
          <w:color w:val="000000"/>
          <w:rtl/>
        </w:rPr>
        <w:t>الخاصة</w:t>
      </w:r>
      <w:r w:rsidRPr="00770F75">
        <w:rPr>
          <w:rFonts w:ascii="Traditional Arabic" w:hAnsi="Traditional Arabic"/>
          <w:color w:val="000000"/>
          <w:rtl/>
        </w:rPr>
        <w:t xml:space="preserve"> </w:t>
      </w:r>
      <w:r w:rsidRPr="00770F75">
        <w:rPr>
          <w:rFonts w:ascii="Traditional Arabic" w:hAnsi="Traditional Arabic" w:hint="cs"/>
          <w:color w:val="000000"/>
          <w:rtl/>
        </w:rPr>
        <w:t>ب</w:t>
      </w:r>
      <w:r w:rsidRPr="00770F75">
        <w:rPr>
          <w:rFonts w:ascii="Traditional Arabic" w:hAnsi="Traditional Arabic"/>
          <w:color w:val="000000"/>
          <w:rtl/>
        </w:rPr>
        <w:t>الهجرة</w:t>
      </w:r>
      <w:r w:rsidRPr="00770F75">
        <w:rPr>
          <w:rFonts w:ascii="Traditional Arabic" w:hAnsi="Traditional Arabic" w:hint="cs"/>
          <w:color w:val="000000"/>
          <w:rtl/>
        </w:rPr>
        <w:t>. وليس من الممكن تقديم أي طعن آخر.</w:t>
      </w:r>
    </w:p>
    <w:p w:rsidR="00363456" w:rsidRPr="00770F75" w:rsidRDefault="00363456" w:rsidP="00770F75">
      <w:pPr>
        <w:pStyle w:val="H23GA"/>
        <w:rPr>
          <w:color w:val="000000"/>
          <w:szCs w:val="20"/>
          <w:rtl/>
        </w:rPr>
      </w:pPr>
      <w:r w:rsidRPr="00770F75">
        <w:rPr>
          <w:rFonts w:hint="cs"/>
          <w:color w:val="000000"/>
          <w:rtl/>
        </w:rPr>
        <w:tab/>
      </w:r>
      <w:r w:rsidRPr="00770F75">
        <w:rPr>
          <w:rFonts w:hint="cs"/>
          <w:color w:val="000000"/>
          <w:rtl/>
        </w:rPr>
        <w:tab/>
      </w:r>
      <w:r w:rsidRPr="00770F75">
        <w:rPr>
          <w:rFonts w:hint="eastAsia"/>
          <w:color w:val="000000"/>
          <w:rtl/>
        </w:rPr>
        <w:t>الشكوى</w:t>
      </w:r>
    </w:p>
    <w:p w:rsidR="00363456" w:rsidRPr="00770F75" w:rsidRDefault="00363456" w:rsidP="00770F75">
      <w:pPr>
        <w:pStyle w:val="SingleTxtGA"/>
        <w:rPr>
          <w:rtl/>
        </w:rPr>
      </w:pPr>
      <w:r w:rsidRPr="00770F75">
        <w:rPr>
          <w:rtl/>
          <w:lang w:val="en-CA"/>
        </w:rPr>
        <w:t>3-1</w:t>
      </w:r>
      <w:r w:rsidRPr="00770F75">
        <w:rPr>
          <w:rtl/>
          <w:lang w:val="en-CA"/>
        </w:rPr>
        <w:tab/>
      </w:r>
      <w:r w:rsidRPr="00770F75">
        <w:rPr>
          <w:rFonts w:hint="cs"/>
          <w:rtl/>
        </w:rPr>
        <w:t>يدعي أصحاب الشكوى</w:t>
      </w:r>
      <w:r w:rsidRPr="00770F75">
        <w:rPr>
          <w:rtl/>
        </w:rPr>
        <w:t xml:space="preserve"> </w:t>
      </w:r>
      <w:r w:rsidRPr="00770F75">
        <w:rPr>
          <w:rFonts w:hint="cs"/>
          <w:rtl/>
        </w:rPr>
        <w:t>أن ترحيلهم القسري إلى ليبيا من جانب السويد يرقى إلى انتهاك للمادة 3 من الاتفاقية. وقد تذرعوا ب</w:t>
      </w:r>
      <w:r w:rsidRPr="00770F75">
        <w:rPr>
          <w:rFonts w:hint="cs"/>
          <w:rtl/>
          <w:lang/>
        </w:rPr>
        <w:t xml:space="preserve">وجود نمط من الانتهاكات الجسيمة والصارخة والجماعية لحقوق الإنسان </w:t>
      </w:r>
      <w:r w:rsidRPr="00770F75">
        <w:rPr>
          <w:rtl/>
        </w:rPr>
        <w:t xml:space="preserve">في </w:t>
      </w:r>
      <w:r w:rsidRPr="00770F75">
        <w:rPr>
          <w:rFonts w:hint="cs"/>
          <w:rtl/>
        </w:rPr>
        <w:t xml:space="preserve">ليبيا من جانب حكومة القذافي، </w:t>
      </w:r>
      <w:r w:rsidRPr="00770F75">
        <w:rPr>
          <w:rtl/>
        </w:rPr>
        <w:t xml:space="preserve">بما في ذلك </w:t>
      </w:r>
      <w:r w:rsidRPr="00770F75">
        <w:rPr>
          <w:rFonts w:hint="cs"/>
          <w:rtl/>
        </w:rPr>
        <w:t xml:space="preserve">ممارسة قوات الأمن للتعذيب بصورة منتظمة. ويدعي أصحاب الشكوى كذلك أنهم يتعرضون لخطر شخصي، نظراً إلى تعرض م. أ. ف. للتعذيب من قبل بسبب النشاط السياسي لأسرته. </w:t>
      </w:r>
    </w:p>
    <w:p w:rsidR="00363456" w:rsidRPr="00770F75" w:rsidRDefault="00363456" w:rsidP="00770F75">
      <w:pPr>
        <w:pStyle w:val="SingleTxtGA"/>
        <w:rPr>
          <w:lang w:val="en-CA"/>
        </w:rPr>
      </w:pPr>
      <w:r w:rsidRPr="00770F75">
        <w:rPr>
          <w:rtl/>
          <w:lang w:val="en-CA"/>
        </w:rPr>
        <w:t>3-2</w:t>
      </w:r>
      <w:r w:rsidRPr="00770F75">
        <w:rPr>
          <w:rtl/>
          <w:lang w:val="en-CA"/>
        </w:rPr>
        <w:tab/>
      </w:r>
      <w:r w:rsidRPr="00770F75">
        <w:rPr>
          <w:rFonts w:hint="cs"/>
          <w:rtl/>
        </w:rPr>
        <w:t>وعقب الإطاحة بحكومة القذافي وإنشاء المجلس الانتقالي الوطني، يدعي أصحاب الشكوى أن ترحيلهم القسري سيشكل أيضاً انتهاكاً للمادة 3 من الاتفاقية. وقد تذرعوا بعدم الاستقرار في منطقة أبو سالم بطرابلس وبأن أبناء عمومة ز. أ. قد حاربوا في صفوف القذافي أثناء الثورة.</w:t>
      </w:r>
    </w:p>
    <w:p w:rsidR="00363456" w:rsidRPr="00770F75" w:rsidRDefault="00363456" w:rsidP="00770F75">
      <w:pPr>
        <w:pStyle w:val="H23GA"/>
        <w:rPr>
          <w:rtl/>
        </w:rPr>
      </w:pPr>
      <w:r w:rsidRPr="00770F75">
        <w:rPr>
          <w:rFonts w:hint="cs"/>
          <w:rtl/>
        </w:rPr>
        <w:tab/>
      </w:r>
      <w:r w:rsidRPr="00770F75">
        <w:rPr>
          <w:rFonts w:hint="cs"/>
          <w:rtl/>
        </w:rPr>
        <w:tab/>
      </w:r>
      <w:r w:rsidRPr="00770F75">
        <w:rPr>
          <w:rtl/>
        </w:rPr>
        <w:t>ملاحظات الدولة الطرف بشأن المقبولية والأسس الموضوعية</w:t>
      </w:r>
    </w:p>
    <w:p w:rsidR="00E80DD0" w:rsidRDefault="00363456" w:rsidP="00770F75">
      <w:pPr>
        <w:pStyle w:val="SingleTxtGA"/>
        <w:rPr>
          <w:rFonts w:hint="cs"/>
          <w:rtl/>
        </w:rPr>
      </w:pPr>
      <w:r w:rsidRPr="00770F75">
        <w:rPr>
          <w:rtl/>
          <w:lang w:val="en-CA"/>
        </w:rPr>
        <w:t>4-1</w:t>
      </w:r>
      <w:r w:rsidRPr="00770F75">
        <w:rPr>
          <w:rtl/>
          <w:lang w:val="en-CA"/>
        </w:rPr>
        <w:tab/>
        <w:t>قدمت الدولة الطرف، في</w:t>
      </w:r>
      <w:r w:rsidRPr="00770F75">
        <w:rPr>
          <w:rFonts w:hint="cs"/>
          <w:rtl/>
          <w:lang w:val="en-CA"/>
        </w:rPr>
        <w:t xml:space="preserve"> 26 شباط/فبراير 2010</w:t>
      </w:r>
      <w:r w:rsidRPr="00770F75">
        <w:rPr>
          <w:rtl/>
          <w:lang w:val="en-CA"/>
        </w:rPr>
        <w:t xml:space="preserve">، ملاحظاتها بشأن </w:t>
      </w:r>
      <w:r w:rsidRPr="00770F75">
        <w:rPr>
          <w:rFonts w:hint="cs"/>
          <w:rtl/>
          <w:lang w:val="en-CA"/>
        </w:rPr>
        <w:t>المقبولية</w:t>
      </w:r>
      <w:r w:rsidRPr="00770F75">
        <w:rPr>
          <w:rtl/>
          <w:lang w:val="en-CA"/>
        </w:rPr>
        <w:t xml:space="preserve"> و</w:t>
      </w:r>
      <w:r w:rsidRPr="00770F75">
        <w:rPr>
          <w:rFonts w:hint="cs"/>
          <w:rtl/>
          <w:lang w:val="en-CA"/>
        </w:rPr>
        <w:t xml:space="preserve">الأسس </w:t>
      </w:r>
      <w:r w:rsidRPr="00770F75">
        <w:rPr>
          <w:rtl/>
        </w:rPr>
        <w:t>الموضوعية</w:t>
      </w:r>
      <w:r w:rsidRPr="00770F75">
        <w:rPr>
          <w:rFonts w:hint="cs"/>
          <w:rtl/>
        </w:rPr>
        <w:t>. وتسلّم الدولة الطرف بأن جميع سبل الانتصاف المحلية قد استُنفدت.</w:t>
      </w:r>
      <w:r w:rsidR="00770F75">
        <w:rPr>
          <w:rFonts w:hint="eastAsia"/>
          <w:rtl/>
        </w:rPr>
        <w:t> </w:t>
      </w:r>
      <w:r w:rsidRPr="00770F75">
        <w:rPr>
          <w:rFonts w:hint="cs"/>
          <w:rtl/>
        </w:rPr>
        <w:t>وترى</w:t>
      </w:r>
      <w:r w:rsidRPr="00770F75">
        <w:rPr>
          <w:rtl/>
        </w:rPr>
        <w:t xml:space="preserve"> الدولة الطرف </w:t>
      </w:r>
      <w:r w:rsidRPr="00770F75">
        <w:rPr>
          <w:rFonts w:hint="cs"/>
          <w:rtl/>
        </w:rPr>
        <w:t>أن تأكيد أصحاب الشكوى</w:t>
      </w:r>
      <w:r w:rsidRPr="00770F75">
        <w:rPr>
          <w:rFonts w:hint="cs"/>
          <w:rtl/>
          <w:lang/>
        </w:rPr>
        <w:t xml:space="preserve"> بأنهم يواجهون </w:t>
      </w:r>
      <w:r w:rsidRPr="00770F75">
        <w:rPr>
          <w:rtl/>
          <w:lang w:val="en-CA"/>
        </w:rPr>
        <w:t xml:space="preserve">خطر المعاملة </w:t>
      </w:r>
      <w:r w:rsidRPr="00770F75">
        <w:rPr>
          <w:rFonts w:hint="cs"/>
          <w:rtl/>
          <w:lang w:val="en-CA"/>
        </w:rPr>
        <w:t>بطريقة تكون بمثابة خرق ل</w:t>
      </w:r>
      <w:r w:rsidRPr="00770F75">
        <w:rPr>
          <w:rtl/>
          <w:lang w:val="en-CA"/>
        </w:rPr>
        <w:t xml:space="preserve">لاتفاقية </w:t>
      </w:r>
      <w:r w:rsidRPr="00770F75">
        <w:rPr>
          <w:rFonts w:hint="cs"/>
          <w:rtl/>
          <w:lang w:val="en-CA"/>
        </w:rPr>
        <w:t xml:space="preserve">لا يقدّم الحد الأدنى من الأدلة المطلوبة </w:t>
      </w:r>
      <w:r w:rsidRPr="00770F75">
        <w:rPr>
          <w:rtl/>
          <w:lang w:val="en-CA"/>
        </w:rPr>
        <w:t>لأغراض المقبولية</w:t>
      </w:r>
      <w:r w:rsidRPr="00770F75">
        <w:rPr>
          <w:rFonts w:hint="cs"/>
          <w:rtl/>
          <w:lang w:val="en-CA"/>
        </w:rPr>
        <w:t xml:space="preserve">، ومن ثم </w:t>
      </w:r>
      <w:r w:rsidRPr="00770F75">
        <w:rPr>
          <w:rFonts w:hint="cs"/>
          <w:rtl/>
        </w:rPr>
        <w:t xml:space="preserve">فهو غير مقبول بموجب الفقرة 2 من المادة 22 من الاتفاقية. وتشير الدولة الطرف، </w:t>
      </w:r>
      <w:r w:rsidR="00E80DD0">
        <w:rPr>
          <w:rtl/>
        </w:rPr>
        <w:br/>
      </w:r>
    </w:p>
    <w:p w:rsidR="00363456" w:rsidRPr="00770F75" w:rsidRDefault="00363456" w:rsidP="00175A28">
      <w:pPr>
        <w:pStyle w:val="SingleTxtGA"/>
        <w:rPr>
          <w:rFonts w:hint="cs"/>
          <w:rtl/>
        </w:rPr>
      </w:pPr>
      <w:r w:rsidRPr="00770F75">
        <w:rPr>
          <w:rFonts w:hint="cs"/>
          <w:rtl/>
        </w:rPr>
        <w:t xml:space="preserve">فيما يتعلق بما خلصت إليه، إلى </w:t>
      </w:r>
      <w:r w:rsidR="00175A28">
        <w:rPr>
          <w:rFonts w:hint="cs"/>
          <w:rtl/>
        </w:rPr>
        <w:t>الآراء</w:t>
      </w:r>
      <w:r w:rsidRPr="00770F75">
        <w:rPr>
          <w:rFonts w:hint="cs"/>
          <w:sz w:val="28"/>
          <w:szCs w:val="28"/>
          <w:vertAlign w:val="superscript"/>
          <w:rtl/>
          <w:lang w:val="en-CA"/>
        </w:rPr>
        <w:t>(</w:t>
      </w:r>
      <w:r w:rsidRPr="00770F75">
        <w:rPr>
          <w:sz w:val="28"/>
          <w:szCs w:val="28"/>
          <w:vertAlign w:val="superscript"/>
          <w:rtl/>
        </w:rPr>
        <w:footnoteReference w:id="38"/>
      </w:r>
      <w:r w:rsidRPr="00770F75">
        <w:rPr>
          <w:rFonts w:hint="cs"/>
          <w:sz w:val="28"/>
          <w:szCs w:val="28"/>
          <w:vertAlign w:val="superscript"/>
          <w:rtl/>
          <w:lang w:val="en-CA"/>
        </w:rPr>
        <w:t>)</w:t>
      </w:r>
      <w:r w:rsidRPr="00770F75">
        <w:rPr>
          <w:rFonts w:hint="cs"/>
          <w:rtl/>
        </w:rPr>
        <w:t xml:space="preserve"> السابقة للجنة وحججها بشأن الأسس الموضوعية، والواردة</w:t>
      </w:r>
      <w:r w:rsidRPr="00770F75">
        <w:rPr>
          <w:rFonts w:hint="eastAsia"/>
          <w:rtl/>
        </w:rPr>
        <w:t> </w:t>
      </w:r>
      <w:r w:rsidRPr="00770F75">
        <w:rPr>
          <w:rFonts w:hint="cs"/>
          <w:rtl/>
        </w:rPr>
        <w:t>أدناه.</w:t>
      </w:r>
    </w:p>
    <w:p w:rsidR="00363456" w:rsidRDefault="00363456" w:rsidP="00175A28">
      <w:pPr>
        <w:pStyle w:val="SingleTxtGA"/>
        <w:rPr>
          <w:rFonts w:hint="cs"/>
          <w:rtl/>
        </w:rPr>
      </w:pPr>
      <w:r w:rsidRPr="00465BCF">
        <w:rPr>
          <w:rFonts w:hint="cs"/>
          <w:rtl/>
        </w:rPr>
        <w:t>4-2</w:t>
      </w:r>
      <w:r w:rsidRPr="00465BCF">
        <w:rPr>
          <w:rFonts w:hint="cs"/>
          <w:rtl/>
        </w:rPr>
        <w:tab/>
      </w:r>
      <w:r>
        <w:rPr>
          <w:rFonts w:hint="cs"/>
          <w:rtl/>
        </w:rPr>
        <w:t xml:space="preserve">وتشير الدولة الطرف إلى أن الادعاءات التي أوردها أصحاب الشكوى في شكواهم المقدمة إلى اللجنة قد خضعت لبحث دقيق من جانب مجلس الهجرة السويدي ومحكمة الهجرة السويدية، وطبق عليها نفس أنواع الاختبارات التي تطبقها اللجنة </w:t>
      </w:r>
      <w:r w:rsidR="00175A28">
        <w:rPr>
          <w:rFonts w:hint="cs"/>
          <w:rtl/>
        </w:rPr>
        <w:t xml:space="preserve">لإصدار أحكامها. </w:t>
      </w:r>
      <w:r>
        <w:rPr>
          <w:rFonts w:hint="cs"/>
          <w:rtl/>
        </w:rPr>
        <w:t>وترى</w:t>
      </w:r>
      <w:r w:rsidR="00175A28">
        <w:rPr>
          <w:rFonts w:hint="eastAsia"/>
          <w:rtl/>
        </w:rPr>
        <w:t> </w:t>
      </w:r>
      <w:r>
        <w:rPr>
          <w:rFonts w:hint="cs"/>
          <w:rtl/>
        </w:rPr>
        <w:t>الدولة الطرف أن المصداقية التي تولى للأقوال التي يدلي بها ملتمس اللجوء كثيراً ما</w:t>
      </w:r>
      <w:r>
        <w:rPr>
          <w:rFonts w:hint="eastAsia"/>
          <w:rtl/>
        </w:rPr>
        <w:t> </w:t>
      </w:r>
      <w:r>
        <w:rPr>
          <w:rFonts w:hint="cs"/>
          <w:rtl/>
        </w:rPr>
        <w:t xml:space="preserve">تكون ذات أهمية كبيرة في تقديم الطلب وأن </w:t>
      </w:r>
      <w:r w:rsidRPr="00B41DC4">
        <w:rPr>
          <w:rtl/>
        </w:rPr>
        <w:t xml:space="preserve">السلطات الوطنية </w:t>
      </w:r>
      <w:r w:rsidRPr="00B41DC4">
        <w:rPr>
          <w:rFonts w:hint="cs"/>
          <w:rtl/>
        </w:rPr>
        <w:t>مؤهلة تأهيلاً</w:t>
      </w:r>
      <w:r w:rsidRPr="00B41DC4">
        <w:rPr>
          <w:rtl/>
        </w:rPr>
        <w:t xml:space="preserve"> ج</w:t>
      </w:r>
      <w:r>
        <w:rPr>
          <w:rFonts w:hint="cs"/>
          <w:rtl/>
        </w:rPr>
        <w:t>ي</w:t>
      </w:r>
      <w:r w:rsidRPr="00B41DC4">
        <w:rPr>
          <w:rtl/>
        </w:rPr>
        <w:t>دا</w:t>
      </w:r>
      <w:r>
        <w:rPr>
          <w:rFonts w:hint="cs"/>
          <w:rtl/>
        </w:rPr>
        <w:t>ً</w:t>
      </w:r>
      <w:r w:rsidRPr="00B41DC4">
        <w:rPr>
          <w:rtl/>
        </w:rPr>
        <w:t xml:space="preserve"> لتقييم </w:t>
      </w:r>
      <w:r>
        <w:rPr>
          <w:rFonts w:hint="cs"/>
          <w:rtl/>
        </w:rPr>
        <w:t>مصداقية ادعاء يفيد بأن شخصاً ما سيتعرض لخطر أن يُعامَل معاملة تشكل انتهاكاً للمادة 3 من الاتفاقية، وخاصة بالنظر إلى أن</w:t>
      </w:r>
      <w:r w:rsidRPr="00B41DC4">
        <w:rPr>
          <w:rFonts w:hint="cs"/>
          <w:rtl/>
        </w:rPr>
        <w:t xml:space="preserve"> لها فرص</w:t>
      </w:r>
      <w:r>
        <w:rPr>
          <w:rFonts w:hint="cs"/>
          <w:rtl/>
        </w:rPr>
        <w:t>ة</w:t>
      </w:r>
      <w:r w:rsidRPr="00B41DC4">
        <w:rPr>
          <w:rtl/>
        </w:rPr>
        <w:t xml:space="preserve"> الاتصال </w:t>
      </w:r>
      <w:r>
        <w:rPr>
          <w:rFonts w:hint="cs"/>
          <w:rtl/>
        </w:rPr>
        <w:t xml:space="preserve">الشخصي بملتمس اللجوء. وقبل البت في هذه القضية، أجرى مجلس الهجرة مقابلتين، واحدة مع صاحب الشكوى الرئيسي والأخرى مع زوجته، وعقدت محكمة الهجرة جلسة </w:t>
      </w:r>
      <w:r>
        <w:rPr>
          <w:rFonts w:hint="cs"/>
          <w:rtl/>
          <w:lang w:bidi="ar-EG"/>
        </w:rPr>
        <w:t xml:space="preserve">استماع </w:t>
      </w:r>
      <w:r>
        <w:rPr>
          <w:rFonts w:hint="cs"/>
          <w:rtl/>
        </w:rPr>
        <w:t>شفوية، وهي أمور عززت قدرة هذه السلطات على تقييم التقارير التي قدمها أصحاب الشكوى تقييماً مناسباً.</w:t>
      </w:r>
    </w:p>
    <w:p w:rsidR="00363456" w:rsidRDefault="00363456" w:rsidP="00363456">
      <w:pPr>
        <w:pStyle w:val="SingleTxtGA"/>
        <w:rPr>
          <w:rFonts w:ascii="Traditional Arabic" w:hAnsi="Traditional Arabic" w:hint="cs"/>
          <w:color w:val="000000"/>
          <w:rtl/>
          <w:lang w:val="en-CA" w:bidi="ar-EG"/>
        </w:rPr>
      </w:pPr>
      <w:r>
        <w:rPr>
          <w:rFonts w:ascii="Traditional Arabic" w:hAnsi="Traditional Arabic" w:hint="cs"/>
          <w:color w:val="000000"/>
          <w:rtl/>
        </w:rPr>
        <w:t>4-3</w:t>
      </w:r>
      <w:r>
        <w:rPr>
          <w:rFonts w:ascii="Traditional Arabic" w:hAnsi="Traditional Arabic" w:hint="cs"/>
          <w:color w:val="000000"/>
          <w:rtl/>
        </w:rPr>
        <w:tab/>
        <w:t>وفيما يتعلق بالأدلة الخطية التي قدمها أصحاب الشكوى لدعم ادعاءاته</w:t>
      </w:r>
      <w:r>
        <w:rPr>
          <w:rFonts w:ascii="Traditional Arabic" w:hAnsi="Traditional Arabic" w:hint="eastAsia"/>
          <w:color w:val="000000"/>
          <w:rtl/>
        </w:rPr>
        <w:t>م</w:t>
      </w:r>
      <w:r>
        <w:rPr>
          <w:rFonts w:ascii="Traditional Arabic" w:hAnsi="Traditional Arabic" w:hint="cs"/>
          <w:color w:val="000000"/>
          <w:rtl/>
        </w:rPr>
        <w:t>، تشير الدولة الطرف إلى أن وثائق هوية أصحاب الشكوى قد صدرت على أساس صور ضوئية من "دفتر الأسرة"، وأن إحدى الوثائق مؤرخة عام 2004، على الرغم من صدورها في عام</w:t>
      </w:r>
      <w:r>
        <w:rPr>
          <w:rFonts w:ascii="Traditional Arabic" w:hAnsi="Traditional Arabic" w:hint="eastAsia"/>
          <w:color w:val="000000"/>
          <w:rtl/>
        </w:rPr>
        <w:t> </w:t>
      </w:r>
      <w:r>
        <w:rPr>
          <w:rFonts w:ascii="Traditional Arabic" w:hAnsi="Traditional Arabic" w:hint="cs"/>
          <w:color w:val="000000"/>
          <w:rtl/>
        </w:rPr>
        <w:t>2007. ولذلك، ترى الدولة الطرف أن الوثائق غير قاطعة من حيث تحديد هوية أصحاب الشكوى. وترى الدولة الطرف كذلك أن عدم تقديم أصحاب الشكوى لتفسير مرضٍ لسبب عدم تقديم وثائق هوية مناسبة يُضعف المصداقية العامة لعرائضهم. ودعماً للادعاء بإصابة م. أ. ف</w:t>
      </w:r>
      <w:r>
        <w:rPr>
          <w:rFonts w:ascii="Traditional Arabic" w:hAnsi="Traditional Arabic" w:hint="cs"/>
          <w:color w:val="000000"/>
          <w:rtl/>
          <w:lang w:val="en-CA" w:bidi="ar-EG"/>
        </w:rPr>
        <w:t>. بكسر في عظام الأنف نتيجة تعرضه للعنف من جانب الشرطة الليبية، قدم أصحاب الشكوى، في الإجراءات الوطنية، صحيفة طبية وشهادة طبية من طبيب سويدي، محررتين في كانون الثاني/يناير 2008. ولا تشير هاتان الوثيقتان إلى أي صلة بين الحادثة المدّعاة والإصابة المتذرع بها ومن ثم فإنهما، من وجهة نظر الدولة الطرف،</w:t>
      </w:r>
      <w:r w:rsidRPr="00ED4432">
        <w:rPr>
          <w:rFonts w:ascii="Traditional Arabic" w:hAnsi="Traditional Arabic" w:hint="cs"/>
          <w:color w:val="000000"/>
          <w:rtl/>
          <w:lang w:val="en-CA" w:bidi="ar-EG"/>
        </w:rPr>
        <w:t xml:space="preserve"> </w:t>
      </w:r>
      <w:r>
        <w:rPr>
          <w:rFonts w:ascii="Traditional Arabic" w:hAnsi="Traditional Arabic" w:hint="cs"/>
          <w:color w:val="000000"/>
          <w:rtl/>
          <w:lang w:val="en-CA" w:bidi="ar-EG"/>
        </w:rPr>
        <w:t>لا تدعمان ادعاء أصحاب الشكوى. ودعماً للادعاء بأن ز. أ. قد فقدت جنينها نتيجة دفعها من جانب الشرطة، قدم أصحاب الشكوى ورقة خروج من مستشفى ليبي، مؤرخة 3 كانون الأول/ديسمبر 2002. وعلى حسب فهم الدولة الطرف، فإن هذه الوثيقة لا تؤكد أي علاقة بين الحادثة المدّعاة وفقدان الجنين. ومن وجهة نظر الدولة الطرف، فإن الأدلة الخطية التي قدمها أصحاب الشكوى لا تثبت أنهم يواجهون خطر التعرض لمعاملة تتعارض مع المادة</w:t>
      </w:r>
      <w:r>
        <w:rPr>
          <w:rFonts w:ascii="Traditional Arabic" w:hAnsi="Traditional Arabic" w:hint="eastAsia"/>
          <w:color w:val="000000"/>
          <w:rtl/>
          <w:lang w:val="en-CA" w:bidi="ar-EG"/>
        </w:rPr>
        <w:t> </w:t>
      </w:r>
      <w:r>
        <w:rPr>
          <w:rFonts w:ascii="Traditional Arabic" w:hAnsi="Traditional Arabic" w:hint="cs"/>
          <w:color w:val="000000"/>
          <w:rtl/>
          <w:lang w:val="en-CA" w:bidi="ar-EG"/>
        </w:rPr>
        <w:t>3 من الاتفاقية في حالة إعادتهم إلى ليبيا.</w:t>
      </w:r>
    </w:p>
    <w:p w:rsidR="00363456" w:rsidRDefault="00363456" w:rsidP="00363456">
      <w:pPr>
        <w:pStyle w:val="SingleTxtGA"/>
        <w:rPr>
          <w:rFonts w:ascii="Traditional Arabic" w:hAnsi="Traditional Arabic" w:hint="cs"/>
          <w:color w:val="000000"/>
          <w:rtl/>
          <w:lang w:val="en-CA" w:bidi="ar-EG"/>
        </w:rPr>
      </w:pPr>
      <w:r>
        <w:rPr>
          <w:rFonts w:ascii="Traditional Arabic" w:hAnsi="Traditional Arabic" w:hint="cs"/>
          <w:color w:val="000000"/>
          <w:rtl/>
          <w:lang w:val="en-CA" w:bidi="ar-EG"/>
        </w:rPr>
        <w:t>4-4</w:t>
      </w:r>
      <w:r>
        <w:rPr>
          <w:rFonts w:ascii="Traditional Arabic" w:hAnsi="Traditional Arabic" w:hint="cs"/>
          <w:color w:val="000000"/>
          <w:rtl/>
          <w:lang w:val="en-CA" w:bidi="ar-EG"/>
        </w:rPr>
        <w:tab/>
        <w:t>ولم يقدم أصحاب الشكوى أي وثائق تدعم ادعاءهم بأن الأسرة قد تعرضت للاضطهاد والمضايقة من جانب السلطات الليبية لسنوات عديدة. وبما أنه قد قيل إن الاضطهاد المدَّعى استمر لوقت طويل واشتمل على إلقاء القبض على م. أ. ف. ومراقبته واستجوابه بصورة منتظمة، فإن الدولة الطرف ترى أنه كان يمكن توقع تقديم بعض الأدلة المكتوبة دعماً لرواية أصحاب الشكوى عن الأحداث.</w:t>
      </w:r>
    </w:p>
    <w:p w:rsidR="00363456" w:rsidRDefault="00363456" w:rsidP="00363456">
      <w:pPr>
        <w:pStyle w:val="SingleTxtGA"/>
        <w:rPr>
          <w:rFonts w:ascii="Traditional Arabic" w:hAnsi="Traditional Arabic" w:hint="cs"/>
          <w:color w:val="000000"/>
          <w:rtl/>
          <w:lang w:val="en-CA" w:bidi="ar-EG"/>
        </w:rPr>
      </w:pPr>
      <w:r>
        <w:rPr>
          <w:rFonts w:ascii="Traditional Arabic" w:hAnsi="Traditional Arabic" w:hint="cs"/>
          <w:color w:val="000000"/>
          <w:rtl/>
          <w:lang w:val="en-CA" w:bidi="ar-EG"/>
        </w:rPr>
        <w:t>4-5</w:t>
      </w:r>
      <w:r>
        <w:rPr>
          <w:rFonts w:ascii="Traditional Arabic" w:hAnsi="Traditional Arabic" w:hint="cs"/>
          <w:color w:val="000000"/>
          <w:rtl/>
          <w:lang w:val="en-CA" w:bidi="ar-EG"/>
        </w:rPr>
        <w:tab/>
        <w:t>وترى الدولة الطرف أن العروض الشفوية والخطية المقدمة من أصحاب الشكوى تحتوي على عناصر من الغموض وعدم الاتساق. وبصفة خاصة، لم يقدم أصحاب الشكوى أي تفسير لطبيعة أنشطة شقيق م. أ. ف. بخلاف التأكيد، الذي لم يقدَّم حتى جلسة الاستماع الشفوية في محكمة الهجرة، الذي يفيد بأنه تلقى اتصالاً في عدد من المناسبات من ضباط بالجيش أعطوه وثائق. وترى الدولة الطرف أنه من المستبعد للغاية ألا يكون لدى أصحاب الشكوى أي معلومات عن الأنشطة السياسية لشقيق م. أ. ف. إذا كانت هذه الأنشطة قد أدت بالفعل إلى العواقب الوخيمة التي وصفها أصحاب الشكوى.</w:t>
      </w:r>
    </w:p>
    <w:p w:rsidR="00363456" w:rsidRDefault="00363456" w:rsidP="00363456">
      <w:pPr>
        <w:pStyle w:val="SingleTxtGA"/>
        <w:rPr>
          <w:rFonts w:ascii="Traditional Arabic" w:hAnsi="Traditional Arabic" w:hint="cs"/>
          <w:color w:val="000000"/>
          <w:rtl/>
          <w:lang w:val="en-CA" w:bidi="ar-EG"/>
        </w:rPr>
      </w:pPr>
      <w:r>
        <w:rPr>
          <w:rFonts w:ascii="Traditional Arabic" w:hAnsi="Traditional Arabic" w:hint="cs"/>
          <w:color w:val="000000"/>
          <w:rtl/>
          <w:lang w:val="en-CA" w:bidi="ar-EG"/>
        </w:rPr>
        <w:t>4-6</w:t>
      </w:r>
      <w:r>
        <w:rPr>
          <w:rFonts w:ascii="Traditional Arabic" w:hAnsi="Traditional Arabic" w:hint="cs"/>
          <w:color w:val="000000"/>
          <w:rtl/>
          <w:lang w:val="en-CA" w:bidi="ar-EG"/>
        </w:rPr>
        <w:tab/>
        <w:t>وترى الدولة الطرف أن الوثائق المقدمة من أصحاب الشكوى عن الكيفية التي تمكنوا بها من مغادرة ليبيا برغم الاضطهاد المدَّعى من جانب السلطات غامضة وغير متسقة. ذلك أنه قبل مغادرة ليبيا، يدعي أصحاب الشكوى أنهم تلقوا مساعدة من رجل أبلغهم بأنه سيجري إلقاء القبض على م. أ. ف. قبل 1 أيلول/سبتمبر 2007. ولم يقدم أصحاب الشكوى في البداية أي معلومات عن هذا الرجل، وادعوا فقط في جلسة الاستماع الشفوية أمام محكمة الهجرة أنه صديق لوالد م. أ. ف.، وهو عقيد متقاعد، بدون أن يقدموا أي تفسير لسبب حيازة هذا الرجل لمعلومات عن أمر إلقاء القبض المدَّعى. وقدم أصحاب الشكوى معلومات متباينة فيما يتعلق برجل ثان ساعدهم على الهروب، مدَّعين في تقرير كتابي قدمه محاميهم إلى مجلس الهجرة في 19 أيلول/سبتمبر 2007 أنه كان أحد معارف والدي ز. أ.، ومدَّعين في المقابلة مع مجلس الهجرة في 10 كانون الأول/ديسمبر 2007، أنه أحد أقارب ز. أ. وفي التقرير الخطي الذي قدمه محامي أصحاب الشكوى إلى مجلس الهجرة، يُدعى أن الشرطة طلبت من السيد م. أ. ف.، فيما يتصل بإطلاق سراحه من الاحتجاز في عام 2006، أن يختفي من البلد. ولذلك، كانت الدولة الطرف تتوقع أن يكون بإمكان أصحاب الشكوى الحصول على جوازات سفر سليمة. وترى الدولة الطرف أن أصحاب الشكوى قد قدموا معلومات غامضة وغير متسقة في جوانب هامة، بدون تقديم تفسير مرضٍ، مما يضعف مصداقية وثائقهم.</w:t>
      </w:r>
    </w:p>
    <w:p w:rsidR="00363456" w:rsidRDefault="00363456" w:rsidP="00363456">
      <w:pPr>
        <w:pStyle w:val="SingleTxtGA"/>
        <w:rPr>
          <w:rFonts w:hint="cs"/>
          <w:rtl/>
          <w:lang w:val="en-CA" w:bidi="ar-EG"/>
        </w:rPr>
      </w:pPr>
      <w:r>
        <w:rPr>
          <w:rFonts w:hint="cs"/>
          <w:rtl/>
          <w:lang w:val="en-CA" w:bidi="ar-EG"/>
        </w:rPr>
        <w:t>4-7</w:t>
      </w:r>
      <w:r>
        <w:rPr>
          <w:rFonts w:hint="cs"/>
          <w:rtl/>
          <w:lang w:val="en-CA" w:bidi="ar-EG"/>
        </w:rPr>
        <w:tab/>
        <w:t>وتشير الدولة الطرف إلى أن أصحاب الشكوى قد قدموا، أثناء سير الإجراء أمام السلطات السويدية، ادعاءات إضافية ذات أهمية لطلبهم الخاص باللجوء. ولم يدّع أصحاب الشكوى إلا في جلسة الاستماع الشفوية أمام محكمة الهجرة أن م. أ. ف. كان يخضع بانتظام لاستجوابات أثناء الفترة 2003-2006، وأنه أُخضع للمراقبة وأُجبر على التوقيع على وثائق بصورة منتظمة لمدة أربعة شهور تقريباً فيما يتصل بإطلاق سراحه من السجن في عام 2006، وأنه صدر في آذار/مارس 2007 أمر بإلقاء القبض عليه وذلك عقب رفضه الامتثال لطلبات السلطات منذ أواخر عام 2006. وترى الدولة الطرف أنه من غير المحتمل أن تكون السلطات الليبية قد انتظرت كل هذا الوقت لتتخذ إجراء بشأن رفضه طاعتها. وبالإضافة إلى ذلك، أشير في الوثيقة الخطية المقدمة من محامي أصحاب الشكوى إلى مجلس الهجرة في 19 أيلول/سبتمبر 2007، إلى أن الشرطة الليبية لم تتسبب في أي ضرر بدني لزوجة م. أ. ف. أو أطفاله، ولكن في الطعن المقدم إلى محكمة الهجرة في 9 كانون الثاني/يناير 2008، ادعى أن الشرطة دفعت ز. أ. في 23 تشرين الثاني/نوفمبر 2002 بطريقة أدت إلى فقدانها للجنين الذي كانت تحمله. كما ذُكر في الطعن، بالإضافة إلى ما قُدم إلى مجلس الهجرة، أن الشرطة ضربت م.</w:t>
      </w:r>
      <w:r>
        <w:rPr>
          <w:rFonts w:hint="eastAsia"/>
          <w:rtl/>
          <w:lang w:val="en-CA" w:bidi="ar-EG"/>
        </w:rPr>
        <w:t> </w:t>
      </w:r>
      <w:r>
        <w:rPr>
          <w:rFonts w:hint="cs"/>
          <w:rtl/>
          <w:lang w:val="en-CA" w:bidi="ar-EG"/>
        </w:rPr>
        <w:t>أ.</w:t>
      </w:r>
      <w:r>
        <w:rPr>
          <w:rFonts w:hint="eastAsia"/>
          <w:rtl/>
          <w:lang w:val="en-CA" w:bidi="ar-EG"/>
        </w:rPr>
        <w:t> </w:t>
      </w:r>
      <w:r>
        <w:rPr>
          <w:rFonts w:hint="cs"/>
          <w:rtl/>
          <w:lang w:val="en-CA" w:bidi="ar-EG"/>
        </w:rPr>
        <w:t xml:space="preserve">ف. في إحدى المرات، مما تسبب في كسر عظام أنفه. وترى الدولة الطرف أن إضافة ادعاءات ذات أهمية بعد قرار مجلس الهجرة برفض طلبات أصحاب الشكوى، بدون تفسير </w:t>
      </w:r>
      <w:r w:rsidRPr="00C05256">
        <w:rPr>
          <w:rFonts w:hint="cs"/>
          <w:rtl/>
        </w:rPr>
        <w:t xml:space="preserve">مرضٍ </w:t>
      </w:r>
      <w:r>
        <w:rPr>
          <w:rFonts w:hint="cs"/>
          <w:rtl/>
          <w:lang w:val="en-CA" w:bidi="ar-EG"/>
        </w:rPr>
        <w:t>عن سبب عدم تقديم هذه المعلومات منذ البداية، يضعف مصداقية الوثائق المقدمة من أصحاب الشكوى.</w:t>
      </w:r>
    </w:p>
    <w:p w:rsidR="00363456" w:rsidRDefault="00363456" w:rsidP="00363456">
      <w:pPr>
        <w:pStyle w:val="SingleTxtGA"/>
        <w:rPr>
          <w:rFonts w:ascii="Traditional Arabic" w:hAnsi="Traditional Arabic" w:hint="cs"/>
          <w:color w:val="000000"/>
          <w:rtl/>
          <w:lang w:val="en-CA" w:bidi="ar-EG"/>
        </w:rPr>
      </w:pPr>
      <w:r>
        <w:rPr>
          <w:rFonts w:ascii="Traditional Arabic" w:hAnsi="Traditional Arabic" w:hint="cs"/>
          <w:color w:val="000000"/>
          <w:rtl/>
          <w:lang w:val="en-CA" w:bidi="ar-EG"/>
        </w:rPr>
        <w:t>4-8</w:t>
      </w:r>
      <w:r>
        <w:rPr>
          <w:rFonts w:ascii="Traditional Arabic" w:hAnsi="Traditional Arabic" w:hint="cs"/>
          <w:color w:val="000000"/>
          <w:rtl/>
          <w:lang w:val="en-CA" w:bidi="ar-EG"/>
        </w:rPr>
        <w:tab/>
        <w:t>وتشير الدولة الطرف كذلك إلى أن ادعاءات أصحاب الشكوى المعروضة أمام اللجنة ليست متسقة تماماً مع البيانات التي أدلوا بها أمام سلطات الهجرة السويدية. ذلك أن أصحاب الشكوى يؤكدون، في المعلومات المعروضة على اللجنة، أن أجهزة الأمن الليبية قد</w:t>
      </w:r>
      <w:r>
        <w:rPr>
          <w:rFonts w:ascii="Traditional Arabic" w:hAnsi="Traditional Arabic" w:hint="eastAsia"/>
          <w:color w:val="000000"/>
          <w:rtl/>
          <w:lang w:val="en-CA" w:bidi="ar-EG"/>
        </w:rPr>
        <w:t> </w:t>
      </w:r>
      <w:r>
        <w:rPr>
          <w:rFonts w:ascii="Traditional Arabic" w:hAnsi="Traditional Arabic" w:hint="cs"/>
          <w:color w:val="000000"/>
          <w:rtl/>
          <w:lang w:val="en-CA" w:bidi="ar-EG"/>
        </w:rPr>
        <w:t>استجوبت م. أ. ف. في الفترة ما بين كانون الثاني/يناير 2001 وتشرين الثاني/ نوفمبر</w:t>
      </w:r>
      <w:r>
        <w:rPr>
          <w:rFonts w:ascii="Traditional Arabic" w:hAnsi="Traditional Arabic" w:hint="eastAsia"/>
          <w:color w:val="000000"/>
          <w:rtl/>
          <w:lang w:val="en-CA" w:bidi="ar-EG"/>
        </w:rPr>
        <w:t> </w:t>
      </w:r>
      <w:r>
        <w:rPr>
          <w:rFonts w:ascii="Traditional Arabic" w:hAnsi="Traditional Arabic" w:hint="cs"/>
          <w:color w:val="000000"/>
          <w:rtl/>
          <w:lang w:val="en-CA" w:bidi="ar-EG"/>
        </w:rPr>
        <w:t>2002، بينما أبلغوا سلطات الهجرة السويدية بأن ذلك قد حدث لمدة ثلاث سنوات حتى عام 2003.</w:t>
      </w:r>
    </w:p>
    <w:p w:rsidR="00363456" w:rsidRPr="00F64352" w:rsidRDefault="00363456" w:rsidP="00363456">
      <w:pPr>
        <w:pStyle w:val="SingleTxtGA"/>
        <w:rPr>
          <w:rFonts w:ascii="Traditional Arabic" w:hAnsi="Traditional Arabic"/>
          <w:color w:val="000000"/>
          <w:rtl/>
          <w:lang w:val="en-CA" w:bidi="ar-EG"/>
        </w:rPr>
      </w:pPr>
      <w:r>
        <w:rPr>
          <w:rFonts w:ascii="Traditional Arabic" w:hAnsi="Traditional Arabic" w:hint="cs"/>
          <w:color w:val="000000"/>
          <w:rtl/>
          <w:lang w:val="en-CA" w:bidi="ar-EG"/>
        </w:rPr>
        <w:t>4-9</w:t>
      </w:r>
      <w:r>
        <w:rPr>
          <w:rFonts w:ascii="Traditional Arabic" w:hAnsi="Traditional Arabic" w:hint="cs"/>
          <w:color w:val="000000"/>
          <w:rtl/>
          <w:lang w:val="en-CA" w:bidi="ar-EG"/>
        </w:rPr>
        <w:tab/>
        <w:t xml:space="preserve">ويُدَّعى أن أصحاب الشكوى قد تركوا ليبيا في أيار/مايو 2007. وتدعي الدولة الطرف أنه إذا رأت اللجنة، على خلاف ما ترى الدولة الطرف، أن أصحاب الشكوى قدموا أدلة تدعم الأسباب التي ذكروها لتركهم لبلدهم الأصلي، </w:t>
      </w:r>
      <w:r w:rsidRPr="00F64352">
        <w:rPr>
          <w:rFonts w:ascii="Traditional Arabic" w:hAnsi="Traditional Arabic"/>
          <w:color w:val="000000"/>
          <w:rtl/>
          <w:lang w:val="en-CA" w:bidi="ar-EG"/>
        </w:rPr>
        <w:t xml:space="preserve">فلا </w:t>
      </w:r>
      <w:r w:rsidRPr="00F64352">
        <w:rPr>
          <w:rFonts w:ascii="Traditional Arabic" w:hAnsi="Traditional Arabic" w:hint="cs"/>
          <w:color w:val="000000"/>
          <w:rtl/>
          <w:lang w:val="en-CA" w:bidi="ar-EG"/>
        </w:rPr>
        <w:t>يوجد ما يشير</w:t>
      </w:r>
      <w:r w:rsidRPr="00F64352">
        <w:rPr>
          <w:rFonts w:ascii="Traditional Arabic" w:hAnsi="Traditional Arabic"/>
          <w:color w:val="000000"/>
          <w:rtl/>
          <w:lang w:val="en-CA" w:bidi="ar-EG"/>
        </w:rPr>
        <w:t xml:space="preserve"> إلى استمرار اهتمام السلطات </w:t>
      </w:r>
      <w:r>
        <w:rPr>
          <w:rFonts w:ascii="Traditional Arabic" w:hAnsi="Traditional Arabic" w:hint="cs"/>
          <w:color w:val="000000"/>
          <w:rtl/>
          <w:lang w:val="en-CA" w:bidi="ar-EG"/>
        </w:rPr>
        <w:t>الليبية</w:t>
      </w:r>
      <w:r w:rsidRPr="00F64352">
        <w:rPr>
          <w:rFonts w:ascii="Traditional Arabic" w:hAnsi="Traditional Arabic"/>
          <w:color w:val="000000"/>
          <w:rtl/>
          <w:lang w:val="en-CA" w:bidi="ar-EG"/>
        </w:rPr>
        <w:t xml:space="preserve"> بهم</w:t>
      </w:r>
      <w:r>
        <w:rPr>
          <w:rFonts w:ascii="Traditional Arabic" w:hAnsi="Traditional Arabic" w:hint="cs"/>
          <w:color w:val="000000"/>
          <w:rtl/>
          <w:lang w:val="en-CA" w:bidi="ar-EG"/>
        </w:rPr>
        <w:t xml:space="preserve"> إذا رُحلّوا الآن</w:t>
      </w:r>
      <w:r w:rsidRPr="00F64352">
        <w:rPr>
          <w:rFonts w:ascii="Traditional Arabic" w:hAnsi="Traditional Arabic"/>
          <w:color w:val="000000"/>
          <w:rtl/>
          <w:lang w:val="en-CA" w:bidi="ar-EG"/>
        </w:rPr>
        <w:t>.</w:t>
      </w:r>
    </w:p>
    <w:p w:rsidR="00363456" w:rsidRDefault="00363456" w:rsidP="00175A28">
      <w:pPr>
        <w:pStyle w:val="SingleTxtGA"/>
        <w:rPr>
          <w:rFonts w:hint="cs"/>
          <w:rtl/>
          <w:lang w:val="en-CA" w:bidi="ar-EG"/>
        </w:rPr>
      </w:pPr>
      <w:r w:rsidRPr="00F64352">
        <w:rPr>
          <w:rtl/>
          <w:lang w:val="en-CA" w:bidi="ar-EG"/>
        </w:rPr>
        <w:t>4-</w:t>
      </w:r>
      <w:r>
        <w:rPr>
          <w:rFonts w:hint="cs"/>
          <w:rtl/>
          <w:lang w:val="en-CA" w:bidi="ar-EG"/>
        </w:rPr>
        <w:t>10</w:t>
      </w:r>
      <w:r w:rsidRPr="00F64352">
        <w:rPr>
          <w:rtl/>
          <w:lang w:val="en-CA" w:bidi="ar-EG"/>
        </w:rPr>
        <w:tab/>
      </w:r>
      <w:r>
        <w:rPr>
          <w:rFonts w:hint="cs"/>
          <w:rtl/>
          <w:lang w:val="en-CA" w:bidi="ar-EG"/>
        </w:rPr>
        <w:t>وترى</w:t>
      </w:r>
      <w:r w:rsidRPr="00F64352">
        <w:rPr>
          <w:rtl/>
          <w:lang w:val="en-CA" w:bidi="ar-EG"/>
        </w:rPr>
        <w:t xml:space="preserve"> الدولة الطرف أن الأدلة والظروف التي تذرع بها </w:t>
      </w:r>
      <w:r w:rsidRPr="00F64352">
        <w:rPr>
          <w:rFonts w:hint="cs"/>
          <w:rtl/>
          <w:lang w:val="en-CA" w:bidi="ar-EG"/>
        </w:rPr>
        <w:t xml:space="preserve">أصحاب </w:t>
      </w:r>
      <w:r w:rsidRPr="00F64352">
        <w:rPr>
          <w:rtl/>
          <w:lang w:val="en-CA" w:bidi="ar-EG"/>
        </w:rPr>
        <w:t xml:space="preserve">الشكوى ليست كافية </w:t>
      </w:r>
      <w:r>
        <w:rPr>
          <w:rFonts w:hint="cs"/>
          <w:rtl/>
          <w:lang w:val="en-CA" w:bidi="ar-EG"/>
        </w:rPr>
        <w:t>للبرهنة على</w:t>
      </w:r>
      <w:r w:rsidRPr="00F64352">
        <w:rPr>
          <w:rtl/>
          <w:lang w:val="en-CA" w:bidi="ar-EG"/>
        </w:rPr>
        <w:t xml:space="preserve"> أن </w:t>
      </w:r>
      <w:r>
        <w:rPr>
          <w:rFonts w:hint="cs"/>
          <w:rtl/>
          <w:lang w:val="en-CA" w:bidi="ar-EG"/>
        </w:rPr>
        <w:t>ال</w:t>
      </w:r>
      <w:r w:rsidRPr="00F64352">
        <w:rPr>
          <w:rtl/>
          <w:lang w:val="en-CA" w:bidi="ar-EG"/>
        </w:rPr>
        <w:t xml:space="preserve">خطر </w:t>
      </w:r>
      <w:r>
        <w:rPr>
          <w:rFonts w:hint="cs"/>
          <w:rtl/>
          <w:lang w:val="en-CA" w:bidi="ar-EG"/>
        </w:rPr>
        <w:t xml:space="preserve">المدَّعى المتمثل في </w:t>
      </w:r>
      <w:r w:rsidRPr="00F64352">
        <w:rPr>
          <w:rFonts w:hint="cs"/>
          <w:rtl/>
          <w:lang w:val="en-CA" w:bidi="ar-EG"/>
        </w:rPr>
        <w:t>التعرض ل</w:t>
      </w:r>
      <w:r w:rsidRPr="00F64352">
        <w:rPr>
          <w:rtl/>
          <w:lang w:val="en-CA" w:bidi="ar-EG"/>
        </w:rPr>
        <w:t>لتعذيب يفي ب</w:t>
      </w:r>
      <w:r>
        <w:rPr>
          <w:rFonts w:hint="cs"/>
          <w:rtl/>
          <w:lang w:val="en-CA" w:bidi="ar-EG"/>
        </w:rPr>
        <w:t>ال</w:t>
      </w:r>
      <w:r w:rsidRPr="00F64352">
        <w:rPr>
          <w:rtl/>
          <w:lang w:val="en-CA" w:bidi="ar-EG"/>
        </w:rPr>
        <w:t xml:space="preserve">متطلبات </w:t>
      </w:r>
      <w:r>
        <w:rPr>
          <w:rFonts w:hint="cs"/>
          <w:rtl/>
          <w:lang w:val="en-CA" w:bidi="ar-EG"/>
        </w:rPr>
        <w:t xml:space="preserve">التي تستلزم أن يكون هذا الخطر </w:t>
      </w:r>
      <w:r w:rsidRPr="00F64352">
        <w:rPr>
          <w:rtl/>
          <w:lang w:val="en-CA" w:bidi="ar-EG"/>
        </w:rPr>
        <w:t>متوقعاً وحقيقياً وشخصياً. وبالنظر إلى أن ادع</w:t>
      </w:r>
      <w:r w:rsidRPr="00F64352">
        <w:rPr>
          <w:rFonts w:hint="eastAsia"/>
          <w:rtl/>
          <w:lang w:val="en-CA" w:bidi="ar-EG"/>
        </w:rPr>
        <w:t>اء</w:t>
      </w:r>
      <w:r w:rsidRPr="00F64352">
        <w:rPr>
          <w:rtl/>
          <w:lang w:val="en-CA" w:bidi="ar-EG"/>
        </w:rPr>
        <w:t xml:space="preserve"> </w:t>
      </w:r>
      <w:r w:rsidRPr="00F64352">
        <w:rPr>
          <w:rFonts w:hint="cs"/>
          <w:rtl/>
          <w:lang w:val="en-CA" w:bidi="ar-EG"/>
        </w:rPr>
        <w:t xml:space="preserve">أصحاب </w:t>
      </w:r>
      <w:r w:rsidRPr="00F64352">
        <w:rPr>
          <w:rtl/>
          <w:lang w:val="en-CA" w:bidi="ar-EG"/>
        </w:rPr>
        <w:t>الشكوى</w:t>
      </w:r>
      <w:r>
        <w:rPr>
          <w:rFonts w:hint="cs"/>
          <w:rtl/>
          <w:lang w:val="en-CA" w:bidi="ar-EG"/>
        </w:rPr>
        <w:t xml:space="preserve"> بموجب المادة 3</w:t>
      </w:r>
      <w:r w:rsidRPr="00F64352">
        <w:rPr>
          <w:rtl/>
          <w:lang w:val="en-CA" w:bidi="ar-EG"/>
        </w:rPr>
        <w:t xml:space="preserve"> </w:t>
      </w:r>
      <w:r w:rsidR="00175A28">
        <w:rPr>
          <w:rFonts w:hint="cs"/>
          <w:rtl/>
          <w:lang w:val="en-CA" w:bidi="ar-EG"/>
        </w:rPr>
        <w:t xml:space="preserve">لا </w:t>
      </w:r>
      <w:r>
        <w:rPr>
          <w:rFonts w:hint="cs"/>
          <w:rtl/>
          <w:lang w:val="en-CA" w:bidi="ar-EG"/>
        </w:rPr>
        <w:t>يتضمّن الحد الأدنى من الأدلة المطلوبة</w:t>
      </w:r>
      <w:r w:rsidRPr="00F64352">
        <w:rPr>
          <w:rtl/>
          <w:lang w:val="en-CA" w:bidi="ar-EG"/>
        </w:rPr>
        <w:t xml:space="preserve">، فإنه ينبغي </w:t>
      </w:r>
      <w:r w:rsidR="00175A28">
        <w:rPr>
          <w:rFonts w:hint="cs"/>
          <w:rtl/>
          <w:lang w:val="en-CA" w:bidi="ar-EG"/>
        </w:rPr>
        <w:t xml:space="preserve">إعلان </w:t>
      </w:r>
      <w:r w:rsidRPr="00F64352">
        <w:rPr>
          <w:rtl/>
          <w:lang w:val="en-CA" w:bidi="ar-EG"/>
        </w:rPr>
        <w:t>عدم مقبولي</w:t>
      </w:r>
      <w:r w:rsidRPr="00F64352">
        <w:rPr>
          <w:rFonts w:hint="cs"/>
          <w:rtl/>
          <w:lang w:val="en-CA" w:bidi="ar-EG"/>
        </w:rPr>
        <w:t>ة البلاغ</w:t>
      </w:r>
      <w:r w:rsidRPr="00F64352">
        <w:rPr>
          <w:rtl/>
          <w:lang w:val="en-CA" w:bidi="ar-EG"/>
        </w:rPr>
        <w:t xml:space="preserve"> </w:t>
      </w:r>
      <w:r w:rsidRPr="00F64352">
        <w:rPr>
          <w:rFonts w:hint="cs"/>
          <w:rtl/>
          <w:lang w:val="en-CA" w:bidi="ar-EG"/>
        </w:rPr>
        <w:t>لافتقاره إلى أسس وجيهة</w:t>
      </w:r>
      <w:r w:rsidRPr="00F64352">
        <w:rPr>
          <w:rtl/>
          <w:lang w:val="en-CA" w:bidi="ar-EG"/>
        </w:rPr>
        <w:t xml:space="preserve">. </w:t>
      </w:r>
    </w:p>
    <w:p w:rsidR="00363456" w:rsidRPr="00B41DC4" w:rsidRDefault="00363456" w:rsidP="00363456">
      <w:pPr>
        <w:pStyle w:val="H23GA"/>
        <w:rPr>
          <w:rtl/>
        </w:rPr>
      </w:pPr>
      <w:r>
        <w:rPr>
          <w:rFonts w:hint="cs"/>
          <w:rtl/>
        </w:rPr>
        <w:tab/>
      </w:r>
      <w:r>
        <w:rPr>
          <w:rFonts w:hint="cs"/>
          <w:rtl/>
        </w:rPr>
        <w:tab/>
      </w:r>
      <w:r w:rsidRPr="00B41DC4">
        <w:rPr>
          <w:rtl/>
        </w:rPr>
        <w:t xml:space="preserve">تعليقات </w:t>
      </w:r>
      <w:r>
        <w:rPr>
          <w:rFonts w:hint="cs"/>
          <w:rtl/>
        </w:rPr>
        <w:t>صاحب الشكوى</w:t>
      </w:r>
      <w:r w:rsidRPr="00B41DC4">
        <w:rPr>
          <w:rtl/>
        </w:rPr>
        <w:t xml:space="preserve"> على ملاحظات الدولة الطرف</w:t>
      </w:r>
    </w:p>
    <w:p w:rsidR="00363456" w:rsidRPr="00EC400F" w:rsidRDefault="00363456" w:rsidP="00363456">
      <w:pPr>
        <w:pStyle w:val="SingleTxtGA"/>
        <w:rPr>
          <w:rFonts w:ascii="Traditional Arabic" w:hAnsi="Traditional Arabic"/>
          <w:color w:val="000000"/>
          <w:spacing w:val="-4"/>
          <w:rtl/>
          <w:lang w:val="en-CA"/>
        </w:rPr>
      </w:pPr>
      <w:r w:rsidRPr="00B41DC4">
        <w:rPr>
          <w:rFonts w:ascii="Traditional Arabic" w:hAnsi="Traditional Arabic"/>
          <w:color w:val="000000"/>
          <w:spacing w:val="-4"/>
          <w:rtl/>
          <w:lang w:val="en-CA"/>
        </w:rPr>
        <w:t>5-1</w:t>
      </w:r>
      <w:r w:rsidRPr="00B41DC4">
        <w:rPr>
          <w:rFonts w:ascii="Traditional Arabic" w:hAnsi="Traditional Arabic"/>
          <w:color w:val="000000"/>
          <w:spacing w:val="-4"/>
          <w:rtl/>
          <w:lang w:val="en-CA"/>
        </w:rPr>
        <w:tab/>
      </w:r>
      <w:r>
        <w:rPr>
          <w:rFonts w:ascii="Traditional Arabic" w:hAnsi="Traditional Arabic" w:hint="cs"/>
          <w:color w:val="000000"/>
          <w:rtl/>
        </w:rPr>
        <w:t>كان صاحب الشكوى الرئيسي، قبل تقديم تعليقاته، قد قدم نسخاً من سجلات الزيارات الطبية ووثائق إضافية في 22 تموز/يوليه 2010 و2 تشرين الثاني/نوفمبر 2010.</w:t>
      </w:r>
    </w:p>
    <w:p w:rsidR="00363456" w:rsidRDefault="00363456" w:rsidP="00175A28">
      <w:pPr>
        <w:pStyle w:val="SingleTxtGA"/>
        <w:rPr>
          <w:rFonts w:ascii="Traditional Arabic" w:hAnsi="Traditional Arabic" w:hint="cs"/>
          <w:color w:val="000000"/>
          <w:rtl/>
        </w:rPr>
      </w:pPr>
      <w:r w:rsidRPr="00B41DC4">
        <w:rPr>
          <w:rFonts w:ascii="Traditional Arabic" w:hAnsi="Traditional Arabic"/>
          <w:color w:val="000000"/>
          <w:rtl/>
          <w:lang w:val="en-CA"/>
        </w:rPr>
        <w:t>5</w:t>
      </w:r>
      <w:r w:rsidRPr="000E3140">
        <w:rPr>
          <w:rFonts w:ascii="Traditional Arabic" w:hAnsi="Traditional Arabic"/>
          <w:color w:val="000000"/>
          <w:spacing w:val="-2"/>
          <w:rtl/>
          <w:lang w:val="en-CA"/>
        </w:rPr>
        <w:t>-2</w:t>
      </w:r>
      <w:r w:rsidRPr="000E3140">
        <w:rPr>
          <w:rFonts w:ascii="Traditional Arabic" w:hAnsi="Traditional Arabic"/>
          <w:color w:val="000000"/>
          <w:spacing w:val="-2"/>
          <w:rtl/>
          <w:lang w:val="en-CA"/>
        </w:rPr>
        <w:tab/>
      </w:r>
      <w:r>
        <w:rPr>
          <w:rFonts w:ascii="Traditional Arabic" w:hAnsi="Traditional Arabic" w:hint="cs"/>
          <w:color w:val="000000"/>
          <w:spacing w:val="-2"/>
          <w:rtl/>
        </w:rPr>
        <w:t xml:space="preserve">وفي 10 كانون الثاني/يناير 2011، قدم م. أ. ف. تعليقاته على ملاحظات الدولة الطرف. وأرفق صاحب الشكوى نسخاً من بعض الوثائق الداعمة المقدمة إلى مجلس الهجرة السويدي ومحكمة الهجرة السويدية. وفيما يتعلق بأوجه عدم الاتساق والغموض المدَّعاة </w:t>
      </w:r>
      <w:r>
        <w:rPr>
          <w:rFonts w:ascii="Traditional Arabic" w:hAnsi="Traditional Arabic" w:hint="cs"/>
          <w:color w:val="000000"/>
          <w:rtl/>
        </w:rPr>
        <w:t>في الأدلة المقدمة إلى السلطات السويدية، يذكر م. أ. ف. أنه ترك ليبيا في ظروف صعبة للغاية حيث كان خائفاً جداً، و</w:t>
      </w:r>
      <w:r w:rsidR="00175A28">
        <w:rPr>
          <w:rFonts w:ascii="Traditional Arabic" w:hAnsi="Traditional Arabic" w:hint="cs"/>
          <w:color w:val="000000"/>
          <w:rtl/>
        </w:rPr>
        <w:t xml:space="preserve">من المألوف </w:t>
      </w:r>
      <w:r>
        <w:rPr>
          <w:rFonts w:ascii="Traditional Arabic" w:hAnsi="Traditional Arabic" w:hint="cs"/>
          <w:color w:val="000000"/>
          <w:rtl/>
        </w:rPr>
        <w:t>في مثل هذه الحالات ألا يتذكر الشخص كل شيء بالتفصيل. ويذكر كذلك أن الأشخاص المشاركين في أنشطة سياسية مع المعارضة الليبية عليهم أن يتوخوا الحذر الشديد، وفي هذه الظروف يكون من الطبيعي إلى حد كبير ألا</w:t>
      </w:r>
      <w:r>
        <w:rPr>
          <w:rFonts w:ascii="Traditional Arabic" w:hAnsi="Traditional Arabic" w:hint="eastAsia"/>
          <w:color w:val="000000"/>
          <w:rtl/>
        </w:rPr>
        <w:t> </w:t>
      </w:r>
      <w:r>
        <w:rPr>
          <w:rFonts w:ascii="Traditional Arabic" w:hAnsi="Traditional Arabic" w:hint="cs"/>
          <w:color w:val="000000"/>
          <w:rtl/>
        </w:rPr>
        <w:t>يكون شقيقه قد أبلغ حتى الأقارب المقربين بأنشطته، وخاصة أنه كان لديه اتصالات بضباط في الجيش وتعاون معهم.</w:t>
      </w:r>
    </w:p>
    <w:p w:rsidR="00363456" w:rsidRPr="00B41DC4" w:rsidRDefault="00363456" w:rsidP="00363456">
      <w:pPr>
        <w:pStyle w:val="SingleTxtGA"/>
        <w:rPr>
          <w:rFonts w:ascii="Traditional Arabic" w:hAnsi="Traditional Arabic" w:hint="cs"/>
          <w:b/>
          <w:bCs/>
          <w:color w:val="000000"/>
          <w:rtl/>
        </w:rPr>
      </w:pPr>
      <w:r>
        <w:rPr>
          <w:rFonts w:ascii="Traditional Arabic" w:hAnsi="Traditional Arabic" w:hint="cs"/>
          <w:color w:val="000000"/>
          <w:rtl/>
        </w:rPr>
        <w:t>5-3</w:t>
      </w:r>
      <w:r>
        <w:rPr>
          <w:rFonts w:ascii="Traditional Arabic" w:hAnsi="Traditional Arabic" w:hint="cs"/>
          <w:color w:val="000000"/>
          <w:rtl/>
        </w:rPr>
        <w:tab/>
        <w:t>وأشار م. أ. ف. كذلك إلى المحاولتين اللتين حاولت فيهما أسرته الحصول على إقامة في النرويج والجهود التي بذلها في السفر إلى جنيف موضحاً أنه</w:t>
      </w:r>
      <w:r w:rsidR="00175A28">
        <w:rPr>
          <w:rFonts w:ascii="Traditional Arabic" w:hAnsi="Traditional Arabic" w:hint="cs"/>
          <w:color w:val="000000"/>
          <w:rtl/>
        </w:rPr>
        <w:t>م</w:t>
      </w:r>
      <w:r>
        <w:rPr>
          <w:rFonts w:ascii="Traditional Arabic" w:hAnsi="Traditional Arabic" w:hint="cs"/>
          <w:color w:val="000000"/>
          <w:rtl/>
        </w:rPr>
        <w:t>ا تشيران إلى أن خوف أصحاب الشكوى من عنف السلطات الليبية كان حقيقياً ويستند إلى أسباب جيدة.</w:t>
      </w:r>
    </w:p>
    <w:p w:rsidR="00363456" w:rsidRPr="00B146BB" w:rsidRDefault="00363456" w:rsidP="00363456">
      <w:pPr>
        <w:pStyle w:val="H23GA"/>
        <w:rPr>
          <w:rFonts w:hint="cs"/>
          <w:rtl/>
        </w:rPr>
      </w:pPr>
      <w:r>
        <w:rPr>
          <w:rFonts w:hint="cs"/>
          <w:rtl/>
        </w:rPr>
        <w:tab/>
      </w:r>
      <w:r>
        <w:rPr>
          <w:rFonts w:hint="cs"/>
          <w:rtl/>
        </w:rPr>
        <w:tab/>
      </w:r>
      <w:r w:rsidRPr="00B146BB">
        <w:rPr>
          <w:rFonts w:hint="cs"/>
          <w:rtl/>
        </w:rPr>
        <w:t>تعليقات إضافية من الطرفين</w:t>
      </w:r>
    </w:p>
    <w:p w:rsidR="00363456" w:rsidRDefault="00363456" w:rsidP="00363456">
      <w:pPr>
        <w:pStyle w:val="SingleTxtGA"/>
        <w:rPr>
          <w:rFonts w:ascii="Traditional Arabic" w:hAnsi="Traditional Arabic" w:hint="cs"/>
          <w:color w:val="000000"/>
          <w:rtl/>
          <w:lang w:bidi="ar-EG"/>
        </w:rPr>
      </w:pPr>
      <w:r w:rsidRPr="00B146BB">
        <w:rPr>
          <w:rFonts w:ascii="Traditional Arabic" w:hAnsi="Traditional Arabic" w:hint="cs"/>
          <w:color w:val="000000"/>
          <w:rtl/>
        </w:rPr>
        <w:t>6-1</w:t>
      </w:r>
      <w:r w:rsidRPr="00B146BB">
        <w:rPr>
          <w:rFonts w:ascii="Traditional Arabic" w:hAnsi="Traditional Arabic" w:hint="cs"/>
          <w:color w:val="000000"/>
          <w:rtl/>
        </w:rPr>
        <w:tab/>
      </w:r>
      <w:r>
        <w:rPr>
          <w:rFonts w:ascii="Traditional Arabic" w:hAnsi="Traditional Arabic" w:hint="cs"/>
          <w:color w:val="000000"/>
          <w:rtl/>
        </w:rPr>
        <w:t xml:space="preserve">في 25 آذار/مارس 2011، أبلغت الدولة الطرف اللجنة بأن السلطات السويدية أوقفت إنفاذ عمليات الترحيل إلى ليبيا بسبب الوضع الأمني هناك، وطلبت </w:t>
      </w:r>
      <w:r>
        <w:rPr>
          <w:rFonts w:ascii="Traditional Arabic" w:hAnsi="Traditional Arabic" w:hint="cs"/>
          <w:color w:val="000000"/>
          <w:rtl/>
          <w:lang w:bidi="ar-EG"/>
        </w:rPr>
        <w:t>تأجيل النظر في البلاغ حتى إشعار آخر.</w:t>
      </w:r>
    </w:p>
    <w:p w:rsidR="00363456" w:rsidRDefault="00363456" w:rsidP="00175A28">
      <w:pPr>
        <w:pStyle w:val="SingleTxtGA"/>
        <w:rPr>
          <w:rFonts w:ascii="Traditional Arabic" w:hAnsi="Traditional Arabic" w:hint="cs"/>
          <w:color w:val="000000"/>
          <w:rtl/>
          <w:lang w:val="en-CA" w:bidi="ar-EG"/>
        </w:rPr>
      </w:pPr>
      <w:r>
        <w:rPr>
          <w:rFonts w:ascii="Traditional Arabic" w:hAnsi="Traditional Arabic" w:hint="cs"/>
          <w:color w:val="000000"/>
          <w:rtl/>
          <w:lang w:bidi="ar-EG"/>
        </w:rPr>
        <w:t>6-2</w:t>
      </w:r>
      <w:r>
        <w:rPr>
          <w:rFonts w:ascii="Traditional Arabic" w:hAnsi="Traditional Arabic" w:hint="cs"/>
          <w:color w:val="000000"/>
          <w:rtl/>
          <w:lang w:bidi="ar-EG"/>
        </w:rPr>
        <w:tab/>
        <w:t xml:space="preserve">وفي 20 نيسان/أبريل 2012، قدم </w:t>
      </w:r>
      <w:r>
        <w:rPr>
          <w:rFonts w:ascii="Traditional Arabic" w:hAnsi="Traditional Arabic" w:hint="cs"/>
          <w:color w:val="000000"/>
          <w:rtl/>
        </w:rPr>
        <w:t>م. أ. ف. معلومات إضافية. وأشار إلى أنه بينما كانت مطالبته الأصلية تتعلق بالحماية من حكومة القذافي السابقة، فإن أصحاب الشكوى ما</w:t>
      </w:r>
      <w:r>
        <w:rPr>
          <w:rFonts w:ascii="Traditional Arabic" w:hAnsi="Traditional Arabic" w:hint="eastAsia"/>
          <w:color w:val="000000"/>
          <w:rtl/>
        </w:rPr>
        <w:t> </w:t>
      </w:r>
      <w:r>
        <w:rPr>
          <w:rFonts w:ascii="Traditional Arabic" w:hAnsi="Traditional Arabic" w:hint="cs"/>
          <w:color w:val="000000"/>
          <w:rtl/>
        </w:rPr>
        <w:t>زالوا يواجهون الخطر من جانب الحكومة الحالية. ويشير صاحب الشكوى إلى حدوث مصادمات مسلحة في آذار/مارس 2012 في منطقة أبو سالم بطرابلس وإلى أن جماعة مسلحة قد اختطفت أحد أشقائه من منزل شقيقته. وأبلغ المختطفون أسرة م. أ. ف. بأنهم ينتمون إلى المجلس العسكري ولكن المجلس العسكري ادعى أنه ليس له علم بالحادثة عندما اتصلت به الأسرة. ويذكر م. أ. ف. أنه وأسرته سيكون</w:t>
      </w:r>
      <w:r w:rsidR="00175A28">
        <w:rPr>
          <w:rFonts w:ascii="Traditional Arabic" w:hAnsi="Traditional Arabic" w:hint="cs"/>
          <w:color w:val="000000"/>
          <w:rtl/>
        </w:rPr>
        <w:t>ان</w:t>
      </w:r>
      <w:r>
        <w:rPr>
          <w:rFonts w:ascii="Traditional Arabic" w:hAnsi="Traditional Arabic" w:hint="cs"/>
          <w:color w:val="000000"/>
          <w:rtl/>
        </w:rPr>
        <w:t xml:space="preserve"> معرضين لخطر الاختطاف إذا </w:t>
      </w:r>
      <w:r w:rsidR="00175A28">
        <w:rPr>
          <w:rFonts w:ascii="Traditional Arabic" w:hAnsi="Traditional Arabic" w:hint="cs"/>
          <w:color w:val="000000"/>
          <w:rtl/>
        </w:rPr>
        <w:t xml:space="preserve">رُحّلا </w:t>
      </w:r>
      <w:r>
        <w:rPr>
          <w:rFonts w:ascii="Traditional Arabic" w:hAnsi="Traditional Arabic" w:hint="cs"/>
          <w:color w:val="000000"/>
          <w:rtl/>
        </w:rPr>
        <w:t>إلى ليبيا. وهو يذكر كذلك أن منزله قد دُمر في الحرب</w:t>
      </w:r>
      <w:r>
        <w:rPr>
          <w:rFonts w:ascii="Traditional Arabic" w:hAnsi="Traditional Arabic" w:hint="cs"/>
          <w:color w:val="000000"/>
          <w:rtl/>
          <w:lang w:val="en-CA" w:bidi="ar-EG"/>
        </w:rPr>
        <w:t xml:space="preserve"> الأهلية وأن سكان منطقة أبو سالم بطرابلس، وهي المنطقة التي كان يعيش فيها، يتعرضون بصفة خاصة لخطر القتل أو</w:t>
      </w:r>
      <w:r>
        <w:rPr>
          <w:rFonts w:ascii="Traditional Arabic" w:hAnsi="Traditional Arabic" w:hint="eastAsia"/>
          <w:color w:val="000000"/>
          <w:rtl/>
          <w:lang w:val="en-CA" w:bidi="ar-EG"/>
        </w:rPr>
        <w:t> </w:t>
      </w:r>
      <w:r>
        <w:rPr>
          <w:rFonts w:ascii="Traditional Arabic" w:hAnsi="Traditional Arabic" w:hint="cs"/>
          <w:color w:val="000000"/>
          <w:rtl/>
          <w:lang w:val="en-CA" w:bidi="ar-EG"/>
        </w:rPr>
        <w:t>الاختطاف، وأشار</w:t>
      </w:r>
      <w:r w:rsidR="00175A28">
        <w:rPr>
          <w:rFonts w:ascii="Traditional Arabic" w:hAnsi="Traditional Arabic" w:hint="eastAsia"/>
          <w:color w:val="000000"/>
          <w:rtl/>
          <w:lang w:val="en-CA" w:bidi="ar-EG"/>
        </w:rPr>
        <w:t> </w:t>
      </w:r>
      <w:r>
        <w:rPr>
          <w:rFonts w:ascii="Traditional Arabic" w:hAnsi="Traditional Arabic" w:hint="cs"/>
          <w:color w:val="000000"/>
          <w:rtl/>
          <w:lang w:val="en-CA" w:bidi="ar-EG"/>
        </w:rPr>
        <w:t xml:space="preserve">إلى التقارير المتعلقة بالحالة الصحية في ليبيا، فضلاً عن خطر التعرض للاغتصاب. وأشار </w:t>
      </w:r>
      <w:r>
        <w:rPr>
          <w:rFonts w:ascii="Traditional Arabic" w:hAnsi="Traditional Arabic" w:hint="cs"/>
          <w:color w:val="000000"/>
          <w:rtl/>
        </w:rPr>
        <w:t xml:space="preserve">م. أ. ف. كذلك إلى أن أبناء عمومة زوجته قد حاربوا في صفوف القذافي أثناء </w:t>
      </w:r>
      <w:r>
        <w:rPr>
          <w:rFonts w:ascii="Traditional Arabic" w:hAnsi="Traditional Arabic" w:hint="cs"/>
          <w:color w:val="000000"/>
          <w:rtl/>
          <w:lang w:val="en-CA" w:bidi="ar-EG"/>
        </w:rPr>
        <w:t>الثورة، مما يجعلها هدفاً للانتقام أو التعذيب.</w:t>
      </w:r>
    </w:p>
    <w:p w:rsidR="00363456" w:rsidRPr="00883E7F" w:rsidRDefault="00363456" w:rsidP="00363456">
      <w:pPr>
        <w:pStyle w:val="SingleTxtGA"/>
        <w:rPr>
          <w:rFonts w:ascii="Traditional Arabic" w:hAnsi="Traditional Arabic" w:hint="cs"/>
          <w:color w:val="000000"/>
          <w:rtl/>
        </w:rPr>
      </w:pPr>
      <w:r>
        <w:rPr>
          <w:rFonts w:ascii="Traditional Arabic" w:hAnsi="Traditional Arabic" w:hint="cs"/>
          <w:color w:val="000000"/>
          <w:rtl/>
          <w:lang w:val="en-CA" w:bidi="ar-EG"/>
        </w:rPr>
        <w:t>6-3</w:t>
      </w:r>
      <w:r>
        <w:rPr>
          <w:rFonts w:ascii="Traditional Arabic" w:hAnsi="Traditional Arabic" w:hint="cs"/>
          <w:color w:val="000000"/>
          <w:rtl/>
          <w:lang w:val="en-CA" w:bidi="ar-EG"/>
        </w:rPr>
        <w:tab/>
        <w:t xml:space="preserve">وفي 10 أيار/مايو 2012، قدمت الدولة الطرف معلومات إضافية. وأشارت الدولة الطرف إلى أن </w:t>
      </w:r>
      <w:r>
        <w:rPr>
          <w:rFonts w:ascii="Traditional Arabic" w:hAnsi="Traditional Arabic" w:hint="cs"/>
          <w:color w:val="000000"/>
          <w:rtl/>
        </w:rPr>
        <w:t>م. أ. ف. قدم طلباً جديداً إلى مجلس الهجرة، في 25 شباط/فبراير 2010، لإعادة بحث حالته. وادعى م. أ. ف. أن السلطات الليبية قد عرضته للاغتصاب أثناء سجنه في عام 2006، وقدم نسخة من صحيفة طبية مؤرخة 23 شباط/فبراير 2010 دعماً لادعائه. وفي 9 تموز/يوليه 2010، قرر مجلس الهجرة عدم بحث طلب صاحب الشكوى من جديد، مؤكداً أن مجلس الهجرة ومحكمة الهجرة لديهما على السواء أسباب تدعوهما إلى التشكيك في مصداقية عرائضه السابقة، وأن هذا الادعاء الجديد مجرد إضافة لتلك العرائض. ولم يطعن م. أ. ف. في هذا القرار، ولكنه قدم في وقت لاحق طلباً جديداً إلى مجلس الهجرة لإعادة بحث حالته، ورُفض الطلب في 26 تشرين الأول/أكتوبر 2010. ودفع مجلس الهجرة بأنه نظراً إلى وجود شكوك حول هوية م.</w:t>
      </w:r>
      <w:r>
        <w:rPr>
          <w:rFonts w:ascii="Traditional Arabic" w:hAnsi="Traditional Arabic" w:hint="eastAsia"/>
          <w:color w:val="000000"/>
          <w:rtl/>
        </w:rPr>
        <w:t> </w:t>
      </w:r>
      <w:r>
        <w:rPr>
          <w:rFonts w:ascii="Traditional Arabic" w:hAnsi="Traditional Arabic" w:hint="cs"/>
          <w:color w:val="000000"/>
          <w:rtl/>
        </w:rPr>
        <w:t>أ.</w:t>
      </w:r>
      <w:r>
        <w:rPr>
          <w:rFonts w:ascii="Traditional Arabic" w:hAnsi="Traditional Arabic" w:hint="eastAsia"/>
          <w:color w:val="000000"/>
          <w:rtl/>
        </w:rPr>
        <w:t> </w:t>
      </w:r>
      <w:r>
        <w:rPr>
          <w:rFonts w:ascii="Traditional Arabic" w:hAnsi="Traditional Arabic" w:hint="cs"/>
          <w:color w:val="000000"/>
          <w:rtl/>
        </w:rPr>
        <w:t xml:space="preserve">ف.، فإن الرسالة التي قدمها والموجهة من </w:t>
      </w:r>
      <w:r w:rsidRPr="0091152F">
        <w:rPr>
          <w:rFonts w:ascii="Traditional Arabic" w:hAnsi="Traditional Arabic"/>
          <w:color w:val="000000"/>
          <w:rtl/>
        </w:rPr>
        <w:t xml:space="preserve">اللجنة الشعبية العامة </w:t>
      </w:r>
      <w:r>
        <w:rPr>
          <w:rFonts w:ascii="Traditional Arabic" w:hAnsi="Traditional Arabic" w:hint="cs"/>
          <w:color w:val="000000"/>
          <w:rtl/>
        </w:rPr>
        <w:t xml:space="preserve">للأمن العام </w:t>
      </w:r>
      <w:r>
        <w:rPr>
          <w:rFonts w:ascii="Traditional Arabic" w:hAnsi="Traditional Arabic" w:hint="cs"/>
          <w:color w:val="000000"/>
          <w:rtl/>
          <w:lang w:val="en-CA" w:bidi="ar-EG"/>
        </w:rPr>
        <w:t>والتي تتضمن استدعاء صاحب الشكوى إلى إدارة الأمن الداخلي في 8 نيسان/أبريل 2008 لا يمكن ربطها به. وبالإضافة إلى ذلك، كانت الوثيقة ذات طابع بسيط ولم يُقدَّم إلا نسخة منها، وبالتالي فإن قيمتها كدليل محدودة. وطعن صاحب الشكوى في قرار مجلس الهجرة أمام محكمة الهجرة. وقدم رسالة ادّعى أنها طلب الاستدعاء الأصلي</w:t>
      </w:r>
      <w:r w:rsidRPr="00883E7F">
        <w:rPr>
          <w:rFonts w:ascii="Traditional Arabic" w:hAnsi="Traditional Arabic"/>
          <w:color w:val="000000"/>
          <w:rtl/>
        </w:rPr>
        <w:t xml:space="preserve"> </w:t>
      </w:r>
      <w:r>
        <w:rPr>
          <w:rFonts w:ascii="Traditional Arabic" w:hAnsi="Traditional Arabic" w:hint="cs"/>
          <w:color w:val="000000"/>
          <w:rtl/>
        </w:rPr>
        <w:t>الموجّه من الل</w:t>
      </w:r>
      <w:r w:rsidRPr="0091152F">
        <w:rPr>
          <w:rFonts w:ascii="Traditional Arabic" w:hAnsi="Traditional Arabic"/>
          <w:color w:val="000000"/>
          <w:rtl/>
        </w:rPr>
        <w:t xml:space="preserve">جنة الشعبية العامة </w:t>
      </w:r>
      <w:r>
        <w:rPr>
          <w:rFonts w:ascii="Traditional Arabic" w:hAnsi="Traditional Arabic" w:hint="cs"/>
          <w:color w:val="000000"/>
          <w:rtl/>
        </w:rPr>
        <w:t>ل</w:t>
      </w:r>
      <w:r w:rsidRPr="0091152F">
        <w:rPr>
          <w:rFonts w:ascii="Traditional Arabic" w:hAnsi="Traditional Arabic"/>
          <w:color w:val="000000"/>
          <w:rtl/>
        </w:rPr>
        <w:t>لأمن العام</w:t>
      </w:r>
      <w:r>
        <w:rPr>
          <w:rFonts w:ascii="Traditional Arabic" w:hAnsi="Traditional Arabic" w:hint="cs"/>
          <w:color w:val="000000"/>
          <w:rtl/>
        </w:rPr>
        <w:t>، ولكن كانت هذه الرسالة مختلفة من حيث الشكل والمضمون عن الرسالة المقدمة إلى مجلس الهجرة. وفي 17 كانون الثاني/يناير 2011، رفضت محكمة الهجرة الطعن المقدّم من صاحب الشكوى، مؤكدة أنه لا</w:t>
      </w:r>
      <w:r>
        <w:rPr>
          <w:rFonts w:ascii="Traditional Arabic" w:hAnsi="Traditional Arabic" w:hint="eastAsia"/>
          <w:color w:val="000000"/>
          <w:rtl/>
        </w:rPr>
        <w:t> </w:t>
      </w:r>
      <w:r>
        <w:rPr>
          <w:rFonts w:ascii="Traditional Arabic" w:hAnsi="Traditional Arabic" w:hint="cs"/>
          <w:color w:val="000000"/>
          <w:rtl/>
        </w:rPr>
        <w:t>المجلس ولا المحكمة قد رأيا أن صاحب الشكوى أثبت هويته وأن الطابع البسيط للوثيقة وافتقارها إلى التفاصيل عن كيفية حصول صاحب الشكوى عليها، يجعلا</w:t>
      </w:r>
      <w:r w:rsidR="009E6384">
        <w:rPr>
          <w:rFonts w:ascii="Traditional Arabic" w:hAnsi="Traditional Arabic" w:hint="cs"/>
          <w:color w:val="000000"/>
          <w:rtl/>
        </w:rPr>
        <w:t>ن</w:t>
      </w:r>
      <w:r>
        <w:rPr>
          <w:rFonts w:ascii="Traditional Arabic" w:hAnsi="Traditional Arabic" w:hint="cs"/>
          <w:color w:val="000000"/>
          <w:rtl/>
        </w:rPr>
        <w:t xml:space="preserve">ها عديمة القيمة كدليل. وفي 24 شباط/فبراير 2011، </w:t>
      </w:r>
      <w:r w:rsidRPr="00883E7F">
        <w:rPr>
          <w:rFonts w:ascii="Traditional Arabic" w:hAnsi="Traditional Arabic"/>
          <w:color w:val="000000"/>
          <w:rtl/>
        </w:rPr>
        <w:t xml:space="preserve">قررت محكمة الاستئناف </w:t>
      </w:r>
      <w:r w:rsidRPr="00883E7F">
        <w:rPr>
          <w:rFonts w:ascii="Traditional Arabic" w:hAnsi="Traditional Arabic" w:hint="cs"/>
          <w:color w:val="000000"/>
          <w:rtl/>
        </w:rPr>
        <w:t xml:space="preserve">الخاصة </w:t>
      </w:r>
      <w:r w:rsidRPr="00883E7F">
        <w:rPr>
          <w:rFonts w:ascii="Traditional Arabic" w:hAnsi="Traditional Arabic"/>
          <w:color w:val="000000"/>
          <w:rtl/>
        </w:rPr>
        <w:t xml:space="preserve">بالهجرة عدم منح </w:t>
      </w:r>
      <w:r w:rsidRPr="00883E7F">
        <w:rPr>
          <w:rFonts w:ascii="Traditional Arabic" w:hAnsi="Traditional Arabic" w:hint="cs"/>
          <w:color w:val="000000"/>
          <w:rtl/>
        </w:rPr>
        <w:t>الإذن ب</w:t>
      </w:r>
      <w:r w:rsidRPr="00883E7F">
        <w:rPr>
          <w:rFonts w:ascii="Traditional Arabic" w:hAnsi="Traditional Arabic"/>
          <w:color w:val="000000"/>
          <w:rtl/>
        </w:rPr>
        <w:t>الطعن</w:t>
      </w:r>
      <w:r w:rsidRPr="00883E7F">
        <w:rPr>
          <w:rFonts w:ascii="Traditional Arabic" w:hAnsi="Traditional Arabic" w:hint="cs"/>
          <w:color w:val="000000"/>
          <w:rtl/>
        </w:rPr>
        <w:t>.</w:t>
      </w:r>
    </w:p>
    <w:p w:rsidR="00363456" w:rsidRPr="00883E7F" w:rsidRDefault="00363456" w:rsidP="00363456">
      <w:pPr>
        <w:pStyle w:val="SingleTxtGA"/>
        <w:rPr>
          <w:rFonts w:ascii="Traditional Arabic" w:hAnsi="Traditional Arabic" w:hint="cs"/>
          <w:color w:val="000000"/>
          <w:rtl/>
        </w:rPr>
      </w:pPr>
      <w:r w:rsidRPr="00883E7F">
        <w:rPr>
          <w:rFonts w:ascii="Traditional Arabic" w:hAnsi="Traditional Arabic" w:hint="cs"/>
          <w:color w:val="000000"/>
          <w:rtl/>
        </w:rPr>
        <w:t>6-4</w:t>
      </w:r>
      <w:r w:rsidRPr="00883E7F">
        <w:rPr>
          <w:rFonts w:ascii="Traditional Arabic" w:hAnsi="Traditional Arabic" w:hint="cs"/>
          <w:color w:val="000000"/>
          <w:rtl/>
        </w:rPr>
        <w:tab/>
        <w:t xml:space="preserve">وفي </w:t>
      </w:r>
      <w:r>
        <w:rPr>
          <w:rFonts w:ascii="Traditional Arabic" w:hAnsi="Traditional Arabic" w:hint="cs"/>
          <w:color w:val="000000"/>
          <w:rtl/>
        </w:rPr>
        <w:t>16</w:t>
      </w:r>
      <w:r w:rsidRPr="00883E7F">
        <w:rPr>
          <w:rFonts w:ascii="Traditional Arabic" w:hAnsi="Traditional Arabic" w:hint="cs"/>
          <w:color w:val="000000"/>
          <w:rtl/>
        </w:rPr>
        <w:t xml:space="preserve"> أيلول/سبتمبر 2011، سجل مجلس الهجرة أصحاب الشكوى بوصفهم </w:t>
      </w:r>
      <w:r>
        <w:rPr>
          <w:rFonts w:ascii="Traditional Arabic" w:hAnsi="Traditional Arabic" w:hint="cs"/>
          <w:color w:val="000000"/>
          <w:rtl/>
        </w:rPr>
        <w:t>قد</w:t>
      </w:r>
      <w:r>
        <w:rPr>
          <w:rFonts w:ascii="Traditional Arabic" w:hAnsi="Traditional Arabic" w:hint="eastAsia"/>
          <w:color w:val="000000"/>
          <w:rtl/>
        </w:rPr>
        <w:t> </w:t>
      </w:r>
      <w:r>
        <w:rPr>
          <w:rFonts w:ascii="Traditional Arabic" w:hAnsi="Traditional Arabic" w:hint="cs"/>
          <w:color w:val="000000"/>
          <w:rtl/>
        </w:rPr>
        <w:t>فروا</w:t>
      </w:r>
      <w:r w:rsidRPr="00883E7F">
        <w:rPr>
          <w:rFonts w:ascii="Traditional Arabic" w:hAnsi="Traditional Arabic" w:hint="cs"/>
          <w:color w:val="000000"/>
          <w:rtl/>
        </w:rPr>
        <w:t>.</w:t>
      </w:r>
    </w:p>
    <w:p w:rsidR="00363456" w:rsidRPr="00883E7F" w:rsidRDefault="00363456" w:rsidP="009E6384">
      <w:pPr>
        <w:pStyle w:val="SingleTxtGA"/>
        <w:rPr>
          <w:rFonts w:ascii="Traditional Arabic" w:hAnsi="Traditional Arabic"/>
          <w:color w:val="000000"/>
        </w:rPr>
      </w:pPr>
      <w:r w:rsidRPr="00883E7F">
        <w:rPr>
          <w:rFonts w:ascii="Traditional Arabic" w:hAnsi="Traditional Arabic" w:hint="cs"/>
          <w:color w:val="000000"/>
          <w:rtl/>
        </w:rPr>
        <w:t>6-5</w:t>
      </w:r>
      <w:r w:rsidRPr="00883E7F">
        <w:rPr>
          <w:rFonts w:ascii="Traditional Arabic" w:hAnsi="Traditional Arabic" w:hint="cs"/>
          <w:color w:val="000000"/>
          <w:rtl/>
        </w:rPr>
        <w:tab/>
        <w:t xml:space="preserve">وتشير الدولة الطرف </w:t>
      </w:r>
      <w:r>
        <w:rPr>
          <w:rFonts w:ascii="Traditional Arabic" w:hAnsi="Traditional Arabic" w:hint="cs"/>
          <w:color w:val="000000"/>
          <w:rtl/>
        </w:rPr>
        <w:t>إ</w:t>
      </w:r>
      <w:r w:rsidRPr="00883E7F">
        <w:rPr>
          <w:rFonts w:ascii="Traditional Arabic" w:hAnsi="Traditional Arabic" w:hint="cs"/>
          <w:color w:val="000000"/>
          <w:rtl/>
        </w:rPr>
        <w:t xml:space="preserve">لى أن مدير الشؤون القانونية في مجلس الهجرة </w:t>
      </w:r>
      <w:r>
        <w:rPr>
          <w:rFonts w:ascii="Traditional Arabic" w:hAnsi="Traditional Arabic" w:hint="cs"/>
          <w:color w:val="000000"/>
          <w:rtl/>
        </w:rPr>
        <w:t>أ</w:t>
      </w:r>
      <w:r w:rsidRPr="00883E7F">
        <w:rPr>
          <w:rFonts w:ascii="Traditional Arabic" w:hAnsi="Traditional Arabic" w:hint="cs"/>
          <w:color w:val="000000"/>
          <w:rtl/>
        </w:rPr>
        <w:t>صدر</w:t>
      </w:r>
      <w:r>
        <w:rPr>
          <w:rFonts w:ascii="Traditional Arabic" w:hAnsi="Traditional Arabic" w:hint="cs"/>
          <w:color w:val="000000"/>
          <w:rtl/>
        </w:rPr>
        <w:t xml:space="preserve"> "وجهات نظر قانونية" تتعلق بليبيا في 21 شباط/فبراير 2011 و17 حزيران/يونيه 2011 و25 تشرين الأول/أكتوبر 2011. وتنص وجهة النظر القانونية الصادرة في 25 تشرين الأول/أكتوبر 2011 على أنه لا يوجد نظام </w:t>
      </w:r>
      <w:r w:rsidR="009E6384">
        <w:rPr>
          <w:rFonts w:ascii="Traditional Arabic" w:hAnsi="Traditional Arabic" w:hint="cs"/>
          <w:color w:val="000000"/>
          <w:rtl/>
        </w:rPr>
        <w:t xml:space="preserve">فعال </w:t>
      </w:r>
      <w:r>
        <w:rPr>
          <w:rFonts w:ascii="Traditional Arabic" w:hAnsi="Traditional Arabic" w:hint="cs"/>
          <w:color w:val="000000"/>
          <w:rtl/>
        </w:rPr>
        <w:t xml:space="preserve">يتخذ تدابير معقولة وضرورية لمنع الأشخاص من التعرّض للاضطهاد أو من المعاناة من </w:t>
      </w:r>
      <w:r>
        <w:rPr>
          <w:rFonts w:ascii="Traditional Arabic" w:hAnsi="Traditional Arabic" w:hint="cs"/>
          <w:color w:val="000000"/>
          <w:rtl/>
          <w:lang w:bidi="ar-EG"/>
        </w:rPr>
        <w:t>التعرض ل</w:t>
      </w:r>
      <w:r>
        <w:rPr>
          <w:rFonts w:ascii="Traditional Arabic" w:hAnsi="Traditional Arabic" w:hint="cs"/>
          <w:color w:val="000000"/>
          <w:rtl/>
        </w:rPr>
        <w:t xml:space="preserve">ضرر خطير في ليبيا. غير أنه بالنظر إلى التحسن الكبير في الوضع الأمني، فقد يكون من الممكن والمقبول والمعقول أن يلتمس شخص ما اللجوء في مكان آخر في البلد حسب وضعه الفردي. وتحدد وجهة النظر هذه المجموعات الضعيفة بصفة خاصة، بما في ذلك المجموعات المعرضة للاتهام بالولاء لحكومة القذافي السابقة والأشخاص المشردون داخلياً المنتمون إلى أقليات معينة. وتشير وجهة النظر إلى حالات توتر في طرابلس، ولا سيما في مناطق معينة وحولها في "أبو سالم" التي كانت تابعة تقليدياً للقذافي. وترى الدولة الطرف أنه من غير المحتمل أن يكون الخطر المدَّعى بالتعرض للتعذيب والتهديد المدَّعى بالقيام بأعمال انتقامية ضد أصحاب الشكوى ما زالا قائمين حتى الآن. ولا توجد معلومات تشير إلى أن أصحاب الشكوى ينتمون إلى مجموعة ضعيفة بصفة خاصة، كما أن مستوى وشدة العنف في ليبيا ليسا بالدرجة التي تجعل الوضع الأمني العام نفسه </w:t>
      </w:r>
      <w:r w:rsidR="009E6384">
        <w:rPr>
          <w:rFonts w:ascii="Traditional Arabic" w:hAnsi="Traditional Arabic" w:hint="cs"/>
          <w:color w:val="000000"/>
          <w:rtl/>
        </w:rPr>
        <w:t xml:space="preserve">سبباً </w:t>
      </w:r>
      <w:r>
        <w:rPr>
          <w:rFonts w:ascii="Traditional Arabic" w:hAnsi="Traditional Arabic" w:hint="cs"/>
          <w:color w:val="000000"/>
          <w:rtl/>
        </w:rPr>
        <w:t>كافياً لتأكيد أن ترحيل أصحاب الشكوى سيشكل خرقاً لالتزامات الدولة الطرف بموجب المادة 3 من الاتفاقية.</w:t>
      </w:r>
    </w:p>
    <w:p w:rsidR="00363456" w:rsidRPr="00020CFB" w:rsidRDefault="00363456" w:rsidP="00363456">
      <w:pPr>
        <w:pStyle w:val="H23GA"/>
        <w:rPr>
          <w:rFonts w:hint="cs"/>
          <w:szCs w:val="20"/>
          <w:rtl/>
        </w:rPr>
      </w:pPr>
      <w:r>
        <w:rPr>
          <w:rFonts w:hint="cs"/>
          <w:rtl/>
        </w:rPr>
        <w:tab/>
      </w:r>
      <w:r>
        <w:rPr>
          <w:rFonts w:hint="cs"/>
          <w:rtl/>
        </w:rPr>
        <w:tab/>
      </w:r>
      <w:r w:rsidRPr="00417C53">
        <w:rPr>
          <w:rFonts w:hint="cs"/>
          <w:rtl/>
        </w:rPr>
        <w:t>المسائل والإجراءات المعروضة على اللجنة</w:t>
      </w:r>
    </w:p>
    <w:p w:rsidR="00363456" w:rsidRPr="00417C53" w:rsidRDefault="00363456" w:rsidP="00363456">
      <w:pPr>
        <w:pStyle w:val="H4GA"/>
        <w:rPr>
          <w:rFonts w:hint="cs"/>
          <w:rtl/>
          <w:lang w:val="en-CA"/>
        </w:rPr>
      </w:pPr>
      <w:r>
        <w:rPr>
          <w:rFonts w:hint="cs"/>
          <w:rtl/>
          <w:lang w:val="en-CA"/>
        </w:rPr>
        <w:tab/>
      </w:r>
      <w:r>
        <w:rPr>
          <w:rFonts w:hint="cs"/>
          <w:rtl/>
          <w:lang w:val="en-CA"/>
        </w:rPr>
        <w:tab/>
      </w:r>
      <w:r w:rsidRPr="00417C53">
        <w:rPr>
          <w:rFonts w:hint="cs"/>
          <w:rtl/>
          <w:lang w:val="en-CA"/>
        </w:rPr>
        <w:t>النظر في المقبولية</w:t>
      </w:r>
    </w:p>
    <w:p w:rsidR="00363456" w:rsidRDefault="00363456" w:rsidP="00363456">
      <w:pPr>
        <w:pStyle w:val="SingleTxtGA"/>
        <w:rPr>
          <w:rFonts w:hint="cs"/>
          <w:rtl/>
          <w:lang w:val="fr-CH"/>
        </w:rPr>
      </w:pPr>
      <w:r>
        <w:rPr>
          <w:rFonts w:hint="cs"/>
          <w:rtl/>
        </w:rPr>
        <w:t>7</w:t>
      </w:r>
      <w:r w:rsidRPr="00983320">
        <w:rPr>
          <w:rFonts w:hint="cs"/>
          <w:rtl/>
        </w:rPr>
        <w:t>-1</w:t>
      </w:r>
      <w:r>
        <w:rPr>
          <w:rFonts w:hint="cs"/>
          <w:rtl/>
        </w:rPr>
        <w:tab/>
        <w:t xml:space="preserve">قبل </w:t>
      </w:r>
      <w:r w:rsidRPr="001F6E19">
        <w:rPr>
          <w:rtl/>
          <w:lang w:val="fr-CH"/>
        </w:rPr>
        <w:t xml:space="preserve">النظر في أي </w:t>
      </w:r>
      <w:r>
        <w:rPr>
          <w:rFonts w:hint="cs"/>
          <w:rtl/>
          <w:lang w:val="fr-CH"/>
        </w:rPr>
        <w:t>شكوى</w:t>
      </w:r>
      <w:r>
        <w:rPr>
          <w:rtl/>
          <w:lang w:val="fr-CH"/>
        </w:rPr>
        <w:t xml:space="preserve"> </w:t>
      </w:r>
      <w:r>
        <w:rPr>
          <w:rFonts w:hint="cs"/>
          <w:rtl/>
          <w:lang w:val="fr-CH"/>
        </w:rPr>
        <w:t>مقدمة</w:t>
      </w:r>
      <w:r w:rsidRPr="001F6E19">
        <w:rPr>
          <w:rtl/>
          <w:lang w:val="fr-CH"/>
        </w:rPr>
        <w:t xml:space="preserve"> في </w:t>
      </w:r>
      <w:r>
        <w:rPr>
          <w:rFonts w:hint="cs"/>
          <w:rtl/>
          <w:lang w:val="fr-CH"/>
        </w:rPr>
        <w:t xml:space="preserve">بلاغ </w:t>
      </w:r>
      <w:r w:rsidRPr="001F6E19">
        <w:rPr>
          <w:rtl/>
          <w:lang w:val="fr-CH"/>
        </w:rPr>
        <w:t>ما، ي</w:t>
      </w:r>
      <w:r>
        <w:rPr>
          <w:rFonts w:hint="cs"/>
          <w:rtl/>
          <w:lang w:val="fr-CH"/>
        </w:rPr>
        <w:t>تعين على</w:t>
      </w:r>
      <w:r>
        <w:rPr>
          <w:rtl/>
          <w:lang w:val="fr-CH"/>
        </w:rPr>
        <w:t xml:space="preserve"> ل</w:t>
      </w:r>
      <w:r w:rsidRPr="001F6E19">
        <w:rPr>
          <w:rtl/>
          <w:lang w:val="fr-CH"/>
        </w:rPr>
        <w:t xml:space="preserve">جنة مناهضة التعذيب أن </w:t>
      </w:r>
      <w:r>
        <w:rPr>
          <w:rFonts w:hint="cs"/>
          <w:rtl/>
          <w:lang w:val="fr-CH"/>
        </w:rPr>
        <w:t>تبت في</w:t>
      </w:r>
      <w:r w:rsidRPr="001F6E19">
        <w:rPr>
          <w:rtl/>
          <w:lang w:val="fr-CH"/>
        </w:rPr>
        <w:t xml:space="preserve">ما إذا كان </w:t>
      </w:r>
      <w:r>
        <w:rPr>
          <w:rFonts w:hint="cs"/>
          <w:rtl/>
          <w:lang w:val="fr-CH"/>
        </w:rPr>
        <w:t xml:space="preserve">البلاغ </w:t>
      </w:r>
      <w:r w:rsidRPr="001F6E19">
        <w:rPr>
          <w:rtl/>
          <w:lang w:val="fr-CH"/>
        </w:rPr>
        <w:t>مقبولا</w:t>
      </w:r>
      <w:r>
        <w:rPr>
          <w:rFonts w:hint="cs"/>
          <w:rtl/>
          <w:lang w:val="fr-CH"/>
        </w:rPr>
        <w:t>ً</w:t>
      </w:r>
      <w:r w:rsidRPr="001F6E19">
        <w:rPr>
          <w:rtl/>
          <w:lang w:val="fr-CH"/>
        </w:rPr>
        <w:t xml:space="preserve"> </w:t>
      </w:r>
      <w:r>
        <w:rPr>
          <w:rFonts w:hint="cs"/>
          <w:rtl/>
          <w:lang w:val="fr-CH"/>
        </w:rPr>
        <w:t xml:space="preserve">أم لا </w:t>
      </w:r>
      <w:r w:rsidRPr="001F6E19">
        <w:rPr>
          <w:rtl/>
          <w:lang w:val="fr-CH"/>
        </w:rPr>
        <w:t>بم</w:t>
      </w:r>
      <w:r>
        <w:rPr>
          <w:rFonts w:hint="cs"/>
          <w:rtl/>
          <w:lang w:val="fr-CH"/>
        </w:rPr>
        <w:t>وجب</w:t>
      </w:r>
      <w:r w:rsidRPr="001F6E19">
        <w:rPr>
          <w:rtl/>
          <w:lang w:val="fr-CH"/>
        </w:rPr>
        <w:t xml:space="preserve"> المادة 22 من الاتفاقية</w:t>
      </w:r>
      <w:r>
        <w:rPr>
          <w:rFonts w:hint="cs"/>
          <w:rtl/>
          <w:lang w:val="fr-CH"/>
        </w:rPr>
        <w:t>.</w:t>
      </w:r>
      <w:r w:rsidRPr="00025A99">
        <w:rPr>
          <w:rFonts w:hint="cs"/>
          <w:rtl/>
          <w:lang w:val="fr-CH"/>
        </w:rPr>
        <w:t xml:space="preserve"> </w:t>
      </w:r>
      <w:r>
        <w:rPr>
          <w:rFonts w:hint="cs"/>
          <w:rtl/>
          <w:lang w:val="fr-CH"/>
        </w:rPr>
        <w:t xml:space="preserve">وقد </w:t>
      </w:r>
      <w:r>
        <w:rPr>
          <w:rFonts w:hint="cs"/>
          <w:rtl/>
          <w:lang/>
        </w:rPr>
        <w:t>تأكدت اللجنة، كما هي مطالبة بأن تفعل ذلك بموجب الفقرة 5(أ) من المادة 22 من الاتفاقية، من أن المسألة نفسها لم تُبحث ولا يجري بحثها في إطار أي إجراء آخر من إجراءات التحقيق الدولي أو التسوية الدولية.</w:t>
      </w:r>
    </w:p>
    <w:p w:rsidR="00363456" w:rsidRDefault="00363456" w:rsidP="00363456">
      <w:pPr>
        <w:pStyle w:val="SingleTxtGA"/>
        <w:rPr>
          <w:rFonts w:hint="cs"/>
          <w:rtl/>
          <w:lang/>
        </w:rPr>
      </w:pPr>
      <w:r>
        <w:rPr>
          <w:rFonts w:hint="cs"/>
          <w:rtl/>
          <w:lang w:val="fr-CH"/>
        </w:rPr>
        <w:t>7-2</w:t>
      </w:r>
      <w:r>
        <w:rPr>
          <w:rFonts w:hint="cs"/>
          <w:rtl/>
          <w:lang w:val="fr-CH"/>
        </w:rPr>
        <w:tab/>
        <w:t xml:space="preserve">وتشير اللجنة أيضاً إلى تأكيد الدولة الطرف الوارد في وثيقتها المقدمة في 26 شباط/فبراير 2010 والذي يفيد </w:t>
      </w:r>
      <w:r>
        <w:rPr>
          <w:rFonts w:hint="cs"/>
          <w:rtl/>
          <w:lang/>
        </w:rPr>
        <w:t>أن جميع سبل الانتصاف المحلية قد استُنفدت، عملاً بالفقرة</w:t>
      </w:r>
      <w:r>
        <w:rPr>
          <w:rFonts w:hint="eastAsia"/>
          <w:rtl/>
          <w:lang/>
        </w:rPr>
        <w:t> </w:t>
      </w:r>
      <w:r>
        <w:rPr>
          <w:rFonts w:hint="cs"/>
          <w:rtl/>
          <w:lang/>
        </w:rPr>
        <w:t>5(ب) من المادة 22 من الاتفاقية.</w:t>
      </w:r>
    </w:p>
    <w:p w:rsidR="00363456" w:rsidRDefault="00363456" w:rsidP="00363456">
      <w:pPr>
        <w:pStyle w:val="SingleTxtGA"/>
        <w:rPr>
          <w:rFonts w:hint="cs"/>
          <w:rtl/>
          <w:lang w:val="fr-CH"/>
        </w:rPr>
      </w:pPr>
      <w:r w:rsidRPr="008A77F6">
        <w:rPr>
          <w:rtl/>
          <w:lang w:val="fr-CH"/>
        </w:rPr>
        <w:t>7-</w:t>
      </w:r>
      <w:r>
        <w:rPr>
          <w:rFonts w:hint="cs"/>
          <w:rtl/>
          <w:lang w:val="fr-CH"/>
        </w:rPr>
        <w:t>3</w:t>
      </w:r>
      <w:r w:rsidRPr="008A77F6">
        <w:rPr>
          <w:rtl/>
          <w:lang w:val="fr-CH"/>
        </w:rPr>
        <w:tab/>
      </w:r>
      <w:r>
        <w:rPr>
          <w:rFonts w:hint="cs"/>
          <w:rtl/>
          <w:lang w:val="fr-CH"/>
        </w:rPr>
        <w:t>وتؤكد</w:t>
      </w:r>
      <w:r w:rsidRPr="008A77F6">
        <w:rPr>
          <w:rtl/>
          <w:lang w:val="fr-CH"/>
        </w:rPr>
        <w:t xml:space="preserve"> الدولة الطرف أن الشكوى "تستند بوضوح إلى أسس واهية" ولا ينبغي </w:t>
      </w:r>
      <w:r>
        <w:rPr>
          <w:rFonts w:hint="cs"/>
          <w:rtl/>
          <w:lang w:val="fr-CH"/>
        </w:rPr>
        <w:t xml:space="preserve">بحثها بناءً على </w:t>
      </w:r>
      <w:r w:rsidRPr="008A77F6">
        <w:rPr>
          <w:rtl/>
          <w:lang w:val="fr-CH"/>
        </w:rPr>
        <w:t xml:space="preserve">أسسها الموضوعية. وترى اللجنة أن الحجج المعروضة أمامها تثير مسائل موضوعية ينبغي معالجتها </w:t>
      </w:r>
      <w:r>
        <w:rPr>
          <w:rFonts w:hint="cs"/>
          <w:rtl/>
          <w:lang w:val="fr-CH"/>
        </w:rPr>
        <w:t>بناءً على</w:t>
      </w:r>
      <w:r w:rsidRPr="008A77F6">
        <w:rPr>
          <w:rtl/>
          <w:lang w:val="fr-CH"/>
        </w:rPr>
        <w:t xml:space="preserve"> الأسس الموضوعية وليس </w:t>
      </w:r>
      <w:r>
        <w:rPr>
          <w:rFonts w:hint="cs"/>
          <w:rtl/>
          <w:lang w:val="fr-CH"/>
        </w:rPr>
        <w:t>فقط بناء على اعتبارات</w:t>
      </w:r>
      <w:r w:rsidRPr="008A77F6">
        <w:rPr>
          <w:rtl/>
          <w:lang w:val="fr-CH"/>
        </w:rPr>
        <w:t xml:space="preserve"> المقبولية</w:t>
      </w:r>
      <w:r>
        <w:rPr>
          <w:rFonts w:hint="cs"/>
          <w:rtl/>
          <w:lang w:val="fr-CH"/>
        </w:rPr>
        <w:t> </w:t>
      </w:r>
      <w:r w:rsidRPr="008A77F6">
        <w:rPr>
          <w:rtl/>
          <w:lang w:val="fr-CH"/>
        </w:rPr>
        <w:t>وحدها.</w:t>
      </w:r>
    </w:p>
    <w:p w:rsidR="00363456" w:rsidRPr="00811F49" w:rsidRDefault="00363456" w:rsidP="00363456">
      <w:pPr>
        <w:pStyle w:val="SingleTxtGA"/>
        <w:rPr>
          <w:rFonts w:hint="cs"/>
        </w:rPr>
      </w:pPr>
      <w:r>
        <w:rPr>
          <w:rFonts w:hint="cs"/>
          <w:noProof/>
          <w:rtl/>
        </w:rPr>
        <w:t>7-4</w:t>
      </w:r>
      <w:r>
        <w:rPr>
          <w:rFonts w:hint="cs"/>
          <w:noProof/>
          <w:rtl/>
        </w:rPr>
        <w:tab/>
        <w:t>وتبعاً ل</w:t>
      </w:r>
      <w:r w:rsidRPr="00627F03">
        <w:rPr>
          <w:noProof/>
          <w:rtl/>
        </w:rPr>
        <w:t>ذلك، ترى اللجنة أن الشكوى مقبولة وتشرع في النظر في أسسها الموضوعية.</w:t>
      </w:r>
    </w:p>
    <w:p w:rsidR="00363456" w:rsidRPr="00A41780" w:rsidRDefault="00363456" w:rsidP="00363456">
      <w:pPr>
        <w:pStyle w:val="H4GA"/>
        <w:rPr>
          <w:rFonts w:hint="cs"/>
          <w:rtl/>
          <w:lang w:val="en-CA"/>
        </w:rPr>
      </w:pPr>
      <w:r>
        <w:rPr>
          <w:rFonts w:hint="cs"/>
          <w:rtl/>
          <w:lang w:val="en-CA"/>
        </w:rPr>
        <w:tab/>
      </w:r>
      <w:r>
        <w:rPr>
          <w:rFonts w:hint="cs"/>
          <w:rtl/>
          <w:lang w:val="en-CA"/>
        </w:rPr>
        <w:tab/>
      </w:r>
      <w:r w:rsidRPr="00A41780">
        <w:rPr>
          <w:rFonts w:hint="cs"/>
          <w:rtl/>
          <w:lang w:val="en-CA"/>
        </w:rPr>
        <w:t>النظر في الأسس الموضوعية</w:t>
      </w:r>
    </w:p>
    <w:p w:rsidR="00363456" w:rsidRDefault="00363456" w:rsidP="00363456">
      <w:pPr>
        <w:pStyle w:val="SingleTxtGA"/>
        <w:rPr>
          <w:rtl/>
        </w:rPr>
      </w:pPr>
      <w:r>
        <w:rPr>
          <w:rFonts w:hint="cs"/>
          <w:rtl/>
        </w:rPr>
        <w:t>8</w:t>
      </w:r>
      <w:r>
        <w:rPr>
          <w:rtl/>
        </w:rPr>
        <w:t>-1</w:t>
      </w:r>
      <w:r>
        <w:rPr>
          <w:rtl/>
        </w:rPr>
        <w:tab/>
        <w:t xml:space="preserve">نظرت اللجنة في </w:t>
      </w:r>
      <w:r>
        <w:rPr>
          <w:rFonts w:hint="cs"/>
          <w:rtl/>
        </w:rPr>
        <w:t>البلاغ</w:t>
      </w:r>
      <w:r>
        <w:rPr>
          <w:rtl/>
        </w:rPr>
        <w:t xml:space="preserve"> </w:t>
      </w:r>
      <w:r>
        <w:rPr>
          <w:rFonts w:hint="cs"/>
          <w:rtl/>
        </w:rPr>
        <w:t>في ضوء</w:t>
      </w:r>
      <w:r>
        <w:rPr>
          <w:rtl/>
        </w:rPr>
        <w:t xml:space="preserve"> جميع المعلومات التي </w:t>
      </w:r>
      <w:r>
        <w:rPr>
          <w:rFonts w:hint="cs"/>
          <w:rtl/>
        </w:rPr>
        <w:t>أتاحها لها</w:t>
      </w:r>
      <w:r>
        <w:rPr>
          <w:rtl/>
        </w:rPr>
        <w:t xml:space="preserve"> الطرفان</w:t>
      </w:r>
      <w:r>
        <w:rPr>
          <w:rFonts w:hint="cs"/>
          <w:rtl/>
        </w:rPr>
        <w:t xml:space="preserve"> المعنيان</w:t>
      </w:r>
      <w:r>
        <w:rPr>
          <w:rtl/>
        </w:rPr>
        <w:t>، وفقاً لأحكام الفقرة 4 من المادة 22 من الاتفاقية.</w:t>
      </w:r>
    </w:p>
    <w:p w:rsidR="00363456" w:rsidRDefault="00363456" w:rsidP="00363456">
      <w:pPr>
        <w:pStyle w:val="SingleTxtGA"/>
        <w:rPr>
          <w:rtl/>
        </w:rPr>
      </w:pPr>
      <w:r>
        <w:rPr>
          <w:rFonts w:hint="cs"/>
          <w:rtl/>
        </w:rPr>
        <w:t>8</w:t>
      </w:r>
      <w:r>
        <w:rPr>
          <w:rtl/>
        </w:rPr>
        <w:t>-2</w:t>
      </w:r>
      <w:r>
        <w:rPr>
          <w:rtl/>
        </w:rPr>
        <w:tab/>
      </w:r>
      <w:r>
        <w:rPr>
          <w:rFonts w:hint="cs"/>
          <w:rtl/>
        </w:rPr>
        <w:t>والمسألة المعروضة أمام اللجنة هي ما إذا كان طرد</w:t>
      </w:r>
      <w:r>
        <w:rPr>
          <w:rtl/>
        </w:rPr>
        <w:t xml:space="preserve"> </w:t>
      </w:r>
      <w:r>
        <w:rPr>
          <w:rFonts w:hint="cs"/>
          <w:rtl/>
        </w:rPr>
        <w:t>أصحاب</w:t>
      </w:r>
      <w:r>
        <w:rPr>
          <w:rtl/>
        </w:rPr>
        <w:t xml:space="preserve"> الشكوى إلى </w:t>
      </w:r>
      <w:r>
        <w:rPr>
          <w:rFonts w:hint="cs"/>
          <w:rtl/>
        </w:rPr>
        <w:t>ليبيا</w:t>
      </w:r>
      <w:r>
        <w:rPr>
          <w:rtl/>
        </w:rPr>
        <w:t xml:space="preserve"> يشكل انتهاكاً لالتزام الدولة الطرف بموجب المادة 3 من الاتفاقية التي تنص على عدم جواز طرد أي شخص أو إعادته إلى دولة أخرى إذا توافرت لدى اللجنة أسباب حقيقية تدعو إلى الاعتقاد بأنه قد يتعرض لخطر التعذيب.</w:t>
      </w:r>
    </w:p>
    <w:p w:rsidR="00363456" w:rsidRPr="00C07690" w:rsidRDefault="00363456" w:rsidP="00363456">
      <w:pPr>
        <w:pStyle w:val="SingleTxtGA"/>
        <w:rPr>
          <w:rFonts w:hint="cs"/>
          <w:rtl/>
        </w:rPr>
      </w:pPr>
      <w:r>
        <w:rPr>
          <w:rFonts w:hint="cs"/>
          <w:rtl/>
        </w:rPr>
        <w:t>8</w:t>
      </w:r>
      <w:r>
        <w:rPr>
          <w:rtl/>
        </w:rPr>
        <w:t>-3</w:t>
      </w:r>
      <w:r>
        <w:rPr>
          <w:rtl/>
        </w:rPr>
        <w:tab/>
        <w:t xml:space="preserve">وفيما يتعلق بادعاءات </w:t>
      </w:r>
      <w:r>
        <w:rPr>
          <w:rFonts w:hint="cs"/>
          <w:rtl/>
        </w:rPr>
        <w:t>أصحاب</w:t>
      </w:r>
      <w:r>
        <w:rPr>
          <w:rtl/>
        </w:rPr>
        <w:t xml:space="preserve"> الشكوى بموجب المادة 3، </w:t>
      </w:r>
      <w:r>
        <w:rPr>
          <w:rFonts w:hint="cs"/>
          <w:rtl/>
        </w:rPr>
        <w:t xml:space="preserve">يجب أن تأخذ </w:t>
      </w:r>
      <w:r>
        <w:rPr>
          <w:rtl/>
        </w:rPr>
        <w:t xml:space="preserve">اللجنة </w:t>
      </w:r>
      <w:r>
        <w:rPr>
          <w:rFonts w:hint="cs"/>
          <w:rtl/>
        </w:rPr>
        <w:t xml:space="preserve">في الحسبان </w:t>
      </w:r>
      <w:r>
        <w:rPr>
          <w:rtl/>
        </w:rPr>
        <w:t xml:space="preserve">جميع </w:t>
      </w:r>
      <w:r>
        <w:rPr>
          <w:rFonts w:hint="cs"/>
          <w:rtl/>
        </w:rPr>
        <w:t>الاعتبارات ذات الصلة</w:t>
      </w:r>
      <w:r>
        <w:rPr>
          <w:rtl/>
        </w:rPr>
        <w:t xml:space="preserve">، بما في ذلك </w:t>
      </w:r>
      <w:r>
        <w:rPr>
          <w:rFonts w:hint="cs"/>
          <w:rtl/>
        </w:rPr>
        <w:t xml:space="preserve">مدى </w:t>
      </w:r>
      <w:r>
        <w:rPr>
          <w:rtl/>
        </w:rPr>
        <w:t xml:space="preserve">وجود نمط ثابت من الانتهاكات </w:t>
      </w:r>
      <w:r>
        <w:rPr>
          <w:rFonts w:hint="cs"/>
          <w:rtl/>
        </w:rPr>
        <w:t>الجسيمة</w:t>
      </w:r>
      <w:r>
        <w:rPr>
          <w:rtl/>
        </w:rPr>
        <w:t xml:space="preserve"> أو الصارخة أو الجماعية لحقوق الإنسان. </w:t>
      </w:r>
      <w:r>
        <w:rPr>
          <w:rFonts w:hint="cs"/>
          <w:rtl/>
        </w:rPr>
        <w:t>غير أن الهدف</w:t>
      </w:r>
      <w:r>
        <w:rPr>
          <w:rtl/>
        </w:rPr>
        <w:t xml:space="preserve"> </w:t>
      </w:r>
      <w:r>
        <w:rPr>
          <w:rFonts w:hint="cs"/>
          <w:rtl/>
        </w:rPr>
        <w:t xml:space="preserve">من هذا التحليل هو تحديد </w:t>
      </w:r>
      <w:r>
        <w:rPr>
          <w:rtl/>
        </w:rPr>
        <w:t>ما إذا</w:t>
      </w:r>
      <w:r>
        <w:rPr>
          <w:rFonts w:hint="cs"/>
          <w:rtl/>
        </w:rPr>
        <w:t xml:space="preserve"> </w:t>
      </w:r>
      <w:r>
        <w:rPr>
          <w:rtl/>
        </w:rPr>
        <w:t xml:space="preserve">كان صاحب الشكوى سيواجه شخصياً خطر التعرض للتعذيب في </w:t>
      </w:r>
      <w:r>
        <w:rPr>
          <w:rFonts w:hint="cs"/>
          <w:rtl/>
        </w:rPr>
        <w:t>ليبيا</w:t>
      </w:r>
      <w:r>
        <w:rPr>
          <w:rtl/>
        </w:rPr>
        <w:t xml:space="preserve">. ومن ثم، فإن وجود نمط ثابت من الانتهاكات </w:t>
      </w:r>
      <w:r>
        <w:rPr>
          <w:rFonts w:hint="cs"/>
          <w:rtl/>
        </w:rPr>
        <w:t>الجسيمة</w:t>
      </w:r>
      <w:r>
        <w:rPr>
          <w:rtl/>
        </w:rPr>
        <w:t xml:space="preserve"> أو الصارخة أو الجماعية لحقوق الإنسان في البلد لا</w:t>
      </w:r>
      <w:r>
        <w:rPr>
          <w:rFonts w:hint="cs"/>
          <w:rtl/>
        </w:rPr>
        <w:t> </w:t>
      </w:r>
      <w:r>
        <w:rPr>
          <w:rtl/>
        </w:rPr>
        <w:t xml:space="preserve">يشكل في حد ذاته سبباً كافياً لإثبات أن </w:t>
      </w:r>
      <w:r>
        <w:rPr>
          <w:rFonts w:hint="cs"/>
          <w:rtl/>
        </w:rPr>
        <w:t>شخصاً معيناً</w:t>
      </w:r>
      <w:r>
        <w:rPr>
          <w:rtl/>
        </w:rPr>
        <w:t xml:space="preserve"> سيواجه خطر التعرض للتعذيب عند طرده إلى البلد المعني</w:t>
      </w:r>
      <w:r>
        <w:rPr>
          <w:rFonts w:hint="cs"/>
          <w:rtl/>
        </w:rPr>
        <w:t>؛</w:t>
      </w:r>
      <w:r>
        <w:rPr>
          <w:rtl/>
        </w:rPr>
        <w:t xml:space="preserve"> بل يجب </w:t>
      </w:r>
      <w:r>
        <w:rPr>
          <w:rFonts w:hint="cs"/>
          <w:rtl/>
        </w:rPr>
        <w:t xml:space="preserve">وجود </w:t>
      </w:r>
      <w:r>
        <w:rPr>
          <w:rtl/>
        </w:rPr>
        <w:t xml:space="preserve">أسباب إضافية تبين أن </w:t>
      </w:r>
      <w:r>
        <w:rPr>
          <w:rFonts w:hint="cs"/>
          <w:rtl/>
        </w:rPr>
        <w:t xml:space="preserve">الفرد </w:t>
      </w:r>
      <w:r>
        <w:rPr>
          <w:rtl/>
        </w:rPr>
        <w:t>المعني سيتعرض شخصياً لخطر التعذيب</w:t>
      </w:r>
      <w:r w:rsidRPr="006B4A8C">
        <w:rPr>
          <w:vertAlign w:val="superscript"/>
          <w:rtl/>
          <w:lang w:val="fr-CH"/>
        </w:rPr>
        <w:t>(</w:t>
      </w:r>
      <w:r w:rsidRPr="006B4A8C">
        <w:rPr>
          <w:rStyle w:val="FootnoteReference"/>
          <w:rtl/>
          <w:lang w:val="fr-CH"/>
        </w:rPr>
        <w:footnoteReference w:id="39"/>
      </w:r>
      <w:r w:rsidRPr="006B4A8C">
        <w:rPr>
          <w:vertAlign w:val="superscript"/>
          <w:rtl/>
          <w:lang w:val="fr-CH"/>
        </w:rPr>
        <w:t>)</w:t>
      </w:r>
      <w:r>
        <w:rPr>
          <w:rFonts w:hint="cs"/>
          <w:rtl/>
          <w:lang w:val="fr-CH"/>
        </w:rPr>
        <w:t>.</w:t>
      </w:r>
    </w:p>
    <w:p w:rsidR="00363456" w:rsidRDefault="00363456" w:rsidP="00363456">
      <w:pPr>
        <w:pStyle w:val="SingleTxtGA"/>
        <w:rPr>
          <w:rFonts w:hint="cs"/>
          <w:rtl/>
        </w:rPr>
      </w:pPr>
      <w:r>
        <w:rPr>
          <w:rFonts w:hint="cs"/>
          <w:rtl/>
        </w:rPr>
        <w:t>8</w:t>
      </w:r>
      <w:r>
        <w:rPr>
          <w:rtl/>
        </w:rPr>
        <w:t>-4</w:t>
      </w:r>
      <w:r>
        <w:rPr>
          <w:rtl/>
        </w:rPr>
        <w:tab/>
        <w:t>وتشير اللجنة إلى تعليقها العام رقم 1</w:t>
      </w:r>
      <w:r>
        <w:rPr>
          <w:rFonts w:hint="cs"/>
          <w:rtl/>
        </w:rPr>
        <w:t>(1997)</w:t>
      </w:r>
      <w:r>
        <w:rPr>
          <w:rtl/>
        </w:rPr>
        <w:t xml:space="preserve"> </w:t>
      </w:r>
      <w:r>
        <w:rPr>
          <w:rFonts w:hint="cs"/>
          <w:rtl/>
        </w:rPr>
        <w:t>بشأن تنفيذ المادة 3 من الاتفاقية</w:t>
      </w:r>
      <w:r w:rsidRPr="006B4A8C">
        <w:rPr>
          <w:vertAlign w:val="superscript"/>
          <w:rtl/>
          <w:lang w:val="fr-CH"/>
        </w:rPr>
        <w:t>(</w:t>
      </w:r>
      <w:r w:rsidRPr="009E6384">
        <w:rPr>
          <w:rStyle w:val="FootnoteReference"/>
          <w:sz w:val="2"/>
          <w:szCs w:val="2"/>
          <w:rtl/>
          <w:lang w:val="fr-CH"/>
        </w:rPr>
        <w:footnoteReference w:id="40"/>
      </w:r>
      <w:r w:rsidR="009E6384" w:rsidRPr="009E6384">
        <w:rPr>
          <w:rFonts w:hint="cs"/>
          <w:sz w:val="30"/>
          <w:vertAlign w:val="superscript"/>
          <w:rtl/>
          <w:lang w:val="fr-CH"/>
        </w:rPr>
        <w:t>ﻫ</w:t>
      </w:r>
      <w:r w:rsidRPr="006B4A8C">
        <w:rPr>
          <w:vertAlign w:val="superscript"/>
          <w:rtl/>
          <w:lang w:val="fr-CH"/>
        </w:rPr>
        <w:t>)</w:t>
      </w:r>
      <w:r>
        <w:rPr>
          <w:rFonts w:hint="cs"/>
          <w:rtl/>
        </w:rPr>
        <w:t xml:space="preserve">، </w:t>
      </w:r>
      <w:r>
        <w:rPr>
          <w:rtl/>
        </w:rPr>
        <w:t xml:space="preserve">الذي </w:t>
      </w:r>
      <w:r>
        <w:rPr>
          <w:rFonts w:hint="cs"/>
          <w:rtl/>
        </w:rPr>
        <w:t xml:space="preserve">ينص على أنه لا يلزم إثبات أن خطر التعذيب </w:t>
      </w:r>
      <w:r>
        <w:rPr>
          <w:rtl/>
        </w:rPr>
        <w:t>محتمل جداً، ولكن يجب أن يكون شخصياً وفعلياً. وفي هذا الصدد، أ</w:t>
      </w:r>
      <w:r>
        <w:rPr>
          <w:rFonts w:hint="cs"/>
          <w:rtl/>
        </w:rPr>
        <w:t xml:space="preserve">كدت </w:t>
      </w:r>
      <w:r>
        <w:rPr>
          <w:rtl/>
        </w:rPr>
        <w:t xml:space="preserve">اللجنة في قرارات سابقة أن خطر التعذيب </w:t>
      </w:r>
      <w:r>
        <w:rPr>
          <w:rFonts w:hint="cs"/>
          <w:rtl/>
        </w:rPr>
        <w:t>يجب</w:t>
      </w:r>
      <w:r>
        <w:rPr>
          <w:rtl/>
        </w:rPr>
        <w:t xml:space="preserve"> أن يكون "متوقعاً وحقيقياً وشخصياً"</w:t>
      </w:r>
      <w:r w:rsidRPr="006B4A8C">
        <w:rPr>
          <w:vertAlign w:val="superscript"/>
          <w:rtl/>
          <w:lang w:val="fr-CH"/>
        </w:rPr>
        <w:t>(</w:t>
      </w:r>
      <w:r w:rsidRPr="006B4A8C">
        <w:rPr>
          <w:rStyle w:val="FootnoteReference"/>
          <w:rtl/>
          <w:lang w:val="fr-CH"/>
        </w:rPr>
        <w:footnoteReference w:id="41"/>
      </w:r>
      <w:r w:rsidRPr="006B4A8C">
        <w:rPr>
          <w:vertAlign w:val="superscript"/>
          <w:rtl/>
          <w:lang w:val="fr-CH"/>
        </w:rPr>
        <w:t>)</w:t>
      </w:r>
      <w:r>
        <w:rPr>
          <w:rtl/>
        </w:rPr>
        <w:t xml:space="preserve">. وفيما يخص عبء الإثبات، تذكّر اللجنة بأن على صاحب الشكوى عموماً تقديم حجج مقنعة، وأن </w:t>
      </w:r>
      <w:r>
        <w:rPr>
          <w:rFonts w:hint="cs"/>
          <w:rtl/>
        </w:rPr>
        <w:t>خطر</w:t>
      </w:r>
      <w:r>
        <w:rPr>
          <w:rtl/>
        </w:rPr>
        <w:t xml:space="preserve"> التعرض للتعذيب </w:t>
      </w:r>
      <w:r>
        <w:rPr>
          <w:rFonts w:hint="cs"/>
          <w:rtl/>
        </w:rPr>
        <w:t xml:space="preserve">يجب تقييمه </w:t>
      </w:r>
      <w:r>
        <w:rPr>
          <w:rtl/>
        </w:rPr>
        <w:t>بناءً على أدلة لا تقتصر على مجرد افتراضات أو شكوك.</w:t>
      </w:r>
    </w:p>
    <w:p w:rsidR="00363456" w:rsidRDefault="00363456" w:rsidP="00363456">
      <w:pPr>
        <w:pStyle w:val="SingleTxtGA"/>
        <w:rPr>
          <w:rFonts w:hint="cs"/>
          <w:spacing w:val="-4"/>
          <w:rtl/>
          <w:lang w:val="en-CA"/>
        </w:rPr>
      </w:pPr>
      <w:r>
        <w:rPr>
          <w:rFonts w:hint="cs"/>
          <w:rtl/>
          <w:lang w:val="en-CA"/>
        </w:rPr>
        <w:t>8-5</w:t>
      </w:r>
      <w:r>
        <w:rPr>
          <w:rFonts w:hint="cs"/>
          <w:rtl/>
          <w:lang w:val="en-CA"/>
        </w:rPr>
        <w:tab/>
        <w:t xml:space="preserve">وبالإضافة إلى ذلك، </w:t>
      </w:r>
      <w:r>
        <w:rPr>
          <w:rFonts w:hint="cs"/>
          <w:spacing w:val="-4"/>
          <w:rtl/>
          <w:lang w:val="en-CA"/>
        </w:rPr>
        <w:t>تشير اللجنة إلى أنها، وفقاً لتعليقها العام رقم 1، تولي وزناً كبيراً للاستنتاجات الوقائعية التي تتوصل إليها الدولة الطرف المعنية،</w:t>
      </w:r>
      <w:r w:rsidRPr="00564871">
        <w:rPr>
          <w:rFonts w:hint="cs"/>
          <w:spacing w:val="-4"/>
          <w:sz w:val="28"/>
          <w:szCs w:val="28"/>
          <w:rtl/>
          <w:lang w:val="en-CA"/>
        </w:rPr>
        <w:t xml:space="preserve"> </w:t>
      </w:r>
      <w:r>
        <w:rPr>
          <w:rFonts w:hint="cs"/>
          <w:spacing w:val="-4"/>
          <w:rtl/>
          <w:lang w:val="en-CA"/>
        </w:rPr>
        <w:t>ولكنها في الوقت نفسه غير ملزمة بالأخذ بهذه النتائج؛ بل إن لديها بدلاً من ذلك السلطة</w:t>
      </w:r>
      <w:r w:rsidRPr="00A26DC0">
        <w:rPr>
          <w:rFonts w:hint="cs"/>
          <w:spacing w:val="-4"/>
          <w:rtl/>
          <w:lang w:val="en-CA"/>
        </w:rPr>
        <w:t xml:space="preserve"> </w:t>
      </w:r>
      <w:r>
        <w:rPr>
          <w:rFonts w:hint="cs"/>
          <w:spacing w:val="-4"/>
          <w:rtl/>
          <w:lang w:val="en-CA"/>
        </w:rPr>
        <w:t>اللازمة لإجراء تقييم حر للوقائع استناداً إلى المجموعة الكاملة للظروف في كل قضية.</w:t>
      </w:r>
    </w:p>
    <w:p w:rsidR="00363456" w:rsidRDefault="00363456" w:rsidP="00363456">
      <w:pPr>
        <w:pStyle w:val="SingleTxtGA"/>
        <w:rPr>
          <w:rFonts w:ascii="Traditional Arabic" w:hAnsi="Traditional Arabic" w:hint="cs"/>
          <w:color w:val="000000"/>
          <w:rtl/>
        </w:rPr>
      </w:pPr>
      <w:r>
        <w:rPr>
          <w:rFonts w:ascii="Traditional Arabic" w:hAnsi="Traditional Arabic" w:hint="cs"/>
          <w:color w:val="000000"/>
          <w:rtl/>
          <w:lang w:val="en-CA"/>
        </w:rPr>
        <w:t>8</w:t>
      </w:r>
      <w:r w:rsidRPr="00F92537">
        <w:rPr>
          <w:rFonts w:ascii="Traditional Arabic" w:hAnsi="Traditional Arabic"/>
          <w:color w:val="000000"/>
          <w:rtl/>
          <w:lang w:val="en-CA"/>
        </w:rPr>
        <w:t>-</w:t>
      </w:r>
      <w:r>
        <w:rPr>
          <w:rFonts w:ascii="Traditional Arabic" w:hAnsi="Traditional Arabic" w:hint="cs"/>
          <w:color w:val="000000"/>
          <w:rtl/>
          <w:lang w:val="en-CA"/>
        </w:rPr>
        <w:t>6</w:t>
      </w:r>
      <w:r w:rsidRPr="00F92537">
        <w:rPr>
          <w:rFonts w:ascii="Traditional Arabic" w:hAnsi="Traditional Arabic"/>
          <w:color w:val="000000"/>
          <w:rtl/>
          <w:lang w:val="en-CA"/>
        </w:rPr>
        <w:tab/>
      </w:r>
      <w:r>
        <w:rPr>
          <w:rFonts w:ascii="Traditional Arabic" w:hAnsi="Traditional Arabic" w:hint="cs"/>
          <w:color w:val="000000"/>
          <w:rtl/>
        </w:rPr>
        <w:t xml:space="preserve">وعند تقدير خطر التعذيب في هذه القضية، تشير اللجنة إلى أن أصحاب الشكوى قدموا بعض الوثائق لدعم ادعائهم الأصلي بأنهم سيتعرضون لخطر التعذيب إذا أُعيدوا إلى ليبيا في ظل القذافي. غير أن أصحاب الشكوى لم يقدموا أي أدلة لدعم ادعائهم بأنهم سيواجهون </w:t>
      </w:r>
      <w:r>
        <w:rPr>
          <w:rFonts w:ascii="Traditional Arabic" w:hAnsi="Traditional Arabic" w:hint="cs"/>
          <w:color w:val="000000"/>
          <w:rtl/>
          <w:lang w:bidi="ar-EG"/>
        </w:rPr>
        <w:t xml:space="preserve">حالياً </w:t>
      </w:r>
      <w:r>
        <w:rPr>
          <w:rFonts w:ascii="Traditional Arabic" w:hAnsi="Traditional Arabic" w:hint="cs"/>
          <w:color w:val="000000"/>
          <w:rtl/>
        </w:rPr>
        <w:t>خطر التعرض للتعذيب إذا أعيدوا إلى ليبيا، في أعقاب التمرّد وتغيير الحكومة. وأشار م. أ. ف. في عريضته المؤرخة 20 نيسان/أبريل 2012 إلى عدم الاستقرار العام في أجزاء من طرابلس وإلى الحالة الصحية في البلد. وذكر كذلك أنه سيواجه هو وأسرته خطر التعرض للاختطاف أو التعذيب إذا أُعيدوا، خاصة وأن أبناء عمومة زوجته حاربوا في صفوف القذافي أثناء الحرب الأهلية، ولكنه لم يقدم أي أدلة مستندية دعماً لهذه</w:t>
      </w:r>
      <w:r>
        <w:rPr>
          <w:rFonts w:ascii="Traditional Arabic" w:hAnsi="Traditional Arabic" w:hint="eastAsia"/>
          <w:color w:val="000000"/>
          <w:rtl/>
        </w:rPr>
        <w:t> </w:t>
      </w:r>
      <w:r>
        <w:rPr>
          <w:rFonts w:ascii="Traditional Arabic" w:hAnsi="Traditional Arabic" w:hint="cs"/>
          <w:color w:val="000000"/>
          <w:rtl/>
        </w:rPr>
        <w:t>الادعاءات.</w:t>
      </w:r>
    </w:p>
    <w:p w:rsidR="00363456" w:rsidRPr="00223AAB" w:rsidRDefault="00363456" w:rsidP="00363456">
      <w:pPr>
        <w:pStyle w:val="SingleTxtGA"/>
        <w:rPr>
          <w:rFonts w:ascii="Traditional Arabic" w:hAnsi="Traditional Arabic"/>
          <w:color w:val="000000"/>
          <w:lang w:val="en-CA"/>
        </w:rPr>
      </w:pPr>
      <w:r>
        <w:rPr>
          <w:rFonts w:ascii="Traditional Arabic" w:hAnsi="Traditional Arabic" w:hint="cs"/>
          <w:color w:val="000000"/>
          <w:rtl/>
        </w:rPr>
        <w:t>8-7</w:t>
      </w:r>
      <w:r>
        <w:rPr>
          <w:rFonts w:ascii="Traditional Arabic" w:hAnsi="Traditional Arabic" w:hint="cs"/>
          <w:color w:val="000000"/>
          <w:rtl/>
        </w:rPr>
        <w:tab/>
        <w:t>واللجنة على علم بحالة حقوق الإنسان في ليبيا ولكنها ترى، وخاصة بالنظر إلى التحول في السلطة السياسية والظروف الحالية، أن أصحاب الشكوى لم يقدموا ما يدعم ادعاءهم بأنهم يواجهون خطر التعرض للتعذيب إذا أعيدوا إلى ليبيا.</w:t>
      </w:r>
    </w:p>
    <w:p w:rsidR="00363456" w:rsidRPr="00526809" w:rsidRDefault="00363456" w:rsidP="00363456">
      <w:pPr>
        <w:pStyle w:val="SingleTxtGA"/>
        <w:rPr>
          <w:rFonts w:ascii="Traditional Arabic" w:hAnsi="Traditional Arabic" w:hint="cs"/>
          <w:color w:val="000000"/>
        </w:rPr>
      </w:pPr>
      <w:r w:rsidRPr="00526809">
        <w:rPr>
          <w:rFonts w:ascii="Traditional Arabic" w:hAnsi="Traditional Arabic" w:hint="cs"/>
          <w:color w:val="000000"/>
          <w:rtl/>
        </w:rPr>
        <w:t>8-</w:t>
      </w:r>
      <w:r>
        <w:rPr>
          <w:rFonts w:ascii="Traditional Arabic" w:hAnsi="Traditional Arabic" w:hint="cs"/>
          <w:color w:val="000000"/>
          <w:rtl/>
        </w:rPr>
        <w:t>8</w:t>
      </w:r>
      <w:r w:rsidRPr="00526809">
        <w:rPr>
          <w:rFonts w:ascii="Traditional Arabic" w:hAnsi="Traditional Arabic" w:hint="cs"/>
          <w:color w:val="000000"/>
          <w:rtl/>
        </w:rPr>
        <w:tab/>
      </w:r>
      <w:r>
        <w:rPr>
          <w:rFonts w:ascii="Traditional Arabic" w:hAnsi="Traditional Arabic" w:hint="cs"/>
          <w:color w:val="000000"/>
          <w:rtl/>
        </w:rPr>
        <w:t>وترى</w:t>
      </w:r>
      <w:r w:rsidRPr="00526809">
        <w:rPr>
          <w:rFonts w:ascii="Traditional Arabic" w:hAnsi="Traditional Arabic" w:hint="cs"/>
          <w:color w:val="000000"/>
          <w:rtl/>
        </w:rPr>
        <w:t xml:space="preserve"> اللجنة، استناداً إلى جميع المعلومات المعروضة عليها، أنه </w:t>
      </w:r>
      <w:r>
        <w:rPr>
          <w:rFonts w:ascii="Traditional Arabic" w:hAnsi="Traditional Arabic" w:hint="cs"/>
          <w:color w:val="000000"/>
          <w:rtl/>
        </w:rPr>
        <w:t xml:space="preserve">لا يوجد </w:t>
      </w:r>
      <w:r w:rsidRPr="00526809">
        <w:rPr>
          <w:rFonts w:ascii="Traditional Arabic" w:hAnsi="Traditional Arabic" w:hint="cs"/>
          <w:color w:val="000000"/>
          <w:rtl/>
        </w:rPr>
        <w:t xml:space="preserve">أساس للخلوص إلى أن </w:t>
      </w:r>
      <w:r>
        <w:rPr>
          <w:rFonts w:ascii="Traditional Arabic" w:hAnsi="Traditional Arabic" w:hint="cs"/>
          <w:color w:val="000000"/>
          <w:rtl/>
        </w:rPr>
        <w:t>أصحاب</w:t>
      </w:r>
      <w:r w:rsidRPr="00526809">
        <w:rPr>
          <w:rFonts w:ascii="Traditional Arabic" w:hAnsi="Traditional Arabic" w:hint="cs"/>
          <w:color w:val="000000"/>
          <w:rtl/>
        </w:rPr>
        <w:t xml:space="preserve"> الشكوى سيواج</w:t>
      </w:r>
      <w:r>
        <w:rPr>
          <w:rFonts w:ascii="Traditional Arabic" w:hAnsi="Traditional Arabic" w:hint="cs"/>
          <w:color w:val="000000"/>
          <w:rtl/>
        </w:rPr>
        <w:t>هون</w:t>
      </w:r>
      <w:r w:rsidRPr="00526809">
        <w:rPr>
          <w:rFonts w:ascii="Traditional Arabic" w:hAnsi="Traditional Arabic" w:hint="cs"/>
          <w:color w:val="000000"/>
          <w:rtl/>
        </w:rPr>
        <w:t xml:space="preserve"> خطراً متوقعاً وحقيقياً وشخصياً بالتعرض للتعذيب إذا ما </w:t>
      </w:r>
      <w:r>
        <w:rPr>
          <w:rFonts w:ascii="Traditional Arabic" w:hAnsi="Traditional Arabic" w:hint="cs"/>
          <w:color w:val="000000"/>
          <w:rtl/>
        </w:rPr>
        <w:t>أُعيدوا</w:t>
      </w:r>
      <w:r w:rsidRPr="00526809">
        <w:rPr>
          <w:rFonts w:ascii="Traditional Arabic" w:hAnsi="Traditional Arabic" w:hint="cs"/>
          <w:color w:val="000000"/>
          <w:rtl/>
        </w:rPr>
        <w:t xml:space="preserve"> إلى </w:t>
      </w:r>
      <w:r>
        <w:rPr>
          <w:rFonts w:ascii="Traditional Arabic" w:hAnsi="Traditional Arabic" w:hint="cs"/>
          <w:color w:val="000000"/>
          <w:rtl/>
        </w:rPr>
        <w:t>ليبيا</w:t>
      </w:r>
      <w:r w:rsidRPr="00526809">
        <w:rPr>
          <w:rFonts w:ascii="Traditional Arabic" w:hAnsi="Traditional Arabic" w:hint="cs"/>
          <w:color w:val="000000"/>
          <w:rtl/>
        </w:rPr>
        <w:t>. ولذلك</w:t>
      </w:r>
      <w:r>
        <w:rPr>
          <w:rFonts w:ascii="Traditional Arabic" w:hAnsi="Traditional Arabic" w:hint="cs"/>
          <w:color w:val="000000"/>
          <w:rtl/>
        </w:rPr>
        <w:t>،</w:t>
      </w:r>
      <w:r w:rsidRPr="00526809">
        <w:rPr>
          <w:rFonts w:ascii="Traditional Arabic" w:hAnsi="Traditional Arabic" w:hint="cs"/>
          <w:color w:val="000000"/>
          <w:rtl/>
        </w:rPr>
        <w:t xml:space="preserve"> </w:t>
      </w:r>
      <w:r>
        <w:rPr>
          <w:rFonts w:ascii="Traditional Arabic" w:hAnsi="Traditional Arabic" w:hint="cs"/>
          <w:color w:val="000000"/>
          <w:rtl/>
        </w:rPr>
        <w:t>تخلص</w:t>
      </w:r>
      <w:r w:rsidRPr="00526809">
        <w:rPr>
          <w:rFonts w:ascii="Traditional Arabic" w:hAnsi="Traditional Arabic" w:hint="cs"/>
          <w:color w:val="000000"/>
          <w:rtl/>
        </w:rPr>
        <w:t xml:space="preserve"> اللجنة </w:t>
      </w:r>
      <w:r>
        <w:rPr>
          <w:rFonts w:ascii="Traditional Arabic" w:hAnsi="Traditional Arabic" w:hint="cs"/>
          <w:color w:val="000000"/>
          <w:rtl/>
        </w:rPr>
        <w:t xml:space="preserve">إلى </w:t>
      </w:r>
      <w:r w:rsidRPr="00526809">
        <w:rPr>
          <w:rFonts w:ascii="Traditional Arabic" w:hAnsi="Traditional Arabic" w:hint="cs"/>
          <w:color w:val="000000"/>
          <w:rtl/>
        </w:rPr>
        <w:t xml:space="preserve">أن </w:t>
      </w:r>
      <w:r>
        <w:rPr>
          <w:rFonts w:ascii="Traditional Arabic" w:hAnsi="Traditional Arabic" w:hint="cs"/>
          <w:color w:val="000000"/>
          <w:rtl/>
        </w:rPr>
        <w:t>ترحيلهم</w:t>
      </w:r>
      <w:r w:rsidRPr="00526809">
        <w:rPr>
          <w:rFonts w:ascii="Traditional Arabic" w:hAnsi="Traditional Arabic" w:hint="cs"/>
          <w:color w:val="000000"/>
          <w:rtl/>
        </w:rPr>
        <w:t xml:space="preserve"> إلى ذلك البلد لن </w:t>
      </w:r>
      <w:r>
        <w:rPr>
          <w:rFonts w:ascii="Traditional Arabic" w:hAnsi="Traditional Arabic" w:hint="cs"/>
          <w:color w:val="000000"/>
          <w:rtl/>
        </w:rPr>
        <w:t>ي</w:t>
      </w:r>
      <w:r w:rsidRPr="00526809">
        <w:rPr>
          <w:rFonts w:ascii="Traditional Arabic" w:hAnsi="Traditional Arabic" w:hint="cs"/>
          <w:color w:val="000000"/>
          <w:rtl/>
        </w:rPr>
        <w:t xml:space="preserve">شكل </w:t>
      </w:r>
      <w:r>
        <w:rPr>
          <w:rFonts w:ascii="Traditional Arabic" w:hAnsi="Traditional Arabic" w:hint="cs"/>
          <w:color w:val="000000"/>
          <w:rtl/>
        </w:rPr>
        <w:t xml:space="preserve">خرقاً </w:t>
      </w:r>
      <w:r w:rsidRPr="00526809">
        <w:rPr>
          <w:rFonts w:ascii="Traditional Arabic" w:hAnsi="Traditional Arabic" w:hint="cs"/>
          <w:color w:val="000000"/>
          <w:rtl/>
        </w:rPr>
        <w:t>للمادة 3 من الاتفاقية.</w:t>
      </w:r>
    </w:p>
    <w:p w:rsidR="00363456" w:rsidRPr="00526809" w:rsidRDefault="00363456" w:rsidP="00363456">
      <w:pPr>
        <w:pStyle w:val="SingleTxtGA"/>
        <w:rPr>
          <w:rFonts w:ascii="Traditional Arabic" w:hAnsi="Traditional Arabic"/>
          <w:color w:val="000000"/>
        </w:rPr>
      </w:pPr>
      <w:r w:rsidRPr="00526809">
        <w:rPr>
          <w:rFonts w:ascii="Traditional Arabic" w:hAnsi="Traditional Arabic" w:hint="cs"/>
          <w:color w:val="000000"/>
          <w:rtl/>
        </w:rPr>
        <w:t>9-</w:t>
      </w:r>
      <w:r w:rsidRPr="00526809">
        <w:rPr>
          <w:rFonts w:ascii="Traditional Arabic" w:hAnsi="Traditional Arabic" w:hint="cs"/>
          <w:color w:val="000000"/>
          <w:rtl/>
        </w:rPr>
        <w:tab/>
      </w:r>
      <w:r w:rsidRPr="00526809">
        <w:rPr>
          <w:rFonts w:ascii="Traditional Arabic" w:hAnsi="Traditional Arabic"/>
          <w:color w:val="000000"/>
          <w:rtl/>
        </w:rPr>
        <w:t>وعملاً بالفقرة 7 من المادة 22 من اتفاقية مناهضة التعذيب وغيره من ضروب المعاملة أو العقوبة القاسية أو اللاإنسانية أو المهينة، تخلص لجنة مناهضة التعذيب إلى أن قيام الدولة الطرف بترحيل ص</w:t>
      </w:r>
      <w:r w:rsidRPr="00526809">
        <w:rPr>
          <w:rFonts w:ascii="Traditional Arabic" w:hAnsi="Traditional Arabic" w:hint="cs"/>
          <w:color w:val="000000"/>
          <w:rtl/>
        </w:rPr>
        <w:t>ا</w:t>
      </w:r>
      <w:r w:rsidRPr="00526809">
        <w:rPr>
          <w:rFonts w:ascii="Traditional Arabic" w:hAnsi="Traditional Arabic"/>
          <w:color w:val="000000"/>
          <w:rtl/>
        </w:rPr>
        <w:t xml:space="preserve">حب الشكوى إلى </w:t>
      </w:r>
      <w:r>
        <w:rPr>
          <w:rFonts w:ascii="Traditional Arabic" w:hAnsi="Traditional Arabic" w:hint="cs"/>
          <w:color w:val="000000"/>
          <w:rtl/>
        </w:rPr>
        <w:t>ليبيا</w:t>
      </w:r>
      <w:r w:rsidRPr="00526809">
        <w:rPr>
          <w:rFonts w:ascii="Traditional Arabic" w:hAnsi="Traditional Arabic"/>
          <w:color w:val="000000"/>
          <w:rtl/>
        </w:rPr>
        <w:t xml:space="preserve"> </w:t>
      </w:r>
      <w:r w:rsidRPr="00526809">
        <w:rPr>
          <w:rFonts w:ascii="Traditional Arabic" w:hAnsi="Traditional Arabic" w:hint="cs"/>
          <w:color w:val="000000"/>
          <w:rtl/>
        </w:rPr>
        <w:t xml:space="preserve">لن </w:t>
      </w:r>
      <w:r w:rsidRPr="00526809">
        <w:rPr>
          <w:rFonts w:ascii="Traditional Arabic" w:hAnsi="Traditional Arabic"/>
          <w:color w:val="000000"/>
          <w:rtl/>
        </w:rPr>
        <w:t xml:space="preserve">يشكل </w:t>
      </w:r>
      <w:r>
        <w:rPr>
          <w:rFonts w:ascii="Traditional Arabic" w:hAnsi="Traditional Arabic" w:hint="cs"/>
          <w:color w:val="000000"/>
          <w:rtl/>
        </w:rPr>
        <w:t>خرقاً</w:t>
      </w:r>
      <w:r w:rsidRPr="00526809">
        <w:rPr>
          <w:rFonts w:ascii="Traditional Arabic" w:hAnsi="Traditional Arabic"/>
          <w:color w:val="000000"/>
          <w:rtl/>
        </w:rPr>
        <w:t xml:space="preserve"> للمادة 3 من الاتفاقية.</w:t>
      </w:r>
    </w:p>
    <w:p w:rsidR="0052191A" w:rsidRDefault="0052191A" w:rsidP="003241B0">
      <w:pPr>
        <w:pStyle w:val="SingleTxtGA"/>
        <w:rPr>
          <w:rFonts w:eastAsia="SimSun" w:hint="cs"/>
          <w:b/>
          <w:bCs/>
          <w:rtl/>
          <w:lang w:eastAsia="zh-CN"/>
        </w:rPr>
      </w:pPr>
    </w:p>
    <w:p w:rsidR="0052191A" w:rsidRDefault="0052191A" w:rsidP="003241B0">
      <w:pPr>
        <w:pStyle w:val="SingleTxtGA"/>
        <w:rPr>
          <w:rFonts w:eastAsia="SimSun" w:hint="cs"/>
          <w:b/>
          <w:bCs/>
          <w:rtl/>
          <w:lang w:eastAsia="zh-CN"/>
        </w:rPr>
        <w:sectPr w:rsidR="0052191A" w:rsidSect="00F1742A">
          <w:footnotePr>
            <w:numFmt w:val="arabicAbjad"/>
            <w:numRestart w:val="eachSect"/>
          </w:footnotePr>
          <w:endnotePr>
            <w:numFmt w:val="decimal"/>
          </w:endnotePr>
          <w:pgSz w:w="11907" w:h="16840" w:code="9"/>
          <w:pgMar w:top="1701" w:right="1134" w:bottom="2268" w:left="1134" w:header="1134" w:footer="1701" w:gutter="0"/>
          <w:cols w:space="720"/>
          <w:bidi/>
          <w:rtlGutter/>
          <w:docGrid w:linePitch="360"/>
        </w:sectPr>
      </w:pPr>
    </w:p>
    <w:p w:rsidR="0052191A" w:rsidRPr="0052191A" w:rsidRDefault="0052191A" w:rsidP="0052191A">
      <w:pPr>
        <w:pStyle w:val="H1GA"/>
        <w:spacing w:before="120"/>
        <w:rPr>
          <w:rFonts w:hint="cs"/>
          <w:i/>
          <w:iCs/>
          <w:rtl/>
        </w:rPr>
      </w:pPr>
      <w:r>
        <w:rPr>
          <w:rFonts w:hint="cs"/>
          <w:rtl/>
        </w:rPr>
        <w:tab/>
      </w:r>
      <w:r>
        <w:rPr>
          <w:rFonts w:hint="cs"/>
          <w:rtl/>
        </w:rPr>
        <w:tab/>
      </w:r>
      <w:r w:rsidRPr="00B15BEA">
        <w:rPr>
          <w:rFonts w:hint="cs"/>
          <w:rtl/>
        </w:rPr>
        <w:t xml:space="preserve">البلاغ رقم </w:t>
      </w:r>
      <w:r>
        <w:rPr>
          <w:rFonts w:hint="cs"/>
          <w:rtl/>
        </w:rPr>
        <w:t>389</w:t>
      </w:r>
      <w:r w:rsidRPr="00B15BEA">
        <w:rPr>
          <w:rFonts w:hint="cs"/>
          <w:rtl/>
        </w:rPr>
        <w:t>/</w:t>
      </w:r>
      <w:r>
        <w:rPr>
          <w:rFonts w:hint="cs"/>
          <w:rtl/>
        </w:rPr>
        <w:t xml:space="preserve">2009: </w:t>
      </w:r>
      <w:r>
        <w:rPr>
          <w:rFonts w:hint="cs"/>
          <w:i/>
          <w:iCs/>
          <w:rtl/>
        </w:rPr>
        <w:t>ر. أ. ضد سويسرا</w:t>
      </w:r>
    </w:p>
    <w:p w:rsidR="0052191A" w:rsidRPr="00A36292" w:rsidRDefault="0052191A" w:rsidP="0052191A">
      <w:pPr>
        <w:pStyle w:val="SingleTxtGA"/>
        <w:tabs>
          <w:tab w:val="clear" w:pos="1928"/>
          <w:tab w:val="clear" w:pos="3969"/>
          <w:tab w:val="clear" w:pos="4649"/>
          <w:tab w:val="left" w:pos="1718"/>
          <w:tab w:val="left" w:pos="4418"/>
        </w:tabs>
        <w:spacing w:line="370" w:lineRule="exact"/>
        <w:ind w:left="4418" w:hanging="2684"/>
        <w:rPr>
          <w:rFonts w:hint="cs"/>
          <w:spacing w:val="-4"/>
          <w:rtl/>
        </w:rPr>
      </w:pPr>
      <w:r w:rsidRPr="00B15BEA">
        <w:rPr>
          <w:rFonts w:hint="cs"/>
          <w:i/>
          <w:iCs/>
          <w:rtl/>
        </w:rPr>
        <w:t>المقدم من</w:t>
      </w:r>
      <w:r w:rsidRPr="00B15BEA">
        <w:rPr>
          <w:rFonts w:hint="cs"/>
          <w:rtl/>
        </w:rPr>
        <w:t>:</w:t>
      </w:r>
      <w:r w:rsidRPr="00B15BEA">
        <w:rPr>
          <w:rFonts w:hint="cs"/>
          <w:rtl/>
        </w:rPr>
        <w:tab/>
      </w:r>
      <w:r w:rsidRPr="00B15BEA">
        <w:rPr>
          <w:rFonts w:hint="cs"/>
          <w:rtl/>
        </w:rPr>
        <w:tab/>
      </w:r>
      <w:r w:rsidRPr="00B15BEA">
        <w:rPr>
          <w:rFonts w:hint="cs"/>
          <w:rtl/>
        </w:rPr>
        <w:tab/>
      </w:r>
      <w:r w:rsidRPr="00A36292">
        <w:rPr>
          <w:rFonts w:hint="cs"/>
          <w:spacing w:val="-4"/>
          <w:rtl/>
        </w:rPr>
        <w:t>ر. أ. (تمثله دائرة المساعدة القانونية المقدمة إلى المنفيين)</w:t>
      </w:r>
    </w:p>
    <w:p w:rsidR="0052191A" w:rsidRPr="00B15BEA" w:rsidRDefault="0052191A" w:rsidP="0052191A">
      <w:pPr>
        <w:pStyle w:val="SingleTxtGA"/>
        <w:tabs>
          <w:tab w:val="clear" w:pos="1928"/>
          <w:tab w:val="clear" w:pos="3969"/>
          <w:tab w:val="clear" w:pos="4649"/>
          <w:tab w:val="left" w:pos="1718"/>
          <w:tab w:val="left" w:pos="4418"/>
        </w:tabs>
        <w:spacing w:line="370" w:lineRule="exact"/>
        <w:ind w:left="4418" w:hanging="2684"/>
        <w:rPr>
          <w:rFonts w:hint="cs"/>
          <w:rtl/>
        </w:rPr>
      </w:pPr>
      <w:r w:rsidRPr="00B15BEA">
        <w:rPr>
          <w:rFonts w:hint="cs"/>
          <w:i/>
          <w:iCs/>
          <w:rtl/>
        </w:rPr>
        <w:t>الشخص</w:t>
      </w:r>
      <w:r>
        <w:rPr>
          <w:rFonts w:hint="cs"/>
          <w:i/>
          <w:iCs/>
          <w:rtl/>
        </w:rPr>
        <w:t xml:space="preserve"> </w:t>
      </w:r>
      <w:r w:rsidRPr="00B15BEA">
        <w:rPr>
          <w:rFonts w:hint="cs"/>
          <w:i/>
          <w:iCs/>
          <w:rtl/>
        </w:rPr>
        <w:t>المدعى أنه ضحية</w:t>
      </w:r>
      <w:r w:rsidRPr="00B15BEA">
        <w:rPr>
          <w:rFonts w:hint="cs"/>
          <w:rtl/>
        </w:rPr>
        <w:t>:</w:t>
      </w:r>
      <w:r w:rsidRPr="00B15BEA">
        <w:rPr>
          <w:rFonts w:hint="cs"/>
          <w:rtl/>
        </w:rPr>
        <w:tab/>
      </w:r>
      <w:r>
        <w:rPr>
          <w:rFonts w:hint="cs"/>
          <w:rtl/>
        </w:rPr>
        <w:t>صاحب</w:t>
      </w:r>
      <w:r w:rsidRPr="00B15BEA">
        <w:rPr>
          <w:rFonts w:hint="cs"/>
          <w:rtl/>
        </w:rPr>
        <w:t xml:space="preserve"> الشكوى</w:t>
      </w:r>
    </w:p>
    <w:p w:rsidR="0052191A" w:rsidRPr="00B15BEA" w:rsidRDefault="0052191A" w:rsidP="0052191A">
      <w:pPr>
        <w:pStyle w:val="SingleTxtGA"/>
        <w:tabs>
          <w:tab w:val="clear" w:pos="1928"/>
          <w:tab w:val="clear" w:pos="3969"/>
          <w:tab w:val="clear" w:pos="4649"/>
          <w:tab w:val="left" w:pos="1718"/>
          <w:tab w:val="left" w:pos="4418"/>
        </w:tabs>
        <w:spacing w:line="370" w:lineRule="exact"/>
        <w:ind w:left="4418" w:hanging="2684"/>
        <w:rPr>
          <w:rFonts w:hint="cs"/>
          <w:rtl/>
        </w:rPr>
      </w:pPr>
      <w:r w:rsidRPr="00B15BEA">
        <w:rPr>
          <w:rFonts w:hint="cs"/>
          <w:i/>
          <w:iCs/>
          <w:rtl/>
        </w:rPr>
        <w:t>الدولة الطرف</w:t>
      </w:r>
      <w:r>
        <w:rPr>
          <w:rFonts w:hint="cs"/>
          <w:rtl/>
        </w:rPr>
        <w:t>:</w:t>
      </w:r>
      <w:r>
        <w:rPr>
          <w:rFonts w:hint="cs"/>
          <w:rtl/>
        </w:rPr>
        <w:tab/>
      </w:r>
      <w:r>
        <w:rPr>
          <w:rFonts w:hint="cs"/>
          <w:rtl/>
        </w:rPr>
        <w:tab/>
      </w:r>
      <w:r w:rsidRPr="00B15BEA">
        <w:rPr>
          <w:rFonts w:hint="cs"/>
          <w:rtl/>
        </w:rPr>
        <w:t>سويسرا</w:t>
      </w:r>
    </w:p>
    <w:p w:rsidR="0052191A" w:rsidRPr="00B15BEA" w:rsidRDefault="0052191A" w:rsidP="0052191A">
      <w:pPr>
        <w:pStyle w:val="SingleTxtGA"/>
        <w:tabs>
          <w:tab w:val="clear" w:pos="1928"/>
          <w:tab w:val="clear" w:pos="3969"/>
          <w:tab w:val="clear" w:pos="4649"/>
          <w:tab w:val="left" w:pos="1718"/>
          <w:tab w:val="left" w:pos="4418"/>
        </w:tabs>
        <w:spacing w:line="370" w:lineRule="exact"/>
        <w:ind w:left="4417" w:hanging="2682"/>
        <w:rPr>
          <w:rFonts w:hint="cs"/>
          <w:sz w:val="22"/>
          <w:rtl/>
        </w:rPr>
      </w:pPr>
      <w:r w:rsidRPr="00B15BEA">
        <w:rPr>
          <w:rFonts w:hint="cs"/>
          <w:i/>
          <w:iCs/>
          <w:rtl/>
        </w:rPr>
        <w:t>تاريخ تقديم الشكوى</w:t>
      </w:r>
      <w:r w:rsidRPr="00B15BEA">
        <w:rPr>
          <w:rFonts w:hint="cs"/>
          <w:rtl/>
        </w:rPr>
        <w:t>:</w:t>
      </w:r>
      <w:r w:rsidRPr="00B15BEA">
        <w:rPr>
          <w:rFonts w:hint="cs"/>
          <w:rtl/>
        </w:rPr>
        <w:tab/>
      </w:r>
      <w:r>
        <w:rPr>
          <w:rFonts w:hint="cs"/>
          <w:rtl/>
        </w:rPr>
        <w:t>29 حزيران/يونيه 2009</w:t>
      </w:r>
      <w:r w:rsidRPr="00B15BEA">
        <w:rPr>
          <w:rFonts w:hint="cs"/>
          <w:rtl/>
        </w:rPr>
        <w:t xml:space="preserve"> (تاريخ الرسالة الأولى)</w:t>
      </w:r>
    </w:p>
    <w:p w:rsidR="0052191A" w:rsidRPr="00B15BEA" w:rsidRDefault="0052191A" w:rsidP="0052191A">
      <w:pPr>
        <w:pStyle w:val="SingleTxtGA"/>
        <w:spacing w:line="370" w:lineRule="exact"/>
        <w:rPr>
          <w:rFonts w:hint="cs"/>
          <w:sz w:val="22"/>
          <w:rtl/>
        </w:rPr>
      </w:pPr>
      <w:r>
        <w:rPr>
          <w:rFonts w:hint="cs"/>
          <w:i/>
          <w:iCs/>
          <w:rtl/>
        </w:rPr>
        <w:tab/>
      </w:r>
      <w:r w:rsidRPr="00B15BEA">
        <w:rPr>
          <w:rFonts w:hint="cs"/>
          <w:i/>
          <w:iCs/>
          <w:rtl/>
        </w:rPr>
        <w:t>إن لجنة مناهضة التعذيب</w:t>
      </w:r>
      <w:r w:rsidRPr="00B15BEA">
        <w:rPr>
          <w:rFonts w:hint="cs"/>
          <w:rtl/>
        </w:rPr>
        <w:t>، المنشأة بموجب المادة 17 من اتفاقية مناهضة التعذيب وغيره من ضروب المعاملة أو العقوبة القاسية أو اللاإنسانية أو المهينة،</w:t>
      </w:r>
    </w:p>
    <w:p w:rsidR="0052191A" w:rsidRPr="00B15BEA" w:rsidRDefault="0052191A" w:rsidP="0052191A">
      <w:pPr>
        <w:pStyle w:val="SingleTxtGA"/>
        <w:spacing w:line="370" w:lineRule="exact"/>
        <w:rPr>
          <w:rFonts w:hint="cs"/>
          <w:sz w:val="22"/>
          <w:rtl/>
        </w:rPr>
      </w:pPr>
      <w:r>
        <w:rPr>
          <w:rFonts w:hint="cs"/>
          <w:i/>
          <w:iCs/>
          <w:rtl/>
        </w:rPr>
        <w:tab/>
      </w:r>
      <w:r w:rsidRPr="00B15BEA">
        <w:rPr>
          <w:rFonts w:hint="cs"/>
          <w:i/>
          <w:iCs/>
          <w:rtl/>
        </w:rPr>
        <w:t>وقد اجتمعت</w:t>
      </w:r>
      <w:r w:rsidRPr="00B15BEA">
        <w:rPr>
          <w:rFonts w:hint="cs"/>
          <w:rtl/>
        </w:rPr>
        <w:t xml:space="preserve"> في </w:t>
      </w:r>
      <w:r>
        <w:rPr>
          <w:rFonts w:hint="cs"/>
          <w:rtl/>
        </w:rPr>
        <w:t>20 تشرين الثاني/نوفمبر 2012</w:t>
      </w:r>
      <w:r w:rsidRPr="00B15BEA">
        <w:rPr>
          <w:rFonts w:hint="cs"/>
          <w:sz w:val="22"/>
          <w:rtl/>
        </w:rPr>
        <w:t>،</w:t>
      </w:r>
    </w:p>
    <w:p w:rsidR="0052191A" w:rsidRPr="00B15BEA" w:rsidRDefault="0052191A" w:rsidP="0052191A">
      <w:pPr>
        <w:pStyle w:val="SingleTxtGA"/>
        <w:spacing w:line="370" w:lineRule="exact"/>
        <w:rPr>
          <w:rFonts w:hint="cs"/>
          <w:sz w:val="22"/>
          <w:rtl/>
        </w:rPr>
      </w:pPr>
      <w:r>
        <w:rPr>
          <w:rFonts w:hint="cs"/>
          <w:i/>
          <w:iCs/>
          <w:rtl/>
        </w:rPr>
        <w:tab/>
      </w:r>
      <w:r w:rsidRPr="00B15BEA">
        <w:rPr>
          <w:rFonts w:hint="cs"/>
          <w:i/>
          <w:iCs/>
          <w:rtl/>
        </w:rPr>
        <w:t xml:space="preserve">وقد فرغت </w:t>
      </w:r>
      <w:r w:rsidRPr="00B15BEA">
        <w:rPr>
          <w:rFonts w:hint="cs"/>
          <w:rtl/>
        </w:rPr>
        <w:t xml:space="preserve">من النظر في الشكوى رقم </w:t>
      </w:r>
      <w:r>
        <w:rPr>
          <w:rFonts w:hint="cs"/>
          <w:rtl/>
        </w:rPr>
        <w:t>389</w:t>
      </w:r>
      <w:r w:rsidRPr="00B15BEA">
        <w:rPr>
          <w:rFonts w:hint="cs"/>
          <w:rtl/>
        </w:rPr>
        <w:t>/</w:t>
      </w:r>
      <w:r>
        <w:rPr>
          <w:rFonts w:hint="cs"/>
          <w:rtl/>
        </w:rPr>
        <w:t>2009</w:t>
      </w:r>
      <w:r w:rsidRPr="00B15BEA">
        <w:rPr>
          <w:rFonts w:hint="cs"/>
          <w:rtl/>
        </w:rPr>
        <w:t xml:space="preserve">، التي قُدمت إلى لجنة مناهضة التعذيب بالنيابة عن </w:t>
      </w:r>
      <w:r>
        <w:rPr>
          <w:rFonts w:hint="cs"/>
          <w:rtl/>
        </w:rPr>
        <w:t>ر. أ</w:t>
      </w:r>
      <w:r w:rsidRPr="00B15BEA">
        <w:rPr>
          <w:rFonts w:hint="cs"/>
          <w:rtl/>
        </w:rPr>
        <w:t>. بموجب المادة 22 من اتفاقية مناهضة التعذيب وغيره من ضروب المعاملة أو العقوبة القاسية أو اللاإنسانية أو المهينة،</w:t>
      </w:r>
    </w:p>
    <w:p w:rsidR="0052191A" w:rsidRPr="00B15BEA" w:rsidRDefault="0052191A" w:rsidP="0052191A">
      <w:pPr>
        <w:pStyle w:val="SingleTxtGA"/>
        <w:spacing w:line="370" w:lineRule="exact"/>
        <w:rPr>
          <w:rFonts w:hint="cs"/>
          <w:sz w:val="22"/>
          <w:rtl/>
        </w:rPr>
      </w:pPr>
      <w:r>
        <w:rPr>
          <w:rFonts w:hint="cs"/>
          <w:i/>
          <w:iCs/>
          <w:rtl/>
        </w:rPr>
        <w:tab/>
      </w:r>
      <w:r w:rsidRPr="00B15BEA">
        <w:rPr>
          <w:rFonts w:hint="cs"/>
          <w:i/>
          <w:iCs/>
          <w:rtl/>
        </w:rPr>
        <w:t xml:space="preserve">وقد أخذت في اعتبارها </w:t>
      </w:r>
      <w:r w:rsidRPr="00B15BEA">
        <w:rPr>
          <w:rFonts w:hint="cs"/>
          <w:rtl/>
        </w:rPr>
        <w:t>جميع المعلومات التي أتاحها لها صاحب الشكوى ومحاميه والدولة الطرف،</w:t>
      </w:r>
    </w:p>
    <w:p w:rsidR="0052191A" w:rsidRDefault="0052191A" w:rsidP="0052191A">
      <w:pPr>
        <w:pStyle w:val="SingleTxtGA"/>
        <w:spacing w:line="370" w:lineRule="exact"/>
        <w:rPr>
          <w:rFonts w:hint="cs"/>
          <w:sz w:val="22"/>
          <w:rtl/>
        </w:rPr>
      </w:pPr>
      <w:r>
        <w:rPr>
          <w:rFonts w:hint="cs"/>
          <w:i/>
          <w:iCs/>
          <w:rtl/>
        </w:rPr>
        <w:tab/>
      </w:r>
      <w:r w:rsidRPr="00B15BEA">
        <w:rPr>
          <w:rFonts w:hint="cs"/>
          <w:i/>
          <w:iCs/>
          <w:rtl/>
        </w:rPr>
        <w:t xml:space="preserve">تعتمد </w:t>
      </w:r>
      <w:r w:rsidRPr="00B15BEA">
        <w:rPr>
          <w:rFonts w:hint="cs"/>
          <w:rtl/>
        </w:rPr>
        <w:t>ما يلي:</w:t>
      </w:r>
    </w:p>
    <w:p w:rsidR="0052191A" w:rsidRPr="00406C1C" w:rsidRDefault="0052191A" w:rsidP="0052191A">
      <w:pPr>
        <w:pStyle w:val="H1GA"/>
        <w:rPr>
          <w:rFonts w:hint="cs"/>
          <w:rtl/>
        </w:rPr>
      </w:pPr>
      <w:r>
        <w:rPr>
          <w:rtl/>
        </w:rPr>
        <w:tab/>
      </w:r>
      <w:r>
        <w:rPr>
          <w:rFonts w:hint="cs"/>
          <w:rtl/>
        </w:rPr>
        <w:tab/>
      </w:r>
      <w:r w:rsidRPr="00406C1C">
        <w:rPr>
          <w:rFonts w:hint="cs"/>
          <w:rtl/>
        </w:rPr>
        <w:t>قرار بموجب الفقرة 7 من المادة 22 من اتفاقية مناهضة التعذيب</w:t>
      </w:r>
    </w:p>
    <w:p w:rsidR="0052191A" w:rsidRPr="00B15BEA" w:rsidRDefault="0052191A" w:rsidP="0052191A">
      <w:pPr>
        <w:pStyle w:val="SingleTxtGA"/>
        <w:rPr>
          <w:rFonts w:hint="cs"/>
          <w:rtl/>
        </w:rPr>
      </w:pPr>
      <w:r w:rsidRPr="00B15BEA">
        <w:rPr>
          <w:rFonts w:hint="cs"/>
          <w:rtl/>
        </w:rPr>
        <w:t>1-</w:t>
      </w:r>
      <w:r w:rsidRPr="00B15BEA">
        <w:rPr>
          <w:rFonts w:hint="cs"/>
          <w:rtl/>
        </w:rPr>
        <w:tab/>
      </w:r>
      <w:r>
        <w:rPr>
          <w:rFonts w:hint="cs"/>
          <w:rtl/>
        </w:rPr>
        <w:t>صاحب</w:t>
      </w:r>
      <w:r w:rsidRPr="00B15BEA">
        <w:rPr>
          <w:rFonts w:hint="cs"/>
          <w:rtl/>
        </w:rPr>
        <w:t xml:space="preserve"> الشكوى </w:t>
      </w:r>
      <w:r>
        <w:rPr>
          <w:rFonts w:hint="cs"/>
          <w:rtl/>
        </w:rPr>
        <w:t xml:space="preserve">ر. أ. مواطن تركي ولد عام 1976 ويقيم حالياً في سويسرا، ويؤكد </w:t>
      </w:r>
      <w:r w:rsidRPr="00B15BEA">
        <w:rPr>
          <w:rFonts w:hint="cs"/>
          <w:rtl/>
        </w:rPr>
        <w:t xml:space="preserve">أن </w:t>
      </w:r>
      <w:r>
        <w:rPr>
          <w:rFonts w:hint="cs"/>
          <w:rtl/>
        </w:rPr>
        <w:t>عودته</w:t>
      </w:r>
      <w:r w:rsidRPr="00B15BEA">
        <w:rPr>
          <w:rFonts w:hint="cs"/>
          <w:rtl/>
        </w:rPr>
        <w:t xml:space="preserve"> إلى تركيا </w:t>
      </w:r>
      <w:r>
        <w:rPr>
          <w:rFonts w:hint="cs"/>
          <w:rtl/>
        </w:rPr>
        <w:t>تشكل</w:t>
      </w:r>
      <w:r w:rsidRPr="00B15BEA">
        <w:rPr>
          <w:rFonts w:hint="cs"/>
          <w:rtl/>
        </w:rPr>
        <w:t xml:space="preserve"> </w:t>
      </w:r>
      <w:r>
        <w:rPr>
          <w:rFonts w:hint="cs"/>
          <w:rtl/>
        </w:rPr>
        <w:t xml:space="preserve">انتهاكاً </w:t>
      </w:r>
      <w:r w:rsidRPr="00B15BEA">
        <w:rPr>
          <w:rFonts w:hint="cs"/>
          <w:rtl/>
        </w:rPr>
        <w:t>للمادة 3 من اتفاقية مناهضة التعذيب وغيره من ضروب المعاملة أو العقوبة القاسية أو اللاإنسانية أو المهينة</w:t>
      </w:r>
      <w:r>
        <w:rPr>
          <w:rFonts w:hint="cs"/>
          <w:rtl/>
        </w:rPr>
        <w:t>. وتمثل صاحبَ الشكوى دائرة المساعدة القانونية المقدمة إلى المنفيين</w:t>
      </w:r>
      <w:r w:rsidRPr="00B15BEA">
        <w:rPr>
          <w:rFonts w:hint="cs"/>
          <w:rtl/>
        </w:rPr>
        <w:t>.</w:t>
      </w:r>
    </w:p>
    <w:p w:rsidR="0052191A" w:rsidRPr="00420700" w:rsidRDefault="0052191A" w:rsidP="0052191A">
      <w:pPr>
        <w:pStyle w:val="H23GA"/>
        <w:rPr>
          <w:rFonts w:hint="cs"/>
          <w:rtl/>
        </w:rPr>
      </w:pPr>
      <w:r>
        <w:rPr>
          <w:rFonts w:hint="cs"/>
          <w:rtl/>
        </w:rPr>
        <w:tab/>
      </w:r>
      <w:r>
        <w:rPr>
          <w:rFonts w:hint="cs"/>
          <w:rtl/>
        </w:rPr>
        <w:tab/>
      </w:r>
      <w:r w:rsidRPr="00420700">
        <w:rPr>
          <w:rFonts w:hint="cs"/>
          <w:rtl/>
        </w:rPr>
        <w:t xml:space="preserve">الوقائع </w:t>
      </w:r>
      <w:r>
        <w:rPr>
          <w:rFonts w:hint="cs"/>
          <w:rtl/>
        </w:rPr>
        <w:t>كما</w:t>
      </w:r>
      <w:r w:rsidRPr="00420700">
        <w:rPr>
          <w:rFonts w:hint="cs"/>
          <w:rtl/>
        </w:rPr>
        <w:t xml:space="preserve"> عرضها صاحب الشكوى</w:t>
      </w:r>
    </w:p>
    <w:p w:rsidR="0052191A" w:rsidRDefault="0052191A" w:rsidP="00D41A3E">
      <w:pPr>
        <w:pStyle w:val="SingleTxtGA"/>
        <w:rPr>
          <w:rFonts w:hint="cs"/>
          <w:rtl/>
        </w:rPr>
      </w:pPr>
      <w:r w:rsidRPr="00B15BEA">
        <w:rPr>
          <w:rFonts w:hint="cs"/>
          <w:rtl/>
        </w:rPr>
        <w:t>2-1</w:t>
      </w:r>
      <w:r w:rsidRPr="00B15BEA">
        <w:rPr>
          <w:rFonts w:hint="cs"/>
          <w:rtl/>
        </w:rPr>
        <w:tab/>
      </w:r>
      <w:r>
        <w:rPr>
          <w:rFonts w:hint="cs"/>
          <w:rtl/>
        </w:rPr>
        <w:t>صاحب الشكوى كردي علوي</w:t>
      </w:r>
      <w:r w:rsidRPr="00B15BEA">
        <w:rPr>
          <w:rFonts w:hint="cs"/>
          <w:rtl/>
        </w:rPr>
        <w:t>.</w:t>
      </w:r>
      <w:r>
        <w:rPr>
          <w:rFonts w:hint="cs"/>
          <w:rtl/>
        </w:rPr>
        <w:t xml:space="preserve"> أصله من قرية تيلكلر/بازارجيك الكردية، شرقي تركيا، التي ضمها الجيش التركي في شباط/فبراير 1994. وينشط بالمنطقة حزب العمال الكردستاني وتشك السلطات في تواطؤ جميع السكان الأكراد تقريباً مع هذا الحزب. لذا تحرشت السلطات بصاحب الشكوى وأسرته. وشجعت السلطات صاحب الشكوى أيضاً على أن يصبح "حارس القرية"، مما يعني التجسس على سكان القرية وإبلاغ </w:t>
      </w:r>
      <w:r w:rsidR="00D41A3E">
        <w:rPr>
          <w:rFonts w:hint="cs"/>
          <w:rtl/>
        </w:rPr>
        <w:t xml:space="preserve">السلطات </w:t>
      </w:r>
      <w:r>
        <w:rPr>
          <w:rFonts w:hint="cs"/>
          <w:rtl/>
        </w:rPr>
        <w:t xml:space="preserve">عنهم إن هم شاركوا في أنشطة سياسية مشبوهة. </w:t>
      </w:r>
      <w:r w:rsidR="00D41A3E">
        <w:rPr>
          <w:rFonts w:hint="cs"/>
          <w:rtl/>
        </w:rPr>
        <w:t>و</w:t>
      </w:r>
      <w:r>
        <w:rPr>
          <w:rFonts w:hint="cs"/>
          <w:rtl/>
        </w:rPr>
        <w:t>رفض صاحب الشكوى. وبعد هجوم الجيش التركي على القرية عام 1994، انتقل صاحب الشكوى، البالغ من العمر آنذاك 18 سنة، إلى غازيانتيب مع أسرته.</w:t>
      </w:r>
    </w:p>
    <w:p w:rsidR="0052191A" w:rsidRPr="00D41A3E" w:rsidRDefault="0052191A" w:rsidP="00D41A3E">
      <w:pPr>
        <w:pStyle w:val="SingleTxtGA"/>
        <w:rPr>
          <w:rFonts w:hint="cs"/>
          <w:spacing w:val="-2"/>
          <w:rtl/>
        </w:rPr>
      </w:pPr>
      <w:r>
        <w:rPr>
          <w:rFonts w:hint="cs"/>
          <w:rtl/>
        </w:rPr>
        <w:t>2-2</w:t>
      </w:r>
      <w:r>
        <w:rPr>
          <w:rFonts w:hint="cs"/>
          <w:rtl/>
        </w:rPr>
        <w:tab/>
        <w:t xml:space="preserve">وفي آب/أغسطس 1995، بينما كان صاحب الشكوى في منتزه، يتحدث بالكردية </w:t>
      </w:r>
      <w:r w:rsidRPr="00D41A3E">
        <w:rPr>
          <w:rFonts w:hint="cs"/>
          <w:spacing w:val="-2"/>
          <w:rtl/>
        </w:rPr>
        <w:t xml:space="preserve">إلى ثلاثة أصدقاء من القرية، توقفت أمامهم سيارتان للشرطة. بدأ أفراد الشرطة بتفتيشهم وأخذوا بطاقات هويتهم. وعندما أدرك أفراد الشرطة أنهم من تيلكلر، ضربوهم من دون سبب، </w:t>
      </w:r>
      <w:r w:rsidR="00D41A3E" w:rsidRPr="00D41A3E">
        <w:rPr>
          <w:rFonts w:hint="cs"/>
          <w:spacing w:val="-2"/>
          <w:rtl/>
        </w:rPr>
        <w:t>وألقوا القبض عليهم</w:t>
      </w:r>
      <w:r w:rsidRPr="00D41A3E">
        <w:rPr>
          <w:rFonts w:hint="cs"/>
          <w:spacing w:val="-2"/>
          <w:rtl/>
        </w:rPr>
        <w:t>، واقتادوهم إلى مركز الشرطة. وفي غرفة بالمركز ضربوهم بالعصي. وقبل ذلك طلبوا إليهم غسل أيديهم بالماء البارد، لأن ذلك يشدد الألم على ما يبدو.</w:t>
      </w:r>
    </w:p>
    <w:p w:rsidR="0052191A" w:rsidRDefault="0052191A" w:rsidP="0052191A">
      <w:pPr>
        <w:pStyle w:val="SingleTxtGA"/>
        <w:rPr>
          <w:rFonts w:hint="cs"/>
          <w:rtl/>
        </w:rPr>
      </w:pPr>
      <w:r>
        <w:rPr>
          <w:rFonts w:hint="cs"/>
          <w:rtl/>
        </w:rPr>
        <w:t>2-3</w:t>
      </w:r>
      <w:r>
        <w:rPr>
          <w:rFonts w:hint="cs"/>
          <w:rtl/>
        </w:rPr>
        <w:tab/>
        <w:t>لبعض أفراد أسرة صاحب الشكوى صلات بحركات المقاومة الكردية. والواقع أن ابن عم له، ﻫ. أ. كان ينتمي إلى حركة المليشيا وهو الآن في السجن يقضي عقوبة بالسجن المؤبد عقب اعتقاله في 1995. ولصاحب الشكوى ابن خال عضو في قوات المليشيا.</w:t>
      </w:r>
    </w:p>
    <w:p w:rsidR="0052191A" w:rsidRDefault="0052191A" w:rsidP="00D41A3E">
      <w:pPr>
        <w:pStyle w:val="SingleTxtGA"/>
        <w:rPr>
          <w:rFonts w:hint="cs"/>
          <w:rtl/>
        </w:rPr>
      </w:pPr>
      <w:r>
        <w:rPr>
          <w:rFonts w:hint="cs"/>
          <w:rtl/>
        </w:rPr>
        <w:t>2-4</w:t>
      </w:r>
      <w:r>
        <w:rPr>
          <w:rFonts w:hint="cs"/>
          <w:rtl/>
        </w:rPr>
        <w:tab/>
        <w:t xml:space="preserve">وفي تشرين الأول/أكتوبر 1995، اعتقل صاحب الشكوى وأسرته مرة أخرى وسئلوا عن ﻫ. أ.، لكن لم يكن للأسرة أي اتصال به منذ مدة طويلة. وعقب </w:t>
      </w:r>
      <w:r w:rsidR="00D41A3E">
        <w:rPr>
          <w:rFonts w:hint="cs"/>
          <w:rtl/>
        </w:rPr>
        <w:t>إلقاء القبض عليه</w:t>
      </w:r>
      <w:r>
        <w:rPr>
          <w:rFonts w:hint="cs"/>
          <w:rtl/>
        </w:rPr>
        <w:t>، ضُرب صاحب الشكوى ضرباً مبرحاً وعُذب واحتُجز في مركز الشرطة ليوم واحد.</w:t>
      </w:r>
    </w:p>
    <w:p w:rsidR="0052191A" w:rsidRDefault="0052191A" w:rsidP="0052191A">
      <w:pPr>
        <w:pStyle w:val="SingleTxtGA"/>
        <w:rPr>
          <w:rFonts w:hint="cs"/>
          <w:rtl/>
        </w:rPr>
      </w:pPr>
      <w:r>
        <w:rPr>
          <w:rFonts w:hint="cs"/>
          <w:rtl/>
        </w:rPr>
        <w:t>2-5</w:t>
      </w:r>
      <w:r>
        <w:rPr>
          <w:rFonts w:hint="cs"/>
          <w:rtl/>
        </w:rPr>
        <w:tab/>
        <w:t>وفي أثناء خدمته العسكرية من 1996 إلى 1997، عومل صاحب الشكوى معاملة سيئة لأنه كردي وعلوي. ومرة أجبر على القيام بأعمال شاقة ووضع رهن الاحتجاز التأديبي لمدة 10 أيام عقاباً له على تحدثه بالكردية عبر الهاتف</w:t>
      </w:r>
      <w:r w:rsidRPr="008E3A3A">
        <w:rPr>
          <w:rFonts w:hint="cs"/>
          <w:rtl/>
        </w:rPr>
        <w:t xml:space="preserve"> </w:t>
      </w:r>
      <w:r>
        <w:rPr>
          <w:rFonts w:hint="cs"/>
          <w:rtl/>
        </w:rPr>
        <w:t>مع أمه التي لا تتحدث بالتركية.</w:t>
      </w:r>
    </w:p>
    <w:p w:rsidR="0052191A" w:rsidRDefault="0052191A" w:rsidP="00723441">
      <w:pPr>
        <w:pStyle w:val="SingleTxtGA"/>
        <w:rPr>
          <w:rFonts w:hint="cs"/>
          <w:rtl/>
        </w:rPr>
      </w:pPr>
      <w:r>
        <w:rPr>
          <w:rFonts w:hint="cs"/>
          <w:rtl/>
        </w:rPr>
        <w:t>2-6</w:t>
      </w:r>
      <w:r>
        <w:rPr>
          <w:rFonts w:hint="cs"/>
          <w:rtl/>
        </w:rPr>
        <w:tab/>
        <w:t xml:space="preserve">وفي حزيران/يونيه 2000، أثناء عملية عسكرية في القرية، اعتقل والد صاحب الشكوى في حقله. </w:t>
      </w:r>
      <w:r w:rsidR="00723441">
        <w:rPr>
          <w:rFonts w:hint="cs"/>
          <w:rtl/>
        </w:rPr>
        <w:t>و</w:t>
      </w:r>
      <w:r>
        <w:rPr>
          <w:rFonts w:hint="cs"/>
          <w:rtl/>
        </w:rPr>
        <w:t xml:space="preserve">كان يحمل غداءه فاتُهم بحمل الطعام إلى منظمة إرهابية. وعندما ذهب صاحب الشكوى إلى مركز الشرطة ببازارجيك للاستفسار، </w:t>
      </w:r>
      <w:r w:rsidR="00D41A3E">
        <w:rPr>
          <w:rFonts w:hint="cs"/>
          <w:rtl/>
        </w:rPr>
        <w:t xml:space="preserve">أُلقي القبض عليه </w:t>
      </w:r>
      <w:r>
        <w:rPr>
          <w:rFonts w:hint="cs"/>
          <w:rtl/>
        </w:rPr>
        <w:t>وضُرب. وأُفرج عنه في اليوم التالي لكن والده ظل محتجزاً.</w:t>
      </w:r>
    </w:p>
    <w:p w:rsidR="0052191A" w:rsidRPr="00432A10" w:rsidRDefault="0052191A" w:rsidP="00D41A3E">
      <w:pPr>
        <w:pStyle w:val="SingleTxtGA"/>
        <w:rPr>
          <w:rFonts w:hint="cs"/>
          <w:spacing w:val="-2"/>
          <w:rtl/>
        </w:rPr>
      </w:pPr>
      <w:r w:rsidRPr="00432A10">
        <w:rPr>
          <w:rFonts w:hint="cs"/>
          <w:spacing w:val="-2"/>
          <w:rtl/>
        </w:rPr>
        <w:t>2-7</w:t>
      </w:r>
      <w:r w:rsidRPr="00432A10">
        <w:rPr>
          <w:rFonts w:hint="cs"/>
          <w:spacing w:val="-2"/>
          <w:rtl/>
        </w:rPr>
        <w:tab/>
      </w:r>
      <w:r w:rsidR="00723441">
        <w:rPr>
          <w:rFonts w:hint="cs"/>
          <w:spacing w:val="-2"/>
          <w:rtl/>
        </w:rPr>
        <w:t>و</w:t>
      </w:r>
      <w:r w:rsidRPr="00432A10">
        <w:rPr>
          <w:rFonts w:hint="cs"/>
          <w:spacing w:val="-2"/>
          <w:rtl/>
        </w:rPr>
        <w:t xml:space="preserve">صاحب الشكوى من أنصار حزب الشعب الديمقراطي. </w:t>
      </w:r>
      <w:r w:rsidR="00723441">
        <w:rPr>
          <w:rFonts w:hint="cs"/>
          <w:spacing w:val="-2"/>
          <w:rtl/>
        </w:rPr>
        <w:t>و</w:t>
      </w:r>
      <w:r w:rsidRPr="00432A10">
        <w:rPr>
          <w:rFonts w:hint="cs"/>
          <w:spacing w:val="-2"/>
          <w:rtl/>
        </w:rPr>
        <w:t xml:space="preserve">قام بأنشطة دعائية وشارك في احتفالات الحزب واجتماعاته. وفي حزيران/يونيه 2001، زار مقر حزب الشعب الديمقراطي في عنتيب لحضور اجتماع لإحياء ذكرى وفاة </w:t>
      </w:r>
      <w:r>
        <w:rPr>
          <w:rFonts w:hint="cs"/>
          <w:spacing w:val="-2"/>
          <w:rtl/>
        </w:rPr>
        <w:t>"</w:t>
      </w:r>
      <w:r w:rsidRPr="00432A10">
        <w:rPr>
          <w:rFonts w:hint="cs"/>
          <w:spacing w:val="-2"/>
          <w:rtl/>
        </w:rPr>
        <w:t>الإخوان</w:t>
      </w:r>
      <w:r>
        <w:rPr>
          <w:rFonts w:hint="cs"/>
          <w:spacing w:val="-2"/>
          <w:rtl/>
        </w:rPr>
        <w:t>"</w:t>
      </w:r>
      <w:r w:rsidRPr="00432A10">
        <w:rPr>
          <w:rFonts w:hint="cs"/>
          <w:spacing w:val="-2"/>
          <w:rtl/>
        </w:rPr>
        <w:t xml:space="preserve"> في السجون. وكان هذا الاحتفال مرخصا</w:t>
      </w:r>
      <w:r>
        <w:rPr>
          <w:rFonts w:hint="cs"/>
          <w:spacing w:val="-2"/>
          <w:rtl/>
        </w:rPr>
        <w:t>ً</w:t>
      </w:r>
      <w:r w:rsidRPr="00432A10">
        <w:rPr>
          <w:rFonts w:hint="cs"/>
          <w:spacing w:val="-2"/>
          <w:rtl/>
        </w:rPr>
        <w:t xml:space="preserve"> له. وعندما غادر، </w:t>
      </w:r>
      <w:r w:rsidR="00D41A3E">
        <w:rPr>
          <w:rFonts w:hint="cs"/>
          <w:spacing w:val="-2"/>
          <w:rtl/>
        </w:rPr>
        <w:t xml:space="preserve">أوقفته </w:t>
      </w:r>
      <w:r w:rsidRPr="00432A10">
        <w:rPr>
          <w:rFonts w:hint="cs"/>
          <w:spacing w:val="-2"/>
          <w:rtl/>
        </w:rPr>
        <w:t>الشرطة المدنية واقتادته إلى مركز الشرطة بأكيول، حيث</w:t>
      </w:r>
      <w:r>
        <w:rPr>
          <w:rFonts w:hint="eastAsia"/>
          <w:spacing w:val="-2"/>
          <w:rtl/>
        </w:rPr>
        <w:t> </w:t>
      </w:r>
      <w:r w:rsidRPr="00432A10">
        <w:rPr>
          <w:rFonts w:hint="cs"/>
          <w:spacing w:val="-2"/>
          <w:rtl/>
        </w:rPr>
        <w:t>لُفقت له تهمة نشر دعاية حزب العمال الكردستاني. ومرة أخرى فُتش واستُجوب وأُسيئت معاملته واحتُجز ليوم واحد. وأثناء الانتخابات البرلمانية لعام 2002، قام صاحب الشكوى بأنشطة باسم حزب الشعب الديمقراطي وكانت الشرطة تتعقبه. وكان أحد أبناء عمه مرشحا</w:t>
      </w:r>
      <w:r>
        <w:rPr>
          <w:rFonts w:hint="cs"/>
          <w:spacing w:val="-2"/>
          <w:rtl/>
        </w:rPr>
        <w:t>ً</w:t>
      </w:r>
      <w:r w:rsidRPr="00432A10">
        <w:rPr>
          <w:rFonts w:hint="cs"/>
          <w:spacing w:val="-2"/>
          <w:rtl/>
        </w:rPr>
        <w:t xml:space="preserve"> لحزب الشعب الديمقراطي في هذه الانتخابات.</w:t>
      </w:r>
    </w:p>
    <w:p w:rsidR="0052191A" w:rsidRPr="00D41A3E" w:rsidRDefault="0052191A" w:rsidP="00B93686">
      <w:pPr>
        <w:pStyle w:val="SingleTxtGA"/>
        <w:rPr>
          <w:rFonts w:hint="cs"/>
          <w:spacing w:val="-2"/>
          <w:rtl/>
        </w:rPr>
      </w:pPr>
      <w:r w:rsidRPr="00D41A3E">
        <w:rPr>
          <w:rFonts w:hint="cs"/>
          <w:spacing w:val="-2"/>
          <w:rtl/>
        </w:rPr>
        <w:t>2-8</w:t>
      </w:r>
      <w:r w:rsidRPr="00D41A3E">
        <w:rPr>
          <w:rFonts w:hint="cs"/>
          <w:spacing w:val="-2"/>
          <w:rtl/>
        </w:rPr>
        <w:tab/>
        <w:t xml:space="preserve">وفي إحدى ليالي آذار/مارس 2003، اتُصل بصاحب الشكوى وطُلب إليه زيارة امرأة. </w:t>
      </w:r>
      <w:r w:rsidR="00D41A3E" w:rsidRPr="00D41A3E">
        <w:rPr>
          <w:rFonts w:hint="cs"/>
          <w:spacing w:val="-2"/>
          <w:rtl/>
        </w:rPr>
        <w:t>و</w:t>
      </w:r>
      <w:r w:rsidRPr="00D41A3E">
        <w:rPr>
          <w:rFonts w:hint="cs"/>
          <w:spacing w:val="-2"/>
          <w:rtl/>
        </w:rPr>
        <w:t xml:space="preserve">حسِِب أن الأمر يتعلق بعمل مصمم الأزياء الذي يمتهنه، لكنه كان فخاً. </w:t>
      </w:r>
      <w:r w:rsidR="00D41A3E" w:rsidRPr="00D41A3E">
        <w:rPr>
          <w:rFonts w:hint="cs"/>
          <w:spacing w:val="-2"/>
          <w:rtl/>
        </w:rPr>
        <w:t>و</w:t>
      </w:r>
      <w:r w:rsidRPr="00D41A3E">
        <w:rPr>
          <w:rFonts w:hint="cs"/>
          <w:spacing w:val="-2"/>
          <w:rtl/>
        </w:rPr>
        <w:t>ضربه غرباء. وعندما جاءت الشرطة في نهاية المطاف، كان ينزف فأخذوه إلى المستشفى، لكن لم</w:t>
      </w:r>
      <w:r w:rsidR="00D41A3E" w:rsidRPr="00D41A3E">
        <w:rPr>
          <w:rFonts w:hint="eastAsia"/>
          <w:spacing w:val="-2"/>
          <w:rtl/>
        </w:rPr>
        <w:t> </w:t>
      </w:r>
      <w:r w:rsidRPr="00D41A3E">
        <w:rPr>
          <w:rFonts w:hint="cs"/>
          <w:spacing w:val="-2"/>
          <w:rtl/>
        </w:rPr>
        <w:t>يتلق أي علاج. ثم أخذوه إلى مركز الشرطة بأكيول حيث وُجهت إليه دون سابق استجواب تهمة</w:t>
      </w:r>
      <w:r w:rsidR="00D41A3E">
        <w:rPr>
          <w:rFonts w:hint="eastAsia"/>
          <w:spacing w:val="-2"/>
          <w:rtl/>
        </w:rPr>
        <w:t> </w:t>
      </w:r>
      <w:r w:rsidRPr="00D41A3E">
        <w:rPr>
          <w:rFonts w:hint="cs"/>
          <w:spacing w:val="-2"/>
          <w:rtl/>
        </w:rPr>
        <w:t xml:space="preserve">التحرش بالمرأة المذكورة </w:t>
      </w:r>
      <w:r w:rsidR="00D41A3E" w:rsidRPr="00D41A3E">
        <w:rPr>
          <w:rFonts w:hint="cs"/>
          <w:spacing w:val="-2"/>
          <w:rtl/>
        </w:rPr>
        <w:t>و"الإرهاب".</w:t>
      </w:r>
      <w:r w:rsidRPr="00D41A3E">
        <w:rPr>
          <w:rFonts w:hint="cs"/>
          <w:spacing w:val="-2"/>
          <w:rtl/>
        </w:rPr>
        <w:t xml:space="preserve"> ورغم إصابته بجروح، ضُرب وقضى تلك الليلة في</w:t>
      </w:r>
      <w:r w:rsidR="00D41A3E">
        <w:rPr>
          <w:rFonts w:hint="eastAsia"/>
          <w:spacing w:val="-2"/>
          <w:rtl/>
        </w:rPr>
        <w:t> </w:t>
      </w:r>
      <w:r w:rsidRPr="00D41A3E">
        <w:rPr>
          <w:rFonts w:hint="cs"/>
          <w:spacing w:val="-2"/>
          <w:rtl/>
        </w:rPr>
        <w:t xml:space="preserve">مركز الشرطة. وعندما تمكن في الصباح التالي أن يثبت للقاضي أن هذه المرأة تحدثت إليه، أُفرج عنه في النهاية، بمساعدة ابن عم يعمل محامياً، وأُسقطت كل التهم الجنائية عنه. </w:t>
      </w:r>
      <w:r w:rsidR="00D41A3E" w:rsidRPr="00D41A3E">
        <w:rPr>
          <w:rFonts w:hint="cs"/>
          <w:spacing w:val="-2"/>
          <w:rtl/>
        </w:rPr>
        <w:t>و</w:t>
      </w:r>
      <w:r w:rsidRPr="00D41A3E">
        <w:rPr>
          <w:rFonts w:hint="cs"/>
          <w:spacing w:val="-2"/>
          <w:rtl/>
        </w:rPr>
        <w:t>بعد ذلك تعهدت أسرة المرأة بالانتقام من صاحب الشكوى، الذي اختفى بعد الإفراج عنه. وفي</w:t>
      </w:r>
      <w:r w:rsidR="00D41A3E">
        <w:rPr>
          <w:rFonts w:hint="eastAsia"/>
          <w:spacing w:val="-2"/>
          <w:rtl/>
        </w:rPr>
        <w:t> </w:t>
      </w:r>
      <w:r w:rsidRPr="00D41A3E">
        <w:rPr>
          <w:rFonts w:hint="cs"/>
          <w:spacing w:val="-2"/>
          <w:rtl/>
        </w:rPr>
        <w:t>حزيران/يونيه 2003، انتقل إلى اسطنبول، حيث ظل إلى تشرين الأول/أكتوبر 2004.</w:t>
      </w:r>
    </w:p>
    <w:p w:rsidR="0052191A" w:rsidRPr="001E45D5" w:rsidRDefault="0052191A" w:rsidP="00B93686">
      <w:pPr>
        <w:pStyle w:val="SingleTxtGA"/>
        <w:rPr>
          <w:rtl/>
        </w:rPr>
      </w:pPr>
      <w:r w:rsidRPr="001E45D5">
        <w:rPr>
          <w:rFonts w:hint="cs"/>
          <w:rtl/>
        </w:rPr>
        <w:t>2-9</w:t>
      </w:r>
      <w:r w:rsidRPr="001E45D5">
        <w:rPr>
          <w:rFonts w:hint="cs"/>
          <w:rtl/>
        </w:rPr>
        <w:tab/>
      </w:r>
      <w:r w:rsidRPr="001E45D5">
        <w:rPr>
          <w:rtl/>
        </w:rPr>
        <w:t xml:space="preserve">وغادر صاحب الشكوى تركيا في تشرين الثاني/نوفمبر 2004. </w:t>
      </w:r>
      <w:r w:rsidR="00D41A3E" w:rsidRPr="001E45D5">
        <w:rPr>
          <w:rFonts w:hint="cs"/>
          <w:rtl/>
        </w:rPr>
        <w:t>و</w:t>
      </w:r>
      <w:r w:rsidRPr="001E45D5">
        <w:rPr>
          <w:rtl/>
        </w:rPr>
        <w:t xml:space="preserve">في البداية قدم طلباً للجوء في ألمانيا، </w:t>
      </w:r>
      <w:r w:rsidRPr="001E45D5">
        <w:rPr>
          <w:rFonts w:hint="cs"/>
          <w:rtl/>
        </w:rPr>
        <w:t>ف</w:t>
      </w:r>
      <w:r w:rsidRPr="001E45D5">
        <w:rPr>
          <w:rtl/>
        </w:rPr>
        <w:t>رُفض طلبه في نيسان/أبريل 2007. ثم قدم طلباً للجوء في سويسرا في 1 تشرين الأول/أكتوبر 2007. وفي 20 كانون الثاني/يناير 2009، رفض المكتب الاتحادي لشؤون الهجرة طلب اللجوء لأنه بموجب قانون اللجوء الاتحادي (المادة 32، الفقرة</w:t>
      </w:r>
      <w:r w:rsidR="001E45D5">
        <w:rPr>
          <w:rFonts w:hint="cs"/>
          <w:rtl/>
        </w:rPr>
        <w:t> </w:t>
      </w:r>
      <w:r w:rsidRPr="001E45D5">
        <w:rPr>
          <w:rtl/>
        </w:rPr>
        <w:t>2(و))، لا</w:t>
      </w:r>
      <w:r w:rsidRPr="001E45D5">
        <w:rPr>
          <w:rFonts w:hint="cs"/>
          <w:rtl/>
        </w:rPr>
        <w:t> </w:t>
      </w:r>
      <w:r w:rsidRPr="001E45D5">
        <w:rPr>
          <w:rtl/>
        </w:rPr>
        <w:t>حاجة إلى النظر في طلب للجوء قدمه شخص</w:t>
      </w:r>
      <w:r w:rsidRPr="001E45D5">
        <w:rPr>
          <w:rFonts w:hint="cs"/>
          <w:rtl/>
        </w:rPr>
        <w:t xml:space="preserve"> سبق أن</w:t>
      </w:r>
      <w:r w:rsidRPr="001E45D5">
        <w:rPr>
          <w:rtl/>
        </w:rPr>
        <w:t xml:space="preserve"> رُفض طلبه في بلد ينتمي إلى الاتحاد الأوروبي، ما لم تظهر أحداث جديدة في الفترة الفاصلة قد تبرر منح</w:t>
      </w:r>
      <w:r w:rsidR="00D41A3E" w:rsidRPr="001E45D5">
        <w:rPr>
          <w:rFonts w:hint="cs"/>
          <w:rtl/>
        </w:rPr>
        <w:t>ه</w:t>
      </w:r>
      <w:r w:rsidRPr="001E45D5">
        <w:rPr>
          <w:rtl/>
        </w:rPr>
        <w:t xml:space="preserve"> وضع اللاجئ أو</w:t>
      </w:r>
      <w:r w:rsidRPr="001E45D5">
        <w:rPr>
          <w:rFonts w:hint="cs"/>
          <w:rtl/>
        </w:rPr>
        <w:t> </w:t>
      </w:r>
      <w:r w:rsidRPr="001E45D5">
        <w:rPr>
          <w:rtl/>
        </w:rPr>
        <w:t>الحماية المؤقتة. ورأى المكتب الاتحادي لشؤون الهجرة أنه في هذه الحالة لا يوجد دليل جديد يبرر إعادة النظر في القضية، لأن صاحب الطلب لم يعد إلى تركيا منذ مغادرتها</w:t>
      </w:r>
      <w:r w:rsidR="001E45D5">
        <w:rPr>
          <w:rFonts w:hint="cs"/>
          <w:rtl/>
        </w:rPr>
        <w:t> </w:t>
      </w:r>
      <w:r w:rsidRPr="001E45D5">
        <w:rPr>
          <w:rtl/>
        </w:rPr>
        <w:t>عام 2004.</w:t>
      </w:r>
    </w:p>
    <w:p w:rsidR="0052191A" w:rsidRDefault="0052191A" w:rsidP="00B93686">
      <w:pPr>
        <w:pStyle w:val="SingleTxtGA"/>
        <w:rPr>
          <w:rFonts w:hint="cs"/>
          <w:rtl/>
        </w:rPr>
      </w:pPr>
      <w:r>
        <w:rPr>
          <w:rtl/>
        </w:rPr>
        <w:t>2-10</w:t>
      </w:r>
      <w:r>
        <w:rPr>
          <w:rtl/>
        </w:rPr>
        <w:tab/>
        <w:t>وقدم صاحب الشكوى طعناً متأخراً لدى المحكمة الإدارية الاتحادية، رُفض في</w:t>
      </w:r>
      <w:r>
        <w:rPr>
          <w:rFonts w:hint="cs"/>
          <w:rtl/>
        </w:rPr>
        <w:t> </w:t>
      </w:r>
      <w:r>
        <w:rPr>
          <w:rtl/>
        </w:rPr>
        <w:t>5</w:t>
      </w:r>
      <w:r>
        <w:rPr>
          <w:rFonts w:hint="cs"/>
          <w:rtl/>
        </w:rPr>
        <w:t> </w:t>
      </w:r>
      <w:r>
        <w:rPr>
          <w:rtl/>
        </w:rPr>
        <w:t xml:space="preserve">آذار/مارس 2009. وقدم صاحب الشكوى طلباً لمراجعة قرار المكتب الاتحادي لشؤون الهجرة في 12 آذار/مارس 2009؛ وشُفع الطلب بعدد من الوثائق الرامية إلى إثبات الخطر الذي يواجهه صاحب الشكوى إن هو عاد إلى تركيا. وكان القصد من هذا الدليل إظهار نوعية الأنشطة السياسية التي شارك فيها أفراد أسرته وتقديم أدلة على ذلك من خلال إظهار أن معظمهم حصل على اللجوء في أوروبا. وتتناول الوثائق أيضاً الأنشطة السياسية لصاحب الشكوى في كل من ألمانيا وفرنسا. ورفض المكتب الاتحادي لشؤون الهجرة طلب المراجعة في 28 نيسان/أبريل 2009 لأسباب منها أن الدليل كان ينبغي تقديمه ضمن الملف الذي </w:t>
      </w:r>
      <w:r w:rsidR="006D578B">
        <w:rPr>
          <w:rFonts w:hint="cs"/>
          <w:rtl/>
        </w:rPr>
        <w:t>أرفق ب</w:t>
      </w:r>
      <w:r>
        <w:rPr>
          <w:rtl/>
        </w:rPr>
        <w:t xml:space="preserve">الطلب الأول المقدم إلى المكتب الاتحادي لشؤون الهجرة، لأن وجوده سابق للطلب، وأن الشهادة المقدمة من أسرة صاحب الشكوى غير كافية؛ وأنه لا يوجد أي دليل قاطع على أن الشرطة التركية تبحث عن صاحب الشكوى، لا سيما وأنه بُرِئ في الإجراءات الجنائية الوحيدة التي فُتحت ضده؛ وأنه عاش لمدة سنة في </w:t>
      </w:r>
      <w:r>
        <w:rPr>
          <w:rFonts w:hint="cs"/>
          <w:rtl/>
        </w:rPr>
        <w:t>اسط</w:t>
      </w:r>
      <w:r>
        <w:rPr>
          <w:rtl/>
        </w:rPr>
        <w:t>نبول، حيث لم تبحث عنه الشرطة. وبالتالي انتهى المكتب الاتحادي لشؤون الهجرة إلى أنه قادر على إيجاد ملاذ آمن له من الاضطهاد الذي يزعم أنه يلحق بأسرته.</w:t>
      </w:r>
    </w:p>
    <w:p w:rsidR="0052191A" w:rsidRDefault="0052191A" w:rsidP="00B93686">
      <w:pPr>
        <w:pStyle w:val="SingleTxtGA"/>
        <w:rPr>
          <w:rFonts w:hint="cs"/>
          <w:rtl/>
        </w:rPr>
      </w:pPr>
      <w:r>
        <w:rPr>
          <w:rtl/>
        </w:rPr>
        <w:t>2-11</w:t>
      </w:r>
      <w:r>
        <w:rPr>
          <w:rtl/>
        </w:rPr>
        <w:tab/>
        <w:t>وفي 25 أيار/مايو 2009، قدم صاحب الشكوى استئناف</w:t>
      </w:r>
      <w:r>
        <w:rPr>
          <w:rFonts w:hint="cs"/>
          <w:rtl/>
        </w:rPr>
        <w:t>اً</w:t>
      </w:r>
      <w:r>
        <w:rPr>
          <w:rtl/>
        </w:rPr>
        <w:t xml:space="preserve"> ضد هذا القرار لدى المحكمة الإدارية الاتحادية. </w:t>
      </w:r>
      <w:r>
        <w:rPr>
          <w:rFonts w:hint="cs"/>
          <w:rtl/>
        </w:rPr>
        <w:t>ف</w:t>
      </w:r>
      <w:r>
        <w:rPr>
          <w:rtl/>
        </w:rPr>
        <w:t xml:space="preserve">رفض قاض واحد الاستئناف في 12 حزيران/يونيه 2009 لأسباب منها أن بإمكان صاحب الشكوى أن يجد مكاناً آمناً داخل تركيا في </w:t>
      </w:r>
      <w:r>
        <w:rPr>
          <w:rFonts w:hint="cs"/>
          <w:rtl/>
        </w:rPr>
        <w:t>اسط</w:t>
      </w:r>
      <w:r>
        <w:rPr>
          <w:rtl/>
        </w:rPr>
        <w:t>نبول وأنه لم يُظهر أن</w:t>
      </w:r>
      <w:r>
        <w:rPr>
          <w:rFonts w:hint="cs"/>
          <w:rtl/>
        </w:rPr>
        <w:t xml:space="preserve"> </w:t>
      </w:r>
      <w:r>
        <w:rPr>
          <w:rtl/>
        </w:rPr>
        <w:t>السلطات التركية</w:t>
      </w:r>
      <w:r>
        <w:rPr>
          <w:rFonts w:hint="cs"/>
          <w:rtl/>
        </w:rPr>
        <w:t xml:space="preserve"> تبحث عنه</w:t>
      </w:r>
      <w:r w:rsidR="006239A6">
        <w:rPr>
          <w:rFonts w:hint="cs"/>
          <w:rtl/>
        </w:rPr>
        <w:t xml:space="preserve"> شخصياً</w:t>
      </w:r>
      <w:r>
        <w:rPr>
          <w:rtl/>
        </w:rPr>
        <w:t>. وانتهت المحكمة الإدارية الاتحادية إلى أن الأحداث التي وصفها مرتبطة بظروف معينة وأنه ينتمي إلى أسرة يشارك عدة أفراد منها في</w:t>
      </w:r>
      <w:r w:rsidR="00B93686">
        <w:rPr>
          <w:rFonts w:hint="cs"/>
          <w:rtl/>
        </w:rPr>
        <w:t> </w:t>
      </w:r>
      <w:r>
        <w:rPr>
          <w:rtl/>
        </w:rPr>
        <w:t>أنشطة سياسية وذلك غير كاف لإثبات تعرضه لخطر حقيقي وشخصي. ولدعم طلبه المقدم لدى اللجنة، قدم صاحب الشك</w:t>
      </w:r>
      <w:r w:rsidR="006239A6">
        <w:rPr>
          <w:rtl/>
        </w:rPr>
        <w:t>وى شهادات أخرى تفيد بأنه عضو نش</w:t>
      </w:r>
      <w:r>
        <w:rPr>
          <w:rtl/>
        </w:rPr>
        <w:t>ط في حزب الشعب الديمقراطي في غازيانتيب وأن السلطات التركية تقمع الناشطين الأكراد.</w:t>
      </w:r>
    </w:p>
    <w:p w:rsidR="0052191A" w:rsidRPr="00CB0DA9" w:rsidRDefault="0052191A" w:rsidP="0052191A">
      <w:pPr>
        <w:pStyle w:val="H23GA"/>
        <w:rPr>
          <w:rtl/>
        </w:rPr>
      </w:pPr>
      <w:r>
        <w:rPr>
          <w:rFonts w:hint="cs"/>
          <w:rtl/>
        </w:rPr>
        <w:tab/>
      </w:r>
      <w:r>
        <w:rPr>
          <w:rtl/>
        </w:rPr>
        <w:tab/>
      </w:r>
      <w:r w:rsidRPr="00CB0DA9">
        <w:rPr>
          <w:rtl/>
        </w:rPr>
        <w:t>الشكوى</w:t>
      </w:r>
    </w:p>
    <w:p w:rsidR="0052191A" w:rsidRPr="001E45D5" w:rsidRDefault="0052191A" w:rsidP="0052191A">
      <w:pPr>
        <w:pStyle w:val="SingleTxtGA"/>
        <w:spacing w:line="370" w:lineRule="exact"/>
        <w:rPr>
          <w:rFonts w:hint="cs"/>
          <w:rtl/>
        </w:rPr>
      </w:pPr>
      <w:r w:rsidRPr="001E45D5">
        <w:rPr>
          <w:rtl/>
        </w:rPr>
        <w:t>3-1</w:t>
      </w:r>
      <w:r w:rsidRPr="001E45D5">
        <w:rPr>
          <w:rtl/>
        </w:rPr>
        <w:tab/>
        <w:t xml:space="preserve">يقول صاحب الشكوى </w:t>
      </w:r>
      <w:r w:rsidRPr="001E45D5">
        <w:rPr>
          <w:rFonts w:hint="cs"/>
          <w:rtl/>
        </w:rPr>
        <w:t>إ</w:t>
      </w:r>
      <w:r w:rsidRPr="001E45D5">
        <w:rPr>
          <w:rtl/>
        </w:rPr>
        <w:t>نه استنف</w:t>
      </w:r>
      <w:r w:rsidRPr="001E45D5">
        <w:rPr>
          <w:rFonts w:hint="cs"/>
          <w:rtl/>
        </w:rPr>
        <w:t>د</w:t>
      </w:r>
      <w:r w:rsidRPr="001E45D5">
        <w:rPr>
          <w:rtl/>
        </w:rPr>
        <w:t xml:space="preserve"> جميع سبل الانتصاف المحلية في سويسرا. ويلاحظ أن المحاكم السويسرية رفضت طلب حصوله على اللجوء لأنه سبق أن بدأ إجراءات في ألمانيا. ويدعي أن الدولة الطرف أخلت بالتالي بالتزاماتها المنصوص عليها في المادة 2 من الاتفاقية. ويلاحظ أن المكتب الاتحادي لشؤون الهجرة انتظر ما يزيد على سنة بعد الجلسة قبل </w:t>
      </w:r>
      <w:r w:rsidRPr="001E45D5">
        <w:rPr>
          <w:rFonts w:hint="cs"/>
          <w:rtl/>
        </w:rPr>
        <w:t>اتخاذ</w:t>
      </w:r>
      <w:r w:rsidRPr="001E45D5">
        <w:rPr>
          <w:rtl/>
        </w:rPr>
        <w:t xml:space="preserve"> قراره وأن من الصعب الوفاء </w:t>
      </w:r>
      <w:r w:rsidRPr="001E45D5">
        <w:rPr>
          <w:rFonts w:hint="cs"/>
          <w:rtl/>
        </w:rPr>
        <w:t>ب</w:t>
      </w:r>
      <w:r w:rsidRPr="001E45D5">
        <w:rPr>
          <w:rtl/>
        </w:rPr>
        <w:t>أجل الأيام الخمسة المحدد</w:t>
      </w:r>
      <w:r w:rsidRPr="001E45D5">
        <w:rPr>
          <w:rFonts w:hint="cs"/>
          <w:rtl/>
        </w:rPr>
        <w:t>ة</w:t>
      </w:r>
      <w:r w:rsidRPr="001E45D5">
        <w:rPr>
          <w:rtl/>
        </w:rPr>
        <w:t xml:space="preserve"> </w:t>
      </w:r>
      <w:r w:rsidRPr="001E45D5">
        <w:rPr>
          <w:rFonts w:hint="cs"/>
          <w:rtl/>
        </w:rPr>
        <w:t>ل</w:t>
      </w:r>
      <w:r w:rsidRPr="001E45D5">
        <w:rPr>
          <w:rtl/>
        </w:rPr>
        <w:t>استئناف قراراته نظراً للطبيعة المعقدة لهذه الحالة، بالتالي حُرم من ضمانات إجرائية كافية تمكنه من الدفاع عن قضيته بشكل صحيح.</w:t>
      </w:r>
    </w:p>
    <w:p w:rsidR="0052191A" w:rsidRDefault="0052191A" w:rsidP="00723441">
      <w:pPr>
        <w:pStyle w:val="SingleTxtGA"/>
        <w:spacing w:line="370" w:lineRule="exact"/>
        <w:rPr>
          <w:rtl/>
        </w:rPr>
      </w:pPr>
      <w:r>
        <w:rPr>
          <w:rtl/>
        </w:rPr>
        <w:t>3-2</w:t>
      </w:r>
      <w:r>
        <w:rPr>
          <w:rtl/>
        </w:rPr>
        <w:tab/>
        <w:t xml:space="preserve">ويصف صاحب الشكوى أنشطته السياسية في تركيا </w:t>
      </w:r>
      <w:r w:rsidR="006239A6">
        <w:rPr>
          <w:rFonts w:hint="cs"/>
          <w:rtl/>
        </w:rPr>
        <w:t xml:space="preserve">والمراقبة </w:t>
      </w:r>
      <w:r>
        <w:rPr>
          <w:rtl/>
        </w:rPr>
        <w:t>ال</w:t>
      </w:r>
      <w:r>
        <w:rPr>
          <w:rFonts w:hint="cs"/>
          <w:rtl/>
        </w:rPr>
        <w:t>دقيقة</w:t>
      </w:r>
      <w:r>
        <w:rPr>
          <w:rtl/>
        </w:rPr>
        <w:t xml:space="preserve"> </w:t>
      </w:r>
      <w:r>
        <w:rPr>
          <w:rFonts w:hint="cs"/>
          <w:rtl/>
        </w:rPr>
        <w:t>التي</w:t>
      </w:r>
      <w:r>
        <w:rPr>
          <w:rtl/>
        </w:rPr>
        <w:t xml:space="preserve"> كان يتعرض له</w:t>
      </w:r>
      <w:r>
        <w:rPr>
          <w:rFonts w:hint="cs"/>
          <w:rtl/>
        </w:rPr>
        <w:t>ا أساساً</w:t>
      </w:r>
      <w:r>
        <w:rPr>
          <w:rtl/>
        </w:rPr>
        <w:t xml:space="preserve"> بسبب </w:t>
      </w:r>
      <w:r w:rsidR="006239A6">
        <w:rPr>
          <w:rFonts w:hint="cs"/>
          <w:rtl/>
        </w:rPr>
        <w:t xml:space="preserve">نشاط </w:t>
      </w:r>
      <w:r>
        <w:rPr>
          <w:rtl/>
        </w:rPr>
        <w:t>أفراد أسرته</w:t>
      </w:r>
      <w:r w:rsidR="006239A6">
        <w:rPr>
          <w:rFonts w:hint="cs"/>
          <w:rtl/>
        </w:rPr>
        <w:t xml:space="preserve"> المعروف</w:t>
      </w:r>
      <w:r>
        <w:rPr>
          <w:rtl/>
        </w:rPr>
        <w:t xml:space="preserve">. ولهذه الأسباب، إذا عاد إلى تركيا </w:t>
      </w:r>
      <w:r w:rsidR="006239A6">
        <w:rPr>
          <w:rtl/>
        </w:rPr>
        <w:t>سيواجه خطر</w:t>
      </w:r>
      <w:r w:rsidR="006239A6">
        <w:rPr>
          <w:rFonts w:hint="cs"/>
          <w:rtl/>
        </w:rPr>
        <w:t xml:space="preserve"> تعذيب</w:t>
      </w:r>
      <w:r>
        <w:rPr>
          <w:rtl/>
        </w:rPr>
        <w:t xml:space="preserve"> شخصياً وحقيقياً وجسيماً. </w:t>
      </w:r>
      <w:r w:rsidR="006239A6">
        <w:rPr>
          <w:rFonts w:hint="cs"/>
          <w:rtl/>
        </w:rPr>
        <w:t>و</w:t>
      </w:r>
      <w:r>
        <w:rPr>
          <w:rtl/>
        </w:rPr>
        <w:t xml:space="preserve">إعادته القسرية إلى الوطن </w:t>
      </w:r>
      <w:r w:rsidR="006239A6">
        <w:rPr>
          <w:rFonts w:hint="cs"/>
          <w:rtl/>
        </w:rPr>
        <w:t>س</w:t>
      </w:r>
      <w:r>
        <w:rPr>
          <w:rtl/>
        </w:rPr>
        <w:t>تشكل انتهاكاً من جانب سويسرا لأحكام المادة 3 من اتفاقية مناهضة التعذيب.</w:t>
      </w:r>
    </w:p>
    <w:p w:rsidR="0052191A" w:rsidRPr="00654C36" w:rsidRDefault="0052191A" w:rsidP="0052191A">
      <w:pPr>
        <w:pStyle w:val="H23GA"/>
        <w:rPr>
          <w:rtl/>
        </w:rPr>
      </w:pPr>
      <w:r>
        <w:rPr>
          <w:rFonts w:hint="cs"/>
          <w:rtl/>
        </w:rPr>
        <w:tab/>
      </w:r>
      <w:r>
        <w:rPr>
          <w:rtl/>
        </w:rPr>
        <w:tab/>
      </w:r>
      <w:r w:rsidRPr="00654C36">
        <w:rPr>
          <w:rtl/>
        </w:rPr>
        <w:t>ملاحظات الدولة الطرف بشأن الأسس الموضوعية</w:t>
      </w:r>
    </w:p>
    <w:p w:rsidR="0052191A" w:rsidRDefault="0052191A" w:rsidP="001E45D5">
      <w:pPr>
        <w:pStyle w:val="SingleTxtGA"/>
        <w:rPr>
          <w:rtl/>
        </w:rPr>
      </w:pPr>
      <w:r>
        <w:rPr>
          <w:rtl/>
        </w:rPr>
        <w:t>4-1</w:t>
      </w:r>
      <w:r>
        <w:rPr>
          <w:rtl/>
        </w:rPr>
        <w:tab/>
        <w:t xml:space="preserve">في 7 كانون الثاني/يناير 2010، تلاحظ الدولة الطرف في تعليقاتها على الأسس الموضوعية أن صاحب الشكوى اقتصر في تعليقاته المقدمة إلى اللجنة على تكرار الحجج ذاتها التي قدمها إلى السلطات الوطنية فلم يقدم معلومات جديدة، غير ثلاث </w:t>
      </w:r>
      <w:r w:rsidR="006239A6">
        <w:rPr>
          <w:rFonts w:hint="cs"/>
          <w:rtl/>
        </w:rPr>
        <w:t xml:space="preserve">شهادات </w:t>
      </w:r>
      <w:r>
        <w:rPr>
          <w:rtl/>
        </w:rPr>
        <w:t xml:space="preserve">أخيرة، </w:t>
      </w:r>
      <w:r w:rsidR="006239A6">
        <w:rPr>
          <w:rFonts w:hint="cs"/>
          <w:rtl/>
        </w:rPr>
        <w:t xml:space="preserve">وهي </w:t>
      </w:r>
      <w:r>
        <w:rPr>
          <w:rtl/>
        </w:rPr>
        <w:t xml:space="preserve">شهادة ميلاده، </w:t>
      </w:r>
      <w:r w:rsidR="006239A6">
        <w:rPr>
          <w:rFonts w:hint="cs"/>
          <w:rtl/>
        </w:rPr>
        <w:t xml:space="preserve">والبطاقة العائلية </w:t>
      </w:r>
      <w:r>
        <w:rPr>
          <w:rtl/>
        </w:rPr>
        <w:t>أو بطاقة الهوية، للطعن في قرارات المكتب الاتحادي لشؤون الهجرة في 20 كانون الثاني/يناير و28 نيسان/أبريل 2009 وفي قرار المحكمة الإدار</w:t>
      </w:r>
      <w:r>
        <w:rPr>
          <w:rFonts w:hint="cs"/>
          <w:rtl/>
        </w:rPr>
        <w:t>ي</w:t>
      </w:r>
      <w:r>
        <w:rPr>
          <w:rtl/>
        </w:rPr>
        <w:t xml:space="preserve">ة الاتحادية الصادر بتاريخ 5 آذار/مارس و28 نيسان/أبريل 2009. ولم يقدم إلى اللجنة دليلاً يُثبت وجود أي قضية جنائية ذات دوافع سياسية </w:t>
      </w:r>
      <w:r w:rsidR="006239A6">
        <w:rPr>
          <w:rFonts w:hint="cs"/>
          <w:rtl/>
        </w:rPr>
        <w:t xml:space="preserve">مرفوعة </w:t>
      </w:r>
      <w:r>
        <w:rPr>
          <w:rtl/>
        </w:rPr>
        <w:t>ضده أو وثائق تثبت ادعاء</w:t>
      </w:r>
      <w:r>
        <w:rPr>
          <w:rFonts w:hint="cs"/>
          <w:rtl/>
        </w:rPr>
        <w:t>ه التعرض ل</w:t>
      </w:r>
      <w:r>
        <w:rPr>
          <w:rtl/>
        </w:rPr>
        <w:t>سوء المعاملة، ولم يُعط أي سبب</w:t>
      </w:r>
      <w:r>
        <w:rPr>
          <w:rFonts w:hint="cs"/>
          <w:rtl/>
        </w:rPr>
        <w:t xml:space="preserve"> </w:t>
      </w:r>
      <w:r w:rsidR="006239A6">
        <w:rPr>
          <w:rFonts w:hint="cs"/>
          <w:rtl/>
        </w:rPr>
        <w:t xml:space="preserve">يفسر </w:t>
      </w:r>
      <w:r>
        <w:rPr>
          <w:rtl/>
        </w:rPr>
        <w:t xml:space="preserve">تمكنه من العيش والعمل في </w:t>
      </w:r>
      <w:r>
        <w:rPr>
          <w:rFonts w:hint="cs"/>
          <w:rtl/>
        </w:rPr>
        <w:t>اسطنبول</w:t>
      </w:r>
      <w:r>
        <w:rPr>
          <w:rtl/>
        </w:rPr>
        <w:t xml:space="preserve"> لمدة سنة دون أية مشاكل مع السلطات.</w:t>
      </w:r>
    </w:p>
    <w:p w:rsidR="0052191A" w:rsidRPr="001E45D5" w:rsidRDefault="0052191A" w:rsidP="001E45D5">
      <w:pPr>
        <w:pStyle w:val="SingleTxtGA"/>
        <w:rPr>
          <w:rtl/>
        </w:rPr>
      </w:pPr>
      <w:r w:rsidRPr="001E45D5">
        <w:rPr>
          <w:rtl/>
        </w:rPr>
        <w:t>4-2</w:t>
      </w:r>
      <w:r w:rsidRPr="001E45D5">
        <w:rPr>
          <w:rtl/>
        </w:rPr>
        <w:tab/>
        <w:t>و</w:t>
      </w:r>
      <w:r w:rsidR="006239A6" w:rsidRPr="001E45D5">
        <w:rPr>
          <w:rFonts w:hint="cs"/>
          <w:rtl/>
        </w:rPr>
        <w:t xml:space="preserve">استناداً إلى نص </w:t>
      </w:r>
      <w:r w:rsidRPr="001E45D5">
        <w:rPr>
          <w:rtl/>
        </w:rPr>
        <w:t xml:space="preserve">المادة 3، تشير الدولة الطرف إلى المعايير التي أنشأتها اللجنة في تعليقها العام رقم 1(1996) بشأن تنفيذ المادة 3 من الاتفاقية في سياق المادة 22، لا سيما الفقرة 6 والفقرات اللاحقة، التي تتعلق بضرورة وجود خطر </w:t>
      </w:r>
      <w:r w:rsidR="006239A6" w:rsidRPr="001E45D5">
        <w:rPr>
          <w:rFonts w:hint="cs"/>
          <w:rtl/>
        </w:rPr>
        <w:t xml:space="preserve">تعذيب </w:t>
      </w:r>
      <w:r w:rsidRPr="001E45D5">
        <w:rPr>
          <w:rtl/>
        </w:rPr>
        <w:t>شخصي قائم وجسيم في حالة الطرد إلى البلد الأصلي. وتلاحظ الدولة الطرف أن اللجنة نظرت في بلاغات في مناسبات عديدة ادعى فيها المشتكون تعرضهم لخطر التعذيب إن هم أُعيدوا إلى تركيا. وقد</w:t>
      </w:r>
      <w:r w:rsidRPr="001E45D5">
        <w:rPr>
          <w:rFonts w:hint="cs"/>
          <w:rtl/>
        </w:rPr>
        <w:t> </w:t>
      </w:r>
      <w:r w:rsidRPr="001E45D5">
        <w:rPr>
          <w:rtl/>
        </w:rPr>
        <w:t>لاحظت اللجنة أن حالة حقوق الإنسان في تركيا مسألة تدعو إلى قلق كبير، لا</w:t>
      </w:r>
      <w:r w:rsidRPr="001E45D5">
        <w:rPr>
          <w:rFonts w:hint="cs"/>
          <w:rtl/>
        </w:rPr>
        <w:t> </w:t>
      </w:r>
      <w:r w:rsidRPr="001E45D5">
        <w:rPr>
          <w:rtl/>
        </w:rPr>
        <w:t>سيما فيما</w:t>
      </w:r>
      <w:r w:rsidRPr="001E45D5">
        <w:rPr>
          <w:rFonts w:hint="cs"/>
          <w:rtl/>
        </w:rPr>
        <w:t> </w:t>
      </w:r>
      <w:r w:rsidRPr="001E45D5">
        <w:rPr>
          <w:rtl/>
        </w:rPr>
        <w:t xml:space="preserve">يتعلق بمصير الناشطين في حزب العمال الكردستاني، الذين كثيراً ما يتعرضون للتعذيب </w:t>
      </w:r>
      <w:r w:rsidR="00C6098B" w:rsidRPr="001E45D5">
        <w:rPr>
          <w:rFonts w:hint="cs"/>
          <w:rtl/>
        </w:rPr>
        <w:t xml:space="preserve">على أيدي المكلفين بإنفاذ </w:t>
      </w:r>
      <w:r w:rsidRPr="001E45D5">
        <w:rPr>
          <w:rtl/>
        </w:rPr>
        <w:t>القانون، وأن هذه الممارسة لا تنحصر في منطقة معينة من البلد</w:t>
      </w:r>
      <w:r w:rsidRPr="001E45D5">
        <w:rPr>
          <w:vertAlign w:val="superscript"/>
          <w:rtl/>
        </w:rPr>
        <w:t>(</w:t>
      </w:r>
      <w:r w:rsidRPr="001E45D5">
        <w:rPr>
          <w:rStyle w:val="FootnoteReference"/>
          <w:rtl/>
        </w:rPr>
        <w:footnoteReference w:id="42"/>
      </w:r>
      <w:r w:rsidRPr="001E45D5">
        <w:rPr>
          <w:vertAlign w:val="superscript"/>
          <w:rtl/>
        </w:rPr>
        <w:t>)</w:t>
      </w:r>
      <w:r w:rsidRPr="001E45D5">
        <w:rPr>
          <w:rtl/>
        </w:rPr>
        <w:t>.</w:t>
      </w:r>
    </w:p>
    <w:p w:rsidR="0052191A" w:rsidRDefault="0052191A" w:rsidP="00723441">
      <w:pPr>
        <w:pStyle w:val="SingleTxtGA"/>
        <w:spacing w:line="370" w:lineRule="exact"/>
        <w:rPr>
          <w:rtl/>
        </w:rPr>
      </w:pPr>
      <w:r>
        <w:rPr>
          <w:rtl/>
        </w:rPr>
        <w:t>4-3</w:t>
      </w:r>
      <w:r>
        <w:rPr>
          <w:rtl/>
        </w:rPr>
        <w:tab/>
        <w:t>وفي تلك الحالات</w:t>
      </w:r>
      <w:r w:rsidR="00C6098B">
        <w:rPr>
          <w:rFonts w:hint="cs"/>
          <w:rtl/>
        </w:rPr>
        <w:t xml:space="preserve"> التي خلصت فيها اللجنة،</w:t>
      </w:r>
      <w:r>
        <w:rPr>
          <w:rtl/>
        </w:rPr>
        <w:t xml:space="preserve"> فيما يخص المادة 3 من الاتفاقية، </w:t>
      </w:r>
      <w:r w:rsidR="00C6098B">
        <w:rPr>
          <w:rFonts w:hint="cs"/>
          <w:rtl/>
        </w:rPr>
        <w:t xml:space="preserve">إلى أن </w:t>
      </w:r>
      <w:r w:rsidR="00C6098B">
        <w:rPr>
          <w:rtl/>
        </w:rPr>
        <w:t>المشتكين يواجهون خطر</w:t>
      </w:r>
      <w:r w:rsidR="00C6098B">
        <w:rPr>
          <w:rFonts w:hint="cs"/>
          <w:rtl/>
        </w:rPr>
        <w:t xml:space="preserve"> تعذيب</w:t>
      </w:r>
      <w:r>
        <w:rPr>
          <w:rtl/>
        </w:rPr>
        <w:t xml:space="preserve"> شخصياً </w:t>
      </w:r>
      <w:r w:rsidR="00C6098B">
        <w:rPr>
          <w:rFonts w:hint="cs"/>
          <w:rtl/>
        </w:rPr>
        <w:t xml:space="preserve">وقائماً </w:t>
      </w:r>
      <w:r>
        <w:rPr>
          <w:rtl/>
        </w:rPr>
        <w:t xml:space="preserve">إن هم أُعيدوا إلى تركيا، </w:t>
      </w:r>
      <w:r w:rsidR="00C6098B">
        <w:rPr>
          <w:rFonts w:hint="cs"/>
          <w:rtl/>
        </w:rPr>
        <w:t xml:space="preserve">كان قد ثبت لها </w:t>
      </w:r>
      <w:r>
        <w:rPr>
          <w:rtl/>
        </w:rPr>
        <w:t xml:space="preserve">أنهم مرتبطون سياسياً بحزب العمال الكردستاني وأنهم احتجزوا وعُذبوا قبل مغادرتهم تركيا أو </w:t>
      </w:r>
      <w:r w:rsidR="00723441">
        <w:rPr>
          <w:rFonts w:hint="cs"/>
          <w:rtl/>
        </w:rPr>
        <w:t>كانت ادعاءات</w:t>
      </w:r>
      <w:r w:rsidR="00C6098B">
        <w:rPr>
          <w:rFonts w:hint="cs"/>
          <w:rtl/>
        </w:rPr>
        <w:t xml:space="preserve"> تعرضهم للتعذيب قد أيدتها مصادر مستقلة بوسائل </w:t>
      </w:r>
      <w:r>
        <w:rPr>
          <w:rtl/>
        </w:rPr>
        <w:t xml:space="preserve">منها على سبيل المثال </w:t>
      </w:r>
      <w:r w:rsidR="00C6098B">
        <w:rPr>
          <w:rFonts w:hint="cs"/>
          <w:rtl/>
        </w:rPr>
        <w:t>الشهادات ال</w:t>
      </w:r>
      <w:r>
        <w:rPr>
          <w:rtl/>
        </w:rPr>
        <w:t>طبية</w:t>
      </w:r>
      <w:r>
        <w:rPr>
          <w:vertAlign w:val="superscript"/>
          <w:rtl/>
        </w:rPr>
        <w:t>(</w:t>
      </w:r>
      <w:r>
        <w:rPr>
          <w:rStyle w:val="FootnoteReference"/>
          <w:rtl/>
        </w:rPr>
        <w:footnoteReference w:id="43"/>
      </w:r>
      <w:r w:rsidRPr="00074C38">
        <w:rPr>
          <w:vertAlign w:val="superscript"/>
          <w:rtl/>
        </w:rPr>
        <w:t>)</w:t>
      </w:r>
      <w:r>
        <w:rPr>
          <w:rFonts w:hint="cs"/>
          <w:rtl/>
        </w:rPr>
        <w:t xml:space="preserve">. </w:t>
      </w:r>
      <w:r>
        <w:rPr>
          <w:rtl/>
        </w:rPr>
        <w:t xml:space="preserve">بيد أنه في بلاغين متعلقين بسويسرا، قررت اللجنة أن عودة أصحاب الشكوى إلى تركيا </w:t>
      </w:r>
      <w:r w:rsidR="00C6098B">
        <w:rPr>
          <w:rFonts w:hint="cs"/>
          <w:rtl/>
        </w:rPr>
        <w:t xml:space="preserve">لن </w:t>
      </w:r>
      <w:r>
        <w:rPr>
          <w:rtl/>
        </w:rPr>
        <w:t xml:space="preserve">تعرضهم لأي خطر </w:t>
      </w:r>
      <w:r w:rsidR="00C6098B">
        <w:rPr>
          <w:rFonts w:hint="cs"/>
          <w:rtl/>
        </w:rPr>
        <w:t xml:space="preserve">تعذيب </w:t>
      </w:r>
      <w:r>
        <w:rPr>
          <w:rtl/>
        </w:rPr>
        <w:t xml:space="preserve">حقيقي </w:t>
      </w:r>
      <w:r w:rsidR="00723441">
        <w:rPr>
          <w:rFonts w:hint="cs"/>
          <w:rtl/>
        </w:rPr>
        <w:t>ل</w:t>
      </w:r>
      <w:r w:rsidR="00C6098B">
        <w:rPr>
          <w:rFonts w:hint="cs"/>
          <w:rtl/>
        </w:rPr>
        <w:t xml:space="preserve">عدم ثبوت تعاونهم </w:t>
      </w:r>
      <w:r w:rsidR="00C6098B">
        <w:rPr>
          <w:rtl/>
        </w:rPr>
        <w:t>مع حزب العمال الكردستاني</w:t>
      </w:r>
      <w:r>
        <w:rPr>
          <w:vertAlign w:val="superscript"/>
          <w:rtl/>
        </w:rPr>
        <w:t>(</w:t>
      </w:r>
      <w:r w:rsidRPr="00DF6FEE">
        <w:rPr>
          <w:rStyle w:val="FootnoteReference"/>
          <w:rtl/>
        </w:rPr>
        <w:footnoteReference w:id="44"/>
      </w:r>
      <w:r w:rsidRPr="00DF6FEE">
        <w:rPr>
          <w:vertAlign w:val="superscript"/>
          <w:rtl/>
        </w:rPr>
        <w:t>)</w:t>
      </w:r>
      <w:r>
        <w:rPr>
          <w:rtl/>
        </w:rPr>
        <w:t>.</w:t>
      </w:r>
    </w:p>
    <w:p w:rsidR="0052191A" w:rsidRDefault="0052191A" w:rsidP="00C6098B">
      <w:pPr>
        <w:pStyle w:val="SingleTxtGA"/>
        <w:spacing w:line="360" w:lineRule="exact"/>
        <w:rPr>
          <w:rFonts w:hint="cs"/>
          <w:rtl/>
        </w:rPr>
      </w:pPr>
      <w:r>
        <w:rPr>
          <w:rtl/>
        </w:rPr>
        <w:t>4-4</w:t>
      </w:r>
      <w:r>
        <w:rPr>
          <w:rtl/>
        </w:rPr>
        <w:tab/>
        <w:t xml:space="preserve">وفي هذه الحالة، ذكر صاحب الشكوى للسلطات المحلية </w:t>
      </w:r>
      <w:r w:rsidR="00C6098B">
        <w:rPr>
          <w:rFonts w:hint="cs"/>
          <w:rtl/>
        </w:rPr>
        <w:t xml:space="preserve">في عدة مناسبات </w:t>
      </w:r>
      <w:r>
        <w:rPr>
          <w:rtl/>
        </w:rPr>
        <w:t>أن</w:t>
      </w:r>
      <w:r>
        <w:rPr>
          <w:rFonts w:hint="cs"/>
          <w:rtl/>
        </w:rPr>
        <w:t>ه من أنصار ا</w:t>
      </w:r>
      <w:r>
        <w:rPr>
          <w:rtl/>
        </w:rPr>
        <w:t xml:space="preserve">لحزب الديمقراطي الشعبي وحزب الشعب الديمقراطي. لكنه ذكر للجنة أنه عضو في كلا الحزبين، مما </w:t>
      </w:r>
      <w:r w:rsidR="00C6098B">
        <w:rPr>
          <w:rFonts w:hint="cs"/>
          <w:rtl/>
        </w:rPr>
        <w:t xml:space="preserve">يعني </w:t>
      </w:r>
      <w:r>
        <w:rPr>
          <w:rtl/>
        </w:rPr>
        <w:t>أن اسمه معروف لدى الشرطة وأنه سيتعرض لخطر التعرف عليه إن هو عاد. بيد أنه</w:t>
      </w:r>
      <w:r w:rsidRPr="0084518C">
        <w:rPr>
          <w:rtl/>
        </w:rPr>
        <w:t xml:space="preserve"> </w:t>
      </w:r>
      <w:r>
        <w:rPr>
          <w:rtl/>
        </w:rPr>
        <w:t xml:space="preserve">ليس هناك في هذه الحالة ما يشير إلى أن صاحب الشكوى </w:t>
      </w:r>
      <w:r w:rsidR="00C6098B">
        <w:rPr>
          <w:rFonts w:hint="cs"/>
          <w:rtl/>
        </w:rPr>
        <w:t xml:space="preserve">مطلوب القبض عليه </w:t>
      </w:r>
      <w:r>
        <w:rPr>
          <w:rtl/>
        </w:rPr>
        <w:t xml:space="preserve">في تركيا. </w:t>
      </w:r>
      <w:r w:rsidR="00C6098B">
        <w:rPr>
          <w:rFonts w:hint="cs"/>
          <w:rtl/>
        </w:rPr>
        <w:t>و</w:t>
      </w:r>
      <w:r>
        <w:rPr>
          <w:rtl/>
        </w:rPr>
        <w:t>على العكس من ذلك</w:t>
      </w:r>
      <w:r w:rsidR="00C6098B">
        <w:rPr>
          <w:rFonts w:hint="cs"/>
          <w:rtl/>
        </w:rPr>
        <w:t>،</w:t>
      </w:r>
      <w:r>
        <w:rPr>
          <w:rtl/>
        </w:rPr>
        <w:t xml:space="preserve"> ذكر للسلطات السويسرية أن السلطات التركية</w:t>
      </w:r>
      <w:r>
        <w:rPr>
          <w:rFonts w:hint="cs"/>
          <w:rtl/>
        </w:rPr>
        <w:t xml:space="preserve"> لا</w:t>
      </w:r>
      <w:r>
        <w:rPr>
          <w:rFonts w:hint="eastAsia"/>
          <w:rtl/>
        </w:rPr>
        <w:t> </w:t>
      </w:r>
      <w:r>
        <w:rPr>
          <w:rFonts w:hint="cs"/>
          <w:rtl/>
        </w:rPr>
        <w:t>تبحث عنه</w:t>
      </w:r>
      <w:r>
        <w:rPr>
          <w:rtl/>
        </w:rPr>
        <w:t>. وبالإضافة إلى ذلك، ما كان</w:t>
      </w:r>
      <w:r>
        <w:rPr>
          <w:rFonts w:hint="cs"/>
          <w:rtl/>
        </w:rPr>
        <w:t>ت</w:t>
      </w:r>
      <w:r>
        <w:rPr>
          <w:rtl/>
        </w:rPr>
        <w:t xml:space="preserve"> </w:t>
      </w:r>
      <w:r>
        <w:rPr>
          <w:rFonts w:hint="cs"/>
          <w:rtl/>
        </w:rPr>
        <w:t>ا</w:t>
      </w:r>
      <w:r>
        <w:rPr>
          <w:rtl/>
        </w:rPr>
        <w:t xml:space="preserve">لسلطات التركية </w:t>
      </w:r>
      <w:r>
        <w:rPr>
          <w:rFonts w:hint="cs"/>
          <w:rtl/>
        </w:rPr>
        <w:t>ل</w:t>
      </w:r>
      <w:r>
        <w:rPr>
          <w:rtl/>
        </w:rPr>
        <w:t xml:space="preserve">تفرج عن صاحب الشكوى في آذار/مارس 2003 بعد احتجازه لو أنه كان فعلاً على قائمة </w:t>
      </w:r>
      <w:r w:rsidR="00C6098B">
        <w:rPr>
          <w:rFonts w:hint="cs"/>
          <w:rtl/>
        </w:rPr>
        <w:t xml:space="preserve">المطلوب القبض عليهم. ومن المثير للدهشة </w:t>
      </w:r>
      <w:r>
        <w:rPr>
          <w:rtl/>
        </w:rPr>
        <w:t>أن عدة أفراد من أسرته حصلوا فعلاً على اللجوء في ألمانيا في تلك الفترة.</w:t>
      </w:r>
    </w:p>
    <w:p w:rsidR="0052191A" w:rsidRPr="00531345" w:rsidRDefault="0052191A" w:rsidP="00C6098B">
      <w:pPr>
        <w:pStyle w:val="SingleTxtGA"/>
        <w:spacing w:line="360" w:lineRule="exact"/>
        <w:rPr>
          <w:rFonts w:hint="cs"/>
          <w:spacing w:val="-2"/>
          <w:rtl/>
        </w:rPr>
      </w:pPr>
      <w:r w:rsidRPr="00531345">
        <w:rPr>
          <w:spacing w:val="-2"/>
          <w:rtl/>
        </w:rPr>
        <w:t>4-5</w:t>
      </w:r>
      <w:r w:rsidRPr="00531345">
        <w:rPr>
          <w:spacing w:val="-2"/>
          <w:rtl/>
        </w:rPr>
        <w:tab/>
        <w:t xml:space="preserve">ثم إن التعذيب أو إساءة المعاملة التي يدعي صاحب الشكوى </w:t>
      </w:r>
      <w:r w:rsidR="00C6098B">
        <w:rPr>
          <w:rFonts w:hint="cs"/>
          <w:spacing w:val="-2"/>
          <w:rtl/>
        </w:rPr>
        <w:t xml:space="preserve">أنه تعرض لها في </w:t>
      </w:r>
      <w:r w:rsidRPr="00531345">
        <w:rPr>
          <w:spacing w:val="-2"/>
          <w:rtl/>
        </w:rPr>
        <w:t xml:space="preserve">الماضي عامل ينبغي مراعاته في تقييم خطر </w:t>
      </w:r>
      <w:r w:rsidR="00C6098B">
        <w:rPr>
          <w:rFonts w:hint="cs"/>
          <w:spacing w:val="-2"/>
          <w:rtl/>
        </w:rPr>
        <w:t xml:space="preserve">تعرض </w:t>
      </w:r>
      <w:r w:rsidRPr="00531345">
        <w:rPr>
          <w:spacing w:val="-2"/>
          <w:rtl/>
        </w:rPr>
        <w:t xml:space="preserve">صاحب الشكوى للتعذيب أو إساءة المعاملة إن هو أُعيد إلى بلده. ويُشير صاحب الشكوى </w:t>
      </w:r>
      <w:r w:rsidR="00C6098B">
        <w:rPr>
          <w:rFonts w:hint="cs"/>
          <w:spacing w:val="-2"/>
          <w:rtl/>
        </w:rPr>
        <w:t xml:space="preserve">إلى </w:t>
      </w:r>
      <w:r w:rsidRPr="00531345">
        <w:rPr>
          <w:spacing w:val="-2"/>
          <w:rtl/>
        </w:rPr>
        <w:t xml:space="preserve">أنه تعرض لإساءة المعاملة مراراً وتكراراً من السلطات التركية. بيد أنه لم يُقدم أي دليل يدعم ادعاءاته، </w:t>
      </w:r>
      <w:r w:rsidR="00C6098B">
        <w:rPr>
          <w:rFonts w:hint="cs"/>
          <w:spacing w:val="-2"/>
          <w:rtl/>
        </w:rPr>
        <w:t xml:space="preserve">سواء للسلطات </w:t>
      </w:r>
      <w:r>
        <w:rPr>
          <w:spacing w:val="-2"/>
          <w:rtl/>
        </w:rPr>
        <w:t>المحلية أو للجنة.</w:t>
      </w:r>
    </w:p>
    <w:p w:rsidR="0052191A" w:rsidRDefault="0052191A" w:rsidP="00B37E0D">
      <w:pPr>
        <w:pStyle w:val="SingleTxtGA"/>
        <w:rPr>
          <w:rtl/>
        </w:rPr>
      </w:pPr>
      <w:r>
        <w:rPr>
          <w:rtl/>
        </w:rPr>
        <w:t>4-6</w:t>
      </w:r>
      <w:r>
        <w:rPr>
          <w:rtl/>
        </w:rPr>
        <w:tab/>
        <w:t xml:space="preserve">وفيما يتعلق بالأنشطة السياسية لصاحب الشكوى، يدعي في بلاغه أنه عضو ناشط في الحزب الديمقراطي الشعبي و/أو حزب الشعب الديمقراطي في تركيا. وفي أثناء الجلسات التي عقدها المكتب الاتحادي لشؤون الهجرة، لم يذكر مع ذلك أي مشاركة له في الحزب الديمقراطي الشعبي. أما فيما يتعلق بحزب الشعب الديمقراطي، فقد ذكر صاحب البلاغ مرتين أنه مجرد </w:t>
      </w:r>
      <w:r>
        <w:rPr>
          <w:rFonts w:hint="cs"/>
          <w:rtl/>
        </w:rPr>
        <w:t>مناصر</w:t>
      </w:r>
      <w:r>
        <w:rPr>
          <w:rtl/>
        </w:rPr>
        <w:t xml:space="preserve"> للحزب وليس عضواً. وتظهر البيانات التي أدلى بها في هذه الجلسات أيضاً أنه لم يكن له أي منصب محدد أو وظيفة داخل الحزب الديمقراطي الشعبي أو حزب الشعب الديمقراطي. ومن المعروف أيضاً أن الأشخاص البارزين بمشاركتهم في حزب سياسي كردي دائماً ما يمثلون أمام المحاكم. ومع ذلك لم يذكر صاحب الشكوى قضية جنائية "سياسية" وحيدة. فالإجراءات الجنائية الوحيدة التي بدأت ضده مرتبطة بقضايا أخلاقية؛ </w:t>
      </w:r>
      <w:r w:rsidR="00B37E0D">
        <w:rPr>
          <w:rFonts w:hint="cs"/>
          <w:rtl/>
        </w:rPr>
        <w:t xml:space="preserve">ما أكد </w:t>
      </w:r>
      <w:r>
        <w:rPr>
          <w:rtl/>
        </w:rPr>
        <w:t xml:space="preserve">طبيعتها غير </w:t>
      </w:r>
      <w:r w:rsidR="00B37E0D">
        <w:rPr>
          <w:rFonts w:hint="cs"/>
          <w:rtl/>
        </w:rPr>
        <w:t>ال</w:t>
      </w:r>
      <w:r>
        <w:rPr>
          <w:rtl/>
        </w:rPr>
        <w:t>سياسية أن</w:t>
      </w:r>
      <w:r>
        <w:rPr>
          <w:rFonts w:hint="cs"/>
          <w:rtl/>
        </w:rPr>
        <w:t xml:space="preserve">ها عُرضت على </w:t>
      </w:r>
      <w:r>
        <w:rPr>
          <w:rtl/>
        </w:rPr>
        <w:t xml:space="preserve">المحكمة الجنائية لغازيانتيب، التي ليس لديها أي سلطة للبت في القضايا السياسية. </w:t>
      </w:r>
      <w:r>
        <w:rPr>
          <w:rFonts w:hint="cs"/>
          <w:rtl/>
        </w:rPr>
        <w:t>وفوق هذا كله</w:t>
      </w:r>
      <w:r>
        <w:rPr>
          <w:rtl/>
        </w:rPr>
        <w:t>، برأت المحكمة صاحب الشكوى في هذه القضية.</w:t>
      </w:r>
    </w:p>
    <w:p w:rsidR="0052191A" w:rsidRDefault="0052191A" w:rsidP="00B37E0D">
      <w:pPr>
        <w:pStyle w:val="SingleTxtGA"/>
        <w:rPr>
          <w:rFonts w:hint="cs"/>
          <w:rtl/>
        </w:rPr>
      </w:pPr>
      <w:r>
        <w:rPr>
          <w:rtl/>
        </w:rPr>
        <w:t>4-7</w:t>
      </w:r>
      <w:r>
        <w:rPr>
          <w:rtl/>
        </w:rPr>
        <w:tab/>
        <w:t>وبالإضافة إلى ذلك، ليس هناك في الملف ما يشير إلى أن السلطات الوطنية (أو حتى الإقليمية) في تركيا</w:t>
      </w:r>
      <w:r>
        <w:rPr>
          <w:rFonts w:hint="cs"/>
          <w:rtl/>
        </w:rPr>
        <w:t xml:space="preserve"> تبحث عن </w:t>
      </w:r>
      <w:r>
        <w:rPr>
          <w:rtl/>
        </w:rPr>
        <w:t xml:space="preserve">صاحب الشكوى. </w:t>
      </w:r>
      <w:r w:rsidR="00B37E0D">
        <w:rPr>
          <w:rFonts w:hint="cs"/>
          <w:rtl/>
        </w:rPr>
        <w:t>ف</w:t>
      </w:r>
      <w:r>
        <w:rPr>
          <w:rtl/>
        </w:rPr>
        <w:t xml:space="preserve">أولاً، اعترف بشكل واضح </w:t>
      </w:r>
      <w:r w:rsidR="00B37E0D">
        <w:rPr>
          <w:rFonts w:hint="cs"/>
          <w:rtl/>
        </w:rPr>
        <w:t>ب</w:t>
      </w:r>
      <w:r>
        <w:rPr>
          <w:rtl/>
        </w:rPr>
        <w:t xml:space="preserve">أنه غير </w:t>
      </w:r>
      <w:r w:rsidR="00B37E0D">
        <w:rPr>
          <w:rFonts w:hint="cs"/>
          <w:rtl/>
        </w:rPr>
        <w:t xml:space="preserve">مطلوب القبض عليه </w:t>
      </w:r>
      <w:r>
        <w:rPr>
          <w:rtl/>
        </w:rPr>
        <w:t xml:space="preserve">في الجلسة التي عقدت في 6 كانون الأول/ديسمبر 2007. </w:t>
      </w:r>
      <w:r w:rsidR="00B37E0D">
        <w:rPr>
          <w:rFonts w:hint="cs"/>
          <w:rtl/>
        </w:rPr>
        <w:t>و</w:t>
      </w:r>
      <w:r>
        <w:rPr>
          <w:rtl/>
        </w:rPr>
        <w:t>ثانياً</w:t>
      </w:r>
      <w:r w:rsidR="00B37E0D">
        <w:rPr>
          <w:rFonts w:hint="cs"/>
          <w:rtl/>
        </w:rPr>
        <w:t>،</w:t>
      </w:r>
      <w:r>
        <w:rPr>
          <w:rtl/>
        </w:rPr>
        <w:t xml:space="preserve"> كما سبق أن ذكرت الدولة الطرف، ليس من المعقول </w:t>
      </w:r>
      <w:r w:rsidR="00B37E0D">
        <w:rPr>
          <w:rFonts w:hint="cs"/>
          <w:rtl/>
        </w:rPr>
        <w:t xml:space="preserve">أن تقوم الشرطة، </w:t>
      </w:r>
      <w:r>
        <w:rPr>
          <w:rtl/>
        </w:rPr>
        <w:t xml:space="preserve">التي احتجزته في </w:t>
      </w:r>
      <w:r w:rsidR="00B37E0D">
        <w:rPr>
          <w:rFonts w:hint="cs"/>
          <w:rtl/>
        </w:rPr>
        <w:t xml:space="preserve">سياق الإجراءات </w:t>
      </w:r>
      <w:r>
        <w:rPr>
          <w:rtl/>
        </w:rPr>
        <w:t xml:space="preserve">الجنائية المذكورة أعلاه، </w:t>
      </w:r>
      <w:r w:rsidR="00B37E0D">
        <w:rPr>
          <w:rFonts w:hint="cs"/>
          <w:rtl/>
        </w:rPr>
        <w:t xml:space="preserve">بالإفراج </w:t>
      </w:r>
      <w:r>
        <w:rPr>
          <w:rtl/>
        </w:rPr>
        <w:t>عنه إن كان</w:t>
      </w:r>
      <w:r w:rsidR="00B37E0D">
        <w:rPr>
          <w:rFonts w:hint="cs"/>
          <w:rtl/>
        </w:rPr>
        <w:t xml:space="preserve"> مطلوب القبض عليه</w:t>
      </w:r>
      <w:r>
        <w:rPr>
          <w:rtl/>
        </w:rPr>
        <w:t>.</w:t>
      </w:r>
    </w:p>
    <w:p w:rsidR="0052191A" w:rsidRDefault="0052191A" w:rsidP="00D74060">
      <w:pPr>
        <w:pStyle w:val="SingleTxtGA"/>
        <w:rPr>
          <w:rtl/>
        </w:rPr>
      </w:pPr>
      <w:r>
        <w:rPr>
          <w:rtl/>
        </w:rPr>
        <w:t>4-8</w:t>
      </w:r>
      <w:r>
        <w:rPr>
          <w:rtl/>
        </w:rPr>
        <w:tab/>
        <w:t xml:space="preserve">ويذكر صاحب الشكوى بوجه خاص أنشطته السياسية في سويسرا وألمانيا. وبما أنه ليس معروفاً لدى السلطات التركية، أو </w:t>
      </w:r>
      <w:r w:rsidR="00B37E0D">
        <w:rPr>
          <w:rFonts w:hint="cs"/>
          <w:rtl/>
        </w:rPr>
        <w:t xml:space="preserve">مطلوب القبض عليه بخصوص أنشطته السياسية </w:t>
      </w:r>
      <w:r>
        <w:rPr>
          <w:rtl/>
        </w:rPr>
        <w:t xml:space="preserve">في تركيا، فإن </w:t>
      </w:r>
      <w:r w:rsidR="00B37E0D">
        <w:rPr>
          <w:rFonts w:hint="cs"/>
          <w:rtl/>
        </w:rPr>
        <w:t xml:space="preserve">من المستبعد أن تسترعي مشاركته و/أو دوره </w:t>
      </w:r>
      <w:r>
        <w:rPr>
          <w:rtl/>
        </w:rPr>
        <w:t>في تنظيم المظاهرات في سويسرا انتباه السلطات التركية. وعلاوة على ذلك، فإن هذه الأنشطة المزعومة لم تذكر إلا في مرحلة متأخرة من الإجراءات المذكورة أعلاه</w:t>
      </w:r>
      <w:r w:rsidR="00D74060">
        <w:rPr>
          <w:rFonts w:hint="cs"/>
          <w:rtl/>
        </w:rPr>
        <w:t xml:space="preserve"> بشكل غير محدد</w:t>
      </w:r>
      <w:r w:rsidR="00723441">
        <w:rPr>
          <w:rFonts w:hint="cs"/>
          <w:rtl/>
        </w:rPr>
        <w:t xml:space="preserve"> فقط</w:t>
      </w:r>
      <w:r>
        <w:rPr>
          <w:rtl/>
        </w:rPr>
        <w:t>.</w:t>
      </w:r>
    </w:p>
    <w:p w:rsidR="0052191A" w:rsidRDefault="0052191A" w:rsidP="00D74060">
      <w:pPr>
        <w:pStyle w:val="SingleTxtGA"/>
        <w:rPr>
          <w:rFonts w:hint="cs"/>
          <w:rtl/>
        </w:rPr>
      </w:pPr>
      <w:r w:rsidRPr="001E45D5">
        <w:rPr>
          <w:spacing w:val="-4"/>
          <w:rtl/>
        </w:rPr>
        <w:t>4-9</w:t>
      </w:r>
      <w:r w:rsidRPr="001E45D5">
        <w:rPr>
          <w:spacing w:val="-4"/>
          <w:rtl/>
        </w:rPr>
        <w:tab/>
        <w:t>وتشير الدولة الطرف إلى بعض التناقضات في ادعاءات صاحب الشكوى وفيما يتعلق</w:t>
      </w:r>
      <w:r>
        <w:rPr>
          <w:rtl/>
        </w:rPr>
        <w:t xml:space="preserve"> بمصداقيته. </w:t>
      </w:r>
      <w:r>
        <w:rPr>
          <w:rFonts w:hint="cs"/>
          <w:rtl/>
        </w:rPr>
        <w:t>وكما</w:t>
      </w:r>
      <w:r>
        <w:rPr>
          <w:rtl/>
        </w:rPr>
        <w:t xml:space="preserve"> يتضح من القرار الصادر عن المكتب الاتحادي لشؤون الهجرة في 20 كانون الثاني/يناير 2009، اعترف صاحب الشكوى </w:t>
      </w:r>
      <w:r w:rsidR="00723441">
        <w:rPr>
          <w:rFonts w:hint="cs"/>
          <w:rtl/>
        </w:rPr>
        <w:t>ب</w:t>
      </w:r>
      <w:r>
        <w:rPr>
          <w:rtl/>
        </w:rPr>
        <w:t xml:space="preserve">أنه كذب بشأن فراره من البلد. وفي البداية، ادعى أنه عاش في </w:t>
      </w:r>
      <w:r>
        <w:rPr>
          <w:rFonts w:hint="cs"/>
          <w:rtl/>
        </w:rPr>
        <w:t>اسطنبول</w:t>
      </w:r>
      <w:r>
        <w:rPr>
          <w:rtl/>
        </w:rPr>
        <w:t xml:space="preserve"> حتى 27 أيلول/سبتمبر 2007، أي قبل وصوله إلى سويسرا</w:t>
      </w:r>
      <w:r w:rsidR="00D74060">
        <w:rPr>
          <w:rFonts w:hint="cs"/>
          <w:rtl/>
        </w:rPr>
        <w:t xml:space="preserve"> ببضعة أيام</w:t>
      </w:r>
      <w:r>
        <w:rPr>
          <w:rtl/>
        </w:rPr>
        <w:t>. ولما و</w:t>
      </w:r>
      <w:r>
        <w:rPr>
          <w:rFonts w:hint="cs"/>
          <w:rtl/>
        </w:rPr>
        <w:t>و</w:t>
      </w:r>
      <w:r>
        <w:rPr>
          <w:rtl/>
        </w:rPr>
        <w:t xml:space="preserve">جه بنتائج التحريات التي أجراها المكتب الاتحادي لشؤون الهجرة في البلدان المجاورة، اضطر إلى الاعتراف </w:t>
      </w:r>
      <w:r w:rsidR="00D74060">
        <w:rPr>
          <w:rFonts w:hint="cs"/>
          <w:rtl/>
        </w:rPr>
        <w:t>ب</w:t>
      </w:r>
      <w:r>
        <w:rPr>
          <w:rtl/>
        </w:rPr>
        <w:t xml:space="preserve">أنه أخفى </w:t>
      </w:r>
      <w:r w:rsidR="00D74060">
        <w:rPr>
          <w:rFonts w:hint="cs"/>
          <w:rtl/>
        </w:rPr>
        <w:t xml:space="preserve">إقامته </w:t>
      </w:r>
      <w:r>
        <w:rPr>
          <w:rtl/>
        </w:rPr>
        <w:t xml:space="preserve">في ألمانيا </w:t>
      </w:r>
      <w:r w:rsidR="00D74060">
        <w:rPr>
          <w:rFonts w:hint="cs"/>
          <w:rtl/>
        </w:rPr>
        <w:t xml:space="preserve">في الفترة </w:t>
      </w:r>
      <w:r>
        <w:rPr>
          <w:rtl/>
        </w:rPr>
        <w:t>ما بين</w:t>
      </w:r>
      <w:r w:rsidR="00D74060">
        <w:rPr>
          <w:rFonts w:hint="cs"/>
          <w:rtl/>
        </w:rPr>
        <w:t xml:space="preserve"> عامي</w:t>
      </w:r>
      <w:r w:rsidR="00D74060">
        <w:rPr>
          <w:rFonts w:hint="eastAsia"/>
          <w:rtl/>
        </w:rPr>
        <w:t> </w:t>
      </w:r>
      <w:r>
        <w:rPr>
          <w:rtl/>
        </w:rPr>
        <w:t xml:space="preserve">2004 و2007. </w:t>
      </w:r>
      <w:r>
        <w:rPr>
          <w:rFonts w:hint="cs"/>
          <w:rtl/>
        </w:rPr>
        <w:t xml:space="preserve">فأضر </w:t>
      </w:r>
      <w:r>
        <w:rPr>
          <w:rtl/>
        </w:rPr>
        <w:t xml:space="preserve">ذلك </w:t>
      </w:r>
      <w:r>
        <w:rPr>
          <w:rFonts w:hint="cs"/>
          <w:rtl/>
        </w:rPr>
        <w:t>ب</w:t>
      </w:r>
      <w:r>
        <w:rPr>
          <w:rtl/>
        </w:rPr>
        <w:t>مصداقيته.</w:t>
      </w:r>
    </w:p>
    <w:p w:rsidR="0052191A" w:rsidRDefault="0052191A" w:rsidP="00723441">
      <w:pPr>
        <w:pStyle w:val="SingleTxtGA"/>
        <w:rPr>
          <w:rFonts w:hint="cs"/>
          <w:rtl/>
        </w:rPr>
      </w:pPr>
      <w:r>
        <w:rPr>
          <w:rtl/>
        </w:rPr>
        <w:t>4-10</w:t>
      </w:r>
      <w:r>
        <w:rPr>
          <w:rtl/>
        </w:rPr>
        <w:tab/>
        <w:t xml:space="preserve">وتلاحظ الدولة الطرف أن السلطات الألمانية </w:t>
      </w:r>
      <w:r>
        <w:rPr>
          <w:rFonts w:hint="cs"/>
          <w:rtl/>
        </w:rPr>
        <w:t xml:space="preserve">رفضت </w:t>
      </w:r>
      <w:r>
        <w:rPr>
          <w:rtl/>
        </w:rPr>
        <w:t>طلب صاحب الشكوى للجوء في 16 نيسان/أبريل 2007. ورغم أن بعض أفراد من أسرته حصلوا على اللجوء في ألمانيا لم</w:t>
      </w:r>
      <w:r>
        <w:rPr>
          <w:rFonts w:hint="cs"/>
          <w:rtl/>
        </w:rPr>
        <w:t> </w:t>
      </w:r>
      <w:r>
        <w:rPr>
          <w:rtl/>
        </w:rPr>
        <w:t xml:space="preserve">يستأنف صاحب الشكوى ذلك القرار، مفضلاً على ما يبدو الانتقال إلى سويسرا لتجديد طلب اللجوء في 1 تشرين الأول/أكتوبر 2007. وفي القرار الثاني الصادر عن المكتب الاتحادي لشؤون الهجرة في 28 نيسان/أبريل 2009، انتهى المكتب الاتحادي إلى أن ادعاءات صاحب الشكوى </w:t>
      </w:r>
      <w:r>
        <w:rPr>
          <w:rFonts w:hint="cs"/>
          <w:rtl/>
        </w:rPr>
        <w:t>أن</w:t>
      </w:r>
      <w:r>
        <w:rPr>
          <w:rtl/>
        </w:rPr>
        <w:t xml:space="preserve"> السلطات تبحث عنه ادعاءات غير مقنعة. واستند هذا الاستنتاج إلى جملة أمور منها الوقائع التالية: </w:t>
      </w:r>
      <w:r w:rsidR="00D74060">
        <w:rPr>
          <w:rFonts w:hint="cs"/>
          <w:rtl/>
        </w:rPr>
        <w:t xml:space="preserve">عدم وجود </w:t>
      </w:r>
      <w:r>
        <w:rPr>
          <w:rtl/>
        </w:rPr>
        <w:t>أي وثائق للشرطة أو وثائق قضائية</w:t>
      </w:r>
      <w:r w:rsidR="00D74060">
        <w:rPr>
          <w:rFonts w:hint="cs"/>
          <w:rtl/>
        </w:rPr>
        <w:t> </w:t>
      </w:r>
      <w:r>
        <w:rPr>
          <w:rtl/>
        </w:rPr>
        <w:t>متعلقة ببدء الإجراءات الجنائية ضد</w:t>
      </w:r>
      <w:r w:rsidR="00D74060">
        <w:rPr>
          <w:rtl/>
        </w:rPr>
        <w:t xml:space="preserve"> صاحب الشكوى، وتبرئة هذا الأخير</w:t>
      </w:r>
      <w:r>
        <w:rPr>
          <w:rtl/>
        </w:rPr>
        <w:t>، وبياناته في</w:t>
      </w:r>
      <w:r w:rsidR="00D74060">
        <w:rPr>
          <w:rFonts w:hint="cs"/>
          <w:rtl/>
        </w:rPr>
        <w:t> </w:t>
      </w:r>
      <w:r>
        <w:rPr>
          <w:rtl/>
        </w:rPr>
        <w:t>جلسة</w:t>
      </w:r>
      <w:r w:rsidR="00D74060">
        <w:rPr>
          <w:rFonts w:hint="cs"/>
          <w:rtl/>
        </w:rPr>
        <w:t> </w:t>
      </w:r>
      <w:r>
        <w:rPr>
          <w:rtl/>
        </w:rPr>
        <w:t xml:space="preserve">6 كانون الأول/ديسمبر 2007، </w:t>
      </w:r>
      <w:r w:rsidR="00D74060">
        <w:rPr>
          <w:rFonts w:hint="cs"/>
          <w:rtl/>
        </w:rPr>
        <w:t xml:space="preserve">وإقامة </w:t>
      </w:r>
      <w:r>
        <w:rPr>
          <w:rtl/>
        </w:rPr>
        <w:t>صاحب الشكوى وعمله لمدة سنة في</w:t>
      </w:r>
      <w:r w:rsidR="00D74060">
        <w:rPr>
          <w:rFonts w:hint="cs"/>
          <w:rtl/>
        </w:rPr>
        <w:t> </w:t>
      </w:r>
      <w:r>
        <w:rPr>
          <w:rFonts w:hint="cs"/>
          <w:rtl/>
        </w:rPr>
        <w:t>اسطنبول</w:t>
      </w:r>
      <w:r>
        <w:rPr>
          <w:rtl/>
        </w:rPr>
        <w:t xml:space="preserve"> دون أية مشاكل مع السلطات. وفي جلسة 6 كانون الأول/ديسمبر</w:t>
      </w:r>
      <w:r w:rsidR="00D74060">
        <w:rPr>
          <w:rtl/>
        </w:rPr>
        <w:t xml:space="preserve"> 2007، ذكر صاحب الشكوى فعلاً أن</w:t>
      </w:r>
      <w:r>
        <w:rPr>
          <w:rtl/>
        </w:rPr>
        <w:t xml:space="preserve"> السلطات التركية </w:t>
      </w:r>
      <w:r w:rsidR="00D74060">
        <w:rPr>
          <w:rFonts w:hint="cs"/>
          <w:rtl/>
        </w:rPr>
        <w:t xml:space="preserve">لا تبحث عنه </w:t>
      </w:r>
      <w:r>
        <w:rPr>
          <w:rtl/>
        </w:rPr>
        <w:t xml:space="preserve">لكنه </w:t>
      </w:r>
      <w:r w:rsidR="00D74060">
        <w:rPr>
          <w:rFonts w:hint="cs"/>
          <w:rtl/>
        </w:rPr>
        <w:t>ي</w:t>
      </w:r>
      <w:r>
        <w:rPr>
          <w:rtl/>
        </w:rPr>
        <w:t>خش</w:t>
      </w:r>
      <w:r w:rsidR="00723441">
        <w:rPr>
          <w:rFonts w:hint="cs"/>
          <w:rtl/>
        </w:rPr>
        <w:t>ى</w:t>
      </w:r>
      <w:r>
        <w:rPr>
          <w:rtl/>
        </w:rPr>
        <w:t xml:space="preserve"> من ثأر إحدى أسر قريته لأنه زار منزل امرأة متزوجة في ليلة 20 آذار/مارس 2003 بينما كان زوجها خارج البيت. ويبقى من غير الواضح أيضاً السبب الكامن وراء عدم تمكن صاحب الشكوى من العودة إلى </w:t>
      </w:r>
      <w:r>
        <w:rPr>
          <w:rFonts w:hint="cs"/>
          <w:rtl/>
        </w:rPr>
        <w:t>اسطنبول</w:t>
      </w:r>
      <w:r>
        <w:rPr>
          <w:rtl/>
        </w:rPr>
        <w:t>، بعدما عاش بها وعمل جهاراً.</w:t>
      </w:r>
    </w:p>
    <w:p w:rsidR="0052191A" w:rsidRPr="0038527F" w:rsidRDefault="0052191A" w:rsidP="00A32C35">
      <w:pPr>
        <w:pStyle w:val="SingleTxtGA"/>
        <w:rPr>
          <w:rFonts w:hint="cs"/>
          <w:rtl/>
        </w:rPr>
      </w:pPr>
      <w:r>
        <w:rPr>
          <w:rFonts w:hint="cs"/>
          <w:sz w:val="30"/>
          <w:rtl/>
        </w:rPr>
        <w:t>4</w:t>
      </w:r>
      <w:r w:rsidRPr="0038527F">
        <w:rPr>
          <w:rFonts w:hint="cs"/>
          <w:rtl/>
        </w:rPr>
        <w:t>-11</w:t>
      </w:r>
      <w:r w:rsidRPr="0038527F">
        <w:rPr>
          <w:rFonts w:hint="cs"/>
          <w:rtl/>
        </w:rPr>
        <w:tab/>
        <w:t xml:space="preserve">وتضيف الدولة الطرف أن صاحب الشكوى </w:t>
      </w:r>
      <w:r w:rsidR="00D74060">
        <w:rPr>
          <w:rFonts w:hint="cs"/>
          <w:rtl/>
        </w:rPr>
        <w:t xml:space="preserve">يحتج </w:t>
      </w:r>
      <w:r w:rsidRPr="0038527F">
        <w:rPr>
          <w:rFonts w:hint="cs"/>
          <w:rtl/>
        </w:rPr>
        <w:t xml:space="preserve">أيضاً في بلاغه بأن السلطات السويسرية لم تنظر قط في الأسس الموضوعية لقضيته. </w:t>
      </w:r>
      <w:r w:rsidR="00D74060">
        <w:rPr>
          <w:rFonts w:hint="cs"/>
          <w:rtl/>
        </w:rPr>
        <w:t>وأقر ب</w:t>
      </w:r>
      <w:r w:rsidRPr="0038527F">
        <w:rPr>
          <w:rFonts w:hint="cs"/>
          <w:rtl/>
        </w:rPr>
        <w:t>أن المكتب الاتحادي ل</w:t>
      </w:r>
      <w:r>
        <w:rPr>
          <w:rFonts w:hint="cs"/>
          <w:rtl/>
        </w:rPr>
        <w:t>شؤون ا</w:t>
      </w:r>
      <w:r w:rsidRPr="0038527F">
        <w:rPr>
          <w:rFonts w:hint="cs"/>
          <w:rtl/>
        </w:rPr>
        <w:t>لهجرة رفض طلب</w:t>
      </w:r>
      <w:r>
        <w:rPr>
          <w:rFonts w:hint="cs"/>
          <w:rtl/>
        </w:rPr>
        <w:t xml:space="preserve"> اللجوء الذي قدمه</w:t>
      </w:r>
      <w:r w:rsidRPr="0038527F">
        <w:rPr>
          <w:rFonts w:hint="cs"/>
          <w:rtl/>
        </w:rPr>
        <w:t xml:space="preserve"> صاحب الشكوى وأن المحكمة الإدارية الاتحادية أيدت ذلك القرار. بيد أن الحاسم في الأمر فيما يخص المادة 3 من الاتفاقية، ليس مسألة </w:t>
      </w:r>
      <w:r w:rsidR="00D74060">
        <w:rPr>
          <w:rFonts w:hint="cs"/>
          <w:rtl/>
        </w:rPr>
        <w:t xml:space="preserve">ما إذا كانت قد أجريت مراجعة موضوعية لطلب اللجوء، وإنما مسألة ما إذا كانت قد أجريت مراجعة معقولة لقانونية إعادة </w:t>
      </w:r>
      <w:r w:rsidRPr="0038527F">
        <w:rPr>
          <w:rFonts w:hint="cs"/>
          <w:rtl/>
        </w:rPr>
        <w:t>مقدم الطلب إلى بلده في ضوء المتطلبا</w:t>
      </w:r>
      <w:r w:rsidRPr="0038527F">
        <w:rPr>
          <w:rFonts w:hint="eastAsia"/>
          <w:rtl/>
        </w:rPr>
        <w:t>ت</w:t>
      </w:r>
      <w:r w:rsidRPr="0038527F">
        <w:rPr>
          <w:rFonts w:hint="cs"/>
          <w:rtl/>
        </w:rPr>
        <w:t xml:space="preserve"> المنصوص عليها في المادة 3 من الاتفاقية. والواقع أن </w:t>
      </w:r>
      <w:r w:rsidR="00BB43DB">
        <w:rPr>
          <w:rFonts w:hint="cs"/>
          <w:rtl/>
        </w:rPr>
        <w:t xml:space="preserve">هذه المراجعة قد أجريت </w:t>
      </w:r>
      <w:r w:rsidRPr="0038527F">
        <w:rPr>
          <w:rFonts w:hint="cs"/>
          <w:rtl/>
        </w:rPr>
        <w:t xml:space="preserve">بالفعل. فقد أجرى المكتب الاتحادي لشؤون الهجرة تقديراً متأنياً للعوامل ذات الصلة لتقييم قانونية عودة صاحب </w:t>
      </w:r>
      <w:r w:rsidRPr="00A32C35">
        <w:rPr>
          <w:rFonts w:hint="cs"/>
          <w:spacing w:val="-4"/>
          <w:rtl/>
        </w:rPr>
        <w:t xml:space="preserve">الشكوى إلى تركيا في </w:t>
      </w:r>
      <w:r w:rsidR="00A32C35" w:rsidRPr="00A32C35">
        <w:rPr>
          <w:rFonts w:hint="cs"/>
          <w:spacing w:val="-4"/>
          <w:rtl/>
        </w:rPr>
        <w:t xml:space="preserve">قراريه </w:t>
      </w:r>
      <w:r w:rsidRPr="00A32C35">
        <w:rPr>
          <w:rFonts w:hint="cs"/>
          <w:spacing w:val="-4"/>
          <w:rtl/>
        </w:rPr>
        <w:t>الصادرين بتاريخ 20 كانون الثاني/يناير و28 نيسان/أبريل</w:t>
      </w:r>
      <w:r w:rsidR="00A32C35" w:rsidRPr="00A32C35">
        <w:rPr>
          <w:rFonts w:hint="cs"/>
          <w:spacing w:val="-4"/>
          <w:rtl/>
        </w:rPr>
        <w:t xml:space="preserve"> </w:t>
      </w:r>
      <w:r w:rsidRPr="00A32C35">
        <w:rPr>
          <w:rFonts w:hint="cs"/>
          <w:spacing w:val="-4"/>
          <w:rtl/>
        </w:rPr>
        <w:t>2009.</w:t>
      </w:r>
      <w:r w:rsidRPr="0038527F">
        <w:rPr>
          <w:rFonts w:hint="cs"/>
          <w:rtl/>
        </w:rPr>
        <w:t xml:space="preserve"> ففي قراره الأول، أشار المكتب إلى نتيجة إجراءات اللجوء في ألمانيا، وهو بلد منح </w:t>
      </w:r>
      <w:r w:rsidR="00A32C35">
        <w:rPr>
          <w:rFonts w:hint="cs"/>
          <w:rtl/>
        </w:rPr>
        <w:t xml:space="preserve">أفراد أسرة صاحب الشكوى </w:t>
      </w:r>
      <w:r w:rsidRPr="0038527F">
        <w:rPr>
          <w:rFonts w:hint="cs"/>
          <w:rtl/>
        </w:rPr>
        <w:t xml:space="preserve">وضع اللاجئ </w:t>
      </w:r>
      <w:r w:rsidR="00A32C35">
        <w:rPr>
          <w:rFonts w:hint="cs"/>
          <w:rtl/>
        </w:rPr>
        <w:t xml:space="preserve">لكنه لم يمنحه إياه </w:t>
      </w:r>
      <w:r w:rsidRPr="0038527F">
        <w:rPr>
          <w:rFonts w:hint="cs"/>
          <w:rtl/>
        </w:rPr>
        <w:t>بعد النظر في قضيته. ولا تدري الدولة الطرف لماذا لم</w:t>
      </w:r>
      <w:r>
        <w:rPr>
          <w:rFonts w:hint="eastAsia"/>
          <w:rtl/>
        </w:rPr>
        <w:t> </w:t>
      </w:r>
      <w:r w:rsidRPr="0038527F">
        <w:rPr>
          <w:rFonts w:hint="cs"/>
          <w:rtl/>
        </w:rPr>
        <w:t>يطعن صاحب الشكوى في ذلك الرفض لدى المحاكم الألمانية.</w:t>
      </w:r>
    </w:p>
    <w:p w:rsidR="0052191A" w:rsidRPr="0038527F" w:rsidRDefault="0052191A" w:rsidP="003A7509">
      <w:pPr>
        <w:pStyle w:val="SingleTxtGA"/>
        <w:rPr>
          <w:rFonts w:hint="cs"/>
          <w:rtl/>
        </w:rPr>
      </w:pPr>
      <w:r w:rsidRPr="0038527F">
        <w:rPr>
          <w:rFonts w:hint="cs"/>
          <w:rtl/>
        </w:rPr>
        <w:t>4-12</w:t>
      </w:r>
      <w:r w:rsidRPr="0038527F">
        <w:rPr>
          <w:rFonts w:hint="cs"/>
          <w:rtl/>
        </w:rPr>
        <w:tab/>
        <w:t xml:space="preserve">وفي القرار الصادر عن المحكمة الإدارية الاتحادية بتاريخ 5 آذار/مارس 2009، </w:t>
      </w:r>
      <w:r w:rsidR="00723441">
        <w:rPr>
          <w:rFonts w:hint="cs"/>
          <w:rtl/>
        </w:rPr>
        <w:t>و</w:t>
      </w:r>
      <w:r w:rsidRPr="0038527F">
        <w:rPr>
          <w:rFonts w:hint="cs"/>
          <w:rtl/>
        </w:rPr>
        <w:t xml:space="preserve">الذي رفضت المحكمة بموجبه طعن صاحب الشكوى في القرار بسبب </w:t>
      </w:r>
      <w:r w:rsidR="00A32C35">
        <w:rPr>
          <w:rFonts w:hint="cs"/>
          <w:rtl/>
        </w:rPr>
        <w:t>التأخير في تقديمه</w:t>
      </w:r>
      <w:r w:rsidRPr="0038527F">
        <w:rPr>
          <w:rFonts w:hint="cs"/>
          <w:rtl/>
        </w:rPr>
        <w:t xml:space="preserve">، نظرت المحكمة مع ذلك في حجج مختلفة أدلى بها صاحب الشكوى للطعن في قانونية طرده. وأوضحت المحكمة الإدارية الاتحادية </w:t>
      </w:r>
      <w:r w:rsidR="00A32C35">
        <w:rPr>
          <w:rFonts w:hint="cs"/>
          <w:rtl/>
        </w:rPr>
        <w:t xml:space="preserve">في مراجعتها </w:t>
      </w:r>
      <w:r w:rsidRPr="0038527F">
        <w:rPr>
          <w:rFonts w:hint="cs"/>
          <w:rtl/>
        </w:rPr>
        <w:t>الأسباب التي دفعتها إلى اعتبار ادعاءات صاحب الشكوى غير مستندة إلى أساس فيما يخص خطر تعرضه</w:t>
      </w:r>
      <w:r w:rsidRPr="003304E6">
        <w:rPr>
          <w:rFonts w:hint="cs"/>
          <w:rtl/>
        </w:rPr>
        <w:t xml:space="preserve"> </w:t>
      </w:r>
      <w:r w:rsidRPr="0038527F">
        <w:rPr>
          <w:rFonts w:hint="cs"/>
          <w:rtl/>
        </w:rPr>
        <w:t xml:space="preserve">لدى عودته </w:t>
      </w:r>
      <w:r w:rsidR="00A32C35">
        <w:rPr>
          <w:rFonts w:hint="cs"/>
          <w:rtl/>
        </w:rPr>
        <w:t>ل</w:t>
      </w:r>
      <w:r w:rsidRPr="0038527F">
        <w:rPr>
          <w:rFonts w:hint="cs"/>
          <w:rtl/>
        </w:rPr>
        <w:t xml:space="preserve">معاملة منافية للمادة 3 من الاتفاقية الأوروبية لحقوق الإنسان، وهي مادة تقدم المستوى </w:t>
      </w:r>
      <w:r>
        <w:rPr>
          <w:rFonts w:hint="cs"/>
          <w:rtl/>
        </w:rPr>
        <w:t xml:space="preserve">ذاته </w:t>
      </w:r>
      <w:r w:rsidRPr="0038527F">
        <w:rPr>
          <w:rFonts w:hint="cs"/>
          <w:rtl/>
        </w:rPr>
        <w:t xml:space="preserve">من الحماية الذي </w:t>
      </w:r>
      <w:r>
        <w:rPr>
          <w:rFonts w:hint="cs"/>
          <w:rtl/>
        </w:rPr>
        <w:t>تتيحه</w:t>
      </w:r>
      <w:r w:rsidRPr="0038527F">
        <w:rPr>
          <w:rFonts w:hint="cs"/>
          <w:rtl/>
        </w:rPr>
        <w:t xml:space="preserve"> المادة 3 من الاتفاقية. ومن الأسباب التي ساقتها المحكمة الإدارية الاتحادية أن صاحب الشكوى ذكر أنه أقام لمدة تزيد </w:t>
      </w:r>
      <w:r w:rsidR="00A32C35">
        <w:rPr>
          <w:rFonts w:hint="cs"/>
          <w:rtl/>
        </w:rPr>
        <w:t xml:space="preserve">على </w:t>
      </w:r>
      <w:r w:rsidRPr="0038527F">
        <w:rPr>
          <w:rFonts w:hint="cs"/>
          <w:rtl/>
        </w:rPr>
        <w:t xml:space="preserve">سنة في </w:t>
      </w:r>
      <w:r>
        <w:rPr>
          <w:rFonts w:hint="cs"/>
          <w:rtl/>
        </w:rPr>
        <w:t>اسطنبول</w:t>
      </w:r>
      <w:r w:rsidRPr="0038527F">
        <w:rPr>
          <w:rFonts w:hint="cs"/>
          <w:rtl/>
        </w:rPr>
        <w:t xml:space="preserve">، </w:t>
      </w:r>
      <w:r w:rsidR="00A32C35">
        <w:rPr>
          <w:rFonts w:hint="cs"/>
          <w:rtl/>
        </w:rPr>
        <w:t>و</w:t>
      </w:r>
      <w:r w:rsidRPr="0038527F">
        <w:rPr>
          <w:rFonts w:hint="cs"/>
          <w:rtl/>
        </w:rPr>
        <w:t xml:space="preserve">لم تكن لديه خلالها أية مشاكل </w:t>
      </w:r>
      <w:r w:rsidR="00A32C35">
        <w:rPr>
          <w:rFonts w:hint="cs"/>
          <w:rtl/>
        </w:rPr>
        <w:t xml:space="preserve">مع السلطات؛ وأنه أكد بعد ذلك أن </w:t>
      </w:r>
      <w:r w:rsidRPr="0038527F">
        <w:rPr>
          <w:rFonts w:hint="cs"/>
          <w:rtl/>
        </w:rPr>
        <w:t>سلطات بلده الأصلي</w:t>
      </w:r>
      <w:r w:rsidR="00A32C35">
        <w:rPr>
          <w:rFonts w:hint="cs"/>
          <w:rtl/>
        </w:rPr>
        <w:t xml:space="preserve"> لا تبحث عنه</w:t>
      </w:r>
      <w:r w:rsidRPr="0038527F">
        <w:rPr>
          <w:rFonts w:hint="cs"/>
          <w:rtl/>
        </w:rPr>
        <w:t>؛ وأنه لو</w:t>
      </w:r>
      <w:r>
        <w:rPr>
          <w:rFonts w:hint="eastAsia"/>
          <w:rtl/>
        </w:rPr>
        <w:t> </w:t>
      </w:r>
      <w:r w:rsidRPr="0038527F">
        <w:rPr>
          <w:rFonts w:hint="cs"/>
          <w:rtl/>
        </w:rPr>
        <w:t>كان في خطر ب</w:t>
      </w:r>
      <w:r>
        <w:rPr>
          <w:rFonts w:hint="cs"/>
          <w:rtl/>
        </w:rPr>
        <w:t>اسطنبول</w:t>
      </w:r>
      <w:r w:rsidRPr="0038527F">
        <w:rPr>
          <w:rFonts w:hint="cs"/>
          <w:rtl/>
        </w:rPr>
        <w:t xml:space="preserve">، ما كان له أن ينتظر </w:t>
      </w:r>
      <w:r w:rsidR="00A32C35">
        <w:rPr>
          <w:rFonts w:hint="cs"/>
          <w:rtl/>
        </w:rPr>
        <w:t xml:space="preserve">أكثر </w:t>
      </w:r>
      <w:r w:rsidRPr="0038527F">
        <w:rPr>
          <w:rFonts w:hint="cs"/>
          <w:rtl/>
        </w:rPr>
        <w:t>من عام قبل مغادرة المدينة؛ وأن إجراءات ال</w:t>
      </w:r>
      <w:r>
        <w:rPr>
          <w:rFonts w:hint="cs"/>
          <w:rtl/>
        </w:rPr>
        <w:t>لجوء في ألمانيا دامت قرابة ثلاث</w:t>
      </w:r>
      <w:r w:rsidRPr="0038527F">
        <w:rPr>
          <w:rFonts w:hint="cs"/>
          <w:rtl/>
        </w:rPr>
        <w:t xml:space="preserve"> سنوات وأن</w:t>
      </w:r>
      <w:r w:rsidR="00A32C35">
        <w:rPr>
          <w:rFonts w:hint="cs"/>
          <w:rtl/>
        </w:rPr>
        <w:t>ه</w:t>
      </w:r>
      <w:r w:rsidRPr="0038527F">
        <w:rPr>
          <w:rFonts w:hint="cs"/>
          <w:rtl/>
        </w:rPr>
        <w:t xml:space="preserve"> ليس هناك ما يشير إلى أن صاحب</w:t>
      </w:r>
      <w:r>
        <w:rPr>
          <w:rFonts w:hint="eastAsia"/>
          <w:rtl/>
        </w:rPr>
        <w:t> </w:t>
      </w:r>
      <w:r w:rsidRPr="0038527F">
        <w:rPr>
          <w:rFonts w:hint="cs"/>
          <w:rtl/>
        </w:rPr>
        <w:t>الشكوى كان غير قادر على ممارسة حقوقه في ألمانيا، لا سيما وأن أربعة من إخوته حصلوا على وضع اللاجئ في ذلك البلد</w:t>
      </w:r>
      <w:r>
        <w:rPr>
          <w:rFonts w:hint="cs"/>
          <w:rtl/>
        </w:rPr>
        <w:t>؛</w:t>
      </w:r>
      <w:r w:rsidRPr="0038527F">
        <w:rPr>
          <w:rFonts w:hint="cs"/>
          <w:rtl/>
        </w:rPr>
        <w:t xml:space="preserve"> وأن ملفاتهم الكاملة في أيدي السلطات الألمانية؛ وأن الإجراءات التي قام بها المكتب الاتحادي لشؤون الهجرة دامت </w:t>
      </w:r>
      <w:r w:rsidR="003A7509">
        <w:rPr>
          <w:rFonts w:hint="cs"/>
          <w:rtl/>
        </w:rPr>
        <w:t xml:space="preserve">أكثر </w:t>
      </w:r>
      <w:r w:rsidRPr="0038527F">
        <w:rPr>
          <w:rFonts w:hint="cs"/>
          <w:rtl/>
        </w:rPr>
        <w:t xml:space="preserve">من سنة، لم يقدم خلالها صاحب الشكوى أي دليل من قبيل </w:t>
      </w:r>
      <w:r w:rsidR="003A7509">
        <w:rPr>
          <w:rFonts w:hint="cs"/>
          <w:rtl/>
        </w:rPr>
        <w:t>ال</w:t>
      </w:r>
      <w:r w:rsidRPr="0038527F">
        <w:rPr>
          <w:rFonts w:hint="cs"/>
          <w:rtl/>
        </w:rPr>
        <w:t xml:space="preserve">شهادات </w:t>
      </w:r>
      <w:r w:rsidR="003A7509">
        <w:rPr>
          <w:rFonts w:hint="cs"/>
          <w:rtl/>
        </w:rPr>
        <w:t xml:space="preserve">التي أدلى بها </w:t>
      </w:r>
      <w:r w:rsidRPr="0038527F">
        <w:rPr>
          <w:rFonts w:hint="cs"/>
          <w:rtl/>
        </w:rPr>
        <w:t>إخوته اللاجئ</w:t>
      </w:r>
      <w:r w:rsidR="003A7509">
        <w:rPr>
          <w:rFonts w:hint="cs"/>
          <w:rtl/>
        </w:rPr>
        <w:t>و</w:t>
      </w:r>
      <w:r w:rsidRPr="0038527F">
        <w:rPr>
          <w:rFonts w:hint="cs"/>
          <w:rtl/>
        </w:rPr>
        <w:t xml:space="preserve">ن في ألمانيا؛ وأن الوثائق المقدمة إلى المحكمة الإدارية الاتحادية لا تشير إلى أن السلطات التركية على علم بنشاط صاحب الشكوى في فرنسا وألمانيا. ورداً على استئناف مقدم </w:t>
      </w:r>
      <w:r w:rsidR="003A7509">
        <w:rPr>
          <w:rFonts w:hint="cs"/>
          <w:rtl/>
        </w:rPr>
        <w:t xml:space="preserve">في إطار </w:t>
      </w:r>
      <w:r w:rsidRPr="0038527F">
        <w:rPr>
          <w:rFonts w:hint="cs"/>
          <w:rtl/>
        </w:rPr>
        <w:t xml:space="preserve">طلب </w:t>
      </w:r>
      <w:r>
        <w:rPr>
          <w:rFonts w:hint="cs"/>
          <w:rtl/>
        </w:rPr>
        <w:t>المراجعة</w:t>
      </w:r>
      <w:r w:rsidRPr="0038527F">
        <w:rPr>
          <w:rFonts w:hint="cs"/>
          <w:rtl/>
        </w:rPr>
        <w:t xml:space="preserve">، أجرت المحكمة الإدارية الاتحادية مرة أخرى تقييماً للخطر في قرارها الصادر بتاريخ 12 حزيران/يونيه 2009. </w:t>
      </w:r>
      <w:r w:rsidR="003A7509">
        <w:rPr>
          <w:rFonts w:hint="cs"/>
          <w:rtl/>
        </w:rPr>
        <w:t xml:space="preserve">وجرت مراجعة موضوعية إدارية وقضائية </w:t>
      </w:r>
      <w:r w:rsidRPr="0038527F">
        <w:rPr>
          <w:rFonts w:hint="cs"/>
          <w:rtl/>
        </w:rPr>
        <w:t xml:space="preserve">للمخاطر التي قد يتعرض </w:t>
      </w:r>
      <w:r w:rsidR="003A7509">
        <w:rPr>
          <w:rFonts w:hint="cs"/>
          <w:rtl/>
        </w:rPr>
        <w:t xml:space="preserve">لها </w:t>
      </w:r>
      <w:r w:rsidRPr="0038527F">
        <w:rPr>
          <w:rFonts w:hint="cs"/>
          <w:rtl/>
        </w:rPr>
        <w:t>صاحب الشكوى في حال عودته إلى تركيا في عدة مناسبات.</w:t>
      </w:r>
    </w:p>
    <w:p w:rsidR="0052191A" w:rsidRPr="0038527F" w:rsidRDefault="0052191A" w:rsidP="003A7509">
      <w:pPr>
        <w:pStyle w:val="SingleTxtGA"/>
        <w:rPr>
          <w:rFonts w:hint="cs"/>
          <w:rtl/>
        </w:rPr>
      </w:pPr>
      <w:r w:rsidRPr="0038527F">
        <w:rPr>
          <w:rFonts w:hint="cs"/>
          <w:rtl/>
        </w:rPr>
        <w:t>4-13</w:t>
      </w:r>
      <w:r w:rsidRPr="0038527F">
        <w:rPr>
          <w:rFonts w:hint="cs"/>
          <w:rtl/>
        </w:rPr>
        <w:tab/>
        <w:t>وعليه</w:t>
      </w:r>
      <w:r w:rsidR="003A7509">
        <w:rPr>
          <w:rFonts w:hint="cs"/>
          <w:rtl/>
        </w:rPr>
        <w:t>،</w:t>
      </w:r>
      <w:r w:rsidRPr="0038527F">
        <w:rPr>
          <w:rFonts w:hint="cs"/>
          <w:rtl/>
        </w:rPr>
        <w:t xml:space="preserve"> تنتهي الدولة الطرف إلى أنه ليس هناك ما يشير إلى </w:t>
      </w:r>
      <w:r w:rsidR="003A7509">
        <w:rPr>
          <w:rFonts w:hint="cs"/>
          <w:rtl/>
        </w:rPr>
        <w:t xml:space="preserve">وجود أسباب </w:t>
      </w:r>
      <w:r w:rsidRPr="0038527F">
        <w:rPr>
          <w:rFonts w:hint="cs"/>
          <w:rtl/>
        </w:rPr>
        <w:t xml:space="preserve">موضوعية </w:t>
      </w:r>
      <w:r w:rsidR="003A7509">
        <w:rPr>
          <w:rFonts w:hint="cs"/>
          <w:rtl/>
        </w:rPr>
        <w:t xml:space="preserve">للخشية من تعرض </w:t>
      </w:r>
      <w:r w:rsidRPr="0038527F">
        <w:rPr>
          <w:rFonts w:hint="cs"/>
          <w:rtl/>
        </w:rPr>
        <w:t xml:space="preserve">صاحب الشكوى لخطر </w:t>
      </w:r>
      <w:r w:rsidR="003A7509">
        <w:rPr>
          <w:rFonts w:hint="cs"/>
          <w:rtl/>
        </w:rPr>
        <w:t xml:space="preserve">تعذيب </w:t>
      </w:r>
      <w:r w:rsidRPr="0038527F">
        <w:rPr>
          <w:rFonts w:hint="cs"/>
          <w:rtl/>
        </w:rPr>
        <w:t>شخصي وقائم في حال عودته إلى تركيا.</w:t>
      </w:r>
    </w:p>
    <w:p w:rsidR="0052191A" w:rsidRPr="00436897" w:rsidRDefault="0052191A" w:rsidP="0052191A">
      <w:pPr>
        <w:pStyle w:val="H23GA"/>
        <w:rPr>
          <w:rFonts w:hint="cs"/>
          <w:rtl/>
        </w:rPr>
      </w:pPr>
      <w:r>
        <w:rPr>
          <w:rtl/>
        </w:rPr>
        <w:tab/>
      </w:r>
      <w:r>
        <w:rPr>
          <w:rFonts w:hint="cs"/>
          <w:rtl/>
        </w:rPr>
        <w:tab/>
      </w:r>
      <w:r w:rsidRPr="00436897">
        <w:rPr>
          <w:rFonts w:hint="cs"/>
          <w:rtl/>
        </w:rPr>
        <w:t xml:space="preserve">تعليقات صاحب الشكوى على ملاحظات الدولة الطرف بشأن الأسس الموضوعية </w:t>
      </w:r>
    </w:p>
    <w:p w:rsidR="0052191A" w:rsidRPr="0038527F" w:rsidRDefault="0052191A" w:rsidP="0052191A">
      <w:pPr>
        <w:pStyle w:val="SingleTxtGA"/>
        <w:spacing w:line="360" w:lineRule="exact"/>
        <w:rPr>
          <w:rFonts w:hint="cs"/>
          <w:rtl/>
        </w:rPr>
      </w:pPr>
      <w:r w:rsidRPr="0038527F">
        <w:rPr>
          <w:rFonts w:hint="cs"/>
          <w:rtl/>
        </w:rPr>
        <w:t>5-1</w:t>
      </w:r>
      <w:r w:rsidRPr="0038527F">
        <w:rPr>
          <w:rFonts w:hint="cs"/>
          <w:rtl/>
        </w:rPr>
        <w:tab/>
        <w:t>في 16 آذار/مارس 2010، طعن صاحب الشكوى في حجة الدولة الطرف فيما</w:t>
      </w:r>
      <w:r>
        <w:rPr>
          <w:rFonts w:hint="eastAsia"/>
          <w:rtl/>
        </w:rPr>
        <w:t> </w:t>
      </w:r>
      <w:r w:rsidRPr="0038527F">
        <w:rPr>
          <w:rFonts w:hint="cs"/>
          <w:rtl/>
        </w:rPr>
        <w:t xml:space="preserve">يخص عدم </w:t>
      </w:r>
      <w:r>
        <w:rPr>
          <w:rFonts w:hint="cs"/>
          <w:rtl/>
        </w:rPr>
        <w:t>بحث</w:t>
      </w:r>
      <w:r w:rsidRPr="0038527F">
        <w:rPr>
          <w:rFonts w:hint="cs"/>
          <w:rtl/>
        </w:rPr>
        <w:t xml:space="preserve"> السلطات التركية</w:t>
      </w:r>
      <w:r>
        <w:rPr>
          <w:rFonts w:hint="cs"/>
          <w:rtl/>
        </w:rPr>
        <w:t xml:space="preserve"> عنه</w:t>
      </w:r>
      <w:r w:rsidRPr="0038527F">
        <w:rPr>
          <w:rFonts w:hint="cs"/>
          <w:rtl/>
        </w:rPr>
        <w:t>. وتأييداً لتعليقاته، يذكر صاحب الشكوى بعض الوقائع الواردة في رسالته الأولى (انظر الفقرات من 2-5 إلى 2-7).</w:t>
      </w:r>
    </w:p>
    <w:p w:rsidR="0052191A" w:rsidRPr="0038527F" w:rsidRDefault="0052191A" w:rsidP="003A7509">
      <w:pPr>
        <w:pStyle w:val="SingleTxtGA"/>
        <w:spacing w:line="360" w:lineRule="exact"/>
        <w:rPr>
          <w:rFonts w:hint="cs"/>
          <w:rtl/>
        </w:rPr>
      </w:pPr>
      <w:r w:rsidRPr="0038527F">
        <w:rPr>
          <w:rFonts w:hint="cs"/>
          <w:rtl/>
        </w:rPr>
        <w:t>5-2</w:t>
      </w:r>
      <w:r w:rsidRPr="0038527F">
        <w:rPr>
          <w:rFonts w:hint="cs"/>
          <w:rtl/>
        </w:rPr>
        <w:tab/>
        <w:t>ويضيف صاحب الشكوى قائلاً إن أخاه، س. أ</w:t>
      </w:r>
      <w:r>
        <w:rPr>
          <w:rFonts w:hint="cs"/>
          <w:rtl/>
        </w:rPr>
        <w:t>.</w:t>
      </w:r>
      <w:r w:rsidRPr="0038527F">
        <w:rPr>
          <w:rFonts w:hint="cs"/>
          <w:rtl/>
        </w:rPr>
        <w:t xml:space="preserve">، وهو لاجئ قانوني في ألمانيا، أصبح مواطناً ألمانياً بعد ذلك، قدم شهادة كتابية يوم 27 كانون الثاني/يناير 2009 يقول فيها </w:t>
      </w:r>
      <w:r>
        <w:rPr>
          <w:rFonts w:hint="cs"/>
          <w:rtl/>
        </w:rPr>
        <w:t>إ</w:t>
      </w:r>
      <w:r w:rsidRPr="0038527F">
        <w:rPr>
          <w:rFonts w:hint="cs"/>
          <w:rtl/>
        </w:rPr>
        <w:t xml:space="preserve">نه ذهب إلى تركيا في أيار/مايو 2008 لحضور جنازة أحد أفراد أسرته من الذكور. وفتشت الشرطة البيت وسألت عن صاحب الشكوى. وعندما ظل الأخ صامتاً، </w:t>
      </w:r>
      <w:r w:rsidR="003A7509">
        <w:rPr>
          <w:rFonts w:hint="cs"/>
          <w:rtl/>
        </w:rPr>
        <w:t xml:space="preserve">ألقت </w:t>
      </w:r>
      <w:r w:rsidRPr="0038527F">
        <w:rPr>
          <w:rFonts w:hint="cs"/>
          <w:rtl/>
        </w:rPr>
        <w:t xml:space="preserve">الشرطة </w:t>
      </w:r>
      <w:r w:rsidR="003A7509">
        <w:rPr>
          <w:rFonts w:hint="cs"/>
          <w:rtl/>
        </w:rPr>
        <w:t xml:space="preserve">القبض عليه </w:t>
      </w:r>
      <w:r w:rsidRPr="0038527F">
        <w:rPr>
          <w:rFonts w:hint="cs"/>
          <w:rtl/>
        </w:rPr>
        <w:t>واستجوبته. وصُودر جواز سفره مؤقتاً. ويضيف صاحب الشكوى لدعم طلب حصوله على اللجوء، أنه قدم عدداً من الوثائق، منها حكم صادر عن المحكمة الجنائية لغازيانتيب وتخفيف الحكم الصادر في حقه، وثلاث مقالات صحفية تظهر أن أخاه اعتُقل في تركيا</w:t>
      </w:r>
      <w:r w:rsidRPr="00E205CF">
        <w:rPr>
          <w:vertAlign w:val="superscript"/>
          <w:rtl/>
        </w:rPr>
        <w:t>(</w:t>
      </w:r>
      <w:r w:rsidRPr="00E205CF">
        <w:rPr>
          <w:b/>
          <w:vertAlign w:val="superscript"/>
          <w:rtl/>
        </w:rPr>
        <w:footnoteReference w:id="45"/>
      </w:r>
      <w:r w:rsidRPr="00E205CF">
        <w:rPr>
          <w:vertAlign w:val="superscript"/>
          <w:rtl/>
        </w:rPr>
        <w:t>)</w:t>
      </w:r>
      <w:r w:rsidRPr="0038527F">
        <w:rPr>
          <w:rFonts w:hint="cs"/>
          <w:rtl/>
        </w:rPr>
        <w:t>،</w:t>
      </w:r>
      <w:r w:rsidRPr="0038527F">
        <w:rPr>
          <w:rtl/>
        </w:rPr>
        <w:t xml:space="preserve"> </w:t>
      </w:r>
      <w:r w:rsidRPr="0038527F">
        <w:rPr>
          <w:rFonts w:hint="cs"/>
          <w:rtl/>
        </w:rPr>
        <w:t>ووثائق تظهر أن صاحب الشكوى ناشط في الحزب الديمقراطي الشعبي في سويسرا، وصوراً مختلفة لصاحب الشكوى أُخذت أثناء مظاهر</w:t>
      </w:r>
      <w:r>
        <w:rPr>
          <w:rFonts w:hint="cs"/>
          <w:rtl/>
        </w:rPr>
        <w:t>ات</w:t>
      </w:r>
      <w:r w:rsidRPr="0038527F">
        <w:rPr>
          <w:rFonts w:hint="cs"/>
          <w:rtl/>
        </w:rPr>
        <w:t xml:space="preserve"> سياسية في ألمانيا وفرنسا. ويضيف صاحب الشكوى أن عدداً من أقاربه وأصدقائه المقربين من منطقة بازارجيك قد فروا من تركيا ومنحوا اللجوء في سويسرا، وألمانيا</w:t>
      </w:r>
      <w:r>
        <w:rPr>
          <w:rFonts w:hint="cs"/>
          <w:rtl/>
        </w:rPr>
        <w:t xml:space="preserve"> والمملكة المتحدة.</w:t>
      </w:r>
    </w:p>
    <w:p w:rsidR="0052191A" w:rsidRPr="0038527F" w:rsidRDefault="0052191A" w:rsidP="003A7509">
      <w:pPr>
        <w:pStyle w:val="SingleTxtGA"/>
        <w:rPr>
          <w:rFonts w:hint="cs"/>
          <w:rtl/>
        </w:rPr>
      </w:pPr>
      <w:r w:rsidRPr="0038527F">
        <w:rPr>
          <w:rFonts w:hint="cs"/>
          <w:rtl/>
        </w:rPr>
        <w:t>5-3</w:t>
      </w:r>
      <w:r w:rsidRPr="0038527F">
        <w:rPr>
          <w:rFonts w:hint="cs"/>
          <w:rtl/>
        </w:rPr>
        <w:tab/>
        <w:t xml:space="preserve">وتُظهر كل هذه الوثائق أن صاحب الشكوى ناشط سياسي في تركيا ولا سيما أنه قريب من حركة الميليشيا نظراً </w:t>
      </w:r>
      <w:r>
        <w:rPr>
          <w:rFonts w:hint="cs"/>
          <w:rtl/>
        </w:rPr>
        <w:t>لمنطقته الأصلية</w:t>
      </w:r>
      <w:r w:rsidRPr="0038527F">
        <w:rPr>
          <w:rFonts w:hint="cs"/>
          <w:rtl/>
        </w:rPr>
        <w:t xml:space="preserve"> ولروابط</w:t>
      </w:r>
      <w:r>
        <w:rPr>
          <w:rFonts w:hint="cs"/>
          <w:rtl/>
        </w:rPr>
        <w:t>ه الأسرية</w:t>
      </w:r>
      <w:r w:rsidRPr="0038527F">
        <w:rPr>
          <w:rFonts w:hint="cs"/>
          <w:rtl/>
        </w:rPr>
        <w:t xml:space="preserve">. ويشير صاحب الشكوى إلى كل المرات التي اعتُقل فيها بسبب </w:t>
      </w:r>
      <w:r>
        <w:rPr>
          <w:rFonts w:hint="cs"/>
          <w:rtl/>
        </w:rPr>
        <w:t>روابطه</w:t>
      </w:r>
      <w:r w:rsidRPr="0038527F">
        <w:rPr>
          <w:rFonts w:hint="cs"/>
          <w:rtl/>
        </w:rPr>
        <w:t xml:space="preserve"> الأسرية ومشاركته النشطة في الحزب الديمقراطي الشعبي/حزب الشعب الديمقراطي. وعليه فإن صاحب الشكوى معروف لدى الشرطة، التي </w:t>
      </w:r>
      <w:r w:rsidR="003A7509">
        <w:rPr>
          <w:rFonts w:hint="cs"/>
          <w:rtl/>
        </w:rPr>
        <w:t xml:space="preserve">تعامل معها شخصياً </w:t>
      </w:r>
      <w:r w:rsidRPr="0038527F">
        <w:rPr>
          <w:rFonts w:hint="cs"/>
          <w:rtl/>
        </w:rPr>
        <w:t>وتعرض لسوء معاملته</w:t>
      </w:r>
      <w:r>
        <w:rPr>
          <w:rFonts w:hint="cs"/>
          <w:rtl/>
        </w:rPr>
        <w:t>ا</w:t>
      </w:r>
      <w:r w:rsidRPr="0038527F">
        <w:rPr>
          <w:rFonts w:hint="cs"/>
          <w:rtl/>
        </w:rPr>
        <w:t>. ويذكر صاحب الشكوى أنه لا</w:t>
      </w:r>
      <w:r w:rsidR="003A7509">
        <w:rPr>
          <w:rFonts w:hint="eastAsia"/>
          <w:rtl/>
        </w:rPr>
        <w:t> </w:t>
      </w:r>
      <w:r w:rsidRPr="0038527F">
        <w:rPr>
          <w:rFonts w:hint="cs"/>
          <w:rtl/>
        </w:rPr>
        <w:t>يزال ناشطاً سياسياً في سويسرا وأنه بسبب غيابه الطويل عن تركيا، يتعرض لخطر استهدافه من قبل السلطات التركية، التي ستحرص على استجوابه بشأن أنشطته في الخارج وروابطه مع مختلف الفئات الكردية في أوروبا.</w:t>
      </w:r>
    </w:p>
    <w:p w:rsidR="0052191A" w:rsidRPr="0038527F" w:rsidRDefault="0052191A" w:rsidP="003A7509">
      <w:pPr>
        <w:pStyle w:val="SingleTxtGA"/>
        <w:rPr>
          <w:rFonts w:hint="cs"/>
          <w:rtl/>
        </w:rPr>
      </w:pPr>
      <w:r w:rsidRPr="0038527F">
        <w:rPr>
          <w:rFonts w:hint="cs"/>
          <w:rtl/>
        </w:rPr>
        <w:t>5-4</w:t>
      </w:r>
      <w:r w:rsidRPr="0038527F">
        <w:rPr>
          <w:rFonts w:hint="cs"/>
          <w:rtl/>
        </w:rPr>
        <w:tab/>
        <w:t xml:space="preserve">ويرى صاحب الشكوى أن تعرض الناشطين السياسيين الأكراد وأسرهم </w:t>
      </w:r>
      <w:r w:rsidR="003A7509">
        <w:rPr>
          <w:rFonts w:hint="cs"/>
          <w:rtl/>
        </w:rPr>
        <w:t>ل</w:t>
      </w:r>
      <w:r w:rsidRPr="0038527F">
        <w:rPr>
          <w:rFonts w:hint="cs"/>
          <w:rtl/>
        </w:rPr>
        <w:t xml:space="preserve">لقمع أمر </w:t>
      </w:r>
      <w:r>
        <w:rPr>
          <w:rFonts w:hint="cs"/>
          <w:rtl/>
        </w:rPr>
        <w:t xml:space="preserve">تؤكده </w:t>
      </w:r>
      <w:r w:rsidRPr="0038527F">
        <w:rPr>
          <w:rFonts w:hint="cs"/>
          <w:rtl/>
        </w:rPr>
        <w:t xml:space="preserve">تقارير حالة حقوق الإنسان في تركيا. </w:t>
      </w:r>
      <w:r w:rsidR="003A7509">
        <w:rPr>
          <w:rFonts w:hint="cs"/>
          <w:rtl/>
        </w:rPr>
        <w:t>ف</w:t>
      </w:r>
      <w:r w:rsidRPr="0038527F">
        <w:rPr>
          <w:rFonts w:hint="cs"/>
          <w:rtl/>
        </w:rPr>
        <w:t xml:space="preserve">أولاً تواجه الأقليات قمعاً منتظماً، </w:t>
      </w:r>
      <w:r w:rsidR="003A7509">
        <w:rPr>
          <w:rFonts w:hint="cs"/>
          <w:rtl/>
        </w:rPr>
        <w:t xml:space="preserve">ويشكل </w:t>
      </w:r>
      <w:r w:rsidRPr="0038527F">
        <w:rPr>
          <w:rFonts w:hint="cs"/>
          <w:rtl/>
        </w:rPr>
        <w:t xml:space="preserve">المدافعون عن حقوق الأقليات هدفاً خاصاً للاضطهاد والتحرش من قبل المحاكم وغيرها. </w:t>
      </w:r>
      <w:r w:rsidR="003A7509">
        <w:rPr>
          <w:rFonts w:hint="cs"/>
          <w:rtl/>
        </w:rPr>
        <w:t xml:space="preserve">ويتعرض </w:t>
      </w:r>
      <w:r w:rsidRPr="0038527F">
        <w:rPr>
          <w:rFonts w:hint="cs"/>
          <w:rtl/>
        </w:rPr>
        <w:t>الأشخاص الذين يجهرون بهويتهم الثقافية الكردية للتحرش والاضطهاد</w:t>
      </w:r>
      <w:r w:rsidRPr="009B37AD">
        <w:rPr>
          <w:vertAlign w:val="superscript"/>
          <w:rtl/>
        </w:rPr>
        <w:t>(</w:t>
      </w:r>
      <w:r w:rsidRPr="00B93686">
        <w:rPr>
          <w:b/>
          <w:color w:val="FFFFFF"/>
          <w:sz w:val="2"/>
          <w:szCs w:val="2"/>
          <w:vertAlign w:val="superscript"/>
          <w:rtl/>
        </w:rPr>
        <w:footnoteReference w:id="46"/>
      </w:r>
      <w:r w:rsidR="003A7509" w:rsidRPr="003A7509">
        <w:rPr>
          <w:rFonts w:hint="cs"/>
          <w:sz w:val="30"/>
          <w:vertAlign w:val="superscript"/>
          <w:rtl/>
        </w:rPr>
        <w:t>ﻫ</w:t>
      </w:r>
      <w:r w:rsidRPr="009B37AD">
        <w:rPr>
          <w:vertAlign w:val="superscript"/>
          <w:rtl/>
        </w:rPr>
        <w:t>)</w:t>
      </w:r>
      <w:r w:rsidRPr="0038527F">
        <w:rPr>
          <w:rFonts w:hint="cs"/>
          <w:rtl/>
        </w:rPr>
        <w:t xml:space="preserve">، ويشير التقرير الصادر عن وزارة خارجية الولايات المتحدة في 25 شباط/فبراير 2009، </w:t>
      </w:r>
      <w:r w:rsidR="003A7509">
        <w:rPr>
          <w:rFonts w:hint="cs"/>
          <w:rtl/>
        </w:rPr>
        <w:t>و</w:t>
      </w:r>
      <w:r w:rsidRPr="0038527F">
        <w:rPr>
          <w:rFonts w:hint="cs"/>
          <w:rtl/>
        </w:rPr>
        <w:t>الذي يحيل إليه صاحب الشكوى بشكل مطول، أيضاً إلى أن الأغلبية الساحقة من ضحايا التعذيب هم أكراد وأن أفراد الحزب الديمقراطي الشعبي لا يحملون معهم بطاقات العضوية في الحزب تحسباً لاعتقالهم. وبما أن صاحب الشكوى عضو نشيط في هذه المنظمة وعاش لعدد من السنوات في أوروبا، فهو عرضة لخطر شديد.</w:t>
      </w:r>
    </w:p>
    <w:p w:rsidR="0052191A" w:rsidRPr="00DF768F" w:rsidRDefault="0052191A" w:rsidP="003A7509">
      <w:pPr>
        <w:pStyle w:val="SingleTxtGA"/>
        <w:rPr>
          <w:rFonts w:hint="cs"/>
          <w:spacing w:val="-2"/>
          <w:rtl/>
        </w:rPr>
      </w:pPr>
      <w:r w:rsidRPr="00DF768F">
        <w:rPr>
          <w:rFonts w:hint="cs"/>
          <w:spacing w:val="-2"/>
          <w:rtl/>
        </w:rPr>
        <w:t>5-5</w:t>
      </w:r>
      <w:r w:rsidRPr="00DF768F">
        <w:rPr>
          <w:rFonts w:hint="cs"/>
          <w:spacing w:val="-2"/>
          <w:rtl/>
        </w:rPr>
        <w:tab/>
        <w:t xml:space="preserve">ويلاحظ صاحب الشكوى أن المحكمة الدستورية التركية حلّت حزب المجتمع الديمقراطي في كانون الأول/ديسمبر 2009 (وهو جماعة سياسية خلفت الحزب الديمقراطي الشعبي بعد حلّه في تركيا). ويُظهر ذلك أن الذين لهم روابط وثيقة مع حزب العمال الكردستاني لا يزالون تحت </w:t>
      </w:r>
      <w:r w:rsidR="003A7509">
        <w:rPr>
          <w:rFonts w:hint="cs"/>
          <w:spacing w:val="-2"/>
          <w:rtl/>
        </w:rPr>
        <w:t xml:space="preserve">المراقبة </w:t>
      </w:r>
      <w:r w:rsidRPr="00DF768F">
        <w:rPr>
          <w:rFonts w:hint="cs"/>
          <w:spacing w:val="-2"/>
          <w:rtl/>
        </w:rPr>
        <w:t xml:space="preserve">ويعانون القمع، كما يعاني أفراد </w:t>
      </w:r>
      <w:r>
        <w:rPr>
          <w:rFonts w:hint="cs"/>
          <w:spacing w:val="-2"/>
          <w:rtl/>
        </w:rPr>
        <w:t>ال</w:t>
      </w:r>
      <w:r w:rsidRPr="00DF768F">
        <w:rPr>
          <w:rFonts w:hint="cs"/>
          <w:spacing w:val="-2"/>
          <w:rtl/>
        </w:rPr>
        <w:t>حزب الديمقراطي الشعبي المنحل. وقد تسبب قرار المحكمة الدستورية في اضطرابات باسطنبول. ولا يزال الوضع متوتراً.</w:t>
      </w:r>
    </w:p>
    <w:p w:rsidR="0052191A" w:rsidRPr="0038527F" w:rsidRDefault="0052191A" w:rsidP="003A7509">
      <w:pPr>
        <w:pStyle w:val="SingleTxtGA"/>
        <w:rPr>
          <w:rFonts w:hint="cs"/>
          <w:rtl/>
        </w:rPr>
      </w:pPr>
      <w:r w:rsidRPr="0038527F">
        <w:rPr>
          <w:rFonts w:hint="cs"/>
          <w:rtl/>
        </w:rPr>
        <w:t>5-6</w:t>
      </w:r>
      <w:r w:rsidRPr="0038527F">
        <w:rPr>
          <w:rFonts w:hint="cs"/>
          <w:rtl/>
        </w:rPr>
        <w:tab/>
        <w:t>ورداً على اقتراح الدولة الطرف بشأن</w:t>
      </w:r>
      <w:r>
        <w:rPr>
          <w:rFonts w:hint="cs"/>
          <w:rtl/>
        </w:rPr>
        <w:t xml:space="preserve"> إمكانية</w:t>
      </w:r>
      <w:r w:rsidRPr="0038527F">
        <w:rPr>
          <w:rFonts w:hint="cs"/>
          <w:rtl/>
        </w:rPr>
        <w:t xml:space="preserve"> وجود ملاذ آمن في </w:t>
      </w:r>
      <w:r>
        <w:rPr>
          <w:rFonts w:hint="cs"/>
          <w:rtl/>
        </w:rPr>
        <w:t>اسطنبول</w:t>
      </w:r>
      <w:r w:rsidR="003A7509">
        <w:rPr>
          <w:rFonts w:hint="cs"/>
          <w:rtl/>
        </w:rPr>
        <w:t xml:space="preserve">، يقول </w:t>
      </w:r>
      <w:r w:rsidRPr="0038527F">
        <w:rPr>
          <w:rFonts w:hint="cs"/>
          <w:rtl/>
        </w:rPr>
        <w:t>صاحب الشكوى إن الحالة الأمنية في</w:t>
      </w:r>
      <w:r>
        <w:rPr>
          <w:rFonts w:hint="cs"/>
          <w:rtl/>
        </w:rPr>
        <w:t xml:space="preserve"> المد</w:t>
      </w:r>
      <w:r w:rsidRPr="0038527F">
        <w:rPr>
          <w:rFonts w:hint="cs"/>
          <w:rtl/>
        </w:rPr>
        <w:t>ي</w:t>
      </w:r>
      <w:r>
        <w:rPr>
          <w:rFonts w:hint="cs"/>
          <w:rtl/>
        </w:rPr>
        <w:t>ن</w:t>
      </w:r>
      <w:r w:rsidRPr="0038527F">
        <w:rPr>
          <w:rFonts w:hint="cs"/>
          <w:rtl/>
        </w:rPr>
        <w:t xml:space="preserve">ة </w:t>
      </w:r>
      <w:r w:rsidR="003A7509">
        <w:rPr>
          <w:rFonts w:hint="cs"/>
          <w:rtl/>
        </w:rPr>
        <w:t>لا</w:t>
      </w:r>
      <w:r w:rsidRPr="0038527F">
        <w:rPr>
          <w:rFonts w:hint="cs"/>
          <w:rtl/>
        </w:rPr>
        <w:t xml:space="preserve"> تزال غير مستقرة. وتعيش أسرة صاحب الشكوى في أوروبا، وبالتالي لم تعد له هناك أي روابط في تركيا، فما بالك ب</w:t>
      </w:r>
      <w:r>
        <w:rPr>
          <w:rFonts w:hint="cs"/>
          <w:rtl/>
        </w:rPr>
        <w:t>اسطنبول</w:t>
      </w:r>
      <w:r w:rsidRPr="0038527F">
        <w:rPr>
          <w:rFonts w:hint="cs"/>
          <w:rtl/>
        </w:rPr>
        <w:t xml:space="preserve">، حيث </w:t>
      </w:r>
      <w:r w:rsidR="003A7509">
        <w:rPr>
          <w:rFonts w:hint="cs"/>
          <w:rtl/>
        </w:rPr>
        <w:t xml:space="preserve">لم تكن له </w:t>
      </w:r>
      <w:r w:rsidRPr="0038527F">
        <w:rPr>
          <w:rFonts w:hint="cs"/>
          <w:rtl/>
        </w:rPr>
        <w:t xml:space="preserve">قبل مغادرتها </w:t>
      </w:r>
      <w:r w:rsidR="003A7509">
        <w:rPr>
          <w:rFonts w:hint="cs"/>
          <w:rtl/>
        </w:rPr>
        <w:t xml:space="preserve">أي صلات </w:t>
      </w:r>
      <w:r w:rsidRPr="0038527F">
        <w:rPr>
          <w:rFonts w:hint="cs"/>
          <w:rtl/>
        </w:rPr>
        <w:t xml:space="preserve">اجتماعية أو أسرية. وأضاف قائلاً إن الظروف التي يمكن في ظلها أن يكون الملاذ الآمن الداخلي حلاً، وهي فرصة صاحب الشكوى في </w:t>
      </w:r>
      <w:r w:rsidR="003A7509">
        <w:rPr>
          <w:rFonts w:hint="cs"/>
          <w:rtl/>
        </w:rPr>
        <w:t xml:space="preserve">الاستقرار من جديد </w:t>
      </w:r>
      <w:r w:rsidRPr="0038527F">
        <w:rPr>
          <w:rFonts w:hint="cs"/>
          <w:rtl/>
        </w:rPr>
        <w:t xml:space="preserve">والعيش بكرامة، غير موجودة. وبالإضافة إلى ذلك، تمارس السلطات التركية القمع في جميع أنحاء البلد، بما في ذلك </w:t>
      </w:r>
      <w:r>
        <w:rPr>
          <w:rFonts w:hint="cs"/>
          <w:rtl/>
        </w:rPr>
        <w:t>اسطنبول</w:t>
      </w:r>
      <w:r w:rsidRPr="0038527F">
        <w:rPr>
          <w:rFonts w:hint="cs"/>
          <w:rtl/>
        </w:rPr>
        <w:t>.</w:t>
      </w:r>
    </w:p>
    <w:p w:rsidR="0052191A" w:rsidRPr="0038527F" w:rsidRDefault="0052191A" w:rsidP="006477A6">
      <w:pPr>
        <w:pStyle w:val="SingleTxtGA"/>
        <w:rPr>
          <w:rFonts w:hint="cs"/>
          <w:rtl/>
        </w:rPr>
      </w:pPr>
      <w:r w:rsidRPr="0038527F">
        <w:rPr>
          <w:rFonts w:hint="cs"/>
          <w:rtl/>
        </w:rPr>
        <w:t>5-7</w:t>
      </w:r>
      <w:r w:rsidRPr="0038527F">
        <w:rPr>
          <w:rFonts w:hint="cs"/>
          <w:rtl/>
        </w:rPr>
        <w:tab/>
        <w:t>ويلاحظ صاحب الشكوى أيضاً أنه سيتعين عليه العودة عبر مطار، حيث ستفتشه السلطات تلقائي</w:t>
      </w:r>
      <w:r>
        <w:rPr>
          <w:rFonts w:hint="cs"/>
          <w:rtl/>
        </w:rPr>
        <w:t>اً</w:t>
      </w:r>
      <w:r w:rsidRPr="0038527F">
        <w:rPr>
          <w:rFonts w:hint="cs"/>
          <w:rtl/>
        </w:rPr>
        <w:t xml:space="preserve">، </w:t>
      </w:r>
      <w:r>
        <w:rPr>
          <w:rFonts w:hint="cs"/>
          <w:rtl/>
        </w:rPr>
        <w:t>وستجد</w:t>
      </w:r>
      <w:r w:rsidRPr="0038527F">
        <w:rPr>
          <w:rFonts w:hint="cs"/>
          <w:rtl/>
        </w:rPr>
        <w:t xml:space="preserve"> أنه ابن عم عضو في حزب العمال الكردستاني يقضي حالياً عقوبة بالسجن مدى الحياة. وبالتالي </w:t>
      </w:r>
      <w:r w:rsidR="006477A6">
        <w:rPr>
          <w:rFonts w:hint="cs"/>
          <w:rtl/>
        </w:rPr>
        <w:t xml:space="preserve">هناك احتمال كبير لأن يُلقى القبض عليه ويُحتجز </w:t>
      </w:r>
      <w:r w:rsidRPr="0038527F">
        <w:rPr>
          <w:rFonts w:hint="cs"/>
          <w:rtl/>
        </w:rPr>
        <w:t>إلى أجل غير مسمى. وسيكون الاستجواب نفسه بمثابة اضطهاد، قد يعرض أيضاً أفراداً آخرين من أسرة صاحب الشكوى</w:t>
      </w:r>
      <w:r w:rsidR="006477A6">
        <w:rPr>
          <w:rFonts w:hint="cs"/>
          <w:rtl/>
        </w:rPr>
        <w:t xml:space="preserve"> للخطر</w:t>
      </w:r>
      <w:r w:rsidRPr="0038527F">
        <w:rPr>
          <w:rFonts w:hint="cs"/>
          <w:rtl/>
        </w:rPr>
        <w:t>. وبالتالي هناك خطر حقيقي لتعرض صاحب الشكو</w:t>
      </w:r>
      <w:r>
        <w:rPr>
          <w:rFonts w:hint="cs"/>
          <w:rtl/>
        </w:rPr>
        <w:t>ى إلى التعذيب إن عاد إلى تركيا.</w:t>
      </w:r>
    </w:p>
    <w:p w:rsidR="0052191A" w:rsidRPr="00A37E0F" w:rsidRDefault="0052191A" w:rsidP="006477A6">
      <w:pPr>
        <w:pStyle w:val="SingleTxtGA"/>
        <w:rPr>
          <w:rFonts w:hint="cs"/>
          <w:spacing w:val="-4"/>
          <w:rtl/>
        </w:rPr>
      </w:pPr>
      <w:r w:rsidRPr="00A37E0F">
        <w:rPr>
          <w:rFonts w:hint="cs"/>
          <w:spacing w:val="-4"/>
          <w:rtl/>
        </w:rPr>
        <w:t>5-8</w:t>
      </w:r>
      <w:r w:rsidRPr="00A37E0F">
        <w:rPr>
          <w:rFonts w:hint="cs"/>
          <w:spacing w:val="-4"/>
          <w:rtl/>
        </w:rPr>
        <w:tab/>
        <w:t xml:space="preserve">وفي 1 حزيران/يونيه 2010، أبلغ صاحب الشكوى اللجنة بأنه قدم طلباً للمراجعة </w:t>
      </w:r>
      <w:r w:rsidR="006477A6">
        <w:rPr>
          <w:rFonts w:hint="cs"/>
          <w:spacing w:val="-4"/>
          <w:rtl/>
        </w:rPr>
        <w:t xml:space="preserve">إلى </w:t>
      </w:r>
      <w:r w:rsidRPr="00A37E0F">
        <w:rPr>
          <w:rFonts w:hint="cs"/>
          <w:spacing w:val="-4"/>
          <w:rtl/>
        </w:rPr>
        <w:t xml:space="preserve">المكتب الاتحادي لشؤون الهجرة في 31 أيار/مايو 2010. ويقوم طلب المراجعة هذا على شهادة أدلى بها رئيس قرية تيلكلر في 26 آذار/مارس 2010، </w:t>
      </w:r>
      <w:r w:rsidR="006477A6">
        <w:rPr>
          <w:rFonts w:hint="cs"/>
          <w:spacing w:val="-4"/>
          <w:rtl/>
        </w:rPr>
        <w:t>و</w:t>
      </w:r>
      <w:r w:rsidRPr="00A37E0F">
        <w:rPr>
          <w:rFonts w:hint="cs"/>
          <w:spacing w:val="-4"/>
          <w:rtl/>
        </w:rPr>
        <w:t xml:space="preserve">يتحدث فيها عن الفخ الذي قيل إنه نُصب لصاحب الشكوى عندما ذهب إلى بيت امرأة </w:t>
      </w:r>
      <w:r>
        <w:rPr>
          <w:rFonts w:hint="cs"/>
          <w:spacing w:val="-4"/>
          <w:rtl/>
        </w:rPr>
        <w:t>متزوجة (انظر الفقرة 2-8 أعلاه).</w:t>
      </w:r>
    </w:p>
    <w:p w:rsidR="0052191A" w:rsidRPr="00436897" w:rsidRDefault="0052191A" w:rsidP="0052191A">
      <w:pPr>
        <w:pStyle w:val="H23GA"/>
        <w:rPr>
          <w:rFonts w:hint="cs"/>
          <w:rtl/>
        </w:rPr>
      </w:pPr>
      <w:r>
        <w:rPr>
          <w:rtl/>
        </w:rPr>
        <w:tab/>
      </w:r>
      <w:r>
        <w:rPr>
          <w:rFonts w:hint="cs"/>
          <w:rtl/>
        </w:rPr>
        <w:tab/>
      </w:r>
      <w:r w:rsidRPr="00436897">
        <w:rPr>
          <w:rFonts w:hint="cs"/>
          <w:rtl/>
        </w:rPr>
        <w:t>ملاحظات إضافية من الدولة الطرف</w:t>
      </w:r>
    </w:p>
    <w:p w:rsidR="0052191A" w:rsidRPr="0038527F" w:rsidRDefault="0052191A" w:rsidP="006477A6">
      <w:pPr>
        <w:pStyle w:val="SingleTxtGA"/>
        <w:rPr>
          <w:rFonts w:hint="cs"/>
          <w:rtl/>
        </w:rPr>
      </w:pPr>
      <w:r w:rsidRPr="0038527F">
        <w:rPr>
          <w:rFonts w:hint="cs"/>
          <w:rtl/>
        </w:rPr>
        <w:t>6-</w:t>
      </w:r>
      <w:r w:rsidRPr="0038527F">
        <w:rPr>
          <w:rFonts w:hint="cs"/>
          <w:rtl/>
        </w:rPr>
        <w:tab/>
        <w:t xml:space="preserve">في مذكرة شفوية بتاريخ 16 تموز/يوليه 2010، أبلغت الدولة الطرف اللجنة </w:t>
      </w:r>
      <w:r>
        <w:rPr>
          <w:rFonts w:hint="cs"/>
          <w:rtl/>
        </w:rPr>
        <w:t>ب</w:t>
      </w:r>
      <w:r w:rsidRPr="0038527F">
        <w:rPr>
          <w:rFonts w:hint="cs"/>
          <w:rtl/>
        </w:rPr>
        <w:t xml:space="preserve">طلب المراجعة الذي قدمه صاحب الشكوى </w:t>
      </w:r>
      <w:r w:rsidR="006477A6">
        <w:rPr>
          <w:rFonts w:hint="cs"/>
          <w:rtl/>
        </w:rPr>
        <w:t xml:space="preserve">إلى </w:t>
      </w:r>
      <w:r w:rsidRPr="0038527F">
        <w:rPr>
          <w:rFonts w:hint="cs"/>
          <w:rtl/>
        </w:rPr>
        <w:t>المكتب الاتحادي لشؤون الهجرة في 31 أيار/</w:t>
      </w:r>
      <w:r>
        <w:rPr>
          <w:rFonts w:hint="cs"/>
          <w:rtl/>
        </w:rPr>
        <w:t xml:space="preserve"> </w:t>
      </w:r>
      <w:r w:rsidRPr="0038527F">
        <w:rPr>
          <w:rFonts w:hint="cs"/>
          <w:rtl/>
        </w:rPr>
        <w:t>مايو</w:t>
      </w:r>
      <w:r w:rsidR="006477A6">
        <w:rPr>
          <w:rFonts w:hint="eastAsia"/>
          <w:rtl/>
        </w:rPr>
        <w:t> </w:t>
      </w:r>
      <w:r w:rsidRPr="0038527F">
        <w:rPr>
          <w:rFonts w:hint="cs"/>
          <w:rtl/>
        </w:rPr>
        <w:t>2010. ووفقاً للدولة الطرف فقد رفض المكتب الاتحادي لشؤون الهجرة هذا الطلب في 14 حزيران/يونيه 2010، وأكدت المحكمة الإدارية الاتحادية هذا الرفض في 9 تموز/</w:t>
      </w:r>
      <w:r>
        <w:rPr>
          <w:rFonts w:hint="cs"/>
          <w:rtl/>
        </w:rPr>
        <w:t xml:space="preserve"> </w:t>
      </w:r>
      <w:r w:rsidRPr="0038527F">
        <w:rPr>
          <w:rFonts w:hint="cs"/>
          <w:rtl/>
        </w:rPr>
        <w:t>يوليه</w:t>
      </w:r>
      <w:r>
        <w:rPr>
          <w:rFonts w:hint="eastAsia"/>
          <w:rtl/>
        </w:rPr>
        <w:t> </w:t>
      </w:r>
      <w:r w:rsidRPr="0038527F">
        <w:rPr>
          <w:rFonts w:hint="cs"/>
          <w:rtl/>
        </w:rPr>
        <w:t>2010. وفي ظل هذه الظروف، تبلغ الدولة الطرف اللجنة بأنها</w:t>
      </w:r>
      <w:r w:rsidR="006477A6">
        <w:rPr>
          <w:rFonts w:hint="cs"/>
          <w:rtl/>
        </w:rPr>
        <w:t xml:space="preserve">، بصفة استثنائية </w:t>
      </w:r>
      <w:r w:rsidRPr="0038527F">
        <w:rPr>
          <w:rFonts w:hint="cs"/>
          <w:rtl/>
        </w:rPr>
        <w:t>لا</w:t>
      </w:r>
      <w:r w:rsidR="006477A6">
        <w:rPr>
          <w:rFonts w:hint="eastAsia"/>
          <w:rtl/>
        </w:rPr>
        <w:t> </w:t>
      </w:r>
      <w:r w:rsidRPr="0038527F">
        <w:rPr>
          <w:rFonts w:hint="cs"/>
          <w:rtl/>
        </w:rPr>
        <w:t>تطعن في مقبولية البلاغ لأن سبل الانتصاف المحلية قد استنفدت مرة أخرى.</w:t>
      </w:r>
    </w:p>
    <w:p w:rsidR="0052191A" w:rsidRPr="00436897" w:rsidRDefault="0052191A" w:rsidP="0052191A">
      <w:pPr>
        <w:pStyle w:val="H23GA"/>
        <w:rPr>
          <w:rFonts w:hint="cs"/>
          <w:rtl/>
        </w:rPr>
      </w:pPr>
      <w:r>
        <w:rPr>
          <w:rtl/>
        </w:rPr>
        <w:tab/>
      </w:r>
      <w:r>
        <w:rPr>
          <w:rFonts w:hint="cs"/>
          <w:rtl/>
        </w:rPr>
        <w:tab/>
        <w:t>ملاحظات إضافية من صاحب الشكوى</w:t>
      </w:r>
    </w:p>
    <w:p w:rsidR="0052191A" w:rsidRPr="0038527F" w:rsidRDefault="0052191A" w:rsidP="0052191A">
      <w:pPr>
        <w:pStyle w:val="SingleTxtGA"/>
        <w:rPr>
          <w:rFonts w:hint="cs"/>
          <w:rtl/>
        </w:rPr>
      </w:pPr>
      <w:r w:rsidRPr="0038527F">
        <w:rPr>
          <w:rFonts w:hint="cs"/>
          <w:rtl/>
        </w:rPr>
        <w:t>7-</w:t>
      </w:r>
      <w:r w:rsidRPr="0038527F">
        <w:rPr>
          <w:rFonts w:hint="cs"/>
          <w:rtl/>
        </w:rPr>
        <w:tab/>
        <w:t>في 9 تموز/يوليه 2012، قدّم صاحب الشكوى إلى اللجنة نسخة من قرار للمحكمة الإدارية الاتحادية صادر بتاريخ 18 حزيران/يونيه 2012 بشأن طلب رابع للمراجعة، قُدم في</w:t>
      </w:r>
      <w:r>
        <w:rPr>
          <w:rFonts w:hint="eastAsia"/>
          <w:rtl/>
        </w:rPr>
        <w:t> </w:t>
      </w:r>
      <w:r w:rsidRPr="0038527F">
        <w:rPr>
          <w:rFonts w:hint="cs"/>
          <w:rtl/>
        </w:rPr>
        <w:t>23 كانون الأول/ديسمبر 2010 عندما كانت القضية معروضة أساساً أمام اللجنة. وفي</w:t>
      </w:r>
      <w:r>
        <w:rPr>
          <w:rFonts w:hint="eastAsia"/>
          <w:rtl/>
        </w:rPr>
        <w:t> </w:t>
      </w:r>
      <w:r w:rsidRPr="0038527F">
        <w:rPr>
          <w:rFonts w:hint="cs"/>
          <w:rtl/>
        </w:rPr>
        <w:t xml:space="preserve">12 كانون الثاني/يناير 2011، رفض المكتب الاتحادي لشؤون الهجرة هذا الطلب، الذي كان يستند إلى تقرير طبي يشير إلى حالة صاحب الشكوى الصحية ويفيد بتدهورها. والسبب الذي دعاه إلى ذلك أن مقدمي الطلبات كثيراً ما </w:t>
      </w:r>
      <w:r>
        <w:rPr>
          <w:rFonts w:hint="cs"/>
          <w:rtl/>
        </w:rPr>
        <w:t>يُصدمون</w:t>
      </w:r>
      <w:r w:rsidRPr="0038527F">
        <w:rPr>
          <w:rFonts w:hint="cs"/>
          <w:rtl/>
        </w:rPr>
        <w:t xml:space="preserve"> </w:t>
      </w:r>
      <w:r>
        <w:rPr>
          <w:rFonts w:hint="cs"/>
          <w:rtl/>
        </w:rPr>
        <w:t>ب</w:t>
      </w:r>
      <w:r w:rsidRPr="0038527F">
        <w:rPr>
          <w:rFonts w:hint="cs"/>
          <w:rtl/>
        </w:rPr>
        <w:t xml:space="preserve">رفض طلبات </w:t>
      </w:r>
      <w:r>
        <w:rPr>
          <w:rFonts w:hint="cs"/>
          <w:rtl/>
        </w:rPr>
        <w:t>لجوئهم</w:t>
      </w:r>
      <w:r w:rsidRPr="0038527F">
        <w:rPr>
          <w:rFonts w:hint="cs"/>
          <w:rtl/>
        </w:rPr>
        <w:t xml:space="preserve">، لكن من واجب الأفراد الطبيين مساعدة صاحب الطلب </w:t>
      </w:r>
      <w:r>
        <w:rPr>
          <w:rFonts w:hint="cs"/>
          <w:rtl/>
        </w:rPr>
        <w:t>في التسليم بأنه</w:t>
      </w:r>
      <w:r w:rsidRPr="0038527F">
        <w:rPr>
          <w:rFonts w:hint="cs"/>
          <w:rtl/>
        </w:rPr>
        <w:t xml:space="preserve"> </w:t>
      </w:r>
      <w:r>
        <w:rPr>
          <w:rFonts w:hint="cs"/>
          <w:rtl/>
        </w:rPr>
        <w:t>عائد</w:t>
      </w:r>
      <w:r w:rsidRPr="0038527F">
        <w:rPr>
          <w:rFonts w:hint="cs"/>
          <w:rtl/>
        </w:rPr>
        <w:t xml:space="preserve"> إلى تركيا وأنه سيحصل على متابعة طبية ملائمة لدى وصوله هناك. وأيدت المحكمة الإدارية الاتحادية ذلك الرفض في 18 حزيران/يونيه 2012، وبالتالي تكون سبل الانتصاف الم</w:t>
      </w:r>
      <w:r>
        <w:rPr>
          <w:rFonts w:hint="cs"/>
          <w:rtl/>
        </w:rPr>
        <w:t>حلية قد استنفدت في</w:t>
      </w:r>
      <w:r>
        <w:rPr>
          <w:rFonts w:hint="eastAsia"/>
          <w:rtl/>
        </w:rPr>
        <w:t> </w:t>
      </w:r>
      <w:r>
        <w:rPr>
          <w:rFonts w:hint="cs"/>
          <w:rtl/>
        </w:rPr>
        <w:t>هذه المرحلة.</w:t>
      </w:r>
    </w:p>
    <w:p w:rsidR="0052191A" w:rsidRPr="0038527F" w:rsidRDefault="0052191A" w:rsidP="0052191A">
      <w:pPr>
        <w:pStyle w:val="H23GA"/>
        <w:spacing w:line="360" w:lineRule="exact"/>
        <w:rPr>
          <w:rFonts w:hint="cs"/>
          <w:rtl/>
        </w:rPr>
      </w:pPr>
      <w:r>
        <w:rPr>
          <w:rtl/>
        </w:rPr>
        <w:tab/>
      </w:r>
      <w:r>
        <w:rPr>
          <w:rFonts w:hint="cs"/>
          <w:rtl/>
        </w:rPr>
        <w:tab/>
      </w:r>
      <w:r w:rsidRPr="0038527F">
        <w:rPr>
          <w:rFonts w:hint="cs"/>
          <w:rtl/>
        </w:rPr>
        <w:t>المسائل والإجراءات المعروضة على اللجنة</w:t>
      </w:r>
    </w:p>
    <w:p w:rsidR="0052191A" w:rsidRPr="0038527F" w:rsidRDefault="0052191A" w:rsidP="0052191A">
      <w:pPr>
        <w:pStyle w:val="H4GA"/>
        <w:spacing w:line="360" w:lineRule="exact"/>
        <w:rPr>
          <w:rFonts w:hint="cs"/>
          <w:rtl/>
        </w:rPr>
      </w:pPr>
      <w:r>
        <w:rPr>
          <w:rtl/>
        </w:rPr>
        <w:tab/>
      </w:r>
      <w:r>
        <w:rPr>
          <w:rFonts w:hint="cs"/>
          <w:rtl/>
        </w:rPr>
        <w:tab/>
      </w:r>
      <w:r w:rsidRPr="0038527F">
        <w:rPr>
          <w:rFonts w:hint="cs"/>
          <w:rtl/>
        </w:rPr>
        <w:t>النظر في المقبولية</w:t>
      </w:r>
    </w:p>
    <w:p w:rsidR="0052191A" w:rsidRPr="0038527F" w:rsidRDefault="0052191A" w:rsidP="0052191A">
      <w:pPr>
        <w:pStyle w:val="SingleTxtGA"/>
        <w:keepNext/>
        <w:keepLines/>
        <w:spacing w:line="360" w:lineRule="exact"/>
        <w:rPr>
          <w:rFonts w:hint="cs"/>
          <w:rtl/>
        </w:rPr>
      </w:pPr>
      <w:r w:rsidRPr="0038527F">
        <w:rPr>
          <w:rFonts w:hint="cs"/>
          <w:rtl/>
        </w:rPr>
        <w:t>8-1</w:t>
      </w:r>
      <w:r w:rsidRPr="0038527F">
        <w:rPr>
          <w:rFonts w:hint="cs"/>
          <w:rtl/>
        </w:rPr>
        <w:tab/>
        <w:t xml:space="preserve">قبل النظر في أي شكوى </w:t>
      </w:r>
      <w:r>
        <w:rPr>
          <w:rFonts w:hint="cs"/>
          <w:rtl/>
        </w:rPr>
        <w:t>واردة</w:t>
      </w:r>
      <w:r w:rsidRPr="0038527F">
        <w:rPr>
          <w:rFonts w:hint="cs"/>
          <w:rtl/>
        </w:rPr>
        <w:t xml:space="preserve"> في بلاغ، يتعين على لجنة مناهضة التعذيب أن تبت فيما إذا كان البلاغ مقبولاً أم لا بموجب المادة 22 من الاتفاقية. وقد تأكدت اللجنة حسبما</w:t>
      </w:r>
      <w:r>
        <w:rPr>
          <w:rFonts w:hint="eastAsia"/>
          <w:rtl/>
        </w:rPr>
        <w:t> </w:t>
      </w:r>
      <w:r w:rsidRPr="0038527F">
        <w:rPr>
          <w:rFonts w:hint="cs"/>
          <w:rtl/>
        </w:rPr>
        <w:t xml:space="preserve">تقتضيه الفقرة 5(أ) من المادة 22 من الاتفاقية، من أن المسألة نفسها لم تبحث ولا يجري بحثها في إطار أي إجراء آخر من إجراءات التحقيق الدولي أو التسوية الدولية. </w:t>
      </w:r>
    </w:p>
    <w:p w:rsidR="0052191A" w:rsidRPr="0063208F" w:rsidRDefault="0052191A" w:rsidP="006477A6">
      <w:pPr>
        <w:pStyle w:val="SingleTxtGA"/>
        <w:spacing w:line="360" w:lineRule="exact"/>
        <w:rPr>
          <w:rFonts w:hint="cs"/>
          <w:spacing w:val="-2"/>
          <w:rtl/>
        </w:rPr>
      </w:pPr>
      <w:r w:rsidRPr="0063208F">
        <w:rPr>
          <w:rFonts w:hint="cs"/>
          <w:spacing w:val="-2"/>
          <w:rtl/>
        </w:rPr>
        <w:t>8-2</w:t>
      </w:r>
      <w:r w:rsidRPr="0063208F">
        <w:rPr>
          <w:rFonts w:hint="cs"/>
          <w:spacing w:val="-2"/>
          <w:rtl/>
        </w:rPr>
        <w:tab/>
        <w:t>ورغم أن الدولة الطرف قد طعنت في البداية في مقبولية البلاغ بموجب الفقرة</w:t>
      </w:r>
      <w:r w:rsidRPr="0063208F">
        <w:rPr>
          <w:rFonts w:hint="eastAsia"/>
          <w:spacing w:val="-2"/>
          <w:rtl/>
        </w:rPr>
        <w:t> </w:t>
      </w:r>
      <w:r w:rsidRPr="0063208F">
        <w:rPr>
          <w:rFonts w:hint="cs"/>
          <w:spacing w:val="-2"/>
          <w:rtl/>
        </w:rPr>
        <w:t xml:space="preserve">5(ب) من المادة 22 من الاتفاقية لأن صاحب الشكوى قدم طلباً لمراجعة طلب حصوله على اللجوء في 31 أيار/مايو 2010، أقرت لاحقاً بأن قرار المحكمة الإدارية الاتحادية الصادر بتاريخ 9 تموز/يوليه 2010 والقاضي برفض طلبه الجديد هذا </w:t>
      </w:r>
      <w:r w:rsidR="006477A6">
        <w:rPr>
          <w:rFonts w:hint="cs"/>
          <w:spacing w:val="-2"/>
          <w:rtl/>
        </w:rPr>
        <w:t xml:space="preserve">يشير </w:t>
      </w:r>
      <w:r w:rsidRPr="0063208F">
        <w:rPr>
          <w:rFonts w:hint="cs"/>
          <w:spacing w:val="-2"/>
          <w:rtl/>
        </w:rPr>
        <w:t>مرة أخرى إلى استنفاد سُبل الانتصاف المحلية. ولا يبدو أن الطلب الرابع للمراجعة، الذي يشير إليه صاحب الشكوى في ملاحظته الإضافية، يجعل البلاغ غير مقبول أيضاً، لأن ذلك الطلب قد</w:t>
      </w:r>
      <w:r>
        <w:rPr>
          <w:rFonts w:hint="eastAsia"/>
          <w:spacing w:val="-2"/>
          <w:rtl/>
        </w:rPr>
        <w:t> </w:t>
      </w:r>
      <w:r w:rsidRPr="0063208F">
        <w:rPr>
          <w:rFonts w:hint="cs"/>
          <w:spacing w:val="-2"/>
          <w:rtl/>
        </w:rPr>
        <w:t>رُفض كذلك. وبما أن جميع معايير المقبولية، بما في ذلك استنفاد سُبل الانتصاف المحلية، قد</w:t>
      </w:r>
      <w:r>
        <w:rPr>
          <w:rFonts w:hint="eastAsia"/>
          <w:spacing w:val="-2"/>
          <w:rtl/>
        </w:rPr>
        <w:t> </w:t>
      </w:r>
      <w:r w:rsidRPr="0063208F">
        <w:rPr>
          <w:rFonts w:hint="cs"/>
          <w:spacing w:val="-2"/>
          <w:rtl/>
        </w:rPr>
        <w:t>استوفيت، ترى اللجنة أن البلاغ مقبول وتشرع في النظر في الأسس الموضوعية.</w:t>
      </w:r>
    </w:p>
    <w:p w:rsidR="0052191A" w:rsidRPr="0038527F" w:rsidRDefault="0052191A" w:rsidP="0052191A">
      <w:pPr>
        <w:pStyle w:val="H4GA"/>
        <w:spacing w:line="360" w:lineRule="exact"/>
        <w:rPr>
          <w:rFonts w:hint="cs"/>
          <w:rtl/>
        </w:rPr>
      </w:pPr>
      <w:r>
        <w:rPr>
          <w:rtl/>
        </w:rPr>
        <w:tab/>
      </w:r>
      <w:r>
        <w:rPr>
          <w:rFonts w:hint="cs"/>
          <w:rtl/>
        </w:rPr>
        <w:tab/>
      </w:r>
      <w:r w:rsidRPr="0038527F">
        <w:rPr>
          <w:rFonts w:hint="cs"/>
          <w:rtl/>
        </w:rPr>
        <w:t>النظر في الأسس الموضوعية</w:t>
      </w:r>
    </w:p>
    <w:p w:rsidR="0052191A" w:rsidRPr="0038527F" w:rsidRDefault="0052191A" w:rsidP="001C2582">
      <w:pPr>
        <w:pStyle w:val="SingleTxtGA"/>
        <w:rPr>
          <w:rFonts w:hint="cs"/>
          <w:rtl/>
        </w:rPr>
      </w:pPr>
      <w:r w:rsidRPr="0038527F">
        <w:rPr>
          <w:rFonts w:hint="cs"/>
          <w:rtl/>
        </w:rPr>
        <w:t>9-1</w:t>
      </w:r>
      <w:r w:rsidRPr="0038527F">
        <w:rPr>
          <w:rFonts w:hint="cs"/>
          <w:rtl/>
        </w:rPr>
        <w:tab/>
        <w:t xml:space="preserve">المسألة المعروضة أمام اللجنة </w:t>
      </w:r>
      <w:r w:rsidR="006477A6">
        <w:rPr>
          <w:rFonts w:hint="cs"/>
          <w:rtl/>
        </w:rPr>
        <w:t xml:space="preserve">تتعلق بتحديد </w:t>
      </w:r>
      <w:r w:rsidRPr="0038527F">
        <w:rPr>
          <w:rFonts w:hint="cs"/>
          <w:rtl/>
        </w:rPr>
        <w:t>ما إذا كانت إعادة صاحب الشكوى إلى تركيا ستشكل انتهاكاً لالتزام الدولة الطرف بموجب المادة 3 من الاتفاقية بألا تطرد أي شخص أو</w:t>
      </w:r>
      <w:r>
        <w:rPr>
          <w:rFonts w:hint="eastAsia"/>
          <w:rtl/>
        </w:rPr>
        <w:t> </w:t>
      </w:r>
      <w:r w:rsidRPr="0038527F">
        <w:rPr>
          <w:rFonts w:hint="cs"/>
          <w:rtl/>
        </w:rPr>
        <w:t>تعيده (ترده) إلى دولة توجد فيها أسباب موضوعية تدعو إلى الاعتقاد بأن الشخص سيواجه خطر التعرض للتعذيب.</w:t>
      </w:r>
    </w:p>
    <w:p w:rsidR="0052191A" w:rsidRPr="0038527F" w:rsidRDefault="0052191A" w:rsidP="001C2582">
      <w:pPr>
        <w:pStyle w:val="SingleTxtGA"/>
        <w:rPr>
          <w:rFonts w:hint="cs"/>
          <w:rtl/>
        </w:rPr>
      </w:pPr>
      <w:r w:rsidRPr="0038527F">
        <w:rPr>
          <w:rFonts w:hint="cs"/>
          <w:rtl/>
        </w:rPr>
        <w:t>9-2</w:t>
      </w:r>
      <w:r w:rsidRPr="0038527F">
        <w:rPr>
          <w:rFonts w:hint="cs"/>
          <w:rtl/>
        </w:rPr>
        <w:tab/>
        <w:t>ولدى تقييم ما إذا كانت هناك أسباب موضوعية تدعو إلى الاعتقاد بأن صاحب الشكوى معرض لخطر التعذيب إن أُعيد إلى تركيا</w:t>
      </w:r>
      <w:r w:rsidR="006477A6">
        <w:rPr>
          <w:rFonts w:hint="cs"/>
          <w:rtl/>
        </w:rPr>
        <w:t>،</w:t>
      </w:r>
      <w:r w:rsidRPr="0038527F">
        <w:rPr>
          <w:rFonts w:hint="cs"/>
          <w:rtl/>
        </w:rPr>
        <w:t xml:space="preserve"> يتعين على اللجنة أن تراعي جميع الاعتبارات ذات الصلة، بما في ذلك وجود نمط ثابت من الانتهاكات الفادحة أو الصارخة أو</w:t>
      </w:r>
      <w:r>
        <w:rPr>
          <w:rFonts w:hint="eastAsia"/>
          <w:rtl/>
        </w:rPr>
        <w:t> </w:t>
      </w:r>
      <w:r w:rsidRPr="0038527F">
        <w:rPr>
          <w:rFonts w:hint="cs"/>
          <w:rtl/>
        </w:rPr>
        <w:t xml:space="preserve">الجماعية لحقوق الإنسان في تركيا. بيد أن المسألة التي يتعين تحديدها هي ما إذا كان صاحب الشكوى سيتعرض شخصياً لخطر التعذيب في البلد الذي سيُعاد إليها. </w:t>
      </w:r>
    </w:p>
    <w:p w:rsidR="0052191A" w:rsidRPr="0038527F" w:rsidRDefault="0052191A" w:rsidP="001E45D5">
      <w:pPr>
        <w:pStyle w:val="SingleTxtGA"/>
        <w:rPr>
          <w:rFonts w:hint="cs"/>
          <w:rtl/>
        </w:rPr>
      </w:pPr>
      <w:r w:rsidRPr="006477A6">
        <w:rPr>
          <w:rFonts w:hint="cs"/>
          <w:rtl/>
        </w:rPr>
        <w:t>9-3</w:t>
      </w:r>
      <w:r w:rsidRPr="006477A6">
        <w:rPr>
          <w:rFonts w:hint="cs"/>
          <w:rtl/>
        </w:rPr>
        <w:tab/>
        <w:t xml:space="preserve">وتُذكِّر اللجنة بتعليقها العام بشأن تنفيذ المادة 3 من الاتفاقية، والذي تذكر فيه أن خطر التعذيب يجب تقييمه على أُسس تتجاوز مجرد </w:t>
      </w:r>
      <w:r w:rsidR="006477A6" w:rsidRPr="006477A6">
        <w:rPr>
          <w:rFonts w:hint="cs"/>
          <w:rtl/>
        </w:rPr>
        <w:t xml:space="preserve">النظرية </w:t>
      </w:r>
      <w:r w:rsidRPr="006477A6">
        <w:rPr>
          <w:rFonts w:hint="cs"/>
          <w:rtl/>
        </w:rPr>
        <w:t xml:space="preserve">أو الشك. ورغم أنه ليس من الضروري أن يبدو الخطر شديد الاحتمال، تُذكر اللجنة بأن عبء الإثبات يقع عادة على عاتق صاحب الشكوى، الذي يجب عليه أن </w:t>
      </w:r>
      <w:r w:rsidR="006477A6" w:rsidRPr="006477A6">
        <w:rPr>
          <w:rFonts w:hint="cs"/>
          <w:rtl/>
        </w:rPr>
        <w:t>يت</w:t>
      </w:r>
      <w:r w:rsidRPr="006477A6">
        <w:rPr>
          <w:rFonts w:hint="cs"/>
          <w:rtl/>
        </w:rPr>
        <w:t xml:space="preserve">قدم بحجج </w:t>
      </w:r>
      <w:r w:rsidR="006477A6" w:rsidRPr="006477A6">
        <w:rPr>
          <w:rFonts w:hint="cs"/>
          <w:rtl/>
        </w:rPr>
        <w:t xml:space="preserve">مقنعة </w:t>
      </w:r>
      <w:r w:rsidRPr="006477A6">
        <w:rPr>
          <w:rFonts w:hint="cs"/>
          <w:rtl/>
        </w:rPr>
        <w:t xml:space="preserve">تُثبت أنه مُعرض لخطر "متوقع، وحقيقي وشخصي". وتذكِّر اللجنة أيضاً بأنها وفقاً </w:t>
      </w:r>
      <w:r w:rsidR="006477A6" w:rsidRPr="006477A6">
        <w:rPr>
          <w:rFonts w:hint="cs"/>
          <w:rtl/>
        </w:rPr>
        <w:t>ل</w:t>
      </w:r>
      <w:r w:rsidRPr="006477A6">
        <w:rPr>
          <w:rFonts w:hint="cs"/>
          <w:rtl/>
        </w:rPr>
        <w:t>تعليقها العام رقم</w:t>
      </w:r>
      <w:r w:rsidR="001E45D5">
        <w:rPr>
          <w:rFonts w:hint="eastAsia"/>
          <w:rtl/>
        </w:rPr>
        <w:t> </w:t>
      </w:r>
      <w:r w:rsidRPr="006477A6">
        <w:rPr>
          <w:rFonts w:hint="cs"/>
          <w:rtl/>
        </w:rPr>
        <w:t>1(1996)</w:t>
      </w:r>
      <w:r w:rsidRPr="006477A6">
        <w:rPr>
          <w:vertAlign w:val="superscript"/>
          <w:rtl/>
        </w:rPr>
        <w:t>(</w:t>
      </w:r>
      <w:r w:rsidRPr="006477A6">
        <w:rPr>
          <w:b/>
          <w:vertAlign w:val="superscript"/>
          <w:rtl/>
        </w:rPr>
        <w:footnoteReference w:id="47"/>
      </w:r>
      <w:r w:rsidRPr="006477A6">
        <w:rPr>
          <w:vertAlign w:val="superscript"/>
          <w:rtl/>
        </w:rPr>
        <w:t>)</w:t>
      </w:r>
      <w:r w:rsidRPr="006477A6">
        <w:rPr>
          <w:rFonts w:hint="cs"/>
          <w:rtl/>
        </w:rPr>
        <w:t xml:space="preserve">، تولي أهمية كبيرة لنتائج هيئات الدولة </w:t>
      </w:r>
      <w:r w:rsidR="006477A6">
        <w:rPr>
          <w:rFonts w:hint="cs"/>
          <w:rtl/>
        </w:rPr>
        <w:t>ا</w:t>
      </w:r>
      <w:r w:rsidRPr="006477A6">
        <w:rPr>
          <w:rFonts w:hint="cs"/>
          <w:rtl/>
        </w:rPr>
        <w:t xml:space="preserve">لطرف، </w:t>
      </w:r>
      <w:r w:rsidR="0065521B">
        <w:rPr>
          <w:rFonts w:hint="cs"/>
          <w:rtl/>
        </w:rPr>
        <w:t xml:space="preserve">ولكن لها أن </w:t>
      </w:r>
      <w:r w:rsidRPr="006477A6">
        <w:rPr>
          <w:rFonts w:hint="cs"/>
          <w:rtl/>
        </w:rPr>
        <w:t>تقيِّم بحرية وقائع</w:t>
      </w:r>
      <w:r>
        <w:rPr>
          <w:rFonts w:hint="cs"/>
          <w:rtl/>
        </w:rPr>
        <w:t xml:space="preserve"> كل قضية في ضوء ظروف</w:t>
      </w:r>
      <w:r w:rsidR="0065521B">
        <w:rPr>
          <w:rFonts w:hint="cs"/>
          <w:rtl/>
        </w:rPr>
        <w:t>ها الخاصة.</w:t>
      </w:r>
    </w:p>
    <w:p w:rsidR="0052191A" w:rsidRPr="0038527F" w:rsidRDefault="0052191A" w:rsidP="00F66E8F">
      <w:pPr>
        <w:pStyle w:val="SingleTxtGA"/>
        <w:rPr>
          <w:rFonts w:hint="cs"/>
          <w:rtl/>
        </w:rPr>
      </w:pPr>
      <w:r w:rsidRPr="0038527F">
        <w:rPr>
          <w:rFonts w:hint="cs"/>
          <w:rtl/>
        </w:rPr>
        <w:t>9-4</w:t>
      </w:r>
      <w:r w:rsidRPr="0038527F">
        <w:rPr>
          <w:rFonts w:hint="cs"/>
          <w:rtl/>
        </w:rPr>
        <w:tab/>
        <w:t xml:space="preserve">وفي هذه القضية، ترى اللجنة أن الوقائع المعروضة لا تتيح لها أن تخلص إلى أن صاحب الشكوى </w:t>
      </w:r>
      <w:r w:rsidR="00F66E8F">
        <w:rPr>
          <w:rFonts w:hint="cs"/>
          <w:rtl/>
        </w:rPr>
        <w:t xml:space="preserve">معرض شخصياً في الوقت الراهن لخطر تعذيب حقيقي ومتوقع </w:t>
      </w:r>
      <w:r w:rsidRPr="0038527F">
        <w:rPr>
          <w:rFonts w:hint="cs"/>
          <w:rtl/>
        </w:rPr>
        <w:t xml:space="preserve">في حال عودته إلى تركيا. ورغم أن المكتب الاتحادي السويسري لشؤون الهجرة قرر عدم النظر في </w:t>
      </w:r>
      <w:r w:rsidR="00F66E8F">
        <w:rPr>
          <w:rFonts w:hint="cs"/>
          <w:rtl/>
        </w:rPr>
        <w:t xml:space="preserve">قضية </w:t>
      </w:r>
      <w:r w:rsidRPr="0038527F">
        <w:rPr>
          <w:rFonts w:hint="cs"/>
          <w:rtl/>
        </w:rPr>
        <w:t xml:space="preserve">صاحب الشكوى </w:t>
      </w:r>
      <w:r w:rsidR="00F66E8F">
        <w:rPr>
          <w:rFonts w:hint="cs"/>
          <w:rtl/>
        </w:rPr>
        <w:t xml:space="preserve">لأن طلب حصوله </w:t>
      </w:r>
      <w:r w:rsidRPr="0038527F">
        <w:rPr>
          <w:rFonts w:hint="cs"/>
          <w:rtl/>
        </w:rPr>
        <w:t xml:space="preserve">على اللجوء سبق النظر فيه في ألمانيا (قواعد دبلن الثانية)، نظر المكتب الاتحادي لشؤون الهجرة في ادعاءات صاحب الشكوى تعرضه لخطر التعذيب ثم نظرت في ذلك المحكمة </w:t>
      </w:r>
      <w:r w:rsidR="00F66E8F">
        <w:rPr>
          <w:rFonts w:hint="cs"/>
          <w:rtl/>
        </w:rPr>
        <w:t>الإدارية الاتحادية. ومع ذلك، لم يتقدم</w:t>
      </w:r>
      <w:r w:rsidRPr="0038527F">
        <w:rPr>
          <w:rFonts w:hint="cs"/>
          <w:rtl/>
        </w:rPr>
        <w:t xml:space="preserve"> صاحب الشكوى بحجج </w:t>
      </w:r>
      <w:r w:rsidR="00F66E8F">
        <w:rPr>
          <w:rFonts w:hint="cs"/>
          <w:rtl/>
        </w:rPr>
        <w:t xml:space="preserve">مقنعة </w:t>
      </w:r>
      <w:r w:rsidRPr="0038527F">
        <w:rPr>
          <w:rFonts w:hint="cs"/>
          <w:rtl/>
        </w:rPr>
        <w:t xml:space="preserve">تُثبت أنه سيتعرض لخطر متوقع وحقيقي وشخصي إن هو أُعيد إلى تركيا بسبب </w:t>
      </w:r>
      <w:r w:rsidR="00F66E8F">
        <w:rPr>
          <w:rFonts w:hint="cs"/>
          <w:rtl/>
        </w:rPr>
        <w:t xml:space="preserve">علاقته بمنظمة </w:t>
      </w:r>
      <w:r w:rsidRPr="0038527F">
        <w:rPr>
          <w:rFonts w:hint="cs"/>
          <w:rtl/>
        </w:rPr>
        <w:t xml:space="preserve">تدعم حزب العمال الكردستاني </w:t>
      </w:r>
      <w:r w:rsidR="00F66E8F">
        <w:rPr>
          <w:rFonts w:hint="cs"/>
          <w:rtl/>
        </w:rPr>
        <w:t xml:space="preserve">وصلاته </w:t>
      </w:r>
      <w:r w:rsidRPr="0038527F">
        <w:rPr>
          <w:rFonts w:hint="cs"/>
          <w:rtl/>
        </w:rPr>
        <w:t xml:space="preserve">الأسرية بأشخاص </w:t>
      </w:r>
      <w:r w:rsidR="00F66E8F">
        <w:rPr>
          <w:rFonts w:hint="cs"/>
          <w:rtl/>
        </w:rPr>
        <w:t xml:space="preserve">مرتبطين </w:t>
      </w:r>
      <w:r w:rsidRPr="0038527F">
        <w:rPr>
          <w:rFonts w:hint="cs"/>
          <w:rtl/>
        </w:rPr>
        <w:t>بحزب العمال الكردستاني.</w:t>
      </w:r>
    </w:p>
    <w:p w:rsidR="0052191A" w:rsidRPr="00ED5E28" w:rsidRDefault="0052191A" w:rsidP="00ED5E28">
      <w:pPr>
        <w:pStyle w:val="SingleTxtGA"/>
        <w:rPr>
          <w:rFonts w:hint="cs"/>
          <w:spacing w:val="-2"/>
          <w:rtl/>
        </w:rPr>
      </w:pPr>
      <w:r w:rsidRPr="0038527F">
        <w:rPr>
          <w:rFonts w:hint="cs"/>
          <w:rtl/>
        </w:rPr>
        <w:t>9-5</w:t>
      </w:r>
      <w:r w:rsidRPr="0038527F">
        <w:rPr>
          <w:rFonts w:hint="cs"/>
          <w:rtl/>
        </w:rPr>
        <w:tab/>
        <w:t>وتلاحظ اللجنة أن صاحب الشكوى لم يقدم أي دليل يُثبت أنه سيتعرض لخطر شخصي، من قبيل وجود أي إجراءات جنائية بدوافع سياسية ضد</w:t>
      </w:r>
      <w:r>
        <w:rPr>
          <w:rFonts w:hint="cs"/>
          <w:rtl/>
        </w:rPr>
        <w:t>ه</w:t>
      </w:r>
      <w:r w:rsidRPr="0038527F">
        <w:rPr>
          <w:rFonts w:hint="cs"/>
          <w:rtl/>
        </w:rPr>
        <w:t xml:space="preserve">، بما أنه لا يوجد أي شيء يُثبت أن الإجراءات الجنائية التي اتُخذت ضده في تركيا، والتي انتهت بالبراءة، هي ذات أبعاد سياسية. ولم يُوثِّق صاحب الشكوى أيضاً ادعاءاته بإساءة المعاملة </w:t>
      </w:r>
      <w:r w:rsidR="00F66E8F">
        <w:rPr>
          <w:rFonts w:hint="cs"/>
          <w:rtl/>
        </w:rPr>
        <w:t xml:space="preserve">أثناء عمليات إلقام القبض عليه في تركيا، ولم يقدم في جميع الأحوال </w:t>
      </w:r>
      <w:r w:rsidRPr="0038527F">
        <w:rPr>
          <w:rFonts w:hint="cs"/>
          <w:rtl/>
        </w:rPr>
        <w:t xml:space="preserve">معلومات مفصَّلة بشأن ذلك، أو يُفسر </w:t>
      </w:r>
      <w:r w:rsidRPr="00ED5E28">
        <w:rPr>
          <w:rFonts w:hint="cs"/>
          <w:spacing w:val="-2"/>
          <w:rtl/>
        </w:rPr>
        <w:t>كيف تمكن من العيش والعمل في اسطنبول لمدة سنة دون مشاكل مع السلطات التركية؛ كما</w:t>
      </w:r>
      <w:r w:rsidR="00ED5E28">
        <w:rPr>
          <w:rFonts w:hint="eastAsia"/>
          <w:spacing w:val="-2"/>
          <w:rtl/>
        </w:rPr>
        <w:t> </w:t>
      </w:r>
      <w:r w:rsidRPr="00ED5E28">
        <w:rPr>
          <w:rFonts w:hint="cs"/>
          <w:spacing w:val="-2"/>
          <w:rtl/>
        </w:rPr>
        <w:t xml:space="preserve">أنه لم يُقدم دليلاً يُثبت علم السلطة التركية </w:t>
      </w:r>
      <w:r w:rsidR="00F66E8F" w:rsidRPr="00ED5E28">
        <w:rPr>
          <w:rFonts w:hint="cs"/>
          <w:spacing w:val="-2"/>
          <w:rtl/>
        </w:rPr>
        <w:t xml:space="preserve">بأنشطته </w:t>
      </w:r>
      <w:r w:rsidRPr="00ED5E28">
        <w:rPr>
          <w:rFonts w:hint="cs"/>
          <w:spacing w:val="-2"/>
          <w:rtl/>
        </w:rPr>
        <w:t>النضالية في فرنسا وألمانيا وأن هذه الأنشطة قد تعرضه للخطر في بلده الأصلي. وترى اللجنة كذلك أن الحجج التي ساقها صاحب الشكوى فيما يتعلق بحالة حزب المجتمع الديمقراطي (جماعة سياسية خلفت الحزب الديمقراطي الشعبي) والسكان الأكراد عموماً لا تكفي لإثبات احتمال تعرضه لخطر شخصي.</w:t>
      </w:r>
    </w:p>
    <w:p w:rsidR="0052191A" w:rsidRPr="0038527F" w:rsidRDefault="0052191A" w:rsidP="00F66E8F">
      <w:pPr>
        <w:pStyle w:val="SingleTxtGA"/>
        <w:rPr>
          <w:rFonts w:hint="cs"/>
          <w:rtl/>
        </w:rPr>
      </w:pPr>
      <w:r w:rsidRPr="0038527F">
        <w:rPr>
          <w:rFonts w:hint="cs"/>
          <w:rtl/>
        </w:rPr>
        <w:t>9-6</w:t>
      </w:r>
      <w:r w:rsidRPr="0038527F">
        <w:rPr>
          <w:rFonts w:hint="cs"/>
          <w:rtl/>
        </w:rPr>
        <w:tab/>
        <w:t>و</w:t>
      </w:r>
      <w:r w:rsidR="00F66E8F">
        <w:rPr>
          <w:rFonts w:hint="cs"/>
          <w:rtl/>
        </w:rPr>
        <w:t>في ضوء جميع المعلومات المتاحة</w:t>
      </w:r>
      <w:r w:rsidRPr="0038527F">
        <w:rPr>
          <w:rFonts w:hint="cs"/>
          <w:rtl/>
        </w:rPr>
        <w:t>، ترى اللجنة أن صاحب الشكوى لم يُقدم ما</w:t>
      </w:r>
      <w:r>
        <w:rPr>
          <w:rFonts w:hint="eastAsia"/>
          <w:rtl/>
        </w:rPr>
        <w:t> </w:t>
      </w:r>
      <w:r w:rsidRPr="0038527F">
        <w:rPr>
          <w:rFonts w:hint="cs"/>
          <w:rtl/>
        </w:rPr>
        <w:t>يكفي من الأدلة لإثبات تعرضه لخطر متوقع وحقيقي وشخصي للتعذيب إن هو أُعيد إلى بلده الأصلي.</w:t>
      </w:r>
    </w:p>
    <w:p w:rsidR="0052191A" w:rsidRPr="00B653A3" w:rsidRDefault="0052191A" w:rsidP="00F66E8F">
      <w:pPr>
        <w:pStyle w:val="SingleTxtGA"/>
        <w:rPr>
          <w:rFonts w:hint="cs"/>
          <w:spacing w:val="-4"/>
          <w:rtl/>
        </w:rPr>
      </w:pPr>
      <w:r w:rsidRPr="00B653A3">
        <w:rPr>
          <w:rFonts w:hint="cs"/>
          <w:spacing w:val="-4"/>
          <w:rtl/>
        </w:rPr>
        <w:t>10-</w:t>
      </w:r>
      <w:r w:rsidRPr="00B653A3">
        <w:rPr>
          <w:rFonts w:hint="cs"/>
          <w:spacing w:val="-4"/>
          <w:rtl/>
        </w:rPr>
        <w:tab/>
        <w:t>وعليه، فإن لجنة مناهضة التعذيب، إذ تتصرف بموجب الفقرة 7 من المادة 22 من اتفاقية مناهضة التعذيب وغير ذلك من ضروب المعاملة أو العقوبة القاسية أو اللاإنسانية أو</w:t>
      </w:r>
      <w:r>
        <w:rPr>
          <w:rFonts w:hint="cs"/>
          <w:spacing w:val="-4"/>
          <w:rtl/>
        </w:rPr>
        <w:t xml:space="preserve"> </w:t>
      </w:r>
      <w:r w:rsidRPr="00B653A3">
        <w:rPr>
          <w:rFonts w:hint="cs"/>
          <w:spacing w:val="-4"/>
          <w:rtl/>
        </w:rPr>
        <w:t xml:space="preserve">المهينة، تخلص إلى أن عودة صاحب الشكوى إلى تركيا </w:t>
      </w:r>
      <w:r w:rsidR="00F66E8F">
        <w:rPr>
          <w:rFonts w:hint="cs"/>
          <w:spacing w:val="-4"/>
          <w:rtl/>
        </w:rPr>
        <w:t xml:space="preserve">لن </w:t>
      </w:r>
      <w:r w:rsidRPr="00B653A3">
        <w:rPr>
          <w:rFonts w:hint="cs"/>
          <w:spacing w:val="-4"/>
          <w:rtl/>
        </w:rPr>
        <w:t>تشكل انتهاكاً للمادة 3 من الاتفاقية.</w:t>
      </w:r>
    </w:p>
    <w:p w:rsidR="006D2BE7" w:rsidRDefault="006D2BE7" w:rsidP="003241B0">
      <w:pPr>
        <w:pStyle w:val="SingleTxtGA"/>
        <w:rPr>
          <w:rFonts w:eastAsia="SimSun" w:hint="cs"/>
          <w:b/>
          <w:bCs/>
          <w:rtl/>
          <w:lang w:eastAsia="zh-CN"/>
        </w:rPr>
      </w:pPr>
    </w:p>
    <w:p w:rsidR="006D2BE7" w:rsidRDefault="006D2BE7" w:rsidP="003241B0">
      <w:pPr>
        <w:pStyle w:val="SingleTxtGA"/>
        <w:rPr>
          <w:rFonts w:eastAsia="SimSun" w:hint="cs"/>
          <w:b/>
          <w:bCs/>
          <w:rtl/>
          <w:lang w:eastAsia="zh-CN"/>
        </w:rPr>
        <w:sectPr w:rsidR="006D2BE7" w:rsidSect="00F1742A">
          <w:footnotePr>
            <w:numFmt w:val="arabicAbjad"/>
            <w:numRestart w:val="eachSect"/>
          </w:footnotePr>
          <w:endnotePr>
            <w:numFmt w:val="decimal"/>
          </w:endnotePr>
          <w:pgSz w:w="11907" w:h="16840" w:code="9"/>
          <w:pgMar w:top="1701" w:right="1134" w:bottom="2268" w:left="1134" w:header="1134" w:footer="1701" w:gutter="0"/>
          <w:cols w:space="720"/>
          <w:bidi/>
          <w:rtlGutter/>
          <w:docGrid w:linePitch="360"/>
        </w:sectPr>
      </w:pPr>
    </w:p>
    <w:p w:rsidR="006D2BE7" w:rsidRPr="006D2BE7" w:rsidRDefault="006D2BE7" w:rsidP="006D2BE7">
      <w:pPr>
        <w:pStyle w:val="H1GA"/>
        <w:spacing w:before="120"/>
        <w:rPr>
          <w:i/>
          <w:iCs/>
          <w:lang w:val="fr-CH"/>
        </w:rPr>
      </w:pPr>
      <w:r>
        <w:rPr>
          <w:rtl/>
          <w:lang w:val="fr-CH"/>
        </w:rPr>
        <w:tab/>
      </w:r>
      <w:r>
        <w:rPr>
          <w:rFonts w:hint="cs"/>
          <w:rtl/>
          <w:lang w:val="fr-CH"/>
        </w:rPr>
        <w:tab/>
        <w:t xml:space="preserve">البلاغ رقم 392/2009: </w:t>
      </w:r>
      <w:r w:rsidRPr="006D2BE7">
        <w:rPr>
          <w:rFonts w:hint="cs"/>
          <w:i/>
          <w:iCs/>
          <w:rtl/>
          <w:lang w:val="fr-CH"/>
        </w:rPr>
        <w:t>ر. س. م. ضد كندا</w:t>
      </w:r>
    </w:p>
    <w:p w:rsidR="006D2BE7" w:rsidRDefault="006D2BE7" w:rsidP="006D2BE7">
      <w:pPr>
        <w:pStyle w:val="SingleTxtGA"/>
        <w:tabs>
          <w:tab w:val="clear" w:pos="1928"/>
          <w:tab w:val="clear" w:pos="2608"/>
          <w:tab w:val="clear" w:pos="3289"/>
          <w:tab w:val="clear" w:pos="3969"/>
          <w:tab w:val="clear" w:pos="4649"/>
          <w:tab w:val="clear" w:pos="5330"/>
        </w:tabs>
        <w:spacing w:line="360" w:lineRule="exact"/>
        <w:ind w:left="4366" w:hanging="2438"/>
        <w:rPr>
          <w:rFonts w:hint="cs"/>
          <w:rtl/>
          <w:lang w:val="fr-CH"/>
        </w:rPr>
      </w:pPr>
      <w:r w:rsidRPr="00AD16FC">
        <w:rPr>
          <w:rFonts w:hint="cs"/>
          <w:i/>
          <w:iCs/>
          <w:spacing w:val="-4"/>
          <w:rtl/>
          <w:lang w:val="fr-CH"/>
        </w:rPr>
        <w:t>المقدَّم</w:t>
      </w:r>
      <w:r w:rsidRPr="00E060A5">
        <w:rPr>
          <w:rFonts w:hint="cs"/>
          <w:i/>
          <w:iCs/>
          <w:rtl/>
          <w:lang w:val="fr-CH"/>
        </w:rPr>
        <w:t xml:space="preserve"> من</w:t>
      </w:r>
      <w:r w:rsidRPr="006D2BE7">
        <w:rPr>
          <w:rFonts w:hint="cs"/>
          <w:rtl/>
          <w:lang w:val="fr-CH"/>
        </w:rPr>
        <w:t>:</w:t>
      </w:r>
      <w:r>
        <w:rPr>
          <w:rFonts w:hint="cs"/>
          <w:rtl/>
          <w:lang w:val="fr-CH"/>
        </w:rPr>
        <w:tab/>
        <w:t>ر</w:t>
      </w:r>
      <w:r w:rsidRPr="00E060A5">
        <w:rPr>
          <w:rFonts w:hint="cs"/>
          <w:rtl/>
          <w:lang w:val="fr-CH"/>
        </w:rPr>
        <w:t>.</w:t>
      </w:r>
      <w:r>
        <w:rPr>
          <w:rFonts w:hint="cs"/>
          <w:rtl/>
          <w:lang w:val="fr-CH"/>
        </w:rPr>
        <w:t xml:space="preserve"> س. م. (يمثِّله المحامي كارلوس هويوس - تيلو)</w:t>
      </w:r>
    </w:p>
    <w:p w:rsidR="006D2BE7" w:rsidRDefault="006D2BE7" w:rsidP="006D2BE7">
      <w:pPr>
        <w:pStyle w:val="SingleTxtGA"/>
        <w:tabs>
          <w:tab w:val="clear" w:pos="1928"/>
          <w:tab w:val="clear" w:pos="2608"/>
          <w:tab w:val="clear" w:pos="3289"/>
          <w:tab w:val="clear" w:pos="3969"/>
          <w:tab w:val="clear" w:pos="4649"/>
          <w:tab w:val="clear" w:pos="5330"/>
        </w:tabs>
        <w:spacing w:line="360" w:lineRule="exact"/>
        <w:ind w:left="4366" w:hanging="2438"/>
        <w:rPr>
          <w:rFonts w:hint="cs"/>
          <w:rtl/>
          <w:lang w:val="fr-CH"/>
        </w:rPr>
      </w:pPr>
      <w:r w:rsidRPr="00AD16FC">
        <w:rPr>
          <w:rFonts w:hint="cs"/>
          <w:i/>
          <w:iCs/>
          <w:spacing w:val="-4"/>
          <w:rtl/>
          <w:lang w:val="fr-CH"/>
        </w:rPr>
        <w:t>الشخص</w:t>
      </w:r>
      <w:r w:rsidRPr="00DB020A">
        <w:rPr>
          <w:rFonts w:hint="cs"/>
          <w:i/>
          <w:iCs/>
          <w:rtl/>
          <w:lang w:val="fr-CH"/>
        </w:rPr>
        <w:t xml:space="preserve"> المدّعى أنه ضحية</w:t>
      </w:r>
      <w:r w:rsidRPr="006D2BE7">
        <w:rPr>
          <w:rFonts w:hint="cs"/>
          <w:rtl/>
          <w:lang w:val="fr-CH"/>
        </w:rPr>
        <w:t>:</w:t>
      </w:r>
      <w:r>
        <w:rPr>
          <w:rFonts w:hint="cs"/>
          <w:rtl/>
          <w:lang w:val="fr-CH"/>
        </w:rPr>
        <w:tab/>
        <w:t>ر</w:t>
      </w:r>
      <w:r w:rsidRPr="00E060A5">
        <w:rPr>
          <w:rFonts w:hint="cs"/>
          <w:rtl/>
          <w:lang w:val="fr-CH"/>
        </w:rPr>
        <w:t>.</w:t>
      </w:r>
      <w:r>
        <w:rPr>
          <w:rFonts w:hint="cs"/>
          <w:rtl/>
          <w:lang w:val="fr-CH"/>
        </w:rPr>
        <w:t xml:space="preserve"> س. م.</w:t>
      </w:r>
    </w:p>
    <w:p w:rsidR="006D2BE7" w:rsidRDefault="006D2BE7" w:rsidP="006D2BE7">
      <w:pPr>
        <w:pStyle w:val="SingleTxtGA"/>
        <w:tabs>
          <w:tab w:val="clear" w:pos="1928"/>
          <w:tab w:val="clear" w:pos="2608"/>
          <w:tab w:val="clear" w:pos="3289"/>
          <w:tab w:val="clear" w:pos="3969"/>
          <w:tab w:val="clear" w:pos="4649"/>
          <w:tab w:val="clear" w:pos="5330"/>
        </w:tabs>
        <w:spacing w:line="360" w:lineRule="exact"/>
        <w:ind w:left="4366" w:hanging="2438"/>
        <w:rPr>
          <w:rFonts w:hint="cs"/>
          <w:rtl/>
          <w:lang w:val="fr-CH"/>
        </w:rPr>
      </w:pPr>
      <w:r w:rsidRPr="00AD16FC">
        <w:rPr>
          <w:rFonts w:hint="cs"/>
          <w:i/>
          <w:iCs/>
          <w:spacing w:val="-4"/>
          <w:rtl/>
          <w:lang w:val="fr-CH"/>
        </w:rPr>
        <w:t>الدولة</w:t>
      </w:r>
      <w:r w:rsidRPr="00DB020A">
        <w:rPr>
          <w:rFonts w:hint="cs"/>
          <w:i/>
          <w:iCs/>
          <w:rtl/>
          <w:lang w:val="fr-CH"/>
        </w:rPr>
        <w:t xml:space="preserve"> الطرف</w:t>
      </w:r>
      <w:r w:rsidRPr="006D2BE7">
        <w:rPr>
          <w:rFonts w:hint="cs"/>
          <w:rtl/>
          <w:lang w:val="fr-CH"/>
        </w:rPr>
        <w:t>:</w:t>
      </w:r>
      <w:r>
        <w:rPr>
          <w:rFonts w:hint="cs"/>
          <w:rtl/>
          <w:lang w:val="fr-CH"/>
        </w:rPr>
        <w:tab/>
        <w:t>كندا</w:t>
      </w:r>
    </w:p>
    <w:p w:rsidR="006D2BE7" w:rsidRPr="00DB020A" w:rsidRDefault="006D2BE7" w:rsidP="006D2BE7">
      <w:pPr>
        <w:pStyle w:val="SingleTxtGA"/>
        <w:tabs>
          <w:tab w:val="clear" w:pos="1928"/>
          <w:tab w:val="clear" w:pos="2608"/>
          <w:tab w:val="clear" w:pos="3289"/>
          <w:tab w:val="clear" w:pos="3969"/>
          <w:tab w:val="clear" w:pos="4649"/>
          <w:tab w:val="clear" w:pos="5330"/>
        </w:tabs>
        <w:spacing w:line="360" w:lineRule="exact"/>
        <w:ind w:left="4366" w:hanging="2438"/>
        <w:rPr>
          <w:rFonts w:hint="cs"/>
          <w:spacing w:val="-4"/>
          <w:rtl/>
          <w:lang w:val="fr-CH"/>
        </w:rPr>
      </w:pPr>
      <w:r w:rsidRPr="00AD16FC">
        <w:rPr>
          <w:rFonts w:hint="cs"/>
          <w:i/>
          <w:iCs/>
          <w:spacing w:val="-4"/>
          <w:rtl/>
          <w:lang w:val="fr-CH"/>
        </w:rPr>
        <w:t>تاريخ</w:t>
      </w:r>
      <w:r w:rsidRPr="00E060A5">
        <w:rPr>
          <w:rFonts w:hint="cs"/>
          <w:iCs/>
          <w:rtl/>
          <w:lang w:val="fr-CH"/>
        </w:rPr>
        <w:t xml:space="preserve"> تقديم الشكوى</w:t>
      </w:r>
      <w:r w:rsidRPr="006D2BE7">
        <w:rPr>
          <w:rFonts w:hint="cs"/>
          <w:i/>
          <w:rtl/>
          <w:lang w:val="fr-CH"/>
        </w:rPr>
        <w:t>:</w:t>
      </w:r>
      <w:r w:rsidRPr="00DB020A">
        <w:rPr>
          <w:rFonts w:hint="cs"/>
          <w:iCs/>
          <w:spacing w:val="-4"/>
          <w:rtl/>
          <w:lang w:val="fr-CH"/>
        </w:rPr>
        <w:tab/>
      </w:r>
      <w:r>
        <w:rPr>
          <w:rFonts w:hint="cs"/>
          <w:spacing w:val="-4"/>
          <w:rtl/>
          <w:lang w:val="fr-CH"/>
        </w:rPr>
        <w:t>9</w:t>
      </w:r>
      <w:r w:rsidRPr="00DB020A">
        <w:rPr>
          <w:rFonts w:hint="cs"/>
          <w:spacing w:val="-4"/>
          <w:rtl/>
          <w:lang w:val="fr-CH"/>
        </w:rPr>
        <w:t xml:space="preserve"> تموز/يوليه 200</w:t>
      </w:r>
      <w:r>
        <w:rPr>
          <w:rFonts w:hint="cs"/>
          <w:spacing w:val="-4"/>
          <w:rtl/>
          <w:lang w:val="fr-CH"/>
        </w:rPr>
        <w:t>9</w:t>
      </w:r>
      <w:r w:rsidRPr="00DB020A">
        <w:rPr>
          <w:rFonts w:hint="cs"/>
          <w:spacing w:val="-4"/>
          <w:rtl/>
          <w:lang w:val="fr-CH"/>
        </w:rPr>
        <w:t xml:space="preserve"> (تاريخ الرسالة الأولى)</w:t>
      </w:r>
    </w:p>
    <w:p w:rsidR="006D2BE7" w:rsidRDefault="006D2BE7" w:rsidP="006D2BE7">
      <w:pPr>
        <w:pStyle w:val="SingleTxtGA"/>
        <w:spacing w:line="360" w:lineRule="exact"/>
        <w:rPr>
          <w:rFonts w:hint="cs"/>
          <w:rtl/>
          <w:lang w:val="fr-CH"/>
        </w:rPr>
      </w:pPr>
      <w:r>
        <w:rPr>
          <w:i/>
          <w:iCs/>
          <w:rtl/>
          <w:lang w:val="fr-CH"/>
        </w:rPr>
        <w:tab/>
      </w:r>
      <w:r w:rsidRPr="00DB020A">
        <w:rPr>
          <w:rFonts w:hint="cs"/>
          <w:i/>
          <w:iCs/>
          <w:rtl/>
          <w:lang w:val="fr-CH"/>
        </w:rPr>
        <w:t>إن لجنة مناهضة التعذيب</w:t>
      </w:r>
      <w:r>
        <w:rPr>
          <w:rFonts w:hint="cs"/>
          <w:rtl/>
          <w:lang w:val="fr-CH"/>
        </w:rPr>
        <w:t>، المنشأة بموجب المادة 17 من اتفاقية مناهضة التعذيب وغيره من ضروب المعاملة أو</w:t>
      </w:r>
      <w:r>
        <w:rPr>
          <w:rtl/>
          <w:lang w:val="fr-CH"/>
        </w:rPr>
        <w:t> </w:t>
      </w:r>
      <w:r>
        <w:rPr>
          <w:rFonts w:hint="cs"/>
          <w:rtl/>
          <w:lang w:val="fr-CH"/>
        </w:rPr>
        <w:t>العقوبة القاسية أو</w:t>
      </w:r>
      <w:r>
        <w:rPr>
          <w:rtl/>
          <w:lang w:val="fr-CH"/>
        </w:rPr>
        <w:t> </w:t>
      </w:r>
      <w:r>
        <w:rPr>
          <w:rFonts w:hint="cs"/>
          <w:rtl/>
          <w:lang w:val="fr-CH"/>
        </w:rPr>
        <w:t>اللاإنسانية أو</w:t>
      </w:r>
      <w:r>
        <w:rPr>
          <w:rtl/>
          <w:lang w:val="fr-CH"/>
        </w:rPr>
        <w:t> </w:t>
      </w:r>
      <w:r>
        <w:rPr>
          <w:rFonts w:hint="cs"/>
          <w:rtl/>
          <w:lang w:val="fr-CH"/>
        </w:rPr>
        <w:t xml:space="preserve">المهينة، </w:t>
      </w:r>
    </w:p>
    <w:p w:rsidR="006D2BE7" w:rsidRDefault="006D2BE7" w:rsidP="006D2BE7">
      <w:pPr>
        <w:pStyle w:val="SingleTxtGA"/>
        <w:spacing w:line="360" w:lineRule="exact"/>
        <w:rPr>
          <w:rFonts w:hint="cs"/>
          <w:rtl/>
          <w:lang w:val="fr-CH"/>
        </w:rPr>
      </w:pPr>
      <w:r>
        <w:rPr>
          <w:rFonts w:hint="cs"/>
          <w:rtl/>
          <w:lang w:val="fr-CH"/>
        </w:rPr>
        <w:tab/>
      </w:r>
      <w:r w:rsidRPr="00DB020A">
        <w:rPr>
          <w:rFonts w:hint="cs"/>
          <w:i/>
          <w:iCs/>
          <w:rtl/>
          <w:lang w:val="fr-CH"/>
        </w:rPr>
        <w:t>وقد اجتمعت</w:t>
      </w:r>
      <w:r>
        <w:rPr>
          <w:rFonts w:hint="cs"/>
          <w:rtl/>
          <w:lang w:val="fr-CH"/>
        </w:rPr>
        <w:t xml:space="preserve"> في 24 أيار/مايو 2013، </w:t>
      </w:r>
    </w:p>
    <w:p w:rsidR="006D2BE7" w:rsidRDefault="006D2BE7" w:rsidP="006D2BE7">
      <w:pPr>
        <w:pStyle w:val="SingleTxtGA"/>
        <w:spacing w:line="360" w:lineRule="exact"/>
        <w:rPr>
          <w:rFonts w:hint="cs"/>
          <w:rtl/>
          <w:lang w:val="fr-CH"/>
        </w:rPr>
      </w:pPr>
      <w:r>
        <w:rPr>
          <w:rFonts w:hint="cs"/>
          <w:rtl/>
          <w:lang w:val="fr-CH"/>
        </w:rPr>
        <w:tab/>
      </w:r>
      <w:r w:rsidRPr="00DB020A">
        <w:rPr>
          <w:rFonts w:hint="cs"/>
          <w:i/>
          <w:iCs/>
          <w:rtl/>
          <w:lang w:val="fr-CH"/>
        </w:rPr>
        <w:t>وقد فرغت</w:t>
      </w:r>
      <w:r>
        <w:rPr>
          <w:rFonts w:hint="cs"/>
          <w:rtl/>
          <w:lang w:val="fr-CH"/>
        </w:rPr>
        <w:t xml:space="preserve"> من النظر في الشكوى رقم 392/2009، المقدَّمة من ر. س. م. بموجب المادة 22 من اتفاقية مناهضة التعذيب وغيره من ضروب المعاملة أو</w:t>
      </w:r>
      <w:r>
        <w:rPr>
          <w:rtl/>
          <w:lang w:val="fr-CH"/>
        </w:rPr>
        <w:t> </w:t>
      </w:r>
      <w:r>
        <w:rPr>
          <w:rFonts w:hint="cs"/>
          <w:rtl/>
          <w:lang w:val="fr-CH"/>
        </w:rPr>
        <w:t>العقوبة القاسية أو</w:t>
      </w:r>
      <w:r>
        <w:rPr>
          <w:rtl/>
          <w:lang w:val="fr-CH"/>
        </w:rPr>
        <w:t> </w:t>
      </w:r>
      <w:r>
        <w:rPr>
          <w:rFonts w:hint="cs"/>
          <w:rtl/>
          <w:lang w:val="fr-CH"/>
        </w:rPr>
        <w:t>اللاإنسانية أو</w:t>
      </w:r>
      <w:r>
        <w:rPr>
          <w:rtl/>
          <w:lang w:val="fr-CH"/>
        </w:rPr>
        <w:t> </w:t>
      </w:r>
      <w:r>
        <w:rPr>
          <w:rFonts w:hint="cs"/>
          <w:rtl/>
          <w:lang w:val="fr-CH"/>
        </w:rPr>
        <w:t xml:space="preserve">المهينة، </w:t>
      </w:r>
    </w:p>
    <w:p w:rsidR="006D2BE7" w:rsidRDefault="006D2BE7" w:rsidP="006D2BE7">
      <w:pPr>
        <w:pStyle w:val="SingleTxtGA"/>
        <w:spacing w:line="360" w:lineRule="exact"/>
        <w:rPr>
          <w:rFonts w:hint="cs"/>
          <w:rtl/>
          <w:lang w:val="fr-CH"/>
        </w:rPr>
      </w:pPr>
      <w:r>
        <w:rPr>
          <w:rFonts w:hint="cs"/>
          <w:rtl/>
          <w:lang w:val="fr-CH"/>
        </w:rPr>
        <w:tab/>
      </w:r>
      <w:r w:rsidRPr="00DB020A">
        <w:rPr>
          <w:rFonts w:hint="cs"/>
          <w:i/>
          <w:iCs/>
          <w:rtl/>
          <w:lang w:val="fr-CH"/>
        </w:rPr>
        <w:t>وقد وضعت</w:t>
      </w:r>
      <w:r>
        <w:rPr>
          <w:rFonts w:hint="cs"/>
          <w:rtl/>
          <w:lang w:val="fr-CH"/>
        </w:rPr>
        <w:t xml:space="preserve"> في اعتبارها جميع المعلومات التي أتاحها لها صاحب الشكوى ومحاميه والدولة</w:t>
      </w:r>
      <w:r>
        <w:rPr>
          <w:rFonts w:hint="eastAsia"/>
          <w:rtl/>
          <w:lang w:val="fr-CH"/>
        </w:rPr>
        <w:t> </w:t>
      </w:r>
      <w:r>
        <w:rPr>
          <w:rFonts w:hint="cs"/>
          <w:rtl/>
          <w:lang w:val="fr-CH"/>
        </w:rPr>
        <w:t>الطرف،</w:t>
      </w:r>
    </w:p>
    <w:p w:rsidR="006D2BE7" w:rsidRPr="00DB020A" w:rsidRDefault="006D2BE7" w:rsidP="006D2BE7">
      <w:pPr>
        <w:pStyle w:val="SingleTxtGA"/>
        <w:spacing w:line="360" w:lineRule="exact"/>
        <w:rPr>
          <w:rFonts w:hint="cs"/>
          <w:rtl/>
          <w:lang w:val="fr-CH"/>
        </w:rPr>
      </w:pPr>
      <w:r w:rsidRPr="00DB020A">
        <w:rPr>
          <w:rFonts w:hint="cs"/>
          <w:rtl/>
          <w:lang w:val="fr-CH"/>
        </w:rPr>
        <w:tab/>
      </w:r>
      <w:r w:rsidRPr="006E1632">
        <w:rPr>
          <w:rFonts w:hint="cs"/>
          <w:i/>
          <w:iCs/>
          <w:rtl/>
          <w:lang w:val="fr-CH"/>
        </w:rPr>
        <w:t>تعتمد</w:t>
      </w:r>
      <w:r>
        <w:rPr>
          <w:rFonts w:hint="cs"/>
          <w:rtl/>
          <w:lang w:val="fr-CH"/>
        </w:rPr>
        <w:t xml:space="preserve"> </w:t>
      </w:r>
      <w:r w:rsidRPr="00F815AE">
        <w:rPr>
          <w:rFonts w:hint="cs"/>
          <w:rtl/>
          <w:lang w:val="fr-CH"/>
        </w:rPr>
        <w:t>ما</w:t>
      </w:r>
      <w:r>
        <w:rPr>
          <w:rFonts w:hint="cs"/>
          <w:rtl/>
          <w:lang w:val="fr-CH"/>
        </w:rPr>
        <w:t xml:space="preserve"> </w:t>
      </w:r>
      <w:r w:rsidRPr="00DB020A">
        <w:rPr>
          <w:rFonts w:hint="cs"/>
          <w:rtl/>
          <w:lang w:val="fr-CH"/>
        </w:rPr>
        <w:t>يلي:</w:t>
      </w:r>
    </w:p>
    <w:p w:rsidR="006D2BE7" w:rsidRPr="005A723C" w:rsidRDefault="006D2BE7" w:rsidP="006D2BE7">
      <w:pPr>
        <w:pStyle w:val="H1GA"/>
        <w:rPr>
          <w:rFonts w:hint="cs"/>
          <w:rtl/>
        </w:rPr>
      </w:pPr>
      <w:r w:rsidRPr="005A723C">
        <w:rPr>
          <w:rFonts w:hint="cs"/>
          <w:rtl/>
          <w:lang w:val="fr-CH"/>
        </w:rPr>
        <w:tab/>
      </w:r>
      <w:r w:rsidRPr="005A723C">
        <w:rPr>
          <w:rFonts w:hint="cs"/>
          <w:rtl/>
          <w:lang w:val="fr-CH"/>
        </w:rPr>
        <w:tab/>
        <w:t>قرار بموجب الفقرة 7 من المادة 22 من اتفاقية مناهضة التعذيب</w:t>
      </w:r>
    </w:p>
    <w:p w:rsidR="006D2BE7" w:rsidRPr="008413E0" w:rsidRDefault="006D2BE7" w:rsidP="00F0073E">
      <w:pPr>
        <w:pStyle w:val="SingleTxtGA"/>
        <w:rPr>
          <w:rFonts w:hint="cs"/>
          <w:rtl/>
        </w:rPr>
      </w:pPr>
      <w:r w:rsidRPr="008413E0">
        <w:rPr>
          <w:rFonts w:hint="cs"/>
          <w:rtl/>
        </w:rPr>
        <w:t>1-1</w:t>
      </w:r>
      <w:r w:rsidRPr="008413E0">
        <w:rPr>
          <w:rFonts w:hint="cs"/>
          <w:rtl/>
        </w:rPr>
        <w:tab/>
        <w:t>صاحب الشكوى، ر. س. م.، هو مواطن توغولي ولد في 7 شباط/فبراير 1965. وهو يدعي أن إعادته إلى توغو ستشكل انتهاكاً للمادة 3 من اتفاقية مناهضة التعذيب. ويمثله</w:t>
      </w:r>
      <w:r w:rsidRPr="008413E0">
        <w:rPr>
          <w:rFonts w:hint="eastAsia"/>
          <w:rtl/>
        </w:rPr>
        <w:t> </w:t>
      </w:r>
      <w:r w:rsidRPr="008413E0">
        <w:rPr>
          <w:rFonts w:hint="cs"/>
          <w:rtl/>
        </w:rPr>
        <w:t>محام.</w:t>
      </w:r>
    </w:p>
    <w:p w:rsidR="006D2BE7" w:rsidRDefault="006D2BE7" w:rsidP="00F0073E">
      <w:pPr>
        <w:pStyle w:val="SingleTxtGA"/>
        <w:rPr>
          <w:rFonts w:hint="cs"/>
          <w:rtl/>
        </w:rPr>
      </w:pPr>
      <w:r>
        <w:rPr>
          <w:rFonts w:hint="cs"/>
          <w:rtl/>
        </w:rPr>
        <w:t>1-2</w:t>
      </w:r>
      <w:r>
        <w:rPr>
          <w:rFonts w:hint="cs"/>
          <w:rtl/>
        </w:rPr>
        <w:tab/>
        <w:t>وفي 13 تموز/يوليه 2009، قرر المقرر المعني بالشكاوى الجديدة والتدابير المؤقتة ألا</w:t>
      </w:r>
      <w:r>
        <w:rPr>
          <w:rFonts w:hint="eastAsia"/>
          <w:rtl/>
        </w:rPr>
        <w:t> </w:t>
      </w:r>
      <w:r>
        <w:rPr>
          <w:rFonts w:hint="cs"/>
          <w:rtl/>
        </w:rPr>
        <w:t>يطلب إلى الدولة الطرف اتخاذ تدابير مؤقتة لوقف تنفيذ قرار إعادة صاحب الشكوى إلى</w:t>
      </w:r>
      <w:r>
        <w:rPr>
          <w:rFonts w:hint="eastAsia"/>
          <w:rtl/>
        </w:rPr>
        <w:t> </w:t>
      </w:r>
      <w:r>
        <w:rPr>
          <w:rFonts w:hint="cs"/>
          <w:rtl/>
        </w:rPr>
        <w:t>توغو.</w:t>
      </w:r>
    </w:p>
    <w:p w:rsidR="006D2BE7" w:rsidRPr="00AC2C57" w:rsidRDefault="006D2BE7" w:rsidP="006D2BE7">
      <w:pPr>
        <w:pStyle w:val="H23GA"/>
        <w:rPr>
          <w:rFonts w:hint="cs"/>
          <w:rtl/>
        </w:rPr>
      </w:pPr>
      <w:r>
        <w:rPr>
          <w:rtl/>
        </w:rPr>
        <w:tab/>
      </w:r>
      <w:r>
        <w:rPr>
          <w:rFonts w:hint="cs"/>
          <w:rtl/>
        </w:rPr>
        <w:tab/>
      </w:r>
      <w:r w:rsidRPr="00AC2C57">
        <w:rPr>
          <w:rFonts w:hint="cs"/>
          <w:rtl/>
        </w:rPr>
        <w:t xml:space="preserve">الوقائع كما عرضها صاحب </w:t>
      </w:r>
      <w:r>
        <w:rPr>
          <w:rFonts w:hint="cs"/>
          <w:rtl/>
        </w:rPr>
        <w:t>الشكوى</w:t>
      </w:r>
    </w:p>
    <w:p w:rsidR="006D2BE7" w:rsidRPr="00F0073E" w:rsidRDefault="006D2BE7" w:rsidP="006D2BE7">
      <w:pPr>
        <w:pStyle w:val="SingleTxtGA"/>
        <w:rPr>
          <w:rFonts w:hint="cs"/>
          <w:spacing w:val="-2"/>
          <w:rtl/>
        </w:rPr>
      </w:pPr>
      <w:r w:rsidRPr="00F0073E">
        <w:rPr>
          <w:rFonts w:hint="cs"/>
          <w:spacing w:val="-2"/>
          <w:rtl/>
        </w:rPr>
        <w:t>2-1</w:t>
      </w:r>
      <w:r w:rsidRPr="00F0073E">
        <w:rPr>
          <w:rFonts w:hint="cs"/>
          <w:spacing w:val="-2"/>
          <w:rtl/>
        </w:rPr>
        <w:tab/>
        <w:t>كان صاحب الشكوى عضواً في حزب اتحاد القوى من أجل التغيير المعارض في توغو منذ عام 1993. وكان في بادئ الأمر عضواً عادياً قبل أن يُنتخب في عام 2002 مسؤولاً عن شباب القوى من أجل التغيير في شعبة بي با دي سوزا الفرعية. وكان نشاطه يشمل تنظيم مؤتمرات وأنشطة رياضية واجتماعات لشباب الحي بقصد ضمهم إلى الحزب. وألقي القبض على كثير من هؤلاء الشباب عندما كانوا يوزعون منشورات بناء على طلبه. وفي</w:t>
      </w:r>
      <w:r w:rsidRPr="00F0073E">
        <w:rPr>
          <w:rFonts w:hint="eastAsia"/>
          <w:spacing w:val="-2"/>
          <w:rtl/>
        </w:rPr>
        <w:t> </w:t>
      </w:r>
      <w:r w:rsidRPr="00F0073E">
        <w:rPr>
          <w:rFonts w:hint="cs"/>
          <w:spacing w:val="-2"/>
          <w:rtl/>
        </w:rPr>
        <w:t>كل عملية من عمليات القبض تلك، كان يجري البحث عن صاحب الشكوى وكان عليه أن يختبئ.</w:t>
      </w:r>
    </w:p>
    <w:p w:rsidR="006D2BE7" w:rsidRDefault="006D2BE7" w:rsidP="001E45D5">
      <w:pPr>
        <w:pStyle w:val="SingleTxtGA"/>
        <w:rPr>
          <w:rFonts w:hint="cs"/>
          <w:rtl/>
        </w:rPr>
      </w:pPr>
      <w:r>
        <w:rPr>
          <w:rFonts w:hint="cs"/>
          <w:rtl/>
        </w:rPr>
        <w:t>2-2</w:t>
      </w:r>
      <w:r>
        <w:rPr>
          <w:rFonts w:hint="cs"/>
          <w:rtl/>
        </w:rPr>
        <w:tab/>
        <w:t>وفي آذار/مارس 2005، اختير ممثلاً لحزبه لدى "تحالف القوى الديمقراطية". وكان التحالف يتكون من "الائتلاف من أجل الديمقراطية والتنمية الشاملة"، و"لجنة العمل من أجل التجديد"، و"المؤتمر الديمقراطي للشعوب الأفريقية"، و"ميثاق الاشتراكيين من أجل التجديد"، و"اتحاد الديمقراطيين الاشتراكيين - توغو"، و"اتحاد القوى من أجل التغيير". وكان عليه أن يشارك في وضع القوائم الانتخابية استعداداً للانتخابات الرئاسية التي كانت مقررة في 24 نيسان/أبريل 2005، وتوزيع بطاقات الناخبين في مدرسة أبلوغامي رقم 2 الابتدائية، في</w:t>
      </w:r>
      <w:r>
        <w:rPr>
          <w:rFonts w:hint="eastAsia"/>
          <w:rtl/>
        </w:rPr>
        <w:t> </w:t>
      </w:r>
      <w:r>
        <w:rPr>
          <w:rFonts w:hint="cs"/>
          <w:rtl/>
        </w:rPr>
        <w:t>مركز الاقتراع رقم 2050، في بلدة لومي. وبلّغ صاحب الشكوى أعضاء التحالف عن مخالفات وقف عليها أثناء أداء مهامه، لا سيما رفض تسجيل الأشخاص الذين يعدون قريبين من المعارضة، وتضخيم القوائم الانتخابية لفائدة النظام القائم.</w:t>
      </w:r>
    </w:p>
    <w:p w:rsidR="006D2BE7" w:rsidRDefault="006D2BE7" w:rsidP="001E45D5">
      <w:pPr>
        <w:pStyle w:val="SingleTxtGA"/>
        <w:rPr>
          <w:rFonts w:hint="cs"/>
          <w:rtl/>
        </w:rPr>
      </w:pPr>
      <w:r>
        <w:rPr>
          <w:rFonts w:hint="cs"/>
          <w:rtl/>
        </w:rPr>
        <w:t>2-3</w:t>
      </w:r>
      <w:r>
        <w:rPr>
          <w:rFonts w:hint="cs"/>
          <w:rtl/>
        </w:rPr>
        <w:tab/>
        <w:t>وفي 2 نيسان/أبريل 2005، زار صاحبَ الشكوى عضوان بارزان في "تجمع الشعب التوغولي"، وهو الحزب الحاكم في توغو، وعرضا عليه مبلغ مليون فرنك من فرنكات الجماعة المالية الأفريقية مقابل تخليه عن عضويته في اتحاد القوى من أجل التغيير وانضمامه إلى التجمع. وكان المطلوب منه توظيف نفوذه في التحالف لتشجيع الشباب على التصويت لمرشح التجمع. وأكد صاحب الشكوى أنه رفض العرض.</w:t>
      </w:r>
    </w:p>
    <w:p w:rsidR="006D2BE7" w:rsidRPr="00917E38" w:rsidRDefault="006D2BE7" w:rsidP="001E45D5">
      <w:pPr>
        <w:pStyle w:val="SingleTxtGA"/>
        <w:rPr>
          <w:rFonts w:hint="cs"/>
          <w:spacing w:val="2"/>
          <w:rtl/>
        </w:rPr>
      </w:pPr>
      <w:r w:rsidRPr="00917E38">
        <w:rPr>
          <w:rFonts w:hint="cs"/>
          <w:spacing w:val="2"/>
          <w:rtl/>
        </w:rPr>
        <w:t>2-4</w:t>
      </w:r>
      <w:r w:rsidRPr="00917E38">
        <w:rPr>
          <w:rFonts w:hint="cs"/>
          <w:spacing w:val="2"/>
          <w:rtl/>
        </w:rPr>
        <w:tab/>
      </w:r>
      <w:r w:rsidRPr="008413E0">
        <w:rPr>
          <w:rFonts w:hint="cs"/>
          <w:spacing w:val="-2"/>
          <w:rtl/>
        </w:rPr>
        <w:t>وفي 16 نيسان/أبريل 2005، وهو موعد شن التحالف حملته الانتخابية رسمياً، بينما</w:t>
      </w:r>
      <w:r>
        <w:rPr>
          <w:rFonts w:hint="eastAsia"/>
          <w:spacing w:val="-2"/>
          <w:rtl/>
        </w:rPr>
        <w:t> </w:t>
      </w:r>
      <w:r w:rsidRPr="008413E0">
        <w:rPr>
          <w:rFonts w:hint="cs"/>
          <w:spacing w:val="-2"/>
          <w:rtl/>
        </w:rPr>
        <w:t>كان صاحب الشكوى عائدا</w:t>
      </w:r>
      <w:r>
        <w:rPr>
          <w:rFonts w:hint="cs"/>
          <w:spacing w:val="-2"/>
          <w:rtl/>
        </w:rPr>
        <w:t>ً</w:t>
      </w:r>
      <w:r w:rsidRPr="008413E0">
        <w:rPr>
          <w:rFonts w:hint="cs"/>
          <w:spacing w:val="-2"/>
          <w:rtl/>
        </w:rPr>
        <w:t xml:space="preserve"> من اجتماع برئاسة زعيم اتحاد القوى من أجل التغيير اعتدى عليه أشخاص مجهولو الهوية. وأكد أنه نجا بفضل تدخل شباب من الحي بعد أن سمعوا صرخات استغاثته. </w:t>
      </w:r>
      <w:r w:rsidRPr="0097544E">
        <w:rPr>
          <w:rFonts w:hint="cs"/>
          <w:spacing w:val="-4"/>
          <w:rtl/>
        </w:rPr>
        <w:t xml:space="preserve">وفي 24 نيسان/أبريل 2005، أي يوم الاقتراع، بينما كان يؤدي مهامه بصفته مندوب اللجنة الانتخابية المحلية المستقلة، في مركز الاقتراع رقم 2018، لمراقبة سير عملية الاقتراع زاره أحد الشخصين اللذين كانا قد عرضا عليه المبلغ يوم 2 نيسان/أبريل </w:t>
      </w:r>
      <w:r w:rsidRPr="008413E0">
        <w:rPr>
          <w:rFonts w:hint="cs"/>
          <w:spacing w:val="-2"/>
          <w:rtl/>
        </w:rPr>
        <w:t>2005</w:t>
      </w:r>
      <w:r w:rsidRPr="008413E0">
        <w:rPr>
          <w:rFonts w:hint="cs"/>
          <w:rtl/>
        </w:rPr>
        <w:t>،</w:t>
      </w:r>
      <w:r w:rsidRPr="00917E38">
        <w:rPr>
          <w:rFonts w:hint="cs"/>
          <w:spacing w:val="2"/>
          <w:rtl/>
        </w:rPr>
        <w:t xml:space="preserve"> واسمه س. ت.،</w:t>
      </w:r>
      <w:r>
        <w:rPr>
          <w:rFonts w:hint="cs"/>
          <w:spacing w:val="-2"/>
          <w:rtl/>
        </w:rPr>
        <w:t xml:space="preserve"> </w:t>
      </w:r>
      <w:r w:rsidRPr="008413E0">
        <w:rPr>
          <w:rFonts w:hint="cs"/>
          <w:spacing w:val="-2"/>
          <w:rtl/>
        </w:rPr>
        <w:t xml:space="preserve">وكرر عرضه مقترحاً مضاعفة المبلغ </w:t>
      </w:r>
      <w:r>
        <w:rPr>
          <w:rFonts w:hint="cs"/>
          <w:spacing w:val="-2"/>
          <w:rtl/>
        </w:rPr>
        <w:t xml:space="preserve">لكنه رفض </w:t>
      </w:r>
      <w:r w:rsidRPr="008413E0">
        <w:rPr>
          <w:rFonts w:hint="cs"/>
          <w:spacing w:val="-2"/>
          <w:rtl/>
        </w:rPr>
        <w:t>مرة أخرى وبلّغ مندوبي التحالف الآخرين الذين كانوا حاضرين في مركز الاقتراع. وانتشر الخبر بسرعة داخل المدرسة التي كان يوجد بها مركز الاقتراع، فصاح الحشد الذي كان متجمعا</w:t>
      </w:r>
      <w:r>
        <w:rPr>
          <w:rFonts w:hint="cs"/>
          <w:spacing w:val="-2"/>
          <w:rtl/>
        </w:rPr>
        <w:t>ً</w:t>
      </w:r>
      <w:r w:rsidRPr="008413E0">
        <w:rPr>
          <w:rFonts w:hint="cs"/>
          <w:spacing w:val="-2"/>
          <w:rtl/>
        </w:rPr>
        <w:t xml:space="preserve"> في الخارج في وجه س.</w:t>
      </w:r>
      <w:r w:rsidR="001E45D5">
        <w:rPr>
          <w:rFonts w:hint="eastAsia"/>
          <w:spacing w:val="-2"/>
          <w:rtl/>
        </w:rPr>
        <w:t> </w:t>
      </w:r>
      <w:r w:rsidRPr="008413E0">
        <w:rPr>
          <w:rFonts w:hint="cs"/>
          <w:spacing w:val="-2"/>
          <w:rtl/>
        </w:rPr>
        <w:t>ت.</w:t>
      </w:r>
      <w:r w:rsidRPr="00917E38">
        <w:rPr>
          <w:rFonts w:hint="cs"/>
          <w:spacing w:val="2"/>
          <w:rtl/>
        </w:rPr>
        <w:t>، ورموا سيارته</w:t>
      </w:r>
      <w:r>
        <w:rPr>
          <w:rFonts w:hint="eastAsia"/>
          <w:spacing w:val="2"/>
          <w:rtl/>
        </w:rPr>
        <w:t> </w:t>
      </w:r>
      <w:r w:rsidRPr="00917E38">
        <w:rPr>
          <w:rFonts w:hint="cs"/>
          <w:spacing w:val="2"/>
          <w:rtl/>
        </w:rPr>
        <w:t>بالحجارة. واستطاع س. ت. مغادرة المكان بعد تدخل قوات الأمن. وبعد بضع دقائق، وصل أفراد من وحدة "القبعات الحمر" في سيارتين من سيارات الجيش وبدأوا يطلقون الغاز ويضربون الحشد بالهراوات. ودخلوا مركز الاقتراع لأخذ صناديق الاقتراع، لكن الحاضرين رفضوا، فبدأوا يطلقون النار عشوائياً. واستطاع صاحب الشكوى الفرار بتسلقه سور المدرسة.</w:t>
      </w:r>
    </w:p>
    <w:p w:rsidR="006D2BE7" w:rsidRDefault="006D2BE7" w:rsidP="001E45D5">
      <w:pPr>
        <w:pStyle w:val="SingleTxtGA"/>
        <w:rPr>
          <w:rFonts w:hint="cs"/>
          <w:rtl/>
        </w:rPr>
      </w:pPr>
      <w:r>
        <w:rPr>
          <w:rFonts w:hint="cs"/>
          <w:rtl/>
        </w:rPr>
        <w:t>2-5</w:t>
      </w:r>
      <w:r>
        <w:rPr>
          <w:rFonts w:hint="cs"/>
          <w:rtl/>
        </w:rPr>
        <w:tab/>
        <w:t>وفي 26 نيسان/أبريل 2005، عندما أعلِن فوز التجمع بالانتخابات، دعا صاحب الشكوى شباب حيّه وأحياء أخرى إلى التظاهر سلمياً احتجاجاً على النتائج التي عدّها مزوَّرة. لكن العسكريين ساندوا الحكومة باستخدام العنف. وحوصرت البيوت، وشنت أعمال عنف، وارتُكبت أعمال قتل واغتصاب.</w:t>
      </w:r>
    </w:p>
    <w:p w:rsidR="006D2BE7" w:rsidRPr="00344791" w:rsidRDefault="006D2BE7" w:rsidP="00C46CC9">
      <w:pPr>
        <w:pStyle w:val="SingleTxtGA"/>
        <w:spacing w:line="370" w:lineRule="exact"/>
        <w:rPr>
          <w:rFonts w:hint="cs"/>
          <w:rtl/>
        </w:rPr>
      </w:pPr>
      <w:r w:rsidRPr="00344791">
        <w:rPr>
          <w:rFonts w:hint="cs"/>
          <w:rtl/>
        </w:rPr>
        <w:t>2-6</w:t>
      </w:r>
      <w:r w:rsidRPr="00344791">
        <w:rPr>
          <w:rFonts w:hint="cs"/>
          <w:rtl/>
        </w:rPr>
        <w:tab/>
        <w:t xml:space="preserve">واختُطف صاحب الشكوى يوم 27 نيسان/أبريل 2005 بينما كان في طريقه إلى البعثة الكاثوليكية التي كان قد لجأ إليها في اليوم السابق. واقتيد في بداية الأمر إلى دغل </w:t>
      </w:r>
      <w:r w:rsidRPr="00D72FA4">
        <w:rPr>
          <w:rFonts w:hint="cs"/>
          <w:spacing w:val="-4"/>
          <w:rtl/>
        </w:rPr>
        <w:t>يقع</w:t>
      </w:r>
      <w:r w:rsidRPr="00D72FA4">
        <w:rPr>
          <w:rFonts w:hint="eastAsia"/>
          <w:spacing w:val="-4"/>
          <w:rtl/>
        </w:rPr>
        <w:t> </w:t>
      </w:r>
      <w:r w:rsidRPr="00D72FA4">
        <w:rPr>
          <w:rFonts w:hint="cs"/>
          <w:spacing w:val="-4"/>
          <w:rtl/>
        </w:rPr>
        <w:t>خلف مقر هيئة أركان الجيش حيث كان يحتجز أشخاص آخرون قريبون من المعارضة. وعند وصوله، ضُرب بالهراوات وأعقاب البنادق. وفي اليوم التالي، رُش عليه الماء والرمل قبل أن ينهال عليه الجنود ضرباً. وبعد مضي أربعة أيام، اقتيد صاحب الشكوى معصوب العينين إلى مكان احتجاز سري يقع شمال البلاد حيث كان يُضرب يومياً ويجبر على أعمال شاقة. وقد</w:t>
      </w:r>
      <w:r w:rsidRPr="00344791">
        <w:rPr>
          <w:rFonts w:hint="cs"/>
          <w:spacing w:val="-2"/>
          <w:rtl/>
        </w:rPr>
        <w:t xml:space="preserve"> لقي بعض السجناء حتفهم فيه. وتمكن صاحب الشكوى من الهروب يوم 3 أيار/مايو 2006</w:t>
      </w:r>
      <w:r w:rsidRPr="00344791">
        <w:rPr>
          <w:rFonts w:hint="cs"/>
          <w:rtl/>
        </w:rPr>
        <w:t xml:space="preserve"> بمساعدة جندي كان زميله في الدراسة عرفه وساعده على الذهاب إلى بنن. لكنه لم يكن يشعر بالأمان في هذا البلد لأن القوات التوغولية كانت ترتكب انتهاكات خارج حدودها في حق من فرّوا من البلاد. لذا، قرر صاحب الشكوى مغادرة بنن. وفي 23 تموز/يوليه 2006، غادر إلى فرنسا بجواز فرنسي مزور في طريقه إلى كندا. وفي 25 تموز/يوليه 2006، وصل إلى كندا وذهب إلى مكتب الجنسية والهجرة في مونتريال حيث طلب اللجوء.</w:t>
      </w:r>
    </w:p>
    <w:p w:rsidR="006D2BE7" w:rsidRDefault="006D2BE7" w:rsidP="00C46CC9">
      <w:pPr>
        <w:pStyle w:val="SingleTxtGA"/>
        <w:spacing w:line="370" w:lineRule="exact"/>
        <w:rPr>
          <w:rFonts w:hint="cs"/>
          <w:rtl/>
        </w:rPr>
      </w:pPr>
      <w:r>
        <w:rPr>
          <w:rFonts w:hint="cs"/>
          <w:rtl/>
        </w:rPr>
        <w:t>2-7</w:t>
      </w:r>
      <w:r>
        <w:rPr>
          <w:rFonts w:hint="cs"/>
          <w:rtl/>
        </w:rPr>
        <w:tab/>
        <w:t>وفي 20 حزيران/يونيه 2007، خلص مجلس الهجرة واللاجئين الكندي إلى أن صاحب الشكوى لا تنطبق عليه صفة اللاجئ بمقتضى اتفاقية عام 1951 ولا صفة الشخص الذي يجب حمايته، لافتقاره إلى المصداقية ولعدم اقتناع المجلس بأنه كان له نشاط في اتحاد القوى من أجل التغيير. وفي 17 كانون الأول/ديسمبر 2007، رفضت المحكمة الاتحادية الكندية طلب الإذن بالمراجعة القضائية لهذا القرار، دون إبداء الأسباب. وفي 10 نيسان/أبريل 2008،</w:t>
      </w:r>
      <w:r w:rsidRPr="00807160">
        <w:rPr>
          <w:rFonts w:hint="cs"/>
          <w:rtl/>
        </w:rPr>
        <w:t xml:space="preserve"> </w:t>
      </w:r>
      <w:r>
        <w:rPr>
          <w:rFonts w:hint="cs"/>
          <w:rtl/>
        </w:rPr>
        <w:t>استدعته وكالة خدمات الحدود الكندية للترتيب لمغادرته نظراً لخضوعه لتدبير إعادة فعلية إلى البلد. وبهذه المناسبة، عرض عليه تقديم طلب لتقييم المخاطر قبل الإعادة إلى البلد؛ وقدم الطلب في 23 نيسان/أبريل 2008.</w:t>
      </w:r>
    </w:p>
    <w:p w:rsidR="006D2BE7" w:rsidRDefault="006D2BE7" w:rsidP="00C46CC9">
      <w:pPr>
        <w:pStyle w:val="SingleTxtGA"/>
        <w:spacing w:line="370" w:lineRule="exact"/>
        <w:rPr>
          <w:rFonts w:hint="cs"/>
          <w:rtl/>
        </w:rPr>
      </w:pPr>
      <w:r>
        <w:rPr>
          <w:rFonts w:hint="cs"/>
          <w:rtl/>
        </w:rPr>
        <w:t>2-8</w:t>
      </w:r>
      <w:r>
        <w:rPr>
          <w:rFonts w:hint="cs"/>
          <w:rtl/>
        </w:rPr>
        <w:tab/>
        <w:t>وفي 7 نيسان/أبريل 2009، رُفض هذا الطلب، وتلقى صاحب الشكوى أمر مغادرة كندا. ورداً على هذا القرار، قدم صاحب الشكوى، في 15 حزيران/يونيه 2009، طلب إذن بالمراجعة القضائية من المحكمة الاتحادية، لكن طلبه رُفض، دون إبداء الأسباب، في</w:t>
      </w:r>
      <w:r>
        <w:rPr>
          <w:rFonts w:hint="eastAsia"/>
          <w:rtl/>
        </w:rPr>
        <w:t> </w:t>
      </w:r>
      <w:r>
        <w:rPr>
          <w:rFonts w:hint="cs"/>
          <w:rtl/>
        </w:rPr>
        <w:t>22 أيلول/سبتمبر 2009. وفي غضون ذلك، رفضت وكالة خدمات الحدود الكندية طلب وقف تنفيذ أمر الإبعاد، وحُدد موعد المغادرة بيوم 10 تموز/يوليه 2009.</w:t>
      </w:r>
    </w:p>
    <w:p w:rsidR="006D2BE7" w:rsidRPr="00AA00FC" w:rsidRDefault="006D2BE7" w:rsidP="006D2BE7">
      <w:pPr>
        <w:pStyle w:val="H23GA"/>
        <w:rPr>
          <w:rFonts w:hint="cs"/>
          <w:rtl/>
        </w:rPr>
      </w:pPr>
      <w:r>
        <w:rPr>
          <w:rFonts w:hint="cs"/>
          <w:rtl/>
        </w:rPr>
        <w:tab/>
      </w:r>
      <w:r>
        <w:rPr>
          <w:rFonts w:hint="cs"/>
          <w:rtl/>
        </w:rPr>
        <w:tab/>
      </w:r>
      <w:r w:rsidRPr="00AA00FC">
        <w:rPr>
          <w:rFonts w:hint="cs"/>
          <w:rtl/>
        </w:rPr>
        <w:t>الشكوى</w:t>
      </w:r>
    </w:p>
    <w:p w:rsidR="006D2BE7" w:rsidRPr="00C46CC9" w:rsidRDefault="006D2BE7" w:rsidP="00C46CC9">
      <w:pPr>
        <w:pStyle w:val="SingleTxtGA"/>
        <w:spacing w:line="360" w:lineRule="exact"/>
        <w:rPr>
          <w:rFonts w:hint="cs"/>
          <w:spacing w:val="-4"/>
          <w:rtl/>
        </w:rPr>
      </w:pPr>
      <w:r w:rsidRPr="00C46CC9">
        <w:rPr>
          <w:rFonts w:hint="cs"/>
          <w:spacing w:val="-4"/>
          <w:rtl/>
        </w:rPr>
        <w:t>3-1</w:t>
      </w:r>
      <w:r w:rsidRPr="00C46CC9">
        <w:rPr>
          <w:rFonts w:hint="cs"/>
          <w:spacing w:val="-4"/>
          <w:rtl/>
        </w:rPr>
        <w:tab/>
        <w:t>يؤكد صاحب الشكوى أن إعادته إلى توغو ستكون مخالفة للمادة 3 من الاتفاقية. ويذكر أنه لن يكون في مأمن في بلده بسبب انتمائه إلى اتحاد القوى من أجل التغيير، وأنه لا</w:t>
      </w:r>
      <w:r w:rsidR="00C46CC9">
        <w:rPr>
          <w:rFonts w:hint="eastAsia"/>
          <w:spacing w:val="-4"/>
          <w:rtl/>
        </w:rPr>
        <w:t> </w:t>
      </w:r>
      <w:r w:rsidRPr="00C46CC9">
        <w:rPr>
          <w:rFonts w:hint="cs"/>
          <w:spacing w:val="-4"/>
          <w:rtl/>
        </w:rPr>
        <w:t>يخشى القبض عليه فحسب، بل أيضاً تصفيته جسدياً. ونظراً إلى معارضته ونضاله من أجل الديمقراطية، احتجز وعانى ظروف احتجاز يمكن تشبيهها بظروف المعتقلات. ويؤكد أن القرار السلبي المتعلق بطلب تقييم المخاطر قبل الإعادة إلى البلد لا يراعي أوضاع توغو ألبتة. فهو لا يزال معارضاً سياسياً فاعلاً داخل اتحاد القوى من أجل التغيير، وهو نشاط خطير في</w:t>
      </w:r>
      <w:r w:rsidRPr="00C46CC9">
        <w:rPr>
          <w:rFonts w:hint="eastAsia"/>
          <w:spacing w:val="-4"/>
          <w:rtl/>
        </w:rPr>
        <w:t> </w:t>
      </w:r>
      <w:r w:rsidRPr="00C46CC9">
        <w:rPr>
          <w:rFonts w:hint="cs"/>
          <w:spacing w:val="-4"/>
          <w:rtl/>
        </w:rPr>
        <w:t>حد ذاته في بلد يحكمه الجيش. ثم إن هروبه من المعسكر ووقوفه على انتهاكات جسيمة لحقوق الإنسان ارتكبت في هذا المعسكر (الأشغال الشاقة، ودفن أشخاص ماتوا من الإنهاك، والتعذيب الجسدي والنفسي، والإعدام بإجراءات موجزة، وسوى ذلك)، كل ذلك يسهم في</w:t>
      </w:r>
      <w:r w:rsidRPr="00C46CC9">
        <w:rPr>
          <w:rFonts w:hint="eastAsia"/>
          <w:spacing w:val="-4"/>
          <w:rtl/>
        </w:rPr>
        <w:t> </w:t>
      </w:r>
      <w:r w:rsidRPr="00C46CC9">
        <w:rPr>
          <w:rFonts w:hint="cs"/>
          <w:spacing w:val="-4"/>
          <w:rtl/>
        </w:rPr>
        <w:t>المخاطر التي تنتظره.</w:t>
      </w:r>
    </w:p>
    <w:p w:rsidR="006D2BE7" w:rsidRPr="003346E8" w:rsidRDefault="006D2BE7" w:rsidP="006D2BE7">
      <w:pPr>
        <w:pStyle w:val="H23GA"/>
        <w:rPr>
          <w:rFonts w:hint="cs"/>
          <w:rtl/>
        </w:rPr>
      </w:pPr>
      <w:r>
        <w:rPr>
          <w:rFonts w:hint="cs"/>
          <w:rtl/>
        </w:rPr>
        <w:tab/>
      </w:r>
      <w:r>
        <w:rPr>
          <w:rFonts w:hint="cs"/>
          <w:rtl/>
        </w:rPr>
        <w:tab/>
      </w:r>
      <w:r w:rsidRPr="003346E8">
        <w:rPr>
          <w:rFonts w:hint="cs"/>
          <w:rtl/>
        </w:rPr>
        <w:t>ملاحظات الدول</w:t>
      </w:r>
      <w:r>
        <w:rPr>
          <w:rFonts w:hint="cs"/>
          <w:rtl/>
        </w:rPr>
        <w:t>ة</w:t>
      </w:r>
      <w:r w:rsidRPr="003346E8">
        <w:rPr>
          <w:rFonts w:hint="cs"/>
          <w:rtl/>
        </w:rPr>
        <w:t xml:space="preserve"> الطرف </w:t>
      </w:r>
      <w:r>
        <w:rPr>
          <w:rFonts w:hint="cs"/>
          <w:rtl/>
        </w:rPr>
        <w:t>بشأن</w:t>
      </w:r>
      <w:r w:rsidRPr="003346E8">
        <w:rPr>
          <w:rFonts w:hint="cs"/>
          <w:rtl/>
        </w:rPr>
        <w:t xml:space="preserve"> </w:t>
      </w:r>
      <w:r>
        <w:rPr>
          <w:rFonts w:hint="cs"/>
          <w:rtl/>
        </w:rPr>
        <w:t>ال</w:t>
      </w:r>
      <w:r w:rsidRPr="003346E8">
        <w:rPr>
          <w:rFonts w:hint="cs"/>
          <w:rtl/>
        </w:rPr>
        <w:t xml:space="preserve">مقبولية </w:t>
      </w:r>
      <w:r>
        <w:rPr>
          <w:rFonts w:hint="cs"/>
          <w:rtl/>
        </w:rPr>
        <w:t>وال</w:t>
      </w:r>
      <w:r w:rsidRPr="003346E8">
        <w:rPr>
          <w:rFonts w:hint="cs"/>
          <w:rtl/>
        </w:rPr>
        <w:t>أسس الموضوعية</w:t>
      </w:r>
    </w:p>
    <w:p w:rsidR="006D2BE7" w:rsidRDefault="006D2BE7" w:rsidP="006D2BE7">
      <w:pPr>
        <w:pStyle w:val="SingleTxtGA"/>
        <w:rPr>
          <w:rFonts w:hint="cs"/>
          <w:rtl/>
        </w:rPr>
      </w:pPr>
      <w:r>
        <w:rPr>
          <w:rFonts w:hint="cs"/>
          <w:rtl/>
        </w:rPr>
        <w:t>4-1</w:t>
      </w:r>
      <w:r>
        <w:rPr>
          <w:rFonts w:hint="cs"/>
          <w:rtl/>
        </w:rPr>
        <w:tab/>
        <w:t>في 10 شباط/فبراير 2010، قدمت الدولة الطرف ملاحظاتها بشأن المقبولية والأسس الموضوعية. وتؤكد أن السلطات الكندية أمعنت في النظر في ادعاءات صاحب الشكوى المعروضة على اللجنة، وخلصت إلى أنها لا أساس لها من الصحة. فالشكوى لا</w:t>
      </w:r>
      <w:r>
        <w:rPr>
          <w:rFonts w:hint="eastAsia"/>
          <w:rtl/>
        </w:rPr>
        <w:t> </w:t>
      </w:r>
      <w:r>
        <w:rPr>
          <w:rFonts w:hint="cs"/>
          <w:rtl/>
        </w:rPr>
        <w:t>تتضمن أي دليل إثبات جديد من شأنه أن يغير ما انتهت إليه.</w:t>
      </w:r>
    </w:p>
    <w:p w:rsidR="006D2BE7" w:rsidRDefault="006D2BE7" w:rsidP="006D2BE7">
      <w:pPr>
        <w:pStyle w:val="SingleTxtGA"/>
        <w:rPr>
          <w:rFonts w:hint="cs"/>
          <w:rtl/>
        </w:rPr>
      </w:pPr>
      <w:r>
        <w:rPr>
          <w:rFonts w:hint="cs"/>
          <w:rtl/>
        </w:rPr>
        <w:t>4-2</w:t>
      </w:r>
      <w:r>
        <w:rPr>
          <w:rFonts w:hint="cs"/>
          <w:rtl/>
        </w:rPr>
        <w:tab/>
        <w:t>وفي 11 أيلول/سبتمبر 2006، عقب طلب اللجوء،</w:t>
      </w:r>
      <w:r w:rsidRPr="003F1FD1">
        <w:rPr>
          <w:rFonts w:hint="cs"/>
          <w:rtl/>
        </w:rPr>
        <w:t xml:space="preserve"> </w:t>
      </w:r>
      <w:r>
        <w:rPr>
          <w:rFonts w:hint="cs"/>
          <w:rtl/>
        </w:rPr>
        <w:t>قدم صاحب الشكوى إلى قسم حماية اللاجئين، التابع لمجلس الهجرة واللاجئين، استمارة تتضمن معلومات شخصية لدعم طلبه. وفي أثناء جلسة عقدت بعدئذ حضرها معه محاميه، استجوبه المجلس طويلاً بشأن أنشطته السياسية وادعائه استهداف القوات المسلحة التوغولية إياه. ولم يُلق المجلس بالاً</w:t>
      </w:r>
      <w:r w:rsidRPr="00580C62">
        <w:rPr>
          <w:rFonts w:hint="cs"/>
          <w:rtl/>
        </w:rPr>
        <w:t xml:space="preserve"> </w:t>
      </w:r>
      <w:r>
        <w:rPr>
          <w:rFonts w:hint="cs"/>
          <w:rtl/>
        </w:rPr>
        <w:t>للمستندات التي قدمها لإثبات انتماءاته السياسية لأنه رأى أن أجوبته غير مقنعة وغير متماسكة ومتناقضة. ورفض المجلس ما قدمه صاحب الشكوى من تفسيرات لأسباب عدم قبض السلطات التوغولية عليه بين عام 2002 وموعد انتخابات نيسان/أبريل 2005، رغم زعمه أنه كان مستهدفاً بسبب أنشطته السياسية. وخلص المجلس إلى أنه لا مصداقية لصاحب الشكوى على الإطلاق فيما يتعلق بانتماءاته السياسية بصفته عضواً في اتحاد القوى من أجل التغيير منذ عام 1993، وبصفته ممثل تحالف القوى الديمقراطية في عام 2005، وبصفته مندوب اللجنة الانتخابية يوم الانتخابات. وعليه، لم يقتنع المجلس بأن صاحب الشكوى قبض عليه واحتجز من 27 نيسان/أبريل 2005 إلى 3 أيار/مايو 2006</w:t>
      </w:r>
      <w:r>
        <w:rPr>
          <w:vertAlign w:val="superscript"/>
          <w:rtl/>
        </w:rPr>
        <w:t>(</w:t>
      </w:r>
      <w:r>
        <w:rPr>
          <w:rStyle w:val="FootnoteReference"/>
          <w:sz w:val="22"/>
          <w:rtl/>
        </w:rPr>
        <w:footnoteReference w:id="48"/>
      </w:r>
      <w:r w:rsidRPr="00B94112">
        <w:rPr>
          <w:vertAlign w:val="superscript"/>
          <w:rtl/>
        </w:rPr>
        <w:t>)</w:t>
      </w:r>
      <w:r>
        <w:rPr>
          <w:rFonts w:hint="cs"/>
          <w:rtl/>
        </w:rPr>
        <w:t>.</w:t>
      </w:r>
    </w:p>
    <w:p w:rsidR="006D2BE7" w:rsidRDefault="006D2BE7" w:rsidP="00C46CC9">
      <w:pPr>
        <w:pStyle w:val="SingleTxtGA"/>
        <w:spacing w:line="374" w:lineRule="exact"/>
        <w:rPr>
          <w:rFonts w:hint="cs"/>
          <w:rtl/>
        </w:rPr>
      </w:pPr>
      <w:r>
        <w:rPr>
          <w:rFonts w:hint="cs"/>
          <w:rtl/>
        </w:rPr>
        <w:t>4-3</w:t>
      </w:r>
      <w:r>
        <w:rPr>
          <w:rFonts w:hint="cs"/>
          <w:rtl/>
        </w:rPr>
        <w:tab/>
        <w:t xml:space="preserve">أما طلب تقييم المخاطر قبل الإعادة إلى البلد، فكان منبنياً أساساً على نفس الادعاءات التي احتج بها أمام مجلس الهجرة واللاجئين. وأضاف صاحب الشكوى أنه ألَّف وأنتج مسرحية بعنوان "توغو: دولة الرعب" أدان فيها النظام القائم، وعُرضت في مدن عدة بين عامي 2004 و2005. واضطر جميع من شارك في هذه المسرحية إلى الفرار من توغو بسبب اعتبارهم من المعارضين للنظام. لكن الموظف المعني بتقييم المخاطر قبل الإعادة إلى البلد لاحظ أن صاحب الشكوى لم يقدم أي مستند موثوق به يؤيد ما ادعاه بشأن المسرحية، ولم يوضح سبب عدم ذكره هذه المعلومات عندما قدم طلب اللجوء. وعن الوضع العام في </w:t>
      </w:r>
      <w:r w:rsidRPr="00B645B9">
        <w:rPr>
          <w:rFonts w:hint="cs"/>
          <w:spacing w:val="-4"/>
          <w:rtl/>
        </w:rPr>
        <w:t>توغو، أحاط الموظف علم</w:t>
      </w:r>
      <w:r>
        <w:rPr>
          <w:rFonts w:hint="cs"/>
          <w:spacing w:val="-4"/>
          <w:rtl/>
        </w:rPr>
        <w:t xml:space="preserve">اً </w:t>
      </w:r>
      <w:r w:rsidRPr="00B645B9">
        <w:rPr>
          <w:rFonts w:hint="cs"/>
          <w:spacing w:val="-4"/>
          <w:rtl/>
        </w:rPr>
        <w:t>بالمستندات التي قدمها صاحب الشكوى وتلك التي تتحدث عن وقوع انتهاكات جسيمة لحقوق الإنسان إبان انتخابات عام 2005. لكن الحكومة الحالية</w:t>
      </w:r>
      <w:r>
        <w:rPr>
          <w:rFonts w:hint="eastAsia"/>
          <w:spacing w:val="-4"/>
          <w:rtl/>
        </w:rPr>
        <w:t> </w:t>
      </w:r>
      <w:r w:rsidRPr="00B645B9">
        <w:rPr>
          <w:rFonts w:hint="cs"/>
          <w:spacing w:val="-4"/>
          <w:rtl/>
        </w:rPr>
        <w:t>اتخذت تدابير لتحسين نظام العدالة فيها ومكافحة الفساد والإفلات من العقاب، وبخاصة</w:t>
      </w:r>
      <w:r>
        <w:rPr>
          <w:rFonts w:hint="eastAsia"/>
          <w:spacing w:val="-4"/>
          <w:rtl/>
        </w:rPr>
        <w:t> </w:t>
      </w:r>
      <w:r w:rsidRPr="00B645B9">
        <w:rPr>
          <w:rFonts w:hint="cs"/>
          <w:spacing w:val="-4"/>
          <w:rtl/>
        </w:rPr>
        <w:t>التجاوزات التي اقتُرفت في عام 2005. أضف إلى ذلك أن الحكومة أبرمت اتفاق</w:t>
      </w:r>
      <w:r>
        <w:rPr>
          <w:rFonts w:hint="cs"/>
          <w:spacing w:val="-4"/>
          <w:rtl/>
        </w:rPr>
        <w:t xml:space="preserve">اً </w:t>
      </w:r>
      <w:r w:rsidRPr="00B645B9">
        <w:rPr>
          <w:rFonts w:hint="cs"/>
          <w:spacing w:val="-4"/>
          <w:rtl/>
        </w:rPr>
        <w:t>سياسي</w:t>
      </w:r>
      <w:r>
        <w:rPr>
          <w:rFonts w:hint="cs"/>
          <w:spacing w:val="-4"/>
          <w:rtl/>
        </w:rPr>
        <w:t xml:space="preserve">اً </w:t>
      </w:r>
      <w:r w:rsidRPr="00B645B9">
        <w:rPr>
          <w:rFonts w:hint="cs"/>
          <w:spacing w:val="-4"/>
          <w:rtl/>
        </w:rPr>
        <w:t>شامل</w:t>
      </w:r>
      <w:r>
        <w:rPr>
          <w:rFonts w:hint="cs"/>
          <w:spacing w:val="-4"/>
          <w:rtl/>
        </w:rPr>
        <w:t xml:space="preserve">اً </w:t>
      </w:r>
      <w:r w:rsidRPr="00B645B9">
        <w:rPr>
          <w:rFonts w:hint="cs"/>
          <w:spacing w:val="-4"/>
          <w:rtl/>
        </w:rPr>
        <w:t>في نيسان/أبريل 2006 مع أحزاب المعارضة، وأنشأت، في حزيران/يونيه 2005</w:t>
      </w:r>
      <w:r>
        <w:rPr>
          <w:rFonts w:hint="cs"/>
          <w:rtl/>
        </w:rPr>
        <w:t>، المفوضية العليا لشؤون العائدين والعمل الإنساني" وهي معنية بتوفير الحماية والمساعدة للعائدين الذين فروا من المواجهات التي أعقبت انتخابات عام 2005. وكانت انتخابات 14 تشرين الأول/أكتوبر 2007 قد شهدت مشاركة شعبية واسعة جداً، واتسمت بالهدوء. وبالنظر إلى قلة الأدلة على وجود خطر يتهدد صاحب الشكوى شخصياً وعلى الوضع الراهن في توغو، خلص الموظف إلى عدم وجود ما يثبت احتمال تعرض صاحب الشكوى للتعذيب أو لتهديد حياته أو لمعاملة أو عقوبة قاسية أو غير عادية في توغو.</w:t>
      </w:r>
    </w:p>
    <w:p w:rsidR="006D2BE7" w:rsidRPr="0008716F" w:rsidRDefault="006D2BE7" w:rsidP="00C46CC9">
      <w:pPr>
        <w:pStyle w:val="SingleTxtGA"/>
        <w:spacing w:line="374" w:lineRule="exact"/>
        <w:rPr>
          <w:rFonts w:hint="cs"/>
          <w:rtl/>
        </w:rPr>
      </w:pPr>
      <w:r w:rsidRPr="0008716F">
        <w:rPr>
          <w:rFonts w:hint="cs"/>
          <w:rtl/>
        </w:rPr>
        <w:t>4-4</w:t>
      </w:r>
      <w:r w:rsidRPr="0008716F">
        <w:rPr>
          <w:rFonts w:hint="cs"/>
          <w:rtl/>
        </w:rPr>
        <w:tab/>
        <w:t>وفي إطار طلب الإذن بالمراجعة القضائية لقرار الموظف المسؤول عن تقييم المخاطر قبل الإعادة إلى البلد، قدم صاحب الشكوى طلب</w:t>
      </w:r>
      <w:r>
        <w:rPr>
          <w:rFonts w:hint="cs"/>
          <w:rtl/>
        </w:rPr>
        <w:t xml:space="preserve">اً </w:t>
      </w:r>
      <w:r w:rsidRPr="0008716F">
        <w:rPr>
          <w:rFonts w:hint="cs"/>
          <w:rtl/>
        </w:rPr>
        <w:t xml:space="preserve">في 8 تموز/يوليه 2009 يسأل فيه وقف تنفيذ إجراء الإعادة إلى البلد الذي كان قد حدد له يوم 10 تموز/يوليه 2009. وفي اليوم نفسه، رفضت المحكمة الاتحادية الطلب معللة قرارها بأن صاحب الشكوى لم يقم الدليل على الآتي: (1) خطورة قضيته؛ (2) احتمال إصابته بأذى يتعذر تداركه؛ (3) </w:t>
      </w:r>
      <w:r>
        <w:rPr>
          <w:rFonts w:hint="cs"/>
          <w:rtl/>
        </w:rPr>
        <w:t xml:space="preserve">غَلَبَة </w:t>
      </w:r>
      <w:r w:rsidRPr="0008716F">
        <w:rPr>
          <w:rFonts w:hint="cs"/>
          <w:rtl/>
        </w:rPr>
        <w:t>كفة مساوئ عودته.</w:t>
      </w:r>
    </w:p>
    <w:p w:rsidR="006D2BE7" w:rsidRDefault="006D2BE7" w:rsidP="00C46CC9">
      <w:pPr>
        <w:pStyle w:val="SingleTxtGA"/>
        <w:spacing w:line="374" w:lineRule="exact"/>
        <w:rPr>
          <w:rFonts w:hint="cs"/>
          <w:rtl/>
        </w:rPr>
      </w:pPr>
      <w:r>
        <w:rPr>
          <w:rFonts w:hint="cs"/>
          <w:rtl/>
        </w:rPr>
        <w:t>4-5</w:t>
      </w:r>
      <w:r>
        <w:rPr>
          <w:rFonts w:hint="cs"/>
          <w:rtl/>
        </w:rPr>
        <w:tab/>
        <w:t>وفي 13 تموز/يوليه 2009، صدر أمر بالقبض على صاحب الشكوى لعد حضوره إلى مطار مونتريال يوم 10 تموز/يوليه 2009، وهو اليوم المقرر لإعادته إلى بلده. وحاول موظفون في وكالة خدمات الحدود تنفيذ الأمر، لكنهم لم يجدوا صاحب الشكوى في بيته.</w:t>
      </w:r>
    </w:p>
    <w:p w:rsidR="006D2BE7" w:rsidRDefault="006D2BE7" w:rsidP="00C46CC9">
      <w:pPr>
        <w:pStyle w:val="SingleTxtGA"/>
        <w:spacing w:line="374" w:lineRule="exact"/>
        <w:rPr>
          <w:rFonts w:hint="cs"/>
          <w:rtl/>
        </w:rPr>
      </w:pPr>
      <w:r>
        <w:rPr>
          <w:rFonts w:hint="cs"/>
          <w:rtl/>
        </w:rPr>
        <w:t>4-6</w:t>
      </w:r>
      <w:r>
        <w:rPr>
          <w:rFonts w:hint="cs"/>
          <w:rtl/>
        </w:rPr>
        <w:tab/>
        <w:t>وتؤكد الدولة الطرف أن الشكوى غير مقبولة لأن صاحبها لم يستنفد سبل الانتصاف المحلية بموجب الفقرة 5(ب) من المادة 22 من الاتفاقية. فقد كان في وسعه أن يقدم طلباً للإعفاء من التأشيرة والحصول على إقامة دائمة في كندا لدواع إنسانية، وأن يطلب إذناً بالمراجعة القضائية إلى المحكمة الاتحادية إن رُفض ذلك الطلب، لكنه لم يوضح ألبتة لماذا لم يستنفد سبل الانتصاف هذه، ولم يقدم أدلة تثبت أنها تتجاوز الآجال المعقولة أو أن من المستبعد أن توفر له الحل الذي يبحث عنه عند اللجنة.</w:t>
      </w:r>
    </w:p>
    <w:p w:rsidR="006D2BE7" w:rsidRPr="00CE0E08" w:rsidRDefault="006D2BE7" w:rsidP="00C46CC9">
      <w:pPr>
        <w:pStyle w:val="SingleTxtGA"/>
        <w:spacing w:line="370" w:lineRule="exact"/>
        <w:rPr>
          <w:rFonts w:hint="cs"/>
          <w:spacing w:val="-4"/>
          <w:rtl/>
        </w:rPr>
      </w:pPr>
      <w:r>
        <w:rPr>
          <w:rFonts w:hint="cs"/>
          <w:rtl/>
        </w:rPr>
        <w:t>4-7</w:t>
      </w:r>
      <w:r>
        <w:rPr>
          <w:rFonts w:hint="cs"/>
          <w:rtl/>
        </w:rPr>
        <w:tab/>
        <w:t>وتؤكد الدولة الطرف أيضاً أن الشكوى غير مقبولة بمقتضى الفقرة (ب) من المادة</w:t>
      </w:r>
      <w:r>
        <w:rPr>
          <w:rFonts w:hint="eastAsia"/>
        </w:rPr>
        <w:t> </w:t>
      </w:r>
      <w:r>
        <w:rPr>
          <w:rFonts w:hint="cs"/>
          <w:rtl/>
        </w:rPr>
        <w:t>113 من نظام اللجنة الداخلي، بسبب قلة الأدلة. فصاحب الشكوى يقيم شكواه أساساً على ادعائه تعرضه للتعذيب أثناء احتجازه من 27 نيسان/أبريل 2005 إلى 3 أيار/مايو 2006 بسبب أنشطته السياسية، ويزعم أن ذلك قد يتكرر في حال إعادته إلى توغو. وحتى على افتراض إثباته أنه تعرض للتعذيب أثناء احتجازه المزعوم، فإن ذلك لا</w:t>
      </w:r>
      <w:r>
        <w:rPr>
          <w:rFonts w:hint="eastAsia"/>
          <w:rtl/>
        </w:rPr>
        <w:t> </w:t>
      </w:r>
      <w:r>
        <w:rPr>
          <w:rFonts w:hint="cs"/>
          <w:rtl/>
        </w:rPr>
        <w:t>يكفي لإثبات وجود احتمال لتعرضه للتعذيب في حال إعادته إلى بلده. ويرى مجلس الهجرة واللاجئين أن صاحب الشكوى تعوزه المصداقية وأن الدليل الذي قدمه لإثبات أنشطته السياسية لا قيمة له</w:t>
      </w:r>
      <w:r w:rsidRPr="00CE0E08">
        <w:rPr>
          <w:rFonts w:hint="cs"/>
          <w:spacing w:val="-4"/>
          <w:rtl/>
        </w:rPr>
        <w:t xml:space="preserve">، وبخاصة فيما يتعلق بدوره في اتحاد القوى من أجل التغيير ودوره بصفته ممثلاً لتحالف القوى الديمقراطية. وبناء على شهادته، التي يشوبها التناقض وعدم التماسك، والدليل الذي قدمه، استبعد المجلس أن يكون صاحب </w:t>
      </w:r>
      <w:r>
        <w:rPr>
          <w:rFonts w:hint="cs"/>
          <w:spacing w:val="-4"/>
          <w:rtl/>
        </w:rPr>
        <w:t>البلاغ</w:t>
      </w:r>
      <w:r w:rsidRPr="00CE0E08">
        <w:rPr>
          <w:rFonts w:hint="cs"/>
          <w:spacing w:val="-4"/>
          <w:rtl/>
        </w:rPr>
        <w:t xml:space="preserve"> احتجز في الفترة المذكورة. أما</w:t>
      </w:r>
      <w:r>
        <w:rPr>
          <w:rFonts w:hint="eastAsia"/>
          <w:spacing w:val="-4"/>
          <w:rtl/>
        </w:rPr>
        <w:t> </w:t>
      </w:r>
      <w:r w:rsidRPr="00CE0E08">
        <w:rPr>
          <w:rFonts w:hint="cs"/>
          <w:spacing w:val="-4"/>
          <w:rtl/>
        </w:rPr>
        <w:t>عن الموظف المعني بتقييم المخاطر قبل الإعادة إلى البلد، فرأى أن صاحب الشكوى لم يقم الدليل على عضويته في اتحاد القوى من أجل التغيير، وقال إنه لا يعتقد أن السلطات التوغولية كانت تبحث عنه، وأن ظروفه تعرضه للخطر في توغو. وبعد أن أخذت المحكمة الاتحادية في</w:t>
      </w:r>
      <w:r>
        <w:rPr>
          <w:rFonts w:hint="eastAsia"/>
          <w:spacing w:val="-4"/>
          <w:rtl/>
        </w:rPr>
        <w:t> </w:t>
      </w:r>
      <w:r w:rsidRPr="00CE0E08">
        <w:rPr>
          <w:rFonts w:hint="cs"/>
          <w:spacing w:val="-4"/>
          <w:rtl/>
        </w:rPr>
        <w:t>الحسبان الوثائق المعروضة عليها، لم تر أي داع إلى التدخل في هذا الاستنتاج.</w:t>
      </w:r>
    </w:p>
    <w:p w:rsidR="006D2BE7" w:rsidRPr="00B115E3" w:rsidRDefault="006D2BE7" w:rsidP="00C46CC9">
      <w:pPr>
        <w:pStyle w:val="SingleTxtGA"/>
        <w:spacing w:line="370" w:lineRule="exact"/>
        <w:rPr>
          <w:rFonts w:hint="cs"/>
          <w:spacing w:val="-4"/>
          <w:rtl/>
        </w:rPr>
      </w:pPr>
      <w:r>
        <w:rPr>
          <w:rFonts w:hint="cs"/>
          <w:rtl/>
        </w:rPr>
        <w:t>4-8</w:t>
      </w:r>
      <w:r>
        <w:rPr>
          <w:rFonts w:hint="cs"/>
          <w:rtl/>
        </w:rPr>
        <w:tab/>
        <w:t>ولا تتضمن الشكوى المعروضة على اللجنة أي دليل إثبات جديد يضع استنتاجات السلطات الكندية موضع الشك. فصاحب الشكوى يزعم أنه قد يُعدم بإجراءات موجزة بسبب هروبه ووقوفه على انتهاكات لحقوق الإنسان ومعاناته إياها، بما فيها التعذيب الجسدي والنفسي، لكنه لم يثبت أن السلطات التوغولية تبحث عنه شخصياً. ويضاف إلى</w:t>
      </w:r>
      <w:r>
        <w:rPr>
          <w:rFonts w:hint="eastAsia"/>
          <w:rtl/>
        </w:rPr>
        <w:t> </w:t>
      </w:r>
      <w:r>
        <w:rPr>
          <w:rFonts w:hint="cs"/>
          <w:rtl/>
        </w:rPr>
        <w:t>ذلك أنه لم يأت بأي دليل على انتمائه إلى اتحاد القوى من أجل التغيير، ولا على أنشطته السياسية المزعومة. ولدعم ادعائه أن كونه معارضاً سياسياً ينشط داخل اتحاد القوى من أجل التغيير يعرضه للخطر، أشار إلى المستندات العامة التي قدمها مع طلب تقييم المخاطر قبل الإعادة إلى البلد؛ لكن هذه المستندات، كما استنتج الموظف المكلف بالتقييم، هي مستندات عامة ولا تسمح باستنتاج وجود أسباب وجيهة تحمل على الاعتقاد بأنه معرّض شخصياً للاحتجاز والتعذيب. وإضافة إلى ذلك، لا تشير تلك المستندات إلى أن التعذيب في السجون التوغولية منهجي أو شائع أو مسموح به إلى حد يجعل جميع السجناء مهددين. وقد جاء في</w:t>
      </w:r>
      <w:r>
        <w:rPr>
          <w:rFonts w:hint="eastAsia"/>
          <w:rtl/>
        </w:rPr>
        <w:t> </w:t>
      </w:r>
      <w:r>
        <w:rPr>
          <w:rFonts w:hint="cs"/>
          <w:rtl/>
        </w:rPr>
        <w:t>تقرير المقرر الخاص المعني بمسألة التعذيب وغيره من ضروب المعاملة أو العقوبة القاسية أو</w:t>
      </w:r>
      <w:r>
        <w:rPr>
          <w:rFonts w:hint="eastAsia"/>
          <w:rtl/>
        </w:rPr>
        <w:t> </w:t>
      </w:r>
      <w:r>
        <w:rPr>
          <w:rFonts w:hint="cs"/>
          <w:rtl/>
        </w:rPr>
        <w:t xml:space="preserve">اللاإنسانية أو المهينة عن بعثته إلى توغو في نيسان/أبريل 2007 أن الحكومة اتخذت </w:t>
      </w:r>
      <w:r w:rsidRPr="00B115E3">
        <w:rPr>
          <w:rFonts w:hint="cs"/>
          <w:spacing w:val="-4"/>
          <w:rtl/>
        </w:rPr>
        <w:t>إجراءات عدة أدت إلى تحسين أوضاع السجون منذ عام 2005، بما في ذلك ما يتعلق بسوء المعاملة. ولا يشير التقرير إلى وجود معتقلات سرية، على ما ادعاه صاحب الشكوى</w:t>
      </w:r>
      <w:r w:rsidRPr="00B115E3">
        <w:rPr>
          <w:spacing w:val="-4"/>
          <w:vertAlign w:val="superscript"/>
          <w:rtl/>
        </w:rPr>
        <w:t>(</w:t>
      </w:r>
      <w:r w:rsidRPr="00B115E3">
        <w:rPr>
          <w:rStyle w:val="FootnoteReference"/>
          <w:spacing w:val="-4"/>
          <w:sz w:val="22"/>
          <w:rtl/>
        </w:rPr>
        <w:footnoteReference w:id="49"/>
      </w:r>
      <w:r w:rsidRPr="00B115E3">
        <w:rPr>
          <w:spacing w:val="-4"/>
          <w:vertAlign w:val="superscript"/>
          <w:rtl/>
        </w:rPr>
        <w:t>)</w:t>
      </w:r>
      <w:r w:rsidRPr="00B115E3">
        <w:rPr>
          <w:rFonts w:hint="cs"/>
          <w:spacing w:val="-4"/>
          <w:rtl/>
        </w:rPr>
        <w:t>. ومتابعةً للتوصيات المقدمة في تقرير المقرر الخاص عن بعثته إلى توغو في نيسان/أبريل 2007، ذكر المقرر، في تقريره عام 2009، أنه أحاط علم</w:t>
      </w:r>
      <w:r>
        <w:rPr>
          <w:rFonts w:hint="cs"/>
          <w:spacing w:val="-4"/>
          <w:rtl/>
        </w:rPr>
        <w:t xml:space="preserve">اً </w:t>
      </w:r>
      <w:r w:rsidRPr="00B115E3">
        <w:rPr>
          <w:rFonts w:hint="cs"/>
          <w:spacing w:val="-4"/>
          <w:rtl/>
        </w:rPr>
        <w:t>بارتياح بالتدابير المتخذة لتنفيذ تلك التوصيات</w:t>
      </w:r>
      <w:r w:rsidRPr="00B115E3">
        <w:rPr>
          <w:spacing w:val="-4"/>
          <w:vertAlign w:val="superscript"/>
          <w:rtl/>
        </w:rPr>
        <w:t>(</w:t>
      </w:r>
      <w:r w:rsidRPr="00B115E3">
        <w:rPr>
          <w:rStyle w:val="FootnoteReference"/>
          <w:spacing w:val="-4"/>
          <w:sz w:val="22"/>
          <w:rtl/>
        </w:rPr>
        <w:footnoteReference w:id="50"/>
      </w:r>
      <w:r w:rsidRPr="00B115E3">
        <w:rPr>
          <w:spacing w:val="-4"/>
          <w:vertAlign w:val="superscript"/>
          <w:rtl/>
        </w:rPr>
        <w:t>)</w:t>
      </w:r>
      <w:r w:rsidRPr="00B115E3">
        <w:rPr>
          <w:rFonts w:hint="cs"/>
          <w:spacing w:val="-4"/>
          <w:rtl/>
        </w:rPr>
        <w:t>.</w:t>
      </w:r>
    </w:p>
    <w:p w:rsidR="006D2BE7" w:rsidRDefault="006D2BE7" w:rsidP="00C46CC9">
      <w:pPr>
        <w:pStyle w:val="SingleTxtGA"/>
        <w:rPr>
          <w:rFonts w:hint="cs"/>
          <w:rtl/>
        </w:rPr>
      </w:pPr>
      <w:r>
        <w:rPr>
          <w:rFonts w:hint="cs"/>
          <w:rtl/>
        </w:rPr>
        <w:t>4-9</w:t>
      </w:r>
      <w:r>
        <w:rPr>
          <w:rFonts w:hint="cs"/>
          <w:rtl/>
        </w:rPr>
        <w:tab/>
        <w:t xml:space="preserve">ولا تنكر الدولة الطرف أن تقارير المنظمات غير الحكومية تحدثت عن انتهاكات لحقوق الإنسان أثناء انتخابات نيسان/أبريل 2005، لكن الوثائق العامة لا تكشف عن تكرار تلك الأحداث. فقد جاء في تقرير المقرر الخاص لعام 2009 أن انتخابات تشرين الأول/أكتوبر 2007 </w:t>
      </w:r>
      <w:r w:rsidRPr="00980596">
        <w:rPr>
          <w:rFonts w:hint="cs"/>
          <w:spacing w:val="-2"/>
          <w:rtl/>
        </w:rPr>
        <w:t>تمت في جو من الهدوء. أضف إلى ذلك أن تحليل</w:t>
      </w:r>
      <w:r>
        <w:rPr>
          <w:rFonts w:hint="cs"/>
          <w:spacing w:val="-2"/>
          <w:rtl/>
        </w:rPr>
        <w:t xml:space="preserve">اً </w:t>
      </w:r>
      <w:r w:rsidRPr="00980596">
        <w:rPr>
          <w:rFonts w:hint="cs"/>
          <w:spacing w:val="-2"/>
          <w:rtl/>
        </w:rPr>
        <w:t>متعمق</w:t>
      </w:r>
      <w:r>
        <w:rPr>
          <w:rFonts w:hint="cs"/>
          <w:spacing w:val="-2"/>
          <w:rtl/>
        </w:rPr>
        <w:t xml:space="preserve">اً </w:t>
      </w:r>
      <w:r w:rsidRPr="00980596">
        <w:rPr>
          <w:rFonts w:hint="cs"/>
          <w:spacing w:val="-2"/>
          <w:rtl/>
        </w:rPr>
        <w:t>للأدلة المستندية يكشف أن أوضاع المنشقين السياسيين تحسنت تدريجياً. ففي آب/أغسطس 2006</w:t>
      </w:r>
      <w:r>
        <w:rPr>
          <w:rFonts w:hint="cs"/>
          <w:rtl/>
        </w:rPr>
        <w:t>، وقعت</w:t>
      </w:r>
      <w:r>
        <w:rPr>
          <w:rFonts w:hint="eastAsia"/>
          <w:rtl/>
        </w:rPr>
        <w:t> </w:t>
      </w:r>
      <w:r>
        <w:rPr>
          <w:rFonts w:hint="cs"/>
          <w:rtl/>
        </w:rPr>
        <w:t>الحكومة وجميع أحزاب المعارضة اتفاقاً سياسياً شاملاً يعترف بحق المعارضة في المشاركة في الشأن العام. وعليه، فإن الدليل الذي قدمه صاحب الشكوى لا يمكن أن يُستنتج منه احتمال احتجازه في توغو لمجرد انتمائه إلى اتحاد القوى من أجل التغيير، ولأنشطته بصفته معارضاً سياسياً. وحتى على افتراض وجود هذا الاحتمال، فإن ذلك لا يعني وجود أسباب وجيهة تحمل على الاعتقاد بأنه قد يتعرض شخصياً للتعذيب.</w:t>
      </w:r>
    </w:p>
    <w:p w:rsidR="006D2BE7" w:rsidRDefault="006D2BE7" w:rsidP="00C46CC9">
      <w:pPr>
        <w:pStyle w:val="SingleTxtGA"/>
        <w:rPr>
          <w:rFonts w:hint="cs"/>
          <w:rtl/>
        </w:rPr>
      </w:pPr>
      <w:r>
        <w:rPr>
          <w:rFonts w:hint="cs"/>
          <w:rtl/>
        </w:rPr>
        <w:t>4-10</w:t>
      </w:r>
      <w:r>
        <w:rPr>
          <w:rFonts w:hint="cs"/>
          <w:rtl/>
        </w:rPr>
        <w:tab/>
        <w:t>وتقول الدولة الطرف إن هيئات وطنية مستقلة ونزيهة حللت ادعاءات صاحب الشكوى في إطار القانون والعدالة. وبالنظر إلى عدم وجود دليل على وقوع خطأ ظاهر أو</w:t>
      </w:r>
      <w:r>
        <w:rPr>
          <w:rFonts w:hint="eastAsia"/>
          <w:rtl/>
        </w:rPr>
        <w:t> </w:t>
      </w:r>
      <w:r>
        <w:rPr>
          <w:rFonts w:hint="cs"/>
          <w:rtl/>
        </w:rPr>
        <w:t>إساءة استعمال للإجراءات القضائية أو سوء نية أو تحيز ظاهر أو مخالفات إجرائية هامة، ينبغي للجنة ألا تستعيض باستنتاجاتها استنتاجات السلطات الكندية. فتقدير الوقائع والأدلة، وخاصة مصداقية الحالات الخاصة، من صلاحيات محاكم الدول الأطراف في الاتفاقية. وترى الدولة الطرف أن صاحب الشكوى لم يثبت أن القرارات التي اتخذتها السلطات الكندية معيبة بحيث تبرر تدخل اللجنة.</w:t>
      </w:r>
    </w:p>
    <w:p w:rsidR="006D2BE7" w:rsidRDefault="006D2BE7" w:rsidP="006D2BE7">
      <w:pPr>
        <w:pStyle w:val="SingleTxtGA"/>
        <w:rPr>
          <w:rFonts w:hint="cs"/>
          <w:rtl/>
        </w:rPr>
      </w:pPr>
      <w:r>
        <w:rPr>
          <w:rFonts w:hint="cs"/>
          <w:rtl/>
        </w:rPr>
        <w:t>4-11</w:t>
      </w:r>
      <w:r>
        <w:rPr>
          <w:rFonts w:hint="cs"/>
          <w:rtl/>
        </w:rPr>
        <w:tab/>
        <w:t>وتؤكد الدولة الطرف، إضافة إلى ملاحظاتها بشأن المقبولية وللأسباب نفسها، أنه ينبغي رفض الشكوى من جهة الأسس الموضوعية أيضاً، لأنه لا يكشف وقوع أي انتهاك للمادة 3 من الاتفاقية.</w:t>
      </w:r>
    </w:p>
    <w:p w:rsidR="006D2BE7" w:rsidRPr="000E7D1B" w:rsidRDefault="006D2BE7" w:rsidP="006D2BE7">
      <w:pPr>
        <w:pStyle w:val="H23GA"/>
        <w:rPr>
          <w:rFonts w:hint="cs"/>
          <w:rtl/>
        </w:rPr>
      </w:pPr>
      <w:r>
        <w:rPr>
          <w:rtl/>
        </w:rPr>
        <w:tab/>
      </w:r>
      <w:r>
        <w:rPr>
          <w:rFonts w:hint="cs"/>
          <w:rtl/>
        </w:rPr>
        <w:tab/>
      </w:r>
      <w:r w:rsidRPr="000E7D1B">
        <w:rPr>
          <w:rFonts w:hint="cs"/>
          <w:rtl/>
        </w:rPr>
        <w:t xml:space="preserve">تعليقات صاحب </w:t>
      </w:r>
      <w:r>
        <w:rPr>
          <w:rFonts w:hint="cs"/>
          <w:rtl/>
        </w:rPr>
        <w:t>الشكوى</w:t>
      </w:r>
      <w:r w:rsidRPr="000E7D1B">
        <w:rPr>
          <w:rFonts w:hint="cs"/>
          <w:rtl/>
        </w:rPr>
        <w:t xml:space="preserve"> على ملاحظات الدولة الطرف</w:t>
      </w:r>
    </w:p>
    <w:p w:rsidR="006D2BE7" w:rsidRDefault="006D2BE7" w:rsidP="00C46CC9">
      <w:pPr>
        <w:pStyle w:val="SingleTxtGA"/>
        <w:rPr>
          <w:rFonts w:hint="cs"/>
          <w:rtl/>
        </w:rPr>
      </w:pPr>
      <w:r>
        <w:rPr>
          <w:rFonts w:hint="cs"/>
          <w:rtl/>
        </w:rPr>
        <w:t>5-1</w:t>
      </w:r>
      <w:r>
        <w:rPr>
          <w:rFonts w:hint="cs"/>
          <w:rtl/>
        </w:rPr>
        <w:tab/>
        <w:t xml:space="preserve">في 21 نيسان/أبريل 2010، قدم صاحب الشكوى تعليقاته على ملاحظات الدولة الطرف. ففيما يتعلق بحجة الدولة الطرف القائلة إنه كان عليه أن يقدم طلباً للإعفاء من التأشيرة والحصول على إقامة دائمة لدواع إنسانية، يذكّر صاحب الشكوى بسابقة للجنة في البلاغ رقم 133/1999، </w:t>
      </w:r>
      <w:r w:rsidRPr="00012058">
        <w:rPr>
          <w:rFonts w:hint="cs"/>
          <w:i/>
          <w:iCs/>
          <w:rtl/>
        </w:rPr>
        <w:t>فالكون ريوس ضد كندا</w:t>
      </w:r>
      <w:r>
        <w:rPr>
          <w:rFonts w:hint="cs"/>
          <w:rtl/>
        </w:rPr>
        <w:t>، حيث استنتجت أن سبيل الطعن هذا ليس من السبل التي ينبغي استنفادها لاستيفاء شرط استنفاد سبل الانتصاف المحلية.</w:t>
      </w:r>
    </w:p>
    <w:p w:rsidR="006D2BE7" w:rsidRDefault="006D2BE7" w:rsidP="00C46CC9">
      <w:pPr>
        <w:pStyle w:val="SingleTxtGA"/>
        <w:rPr>
          <w:rFonts w:hint="cs"/>
          <w:rtl/>
        </w:rPr>
      </w:pPr>
      <w:r>
        <w:rPr>
          <w:rFonts w:hint="cs"/>
          <w:rtl/>
        </w:rPr>
        <w:t>5-2</w:t>
      </w:r>
      <w:r>
        <w:rPr>
          <w:rFonts w:hint="cs"/>
          <w:rtl/>
        </w:rPr>
        <w:tab/>
        <w:t>وعن أدلة إثبات وجود خطر شخصي، يكرر صاحب الشكوى ادعاءاته. ويؤكد أن احتمال التعرض للتعذيب ما زال قائماً، وأرفق مقالات صحفية تتحدث عن احتجاجات المعارضين واعتقالهم في البلد عقب الانتخابات الرئاسية التي جرت في 4 آذار/مارس 2010. ويؤكد أيضاً أنه أثبت أن الهيئات الكندية التي حللت قضيته لم تكن نزيهة، وأن ثمة خطأ ظاهراً، وإساءة استعمال للإجراءات القضائية، وسوء نية، وتحيزاً، ومخالفات إجرائية مهمة.</w:t>
      </w:r>
    </w:p>
    <w:p w:rsidR="006D2BE7" w:rsidRPr="00A14C41" w:rsidRDefault="006D2BE7" w:rsidP="006D2BE7">
      <w:pPr>
        <w:pStyle w:val="H23GA"/>
        <w:rPr>
          <w:rFonts w:hint="cs"/>
          <w:rtl/>
        </w:rPr>
      </w:pPr>
      <w:r>
        <w:rPr>
          <w:rFonts w:hint="cs"/>
          <w:rtl/>
        </w:rPr>
        <w:tab/>
      </w:r>
      <w:r>
        <w:rPr>
          <w:rFonts w:hint="cs"/>
          <w:rtl/>
        </w:rPr>
        <w:tab/>
      </w:r>
      <w:r w:rsidRPr="00A14C41">
        <w:rPr>
          <w:rFonts w:hint="cs"/>
          <w:rtl/>
        </w:rPr>
        <w:t>المسائل والإجراءات المعروضة على اللجنة</w:t>
      </w:r>
    </w:p>
    <w:p w:rsidR="006D2BE7" w:rsidRPr="00A14C41" w:rsidRDefault="006D2BE7" w:rsidP="006D2BE7">
      <w:pPr>
        <w:pStyle w:val="H4GA"/>
        <w:rPr>
          <w:rFonts w:hint="cs"/>
          <w:rtl/>
        </w:rPr>
      </w:pPr>
      <w:r>
        <w:rPr>
          <w:rFonts w:hint="cs"/>
          <w:rtl/>
        </w:rPr>
        <w:tab/>
      </w:r>
      <w:r>
        <w:rPr>
          <w:rFonts w:hint="cs"/>
          <w:rtl/>
        </w:rPr>
        <w:tab/>
      </w:r>
      <w:r w:rsidRPr="00A14C41">
        <w:rPr>
          <w:rFonts w:hint="cs"/>
          <w:rtl/>
        </w:rPr>
        <w:t>النظر في المقبولية</w:t>
      </w:r>
    </w:p>
    <w:p w:rsidR="006D2BE7" w:rsidRDefault="006D2BE7" w:rsidP="001E45D5">
      <w:pPr>
        <w:pStyle w:val="SingleTxtGA"/>
        <w:rPr>
          <w:rFonts w:hint="cs"/>
          <w:sz w:val="22"/>
          <w:rtl/>
          <w:lang/>
        </w:rPr>
      </w:pPr>
      <w:r>
        <w:rPr>
          <w:rFonts w:hint="cs"/>
          <w:sz w:val="22"/>
          <w:rtl/>
        </w:rPr>
        <w:t>6-1</w:t>
      </w:r>
      <w:r>
        <w:rPr>
          <w:rFonts w:hint="cs"/>
          <w:sz w:val="22"/>
          <w:rtl/>
        </w:rPr>
        <w:tab/>
      </w:r>
      <w:r w:rsidRPr="00673CAC">
        <w:rPr>
          <w:rFonts w:hint="cs"/>
          <w:rtl/>
          <w:lang w:val="fr-CH"/>
        </w:rPr>
        <w:t>قبل النظر في أي ادعاء يرد في شكوى ما، يجب على لجنة مناهضة التعذيب أن تُقرِّر ما</w:t>
      </w:r>
      <w:r w:rsidRPr="00673CAC">
        <w:rPr>
          <w:rtl/>
          <w:lang w:val="fr-CH"/>
        </w:rPr>
        <w:t> </w:t>
      </w:r>
      <w:r w:rsidRPr="00673CAC">
        <w:rPr>
          <w:rFonts w:hint="cs"/>
          <w:rtl/>
          <w:lang w:val="fr-CH"/>
        </w:rPr>
        <w:t>إذا كانت الشكوى مقبولة أم</w:t>
      </w:r>
      <w:r w:rsidRPr="00673CAC">
        <w:rPr>
          <w:rtl/>
          <w:lang w:val="fr-CH"/>
        </w:rPr>
        <w:t> </w:t>
      </w:r>
      <w:r w:rsidRPr="00673CAC">
        <w:rPr>
          <w:rFonts w:hint="cs"/>
          <w:rtl/>
          <w:lang w:val="fr-CH"/>
        </w:rPr>
        <w:t>لا</w:t>
      </w:r>
      <w:r w:rsidRPr="00673CAC">
        <w:rPr>
          <w:rtl/>
          <w:lang w:val="fr-CH"/>
        </w:rPr>
        <w:t> </w:t>
      </w:r>
      <w:r w:rsidRPr="00673CAC">
        <w:rPr>
          <w:rFonts w:hint="cs"/>
          <w:rtl/>
          <w:lang w:val="fr-CH"/>
        </w:rPr>
        <w:t>بموجب المادة 22 من الاتفاقية.</w:t>
      </w:r>
      <w:r>
        <w:rPr>
          <w:rFonts w:hint="cs"/>
          <w:sz w:val="22"/>
          <w:rtl/>
        </w:rPr>
        <w:t xml:space="preserve"> </w:t>
      </w:r>
      <w:r>
        <w:rPr>
          <w:rFonts w:hint="cs"/>
          <w:rtl/>
          <w:lang/>
        </w:rPr>
        <w:t>وقد تأكدت اللجنة، وفقاً للفقرة 5(أ) من المادة 22 من الاتفاقية، من أن المسألة ذاتها لم تبحث ولا يجري بحثها في إطار أي إجراء آخر من إجراءات التحقيق الدولي أو التسوية الدولية</w:t>
      </w:r>
      <w:r>
        <w:rPr>
          <w:rFonts w:hint="cs"/>
          <w:sz w:val="22"/>
          <w:rtl/>
          <w:lang/>
        </w:rPr>
        <w:t>.</w:t>
      </w:r>
    </w:p>
    <w:p w:rsidR="006D2BE7" w:rsidRDefault="006D2BE7" w:rsidP="001E45D5">
      <w:pPr>
        <w:pStyle w:val="SingleTxtGA"/>
        <w:rPr>
          <w:rFonts w:hint="cs"/>
          <w:sz w:val="22"/>
          <w:rtl/>
          <w:lang/>
        </w:rPr>
      </w:pPr>
      <w:r>
        <w:rPr>
          <w:rFonts w:hint="cs"/>
          <w:sz w:val="22"/>
          <w:rtl/>
        </w:rPr>
        <w:t>6-2</w:t>
      </w:r>
      <w:r>
        <w:rPr>
          <w:rFonts w:hint="cs"/>
          <w:sz w:val="22"/>
          <w:rtl/>
        </w:rPr>
        <w:tab/>
      </w:r>
      <w:r>
        <w:rPr>
          <w:rFonts w:hint="cs"/>
          <w:rtl/>
          <w:lang/>
        </w:rPr>
        <w:t>ووفقاً للفقرة 5(ب) من المادة 22 من الاتفاقية، لا تنظر اللجنة في أي شكوى ما لم تتأكد من أن صاحبها قد استنفد جميع سبل الانتصاف المحلية المتاحة.</w:t>
      </w:r>
      <w:r>
        <w:rPr>
          <w:rFonts w:hint="cs"/>
          <w:sz w:val="22"/>
          <w:rtl/>
          <w:lang/>
        </w:rPr>
        <w:t xml:space="preserve"> </w:t>
      </w:r>
      <w:r>
        <w:rPr>
          <w:rFonts w:hint="cs"/>
          <w:rtl/>
          <w:lang/>
        </w:rPr>
        <w:t>ولا تنطبق هذه القاعدة إذا ثبت أن إجراءات التظلم استغرقت مدة تتجاوز الحدود المعقولة، أو أنه من غير المحتمل، بعد إجراء محاكمة عادلة، أن تحقق إنصافاً فعالاً للفرد المدَّعى أنه ضحية.</w:t>
      </w:r>
    </w:p>
    <w:p w:rsidR="006D2BE7" w:rsidRDefault="006D2BE7" w:rsidP="001E45D5">
      <w:pPr>
        <w:pStyle w:val="SingleTxtGA"/>
        <w:rPr>
          <w:rFonts w:hint="cs"/>
          <w:rtl/>
          <w:lang/>
        </w:rPr>
      </w:pPr>
      <w:r>
        <w:rPr>
          <w:rFonts w:hint="cs"/>
          <w:sz w:val="22"/>
          <w:rtl/>
        </w:rPr>
        <w:t>6-3</w:t>
      </w:r>
      <w:r>
        <w:rPr>
          <w:rFonts w:hint="cs"/>
          <w:sz w:val="22"/>
          <w:rtl/>
        </w:rPr>
        <w:tab/>
      </w:r>
      <w:r>
        <w:rPr>
          <w:rFonts w:hint="cs"/>
          <w:rtl/>
          <w:lang/>
        </w:rPr>
        <w:t>وتحيط اللجنة علماً بما احتجت به الدولة الطرف من أنه ينبغي إعلان الشكوى غير مقبولة بموجب الفقرة 5(ب) من المادة 22 من الاتفاقية لأن صاحب الشكوى لم يقدم طلب إعفاء من التأشيرة وحصول على إقامة دائمة لدواع إنسانية.</w:t>
      </w:r>
      <w:r>
        <w:rPr>
          <w:rFonts w:hint="cs"/>
          <w:sz w:val="22"/>
          <w:rtl/>
        </w:rPr>
        <w:t xml:space="preserve"> </w:t>
      </w:r>
      <w:r>
        <w:rPr>
          <w:rFonts w:hint="cs"/>
          <w:rtl/>
          <w:lang/>
        </w:rPr>
        <w:t>وتذكّر اللجنة، في هذا الصدد، بأنها درست مسألة طلب الإعفاء الوزاري لدواع إنسانية، في دورتها الخامسة والعشرين، في</w:t>
      </w:r>
      <w:r>
        <w:rPr>
          <w:rFonts w:hint="eastAsia"/>
          <w:rtl/>
          <w:lang/>
        </w:rPr>
        <w:t> </w:t>
      </w:r>
      <w:r>
        <w:rPr>
          <w:rFonts w:hint="cs"/>
          <w:rtl/>
          <w:lang/>
        </w:rPr>
        <w:t>ملاحظاتها الختامية المتعلقة بتقرير الدولة الطرف. ولاحظت اللجنة أنه بالرغم من أن الحق في تلقي مساعدة لأسباب إنسانية يمكن أن يؤسس لتظلم منصوص عليه قانوناً، فإن هذه المساعدة يمنحها الوزير استناداً إلى معايير إنسانية بحتة وليس على أساس قانوني، وهي تشكل على هذا النحو معروفاً يُسدى.</w:t>
      </w:r>
      <w:r w:rsidRPr="00694B08">
        <w:rPr>
          <w:rFonts w:hint="cs"/>
          <w:rtl/>
          <w:lang/>
        </w:rPr>
        <w:t xml:space="preserve"> </w:t>
      </w:r>
      <w:r>
        <w:rPr>
          <w:rFonts w:hint="cs"/>
          <w:rtl/>
          <w:lang/>
        </w:rPr>
        <w:t>فالقرار يندرج في نطاق السلطة التقديرية المخولة للوزير ومن ثم للسلطة التنفيذية</w:t>
      </w:r>
      <w:r>
        <w:rPr>
          <w:vertAlign w:val="superscript"/>
          <w:rtl/>
          <w:lang/>
        </w:rPr>
        <w:t>(</w:t>
      </w:r>
      <w:r>
        <w:rPr>
          <w:rStyle w:val="FootnoteReference"/>
          <w:rtl/>
          <w:lang/>
        </w:rPr>
        <w:footnoteReference w:id="51"/>
      </w:r>
      <w:r w:rsidRPr="00012058">
        <w:rPr>
          <w:vertAlign w:val="superscript"/>
          <w:rtl/>
          <w:lang/>
        </w:rPr>
        <w:t>)</w:t>
      </w:r>
      <w:r>
        <w:rPr>
          <w:rFonts w:hint="cs"/>
          <w:rtl/>
          <w:lang/>
        </w:rPr>
        <w:t>.وتذكّر أيضاً بأحكامها السابقة</w:t>
      </w:r>
      <w:r>
        <w:rPr>
          <w:vertAlign w:val="superscript"/>
          <w:rtl/>
          <w:lang/>
        </w:rPr>
        <w:t>(</w:t>
      </w:r>
      <w:r w:rsidRPr="00B93686">
        <w:rPr>
          <w:rStyle w:val="FootnoteReference"/>
          <w:color w:val="FFFFFF"/>
          <w:sz w:val="2"/>
          <w:szCs w:val="2"/>
          <w:rtl/>
          <w:lang/>
        </w:rPr>
        <w:footnoteReference w:id="52"/>
      </w:r>
      <w:r w:rsidR="00C46CC9" w:rsidRPr="00C46CC9">
        <w:rPr>
          <w:rFonts w:hint="cs"/>
          <w:sz w:val="30"/>
          <w:vertAlign w:val="superscript"/>
          <w:rtl/>
          <w:lang/>
        </w:rPr>
        <w:t>ﻫ</w:t>
      </w:r>
      <w:r w:rsidRPr="004D5776">
        <w:rPr>
          <w:vertAlign w:val="superscript"/>
          <w:rtl/>
          <w:lang/>
        </w:rPr>
        <w:t>)</w:t>
      </w:r>
      <w:r>
        <w:rPr>
          <w:rFonts w:hint="cs"/>
          <w:rtl/>
          <w:lang/>
        </w:rPr>
        <w:t xml:space="preserve"> التي تفيد بأن مبدأ استنفاد سبل الانتصاف المحلية يتطلب من صاحب الشكوى استخدام سبل الانتصاف ذات الصلة المباشرة باحتمال التعرض للتعذيب في البلد الذي سيُعاد إليه وليس السبل التي قد تسمح له بالبقاء في البلد الذي يوجد فيه</w:t>
      </w:r>
      <w:r>
        <w:rPr>
          <w:rFonts w:hint="cs"/>
          <w:rtl/>
        </w:rPr>
        <w:t xml:space="preserve"> لأسباب تختلف عن تلك المرتبطة باحتمال التعرض للتعذيب. وعلى هذا، ترى اللجنة في ضوء أحكامها السابقة في المسألة، أن عدم تقديم الطلب المتعلق بالإعفاء من التأشيرة والحصول على الإقامة الدائمة للدواعي الإنسانية لا يشكل عائقاً للمقبولية بسبب عدم استنفاد سبل الانتصاف الداخلية.</w:t>
      </w:r>
    </w:p>
    <w:p w:rsidR="006D2BE7" w:rsidRDefault="006D2BE7" w:rsidP="006D2BE7">
      <w:pPr>
        <w:pStyle w:val="SingleTxtGA"/>
        <w:spacing w:line="360" w:lineRule="exact"/>
        <w:rPr>
          <w:rFonts w:hint="cs"/>
          <w:rtl/>
        </w:rPr>
      </w:pPr>
      <w:r>
        <w:rPr>
          <w:rFonts w:hint="cs"/>
          <w:rtl/>
        </w:rPr>
        <w:t>6-4</w:t>
      </w:r>
      <w:r>
        <w:rPr>
          <w:rFonts w:hint="cs"/>
          <w:rtl/>
        </w:rPr>
        <w:tab/>
        <w:t>وعن ادعاءات انتهاك المادة 3، ترى اللجنة أن الحجج التي قدمها صاحب الشكوى فيما يتصل باحتمال التعرض للتعذيب في حال إعادته إلى بلده تثير تساؤلات ينبغي بحثها من حيث الأسس الموضوعية وليس من جهة المقبولية وحدها. وعليه، تعلن أن الشكوى مقبولة.</w:t>
      </w:r>
    </w:p>
    <w:p w:rsidR="006D2BE7" w:rsidRPr="00CC561D" w:rsidRDefault="006D2BE7" w:rsidP="006D2BE7">
      <w:pPr>
        <w:pStyle w:val="H4GA"/>
        <w:spacing w:line="360" w:lineRule="exact"/>
        <w:rPr>
          <w:rFonts w:hint="cs"/>
          <w:rtl/>
        </w:rPr>
      </w:pPr>
      <w:r>
        <w:rPr>
          <w:rFonts w:hint="cs"/>
          <w:rtl/>
        </w:rPr>
        <w:tab/>
      </w:r>
      <w:r>
        <w:rPr>
          <w:rFonts w:hint="cs"/>
          <w:rtl/>
        </w:rPr>
        <w:tab/>
      </w:r>
      <w:r w:rsidRPr="00CC561D">
        <w:rPr>
          <w:rFonts w:hint="cs"/>
          <w:rtl/>
        </w:rPr>
        <w:t>النظر في الأسس الموضوعية</w:t>
      </w:r>
    </w:p>
    <w:p w:rsidR="006D2BE7" w:rsidRDefault="006D2BE7" w:rsidP="006D2BE7">
      <w:pPr>
        <w:pStyle w:val="SingleTxtGA"/>
        <w:spacing w:line="360" w:lineRule="exact"/>
        <w:rPr>
          <w:rFonts w:hint="cs"/>
          <w:rtl/>
        </w:rPr>
      </w:pPr>
      <w:r>
        <w:rPr>
          <w:rFonts w:hint="cs"/>
          <w:rtl/>
        </w:rPr>
        <w:t>7-1</w:t>
      </w:r>
      <w:r>
        <w:rPr>
          <w:rFonts w:hint="cs"/>
          <w:rtl/>
        </w:rPr>
        <w:tab/>
      </w:r>
      <w:r>
        <w:rPr>
          <w:rFonts w:hint="cs"/>
          <w:rtl/>
          <w:lang/>
        </w:rPr>
        <w:t>يجب على اللجنة أن تُحدِّد ما إذا كانت إعادة صاحب الشكوى إلى توغو ستشكل انتهاكاً لالتزام الدولة الطرف، بموجب الفقرة 1 من المادة 3 من الاتفاقية، بعدم طرد شخص</w:t>
      </w:r>
      <w:r>
        <w:rPr>
          <w:rFonts w:hint="eastAsia"/>
          <w:rtl/>
          <w:lang/>
        </w:rPr>
        <w:t> </w:t>
      </w:r>
      <w:r>
        <w:rPr>
          <w:rFonts w:hint="cs"/>
          <w:rtl/>
          <w:lang/>
        </w:rPr>
        <w:t>أو إعادته إلى دولة أخرى إذا وُجدت أسباب حقيقية تدعو إلى الاعتقاد بأنه سيكون معرضاً للتعذيب.</w:t>
      </w:r>
    </w:p>
    <w:p w:rsidR="006D2BE7" w:rsidRDefault="006D2BE7" w:rsidP="006D2BE7">
      <w:pPr>
        <w:pStyle w:val="SingleTxtGA"/>
        <w:spacing w:line="360" w:lineRule="exact"/>
        <w:rPr>
          <w:rFonts w:hint="cs"/>
          <w:rtl/>
          <w:lang/>
        </w:rPr>
      </w:pPr>
      <w:r>
        <w:rPr>
          <w:rFonts w:hint="cs"/>
          <w:rtl/>
        </w:rPr>
        <w:t>7-2</w:t>
      </w:r>
      <w:r>
        <w:rPr>
          <w:rFonts w:hint="cs"/>
          <w:rtl/>
        </w:rPr>
        <w:tab/>
      </w:r>
      <w:r>
        <w:rPr>
          <w:rFonts w:hint="cs"/>
          <w:rtl/>
          <w:lang/>
        </w:rPr>
        <w:t>وتذكِّر اللجنة بأحكامها السابقة وبتعليقها العام بشأن المادة 3، ومؤداهما أن مسؤولية تقديم حجج يمكن الدفاع عنها تقع على عاتق صاحب الشكوى، وأن خطر التعذيب يجب أن يقيّم على أسس تتجاوز مجرد الافتراض أو الشك. ومع وضع التعليق العام في الاعتبار، تذكِّر اللجنة أيضاً بأن الفقرة 4 من المادة 22 من الاتفاقية تقضي بأن تنظر في البلاغات الواردة مراعيةً جميع المعلومات المقدمة إليها من فرد من الأفراد أو نيابة عنه ومن الدولة الطرف المعنية، وبأنه يحق لها، بمقتضى تلك الفقرة، تقييم الوقائع بكل حرية استناداً إلى ملابسات القضية.</w:t>
      </w:r>
    </w:p>
    <w:p w:rsidR="006D2BE7" w:rsidRPr="00936C68" w:rsidRDefault="006D2BE7" w:rsidP="006D2BE7">
      <w:pPr>
        <w:pStyle w:val="SingleTxtGA"/>
        <w:spacing w:line="360" w:lineRule="exact"/>
        <w:rPr>
          <w:rFonts w:hint="cs"/>
          <w:spacing w:val="-2"/>
          <w:rtl/>
          <w:lang/>
        </w:rPr>
      </w:pPr>
      <w:r>
        <w:rPr>
          <w:rFonts w:hint="cs"/>
          <w:rtl/>
          <w:lang/>
        </w:rPr>
        <w:t>7-3</w:t>
      </w:r>
      <w:r>
        <w:rPr>
          <w:rFonts w:hint="cs"/>
          <w:rtl/>
          <w:lang/>
        </w:rPr>
        <w:tab/>
        <w:t>ويجب على اللجنة أن تحدد ما إذا كانت هناك أسباب حقيقية تحمل على الاعتقاد بأن صاحب الشكوى سيتعرض شخصياً للتعذيب عند عودته إلى توغو.</w:t>
      </w:r>
      <w:r w:rsidRPr="003B24E3">
        <w:rPr>
          <w:rFonts w:hint="cs"/>
          <w:rtl/>
          <w:lang/>
        </w:rPr>
        <w:t xml:space="preserve"> </w:t>
      </w:r>
      <w:r>
        <w:rPr>
          <w:rFonts w:hint="cs"/>
          <w:rtl/>
          <w:lang/>
        </w:rPr>
        <w:t xml:space="preserve">ولتحديد ذلك، يجب على اللجنة، بموجب الفقرة 2 من المادة 3 من الاتفاقية أن تراعي جميع الاعتبارات ذات الصلة، بما في ذلك مدى وجود نمط ثابت من الانتهاكات الجسيمة أو الصارخة أو الجماعية لحقوق الإنسان. بيد أن اللجنة تُذكّر بأن الهدف من ذلك هو تحديد ما إذا كان الفرد المعني سيكون شخصياً عرضة للتعذيب في البلد الذي سيعود إليه. ويستتبع ذلك أن وجود نمط ثابت من الانتهاكات الجسيمة أو الصارخة أو الجماعية لحقوق الإنسان في بلد معين ليس في حد ذاته سبباً كافياً للقول إن شخصاً ما سيتعرض شخصياً للتعذيب عند عودته إلى هذا البلد. </w:t>
      </w:r>
      <w:r w:rsidRPr="00936C68">
        <w:rPr>
          <w:rFonts w:hint="cs"/>
          <w:spacing w:val="-2"/>
          <w:rtl/>
          <w:lang/>
        </w:rPr>
        <w:t xml:space="preserve">ويجب تقديم أسباب إضافية تحمل على الاعتقاد </w:t>
      </w:r>
      <w:r>
        <w:rPr>
          <w:rFonts w:hint="cs"/>
          <w:spacing w:val="-2"/>
          <w:rtl/>
          <w:lang/>
        </w:rPr>
        <w:t xml:space="preserve">بأن </w:t>
      </w:r>
      <w:r w:rsidRPr="00936C68">
        <w:rPr>
          <w:rFonts w:hint="cs"/>
          <w:spacing w:val="-2"/>
          <w:rtl/>
          <w:lang/>
        </w:rPr>
        <w:t>الشخص المعني سيتعرض شخصياً للتعذيب. وبالمقابل، فإن عدم وجود نمط ثابـت من الانتهاكات الجسيمـة لحقوق الإنسان لا</w:t>
      </w:r>
      <w:r>
        <w:rPr>
          <w:rFonts w:hint="eastAsia"/>
          <w:spacing w:val="-2"/>
          <w:rtl/>
          <w:lang/>
        </w:rPr>
        <w:t> </w:t>
      </w:r>
      <w:r w:rsidRPr="00936C68">
        <w:rPr>
          <w:rFonts w:hint="cs"/>
          <w:spacing w:val="-2"/>
          <w:rtl/>
          <w:lang/>
        </w:rPr>
        <w:t>يعني بالضرورة أن شخصاً ما لا يمكن أن يعتبر معرضاً للتعذيب في ظل الظروف الخاصة به.</w:t>
      </w:r>
    </w:p>
    <w:p w:rsidR="006D2BE7" w:rsidRDefault="006D2BE7" w:rsidP="006D2BE7">
      <w:pPr>
        <w:pStyle w:val="SingleTxtGA"/>
        <w:rPr>
          <w:rFonts w:hint="cs"/>
          <w:rtl/>
        </w:rPr>
      </w:pPr>
      <w:r>
        <w:rPr>
          <w:rFonts w:hint="cs"/>
          <w:rtl/>
          <w:lang/>
        </w:rPr>
        <w:t>7-4</w:t>
      </w:r>
      <w:r>
        <w:rPr>
          <w:rFonts w:hint="cs"/>
          <w:rtl/>
          <w:lang/>
        </w:rPr>
        <w:tab/>
        <w:t>وتدرك اللجنة أن حالة حقوق الإنسان في توغو مثيرة للقلق، وقد لاحظت هي نفسها، في ملاحظاتها الختامية بعد استعراض تقرير توغو الدوري الثاني، في تشرين الثاني/نوفمبر 2012، وجود انتهاكات جسيمة لحقوق الإنسان، خاصة في أماكن الاحتجاز</w:t>
      </w:r>
      <w:r>
        <w:rPr>
          <w:vertAlign w:val="superscript"/>
          <w:rtl/>
          <w:lang/>
        </w:rPr>
        <w:t>(</w:t>
      </w:r>
      <w:r>
        <w:rPr>
          <w:rStyle w:val="FootnoteReference"/>
          <w:rtl/>
          <w:lang/>
        </w:rPr>
        <w:footnoteReference w:id="53"/>
      </w:r>
      <w:r w:rsidRPr="00B453C4">
        <w:rPr>
          <w:vertAlign w:val="superscript"/>
          <w:rtl/>
          <w:lang/>
        </w:rPr>
        <w:t>)</w:t>
      </w:r>
      <w:r>
        <w:rPr>
          <w:rFonts w:hint="cs"/>
          <w:rtl/>
          <w:lang/>
        </w:rPr>
        <w:t>. لكن اللجنة ترى أن الوقائع، على النحو الذي قُدمت به، لا تمكنها من استنتاج أن صاحب الشكوى يواجه شخصياً في الوقت الحاضر خطر تعذيب متوقع وحقيقي في حال إعادته إلى توغو. ولم يقدم صاحب الشكوى أدلة تكفي لإثبات انتسابه إلى اتحاد القوى من أجل التغيير وأنشطته داخل هذا الحزب السياسي، ولا الدليل على أنه جاري البحث عنه وأنه قد يلقى عليه القبض. ولم يدعم بأدلة ادعاءاته المتعلقة بالاحتجاز والتعذيب، ولم يقدم معلومات مفصلة عن طبيعتهما. ولم يقدم أي تقرير طبي، ولا أي وثيقة يسمحان بالتحقق من أنه كان معتقلاً، فيما زَعم، أو أنه أسيئت معاملته، على ما ادعاه، عندما كان محتجزاً في الفترة الممتدة من نيسان/أبريل 2005 وأيار/مايو 2006</w:t>
      </w:r>
      <w:r>
        <w:rPr>
          <w:rFonts w:hint="cs"/>
          <w:rtl/>
        </w:rPr>
        <w:t>، ويدعمان ادعاءاته أو يؤكدان وجود عقابيل لذلك. ولا تكفي الحجج المتعلقة بحالة حقوق الإنسان في توغو بعد وصوله إلى كندا لإثبات وجود خطر شخصي.</w:t>
      </w:r>
    </w:p>
    <w:p w:rsidR="006D2BE7" w:rsidRPr="00694B08" w:rsidRDefault="006D2BE7" w:rsidP="006D2BE7">
      <w:pPr>
        <w:pStyle w:val="SingleTxtGA"/>
        <w:rPr>
          <w:rFonts w:hint="cs"/>
          <w:rtl/>
        </w:rPr>
      </w:pPr>
      <w:r>
        <w:rPr>
          <w:rFonts w:hint="cs"/>
          <w:rtl/>
        </w:rPr>
        <w:t>7-5</w:t>
      </w:r>
      <w:r>
        <w:rPr>
          <w:rFonts w:hint="cs"/>
          <w:rtl/>
        </w:rPr>
        <w:tab/>
        <w:t>وتستنتج اللجنة من مجموع المعلومات المقدمة إليها أن صاحب الشكوى لم يثبت أنه يواجه شخصياً خطر تعذيب متوقع وحقيقي في حال إعادته إلى توغو في الوقت الراهن.</w:t>
      </w:r>
    </w:p>
    <w:p w:rsidR="006D2BE7" w:rsidRDefault="006D2BE7" w:rsidP="006D2BE7">
      <w:pPr>
        <w:pStyle w:val="SingleTxtGA"/>
        <w:rPr>
          <w:rFonts w:hint="cs"/>
          <w:rtl/>
          <w:lang/>
        </w:rPr>
      </w:pPr>
      <w:r>
        <w:rPr>
          <w:rFonts w:hint="cs"/>
          <w:sz w:val="22"/>
          <w:rtl/>
        </w:rPr>
        <w:t>8-</w:t>
      </w:r>
      <w:r>
        <w:rPr>
          <w:rFonts w:hint="cs"/>
          <w:sz w:val="22"/>
          <w:rtl/>
        </w:rPr>
        <w:tab/>
      </w:r>
      <w:r>
        <w:rPr>
          <w:rFonts w:hint="cs"/>
          <w:rtl/>
          <w:lang/>
        </w:rPr>
        <w:t>ولجنة مناهضة التعذيب، إذ تتصرف بموجب الفقرة 7 من المادة 22 من اتفاقية مناهضة التعذيب وغيره من ضروب المعاملة أو العقوبة القاسية أو اللاإنسانية أو المهينة، تخلص إلى أن قرار الدولة الطرف إعادة صاحب الشكوى إلى توغو لا يشكل انتهاكاً للمادة 3 من</w:t>
      </w:r>
      <w:r>
        <w:rPr>
          <w:rFonts w:hint="eastAsia"/>
          <w:rtl/>
          <w:lang/>
        </w:rPr>
        <w:t> </w:t>
      </w:r>
      <w:r>
        <w:rPr>
          <w:rFonts w:hint="cs"/>
          <w:rtl/>
          <w:lang/>
        </w:rPr>
        <w:t>الاتفاقية.</w:t>
      </w:r>
    </w:p>
    <w:p w:rsidR="0033659F" w:rsidRDefault="0033659F" w:rsidP="003241B0">
      <w:pPr>
        <w:pStyle w:val="SingleTxtGA"/>
        <w:rPr>
          <w:rFonts w:eastAsia="SimSun" w:hint="cs"/>
          <w:b/>
          <w:bCs/>
          <w:rtl/>
          <w:lang w:eastAsia="zh-CN"/>
        </w:rPr>
      </w:pPr>
    </w:p>
    <w:p w:rsidR="0033659F" w:rsidRDefault="0033659F" w:rsidP="003241B0">
      <w:pPr>
        <w:pStyle w:val="SingleTxtGA"/>
        <w:rPr>
          <w:rFonts w:eastAsia="SimSun" w:hint="cs"/>
          <w:b/>
          <w:bCs/>
          <w:rtl/>
          <w:lang w:eastAsia="zh-CN"/>
        </w:rPr>
        <w:sectPr w:rsidR="0033659F" w:rsidSect="00F1742A">
          <w:footnotePr>
            <w:numFmt w:val="arabicAbjad"/>
            <w:numRestart w:val="eachSect"/>
          </w:footnotePr>
          <w:endnotePr>
            <w:numFmt w:val="decimal"/>
          </w:endnotePr>
          <w:pgSz w:w="11907" w:h="16840" w:code="9"/>
          <w:pgMar w:top="1701" w:right="1134" w:bottom="2268" w:left="1134" w:header="1134" w:footer="1701" w:gutter="0"/>
          <w:cols w:space="720"/>
          <w:bidi/>
          <w:rtlGutter/>
          <w:docGrid w:linePitch="360"/>
        </w:sectPr>
      </w:pPr>
    </w:p>
    <w:p w:rsidR="004355F7" w:rsidRPr="004355F7" w:rsidRDefault="004355F7" w:rsidP="004355F7">
      <w:pPr>
        <w:pStyle w:val="H1GA"/>
        <w:spacing w:before="120"/>
        <w:rPr>
          <w:rFonts w:hint="cs"/>
          <w:i/>
          <w:iCs/>
          <w:rtl/>
        </w:rPr>
      </w:pPr>
      <w:r>
        <w:rPr>
          <w:rFonts w:hint="cs"/>
          <w:rtl/>
        </w:rPr>
        <w:tab/>
      </w:r>
      <w:r>
        <w:rPr>
          <w:rFonts w:hint="cs"/>
          <w:rtl/>
        </w:rPr>
        <w:tab/>
      </w:r>
      <w:r w:rsidRPr="00A75552">
        <w:rPr>
          <w:rFonts w:hint="cs"/>
          <w:rtl/>
        </w:rPr>
        <w:t xml:space="preserve">البلاغ رقم </w:t>
      </w:r>
      <w:r>
        <w:rPr>
          <w:rFonts w:hint="cs"/>
          <w:rtl/>
        </w:rPr>
        <w:t>406</w:t>
      </w:r>
      <w:r w:rsidRPr="00A75552">
        <w:rPr>
          <w:rFonts w:hint="cs"/>
          <w:rtl/>
        </w:rPr>
        <w:t>/2009</w:t>
      </w:r>
      <w:r>
        <w:rPr>
          <w:rFonts w:hint="cs"/>
          <w:rtl/>
        </w:rPr>
        <w:t xml:space="preserve">: </w:t>
      </w:r>
      <w:r>
        <w:rPr>
          <w:rFonts w:hint="cs"/>
          <w:i/>
          <w:iCs/>
          <w:rtl/>
        </w:rPr>
        <w:t>ص. م. ضد سويسرا</w:t>
      </w:r>
    </w:p>
    <w:p w:rsidR="004355F7" w:rsidRDefault="004355F7" w:rsidP="004355F7">
      <w:pPr>
        <w:pStyle w:val="SingleTxtGA"/>
        <w:tabs>
          <w:tab w:val="clear" w:pos="1928"/>
          <w:tab w:val="clear" w:pos="4649"/>
          <w:tab w:val="left" w:pos="1883"/>
          <w:tab w:val="left" w:pos="4418"/>
        </w:tabs>
        <w:spacing w:line="360" w:lineRule="exact"/>
        <w:ind w:left="1911"/>
        <w:rPr>
          <w:rFonts w:hint="cs"/>
          <w:rtl/>
        </w:rPr>
      </w:pPr>
      <w:r w:rsidRPr="00245E02">
        <w:rPr>
          <w:i/>
          <w:iCs/>
          <w:rtl/>
        </w:rPr>
        <w:t>المقدم من</w:t>
      </w:r>
      <w:r w:rsidRPr="004355F7">
        <w:rPr>
          <w:rtl/>
        </w:rPr>
        <w:t>:</w:t>
      </w:r>
      <w:r w:rsidRPr="00245E02">
        <w:rPr>
          <w:i/>
          <w:iCs/>
          <w:rtl/>
        </w:rPr>
        <w:tab/>
      </w:r>
      <w:r w:rsidRPr="00245E02">
        <w:rPr>
          <w:i/>
          <w:iCs/>
          <w:rtl/>
        </w:rPr>
        <w:tab/>
      </w:r>
      <w:r w:rsidRPr="00245E02">
        <w:rPr>
          <w:rFonts w:hint="cs"/>
          <w:i/>
          <w:iCs/>
          <w:rtl/>
        </w:rPr>
        <w:tab/>
      </w:r>
      <w:r>
        <w:rPr>
          <w:rFonts w:hint="cs"/>
          <w:rtl/>
        </w:rPr>
        <w:t xml:space="preserve">ص. م. </w:t>
      </w:r>
      <w:r w:rsidRPr="00605FE8">
        <w:rPr>
          <w:rFonts w:hint="cs"/>
          <w:rtl/>
          <w:lang w:val="fr-CH"/>
        </w:rPr>
        <w:t xml:space="preserve">(يمثلها </w:t>
      </w:r>
      <w:r>
        <w:rPr>
          <w:rFonts w:hint="cs"/>
          <w:rtl/>
          <w:lang w:val="fr-CH"/>
        </w:rPr>
        <w:t>ال</w:t>
      </w:r>
      <w:r w:rsidRPr="00605FE8">
        <w:rPr>
          <w:rFonts w:hint="cs"/>
          <w:rtl/>
          <w:lang w:val="fr-CH"/>
        </w:rPr>
        <w:t>محام</w:t>
      </w:r>
      <w:r>
        <w:rPr>
          <w:rFonts w:hint="cs"/>
          <w:rtl/>
          <w:lang w:val="fr-CH"/>
        </w:rPr>
        <w:t>ي</w:t>
      </w:r>
      <w:r w:rsidRPr="00605FE8">
        <w:rPr>
          <w:rFonts w:hint="cs"/>
          <w:rtl/>
          <w:lang w:val="fr-CH"/>
        </w:rPr>
        <w:t>، ط</w:t>
      </w:r>
      <w:r>
        <w:rPr>
          <w:rFonts w:hint="cs"/>
          <w:rtl/>
          <w:lang w:val="fr-CH"/>
        </w:rPr>
        <w:t>.</w:t>
      </w:r>
      <w:r w:rsidRPr="00605FE8">
        <w:rPr>
          <w:rFonts w:hint="cs"/>
          <w:rtl/>
          <w:lang w:val="fr-CH"/>
        </w:rPr>
        <w:t xml:space="preserve"> ح</w:t>
      </w:r>
      <w:r>
        <w:rPr>
          <w:rFonts w:hint="cs"/>
          <w:rtl/>
          <w:lang w:val="fr-CH"/>
        </w:rPr>
        <w:t>.</w:t>
      </w:r>
      <w:r w:rsidRPr="00605FE8">
        <w:rPr>
          <w:rFonts w:hint="cs"/>
          <w:rtl/>
        </w:rPr>
        <w:t>)</w:t>
      </w:r>
    </w:p>
    <w:p w:rsidR="004355F7" w:rsidRDefault="004355F7" w:rsidP="004355F7">
      <w:pPr>
        <w:pStyle w:val="SingleTxtGA"/>
        <w:tabs>
          <w:tab w:val="clear" w:pos="1928"/>
          <w:tab w:val="clear" w:pos="4649"/>
          <w:tab w:val="left" w:pos="1883"/>
          <w:tab w:val="left" w:pos="4418"/>
        </w:tabs>
        <w:spacing w:line="360" w:lineRule="exact"/>
        <w:ind w:left="1911"/>
        <w:rPr>
          <w:rFonts w:hint="cs"/>
          <w:rtl/>
        </w:rPr>
      </w:pPr>
      <w:r w:rsidRPr="00CF19AB">
        <w:rPr>
          <w:i/>
          <w:iCs/>
          <w:rtl/>
        </w:rPr>
        <w:t>الشخص المدعى أنه ضحية</w:t>
      </w:r>
      <w:r w:rsidRPr="004355F7">
        <w:rPr>
          <w:rFonts w:hint="cs"/>
          <w:rtl/>
        </w:rPr>
        <w:t>:</w:t>
      </w:r>
      <w:r>
        <w:rPr>
          <w:rFonts w:hint="cs"/>
          <w:rtl/>
        </w:rPr>
        <w:tab/>
      </w:r>
      <w:r w:rsidRPr="001A79F1">
        <w:rPr>
          <w:rtl/>
        </w:rPr>
        <w:t>صاحب</w:t>
      </w:r>
      <w:r>
        <w:rPr>
          <w:rFonts w:hint="cs"/>
          <w:rtl/>
        </w:rPr>
        <w:t>ة</w:t>
      </w:r>
      <w:r w:rsidRPr="001A79F1">
        <w:rPr>
          <w:rtl/>
        </w:rPr>
        <w:t xml:space="preserve"> </w:t>
      </w:r>
      <w:r>
        <w:rPr>
          <w:rFonts w:hint="cs"/>
          <w:rtl/>
        </w:rPr>
        <w:t>الشكوى</w:t>
      </w:r>
    </w:p>
    <w:p w:rsidR="004355F7" w:rsidRPr="00A75552" w:rsidRDefault="004355F7" w:rsidP="004355F7">
      <w:pPr>
        <w:pStyle w:val="SingleTxtGA"/>
        <w:tabs>
          <w:tab w:val="clear" w:pos="1928"/>
          <w:tab w:val="clear" w:pos="4649"/>
          <w:tab w:val="left" w:pos="1883"/>
          <w:tab w:val="left" w:pos="4418"/>
        </w:tabs>
        <w:spacing w:line="360" w:lineRule="exact"/>
        <w:ind w:left="1911"/>
        <w:rPr>
          <w:rFonts w:hint="cs"/>
          <w:rtl/>
        </w:rPr>
      </w:pPr>
      <w:r>
        <w:rPr>
          <w:rFonts w:hint="cs"/>
          <w:i/>
          <w:iCs/>
          <w:rtl/>
        </w:rPr>
        <w:t>الدولة الطرف</w:t>
      </w:r>
      <w:r w:rsidRPr="004355F7">
        <w:rPr>
          <w:rFonts w:hint="cs"/>
          <w:rtl/>
        </w:rPr>
        <w:t>:</w:t>
      </w:r>
      <w:r>
        <w:rPr>
          <w:rFonts w:hint="cs"/>
          <w:rtl/>
        </w:rPr>
        <w:tab/>
      </w:r>
      <w:r>
        <w:rPr>
          <w:rFonts w:hint="cs"/>
          <w:rtl/>
        </w:rPr>
        <w:tab/>
      </w:r>
      <w:r>
        <w:rPr>
          <w:rFonts w:hint="cs"/>
          <w:rtl/>
        </w:rPr>
        <w:tab/>
        <w:t>سويسرا</w:t>
      </w:r>
    </w:p>
    <w:p w:rsidR="004355F7" w:rsidRPr="00AF4A95" w:rsidRDefault="004355F7" w:rsidP="004355F7">
      <w:pPr>
        <w:pStyle w:val="SingleTxtGA"/>
        <w:tabs>
          <w:tab w:val="clear" w:pos="1928"/>
          <w:tab w:val="clear" w:pos="4649"/>
          <w:tab w:val="left" w:pos="1883"/>
          <w:tab w:val="left" w:pos="4418"/>
        </w:tabs>
        <w:spacing w:line="360" w:lineRule="exact"/>
        <w:ind w:left="4536" w:hanging="2625"/>
        <w:rPr>
          <w:rFonts w:hint="cs"/>
          <w:i/>
          <w:iCs/>
          <w:spacing w:val="-7"/>
          <w:rtl/>
        </w:rPr>
      </w:pPr>
      <w:r w:rsidRPr="00CF19AB">
        <w:rPr>
          <w:i/>
          <w:iCs/>
          <w:rtl/>
        </w:rPr>
        <w:t xml:space="preserve">تاريخ تقديم </w:t>
      </w:r>
      <w:r>
        <w:rPr>
          <w:rFonts w:hint="cs"/>
          <w:i/>
          <w:iCs/>
          <w:rtl/>
        </w:rPr>
        <w:t>الشكوى</w:t>
      </w:r>
      <w:r w:rsidRPr="004355F7">
        <w:rPr>
          <w:rFonts w:hint="cs"/>
          <w:rtl/>
        </w:rPr>
        <w:t>:</w:t>
      </w:r>
      <w:r>
        <w:rPr>
          <w:rFonts w:hint="cs"/>
          <w:i/>
          <w:iCs/>
          <w:rtl/>
        </w:rPr>
        <w:tab/>
      </w:r>
      <w:r>
        <w:rPr>
          <w:rFonts w:hint="cs"/>
          <w:i/>
          <w:iCs/>
          <w:rtl/>
        </w:rPr>
        <w:tab/>
      </w:r>
      <w:r w:rsidRPr="00AF4A95">
        <w:rPr>
          <w:rFonts w:hint="cs"/>
          <w:spacing w:val="-7"/>
          <w:rtl/>
        </w:rPr>
        <w:t>10 تشرين الثاني/نوفمبر 2009 (تاريخ الرسالة الأولى)</w:t>
      </w:r>
    </w:p>
    <w:p w:rsidR="004355F7" w:rsidRDefault="004355F7" w:rsidP="004355F7">
      <w:pPr>
        <w:pStyle w:val="SingleTxtGA"/>
        <w:spacing w:line="360" w:lineRule="exact"/>
        <w:rPr>
          <w:rFonts w:hint="cs"/>
          <w:rtl/>
        </w:rPr>
      </w:pPr>
      <w:r>
        <w:rPr>
          <w:rFonts w:hint="cs"/>
          <w:i/>
          <w:iCs/>
          <w:rtl/>
        </w:rPr>
        <w:tab/>
      </w:r>
      <w:r w:rsidRPr="004504D6">
        <w:rPr>
          <w:rFonts w:hint="cs"/>
          <w:i/>
          <w:iCs/>
          <w:rtl/>
        </w:rPr>
        <w:t>إن لجنة مناهضة التعذيب</w:t>
      </w:r>
      <w:r w:rsidRPr="004504D6">
        <w:rPr>
          <w:rFonts w:hint="cs"/>
          <w:rtl/>
        </w:rPr>
        <w:t>، المنشأة بموجب المادة 17 من اتفاقية مناهضة التعذيب وغيره من ضروب المعاملة أو العقوبة القاسية أو اللاإنسانية أو المهينة،</w:t>
      </w:r>
    </w:p>
    <w:p w:rsidR="004355F7" w:rsidRDefault="004355F7" w:rsidP="004355F7">
      <w:pPr>
        <w:pStyle w:val="SingleTxtGA"/>
        <w:spacing w:line="360" w:lineRule="exact"/>
        <w:rPr>
          <w:rFonts w:hint="cs"/>
          <w:rtl/>
        </w:rPr>
      </w:pPr>
      <w:r w:rsidRPr="004504D6">
        <w:rPr>
          <w:rFonts w:hint="cs"/>
          <w:i/>
          <w:iCs/>
          <w:rtl/>
        </w:rPr>
        <w:tab/>
        <w:t>وقد اجتمعت</w:t>
      </w:r>
      <w:r w:rsidRPr="004504D6">
        <w:rPr>
          <w:rFonts w:hint="cs"/>
          <w:rtl/>
        </w:rPr>
        <w:t xml:space="preserve"> في </w:t>
      </w:r>
      <w:r>
        <w:rPr>
          <w:rFonts w:hint="cs"/>
          <w:rtl/>
        </w:rPr>
        <w:t>23</w:t>
      </w:r>
      <w:r w:rsidRPr="004504D6">
        <w:rPr>
          <w:rFonts w:hint="cs"/>
          <w:rtl/>
        </w:rPr>
        <w:t xml:space="preserve"> </w:t>
      </w:r>
      <w:r>
        <w:rPr>
          <w:rFonts w:hint="cs"/>
          <w:rtl/>
        </w:rPr>
        <w:t>تشرين الثاني/نوفمبر 2012</w:t>
      </w:r>
      <w:r w:rsidRPr="004504D6">
        <w:rPr>
          <w:rFonts w:hint="cs"/>
          <w:rtl/>
        </w:rPr>
        <w:t>،</w:t>
      </w:r>
    </w:p>
    <w:p w:rsidR="004355F7" w:rsidRDefault="004355F7" w:rsidP="004355F7">
      <w:pPr>
        <w:pStyle w:val="SingleTxtGA"/>
        <w:spacing w:line="360" w:lineRule="exact"/>
        <w:rPr>
          <w:rFonts w:hint="cs"/>
          <w:rtl/>
        </w:rPr>
      </w:pPr>
      <w:r w:rsidRPr="004504D6">
        <w:rPr>
          <w:rFonts w:hint="cs"/>
          <w:i/>
          <w:iCs/>
          <w:rtl/>
        </w:rPr>
        <w:tab/>
        <w:t xml:space="preserve">وقد فرغت </w:t>
      </w:r>
      <w:r w:rsidRPr="004504D6">
        <w:rPr>
          <w:rFonts w:hint="cs"/>
          <w:rtl/>
        </w:rPr>
        <w:t>من النظر في ال</w:t>
      </w:r>
      <w:r>
        <w:rPr>
          <w:rFonts w:hint="cs"/>
          <w:rtl/>
        </w:rPr>
        <w:t>بلاغ</w:t>
      </w:r>
      <w:r w:rsidRPr="004504D6">
        <w:rPr>
          <w:rFonts w:hint="cs"/>
          <w:rtl/>
        </w:rPr>
        <w:t xml:space="preserve"> رقم </w:t>
      </w:r>
      <w:r>
        <w:rPr>
          <w:rFonts w:hint="cs"/>
          <w:rtl/>
        </w:rPr>
        <w:t>406</w:t>
      </w:r>
      <w:r w:rsidRPr="004504D6">
        <w:rPr>
          <w:rFonts w:hint="cs"/>
          <w:rtl/>
        </w:rPr>
        <w:t>/200</w:t>
      </w:r>
      <w:r>
        <w:rPr>
          <w:rFonts w:hint="cs"/>
          <w:rtl/>
        </w:rPr>
        <w:t>9</w:t>
      </w:r>
      <w:r w:rsidRPr="004504D6">
        <w:rPr>
          <w:rFonts w:hint="cs"/>
          <w:rtl/>
        </w:rPr>
        <w:t xml:space="preserve">، </w:t>
      </w:r>
      <w:r>
        <w:rPr>
          <w:rFonts w:hint="cs"/>
          <w:rtl/>
        </w:rPr>
        <w:t>الذي قدمته</w:t>
      </w:r>
      <w:r w:rsidRPr="004504D6">
        <w:rPr>
          <w:rFonts w:hint="cs"/>
          <w:rtl/>
        </w:rPr>
        <w:t xml:space="preserve"> </w:t>
      </w:r>
      <w:r>
        <w:rPr>
          <w:rFonts w:hint="cs"/>
          <w:rtl/>
        </w:rPr>
        <w:t>إليها ص. م.</w:t>
      </w:r>
      <w:r w:rsidRPr="00245E02">
        <w:rPr>
          <w:rFonts w:hint="cs"/>
          <w:rtl/>
        </w:rPr>
        <w:t xml:space="preserve"> بموجب</w:t>
      </w:r>
      <w:r w:rsidRPr="004504D6">
        <w:rPr>
          <w:rFonts w:hint="cs"/>
          <w:rtl/>
        </w:rPr>
        <w:t xml:space="preserve"> المادة 22 من اتفاقية مناهضة التعذيب وغيره من ضروب المعاملة أو العقوبة القاسية أو اللاإنسانية أو المهينة،</w:t>
      </w:r>
    </w:p>
    <w:p w:rsidR="004355F7" w:rsidRPr="004504D6" w:rsidRDefault="004355F7" w:rsidP="004355F7">
      <w:pPr>
        <w:pStyle w:val="SingleTxtGA"/>
        <w:spacing w:line="360" w:lineRule="exact"/>
        <w:rPr>
          <w:rFonts w:hint="cs"/>
          <w:rtl/>
        </w:rPr>
      </w:pPr>
      <w:r w:rsidRPr="004504D6">
        <w:rPr>
          <w:rFonts w:hint="cs"/>
          <w:i/>
          <w:iCs/>
          <w:rtl/>
        </w:rPr>
        <w:tab/>
        <w:t xml:space="preserve">وقد أخذت في اعتبارها </w:t>
      </w:r>
      <w:r w:rsidRPr="004504D6">
        <w:rPr>
          <w:rFonts w:hint="cs"/>
          <w:rtl/>
        </w:rPr>
        <w:t>جميع المعلو</w:t>
      </w:r>
      <w:r>
        <w:rPr>
          <w:rFonts w:hint="cs"/>
          <w:rtl/>
        </w:rPr>
        <w:t xml:space="preserve">مات التي أتاحتها لها صاحبة الشكوى ومحاميها </w:t>
      </w:r>
      <w:r w:rsidRPr="004504D6">
        <w:rPr>
          <w:rFonts w:hint="cs"/>
          <w:rtl/>
        </w:rPr>
        <w:t>والدولة الطرف،</w:t>
      </w:r>
    </w:p>
    <w:p w:rsidR="004355F7" w:rsidRDefault="004355F7" w:rsidP="004355F7">
      <w:pPr>
        <w:pStyle w:val="SingleTxtGA"/>
        <w:spacing w:line="360" w:lineRule="exact"/>
        <w:rPr>
          <w:rFonts w:hint="cs"/>
          <w:sz w:val="32"/>
          <w:szCs w:val="32"/>
          <w:rtl/>
        </w:rPr>
      </w:pPr>
      <w:r w:rsidRPr="004504D6">
        <w:rPr>
          <w:rFonts w:hint="cs"/>
          <w:rtl/>
        </w:rPr>
        <w:tab/>
      </w:r>
      <w:r w:rsidRPr="00491F8E">
        <w:rPr>
          <w:rFonts w:hint="cs"/>
          <w:i/>
          <w:iCs/>
          <w:rtl/>
        </w:rPr>
        <w:t xml:space="preserve">تعتمد </w:t>
      </w:r>
      <w:r w:rsidRPr="00306567">
        <w:rPr>
          <w:rFonts w:hint="cs"/>
          <w:rtl/>
        </w:rPr>
        <w:t>ما يلي:</w:t>
      </w:r>
    </w:p>
    <w:p w:rsidR="004355F7" w:rsidRDefault="004355F7" w:rsidP="004355F7">
      <w:pPr>
        <w:pStyle w:val="H1GA"/>
        <w:rPr>
          <w:rFonts w:hint="cs"/>
          <w:rtl/>
        </w:rPr>
      </w:pPr>
      <w:r>
        <w:rPr>
          <w:rFonts w:hint="cs"/>
          <w:rtl/>
        </w:rPr>
        <w:tab/>
      </w:r>
      <w:r>
        <w:rPr>
          <w:rFonts w:hint="cs"/>
          <w:rtl/>
        </w:rPr>
        <w:tab/>
        <w:t xml:space="preserve">قرار بموجب الفقرة 7 من المادة 22 من اتفاقية مناهضة التعذيب </w:t>
      </w:r>
    </w:p>
    <w:p w:rsidR="004355F7" w:rsidRPr="00976F97" w:rsidRDefault="004355F7" w:rsidP="004355F7">
      <w:pPr>
        <w:pStyle w:val="SingleTxtGA"/>
        <w:spacing w:after="100" w:line="374" w:lineRule="exact"/>
        <w:rPr>
          <w:rFonts w:hint="cs"/>
          <w:rtl/>
        </w:rPr>
      </w:pPr>
      <w:r>
        <w:rPr>
          <w:rFonts w:hint="cs"/>
          <w:rtl/>
        </w:rPr>
        <w:t>1-1</w:t>
      </w:r>
      <w:r>
        <w:rPr>
          <w:rFonts w:hint="cs"/>
          <w:rtl/>
        </w:rPr>
        <w:tab/>
        <w:t xml:space="preserve">صاحبة الشكوى هي ص. م.، </w:t>
      </w:r>
      <w:r>
        <w:rPr>
          <w:rFonts w:hint="cs"/>
          <w:rtl/>
          <w:lang w:bidi="ar-EG"/>
        </w:rPr>
        <w:t xml:space="preserve">وهي </w:t>
      </w:r>
      <w:r>
        <w:rPr>
          <w:rFonts w:hint="cs"/>
          <w:rtl/>
        </w:rPr>
        <w:t>من مواطني إثيوبيا ومولودة في 2 حزيران/ يونيه</w:t>
      </w:r>
      <w:r>
        <w:rPr>
          <w:rFonts w:hint="eastAsia"/>
          <w:rtl/>
        </w:rPr>
        <w:t> </w:t>
      </w:r>
      <w:r>
        <w:rPr>
          <w:rFonts w:hint="cs"/>
          <w:rtl/>
        </w:rPr>
        <w:t>1979 في مخيم كسلا للاجئين بالسودان</w:t>
      </w:r>
      <w:r>
        <w:rPr>
          <w:sz w:val="30"/>
          <w:vertAlign w:val="superscript"/>
          <w:rtl/>
          <w:lang w:val="es-ES"/>
        </w:rPr>
        <w:t>(</w:t>
      </w:r>
      <w:r>
        <w:rPr>
          <w:rStyle w:val="FootnoteReference"/>
          <w:rtl/>
          <w:lang w:val="es-ES"/>
        </w:rPr>
        <w:footnoteReference w:id="54"/>
      </w:r>
      <w:r>
        <w:rPr>
          <w:sz w:val="30"/>
          <w:vertAlign w:val="superscript"/>
          <w:rtl/>
          <w:lang w:val="es-ES"/>
        </w:rPr>
        <w:t>)</w:t>
      </w:r>
      <w:r>
        <w:rPr>
          <w:rFonts w:hint="cs"/>
          <w:rtl/>
        </w:rPr>
        <w:t xml:space="preserve">. والتمست صاحبة الشكوى اللجوء ورفض طلبها؛ وفي وقت تقديم الشكوى كانت تنتظر الترحيل إلى إثيوبيا. وتدعي صاحبة الشكوى أن ترحيلها إلى إثيوبيا يشكل انتهاكاً من جانب سويسرا للمادة 3 من اتفاقية </w:t>
      </w:r>
      <w:r w:rsidRPr="004504D6">
        <w:rPr>
          <w:rFonts w:hint="cs"/>
          <w:rtl/>
        </w:rPr>
        <w:t>مناهضة التعذيب وغيره من ضروب المعاملة أو العقوبة ال</w:t>
      </w:r>
      <w:r>
        <w:rPr>
          <w:rFonts w:hint="cs"/>
          <w:rtl/>
        </w:rPr>
        <w:t>قاسية أو اللاإنسانية أو المهينة. ويمثل صاحبة الشكوى المحامي ط.</w:t>
      </w:r>
      <w:r>
        <w:rPr>
          <w:rFonts w:hint="eastAsia"/>
          <w:rtl/>
        </w:rPr>
        <w:t> </w:t>
      </w:r>
      <w:r>
        <w:rPr>
          <w:rFonts w:hint="cs"/>
          <w:rtl/>
        </w:rPr>
        <w:t xml:space="preserve">ح. </w:t>
      </w:r>
    </w:p>
    <w:p w:rsidR="004355F7" w:rsidRDefault="004355F7" w:rsidP="004355F7">
      <w:pPr>
        <w:pStyle w:val="SingleTxtGA"/>
        <w:spacing w:after="100" w:line="374" w:lineRule="exact"/>
        <w:rPr>
          <w:rFonts w:hint="cs"/>
          <w:rtl/>
          <w:lang/>
        </w:rPr>
      </w:pPr>
      <w:r>
        <w:rPr>
          <w:rFonts w:hint="cs"/>
          <w:rtl/>
        </w:rPr>
        <w:t>1-2</w:t>
      </w:r>
      <w:r>
        <w:rPr>
          <w:rFonts w:hint="cs"/>
          <w:rtl/>
        </w:rPr>
        <w:tab/>
        <w:t xml:space="preserve">وفي يومي 10 و25 تشرين الثاني/نوفمبر 2009، </w:t>
      </w:r>
      <w:r>
        <w:rPr>
          <w:rFonts w:hint="cs"/>
          <w:rtl/>
          <w:lang/>
        </w:rPr>
        <w:t>طلبت صاحبة الشكوى إلى اللجنة أن تطلب إلى الدولة الطرف عد</w:t>
      </w:r>
      <w:r>
        <w:rPr>
          <w:rFonts w:hint="cs"/>
          <w:rtl/>
          <w:lang w:bidi="ar-EG"/>
        </w:rPr>
        <w:t>م</w:t>
      </w:r>
      <w:r>
        <w:rPr>
          <w:rFonts w:hint="cs"/>
          <w:rtl/>
          <w:lang/>
        </w:rPr>
        <w:t xml:space="preserve"> ترحيلها إلى إثيوبيا أثناء نظر اللجنة في شكواها. وفي</w:t>
      </w:r>
      <w:r>
        <w:rPr>
          <w:rFonts w:hint="eastAsia"/>
          <w:rtl/>
          <w:lang/>
        </w:rPr>
        <w:t> </w:t>
      </w:r>
      <w:r>
        <w:rPr>
          <w:rFonts w:hint="cs"/>
          <w:rtl/>
          <w:lang/>
        </w:rPr>
        <w:t xml:space="preserve">25 تشرين الثاني/نوفمبر 2009، أحالت اللجنة، من خلال مقررها المعني بالشكاوى </w:t>
      </w:r>
      <w:r>
        <w:rPr>
          <w:rFonts w:hint="cs"/>
          <w:rtl/>
          <w:lang w:bidi="ar-EG"/>
        </w:rPr>
        <w:t xml:space="preserve">الجديدة </w:t>
      </w:r>
      <w:r>
        <w:rPr>
          <w:rFonts w:hint="cs"/>
          <w:rtl/>
          <w:lang/>
        </w:rPr>
        <w:t>والتدابير المؤقتة، الشكوى إلى الدولة الطرف بدون طلب توفير تدابير الحماية المؤقتة بموجب الفقرة 1 من المادة 108 السابقة من النظام الداخلي للجنة</w:t>
      </w:r>
      <w:r>
        <w:rPr>
          <w:sz w:val="30"/>
          <w:vertAlign w:val="superscript"/>
          <w:rtl/>
          <w:lang w:val="es-ES"/>
        </w:rPr>
        <w:t>(</w:t>
      </w:r>
      <w:r>
        <w:rPr>
          <w:rStyle w:val="FootnoteReference"/>
          <w:rtl/>
          <w:lang w:val="es-ES"/>
        </w:rPr>
        <w:footnoteReference w:id="55"/>
      </w:r>
      <w:r>
        <w:rPr>
          <w:sz w:val="30"/>
          <w:vertAlign w:val="superscript"/>
          <w:rtl/>
          <w:lang w:val="es-ES"/>
        </w:rPr>
        <w:t>)</w:t>
      </w:r>
      <w:r>
        <w:rPr>
          <w:rFonts w:hint="cs"/>
          <w:rtl/>
          <w:lang/>
        </w:rPr>
        <w:t xml:space="preserve">. وبعد أن كررت صاحبة الشكوى في 21 نيسان/أبريل 2011 طلب تعليق ترحيلها إلى إثيوبيا، قرر المقرر المعني بالشكاوى </w:t>
      </w:r>
      <w:r>
        <w:rPr>
          <w:rFonts w:hint="cs"/>
          <w:rtl/>
          <w:lang w:bidi="ar-EG"/>
        </w:rPr>
        <w:t xml:space="preserve">الجديدة </w:t>
      </w:r>
      <w:r>
        <w:rPr>
          <w:rFonts w:hint="cs"/>
          <w:rtl/>
          <w:lang/>
        </w:rPr>
        <w:t>والتدابير المؤقتة عدم إصدار طلب بتوفير تدابير الحماية المؤقتة.</w:t>
      </w:r>
    </w:p>
    <w:p w:rsidR="004355F7" w:rsidRDefault="004355F7" w:rsidP="004355F7">
      <w:pPr>
        <w:pStyle w:val="H23GA"/>
        <w:spacing w:before="100" w:after="100"/>
        <w:rPr>
          <w:rFonts w:hint="cs"/>
          <w:rtl/>
        </w:rPr>
      </w:pPr>
      <w:r>
        <w:rPr>
          <w:rFonts w:hint="cs"/>
          <w:rtl/>
          <w:lang w:val="fr-CH"/>
        </w:rPr>
        <w:tab/>
      </w:r>
      <w:r>
        <w:rPr>
          <w:rFonts w:hint="cs"/>
          <w:rtl/>
          <w:lang w:val="fr-CH"/>
        </w:rPr>
        <w:tab/>
      </w:r>
      <w:r w:rsidRPr="003D511D">
        <w:rPr>
          <w:rFonts w:hint="cs"/>
          <w:rtl/>
          <w:lang w:val="fr-CH"/>
        </w:rPr>
        <w:t xml:space="preserve">الوقائع كما عرضتها صاحبة </w:t>
      </w:r>
      <w:r>
        <w:rPr>
          <w:rFonts w:hint="cs"/>
          <w:rtl/>
        </w:rPr>
        <w:t>الشكوى</w:t>
      </w:r>
      <w:r w:rsidRPr="003D511D">
        <w:rPr>
          <w:rFonts w:hint="cs"/>
          <w:rtl/>
        </w:rPr>
        <w:t xml:space="preserve"> </w:t>
      </w:r>
    </w:p>
    <w:p w:rsidR="004355F7" w:rsidRDefault="004355F7" w:rsidP="004355F7">
      <w:pPr>
        <w:pStyle w:val="SingleTxtGA"/>
        <w:spacing w:after="100" w:line="374" w:lineRule="exact"/>
        <w:rPr>
          <w:rFonts w:hint="cs"/>
          <w:rtl/>
          <w:lang w:bidi="ar-EG"/>
        </w:rPr>
      </w:pPr>
      <w:r w:rsidRPr="00263289">
        <w:rPr>
          <w:rFonts w:hint="cs"/>
          <w:rtl/>
        </w:rPr>
        <w:t>2-1</w:t>
      </w:r>
      <w:r w:rsidRPr="00263289">
        <w:rPr>
          <w:rFonts w:hint="cs"/>
          <w:rtl/>
        </w:rPr>
        <w:tab/>
      </w:r>
      <w:r>
        <w:rPr>
          <w:rFonts w:hint="cs"/>
          <w:rtl/>
        </w:rPr>
        <w:t>ولدت صاحبة الشكوى في مخيم للاجئين في كسلا، السودان. وعادت إلى غوندار وديرة داوا بإثيوبيا مع والدتها وهي في سن المراهقة</w:t>
      </w:r>
      <w:r w:rsidRPr="00263289">
        <w:rPr>
          <w:rFonts w:hint="cs"/>
          <w:rtl/>
        </w:rPr>
        <w:t xml:space="preserve">. </w:t>
      </w:r>
      <w:r>
        <w:rPr>
          <w:rFonts w:hint="cs"/>
          <w:rtl/>
        </w:rPr>
        <w:t xml:space="preserve">وتدعي صاحبة الشكوى أنها تعرضت للمضايقة من جانب أشخاص ينتمون إلى </w:t>
      </w:r>
      <w:r>
        <w:rPr>
          <w:rFonts w:hint="cs"/>
          <w:rtl/>
          <w:lang w:bidi="ar-EG"/>
        </w:rPr>
        <w:t>الدين الإسلامي نظراً لأنها مسيحية. وفي عام</w:t>
      </w:r>
      <w:r>
        <w:rPr>
          <w:rFonts w:hint="eastAsia"/>
          <w:rtl/>
          <w:lang w:bidi="ar-EG"/>
        </w:rPr>
        <w:t> </w:t>
      </w:r>
      <w:r>
        <w:rPr>
          <w:rFonts w:hint="cs"/>
          <w:rtl/>
          <w:lang w:bidi="ar-EG"/>
        </w:rPr>
        <w:t>2001، رحلت إلى كينيا. وسافرت بعد ذلك بسنة من نيروبي إلى زيورخ، حيث تقدمت بطلب لجوء في 7 آذار/مارس 2002.</w:t>
      </w:r>
    </w:p>
    <w:p w:rsidR="004355F7" w:rsidRDefault="004355F7" w:rsidP="004355F7">
      <w:pPr>
        <w:pStyle w:val="SingleTxtGA"/>
        <w:spacing w:after="100" w:line="374" w:lineRule="exact"/>
        <w:rPr>
          <w:rFonts w:hint="cs"/>
          <w:rtl/>
        </w:rPr>
      </w:pPr>
      <w:r>
        <w:rPr>
          <w:rFonts w:hint="cs"/>
          <w:spacing w:val="-2"/>
          <w:sz w:val="30"/>
          <w:rtl/>
          <w:lang w:bidi="ar-EG"/>
        </w:rPr>
        <w:t>2-2</w:t>
      </w:r>
      <w:r>
        <w:rPr>
          <w:rFonts w:hint="cs"/>
          <w:spacing w:val="-2"/>
          <w:sz w:val="30"/>
          <w:rtl/>
          <w:lang w:bidi="ar-EG"/>
        </w:rPr>
        <w:tab/>
        <w:t xml:space="preserve">وفي 7 تشرين الأول/أكتوبر 2002، رفض </w:t>
      </w:r>
      <w:r>
        <w:rPr>
          <w:rFonts w:hint="cs"/>
          <w:rtl/>
          <w:lang w:val="fr-CH"/>
        </w:rPr>
        <w:t xml:space="preserve">المكتب الاتحادي للاجئين، الذي حل محله فيما بعد المكتب الاتحادي للهجرة، طلب لجوء صاحبة الشكوى وأمرها بمغادرة سويسرا. ولم تنظر </w:t>
      </w:r>
      <w:r w:rsidRPr="00B70B73">
        <w:rPr>
          <w:rFonts w:hint="cs"/>
          <w:rtl/>
        </w:rPr>
        <w:t>اللجنة السويسرية للطعون المتعلقة باللجوء</w:t>
      </w:r>
      <w:r>
        <w:rPr>
          <w:rFonts w:hint="cs"/>
          <w:rtl/>
        </w:rPr>
        <w:t>،</w:t>
      </w:r>
      <w:r w:rsidRPr="00B70B73">
        <w:rPr>
          <w:rFonts w:hint="cs"/>
          <w:rtl/>
        </w:rPr>
        <w:t xml:space="preserve"> </w:t>
      </w:r>
      <w:r>
        <w:rPr>
          <w:rFonts w:hint="cs"/>
          <w:rtl/>
        </w:rPr>
        <w:t xml:space="preserve">التي حلت محلها </w:t>
      </w:r>
      <w:r w:rsidRPr="00B70B73">
        <w:rPr>
          <w:rFonts w:hint="cs"/>
          <w:rtl/>
        </w:rPr>
        <w:t>المحكمة الاتحادية</w:t>
      </w:r>
      <w:r>
        <w:rPr>
          <w:rFonts w:hint="cs"/>
          <w:rtl/>
        </w:rPr>
        <w:t xml:space="preserve"> </w:t>
      </w:r>
      <w:r w:rsidRPr="00B70B73">
        <w:rPr>
          <w:rFonts w:hint="cs"/>
          <w:rtl/>
        </w:rPr>
        <w:t xml:space="preserve">الإدارية </w:t>
      </w:r>
      <w:r>
        <w:rPr>
          <w:rFonts w:hint="cs"/>
          <w:rtl/>
        </w:rPr>
        <w:t>ابتداء من 1 كانون الثاني/يناير 2007، في طعنها لأسباب ذات صلة بالإجراءات الشكلية (انظر أيضاً الفقرة 4-1 أدناه).</w:t>
      </w:r>
    </w:p>
    <w:p w:rsidR="004355F7" w:rsidRPr="00133B28" w:rsidRDefault="004355F7" w:rsidP="004355F7">
      <w:pPr>
        <w:pStyle w:val="SingleTxtGA"/>
        <w:spacing w:after="100" w:line="374" w:lineRule="exact"/>
        <w:rPr>
          <w:rFonts w:hint="cs"/>
          <w:spacing w:val="-2"/>
          <w:rtl/>
          <w:lang w:val="fr-CH"/>
        </w:rPr>
      </w:pPr>
      <w:r w:rsidRPr="00133B28">
        <w:rPr>
          <w:rFonts w:hint="cs"/>
          <w:spacing w:val="-2"/>
          <w:rtl/>
        </w:rPr>
        <w:t>2-3</w:t>
      </w:r>
      <w:r w:rsidRPr="00133B28">
        <w:rPr>
          <w:rFonts w:hint="cs"/>
          <w:spacing w:val="-2"/>
          <w:rtl/>
        </w:rPr>
        <w:tab/>
        <w:t xml:space="preserve">وفي 22 كانون الأول/ديسمبر 2006، قدمت صاحبة الشكوى طلباً ثانياً للجوء، هذه المرة استناداً إلى أنشطتها السياسية في سويسرا. وتشير إلى أنها عضو مؤسس لمجموعة الدعم في سويسرا </w:t>
      </w:r>
      <w:r w:rsidRPr="00133B28">
        <w:rPr>
          <w:rFonts w:hint="cs"/>
          <w:spacing w:val="-2"/>
          <w:rtl/>
          <w:lang w:val="fr-CH"/>
        </w:rPr>
        <w:t>للتحالف من أجل الوحدة والديمقراطية (</w:t>
      </w:r>
      <w:r w:rsidRPr="00133B28">
        <w:rPr>
          <w:spacing w:val="-2"/>
          <w:lang w:val="en-CA"/>
        </w:rPr>
        <w:t>CUD</w:t>
      </w:r>
      <w:r w:rsidRPr="00133B28">
        <w:rPr>
          <w:rFonts w:hint="cs"/>
          <w:spacing w:val="-2"/>
          <w:rtl/>
          <w:lang w:val="en-CA" w:bidi="ar-EG"/>
        </w:rPr>
        <w:t xml:space="preserve">؛ وعادة ما يشار إليه خارج إثيوبيا بوصفه </w:t>
      </w:r>
      <w:r w:rsidRPr="00133B28">
        <w:rPr>
          <w:spacing w:val="-2"/>
        </w:rPr>
        <w:t>KINIJIT</w:t>
      </w:r>
      <w:r w:rsidRPr="00133B28">
        <w:rPr>
          <w:rFonts w:hint="cs"/>
          <w:spacing w:val="-2"/>
          <w:rtl/>
          <w:lang w:val="fr-CH"/>
        </w:rPr>
        <w:t xml:space="preserve"> أو </w:t>
      </w:r>
      <w:r w:rsidRPr="00133B28">
        <w:rPr>
          <w:spacing w:val="-2"/>
          <w:lang w:val="en-CA"/>
        </w:rPr>
        <w:t>CUPD</w:t>
      </w:r>
      <w:r w:rsidRPr="00133B28">
        <w:rPr>
          <w:rFonts w:hint="cs"/>
          <w:spacing w:val="-2"/>
          <w:rtl/>
          <w:lang w:val="en-CA" w:bidi="ar-EG"/>
        </w:rPr>
        <w:t>)، الذي يهدف إلى تعزيز سيادة القانون في إثيوبيا عن طريق تغيير النظام. ويُدعى أنها من أبرز الأعضاء في سويسرا وأنها شاركت بنشاط في عشرات المظاهرات والفعاليات العامة، وفي كثير من الأحيان كمتكلمة. وصاحبة الشكوى هي المتحدثة باسم فرع المجموعة في كانتون بازل. وفي نيسان/أبريل 2006، شاركت في الاجتماع المؤسس</w:t>
      </w:r>
      <w:r w:rsidRPr="00133B28">
        <w:rPr>
          <w:rFonts w:hint="cs"/>
          <w:spacing w:val="-2"/>
          <w:rtl/>
          <w:lang w:val="fr-CH"/>
        </w:rPr>
        <w:t xml:space="preserve"> للتحالف في جامعة جنيف وشاركت بنشاط في المناقشات وحضرت الفعاليات اللاحقة التي نظمها التحالف، وفي كثير من الأحيان بصحبة قادة بارزين من المعارضة.</w:t>
      </w:r>
    </w:p>
    <w:p w:rsidR="004355F7" w:rsidRDefault="004355F7" w:rsidP="004355F7">
      <w:pPr>
        <w:pStyle w:val="SingleTxtGA"/>
        <w:rPr>
          <w:rFonts w:hint="cs"/>
          <w:rtl/>
          <w:lang w:val="fr-CH"/>
        </w:rPr>
      </w:pPr>
      <w:r>
        <w:rPr>
          <w:rFonts w:hint="cs"/>
          <w:rtl/>
          <w:lang w:val="fr-CH"/>
        </w:rPr>
        <w:t>2-4</w:t>
      </w:r>
      <w:r>
        <w:rPr>
          <w:rFonts w:hint="cs"/>
          <w:rtl/>
          <w:lang w:val="fr-CH"/>
        </w:rPr>
        <w:tab/>
        <w:t>وأجرى المكتب الاتحادي للهجرة مقابلة مع صاحبة الشكوى في 29 آذار/ مارس</w:t>
      </w:r>
      <w:r>
        <w:rPr>
          <w:rFonts w:hint="eastAsia"/>
          <w:rtl/>
          <w:lang w:val="fr-CH"/>
        </w:rPr>
        <w:t> </w:t>
      </w:r>
      <w:r>
        <w:rPr>
          <w:rFonts w:hint="cs"/>
          <w:rtl/>
          <w:lang w:val="fr-CH"/>
        </w:rPr>
        <w:t>2007 ورفض طلبها الثاني للجوء في 22 حزيران/يونيه 2007. ورفضت المحكمة الاتحادية الإدارية طعنها في هذا القرار في 23 تشرين الأول/أكتوبر 2009. وبعد هذا الحكم، طُلب إلى صاحبة الشكوى مغادرة سويسرا بحلول 25 تشرين الثاني/نوفمبر 2009. وتدعي صاحبة الشكوى أنها إذا لم تغادر البلد طوعياً، سيجري إعادتها قسرياً إلى إثيوبيا.</w:t>
      </w:r>
    </w:p>
    <w:p w:rsidR="004355F7" w:rsidRDefault="004355F7" w:rsidP="004355F7">
      <w:pPr>
        <w:pStyle w:val="SingleTxtGA"/>
        <w:rPr>
          <w:rFonts w:hint="cs"/>
          <w:rtl/>
          <w:lang w:val="en-CA" w:bidi="ar-EG"/>
        </w:rPr>
      </w:pPr>
      <w:r>
        <w:rPr>
          <w:rFonts w:hint="cs"/>
          <w:rtl/>
          <w:lang w:val="fr-CH"/>
        </w:rPr>
        <w:t>2-5</w:t>
      </w:r>
      <w:r>
        <w:rPr>
          <w:rFonts w:hint="cs"/>
          <w:rtl/>
          <w:lang w:val="fr-CH"/>
        </w:rPr>
        <w:tab/>
        <w:t>وتدعي صاحبة الشكوى أن المحكمة الاتحادية الإدارية أقرت بأنها عضو مؤسس لحركة التحالف</w:t>
      </w:r>
      <w:r w:rsidRPr="001F6475">
        <w:rPr>
          <w:rFonts w:hint="cs"/>
          <w:rtl/>
          <w:lang w:val="fr-CH"/>
        </w:rPr>
        <w:t xml:space="preserve"> </w:t>
      </w:r>
      <w:r>
        <w:rPr>
          <w:rFonts w:hint="cs"/>
          <w:rtl/>
          <w:lang w:val="fr-CH"/>
        </w:rPr>
        <w:t>وأنها شاركت في مظاهرات مختلفة وأنشطة سياسية أخرى. غير أن المحكمة أشارت إلى أنه وفقاً للسوابق القضائية للمحكمة، فإن الأنشطة السياسية في المنفى لا</w:t>
      </w:r>
      <w:r>
        <w:rPr>
          <w:rFonts w:hint="eastAsia"/>
          <w:rtl/>
          <w:lang w:val="fr-CH"/>
        </w:rPr>
        <w:t> </w:t>
      </w:r>
      <w:r>
        <w:rPr>
          <w:rFonts w:hint="cs"/>
          <w:rtl/>
          <w:lang w:val="fr-CH"/>
        </w:rPr>
        <w:t xml:space="preserve">تؤدي إلى الاعتراف بمركز اللاجئ إلا إذا كان الاضطهاد السياسي في البلد الأصلي نتيجة محتملة للغاية. وفي حين تقبل المحكمة الاتحادية الإدارية ادعاء صاحبة الشكوى بأن أعضاء المعارضة الإثيوبية في المنفى يخضعون لرصد وثيق من جانب السلطات الإثيوبية، فقد خلصت المحكمة إلى أنه لا يوجد ما يشير إلى أن صاحبة الشكوى قد تكون جذبت اهتمام السلطات </w:t>
      </w:r>
      <w:r>
        <w:rPr>
          <w:rFonts w:hint="cs"/>
          <w:rtl/>
          <w:lang w:val="fr-CH" w:bidi="ar-EG"/>
        </w:rPr>
        <w:t xml:space="preserve">الإثيوبية </w:t>
      </w:r>
      <w:r>
        <w:rPr>
          <w:rFonts w:hint="cs"/>
          <w:rtl/>
          <w:lang w:val="fr-CH"/>
        </w:rPr>
        <w:t xml:space="preserve">بسبب أنشطتها السياسية. وبالإضافة إلى ذلك، خلصت المحكمة الاتحادية الإدارية إلى أن صاحبة الشكوى لم تحتل مركزاً بارزاً في فرع التنظيم </w:t>
      </w:r>
      <w:r>
        <w:rPr>
          <w:rFonts w:hint="cs"/>
          <w:rtl/>
          <w:lang w:val="en-CA" w:bidi="ar-EG"/>
        </w:rPr>
        <w:t>السويسري للتحالف، الذي يعد جزءاً من الحركة الدولية للتحالف، ولم تكن من قادته التنفيذيين الخمسة. وأكدت المحكمة الاتحادية الإدارية أن المهمة الرئيسية لصاحبة الشكوى تتمثل في نشر المعلومات. كما أشارت المحكمة إلى أنه لم يجر التأكد من هوية صاحبة الشكوى، بالنظر إلى أنها لم تقدم أي وثائق، ولم</w:t>
      </w:r>
      <w:r>
        <w:rPr>
          <w:rFonts w:hint="eastAsia"/>
          <w:rtl/>
          <w:lang w:val="en-CA" w:bidi="ar-EG"/>
        </w:rPr>
        <w:t> </w:t>
      </w:r>
      <w:r>
        <w:rPr>
          <w:rFonts w:hint="cs"/>
          <w:rtl/>
          <w:lang w:val="en-CA" w:bidi="ar-EG"/>
        </w:rPr>
        <w:t>تستطع إثبات أنها ستكون في خطر حقيقي بالتعرض للتعذيب إذا أعيدت إلى إثيوبيا.</w:t>
      </w:r>
    </w:p>
    <w:p w:rsidR="004355F7" w:rsidRPr="004355F7" w:rsidRDefault="004355F7" w:rsidP="004355F7">
      <w:pPr>
        <w:pStyle w:val="SingleTxtGA"/>
        <w:rPr>
          <w:rFonts w:hint="cs"/>
          <w:spacing w:val="-2"/>
          <w:rtl/>
          <w:lang w:val="en-CA" w:bidi="ar-EG"/>
        </w:rPr>
      </w:pPr>
      <w:r w:rsidRPr="000C5CE8">
        <w:rPr>
          <w:rFonts w:hint="cs"/>
          <w:rtl/>
          <w:lang w:val="en-CA" w:bidi="ar-EG"/>
        </w:rPr>
        <w:t>2-6</w:t>
      </w:r>
      <w:r w:rsidRPr="000C5CE8">
        <w:rPr>
          <w:rFonts w:hint="cs"/>
          <w:rtl/>
          <w:lang w:val="en-CA" w:bidi="ar-EG"/>
        </w:rPr>
        <w:tab/>
        <w:t>وتدعي صاحبة الشكوى أن كلمتها في الاجتماع المؤسس للتحالف سُجل على قرص فيديو رقمي (دي في دي)، ويظهر في التسجيل أيضاً العديد من قادة المعارضة البارزين. وهي لا تشك في أن السفارة الإثيوبية لديها علم بمحتوى تسجيل الفيديو هذا. وتدعي صاحبة الشكوى أيضاً أن قرار المحكمة الاتحادية الإدارية غير متسق مع سوابقها القضائية، نظراً لأنه خُلص إلى أن مواطنة إثيوبية أخرى تفي بمعايير اللاجئ في ظروف مماثلة</w:t>
      </w:r>
      <w:r w:rsidRPr="000C5CE8">
        <w:rPr>
          <w:sz w:val="30"/>
          <w:vertAlign w:val="superscript"/>
          <w:rtl/>
          <w:lang w:val="es-ES"/>
        </w:rPr>
        <w:t>(</w:t>
      </w:r>
      <w:r w:rsidRPr="000C5CE8">
        <w:rPr>
          <w:rStyle w:val="FootnoteReference"/>
          <w:spacing w:val="-1"/>
          <w:rtl/>
          <w:lang w:val="es-ES"/>
        </w:rPr>
        <w:footnoteReference w:id="56"/>
      </w:r>
      <w:r w:rsidRPr="000C5CE8">
        <w:rPr>
          <w:sz w:val="30"/>
          <w:vertAlign w:val="superscript"/>
          <w:rtl/>
          <w:lang w:val="es-ES"/>
        </w:rPr>
        <w:t>)</w:t>
      </w:r>
      <w:r w:rsidRPr="000C5CE8">
        <w:rPr>
          <w:rFonts w:hint="cs"/>
          <w:rtl/>
          <w:lang w:val="en-CA" w:bidi="ar-EG"/>
        </w:rPr>
        <w:t xml:space="preserve">. وتضيف صاحبة الشكوى أنها كانت من أنشط أعضاء التحالف منذ البداية. </w:t>
      </w:r>
      <w:r w:rsidRPr="004355F7">
        <w:rPr>
          <w:rFonts w:hint="cs"/>
          <w:spacing w:val="-2"/>
          <w:rtl/>
          <w:lang w:val="en-CA" w:bidi="ar-EG"/>
        </w:rPr>
        <w:t>وتكلمت في مناسبات عديدة وحضرت مظاهرات أمام الأمم المتحدة ترجع إلى عام 2005. وكانت صاحبة الشكوى حاضرة عند تقديم التماس إلى الأمم المتحدة في جنيف في تشرين الأول/أكتوبر 2007 والتقطت لها صور بهذه المناسبة وهي بجانب أتو مستري هايلي سيلاسي، زعيم التحالف في سويسرا. وهناك صور أخرى تظهرها وهي تحمل مكبر صوت بوصفها قائدة في المظاهرات، وتتكلم إلى الحشود التي تجمعت أمام مكتب الأمم المتحدة في جنيف. وفي</w:t>
      </w:r>
      <w:r>
        <w:rPr>
          <w:rFonts w:hint="eastAsia"/>
          <w:spacing w:val="-2"/>
          <w:rtl/>
          <w:lang w:val="en-CA" w:bidi="ar-EG"/>
        </w:rPr>
        <w:t> </w:t>
      </w:r>
      <w:r w:rsidRPr="004355F7">
        <w:rPr>
          <w:rFonts w:hint="cs"/>
          <w:spacing w:val="-2"/>
          <w:rtl/>
          <w:lang w:val="en-CA" w:bidi="ar-EG"/>
        </w:rPr>
        <w:t>مناسبة أخرى، التقطت لها صورة بجانب أوبانغ ميثو، مدير المناصرة الدولية في مجلس العدالة للأنواك. وتدعي صاحبة الشكوى أن مشاركتها في أنشطة التحالف كانت منتظمة مع مرور الوقت وهي من رموزه البارزة. وتضيف أن السلطات الإثيوبية التي ترصد أنشطة المنشقين في الخارج رصداً وثيقاً لا بد وأنها لاحظت التزامها الكبير بحركة التحالف في سويسرا.</w:t>
      </w:r>
    </w:p>
    <w:p w:rsidR="004355F7" w:rsidRDefault="004355F7" w:rsidP="004355F7">
      <w:pPr>
        <w:pStyle w:val="SingleTxtGA"/>
        <w:rPr>
          <w:rFonts w:hint="cs"/>
          <w:rtl/>
          <w:lang w:val="en-CA" w:bidi="ar-EG"/>
        </w:rPr>
      </w:pPr>
      <w:r>
        <w:rPr>
          <w:rFonts w:hint="cs"/>
          <w:rtl/>
          <w:lang w:val="en-CA" w:bidi="ar-EG"/>
        </w:rPr>
        <w:t>2-7</w:t>
      </w:r>
      <w:r>
        <w:rPr>
          <w:rFonts w:hint="cs"/>
          <w:rtl/>
          <w:lang w:val="en-CA" w:bidi="ar-EG"/>
        </w:rPr>
        <w:tab/>
        <w:t>ووفقاً لصاحبة الشكوى، فقد أكدت المحكمة الاتحادية الإدارية أن السلطات الإثيوبية لا بد وأنها تلاحظ تكثيف الأنشطة السياسية لمواطنيها في الخارج بعد أي قرار سلبي بشأن طلبات اللجوء. وتستنج صاحبة الشكوى من ذلك أولاً أن السلطات الإثيوبية تعرف نتيجة إجراءات لجوء مواطنيها ومركزهم في سويسرا. وهذا الأمر بدوره يفترض مسبقاً وجود درجة من المراقبة لكل ملتمس لجوء إثيوبي، مما يجعل من الصعب للغاية عدم تحديد هويتهم. وثانياً، فإن لحظة إنشاء فرع التحالف في سويسرا ليس لها علاقة بطلبيها بشأن اللجوء، نظراً لأنها ملتزمة بحق بالأهدا</w:t>
      </w:r>
      <w:r>
        <w:rPr>
          <w:rFonts w:hint="eastAsia"/>
          <w:rtl/>
          <w:lang w:val="en-CA" w:bidi="ar-EG"/>
        </w:rPr>
        <w:t>ف</w:t>
      </w:r>
      <w:r>
        <w:rPr>
          <w:rFonts w:hint="cs"/>
          <w:rtl/>
          <w:lang w:val="en-CA" w:bidi="ar-EG"/>
        </w:rPr>
        <w:t xml:space="preserve"> السياسية للحركة وكرست جزءاً كبيراً من حياتها الخاصة للتعبير عن شواغلها. ولذلك، تدعي صاحبة الشكوى أن ادعاء المحكمة الاتحادية الإدارية بأن السلطات الإثيوبية تميز بين المعارضين "الحقيقيين" و"المزيفين" غير مبرر بالمرة. كما تشير في هذا السياق إلى قانون مكافحة الإرهاب الذي أصدره مجلس نواب الشعب الإثيوبي في 7 تموز/يوليه 2009، والذي يحتوي على تعريف واسع النطاق لما تشمله "الأفعال الإرهابية"</w:t>
      </w:r>
      <w:r>
        <w:rPr>
          <w:sz w:val="30"/>
          <w:vertAlign w:val="superscript"/>
          <w:rtl/>
          <w:lang w:val="es-ES"/>
        </w:rPr>
        <w:t>(</w:t>
      </w:r>
      <w:r>
        <w:rPr>
          <w:rStyle w:val="FootnoteReference"/>
          <w:rtl/>
          <w:lang w:val="es-ES"/>
        </w:rPr>
        <w:footnoteReference w:id="57"/>
      </w:r>
      <w:r>
        <w:rPr>
          <w:sz w:val="30"/>
          <w:vertAlign w:val="superscript"/>
          <w:rtl/>
          <w:lang w:val="es-ES"/>
        </w:rPr>
        <w:t>)</w:t>
      </w:r>
      <w:r>
        <w:rPr>
          <w:rFonts w:hint="cs"/>
          <w:rtl/>
          <w:lang w:val="en-CA" w:bidi="ar-EG"/>
        </w:rPr>
        <w:t>. وتضيف صاحبة الشكوى أنه وفقاً لهذا القانون، فإن أي نوع من أنواع الانشقاق السياسي العام يمكن أن يؤدي إلى إدانة طويلة الأجل، نظراً لأن السلطات الإثيوبية لا تميز بين النقد السياسي والإرهاب.</w:t>
      </w:r>
    </w:p>
    <w:p w:rsidR="004355F7" w:rsidRDefault="004355F7" w:rsidP="004355F7">
      <w:pPr>
        <w:pStyle w:val="SingleTxtGA"/>
        <w:rPr>
          <w:rFonts w:hint="cs"/>
          <w:rtl/>
          <w:lang w:val="en-CA" w:bidi="ar-EG"/>
        </w:rPr>
      </w:pPr>
      <w:r>
        <w:rPr>
          <w:rFonts w:hint="cs"/>
          <w:rtl/>
          <w:lang w:val="en-CA" w:bidi="ar-EG"/>
        </w:rPr>
        <w:t>2-8</w:t>
      </w:r>
      <w:r>
        <w:rPr>
          <w:rFonts w:hint="cs"/>
          <w:rtl/>
          <w:lang w:val="en-CA" w:bidi="ar-EG"/>
        </w:rPr>
        <w:tab/>
        <w:t>وفيما يتعلق بهويتها</w:t>
      </w:r>
      <w:r>
        <w:rPr>
          <w:sz w:val="30"/>
          <w:vertAlign w:val="superscript"/>
          <w:rtl/>
          <w:lang w:val="es-ES"/>
        </w:rPr>
        <w:t>(</w:t>
      </w:r>
      <w:r w:rsidRPr="00B93686">
        <w:rPr>
          <w:rStyle w:val="FootnoteReference"/>
          <w:color w:val="FFFFFF"/>
          <w:sz w:val="2"/>
          <w:szCs w:val="2"/>
          <w:rtl/>
          <w:lang w:val="es-ES"/>
        </w:rPr>
        <w:footnoteReference w:id="58"/>
      </w:r>
      <w:r w:rsidR="00174D90" w:rsidRPr="00174D90">
        <w:rPr>
          <w:rFonts w:hint="cs"/>
          <w:sz w:val="30"/>
          <w:vertAlign w:val="superscript"/>
          <w:rtl/>
          <w:lang w:val="es-ES"/>
        </w:rPr>
        <w:t>ﻫ</w:t>
      </w:r>
      <w:r>
        <w:rPr>
          <w:sz w:val="30"/>
          <w:vertAlign w:val="superscript"/>
          <w:rtl/>
          <w:lang w:val="es-ES"/>
        </w:rPr>
        <w:t>)</w:t>
      </w:r>
      <w:r>
        <w:rPr>
          <w:rFonts w:hint="cs"/>
          <w:rtl/>
          <w:lang w:val="en-CA" w:bidi="ar-EG"/>
        </w:rPr>
        <w:t>، تدعي صاحبة الشكوى أنها لم تقدم أبداً اسماً مزيفاً إلى السلطات المعنية باللجوء في سويسرا. وتشير إلى أنها قدمت طلب لجوء تحت اسمها الأصلي (المسلم) ص. م. وأثناء المقابلة ضمن إجراء اللجوء، ذكرت مرة واحدة أن لها اسماً مسيحياً كذلك، وهو أ. أ.، الذي اختارته بعد العودة من السودان إلى إثيوبيا مع أسرتها. وتضيف صاحبة الشكوى أنه لا ينبغي استخدام عدم قدرتها على تقديم مستندات تحديد الهوية ضدها، نظراً لأنها لم تعش في إثيوبيا إلا لأربع سنوات.</w:t>
      </w:r>
    </w:p>
    <w:p w:rsidR="004355F7" w:rsidRDefault="004355F7" w:rsidP="004355F7">
      <w:pPr>
        <w:pStyle w:val="SingleTxtGA"/>
        <w:rPr>
          <w:lang w:val="en-CA" w:bidi="ar-EG"/>
        </w:rPr>
      </w:pPr>
      <w:r>
        <w:rPr>
          <w:rFonts w:hint="cs"/>
          <w:rtl/>
          <w:lang w:val="en-CA" w:bidi="ar-EG"/>
        </w:rPr>
        <w:t>2-9</w:t>
      </w:r>
      <w:r>
        <w:rPr>
          <w:rFonts w:hint="cs"/>
          <w:rtl/>
          <w:lang w:val="en-CA" w:bidi="ar-EG"/>
        </w:rPr>
        <w:tab/>
      </w:r>
      <w:r w:rsidRPr="00BF3922">
        <w:rPr>
          <w:rtl/>
          <w:lang w:val="en-CA" w:bidi="ar-EG"/>
        </w:rPr>
        <w:t>و</w:t>
      </w:r>
      <w:r>
        <w:rPr>
          <w:rFonts w:hint="cs"/>
          <w:rtl/>
          <w:lang w:val="en-CA" w:bidi="ar-EG"/>
        </w:rPr>
        <w:t>ت</w:t>
      </w:r>
      <w:r w:rsidRPr="00BF3922">
        <w:rPr>
          <w:rtl/>
          <w:lang w:val="en-CA" w:bidi="ar-EG"/>
        </w:rPr>
        <w:t>شير صاحب</w:t>
      </w:r>
      <w:r>
        <w:rPr>
          <w:rFonts w:hint="cs"/>
          <w:rtl/>
          <w:lang w:val="en-CA" w:bidi="ar-EG"/>
        </w:rPr>
        <w:t>ة</w:t>
      </w:r>
      <w:r w:rsidRPr="00BF3922">
        <w:rPr>
          <w:rtl/>
          <w:lang w:val="en-CA" w:bidi="ar-EG"/>
        </w:rPr>
        <w:t xml:space="preserve"> الشكوى إلى أن </w:t>
      </w:r>
      <w:r>
        <w:rPr>
          <w:rFonts w:hint="cs"/>
          <w:rtl/>
          <w:lang w:val="en-CA" w:bidi="ar-EG"/>
        </w:rPr>
        <w:t xml:space="preserve">التعذيب من جانب </w:t>
      </w:r>
      <w:r w:rsidRPr="00BF3922">
        <w:rPr>
          <w:rtl/>
          <w:lang w:val="en-CA" w:bidi="ar-EG"/>
        </w:rPr>
        <w:t xml:space="preserve">الشرطة </w:t>
      </w:r>
      <w:r>
        <w:rPr>
          <w:rFonts w:hint="cs"/>
          <w:rtl/>
          <w:lang w:val="en-CA" w:bidi="ar-EG"/>
        </w:rPr>
        <w:t xml:space="preserve">لا يزال واسع النطاق في </w:t>
      </w:r>
      <w:r w:rsidRPr="00BF3922">
        <w:rPr>
          <w:rtl/>
          <w:lang w:val="en-CA" w:bidi="ar-EG"/>
        </w:rPr>
        <w:t>إثيوبي</w:t>
      </w:r>
      <w:r>
        <w:rPr>
          <w:rFonts w:hint="cs"/>
          <w:rtl/>
          <w:lang w:val="en-CA" w:bidi="ar-EG"/>
        </w:rPr>
        <w:t>ا</w:t>
      </w:r>
      <w:r w:rsidRPr="00BF3922">
        <w:rPr>
          <w:rtl/>
          <w:lang w:val="en-CA" w:bidi="ar-EG"/>
        </w:rPr>
        <w:t xml:space="preserve"> </w:t>
      </w:r>
      <w:r>
        <w:rPr>
          <w:rFonts w:hint="cs"/>
          <w:rtl/>
          <w:lang w:val="en-CA" w:bidi="ar-EG"/>
        </w:rPr>
        <w:t>وتستشهد ب</w:t>
      </w:r>
      <w:r w:rsidRPr="00BF3922">
        <w:rPr>
          <w:rtl/>
          <w:lang w:val="en-CA" w:bidi="ar-EG"/>
        </w:rPr>
        <w:t>تقرير صادر عن منظمة هيومن رايتس ووتش</w:t>
      </w:r>
      <w:r>
        <w:rPr>
          <w:sz w:val="30"/>
          <w:vertAlign w:val="superscript"/>
          <w:rtl/>
          <w:lang w:val="es-ES"/>
        </w:rPr>
        <w:t>(</w:t>
      </w:r>
      <w:r>
        <w:rPr>
          <w:rStyle w:val="FootnoteReference"/>
          <w:rtl/>
          <w:lang w:val="es-ES"/>
        </w:rPr>
        <w:footnoteReference w:id="59"/>
      </w:r>
      <w:r>
        <w:rPr>
          <w:sz w:val="30"/>
          <w:vertAlign w:val="superscript"/>
          <w:rtl/>
          <w:lang w:val="es-ES"/>
        </w:rPr>
        <w:t>)</w:t>
      </w:r>
      <w:r>
        <w:rPr>
          <w:rFonts w:hint="cs"/>
          <w:rtl/>
          <w:lang w:val="en-CA" w:bidi="ar-EG"/>
        </w:rPr>
        <w:t xml:space="preserve"> يوثق استخدام أفراد</w:t>
      </w:r>
      <w:r w:rsidRPr="00BF3922">
        <w:rPr>
          <w:rtl/>
          <w:lang w:val="en-CA" w:bidi="ar-EG"/>
        </w:rPr>
        <w:t xml:space="preserve"> </w:t>
      </w:r>
      <w:r>
        <w:rPr>
          <w:rFonts w:hint="cs"/>
          <w:rtl/>
          <w:lang w:val="en-CA" w:bidi="ar-EG"/>
        </w:rPr>
        <w:t>الشرطة والجيش للتعذيب</w:t>
      </w:r>
      <w:r w:rsidRPr="00BF3922">
        <w:rPr>
          <w:rtl/>
          <w:lang w:val="en-CA" w:bidi="ar-EG"/>
        </w:rPr>
        <w:t xml:space="preserve"> في كل من مرافق الاحتجاز الرسمي</w:t>
      </w:r>
      <w:r>
        <w:rPr>
          <w:rtl/>
          <w:lang w:val="en-CA" w:bidi="ar-EG"/>
        </w:rPr>
        <w:t xml:space="preserve">ة والسرية </w:t>
      </w:r>
      <w:r>
        <w:rPr>
          <w:rFonts w:hint="cs"/>
          <w:rtl/>
          <w:lang w:val="en-CA" w:bidi="ar-EG"/>
        </w:rPr>
        <w:t xml:space="preserve">على السواء </w:t>
      </w:r>
      <w:r>
        <w:rPr>
          <w:rtl/>
          <w:lang w:val="en-CA" w:bidi="ar-EG"/>
        </w:rPr>
        <w:t>في جميع أنحاء إثيوبيا</w:t>
      </w:r>
      <w:r w:rsidRPr="00BF3922">
        <w:rPr>
          <w:rtl/>
          <w:lang w:val="en-CA" w:bidi="ar-EG"/>
        </w:rPr>
        <w:t>.</w:t>
      </w:r>
    </w:p>
    <w:p w:rsidR="004355F7" w:rsidRDefault="004355F7" w:rsidP="004355F7">
      <w:pPr>
        <w:pStyle w:val="H23GA"/>
        <w:rPr>
          <w:rFonts w:hint="cs"/>
          <w:rtl/>
          <w:lang w:val="fr-CH"/>
        </w:rPr>
      </w:pPr>
      <w:r>
        <w:rPr>
          <w:rFonts w:hint="cs"/>
          <w:rtl/>
          <w:lang w:val="fr-CH"/>
        </w:rPr>
        <w:tab/>
      </w:r>
      <w:r>
        <w:rPr>
          <w:rFonts w:hint="cs"/>
          <w:rtl/>
          <w:lang w:val="fr-CH"/>
        </w:rPr>
        <w:tab/>
        <w:t>الشكوى</w:t>
      </w:r>
    </w:p>
    <w:p w:rsidR="004355F7" w:rsidRPr="00F2610B" w:rsidRDefault="004355F7" w:rsidP="004355F7">
      <w:pPr>
        <w:pStyle w:val="SingleTxtGA"/>
        <w:rPr>
          <w:rFonts w:hint="cs"/>
          <w:rtl/>
          <w:lang w:val="fr-CH"/>
        </w:rPr>
      </w:pPr>
      <w:r>
        <w:rPr>
          <w:rFonts w:hint="cs"/>
          <w:sz w:val="30"/>
          <w:rtl/>
          <w:lang w:val="fr-CH"/>
        </w:rPr>
        <w:t>3-</w:t>
      </w:r>
      <w:r>
        <w:rPr>
          <w:rFonts w:hint="cs"/>
          <w:sz w:val="30"/>
          <w:rtl/>
          <w:lang w:val="fr-CH"/>
        </w:rPr>
        <w:tab/>
        <w:t xml:space="preserve">تدعي </w:t>
      </w:r>
      <w:r>
        <w:rPr>
          <w:rFonts w:hint="cs"/>
          <w:sz w:val="30"/>
          <w:rtl/>
          <w:lang w:val="fr-CH"/>
        </w:rPr>
        <w:t xml:space="preserve">صاحبة </w:t>
      </w:r>
      <w:r>
        <w:rPr>
          <w:rFonts w:hint="cs"/>
          <w:sz w:val="30"/>
          <w:rtl/>
          <w:lang w:val="fr-CH"/>
        </w:rPr>
        <w:t xml:space="preserve">الشكوى أن </w:t>
      </w:r>
      <w:r>
        <w:rPr>
          <w:rFonts w:hint="cs"/>
          <w:rtl/>
          <w:lang w:val="fr-CH"/>
        </w:rPr>
        <w:t xml:space="preserve">ترحيلها قسرياً إلى إثيوبيا يشكل انتهاكاً من جانب سويسرا لحقوقها المنصوص عليها بموجب المادة 3 من الاتفاقية، لأنها قد تتعرض للتوقيف والاستجواب والتعذيب أو غيره من ضروب المعاملة اللاإنسانية والمهينة من جانب السلطات الإثيوبية نتيجة لأنشطتها السياسية في سويسرا. </w:t>
      </w:r>
    </w:p>
    <w:p w:rsidR="004355F7" w:rsidRDefault="004355F7" w:rsidP="004355F7">
      <w:pPr>
        <w:pStyle w:val="H23GA"/>
        <w:rPr>
          <w:rFonts w:hint="cs"/>
          <w:rtl/>
          <w:lang w:val="es-ES"/>
        </w:rPr>
      </w:pPr>
      <w:r>
        <w:rPr>
          <w:rFonts w:hint="cs"/>
          <w:rtl/>
          <w:lang/>
        </w:rPr>
        <w:tab/>
      </w:r>
      <w:r>
        <w:rPr>
          <w:rFonts w:hint="cs"/>
          <w:rtl/>
          <w:lang/>
        </w:rPr>
        <w:tab/>
      </w:r>
      <w:r w:rsidRPr="00C44DAC">
        <w:rPr>
          <w:rFonts w:hint="cs"/>
          <w:rtl/>
          <w:lang/>
        </w:rPr>
        <w:t xml:space="preserve">ملاحظات الدولة الطرف بشأن </w:t>
      </w:r>
      <w:r>
        <w:rPr>
          <w:rFonts w:hint="cs"/>
          <w:rtl/>
          <w:lang/>
        </w:rPr>
        <w:t>الأسس</w:t>
      </w:r>
      <w:r w:rsidRPr="00C44DAC">
        <w:rPr>
          <w:rFonts w:hint="cs"/>
          <w:rtl/>
          <w:lang w:val="es-ES"/>
        </w:rPr>
        <w:t xml:space="preserve"> الموضوعية</w:t>
      </w:r>
    </w:p>
    <w:p w:rsidR="004355F7" w:rsidRDefault="004355F7" w:rsidP="001E45D5">
      <w:pPr>
        <w:pStyle w:val="SingleTxtGA"/>
        <w:spacing w:after="100"/>
        <w:rPr>
          <w:rFonts w:hint="cs"/>
          <w:rtl/>
          <w:lang w:val="es-ES"/>
        </w:rPr>
      </w:pPr>
      <w:r>
        <w:rPr>
          <w:rFonts w:hint="cs"/>
          <w:rtl/>
          <w:lang w:val="es-ES"/>
        </w:rPr>
        <w:t>4-1</w:t>
      </w:r>
      <w:r>
        <w:rPr>
          <w:rFonts w:hint="cs"/>
          <w:rtl/>
          <w:lang w:val="es-ES"/>
        </w:rPr>
        <w:tab/>
        <w:t>قدمت الدولة الطرف، في 25 أيار/مايو 2010، ملاحظاتها بشأن الأسس الموضوعية. وفيما يتعلق بالوقائع، تضيف الدولة الطرف أن صاحبة الشكوى طعنت، في 5 تشرين الثاني/نوفمبر 2002، أمام لجنة الطعون المتعلقة باللجوء في قرار المكتب الاتحادي للاجئين بشأن طلبها الأول للجوء. وفي قراراها التمهيدي الصادر في 14 تشرين الثاني/ نوفمبر 2002، خلصت اللجنة إلى أن طعن صاحبة الشكوى لم يقدم أسباباً كافية، وأعطتها المزيد من الوقت لدعم الطعن وطلبت إليها دفع مبلغ مقدم من الرسوم بحلول 29 تشرين الثاني/نوفمبر 2002. وفي 9 كانون الأول/ديسمبر 2002، قررت اللجنة عدم النظر في طعن صاحبة الشكوى لأنها لم تدعمه بأدلة ولم تدفع المبلغ المقدم المطلوب.</w:t>
      </w:r>
    </w:p>
    <w:p w:rsidR="004355F7" w:rsidRDefault="004355F7" w:rsidP="001E45D5">
      <w:pPr>
        <w:pStyle w:val="SingleTxtGA"/>
        <w:spacing w:after="100"/>
        <w:rPr>
          <w:rFonts w:hint="cs"/>
          <w:rtl/>
          <w:lang w:val="es-ES"/>
        </w:rPr>
      </w:pPr>
      <w:r w:rsidRPr="00107CC7">
        <w:rPr>
          <w:rtl/>
          <w:lang w:val="es-ES"/>
        </w:rPr>
        <w:t>4-</w:t>
      </w:r>
      <w:r>
        <w:rPr>
          <w:rFonts w:hint="cs"/>
          <w:rtl/>
          <w:lang w:val="es-ES"/>
        </w:rPr>
        <w:t>2</w:t>
      </w:r>
      <w:r w:rsidRPr="00107CC7">
        <w:rPr>
          <w:rtl/>
          <w:lang w:val="es-ES"/>
        </w:rPr>
        <w:tab/>
        <w:t>وتدعي الدولة الطرف أن صاحب</w:t>
      </w:r>
      <w:r>
        <w:rPr>
          <w:rFonts w:hint="cs"/>
          <w:rtl/>
          <w:lang w:val="es-ES"/>
        </w:rPr>
        <w:t>ة</w:t>
      </w:r>
      <w:r w:rsidRPr="00107CC7">
        <w:rPr>
          <w:rtl/>
          <w:lang w:val="es-ES"/>
        </w:rPr>
        <w:t xml:space="preserve"> الشكوى </w:t>
      </w:r>
      <w:r>
        <w:rPr>
          <w:rFonts w:hint="cs"/>
          <w:rtl/>
          <w:lang w:val="es-ES"/>
        </w:rPr>
        <w:t>ت</w:t>
      </w:r>
      <w:r w:rsidRPr="00107CC7">
        <w:rPr>
          <w:rtl/>
          <w:lang w:val="es-ES"/>
        </w:rPr>
        <w:t>حتج أمام اللجنة بأنه</w:t>
      </w:r>
      <w:r>
        <w:rPr>
          <w:rFonts w:hint="cs"/>
          <w:rtl/>
          <w:lang w:val="es-ES"/>
        </w:rPr>
        <w:t>ا</w:t>
      </w:r>
      <w:r>
        <w:rPr>
          <w:rtl/>
          <w:lang w:val="es-ES"/>
        </w:rPr>
        <w:t xml:space="preserve"> س</w:t>
      </w:r>
      <w:r>
        <w:rPr>
          <w:rFonts w:hint="cs"/>
          <w:rtl/>
          <w:lang w:val="es-ES"/>
        </w:rPr>
        <w:t>ت</w:t>
      </w:r>
      <w:r w:rsidRPr="00107CC7">
        <w:rPr>
          <w:rtl/>
          <w:lang w:val="es-ES"/>
        </w:rPr>
        <w:t>تعرض لخطر شخصي وفعلي وجدّي للتعذيب في حال إعادته</w:t>
      </w:r>
      <w:r>
        <w:rPr>
          <w:rFonts w:hint="cs"/>
          <w:rtl/>
          <w:lang w:val="es-ES"/>
        </w:rPr>
        <w:t>ا</w:t>
      </w:r>
      <w:r w:rsidRPr="00107CC7">
        <w:rPr>
          <w:rtl/>
          <w:lang w:val="es-ES"/>
        </w:rPr>
        <w:t xml:space="preserve"> إلى بلده</w:t>
      </w:r>
      <w:r>
        <w:rPr>
          <w:rFonts w:hint="cs"/>
          <w:rtl/>
          <w:lang w:val="es-ES"/>
        </w:rPr>
        <w:t>ا الأصلي</w:t>
      </w:r>
      <w:r w:rsidRPr="00107CC7">
        <w:rPr>
          <w:rtl/>
          <w:lang w:val="es-ES"/>
        </w:rPr>
        <w:t>، وذلك بسبب أنشطته</w:t>
      </w:r>
      <w:r>
        <w:rPr>
          <w:rFonts w:hint="cs"/>
          <w:rtl/>
          <w:lang w:val="es-ES"/>
        </w:rPr>
        <w:t>ا</w:t>
      </w:r>
      <w:r w:rsidRPr="00107CC7">
        <w:rPr>
          <w:rtl/>
          <w:lang w:val="es-ES"/>
        </w:rPr>
        <w:t xml:space="preserve"> السياسية في سويسرا. وه</w:t>
      </w:r>
      <w:r>
        <w:rPr>
          <w:rFonts w:hint="cs"/>
          <w:rtl/>
          <w:lang w:val="es-ES"/>
        </w:rPr>
        <w:t>ي</w:t>
      </w:r>
      <w:r w:rsidRPr="00107CC7">
        <w:rPr>
          <w:rtl/>
          <w:lang w:val="es-ES"/>
        </w:rPr>
        <w:t xml:space="preserve"> لا </w:t>
      </w:r>
      <w:r>
        <w:rPr>
          <w:rFonts w:hint="cs"/>
          <w:rtl/>
          <w:lang w:val="es-ES"/>
        </w:rPr>
        <w:t>ت</w:t>
      </w:r>
      <w:r w:rsidRPr="00107CC7">
        <w:rPr>
          <w:rtl/>
          <w:lang w:val="es-ES"/>
        </w:rPr>
        <w:t xml:space="preserve">قدم أي عناصر جديدة تشكك في </w:t>
      </w:r>
      <w:r>
        <w:rPr>
          <w:rFonts w:hint="cs"/>
          <w:rtl/>
          <w:lang w:val="es-ES"/>
        </w:rPr>
        <w:t xml:space="preserve">الحكم </w:t>
      </w:r>
      <w:r w:rsidRPr="00107CC7">
        <w:rPr>
          <w:rtl/>
          <w:lang w:val="es-ES"/>
        </w:rPr>
        <w:t xml:space="preserve">الصادر في </w:t>
      </w:r>
      <w:r>
        <w:rPr>
          <w:rFonts w:hint="cs"/>
          <w:rtl/>
          <w:lang w:val="es-ES"/>
        </w:rPr>
        <w:t xml:space="preserve">23 تشرين الأول/أكتوبر 2009 </w:t>
      </w:r>
      <w:r w:rsidRPr="00107CC7">
        <w:rPr>
          <w:rtl/>
          <w:lang w:val="es-ES"/>
        </w:rPr>
        <w:t xml:space="preserve">عن المحكمة الاتحادية الإدارية، الذي صدر بعد إجراء </w:t>
      </w:r>
      <w:r>
        <w:rPr>
          <w:rFonts w:hint="cs"/>
          <w:rtl/>
          <w:lang w:val="es-ES"/>
        </w:rPr>
        <w:t xml:space="preserve">بحث </w:t>
      </w:r>
      <w:r w:rsidRPr="00107CC7">
        <w:rPr>
          <w:rtl/>
          <w:lang w:val="es-ES"/>
        </w:rPr>
        <w:t>مفصل</w:t>
      </w:r>
      <w:r>
        <w:rPr>
          <w:rFonts w:hint="cs"/>
          <w:rtl/>
          <w:lang w:val="es-ES"/>
        </w:rPr>
        <w:t xml:space="preserve"> ل</w:t>
      </w:r>
      <w:r w:rsidRPr="00107CC7">
        <w:rPr>
          <w:rtl/>
          <w:lang w:val="es-ES"/>
        </w:rPr>
        <w:t>لقضي</w:t>
      </w:r>
      <w:r>
        <w:rPr>
          <w:rFonts w:hint="cs"/>
          <w:rtl/>
          <w:lang w:val="es-ES"/>
        </w:rPr>
        <w:t>ة</w:t>
      </w:r>
      <w:r w:rsidRPr="00107CC7">
        <w:rPr>
          <w:rtl/>
          <w:lang w:val="es-ES"/>
        </w:rPr>
        <w:t xml:space="preserve">، </w:t>
      </w:r>
      <w:r>
        <w:rPr>
          <w:rFonts w:hint="cs"/>
          <w:rtl/>
          <w:lang w:val="es-ES"/>
        </w:rPr>
        <w:t>و</w:t>
      </w:r>
      <w:r w:rsidRPr="00107CC7">
        <w:rPr>
          <w:rtl/>
          <w:lang w:val="es-ES"/>
        </w:rPr>
        <w:t>لكنه</w:t>
      </w:r>
      <w:r>
        <w:rPr>
          <w:rFonts w:hint="cs"/>
          <w:rtl/>
          <w:lang w:val="es-ES"/>
        </w:rPr>
        <w:t>ا</w:t>
      </w:r>
      <w:r w:rsidRPr="00107CC7">
        <w:rPr>
          <w:rtl/>
          <w:lang w:val="es-ES"/>
        </w:rPr>
        <w:t xml:space="preserve"> </w:t>
      </w:r>
      <w:r>
        <w:rPr>
          <w:rFonts w:hint="cs"/>
          <w:rtl/>
          <w:lang w:val="es-ES"/>
        </w:rPr>
        <w:t>ت</w:t>
      </w:r>
      <w:r w:rsidRPr="00107CC7">
        <w:rPr>
          <w:rtl/>
          <w:lang w:val="es-ES"/>
        </w:rPr>
        <w:t>عترض على تقييم الوقائع والأدلة من جانب المحكمة. وتدعي الدولة الطرف أنها ستقوم بإثبات صحة قرار المحكمة، في ضوء المادة 3 من الاتفاقية والاجتهاد</w:t>
      </w:r>
      <w:r>
        <w:rPr>
          <w:rFonts w:hint="cs"/>
          <w:rtl/>
          <w:lang w:val="es-ES"/>
        </w:rPr>
        <w:t>ات</w:t>
      </w:r>
      <w:r w:rsidRPr="00107CC7">
        <w:rPr>
          <w:rtl/>
          <w:lang w:val="es-ES"/>
        </w:rPr>
        <w:t xml:space="preserve"> القضائي</w:t>
      </w:r>
      <w:r>
        <w:rPr>
          <w:rFonts w:hint="cs"/>
          <w:rtl/>
          <w:lang w:val="es-ES"/>
        </w:rPr>
        <w:t>ة</w:t>
      </w:r>
      <w:r w:rsidRPr="00107CC7">
        <w:rPr>
          <w:rtl/>
          <w:lang w:val="es-ES"/>
        </w:rPr>
        <w:t xml:space="preserve"> للجنة وتعليقاتها العامة، و</w:t>
      </w:r>
      <w:r>
        <w:rPr>
          <w:rFonts w:hint="cs"/>
          <w:rtl/>
          <w:lang w:val="es-ES"/>
        </w:rPr>
        <w:t>تؤكد</w:t>
      </w:r>
      <w:r w:rsidRPr="00107CC7">
        <w:rPr>
          <w:rtl/>
          <w:lang w:val="es-ES"/>
        </w:rPr>
        <w:t xml:space="preserve"> أن ترحيل صاحب</w:t>
      </w:r>
      <w:r>
        <w:rPr>
          <w:rFonts w:hint="cs"/>
          <w:rtl/>
          <w:lang w:val="es-ES"/>
        </w:rPr>
        <w:t>ة</w:t>
      </w:r>
      <w:r w:rsidRPr="00107CC7">
        <w:rPr>
          <w:rtl/>
          <w:lang w:val="es-ES"/>
        </w:rPr>
        <w:t xml:space="preserve"> الشكوى إلى إثيوبيا لن يشكل انتهاكاً من جانب سويسرا لأحكام الاتفاقية.</w:t>
      </w:r>
    </w:p>
    <w:p w:rsidR="004355F7" w:rsidRDefault="004355F7" w:rsidP="001E45D5">
      <w:pPr>
        <w:pStyle w:val="SingleTxtGA"/>
        <w:spacing w:after="100"/>
        <w:rPr>
          <w:rFonts w:hint="cs"/>
          <w:rtl/>
          <w:lang w:val="es-ES"/>
        </w:rPr>
      </w:pPr>
      <w:r w:rsidRPr="005C1B02">
        <w:rPr>
          <w:rtl/>
          <w:lang w:val="es-ES"/>
        </w:rPr>
        <w:t>4-</w:t>
      </w:r>
      <w:r>
        <w:rPr>
          <w:rFonts w:hint="cs"/>
          <w:rtl/>
          <w:lang w:val="es-ES"/>
        </w:rPr>
        <w:t>3</w:t>
      </w:r>
      <w:r w:rsidRPr="005C1B02">
        <w:rPr>
          <w:rtl/>
          <w:lang w:val="es-ES"/>
        </w:rPr>
        <w:tab/>
        <w:t>وتدعي الدولة الطرف أنه وفقاً للمادة 3 من ال</w:t>
      </w:r>
      <w:r>
        <w:rPr>
          <w:rtl/>
          <w:lang w:val="es-ES"/>
        </w:rPr>
        <w:t>اتفاقية، يحظر على الدول الأطراف</w:t>
      </w:r>
      <w:r w:rsidRPr="005C1B02">
        <w:rPr>
          <w:rtl/>
          <w:lang w:val="es-ES"/>
        </w:rPr>
        <w:t xml:space="preserve"> طرد أو إعادة أو تسليم شخص إلى دولة أخرى توجد فيها أسباب حقيقية تدعو إلى الاعتقاد بأنه سيتعرض لخطر التعذيب. ولتحديد وجود مثل هذه الأسباب، </w:t>
      </w:r>
      <w:r>
        <w:rPr>
          <w:rFonts w:hint="cs"/>
          <w:rtl/>
          <w:lang w:val="es-ES"/>
        </w:rPr>
        <w:t xml:space="preserve">يجب </w:t>
      </w:r>
      <w:r w:rsidRPr="005C1B02">
        <w:rPr>
          <w:rtl/>
          <w:lang w:val="es-ES"/>
        </w:rPr>
        <w:t>على السلطات المختصة أن</w:t>
      </w:r>
      <w:r>
        <w:rPr>
          <w:rFonts w:hint="cs"/>
          <w:rtl/>
          <w:lang w:val="es-ES"/>
        </w:rPr>
        <w:t> </w:t>
      </w:r>
      <w:r w:rsidRPr="005C1B02">
        <w:rPr>
          <w:rtl/>
          <w:lang w:val="es-ES"/>
        </w:rPr>
        <w:t>تراعي جميع الاعتبارات ذات الصلة، بما في ذلك وجود نمط ثابت من الانتهاكات الفادحة أو الصارخة أو الجماعية لحقوق الإنسان في الدولة المعنية، حينما ينطبق ذلك</w:t>
      </w:r>
      <w:r>
        <w:rPr>
          <w:vertAlign w:val="superscript"/>
          <w:rtl/>
          <w:lang w:val="es-ES"/>
        </w:rPr>
        <w:t>(</w:t>
      </w:r>
      <w:r>
        <w:rPr>
          <w:rStyle w:val="FootnoteReference"/>
          <w:rtl/>
          <w:lang w:val="es-ES"/>
        </w:rPr>
        <w:footnoteReference w:id="60"/>
      </w:r>
      <w:r>
        <w:rPr>
          <w:vertAlign w:val="superscript"/>
          <w:rtl/>
          <w:lang w:val="es-ES"/>
        </w:rPr>
        <w:t>)</w:t>
      </w:r>
      <w:r>
        <w:rPr>
          <w:rFonts w:hint="cs"/>
          <w:rtl/>
          <w:lang w:val="es-ES"/>
        </w:rPr>
        <w:t>.</w:t>
      </w:r>
      <w:r w:rsidRPr="005C1B02">
        <w:rPr>
          <w:rtl/>
          <w:lang w:val="es-ES"/>
        </w:rPr>
        <w:t xml:space="preserve"> ووجود انتهاكات فادحة أو صارخة أو جماعية لحقوق الإنسان ليس في حد ذاته أساساً كافياً لاستنتاج أن شخصاً ما قد يتعرض للتعذيب عند عودته إلى بلده، وينبغي أن تكون هناك أسباب إضافية لخطر التعرض للتعذيب لكي يستوفي الشرط المنصوص عليه في المادة 3</w:t>
      </w:r>
      <w:r>
        <w:rPr>
          <w:rFonts w:hint="cs"/>
          <w:rtl/>
          <w:lang w:val="es-ES"/>
        </w:rPr>
        <w:t>،</w:t>
      </w:r>
      <w:r w:rsidRPr="005C1B02">
        <w:rPr>
          <w:rtl/>
          <w:lang w:val="es-ES"/>
        </w:rPr>
        <w:t xml:space="preserve"> أي</w:t>
      </w:r>
      <w:r>
        <w:rPr>
          <w:rFonts w:hint="cs"/>
          <w:rtl/>
          <w:lang w:val="es-ES"/>
        </w:rPr>
        <w:t> </w:t>
      </w:r>
      <w:r w:rsidRPr="005C1B02">
        <w:rPr>
          <w:rtl/>
          <w:lang w:val="es-ES"/>
        </w:rPr>
        <w:t>أن يكون "خطراً متوقعاً وحقيقياً وشخصياً".</w:t>
      </w:r>
    </w:p>
    <w:p w:rsidR="004355F7" w:rsidRDefault="004355F7" w:rsidP="001E45D5">
      <w:pPr>
        <w:pStyle w:val="SingleTxtGA"/>
        <w:spacing w:after="100"/>
        <w:rPr>
          <w:rFonts w:hint="cs"/>
          <w:rtl/>
          <w:lang w:val="es-ES"/>
        </w:rPr>
      </w:pPr>
      <w:r w:rsidRPr="005C1B02">
        <w:rPr>
          <w:rtl/>
          <w:lang w:val="es-ES"/>
        </w:rPr>
        <w:t>4-</w:t>
      </w:r>
      <w:r>
        <w:rPr>
          <w:rFonts w:hint="cs"/>
          <w:rtl/>
          <w:lang w:val="es-ES"/>
        </w:rPr>
        <w:t>4</w:t>
      </w:r>
      <w:r w:rsidRPr="005C1B02">
        <w:rPr>
          <w:rtl/>
          <w:lang w:val="es-ES"/>
        </w:rPr>
        <w:tab/>
        <w:t xml:space="preserve">وفيما يتعلق بالحالة العامة لحقوق الإنسان في إثيوبيا، تدعي الدولة الطرف أن الانتخابات التي جرت في إثيوبيا في أيار/مايو 2005 وفي آب/أغسطس 2005 قد عززت تمثيل أحزاب المعارضة في البرلمان. </w:t>
      </w:r>
      <w:r>
        <w:rPr>
          <w:rFonts w:hint="cs"/>
          <w:rtl/>
          <w:lang w:val="es-ES"/>
        </w:rPr>
        <w:t>وتسلم</w:t>
      </w:r>
      <w:r w:rsidRPr="005C1B02">
        <w:rPr>
          <w:rtl/>
          <w:lang w:val="es-ES"/>
        </w:rPr>
        <w:t xml:space="preserve"> بأنه على الرغم من كون الدستور الإثيوبي يعترف صراحة بحقوق الإنسان، فإن هناك حالات عديدة للتوقيف والاحتجاز التعسفيين، ولا سيما لأعضاء أحزاب المعارضة. وفضلاً عن ذلك، فإن السلطة القضائية تفتقر للاستقلالية. ومع ذلك، فإن العضوية في حزب سياسي معارض أو تأييده لا يؤدي، من حيث المبدأ، إلى خطر التعرض للاضطهاد. وإن الأمر يختلف بالنسبة للأشخاص الذين يحتلون مركزاً بارزاً في أي حزب سياسي معارض</w:t>
      </w:r>
      <w:r>
        <w:rPr>
          <w:vertAlign w:val="superscript"/>
          <w:rtl/>
          <w:lang w:val="es-ES"/>
        </w:rPr>
        <w:t>(</w:t>
      </w:r>
      <w:r>
        <w:rPr>
          <w:rStyle w:val="FootnoteReference"/>
          <w:rtl/>
          <w:lang w:val="es-ES"/>
        </w:rPr>
        <w:footnoteReference w:id="61"/>
      </w:r>
      <w:r>
        <w:rPr>
          <w:vertAlign w:val="superscript"/>
          <w:rtl/>
          <w:lang w:val="es-ES"/>
        </w:rPr>
        <w:t>)</w:t>
      </w:r>
      <w:r>
        <w:rPr>
          <w:rFonts w:hint="cs"/>
          <w:rtl/>
          <w:lang w:val="es-ES"/>
        </w:rPr>
        <w:t>.</w:t>
      </w:r>
      <w:r w:rsidRPr="005C1B02">
        <w:rPr>
          <w:rtl/>
          <w:lang w:val="es-ES"/>
        </w:rPr>
        <w:t xml:space="preserve"> وفي ضوء المعلومات أعلاه، </w:t>
      </w:r>
      <w:r>
        <w:rPr>
          <w:rFonts w:hint="cs"/>
          <w:rtl/>
          <w:lang w:val="es-ES"/>
        </w:rPr>
        <w:t>اعتمدت</w:t>
      </w:r>
      <w:r w:rsidRPr="005C1B02">
        <w:rPr>
          <w:rtl/>
          <w:lang w:val="es-ES"/>
        </w:rPr>
        <w:t xml:space="preserve"> سلطات اللجوء السويسرية المختصة ممارسات قادرة على التمييز عند تحديد خطر التعرض للاضطهاد. </w:t>
      </w:r>
      <w:r>
        <w:rPr>
          <w:rFonts w:hint="cs"/>
          <w:rtl/>
          <w:lang w:val="es-ES"/>
        </w:rPr>
        <w:t>ف</w:t>
      </w:r>
      <w:r w:rsidRPr="005C1B02">
        <w:rPr>
          <w:rtl/>
          <w:lang w:val="es-ES"/>
        </w:rPr>
        <w:t xml:space="preserve">الأفراد الذين تشتبه السلطات الإثيوبية في أنهم أعضاء في جبهة تحرير أورومو أو جبهة أوغادن للتحرير الوطني يعتبرون معرضين لخطر الاضطهاد. </w:t>
      </w:r>
      <w:r>
        <w:rPr>
          <w:rFonts w:hint="cs"/>
          <w:rtl/>
          <w:lang w:val="es-ES"/>
        </w:rPr>
        <w:t xml:space="preserve">أما </w:t>
      </w:r>
      <w:r w:rsidRPr="005C1B02">
        <w:rPr>
          <w:rtl/>
          <w:lang w:val="es-ES"/>
        </w:rPr>
        <w:t>الأشخاص المنتمين لمجموعات معارضة أخرى، مثل ال</w:t>
      </w:r>
      <w:r>
        <w:rPr>
          <w:rtl/>
          <w:lang w:val="es-ES"/>
        </w:rPr>
        <w:t>تحالف</w:t>
      </w:r>
      <w:r>
        <w:rPr>
          <w:rFonts w:hint="cs"/>
          <w:rtl/>
          <w:lang w:val="es-ES"/>
        </w:rPr>
        <w:t xml:space="preserve"> من أجل الوحدة والديمقراطية</w:t>
      </w:r>
      <w:r w:rsidRPr="005C1B02">
        <w:rPr>
          <w:rtl/>
          <w:lang w:val="es-ES"/>
        </w:rPr>
        <w:t xml:space="preserve">، فإن خطر التعرض للاضطهاد يتم تقييمه على أساس كل حالة على حدة، وفقاً للمعايير المشار إليهـا أعلاه. وفيما يتعلق برصد الأنشطة السياسية في المنفى، تدعي الدولة الطرف أنه وفقاً للمعلومات المتاحة لديها، فإن البعثات الدبلوماسية أو القنصلية الإثيوبية تفتقر للموارد البشرية والهيكلية لكي تقوم بصورة منتظمة برصد الأنشطة السياسية لأفراد المعارضة في سويسرا. ومع ذلك، فإن أعضاء المعارضة الناشطين و/أو البارزين، وكذلك الناشطين في المنظمات </w:t>
      </w:r>
      <w:r>
        <w:rPr>
          <w:rFonts w:hint="cs"/>
          <w:rtl/>
          <w:lang w:val="es-ES"/>
        </w:rPr>
        <w:t xml:space="preserve">ممن يدعون </w:t>
      </w:r>
      <w:r w:rsidRPr="005C1B02">
        <w:rPr>
          <w:rtl/>
          <w:lang w:val="es-ES"/>
        </w:rPr>
        <w:t>لاستخدام العنف، يتعرضون لخطر تحديد هوياتهم وتسجيلهم وبالتالي للاضطهاد في حال إعادتهم.</w:t>
      </w:r>
    </w:p>
    <w:p w:rsidR="004355F7" w:rsidRDefault="004355F7" w:rsidP="001E45D5">
      <w:pPr>
        <w:pStyle w:val="SingleTxtGA"/>
        <w:spacing w:after="100"/>
        <w:rPr>
          <w:rFonts w:hint="cs"/>
          <w:rtl/>
        </w:rPr>
      </w:pPr>
      <w:r>
        <w:rPr>
          <w:rFonts w:hint="cs"/>
          <w:sz w:val="30"/>
          <w:rtl/>
          <w:lang w:val="es-ES"/>
        </w:rPr>
        <w:t>4-5</w:t>
      </w:r>
      <w:r>
        <w:rPr>
          <w:rFonts w:hint="cs"/>
          <w:sz w:val="30"/>
          <w:rtl/>
          <w:lang w:val="es-ES"/>
        </w:rPr>
        <w:tab/>
      </w:r>
      <w:r>
        <w:rPr>
          <w:rFonts w:hint="cs"/>
          <w:rtl/>
        </w:rPr>
        <w:t>وتلاحظ</w:t>
      </w:r>
      <w:r w:rsidRPr="0098499D">
        <w:rPr>
          <w:rFonts w:hint="cs"/>
          <w:rtl/>
        </w:rPr>
        <w:t xml:space="preserve"> الدولة الطرف أن صاحب</w:t>
      </w:r>
      <w:r>
        <w:rPr>
          <w:rFonts w:hint="cs"/>
          <w:rtl/>
        </w:rPr>
        <w:t>ة</w:t>
      </w:r>
      <w:r w:rsidRPr="0098499D">
        <w:rPr>
          <w:rFonts w:hint="cs"/>
          <w:rtl/>
        </w:rPr>
        <w:t xml:space="preserve"> الشكوى</w:t>
      </w:r>
      <w:r>
        <w:rPr>
          <w:rFonts w:hint="cs"/>
          <w:rtl/>
        </w:rPr>
        <w:t xml:space="preserve"> لا ت</w:t>
      </w:r>
      <w:r w:rsidRPr="0098499D">
        <w:rPr>
          <w:rFonts w:hint="cs"/>
          <w:rtl/>
        </w:rPr>
        <w:t>دعي أنه</w:t>
      </w:r>
      <w:r>
        <w:rPr>
          <w:rFonts w:hint="cs"/>
          <w:rtl/>
        </w:rPr>
        <w:t>ا</w:t>
      </w:r>
      <w:r w:rsidRPr="0098499D">
        <w:rPr>
          <w:rFonts w:hint="cs"/>
          <w:rtl/>
        </w:rPr>
        <w:t xml:space="preserve"> عان</w:t>
      </w:r>
      <w:r>
        <w:rPr>
          <w:rFonts w:hint="cs"/>
          <w:rtl/>
        </w:rPr>
        <w:t>ت</w:t>
      </w:r>
      <w:r w:rsidRPr="0098499D">
        <w:rPr>
          <w:rFonts w:hint="cs"/>
          <w:rtl/>
        </w:rPr>
        <w:t xml:space="preserve"> من التعذيب أو أنه أ</w:t>
      </w:r>
      <w:r>
        <w:rPr>
          <w:rFonts w:hint="cs"/>
          <w:rtl/>
        </w:rPr>
        <w:t>ُ</w:t>
      </w:r>
      <w:r w:rsidRPr="0098499D">
        <w:rPr>
          <w:rFonts w:hint="cs"/>
          <w:rtl/>
        </w:rPr>
        <w:t>لقي القبض عليه</w:t>
      </w:r>
      <w:r>
        <w:rPr>
          <w:rFonts w:hint="cs"/>
          <w:rtl/>
        </w:rPr>
        <w:t>ا</w:t>
      </w:r>
      <w:r w:rsidRPr="0098499D">
        <w:rPr>
          <w:rFonts w:hint="cs"/>
          <w:rtl/>
        </w:rPr>
        <w:t xml:space="preserve"> أو احتجز</w:t>
      </w:r>
      <w:r>
        <w:rPr>
          <w:rFonts w:hint="cs"/>
          <w:rtl/>
        </w:rPr>
        <w:t>ت من جانب السلطات الإثيوبية، ولذلك تدعي الدولة الطرف أنه لا يوجد ما يدعو إلى الاستغراب من أن الطلب الثاني للجوء المقدم من صاحبة الشكوى في 22 كانون الأول/ديسمبر 2006 يستند حصراً إلى أنشطتها السياسية في سويسرا. وتدعي كذلك الدولة الطرف، بالإشارة إلى التعليق العام رقم 1 للجنة (الفقرة 8(ه‍((، أن ثمة عنصراً آخر يتعين وضعه في الاعتبار عند تقييم خطر تعرض صاحبة الشكوى للتعذيب إذا</w:t>
      </w:r>
      <w:r>
        <w:rPr>
          <w:rFonts w:hint="eastAsia"/>
          <w:rtl/>
        </w:rPr>
        <w:t> </w:t>
      </w:r>
      <w:r>
        <w:rPr>
          <w:rFonts w:hint="cs"/>
          <w:rtl/>
        </w:rPr>
        <w:t>أعيدت إلى بلدها الأصلي هو ما إذا كانت قد اشتركت في أنشطة سياسية في إثيوبيا. وتشير الدولة الطرف في هذا الصدد إلى أن صاحبة الشكوى لا تدعي أنها كانت نشطة سياسياً في بلدها الأصلي.</w:t>
      </w:r>
    </w:p>
    <w:p w:rsidR="004355F7" w:rsidRDefault="004355F7" w:rsidP="001E45D5">
      <w:pPr>
        <w:pStyle w:val="SingleTxtGA"/>
        <w:rPr>
          <w:rFonts w:hint="cs"/>
          <w:sz w:val="30"/>
          <w:rtl/>
          <w:lang w:val="es-ES"/>
        </w:rPr>
      </w:pPr>
      <w:r>
        <w:rPr>
          <w:rFonts w:hint="cs"/>
          <w:rtl/>
        </w:rPr>
        <w:t>4-6</w:t>
      </w:r>
      <w:r>
        <w:rPr>
          <w:rFonts w:hint="cs"/>
          <w:rtl/>
        </w:rPr>
        <w:tab/>
        <w:t>وفيما يتعلق بالأنشطة السياسية لصاحبة الشكوى في سويسرا، تشير الدولة الطرف إلى أن صاحبة الشكوى قدمت ادعاءاتها ذات الصلة أمام سلطات اللجوء بعد ما يقرب من ثلاث سنوات من تقديم طلب اللجوء الأول وسنتين من نهاية إجراء اللجوء الأول. وبالإضافة</w:t>
      </w:r>
      <w:r>
        <w:rPr>
          <w:rFonts w:hint="eastAsia"/>
          <w:rtl/>
        </w:rPr>
        <w:t> </w:t>
      </w:r>
      <w:r>
        <w:rPr>
          <w:rFonts w:hint="cs"/>
          <w:rtl/>
        </w:rPr>
        <w:t>إلى ذلك، ظهرت صاحبة الشكوى بهويات وجنسيات متعددة منذ بداية إجراء اللجوء الأول ولم تتحدد هويتها الحقيقية حتى الآن.</w:t>
      </w:r>
    </w:p>
    <w:p w:rsidR="004355F7" w:rsidRPr="000C5CE8" w:rsidRDefault="004355F7" w:rsidP="004355F7">
      <w:pPr>
        <w:pStyle w:val="SingleTxtGA"/>
        <w:rPr>
          <w:rFonts w:hint="cs"/>
          <w:spacing w:val="2"/>
          <w:rtl/>
          <w:lang w:val="es-ES"/>
        </w:rPr>
      </w:pPr>
      <w:r w:rsidRPr="000C5CE8">
        <w:rPr>
          <w:spacing w:val="2"/>
          <w:rtl/>
          <w:lang w:val="es-ES"/>
        </w:rPr>
        <w:t>4-</w:t>
      </w:r>
      <w:r w:rsidRPr="000C5CE8">
        <w:rPr>
          <w:rFonts w:hint="cs"/>
          <w:spacing w:val="2"/>
          <w:rtl/>
          <w:lang w:val="es-ES"/>
        </w:rPr>
        <w:t>7</w:t>
      </w:r>
      <w:r w:rsidRPr="000C5CE8">
        <w:rPr>
          <w:spacing w:val="2"/>
          <w:rtl/>
          <w:lang w:val="es-ES"/>
        </w:rPr>
        <w:tab/>
      </w:r>
      <w:r w:rsidRPr="000C5CE8">
        <w:rPr>
          <w:rFonts w:hint="cs"/>
          <w:spacing w:val="2"/>
          <w:rtl/>
          <w:lang w:val="es-ES"/>
        </w:rPr>
        <w:t>وتلاحظ</w:t>
      </w:r>
      <w:r w:rsidRPr="000C5CE8">
        <w:rPr>
          <w:spacing w:val="2"/>
          <w:rtl/>
          <w:lang w:val="es-ES"/>
        </w:rPr>
        <w:t xml:space="preserve"> الدولة الطرف أن صاحب</w:t>
      </w:r>
      <w:r w:rsidRPr="000C5CE8">
        <w:rPr>
          <w:rFonts w:hint="cs"/>
          <w:spacing w:val="2"/>
          <w:rtl/>
          <w:lang w:val="es-ES"/>
        </w:rPr>
        <w:t>ة</w:t>
      </w:r>
      <w:r w:rsidRPr="000C5CE8">
        <w:rPr>
          <w:spacing w:val="2"/>
          <w:rtl/>
          <w:lang w:val="es-ES"/>
        </w:rPr>
        <w:t xml:space="preserve"> الشكوى </w:t>
      </w:r>
      <w:r w:rsidRPr="000C5CE8">
        <w:rPr>
          <w:rFonts w:hint="cs"/>
          <w:spacing w:val="2"/>
          <w:rtl/>
          <w:lang w:val="es-ES"/>
        </w:rPr>
        <w:t>ت</w:t>
      </w:r>
      <w:r w:rsidRPr="000C5CE8">
        <w:rPr>
          <w:spacing w:val="2"/>
          <w:rtl/>
          <w:lang w:val="es-ES"/>
        </w:rPr>
        <w:t xml:space="preserve">دعي </w:t>
      </w:r>
      <w:r w:rsidRPr="000C5CE8">
        <w:rPr>
          <w:rFonts w:hint="cs"/>
          <w:spacing w:val="2"/>
          <w:rtl/>
          <w:lang w:val="es-ES"/>
        </w:rPr>
        <w:t xml:space="preserve">أنها من أنشط أعضاء التحالف من أجل الوحدة والديمقراطية من لحظة إنشاء المنظمة. وتشير </w:t>
      </w:r>
      <w:r w:rsidRPr="000C5CE8">
        <w:rPr>
          <w:spacing w:val="2"/>
          <w:rtl/>
          <w:lang w:val="es-ES"/>
        </w:rPr>
        <w:t>صاحب</w:t>
      </w:r>
      <w:r w:rsidRPr="000C5CE8">
        <w:rPr>
          <w:rFonts w:hint="cs"/>
          <w:spacing w:val="2"/>
          <w:rtl/>
          <w:lang w:val="es-ES"/>
        </w:rPr>
        <w:t>ة</w:t>
      </w:r>
      <w:r w:rsidRPr="000C5CE8">
        <w:rPr>
          <w:spacing w:val="2"/>
          <w:rtl/>
          <w:lang w:val="es-ES"/>
        </w:rPr>
        <w:t xml:space="preserve"> الشكوى </w:t>
      </w:r>
      <w:r w:rsidRPr="000C5CE8">
        <w:rPr>
          <w:rFonts w:hint="cs"/>
          <w:spacing w:val="2"/>
          <w:rtl/>
          <w:lang w:val="es-ES"/>
        </w:rPr>
        <w:t xml:space="preserve">إلى جملة أمور، من بينها كلمتها في الاجتماع المؤسس للتحالف ومشاركتها في عدة مظاهرات ووجودها وقت تقديم التماس إلى الأمم المتحدة في جنيف. وتؤكد </w:t>
      </w:r>
      <w:r w:rsidRPr="000C5CE8">
        <w:rPr>
          <w:spacing w:val="2"/>
          <w:rtl/>
          <w:lang w:val="es-ES"/>
        </w:rPr>
        <w:t xml:space="preserve">الـدولة الطرف على أن مظاهرات سياسية عديدة </w:t>
      </w:r>
      <w:r w:rsidRPr="000C5CE8">
        <w:rPr>
          <w:rFonts w:hint="cs"/>
          <w:spacing w:val="2"/>
          <w:rtl/>
          <w:lang w:val="es-ES"/>
        </w:rPr>
        <w:t xml:space="preserve">يشترك فيها أبناء بلد صاحبة الشكوى </w:t>
      </w:r>
      <w:r w:rsidRPr="000C5CE8">
        <w:rPr>
          <w:spacing w:val="2"/>
          <w:rtl/>
          <w:lang w:val="es-ES"/>
        </w:rPr>
        <w:t>تحدث في سويسرا، وأن الصور أو تسجيلات الفيديو التي تبين أحياناً مئات الأشخاص هي متاحة لعامة الجمهور من خلال وسائل الإعلام المعنية، وأن من غير المرجح أن تتمكن السلطات الإثيوبية من تحديد هوية كل شخص أو أن يكون لها حتى المعرفة بانضمام صاحب</w:t>
      </w:r>
      <w:r w:rsidRPr="000C5CE8">
        <w:rPr>
          <w:rFonts w:hint="cs"/>
          <w:spacing w:val="2"/>
          <w:rtl/>
          <w:lang w:val="es-ES"/>
        </w:rPr>
        <w:t>ة</w:t>
      </w:r>
      <w:r w:rsidRPr="000C5CE8">
        <w:rPr>
          <w:spacing w:val="2"/>
          <w:rtl/>
          <w:lang w:val="es-ES"/>
        </w:rPr>
        <w:t xml:space="preserve"> الشكوى إلى المنظمة المذكورة أعلاه.</w:t>
      </w:r>
    </w:p>
    <w:p w:rsidR="004355F7" w:rsidRDefault="004355F7" w:rsidP="004355F7">
      <w:pPr>
        <w:pStyle w:val="SingleTxtGA"/>
        <w:rPr>
          <w:rFonts w:hint="cs"/>
          <w:rtl/>
          <w:lang w:val="es-ES"/>
        </w:rPr>
      </w:pPr>
      <w:r>
        <w:rPr>
          <w:rFonts w:hint="cs"/>
          <w:rtl/>
          <w:lang w:val="es-ES"/>
        </w:rPr>
        <w:t>4-8</w:t>
      </w:r>
      <w:r>
        <w:rPr>
          <w:rFonts w:hint="cs"/>
          <w:rtl/>
          <w:lang w:val="es-ES"/>
        </w:rPr>
        <w:tab/>
        <w:t>وتدعي الدولة الطرف أن ادعاءات صاحبة الشكوى خضعت لتحليل مكثف من جانب المحكمة الاتحادية الإدارية التي لاحظت بصفة خاصة أن صاحبة الدعوى لم تدع أنها عضو في اللجنة التوجيهية لفرع التحالف في سويسرا التي تتألف من خمسة أعضاء. وعلى العكس، كان دور صاحبة الشكوى، وفقاً لما قالته بنفسها، هو نشر معلومات عن مظاهرات واجتماعات التحالف، ولكنها لا تشترك، على سبيل المثال، في تنظيمها. وإضافة إلى ذلك، فقد شاركت في عدة مظاهرات، وألقت بياناً شفوياً في أحد اجتماعات التحالف في 29 نيسان/أبريل 2006 وتظهر في صور تبين مجموعة من الأشخاص عند تقديم التماس إلى الأمم المتحدة في جنيف في 22 أيار/مايو 2008.</w:t>
      </w:r>
    </w:p>
    <w:p w:rsidR="004355F7" w:rsidRDefault="004355F7" w:rsidP="004355F7">
      <w:pPr>
        <w:pStyle w:val="SingleTxtGA"/>
        <w:rPr>
          <w:rFonts w:hint="cs"/>
          <w:rtl/>
          <w:lang w:val="es-ES"/>
        </w:rPr>
      </w:pPr>
      <w:r>
        <w:rPr>
          <w:rFonts w:hint="cs"/>
          <w:rtl/>
          <w:lang w:val="es-ES"/>
        </w:rPr>
        <w:t>4-9</w:t>
      </w:r>
      <w:r>
        <w:rPr>
          <w:rFonts w:hint="cs"/>
          <w:rtl/>
          <w:lang w:val="es-ES"/>
        </w:rPr>
        <w:tab/>
      </w:r>
      <w:r w:rsidRPr="00F9029C">
        <w:rPr>
          <w:rtl/>
          <w:lang w:val="es-ES"/>
        </w:rPr>
        <w:t>و</w:t>
      </w:r>
      <w:r>
        <w:rPr>
          <w:rFonts w:hint="cs"/>
          <w:rtl/>
          <w:lang w:val="es-ES"/>
        </w:rPr>
        <w:t xml:space="preserve">في هذا الصدد، </w:t>
      </w:r>
      <w:r w:rsidRPr="00F9029C">
        <w:rPr>
          <w:rtl/>
          <w:lang w:val="es-ES"/>
        </w:rPr>
        <w:t xml:space="preserve">تدعي الدولة الطرف </w:t>
      </w:r>
      <w:r>
        <w:rPr>
          <w:rFonts w:hint="cs"/>
          <w:rtl/>
          <w:lang w:val="es-ES"/>
        </w:rPr>
        <w:t>أن</w:t>
      </w:r>
      <w:r w:rsidRPr="00F9029C">
        <w:rPr>
          <w:rtl/>
          <w:lang w:val="es-ES"/>
        </w:rPr>
        <w:t xml:space="preserve"> السلطات الإثيوبية</w:t>
      </w:r>
      <w:r>
        <w:rPr>
          <w:rFonts w:hint="cs"/>
          <w:rtl/>
          <w:lang w:val="es-ES"/>
        </w:rPr>
        <w:t xml:space="preserve"> </w:t>
      </w:r>
      <w:r w:rsidRPr="00F9029C">
        <w:rPr>
          <w:rtl/>
          <w:lang w:val="es-ES"/>
        </w:rPr>
        <w:t>تركز كل اهتمامها على الأشخاص الذين تتجاوز أنشطتهم "السلوك العادي" أو الذين يؤدون مهمة خاصة أو</w:t>
      </w:r>
      <w:r>
        <w:rPr>
          <w:rFonts w:hint="cs"/>
          <w:rtl/>
          <w:lang w:val="es-ES"/>
        </w:rPr>
        <w:t> </w:t>
      </w:r>
      <w:r w:rsidRPr="00F9029C">
        <w:rPr>
          <w:rtl/>
          <w:lang w:val="es-ES"/>
        </w:rPr>
        <w:t>نشاط</w:t>
      </w:r>
      <w:r>
        <w:rPr>
          <w:rFonts w:hint="cs"/>
          <w:rtl/>
          <w:lang w:val="es-ES"/>
        </w:rPr>
        <w:t>اً</w:t>
      </w:r>
      <w:r w:rsidRPr="00F9029C">
        <w:rPr>
          <w:rtl/>
          <w:lang w:val="es-ES"/>
        </w:rPr>
        <w:t xml:space="preserve"> خاص</w:t>
      </w:r>
      <w:r>
        <w:rPr>
          <w:rFonts w:hint="cs"/>
          <w:rtl/>
          <w:lang w:val="es-ES"/>
        </w:rPr>
        <w:t>اً</w:t>
      </w:r>
      <w:r w:rsidRPr="00F9029C">
        <w:rPr>
          <w:rtl/>
          <w:lang w:val="es-ES"/>
        </w:rPr>
        <w:t xml:space="preserve"> يمكن أن يهدد النظام الإثيوبي. ومع ذلك، فإن صاحب</w:t>
      </w:r>
      <w:r>
        <w:rPr>
          <w:rFonts w:hint="cs"/>
          <w:rtl/>
          <w:lang w:val="es-ES"/>
        </w:rPr>
        <w:t>ة</w:t>
      </w:r>
      <w:r w:rsidRPr="00F9029C">
        <w:rPr>
          <w:rtl/>
          <w:lang w:val="es-ES"/>
        </w:rPr>
        <w:t xml:space="preserve"> الشكوى لم </w:t>
      </w:r>
      <w:r>
        <w:rPr>
          <w:rFonts w:hint="cs"/>
          <w:rtl/>
          <w:lang w:val="es-ES"/>
        </w:rPr>
        <w:t>ت</w:t>
      </w:r>
      <w:r w:rsidRPr="00F9029C">
        <w:rPr>
          <w:rtl/>
          <w:lang w:val="es-ES"/>
        </w:rPr>
        <w:t>بد أية ملامح سياسية عند وصوله</w:t>
      </w:r>
      <w:r>
        <w:rPr>
          <w:rFonts w:hint="cs"/>
          <w:rtl/>
          <w:lang w:val="es-ES"/>
        </w:rPr>
        <w:t>ا</w:t>
      </w:r>
      <w:r>
        <w:rPr>
          <w:rtl/>
          <w:lang w:val="es-ES"/>
        </w:rPr>
        <w:t xml:space="preserve"> إلى سويسرا، وت</w:t>
      </w:r>
      <w:r>
        <w:rPr>
          <w:rFonts w:hint="cs"/>
          <w:rtl/>
          <w:lang w:val="es-ES"/>
        </w:rPr>
        <w:t>رى</w:t>
      </w:r>
      <w:r w:rsidRPr="00F9029C">
        <w:rPr>
          <w:rtl/>
          <w:lang w:val="es-ES"/>
        </w:rPr>
        <w:t xml:space="preserve"> الدولة الطرف أن من المعقول استبعاد أنه</w:t>
      </w:r>
      <w:r>
        <w:rPr>
          <w:rFonts w:hint="cs"/>
          <w:rtl/>
          <w:lang w:val="es-ES"/>
        </w:rPr>
        <w:t>ا</w:t>
      </w:r>
      <w:r w:rsidRPr="00F9029C">
        <w:rPr>
          <w:rtl/>
          <w:lang w:val="es-ES"/>
        </w:rPr>
        <w:t xml:space="preserve"> طور</w:t>
      </w:r>
      <w:r>
        <w:rPr>
          <w:rFonts w:hint="cs"/>
          <w:rtl/>
          <w:lang w:val="es-ES"/>
        </w:rPr>
        <w:t>ت</w:t>
      </w:r>
      <w:r>
        <w:rPr>
          <w:rtl/>
          <w:lang w:val="es-ES"/>
        </w:rPr>
        <w:t xml:space="preserve"> هذه الملامح فيما بعد. و</w:t>
      </w:r>
      <w:r>
        <w:rPr>
          <w:rFonts w:hint="cs"/>
          <w:rtl/>
          <w:lang w:val="es-ES"/>
        </w:rPr>
        <w:t>تؤكد</w:t>
      </w:r>
      <w:r w:rsidRPr="00F9029C">
        <w:rPr>
          <w:rtl/>
          <w:lang w:val="es-ES"/>
        </w:rPr>
        <w:t xml:space="preserve"> الدولة الطرف على أن الوثائق التي قدم</w:t>
      </w:r>
      <w:r>
        <w:rPr>
          <w:rFonts w:hint="cs"/>
          <w:rtl/>
          <w:lang w:val="es-ES"/>
        </w:rPr>
        <w:t>ت</w:t>
      </w:r>
      <w:r w:rsidRPr="00F9029C">
        <w:rPr>
          <w:rtl/>
          <w:lang w:val="es-ES"/>
        </w:rPr>
        <w:t>ها صاحب</w:t>
      </w:r>
      <w:r>
        <w:rPr>
          <w:rFonts w:hint="cs"/>
          <w:rtl/>
          <w:lang w:val="es-ES"/>
        </w:rPr>
        <w:t>ة</w:t>
      </w:r>
      <w:r w:rsidRPr="00F9029C">
        <w:rPr>
          <w:rtl/>
          <w:lang w:val="es-ES"/>
        </w:rPr>
        <w:t xml:space="preserve"> الشكوى لا تبين أ</w:t>
      </w:r>
      <w:r>
        <w:rPr>
          <w:rFonts w:hint="cs"/>
          <w:rtl/>
          <w:lang w:val="es-ES"/>
        </w:rPr>
        <w:t>ي</w:t>
      </w:r>
      <w:r w:rsidRPr="00F9029C">
        <w:rPr>
          <w:rtl/>
          <w:lang w:val="es-ES"/>
        </w:rPr>
        <w:t xml:space="preserve"> نشاط في سويسرا يمكن أن يجذب انتباه السلطات الإثيوبية. وكون صاحب</w:t>
      </w:r>
      <w:r>
        <w:rPr>
          <w:rFonts w:hint="cs"/>
          <w:rtl/>
          <w:lang w:val="es-ES"/>
        </w:rPr>
        <w:t>ة</w:t>
      </w:r>
      <w:r w:rsidRPr="00F9029C">
        <w:rPr>
          <w:rtl/>
          <w:lang w:val="es-ES"/>
        </w:rPr>
        <w:t xml:space="preserve"> الشكوى قد ظهر</w:t>
      </w:r>
      <w:r>
        <w:rPr>
          <w:rFonts w:hint="cs"/>
          <w:rtl/>
          <w:lang w:val="es-ES"/>
        </w:rPr>
        <w:t>ت</w:t>
      </w:r>
      <w:r w:rsidRPr="00F9029C">
        <w:rPr>
          <w:rtl/>
          <w:lang w:val="es-ES"/>
        </w:rPr>
        <w:t xml:space="preserve"> في صور </w:t>
      </w:r>
      <w:r>
        <w:rPr>
          <w:rFonts w:hint="cs"/>
          <w:rtl/>
          <w:lang w:val="es-ES"/>
        </w:rPr>
        <w:t>وتسجيلات فيديو</w:t>
      </w:r>
      <w:r w:rsidRPr="00F9029C">
        <w:rPr>
          <w:rtl/>
          <w:lang w:val="es-ES"/>
        </w:rPr>
        <w:t xml:space="preserve"> لا يكفي لإثبات خطر التعرض للاضطهاد في حال إعادته</w:t>
      </w:r>
      <w:r>
        <w:rPr>
          <w:rFonts w:hint="cs"/>
          <w:rtl/>
          <w:lang w:val="es-ES"/>
        </w:rPr>
        <w:t>ا</w:t>
      </w:r>
      <w:r w:rsidRPr="00F9029C">
        <w:rPr>
          <w:rtl/>
          <w:lang w:val="es-ES"/>
        </w:rPr>
        <w:t xml:space="preserve">. </w:t>
      </w:r>
      <w:r>
        <w:rPr>
          <w:rFonts w:hint="cs"/>
          <w:rtl/>
          <w:lang w:val="es-ES"/>
        </w:rPr>
        <w:t>ومن الصعب، لأسباب عملية واضحة، تحديد هوية المشاركين في مظاهرة كبيرة إذا لم يكونوا معروفين من قبل للسلطات الإثيوبية.</w:t>
      </w:r>
    </w:p>
    <w:p w:rsidR="004355F7" w:rsidRDefault="004355F7" w:rsidP="004355F7">
      <w:pPr>
        <w:pStyle w:val="SingleTxtGA"/>
        <w:rPr>
          <w:rFonts w:hint="cs"/>
          <w:rtl/>
          <w:lang w:val="es-ES"/>
        </w:rPr>
      </w:pPr>
      <w:r w:rsidRPr="00F9029C">
        <w:rPr>
          <w:rtl/>
          <w:lang w:val="es-ES"/>
        </w:rPr>
        <w:t>4-</w:t>
      </w:r>
      <w:r>
        <w:rPr>
          <w:rFonts w:hint="cs"/>
          <w:rtl/>
          <w:lang w:val="es-ES"/>
        </w:rPr>
        <w:t>10</w:t>
      </w:r>
      <w:r w:rsidRPr="00F9029C">
        <w:rPr>
          <w:rtl/>
          <w:lang w:val="es-ES"/>
        </w:rPr>
        <w:tab/>
        <w:t>وتدعي الدولة الطرف عدم جود أي دليل يثبت أن السلطات الإثيوبية اتخذت إجراءات جنائية ضد صاحب</w:t>
      </w:r>
      <w:r>
        <w:rPr>
          <w:rFonts w:hint="cs"/>
          <w:rtl/>
          <w:lang w:val="es-ES"/>
        </w:rPr>
        <w:t>ة</w:t>
      </w:r>
      <w:r w:rsidRPr="00F9029C">
        <w:rPr>
          <w:rtl/>
          <w:lang w:val="es-ES"/>
        </w:rPr>
        <w:t xml:space="preserve"> الشكوى أو أنها اعتمدت تدابير أخرى تمسه</w:t>
      </w:r>
      <w:r>
        <w:rPr>
          <w:rFonts w:hint="cs"/>
          <w:rtl/>
          <w:lang w:val="es-ES"/>
        </w:rPr>
        <w:t>ا</w:t>
      </w:r>
      <w:r w:rsidRPr="00F9029C">
        <w:rPr>
          <w:rtl/>
          <w:lang w:val="es-ES"/>
        </w:rPr>
        <w:t xml:space="preserve">. </w:t>
      </w:r>
    </w:p>
    <w:p w:rsidR="004355F7" w:rsidRDefault="004355F7" w:rsidP="004355F7">
      <w:pPr>
        <w:pStyle w:val="SingleTxtGA"/>
        <w:rPr>
          <w:rFonts w:hint="cs"/>
          <w:rtl/>
          <w:lang w:val="fr-CH"/>
        </w:rPr>
      </w:pPr>
      <w:r w:rsidRPr="001E45D5">
        <w:rPr>
          <w:rFonts w:hint="cs"/>
          <w:spacing w:val="-2"/>
          <w:rtl/>
          <w:lang w:val="es-ES"/>
        </w:rPr>
        <w:t>4-11</w:t>
      </w:r>
      <w:r w:rsidRPr="001E45D5">
        <w:rPr>
          <w:rFonts w:hint="cs"/>
          <w:spacing w:val="-2"/>
          <w:rtl/>
          <w:lang w:val="es-ES"/>
        </w:rPr>
        <w:tab/>
      </w:r>
      <w:r w:rsidRPr="001E45D5">
        <w:rPr>
          <w:rFonts w:hint="cs"/>
          <w:spacing w:val="-2"/>
          <w:rtl/>
          <w:lang w:val="es-ES" w:bidi="ar-EG"/>
        </w:rPr>
        <w:t xml:space="preserve">وفيما يتعلق بادعاء صاحبة الشكوى بأنها ضحية تعارض السوابق القضائية للمحكمة </w:t>
      </w:r>
      <w:r w:rsidRPr="001E45D5">
        <w:rPr>
          <w:rFonts w:hint="cs"/>
          <w:spacing w:val="-4"/>
          <w:rtl/>
          <w:lang w:val="es-ES" w:bidi="ar-EG"/>
        </w:rPr>
        <w:t>الاتحادية الإدارية، فإن الدولة الطرف تدعي أن هناك اختلافات كبيرة بين قضية صاحبة</w:t>
      </w:r>
      <w:r>
        <w:rPr>
          <w:rFonts w:hint="cs"/>
          <w:rtl/>
          <w:lang w:val="es-ES" w:bidi="ar-EG"/>
        </w:rPr>
        <w:t xml:space="preserve"> الشكوى والقضية المشار إليها في بلاغها المقدم إلى اللجنة</w:t>
      </w:r>
      <w:r>
        <w:rPr>
          <w:vertAlign w:val="superscript"/>
          <w:rtl/>
          <w:lang w:val="es-ES"/>
        </w:rPr>
        <w:t>(</w:t>
      </w:r>
      <w:r>
        <w:rPr>
          <w:rStyle w:val="FootnoteReference"/>
          <w:rtl/>
          <w:lang w:val="es-ES"/>
        </w:rPr>
        <w:footnoteReference w:id="62"/>
      </w:r>
      <w:r>
        <w:rPr>
          <w:vertAlign w:val="superscript"/>
          <w:rtl/>
          <w:lang w:val="es-ES"/>
        </w:rPr>
        <w:t>)</w:t>
      </w:r>
      <w:r>
        <w:rPr>
          <w:rFonts w:hint="cs"/>
          <w:rtl/>
          <w:lang w:val="es-ES" w:bidi="ar-EG"/>
        </w:rPr>
        <w:t xml:space="preserve">. ذلك أن القضية الأخرى تضمنت سيدة شغلت مناصب هامة في الجيش الإثيوبي ولديها معرفة ببيانات حساسة وكانت على اتصال وثيق بالمعارضة قبل فرارها. وبالتالي، فإنها تقع في فئة الأشخاص المعرضين لخطر كبير بأن ترصدهم السلطات الإثيوبية في الخارج. ولكن في قضية صاحبة الشكوى، لم ير المكتب الاتحادي للهجرة والمحكمة الاتحادية الإدارية </w:t>
      </w:r>
      <w:r>
        <w:rPr>
          <w:rFonts w:hint="cs"/>
          <w:rtl/>
          <w:lang w:val="fr-CH"/>
        </w:rPr>
        <w:t>أن ادعاء صاحبة الشكوى بأنها تتولى مهمة في الشتات الإثيوبي في سويسرا من شأنها أن تجذب انتباه السلطات الإثيوبية ادعاءً مقنعاً</w:t>
      </w:r>
      <w:r>
        <w:rPr>
          <w:vertAlign w:val="superscript"/>
          <w:rtl/>
          <w:lang w:val="es-ES"/>
        </w:rPr>
        <w:t>(</w:t>
      </w:r>
      <w:r>
        <w:rPr>
          <w:rStyle w:val="FootnoteReference"/>
          <w:rtl/>
          <w:lang w:val="es-ES"/>
        </w:rPr>
        <w:footnoteReference w:id="63"/>
      </w:r>
      <w:r>
        <w:rPr>
          <w:vertAlign w:val="superscript"/>
          <w:rtl/>
          <w:lang w:val="es-ES"/>
        </w:rPr>
        <w:t>)</w:t>
      </w:r>
      <w:r>
        <w:rPr>
          <w:rFonts w:hint="cs"/>
          <w:rtl/>
          <w:lang w:val="fr-CH"/>
        </w:rPr>
        <w:t>. وبعبارة أخرى، لم تثبت صاحبة الشكوى أنها ستتعرض لخطر سوء المعاملة بسبب أنشطتها السياسية في سويسرا إذا أعيدت إلى إثيوبيا.</w:t>
      </w:r>
    </w:p>
    <w:p w:rsidR="004355F7" w:rsidRPr="00950D74" w:rsidRDefault="004355F7" w:rsidP="004355F7">
      <w:pPr>
        <w:pStyle w:val="SingleTxtGA"/>
        <w:rPr>
          <w:rFonts w:hint="cs"/>
          <w:spacing w:val="-2"/>
          <w:sz w:val="30"/>
          <w:rtl/>
          <w:lang w:val="es-ES"/>
        </w:rPr>
      </w:pPr>
      <w:r w:rsidRPr="00950D74">
        <w:rPr>
          <w:rFonts w:hint="cs"/>
          <w:spacing w:val="-2"/>
          <w:rtl/>
          <w:lang w:val="fr-CH"/>
        </w:rPr>
        <w:t>4-12</w:t>
      </w:r>
      <w:r w:rsidRPr="00950D74">
        <w:rPr>
          <w:rFonts w:hint="cs"/>
          <w:spacing w:val="-2"/>
          <w:rtl/>
          <w:lang w:val="fr-CH"/>
        </w:rPr>
        <w:tab/>
      </w:r>
      <w:r w:rsidRPr="00950D74">
        <w:rPr>
          <w:spacing w:val="-2"/>
          <w:rtl/>
          <w:lang w:val="fr-CH"/>
        </w:rPr>
        <w:t>وتدعي الدولة الطرف أنه وفقاً لما جاء أعلاه، لا يوجد ما يشير إلى أن هناك أسباباً حقيقية تدعو إلى الخشية من أن صاحب</w:t>
      </w:r>
      <w:r w:rsidRPr="00950D74">
        <w:rPr>
          <w:rFonts w:hint="cs"/>
          <w:spacing w:val="-2"/>
          <w:rtl/>
          <w:lang w:val="fr-CH"/>
        </w:rPr>
        <w:t>ة</w:t>
      </w:r>
      <w:r w:rsidRPr="00950D74">
        <w:rPr>
          <w:spacing w:val="-2"/>
          <w:rtl/>
          <w:lang w:val="fr-CH"/>
        </w:rPr>
        <w:t xml:space="preserve"> الشكوى س</w:t>
      </w:r>
      <w:r w:rsidRPr="00950D74">
        <w:rPr>
          <w:rFonts w:hint="cs"/>
          <w:spacing w:val="-2"/>
          <w:rtl/>
          <w:lang w:val="fr-CH"/>
        </w:rPr>
        <w:t>ت</w:t>
      </w:r>
      <w:r w:rsidRPr="00950D74">
        <w:rPr>
          <w:spacing w:val="-2"/>
          <w:rtl/>
          <w:lang w:val="fr-CH"/>
        </w:rPr>
        <w:t>واجه خطراً متوقعاً وحقيق</w:t>
      </w:r>
      <w:r w:rsidRPr="00950D74">
        <w:rPr>
          <w:rFonts w:hint="cs"/>
          <w:spacing w:val="-2"/>
          <w:rtl/>
          <w:lang w:val="fr-CH"/>
        </w:rPr>
        <w:t>ي</w:t>
      </w:r>
      <w:r w:rsidRPr="00950D74">
        <w:rPr>
          <w:spacing w:val="-2"/>
          <w:rtl/>
          <w:lang w:val="fr-CH"/>
        </w:rPr>
        <w:t>اً وشخصياً بالتعرض للتعذيب إثر عودته</w:t>
      </w:r>
      <w:r w:rsidRPr="00950D74">
        <w:rPr>
          <w:rFonts w:hint="cs"/>
          <w:spacing w:val="-2"/>
          <w:rtl/>
          <w:lang w:val="fr-CH"/>
        </w:rPr>
        <w:t>ا</w:t>
      </w:r>
      <w:r w:rsidRPr="00950D74">
        <w:rPr>
          <w:spacing w:val="-2"/>
          <w:rtl/>
          <w:lang w:val="fr-CH"/>
        </w:rPr>
        <w:t xml:space="preserve"> إلى إثيوبيا، وتدعو </w:t>
      </w:r>
      <w:r w:rsidRPr="00950D74">
        <w:rPr>
          <w:rFonts w:hint="cs"/>
          <w:spacing w:val="-2"/>
          <w:rtl/>
          <w:lang w:val="fr-CH"/>
        </w:rPr>
        <w:t>ال</w:t>
      </w:r>
      <w:r w:rsidRPr="00950D74">
        <w:rPr>
          <w:spacing w:val="-2"/>
          <w:rtl/>
          <w:lang w:val="fr-CH"/>
        </w:rPr>
        <w:t>لجنة إلى أن تقرر أن عودة صاحب</w:t>
      </w:r>
      <w:r w:rsidRPr="00950D74">
        <w:rPr>
          <w:rFonts w:hint="cs"/>
          <w:spacing w:val="-2"/>
          <w:rtl/>
          <w:lang w:val="fr-CH"/>
        </w:rPr>
        <w:t>ة</w:t>
      </w:r>
      <w:r w:rsidRPr="00950D74">
        <w:rPr>
          <w:spacing w:val="-2"/>
          <w:rtl/>
          <w:lang w:val="fr-CH"/>
        </w:rPr>
        <w:t xml:space="preserve"> الشكوى إلى إثيوبيا لن تشكل انتهاكاً للالتزامات الدولية لسويسرا بموجب المادة 3 من الاتفاقية.</w:t>
      </w:r>
    </w:p>
    <w:p w:rsidR="004355F7" w:rsidRDefault="004355F7" w:rsidP="004355F7">
      <w:pPr>
        <w:pStyle w:val="H23GA"/>
        <w:rPr>
          <w:rFonts w:hint="cs"/>
          <w:rtl/>
          <w:lang w:val="fr-CH"/>
        </w:rPr>
      </w:pPr>
      <w:r>
        <w:rPr>
          <w:rFonts w:hint="cs"/>
          <w:rtl/>
          <w:lang w:val="fr-CH"/>
        </w:rPr>
        <w:tab/>
      </w:r>
      <w:r>
        <w:rPr>
          <w:rFonts w:hint="cs"/>
          <w:rtl/>
          <w:lang w:val="fr-CH"/>
        </w:rPr>
        <w:tab/>
        <w:t>تعليقات صاحبة الشكوى على ملاحظات الدولة الطرف</w:t>
      </w:r>
    </w:p>
    <w:p w:rsidR="004355F7" w:rsidRDefault="004355F7" w:rsidP="004355F7">
      <w:pPr>
        <w:pStyle w:val="SingleTxtGA"/>
        <w:rPr>
          <w:rFonts w:hint="cs"/>
          <w:rtl/>
          <w:lang w:val="fr-CH"/>
        </w:rPr>
      </w:pPr>
      <w:r>
        <w:rPr>
          <w:rFonts w:hint="cs"/>
          <w:rtl/>
          <w:lang w:val="fr-CH"/>
        </w:rPr>
        <w:t>5-1</w:t>
      </w:r>
      <w:r>
        <w:rPr>
          <w:rFonts w:hint="cs"/>
          <w:rtl/>
          <w:lang w:val="fr-CH"/>
        </w:rPr>
        <w:tab/>
        <w:t>قدمت صاحبة الشكوى، في 21 نيسان/أبريل 2011، تعليقات على ملاحظات الدولة الطرف. وتلاحظ صاحبة الشكوى أن التقارير الصادرة حديثاً</w:t>
      </w:r>
      <w:r>
        <w:rPr>
          <w:sz w:val="30"/>
          <w:vertAlign w:val="superscript"/>
          <w:rtl/>
          <w:lang w:val="es-ES"/>
        </w:rPr>
        <w:t>(</w:t>
      </w:r>
      <w:r>
        <w:rPr>
          <w:rStyle w:val="FootnoteReference"/>
          <w:rtl/>
          <w:lang w:val="es-ES"/>
        </w:rPr>
        <w:footnoteReference w:id="64"/>
      </w:r>
      <w:r>
        <w:rPr>
          <w:sz w:val="30"/>
          <w:vertAlign w:val="superscript"/>
          <w:rtl/>
          <w:lang w:val="es-ES"/>
        </w:rPr>
        <w:t>)</w:t>
      </w:r>
      <w:r>
        <w:rPr>
          <w:rFonts w:hint="cs"/>
          <w:rtl/>
          <w:lang w:val="fr-CH"/>
        </w:rPr>
        <w:t xml:space="preserve"> تشير إلى أن السلطات الإثيوبية ترصد عن قرب حركة المعارضة وكثيراً ما تقوم بإلقاء القبض على قادة هذه الحركات وأيضاً على المنتمين إليها ومؤيديها. وتضيف أن الاهتمام المتزايد بحركة المعارضة </w:t>
      </w:r>
      <w:r>
        <w:rPr>
          <w:rFonts w:hint="cs"/>
          <w:i/>
          <w:iCs/>
          <w:rtl/>
          <w:lang w:val="fr-CH"/>
        </w:rPr>
        <w:t>بأكملها</w:t>
      </w:r>
      <w:r>
        <w:rPr>
          <w:sz w:val="30"/>
          <w:vertAlign w:val="superscript"/>
          <w:rtl/>
          <w:lang w:val="es-ES"/>
        </w:rPr>
        <w:t>(</w:t>
      </w:r>
      <w:r>
        <w:rPr>
          <w:rStyle w:val="FootnoteReference"/>
          <w:rtl/>
          <w:lang w:val="es-ES"/>
        </w:rPr>
        <w:footnoteReference w:id="65"/>
      </w:r>
      <w:r>
        <w:rPr>
          <w:sz w:val="30"/>
          <w:vertAlign w:val="superscript"/>
          <w:rtl/>
          <w:lang w:val="es-ES"/>
        </w:rPr>
        <w:t>)</w:t>
      </w:r>
      <w:r>
        <w:rPr>
          <w:rFonts w:hint="cs"/>
          <w:rtl/>
          <w:lang w:val="fr-CH"/>
        </w:rPr>
        <w:t xml:space="preserve"> من جانب السلطات الإثيوبية - وليس قادة الحركة فقط - يمكن أن يفسر مدى الرصد والمراقبة اللذين ينفذهما نظام زيناوي حالياً. وتكرر صاحبة الشكوى ادعاءها الأصلي بأنها ليست مجرد مؤيدة للتحالف بل ممثلة له على صعيد الكانتون، وتظهر في كثير من الأحيان كمتكلمة في الفعاليات السياسية. وتشير كذلك إلى أنها تقيم اتصالات شخصية مع شخصيات قيادية في المعارضة الإثيوبية في جميع أنحاء العالم والتُقطت لها صور معهم في مناسبات عديدة. ولذلك، تدفع صاحبة الشكوى بأنه لا بد من افتراض أن السلطات الإثيوبية قد حددت هويتها بالفعل.</w:t>
      </w:r>
    </w:p>
    <w:p w:rsidR="004355F7" w:rsidRDefault="004355F7" w:rsidP="004355F7">
      <w:pPr>
        <w:pStyle w:val="SingleTxtGA"/>
        <w:rPr>
          <w:lang w:val="fr-CH"/>
        </w:rPr>
      </w:pPr>
      <w:r>
        <w:rPr>
          <w:rFonts w:hint="cs"/>
          <w:rtl/>
          <w:lang w:val="fr-CH"/>
        </w:rPr>
        <w:t>5-2</w:t>
      </w:r>
      <w:r>
        <w:rPr>
          <w:rFonts w:hint="cs"/>
          <w:rtl/>
          <w:lang w:val="fr-CH"/>
        </w:rPr>
        <w:tab/>
        <w:t>وتدعي صاحبة الشكوى كذلك أن حوادث التعذيب أو غيرها من ضروب المعاملة المحظورة يُبلغ عنها كثيراً في إثيوبيا. وبالتالي، فإن مجرد إلقاء القبض الذي لا يتبعه إدانة قد يترتب عليه سوء معاملة، وخاصة في حالة السجينات</w:t>
      </w:r>
      <w:r>
        <w:rPr>
          <w:sz w:val="30"/>
          <w:vertAlign w:val="superscript"/>
          <w:rtl/>
          <w:lang w:val="es-ES"/>
        </w:rPr>
        <w:t>(</w:t>
      </w:r>
      <w:r>
        <w:rPr>
          <w:rStyle w:val="FootnoteReference"/>
          <w:rtl/>
          <w:lang w:val="es-ES"/>
        </w:rPr>
        <w:footnoteReference w:id="66"/>
      </w:r>
      <w:r>
        <w:rPr>
          <w:sz w:val="30"/>
          <w:vertAlign w:val="superscript"/>
          <w:rtl/>
          <w:lang w:val="es-ES"/>
        </w:rPr>
        <w:t>)</w:t>
      </w:r>
      <w:r>
        <w:rPr>
          <w:rFonts w:hint="cs"/>
          <w:rtl/>
          <w:lang w:val="fr-CH"/>
        </w:rPr>
        <w:t>. وتدعي صاحبة الشكوى أن هناك خطراً حقيقياً ووشيكاً بأن تتعرض للتعذيب أو غيره من ضروب المعاملة اللاإنسانية والمهينة في الاحتجاز إذا أعيدت قسرياً إلى إثيوبيا، وتكرر طلبها بتوفير تدابير الحماية المؤقتة.</w:t>
      </w:r>
    </w:p>
    <w:p w:rsidR="004355F7" w:rsidRPr="0098499D" w:rsidRDefault="004355F7" w:rsidP="004355F7">
      <w:pPr>
        <w:pStyle w:val="H23GA"/>
        <w:rPr>
          <w:rFonts w:hint="cs"/>
          <w:rtl/>
        </w:rPr>
      </w:pPr>
      <w:r>
        <w:rPr>
          <w:rFonts w:hint="cs"/>
          <w:rtl/>
        </w:rPr>
        <w:tab/>
      </w:r>
      <w:r>
        <w:rPr>
          <w:rFonts w:hint="cs"/>
          <w:rtl/>
        </w:rPr>
        <w:tab/>
      </w:r>
      <w:r w:rsidRPr="0098499D">
        <w:rPr>
          <w:rFonts w:hint="cs"/>
          <w:rtl/>
        </w:rPr>
        <w:t xml:space="preserve">المسائل والإجراءات المعروضة </w:t>
      </w:r>
      <w:r>
        <w:rPr>
          <w:rFonts w:hint="cs"/>
          <w:rtl/>
        </w:rPr>
        <w:t xml:space="preserve">على </w:t>
      </w:r>
      <w:r w:rsidRPr="0098499D">
        <w:rPr>
          <w:rFonts w:hint="cs"/>
          <w:rtl/>
        </w:rPr>
        <w:t>اللجنة</w:t>
      </w:r>
    </w:p>
    <w:p w:rsidR="004355F7" w:rsidRPr="0098499D" w:rsidRDefault="004355F7" w:rsidP="004355F7">
      <w:pPr>
        <w:pStyle w:val="H4GA"/>
        <w:rPr>
          <w:rFonts w:hint="cs"/>
          <w:rtl/>
        </w:rPr>
      </w:pPr>
      <w:r>
        <w:rPr>
          <w:rFonts w:hint="cs"/>
          <w:rtl/>
        </w:rPr>
        <w:tab/>
      </w:r>
      <w:r>
        <w:rPr>
          <w:rFonts w:hint="cs"/>
          <w:rtl/>
        </w:rPr>
        <w:tab/>
      </w:r>
      <w:r w:rsidRPr="0098499D">
        <w:rPr>
          <w:rFonts w:hint="cs"/>
          <w:rtl/>
        </w:rPr>
        <w:t>النظر في المقبولية</w:t>
      </w:r>
    </w:p>
    <w:p w:rsidR="004355F7" w:rsidRPr="0098499D" w:rsidRDefault="004355F7" w:rsidP="004355F7">
      <w:pPr>
        <w:pStyle w:val="SingleTxtGA"/>
        <w:rPr>
          <w:rFonts w:hint="cs"/>
          <w:rtl/>
        </w:rPr>
      </w:pPr>
      <w:r>
        <w:rPr>
          <w:rFonts w:hint="cs"/>
          <w:rtl/>
        </w:rPr>
        <w:t>6-1</w:t>
      </w:r>
      <w:r>
        <w:rPr>
          <w:rFonts w:hint="cs"/>
          <w:rtl/>
        </w:rPr>
        <w:tab/>
      </w:r>
      <w:r w:rsidRPr="0098499D">
        <w:rPr>
          <w:rFonts w:hint="cs"/>
          <w:rtl/>
        </w:rPr>
        <w:t xml:space="preserve">قبل النظر في </w:t>
      </w:r>
      <w:r>
        <w:rPr>
          <w:rFonts w:hint="cs"/>
          <w:rtl/>
        </w:rPr>
        <w:t xml:space="preserve">أي </w:t>
      </w:r>
      <w:r w:rsidRPr="0098499D">
        <w:rPr>
          <w:rFonts w:hint="cs"/>
          <w:rtl/>
        </w:rPr>
        <w:t>ادعاء يرد في بلاغ ما، يجب على اللجنة أن تقرر ما إذا كان ال</w:t>
      </w:r>
      <w:r>
        <w:rPr>
          <w:rFonts w:hint="cs"/>
          <w:rtl/>
        </w:rPr>
        <w:t>بلاغ</w:t>
      </w:r>
      <w:r w:rsidRPr="0098499D">
        <w:rPr>
          <w:rFonts w:hint="cs"/>
          <w:rtl/>
        </w:rPr>
        <w:t xml:space="preserve"> مقبولاً أم لا بموجب المادة 22 من الاتفاقية. وقد تأكدت اللجنة، وفقاً لما تقتضيه الفقرة 5(أ) من المادة 22 من الاتفاقية، من أن المسألة </w:t>
      </w:r>
      <w:r>
        <w:rPr>
          <w:rFonts w:hint="cs"/>
          <w:rtl/>
        </w:rPr>
        <w:t xml:space="preserve">نفسها </w:t>
      </w:r>
      <w:r w:rsidRPr="0098499D">
        <w:rPr>
          <w:rFonts w:hint="cs"/>
          <w:rtl/>
        </w:rPr>
        <w:t xml:space="preserve">لم تبحث ولا </w:t>
      </w:r>
      <w:r>
        <w:rPr>
          <w:rFonts w:hint="cs"/>
          <w:rtl/>
        </w:rPr>
        <w:t xml:space="preserve">يجري بحثها </w:t>
      </w:r>
      <w:r w:rsidRPr="0098499D">
        <w:rPr>
          <w:rFonts w:hint="cs"/>
          <w:rtl/>
        </w:rPr>
        <w:t xml:space="preserve">في إطار أي إجراء آخر من إجراءات التحقيق </w:t>
      </w:r>
      <w:r>
        <w:rPr>
          <w:rFonts w:hint="cs"/>
          <w:rtl/>
        </w:rPr>
        <w:t xml:space="preserve">الدولي </w:t>
      </w:r>
      <w:r w:rsidRPr="0098499D">
        <w:rPr>
          <w:rFonts w:hint="cs"/>
          <w:rtl/>
        </w:rPr>
        <w:t>أو التسوية</w:t>
      </w:r>
      <w:r>
        <w:rPr>
          <w:rFonts w:hint="cs"/>
          <w:rtl/>
        </w:rPr>
        <w:t xml:space="preserve"> الدولية</w:t>
      </w:r>
      <w:r w:rsidRPr="0098499D">
        <w:rPr>
          <w:rFonts w:hint="cs"/>
          <w:rtl/>
        </w:rPr>
        <w:t>.</w:t>
      </w:r>
    </w:p>
    <w:p w:rsidR="004355F7" w:rsidRPr="0098499D" w:rsidRDefault="004355F7" w:rsidP="004355F7">
      <w:pPr>
        <w:pStyle w:val="SingleTxtGA"/>
        <w:rPr>
          <w:rFonts w:hint="cs"/>
          <w:rtl/>
        </w:rPr>
      </w:pPr>
      <w:r w:rsidRPr="0098499D">
        <w:rPr>
          <w:rFonts w:hint="cs"/>
          <w:rtl/>
        </w:rPr>
        <w:t>6-2</w:t>
      </w:r>
      <w:r w:rsidRPr="0098499D">
        <w:rPr>
          <w:rFonts w:hint="cs"/>
          <w:rtl/>
        </w:rPr>
        <w:tab/>
        <w:t xml:space="preserve">وتذكّر اللجنة </w:t>
      </w:r>
      <w:r>
        <w:rPr>
          <w:rFonts w:hint="cs"/>
          <w:rtl/>
        </w:rPr>
        <w:t>ب</w:t>
      </w:r>
      <w:r w:rsidRPr="0098499D">
        <w:rPr>
          <w:rFonts w:hint="cs"/>
          <w:rtl/>
        </w:rPr>
        <w:t xml:space="preserve">أنه وفقاً لأحكام الفقرة 5(ب) من </w:t>
      </w:r>
      <w:r>
        <w:rPr>
          <w:rFonts w:hint="cs"/>
          <w:rtl/>
        </w:rPr>
        <w:t xml:space="preserve">المادة 22 من </w:t>
      </w:r>
      <w:r w:rsidRPr="0098499D">
        <w:rPr>
          <w:rFonts w:hint="cs"/>
          <w:rtl/>
        </w:rPr>
        <w:t>الاتفاقية</w:t>
      </w:r>
      <w:r>
        <w:rPr>
          <w:rFonts w:hint="cs"/>
          <w:rtl/>
        </w:rPr>
        <w:t>،</w:t>
      </w:r>
      <w:r w:rsidRPr="0098499D">
        <w:rPr>
          <w:rFonts w:hint="cs"/>
          <w:rtl/>
        </w:rPr>
        <w:t xml:space="preserve"> </w:t>
      </w:r>
      <w:r>
        <w:rPr>
          <w:rFonts w:hint="cs"/>
          <w:rtl/>
        </w:rPr>
        <w:t>فإ</w:t>
      </w:r>
      <w:r w:rsidRPr="0098499D">
        <w:rPr>
          <w:rFonts w:hint="cs"/>
          <w:rtl/>
        </w:rPr>
        <w:t xml:space="preserve">نها </w:t>
      </w:r>
      <w:r>
        <w:rPr>
          <w:rFonts w:hint="cs"/>
          <w:rtl/>
        </w:rPr>
        <w:t>لا </w:t>
      </w:r>
      <w:r w:rsidRPr="0098499D">
        <w:rPr>
          <w:rFonts w:hint="cs"/>
          <w:rtl/>
        </w:rPr>
        <w:t xml:space="preserve">تنظر في أي بلاغ يرد من </w:t>
      </w:r>
      <w:r>
        <w:rPr>
          <w:rFonts w:hint="cs"/>
          <w:rtl/>
        </w:rPr>
        <w:t xml:space="preserve">أي </w:t>
      </w:r>
      <w:r w:rsidRPr="0098499D">
        <w:rPr>
          <w:rFonts w:hint="cs"/>
          <w:rtl/>
        </w:rPr>
        <w:t>فرد ما لم تتحقق من أن هذا الفرد قد استنفد جميع سبل الانتصاف ال</w:t>
      </w:r>
      <w:r>
        <w:rPr>
          <w:rFonts w:hint="cs"/>
          <w:rtl/>
        </w:rPr>
        <w:t>محلية المتاحة</w:t>
      </w:r>
      <w:r w:rsidRPr="0098499D">
        <w:rPr>
          <w:rFonts w:hint="cs"/>
          <w:rtl/>
        </w:rPr>
        <w:t xml:space="preserve">. وتلاحظ اللجنة أنه في هذه </w:t>
      </w:r>
      <w:r>
        <w:rPr>
          <w:rFonts w:hint="cs"/>
          <w:rtl/>
        </w:rPr>
        <w:t>القضية</w:t>
      </w:r>
      <w:r w:rsidRPr="0098499D">
        <w:rPr>
          <w:rFonts w:hint="cs"/>
          <w:rtl/>
        </w:rPr>
        <w:t>، اعترفت الدولة الطرف بأن صاحب</w:t>
      </w:r>
      <w:r>
        <w:rPr>
          <w:rFonts w:hint="cs"/>
          <w:rtl/>
        </w:rPr>
        <w:t>ة</w:t>
      </w:r>
      <w:r w:rsidRPr="0098499D">
        <w:rPr>
          <w:rFonts w:hint="cs"/>
          <w:rtl/>
        </w:rPr>
        <w:t xml:space="preserve"> الشكوى قد استنفد</w:t>
      </w:r>
      <w:r>
        <w:rPr>
          <w:rFonts w:hint="cs"/>
          <w:rtl/>
        </w:rPr>
        <w:t>ت</w:t>
      </w:r>
      <w:r w:rsidRPr="0098499D">
        <w:rPr>
          <w:rFonts w:hint="cs"/>
          <w:rtl/>
        </w:rPr>
        <w:t xml:space="preserve"> جميع سبل الانتصاف المحلية المتاحة. وبما أن اللجنة لا تجد أي عقبات أخرى أمام مقبولية </w:t>
      </w:r>
      <w:r>
        <w:rPr>
          <w:rFonts w:hint="cs"/>
          <w:rtl/>
        </w:rPr>
        <w:t>البلاغ</w:t>
      </w:r>
      <w:r w:rsidRPr="0098499D">
        <w:rPr>
          <w:rFonts w:hint="cs"/>
          <w:rtl/>
        </w:rPr>
        <w:t>، فإنها تعلن مقبوليته.</w:t>
      </w:r>
    </w:p>
    <w:p w:rsidR="004355F7" w:rsidRPr="0098499D" w:rsidRDefault="004355F7" w:rsidP="004355F7">
      <w:pPr>
        <w:pStyle w:val="H4GA"/>
        <w:rPr>
          <w:rFonts w:hint="cs"/>
          <w:rtl/>
        </w:rPr>
      </w:pPr>
      <w:r>
        <w:rPr>
          <w:rFonts w:hint="cs"/>
          <w:rtl/>
        </w:rPr>
        <w:tab/>
      </w:r>
      <w:r>
        <w:rPr>
          <w:rFonts w:hint="cs"/>
          <w:rtl/>
        </w:rPr>
        <w:tab/>
        <w:t>النظر في الأسس الموضوعية</w:t>
      </w:r>
    </w:p>
    <w:p w:rsidR="004355F7" w:rsidRPr="0098499D" w:rsidRDefault="004355F7" w:rsidP="004355F7">
      <w:pPr>
        <w:pStyle w:val="SingleTxtGA"/>
        <w:rPr>
          <w:rFonts w:hint="cs"/>
          <w:rtl/>
        </w:rPr>
      </w:pPr>
      <w:r w:rsidRPr="0098499D">
        <w:rPr>
          <w:rFonts w:hint="cs"/>
          <w:rtl/>
        </w:rPr>
        <w:t>7-</w:t>
      </w:r>
      <w:r>
        <w:rPr>
          <w:rFonts w:hint="cs"/>
          <w:rtl/>
        </w:rPr>
        <w:t>1</w:t>
      </w:r>
      <w:r w:rsidRPr="0098499D">
        <w:rPr>
          <w:rFonts w:hint="cs"/>
          <w:rtl/>
        </w:rPr>
        <w:tab/>
        <w:t>نظرت اللجنة في هذا ال</w:t>
      </w:r>
      <w:r>
        <w:rPr>
          <w:rFonts w:hint="cs"/>
          <w:rtl/>
        </w:rPr>
        <w:t>بلاغ</w:t>
      </w:r>
      <w:r w:rsidRPr="0098499D">
        <w:rPr>
          <w:rFonts w:hint="cs"/>
          <w:rtl/>
        </w:rPr>
        <w:t xml:space="preserve"> في ضوء جميع المعلومات التي أُتيحت لها من جانب الأطراف المعنية</w:t>
      </w:r>
      <w:r>
        <w:rPr>
          <w:rFonts w:hint="cs"/>
          <w:rtl/>
        </w:rPr>
        <w:t>،</w:t>
      </w:r>
      <w:r w:rsidRPr="0098499D">
        <w:rPr>
          <w:rFonts w:hint="cs"/>
          <w:rtl/>
        </w:rPr>
        <w:t xml:space="preserve"> وفقاً لأحكام الفقرة 4 من المادة 22 من الاتفاقية.</w:t>
      </w:r>
    </w:p>
    <w:p w:rsidR="004355F7" w:rsidRPr="00C16AFF" w:rsidRDefault="004355F7" w:rsidP="00C16AFF">
      <w:pPr>
        <w:pStyle w:val="SingleTxtGA"/>
        <w:rPr>
          <w:rFonts w:hint="cs"/>
          <w:spacing w:val="-2"/>
          <w:rtl/>
        </w:rPr>
      </w:pPr>
      <w:r w:rsidRPr="00C16AFF">
        <w:rPr>
          <w:rFonts w:hint="cs"/>
          <w:spacing w:val="-2"/>
          <w:rtl/>
        </w:rPr>
        <w:t>7-2</w:t>
      </w:r>
      <w:r w:rsidRPr="00C16AFF">
        <w:rPr>
          <w:rFonts w:hint="cs"/>
          <w:spacing w:val="-2"/>
          <w:rtl/>
        </w:rPr>
        <w:tab/>
        <w:t>والمسألة المطروحة أمام اللجنة هو ما إذا كان ترحيل صاحب</w:t>
      </w:r>
      <w:r w:rsidRPr="00C16AFF">
        <w:rPr>
          <w:rFonts w:hint="cs"/>
          <w:spacing w:val="-2"/>
          <w:rtl/>
          <w:lang w:bidi="ar-EG"/>
        </w:rPr>
        <w:t>ة</w:t>
      </w:r>
      <w:r w:rsidRPr="00C16AFF">
        <w:rPr>
          <w:rFonts w:hint="cs"/>
          <w:spacing w:val="-2"/>
          <w:rtl/>
        </w:rPr>
        <w:t xml:space="preserve"> الشكوى إلى إثيوبيا سيشكل انتهاكاً لالتزام الدولة الطرف بموجب المادة 3 من الاتفاقية بعدم طرد أو إعادة (رَدّ) شخص إلى دولة أخرى إذا كانت هناك أسباب حقيقية تدعو للاعتقاد بأنه سيكون معرضاً </w:t>
      </w:r>
      <w:r w:rsidRPr="00C16AFF">
        <w:rPr>
          <w:rFonts w:hint="cs"/>
          <w:spacing w:val="-4"/>
          <w:rtl/>
        </w:rPr>
        <w:t>لخطر التعذيب. ويجب على اللجنة تقييم ما إذا كانت هناك أسباب حقيقية تدعو إلى الاعتقاد بأن صاحبة الشكوى ستتعرض شخصياً لخطر التعذيب عند عودتها إلى إثيوبيا. ولتقييم هذا الخطر، يجب على اللجنة أن تراعي جميع الاعتبارات ذات الصلة، عملاً بالفقرة 2 من المادة 3 من الاتفاقية، بما في ذلك مدى وجود نمط ثابت من الانتهاكات الفادحة أو الصارخة أو</w:t>
      </w:r>
      <w:r w:rsidR="00C16AFF" w:rsidRPr="00C16AFF">
        <w:rPr>
          <w:rFonts w:hint="cs"/>
          <w:spacing w:val="-4"/>
          <w:rtl/>
        </w:rPr>
        <w:t xml:space="preserve"> </w:t>
      </w:r>
      <w:r w:rsidRPr="00C16AFF">
        <w:rPr>
          <w:rFonts w:hint="cs"/>
          <w:spacing w:val="-4"/>
          <w:rtl/>
        </w:rPr>
        <w:t>الجماعية لحقوق الإنسان. بيد أن اللجنة تذّكر بأن الهدف من ذلك التحديد هو التأكد من أن</w:t>
      </w:r>
      <w:r w:rsidRPr="00C16AFF">
        <w:rPr>
          <w:rFonts w:hint="cs"/>
          <w:spacing w:val="-2"/>
          <w:rtl/>
        </w:rPr>
        <w:t xml:space="preserve"> الفرد المعني سيواجه شخصياً خطراً متوقعاً وحقيقياً بالتعرض للتعذيب في البلد الذي سيعود إليه.</w:t>
      </w:r>
    </w:p>
    <w:p w:rsidR="004355F7" w:rsidRPr="00C16AFF" w:rsidRDefault="004355F7" w:rsidP="004355F7">
      <w:pPr>
        <w:pStyle w:val="SingleTxtGA"/>
        <w:rPr>
          <w:rFonts w:hint="cs"/>
          <w:spacing w:val="-2"/>
          <w:rtl/>
        </w:rPr>
      </w:pPr>
      <w:r w:rsidRPr="0098499D">
        <w:rPr>
          <w:rFonts w:hint="cs"/>
          <w:rtl/>
        </w:rPr>
        <w:t>7-3</w:t>
      </w:r>
      <w:r w:rsidRPr="0098499D">
        <w:rPr>
          <w:rFonts w:hint="cs"/>
          <w:rtl/>
        </w:rPr>
        <w:tab/>
        <w:t xml:space="preserve">وتّذكر اللجنة بتعليقها العام رقم 1 الذي </w:t>
      </w:r>
      <w:r>
        <w:rPr>
          <w:rFonts w:hint="cs"/>
          <w:rtl/>
        </w:rPr>
        <w:t>ينص على</w:t>
      </w:r>
      <w:r w:rsidRPr="0098499D">
        <w:rPr>
          <w:rFonts w:hint="cs"/>
          <w:rtl/>
        </w:rPr>
        <w:t xml:space="preserve"> أنه يجب أن يُقدَّر خطر التعذيب على أسس تتجاوز مجرد النظر</w:t>
      </w:r>
      <w:r>
        <w:rPr>
          <w:rFonts w:hint="cs"/>
          <w:rtl/>
        </w:rPr>
        <w:t>ية</w:t>
      </w:r>
      <w:r w:rsidRPr="0098499D">
        <w:rPr>
          <w:rFonts w:hint="cs"/>
          <w:rtl/>
        </w:rPr>
        <w:t xml:space="preserve"> أو الشك. </w:t>
      </w:r>
      <w:r>
        <w:rPr>
          <w:rFonts w:hint="cs"/>
          <w:rtl/>
        </w:rPr>
        <w:t>وفي حين</w:t>
      </w:r>
      <w:r w:rsidRPr="0098499D">
        <w:rPr>
          <w:rFonts w:hint="cs"/>
          <w:rtl/>
        </w:rPr>
        <w:t xml:space="preserve"> لا يتحتم أن يكون هذا الخطر موافقاً لاختبار </w:t>
      </w:r>
      <w:r>
        <w:rPr>
          <w:rFonts w:hint="cs"/>
          <w:rtl/>
        </w:rPr>
        <w:t>"</w:t>
      </w:r>
      <w:r w:rsidRPr="0098499D">
        <w:rPr>
          <w:rFonts w:hint="cs"/>
          <w:rtl/>
        </w:rPr>
        <w:t xml:space="preserve">مدى احتمال وقوعه" (الفقرة 6)، </w:t>
      </w:r>
      <w:r>
        <w:rPr>
          <w:rFonts w:hint="cs"/>
          <w:rtl/>
        </w:rPr>
        <w:t xml:space="preserve">تشير اللجنة إلى أن عبء الإثبات </w:t>
      </w:r>
      <w:r w:rsidRPr="005A5B4C">
        <w:rPr>
          <w:rtl/>
        </w:rPr>
        <w:t xml:space="preserve">يقع عموماً على صاحب الشكوى </w:t>
      </w:r>
      <w:r>
        <w:rPr>
          <w:rFonts w:hint="cs"/>
          <w:rtl/>
        </w:rPr>
        <w:t xml:space="preserve">وعليه </w:t>
      </w:r>
      <w:r w:rsidRPr="005A5B4C">
        <w:rPr>
          <w:rtl/>
        </w:rPr>
        <w:t xml:space="preserve">تقديم أدلة يمكن الدفاع عنها </w:t>
      </w:r>
      <w:r>
        <w:rPr>
          <w:rFonts w:hint="cs"/>
          <w:rtl/>
        </w:rPr>
        <w:t xml:space="preserve">بأنه يتعرض لخطر "متوقع وحقيقي </w:t>
      </w:r>
      <w:r w:rsidRPr="00C16AFF">
        <w:rPr>
          <w:rFonts w:hint="cs"/>
          <w:spacing w:val="-2"/>
          <w:rtl/>
        </w:rPr>
        <w:t>وشخصي"</w:t>
      </w:r>
      <w:r w:rsidRPr="00C16AFF">
        <w:rPr>
          <w:spacing w:val="-2"/>
          <w:sz w:val="30"/>
          <w:vertAlign w:val="superscript"/>
          <w:rtl/>
          <w:lang w:val="es-ES"/>
        </w:rPr>
        <w:t>(</w:t>
      </w:r>
      <w:r w:rsidRPr="00C16AFF">
        <w:rPr>
          <w:rStyle w:val="FootnoteReference"/>
          <w:spacing w:val="-2"/>
          <w:rtl/>
          <w:lang w:val="es-ES"/>
        </w:rPr>
        <w:footnoteReference w:id="67"/>
      </w:r>
      <w:r w:rsidRPr="00C16AFF">
        <w:rPr>
          <w:spacing w:val="-2"/>
          <w:sz w:val="30"/>
          <w:vertAlign w:val="superscript"/>
          <w:rtl/>
          <w:lang w:val="es-ES"/>
        </w:rPr>
        <w:t>)</w:t>
      </w:r>
      <w:r w:rsidRPr="00C16AFF">
        <w:rPr>
          <w:rFonts w:hint="cs"/>
          <w:spacing w:val="-2"/>
          <w:rtl/>
        </w:rPr>
        <w:t>. وتذكّر اللجنة كذلك بأنه وفقاً لتعليقها العام رقم 1، فإنها تعطي وزناً كبيراً لاستنتاجات الوقائع التي توصلت إليها هيئات الدولة الطرف المعنية</w:t>
      </w:r>
      <w:r w:rsidRPr="00C16AFF">
        <w:rPr>
          <w:spacing w:val="-2"/>
          <w:sz w:val="30"/>
          <w:vertAlign w:val="superscript"/>
          <w:rtl/>
          <w:lang w:val="es-ES"/>
        </w:rPr>
        <w:t>(</w:t>
      </w:r>
      <w:r w:rsidRPr="00C16AFF">
        <w:rPr>
          <w:rStyle w:val="FootnoteReference"/>
          <w:spacing w:val="-2"/>
          <w:rtl/>
          <w:lang w:val="es-ES"/>
        </w:rPr>
        <w:footnoteReference w:id="68"/>
      </w:r>
      <w:r w:rsidRPr="00C16AFF">
        <w:rPr>
          <w:spacing w:val="-2"/>
          <w:sz w:val="30"/>
          <w:vertAlign w:val="superscript"/>
          <w:rtl/>
          <w:lang w:val="es-ES"/>
        </w:rPr>
        <w:t>)</w:t>
      </w:r>
      <w:r w:rsidRPr="00C16AFF">
        <w:rPr>
          <w:rFonts w:hint="cs"/>
          <w:spacing w:val="-2"/>
          <w:rtl/>
        </w:rPr>
        <w:t>، وفي الوقت نفسه فإنها غير ملتزمة بهذه الاستنتاجات، بل إنها تملك صلاحية بموجب أحكام الفقرة 4 من المادة</w:t>
      </w:r>
      <w:r w:rsidRPr="00C16AFF">
        <w:rPr>
          <w:rFonts w:hint="eastAsia"/>
          <w:spacing w:val="-2"/>
          <w:rtl/>
        </w:rPr>
        <w:t> </w:t>
      </w:r>
      <w:r w:rsidRPr="00C16AFF">
        <w:rPr>
          <w:rFonts w:hint="cs"/>
          <w:spacing w:val="-2"/>
          <w:rtl/>
        </w:rPr>
        <w:t>22 من الاتفاقية، لإجراء تقييم حر للوقائع بالاستناد إلى المجموعة الكاملة من الظروف في كل حالة.</w:t>
      </w:r>
    </w:p>
    <w:p w:rsidR="004355F7" w:rsidRDefault="004355F7" w:rsidP="004355F7">
      <w:pPr>
        <w:pStyle w:val="SingleTxtGA"/>
        <w:rPr>
          <w:rFonts w:hint="cs"/>
          <w:rtl/>
        </w:rPr>
      </w:pPr>
      <w:r>
        <w:rPr>
          <w:rFonts w:hint="cs"/>
          <w:rtl/>
        </w:rPr>
        <w:t>7-4</w:t>
      </w:r>
      <w:r>
        <w:rPr>
          <w:rFonts w:hint="cs"/>
          <w:rtl/>
        </w:rPr>
        <w:tab/>
        <w:t>وتلاحظ اللجنة أن الدولة الطرف وجهت انتباهها إلى أن صاحبة الشكوى استخدمت هويات وجنسيات متعددة منذ بداية أول إجراء لجوء وأن هويتها الحقيقية لم</w:t>
      </w:r>
      <w:r>
        <w:rPr>
          <w:rFonts w:hint="eastAsia"/>
          <w:rtl/>
        </w:rPr>
        <w:t> </w:t>
      </w:r>
      <w:r>
        <w:rPr>
          <w:rFonts w:hint="cs"/>
          <w:rtl/>
        </w:rPr>
        <w:t>تثبت حتى الآن. كما تحيط اللجنة علماً بالمعلومات التي قدمتها صاحبة الشكوى بشأن هذه النقطة. غير أنها ترى أن أوجه عدم الاتساق في رواية صاحبة الشكوى لا تشكل عائقاً أمام تقييم اللجنة لخطر التعرض للتعذيب في حالة ترحيلها إلى إثيوبيا.</w:t>
      </w:r>
    </w:p>
    <w:p w:rsidR="004355F7" w:rsidRDefault="004355F7" w:rsidP="004355F7">
      <w:pPr>
        <w:pStyle w:val="SingleTxtGA"/>
        <w:rPr>
          <w:rFonts w:hint="cs"/>
          <w:rtl/>
          <w:lang w:val="fr-CH"/>
        </w:rPr>
      </w:pPr>
      <w:r>
        <w:rPr>
          <w:rFonts w:hint="cs"/>
          <w:rtl/>
          <w:lang w:val="fr-CH"/>
        </w:rPr>
        <w:t>7-5</w:t>
      </w:r>
      <w:r>
        <w:rPr>
          <w:rFonts w:hint="cs"/>
          <w:rtl/>
          <w:lang w:val="fr-CH"/>
        </w:rPr>
        <w:tab/>
        <w:t>وتلاحظ اللجنة ما عرضته صاحبة الشكوى بشأن مشاركتها في أنشطة التحالف من أجل الوحدة والديمقراطية في سويسرا. وتلاحظ أيضاً ادعاء صاحبة الشكوى بأنها من أنشط أعضاء التحالف وأنها كانت كذلك منذ لحظة إنشاء هذه المنظمة وأنها قامت بجملة أمور، من بينها إلقاء كلمة في الاجتماع المؤسس للتحالف والمشاركة في عدة مظاهرات والتواجد أثناء تقديم التماس إلى الأمم المتحدة في جنيف. كما تلاحظ اللجنة أن صاحبة الشكوى لم تدع أنها أُوقفت أو تعرضت لسوء معاملة من جانب السلطات الإثيوبية، كما لم تدع أنه تم توجيه أي تهم إليها بموجب قانون مكافحة الإرهاب أو أي قانون محلي آخر. وتحيط اللجنة علماً أيضاً بادعاء صاحبة الشكوى بأن السلطات الإثيوبية تستعمل وسائل تكنولوجية متطورة لرصد المنشقين الإثيوبيين في الخارج، لكنها تلاحظ أن صاحبة الشكوى لم تدل بأي تفاصيل في هذا الصدد ولم تقدم أي دليل لدعم ادعائها. وتلاحظ اللجنة أيضاً أن الدولة الطرف فندت هذا الادعاء وإشارة صاحبة الشكوى إلى أوجه عدم الاتساق في السوابق القضائية للمحكمة الاتحادية الإدارية فيما يتعلق بتقييم الخطر الذي يواجهه مواطنو إثيوبيا في حالة عودتهم إلى بلدهم الأصلي (انظر الفقرتين 2-6 و4-11 أعلاه). وترى اللجنة أن صاحبة الشكوى لم تقدم أدلة كافية بشأن ممارستها لأي نشاط سياسي هام إلى درجة تثير اهتمام السلطات الإثيوبية، كما لم تقدم أي دليل ملموس لتبرهن أن السلطات في وطنها تفتش عنها أو أنها ستواجه شخصياً خطر التعرض للتعذيب إذا أعيدت إلى إثيوبيا.</w:t>
      </w:r>
    </w:p>
    <w:p w:rsidR="004355F7" w:rsidRPr="0098499D" w:rsidRDefault="004355F7" w:rsidP="00E95F45">
      <w:pPr>
        <w:pStyle w:val="SingleTxtGA"/>
        <w:rPr>
          <w:rFonts w:hint="cs"/>
          <w:rtl/>
        </w:rPr>
      </w:pPr>
      <w:r w:rsidRPr="0098499D">
        <w:rPr>
          <w:rFonts w:hint="cs"/>
          <w:rtl/>
        </w:rPr>
        <w:t>7-</w:t>
      </w:r>
      <w:r>
        <w:rPr>
          <w:rFonts w:hint="cs"/>
          <w:rtl/>
        </w:rPr>
        <w:t>6</w:t>
      </w:r>
      <w:r w:rsidRPr="0098499D">
        <w:rPr>
          <w:rFonts w:hint="cs"/>
          <w:rtl/>
        </w:rPr>
        <w:tab/>
        <w:t>وت</w:t>
      </w:r>
      <w:r>
        <w:rPr>
          <w:rFonts w:hint="cs"/>
          <w:rtl/>
        </w:rPr>
        <w:t>خلص</w:t>
      </w:r>
      <w:r w:rsidRPr="0098499D">
        <w:rPr>
          <w:rFonts w:hint="cs"/>
          <w:rtl/>
        </w:rPr>
        <w:t xml:space="preserve"> اللجنة </w:t>
      </w:r>
      <w:r>
        <w:rPr>
          <w:rFonts w:hint="cs"/>
          <w:rtl/>
        </w:rPr>
        <w:t xml:space="preserve">إلى </w:t>
      </w:r>
      <w:r w:rsidRPr="0098499D">
        <w:rPr>
          <w:rFonts w:hint="cs"/>
          <w:rtl/>
        </w:rPr>
        <w:t>أنه وفقاً لذلك</w:t>
      </w:r>
      <w:r>
        <w:rPr>
          <w:rFonts w:hint="cs"/>
          <w:rtl/>
        </w:rPr>
        <w:t>،</w:t>
      </w:r>
      <w:r w:rsidRPr="0098499D">
        <w:rPr>
          <w:rFonts w:hint="cs"/>
          <w:rtl/>
        </w:rPr>
        <w:t xml:space="preserve"> ف</w:t>
      </w:r>
      <w:r>
        <w:rPr>
          <w:rFonts w:hint="cs"/>
          <w:rtl/>
        </w:rPr>
        <w:t>إ</w:t>
      </w:r>
      <w:r w:rsidRPr="0098499D">
        <w:rPr>
          <w:rFonts w:hint="cs"/>
          <w:rtl/>
        </w:rPr>
        <w:t>ن المعل</w:t>
      </w:r>
      <w:r>
        <w:rPr>
          <w:rFonts w:hint="cs"/>
          <w:rtl/>
        </w:rPr>
        <w:t>ـ</w:t>
      </w:r>
      <w:r w:rsidRPr="0098499D">
        <w:rPr>
          <w:rFonts w:hint="cs"/>
          <w:rtl/>
        </w:rPr>
        <w:t>ومات التي قدم</w:t>
      </w:r>
      <w:r>
        <w:rPr>
          <w:rFonts w:hint="cs"/>
          <w:rtl/>
        </w:rPr>
        <w:t>ت</w:t>
      </w:r>
      <w:r w:rsidRPr="0098499D">
        <w:rPr>
          <w:rFonts w:hint="cs"/>
          <w:rtl/>
        </w:rPr>
        <w:t>ها صاحب</w:t>
      </w:r>
      <w:r>
        <w:rPr>
          <w:rFonts w:hint="cs"/>
          <w:rtl/>
        </w:rPr>
        <w:t>ة</w:t>
      </w:r>
      <w:r w:rsidRPr="0098499D">
        <w:rPr>
          <w:rFonts w:hint="cs"/>
          <w:rtl/>
        </w:rPr>
        <w:t xml:space="preserve"> الشكوى، بما في ذلك </w:t>
      </w:r>
      <w:r>
        <w:rPr>
          <w:rFonts w:hint="cs"/>
          <w:rtl/>
        </w:rPr>
        <w:t>عدم ممارستها لأي أنشطة سياسية في إثيوبيا قبل رحيلها من البلد و</w:t>
      </w:r>
      <w:r w:rsidRPr="0098499D">
        <w:rPr>
          <w:rFonts w:hint="cs"/>
          <w:rtl/>
        </w:rPr>
        <w:t>مستوى أنشطته</w:t>
      </w:r>
      <w:r>
        <w:rPr>
          <w:rFonts w:hint="cs"/>
          <w:rtl/>
        </w:rPr>
        <w:t>ا</w:t>
      </w:r>
      <w:r w:rsidRPr="0098499D">
        <w:rPr>
          <w:rFonts w:hint="cs"/>
          <w:rtl/>
        </w:rPr>
        <w:t xml:space="preserve"> السياسية المنخفض في سويسرا، غير كافية</w:t>
      </w:r>
      <w:r>
        <w:rPr>
          <w:rFonts w:hint="cs"/>
          <w:rtl/>
        </w:rPr>
        <w:t xml:space="preserve"> لإثبات ادعائها </w:t>
      </w:r>
      <w:r w:rsidRPr="0098499D">
        <w:rPr>
          <w:rFonts w:hint="cs"/>
          <w:rtl/>
        </w:rPr>
        <w:t>بأنه</w:t>
      </w:r>
      <w:r>
        <w:rPr>
          <w:rFonts w:hint="cs"/>
          <w:rtl/>
        </w:rPr>
        <w:t>ا</w:t>
      </w:r>
      <w:r w:rsidRPr="0098499D">
        <w:rPr>
          <w:rFonts w:hint="cs"/>
          <w:rtl/>
        </w:rPr>
        <w:t xml:space="preserve"> س</w:t>
      </w:r>
      <w:r>
        <w:rPr>
          <w:rFonts w:hint="cs"/>
          <w:rtl/>
        </w:rPr>
        <w:t>تواجه</w:t>
      </w:r>
      <w:r w:rsidRPr="0098499D">
        <w:rPr>
          <w:rFonts w:hint="cs"/>
          <w:rtl/>
        </w:rPr>
        <w:t xml:space="preserve"> شخصياً خطر</w:t>
      </w:r>
      <w:r>
        <w:rPr>
          <w:rFonts w:hint="cs"/>
          <w:rtl/>
        </w:rPr>
        <w:t>اً</w:t>
      </w:r>
      <w:r w:rsidRPr="0098499D">
        <w:rPr>
          <w:rFonts w:hint="cs"/>
          <w:rtl/>
        </w:rPr>
        <w:t xml:space="preserve"> </w:t>
      </w:r>
      <w:r>
        <w:rPr>
          <w:rFonts w:hint="cs"/>
          <w:rtl/>
        </w:rPr>
        <w:t>كبيراً بالتعرض ل</w:t>
      </w:r>
      <w:r w:rsidRPr="0098499D">
        <w:rPr>
          <w:rFonts w:hint="cs"/>
          <w:rtl/>
        </w:rPr>
        <w:t xml:space="preserve">لتعذيب في حال </w:t>
      </w:r>
      <w:r>
        <w:rPr>
          <w:rFonts w:hint="cs"/>
          <w:rtl/>
        </w:rPr>
        <w:t>إعادتها</w:t>
      </w:r>
      <w:r w:rsidRPr="0098499D">
        <w:rPr>
          <w:rFonts w:hint="cs"/>
          <w:rtl/>
        </w:rPr>
        <w:t xml:space="preserve"> إلى إثيوبيا. ويساور اللجنة القلق إزاء التقارير العديدة </w:t>
      </w:r>
      <w:r>
        <w:rPr>
          <w:rFonts w:hint="cs"/>
          <w:rtl/>
        </w:rPr>
        <w:t xml:space="preserve">عن </w:t>
      </w:r>
      <w:r w:rsidRPr="0098499D">
        <w:rPr>
          <w:rFonts w:hint="cs"/>
          <w:rtl/>
        </w:rPr>
        <w:t>انتهاكات حقوق الإنسان في إثيوبيا، بما في ذلك اللجوء إلى التعذيب</w:t>
      </w:r>
      <w:r>
        <w:rPr>
          <w:sz w:val="30"/>
          <w:vertAlign w:val="superscript"/>
          <w:rtl/>
          <w:lang w:val="es-ES"/>
        </w:rPr>
        <w:t>(</w:t>
      </w:r>
      <w:r>
        <w:rPr>
          <w:rStyle w:val="FootnoteReference"/>
          <w:rtl/>
          <w:lang w:val="es-ES"/>
        </w:rPr>
        <w:footnoteReference w:id="69"/>
      </w:r>
      <w:r>
        <w:rPr>
          <w:sz w:val="30"/>
          <w:vertAlign w:val="superscript"/>
          <w:rtl/>
          <w:lang w:val="es-ES"/>
        </w:rPr>
        <w:t>)</w:t>
      </w:r>
      <w:r>
        <w:rPr>
          <w:rFonts w:hint="cs"/>
          <w:rtl/>
        </w:rPr>
        <w:t xml:space="preserve">، </w:t>
      </w:r>
      <w:r w:rsidRPr="0098499D">
        <w:rPr>
          <w:rFonts w:hint="cs"/>
          <w:rtl/>
        </w:rPr>
        <w:t xml:space="preserve">لكنها تذكّر </w:t>
      </w:r>
      <w:r>
        <w:rPr>
          <w:rFonts w:hint="cs"/>
          <w:rtl/>
        </w:rPr>
        <w:t>ب</w:t>
      </w:r>
      <w:r w:rsidRPr="0098499D">
        <w:rPr>
          <w:rFonts w:hint="cs"/>
          <w:rtl/>
        </w:rPr>
        <w:t>أنه لأغراض المادة 3 من الاتفاقية</w:t>
      </w:r>
      <w:r>
        <w:rPr>
          <w:rFonts w:hint="cs"/>
          <w:rtl/>
        </w:rPr>
        <w:t>،</w:t>
      </w:r>
      <w:r w:rsidRPr="0098499D">
        <w:rPr>
          <w:rFonts w:hint="cs"/>
          <w:rtl/>
        </w:rPr>
        <w:t xml:space="preserve"> ينبغي للفرد </w:t>
      </w:r>
      <w:r>
        <w:rPr>
          <w:rFonts w:hint="cs"/>
          <w:rtl/>
        </w:rPr>
        <w:t xml:space="preserve">المعني </w:t>
      </w:r>
      <w:r w:rsidRPr="0098499D">
        <w:rPr>
          <w:rFonts w:hint="cs"/>
          <w:rtl/>
        </w:rPr>
        <w:t xml:space="preserve">أن يواجه خطراً </w:t>
      </w:r>
      <w:r>
        <w:rPr>
          <w:rFonts w:hint="cs"/>
          <w:rtl/>
        </w:rPr>
        <w:t>متوقعاً</w:t>
      </w:r>
      <w:r w:rsidRPr="0098499D">
        <w:rPr>
          <w:rFonts w:hint="cs"/>
          <w:rtl/>
        </w:rPr>
        <w:t xml:space="preserve"> وحقيقياً وشخصياً للتعرض للتعذيب في البلد الذي سيُعاد إليه. وفي ضوء ما جاء أعلاه، ترى اللجنة أنه لم يتم إثبات وجود مثل هذا الخطر.</w:t>
      </w:r>
    </w:p>
    <w:p w:rsidR="004355F7" w:rsidRPr="0098499D" w:rsidRDefault="004355F7" w:rsidP="00E95F45">
      <w:pPr>
        <w:pStyle w:val="SingleTxtGA"/>
        <w:rPr>
          <w:rFonts w:hint="cs"/>
          <w:rtl/>
        </w:rPr>
      </w:pPr>
      <w:r w:rsidRPr="0098499D">
        <w:rPr>
          <w:rFonts w:hint="cs"/>
          <w:rtl/>
        </w:rPr>
        <w:t>8-</w:t>
      </w:r>
      <w:r w:rsidRPr="0098499D">
        <w:rPr>
          <w:rFonts w:hint="cs"/>
          <w:rtl/>
        </w:rPr>
        <w:tab/>
        <w:t xml:space="preserve">وفي ضوء ما جاء أعلاه، </w:t>
      </w:r>
      <w:r>
        <w:rPr>
          <w:rFonts w:hint="cs"/>
          <w:rtl/>
        </w:rPr>
        <w:t xml:space="preserve">فإن </w:t>
      </w:r>
      <w:r w:rsidRPr="0098499D">
        <w:rPr>
          <w:rFonts w:hint="cs"/>
          <w:rtl/>
        </w:rPr>
        <w:t xml:space="preserve">لجنة </w:t>
      </w:r>
      <w:r>
        <w:rPr>
          <w:rFonts w:hint="cs"/>
          <w:rtl/>
        </w:rPr>
        <w:t xml:space="preserve">مناهضة </w:t>
      </w:r>
      <w:r w:rsidRPr="0098499D">
        <w:rPr>
          <w:rFonts w:hint="cs"/>
          <w:rtl/>
        </w:rPr>
        <w:t>التعذيب، وهي تت</w:t>
      </w:r>
      <w:r>
        <w:rPr>
          <w:rFonts w:hint="cs"/>
          <w:rtl/>
        </w:rPr>
        <w:t>ـ</w:t>
      </w:r>
      <w:r w:rsidRPr="0098499D">
        <w:rPr>
          <w:rFonts w:hint="cs"/>
          <w:rtl/>
        </w:rPr>
        <w:t>صرف بم</w:t>
      </w:r>
      <w:r>
        <w:rPr>
          <w:rFonts w:hint="cs"/>
          <w:rtl/>
        </w:rPr>
        <w:t>ـ</w:t>
      </w:r>
      <w:r w:rsidRPr="0098499D">
        <w:rPr>
          <w:rFonts w:hint="cs"/>
          <w:rtl/>
        </w:rPr>
        <w:t xml:space="preserve">وجب الفقرة 7 من المادة 22 من اتفاقية مناهضة التعذيب وغيره من ضروب المعاملة أو العقوبة القاسية أو اللاإنسانية أو المهينة، </w:t>
      </w:r>
      <w:r>
        <w:rPr>
          <w:rFonts w:hint="cs"/>
          <w:rtl/>
        </w:rPr>
        <w:t>تخلص إلى أن قرار الدولة الطرف ب</w:t>
      </w:r>
      <w:r w:rsidRPr="0098499D">
        <w:rPr>
          <w:rFonts w:hint="cs"/>
          <w:rtl/>
        </w:rPr>
        <w:t xml:space="preserve">إعادة </w:t>
      </w:r>
      <w:r>
        <w:rPr>
          <w:rFonts w:hint="cs"/>
          <w:rtl/>
        </w:rPr>
        <w:t xml:space="preserve">صاحبة </w:t>
      </w:r>
      <w:r w:rsidRPr="0098499D">
        <w:rPr>
          <w:rFonts w:hint="cs"/>
          <w:rtl/>
        </w:rPr>
        <w:t>الشكوى إلى إثيوبيا ل</w:t>
      </w:r>
      <w:r>
        <w:rPr>
          <w:rFonts w:hint="cs"/>
          <w:rtl/>
        </w:rPr>
        <w:t>ن</w:t>
      </w:r>
      <w:r w:rsidRPr="0098499D">
        <w:rPr>
          <w:rFonts w:hint="cs"/>
          <w:rtl/>
        </w:rPr>
        <w:t xml:space="preserve"> </w:t>
      </w:r>
      <w:r>
        <w:rPr>
          <w:rFonts w:hint="cs"/>
          <w:rtl/>
        </w:rPr>
        <w:t>ي</w:t>
      </w:r>
      <w:r w:rsidRPr="0098499D">
        <w:rPr>
          <w:rFonts w:hint="cs"/>
          <w:rtl/>
        </w:rPr>
        <w:t xml:space="preserve">مثل انتهاكاً </w:t>
      </w:r>
      <w:r>
        <w:rPr>
          <w:rFonts w:hint="cs"/>
          <w:rtl/>
        </w:rPr>
        <w:t>ل</w:t>
      </w:r>
      <w:r w:rsidRPr="0098499D">
        <w:rPr>
          <w:rFonts w:hint="cs"/>
          <w:rtl/>
        </w:rPr>
        <w:t>لمادة 3 من الاتفاقية.</w:t>
      </w:r>
    </w:p>
    <w:p w:rsidR="00E95F45" w:rsidRDefault="00E95F45" w:rsidP="003241B0">
      <w:pPr>
        <w:pStyle w:val="SingleTxtGA"/>
        <w:rPr>
          <w:rFonts w:eastAsia="SimSun" w:hint="cs"/>
          <w:b/>
          <w:bCs/>
          <w:rtl/>
          <w:lang w:eastAsia="zh-CN"/>
        </w:rPr>
      </w:pPr>
    </w:p>
    <w:p w:rsidR="00E95F45" w:rsidRDefault="00E95F45" w:rsidP="003241B0">
      <w:pPr>
        <w:pStyle w:val="SingleTxtGA"/>
        <w:rPr>
          <w:rFonts w:eastAsia="SimSun" w:hint="cs"/>
          <w:b/>
          <w:bCs/>
          <w:rtl/>
          <w:lang w:eastAsia="zh-CN"/>
        </w:rPr>
        <w:sectPr w:rsidR="00E95F45" w:rsidSect="00F1742A">
          <w:footnotePr>
            <w:numFmt w:val="arabicAbjad"/>
            <w:numRestart w:val="eachSect"/>
          </w:footnotePr>
          <w:endnotePr>
            <w:numFmt w:val="decimal"/>
          </w:endnotePr>
          <w:pgSz w:w="11907" w:h="16840" w:code="9"/>
          <w:pgMar w:top="1701" w:right="1134" w:bottom="2268" w:left="1134" w:header="1134" w:footer="1701" w:gutter="0"/>
          <w:cols w:space="720"/>
          <w:bidi/>
          <w:rtlGutter/>
          <w:docGrid w:linePitch="360"/>
        </w:sectPr>
      </w:pPr>
    </w:p>
    <w:p w:rsidR="00094E50" w:rsidRPr="00094E50" w:rsidRDefault="00094E50" w:rsidP="00094E50">
      <w:pPr>
        <w:pStyle w:val="H1GA"/>
        <w:spacing w:before="120"/>
        <w:rPr>
          <w:rFonts w:hint="cs"/>
          <w:i/>
          <w:iCs/>
          <w:rtl/>
        </w:rPr>
      </w:pPr>
      <w:r>
        <w:rPr>
          <w:rFonts w:hint="cs"/>
          <w:rtl/>
        </w:rPr>
        <w:tab/>
      </w:r>
      <w:r w:rsidRPr="0008422B">
        <w:rPr>
          <w:rFonts w:hint="cs"/>
          <w:rtl/>
        </w:rPr>
        <w:tab/>
        <w:t xml:space="preserve">البلاغ رقم </w:t>
      </w:r>
      <w:r>
        <w:rPr>
          <w:rFonts w:hint="cs"/>
          <w:rtl/>
        </w:rPr>
        <w:t xml:space="preserve">412/2010: </w:t>
      </w:r>
      <w:r>
        <w:rPr>
          <w:rFonts w:hint="cs"/>
          <w:i/>
          <w:iCs/>
          <w:rtl/>
        </w:rPr>
        <w:t>ع. أ. ضد الدانمرك</w:t>
      </w:r>
    </w:p>
    <w:p w:rsidR="00094E50" w:rsidRDefault="00094E50" w:rsidP="00094E50">
      <w:pPr>
        <w:pStyle w:val="SingleTxtGA"/>
        <w:tabs>
          <w:tab w:val="clear" w:pos="1928"/>
          <w:tab w:val="clear" w:pos="2608"/>
          <w:tab w:val="clear" w:pos="3289"/>
          <w:tab w:val="clear" w:pos="3969"/>
          <w:tab w:val="clear" w:pos="4649"/>
          <w:tab w:val="clear" w:pos="5330"/>
        </w:tabs>
        <w:ind w:left="4729" w:hanging="2688"/>
        <w:rPr>
          <w:rFonts w:hint="cs"/>
          <w:rtl/>
        </w:rPr>
      </w:pPr>
      <w:r w:rsidRPr="004504D6">
        <w:rPr>
          <w:rFonts w:hint="cs"/>
          <w:i/>
          <w:iCs/>
          <w:rtl/>
        </w:rPr>
        <w:t>المقدم من</w:t>
      </w:r>
      <w:r w:rsidRPr="00A24FB1">
        <w:rPr>
          <w:rFonts w:hint="cs"/>
          <w:rtl/>
        </w:rPr>
        <w:t>:</w:t>
      </w:r>
      <w:r w:rsidRPr="004504D6">
        <w:rPr>
          <w:rFonts w:hint="cs"/>
          <w:rtl/>
        </w:rPr>
        <w:tab/>
      </w:r>
      <w:r>
        <w:rPr>
          <w:rFonts w:hint="cs"/>
          <w:rtl/>
        </w:rPr>
        <w:t>ع</w:t>
      </w:r>
      <w:r w:rsidRPr="00567FC8">
        <w:rPr>
          <w:rtl/>
        </w:rPr>
        <w:t>. أ. (يمثله محامٍ)</w:t>
      </w:r>
    </w:p>
    <w:p w:rsidR="00094E50" w:rsidRDefault="00094E50" w:rsidP="00094E50">
      <w:pPr>
        <w:pStyle w:val="SingleTxtGA"/>
        <w:tabs>
          <w:tab w:val="clear" w:pos="1928"/>
          <w:tab w:val="clear" w:pos="2608"/>
          <w:tab w:val="clear" w:pos="3289"/>
          <w:tab w:val="clear" w:pos="3969"/>
          <w:tab w:val="clear" w:pos="4649"/>
          <w:tab w:val="clear" w:pos="5330"/>
        </w:tabs>
        <w:ind w:left="4729" w:hanging="2688"/>
        <w:rPr>
          <w:rFonts w:hint="cs"/>
          <w:rtl/>
        </w:rPr>
      </w:pPr>
      <w:r w:rsidRPr="004504D6">
        <w:rPr>
          <w:rFonts w:hint="cs"/>
          <w:i/>
          <w:iCs/>
          <w:rtl/>
        </w:rPr>
        <w:t xml:space="preserve">الشخص </w:t>
      </w:r>
      <w:r>
        <w:rPr>
          <w:rFonts w:hint="cs"/>
          <w:i/>
          <w:iCs/>
          <w:rtl/>
        </w:rPr>
        <w:t xml:space="preserve">المدعى </w:t>
      </w:r>
      <w:r w:rsidRPr="004504D6">
        <w:rPr>
          <w:rFonts w:hint="cs"/>
          <w:i/>
          <w:iCs/>
          <w:rtl/>
        </w:rPr>
        <w:t>أنه ضحية</w:t>
      </w:r>
      <w:r w:rsidRPr="004504D6">
        <w:rPr>
          <w:rFonts w:hint="cs"/>
          <w:rtl/>
        </w:rPr>
        <w:t>:</w:t>
      </w:r>
      <w:r w:rsidRPr="004504D6">
        <w:rPr>
          <w:rFonts w:hint="cs"/>
          <w:rtl/>
        </w:rPr>
        <w:tab/>
        <w:t>صاحب الشكوى</w:t>
      </w:r>
    </w:p>
    <w:p w:rsidR="00094E50" w:rsidRDefault="00094E50" w:rsidP="00094E50">
      <w:pPr>
        <w:pStyle w:val="SingleTxtGA"/>
        <w:tabs>
          <w:tab w:val="clear" w:pos="1928"/>
          <w:tab w:val="clear" w:pos="2608"/>
          <w:tab w:val="clear" w:pos="3289"/>
          <w:tab w:val="clear" w:pos="3969"/>
          <w:tab w:val="clear" w:pos="4649"/>
          <w:tab w:val="clear" w:pos="5330"/>
        </w:tabs>
        <w:ind w:left="4729" w:hanging="2688"/>
        <w:rPr>
          <w:rFonts w:hint="cs"/>
          <w:rtl/>
        </w:rPr>
      </w:pPr>
      <w:r w:rsidRPr="004504D6">
        <w:rPr>
          <w:rFonts w:hint="cs"/>
          <w:i/>
          <w:iCs/>
          <w:rtl/>
        </w:rPr>
        <w:t>الدولة الطرف</w:t>
      </w:r>
      <w:r w:rsidRPr="004504D6">
        <w:rPr>
          <w:rFonts w:hint="cs"/>
          <w:rtl/>
        </w:rPr>
        <w:t>:</w:t>
      </w:r>
      <w:r w:rsidRPr="004504D6">
        <w:rPr>
          <w:rFonts w:hint="cs"/>
          <w:rtl/>
        </w:rPr>
        <w:tab/>
      </w:r>
      <w:r>
        <w:rPr>
          <w:rFonts w:hint="cs"/>
          <w:rtl/>
        </w:rPr>
        <w:t>الدانمرك</w:t>
      </w:r>
    </w:p>
    <w:p w:rsidR="00094E50" w:rsidRPr="003037A2" w:rsidRDefault="00094E50" w:rsidP="00094E50">
      <w:pPr>
        <w:pStyle w:val="SingleTxtGA"/>
        <w:tabs>
          <w:tab w:val="clear" w:pos="1928"/>
          <w:tab w:val="clear" w:pos="2608"/>
          <w:tab w:val="clear" w:pos="3289"/>
          <w:tab w:val="clear" w:pos="3969"/>
          <w:tab w:val="clear" w:pos="4649"/>
          <w:tab w:val="clear" w:pos="5330"/>
        </w:tabs>
        <w:ind w:left="4729" w:hanging="2688"/>
        <w:rPr>
          <w:rFonts w:hint="cs"/>
          <w:spacing w:val="-4"/>
          <w:rtl/>
        </w:rPr>
      </w:pPr>
      <w:r w:rsidRPr="003037A2">
        <w:rPr>
          <w:rFonts w:hint="cs"/>
          <w:i/>
          <w:iCs/>
          <w:spacing w:val="-4"/>
          <w:rtl/>
        </w:rPr>
        <w:t>تاريخ تقديم الشكوى</w:t>
      </w:r>
      <w:r w:rsidRPr="003037A2">
        <w:rPr>
          <w:rFonts w:hint="cs"/>
          <w:spacing w:val="-4"/>
          <w:rtl/>
        </w:rPr>
        <w:t>:</w:t>
      </w:r>
      <w:r w:rsidRPr="003037A2">
        <w:rPr>
          <w:rFonts w:hint="cs"/>
          <w:spacing w:val="-4"/>
          <w:rtl/>
        </w:rPr>
        <w:tab/>
      </w:r>
      <w:r w:rsidRPr="00567FC8">
        <w:rPr>
          <w:spacing w:val="-4"/>
          <w:rtl/>
        </w:rPr>
        <w:t>30 أيلول/سبتمبر 2009 (تاريخ الرسالة الأولى)</w:t>
      </w:r>
    </w:p>
    <w:p w:rsidR="00094E50" w:rsidRPr="004504D6" w:rsidRDefault="00094E50" w:rsidP="00094E50">
      <w:pPr>
        <w:pStyle w:val="SingleTxtGA"/>
        <w:rPr>
          <w:rFonts w:hint="cs"/>
          <w:rtl/>
        </w:rPr>
      </w:pPr>
      <w:r w:rsidRPr="004504D6">
        <w:rPr>
          <w:rFonts w:hint="cs"/>
          <w:i/>
          <w:iCs/>
          <w:rtl/>
        </w:rPr>
        <w:tab/>
        <w:t>إن لجنة مناهضة التعذيب</w:t>
      </w:r>
      <w:r w:rsidRPr="004504D6">
        <w:rPr>
          <w:rFonts w:hint="cs"/>
          <w:rtl/>
        </w:rPr>
        <w:t>، المنشأة بموجب المادة 17 من اتفاقية مناهضة التعذيب وغيره من ضروب المعاملة أو العقوبة القاسية أو اللاإنسانية أو المهينة،</w:t>
      </w:r>
    </w:p>
    <w:p w:rsidR="00094E50" w:rsidRPr="004504D6" w:rsidRDefault="00094E50" w:rsidP="00094E50">
      <w:pPr>
        <w:pStyle w:val="SingleTxtGA"/>
        <w:rPr>
          <w:rFonts w:hint="cs"/>
          <w:rtl/>
        </w:rPr>
      </w:pPr>
      <w:r w:rsidRPr="004504D6">
        <w:rPr>
          <w:rFonts w:hint="cs"/>
          <w:i/>
          <w:iCs/>
          <w:rtl/>
        </w:rPr>
        <w:tab/>
        <w:t>وقد اجتمعت</w:t>
      </w:r>
      <w:r w:rsidRPr="004504D6">
        <w:rPr>
          <w:rFonts w:hint="cs"/>
          <w:rtl/>
        </w:rPr>
        <w:t xml:space="preserve"> في </w:t>
      </w:r>
      <w:r>
        <w:rPr>
          <w:rFonts w:hint="cs"/>
          <w:rtl/>
        </w:rPr>
        <w:t>13 تشرين الثاني/نوفمبر 2012</w:t>
      </w:r>
      <w:r w:rsidRPr="004504D6">
        <w:rPr>
          <w:rFonts w:hint="cs"/>
          <w:rtl/>
        </w:rPr>
        <w:t>،</w:t>
      </w:r>
    </w:p>
    <w:p w:rsidR="00094E50" w:rsidRPr="004504D6" w:rsidRDefault="00094E50" w:rsidP="00094E50">
      <w:pPr>
        <w:pStyle w:val="SingleTxtGA"/>
        <w:rPr>
          <w:rFonts w:hint="cs"/>
          <w:rtl/>
        </w:rPr>
      </w:pPr>
      <w:r w:rsidRPr="004504D6">
        <w:rPr>
          <w:rFonts w:hint="cs"/>
          <w:i/>
          <w:iCs/>
          <w:rtl/>
        </w:rPr>
        <w:tab/>
        <w:t xml:space="preserve">وقد فرغت </w:t>
      </w:r>
      <w:r w:rsidRPr="004504D6">
        <w:rPr>
          <w:rFonts w:hint="cs"/>
          <w:rtl/>
        </w:rPr>
        <w:t xml:space="preserve">من النظر في الشكوى رقم </w:t>
      </w:r>
      <w:r>
        <w:rPr>
          <w:rFonts w:hint="cs"/>
          <w:rtl/>
        </w:rPr>
        <w:t>412/2010</w:t>
      </w:r>
      <w:r w:rsidRPr="004504D6">
        <w:rPr>
          <w:rFonts w:hint="cs"/>
          <w:rtl/>
        </w:rPr>
        <w:t xml:space="preserve">، التي قدّمها إلى لجنة مناهضة التعذيب </w:t>
      </w:r>
      <w:r>
        <w:rPr>
          <w:rFonts w:hint="cs"/>
          <w:rtl/>
        </w:rPr>
        <w:t xml:space="preserve">ع. أ. </w:t>
      </w:r>
      <w:r w:rsidRPr="004504D6">
        <w:rPr>
          <w:rFonts w:hint="cs"/>
          <w:rtl/>
        </w:rPr>
        <w:t>بموجب المادة 22 من اتفاقية مناهضة التعذيب وغيره من ضروب المعاملة</w:t>
      </w:r>
      <w:r>
        <w:rPr>
          <w:rFonts w:hint="eastAsia"/>
          <w:rtl/>
        </w:rPr>
        <w:t> </w:t>
      </w:r>
      <w:r w:rsidRPr="004504D6">
        <w:rPr>
          <w:rFonts w:hint="cs"/>
          <w:rtl/>
        </w:rPr>
        <w:t>أو</w:t>
      </w:r>
      <w:r>
        <w:rPr>
          <w:rFonts w:hint="eastAsia"/>
          <w:rtl/>
        </w:rPr>
        <w:t> </w:t>
      </w:r>
      <w:r w:rsidRPr="004504D6">
        <w:rPr>
          <w:rFonts w:hint="cs"/>
          <w:rtl/>
        </w:rPr>
        <w:t>العقوبة القاسية أو اللاإنسانية أو المهينة،</w:t>
      </w:r>
    </w:p>
    <w:p w:rsidR="00094E50" w:rsidRPr="004504D6" w:rsidRDefault="00094E50" w:rsidP="00094E50">
      <w:pPr>
        <w:pStyle w:val="SingleTxtGA"/>
        <w:rPr>
          <w:rFonts w:hint="cs"/>
          <w:rtl/>
        </w:rPr>
      </w:pPr>
      <w:r w:rsidRPr="004504D6">
        <w:rPr>
          <w:rFonts w:hint="cs"/>
          <w:i/>
          <w:iCs/>
          <w:rtl/>
        </w:rPr>
        <w:tab/>
        <w:t>وقد</w:t>
      </w:r>
      <w:r>
        <w:rPr>
          <w:rFonts w:hint="cs"/>
          <w:i/>
          <w:iCs/>
          <w:rtl/>
        </w:rPr>
        <w:t xml:space="preserve"> أخذت في </w:t>
      </w:r>
      <w:r w:rsidRPr="004504D6">
        <w:rPr>
          <w:rFonts w:hint="cs"/>
          <w:i/>
          <w:iCs/>
          <w:rtl/>
        </w:rPr>
        <w:t xml:space="preserve">اعتبارها </w:t>
      </w:r>
      <w:r w:rsidRPr="004504D6">
        <w:rPr>
          <w:rFonts w:hint="cs"/>
          <w:rtl/>
        </w:rPr>
        <w:t>جميع المعلومات التي أتاحها لها صاحب الشكوى</w:t>
      </w:r>
      <w:r>
        <w:rPr>
          <w:rFonts w:hint="cs"/>
          <w:rtl/>
        </w:rPr>
        <w:t xml:space="preserve"> ومحاميه </w:t>
      </w:r>
      <w:r w:rsidRPr="004504D6">
        <w:rPr>
          <w:rFonts w:hint="cs"/>
          <w:rtl/>
        </w:rPr>
        <w:t>والدولة</w:t>
      </w:r>
      <w:r>
        <w:rPr>
          <w:rFonts w:hint="eastAsia"/>
          <w:rtl/>
        </w:rPr>
        <w:t> </w:t>
      </w:r>
      <w:r w:rsidRPr="004504D6">
        <w:rPr>
          <w:rFonts w:hint="cs"/>
          <w:rtl/>
        </w:rPr>
        <w:t>الطرف،</w:t>
      </w:r>
    </w:p>
    <w:p w:rsidR="00094E50" w:rsidRPr="00EA73C8" w:rsidRDefault="00094E50" w:rsidP="00094E50">
      <w:pPr>
        <w:pStyle w:val="SingleTxtGA"/>
        <w:rPr>
          <w:rFonts w:hint="cs"/>
          <w:rtl/>
        </w:rPr>
      </w:pPr>
      <w:r w:rsidRPr="004504D6">
        <w:rPr>
          <w:rFonts w:hint="cs"/>
          <w:rtl/>
        </w:rPr>
        <w:tab/>
      </w:r>
      <w:r w:rsidRPr="00491F8E">
        <w:rPr>
          <w:rFonts w:hint="cs"/>
          <w:i/>
          <w:iCs/>
          <w:rtl/>
        </w:rPr>
        <w:t xml:space="preserve">تعتمد </w:t>
      </w:r>
      <w:r w:rsidRPr="00EA73C8">
        <w:rPr>
          <w:rFonts w:hint="cs"/>
          <w:rtl/>
        </w:rPr>
        <w:t>ما يلي:</w:t>
      </w:r>
    </w:p>
    <w:p w:rsidR="00094E50" w:rsidRPr="004504D6" w:rsidRDefault="00094E50" w:rsidP="00094E50">
      <w:pPr>
        <w:pStyle w:val="H1GA"/>
        <w:rPr>
          <w:rFonts w:hint="cs"/>
          <w:rtl/>
        </w:rPr>
      </w:pPr>
      <w:r>
        <w:rPr>
          <w:rFonts w:hint="cs"/>
          <w:rtl/>
        </w:rPr>
        <w:tab/>
      </w:r>
      <w:r>
        <w:rPr>
          <w:rFonts w:hint="cs"/>
          <w:rtl/>
        </w:rPr>
        <w:tab/>
      </w:r>
      <w:r w:rsidRPr="004504D6">
        <w:rPr>
          <w:rFonts w:hint="cs"/>
          <w:rtl/>
        </w:rPr>
        <w:t>قرار بموجب الفقرة 7 من المادة 22 م</w:t>
      </w:r>
      <w:r>
        <w:rPr>
          <w:rFonts w:hint="cs"/>
          <w:rtl/>
        </w:rPr>
        <w:t>ن اتفاقية مناهضة التعذيب</w:t>
      </w:r>
    </w:p>
    <w:p w:rsidR="00094E50" w:rsidRDefault="00094E50" w:rsidP="00094E50">
      <w:pPr>
        <w:pStyle w:val="SingleTxtGA"/>
        <w:rPr>
          <w:rFonts w:hint="cs"/>
          <w:rtl/>
          <w:lang w:val="fr-CH"/>
        </w:rPr>
      </w:pPr>
      <w:r w:rsidRPr="004504D6">
        <w:rPr>
          <w:rFonts w:hint="cs"/>
          <w:rtl/>
          <w:lang w:val="fr-CH"/>
        </w:rPr>
        <w:t>1-1</w:t>
      </w:r>
      <w:r w:rsidRPr="004504D6">
        <w:rPr>
          <w:rFonts w:hint="cs"/>
          <w:rtl/>
          <w:lang w:val="fr-CH"/>
        </w:rPr>
        <w:tab/>
        <w:t xml:space="preserve">صاحب الشكوى هو </w:t>
      </w:r>
      <w:r>
        <w:rPr>
          <w:rFonts w:hint="cs"/>
          <w:rtl/>
          <w:lang w:val="fr-CH"/>
        </w:rPr>
        <w:t xml:space="preserve">ع. أ.، </w:t>
      </w:r>
      <w:r>
        <w:rPr>
          <w:rFonts w:hint="cs"/>
          <w:rtl/>
          <w:lang w:val="fr-CH" w:bidi="ar-EG"/>
        </w:rPr>
        <w:t xml:space="preserve">وهو </w:t>
      </w:r>
      <w:r>
        <w:rPr>
          <w:rFonts w:hint="cs"/>
          <w:rtl/>
          <w:lang w:val="fr-CH"/>
        </w:rPr>
        <w:t>من مواطني العراق ومواليد 27 كانون الأول/ديسمبر 1963، ورُحّل من الدانمرك إلى العراق في 2 أيلول/سبتمبر 2009. ويدعي صاحب الشكوى أن احتجازه في الدانمرك من 18 حزيران/يونيه 2009 إلى 2 أيلول/سبتمبر 2009، كملتمس لجوء رُفِض طلبه، بما في ذلك حبسه الانفرادي، يشكل انتهاكاً للمادتين 16 و2 من الاتفاقية. ويدعي كذلك صاحب الشكوى أنه ضحية انتهاك الدولة الطرف للمادة 12 لعدم التحقيق بشكل سليم في الانتهاكات المزعومة للمادتين 16 و2 من الاتفاقية. وبالإضافة إلى ذلك، يدعي صاحب الشكوى أن ترحيله يشكل انتهاكاً من جانب الدانمرك للفقرة 1 من المادة</w:t>
      </w:r>
      <w:r>
        <w:rPr>
          <w:rFonts w:hint="eastAsia"/>
          <w:rtl/>
          <w:lang w:val="fr-CH"/>
        </w:rPr>
        <w:t> </w:t>
      </w:r>
      <w:r>
        <w:rPr>
          <w:rFonts w:hint="cs"/>
          <w:rtl/>
          <w:lang w:val="fr-CH"/>
        </w:rPr>
        <w:t>3 من الاتفاقية لأنه كان من المتوقع أن يتعرض للتعذيب عقب عودته بالنظر إلى أنه تعرض للتعذيب وسوء المعاملة في العراق في عام 2005 وتعرض لتهديدات من أسر تسعة أشخاص آخرين محتجزين نفذ فيهم حكم الإعدام. ويمثل صاحب الشكوى محامٍ.</w:t>
      </w:r>
    </w:p>
    <w:p w:rsidR="00094E50" w:rsidRDefault="00094E50" w:rsidP="00094E50">
      <w:pPr>
        <w:pStyle w:val="SingleTxtGA"/>
        <w:rPr>
          <w:rFonts w:hint="cs"/>
          <w:rtl/>
          <w:lang w:val="fr-CH"/>
        </w:rPr>
      </w:pPr>
      <w:r>
        <w:rPr>
          <w:rFonts w:hint="cs"/>
          <w:rtl/>
          <w:lang w:val="fr-CH"/>
        </w:rPr>
        <w:t>1-2</w:t>
      </w:r>
      <w:r>
        <w:rPr>
          <w:rFonts w:hint="cs"/>
          <w:rtl/>
          <w:lang w:val="fr-CH"/>
        </w:rPr>
        <w:tab/>
        <w:t>وطلب صاحب الشكوى أن تصدر اللجنة طلباً باتخاذ تدابير الحماية المؤقتة كي يتمكن من السفر مرة أخرى إلى الدانمرك ليتسنى إجراء الفحص وفقاً للمادة 12 من الاتفاقية، من أجل استنفاد سبل الانتصاف المحلية في الدانمرك. وعملاً بالفقرة 3 من المادة 22 من الاتفاقية، نقلت اللجنة الشكوى إلى علم الدولة الطرف في 26 شباط/فبراير 2010. وقررت اللجنة عدم إصدار طلب باتخاذ تدابير مؤقتة.</w:t>
      </w:r>
    </w:p>
    <w:p w:rsidR="00094E50" w:rsidRPr="009468C2" w:rsidRDefault="00094E50" w:rsidP="00094E50">
      <w:pPr>
        <w:pStyle w:val="H23GA"/>
        <w:rPr>
          <w:rFonts w:hint="cs"/>
          <w:rtl/>
          <w:lang w:val="fr-CH"/>
        </w:rPr>
      </w:pPr>
      <w:r w:rsidRPr="009468C2">
        <w:rPr>
          <w:rFonts w:hint="cs"/>
          <w:rtl/>
          <w:lang w:val="fr-CH"/>
        </w:rPr>
        <w:tab/>
      </w:r>
      <w:r w:rsidRPr="009468C2">
        <w:rPr>
          <w:rFonts w:hint="cs"/>
          <w:rtl/>
          <w:lang w:val="fr-CH"/>
        </w:rPr>
        <w:tab/>
        <w:t>الوقائع كما عرضها صاحب الشكوى</w:t>
      </w:r>
    </w:p>
    <w:p w:rsidR="00094E50" w:rsidRDefault="00094E50" w:rsidP="00094E50">
      <w:pPr>
        <w:pStyle w:val="SingleTxtGA"/>
        <w:spacing w:line="360" w:lineRule="exact"/>
        <w:rPr>
          <w:rFonts w:hint="cs"/>
          <w:rtl/>
          <w:lang w:bidi="ar-EG"/>
        </w:rPr>
      </w:pPr>
      <w:r>
        <w:rPr>
          <w:rFonts w:hint="cs"/>
          <w:rtl/>
        </w:rPr>
        <w:t>2-1</w:t>
      </w:r>
      <w:r>
        <w:rPr>
          <w:rFonts w:hint="cs"/>
          <w:rtl/>
        </w:rPr>
        <w:tab/>
        <w:t>يدعي صاحب الشكوى أن كان له تسعة أصدقاء يعملون لحساب أجهزة الاستخبارات الخاصة بصدام حسين ويعملون أيضاً في قصوره. وعندما قام بزيارة أحدهم في عام 1995، احتُجز نظراً لأنه تبين أن هؤلاء الأصدقاء كانوا أعضاء في الحزب الشيوعي. وتعرض صاحب الشكوى للتعذيب لكي يعترف بأنه أيضاً ينتمي إلى الحزب الشيوعي. وأعدم جميع أصدقائه التسعة وحُكم عليه هو بالسجن لمدة سبع سنوات لإخفائه معلومات عنهم. وخلال أول سنتين من السجن، تعرض صاحب الشكوى لتعذيب شديد، بما في ذلك الركل</w:t>
      </w:r>
      <w:r>
        <w:rPr>
          <w:rFonts w:hint="cs"/>
          <w:rtl/>
          <w:lang w:bidi="ar-EG"/>
        </w:rPr>
        <w:t xml:space="preserve"> في المنشعب والضرب بأسلاك كهربائية. وبعد إطلاق سراحه في شباط/فبراير 2002، بدأ يخشى من انتقام أفراد أسر الأشخاص التسعة الذين أعدموا، حيث هددوا أسرته لاعتقادهم بأنه كان مسؤولاً عما لحق بهم. وفي تشرين الثاني/نوفمبر 2002، قامت أجهزة الاستخبارات بتفتيش منزل صاحب الشكوى وعندما فر أصيب بطلق ناري في ساقه.</w:t>
      </w:r>
    </w:p>
    <w:p w:rsidR="00094E50" w:rsidRDefault="00094E50" w:rsidP="00124D43">
      <w:pPr>
        <w:pStyle w:val="SingleTxtGA"/>
        <w:spacing w:line="360" w:lineRule="exact"/>
        <w:rPr>
          <w:rFonts w:hint="cs"/>
          <w:rtl/>
        </w:rPr>
      </w:pPr>
      <w:r>
        <w:rPr>
          <w:rFonts w:hint="cs"/>
          <w:rtl/>
        </w:rPr>
        <w:t>2-2</w:t>
      </w:r>
      <w:r>
        <w:rPr>
          <w:rFonts w:hint="cs"/>
          <w:rtl/>
        </w:rPr>
        <w:tab/>
        <w:t>وفي 27 كانون الأول/ديسمبر 2002، وصل صاحب الشكوى إلى الدانمرك وقدم طلب لجوء استناداً إلى أنه سُجن لمدة سبع سنوات في العراق لأسباب سياسية، وأنه تعرض للتعذيب أثناء احتجازه ولتهديدات من أسر تسعة أصدقاء أعدموا. وفي 11 حزيران/ يونيه</w:t>
      </w:r>
      <w:r w:rsidR="00124D43">
        <w:rPr>
          <w:rFonts w:hint="eastAsia"/>
          <w:rtl/>
        </w:rPr>
        <w:t> </w:t>
      </w:r>
      <w:r>
        <w:rPr>
          <w:rFonts w:hint="cs"/>
          <w:rtl/>
        </w:rPr>
        <w:t>2004، رفض</w:t>
      </w:r>
      <w:r>
        <w:rPr>
          <w:rFonts w:hint="cs"/>
          <w:rtl/>
          <w:lang w:bidi="ar-EG"/>
        </w:rPr>
        <w:t xml:space="preserve"> مجلس طعون اللاجئين</w:t>
      </w:r>
      <w:r>
        <w:rPr>
          <w:rFonts w:hint="cs"/>
          <w:rtl/>
        </w:rPr>
        <w:t xml:space="preserve"> طلب لجوء صاحب الشكوى نظراً لأن نظام صدام حسين لم يعد في السلطة، مشيراً إلى أن الخوف من الأسر مسألة ذات طابع خاص وأن</w:t>
      </w:r>
      <w:r>
        <w:rPr>
          <w:rFonts w:hint="eastAsia"/>
          <w:rtl/>
        </w:rPr>
        <w:t> </w:t>
      </w:r>
      <w:r>
        <w:rPr>
          <w:rFonts w:hint="cs"/>
          <w:rtl/>
        </w:rPr>
        <w:t>صاحب الشكوى يمكن أن يقيم في منطقة أخرى من العراق. وفي 22 كانون الثاني/ يناير 2008، رُفض طلب صاحب الشكوى بإعادة فتح ملف الطلب استناداً إلى نفس الوقائع والمعلومات التي تفيد باستمرار التهديدات من أسر الأشخاص التسعة الذين أعدموا.</w:t>
      </w:r>
    </w:p>
    <w:p w:rsidR="00094E50" w:rsidRPr="00094E50" w:rsidRDefault="00094E50" w:rsidP="00094E50">
      <w:pPr>
        <w:pStyle w:val="SingleTxtGA"/>
        <w:spacing w:line="360" w:lineRule="exact"/>
        <w:rPr>
          <w:rFonts w:hint="cs"/>
          <w:spacing w:val="-2"/>
          <w:rtl/>
        </w:rPr>
      </w:pPr>
      <w:r w:rsidRPr="00094E50">
        <w:rPr>
          <w:rFonts w:hint="cs"/>
          <w:spacing w:val="-2"/>
          <w:rtl/>
        </w:rPr>
        <w:t>2-3</w:t>
      </w:r>
      <w:r w:rsidRPr="00094E50">
        <w:rPr>
          <w:rFonts w:hint="cs"/>
          <w:spacing w:val="-2"/>
          <w:rtl/>
        </w:rPr>
        <w:tab/>
        <w:t>وفي 31 آب/أغسطس 2009، فشلت محاولة ثانية لإعادة فتح ملف طلب لجوئه استناداً إلى تقرير صادر عن الفريق الطبي لمنظمة العفو الدولية بشأن التعذيب الذي تعرض له في الماضي. ويرد في ذلك التقرير، المؤرخ 12 شباط/فبراير 2009، وصف تفصيلي للتعذيب الذي تعرض له. ويخلص التقرير إلى أن جسد صاحب الشكوى عليه علامات تعذيب واضحة وتظهر عليه أعراض ال</w:t>
      </w:r>
      <w:r w:rsidRPr="00094E50">
        <w:rPr>
          <w:spacing w:val="-2"/>
          <w:rtl/>
        </w:rPr>
        <w:t xml:space="preserve">اضطرابات </w:t>
      </w:r>
      <w:r w:rsidRPr="00094E50">
        <w:rPr>
          <w:rFonts w:hint="cs"/>
          <w:spacing w:val="-2"/>
          <w:rtl/>
        </w:rPr>
        <w:t>ال</w:t>
      </w:r>
      <w:r w:rsidRPr="00094E50">
        <w:rPr>
          <w:spacing w:val="-2"/>
          <w:rtl/>
        </w:rPr>
        <w:t xml:space="preserve">نفسية </w:t>
      </w:r>
      <w:r w:rsidRPr="00094E50">
        <w:rPr>
          <w:rFonts w:hint="cs"/>
          <w:spacing w:val="-2"/>
          <w:rtl/>
        </w:rPr>
        <w:t>ال</w:t>
      </w:r>
      <w:r w:rsidRPr="00094E50">
        <w:rPr>
          <w:spacing w:val="-2"/>
          <w:rtl/>
        </w:rPr>
        <w:t>لاحقة للصدمات</w:t>
      </w:r>
      <w:r w:rsidRPr="00094E50">
        <w:rPr>
          <w:rFonts w:hint="cs"/>
          <w:spacing w:val="-2"/>
          <w:rtl/>
        </w:rPr>
        <w:t>. وعقب فشل محاولته الثانية لإعادة فتح ملف طلب اللجوء، لم تكن هناك سبل انتصاف أخرى أمام صاحب الشكوى.</w:t>
      </w:r>
    </w:p>
    <w:p w:rsidR="00094E50" w:rsidRDefault="00094E50" w:rsidP="00094E50">
      <w:pPr>
        <w:pStyle w:val="SingleTxtGA"/>
        <w:spacing w:line="360" w:lineRule="exact"/>
        <w:rPr>
          <w:rFonts w:hint="cs"/>
          <w:rtl/>
        </w:rPr>
      </w:pPr>
      <w:r>
        <w:rPr>
          <w:rFonts w:hint="cs"/>
          <w:rtl/>
        </w:rPr>
        <w:t>2-4</w:t>
      </w:r>
      <w:r>
        <w:rPr>
          <w:rFonts w:hint="cs"/>
          <w:rtl/>
        </w:rPr>
        <w:tab/>
        <w:t>وبعد أن</w:t>
      </w:r>
      <w:r w:rsidRPr="0093597B">
        <w:rPr>
          <w:rFonts w:hint="cs"/>
          <w:rtl/>
        </w:rPr>
        <w:t xml:space="preserve"> </w:t>
      </w:r>
      <w:r>
        <w:rPr>
          <w:rFonts w:hint="cs"/>
          <w:rtl/>
        </w:rPr>
        <w:t>رفض</w:t>
      </w:r>
      <w:r>
        <w:rPr>
          <w:rFonts w:hint="cs"/>
          <w:rtl/>
          <w:lang w:bidi="ar-EG"/>
        </w:rPr>
        <w:t xml:space="preserve"> المجلس الدانمركي لطعون اللاجئين</w:t>
      </w:r>
      <w:r>
        <w:rPr>
          <w:rFonts w:hint="cs"/>
          <w:rtl/>
        </w:rPr>
        <w:t xml:space="preserve"> أول طلب لجوء تقدم به صاحب الشكوى، تعرض أثناء الفترة 2004-2009، إلى "تدابير تحفيزية" بغرض تشجيعه على العودة الطوعية إلى العراق، بما في ذلك إنهاء البدلات والحصول على صندوق غذاء بدلاً من نقود لشراء الغذاء والتنقل بين مراكز طالبي اللجوء وتكرار مطالبته بمراجعة شرطة الهجرة. وفي الفترة نفسها، 2004-2009، تدهورت صحة صاحب الشكوى، حسبما أكدت ذلك تقارير</w:t>
      </w:r>
      <w:r>
        <w:rPr>
          <w:rFonts w:hint="cs"/>
          <w:rtl/>
          <w:lang w:bidi="ar-EG"/>
        </w:rPr>
        <w:t xml:space="preserve"> الحالة</w:t>
      </w:r>
      <w:r>
        <w:rPr>
          <w:rFonts w:hint="cs"/>
          <w:rtl/>
        </w:rPr>
        <w:t xml:space="preserve"> النفسية والطبية ذات الصلة الصادرة في 13 نيسان/أبريل 2004 و12 شباط/فبراير 2009 و6 تموز/يوليه 2009 و7 أيلول/سبتمبر 2009.</w:t>
      </w:r>
    </w:p>
    <w:p w:rsidR="00094E50" w:rsidRDefault="00094E50" w:rsidP="00094E50">
      <w:pPr>
        <w:pStyle w:val="SingleTxtGA"/>
        <w:rPr>
          <w:rFonts w:hint="cs"/>
          <w:rtl/>
        </w:rPr>
      </w:pPr>
      <w:r>
        <w:rPr>
          <w:rFonts w:hint="cs"/>
          <w:rtl/>
        </w:rPr>
        <w:t>2-5</w:t>
      </w:r>
      <w:r>
        <w:rPr>
          <w:rFonts w:hint="cs"/>
          <w:rtl/>
        </w:rPr>
        <w:tab/>
        <w:t>وفي 13 أيار/مايو 2009، وقعّت الدولة الطرف على مذكرة تفاهم مع حكومة العراق تتعلق بعودة ملتمسي اللجوء الذين رفضت طلباتهم، وتولي المذكرة الأولوية لحالات العودة الطوعية، ولكنها شملت أيضاً حالات العودة القسرية. وفي 18 حزيران/يونيه 2009، احتجز صاحب الشكوى في مؤسسة إليبايك لملتمسي اللجوء</w:t>
      </w:r>
      <w:r w:rsidRPr="00D60CFF">
        <w:rPr>
          <w:rFonts w:hint="cs"/>
          <w:rtl/>
        </w:rPr>
        <w:t xml:space="preserve"> </w:t>
      </w:r>
      <w:r>
        <w:rPr>
          <w:rFonts w:hint="cs"/>
          <w:rtl/>
        </w:rPr>
        <w:t xml:space="preserve">المحتجزين. وأثناء إقامته في مركز </w:t>
      </w:r>
      <w:r>
        <w:rPr>
          <w:rtl/>
        </w:rPr>
        <w:t>إليبايك</w:t>
      </w:r>
      <w:r w:rsidRPr="006D31D3">
        <w:rPr>
          <w:rtl/>
        </w:rPr>
        <w:t xml:space="preserve"> </w:t>
      </w:r>
      <w:r>
        <w:rPr>
          <w:rFonts w:hint="cs"/>
          <w:rtl/>
        </w:rPr>
        <w:t xml:space="preserve">للاحتجاز، شهد صاحب الشكوى حالتين تم فيهما إيقاظ ملتمسي لجوء رفضت طلباتهم من النوم في منتصف الليل ونقلوا بالقوة على رحلة طيران إلى بغداد مما بعث في نفسه الخوف وذكّره بالتعذيب الذي تعرض له في العراق. </w:t>
      </w:r>
    </w:p>
    <w:p w:rsidR="00094E50" w:rsidRDefault="00094E50" w:rsidP="00094E50">
      <w:pPr>
        <w:pStyle w:val="SingleTxtGA"/>
        <w:rPr>
          <w:rFonts w:hint="cs"/>
          <w:rtl/>
        </w:rPr>
      </w:pPr>
      <w:r>
        <w:rPr>
          <w:rFonts w:hint="cs"/>
          <w:rtl/>
        </w:rPr>
        <w:t>2-6</w:t>
      </w:r>
      <w:r>
        <w:rPr>
          <w:rFonts w:hint="cs"/>
          <w:rtl/>
        </w:rPr>
        <w:tab/>
        <w:t>وفي 5 آب/أغسطس 2009، قدمت الطبيبة إنجي غينيفكي</w:t>
      </w:r>
      <w:r w:rsidRPr="00392AE3">
        <w:rPr>
          <w:rFonts w:hint="cs"/>
          <w:vertAlign w:val="superscript"/>
          <w:rtl/>
        </w:rPr>
        <w:t>(</w:t>
      </w:r>
      <w:r>
        <w:rPr>
          <w:rStyle w:val="FootnoteReference"/>
          <w:rtl/>
        </w:rPr>
        <w:footnoteReference w:id="70"/>
      </w:r>
      <w:r>
        <w:rPr>
          <w:rFonts w:hint="cs"/>
          <w:vertAlign w:val="superscript"/>
          <w:rtl/>
        </w:rPr>
        <w:t>)</w:t>
      </w:r>
      <w:r w:rsidRPr="00272756">
        <w:rPr>
          <w:rFonts w:hint="cs"/>
          <w:rtl/>
        </w:rPr>
        <w:t xml:space="preserve"> </w:t>
      </w:r>
      <w:r>
        <w:rPr>
          <w:rFonts w:hint="cs"/>
          <w:rtl/>
        </w:rPr>
        <w:t>والطبيب بينت سورينسن</w:t>
      </w:r>
      <w:r w:rsidRPr="00272756">
        <w:rPr>
          <w:rFonts w:hint="cs"/>
          <w:vertAlign w:val="superscript"/>
          <w:rtl/>
        </w:rPr>
        <w:t>(</w:t>
      </w:r>
      <w:r>
        <w:rPr>
          <w:rStyle w:val="FootnoteReference"/>
          <w:rtl/>
        </w:rPr>
        <w:footnoteReference w:id="71"/>
      </w:r>
      <w:r>
        <w:rPr>
          <w:rFonts w:hint="cs"/>
          <w:vertAlign w:val="superscript"/>
          <w:rtl/>
        </w:rPr>
        <w:t>)</w:t>
      </w:r>
      <w:r>
        <w:rPr>
          <w:rFonts w:hint="cs"/>
          <w:rtl/>
        </w:rPr>
        <w:t xml:space="preserve"> شكوى وطلباً لإجراء تحقيق إلى الشرطة </w:t>
      </w:r>
      <w:r>
        <w:rPr>
          <w:rFonts w:hint="cs"/>
          <w:rtl/>
          <w:lang w:bidi="ar-EG"/>
        </w:rPr>
        <w:t>الدانمركية، يدعيان فيه حدوث انتهاك للفقرة 1 من المادة 16 والمادة 12 فيما يتعلق باحتجاز صاحب الشكوى وللفقرة 1 من المادة</w:t>
      </w:r>
      <w:r>
        <w:rPr>
          <w:rFonts w:hint="eastAsia"/>
          <w:rtl/>
          <w:lang w:bidi="ar-EG"/>
        </w:rPr>
        <w:t> </w:t>
      </w:r>
      <w:r>
        <w:rPr>
          <w:rFonts w:hint="cs"/>
          <w:rtl/>
          <w:lang w:bidi="ar-EG"/>
        </w:rPr>
        <w:t xml:space="preserve">3 من الاتفاقية في حالة ترحيل صاحب الشكوى إلى العراق، وادعيا تعرض صاحب الشكوى لمعاملة لا إنسانية في انتهاك للمادة 16 عن طريق وضعه في الاحتجاز منذ 18 حزيران/يونيه 2009 على الرغم من أنه كان ضحية للتعذيب. وطلب الطبيبان إلى السلطات إجراء تحقيق في احتجاز صاحب الشكوى عملاً بالمادة 12 من الاتفاقية. وأحالت الشرطة الشكوى إلى المدعي العام للدولة، فأحالها إلى </w:t>
      </w:r>
      <w:r w:rsidRPr="008C681C">
        <w:rPr>
          <w:rtl/>
          <w:lang w:bidi="ar-EG"/>
        </w:rPr>
        <w:t>دائرة الهجرة</w:t>
      </w:r>
      <w:r>
        <w:rPr>
          <w:rFonts w:hint="cs"/>
          <w:rtl/>
          <w:lang w:bidi="ar-EG"/>
        </w:rPr>
        <w:t xml:space="preserve">. </w:t>
      </w:r>
    </w:p>
    <w:p w:rsidR="00094E50" w:rsidRDefault="00094E50" w:rsidP="00094E50">
      <w:pPr>
        <w:pStyle w:val="SingleTxtGA"/>
        <w:rPr>
          <w:rFonts w:hint="cs"/>
          <w:rtl/>
        </w:rPr>
      </w:pPr>
      <w:r>
        <w:rPr>
          <w:rFonts w:hint="cs"/>
          <w:rtl/>
        </w:rPr>
        <w:t>2-7</w:t>
      </w:r>
      <w:r>
        <w:rPr>
          <w:rFonts w:hint="cs"/>
          <w:rtl/>
        </w:rPr>
        <w:tab/>
        <w:t>وكتدبير تأديبي عقب اضطرابات بين مجموعة من ملتمسي اللجوء وأفراد قوة مركز</w:t>
      </w:r>
      <w:r>
        <w:rPr>
          <w:rFonts w:hint="eastAsia"/>
          <w:rtl/>
        </w:rPr>
        <w:t> </w:t>
      </w:r>
      <w:r>
        <w:rPr>
          <w:rFonts w:hint="cs"/>
          <w:rtl/>
        </w:rPr>
        <w:t>إليبايك للاحتجاز، وضع صاحب الشكوى في حبس انفرادي في سجن فيستري من</w:t>
      </w:r>
      <w:r>
        <w:rPr>
          <w:rFonts w:hint="eastAsia"/>
          <w:rtl/>
        </w:rPr>
        <w:t> </w:t>
      </w:r>
      <w:r>
        <w:rPr>
          <w:rFonts w:hint="cs"/>
          <w:rtl/>
        </w:rPr>
        <w:t xml:space="preserve">9 إلى 10 آب/أغسطس 2009، واستمر عزله لمدة يومين آخرين عقب نقله مرة أخرى إلى مركز </w:t>
      </w:r>
      <w:r>
        <w:rPr>
          <w:rtl/>
        </w:rPr>
        <w:t>إليبايك</w:t>
      </w:r>
      <w:r>
        <w:rPr>
          <w:rFonts w:hint="cs"/>
          <w:rtl/>
        </w:rPr>
        <w:t xml:space="preserve"> للاحتجاز. وأثناء عزل صاحب الشكوى، تدهورت حالته النفسية. </w:t>
      </w:r>
    </w:p>
    <w:p w:rsidR="00094E50" w:rsidRPr="006D31D3" w:rsidRDefault="00094E50" w:rsidP="00094E50">
      <w:pPr>
        <w:pStyle w:val="SingleTxtGA"/>
        <w:rPr>
          <w:sz w:val="22"/>
          <w:szCs w:val="32"/>
          <w:lang w:val="en-CA"/>
        </w:rPr>
      </w:pPr>
      <w:r>
        <w:rPr>
          <w:rFonts w:hint="cs"/>
          <w:rtl/>
        </w:rPr>
        <w:t>2-8</w:t>
      </w:r>
      <w:r>
        <w:rPr>
          <w:rFonts w:hint="cs"/>
          <w:rtl/>
        </w:rPr>
        <w:tab/>
        <w:t xml:space="preserve">وفي 1 أيلول/سبتمبر 2009، طلبت </w:t>
      </w:r>
      <w:r w:rsidRPr="006D31D3">
        <w:rPr>
          <w:rtl/>
        </w:rPr>
        <w:t>وزارة شؤون اللاجئين والهجرة والإدماج،</w:t>
      </w:r>
      <w:r>
        <w:rPr>
          <w:rFonts w:hint="cs"/>
          <w:rtl/>
        </w:rPr>
        <w:t xml:space="preserve"> التي فحصت طلب صاحب الشكوى بشأن الحصول على تصريح إقامة لأسباب إنسانية</w:t>
      </w:r>
      <w:r w:rsidRPr="00CB669B">
        <w:rPr>
          <w:rFonts w:hint="cs"/>
          <w:vertAlign w:val="superscript"/>
          <w:rtl/>
        </w:rPr>
        <w:t>(</w:t>
      </w:r>
      <w:r>
        <w:rPr>
          <w:rStyle w:val="FootnoteReference"/>
          <w:rtl/>
        </w:rPr>
        <w:footnoteReference w:id="72"/>
      </w:r>
      <w:r>
        <w:rPr>
          <w:rFonts w:hint="cs"/>
          <w:vertAlign w:val="superscript"/>
          <w:rtl/>
        </w:rPr>
        <w:t>)</w:t>
      </w:r>
      <w:r>
        <w:rPr>
          <w:rFonts w:hint="cs"/>
          <w:rtl/>
        </w:rPr>
        <w:t xml:space="preserve">، توضيحاً للشهادات الطبية الصادرة عن الدكتور أوستيرغارد في 28 آب/أغسطس دعماً لادعاء صاحب الشكوى الذي يفيد بأن حبسه الانفرادي يشكل تعذيباً. غير أن صاحب الشكوى رُحّل إلى العراق بصورة غير متوقعة في 2 أيلول/سبتمبر 2009. </w:t>
      </w:r>
    </w:p>
    <w:p w:rsidR="00094E50" w:rsidRDefault="00094E50" w:rsidP="00094E50">
      <w:pPr>
        <w:pStyle w:val="SingleTxtGA"/>
        <w:rPr>
          <w:rFonts w:hint="cs"/>
          <w:rtl/>
        </w:rPr>
      </w:pPr>
      <w:r>
        <w:rPr>
          <w:rFonts w:hint="cs"/>
          <w:rtl/>
        </w:rPr>
        <w:t>2-9</w:t>
      </w:r>
      <w:r>
        <w:rPr>
          <w:rFonts w:hint="cs"/>
          <w:rtl/>
        </w:rPr>
        <w:tab/>
        <w:t xml:space="preserve">ويتصل محامي صاحب الشكوى بموكله من خلال زوجة موكله التي تقيم في الدانمرك. وتفيد زوجة صاحب الشكوى بأن صاحب الشكوى يعيش في مخبأ بالقرب من الموصل بالعراق. وتدعي أيضاً أن صاحب الشكوى احتجز فور وصوله إلى بغداد لمدة 27 ساعة تقريباً وعليه أن يحضر بصفة دورية إلى شرطة المطار، التي لا تزال تحتفظ بوثائقه الأصلية. وبعد وصول صاحب الشكوى، تلقى تهديدات جديدة من أسر أصدقائه التسعة الذين أعدموا. </w:t>
      </w:r>
    </w:p>
    <w:p w:rsidR="00094E50" w:rsidRPr="009468C2" w:rsidRDefault="00094E50" w:rsidP="00094E50">
      <w:pPr>
        <w:pStyle w:val="H23GA"/>
        <w:rPr>
          <w:rFonts w:hint="cs"/>
          <w:rtl/>
          <w:lang w:val="fr-CH"/>
        </w:rPr>
      </w:pPr>
      <w:r w:rsidRPr="009468C2">
        <w:rPr>
          <w:rFonts w:hint="cs"/>
          <w:rtl/>
          <w:lang w:val="fr-CH"/>
        </w:rPr>
        <w:tab/>
      </w:r>
      <w:r w:rsidRPr="009468C2">
        <w:rPr>
          <w:rFonts w:hint="cs"/>
          <w:rtl/>
          <w:lang w:val="fr-CH"/>
        </w:rPr>
        <w:tab/>
        <w:t>الشكوى</w:t>
      </w:r>
    </w:p>
    <w:p w:rsidR="00094E50" w:rsidRDefault="00094E50" w:rsidP="00094E50">
      <w:pPr>
        <w:pStyle w:val="SingleTxtGA"/>
        <w:rPr>
          <w:rFonts w:hint="cs"/>
          <w:rtl/>
          <w:lang w:val="fr-CH"/>
        </w:rPr>
      </w:pPr>
      <w:r>
        <w:rPr>
          <w:rFonts w:hint="cs"/>
          <w:rtl/>
          <w:lang w:val="fr-CH"/>
        </w:rPr>
        <w:t>3-1</w:t>
      </w:r>
      <w:r>
        <w:rPr>
          <w:rFonts w:hint="cs"/>
          <w:rtl/>
          <w:lang w:val="fr-CH"/>
        </w:rPr>
        <w:tab/>
        <w:t xml:space="preserve">يدعي صاحب الشكوى أن احتجازه، كملتمس لجوء رفض طلبه، وانتظاره الترحيل في مركز </w:t>
      </w:r>
      <w:r>
        <w:rPr>
          <w:rtl/>
          <w:lang w:val="fr-CH"/>
        </w:rPr>
        <w:t>إليبايك</w:t>
      </w:r>
      <w:r w:rsidRPr="00256ECB">
        <w:rPr>
          <w:rtl/>
          <w:lang w:val="fr-CH"/>
        </w:rPr>
        <w:t xml:space="preserve"> للاحتجاز</w:t>
      </w:r>
      <w:r>
        <w:rPr>
          <w:rFonts w:hint="cs"/>
          <w:rtl/>
          <w:lang w:val="fr-CH"/>
        </w:rPr>
        <w:t xml:space="preserve"> من 18 حزيران/يونيه 2009 إلى 2 أيلول/سبتمبر 2009 بما في ذلك وضعه لمدة يومين في الحبس الانفرادي في سجن فيستري، يشكل انتهاكاً للفقرة 1 من المادة 16 والمادة 2 من الاتفاقية بالنظر إلى أنه تسبب في تذكيره بما تعرض له من تجارب قاسية أثناء سجنه لمدة سبع سنوات في العراق تعرض خلالها للتعذيب بصفة دورية، مما أدى إلى تجدد معاناته العقلية.</w:t>
      </w:r>
    </w:p>
    <w:p w:rsidR="00094E50" w:rsidRDefault="00094E50" w:rsidP="00A64097">
      <w:pPr>
        <w:pStyle w:val="SingleTxtGA"/>
        <w:rPr>
          <w:rFonts w:hint="cs"/>
          <w:rtl/>
          <w:lang w:val="fr-CH"/>
        </w:rPr>
      </w:pPr>
      <w:r>
        <w:rPr>
          <w:rFonts w:hint="cs"/>
          <w:rtl/>
          <w:lang w:val="fr-CH"/>
        </w:rPr>
        <w:t>3-2</w:t>
      </w:r>
      <w:r>
        <w:rPr>
          <w:rFonts w:hint="cs"/>
          <w:rtl/>
          <w:lang w:val="fr-CH"/>
        </w:rPr>
        <w:tab/>
        <w:t xml:space="preserve">ويدعي صاحب الشكوى كذلك أنه ضحية انتهاك الدولة الطرف للمادة 12 من الاتفاقية لعدم إجراء الدولة الطرف تحقيقاً سليماً في الانتهاكات المزعومة للمادتين 16 و2 من الاتفاقية. ويشدد صاحب الشكوى على أن هذه المسألة تؤكدها حقيقة ترحيله بصورة غير متوقعة من الدانمرك في 2 أيلول/سبتمبر 2009، قبل أن تستلم الدولة الطرف التقرير الطبي الأخير. </w:t>
      </w:r>
    </w:p>
    <w:p w:rsidR="00094E50" w:rsidRDefault="00094E50" w:rsidP="00A64097">
      <w:pPr>
        <w:pStyle w:val="SingleTxtGA"/>
        <w:rPr>
          <w:rFonts w:hint="cs"/>
          <w:rtl/>
          <w:lang w:val="fr-CH"/>
        </w:rPr>
      </w:pPr>
      <w:r>
        <w:rPr>
          <w:rFonts w:hint="cs"/>
          <w:rtl/>
          <w:lang w:val="fr-CH"/>
        </w:rPr>
        <w:t>3-3</w:t>
      </w:r>
      <w:r>
        <w:rPr>
          <w:rFonts w:hint="cs"/>
          <w:rtl/>
          <w:lang w:val="fr-CH"/>
        </w:rPr>
        <w:tab/>
        <w:t xml:space="preserve">ويدعي صاحب الشكوى أنه ينبغي اعتبار أن سبل الانتصاف المحلية قد استنفدت بالنظر إلى أنه تم إرسال طلب يشير إلى التحقيق بموجب المادة 12 إلى الشرطة، فأحالته إلى المدعي العام للدولة ونقله المدعي العام إلى دائرة الهجرة. غير أن صاحب الشكوى رُحّل رغماً عنه قبل بداية التحقيق، مما جعل من المستحيل إجراء التحقيق. </w:t>
      </w:r>
    </w:p>
    <w:p w:rsidR="00094E50" w:rsidRDefault="00094E50" w:rsidP="00A64097">
      <w:pPr>
        <w:pStyle w:val="SingleTxtGA"/>
        <w:rPr>
          <w:rFonts w:hint="cs"/>
          <w:rtl/>
          <w:lang w:val="fr-CH"/>
        </w:rPr>
      </w:pPr>
      <w:r>
        <w:rPr>
          <w:rFonts w:hint="cs"/>
          <w:rtl/>
          <w:lang w:val="fr-CH"/>
        </w:rPr>
        <w:t>3-4</w:t>
      </w:r>
      <w:r>
        <w:rPr>
          <w:rFonts w:hint="cs"/>
          <w:rtl/>
          <w:lang w:val="fr-CH"/>
        </w:rPr>
        <w:tab/>
        <w:t xml:space="preserve">وبالإضافة إلى ذلك، يدعي صاحب الشكوى أن ترحيله يشكل انتهاكاً من جانب الدانمرك للفقرة 1 من المادة 3 من الاتفاقية، بالنظر إلى أنه تعرض للتعذيب وسوء المعاملة في العراق في عام 2005 وأنه سيتعرض لتهديدات من أسر الأصدقاء التسعة الذين أعدموا في عام 1995. </w:t>
      </w:r>
    </w:p>
    <w:p w:rsidR="00094E50" w:rsidRDefault="00094E50" w:rsidP="00A64097">
      <w:pPr>
        <w:pStyle w:val="H23GA"/>
        <w:rPr>
          <w:rFonts w:hint="cs"/>
          <w:rtl/>
          <w:lang w:val="fr-CH"/>
        </w:rPr>
      </w:pPr>
      <w:r>
        <w:rPr>
          <w:rFonts w:hint="cs"/>
          <w:rtl/>
          <w:lang w:val="fr-CH"/>
        </w:rPr>
        <w:tab/>
      </w:r>
      <w:r>
        <w:rPr>
          <w:rFonts w:hint="cs"/>
          <w:rtl/>
          <w:lang w:val="fr-CH"/>
        </w:rPr>
        <w:tab/>
        <w:t xml:space="preserve">ملاحظات الدولة الطرف بشأن </w:t>
      </w:r>
      <w:r w:rsidR="00A64097">
        <w:rPr>
          <w:rFonts w:hint="cs"/>
          <w:rtl/>
          <w:lang w:val="fr-CH"/>
        </w:rPr>
        <w:t>ال</w:t>
      </w:r>
      <w:r>
        <w:rPr>
          <w:rFonts w:hint="cs"/>
          <w:rtl/>
          <w:lang w:val="fr-CH"/>
        </w:rPr>
        <w:t xml:space="preserve">مقبولية </w:t>
      </w:r>
      <w:r w:rsidR="00A64097">
        <w:rPr>
          <w:rFonts w:hint="cs"/>
          <w:rtl/>
          <w:lang w:val="fr-CH"/>
        </w:rPr>
        <w:t xml:space="preserve">والأسس </w:t>
      </w:r>
      <w:r>
        <w:rPr>
          <w:rFonts w:hint="cs"/>
          <w:rtl/>
          <w:lang w:val="fr-CH"/>
        </w:rPr>
        <w:t>الموضوعية</w:t>
      </w:r>
    </w:p>
    <w:p w:rsidR="00094E50" w:rsidRDefault="00094E50" w:rsidP="00A64097">
      <w:pPr>
        <w:pStyle w:val="SingleTxtGA"/>
        <w:rPr>
          <w:rFonts w:hint="cs"/>
          <w:rtl/>
          <w:lang w:val="fr-CH"/>
        </w:rPr>
      </w:pPr>
      <w:r>
        <w:rPr>
          <w:rFonts w:hint="cs"/>
          <w:rtl/>
          <w:lang w:val="fr-CH"/>
        </w:rPr>
        <w:t>4-1</w:t>
      </w:r>
      <w:r>
        <w:rPr>
          <w:rFonts w:hint="cs"/>
          <w:rtl/>
          <w:lang w:val="fr-CH"/>
        </w:rPr>
        <w:tab/>
        <w:t>قدمت الدولة الطرف، في 26 آب/أغسطس 2010، ملاحظاتها فيما يتعلق بكل من مقبولية بلاغ صاحب الشكوى وأسسه الموضوعية. وتدعي الدولة الطرف في ملاحظاتها</w:t>
      </w:r>
      <w:r>
        <w:rPr>
          <w:rFonts w:hint="eastAsia"/>
          <w:rtl/>
          <w:lang w:val="fr-CH"/>
        </w:rPr>
        <w:t> </w:t>
      </w:r>
      <w:r>
        <w:rPr>
          <w:rFonts w:hint="cs"/>
          <w:rtl/>
          <w:lang w:val="fr-CH"/>
        </w:rPr>
        <w:t>أنه ينبغي إعلان الشكوى غير مقبولة، أو كإجراء بديل، عدم حدوث أي انتهاك لأحكام الاتفاقية.</w:t>
      </w:r>
    </w:p>
    <w:p w:rsidR="00094E50" w:rsidRDefault="00094E50" w:rsidP="00094E50">
      <w:pPr>
        <w:pStyle w:val="SingleTxtGA"/>
        <w:rPr>
          <w:rFonts w:hint="cs"/>
          <w:rtl/>
          <w:lang w:val="fr-CH"/>
        </w:rPr>
      </w:pPr>
      <w:r>
        <w:rPr>
          <w:rFonts w:hint="cs"/>
          <w:rtl/>
          <w:lang w:val="fr-CH"/>
        </w:rPr>
        <w:t>4-2</w:t>
      </w:r>
      <w:r>
        <w:rPr>
          <w:rFonts w:hint="cs"/>
          <w:rtl/>
          <w:lang w:val="fr-CH"/>
        </w:rPr>
        <w:tab/>
        <w:t>وتشير الدولة الطرف إلى أن صاحب الشكوى دخل الدانمرك في 27 كانون الأول/ديسمبر 2002 وقدم طلب لجوء، مشيراً إلى أنه احتجز في العراق منذ عام 1995 حتى شباط/فبراير 2002 وتعرض للتعذيب؛ وأنه فر من منزله في تشرين الثاني/نوفمبر 2002 عندما كانت السلطات العراقية تبحث عنه؛ وأنه يخشى من الانتقام</w:t>
      </w:r>
      <w:r w:rsidRPr="005E2205">
        <w:rPr>
          <w:rFonts w:hint="cs"/>
          <w:rtl/>
          <w:lang w:val="fr-CH"/>
        </w:rPr>
        <w:t xml:space="preserve"> </w:t>
      </w:r>
      <w:r>
        <w:rPr>
          <w:rFonts w:hint="cs"/>
          <w:rtl/>
          <w:lang w:val="fr-CH"/>
        </w:rPr>
        <w:t>في حالة عودته إلى بلده الأصلي، وخاصة من ثلاث أسر لزملائه المسجونين الذين أعدموا.</w:t>
      </w:r>
    </w:p>
    <w:p w:rsidR="00094E50" w:rsidRDefault="00094E50" w:rsidP="00124D43">
      <w:pPr>
        <w:pStyle w:val="SingleTxtGA"/>
        <w:rPr>
          <w:rFonts w:hint="cs"/>
          <w:rtl/>
          <w:lang w:val="fr-CH"/>
        </w:rPr>
      </w:pPr>
      <w:r>
        <w:rPr>
          <w:rFonts w:hint="cs"/>
          <w:rtl/>
          <w:lang w:val="fr-CH"/>
        </w:rPr>
        <w:t>4-3</w:t>
      </w:r>
      <w:r>
        <w:rPr>
          <w:rFonts w:hint="cs"/>
          <w:rtl/>
          <w:lang w:val="fr-CH"/>
        </w:rPr>
        <w:tab/>
        <w:t>ورفضت دائرة الهجرة الدانمركية طلب لجوء صاحب الشكوى في 10 آذار/ مارس</w:t>
      </w:r>
      <w:r w:rsidR="00124D43">
        <w:rPr>
          <w:rFonts w:hint="eastAsia"/>
          <w:rtl/>
          <w:lang w:val="fr-CH"/>
        </w:rPr>
        <w:t> </w:t>
      </w:r>
      <w:r>
        <w:rPr>
          <w:rFonts w:hint="cs"/>
          <w:rtl/>
          <w:lang w:val="fr-CH"/>
        </w:rPr>
        <w:t>2004 بدافع أن تعرضه لاعتداءات جسدية لا يبرر في حد ذاته اللجوء، نظراً لأن النظام العراقي السابق لم يعد في السلطة في العراق ولا يخشى معارضو النظام العراقي السابق من الاضطهاد عقب عودتهم إلى العراق</w:t>
      </w:r>
      <w:r w:rsidRPr="005E62DA">
        <w:rPr>
          <w:rFonts w:hint="cs"/>
          <w:vertAlign w:val="superscript"/>
          <w:rtl/>
          <w:lang w:val="fr-CH"/>
        </w:rPr>
        <w:t>(</w:t>
      </w:r>
      <w:r>
        <w:rPr>
          <w:rStyle w:val="FootnoteReference"/>
          <w:rtl/>
          <w:lang w:val="fr-CH"/>
        </w:rPr>
        <w:footnoteReference w:id="73"/>
      </w:r>
      <w:r>
        <w:rPr>
          <w:rFonts w:hint="cs"/>
          <w:vertAlign w:val="superscript"/>
          <w:rtl/>
          <w:lang w:val="fr-CH"/>
        </w:rPr>
        <w:t>)</w:t>
      </w:r>
      <w:r>
        <w:rPr>
          <w:rFonts w:hint="cs"/>
          <w:rtl/>
          <w:lang w:val="fr-CH"/>
        </w:rPr>
        <w:t>. وحتى إذا أقرت دائرة الهجرة الدانمركية بأن أسر المساجين زملاء صاحب الشكوى يمكن أن تبحث عنه، فإن ذلك لا يبرر اللجوء نظراً لأنه لا</w:t>
      </w:r>
      <w:r>
        <w:rPr>
          <w:rFonts w:hint="eastAsia"/>
          <w:rtl/>
          <w:lang w:val="fr-CH"/>
        </w:rPr>
        <w:t> </w:t>
      </w:r>
      <w:r>
        <w:rPr>
          <w:rFonts w:hint="cs"/>
          <w:rtl/>
          <w:lang w:val="fr-CH"/>
        </w:rPr>
        <w:t>توجد قيود على السفر في العراق وبالتالي يمكن أن يقيم صاحب الشكوى في مكان آخر بالعراق، إذا لم يكن يريد الإقامة في منطقته الأصلية. وأخيراً، خلصت دائرة الهجرة الدانمركية إلى أن الوضع في العراق لا يبرر اللجوء، على الرغم من أنه غير آمن عموماً.</w:t>
      </w:r>
    </w:p>
    <w:p w:rsidR="00094E50" w:rsidRDefault="00094E50" w:rsidP="00094E50">
      <w:pPr>
        <w:pStyle w:val="SingleTxtGA"/>
        <w:spacing w:line="360" w:lineRule="exact"/>
        <w:rPr>
          <w:rFonts w:hint="cs"/>
          <w:rtl/>
          <w:lang w:val="fr-CH"/>
        </w:rPr>
      </w:pPr>
      <w:r>
        <w:rPr>
          <w:rFonts w:hint="cs"/>
          <w:rtl/>
          <w:lang w:val="fr-CH"/>
        </w:rPr>
        <w:t>4-4</w:t>
      </w:r>
      <w:r>
        <w:rPr>
          <w:rFonts w:hint="cs"/>
          <w:rtl/>
          <w:lang w:val="fr-CH"/>
        </w:rPr>
        <w:tab/>
        <w:t xml:space="preserve">وتقول الدولة الطرف إنها تقبل ما أفاد به صاحب الشكوى من أن السلطات العراقية السابقة سجنته في عام 1995 نتيجة لصداقته بعدد من أعضاء جهاز الأمن الخاص في القصر الرئاسي الذين كانوا أعضاء في الحزب الشيوعي. وأثناء إلقاء القبض على صاحب الشكوى، حاولت أجهزة الاستخبارات انتزاع اعتراف منه يفيد بأنه كان أيضاً عضواً في الحزب الشيوعي. وأثناء المحاكمة أمام محكمة خاصة، حُكم على أصدقاء صاحب الشكوى بالإعدام وأعدموا في وقت لاحق، بينما حُكم عليه بالسجن لمدة سبع سنوات. وتعرض صاحب الشكوى للتعذيب أثناء وجوده في السجن، حسبما تبين ذلك الجروح والإصابات الدائمة. وعقب إطلاق سراحه في شباط/فبراير 2002، وضع صاحب الشكوى تحت المراقبة. وبعد تفتيش أجهزة الاستخبارات لمنزله في إحدى الليالي، ترك صاحب الشكوى بغداد في 18 تشرين الثاني/نوفمبر 2002. وألقي القبض على زوجة صاحب الشكوى في كانون الأول/ديسمبر 2002 واحتجزت لمدة شهرين. </w:t>
      </w:r>
    </w:p>
    <w:p w:rsidR="00094E50" w:rsidRDefault="00094E50" w:rsidP="00094E50">
      <w:pPr>
        <w:pStyle w:val="SingleTxtGA"/>
        <w:spacing w:line="360" w:lineRule="exact"/>
        <w:rPr>
          <w:rFonts w:hint="cs"/>
          <w:rtl/>
          <w:lang w:val="fr-CH"/>
        </w:rPr>
      </w:pPr>
      <w:r>
        <w:rPr>
          <w:rFonts w:hint="cs"/>
          <w:rtl/>
          <w:lang w:val="fr-CH"/>
        </w:rPr>
        <w:t>4-5</w:t>
      </w:r>
      <w:r>
        <w:rPr>
          <w:rFonts w:hint="cs"/>
          <w:rtl/>
          <w:lang w:val="fr-CH"/>
        </w:rPr>
        <w:tab/>
        <w:t>وبالإضافة إلى ذلك، هددت أسر الأصدقاء الذين أعدموا أسرة صاحب الشكوى بعد سقوط نظام صدام حسين. والمتلقون الرئيسيون للتهديدات، بما في ذلك التهديدات بالقتل، هم أفراد أسرة زوجة صاحب الشكوى، وخاصة شقيقها. وكانت الأسر قد</w:t>
      </w:r>
      <w:r>
        <w:rPr>
          <w:rFonts w:hint="eastAsia"/>
          <w:rtl/>
          <w:lang w:val="fr-CH"/>
        </w:rPr>
        <w:t> </w:t>
      </w:r>
      <w:r>
        <w:rPr>
          <w:rFonts w:hint="cs"/>
          <w:rtl/>
          <w:lang w:val="fr-CH"/>
        </w:rPr>
        <w:t>استفسرت عما حدث أثناء المحاكمة التي حُكم فيها على أصدقاء صاحب الشكوى بالإعدام. وبما أنه لم تكن هناك أي أدلة متاحة من المحكمة، لم يستطع صاحب الشكوى إثبات أنه لم</w:t>
      </w:r>
      <w:r>
        <w:rPr>
          <w:rFonts w:hint="eastAsia"/>
          <w:rtl/>
          <w:lang w:val="fr-CH"/>
        </w:rPr>
        <w:t> </w:t>
      </w:r>
      <w:r>
        <w:rPr>
          <w:rFonts w:hint="cs"/>
          <w:rtl/>
          <w:lang w:val="fr-CH"/>
        </w:rPr>
        <w:t xml:space="preserve">يكن له يد في وفاتهم. ويخشى صاحب الشكوى من انتقام أفراد أسر الأشخاص التسعة الذين أعدموا إذا عاد إلى العراق. </w:t>
      </w:r>
    </w:p>
    <w:p w:rsidR="00094E50" w:rsidRDefault="00094E50" w:rsidP="00094E50">
      <w:pPr>
        <w:pStyle w:val="SingleTxtGA"/>
        <w:spacing w:line="360" w:lineRule="exact"/>
        <w:rPr>
          <w:rFonts w:hint="cs"/>
          <w:rtl/>
          <w:lang w:val="fr-CH"/>
        </w:rPr>
      </w:pPr>
      <w:r>
        <w:rPr>
          <w:rFonts w:hint="cs"/>
          <w:rtl/>
          <w:lang w:val="fr-CH"/>
        </w:rPr>
        <w:t>4-6</w:t>
      </w:r>
      <w:r>
        <w:rPr>
          <w:rFonts w:hint="cs"/>
          <w:rtl/>
          <w:lang w:val="fr-CH"/>
        </w:rPr>
        <w:tab/>
        <w:t xml:space="preserve">وخلص مجلس طعون اللاجئين في قراره الصادر 11 حزيران/يونيه 2004، إلى أن احتجاز صاحب الشكوى وتفتيش منزله في تشرين الثاني/نوفمبر 2002 لا يبرران منحه حق اللجوء في عام 2004. وفيما يتصل بذلك، شدد المجلس على أن نظام صدام حسين لم يعد في السلطة في العراق. </w:t>
      </w:r>
    </w:p>
    <w:p w:rsidR="00094E50" w:rsidRDefault="00094E50" w:rsidP="00094E50">
      <w:pPr>
        <w:pStyle w:val="SingleTxtGA"/>
        <w:spacing w:line="360" w:lineRule="exact"/>
        <w:rPr>
          <w:rFonts w:hint="cs"/>
          <w:rtl/>
          <w:lang w:val="fr-CH"/>
        </w:rPr>
      </w:pPr>
      <w:r>
        <w:rPr>
          <w:rFonts w:hint="cs"/>
          <w:rtl/>
          <w:lang w:val="fr-CH"/>
        </w:rPr>
        <w:t>4-7</w:t>
      </w:r>
      <w:r>
        <w:rPr>
          <w:rFonts w:hint="cs"/>
          <w:rtl/>
          <w:lang w:val="fr-CH"/>
        </w:rPr>
        <w:tab/>
        <w:t>وعلى الرغم من أن مجلس طعون اللاجئين يعتبر التهديدات التي تلقتها أسرة صاحب الشكوى من أفراد أسر الأصدقاء الذين أعدموا تهديدات مثبتة، فقد كرر من جديد أن هذه المسألة من اختصاص القانون الخاص وليست بالقوة الكافية التي تبرر اللجوء. وخلص المجلس كذلك إلى أن صاحب الشكوى يمكن أن يقيم في مكان آخر غير بغداد. وأخيراً، خلص المجلس إلى أن الوضع العام في العراق في حد ذاته لا يبرر اللجوء. وفي هذا الصدد، خلص إلى أن المعلومات الأساسية المتاحة تبين أن العراقيين يمكن أن يتنقلوا بحرية في البلد بأكمله. وخلص المجلس أيضاً إلى أن صاحب الشكوى لا يستوفي الشروط اللازمة للحصول على تصريح إقامة ولا يوجد أي أساس لافتراض أن صاحب الشكوى يواجه خطر عقوبة الإعدام أو تعرضه للتعذيب أو غيره من ضروب المعاملة اللاإنسانية أو المهينة عقب عودته إلى بلده الأصلي. وأيد المجلس قرار دائرة الهجرة الدانمركية الصادر في 10 آذار/مارس 2004، وصدر أمر بأن يغادر صاحب الشكوى الدانمرك فوراً، على النحو المنصوص عليه في الفقرتين</w:t>
      </w:r>
      <w:r>
        <w:rPr>
          <w:rFonts w:hint="eastAsia"/>
          <w:rtl/>
          <w:lang w:val="fr-CH"/>
        </w:rPr>
        <w:t> </w:t>
      </w:r>
      <w:r>
        <w:rPr>
          <w:rFonts w:hint="cs"/>
          <w:rtl/>
          <w:lang w:val="fr-CH"/>
        </w:rPr>
        <w:t>1 و2 من القسم 33 من قانون الأجانب.</w:t>
      </w:r>
    </w:p>
    <w:p w:rsidR="00094E50" w:rsidRDefault="00094E50" w:rsidP="00094E50">
      <w:pPr>
        <w:pStyle w:val="SingleTxtGA"/>
        <w:spacing w:line="360" w:lineRule="exact"/>
        <w:rPr>
          <w:rFonts w:hint="cs"/>
          <w:rtl/>
          <w:lang w:val="fr-CH"/>
        </w:rPr>
      </w:pPr>
      <w:r>
        <w:rPr>
          <w:rFonts w:hint="cs"/>
          <w:rtl/>
          <w:lang w:val="fr-CH"/>
        </w:rPr>
        <w:t>4-8</w:t>
      </w:r>
      <w:r>
        <w:rPr>
          <w:rFonts w:hint="cs"/>
          <w:rtl/>
          <w:lang w:val="fr-CH"/>
        </w:rPr>
        <w:tab/>
        <w:t xml:space="preserve">وفي 8 تموز/يوليه 2004، صرح صاحب الشكوى بأنه لا يرغب في أن يترك البلد طوعياً أو أن يحصل على مساعدة لعودته إلى العراق. ولذلك، أخضع لتدابير تحفيزية في شكل قطع الفوائد النقدية عنه ونقله إلى مركز للعائدين وإلزامه بالحضور إلى مركز الشرطة مرتين في الأسبوع. </w:t>
      </w:r>
    </w:p>
    <w:p w:rsidR="00094E50" w:rsidRPr="00A64097" w:rsidRDefault="00094E50" w:rsidP="00094E50">
      <w:pPr>
        <w:pStyle w:val="SingleTxtGA"/>
        <w:rPr>
          <w:rFonts w:hint="cs"/>
          <w:spacing w:val="-4"/>
          <w:rtl/>
        </w:rPr>
      </w:pPr>
      <w:r w:rsidRPr="00094E50">
        <w:rPr>
          <w:rFonts w:hint="cs"/>
          <w:rtl/>
          <w:lang w:val="fr-CH"/>
        </w:rPr>
        <w:t>4-9</w:t>
      </w:r>
      <w:r w:rsidRPr="00094E50">
        <w:rPr>
          <w:rFonts w:hint="cs"/>
          <w:rtl/>
          <w:lang w:val="fr-CH"/>
        </w:rPr>
        <w:tab/>
        <w:t xml:space="preserve">وفي 29 حزيران/يونيه 2005، قدم صاحب الشكوى طلباً إلى وزارة شؤون اللاجئين والهجرة والإدماج للحصول على تصريح إقامة لأسباب إنسانية. وأرفق صاحب الشكوى طلبه برأي داعم من طبيب أمراض نفسية مؤرخ 13 نيسان/أبريل 2004 بدا منه أن صاحب الشكوى تلقى علاجاً منذ تشرين الثاني/نوفمبر 2003 نتيجة تعرضه لاضطرابات </w:t>
      </w:r>
      <w:r w:rsidRPr="00094E50">
        <w:rPr>
          <w:rtl/>
        </w:rPr>
        <w:t xml:space="preserve">نفسية </w:t>
      </w:r>
      <w:r w:rsidRPr="00094E50">
        <w:rPr>
          <w:rFonts w:hint="cs"/>
          <w:rtl/>
        </w:rPr>
        <w:t xml:space="preserve">متوسطة إلى شديدة </w:t>
      </w:r>
      <w:r w:rsidRPr="00094E50">
        <w:rPr>
          <w:rtl/>
        </w:rPr>
        <w:t>لاحقة للصدمات</w:t>
      </w:r>
      <w:r w:rsidRPr="00094E50">
        <w:rPr>
          <w:rFonts w:hint="cs"/>
          <w:rtl/>
        </w:rPr>
        <w:t xml:space="preserve"> وأنه عانى من أمراض عقلية بعد التعذيب وكان يعالج منها. وفي 29 آب/أغسطس 2005، رفضت الوزارة طلب صاحب الشكوى الحصول على تصريح إقامة لأسباب إنسانية، لأنها خلصت إلى أنه لا توجد اعتبارات إنسانية بالشدة </w:t>
      </w:r>
      <w:r w:rsidRPr="00A64097">
        <w:rPr>
          <w:rFonts w:hint="cs"/>
          <w:spacing w:val="-4"/>
          <w:rtl/>
        </w:rPr>
        <w:t xml:space="preserve">التي تسمح لها بصورة قاطعة بالموافقة على الطلب. وفي هذا الصدد، أشارت الوزارة إلى أنه على الرغم من أن صاحب الشكوى يعاني من اضطرابات نفسية لاحقة للصدمات، فإن الاضطرابات ليست كافية، وفقاً لممارسات الوزارة، لتبرير إصدار تصريح إقامة لأسباب إنسانية. </w:t>
      </w:r>
    </w:p>
    <w:p w:rsidR="00094E50" w:rsidRPr="00A64097" w:rsidRDefault="00094E50" w:rsidP="00A64097">
      <w:pPr>
        <w:pStyle w:val="SingleTxtGA"/>
        <w:rPr>
          <w:rFonts w:hint="cs"/>
          <w:spacing w:val="-4"/>
          <w:rtl/>
        </w:rPr>
      </w:pPr>
      <w:r>
        <w:rPr>
          <w:rFonts w:hint="cs"/>
          <w:rtl/>
        </w:rPr>
        <w:t>4-10</w:t>
      </w:r>
      <w:r>
        <w:rPr>
          <w:rFonts w:hint="cs"/>
          <w:rtl/>
        </w:rPr>
        <w:tab/>
        <w:t xml:space="preserve">وفي 14 آذار/مارس 2007، طلب مجلس اللاجئين الدانمركي إلى مجلس طعون اللاجئين أن يعيد فتح إجراءات اللجوء. وفي 22 كانون الثاني/يناير 2008، رفض المجلس طلب إعادة فتح الإجراءات. وبالإضافة إلى تكرار الأساس المنطقي وراء قراره السلبي </w:t>
      </w:r>
      <w:r w:rsidRPr="00A64097">
        <w:rPr>
          <w:rFonts w:hint="cs"/>
          <w:spacing w:val="-4"/>
          <w:rtl/>
        </w:rPr>
        <w:t>الصادر</w:t>
      </w:r>
      <w:r w:rsidR="00A64097" w:rsidRPr="00A64097">
        <w:rPr>
          <w:rFonts w:hint="eastAsia"/>
          <w:spacing w:val="-4"/>
          <w:rtl/>
        </w:rPr>
        <w:t> </w:t>
      </w:r>
      <w:r w:rsidRPr="00A64097">
        <w:rPr>
          <w:rFonts w:hint="cs"/>
          <w:spacing w:val="-4"/>
          <w:rtl/>
        </w:rPr>
        <w:t xml:space="preserve">في 11 حزيران/يونيه 2004، رأى المجلس أن من غير المحتمل أن تستمر ملاحقة صاحب الشكوى بشأن أفعال لم يرتكبها وتستند حصراً إلى افتراضات الأسر التي فقدت ذويها. </w:t>
      </w:r>
    </w:p>
    <w:p w:rsidR="00094E50" w:rsidRDefault="00094E50" w:rsidP="001E45D5">
      <w:pPr>
        <w:pStyle w:val="SingleTxtGA"/>
        <w:rPr>
          <w:rFonts w:hint="cs"/>
          <w:rtl/>
        </w:rPr>
      </w:pPr>
      <w:r>
        <w:rPr>
          <w:rFonts w:hint="cs"/>
          <w:rtl/>
        </w:rPr>
        <w:t>4-11</w:t>
      </w:r>
      <w:r>
        <w:rPr>
          <w:rFonts w:hint="cs"/>
          <w:rtl/>
        </w:rPr>
        <w:tab/>
        <w:t>وفي 20 كانون الثاني/يناير 2009، طلب القس ليف بورك هانسن إلى مجلس طعون اللاجئين إعادة فتح ملف طلب لجوء صاحب الشكوى، مشيراً إلى فحص قادم سيجريه الفريق الطبي لمنظمة العفو الدولية في الدانمرك. وفي 21 شباط/فبراير 2009، استكمل هذا الطلب بتقرير الفريق الطبي الصادر في 12 شباط/فبراير 2009. وبموجب رسالة مؤرخة 21 شباط/فبراير 2009، قدم صاحب الشكوى مرة أخرى طلباً للحصول على تصريح إقامة لأسباب إنسانية. واشتملت الرسالة على تقرير الفريق الطبي، الذي بدا منه أن صاحب الشكوى يعاني من آثار نفسية وعقلية واضحة نتيجة التعذيب الذي تعرض له في العراق وأنه يعاني من أعراض كثيرة تتوافق مع ا</w:t>
      </w:r>
      <w:r>
        <w:rPr>
          <w:rFonts w:hint="cs"/>
          <w:rtl/>
          <w:lang w:val="fr-CH"/>
        </w:rPr>
        <w:t>لاضطرابات ال</w:t>
      </w:r>
      <w:r w:rsidRPr="0093597B">
        <w:rPr>
          <w:rtl/>
        </w:rPr>
        <w:t xml:space="preserve">نفسية </w:t>
      </w:r>
      <w:r>
        <w:rPr>
          <w:rFonts w:hint="cs"/>
          <w:rtl/>
        </w:rPr>
        <w:t>ال</w:t>
      </w:r>
      <w:r w:rsidRPr="0093597B">
        <w:rPr>
          <w:rtl/>
        </w:rPr>
        <w:t>لاحقة للصدمات</w:t>
      </w:r>
      <w:r w:rsidRPr="003B61B1">
        <w:rPr>
          <w:rFonts w:hint="cs"/>
          <w:vertAlign w:val="superscript"/>
          <w:rtl/>
        </w:rPr>
        <w:t>(</w:t>
      </w:r>
      <w:r w:rsidRPr="00B93686">
        <w:rPr>
          <w:rStyle w:val="FootnoteReference"/>
          <w:color w:val="FFFFFF"/>
          <w:sz w:val="2"/>
          <w:szCs w:val="2"/>
          <w:rtl/>
        </w:rPr>
        <w:footnoteReference w:id="74"/>
      </w:r>
      <w:r w:rsidRPr="00094E50">
        <w:rPr>
          <w:rFonts w:hint="cs"/>
          <w:sz w:val="30"/>
          <w:vertAlign w:val="superscript"/>
          <w:rtl/>
        </w:rPr>
        <w:t>ﻫ</w:t>
      </w:r>
      <w:r>
        <w:rPr>
          <w:rFonts w:hint="cs"/>
          <w:vertAlign w:val="superscript"/>
          <w:rtl/>
        </w:rPr>
        <w:t>)</w:t>
      </w:r>
      <w:r w:rsidRPr="005D4C24">
        <w:rPr>
          <w:rFonts w:hint="cs"/>
          <w:rtl/>
        </w:rPr>
        <w:t>.</w:t>
      </w:r>
      <w:r>
        <w:rPr>
          <w:rFonts w:hint="cs"/>
          <w:rtl/>
        </w:rPr>
        <w:t xml:space="preserve"> وفي 30 نيسان/أبريل 2009، رفضت وزارة شؤون اللاجئين والهجرة والإدماج طلب صاحب الشكوى إعادة فتح ملف طلب الحصول على تصريح إقامة لأسباب إنسانية.</w:t>
      </w:r>
    </w:p>
    <w:p w:rsidR="00094E50" w:rsidRDefault="00094E50" w:rsidP="001E45D5">
      <w:pPr>
        <w:pStyle w:val="SingleTxtGA"/>
        <w:rPr>
          <w:rFonts w:hint="cs"/>
          <w:rtl/>
        </w:rPr>
      </w:pPr>
      <w:r>
        <w:rPr>
          <w:rFonts w:hint="cs"/>
          <w:rtl/>
        </w:rPr>
        <w:t>4-12</w:t>
      </w:r>
      <w:r>
        <w:rPr>
          <w:rFonts w:hint="cs"/>
          <w:rtl/>
        </w:rPr>
        <w:tab/>
        <w:t>وعملاً بمذكرة التفاهم المؤرخة 13 أيار/مايو 2009 بين الدانمرك والعراق، طلبت الشرطة الوطنية إلى سفارة الدانمرك في بغداد في أيار/مايو وحزيران/يونيه 2009 تقديم عدد من الحالات إلى السلطات العراقية بغرض إعادة قبول الأشخاص، بما فيها حالة صاحب الشكوى. غير أن السلطات العراقية رأت أن وثائق تحديد هوية صاحب الشكوى مزيفة، مما</w:t>
      </w:r>
      <w:r>
        <w:rPr>
          <w:rFonts w:hint="eastAsia"/>
          <w:rtl/>
        </w:rPr>
        <w:t> </w:t>
      </w:r>
      <w:r>
        <w:rPr>
          <w:rFonts w:hint="cs"/>
          <w:rtl/>
        </w:rPr>
        <w:t>جعل من المستحيل تحديد هويته كمواطن عراقي. وتقرر عرض صاحب الشكوى على وفد عراقي كان من المقرر أن يصل إلى الدانمرك في آب/أغسطس 2009 من أجل تحديد صحة جنسيته العراقية</w:t>
      </w:r>
      <w:r w:rsidRPr="00824523">
        <w:rPr>
          <w:rFonts w:hint="cs"/>
          <w:vertAlign w:val="superscript"/>
          <w:rtl/>
        </w:rPr>
        <w:t>(</w:t>
      </w:r>
      <w:r>
        <w:rPr>
          <w:rStyle w:val="FootnoteReference"/>
          <w:rtl/>
        </w:rPr>
        <w:footnoteReference w:id="75"/>
      </w:r>
      <w:r>
        <w:rPr>
          <w:rFonts w:hint="cs"/>
          <w:vertAlign w:val="superscript"/>
          <w:rtl/>
        </w:rPr>
        <w:t>)</w:t>
      </w:r>
      <w:r>
        <w:rPr>
          <w:rFonts w:hint="cs"/>
          <w:rtl/>
        </w:rPr>
        <w:t xml:space="preserve">. </w:t>
      </w:r>
    </w:p>
    <w:p w:rsidR="00094E50" w:rsidRDefault="00094E50" w:rsidP="001E45D5">
      <w:pPr>
        <w:pStyle w:val="SingleTxtGA"/>
        <w:rPr>
          <w:rFonts w:hint="cs"/>
          <w:rtl/>
          <w:lang w:bidi="ar-EG"/>
        </w:rPr>
      </w:pPr>
      <w:r>
        <w:rPr>
          <w:rFonts w:hint="cs"/>
          <w:rtl/>
        </w:rPr>
        <w:t>4-13</w:t>
      </w:r>
      <w:r>
        <w:rPr>
          <w:rFonts w:hint="cs"/>
          <w:rtl/>
        </w:rPr>
        <w:tab/>
        <w:t xml:space="preserve">وفي 18 حزيران/يونيه 2009، حُرم صاحب الشكوى من حريته ونقل إلى مؤسسة إليبايك لملتمسي اللجوء المحتجزين بغية ترحيله. ومَثل صاحب الشكوى أمام محكمة منطقة هيليرود في 19 حزيران/يونيه 2009، فخلصت المحكمة إلى أن حرمانه من الحرية كان قانونياً وحددت 16 تموز/يوليه 2009 كحد زمني لاحتجازه. </w:t>
      </w:r>
      <w:r>
        <w:rPr>
          <w:rFonts w:hint="cs"/>
          <w:rtl/>
          <w:lang w:bidi="ar-EG"/>
        </w:rPr>
        <w:t xml:space="preserve">وأشارت المحكمة إلى أن "وجوده فيما يتصل بجلسات تحديد الهوية وتنفيذ عودته إلى العراق لا يمكن ضمانه بتدابير تدخّل أقل من الحرمان من الحرية". وأيدت المحكمة العليا لشرقي الدانمرك قرار محكمة منطقة هيليرود في 23 حزيران/يونيه 2009. وتم تمديد فترة الحرمان من الحرية في وقت لاحق بشكل منتظم حتى عودة صاحب الشكوى في 2 أيلول/سبتمبر 2009. </w:t>
      </w:r>
    </w:p>
    <w:p w:rsidR="00094E50" w:rsidRDefault="00094E50" w:rsidP="00A64097">
      <w:pPr>
        <w:pStyle w:val="SingleTxtGA"/>
        <w:rPr>
          <w:rFonts w:hint="cs"/>
          <w:rtl/>
          <w:lang w:bidi="ar-EG"/>
        </w:rPr>
      </w:pPr>
      <w:r>
        <w:rPr>
          <w:rFonts w:hint="cs"/>
          <w:rtl/>
          <w:lang w:bidi="ar-EG"/>
        </w:rPr>
        <w:t>4-14</w:t>
      </w:r>
      <w:r>
        <w:rPr>
          <w:rFonts w:hint="cs"/>
          <w:rtl/>
          <w:lang w:bidi="ar-EG"/>
        </w:rPr>
        <w:tab/>
        <w:t>وبموجب رسالة مؤرخة 16 تموز/يوليه 2009، طلب محامي صاحب الشكوى مرة أخرى إلى وزارة شؤون اللاجئين والهجرة والإدماج إعادة فتح ملف طلب الحصول على تصريح إقامة لأسباب إنسانية، مقدماً نسخة من تقرير طبي من مركز أفنشتروب الذي تلقى فيه صاحب الشكوى علاجاً من الفتق في 16 كانون الثاني/يناير 2009. وبموجب رسالة</w:t>
      </w:r>
      <w:r>
        <w:rPr>
          <w:rFonts w:hint="eastAsia"/>
          <w:rtl/>
          <w:lang w:bidi="ar-EG"/>
        </w:rPr>
        <w:t> </w:t>
      </w:r>
      <w:r>
        <w:rPr>
          <w:rFonts w:hint="cs"/>
          <w:rtl/>
          <w:lang w:bidi="ar-EG"/>
        </w:rPr>
        <w:t xml:space="preserve">29 تموز/يوليه 2009، رفضت الوزارة مرة أخرى إعادة فتح ملف طلب صاحب الشكوى فيما يتعلق بالحصول على تصريح إقامة لأسباب إنسانية، بالنظر إلى أن الفتق والسكري من النوع 2 لا يعتبران أمراضاً جسدية خطيرة للغاية يمكن أن يبررا إصدار تصريح إقامة لأسباب إنسانية. وبموجب رسالة مؤرخة 4 آب/أغسطس 2009، قدم محامي صاحب الشكوى المزيد من المعلومات الطبية إلى الوزارة فاعتبرت الوزارة الرسالة بمثابة طلب آخر لإعادة فتح ملف طلب الحصول على إقامة لأسباب إنسانية. وفي 6 آب/أغسطس 2009، رفضت الوزارة طلب صاحب الشكوى بإعادة فتح ملف طلب التصريح مشيرة إلى قراريها السابقين المؤرخين 30 نيسان/أبريل و29 تموز/يوليه 2009. </w:t>
      </w:r>
    </w:p>
    <w:p w:rsidR="00094E50" w:rsidRPr="00A64097" w:rsidRDefault="00094E50" w:rsidP="00A64097">
      <w:pPr>
        <w:pStyle w:val="SingleTxtGA"/>
        <w:rPr>
          <w:rFonts w:hint="cs"/>
          <w:spacing w:val="-4"/>
          <w:rtl/>
          <w:lang w:bidi="ar-EG"/>
        </w:rPr>
      </w:pPr>
      <w:r w:rsidRPr="00A64097">
        <w:rPr>
          <w:rFonts w:hint="cs"/>
          <w:spacing w:val="-4"/>
          <w:rtl/>
          <w:lang w:bidi="ar-EG"/>
        </w:rPr>
        <w:t>4-15</w:t>
      </w:r>
      <w:r w:rsidRPr="00A64097">
        <w:rPr>
          <w:rFonts w:hint="cs"/>
          <w:spacing w:val="-4"/>
          <w:rtl/>
          <w:lang w:bidi="ar-EG"/>
        </w:rPr>
        <w:tab/>
        <w:t>وبموجب رسالة مؤرخة 5 آب/أغسطس 2009، قدمت السيدة غينيفكي والسيد سورينسن شكوى ضد السلطات الدانمركية إلى شرطة شمال سيلاند حول انتهاكات للمادتين</w:t>
      </w:r>
      <w:r w:rsidRPr="00A64097">
        <w:rPr>
          <w:rFonts w:hint="eastAsia"/>
          <w:spacing w:val="-4"/>
          <w:rtl/>
          <w:lang w:bidi="ar-EG"/>
        </w:rPr>
        <w:t> </w:t>
      </w:r>
      <w:r w:rsidRPr="00A64097">
        <w:rPr>
          <w:rFonts w:hint="cs"/>
          <w:spacing w:val="-4"/>
          <w:rtl/>
          <w:lang w:bidi="ar-EG"/>
        </w:rPr>
        <w:t>3 و16 من الاتفاقية. وفيما يتعلق بالمادة 12 من الاتفاقية، طلبت السيدة غينيفكي والسيد سورينسن أن تشرع الشرطة في التحقيق. وأحالت الشرطة الرسالة إلى المدعي العام الإقليمي.</w:t>
      </w:r>
    </w:p>
    <w:p w:rsidR="00094E50" w:rsidRDefault="00094E50" w:rsidP="00A64097">
      <w:pPr>
        <w:pStyle w:val="SingleTxtGA"/>
        <w:rPr>
          <w:rFonts w:hint="cs"/>
          <w:rtl/>
          <w:lang w:bidi="ar-EG"/>
        </w:rPr>
      </w:pPr>
      <w:r w:rsidRPr="00EA5E4A">
        <w:rPr>
          <w:rFonts w:hint="cs"/>
          <w:rtl/>
          <w:lang w:bidi="ar-EG"/>
        </w:rPr>
        <w:t>4-16</w:t>
      </w:r>
      <w:r w:rsidRPr="00EA5E4A">
        <w:rPr>
          <w:rFonts w:hint="cs"/>
          <w:rtl/>
          <w:lang w:bidi="ar-EG"/>
        </w:rPr>
        <w:tab/>
        <w:t xml:space="preserve">وفي 9 آب/أغسطس 2009، حدثت اضطرابات عنيفة في وحدة </w:t>
      </w:r>
      <w:r w:rsidRPr="00EA5E4A">
        <w:rPr>
          <w:rtl/>
          <w:lang w:bidi="ar-EG"/>
        </w:rPr>
        <w:t>مؤسسة إليبايك</w:t>
      </w:r>
      <w:r w:rsidRPr="00EA5E4A">
        <w:rPr>
          <w:rFonts w:hint="cs"/>
          <w:rtl/>
          <w:lang w:bidi="ar-EG"/>
        </w:rPr>
        <w:t xml:space="preserve"> التي كان صاحب الشكوى محتجزاً فيها. وأشار أفراد المؤسسة إلى أن صاحب الشكوى شارك بنشاط كبير في الاضطراب</w:t>
      </w:r>
      <w:r>
        <w:rPr>
          <w:rFonts w:hint="cs"/>
          <w:rtl/>
          <w:lang w:bidi="ar-EG"/>
        </w:rPr>
        <w:t>ات</w:t>
      </w:r>
      <w:r w:rsidRPr="00EA5E4A">
        <w:rPr>
          <w:rFonts w:hint="cs"/>
          <w:rtl/>
          <w:lang w:bidi="ar-EG"/>
        </w:rPr>
        <w:t xml:space="preserve">. وبناء على هذه المعلومات، </w:t>
      </w:r>
      <w:r>
        <w:rPr>
          <w:rFonts w:hint="cs"/>
          <w:rtl/>
          <w:lang w:bidi="ar-EG"/>
        </w:rPr>
        <w:t>حُرم</w:t>
      </w:r>
      <w:r w:rsidRPr="00EA5E4A">
        <w:rPr>
          <w:rFonts w:hint="cs"/>
          <w:rtl/>
          <w:lang w:bidi="ar-EG"/>
        </w:rPr>
        <w:t xml:space="preserve"> صاحب الشكوى مؤقتاً من </w:t>
      </w:r>
      <w:r>
        <w:rPr>
          <w:rFonts w:hint="cs"/>
          <w:rtl/>
          <w:lang w:bidi="ar-EG"/>
        </w:rPr>
        <w:t xml:space="preserve">مخالطة </w:t>
      </w:r>
      <w:r w:rsidRPr="00EA5E4A">
        <w:rPr>
          <w:rFonts w:hint="cs"/>
          <w:rtl/>
          <w:lang w:bidi="ar-EG"/>
        </w:rPr>
        <w:t>المحتجزين الآخرين</w:t>
      </w:r>
      <w:r w:rsidRPr="00BF3785">
        <w:rPr>
          <w:rFonts w:hint="cs"/>
          <w:vertAlign w:val="superscript"/>
          <w:rtl/>
          <w:lang w:bidi="ar-EG"/>
        </w:rPr>
        <w:t>(</w:t>
      </w:r>
      <w:r w:rsidRPr="00EA5E4A">
        <w:rPr>
          <w:rStyle w:val="FootnoteReference"/>
          <w:rtl/>
          <w:lang w:bidi="ar-EG"/>
        </w:rPr>
        <w:footnoteReference w:id="76"/>
      </w:r>
      <w:r>
        <w:rPr>
          <w:rFonts w:hint="cs"/>
          <w:vertAlign w:val="superscript"/>
          <w:rtl/>
          <w:lang w:bidi="ar-EG"/>
        </w:rPr>
        <w:t>)</w:t>
      </w:r>
      <w:r>
        <w:rPr>
          <w:rFonts w:hint="cs"/>
          <w:rtl/>
          <w:lang w:bidi="ar-EG"/>
        </w:rPr>
        <w:t>.</w:t>
      </w:r>
      <w:r w:rsidRPr="00EA5E4A">
        <w:rPr>
          <w:rFonts w:hint="cs"/>
          <w:rtl/>
          <w:lang w:bidi="ar-EG"/>
        </w:rPr>
        <w:t xml:space="preserve"> وبما أن </w:t>
      </w:r>
      <w:r w:rsidRPr="00EA5E4A">
        <w:rPr>
          <w:rtl/>
          <w:lang w:bidi="ar-EG"/>
        </w:rPr>
        <w:t>مؤسسة إليبايك</w:t>
      </w:r>
      <w:r w:rsidRPr="00EA5E4A">
        <w:rPr>
          <w:rFonts w:hint="cs"/>
          <w:rtl/>
          <w:lang w:bidi="ar-EG"/>
        </w:rPr>
        <w:t xml:space="preserve"> لم يكن بها أماكن كافية </w:t>
      </w:r>
      <w:r>
        <w:rPr>
          <w:rFonts w:hint="cs"/>
          <w:rtl/>
          <w:lang w:bidi="ar-EG"/>
        </w:rPr>
        <w:t>لحرمان</w:t>
      </w:r>
      <w:r w:rsidRPr="00EA5E4A">
        <w:rPr>
          <w:rFonts w:hint="cs"/>
          <w:rtl/>
          <w:lang w:bidi="ar-EG"/>
        </w:rPr>
        <w:t xml:space="preserve"> جميع المشاركين في الاضطراب</w:t>
      </w:r>
      <w:r>
        <w:rPr>
          <w:rFonts w:hint="cs"/>
          <w:rtl/>
          <w:lang w:bidi="ar-EG"/>
        </w:rPr>
        <w:t>ات</w:t>
      </w:r>
      <w:r w:rsidRPr="00EA5E4A">
        <w:rPr>
          <w:rFonts w:hint="cs"/>
          <w:rtl/>
          <w:lang w:bidi="ar-EG"/>
        </w:rPr>
        <w:t xml:space="preserve"> من </w:t>
      </w:r>
      <w:r>
        <w:rPr>
          <w:rFonts w:hint="cs"/>
          <w:rtl/>
          <w:lang w:bidi="ar-EG"/>
        </w:rPr>
        <w:t xml:space="preserve">مخالطة </w:t>
      </w:r>
      <w:r w:rsidRPr="00EA5E4A">
        <w:rPr>
          <w:rFonts w:hint="cs"/>
          <w:rtl/>
          <w:lang w:bidi="ar-EG"/>
        </w:rPr>
        <w:t xml:space="preserve">المحتجزين الآخرين، وضع صاحب الشكوى في سجن فيستري حتى اليوم التالي. وانتهت الفترة المؤقتة </w:t>
      </w:r>
      <w:r>
        <w:rPr>
          <w:rFonts w:hint="cs"/>
          <w:rtl/>
          <w:lang w:bidi="ar-EG"/>
        </w:rPr>
        <w:t>لحرمان</w:t>
      </w:r>
      <w:r w:rsidRPr="00EA5E4A">
        <w:rPr>
          <w:rFonts w:hint="cs"/>
          <w:rtl/>
          <w:lang w:bidi="ar-EG"/>
        </w:rPr>
        <w:t xml:space="preserve"> صاحب الشكوى من </w:t>
      </w:r>
      <w:r>
        <w:rPr>
          <w:rFonts w:hint="cs"/>
          <w:rtl/>
          <w:lang w:bidi="ar-EG"/>
        </w:rPr>
        <w:t>مخالطة</w:t>
      </w:r>
      <w:r w:rsidRPr="00EA5E4A">
        <w:rPr>
          <w:rFonts w:hint="cs"/>
          <w:rtl/>
          <w:lang w:bidi="ar-EG"/>
        </w:rPr>
        <w:t xml:space="preserve"> الآخرين في 13 آب/أغسطس 2009.</w:t>
      </w:r>
    </w:p>
    <w:p w:rsidR="00094E50" w:rsidRPr="005D4C24" w:rsidRDefault="00094E50" w:rsidP="00094E50">
      <w:pPr>
        <w:pStyle w:val="SingleTxtGA"/>
        <w:spacing w:line="360" w:lineRule="exact"/>
        <w:rPr>
          <w:rFonts w:hint="cs"/>
          <w:spacing w:val="-2"/>
          <w:rtl/>
          <w:lang w:bidi="ar-EG"/>
        </w:rPr>
      </w:pPr>
      <w:r w:rsidRPr="005D4C24">
        <w:rPr>
          <w:rFonts w:hint="cs"/>
          <w:spacing w:val="-2"/>
          <w:rtl/>
          <w:lang w:bidi="ar-EG"/>
        </w:rPr>
        <w:t>4-17</w:t>
      </w:r>
      <w:r w:rsidRPr="005D4C24">
        <w:rPr>
          <w:rFonts w:hint="cs"/>
          <w:spacing w:val="-2"/>
          <w:rtl/>
          <w:lang w:bidi="ar-EG"/>
        </w:rPr>
        <w:tab/>
        <w:t>وفيما يتعلق بالمادة 3 من الاتفاقية، تدعي الدولة الطرف أنه يقع على صاحب الشكوى عبء رفع دعوى ظاهرة الوجاهة لأغراض مقبولية البلاغ</w:t>
      </w:r>
      <w:r w:rsidRPr="005D4C24">
        <w:rPr>
          <w:rFonts w:hint="cs"/>
          <w:spacing w:val="-2"/>
          <w:vertAlign w:val="superscript"/>
          <w:rtl/>
          <w:lang w:bidi="ar-EG"/>
        </w:rPr>
        <w:t>(</w:t>
      </w:r>
      <w:r w:rsidRPr="005D4C24">
        <w:rPr>
          <w:rStyle w:val="FootnoteReference"/>
          <w:spacing w:val="-2"/>
          <w:rtl/>
          <w:lang w:bidi="ar-EG"/>
        </w:rPr>
        <w:footnoteReference w:id="77"/>
      </w:r>
      <w:r w:rsidRPr="005D4C24">
        <w:rPr>
          <w:rFonts w:hint="cs"/>
          <w:spacing w:val="-2"/>
          <w:vertAlign w:val="superscript"/>
          <w:rtl/>
          <w:lang w:bidi="ar-EG"/>
        </w:rPr>
        <w:t>)</w:t>
      </w:r>
      <w:r w:rsidRPr="005D4C24">
        <w:rPr>
          <w:rFonts w:hint="cs"/>
          <w:spacing w:val="-2"/>
          <w:rtl/>
          <w:lang w:bidi="ar-EG"/>
        </w:rPr>
        <w:t xml:space="preserve"> وتقديم حالة</w:t>
      </w:r>
      <w:r w:rsidRPr="005D4C24">
        <w:rPr>
          <w:spacing w:val="-2"/>
          <w:rtl/>
          <w:lang w:bidi="ar-EG"/>
        </w:rPr>
        <w:t xml:space="preserve"> يمكن </w:t>
      </w:r>
      <w:r w:rsidRPr="005D4C24">
        <w:rPr>
          <w:rFonts w:hint="cs"/>
          <w:spacing w:val="-2"/>
          <w:rtl/>
          <w:lang w:bidi="ar-EG"/>
        </w:rPr>
        <w:t>دعمها بالأدلة فيما يتعلق بالأسس الموضوعية</w:t>
      </w:r>
      <w:r w:rsidRPr="005D4C24">
        <w:rPr>
          <w:rFonts w:hint="cs"/>
          <w:spacing w:val="-2"/>
          <w:vertAlign w:val="superscript"/>
          <w:rtl/>
          <w:lang w:bidi="ar-EG"/>
        </w:rPr>
        <w:t>(</w:t>
      </w:r>
      <w:r w:rsidRPr="005D4C24">
        <w:rPr>
          <w:rStyle w:val="FootnoteReference"/>
          <w:spacing w:val="-2"/>
          <w:rtl/>
          <w:lang w:bidi="ar-EG"/>
        </w:rPr>
        <w:footnoteReference w:id="78"/>
      </w:r>
      <w:r w:rsidRPr="005D4C24">
        <w:rPr>
          <w:rFonts w:hint="cs"/>
          <w:spacing w:val="-2"/>
          <w:vertAlign w:val="superscript"/>
          <w:rtl/>
          <w:lang w:bidi="ar-EG"/>
        </w:rPr>
        <w:t>)</w:t>
      </w:r>
      <w:r>
        <w:rPr>
          <w:rFonts w:hint="cs"/>
          <w:spacing w:val="-2"/>
          <w:rtl/>
          <w:lang w:bidi="ar-EG"/>
        </w:rPr>
        <w:t>.</w:t>
      </w:r>
      <w:r w:rsidRPr="005D4C24">
        <w:rPr>
          <w:rFonts w:hint="cs"/>
          <w:spacing w:val="-2"/>
          <w:rtl/>
          <w:lang w:bidi="ar-EG"/>
        </w:rPr>
        <w:t xml:space="preserve"> وتواصل الدولة الطرف قائلة إن على صاحب الشكوى</w:t>
      </w:r>
      <w:r w:rsidRPr="005D4C24">
        <w:rPr>
          <w:spacing w:val="-2"/>
          <w:rtl/>
        </w:rPr>
        <w:t xml:space="preserve"> </w:t>
      </w:r>
      <w:r w:rsidRPr="005D4C24">
        <w:rPr>
          <w:rFonts w:hint="cs"/>
          <w:spacing w:val="-2"/>
          <w:rtl/>
          <w:lang w:bidi="ar-EG"/>
        </w:rPr>
        <w:t>"</w:t>
      </w:r>
      <w:r w:rsidRPr="005D4C24">
        <w:rPr>
          <w:spacing w:val="-2"/>
          <w:rtl/>
          <w:lang w:bidi="ar-EG"/>
        </w:rPr>
        <w:t>أن يثبت أنه سيتعرض لخطر التعذيب</w:t>
      </w:r>
      <w:r w:rsidRPr="005D4C24">
        <w:rPr>
          <w:rFonts w:hint="cs"/>
          <w:spacing w:val="-2"/>
          <w:rtl/>
          <w:lang w:bidi="ar-EG"/>
        </w:rPr>
        <w:t xml:space="preserve"> ... </w:t>
      </w:r>
      <w:r w:rsidRPr="005D4C24">
        <w:rPr>
          <w:spacing w:val="-2"/>
          <w:rtl/>
          <w:lang w:bidi="ar-EG"/>
        </w:rPr>
        <w:t>وأن هذا الخطر شخصي ومحدق</w:t>
      </w:r>
      <w:r w:rsidRPr="005D4C24">
        <w:rPr>
          <w:rFonts w:hint="cs"/>
          <w:spacing w:val="-2"/>
          <w:rtl/>
          <w:lang w:bidi="ar-EG"/>
        </w:rPr>
        <w:t>"</w:t>
      </w:r>
      <w:r w:rsidRPr="005D4C24">
        <w:rPr>
          <w:rFonts w:hint="cs"/>
          <w:spacing w:val="-2"/>
          <w:vertAlign w:val="superscript"/>
          <w:rtl/>
          <w:lang w:bidi="ar-EG"/>
        </w:rPr>
        <w:t>(</w:t>
      </w:r>
      <w:r w:rsidRPr="005D4C24">
        <w:rPr>
          <w:rStyle w:val="FootnoteReference"/>
          <w:spacing w:val="-2"/>
          <w:rtl/>
          <w:lang w:bidi="ar-EG"/>
        </w:rPr>
        <w:footnoteReference w:id="79"/>
      </w:r>
      <w:r w:rsidRPr="005D4C24">
        <w:rPr>
          <w:rFonts w:hint="cs"/>
          <w:spacing w:val="-2"/>
          <w:vertAlign w:val="superscript"/>
          <w:rtl/>
          <w:lang w:bidi="ar-EG"/>
        </w:rPr>
        <w:t>)</w:t>
      </w:r>
      <w:r w:rsidRPr="005D4C24">
        <w:rPr>
          <w:rFonts w:hint="cs"/>
          <w:spacing w:val="-2"/>
          <w:rtl/>
          <w:lang w:bidi="ar-EG"/>
        </w:rPr>
        <w:t>.</w:t>
      </w:r>
    </w:p>
    <w:p w:rsidR="00094E50" w:rsidRPr="00A64097" w:rsidRDefault="00094E50" w:rsidP="00A64097">
      <w:pPr>
        <w:pStyle w:val="SingleTxtGA"/>
        <w:rPr>
          <w:rFonts w:hint="cs"/>
          <w:spacing w:val="-2"/>
          <w:rtl/>
          <w:lang w:bidi="ar-EG"/>
        </w:rPr>
      </w:pPr>
      <w:r>
        <w:rPr>
          <w:rFonts w:hint="cs"/>
          <w:rtl/>
          <w:lang w:bidi="ar-EG"/>
        </w:rPr>
        <w:t>4-18</w:t>
      </w:r>
      <w:r>
        <w:rPr>
          <w:rFonts w:hint="cs"/>
          <w:rtl/>
          <w:lang w:bidi="ar-EG"/>
        </w:rPr>
        <w:tab/>
        <w:t xml:space="preserve">وفيما يتعلق بتقدير ما إذا كانت هناك أسباب موضوعية تدعو إلى الاعتقاد بأن صاحب الشكوى سيكون في خطر التعرض للتعذيب عند عودته إلى العراق، تشير الدولة الطرف إلى القرارات الثلاثة لمجلس طعون اللاجئين التي تناولت مسألة التعذيب. ووفقاً للدولة الطرف، فإن حادثة التعذيب السابقة ليست إلا عنصراً من العناصر التي توضع في الاعتبار عند دراسة خطر التعرض للتعذيب في حالة إعادة صاحب الشكوى إلى بلده </w:t>
      </w:r>
      <w:r w:rsidRPr="00D52211">
        <w:rPr>
          <w:rFonts w:hint="cs"/>
          <w:rtl/>
          <w:lang w:bidi="ar-EG"/>
        </w:rPr>
        <w:t>الأصلي</w:t>
      </w:r>
      <w:r w:rsidRPr="00B94C67">
        <w:rPr>
          <w:rFonts w:hint="cs"/>
          <w:vertAlign w:val="superscript"/>
          <w:rtl/>
          <w:lang w:bidi="ar-EG"/>
        </w:rPr>
        <w:t>(</w:t>
      </w:r>
      <w:r>
        <w:rPr>
          <w:rStyle w:val="FootnoteReference"/>
          <w:rtl/>
          <w:lang w:bidi="ar-EG"/>
        </w:rPr>
        <w:footnoteReference w:id="80"/>
      </w:r>
      <w:r>
        <w:rPr>
          <w:rFonts w:hint="cs"/>
          <w:vertAlign w:val="superscript"/>
          <w:rtl/>
          <w:lang w:bidi="ar-EG"/>
        </w:rPr>
        <w:t>)</w:t>
      </w:r>
      <w:r>
        <w:rPr>
          <w:rFonts w:hint="cs"/>
          <w:rtl/>
          <w:lang w:bidi="ar-EG"/>
        </w:rPr>
        <w:t xml:space="preserve">. </w:t>
      </w:r>
      <w:r w:rsidRPr="00A64097">
        <w:rPr>
          <w:rFonts w:hint="cs"/>
          <w:spacing w:val="-2"/>
          <w:rtl/>
          <w:lang w:bidi="ar-EG"/>
        </w:rPr>
        <w:t xml:space="preserve">وتشير الدولة الطرف إلى </w:t>
      </w:r>
      <w:r w:rsidRPr="00A64097">
        <w:rPr>
          <w:spacing w:val="-2"/>
          <w:rtl/>
          <w:lang w:bidi="ar-EG"/>
        </w:rPr>
        <w:t>ا</w:t>
      </w:r>
      <w:r w:rsidRPr="00A64097">
        <w:rPr>
          <w:rFonts w:hint="cs"/>
          <w:spacing w:val="-2"/>
          <w:rtl/>
          <w:lang w:bidi="ar-EG"/>
        </w:rPr>
        <w:t>لا</w:t>
      </w:r>
      <w:r w:rsidRPr="00A64097">
        <w:rPr>
          <w:spacing w:val="-2"/>
          <w:rtl/>
          <w:lang w:bidi="ar-EG"/>
        </w:rPr>
        <w:t xml:space="preserve">جتهادات </w:t>
      </w:r>
      <w:r w:rsidRPr="00A64097">
        <w:rPr>
          <w:rFonts w:hint="cs"/>
          <w:spacing w:val="-2"/>
          <w:rtl/>
          <w:lang w:bidi="ar-EG"/>
        </w:rPr>
        <w:t xml:space="preserve">القضائية </w:t>
      </w:r>
      <w:r w:rsidRPr="00A64097">
        <w:rPr>
          <w:spacing w:val="-2"/>
          <w:rtl/>
          <w:lang w:bidi="ar-EG"/>
        </w:rPr>
        <w:t>للجنة</w:t>
      </w:r>
      <w:r w:rsidRPr="00A64097">
        <w:rPr>
          <w:rFonts w:hint="cs"/>
          <w:spacing w:val="-2"/>
          <w:rtl/>
          <w:lang w:bidi="ar-EG"/>
        </w:rPr>
        <w:t xml:space="preserve"> التي تفيد بأنه يجب مراعاة ما إذا كان التعذيب حدث أو لم يحدث مؤخراً والظروف ذات الصلة بالواقع السياسي السائد في البلد المعني</w:t>
      </w:r>
      <w:r w:rsidRPr="00A64097">
        <w:rPr>
          <w:rFonts w:hint="cs"/>
          <w:spacing w:val="-2"/>
          <w:vertAlign w:val="superscript"/>
          <w:rtl/>
          <w:lang w:bidi="ar-EG"/>
        </w:rPr>
        <w:t>(</w:t>
      </w:r>
      <w:r w:rsidRPr="00A64097">
        <w:rPr>
          <w:rStyle w:val="FootnoteReference"/>
          <w:spacing w:val="-2"/>
          <w:rtl/>
          <w:lang w:bidi="ar-EG"/>
        </w:rPr>
        <w:footnoteReference w:id="81"/>
      </w:r>
      <w:r w:rsidRPr="00A64097">
        <w:rPr>
          <w:rFonts w:hint="cs"/>
          <w:spacing w:val="-2"/>
          <w:vertAlign w:val="superscript"/>
          <w:rtl/>
          <w:lang w:bidi="ar-EG"/>
        </w:rPr>
        <w:t>)</w:t>
      </w:r>
      <w:r w:rsidRPr="00A64097">
        <w:rPr>
          <w:rFonts w:hint="cs"/>
          <w:spacing w:val="-2"/>
          <w:rtl/>
          <w:lang w:bidi="ar-EG"/>
        </w:rPr>
        <w:t>. وتخلص الدولة الطرف إلى أن الجزء من الشكوى الذي يزعم انتهاك المادة 3 من الاتفاقية غير مقبول لأنه ليس له أساس بالمرة. وإذا كانت اللجنة ترى أن هذا الجزء من الشكوى مقبول، فإن الدولة الطرف تدفع بأنه لم يتم تأكيد وجود أسباب موضوعية تدعو إلى الاعتقاد بأن صاحب الشكوى سيكون في خطر التعرض للتعذيب في حالة عودته إلى العراق.</w:t>
      </w:r>
    </w:p>
    <w:p w:rsidR="00094E50" w:rsidRDefault="00094E50" w:rsidP="00A64097">
      <w:pPr>
        <w:pStyle w:val="SingleTxtGA"/>
        <w:rPr>
          <w:rFonts w:hint="cs"/>
          <w:rtl/>
          <w:lang w:bidi="ar-EG"/>
        </w:rPr>
      </w:pPr>
      <w:r>
        <w:rPr>
          <w:rFonts w:hint="cs"/>
          <w:rtl/>
          <w:lang w:bidi="ar-EG"/>
        </w:rPr>
        <w:t>4-19</w:t>
      </w:r>
      <w:r>
        <w:rPr>
          <w:rFonts w:hint="cs"/>
          <w:rtl/>
          <w:lang w:bidi="ar-EG"/>
        </w:rPr>
        <w:tab/>
        <w:t xml:space="preserve">وفيما يتعلق بالمادتين 2 و16 من الاتفاقية، تشير الدولة الطرف إلى أن القرار المتعلق بحرمان صاحب الشكوى مؤقتاً من مخالطة الآخرين صدر عن مؤسسة </w:t>
      </w:r>
      <w:r w:rsidRPr="00785A33">
        <w:rPr>
          <w:rtl/>
          <w:lang w:bidi="ar-EG"/>
        </w:rPr>
        <w:t>إليبايك</w:t>
      </w:r>
      <w:r>
        <w:rPr>
          <w:rFonts w:hint="cs"/>
          <w:rtl/>
          <w:lang w:bidi="ar-EG"/>
        </w:rPr>
        <w:t>. وقد حُرم من مخالطة الآخرين من الساعة 8:30 من مساء 9 آب/أغسطس 2009 حتى الساعة 4:20 من مساء 13 آب/أغسطس 2009. وتدعي الدولة الطرف أنه يمكن الطعن في قرار الحرمان المؤقت من مخالطة الآخرين أمام إدارة السجون والحبس الاحتياطي التابعة لوزارة العدل</w:t>
      </w:r>
      <w:r w:rsidRPr="000C4E72">
        <w:rPr>
          <w:rFonts w:hint="cs"/>
          <w:vertAlign w:val="superscript"/>
          <w:rtl/>
          <w:lang w:bidi="ar-EG"/>
        </w:rPr>
        <w:t>(</w:t>
      </w:r>
      <w:r>
        <w:rPr>
          <w:rStyle w:val="FootnoteReference"/>
          <w:rtl/>
          <w:lang w:bidi="ar-EG"/>
        </w:rPr>
        <w:footnoteReference w:id="82"/>
      </w:r>
      <w:r>
        <w:rPr>
          <w:rFonts w:hint="cs"/>
          <w:vertAlign w:val="superscript"/>
          <w:rtl/>
          <w:lang w:bidi="ar-EG"/>
        </w:rPr>
        <w:t>)</w:t>
      </w:r>
      <w:r>
        <w:rPr>
          <w:rFonts w:hint="cs"/>
          <w:rtl/>
          <w:lang w:bidi="ar-EG"/>
        </w:rPr>
        <w:t xml:space="preserve">، وأنه لا توجد أدلة تشير إلى أن صاحب الشكوى قد طعن في قرار مؤسسة </w:t>
      </w:r>
      <w:r w:rsidRPr="00785A33">
        <w:rPr>
          <w:rtl/>
          <w:lang w:bidi="ar-EG"/>
        </w:rPr>
        <w:t>إليبايك</w:t>
      </w:r>
      <w:r>
        <w:rPr>
          <w:rFonts w:hint="cs"/>
          <w:rtl/>
          <w:lang w:bidi="ar-EG"/>
        </w:rPr>
        <w:t xml:space="preserve"> أمام تلك الإدارة. وبالتالي، تدعي الدولة الطرف أنه ينبغي إعلان هذا الجزء من البلاغ غير مقبول لعدم استنفاد سبل الانتصاف المتاحة والفعالة. وتعترض الدولة الطرف على ادعاءات صاحب الشكوى التي تفيد بأن حرمانه المؤقت من مخالطة الآخرين يشكل "تعذيباً" وفقاً للمادة 1 (بالاقتران مع المادة 2) أو بدلاً من ذلك "معاملة أو عقوبة قاسية أو لا إنسانية أو مهينة" وفقاً للمادة 16. وتدعي الدولة الطرف، مشيرة إلى الملاحظات الختامية والاجتهادات القضائية السابقة للجنة، أن "الحبس الانفرادي" لا يقع عموماً في إطار تعريف التعذيب</w:t>
      </w:r>
      <w:r w:rsidRPr="000C4E72">
        <w:rPr>
          <w:rFonts w:hint="cs"/>
          <w:vertAlign w:val="superscript"/>
          <w:rtl/>
          <w:lang w:bidi="ar-EG"/>
        </w:rPr>
        <w:t>(</w:t>
      </w:r>
      <w:r>
        <w:rPr>
          <w:rStyle w:val="FootnoteReference"/>
          <w:rtl/>
          <w:lang w:bidi="ar-EG"/>
        </w:rPr>
        <w:footnoteReference w:id="83"/>
      </w:r>
      <w:r>
        <w:rPr>
          <w:rFonts w:hint="cs"/>
          <w:vertAlign w:val="superscript"/>
          <w:rtl/>
          <w:lang w:bidi="ar-EG"/>
        </w:rPr>
        <w:t>)</w:t>
      </w:r>
      <w:r>
        <w:rPr>
          <w:rFonts w:hint="cs"/>
          <w:rtl/>
          <w:lang w:bidi="ar-EG"/>
        </w:rPr>
        <w:t xml:space="preserve"> وأن الحرمان المؤقت من مخالطة الآخرين عملاً بقانون إنفاذ العقوبات لا يشكل تعذيباً نظراً لأنه لا</w:t>
      </w:r>
      <w:r>
        <w:rPr>
          <w:rFonts w:hint="eastAsia"/>
          <w:rtl/>
          <w:lang w:bidi="ar-EG"/>
        </w:rPr>
        <w:t> </w:t>
      </w:r>
      <w:r>
        <w:rPr>
          <w:rFonts w:hint="cs"/>
          <w:rtl/>
          <w:lang w:bidi="ar-EG"/>
        </w:rPr>
        <w:t xml:space="preserve">يجوز تطبيقه إلا عند الضرورة، مثلاً لمنع الهروب أو الأفعال الجنائية أو السلوك العنيف. </w:t>
      </w:r>
    </w:p>
    <w:p w:rsidR="00094E50" w:rsidRDefault="00094E50" w:rsidP="00A64097">
      <w:pPr>
        <w:pStyle w:val="SingleTxtGA"/>
        <w:rPr>
          <w:rFonts w:hint="cs"/>
          <w:rtl/>
          <w:lang w:bidi="ar-EG"/>
        </w:rPr>
      </w:pPr>
      <w:r>
        <w:rPr>
          <w:rFonts w:hint="cs"/>
          <w:rtl/>
          <w:lang w:bidi="ar-EG"/>
        </w:rPr>
        <w:t>4-20</w:t>
      </w:r>
      <w:r>
        <w:rPr>
          <w:rFonts w:hint="cs"/>
          <w:rtl/>
          <w:lang w:bidi="ar-EG"/>
        </w:rPr>
        <w:tab/>
        <w:t xml:space="preserve">وتدعي الدولة الطرف أن المادة 16 من الاتفاقية لا تشتمل على حظر عام للحرمان من مخالطة الآخرين. وتقر الحكومة بأن الحرمان من مخالطة الآخرين قد يشكل في حالات محددة وحسب ظروف الحالة "معاملة أو عقوبة قاسية ولا إنسانية ومهينة". وعلى الرغم من ذلك، تؤكد الدولة الطرف أن حرمان صاحب الشكوى مؤقتاً من مخالطة الآخرين لمدة قصيرة فقط لا يشكل معاملة قاسية أو لا إنسانية أو مهينة تتعارض مع المادة 16 من الاتفاقية، بالنظر إلى التقييم الشامل لظروف ضلوع صاحب الشكوى في الاضطرابات العنيفة التي اندلعت في مؤسسة </w:t>
      </w:r>
      <w:r w:rsidRPr="00785A33">
        <w:rPr>
          <w:rtl/>
          <w:lang w:bidi="ar-EG"/>
        </w:rPr>
        <w:t>إليبايك</w:t>
      </w:r>
      <w:r>
        <w:rPr>
          <w:rFonts w:hint="cs"/>
          <w:rtl/>
          <w:lang w:bidi="ar-EG"/>
        </w:rPr>
        <w:t xml:space="preserve"> في 9 آب/أغسطس 2009، فضلاً عن أن صاحب الشكوى أجرى مقابلة مع طبيب أمراض نفسية واستمر في تلقي علاج طبي أثناء فترة حرمانه من مخالطة الآخرين. وبالإضافة إلى ذلك، فإن الدولة الطرف تشكك في الشهادتين الطبيتين الصادرتين عن الدكتور أوستيرغارد المؤرختين 28 آب/أغسطس و7 أيلول/سبتمبر 2009 والمقدمتين دعماً لادعاء صاحب الشكوى الذي يفيد بأن الحرمان المؤقت من مخالطة الآخرين يشكل تعذيباً، نظراً لأن هذا الطبيب لم يكن الطبيب المعالج لصاحب الشكوى. وبالإضافة إلى ذلك، تؤكد الدولة الطرف أن صاحب الشكوى حصل على توضيح عن خلفية الحرمان المؤقت من مخالطة الآخرين قبل أن يبدأ واحتفظ صاحب الشكوى خلال هذا التوضيح </w:t>
      </w:r>
      <w:r>
        <w:rPr>
          <w:rFonts w:hint="cs"/>
          <w:rtl/>
          <w:lang w:val="en-CA" w:bidi="ar-EG"/>
        </w:rPr>
        <w:t xml:space="preserve">بجأشه وهدوئه. وتضيف الدولة الطرف أنه لم تكن هناك أي قيود على استقبال صاحب الشكوى لزيارات محددة مسبقاً وأن زنزانته كانت مزودة بجهاز تلفزيون وأنه كان بإمكانه ممارسة التمارين الرياضية في الخارج بمفرده لمدة ساعة. والقيدان الوحيدان المفروضان على صاحب الشكوى أثناء وجوده في سجن فيستري هما أنه لم يكن مسموحاً له بمخالطة السجناء الآخرين في الزنازين وممارسة التمارين الرياضية في الخارج مع الآخرين. وطبق نظام مماثل على حرمانه من مخالطة الآخرين في مؤسسة </w:t>
      </w:r>
      <w:r w:rsidRPr="00785A33">
        <w:rPr>
          <w:rtl/>
          <w:lang w:bidi="ar-EG"/>
        </w:rPr>
        <w:t>إليبايك</w:t>
      </w:r>
      <w:r>
        <w:rPr>
          <w:rFonts w:hint="cs"/>
          <w:rtl/>
          <w:lang w:bidi="ar-EG"/>
        </w:rPr>
        <w:t>.</w:t>
      </w:r>
    </w:p>
    <w:p w:rsidR="00094E50" w:rsidRDefault="00094E50" w:rsidP="00A64097">
      <w:pPr>
        <w:pStyle w:val="SingleTxtGA"/>
        <w:rPr>
          <w:rFonts w:hint="cs"/>
          <w:rtl/>
          <w:lang w:bidi="ar-EG"/>
        </w:rPr>
      </w:pPr>
      <w:r>
        <w:rPr>
          <w:rFonts w:hint="cs"/>
          <w:rtl/>
          <w:lang w:bidi="ar-EG"/>
        </w:rPr>
        <w:t>4-21</w:t>
      </w:r>
      <w:r>
        <w:rPr>
          <w:rFonts w:hint="cs"/>
          <w:rtl/>
          <w:lang w:bidi="ar-EG"/>
        </w:rPr>
        <w:tab/>
        <w:t>وتقر الدولة الطرف في ملاحظتها بشأن المادة 12 من الاتفاقية بأن هذه المادة تنطبق أيضاً في حالات "المعاملة أو العقوبة القاسية أو اللاإنسانية أو المهينة". وتشير الدولة الطرف إلى الاجتهادات القضائية السابقة للجنة في تفسير نطاق الالتزام بالتحقيق في أفعال التعذيب أو</w:t>
      </w:r>
      <w:r w:rsidR="00A64097">
        <w:rPr>
          <w:rFonts w:hint="eastAsia"/>
          <w:rtl/>
          <w:lang w:bidi="ar-EG"/>
        </w:rPr>
        <w:t> </w:t>
      </w:r>
      <w:r>
        <w:rPr>
          <w:rFonts w:hint="cs"/>
          <w:rtl/>
          <w:lang w:bidi="ar-EG"/>
        </w:rPr>
        <w:t>سوء المعاملة</w:t>
      </w:r>
      <w:r w:rsidRPr="00AE510A">
        <w:rPr>
          <w:rFonts w:hint="cs"/>
          <w:vertAlign w:val="superscript"/>
          <w:rtl/>
          <w:lang w:bidi="ar-EG"/>
        </w:rPr>
        <w:t>(</w:t>
      </w:r>
      <w:r>
        <w:rPr>
          <w:rStyle w:val="FootnoteReference"/>
          <w:rtl/>
          <w:lang w:bidi="ar-EG"/>
        </w:rPr>
        <w:footnoteReference w:id="84"/>
      </w:r>
      <w:r>
        <w:rPr>
          <w:rFonts w:hint="cs"/>
          <w:vertAlign w:val="superscript"/>
          <w:rtl/>
          <w:lang w:bidi="ar-EG"/>
        </w:rPr>
        <w:t>)</w:t>
      </w:r>
      <w:r>
        <w:rPr>
          <w:rFonts w:hint="cs"/>
          <w:rtl/>
          <w:lang w:bidi="ar-EG"/>
        </w:rPr>
        <w:t>،</w:t>
      </w:r>
      <w:r w:rsidRPr="00322F8C">
        <w:rPr>
          <w:rFonts w:hint="cs"/>
          <w:rtl/>
          <w:lang w:bidi="ar-EG"/>
        </w:rPr>
        <w:t xml:space="preserve"> فتقول إن </w:t>
      </w:r>
      <w:r>
        <w:rPr>
          <w:rFonts w:hint="cs"/>
          <w:rtl/>
          <w:lang w:bidi="ar-EG"/>
        </w:rPr>
        <w:t>أخصائياً للأمراض النفسية بسجون كوبنهاغن فحص صاحب الشكوى في 6 تموز/يوليه 2009 ولم يكن هناك ما يشير إلى أن صحة صاحب الشكوى قد تدهورت بدرجة كبيرة أثناء الحرمان المؤقت من مخالطة الآخرين كما لم تكن هناك أسس معقولة تدعو إلى الخوف من أن الحرمان من مخالطة الآخرين سيشكل معاملة لا إنسانية وفقاً لمعنى الاتفاقية. وحتى 6 تموز/يوليه 2009، تلقى صاحب الشكوى علاجاً بال</w:t>
      </w:r>
      <w:r w:rsidRPr="0077356A">
        <w:rPr>
          <w:rtl/>
          <w:lang w:bidi="ar-EG"/>
        </w:rPr>
        <w:t>كلوربروتيكسين</w:t>
      </w:r>
      <w:r>
        <w:rPr>
          <w:rFonts w:hint="cs"/>
          <w:rtl/>
          <w:lang w:bidi="ar-EG"/>
        </w:rPr>
        <w:t xml:space="preserve">، وهو علاج تلقاه أيضاً أثناء حرمانه المؤقت من مخالطة الآخرين. كما أوصى أخصائي الأمراض النفسية بالنظر في العلاج بمضادات الاكتئاب إذا ظل صاحب الشكوى في الاحتجاز لفترة طويلة. </w:t>
      </w:r>
    </w:p>
    <w:p w:rsidR="00094E50" w:rsidRPr="00A64097" w:rsidRDefault="00094E50" w:rsidP="00A64097">
      <w:pPr>
        <w:pStyle w:val="SingleTxtGA"/>
        <w:rPr>
          <w:rFonts w:hint="cs"/>
          <w:spacing w:val="-2"/>
          <w:rtl/>
          <w:lang w:bidi="ar-EG"/>
        </w:rPr>
      </w:pPr>
      <w:r>
        <w:rPr>
          <w:rFonts w:hint="cs"/>
          <w:rtl/>
          <w:lang w:bidi="ar-EG"/>
        </w:rPr>
        <w:t>4-22</w:t>
      </w:r>
      <w:r>
        <w:rPr>
          <w:rFonts w:hint="cs"/>
          <w:rtl/>
          <w:lang w:bidi="ar-EG"/>
        </w:rPr>
        <w:tab/>
        <w:t xml:space="preserve">وتقر الدولة بواجبها في بدء إجراء تحقيق إذا كانت هناك أسباب معقولة لذلك بصرف النظر عن مصدر الاشتباه. غير أنه في هذه الحالة، إن الشكوى التي قدمها </w:t>
      </w:r>
      <w:r w:rsidRPr="00CB2158">
        <w:rPr>
          <w:rtl/>
          <w:lang w:bidi="ar-EG"/>
        </w:rPr>
        <w:t>السيد سورينسن</w:t>
      </w:r>
      <w:r>
        <w:rPr>
          <w:rFonts w:hint="cs"/>
          <w:rtl/>
          <w:lang w:bidi="ar-EG"/>
        </w:rPr>
        <w:t xml:space="preserve"> و</w:t>
      </w:r>
      <w:r w:rsidRPr="00CB2158">
        <w:rPr>
          <w:rtl/>
          <w:lang w:bidi="ar-EG"/>
        </w:rPr>
        <w:t xml:space="preserve">السيدة غينيفكي </w:t>
      </w:r>
      <w:r>
        <w:rPr>
          <w:rFonts w:hint="cs"/>
          <w:rtl/>
          <w:lang w:bidi="ar-EG"/>
        </w:rPr>
        <w:t>قبل حرمان صاحب الشكوى مؤقتاً من مخالطة الآخرين لا</w:t>
      </w:r>
      <w:r>
        <w:rPr>
          <w:rFonts w:hint="eastAsia"/>
          <w:rtl/>
          <w:lang w:bidi="ar-EG"/>
        </w:rPr>
        <w:t> </w:t>
      </w:r>
      <w:r>
        <w:rPr>
          <w:rFonts w:hint="cs"/>
          <w:rtl/>
          <w:lang w:bidi="ar-EG"/>
        </w:rPr>
        <w:t xml:space="preserve">تشكل مثل هذه الأسباب المعقولة. ذلك أن "المعلومات" التي </w:t>
      </w:r>
      <w:r w:rsidRPr="00EF4237">
        <w:rPr>
          <w:rtl/>
          <w:lang w:bidi="ar-EG"/>
        </w:rPr>
        <w:t xml:space="preserve">قدمها السيد سورينسن والسيدة غينيفكي </w:t>
      </w:r>
      <w:r>
        <w:rPr>
          <w:rFonts w:hint="cs"/>
          <w:rtl/>
          <w:lang w:bidi="ar-EG"/>
        </w:rPr>
        <w:t xml:space="preserve">لم تحتو على معلومات جديدة حول الأوضاع أثناء حرمان صاحب الشكوى من الحرية، بما في ذلك معلومات عن صحته، يمكن أن تعني، من وجهة نظر الدولة الطرف، واجب الشروع في تحقيق بموجب المادة 12 من الاتفاقية. ووفقاً للدولة الطرف، فإن "المعلومات" لا تحتوي إلا على طلب مقدم إلى السلطات الدانمركية بالشروع في إجراء تحقيق بموجب المادة 12، ولكنها لم تقدم أي حجج لدعم الطلب، بخلاف أن صاحب الشكوى قد تعرض من قبل للتعذيب ولذلك تتزايد مخاطر أن ترجع به الذاكرة إلى التعذيب الذي تعرض </w:t>
      </w:r>
      <w:r w:rsidRPr="001E45D5">
        <w:rPr>
          <w:rFonts w:hint="cs"/>
          <w:spacing w:val="-2"/>
          <w:rtl/>
          <w:lang w:bidi="ar-EG"/>
        </w:rPr>
        <w:t>له</w:t>
      </w:r>
      <w:r w:rsidRPr="001E45D5">
        <w:rPr>
          <w:spacing w:val="-2"/>
          <w:rtl/>
          <w:lang w:bidi="ar-EG"/>
        </w:rPr>
        <w:t xml:space="preserve"> إذا سجن</w:t>
      </w:r>
      <w:r w:rsidRPr="001E45D5">
        <w:rPr>
          <w:rFonts w:hint="cs"/>
          <w:spacing w:val="-2"/>
          <w:vertAlign w:val="superscript"/>
          <w:rtl/>
          <w:lang w:bidi="ar-EG"/>
        </w:rPr>
        <w:t>(</w:t>
      </w:r>
      <w:r w:rsidRPr="001E45D5">
        <w:rPr>
          <w:rStyle w:val="FootnoteReference"/>
          <w:spacing w:val="-2"/>
          <w:rtl/>
          <w:lang w:bidi="ar-EG"/>
        </w:rPr>
        <w:footnoteReference w:id="85"/>
      </w:r>
      <w:r w:rsidRPr="001E45D5">
        <w:rPr>
          <w:rFonts w:hint="cs"/>
          <w:spacing w:val="-2"/>
          <w:vertAlign w:val="superscript"/>
          <w:rtl/>
          <w:lang w:bidi="ar-EG"/>
        </w:rPr>
        <w:t>)</w:t>
      </w:r>
      <w:r w:rsidRPr="001E45D5">
        <w:rPr>
          <w:rFonts w:hint="cs"/>
          <w:spacing w:val="-2"/>
          <w:rtl/>
          <w:lang w:bidi="ar-EG"/>
        </w:rPr>
        <w:t xml:space="preserve">. وبالإضافة إلى ذلك، تفيد الدولة الطرف بأن صاحب الشكوى لم يدع في أي وقت من الأوقات أنه تعرض لأي سوء معاملة أثناء احتجازه في </w:t>
      </w:r>
      <w:r w:rsidRPr="001E45D5">
        <w:rPr>
          <w:spacing w:val="-2"/>
          <w:rtl/>
          <w:lang w:bidi="ar-EG"/>
        </w:rPr>
        <w:t>مؤسسة إليبايك</w:t>
      </w:r>
      <w:r w:rsidRPr="001E45D5">
        <w:rPr>
          <w:rFonts w:hint="cs"/>
          <w:spacing w:val="-2"/>
          <w:rtl/>
          <w:lang w:bidi="ar-EG"/>
        </w:rPr>
        <w:t>، بما في</w:t>
      </w:r>
      <w:r>
        <w:rPr>
          <w:rFonts w:hint="cs"/>
          <w:rtl/>
          <w:lang w:bidi="ar-EG"/>
        </w:rPr>
        <w:t xml:space="preserve"> </w:t>
      </w:r>
      <w:r w:rsidRPr="00A64097">
        <w:rPr>
          <w:rFonts w:hint="cs"/>
          <w:spacing w:val="-2"/>
          <w:rtl/>
          <w:lang w:bidi="ar-EG"/>
        </w:rPr>
        <w:t xml:space="preserve">ذلك الوقت الذي قضاه وهو محروم مؤقتاً من مخالطة الآخرين. وتلاحظ الدولة الطرف بصفة خاصة أن صاحب الشكوى أشار صراحة أثناء مقابلته في </w:t>
      </w:r>
      <w:r w:rsidRPr="00A64097">
        <w:rPr>
          <w:spacing w:val="-2"/>
          <w:rtl/>
          <w:lang w:bidi="ar-EG"/>
        </w:rPr>
        <w:t>مؤسسة إليبايك</w:t>
      </w:r>
      <w:r w:rsidRPr="00A64097">
        <w:rPr>
          <w:rFonts w:hint="cs"/>
          <w:spacing w:val="-2"/>
          <w:rtl/>
          <w:lang w:bidi="ar-EG"/>
        </w:rPr>
        <w:t xml:space="preserve"> إلى أنه لا يريد تقديم شكوى ضد سلوك أي من أفراد المؤسسة. وبناء على هذه المعلومات، ترى الدولة الطرف أنه لا توجد أسباب معقولة تدعو إلى الاعتقاد بأن صاحب الشكوى تعرض لأي فعل من أفعال المعاملة أو العقوبة القاسية أو اللاإنسانية أو المهينة عندما حُرم مؤقتاً من مخالطة الآخرين. </w:t>
      </w:r>
    </w:p>
    <w:p w:rsidR="00094E50" w:rsidRDefault="00094E50" w:rsidP="00094E50">
      <w:pPr>
        <w:pStyle w:val="SingleTxtGA"/>
        <w:spacing w:line="360" w:lineRule="exact"/>
        <w:rPr>
          <w:rFonts w:hint="cs"/>
          <w:rtl/>
          <w:lang w:val="fr-CH"/>
        </w:rPr>
      </w:pPr>
      <w:r>
        <w:rPr>
          <w:rFonts w:hint="cs"/>
          <w:rtl/>
          <w:lang w:bidi="ar-EG"/>
        </w:rPr>
        <w:t>4-23</w:t>
      </w:r>
      <w:r>
        <w:rPr>
          <w:rFonts w:hint="cs"/>
          <w:rtl/>
          <w:lang w:bidi="ar-EG"/>
        </w:rPr>
        <w:tab/>
        <w:t xml:space="preserve">وتخلص الدولة الطرف إلى أنه لم تحدث أي انتهاكات للاتفاقية في هذه القضية. </w:t>
      </w:r>
    </w:p>
    <w:p w:rsidR="00094E50" w:rsidRDefault="00094E50" w:rsidP="00094E50">
      <w:pPr>
        <w:pStyle w:val="H23GA"/>
        <w:spacing w:line="360" w:lineRule="exact"/>
        <w:rPr>
          <w:rFonts w:hint="cs"/>
          <w:rtl/>
          <w:lang w:val="fr-CH"/>
        </w:rPr>
      </w:pPr>
      <w:r>
        <w:rPr>
          <w:rFonts w:hint="cs"/>
          <w:rtl/>
          <w:lang w:val="fr-CH"/>
        </w:rPr>
        <w:tab/>
      </w:r>
      <w:r>
        <w:rPr>
          <w:rFonts w:hint="cs"/>
          <w:rtl/>
          <w:lang w:val="fr-CH"/>
        </w:rPr>
        <w:tab/>
        <w:t>تعليقات صاحب الشكوى على ملاحظات الدولة الطرف بشأن المقبولية والأسس الموضوعية</w:t>
      </w:r>
    </w:p>
    <w:p w:rsidR="00094E50" w:rsidRPr="00A47B86" w:rsidRDefault="00094E50" w:rsidP="00A64097">
      <w:pPr>
        <w:pStyle w:val="SingleTxtGA"/>
        <w:rPr>
          <w:rFonts w:hint="cs"/>
          <w:rtl/>
          <w:lang w:val="fr-CH"/>
        </w:rPr>
      </w:pPr>
      <w:r w:rsidRPr="00A47B86">
        <w:rPr>
          <w:rFonts w:hint="cs"/>
          <w:rtl/>
          <w:lang w:val="fr-CH"/>
        </w:rPr>
        <w:t>5-1</w:t>
      </w:r>
      <w:r w:rsidRPr="00A47B86">
        <w:rPr>
          <w:rFonts w:hint="cs"/>
          <w:rtl/>
          <w:lang w:val="fr-CH"/>
        </w:rPr>
        <w:tab/>
      </w:r>
      <w:r>
        <w:rPr>
          <w:rFonts w:hint="cs"/>
          <w:rtl/>
          <w:lang w:val="fr-CH"/>
        </w:rPr>
        <w:t>أشار محامي صاحب الشكوى في تعليقاته المؤرخة 22 تشرين الثاني/نوفمبر 2010، إلى وقائع ذات صلة بالقضية.</w:t>
      </w:r>
    </w:p>
    <w:p w:rsidR="00094E50" w:rsidRDefault="00094E50" w:rsidP="00A64097">
      <w:pPr>
        <w:pStyle w:val="SingleTxtGA"/>
        <w:rPr>
          <w:rFonts w:hint="cs"/>
          <w:rtl/>
          <w:lang w:val="fr-CH"/>
        </w:rPr>
      </w:pPr>
      <w:r w:rsidRPr="00A47B86">
        <w:rPr>
          <w:rFonts w:hint="cs"/>
          <w:rtl/>
          <w:lang w:val="fr-CH"/>
        </w:rPr>
        <w:t>5-2</w:t>
      </w:r>
      <w:r w:rsidRPr="00A47B86">
        <w:rPr>
          <w:rFonts w:hint="cs"/>
          <w:rtl/>
          <w:lang w:val="fr-CH"/>
        </w:rPr>
        <w:tab/>
      </w:r>
      <w:r>
        <w:rPr>
          <w:rFonts w:hint="cs"/>
          <w:rtl/>
          <w:lang w:val="fr-CH"/>
        </w:rPr>
        <w:t>وفيما يتعلق بالمادة 12 من الاتفاقية، يعترض</w:t>
      </w:r>
      <w:r w:rsidRPr="00F81BBD">
        <w:rPr>
          <w:rFonts w:hint="cs"/>
          <w:rtl/>
          <w:lang w:val="fr-CH"/>
        </w:rPr>
        <w:t xml:space="preserve"> </w:t>
      </w:r>
      <w:r>
        <w:rPr>
          <w:rFonts w:hint="cs"/>
          <w:rtl/>
          <w:lang w:val="fr-CH"/>
        </w:rPr>
        <w:t xml:space="preserve">صاحب الشكوى على ادعاءات الدولة الطرف التي تفيد بأن صاحب الشكوى "بدا راضياً واحتفظ برباطة جأشه وهدوئه" أثناء حرمانه من مخالطة الآخرين. ويعترض أيضاً على بيان الدولة الطرف الذي يفيد بأن الشكوى المقدمة من </w:t>
      </w:r>
      <w:r w:rsidRPr="00F81BBD">
        <w:rPr>
          <w:rtl/>
          <w:lang w:val="fr-CH"/>
        </w:rPr>
        <w:t>السيد سورينسن</w:t>
      </w:r>
      <w:r>
        <w:rPr>
          <w:rFonts w:hint="cs"/>
          <w:rtl/>
          <w:lang w:val="fr-CH"/>
        </w:rPr>
        <w:t xml:space="preserve"> و</w:t>
      </w:r>
      <w:r w:rsidRPr="00F81BBD">
        <w:rPr>
          <w:rtl/>
          <w:lang w:val="fr-CH"/>
        </w:rPr>
        <w:t xml:space="preserve">السيدة غينيفكي </w:t>
      </w:r>
      <w:r>
        <w:rPr>
          <w:rFonts w:hint="cs"/>
          <w:rtl/>
          <w:lang w:val="fr-CH"/>
        </w:rPr>
        <w:t>في 5 آب/أغسطس 2009، قبل حرمانه مؤقتاً من مخالطة الآخرين، لا تشكل أساساً معقولاً للشروع في إجراء تحقيق وفقاً للمادة 12 من الاتفاقية. ذلك أن الخبيرين المشار إليهما يعتبران من كبار الخبراء في مجال التعذيب وشكواهما بالنيابة عن شخص وقع ضحية للتعذيب أو سوء معاملة وزعمهما خطر أن ترجع ذاكرة الشخص به للتعذيب الذي تعرض له وتدهور صحته العقلية نتيجة تعذيب تعرض له في الماضي ينبغي اعتبارها كسبب معقول لمواصلة التحقيقات. وبالإضافة إلى ذلك، يشير صاحب الشكوى إلى أن الشكوى المؤرخة 5 آب/أغسطس 2009 تستهدف ظروف الاحتجاز منذ</w:t>
      </w:r>
      <w:r>
        <w:rPr>
          <w:rFonts w:hint="eastAsia"/>
          <w:rtl/>
          <w:lang w:val="fr-CH"/>
        </w:rPr>
        <w:t> </w:t>
      </w:r>
      <w:r>
        <w:rPr>
          <w:rFonts w:hint="cs"/>
          <w:rtl/>
          <w:lang w:val="fr-CH"/>
        </w:rPr>
        <w:t>18 حزيران/يونيه 2009، وليس فقط عقوبة حرمانه من مخالطة الآخرين لمدة أربعة أيام والحرمان من الحرية كشكل من أشكال التعذيب أو سوء المعاملة ضد ضحية لتعذيب في الماضي. وبالإضافة إلى ذلك، بما أن صاحب الشكوى وضع في زنزانة عقابية، وهو ما كان أسوأ بالنسبة لظروفه الصحية، كان ينبغي اعتبار ذلك كسبب إضافي لإجراء تحقيق عملاً بالمادة</w:t>
      </w:r>
      <w:r>
        <w:rPr>
          <w:rFonts w:hint="eastAsia"/>
          <w:rtl/>
          <w:lang w:val="fr-CH"/>
        </w:rPr>
        <w:t> </w:t>
      </w:r>
      <w:r>
        <w:rPr>
          <w:rFonts w:hint="cs"/>
          <w:rtl/>
          <w:lang w:val="fr-CH"/>
        </w:rPr>
        <w:t>12 من الاتفاقية، حسبما طلب الخبيران بالنيابة عن صاحب الشكوى. وبخلاف الإشارة إلى تقرير الطب النفسي الصادر في 6 تموز/يوليه 2009 وعلاج صاحب الشكوى</w:t>
      </w:r>
      <w:r w:rsidRPr="0066237C">
        <w:rPr>
          <w:rtl/>
        </w:rPr>
        <w:t xml:space="preserve"> </w:t>
      </w:r>
      <w:r w:rsidRPr="0066237C">
        <w:rPr>
          <w:rtl/>
          <w:lang w:val="fr-CH"/>
        </w:rPr>
        <w:t>بالكلوربروتيكسين</w:t>
      </w:r>
      <w:r>
        <w:rPr>
          <w:rFonts w:hint="cs"/>
          <w:rtl/>
          <w:lang w:val="fr-CH"/>
        </w:rPr>
        <w:t xml:space="preserve"> من أجل احتواء قلقه أثناء الاحتجاز، لم توضح الدولة الطرف</w:t>
      </w:r>
      <w:r w:rsidRPr="000F6755">
        <w:rPr>
          <w:rFonts w:hint="cs"/>
          <w:rtl/>
          <w:lang w:val="fr-CH"/>
        </w:rPr>
        <w:t xml:space="preserve"> </w:t>
      </w:r>
      <w:r>
        <w:rPr>
          <w:rFonts w:hint="cs"/>
          <w:rtl/>
          <w:lang w:val="fr-CH"/>
        </w:rPr>
        <w:t xml:space="preserve">بطريقة مقنعة، من وجهة نظر المحامي، وتيرة ونوع الفحص الطبي الذي حصل عليه صاحب الشكوى كشخص تعرض للتعذيب في الماضي قبل وأثناء احتجازه. ووفقاً لصاحب الشكوى، فإن فحص حالته الصحية لم يجر أبداً من جانب الدولة الطرف ولكن كمبادرة خاصة فقط من الطبيب المعالج الذي خلص في 28 آب/أغسطس 2009 إلى أن حالته الصحية تدهورت بشكل خطير. وبالإضافة إلى ذلك، يدعي صاحب الشكوى أن الشهادة رفضت كدليل جديد من جانب وزارة شؤون اللاجئين والهجرة والإدماج في 1 أيلول/سبتمبر 2009 نظراً لأن الشهادة الطبية لم "تكن موقعة" من الدكتور </w:t>
      </w:r>
      <w:r w:rsidRPr="0066237C">
        <w:rPr>
          <w:rtl/>
          <w:lang w:val="fr-CH"/>
        </w:rPr>
        <w:t>أ</w:t>
      </w:r>
      <w:r>
        <w:rPr>
          <w:rFonts w:hint="cs"/>
          <w:rtl/>
          <w:lang w:val="fr-CH"/>
        </w:rPr>
        <w:t>و</w:t>
      </w:r>
      <w:r w:rsidRPr="0066237C">
        <w:rPr>
          <w:rtl/>
          <w:lang w:val="fr-CH"/>
        </w:rPr>
        <w:t>ستيرغارد</w:t>
      </w:r>
      <w:r>
        <w:rPr>
          <w:rFonts w:hint="cs"/>
          <w:rtl/>
          <w:lang w:val="fr-CH"/>
        </w:rPr>
        <w:t xml:space="preserve">. وعلى الرغم من أن الوزارة طلبت مرة أخرى تقديم شهادة طبية جديدة وموقعة من الدكتور </w:t>
      </w:r>
      <w:r w:rsidRPr="0066237C">
        <w:rPr>
          <w:rtl/>
          <w:lang w:val="fr-CH"/>
        </w:rPr>
        <w:t>أ</w:t>
      </w:r>
      <w:r>
        <w:rPr>
          <w:rFonts w:hint="cs"/>
          <w:rtl/>
          <w:lang w:val="fr-CH"/>
        </w:rPr>
        <w:t>و</w:t>
      </w:r>
      <w:r w:rsidRPr="0066237C">
        <w:rPr>
          <w:rtl/>
          <w:lang w:val="fr-CH"/>
        </w:rPr>
        <w:t>ستيرغارد</w:t>
      </w:r>
      <w:r w:rsidR="00124D43">
        <w:rPr>
          <w:rFonts w:hint="cs"/>
          <w:rtl/>
          <w:lang w:val="fr-CH"/>
        </w:rPr>
        <w:t xml:space="preserve"> بحلول 8 أيلول/</w:t>
      </w:r>
      <w:r>
        <w:rPr>
          <w:rFonts w:hint="cs"/>
          <w:rtl/>
          <w:lang w:val="fr-CH"/>
        </w:rPr>
        <w:t xml:space="preserve">سبتمبر 2009، فقد رحلت الدولة الطرف صاحب </w:t>
      </w:r>
      <w:r w:rsidR="00124D43">
        <w:rPr>
          <w:rFonts w:hint="cs"/>
          <w:rtl/>
          <w:lang w:val="fr-CH"/>
        </w:rPr>
        <w:t>الشكوى إلى العراق في 2 أيلول/</w:t>
      </w:r>
      <w:r>
        <w:rPr>
          <w:rFonts w:hint="cs"/>
          <w:rtl/>
          <w:lang w:val="fr-CH"/>
        </w:rPr>
        <w:t>سبتمبر 2009.</w:t>
      </w:r>
    </w:p>
    <w:p w:rsidR="00094E50" w:rsidRDefault="00094E50" w:rsidP="00A64097">
      <w:pPr>
        <w:pStyle w:val="SingleTxtGA"/>
        <w:rPr>
          <w:rFonts w:hint="cs"/>
          <w:rtl/>
          <w:lang w:val="fr-CH"/>
        </w:rPr>
      </w:pPr>
      <w:r>
        <w:rPr>
          <w:rFonts w:hint="cs"/>
          <w:rtl/>
          <w:lang w:val="fr-CH"/>
        </w:rPr>
        <w:t>5-3</w:t>
      </w:r>
      <w:r>
        <w:rPr>
          <w:rFonts w:hint="cs"/>
          <w:rtl/>
          <w:lang w:val="fr-CH"/>
        </w:rPr>
        <w:tab/>
        <w:t xml:space="preserve">وبالإضافة إلى ذلك، يؤكد صاحب الشكوى من جديد أن الدولة الطرف، برفضها التحقيق في حالته الصحية، ظلت بدون معرفة أساسية عن معاناة صاحب الشكوى نتيجة تعذيبه في الماضي ومعاملته بطريقة لا إنسانية في العراق ومعاناته الجديدة الناتجة عن الاحتجاز واستخدام زنزانة عقابية في الدانمرك، في انتهاك للمادتين 2 و16 والمادة 12 من الاتفاقية. ويعترض صاحب الشكوى على ادعاء الدولة الطرف الذي يفيد بأنه لم يدع في هذه القضية في أي وقت من الأوقات أنه تعرض لسوء معاملة أثناء احتجازه في </w:t>
      </w:r>
      <w:r w:rsidRPr="00862EB9">
        <w:rPr>
          <w:rtl/>
          <w:lang w:val="fr-CH"/>
        </w:rPr>
        <w:t>مؤسسة إليبايك</w:t>
      </w:r>
      <w:r>
        <w:rPr>
          <w:rFonts w:hint="cs"/>
          <w:rtl/>
          <w:lang w:val="fr-CH"/>
        </w:rPr>
        <w:t xml:space="preserve">، ويدعي أنه تم ملء طلب إجراء تحقيق بالنيابة عنه في 5 آب/أغسطس 2009، وتلاه عدد من الرسائل البريدية والرسائل بالبريد الإلكتروني من جانب محاميه. وبالإضافة إلى ذلك، يدعي صاحب الشكوى أن مزاعم الدولة الطرف بشأن البيان الذي يدعى أنه أدلى به أثناء مقابلة والذي يفيد بأنه "لا يريد أن يقدم شكوى ضد سلوك أي من أفراد المؤسسة" لا يمكن اعتباره كإثبات على أنه سحب الشكوى المقدمة في 5 آب/أغسطس 2009 من </w:t>
      </w:r>
      <w:r w:rsidRPr="006B425E">
        <w:rPr>
          <w:rtl/>
          <w:lang w:val="fr-CH"/>
        </w:rPr>
        <w:t xml:space="preserve">السيد سورينسن </w:t>
      </w:r>
      <w:r>
        <w:rPr>
          <w:rFonts w:hint="cs"/>
          <w:rtl/>
          <w:lang w:val="fr-CH"/>
        </w:rPr>
        <w:t>و</w:t>
      </w:r>
      <w:r w:rsidRPr="006B425E">
        <w:rPr>
          <w:rtl/>
          <w:lang w:val="fr-CH"/>
        </w:rPr>
        <w:t>السيدة غينيفكي</w:t>
      </w:r>
      <w:r>
        <w:rPr>
          <w:rFonts w:hint="cs"/>
          <w:rtl/>
          <w:lang w:val="fr-CH"/>
        </w:rPr>
        <w:t>. وأخيراً، يميز صاحب الشكوى بين إمكانية تقديم شكوى حول "سلوك ملموس" لفرادى أفراد المؤسسة وتقديم شكوى ضد قرار الشروع في استخدام الزنزانة العقابية ونقل صاحب الشكوى إلى سجن فيستري، الذي يستخدم للمجرمين العاديين. ويرى صاحب الشكوى أن المعاملة اللاإنسانية وقعت في المقام الأول بسبب قرار احتجازه ونقله إلى زنزانة عقابية في سجن فيستري.</w:t>
      </w:r>
    </w:p>
    <w:p w:rsidR="00094E50" w:rsidRDefault="00094E50" w:rsidP="00A64097">
      <w:pPr>
        <w:pStyle w:val="SingleTxtGA"/>
        <w:rPr>
          <w:rFonts w:hint="cs"/>
          <w:rtl/>
          <w:lang w:val="fr-CH"/>
        </w:rPr>
      </w:pPr>
      <w:r>
        <w:rPr>
          <w:rFonts w:hint="cs"/>
          <w:rtl/>
          <w:lang w:val="fr-CH"/>
        </w:rPr>
        <w:t>5-4</w:t>
      </w:r>
      <w:r>
        <w:rPr>
          <w:rFonts w:hint="cs"/>
          <w:rtl/>
          <w:lang w:val="fr-CH"/>
        </w:rPr>
        <w:tab/>
        <w:t>وفيما يتعلق بالانتهاك المزعوم للمادة 3 من الاتفاقية، يدعي صاحب الشكوى أنه شُرع في ترحيله في 25 آب/أغسطس 2009 عندما اتصلت شرطة الدولة بوزارة شؤون اللاجئين والهجرة والإدماج ومجلس طعون اللاجئين ودائرة الهجرة للاستفسار عما إذا كانت الشرطة يمكن أن تمضي قدماً في عملية الترحيل. ويؤكد صاحب الشكوى أن انتهاك المادة 3 من الاتفاقية حدث في 2 أيلول/سبتمبر 2009، عندما نُفّذ الترحيل. ويدعي أيضاً أنه رُحّل إلى العراق بدون التحقيق في ظروفه الصحية الناتجة عن تعرضه للتعذيب والمعاملة اللاإنسانية في الماضي. ويضيف صاحب الشكوى أن الترحيل نُفّذ بدون مراعاة لتقرير الفريق الطبي لمنظمة العفو الدولية الصادر في 12 شباط/فبراير 2009، فضلاً عن الشهادة الطبية الصادرة في 28 آب/أغسطس 2009. ويخلص صاحب الشكوى إلى أن ترحيله قبل انتهاء المدة المحددة البالغة سبعة أيام لإعادة تقديم شهادة طبية جديدة وموقعة إلى وزارة شؤون اللاجئين والهجرة والإدماج يمثل انتهاكاً واضحاً للمادة 3 من الاتفاقية.</w:t>
      </w:r>
    </w:p>
    <w:p w:rsidR="00094E50" w:rsidRPr="00CC0C62" w:rsidRDefault="00094E50" w:rsidP="00094E50">
      <w:pPr>
        <w:pStyle w:val="H23GA"/>
        <w:rPr>
          <w:rtl/>
        </w:rPr>
      </w:pPr>
      <w:r w:rsidRPr="00CC0C62">
        <w:rPr>
          <w:rFonts w:hint="cs"/>
          <w:rtl/>
        </w:rPr>
        <w:tab/>
      </w:r>
      <w:r w:rsidRPr="00CC0C62">
        <w:rPr>
          <w:rFonts w:hint="cs"/>
          <w:rtl/>
        </w:rPr>
        <w:tab/>
      </w:r>
      <w:r w:rsidRPr="00CC0C62">
        <w:rPr>
          <w:rtl/>
        </w:rPr>
        <w:t xml:space="preserve">المسائل </w:t>
      </w:r>
      <w:r>
        <w:rPr>
          <w:rFonts w:hint="cs"/>
          <w:rtl/>
        </w:rPr>
        <w:t xml:space="preserve">والإجراءات </w:t>
      </w:r>
      <w:r w:rsidRPr="00CC0C62">
        <w:rPr>
          <w:rFonts w:hint="cs"/>
          <w:rtl/>
        </w:rPr>
        <w:t xml:space="preserve">المعروضة على </w:t>
      </w:r>
      <w:r w:rsidRPr="00CC0C62">
        <w:rPr>
          <w:rtl/>
        </w:rPr>
        <w:t>اللجنة</w:t>
      </w:r>
    </w:p>
    <w:p w:rsidR="00094E50" w:rsidRPr="006A77F9" w:rsidRDefault="001E45D5" w:rsidP="001E45D5">
      <w:pPr>
        <w:pStyle w:val="H4GA"/>
        <w:rPr>
          <w:rFonts w:hint="cs"/>
          <w:rtl/>
        </w:rPr>
      </w:pPr>
      <w:r>
        <w:rPr>
          <w:rFonts w:hint="cs"/>
          <w:rtl/>
        </w:rPr>
        <w:tab/>
      </w:r>
      <w:r>
        <w:rPr>
          <w:rFonts w:hint="cs"/>
          <w:rtl/>
        </w:rPr>
        <w:tab/>
      </w:r>
      <w:r w:rsidR="00094E50" w:rsidRPr="006A77F9">
        <w:rPr>
          <w:rFonts w:hint="cs"/>
          <w:rtl/>
        </w:rPr>
        <w:t>النظر في المقبولية</w:t>
      </w:r>
    </w:p>
    <w:p w:rsidR="00094E50" w:rsidRDefault="00094E50" w:rsidP="001E45D5">
      <w:pPr>
        <w:pStyle w:val="SingleTxtGA"/>
        <w:spacing w:line="374" w:lineRule="exact"/>
        <w:rPr>
          <w:rFonts w:hint="cs"/>
          <w:spacing w:val="-5"/>
          <w:rtl/>
        </w:rPr>
      </w:pPr>
      <w:r w:rsidRPr="00EB5027">
        <w:rPr>
          <w:rFonts w:hint="cs"/>
          <w:rtl/>
        </w:rPr>
        <w:t>6-</w:t>
      </w:r>
      <w:r>
        <w:rPr>
          <w:rFonts w:hint="cs"/>
          <w:rtl/>
        </w:rPr>
        <w:t>1</w:t>
      </w:r>
      <w:r w:rsidRPr="00EB5027">
        <w:rPr>
          <w:rFonts w:hint="cs"/>
          <w:rtl/>
        </w:rPr>
        <w:tab/>
      </w:r>
      <w:r w:rsidRPr="00EB5027">
        <w:rPr>
          <w:spacing w:val="-5"/>
          <w:rtl/>
        </w:rPr>
        <w:t xml:space="preserve">قبل النظر في أي </w:t>
      </w:r>
      <w:r w:rsidRPr="00EB5027">
        <w:rPr>
          <w:rFonts w:hint="cs"/>
          <w:spacing w:val="-5"/>
          <w:rtl/>
        </w:rPr>
        <w:t>ادعاء</w:t>
      </w:r>
      <w:r w:rsidRPr="00EB5027">
        <w:rPr>
          <w:spacing w:val="-5"/>
          <w:rtl/>
        </w:rPr>
        <w:t xml:space="preserve"> يرد في </w:t>
      </w:r>
      <w:r w:rsidRPr="00EB5027">
        <w:rPr>
          <w:rFonts w:hint="cs"/>
          <w:spacing w:val="-5"/>
          <w:rtl/>
        </w:rPr>
        <w:t xml:space="preserve">شكوى </w:t>
      </w:r>
      <w:r w:rsidRPr="00EB5027">
        <w:rPr>
          <w:spacing w:val="-5"/>
          <w:rtl/>
        </w:rPr>
        <w:t>ما، يجب على لجنـة مناهضـة التعذيـب أن تقرر ما إذا كان</w:t>
      </w:r>
      <w:r w:rsidRPr="00EB5027">
        <w:rPr>
          <w:rFonts w:hint="cs"/>
          <w:spacing w:val="-5"/>
          <w:rtl/>
        </w:rPr>
        <w:t>ت</w:t>
      </w:r>
      <w:r w:rsidRPr="00EB5027">
        <w:rPr>
          <w:spacing w:val="-5"/>
          <w:rtl/>
        </w:rPr>
        <w:t xml:space="preserve"> </w:t>
      </w:r>
      <w:r w:rsidRPr="00EB5027">
        <w:rPr>
          <w:rFonts w:hint="cs"/>
          <w:spacing w:val="-5"/>
          <w:rtl/>
        </w:rPr>
        <w:t xml:space="preserve">الشكوى </w:t>
      </w:r>
      <w:r w:rsidRPr="00EB5027">
        <w:rPr>
          <w:spacing w:val="-5"/>
          <w:rtl/>
        </w:rPr>
        <w:t>مقبول</w:t>
      </w:r>
      <w:r w:rsidRPr="00EB5027">
        <w:rPr>
          <w:rFonts w:hint="cs"/>
          <w:spacing w:val="-5"/>
          <w:rtl/>
        </w:rPr>
        <w:t>ة</w:t>
      </w:r>
      <w:r w:rsidRPr="00EB5027">
        <w:rPr>
          <w:spacing w:val="-5"/>
          <w:rtl/>
        </w:rPr>
        <w:t xml:space="preserve"> أم لا بموجب المادة 22 من الاتفاقية. وقد تأكـدت اللجنـة، وفقـاً لما تقتضيـه الفقرة 5(أ) من المادة 22 من الاتفاقية، من أن المسألة نفسها لم</w:t>
      </w:r>
      <w:r w:rsidRPr="00EB5027">
        <w:rPr>
          <w:rFonts w:hint="cs"/>
          <w:spacing w:val="-5"/>
          <w:rtl/>
        </w:rPr>
        <w:t> </w:t>
      </w:r>
      <w:r w:rsidRPr="00EB5027">
        <w:rPr>
          <w:spacing w:val="-5"/>
          <w:rtl/>
        </w:rPr>
        <w:t>تبحث ولا</w:t>
      </w:r>
      <w:r>
        <w:rPr>
          <w:rFonts w:hint="cs"/>
          <w:spacing w:val="-5"/>
          <w:rtl/>
        </w:rPr>
        <w:t> </w:t>
      </w:r>
      <w:r w:rsidRPr="00EB5027">
        <w:rPr>
          <w:spacing w:val="-5"/>
          <w:rtl/>
        </w:rPr>
        <w:t xml:space="preserve">يجري بحثها في إطار أي إجراء آخر من إجراءات التحقيق الدولي أو التسوية الدولية. </w:t>
      </w:r>
    </w:p>
    <w:p w:rsidR="00094E50" w:rsidRDefault="00094E50" w:rsidP="001E45D5">
      <w:pPr>
        <w:pStyle w:val="SingleTxtGA"/>
        <w:spacing w:line="374" w:lineRule="exact"/>
        <w:rPr>
          <w:rFonts w:hint="cs"/>
          <w:spacing w:val="-5"/>
          <w:rtl/>
        </w:rPr>
      </w:pPr>
      <w:r>
        <w:rPr>
          <w:rFonts w:hint="cs"/>
          <w:spacing w:val="-5"/>
          <w:rtl/>
        </w:rPr>
        <w:t>6-2</w:t>
      </w:r>
      <w:r>
        <w:rPr>
          <w:rFonts w:hint="cs"/>
          <w:spacing w:val="-5"/>
          <w:rtl/>
        </w:rPr>
        <w:tab/>
        <w:t>ووفقاً للفقرة 5(ب) من المادة 22 من الاتفاقية، لا تنظر اللجنة في أي بلاغ ما لم تتأكد من أن الشخص استنفد جميع سبل الانتصاف المحلية؛ ولا تنطبق هذه القاعدة إذا تأكدت من أن تطبيق سبل الانتصاف المحلية قد امتد لفترات غير معقولة، أو أن من غير المرجح أن يؤدي إلى تخفيف فعال لمعاناة الضحية المزعومة.</w:t>
      </w:r>
    </w:p>
    <w:p w:rsidR="00094E50" w:rsidRDefault="00094E50" w:rsidP="001E45D5">
      <w:pPr>
        <w:pStyle w:val="SingleTxtGA"/>
        <w:spacing w:line="374" w:lineRule="exact"/>
        <w:rPr>
          <w:rFonts w:hint="cs"/>
          <w:rtl/>
        </w:rPr>
      </w:pPr>
      <w:r>
        <w:rPr>
          <w:rFonts w:hint="cs"/>
          <w:rtl/>
        </w:rPr>
        <w:t>6-3</w:t>
      </w:r>
      <w:r>
        <w:rPr>
          <w:rFonts w:hint="cs"/>
          <w:rtl/>
        </w:rPr>
        <w:tab/>
        <w:t xml:space="preserve">وتلاحظ اللجنة أن الدولة الطرف اعترضت على مقبولية الشكوى فيما يتعلق بالادعاءات التي تفيد بانتهاك المادتين 2 و16 على أساس أنه لم تكن هناك أدلة تشير إلى أن صاحب الشكوى طعن في قرار </w:t>
      </w:r>
      <w:r w:rsidRPr="00527E19">
        <w:rPr>
          <w:rtl/>
        </w:rPr>
        <w:t>مؤسسة إليبايك</w:t>
      </w:r>
      <w:r>
        <w:rPr>
          <w:rFonts w:hint="cs"/>
          <w:rtl/>
        </w:rPr>
        <w:t xml:space="preserve"> بشأن الحرمان المؤقت من مخالطة الآخرين أمام إدارة السجون والحبس الاحتياطي. وتلاحظ اللجنة أن الدولة الطرف طلبت إعلان هذا الجزء من الشكوى غير مقبول لعدم استنفاد جميع سبل الانتصاف المحلية المتاحة والفعالة. غير أن اللجنة تلاحظ أن المسألة المعروضة أمامها لا تتعلق حصراً بالاحتجاز والحرمان المؤقت من مخالطة الآخرين ولكن بفترة الاحتجاز بأكملها ابتداء من 18 حزيران/يونيه 2009. وتلاحظ اللجنة أن محكمة منطقة هيليرود والمحكمة العليا لشرقي الدانمرك أيدتا احتجاز </w:t>
      </w:r>
      <w:r w:rsidRPr="00A64097">
        <w:rPr>
          <w:rFonts w:hint="cs"/>
          <w:spacing w:val="-4"/>
          <w:rtl/>
        </w:rPr>
        <w:t xml:space="preserve">صاحب الشكوى في </w:t>
      </w:r>
      <w:r w:rsidRPr="00A64097">
        <w:rPr>
          <w:spacing w:val="-4"/>
          <w:rtl/>
        </w:rPr>
        <w:t>مؤسسة إليبايك</w:t>
      </w:r>
      <w:r w:rsidRPr="00A64097">
        <w:rPr>
          <w:rFonts w:hint="cs"/>
          <w:spacing w:val="-4"/>
          <w:rtl/>
        </w:rPr>
        <w:t xml:space="preserve"> في 19 حزيران/يونيه 2009 و23 حزيران/يونيه 2009 </w:t>
      </w:r>
      <w:r>
        <w:rPr>
          <w:rFonts w:hint="cs"/>
          <w:rtl/>
        </w:rPr>
        <w:t xml:space="preserve">على التوالي. وتخلص اللجنة في هذه الظروف </w:t>
      </w:r>
      <w:r>
        <w:rPr>
          <w:rFonts w:hint="cs"/>
          <w:rtl/>
          <w:lang w:bidi="ar-EG"/>
        </w:rPr>
        <w:t xml:space="preserve">إلى أنه </w:t>
      </w:r>
      <w:r>
        <w:rPr>
          <w:rFonts w:hint="cs"/>
          <w:rtl/>
        </w:rPr>
        <w:t xml:space="preserve">لا يوجد في مقتضيات الفقرة 5(ب) من المادة 22 ما يمنعها من النظر في الشكوى. </w:t>
      </w:r>
    </w:p>
    <w:p w:rsidR="00094E50" w:rsidRDefault="00094E50" w:rsidP="001E45D5">
      <w:pPr>
        <w:pStyle w:val="SingleTxtGA"/>
        <w:spacing w:line="374" w:lineRule="exact"/>
        <w:rPr>
          <w:rFonts w:hint="cs"/>
          <w:rtl/>
        </w:rPr>
      </w:pPr>
      <w:r>
        <w:rPr>
          <w:rFonts w:hint="cs"/>
          <w:rtl/>
        </w:rPr>
        <w:t>6-4</w:t>
      </w:r>
      <w:r>
        <w:rPr>
          <w:rFonts w:hint="cs"/>
          <w:rtl/>
        </w:rPr>
        <w:tab/>
        <w:t>وتلاحظ اللجنة كذلك أن الدولة الطرف اعترضت على مقبولية الشكوى فيما يتعلق بادعاء انتهاك المادة 12 على أساس أن الادعاءات المقدمة بالنيابة عن صاحب الشكوى والتي تفيد بتعرضه للتعذيب أو غيره من ضروب المعاملة أو العقوبة القاسية أو اللاإنسانية أو</w:t>
      </w:r>
      <w:r w:rsidR="00A64097">
        <w:rPr>
          <w:rFonts w:hint="eastAsia"/>
          <w:rtl/>
        </w:rPr>
        <w:t> </w:t>
      </w:r>
      <w:r>
        <w:rPr>
          <w:rFonts w:hint="cs"/>
          <w:rtl/>
        </w:rPr>
        <w:t xml:space="preserve">المهينة لا تشكل دعوى ظاهرة الوجاهة وبالتالي لا تعني ضمناً وجود واجب على الدولة الطرف بالتحقيق. وترى اللجنة أن الادعاءات بموجب المادة 12 تثير مسائل مواضيعية ينبغي تناولها بناء على الأسس الموضوعية لا المقبولية. وبالتالي ترى اللجنة أن هذا الجزء من الشكوى مقبول. </w:t>
      </w:r>
    </w:p>
    <w:p w:rsidR="00094E50" w:rsidRDefault="00094E50" w:rsidP="001E45D5">
      <w:pPr>
        <w:pStyle w:val="SingleTxtGA"/>
        <w:spacing w:line="374" w:lineRule="exact"/>
        <w:rPr>
          <w:rFonts w:hint="cs"/>
          <w:rtl/>
        </w:rPr>
      </w:pPr>
      <w:r>
        <w:rPr>
          <w:rFonts w:hint="cs"/>
          <w:rtl/>
        </w:rPr>
        <w:t>6-5</w:t>
      </w:r>
      <w:r>
        <w:rPr>
          <w:rFonts w:hint="cs"/>
          <w:rtl/>
        </w:rPr>
        <w:tab/>
        <w:t>وتلاحظ اللجنة أن الدولة الطرف اعترضت على مقبولية الشكوى فيما يتعلق بانتهاك المادة</w:t>
      </w:r>
      <w:r>
        <w:rPr>
          <w:rFonts w:hint="eastAsia"/>
          <w:rtl/>
        </w:rPr>
        <w:t> </w:t>
      </w:r>
      <w:r>
        <w:rPr>
          <w:rFonts w:hint="cs"/>
          <w:rtl/>
        </w:rPr>
        <w:t>3 على أساس أن صاحب الشكوى لم يرفع دعوى ظاهرة الوجاهة لغرض مقبولية البلاغ. غير أن اللجنة ترى أن الادعاءات تثير مسائل موضوعية ينبغي تناولها بناء على الأسس الموضوعية لا المقبولية. وترى اللجنة أن جزء الشكوى المتعلق بالمادة 3 مقبول.</w:t>
      </w:r>
    </w:p>
    <w:p w:rsidR="00094E50" w:rsidRDefault="00094E50" w:rsidP="00A64097">
      <w:pPr>
        <w:pStyle w:val="SingleTxtGA"/>
        <w:rPr>
          <w:rFonts w:hint="cs"/>
          <w:rtl/>
        </w:rPr>
      </w:pPr>
      <w:r>
        <w:rPr>
          <w:rFonts w:hint="cs"/>
          <w:rtl/>
        </w:rPr>
        <w:t>6-6</w:t>
      </w:r>
      <w:r>
        <w:rPr>
          <w:rFonts w:hint="cs"/>
          <w:rtl/>
        </w:rPr>
        <w:tab/>
        <w:t xml:space="preserve">وبما أن اللجنة ترى أنه لا توجد عوائق أخرى أمام المقبولية، فإنها تعلن أن الشكوى مقبولة وتمضي للنظر فيها بناء على أسسها الموضوعية. </w:t>
      </w:r>
    </w:p>
    <w:p w:rsidR="00094E50" w:rsidRPr="00773BF5" w:rsidRDefault="001E45D5" w:rsidP="001E45D5">
      <w:pPr>
        <w:pStyle w:val="H4GA"/>
        <w:rPr>
          <w:rtl/>
        </w:rPr>
      </w:pPr>
      <w:r>
        <w:rPr>
          <w:rFonts w:hint="cs"/>
          <w:rtl/>
        </w:rPr>
        <w:tab/>
      </w:r>
      <w:r>
        <w:rPr>
          <w:rFonts w:hint="cs"/>
          <w:rtl/>
        </w:rPr>
        <w:tab/>
      </w:r>
      <w:r w:rsidR="00094E50" w:rsidRPr="00773BF5">
        <w:rPr>
          <w:rFonts w:hint="cs"/>
          <w:rtl/>
        </w:rPr>
        <w:t>النظر في الأسس الموضوعية</w:t>
      </w:r>
    </w:p>
    <w:p w:rsidR="00094E50" w:rsidRDefault="00094E50" w:rsidP="00A64097">
      <w:pPr>
        <w:pStyle w:val="SingleTxtGA"/>
        <w:rPr>
          <w:rFonts w:hint="cs"/>
          <w:rtl/>
          <w:lang w:val="fr-CH"/>
        </w:rPr>
      </w:pPr>
      <w:r>
        <w:rPr>
          <w:rFonts w:hint="cs"/>
          <w:rtl/>
          <w:lang w:val="fr-CH"/>
        </w:rPr>
        <w:t>7-1</w:t>
      </w:r>
      <w:r>
        <w:rPr>
          <w:rFonts w:hint="cs"/>
          <w:rtl/>
          <w:lang w:val="fr-CH"/>
        </w:rPr>
        <w:tab/>
        <w:t xml:space="preserve">نظرت اللجنة في هذا البلاغ، عملاً بالفقرة 4 من المادة 22 من الاتفاقية، في ضوء جميع المعلومات التي أتاحتها الأطراف المعنية. </w:t>
      </w:r>
    </w:p>
    <w:p w:rsidR="00094E50" w:rsidRDefault="001E45D5" w:rsidP="001E45D5">
      <w:pPr>
        <w:pStyle w:val="H4GA"/>
        <w:rPr>
          <w:rFonts w:hint="cs"/>
          <w:rtl/>
          <w:lang w:val="fr-CH"/>
        </w:rPr>
      </w:pPr>
      <w:r>
        <w:rPr>
          <w:rFonts w:hint="cs"/>
          <w:rtl/>
          <w:lang w:val="fr-CH"/>
        </w:rPr>
        <w:tab/>
      </w:r>
      <w:r>
        <w:rPr>
          <w:rFonts w:hint="cs"/>
          <w:rtl/>
          <w:lang w:val="fr-CH"/>
        </w:rPr>
        <w:tab/>
      </w:r>
      <w:r w:rsidR="00094E50">
        <w:rPr>
          <w:rFonts w:hint="cs"/>
          <w:rtl/>
          <w:lang w:val="fr-CH"/>
        </w:rPr>
        <w:t>الحبس</w:t>
      </w:r>
    </w:p>
    <w:p w:rsidR="00094E50" w:rsidRPr="001E45D5" w:rsidRDefault="00094E50" w:rsidP="001E45D5">
      <w:pPr>
        <w:pStyle w:val="SingleTxtGA"/>
        <w:rPr>
          <w:rFonts w:hint="cs"/>
          <w:rtl/>
          <w:lang w:val="fr-CH"/>
        </w:rPr>
      </w:pPr>
      <w:r w:rsidRPr="001E45D5">
        <w:rPr>
          <w:rFonts w:hint="cs"/>
          <w:rtl/>
          <w:lang w:val="fr-CH"/>
        </w:rPr>
        <w:t>7-2</w:t>
      </w:r>
      <w:r w:rsidRPr="001E45D5">
        <w:rPr>
          <w:rFonts w:hint="cs"/>
          <w:rtl/>
          <w:lang w:val="fr-CH"/>
        </w:rPr>
        <w:tab/>
        <w:t xml:space="preserve">المسألة الأولى المعروضة أمام اللجنة هي ما إذا كان حبس صاحب الشكوى، الذي تعرض للتعذيب في الماضي، في </w:t>
      </w:r>
      <w:r w:rsidRPr="001E45D5">
        <w:rPr>
          <w:rtl/>
          <w:lang w:val="fr-CH"/>
        </w:rPr>
        <w:t>مؤسسة إليبايك</w:t>
      </w:r>
      <w:r w:rsidRPr="001E45D5">
        <w:rPr>
          <w:rFonts w:hint="cs"/>
          <w:rtl/>
          <w:lang w:val="fr-CH"/>
        </w:rPr>
        <w:t>، يشكل تعذيباً أو غيره من ضروب المعاملة أو</w:t>
      </w:r>
      <w:r w:rsidRPr="001E45D5">
        <w:rPr>
          <w:rFonts w:hint="eastAsia"/>
          <w:rtl/>
          <w:lang w:val="fr-CH"/>
        </w:rPr>
        <w:t> </w:t>
      </w:r>
      <w:r w:rsidRPr="001E45D5">
        <w:rPr>
          <w:rFonts w:hint="cs"/>
          <w:rtl/>
          <w:lang w:val="fr-CH"/>
        </w:rPr>
        <w:t xml:space="preserve">العقوبة القاسية أو اللاإنسانية أو المهينة، بما يتعارض مع المادتين 2 و16 من الاتفاقية. </w:t>
      </w:r>
    </w:p>
    <w:p w:rsidR="00094E50" w:rsidRPr="001E45D5" w:rsidRDefault="00094E50" w:rsidP="001E45D5">
      <w:pPr>
        <w:pStyle w:val="SingleTxtGA"/>
        <w:rPr>
          <w:rFonts w:hint="cs"/>
          <w:rtl/>
          <w:lang w:val="fr-CH"/>
        </w:rPr>
      </w:pPr>
      <w:r w:rsidRPr="001E45D5">
        <w:rPr>
          <w:rFonts w:hint="cs"/>
          <w:rtl/>
          <w:lang w:val="fr-CH"/>
        </w:rPr>
        <w:t>7-3</w:t>
      </w:r>
      <w:r w:rsidRPr="001E45D5">
        <w:rPr>
          <w:rFonts w:hint="cs"/>
          <w:rtl/>
          <w:lang w:val="fr-CH"/>
        </w:rPr>
        <w:tab/>
        <w:t>وترى اللجنة أنه عندما يحتجز أي ملتمس لجوء يُرفض طلبه، كملاذ أخير، ينبغي أن تكون مدة احتجازه محدودة وينبغي ضمان خضوعه لفحوص طبية عند وصوله إلى مرفق الاحتجاز وينبغي ضمان خضوعه لمتابعة طبية ونفسية من جانب خبير صحي مستقل حاصل علي تدريب خاص عندما تظهر على الشخص المحتجز علامات تعذيب أو صدمات أثناء إجراءات التماس اللجوء</w:t>
      </w:r>
      <w:r w:rsidRPr="001E45D5">
        <w:rPr>
          <w:rFonts w:hint="cs"/>
          <w:vertAlign w:val="superscript"/>
          <w:rtl/>
          <w:lang w:val="fr-CH"/>
        </w:rPr>
        <w:t>(</w:t>
      </w:r>
      <w:r w:rsidRPr="001E45D5">
        <w:rPr>
          <w:rStyle w:val="FootnoteReference"/>
          <w:rtl/>
          <w:lang w:val="fr-CH"/>
        </w:rPr>
        <w:footnoteReference w:id="86"/>
      </w:r>
      <w:r w:rsidRPr="001E45D5">
        <w:rPr>
          <w:rFonts w:hint="cs"/>
          <w:vertAlign w:val="superscript"/>
          <w:rtl/>
          <w:lang w:val="fr-CH"/>
        </w:rPr>
        <w:t>)</w:t>
      </w:r>
      <w:r w:rsidRPr="001E45D5">
        <w:rPr>
          <w:rFonts w:hint="cs"/>
          <w:rtl/>
          <w:lang w:val="fr-CH"/>
        </w:rPr>
        <w:t>.</w:t>
      </w:r>
      <w:r w:rsidRPr="001E45D5">
        <w:rPr>
          <w:rFonts w:hint="cs"/>
          <w:vertAlign w:val="superscript"/>
          <w:rtl/>
          <w:lang w:val="fr-CH"/>
        </w:rPr>
        <w:t xml:space="preserve"> </w:t>
      </w:r>
      <w:r w:rsidRPr="001E45D5">
        <w:rPr>
          <w:rFonts w:hint="cs"/>
          <w:rtl/>
          <w:lang w:val="fr-CH"/>
        </w:rPr>
        <w:t>وفي هذه القضية، تلاحظ اللجنة أن المدة الشاملة لاحتجاز صاحب الشكوى كانت أقل من ثلاثة شهور وأن الاحتجاز الأولي والتمديدات خضعت لاستعراضات قضائية. وتلاحظ اللجنة كذلك أن صاحب الشكوى خضع لفحص نفسي في</w:t>
      </w:r>
      <w:r w:rsidR="001E45D5">
        <w:rPr>
          <w:rFonts w:hint="eastAsia"/>
          <w:rtl/>
          <w:lang w:val="fr-CH"/>
        </w:rPr>
        <w:t> </w:t>
      </w:r>
      <w:r w:rsidRPr="001E45D5">
        <w:rPr>
          <w:rFonts w:hint="cs"/>
          <w:rtl/>
          <w:lang w:val="fr-CH"/>
        </w:rPr>
        <w:t xml:space="preserve">6 تموز/يوليه 2009، أي بعد احتجازه في </w:t>
      </w:r>
      <w:r w:rsidRPr="001E45D5">
        <w:rPr>
          <w:rtl/>
          <w:lang w:val="fr-CH"/>
        </w:rPr>
        <w:t>مؤسسة إليبايك</w:t>
      </w:r>
      <w:r w:rsidRPr="001E45D5">
        <w:rPr>
          <w:rFonts w:hint="cs"/>
          <w:rtl/>
          <w:lang w:val="fr-CH"/>
        </w:rPr>
        <w:t xml:space="preserve"> بثلاثة أسابيع تقريباً وتلقى دواءً. وفي هذه الظروف، تخلص اللجنة إلى أن احتجاز صاحب الشكوى لا يشكل انتهاكاً للمادة 16 والمادة 2 من الاتفاقية. </w:t>
      </w:r>
    </w:p>
    <w:p w:rsidR="00094E50" w:rsidRDefault="001E45D5" w:rsidP="001E45D5">
      <w:pPr>
        <w:pStyle w:val="H56GA"/>
        <w:rPr>
          <w:rFonts w:hint="cs"/>
          <w:rtl/>
          <w:lang w:val="fr-CH"/>
        </w:rPr>
      </w:pPr>
      <w:r>
        <w:rPr>
          <w:rFonts w:hint="cs"/>
          <w:rtl/>
          <w:lang w:val="fr-CH"/>
        </w:rPr>
        <w:tab/>
      </w:r>
      <w:r>
        <w:rPr>
          <w:rFonts w:hint="cs"/>
          <w:rtl/>
          <w:lang w:val="fr-CH"/>
        </w:rPr>
        <w:tab/>
      </w:r>
      <w:r w:rsidR="00094E50">
        <w:rPr>
          <w:rFonts w:hint="cs"/>
          <w:rtl/>
          <w:lang w:val="fr-CH"/>
        </w:rPr>
        <w:t>الحرمان من مخالطة الآخرين</w:t>
      </w:r>
    </w:p>
    <w:p w:rsidR="00094E50" w:rsidRPr="001E45D5" w:rsidRDefault="00094E50" w:rsidP="001E45D5">
      <w:pPr>
        <w:pStyle w:val="SingleTxtGA"/>
        <w:spacing w:line="370" w:lineRule="exact"/>
        <w:rPr>
          <w:rFonts w:hint="cs"/>
          <w:rtl/>
          <w:lang w:val="fr-CH"/>
        </w:rPr>
      </w:pPr>
      <w:r w:rsidRPr="001E45D5">
        <w:rPr>
          <w:rFonts w:hint="cs"/>
          <w:rtl/>
          <w:lang w:val="fr-CH"/>
        </w:rPr>
        <w:t>7-4</w:t>
      </w:r>
      <w:r w:rsidRPr="001E45D5">
        <w:rPr>
          <w:rFonts w:hint="cs"/>
          <w:rtl/>
          <w:lang w:val="fr-CH"/>
        </w:rPr>
        <w:tab/>
        <w:t xml:space="preserve">فيما يتعلق بمسألة ما إذا كان احتجاز صاحب الشكوى و"حرمانه من مخالطة الآخرين" يشكل انتهاكاً مستقلاً للمادة 16، تلاحظ اللجنة حجة الدولة الطرف التي تفيد بأن الحرمان المؤقت من مخالطة </w:t>
      </w:r>
      <w:r w:rsidRPr="001E45D5">
        <w:rPr>
          <w:rFonts w:hint="cs"/>
          <w:rtl/>
          <w:lang w:val="fr-CH" w:bidi="ar-EG"/>
        </w:rPr>
        <w:t xml:space="preserve">الآخرين </w:t>
      </w:r>
      <w:r w:rsidRPr="001E45D5">
        <w:rPr>
          <w:rFonts w:hint="cs"/>
          <w:rtl/>
          <w:lang w:val="fr-CH"/>
        </w:rPr>
        <w:t>عملاً بقانون إنفاذ العقوبات طبق للضرورة ولفترة محدودة من الزمن وكان يتناسب مع الهدف المشروع المتمثل في منع السلوك العنيف، ولم</w:t>
      </w:r>
      <w:r w:rsidR="001E45D5">
        <w:rPr>
          <w:rFonts w:hint="eastAsia"/>
          <w:rtl/>
          <w:lang w:val="fr-CH"/>
        </w:rPr>
        <w:t> </w:t>
      </w:r>
      <w:r w:rsidRPr="001E45D5">
        <w:rPr>
          <w:rFonts w:hint="cs"/>
          <w:rtl/>
          <w:lang w:val="fr-CH"/>
        </w:rPr>
        <w:t>يكن متعارضاً مع المادة</w:t>
      </w:r>
      <w:r w:rsidRPr="001E45D5">
        <w:rPr>
          <w:rFonts w:hint="eastAsia"/>
          <w:rtl/>
          <w:lang w:val="fr-CH"/>
        </w:rPr>
        <w:t> </w:t>
      </w:r>
      <w:r w:rsidRPr="001E45D5">
        <w:rPr>
          <w:rFonts w:hint="cs"/>
          <w:rtl/>
          <w:lang w:val="fr-CH"/>
        </w:rPr>
        <w:t xml:space="preserve">16، بالنظر إلى التقييم العام لظروف ضلوع صاحب الشكوى في الاضطرابات العنيفة التي اندلعت في </w:t>
      </w:r>
      <w:r w:rsidRPr="001E45D5">
        <w:rPr>
          <w:rtl/>
          <w:lang w:val="fr-CH"/>
        </w:rPr>
        <w:t>مؤسسة إليبايك</w:t>
      </w:r>
      <w:r w:rsidRPr="001E45D5">
        <w:rPr>
          <w:rFonts w:hint="cs"/>
          <w:rtl/>
          <w:lang w:val="fr-CH"/>
        </w:rPr>
        <w:t xml:space="preserve"> في 9 آب/أغسطس 2009. وترى اللجنة أن الأوضاع الخاصة بالحبس الانفرادي وصرامة التدبير ومدته والهدف المنشود منه وأثره على الشخص المعني كلها عوامل يجب أن تؤخذ في الحسبان عند تحديد ما إذا كان يشكل أو لا يشكل انتهاكاً للمادة</w:t>
      </w:r>
      <w:r w:rsidRPr="001E45D5">
        <w:rPr>
          <w:rFonts w:hint="eastAsia"/>
          <w:rtl/>
          <w:lang w:val="fr-CH"/>
        </w:rPr>
        <w:t> </w:t>
      </w:r>
      <w:r w:rsidRPr="001E45D5">
        <w:rPr>
          <w:rFonts w:hint="cs"/>
          <w:rtl/>
          <w:lang w:val="fr-CH"/>
        </w:rPr>
        <w:t>16 من الاتفاقية. وترى اللجنة أن حرمان صاحب الشكوى من مخالطة الآخرين لم</w:t>
      </w:r>
      <w:r w:rsidRPr="001E45D5">
        <w:rPr>
          <w:rFonts w:hint="eastAsia"/>
          <w:rtl/>
          <w:lang w:val="fr-CH"/>
        </w:rPr>
        <w:t> </w:t>
      </w:r>
      <w:r w:rsidRPr="001E45D5">
        <w:rPr>
          <w:rFonts w:hint="cs"/>
          <w:rtl/>
          <w:lang w:val="fr-CH"/>
        </w:rPr>
        <w:t>يتجاوز أربعة أيام، وزارته خلال هذه الفترة صديقته وزاره محاميه وطبيب أمراض نفسية وطبيب معالج، وكانت زنزانته مزودة بجهاز تلفزيون. وفي ظل هذه الظروف، تخلص اللجنة إلى أن احتجاز صاحب الشكوى وحرمانه من مخالطة الآخرين لا يشكل انتهاكاً مستقلاً للمادة</w:t>
      </w:r>
      <w:r w:rsidRPr="001E45D5">
        <w:rPr>
          <w:rFonts w:hint="eastAsia"/>
          <w:rtl/>
          <w:lang w:val="fr-CH"/>
        </w:rPr>
        <w:t> </w:t>
      </w:r>
      <w:r w:rsidRPr="001E45D5">
        <w:rPr>
          <w:rFonts w:hint="cs"/>
          <w:rtl/>
          <w:lang w:val="fr-CH"/>
        </w:rPr>
        <w:t>16 من الاتفاقية.</w:t>
      </w:r>
    </w:p>
    <w:p w:rsidR="00094E50" w:rsidRDefault="001E45D5" w:rsidP="001E45D5">
      <w:pPr>
        <w:pStyle w:val="H56GA"/>
        <w:rPr>
          <w:rFonts w:hint="cs"/>
          <w:rtl/>
          <w:lang w:val="fr-CH"/>
        </w:rPr>
      </w:pPr>
      <w:r>
        <w:rPr>
          <w:rFonts w:hint="cs"/>
          <w:rtl/>
          <w:lang w:val="fr-CH"/>
        </w:rPr>
        <w:tab/>
      </w:r>
      <w:r>
        <w:rPr>
          <w:rFonts w:hint="cs"/>
          <w:rtl/>
          <w:lang w:val="fr-CH"/>
        </w:rPr>
        <w:tab/>
      </w:r>
      <w:r w:rsidR="00094E50">
        <w:rPr>
          <w:rFonts w:hint="cs"/>
          <w:rtl/>
          <w:lang w:val="fr-CH"/>
        </w:rPr>
        <w:t xml:space="preserve">الادعاء المتعلق بالمادة 12 </w:t>
      </w:r>
    </w:p>
    <w:p w:rsidR="00094E50" w:rsidRPr="001E45D5" w:rsidRDefault="00094E50" w:rsidP="001E45D5">
      <w:pPr>
        <w:pStyle w:val="SingleTxtGA"/>
        <w:rPr>
          <w:rFonts w:hint="cs"/>
          <w:rtl/>
          <w:lang w:val="fr-CH"/>
        </w:rPr>
      </w:pPr>
      <w:r w:rsidRPr="001E45D5">
        <w:rPr>
          <w:rFonts w:hint="cs"/>
          <w:rtl/>
          <w:lang w:val="fr-CH"/>
        </w:rPr>
        <w:t>7-5</w:t>
      </w:r>
      <w:r w:rsidRPr="001E45D5">
        <w:rPr>
          <w:rFonts w:hint="cs"/>
          <w:rtl/>
          <w:lang w:val="fr-CH"/>
        </w:rPr>
        <w:tab/>
        <w:t xml:space="preserve">تلاحظ اللجنة أن المحامي يدعي حدوث انتهاك للمادة 12 من الاتفاقية نظراً لأن الدولة الطرف لم تجر تحقيقاً بعد التقرير الذي قدمه </w:t>
      </w:r>
      <w:r w:rsidRPr="001E45D5">
        <w:rPr>
          <w:rtl/>
          <w:lang w:val="fr-CH"/>
        </w:rPr>
        <w:t xml:space="preserve">السيد سورينسن </w:t>
      </w:r>
      <w:r w:rsidRPr="001E45D5">
        <w:rPr>
          <w:rFonts w:hint="cs"/>
          <w:rtl/>
          <w:lang w:val="fr-CH"/>
        </w:rPr>
        <w:t>و</w:t>
      </w:r>
      <w:r w:rsidRPr="001E45D5">
        <w:rPr>
          <w:rtl/>
          <w:lang w:val="fr-CH"/>
        </w:rPr>
        <w:t>السيدة غينيفكي</w:t>
      </w:r>
      <w:r w:rsidRPr="001E45D5">
        <w:rPr>
          <w:rFonts w:hint="cs"/>
          <w:rtl/>
          <w:lang w:val="fr-CH"/>
        </w:rPr>
        <w:t xml:space="preserve"> في 5 آب/أغسطس 2009 ولأنه بالإضافة إلى ذلك نُقل صاحب الشكوى من أراضي الدولة الطرف قبل أي دراسة للشكوى التي تفيد بأن احتجازه يشكل انتهاكاً للاتفاقية. وفي هذا السياق، تلاحظ اللجنة بيان الدولة الطرف الذي يفيد بأن الشكوى التي قدمها </w:t>
      </w:r>
      <w:r w:rsidRPr="001E45D5">
        <w:rPr>
          <w:rtl/>
          <w:lang w:val="fr-CH"/>
        </w:rPr>
        <w:t xml:space="preserve">السيد سورينسن </w:t>
      </w:r>
      <w:r w:rsidRPr="001E45D5">
        <w:rPr>
          <w:rFonts w:hint="cs"/>
          <w:rtl/>
          <w:lang w:val="fr-CH"/>
        </w:rPr>
        <w:t>و</w:t>
      </w:r>
      <w:r w:rsidRPr="001E45D5">
        <w:rPr>
          <w:rtl/>
          <w:lang w:val="fr-CH"/>
        </w:rPr>
        <w:t>السيدة غينيفكي</w:t>
      </w:r>
      <w:r w:rsidRPr="001E45D5">
        <w:rPr>
          <w:rFonts w:hint="cs"/>
          <w:rtl/>
          <w:lang w:val="fr-CH"/>
        </w:rPr>
        <w:t xml:space="preserve"> أثناء احتجاز صاحب الشكوى قبل حرمانه مؤقتاً من مخالطة الآخرين لا تشكل أساساً معقولاً للشروع في تحقيق بموجب المادة 12 من الاتفاقية، بالنظر إلى أنها لا تشير إلى أي واقعة تعذيب أو سوء معاملة ولا تشير إلا إلى الآثار السلبية للاحتجاز على صحة صاحب الشكوى. وتلاحظ اللجنة كذلك تأكيد الدولة الطرف الذي يفيد بأن</w:t>
      </w:r>
      <w:r w:rsidR="001E45D5">
        <w:rPr>
          <w:rFonts w:hint="eastAsia"/>
          <w:rtl/>
          <w:lang w:val="fr-CH"/>
        </w:rPr>
        <w:t> </w:t>
      </w:r>
      <w:r w:rsidRPr="001E45D5">
        <w:rPr>
          <w:rFonts w:hint="cs"/>
          <w:rtl/>
          <w:lang w:val="fr-CH"/>
        </w:rPr>
        <w:t>صاحب الشكوى لم يدّع في أي وقت من الأوقات أنه تعرض لأي إساءة معاملة أثناء</w:t>
      </w:r>
      <w:r w:rsidR="001E45D5">
        <w:rPr>
          <w:rFonts w:hint="eastAsia"/>
          <w:rtl/>
          <w:lang w:val="fr-CH"/>
        </w:rPr>
        <w:t> </w:t>
      </w:r>
      <w:r w:rsidRPr="001E45D5">
        <w:rPr>
          <w:rFonts w:hint="cs"/>
          <w:rtl/>
          <w:lang w:val="fr-CH"/>
        </w:rPr>
        <w:t>احتجازه.</w:t>
      </w:r>
    </w:p>
    <w:p w:rsidR="00094E50" w:rsidRPr="001E45D5" w:rsidRDefault="00094E50" w:rsidP="001E45D5">
      <w:pPr>
        <w:pStyle w:val="SingleTxtGA"/>
        <w:rPr>
          <w:rFonts w:hint="cs"/>
          <w:rtl/>
          <w:lang w:val="fr-CH" w:bidi="ar-EG"/>
        </w:rPr>
      </w:pPr>
      <w:r w:rsidRPr="001E45D5">
        <w:rPr>
          <w:rFonts w:hint="cs"/>
          <w:rtl/>
          <w:lang w:val="fr-CH"/>
        </w:rPr>
        <w:t>7-6</w:t>
      </w:r>
      <w:r w:rsidRPr="001E45D5">
        <w:rPr>
          <w:rFonts w:hint="cs"/>
          <w:rtl/>
          <w:lang w:val="fr-CH"/>
        </w:rPr>
        <w:tab/>
        <w:t xml:space="preserve">وتشير اللجنة إلى اجتهاداتها القضائية بشأن محتويات ونطاق المادة 12 التي تنص على أن </w:t>
      </w:r>
      <w:r w:rsidRPr="001E45D5">
        <w:rPr>
          <w:rFonts w:hint="cs"/>
          <w:rtl/>
          <w:lang w:val="fr-CH" w:bidi="ar-EG"/>
        </w:rPr>
        <w:t>سلطات الدولة عليها التزام</w:t>
      </w:r>
      <w:r w:rsidRPr="001E45D5">
        <w:rPr>
          <w:rFonts w:hint="cs"/>
          <w:rtl/>
          <w:lang w:val="en-CA" w:bidi="ar-EG"/>
        </w:rPr>
        <w:t xml:space="preserve"> بإجراء تحقيق بحكم مركزها عندما تكون هناك أسباب معقولة تدعو إلى الاعتقاد بأنه تم ارتكاب أفعال تعذيب أو سوء معاملة</w:t>
      </w:r>
      <w:r w:rsidRPr="001E45D5">
        <w:rPr>
          <w:rFonts w:hint="cs"/>
          <w:vertAlign w:val="superscript"/>
          <w:rtl/>
          <w:lang w:val="fr-CH" w:bidi="ar-EG"/>
        </w:rPr>
        <w:t>(</w:t>
      </w:r>
      <w:r w:rsidRPr="001E45D5">
        <w:rPr>
          <w:rStyle w:val="FootnoteReference"/>
          <w:rtl/>
          <w:lang w:val="fr-CH" w:bidi="ar-EG"/>
        </w:rPr>
        <w:footnoteReference w:id="87"/>
      </w:r>
      <w:r w:rsidRPr="001E45D5">
        <w:rPr>
          <w:rFonts w:hint="cs"/>
          <w:vertAlign w:val="superscript"/>
          <w:rtl/>
          <w:lang w:val="fr-CH" w:bidi="ar-EG"/>
        </w:rPr>
        <w:t>)</w:t>
      </w:r>
      <w:r w:rsidRPr="001E45D5">
        <w:rPr>
          <w:rFonts w:hint="cs"/>
          <w:rtl/>
          <w:lang w:val="fr-CH" w:bidi="ar-EG"/>
        </w:rPr>
        <w:t>. غير أنه في هذه القضية، لم</w:t>
      </w:r>
      <w:r w:rsidRPr="001E45D5">
        <w:rPr>
          <w:rFonts w:hint="eastAsia"/>
          <w:rtl/>
          <w:lang w:val="fr-CH" w:bidi="ar-EG"/>
        </w:rPr>
        <w:t> </w:t>
      </w:r>
      <w:r w:rsidRPr="001E45D5">
        <w:rPr>
          <w:rFonts w:hint="cs"/>
          <w:rtl/>
          <w:lang w:val="fr-CH" w:bidi="ar-EG"/>
        </w:rPr>
        <w:t>يقدم صاحب الشكوى بنفسه ولم تقدم بالنيابة عنه أي ادعاءات تفيد بأنه تعرض لأفعال تعذيب أو سوء معاملة بخلاف الادعاء العام الذي يفيد بأن احتجازه في حد ذاته، في ضوء ضعفه الخاص كشخص تعرض للتعذيب في الماضي، يشكل انتهاكاً للاتفاقية. وتشير اللجنة إلى اجتهاداتها القضائية السابقة والتي تفيد بأن التحقيق بموجب المادة 12 يجب أن يسعى إلى تحديد طبيعة الأفعال المزعومة وظروفها وتأكيد هوية أي شخص قد يكون ضلع فيها</w:t>
      </w:r>
      <w:r w:rsidRPr="001E45D5">
        <w:rPr>
          <w:rFonts w:hint="cs"/>
          <w:vertAlign w:val="superscript"/>
          <w:rtl/>
          <w:lang w:val="fr-CH" w:bidi="ar-EG"/>
        </w:rPr>
        <w:t>(</w:t>
      </w:r>
      <w:r w:rsidRPr="001E45D5">
        <w:rPr>
          <w:rStyle w:val="FootnoteReference"/>
          <w:rtl/>
          <w:lang w:val="fr-CH" w:bidi="ar-EG"/>
        </w:rPr>
        <w:footnoteReference w:id="88"/>
      </w:r>
      <w:r w:rsidRPr="001E45D5">
        <w:rPr>
          <w:rFonts w:hint="cs"/>
          <w:vertAlign w:val="superscript"/>
          <w:rtl/>
          <w:lang w:val="fr-CH" w:bidi="ar-EG"/>
        </w:rPr>
        <w:t>)</w:t>
      </w:r>
      <w:r w:rsidRPr="001E45D5">
        <w:rPr>
          <w:rFonts w:hint="cs"/>
          <w:rtl/>
          <w:lang w:val="fr-CH" w:bidi="ar-EG"/>
        </w:rPr>
        <w:t>. وفي ظروف هذه القضية التي يُدعى فيها أن مجرد الاحتجاز يشكل انتهاكاً للاتفاقية، لا ترى اللجنة أن إجراء مثل هذا التحقيق يحقق أي هدف معقول. ووفقاً لذلك، ترى اللجنة أن الوقائع المعروضة أمامها لا تشير إلى حدوث انتهاك للمادة 12 من الاتفاقية من جانب الدولة</w:t>
      </w:r>
      <w:r w:rsidR="001E45D5">
        <w:rPr>
          <w:rFonts w:hint="eastAsia"/>
          <w:rtl/>
          <w:lang w:val="fr-CH" w:bidi="ar-EG"/>
        </w:rPr>
        <w:t> </w:t>
      </w:r>
      <w:r w:rsidRPr="001E45D5">
        <w:rPr>
          <w:rFonts w:hint="cs"/>
          <w:rtl/>
          <w:lang w:val="fr-CH" w:bidi="ar-EG"/>
        </w:rPr>
        <w:t>الطرف.</w:t>
      </w:r>
    </w:p>
    <w:p w:rsidR="00094E50" w:rsidRDefault="001E45D5" w:rsidP="001E45D5">
      <w:pPr>
        <w:pStyle w:val="H56GA"/>
        <w:rPr>
          <w:rFonts w:hint="cs"/>
          <w:rtl/>
          <w:lang w:val="fr-CH" w:bidi="ar-EG"/>
        </w:rPr>
      </w:pPr>
      <w:r>
        <w:rPr>
          <w:rFonts w:hint="cs"/>
          <w:rtl/>
          <w:lang w:val="fr-CH" w:bidi="ar-EG"/>
        </w:rPr>
        <w:tab/>
      </w:r>
      <w:r>
        <w:rPr>
          <w:rFonts w:hint="cs"/>
          <w:rtl/>
          <w:lang w:val="fr-CH" w:bidi="ar-EG"/>
        </w:rPr>
        <w:tab/>
      </w:r>
      <w:r w:rsidR="00094E50">
        <w:rPr>
          <w:rFonts w:hint="cs"/>
          <w:rtl/>
          <w:lang w:val="fr-CH" w:bidi="ar-EG"/>
        </w:rPr>
        <w:t>الادعاء المتعلق بالمادة 3</w:t>
      </w:r>
    </w:p>
    <w:p w:rsidR="00094E50" w:rsidRPr="00A64097" w:rsidRDefault="00094E50" w:rsidP="00A64097">
      <w:pPr>
        <w:pStyle w:val="SingleTxtGA"/>
        <w:rPr>
          <w:rFonts w:hint="cs"/>
          <w:spacing w:val="-2"/>
          <w:rtl/>
          <w:lang w:val="fr-CH" w:bidi="ar-EG"/>
        </w:rPr>
      </w:pPr>
      <w:r w:rsidRPr="00A64097">
        <w:rPr>
          <w:rFonts w:hint="cs"/>
          <w:spacing w:val="-2"/>
          <w:rtl/>
          <w:lang w:val="fr-CH" w:bidi="ar-EG"/>
        </w:rPr>
        <w:t>7-7</w:t>
      </w:r>
      <w:r w:rsidRPr="00A64097">
        <w:rPr>
          <w:rFonts w:hint="cs"/>
          <w:spacing w:val="-2"/>
          <w:rtl/>
          <w:lang w:val="fr-CH" w:bidi="ar-EG"/>
        </w:rPr>
        <w:tab/>
        <w:t xml:space="preserve">المسألة الأخيرة المعروضة أمام اللجنة هي ما إذا كان النقل القسري لصاحب الشكوى إلى العراق ينتهك التزام الدولة الطرف بموجب المادة 3 من الاتفاقية التي تنص على أنه </w:t>
      </w:r>
      <w:r w:rsidRPr="00A64097">
        <w:rPr>
          <w:spacing w:val="-2"/>
          <w:rtl/>
          <w:lang w:val="fr-CH" w:bidi="ar-EG"/>
        </w:rPr>
        <w:t xml:space="preserve">لا يجوز طرد أي شخص أو </w:t>
      </w:r>
      <w:r w:rsidRPr="00A64097">
        <w:rPr>
          <w:rFonts w:hint="cs"/>
          <w:spacing w:val="-2"/>
          <w:rtl/>
          <w:lang w:val="fr-CH" w:bidi="ar-EG"/>
        </w:rPr>
        <w:t>إعادته</w:t>
      </w:r>
      <w:r w:rsidRPr="00A64097">
        <w:rPr>
          <w:spacing w:val="-2"/>
          <w:rtl/>
          <w:lang w:val="fr-CH" w:bidi="ar-EG"/>
        </w:rPr>
        <w:t xml:space="preserve"> إلى دولة أخرى، إذا توافرت أسباب حقيقية تدعو إلى الاعتقاد بأنه سيكون في خطر التعرض للتعذيب</w:t>
      </w:r>
      <w:r w:rsidRPr="00A64097">
        <w:rPr>
          <w:rFonts w:hint="cs"/>
          <w:spacing w:val="-2"/>
          <w:rtl/>
          <w:lang w:val="fr-CH" w:bidi="ar-EG"/>
        </w:rPr>
        <w:t>. ويجب أن تقيّم اللجنة ما إذا كانت هناك أسباب حقيقية تدعو إلى الاعتقاد بأن صاحب الشكوى سيكون في خطر التعرض للتعذيب شخصياً.</w:t>
      </w:r>
    </w:p>
    <w:p w:rsidR="00094E50" w:rsidRDefault="00094E50" w:rsidP="00A64097">
      <w:pPr>
        <w:pStyle w:val="SingleTxtGA"/>
        <w:rPr>
          <w:rFonts w:hint="cs"/>
          <w:rtl/>
          <w:lang w:val="fr-CH" w:bidi="ar-EG"/>
        </w:rPr>
      </w:pPr>
      <w:r>
        <w:rPr>
          <w:rFonts w:hint="cs"/>
          <w:rtl/>
          <w:lang w:val="fr-CH" w:bidi="ar-EG"/>
        </w:rPr>
        <w:t>7-8</w:t>
      </w:r>
      <w:r>
        <w:rPr>
          <w:rFonts w:hint="cs"/>
          <w:rtl/>
          <w:lang w:val="fr-CH" w:bidi="ar-EG"/>
        </w:rPr>
        <w:tab/>
        <w:t>وعند تقييم الخطر، يجب أن تراعي اللجنة جميع الاعتبارات ذات الصلة عملاً بالفقرة</w:t>
      </w:r>
      <w:r>
        <w:rPr>
          <w:rFonts w:hint="eastAsia"/>
          <w:rtl/>
          <w:lang w:val="fr-CH" w:bidi="ar-EG"/>
        </w:rPr>
        <w:t> </w:t>
      </w:r>
      <w:r>
        <w:rPr>
          <w:rFonts w:hint="cs"/>
          <w:rtl/>
          <w:lang w:val="fr-CH" w:bidi="ar-EG"/>
        </w:rPr>
        <w:t xml:space="preserve">2 من المادة 3 من الاتفاقية، بما في ذلك وجود نمط ثابت من الانتهاكات </w:t>
      </w:r>
      <w:r w:rsidRPr="00B66621">
        <w:rPr>
          <w:rtl/>
          <w:lang w:val="fr-CH" w:bidi="ar-EG"/>
        </w:rPr>
        <w:t xml:space="preserve">الفادحة </w:t>
      </w:r>
      <w:r>
        <w:rPr>
          <w:rFonts w:hint="cs"/>
          <w:rtl/>
          <w:lang w:val="fr-CH" w:bidi="ar-EG"/>
        </w:rPr>
        <w:t>أ</w:t>
      </w:r>
      <w:r w:rsidRPr="00B66621">
        <w:rPr>
          <w:rtl/>
          <w:lang w:val="fr-CH" w:bidi="ar-EG"/>
        </w:rPr>
        <w:t>و</w:t>
      </w:r>
      <w:r>
        <w:rPr>
          <w:rFonts w:hint="eastAsia"/>
          <w:rtl/>
          <w:lang w:val="fr-CH" w:bidi="ar-EG"/>
        </w:rPr>
        <w:t> </w:t>
      </w:r>
      <w:r w:rsidRPr="00B66621">
        <w:rPr>
          <w:rtl/>
          <w:lang w:val="fr-CH" w:bidi="ar-EG"/>
        </w:rPr>
        <w:t xml:space="preserve">الصارخة </w:t>
      </w:r>
      <w:r>
        <w:rPr>
          <w:rFonts w:hint="cs"/>
          <w:rtl/>
          <w:lang w:val="fr-CH" w:bidi="ar-EG"/>
        </w:rPr>
        <w:t>أ</w:t>
      </w:r>
      <w:r w:rsidRPr="00B66621">
        <w:rPr>
          <w:rtl/>
          <w:lang w:val="fr-CH" w:bidi="ar-EG"/>
        </w:rPr>
        <w:t>و</w:t>
      </w:r>
      <w:r>
        <w:rPr>
          <w:rFonts w:hint="cs"/>
          <w:rtl/>
          <w:lang w:val="fr-CH" w:bidi="ar-EG"/>
        </w:rPr>
        <w:t xml:space="preserve"> </w:t>
      </w:r>
      <w:r w:rsidRPr="00B66621">
        <w:rPr>
          <w:rtl/>
          <w:lang w:val="fr-CH" w:bidi="ar-EG"/>
        </w:rPr>
        <w:t xml:space="preserve">الجماعية </w:t>
      </w:r>
      <w:r>
        <w:rPr>
          <w:rFonts w:hint="cs"/>
          <w:rtl/>
          <w:lang w:val="fr-CH" w:bidi="ar-EG"/>
        </w:rPr>
        <w:t xml:space="preserve">لحقوق الإنسان. ويستنتج من ذلك أن وجود نمط </w:t>
      </w:r>
      <w:r w:rsidRPr="001B5F56">
        <w:rPr>
          <w:rtl/>
          <w:lang w:val="fr-CH" w:bidi="ar-EG"/>
        </w:rPr>
        <w:t xml:space="preserve">من الانتهاكات الفادحة </w:t>
      </w:r>
      <w:r>
        <w:rPr>
          <w:rFonts w:hint="cs"/>
          <w:rtl/>
          <w:lang w:val="fr-CH" w:bidi="ar-EG"/>
        </w:rPr>
        <w:t>أ</w:t>
      </w:r>
      <w:r w:rsidRPr="001B5F56">
        <w:rPr>
          <w:rtl/>
          <w:lang w:val="fr-CH" w:bidi="ar-EG"/>
        </w:rPr>
        <w:t>و</w:t>
      </w:r>
      <w:r>
        <w:rPr>
          <w:rFonts w:hint="cs"/>
          <w:rtl/>
          <w:lang w:val="fr-CH" w:bidi="ar-EG"/>
        </w:rPr>
        <w:t xml:space="preserve"> </w:t>
      </w:r>
      <w:r w:rsidRPr="001B5F56">
        <w:rPr>
          <w:rtl/>
          <w:lang w:val="fr-CH" w:bidi="ar-EG"/>
        </w:rPr>
        <w:t xml:space="preserve">الصارخة </w:t>
      </w:r>
      <w:r>
        <w:rPr>
          <w:rFonts w:hint="cs"/>
          <w:rtl/>
          <w:lang w:val="fr-CH" w:bidi="ar-EG"/>
        </w:rPr>
        <w:t>أ</w:t>
      </w:r>
      <w:r w:rsidRPr="001B5F56">
        <w:rPr>
          <w:rtl/>
          <w:lang w:val="fr-CH" w:bidi="ar-EG"/>
        </w:rPr>
        <w:t>و</w:t>
      </w:r>
      <w:r>
        <w:rPr>
          <w:rFonts w:hint="cs"/>
          <w:rtl/>
          <w:lang w:val="fr-CH" w:bidi="ar-EG"/>
        </w:rPr>
        <w:t xml:space="preserve"> </w:t>
      </w:r>
      <w:r w:rsidRPr="001B5F56">
        <w:rPr>
          <w:rtl/>
          <w:lang w:val="fr-CH" w:bidi="ar-EG"/>
        </w:rPr>
        <w:t>الجماعية لحقوق الإنسان</w:t>
      </w:r>
      <w:r>
        <w:rPr>
          <w:rFonts w:hint="cs"/>
          <w:rtl/>
          <w:lang w:val="fr-CH" w:bidi="ar-EG"/>
        </w:rPr>
        <w:t xml:space="preserve"> في بلد ما لا يشكل في حد ذاته سبباً كافياً لتأكيد أن شخصاً معيناً سيكون في خطر التعرض للتعذيب عقب عودته إلى ذلك البلد؛ وينبغي تقديم أسباب إضافية لتوضيح كيف سيكون الشخص المعني معرضاً للخطر شخصياً. وفي المقابل، فإن عدم وجود نمط ثابت من الانتهاكات الصارخة لحقوق الإنسان لا يعني أن الشخص قد لا يتعرض للتعذيب في ظروفه الخاصة.</w:t>
      </w:r>
    </w:p>
    <w:p w:rsidR="00094E50" w:rsidRDefault="00094E50" w:rsidP="00A64097">
      <w:pPr>
        <w:pStyle w:val="SingleTxtGA"/>
        <w:rPr>
          <w:rFonts w:hint="cs"/>
          <w:rtl/>
          <w:lang w:val="fr-CH" w:bidi="ar-EG"/>
        </w:rPr>
      </w:pPr>
      <w:r>
        <w:rPr>
          <w:rFonts w:hint="cs"/>
          <w:rtl/>
          <w:lang w:val="fr-CH" w:bidi="ar-EG"/>
        </w:rPr>
        <w:t>7-9</w:t>
      </w:r>
      <w:r>
        <w:rPr>
          <w:rFonts w:hint="cs"/>
          <w:rtl/>
          <w:lang w:val="fr-CH" w:bidi="ar-EG"/>
        </w:rPr>
        <w:tab/>
        <w:t>وتشير اللجنة إلى أن الهدف من مثل هذا التأكيد هو تحديد ما إذا كان الشخص المعني سيكون شخصياً في خطر متوقع وحقيقي من التعرض للتعذيب عند عودته إلى ذلك البلد. وتشير اللجنة أيضاً إلى تعليقها العام رقم 1 بشأن تنفيذ المادة 3، والذي ينص على أنه</w:t>
      </w:r>
      <w:r w:rsidRPr="00961CEC">
        <w:rPr>
          <w:rtl/>
        </w:rPr>
        <w:t xml:space="preserve"> </w:t>
      </w:r>
      <w:r>
        <w:rPr>
          <w:rFonts w:hint="cs"/>
          <w:rtl/>
          <w:lang w:bidi="ar-EG"/>
        </w:rPr>
        <w:t>"</w:t>
      </w:r>
      <w:r w:rsidRPr="00961CEC">
        <w:rPr>
          <w:rtl/>
          <w:lang w:val="fr-CH" w:bidi="ar-EG"/>
        </w:rPr>
        <w:t>يجب أن يقدر خطر التعذيب على أسس تتجاوز مجرد الافتراض أو الشك</w:t>
      </w:r>
      <w:r>
        <w:rPr>
          <w:rFonts w:hint="cs"/>
          <w:rtl/>
          <w:lang w:val="fr-CH" w:bidi="ar-EG"/>
        </w:rPr>
        <w:t xml:space="preserve">" </w:t>
      </w:r>
      <w:r w:rsidRPr="00961CEC">
        <w:rPr>
          <w:rtl/>
          <w:lang w:val="fr-CH" w:bidi="ar-EG"/>
        </w:rPr>
        <w:t xml:space="preserve">غير أنه </w:t>
      </w:r>
      <w:r>
        <w:rPr>
          <w:rFonts w:hint="cs"/>
          <w:rtl/>
          <w:lang w:val="fr-CH" w:bidi="ar-EG"/>
        </w:rPr>
        <w:t>"</w:t>
      </w:r>
      <w:r w:rsidRPr="00961CEC">
        <w:rPr>
          <w:rtl/>
          <w:lang w:val="fr-CH" w:bidi="ar-EG"/>
        </w:rPr>
        <w:t xml:space="preserve">لا يتحتم أن يكون هذا الخطر </w:t>
      </w:r>
      <w:r>
        <w:rPr>
          <w:rFonts w:hint="cs"/>
          <w:rtl/>
          <w:lang w:val="fr-CH" w:bidi="ar-EG"/>
        </w:rPr>
        <w:t>مرجحاً إلى حد كبير" ويجب أن يكون الخطر شخصياً ومحدقاً</w:t>
      </w:r>
      <w:r w:rsidRPr="00513A2B">
        <w:rPr>
          <w:rFonts w:hint="cs"/>
          <w:vertAlign w:val="superscript"/>
          <w:rtl/>
          <w:lang w:val="fr-CH" w:bidi="ar-EG"/>
        </w:rPr>
        <w:t>(</w:t>
      </w:r>
      <w:r>
        <w:rPr>
          <w:rStyle w:val="FootnoteReference"/>
          <w:spacing w:val="-2"/>
          <w:rtl/>
          <w:lang w:val="fr-CH" w:bidi="ar-EG"/>
        </w:rPr>
        <w:footnoteReference w:id="89"/>
      </w:r>
      <w:r>
        <w:rPr>
          <w:rFonts w:hint="cs"/>
          <w:vertAlign w:val="superscript"/>
          <w:rtl/>
          <w:lang w:val="fr-CH" w:bidi="ar-EG"/>
        </w:rPr>
        <w:t>)</w:t>
      </w:r>
      <w:r>
        <w:rPr>
          <w:rFonts w:hint="cs"/>
          <w:rtl/>
          <w:lang w:val="fr-CH" w:bidi="ar-EG"/>
        </w:rPr>
        <w:t>. وفي هذا الصدد، أكدت اللجنة في قرارات سابقة أن خطر التعذيب يجب أن يكون متوقعاً ومحدقاً وشخصياً</w:t>
      </w:r>
      <w:r w:rsidRPr="00BC22A2">
        <w:rPr>
          <w:rFonts w:hint="cs"/>
          <w:vertAlign w:val="superscript"/>
          <w:rtl/>
          <w:lang w:val="fr-CH" w:bidi="ar-EG"/>
        </w:rPr>
        <w:t>(</w:t>
      </w:r>
      <w:r>
        <w:rPr>
          <w:rStyle w:val="FootnoteReference"/>
          <w:spacing w:val="-2"/>
          <w:rtl/>
          <w:lang w:val="fr-CH" w:bidi="ar-EG"/>
        </w:rPr>
        <w:footnoteReference w:id="90"/>
      </w:r>
      <w:r>
        <w:rPr>
          <w:rFonts w:hint="cs"/>
          <w:vertAlign w:val="superscript"/>
          <w:rtl/>
          <w:lang w:val="fr-CH" w:bidi="ar-EG"/>
        </w:rPr>
        <w:t>)</w:t>
      </w:r>
      <w:r>
        <w:rPr>
          <w:rFonts w:hint="cs"/>
          <w:rtl/>
          <w:lang w:val="fr-CH" w:bidi="ar-EG"/>
        </w:rPr>
        <w:t xml:space="preserve">. وتشير اللجنة كذلك إلى أنها، وفقاً لتعليقها العام رقم 1، تعطي وزناً كبيراً </w:t>
      </w:r>
      <w:r w:rsidRPr="00BC22A2">
        <w:rPr>
          <w:rtl/>
          <w:lang w:val="fr-CH" w:bidi="ar-EG"/>
        </w:rPr>
        <w:t>للحيثيات الوقائعية التي توفرها أجهزة الدولة الطرف المعنية</w:t>
      </w:r>
      <w:r w:rsidRPr="00DF4F19">
        <w:rPr>
          <w:rFonts w:hint="cs"/>
          <w:vertAlign w:val="superscript"/>
          <w:rtl/>
          <w:lang w:val="fr-CH" w:bidi="ar-EG"/>
        </w:rPr>
        <w:t>(</w:t>
      </w:r>
      <w:r>
        <w:rPr>
          <w:rStyle w:val="FootnoteReference"/>
          <w:spacing w:val="-2"/>
          <w:rtl/>
          <w:lang w:val="fr-CH" w:bidi="ar-EG"/>
        </w:rPr>
        <w:footnoteReference w:id="91"/>
      </w:r>
      <w:r>
        <w:rPr>
          <w:rFonts w:hint="cs"/>
          <w:vertAlign w:val="superscript"/>
          <w:rtl/>
          <w:lang w:val="fr-CH" w:bidi="ar-EG"/>
        </w:rPr>
        <w:t>)</w:t>
      </w:r>
      <w:r>
        <w:rPr>
          <w:rFonts w:hint="cs"/>
          <w:rtl/>
          <w:lang w:val="fr-CH" w:bidi="ar-EG"/>
        </w:rPr>
        <w:t xml:space="preserve">، غير أنها في الوقت نفسه غير ملزمة بالتقيد بهذه الحيثيات ولديها بدلاً من ذلك، سلطة تنص عليها </w:t>
      </w:r>
      <w:r w:rsidRPr="00FE422A">
        <w:rPr>
          <w:rtl/>
          <w:lang w:val="fr-CH" w:bidi="ar-EG"/>
        </w:rPr>
        <w:t xml:space="preserve">الفقرة 4 من المادة 22 من الاتفاقية، في </w:t>
      </w:r>
      <w:r>
        <w:rPr>
          <w:rFonts w:hint="cs"/>
          <w:rtl/>
          <w:lang w:val="fr-CH" w:bidi="ar-EG"/>
        </w:rPr>
        <w:t xml:space="preserve">إجراء تقدير حر </w:t>
      </w:r>
      <w:r w:rsidRPr="00FE422A">
        <w:rPr>
          <w:rtl/>
          <w:lang w:val="fr-CH" w:bidi="ar-EG"/>
        </w:rPr>
        <w:t>للوقائع بناء على مجمل ملابسات كل قضية</w:t>
      </w:r>
      <w:r>
        <w:rPr>
          <w:rFonts w:hint="cs"/>
          <w:rtl/>
          <w:lang w:val="fr-CH" w:bidi="ar-EG"/>
        </w:rPr>
        <w:t xml:space="preserve">. </w:t>
      </w:r>
    </w:p>
    <w:p w:rsidR="00094E50" w:rsidRDefault="00094E50" w:rsidP="00A64097">
      <w:pPr>
        <w:pStyle w:val="SingleTxtGA"/>
        <w:rPr>
          <w:rFonts w:hint="cs"/>
          <w:rtl/>
          <w:lang w:val="fr-CH" w:bidi="ar-EG"/>
        </w:rPr>
      </w:pPr>
      <w:r>
        <w:rPr>
          <w:rFonts w:hint="cs"/>
          <w:rtl/>
          <w:lang w:val="fr-CH" w:bidi="ar-EG"/>
        </w:rPr>
        <w:t>7-10</w:t>
      </w:r>
      <w:r>
        <w:rPr>
          <w:rFonts w:hint="cs"/>
          <w:rtl/>
          <w:lang w:val="fr-CH" w:bidi="ar-EG"/>
        </w:rPr>
        <w:tab/>
        <w:t xml:space="preserve">وفي هذه القضية، تلاحظ اللجنة أن الدولة الطرف أقرت بالوقائع التي تفيد بأن صاحب الشكوى تعرض للتعذيب في الماضي وأخذتها في الحسبان عند تقييم وجود خطر شخصي بأن يواجه صاحب الشكوى التعذيب في حالة عودته إلى بلده، بما في ذلك جميع القرارات الثلاثة لمجلس طعون اللاجئين التي تناولت هذه المسألة. وتلاحظ اللجنة كذلك أن صاحب الشكوى ادعى في عام 2009 أنه سيتعرض لخطر التعذيب استناداً حصراً إلى تهديدات أسر أصدقائه الذين أعدموا في عام 1995. وتشير اللجنة إلى أن التزام الدولة الطرف بموجب المادة 3 يتمثل في الامتناع عن الإعادة القسرية لأي شخص إلى دولة أخرى إذا توافرت </w:t>
      </w:r>
      <w:r w:rsidRPr="007A69F1">
        <w:rPr>
          <w:rtl/>
          <w:lang w:val="fr-CH" w:bidi="ar-EG"/>
        </w:rPr>
        <w:t>أسباب حقيقية تدعو إلى الاعتقاد بأنه سيكون في خطر التعرض للتعذيب</w:t>
      </w:r>
      <w:r>
        <w:rPr>
          <w:rFonts w:hint="cs"/>
          <w:rtl/>
          <w:lang w:val="fr-CH" w:bidi="ar-EG"/>
        </w:rPr>
        <w:t>. وتلاحظ اللجنة أن صاحب الشكوى في هذه القضية لم يقدم ما يدعم أنه كان يواجه مثل هذا الخطر.</w:t>
      </w:r>
    </w:p>
    <w:p w:rsidR="00094E50" w:rsidRDefault="00094E50" w:rsidP="00A64097">
      <w:pPr>
        <w:pStyle w:val="SingleTxtGA"/>
        <w:rPr>
          <w:rFonts w:hint="cs"/>
          <w:rtl/>
          <w:lang w:val="fr-CH" w:bidi="ar-EG"/>
        </w:rPr>
      </w:pPr>
      <w:r>
        <w:rPr>
          <w:rFonts w:hint="cs"/>
          <w:rtl/>
          <w:lang w:val="fr-CH" w:bidi="ar-EG"/>
        </w:rPr>
        <w:t>7-11</w:t>
      </w:r>
      <w:r>
        <w:rPr>
          <w:rFonts w:hint="cs"/>
          <w:rtl/>
          <w:lang w:val="fr-CH" w:bidi="ar-EG"/>
        </w:rPr>
        <w:tab/>
        <w:t>وفي ضوء ما ورد أعلاه، تخلص اللجنة إلى أنه لم يتم إثبات أسس جوهرية تدعو إلى الاعتقاد بأن صاحب الشكوى سيكون في خطر التعرض للتعذيب عقب عودته إلى العراق. ولذلك، تخلص اللجنة إلى أن نقله إلى ذلك البلد لا يشكل انتهاكاً للمادة 3 من الاتفاقية.</w:t>
      </w:r>
    </w:p>
    <w:p w:rsidR="00094E50" w:rsidRDefault="00094E50" w:rsidP="00A64097">
      <w:pPr>
        <w:pStyle w:val="SingleTxtGA"/>
        <w:rPr>
          <w:rFonts w:hint="cs"/>
          <w:rtl/>
          <w:lang w:val="fr-CH"/>
        </w:rPr>
      </w:pPr>
      <w:r>
        <w:rPr>
          <w:rFonts w:hint="cs"/>
          <w:rtl/>
          <w:lang w:val="fr-CH" w:bidi="ar-EG"/>
        </w:rPr>
        <w:t>8-</w:t>
      </w:r>
      <w:r>
        <w:rPr>
          <w:rFonts w:hint="cs"/>
          <w:rtl/>
          <w:lang w:val="fr-CH" w:bidi="ar-EG"/>
        </w:rPr>
        <w:tab/>
        <w:t xml:space="preserve">إن لجنة مناهضة التعذيب، إذ تتصرف بموجب الفقرة 7 من المادة 22 من اتفاقية مناهضة التعذيب وغيره من ضروب المعاملة أو العقوبة القاسية أو اللاإنسانية أو المهينة، تخلص </w:t>
      </w:r>
      <w:r w:rsidRPr="00A64097">
        <w:rPr>
          <w:rFonts w:hint="cs"/>
          <w:spacing w:val="-2"/>
          <w:rtl/>
          <w:lang w:val="fr-CH" w:bidi="ar-EG"/>
        </w:rPr>
        <w:t>إلى أن احتجاز صاحب الشكوى من 18 حزيران/يونيه 2009 إلى 2 أيلول/سبتمبر 2009،</w:t>
      </w:r>
      <w:r>
        <w:rPr>
          <w:rFonts w:hint="cs"/>
          <w:rtl/>
          <w:lang w:val="fr-CH" w:bidi="ar-EG"/>
        </w:rPr>
        <w:t xml:space="preserve"> كملتمس لجوء رُفِض طلبه، لا يشكل انتهاكاً للمادتين 16 و2 من الاتفاقية، وأن حقوقه بموجب المادة 12 من الاتفاقية لم تنتهك ونقله إلى العراق من جانب الدولة الطرف لا يشكل خرقاً للمادة 3 من الاتفاقية.</w:t>
      </w:r>
      <w:r w:rsidRPr="005F6876">
        <w:rPr>
          <w:rtl/>
          <w:lang w:val="fr-CH"/>
        </w:rPr>
        <w:t xml:space="preserve"> </w:t>
      </w:r>
    </w:p>
    <w:p w:rsidR="0037416F" w:rsidRDefault="0037416F" w:rsidP="00A64097">
      <w:pPr>
        <w:pStyle w:val="SingleTxtGA"/>
        <w:rPr>
          <w:rFonts w:hint="cs"/>
          <w:rtl/>
          <w:lang w:val="fr-CH"/>
        </w:rPr>
      </w:pPr>
    </w:p>
    <w:p w:rsidR="0037416F" w:rsidRDefault="0037416F" w:rsidP="00A64097">
      <w:pPr>
        <w:pStyle w:val="SingleTxtGA"/>
        <w:rPr>
          <w:rFonts w:hint="cs"/>
          <w:rtl/>
          <w:lang w:val="fr-CH"/>
        </w:rPr>
        <w:sectPr w:rsidR="0037416F" w:rsidSect="00F1742A">
          <w:footnotePr>
            <w:numFmt w:val="arabicAbjad"/>
            <w:numRestart w:val="eachSect"/>
          </w:footnotePr>
          <w:endnotePr>
            <w:numFmt w:val="decimal"/>
          </w:endnotePr>
          <w:pgSz w:w="11907" w:h="16840" w:code="9"/>
          <w:pgMar w:top="1701" w:right="1134" w:bottom="2268" w:left="1134" w:header="1134" w:footer="1701" w:gutter="0"/>
          <w:cols w:space="720"/>
          <w:bidi/>
          <w:rtlGutter/>
          <w:docGrid w:linePitch="360"/>
        </w:sectPr>
      </w:pPr>
    </w:p>
    <w:p w:rsidR="00021691" w:rsidRPr="00021691" w:rsidRDefault="00021691" w:rsidP="00021691">
      <w:pPr>
        <w:pStyle w:val="H1GA"/>
        <w:spacing w:before="120"/>
        <w:rPr>
          <w:rFonts w:hint="cs"/>
          <w:i/>
          <w:iCs/>
          <w:szCs w:val="24"/>
          <w:rtl/>
        </w:rPr>
      </w:pPr>
      <w:r w:rsidRPr="00B41DC4">
        <w:rPr>
          <w:rFonts w:hint="cs"/>
          <w:rtl/>
          <w:lang w:bidi="ar-SY"/>
        </w:rPr>
        <w:tab/>
      </w:r>
      <w:r w:rsidRPr="00B41DC4">
        <w:rPr>
          <w:rFonts w:hint="cs"/>
          <w:rtl/>
          <w:lang w:bidi="ar-SY"/>
        </w:rPr>
        <w:tab/>
        <w:t>البلاغ رقم 41</w:t>
      </w:r>
      <w:r>
        <w:rPr>
          <w:rFonts w:hint="cs"/>
          <w:rtl/>
          <w:lang w:bidi="ar-SY"/>
        </w:rPr>
        <w:t>6</w:t>
      </w:r>
      <w:r w:rsidRPr="00B41DC4">
        <w:rPr>
          <w:rFonts w:hint="cs"/>
          <w:rtl/>
          <w:lang w:bidi="ar-SY"/>
        </w:rPr>
        <w:t>/2010</w:t>
      </w:r>
      <w:r>
        <w:rPr>
          <w:rFonts w:hint="cs"/>
          <w:rtl/>
          <w:lang w:bidi="ar-SY"/>
        </w:rPr>
        <w:t xml:space="preserve">: </w:t>
      </w:r>
      <w:r>
        <w:rPr>
          <w:rFonts w:hint="cs"/>
          <w:i/>
          <w:iCs/>
          <w:rtl/>
          <w:lang w:bidi="ar-SY"/>
        </w:rPr>
        <w:t>كي ضد أستراليا</w:t>
      </w:r>
    </w:p>
    <w:p w:rsidR="00021691" w:rsidRPr="00EF7160" w:rsidRDefault="00021691" w:rsidP="00EF7160">
      <w:pPr>
        <w:pStyle w:val="SingleTxtGA"/>
        <w:tabs>
          <w:tab w:val="clear" w:pos="2608"/>
          <w:tab w:val="clear" w:pos="3289"/>
          <w:tab w:val="clear" w:pos="3969"/>
          <w:tab w:val="clear" w:pos="4649"/>
          <w:tab w:val="clear" w:pos="5330"/>
          <w:tab w:val="left" w:pos="4263"/>
        </w:tabs>
        <w:ind w:left="4280" w:hanging="2381"/>
        <w:rPr>
          <w:rFonts w:hint="cs"/>
          <w:i/>
          <w:iCs/>
          <w:color w:val="000000"/>
          <w:spacing w:val="-4"/>
          <w:rtl/>
          <w:lang w:bidi="ar-SY"/>
        </w:rPr>
      </w:pPr>
      <w:r w:rsidRPr="00EF7160">
        <w:rPr>
          <w:rFonts w:hint="cs"/>
          <w:i/>
          <w:iCs/>
          <w:color w:val="000000"/>
          <w:spacing w:val="-4"/>
          <w:rtl/>
          <w:lang w:bidi="ar-SY"/>
        </w:rPr>
        <w:t>المقدم من</w:t>
      </w:r>
      <w:r w:rsidRPr="00EF7160">
        <w:rPr>
          <w:rFonts w:hint="cs"/>
          <w:color w:val="000000"/>
          <w:spacing w:val="-4"/>
          <w:rtl/>
          <w:lang w:bidi="ar-SY"/>
        </w:rPr>
        <w:t>:</w:t>
      </w:r>
      <w:r w:rsidRPr="00EF7160">
        <w:rPr>
          <w:rFonts w:hint="cs"/>
          <w:i/>
          <w:iCs/>
          <w:color w:val="000000"/>
          <w:spacing w:val="-4"/>
          <w:rtl/>
          <w:lang w:bidi="ar-SY"/>
        </w:rPr>
        <w:tab/>
      </w:r>
      <w:r w:rsidRPr="00EF7160">
        <w:rPr>
          <w:rFonts w:hint="cs"/>
          <w:color w:val="000000"/>
          <w:spacing w:val="-4"/>
          <w:rtl/>
          <w:lang w:bidi="ar-SY"/>
        </w:rPr>
        <w:t>كي تشون رونغ</w:t>
      </w:r>
      <w:r w:rsidRPr="00EF7160">
        <w:rPr>
          <w:color w:val="000000"/>
          <w:spacing w:val="-4"/>
          <w:rtl/>
          <w:lang w:bidi="ar-SY"/>
        </w:rPr>
        <w:t xml:space="preserve"> (</w:t>
      </w:r>
      <w:r w:rsidRPr="00EF7160">
        <w:rPr>
          <w:rFonts w:hint="cs"/>
          <w:color w:val="000000"/>
          <w:spacing w:val="-4"/>
          <w:rtl/>
          <w:lang w:bidi="ar-SY"/>
        </w:rPr>
        <w:t>ت</w:t>
      </w:r>
      <w:r w:rsidRPr="00EF7160">
        <w:rPr>
          <w:color w:val="000000"/>
          <w:spacing w:val="-4"/>
          <w:rtl/>
          <w:lang w:bidi="ar-SY"/>
        </w:rPr>
        <w:t>مثله المحامي</w:t>
      </w:r>
      <w:r w:rsidRPr="00EF7160">
        <w:rPr>
          <w:rFonts w:hint="cs"/>
          <w:color w:val="000000"/>
          <w:spacing w:val="-4"/>
          <w:rtl/>
          <w:lang w:bidi="ar-SY"/>
        </w:rPr>
        <w:t>ة</w:t>
      </w:r>
      <w:r w:rsidRPr="00EF7160">
        <w:rPr>
          <w:color w:val="000000"/>
          <w:spacing w:val="-4"/>
          <w:rtl/>
          <w:lang w:bidi="ar-SY"/>
        </w:rPr>
        <w:t xml:space="preserve"> </w:t>
      </w:r>
      <w:r w:rsidRPr="00EF7160">
        <w:rPr>
          <w:rFonts w:hint="cs"/>
          <w:color w:val="000000"/>
          <w:spacing w:val="-4"/>
          <w:rtl/>
          <w:lang w:bidi="ar-SY"/>
        </w:rPr>
        <w:t>فيرونيكا ماري سباسارو</w:t>
      </w:r>
      <w:r w:rsidRPr="00EF7160">
        <w:rPr>
          <w:color w:val="000000"/>
          <w:spacing w:val="-4"/>
          <w:rtl/>
          <w:lang w:bidi="ar-SY"/>
        </w:rPr>
        <w:t>)</w:t>
      </w:r>
    </w:p>
    <w:p w:rsidR="00021691" w:rsidRPr="00B41DC4" w:rsidRDefault="00021691" w:rsidP="00EF7160">
      <w:pPr>
        <w:pStyle w:val="SingleTxtGA"/>
        <w:tabs>
          <w:tab w:val="clear" w:pos="2608"/>
          <w:tab w:val="clear" w:pos="3289"/>
          <w:tab w:val="clear" w:pos="3969"/>
          <w:tab w:val="clear" w:pos="4649"/>
          <w:tab w:val="clear" w:pos="5330"/>
          <w:tab w:val="left" w:pos="4263"/>
        </w:tabs>
        <w:ind w:left="4280" w:hanging="2381"/>
        <w:rPr>
          <w:rFonts w:hint="cs"/>
          <w:color w:val="000000"/>
          <w:rtl/>
          <w:lang w:bidi="ar-SY"/>
        </w:rPr>
      </w:pPr>
      <w:r w:rsidRPr="00B41DC4">
        <w:rPr>
          <w:rFonts w:hint="cs"/>
          <w:i/>
          <w:iCs/>
          <w:color w:val="000000"/>
          <w:rtl/>
          <w:lang w:bidi="ar-SY"/>
        </w:rPr>
        <w:t>الشخص المدع</w:t>
      </w:r>
      <w:r>
        <w:rPr>
          <w:rFonts w:hint="cs"/>
          <w:i/>
          <w:iCs/>
          <w:color w:val="000000"/>
          <w:rtl/>
          <w:lang w:bidi="ar-SY"/>
        </w:rPr>
        <w:t>ى</w:t>
      </w:r>
      <w:r w:rsidRPr="00B41DC4">
        <w:rPr>
          <w:rFonts w:hint="cs"/>
          <w:i/>
          <w:iCs/>
          <w:color w:val="000000"/>
          <w:rtl/>
          <w:lang w:bidi="ar-SY"/>
        </w:rPr>
        <w:t xml:space="preserve"> أنه ضحية</w:t>
      </w:r>
      <w:r w:rsidRPr="00021691">
        <w:rPr>
          <w:rFonts w:hint="cs"/>
          <w:color w:val="000000"/>
          <w:rtl/>
          <w:lang w:bidi="ar-SY"/>
        </w:rPr>
        <w:t>:</w:t>
      </w:r>
      <w:r>
        <w:rPr>
          <w:rFonts w:hint="cs"/>
          <w:color w:val="000000"/>
          <w:rtl/>
          <w:lang w:bidi="ar-SY"/>
        </w:rPr>
        <w:tab/>
        <w:t>صاحب</w:t>
      </w:r>
      <w:r w:rsidRPr="00B41DC4">
        <w:rPr>
          <w:color w:val="000000"/>
          <w:rtl/>
          <w:lang w:bidi="ar-SY"/>
        </w:rPr>
        <w:t xml:space="preserve"> الشكوى</w:t>
      </w:r>
    </w:p>
    <w:p w:rsidR="00021691" w:rsidRPr="00B41DC4" w:rsidRDefault="00021691" w:rsidP="00EF7160">
      <w:pPr>
        <w:pStyle w:val="SingleTxtGA"/>
        <w:tabs>
          <w:tab w:val="clear" w:pos="2608"/>
          <w:tab w:val="clear" w:pos="3289"/>
          <w:tab w:val="clear" w:pos="3969"/>
          <w:tab w:val="clear" w:pos="4649"/>
          <w:tab w:val="clear" w:pos="5330"/>
          <w:tab w:val="left" w:pos="4263"/>
        </w:tabs>
        <w:ind w:left="4280" w:hanging="2381"/>
        <w:rPr>
          <w:rFonts w:hint="cs"/>
          <w:color w:val="000000"/>
          <w:rtl/>
          <w:lang w:bidi="ar-SY"/>
        </w:rPr>
      </w:pPr>
      <w:r w:rsidRPr="00B41DC4">
        <w:rPr>
          <w:rFonts w:hint="cs"/>
          <w:i/>
          <w:iCs/>
          <w:color w:val="000000"/>
          <w:rtl/>
          <w:lang w:bidi="ar-SY"/>
        </w:rPr>
        <w:t>الدولة الطرف</w:t>
      </w:r>
      <w:r w:rsidRPr="00021691">
        <w:rPr>
          <w:rFonts w:hint="cs"/>
          <w:color w:val="000000"/>
          <w:rtl/>
          <w:lang w:bidi="ar-SY"/>
        </w:rPr>
        <w:t>:</w:t>
      </w:r>
      <w:r w:rsidRPr="00B41DC4">
        <w:rPr>
          <w:rFonts w:hint="cs"/>
          <w:color w:val="000000"/>
          <w:rtl/>
          <w:lang w:bidi="ar-SY"/>
        </w:rPr>
        <w:tab/>
      </w:r>
      <w:r>
        <w:rPr>
          <w:rFonts w:hint="cs"/>
          <w:color w:val="000000"/>
          <w:rtl/>
          <w:lang w:bidi="ar-SY"/>
        </w:rPr>
        <w:t>أستراليا</w:t>
      </w:r>
    </w:p>
    <w:p w:rsidR="00021691" w:rsidRPr="00B41DC4" w:rsidRDefault="00021691" w:rsidP="00EF7160">
      <w:pPr>
        <w:pStyle w:val="SingleTxtGA"/>
        <w:tabs>
          <w:tab w:val="clear" w:pos="2608"/>
          <w:tab w:val="clear" w:pos="3289"/>
          <w:tab w:val="clear" w:pos="3969"/>
          <w:tab w:val="clear" w:pos="4649"/>
          <w:tab w:val="clear" w:pos="5330"/>
          <w:tab w:val="left" w:pos="4263"/>
        </w:tabs>
        <w:ind w:left="4280" w:hanging="2381"/>
        <w:rPr>
          <w:rFonts w:hint="cs"/>
          <w:color w:val="000000"/>
          <w:rtl/>
        </w:rPr>
      </w:pPr>
      <w:r w:rsidRPr="00B41DC4">
        <w:rPr>
          <w:rFonts w:hint="cs"/>
          <w:i/>
          <w:iCs/>
          <w:color w:val="000000"/>
          <w:rtl/>
          <w:lang w:bidi="ar-SY"/>
        </w:rPr>
        <w:t>تاريخ تقديم الشكوى</w:t>
      </w:r>
      <w:r w:rsidRPr="00021691">
        <w:rPr>
          <w:rFonts w:hint="cs"/>
          <w:color w:val="000000"/>
          <w:rtl/>
          <w:lang w:bidi="ar-SY"/>
        </w:rPr>
        <w:t>:</w:t>
      </w:r>
      <w:r w:rsidRPr="00B41DC4">
        <w:rPr>
          <w:rFonts w:hint="cs"/>
          <w:color w:val="000000"/>
          <w:rtl/>
          <w:lang w:bidi="ar-SY"/>
        </w:rPr>
        <w:tab/>
      </w:r>
      <w:r>
        <w:rPr>
          <w:rFonts w:hint="cs"/>
          <w:color w:val="000000"/>
          <w:rtl/>
        </w:rPr>
        <w:t>15</w:t>
      </w:r>
      <w:r w:rsidRPr="00B41DC4">
        <w:rPr>
          <w:color w:val="000000"/>
          <w:rtl/>
        </w:rPr>
        <w:t xml:space="preserve"> </w:t>
      </w:r>
      <w:r>
        <w:rPr>
          <w:rFonts w:hint="cs"/>
          <w:color w:val="000000"/>
          <w:rtl/>
        </w:rPr>
        <w:t>آذار</w:t>
      </w:r>
      <w:r w:rsidRPr="00B41DC4">
        <w:rPr>
          <w:rFonts w:hint="cs"/>
          <w:color w:val="000000"/>
          <w:rtl/>
        </w:rPr>
        <w:t>/</w:t>
      </w:r>
      <w:r>
        <w:rPr>
          <w:rFonts w:hint="cs"/>
          <w:color w:val="000000"/>
          <w:rtl/>
        </w:rPr>
        <w:t>مارس</w:t>
      </w:r>
      <w:r w:rsidRPr="00B41DC4">
        <w:rPr>
          <w:color w:val="000000"/>
          <w:rtl/>
        </w:rPr>
        <w:t xml:space="preserve"> 20</w:t>
      </w:r>
      <w:r w:rsidRPr="00B41DC4">
        <w:rPr>
          <w:rFonts w:hint="cs"/>
          <w:color w:val="000000"/>
          <w:rtl/>
        </w:rPr>
        <w:t>10</w:t>
      </w:r>
      <w:r w:rsidRPr="00B41DC4">
        <w:rPr>
          <w:color w:val="000000"/>
          <w:rtl/>
        </w:rPr>
        <w:t xml:space="preserve"> (تاريخ الرسالة الأولى)</w:t>
      </w:r>
    </w:p>
    <w:p w:rsidR="00021691" w:rsidRPr="00B41DC4" w:rsidRDefault="00021691" w:rsidP="00021691">
      <w:pPr>
        <w:pStyle w:val="SingleTxtGA"/>
        <w:rPr>
          <w:rFonts w:hint="cs"/>
          <w:sz w:val="30"/>
          <w:szCs w:val="20"/>
          <w:rtl/>
        </w:rPr>
      </w:pPr>
      <w:r w:rsidRPr="00B41DC4">
        <w:rPr>
          <w:rFonts w:hint="cs"/>
          <w:i/>
          <w:iCs/>
          <w:rtl/>
          <w:lang w:bidi="ar-SY"/>
        </w:rPr>
        <w:tab/>
        <w:t xml:space="preserve">إن </w:t>
      </w:r>
      <w:r>
        <w:rPr>
          <w:rFonts w:hint="cs"/>
          <w:i/>
          <w:iCs/>
          <w:rtl/>
          <w:lang w:bidi="ar-SY"/>
        </w:rPr>
        <w:t>لجنة</w:t>
      </w:r>
      <w:r w:rsidRPr="00B41DC4">
        <w:rPr>
          <w:rFonts w:hint="cs"/>
          <w:i/>
          <w:iCs/>
          <w:rtl/>
          <w:lang w:bidi="ar-SY"/>
        </w:rPr>
        <w:t xml:space="preserve"> مناهضة التعذيب</w:t>
      </w:r>
      <w:r w:rsidRPr="00B41DC4">
        <w:rPr>
          <w:rFonts w:hint="cs"/>
          <w:rtl/>
          <w:lang w:bidi="ar-SY"/>
        </w:rPr>
        <w:t xml:space="preserve">، المنشأة بموجب المادة 17 من </w:t>
      </w:r>
      <w:r w:rsidRPr="00B41DC4">
        <w:rPr>
          <w:rtl/>
          <w:lang w:bidi="ar-SY"/>
        </w:rPr>
        <w:t>اتفاقية مناهضة التعذيب وغيره من ضروب المعاملة أو العقوبة القاسية أو اللاإنسانية أو المهينة</w:t>
      </w:r>
      <w:r w:rsidRPr="00B41DC4">
        <w:rPr>
          <w:rFonts w:hint="cs"/>
          <w:rtl/>
          <w:lang w:bidi="ar-SY"/>
        </w:rPr>
        <w:t>،</w:t>
      </w:r>
    </w:p>
    <w:p w:rsidR="00021691" w:rsidRPr="00B41DC4" w:rsidRDefault="00021691" w:rsidP="00021691">
      <w:pPr>
        <w:pStyle w:val="SingleTxtGA"/>
        <w:rPr>
          <w:rFonts w:hint="cs"/>
          <w:szCs w:val="20"/>
          <w:rtl/>
        </w:rPr>
      </w:pPr>
      <w:r w:rsidRPr="00B41DC4">
        <w:rPr>
          <w:rFonts w:hint="cs"/>
          <w:i/>
          <w:iCs/>
          <w:rtl/>
          <w:lang w:bidi="ar-SY"/>
        </w:rPr>
        <w:tab/>
        <w:t>وقد اجتمعت</w:t>
      </w:r>
      <w:r w:rsidRPr="00B41DC4">
        <w:rPr>
          <w:rFonts w:hint="cs"/>
          <w:rtl/>
          <w:lang w:bidi="ar-SY"/>
        </w:rPr>
        <w:t xml:space="preserve"> في </w:t>
      </w:r>
      <w:r>
        <w:rPr>
          <w:rFonts w:hint="cs"/>
          <w:rtl/>
        </w:rPr>
        <w:t>5</w:t>
      </w:r>
      <w:r w:rsidRPr="00B41DC4">
        <w:rPr>
          <w:rFonts w:hint="cs"/>
          <w:rtl/>
        </w:rPr>
        <w:t xml:space="preserve"> </w:t>
      </w:r>
      <w:r>
        <w:rPr>
          <w:rFonts w:hint="cs"/>
          <w:rtl/>
        </w:rPr>
        <w:t>تشرين الثاني</w:t>
      </w:r>
      <w:r w:rsidRPr="00B41DC4">
        <w:rPr>
          <w:rFonts w:hint="cs"/>
          <w:rtl/>
        </w:rPr>
        <w:t>/</w:t>
      </w:r>
      <w:r>
        <w:rPr>
          <w:rFonts w:hint="cs"/>
          <w:rtl/>
        </w:rPr>
        <w:t>نوفمبر</w:t>
      </w:r>
      <w:r w:rsidRPr="00B41DC4">
        <w:rPr>
          <w:rFonts w:hint="cs"/>
          <w:rtl/>
        </w:rPr>
        <w:t xml:space="preserve"> 2012</w:t>
      </w:r>
      <w:r w:rsidRPr="00B41DC4">
        <w:rPr>
          <w:rFonts w:hint="cs"/>
          <w:rtl/>
          <w:lang w:bidi="ar-SY"/>
        </w:rPr>
        <w:t>،</w:t>
      </w:r>
    </w:p>
    <w:p w:rsidR="00021691" w:rsidRPr="00B41DC4" w:rsidRDefault="00021691" w:rsidP="00021691">
      <w:pPr>
        <w:pStyle w:val="SingleTxtGA"/>
        <w:rPr>
          <w:rFonts w:hint="cs"/>
          <w:rtl/>
          <w:lang w:bidi="ar-SY"/>
        </w:rPr>
      </w:pPr>
      <w:r w:rsidRPr="00B41DC4">
        <w:rPr>
          <w:rFonts w:hint="cs"/>
          <w:i/>
          <w:iCs/>
          <w:rtl/>
          <w:lang w:bidi="ar-SY"/>
        </w:rPr>
        <w:tab/>
        <w:t>وقد فرغت</w:t>
      </w:r>
      <w:r w:rsidRPr="00B41DC4">
        <w:rPr>
          <w:rFonts w:hint="cs"/>
          <w:rtl/>
          <w:lang w:bidi="ar-SY"/>
        </w:rPr>
        <w:t xml:space="preserve"> من النظر في الشكوى</w:t>
      </w:r>
      <w:r w:rsidRPr="00B41DC4">
        <w:rPr>
          <w:rtl/>
          <w:lang w:bidi="ar-SY"/>
        </w:rPr>
        <w:t xml:space="preserve"> رقم </w:t>
      </w:r>
      <w:r w:rsidRPr="00B41DC4">
        <w:rPr>
          <w:rFonts w:hint="cs"/>
          <w:rtl/>
          <w:lang w:bidi="ar-SY"/>
        </w:rPr>
        <w:t>41</w:t>
      </w:r>
      <w:r>
        <w:rPr>
          <w:rFonts w:hint="cs"/>
          <w:rtl/>
          <w:lang w:bidi="ar-SY"/>
        </w:rPr>
        <w:t>6</w:t>
      </w:r>
      <w:r w:rsidRPr="00B41DC4">
        <w:rPr>
          <w:rtl/>
          <w:lang w:bidi="ar-SY"/>
        </w:rPr>
        <w:t>/20</w:t>
      </w:r>
      <w:r w:rsidRPr="00B41DC4">
        <w:rPr>
          <w:rFonts w:hint="cs"/>
          <w:rtl/>
          <w:lang w:bidi="ar-SY"/>
        </w:rPr>
        <w:t>10</w:t>
      </w:r>
      <w:r w:rsidRPr="00B41DC4">
        <w:rPr>
          <w:rtl/>
          <w:lang w:bidi="ar-SY"/>
        </w:rPr>
        <w:t>، المقدم</w:t>
      </w:r>
      <w:r w:rsidRPr="00B41DC4">
        <w:rPr>
          <w:rFonts w:hint="cs"/>
          <w:rtl/>
          <w:lang w:bidi="ar-SY"/>
        </w:rPr>
        <w:t>ة</w:t>
      </w:r>
      <w:r w:rsidRPr="00B41DC4">
        <w:rPr>
          <w:rtl/>
          <w:lang w:bidi="ar-SY"/>
        </w:rPr>
        <w:t xml:space="preserve"> إلى لجنة مناهضة التعذيب من </w:t>
      </w:r>
      <w:r>
        <w:rPr>
          <w:rFonts w:hint="cs"/>
          <w:rtl/>
          <w:lang w:bidi="ar-SY"/>
        </w:rPr>
        <w:t xml:space="preserve">فيرونيكا ماري </w:t>
      </w:r>
      <w:r w:rsidRPr="00FE65E4">
        <w:rPr>
          <w:rFonts w:hint="cs"/>
          <w:rtl/>
          <w:lang w:bidi="ar-SY"/>
        </w:rPr>
        <w:t>سباسارو نيابة</w:t>
      </w:r>
      <w:r>
        <w:rPr>
          <w:rFonts w:hint="cs"/>
          <w:rtl/>
          <w:lang w:bidi="ar-SY"/>
        </w:rPr>
        <w:t>ً</w:t>
      </w:r>
      <w:r w:rsidRPr="00FE65E4">
        <w:rPr>
          <w:rFonts w:hint="cs"/>
          <w:rtl/>
          <w:lang w:bidi="ar-SY"/>
        </w:rPr>
        <w:t xml:space="preserve"> عن</w:t>
      </w:r>
      <w:r>
        <w:rPr>
          <w:rFonts w:hint="cs"/>
          <w:rtl/>
          <w:lang w:bidi="ar-SY"/>
        </w:rPr>
        <w:t xml:space="preserve"> كي تشون رونغ</w:t>
      </w:r>
      <w:r w:rsidRPr="00B41DC4">
        <w:rPr>
          <w:rtl/>
          <w:lang w:bidi="ar-SY"/>
        </w:rPr>
        <w:t xml:space="preserve"> بموجب المادة 22 من اتفاقية</w:t>
      </w:r>
      <w:r w:rsidRPr="00B41DC4">
        <w:rPr>
          <w:rFonts w:hint="cs"/>
          <w:rtl/>
          <w:lang w:bidi="ar-SY"/>
        </w:rPr>
        <w:t xml:space="preserve"> </w:t>
      </w:r>
      <w:r w:rsidRPr="00B41DC4">
        <w:rPr>
          <w:rtl/>
          <w:lang w:bidi="ar-SY"/>
        </w:rPr>
        <w:t>مناهضة التعذيب وغيره من ضروب المعاملة أو العقوبة القاسية أو اللاإنسانية أو المهينة</w:t>
      </w:r>
      <w:r w:rsidRPr="00B41DC4">
        <w:rPr>
          <w:rFonts w:hint="cs"/>
          <w:rtl/>
          <w:lang w:bidi="ar-SY"/>
        </w:rPr>
        <w:t>،</w:t>
      </w:r>
    </w:p>
    <w:p w:rsidR="00021691" w:rsidRPr="00B41DC4" w:rsidRDefault="00021691" w:rsidP="00021691">
      <w:pPr>
        <w:pStyle w:val="SingleTxtGA"/>
        <w:rPr>
          <w:rFonts w:hint="cs"/>
          <w:szCs w:val="20"/>
          <w:rtl/>
        </w:rPr>
      </w:pPr>
      <w:r w:rsidRPr="00B41DC4">
        <w:rPr>
          <w:rFonts w:hint="cs"/>
          <w:i/>
          <w:iCs/>
          <w:rtl/>
          <w:lang w:bidi="ar-SY"/>
        </w:rPr>
        <w:tab/>
        <w:t xml:space="preserve">وقد </w:t>
      </w:r>
      <w:r>
        <w:rPr>
          <w:rFonts w:hint="cs"/>
          <w:i/>
          <w:iCs/>
          <w:rtl/>
          <w:lang w:bidi="ar-SY"/>
        </w:rPr>
        <w:t xml:space="preserve">وضعت </w:t>
      </w:r>
      <w:r w:rsidRPr="00B41DC4">
        <w:rPr>
          <w:rFonts w:hint="cs"/>
          <w:i/>
          <w:iCs/>
          <w:rtl/>
          <w:lang w:bidi="ar-SY"/>
        </w:rPr>
        <w:t>في اعتبارها</w:t>
      </w:r>
      <w:r w:rsidRPr="00B41DC4">
        <w:rPr>
          <w:rFonts w:hint="cs"/>
          <w:rtl/>
          <w:lang w:bidi="ar-SY"/>
        </w:rPr>
        <w:t xml:space="preserve"> جميع المعلومات التي </w:t>
      </w:r>
      <w:r>
        <w:rPr>
          <w:rFonts w:hint="cs"/>
          <w:rtl/>
          <w:lang w:bidi="ar-SY"/>
        </w:rPr>
        <w:t>أتاح</w:t>
      </w:r>
      <w:r w:rsidRPr="00B41DC4">
        <w:rPr>
          <w:rFonts w:hint="cs"/>
          <w:rtl/>
          <w:lang w:bidi="ar-SY"/>
        </w:rPr>
        <w:t xml:space="preserve">ها لها </w:t>
      </w:r>
      <w:r>
        <w:rPr>
          <w:rFonts w:hint="cs"/>
          <w:rtl/>
          <w:lang w:bidi="ar-SY"/>
        </w:rPr>
        <w:t>صاحب الشكوى</w:t>
      </w:r>
      <w:r w:rsidRPr="00B41DC4">
        <w:rPr>
          <w:rFonts w:hint="cs"/>
          <w:rtl/>
          <w:lang w:bidi="ar-SY"/>
        </w:rPr>
        <w:t xml:space="preserve"> ومحامي</w:t>
      </w:r>
      <w:r>
        <w:rPr>
          <w:rFonts w:hint="cs"/>
          <w:rtl/>
          <w:lang w:bidi="ar-SY"/>
        </w:rPr>
        <w:t>ته</w:t>
      </w:r>
      <w:r w:rsidRPr="00B41DC4">
        <w:rPr>
          <w:rFonts w:hint="cs"/>
          <w:rtl/>
          <w:lang w:bidi="ar-SY"/>
        </w:rPr>
        <w:t xml:space="preserve"> والدولة الطرف،</w:t>
      </w:r>
    </w:p>
    <w:p w:rsidR="00021691" w:rsidRPr="00B41DC4" w:rsidRDefault="00021691" w:rsidP="00021691">
      <w:pPr>
        <w:pStyle w:val="SingleTxtGA"/>
        <w:rPr>
          <w:rFonts w:hint="cs"/>
          <w:i/>
          <w:iCs/>
          <w:rtl/>
        </w:rPr>
      </w:pPr>
      <w:r w:rsidRPr="00B41DC4">
        <w:rPr>
          <w:rFonts w:hint="cs"/>
          <w:i/>
          <w:iCs/>
          <w:rtl/>
          <w:lang w:bidi="ar-SY"/>
        </w:rPr>
        <w:tab/>
        <w:t xml:space="preserve">تعتمد </w:t>
      </w:r>
      <w:r w:rsidRPr="00B41DC4">
        <w:rPr>
          <w:rFonts w:hint="cs"/>
          <w:rtl/>
          <w:lang w:bidi="ar-SY"/>
        </w:rPr>
        <w:t>ما يلي</w:t>
      </w:r>
      <w:r w:rsidRPr="00B41DC4">
        <w:rPr>
          <w:rFonts w:hint="cs"/>
          <w:rtl/>
        </w:rPr>
        <w:t>:</w:t>
      </w:r>
    </w:p>
    <w:p w:rsidR="00021691" w:rsidRPr="00B41DC4" w:rsidRDefault="00021691" w:rsidP="00021691">
      <w:pPr>
        <w:pStyle w:val="H1GA"/>
        <w:rPr>
          <w:rFonts w:hint="cs"/>
          <w:rtl/>
        </w:rPr>
      </w:pPr>
      <w:r w:rsidRPr="00B41DC4">
        <w:rPr>
          <w:rFonts w:hint="cs"/>
          <w:rtl/>
        </w:rPr>
        <w:tab/>
      </w:r>
      <w:r>
        <w:rPr>
          <w:rFonts w:hint="cs"/>
          <w:rtl/>
        </w:rPr>
        <w:tab/>
      </w:r>
      <w:r w:rsidRPr="00B41DC4">
        <w:rPr>
          <w:rtl/>
        </w:rPr>
        <w:t>قرار بموجب الفقرة 7 من المادة 22 من اتفاقية مناهضة التعذيب</w:t>
      </w:r>
    </w:p>
    <w:p w:rsidR="00021691" w:rsidRPr="00CB6FDA" w:rsidRDefault="00021691" w:rsidP="00021691">
      <w:pPr>
        <w:pStyle w:val="SingleTxtGA"/>
        <w:rPr>
          <w:rFonts w:hint="cs"/>
          <w:rtl/>
          <w:lang w:val="en-CA" w:bidi="ar-SY"/>
        </w:rPr>
      </w:pPr>
      <w:r w:rsidRPr="00E43357">
        <w:rPr>
          <w:rFonts w:hint="cs"/>
          <w:rtl/>
          <w:lang w:bidi="ar-MA"/>
        </w:rPr>
        <w:t>1-1</w:t>
      </w:r>
      <w:r w:rsidRPr="00E43357">
        <w:rPr>
          <w:rFonts w:hint="cs"/>
          <w:rtl/>
          <w:lang w:bidi="ar-MA"/>
        </w:rPr>
        <w:tab/>
        <w:t xml:space="preserve">صاحب الشكوى هو السيد </w:t>
      </w:r>
      <w:r w:rsidRPr="00E43357">
        <w:rPr>
          <w:rFonts w:hint="cs"/>
          <w:rtl/>
          <w:lang w:bidi="ar-SY"/>
        </w:rPr>
        <w:t>كي تشون رونغ</w:t>
      </w:r>
      <w:r>
        <w:rPr>
          <w:rFonts w:hint="cs"/>
          <w:rtl/>
          <w:lang w:val="en-CA"/>
        </w:rPr>
        <w:t>،</w:t>
      </w:r>
      <w:r w:rsidRPr="00E43357">
        <w:rPr>
          <w:rFonts w:hint="cs"/>
          <w:rtl/>
          <w:lang w:val="en-CA"/>
        </w:rPr>
        <w:t xml:space="preserve"> وهو مواطن </w:t>
      </w:r>
      <w:r>
        <w:rPr>
          <w:rFonts w:hint="cs"/>
          <w:rtl/>
          <w:lang w:val="en-CA"/>
        </w:rPr>
        <w:t>صيني ولد في 30 تشرين الأول/أكتوبر 1962؛ وفي وقت تقديم الشكوى، كان يقيم في أستراليا. وطلب صاحب الشكوى تأشيرة حماية بموجب قانون الهجرة الأسترالي لعام 1958 ولكن قوبل طلبه بالرفض وطلِب منه مغادرة البلاد. وفي وقت تقديم الشكوى، كان محتجزاً في "</w:t>
      </w:r>
      <w:r w:rsidRPr="00CB6FDA">
        <w:rPr>
          <w:rtl/>
          <w:lang w:val="en-CA"/>
        </w:rPr>
        <w:t>مركز فيلاوود لاحتجاز المهاجرين</w:t>
      </w:r>
      <w:r>
        <w:rPr>
          <w:rFonts w:hint="cs"/>
          <w:rtl/>
          <w:lang w:val="en-CA"/>
        </w:rPr>
        <w:t xml:space="preserve">" في سيدني ومهدَّداً بالترحيل. ويدعي أن إعادته القسرية إلى الصين تشكل خرقاً من جانب أستراليا للمادة 3 من </w:t>
      </w:r>
      <w:r>
        <w:rPr>
          <w:rFonts w:hint="cs"/>
          <w:rtl/>
          <w:lang/>
        </w:rPr>
        <w:t>اتفاقية مناهضة التعذيب وغيره من ضروب المعاملة أو العقوبة القاسية أو اللاإنسانية أو المهينة</w:t>
      </w:r>
      <w:r>
        <w:rPr>
          <w:rFonts w:hint="cs"/>
          <w:rtl/>
          <w:lang w:val="en-CA"/>
        </w:rPr>
        <w:t xml:space="preserve">. وتُمثّل صاحبَ الشكوى المحاميةُ </w:t>
      </w:r>
      <w:r>
        <w:rPr>
          <w:rFonts w:hint="cs"/>
          <w:rtl/>
          <w:lang w:bidi="ar-SY"/>
        </w:rPr>
        <w:t xml:space="preserve">فيرونيكا ماري </w:t>
      </w:r>
      <w:r w:rsidRPr="001C691D">
        <w:rPr>
          <w:rFonts w:hint="cs"/>
          <w:rtl/>
          <w:lang w:bidi="ar-SY"/>
        </w:rPr>
        <w:t>سباسارو</w:t>
      </w:r>
      <w:r>
        <w:rPr>
          <w:rFonts w:hint="cs"/>
          <w:rtl/>
          <w:lang w:val="en-CA" w:bidi="ar-SY"/>
        </w:rPr>
        <w:t xml:space="preserve"> من المنظمة غير الحكومية "بالماين للاجئين".</w:t>
      </w:r>
    </w:p>
    <w:p w:rsidR="00021691" w:rsidRPr="00E40AE1" w:rsidRDefault="00021691" w:rsidP="00021691">
      <w:pPr>
        <w:pStyle w:val="SingleTxtGA"/>
        <w:rPr>
          <w:rFonts w:hint="cs"/>
          <w:rtl/>
          <w:lang w:val="en-CA"/>
        </w:rPr>
      </w:pPr>
      <w:r w:rsidRPr="00E40AE1">
        <w:rPr>
          <w:rFonts w:hint="cs"/>
          <w:rtl/>
          <w:lang w:bidi="ar-MA"/>
        </w:rPr>
        <w:t>1-2</w:t>
      </w:r>
      <w:r w:rsidRPr="00E40AE1">
        <w:rPr>
          <w:rFonts w:hint="cs"/>
          <w:rtl/>
          <w:lang w:bidi="ar-MA"/>
        </w:rPr>
        <w:tab/>
      </w:r>
      <w:r w:rsidRPr="00E40AE1">
        <w:rPr>
          <w:rFonts w:hint="cs"/>
          <w:rtl/>
        </w:rPr>
        <w:t>و</w:t>
      </w:r>
      <w:r w:rsidRPr="00E40AE1">
        <w:rPr>
          <w:rFonts w:hint="cs"/>
          <w:rtl/>
          <w:lang w:val="en-CA"/>
        </w:rPr>
        <w:t>في 31 آذار/مارس 2010،</w:t>
      </w:r>
      <w:r w:rsidRPr="00E40AE1">
        <w:rPr>
          <w:rFonts w:hint="cs"/>
          <w:rtl/>
        </w:rPr>
        <w:t xml:space="preserve"> </w:t>
      </w:r>
      <w:r w:rsidRPr="00E40AE1">
        <w:rPr>
          <w:rFonts w:hint="cs"/>
          <w:rtl/>
          <w:lang w:bidi="ar-MA"/>
        </w:rPr>
        <w:t xml:space="preserve">طلبت اللجنة </w:t>
      </w:r>
      <w:r w:rsidRPr="00E40AE1">
        <w:rPr>
          <w:rFonts w:hint="cs"/>
          <w:rtl/>
          <w:lang w:val="en-CA"/>
        </w:rPr>
        <w:t>إلى الدولة الطرف</w:t>
      </w:r>
      <w:r w:rsidRPr="00E40AE1">
        <w:rPr>
          <w:rFonts w:hint="cs"/>
          <w:rtl/>
          <w:lang w:bidi="ar-MA"/>
        </w:rPr>
        <w:t xml:space="preserve">، بموجب المادة 114 (المادة 108 سابقاً) من </w:t>
      </w:r>
      <w:r w:rsidRPr="00E40AE1">
        <w:rPr>
          <w:rFonts w:hint="cs"/>
          <w:rtl/>
          <w:lang w:val="en-CA"/>
        </w:rPr>
        <w:t>نظامها الداخلي (</w:t>
      </w:r>
      <w:r w:rsidRPr="00E40AE1">
        <w:t>CAT/C/3/Rev.5</w:t>
      </w:r>
      <w:r w:rsidRPr="00E40AE1">
        <w:rPr>
          <w:rFonts w:hint="cs"/>
          <w:rtl/>
          <w:lang w:val="en-CA"/>
        </w:rPr>
        <w:t>)، عدم طرد صاحب الشكوى إلى الصين ريثما تنظر اللجنة في بلاغه.</w:t>
      </w:r>
    </w:p>
    <w:p w:rsidR="00021691" w:rsidRPr="00D25845" w:rsidRDefault="00021691" w:rsidP="00021691">
      <w:pPr>
        <w:pStyle w:val="H23GA"/>
        <w:rPr>
          <w:rFonts w:hint="cs"/>
          <w:highlight w:val="green"/>
          <w:rtl/>
        </w:rPr>
      </w:pPr>
      <w:r>
        <w:rPr>
          <w:rFonts w:hint="cs"/>
          <w:rtl/>
          <w:lang/>
        </w:rPr>
        <w:tab/>
      </w:r>
      <w:r>
        <w:rPr>
          <w:rFonts w:hint="cs"/>
          <w:rtl/>
          <w:lang/>
        </w:rPr>
        <w:tab/>
        <w:t>الوقائع كما عرضها صاحب الشكوى</w:t>
      </w:r>
      <w:r>
        <w:rPr>
          <w:rFonts w:hint="cs"/>
          <w:highlight w:val="green"/>
          <w:rtl/>
        </w:rPr>
        <w:t xml:space="preserve"> </w:t>
      </w:r>
    </w:p>
    <w:p w:rsidR="00021691" w:rsidRPr="00185D64" w:rsidRDefault="00021691" w:rsidP="00021691">
      <w:pPr>
        <w:pStyle w:val="SingleTxtGA"/>
        <w:rPr>
          <w:rFonts w:ascii="Traditional Arabic" w:hAnsi="Traditional Arabic" w:hint="cs"/>
          <w:szCs w:val="20"/>
          <w:rtl/>
        </w:rPr>
      </w:pPr>
      <w:r w:rsidRPr="00185D64">
        <w:rPr>
          <w:rtl/>
          <w:lang w:val="en-CA"/>
        </w:rPr>
        <w:t>2-1</w:t>
      </w:r>
      <w:r w:rsidRPr="00185D64">
        <w:rPr>
          <w:rtl/>
          <w:lang w:val="en-CA"/>
        </w:rPr>
        <w:tab/>
      </w:r>
      <w:r>
        <w:rPr>
          <w:rFonts w:ascii="Traditional Arabic" w:hAnsi="Traditional Arabic" w:hint="cs"/>
          <w:rtl/>
        </w:rPr>
        <w:t xml:space="preserve">صاحب الشكوى مواطن صيني يدّعي أنه يمارس الفالون غونغ بانتظام وأنه أحد قادة هذه الحركة التي انضم إليها عام 1995 عندما انتقل للعيش في فوزو بالصين. وهو متزوج ولديه صبيّان ما زالا يعيشان في الصين. ويدعي صاحب الشكوى أنه عاد عام 1996 إلى </w:t>
      </w:r>
      <w:r w:rsidRPr="001A4DCD">
        <w:rPr>
          <w:rFonts w:ascii="Traditional Arabic" w:hAnsi="Traditional Arabic" w:hint="cs"/>
          <w:rtl/>
        </w:rPr>
        <w:t>قريته الأصلية،كويهو</w:t>
      </w:r>
      <w:r>
        <w:rPr>
          <w:rFonts w:ascii="Traditional Arabic" w:hAnsi="Traditional Arabic" w:hint="cs"/>
          <w:rtl/>
        </w:rPr>
        <w:t>، حيث بدأ ينظم مجموعة محلية لممارسة الفالون غونغ</w:t>
      </w:r>
      <w:r w:rsidRPr="00185D64">
        <w:rPr>
          <w:rFonts w:ascii="Traditional Arabic" w:hAnsi="Traditional Arabic" w:hint="cs"/>
          <w:rtl/>
        </w:rPr>
        <w:t>.</w:t>
      </w:r>
      <w:r>
        <w:rPr>
          <w:rFonts w:ascii="Traditional Arabic" w:hAnsi="Traditional Arabic" w:hint="cs"/>
          <w:rtl/>
        </w:rPr>
        <w:t xml:space="preserve"> ويدعي أنه كان يعلّم الممارسين الجدد ويضطلع بدور قيادي. ويشدد صاحب الشكوى على أن الشرطة قامت، عند إعلان السلطات الصينية الفالون غونغ حركةً غير قانونية عام 1999، بمصادرة ما كان في حوزته من مواد عن الفالون غونغ وهددته </w:t>
      </w:r>
      <w:r w:rsidRPr="000447B6">
        <w:rPr>
          <w:rFonts w:ascii="Traditional Arabic" w:hAnsi="Traditional Arabic" w:hint="cs"/>
          <w:rtl/>
        </w:rPr>
        <w:t xml:space="preserve">بإقفال </w:t>
      </w:r>
      <w:r>
        <w:rPr>
          <w:rFonts w:ascii="Traditional Arabic" w:hAnsi="Traditional Arabic" w:hint="cs"/>
          <w:rtl/>
        </w:rPr>
        <w:t>المحل</w:t>
      </w:r>
      <w:r w:rsidRPr="000447B6">
        <w:rPr>
          <w:rFonts w:ascii="Traditional Arabic" w:hAnsi="Traditional Arabic" w:hint="cs"/>
          <w:rtl/>
        </w:rPr>
        <w:t xml:space="preserve"> الذي</w:t>
      </w:r>
      <w:r>
        <w:rPr>
          <w:rFonts w:ascii="Traditional Arabic" w:hAnsi="Traditional Arabic" w:hint="cs"/>
          <w:rtl/>
        </w:rPr>
        <w:t xml:space="preserve"> فتحه في قريته الأصلية. ومنذ ذاك استمرّ في ممارسة الفالون غونغ سرا</w:t>
      </w:r>
      <w:r>
        <w:rPr>
          <w:rFonts w:hint="cs"/>
          <w:rtl/>
          <w:lang w:val="en-CA"/>
        </w:rPr>
        <w:t>ً</w:t>
      </w:r>
      <w:r>
        <w:rPr>
          <w:rFonts w:ascii="Traditional Arabic" w:hAnsi="Traditional Arabic" w:hint="cs"/>
          <w:rtl/>
        </w:rPr>
        <w:t xml:space="preserve"> مع آخرين.</w:t>
      </w:r>
    </w:p>
    <w:p w:rsidR="00021691" w:rsidRPr="00F5003B" w:rsidRDefault="00021691" w:rsidP="00021691">
      <w:pPr>
        <w:pStyle w:val="SingleTxtGA"/>
        <w:rPr>
          <w:rFonts w:ascii="Traditional Arabic" w:hAnsi="Traditional Arabic" w:hint="cs"/>
          <w:rtl/>
        </w:rPr>
      </w:pPr>
      <w:r w:rsidRPr="00F5003B">
        <w:rPr>
          <w:rFonts w:ascii="Traditional Arabic" w:hAnsi="Traditional Arabic"/>
          <w:rtl/>
        </w:rPr>
        <w:t>2-2</w:t>
      </w:r>
      <w:r w:rsidRPr="00F5003B">
        <w:rPr>
          <w:rFonts w:ascii="Traditional Arabic" w:hAnsi="Traditional Arabic"/>
          <w:rtl/>
        </w:rPr>
        <w:tab/>
      </w:r>
      <w:r w:rsidRPr="00F5003B">
        <w:rPr>
          <w:rFonts w:ascii="Traditional Arabic" w:hAnsi="Traditional Arabic" w:hint="cs"/>
          <w:rtl/>
        </w:rPr>
        <w:t>و</w:t>
      </w:r>
      <w:r>
        <w:rPr>
          <w:rFonts w:ascii="Traditional Arabic" w:hAnsi="Traditional Arabic" w:hint="cs"/>
          <w:rtl/>
        </w:rPr>
        <w:t>يدعي صاحب الشكوى أن الشرطة ألقت القبض عليه في 15 آب/ أغسطس</w:t>
      </w:r>
      <w:r>
        <w:rPr>
          <w:rFonts w:ascii="Traditional Arabic" w:hAnsi="Traditional Arabic" w:hint="eastAsia"/>
          <w:rtl/>
        </w:rPr>
        <w:t> </w:t>
      </w:r>
      <w:r>
        <w:rPr>
          <w:rFonts w:ascii="Traditional Arabic" w:hAnsi="Traditional Arabic" w:hint="cs"/>
          <w:rtl/>
        </w:rPr>
        <w:t>2001 واحتجزته في "سجن مدينة فوتشينغ</w:t>
      </w:r>
      <w:r w:rsidRPr="00B45EED">
        <w:rPr>
          <w:rFonts w:ascii="Traditional Arabic" w:hAnsi="Traditional Arabic" w:hint="cs"/>
          <w:rtl/>
        </w:rPr>
        <w:t>"</w:t>
      </w:r>
      <w:r>
        <w:rPr>
          <w:rFonts w:ascii="Traditional Arabic" w:hAnsi="Traditional Arabic" w:hint="cs"/>
          <w:rtl/>
        </w:rPr>
        <w:t xml:space="preserve"> لأنه كان قائد إحدى مجموعات الفالون غونغ وقد نظّم عددا</w:t>
      </w:r>
      <w:r>
        <w:rPr>
          <w:rFonts w:hint="cs"/>
          <w:rtl/>
          <w:lang w:val="en-CA"/>
        </w:rPr>
        <w:t>ً</w:t>
      </w:r>
      <w:r>
        <w:rPr>
          <w:rFonts w:ascii="Traditional Arabic" w:hAnsi="Traditional Arabic" w:hint="cs"/>
          <w:rtl/>
        </w:rPr>
        <w:t xml:space="preserve"> من ممارسي الفالون غونغ بغية الاحتجاج على احتجاز أحد أعضائهم</w:t>
      </w:r>
      <w:r w:rsidRPr="00F5003B">
        <w:rPr>
          <w:rFonts w:ascii="Traditional Arabic" w:hAnsi="Traditional Arabic" w:hint="cs"/>
          <w:rtl/>
        </w:rPr>
        <w:t>.</w:t>
      </w:r>
      <w:r>
        <w:rPr>
          <w:rFonts w:ascii="Traditional Arabic" w:hAnsi="Traditional Arabic" w:hint="cs"/>
          <w:rtl/>
        </w:rPr>
        <w:t xml:space="preserve"> ويدعي صاحب الشكوى أنه احتُجز لمدة 16 يوماً، وخضع للاستجواب والتعذيب بشكل يومي تقريباً. وفي إحدى المرات جرى تعذيبه واستجوابه لأربع ساعات </w:t>
      </w:r>
      <w:r w:rsidRPr="009E1B06">
        <w:rPr>
          <w:rFonts w:ascii="Traditional Arabic" w:hAnsi="Traditional Arabic" w:hint="cs"/>
          <w:rtl/>
        </w:rPr>
        <w:t>دون انقطاع.</w:t>
      </w:r>
      <w:r>
        <w:rPr>
          <w:rFonts w:ascii="Traditional Arabic" w:hAnsi="Traditional Arabic" w:hint="cs"/>
          <w:rtl/>
        </w:rPr>
        <w:t xml:space="preserve"> ويدعي أن يديه قُيّدتا إلى قضبان حديدية وأنه تلقى صدمات كهربائية متكررة على ظهره. ويفيد أيضا</w:t>
      </w:r>
      <w:r>
        <w:rPr>
          <w:rFonts w:hint="cs"/>
          <w:rtl/>
          <w:lang w:val="en-CA"/>
        </w:rPr>
        <w:t>ً</w:t>
      </w:r>
      <w:r>
        <w:rPr>
          <w:rFonts w:ascii="Traditional Arabic" w:hAnsi="Traditional Arabic" w:hint="cs"/>
          <w:rtl/>
        </w:rPr>
        <w:t xml:space="preserve"> بأنه أُحرق بالسجائر على مؤخرة عنقه وبأن الأصداف أصابت معصميه ويديه بجروح عميقة. ويدعي صاحب الشكوى أنه وُضع تحت مراقبة الشرطة بعد </w:t>
      </w:r>
      <w:r w:rsidRPr="00021691">
        <w:rPr>
          <w:rFonts w:ascii="Traditional Arabic" w:hAnsi="Traditional Arabic" w:hint="cs"/>
          <w:spacing w:val="-2"/>
          <w:rtl/>
        </w:rPr>
        <w:t xml:space="preserve">إطلاق سراحه، ولذلك أخذ يختبئ. وقرر مغادرة الصين في 12 كانون الأول/ديسمبر 2004 </w:t>
      </w:r>
      <w:r>
        <w:rPr>
          <w:rFonts w:ascii="Traditional Arabic" w:hAnsi="Traditional Arabic" w:hint="cs"/>
          <w:rtl/>
        </w:rPr>
        <w:t xml:space="preserve">بعد سماعه بأنّ أحد تابعي الفالون غونغ السابقين، الذي كان من ممارسي التمرينات في قريته، قد </w:t>
      </w:r>
      <w:r w:rsidRPr="005301E2">
        <w:rPr>
          <w:rFonts w:ascii="Traditional Arabic" w:hAnsi="Traditional Arabic" w:hint="cs"/>
          <w:rtl/>
        </w:rPr>
        <w:t>كشف</w:t>
      </w:r>
      <w:r>
        <w:rPr>
          <w:rFonts w:ascii="Traditional Arabic" w:hAnsi="Traditional Arabic" w:hint="cs"/>
          <w:rtl/>
        </w:rPr>
        <w:t xml:space="preserve"> اسمه تحت التعذيب بوصفه الشخص الذي علّمه الفالون غونغ. وحصل صاحب الشكوى بفضل صِلاته الأسرية على جواز سفر وتأشيرة قانونيين للذهاب إلى أستراليا. فوصل إلى أستراليا في 12 كانون الأول/ديسمبر 2004 ثم انتقل إلى سيدني في 17 كانون الأول/ديسمبر 2004. ويدعي صاحب الشكوى أنه غادر الصين لتجنب الاعتقال والاضطهاد وأنه استمرّ بممارسة الفالون غونغ عندما وصل إلى أستراليا.</w:t>
      </w:r>
    </w:p>
    <w:p w:rsidR="00021691" w:rsidRPr="009A3FA4" w:rsidRDefault="00021691" w:rsidP="00532AEE">
      <w:pPr>
        <w:pStyle w:val="SingleTxtGA"/>
        <w:rPr>
          <w:rFonts w:ascii="Traditional Arabic" w:hAnsi="Traditional Arabic" w:hint="cs"/>
          <w:rtl/>
        </w:rPr>
      </w:pPr>
      <w:r w:rsidRPr="009A3FA4">
        <w:rPr>
          <w:rFonts w:ascii="Traditional Arabic" w:hAnsi="Traditional Arabic"/>
          <w:rtl/>
          <w:lang w:val="en-CA"/>
        </w:rPr>
        <w:t>2-3</w:t>
      </w:r>
      <w:r w:rsidRPr="009A3FA4">
        <w:rPr>
          <w:rFonts w:ascii="Traditional Arabic" w:hAnsi="Traditional Arabic"/>
          <w:rtl/>
          <w:lang w:val="en-CA"/>
        </w:rPr>
        <w:tab/>
      </w:r>
      <w:r>
        <w:rPr>
          <w:rFonts w:ascii="Traditional Arabic" w:hAnsi="Traditional Arabic" w:hint="cs"/>
          <w:rtl/>
        </w:rPr>
        <w:t>وفي 20 كانون الثاني/يناير 2005، قدّم صاحب الشكوى طلبا</w:t>
      </w:r>
      <w:r>
        <w:rPr>
          <w:rFonts w:hint="cs"/>
          <w:rtl/>
          <w:lang w:val="en-CA"/>
        </w:rPr>
        <w:t>ً</w:t>
      </w:r>
      <w:r>
        <w:rPr>
          <w:rFonts w:ascii="Traditional Arabic" w:hAnsi="Traditional Arabic" w:hint="cs"/>
          <w:rtl/>
        </w:rPr>
        <w:t xml:space="preserve"> للحصول على تأشيرة حماية بموجب التشريعات الأسترالية المتعلقة بالهجرة. وفي 7 آذار/مارس 2005، رفض أحد موظفي إدارة الهجرة طلبه من دون أن يجري له مقابلة. ومن ثم بعثت إليه محكمة مراجعة الأحكام الخاصة باللاجئين رسالة في 23 أيار/مايو 2005 تبلّغه فيها عجزها عن إصدار قرار لصالحه بالاستناد إلى المعلومات التي تحوزها، فدعته إلى موافاتها بالأدلة اللازمة أثناء جلسة استماع تقرّر عقدها في 22 حزيران/يونيه 2005. ولم </w:t>
      </w:r>
      <w:r w:rsidRPr="00ED3068">
        <w:rPr>
          <w:rFonts w:ascii="Traditional Arabic" w:hAnsi="Traditional Arabic" w:hint="cs"/>
          <w:rtl/>
        </w:rPr>
        <w:t xml:space="preserve">يتلقَّ صاحب الشكوى الدعوة </w:t>
      </w:r>
      <w:r>
        <w:rPr>
          <w:rFonts w:ascii="Traditional Arabic" w:hAnsi="Traditional Arabic" w:hint="cs"/>
          <w:rtl/>
        </w:rPr>
        <w:t>ل</w:t>
      </w:r>
      <w:r w:rsidRPr="00ED3068">
        <w:rPr>
          <w:rFonts w:ascii="Traditional Arabic" w:hAnsi="Traditional Arabic" w:hint="cs"/>
          <w:rtl/>
        </w:rPr>
        <w:t>حضور جلسة الاستماع، وفي 22 حزيران/يونيه 2005، أيّدت المحكمة غيابيا</w:t>
      </w:r>
      <w:r>
        <w:rPr>
          <w:rFonts w:hint="cs"/>
          <w:rtl/>
          <w:lang w:val="en-CA"/>
        </w:rPr>
        <w:t>ً</w:t>
      </w:r>
      <w:r w:rsidRPr="00ED3068">
        <w:rPr>
          <w:rFonts w:ascii="Traditional Arabic" w:hAnsi="Traditional Arabic" w:hint="cs"/>
          <w:rtl/>
        </w:rPr>
        <w:t xml:space="preserve"> قرار إدارة الهجرة بعدم منحه تأشيرة للحماية ورأت أن لا دليل على ممارسته الفالون</w:t>
      </w:r>
      <w:r>
        <w:rPr>
          <w:rFonts w:ascii="Traditional Arabic" w:hAnsi="Traditional Arabic" w:hint="cs"/>
          <w:rtl/>
        </w:rPr>
        <w:t xml:space="preserve"> غونغ وأن</w:t>
      </w:r>
      <w:r w:rsidR="00532AEE">
        <w:rPr>
          <w:rFonts w:ascii="Traditional Arabic" w:hAnsi="Traditional Arabic" w:hint="eastAsia"/>
          <w:rtl/>
        </w:rPr>
        <w:t> </w:t>
      </w:r>
      <w:r>
        <w:rPr>
          <w:rFonts w:ascii="Traditional Arabic" w:hAnsi="Traditional Arabic" w:hint="cs"/>
          <w:rtl/>
        </w:rPr>
        <w:t>ادعاءاته تخلو من التفاصيل اللازمة. كما أشارت إلى أن جواز السفر الذي قَدِم به صاحب الشكوى إلى أستراليا صدر بعد سنتين ونصف تقريبا</w:t>
      </w:r>
      <w:r>
        <w:rPr>
          <w:rFonts w:hint="cs"/>
          <w:rtl/>
          <w:lang w:val="en-CA"/>
        </w:rPr>
        <w:t>ً</w:t>
      </w:r>
      <w:r>
        <w:rPr>
          <w:rFonts w:ascii="Traditional Arabic" w:hAnsi="Traditional Arabic" w:hint="cs"/>
          <w:rtl/>
        </w:rPr>
        <w:t xml:space="preserve"> من احتجازه المزعوم.</w:t>
      </w:r>
    </w:p>
    <w:p w:rsidR="00021691" w:rsidRPr="00A0277D" w:rsidRDefault="00021691" w:rsidP="00CE592B">
      <w:pPr>
        <w:pStyle w:val="SingleTxtGA"/>
        <w:rPr>
          <w:rFonts w:hint="cs"/>
          <w:rtl/>
        </w:rPr>
      </w:pPr>
      <w:r w:rsidRPr="00A0277D">
        <w:rPr>
          <w:rtl/>
          <w:lang w:val="en-CA"/>
        </w:rPr>
        <w:t>2-4</w:t>
      </w:r>
      <w:r w:rsidRPr="00A0277D">
        <w:rPr>
          <w:rtl/>
          <w:lang w:val="en-CA"/>
        </w:rPr>
        <w:tab/>
      </w:r>
      <w:r>
        <w:rPr>
          <w:rFonts w:hint="cs"/>
          <w:rtl/>
          <w:lang w:val="en-CA"/>
        </w:rPr>
        <w:t xml:space="preserve">وفي 12 تشرين الأول/أكتوبر 2005، طعن صاحب الشكوى بقرار محكمة مراجعة الأحكام </w:t>
      </w:r>
      <w:r w:rsidRPr="00ED3068">
        <w:rPr>
          <w:rFonts w:hint="cs"/>
          <w:rtl/>
          <w:lang w:val="en-CA"/>
        </w:rPr>
        <w:t>الخاصة باللاجئين أمام محكمة</w:t>
      </w:r>
      <w:r>
        <w:rPr>
          <w:rFonts w:hint="cs"/>
          <w:rtl/>
          <w:lang w:val="en-CA"/>
        </w:rPr>
        <w:t xml:space="preserve"> الصلح الاتحادية. وفي استئنافه، اشتكى من أنه لم يكن على علم بالدعوة الموجَّهة إليه لحضور جلسة الاستماع ومن أنه لم تتح له الفرصة لتقديم الأدلة على ممارسته للفالون غونغ. ورُفض الاستئناف في 13 آذار/مارس 2007 إذ رأت </w:t>
      </w:r>
      <w:r w:rsidRPr="00532AEE">
        <w:rPr>
          <w:rFonts w:hint="cs"/>
          <w:spacing w:val="-2"/>
          <w:rtl/>
          <w:lang w:val="en-CA"/>
        </w:rPr>
        <w:t>محكمة الصلح الاتحادية أن محكمة مراجعة الأحكام الخاصة باللاجئين قد طبقت القانون وأن قرارها لا يعتريه خطأ قضائي</w:t>
      </w:r>
      <w:r w:rsidRPr="00532AEE">
        <w:rPr>
          <w:rFonts w:hint="cs"/>
          <w:spacing w:val="-2"/>
          <w:rtl/>
        </w:rPr>
        <w:t>. وفي تموز/يوليه 2007، غادر صاحب الشكوى سيدني متوجهاً إلى بيرث لأسباب مرتبطة بالعمل فأ</w:t>
      </w:r>
      <w:r w:rsidR="00532AEE" w:rsidRPr="00532AEE">
        <w:rPr>
          <w:rFonts w:hint="cs"/>
          <w:spacing w:val="-2"/>
          <w:rtl/>
        </w:rPr>
        <w:t>لقي القبض عليه هناك في 11 شباط/</w:t>
      </w:r>
      <w:r w:rsidRPr="00532AEE">
        <w:rPr>
          <w:rFonts w:hint="cs"/>
          <w:spacing w:val="-2"/>
          <w:rtl/>
        </w:rPr>
        <w:t>فبراير</w:t>
      </w:r>
      <w:r w:rsidR="00532AEE" w:rsidRPr="00532AEE">
        <w:rPr>
          <w:rFonts w:hint="cs"/>
          <w:spacing w:val="-2"/>
          <w:rtl/>
        </w:rPr>
        <w:t xml:space="preserve"> </w:t>
      </w:r>
      <w:r w:rsidRPr="00532AEE">
        <w:rPr>
          <w:rFonts w:hint="cs"/>
          <w:spacing w:val="-2"/>
          <w:rtl/>
        </w:rPr>
        <w:t>2009 لتجاوزه المدة المحددة في تأشيرته. وفي 18 شباط/فبراير 2009، قدّم بنفسه طلب</w:t>
      </w:r>
      <w:r>
        <w:rPr>
          <w:rFonts w:hint="cs"/>
          <w:rtl/>
        </w:rPr>
        <w:t xml:space="preserve"> تدخل وزاري بموجب المادتين 417 و48باء من قانون الهجر</w:t>
      </w:r>
      <w:r w:rsidR="00532AEE">
        <w:rPr>
          <w:rFonts w:hint="cs"/>
          <w:rtl/>
        </w:rPr>
        <w:t>ة. وفي 13 آذار/</w:t>
      </w:r>
      <w:r>
        <w:rPr>
          <w:rFonts w:hint="cs"/>
          <w:rtl/>
        </w:rPr>
        <w:t>مارس</w:t>
      </w:r>
      <w:r>
        <w:rPr>
          <w:rFonts w:hint="eastAsia"/>
          <w:rtl/>
        </w:rPr>
        <w:t> </w:t>
      </w:r>
      <w:r>
        <w:rPr>
          <w:rFonts w:hint="cs"/>
          <w:rtl/>
        </w:rPr>
        <w:t xml:space="preserve">2009، نُقل إلى </w:t>
      </w:r>
      <w:r>
        <w:rPr>
          <w:rFonts w:hint="cs"/>
          <w:rtl/>
          <w:lang w:val="en-CA"/>
        </w:rPr>
        <w:t>"</w:t>
      </w:r>
      <w:r w:rsidRPr="00CB6FDA">
        <w:rPr>
          <w:rtl/>
          <w:lang w:val="en-CA"/>
        </w:rPr>
        <w:t>مركز فيلاوود لاحتجاز المهاجرين</w:t>
      </w:r>
      <w:r>
        <w:rPr>
          <w:rFonts w:hint="cs"/>
          <w:rtl/>
          <w:lang w:val="en-CA"/>
        </w:rPr>
        <w:t>"</w:t>
      </w:r>
      <w:r>
        <w:rPr>
          <w:rFonts w:hint="cs"/>
          <w:rtl/>
        </w:rPr>
        <w:t xml:space="preserve"> في سيدني، وفي 28 نيسان/أبريل 2009 رفضت وحدة التدخل الوزاري طلبه إذ رأت أن صاحب </w:t>
      </w:r>
      <w:r w:rsidR="00CE592B">
        <w:rPr>
          <w:rFonts w:hint="cs"/>
          <w:rtl/>
        </w:rPr>
        <w:t xml:space="preserve">الطلب لم </w:t>
      </w:r>
      <w:r>
        <w:rPr>
          <w:rFonts w:hint="cs"/>
          <w:rtl/>
        </w:rPr>
        <w:t xml:space="preserve">يتقيّد بالمبادئ </w:t>
      </w:r>
      <w:r w:rsidRPr="005630BA">
        <w:rPr>
          <w:rFonts w:hint="cs"/>
          <w:rtl/>
        </w:rPr>
        <w:t>التوجيهية التي وضعها الوزير لتقييم</w:t>
      </w:r>
      <w:r>
        <w:rPr>
          <w:rFonts w:hint="cs"/>
          <w:rtl/>
        </w:rPr>
        <w:t xml:space="preserve"> مثل هذه الطلبات. </w:t>
      </w:r>
    </w:p>
    <w:p w:rsidR="00021691" w:rsidRPr="00765182" w:rsidRDefault="00021691" w:rsidP="00021691">
      <w:pPr>
        <w:pStyle w:val="SingleTxtGA"/>
        <w:rPr>
          <w:rFonts w:hint="cs"/>
          <w:rtl/>
          <w:lang/>
        </w:rPr>
      </w:pPr>
      <w:r w:rsidRPr="00041B77">
        <w:rPr>
          <w:rFonts w:ascii="Traditional Arabic" w:hAnsi="Traditional Arabic"/>
          <w:rtl/>
          <w:lang w:val="en-CA"/>
        </w:rPr>
        <w:t>2-5</w:t>
      </w:r>
      <w:r w:rsidRPr="00041B77">
        <w:rPr>
          <w:rFonts w:ascii="Traditional Arabic" w:hAnsi="Traditional Arabic"/>
          <w:rtl/>
          <w:lang w:val="en-CA"/>
        </w:rPr>
        <w:tab/>
      </w:r>
      <w:r>
        <w:rPr>
          <w:rFonts w:hint="cs"/>
          <w:rtl/>
        </w:rPr>
        <w:t xml:space="preserve">وفي أيار/مايو 2009، قرر صاحب الشكوى التماس المساعدة من </w:t>
      </w:r>
      <w:r>
        <w:rPr>
          <w:rFonts w:hint="cs"/>
          <w:rtl/>
          <w:lang w:val="en-CA" w:bidi="ar-SY"/>
        </w:rPr>
        <w:t>المنظمة غير الحكومية "بالماين للاجئين"</w:t>
      </w:r>
      <w:r>
        <w:rPr>
          <w:rFonts w:hint="cs"/>
          <w:b/>
          <w:bCs/>
          <w:rtl/>
        </w:rPr>
        <w:t xml:space="preserve">. </w:t>
      </w:r>
      <w:r w:rsidRPr="00561AAA">
        <w:rPr>
          <w:rFonts w:hint="cs"/>
          <w:rtl/>
        </w:rPr>
        <w:t>وفي 14 تموز/يوليه 2009، أرسلت المنظمة ن</w:t>
      </w:r>
      <w:r>
        <w:rPr>
          <w:rFonts w:hint="cs"/>
          <w:rtl/>
        </w:rPr>
        <w:t>يابةً عن صاحب الشكوى طلب تدخل وزاري آخر إلى الوزير بموجب المادتين 417 و48باء من قانون الهجرة. وتضمّن الطلب أدلة ومعلومات جديدة عن التعذيب الذي عاناه وعن ممارسته الفالون غونغ، ومن بينها تفاصيل إضافية عن الاضطهاد والتعذيب اللذين تعرّض لهما في الصين وعن ممارسته للفالون غونغ، وإفادات شهود من ممارسي الفالون غونغ في الصين مرتبطة بممارسة صاحب الشكوى للفالون غونغ وبتوقيفه إثر ذلك، وشهادةٌ من رفيق صاحب الشكوى في السكن تثبت ممارسته المنتظمة للفالون غونغ في أستراليا، وتقريرٌ طبي مرتبط باعتقال صاحب الشكوى في الصين وصادر عن طبيب نفسي مستقل في سيدني بتاريخ 10 حزيران/يونيه 2009. وفي 8 كانون الثاني/يناير 2010، تُوّج طلب التدخل الوزاري بالرفض. ويفيد صاحب الشكوى أن وحدة التدخل الوزاري رأت أن ادعاءاته حظيت بمعالجة وافية من قبل مندوب وزير ا</w:t>
      </w:r>
      <w:r>
        <w:rPr>
          <w:rFonts w:hint="cs"/>
          <w:rtl/>
          <w:lang/>
        </w:rPr>
        <w:t xml:space="preserve">لهجرة والتعددية الثقافية والشعوب الأصلية ومن قبل محكمة مراجعة الأحكام الخاصة باللاجئين في عام 2005، وأنه جرى تقييم ادعاءاته مرة </w:t>
      </w:r>
      <w:r w:rsidRPr="00002C72">
        <w:rPr>
          <w:rFonts w:hint="cs"/>
          <w:rtl/>
          <w:lang/>
        </w:rPr>
        <w:t xml:space="preserve">أخرى في نيسان/أبريل 2009 في إطار </w:t>
      </w:r>
      <w:r>
        <w:rPr>
          <w:rFonts w:hint="cs"/>
          <w:rtl/>
          <w:lang/>
        </w:rPr>
        <w:t xml:space="preserve">أوّل </w:t>
      </w:r>
      <w:r w:rsidRPr="00002C72">
        <w:rPr>
          <w:rFonts w:hint="cs"/>
          <w:rtl/>
          <w:lang/>
        </w:rPr>
        <w:t xml:space="preserve">طلب </w:t>
      </w:r>
      <w:r>
        <w:rPr>
          <w:rFonts w:hint="cs"/>
          <w:rtl/>
          <w:lang/>
        </w:rPr>
        <w:t xml:space="preserve">تدخل </w:t>
      </w:r>
      <w:r w:rsidRPr="00002C72">
        <w:rPr>
          <w:rFonts w:hint="cs"/>
          <w:rtl/>
          <w:lang/>
        </w:rPr>
        <w:t xml:space="preserve">وزاري </w:t>
      </w:r>
      <w:r>
        <w:rPr>
          <w:rFonts w:hint="cs"/>
          <w:rtl/>
          <w:lang/>
        </w:rPr>
        <w:t>قدّمه</w:t>
      </w:r>
      <w:r w:rsidRPr="00002C72">
        <w:rPr>
          <w:rFonts w:hint="cs"/>
          <w:rtl/>
          <w:lang/>
        </w:rPr>
        <w:t>. كما رأت أن ما من</w:t>
      </w:r>
      <w:r>
        <w:rPr>
          <w:rFonts w:hint="cs"/>
          <w:rtl/>
          <w:lang/>
        </w:rPr>
        <w:t xml:space="preserve"> أدلة توحي بأن صاحب الشكوى يتحلّى بسمات الشخص الذي قد تعتبره السلطات الصينية قادرا</w:t>
      </w:r>
      <w:r>
        <w:rPr>
          <w:rFonts w:hint="cs"/>
          <w:rtl/>
          <w:lang w:val="en-CA"/>
        </w:rPr>
        <w:t>ً</w:t>
      </w:r>
      <w:r>
        <w:rPr>
          <w:rFonts w:hint="cs"/>
          <w:rtl/>
          <w:lang/>
        </w:rPr>
        <w:t xml:space="preserve"> على معارضة الحكومة بطريقة فعالة ومنظمة، </w:t>
      </w:r>
      <w:r w:rsidRPr="00765182">
        <w:rPr>
          <w:rFonts w:hint="cs"/>
          <w:rtl/>
          <w:lang/>
        </w:rPr>
        <w:t>و</w:t>
      </w:r>
      <w:r>
        <w:rPr>
          <w:rFonts w:hint="cs"/>
          <w:rtl/>
          <w:lang/>
        </w:rPr>
        <w:t>رأت أن</w:t>
      </w:r>
      <w:r w:rsidRPr="00765182">
        <w:rPr>
          <w:rFonts w:hint="cs"/>
          <w:rtl/>
          <w:lang/>
        </w:rPr>
        <w:t xml:space="preserve"> </w:t>
      </w:r>
      <w:r>
        <w:rPr>
          <w:rFonts w:hint="cs"/>
          <w:rtl/>
          <w:lang/>
        </w:rPr>
        <w:t>ممارسته ل</w:t>
      </w:r>
      <w:r w:rsidRPr="00765182">
        <w:rPr>
          <w:rFonts w:hint="cs"/>
          <w:rtl/>
          <w:lang/>
        </w:rPr>
        <w:t xml:space="preserve">لفالون غونغ </w:t>
      </w:r>
      <w:r>
        <w:rPr>
          <w:rFonts w:hint="cs"/>
          <w:rtl/>
          <w:lang/>
        </w:rPr>
        <w:t>في أستراليا بصورة لا تثير الشبهات تعني أنه لن يكون موضع اهتمام السلطات الصينية إن جرت إعادته إلى الصين.</w:t>
      </w:r>
    </w:p>
    <w:p w:rsidR="00021691" w:rsidRPr="00765182" w:rsidRDefault="00021691" w:rsidP="00021691">
      <w:pPr>
        <w:pStyle w:val="SingleTxtGA"/>
        <w:rPr>
          <w:rFonts w:ascii="Traditional Arabic" w:hAnsi="Traditional Arabic" w:hint="cs"/>
          <w:rtl/>
          <w:lang w:val="en-CA"/>
        </w:rPr>
      </w:pPr>
      <w:r w:rsidRPr="00765182">
        <w:rPr>
          <w:rFonts w:ascii="Traditional Arabic" w:hAnsi="Traditional Arabic"/>
          <w:rtl/>
          <w:lang w:val="en-CA"/>
        </w:rPr>
        <w:t>2-6</w:t>
      </w:r>
      <w:r w:rsidRPr="00765182">
        <w:rPr>
          <w:rFonts w:ascii="Traditional Arabic" w:hAnsi="Traditional Arabic"/>
          <w:rtl/>
          <w:lang w:val="en-CA"/>
        </w:rPr>
        <w:tab/>
      </w:r>
      <w:r>
        <w:rPr>
          <w:rFonts w:ascii="Traditional Arabic" w:hAnsi="Traditional Arabic" w:hint="cs"/>
          <w:rtl/>
        </w:rPr>
        <w:t>وفي 3 شباط/فبراير 2010 وعقب هذا الرفض الوزاري، قدّم صاحب الشكوى أمام المحكمة الاتحادية الأسترالية طعنا</w:t>
      </w:r>
      <w:r>
        <w:rPr>
          <w:rFonts w:hint="cs"/>
          <w:rtl/>
          <w:lang w:val="en-CA"/>
        </w:rPr>
        <w:t>ً</w:t>
      </w:r>
      <w:r>
        <w:rPr>
          <w:rFonts w:ascii="Traditional Arabic" w:hAnsi="Traditional Arabic" w:hint="cs"/>
          <w:rtl/>
        </w:rPr>
        <w:t xml:space="preserve"> في القرار الصادر سابقا</w:t>
      </w:r>
      <w:r>
        <w:rPr>
          <w:rFonts w:hint="cs"/>
          <w:rtl/>
          <w:lang w:val="en-CA"/>
        </w:rPr>
        <w:t>ً</w:t>
      </w:r>
      <w:r w:rsidR="002414F6">
        <w:rPr>
          <w:rFonts w:ascii="Traditional Arabic" w:hAnsi="Traditional Arabic" w:hint="cs"/>
          <w:rtl/>
        </w:rPr>
        <w:t xml:space="preserve"> عن محكمة الصلح الاتحادية </w:t>
      </w:r>
      <w:r>
        <w:rPr>
          <w:rFonts w:ascii="Traditional Arabic" w:hAnsi="Traditional Arabic" w:hint="cs"/>
          <w:rtl/>
        </w:rPr>
        <w:t xml:space="preserve">بتاريخ </w:t>
      </w:r>
      <w:r>
        <w:rPr>
          <w:rFonts w:ascii="Traditional Arabic" w:hAnsi="Traditional Arabic" w:hint="cs"/>
          <w:rtl/>
          <w:lang w:val="en-CA"/>
        </w:rPr>
        <w:t xml:space="preserve">13 آذار/مارس 2007. ولما كان طلب الاستئناف خارج المهل الزمنية المحددة، قدّم صاحب الشكوى طلباً بتمديد </w:t>
      </w:r>
      <w:r>
        <w:rPr>
          <w:rFonts w:hint="cs"/>
          <w:rtl/>
          <w:lang/>
        </w:rPr>
        <w:t>المهلة المقرّرة لإيداع استئناف وتقديم إشعار بذلك.</w:t>
      </w:r>
      <w:r>
        <w:rPr>
          <w:rFonts w:ascii="Traditional Arabic" w:hAnsi="Traditional Arabic" w:hint="cs"/>
          <w:rtl/>
          <w:lang w:val="en-CA"/>
        </w:rPr>
        <w:t xml:space="preserve"> وفي 12 آذار/مارس 2010، رفضت المحكمة الاتحادية الأسترالية طلب صاحب الشكوى تمديدَ المهلة.</w:t>
      </w:r>
    </w:p>
    <w:p w:rsidR="00021691" w:rsidRPr="00454F1C" w:rsidRDefault="00021691" w:rsidP="00021691">
      <w:pPr>
        <w:pStyle w:val="SingleTxtGA"/>
        <w:rPr>
          <w:rFonts w:ascii="Traditional Arabic" w:hAnsi="Traditional Arabic" w:hint="cs"/>
          <w:b/>
          <w:bCs/>
          <w:rtl/>
        </w:rPr>
      </w:pPr>
      <w:r w:rsidRPr="00454F1C">
        <w:rPr>
          <w:rFonts w:ascii="Traditional Arabic" w:hAnsi="Traditional Arabic"/>
          <w:rtl/>
          <w:lang w:val="en-CA"/>
        </w:rPr>
        <w:t>2-7</w:t>
      </w:r>
      <w:r w:rsidRPr="00454F1C">
        <w:rPr>
          <w:rFonts w:ascii="Traditional Arabic" w:hAnsi="Traditional Arabic"/>
          <w:rtl/>
          <w:lang w:val="en-CA"/>
        </w:rPr>
        <w:tab/>
      </w:r>
      <w:r w:rsidRPr="00454F1C">
        <w:rPr>
          <w:rFonts w:ascii="Traditional Arabic" w:hAnsi="Traditional Arabic" w:hint="cs"/>
          <w:rtl/>
        </w:rPr>
        <w:t>و</w:t>
      </w:r>
      <w:r>
        <w:rPr>
          <w:rFonts w:ascii="Traditional Arabic" w:hAnsi="Traditional Arabic" w:hint="cs"/>
          <w:rtl/>
        </w:rPr>
        <w:t>يقول صاحب الشكوى</w:t>
      </w:r>
      <w:r w:rsidRPr="00454F1C">
        <w:rPr>
          <w:rFonts w:ascii="Traditional Arabic" w:hAnsi="Traditional Arabic" w:hint="cs"/>
          <w:rtl/>
        </w:rPr>
        <w:t xml:space="preserve"> </w:t>
      </w:r>
      <w:r>
        <w:rPr>
          <w:rFonts w:ascii="Traditional Arabic" w:hAnsi="Traditional Arabic" w:hint="cs"/>
          <w:rtl/>
        </w:rPr>
        <w:t xml:space="preserve">إنه لم يرفع إلى </w:t>
      </w:r>
      <w:r w:rsidRPr="00CD4848">
        <w:rPr>
          <w:rFonts w:ascii="Traditional Arabic" w:hAnsi="Traditional Arabic" w:hint="cs"/>
          <w:rtl/>
        </w:rPr>
        <w:t xml:space="preserve">المحكمة العليا في أستراليا </w:t>
      </w:r>
      <w:r>
        <w:rPr>
          <w:rFonts w:ascii="Traditional Arabic" w:hAnsi="Traditional Arabic" w:hint="cs"/>
          <w:rtl/>
        </w:rPr>
        <w:t xml:space="preserve">طلباً </w:t>
      </w:r>
      <w:r w:rsidRPr="00CD4848">
        <w:rPr>
          <w:rFonts w:ascii="Traditional Arabic" w:hAnsi="Traditional Arabic" w:hint="cs"/>
          <w:rtl/>
        </w:rPr>
        <w:t xml:space="preserve">لاستئناف الحكم الصادر عن المحكمة الاتحادية الأسترالية </w:t>
      </w:r>
      <w:r>
        <w:rPr>
          <w:rFonts w:hint="cs"/>
          <w:rtl/>
          <w:lang/>
        </w:rPr>
        <w:t>لأن أي استئناف مقدّم أمام المحكمة العليا "</w:t>
      </w:r>
      <w:r>
        <w:rPr>
          <w:rFonts w:ascii="Traditional Arabic" w:hAnsi="Traditional Arabic" w:hint="cs"/>
          <w:rtl/>
        </w:rPr>
        <w:t>ما</w:t>
      </w:r>
      <w:r>
        <w:rPr>
          <w:rFonts w:ascii="Traditional Arabic" w:hAnsi="Traditional Arabic" w:hint="eastAsia"/>
          <w:rtl/>
        </w:rPr>
        <w:t> </w:t>
      </w:r>
      <w:r>
        <w:rPr>
          <w:rFonts w:ascii="Traditional Arabic" w:hAnsi="Traditional Arabic" w:hint="cs"/>
          <w:rtl/>
        </w:rPr>
        <w:t xml:space="preserve">كان ليشكّل سبيل انتصاف فعالاً"، حسب الاستنتاجات التي خلصت إليها </w:t>
      </w:r>
      <w:r w:rsidRPr="00CD4848">
        <w:rPr>
          <w:rFonts w:ascii="Traditional Arabic" w:hAnsi="Traditional Arabic" w:hint="cs"/>
          <w:rtl/>
        </w:rPr>
        <w:t>لجنة</w:t>
      </w:r>
      <w:r>
        <w:rPr>
          <w:rFonts w:ascii="Traditional Arabic" w:hAnsi="Traditional Arabic" w:hint="cs"/>
          <w:rtl/>
        </w:rPr>
        <w:t xml:space="preserve"> </w:t>
      </w:r>
      <w:r>
        <w:rPr>
          <w:rFonts w:hint="cs"/>
          <w:rtl/>
          <w:lang/>
        </w:rPr>
        <w:t xml:space="preserve">الأمم المتحدة المعنية بحقوق الإنسان، </w:t>
      </w:r>
      <w:r>
        <w:rPr>
          <w:rFonts w:ascii="Traditional Arabic" w:hAnsi="Traditional Arabic" w:hint="cs"/>
          <w:rtl/>
        </w:rPr>
        <w:t>حيث إن المحكمة الاتحادية سبق أن أعلنت عدم اختصاصها بنظر الحجج المتعلقة بالأسس الموضوعية</w:t>
      </w:r>
      <w:r>
        <w:rPr>
          <w:rFonts w:ascii="Traditional Arabic" w:hAnsi="Traditional Arabic" w:hint="cs"/>
          <w:b/>
          <w:bCs/>
          <w:rtl/>
        </w:rPr>
        <w:t xml:space="preserve">. </w:t>
      </w:r>
      <w:r>
        <w:rPr>
          <w:rFonts w:ascii="Traditional Arabic" w:hAnsi="Traditional Arabic" w:hint="cs"/>
          <w:rtl/>
        </w:rPr>
        <w:t>و</w:t>
      </w:r>
      <w:r w:rsidRPr="0006028C">
        <w:rPr>
          <w:rFonts w:ascii="Traditional Arabic" w:hAnsi="Traditional Arabic" w:hint="cs"/>
          <w:rtl/>
        </w:rPr>
        <w:t>في 15 آذار/مارس 2010</w:t>
      </w:r>
      <w:r>
        <w:rPr>
          <w:rFonts w:ascii="Traditional Arabic" w:hAnsi="Traditional Arabic" w:hint="cs"/>
          <w:rtl/>
        </w:rPr>
        <w:t xml:space="preserve">، </w:t>
      </w:r>
      <w:r>
        <w:rPr>
          <w:rFonts w:hint="cs"/>
          <w:rtl/>
        </w:rPr>
        <w:t>وُجّه طلب تدخل وزاري أخير إلى و</w:t>
      </w:r>
      <w:r w:rsidRPr="001678E0">
        <w:rPr>
          <w:rtl/>
        </w:rPr>
        <w:t xml:space="preserve">زير </w:t>
      </w:r>
      <w:r w:rsidRPr="001678E0">
        <w:rPr>
          <w:rFonts w:hint="cs"/>
          <w:rtl/>
        </w:rPr>
        <w:t xml:space="preserve">شؤون </w:t>
      </w:r>
      <w:r w:rsidRPr="001678E0">
        <w:rPr>
          <w:rtl/>
        </w:rPr>
        <w:t>الهجرة وال</w:t>
      </w:r>
      <w:r w:rsidRPr="001678E0">
        <w:rPr>
          <w:rFonts w:hint="cs"/>
          <w:rtl/>
        </w:rPr>
        <w:t>جنسية</w:t>
      </w:r>
      <w:r>
        <w:rPr>
          <w:rFonts w:hint="cs"/>
          <w:rtl/>
        </w:rPr>
        <w:t xml:space="preserve">، </w:t>
      </w:r>
      <w:r>
        <w:rPr>
          <w:rFonts w:ascii="Traditional Arabic" w:hAnsi="Traditional Arabic" w:hint="cs"/>
          <w:rtl/>
        </w:rPr>
        <w:t xml:space="preserve">مشفوع بمعلومات وأدلة جديدة. ولم يكن قد أجيب عن هذا الطلب وقت تقديم صاحب الشكوى شكواه الأولى. </w:t>
      </w:r>
    </w:p>
    <w:p w:rsidR="00021691" w:rsidRPr="00BF6017" w:rsidRDefault="00021691" w:rsidP="00021691">
      <w:pPr>
        <w:pStyle w:val="SingleTxtGA"/>
        <w:rPr>
          <w:rFonts w:ascii="Traditional Arabic" w:hAnsi="Traditional Arabic" w:hint="cs"/>
          <w:szCs w:val="20"/>
          <w:rtl/>
        </w:rPr>
      </w:pPr>
      <w:r w:rsidRPr="00BF6017">
        <w:rPr>
          <w:rFonts w:ascii="Traditional Arabic" w:hAnsi="Traditional Arabic"/>
          <w:rtl/>
          <w:lang w:val="en-CA"/>
        </w:rPr>
        <w:t>2-8</w:t>
      </w:r>
      <w:r w:rsidRPr="00BF6017">
        <w:rPr>
          <w:rFonts w:ascii="Traditional Arabic" w:hAnsi="Traditional Arabic"/>
          <w:rtl/>
          <w:lang w:val="en-CA"/>
        </w:rPr>
        <w:tab/>
      </w:r>
      <w:r w:rsidRPr="00BF6017">
        <w:rPr>
          <w:rFonts w:ascii="Traditional Arabic" w:hAnsi="Traditional Arabic" w:hint="cs"/>
          <w:rtl/>
          <w:lang w:val="en-CA"/>
        </w:rPr>
        <w:t>و</w:t>
      </w:r>
      <w:r>
        <w:rPr>
          <w:rFonts w:ascii="Traditional Arabic" w:hAnsi="Traditional Arabic" w:hint="cs"/>
          <w:rtl/>
        </w:rPr>
        <w:t>يدعي صاحب الشكوى أن موظف الهجرة المعتمد</w:t>
      </w:r>
      <w:r>
        <w:rPr>
          <w:rFonts w:ascii="Traditional Arabic" w:hAnsi="Traditional Arabic"/>
          <w:vertAlign w:val="superscript"/>
          <w:rtl/>
        </w:rPr>
        <w:t>(</w:t>
      </w:r>
      <w:r>
        <w:rPr>
          <w:rStyle w:val="FootnoteReference"/>
          <w:rtl/>
        </w:rPr>
        <w:footnoteReference w:id="92"/>
      </w:r>
      <w:r>
        <w:rPr>
          <w:rFonts w:ascii="Traditional Arabic" w:hAnsi="Traditional Arabic"/>
          <w:vertAlign w:val="superscript"/>
          <w:rtl/>
        </w:rPr>
        <w:t>)</w:t>
      </w:r>
      <w:r>
        <w:rPr>
          <w:rFonts w:ascii="Traditional Arabic" w:hAnsi="Traditional Arabic" w:hint="cs"/>
          <w:rtl/>
        </w:rPr>
        <w:t xml:space="preserve"> الذي كان يتعامل معه </w:t>
      </w:r>
      <w:r w:rsidRPr="00095407">
        <w:rPr>
          <w:rFonts w:ascii="Traditional Arabic" w:hAnsi="Traditional Arabic" w:hint="cs"/>
          <w:rtl/>
        </w:rPr>
        <w:t>أعاق</w:t>
      </w:r>
      <w:r>
        <w:rPr>
          <w:rFonts w:ascii="Traditional Arabic" w:hAnsi="Traditional Arabic" w:hint="cs"/>
          <w:rtl/>
        </w:rPr>
        <w:t xml:space="preserve"> منذ البداية طلب تأشيرة الحماية، فأغفل تفاصيل وأدلة معيّنة تدعم الادعاءات التي أدلى بها صاحب الشكوى لطلب الحماية ولم يقم، من جملة أمور أخرى، بتفصيل </w:t>
      </w:r>
      <w:r w:rsidRPr="004E4856">
        <w:rPr>
          <w:rFonts w:ascii="Traditional Arabic" w:hAnsi="Traditional Arabic" w:hint="cs"/>
          <w:rtl/>
        </w:rPr>
        <w:t xml:space="preserve">حجم </w:t>
      </w:r>
      <w:r>
        <w:rPr>
          <w:rFonts w:ascii="Traditional Arabic" w:hAnsi="Traditional Arabic" w:hint="cs"/>
          <w:rtl/>
        </w:rPr>
        <w:t xml:space="preserve">وطبيعة </w:t>
      </w:r>
      <w:r w:rsidRPr="004E4856">
        <w:rPr>
          <w:rFonts w:ascii="Traditional Arabic" w:hAnsi="Traditional Arabic" w:hint="cs"/>
          <w:rtl/>
        </w:rPr>
        <w:t>التعذيب</w:t>
      </w:r>
      <w:r>
        <w:rPr>
          <w:rFonts w:ascii="Traditional Arabic" w:hAnsi="Traditional Arabic" w:hint="cs"/>
          <w:rtl/>
        </w:rPr>
        <w:t xml:space="preserve"> الذي عانى منه. ويشدد على أن إهمال موظف الهجرة هو أيضاً السبب وراء</w:t>
      </w:r>
      <w:r w:rsidRPr="00956378">
        <w:rPr>
          <w:rFonts w:ascii="Traditional Arabic" w:hAnsi="Traditional Arabic" w:hint="cs"/>
          <w:rtl/>
        </w:rPr>
        <w:t xml:space="preserve"> تفويته</w:t>
      </w:r>
      <w:r>
        <w:rPr>
          <w:rFonts w:ascii="Traditional Arabic" w:hAnsi="Traditional Arabic" w:hint="cs"/>
          <w:rtl/>
        </w:rPr>
        <w:t xml:space="preserve"> فرصة المثول أمام محكمة مراجعة الأحكام الخاصة باللاجئين لعرض ادعاءاته شخصياً ومع مزيد من التفاصيل، إذ زوّد موظف الهجرة المحكمة بالعنوان الخاطئ ولم يُعلم صاحب الشكوى بتاريخ جلسة الاستماع ووقتها. كما يدعي صاحب الشكوى أن أثناء جلسة الاستماع المنعقدة أمام محكمة الصلح الاتحادية، لم يمثّله أحد ولم تكن بحوزته وثائق لأن موظف الهجرة رفض تمثيله في المحكمة. </w:t>
      </w:r>
    </w:p>
    <w:p w:rsidR="00021691" w:rsidRDefault="00021691" w:rsidP="00021691">
      <w:pPr>
        <w:pStyle w:val="SingleTxtGA"/>
        <w:rPr>
          <w:rFonts w:ascii="Traditional Arabic" w:hAnsi="Traditional Arabic" w:hint="cs"/>
          <w:rtl/>
        </w:rPr>
      </w:pPr>
      <w:r w:rsidRPr="00926D4A">
        <w:rPr>
          <w:rFonts w:ascii="Traditional Arabic" w:hAnsi="Traditional Arabic"/>
          <w:rtl/>
          <w:lang w:val="en-CA"/>
        </w:rPr>
        <w:t>2-9</w:t>
      </w:r>
      <w:r w:rsidRPr="00926D4A">
        <w:rPr>
          <w:rFonts w:ascii="Traditional Arabic" w:hAnsi="Traditional Arabic"/>
          <w:rtl/>
          <w:lang w:val="en-CA"/>
        </w:rPr>
        <w:tab/>
      </w:r>
      <w:r>
        <w:rPr>
          <w:rFonts w:ascii="Traditional Arabic" w:hAnsi="Traditional Arabic" w:hint="cs"/>
          <w:rtl/>
          <w:lang w:val="en-CA"/>
        </w:rPr>
        <w:t xml:space="preserve">ويقول أيضاً صاحب الشكوى إنه علم، في تموز/يوليه 2005، أثناء تواجده في أستراليا، </w:t>
      </w:r>
      <w:r>
        <w:rPr>
          <w:rFonts w:ascii="Traditional Arabic" w:hAnsi="Traditional Arabic" w:hint="cs"/>
          <w:rtl/>
        </w:rPr>
        <w:t>أن الشرطة ذهبت مجدداً إلى منزله في قرية كويهو في محاولة منها لتحديد مكان وجوده</w:t>
      </w:r>
      <w:r w:rsidRPr="00926D4A">
        <w:rPr>
          <w:rFonts w:ascii="Traditional Arabic" w:hAnsi="Traditional Arabic" w:hint="cs"/>
          <w:rtl/>
        </w:rPr>
        <w:t>.</w:t>
      </w:r>
      <w:r>
        <w:rPr>
          <w:rFonts w:ascii="Traditional Arabic" w:hAnsi="Traditional Arabic" w:hint="cs"/>
          <w:rtl/>
        </w:rPr>
        <w:t xml:space="preserve"> ويشدد على أن </w:t>
      </w:r>
      <w:r w:rsidRPr="00C947E8">
        <w:rPr>
          <w:rFonts w:ascii="Traditional Arabic" w:hAnsi="Traditional Arabic" w:hint="cs"/>
          <w:rtl/>
        </w:rPr>
        <w:t>ولدي</w:t>
      </w:r>
      <w:r>
        <w:rPr>
          <w:rFonts w:ascii="Traditional Arabic" w:hAnsi="Traditional Arabic" w:hint="cs"/>
          <w:rtl/>
        </w:rPr>
        <w:t>ه</w:t>
      </w:r>
      <w:r w:rsidRPr="00C947E8">
        <w:rPr>
          <w:rFonts w:ascii="Traditional Arabic" w:hAnsi="Traditional Arabic" w:hint="cs"/>
          <w:rtl/>
        </w:rPr>
        <w:t xml:space="preserve"> مُنعا من الحضور إلى المدرسة </w:t>
      </w:r>
      <w:r>
        <w:rPr>
          <w:rFonts w:ascii="Traditional Arabic" w:hAnsi="Traditional Arabic" w:hint="cs"/>
          <w:rtl/>
        </w:rPr>
        <w:t>لإرغامه</w:t>
      </w:r>
      <w:r w:rsidRPr="00C947E8">
        <w:rPr>
          <w:rFonts w:ascii="Traditional Arabic" w:hAnsi="Traditional Arabic" w:hint="cs"/>
          <w:rtl/>
        </w:rPr>
        <w:t xml:space="preserve"> على تسليم نفسه للشرطة. ويدعي صاحب الشكوى</w:t>
      </w:r>
      <w:r>
        <w:rPr>
          <w:rFonts w:ascii="Traditional Arabic" w:hAnsi="Traditional Arabic" w:hint="cs"/>
          <w:rtl/>
        </w:rPr>
        <w:t xml:space="preserve"> أنه كان يستمرّ، وقتَ تقديم الشكوى، في ممارسة الفالون غونغ في </w:t>
      </w:r>
      <w:r>
        <w:rPr>
          <w:rFonts w:hint="cs"/>
          <w:rtl/>
          <w:lang w:val="en-CA"/>
        </w:rPr>
        <w:t>"</w:t>
      </w:r>
      <w:r w:rsidRPr="00CB6FDA">
        <w:rPr>
          <w:rtl/>
          <w:lang w:val="en-CA"/>
        </w:rPr>
        <w:t>مركز فيلاوود لاحتجاز المهاجرين</w:t>
      </w:r>
      <w:r>
        <w:rPr>
          <w:rFonts w:hint="cs"/>
          <w:rtl/>
          <w:lang w:val="en-CA"/>
        </w:rPr>
        <w:t>"</w:t>
      </w:r>
      <w:r>
        <w:rPr>
          <w:rFonts w:ascii="Traditional Arabic" w:hAnsi="Traditional Arabic" w:hint="cs"/>
          <w:rtl/>
        </w:rPr>
        <w:t xml:space="preserve">. </w:t>
      </w:r>
    </w:p>
    <w:p w:rsidR="00021691" w:rsidRPr="00DB01F8" w:rsidRDefault="00021691" w:rsidP="00021691">
      <w:pPr>
        <w:pStyle w:val="H23GA"/>
        <w:rPr>
          <w:rFonts w:hint="cs"/>
          <w:rtl/>
        </w:rPr>
      </w:pPr>
      <w:r>
        <w:rPr>
          <w:rFonts w:hint="cs"/>
          <w:rtl/>
        </w:rPr>
        <w:tab/>
      </w:r>
      <w:r>
        <w:rPr>
          <w:rFonts w:hint="cs"/>
          <w:rtl/>
        </w:rPr>
        <w:tab/>
      </w:r>
      <w:r w:rsidRPr="00DB01F8">
        <w:rPr>
          <w:rFonts w:hint="cs"/>
          <w:rtl/>
        </w:rPr>
        <w:t>الشكوى</w:t>
      </w:r>
    </w:p>
    <w:p w:rsidR="00021691" w:rsidRPr="00BB2444" w:rsidRDefault="00021691" w:rsidP="00E55B21">
      <w:pPr>
        <w:pStyle w:val="SingleTxtGA"/>
        <w:spacing w:line="370" w:lineRule="exact"/>
        <w:rPr>
          <w:rtl/>
        </w:rPr>
      </w:pPr>
      <w:r w:rsidRPr="00BB2444">
        <w:rPr>
          <w:rFonts w:ascii="Traditional Arabic" w:hAnsi="Traditional Arabic"/>
          <w:rtl/>
          <w:lang w:val="en-CA"/>
        </w:rPr>
        <w:t>3</w:t>
      </w:r>
      <w:r>
        <w:rPr>
          <w:rFonts w:ascii="Traditional Arabic" w:hAnsi="Traditional Arabic" w:hint="cs"/>
          <w:rtl/>
          <w:lang w:val="en-CA"/>
        </w:rPr>
        <w:t>-</w:t>
      </w:r>
      <w:r w:rsidRPr="00BB2444">
        <w:rPr>
          <w:rFonts w:ascii="Traditional Arabic" w:hAnsi="Traditional Arabic"/>
          <w:rtl/>
          <w:lang w:val="en-CA"/>
        </w:rPr>
        <w:tab/>
      </w:r>
      <w:r>
        <w:rPr>
          <w:rFonts w:hint="cs"/>
          <w:rtl/>
        </w:rPr>
        <w:t>يدعي صاحب الشكوى أنه إذا أعيد إلى الصين،</w:t>
      </w:r>
      <w:r w:rsidRPr="008D022E">
        <w:rPr>
          <w:rFonts w:hint="cs"/>
          <w:rtl/>
        </w:rPr>
        <w:t xml:space="preserve"> </w:t>
      </w:r>
      <w:r>
        <w:rPr>
          <w:rFonts w:hint="cs"/>
          <w:rtl/>
        </w:rPr>
        <w:t>سيخضع للاستجواب فور وصوله إلى المطار كونه اعتُقل واحتُجز وسُجّل اسمه بوصفه أحد قادة الفالون غونغ، مما قد يقود إلى احتجازه فترة من الزمن لمواصلة استجوابه ويؤدي إلى تعرّضه للتعذيب. ويدعي صاحب الشكوى أن هذه الإعادة القسرية ستشكل خرقا</w:t>
      </w:r>
      <w:r>
        <w:rPr>
          <w:rFonts w:ascii="Traditional Arabic" w:hAnsi="Traditional Arabic" w:hint="cs"/>
          <w:rtl/>
        </w:rPr>
        <w:t>ً</w:t>
      </w:r>
      <w:r>
        <w:rPr>
          <w:rFonts w:hint="cs"/>
          <w:rtl/>
        </w:rPr>
        <w:t xml:space="preserve"> من جانب أستراليا للمادة 3 من الاتفاقية لأنه سيواجه خطرا</w:t>
      </w:r>
      <w:r>
        <w:rPr>
          <w:rFonts w:ascii="Traditional Arabic" w:hAnsi="Traditional Arabic" w:hint="cs"/>
          <w:rtl/>
        </w:rPr>
        <w:t>ً</w:t>
      </w:r>
      <w:r>
        <w:rPr>
          <w:rFonts w:hint="cs"/>
          <w:rtl/>
        </w:rPr>
        <w:t xml:space="preserve"> كبيرا</w:t>
      </w:r>
      <w:r>
        <w:rPr>
          <w:rFonts w:ascii="Traditional Arabic" w:hAnsi="Traditional Arabic" w:hint="cs"/>
          <w:rtl/>
        </w:rPr>
        <w:t>ً</w:t>
      </w:r>
      <w:r>
        <w:rPr>
          <w:rFonts w:hint="cs"/>
          <w:rtl/>
        </w:rPr>
        <w:t xml:space="preserve"> بالتعرض للتعذيب.</w:t>
      </w:r>
    </w:p>
    <w:p w:rsidR="00021691" w:rsidRPr="007F248E" w:rsidRDefault="00021691" w:rsidP="00E55B21">
      <w:pPr>
        <w:pStyle w:val="H23GA"/>
        <w:spacing w:line="370" w:lineRule="exact"/>
        <w:rPr>
          <w:szCs w:val="20"/>
          <w:rtl/>
        </w:rPr>
      </w:pPr>
      <w:r w:rsidRPr="007F248E">
        <w:rPr>
          <w:rtl/>
        </w:rPr>
        <w:tab/>
      </w:r>
      <w:r w:rsidRPr="007F248E">
        <w:rPr>
          <w:rtl/>
        </w:rPr>
        <w:tab/>
        <w:t>ملاحظات الدولة الطرف بشأن المقبولية والأسس الموضوعية</w:t>
      </w:r>
    </w:p>
    <w:p w:rsidR="00021691" w:rsidRDefault="00021691" w:rsidP="00E55B21">
      <w:pPr>
        <w:pStyle w:val="SingleTxtGA"/>
        <w:spacing w:line="370" w:lineRule="exact"/>
        <w:rPr>
          <w:rFonts w:hint="cs"/>
          <w:rtl/>
          <w:lang w:val="en-CA"/>
        </w:rPr>
      </w:pPr>
      <w:r w:rsidRPr="007F248E">
        <w:rPr>
          <w:rFonts w:ascii="Traditional Arabic" w:hAnsi="Traditional Arabic"/>
          <w:spacing w:val="-4"/>
          <w:rtl/>
          <w:lang w:val="en-CA"/>
        </w:rPr>
        <w:t>4-1</w:t>
      </w:r>
      <w:r w:rsidRPr="007F248E">
        <w:rPr>
          <w:rFonts w:ascii="Traditional Arabic" w:hAnsi="Traditional Arabic"/>
          <w:spacing w:val="-4"/>
          <w:rtl/>
          <w:lang w:val="en-CA"/>
        </w:rPr>
        <w:tab/>
      </w:r>
      <w:r>
        <w:rPr>
          <w:rFonts w:hint="cs"/>
          <w:rtl/>
          <w:lang w:val="en-CA"/>
        </w:rPr>
        <w:t>في 31 تشرين الأول/أكتوبر 2011، دفعت الدولة الطرف بأنه ينبغي الحكم بعدم قبول الشكوى لأنها غير مدعّمة بأدلة أو، في حال رأت اللجنة أن ادعاءات مقدم الشكوى مقبولة، بأنه ينبغي رفض الشكوى لافتقارها إلى أسس موضوعية.</w:t>
      </w:r>
    </w:p>
    <w:p w:rsidR="00021691" w:rsidRDefault="00021691" w:rsidP="00E55B21">
      <w:pPr>
        <w:pStyle w:val="SingleTxtGA"/>
        <w:spacing w:line="370" w:lineRule="exact"/>
        <w:rPr>
          <w:rFonts w:ascii="Traditional Arabic" w:hAnsi="Traditional Arabic" w:hint="cs"/>
          <w:rtl/>
        </w:rPr>
      </w:pPr>
      <w:r w:rsidRPr="006B15EC">
        <w:rPr>
          <w:rFonts w:ascii="Traditional Arabic" w:hAnsi="Traditional Arabic"/>
          <w:rtl/>
          <w:lang w:val="en-CA"/>
        </w:rPr>
        <w:t>4</w:t>
      </w:r>
      <w:r w:rsidRPr="006B15EC">
        <w:rPr>
          <w:rFonts w:ascii="Traditional Arabic" w:hAnsi="Traditional Arabic"/>
          <w:spacing w:val="-4"/>
          <w:rtl/>
          <w:lang w:val="en-CA"/>
        </w:rPr>
        <w:t>-2</w:t>
      </w:r>
      <w:r w:rsidRPr="006B15EC">
        <w:rPr>
          <w:rFonts w:ascii="Traditional Arabic" w:hAnsi="Traditional Arabic"/>
          <w:spacing w:val="-4"/>
          <w:rtl/>
          <w:lang w:val="en-CA"/>
        </w:rPr>
        <w:tab/>
      </w:r>
      <w:r w:rsidRPr="006B15EC">
        <w:rPr>
          <w:rFonts w:ascii="Traditional Arabic" w:hAnsi="Traditional Arabic" w:hint="cs"/>
          <w:spacing w:val="-4"/>
          <w:rtl/>
        </w:rPr>
        <w:t>و</w:t>
      </w:r>
      <w:r>
        <w:rPr>
          <w:rFonts w:ascii="Traditional Arabic" w:hAnsi="Traditional Arabic" w:hint="cs"/>
          <w:spacing w:val="-4"/>
          <w:rtl/>
        </w:rPr>
        <w:t>تف</w:t>
      </w:r>
      <w:r w:rsidRPr="006B15EC">
        <w:rPr>
          <w:rFonts w:ascii="Traditional Arabic" w:hAnsi="Traditional Arabic" w:hint="cs"/>
          <w:spacing w:val="-4"/>
          <w:rtl/>
        </w:rPr>
        <w:t>يد</w:t>
      </w:r>
      <w:r>
        <w:rPr>
          <w:rFonts w:ascii="Traditional Arabic" w:hAnsi="Traditional Arabic" w:hint="cs"/>
          <w:spacing w:val="-4"/>
          <w:rtl/>
        </w:rPr>
        <w:t xml:space="preserve"> الدولة الطرف بأن صاحب الشكوى </w:t>
      </w:r>
      <w:r>
        <w:rPr>
          <w:rFonts w:ascii="Traditional Arabic" w:hAnsi="Traditional Arabic" w:hint="cs"/>
          <w:rtl/>
        </w:rPr>
        <w:t>وصل إلى أستراليا في 12 كانون الأول/</w:t>
      </w:r>
      <w:r w:rsidR="002414F6">
        <w:rPr>
          <w:rFonts w:ascii="Traditional Arabic" w:hAnsi="Traditional Arabic" w:hint="cs"/>
          <w:rtl/>
        </w:rPr>
        <w:t xml:space="preserve"> </w:t>
      </w:r>
      <w:r>
        <w:rPr>
          <w:rFonts w:ascii="Traditional Arabic" w:hAnsi="Traditional Arabic" w:hint="cs"/>
          <w:rtl/>
        </w:rPr>
        <w:t xml:space="preserve">ديسمبر 2004 بتأشيرة عمل (إقامة قصيرة المدة) وأنه قدّم في 20 كانون الثاني/يناير 2005 طلب تأشيرة حماية بموجب قانون الهجرة لعام 1958، ملتمساً فيه مركز اللاجئ. وادعى صاحب الشكوى في طلبه أنه بدأ يمارس </w:t>
      </w:r>
      <w:r>
        <w:rPr>
          <w:rFonts w:hint="cs"/>
          <w:rtl/>
          <w:lang/>
        </w:rPr>
        <w:t xml:space="preserve">الفالون غونغ عام 1995 ثم صار معلماً في منطقته </w:t>
      </w:r>
      <w:r>
        <w:rPr>
          <w:rFonts w:ascii="Traditional Arabic" w:hAnsi="Traditional Arabic" w:hint="cs"/>
          <w:rtl/>
        </w:rPr>
        <w:t xml:space="preserve">فألقي القبض عليه عام 2001 واحتُجز وعُذب لأسبوعين عقب تنظيمه مجموعة من ممارسي الفالون </w:t>
      </w:r>
      <w:r w:rsidRPr="009D4506">
        <w:rPr>
          <w:rFonts w:ascii="Traditional Arabic" w:hAnsi="Traditional Arabic" w:hint="cs"/>
          <w:rtl/>
        </w:rPr>
        <w:t>غونغ سعت إلى إطلاق</w:t>
      </w:r>
      <w:r>
        <w:rPr>
          <w:rFonts w:ascii="Traditional Arabic" w:hAnsi="Traditional Arabic" w:hint="cs"/>
          <w:rtl/>
        </w:rPr>
        <w:t xml:space="preserve"> </w:t>
      </w:r>
      <w:r w:rsidR="002414F6">
        <w:rPr>
          <w:rFonts w:ascii="Traditional Arabic" w:hAnsi="Traditional Arabic" w:hint="cs"/>
          <w:rtl/>
        </w:rPr>
        <w:t xml:space="preserve">سراح محتزين آخرين من ممارسي </w:t>
      </w:r>
      <w:r>
        <w:rPr>
          <w:rFonts w:ascii="Traditional Arabic" w:hAnsi="Traditional Arabic" w:hint="cs"/>
          <w:rtl/>
        </w:rPr>
        <w:t>الفالون غونغ.</w:t>
      </w:r>
    </w:p>
    <w:p w:rsidR="00021691" w:rsidRPr="0010389C" w:rsidRDefault="00021691" w:rsidP="00E55B21">
      <w:pPr>
        <w:pStyle w:val="SingleTxtGA"/>
        <w:spacing w:line="370" w:lineRule="exact"/>
        <w:rPr>
          <w:rFonts w:hint="cs"/>
          <w:rtl/>
          <w:lang w:val="en-CA"/>
        </w:rPr>
      </w:pPr>
      <w:r w:rsidRPr="0010389C">
        <w:rPr>
          <w:rFonts w:ascii="Traditional Arabic" w:hAnsi="Traditional Arabic"/>
          <w:rtl/>
          <w:lang w:val="en-CA"/>
        </w:rPr>
        <w:t>4-3</w:t>
      </w:r>
      <w:r w:rsidRPr="0010389C">
        <w:rPr>
          <w:rFonts w:ascii="Traditional Arabic" w:hAnsi="Traditional Arabic"/>
          <w:rtl/>
          <w:lang w:val="en-CA"/>
        </w:rPr>
        <w:tab/>
      </w:r>
      <w:r>
        <w:rPr>
          <w:rFonts w:ascii="Traditional Arabic" w:hAnsi="Traditional Arabic" w:hint="cs"/>
          <w:rtl/>
        </w:rPr>
        <w:t xml:space="preserve">وفي 5 آذار/مارس 2005، رفض مندوب من </w:t>
      </w:r>
      <w:r>
        <w:rPr>
          <w:rFonts w:hint="cs"/>
          <w:rtl/>
        </w:rPr>
        <w:t>وزارة ا</w:t>
      </w:r>
      <w:r>
        <w:rPr>
          <w:rFonts w:hint="cs"/>
          <w:rtl/>
          <w:lang/>
        </w:rPr>
        <w:t>لهجرة والتعددية الثقافية والشعوب الأصلية</w:t>
      </w:r>
      <w:r>
        <w:rPr>
          <w:rFonts w:ascii="Traditional Arabic" w:hAnsi="Traditional Arabic" w:hint="cs"/>
          <w:rtl/>
        </w:rPr>
        <w:t xml:space="preserve"> طلب صاحب الشكوى. وفي 6 نيسان/أبريل 2005، </w:t>
      </w:r>
      <w:r w:rsidRPr="007E14F1">
        <w:rPr>
          <w:rFonts w:ascii="Traditional Arabic" w:hAnsi="Traditional Arabic" w:hint="cs"/>
          <w:rtl/>
        </w:rPr>
        <w:t>استأنف</w:t>
      </w:r>
      <w:r>
        <w:rPr>
          <w:rFonts w:ascii="Traditional Arabic" w:hAnsi="Traditional Arabic" w:hint="cs"/>
          <w:rtl/>
        </w:rPr>
        <w:t xml:space="preserve"> صاحب الشكوى أمام محكمة مراجعة الأحكام الخاصة باللاجئين التي </w:t>
      </w:r>
      <w:r w:rsidRPr="007E14F1">
        <w:rPr>
          <w:rFonts w:ascii="Traditional Arabic" w:hAnsi="Traditional Arabic" w:hint="cs"/>
          <w:rtl/>
        </w:rPr>
        <w:t>بعثت</w:t>
      </w:r>
      <w:r>
        <w:rPr>
          <w:rFonts w:ascii="Traditional Arabic" w:hAnsi="Traditional Arabic" w:hint="cs"/>
          <w:rtl/>
        </w:rPr>
        <w:t xml:space="preserve"> إليه برسالة في 23 أيار/مايو 2005 تبلّغه فيها عجزها عن إصدار قرار لصالحه بالاستناد إلى المعلومات التي تحوزها، فدعته إلى موافاتها بالأدلة اللازمة أثناء جلسة استماع تقرّر عقدها في 22 حزيران/يونيه 2005.</w:t>
      </w:r>
      <w:r>
        <w:rPr>
          <w:rFonts w:hint="cs"/>
          <w:rtl/>
          <w:lang w:val="en-CA"/>
        </w:rPr>
        <w:t xml:space="preserve"> وبما أنه لم يحضر جلسة الاستماع، أيّدت </w:t>
      </w:r>
      <w:r w:rsidRPr="00C9687D">
        <w:rPr>
          <w:rFonts w:hint="cs"/>
          <w:rtl/>
          <w:lang w:val="en-CA"/>
        </w:rPr>
        <w:t>المحكمة في ذلك التاريخ قرار</w:t>
      </w:r>
      <w:r>
        <w:rPr>
          <w:rFonts w:hint="cs"/>
          <w:rtl/>
          <w:lang w:val="en-CA"/>
        </w:rPr>
        <w:t xml:space="preserve"> الرفض. وقرّرت أنّ لا مصداقية لادعاءات صاحب الشكوى بأنه أحد ممارسي الفالون غونغ وبأن لديه خوفا</w:t>
      </w:r>
      <w:r>
        <w:rPr>
          <w:rFonts w:ascii="Traditional Arabic" w:hAnsi="Traditional Arabic" w:hint="cs"/>
          <w:rtl/>
        </w:rPr>
        <w:t>ً</w:t>
      </w:r>
      <w:r>
        <w:rPr>
          <w:rFonts w:hint="cs"/>
          <w:rtl/>
          <w:lang w:val="en-CA"/>
        </w:rPr>
        <w:t xml:space="preserve"> مبررا</w:t>
      </w:r>
      <w:r>
        <w:rPr>
          <w:rFonts w:ascii="Traditional Arabic" w:hAnsi="Traditional Arabic" w:hint="cs"/>
          <w:rtl/>
        </w:rPr>
        <w:t>ً</w:t>
      </w:r>
      <w:r>
        <w:rPr>
          <w:rFonts w:hint="cs"/>
          <w:rtl/>
          <w:lang w:val="en-CA"/>
        </w:rPr>
        <w:t xml:space="preserve"> من التعرض للاضطهاد في الصين. والتمس صاحب الشكوى من </w:t>
      </w:r>
      <w:r w:rsidRPr="006F3B29">
        <w:rPr>
          <w:rFonts w:hint="cs"/>
          <w:rtl/>
          <w:lang w:val="en-CA"/>
        </w:rPr>
        <w:t xml:space="preserve">محكمة الصلح الاتحادية في أستراليا </w:t>
      </w:r>
      <w:r>
        <w:rPr>
          <w:rFonts w:hint="cs"/>
          <w:rtl/>
          <w:lang w:val="en-CA"/>
        </w:rPr>
        <w:t xml:space="preserve">إجراء </w:t>
      </w:r>
      <w:r w:rsidRPr="00671F86">
        <w:rPr>
          <w:rFonts w:hint="cs"/>
          <w:rtl/>
          <w:lang w:val="en-CA"/>
        </w:rPr>
        <w:t>مراجعة قضائية لقرار محكمة مراجعة الأحكام الخاصة باللاجئين، زاعما</w:t>
      </w:r>
      <w:r>
        <w:rPr>
          <w:rFonts w:hint="cs"/>
          <w:rtl/>
          <w:lang w:val="en-CA"/>
        </w:rPr>
        <w:t>ً</w:t>
      </w:r>
      <w:r w:rsidRPr="00671F86">
        <w:rPr>
          <w:rFonts w:hint="cs"/>
          <w:rtl/>
          <w:lang w:val="en-CA"/>
        </w:rPr>
        <w:t xml:space="preserve"> أنه لم يتلقَّ قط الرسالة التي تدعوه إلى حضور</w:t>
      </w:r>
      <w:r>
        <w:rPr>
          <w:rFonts w:hint="cs"/>
          <w:rtl/>
          <w:lang w:val="en-CA"/>
        </w:rPr>
        <w:t xml:space="preserve"> جلسة الاستماع؛ إلا</w:t>
      </w:r>
      <w:r w:rsidR="002414F6">
        <w:rPr>
          <w:rFonts w:hint="eastAsia"/>
          <w:rtl/>
          <w:lang w:val="en-CA"/>
        </w:rPr>
        <w:t> </w:t>
      </w:r>
      <w:r>
        <w:rPr>
          <w:rFonts w:hint="cs"/>
          <w:rtl/>
          <w:lang w:val="en-CA"/>
        </w:rPr>
        <w:t>أن محكمة الصلح الاتحادية رأت في 13 آذار/مارس 2007 أن محكمة مراجعة الأحكام الخاصة باللاجئين لم ترتكب أي خطأ فرفضت الطلب. وفي 3 شباط/فبراير 2010، طلب صاحب الشكوى إلى المحكمة الاتحادية الأسترالية تمديد المهلة المحدّدة للطعن في قرار محكمة الصلح الاتحادية، ولكنها رفضت طلبه في 12 آذار/مارس 2010.</w:t>
      </w:r>
    </w:p>
    <w:p w:rsidR="00021691" w:rsidRDefault="00021691" w:rsidP="00E55B21">
      <w:pPr>
        <w:pStyle w:val="SingleTxtGA"/>
        <w:spacing w:line="370" w:lineRule="exact"/>
        <w:rPr>
          <w:rFonts w:hint="cs"/>
          <w:rtl/>
          <w:lang w:val="fr-CH"/>
        </w:rPr>
      </w:pPr>
      <w:r w:rsidRPr="00145D04">
        <w:rPr>
          <w:rFonts w:ascii="Traditional Arabic" w:hAnsi="Traditional Arabic"/>
          <w:rtl/>
          <w:lang w:val="en-CA"/>
        </w:rPr>
        <w:t>4-4</w:t>
      </w:r>
      <w:r w:rsidRPr="00145D04">
        <w:rPr>
          <w:rFonts w:ascii="Traditional Arabic" w:hAnsi="Traditional Arabic"/>
          <w:rtl/>
          <w:lang w:val="en-CA"/>
        </w:rPr>
        <w:tab/>
      </w:r>
      <w:r>
        <w:rPr>
          <w:rFonts w:ascii="Traditional Arabic" w:hAnsi="Traditional Arabic" w:hint="cs"/>
          <w:rtl/>
          <w:lang w:val="en-CA"/>
        </w:rPr>
        <w:t>وتدفع الدولة الطرف أيضاً بأن صاحب الشكوى بقي، بعد انتهاء صلاحية التأشيرة المؤقتة من الفئة "</w:t>
      </w:r>
      <w:r>
        <w:rPr>
          <w:lang w:val="fr-CH"/>
        </w:rPr>
        <w:t>E</w:t>
      </w:r>
      <w:r>
        <w:rPr>
          <w:rFonts w:ascii="Traditional Arabic" w:hAnsi="Traditional Arabic" w:hint="cs"/>
          <w:rtl/>
          <w:lang w:val="en-CA"/>
        </w:rPr>
        <w:t>"</w:t>
      </w:r>
      <w:r>
        <w:rPr>
          <w:rFonts w:hint="cs"/>
          <w:rtl/>
          <w:lang w:val="fr-CH"/>
        </w:rPr>
        <w:t xml:space="preserve"> التي </w:t>
      </w:r>
      <w:r w:rsidRPr="005E5E23">
        <w:rPr>
          <w:rFonts w:hint="cs"/>
          <w:rtl/>
          <w:lang w:val="fr-CH"/>
        </w:rPr>
        <w:t>كانت بحوز</w:t>
      </w:r>
      <w:r>
        <w:rPr>
          <w:rFonts w:hint="cs"/>
          <w:rtl/>
          <w:lang w:val="fr-CH"/>
        </w:rPr>
        <w:t xml:space="preserve">ته في 10 نيسان/أبريل 2007، بصورة غير قانونية في البلد حتى 11 شباط/فبراير 2009 وعندها اقتيد إلى مركز احتجاز، فبقي في </w:t>
      </w:r>
      <w:r>
        <w:rPr>
          <w:rFonts w:hint="cs"/>
          <w:rtl/>
          <w:lang w:val="en-CA"/>
        </w:rPr>
        <w:t>"مركز فيلاوود لاحتجاز المهاجرين"</w:t>
      </w:r>
      <w:r>
        <w:rPr>
          <w:rFonts w:hint="cs"/>
          <w:rtl/>
          <w:lang w:val="fr-CH"/>
        </w:rPr>
        <w:t xml:space="preserve"> من 13 آذار/مارس 2009 إلى 15 آب/أغسطس 2011 حين وضعه وزير شؤون الهجرة والجنسية قيد الاحتجاز المجتمعي. كما تفيد الدولة الطرف بأن صاحب الشكوى قدّم، بين 5 تشرين الأول/أكتوبر 2005 و15 آذار/مارس 2010، ثلاثة طلبات تدخّل وزاري منفصلة، قُدّر أن كل واحد منها لا يلتزم بالمبادئ التوجيهية الوزارية المعمول بها لإحالة الطلبات إلى الوزير</w:t>
      </w:r>
      <w:r>
        <w:rPr>
          <w:vertAlign w:val="superscript"/>
          <w:rtl/>
          <w:lang w:val="fr-CH"/>
        </w:rPr>
        <w:t>(</w:t>
      </w:r>
      <w:r>
        <w:rPr>
          <w:rStyle w:val="FootnoteReference"/>
          <w:rtl/>
          <w:lang w:val="fr-CH"/>
        </w:rPr>
        <w:footnoteReference w:id="93"/>
      </w:r>
      <w:r>
        <w:rPr>
          <w:vertAlign w:val="superscript"/>
          <w:rtl/>
          <w:lang w:val="fr-CH"/>
        </w:rPr>
        <w:t>)</w:t>
      </w:r>
      <w:r>
        <w:rPr>
          <w:rFonts w:hint="cs"/>
          <w:rtl/>
          <w:lang w:val="fr-CH"/>
        </w:rPr>
        <w:t>.</w:t>
      </w:r>
    </w:p>
    <w:p w:rsidR="00021691" w:rsidRPr="002414F6" w:rsidRDefault="00021691" w:rsidP="002414F6">
      <w:pPr>
        <w:pStyle w:val="SingleTxtGA"/>
        <w:rPr>
          <w:rFonts w:hint="cs"/>
          <w:spacing w:val="-2"/>
          <w:rtl/>
        </w:rPr>
      </w:pPr>
      <w:r w:rsidRPr="002414F6">
        <w:rPr>
          <w:rFonts w:ascii="Traditional Arabic" w:hAnsi="Traditional Arabic"/>
          <w:spacing w:val="-2"/>
          <w:rtl/>
          <w:lang w:val="en-CA"/>
        </w:rPr>
        <w:t>4-5</w:t>
      </w:r>
      <w:r w:rsidRPr="002414F6">
        <w:rPr>
          <w:rFonts w:ascii="Traditional Arabic" w:hAnsi="Traditional Arabic"/>
          <w:spacing w:val="-2"/>
          <w:rtl/>
          <w:lang w:val="en-CA"/>
        </w:rPr>
        <w:tab/>
      </w:r>
      <w:r w:rsidRPr="002414F6">
        <w:rPr>
          <w:rFonts w:ascii="Traditional Arabic" w:hAnsi="Traditional Arabic" w:hint="cs"/>
          <w:spacing w:val="-2"/>
          <w:rtl/>
          <w:lang w:val="en-CA"/>
        </w:rPr>
        <w:t>وتؤكّد</w:t>
      </w:r>
      <w:r w:rsidRPr="002414F6">
        <w:rPr>
          <w:rFonts w:ascii="Traditional Arabic" w:hAnsi="Traditional Arabic" w:hint="cs"/>
          <w:spacing w:val="-2"/>
          <w:rtl/>
        </w:rPr>
        <w:t xml:space="preserve"> الدولة الطرف أن من مسؤولية صاحب الشكوى إقامة قضية ظاهرة الوجاهة لأغراض المقبولية، وبأنه لم يأتِ في إطار هذه القضية بما يثبت وجود خطر متوقع وحقيقي وشخصي بالتعرض للتعذيب على يد السلطات الصينية إن أعيد إلى الصين. وتُذكّر بأن محكمة مراجعة الأحكام الخاصة باللاجئين أفادت بأن ادعاءات صاحب الشكوى تفتقر إلى المصداقية، وبأن المحكمة لم تقتنع بأن صاحب الشكوى يمارس الفالون غونغ لأن ادعاءاته خلت من معلومات تفصيلية هامّة فلم يعطِ بوجه خا</w:t>
      </w:r>
      <w:r w:rsidR="002414F6" w:rsidRPr="002414F6">
        <w:rPr>
          <w:rFonts w:ascii="Traditional Arabic" w:hAnsi="Traditional Arabic" w:hint="cs"/>
          <w:spacing w:val="-2"/>
          <w:rtl/>
        </w:rPr>
        <w:t xml:space="preserve">ص تفاصيل تذكر عن طبيعة ممارسته </w:t>
      </w:r>
      <w:r w:rsidRPr="002414F6">
        <w:rPr>
          <w:rFonts w:ascii="Traditional Arabic" w:hAnsi="Traditional Arabic" w:hint="cs"/>
          <w:spacing w:val="-2"/>
          <w:rtl/>
        </w:rPr>
        <w:t>ولم</w:t>
      </w:r>
      <w:r w:rsidR="002414F6" w:rsidRPr="002414F6">
        <w:rPr>
          <w:rFonts w:ascii="Traditional Arabic" w:hAnsi="Traditional Arabic" w:hint="eastAsia"/>
          <w:spacing w:val="-2"/>
          <w:rtl/>
        </w:rPr>
        <w:t> </w:t>
      </w:r>
      <w:r w:rsidRPr="002414F6">
        <w:rPr>
          <w:rFonts w:ascii="Traditional Arabic" w:hAnsi="Traditional Arabic" w:hint="cs"/>
          <w:spacing w:val="-2"/>
          <w:rtl/>
        </w:rPr>
        <w:t>يُظهر معرفة بفلسفة الفالون غونغ تتجاوز المعرفة المتاحة لعامة الناس. ولم تقبل المحكمة كذلك ادعاءات صاحب الشكوى التي مفادها أن السلطات الصينية أقدمت على مراقبته أو</w:t>
      </w:r>
      <w:r w:rsidR="002414F6" w:rsidRPr="002414F6">
        <w:rPr>
          <w:rFonts w:ascii="Traditional Arabic" w:hAnsi="Traditional Arabic" w:hint="eastAsia"/>
          <w:spacing w:val="-2"/>
          <w:rtl/>
        </w:rPr>
        <w:t> </w:t>
      </w:r>
      <w:r w:rsidRPr="002414F6">
        <w:rPr>
          <w:rFonts w:ascii="Traditional Arabic" w:hAnsi="Traditional Arabic" w:hint="cs"/>
          <w:spacing w:val="-2"/>
          <w:rtl/>
        </w:rPr>
        <w:t>احتجازه أو إساءة معاملته. وقد انتهت المحكمة إلى هذه الاستنتاجات بسبب افتقار الشكوى الأولى إلى معلومات مفصّلة، و"</w:t>
      </w:r>
      <w:r w:rsidRPr="002414F6">
        <w:rPr>
          <w:rFonts w:hint="cs"/>
          <w:spacing w:val="-2"/>
          <w:rtl/>
        </w:rPr>
        <w:t>بغياب الفرصة لاختبار صحة الادعاءات خلال جلسة استماع، لم يكن بوسع المحكمة قبول ادعاءات صاحب الشكوى". وتفيد الدولة الطرف بأن محكمة مراجعة الأحكام الخاصة باللاجئين "لم تقتنع بأن صاحب الشكوى هو شخص على أستراليا التزامات بحمايته بموجب الاتفاقية الخاصة بوضع اللاجئين"، كما تفيد بأن محكمة الصلح الاتحادية لم تقتنع أثناء الاستئناف بأن صاحب الشكوى تخلّف عن حضور جلسة الاجتماع في محكمة مراجعة الأحكام الخاصة باللاجئين "نتيجة تزوير أو خطأ ارتكبه موظف الهجرة".</w:t>
      </w:r>
    </w:p>
    <w:p w:rsidR="00021691" w:rsidRPr="002414F6" w:rsidRDefault="00021691" w:rsidP="002414F6">
      <w:pPr>
        <w:pStyle w:val="SingleTxtGA"/>
        <w:spacing w:line="370" w:lineRule="exact"/>
        <w:rPr>
          <w:rFonts w:hint="cs"/>
          <w:szCs w:val="20"/>
          <w:rtl/>
        </w:rPr>
      </w:pPr>
      <w:r w:rsidRPr="00436055">
        <w:rPr>
          <w:rtl/>
          <w:lang w:val="en-CA"/>
        </w:rPr>
        <w:t>4-6</w:t>
      </w:r>
      <w:r w:rsidRPr="00436055">
        <w:rPr>
          <w:rtl/>
          <w:lang w:val="en-CA"/>
        </w:rPr>
        <w:tab/>
      </w:r>
      <w:r>
        <w:rPr>
          <w:rFonts w:hint="cs"/>
          <w:rtl/>
          <w:lang w:val="en-CA"/>
        </w:rPr>
        <w:t xml:space="preserve">وتدفع الدولة الطرف كذلك بأن صاحب الشكوى قدّم في إطار الإجراءات المحلية </w:t>
      </w:r>
      <w:r w:rsidRPr="00AA77E6">
        <w:rPr>
          <w:rFonts w:hint="cs"/>
          <w:rtl/>
          <w:lang w:val="en-CA"/>
        </w:rPr>
        <w:t>وطلبات التدخل الوزاري معلومات تفصّل إساءة المعاملة التي تعرض لها في الماضي، فضلا</w:t>
      </w:r>
      <w:r>
        <w:rPr>
          <w:rFonts w:hint="cs"/>
          <w:rtl/>
          <w:lang w:val="en-CA"/>
        </w:rPr>
        <w:t>ً</w:t>
      </w:r>
      <w:r w:rsidRPr="00AA77E6">
        <w:rPr>
          <w:rFonts w:hint="cs"/>
          <w:rtl/>
          <w:lang w:val="en-CA"/>
        </w:rPr>
        <w:t xml:space="preserve"> عن</w:t>
      </w:r>
      <w:r>
        <w:rPr>
          <w:rFonts w:hint="cs"/>
          <w:rtl/>
          <w:lang w:val="en-CA"/>
        </w:rPr>
        <w:t xml:space="preserve"> </w:t>
      </w:r>
      <w:r w:rsidRPr="002414F6">
        <w:rPr>
          <w:rFonts w:hint="cs"/>
          <w:rtl/>
          <w:lang w:val="en-CA"/>
        </w:rPr>
        <w:t xml:space="preserve">وثائق ذات صلة، وبأنه جرى تقييم هذه المعلومات في إطار الإجراءات المحلية. </w:t>
      </w:r>
      <w:r w:rsidRPr="002414F6">
        <w:rPr>
          <w:rFonts w:hint="cs"/>
          <w:rtl/>
        </w:rPr>
        <w:t xml:space="preserve">وتؤكّد أن النظام القانوني المحلي في أستراليا يعتمد "عمليةً مُحكمة في مراجعة الأسس الموضوعية للقرارات وفي المراجعة القضائية للقرارات" بغية ضمان تدارك أي خطأ ترتكبه جهة مخوَّلة اتخاذ القرارات في مرحلة سابقة من مراحل الإجراءات. وتذكّر بأن صاحب الشكوى استأنف أمام محكمة مراجعة الأحكام الخاصة باللاجئين ومحكمة الصلح الاتحادية والمحكمة الاتحادية الأسترالية، ولم يُعثر على أي خطأ. </w:t>
      </w:r>
    </w:p>
    <w:p w:rsidR="00021691" w:rsidRPr="00B902B5" w:rsidRDefault="00021691" w:rsidP="002414F6">
      <w:pPr>
        <w:pStyle w:val="SingleTxtGA"/>
        <w:spacing w:line="370" w:lineRule="exact"/>
        <w:rPr>
          <w:rFonts w:ascii="Traditional Arabic" w:hAnsi="Traditional Arabic" w:hint="cs"/>
          <w:rtl/>
        </w:rPr>
      </w:pPr>
      <w:r w:rsidRPr="00213F69">
        <w:rPr>
          <w:rFonts w:ascii="Traditional Arabic" w:hAnsi="Traditional Arabic"/>
          <w:rtl/>
          <w:lang w:val="en-CA"/>
        </w:rPr>
        <w:t>4-7</w:t>
      </w:r>
      <w:r w:rsidRPr="00213F69">
        <w:rPr>
          <w:rFonts w:ascii="Traditional Arabic" w:hAnsi="Traditional Arabic"/>
          <w:rtl/>
          <w:lang w:val="en-CA"/>
        </w:rPr>
        <w:tab/>
      </w:r>
      <w:r w:rsidRPr="00213F69">
        <w:rPr>
          <w:rFonts w:ascii="Traditional Arabic" w:hAnsi="Traditional Arabic" w:hint="cs"/>
          <w:rtl/>
          <w:lang w:val="en-CA"/>
        </w:rPr>
        <w:t>و</w:t>
      </w:r>
      <w:r>
        <w:rPr>
          <w:rFonts w:ascii="Traditional Arabic" w:hAnsi="Traditional Arabic" w:hint="cs"/>
          <w:rtl/>
          <w:lang w:val="en-CA"/>
        </w:rPr>
        <w:t xml:space="preserve">تفيد الدولة الطرف بأن صاحب الشكوى لا يحدّد، بصرف النظر عن ادعائه التعرض لسوء معاملة في الماضي، </w:t>
      </w:r>
      <w:r>
        <w:rPr>
          <w:rFonts w:ascii="Traditional Arabic" w:hAnsi="Traditional Arabic" w:hint="cs"/>
          <w:rtl/>
        </w:rPr>
        <w:t xml:space="preserve">ما هي المعاملة التي قد يعاني منها إن أعيد إلى الصين، وبأنه قدّم "ادعاءات محدودة" فيما يخص المعاملة التي يُحتمل أن </w:t>
      </w:r>
      <w:r w:rsidRPr="00730026">
        <w:rPr>
          <w:rFonts w:ascii="Traditional Arabic" w:hAnsi="Traditional Arabic" w:hint="cs"/>
          <w:rtl/>
        </w:rPr>
        <w:t>يواجهها</w:t>
      </w:r>
      <w:r>
        <w:rPr>
          <w:rFonts w:ascii="Traditional Arabic" w:hAnsi="Traditional Arabic"/>
          <w:vertAlign w:val="superscript"/>
          <w:rtl/>
        </w:rPr>
        <w:t>(</w:t>
      </w:r>
      <w:r>
        <w:rPr>
          <w:rStyle w:val="FootnoteReference"/>
          <w:rtl/>
        </w:rPr>
        <w:footnoteReference w:id="94"/>
      </w:r>
      <w:r>
        <w:rPr>
          <w:rFonts w:ascii="Traditional Arabic" w:hAnsi="Traditional Arabic"/>
          <w:vertAlign w:val="superscript"/>
          <w:rtl/>
        </w:rPr>
        <w:t>)</w:t>
      </w:r>
      <w:r w:rsidRPr="00730026">
        <w:rPr>
          <w:rFonts w:ascii="Traditional Arabic" w:hAnsi="Traditional Arabic" w:hint="cs"/>
          <w:rtl/>
        </w:rPr>
        <w:t>.</w:t>
      </w:r>
      <w:r>
        <w:rPr>
          <w:rFonts w:ascii="Traditional Arabic" w:hAnsi="Traditional Arabic" w:hint="cs"/>
          <w:rtl/>
        </w:rPr>
        <w:t xml:space="preserve"> وادعى كذلك أن السلطات تستهدف أسرته بسبب ممارسته للفالون غونغ ولكنه ذكر في إفادة أخرى أن أسرته بخير. وتفيد الدولة الطرف أيضاً أن الشهادة التي أدلت بها والدة صاحب الشكوى في 17 شباط/فبراير 2010 لا تتضمن سوى معلومات عن الفترة التي كان يعيش فيها في الصين ولكن لا تقدّم أي </w:t>
      </w:r>
      <w:r w:rsidRPr="00FD2AE2">
        <w:rPr>
          <w:rFonts w:ascii="Traditional Arabic" w:hAnsi="Traditional Arabic" w:hint="cs"/>
          <w:rtl/>
        </w:rPr>
        <w:t>معلومات عن "علاقته بالسلطات</w:t>
      </w:r>
      <w:r>
        <w:rPr>
          <w:rFonts w:ascii="Traditional Arabic" w:hAnsi="Traditional Arabic" w:hint="cs"/>
          <w:rtl/>
        </w:rPr>
        <w:t xml:space="preserve"> الصينية" منذ رحيله</w:t>
      </w:r>
      <w:r>
        <w:rPr>
          <w:rFonts w:ascii="Traditional Arabic" w:hAnsi="Traditional Arabic"/>
          <w:vertAlign w:val="superscript"/>
          <w:rtl/>
        </w:rPr>
        <w:t>(</w:t>
      </w:r>
      <w:r>
        <w:rPr>
          <w:rStyle w:val="FootnoteReference"/>
          <w:rtl/>
        </w:rPr>
        <w:footnoteReference w:id="95"/>
      </w:r>
      <w:r>
        <w:rPr>
          <w:rFonts w:ascii="Traditional Arabic" w:hAnsi="Traditional Arabic"/>
          <w:vertAlign w:val="superscript"/>
          <w:rtl/>
        </w:rPr>
        <w:t>)</w:t>
      </w:r>
      <w:r>
        <w:rPr>
          <w:rFonts w:ascii="Traditional Arabic" w:hAnsi="Traditional Arabic" w:hint="cs"/>
          <w:rtl/>
        </w:rPr>
        <w:t xml:space="preserve">. وتؤكد الدولة الطرف أن الشهادة المذكورة أعلاه لا تقدّم أسباباً وجيهة تدعم ادعاءات صاحب الشكوى بأنه سيتعرض </w:t>
      </w:r>
      <w:r w:rsidRPr="00FD2AE2">
        <w:rPr>
          <w:rFonts w:ascii="Traditional Arabic" w:hAnsi="Traditional Arabic" w:hint="cs"/>
          <w:rtl/>
        </w:rPr>
        <w:t xml:space="preserve">للتعذيب </w:t>
      </w:r>
      <w:r>
        <w:rPr>
          <w:rFonts w:ascii="Traditional Arabic" w:hAnsi="Traditional Arabic" w:hint="cs"/>
          <w:rtl/>
        </w:rPr>
        <w:t>وسوء</w:t>
      </w:r>
      <w:r w:rsidRPr="00FD2AE2">
        <w:rPr>
          <w:rFonts w:ascii="Traditional Arabic" w:hAnsi="Traditional Arabic" w:hint="cs"/>
          <w:rtl/>
        </w:rPr>
        <w:t xml:space="preserve"> المعاملة</w:t>
      </w:r>
      <w:r>
        <w:rPr>
          <w:rFonts w:ascii="Traditional Arabic" w:hAnsi="Traditional Arabic" w:hint="cs"/>
          <w:rtl/>
        </w:rPr>
        <w:t xml:space="preserve"> لدى عودته إلى الصين.</w:t>
      </w:r>
    </w:p>
    <w:p w:rsidR="00021691" w:rsidRPr="00A24571" w:rsidRDefault="00021691" w:rsidP="002414F6">
      <w:pPr>
        <w:pStyle w:val="SingleTxtGA"/>
        <w:spacing w:line="370" w:lineRule="exact"/>
        <w:rPr>
          <w:rFonts w:ascii="Traditional Arabic" w:hAnsi="Traditional Arabic" w:hint="cs"/>
          <w:spacing w:val="-2"/>
          <w:szCs w:val="20"/>
          <w:rtl/>
        </w:rPr>
      </w:pPr>
      <w:r w:rsidRPr="008A736A">
        <w:rPr>
          <w:rFonts w:ascii="Traditional Arabic" w:hAnsi="Traditional Arabic"/>
          <w:spacing w:val="-2"/>
          <w:rtl/>
          <w:lang w:val="en-CA"/>
        </w:rPr>
        <w:t>4-8</w:t>
      </w:r>
      <w:r w:rsidRPr="008A736A">
        <w:rPr>
          <w:rFonts w:ascii="Traditional Arabic" w:hAnsi="Traditional Arabic"/>
          <w:spacing w:val="-2"/>
          <w:rtl/>
          <w:lang w:val="en-CA"/>
        </w:rPr>
        <w:tab/>
      </w:r>
      <w:r>
        <w:rPr>
          <w:rFonts w:ascii="Traditional Arabic" w:hAnsi="Traditional Arabic" w:hint="cs"/>
          <w:spacing w:val="-2"/>
          <w:rtl/>
        </w:rPr>
        <w:t xml:space="preserve">وفيما يخص الأسس الموضوعية </w:t>
      </w:r>
      <w:r w:rsidRPr="00CA581A">
        <w:rPr>
          <w:rFonts w:ascii="Traditional Arabic" w:hAnsi="Traditional Arabic" w:hint="cs"/>
          <w:spacing w:val="-2"/>
          <w:rtl/>
        </w:rPr>
        <w:t>للقضية، تكرر الدولة</w:t>
      </w:r>
      <w:r>
        <w:rPr>
          <w:rFonts w:ascii="Traditional Arabic" w:hAnsi="Traditional Arabic" w:hint="cs"/>
          <w:spacing w:val="-2"/>
          <w:rtl/>
        </w:rPr>
        <w:t xml:space="preserve"> الطرف تأكيدها أن لا أسباب وجيهة تدعو إلى الاعتقاد بأن صاحب الشكوى سيواجه خطر التعرض للتعذيب على يد السلطات الصينية، وتأكيدها أن طلبات الحماية التي قدمها في أستراليا قد جرى الفصل فيها على النحو الصحيح بموجب القانون الأسترالي الساري، وأن صاحب الشكوى لا يكشف عن أي معلومات لم يسبق أن جرى بحثها في إطار الإجراءات المحلية، وأنه استفاد من "العملية المُحكمة المعتمدة في مراجعة الأسس الموضوعية للقرارات وفي المراجعة القضائية للقرارات". وتؤكّد أيضاً أن الوثائق التي قدّمها صاحب الشكوى، بما فيها </w:t>
      </w:r>
      <w:r>
        <w:rPr>
          <w:rFonts w:hint="cs"/>
          <w:rtl/>
          <w:lang/>
        </w:rPr>
        <w:t xml:space="preserve">إفادات الشهود الخطية المشفوعة بيمين، </w:t>
      </w:r>
      <w:r w:rsidRPr="000D0E89">
        <w:rPr>
          <w:rFonts w:hint="cs"/>
          <w:rtl/>
          <w:lang/>
        </w:rPr>
        <w:t>والإفادات</w:t>
      </w:r>
      <w:r>
        <w:rPr>
          <w:rFonts w:hint="cs"/>
          <w:rtl/>
          <w:lang/>
        </w:rPr>
        <w:t xml:space="preserve"> الشخصية، والتقارير الطبية، وإن لم تقدَّم في إطار طلب تأشيرة الحماية، قد درستها إدارة الهجرة على النحو الواجب أثناء النظر في طلبات التدخل الوزاري. وتقول الدولة الطرف إن صاحب الشكوى لم يقدم أدلة معقولة لإثبات وجود خطر شخصي ومحدق بالتعرض للتعذيب لدى عودته، وتؤكد من جديد أنه ينبغي </w:t>
      </w:r>
      <w:r w:rsidRPr="00C1443D">
        <w:rPr>
          <w:rFonts w:hint="cs"/>
          <w:rtl/>
          <w:lang/>
        </w:rPr>
        <w:t>رفض الشكوى التي</w:t>
      </w:r>
      <w:r>
        <w:rPr>
          <w:rFonts w:hint="cs"/>
          <w:rtl/>
          <w:lang/>
        </w:rPr>
        <w:t xml:space="preserve"> قدمها بموجب المادة 3 من الاتفاقية لافتقارها إلى الأسس الموضوعية.</w:t>
      </w:r>
    </w:p>
    <w:p w:rsidR="00021691" w:rsidRPr="00B41DC4" w:rsidRDefault="00021691" w:rsidP="00021691">
      <w:pPr>
        <w:pStyle w:val="H23GA"/>
        <w:rPr>
          <w:rtl/>
        </w:rPr>
      </w:pPr>
      <w:r>
        <w:rPr>
          <w:rFonts w:hint="cs"/>
          <w:rtl/>
        </w:rPr>
        <w:tab/>
      </w:r>
      <w:r>
        <w:rPr>
          <w:rFonts w:hint="cs"/>
          <w:rtl/>
        </w:rPr>
        <w:tab/>
      </w:r>
      <w:r w:rsidRPr="00B41DC4">
        <w:rPr>
          <w:rtl/>
        </w:rPr>
        <w:t xml:space="preserve">تعليقات </w:t>
      </w:r>
      <w:r w:rsidRPr="00B41DC4">
        <w:rPr>
          <w:rFonts w:hint="cs"/>
          <w:rtl/>
        </w:rPr>
        <w:t>صاحب الشكوى</w:t>
      </w:r>
      <w:r w:rsidRPr="00B41DC4">
        <w:rPr>
          <w:rtl/>
        </w:rPr>
        <w:t xml:space="preserve"> على ملاحظات الدولة الطرف</w:t>
      </w:r>
    </w:p>
    <w:p w:rsidR="00021691" w:rsidRPr="00E10C4F" w:rsidRDefault="00021691" w:rsidP="00021691">
      <w:pPr>
        <w:pStyle w:val="SingleTxtGA"/>
        <w:rPr>
          <w:rFonts w:ascii="Traditional Arabic" w:hAnsi="Traditional Arabic"/>
          <w:spacing w:val="-4"/>
          <w:rtl/>
        </w:rPr>
      </w:pPr>
      <w:r w:rsidRPr="00B41DC4">
        <w:rPr>
          <w:rFonts w:ascii="Traditional Arabic" w:hAnsi="Traditional Arabic"/>
          <w:spacing w:val="-4"/>
          <w:rtl/>
          <w:lang w:val="en-CA"/>
        </w:rPr>
        <w:t>5-1</w:t>
      </w:r>
      <w:r w:rsidRPr="00B41DC4">
        <w:rPr>
          <w:rFonts w:ascii="Traditional Arabic" w:hAnsi="Traditional Arabic"/>
          <w:spacing w:val="-4"/>
          <w:rtl/>
          <w:lang w:val="en-CA"/>
        </w:rPr>
        <w:tab/>
      </w:r>
      <w:r>
        <w:rPr>
          <w:rFonts w:ascii="Traditional Arabic" w:hAnsi="Traditional Arabic" w:hint="cs"/>
          <w:rtl/>
        </w:rPr>
        <w:t xml:space="preserve">يفيد صاحب الشكوى في تعليقاته المؤرخة 6 شباط/فبراير </w:t>
      </w:r>
      <w:r w:rsidRPr="00EC400F">
        <w:rPr>
          <w:rFonts w:ascii="Traditional Arabic" w:hAnsi="Traditional Arabic"/>
          <w:rtl/>
        </w:rPr>
        <w:t>201</w:t>
      </w:r>
      <w:r>
        <w:rPr>
          <w:rFonts w:ascii="Traditional Arabic" w:hAnsi="Traditional Arabic" w:hint="cs"/>
          <w:rtl/>
        </w:rPr>
        <w:t>2</w:t>
      </w:r>
      <w:r w:rsidRPr="00EC400F">
        <w:rPr>
          <w:rFonts w:ascii="Traditional Arabic" w:hAnsi="Traditional Arabic"/>
          <w:rtl/>
        </w:rPr>
        <w:t xml:space="preserve">، </w:t>
      </w:r>
      <w:r>
        <w:rPr>
          <w:rFonts w:ascii="Traditional Arabic" w:hAnsi="Traditional Arabic" w:hint="cs"/>
          <w:rtl/>
        </w:rPr>
        <w:t xml:space="preserve">بأن الدولة الطرف لا تُقرّ في مذكّرتها بالتأثير السلبي الذي ترتب على إهمال موظف الهجرة أو عدم كفاءته أو ارتكابه التزوير، ونتيجة لذلك، فإن ادّعاء الدولة الطرف أن "النظام القانوني المحلي في أستراليا يعتمد </w:t>
      </w:r>
      <w:r>
        <w:rPr>
          <w:rFonts w:ascii="Traditional Arabic" w:hAnsi="Traditional Arabic" w:hint="cs"/>
          <w:spacing w:val="-4"/>
          <w:rtl/>
        </w:rPr>
        <w:t>عمليةً مُحكمة في مراجعة الأسس الموضوعية للقرارات وفي المراجعة القضائية للقرارات" ادّعاء لا ينطبق إطلاقاً على هذه القضية. ويدفع بأن أفعال موظف الهجرة حرمته من الاستفادة بصورة كاملة من إجراءات النظام القانوني المحلي من أجل دراسة طلبات الحماية التي قدمها على أتمّ وجه. ويزعم أيضاً أن الأدلة والمعلومات الجديدة التي قدمها، والتي كان موظف الهجرة قد استبعدها في مرحلة سابقة، رُفضت تعسفا</w:t>
      </w:r>
      <w:r>
        <w:rPr>
          <w:rFonts w:ascii="Traditional Arabic" w:hAnsi="Traditional Arabic" w:hint="cs"/>
          <w:rtl/>
        </w:rPr>
        <w:t>ً</w:t>
      </w:r>
      <w:r>
        <w:rPr>
          <w:rFonts w:ascii="Traditional Arabic" w:hAnsi="Traditional Arabic" w:hint="cs"/>
          <w:spacing w:val="-4"/>
          <w:rtl/>
        </w:rPr>
        <w:t xml:space="preserve"> من قبل الحكومة بحجة افتقارها إلى المصداقية. ويؤكد كذلك أنه لم يجرِ مقابلة شخصية، في أي مرحلة من مراحل الإجراءات، مع موظف حكومي مسؤول عن تقييم طلبات الحماية التي قدمها.</w:t>
      </w:r>
    </w:p>
    <w:p w:rsidR="00021691" w:rsidRPr="00CC7E54" w:rsidRDefault="00021691" w:rsidP="00021691">
      <w:pPr>
        <w:pStyle w:val="SingleTxtGA"/>
        <w:rPr>
          <w:rFonts w:ascii="Traditional Arabic" w:hAnsi="Traditional Arabic" w:hint="cs"/>
          <w:rtl/>
        </w:rPr>
      </w:pPr>
      <w:r w:rsidRPr="00E10C4F">
        <w:rPr>
          <w:rFonts w:ascii="Traditional Arabic" w:hAnsi="Traditional Arabic"/>
          <w:rtl/>
          <w:lang w:val="en-CA"/>
        </w:rPr>
        <w:t>5</w:t>
      </w:r>
      <w:r w:rsidRPr="00E10C4F">
        <w:rPr>
          <w:rFonts w:ascii="Traditional Arabic" w:hAnsi="Traditional Arabic"/>
          <w:spacing w:val="-2"/>
          <w:rtl/>
          <w:lang w:val="en-CA"/>
        </w:rPr>
        <w:t>-2</w:t>
      </w:r>
      <w:r w:rsidRPr="00E10C4F">
        <w:rPr>
          <w:rFonts w:ascii="Traditional Arabic" w:hAnsi="Traditional Arabic"/>
          <w:spacing w:val="-2"/>
          <w:rtl/>
          <w:lang w:val="en-CA"/>
        </w:rPr>
        <w:tab/>
      </w:r>
      <w:r w:rsidRPr="00AA7373">
        <w:rPr>
          <w:rFonts w:ascii="Traditional Arabic" w:hAnsi="Traditional Arabic" w:hint="cs"/>
          <w:rtl/>
        </w:rPr>
        <w:t>ويعت</w:t>
      </w:r>
      <w:r>
        <w:rPr>
          <w:rFonts w:ascii="Traditional Arabic" w:hAnsi="Traditional Arabic" w:hint="cs"/>
          <w:rtl/>
        </w:rPr>
        <w:t xml:space="preserve">رض صاحب الشكوى على ما ذهبت إليه الدولة الطرف من أنه عجز عن إقامة قضية ظاهرة الوجاهة تثبت أنه يواجه خطراً متوقعاً وحقيقياً وشخصياً بالتعرض للتعذيب في حالة ترحيله، ويدفع بأنه أرفق آخر طلب تدخل وزاري قدمه </w:t>
      </w:r>
      <w:r w:rsidRPr="00EB55A1">
        <w:rPr>
          <w:rFonts w:ascii="Traditional Arabic" w:hAnsi="Traditional Arabic" w:hint="cs"/>
          <w:rtl/>
        </w:rPr>
        <w:t xml:space="preserve">بالوثائق التالية: إفادات شهود عيان من أفراد عائلته وممارسي الفالون غونغ في الصين </w:t>
      </w:r>
      <w:r>
        <w:rPr>
          <w:rFonts w:ascii="Traditional Arabic" w:hAnsi="Traditional Arabic" w:hint="cs"/>
          <w:rtl/>
        </w:rPr>
        <w:t>يشهدون</w:t>
      </w:r>
      <w:r w:rsidRPr="00EB55A1">
        <w:rPr>
          <w:rFonts w:ascii="Traditional Arabic" w:hAnsi="Traditional Arabic" w:hint="cs"/>
          <w:rtl/>
        </w:rPr>
        <w:t xml:space="preserve"> على ممارسته وتوقيفه</w:t>
      </w:r>
      <w:r>
        <w:rPr>
          <w:rFonts w:ascii="Traditional Arabic" w:hAnsi="Traditional Arabic" w:hint="cs"/>
          <w:rtl/>
        </w:rPr>
        <w:t xml:space="preserve"> واحتجازه وتعذيبه على يد أفراد الشرطة</w:t>
      </w:r>
      <w:r>
        <w:rPr>
          <w:rFonts w:ascii="Traditional Arabic" w:hAnsi="Traditional Arabic"/>
          <w:vertAlign w:val="superscript"/>
          <w:rtl/>
        </w:rPr>
        <w:t>(</w:t>
      </w:r>
      <w:r w:rsidRPr="00B93686">
        <w:rPr>
          <w:rStyle w:val="FootnoteReference"/>
          <w:color w:val="FFFFFF"/>
          <w:sz w:val="2"/>
          <w:szCs w:val="2"/>
          <w:rtl/>
        </w:rPr>
        <w:footnoteReference w:id="96"/>
      </w:r>
      <w:r w:rsidR="002414F6" w:rsidRPr="002414F6">
        <w:rPr>
          <w:rFonts w:ascii="Traditional Arabic" w:hAnsi="Traditional Arabic" w:hint="cs"/>
          <w:sz w:val="30"/>
          <w:vertAlign w:val="superscript"/>
          <w:rtl/>
        </w:rPr>
        <w:t>ﻫ</w:t>
      </w:r>
      <w:r>
        <w:rPr>
          <w:rFonts w:ascii="Traditional Arabic" w:hAnsi="Traditional Arabic"/>
          <w:vertAlign w:val="superscript"/>
          <w:rtl/>
        </w:rPr>
        <w:t>)</w:t>
      </w:r>
      <w:r>
        <w:rPr>
          <w:rFonts w:ascii="Traditional Arabic" w:hAnsi="Traditional Arabic" w:hint="cs"/>
          <w:rtl/>
        </w:rPr>
        <w:t>؛ وأدلة طبية تتعلق بعلامات ندوب موجودة على صاحب الشكوى تؤكد زعمه التعرّض للتعذيب، بما في ذلك آثار حروق، وإصابات ناتجة عن مزيج من الربط والحرق والضرب بعصا كهربائية</w:t>
      </w:r>
      <w:r>
        <w:rPr>
          <w:rFonts w:ascii="Traditional Arabic" w:hAnsi="Traditional Arabic"/>
          <w:vertAlign w:val="superscript"/>
          <w:rtl/>
        </w:rPr>
        <w:t>(</w:t>
      </w:r>
      <w:r>
        <w:rPr>
          <w:rStyle w:val="FootnoteReference"/>
          <w:rtl/>
        </w:rPr>
        <w:footnoteReference w:id="97"/>
      </w:r>
      <w:r>
        <w:rPr>
          <w:rFonts w:ascii="Traditional Arabic" w:hAnsi="Traditional Arabic"/>
          <w:vertAlign w:val="superscript"/>
          <w:rtl/>
        </w:rPr>
        <w:t>)</w:t>
      </w:r>
      <w:r>
        <w:rPr>
          <w:rFonts w:ascii="Traditional Arabic" w:hAnsi="Traditional Arabic" w:hint="cs"/>
          <w:rtl/>
        </w:rPr>
        <w:t xml:space="preserve">؛ وأدلة من طبيب </w:t>
      </w:r>
      <w:r w:rsidRPr="00FD46FD">
        <w:rPr>
          <w:rFonts w:ascii="Traditional Arabic" w:hAnsi="Traditional Arabic" w:hint="cs"/>
          <w:rtl/>
        </w:rPr>
        <w:t xml:space="preserve">نفسي </w:t>
      </w:r>
      <w:r>
        <w:rPr>
          <w:rFonts w:ascii="Traditional Arabic" w:hAnsi="Traditional Arabic" w:hint="cs"/>
          <w:rtl/>
        </w:rPr>
        <w:t>تؤكد</w:t>
      </w:r>
      <w:r w:rsidRPr="00FD46FD">
        <w:rPr>
          <w:rFonts w:ascii="Traditional Arabic" w:hAnsi="Traditional Arabic" w:hint="cs"/>
          <w:rtl/>
        </w:rPr>
        <w:t xml:space="preserve"> تشخيص الإص</w:t>
      </w:r>
      <w:r>
        <w:rPr>
          <w:rFonts w:ascii="Traditional Arabic" w:hAnsi="Traditional Arabic" w:hint="cs"/>
          <w:rtl/>
        </w:rPr>
        <w:t>ابة باضطرابات ما بعد الصدمة، وهو ما يتسق مع التعذيب المزعوم</w:t>
      </w:r>
      <w:r w:rsidRPr="00257D1B">
        <w:rPr>
          <w:rFonts w:ascii="Traditional Arabic" w:hAnsi="Traditional Arabic" w:hint="cs"/>
          <w:rtl/>
        </w:rPr>
        <w:t>؛ وإفادة</w:t>
      </w:r>
      <w:r>
        <w:rPr>
          <w:rFonts w:ascii="Traditional Arabic" w:hAnsi="Traditional Arabic" w:hint="cs"/>
          <w:rtl/>
        </w:rPr>
        <w:t xml:space="preserve"> مفصلة إضافية يعرض فيها صاحب الشكوى م</w:t>
      </w:r>
      <w:r w:rsidRPr="00C520EE">
        <w:rPr>
          <w:rFonts w:ascii="Traditional Arabic" w:hAnsi="Traditional Arabic" w:hint="cs"/>
          <w:rtl/>
        </w:rPr>
        <w:t>ا تعرّض</w:t>
      </w:r>
      <w:r>
        <w:rPr>
          <w:rFonts w:ascii="Traditional Arabic" w:hAnsi="Traditional Arabic" w:hint="cs"/>
          <w:rtl/>
        </w:rPr>
        <w:t xml:space="preserve"> له من اضطهاد وتعذيب في الصين، ويشرح فيها أسباب </w:t>
      </w:r>
      <w:r w:rsidRPr="00215A3A">
        <w:rPr>
          <w:rFonts w:ascii="Traditional Arabic" w:hAnsi="Traditional Arabic" w:hint="cs"/>
          <w:rtl/>
        </w:rPr>
        <w:t>تأخره</w:t>
      </w:r>
      <w:r>
        <w:rPr>
          <w:rFonts w:ascii="Traditional Arabic" w:hAnsi="Traditional Arabic" w:hint="cs"/>
          <w:rtl/>
        </w:rPr>
        <w:t xml:space="preserve"> في الهروب. </w:t>
      </w:r>
    </w:p>
    <w:p w:rsidR="00021691" w:rsidRPr="002414F6" w:rsidRDefault="00021691" w:rsidP="00EF7160">
      <w:pPr>
        <w:pStyle w:val="SingleTxtGA"/>
        <w:spacing w:line="370" w:lineRule="exact"/>
        <w:rPr>
          <w:rFonts w:ascii="Traditional Arabic" w:hAnsi="Traditional Arabic" w:hint="cs"/>
          <w:rtl/>
          <w:lang/>
        </w:rPr>
      </w:pPr>
      <w:r w:rsidRPr="002414F6">
        <w:rPr>
          <w:rFonts w:ascii="Traditional Arabic" w:hAnsi="Traditional Arabic"/>
          <w:rtl/>
          <w:lang w:val="en-CA"/>
        </w:rPr>
        <w:t>5-3</w:t>
      </w:r>
      <w:r w:rsidRPr="002414F6">
        <w:rPr>
          <w:rFonts w:ascii="Traditional Arabic" w:hAnsi="Traditional Arabic"/>
          <w:rtl/>
          <w:lang w:val="en-CA"/>
        </w:rPr>
        <w:tab/>
      </w:r>
      <w:r w:rsidRPr="002414F6">
        <w:rPr>
          <w:rFonts w:ascii="Traditional Arabic" w:hAnsi="Traditional Arabic" w:hint="cs"/>
          <w:rtl/>
          <w:lang w:val="en-CA"/>
        </w:rPr>
        <w:t>ويفيد صاحب الشكوى أن عمليات اضطهاد وملاحقة تابعي الفالون غونغ بأمر من الحكومة ما زالت تُمارس في الصين بصورة متواصلة ومستدامة، والهدف منها هو القضاء تماما</w:t>
      </w:r>
      <w:r w:rsidRPr="002414F6">
        <w:rPr>
          <w:rFonts w:ascii="Traditional Arabic" w:hAnsi="Traditional Arabic" w:hint="cs"/>
          <w:rtl/>
        </w:rPr>
        <w:t>ً</w:t>
      </w:r>
      <w:r w:rsidRPr="002414F6">
        <w:rPr>
          <w:rFonts w:ascii="Traditional Arabic" w:hAnsi="Traditional Arabic" w:hint="cs"/>
          <w:rtl/>
          <w:lang w:val="en-CA"/>
        </w:rPr>
        <w:t xml:space="preserve"> على هذه الممارسة. </w:t>
      </w:r>
      <w:r w:rsidRPr="002414F6">
        <w:rPr>
          <w:rFonts w:ascii="Traditional Arabic" w:hAnsi="Traditional Arabic" w:hint="cs"/>
          <w:rtl/>
        </w:rPr>
        <w:t xml:space="preserve">ويشير </w:t>
      </w:r>
      <w:r w:rsidRPr="002414F6">
        <w:rPr>
          <w:rFonts w:ascii="Traditional Arabic" w:hAnsi="Traditional Arabic" w:hint="cs"/>
          <w:rtl/>
          <w:lang/>
        </w:rPr>
        <w:t>إلى "التقرير المتعلق بالحرية الدينية في العالم" الصادر في أيلول/</w:t>
      </w:r>
      <w:r w:rsidR="002414F6" w:rsidRPr="002414F6">
        <w:rPr>
          <w:rFonts w:ascii="Traditional Arabic" w:hAnsi="Traditional Arabic" w:hint="cs"/>
          <w:rtl/>
          <w:lang/>
        </w:rPr>
        <w:t xml:space="preserve"> </w:t>
      </w:r>
      <w:r w:rsidRPr="002414F6">
        <w:rPr>
          <w:rFonts w:ascii="Traditional Arabic" w:hAnsi="Traditional Arabic" w:hint="cs"/>
          <w:rtl/>
          <w:lang/>
        </w:rPr>
        <w:t>سبتمبر 2011 عن وزارة الخارجية بالولايات المتحدة، والذي يذكر أن عمليات احتجاز ممارسي الفالون غونغ ما زالت جارية ويلاحظ أن حوال</w:t>
      </w:r>
      <w:r w:rsidR="00EF7160">
        <w:rPr>
          <w:rFonts w:ascii="Traditional Arabic" w:hAnsi="Traditional Arabic" w:hint="cs"/>
          <w:rtl/>
          <w:lang/>
        </w:rPr>
        <w:t>ي</w:t>
      </w:r>
      <w:r w:rsidRPr="002414F6">
        <w:rPr>
          <w:rFonts w:ascii="Traditional Arabic" w:hAnsi="Traditional Arabic" w:hint="cs"/>
          <w:rtl/>
          <w:lang/>
        </w:rPr>
        <w:t xml:space="preserve"> 000 6 من ممارسي الفالون غونغ حُكم عليهم منذ عام 1999 بعقوبة السجن وأن ما يناهز 000 100 ممارس خضعوا </w:t>
      </w:r>
      <w:r w:rsidRPr="002414F6">
        <w:rPr>
          <w:rFonts w:ascii="Traditional Arabic" w:hAnsi="Traditional Arabic" w:hint="cs"/>
          <w:sz w:val="30"/>
          <w:rtl/>
          <w:lang/>
        </w:rPr>
        <w:t>ل‍</w:t>
      </w:r>
      <w:r w:rsidR="002414F6" w:rsidRPr="002414F6">
        <w:rPr>
          <w:rFonts w:ascii="Traditional Arabic" w:hAnsi="Traditional Arabic" w:hint="eastAsia"/>
          <w:rtl/>
          <w:lang/>
        </w:rPr>
        <w:t> </w:t>
      </w:r>
      <w:r w:rsidRPr="002414F6">
        <w:rPr>
          <w:rFonts w:ascii="Traditional Arabic" w:hAnsi="Traditional Arabic" w:hint="cs"/>
          <w:rtl/>
          <w:lang/>
        </w:rPr>
        <w:t>"عقوبات إدارية" تتمثل في احتجازهم في معسكرات لمدة تتراوح من سنة إلى ثلاث سنوات. ويذكر التقرير أيضاً روايات تفيد أن مجموعات الأحياء تلقت توجيهات بالإبلاغ عن أعضاء الفالون غونغ، ويشير إلى عدة حالات توقيف واختفاء طالت أفراداً من ممارسي الفالون غونغ وإلى حالة واحدة جرى فيها تعذيب أحد الممارسين المحكوم عليه بالاحتجاز في</w:t>
      </w:r>
      <w:r w:rsidR="00E55B21">
        <w:rPr>
          <w:rFonts w:ascii="Traditional Arabic" w:hAnsi="Traditional Arabic" w:hint="eastAsia"/>
          <w:rtl/>
          <w:lang/>
        </w:rPr>
        <w:t> </w:t>
      </w:r>
      <w:r w:rsidRPr="002414F6">
        <w:rPr>
          <w:rFonts w:ascii="Traditional Arabic" w:hAnsi="Traditional Arabic" w:hint="cs"/>
          <w:rtl/>
          <w:lang/>
        </w:rPr>
        <w:t>معسكر. ويفيد صاحب الشكوى أن السلطات الصينية تملك سجلا</w:t>
      </w:r>
      <w:r w:rsidRPr="002414F6">
        <w:rPr>
          <w:rFonts w:ascii="Traditional Arabic" w:hAnsi="Traditional Arabic" w:hint="cs"/>
          <w:rtl/>
        </w:rPr>
        <w:t>ً</w:t>
      </w:r>
      <w:r w:rsidRPr="002414F6">
        <w:rPr>
          <w:rFonts w:ascii="Traditional Arabic" w:hAnsi="Traditional Arabic" w:hint="cs"/>
          <w:rtl/>
          <w:lang/>
        </w:rPr>
        <w:t xml:space="preserve"> متعلقا</w:t>
      </w:r>
      <w:r w:rsidRPr="002414F6">
        <w:rPr>
          <w:rFonts w:ascii="Traditional Arabic" w:hAnsi="Traditional Arabic" w:hint="cs"/>
          <w:rtl/>
        </w:rPr>
        <w:t>ً</w:t>
      </w:r>
      <w:r w:rsidRPr="002414F6">
        <w:rPr>
          <w:rFonts w:ascii="Traditional Arabic" w:hAnsi="Traditional Arabic" w:hint="cs"/>
          <w:rtl/>
          <w:lang/>
        </w:rPr>
        <w:t xml:space="preserve"> بانخراطه في</w:t>
      </w:r>
      <w:r w:rsidR="00E55B21">
        <w:rPr>
          <w:rFonts w:ascii="Traditional Arabic" w:hAnsi="Traditional Arabic" w:hint="eastAsia"/>
          <w:rtl/>
          <w:lang/>
        </w:rPr>
        <w:t> </w:t>
      </w:r>
      <w:r w:rsidRPr="002414F6">
        <w:rPr>
          <w:rFonts w:ascii="Traditional Arabic" w:hAnsi="Traditional Arabic" w:hint="cs"/>
          <w:rtl/>
          <w:lang/>
        </w:rPr>
        <w:t>الفالون غونغ وهي تدرك أنه يمكث خارج البلاد منذ بعض الوقت. ويعتقد أنه سيتمّ استجوابه فور وصوله في حال جرت إعادته، مما قد يقود إلى إلقاء القبض عليه واحتجازه وإيداعه معسكرا</w:t>
      </w:r>
      <w:r w:rsidRPr="002414F6">
        <w:rPr>
          <w:rFonts w:ascii="Traditional Arabic" w:hAnsi="Traditional Arabic" w:hint="cs"/>
          <w:rtl/>
        </w:rPr>
        <w:t>ً</w:t>
      </w:r>
      <w:r w:rsidRPr="002414F6">
        <w:rPr>
          <w:rFonts w:ascii="Traditional Arabic" w:hAnsi="Traditional Arabic" w:hint="cs"/>
          <w:rtl/>
          <w:lang/>
        </w:rPr>
        <w:t xml:space="preserve"> للعمل القسري وتعريضه لمزيد من التعذيب. ويؤكد صاحب الشكوى أن المعلومات الأساسية المتعلقة بالبلد، إضافة إلى سجله الشخصي المتعلق بممارسته الفالون غونغ وبتوقيفه وتعذيبه في الماضي، تعطي كلها أسبابا</w:t>
      </w:r>
      <w:r w:rsidRPr="002414F6">
        <w:rPr>
          <w:rFonts w:ascii="Traditional Arabic" w:hAnsi="Traditional Arabic" w:hint="cs"/>
          <w:rtl/>
        </w:rPr>
        <w:t>ً</w:t>
      </w:r>
      <w:r w:rsidRPr="002414F6">
        <w:rPr>
          <w:rFonts w:ascii="Traditional Arabic" w:hAnsi="Traditional Arabic" w:hint="cs"/>
          <w:rtl/>
          <w:lang/>
        </w:rPr>
        <w:t xml:space="preserve"> وجيهة للاعتقاد بأنه سيواجه شخصياً خطراً متوقعاً وحقيقياً بالتعذيب إن أعيد إلى الصين.</w:t>
      </w:r>
    </w:p>
    <w:p w:rsidR="00021691" w:rsidRDefault="00021691" w:rsidP="00E55B21">
      <w:pPr>
        <w:pStyle w:val="SingleTxtGA"/>
        <w:spacing w:line="370" w:lineRule="exact"/>
        <w:rPr>
          <w:rFonts w:ascii="Traditional Arabic" w:hAnsi="Traditional Arabic" w:hint="cs"/>
          <w:spacing w:val="-2"/>
          <w:rtl/>
        </w:rPr>
      </w:pPr>
      <w:r w:rsidRPr="00CD4A08">
        <w:rPr>
          <w:rFonts w:ascii="Traditional Arabic" w:hAnsi="Traditional Arabic"/>
          <w:rtl/>
          <w:lang w:val="en-CA"/>
        </w:rPr>
        <w:t>5</w:t>
      </w:r>
      <w:r w:rsidRPr="00CD4A08">
        <w:rPr>
          <w:rFonts w:ascii="Traditional Arabic" w:hAnsi="Traditional Arabic"/>
          <w:spacing w:val="-2"/>
          <w:rtl/>
          <w:lang w:val="en-CA"/>
        </w:rPr>
        <w:t>-4</w:t>
      </w:r>
      <w:r w:rsidRPr="00CD4A08">
        <w:rPr>
          <w:rFonts w:ascii="Traditional Arabic" w:hAnsi="Traditional Arabic"/>
          <w:spacing w:val="-2"/>
          <w:rtl/>
          <w:lang w:val="en-CA"/>
        </w:rPr>
        <w:tab/>
      </w:r>
      <w:r w:rsidRPr="00CD4A08">
        <w:rPr>
          <w:rFonts w:ascii="Traditional Arabic" w:hAnsi="Traditional Arabic"/>
          <w:spacing w:val="-2"/>
          <w:rtl/>
        </w:rPr>
        <w:t>و</w:t>
      </w:r>
      <w:r>
        <w:rPr>
          <w:rFonts w:ascii="Traditional Arabic" w:hAnsi="Traditional Arabic" w:hint="cs"/>
          <w:spacing w:val="-2"/>
          <w:rtl/>
        </w:rPr>
        <w:t>يفيد صاحب الشكوى بأن طلبات الحماية التي قدمها لم تُبحث بالشكل المناسب في إطار الإجراءات المحلية المتاحة في أستراليا، ويشير بوجه خاص إلى أن طلباته لم تخضع لمراجعة متعمقة لأسسها الموضوعية. ففي مرحلة تقديم طلب الحماية، لم يُمنح فرصة إجراء مقابلة كانت في رأيه لتسمح له بتقديم شهادة مقنعة تدعم ادعاءاته. ويؤكد صاحب الشكوى أن موظف الهجرة لم يقم بإعداد طلب تأشيرة الحماية على النحو المناسب، ولم يقدّم نفسه كموظف هجرة معتمد عند ملء طلبات تأشيرة الحماية والطلبات المقدّمة إلى محكمة مراجعة الأحكام الخاصة باللاجئين، وزوّد السلطات بمعلومات خاطئة عن عنوان صاحب الشكوى.</w:t>
      </w:r>
    </w:p>
    <w:p w:rsidR="00021691" w:rsidRPr="002414F6" w:rsidRDefault="00021691" w:rsidP="00E55B21">
      <w:pPr>
        <w:pStyle w:val="SingleTxtGA"/>
        <w:spacing w:line="370" w:lineRule="exact"/>
        <w:rPr>
          <w:rFonts w:ascii="Traditional Arabic" w:hAnsi="Traditional Arabic" w:hint="cs"/>
          <w:spacing w:val="-4"/>
          <w:rtl/>
        </w:rPr>
      </w:pPr>
      <w:r w:rsidRPr="00CD4A08">
        <w:rPr>
          <w:rFonts w:ascii="Traditional Arabic" w:hAnsi="Traditional Arabic"/>
          <w:rtl/>
          <w:lang w:val="en-CA"/>
        </w:rPr>
        <w:t>5</w:t>
      </w:r>
      <w:r w:rsidRPr="00CD4A08">
        <w:rPr>
          <w:rFonts w:ascii="Traditional Arabic" w:hAnsi="Traditional Arabic"/>
          <w:spacing w:val="-2"/>
          <w:rtl/>
          <w:lang w:val="en-CA"/>
        </w:rPr>
        <w:t>-</w:t>
      </w:r>
      <w:r>
        <w:rPr>
          <w:rFonts w:ascii="Traditional Arabic" w:hAnsi="Traditional Arabic" w:hint="cs"/>
          <w:spacing w:val="-2"/>
          <w:rtl/>
          <w:lang w:val="en-CA"/>
        </w:rPr>
        <w:t>5</w:t>
      </w:r>
      <w:r w:rsidRPr="00CD4A08">
        <w:rPr>
          <w:rFonts w:ascii="Traditional Arabic" w:hAnsi="Traditional Arabic"/>
          <w:spacing w:val="-2"/>
          <w:rtl/>
          <w:lang w:val="en-CA"/>
        </w:rPr>
        <w:tab/>
      </w:r>
      <w:r>
        <w:rPr>
          <w:rFonts w:ascii="Traditional Arabic" w:hAnsi="Traditional Arabic" w:hint="cs"/>
          <w:spacing w:val="-2"/>
          <w:rtl/>
        </w:rPr>
        <w:t>ويدفع صاحب الشكوى أيضا</w:t>
      </w:r>
      <w:r>
        <w:rPr>
          <w:rFonts w:ascii="Traditional Arabic" w:hAnsi="Traditional Arabic" w:hint="cs"/>
          <w:rtl/>
        </w:rPr>
        <w:t>ً</w:t>
      </w:r>
      <w:r>
        <w:rPr>
          <w:rFonts w:ascii="Traditional Arabic" w:hAnsi="Traditional Arabic" w:hint="cs"/>
          <w:spacing w:val="-2"/>
          <w:rtl/>
        </w:rPr>
        <w:t xml:space="preserve"> بأن محكمة الصلح الاتحادية وغيرها من المحاكم الاتحادية غير مختصة بمراجعة حيثيات هذه القضية. فيقصر</w:t>
      </w:r>
      <w:r w:rsidRPr="004D5EDC">
        <w:rPr>
          <w:rFonts w:ascii="Traditional Arabic" w:hAnsi="Traditional Arabic" w:hint="cs"/>
          <w:spacing w:val="-2"/>
          <w:rtl/>
        </w:rPr>
        <w:t xml:space="preserve"> الشرط المانع المشار إليه في القسم 1</w:t>
      </w:r>
      <w:r>
        <w:rPr>
          <w:rFonts w:ascii="Traditional Arabic" w:hAnsi="Traditional Arabic" w:hint="cs"/>
          <w:spacing w:val="-2"/>
          <w:rtl/>
        </w:rPr>
        <w:t xml:space="preserve"> من الجزء</w:t>
      </w:r>
      <w:r w:rsidR="002414F6">
        <w:rPr>
          <w:rFonts w:ascii="Traditional Arabic" w:hAnsi="Traditional Arabic" w:hint="eastAsia"/>
          <w:spacing w:val="-2"/>
          <w:rtl/>
        </w:rPr>
        <w:t> </w:t>
      </w:r>
      <w:r>
        <w:rPr>
          <w:rFonts w:ascii="Traditional Arabic" w:hAnsi="Traditional Arabic" w:hint="cs"/>
          <w:spacing w:val="-2"/>
          <w:rtl/>
        </w:rPr>
        <w:t xml:space="preserve">8 من قانون الهجرة لعام 1958 اختصاص المحاكم الاتحادية في اتخاذ القرارات المتصلة </w:t>
      </w:r>
      <w:r w:rsidRPr="002414F6">
        <w:rPr>
          <w:rFonts w:ascii="Traditional Arabic" w:hAnsi="Traditional Arabic" w:hint="cs"/>
          <w:spacing w:val="-4"/>
          <w:rtl/>
        </w:rPr>
        <w:t>بالأخطاء القضائية، ولا يخوّلها إعادة النظر فيما إذا كان طالب لجوء يستوفي شروط الحصول على صفة اللاجئ بموجب الاتفاقية الخاصة بوضع اللاجئين لعام 1951 أم لا. فإن عُثر على خطأ قضائي، تحال المسألة إلى محكمة أخرى من محاكم مراجعة الأحكام الخاصة باللاجئين. وإن ثبت "تزوير موظف الهجرة" في طلب الحماية المقدّم من أحد الأشخاص، قد يُعتبر ذلك بمثابة خطأ قضائي، إلا أن هذا النوع من الحالات نادر. وإن ثبت وقوع "انتهاك أقل خطورة</w:t>
      </w:r>
      <w:r w:rsidR="002414F6" w:rsidRPr="002414F6">
        <w:rPr>
          <w:rFonts w:ascii="Traditional Arabic" w:hAnsi="Traditional Arabic" w:hint="eastAsia"/>
          <w:spacing w:val="-4"/>
          <w:rtl/>
        </w:rPr>
        <w:t> </w:t>
      </w:r>
      <w:r w:rsidRPr="002414F6">
        <w:rPr>
          <w:rFonts w:ascii="Traditional Arabic" w:hAnsi="Traditional Arabic" w:hint="cs"/>
          <w:spacing w:val="-4"/>
          <w:rtl/>
        </w:rPr>
        <w:t>متمثل في إهمال أو عدم أمانة موظف الهجرة"، فلا يُعتبر ذلك خطأ</w:t>
      </w:r>
      <w:r w:rsidR="002414F6" w:rsidRPr="002414F6">
        <w:rPr>
          <w:rFonts w:ascii="Traditional Arabic" w:hAnsi="Traditional Arabic" w:hint="cs"/>
          <w:spacing w:val="-4"/>
          <w:rtl/>
        </w:rPr>
        <w:t xml:space="preserve">ً قضائياً ولا يمكن أن </w:t>
      </w:r>
      <w:r w:rsidRPr="002414F6">
        <w:rPr>
          <w:rFonts w:ascii="Traditional Arabic" w:hAnsi="Traditional Arabic" w:hint="cs"/>
          <w:spacing w:val="-4"/>
          <w:rtl/>
        </w:rPr>
        <w:t>تحكم المحكمة بإحالة القضية مجدداً إلى محكمة مراجعة الأحكا</w:t>
      </w:r>
      <w:r w:rsidR="002414F6" w:rsidRPr="002414F6">
        <w:rPr>
          <w:rFonts w:ascii="Traditional Arabic" w:hAnsi="Traditional Arabic" w:hint="cs"/>
          <w:spacing w:val="-4"/>
          <w:rtl/>
        </w:rPr>
        <w:t xml:space="preserve">م الخاصة باللاجئين للنظر فيها </w:t>
      </w:r>
      <w:r w:rsidRPr="002414F6">
        <w:rPr>
          <w:rFonts w:ascii="Traditional Arabic" w:hAnsi="Traditional Arabic" w:hint="cs"/>
          <w:spacing w:val="-4"/>
          <w:rtl/>
        </w:rPr>
        <w:t>من</w:t>
      </w:r>
      <w:r w:rsidR="002414F6" w:rsidRPr="002414F6">
        <w:rPr>
          <w:rFonts w:ascii="Traditional Arabic" w:hAnsi="Traditional Arabic" w:hint="eastAsia"/>
          <w:spacing w:val="-4"/>
          <w:rtl/>
        </w:rPr>
        <w:t> </w:t>
      </w:r>
      <w:r w:rsidRPr="002414F6">
        <w:rPr>
          <w:rFonts w:ascii="Traditional Arabic" w:hAnsi="Traditional Arabic" w:hint="cs"/>
          <w:spacing w:val="-4"/>
          <w:rtl/>
        </w:rPr>
        <w:t>جديد.</w:t>
      </w:r>
    </w:p>
    <w:p w:rsidR="00021691" w:rsidRPr="00E55B21" w:rsidRDefault="00021691" w:rsidP="00E55B21">
      <w:pPr>
        <w:pStyle w:val="SingleTxtGA"/>
        <w:spacing w:line="370" w:lineRule="exact"/>
        <w:rPr>
          <w:rFonts w:ascii="Traditional Arabic" w:hAnsi="Traditional Arabic" w:hint="cs"/>
          <w:spacing w:val="-2"/>
          <w:szCs w:val="20"/>
          <w:rtl/>
        </w:rPr>
      </w:pPr>
      <w:r w:rsidRPr="00E55B21">
        <w:rPr>
          <w:rFonts w:ascii="Traditional Arabic" w:hAnsi="Traditional Arabic"/>
          <w:spacing w:val="-2"/>
          <w:rtl/>
          <w:lang w:val="en-CA"/>
        </w:rPr>
        <w:t>5-</w:t>
      </w:r>
      <w:r w:rsidRPr="00E55B21">
        <w:rPr>
          <w:rFonts w:ascii="Traditional Arabic" w:hAnsi="Traditional Arabic" w:hint="cs"/>
          <w:spacing w:val="-2"/>
          <w:rtl/>
          <w:lang w:val="en-CA"/>
        </w:rPr>
        <w:t>6</w:t>
      </w:r>
      <w:r w:rsidRPr="00E55B21">
        <w:rPr>
          <w:rFonts w:ascii="Traditional Arabic" w:hAnsi="Traditional Arabic"/>
          <w:spacing w:val="-2"/>
          <w:rtl/>
          <w:lang w:val="en-CA"/>
        </w:rPr>
        <w:tab/>
      </w:r>
      <w:r w:rsidRPr="00E55B21">
        <w:rPr>
          <w:rFonts w:ascii="Traditional Arabic" w:hAnsi="Traditional Arabic" w:hint="cs"/>
          <w:spacing w:val="-2"/>
          <w:rtl/>
        </w:rPr>
        <w:t>ويؤكد صاحب الشكوى أنه جرى في هذه القضية التغاضي عن الدليل المقدم لإثبات سوء سلوك موظف الهجرة</w:t>
      </w:r>
      <w:r w:rsidRPr="00E55B21">
        <w:rPr>
          <w:rFonts w:ascii="Traditional Arabic" w:hAnsi="Traditional Arabic"/>
          <w:spacing w:val="-2"/>
          <w:vertAlign w:val="superscript"/>
          <w:rtl/>
        </w:rPr>
        <w:t>(</w:t>
      </w:r>
      <w:r w:rsidRPr="00E55B21">
        <w:rPr>
          <w:rStyle w:val="FootnoteReference"/>
          <w:spacing w:val="-2"/>
          <w:rtl/>
        </w:rPr>
        <w:footnoteReference w:id="98"/>
      </w:r>
      <w:r w:rsidRPr="00E55B21">
        <w:rPr>
          <w:rFonts w:ascii="Traditional Arabic" w:hAnsi="Traditional Arabic"/>
          <w:spacing w:val="-2"/>
          <w:vertAlign w:val="superscript"/>
          <w:rtl/>
        </w:rPr>
        <w:t>)</w:t>
      </w:r>
      <w:r w:rsidRPr="00E55B21">
        <w:rPr>
          <w:rFonts w:ascii="Traditional Arabic" w:hAnsi="Traditional Arabic"/>
          <w:spacing w:val="-2"/>
          <w:rtl/>
        </w:rPr>
        <w:t xml:space="preserve"> </w:t>
      </w:r>
      <w:r w:rsidRPr="00E55B21">
        <w:rPr>
          <w:rFonts w:ascii="Traditional Arabic" w:hAnsi="Traditional Arabic" w:hint="cs"/>
          <w:spacing w:val="-2"/>
          <w:rtl/>
        </w:rPr>
        <w:t xml:space="preserve">وأن محكمة الصلح الاتحادية لا تشير إلى وجود، أو عدم وجود، تزوير في وثائق الهجرة وتكتفي بالقول إنه "يحق للمحكمة ممارسة سلطتها التقديرية على النحو الذي فعلته، بموجب المادة 426ألف من قانون الهجرة، </w:t>
      </w:r>
      <w:r w:rsidRPr="00E55B21">
        <w:rPr>
          <w:rFonts w:ascii="Traditional Arabic" w:hAnsi="Traditional Arabic" w:hint="cs"/>
          <w:spacing w:val="-2"/>
          <w:sz w:val="30"/>
          <w:rtl/>
        </w:rPr>
        <w:t>عند قيامها باتخاذ قرار بشأن المراجعة دون اتخاذ أي تدبير إضافي لتمكين مقدم الشكوى من المثول أمامها"</w:t>
      </w:r>
      <w:r w:rsidRPr="00E55B21">
        <w:rPr>
          <w:rFonts w:ascii="Traditional Arabic" w:hAnsi="Traditional Arabic"/>
          <w:spacing w:val="-2"/>
          <w:sz w:val="30"/>
          <w:vertAlign w:val="superscript"/>
          <w:rtl/>
        </w:rPr>
        <w:t>(</w:t>
      </w:r>
      <w:r w:rsidRPr="00E55B21">
        <w:rPr>
          <w:rStyle w:val="FootnoteReference"/>
          <w:spacing w:val="-2"/>
          <w:rtl/>
        </w:rPr>
        <w:footnoteReference w:id="99"/>
      </w:r>
      <w:r w:rsidRPr="00E55B21">
        <w:rPr>
          <w:rFonts w:ascii="Traditional Arabic" w:hAnsi="Traditional Arabic"/>
          <w:spacing w:val="-2"/>
          <w:sz w:val="30"/>
          <w:vertAlign w:val="superscript"/>
          <w:rtl/>
        </w:rPr>
        <w:t>)</w:t>
      </w:r>
      <w:r w:rsidRPr="00E55B21">
        <w:rPr>
          <w:rFonts w:ascii="Traditional Arabic" w:hAnsi="Traditional Arabic" w:hint="cs"/>
          <w:spacing w:val="-2"/>
          <w:sz w:val="30"/>
          <w:rtl/>
        </w:rPr>
        <w:t>. وعند تقديم طلبات التدخل الوزاري، التمس صاحب الشكوى بشكل أساسي موافقة الوزير على تمكينه من إعادة تقديم طلب تأشيرة الحماية، ولكن رُفض مرارا</w:t>
      </w:r>
      <w:r w:rsidRPr="00E55B21">
        <w:rPr>
          <w:rFonts w:ascii="Traditional Arabic" w:hAnsi="Traditional Arabic" w:hint="cs"/>
          <w:spacing w:val="-2"/>
          <w:rtl/>
        </w:rPr>
        <w:t>ً</w:t>
      </w:r>
      <w:r w:rsidRPr="00E55B21">
        <w:rPr>
          <w:rFonts w:ascii="Traditional Arabic" w:hAnsi="Traditional Arabic" w:hint="cs"/>
          <w:spacing w:val="-2"/>
          <w:sz w:val="30"/>
          <w:rtl/>
        </w:rPr>
        <w:t xml:space="preserve"> منحُه هذه الفرصة. ويفيد صاحب الشكوى بأن محكمة الصلح الاتحادية والمحكمة الاتحادية الأسترالية أقرتا بأنه لم يكن على علم بالدعوة الموجّهة إليه للمثول أمام محكمة مراجعة الأحكام الخاصة باللاجئين من أجل إجراء مقابلة معه</w:t>
      </w:r>
      <w:r w:rsidRPr="00E55B21">
        <w:rPr>
          <w:rFonts w:ascii="Traditional Arabic" w:hAnsi="Traditional Arabic"/>
          <w:spacing w:val="-2"/>
          <w:sz w:val="30"/>
          <w:vertAlign w:val="superscript"/>
          <w:rtl/>
        </w:rPr>
        <w:t>(</w:t>
      </w:r>
      <w:r w:rsidRPr="00E55B21">
        <w:rPr>
          <w:rStyle w:val="FootnoteReference"/>
          <w:spacing w:val="-2"/>
          <w:rtl/>
        </w:rPr>
        <w:footnoteReference w:id="100"/>
      </w:r>
      <w:r w:rsidRPr="00E55B21">
        <w:rPr>
          <w:rFonts w:ascii="Traditional Arabic" w:hAnsi="Traditional Arabic"/>
          <w:spacing w:val="-2"/>
          <w:sz w:val="30"/>
          <w:vertAlign w:val="superscript"/>
          <w:rtl/>
        </w:rPr>
        <w:t>)</w:t>
      </w:r>
      <w:r w:rsidRPr="00E55B21">
        <w:rPr>
          <w:rFonts w:ascii="Traditional Arabic" w:hAnsi="Traditional Arabic" w:hint="cs"/>
          <w:spacing w:val="-2"/>
          <w:sz w:val="30"/>
          <w:rtl/>
        </w:rPr>
        <w:t>، ورغم ذلك لم تُتح له فرصة لإجراء مقابلة. وبدل ذلك، رفضت وحدة التدخل الوزاري طلباته بحجة "وجود تباينات" ورفضت تعسفا</w:t>
      </w:r>
      <w:r w:rsidRPr="00E55B21">
        <w:rPr>
          <w:rFonts w:ascii="Traditional Arabic" w:hAnsi="Traditional Arabic" w:hint="cs"/>
          <w:spacing w:val="-2"/>
          <w:rtl/>
        </w:rPr>
        <w:t>ً</w:t>
      </w:r>
      <w:r w:rsidRPr="00E55B21">
        <w:rPr>
          <w:rFonts w:ascii="Traditional Arabic" w:hAnsi="Traditional Arabic" w:hint="cs"/>
          <w:spacing w:val="-2"/>
          <w:sz w:val="30"/>
          <w:rtl/>
        </w:rPr>
        <w:t xml:space="preserve"> الأدلة الجديدة التي عرضها عليها</w:t>
      </w:r>
      <w:r w:rsidRPr="00E55B21">
        <w:rPr>
          <w:rFonts w:ascii="Traditional Arabic" w:hAnsi="Traditional Arabic"/>
          <w:spacing w:val="-2"/>
          <w:sz w:val="30"/>
          <w:vertAlign w:val="superscript"/>
          <w:rtl/>
        </w:rPr>
        <w:t>(</w:t>
      </w:r>
      <w:r w:rsidRPr="00E55B21">
        <w:rPr>
          <w:rStyle w:val="FootnoteReference"/>
          <w:spacing w:val="-2"/>
          <w:rtl/>
        </w:rPr>
        <w:footnoteReference w:id="101"/>
      </w:r>
      <w:r w:rsidRPr="00E55B21">
        <w:rPr>
          <w:rFonts w:ascii="Traditional Arabic" w:hAnsi="Traditional Arabic"/>
          <w:spacing w:val="-2"/>
          <w:sz w:val="30"/>
          <w:vertAlign w:val="superscript"/>
          <w:rtl/>
        </w:rPr>
        <w:t>)</w:t>
      </w:r>
      <w:r w:rsidRPr="00E55B21">
        <w:rPr>
          <w:rFonts w:ascii="Traditional Arabic" w:hAnsi="Traditional Arabic" w:hint="cs"/>
          <w:spacing w:val="-2"/>
          <w:sz w:val="30"/>
          <w:rtl/>
        </w:rPr>
        <w:t>.</w:t>
      </w:r>
    </w:p>
    <w:p w:rsidR="00021691" w:rsidRPr="002D562B" w:rsidRDefault="00021691" w:rsidP="002414F6">
      <w:pPr>
        <w:pStyle w:val="H23GA"/>
        <w:rPr>
          <w:rFonts w:hint="cs"/>
          <w:szCs w:val="20"/>
          <w:highlight w:val="green"/>
          <w:rtl/>
        </w:rPr>
      </w:pPr>
      <w:r>
        <w:rPr>
          <w:rFonts w:hint="cs"/>
          <w:rtl/>
        </w:rPr>
        <w:tab/>
      </w:r>
      <w:r>
        <w:rPr>
          <w:rFonts w:hint="cs"/>
          <w:rtl/>
        </w:rPr>
        <w:tab/>
      </w:r>
      <w:r w:rsidRPr="002D562B">
        <w:rPr>
          <w:rFonts w:hint="cs"/>
          <w:rtl/>
        </w:rPr>
        <w:t>المسائل والإجراءات المعروضة على اللجنة</w:t>
      </w:r>
    </w:p>
    <w:p w:rsidR="00021691" w:rsidRPr="00883822" w:rsidRDefault="00021691" w:rsidP="00021691">
      <w:pPr>
        <w:pStyle w:val="H4GA"/>
        <w:rPr>
          <w:rFonts w:hint="cs"/>
          <w:highlight w:val="green"/>
          <w:rtl/>
          <w:lang w:val="en-CA"/>
        </w:rPr>
      </w:pPr>
      <w:r w:rsidRPr="00AE6EC1">
        <w:rPr>
          <w:rFonts w:hint="cs"/>
          <w:rtl/>
          <w:lang w:val="en-CA"/>
        </w:rPr>
        <w:tab/>
      </w:r>
      <w:r w:rsidRPr="002D562B">
        <w:rPr>
          <w:rFonts w:hint="cs"/>
          <w:rtl/>
          <w:lang w:val="en-CA"/>
        </w:rPr>
        <w:tab/>
        <w:t>النظر في المقبولية</w:t>
      </w:r>
    </w:p>
    <w:p w:rsidR="00021691" w:rsidRPr="008C2752" w:rsidRDefault="00021691" w:rsidP="002414F6">
      <w:pPr>
        <w:pStyle w:val="SingleTxtGA"/>
        <w:rPr>
          <w:rFonts w:hint="cs"/>
          <w:rtl/>
          <w:lang w:val="fr-CH"/>
        </w:rPr>
      </w:pPr>
      <w:r w:rsidRPr="009B21F1">
        <w:rPr>
          <w:rFonts w:hint="cs"/>
          <w:rtl/>
        </w:rPr>
        <w:t>6-1</w:t>
      </w:r>
      <w:r w:rsidRPr="009B21F1">
        <w:rPr>
          <w:rFonts w:hint="cs"/>
          <w:rtl/>
        </w:rPr>
        <w:tab/>
        <w:t xml:space="preserve">قبل </w:t>
      </w:r>
      <w:r w:rsidRPr="009B21F1">
        <w:rPr>
          <w:rtl/>
          <w:lang w:val="fr-CH"/>
        </w:rPr>
        <w:t xml:space="preserve">النظر في ادعاء </w:t>
      </w:r>
      <w:r w:rsidRPr="009B21F1">
        <w:rPr>
          <w:rFonts w:hint="cs"/>
          <w:rtl/>
          <w:lang w:val="fr-CH"/>
        </w:rPr>
        <w:t>ي</w:t>
      </w:r>
      <w:r w:rsidRPr="009B21F1">
        <w:rPr>
          <w:rtl/>
          <w:lang w:val="fr-CH"/>
        </w:rPr>
        <w:t xml:space="preserve">رد في </w:t>
      </w:r>
      <w:r>
        <w:rPr>
          <w:rFonts w:hint="cs"/>
          <w:rtl/>
          <w:lang w:val="fr-CH"/>
        </w:rPr>
        <w:t>بلاغ</w:t>
      </w:r>
      <w:r w:rsidRPr="009B21F1">
        <w:rPr>
          <w:rFonts w:hint="cs"/>
          <w:rtl/>
          <w:lang w:val="fr-CH"/>
        </w:rPr>
        <w:t xml:space="preserve"> </w:t>
      </w:r>
      <w:r w:rsidRPr="009B21F1">
        <w:rPr>
          <w:rtl/>
          <w:lang w:val="fr-CH"/>
        </w:rPr>
        <w:t>ما، ي</w:t>
      </w:r>
      <w:r w:rsidRPr="009B21F1">
        <w:rPr>
          <w:rFonts w:hint="cs"/>
          <w:rtl/>
          <w:lang w:val="fr-CH"/>
        </w:rPr>
        <w:t>تعين على</w:t>
      </w:r>
      <w:r w:rsidRPr="009B21F1">
        <w:rPr>
          <w:rtl/>
          <w:lang w:val="fr-CH"/>
        </w:rPr>
        <w:t xml:space="preserve"> لجنة مناهضة التعذيب أن </w:t>
      </w:r>
      <w:r w:rsidRPr="009B21F1">
        <w:rPr>
          <w:rFonts w:hint="cs"/>
          <w:rtl/>
          <w:lang w:val="fr-CH"/>
        </w:rPr>
        <w:t>تبت</w:t>
      </w:r>
      <w:r>
        <w:rPr>
          <w:rFonts w:hint="cs"/>
          <w:rtl/>
          <w:lang w:val="fr-CH"/>
        </w:rPr>
        <w:t xml:space="preserve"> </w:t>
      </w:r>
      <w:r w:rsidRPr="009B21F1">
        <w:rPr>
          <w:rFonts w:hint="cs"/>
          <w:rtl/>
          <w:lang w:val="fr-CH"/>
        </w:rPr>
        <w:t>في</w:t>
      </w:r>
      <w:r w:rsidRPr="009B21F1">
        <w:rPr>
          <w:rtl/>
          <w:lang w:val="fr-CH"/>
        </w:rPr>
        <w:t>ما</w:t>
      </w:r>
      <w:r w:rsidR="002414F6">
        <w:rPr>
          <w:rFonts w:hint="cs"/>
          <w:rtl/>
          <w:lang w:val="fr-CH"/>
        </w:rPr>
        <w:t> </w:t>
      </w:r>
      <w:r w:rsidRPr="009B21F1">
        <w:rPr>
          <w:rtl/>
          <w:lang w:val="fr-CH"/>
        </w:rPr>
        <w:t>إذا كان البلاغ مقبولا</w:t>
      </w:r>
      <w:r w:rsidRPr="009B21F1">
        <w:rPr>
          <w:rFonts w:hint="cs"/>
          <w:rtl/>
          <w:lang w:val="fr-CH"/>
        </w:rPr>
        <w:t>ً</w:t>
      </w:r>
      <w:r w:rsidRPr="009B21F1">
        <w:rPr>
          <w:rtl/>
          <w:lang w:val="fr-CH"/>
        </w:rPr>
        <w:t xml:space="preserve"> </w:t>
      </w:r>
      <w:r w:rsidRPr="009B21F1">
        <w:rPr>
          <w:rFonts w:hint="cs"/>
          <w:rtl/>
          <w:lang w:val="fr-CH"/>
        </w:rPr>
        <w:t xml:space="preserve">أم لا </w:t>
      </w:r>
      <w:r w:rsidRPr="009B21F1">
        <w:rPr>
          <w:rtl/>
          <w:lang w:val="fr-CH"/>
        </w:rPr>
        <w:t>بم</w:t>
      </w:r>
      <w:r w:rsidRPr="009B21F1">
        <w:rPr>
          <w:rFonts w:hint="cs"/>
          <w:rtl/>
          <w:lang w:val="fr-CH"/>
        </w:rPr>
        <w:t>وجب</w:t>
      </w:r>
      <w:r w:rsidRPr="009B21F1">
        <w:rPr>
          <w:rtl/>
          <w:lang w:val="fr-CH"/>
        </w:rPr>
        <w:t xml:space="preserve"> المادة 22 من </w:t>
      </w:r>
      <w:r w:rsidRPr="008C2752">
        <w:rPr>
          <w:rtl/>
          <w:lang w:val="fr-CH"/>
        </w:rPr>
        <w:t>الاتفاقية</w:t>
      </w:r>
      <w:r w:rsidRPr="008C2752">
        <w:rPr>
          <w:rFonts w:hint="cs"/>
          <w:rtl/>
          <w:lang w:val="fr-CH"/>
        </w:rPr>
        <w:t xml:space="preserve">. وقد </w:t>
      </w:r>
      <w:r w:rsidRPr="008C2752">
        <w:rPr>
          <w:rFonts w:hint="cs"/>
          <w:rtl/>
          <w:lang/>
        </w:rPr>
        <w:t>تأكدت اللجنة، حسب ما تقتضيه الفقرة 5(أ) من المادة 22 من الاتفاقية، من أن المسألة نفسها لم تُبحث ولا يجري بحثها في إطار أي إجراء آخر من إجراءات التحقيق الدولي أو التسوية الدولية.</w:t>
      </w:r>
    </w:p>
    <w:p w:rsidR="00021691" w:rsidRPr="0016358F" w:rsidRDefault="00021691" w:rsidP="00021691">
      <w:pPr>
        <w:pStyle w:val="SingleTxtGA"/>
        <w:rPr>
          <w:rFonts w:hint="cs"/>
          <w:rtl/>
          <w:lang w:val="fr-CH"/>
        </w:rPr>
      </w:pPr>
      <w:r w:rsidRPr="0016358F">
        <w:rPr>
          <w:rFonts w:hint="cs"/>
          <w:rtl/>
          <w:lang w:val="fr-CH"/>
        </w:rPr>
        <w:t>6-2</w:t>
      </w:r>
      <w:r w:rsidRPr="0016358F">
        <w:rPr>
          <w:rFonts w:hint="cs"/>
          <w:rtl/>
          <w:lang w:val="fr-CH"/>
        </w:rPr>
        <w:tab/>
        <w:t xml:space="preserve">وتذكّر اللجنة أنها لا تنظر، </w:t>
      </w:r>
      <w:r w:rsidRPr="0016358F">
        <w:rPr>
          <w:rFonts w:hint="cs"/>
          <w:rtl/>
          <w:lang/>
        </w:rPr>
        <w:t>وفقاً للفقرة 5(ب) من المادة 22 من الاتفاقية، في أي بلاغ مقدم من أحد الأفراد ما لم تتحقق من أن هذا الفرد قد استنفد جميع سبل الانتصاف المحلية المتاحة. و</w:t>
      </w:r>
      <w:r w:rsidRPr="0016358F">
        <w:rPr>
          <w:rFonts w:hint="cs"/>
          <w:rtl/>
          <w:lang w:val="fr-CH"/>
        </w:rPr>
        <w:t xml:space="preserve">تلاحظ اللجنة أن الدولة الطرف أقرت، في هذه القضية، بأن صاحب الشكوى قد استنفد جميع </w:t>
      </w:r>
      <w:r w:rsidRPr="0016358F">
        <w:rPr>
          <w:rFonts w:hint="cs"/>
          <w:rtl/>
          <w:lang/>
        </w:rPr>
        <w:t>سبل الانتصاف المحلية المتاحة.</w:t>
      </w:r>
    </w:p>
    <w:p w:rsidR="00021691" w:rsidRPr="00883822" w:rsidRDefault="00021691" w:rsidP="00021691">
      <w:pPr>
        <w:pStyle w:val="SingleTxtGA"/>
        <w:rPr>
          <w:rFonts w:hint="cs"/>
          <w:szCs w:val="20"/>
          <w:highlight w:val="green"/>
          <w:rtl/>
        </w:rPr>
      </w:pPr>
      <w:r w:rsidRPr="00894E3E">
        <w:rPr>
          <w:rFonts w:hint="cs"/>
          <w:rtl/>
          <w:lang w:val="fr-CH"/>
        </w:rPr>
        <w:t>6-3</w:t>
      </w:r>
      <w:r w:rsidRPr="00894E3E">
        <w:rPr>
          <w:rFonts w:hint="cs"/>
          <w:rtl/>
          <w:lang w:val="fr-CH"/>
        </w:rPr>
        <w:tab/>
      </w:r>
      <w:r w:rsidRPr="00894E3E">
        <w:rPr>
          <w:rFonts w:hint="cs"/>
          <w:sz w:val="30"/>
          <w:rtl/>
          <w:lang w:val="fr-CH"/>
        </w:rPr>
        <w:t>وتحيط اللجنة علما</w:t>
      </w:r>
      <w:r>
        <w:rPr>
          <w:rFonts w:hint="cs"/>
          <w:sz w:val="30"/>
          <w:rtl/>
          <w:lang w:val="fr-CH"/>
        </w:rPr>
        <w:t>ً</w:t>
      </w:r>
      <w:r w:rsidRPr="00894E3E">
        <w:rPr>
          <w:rFonts w:hint="cs"/>
          <w:sz w:val="30"/>
          <w:rtl/>
          <w:lang w:val="fr-CH"/>
        </w:rPr>
        <w:t xml:space="preserve"> بما ذهبت إليه الدولة الطرف من أن الشكوى ينبغي أن ت</w:t>
      </w:r>
      <w:r>
        <w:rPr>
          <w:rFonts w:hint="cs"/>
          <w:sz w:val="30"/>
          <w:rtl/>
          <w:lang w:val="fr-CH"/>
        </w:rPr>
        <w:t>ُ</w:t>
      </w:r>
      <w:r w:rsidRPr="00894E3E">
        <w:rPr>
          <w:rFonts w:hint="cs"/>
          <w:sz w:val="30"/>
          <w:rtl/>
          <w:lang w:val="fr-CH"/>
        </w:rPr>
        <w:t>عتبر غير مقبولة لأن من الواضح أنها لا تستند إلى أساس</w:t>
      </w:r>
      <w:r>
        <w:rPr>
          <w:rFonts w:hint="cs"/>
          <w:sz w:val="30"/>
          <w:rtl/>
          <w:lang/>
        </w:rPr>
        <w:t xml:space="preserve"> سليم</w:t>
      </w:r>
      <w:r w:rsidRPr="00264377">
        <w:rPr>
          <w:rFonts w:hint="cs"/>
          <w:sz w:val="30"/>
          <w:rtl/>
          <w:lang/>
        </w:rPr>
        <w:t xml:space="preserve">. </w:t>
      </w:r>
      <w:r w:rsidRPr="00264377">
        <w:rPr>
          <w:rFonts w:hint="cs"/>
          <w:sz w:val="30"/>
          <w:rtl/>
          <w:lang w:val="fr-CH"/>
        </w:rPr>
        <w:t>إلا أن اللجنة ترى أن</w:t>
      </w:r>
      <w:r>
        <w:rPr>
          <w:rFonts w:hint="cs"/>
          <w:sz w:val="30"/>
          <w:rtl/>
          <w:lang w:val="fr-CH"/>
        </w:rPr>
        <w:t xml:space="preserve"> </w:t>
      </w:r>
      <w:r w:rsidRPr="00264377">
        <w:rPr>
          <w:rFonts w:hint="cs"/>
          <w:sz w:val="30"/>
          <w:rtl/>
          <w:lang w:val="fr-CH"/>
        </w:rPr>
        <w:t xml:space="preserve">الشكوى تثير مسائل موضوعية </w:t>
      </w:r>
      <w:r>
        <w:rPr>
          <w:rFonts w:hint="cs"/>
          <w:sz w:val="30"/>
          <w:rtl/>
          <w:lang w:val="fr-CH"/>
        </w:rPr>
        <w:t xml:space="preserve">بموجب المادة 3 من الاتفاقية </w:t>
      </w:r>
      <w:r w:rsidRPr="00264377">
        <w:rPr>
          <w:rFonts w:hint="cs"/>
          <w:sz w:val="30"/>
          <w:rtl/>
          <w:lang w:val="fr-CH"/>
        </w:rPr>
        <w:t xml:space="preserve">وينبغي </w:t>
      </w:r>
      <w:r w:rsidRPr="00D94262">
        <w:rPr>
          <w:rFonts w:hint="cs"/>
          <w:sz w:val="30"/>
          <w:rtl/>
          <w:lang w:val="fr-CH"/>
        </w:rPr>
        <w:t>معالجتها من حيث الأسس الموضوعية. وبما أن اللجنة لا تجد أي موانع إضافية للمقبولية</w:t>
      </w:r>
      <w:r>
        <w:rPr>
          <w:rFonts w:hint="cs"/>
          <w:sz w:val="30"/>
          <w:rtl/>
          <w:lang w:val="fr-CH"/>
        </w:rPr>
        <w:t>، فإنها تعلن الشكوى مقبولة.</w:t>
      </w:r>
    </w:p>
    <w:p w:rsidR="00021691" w:rsidRPr="00883822" w:rsidRDefault="00021691" w:rsidP="00021691">
      <w:pPr>
        <w:pStyle w:val="H4GA"/>
        <w:rPr>
          <w:rFonts w:hint="cs"/>
          <w:highlight w:val="green"/>
          <w:rtl/>
          <w:lang w:val="en-CA"/>
        </w:rPr>
      </w:pPr>
      <w:r w:rsidRPr="006532AB">
        <w:rPr>
          <w:rFonts w:hint="cs"/>
          <w:rtl/>
          <w:lang w:val="en-CA"/>
        </w:rPr>
        <w:tab/>
      </w:r>
      <w:r w:rsidRPr="006532AB">
        <w:rPr>
          <w:rFonts w:hint="cs"/>
          <w:rtl/>
          <w:lang w:val="en-CA"/>
        </w:rPr>
        <w:tab/>
        <w:t>النظر في الأسس الموضوعية</w:t>
      </w:r>
    </w:p>
    <w:p w:rsidR="00021691" w:rsidRPr="006E2FC1" w:rsidRDefault="00021691" w:rsidP="00021691">
      <w:pPr>
        <w:pStyle w:val="SingleTxtGA"/>
        <w:rPr>
          <w:rFonts w:hint="cs"/>
          <w:rtl/>
        </w:rPr>
      </w:pPr>
      <w:r w:rsidRPr="006E2FC1">
        <w:rPr>
          <w:rFonts w:hint="cs"/>
          <w:rtl/>
        </w:rPr>
        <w:t>7-1</w:t>
      </w:r>
      <w:r w:rsidRPr="006E2FC1">
        <w:rPr>
          <w:rFonts w:hint="cs"/>
          <w:rtl/>
        </w:rPr>
        <w:tab/>
        <w:t>وفقاً للفقرة 4 من المادة 22 من الاتفاقية، نظرت اللجنة في هذا البلاغ في ضوء جميع المعلومات التي أتاحها لها الطرفان المعنيان.</w:t>
      </w:r>
    </w:p>
    <w:p w:rsidR="00021691" w:rsidRPr="00883822" w:rsidRDefault="00021691" w:rsidP="002414F6">
      <w:pPr>
        <w:pStyle w:val="SingleTxtGA"/>
        <w:rPr>
          <w:rFonts w:hint="cs"/>
          <w:highlight w:val="green"/>
          <w:rtl/>
          <w:lang/>
        </w:rPr>
      </w:pPr>
      <w:r w:rsidRPr="007D0573">
        <w:rPr>
          <w:rFonts w:hint="cs"/>
          <w:rtl/>
        </w:rPr>
        <w:t>7-2</w:t>
      </w:r>
      <w:r w:rsidRPr="007D0573">
        <w:rPr>
          <w:rFonts w:hint="cs"/>
          <w:rtl/>
        </w:rPr>
        <w:tab/>
        <w:t xml:space="preserve">والمسألة المعروضة </w:t>
      </w:r>
      <w:r>
        <w:rPr>
          <w:rFonts w:hint="cs"/>
          <w:rtl/>
        </w:rPr>
        <w:t xml:space="preserve">أمام </w:t>
      </w:r>
      <w:r w:rsidRPr="007D0573">
        <w:rPr>
          <w:rFonts w:hint="cs"/>
          <w:rtl/>
        </w:rPr>
        <w:t>اللجنة هي</w:t>
      </w:r>
      <w:r w:rsidRPr="007D0573">
        <w:rPr>
          <w:rFonts w:hint="cs"/>
          <w:rtl/>
          <w:lang/>
        </w:rPr>
        <w:t xml:space="preserve"> ما إذا كان طرد صاحب الشكوى إلى الصين سيشكل انتهاكاً لالتزام الدولة الطرف بموجب المادة 3 من الاتفاقية </w:t>
      </w:r>
      <w:r w:rsidRPr="007D0573">
        <w:rPr>
          <w:rFonts w:hint="cs"/>
          <w:rtl/>
          <w:lang w:val="fr-CH"/>
        </w:rPr>
        <w:t>بألا تطرد أي شخص</w:t>
      </w:r>
      <w:r>
        <w:rPr>
          <w:rFonts w:hint="cs"/>
          <w:rtl/>
          <w:lang w:val="fr-CH"/>
        </w:rPr>
        <w:t xml:space="preserve"> </w:t>
      </w:r>
      <w:r w:rsidRPr="007D0573">
        <w:rPr>
          <w:rFonts w:hint="cs"/>
          <w:rtl/>
          <w:lang w:val="fr-CH"/>
        </w:rPr>
        <w:t>أو</w:t>
      </w:r>
      <w:r w:rsidR="002414F6">
        <w:rPr>
          <w:rFonts w:hint="eastAsia"/>
          <w:rtl/>
          <w:lang w:val="fr-CH"/>
        </w:rPr>
        <w:t> </w:t>
      </w:r>
      <w:r w:rsidRPr="007D0573">
        <w:rPr>
          <w:rFonts w:hint="cs"/>
          <w:rtl/>
          <w:lang w:val="fr-CH"/>
        </w:rPr>
        <w:t xml:space="preserve">تعيده </w:t>
      </w:r>
      <w:r w:rsidRPr="007D0573">
        <w:rPr>
          <w:rFonts w:hint="cs"/>
          <w:i/>
          <w:iCs/>
          <w:rtl/>
          <w:lang w:val="fr-CH"/>
        </w:rPr>
        <w:t>(تردّه)</w:t>
      </w:r>
      <w:r w:rsidRPr="007D0573">
        <w:rPr>
          <w:rFonts w:hint="cs"/>
          <w:rtl/>
          <w:lang w:val="fr-CH"/>
        </w:rPr>
        <w:t xml:space="preserve"> إلى دولة أخرى إذا توافرت لديها أسباب حقيقية تدعو إلى الاعتقاد بأنه سيواجه خطر التعرض للتعذيب. ويجب على اللجنة أن تقي</w:t>
      </w:r>
      <w:r>
        <w:rPr>
          <w:rFonts w:hint="cs"/>
          <w:rtl/>
          <w:lang w:val="fr-CH"/>
        </w:rPr>
        <w:t>ّم ما إذ</w:t>
      </w:r>
      <w:r w:rsidRPr="007D0573">
        <w:rPr>
          <w:rFonts w:hint="cs"/>
          <w:rtl/>
          <w:lang w:val="fr-CH"/>
        </w:rPr>
        <w:t>ا كانت هناك أسباب حقيقية تدعو إلى الاعتقاد بأن صاحب الشكوى سيتعرض شخصيا</w:t>
      </w:r>
      <w:r>
        <w:rPr>
          <w:rFonts w:hint="cs"/>
          <w:rtl/>
          <w:lang w:val="fr-CH"/>
        </w:rPr>
        <w:t>ً</w:t>
      </w:r>
      <w:r w:rsidRPr="007D0573">
        <w:rPr>
          <w:rFonts w:hint="cs"/>
          <w:rtl/>
          <w:lang w:val="fr-CH"/>
        </w:rPr>
        <w:t xml:space="preserve"> لخطر التعذيب لدى عودته إلى الصين</w:t>
      </w:r>
      <w:r w:rsidRPr="00BD7CBA">
        <w:rPr>
          <w:rFonts w:hint="cs"/>
          <w:rtl/>
          <w:lang w:val="fr-CH"/>
        </w:rPr>
        <w:t>.</w:t>
      </w:r>
      <w:r>
        <w:rPr>
          <w:rFonts w:hint="cs"/>
          <w:rtl/>
          <w:lang/>
        </w:rPr>
        <w:t xml:space="preserve"> ولدى تقييم هذا الخطر، يجب على اللجنة أن تراعي جميع الاعتبارات ذات الصلة، عملا</w:t>
      </w:r>
      <w:r>
        <w:rPr>
          <w:rFonts w:ascii="Traditional Arabic" w:hAnsi="Traditional Arabic" w:hint="cs"/>
          <w:spacing w:val="-2"/>
          <w:rtl/>
        </w:rPr>
        <w:t>ً</w:t>
      </w:r>
      <w:r>
        <w:rPr>
          <w:rFonts w:hint="cs"/>
          <w:rtl/>
          <w:lang/>
        </w:rPr>
        <w:t xml:space="preserve"> بالفقرة 2 من المادة 3 من الاتفاقية، بما في ذلك وجود نمط ثابت من الانتهاكات الفادحة أو الصارخة أو الجماعية لحقوق الإنسان. بيد أن اللجنة تذكّر بأن الهدف من ذلك هو تحديد ما إذا كان صاحب الشكوى سيتعرض شخصيا</w:t>
      </w:r>
      <w:r>
        <w:rPr>
          <w:rFonts w:ascii="Traditional Arabic" w:hAnsi="Traditional Arabic" w:hint="cs"/>
          <w:spacing w:val="-2"/>
          <w:rtl/>
        </w:rPr>
        <w:t>ً</w:t>
      </w:r>
      <w:r>
        <w:rPr>
          <w:rFonts w:hint="cs"/>
          <w:rtl/>
          <w:lang/>
        </w:rPr>
        <w:t xml:space="preserve"> لخطر متوقع وحقيقي بالتعذيب في البلد الذي سيُعاد إليه.</w:t>
      </w:r>
    </w:p>
    <w:p w:rsidR="00021691" w:rsidRPr="000129D6" w:rsidRDefault="00021691" w:rsidP="00021691">
      <w:pPr>
        <w:pStyle w:val="SingleTxtGA"/>
        <w:rPr>
          <w:rFonts w:hint="cs"/>
          <w:rtl/>
          <w:lang w:val="fr-CH"/>
        </w:rPr>
      </w:pPr>
      <w:r w:rsidRPr="00B81C6A">
        <w:rPr>
          <w:rFonts w:hint="cs"/>
          <w:rtl/>
          <w:lang/>
        </w:rPr>
        <w:t>7-3</w:t>
      </w:r>
      <w:r w:rsidRPr="00F77128">
        <w:rPr>
          <w:rFonts w:hint="cs"/>
          <w:rtl/>
          <w:lang/>
        </w:rPr>
        <w:tab/>
      </w:r>
      <w:r w:rsidRPr="00F77128">
        <w:rPr>
          <w:rFonts w:hint="cs"/>
          <w:rtl/>
        </w:rPr>
        <w:t>وتذ</w:t>
      </w:r>
      <w:r>
        <w:rPr>
          <w:rFonts w:hint="cs"/>
          <w:rtl/>
        </w:rPr>
        <w:t>كّر اللجنة بتعليقها العام رقم 1</w:t>
      </w:r>
      <w:r w:rsidRPr="00F77128">
        <w:rPr>
          <w:rFonts w:hint="cs"/>
          <w:rtl/>
        </w:rPr>
        <w:t>(1997)</w:t>
      </w:r>
      <w:r>
        <w:rPr>
          <w:rFonts w:hint="cs"/>
          <w:rtl/>
        </w:rPr>
        <w:t xml:space="preserve"> المتعلق بتنفيذ المادة 3 من الاتفاقية، الذي ورد</w:t>
      </w:r>
      <w:r w:rsidRPr="00F77128">
        <w:rPr>
          <w:rFonts w:hint="cs"/>
          <w:rtl/>
        </w:rPr>
        <w:t xml:space="preserve"> فيه أنه </w:t>
      </w:r>
      <w:r w:rsidRPr="00B81C6A">
        <w:rPr>
          <w:rFonts w:hint="cs"/>
          <w:rtl/>
        </w:rPr>
        <w:t xml:space="preserve">"يجب تقدير خطر التعذيب على أساس يتجاوز مجرد الافتراض أو الشك. </w:t>
      </w:r>
      <w:r w:rsidRPr="00B81C6A">
        <w:rPr>
          <w:rFonts w:ascii="Traditional Arabic" w:hAnsi="Traditional Arabic" w:hint="cs"/>
          <w:rtl/>
        </w:rPr>
        <w:t>غير أنه لا يكفي أن يكون وقوع الخطر مرجحا</w:t>
      </w:r>
      <w:r>
        <w:rPr>
          <w:rFonts w:ascii="Traditional Arabic" w:hAnsi="Traditional Arabic" w:hint="cs"/>
          <w:rtl/>
        </w:rPr>
        <w:t>ً</w:t>
      </w:r>
      <w:r w:rsidRPr="00B81C6A">
        <w:rPr>
          <w:rFonts w:ascii="Traditional Arabic" w:hAnsi="Traditional Arabic" w:hint="cs"/>
          <w:rtl/>
        </w:rPr>
        <w:t xml:space="preserve"> </w:t>
      </w:r>
      <w:r w:rsidRPr="00E01750">
        <w:rPr>
          <w:rFonts w:ascii="Traditional Arabic" w:hAnsi="Traditional Arabic" w:hint="cs"/>
          <w:rtl/>
        </w:rPr>
        <w:t>ترجيحا</w:t>
      </w:r>
      <w:r>
        <w:rPr>
          <w:rFonts w:ascii="Traditional Arabic" w:hAnsi="Traditional Arabic" w:hint="cs"/>
          <w:rtl/>
        </w:rPr>
        <w:t>ً</w:t>
      </w:r>
      <w:r w:rsidRPr="00E01750">
        <w:rPr>
          <w:rFonts w:ascii="Traditional Arabic" w:hAnsi="Traditional Arabic" w:hint="cs"/>
          <w:rtl/>
        </w:rPr>
        <w:t xml:space="preserve"> كبيرا</w:t>
      </w:r>
      <w:r>
        <w:rPr>
          <w:rFonts w:ascii="Traditional Arabic" w:hAnsi="Traditional Arabic" w:hint="cs"/>
          <w:rtl/>
        </w:rPr>
        <w:t>ً</w:t>
      </w:r>
      <w:r w:rsidRPr="00E01750">
        <w:rPr>
          <w:rFonts w:hint="cs"/>
          <w:rtl/>
        </w:rPr>
        <w:t>"</w:t>
      </w:r>
      <w:r>
        <w:rPr>
          <w:vertAlign w:val="superscript"/>
          <w:rtl/>
        </w:rPr>
        <w:t>(</w:t>
      </w:r>
      <w:r>
        <w:rPr>
          <w:rStyle w:val="FootnoteReference"/>
          <w:rtl/>
        </w:rPr>
        <w:footnoteReference w:id="102"/>
      </w:r>
      <w:r>
        <w:rPr>
          <w:vertAlign w:val="superscript"/>
          <w:rtl/>
        </w:rPr>
        <w:t>)</w:t>
      </w:r>
      <w:r w:rsidRPr="00E01750">
        <w:rPr>
          <w:rFonts w:hint="cs"/>
          <w:rtl/>
        </w:rPr>
        <w:t xml:space="preserve">، بل يجب أن يكون </w:t>
      </w:r>
      <w:r w:rsidRPr="000129D6">
        <w:rPr>
          <w:rFonts w:hint="cs"/>
          <w:rtl/>
        </w:rPr>
        <w:t>شخصياً ومحدقا</w:t>
      </w:r>
      <w:r w:rsidRPr="000129D6">
        <w:rPr>
          <w:rFonts w:ascii="Traditional Arabic" w:hAnsi="Traditional Arabic" w:hint="cs"/>
          <w:rtl/>
        </w:rPr>
        <w:t>ً</w:t>
      </w:r>
      <w:r w:rsidRPr="000129D6">
        <w:rPr>
          <w:rFonts w:hint="cs"/>
          <w:rtl/>
        </w:rPr>
        <w:t xml:space="preserve">. </w:t>
      </w:r>
      <w:r w:rsidRPr="000129D6">
        <w:rPr>
          <w:rFonts w:hint="cs"/>
          <w:rtl/>
          <w:lang w:val="en-CA"/>
        </w:rPr>
        <w:t>وفي هذا الصدد، قرّرت اللجنة في قرارات سابقة أن خطر التعرض للتعذيب يجب أن يكون متوقعاً وحقيقياً وشخصياً</w:t>
      </w:r>
      <w:r w:rsidRPr="000129D6">
        <w:rPr>
          <w:vertAlign w:val="superscript"/>
          <w:rtl/>
          <w:lang w:val="en-CA"/>
        </w:rPr>
        <w:t>(</w:t>
      </w:r>
      <w:r w:rsidRPr="000129D6">
        <w:rPr>
          <w:rStyle w:val="FootnoteReference"/>
          <w:rtl/>
          <w:lang w:val="en-CA"/>
        </w:rPr>
        <w:footnoteReference w:id="103"/>
      </w:r>
      <w:r w:rsidRPr="000129D6">
        <w:rPr>
          <w:vertAlign w:val="superscript"/>
          <w:rtl/>
          <w:lang w:val="en-CA"/>
        </w:rPr>
        <w:t>)</w:t>
      </w:r>
      <w:r w:rsidRPr="000129D6">
        <w:rPr>
          <w:rFonts w:ascii="Traditional Arabic" w:hAnsi="Traditional Arabic" w:hint="cs"/>
          <w:rtl/>
          <w:lang w:val="en-CA"/>
        </w:rPr>
        <w:t xml:space="preserve">. </w:t>
      </w:r>
      <w:r w:rsidRPr="000129D6">
        <w:rPr>
          <w:rFonts w:hint="cs"/>
          <w:rtl/>
          <w:lang w:val="en-CA"/>
        </w:rPr>
        <w:t>وتذكّر اللجنة بأنها وفقا</w:t>
      </w:r>
      <w:r>
        <w:rPr>
          <w:rFonts w:ascii="Traditional Arabic" w:hAnsi="Traditional Arabic" w:hint="cs"/>
          <w:spacing w:val="-2"/>
          <w:rtl/>
        </w:rPr>
        <w:t>ً</w:t>
      </w:r>
      <w:r w:rsidRPr="000129D6">
        <w:rPr>
          <w:rFonts w:hint="cs"/>
          <w:rtl/>
          <w:lang w:val="en-CA"/>
        </w:rPr>
        <w:t xml:space="preserve"> لأحكام تعليقها العام رقم 1، تولي أهمية كبيرة لتقرير الوقائع التي تخلص إليها أجهزة الدولة الطرف المعنية، لكنها في الوقت نفسه غير </w:t>
      </w:r>
      <w:r>
        <w:rPr>
          <w:rFonts w:hint="cs"/>
          <w:rtl/>
          <w:lang w:val="en-CA"/>
        </w:rPr>
        <w:t>ملزمة بالتقيد به بل تملك، بمقتضى</w:t>
      </w:r>
      <w:r w:rsidRPr="000129D6">
        <w:rPr>
          <w:rFonts w:hint="cs"/>
          <w:rtl/>
          <w:lang w:val="en-CA"/>
        </w:rPr>
        <w:t xml:space="preserve"> الفقرة 4 من المادة 22 من الاتفاقية، سلطة تقييم الوقائع بحرية، استنادا</w:t>
      </w:r>
      <w:r>
        <w:rPr>
          <w:rFonts w:ascii="Traditional Arabic" w:hAnsi="Traditional Arabic" w:hint="cs"/>
          <w:spacing w:val="-2"/>
          <w:rtl/>
        </w:rPr>
        <w:t>ً</w:t>
      </w:r>
      <w:r w:rsidRPr="000129D6">
        <w:rPr>
          <w:rFonts w:hint="cs"/>
          <w:rtl/>
          <w:lang w:val="en-CA"/>
        </w:rPr>
        <w:t xml:space="preserve"> إلى مجمل ملابسات كل قضية.</w:t>
      </w:r>
    </w:p>
    <w:p w:rsidR="00021691" w:rsidRPr="00B41905" w:rsidRDefault="00021691" w:rsidP="00021691">
      <w:pPr>
        <w:pStyle w:val="SingleTxtGA"/>
        <w:rPr>
          <w:rFonts w:hint="cs"/>
          <w:spacing w:val="-4"/>
          <w:rtl/>
          <w:lang w:val="en-CA"/>
        </w:rPr>
      </w:pPr>
      <w:r w:rsidRPr="00B41905">
        <w:rPr>
          <w:rFonts w:hint="cs"/>
          <w:rtl/>
          <w:lang w:val="en-CA"/>
        </w:rPr>
        <w:t>7-4</w:t>
      </w:r>
      <w:r w:rsidRPr="00B41905">
        <w:rPr>
          <w:rFonts w:hint="cs"/>
          <w:rtl/>
          <w:lang w:val="en-CA"/>
        </w:rPr>
        <w:tab/>
      </w:r>
      <w:r>
        <w:rPr>
          <w:rFonts w:hint="cs"/>
          <w:spacing w:val="-4"/>
          <w:rtl/>
          <w:lang w:val="en-CA"/>
        </w:rPr>
        <w:t>وتذكّر اللجنة كذلك بتعليقها العام رقم 1 (الفقرة 5) الذي جاء فيه أن تقديم حجج مقنعة للدفاع عن قضية يقع</w:t>
      </w:r>
      <w:r>
        <w:rPr>
          <w:rFonts w:hint="cs"/>
          <w:rtl/>
        </w:rPr>
        <w:t xml:space="preserve"> على عاتق صاحب الشكوى.</w:t>
      </w:r>
      <w:r w:rsidRPr="00332204">
        <w:rPr>
          <w:rFonts w:ascii="Traditional Arabic" w:hAnsi="Traditional Arabic" w:hint="cs"/>
          <w:rtl/>
          <w:lang w:val="en-CA"/>
        </w:rPr>
        <w:t xml:space="preserve"> </w:t>
      </w:r>
      <w:r>
        <w:rPr>
          <w:rFonts w:ascii="Traditional Arabic" w:hAnsi="Traditional Arabic" w:hint="cs"/>
          <w:rtl/>
          <w:lang w:val="en-CA"/>
        </w:rPr>
        <w:t xml:space="preserve">وتحيط اللجنة علماً بما ذهبت إليه الدولة الطرف من أن صاحب الشكوى لم يثبت في هذه القضية أنه معرض لخطر متوقع وحقيقي وشخصي بالتعذيب على يد السلطات إن أعيد إلى الصين، وأن السلطات المحلية المختصة قد استعرضت ادعاءاته وفقاً للتشريعات المحلية، وأن هذه السلطات "لم تقتنع بأن </w:t>
      </w:r>
      <w:r w:rsidRPr="007D758C">
        <w:rPr>
          <w:rFonts w:ascii="Traditional Arabic" w:hAnsi="Traditional Arabic" w:hint="cs"/>
          <w:rtl/>
          <w:lang w:val="en-CA"/>
        </w:rPr>
        <w:t>مقدم</w:t>
      </w:r>
      <w:r>
        <w:rPr>
          <w:rFonts w:ascii="Traditional Arabic" w:hAnsi="Traditional Arabic" w:hint="cs"/>
          <w:rtl/>
          <w:lang w:val="en-CA"/>
        </w:rPr>
        <w:t xml:space="preserve"> الشكوى </w:t>
      </w:r>
      <w:r>
        <w:rPr>
          <w:rFonts w:hint="cs"/>
          <w:rtl/>
        </w:rPr>
        <w:t xml:space="preserve">هو شخص على أستراليا التزامٌ بمنحه الحماية بموجب الاتفاقية الخاصة </w:t>
      </w:r>
      <w:r w:rsidRPr="009410C8">
        <w:rPr>
          <w:rFonts w:hint="cs"/>
          <w:rtl/>
        </w:rPr>
        <w:t>بوضع اللاجئين"</w:t>
      </w:r>
      <w:r w:rsidRPr="009410C8">
        <w:rPr>
          <w:rFonts w:ascii="Traditional Arabic" w:hAnsi="Traditional Arabic" w:hint="cs"/>
          <w:rtl/>
          <w:lang w:val="en-CA"/>
        </w:rPr>
        <w:t xml:space="preserve">. </w:t>
      </w:r>
      <w:r>
        <w:rPr>
          <w:rFonts w:ascii="Traditional Arabic" w:hAnsi="Traditional Arabic" w:hint="cs"/>
          <w:rtl/>
          <w:lang w:val="en-CA"/>
        </w:rPr>
        <w:t xml:space="preserve">ومع ذلك، </w:t>
      </w:r>
      <w:r w:rsidRPr="009410C8">
        <w:rPr>
          <w:rFonts w:ascii="Traditional Arabic" w:hAnsi="Traditional Arabic" w:hint="cs"/>
          <w:rtl/>
          <w:lang w:val="en-CA"/>
        </w:rPr>
        <w:t>ترى اللجنة</w:t>
      </w:r>
      <w:r>
        <w:rPr>
          <w:rFonts w:ascii="Traditional Arabic" w:hAnsi="Traditional Arabic" w:hint="cs"/>
          <w:rtl/>
          <w:lang w:val="en-CA"/>
        </w:rPr>
        <w:t xml:space="preserve"> أن صاحب الشكوى أعطى ما يكفي من التفاصيل المتعلقة بانتمائه إلى حركة الفالون غونغ، مثل تقديمه معلومات عن هذه الممارسة وإفادات من أشخاص شاركوا في هذه الممارسة مع صاحب الشكوى، وإفادات من أفراد يشهدون على توقيفه واحتجازه من قبل السلطات، فضلاً عن أدلة طبية تدعم ما رواه عن تعرّضه للتعذيب أثناء احتجازه</w:t>
      </w:r>
      <w:r>
        <w:rPr>
          <w:rFonts w:hint="cs"/>
          <w:spacing w:val="-4"/>
          <w:rtl/>
          <w:lang w:val="en-CA"/>
        </w:rPr>
        <w:t>.</w:t>
      </w:r>
    </w:p>
    <w:p w:rsidR="00021691" w:rsidRPr="005246CE" w:rsidRDefault="00021691" w:rsidP="00124D43">
      <w:pPr>
        <w:pStyle w:val="SingleTxtGA"/>
        <w:rPr>
          <w:rFonts w:hint="cs"/>
          <w:spacing w:val="-4"/>
          <w:rtl/>
        </w:rPr>
      </w:pPr>
      <w:r w:rsidRPr="00134496">
        <w:rPr>
          <w:rFonts w:ascii="Traditional Arabic" w:hAnsi="Traditional Arabic" w:hint="cs"/>
          <w:rtl/>
          <w:lang w:val="en-CA"/>
        </w:rPr>
        <w:t>7</w:t>
      </w:r>
      <w:r w:rsidRPr="00134496">
        <w:rPr>
          <w:rFonts w:ascii="Traditional Arabic" w:hAnsi="Traditional Arabic"/>
          <w:rtl/>
          <w:lang w:val="en-CA"/>
        </w:rPr>
        <w:t>-5</w:t>
      </w:r>
      <w:r w:rsidRPr="00134496">
        <w:rPr>
          <w:rFonts w:ascii="Traditional Arabic" w:hAnsi="Traditional Arabic"/>
          <w:rtl/>
          <w:lang w:val="en-CA"/>
        </w:rPr>
        <w:tab/>
      </w:r>
      <w:r>
        <w:rPr>
          <w:rFonts w:hint="cs"/>
          <w:rtl/>
        </w:rPr>
        <w:t>وتشير اللجنة إلى أن سلطات الهجرة الأسترالية لم تتحقق بما فيه الكفاية من الادعاءات والأدلة المذكورة أعلاه. وتلاحظ أن مراجعة الأسس الموضوعية لادعاءات صاحب الشكوى بشأن خطر التعذيب الذي كان يواجهه جرت بشكل أساسي استنادا</w:t>
      </w:r>
      <w:r>
        <w:rPr>
          <w:rFonts w:ascii="Traditional Arabic" w:hAnsi="Traditional Arabic" w:hint="cs"/>
          <w:rtl/>
          <w:lang w:val="en-CA"/>
        </w:rPr>
        <w:t>ً</w:t>
      </w:r>
      <w:r>
        <w:rPr>
          <w:rFonts w:hint="cs"/>
          <w:rtl/>
        </w:rPr>
        <w:t xml:space="preserve"> إلى فحوى طلب تأشيرة الحماية الأول، الذي قدمه بعيد وصوله</w:t>
      </w:r>
      <w:r w:rsidR="002414F6">
        <w:rPr>
          <w:rFonts w:hint="cs"/>
          <w:rtl/>
        </w:rPr>
        <w:t xml:space="preserve"> إلى البلد ودون معرفته بالنظام </w:t>
      </w:r>
      <w:r>
        <w:rPr>
          <w:rFonts w:hint="cs"/>
          <w:rtl/>
        </w:rPr>
        <w:t>أو</w:t>
      </w:r>
      <w:r w:rsidR="002414F6">
        <w:rPr>
          <w:rFonts w:hint="eastAsia"/>
          <w:rtl/>
        </w:rPr>
        <w:t> </w:t>
      </w:r>
      <w:r>
        <w:rPr>
          <w:rFonts w:hint="cs"/>
          <w:rtl/>
        </w:rPr>
        <w:t>فهمه له. وتلاحظ اللجنة أيضا</w:t>
      </w:r>
      <w:r>
        <w:rPr>
          <w:rFonts w:ascii="Traditional Arabic" w:hAnsi="Traditional Arabic" w:hint="cs"/>
          <w:rtl/>
          <w:lang w:val="en-CA"/>
        </w:rPr>
        <w:t>ً</w:t>
      </w:r>
      <w:r>
        <w:rPr>
          <w:rFonts w:hint="cs"/>
          <w:rtl/>
        </w:rPr>
        <w:t xml:space="preserve"> أنه لم تجرَ مقابلة شخصية مع صاحب الشكوى سواء من قبل إدارة الهجرة، التي رفضت طلبه الأصلي، أو من قبل محكمة مراجعة الأحكام الخاصة باللاجئين، وبالتالي، لم تسنح له الفرصة لتوضيح أي تباينات في </w:t>
      </w:r>
      <w:r w:rsidRPr="00C75853">
        <w:rPr>
          <w:rFonts w:hint="cs"/>
          <w:rtl/>
        </w:rPr>
        <w:t>إفادته</w:t>
      </w:r>
      <w:r>
        <w:rPr>
          <w:rFonts w:hint="cs"/>
          <w:rtl/>
        </w:rPr>
        <w:t xml:space="preserve"> الأولى. وترى اللجنة أن من النادر توقع أن تتسم تصريحات ضحايا التعذيب بالدقة الكاملة</w:t>
      </w:r>
      <w:r>
        <w:rPr>
          <w:vertAlign w:val="superscript"/>
          <w:rtl/>
        </w:rPr>
        <w:t>(</w:t>
      </w:r>
      <w:r>
        <w:rPr>
          <w:rStyle w:val="FootnoteReference"/>
          <w:rtl/>
        </w:rPr>
        <w:footnoteReference w:id="104"/>
      </w:r>
      <w:r>
        <w:rPr>
          <w:vertAlign w:val="superscript"/>
          <w:rtl/>
        </w:rPr>
        <w:t>)</w:t>
      </w:r>
      <w:r>
        <w:rPr>
          <w:rFonts w:hint="cs"/>
          <w:rtl/>
        </w:rPr>
        <w:t>. كما تلاحظ أن قرار محكمة الصلح الاتحادية وقرار المحكمة الاتحادية الأ</w:t>
      </w:r>
      <w:r w:rsidR="00124D43">
        <w:rPr>
          <w:rFonts w:hint="cs"/>
          <w:rtl/>
        </w:rPr>
        <w:t xml:space="preserve">سترالية يقرّان بأن صاحب الشكوى </w:t>
      </w:r>
      <w:r>
        <w:rPr>
          <w:rFonts w:hint="cs"/>
          <w:rtl/>
        </w:rPr>
        <w:t>لم</w:t>
      </w:r>
      <w:r w:rsidR="00124D43">
        <w:rPr>
          <w:rFonts w:hint="eastAsia"/>
          <w:rtl/>
        </w:rPr>
        <w:t> </w:t>
      </w:r>
      <w:r>
        <w:rPr>
          <w:rFonts w:hint="cs"/>
          <w:rtl/>
        </w:rPr>
        <w:t>يبلَّغ بالدعوة لحضور جلسة الاستماع المنعقدة في محكمة مراجعة الأحكام الخاصة باللاجئين. وتلاحظ اللجنة أيضا</w:t>
      </w:r>
      <w:r>
        <w:rPr>
          <w:rFonts w:ascii="Traditional Arabic" w:hAnsi="Traditional Arabic" w:hint="cs"/>
          <w:rtl/>
          <w:lang w:val="en-CA"/>
        </w:rPr>
        <w:t>ً</w:t>
      </w:r>
      <w:r>
        <w:rPr>
          <w:rFonts w:hint="cs"/>
          <w:rtl/>
        </w:rPr>
        <w:t xml:space="preserve"> أن الدولة الطرف لا تنازع في أن ممارسي الفالون غونغ في الصين معرضون للتعذيب، ولكن تؤسس قرارها رفض حماية صاحب الشكوى على تقييمها لمصداقية مزاعمه. وفي هذا السياق، ترى اللجنة أنه فيما يخص تحديد ما إذا كانت هناك أسباب وجيهة تدعو إلى الاعتقاد بأن صاحب الشكوى سيواجه خطراً متوقعاً وحقيقياً وشخصياً بالتعرض للتعذيب إن رُحّل إلى بلده الأصلي، لم تتحقق الدولة الطرف على النحو الواجب من الادعاءات والأدلة التي </w:t>
      </w:r>
      <w:r w:rsidRPr="00BA668A">
        <w:rPr>
          <w:rFonts w:hint="cs"/>
          <w:rtl/>
        </w:rPr>
        <w:t>ساقها</w:t>
      </w:r>
      <w:r>
        <w:rPr>
          <w:rFonts w:hint="cs"/>
          <w:rtl/>
        </w:rPr>
        <w:t xml:space="preserve"> صاحب الشكوى، ب</w:t>
      </w:r>
      <w:r w:rsidRPr="00727EC4">
        <w:rPr>
          <w:rFonts w:hint="cs"/>
          <w:rtl/>
        </w:rPr>
        <w:t>اتّ</w:t>
      </w:r>
      <w:r>
        <w:rPr>
          <w:rFonts w:hint="cs"/>
          <w:rtl/>
        </w:rPr>
        <w:t>باع</w:t>
      </w:r>
      <w:r w:rsidRPr="00727EC4">
        <w:rPr>
          <w:rFonts w:hint="cs"/>
          <w:rtl/>
        </w:rPr>
        <w:t xml:space="preserve"> إجراءات </w:t>
      </w:r>
      <w:r>
        <w:rPr>
          <w:rFonts w:hint="cs"/>
          <w:rtl/>
        </w:rPr>
        <w:t xml:space="preserve">تحترم التزام الدولة الطرف الإجرائي </w:t>
      </w:r>
      <w:r>
        <w:rPr>
          <w:rFonts w:hint="cs"/>
          <w:spacing w:val="-4"/>
          <w:rtl/>
        </w:rPr>
        <w:t xml:space="preserve">بأن تكفل مراجعة فعلية ومستقلة ونزيهة على النحو المنصوص عليه في المادة 3 من الاتفاقية. ولذلك، ترى اللجنة أن صاحب الشكوى لم يحظَ </w:t>
      </w:r>
      <w:r w:rsidRPr="003E3A15">
        <w:rPr>
          <w:rFonts w:hint="cs"/>
          <w:spacing w:val="-4"/>
          <w:rtl/>
        </w:rPr>
        <w:t>بسبل انتصاف فعالة</w:t>
      </w:r>
      <w:r>
        <w:rPr>
          <w:rFonts w:hint="cs"/>
          <w:spacing w:val="-4"/>
          <w:rtl/>
        </w:rPr>
        <w:t xml:space="preserve"> للطعن في قرار رفض طلب تأشيرة الحماية الذي قدمه. وبناء على ذلك، تخلص اللجنة إلى أن ترحيل صاحب الشكوى إلى بلده الأصلي يشكل خرقا</w:t>
      </w:r>
      <w:r>
        <w:rPr>
          <w:rFonts w:ascii="Traditional Arabic" w:hAnsi="Traditional Arabic" w:hint="cs"/>
          <w:rtl/>
          <w:lang w:val="en-CA"/>
        </w:rPr>
        <w:t>ً</w:t>
      </w:r>
      <w:r>
        <w:rPr>
          <w:rFonts w:hint="cs"/>
          <w:spacing w:val="-4"/>
          <w:rtl/>
        </w:rPr>
        <w:t xml:space="preserve"> للمادة 3 من الاتفاقية. </w:t>
      </w:r>
    </w:p>
    <w:p w:rsidR="00021691" w:rsidRPr="00532AEE" w:rsidRDefault="00021691" w:rsidP="00021691">
      <w:pPr>
        <w:pStyle w:val="SingleTxtGA"/>
        <w:rPr>
          <w:rFonts w:ascii="Traditional Arabic" w:hAnsi="Traditional Arabic" w:hint="cs"/>
          <w:spacing w:val="-2"/>
          <w:szCs w:val="20"/>
          <w:rtl/>
        </w:rPr>
      </w:pPr>
      <w:r w:rsidRPr="00532AEE">
        <w:rPr>
          <w:rFonts w:ascii="Traditional Arabic" w:hAnsi="Traditional Arabic" w:hint="cs"/>
          <w:spacing w:val="-2"/>
          <w:rtl/>
          <w:lang w:val="en-CA"/>
        </w:rPr>
        <w:t>8-</w:t>
      </w:r>
      <w:r w:rsidRPr="00532AEE">
        <w:rPr>
          <w:rFonts w:ascii="Traditional Arabic" w:hAnsi="Traditional Arabic"/>
          <w:spacing w:val="-2"/>
          <w:rtl/>
          <w:lang w:val="en-CA"/>
        </w:rPr>
        <w:tab/>
      </w:r>
      <w:r w:rsidRPr="00532AEE">
        <w:rPr>
          <w:rFonts w:hint="cs"/>
          <w:spacing w:val="-2"/>
          <w:rtl/>
        </w:rPr>
        <w:t>وبناء عليه، فإن</w:t>
      </w:r>
      <w:r w:rsidRPr="00532AEE">
        <w:rPr>
          <w:spacing w:val="-2"/>
          <w:rtl/>
        </w:rPr>
        <w:t xml:space="preserve"> لجنة مناهضة التعذيب</w:t>
      </w:r>
      <w:r w:rsidRPr="00532AEE">
        <w:rPr>
          <w:rFonts w:hint="cs"/>
          <w:spacing w:val="-2"/>
          <w:rtl/>
        </w:rPr>
        <w:t>، إذ تتصرّف بموجب</w:t>
      </w:r>
      <w:r w:rsidRPr="00532AEE">
        <w:rPr>
          <w:spacing w:val="-2"/>
          <w:rtl/>
        </w:rPr>
        <w:t xml:space="preserve"> الفقرة 7 من المادة 22 من اتفاقية مناهضة التعذيب وغيره من ضروب المعاملة أو العقوبة القاسية أو اللاإنسانية أو المهينة، تخلص إلى أن </w:t>
      </w:r>
      <w:r w:rsidRPr="00532AEE">
        <w:rPr>
          <w:rFonts w:hint="cs"/>
          <w:spacing w:val="-2"/>
          <w:rtl/>
        </w:rPr>
        <w:t xml:space="preserve">ترحيل صاحب الشكوى إلى الصين </w:t>
      </w:r>
      <w:r w:rsidRPr="00532AEE">
        <w:rPr>
          <w:spacing w:val="-2"/>
          <w:rtl/>
        </w:rPr>
        <w:t xml:space="preserve">يشكل </w:t>
      </w:r>
      <w:r w:rsidRPr="00532AEE">
        <w:rPr>
          <w:rFonts w:hint="cs"/>
          <w:spacing w:val="-2"/>
          <w:rtl/>
        </w:rPr>
        <w:t>خرقا</w:t>
      </w:r>
      <w:r w:rsidRPr="00532AEE">
        <w:rPr>
          <w:rFonts w:ascii="Traditional Arabic" w:hAnsi="Traditional Arabic" w:hint="cs"/>
          <w:spacing w:val="-2"/>
          <w:rtl/>
          <w:lang w:val="en-CA"/>
        </w:rPr>
        <w:t>ً</w:t>
      </w:r>
      <w:r w:rsidRPr="00532AEE">
        <w:rPr>
          <w:spacing w:val="-2"/>
          <w:rtl/>
        </w:rPr>
        <w:t xml:space="preserve"> للمادة 3 من الاتفاقي</w:t>
      </w:r>
      <w:r w:rsidRPr="00532AEE">
        <w:rPr>
          <w:rFonts w:hint="cs"/>
          <w:spacing w:val="-2"/>
          <w:rtl/>
        </w:rPr>
        <w:t>ة.</w:t>
      </w:r>
    </w:p>
    <w:p w:rsidR="00E55B21" w:rsidRDefault="00021691" w:rsidP="00021691">
      <w:pPr>
        <w:pStyle w:val="SingleTxtGA"/>
        <w:rPr>
          <w:rFonts w:ascii="Traditional Arabic" w:hAnsi="Traditional Arabic" w:hint="cs"/>
          <w:rtl/>
        </w:rPr>
      </w:pPr>
      <w:r w:rsidRPr="00EA2C4D">
        <w:rPr>
          <w:rFonts w:ascii="Traditional Arabic" w:hAnsi="Traditional Arabic"/>
          <w:rtl/>
          <w:lang w:val="en-CA"/>
        </w:rPr>
        <w:t>9</w:t>
      </w:r>
      <w:r>
        <w:rPr>
          <w:rFonts w:ascii="Traditional Arabic" w:hAnsi="Traditional Arabic" w:hint="cs"/>
          <w:rtl/>
          <w:lang w:val="en-CA"/>
        </w:rPr>
        <w:t>-</w:t>
      </w:r>
      <w:r w:rsidRPr="00EA2C4D">
        <w:rPr>
          <w:rFonts w:ascii="Traditional Arabic" w:hAnsi="Traditional Arabic"/>
          <w:rtl/>
          <w:lang w:val="en-CA"/>
        </w:rPr>
        <w:tab/>
      </w:r>
      <w:r w:rsidRPr="009110E6">
        <w:rPr>
          <w:rtl/>
        </w:rPr>
        <w:t>وعملاً بالفقرة 5 من المادة 118 من النظام الداخلي للجنة</w:t>
      </w:r>
      <w:r>
        <w:rPr>
          <w:rFonts w:hint="cs"/>
          <w:rtl/>
        </w:rPr>
        <w:t>،</w:t>
      </w:r>
      <w:r w:rsidRPr="009110E6">
        <w:rPr>
          <w:rtl/>
        </w:rPr>
        <w:t xml:space="preserve"> </w:t>
      </w:r>
      <w:r>
        <w:rPr>
          <w:rFonts w:hint="cs"/>
          <w:rtl/>
        </w:rPr>
        <w:t xml:space="preserve">تدعو </w:t>
      </w:r>
      <w:r w:rsidRPr="009110E6">
        <w:rPr>
          <w:rtl/>
        </w:rPr>
        <w:t xml:space="preserve">اللجنة الدولة الطرف </w:t>
      </w:r>
      <w:r>
        <w:rPr>
          <w:rFonts w:hint="cs"/>
          <w:rtl/>
        </w:rPr>
        <w:t>إ</w:t>
      </w:r>
      <w:r w:rsidRPr="009110E6">
        <w:rPr>
          <w:rtl/>
        </w:rPr>
        <w:t>لى أن تبل</w:t>
      </w:r>
      <w:r>
        <w:rPr>
          <w:rFonts w:hint="cs"/>
          <w:rtl/>
        </w:rPr>
        <w:t>ّ</w:t>
      </w:r>
      <w:r w:rsidRPr="009110E6">
        <w:rPr>
          <w:rtl/>
        </w:rPr>
        <w:t>غها، في غضون 90 يوماً من تاريخ إحالة هذا القرار، بالخطوات التي اتخذتها استجابة للملاحظات الآنفة الذكر</w:t>
      </w:r>
      <w:r>
        <w:rPr>
          <w:rFonts w:ascii="Traditional Arabic" w:hAnsi="Traditional Arabic" w:hint="cs"/>
          <w:rtl/>
        </w:rPr>
        <w:t>.</w:t>
      </w:r>
    </w:p>
    <w:p w:rsidR="00E55B21" w:rsidRDefault="00E55B21" w:rsidP="00021691">
      <w:pPr>
        <w:pStyle w:val="SingleTxtGA"/>
        <w:rPr>
          <w:rFonts w:ascii="Traditional Arabic" w:hAnsi="Traditional Arabic"/>
          <w:rtl/>
        </w:rPr>
        <w:sectPr w:rsidR="00E55B21" w:rsidSect="00F1742A">
          <w:footnotePr>
            <w:numFmt w:val="arabicAbjad"/>
            <w:numRestart w:val="eachSect"/>
          </w:footnotePr>
          <w:endnotePr>
            <w:numFmt w:val="decimal"/>
          </w:endnotePr>
          <w:pgSz w:w="11907" w:h="16840" w:code="9"/>
          <w:pgMar w:top="1701" w:right="1134" w:bottom="2268" w:left="1134" w:header="1134" w:footer="1701" w:gutter="0"/>
          <w:cols w:space="720"/>
          <w:bidi/>
          <w:rtlGutter/>
          <w:docGrid w:linePitch="360"/>
        </w:sectPr>
      </w:pPr>
    </w:p>
    <w:p w:rsidR="00D0360A" w:rsidRPr="00D0360A" w:rsidRDefault="00D0360A" w:rsidP="00D0360A">
      <w:pPr>
        <w:pStyle w:val="H1GA"/>
        <w:spacing w:before="120"/>
        <w:rPr>
          <w:rFonts w:hint="cs"/>
          <w:i/>
          <w:iCs/>
          <w:szCs w:val="24"/>
          <w:rtl/>
        </w:rPr>
      </w:pPr>
      <w:r w:rsidRPr="00B41DC4">
        <w:rPr>
          <w:rFonts w:hint="cs"/>
          <w:rtl/>
          <w:lang w:bidi="ar-SY"/>
        </w:rPr>
        <w:tab/>
      </w:r>
      <w:r w:rsidRPr="00B41DC4">
        <w:rPr>
          <w:rFonts w:hint="cs"/>
          <w:rtl/>
          <w:lang w:bidi="ar-SY"/>
        </w:rPr>
        <w:tab/>
        <w:t>البلاغ رقم 41</w:t>
      </w:r>
      <w:r>
        <w:rPr>
          <w:rFonts w:hint="cs"/>
          <w:rtl/>
          <w:lang w:bidi="ar-SY"/>
        </w:rPr>
        <w:t>7</w:t>
      </w:r>
      <w:r w:rsidRPr="00B41DC4">
        <w:rPr>
          <w:rFonts w:hint="cs"/>
          <w:rtl/>
          <w:lang w:bidi="ar-SY"/>
        </w:rPr>
        <w:t>/2010</w:t>
      </w:r>
      <w:r>
        <w:rPr>
          <w:rFonts w:hint="cs"/>
          <w:rtl/>
          <w:lang w:bidi="ar-SY"/>
        </w:rPr>
        <w:t xml:space="preserve">: </w:t>
      </w:r>
      <w:r>
        <w:rPr>
          <w:rFonts w:hint="cs"/>
          <w:i/>
          <w:iCs/>
          <w:rtl/>
          <w:lang w:bidi="ar-SY"/>
        </w:rPr>
        <w:t>ي. ر. س. ضد أستراليا</w:t>
      </w:r>
    </w:p>
    <w:p w:rsidR="00D0360A" w:rsidRPr="00E10F5F" w:rsidRDefault="00D0360A" w:rsidP="00D0360A">
      <w:pPr>
        <w:pStyle w:val="SingleTxtGA"/>
        <w:tabs>
          <w:tab w:val="clear" w:pos="1928"/>
          <w:tab w:val="clear" w:pos="2608"/>
          <w:tab w:val="clear" w:pos="3289"/>
          <w:tab w:val="clear" w:pos="3969"/>
          <w:tab w:val="clear" w:pos="4649"/>
          <w:tab w:val="clear" w:pos="5330"/>
        </w:tabs>
        <w:ind w:left="4584" w:hanging="2686"/>
        <w:rPr>
          <w:rFonts w:hint="cs"/>
          <w:rtl/>
          <w:lang w:bidi="ar-SY"/>
        </w:rPr>
      </w:pPr>
      <w:r w:rsidRPr="00E10F5F">
        <w:rPr>
          <w:rFonts w:hint="cs"/>
          <w:i/>
          <w:iCs/>
          <w:rtl/>
          <w:lang w:bidi="ar-SY"/>
        </w:rPr>
        <w:t>المقدم من</w:t>
      </w:r>
      <w:r w:rsidRPr="00D0360A">
        <w:rPr>
          <w:rFonts w:hint="cs"/>
          <w:rtl/>
          <w:lang w:bidi="ar-SY"/>
        </w:rPr>
        <w:t>:</w:t>
      </w:r>
      <w:r w:rsidRPr="00E10F5F">
        <w:rPr>
          <w:rFonts w:hint="cs"/>
          <w:i/>
          <w:iCs/>
          <w:rtl/>
          <w:lang w:bidi="ar-SY"/>
        </w:rPr>
        <w:tab/>
      </w:r>
      <w:r w:rsidRPr="00E10F5F">
        <w:rPr>
          <w:rFonts w:hint="cs"/>
          <w:rtl/>
          <w:lang w:bidi="ar-SY"/>
        </w:rPr>
        <w:t>ي.</w:t>
      </w:r>
      <w:r>
        <w:rPr>
          <w:rFonts w:hint="cs"/>
          <w:rtl/>
          <w:lang w:bidi="ar-SY"/>
        </w:rPr>
        <w:t xml:space="preserve"> </w:t>
      </w:r>
      <w:r w:rsidRPr="00E10F5F">
        <w:rPr>
          <w:rFonts w:hint="cs"/>
          <w:rtl/>
          <w:lang w:bidi="ar-SY"/>
        </w:rPr>
        <w:t>ز</w:t>
      </w:r>
      <w:r w:rsidRPr="00E10F5F">
        <w:rPr>
          <w:rtl/>
          <w:lang w:bidi="ar-SY"/>
        </w:rPr>
        <w:t>.</w:t>
      </w:r>
      <w:r>
        <w:rPr>
          <w:rFonts w:hint="cs"/>
          <w:rtl/>
          <w:lang w:bidi="ar-SY"/>
        </w:rPr>
        <w:t xml:space="preserve"> </w:t>
      </w:r>
      <w:r w:rsidRPr="00E10F5F">
        <w:rPr>
          <w:rFonts w:hint="cs"/>
          <w:rtl/>
          <w:lang w:bidi="ar-SY"/>
        </w:rPr>
        <w:t>س</w:t>
      </w:r>
      <w:r w:rsidRPr="00E10F5F">
        <w:rPr>
          <w:rtl/>
          <w:lang w:bidi="ar-SY"/>
        </w:rPr>
        <w:t>. (</w:t>
      </w:r>
      <w:r w:rsidRPr="00E10F5F">
        <w:rPr>
          <w:rFonts w:hint="cs"/>
          <w:rtl/>
          <w:lang w:bidi="ar-SY"/>
        </w:rPr>
        <w:t>ت</w:t>
      </w:r>
      <w:r w:rsidRPr="00E10F5F">
        <w:rPr>
          <w:rtl/>
          <w:lang w:bidi="ar-SY"/>
        </w:rPr>
        <w:t>مثله محام</w:t>
      </w:r>
      <w:r w:rsidRPr="00E10F5F">
        <w:rPr>
          <w:rFonts w:hint="cs"/>
          <w:rtl/>
          <w:lang w:bidi="ar-SY"/>
        </w:rPr>
        <w:t>ية</w:t>
      </w:r>
      <w:r w:rsidRPr="00E10F5F">
        <w:rPr>
          <w:rtl/>
          <w:lang w:bidi="ar-SY"/>
        </w:rPr>
        <w:t>)</w:t>
      </w:r>
    </w:p>
    <w:p w:rsidR="00D0360A" w:rsidRPr="00E10F5F" w:rsidRDefault="00D0360A" w:rsidP="00D0360A">
      <w:pPr>
        <w:pStyle w:val="SingleTxtGA"/>
        <w:tabs>
          <w:tab w:val="clear" w:pos="1928"/>
          <w:tab w:val="clear" w:pos="2608"/>
          <w:tab w:val="clear" w:pos="3289"/>
          <w:tab w:val="clear" w:pos="3969"/>
          <w:tab w:val="clear" w:pos="4649"/>
          <w:tab w:val="clear" w:pos="5330"/>
        </w:tabs>
        <w:ind w:left="4584" w:hanging="2686"/>
        <w:rPr>
          <w:rFonts w:hint="cs"/>
          <w:rtl/>
          <w:lang w:bidi="ar-SY"/>
        </w:rPr>
      </w:pPr>
      <w:r w:rsidRPr="00E10F5F">
        <w:rPr>
          <w:rFonts w:hint="cs"/>
          <w:i/>
          <w:iCs/>
          <w:rtl/>
          <w:lang w:bidi="ar-SY"/>
        </w:rPr>
        <w:t>الشخص المدعى أنه ضحية</w:t>
      </w:r>
      <w:r w:rsidRPr="00D0360A">
        <w:rPr>
          <w:rFonts w:hint="cs"/>
          <w:rtl/>
          <w:lang w:bidi="ar-SY"/>
        </w:rPr>
        <w:t>:</w:t>
      </w:r>
      <w:r w:rsidRPr="00E10F5F">
        <w:rPr>
          <w:rFonts w:hint="cs"/>
          <w:i/>
          <w:iCs/>
          <w:rtl/>
          <w:lang w:bidi="ar-SY"/>
        </w:rPr>
        <w:tab/>
      </w:r>
      <w:r w:rsidRPr="00E10F5F">
        <w:rPr>
          <w:rFonts w:hint="cs"/>
          <w:rtl/>
          <w:lang w:bidi="ar-SY"/>
        </w:rPr>
        <w:t>صاحب</w:t>
      </w:r>
      <w:r w:rsidRPr="00E10F5F">
        <w:rPr>
          <w:rtl/>
          <w:lang w:bidi="ar-SY"/>
        </w:rPr>
        <w:t xml:space="preserve"> الشكوى</w:t>
      </w:r>
    </w:p>
    <w:p w:rsidR="00D0360A" w:rsidRPr="00E10F5F" w:rsidRDefault="00D0360A" w:rsidP="00D0360A">
      <w:pPr>
        <w:pStyle w:val="SingleTxtGA"/>
        <w:tabs>
          <w:tab w:val="clear" w:pos="1928"/>
          <w:tab w:val="clear" w:pos="2608"/>
          <w:tab w:val="clear" w:pos="3289"/>
          <w:tab w:val="clear" w:pos="3969"/>
          <w:tab w:val="clear" w:pos="4649"/>
          <w:tab w:val="clear" w:pos="5330"/>
        </w:tabs>
        <w:ind w:left="4584" w:hanging="2686"/>
        <w:rPr>
          <w:rFonts w:hint="cs"/>
          <w:rtl/>
          <w:lang w:bidi="ar-SY"/>
        </w:rPr>
      </w:pPr>
      <w:r w:rsidRPr="00E10F5F">
        <w:rPr>
          <w:rFonts w:hint="cs"/>
          <w:i/>
          <w:iCs/>
          <w:rtl/>
          <w:lang w:bidi="ar-SY"/>
        </w:rPr>
        <w:t>الدولة الطرف</w:t>
      </w:r>
      <w:r w:rsidRPr="00D0360A">
        <w:rPr>
          <w:rFonts w:hint="cs"/>
          <w:rtl/>
          <w:lang w:bidi="ar-SY"/>
        </w:rPr>
        <w:t>:</w:t>
      </w:r>
      <w:r w:rsidRPr="00E10F5F">
        <w:rPr>
          <w:rFonts w:hint="cs"/>
          <w:i/>
          <w:iCs/>
          <w:rtl/>
          <w:lang w:bidi="ar-SY"/>
        </w:rPr>
        <w:tab/>
      </w:r>
      <w:r w:rsidRPr="00E10F5F">
        <w:rPr>
          <w:rFonts w:hint="cs"/>
          <w:rtl/>
          <w:lang w:bidi="ar-SY"/>
        </w:rPr>
        <w:t>أستراليا</w:t>
      </w:r>
    </w:p>
    <w:p w:rsidR="00D0360A" w:rsidRPr="00E10F5F" w:rsidRDefault="00D0360A" w:rsidP="00D0360A">
      <w:pPr>
        <w:pStyle w:val="SingleTxtGA"/>
        <w:tabs>
          <w:tab w:val="clear" w:pos="1928"/>
          <w:tab w:val="clear" w:pos="2608"/>
          <w:tab w:val="clear" w:pos="3289"/>
          <w:tab w:val="clear" w:pos="3969"/>
          <w:tab w:val="clear" w:pos="4649"/>
          <w:tab w:val="clear" w:pos="5330"/>
        </w:tabs>
        <w:ind w:left="4584" w:hanging="2686"/>
        <w:rPr>
          <w:rFonts w:hint="cs"/>
          <w:rtl/>
          <w:lang w:bidi="ar-SY"/>
        </w:rPr>
      </w:pPr>
      <w:r w:rsidRPr="00E10F5F">
        <w:rPr>
          <w:rFonts w:hint="cs"/>
          <w:i/>
          <w:iCs/>
          <w:rtl/>
          <w:lang w:bidi="ar-SY"/>
        </w:rPr>
        <w:t>تاريخ تقديم الشكوى</w:t>
      </w:r>
      <w:r w:rsidRPr="00D0360A">
        <w:rPr>
          <w:rFonts w:hint="cs"/>
          <w:rtl/>
          <w:lang w:bidi="ar-SY"/>
        </w:rPr>
        <w:t>:</w:t>
      </w:r>
      <w:r w:rsidRPr="00E10F5F">
        <w:rPr>
          <w:rFonts w:hint="cs"/>
          <w:i/>
          <w:iCs/>
          <w:rtl/>
          <w:lang w:bidi="ar-SY"/>
        </w:rPr>
        <w:tab/>
      </w:r>
      <w:r w:rsidRPr="00E10F5F">
        <w:rPr>
          <w:rFonts w:hint="cs"/>
          <w:rtl/>
          <w:lang w:bidi="ar-SY"/>
        </w:rPr>
        <w:t>30</w:t>
      </w:r>
      <w:r w:rsidRPr="00E10F5F">
        <w:rPr>
          <w:rtl/>
          <w:lang w:bidi="ar-SY"/>
        </w:rPr>
        <w:t xml:space="preserve"> </w:t>
      </w:r>
      <w:r w:rsidRPr="00E10F5F">
        <w:rPr>
          <w:rFonts w:hint="cs"/>
          <w:rtl/>
          <w:lang w:bidi="ar-SY"/>
        </w:rPr>
        <w:t>آذار/مارس</w:t>
      </w:r>
      <w:r w:rsidRPr="00E10F5F">
        <w:rPr>
          <w:rtl/>
          <w:lang w:bidi="ar-SY"/>
        </w:rPr>
        <w:t xml:space="preserve"> 20</w:t>
      </w:r>
      <w:r w:rsidRPr="00E10F5F">
        <w:rPr>
          <w:rFonts w:hint="cs"/>
          <w:rtl/>
          <w:lang w:bidi="ar-SY"/>
        </w:rPr>
        <w:t>10</w:t>
      </w:r>
      <w:r w:rsidRPr="00E10F5F">
        <w:rPr>
          <w:rtl/>
          <w:lang w:bidi="ar-SY"/>
        </w:rPr>
        <w:t xml:space="preserve"> (تاريخ الرسالة الأولى)</w:t>
      </w:r>
    </w:p>
    <w:p w:rsidR="00D0360A" w:rsidRPr="00B41DC4" w:rsidRDefault="00D0360A" w:rsidP="00D0360A">
      <w:pPr>
        <w:pStyle w:val="SingleTxtGA"/>
        <w:rPr>
          <w:rFonts w:hint="cs"/>
          <w:sz w:val="30"/>
          <w:szCs w:val="20"/>
          <w:rtl/>
        </w:rPr>
      </w:pPr>
      <w:r w:rsidRPr="00B41DC4">
        <w:rPr>
          <w:rFonts w:hint="cs"/>
          <w:i/>
          <w:iCs/>
          <w:rtl/>
          <w:lang w:bidi="ar-SY"/>
        </w:rPr>
        <w:tab/>
        <w:t>إن لحنة مناهضة التعذيب</w:t>
      </w:r>
      <w:r w:rsidRPr="00B41DC4">
        <w:rPr>
          <w:rFonts w:hint="cs"/>
          <w:rtl/>
          <w:lang w:bidi="ar-SY"/>
        </w:rPr>
        <w:t xml:space="preserve">، المنشأة بموجب المادة 17 من </w:t>
      </w:r>
      <w:r w:rsidRPr="00B41DC4">
        <w:rPr>
          <w:rtl/>
          <w:lang w:bidi="ar-SY"/>
        </w:rPr>
        <w:t>اتفاقية مناهضة التعذيب وغيره من ضروب المعاملة</w:t>
      </w:r>
      <w:r>
        <w:rPr>
          <w:rtl/>
          <w:lang w:bidi="ar-SY"/>
        </w:rPr>
        <w:t xml:space="preserve"> أو </w:t>
      </w:r>
      <w:r w:rsidRPr="00B41DC4">
        <w:rPr>
          <w:rtl/>
          <w:lang w:bidi="ar-SY"/>
        </w:rPr>
        <w:t>العقوبة القاسية</w:t>
      </w:r>
      <w:r>
        <w:rPr>
          <w:rtl/>
          <w:lang w:bidi="ar-SY"/>
        </w:rPr>
        <w:t xml:space="preserve"> أو </w:t>
      </w:r>
      <w:r w:rsidRPr="00B41DC4">
        <w:rPr>
          <w:rtl/>
          <w:lang w:bidi="ar-SY"/>
        </w:rPr>
        <w:t>اللاإنسانية</w:t>
      </w:r>
      <w:r>
        <w:rPr>
          <w:rtl/>
          <w:lang w:bidi="ar-SY"/>
        </w:rPr>
        <w:t xml:space="preserve"> أو </w:t>
      </w:r>
      <w:r w:rsidRPr="00B41DC4">
        <w:rPr>
          <w:rtl/>
          <w:lang w:bidi="ar-SY"/>
        </w:rPr>
        <w:t>المهينة</w:t>
      </w:r>
      <w:r w:rsidRPr="00B41DC4">
        <w:rPr>
          <w:rFonts w:hint="cs"/>
          <w:rtl/>
          <w:lang w:bidi="ar-SY"/>
        </w:rPr>
        <w:t>،</w:t>
      </w:r>
    </w:p>
    <w:p w:rsidR="00D0360A" w:rsidRPr="00B41DC4" w:rsidRDefault="00D0360A" w:rsidP="00D0360A">
      <w:pPr>
        <w:pStyle w:val="SingleTxtGA"/>
        <w:rPr>
          <w:rFonts w:hint="cs"/>
          <w:szCs w:val="20"/>
          <w:rtl/>
        </w:rPr>
      </w:pPr>
      <w:r w:rsidRPr="00B41DC4">
        <w:rPr>
          <w:rFonts w:hint="cs"/>
          <w:i/>
          <w:iCs/>
          <w:rtl/>
          <w:lang w:bidi="ar-SY"/>
        </w:rPr>
        <w:tab/>
        <w:t>وقد اجتمعت</w:t>
      </w:r>
      <w:r w:rsidRPr="00B41DC4">
        <w:rPr>
          <w:rFonts w:hint="cs"/>
          <w:rtl/>
          <w:lang w:bidi="ar-SY"/>
        </w:rPr>
        <w:t xml:space="preserve"> في </w:t>
      </w:r>
      <w:r w:rsidRPr="00B41DC4">
        <w:rPr>
          <w:rFonts w:hint="cs"/>
          <w:rtl/>
        </w:rPr>
        <w:t xml:space="preserve">23 </w:t>
      </w:r>
      <w:r>
        <w:rPr>
          <w:rFonts w:hint="cs"/>
          <w:rtl/>
        </w:rPr>
        <w:t>تشرين الثاني/نوفمبر</w:t>
      </w:r>
      <w:r w:rsidRPr="00B41DC4">
        <w:rPr>
          <w:rFonts w:hint="cs"/>
          <w:rtl/>
        </w:rPr>
        <w:t xml:space="preserve"> 2012</w:t>
      </w:r>
      <w:r w:rsidRPr="00B41DC4">
        <w:rPr>
          <w:rFonts w:hint="cs"/>
          <w:rtl/>
          <w:lang w:bidi="ar-SY"/>
        </w:rPr>
        <w:t>،</w:t>
      </w:r>
    </w:p>
    <w:p w:rsidR="00D0360A" w:rsidRPr="00B41DC4" w:rsidRDefault="00D0360A" w:rsidP="00D0360A">
      <w:pPr>
        <w:pStyle w:val="SingleTxtGA"/>
        <w:rPr>
          <w:rFonts w:hint="cs"/>
          <w:rtl/>
          <w:lang w:bidi="ar-SY"/>
        </w:rPr>
      </w:pPr>
      <w:r w:rsidRPr="00B41DC4">
        <w:rPr>
          <w:rFonts w:hint="cs"/>
          <w:i/>
          <w:iCs/>
          <w:rtl/>
          <w:lang w:bidi="ar-SY"/>
        </w:rPr>
        <w:tab/>
        <w:t>وقد فرغت</w:t>
      </w:r>
      <w:r w:rsidRPr="00B41DC4">
        <w:rPr>
          <w:rFonts w:hint="cs"/>
          <w:rtl/>
          <w:lang w:bidi="ar-SY"/>
        </w:rPr>
        <w:t xml:space="preserve"> من النظر في الشكوى</w:t>
      </w:r>
      <w:r w:rsidRPr="00B41DC4">
        <w:rPr>
          <w:rtl/>
          <w:lang w:bidi="ar-SY"/>
        </w:rPr>
        <w:t xml:space="preserve"> رقم </w:t>
      </w:r>
      <w:r w:rsidRPr="00B41DC4">
        <w:rPr>
          <w:rFonts w:hint="cs"/>
          <w:rtl/>
          <w:lang w:bidi="ar-SY"/>
        </w:rPr>
        <w:t>41</w:t>
      </w:r>
      <w:r>
        <w:rPr>
          <w:rFonts w:hint="cs"/>
          <w:rtl/>
          <w:lang w:bidi="ar-SY"/>
        </w:rPr>
        <w:t>7</w:t>
      </w:r>
      <w:r w:rsidRPr="00B41DC4">
        <w:rPr>
          <w:rtl/>
          <w:lang w:bidi="ar-SY"/>
        </w:rPr>
        <w:t>/20</w:t>
      </w:r>
      <w:r w:rsidRPr="00B41DC4">
        <w:rPr>
          <w:rFonts w:hint="cs"/>
          <w:rtl/>
          <w:lang w:bidi="ar-SY"/>
        </w:rPr>
        <w:t>10</w:t>
      </w:r>
      <w:r w:rsidRPr="00B41DC4">
        <w:rPr>
          <w:rtl/>
          <w:lang w:bidi="ar-SY"/>
        </w:rPr>
        <w:t>، المقدم</w:t>
      </w:r>
      <w:r w:rsidRPr="00B41DC4">
        <w:rPr>
          <w:rFonts w:hint="cs"/>
          <w:rtl/>
          <w:lang w:bidi="ar-SY"/>
        </w:rPr>
        <w:t>ة</w:t>
      </w:r>
      <w:r w:rsidRPr="00B41DC4">
        <w:rPr>
          <w:rtl/>
          <w:lang w:bidi="ar-SY"/>
        </w:rPr>
        <w:t xml:space="preserve"> إلى لجنة مناهضة التعذيب </w:t>
      </w:r>
      <w:r>
        <w:rPr>
          <w:rFonts w:hint="cs"/>
          <w:rtl/>
          <w:lang w:bidi="ar-SY"/>
        </w:rPr>
        <w:t xml:space="preserve">نيابة عن </w:t>
      </w:r>
      <w:r w:rsidRPr="003821F9">
        <w:rPr>
          <w:rFonts w:hint="cs"/>
          <w:rtl/>
          <w:lang w:bidi="ar-SY"/>
        </w:rPr>
        <w:t>ي.</w:t>
      </w:r>
      <w:r>
        <w:rPr>
          <w:rFonts w:hint="cs"/>
          <w:rtl/>
          <w:lang w:bidi="ar-SY"/>
        </w:rPr>
        <w:t xml:space="preserve"> </w:t>
      </w:r>
      <w:r w:rsidRPr="003821F9">
        <w:rPr>
          <w:rFonts w:hint="cs"/>
          <w:rtl/>
          <w:lang w:bidi="ar-SY"/>
        </w:rPr>
        <w:t>ز</w:t>
      </w:r>
      <w:r w:rsidRPr="003821F9">
        <w:rPr>
          <w:rtl/>
          <w:lang w:bidi="ar-SY"/>
        </w:rPr>
        <w:t xml:space="preserve">. </w:t>
      </w:r>
      <w:r w:rsidRPr="003821F9">
        <w:rPr>
          <w:rFonts w:hint="cs"/>
          <w:rtl/>
          <w:lang w:bidi="ar-SY"/>
        </w:rPr>
        <w:t>س</w:t>
      </w:r>
      <w:r w:rsidRPr="003821F9">
        <w:rPr>
          <w:rtl/>
          <w:lang w:bidi="ar-SY"/>
        </w:rPr>
        <w:t>.</w:t>
      </w:r>
      <w:r w:rsidRPr="00B41DC4">
        <w:rPr>
          <w:rtl/>
          <w:lang w:bidi="ar-SY"/>
        </w:rPr>
        <w:t xml:space="preserve"> بموجب المادة 22 من اتفاقية</w:t>
      </w:r>
      <w:r w:rsidRPr="00B41DC4">
        <w:rPr>
          <w:rFonts w:hint="cs"/>
          <w:rtl/>
          <w:lang w:bidi="ar-SY"/>
        </w:rPr>
        <w:t xml:space="preserve"> </w:t>
      </w:r>
      <w:r w:rsidRPr="00B41DC4">
        <w:rPr>
          <w:rtl/>
          <w:lang w:bidi="ar-SY"/>
        </w:rPr>
        <w:t>مناهضة التعذيب وغيره من ضروب المعاملة</w:t>
      </w:r>
      <w:r>
        <w:rPr>
          <w:rtl/>
          <w:lang w:bidi="ar-SY"/>
        </w:rPr>
        <w:t xml:space="preserve"> أو </w:t>
      </w:r>
      <w:r w:rsidRPr="00B41DC4">
        <w:rPr>
          <w:rtl/>
          <w:lang w:bidi="ar-SY"/>
        </w:rPr>
        <w:t>العقوبة القاسية</w:t>
      </w:r>
      <w:r>
        <w:rPr>
          <w:rtl/>
          <w:lang w:bidi="ar-SY"/>
        </w:rPr>
        <w:t xml:space="preserve"> أو </w:t>
      </w:r>
      <w:r w:rsidRPr="00B41DC4">
        <w:rPr>
          <w:rtl/>
          <w:lang w:bidi="ar-SY"/>
        </w:rPr>
        <w:t>اللاإنسانية</w:t>
      </w:r>
      <w:r>
        <w:rPr>
          <w:rtl/>
          <w:lang w:bidi="ar-SY"/>
        </w:rPr>
        <w:t xml:space="preserve"> أو </w:t>
      </w:r>
      <w:r w:rsidRPr="00B41DC4">
        <w:rPr>
          <w:rtl/>
          <w:lang w:bidi="ar-SY"/>
        </w:rPr>
        <w:t>المهينة</w:t>
      </w:r>
      <w:r w:rsidRPr="00B41DC4">
        <w:rPr>
          <w:rFonts w:hint="cs"/>
          <w:rtl/>
          <w:lang w:bidi="ar-SY"/>
        </w:rPr>
        <w:t>،</w:t>
      </w:r>
    </w:p>
    <w:p w:rsidR="00D0360A" w:rsidRPr="00B41DC4" w:rsidRDefault="00D0360A" w:rsidP="00D0360A">
      <w:pPr>
        <w:pStyle w:val="SingleTxtGA"/>
        <w:rPr>
          <w:rFonts w:hint="cs"/>
          <w:szCs w:val="20"/>
          <w:rtl/>
        </w:rPr>
      </w:pPr>
      <w:r w:rsidRPr="00B41DC4">
        <w:rPr>
          <w:rFonts w:hint="cs"/>
          <w:i/>
          <w:iCs/>
          <w:rtl/>
          <w:lang w:bidi="ar-SY"/>
        </w:rPr>
        <w:tab/>
        <w:t xml:space="preserve">وقد </w:t>
      </w:r>
      <w:r>
        <w:rPr>
          <w:rFonts w:hint="cs"/>
          <w:i/>
          <w:iCs/>
          <w:rtl/>
          <w:lang w:bidi="ar-SY"/>
        </w:rPr>
        <w:t xml:space="preserve">وضعت </w:t>
      </w:r>
      <w:r w:rsidRPr="00B41DC4">
        <w:rPr>
          <w:rFonts w:hint="cs"/>
          <w:i/>
          <w:iCs/>
          <w:rtl/>
          <w:lang w:bidi="ar-SY"/>
        </w:rPr>
        <w:t>في اعتبارها</w:t>
      </w:r>
      <w:r w:rsidRPr="00B41DC4">
        <w:rPr>
          <w:rFonts w:hint="cs"/>
          <w:rtl/>
          <w:lang w:bidi="ar-SY"/>
        </w:rPr>
        <w:t xml:space="preserve"> جميع المعلومات التي أتاحها لها </w:t>
      </w:r>
      <w:r>
        <w:rPr>
          <w:rFonts w:hint="cs"/>
          <w:rtl/>
          <w:lang w:bidi="ar-SY"/>
        </w:rPr>
        <w:t>صاحب الشكوى</w:t>
      </w:r>
      <w:r w:rsidRPr="00B41DC4">
        <w:rPr>
          <w:rFonts w:hint="cs"/>
          <w:rtl/>
          <w:lang w:bidi="ar-SY"/>
        </w:rPr>
        <w:t xml:space="preserve"> ومح</w:t>
      </w:r>
      <w:r w:rsidRPr="00D42B6B">
        <w:rPr>
          <w:rFonts w:hint="cs"/>
          <w:rtl/>
          <w:lang w:bidi="ar-SY"/>
        </w:rPr>
        <w:t>امي</w:t>
      </w:r>
      <w:r>
        <w:rPr>
          <w:rFonts w:hint="cs"/>
          <w:rtl/>
          <w:lang w:bidi="ar-SY"/>
        </w:rPr>
        <w:t>ت</w:t>
      </w:r>
      <w:r w:rsidRPr="00D42B6B">
        <w:rPr>
          <w:rFonts w:hint="cs"/>
          <w:rtl/>
          <w:lang w:bidi="ar-SY"/>
        </w:rPr>
        <w:t>ه</w:t>
      </w:r>
      <w:r w:rsidRPr="00B41DC4">
        <w:rPr>
          <w:rFonts w:hint="cs"/>
          <w:rtl/>
          <w:lang w:bidi="ar-SY"/>
        </w:rPr>
        <w:t xml:space="preserve"> والدولة الطرف،</w:t>
      </w:r>
    </w:p>
    <w:p w:rsidR="00D0360A" w:rsidRPr="00B41DC4" w:rsidRDefault="00D0360A" w:rsidP="00D0360A">
      <w:pPr>
        <w:pStyle w:val="SingleTxtGA"/>
        <w:rPr>
          <w:rFonts w:hint="cs"/>
          <w:rtl/>
        </w:rPr>
      </w:pPr>
      <w:r w:rsidRPr="00B41DC4">
        <w:rPr>
          <w:rFonts w:hint="cs"/>
          <w:rtl/>
          <w:lang w:bidi="ar-SY"/>
        </w:rPr>
        <w:tab/>
      </w:r>
      <w:r w:rsidRPr="00E10F5F">
        <w:rPr>
          <w:rFonts w:hint="cs"/>
          <w:i/>
          <w:iCs/>
          <w:rtl/>
          <w:lang w:bidi="ar-SY"/>
        </w:rPr>
        <w:t>تعتمد</w:t>
      </w:r>
      <w:r>
        <w:rPr>
          <w:rFonts w:hint="cs"/>
          <w:rtl/>
          <w:lang w:bidi="ar-SY"/>
        </w:rPr>
        <w:t xml:space="preserve"> ما</w:t>
      </w:r>
      <w:r>
        <w:rPr>
          <w:rtl/>
          <w:lang w:bidi="ar-SY"/>
        </w:rPr>
        <w:t> </w:t>
      </w:r>
      <w:r w:rsidRPr="00B41DC4">
        <w:rPr>
          <w:rFonts w:hint="cs"/>
          <w:rtl/>
          <w:lang w:bidi="ar-SY"/>
        </w:rPr>
        <w:t>يلي</w:t>
      </w:r>
      <w:r w:rsidRPr="00B41DC4">
        <w:rPr>
          <w:rFonts w:hint="cs"/>
          <w:rtl/>
        </w:rPr>
        <w:t>:</w:t>
      </w:r>
    </w:p>
    <w:p w:rsidR="00D0360A" w:rsidRPr="00B41DC4" w:rsidRDefault="00D0360A" w:rsidP="00D0360A">
      <w:pPr>
        <w:pStyle w:val="H1GA"/>
        <w:rPr>
          <w:rFonts w:hint="cs"/>
          <w:rtl/>
        </w:rPr>
      </w:pPr>
      <w:r w:rsidRPr="00B41DC4">
        <w:rPr>
          <w:rFonts w:hint="cs"/>
          <w:rtl/>
        </w:rPr>
        <w:tab/>
      </w:r>
      <w:r w:rsidRPr="00B41DC4">
        <w:rPr>
          <w:rFonts w:hint="cs"/>
          <w:rtl/>
        </w:rPr>
        <w:tab/>
      </w:r>
      <w:r w:rsidRPr="00B41DC4">
        <w:rPr>
          <w:rtl/>
        </w:rPr>
        <w:t>قرار بموجب الفقرة 7 من المادة 22 من اتفاقية مناهضة التعذيب</w:t>
      </w:r>
    </w:p>
    <w:p w:rsidR="00D0360A" w:rsidRPr="00921AE3" w:rsidRDefault="00D0360A" w:rsidP="00D0360A">
      <w:pPr>
        <w:pStyle w:val="SingleTxtGA"/>
        <w:rPr>
          <w:rFonts w:hint="cs"/>
          <w:rtl/>
          <w:lang w:val="fr-CH"/>
        </w:rPr>
      </w:pPr>
      <w:r w:rsidRPr="00B41DC4">
        <w:rPr>
          <w:rFonts w:hint="cs"/>
          <w:rtl/>
          <w:lang w:bidi="ar-MA"/>
        </w:rPr>
        <w:t>1-1</w:t>
      </w:r>
      <w:r w:rsidRPr="00B41DC4">
        <w:rPr>
          <w:rFonts w:hint="cs"/>
          <w:rtl/>
          <w:lang w:bidi="ar-MA"/>
        </w:rPr>
        <w:tab/>
        <w:t>صاحب</w:t>
      </w:r>
      <w:r>
        <w:rPr>
          <w:rFonts w:hint="cs"/>
          <w:rtl/>
          <w:lang w:bidi="ar-MA"/>
        </w:rPr>
        <w:t xml:space="preserve"> </w:t>
      </w:r>
      <w:r w:rsidRPr="003821F9">
        <w:rPr>
          <w:rFonts w:hint="cs"/>
          <w:rtl/>
          <w:lang w:bidi="ar-MA"/>
        </w:rPr>
        <w:t xml:space="preserve">الشكوى هو السيد </w:t>
      </w:r>
      <w:r w:rsidRPr="003821F9">
        <w:rPr>
          <w:rFonts w:hint="cs"/>
          <w:rtl/>
          <w:lang w:bidi="ar-SY"/>
        </w:rPr>
        <w:t>ي.</w:t>
      </w:r>
      <w:r>
        <w:rPr>
          <w:rFonts w:hint="cs"/>
          <w:rtl/>
          <w:lang w:bidi="ar-SY"/>
        </w:rPr>
        <w:t xml:space="preserve"> </w:t>
      </w:r>
      <w:r w:rsidRPr="003821F9">
        <w:rPr>
          <w:rFonts w:hint="cs"/>
          <w:rtl/>
          <w:lang w:bidi="ar-SY"/>
        </w:rPr>
        <w:t>ز</w:t>
      </w:r>
      <w:r w:rsidRPr="003821F9">
        <w:rPr>
          <w:rtl/>
          <w:lang w:bidi="ar-SY"/>
        </w:rPr>
        <w:t>.</w:t>
      </w:r>
      <w:r>
        <w:rPr>
          <w:rFonts w:hint="cs"/>
          <w:rtl/>
          <w:lang w:bidi="ar-SY"/>
        </w:rPr>
        <w:t xml:space="preserve"> </w:t>
      </w:r>
      <w:r w:rsidRPr="003821F9">
        <w:rPr>
          <w:rFonts w:hint="cs"/>
          <w:rtl/>
          <w:lang w:bidi="ar-SY"/>
        </w:rPr>
        <w:t>س</w:t>
      </w:r>
      <w:r w:rsidRPr="003821F9">
        <w:rPr>
          <w:rtl/>
          <w:lang w:bidi="ar-SY"/>
        </w:rPr>
        <w:t>.</w:t>
      </w:r>
      <w:r w:rsidRPr="00B41DC4">
        <w:rPr>
          <w:rFonts w:hint="cs"/>
          <w:rtl/>
          <w:lang w:bidi="ar-MA"/>
        </w:rPr>
        <w:t>، و</w:t>
      </w:r>
      <w:r>
        <w:rPr>
          <w:rFonts w:hint="cs"/>
          <w:rtl/>
          <w:lang w:bidi="ar-MA"/>
        </w:rPr>
        <w:t>هو</w:t>
      </w:r>
      <w:r w:rsidRPr="00B41DC4">
        <w:rPr>
          <w:rFonts w:hint="cs"/>
          <w:rtl/>
          <w:lang w:bidi="ar-MA"/>
        </w:rPr>
        <w:t xml:space="preserve"> مواطن </w:t>
      </w:r>
      <w:r>
        <w:rPr>
          <w:rFonts w:hint="cs"/>
          <w:rtl/>
          <w:lang w:val="en-CA"/>
        </w:rPr>
        <w:t>صيني.</w:t>
      </w:r>
      <w:r w:rsidRPr="00B41DC4">
        <w:rPr>
          <w:rFonts w:hint="cs"/>
          <w:rtl/>
          <w:lang w:val="en-CA"/>
        </w:rPr>
        <w:t xml:space="preserve"> </w:t>
      </w:r>
      <w:r>
        <w:rPr>
          <w:rFonts w:hint="cs"/>
          <w:rtl/>
          <w:lang w:val="en-CA"/>
        </w:rPr>
        <w:t>وقد قدّم طلباً للحصول على تأشيرة للحماية وفقاً لقانون الهجرة لعام</w:t>
      </w:r>
      <w:r>
        <w:rPr>
          <w:rtl/>
          <w:lang w:val="en-CA"/>
        </w:rPr>
        <w:t> </w:t>
      </w:r>
      <w:r>
        <w:rPr>
          <w:rFonts w:hint="cs"/>
          <w:rtl/>
          <w:lang w:val="en-CA"/>
        </w:rPr>
        <w:t>1958، المعمول به في أستراليا، ولكن رُفض طلبه. وكان وقت تقديمه الشكوى محتجزاً في "مركز فيلاوود لاحتجاز المهاجرين" في سيدني وأُخطر بأمر ترحيله إلى الصين في 1 نيسان/أبريل 2010.</w:t>
      </w:r>
      <w:r w:rsidRPr="00F834B7">
        <w:rPr>
          <w:rFonts w:hint="cs"/>
          <w:rtl/>
          <w:lang w:val="en-CA"/>
        </w:rPr>
        <w:t xml:space="preserve"> </w:t>
      </w:r>
      <w:r w:rsidRPr="003821F9">
        <w:rPr>
          <w:rFonts w:hint="cs"/>
          <w:rtl/>
          <w:lang w:val="en-CA"/>
        </w:rPr>
        <w:t xml:space="preserve">وادعى </w:t>
      </w:r>
      <w:r w:rsidRPr="003821F9">
        <w:rPr>
          <w:rFonts w:hint="cs"/>
          <w:rtl/>
          <w:lang w:bidi="ar-MA"/>
        </w:rPr>
        <w:t xml:space="preserve">السيد </w:t>
      </w:r>
      <w:r w:rsidRPr="003821F9">
        <w:rPr>
          <w:rFonts w:hint="cs"/>
          <w:rtl/>
          <w:lang w:bidi="ar-SY"/>
        </w:rPr>
        <w:t>ي.</w:t>
      </w:r>
      <w:r>
        <w:rPr>
          <w:rFonts w:hint="cs"/>
          <w:rtl/>
          <w:lang w:bidi="ar-SY"/>
        </w:rPr>
        <w:t xml:space="preserve"> </w:t>
      </w:r>
      <w:r w:rsidRPr="003821F9">
        <w:rPr>
          <w:rFonts w:hint="cs"/>
          <w:rtl/>
          <w:lang w:bidi="ar-SY"/>
        </w:rPr>
        <w:t>ز</w:t>
      </w:r>
      <w:r w:rsidRPr="003821F9">
        <w:rPr>
          <w:rtl/>
          <w:lang w:bidi="ar-SY"/>
        </w:rPr>
        <w:t>.</w:t>
      </w:r>
      <w:r>
        <w:rPr>
          <w:rFonts w:hint="cs"/>
          <w:rtl/>
          <w:lang w:bidi="ar-SY"/>
        </w:rPr>
        <w:t xml:space="preserve"> </w:t>
      </w:r>
      <w:r w:rsidRPr="003821F9">
        <w:rPr>
          <w:rFonts w:hint="cs"/>
          <w:rtl/>
          <w:lang w:bidi="ar-SY"/>
        </w:rPr>
        <w:t>س</w:t>
      </w:r>
      <w:r w:rsidRPr="003821F9">
        <w:rPr>
          <w:rtl/>
          <w:lang w:bidi="ar-SY"/>
        </w:rPr>
        <w:t xml:space="preserve">. </w:t>
      </w:r>
      <w:r>
        <w:rPr>
          <w:rFonts w:hint="cs"/>
          <w:rtl/>
          <w:lang w:val="en-CA"/>
        </w:rPr>
        <w:t>أن إعادته القسرية إلى الصين</w:t>
      </w:r>
      <w:r w:rsidRPr="00B41DC4">
        <w:rPr>
          <w:rFonts w:hint="cs"/>
          <w:rtl/>
          <w:lang w:val="en-CA"/>
        </w:rPr>
        <w:t xml:space="preserve"> </w:t>
      </w:r>
      <w:r>
        <w:rPr>
          <w:rFonts w:hint="cs"/>
          <w:rtl/>
          <w:lang w:val="en-CA"/>
        </w:rPr>
        <w:t>ستشكل خرقاً من جانب أستراليا ل</w:t>
      </w:r>
      <w:r w:rsidRPr="00B41DC4">
        <w:rPr>
          <w:rFonts w:hint="cs"/>
          <w:rtl/>
          <w:lang w:val="en-CA"/>
        </w:rPr>
        <w:t>لمادة 3 من اتفاقية مناهضة التعذيب وغيره من ضروب المعاملة</w:t>
      </w:r>
      <w:r>
        <w:rPr>
          <w:rFonts w:hint="cs"/>
          <w:rtl/>
          <w:lang w:val="en-CA"/>
        </w:rPr>
        <w:t xml:space="preserve"> أو</w:t>
      </w:r>
      <w:r>
        <w:rPr>
          <w:rtl/>
          <w:lang w:val="en-CA"/>
        </w:rPr>
        <w:t> </w:t>
      </w:r>
      <w:r w:rsidRPr="00B41DC4">
        <w:rPr>
          <w:rFonts w:hint="cs"/>
          <w:rtl/>
          <w:lang w:val="en-CA"/>
        </w:rPr>
        <w:t>العقوبة القاسية</w:t>
      </w:r>
      <w:r>
        <w:rPr>
          <w:rFonts w:hint="cs"/>
          <w:rtl/>
          <w:lang w:val="en-CA"/>
        </w:rPr>
        <w:t xml:space="preserve"> أو</w:t>
      </w:r>
      <w:r>
        <w:rPr>
          <w:rtl/>
          <w:lang w:val="en-CA"/>
        </w:rPr>
        <w:t> </w:t>
      </w:r>
      <w:r w:rsidRPr="00B41DC4">
        <w:rPr>
          <w:rFonts w:hint="cs"/>
          <w:rtl/>
          <w:lang w:val="en-CA"/>
        </w:rPr>
        <w:t>اللاإنسانية</w:t>
      </w:r>
      <w:r>
        <w:rPr>
          <w:rFonts w:hint="cs"/>
          <w:rtl/>
          <w:lang w:val="en-CA"/>
        </w:rPr>
        <w:t xml:space="preserve"> أو</w:t>
      </w:r>
      <w:r>
        <w:rPr>
          <w:rtl/>
          <w:lang w:val="en-CA"/>
        </w:rPr>
        <w:t> </w:t>
      </w:r>
      <w:r w:rsidRPr="00B41DC4">
        <w:rPr>
          <w:rFonts w:hint="cs"/>
          <w:rtl/>
          <w:lang w:val="en-CA"/>
        </w:rPr>
        <w:t>المهينة (الاتفاقية). و</w:t>
      </w:r>
      <w:r>
        <w:rPr>
          <w:rFonts w:hint="cs"/>
          <w:rtl/>
          <w:lang w:val="en-CA"/>
        </w:rPr>
        <w:t>ت</w:t>
      </w:r>
      <w:r w:rsidRPr="00B41DC4">
        <w:rPr>
          <w:rFonts w:hint="cs"/>
          <w:rtl/>
          <w:lang w:val="en-CA"/>
        </w:rPr>
        <w:t xml:space="preserve">مثل </w:t>
      </w:r>
      <w:r w:rsidRPr="00921AE3">
        <w:rPr>
          <w:rFonts w:hint="cs"/>
          <w:rtl/>
          <w:lang w:val="en-CA"/>
        </w:rPr>
        <w:t>صاحب الشكوى محام</w:t>
      </w:r>
      <w:r>
        <w:rPr>
          <w:rFonts w:hint="cs"/>
          <w:rtl/>
          <w:lang w:val="en-CA"/>
        </w:rPr>
        <w:t>ية</w:t>
      </w:r>
      <w:r w:rsidRPr="00921AE3">
        <w:rPr>
          <w:rFonts w:hint="cs"/>
          <w:rtl/>
          <w:lang w:val="en-CA"/>
        </w:rPr>
        <w:t>.</w:t>
      </w:r>
    </w:p>
    <w:p w:rsidR="00D0360A" w:rsidRPr="003C3222" w:rsidRDefault="00D0360A" w:rsidP="00D0360A">
      <w:pPr>
        <w:pStyle w:val="SingleTxtGA"/>
        <w:rPr>
          <w:rFonts w:hint="cs"/>
          <w:rtl/>
          <w:lang w:val="en-CA"/>
        </w:rPr>
      </w:pPr>
      <w:r w:rsidRPr="00921AE3">
        <w:rPr>
          <w:rFonts w:hint="cs"/>
          <w:rtl/>
          <w:lang w:bidi="ar-MA"/>
        </w:rPr>
        <w:t>1-2</w:t>
      </w:r>
      <w:r w:rsidRPr="00921AE3">
        <w:rPr>
          <w:rFonts w:hint="cs"/>
          <w:rtl/>
          <w:lang w:bidi="ar-MA"/>
        </w:rPr>
        <w:tab/>
      </w:r>
      <w:r w:rsidRPr="00921AE3">
        <w:rPr>
          <w:rFonts w:hint="cs"/>
          <w:rtl/>
        </w:rPr>
        <w:t>و</w:t>
      </w:r>
      <w:r w:rsidRPr="00921AE3">
        <w:rPr>
          <w:rFonts w:hint="cs"/>
          <w:rtl/>
          <w:lang w:val="en-CA"/>
        </w:rPr>
        <w:t xml:space="preserve">رفض </w:t>
      </w:r>
      <w:r w:rsidRPr="00921AE3">
        <w:rPr>
          <w:rtl/>
          <w:lang w:val="en-CA"/>
        </w:rPr>
        <w:t xml:space="preserve">المقرر المعني بالشكاوى الجديدة والتدابير المؤقتة، </w:t>
      </w:r>
      <w:r w:rsidRPr="00921AE3">
        <w:rPr>
          <w:rFonts w:hint="cs"/>
          <w:rtl/>
          <w:lang w:val="en-CA"/>
        </w:rPr>
        <w:t>في 31 آذار/مارس 2010،</w:t>
      </w:r>
      <w:r>
        <w:rPr>
          <w:rFonts w:hint="cs"/>
          <w:rtl/>
          <w:lang w:val="en-CA"/>
        </w:rPr>
        <w:t xml:space="preserve"> طلب صاحب الشكوى الاستفادة من تدابير </w:t>
      </w:r>
      <w:r w:rsidRPr="003C3222">
        <w:rPr>
          <w:rFonts w:hint="cs"/>
          <w:rtl/>
          <w:lang w:val="en-CA"/>
        </w:rPr>
        <w:t>مؤقتة</w:t>
      </w:r>
      <w:r w:rsidRPr="003C3222">
        <w:rPr>
          <w:rFonts w:hint="cs"/>
          <w:rtl/>
          <w:lang w:bidi="ar-MA"/>
        </w:rPr>
        <w:t xml:space="preserve"> بموجب المادة 114 (المادة 108 سابقاً) من </w:t>
      </w:r>
      <w:r w:rsidRPr="003C3222">
        <w:rPr>
          <w:rFonts w:hint="cs"/>
          <w:rtl/>
          <w:lang w:val="en-CA"/>
        </w:rPr>
        <w:t>نظام اللجنة الداخلي (</w:t>
      </w:r>
      <w:r w:rsidRPr="003C3222">
        <w:t>CAT/C/3/Rev.5</w:t>
      </w:r>
      <w:r w:rsidRPr="003C3222">
        <w:rPr>
          <w:rFonts w:hint="cs"/>
          <w:rtl/>
          <w:lang w:val="en-CA"/>
        </w:rPr>
        <w:t>).</w:t>
      </w:r>
    </w:p>
    <w:p w:rsidR="00D0360A" w:rsidRPr="0054403D" w:rsidRDefault="00D0360A" w:rsidP="00D0360A">
      <w:pPr>
        <w:pStyle w:val="H23GA"/>
        <w:rPr>
          <w:rFonts w:hint="cs"/>
          <w:rtl/>
        </w:rPr>
      </w:pPr>
      <w:r>
        <w:rPr>
          <w:rFonts w:hint="cs"/>
          <w:rtl/>
        </w:rPr>
        <w:tab/>
      </w:r>
      <w:r>
        <w:rPr>
          <w:rFonts w:hint="cs"/>
          <w:rtl/>
        </w:rPr>
        <w:tab/>
      </w:r>
      <w:r w:rsidRPr="0054403D">
        <w:rPr>
          <w:rFonts w:hint="eastAsia"/>
          <w:rtl/>
        </w:rPr>
        <w:t>الوقائع</w:t>
      </w:r>
    </w:p>
    <w:p w:rsidR="00D0360A" w:rsidRPr="00162BDC" w:rsidRDefault="00D0360A" w:rsidP="00D0360A">
      <w:pPr>
        <w:pStyle w:val="SingleTxtGA"/>
        <w:rPr>
          <w:rFonts w:hint="cs"/>
          <w:color w:val="000000"/>
          <w:rtl/>
          <w:lang w:val="en-CA"/>
        </w:rPr>
      </w:pPr>
      <w:r w:rsidRPr="00162BDC">
        <w:rPr>
          <w:color w:val="000000"/>
          <w:rtl/>
          <w:lang w:val="en-CA"/>
        </w:rPr>
        <w:t>2-1</w:t>
      </w:r>
      <w:r w:rsidRPr="00162BDC">
        <w:rPr>
          <w:color w:val="000000"/>
          <w:rtl/>
          <w:lang w:val="en-CA"/>
        </w:rPr>
        <w:tab/>
      </w:r>
      <w:r>
        <w:rPr>
          <w:rFonts w:hint="cs"/>
          <w:rtl/>
          <w:lang/>
        </w:rPr>
        <w:t>يبلغ صاحب الشكوى من العمر 54 عاماً وهو مواطن صيني يدعي أنه من ممارسي الفالون غونغ</w:t>
      </w:r>
      <w:r>
        <w:rPr>
          <w:rFonts w:hint="cs"/>
          <w:color w:val="000000"/>
          <w:rtl/>
          <w:lang w:val="en-CA"/>
        </w:rPr>
        <w:t>، وهي حركة انضم إليها عام</w:t>
      </w:r>
      <w:r>
        <w:rPr>
          <w:color w:val="000000"/>
          <w:rtl/>
          <w:lang w:val="en-CA"/>
        </w:rPr>
        <w:t> </w:t>
      </w:r>
      <w:r>
        <w:rPr>
          <w:rFonts w:hint="cs"/>
          <w:color w:val="000000"/>
          <w:rtl/>
          <w:lang w:val="en-CA"/>
        </w:rPr>
        <w:t xml:space="preserve">1996. وكان يعمل في مصنع في الصين. ويدعي أنه دعا آخرين أيضاً إلى الانضمام إلى ممارسة </w:t>
      </w:r>
      <w:r>
        <w:rPr>
          <w:rFonts w:hint="cs"/>
          <w:rtl/>
          <w:lang/>
        </w:rPr>
        <w:t>الفالون غونغ</w:t>
      </w:r>
      <w:r>
        <w:rPr>
          <w:rFonts w:hint="cs"/>
          <w:color w:val="000000"/>
          <w:rtl/>
          <w:lang w:val="en-CA"/>
        </w:rPr>
        <w:t xml:space="preserve"> في مصنعه في </w:t>
      </w:r>
      <w:r>
        <w:rPr>
          <w:rFonts w:hint="cs"/>
          <w:rtl/>
          <w:lang/>
        </w:rPr>
        <w:t>شينيانغ. ويقول صاحب الشكوى إنه قُبض عليه في 20 آب/أغسطس 1999 لممارسته الفالون غونغ</w:t>
      </w:r>
      <w:r>
        <w:rPr>
          <w:rFonts w:hint="cs"/>
          <w:color w:val="000000"/>
          <w:rtl/>
          <w:lang w:val="en-CA"/>
        </w:rPr>
        <w:t xml:space="preserve"> واحتُجز في معسكر زانغشي للعمل القسري حتى 19 آب/أغسطس 2000. ويدعي أنه تعرض للتعذيب أثناء احتجازه وأن الصدمة التي أصابته بفعل التعذيب بلغت من الحدة ما</w:t>
      </w:r>
      <w:r>
        <w:rPr>
          <w:color w:val="000000"/>
          <w:rtl/>
          <w:lang w:val="en-CA"/>
        </w:rPr>
        <w:t> </w:t>
      </w:r>
      <w:r>
        <w:rPr>
          <w:rFonts w:hint="cs"/>
          <w:color w:val="000000"/>
          <w:rtl/>
          <w:lang w:val="en-CA"/>
        </w:rPr>
        <w:t xml:space="preserve">دفع به إلى القيام بمحاولة انتحار. </w:t>
      </w:r>
    </w:p>
    <w:p w:rsidR="00D0360A" w:rsidRPr="00A90748" w:rsidRDefault="00D0360A" w:rsidP="00D0360A">
      <w:pPr>
        <w:pStyle w:val="SingleTxtGA"/>
        <w:rPr>
          <w:rFonts w:hint="cs"/>
          <w:rtl/>
        </w:rPr>
      </w:pPr>
      <w:r w:rsidRPr="00A90748">
        <w:rPr>
          <w:rtl/>
        </w:rPr>
        <w:t>2-2</w:t>
      </w:r>
      <w:r w:rsidRPr="00A90748">
        <w:rPr>
          <w:rtl/>
        </w:rPr>
        <w:tab/>
      </w:r>
      <w:r>
        <w:rPr>
          <w:rFonts w:hint="cs"/>
          <w:rtl/>
        </w:rPr>
        <w:t xml:space="preserve">وفي 2 تشرين الأول/أكتوبر 2002، وصل صاحب الشكوى إلى أستراليا </w:t>
      </w:r>
      <w:r w:rsidRPr="00B37AE5">
        <w:rPr>
          <w:rFonts w:hint="cs"/>
          <w:sz w:val="30"/>
          <w:rtl/>
        </w:rPr>
        <w:t>ب‍</w:t>
      </w:r>
      <w:r>
        <w:rPr>
          <w:rFonts w:hint="eastAsia"/>
          <w:rtl/>
        </w:rPr>
        <w:t> </w:t>
      </w:r>
      <w:r>
        <w:rPr>
          <w:rFonts w:hint="cs"/>
          <w:rtl/>
        </w:rPr>
        <w:t>"تأشيرة زائر من فئة 676" (إقامة قصيرة المدة) تجيز له دخول نيوزيلندا وأستراليا. ثم غادر أستراليا في 9 تشرين الأول/أكتوبر 2002. وعاد إليها مرّة أخرى (في زيارة ثانية) في 1 تشرين الأول/أكتوبر 2003 بتأشيرة جديدة لإقامة قصيرة المدة. وفي</w:t>
      </w:r>
      <w:r>
        <w:rPr>
          <w:rtl/>
        </w:rPr>
        <w:t> </w:t>
      </w:r>
      <w:r>
        <w:rPr>
          <w:rFonts w:hint="cs"/>
          <w:rtl/>
        </w:rPr>
        <w:t>10 تشرين الأول/ أكتوبر</w:t>
      </w:r>
      <w:r>
        <w:rPr>
          <w:rFonts w:hint="eastAsia"/>
          <w:rtl/>
        </w:rPr>
        <w:t> </w:t>
      </w:r>
      <w:r>
        <w:rPr>
          <w:rFonts w:hint="cs"/>
          <w:rtl/>
        </w:rPr>
        <w:t>2003، قدّم طلباً للحصول على تأشيرة للحماية بحجة تعرضه للاضطهاد جراء ممارسته ال</w:t>
      </w:r>
      <w:r>
        <w:rPr>
          <w:rFonts w:hint="cs"/>
          <w:rtl/>
          <w:lang/>
        </w:rPr>
        <w:t xml:space="preserve">فالون غونغ. ورفض طلبَه موظفٌ في </w:t>
      </w:r>
      <w:r w:rsidRPr="005E514B">
        <w:rPr>
          <w:rFonts w:hint="cs"/>
          <w:rtl/>
          <w:lang/>
        </w:rPr>
        <w:t>إدارة</w:t>
      </w:r>
      <w:r>
        <w:rPr>
          <w:rFonts w:hint="cs"/>
          <w:rtl/>
          <w:lang/>
        </w:rPr>
        <w:t xml:space="preserve"> الهجرة والتعددية الثقافية والشعوب الأصلية في 24 كانون الأول/ديسمبر 2003. </w:t>
      </w:r>
    </w:p>
    <w:p w:rsidR="00D0360A" w:rsidRPr="00CF7809" w:rsidRDefault="00D0360A" w:rsidP="00D0360A">
      <w:pPr>
        <w:pStyle w:val="SingleTxtGA"/>
        <w:rPr>
          <w:rFonts w:ascii="Traditional Arabic" w:hAnsi="Traditional Arabic" w:hint="cs"/>
          <w:color w:val="000000"/>
          <w:rtl/>
          <w:lang/>
        </w:rPr>
      </w:pPr>
      <w:r w:rsidRPr="00CF7809">
        <w:rPr>
          <w:rFonts w:ascii="Traditional Arabic" w:hAnsi="Traditional Arabic"/>
          <w:color w:val="000000"/>
          <w:rtl/>
          <w:lang w:val="en-CA"/>
        </w:rPr>
        <w:t>2-3</w:t>
      </w:r>
      <w:r w:rsidRPr="00CF7809">
        <w:rPr>
          <w:rFonts w:ascii="Traditional Arabic" w:hAnsi="Traditional Arabic"/>
          <w:color w:val="000000"/>
          <w:rtl/>
          <w:lang w:val="en-CA"/>
        </w:rPr>
        <w:tab/>
      </w:r>
      <w:r>
        <w:rPr>
          <w:rFonts w:ascii="Traditional Arabic" w:hAnsi="Traditional Arabic" w:hint="cs"/>
          <w:color w:val="000000"/>
          <w:rtl/>
        </w:rPr>
        <w:t xml:space="preserve">واستأنف صاحب الشكوى الحكم أمام </w:t>
      </w:r>
      <w:r>
        <w:rPr>
          <w:rtl/>
          <w:lang w:val="en-GB"/>
        </w:rPr>
        <w:t>محكمة مراجعة الأحكام الخاصة</w:t>
      </w:r>
      <w:r>
        <w:rPr>
          <w:rFonts w:hint="cs"/>
          <w:rtl/>
          <w:lang w:val="en-GB"/>
        </w:rPr>
        <w:t xml:space="preserve"> باللاجئين. وفي</w:t>
      </w:r>
      <w:r>
        <w:rPr>
          <w:rtl/>
          <w:lang w:val="en-GB"/>
        </w:rPr>
        <w:t> </w:t>
      </w:r>
      <w:r>
        <w:rPr>
          <w:rFonts w:hint="cs"/>
          <w:rtl/>
          <w:lang w:val="en-GB"/>
        </w:rPr>
        <w:t xml:space="preserve">24 آذار/مارس 2004، رفضت المحكمة طعنه </w:t>
      </w:r>
      <w:r w:rsidRPr="007E03D0">
        <w:rPr>
          <w:rFonts w:hint="cs"/>
          <w:rtl/>
          <w:lang w:val="en-GB"/>
        </w:rPr>
        <w:t>غيابي</w:t>
      </w:r>
      <w:r>
        <w:rPr>
          <w:rFonts w:hint="cs"/>
          <w:rtl/>
          <w:lang w:val="en-GB"/>
        </w:rPr>
        <w:t>اً. ودفعت بأن صاحب الشكوى قد تخلّف عن حضور جلسة استماع تقرر عقدها في 18 آذار/مارس 2003، وبأنه أخطر المحكمة بعدم رغبته في تقديم أدلة شفوية، وبأنه قبِِل أيضاً أن تقوم المحكمة باتخاذ قرارها غيابياً. ويدعي صاحب الشكوى أنه لم</w:t>
      </w:r>
      <w:r>
        <w:rPr>
          <w:rtl/>
          <w:lang w:val="en-GB"/>
        </w:rPr>
        <w:t> </w:t>
      </w:r>
      <w:r>
        <w:rPr>
          <w:rFonts w:hint="cs"/>
          <w:rtl/>
          <w:lang w:val="en-GB"/>
        </w:rPr>
        <w:t xml:space="preserve">يرغب في حضور جلسة الاستماع المذكورة أعلاه لأنه علم أن موظف الهجرة أقدم على تلفيق بعض الوقائع الواردة في شكواه، فخشي بالتالي مواجهة هذا الموظف أثناء الجلسة. وأصدرت المحكمة، في غياب صاحب الشكوى، قراراً يقضي برفض الحماية بحجة أن </w:t>
      </w:r>
      <w:r w:rsidRPr="00B50D42">
        <w:rPr>
          <w:rFonts w:hint="cs"/>
          <w:rtl/>
          <w:lang w:val="en-GB"/>
        </w:rPr>
        <w:t>طلبه اتسم</w:t>
      </w:r>
      <w:r>
        <w:rPr>
          <w:rFonts w:hint="cs"/>
          <w:rtl/>
          <w:lang w:val="en-GB"/>
        </w:rPr>
        <w:t xml:space="preserve"> بما</w:t>
      </w:r>
      <w:r>
        <w:rPr>
          <w:rtl/>
          <w:lang w:val="en-GB"/>
        </w:rPr>
        <w:t> </w:t>
      </w:r>
      <w:r>
        <w:rPr>
          <w:rFonts w:hint="cs"/>
          <w:rtl/>
          <w:lang w:val="en-GB"/>
        </w:rPr>
        <w:t>يلي: (أ) لم</w:t>
      </w:r>
      <w:r>
        <w:rPr>
          <w:rtl/>
          <w:lang w:val="en-GB"/>
        </w:rPr>
        <w:t> </w:t>
      </w:r>
      <w:r>
        <w:rPr>
          <w:rFonts w:hint="cs"/>
          <w:rtl/>
          <w:lang w:val="en-GB"/>
        </w:rPr>
        <w:t xml:space="preserve">يتضمن معلومات تفصيلية عن طبيعة ممارسته </w:t>
      </w:r>
      <w:r>
        <w:rPr>
          <w:rFonts w:hint="cs"/>
          <w:rtl/>
          <w:lang/>
        </w:rPr>
        <w:t>للفالون غونغ؛ (ب) لم</w:t>
      </w:r>
      <w:r>
        <w:rPr>
          <w:rtl/>
          <w:lang/>
        </w:rPr>
        <w:t> </w:t>
      </w:r>
      <w:r>
        <w:rPr>
          <w:rFonts w:hint="cs"/>
          <w:rtl/>
          <w:lang/>
        </w:rPr>
        <w:t>يعطِ تفاصيل عن الظروف التي أوصلته ليكون منظِّم مجموعته، (ج) افتقر إلى معلومات تثبت العنف الذي ارتكبه أفراد الشرطة؛ (د) لم</w:t>
      </w:r>
      <w:r>
        <w:rPr>
          <w:rtl/>
          <w:lang/>
        </w:rPr>
        <w:t> </w:t>
      </w:r>
      <w:r>
        <w:rPr>
          <w:rFonts w:hint="cs"/>
          <w:rtl/>
          <w:lang/>
        </w:rPr>
        <w:t xml:space="preserve">يقدّم تفاصيل وافية عن عملية غسل المخ التي تعرض لها صاحب الشكوى، حسب ادعائه، خلال ثلاثة أشهر. </w:t>
      </w:r>
    </w:p>
    <w:p w:rsidR="00D0360A" w:rsidRPr="00592415" w:rsidRDefault="00D0360A" w:rsidP="00D0360A">
      <w:pPr>
        <w:pStyle w:val="SingleTxtGA"/>
        <w:rPr>
          <w:rFonts w:hint="cs"/>
          <w:rtl/>
        </w:rPr>
      </w:pPr>
      <w:r w:rsidRPr="00592415">
        <w:rPr>
          <w:rtl/>
          <w:lang w:val="en-CA"/>
        </w:rPr>
        <w:t>2-4</w:t>
      </w:r>
      <w:r w:rsidRPr="00592415">
        <w:rPr>
          <w:rtl/>
          <w:lang w:val="en-CA"/>
        </w:rPr>
        <w:tab/>
      </w:r>
      <w:r>
        <w:rPr>
          <w:rFonts w:hint="cs"/>
          <w:rtl/>
        </w:rPr>
        <w:t>ولم يتقدّم صاحب الشكوى</w:t>
      </w:r>
      <w:r w:rsidRPr="0038593F">
        <w:rPr>
          <w:rFonts w:hint="cs"/>
          <w:rtl/>
        </w:rPr>
        <w:t xml:space="preserve"> </w:t>
      </w:r>
      <w:r>
        <w:rPr>
          <w:rFonts w:hint="cs"/>
          <w:rtl/>
        </w:rPr>
        <w:t>أمام محكمة الصلح الاتحادية في أستراليا بطلب للحصول على مراجعة قضائية إلا</w:t>
      </w:r>
      <w:r>
        <w:rPr>
          <w:rtl/>
        </w:rPr>
        <w:t> </w:t>
      </w:r>
      <w:r>
        <w:rPr>
          <w:rFonts w:hint="cs"/>
          <w:rtl/>
        </w:rPr>
        <w:t xml:space="preserve">في أيار/مايو 2007 (أي بعد ثلاث سنوات على صدور قرار محكمة </w:t>
      </w:r>
      <w:r>
        <w:rPr>
          <w:rtl/>
          <w:lang w:val="en-GB"/>
        </w:rPr>
        <w:t>مراجعة الأحكام الخاصة</w:t>
      </w:r>
      <w:r>
        <w:rPr>
          <w:rFonts w:hint="cs"/>
          <w:rtl/>
          <w:lang w:val="en-GB"/>
        </w:rPr>
        <w:t xml:space="preserve"> باللاجئين</w:t>
      </w:r>
      <w:r>
        <w:rPr>
          <w:rFonts w:hint="cs"/>
          <w:rtl/>
        </w:rPr>
        <w:t xml:space="preserve">)، موضّحاً أن موظف </w:t>
      </w:r>
      <w:r w:rsidRPr="005E514B">
        <w:rPr>
          <w:rFonts w:hint="cs"/>
          <w:rtl/>
        </w:rPr>
        <w:t>إدارة</w:t>
      </w:r>
      <w:r>
        <w:rPr>
          <w:rFonts w:hint="cs"/>
          <w:rtl/>
        </w:rPr>
        <w:t xml:space="preserve"> الهجرة لم</w:t>
      </w:r>
      <w:r>
        <w:rPr>
          <w:rtl/>
        </w:rPr>
        <w:t> </w:t>
      </w:r>
      <w:r>
        <w:rPr>
          <w:rFonts w:hint="cs"/>
          <w:rtl/>
        </w:rPr>
        <w:t>يعرِض المعلومات الوقائعية الصحيحة فيما</w:t>
      </w:r>
      <w:r>
        <w:rPr>
          <w:rtl/>
        </w:rPr>
        <w:t> </w:t>
      </w:r>
      <w:r>
        <w:rPr>
          <w:rFonts w:hint="cs"/>
          <w:rtl/>
        </w:rPr>
        <w:t>يخص شكواه. وفي</w:t>
      </w:r>
      <w:r>
        <w:rPr>
          <w:rtl/>
        </w:rPr>
        <w:t> </w:t>
      </w:r>
      <w:r>
        <w:rPr>
          <w:rFonts w:hint="cs"/>
          <w:rtl/>
        </w:rPr>
        <w:t xml:space="preserve">10 أيلول/سبتمبر 2007، رفضت المحكمة طلبه على أساس أن الفرصة كانت سانحة أمام صاحب الشكوى ليعرض الوقائع الحقيقية أمام محكمة </w:t>
      </w:r>
      <w:r>
        <w:rPr>
          <w:rtl/>
          <w:lang w:val="en-GB"/>
        </w:rPr>
        <w:t>مراجعة الأحكام الخاصة</w:t>
      </w:r>
      <w:r>
        <w:rPr>
          <w:rFonts w:hint="cs"/>
          <w:rtl/>
          <w:lang w:val="en-GB"/>
        </w:rPr>
        <w:t xml:space="preserve"> باللاجئين لو حضر جلسة الاستماع. ورُفض الطعن المقدَّم أمام المحكمة الاتحادية الأسترالية ضد قرار محكمة الصلح الاتحادية في 12 كانون الأول/ديسمبر 2008. </w:t>
      </w:r>
      <w:r>
        <w:rPr>
          <w:rFonts w:hint="cs"/>
          <w:rtl/>
        </w:rPr>
        <w:t>ويفيد صاحب الشكوى بأنه لم</w:t>
      </w:r>
      <w:r>
        <w:rPr>
          <w:rtl/>
        </w:rPr>
        <w:t> </w:t>
      </w:r>
      <w:r>
        <w:rPr>
          <w:rFonts w:hint="cs"/>
          <w:rtl/>
        </w:rPr>
        <w:t>يسعَ لدى المحكمة العليا في أستراليا إلى طلب إذن خاص للطعن في حكم المحكمة الاتحادية لأن هذا الإجراء ما</w:t>
      </w:r>
      <w:r>
        <w:rPr>
          <w:rtl/>
        </w:rPr>
        <w:t> </w:t>
      </w:r>
      <w:r>
        <w:rPr>
          <w:rFonts w:hint="cs"/>
          <w:rtl/>
        </w:rPr>
        <w:t>كان ليشكّل سبيل انتصاف فعالاً، فالمحكمة الاتحادية سبق أن أعلنت عدم اختصاصها للبت في الحجج المتعلقة بالأسس الموضوعية.</w:t>
      </w:r>
    </w:p>
    <w:p w:rsidR="00D0360A" w:rsidRDefault="00D0360A" w:rsidP="00D0360A">
      <w:pPr>
        <w:pStyle w:val="SingleTxtGA"/>
        <w:rPr>
          <w:rFonts w:hint="cs"/>
          <w:rtl/>
          <w:lang w:val="en-CA"/>
        </w:rPr>
      </w:pPr>
      <w:r w:rsidRPr="00F86D15">
        <w:rPr>
          <w:rtl/>
          <w:lang w:val="en-CA"/>
        </w:rPr>
        <w:t>2-5</w:t>
      </w:r>
      <w:r w:rsidRPr="00F86D15">
        <w:rPr>
          <w:rtl/>
          <w:lang w:val="en-CA"/>
        </w:rPr>
        <w:tab/>
      </w:r>
      <w:r>
        <w:rPr>
          <w:rFonts w:hint="cs"/>
          <w:rtl/>
          <w:lang w:val="en-CA"/>
        </w:rPr>
        <w:t>والتمس أيضاً صاحب الشكوى تدخلاً وزارياً في قضيته سبع مرات بين عامي</w:t>
      </w:r>
      <w:r>
        <w:rPr>
          <w:rFonts w:hint="eastAsia"/>
          <w:rtl/>
          <w:lang w:val="en-CA"/>
        </w:rPr>
        <w:t> </w:t>
      </w:r>
      <w:r>
        <w:rPr>
          <w:rFonts w:hint="cs"/>
          <w:rtl/>
          <w:lang w:val="en-CA"/>
        </w:rPr>
        <w:t>2004 و2009، ولكن تُوِّجت جميع طلباته بالرفض. وفي</w:t>
      </w:r>
      <w:r>
        <w:rPr>
          <w:rtl/>
          <w:lang w:val="en-CA"/>
        </w:rPr>
        <w:t> </w:t>
      </w:r>
      <w:r>
        <w:rPr>
          <w:rFonts w:hint="cs"/>
          <w:rtl/>
          <w:lang w:val="en-CA"/>
        </w:rPr>
        <w:t>29 آذار/مارس 2010، رُفض الطلب الأخير الذي قدمه لالتماس تدخل وزاري، ثم أُبلغ بأنه سيُرحّل في 1 نيسان/ أبريل 2010 عند الظهيرة.</w:t>
      </w:r>
    </w:p>
    <w:p w:rsidR="00D0360A" w:rsidRPr="008B1DE6" w:rsidRDefault="00D0360A" w:rsidP="00D0360A">
      <w:pPr>
        <w:pStyle w:val="H23GA"/>
        <w:rPr>
          <w:rFonts w:hint="cs"/>
          <w:rtl/>
        </w:rPr>
      </w:pPr>
      <w:r>
        <w:rPr>
          <w:rFonts w:hint="cs"/>
          <w:rtl/>
        </w:rPr>
        <w:tab/>
      </w:r>
      <w:r>
        <w:rPr>
          <w:rFonts w:hint="cs"/>
          <w:rtl/>
        </w:rPr>
        <w:tab/>
      </w:r>
      <w:r w:rsidRPr="008B1DE6">
        <w:rPr>
          <w:rFonts w:hint="eastAsia"/>
          <w:rtl/>
        </w:rPr>
        <w:t>الشكوى</w:t>
      </w:r>
      <w:r w:rsidRPr="008B1DE6">
        <w:rPr>
          <w:rFonts w:ascii="Traditional Arabic" w:hAnsi="Traditional Arabic" w:hint="cs"/>
          <w:rtl/>
          <w:lang w:val="en-CA"/>
        </w:rPr>
        <w:t xml:space="preserve"> </w:t>
      </w:r>
    </w:p>
    <w:p w:rsidR="00D0360A" w:rsidRDefault="00D0360A" w:rsidP="00D0360A">
      <w:pPr>
        <w:pStyle w:val="SingleTxtGA"/>
        <w:rPr>
          <w:rFonts w:hint="cs"/>
          <w:rtl/>
        </w:rPr>
      </w:pPr>
      <w:r>
        <w:rPr>
          <w:rFonts w:hint="cs"/>
          <w:rtl/>
          <w:lang w:val="en-CA"/>
        </w:rPr>
        <w:t>3-</w:t>
      </w:r>
      <w:r w:rsidRPr="004B0AA3">
        <w:rPr>
          <w:rtl/>
          <w:lang w:val="en-CA"/>
        </w:rPr>
        <w:tab/>
      </w:r>
      <w:r>
        <w:rPr>
          <w:rFonts w:hint="cs"/>
          <w:rtl/>
        </w:rPr>
        <w:t>يدعي صاحب الشكوى أنه إذا عاد إلى الصين سيتعرض للتعذيب، وأن إعادته القسرية ستشكل انتهاكاً من جانب أستراليا لحقوقه بموجب المادة 3 من الاتفاقية.</w:t>
      </w:r>
    </w:p>
    <w:p w:rsidR="00D0360A" w:rsidRPr="00C97BC6" w:rsidRDefault="00D0360A" w:rsidP="00D0360A">
      <w:pPr>
        <w:pStyle w:val="H23GA"/>
        <w:rPr>
          <w:rFonts w:hint="cs"/>
          <w:rtl/>
          <w:lang w:val="en-CA"/>
        </w:rPr>
      </w:pPr>
      <w:r>
        <w:rPr>
          <w:rFonts w:hint="cs"/>
          <w:rtl/>
        </w:rPr>
        <w:tab/>
      </w:r>
      <w:r>
        <w:rPr>
          <w:rFonts w:hint="cs"/>
          <w:rtl/>
        </w:rPr>
        <w:tab/>
      </w:r>
      <w:r w:rsidRPr="00C97BC6">
        <w:rPr>
          <w:rtl/>
        </w:rPr>
        <w:t>ملاحظات الدولة الطرف بشأن المقبولية والأسس الموضوعية</w:t>
      </w:r>
    </w:p>
    <w:p w:rsidR="00D0360A" w:rsidRPr="008B1DE6" w:rsidRDefault="00D0360A" w:rsidP="00D0360A">
      <w:pPr>
        <w:pStyle w:val="SingleTxtGA"/>
        <w:rPr>
          <w:rFonts w:ascii="Traditional Arabic" w:hAnsi="Traditional Arabic" w:hint="cs"/>
          <w:spacing w:val="-4"/>
          <w:rtl/>
          <w:lang w:val="en-CA"/>
        </w:rPr>
      </w:pPr>
      <w:r w:rsidRPr="008B1DE6">
        <w:rPr>
          <w:rFonts w:ascii="Traditional Arabic" w:hAnsi="Traditional Arabic"/>
          <w:spacing w:val="-4"/>
          <w:rtl/>
          <w:lang w:val="en-CA"/>
        </w:rPr>
        <w:t>4-1</w:t>
      </w:r>
      <w:r w:rsidRPr="008B1DE6">
        <w:rPr>
          <w:rFonts w:ascii="Traditional Arabic" w:hAnsi="Traditional Arabic"/>
          <w:spacing w:val="-4"/>
          <w:rtl/>
          <w:lang w:val="en-CA"/>
        </w:rPr>
        <w:tab/>
      </w:r>
      <w:r>
        <w:rPr>
          <w:rFonts w:hint="cs"/>
          <w:rtl/>
          <w:lang w:val="en-CA"/>
        </w:rPr>
        <w:t>في 3 تشرين الثاني/نوفمبر 2011، دفعت الدولة الطرف بأنه ينبغي اعتبار الشكوى غير مقبولة لأنّها غير مدعّمة بالأدلة أو، في حال رأت اللجنة أن ادعاءات مقدم الشكوى مقبولة، بأنه ينبغي رفض الشكوى لافتقارها إلى أسس موضوعية</w:t>
      </w:r>
      <w:r w:rsidRPr="008B1DE6">
        <w:rPr>
          <w:rFonts w:hint="cs"/>
          <w:rtl/>
          <w:lang w:val="en-CA"/>
        </w:rPr>
        <w:t>.</w:t>
      </w:r>
    </w:p>
    <w:p w:rsidR="00D0360A" w:rsidRPr="0038160E" w:rsidRDefault="00D0360A" w:rsidP="00D0360A">
      <w:pPr>
        <w:pStyle w:val="SingleTxtGA"/>
        <w:rPr>
          <w:rFonts w:hint="cs"/>
          <w:rtl/>
        </w:rPr>
      </w:pPr>
      <w:r w:rsidRPr="0038160E">
        <w:rPr>
          <w:rtl/>
          <w:lang w:val="en-CA"/>
        </w:rPr>
        <w:t>4-2</w:t>
      </w:r>
      <w:r w:rsidRPr="0038160E">
        <w:rPr>
          <w:rtl/>
          <w:lang w:val="en-CA"/>
        </w:rPr>
        <w:tab/>
      </w:r>
      <w:r w:rsidRPr="0038160E">
        <w:rPr>
          <w:rFonts w:hint="cs"/>
          <w:rtl/>
        </w:rPr>
        <w:t>وتقدم الدولة الطرف أيضاً موجزاً للوقائع والادعاءات التي أدلى بها صاحب الشكوى. وصاحب الشكوى مواطن صيني قدِم إلى أستراليا بتأشيرة من الفئة الفرعية 676 (تأشيرة سياحية) في 2 تشرين الأول/أكتوبر 2002. وغادر أستراليا في 9 تشرين الأول/أكتوبر 2002 ثم دخلها مرّة أخرى في 1 تشرين الأول/أكتوبر 2003 بتأشيرة من الفئة الفرعية 676 (تأشيرة سياحية). وفي</w:t>
      </w:r>
      <w:r w:rsidRPr="0038160E">
        <w:rPr>
          <w:rtl/>
        </w:rPr>
        <w:t> </w:t>
      </w:r>
      <w:r w:rsidRPr="0038160E">
        <w:rPr>
          <w:rFonts w:hint="cs"/>
          <w:rtl/>
        </w:rPr>
        <w:t xml:space="preserve">10 تشرين الأول/أكتوبر 2003، تقدّم صاحب </w:t>
      </w:r>
      <w:r w:rsidRPr="00D0360A">
        <w:rPr>
          <w:rFonts w:hint="cs"/>
          <w:spacing w:val="-4"/>
          <w:rtl/>
        </w:rPr>
        <w:t>الشكوى من إدارة الهجرة بطلب للحصول على تأشيرة للحماية وفقاً لقانون الهجرة لعام 1958،</w:t>
      </w:r>
      <w:r w:rsidRPr="0038160E">
        <w:rPr>
          <w:rFonts w:hint="cs"/>
          <w:rtl/>
        </w:rPr>
        <w:t xml:space="preserve"> والتمس فيه</w:t>
      </w:r>
      <w:r w:rsidRPr="0038160E">
        <w:rPr>
          <w:rFonts w:hint="eastAsia"/>
          <w:rtl/>
        </w:rPr>
        <w:t> </w:t>
      </w:r>
      <w:r w:rsidRPr="0038160E">
        <w:rPr>
          <w:rFonts w:hint="cs"/>
          <w:rtl/>
        </w:rPr>
        <w:t>مركز اللاجئ بموجب الاتفاقية المتعلقة بوضع اللاجئين لعام</w:t>
      </w:r>
      <w:r w:rsidRPr="0038160E">
        <w:rPr>
          <w:rtl/>
        </w:rPr>
        <w:t> </w:t>
      </w:r>
      <w:r w:rsidRPr="0038160E">
        <w:rPr>
          <w:rFonts w:hint="cs"/>
          <w:rtl/>
        </w:rPr>
        <w:t xml:space="preserve">1951. وادعى صاحب الشكوى في طلب تأشيرة الحماية أنه بدأ بممارسة </w:t>
      </w:r>
      <w:r w:rsidRPr="0038160E">
        <w:rPr>
          <w:rFonts w:hint="cs"/>
          <w:rtl/>
          <w:lang/>
        </w:rPr>
        <w:t>الفالون غونغ في الصين عام</w:t>
      </w:r>
      <w:r w:rsidRPr="0038160E">
        <w:rPr>
          <w:rtl/>
          <w:lang/>
        </w:rPr>
        <w:t> </w:t>
      </w:r>
      <w:r w:rsidRPr="0038160E">
        <w:rPr>
          <w:rFonts w:hint="cs"/>
          <w:rtl/>
          <w:lang/>
        </w:rPr>
        <w:t>1997 وكان ينظم هذه التمرينات في منطقة سكنه المحلية. كما</w:t>
      </w:r>
      <w:r w:rsidRPr="0038160E">
        <w:rPr>
          <w:rtl/>
          <w:lang/>
        </w:rPr>
        <w:t> </w:t>
      </w:r>
      <w:r w:rsidRPr="0038160E">
        <w:rPr>
          <w:rFonts w:hint="cs"/>
          <w:rtl/>
        </w:rPr>
        <w:t>ادعى أنه ألقي عليه القبض وجرى احتجازه في عام</w:t>
      </w:r>
      <w:r w:rsidRPr="0038160E">
        <w:rPr>
          <w:rtl/>
        </w:rPr>
        <w:t> </w:t>
      </w:r>
      <w:r w:rsidRPr="0038160E">
        <w:rPr>
          <w:rFonts w:hint="cs"/>
          <w:rtl/>
        </w:rPr>
        <w:t xml:space="preserve">2003 لمدة ثلاثة أشهر لإقدامه على طبع كتيبات عن الفالون غونغ وتوزيعها في صناديق البريد. وادعى صاحب الشكوى أنه أجبر على حضور صفوف "لغسل المخ" في </w:t>
      </w:r>
      <w:r w:rsidRPr="0038160E">
        <w:rPr>
          <w:rFonts w:hint="cs"/>
          <w:rtl/>
          <w:lang w:val="en-CA"/>
        </w:rPr>
        <w:t xml:space="preserve">"مركز </w:t>
      </w:r>
      <w:r w:rsidRPr="0038160E">
        <w:rPr>
          <w:rFonts w:hint="cs"/>
          <w:rtl/>
        </w:rPr>
        <w:t xml:space="preserve">لإعادة التثقيف" مدّة ثلاثة أشهر وأطلق سراحه بشرط </w:t>
      </w:r>
      <w:r w:rsidRPr="0038160E">
        <w:rPr>
          <w:rtl/>
        </w:rPr>
        <w:t>مراجعة الشرطة من حين لآخر</w:t>
      </w:r>
      <w:r w:rsidRPr="0038160E">
        <w:rPr>
          <w:rFonts w:hint="cs"/>
          <w:rtl/>
        </w:rPr>
        <w:t xml:space="preserve"> وبعد أن كتب رسالة يتخلّى فيها عن معتقداته.</w:t>
      </w:r>
    </w:p>
    <w:p w:rsidR="00D0360A" w:rsidRPr="008B1DE6" w:rsidRDefault="00D0360A" w:rsidP="00D0360A">
      <w:pPr>
        <w:pStyle w:val="SingleTxtGA"/>
        <w:rPr>
          <w:rFonts w:hint="cs"/>
          <w:highlight w:val="green"/>
          <w:rtl/>
          <w:lang w:val="en-CA"/>
        </w:rPr>
      </w:pPr>
      <w:r w:rsidRPr="001E1397">
        <w:rPr>
          <w:rtl/>
          <w:lang w:val="en-CA"/>
        </w:rPr>
        <w:t>4-3</w:t>
      </w:r>
      <w:r w:rsidRPr="001E1397">
        <w:rPr>
          <w:rtl/>
          <w:lang w:val="en-CA"/>
        </w:rPr>
        <w:tab/>
      </w:r>
      <w:r w:rsidRPr="001E1397">
        <w:rPr>
          <w:rFonts w:hint="cs"/>
          <w:rtl/>
        </w:rPr>
        <w:t xml:space="preserve">وفي 24 كانون الأول/ديسمبر 2003، رفض مندوب </w:t>
      </w:r>
      <w:r>
        <w:rPr>
          <w:rFonts w:hint="cs"/>
          <w:rtl/>
        </w:rPr>
        <w:t xml:space="preserve">وزير </w:t>
      </w:r>
      <w:r w:rsidRPr="001E1397">
        <w:rPr>
          <w:rFonts w:hint="cs"/>
          <w:rtl/>
        </w:rPr>
        <w:t>الهجرة الطلب المقدم</w:t>
      </w:r>
      <w:r>
        <w:rPr>
          <w:rFonts w:hint="cs"/>
          <w:rtl/>
        </w:rPr>
        <w:t xml:space="preserve"> من صاحب الشكوى للحصول على تأشيرة للحماية. وسعى صاحب الشكوى لدى محكمة مراجعة الأحكام الخاصة باللاجئين إلى إعادة النظر في الأسس الموضوعية للقرار في 13 كانون الثاني/يناير 2004. وطلبت المحكمة في 25 شباط/فبراير 2004 من صاحب الشكوى موافاتها بالأدلة اللازمة خلال جلسة استماع تقرر عقدها في 18 آذار/ مارس</w:t>
      </w:r>
      <w:r>
        <w:rPr>
          <w:rFonts w:hint="eastAsia"/>
          <w:rtl/>
        </w:rPr>
        <w:t> </w:t>
      </w:r>
      <w:r>
        <w:rPr>
          <w:rFonts w:hint="cs"/>
          <w:rtl/>
        </w:rPr>
        <w:t>2004. وفي</w:t>
      </w:r>
      <w:r>
        <w:rPr>
          <w:rtl/>
        </w:rPr>
        <w:t> </w:t>
      </w:r>
      <w:r>
        <w:rPr>
          <w:rFonts w:hint="cs"/>
          <w:rtl/>
        </w:rPr>
        <w:t xml:space="preserve">16 آذار/مارس 2004، أخطر صاحب الشكوى المحكمة كتابة بعدم رغبته في تقديم الأدلة اللازمة وقبِل أن تقوم المحكمة باتخاذ قرارها غيابياً. وأكدت محكمة مراجعة الأحكام الخاصة باللاجئين قرار </w:t>
      </w:r>
      <w:r w:rsidRPr="005E514B">
        <w:rPr>
          <w:rFonts w:hint="cs"/>
          <w:rtl/>
        </w:rPr>
        <w:t>إدارة</w:t>
      </w:r>
      <w:r>
        <w:rPr>
          <w:rFonts w:hint="cs"/>
          <w:rtl/>
        </w:rPr>
        <w:t xml:space="preserve"> الهجرة في 15 نيسان/أبريل 2004. وخلصت المحكمة إلى أن مزاعم صاحب الشكوى المتعلِّقة بالقيام بأنشطة وممارسات لها علاقة بالفالون غونغ تفتقر إلى المصداقية. ولم</w:t>
      </w:r>
      <w:r>
        <w:rPr>
          <w:rtl/>
        </w:rPr>
        <w:t> </w:t>
      </w:r>
      <w:r>
        <w:rPr>
          <w:rFonts w:hint="cs"/>
          <w:rtl/>
        </w:rPr>
        <w:t>يكن بوسع المحكمة تصديق ادعاءات صاحب الشكوى ما</w:t>
      </w:r>
      <w:r>
        <w:rPr>
          <w:rtl/>
        </w:rPr>
        <w:t> </w:t>
      </w:r>
      <w:r>
        <w:rPr>
          <w:rFonts w:hint="cs"/>
          <w:rtl/>
        </w:rPr>
        <w:t>لم</w:t>
      </w:r>
      <w:r>
        <w:rPr>
          <w:rtl/>
        </w:rPr>
        <w:t> </w:t>
      </w:r>
      <w:r>
        <w:rPr>
          <w:rFonts w:hint="cs"/>
          <w:rtl/>
        </w:rPr>
        <w:t>تُسنح لها الفرصة لاختبار صحة ما</w:t>
      </w:r>
      <w:r>
        <w:rPr>
          <w:rtl/>
        </w:rPr>
        <w:t> </w:t>
      </w:r>
      <w:r>
        <w:rPr>
          <w:rFonts w:hint="cs"/>
          <w:rtl/>
        </w:rPr>
        <w:t>يدّعيه في جلسة استماع وما</w:t>
      </w:r>
      <w:r>
        <w:rPr>
          <w:rtl/>
        </w:rPr>
        <w:t> </w:t>
      </w:r>
      <w:r>
        <w:rPr>
          <w:rFonts w:hint="cs"/>
          <w:rtl/>
        </w:rPr>
        <w:t>دامت شكواه تفتقر إلى معلومات تفصيلية. ولم</w:t>
      </w:r>
      <w:r>
        <w:rPr>
          <w:rtl/>
        </w:rPr>
        <w:t> </w:t>
      </w:r>
      <w:r>
        <w:rPr>
          <w:rFonts w:hint="cs"/>
          <w:rtl/>
        </w:rPr>
        <w:t>تصدّق المحكمة، على وجه التحديد، أن صاحب الشكوى من ممارسي الفالون غونغ أو</w:t>
      </w:r>
      <w:r>
        <w:rPr>
          <w:rtl/>
        </w:rPr>
        <w:t> </w:t>
      </w:r>
      <w:r>
        <w:rPr>
          <w:rFonts w:hint="cs"/>
          <w:rtl/>
        </w:rPr>
        <w:t xml:space="preserve">أنه أثار عداء السلطات الصينية </w:t>
      </w:r>
      <w:r w:rsidRPr="00367F9E">
        <w:rPr>
          <w:rFonts w:hint="cs"/>
          <w:rtl/>
        </w:rPr>
        <w:t xml:space="preserve">نتيجة </w:t>
      </w:r>
      <w:r>
        <w:rPr>
          <w:rFonts w:hint="cs"/>
          <w:rtl/>
        </w:rPr>
        <w:t>ل</w:t>
      </w:r>
      <w:r w:rsidRPr="00367F9E">
        <w:rPr>
          <w:rFonts w:hint="cs"/>
          <w:rtl/>
        </w:rPr>
        <w:t>أنشطته</w:t>
      </w:r>
      <w:r w:rsidRPr="003379E2">
        <w:rPr>
          <w:rFonts w:hint="cs"/>
          <w:sz w:val="30"/>
          <w:vertAlign w:val="superscript"/>
          <w:rtl/>
          <w:lang w:val="en-CA"/>
        </w:rPr>
        <w:t>(</w:t>
      </w:r>
      <w:r w:rsidRPr="003379E2">
        <w:rPr>
          <w:sz w:val="30"/>
          <w:vertAlign w:val="superscript"/>
          <w:rtl/>
        </w:rPr>
        <w:footnoteReference w:id="105"/>
      </w:r>
      <w:r w:rsidRPr="003379E2">
        <w:rPr>
          <w:rFonts w:hint="cs"/>
          <w:sz w:val="30"/>
          <w:vertAlign w:val="superscript"/>
          <w:rtl/>
          <w:lang w:val="en-CA"/>
        </w:rPr>
        <w:t>)</w:t>
      </w:r>
      <w:r w:rsidRPr="00367F9E">
        <w:rPr>
          <w:rFonts w:hint="cs"/>
          <w:rtl/>
        </w:rPr>
        <w:t>.</w:t>
      </w:r>
    </w:p>
    <w:p w:rsidR="00564059" w:rsidRDefault="00D0360A" w:rsidP="00D0360A">
      <w:pPr>
        <w:pStyle w:val="SingleTxtGA"/>
        <w:rPr>
          <w:rFonts w:hint="cs"/>
          <w:rtl/>
          <w:lang w:val="en-CA"/>
        </w:rPr>
      </w:pPr>
      <w:r w:rsidRPr="00367F9E">
        <w:rPr>
          <w:rtl/>
          <w:lang w:val="en-CA"/>
        </w:rPr>
        <w:t>4-4</w:t>
      </w:r>
      <w:r w:rsidRPr="00367F9E">
        <w:rPr>
          <w:rtl/>
          <w:lang w:val="en-CA"/>
        </w:rPr>
        <w:tab/>
      </w:r>
      <w:r>
        <w:rPr>
          <w:rFonts w:hint="cs"/>
          <w:rtl/>
          <w:lang w:val="en-CA"/>
        </w:rPr>
        <w:t>وفي 11 أيار/مايو 2007، سعى صاحب الشكوى لدى محكمة الصلح الاتحادية إلى الحصول على مراجعة قضائية لقرار محكمة مراجعة الأحكام الخاصة باللاجئين. فقدّم صاحب الشكوى طلب استئناف بحجة أنه لم</w:t>
      </w:r>
      <w:r>
        <w:rPr>
          <w:rtl/>
          <w:lang w:val="en-CA"/>
        </w:rPr>
        <w:t> </w:t>
      </w:r>
      <w:r>
        <w:rPr>
          <w:rFonts w:hint="cs"/>
          <w:rtl/>
          <w:lang w:val="en-CA"/>
        </w:rPr>
        <w:t>يتسلم قط رسالة من المحكمة تستدعيه للمثول في جلسة الاستماع، كما</w:t>
      </w:r>
      <w:r>
        <w:rPr>
          <w:rtl/>
          <w:lang w:val="en-CA"/>
        </w:rPr>
        <w:t> </w:t>
      </w:r>
      <w:r>
        <w:rPr>
          <w:rFonts w:hint="cs"/>
          <w:rtl/>
          <w:lang w:val="en-CA"/>
        </w:rPr>
        <w:t>ادعى أن موظف الهجرة لم</w:t>
      </w:r>
      <w:r>
        <w:rPr>
          <w:rtl/>
          <w:lang w:val="en-CA"/>
        </w:rPr>
        <w:t> </w:t>
      </w:r>
      <w:r>
        <w:rPr>
          <w:rFonts w:hint="cs"/>
          <w:rtl/>
          <w:lang w:val="en-CA"/>
        </w:rPr>
        <w:t xml:space="preserve">يعلمه بانعقاد الجلسة. ورأت المحكمة أن صاحب الشكوى كان على علم بموعد جلسة الاستماع التي جرت في محكمة مراجعة الأحكام الخاصة باللاجئين وأنه جرى استدعاؤه </w:t>
      </w:r>
      <w:r w:rsidRPr="00352F5D">
        <w:rPr>
          <w:rFonts w:hint="cs"/>
          <w:rtl/>
          <w:lang w:val="en-CA"/>
        </w:rPr>
        <w:t>إليها</w:t>
      </w:r>
      <w:r w:rsidRPr="003379E2">
        <w:rPr>
          <w:rFonts w:hint="cs"/>
          <w:sz w:val="30"/>
          <w:vertAlign w:val="superscript"/>
          <w:rtl/>
          <w:lang w:val="en-CA"/>
        </w:rPr>
        <w:t>(</w:t>
      </w:r>
      <w:r w:rsidRPr="003379E2">
        <w:rPr>
          <w:sz w:val="30"/>
          <w:vertAlign w:val="superscript"/>
          <w:rtl/>
        </w:rPr>
        <w:footnoteReference w:id="106"/>
      </w:r>
      <w:r w:rsidRPr="003379E2">
        <w:rPr>
          <w:rFonts w:hint="cs"/>
          <w:sz w:val="30"/>
          <w:vertAlign w:val="superscript"/>
          <w:rtl/>
          <w:lang w:val="en-CA"/>
        </w:rPr>
        <w:t>)</w:t>
      </w:r>
      <w:r w:rsidRPr="00352F5D">
        <w:rPr>
          <w:rFonts w:hint="cs"/>
          <w:rtl/>
        </w:rPr>
        <w:t>.</w:t>
      </w:r>
      <w:r>
        <w:rPr>
          <w:rFonts w:hint="cs"/>
          <w:rtl/>
          <w:lang w:val="en-CA"/>
        </w:rPr>
        <w:t xml:space="preserve"> ونظراً إلى ما</w:t>
      </w:r>
      <w:r>
        <w:rPr>
          <w:rtl/>
          <w:lang w:val="en-CA"/>
        </w:rPr>
        <w:t> </w:t>
      </w:r>
      <w:r>
        <w:rPr>
          <w:rFonts w:hint="cs"/>
          <w:rtl/>
          <w:lang w:val="en-CA"/>
        </w:rPr>
        <w:t>تفتقده الأدلة المقدمة من صاحب الشكوى إلى المحكمة من مصداقية عموماً، لم</w:t>
      </w:r>
      <w:r>
        <w:rPr>
          <w:rtl/>
          <w:lang w:val="en-CA"/>
        </w:rPr>
        <w:t> </w:t>
      </w:r>
      <w:r>
        <w:rPr>
          <w:rFonts w:hint="cs"/>
          <w:rtl/>
          <w:lang w:val="en-CA"/>
        </w:rPr>
        <w:t>تقتنع المحكمة بأن صاحب الشكوى قد تخلف عن حضور جلسة الاستماع التي دارت في المحكمة بسبب إدلاء</w:t>
      </w:r>
      <w:r w:rsidRPr="00230763">
        <w:rPr>
          <w:rFonts w:hint="cs"/>
          <w:rtl/>
          <w:lang w:val="en-CA"/>
        </w:rPr>
        <w:t xml:space="preserve"> موظف الهجرة </w:t>
      </w:r>
      <w:r>
        <w:rPr>
          <w:rFonts w:hint="cs"/>
          <w:rtl/>
          <w:lang w:val="en-CA"/>
        </w:rPr>
        <w:t xml:space="preserve">بإفادة </w:t>
      </w:r>
      <w:r w:rsidRPr="00230763">
        <w:rPr>
          <w:rFonts w:hint="cs"/>
          <w:rtl/>
          <w:lang w:val="en-CA"/>
        </w:rPr>
        <w:t>ملفقة.</w:t>
      </w:r>
      <w:r>
        <w:rPr>
          <w:rFonts w:hint="cs"/>
          <w:rtl/>
          <w:lang w:val="en-CA"/>
        </w:rPr>
        <w:t xml:space="preserve"> وفي</w:t>
      </w:r>
      <w:r>
        <w:rPr>
          <w:rtl/>
          <w:lang w:val="en-CA"/>
        </w:rPr>
        <w:t> </w:t>
      </w:r>
      <w:r w:rsidRPr="00230763">
        <w:rPr>
          <w:rFonts w:hint="cs"/>
          <w:rtl/>
          <w:lang w:val="en-CA"/>
        </w:rPr>
        <w:t>19 أيلول/سبتمبر 2007، رفضت محكمة ا</w:t>
      </w:r>
      <w:r>
        <w:rPr>
          <w:rFonts w:hint="cs"/>
          <w:rtl/>
          <w:lang w:val="en-CA"/>
        </w:rPr>
        <w:t xml:space="preserve">لصلح الاتحادية الاستئناف بحجة عدم </w:t>
      </w:r>
      <w:r w:rsidR="00564059">
        <w:rPr>
          <w:rtl/>
          <w:lang w:val="en-CA"/>
        </w:rPr>
        <w:br/>
      </w:r>
    </w:p>
    <w:p w:rsidR="00D0360A" w:rsidRPr="00367F9E" w:rsidRDefault="00D0360A" w:rsidP="00D0360A">
      <w:pPr>
        <w:pStyle w:val="SingleTxtGA"/>
        <w:rPr>
          <w:rFonts w:hint="cs"/>
          <w:rtl/>
          <w:lang w:val="en-CA"/>
        </w:rPr>
      </w:pPr>
      <w:r>
        <w:rPr>
          <w:rFonts w:hint="cs"/>
          <w:rtl/>
          <w:lang w:val="en-CA"/>
        </w:rPr>
        <w:t xml:space="preserve">وجود خطأ قضائي في قرار محكمة مراجعة الأحكام الخاصة </w:t>
      </w:r>
      <w:r w:rsidRPr="00352F5D">
        <w:rPr>
          <w:rFonts w:hint="cs"/>
          <w:rtl/>
          <w:lang w:val="en-CA"/>
        </w:rPr>
        <w:t>باللاجئين</w:t>
      </w:r>
      <w:r w:rsidRPr="003379E2">
        <w:rPr>
          <w:rFonts w:hint="cs"/>
          <w:sz w:val="30"/>
          <w:vertAlign w:val="superscript"/>
          <w:rtl/>
          <w:lang w:val="en-CA"/>
        </w:rPr>
        <w:t>(</w:t>
      </w:r>
      <w:r w:rsidRPr="003379E2">
        <w:rPr>
          <w:sz w:val="30"/>
          <w:vertAlign w:val="superscript"/>
          <w:rtl/>
        </w:rPr>
        <w:footnoteReference w:id="107"/>
      </w:r>
      <w:r w:rsidRPr="003379E2">
        <w:rPr>
          <w:rFonts w:hint="cs"/>
          <w:sz w:val="30"/>
          <w:vertAlign w:val="superscript"/>
          <w:rtl/>
          <w:lang w:val="en-CA"/>
        </w:rPr>
        <w:t>)</w:t>
      </w:r>
      <w:r w:rsidRPr="00352F5D">
        <w:rPr>
          <w:rFonts w:hint="cs"/>
          <w:rtl/>
          <w:lang w:val="en-CA"/>
        </w:rPr>
        <w:t>.</w:t>
      </w:r>
      <w:r>
        <w:rPr>
          <w:rFonts w:hint="cs"/>
          <w:rtl/>
          <w:lang w:val="en-CA"/>
        </w:rPr>
        <w:t xml:space="preserve"> وفي</w:t>
      </w:r>
      <w:r>
        <w:rPr>
          <w:rtl/>
          <w:lang w:val="en-CA"/>
        </w:rPr>
        <w:t> </w:t>
      </w:r>
      <w:r>
        <w:rPr>
          <w:rFonts w:hint="cs"/>
          <w:rtl/>
          <w:lang w:val="en-CA"/>
        </w:rPr>
        <w:t>6 تشرين الثاني/نوفمبر 2008، وجّه صاحب الشكوى إلى المحكمة الاتحادية الأسترالية طلباً بتمديد الوقت الممنوح لاستئناف قرار محكمة الصلح الاتحادية. ورفضت المحكمة الاتحادية طلبه في</w:t>
      </w:r>
      <w:r>
        <w:rPr>
          <w:rFonts w:hint="eastAsia"/>
          <w:rtl/>
          <w:lang w:val="en-CA"/>
        </w:rPr>
        <w:t> </w:t>
      </w:r>
      <w:r>
        <w:rPr>
          <w:rFonts w:hint="cs"/>
          <w:rtl/>
          <w:lang w:val="en-CA"/>
        </w:rPr>
        <w:t>12 كانون الأول/ديسمبر 2008.</w:t>
      </w:r>
    </w:p>
    <w:p w:rsidR="00D0360A" w:rsidRPr="00352F5D" w:rsidRDefault="00D0360A" w:rsidP="00D0360A">
      <w:pPr>
        <w:pStyle w:val="SingleTxtGA"/>
        <w:rPr>
          <w:rFonts w:hint="cs"/>
          <w:rtl/>
          <w:lang w:val="fr-CH"/>
        </w:rPr>
      </w:pPr>
      <w:r w:rsidRPr="00352F5D">
        <w:rPr>
          <w:rFonts w:ascii="Traditional Arabic" w:hAnsi="Traditional Arabic"/>
          <w:rtl/>
          <w:lang w:val="en-CA"/>
        </w:rPr>
        <w:t>4-5</w:t>
      </w:r>
      <w:r w:rsidRPr="00352F5D">
        <w:rPr>
          <w:rFonts w:ascii="Traditional Arabic" w:hAnsi="Traditional Arabic"/>
          <w:rtl/>
          <w:lang w:val="en-CA"/>
        </w:rPr>
        <w:tab/>
      </w:r>
      <w:r>
        <w:rPr>
          <w:rFonts w:ascii="Traditional Arabic" w:hAnsi="Traditional Arabic" w:hint="cs"/>
          <w:rtl/>
          <w:lang w:val="en-CA"/>
        </w:rPr>
        <w:t>وانتهت صلاحية التأشيرة المؤقتة "</w:t>
      </w:r>
      <w:r>
        <w:rPr>
          <w:lang w:val="fr-CH"/>
        </w:rPr>
        <w:t>E</w:t>
      </w:r>
      <w:r>
        <w:rPr>
          <w:rFonts w:ascii="Traditional Arabic" w:hAnsi="Traditional Arabic" w:hint="cs"/>
          <w:rtl/>
          <w:lang w:val="en-CA"/>
        </w:rPr>
        <w:t>"</w:t>
      </w:r>
      <w:r>
        <w:rPr>
          <w:rFonts w:hint="cs"/>
          <w:rtl/>
          <w:lang w:val="fr-CH"/>
        </w:rPr>
        <w:t xml:space="preserve"> التي </w:t>
      </w:r>
      <w:r w:rsidRPr="005E5E23">
        <w:rPr>
          <w:rFonts w:hint="cs"/>
          <w:rtl/>
          <w:lang w:val="fr-CH"/>
        </w:rPr>
        <w:t>كانت بحوزة</w:t>
      </w:r>
      <w:r>
        <w:rPr>
          <w:rFonts w:hint="cs"/>
          <w:rtl/>
          <w:lang w:val="fr-CH"/>
        </w:rPr>
        <w:t xml:space="preserve"> صاحب الشكوى في 25 أيار/مايو 2005. فبقي بصورة غير قانونية في البلد حتى 11 أيار/مايو 2007 وعندها مُنح تأشيرة مؤقتة جديدة من فئة "</w:t>
      </w:r>
      <w:r>
        <w:rPr>
          <w:lang w:val="fr-CH"/>
        </w:rPr>
        <w:t>E</w:t>
      </w:r>
      <w:r>
        <w:rPr>
          <w:rFonts w:hint="cs"/>
          <w:rtl/>
          <w:lang w:val="fr-CH"/>
        </w:rPr>
        <w:t>" في إطار طلب المراجعة القضائية. ثم مُنح صاحب الشكوى تأشيرات مؤقتة متعاقبة من فئة "</w:t>
      </w:r>
      <w:r>
        <w:rPr>
          <w:lang w:val="fr-CH"/>
        </w:rPr>
        <w:t>E</w:t>
      </w:r>
      <w:r>
        <w:rPr>
          <w:rFonts w:hint="cs"/>
          <w:rtl/>
          <w:lang w:val="fr-CH"/>
        </w:rPr>
        <w:t xml:space="preserve">" انتهت صلاحية آخرها في 2 حزيران/يونيه 2008. ومكث صاحب الشكوى في البلد بصورة غير قانونية إلى أن كشفت الشرطة أمره إثر مشكلة سير. وبالتالي، اقتيد إلى </w:t>
      </w:r>
      <w:r>
        <w:rPr>
          <w:rFonts w:hint="cs"/>
          <w:rtl/>
          <w:lang w:val="en-CA"/>
        </w:rPr>
        <w:t>"مركز فيلاوود لاحتجاز المهاجرين"</w:t>
      </w:r>
      <w:r>
        <w:rPr>
          <w:rFonts w:hint="cs"/>
          <w:rtl/>
          <w:lang w:val="fr-CH"/>
        </w:rPr>
        <w:t xml:space="preserve"> بتاريخ 3 تشرين الثاني/نوفمبر 2008.</w:t>
      </w:r>
    </w:p>
    <w:p w:rsidR="00D0360A" w:rsidRPr="00FC6435" w:rsidRDefault="00D0360A" w:rsidP="00D0360A">
      <w:pPr>
        <w:pStyle w:val="SingleTxtGA"/>
        <w:rPr>
          <w:rFonts w:hint="cs"/>
          <w:spacing w:val="-2"/>
          <w:szCs w:val="20"/>
          <w:rtl/>
        </w:rPr>
      </w:pPr>
      <w:r w:rsidRPr="00FC6435">
        <w:rPr>
          <w:spacing w:val="-2"/>
          <w:rtl/>
          <w:lang w:val="en-CA"/>
        </w:rPr>
        <w:t>4-6</w:t>
      </w:r>
      <w:r w:rsidRPr="00FC6435">
        <w:rPr>
          <w:spacing w:val="-2"/>
          <w:rtl/>
          <w:lang w:val="en-CA"/>
        </w:rPr>
        <w:tab/>
      </w:r>
      <w:r w:rsidRPr="00FC6435">
        <w:rPr>
          <w:rFonts w:hint="cs"/>
          <w:spacing w:val="-2"/>
          <w:rtl/>
          <w:lang w:val="en-CA"/>
        </w:rPr>
        <w:t>وبين 7 أيار/مايو 2004 و29 كانون الأول/ديسمبر 2009، تقدَّم صاحب الشكوى بتسعة طلبات تدخل وزاري منفصلة بموجب المادتين 48باء و/أو 417 من قانون الهجرة. وأحيل الطلب الأول الذي قدِّم بموجب المادة 417 من قانون الهجرة إلى الوزير على شكل مرفق يتضمن الإجراءات السابقة؛ وأعلن الوزير رفضه التدخل في شباط/فبراير 2005. واعتُبرت كل الطلبات اللاحقة التي أُرسِلت غير ملتزمة بالمبادئ التوجيهية الوزارية التي تحكم إحالة الملفات إلى الوزير.</w:t>
      </w:r>
    </w:p>
    <w:p w:rsidR="00D0360A" w:rsidRPr="00D17EE4" w:rsidRDefault="00D0360A" w:rsidP="00D0360A">
      <w:pPr>
        <w:pStyle w:val="SingleTxtGA"/>
        <w:rPr>
          <w:rFonts w:hint="cs"/>
          <w:szCs w:val="20"/>
          <w:rtl/>
        </w:rPr>
      </w:pPr>
      <w:r w:rsidRPr="00D17EE4">
        <w:rPr>
          <w:rtl/>
          <w:lang w:val="en-CA"/>
        </w:rPr>
        <w:t>4-7</w:t>
      </w:r>
      <w:r w:rsidRPr="00D17EE4">
        <w:rPr>
          <w:rtl/>
          <w:lang w:val="en-CA"/>
        </w:rPr>
        <w:tab/>
      </w:r>
      <w:r>
        <w:rPr>
          <w:rFonts w:hint="cs"/>
          <w:rtl/>
        </w:rPr>
        <w:t>وادعى صاحب الشكوى، في</w:t>
      </w:r>
      <w:r>
        <w:rPr>
          <w:rtl/>
        </w:rPr>
        <w:t> </w:t>
      </w:r>
      <w:r>
        <w:rPr>
          <w:rFonts w:hint="cs"/>
          <w:rtl/>
        </w:rPr>
        <w:t>طلب التدخل الوزاري الذي وجّهه في 4 تشرين الأول/أكتوبر 2007، أنه احتُجز في "معسكر للعمل القسري من أجل إعادة التثقيف"، بين</w:t>
      </w:r>
      <w:r>
        <w:rPr>
          <w:rFonts w:hint="eastAsia"/>
          <w:rtl/>
        </w:rPr>
        <w:t> </w:t>
      </w:r>
      <w:r>
        <w:rPr>
          <w:rFonts w:hint="cs"/>
          <w:rtl/>
        </w:rPr>
        <w:t>20 آب/أغسطس 1999 و19 آب/أغسطس 2000 بسبب ممارسته الفالون غونغ. وقدّم صاحب الشكوى نسخاً عن بعض الوثائق، ولا</w:t>
      </w:r>
      <w:r>
        <w:rPr>
          <w:rtl/>
        </w:rPr>
        <w:t> </w:t>
      </w:r>
      <w:r>
        <w:rPr>
          <w:rFonts w:hint="cs"/>
          <w:rtl/>
        </w:rPr>
        <w:t>سيما إشعار بإخلاء سبيله من "مركز العمل القسري</w:t>
      </w:r>
      <w:r>
        <w:rPr>
          <w:rFonts w:hint="cs"/>
          <w:rtl/>
          <w:lang w:val="en-CA"/>
        </w:rPr>
        <w:t xml:space="preserve"> </w:t>
      </w:r>
      <w:r>
        <w:rPr>
          <w:rFonts w:hint="cs"/>
          <w:rtl/>
        </w:rPr>
        <w:t xml:space="preserve">في </w:t>
      </w:r>
      <w:r>
        <w:rPr>
          <w:rFonts w:hint="cs"/>
          <w:rtl/>
          <w:lang w:val="en-CA"/>
        </w:rPr>
        <w:t>زانغشي</w:t>
      </w:r>
      <w:r>
        <w:rPr>
          <w:rFonts w:hint="cs"/>
          <w:rtl/>
        </w:rPr>
        <w:t xml:space="preserve">" من 20 آب/أغسطس 1999 إلى 19 أب/أغسطس </w:t>
      </w:r>
      <w:r w:rsidRPr="006C1478">
        <w:rPr>
          <w:rFonts w:hint="cs"/>
          <w:rtl/>
        </w:rPr>
        <w:t>2000، وتقرير طبي مؤرخ</w:t>
      </w:r>
      <w:r>
        <w:rPr>
          <w:rFonts w:hint="cs"/>
          <w:rtl/>
        </w:rPr>
        <w:t xml:space="preserve"> 28 آب/أغسطس 1999 عن جروح ألحقها </w:t>
      </w:r>
      <w:r w:rsidRPr="00A967A8">
        <w:rPr>
          <w:rFonts w:hint="cs"/>
          <w:rtl/>
        </w:rPr>
        <w:t>بنفسه</w:t>
      </w:r>
      <w:r w:rsidRPr="003379E2">
        <w:rPr>
          <w:rFonts w:hint="cs"/>
          <w:spacing w:val="-2"/>
          <w:sz w:val="30"/>
          <w:vertAlign w:val="superscript"/>
          <w:rtl/>
          <w:lang w:val="en-CA"/>
        </w:rPr>
        <w:t>(</w:t>
      </w:r>
      <w:r w:rsidRPr="003379E2">
        <w:rPr>
          <w:spacing w:val="-2"/>
          <w:sz w:val="30"/>
          <w:vertAlign w:val="superscript"/>
          <w:rtl/>
        </w:rPr>
        <w:footnoteReference w:id="108"/>
      </w:r>
      <w:r w:rsidRPr="003379E2">
        <w:rPr>
          <w:rFonts w:hint="cs"/>
          <w:spacing w:val="-2"/>
          <w:sz w:val="30"/>
          <w:vertAlign w:val="superscript"/>
          <w:rtl/>
          <w:lang w:val="en-CA"/>
        </w:rPr>
        <w:t>)</w:t>
      </w:r>
      <w:r w:rsidRPr="00A967A8">
        <w:rPr>
          <w:rFonts w:hint="cs"/>
          <w:rtl/>
        </w:rPr>
        <w:t>.</w:t>
      </w:r>
      <w:r>
        <w:rPr>
          <w:rFonts w:hint="cs"/>
          <w:rtl/>
        </w:rPr>
        <w:t xml:space="preserve"> ونظرت </w:t>
      </w:r>
      <w:r w:rsidRPr="005E514B">
        <w:rPr>
          <w:rFonts w:hint="cs"/>
          <w:rtl/>
        </w:rPr>
        <w:t>إدارة</w:t>
      </w:r>
      <w:r>
        <w:rPr>
          <w:rFonts w:hint="cs"/>
          <w:rtl/>
        </w:rPr>
        <w:t xml:space="preserve"> الهجرة في هذه الوثائق حين أُرفدت بطلبات التدخل الوزاري التي وجّهها صاحب الشكوى. وتبيّن من تقييم طلبه المتعلق بالتدخل الوزاري، المؤرخ 6 كانون الأول/ديسمبر 2007، أن المعلومات التي وردت في إشعار إخلاء السبيل الصادر عن مركز </w:t>
      </w:r>
      <w:r w:rsidRPr="00096991">
        <w:rPr>
          <w:rFonts w:hint="cs"/>
          <w:rtl/>
        </w:rPr>
        <w:t>للعمل القسري من أجل إعادة التأهيل، تتعارض</w:t>
      </w:r>
      <w:r>
        <w:rPr>
          <w:rFonts w:hint="cs"/>
          <w:rtl/>
        </w:rPr>
        <w:t xml:space="preserve"> مع ما</w:t>
      </w:r>
      <w:r>
        <w:rPr>
          <w:rtl/>
        </w:rPr>
        <w:t> </w:t>
      </w:r>
      <w:r>
        <w:rPr>
          <w:rFonts w:hint="cs"/>
          <w:rtl/>
        </w:rPr>
        <w:t>زعمه أصلاً في طلب تأشيرة الحماية من أنه احتُجز مدة ثلاثة أشهر بعيد آذار/مارس 2003. وأشير أيضاً في التقييم إلى أن صاحب الشكوى لم</w:t>
      </w:r>
      <w:r>
        <w:rPr>
          <w:rtl/>
        </w:rPr>
        <w:t> </w:t>
      </w:r>
      <w:r>
        <w:rPr>
          <w:rFonts w:hint="cs"/>
          <w:rtl/>
        </w:rPr>
        <w:t>يقدم النسخ الأصلية للوثائق، مما</w:t>
      </w:r>
      <w:r>
        <w:rPr>
          <w:rtl/>
        </w:rPr>
        <w:t> </w:t>
      </w:r>
      <w:r>
        <w:rPr>
          <w:rFonts w:hint="cs"/>
          <w:rtl/>
        </w:rPr>
        <w:t>يعني أنه لا</w:t>
      </w:r>
      <w:r>
        <w:rPr>
          <w:rtl/>
        </w:rPr>
        <w:t> </w:t>
      </w:r>
      <w:r>
        <w:rPr>
          <w:rFonts w:hint="cs"/>
          <w:rtl/>
        </w:rPr>
        <w:t>يمكن التحقق من صحتها.</w:t>
      </w:r>
    </w:p>
    <w:p w:rsidR="00D0360A" w:rsidRPr="0075092A" w:rsidRDefault="00D0360A" w:rsidP="00D0360A">
      <w:pPr>
        <w:pStyle w:val="SingleTxtGA"/>
        <w:rPr>
          <w:rFonts w:hint="cs"/>
          <w:szCs w:val="20"/>
          <w:rtl/>
        </w:rPr>
      </w:pPr>
      <w:r w:rsidRPr="0075092A">
        <w:rPr>
          <w:rtl/>
          <w:lang w:val="en-CA"/>
        </w:rPr>
        <w:t>4-8</w:t>
      </w:r>
      <w:r w:rsidRPr="0075092A">
        <w:rPr>
          <w:rtl/>
          <w:lang w:val="en-CA"/>
        </w:rPr>
        <w:tab/>
      </w:r>
      <w:r w:rsidRPr="0075092A">
        <w:rPr>
          <w:rFonts w:hint="cs"/>
          <w:rtl/>
        </w:rPr>
        <w:t>و</w:t>
      </w:r>
      <w:r>
        <w:rPr>
          <w:rFonts w:hint="cs"/>
          <w:rtl/>
        </w:rPr>
        <w:t xml:space="preserve">أَرفق كذلك صاحب الشكوى بطلب التدخل الوزاري المؤرخ 6 كانون الأول/ديسمبر 2007 نسخة مترجمة عن رخصة لممارسة التجارة، زاعماً أنها صادرة عن الحكومة الصينية ومتعلقة بشركته "مصنع ويل لي للوازم المضاغط في مدينة </w:t>
      </w:r>
      <w:r>
        <w:rPr>
          <w:rFonts w:hint="cs"/>
          <w:rtl/>
          <w:lang/>
        </w:rPr>
        <w:t>شينيانغ</w:t>
      </w:r>
      <w:r>
        <w:rPr>
          <w:rFonts w:hint="cs"/>
          <w:rtl/>
        </w:rPr>
        <w:t>"</w:t>
      </w:r>
      <w:r w:rsidRPr="0075092A">
        <w:rPr>
          <w:rFonts w:hint="cs"/>
          <w:rtl/>
        </w:rPr>
        <w:t>.</w:t>
      </w:r>
      <w:r>
        <w:rPr>
          <w:rFonts w:hint="cs"/>
          <w:rtl/>
        </w:rPr>
        <w:t xml:space="preserve"> ويظهر في الرخصة أن الشركة تأسست في 18 أيار/مايو 2001. ويتناقض ذلك مع المعلومات التي أوردها صاحب الشكوى في طلب تأشيرة الحماية إذ</w:t>
      </w:r>
      <w:r>
        <w:rPr>
          <w:rtl/>
        </w:rPr>
        <w:t> </w:t>
      </w:r>
      <w:r>
        <w:rPr>
          <w:rFonts w:hint="cs"/>
          <w:rtl/>
        </w:rPr>
        <w:t>أفاد فيه بأنه كان من عمال المصنع بين كانون الثاني/يناير 1980 وآذار/مارس 2003. وجاء في تقييم طلب التدخل الوزاري أن الأدلة المتعلقة بالمصالح التجارية لصاحب الشكوى، بما</w:t>
      </w:r>
      <w:r>
        <w:rPr>
          <w:rtl/>
        </w:rPr>
        <w:t> </w:t>
      </w:r>
      <w:r>
        <w:rPr>
          <w:rFonts w:hint="cs"/>
          <w:rtl/>
        </w:rPr>
        <w:t>في ذلك خلال فترة احتجازه المزعومة، تقوّض على ما</w:t>
      </w:r>
      <w:r>
        <w:rPr>
          <w:rtl/>
        </w:rPr>
        <w:t> </w:t>
      </w:r>
      <w:r>
        <w:rPr>
          <w:rFonts w:hint="cs"/>
          <w:rtl/>
        </w:rPr>
        <w:t>يبدو ما</w:t>
      </w:r>
      <w:r>
        <w:rPr>
          <w:rtl/>
        </w:rPr>
        <w:t> </w:t>
      </w:r>
      <w:r>
        <w:rPr>
          <w:rFonts w:hint="cs"/>
          <w:rtl/>
        </w:rPr>
        <w:t>يدّعيه من تعرضه للاضطهاد في الماضي. ولم</w:t>
      </w:r>
      <w:r>
        <w:rPr>
          <w:rtl/>
        </w:rPr>
        <w:t> </w:t>
      </w:r>
      <w:r>
        <w:rPr>
          <w:rFonts w:hint="cs"/>
          <w:rtl/>
        </w:rPr>
        <w:t xml:space="preserve">يكشف صاحب الشكوى في طلبات التدخل الوزاري التي وجّهها لاحقاً عن أيِّ معلومات جديدة </w:t>
      </w:r>
      <w:r w:rsidRPr="002B4A2A">
        <w:rPr>
          <w:rFonts w:hint="cs"/>
          <w:rtl/>
        </w:rPr>
        <w:t xml:space="preserve">داعمة لادعاءاته </w:t>
      </w:r>
      <w:r>
        <w:rPr>
          <w:rFonts w:hint="cs"/>
          <w:rtl/>
        </w:rPr>
        <w:t>ومن شأنها أن تغ</w:t>
      </w:r>
      <w:r w:rsidRPr="002B4A2A">
        <w:rPr>
          <w:rFonts w:hint="cs"/>
          <w:rtl/>
        </w:rPr>
        <w:t>ي</w:t>
      </w:r>
      <w:r>
        <w:rPr>
          <w:rFonts w:hint="cs"/>
          <w:rtl/>
        </w:rPr>
        <w:t>ّ</w:t>
      </w:r>
      <w:r w:rsidRPr="002B4A2A">
        <w:rPr>
          <w:rFonts w:hint="cs"/>
          <w:rtl/>
        </w:rPr>
        <w:t>ر هذه الاستنتاجات.</w:t>
      </w:r>
      <w:r>
        <w:rPr>
          <w:rFonts w:hint="cs"/>
          <w:rtl/>
        </w:rPr>
        <w:t xml:space="preserve"> </w:t>
      </w:r>
    </w:p>
    <w:p w:rsidR="00D0360A" w:rsidRPr="00C62FEA" w:rsidRDefault="00D0360A" w:rsidP="00D0360A">
      <w:pPr>
        <w:pStyle w:val="SingleTxtGA"/>
        <w:rPr>
          <w:rFonts w:hint="cs"/>
          <w:rtl/>
        </w:rPr>
      </w:pPr>
      <w:r w:rsidRPr="00C62FEA">
        <w:rPr>
          <w:rtl/>
          <w:lang w:val="en-CA"/>
        </w:rPr>
        <w:t>4-9</w:t>
      </w:r>
      <w:r w:rsidRPr="00C62FEA">
        <w:rPr>
          <w:rtl/>
          <w:lang w:val="en-CA"/>
        </w:rPr>
        <w:tab/>
      </w:r>
      <w:r>
        <w:rPr>
          <w:rFonts w:hint="cs"/>
          <w:rtl/>
        </w:rPr>
        <w:t xml:space="preserve">وأعيد صاحب </w:t>
      </w:r>
      <w:r w:rsidRPr="008B597F">
        <w:rPr>
          <w:rFonts w:hint="cs"/>
          <w:rtl/>
        </w:rPr>
        <w:t>الشكوى دون رضاه إلى الصين</w:t>
      </w:r>
      <w:r>
        <w:rPr>
          <w:rFonts w:hint="cs"/>
          <w:rtl/>
        </w:rPr>
        <w:t xml:space="preserve"> في 1 نيسان/أبريل 2010. </w:t>
      </w:r>
    </w:p>
    <w:p w:rsidR="00D0360A" w:rsidRPr="00C539C0" w:rsidRDefault="00D0360A" w:rsidP="00D0360A">
      <w:pPr>
        <w:pStyle w:val="SingleTxtGA"/>
        <w:rPr>
          <w:rFonts w:hint="cs"/>
          <w:rtl/>
        </w:rPr>
      </w:pPr>
      <w:r w:rsidRPr="00C539C0">
        <w:rPr>
          <w:rtl/>
          <w:lang w:val="en-CA"/>
        </w:rPr>
        <w:t>4-10</w:t>
      </w:r>
      <w:r>
        <w:rPr>
          <w:rFonts w:hint="cs"/>
          <w:rtl/>
        </w:rPr>
        <w:t xml:space="preserve"> وفيما</w:t>
      </w:r>
      <w:r>
        <w:rPr>
          <w:rtl/>
        </w:rPr>
        <w:t> </w:t>
      </w:r>
      <w:r>
        <w:rPr>
          <w:rFonts w:hint="cs"/>
          <w:rtl/>
        </w:rPr>
        <w:t xml:space="preserve">يخص مقبولية الشكوى وأسسها الموضوعية، تفيد الدولة الطرف بأن ادعاءات صاحب الشكوى غير مقبولة </w:t>
      </w:r>
      <w:r w:rsidRPr="007D5AB6">
        <w:rPr>
          <w:rFonts w:hint="cs"/>
          <w:rtl/>
        </w:rPr>
        <w:t>أو، إن</w:t>
      </w:r>
      <w:r>
        <w:rPr>
          <w:rFonts w:hint="cs"/>
          <w:rtl/>
        </w:rPr>
        <w:t>ْ لم</w:t>
      </w:r>
      <w:r>
        <w:rPr>
          <w:rtl/>
        </w:rPr>
        <w:t> </w:t>
      </w:r>
      <w:r w:rsidRPr="007D5AB6">
        <w:rPr>
          <w:rFonts w:hint="cs"/>
          <w:rtl/>
        </w:rPr>
        <w:t>يؤخذ</w:t>
      </w:r>
      <w:r>
        <w:rPr>
          <w:rFonts w:hint="cs"/>
          <w:rtl/>
        </w:rPr>
        <w:t xml:space="preserve"> بذلك، بأنها تفتقر إلى أسس موضوعية لأن صاحب الشكوى لم</w:t>
      </w:r>
      <w:r>
        <w:rPr>
          <w:rtl/>
        </w:rPr>
        <w:t> </w:t>
      </w:r>
      <w:r>
        <w:rPr>
          <w:rFonts w:hint="cs"/>
          <w:rtl/>
        </w:rPr>
        <w:t>يقدم ما</w:t>
      </w:r>
      <w:r>
        <w:rPr>
          <w:rtl/>
        </w:rPr>
        <w:t> </w:t>
      </w:r>
      <w:r>
        <w:rPr>
          <w:rFonts w:hint="cs"/>
          <w:rtl/>
        </w:rPr>
        <w:t>يكفي من الأدلة لتأييد مزاعمه. وفي</w:t>
      </w:r>
      <w:r>
        <w:rPr>
          <w:rtl/>
        </w:rPr>
        <w:t> </w:t>
      </w:r>
      <w:r>
        <w:rPr>
          <w:rFonts w:hint="cs"/>
          <w:rtl/>
        </w:rPr>
        <w:t xml:space="preserve">حال رأت اللجنة أن الادعاءات مقبولة، تحتجّ الدولة الطرف بأن هذه الادعاءات تفتقر إلى أسس موضوعية لعدم دعمها بأدلة تثبت وجود خطر فعلي بالتعذيب على النحو المحدد في المادة 1 من الاتفاقية. </w:t>
      </w:r>
      <w:r w:rsidRPr="000D140A">
        <w:rPr>
          <w:rFonts w:hint="cs"/>
          <w:rtl/>
        </w:rPr>
        <w:t>وبالإشارة إلى تعليق اللجنة العام رقم 1(1997) بشأن</w:t>
      </w:r>
      <w:r>
        <w:rPr>
          <w:rFonts w:hint="cs"/>
          <w:rtl/>
        </w:rPr>
        <w:t xml:space="preserve"> تنفيذ المادة 3 من الاتفاقية في سياق المادة</w:t>
      </w:r>
      <w:r w:rsidRPr="000D140A">
        <w:rPr>
          <w:rFonts w:hint="cs"/>
          <w:rtl/>
        </w:rPr>
        <w:t xml:space="preserve"> 22</w:t>
      </w:r>
      <w:r w:rsidRPr="00564059">
        <w:rPr>
          <w:rFonts w:hint="cs"/>
          <w:spacing w:val="-2"/>
          <w:sz w:val="30"/>
          <w:vertAlign w:val="superscript"/>
          <w:rtl/>
          <w:lang w:val="en-CA"/>
        </w:rPr>
        <w:t>(</w:t>
      </w:r>
      <w:r w:rsidRPr="00B93686">
        <w:rPr>
          <w:color w:val="FFFFFF"/>
          <w:spacing w:val="-2"/>
          <w:sz w:val="2"/>
          <w:szCs w:val="2"/>
          <w:vertAlign w:val="superscript"/>
          <w:rtl/>
        </w:rPr>
        <w:footnoteReference w:id="109"/>
      </w:r>
      <w:r w:rsidR="00564059" w:rsidRPr="00564059">
        <w:rPr>
          <w:rFonts w:hint="cs"/>
          <w:spacing w:val="-2"/>
          <w:sz w:val="30"/>
          <w:vertAlign w:val="superscript"/>
          <w:rtl/>
          <w:lang w:val="en-CA"/>
        </w:rPr>
        <w:t>ﻫ</w:t>
      </w:r>
      <w:r w:rsidRPr="00564059">
        <w:rPr>
          <w:rFonts w:hint="cs"/>
          <w:spacing w:val="-2"/>
          <w:sz w:val="30"/>
          <w:vertAlign w:val="superscript"/>
          <w:rtl/>
          <w:lang w:val="en-CA"/>
        </w:rPr>
        <w:t>)</w:t>
      </w:r>
      <w:r w:rsidRPr="000D140A">
        <w:rPr>
          <w:rFonts w:hint="cs"/>
          <w:rtl/>
        </w:rPr>
        <w:t xml:space="preserve"> </w:t>
      </w:r>
      <w:r>
        <w:rPr>
          <w:rFonts w:hint="cs"/>
          <w:rtl/>
        </w:rPr>
        <w:t>والمادة 113(ب) من نظامها الداخلي، تحتجّ الدولة الطرف بأن من مسؤولية صاحب الشكوى إقامة قضية ظاهرة الوجاهة لأغراض المقبولية، وبأن صاحب الشكوى لم</w:t>
      </w:r>
      <w:r>
        <w:rPr>
          <w:rtl/>
        </w:rPr>
        <w:t> </w:t>
      </w:r>
      <w:r>
        <w:rPr>
          <w:rFonts w:hint="cs"/>
          <w:rtl/>
        </w:rPr>
        <w:t>يأتِ بما</w:t>
      </w:r>
      <w:r>
        <w:rPr>
          <w:rtl/>
        </w:rPr>
        <w:t> </w:t>
      </w:r>
      <w:r>
        <w:rPr>
          <w:rFonts w:hint="cs"/>
          <w:rtl/>
        </w:rPr>
        <w:t>يثبت أنه معرّض لخطر متوقع وحقيقي وشخصي بالتعذيب من قبل السلطات الصينية إن عاد إلى الصين، كما</w:t>
      </w:r>
      <w:r>
        <w:rPr>
          <w:rtl/>
        </w:rPr>
        <w:t> </w:t>
      </w:r>
      <w:r>
        <w:rPr>
          <w:rFonts w:hint="cs"/>
          <w:rtl/>
        </w:rPr>
        <w:t xml:space="preserve">تفيد الدولة الطرف بأنه يتعيّن تفسير الالتزام بموجب المادة 3 بالرجوع إلى تعريف التعذيب الوارد في المادة 1 من </w:t>
      </w:r>
      <w:r w:rsidRPr="009A102A">
        <w:rPr>
          <w:rFonts w:hint="cs"/>
          <w:rtl/>
        </w:rPr>
        <w:t>الاتفاقية</w:t>
      </w:r>
      <w:r w:rsidRPr="003379E2">
        <w:rPr>
          <w:rFonts w:hint="cs"/>
          <w:spacing w:val="-2"/>
          <w:sz w:val="30"/>
          <w:vertAlign w:val="superscript"/>
          <w:rtl/>
          <w:lang w:val="en-CA"/>
        </w:rPr>
        <w:t>(</w:t>
      </w:r>
      <w:r w:rsidRPr="003379E2">
        <w:rPr>
          <w:spacing w:val="-2"/>
          <w:sz w:val="30"/>
          <w:vertAlign w:val="superscript"/>
          <w:rtl/>
        </w:rPr>
        <w:footnoteReference w:id="110"/>
      </w:r>
      <w:r w:rsidRPr="003379E2">
        <w:rPr>
          <w:rFonts w:hint="cs"/>
          <w:spacing w:val="-2"/>
          <w:sz w:val="30"/>
          <w:vertAlign w:val="superscript"/>
          <w:rtl/>
          <w:lang w:val="en-CA"/>
        </w:rPr>
        <w:t>)</w:t>
      </w:r>
      <w:r w:rsidRPr="009A102A">
        <w:rPr>
          <w:rFonts w:hint="cs"/>
          <w:rtl/>
        </w:rPr>
        <w:t>.</w:t>
      </w:r>
      <w:r>
        <w:rPr>
          <w:rFonts w:hint="cs"/>
          <w:rtl/>
        </w:rPr>
        <w:t xml:space="preserve"> ويقتصر الالتزام بعدم الإعادة القسرية على التعذيب ولا</w:t>
      </w:r>
      <w:r>
        <w:rPr>
          <w:rtl/>
        </w:rPr>
        <w:t> </w:t>
      </w:r>
      <w:r>
        <w:rPr>
          <w:rFonts w:hint="cs"/>
          <w:rtl/>
        </w:rPr>
        <w:t>يمتد إلى المعاملة أو</w:t>
      </w:r>
      <w:r>
        <w:rPr>
          <w:rtl/>
        </w:rPr>
        <w:t> </w:t>
      </w:r>
      <w:r>
        <w:rPr>
          <w:rFonts w:hint="cs"/>
          <w:rtl/>
        </w:rPr>
        <w:t>العقوبة القاسية أو</w:t>
      </w:r>
      <w:r>
        <w:rPr>
          <w:rtl/>
        </w:rPr>
        <w:t> </w:t>
      </w:r>
      <w:r>
        <w:rPr>
          <w:rFonts w:hint="cs"/>
          <w:rtl/>
        </w:rPr>
        <w:t>اللاإنسانية أو</w:t>
      </w:r>
      <w:r>
        <w:rPr>
          <w:rtl/>
        </w:rPr>
        <w:t> </w:t>
      </w:r>
      <w:r w:rsidRPr="009A102A">
        <w:rPr>
          <w:rFonts w:hint="cs"/>
          <w:rtl/>
        </w:rPr>
        <w:t>المهينة</w:t>
      </w:r>
      <w:r w:rsidRPr="003379E2">
        <w:rPr>
          <w:rFonts w:hint="cs"/>
          <w:spacing w:val="-2"/>
          <w:sz w:val="30"/>
          <w:vertAlign w:val="superscript"/>
          <w:rtl/>
          <w:lang w:val="en-CA"/>
        </w:rPr>
        <w:t>(</w:t>
      </w:r>
      <w:r w:rsidRPr="003379E2">
        <w:rPr>
          <w:spacing w:val="-2"/>
          <w:sz w:val="30"/>
          <w:vertAlign w:val="superscript"/>
          <w:rtl/>
        </w:rPr>
        <w:footnoteReference w:id="111"/>
      </w:r>
      <w:r w:rsidRPr="003379E2">
        <w:rPr>
          <w:rFonts w:hint="cs"/>
          <w:spacing w:val="-2"/>
          <w:sz w:val="30"/>
          <w:vertAlign w:val="superscript"/>
          <w:rtl/>
          <w:lang w:val="en-CA"/>
        </w:rPr>
        <w:t>)</w:t>
      </w:r>
      <w:r w:rsidRPr="009A102A">
        <w:rPr>
          <w:rFonts w:hint="cs"/>
          <w:rtl/>
        </w:rPr>
        <w:t>،</w:t>
      </w:r>
      <w:r>
        <w:rPr>
          <w:rFonts w:hint="cs"/>
          <w:rtl/>
        </w:rPr>
        <w:t xml:space="preserve"> وتكرّس سوابق </w:t>
      </w:r>
      <w:r w:rsidRPr="0093708B">
        <w:rPr>
          <w:rFonts w:hint="cs"/>
          <w:rtl/>
        </w:rPr>
        <w:t>اللجنة هذا التمييز</w:t>
      </w:r>
      <w:r>
        <w:rPr>
          <w:rFonts w:hint="cs"/>
          <w:rtl/>
        </w:rPr>
        <w:t>.</w:t>
      </w:r>
    </w:p>
    <w:p w:rsidR="00D0360A" w:rsidRPr="00567FEC" w:rsidRDefault="00D0360A" w:rsidP="00D0360A">
      <w:pPr>
        <w:pStyle w:val="SingleTxtGA"/>
        <w:rPr>
          <w:rtl/>
        </w:rPr>
      </w:pPr>
      <w:r w:rsidRPr="00B41DC4">
        <w:rPr>
          <w:rtl/>
          <w:lang w:val="en-CA"/>
        </w:rPr>
        <w:t>4</w:t>
      </w:r>
      <w:r w:rsidRPr="00567FEC">
        <w:rPr>
          <w:rtl/>
          <w:lang w:val="en-CA"/>
        </w:rPr>
        <w:t>-11</w:t>
      </w:r>
      <w:r w:rsidRPr="00567FEC">
        <w:rPr>
          <w:rtl/>
          <w:lang w:val="en-CA"/>
        </w:rPr>
        <w:tab/>
      </w:r>
      <w:r>
        <w:rPr>
          <w:rFonts w:hint="cs"/>
          <w:rtl/>
        </w:rPr>
        <w:t xml:space="preserve">وتفيد الدولة الطرف بأن أي دولة من الدول الأطراف تخلّ بالتزاماتها إزاء عدم الإعادة القسرية بموجب المادة 3 من الاتفاقية، في حال تَبيّن أن فرداً من الأفراد سيواجه </w:t>
      </w:r>
      <w:r w:rsidRPr="009A102A">
        <w:rPr>
          <w:rFonts w:hint="cs"/>
          <w:i/>
          <w:iCs/>
          <w:rtl/>
        </w:rPr>
        <w:t>شخصي</w:t>
      </w:r>
      <w:r>
        <w:rPr>
          <w:rFonts w:hint="cs"/>
          <w:i/>
          <w:iCs/>
          <w:rtl/>
        </w:rPr>
        <w:t>اً</w:t>
      </w:r>
      <w:r w:rsidRPr="003379E2">
        <w:rPr>
          <w:rFonts w:hint="cs"/>
          <w:spacing w:val="-2"/>
          <w:sz w:val="30"/>
          <w:vertAlign w:val="superscript"/>
          <w:rtl/>
          <w:lang w:val="en-CA"/>
        </w:rPr>
        <w:t>(</w:t>
      </w:r>
      <w:r w:rsidRPr="003379E2">
        <w:rPr>
          <w:spacing w:val="-2"/>
          <w:sz w:val="30"/>
          <w:vertAlign w:val="superscript"/>
          <w:rtl/>
        </w:rPr>
        <w:footnoteReference w:id="112"/>
      </w:r>
      <w:r w:rsidRPr="003379E2">
        <w:rPr>
          <w:rFonts w:hint="cs"/>
          <w:spacing w:val="-2"/>
          <w:sz w:val="30"/>
          <w:vertAlign w:val="superscript"/>
          <w:rtl/>
          <w:lang w:val="en-CA"/>
        </w:rPr>
        <w:t>)</w:t>
      </w:r>
      <w:r w:rsidRPr="009A102A">
        <w:rPr>
          <w:rFonts w:hint="cs"/>
          <w:rtl/>
        </w:rPr>
        <w:t xml:space="preserve"> خطر</w:t>
      </w:r>
      <w:r>
        <w:rPr>
          <w:rFonts w:hint="cs"/>
          <w:rtl/>
        </w:rPr>
        <w:t xml:space="preserve"> التعرض لمعاملة من هذا القبيل إذا أعيد إلى بلده الأصلي. فوجود نمط ثابت من الانتهاكات الفادحة أو</w:t>
      </w:r>
      <w:r>
        <w:rPr>
          <w:rtl/>
        </w:rPr>
        <w:t> </w:t>
      </w:r>
      <w:r>
        <w:rPr>
          <w:rFonts w:hint="cs"/>
          <w:rtl/>
        </w:rPr>
        <w:t>الصارخة أو</w:t>
      </w:r>
      <w:r>
        <w:rPr>
          <w:rtl/>
        </w:rPr>
        <w:t> </w:t>
      </w:r>
      <w:r>
        <w:rPr>
          <w:rFonts w:hint="cs"/>
          <w:rtl/>
        </w:rPr>
        <w:t>الجماعية لحقوق الإنسان في بلد ما</w:t>
      </w:r>
      <w:r>
        <w:rPr>
          <w:rtl/>
        </w:rPr>
        <w:t> </w:t>
      </w:r>
      <w:r>
        <w:rPr>
          <w:rFonts w:hint="cs"/>
          <w:rtl/>
        </w:rPr>
        <w:t>لا</w:t>
      </w:r>
      <w:r>
        <w:rPr>
          <w:rtl/>
        </w:rPr>
        <w:t> </w:t>
      </w:r>
      <w:r>
        <w:rPr>
          <w:rFonts w:hint="cs"/>
          <w:rtl/>
        </w:rPr>
        <w:t xml:space="preserve">يشكل في حدّ ذاته سبباً كافياً لتحديد أن شخصاً معيناً سيتعرض لخطر التعذيب عقب عودته إلى البلد، وبالتالي يجب أن تقدم أسباب إضافية تثبت أن الشخص المعني سيتعرض شخصياً </w:t>
      </w:r>
      <w:r w:rsidRPr="009A102A">
        <w:rPr>
          <w:rFonts w:hint="cs"/>
          <w:rtl/>
        </w:rPr>
        <w:t>للخطر</w:t>
      </w:r>
      <w:r w:rsidRPr="003379E2">
        <w:rPr>
          <w:rFonts w:hint="cs"/>
          <w:spacing w:val="-2"/>
          <w:sz w:val="30"/>
          <w:vertAlign w:val="superscript"/>
          <w:rtl/>
          <w:lang w:val="en-CA"/>
        </w:rPr>
        <w:t>(</w:t>
      </w:r>
      <w:r w:rsidRPr="003379E2">
        <w:rPr>
          <w:spacing w:val="-2"/>
          <w:sz w:val="30"/>
          <w:vertAlign w:val="superscript"/>
          <w:rtl/>
        </w:rPr>
        <w:footnoteReference w:id="113"/>
      </w:r>
      <w:r w:rsidRPr="003379E2">
        <w:rPr>
          <w:rFonts w:hint="cs"/>
          <w:spacing w:val="-2"/>
          <w:sz w:val="30"/>
          <w:vertAlign w:val="superscript"/>
          <w:rtl/>
          <w:lang w:val="en-CA"/>
        </w:rPr>
        <w:t>)</w:t>
      </w:r>
      <w:r w:rsidRPr="009A102A">
        <w:rPr>
          <w:rFonts w:hint="cs"/>
          <w:rtl/>
        </w:rPr>
        <w:t>.</w:t>
      </w:r>
      <w:r>
        <w:rPr>
          <w:rFonts w:hint="cs"/>
          <w:rtl/>
        </w:rPr>
        <w:t xml:space="preserve"> ويقع على عاتق مقدم الطلب عبء إثبات ما</w:t>
      </w:r>
      <w:r>
        <w:rPr>
          <w:rtl/>
        </w:rPr>
        <w:t> </w:t>
      </w:r>
      <w:r>
        <w:rPr>
          <w:rFonts w:hint="cs"/>
          <w:rtl/>
        </w:rPr>
        <w:t>سيواجهه من "خطر حقيقي ومتوقع وشخصي بالتعذيب" عقب تسليمه أو</w:t>
      </w:r>
      <w:r>
        <w:rPr>
          <w:rtl/>
        </w:rPr>
        <w:t> </w:t>
      </w:r>
      <w:r w:rsidRPr="00C02584">
        <w:rPr>
          <w:rFonts w:hint="cs"/>
          <w:rtl/>
        </w:rPr>
        <w:t>ترحيله</w:t>
      </w:r>
      <w:r w:rsidRPr="003379E2">
        <w:rPr>
          <w:rFonts w:hint="cs"/>
          <w:spacing w:val="-2"/>
          <w:sz w:val="30"/>
          <w:vertAlign w:val="superscript"/>
          <w:rtl/>
          <w:lang w:val="en-CA"/>
        </w:rPr>
        <w:t>(</w:t>
      </w:r>
      <w:r w:rsidRPr="003379E2">
        <w:rPr>
          <w:spacing w:val="-2"/>
          <w:sz w:val="30"/>
          <w:vertAlign w:val="superscript"/>
          <w:rtl/>
        </w:rPr>
        <w:footnoteReference w:id="114"/>
      </w:r>
      <w:r w:rsidRPr="003379E2">
        <w:rPr>
          <w:rFonts w:hint="cs"/>
          <w:spacing w:val="-2"/>
          <w:sz w:val="30"/>
          <w:vertAlign w:val="superscript"/>
          <w:rtl/>
          <w:lang w:val="en-CA"/>
        </w:rPr>
        <w:t>)</w:t>
      </w:r>
      <w:r w:rsidRPr="00C02584">
        <w:rPr>
          <w:rFonts w:hint="cs"/>
          <w:rtl/>
        </w:rPr>
        <w:t>.</w:t>
      </w:r>
      <w:r>
        <w:rPr>
          <w:rFonts w:hint="cs"/>
          <w:rtl/>
        </w:rPr>
        <w:t xml:space="preserve"> ولا</w:t>
      </w:r>
      <w:r>
        <w:rPr>
          <w:rtl/>
        </w:rPr>
        <w:t> </w:t>
      </w:r>
      <w:r>
        <w:rPr>
          <w:rFonts w:hint="cs"/>
          <w:rtl/>
        </w:rPr>
        <w:t>يكفي أن يكون وقوع الخطر مرجحاً ترجيحاً كبيراً ولكن يجب "تقدير الخطر على أساس يتجاوز مجرد الافتراض والش</w:t>
      </w:r>
      <w:r w:rsidRPr="00C02584">
        <w:rPr>
          <w:rFonts w:hint="cs"/>
          <w:rtl/>
        </w:rPr>
        <w:t>ك"</w:t>
      </w:r>
      <w:r w:rsidRPr="003379E2">
        <w:rPr>
          <w:rFonts w:hint="cs"/>
          <w:spacing w:val="-2"/>
          <w:sz w:val="30"/>
          <w:vertAlign w:val="superscript"/>
          <w:rtl/>
          <w:lang w:val="en-CA"/>
        </w:rPr>
        <w:t>(</w:t>
      </w:r>
      <w:r w:rsidRPr="003379E2">
        <w:rPr>
          <w:spacing w:val="-2"/>
          <w:sz w:val="30"/>
          <w:vertAlign w:val="superscript"/>
          <w:rtl/>
        </w:rPr>
        <w:footnoteReference w:id="115"/>
      </w:r>
      <w:r w:rsidRPr="003379E2">
        <w:rPr>
          <w:rFonts w:hint="cs"/>
          <w:spacing w:val="-2"/>
          <w:sz w:val="30"/>
          <w:vertAlign w:val="superscript"/>
          <w:rtl/>
          <w:lang w:val="en-CA"/>
        </w:rPr>
        <w:t>)</w:t>
      </w:r>
      <w:r w:rsidRPr="00C02584">
        <w:rPr>
          <w:rFonts w:hint="cs"/>
          <w:rtl/>
        </w:rPr>
        <w:t>.</w:t>
      </w:r>
      <w:r>
        <w:rPr>
          <w:rFonts w:hint="cs"/>
          <w:rtl/>
        </w:rPr>
        <w:t xml:space="preserve"> وأعربت اللجنة عن رأي مفاده أنه لا</w:t>
      </w:r>
      <w:r>
        <w:rPr>
          <w:rtl/>
        </w:rPr>
        <w:t> </w:t>
      </w:r>
      <w:r>
        <w:rPr>
          <w:rFonts w:hint="cs"/>
          <w:rtl/>
        </w:rPr>
        <w:t xml:space="preserve">يتحتم أن يستوفي الخطر معيار ترجيح احتمال وقوعه، بل يجب أن يكون شخصياً </w:t>
      </w:r>
      <w:r w:rsidRPr="00C02584">
        <w:rPr>
          <w:rFonts w:hint="cs"/>
          <w:rtl/>
        </w:rPr>
        <w:t>ومحدق</w:t>
      </w:r>
      <w:r>
        <w:rPr>
          <w:rFonts w:hint="cs"/>
          <w:rtl/>
        </w:rPr>
        <w:t>اً</w:t>
      </w:r>
      <w:r w:rsidRPr="003379E2">
        <w:rPr>
          <w:rFonts w:hint="cs"/>
          <w:spacing w:val="-2"/>
          <w:sz w:val="30"/>
          <w:vertAlign w:val="superscript"/>
          <w:rtl/>
          <w:lang w:val="en-CA"/>
        </w:rPr>
        <w:t>(</w:t>
      </w:r>
      <w:r w:rsidRPr="003379E2">
        <w:rPr>
          <w:spacing w:val="-2"/>
          <w:sz w:val="30"/>
          <w:vertAlign w:val="superscript"/>
          <w:rtl/>
        </w:rPr>
        <w:footnoteReference w:id="116"/>
      </w:r>
      <w:r w:rsidRPr="003379E2">
        <w:rPr>
          <w:rFonts w:hint="cs"/>
          <w:spacing w:val="-2"/>
          <w:sz w:val="30"/>
          <w:vertAlign w:val="superscript"/>
          <w:rtl/>
          <w:lang w:val="en-CA"/>
        </w:rPr>
        <w:t>)</w:t>
      </w:r>
      <w:r w:rsidRPr="00C02584">
        <w:rPr>
          <w:rFonts w:hint="cs"/>
          <w:rtl/>
        </w:rPr>
        <w:t>.</w:t>
      </w:r>
      <w:r>
        <w:rPr>
          <w:rFonts w:hint="cs"/>
          <w:rtl/>
        </w:rPr>
        <w:t xml:space="preserve"> </w:t>
      </w:r>
    </w:p>
    <w:p w:rsidR="00D0360A" w:rsidRPr="00B46C72" w:rsidRDefault="00D0360A" w:rsidP="00D0360A">
      <w:pPr>
        <w:pStyle w:val="SingleTxtGA"/>
        <w:rPr>
          <w:rFonts w:hint="cs"/>
          <w:rtl/>
        </w:rPr>
      </w:pPr>
      <w:r w:rsidRPr="00B46C72">
        <w:rPr>
          <w:rtl/>
          <w:lang w:val="en-CA"/>
        </w:rPr>
        <w:t>4</w:t>
      </w:r>
      <w:r w:rsidRPr="00B46C72">
        <w:rPr>
          <w:spacing w:val="-2"/>
          <w:rtl/>
          <w:lang w:val="en-CA"/>
        </w:rPr>
        <w:t>-12</w:t>
      </w:r>
      <w:r w:rsidRPr="00B46C72">
        <w:rPr>
          <w:rFonts w:ascii="Traditional Arabic" w:hAnsi="Traditional Arabic"/>
          <w:spacing w:val="-2"/>
          <w:rtl/>
          <w:lang w:val="en-CA"/>
        </w:rPr>
        <w:tab/>
      </w:r>
      <w:r>
        <w:rPr>
          <w:rFonts w:hint="cs"/>
          <w:rtl/>
        </w:rPr>
        <w:t>ورأت محكمة مراجعة الأحكام الخاصة باللاجئين أن ادعاءات صاحب الشكوى غامضة وغير مفصلة. ولم</w:t>
      </w:r>
      <w:r>
        <w:rPr>
          <w:rtl/>
        </w:rPr>
        <w:t> </w:t>
      </w:r>
      <w:r>
        <w:rPr>
          <w:rFonts w:hint="cs"/>
          <w:rtl/>
        </w:rPr>
        <w:t>تقتنع أن صاحب الشكوى من ممارسي الفالون غونغ لأن أقواله افتقدت معلومات تفصيلية عن جوانب هامة من القضية. فقد ادعى صاحب الشكوى أنه بدأ يمارس الفالون غونغ في نهاية عام</w:t>
      </w:r>
      <w:r>
        <w:rPr>
          <w:rtl/>
        </w:rPr>
        <w:t> </w:t>
      </w:r>
      <w:r>
        <w:rPr>
          <w:rFonts w:hint="cs"/>
          <w:rtl/>
        </w:rPr>
        <w:t>1997، ولكنه لم</w:t>
      </w:r>
      <w:r>
        <w:rPr>
          <w:rtl/>
        </w:rPr>
        <w:t> </w:t>
      </w:r>
      <w:r>
        <w:rPr>
          <w:rFonts w:hint="cs"/>
          <w:rtl/>
        </w:rPr>
        <w:t>يورد أي معلومات تفصيلية عن طبيعة هذه الممارسة أو</w:t>
      </w:r>
      <w:r>
        <w:rPr>
          <w:rtl/>
        </w:rPr>
        <w:t> </w:t>
      </w:r>
      <w:r>
        <w:rPr>
          <w:rFonts w:hint="cs"/>
          <w:rtl/>
        </w:rPr>
        <w:t>عن مكان التمرينات أو</w:t>
      </w:r>
      <w:r>
        <w:rPr>
          <w:rtl/>
        </w:rPr>
        <w:t> </w:t>
      </w:r>
      <w:r>
        <w:rPr>
          <w:rFonts w:hint="cs"/>
          <w:rtl/>
        </w:rPr>
        <w:t>عن وتيرتها. وزيادة على ذلك، ادعى صاحب الشكوى أنه منظِّم لتمرينات الفالون غونغ إلا</w:t>
      </w:r>
      <w:r>
        <w:rPr>
          <w:rtl/>
        </w:rPr>
        <w:t> </w:t>
      </w:r>
      <w:r>
        <w:rPr>
          <w:rFonts w:hint="cs"/>
          <w:rtl/>
        </w:rPr>
        <w:t>أنه لم</w:t>
      </w:r>
      <w:r>
        <w:rPr>
          <w:rtl/>
        </w:rPr>
        <w:t> </w:t>
      </w:r>
      <w:r>
        <w:rPr>
          <w:rFonts w:hint="cs"/>
          <w:rtl/>
        </w:rPr>
        <w:t>يعطِ أي تفاصيل إضافية عن هذه الأنشطة. كما</w:t>
      </w:r>
      <w:r>
        <w:rPr>
          <w:rtl/>
        </w:rPr>
        <w:t> </w:t>
      </w:r>
      <w:r>
        <w:rPr>
          <w:rFonts w:hint="cs"/>
          <w:rtl/>
        </w:rPr>
        <w:t>أشارت المحكمة إلى أن صاحب الشكوى ادعى أن الشرطة تمنع ممارسة الفالون غونغ وأنه أُجبر على حضور "صفوف لغسل المخ" مدة ثلاثة أشهر. بيد أنه لم</w:t>
      </w:r>
      <w:r>
        <w:rPr>
          <w:rtl/>
        </w:rPr>
        <w:t> </w:t>
      </w:r>
      <w:r>
        <w:rPr>
          <w:rFonts w:hint="cs"/>
          <w:rtl/>
        </w:rPr>
        <w:t>يقدم معلومات تفصيلية عن العنف المرتكب من قبل أفراد الشرطة أو</w:t>
      </w:r>
      <w:r>
        <w:rPr>
          <w:rtl/>
        </w:rPr>
        <w:t> </w:t>
      </w:r>
      <w:r>
        <w:rPr>
          <w:rFonts w:hint="cs"/>
          <w:rtl/>
        </w:rPr>
        <w:t xml:space="preserve">عن صفوف غسل </w:t>
      </w:r>
      <w:r w:rsidRPr="00C02584">
        <w:rPr>
          <w:rFonts w:hint="cs"/>
          <w:rtl/>
        </w:rPr>
        <w:t>المخ</w:t>
      </w:r>
      <w:r w:rsidRPr="003379E2">
        <w:rPr>
          <w:rFonts w:hint="cs"/>
          <w:spacing w:val="-2"/>
          <w:sz w:val="30"/>
          <w:vertAlign w:val="superscript"/>
          <w:rtl/>
          <w:lang w:val="en-CA"/>
        </w:rPr>
        <w:t>(</w:t>
      </w:r>
      <w:r w:rsidRPr="003379E2">
        <w:rPr>
          <w:spacing w:val="-2"/>
          <w:sz w:val="30"/>
          <w:vertAlign w:val="superscript"/>
          <w:rtl/>
        </w:rPr>
        <w:footnoteReference w:id="117"/>
      </w:r>
      <w:r w:rsidRPr="003379E2">
        <w:rPr>
          <w:rFonts w:hint="cs"/>
          <w:spacing w:val="-2"/>
          <w:sz w:val="30"/>
          <w:vertAlign w:val="superscript"/>
          <w:rtl/>
          <w:lang w:val="en-CA"/>
        </w:rPr>
        <w:t>)</w:t>
      </w:r>
      <w:r w:rsidRPr="00C02584">
        <w:rPr>
          <w:rFonts w:hint="cs"/>
          <w:rtl/>
        </w:rPr>
        <w:t>.</w:t>
      </w:r>
      <w:r>
        <w:rPr>
          <w:rFonts w:hint="cs"/>
          <w:rtl/>
        </w:rPr>
        <w:t xml:space="preserve"> وخلصت المحكمة إلى خلوّ ادعاءات صاحب الشكوى من التفاصيل اللازمة، وبغياب فرصة لاختبار صحة هذه الادعاءات خلال جلسة استماع، لم</w:t>
      </w:r>
      <w:r>
        <w:rPr>
          <w:rtl/>
        </w:rPr>
        <w:t> </w:t>
      </w:r>
      <w:r>
        <w:rPr>
          <w:rFonts w:hint="cs"/>
          <w:rtl/>
        </w:rPr>
        <w:t>يكن بوسع المحكمة قبول ادعاء صاحب الشكوى بأنه ممارس للفالون غونغ وبأنه أثار عداء السلطات الصينية نتيجة لهذه الأنشطة. ولم</w:t>
      </w:r>
      <w:r>
        <w:rPr>
          <w:rtl/>
        </w:rPr>
        <w:t> </w:t>
      </w:r>
      <w:r>
        <w:rPr>
          <w:rFonts w:hint="cs"/>
          <w:rtl/>
        </w:rPr>
        <w:t xml:space="preserve">تقتنع المحكمة بأن صاحب الشكوى هو شخص على أستراليا أن تلتزم بمنحه الحماية بموجب الاتفاقية المتعلقة بوضع </w:t>
      </w:r>
      <w:r w:rsidRPr="00C02584">
        <w:rPr>
          <w:rFonts w:hint="cs"/>
          <w:rtl/>
        </w:rPr>
        <w:t>اللاجئين</w:t>
      </w:r>
      <w:r w:rsidRPr="003379E2">
        <w:rPr>
          <w:rFonts w:hint="cs"/>
          <w:spacing w:val="-2"/>
          <w:sz w:val="30"/>
          <w:vertAlign w:val="superscript"/>
          <w:rtl/>
          <w:lang w:val="en-CA"/>
        </w:rPr>
        <w:t>(</w:t>
      </w:r>
      <w:r w:rsidRPr="003379E2">
        <w:rPr>
          <w:spacing w:val="-2"/>
          <w:sz w:val="30"/>
          <w:vertAlign w:val="superscript"/>
          <w:rtl/>
        </w:rPr>
        <w:footnoteReference w:id="118"/>
      </w:r>
      <w:r w:rsidRPr="003379E2">
        <w:rPr>
          <w:rFonts w:hint="cs"/>
          <w:spacing w:val="-2"/>
          <w:sz w:val="30"/>
          <w:vertAlign w:val="superscript"/>
          <w:rtl/>
          <w:lang w:val="en-CA"/>
        </w:rPr>
        <w:t>)</w:t>
      </w:r>
      <w:r w:rsidRPr="00C02584">
        <w:rPr>
          <w:rFonts w:hint="cs"/>
          <w:rtl/>
        </w:rPr>
        <w:t>.</w:t>
      </w:r>
      <w:r>
        <w:rPr>
          <w:rFonts w:hint="cs"/>
          <w:rtl/>
        </w:rPr>
        <w:t xml:space="preserve"> ولم</w:t>
      </w:r>
      <w:r>
        <w:rPr>
          <w:rtl/>
        </w:rPr>
        <w:t> </w:t>
      </w:r>
      <w:r>
        <w:rPr>
          <w:rFonts w:hint="cs"/>
          <w:rtl/>
        </w:rPr>
        <w:t xml:space="preserve">تقتنع محكمة الصلح الاتحادية خلال الاستئناف أن مقدم الطلب قد تخلّف عن حضور جلسة </w:t>
      </w:r>
      <w:r w:rsidRPr="00790BB1">
        <w:rPr>
          <w:rFonts w:hint="cs"/>
          <w:rtl/>
        </w:rPr>
        <w:t xml:space="preserve">الاستماع </w:t>
      </w:r>
      <w:r>
        <w:rPr>
          <w:rFonts w:hint="cs"/>
          <w:rtl/>
        </w:rPr>
        <w:t>التي انعقدت في</w:t>
      </w:r>
      <w:r w:rsidRPr="00790BB1">
        <w:rPr>
          <w:rFonts w:hint="cs"/>
          <w:rtl/>
        </w:rPr>
        <w:t xml:space="preserve"> محكمة</w:t>
      </w:r>
      <w:r>
        <w:rPr>
          <w:rFonts w:hint="cs"/>
          <w:rtl/>
        </w:rPr>
        <w:t xml:space="preserve"> مراجعة الأحكام الخاصة باللاجئين بسبب </w:t>
      </w:r>
      <w:r>
        <w:rPr>
          <w:rFonts w:ascii="Traditional Arabic" w:hAnsi="Traditional Arabic" w:hint="cs"/>
          <w:rtl/>
          <w:lang w:val="en-CA"/>
        </w:rPr>
        <w:t>إدلاء</w:t>
      </w:r>
      <w:r w:rsidRPr="00230763">
        <w:rPr>
          <w:rFonts w:ascii="Traditional Arabic" w:hAnsi="Traditional Arabic" w:hint="cs"/>
          <w:rtl/>
          <w:lang w:val="en-CA"/>
        </w:rPr>
        <w:t xml:space="preserve"> موظف الهجرة </w:t>
      </w:r>
      <w:r>
        <w:rPr>
          <w:rFonts w:ascii="Traditional Arabic" w:hAnsi="Traditional Arabic" w:hint="cs"/>
          <w:rtl/>
          <w:lang w:val="en-CA"/>
        </w:rPr>
        <w:t xml:space="preserve">بإفادة </w:t>
      </w:r>
      <w:r w:rsidRPr="00230763">
        <w:rPr>
          <w:rFonts w:ascii="Traditional Arabic" w:hAnsi="Traditional Arabic" w:hint="cs"/>
          <w:rtl/>
          <w:lang w:val="en-CA"/>
        </w:rPr>
        <w:t>ملفقة</w:t>
      </w:r>
      <w:r w:rsidRPr="003379E2">
        <w:rPr>
          <w:rFonts w:hint="cs"/>
          <w:spacing w:val="-2"/>
          <w:sz w:val="30"/>
          <w:vertAlign w:val="superscript"/>
          <w:rtl/>
          <w:lang w:val="en-CA"/>
        </w:rPr>
        <w:t>(</w:t>
      </w:r>
      <w:r w:rsidRPr="003379E2">
        <w:rPr>
          <w:spacing w:val="-2"/>
          <w:sz w:val="30"/>
          <w:vertAlign w:val="superscript"/>
          <w:rtl/>
        </w:rPr>
        <w:footnoteReference w:id="119"/>
      </w:r>
      <w:r w:rsidRPr="003379E2">
        <w:rPr>
          <w:rFonts w:hint="cs"/>
          <w:spacing w:val="-2"/>
          <w:sz w:val="30"/>
          <w:vertAlign w:val="superscript"/>
          <w:rtl/>
          <w:lang w:val="en-CA"/>
        </w:rPr>
        <w:t>)</w:t>
      </w:r>
      <w:r w:rsidRPr="00C02584">
        <w:rPr>
          <w:rFonts w:ascii="Traditional Arabic" w:hAnsi="Traditional Arabic" w:hint="cs"/>
          <w:rtl/>
          <w:lang w:val="en-CA"/>
        </w:rPr>
        <w:t>.</w:t>
      </w:r>
    </w:p>
    <w:p w:rsidR="00D0360A" w:rsidRPr="00E525A4" w:rsidRDefault="00D0360A" w:rsidP="00D0360A">
      <w:pPr>
        <w:pStyle w:val="SingleTxtGA"/>
        <w:rPr>
          <w:rFonts w:hint="cs"/>
          <w:szCs w:val="20"/>
          <w:rtl/>
        </w:rPr>
      </w:pPr>
      <w:r w:rsidRPr="00E525A4">
        <w:rPr>
          <w:rtl/>
          <w:lang w:val="en-CA"/>
        </w:rPr>
        <w:t>4-13</w:t>
      </w:r>
      <w:r w:rsidRPr="00E525A4">
        <w:rPr>
          <w:rtl/>
          <w:lang w:val="en-CA"/>
        </w:rPr>
        <w:tab/>
      </w:r>
      <w:r>
        <w:rPr>
          <w:rFonts w:hint="cs"/>
          <w:rtl/>
        </w:rPr>
        <w:t xml:space="preserve">ومع أن صاحب </w:t>
      </w:r>
      <w:r w:rsidRPr="00BD2CB3">
        <w:rPr>
          <w:rFonts w:hint="cs"/>
          <w:rtl/>
        </w:rPr>
        <w:t xml:space="preserve">الشكوى </w:t>
      </w:r>
      <w:r>
        <w:rPr>
          <w:rFonts w:hint="cs"/>
          <w:rtl/>
        </w:rPr>
        <w:t>قام،</w:t>
      </w:r>
      <w:r w:rsidRPr="00BD2CB3">
        <w:rPr>
          <w:rFonts w:hint="cs"/>
          <w:rtl/>
        </w:rPr>
        <w:t xml:space="preserve"> في معرض الإجراءات المحلية</w:t>
      </w:r>
      <w:r>
        <w:rPr>
          <w:rFonts w:hint="cs"/>
          <w:rtl/>
        </w:rPr>
        <w:t xml:space="preserve"> وطلبات التدخل الوزاري، بإحضار معلومات عن تعرضه لسوء معاملة في الماضي، فقد تولت الهيئات المحلية تقييم هذه المعلومات على النحو الواجب. فالنظام القضائي الأسترالي يعتمد في مراجعة الأسس الموضوعية للقرارات وفي</w:t>
      </w:r>
      <w:r>
        <w:rPr>
          <w:rtl/>
        </w:rPr>
        <w:t> </w:t>
      </w:r>
      <w:r>
        <w:rPr>
          <w:rFonts w:hint="cs"/>
          <w:rtl/>
        </w:rPr>
        <w:t>المراجعة القضائية للقرارات عمليةً مُحكمة تضمن تصويب أي خطأ قد يرتكبه من يتّخذ القرارات في أولى مراحل الإجراءات. وفي</w:t>
      </w:r>
      <w:r>
        <w:rPr>
          <w:rtl/>
        </w:rPr>
        <w:t> </w:t>
      </w:r>
      <w:r>
        <w:rPr>
          <w:rFonts w:hint="cs"/>
          <w:rtl/>
        </w:rPr>
        <w:t>القضية قيد البحث، استأنف صاحب الشكوى أمام محكمة مراجعة الأحكام الخاصة باللاجئين ومحكمة الصلح الاتحادية والمحكمة الاتحادية الأسترالية، ولكن لم</w:t>
      </w:r>
      <w:r>
        <w:rPr>
          <w:rtl/>
        </w:rPr>
        <w:t> </w:t>
      </w:r>
      <w:r>
        <w:rPr>
          <w:rFonts w:hint="cs"/>
          <w:rtl/>
        </w:rPr>
        <w:t>يُعثر على أي خطأ. أما</w:t>
      </w:r>
      <w:r>
        <w:rPr>
          <w:rtl/>
        </w:rPr>
        <w:t xml:space="preserve"> فيما </w:t>
      </w:r>
      <w:r>
        <w:rPr>
          <w:rFonts w:hint="cs"/>
          <w:rtl/>
        </w:rPr>
        <w:t xml:space="preserve">يتعلق بالوثائق </w:t>
      </w:r>
      <w:r w:rsidRPr="00DD1FEE">
        <w:rPr>
          <w:rFonts w:hint="cs"/>
          <w:rtl/>
        </w:rPr>
        <w:t>التي أرف</w:t>
      </w:r>
      <w:r>
        <w:rPr>
          <w:rFonts w:hint="cs"/>
          <w:rtl/>
        </w:rPr>
        <w:t>ق</w:t>
      </w:r>
      <w:r w:rsidRPr="00DD1FEE">
        <w:rPr>
          <w:rFonts w:hint="cs"/>
          <w:rtl/>
        </w:rPr>
        <w:t>ها</w:t>
      </w:r>
      <w:r>
        <w:rPr>
          <w:rFonts w:hint="cs"/>
          <w:rtl/>
        </w:rPr>
        <w:t xml:space="preserve"> صاحب الشكوى بطلبات التدخل الوزاري، فقد قامت </w:t>
      </w:r>
      <w:r w:rsidRPr="005E514B">
        <w:rPr>
          <w:rFonts w:hint="cs"/>
          <w:rtl/>
        </w:rPr>
        <w:t>إدارة</w:t>
      </w:r>
      <w:r>
        <w:rPr>
          <w:rFonts w:hint="cs"/>
          <w:rtl/>
        </w:rPr>
        <w:t xml:space="preserve"> الهجرة بدراستها في إطار التقييم الذي جرى لطلبات التدخل الوزاري في 6 كانون الأول/ديسمبر 2007 وفي</w:t>
      </w:r>
      <w:r>
        <w:rPr>
          <w:rtl/>
        </w:rPr>
        <w:t> </w:t>
      </w:r>
      <w:r w:rsidRPr="00D65276">
        <w:rPr>
          <w:rFonts w:hint="cs"/>
          <w:rtl/>
        </w:rPr>
        <w:t>إطار عمليات التقييم</w:t>
      </w:r>
      <w:r>
        <w:rPr>
          <w:rFonts w:hint="cs"/>
          <w:rtl/>
        </w:rPr>
        <w:t xml:space="preserve"> اللاحقة. وبالتالي، تفيد الدولة الطرف بأنه لم</w:t>
      </w:r>
      <w:r>
        <w:rPr>
          <w:rtl/>
        </w:rPr>
        <w:t> </w:t>
      </w:r>
      <w:r>
        <w:rPr>
          <w:rFonts w:hint="cs"/>
          <w:rtl/>
        </w:rPr>
        <w:t>تقدَّم في الشكوى أدلّة جديدة تدعم مزاعم صاحبها إلا</w:t>
      </w:r>
      <w:r>
        <w:rPr>
          <w:rtl/>
        </w:rPr>
        <w:t> </w:t>
      </w:r>
      <w:r>
        <w:rPr>
          <w:rFonts w:hint="cs"/>
          <w:rtl/>
        </w:rPr>
        <w:t xml:space="preserve">وقد سبق أن جرى بحثها في الهيئات المحلية. </w:t>
      </w:r>
    </w:p>
    <w:p w:rsidR="00D0360A" w:rsidRPr="0078058B" w:rsidRDefault="00D0360A" w:rsidP="00D0360A">
      <w:pPr>
        <w:pStyle w:val="SingleTxtGA"/>
        <w:rPr>
          <w:rFonts w:hint="cs"/>
          <w:spacing w:val="-6"/>
          <w:szCs w:val="20"/>
          <w:rtl/>
        </w:rPr>
      </w:pPr>
      <w:r w:rsidRPr="0078058B">
        <w:rPr>
          <w:rtl/>
          <w:lang w:val="en-CA"/>
        </w:rPr>
        <w:t>4-14</w:t>
      </w:r>
      <w:r w:rsidRPr="0078058B">
        <w:rPr>
          <w:rtl/>
          <w:lang w:val="en-CA"/>
        </w:rPr>
        <w:tab/>
      </w:r>
      <w:r w:rsidRPr="0078058B">
        <w:rPr>
          <w:rFonts w:hint="cs"/>
          <w:rtl/>
        </w:rPr>
        <w:t>وإلى ج</w:t>
      </w:r>
      <w:r>
        <w:rPr>
          <w:rFonts w:hint="cs"/>
          <w:rtl/>
        </w:rPr>
        <w:t>انب ادعاءات التعرّض لسوء معاملة في الماضي، وهي ادعاءات نظرت فيها الهيئات المحلية، لم</w:t>
      </w:r>
      <w:r>
        <w:rPr>
          <w:rtl/>
        </w:rPr>
        <w:t> </w:t>
      </w:r>
      <w:r>
        <w:rPr>
          <w:rFonts w:hint="cs"/>
          <w:rtl/>
        </w:rPr>
        <w:t>تحدِّد الشكوى التي رفعها صاحبها نوع المعاملة التي قد يعاني منها وفقاً للمادة 3 من الاتفاقية؛ فلم يقدِّم أي دليل على نوع التعذيب الذي قد يعاني منه في الصين. وبالتالي، تفيد الدولة الطرف بأن صاحب الشكوى لم</w:t>
      </w:r>
      <w:r>
        <w:rPr>
          <w:rtl/>
        </w:rPr>
        <w:t> </w:t>
      </w:r>
      <w:r>
        <w:rPr>
          <w:rFonts w:hint="cs"/>
          <w:rtl/>
        </w:rPr>
        <w:t xml:space="preserve">يقدم أدلة </w:t>
      </w:r>
      <w:r w:rsidRPr="00DD1FEE">
        <w:rPr>
          <w:rFonts w:hint="cs"/>
          <w:rtl/>
        </w:rPr>
        <w:t>كافية لدعم زعمه</w:t>
      </w:r>
      <w:r>
        <w:rPr>
          <w:rFonts w:hint="cs"/>
          <w:rtl/>
        </w:rPr>
        <w:t xml:space="preserve"> بالخرق المحتمل للمادة 3 من الاتفاقية. وعليه، ينبغي الحكم بعدم قبول هذه الشكوى.</w:t>
      </w:r>
    </w:p>
    <w:p w:rsidR="00D0360A" w:rsidRPr="003A5984" w:rsidRDefault="00D0360A" w:rsidP="00052B12">
      <w:pPr>
        <w:pStyle w:val="SingleTxtGA"/>
        <w:rPr>
          <w:rFonts w:ascii="Traditional Arabic" w:hAnsi="Traditional Arabic" w:hint="cs"/>
          <w:szCs w:val="20"/>
          <w:rtl/>
          <w:lang/>
        </w:rPr>
      </w:pPr>
      <w:r w:rsidRPr="003A5984">
        <w:rPr>
          <w:rFonts w:ascii="Traditional Arabic" w:hAnsi="Traditional Arabic"/>
          <w:rtl/>
          <w:lang w:val="en-CA"/>
        </w:rPr>
        <w:t>4-15</w:t>
      </w:r>
      <w:r w:rsidRPr="003A5984">
        <w:rPr>
          <w:rFonts w:ascii="Traditional Arabic" w:hAnsi="Traditional Arabic"/>
          <w:rtl/>
          <w:lang w:val="en-CA"/>
        </w:rPr>
        <w:tab/>
      </w:r>
      <w:r w:rsidRPr="003A5984">
        <w:rPr>
          <w:rFonts w:hint="cs"/>
          <w:rtl/>
          <w:lang/>
        </w:rPr>
        <w:t>وفي حال رأت اللجنة أن ادعاءات صاحب الشكوى مقبولة، تفيد الدولة الطرف بأنه ما</w:t>
      </w:r>
      <w:r w:rsidRPr="003A5984">
        <w:rPr>
          <w:rtl/>
          <w:lang/>
        </w:rPr>
        <w:t> </w:t>
      </w:r>
      <w:r w:rsidRPr="003A5984">
        <w:rPr>
          <w:rFonts w:hint="cs"/>
          <w:rtl/>
          <w:lang/>
        </w:rPr>
        <w:t>من أسباب جدية تدعو إلى الاعتقاد بأن صاحب الشكوى سيتعرض لخطر التعذيب عقب عودته إلى الصين. وقد جرى النظر، على النحو الواجب ووفقاً للقوانين المحلية السارية،</w:t>
      </w:r>
      <w:r w:rsidR="00052B12">
        <w:rPr>
          <w:rFonts w:hint="eastAsia"/>
          <w:rtl/>
          <w:lang/>
        </w:rPr>
        <w:t> </w:t>
      </w:r>
      <w:r w:rsidRPr="003A5984">
        <w:rPr>
          <w:rFonts w:hint="cs"/>
          <w:rtl/>
          <w:lang/>
        </w:rPr>
        <w:t>في طلبات الحماية التي قدّمها في أستراليا</w:t>
      </w:r>
      <w:r w:rsidRPr="003A5984">
        <w:rPr>
          <w:rFonts w:hint="cs"/>
          <w:rtl/>
        </w:rPr>
        <w:t>.</w:t>
      </w:r>
      <w:r w:rsidRPr="003A5984">
        <w:rPr>
          <w:rFonts w:hint="cs"/>
          <w:rtl/>
          <w:lang/>
        </w:rPr>
        <w:t xml:space="preserve"> ولا</w:t>
      </w:r>
      <w:r w:rsidRPr="003A5984">
        <w:rPr>
          <w:rtl/>
          <w:lang/>
        </w:rPr>
        <w:t> </w:t>
      </w:r>
      <w:r w:rsidRPr="003A5984">
        <w:rPr>
          <w:rFonts w:hint="cs"/>
          <w:rtl/>
          <w:lang/>
        </w:rPr>
        <w:t>يكشف صاحب الشكوى في شكواه عن أي معلومات لم</w:t>
      </w:r>
      <w:r w:rsidRPr="003A5984">
        <w:rPr>
          <w:rtl/>
          <w:lang/>
        </w:rPr>
        <w:t> </w:t>
      </w:r>
      <w:r w:rsidRPr="003A5984">
        <w:rPr>
          <w:rFonts w:hint="cs"/>
          <w:rtl/>
          <w:lang/>
        </w:rPr>
        <w:t>يسبق أن جرى بحثها في الهيئات المحلية، وقد استَنفد عدداً من الإمكانيات</w:t>
      </w:r>
      <w:r w:rsidR="00052B12">
        <w:rPr>
          <w:rFonts w:hint="eastAsia"/>
          <w:rtl/>
          <w:lang/>
        </w:rPr>
        <w:t> </w:t>
      </w:r>
      <w:r w:rsidRPr="003A5984">
        <w:rPr>
          <w:rFonts w:hint="cs"/>
          <w:rtl/>
          <w:lang/>
        </w:rPr>
        <w:t>التي أتيحت له للطعن في قرار إدارة الهجرة المتعلق بتأشيرة الحماية ولكن لم</w:t>
      </w:r>
      <w:r w:rsidRPr="003A5984">
        <w:rPr>
          <w:rtl/>
          <w:lang/>
        </w:rPr>
        <w:t> </w:t>
      </w:r>
      <w:r w:rsidRPr="003A5984">
        <w:rPr>
          <w:rFonts w:hint="cs"/>
          <w:rtl/>
          <w:lang/>
        </w:rPr>
        <w:t>يُعثر على أي خطأ. أما</w:t>
      </w:r>
      <w:r w:rsidRPr="003A5984">
        <w:rPr>
          <w:rtl/>
          <w:lang/>
        </w:rPr>
        <w:t> </w:t>
      </w:r>
      <w:r w:rsidRPr="003A5984">
        <w:rPr>
          <w:rFonts w:hint="cs"/>
          <w:rtl/>
          <w:lang/>
        </w:rPr>
        <w:t>الوثائق التي قدّمها صاحب الشكوى، بما</w:t>
      </w:r>
      <w:r w:rsidRPr="003A5984">
        <w:rPr>
          <w:rtl/>
          <w:lang/>
        </w:rPr>
        <w:t> </w:t>
      </w:r>
      <w:r w:rsidRPr="003A5984">
        <w:rPr>
          <w:rFonts w:hint="cs"/>
          <w:rtl/>
          <w:lang/>
        </w:rPr>
        <w:t>فيها الإشعار بإخلاء سبيله من مخيّم لإعادة التثقيف عن طريق العمل القسري فضلاً عن نسخة التقرير الطبي المؤرخ 28 آب/أغسطس 1999، فإنها، وإن لم</w:t>
      </w:r>
      <w:r w:rsidRPr="003A5984">
        <w:rPr>
          <w:rtl/>
          <w:lang/>
        </w:rPr>
        <w:t> </w:t>
      </w:r>
      <w:r w:rsidRPr="003A5984">
        <w:rPr>
          <w:rFonts w:hint="cs"/>
          <w:rtl/>
          <w:lang/>
        </w:rPr>
        <w:t>تُعرض في إطار طلب تأشيرة الحماية، قد دُرست على النحو الواجب من قبل إدارة الهجرة في إطار طلبات التدخل الوزاري السابقة. وتفيد الدولة الطرف بأن صاحب الشكوى لم</w:t>
      </w:r>
      <w:r w:rsidRPr="003A5984">
        <w:rPr>
          <w:rtl/>
          <w:lang/>
        </w:rPr>
        <w:t> </w:t>
      </w:r>
      <w:r w:rsidRPr="003A5984">
        <w:rPr>
          <w:rFonts w:hint="cs"/>
          <w:rtl/>
          <w:lang/>
        </w:rPr>
        <w:t>يشفع شكواه بأدلة موثوق بها تؤكد أنه يواجه خطراً شخصياً ومحدقاً بالتعذيب، وبالتالي فإنه ينبغي رفض الطلب الذي قدمه بموجب المادة</w:t>
      </w:r>
      <w:r w:rsidRPr="003A5984">
        <w:rPr>
          <w:rFonts w:hint="eastAsia"/>
          <w:rtl/>
          <w:lang/>
        </w:rPr>
        <w:t> </w:t>
      </w:r>
      <w:r w:rsidRPr="003A5984">
        <w:rPr>
          <w:rFonts w:hint="cs"/>
          <w:rtl/>
          <w:lang/>
        </w:rPr>
        <w:t>3 من الاتفاقية بحجة افتقاره إلى أسس موضوعية.</w:t>
      </w:r>
    </w:p>
    <w:p w:rsidR="00D0360A" w:rsidRPr="00140D51" w:rsidRDefault="00D0360A" w:rsidP="00D0360A">
      <w:pPr>
        <w:pStyle w:val="H23GA"/>
        <w:rPr>
          <w:rtl/>
        </w:rPr>
      </w:pPr>
      <w:r>
        <w:rPr>
          <w:rFonts w:hint="cs"/>
          <w:rtl/>
        </w:rPr>
        <w:tab/>
      </w:r>
      <w:r>
        <w:rPr>
          <w:rFonts w:hint="cs"/>
          <w:rtl/>
        </w:rPr>
        <w:tab/>
      </w:r>
      <w:r w:rsidRPr="00140D51">
        <w:rPr>
          <w:rtl/>
        </w:rPr>
        <w:t xml:space="preserve">تعليقات </w:t>
      </w:r>
      <w:r w:rsidRPr="00140D51">
        <w:rPr>
          <w:rFonts w:hint="cs"/>
          <w:rtl/>
        </w:rPr>
        <w:t>صاحب الشكوى</w:t>
      </w:r>
      <w:r w:rsidRPr="00140D51">
        <w:rPr>
          <w:rtl/>
        </w:rPr>
        <w:t xml:space="preserve"> على ملاحظات الدولة الطرف</w:t>
      </w:r>
    </w:p>
    <w:p w:rsidR="00D0360A" w:rsidRPr="00140D51" w:rsidRDefault="00D0360A" w:rsidP="00D0360A">
      <w:pPr>
        <w:pStyle w:val="SingleTxtGA"/>
        <w:spacing w:line="360" w:lineRule="exact"/>
        <w:rPr>
          <w:spacing w:val="-4"/>
          <w:rtl/>
          <w:lang w:val="en-CA"/>
        </w:rPr>
      </w:pPr>
      <w:r w:rsidRPr="00140D51">
        <w:rPr>
          <w:spacing w:val="-4"/>
          <w:rtl/>
          <w:lang w:val="en-CA"/>
        </w:rPr>
        <w:t>5-1</w:t>
      </w:r>
      <w:r w:rsidRPr="00140D51">
        <w:rPr>
          <w:spacing w:val="-4"/>
          <w:rtl/>
          <w:lang w:val="en-CA"/>
        </w:rPr>
        <w:tab/>
      </w:r>
      <w:r>
        <w:rPr>
          <w:rFonts w:hint="cs"/>
          <w:rtl/>
        </w:rPr>
        <w:t>في 12 كانون الثاني/يناير 2012، أدلت المحامية بتعليقات نيابة عن صاحب الشكوى. وتفيد بأنها لا</w:t>
      </w:r>
      <w:r>
        <w:rPr>
          <w:rtl/>
        </w:rPr>
        <w:t> </w:t>
      </w:r>
      <w:r>
        <w:rPr>
          <w:rFonts w:hint="cs"/>
          <w:rtl/>
        </w:rPr>
        <w:t>تملك معلومات إضافية عما حلّ بصاحب الشكوى بعد إعادته إلى الصين في 1 نيسان/أبريل 2010</w:t>
      </w:r>
      <w:r w:rsidRPr="00140D51">
        <w:rPr>
          <w:rFonts w:hint="cs"/>
          <w:rtl/>
        </w:rPr>
        <w:t>.</w:t>
      </w:r>
      <w:r w:rsidRPr="00140D51">
        <w:rPr>
          <w:spacing w:val="-4"/>
          <w:rtl/>
          <w:lang w:val="en-CA"/>
        </w:rPr>
        <w:t xml:space="preserve"> </w:t>
      </w:r>
    </w:p>
    <w:p w:rsidR="00D0360A" w:rsidRPr="00610097" w:rsidRDefault="00D0360A" w:rsidP="00564059">
      <w:pPr>
        <w:pStyle w:val="SingleTxtGA"/>
        <w:rPr>
          <w:rFonts w:hint="cs"/>
          <w:b/>
          <w:bCs/>
          <w:rtl/>
        </w:rPr>
      </w:pPr>
      <w:r w:rsidRPr="00610097">
        <w:rPr>
          <w:rtl/>
          <w:lang w:val="en-CA"/>
        </w:rPr>
        <w:t>5</w:t>
      </w:r>
      <w:r w:rsidRPr="00610097">
        <w:rPr>
          <w:spacing w:val="-2"/>
          <w:rtl/>
          <w:lang w:val="en-CA"/>
        </w:rPr>
        <w:t>-2</w:t>
      </w:r>
      <w:r w:rsidRPr="00610097">
        <w:rPr>
          <w:spacing w:val="-2"/>
          <w:rtl/>
          <w:lang w:val="en-CA"/>
        </w:rPr>
        <w:tab/>
      </w:r>
      <w:r w:rsidRPr="00610097">
        <w:rPr>
          <w:spacing w:val="-2"/>
          <w:rtl/>
        </w:rPr>
        <w:t>و</w:t>
      </w:r>
      <w:r>
        <w:rPr>
          <w:rFonts w:hint="cs"/>
          <w:rtl/>
        </w:rPr>
        <w:t>تعترض المحامية على الحجة التي استدلّت بها الدولة الطرف من أن الشكوى غير مقبولة لانعدام الأدلة التي تثبت وجود خطر متوقع وحقيقي وشخصي بالتعذيب عقب عودة صاحب الشكوى إلى الصين، وتشير إلى الأدلة التي سبق أن عُرضت على الوزير أو</w:t>
      </w:r>
      <w:r>
        <w:rPr>
          <w:rtl/>
        </w:rPr>
        <w:t> </w:t>
      </w:r>
      <w:r>
        <w:rPr>
          <w:rFonts w:hint="cs"/>
          <w:rtl/>
        </w:rPr>
        <w:t>على وحدة التدخل الوزاري التابعة لإدارة الهجرة. وتتمسك بأن الوثائق التالية الداعمة للقضية تحتوي أدلة دامغة تثبت أن صاحب الشكوى قد عانى من الاضطهاد الخطير وأنه يخشى التعرض لاضطهاد مماثل عقب عودته إلى الصين</w:t>
      </w:r>
      <w:r w:rsidRPr="004F4694">
        <w:rPr>
          <w:rFonts w:hint="cs"/>
          <w:rtl/>
        </w:rPr>
        <w:t>:</w:t>
      </w:r>
      <w:r>
        <w:rPr>
          <w:rFonts w:hint="cs"/>
          <w:rtl/>
        </w:rPr>
        <w:t xml:space="preserve"> (</w:t>
      </w:r>
      <w:r w:rsidRPr="004F4694">
        <w:rPr>
          <w:rFonts w:hint="cs"/>
          <w:rtl/>
        </w:rPr>
        <w:t>أ) إشعار إخلا</w:t>
      </w:r>
      <w:r>
        <w:rPr>
          <w:rFonts w:hint="cs"/>
          <w:rtl/>
        </w:rPr>
        <w:t>ء</w:t>
      </w:r>
      <w:r w:rsidRPr="004F4694">
        <w:rPr>
          <w:rFonts w:hint="cs"/>
          <w:rtl/>
        </w:rPr>
        <w:t xml:space="preserve"> السبيل الصادر عن "مركز العمل القسري</w:t>
      </w:r>
      <w:r w:rsidRPr="004F4694">
        <w:rPr>
          <w:rFonts w:hint="cs"/>
          <w:rtl/>
          <w:lang w:val="en-CA"/>
        </w:rPr>
        <w:t xml:space="preserve"> </w:t>
      </w:r>
      <w:r>
        <w:rPr>
          <w:rFonts w:hint="cs"/>
          <w:rtl/>
        </w:rPr>
        <w:t xml:space="preserve">من أجل </w:t>
      </w:r>
      <w:r w:rsidRPr="004F4694">
        <w:rPr>
          <w:rFonts w:hint="cs"/>
          <w:rtl/>
        </w:rPr>
        <w:t xml:space="preserve">إعادة التأهيل في </w:t>
      </w:r>
      <w:r w:rsidRPr="004F4694">
        <w:rPr>
          <w:rFonts w:hint="cs"/>
          <w:rtl/>
          <w:lang w:val="en-CA"/>
        </w:rPr>
        <w:t>زانغشي</w:t>
      </w:r>
      <w:r w:rsidRPr="004F4694">
        <w:rPr>
          <w:rFonts w:hint="cs"/>
          <w:rtl/>
        </w:rPr>
        <w:t>"</w:t>
      </w:r>
      <w:r>
        <w:rPr>
          <w:rFonts w:hint="cs"/>
          <w:rtl/>
        </w:rPr>
        <w:t>،</w:t>
      </w:r>
      <w:r w:rsidRPr="004F4694">
        <w:rPr>
          <w:rFonts w:hint="cs"/>
          <w:rtl/>
        </w:rPr>
        <w:t xml:space="preserve"> </w:t>
      </w:r>
      <w:r>
        <w:rPr>
          <w:rFonts w:hint="cs"/>
          <w:rtl/>
        </w:rPr>
        <w:t xml:space="preserve">الذي </w:t>
      </w:r>
      <w:r w:rsidRPr="004F4694">
        <w:rPr>
          <w:rFonts w:hint="cs"/>
          <w:rtl/>
        </w:rPr>
        <w:t xml:space="preserve">يؤكد </w:t>
      </w:r>
      <w:r>
        <w:rPr>
          <w:rFonts w:hint="cs"/>
          <w:rtl/>
        </w:rPr>
        <w:t>إيداع صاحب الشكوى السجن من 10 آب أغسطس 1999 إلى 20 آب/أغسطس 2000؛ (ب) التقرير الطبي الصادر عن "المستشفى الرابع" التابع للجامعة الطبية الصينية</w:t>
      </w:r>
      <w:r w:rsidRPr="003379E2">
        <w:rPr>
          <w:rFonts w:hint="cs"/>
          <w:spacing w:val="-2"/>
          <w:sz w:val="30"/>
          <w:vertAlign w:val="superscript"/>
          <w:rtl/>
          <w:lang w:val="en-CA"/>
        </w:rPr>
        <w:t>(</w:t>
      </w:r>
      <w:r w:rsidRPr="003379E2">
        <w:rPr>
          <w:spacing w:val="-2"/>
          <w:sz w:val="30"/>
          <w:vertAlign w:val="superscript"/>
          <w:rtl/>
        </w:rPr>
        <w:footnoteReference w:id="120"/>
      </w:r>
      <w:r w:rsidRPr="003379E2">
        <w:rPr>
          <w:rFonts w:hint="cs"/>
          <w:spacing w:val="-2"/>
          <w:sz w:val="30"/>
          <w:vertAlign w:val="superscript"/>
          <w:rtl/>
          <w:lang w:val="en-CA"/>
        </w:rPr>
        <w:t>)</w:t>
      </w:r>
      <w:r>
        <w:rPr>
          <w:rFonts w:hint="cs"/>
          <w:rtl/>
        </w:rPr>
        <w:t>؛ (ج) تقرير أمين مظالم الكومنولث، المقدّم إلى أمانة إدارة الهجرة وقد جاء فيه أن صاحب الشكوى تكلم أثناء جلسات المشورة لدى "دائرة معالجة وتأهيل الناجين من التعذيب والصدمات" عما تعرّض له من تعذيب وصدمات في الصين، وقد أُرسل إلى إدارة الهجرة تقرير يفيد بأنه كان يعاني من اضطرابات ما</w:t>
      </w:r>
      <w:r>
        <w:rPr>
          <w:rtl/>
        </w:rPr>
        <w:t> </w:t>
      </w:r>
      <w:r>
        <w:rPr>
          <w:rFonts w:hint="cs"/>
          <w:rtl/>
        </w:rPr>
        <w:t>بعد الصدمة؛ (د) طلب التدخل الوزاري المؤرخ 23 تموز/يوليه 2009 الذي يتضمن وصفاً لأعمال التعذيب الذي يخشى صاحب الشكوى التعرض لها في حال عودته إلى الصين، وهو وصف مستخلص من أعمال التعذيب التي عانى منها طوال سنة عندما كان يقوم بالأعمال الشاقة ويتعرض للضرب كسجين في "مخيم إعادة التثقيف عن طريق العمل القسري"؛ (</w:t>
      </w:r>
      <w:r w:rsidRPr="000349AE">
        <w:rPr>
          <w:rFonts w:hint="cs"/>
          <w:sz w:val="30"/>
          <w:rtl/>
        </w:rPr>
        <w:t>ﻫ</w:t>
      </w:r>
      <w:r>
        <w:rPr>
          <w:rFonts w:hint="cs"/>
          <w:rtl/>
        </w:rPr>
        <w:t>) طلب التدخل الوزاري الثاني المؤرخ 9 أيلول/سبتمبر 2009 الذي يؤكد فيه صاحب الشكوى مرّة أخرى معاناته ويعطي مزيداً من التفاصيل عن اضطهاده الذي دام عاماً في "مخيم إعادة التثقيف عن طريق العمل القسري"؛ (و) طلب التدخل الوزاري المؤرخ 20 كانون الأول/ديسمبر 2009 الذي يحتوي على مزيد من التفاصيل عن الصدمة التي ما</w:t>
      </w:r>
      <w:r>
        <w:rPr>
          <w:rtl/>
        </w:rPr>
        <w:t> </w:t>
      </w:r>
      <w:r>
        <w:rPr>
          <w:rFonts w:hint="cs"/>
          <w:rtl/>
        </w:rPr>
        <w:t>زال يعاني منها صاحب الشكوى نتيجة احتجازه مدة عام</w:t>
      </w:r>
      <w:r>
        <w:rPr>
          <w:rtl/>
        </w:rPr>
        <w:t> </w:t>
      </w:r>
      <w:r>
        <w:rPr>
          <w:rFonts w:hint="cs"/>
          <w:rtl/>
        </w:rPr>
        <w:t>في مخيم إعادة التثقيف عن طريق العمل القسري؛ (ز) الرسم البياني للندوب المخلَّفة على جسم صاحب الشكوى في عام</w:t>
      </w:r>
      <w:r>
        <w:rPr>
          <w:rtl/>
        </w:rPr>
        <w:t> </w:t>
      </w:r>
      <w:r>
        <w:rPr>
          <w:rFonts w:hint="cs"/>
          <w:rtl/>
        </w:rPr>
        <w:t>1999 (مؤرخ 10 أيلول/سبتمبر 1999)</w:t>
      </w:r>
      <w:r w:rsidRPr="00610097">
        <w:rPr>
          <w:rFonts w:hint="cs"/>
          <w:rtl/>
        </w:rPr>
        <w:t>.</w:t>
      </w:r>
    </w:p>
    <w:p w:rsidR="00D0360A" w:rsidRDefault="00D0360A" w:rsidP="00564059">
      <w:pPr>
        <w:pStyle w:val="SingleTxtGA"/>
        <w:rPr>
          <w:rFonts w:hint="cs"/>
          <w:rtl/>
          <w:lang w:val="en-CA"/>
        </w:rPr>
      </w:pPr>
      <w:r w:rsidRPr="00237F1C">
        <w:rPr>
          <w:rtl/>
          <w:lang w:val="en-CA"/>
        </w:rPr>
        <w:t>5-3</w:t>
      </w:r>
      <w:r w:rsidRPr="00237F1C">
        <w:rPr>
          <w:rtl/>
          <w:lang w:val="en-CA"/>
        </w:rPr>
        <w:tab/>
      </w:r>
      <w:r>
        <w:rPr>
          <w:rFonts w:hint="cs"/>
          <w:rtl/>
          <w:lang w:val="en-CA"/>
        </w:rPr>
        <w:t>وتفيد المحامية أيضاً بأن طلب الحماية يبت فيه أولاً موظف إدارة الهجرة المعيَّن مندوباً عن الوزير. وفي</w:t>
      </w:r>
      <w:r>
        <w:rPr>
          <w:rtl/>
          <w:lang w:val="en-CA"/>
        </w:rPr>
        <w:t> </w:t>
      </w:r>
      <w:r>
        <w:rPr>
          <w:rFonts w:hint="cs"/>
          <w:rtl/>
          <w:lang w:val="en-CA"/>
        </w:rPr>
        <w:t>حال رفْض المندوب طلبَ الحماية، يجوز التقدم أمام محكمة مراجعة الأحكام الخاصة باللاجئين بالتماس لمراجعة هذا الرفض</w:t>
      </w:r>
      <w:r w:rsidRPr="00BD2219">
        <w:rPr>
          <w:rFonts w:hint="cs"/>
          <w:rtl/>
          <w:lang w:val="en-CA"/>
        </w:rPr>
        <w:t>. وتشير المحامية إلى</w:t>
      </w:r>
      <w:r>
        <w:rPr>
          <w:rFonts w:hint="cs"/>
          <w:rtl/>
          <w:lang w:val="en-CA"/>
        </w:rPr>
        <w:t xml:space="preserve"> ما</w:t>
      </w:r>
      <w:r>
        <w:rPr>
          <w:rtl/>
          <w:lang w:val="en-CA"/>
        </w:rPr>
        <w:t> </w:t>
      </w:r>
      <w:r w:rsidRPr="00BD2219">
        <w:rPr>
          <w:rFonts w:hint="cs"/>
          <w:rtl/>
          <w:lang w:val="en-CA"/>
        </w:rPr>
        <w:t>جاء في تقارير المحكمة</w:t>
      </w:r>
      <w:r>
        <w:rPr>
          <w:rFonts w:hint="cs"/>
          <w:rtl/>
          <w:lang w:val="en-CA"/>
        </w:rPr>
        <w:t>، المؤرخة 24 آذار/مارس 2004، على النحو الذي أوجزته الدولة الطرف في ملاحظاتها، من أنه نظراً إلى خلوّ شكوى صاحبها من التفاصيل اللازمة وبغياب الفرصة لاختبار هذه الادعاءات أثناء جلسة استماع، لم</w:t>
      </w:r>
      <w:r>
        <w:rPr>
          <w:rtl/>
          <w:lang w:val="en-CA"/>
        </w:rPr>
        <w:t> </w:t>
      </w:r>
      <w:r>
        <w:rPr>
          <w:rFonts w:hint="cs"/>
          <w:rtl/>
          <w:lang w:val="en-CA"/>
        </w:rPr>
        <w:t xml:space="preserve">يكن بوسع المحكمة أن تقبل أن صاحب الشكوى من ممارسي الفالون غونغ وأنه قد أثار عداء السلطات الصينية نتيجة هذه الأنشطة. وتدعي المحامية أن </w:t>
      </w:r>
      <w:r w:rsidRPr="00C12000">
        <w:rPr>
          <w:rFonts w:hint="cs"/>
          <w:rtl/>
          <w:lang w:val="en-CA"/>
        </w:rPr>
        <w:t>المحكمة انتهت</w:t>
      </w:r>
      <w:r>
        <w:rPr>
          <w:rFonts w:hint="cs"/>
          <w:rtl/>
          <w:lang w:val="en-CA"/>
        </w:rPr>
        <w:t xml:space="preserve"> إلى هذا الاستنتاج مع أنها لا</w:t>
      </w:r>
      <w:r>
        <w:rPr>
          <w:rtl/>
          <w:lang w:val="en-CA"/>
        </w:rPr>
        <w:t> </w:t>
      </w:r>
      <w:r>
        <w:rPr>
          <w:rFonts w:hint="cs"/>
          <w:rtl/>
          <w:lang w:val="en-CA"/>
        </w:rPr>
        <w:t>تملك أي معلومات جديدة أو</w:t>
      </w:r>
      <w:r>
        <w:rPr>
          <w:rtl/>
          <w:lang w:val="en-CA"/>
        </w:rPr>
        <w:t> </w:t>
      </w:r>
      <w:r>
        <w:rPr>
          <w:rFonts w:hint="cs"/>
          <w:rtl/>
          <w:lang w:val="en-CA"/>
        </w:rPr>
        <w:t xml:space="preserve">شروحاً مختلفة عن تلك التي يحوزها مندوب إدارة الهجرة الذي توصّل هو إلى رأي مغاير يسلّم فيه بأن صاحب الشكوى من ممارسي الفالون </w:t>
      </w:r>
      <w:r w:rsidRPr="00BC540F">
        <w:rPr>
          <w:rFonts w:hint="cs"/>
          <w:rtl/>
          <w:lang w:val="en-CA"/>
        </w:rPr>
        <w:t>غونغ</w:t>
      </w:r>
      <w:r>
        <w:rPr>
          <w:rFonts w:hint="cs"/>
          <w:rtl/>
          <w:lang w:val="en-CA"/>
        </w:rPr>
        <w:t>،</w:t>
      </w:r>
      <w:r w:rsidRPr="00BC540F">
        <w:rPr>
          <w:rFonts w:hint="cs"/>
          <w:rtl/>
          <w:lang w:val="en-CA"/>
        </w:rPr>
        <w:t xml:space="preserve"> </w:t>
      </w:r>
      <w:r>
        <w:rPr>
          <w:rFonts w:hint="cs"/>
          <w:rtl/>
          <w:lang w:val="en-CA"/>
        </w:rPr>
        <w:t xml:space="preserve">وأن </w:t>
      </w:r>
      <w:r w:rsidRPr="00BC540F">
        <w:rPr>
          <w:rFonts w:hint="cs"/>
          <w:rtl/>
          <w:lang w:val="en-CA"/>
        </w:rPr>
        <w:t>خلوّ ادعاءاته</w:t>
      </w:r>
      <w:r>
        <w:rPr>
          <w:rFonts w:hint="cs"/>
          <w:rtl/>
          <w:lang w:val="en-CA"/>
        </w:rPr>
        <w:t xml:space="preserve"> من التفاصيل أو</w:t>
      </w:r>
      <w:r>
        <w:rPr>
          <w:rtl/>
          <w:lang w:val="en-CA"/>
        </w:rPr>
        <w:t> </w:t>
      </w:r>
      <w:r>
        <w:rPr>
          <w:rFonts w:hint="cs"/>
          <w:rtl/>
          <w:lang w:val="en-CA"/>
        </w:rPr>
        <w:t>تخلّفه عن حضور جلسة الاستماع المنعقدة في محكمة مراجعة الأحكام الخاصة باللاجئين لا</w:t>
      </w:r>
      <w:r>
        <w:rPr>
          <w:rtl/>
          <w:lang w:val="en-CA"/>
        </w:rPr>
        <w:t> </w:t>
      </w:r>
      <w:r>
        <w:rPr>
          <w:rFonts w:hint="cs"/>
          <w:rtl/>
          <w:lang w:val="en-CA"/>
        </w:rPr>
        <w:t xml:space="preserve">يبرران </w:t>
      </w:r>
      <w:r w:rsidRPr="0025372D">
        <w:rPr>
          <w:rFonts w:hint="cs"/>
          <w:rtl/>
          <w:lang w:val="en-CA"/>
        </w:rPr>
        <w:t xml:space="preserve">استنتاج </w:t>
      </w:r>
      <w:r>
        <w:rPr>
          <w:rFonts w:hint="cs"/>
          <w:rtl/>
          <w:lang w:val="en-CA"/>
        </w:rPr>
        <w:t xml:space="preserve">عدم </w:t>
      </w:r>
      <w:r w:rsidRPr="0025372D">
        <w:rPr>
          <w:rFonts w:hint="cs"/>
          <w:rtl/>
          <w:lang w:val="en-CA"/>
        </w:rPr>
        <w:t>ممارسته</w:t>
      </w:r>
      <w:r>
        <w:rPr>
          <w:rFonts w:hint="cs"/>
          <w:rtl/>
          <w:lang w:val="en-CA"/>
        </w:rPr>
        <w:t xml:space="preserve"> ل</w:t>
      </w:r>
      <w:r w:rsidRPr="0025372D">
        <w:rPr>
          <w:rFonts w:hint="cs"/>
          <w:rtl/>
          <w:lang w:val="en-CA"/>
        </w:rPr>
        <w:t>لفالون</w:t>
      </w:r>
      <w:r>
        <w:rPr>
          <w:rFonts w:hint="cs"/>
          <w:rtl/>
          <w:lang w:val="en-CA"/>
        </w:rPr>
        <w:t xml:space="preserve"> غونغ. </w:t>
      </w:r>
    </w:p>
    <w:p w:rsidR="00D0360A" w:rsidRPr="00237F1C" w:rsidRDefault="00D0360A" w:rsidP="00564059">
      <w:pPr>
        <w:pStyle w:val="SingleTxtGA"/>
        <w:rPr>
          <w:rFonts w:hint="cs"/>
          <w:rtl/>
          <w:lang w:val="en-CA"/>
        </w:rPr>
      </w:pPr>
      <w:r w:rsidRPr="008F3979">
        <w:rPr>
          <w:rtl/>
          <w:lang w:val="en-CA"/>
        </w:rPr>
        <w:t>5-4</w:t>
      </w:r>
      <w:r w:rsidRPr="008F3979">
        <w:rPr>
          <w:rtl/>
          <w:lang w:val="en-CA"/>
        </w:rPr>
        <w:tab/>
      </w:r>
      <w:r w:rsidRPr="008F3979">
        <w:rPr>
          <w:rFonts w:hint="cs"/>
          <w:rtl/>
        </w:rPr>
        <w:t>و</w:t>
      </w:r>
      <w:r>
        <w:rPr>
          <w:rFonts w:hint="cs"/>
          <w:rtl/>
        </w:rPr>
        <w:t>رداً على بيان الدولة الطرف الذي تعلن فيه أن النظام القضائي المحلي يعتمد في مراجعة الأسس الموضوعية للقرارات وفي</w:t>
      </w:r>
      <w:r>
        <w:rPr>
          <w:rtl/>
        </w:rPr>
        <w:t> </w:t>
      </w:r>
      <w:r>
        <w:rPr>
          <w:rFonts w:hint="cs"/>
          <w:rtl/>
        </w:rPr>
        <w:t xml:space="preserve">المراجعة القضائية للقرارات عمليةً مُحكمة تضمن تصويب أي خطأ قد يرتكبه من يتّخذ القرارات في أولى مراحل الإجراءات، فإن المحامية تفيد بأنّ المراجعة القضائية </w:t>
      </w:r>
      <w:r w:rsidRPr="00077C0F">
        <w:rPr>
          <w:rFonts w:hint="cs"/>
          <w:rtl/>
        </w:rPr>
        <w:t xml:space="preserve">عملية </w:t>
      </w:r>
      <w:r>
        <w:rPr>
          <w:rFonts w:hint="cs"/>
          <w:rtl/>
        </w:rPr>
        <w:t>محدودة جداً وبأنّ بيان الدولة الطرف المذكور لا</w:t>
      </w:r>
      <w:r>
        <w:rPr>
          <w:rtl/>
        </w:rPr>
        <w:t> </w:t>
      </w:r>
      <w:r>
        <w:rPr>
          <w:rFonts w:hint="cs"/>
          <w:rtl/>
        </w:rPr>
        <w:t>يعكس بدقة حقيقة أن يدي محكمة الصلح الاتحادية مقيدتان في المراجعات القضائية. كما</w:t>
      </w:r>
      <w:r>
        <w:rPr>
          <w:rtl/>
        </w:rPr>
        <w:t> </w:t>
      </w:r>
      <w:r>
        <w:rPr>
          <w:rFonts w:hint="cs"/>
          <w:rtl/>
        </w:rPr>
        <w:t>لا</w:t>
      </w:r>
      <w:r>
        <w:rPr>
          <w:rtl/>
        </w:rPr>
        <w:t> </w:t>
      </w:r>
      <w:r>
        <w:rPr>
          <w:rFonts w:hint="cs"/>
          <w:rtl/>
        </w:rPr>
        <w:t xml:space="preserve">تتيح سلطة الوزير التقديرية وغير القابلة للطعن اعتماد عملية محكمة لمراجعة الأسس الموضوعية للقضايا. والشرط المانع المنصوص عليه بموجب القسم </w:t>
      </w:r>
      <w:r w:rsidRPr="00012D67">
        <w:rPr>
          <w:rFonts w:hint="cs"/>
          <w:rtl/>
        </w:rPr>
        <w:t xml:space="preserve">1 من </w:t>
      </w:r>
      <w:r>
        <w:rPr>
          <w:rFonts w:hint="cs"/>
          <w:rtl/>
        </w:rPr>
        <w:t xml:space="preserve">الجزء </w:t>
      </w:r>
      <w:r w:rsidRPr="00012D67">
        <w:rPr>
          <w:rFonts w:hint="cs"/>
          <w:rtl/>
        </w:rPr>
        <w:t>8 من</w:t>
      </w:r>
      <w:r>
        <w:rPr>
          <w:rFonts w:hint="cs"/>
          <w:rtl/>
        </w:rPr>
        <w:t xml:space="preserve"> قانون الهجرة لعام</w:t>
      </w:r>
      <w:r>
        <w:rPr>
          <w:rtl/>
        </w:rPr>
        <w:t> </w:t>
      </w:r>
      <w:r>
        <w:rPr>
          <w:rFonts w:hint="cs"/>
          <w:rtl/>
        </w:rPr>
        <w:t>1958 يقصر اختصاص المحاكم الاتحادية على البتّ في الأخطاء القضائية (الأخطاء القانونية)، ولا</w:t>
      </w:r>
      <w:r>
        <w:rPr>
          <w:rtl/>
        </w:rPr>
        <w:t> </w:t>
      </w:r>
      <w:r>
        <w:rPr>
          <w:rFonts w:hint="cs"/>
          <w:rtl/>
        </w:rPr>
        <w:t xml:space="preserve">يخول </w:t>
      </w:r>
      <w:r w:rsidRPr="002B41B6">
        <w:rPr>
          <w:rFonts w:hint="cs"/>
          <w:rtl/>
        </w:rPr>
        <w:t xml:space="preserve">المحاكم </w:t>
      </w:r>
      <w:r>
        <w:rPr>
          <w:rFonts w:hint="cs"/>
          <w:rtl/>
        </w:rPr>
        <w:t xml:space="preserve">إعادة </w:t>
      </w:r>
      <w:r w:rsidRPr="002B41B6">
        <w:rPr>
          <w:rFonts w:hint="cs"/>
          <w:rtl/>
        </w:rPr>
        <w:t>النظر</w:t>
      </w:r>
      <w:r>
        <w:rPr>
          <w:rFonts w:hint="cs"/>
          <w:rtl/>
        </w:rPr>
        <w:t xml:space="preserve"> فيما</w:t>
      </w:r>
      <w:r>
        <w:rPr>
          <w:rtl/>
        </w:rPr>
        <w:t> </w:t>
      </w:r>
      <w:r w:rsidRPr="002B41B6">
        <w:rPr>
          <w:rFonts w:hint="cs"/>
          <w:rtl/>
        </w:rPr>
        <w:t>إذا</w:t>
      </w:r>
      <w:r>
        <w:rPr>
          <w:rFonts w:hint="cs"/>
          <w:rtl/>
        </w:rPr>
        <w:t xml:space="preserve"> كان طالب اللجوء لاجئاً بموجب الاتفاقية المتعلقة بوضع اللاجئين أم</w:t>
      </w:r>
      <w:r>
        <w:rPr>
          <w:rtl/>
        </w:rPr>
        <w:t> </w:t>
      </w:r>
      <w:r>
        <w:rPr>
          <w:rFonts w:hint="cs"/>
          <w:rtl/>
        </w:rPr>
        <w:t>لا.</w:t>
      </w:r>
      <w:r>
        <w:rPr>
          <w:rFonts w:hint="cs"/>
          <w:rtl/>
          <w:lang w:val="en-CA"/>
        </w:rPr>
        <w:t xml:space="preserve"> وإن</w:t>
      </w:r>
      <w:r>
        <w:rPr>
          <w:rFonts w:hint="eastAsia"/>
          <w:rtl/>
          <w:lang w:val="en-CA"/>
        </w:rPr>
        <w:t> </w:t>
      </w:r>
      <w:r>
        <w:rPr>
          <w:rFonts w:hint="cs"/>
          <w:rtl/>
          <w:lang w:val="en-CA"/>
        </w:rPr>
        <w:t xml:space="preserve">عُثر على خطأ قضائي، تحال المسألة إلى محكمة أخرى من </w:t>
      </w:r>
      <w:r w:rsidRPr="00E96A55">
        <w:rPr>
          <w:rFonts w:hint="cs"/>
          <w:rtl/>
          <w:lang w:val="en-CA"/>
        </w:rPr>
        <w:t>محاكم مراجعة الأحكام الخاصة باللاجئين</w:t>
      </w:r>
      <w:r>
        <w:rPr>
          <w:rFonts w:hint="cs"/>
          <w:rtl/>
          <w:lang w:val="en-CA"/>
        </w:rPr>
        <w:t>.</w:t>
      </w:r>
      <w:r w:rsidRPr="00E96A55">
        <w:rPr>
          <w:rFonts w:hint="cs"/>
          <w:rtl/>
          <w:lang w:val="en-CA"/>
        </w:rPr>
        <w:t xml:space="preserve"> ومن هنا، فإن الشرط المانع ينزع عن المحاكم سلطة البت</w:t>
      </w:r>
      <w:r>
        <w:rPr>
          <w:rFonts w:hint="cs"/>
          <w:rtl/>
          <w:lang w:val="en-CA"/>
        </w:rPr>
        <w:t xml:space="preserve"> فيما</w:t>
      </w:r>
      <w:r>
        <w:rPr>
          <w:rtl/>
          <w:lang w:val="en-CA"/>
        </w:rPr>
        <w:t> </w:t>
      </w:r>
      <w:r w:rsidRPr="00E96A55">
        <w:rPr>
          <w:rFonts w:hint="cs"/>
          <w:rtl/>
          <w:lang w:val="en-CA"/>
        </w:rPr>
        <w:t>إذا كانت محكمة مراجعة الأحكام الخاصة باللاجئين قد اتخذت قرار</w:t>
      </w:r>
      <w:r>
        <w:rPr>
          <w:rFonts w:hint="cs"/>
          <w:rtl/>
          <w:lang w:val="en-CA"/>
        </w:rPr>
        <w:t xml:space="preserve">اً </w:t>
      </w:r>
      <w:r w:rsidRPr="00E96A55">
        <w:rPr>
          <w:rFonts w:hint="cs"/>
          <w:rtl/>
          <w:lang w:val="en-CA"/>
        </w:rPr>
        <w:t>عادل</w:t>
      </w:r>
      <w:r>
        <w:rPr>
          <w:rFonts w:hint="cs"/>
          <w:rtl/>
          <w:lang w:val="en-CA"/>
        </w:rPr>
        <w:t xml:space="preserve">اً </w:t>
      </w:r>
      <w:r w:rsidRPr="00E96A55">
        <w:rPr>
          <w:rFonts w:hint="cs"/>
          <w:rtl/>
          <w:lang w:val="en-CA"/>
        </w:rPr>
        <w:t>بشأن ادعاءات الاضطهاد،</w:t>
      </w:r>
      <w:r>
        <w:rPr>
          <w:rFonts w:hint="cs"/>
          <w:rtl/>
          <w:lang w:val="en-CA"/>
        </w:rPr>
        <w:t xml:space="preserve"> أو</w:t>
      </w:r>
      <w:r>
        <w:rPr>
          <w:rtl/>
          <w:lang w:val="en-CA"/>
        </w:rPr>
        <w:t> </w:t>
      </w:r>
      <w:r w:rsidRPr="00E96A55">
        <w:rPr>
          <w:rFonts w:hint="cs"/>
          <w:rtl/>
          <w:lang w:val="en-CA"/>
        </w:rPr>
        <w:t>سلطة معالجة القضايا المتعلقة بمسألة المصداقية.</w:t>
      </w:r>
      <w:r>
        <w:rPr>
          <w:rFonts w:hint="cs"/>
          <w:rtl/>
          <w:lang w:val="en-CA"/>
        </w:rPr>
        <w:t xml:space="preserve"> أما</w:t>
      </w:r>
      <w:r>
        <w:rPr>
          <w:rtl/>
          <w:lang w:val="en-CA"/>
        </w:rPr>
        <w:t> </w:t>
      </w:r>
      <w:r>
        <w:rPr>
          <w:rFonts w:hint="cs"/>
          <w:rtl/>
          <w:lang w:val="en-CA"/>
        </w:rPr>
        <w:t xml:space="preserve">الأجل المحدد </w:t>
      </w:r>
      <w:r w:rsidRPr="00FC6435">
        <w:rPr>
          <w:rFonts w:hint="cs"/>
          <w:sz w:val="30"/>
          <w:rtl/>
          <w:lang w:val="en-CA"/>
        </w:rPr>
        <w:t>ب‍</w:t>
      </w:r>
      <w:r>
        <w:rPr>
          <w:rFonts w:hint="cs"/>
          <w:rtl/>
          <w:lang w:val="en-CA"/>
        </w:rPr>
        <w:t xml:space="preserve"> 35 يوماً للتقدم أمام محكمة الصلح الاتحادية بطلب لمراجعة قرار صادر عن محكمة مراجعة الأحكام الخاصة باللاجئين، فمن شأنه أن يستبعد طالبي اللجوء الذين لم</w:t>
      </w:r>
      <w:r>
        <w:rPr>
          <w:rtl/>
          <w:lang w:val="en-CA"/>
        </w:rPr>
        <w:t> </w:t>
      </w:r>
      <w:r>
        <w:rPr>
          <w:rFonts w:hint="cs"/>
          <w:rtl/>
          <w:lang w:val="en-CA"/>
        </w:rPr>
        <w:t xml:space="preserve">يتولَّ موظف الهجرة </w:t>
      </w:r>
      <w:r w:rsidRPr="00DF1CB6">
        <w:rPr>
          <w:rFonts w:hint="cs"/>
          <w:rtl/>
          <w:lang w:val="en-CA"/>
        </w:rPr>
        <w:t>إعلامهم ب</w:t>
      </w:r>
      <w:r>
        <w:rPr>
          <w:rFonts w:hint="cs"/>
          <w:rtl/>
          <w:lang w:val="en-CA"/>
        </w:rPr>
        <w:t>رفض محكمة مراجعة الأحكام الخاصة باللاجئين منحهم تأشيرة للحماية أو</w:t>
      </w:r>
      <w:r>
        <w:rPr>
          <w:rtl/>
          <w:lang w:val="en-CA"/>
        </w:rPr>
        <w:t> </w:t>
      </w:r>
      <w:r>
        <w:rPr>
          <w:rFonts w:hint="cs"/>
          <w:rtl/>
          <w:lang w:val="en-CA"/>
        </w:rPr>
        <w:t xml:space="preserve">طالبي اللجوء الذين </w:t>
      </w:r>
      <w:r w:rsidRPr="00DF1CB6">
        <w:rPr>
          <w:rFonts w:hint="cs"/>
          <w:rtl/>
          <w:lang w:val="en-CA"/>
        </w:rPr>
        <w:t>ليس لهم من يشرح</w:t>
      </w:r>
      <w:r>
        <w:rPr>
          <w:rFonts w:hint="cs"/>
          <w:rtl/>
          <w:lang w:val="en-CA"/>
        </w:rPr>
        <w:t xml:space="preserve"> لهم كيفية تقديم طلب لدى المحكمة أو</w:t>
      </w:r>
      <w:r>
        <w:rPr>
          <w:rtl/>
          <w:lang w:val="en-CA"/>
        </w:rPr>
        <w:t> </w:t>
      </w:r>
      <w:r>
        <w:rPr>
          <w:rFonts w:hint="cs"/>
          <w:rtl/>
          <w:lang w:val="en-CA"/>
        </w:rPr>
        <w:t>كيفية الحصول على إعفاء من الرسوم إن لم</w:t>
      </w:r>
      <w:r>
        <w:rPr>
          <w:rtl/>
          <w:lang w:val="en-CA"/>
        </w:rPr>
        <w:t> </w:t>
      </w:r>
      <w:r>
        <w:rPr>
          <w:rFonts w:hint="cs"/>
          <w:rtl/>
          <w:lang w:val="en-CA"/>
        </w:rPr>
        <w:t>يكن بمقدورهم تحمل تكاليف المحكمة.</w:t>
      </w:r>
    </w:p>
    <w:p w:rsidR="00D0360A" w:rsidRPr="005D613B" w:rsidRDefault="00D0360A" w:rsidP="00564059">
      <w:pPr>
        <w:pStyle w:val="SingleTxtGA"/>
        <w:rPr>
          <w:rFonts w:hint="cs"/>
          <w:rtl/>
        </w:rPr>
      </w:pPr>
      <w:r w:rsidRPr="005D613B">
        <w:rPr>
          <w:rtl/>
          <w:lang w:val="en-CA"/>
        </w:rPr>
        <w:t>5-</w:t>
      </w:r>
      <w:r w:rsidRPr="005D613B">
        <w:rPr>
          <w:rFonts w:hint="cs"/>
          <w:rtl/>
          <w:lang w:val="en-CA"/>
        </w:rPr>
        <w:t>5</w:t>
      </w:r>
      <w:r w:rsidRPr="005D613B">
        <w:rPr>
          <w:rtl/>
          <w:lang w:val="en-CA"/>
        </w:rPr>
        <w:tab/>
      </w:r>
      <w:r>
        <w:rPr>
          <w:rFonts w:hint="cs"/>
          <w:rtl/>
        </w:rPr>
        <w:t>وتفيد المحامية كذلك بأن طلبات التدخل الوزاري تخضع للسلطة التقديرية ولا</w:t>
      </w:r>
      <w:r>
        <w:rPr>
          <w:rtl/>
        </w:rPr>
        <w:t> </w:t>
      </w:r>
      <w:r>
        <w:rPr>
          <w:rFonts w:hint="cs"/>
          <w:rtl/>
        </w:rPr>
        <w:t>يمكن الطعن فيها أمام المحكمة، كما</w:t>
      </w:r>
      <w:r>
        <w:rPr>
          <w:rtl/>
        </w:rPr>
        <w:t> </w:t>
      </w:r>
      <w:r>
        <w:rPr>
          <w:rFonts w:hint="cs"/>
          <w:rtl/>
        </w:rPr>
        <w:t>أن القرارات الوزارية السلبية لا</w:t>
      </w:r>
      <w:r>
        <w:rPr>
          <w:rtl/>
        </w:rPr>
        <w:t> </w:t>
      </w:r>
      <w:r>
        <w:rPr>
          <w:rFonts w:hint="cs"/>
          <w:rtl/>
        </w:rPr>
        <w:t>تعلل الأسباب الكامنة وراء إقدام الوزير، أو</w:t>
      </w:r>
      <w:r>
        <w:rPr>
          <w:rtl/>
        </w:rPr>
        <w:t> </w:t>
      </w:r>
      <w:r>
        <w:rPr>
          <w:rFonts w:hint="cs"/>
          <w:rtl/>
        </w:rPr>
        <w:t>موظفي وحدة التدخل الوزاري، على رفض التدخل، وإنما تكتفي بذكر أن "الطلب لم</w:t>
      </w:r>
      <w:r>
        <w:rPr>
          <w:rtl/>
        </w:rPr>
        <w:t> </w:t>
      </w:r>
      <w:r>
        <w:rPr>
          <w:rFonts w:hint="cs"/>
          <w:rtl/>
        </w:rPr>
        <w:t>يلتزم بالمبادئ التوجيهية" أو</w:t>
      </w:r>
      <w:r>
        <w:rPr>
          <w:rtl/>
        </w:rPr>
        <w:t> </w:t>
      </w:r>
      <w:r>
        <w:rPr>
          <w:rFonts w:hint="cs"/>
          <w:rtl/>
        </w:rPr>
        <w:t>أن "الوزير رفض التدخل". ويجوز الاحتجاج بالتشريعات المتعلقة بحرية المعلومات للاستعلام عن أسباب هذه القرارات، ولكن الأمر يستغرق وقتاً طويلاً وغالباً ما</w:t>
      </w:r>
      <w:r>
        <w:rPr>
          <w:rtl/>
        </w:rPr>
        <w:t> </w:t>
      </w:r>
      <w:r>
        <w:rPr>
          <w:rFonts w:hint="cs"/>
          <w:rtl/>
        </w:rPr>
        <w:t xml:space="preserve">تعرّض مهلُ الانتظار طالب </w:t>
      </w:r>
      <w:r w:rsidRPr="004D5D0E">
        <w:rPr>
          <w:rFonts w:hint="cs"/>
          <w:rtl/>
        </w:rPr>
        <w:t>اللجوء إلى خطر</w:t>
      </w:r>
      <w:r>
        <w:rPr>
          <w:rFonts w:hint="cs"/>
          <w:rtl/>
        </w:rPr>
        <w:t xml:space="preserve"> ترحيله. ولا</w:t>
      </w:r>
      <w:r>
        <w:rPr>
          <w:rtl/>
        </w:rPr>
        <w:t> </w:t>
      </w:r>
      <w:r w:rsidRPr="004D5D0E">
        <w:rPr>
          <w:rFonts w:hint="cs"/>
          <w:rtl/>
        </w:rPr>
        <w:t>يعدو عمل</w:t>
      </w:r>
      <w:r>
        <w:rPr>
          <w:rFonts w:hint="cs"/>
          <w:rtl/>
        </w:rPr>
        <w:t xml:space="preserve"> الذين يعينون طالبي اللجوء على تحرير طلبات التدخل الوزاري أن يكون عملاً تخمينياً بفعل استعجالهم لتقديم الطلب الذي من شأنه أن يوقف إجراءات الترحيل. ويتضمن أي طلب يحال من وحدة التدخل الوزاري إلى الوزير سرداً لتاريخ القرارات المتخذة وللأسباب التي استدلّت بها الأطراف المختلفة المعنية لتبرير مزاعمها المختلفة التي تطلب فيها إما تدخل الوزير أو</w:t>
      </w:r>
      <w:r>
        <w:rPr>
          <w:rtl/>
        </w:rPr>
        <w:t> </w:t>
      </w:r>
      <w:r>
        <w:rPr>
          <w:rFonts w:hint="cs"/>
          <w:rtl/>
        </w:rPr>
        <w:t xml:space="preserve">عدم تدخّله. ويجوز للوزير رفض الطلب حتى إن قُدّمت أسباب قوية تدعوه إلى التدخل. وتحدد مبادئ الوزير التوجيهية أن جميع طلبات التدخل الوزاري المقدَّمة للمرة </w:t>
      </w:r>
      <w:r w:rsidRPr="00DD1FEE">
        <w:rPr>
          <w:rFonts w:hint="cs"/>
          <w:rtl/>
        </w:rPr>
        <w:t>الأولى بموجب المادة 417</w:t>
      </w:r>
      <w:r>
        <w:rPr>
          <w:rFonts w:hint="cs"/>
          <w:rtl/>
        </w:rPr>
        <w:t xml:space="preserve"> تحال إلى الوزير لينظر فيها </w:t>
      </w:r>
      <w:r w:rsidRPr="00E64831">
        <w:rPr>
          <w:rFonts w:hint="cs"/>
          <w:i/>
          <w:iCs/>
          <w:rtl/>
        </w:rPr>
        <w:t xml:space="preserve">إن </w:t>
      </w:r>
      <w:r w:rsidRPr="00965DD5">
        <w:rPr>
          <w:rFonts w:hint="cs"/>
          <w:i/>
          <w:iCs/>
          <w:rtl/>
        </w:rPr>
        <w:t>أمكن</w:t>
      </w:r>
      <w:r w:rsidRPr="00965DD5">
        <w:rPr>
          <w:rFonts w:hint="cs"/>
          <w:rtl/>
        </w:rPr>
        <w:t xml:space="preserve"> (</w:t>
      </w:r>
      <w:r>
        <w:rPr>
          <w:rFonts w:hint="cs"/>
          <w:rtl/>
        </w:rPr>
        <w:t>ال</w:t>
      </w:r>
      <w:r w:rsidRPr="00965DD5">
        <w:rPr>
          <w:rFonts w:hint="cs"/>
          <w:rtl/>
        </w:rPr>
        <w:t xml:space="preserve">تشديد </w:t>
      </w:r>
      <w:r>
        <w:rPr>
          <w:rFonts w:hint="cs"/>
          <w:rtl/>
        </w:rPr>
        <w:t xml:space="preserve">من </w:t>
      </w:r>
      <w:r w:rsidRPr="00965DD5">
        <w:rPr>
          <w:rFonts w:hint="cs"/>
          <w:rtl/>
        </w:rPr>
        <w:t>المحامية</w:t>
      </w:r>
      <w:r>
        <w:rPr>
          <w:rFonts w:hint="cs"/>
          <w:rtl/>
        </w:rPr>
        <w:t xml:space="preserve">). وقد ألقي الضوء على انتفاء المحاسبة الوزارية هذا في كثير من </w:t>
      </w:r>
      <w:r w:rsidRPr="00DD1FEE">
        <w:rPr>
          <w:rFonts w:hint="cs"/>
          <w:rtl/>
        </w:rPr>
        <w:t>الاستعراضات البرلمانية</w:t>
      </w:r>
      <w:r w:rsidRPr="003379E2">
        <w:rPr>
          <w:rFonts w:hint="cs"/>
          <w:sz w:val="30"/>
          <w:vertAlign w:val="superscript"/>
          <w:rtl/>
          <w:lang w:val="en-CA"/>
        </w:rPr>
        <w:t>(</w:t>
      </w:r>
      <w:r w:rsidRPr="003379E2">
        <w:rPr>
          <w:sz w:val="30"/>
          <w:vertAlign w:val="superscript"/>
          <w:rtl/>
        </w:rPr>
        <w:footnoteReference w:id="121"/>
      </w:r>
      <w:r w:rsidRPr="003379E2">
        <w:rPr>
          <w:rFonts w:hint="cs"/>
          <w:sz w:val="30"/>
          <w:vertAlign w:val="superscript"/>
          <w:rtl/>
          <w:lang w:val="en-CA"/>
        </w:rPr>
        <w:t>)</w:t>
      </w:r>
      <w:r>
        <w:rPr>
          <w:rFonts w:hint="cs"/>
          <w:rtl/>
        </w:rPr>
        <w:t>. ومع أن الوزير ينوي تغيير هذا النظام الاستنسابي في المستقبل، فإن هذه التغيرات لن</w:t>
      </w:r>
      <w:r>
        <w:rPr>
          <w:rtl/>
        </w:rPr>
        <w:t> </w:t>
      </w:r>
      <w:r>
        <w:rPr>
          <w:rFonts w:hint="cs"/>
          <w:rtl/>
        </w:rPr>
        <w:t>تسري على صاحب الشكوى. وتدفع المحامية بأن ادعاءات صاحب الشكوى لم</w:t>
      </w:r>
      <w:r>
        <w:rPr>
          <w:rtl/>
        </w:rPr>
        <w:t> </w:t>
      </w:r>
      <w:r>
        <w:rPr>
          <w:rFonts w:hint="cs"/>
          <w:rtl/>
        </w:rPr>
        <w:t xml:space="preserve">تلقَ آذاناً صاغية تسمعها على النحو المناسب بسبب القيود التي تحدّ عملية التدخل الوزاري، وتكرر المحامية أن الأدلة الموفرة تؤكد أقوال صاحب الشكوى. </w:t>
      </w:r>
    </w:p>
    <w:p w:rsidR="00D0360A" w:rsidRPr="00020CFB" w:rsidRDefault="00D0360A" w:rsidP="00D0360A">
      <w:pPr>
        <w:pStyle w:val="H23GA"/>
        <w:rPr>
          <w:rFonts w:hint="cs"/>
          <w:szCs w:val="20"/>
          <w:rtl/>
        </w:rPr>
      </w:pPr>
      <w:r>
        <w:rPr>
          <w:rFonts w:hint="cs"/>
          <w:rtl/>
        </w:rPr>
        <w:tab/>
      </w:r>
      <w:r>
        <w:rPr>
          <w:rFonts w:hint="cs"/>
          <w:rtl/>
        </w:rPr>
        <w:tab/>
      </w:r>
      <w:r w:rsidRPr="00417C53">
        <w:rPr>
          <w:rFonts w:hint="cs"/>
          <w:rtl/>
        </w:rPr>
        <w:t>المسائل والإجراءات المعروضة على اللجنة</w:t>
      </w:r>
    </w:p>
    <w:p w:rsidR="00D0360A" w:rsidRPr="00B90C41" w:rsidRDefault="00D0360A" w:rsidP="00D0360A">
      <w:pPr>
        <w:pStyle w:val="H4GA"/>
        <w:rPr>
          <w:rFonts w:ascii="Traditional Arabic" w:hAnsi="Traditional Arabic" w:hint="cs"/>
          <w:color w:val="000000"/>
          <w:spacing w:val="-2"/>
          <w:highlight w:val="green"/>
          <w:rtl/>
        </w:rPr>
      </w:pPr>
      <w:r>
        <w:rPr>
          <w:rFonts w:hint="cs"/>
          <w:rtl/>
          <w:lang w:val="en-CA"/>
        </w:rPr>
        <w:tab/>
      </w:r>
      <w:r>
        <w:rPr>
          <w:rFonts w:hint="cs"/>
          <w:rtl/>
          <w:lang w:val="en-CA"/>
        </w:rPr>
        <w:tab/>
      </w:r>
      <w:r w:rsidRPr="00B90C41">
        <w:rPr>
          <w:rFonts w:hint="cs"/>
          <w:rtl/>
          <w:lang w:val="en-CA"/>
        </w:rPr>
        <w:t>النظر في المقبولية</w:t>
      </w:r>
    </w:p>
    <w:p w:rsidR="00D0360A" w:rsidRPr="00896507" w:rsidRDefault="00D0360A" w:rsidP="003379E2">
      <w:pPr>
        <w:pStyle w:val="SingleTxtGA"/>
        <w:rPr>
          <w:rFonts w:ascii="Traditional Arabic" w:hAnsi="Traditional Arabic"/>
          <w:color w:val="000000"/>
          <w:rtl/>
        </w:rPr>
      </w:pPr>
      <w:r w:rsidRPr="00B90C41">
        <w:rPr>
          <w:rFonts w:ascii="Traditional Arabic" w:hAnsi="Traditional Arabic"/>
          <w:color w:val="000000"/>
          <w:rtl/>
          <w:lang w:val="en-CA"/>
        </w:rPr>
        <w:t>6-1</w:t>
      </w:r>
      <w:r w:rsidRPr="00B90C41">
        <w:rPr>
          <w:rFonts w:ascii="Traditional Arabic" w:hAnsi="Traditional Arabic"/>
          <w:color w:val="000000"/>
          <w:rtl/>
          <w:lang w:val="en-CA"/>
        </w:rPr>
        <w:tab/>
      </w:r>
      <w:r w:rsidRPr="00B90C41">
        <w:rPr>
          <w:rFonts w:hint="cs"/>
          <w:rtl/>
        </w:rPr>
        <w:t>قب</w:t>
      </w:r>
      <w:r>
        <w:rPr>
          <w:rFonts w:hint="cs"/>
          <w:rtl/>
        </w:rPr>
        <w:t>ْ</w:t>
      </w:r>
      <w:r w:rsidRPr="00B90C41">
        <w:rPr>
          <w:rFonts w:hint="cs"/>
          <w:rtl/>
        </w:rPr>
        <w:t xml:space="preserve">ل </w:t>
      </w:r>
      <w:r w:rsidRPr="00B90C41">
        <w:rPr>
          <w:rtl/>
          <w:lang w:val="fr-CH"/>
        </w:rPr>
        <w:t xml:space="preserve">النظر في </w:t>
      </w:r>
      <w:r>
        <w:rPr>
          <w:rFonts w:hint="cs"/>
          <w:rtl/>
          <w:lang w:val="fr-CH"/>
        </w:rPr>
        <w:t>ادعاء ي</w:t>
      </w:r>
      <w:r w:rsidRPr="00B90C41">
        <w:rPr>
          <w:rtl/>
          <w:lang w:val="fr-CH"/>
        </w:rPr>
        <w:t xml:space="preserve">رد في </w:t>
      </w:r>
      <w:r w:rsidRPr="00B90C41">
        <w:rPr>
          <w:rFonts w:hint="cs"/>
          <w:rtl/>
          <w:lang w:val="fr-CH"/>
        </w:rPr>
        <w:t xml:space="preserve">شكوى </w:t>
      </w:r>
      <w:r w:rsidRPr="00B90C41">
        <w:rPr>
          <w:rtl/>
          <w:lang w:val="fr-CH"/>
        </w:rPr>
        <w:t>ما، ي</w:t>
      </w:r>
      <w:r w:rsidRPr="00B90C41">
        <w:rPr>
          <w:rFonts w:hint="cs"/>
          <w:rtl/>
          <w:lang w:val="fr-CH"/>
        </w:rPr>
        <w:t>تعين على</w:t>
      </w:r>
      <w:r w:rsidRPr="00B90C41">
        <w:rPr>
          <w:rtl/>
          <w:lang w:val="fr-CH"/>
        </w:rPr>
        <w:t xml:space="preserve"> لجنة مناهضة التعذيب أن</w:t>
      </w:r>
      <w:r w:rsidRPr="001F6E19">
        <w:rPr>
          <w:rtl/>
          <w:lang w:val="fr-CH"/>
        </w:rPr>
        <w:t xml:space="preserve"> </w:t>
      </w:r>
      <w:r>
        <w:rPr>
          <w:rFonts w:hint="cs"/>
          <w:rtl/>
          <w:lang w:val="fr-CH"/>
        </w:rPr>
        <w:t>تبت فيما</w:t>
      </w:r>
      <w:r>
        <w:rPr>
          <w:rtl/>
          <w:lang w:val="fr-CH"/>
        </w:rPr>
        <w:t> </w:t>
      </w:r>
      <w:r w:rsidRPr="001F6E19">
        <w:rPr>
          <w:rtl/>
          <w:lang w:val="fr-CH"/>
        </w:rPr>
        <w:t>إذا كان البلاغ مقبولا</w:t>
      </w:r>
      <w:r>
        <w:rPr>
          <w:rFonts w:hint="cs"/>
          <w:rtl/>
          <w:lang w:val="fr-CH"/>
        </w:rPr>
        <w:t>ً</w:t>
      </w:r>
      <w:r>
        <w:rPr>
          <w:rtl/>
          <w:lang w:val="fr-CH"/>
        </w:rPr>
        <w:t xml:space="preserve"> أم </w:t>
      </w:r>
      <w:r>
        <w:rPr>
          <w:rFonts w:hint="cs"/>
          <w:rtl/>
          <w:lang w:val="fr-CH"/>
        </w:rPr>
        <w:t>لا</w:t>
      </w:r>
      <w:r>
        <w:rPr>
          <w:rtl/>
          <w:lang w:val="fr-CH"/>
        </w:rPr>
        <w:t> </w:t>
      </w:r>
      <w:r w:rsidRPr="001F6E19">
        <w:rPr>
          <w:rtl/>
          <w:lang w:val="fr-CH"/>
        </w:rPr>
        <w:t>بم</w:t>
      </w:r>
      <w:r>
        <w:rPr>
          <w:rFonts w:hint="cs"/>
          <w:rtl/>
          <w:lang w:val="fr-CH"/>
        </w:rPr>
        <w:t>وجب</w:t>
      </w:r>
      <w:r w:rsidRPr="001F6E19">
        <w:rPr>
          <w:rtl/>
          <w:lang w:val="fr-CH"/>
        </w:rPr>
        <w:t xml:space="preserve"> المادة 22 من الاتفاقية</w:t>
      </w:r>
      <w:r>
        <w:rPr>
          <w:rFonts w:hint="cs"/>
          <w:rtl/>
          <w:lang w:val="fr-CH"/>
        </w:rPr>
        <w:t>.</w:t>
      </w:r>
      <w:r w:rsidRPr="00025A99">
        <w:rPr>
          <w:rFonts w:hint="cs"/>
          <w:rtl/>
          <w:lang w:val="fr-CH"/>
        </w:rPr>
        <w:t xml:space="preserve"> </w:t>
      </w:r>
      <w:r>
        <w:rPr>
          <w:rFonts w:hint="cs"/>
          <w:rtl/>
          <w:lang w:val="fr-CH"/>
        </w:rPr>
        <w:t xml:space="preserve">وقد </w:t>
      </w:r>
      <w:r>
        <w:rPr>
          <w:rFonts w:hint="cs"/>
          <w:rtl/>
          <w:lang/>
        </w:rPr>
        <w:t>تأكدت اللجنة، حسب ما</w:t>
      </w:r>
      <w:r>
        <w:rPr>
          <w:rtl/>
          <w:lang/>
        </w:rPr>
        <w:t> </w:t>
      </w:r>
      <w:r>
        <w:rPr>
          <w:rFonts w:hint="cs"/>
          <w:rtl/>
          <w:lang/>
        </w:rPr>
        <w:t>تقتضيه الفقرة 5(أ) من المادة 22 من الاتفاقية، من أن المسألة نفسها لم</w:t>
      </w:r>
      <w:r>
        <w:rPr>
          <w:rtl/>
          <w:lang/>
        </w:rPr>
        <w:t> </w:t>
      </w:r>
      <w:r>
        <w:rPr>
          <w:rFonts w:hint="cs"/>
          <w:rtl/>
          <w:lang/>
        </w:rPr>
        <w:t>تُبحث ولا</w:t>
      </w:r>
      <w:r>
        <w:rPr>
          <w:rtl/>
          <w:lang/>
        </w:rPr>
        <w:t> </w:t>
      </w:r>
      <w:r>
        <w:rPr>
          <w:rFonts w:hint="cs"/>
          <w:rtl/>
          <w:lang/>
        </w:rPr>
        <w:t xml:space="preserve">يجري </w:t>
      </w:r>
      <w:r w:rsidRPr="00896507">
        <w:rPr>
          <w:rFonts w:hint="cs"/>
          <w:rtl/>
          <w:lang/>
        </w:rPr>
        <w:t>بحثها في إطار أي إجراء آخر من إجراءات التحقيق الدولي</w:t>
      </w:r>
      <w:r>
        <w:rPr>
          <w:rFonts w:hint="cs"/>
          <w:rtl/>
          <w:lang/>
        </w:rPr>
        <w:t xml:space="preserve"> أو</w:t>
      </w:r>
      <w:r>
        <w:rPr>
          <w:rtl/>
          <w:lang/>
        </w:rPr>
        <w:t> </w:t>
      </w:r>
      <w:r w:rsidRPr="00896507">
        <w:rPr>
          <w:rFonts w:hint="cs"/>
          <w:rtl/>
          <w:lang/>
        </w:rPr>
        <w:t>التسوية الدولية.</w:t>
      </w:r>
    </w:p>
    <w:p w:rsidR="00D0360A" w:rsidRPr="00896507" w:rsidRDefault="00D0360A" w:rsidP="003379E2">
      <w:pPr>
        <w:pStyle w:val="SingleTxtGA"/>
        <w:rPr>
          <w:rFonts w:ascii="Traditional Arabic" w:hAnsi="Traditional Arabic"/>
          <w:color w:val="000000"/>
          <w:rtl/>
          <w:lang w:val="en-CA"/>
        </w:rPr>
      </w:pPr>
      <w:r w:rsidRPr="00896507">
        <w:rPr>
          <w:rFonts w:ascii="Traditional Arabic" w:hAnsi="Traditional Arabic"/>
          <w:color w:val="000000"/>
          <w:rtl/>
          <w:lang w:val="en-CA"/>
        </w:rPr>
        <w:t>6-2</w:t>
      </w:r>
      <w:r w:rsidRPr="00896507">
        <w:rPr>
          <w:rFonts w:ascii="Traditional Arabic" w:hAnsi="Traditional Arabic"/>
          <w:color w:val="000000"/>
          <w:rtl/>
          <w:lang w:val="en-CA"/>
        </w:rPr>
        <w:tab/>
      </w:r>
      <w:r>
        <w:rPr>
          <w:rFonts w:hint="cs"/>
          <w:rtl/>
          <w:lang/>
        </w:rPr>
        <w:t>و</w:t>
      </w:r>
      <w:r w:rsidRPr="00896507">
        <w:rPr>
          <w:rFonts w:hint="cs"/>
          <w:rtl/>
          <w:lang/>
        </w:rPr>
        <w:t>وفقاً للفقرة 5(ب) من المادة 22 م</w:t>
      </w:r>
      <w:r>
        <w:rPr>
          <w:rFonts w:hint="cs"/>
          <w:rtl/>
          <w:lang/>
        </w:rPr>
        <w:t>ن الاتفاقية، لا</w:t>
      </w:r>
      <w:r>
        <w:rPr>
          <w:rtl/>
          <w:lang/>
        </w:rPr>
        <w:t> </w:t>
      </w:r>
      <w:r>
        <w:rPr>
          <w:rFonts w:hint="cs"/>
          <w:rtl/>
          <w:lang/>
        </w:rPr>
        <w:t>تنظر اللجنة في أي بلاغ مقدم ما</w:t>
      </w:r>
      <w:r>
        <w:rPr>
          <w:rtl/>
          <w:lang/>
        </w:rPr>
        <w:t> </w:t>
      </w:r>
      <w:r>
        <w:rPr>
          <w:rFonts w:hint="cs"/>
          <w:rtl/>
          <w:lang/>
        </w:rPr>
        <w:t>لم</w:t>
      </w:r>
      <w:r>
        <w:rPr>
          <w:rtl/>
          <w:lang/>
        </w:rPr>
        <w:t> </w:t>
      </w:r>
      <w:r>
        <w:rPr>
          <w:rFonts w:hint="cs"/>
          <w:rtl/>
          <w:lang/>
        </w:rPr>
        <w:t xml:space="preserve">تتحقق من أن صاحب الشكوى </w:t>
      </w:r>
      <w:r w:rsidRPr="00896507">
        <w:rPr>
          <w:rFonts w:hint="cs"/>
          <w:rtl/>
          <w:lang/>
        </w:rPr>
        <w:t>قد استنفد جميع سبل الانتصاف المحلية المتاحة.</w:t>
      </w:r>
      <w:r>
        <w:rPr>
          <w:rFonts w:hint="cs"/>
          <w:rtl/>
          <w:lang/>
        </w:rPr>
        <w:t xml:space="preserve"> وفي</w:t>
      </w:r>
      <w:r>
        <w:rPr>
          <w:rtl/>
          <w:lang/>
        </w:rPr>
        <w:t> </w:t>
      </w:r>
      <w:r>
        <w:rPr>
          <w:rFonts w:hint="cs"/>
          <w:rtl/>
          <w:lang/>
        </w:rPr>
        <w:t xml:space="preserve">غياب أي اعتراض من جانب الدولة الطرف </w:t>
      </w:r>
      <w:r>
        <w:rPr>
          <w:rFonts w:hint="cs"/>
          <w:rtl/>
          <w:lang w:val="fr-CH"/>
        </w:rPr>
        <w:t xml:space="preserve">في </w:t>
      </w:r>
      <w:r w:rsidRPr="00E401AE">
        <w:rPr>
          <w:rFonts w:hint="cs"/>
          <w:rtl/>
          <w:lang w:val="fr-CH"/>
        </w:rPr>
        <w:t xml:space="preserve">هذا </w:t>
      </w:r>
      <w:r>
        <w:rPr>
          <w:rFonts w:hint="cs"/>
          <w:rtl/>
          <w:lang w:val="fr-CH"/>
        </w:rPr>
        <w:t>الشأن</w:t>
      </w:r>
      <w:r w:rsidRPr="00E401AE">
        <w:rPr>
          <w:rFonts w:hint="cs"/>
          <w:rtl/>
          <w:lang w:val="fr-CH"/>
        </w:rPr>
        <w:t>، ترى</w:t>
      </w:r>
      <w:r>
        <w:rPr>
          <w:rFonts w:hint="cs"/>
          <w:rtl/>
          <w:lang w:val="fr-CH"/>
        </w:rPr>
        <w:t xml:space="preserve"> اللجنة أن صاحب الشكوى قد امتثل</w:t>
      </w:r>
      <w:r w:rsidRPr="00867FE6">
        <w:rPr>
          <w:rFonts w:hint="cs"/>
          <w:rtl/>
          <w:lang/>
        </w:rPr>
        <w:t xml:space="preserve"> </w:t>
      </w:r>
      <w:r>
        <w:rPr>
          <w:rFonts w:hint="cs"/>
          <w:rtl/>
          <w:lang/>
        </w:rPr>
        <w:t>ا</w:t>
      </w:r>
      <w:r w:rsidRPr="00896507">
        <w:rPr>
          <w:rFonts w:hint="cs"/>
          <w:rtl/>
          <w:lang/>
        </w:rPr>
        <w:t>لفقرة 5(ب) من المادة 22 م</w:t>
      </w:r>
      <w:r>
        <w:rPr>
          <w:rFonts w:hint="cs"/>
          <w:rtl/>
          <w:lang/>
        </w:rPr>
        <w:t>ن الاتفاقية</w:t>
      </w:r>
      <w:r w:rsidRPr="00896507">
        <w:rPr>
          <w:rFonts w:ascii="Traditional Arabic" w:hAnsi="Traditional Arabic" w:hint="cs"/>
          <w:color w:val="000000"/>
          <w:rtl/>
        </w:rPr>
        <w:t>.</w:t>
      </w:r>
      <w:r w:rsidRPr="00896507">
        <w:rPr>
          <w:rFonts w:ascii="Traditional Arabic" w:hAnsi="Traditional Arabic"/>
          <w:color w:val="000000"/>
          <w:rtl/>
        </w:rPr>
        <w:t xml:space="preserve"> </w:t>
      </w:r>
    </w:p>
    <w:p w:rsidR="00D0360A" w:rsidRDefault="00D0360A" w:rsidP="003379E2">
      <w:pPr>
        <w:pStyle w:val="SingleTxtGA"/>
        <w:rPr>
          <w:rFonts w:hint="cs"/>
          <w:color w:val="000000"/>
          <w:rtl/>
        </w:rPr>
      </w:pPr>
      <w:r w:rsidRPr="00B946BB">
        <w:rPr>
          <w:rFonts w:ascii="Traditional Arabic" w:hAnsi="Traditional Arabic"/>
          <w:color w:val="000000"/>
          <w:rtl/>
          <w:lang w:val="en-CA"/>
        </w:rPr>
        <w:t>6-3</w:t>
      </w:r>
      <w:r w:rsidRPr="00B946BB">
        <w:rPr>
          <w:rFonts w:ascii="Traditional Arabic" w:hAnsi="Traditional Arabic"/>
          <w:color w:val="000000"/>
          <w:rtl/>
          <w:lang w:val="en-CA"/>
        </w:rPr>
        <w:tab/>
      </w:r>
      <w:r>
        <w:rPr>
          <w:rFonts w:hint="cs"/>
          <w:rtl/>
          <w:lang w:val="fr-CH"/>
        </w:rPr>
        <w:t>وتحيط</w:t>
      </w:r>
      <w:r w:rsidRPr="00896507">
        <w:rPr>
          <w:rFonts w:hint="cs"/>
          <w:rtl/>
          <w:lang w:val="fr-CH"/>
        </w:rPr>
        <w:t xml:space="preserve"> اللجنة </w:t>
      </w:r>
      <w:r>
        <w:rPr>
          <w:rFonts w:hint="cs"/>
          <w:rtl/>
          <w:lang w:val="fr-CH"/>
        </w:rPr>
        <w:t>علماً بما</w:t>
      </w:r>
      <w:r>
        <w:rPr>
          <w:rtl/>
          <w:lang w:val="fr-CH"/>
        </w:rPr>
        <w:t> </w:t>
      </w:r>
      <w:r>
        <w:rPr>
          <w:rFonts w:hint="cs"/>
          <w:rtl/>
          <w:lang/>
        </w:rPr>
        <w:t>ذهبت إليه الدولة الطرف من أن الشكوى ينبغي أن تُعتبر غير مقبولة بحجة انعدام الأدلة الكافية</w:t>
      </w:r>
      <w:r w:rsidRPr="00C30CCA">
        <w:rPr>
          <w:rFonts w:hint="cs"/>
          <w:rtl/>
          <w:lang/>
        </w:rPr>
        <w:t>.</w:t>
      </w:r>
      <w:r>
        <w:rPr>
          <w:rFonts w:hint="cs"/>
          <w:rtl/>
          <w:lang/>
        </w:rPr>
        <w:t xml:space="preserve"> إلا</w:t>
      </w:r>
      <w:r>
        <w:rPr>
          <w:rtl/>
          <w:lang/>
        </w:rPr>
        <w:t> </w:t>
      </w:r>
      <w:r w:rsidRPr="00C30CCA">
        <w:rPr>
          <w:rFonts w:hint="cs"/>
          <w:rtl/>
          <w:lang w:val="fr-CH"/>
        </w:rPr>
        <w:t xml:space="preserve">أن اللجنة ترى أن الحجج </w:t>
      </w:r>
      <w:r>
        <w:rPr>
          <w:rFonts w:hint="cs"/>
          <w:rtl/>
          <w:lang w:val="fr-CH"/>
        </w:rPr>
        <w:t>المعروضة أمامها</w:t>
      </w:r>
      <w:r w:rsidRPr="00C30CCA">
        <w:rPr>
          <w:rFonts w:hint="cs"/>
          <w:rtl/>
          <w:lang w:val="fr-CH"/>
        </w:rPr>
        <w:t xml:space="preserve"> تثير مسائل موضوعية</w:t>
      </w:r>
      <w:r>
        <w:rPr>
          <w:rFonts w:hint="cs"/>
          <w:rtl/>
          <w:lang w:val="fr-CH"/>
        </w:rPr>
        <w:t xml:space="preserve"> بموجب المادة 3 من الاتفاقية</w:t>
      </w:r>
      <w:r w:rsidRPr="00C30CCA">
        <w:rPr>
          <w:rFonts w:hint="cs"/>
          <w:rtl/>
          <w:lang w:val="fr-CH"/>
        </w:rPr>
        <w:t xml:space="preserve"> </w:t>
      </w:r>
      <w:r>
        <w:rPr>
          <w:rFonts w:hint="cs"/>
          <w:rtl/>
          <w:lang w:val="fr-CH"/>
        </w:rPr>
        <w:t>و</w:t>
      </w:r>
      <w:r w:rsidRPr="00C30CCA">
        <w:rPr>
          <w:rFonts w:hint="cs"/>
          <w:rtl/>
          <w:lang w:val="fr-CH"/>
        </w:rPr>
        <w:t xml:space="preserve">ينبغي معالجتها </w:t>
      </w:r>
      <w:r>
        <w:rPr>
          <w:rFonts w:hint="cs"/>
          <w:rtl/>
          <w:lang w:val="fr-CH"/>
        </w:rPr>
        <w:t>من حيث</w:t>
      </w:r>
      <w:r w:rsidRPr="00C30CCA">
        <w:rPr>
          <w:rFonts w:hint="cs"/>
          <w:rtl/>
          <w:lang w:val="fr-CH"/>
        </w:rPr>
        <w:t xml:space="preserve"> الأسس الموضوعية</w:t>
      </w:r>
      <w:r>
        <w:rPr>
          <w:rFonts w:hint="cs"/>
          <w:rtl/>
          <w:lang w:val="fr-CH"/>
        </w:rPr>
        <w:t xml:space="preserve"> وليس من حيث المقبولية وحدها. وبما</w:t>
      </w:r>
      <w:r>
        <w:rPr>
          <w:rtl/>
          <w:lang w:val="fr-CH"/>
        </w:rPr>
        <w:t> </w:t>
      </w:r>
      <w:r>
        <w:rPr>
          <w:rFonts w:hint="cs"/>
          <w:rtl/>
          <w:lang w:val="fr-CH"/>
        </w:rPr>
        <w:t xml:space="preserve">أن </w:t>
      </w:r>
      <w:r w:rsidRPr="00C30CCA">
        <w:rPr>
          <w:rFonts w:hint="cs"/>
          <w:rtl/>
          <w:lang w:val="fr-CH"/>
        </w:rPr>
        <w:t>اللجنة</w:t>
      </w:r>
      <w:r>
        <w:rPr>
          <w:rFonts w:hint="cs"/>
          <w:rtl/>
          <w:lang w:val="fr-CH"/>
        </w:rPr>
        <w:t xml:space="preserve"> لا</w:t>
      </w:r>
      <w:r>
        <w:rPr>
          <w:rtl/>
          <w:lang w:val="fr-CH"/>
        </w:rPr>
        <w:t> </w:t>
      </w:r>
      <w:r>
        <w:rPr>
          <w:rFonts w:hint="cs"/>
          <w:rtl/>
          <w:lang w:val="fr-CH"/>
        </w:rPr>
        <w:t>تجد أي موانع إضافية</w:t>
      </w:r>
      <w:r w:rsidRPr="00C30CCA">
        <w:rPr>
          <w:rFonts w:hint="cs"/>
          <w:rtl/>
          <w:lang w:val="fr-CH"/>
        </w:rPr>
        <w:t xml:space="preserve"> </w:t>
      </w:r>
      <w:r>
        <w:rPr>
          <w:rFonts w:hint="cs"/>
          <w:rtl/>
          <w:lang w:val="fr-CH"/>
        </w:rPr>
        <w:t>ل</w:t>
      </w:r>
      <w:r w:rsidRPr="00C30CCA">
        <w:rPr>
          <w:rFonts w:hint="cs"/>
          <w:rtl/>
          <w:lang w:val="fr-CH"/>
        </w:rPr>
        <w:t>لمقبولية</w:t>
      </w:r>
      <w:r>
        <w:rPr>
          <w:rFonts w:hint="cs"/>
          <w:rtl/>
          <w:lang w:val="fr-CH"/>
        </w:rPr>
        <w:t>، فإنها</w:t>
      </w:r>
      <w:r w:rsidRPr="00C30CCA">
        <w:rPr>
          <w:rFonts w:hint="cs"/>
          <w:rtl/>
          <w:lang w:val="fr-CH"/>
        </w:rPr>
        <w:t xml:space="preserve"> </w:t>
      </w:r>
      <w:r>
        <w:rPr>
          <w:rFonts w:hint="cs"/>
          <w:rtl/>
          <w:lang w:val="fr-CH"/>
        </w:rPr>
        <w:t xml:space="preserve">تعلن الشكوى </w:t>
      </w:r>
      <w:r w:rsidRPr="00C30CCA">
        <w:rPr>
          <w:rFonts w:hint="cs"/>
          <w:rtl/>
          <w:lang w:val="fr-CH"/>
        </w:rPr>
        <w:t>مقبول</w:t>
      </w:r>
      <w:r>
        <w:rPr>
          <w:rFonts w:hint="cs"/>
          <w:rtl/>
          <w:lang w:val="fr-CH"/>
        </w:rPr>
        <w:t>ة</w:t>
      </w:r>
      <w:r>
        <w:rPr>
          <w:rFonts w:hint="cs"/>
          <w:color w:val="000000"/>
          <w:rtl/>
        </w:rPr>
        <w:t>.</w:t>
      </w:r>
    </w:p>
    <w:p w:rsidR="00D0360A" w:rsidRDefault="00D0360A" w:rsidP="00D0360A">
      <w:pPr>
        <w:pStyle w:val="H4GA"/>
        <w:rPr>
          <w:rFonts w:hint="cs"/>
          <w:rtl/>
          <w:lang w:val="en-CA"/>
        </w:rPr>
      </w:pPr>
      <w:r>
        <w:rPr>
          <w:rFonts w:hint="cs"/>
          <w:rtl/>
          <w:lang w:val="en-CA"/>
        </w:rPr>
        <w:tab/>
      </w:r>
      <w:r>
        <w:rPr>
          <w:rFonts w:hint="cs"/>
          <w:rtl/>
          <w:lang w:val="en-CA"/>
        </w:rPr>
        <w:tab/>
      </w:r>
      <w:r w:rsidRPr="000420A8">
        <w:rPr>
          <w:rFonts w:hint="cs"/>
          <w:rtl/>
          <w:lang w:val="en-CA"/>
        </w:rPr>
        <w:t>النظر في الأسس الموضوعية</w:t>
      </w:r>
    </w:p>
    <w:p w:rsidR="00D0360A" w:rsidRDefault="00D0360A" w:rsidP="00D0360A">
      <w:pPr>
        <w:pStyle w:val="SingleTxtGA"/>
        <w:spacing w:line="370" w:lineRule="exact"/>
        <w:rPr>
          <w:rFonts w:hint="cs"/>
          <w:rtl/>
        </w:rPr>
      </w:pPr>
      <w:r w:rsidRPr="000420A8">
        <w:rPr>
          <w:rFonts w:ascii="Traditional Arabic" w:hAnsi="Traditional Arabic" w:hint="cs"/>
          <w:color w:val="000000"/>
          <w:rtl/>
          <w:lang w:val="en-CA"/>
        </w:rPr>
        <w:t>7</w:t>
      </w:r>
      <w:r w:rsidRPr="000420A8">
        <w:rPr>
          <w:rFonts w:ascii="Traditional Arabic" w:hAnsi="Traditional Arabic"/>
          <w:color w:val="000000"/>
          <w:rtl/>
          <w:lang w:val="en-CA"/>
        </w:rPr>
        <w:t>-</w:t>
      </w:r>
      <w:r w:rsidRPr="000420A8">
        <w:rPr>
          <w:rFonts w:ascii="Traditional Arabic" w:hAnsi="Traditional Arabic" w:hint="cs"/>
          <w:color w:val="000000"/>
          <w:rtl/>
          <w:lang w:val="en-CA"/>
        </w:rPr>
        <w:t>1</w:t>
      </w:r>
      <w:r w:rsidRPr="000420A8">
        <w:rPr>
          <w:rFonts w:ascii="Traditional Arabic" w:hAnsi="Traditional Arabic"/>
          <w:color w:val="000000"/>
          <w:rtl/>
          <w:lang w:val="en-CA"/>
        </w:rPr>
        <w:tab/>
      </w:r>
      <w:r>
        <w:rPr>
          <w:rFonts w:hint="cs"/>
          <w:rtl/>
        </w:rPr>
        <w:t>وفقاً للفقرة 4 من المادة 22 من الاتفاقية، نظرت اللجنة في هذه الشكوى في ضوء جميع المعلومات التي أتاحها لها الطرفان المعنيان.</w:t>
      </w:r>
    </w:p>
    <w:p w:rsidR="00D0360A" w:rsidRDefault="00D0360A" w:rsidP="003379E2">
      <w:pPr>
        <w:pStyle w:val="SingleTxtGA"/>
        <w:rPr>
          <w:rFonts w:hint="cs"/>
          <w:i/>
          <w:iCs/>
          <w:rtl/>
          <w:lang w:val="en-CA"/>
        </w:rPr>
      </w:pPr>
      <w:r w:rsidRPr="002C78B9">
        <w:rPr>
          <w:rFonts w:ascii="Traditional Arabic" w:hAnsi="Traditional Arabic" w:hint="cs"/>
          <w:color w:val="000000"/>
          <w:rtl/>
          <w:lang w:val="en-CA"/>
        </w:rPr>
        <w:t>7</w:t>
      </w:r>
      <w:r w:rsidRPr="002C78B9">
        <w:rPr>
          <w:rFonts w:ascii="Traditional Arabic" w:hAnsi="Traditional Arabic"/>
          <w:color w:val="000000"/>
          <w:rtl/>
          <w:lang w:val="en-CA"/>
        </w:rPr>
        <w:t>-</w:t>
      </w:r>
      <w:r w:rsidRPr="002C78B9">
        <w:rPr>
          <w:rFonts w:ascii="Traditional Arabic" w:hAnsi="Traditional Arabic" w:hint="cs"/>
          <w:color w:val="000000"/>
          <w:rtl/>
          <w:lang w:val="en-CA"/>
        </w:rPr>
        <w:t>2</w:t>
      </w:r>
      <w:r w:rsidRPr="002C78B9">
        <w:rPr>
          <w:rFonts w:ascii="Traditional Arabic" w:hAnsi="Traditional Arabic"/>
          <w:color w:val="000000"/>
          <w:rtl/>
          <w:lang w:val="en-CA"/>
        </w:rPr>
        <w:tab/>
      </w:r>
      <w:r>
        <w:rPr>
          <w:rFonts w:ascii="Traditional Arabic" w:hAnsi="Traditional Arabic" w:hint="cs"/>
          <w:color w:val="000000"/>
          <w:rtl/>
          <w:lang w:val="en-CA"/>
        </w:rPr>
        <w:t>و</w:t>
      </w:r>
      <w:r w:rsidRPr="002C78B9">
        <w:rPr>
          <w:rFonts w:hint="cs"/>
          <w:rtl/>
        </w:rPr>
        <w:t>المسألة المعروضة على نظر اللجنة هي</w:t>
      </w:r>
      <w:r>
        <w:rPr>
          <w:rFonts w:hint="cs"/>
          <w:rtl/>
          <w:lang/>
        </w:rPr>
        <w:t xml:space="preserve"> ما</w:t>
      </w:r>
      <w:r>
        <w:rPr>
          <w:rtl/>
          <w:lang/>
        </w:rPr>
        <w:t> </w:t>
      </w:r>
      <w:r w:rsidRPr="002C78B9">
        <w:rPr>
          <w:rFonts w:hint="cs"/>
          <w:rtl/>
          <w:lang/>
        </w:rPr>
        <w:t xml:space="preserve">إذا كان </w:t>
      </w:r>
      <w:r>
        <w:rPr>
          <w:rFonts w:hint="cs"/>
          <w:rtl/>
          <w:lang/>
        </w:rPr>
        <w:t>ترحيل</w:t>
      </w:r>
      <w:r w:rsidRPr="002C78B9">
        <w:rPr>
          <w:rFonts w:hint="cs"/>
          <w:rtl/>
          <w:lang/>
        </w:rPr>
        <w:t xml:space="preserve"> صاحب الشكوى إلى</w:t>
      </w:r>
      <w:r>
        <w:rPr>
          <w:rFonts w:hint="cs"/>
          <w:rtl/>
          <w:lang/>
        </w:rPr>
        <w:t xml:space="preserve"> الصين سيشكل انتهاكاً لالتزام الدولة الطرف بموجب المادة 3 من الاتفاقية </w:t>
      </w:r>
      <w:r>
        <w:rPr>
          <w:rFonts w:hint="cs"/>
          <w:rtl/>
          <w:lang w:val="fr-CH"/>
        </w:rPr>
        <w:t>بألا تطرد أي شخص أو</w:t>
      </w:r>
      <w:r>
        <w:rPr>
          <w:rtl/>
          <w:lang w:val="fr-CH"/>
        </w:rPr>
        <w:t> </w:t>
      </w:r>
      <w:r>
        <w:rPr>
          <w:rFonts w:hint="cs"/>
          <w:rtl/>
          <w:lang w:val="fr-CH"/>
        </w:rPr>
        <w:t xml:space="preserve">تعيده </w:t>
      </w:r>
      <w:r w:rsidRPr="001900D9">
        <w:rPr>
          <w:rFonts w:hint="cs"/>
          <w:i/>
          <w:iCs/>
          <w:rtl/>
          <w:lang w:val="fr-CH"/>
        </w:rPr>
        <w:t>(</w:t>
      </w:r>
      <w:r>
        <w:rPr>
          <w:rFonts w:hint="cs"/>
          <w:i/>
          <w:iCs/>
          <w:rtl/>
          <w:lang w:val="fr-CH"/>
        </w:rPr>
        <w:t>تردّه</w:t>
      </w:r>
      <w:r w:rsidRPr="001900D9">
        <w:rPr>
          <w:rFonts w:hint="cs"/>
          <w:i/>
          <w:iCs/>
          <w:rtl/>
          <w:lang w:val="fr-CH"/>
        </w:rPr>
        <w:t>)</w:t>
      </w:r>
      <w:r>
        <w:rPr>
          <w:rFonts w:hint="cs"/>
          <w:rtl/>
          <w:lang w:val="fr-CH"/>
        </w:rPr>
        <w:t xml:space="preserve"> إلى دولة أخرى إذا توافرت لديها أسباب حقيقية تدعو إلى الاعتقاد بأنه سيواجه خطر التعرض </w:t>
      </w:r>
      <w:r w:rsidRPr="00B650A9">
        <w:rPr>
          <w:rFonts w:hint="cs"/>
          <w:rtl/>
          <w:lang w:val="fr-CH"/>
        </w:rPr>
        <w:t>للتعذيب.</w:t>
      </w:r>
      <w:r>
        <w:rPr>
          <w:rFonts w:hint="cs"/>
          <w:rtl/>
          <w:lang w:val="fr-CH"/>
        </w:rPr>
        <w:t xml:space="preserve"> ويجب على اللجنة أن تقيّم ما</w:t>
      </w:r>
      <w:r>
        <w:rPr>
          <w:rtl/>
          <w:lang w:val="fr-CH"/>
        </w:rPr>
        <w:t> </w:t>
      </w:r>
      <w:r>
        <w:rPr>
          <w:rFonts w:hint="cs"/>
          <w:rtl/>
          <w:lang w:val="fr-CH"/>
        </w:rPr>
        <w:t>إذا كانت هناك أسباب حقيقية تدعو إلى الاعتقاد بأن صاحب الشكوى سيتعرض شخصياً لخطر التعذيب لدى عودته إلى الصين. ولدى تقييم هذا الخطر، يجب على اللجنة أن تراعي جميع الاعتبارات ذات الصلة، عملاً بالفقرة 2 من المادة 3 من الاتفاقية، بما</w:t>
      </w:r>
      <w:r>
        <w:rPr>
          <w:rtl/>
          <w:lang w:val="fr-CH"/>
        </w:rPr>
        <w:t> </w:t>
      </w:r>
      <w:r>
        <w:rPr>
          <w:rFonts w:hint="cs"/>
          <w:rtl/>
          <w:lang w:val="fr-CH"/>
        </w:rPr>
        <w:t>في ذلك وجود نمط ثابت من الانتهاكات الفادحة أو</w:t>
      </w:r>
      <w:r>
        <w:rPr>
          <w:rtl/>
          <w:lang w:val="fr-CH"/>
        </w:rPr>
        <w:t> </w:t>
      </w:r>
      <w:r>
        <w:rPr>
          <w:rFonts w:hint="cs"/>
          <w:rtl/>
          <w:lang w:val="fr-CH"/>
        </w:rPr>
        <w:t>الصارخة أو</w:t>
      </w:r>
      <w:r>
        <w:rPr>
          <w:rtl/>
          <w:lang w:val="fr-CH"/>
        </w:rPr>
        <w:t> </w:t>
      </w:r>
      <w:r>
        <w:rPr>
          <w:rFonts w:hint="cs"/>
          <w:rtl/>
          <w:lang w:val="fr-CH"/>
        </w:rPr>
        <w:t>الجماعية لحقوق الإنسان. بيد أن اللجنة تذكّر بأن الهدف من ذلك هو تحديد ما</w:t>
      </w:r>
      <w:r>
        <w:rPr>
          <w:rtl/>
          <w:lang w:val="fr-CH"/>
        </w:rPr>
        <w:t> </w:t>
      </w:r>
      <w:r>
        <w:rPr>
          <w:rFonts w:hint="cs"/>
          <w:rtl/>
          <w:lang w:val="fr-CH"/>
        </w:rPr>
        <w:t xml:space="preserve">إذا كان صاحب الشكوى سيتعرض شخصياً لخطر متوقع وحقيقي بالتعذيب في البلد الذي سيُعاد إليه. </w:t>
      </w:r>
    </w:p>
    <w:p w:rsidR="00D0360A" w:rsidRPr="00A934BC" w:rsidRDefault="00D0360A" w:rsidP="00D0360A">
      <w:pPr>
        <w:pStyle w:val="SingleTxtGA"/>
        <w:spacing w:line="370" w:lineRule="exact"/>
        <w:rPr>
          <w:rFonts w:hint="cs"/>
          <w:rtl/>
        </w:rPr>
      </w:pPr>
      <w:r w:rsidRPr="002C78B9">
        <w:rPr>
          <w:rFonts w:ascii="Traditional Arabic" w:hAnsi="Traditional Arabic" w:hint="cs"/>
          <w:color w:val="000000"/>
          <w:rtl/>
          <w:lang w:val="en-CA"/>
        </w:rPr>
        <w:t>7</w:t>
      </w:r>
      <w:r w:rsidRPr="002C78B9">
        <w:rPr>
          <w:rFonts w:ascii="Traditional Arabic" w:hAnsi="Traditional Arabic"/>
          <w:color w:val="000000"/>
          <w:rtl/>
          <w:lang w:val="en-CA"/>
        </w:rPr>
        <w:t>-</w:t>
      </w:r>
      <w:r>
        <w:rPr>
          <w:rFonts w:ascii="Traditional Arabic" w:hAnsi="Traditional Arabic" w:hint="cs"/>
          <w:color w:val="000000"/>
          <w:rtl/>
          <w:lang w:val="en-CA"/>
        </w:rPr>
        <w:t>3</w:t>
      </w:r>
      <w:r w:rsidRPr="002C78B9">
        <w:rPr>
          <w:rFonts w:ascii="Traditional Arabic" w:hAnsi="Traditional Arabic"/>
          <w:color w:val="000000"/>
          <w:rtl/>
          <w:lang w:val="en-CA"/>
        </w:rPr>
        <w:tab/>
      </w:r>
      <w:r>
        <w:rPr>
          <w:rFonts w:hint="cs"/>
          <w:rtl/>
        </w:rPr>
        <w:t>وتذكّر اللجنة بتعليقها العام رقم 1 الذي جاء فيه أنه "</w:t>
      </w:r>
      <w:r w:rsidRPr="00A934BC">
        <w:rPr>
          <w:rFonts w:hint="cs"/>
          <w:rtl/>
        </w:rPr>
        <w:t>يجب تقدير خطر التعذيب على أساس يتجاوز مجرد الافتراض</w:t>
      </w:r>
      <w:r>
        <w:rPr>
          <w:rFonts w:hint="cs"/>
          <w:rtl/>
        </w:rPr>
        <w:t xml:space="preserve"> أو</w:t>
      </w:r>
      <w:r>
        <w:rPr>
          <w:rtl/>
        </w:rPr>
        <w:t> </w:t>
      </w:r>
      <w:r w:rsidRPr="00A934BC">
        <w:rPr>
          <w:rFonts w:hint="cs"/>
          <w:rtl/>
        </w:rPr>
        <w:t xml:space="preserve">الشك. </w:t>
      </w:r>
      <w:r w:rsidRPr="00A934BC">
        <w:rPr>
          <w:rFonts w:ascii="Traditional Arabic" w:hAnsi="Traditional Arabic" w:hint="cs"/>
          <w:color w:val="000000"/>
          <w:rtl/>
        </w:rPr>
        <w:t>غير أنه</w:t>
      </w:r>
      <w:r>
        <w:rPr>
          <w:rFonts w:ascii="Traditional Arabic" w:hAnsi="Traditional Arabic" w:hint="cs"/>
          <w:color w:val="000000"/>
          <w:rtl/>
        </w:rPr>
        <w:t xml:space="preserve"> لا</w:t>
      </w:r>
      <w:r>
        <w:rPr>
          <w:rFonts w:ascii="Traditional Arabic" w:hAnsi="Traditional Arabic"/>
          <w:color w:val="000000"/>
          <w:rtl/>
        </w:rPr>
        <w:t> </w:t>
      </w:r>
      <w:r w:rsidRPr="00A934BC">
        <w:rPr>
          <w:rFonts w:ascii="Traditional Arabic" w:hAnsi="Traditional Arabic" w:hint="cs"/>
          <w:color w:val="000000"/>
          <w:rtl/>
        </w:rPr>
        <w:t>يكفي أن يكون وقوع الخطر مرجح</w:t>
      </w:r>
      <w:r>
        <w:rPr>
          <w:rFonts w:ascii="Traditional Arabic" w:hAnsi="Traditional Arabic" w:hint="cs"/>
          <w:color w:val="000000"/>
          <w:rtl/>
        </w:rPr>
        <w:t xml:space="preserve">اً </w:t>
      </w:r>
      <w:r w:rsidRPr="00A934BC">
        <w:rPr>
          <w:rFonts w:ascii="Traditional Arabic" w:hAnsi="Traditional Arabic" w:hint="cs"/>
          <w:color w:val="000000"/>
          <w:rtl/>
        </w:rPr>
        <w:t>ترجيح</w:t>
      </w:r>
      <w:r>
        <w:rPr>
          <w:rFonts w:ascii="Traditional Arabic" w:hAnsi="Traditional Arabic" w:hint="cs"/>
          <w:color w:val="000000"/>
          <w:rtl/>
        </w:rPr>
        <w:t xml:space="preserve">اً </w:t>
      </w:r>
      <w:r w:rsidRPr="00A934BC">
        <w:rPr>
          <w:rFonts w:ascii="Traditional Arabic" w:hAnsi="Traditional Arabic" w:hint="cs"/>
          <w:color w:val="000000"/>
          <w:rtl/>
        </w:rPr>
        <w:t>كبيرا</w:t>
      </w:r>
      <w:r>
        <w:rPr>
          <w:rFonts w:hint="cs"/>
          <w:rtl/>
        </w:rPr>
        <w:t>ً</w:t>
      </w:r>
      <w:r w:rsidRPr="00A934BC">
        <w:rPr>
          <w:rFonts w:hint="cs"/>
          <w:rtl/>
        </w:rPr>
        <w:t>" (الفقرة 6)، بل يجب أن يكون شخصياً ومحدق</w:t>
      </w:r>
      <w:r>
        <w:rPr>
          <w:rFonts w:hint="cs"/>
          <w:rtl/>
        </w:rPr>
        <w:t>اً. وفي</w:t>
      </w:r>
      <w:r>
        <w:rPr>
          <w:rtl/>
        </w:rPr>
        <w:t> </w:t>
      </w:r>
      <w:r>
        <w:rPr>
          <w:rFonts w:hint="cs"/>
          <w:spacing w:val="-4"/>
          <w:rtl/>
          <w:lang w:val="en-CA"/>
        </w:rPr>
        <w:t xml:space="preserve">هذا الصدد، حدّدت اللجنة في قرارات سابقة أن خطر التعرض للتعذيب يجب أن يكون متوقعاً </w:t>
      </w:r>
      <w:r w:rsidRPr="009F68B2">
        <w:rPr>
          <w:rFonts w:hint="cs"/>
          <w:spacing w:val="-4"/>
          <w:rtl/>
          <w:lang w:val="en-CA"/>
        </w:rPr>
        <w:t>وحقيقياً وشخصياً</w:t>
      </w:r>
      <w:r w:rsidRPr="003379E2">
        <w:rPr>
          <w:rFonts w:hint="cs"/>
          <w:color w:val="000000"/>
          <w:spacing w:val="-2"/>
          <w:sz w:val="30"/>
          <w:vertAlign w:val="superscript"/>
          <w:rtl/>
          <w:lang w:val="en-CA"/>
        </w:rPr>
        <w:t>(</w:t>
      </w:r>
      <w:r w:rsidRPr="003379E2">
        <w:rPr>
          <w:color w:val="000000"/>
          <w:spacing w:val="-2"/>
          <w:sz w:val="30"/>
          <w:vertAlign w:val="superscript"/>
          <w:rtl/>
        </w:rPr>
        <w:footnoteReference w:id="122"/>
      </w:r>
      <w:r w:rsidRPr="003379E2">
        <w:rPr>
          <w:rFonts w:hint="cs"/>
          <w:color w:val="000000"/>
          <w:spacing w:val="-2"/>
          <w:sz w:val="30"/>
          <w:vertAlign w:val="superscript"/>
          <w:rtl/>
          <w:lang w:val="en-CA"/>
        </w:rPr>
        <w:t>)</w:t>
      </w:r>
      <w:r w:rsidRPr="009F68B2">
        <w:rPr>
          <w:rFonts w:ascii="Traditional Arabic" w:hAnsi="Traditional Arabic" w:hint="cs"/>
          <w:color w:val="000000"/>
          <w:rtl/>
          <w:lang w:val="en-CA"/>
        </w:rPr>
        <w:t>.</w:t>
      </w:r>
      <w:r>
        <w:rPr>
          <w:rFonts w:ascii="Traditional Arabic" w:hAnsi="Traditional Arabic" w:hint="cs"/>
          <w:color w:val="000000"/>
          <w:rtl/>
          <w:lang w:val="en-CA"/>
        </w:rPr>
        <w:t xml:space="preserve"> </w:t>
      </w:r>
      <w:r>
        <w:rPr>
          <w:rFonts w:hint="cs"/>
          <w:spacing w:val="-4"/>
          <w:rtl/>
          <w:lang w:val="en-CA"/>
        </w:rPr>
        <w:t>وتذكّر اللجنة كذلك بتعليقها العام رقم 1،</w:t>
      </w:r>
      <w:r>
        <w:rPr>
          <w:rFonts w:hint="cs"/>
          <w:rtl/>
        </w:rPr>
        <w:t xml:space="preserve"> </w:t>
      </w:r>
      <w:r>
        <w:rPr>
          <w:rFonts w:hint="cs"/>
          <w:spacing w:val="-4"/>
          <w:rtl/>
          <w:lang w:val="en-CA"/>
        </w:rPr>
        <w:t>الذي جاء في الفقرة 5 منه أن تقديم حجج مقنعة للدفاع عن القضية يقع</w:t>
      </w:r>
      <w:r>
        <w:rPr>
          <w:rFonts w:hint="cs"/>
          <w:rtl/>
        </w:rPr>
        <w:t xml:space="preserve"> على عاتق صاحب الشكوى. وتحيط اللجنة علماً بالادعاءات التي ساقها صاحب </w:t>
      </w:r>
      <w:r w:rsidRPr="006018FA">
        <w:rPr>
          <w:rFonts w:hint="cs"/>
          <w:rtl/>
        </w:rPr>
        <w:t xml:space="preserve">الشكوى بموجب </w:t>
      </w:r>
      <w:r w:rsidRPr="006018FA">
        <w:rPr>
          <w:rFonts w:ascii="Traditional Arabic" w:hAnsi="Traditional Arabic" w:hint="cs"/>
          <w:color w:val="000000"/>
          <w:rtl/>
          <w:lang w:val="en-CA"/>
        </w:rPr>
        <w:t>المادة</w:t>
      </w:r>
      <w:r>
        <w:rPr>
          <w:rFonts w:ascii="Traditional Arabic" w:hAnsi="Traditional Arabic" w:hint="cs"/>
          <w:color w:val="000000"/>
          <w:rtl/>
          <w:lang w:val="en-CA"/>
        </w:rPr>
        <w:t xml:space="preserve"> 3، وبحجته أنه قدّم ما</w:t>
      </w:r>
      <w:r>
        <w:rPr>
          <w:rFonts w:ascii="Traditional Arabic" w:hAnsi="Traditional Arabic"/>
          <w:color w:val="000000"/>
          <w:rtl/>
          <w:lang w:val="en-CA"/>
        </w:rPr>
        <w:t> </w:t>
      </w:r>
      <w:r>
        <w:rPr>
          <w:rFonts w:ascii="Traditional Arabic" w:hAnsi="Traditional Arabic" w:hint="cs"/>
          <w:color w:val="000000"/>
          <w:rtl/>
          <w:lang w:val="en-CA"/>
        </w:rPr>
        <w:t>يكفي من الأدلة الداعمة لما</w:t>
      </w:r>
      <w:r>
        <w:rPr>
          <w:rFonts w:ascii="Traditional Arabic" w:hAnsi="Traditional Arabic"/>
          <w:color w:val="000000"/>
          <w:rtl/>
          <w:lang w:val="en-CA"/>
        </w:rPr>
        <w:t> </w:t>
      </w:r>
      <w:r>
        <w:rPr>
          <w:rFonts w:ascii="Traditional Arabic" w:hAnsi="Traditional Arabic" w:hint="cs"/>
          <w:color w:val="000000"/>
          <w:rtl/>
          <w:lang w:val="en-CA"/>
        </w:rPr>
        <w:t xml:space="preserve">ادعاه من تعرّضه للتعذيب في الماضي نتيجة ممارسته لأنشطة الفالون غونغ في الصين، وأن وجود أي أوجه عدم اتساق في سرده للوقائع يُعزى إلى تلفيق موظف الهجرة لبعض الوقائع عند تقديمه طلب تأشيرة الحماية. </w:t>
      </w:r>
    </w:p>
    <w:p w:rsidR="00D0360A" w:rsidRPr="00FC6435" w:rsidRDefault="00D0360A" w:rsidP="00D0360A">
      <w:pPr>
        <w:pStyle w:val="SingleTxtGA"/>
        <w:spacing w:line="370" w:lineRule="exact"/>
        <w:rPr>
          <w:rFonts w:hint="cs"/>
          <w:spacing w:val="-2"/>
          <w:rtl/>
          <w:lang w:val="en-CA"/>
        </w:rPr>
      </w:pPr>
      <w:r w:rsidRPr="00FC6435">
        <w:rPr>
          <w:rFonts w:hint="cs"/>
          <w:spacing w:val="-2"/>
          <w:rtl/>
          <w:lang w:val="en-CA"/>
        </w:rPr>
        <w:t>7</w:t>
      </w:r>
      <w:r w:rsidRPr="00FC6435">
        <w:rPr>
          <w:spacing w:val="-2"/>
          <w:rtl/>
          <w:lang w:val="en-CA"/>
        </w:rPr>
        <w:t>-4</w:t>
      </w:r>
      <w:r w:rsidRPr="00FC6435">
        <w:rPr>
          <w:spacing w:val="-2"/>
          <w:rtl/>
          <w:lang w:val="en-CA"/>
        </w:rPr>
        <w:tab/>
      </w:r>
      <w:r w:rsidRPr="00FC6435">
        <w:rPr>
          <w:rFonts w:hint="cs"/>
          <w:spacing w:val="-2"/>
          <w:rtl/>
          <w:lang w:val="en-CA"/>
        </w:rPr>
        <w:t>كما تحيط اللجنة علماً بحجج الدولة الطرف القائلة إن صاحب الشكوى لم</w:t>
      </w:r>
      <w:r w:rsidRPr="00FC6435">
        <w:rPr>
          <w:spacing w:val="-2"/>
          <w:rtl/>
          <w:lang w:val="en-CA"/>
        </w:rPr>
        <w:t> </w:t>
      </w:r>
      <w:r w:rsidRPr="00FC6435">
        <w:rPr>
          <w:rFonts w:hint="cs"/>
          <w:spacing w:val="-2"/>
          <w:rtl/>
          <w:lang w:val="en-CA"/>
        </w:rPr>
        <w:t>يقدم أي معلومات تفصيلية عن طبيعة أنشطته كممارس للفالون غونغ في الصين وعن العنف المزعوم الذي ارتكب في حقه من قبل أفراد الشرطة لدى تقديمه طلب تأشيرة الحماية، وإن الوقائع المتعلقة باحتجازه في الصين والمسرودة في طلبات التدخل الوزاري التي قدمها تتعارض مع أقواله المدلى بها أصلاً في طلبه الأول، وإنه قد سنحت له الفرصة لتوضيح أوجه عدم الاتساق هذه وتوفير مزيد من التفاصيل والأدلة الداعمة لأقواله أثناء جلسة الاستماع المنعقدة في محكمة مراجعة الأحكام الخاصة باللاجئين، وإنه قد رفض الدعوة وطلب من المحكمة إصدار قرارها غيابياً. وتدفع الدولة الطرف أيضاً بأن المعلومات والأدلة التي ساقها صاحب الدعوى دعماً لادعاءاته، ومن بينها تلك المرفقة بطلبات التدخل الوزاري العديدة، قد خضعت جميعها للمراجعة أثناء الإجراءات المحلية بيد أنها اعُتبرت مفتقرة إلى الموثوقية وغير كافية لإثبات أن صاحب الشكوى يواجه خطراً شخصياً ومحدقاً بالتعذيب عقب عودته إلى الصين.</w:t>
      </w:r>
    </w:p>
    <w:p w:rsidR="00D0360A" w:rsidRDefault="00D0360A" w:rsidP="00D0360A">
      <w:pPr>
        <w:pStyle w:val="SingleTxtGA"/>
        <w:spacing w:line="370" w:lineRule="exact"/>
        <w:rPr>
          <w:rFonts w:hint="cs"/>
          <w:rtl/>
          <w:lang w:val="fr-CH"/>
        </w:rPr>
      </w:pPr>
      <w:r w:rsidRPr="00DD5281">
        <w:rPr>
          <w:rFonts w:ascii="Traditional Arabic" w:hAnsi="Traditional Arabic" w:hint="cs"/>
          <w:color w:val="000000"/>
          <w:rtl/>
          <w:lang w:val="en-CA"/>
        </w:rPr>
        <w:t>7</w:t>
      </w:r>
      <w:r w:rsidRPr="00DD5281">
        <w:rPr>
          <w:rFonts w:ascii="Traditional Arabic" w:hAnsi="Traditional Arabic"/>
          <w:color w:val="000000"/>
          <w:rtl/>
          <w:lang w:val="en-CA"/>
        </w:rPr>
        <w:t>-</w:t>
      </w:r>
      <w:r>
        <w:rPr>
          <w:rFonts w:ascii="Traditional Arabic" w:hAnsi="Traditional Arabic" w:hint="cs"/>
          <w:color w:val="000000"/>
          <w:rtl/>
          <w:lang w:val="en-CA"/>
        </w:rPr>
        <w:t>5</w:t>
      </w:r>
      <w:r w:rsidRPr="00DD5281">
        <w:rPr>
          <w:rFonts w:ascii="Traditional Arabic" w:hAnsi="Traditional Arabic"/>
          <w:color w:val="000000"/>
          <w:rtl/>
          <w:lang w:val="en-CA"/>
        </w:rPr>
        <w:tab/>
      </w:r>
      <w:r>
        <w:rPr>
          <w:rFonts w:hint="cs"/>
          <w:rtl/>
          <w:lang w:val="fr-CH"/>
        </w:rPr>
        <w:t>وتذكّر اللجنة بأنها، وفقاً لأحكام تعليقها العام رقم 1، تولي أهمية كبيرة لتقرير الوقائع التي تخلص إليها أجهزة الدولة الطرف المعنية، لكنها في الوقت نفسه غير ملزمة بالتقيد به بل تملك، بمقتضى الفقرة 4 من المادة 22 من الاتفاقية، سلطة تقييم الوقائع بحرية، استناداً إلى مجمل ملابسات كل قضية</w:t>
      </w:r>
      <w:r w:rsidRPr="003379E2">
        <w:rPr>
          <w:rFonts w:hint="cs"/>
          <w:color w:val="000000"/>
          <w:spacing w:val="-2"/>
          <w:sz w:val="30"/>
          <w:vertAlign w:val="superscript"/>
          <w:rtl/>
          <w:lang w:val="en-CA"/>
        </w:rPr>
        <w:t>(</w:t>
      </w:r>
      <w:r w:rsidRPr="003379E2">
        <w:rPr>
          <w:color w:val="000000"/>
          <w:spacing w:val="-2"/>
          <w:sz w:val="30"/>
          <w:vertAlign w:val="superscript"/>
          <w:rtl/>
        </w:rPr>
        <w:footnoteReference w:id="123"/>
      </w:r>
      <w:r w:rsidRPr="003379E2">
        <w:rPr>
          <w:rFonts w:hint="cs"/>
          <w:color w:val="000000"/>
          <w:spacing w:val="-2"/>
          <w:sz w:val="30"/>
          <w:vertAlign w:val="superscript"/>
          <w:rtl/>
          <w:lang w:val="en-CA"/>
        </w:rPr>
        <w:t>)</w:t>
      </w:r>
      <w:r>
        <w:rPr>
          <w:rFonts w:hint="cs"/>
          <w:rtl/>
          <w:lang w:val="fr-CH"/>
        </w:rPr>
        <w:t>.</w:t>
      </w:r>
    </w:p>
    <w:p w:rsidR="00D0360A" w:rsidRDefault="00D0360A" w:rsidP="003379E2">
      <w:pPr>
        <w:pStyle w:val="SingleTxtGA"/>
        <w:rPr>
          <w:rFonts w:hint="cs"/>
          <w:rtl/>
          <w:lang w:val="fr-CH"/>
        </w:rPr>
      </w:pPr>
      <w:r w:rsidRPr="00DD5281">
        <w:rPr>
          <w:rFonts w:ascii="Traditional Arabic" w:hAnsi="Traditional Arabic" w:hint="cs"/>
          <w:color w:val="000000"/>
          <w:rtl/>
          <w:lang w:val="en-CA"/>
        </w:rPr>
        <w:t>7</w:t>
      </w:r>
      <w:r w:rsidRPr="00DD5281">
        <w:rPr>
          <w:rFonts w:ascii="Traditional Arabic" w:hAnsi="Traditional Arabic"/>
          <w:color w:val="000000"/>
          <w:rtl/>
          <w:lang w:val="en-CA"/>
        </w:rPr>
        <w:t>-</w:t>
      </w:r>
      <w:r>
        <w:rPr>
          <w:rFonts w:ascii="Traditional Arabic" w:hAnsi="Traditional Arabic" w:hint="cs"/>
          <w:color w:val="000000"/>
          <w:rtl/>
          <w:lang w:val="en-CA"/>
        </w:rPr>
        <w:t>6</w:t>
      </w:r>
      <w:r w:rsidRPr="00DD5281">
        <w:rPr>
          <w:rFonts w:ascii="Traditional Arabic" w:hAnsi="Traditional Arabic"/>
          <w:color w:val="000000"/>
          <w:rtl/>
          <w:lang w:val="en-CA"/>
        </w:rPr>
        <w:tab/>
      </w:r>
      <w:r>
        <w:rPr>
          <w:rFonts w:hint="cs"/>
          <w:rtl/>
          <w:lang w:val="fr-CH"/>
        </w:rPr>
        <w:t>وفي القضية قيد البحث، تحيط اللجنة علماً بعدم تقديم صاحب الشكوى معلومات تفصيلية عن ممارسته لأنشطة الفالون غونغ، وبوجود أوجه عدم اتساق عديدة تعتري روايته، مما</w:t>
      </w:r>
      <w:r>
        <w:rPr>
          <w:rtl/>
          <w:lang w:val="fr-CH"/>
        </w:rPr>
        <w:t> </w:t>
      </w:r>
      <w:r>
        <w:rPr>
          <w:rFonts w:hint="cs"/>
          <w:rtl/>
          <w:lang w:val="fr-CH"/>
        </w:rPr>
        <w:t>يقوّض مصداقية مزاعمه بشكل عام، كما</w:t>
      </w:r>
      <w:r>
        <w:rPr>
          <w:rtl/>
          <w:lang w:val="fr-CH"/>
        </w:rPr>
        <w:t> </w:t>
      </w:r>
      <w:r>
        <w:rPr>
          <w:rFonts w:hint="cs"/>
          <w:rtl/>
          <w:lang w:val="fr-CH"/>
        </w:rPr>
        <w:t>تحيط علماً بأنه لم</w:t>
      </w:r>
      <w:r>
        <w:rPr>
          <w:rtl/>
          <w:lang w:val="fr-CH"/>
        </w:rPr>
        <w:t> </w:t>
      </w:r>
      <w:r>
        <w:rPr>
          <w:rFonts w:hint="cs"/>
          <w:rtl/>
          <w:lang w:val="fr-CH"/>
        </w:rPr>
        <w:t>يقدم أي دليل دامغ لدعم ادعاءاته. وفي</w:t>
      </w:r>
      <w:r>
        <w:rPr>
          <w:rtl/>
          <w:lang w:val="fr-CH"/>
        </w:rPr>
        <w:t> </w:t>
      </w:r>
      <w:r>
        <w:rPr>
          <w:rFonts w:hint="cs"/>
          <w:rtl/>
          <w:lang w:val="fr-CH"/>
        </w:rPr>
        <w:t>ضوء ما</w:t>
      </w:r>
      <w:r>
        <w:rPr>
          <w:rtl/>
          <w:lang w:val="fr-CH"/>
        </w:rPr>
        <w:t> </w:t>
      </w:r>
      <w:r>
        <w:rPr>
          <w:rFonts w:hint="cs"/>
          <w:rtl/>
          <w:lang w:val="fr-CH"/>
        </w:rPr>
        <w:t>تقدم، تتفق اللجنة مع ما</w:t>
      </w:r>
      <w:r>
        <w:rPr>
          <w:rtl/>
          <w:lang w:val="fr-CH"/>
        </w:rPr>
        <w:t> </w:t>
      </w:r>
      <w:r>
        <w:rPr>
          <w:rFonts w:hint="cs"/>
          <w:rtl/>
          <w:lang w:val="fr-CH"/>
        </w:rPr>
        <w:t>ذهبت إليه السلطات المختصة في الدولة الطرف من أن حجج صاحب الشكوى تفتقر إلى المصداقية سواء فيما</w:t>
      </w:r>
      <w:r>
        <w:rPr>
          <w:rtl/>
          <w:lang w:val="fr-CH"/>
        </w:rPr>
        <w:t> </w:t>
      </w:r>
      <w:r>
        <w:rPr>
          <w:rFonts w:hint="cs"/>
          <w:rtl/>
          <w:lang w:val="fr-CH"/>
        </w:rPr>
        <w:t>يتعلق بمظاهر عدم الاتساق في أقواله، أو</w:t>
      </w:r>
      <w:r>
        <w:rPr>
          <w:rtl/>
          <w:lang w:val="fr-CH"/>
        </w:rPr>
        <w:t> </w:t>
      </w:r>
      <w:r>
        <w:rPr>
          <w:rFonts w:hint="cs"/>
          <w:rtl/>
          <w:lang w:val="fr-CH"/>
        </w:rPr>
        <w:t>بتأخره في التقدم أمام محكمة مراجعة الأحكام الخاصة باللاجئين بطلب للمراجعة القضائية، أو</w:t>
      </w:r>
      <w:r>
        <w:rPr>
          <w:rtl/>
          <w:lang w:val="fr-CH"/>
        </w:rPr>
        <w:t> </w:t>
      </w:r>
      <w:r>
        <w:rPr>
          <w:rFonts w:hint="cs"/>
          <w:rtl/>
          <w:lang w:val="fr-CH"/>
        </w:rPr>
        <w:t>بزعمه أن موظف الهجرة قد تصرف تصرفاً احتيالياً. وتلاحظ اللجنة كذلك أن صاحب الشكوى قد تمكّن من مغادرة الصين بحرية مرتين والسفر إلى أستراليا، ويصعب في ظل هذه الظروف استنتاج أنه كان موضع اهتمام السلطات الصينية.</w:t>
      </w:r>
    </w:p>
    <w:p w:rsidR="00D0360A" w:rsidRPr="00B70B73" w:rsidRDefault="00D0360A" w:rsidP="003379E2">
      <w:pPr>
        <w:pStyle w:val="SingleTxtGA"/>
        <w:rPr>
          <w:rFonts w:hint="cs"/>
          <w:rtl/>
        </w:rPr>
      </w:pPr>
      <w:r w:rsidRPr="00DD5281">
        <w:rPr>
          <w:rFonts w:ascii="Traditional Arabic" w:hAnsi="Traditional Arabic" w:hint="cs"/>
          <w:color w:val="000000"/>
          <w:rtl/>
          <w:lang w:val="en-CA"/>
        </w:rPr>
        <w:t>7</w:t>
      </w:r>
      <w:r w:rsidRPr="00DD5281">
        <w:rPr>
          <w:rFonts w:ascii="Traditional Arabic" w:hAnsi="Traditional Arabic"/>
          <w:color w:val="000000"/>
          <w:rtl/>
          <w:lang w:val="en-CA"/>
        </w:rPr>
        <w:t>-</w:t>
      </w:r>
      <w:r>
        <w:rPr>
          <w:rFonts w:ascii="Traditional Arabic" w:hAnsi="Traditional Arabic" w:hint="cs"/>
          <w:color w:val="000000"/>
          <w:rtl/>
          <w:lang w:val="en-CA"/>
        </w:rPr>
        <w:t>7</w:t>
      </w:r>
      <w:r w:rsidRPr="00DD5281">
        <w:rPr>
          <w:rFonts w:ascii="Traditional Arabic" w:hAnsi="Traditional Arabic"/>
          <w:color w:val="000000"/>
          <w:rtl/>
          <w:lang w:val="en-CA"/>
        </w:rPr>
        <w:tab/>
      </w:r>
      <w:r w:rsidRPr="00B70B73">
        <w:rPr>
          <w:rtl/>
        </w:rPr>
        <w:t>وت</w:t>
      </w:r>
      <w:r w:rsidRPr="00B70B73">
        <w:rPr>
          <w:rFonts w:hint="cs"/>
          <w:rtl/>
        </w:rPr>
        <w:t xml:space="preserve">رى </w:t>
      </w:r>
      <w:r w:rsidRPr="00B70B73">
        <w:rPr>
          <w:rtl/>
        </w:rPr>
        <w:t xml:space="preserve">اللجنة، </w:t>
      </w:r>
      <w:r w:rsidRPr="00B70B73">
        <w:rPr>
          <w:rFonts w:hint="cs"/>
          <w:rtl/>
        </w:rPr>
        <w:t>في ضوء جميع</w:t>
      </w:r>
      <w:r w:rsidRPr="00B70B73">
        <w:rPr>
          <w:rtl/>
        </w:rPr>
        <w:t xml:space="preserve"> المعلومات المعروضة عليها، أن صاحب</w:t>
      </w:r>
      <w:r w:rsidRPr="00B70B73">
        <w:rPr>
          <w:rFonts w:hint="cs"/>
          <w:rtl/>
        </w:rPr>
        <w:t xml:space="preserve"> الشكوى</w:t>
      </w:r>
      <w:r>
        <w:rPr>
          <w:rtl/>
        </w:rPr>
        <w:t xml:space="preserve"> لم </w:t>
      </w:r>
      <w:r w:rsidRPr="00B70B73">
        <w:rPr>
          <w:rtl/>
        </w:rPr>
        <w:t>يقدم</w:t>
      </w:r>
      <w:r>
        <w:rPr>
          <w:rtl/>
        </w:rPr>
        <w:t xml:space="preserve"> ما </w:t>
      </w:r>
      <w:r w:rsidRPr="00B70B73">
        <w:rPr>
          <w:rtl/>
        </w:rPr>
        <w:t xml:space="preserve">يكفي من الأدلة ليثبت </w:t>
      </w:r>
      <w:r>
        <w:rPr>
          <w:rFonts w:hint="cs"/>
          <w:rtl/>
        </w:rPr>
        <w:t>أنه</w:t>
      </w:r>
      <w:r w:rsidRPr="00B70B73">
        <w:rPr>
          <w:rFonts w:hint="cs"/>
          <w:rtl/>
        </w:rPr>
        <w:t xml:space="preserve"> </w:t>
      </w:r>
      <w:r w:rsidRPr="00B70B73">
        <w:rPr>
          <w:rtl/>
        </w:rPr>
        <w:t>واجه خطرا</w:t>
      </w:r>
      <w:r w:rsidRPr="00B70B73">
        <w:rPr>
          <w:rFonts w:hint="cs"/>
          <w:rtl/>
        </w:rPr>
        <w:t>ً</w:t>
      </w:r>
      <w:r w:rsidRPr="00B70B73">
        <w:rPr>
          <w:rtl/>
        </w:rPr>
        <w:t xml:space="preserve"> حقيق</w:t>
      </w:r>
      <w:r>
        <w:rPr>
          <w:rFonts w:hint="cs"/>
          <w:rtl/>
        </w:rPr>
        <w:t>ي</w:t>
      </w:r>
      <w:r w:rsidRPr="00B70B73">
        <w:rPr>
          <w:rtl/>
        </w:rPr>
        <w:t>ا</w:t>
      </w:r>
      <w:r w:rsidRPr="00B70B73">
        <w:rPr>
          <w:rFonts w:hint="cs"/>
          <w:rtl/>
        </w:rPr>
        <w:t>ً</w:t>
      </w:r>
      <w:r w:rsidRPr="00B70B73">
        <w:rPr>
          <w:rtl/>
        </w:rPr>
        <w:t xml:space="preserve"> ومتوقعا</w:t>
      </w:r>
      <w:r w:rsidRPr="00B70B73">
        <w:rPr>
          <w:rFonts w:hint="cs"/>
          <w:rtl/>
        </w:rPr>
        <w:t>ً</w:t>
      </w:r>
      <w:r w:rsidRPr="00B70B73">
        <w:rPr>
          <w:rtl/>
        </w:rPr>
        <w:t xml:space="preserve"> </w:t>
      </w:r>
      <w:r>
        <w:rPr>
          <w:rFonts w:hint="cs"/>
          <w:rtl/>
        </w:rPr>
        <w:t>و</w:t>
      </w:r>
      <w:r w:rsidRPr="00B70B73">
        <w:rPr>
          <w:rtl/>
        </w:rPr>
        <w:t xml:space="preserve">شخصياً </w:t>
      </w:r>
      <w:r>
        <w:rPr>
          <w:rFonts w:hint="cs"/>
          <w:rtl/>
        </w:rPr>
        <w:t>با</w:t>
      </w:r>
      <w:r w:rsidRPr="00B70B73">
        <w:rPr>
          <w:rtl/>
        </w:rPr>
        <w:t xml:space="preserve">لتعرض للتعذيب </w:t>
      </w:r>
      <w:r>
        <w:rPr>
          <w:rFonts w:hint="cs"/>
          <w:rtl/>
        </w:rPr>
        <w:t>عندما جرى ترحيله إلى الصين</w:t>
      </w:r>
      <w:r w:rsidRPr="00B70B73">
        <w:rPr>
          <w:rFonts w:hint="cs"/>
          <w:rtl/>
        </w:rPr>
        <w:t>.</w:t>
      </w:r>
    </w:p>
    <w:p w:rsidR="00D0360A" w:rsidRDefault="00D0360A" w:rsidP="003379E2">
      <w:pPr>
        <w:pStyle w:val="SingleTxtGA"/>
        <w:rPr>
          <w:rFonts w:hint="cs"/>
          <w:rtl/>
        </w:rPr>
      </w:pPr>
      <w:r w:rsidRPr="00DD5281">
        <w:rPr>
          <w:rFonts w:ascii="Traditional Arabic" w:hAnsi="Traditional Arabic" w:hint="cs"/>
          <w:color w:val="000000"/>
          <w:rtl/>
          <w:lang w:val="en-CA"/>
        </w:rPr>
        <w:t>7</w:t>
      </w:r>
      <w:r w:rsidRPr="00DD5281">
        <w:rPr>
          <w:rFonts w:ascii="Traditional Arabic" w:hAnsi="Traditional Arabic"/>
          <w:color w:val="000000"/>
          <w:rtl/>
          <w:lang w:val="en-CA"/>
        </w:rPr>
        <w:t>-</w:t>
      </w:r>
      <w:r>
        <w:rPr>
          <w:rFonts w:ascii="Traditional Arabic" w:hAnsi="Traditional Arabic" w:hint="cs"/>
          <w:color w:val="000000"/>
          <w:rtl/>
          <w:lang w:val="en-CA"/>
        </w:rPr>
        <w:t>8</w:t>
      </w:r>
      <w:r w:rsidRPr="00DD5281">
        <w:rPr>
          <w:rFonts w:ascii="Traditional Arabic" w:hAnsi="Traditional Arabic"/>
          <w:color w:val="000000"/>
          <w:rtl/>
          <w:lang w:val="en-CA"/>
        </w:rPr>
        <w:tab/>
      </w:r>
      <w:r>
        <w:rPr>
          <w:rFonts w:ascii="Traditional Arabic" w:hAnsi="Traditional Arabic" w:hint="cs"/>
          <w:color w:val="000000"/>
          <w:rtl/>
          <w:lang w:val="en-CA"/>
        </w:rPr>
        <w:t>و</w:t>
      </w:r>
      <w:r w:rsidRPr="00B70B73">
        <w:rPr>
          <w:rFonts w:hint="cs"/>
          <w:rtl/>
        </w:rPr>
        <w:t>إن لجنة مناهضة التعذيب،</w:t>
      </w:r>
      <w:r>
        <w:rPr>
          <w:rFonts w:hint="cs"/>
          <w:rtl/>
        </w:rPr>
        <w:t xml:space="preserve"> إذ</w:t>
      </w:r>
      <w:r>
        <w:rPr>
          <w:rtl/>
        </w:rPr>
        <w:t> </w:t>
      </w:r>
      <w:r w:rsidRPr="00B70B73">
        <w:rPr>
          <w:rFonts w:hint="cs"/>
          <w:rtl/>
        </w:rPr>
        <w:t>تتصرف بموجب الفقرة 7 من المادة 22 من اتفاقية مناهضة التعذيب وغيره من ضروب المعاملة</w:t>
      </w:r>
      <w:r>
        <w:rPr>
          <w:rFonts w:hint="cs"/>
          <w:rtl/>
        </w:rPr>
        <w:t xml:space="preserve"> أو</w:t>
      </w:r>
      <w:r>
        <w:rPr>
          <w:rtl/>
        </w:rPr>
        <w:t> </w:t>
      </w:r>
      <w:r w:rsidRPr="00B70B73">
        <w:rPr>
          <w:rFonts w:hint="cs"/>
          <w:rtl/>
        </w:rPr>
        <w:t>العقوبة القاسية</w:t>
      </w:r>
      <w:r>
        <w:rPr>
          <w:rFonts w:hint="cs"/>
          <w:rtl/>
        </w:rPr>
        <w:t xml:space="preserve"> أو</w:t>
      </w:r>
      <w:r>
        <w:rPr>
          <w:rtl/>
        </w:rPr>
        <w:t> </w:t>
      </w:r>
      <w:r w:rsidRPr="00B70B73">
        <w:rPr>
          <w:rFonts w:hint="cs"/>
          <w:rtl/>
        </w:rPr>
        <w:t>اللاإنسانية</w:t>
      </w:r>
      <w:r>
        <w:rPr>
          <w:rFonts w:hint="cs"/>
          <w:rtl/>
        </w:rPr>
        <w:t xml:space="preserve"> أو</w:t>
      </w:r>
      <w:r>
        <w:rPr>
          <w:rtl/>
        </w:rPr>
        <w:t> </w:t>
      </w:r>
      <w:r w:rsidRPr="00B70B73">
        <w:rPr>
          <w:rFonts w:hint="cs"/>
          <w:rtl/>
        </w:rPr>
        <w:t xml:space="preserve">المهينة، تخلص إلى أن </w:t>
      </w:r>
      <w:r>
        <w:rPr>
          <w:rFonts w:hint="cs"/>
          <w:rtl/>
        </w:rPr>
        <w:t>ترحيل</w:t>
      </w:r>
      <w:r w:rsidRPr="00B70B73">
        <w:rPr>
          <w:rFonts w:hint="cs"/>
          <w:rtl/>
        </w:rPr>
        <w:t xml:space="preserve"> صاحب الشكوى إلى </w:t>
      </w:r>
      <w:r>
        <w:rPr>
          <w:rFonts w:hint="cs"/>
          <w:rtl/>
        </w:rPr>
        <w:t>الصين لم</w:t>
      </w:r>
      <w:r>
        <w:rPr>
          <w:rtl/>
        </w:rPr>
        <w:t> </w:t>
      </w:r>
      <w:r w:rsidRPr="00B70B73">
        <w:rPr>
          <w:rFonts w:hint="cs"/>
          <w:rtl/>
        </w:rPr>
        <w:t xml:space="preserve">يشكل </w:t>
      </w:r>
      <w:r>
        <w:rPr>
          <w:rFonts w:hint="cs"/>
          <w:rtl/>
        </w:rPr>
        <w:t xml:space="preserve">خرقاً </w:t>
      </w:r>
      <w:r w:rsidRPr="00B70B73">
        <w:rPr>
          <w:rFonts w:hint="cs"/>
          <w:rtl/>
        </w:rPr>
        <w:t>للمادة 3 من الاتفاقية.</w:t>
      </w:r>
    </w:p>
    <w:p w:rsidR="003379E2" w:rsidRDefault="003379E2" w:rsidP="00021691">
      <w:pPr>
        <w:pStyle w:val="SingleTxtGA"/>
        <w:rPr>
          <w:rFonts w:ascii="Traditional Arabic" w:hAnsi="Traditional Arabic" w:hint="cs"/>
          <w:rtl/>
        </w:rPr>
      </w:pPr>
    </w:p>
    <w:p w:rsidR="003379E2" w:rsidRDefault="003379E2" w:rsidP="00021691">
      <w:pPr>
        <w:pStyle w:val="SingleTxtGA"/>
        <w:rPr>
          <w:rFonts w:ascii="Traditional Arabic" w:hAnsi="Traditional Arabic" w:hint="cs"/>
          <w:rtl/>
        </w:rPr>
        <w:sectPr w:rsidR="003379E2" w:rsidSect="00F1742A">
          <w:footnotePr>
            <w:numFmt w:val="arabicAbjad"/>
            <w:numRestart w:val="eachSect"/>
          </w:footnotePr>
          <w:endnotePr>
            <w:numFmt w:val="decimal"/>
          </w:endnotePr>
          <w:pgSz w:w="11907" w:h="16840" w:code="9"/>
          <w:pgMar w:top="1701" w:right="1134" w:bottom="2268" w:left="1134" w:header="1134" w:footer="1701" w:gutter="0"/>
          <w:cols w:space="720"/>
          <w:bidi/>
          <w:rtlGutter/>
          <w:docGrid w:linePitch="360"/>
        </w:sectPr>
      </w:pPr>
    </w:p>
    <w:p w:rsidR="005E110C" w:rsidRPr="005E110C" w:rsidRDefault="005E110C" w:rsidP="005E110C">
      <w:pPr>
        <w:pStyle w:val="H1GA"/>
        <w:spacing w:before="120"/>
        <w:rPr>
          <w:rFonts w:hint="cs"/>
          <w:i/>
          <w:iCs/>
          <w:sz w:val="20"/>
          <w:rtl/>
          <w:lang w:val="fr-CH"/>
        </w:rPr>
      </w:pPr>
      <w:r w:rsidRPr="00221363">
        <w:rPr>
          <w:rFonts w:hint="cs"/>
          <w:sz w:val="20"/>
          <w:rtl/>
          <w:lang w:val="fr-CH"/>
        </w:rPr>
        <w:tab/>
      </w:r>
      <w:r w:rsidRPr="00221363">
        <w:rPr>
          <w:rFonts w:hint="cs"/>
          <w:sz w:val="20"/>
          <w:rtl/>
          <w:lang w:val="fr-CH"/>
        </w:rPr>
        <w:tab/>
        <w:t>البلاغ رقم 430/2010</w:t>
      </w:r>
      <w:r>
        <w:rPr>
          <w:rFonts w:hint="cs"/>
          <w:sz w:val="20"/>
          <w:rtl/>
          <w:lang w:val="fr-CH"/>
        </w:rPr>
        <w:t xml:space="preserve">: </w:t>
      </w:r>
      <w:r>
        <w:rPr>
          <w:rFonts w:hint="cs"/>
          <w:i/>
          <w:iCs/>
          <w:sz w:val="20"/>
          <w:rtl/>
          <w:lang w:val="fr-CH"/>
        </w:rPr>
        <w:t>عبيشو ضد ألمانيا</w:t>
      </w:r>
    </w:p>
    <w:p w:rsidR="005E110C" w:rsidRPr="00A444EC" w:rsidRDefault="005E110C" w:rsidP="005E110C">
      <w:pPr>
        <w:pStyle w:val="SingleTxtGA"/>
        <w:tabs>
          <w:tab w:val="clear" w:pos="2608"/>
          <w:tab w:val="clear" w:pos="3289"/>
          <w:tab w:val="clear" w:pos="3969"/>
          <w:tab w:val="clear" w:pos="4649"/>
          <w:tab w:val="clear" w:pos="5330"/>
          <w:tab w:val="left" w:pos="4319"/>
        </w:tabs>
        <w:ind w:left="4309" w:hanging="3062"/>
        <w:rPr>
          <w:rFonts w:hint="cs"/>
          <w:rtl/>
          <w:lang w:val="fr-CH"/>
        </w:rPr>
      </w:pPr>
      <w:r w:rsidRPr="00A444EC">
        <w:rPr>
          <w:rFonts w:hint="cs"/>
          <w:i/>
          <w:iCs/>
          <w:rtl/>
          <w:lang w:val="fr-CH"/>
        </w:rPr>
        <w:tab/>
        <w:t>المقدَّم من</w:t>
      </w:r>
      <w:r w:rsidRPr="00A444EC">
        <w:rPr>
          <w:rFonts w:hint="cs"/>
          <w:rtl/>
          <w:lang w:val="fr-CH"/>
        </w:rPr>
        <w:t>:</w:t>
      </w:r>
      <w:r w:rsidRPr="00A444EC">
        <w:rPr>
          <w:rFonts w:hint="cs"/>
          <w:rtl/>
          <w:lang w:val="fr-CH"/>
        </w:rPr>
        <w:tab/>
        <w:t xml:space="preserve">إيناس عبيشو (سيف الدين قبل الزواج) تمثِّلها منظمة </w:t>
      </w:r>
      <w:r w:rsidRPr="00A444EC">
        <w:rPr>
          <w:rStyle w:val="hps"/>
          <w:rFonts w:hint="cs"/>
          <w:rtl/>
        </w:rPr>
        <w:t>ا</w:t>
      </w:r>
      <w:r w:rsidRPr="00A444EC">
        <w:rPr>
          <w:rStyle w:val="hps"/>
          <w:rFonts w:hint="cs"/>
          <w:rtl/>
          <w:lang/>
        </w:rPr>
        <w:t xml:space="preserve">لعمل المسيحي من أجل إلغاء التعذيب - </w:t>
      </w:r>
      <w:r w:rsidRPr="00A444EC">
        <w:rPr>
          <w:rFonts w:hint="cs"/>
          <w:rtl/>
          <w:lang/>
        </w:rPr>
        <w:t>فرنسا</w:t>
      </w:r>
    </w:p>
    <w:p w:rsidR="005E110C" w:rsidRPr="00A444EC" w:rsidRDefault="005E110C" w:rsidP="005E110C">
      <w:pPr>
        <w:pStyle w:val="SingleTxtGA"/>
        <w:tabs>
          <w:tab w:val="clear" w:pos="2608"/>
          <w:tab w:val="clear" w:pos="3289"/>
          <w:tab w:val="clear" w:pos="3969"/>
          <w:tab w:val="clear" w:pos="4649"/>
          <w:tab w:val="clear" w:pos="5330"/>
          <w:tab w:val="left" w:pos="4319"/>
        </w:tabs>
        <w:ind w:left="4309" w:hanging="3062"/>
        <w:rPr>
          <w:rFonts w:hint="cs"/>
          <w:rtl/>
          <w:lang w:val="fr-CH"/>
        </w:rPr>
      </w:pPr>
      <w:r w:rsidRPr="00A444EC">
        <w:rPr>
          <w:rFonts w:hint="cs"/>
          <w:i/>
          <w:iCs/>
          <w:rtl/>
          <w:lang w:val="fr-CH"/>
        </w:rPr>
        <w:tab/>
        <w:t>الشخص المدّعى أنه ضحية</w:t>
      </w:r>
      <w:r w:rsidRPr="00A444EC">
        <w:rPr>
          <w:rFonts w:hint="cs"/>
          <w:rtl/>
          <w:lang w:val="fr-CH"/>
        </w:rPr>
        <w:t>:</w:t>
      </w:r>
      <w:r w:rsidRPr="00A444EC">
        <w:rPr>
          <w:rFonts w:hint="cs"/>
          <w:rtl/>
          <w:lang w:val="fr-CH"/>
        </w:rPr>
        <w:tab/>
        <w:t>أُنسي عبيشو (زوجها)</w:t>
      </w:r>
    </w:p>
    <w:p w:rsidR="005E110C" w:rsidRPr="00A444EC" w:rsidRDefault="005E110C" w:rsidP="005E110C">
      <w:pPr>
        <w:pStyle w:val="SingleTxtGA"/>
        <w:tabs>
          <w:tab w:val="clear" w:pos="2608"/>
          <w:tab w:val="clear" w:pos="3289"/>
          <w:tab w:val="clear" w:pos="3969"/>
          <w:tab w:val="clear" w:pos="4649"/>
          <w:tab w:val="clear" w:pos="5330"/>
          <w:tab w:val="left" w:pos="4319"/>
        </w:tabs>
        <w:ind w:left="4309" w:hanging="3062"/>
        <w:rPr>
          <w:rFonts w:hint="cs"/>
          <w:rtl/>
          <w:lang w:val="fr-CH"/>
        </w:rPr>
      </w:pPr>
      <w:r w:rsidRPr="00A444EC">
        <w:rPr>
          <w:rFonts w:hint="cs"/>
          <w:i/>
          <w:iCs/>
          <w:rtl/>
          <w:lang w:val="fr-CH"/>
        </w:rPr>
        <w:tab/>
        <w:t>الدولة الطرف</w:t>
      </w:r>
      <w:r w:rsidRPr="00A444EC">
        <w:rPr>
          <w:rFonts w:hint="cs"/>
          <w:rtl/>
          <w:lang w:val="fr-CH"/>
        </w:rPr>
        <w:t>:</w:t>
      </w:r>
      <w:r w:rsidRPr="00A444EC">
        <w:rPr>
          <w:rFonts w:hint="cs"/>
          <w:rtl/>
          <w:lang w:val="fr-CH"/>
        </w:rPr>
        <w:tab/>
        <w:t>ألمانيا</w:t>
      </w:r>
    </w:p>
    <w:p w:rsidR="005E110C" w:rsidRPr="00A444EC" w:rsidRDefault="005E110C" w:rsidP="005E110C">
      <w:pPr>
        <w:pStyle w:val="SingleTxtGA"/>
        <w:tabs>
          <w:tab w:val="clear" w:pos="2608"/>
          <w:tab w:val="clear" w:pos="3289"/>
          <w:tab w:val="clear" w:pos="3969"/>
          <w:tab w:val="clear" w:pos="4649"/>
          <w:tab w:val="clear" w:pos="5330"/>
          <w:tab w:val="left" w:pos="4319"/>
        </w:tabs>
        <w:ind w:left="4309" w:hanging="3062"/>
        <w:rPr>
          <w:rFonts w:hint="cs"/>
          <w:rtl/>
          <w:lang w:val="fr-CH"/>
        </w:rPr>
      </w:pPr>
      <w:r w:rsidRPr="00A444EC">
        <w:rPr>
          <w:rFonts w:hint="cs"/>
          <w:iCs/>
          <w:rtl/>
          <w:lang w:val="fr-CH"/>
        </w:rPr>
        <w:tab/>
        <w:t>تاريخ تقديم الشكوى</w:t>
      </w:r>
      <w:r w:rsidRPr="00A444EC">
        <w:rPr>
          <w:rFonts w:hint="cs"/>
          <w:i/>
          <w:rtl/>
          <w:lang w:val="fr-CH"/>
        </w:rPr>
        <w:t>:</w:t>
      </w:r>
      <w:r w:rsidRPr="00A444EC">
        <w:rPr>
          <w:rFonts w:hint="cs"/>
          <w:iCs/>
          <w:rtl/>
          <w:lang w:val="fr-CH"/>
        </w:rPr>
        <w:tab/>
      </w:r>
      <w:r w:rsidRPr="00A444EC">
        <w:rPr>
          <w:rFonts w:hint="cs"/>
          <w:rtl/>
          <w:lang w:val="fr-CH"/>
        </w:rPr>
        <w:t>25 آب/أغسطس 2010 (تاريخ الرسالة الأولى)</w:t>
      </w:r>
    </w:p>
    <w:p w:rsidR="005E110C" w:rsidRPr="00A444EC" w:rsidRDefault="005E110C" w:rsidP="005E110C">
      <w:pPr>
        <w:pStyle w:val="SingleTxtGA"/>
        <w:rPr>
          <w:rFonts w:hint="cs"/>
          <w:rtl/>
          <w:lang w:val="fr-CH"/>
        </w:rPr>
      </w:pPr>
      <w:r w:rsidRPr="00A444EC">
        <w:rPr>
          <w:rFonts w:hint="cs"/>
          <w:rtl/>
          <w:lang w:val="fr-CH"/>
        </w:rPr>
        <w:tab/>
      </w:r>
      <w:r w:rsidRPr="00A444EC">
        <w:rPr>
          <w:rFonts w:hint="cs"/>
          <w:i/>
          <w:iCs/>
          <w:rtl/>
          <w:lang w:val="fr-CH"/>
        </w:rPr>
        <w:t>إن لجنة مناهضة التعذيب</w:t>
      </w:r>
      <w:r w:rsidRPr="00A444EC">
        <w:rPr>
          <w:rFonts w:hint="cs"/>
          <w:rtl/>
          <w:lang w:val="fr-CH"/>
        </w:rPr>
        <w:t>، المنشأة بموجب المادة 17 من اتفاقية مناهضة التعذيب وغيره من ضروب المعاملة أو العقوبة القاسية أو اللاإنسانية أو المهينة،</w:t>
      </w:r>
    </w:p>
    <w:p w:rsidR="005E110C" w:rsidRPr="00A444EC" w:rsidRDefault="005E110C" w:rsidP="005E110C">
      <w:pPr>
        <w:pStyle w:val="SingleTxtGA"/>
        <w:rPr>
          <w:rFonts w:hint="cs"/>
          <w:rtl/>
          <w:lang w:val="fr-CH"/>
        </w:rPr>
      </w:pPr>
      <w:r w:rsidRPr="00A444EC">
        <w:rPr>
          <w:rFonts w:hint="cs"/>
          <w:rtl/>
          <w:lang w:val="fr-CH"/>
        </w:rPr>
        <w:tab/>
      </w:r>
      <w:r w:rsidRPr="00A444EC">
        <w:rPr>
          <w:rFonts w:hint="cs"/>
          <w:i/>
          <w:iCs/>
          <w:rtl/>
          <w:lang w:val="fr-CH"/>
        </w:rPr>
        <w:t>وقد اجتمعت</w:t>
      </w:r>
      <w:r w:rsidRPr="00A444EC">
        <w:rPr>
          <w:rFonts w:hint="cs"/>
          <w:rtl/>
          <w:lang w:val="fr-CH"/>
        </w:rPr>
        <w:t xml:space="preserve"> في 21 أيار/مايو 2013،</w:t>
      </w:r>
    </w:p>
    <w:p w:rsidR="005E110C" w:rsidRPr="00A444EC" w:rsidRDefault="005E110C" w:rsidP="005E110C">
      <w:pPr>
        <w:pStyle w:val="SingleTxtGA"/>
        <w:rPr>
          <w:rFonts w:hint="cs"/>
          <w:rtl/>
          <w:lang w:val="fr-CH"/>
        </w:rPr>
      </w:pPr>
      <w:r w:rsidRPr="00A444EC">
        <w:rPr>
          <w:rFonts w:hint="cs"/>
          <w:rtl/>
          <w:lang w:val="fr-CH"/>
        </w:rPr>
        <w:tab/>
      </w:r>
      <w:r w:rsidRPr="00A444EC">
        <w:rPr>
          <w:rFonts w:hint="cs"/>
          <w:i/>
          <w:iCs/>
          <w:rtl/>
          <w:lang w:val="fr-CH"/>
        </w:rPr>
        <w:t>وقد فرغت</w:t>
      </w:r>
      <w:r w:rsidRPr="00A444EC">
        <w:rPr>
          <w:rFonts w:hint="cs"/>
          <w:rtl/>
          <w:lang w:val="fr-CH"/>
        </w:rPr>
        <w:t xml:space="preserve"> من النظر في الشكوى رقم 430/2010، المقدَّمة باسم إيناس عبيشو بموجب المادة 22 من اتفاقية مناهضة التعذيب وغيره من ضروب المعاملة أو العقوبة القاسية أو</w:t>
      </w:r>
      <w:r w:rsidRPr="00A444EC">
        <w:rPr>
          <w:rtl/>
          <w:lang w:val="fr-CH"/>
        </w:rPr>
        <w:t> </w:t>
      </w:r>
      <w:r w:rsidRPr="00A444EC">
        <w:rPr>
          <w:rFonts w:hint="cs"/>
          <w:rtl/>
          <w:lang w:val="fr-CH"/>
        </w:rPr>
        <w:t>اللاإنسانية أو المهينة،</w:t>
      </w:r>
    </w:p>
    <w:p w:rsidR="005E110C" w:rsidRPr="00A444EC" w:rsidRDefault="005E110C" w:rsidP="005E110C">
      <w:pPr>
        <w:pStyle w:val="SingleTxtGA"/>
        <w:rPr>
          <w:rFonts w:hint="cs"/>
          <w:rtl/>
          <w:lang w:val="fr-CH"/>
        </w:rPr>
      </w:pPr>
      <w:r w:rsidRPr="00A444EC">
        <w:rPr>
          <w:rFonts w:hint="cs"/>
          <w:rtl/>
          <w:lang w:val="fr-CH"/>
        </w:rPr>
        <w:tab/>
      </w:r>
      <w:r w:rsidRPr="00A444EC">
        <w:rPr>
          <w:rFonts w:hint="cs"/>
          <w:i/>
          <w:iCs/>
          <w:rtl/>
          <w:lang w:val="fr-CH"/>
        </w:rPr>
        <w:t>وقد وضعت</w:t>
      </w:r>
      <w:r w:rsidRPr="00A444EC">
        <w:rPr>
          <w:rFonts w:hint="cs"/>
          <w:rtl/>
          <w:lang w:val="fr-CH"/>
        </w:rPr>
        <w:t xml:space="preserve"> في اعتبارها جميع المعلومات التي أتاحتها لها صاحبة الشكوى، ومحاميها والدولة الطرف،</w:t>
      </w:r>
    </w:p>
    <w:p w:rsidR="005E110C" w:rsidRPr="00A444EC" w:rsidRDefault="005E110C" w:rsidP="005E110C">
      <w:pPr>
        <w:pStyle w:val="SingleTxtGA"/>
        <w:spacing w:line="370" w:lineRule="exact"/>
        <w:rPr>
          <w:rFonts w:hint="cs"/>
          <w:rtl/>
          <w:lang w:val="fr-CH"/>
        </w:rPr>
      </w:pPr>
      <w:r w:rsidRPr="00A444EC">
        <w:rPr>
          <w:rFonts w:hint="cs"/>
          <w:i/>
          <w:iCs/>
          <w:rtl/>
          <w:lang w:val="fr-CH"/>
        </w:rPr>
        <w:tab/>
        <w:t xml:space="preserve">تعتمد </w:t>
      </w:r>
      <w:r w:rsidRPr="00A444EC">
        <w:rPr>
          <w:rFonts w:hint="cs"/>
          <w:rtl/>
          <w:lang w:val="fr-CH"/>
        </w:rPr>
        <w:t>ما يلي:</w:t>
      </w:r>
    </w:p>
    <w:p w:rsidR="005E110C" w:rsidRPr="00A444EC" w:rsidRDefault="005E110C" w:rsidP="00CE5BE5">
      <w:pPr>
        <w:pStyle w:val="H1GA"/>
        <w:rPr>
          <w:rFonts w:hint="cs"/>
          <w:rtl/>
          <w:lang w:val="fr-CH"/>
        </w:rPr>
      </w:pPr>
      <w:r w:rsidRPr="00A444EC">
        <w:rPr>
          <w:rFonts w:hint="cs"/>
          <w:rtl/>
          <w:lang w:val="fr-CH"/>
        </w:rPr>
        <w:tab/>
      </w:r>
      <w:r w:rsidRPr="00A444EC">
        <w:rPr>
          <w:rFonts w:hint="cs"/>
          <w:rtl/>
          <w:lang w:val="fr-CH"/>
        </w:rPr>
        <w:tab/>
        <w:t>قرار بموجب الفقرة 7 من المادة 22 من اتفاقية مناهضة التعذيب</w:t>
      </w:r>
    </w:p>
    <w:p w:rsidR="005E110C" w:rsidRPr="00A444EC" w:rsidRDefault="005E110C" w:rsidP="00CE5BE5">
      <w:pPr>
        <w:pStyle w:val="SingleTxtGA"/>
        <w:rPr>
          <w:rtl/>
          <w:lang w:val="fr-CH"/>
        </w:rPr>
      </w:pPr>
      <w:r w:rsidRPr="00A444EC">
        <w:rPr>
          <w:rtl/>
          <w:lang w:val="fr-CH"/>
        </w:rPr>
        <w:t>1-1</w:t>
      </w:r>
      <w:r w:rsidRPr="00A444EC">
        <w:rPr>
          <w:rtl/>
          <w:lang w:val="fr-CH"/>
        </w:rPr>
        <w:tab/>
        <w:t>صاحبة الشكوى هي إيناس عبيشو</w:t>
      </w:r>
      <w:r w:rsidRPr="00A444EC">
        <w:rPr>
          <w:rFonts w:hint="cs"/>
          <w:rtl/>
          <w:lang w:val="fr-CH"/>
        </w:rPr>
        <w:t xml:space="preserve"> (سيف الدين قبل الزواج)</w:t>
      </w:r>
      <w:r w:rsidRPr="00A444EC">
        <w:rPr>
          <w:rtl/>
          <w:lang w:val="fr-CH"/>
        </w:rPr>
        <w:t>، وُلِدت في 22 آب/أغسطس</w:t>
      </w:r>
      <w:r w:rsidRPr="00A444EC">
        <w:rPr>
          <w:rFonts w:hint="cs"/>
          <w:rtl/>
          <w:lang w:val="fr-CH"/>
        </w:rPr>
        <w:t xml:space="preserve"> 1983 </w:t>
      </w:r>
      <w:r w:rsidRPr="00A444EC">
        <w:rPr>
          <w:rtl/>
          <w:lang w:val="fr-CH"/>
        </w:rPr>
        <w:t>في بيروت</w:t>
      </w:r>
      <w:r w:rsidRPr="00A444EC">
        <w:rPr>
          <w:rFonts w:hint="cs"/>
          <w:rtl/>
          <w:lang w:val="fr-CH"/>
        </w:rPr>
        <w:t>، لبنان</w:t>
      </w:r>
      <w:r w:rsidRPr="00A444EC">
        <w:rPr>
          <w:rtl/>
          <w:lang w:val="fr-CH"/>
        </w:rPr>
        <w:t xml:space="preserve"> </w:t>
      </w:r>
      <w:r w:rsidRPr="00A444EC">
        <w:rPr>
          <w:rStyle w:val="hps"/>
          <w:rtl/>
          <w:lang/>
        </w:rPr>
        <w:t>و</w:t>
      </w:r>
      <w:r w:rsidRPr="00A444EC">
        <w:rPr>
          <w:rFonts w:hint="cs"/>
          <w:rtl/>
          <w:lang/>
        </w:rPr>
        <w:t>مقيمة</w:t>
      </w:r>
      <w:r w:rsidRPr="00A444EC">
        <w:rPr>
          <w:rtl/>
          <w:lang/>
        </w:rPr>
        <w:t xml:space="preserve"> في </w:t>
      </w:r>
      <w:r w:rsidRPr="00A444EC">
        <w:rPr>
          <w:rStyle w:val="hps"/>
          <w:rtl/>
          <w:lang/>
        </w:rPr>
        <w:t>فرنسا</w:t>
      </w:r>
      <w:r w:rsidRPr="00A444EC">
        <w:rPr>
          <w:rtl/>
          <w:lang/>
        </w:rPr>
        <w:t xml:space="preserve">، </w:t>
      </w:r>
      <w:r w:rsidRPr="00A444EC">
        <w:rPr>
          <w:rFonts w:hint="cs"/>
          <w:rtl/>
          <w:lang/>
        </w:rPr>
        <w:t>وقد قدمت البلاغ</w:t>
      </w:r>
      <w:r w:rsidRPr="00A444EC">
        <w:rPr>
          <w:rStyle w:val="hps"/>
          <w:rtl/>
          <w:lang/>
        </w:rPr>
        <w:t xml:space="preserve"> نيابة عن</w:t>
      </w:r>
      <w:r w:rsidRPr="00A444EC">
        <w:rPr>
          <w:rtl/>
          <w:lang/>
        </w:rPr>
        <w:t xml:space="preserve"> </w:t>
      </w:r>
      <w:r w:rsidRPr="00A444EC">
        <w:rPr>
          <w:rStyle w:val="hps"/>
          <w:rtl/>
          <w:lang/>
        </w:rPr>
        <w:t>زوجها</w:t>
      </w:r>
      <w:r w:rsidRPr="00A444EC">
        <w:rPr>
          <w:rtl/>
          <w:lang/>
        </w:rPr>
        <w:t xml:space="preserve">، </w:t>
      </w:r>
      <w:r w:rsidRPr="00A444EC">
        <w:rPr>
          <w:rFonts w:hint="cs"/>
          <w:rtl/>
          <w:lang/>
        </w:rPr>
        <w:t>السيد</w:t>
      </w:r>
      <w:r w:rsidRPr="00A444EC">
        <w:rPr>
          <w:rFonts w:hint="eastAsia"/>
          <w:rtl/>
          <w:lang/>
        </w:rPr>
        <w:t> </w:t>
      </w:r>
      <w:r w:rsidRPr="00A444EC">
        <w:rPr>
          <w:rStyle w:val="hps"/>
          <w:rtl/>
          <w:lang/>
        </w:rPr>
        <w:t>أنسي</w:t>
      </w:r>
      <w:r w:rsidRPr="00A444EC">
        <w:rPr>
          <w:rtl/>
          <w:lang/>
        </w:rPr>
        <w:t xml:space="preserve"> </w:t>
      </w:r>
      <w:r w:rsidRPr="00A444EC">
        <w:rPr>
          <w:rStyle w:val="hps"/>
          <w:rFonts w:hint="cs"/>
          <w:rtl/>
          <w:lang/>
        </w:rPr>
        <w:t>عبيشو</w:t>
      </w:r>
      <w:r w:rsidRPr="00A444EC">
        <w:rPr>
          <w:rFonts w:hint="cs"/>
          <w:rtl/>
          <w:lang/>
        </w:rPr>
        <w:t>، الذي</w:t>
      </w:r>
      <w:r w:rsidRPr="00A444EC">
        <w:rPr>
          <w:rtl/>
          <w:lang/>
        </w:rPr>
        <w:t xml:space="preserve"> ولد في </w:t>
      </w:r>
      <w:r w:rsidRPr="00A444EC">
        <w:rPr>
          <w:rStyle w:val="hps"/>
          <w:rtl/>
          <w:lang/>
        </w:rPr>
        <w:t xml:space="preserve">21 </w:t>
      </w:r>
      <w:r w:rsidRPr="00A444EC">
        <w:rPr>
          <w:rStyle w:val="hps"/>
          <w:rFonts w:hint="cs"/>
          <w:rtl/>
          <w:lang/>
        </w:rPr>
        <w:t>آب/</w:t>
      </w:r>
      <w:r w:rsidRPr="00A444EC">
        <w:rPr>
          <w:rStyle w:val="hps"/>
          <w:rtl/>
          <w:lang/>
        </w:rPr>
        <w:t>أغسطس 1982</w:t>
      </w:r>
      <w:r w:rsidRPr="00A444EC">
        <w:rPr>
          <w:rtl/>
          <w:lang/>
        </w:rPr>
        <w:t xml:space="preserve"> </w:t>
      </w:r>
      <w:r w:rsidRPr="00A444EC">
        <w:rPr>
          <w:rStyle w:val="hps"/>
          <w:rtl/>
          <w:lang/>
        </w:rPr>
        <w:t>في</w:t>
      </w:r>
      <w:r w:rsidRPr="00A444EC">
        <w:rPr>
          <w:rtl/>
          <w:lang/>
        </w:rPr>
        <w:t xml:space="preserve"> </w:t>
      </w:r>
      <w:r w:rsidRPr="00A444EC">
        <w:rPr>
          <w:rStyle w:val="hps"/>
          <w:rtl/>
          <w:lang/>
        </w:rPr>
        <w:t>جرجيس</w:t>
      </w:r>
      <w:r w:rsidRPr="00A444EC">
        <w:rPr>
          <w:rFonts w:hint="cs"/>
          <w:rtl/>
          <w:lang/>
        </w:rPr>
        <w:t xml:space="preserve"> (تونس)</w:t>
      </w:r>
      <w:r w:rsidRPr="00A444EC">
        <w:rPr>
          <w:rtl/>
          <w:lang/>
        </w:rPr>
        <w:t xml:space="preserve">، </w:t>
      </w:r>
      <w:r w:rsidRPr="00A444EC">
        <w:rPr>
          <w:rStyle w:val="hps"/>
          <w:rFonts w:hint="cs"/>
          <w:rtl/>
          <w:lang/>
        </w:rPr>
        <w:t>ويحمل</w:t>
      </w:r>
      <w:r w:rsidRPr="00A444EC">
        <w:rPr>
          <w:rtl/>
          <w:lang/>
        </w:rPr>
        <w:t xml:space="preserve"> </w:t>
      </w:r>
      <w:r w:rsidRPr="00A444EC">
        <w:rPr>
          <w:rStyle w:val="hps"/>
          <w:rtl/>
          <w:lang/>
        </w:rPr>
        <w:t>الجنسية</w:t>
      </w:r>
      <w:r w:rsidRPr="00A444EC">
        <w:rPr>
          <w:rtl/>
          <w:lang/>
        </w:rPr>
        <w:t xml:space="preserve"> </w:t>
      </w:r>
      <w:r w:rsidRPr="00A444EC">
        <w:rPr>
          <w:rStyle w:val="hps"/>
          <w:rtl/>
          <w:lang/>
        </w:rPr>
        <w:t>الفرنسية</w:t>
      </w:r>
      <w:r w:rsidRPr="00A444EC">
        <w:rPr>
          <w:rStyle w:val="hps"/>
          <w:rFonts w:hint="cs"/>
          <w:rtl/>
          <w:lang/>
        </w:rPr>
        <w:t>، و</w:t>
      </w:r>
      <w:r w:rsidRPr="00A444EC">
        <w:rPr>
          <w:rFonts w:hint="cs"/>
          <w:rtl/>
          <w:lang/>
        </w:rPr>
        <w:t>كان محتجزاً</w:t>
      </w:r>
      <w:r w:rsidRPr="00A444EC">
        <w:rPr>
          <w:rtl/>
          <w:lang/>
        </w:rPr>
        <w:t xml:space="preserve"> </w:t>
      </w:r>
      <w:r w:rsidRPr="00A444EC">
        <w:rPr>
          <w:rStyle w:val="hps"/>
          <w:rtl/>
          <w:lang/>
        </w:rPr>
        <w:t>في</w:t>
      </w:r>
      <w:r w:rsidRPr="00A444EC">
        <w:rPr>
          <w:rtl/>
          <w:lang/>
        </w:rPr>
        <w:t xml:space="preserve"> </w:t>
      </w:r>
      <w:r w:rsidRPr="00A444EC">
        <w:rPr>
          <w:rStyle w:val="hps"/>
          <w:rtl/>
          <w:lang/>
        </w:rPr>
        <w:t>سجن</w:t>
      </w:r>
      <w:r w:rsidRPr="00A444EC">
        <w:rPr>
          <w:rtl/>
          <w:lang/>
        </w:rPr>
        <w:t xml:space="preserve"> </w:t>
      </w:r>
      <w:r w:rsidRPr="00A444EC">
        <w:rPr>
          <w:rStyle w:val="hps"/>
          <w:rtl/>
          <w:lang/>
        </w:rPr>
        <w:t>ساربروكن</w:t>
      </w:r>
      <w:r w:rsidRPr="00A444EC">
        <w:rPr>
          <w:rtl/>
          <w:lang/>
        </w:rPr>
        <w:t xml:space="preserve"> </w:t>
      </w:r>
      <w:r w:rsidRPr="00A444EC">
        <w:rPr>
          <w:rStyle w:val="hps"/>
          <w:rtl/>
          <w:lang/>
        </w:rPr>
        <w:t>في</w:t>
      </w:r>
      <w:r w:rsidRPr="00A444EC">
        <w:rPr>
          <w:rtl/>
          <w:lang/>
        </w:rPr>
        <w:t xml:space="preserve"> </w:t>
      </w:r>
      <w:r w:rsidRPr="00A444EC">
        <w:rPr>
          <w:rStyle w:val="hps"/>
          <w:rtl/>
          <w:lang/>
        </w:rPr>
        <w:t>ألمانيا</w:t>
      </w:r>
      <w:r w:rsidRPr="00A444EC">
        <w:rPr>
          <w:rtl/>
          <w:lang/>
        </w:rPr>
        <w:t xml:space="preserve"> </w:t>
      </w:r>
      <w:r w:rsidRPr="00A444EC">
        <w:rPr>
          <w:rStyle w:val="hps"/>
          <w:rFonts w:hint="cs"/>
          <w:rtl/>
          <w:lang/>
        </w:rPr>
        <w:t>في تاريخ</w:t>
      </w:r>
      <w:r w:rsidRPr="00A444EC">
        <w:rPr>
          <w:rtl/>
          <w:lang/>
        </w:rPr>
        <w:t xml:space="preserve"> </w:t>
      </w:r>
      <w:r w:rsidRPr="00A444EC">
        <w:rPr>
          <w:rStyle w:val="hps"/>
          <w:rtl/>
          <w:lang/>
        </w:rPr>
        <w:t>تقديم</w:t>
      </w:r>
      <w:r w:rsidRPr="00A444EC">
        <w:rPr>
          <w:rtl/>
          <w:lang/>
        </w:rPr>
        <w:t xml:space="preserve"> </w:t>
      </w:r>
      <w:r w:rsidRPr="00A444EC">
        <w:rPr>
          <w:rStyle w:val="hps"/>
          <w:rtl/>
          <w:lang/>
        </w:rPr>
        <w:t>ال</w:t>
      </w:r>
      <w:r w:rsidRPr="00A444EC">
        <w:rPr>
          <w:rStyle w:val="hps"/>
          <w:rFonts w:hint="cs"/>
          <w:rtl/>
          <w:lang/>
        </w:rPr>
        <w:t>بلاغ</w:t>
      </w:r>
      <w:r w:rsidRPr="00A444EC">
        <w:rPr>
          <w:rStyle w:val="hps"/>
          <w:rtl/>
          <w:lang/>
        </w:rPr>
        <w:t xml:space="preserve"> إلى اللجنة.</w:t>
      </w:r>
      <w:r w:rsidRPr="00A444EC">
        <w:rPr>
          <w:rtl/>
          <w:lang/>
        </w:rPr>
        <w:t xml:space="preserve"> </w:t>
      </w:r>
      <w:r w:rsidRPr="00A444EC">
        <w:rPr>
          <w:rStyle w:val="hps"/>
          <w:rFonts w:hint="cs"/>
          <w:rtl/>
          <w:lang/>
        </w:rPr>
        <w:t xml:space="preserve">وتؤكد صاحبة الشكوى </w:t>
      </w:r>
      <w:r w:rsidRPr="00A444EC">
        <w:rPr>
          <w:rStyle w:val="hps"/>
          <w:rtl/>
          <w:lang/>
        </w:rPr>
        <w:t>أن</w:t>
      </w:r>
      <w:r w:rsidRPr="00A444EC">
        <w:rPr>
          <w:rtl/>
          <w:lang/>
        </w:rPr>
        <w:t xml:space="preserve"> </w:t>
      </w:r>
      <w:r w:rsidRPr="00A444EC">
        <w:rPr>
          <w:rStyle w:val="hps"/>
          <w:rtl/>
          <w:lang/>
        </w:rPr>
        <w:t>تسليم السيد</w:t>
      </w:r>
      <w:r w:rsidRPr="00A444EC">
        <w:rPr>
          <w:rtl/>
          <w:lang/>
        </w:rPr>
        <w:t xml:space="preserve"> </w:t>
      </w:r>
      <w:r w:rsidRPr="00A444EC">
        <w:rPr>
          <w:rStyle w:val="hps"/>
          <w:rFonts w:hint="cs"/>
          <w:rtl/>
          <w:lang/>
        </w:rPr>
        <w:t>عبيشو</w:t>
      </w:r>
      <w:r w:rsidRPr="00A444EC">
        <w:rPr>
          <w:rtl/>
          <w:lang/>
        </w:rPr>
        <w:t xml:space="preserve"> إلى </w:t>
      </w:r>
      <w:r w:rsidRPr="00A444EC">
        <w:rPr>
          <w:rStyle w:val="hps"/>
          <w:rtl/>
          <w:lang/>
        </w:rPr>
        <w:t>تونس</w:t>
      </w:r>
      <w:r w:rsidRPr="00A444EC">
        <w:rPr>
          <w:rtl/>
          <w:lang/>
        </w:rPr>
        <w:t xml:space="preserve"> </w:t>
      </w:r>
      <w:r w:rsidRPr="00A444EC">
        <w:rPr>
          <w:rFonts w:hint="cs"/>
          <w:rtl/>
          <w:lang w:val="fr-CH"/>
        </w:rPr>
        <w:t>سيشكِّل انتهاكاً للمادة 3 من اتفاقية مناهضة التعذيب</w:t>
      </w:r>
      <w:r w:rsidRPr="00A444EC">
        <w:rPr>
          <w:rtl/>
          <w:lang/>
        </w:rPr>
        <w:t xml:space="preserve">. </w:t>
      </w:r>
      <w:r w:rsidRPr="00A444EC">
        <w:rPr>
          <w:rStyle w:val="hps"/>
          <w:rtl/>
          <w:lang/>
        </w:rPr>
        <w:t>و</w:t>
      </w:r>
      <w:r w:rsidRPr="00A444EC">
        <w:rPr>
          <w:rStyle w:val="hps"/>
          <w:rFonts w:hint="cs"/>
          <w:rtl/>
          <w:lang/>
        </w:rPr>
        <w:t>تم</w:t>
      </w:r>
      <w:r w:rsidRPr="00A444EC">
        <w:rPr>
          <w:rStyle w:val="hps"/>
          <w:rtl/>
          <w:lang/>
        </w:rPr>
        <w:t>ثل</w:t>
      </w:r>
      <w:r w:rsidRPr="00A444EC">
        <w:rPr>
          <w:rtl/>
          <w:lang/>
        </w:rPr>
        <w:t xml:space="preserve"> </w:t>
      </w:r>
      <w:r w:rsidRPr="00A444EC">
        <w:rPr>
          <w:rStyle w:val="hps"/>
          <w:rFonts w:hint="cs"/>
          <w:rtl/>
          <w:lang/>
        </w:rPr>
        <w:t>صاحبة</w:t>
      </w:r>
      <w:r w:rsidRPr="00A444EC">
        <w:rPr>
          <w:rStyle w:val="hps"/>
          <w:rtl/>
          <w:lang/>
        </w:rPr>
        <w:t xml:space="preserve"> الشكوى</w:t>
      </w:r>
      <w:r w:rsidRPr="00A444EC">
        <w:rPr>
          <w:rStyle w:val="hps"/>
          <w:rFonts w:hint="cs"/>
          <w:rtl/>
          <w:lang/>
        </w:rPr>
        <w:t xml:space="preserve"> منظمة العمل المسيحي من أجل إلغاء التعذيب</w:t>
      </w:r>
      <w:r w:rsidRPr="00A444EC">
        <w:rPr>
          <w:vertAlign w:val="superscript"/>
          <w:rtl/>
          <w:lang w:val="fr-CH"/>
        </w:rPr>
        <w:t>(</w:t>
      </w:r>
      <w:r w:rsidRPr="00A444EC">
        <w:rPr>
          <w:rStyle w:val="FootnoteReference"/>
          <w:rtl/>
          <w:lang w:val="fr-CH"/>
        </w:rPr>
        <w:footnoteReference w:id="124"/>
      </w:r>
      <w:r w:rsidRPr="00A444EC">
        <w:rPr>
          <w:vertAlign w:val="superscript"/>
          <w:rtl/>
          <w:lang w:val="fr-CH"/>
        </w:rPr>
        <w:t>)</w:t>
      </w:r>
      <w:r w:rsidRPr="00A444EC">
        <w:rPr>
          <w:rtl/>
          <w:lang w:val="fr-CH"/>
        </w:rPr>
        <w:t>.</w:t>
      </w:r>
    </w:p>
    <w:p w:rsidR="005E110C" w:rsidRPr="00A444EC" w:rsidRDefault="005E110C" w:rsidP="00CE5BE5">
      <w:pPr>
        <w:pStyle w:val="SingleTxtGA"/>
        <w:rPr>
          <w:rStyle w:val="hps"/>
          <w:b/>
          <w:bCs/>
          <w:rtl/>
          <w:lang/>
        </w:rPr>
      </w:pPr>
      <w:r w:rsidRPr="00A444EC">
        <w:rPr>
          <w:rtl/>
          <w:lang w:val="fr-CH"/>
        </w:rPr>
        <w:t>1-2</w:t>
      </w:r>
      <w:r w:rsidRPr="00A444EC">
        <w:rPr>
          <w:rtl/>
          <w:lang w:val="fr-CH"/>
        </w:rPr>
        <w:tab/>
      </w:r>
      <w:r w:rsidRPr="00A444EC">
        <w:rPr>
          <w:rtl/>
        </w:rPr>
        <w:t xml:space="preserve">وفي </w:t>
      </w:r>
      <w:r w:rsidRPr="00A444EC">
        <w:rPr>
          <w:rFonts w:hint="cs"/>
          <w:rtl/>
        </w:rPr>
        <w:t>25</w:t>
      </w:r>
      <w:r w:rsidRPr="00A444EC">
        <w:rPr>
          <w:rtl/>
        </w:rPr>
        <w:t xml:space="preserve"> آب/أغسطس 2010، طلبت اللجنة إلى الدولة الطرف بموجب المادة</w:t>
      </w:r>
      <w:r w:rsidRPr="00A444EC">
        <w:rPr>
          <w:rFonts w:hint="cs"/>
          <w:rtl/>
        </w:rPr>
        <w:t> </w:t>
      </w:r>
      <w:r w:rsidRPr="00A444EC">
        <w:rPr>
          <w:rtl/>
        </w:rPr>
        <w:t>114 (المادة 108 سابقاً) من نظامها الداخلي (</w:t>
      </w:r>
      <w:r w:rsidRPr="00A444EC">
        <w:t>CAT/C/3/Rev.5</w:t>
      </w:r>
      <w:r w:rsidRPr="00A444EC">
        <w:rPr>
          <w:rtl/>
        </w:rPr>
        <w:t xml:space="preserve">)، عدم تسليم </w:t>
      </w:r>
      <w:r w:rsidRPr="00A444EC">
        <w:rPr>
          <w:rFonts w:hint="cs"/>
          <w:rtl/>
        </w:rPr>
        <w:t>السيد أنسي عبيشو</w:t>
      </w:r>
      <w:r w:rsidRPr="00A444EC">
        <w:rPr>
          <w:rtl/>
        </w:rPr>
        <w:t xml:space="preserve"> إلى </w:t>
      </w:r>
      <w:r w:rsidRPr="00A444EC">
        <w:rPr>
          <w:rFonts w:hint="cs"/>
          <w:rtl/>
        </w:rPr>
        <w:t>تونس</w:t>
      </w:r>
      <w:r w:rsidRPr="00A444EC">
        <w:rPr>
          <w:rtl/>
        </w:rPr>
        <w:t xml:space="preserve"> أثناء </w:t>
      </w:r>
      <w:r w:rsidRPr="00A444EC">
        <w:rPr>
          <w:rFonts w:hint="cs"/>
          <w:rtl/>
        </w:rPr>
        <w:t>النظر</w:t>
      </w:r>
      <w:r w:rsidRPr="00A444EC">
        <w:rPr>
          <w:rtl/>
        </w:rPr>
        <w:t xml:space="preserve"> في شكواه. </w:t>
      </w:r>
    </w:p>
    <w:p w:rsidR="005E110C" w:rsidRPr="00A444EC" w:rsidRDefault="005E110C" w:rsidP="00CE5BE5">
      <w:pPr>
        <w:pStyle w:val="SingleTxtGA"/>
        <w:rPr>
          <w:rStyle w:val="hps"/>
          <w:rtl/>
          <w:lang/>
        </w:rPr>
      </w:pPr>
      <w:r w:rsidRPr="00A444EC">
        <w:rPr>
          <w:rtl/>
          <w:lang w:val="fr-CH"/>
        </w:rPr>
        <w:t>1-3</w:t>
      </w:r>
      <w:r w:rsidRPr="00A444EC">
        <w:rPr>
          <w:rtl/>
          <w:lang w:val="fr-CH"/>
        </w:rPr>
        <w:tab/>
      </w:r>
      <w:r w:rsidRPr="00A444EC">
        <w:rPr>
          <w:rFonts w:hint="cs"/>
          <w:rtl/>
          <w:lang w:val="fr-CH"/>
        </w:rPr>
        <w:t>و</w:t>
      </w:r>
      <w:r w:rsidRPr="00A444EC">
        <w:rPr>
          <w:rStyle w:val="hps"/>
          <w:rtl/>
          <w:lang/>
        </w:rPr>
        <w:t>في 26 آب</w:t>
      </w:r>
      <w:r w:rsidRPr="00A444EC">
        <w:rPr>
          <w:rStyle w:val="hps"/>
          <w:rFonts w:hint="cs"/>
          <w:rtl/>
          <w:lang/>
        </w:rPr>
        <w:t>/أغسطس</w:t>
      </w:r>
      <w:r w:rsidRPr="00A444EC">
        <w:rPr>
          <w:rtl/>
          <w:lang/>
        </w:rPr>
        <w:t xml:space="preserve"> </w:t>
      </w:r>
      <w:r w:rsidRPr="00A444EC">
        <w:rPr>
          <w:rStyle w:val="hps"/>
          <w:rtl/>
          <w:lang/>
        </w:rPr>
        <w:t>2010،</w:t>
      </w:r>
      <w:r w:rsidRPr="00A444EC">
        <w:rPr>
          <w:rtl/>
          <w:lang/>
        </w:rPr>
        <w:t xml:space="preserve"> </w:t>
      </w:r>
      <w:r w:rsidRPr="00A444EC">
        <w:rPr>
          <w:rtl/>
        </w:rPr>
        <w:t>أ</w:t>
      </w:r>
      <w:r w:rsidRPr="00A444EC">
        <w:rPr>
          <w:rFonts w:hint="cs"/>
          <w:rtl/>
        </w:rPr>
        <w:t xml:space="preserve">بلغ محامي صاحبة الشكوى </w:t>
      </w:r>
      <w:r w:rsidRPr="00A444EC">
        <w:rPr>
          <w:rtl/>
        </w:rPr>
        <w:t xml:space="preserve">اللجنة أن </w:t>
      </w:r>
      <w:r w:rsidRPr="00A444EC">
        <w:rPr>
          <w:rStyle w:val="hps"/>
          <w:rtl/>
          <w:lang/>
        </w:rPr>
        <w:t>الدولة الطرف قد</w:t>
      </w:r>
      <w:r w:rsidRPr="00A444EC">
        <w:rPr>
          <w:rtl/>
          <w:lang/>
        </w:rPr>
        <w:t xml:space="preserve"> </w:t>
      </w:r>
      <w:r w:rsidRPr="00A444EC">
        <w:rPr>
          <w:rStyle w:val="hps"/>
          <w:rtl/>
          <w:lang/>
        </w:rPr>
        <w:t>سلمت</w:t>
      </w:r>
      <w:r w:rsidRPr="00A444EC">
        <w:rPr>
          <w:rtl/>
          <w:lang/>
        </w:rPr>
        <w:t xml:space="preserve"> </w:t>
      </w:r>
      <w:r w:rsidRPr="00A444EC">
        <w:rPr>
          <w:rStyle w:val="hps"/>
          <w:rtl/>
          <w:lang/>
        </w:rPr>
        <w:t>السيد</w:t>
      </w:r>
      <w:r w:rsidRPr="00A444EC">
        <w:rPr>
          <w:rtl/>
          <w:lang/>
        </w:rPr>
        <w:t xml:space="preserve"> </w:t>
      </w:r>
      <w:r w:rsidRPr="00A444EC">
        <w:rPr>
          <w:rStyle w:val="hps"/>
          <w:rFonts w:hint="cs"/>
          <w:rtl/>
          <w:lang/>
        </w:rPr>
        <w:t>أنسي عبيشو ل</w:t>
      </w:r>
      <w:r w:rsidRPr="00A444EC">
        <w:rPr>
          <w:rStyle w:val="hps"/>
          <w:rtl/>
          <w:lang/>
        </w:rPr>
        <w:t>تونس</w:t>
      </w:r>
      <w:r w:rsidRPr="00A444EC">
        <w:rPr>
          <w:rtl/>
          <w:lang/>
        </w:rPr>
        <w:t xml:space="preserve"> </w:t>
      </w:r>
      <w:r w:rsidRPr="00A444EC">
        <w:rPr>
          <w:rStyle w:val="hps"/>
          <w:rtl/>
          <w:lang/>
        </w:rPr>
        <w:t>في 25</w:t>
      </w:r>
      <w:r w:rsidRPr="00A444EC">
        <w:rPr>
          <w:rtl/>
          <w:lang/>
        </w:rPr>
        <w:t xml:space="preserve"> </w:t>
      </w:r>
      <w:r w:rsidRPr="00A444EC">
        <w:rPr>
          <w:rStyle w:val="hps"/>
          <w:rtl/>
          <w:lang/>
        </w:rPr>
        <w:t>آب</w:t>
      </w:r>
      <w:r w:rsidRPr="00A444EC">
        <w:rPr>
          <w:rStyle w:val="hps"/>
          <w:rFonts w:hint="cs"/>
          <w:rtl/>
          <w:lang/>
        </w:rPr>
        <w:t>/أغسطس</w:t>
      </w:r>
      <w:r w:rsidRPr="00A444EC">
        <w:rPr>
          <w:rtl/>
          <w:lang/>
        </w:rPr>
        <w:t xml:space="preserve"> </w:t>
      </w:r>
      <w:r w:rsidRPr="00A444EC">
        <w:rPr>
          <w:rStyle w:val="hps"/>
          <w:rtl/>
          <w:lang/>
        </w:rPr>
        <w:t>2010.</w:t>
      </w:r>
      <w:r w:rsidRPr="00A444EC">
        <w:rPr>
          <w:rtl/>
          <w:lang/>
        </w:rPr>
        <w:t xml:space="preserve"> </w:t>
      </w:r>
      <w:r w:rsidRPr="00A444EC">
        <w:rPr>
          <w:rStyle w:val="hps"/>
          <w:rFonts w:hint="cs"/>
          <w:rtl/>
          <w:lang/>
        </w:rPr>
        <w:t>و</w:t>
      </w:r>
      <w:r w:rsidRPr="00A444EC">
        <w:rPr>
          <w:rStyle w:val="hps"/>
          <w:rtl/>
          <w:lang/>
        </w:rPr>
        <w:t>أكد</w:t>
      </w:r>
      <w:r w:rsidRPr="00A444EC">
        <w:rPr>
          <w:rtl/>
          <w:lang/>
        </w:rPr>
        <w:t xml:space="preserve"> </w:t>
      </w:r>
      <w:r w:rsidRPr="00A444EC">
        <w:rPr>
          <w:rStyle w:val="hps"/>
          <w:rtl/>
          <w:lang/>
        </w:rPr>
        <w:t>المحامي</w:t>
      </w:r>
      <w:r w:rsidRPr="00A444EC">
        <w:rPr>
          <w:rStyle w:val="hps"/>
          <w:rFonts w:hint="cs"/>
          <w:rtl/>
          <w:lang/>
        </w:rPr>
        <w:t xml:space="preserve"> في الرسالة نفسها</w:t>
      </w:r>
      <w:r w:rsidRPr="00A444EC">
        <w:rPr>
          <w:rtl/>
          <w:lang/>
        </w:rPr>
        <w:t xml:space="preserve"> </w:t>
      </w:r>
      <w:r w:rsidRPr="00A444EC">
        <w:rPr>
          <w:rStyle w:val="hps"/>
          <w:rtl/>
          <w:lang/>
        </w:rPr>
        <w:t>رغبة</w:t>
      </w:r>
      <w:r w:rsidRPr="00A444EC">
        <w:rPr>
          <w:rtl/>
          <w:lang/>
        </w:rPr>
        <w:t xml:space="preserve"> </w:t>
      </w:r>
      <w:r w:rsidRPr="00A444EC">
        <w:rPr>
          <w:rStyle w:val="hps"/>
          <w:rtl/>
          <w:lang/>
        </w:rPr>
        <w:t>صاحب</w:t>
      </w:r>
      <w:r w:rsidRPr="00A444EC">
        <w:rPr>
          <w:rStyle w:val="hps"/>
          <w:rFonts w:hint="cs"/>
          <w:rtl/>
          <w:lang/>
        </w:rPr>
        <w:t>ة</w:t>
      </w:r>
      <w:r w:rsidRPr="00A444EC">
        <w:rPr>
          <w:rStyle w:val="hps"/>
          <w:rtl/>
          <w:lang/>
        </w:rPr>
        <w:t xml:space="preserve"> الشكوى</w:t>
      </w:r>
      <w:r w:rsidRPr="00A444EC">
        <w:rPr>
          <w:rtl/>
          <w:lang/>
        </w:rPr>
        <w:t xml:space="preserve"> </w:t>
      </w:r>
      <w:r w:rsidRPr="00A444EC">
        <w:rPr>
          <w:rStyle w:val="hps"/>
          <w:rFonts w:hint="cs"/>
          <w:rtl/>
          <w:lang/>
        </w:rPr>
        <w:t>في أن تواصل</w:t>
      </w:r>
      <w:r w:rsidRPr="00A444EC">
        <w:rPr>
          <w:rtl/>
          <w:lang/>
        </w:rPr>
        <w:t xml:space="preserve"> اللجنة </w:t>
      </w:r>
      <w:r w:rsidRPr="00A444EC">
        <w:rPr>
          <w:rStyle w:val="hps"/>
          <w:rFonts w:hint="cs"/>
          <w:rtl/>
          <w:lang/>
        </w:rPr>
        <w:t>النظر في بلاغها</w:t>
      </w:r>
      <w:r w:rsidRPr="00A444EC">
        <w:rPr>
          <w:rStyle w:val="hps"/>
          <w:rtl/>
          <w:lang/>
        </w:rPr>
        <w:t>.</w:t>
      </w:r>
    </w:p>
    <w:p w:rsidR="005E110C" w:rsidRPr="00A444EC" w:rsidRDefault="005E110C" w:rsidP="00CE5BE5">
      <w:pPr>
        <w:pStyle w:val="SingleTxtGA"/>
        <w:rPr>
          <w:rtl/>
          <w:lang w:val="fr-CH"/>
        </w:rPr>
      </w:pPr>
      <w:r w:rsidRPr="00A444EC">
        <w:rPr>
          <w:rtl/>
          <w:lang w:val="fr-CH"/>
        </w:rPr>
        <w:t>1-4</w:t>
      </w:r>
      <w:r w:rsidRPr="00A444EC">
        <w:rPr>
          <w:rtl/>
          <w:lang w:val="fr-CH"/>
        </w:rPr>
        <w:tab/>
      </w:r>
      <w:r w:rsidRPr="00A444EC">
        <w:rPr>
          <w:rFonts w:hint="cs"/>
          <w:rtl/>
          <w:lang w:val="fr-CH"/>
        </w:rPr>
        <w:t>و</w:t>
      </w:r>
      <w:r w:rsidRPr="00A444EC">
        <w:rPr>
          <w:rStyle w:val="hps"/>
          <w:rtl/>
          <w:lang/>
        </w:rPr>
        <w:t>في 21</w:t>
      </w:r>
      <w:r w:rsidRPr="00A444EC">
        <w:rPr>
          <w:rtl/>
          <w:lang/>
        </w:rPr>
        <w:t xml:space="preserve"> </w:t>
      </w:r>
      <w:r w:rsidRPr="00A444EC">
        <w:rPr>
          <w:rStyle w:val="hps"/>
          <w:rtl/>
          <w:lang/>
        </w:rPr>
        <w:t>كانون الثاني</w:t>
      </w:r>
      <w:r w:rsidRPr="00A444EC">
        <w:rPr>
          <w:rStyle w:val="hps"/>
          <w:rFonts w:hint="cs"/>
          <w:rtl/>
          <w:lang/>
        </w:rPr>
        <w:t>/يناير</w:t>
      </w:r>
      <w:r w:rsidRPr="00A444EC">
        <w:rPr>
          <w:rStyle w:val="hps"/>
          <w:rtl/>
          <w:lang/>
        </w:rPr>
        <w:t xml:space="preserve"> 2011،</w:t>
      </w:r>
      <w:r w:rsidRPr="00A444EC">
        <w:rPr>
          <w:rtl/>
          <w:lang/>
        </w:rPr>
        <w:t xml:space="preserve"> </w:t>
      </w:r>
      <w:r w:rsidRPr="00A444EC">
        <w:rPr>
          <w:rtl/>
        </w:rPr>
        <w:t xml:space="preserve">قرر المقرر المعني </w:t>
      </w:r>
      <w:r w:rsidRPr="00A444EC">
        <w:rPr>
          <w:rFonts w:hint="cs"/>
          <w:rtl/>
        </w:rPr>
        <w:t xml:space="preserve">بالشكاوى </w:t>
      </w:r>
      <w:r w:rsidRPr="00A444EC">
        <w:rPr>
          <w:rtl/>
        </w:rPr>
        <w:t xml:space="preserve">الجديدة والتدابير المؤقتة، باسم اللجنة، </w:t>
      </w:r>
      <w:r w:rsidRPr="00A444EC">
        <w:rPr>
          <w:rFonts w:hint="cs"/>
          <w:rtl/>
        </w:rPr>
        <w:t>و</w:t>
      </w:r>
      <w:r w:rsidRPr="00A444EC">
        <w:rPr>
          <w:rtl/>
        </w:rPr>
        <w:t xml:space="preserve">النظر في مقبولية الشكوى </w:t>
      </w:r>
      <w:r w:rsidRPr="00A444EC">
        <w:rPr>
          <w:rFonts w:hint="cs"/>
          <w:rtl/>
        </w:rPr>
        <w:t>و</w:t>
      </w:r>
      <w:r w:rsidRPr="00A444EC">
        <w:rPr>
          <w:rtl/>
        </w:rPr>
        <w:t>أسسها الموضوعية</w:t>
      </w:r>
      <w:r w:rsidRPr="00A444EC">
        <w:rPr>
          <w:rFonts w:hint="cs"/>
          <w:rtl/>
        </w:rPr>
        <w:t xml:space="preserve"> في آنٍ واحد</w:t>
      </w:r>
      <w:r w:rsidRPr="00A444EC">
        <w:rPr>
          <w:rtl/>
        </w:rPr>
        <w:t>.</w:t>
      </w:r>
    </w:p>
    <w:p w:rsidR="005E110C" w:rsidRPr="00A444EC" w:rsidRDefault="005E110C" w:rsidP="005E110C">
      <w:pPr>
        <w:pStyle w:val="H23GA"/>
        <w:rPr>
          <w:rtl/>
          <w:lang w:val="fr-CH"/>
        </w:rPr>
      </w:pPr>
      <w:r w:rsidRPr="00A444EC">
        <w:rPr>
          <w:rtl/>
          <w:lang w:val="fr-CH"/>
        </w:rPr>
        <w:tab/>
      </w:r>
      <w:r w:rsidRPr="00A444EC">
        <w:rPr>
          <w:rtl/>
          <w:lang w:val="fr-CH"/>
        </w:rPr>
        <w:tab/>
        <w:t>الوقائع كما</w:t>
      </w:r>
      <w:r w:rsidRPr="00A444EC">
        <w:rPr>
          <w:rFonts w:hint="cs"/>
          <w:rtl/>
          <w:lang w:val="fr-CH"/>
        </w:rPr>
        <w:t xml:space="preserve"> عرضتها </w:t>
      </w:r>
      <w:r w:rsidRPr="00A444EC">
        <w:rPr>
          <w:rtl/>
          <w:lang w:val="fr-CH"/>
        </w:rPr>
        <w:t>صاحب</w:t>
      </w:r>
      <w:r w:rsidRPr="00A444EC">
        <w:rPr>
          <w:rFonts w:hint="cs"/>
          <w:rtl/>
          <w:lang w:val="fr-CH"/>
        </w:rPr>
        <w:t>ة</w:t>
      </w:r>
      <w:r w:rsidRPr="00A444EC">
        <w:rPr>
          <w:rtl/>
          <w:lang w:val="fr-CH"/>
        </w:rPr>
        <w:t xml:space="preserve"> الشكوى</w:t>
      </w:r>
    </w:p>
    <w:p w:rsidR="005E110C" w:rsidRPr="00A444EC" w:rsidRDefault="005E110C" w:rsidP="005E110C">
      <w:pPr>
        <w:pStyle w:val="SingleTxtGA"/>
        <w:rPr>
          <w:rtl/>
          <w:lang/>
        </w:rPr>
      </w:pPr>
      <w:r w:rsidRPr="00A444EC">
        <w:rPr>
          <w:rtl/>
          <w:lang w:val="fr-CH"/>
        </w:rPr>
        <w:t>2-1</w:t>
      </w:r>
      <w:r w:rsidRPr="00A444EC">
        <w:rPr>
          <w:rtl/>
          <w:lang w:val="fr-CH"/>
        </w:rPr>
        <w:tab/>
      </w:r>
      <w:r w:rsidRPr="00A444EC">
        <w:rPr>
          <w:rStyle w:val="hps"/>
          <w:rtl/>
          <w:lang/>
        </w:rPr>
        <w:t>في 17</w:t>
      </w:r>
      <w:r w:rsidRPr="00A444EC">
        <w:rPr>
          <w:rtl/>
          <w:lang/>
        </w:rPr>
        <w:t xml:space="preserve"> </w:t>
      </w:r>
      <w:r w:rsidRPr="00A444EC">
        <w:rPr>
          <w:rFonts w:hint="cs"/>
          <w:rtl/>
          <w:lang/>
        </w:rPr>
        <w:t>تشرين الأول/</w:t>
      </w:r>
      <w:r w:rsidRPr="00A444EC">
        <w:rPr>
          <w:rStyle w:val="hps"/>
          <w:rtl/>
          <w:lang/>
        </w:rPr>
        <w:t>أكتوبر 2009،</w:t>
      </w:r>
      <w:r w:rsidRPr="00A444EC">
        <w:rPr>
          <w:rtl/>
          <w:lang/>
        </w:rPr>
        <w:t xml:space="preserve"> </w:t>
      </w:r>
      <w:r w:rsidRPr="00A444EC">
        <w:rPr>
          <w:rStyle w:val="hps"/>
          <w:rFonts w:hint="cs"/>
          <w:rtl/>
          <w:lang/>
        </w:rPr>
        <w:t>أوقفت الشرطة الألمانية المواطن الفرنسي</w:t>
      </w:r>
      <w:r w:rsidRPr="00A444EC">
        <w:rPr>
          <w:rtl/>
          <w:lang/>
        </w:rPr>
        <w:t xml:space="preserve"> </w:t>
      </w:r>
      <w:r w:rsidRPr="00A444EC">
        <w:rPr>
          <w:rStyle w:val="hps"/>
          <w:rtl/>
          <w:lang/>
        </w:rPr>
        <w:t>أنسي</w:t>
      </w:r>
      <w:r w:rsidRPr="00A444EC">
        <w:rPr>
          <w:rtl/>
          <w:lang/>
        </w:rPr>
        <w:t xml:space="preserve"> </w:t>
      </w:r>
      <w:r w:rsidRPr="00A444EC">
        <w:rPr>
          <w:rStyle w:val="hps"/>
          <w:rFonts w:hint="cs"/>
          <w:rtl/>
          <w:lang/>
        </w:rPr>
        <w:t>عبيشو</w:t>
      </w:r>
      <w:r w:rsidRPr="00A444EC">
        <w:rPr>
          <w:rtl/>
          <w:lang/>
        </w:rPr>
        <w:t xml:space="preserve"> </w:t>
      </w:r>
      <w:r w:rsidRPr="00A444EC">
        <w:rPr>
          <w:rStyle w:val="hps"/>
          <w:rtl/>
          <w:lang/>
        </w:rPr>
        <w:t>خلال</w:t>
      </w:r>
      <w:r w:rsidRPr="00A444EC">
        <w:rPr>
          <w:rtl/>
          <w:lang/>
        </w:rPr>
        <w:t xml:space="preserve"> </w:t>
      </w:r>
      <w:r w:rsidRPr="00A444EC">
        <w:rPr>
          <w:rStyle w:val="hps"/>
          <w:rtl/>
          <w:lang/>
        </w:rPr>
        <w:t>عملية تحقق من الهوية</w:t>
      </w:r>
      <w:r w:rsidRPr="00A444EC">
        <w:rPr>
          <w:rStyle w:val="hps"/>
          <w:rFonts w:hint="cs"/>
          <w:rtl/>
          <w:lang/>
        </w:rPr>
        <w:t xml:space="preserve"> </w:t>
      </w:r>
      <w:r w:rsidRPr="00A444EC">
        <w:rPr>
          <w:rStyle w:val="hps"/>
          <w:rtl/>
          <w:lang/>
        </w:rPr>
        <w:t>في</w:t>
      </w:r>
      <w:r w:rsidRPr="00A444EC">
        <w:rPr>
          <w:rtl/>
          <w:lang/>
        </w:rPr>
        <w:t xml:space="preserve"> </w:t>
      </w:r>
      <w:r w:rsidRPr="00A444EC">
        <w:rPr>
          <w:rStyle w:val="hps"/>
          <w:rtl/>
          <w:lang/>
        </w:rPr>
        <w:t>ألمانيا</w:t>
      </w:r>
      <w:r w:rsidRPr="00A444EC">
        <w:rPr>
          <w:rFonts w:hint="cs"/>
          <w:rtl/>
          <w:lang/>
        </w:rPr>
        <w:t xml:space="preserve"> التي قصدها</w:t>
      </w:r>
      <w:r w:rsidRPr="00A444EC">
        <w:rPr>
          <w:rtl/>
          <w:lang/>
        </w:rPr>
        <w:t xml:space="preserve"> </w:t>
      </w:r>
      <w:r w:rsidRPr="00A444EC">
        <w:rPr>
          <w:rStyle w:val="hps"/>
          <w:rtl/>
          <w:lang/>
        </w:rPr>
        <w:t>لأسباب مهنية</w:t>
      </w:r>
      <w:r w:rsidRPr="00A444EC">
        <w:rPr>
          <w:rtl/>
          <w:lang/>
        </w:rPr>
        <w:t xml:space="preserve">. </w:t>
      </w:r>
      <w:r w:rsidRPr="00A444EC">
        <w:rPr>
          <w:rFonts w:hint="cs"/>
          <w:rtl/>
          <w:lang/>
        </w:rPr>
        <w:t>و</w:t>
      </w:r>
      <w:r w:rsidRPr="00A444EC">
        <w:rPr>
          <w:rStyle w:val="hps"/>
          <w:rtl/>
          <w:lang/>
        </w:rPr>
        <w:t xml:space="preserve">بعد </w:t>
      </w:r>
      <w:r w:rsidRPr="00A444EC">
        <w:rPr>
          <w:rStyle w:val="hps"/>
          <w:rFonts w:hint="cs"/>
          <w:rtl/>
          <w:lang/>
        </w:rPr>
        <w:t>أن تأكدت الشرطة</w:t>
      </w:r>
      <w:r w:rsidRPr="00A444EC">
        <w:rPr>
          <w:rStyle w:val="hps"/>
          <w:rtl/>
          <w:lang/>
        </w:rPr>
        <w:t xml:space="preserve"> من</w:t>
      </w:r>
      <w:r w:rsidRPr="00A444EC">
        <w:rPr>
          <w:rtl/>
          <w:lang/>
        </w:rPr>
        <w:t xml:space="preserve"> </w:t>
      </w:r>
      <w:r w:rsidRPr="00A444EC">
        <w:rPr>
          <w:rStyle w:val="hps"/>
          <w:rtl/>
          <w:lang/>
        </w:rPr>
        <w:t>هويته</w:t>
      </w:r>
      <w:r w:rsidRPr="00A444EC">
        <w:rPr>
          <w:rtl/>
          <w:lang/>
        </w:rPr>
        <w:t xml:space="preserve">، </w:t>
      </w:r>
      <w:r w:rsidRPr="00A444EC">
        <w:rPr>
          <w:rFonts w:hint="cs"/>
          <w:rtl/>
          <w:lang/>
        </w:rPr>
        <w:t>ألقت</w:t>
      </w:r>
      <w:r w:rsidRPr="00A444EC">
        <w:rPr>
          <w:rtl/>
          <w:lang/>
        </w:rPr>
        <w:t xml:space="preserve"> </w:t>
      </w:r>
      <w:r w:rsidRPr="00A444EC">
        <w:rPr>
          <w:rStyle w:val="hps"/>
          <w:rtl/>
          <w:lang/>
        </w:rPr>
        <w:t>القبض عليه</w:t>
      </w:r>
      <w:r w:rsidRPr="00A444EC">
        <w:rPr>
          <w:rtl/>
          <w:lang/>
        </w:rPr>
        <w:t xml:space="preserve"> </w:t>
      </w:r>
      <w:r w:rsidRPr="00A444EC">
        <w:rPr>
          <w:rStyle w:val="hps"/>
          <w:rFonts w:hint="cs"/>
          <w:rtl/>
          <w:lang/>
        </w:rPr>
        <w:t>استناداً إلى مذكرة</w:t>
      </w:r>
      <w:r w:rsidRPr="00A444EC">
        <w:rPr>
          <w:rtl/>
          <w:lang/>
        </w:rPr>
        <w:t xml:space="preserve"> توقيف دولية </w:t>
      </w:r>
      <w:r w:rsidRPr="00A444EC">
        <w:rPr>
          <w:rStyle w:val="hps"/>
          <w:rFonts w:hint="cs"/>
          <w:rtl/>
          <w:lang/>
        </w:rPr>
        <w:t>أصدرتها تونس في حقه</w:t>
      </w:r>
      <w:r w:rsidRPr="00A444EC">
        <w:rPr>
          <w:rtl/>
          <w:lang/>
        </w:rPr>
        <w:t xml:space="preserve"> </w:t>
      </w:r>
      <w:r w:rsidRPr="00A444EC">
        <w:rPr>
          <w:rStyle w:val="hps"/>
          <w:rtl/>
          <w:lang/>
        </w:rPr>
        <w:t>في 14</w:t>
      </w:r>
      <w:r w:rsidRPr="00A444EC">
        <w:rPr>
          <w:rtl/>
          <w:lang/>
        </w:rPr>
        <w:t xml:space="preserve"> </w:t>
      </w:r>
      <w:r w:rsidRPr="00A444EC">
        <w:rPr>
          <w:rFonts w:hint="cs"/>
          <w:rtl/>
          <w:lang/>
        </w:rPr>
        <w:t>آذار/</w:t>
      </w:r>
      <w:r w:rsidRPr="00A444EC">
        <w:rPr>
          <w:rStyle w:val="hps"/>
          <w:rtl/>
          <w:lang/>
        </w:rPr>
        <w:t>مارس 2008.</w:t>
      </w:r>
      <w:r w:rsidRPr="00A444EC">
        <w:rPr>
          <w:rtl/>
          <w:lang/>
        </w:rPr>
        <w:t xml:space="preserve"> </w:t>
      </w:r>
      <w:r w:rsidRPr="00A444EC">
        <w:rPr>
          <w:rStyle w:val="hps"/>
          <w:rtl/>
          <w:lang/>
        </w:rPr>
        <w:t xml:space="preserve">وقد </w:t>
      </w:r>
      <w:r w:rsidRPr="00A444EC">
        <w:rPr>
          <w:rStyle w:val="hps"/>
          <w:rFonts w:hint="cs"/>
          <w:rtl/>
          <w:lang/>
        </w:rPr>
        <w:t>احتجز</w:t>
      </w:r>
      <w:r w:rsidRPr="00A444EC">
        <w:rPr>
          <w:rtl/>
          <w:lang/>
        </w:rPr>
        <w:t xml:space="preserve"> </w:t>
      </w:r>
      <w:r w:rsidRPr="00A444EC">
        <w:rPr>
          <w:rStyle w:val="hps"/>
          <w:rtl/>
          <w:lang/>
        </w:rPr>
        <w:t>السيد</w:t>
      </w:r>
      <w:r w:rsidRPr="00A444EC">
        <w:rPr>
          <w:rtl/>
          <w:lang/>
        </w:rPr>
        <w:t xml:space="preserve"> </w:t>
      </w:r>
      <w:r w:rsidRPr="00A444EC">
        <w:rPr>
          <w:rStyle w:val="hps"/>
          <w:rFonts w:hint="cs"/>
          <w:rtl/>
          <w:lang/>
        </w:rPr>
        <w:t>عبيشو</w:t>
      </w:r>
      <w:r w:rsidRPr="00A444EC">
        <w:rPr>
          <w:rtl/>
          <w:lang/>
        </w:rPr>
        <w:t xml:space="preserve"> </w:t>
      </w:r>
      <w:r w:rsidRPr="00A444EC">
        <w:rPr>
          <w:rStyle w:val="hps"/>
          <w:rtl/>
          <w:lang/>
        </w:rPr>
        <w:t>في وقت لاحق</w:t>
      </w:r>
      <w:r w:rsidRPr="00A444EC">
        <w:rPr>
          <w:rtl/>
          <w:lang/>
        </w:rPr>
        <w:t xml:space="preserve"> </w:t>
      </w:r>
      <w:r w:rsidRPr="00A444EC">
        <w:rPr>
          <w:rStyle w:val="hps"/>
          <w:rtl/>
          <w:lang/>
        </w:rPr>
        <w:t>في سجن</w:t>
      </w:r>
      <w:r w:rsidRPr="00A444EC">
        <w:rPr>
          <w:rtl/>
          <w:lang/>
        </w:rPr>
        <w:t xml:space="preserve"> </w:t>
      </w:r>
      <w:r w:rsidRPr="00A444EC">
        <w:rPr>
          <w:rStyle w:val="hps"/>
          <w:rtl/>
          <w:lang/>
        </w:rPr>
        <w:t>ساربروكن</w:t>
      </w:r>
      <w:r w:rsidRPr="00A444EC">
        <w:rPr>
          <w:rStyle w:val="hps"/>
          <w:rFonts w:hint="cs"/>
          <w:rtl/>
          <w:lang/>
        </w:rPr>
        <w:t xml:space="preserve"> العام</w:t>
      </w:r>
      <w:r w:rsidRPr="00A444EC">
        <w:rPr>
          <w:rtl/>
          <w:lang/>
        </w:rPr>
        <w:t xml:space="preserve">. </w:t>
      </w:r>
      <w:r w:rsidRPr="00A444EC">
        <w:rPr>
          <w:rStyle w:val="hps"/>
          <w:rFonts w:hint="cs"/>
          <w:rtl/>
          <w:lang/>
        </w:rPr>
        <w:t>وقد جددت</w:t>
      </w:r>
      <w:r w:rsidRPr="00A444EC">
        <w:rPr>
          <w:rStyle w:val="hps"/>
          <w:rtl/>
          <w:lang/>
        </w:rPr>
        <w:t xml:space="preserve"> المحكمة العليا</w:t>
      </w:r>
      <w:r w:rsidRPr="00A444EC">
        <w:rPr>
          <w:rtl/>
          <w:lang/>
        </w:rPr>
        <w:t xml:space="preserve"> </w:t>
      </w:r>
      <w:r w:rsidRPr="00A444EC">
        <w:rPr>
          <w:rStyle w:val="hps"/>
          <w:rtl/>
          <w:lang/>
        </w:rPr>
        <w:t>الإقليمية</w:t>
      </w:r>
      <w:r w:rsidRPr="00A444EC">
        <w:rPr>
          <w:rtl/>
          <w:lang/>
        </w:rPr>
        <w:t xml:space="preserve"> </w:t>
      </w:r>
      <w:r w:rsidRPr="00A444EC">
        <w:rPr>
          <w:rStyle w:val="hps"/>
          <w:rtl/>
          <w:lang/>
        </w:rPr>
        <w:t xml:space="preserve">أمر </w:t>
      </w:r>
      <w:r w:rsidRPr="00A444EC">
        <w:rPr>
          <w:rStyle w:val="hps"/>
          <w:rFonts w:hint="cs"/>
          <w:rtl/>
          <w:lang/>
        </w:rPr>
        <w:t>الاحتجاز الصادر ضده</w:t>
      </w:r>
      <w:r w:rsidRPr="00A444EC">
        <w:rPr>
          <w:rtl/>
          <w:lang/>
        </w:rPr>
        <w:t xml:space="preserve"> </w:t>
      </w:r>
      <w:r w:rsidRPr="00A444EC">
        <w:rPr>
          <w:rStyle w:val="hps"/>
          <w:rtl/>
          <w:lang/>
        </w:rPr>
        <w:t>عدة</w:t>
      </w:r>
      <w:r w:rsidRPr="00A444EC">
        <w:rPr>
          <w:rtl/>
          <w:lang/>
        </w:rPr>
        <w:t xml:space="preserve"> </w:t>
      </w:r>
      <w:r w:rsidRPr="00A444EC">
        <w:rPr>
          <w:rStyle w:val="hps"/>
          <w:rtl/>
          <w:lang/>
        </w:rPr>
        <w:t>مرات على أساس أن</w:t>
      </w:r>
      <w:r w:rsidRPr="00A444EC">
        <w:rPr>
          <w:rFonts w:hint="cs"/>
          <w:rtl/>
          <w:lang/>
        </w:rPr>
        <w:t xml:space="preserve"> شدة </w:t>
      </w:r>
      <w:r w:rsidRPr="00A444EC">
        <w:rPr>
          <w:rStyle w:val="hps"/>
          <w:rtl/>
          <w:lang/>
        </w:rPr>
        <w:t>العقوبة</w:t>
      </w:r>
      <w:r w:rsidRPr="00A444EC">
        <w:rPr>
          <w:rtl/>
          <w:lang/>
        </w:rPr>
        <w:t xml:space="preserve"> </w:t>
      </w:r>
      <w:r w:rsidRPr="00A444EC">
        <w:rPr>
          <w:rStyle w:val="hps"/>
          <w:rFonts w:hint="cs"/>
          <w:rtl/>
          <w:lang/>
        </w:rPr>
        <w:t>التي سيتعرض لها في تونس</w:t>
      </w:r>
      <w:r w:rsidRPr="00A444EC">
        <w:rPr>
          <w:rFonts w:hint="cs"/>
          <w:rtl/>
          <w:lang/>
        </w:rPr>
        <w:t xml:space="preserve">، قد تدفعه إلى الهروب في حال </w:t>
      </w:r>
      <w:r w:rsidRPr="00A444EC">
        <w:rPr>
          <w:rStyle w:val="hps"/>
          <w:rtl/>
          <w:lang/>
        </w:rPr>
        <w:t>الإفراج المؤقت</w:t>
      </w:r>
      <w:r w:rsidRPr="00A444EC">
        <w:rPr>
          <w:rFonts w:hint="cs"/>
          <w:rtl/>
          <w:lang/>
        </w:rPr>
        <w:t xml:space="preserve"> عنه.</w:t>
      </w:r>
    </w:p>
    <w:p w:rsidR="005E110C" w:rsidRPr="00A444EC" w:rsidRDefault="005E110C" w:rsidP="0077398F">
      <w:pPr>
        <w:pStyle w:val="SingleTxtGA"/>
        <w:rPr>
          <w:rtl/>
          <w:lang/>
        </w:rPr>
      </w:pPr>
      <w:r w:rsidRPr="00A444EC">
        <w:rPr>
          <w:rtl/>
          <w:lang w:val="fr-CH"/>
        </w:rPr>
        <w:t>2-2</w:t>
      </w:r>
      <w:r w:rsidRPr="00A444EC">
        <w:rPr>
          <w:rtl/>
          <w:lang w:val="fr-CH"/>
        </w:rPr>
        <w:tab/>
      </w:r>
      <w:r w:rsidRPr="00A444EC">
        <w:rPr>
          <w:rFonts w:hint="cs"/>
          <w:rtl/>
          <w:lang w:val="fr-CH"/>
        </w:rPr>
        <w:t xml:space="preserve">وتتمثل </w:t>
      </w:r>
      <w:r w:rsidRPr="00A444EC">
        <w:rPr>
          <w:rStyle w:val="hps"/>
          <w:rtl/>
          <w:lang/>
        </w:rPr>
        <w:t xml:space="preserve">القضية </w:t>
      </w:r>
      <w:r w:rsidRPr="00A444EC">
        <w:rPr>
          <w:rStyle w:val="hps"/>
          <w:rFonts w:hint="cs"/>
          <w:rtl/>
          <w:lang/>
        </w:rPr>
        <w:t xml:space="preserve">المتهم فيها </w:t>
      </w:r>
      <w:r w:rsidRPr="00A444EC">
        <w:rPr>
          <w:rStyle w:val="hps"/>
          <w:rtl/>
          <w:lang/>
        </w:rPr>
        <w:t>السيد</w:t>
      </w:r>
      <w:r w:rsidRPr="00A444EC">
        <w:rPr>
          <w:rStyle w:val="hps"/>
          <w:rFonts w:hint="cs"/>
          <w:rtl/>
          <w:lang/>
        </w:rPr>
        <w:t xml:space="preserve"> أنسي</w:t>
      </w:r>
      <w:r w:rsidRPr="00A444EC">
        <w:rPr>
          <w:rtl/>
          <w:lang/>
        </w:rPr>
        <w:t xml:space="preserve"> </w:t>
      </w:r>
      <w:r w:rsidRPr="00A444EC">
        <w:rPr>
          <w:rStyle w:val="hps"/>
          <w:rFonts w:hint="cs"/>
          <w:rtl/>
          <w:lang/>
        </w:rPr>
        <w:t>عبيشو</w:t>
      </w:r>
      <w:r w:rsidRPr="00A444EC">
        <w:rPr>
          <w:rtl/>
          <w:lang/>
        </w:rPr>
        <w:t xml:space="preserve"> </w:t>
      </w:r>
      <w:r w:rsidRPr="00A444EC">
        <w:rPr>
          <w:rStyle w:val="hps"/>
          <w:rtl/>
          <w:lang/>
        </w:rPr>
        <w:t>في</w:t>
      </w:r>
      <w:r w:rsidRPr="00A444EC">
        <w:rPr>
          <w:rtl/>
          <w:lang/>
        </w:rPr>
        <w:t xml:space="preserve"> </w:t>
      </w:r>
      <w:r w:rsidRPr="00A444EC">
        <w:rPr>
          <w:rStyle w:val="hps"/>
          <w:rtl/>
          <w:lang/>
        </w:rPr>
        <w:t>تونس</w:t>
      </w:r>
      <w:r w:rsidRPr="00A444EC">
        <w:rPr>
          <w:rtl/>
          <w:lang/>
        </w:rPr>
        <w:t xml:space="preserve"> </w:t>
      </w:r>
      <w:r w:rsidRPr="00A444EC">
        <w:rPr>
          <w:rStyle w:val="hps"/>
          <w:rFonts w:hint="cs"/>
          <w:rtl/>
          <w:lang/>
        </w:rPr>
        <w:t>فيما يلي</w:t>
      </w:r>
      <w:r w:rsidRPr="00A444EC">
        <w:rPr>
          <w:rtl/>
          <w:lang/>
        </w:rPr>
        <w:t xml:space="preserve">: في 15 </w:t>
      </w:r>
      <w:r w:rsidRPr="00A444EC">
        <w:rPr>
          <w:rFonts w:hint="cs"/>
          <w:rtl/>
          <w:lang/>
        </w:rPr>
        <w:t>شباط/</w:t>
      </w:r>
      <w:r w:rsidRPr="00A444EC">
        <w:rPr>
          <w:rStyle w:val="hps"/>
          <w:rtl/>
          <w:lang/>
        </w:rPr>
        <w:t>فبراير 2008،</w:t>
      </w:r>
      <w:r w:rsidRPr="00A444EC">
        <w:rPr>
          <w:rtl/>
          <w:lang/>
        </w:rPr>
        <w:t xml:space="preserve"> </w:t>
      </w:r>
      <w:r w:rsidRPr="00A444EC">
        <w:rPr>
          <w:rStyle w:val="hps"/>
          <w:rtl/>
          <w:lang/>
        </w:rPr>
        <w:t>ألقي القبض على</w:t>
      </w:r>
      <w:r w:rsidRPr="00A444EC">
        <w:rPr>
          <w:rtl/>
          <w:lang/>
        </w:rPr>
        <w:t xml:space="preserve"> </w:t>
      </w:r>
      <w:r w:rsidRPr="00A444EC">
        <w:rPr>
          <w:rStyle w:val="hps"/>
          <w:rtl/>
          <w:lang/>
        </w:rPr>
        <w:t>شخص يدعى</w:t>
      </w:r>
      <w:r w:rsidRPr="00A444EC">
        <w:rPr>
          <w:rtl/>
          <w:lang/>
        </w:rPr>
        <w:t xml:space="preserve"> </w:t>
      </w:r>
      <w:r w:rsidRPr="00A444EC">
        <w:rPr>
          <w:rStyle w:val="hps"/>
          <w:rtl/>
          <w:lang/>
        </w:rPr>
        <w:t>محمد</w:t>
      </w:r>
      <w:r w:rsidRPr="00A444EC">
        <w:rPr>
          <w:rtl/>
          <w:lang/>
        </w:rPr>
        <w:t xml:space="preserve"> </w:t>
      </w:r>
      <w:r w:rsidRPr="00A444EC">
        <w:rPr>
          <w:rStyle w:val="hps"/>
          <w:rFonts w:hint="cs"/>
          <w:rtl/>
          <w:lang/>
        </w:rPr>
        <w:t xml:space="preserve">جلوالي </w:t>
      </w:r>
      <w:r w:rsidRPr="00A444EC">
        <w:rPr>
          <w:rStyle w:val="hps"/>
          <w:rtl/>
          <w:lang/>
        </w:rPr>
        <w:t>في ميناء</w:t>
      </w:r>
      <w:r w:rsidRPr="00A444EC">
        <w:rPr>
          <w:rtl/>
          <w:lang/>
        </w:rPr>
        <w:t xml:space="preserve"> </w:t>
      </w:r>
      <w:r w:rsidRPr="00A444EC">
        <w:rPr>
          <w:rStyle w:val="hps"/>
          <w:rtl/>
          <w:lang/>
        </w:rPr>
        <w:t>حلق الوادي</w:t>
      </w:r>
      <w:r w:rsidRPr="00A444EC">
        <w:rPr>
          <w:rFonts w:hint="cs"/>
          <w:rtl/>
          <w:lang/>
        </w:rPr>
        <w:t xml:space="preserve"> في</w:t>
      </w:r>
      <w:r w:rsidRPr="00A444EC">
        <w:rPr>
          <w:rtl/>
          <w:lang/>
        </w:rPr>
        <w:t xml:space="preserve"> </w:t>
      </w:r>
      <w:r w:rsidRPr="00A444EC">
        <w:rPr>
          <w:rStyle w:val="hps"/>
          <w:rtl/>
          <w:lang/>
        </w:rPr>
        <w:t>تونس</w:t>
      </w:r>
      <w:r w:rsidRPr="00A444EC">
        <w:rPr>
          <w:rFonts w:hint="cs"/>
          <w:rtl/>
          <w:lang/>
        </w:rPr>
        <w:t xml:space="preserve"> قبل صعوده إلى </w:t>
      </w:r>
      <w:r w:rsidRPr="00A444EC">
        <w:rPr>
          <w:rStyle w:val="hps"/>
          <w:rtl/>
          <w:lang/>
        </w:rPr>
        <w:t>سفينة</w:t>
      </w:r>
      <w:r w:rsidRPr="00A444EC">
        <w:rPr>
          <w:rStyle w:val="hps"/>
          <w:rFonts w:hint="cs"/>
          <w:rtl/>
          <w:lang/>
        </w:rPr>
        <w:t xml:space="preserve"> متجهة</w:t>
      </w:r>
      <w:r w:rsidRPr="00A444EC">
        <w:rPr>
          <w:rtl/>
          <w:lang/>
        </w:rPr>
        <w:t xml:space="preserve"> إلى </w:t>
      </w:r>
      <w:r w:rsidRPr="00A444EC">
        <w:rPr>
          <w:rStyle w:val="hps"/>
          <w:rtl/>
          <w:lang/>
        </w:rPr>
        <w:t>جنوة</w:t>
      </w:r>
      <w:r w:rsidRPr="00A444EC">
        <w:rPr>
          <w:rStyle w:val="hps"/>
          <w:rFonts w:hint="cs"/>
          <w:rtl/>
          <w:lang/>
        </w:rPr>
        <w:t xml:space="preserve"> مستقلاً شاحنة</w:t>
      </w:r>
      <w:r w:rsidRPr="00A444EC">
        <w:rPr>
          <w:rFonts w:hint="cs"/>
          <w:rtl/>
          <w:lang/>
        </w:rPr>
        <w:t xml:space="preserve"> يقودها وعثرت الشرطة والجمارك</w:t>
      </w:r>
      <w:r w:rsidRPr="00A444EC">
        <w:rPr>
          <w:rStyle w:val="hps"/>
          <w:rtl/>
          <w:lang/>
        </w:rPr>
        <w:t xml:space="preserve"> </w:t>
      </w:r>
      <w:r w:rsidRPr="00A444EC">
        <w:rPr>
          <w:rStyle w:val="hps"/>
          <w:rFonts w:hint="cs"/>
          <w:rtl/>
          <w:lang/>
        </w:rPr>
        <w:t>بداخلها على</w:t>
      </w:r>
      <w:r w:rsidRPr="00A444EC">
        <w:rPr>
          <w:rtl/>
          <w:lang/>
        </w:rPr>
        <w:t xml:space="preserve"> </w:t>
      </w:r>
      <w:r w:rsidRPr="00A444EC">
        <w:rPr>
          <w:rStyle w:val="hps"/>
          <w:rFonts w:hint="cs"/>
          <w:rtl/>
          <w:lang/>
        </w:rPr>
        <w:t>كمية من</w:t>
      </w:r>
      <w:r w:rsidRPr="00A444EC">
        <w:rPr>
          <w:rtl/>
          <w:lang/>
        </w:rPr>
        <w:t xml:space="preserve"> </w:t>
      </w:r>
      <w:r w:rsidRPr="00A444EC">
        <w:rPr>
          <w:rStyle w:val="hps"/>
          <w:rtl/>
          <w:lang/>
        </w:rPr>
        <w:t>ال</w:t>
      </w:r>
      <w:r w:rsidRPr="00A444EC">
        <w:rPr>
          <w:rStyle w:val="hps"/>
          <w:rFonts w:hint="cs"/>
          <w:rtl/>
          <w:lang/>
        </w:rPr>
        <w:t>قنب</w:t>
      </w:r>
      <w:r w:rsidRPr="00A444EC">
        <w:rPr>
          <w:rtl/>
          <w:lang/>
        </w:rPr>
        <w:t xml:space="preserve">. </w:t>
      </w:r>
      <w:r w:rsidRPr="00A444EC">
        <w:rPr>
          <w:rFonts w:hint="cs"/>
          <w:rtl/>
          <w:lang/>
        </w:rPr>
        <w:t xml:space="preserve">وأفضى السيد محمد جلوالي </w:t>
      </w:r>
      <w:r w:rsidRPr="00A444EC">
        <w:rPr>
          <w:rStyle w:val="hps"/>
          <w:rtl/>
          <w:lang/>
        </w:rPr>
        <w:t>أثناء</w:t>
      </w:r>
      <w:r w:rsidRPr="00A444EC">
        <w:rPr>
          <w:rtl/>
          <w:lang/>
        </w:rPr>
        <w:t xml:space="preserve"> </w:t>
      </w:r>
      <w:r w:rsidRPr="00A444EC">
        <w:rPr>
          <w:rStyle w:val="hps"/>
          <w:rtl/>
          <w:lang/>
        </w:rPr>
        <w:t>التحقيق</w:t>
      </w:r>
      <w:r w:rsidRPr="00A444EC">
        <w:rPr>
          <w:rStyle w:val="hps"/>
          <w:rFonts w:hint="cs"/>
          <w:rtl/>
          <w:lang/>
        </w:rPr>
        <w:t xml:space="preserve"> باسم أحد شركائه المزعومين، وهو السيد</w:t>
      </w:r>
      <w:r w:rsidRPr="00A444EC">
        <w:rPr>
          <w:rStyle w:val="hps"/>
          <w:rtl/>
          <w:lang/>
        </w:rPr>
        <w:t xml:space="preserve"> محمد</w:t>
      </w:r>
      <w:r w:rsidRPr="00A444EC">
        <w:rPr>
          <w:rtl/>
          <w:lang/>
        </w:rPr>
        <w:t xml:space="preserve"> </w:t>
      </w:r>
      <w:r w:rsidRPr="00A444EC">
        <w:rPr>
          <w:rStyle w:val="hps"/>
          <w:rtl/>
          <w:lang/>
        </w:rPr>
        <w:t>زايد</w:t>
      </w:r>
      <w:r w:rsidRPr="00A444EC">
        <w:rPr>
          <w:rtl/>
          <w:lang/>
        </w:rPr>
        <w:t xml:space="preserve"> </w:t>
      </w:r>
      <w:r w:rsidRPr="00A444EC">
        <w:rPr>
          <w:rStyle w:val="hps"/>
          <w:rtl/>
          <w:lang/>
        </w:rPr>
        <w:t xml:space="preserve">الذي </w:t>
      </w:r>
      <w:r w:rsidRPr="00A444EC">
        <w:rPr>
          <w:rStyle w:val="hps"/>
          <w:rFonts w:hint="cs"/>
          <w:rtl/>
          <w:lang/>
        </w:rPr>
        <w:t>أوقف في</w:t>
      </w:r>
      <w:r w:rsidRPr="00A444EC">
        <w:rPr>
          <w:rStyle w:val="hps"/>
          <w:rtl/>
          <w:lang/>
        </w:rPr>
        <w:t xml:space="preserve"> اليوم</w:t>
      </w:r>
      <w:r w:rsidRPr="00A444EC">
        <w:rPr>
          <w:rStyle w:val="hps"/>
          <w:rFonts w:hint="cs"/>
          <w:rtl/>
          <w:lang/>
        </w:rPr>
        <w:t xml:space="preserve"> نفسه</w:t>
      </w:r>
      <w:r w:rsidRPr="00A444EC">
        <w:rPr>
          <w:rtl/>
          <w:lang/>
        </w:rPr>
        <w:t xml:space="preserve"> </w:t>
      </w:r>
      <w:r w:rsidRPr="00A444EC">
        <w:rPr>
          <w:rStyle w:val="hps"/>
          <w:rtl/>
          <w:lang/>
        </w:rPr>
        <w:t>في مطار</w:t>
      </w:r>
      <w:r w:rsidRPr="00A444EC">
        <w:rPr>
          <w:rtl/>
          <w:lang/>
        </w:rPr>
        <w:t xml:space="preserve"> </w:t>
      </w:r>
      <w:r w:rsidRPr="00A444EC">
        <w:rPr>
          <w:rStyle w:val="hps"/>
          <w:rtl/>
          <w:lang/>
        </w:rPr>
        <w:t>تونس</w:t>
      </w:r>
      <w:r w:rsidRPr="00A444EC">
        <w:rPr>
          <w:rtl/>
          <w:lang/>
        </w:rPr>
        <w:t xml:space="preserve"> </w:t>
      </w:r>
      <w:r w:rsidRPr="00A444EC">
        <w:rPr>
          <w:rStyle w:val="hps"/>
          <w:rFonts w:hint="cs"/>
          <w:rtl/>
          <w:lang/>
        </w:rPr>
        <w:t>حيث كان</w:t>
      </w:r>
      <w:r w:rsidRPr="00A444EC">
        <w:rPr>
          <w:rtl/>
          <w:lang/>
        </w:rPr>
        <w:t xml:space="preserve"> </w:t>
      </w:r>
      <w:r w:rsidRPr="00A444EC">
        <w:rPr>
          <w:rStyle w:val="hps"/>
          <w:rtl/>
          <w:lang/>
        </w:rPr>
        <w:t>على وشك</w:t>
      </w:r>
      <w:r w:rsidRPr="00A444EC">
        <w:rPr>
          <w:rtl/>
          <w:lang/>
        </w:rPr>
        <w:t xml:space="preserve"> </w:t>
      </w:r>
      <w:r w:rsidRPr="00A444EC">
        <w:rPr>
          <w:rStyle w:val="hps"/>
          <w:rtl/>
          <w:lang/>
        </w:rPr>
        <w:t>ركوب طائرة</w:t>
      </w:r>
      <w:r w:rsidRPr="00A444EC">
        <w:rPr>
          <w:rStyle w:val="hps"/>
          <w:rFonts w:hint="cs"/>
          <w:rtl/>
          <w:lang/>
        </w:rPr>
        <w:t xml:space="preserve"> متجهة</w:t>
      </w:r>
      <w:r w:rsidRPr="00A444EC">
        <w:rPr>
          <w:rStyle w:val="hps"/>
          <w:rtl/>
          <w:lang/>
        </w:rPr>
        <w:t xml:space="preserve"> إلى فرنسا</w:t>
      </w:r>
      <w:r w:rsidRPr="00A444EC">
        <w:rPr>
          <w:rtl/>
          <w:lang/>
        </w:rPr>
        <w:t xml:space="preserve">. </w:t>
      </w:r>
      <w:r w:rsidRPr="00A444EC">
        <w:rPr>
          <w:rFonts w:hint="cs"/>
          <w:rtl/>
          <w:lang/>
        </w:rPr>
        <w:t>و"اعترف"</w:t>
      </w:r>
      <w:r w:rsidRPr="00A444EC">
        <w:rPr>
          <w:vertAlign w:val="superscript"/>
          <w:rtl/>
          <w:lang w:val="fr-CH"/>
        </w:rPr>
        <w:t>(</w:t>
      </w:r>
      <w:r w:rsidRPr="00A444EC">
        <w:rPr>
          <w:rStyle w:val="FootnoteReference"/>
          <w:rtl/>
          <w:lang w:val="fr-CH"/>
        </w:rPr>
        <w:footnoteReference w:id="125"/>
      </w:r>
      <w:r w:rsidRPr="00A444EC">
        <w:rPr>
          <w:vertAlign w:val="superscript"/>
          <w:rtl/>
          <w:lang w:val="fr-CH"/>
        </w:rPr>
        <w:t>)</w:t>
      </w:r>
      <w:r w:rsidRPr="00A444EC">
        <w:rPr>
          <w:rFonts w:hint="cs"/>
          <w:rtl/>
          <w:lang/>
        </w:rPr>
        <w:t xml:space="preserve"> السيد محمد زايد </w:t>
      </w:r>
      <w:r w:rsidRPr="00A444EC">
        <w:rPr>
          <w:rStyle w:val="hps"/>
          <w:rtl/>
          <w:lang/>
        </w:rPr>
        <w:t>أثناء استجوابه</w:t>
      </w:r>
      <w:r w:rsidRPr="00A444EC">
        <w:rPr>
          <w:rtl/>
          <w:lang/>
        </w:rPr>
        <w:t xml:space="preserve">، </w:t>
      </w:r>
      <w:r w:rsidRPr="00A444EC">
        <w:rPr>
          <w:rStyle w:val="hps"/>
          <w:rtl/>
          <w:lang/>
        </w:rPr>
        <w:t>تحت الإكراه</w:t>
      </w:r>
      <w:r w:rsidRPr="00A444EC">
        <w:rPr>
          <w:rStyle w:val="hps"/>
          <w:rFonts w:hint="cs"/>
          <w:rtl/>
          <w:lang/>
        </w:rPr>
        <w:t xml:space="preserve"> على الأرجح</w:t>
      </w:r>
      <w:r w:rsidRPr="00A444EC">
        <w:rPr>
          <w:rtl/>
          <w:lang/>
        </w:rPr>
        <w:t xml:space="preserve">، </w:t>
      </w:r>
      <w:r w:rsidRPr="00A444EC">
        <w:rPr>
          <w:rStyle w:val="hps"/>
          <w:rFonts w:hint="cs"/>
          <w:rtl/>
          <w:lang/>
        </w:rPr>
        <w:t>ب</w:t>
      </w:r>
      <w:r w:rsidRPr="00A444EC">
        <w:rPr>
          <w:rtl/>
          <w:lang/>
        </w:rPr>
        <w:t>أنه قد</w:t>
      </w:r>
      <w:r w:rsidRPr="00A444EC">
        <w:rPr>
          <w:rFonts w:hint="cs"/>
          <w:rtl/>
          <w:lang/>
        </w:rPr>
        <w:t xml:space="preserve"> نقل، مع السيد أنسي عبيشو،</w:t>
      </w:r>
      <w:r w:rsidRPr="00A444EC">
        <w:rPr>
          <w:rtl/>
          <w:lang/>
        </w:rPr>
        <w:t xml:space="preserve"> </w:t>
      </w:r>
      <w:r w:rsidRPr="00A444EC">
        <w:rPr>
          <w:rStyle w:val="hps"/>
          <w:rtl/>
          <w:lang/>
        </w:rPr>
        <w:t>شحنة</w:t>
      </w:r>
      <w:r w:rsidRPr="00A444EC">
        <w:rPr>
          <w:rtl/>
          <w:lang/>
        </w:rPr>
        <w:t xml:space="preserve"> </w:t>
      </w:r>
      <w:r w:rsidRPr="00A444EC">
        <w:rPr>
          <w:rStyle w:val="hps"/>
          <w:rtl/>
          <w:lang/>
        </w:rPr>
        <w:t>مماثلة</w:t>
      </w:r>
      <w:r w:rsidRPr="00A444EC">
        <w:rPr>
          <w:rtl/>
          <w:lang/>
        </w:rPr>
        <w:t xml:space="preserve"> </w:t>
      </w:r>
      <w:r w:rsidRPr="00A444EC">
        <w:rPr>
          <w:rStyle w:val="hps"/>
          <w:rtl/>
          <w:lang/>
        </w:rPr>
        <w:t>من</w:t>
      </w:r>
      <w:r w:rsidRPr="00A444EC">
        <w:rPr>
          <w:rtl/>
          <w:lang/>
        </w:rPr>
        <w:t xml:space="preserve"> </w:t>
      </w:r>
      <w:r w:rsidRPr="00A444EC">
        <w:rPr>
          <w:rStyle w:val="hps"/>
          <w:rtl/>
          <w:lang/>
        </w:rPr>
        <w:t>القنب</w:t>
      </w:r>
      <w:r w:rsidRPr="00A444EC">
        <w:rPr>
          <w:rtl/>
          <w:lang/>
        </w:rPr>
        <w:t xml:space="preserve"> </w:t>
      </w:r>
      <w:r w:rsidRPr="00A444EC">
        <w:rPr>
          <w:rStyle w:val="hps"/>
          <w:rtl/>
          <w:lang/>
        </w:rPr>
        <w:t>في</w:t>
      </w:r>
      <w:r w:rsidRPr="00A444EC">
        <w:rPr>
          <w:rtl/>
          <w:lang/>
        </w:rPr>
        <w:t xml:space="preserve"> </w:t>
      </w:r>
      <w:r w:rsidRPr="00A444EC">
        <w:rPr>
          <w:rFonts w:hint="cs"/>
          <w:rtl/>
          <w:lang/>
        </w:rPr>
        <w:t>تشرين الأول/</w:t>
      </w:r>
      <w:r w:rsidRPr="00A444EC">
        <w:rPr>
          <w:rStyle w:val="hps"/>
          <w:rtl/>
          <w:lang/>
        </w:rPr>
        <w:t>أكتوبر</w:t>
      </w:r>
      <w:r w:rsidRPr="00A444EC">
        <w:rPr>
          <w:rStyle w:val="hps"/>
          <w:rFonts w:hint="cs"/>
          <w:rtl/>
          <w:lang/>
        </w:rPr>
        <w:t xml:space="preserve"> - تشرين الثاني/</w:t>
      </w:r>
      <w:r w:rsidRPr="00A444EC">
        <w:rPr>
          <w:rStyle w:val="hps"/>
          <w:rtl/>
          <w:lang/>
        </w:rPr>
        <w:t>نوفمبر</w:t>
      </w:r>
      <w:r w:rsidRPr="00A444EC">
        <w:rPr>
          <w:rtl/>
          <w:lang/>
        </w:rPr>
        <w:t xml:space="preserve"> </w:t>
      </w:r>
      <w:r w:rsidRPr="00A444EC">
        <w:rPr>
          <w:rStyle w:val="hps"/>
          <w:rtl/>
          <w:lang/>
        </w:rPr>
        <w:t>2007</w:t>
      </w:r>
      <w:r w:rsidRPr="00A444EC">
        <w:rPr>
          <w:rStyle w:val="hps"/>
          <w:rFonts w:hint="cs"/>
          <w:rtl/>
          <w:lang/>
        </w:rPr>
        <w:t>.</w:t>
      </w:r>
    </w:p>
    <w:p w:rsidR="005E110C" w:rsidRPr="00A444EC" w:rsidRDefault="005E110C" w:rsidP="0077398F">
      <w:pPr>
        <w:pStyle w:val="SingleTxtGA"/>
        <w:rPr>
          <w:rtl/>
          <w:lang w:val="fr-CH"/>
        </w:rPr>
      </w:pPr>
      <w:r w:rsidRPr="00A444EC">
        <w:rPr>
          <w:rtl/>
          <w:lang w:val="fr-CH"/>
        </w:rPr>
        <w:t>2-3</w:t>
      </w:r>
      <w:r w:rsidRPr="00A444EC">
        <w:rPr>
          <w:rtl/>
          <w:lang w:val="fr-CH"/>
        </w:rPr>
        <w:tab/>
      </w:r>
      <w:r w:rsidRPr="00A444EC">
        <w:rPr>
          <w:rStyle w:val="hps"/>
          <w:rFonts w:hint="cs"/>
          <w:rtl/>
          <w:lang/>
        </w:rPr>
        <w:t>وبعد الانتهاء من عمليات الاستجواب</w:t>
      </w:r>
      <w:r w:rsidRPr="00A444EC">
        <w:rPr>
          <w:rtl/>
          <w:lang/>
        </w:rPr>
        <w:t xml:space="preserve">، </w:t>
      </w:r>
      <w:r w:rsidRPr="00A444EC">
        <w:rPr>
          <w:rFonts w:hint="cs"/>
          <w:rtl/>
          <w:lang/>
        </w:rPr>
        <w:t>رفعت</w:t>
      </w:r>
      <w:r w:rsidRPr="00A444EC">
        <w:rPr>
          <w:rStyle w:val="hps"/>
          <w:rtl/>
          <w:lang/>
        </w:rPr>
        <w:t xml:space="preserve"> دع</w:t>
      </w:r>
      <w:r w:rsidRPr="00A444EC">
        <w:rPr>
          <w:rStyle w:val="hps"/>
          <w:rFonts w:hint="cs"/>
          <w:rtl/>
          <w:lang/>
        </w:rPr>
        <w:t>ا</w:t>
      </w:r>
      <w:r w:rsidRPr="00A444EC">
        <w:rPr>
          <w:rStyle w:val="hps"/>
          <w:rtl/>
          <w:lang/>
        </w:rPr>
        <w:t>وى</w:t>
      </w:r>
      <w:r w:rsidRPr="00A444EC">
        <w:rPr>
          <w:rtl/>
          <w:lang/>
        </w:rPr>
        <w:t xml:space="preserve"> </w:t>
      </w:r>
      <w:r w:rsidRPr="00A444EC">
        <w:rPr>
          <w:rStyle w:val="hps"/>
          <w:rtl/>
          <w:lang/>
        </w:rPr>
        <w:t>قضائية ضد</w:t>
      </w:r>
      <w:r w:rsidRPr="00A444EC">
        <w:rPr>
          <w:rtl/>
          <w:lang/>
        </w:rPr>
        <w:t xml:space="preserve"> </w:t>
      </w:r>
      <w:r w:rsidRPr="00A444EC">
        <w:rPr>
          <w:rStyle w:val="hps"/>
          <w:rtl/>
          <w:lang/>
        </w:rPr>
        <w:t>خمسة أشخاص</w:t>
      </w:r>
      <w:r w:rsidRPr="00A444EC">
        <w:rPr>
          <w:rFonts w:hint="cs"/>
          <w:rtl/>
          <w:lang/>
        </w:rPr>
        <w:t xml:space="preserve"> تسنى بالفعل إيقاف</w:t>
      </w:r>
      <w:r w:rsidRPr="00A444EC">
        <w:rPr>
          <w:rtl/>
          <w:lang/>
        </w:rPr>
        <w:t xml:space="preserve"> </w:t>
      </w:r>
      <w:r w:rsidRPr="00A444EC">
        <w:rPr>
          <w:rStyle w:val="hps"/>
          <w:rtl/>
          <w:lang/>
        </w:rPr>
        <w:t>اثن</w:t>
      </w:r>
      <w:r w:rsidRPr="00A444EC">
        <w:rPr>
          <w:rStyle w:val="hps"/>
          <w:rFonts w:hint="cs"/>
          <w:rtl/>
          <w:lang/>
        </w:rPr>
        <w:t>ي</w:t>
      </w:r>
      <w:r w:rsidRPr="00A444EC">
        <w:rPr>
          <w:rStyle w:val="hps"/>
          <w:rtl/>
          <w:lang/>
        </w:rPr>
        <w:t>ن</w:t>
      </w:r>
      <w:r w:rsidRPr="00A444EC">
        <w:rPr>
          <w:rStyle w:val="hps"/>
          <w:rFonts w:hint="cs"/>
          <w:rtl/>
          <w:lang/>
        </w:rPr>
        <w:t xml:space="preserve"> منهم</w:t>
      </w:r>
      <w:r w:rsidRPr="00A444EC">
        <w:rPr>
          <w:rtl/>
          <w:lang/>
        </w:rPr>
        <w:t xml:space="preserve"> </w:t>
      </w:r>
      <w:r w:rsidRPr="00A444EC">
        <w:rPr>
          <w:rStyle w:val="hps"/>
          <w:rtl/>
          <w:lang/>
        </w:rPr>
        <w:t>فقط</w:t>
      </w:r>
      <w:r w:rsidRPr="00A444EC">
        <w:rPr>
          <w:rFonts w:hint="cs"/>
          <w:rtl/>
          <w:lang/>
        </w:rPr>
        <w:t xml:space="preserve">، وهما السيد محمد جلوالي </w:t>
      </w:r>
      <w:r w:rsidRPr="00A444EC">
        <w:rPr>
          <w:rStyle w:val="hps"/>
          <w:rtl/>
          <w:lang/>
        </w:rPr>
        <w:t>و</w:t>
      </w:r>
      <w:r w:rsidRPr="00A444EC">
        <w:rPr>
          <w:rStyle w:val="hps"/>
          <w:rFonts w:hint="cs"/>
          <w:rtl/>
          <w:lang/>
        </w:rPr>
        <w:t xml:space="preserve">السيد </w:t>
      </w:r>
      <w:r w:rsidRPr="00A444EC">
        <w:rPr>
          <w:rtl/>
          <w:lang/>
        </w:rPr>
        <w:t xml:space="preserve">محمد </w:t>
      </w:r>
      <w:r w:rsidRPr="00A444EC">
        <w:rPr>
          <w:rStyle w:val="hps"/>
          <w:rtl/>
          <w:lang/>
        </w:rPr>
        <w:t>زايد</w:t>
      </w:r>
      <w:r w:rsidRPr="00A444EC">
        <w:rPr>
          <w:rtl/>
          <w:lang/>
        </w:rPr>
        <w:t xml:space="preserve">، </w:t>
      </w:r>
      <w:r w:rsidRPr="00A444EC">
        <w:rPr>
          <w:rStyle w:val="hps"/>
          <w:rFonts w:hint="cs"/>
          <w:rtl/>
          <w:lang/>
        </w:rPr>
        <w:t>واعتبر القاضي التونسي بقية</w:t>
      </w:r>
      <w:r w:rsidRPr="00A444EC">
        <w:rPr>
          <w:rStyle w:val="hps"/>
          <w:rtl/>
          <w:lang/>
        </w:rPr>
        <w:t xml:space="preserve"> المشتبه بهم</w:t>
      </w:r>
      <w:r w:rsidRPr="00A444EC">
        <w:rPr>
          <w:rtl/>
          <w:lang/>
        </w:rPr>
        <w:t xml:space="preserve"> </w:t>
      </w:r>
      <w:r w:rsidRPr="00A444EC">
        <w:rPr>
          <w:rStyle w:val="hps"/>
          <w:rFonts w:hint="cs"/>
          <w:rtl/>
          <w:lang/>
        </w:rPr>
        <w:t>هاربين</w:t>
      </w:r>
      <w:r w:rsidRPr="00A444EC">
        <w:rPr>
          <w:rtl/>
          <w:lang/>
        </w:rPr>
        <w:t xml:space="preserve">. </w:t>
      </w:r>
      <w:r w:rsidRPr="00A444EC">
        <w:rPr>
          <w:rFonts w:hint="cs"/>
          <w:rtl/>
          <w:lang/>
        </w:rPr>
        <w:t xml:space="preserve">وسيحاكم </w:t>
      </w:r>
      <w:r w:rsidRPr="00A444EC">
        <w:rPr>
          <w:rStyle w:val="hps"/>
          <w:rtl/>
          <w:lang/>
        </w:rPr>
        <w:t>المشتبه بهم</w:t>
      </w:r>
      <w:r w:rsidRPr="00A444EC">
        <w:rPr>
          <w:rtl/>
          <w:lang/>
        </w:rPr>
        <w:t xml:space="preserve"> </w:t>
      </w:r>
      <w:r w:rsidRPr="00A444EC">
        <w:rPr>
          <w:rStyle w:val="hps"/>
          <w:rFonts w:hint="cs"/>
          <w:rtl/>
          <w:lang/>
        </w:rPr>
        <w:t>في قضيتين</w:t>
      </w:r>
      <w:r w:rsidRPr="00A444EC">
        <w:rPr>
          <w:vertAlign w:val="superscript"/>
          <w:rtl/>
          <w:lang w:val="fr-CH"/>
        </w:rPr>
        <w:t>(</w:t>
      </w:r>
      <w:r w:rsidRPr="00A444EC">
        <w:rPr>
          <w:rStyle w:val="FootnoteReference"/>
          <w:rtl/>
          <w:lang w:val="fr-CH"/>
        </w:rPr>
        <w:footnoteReference w:id="126"/>
      </w:r>
      <w:r w:rsidRPr="00A444EC">
        <w:rPr>
          <w:vertAlign w:val="superscript"/>
          <w:rtl/>
          <w:lang w:val="fr-CH"/>
        </w:rPr>
        <w:t>)</w:t>
      </w:r>
      <w:r w:rsidRPr="00A444EC">
        <w:rPr>
          <w:rtl/>
          <w:lang/>
        </w:rPr>
        <w:t xml:space="preserve"> </w:t>
      </w:r>
      <w:r w:rsidRPr="00A444EC">
        <w:rPr>
          <w:rStyle w:val="hps"/>
          <w:rFonts w:hint="cs"/>
          <w:rtl/>
          <w:lang/>
        </w:rPr>
        <w:t>تتعلقان بالوقائع</w:t>
      </w:r>
      <w:r w:rsidRPr="00A444EC">
        <w:rPr>
          <w:rStyle w:val="hps"/>
          <w:rFonts w:hint="eastAsia"/>
          <w:rtl/>
          <w:lang/>
        </w:rPr>
        <w:t> </w:t>
      </w:r>
      <w:r w:rsidRPr="00A444EC">
        <w:rPr>
          <w:rStyle w:val="hps"/>
          <w:rFonts w:hint="cs"/>
          <w:rtl/>
          <w:lang/>
        </w:rPr>
        <w:t>ذاتها.</w:t>
      </w:r>
    </w:p>
    <w:p w:rsidR="005E110C" w:rsidRPr="00A444EC" w:rsidRDefault="005E110C" w:rsidP="00EF7160">
      <w:pPr>
        <w:pStyle w:val="SingleTxtGA"/>
        <w:rPr>
          <w:rtl/>
          <w:lang/>
        </w:rPr>
      </w:pPr>
      <w:r w:rsidRPr="00A444EC">
        <w:rPr>
          <w:rtl/>
          <w:lang w:val="fr-CH"/>
        </w:rPr>
        <w:t>2-4</w:t>
      </w:r>
      <w:r w:rsidRPr="00A444EC">
        <w:rPr>
          <w:rtl/>
          <w:lang w:val="fr-CH"/>
        </w:rPr>
        <w:tab/>
      </w:r>
      <w:r w:rsidRPr="00A444EC">
        <w:rPr>
          <w:rFonts w:hint="cs"/>
          <w:rtl/>
          <w:lang w:val="fr-CH"/>
        </w:rPr>
        <w:t>و</w:t>
      </w:r>
      <w:r w:rsidRPr="00A444EC">
        <w:rPr>
          <w:rStyle w:val="hps"/>
          <w:rtl/>
          <w:lang/>
        </w:rPr>
        <w:t>في 14</w:t>
      </w:r>
      <w:r w:rsidRPr="00A444EC">
        <w:rPr>
          <w:rtl/>
          <w:lang/>
        </w:rPr>
        <w:t xml:space="preserve"> </w:t>
      </w:r>
      <w:r w:rsidRPr="00A444EC">
        <w:rPr>
          <w:rFonts w:hint="cs"/>
          <w:rtl/>
          <w:lang/>
        </w:rPr>
        <w:t>آذار/</w:t>
      </w:r>
      <w:r w:rsidRPr="00A444EC">
        <w:rPr>
          <w:rStyle w:val="hps"/>
          <w:rtl/>
          <w:lang/>
        </w:rPr>
        <w:t>مارس 2008،</w:t>
      </w:r>
      <w:r w:rsidRPr="00A444EC">
        <w:rPr>
          <w:rtl/>
          <w:lang/>
        </w:rPr>
        <w:t xml:space="preserve"> </w:t>
      </w:r>
      <w:r w:rsidRPr="00A444EC">
        <w:rPr>
          <w:rStyle w:val="hps"/>
          <w:rtl/>
          <w:lang/>
        </w:rPr>
        <w:t>أصدر نائب</w:t>
      </w:r>
      <w:r w:rsidRPr="00A444EC">
        <w:rPr>
          <w:rtl/>
          <w:lang/>
        </w:rPr>
        <w:t xml:space="preserve"> </w:t>
      </w:r>
      <w:r w:rsidRPr="00A444EC">
        <w:rPr>
          <w:rStyle w:val="hps"/>
          <w:rtl/>
          <w:lang/>
        </w:rPr>
        <w:t>المدعي العام</w:t>
      </w:r>
      <w:r w:rsidRPr="00A444EC">
        <w:rPr>
          <w:rtl/>
          <w:lang/>
        </w:rPr>
        <w:t xml:space="preserve"> </w:t>
      </w:r>
      <w:r w:rsidRPr="00A444EC">
        <w:rPr>
          <w:rStyle w:val="hps"/>
          <w:rtl/>
          <w:lang/>
        </w:rPr>
        <w:t>مذكرتي توقيف</w:t>
      </w:r>
      <w:r w:rsidRPr="00A444EC">
        <w:rPr>
          <w:rtl/>
          <w:lang/>
        </w:rPr>
        <w:t xml:space="preserve"> </w:t>
      </w:r>
      <w:r w:rsidRPr="00A444EC">
        <w:rPr>
          <w:rStyle w:val="hps"/>
          <w:rtl/>
          <w:lang/>
        </w:rPr>
        <w:t>دولي</w:t>
      </w:r>
      <w:r w:rsidRPr="00A444EC">
        <w:rPr>
          <w:rStyle w:val="hps"/>
          <w:rFonts w:hint="cs"/>
          <w:rtl/>
          <w:lang/>
        </w:rPr>
        <w:t xml:space="preserve">تين </w:t>
      </w:r>
      <w:r w:rsidRPr="00A444EC">
        <w:rPr>
          <w:rStyle w:val="hps"/>
          <w:rtl/>
          <w:lang/>
        </w:rPr>
        <w:t>بحق</w:t>
      </w:r>
      <w:r w:rsidRPr="00A444EC">
        <w:rPr>
          <w:rStyle w:val="hps"/>
          <w:rFonts w:hint="cs"/>
          <w:rtl/>
          <w:lang/>
        </w:rPr>
        <w:t> </w:t>
      </w:r>
      <w:r w:rsidRPr="00A444EC">
        <w:rPr>
          <w:rStyle w:val="hps"/>
          <w:rtl/>
          <w:lang/>
        </w:rPr>
        <w:t>السيد</w:t>
      </w:r>
      <w:r w:rsidRPr="00A444EC">
        <w:rPr>
          <w:rtl/>
          <w:lang/>
        </w:rPr>
        <w:t xml:space="preserve"> </w:t>
      </w:r>
      <w:r w:rsidRPr="00A444EC">
        <w:rPr>
          <w:rStyle w:val="hps"/>
          <w:rFonts w:hint="cs"/>
          <w:rtl/>
          <w:lang/>
        </w:rPr>
        <w:t xml:space="preserve">أنسي عبيشو </w:t>
      </w:r>
      <w:r w:rsidRPr="00A444EC">
        <w:rPr>
          <w:rStyle w:val="hps"/>
          <w:rtl/>
          <w:lang/>
        </w:rPr>
        <w:t xml:space="preserve">في </w:t>
      </w:r>
      <w:r w:rsidRPr="00A444EC">
        <w:rPr>
          <w:rStyle w:val="hps"/>
          <w:rFonts w:hint="cs"/>
          <w:rtl/>
          <w:lang/>
        </w:rPr>
        <w:t>إطار هاتين القضيتين</w:t>
      </w:r>
      <w:r w:rsidRPr="00A444EC">
        <w:rPr>
          <w:rtl/>
          <w:lang/>
        </w:rPr>
        <w:t xml:space="preserve">. </w:t>
      </w:r>
      <w:r w:rsidRPr="00A444EC">
        <w:rPr>
          <w:rStyle w:val="hps"/>
          <w:rFonts w:hint="cs"/>
          <w:rtl/>
          <w:lang/>
        </w:rPr>
        <w:t>وكان السيد عبيشو حينها في</w:t>
      </w:r>
      <w:r w:rsidRPr="00A444EC">
        <w:rPr>
          <w:rtl/>
          <w:lang/>
        </w:rPr>
        <w:t xml:space="preserve"> </w:t>
      </w:r>
      <w:r w:rsidRPr="00A444EC">
        <w:rPr>
          <w:rStyle w:val="hps"/>
          <w:rtl/>
          <w:lang/>
        </w:rPr>
        <w:t>فرنسا</w:t>
      </w:r>
      <w:r w:rsidRPr="00A444EC">
        <w:rPr>
          <w:rtl/>
          <w:lang/>
        </w:rPr>
        <w:t xml:space="preserve"> </w:t>
      </w:r>
      <w:r w:rsidRPr="00A444EC">
        <w:rPr>
          <w:rStyle w:val="hps"/>
          <w:rtl/>
          <w:lang/>
        </w:rPr>
        <w:t>ولم</w:t>
      </w:r>
      <w:r w:rsidRPr="00A444EC">
        <w:rPr>
          <w:rFonts w:hint="cs"/>
          <w:rtl/>
          <w:lang/>
        </w:rPr>
        <w:t> </w:t>
      </w:r>
      <w:r w:rsidRPr="00A444EC">
        <w:rPr>
          <w:rStyle w:val="hps"/>
          <w:rFonts w:hint="cs"/>
          <w:rtl/>
          <w:lang/>
        </w:rPr>
        <w:t>يتعرض لأي إزعاج من العدالة</w:t>
      </w:r>
      <w:r w:rsidRPr="00A444EC">
        <w:rPr>
          <w:rStyle w:val="hps"/>
          <w:rtl/>
          <w:lang/>
        </w:rPr>
        <w:t xml:space="preserve"> </w:t>
      </w:r>
      <w:r w:rsidRPr="00A444EC">
        <w:rPr>
          <w:rStyle w:val="hps"/>
          <w:rFonts w:hint="cs"/>
          <w:rtl/>
          <w:lang/>
        </w:rPr>
        <w:t>الفرنسية</w:t>
      </w:r>
      <w:r w:rsidRPr="00A444EC">
        <w:rPr>
          <w:rtl/>
          <w:lang/>
        </w:rPr>
        <w:t xml:space="preserve">. </w:t>
      </w:r>
      <w:r w:rsidRPr="00A444EC">
        <w:rPr>
          <w:rFonts w:hint="cs"/>
          <w:rtl/>
          <w:lang/>
        </w:rPr>
        <w:t>و</w:t>
      </w:r>
      <w:r w:rsidRPr="00A444EC">
        <w:rPr>
          <w:rStyle w:val="hps"/>
          <w:rtl/>
          <w:lang/>
        </w:rPr>
        <w:t>في 28 نيسان</w:t>
      </w:r>
      <w:r w:rsidRPr="00A444EC">
        <w:rPr>
          <w:rStyle w:val="hps"/>
          <w:rFonts w:hint="cs"/>
          <w:rtl/>
          <w:lang/>
        </w:rPr>
        <w:t>/أبريل</w:t>
      </w:r>
      <w:r w:rsidRPr="00A444EC">
        <w:rPr>
          <w:rtl/>
          <w:lang/>
        </w:rPr>
        <w:t xml:space="preserve"> </w:t>
      </w:r>
      <w:r w:rsidRPr="00A444EC">
        <w:rPr>
          <w:rStyle w:val="hps"/>
          <w:rtl/>
          <w:lang/>
        </w:rPr>
        <w:t>2008،</w:t>
      </w:r>
      <w:r w:rsidRPr="00A444EC">
        <w:rPr>
          <w:rtl/>
          <w:lang/>
        </w:rPr>
        <w:t xml:space="preserve"> </w:t>
      </w:r>
      <w:r w:rsidRPr="00A444EC">
        <w:rPr>
          <w:rStyle w:val="hps"/>
          <w:rFonts w:hint="cs"/>
          <w:rtl/>
          <w:lang/>
        </w:rPr>
        <w:t>أرسل</w:t>
      </w:r>
      <w:r w:rsidRPr="00A444EC">
        <w:rPr>
          <w:rtl/>
          <w:lang/>
        </w:rPr>
        <w:t xml:space="preserve"> </w:t>
      </w:r>
      <w:r w:rsidRPr="00A444EC">
        <w:rPr>
          <w:rStyle w:val="hps"/>
          <w:rtl/>
          <w:lang/>
        </w:rPr>
        <w:t xml:space="preserve">مكتب </w:t>
      </w:r>
      <w:r w:rsidR="00EF7160">
        <w:rPr>
          <w:rStyle w:val="hps"/>
          <w:rFonts w:hint="cs"/>
          <w:rtl/>
          <w:lang/>
        </w:rPr>
        <w:t>الأ</w:t>
      </w:r>
      <w:r w:rsidRPr="00A444EC">
        <w:rPr>
          <w:rStyle w:val="hps"/>
          <w:rtl/>
          <w:lang/>
        </w:rPr>
        <w:t>نتربول</w:t>
      </w:r>
      <w:r w:rsidRPr="00A444EC">
        <w:rPr>
          <w:rtl/>
          <w:lang/>
        </w:rPr>
        <w:t xml:space="preserve"> </w:t>
      </w:r>
      <w:r w:rsidRPr="00A444EC">
        <w:rPr>
          <w:rStyle w:val="hps"/>
          <w:rtl/>
          <w:lang/>
        </w:rPr>
        <w:t>في</w:t>
      </w:r>
      <w:r w:rsidRPr="00A444EC">
        <w:rPr>
          <w:rtl/>
          <w:lang/>
        </w:rPr>
        <w:t xml:space="preserve"> </w:t>
      </w:r>
      <w:r w:rsidRPr="00A444EC">
        <w:rPr>
          <w:rStyle w:val="hps"/>
          <w:rtl/>
          <w:lang/>
        </w:rPr>
        <w:t>تونس</w:t>
      </w:r>
      <w:r w:rsidRPr="00A444EC">
        <w:rPr>
          <w:rtl/>
          <w:lang/>
        </w:rPr>
        <w:t xml:space="preserve"> إلى </w:t>
      </w:r>
      <w:r w:rsidRPr="00A444EC">
        <w:rPr>
          <w:rStyle w:val="hps"/>
          <w:rtl/>
          <w:lang/>
        </w:rPr>
        <w:t>الأمانة</w:t>
      </w:r>
      <w:r w:rsidRPr="00A444EC">
        <w:rPr>
          <w:rtl/>
          <w:lang/>
        </w:rPr>
        <w:t xml:space="preserve"> </w:t>
      </w:r>
      <w:r w:rsidRPr="00A444EC">
        <w:rPr>
          <w:rStyle w:val="hps"/>
          <w:rtl/>
          <w:lang/>
        </w:rPr>
        <w:t>العامة لل</w:t>
      </w:r>
      <w:r w:rsidRPr="00A444EC">
        <w:rPr>
          <w:rStyle w:val="hps"/>
          <w:rFonts w:hint="cs"/>
          <w:rtl/>
          <w:lang/>
        </w:rPr>
        <w:t>أ</w:t>
      </w:r>
      <w:r w:rsidRPr="00A444EC">
        <w:rPr>
          <w:rStyle w:val="hps"/>
          <w:rtl/>
          <w:lang/>
        </w:rPr>
        <w:t>نتربول</w:t>
      </w:r>
      <w:r w:rsidRPr="00A444EC">
        <w:rPr>
          <w:rtl/>
          <w:lang/>
        </w:rPr>
        <w:t xml:space="preserve"> </w:t>
      </w:r>
      <w:r w:rsidRPr="00A444EC">
        <w:rPr>
          <w:rStyle w:val="hps"/>
          <w:rtl/>
          <w:lang/>
        </w:rPr>
        <w:t>طلبا</w:t>
      </w:r>
      <w:r w:rsidRPr="00A444EC">
        <w:rPr>
          <w:rStyle w:val="hps"/>
          <w:rFonts w:hint="cs"/>
          <w:rtl/>
          <w:lang/>
        </w:rPr>
        <w:t>ً</w:t>
      </w:r>
      <w:r w:rsidRPr="00A444EC">
        <w:rPr>
          <w:rStyle w:val="hps"/>
          <w:rtl/>
          <w:lang/>
        </w:rPr>
        <w:t xml:space="preserve"> </w:t>
      </w:r>
      <w:r w:rsidRPr="00A444EC">
        <w:rPr>
          <w:rStyle w:val="hps"/>
          <w:rFonts w:hint="cs"/>
          <w:rtl/>
          <w:lang/>
        </w:rPr>
        <w:t xml:space="preserve">يدعو إلى </w:t>
      </w:r>
      <w:r w:rsidRPr="00A444EC">
        <w:rPr>
          <w:rFonts w:hint="cs"/>
          <w:rtl/>
          <w:lang/>
        </w:rPr>
        <w:t xml:space="preserve">توقيف السيد أنسي عبيشو </w:t>
      </w:r>
      <w:r w:rsidRPr="00A444EC">
        <w:rPr>
          <w:rtl/>
          <w:lang/>
        </w:rPr>
        <w:t xml:space="preserve">وتسليمه إلى </w:t>
      </w:r>
      <w:r w:rsidRPr="00A444EC">
        <w:rPr>
          <w:rStyle w:val="hps"/>
          <w:rtl/>
          <w:lang/>
        </w:rPr>
        <w:t>تونس</w:t>
      </w:r>
      <w:r w:rsidRPr="00A444EC">
        <w:rPr>
          <w:rtl/>
          <w:lang/>
        </w:rPr>
        <w:t>.</w:t>
      </w:r>
    </w:p>
    <w:p w:rsidR="005E110C" w:rsidRPr="00A444EC" w:rsidRDefault="005E110C" w:rsidP="005E110C">
      <w:pPr>
        <w:pStyle w:val="SingleTxtGA"/>
        <w:rPr>
          <w:rtl/>
          <w:lang/>
        </w:rPr>
      </w:pPr>
      <w:r w:rsidRPr="00A444EC">
        <w:rPr>
          <w:rtl/>
          <w:lang w:val="fr-CH"/>
        </w:rPr>
        <w:t>2-5</w:t>
      </w:r>
      <w:r w:rsidRPr="00A444EC">
        <w:rPr>
          <w:rtl/>
          <w:lang w:val="fr-CH"/>
        </w:rPr>
        <w:tab/>
      </w:r>
      <w:r w:rsidRPr="00A444EC">
        <w:rPr>
          <w:rStyle w:val="hps"/>
          <w:rtl/>
          <w:lang/>
        </w:rPr>
        <w:t>في 27 حزيران</w:t>
      </w:r>
      <w:r w:rsidRPr="00A444EC">
        <w:rPr>
          <w:rStyle w:val="hps"/>
          <w:rFonts w:hint="cs"/>
          <w:rtl/>
          <w:lang/>
        </w:rPr>
        <w:t>/يونيه</w:t>
      </w:r>
      <w:r w:rsidRPr="00A444EC">
        <w:rPr>
          <w:rtl/>
          <w:lang/>
        </w:rPr>
        <w:t xml:space="preserve"> </w:t>
      </w:r>
      <w:r w:rsidRPr="00A444EC">
        <w:rPr>
          <w:rStyle w:val="hps"/>
          <w:rtl/>
          <w:lang/>
        </w:rPr>
        <w:t xml:space="preserve">2009، </w:t>
      </w:r>
      <w:r w:rsidRPr="00A444EC">
        <w:rPr>
          <w:rStyle w:val="hps"/>
          <w:rFonts w:hint="cs"/>
          <w:rtl/>
          <w:lang/>
        </w:rPr>
        <w:t>أدانت</w:t>
      </w:r>
      <w:r w:rsidRPr="00A444EC">
        <w:rPr>
          <w:rStyle w:val="hps"/>
          <w:rtl/>
          <w:lang/>
        </w:rPr>
        <w:t xml:space="preserve"> المحكمة</w:t>
      </w:r>
      <w:r w:rsidRPr="00A444EC">
        <w:rPr>
          <w:rtl/>
          <w:lang/>
        </w:rPr>
        <w:t xml:space="preserve"> </w:t>
      </w:r>
      <w:r w:rsidRPr="00A444EC">
        <w:rPr>
          <w:rStyle w:val="hps"/>
          <w:rtl/>
          <w:lang/>
        </w:rPr>
        <w:t>الابتدائية بتونس</w:t>
      </w:r>
      <w:r w:rsidRPr="00A444EC">
        <w:rPr>
          <w:rtl/>
          <w:lang/>
        </w:rPr>
        <w:t xml:space="preserve"> </w:t>
      </w:r>
      <w:r w:rsidRPr="00A444EC">
        <w:rPr>
          <w:rStyle w:val="hps"/>
          <w:rtl/>
          <w:lang/>
        </w:rPr>
        <w:t>(</w:t>
      </w:r>
      <w:r w:rsidRPr="00A444EC">
        <w:rPr>
          <w:rtl/>
          <w:lang/>
        </w:rPr>
        <w:t xml:space="preserve">الدائرة الجنائية </w:t>
      </w:r>
      <w:r w:rsidRPr="00A444EC">
        <w:rPr>
          <w:rStyle w:val="hps"/>
          <w:rtl/>
          <w:lang/>
        </w:rPr>
        <w:t>الرابعة)</w:t>
      </w:r>
      <w:r w:rsidRPr="00A444EC">
        <w:rPr>
          <w:rtl/>
          <w:lang/>
        </w:rPr>
        <w:t xml:space="preserve"> </w:t>
      </w:r>
      <w:r w:rsidRPr="00A444EC">
        <w:rPr>
          <w:rStyle w:val="hps"/>
          <w:rtl/>
          <w:lang/>
        </w:rPr>
        <w:t>السيد</w:t>
      </w:r>
      <w:r w:rsidRPr="00A444EC">
        <w:rPr>
          <w:rtl/>
          <w:lang/>
        </w:rPr>
        <w:t xml:space="preserve"> </w:t>
      </w:r>
      <w:r w:rsidRPr="00A444EC">
        <w:rPr>
          <w:rStyle w:val="hps"/>
          <w:rFonts w:hint="cs"/>
          <w:rtl/>
          <w:lang/>
        </w:rPr>
        <w:t>أنسي عبيشو</w:t>
      </w:r>
      <w:r w:rsidRPr="00A444EC">
        <w:rPr>
          <w:rtl/>
          <w:lang/>
        </w:rPr>
        <w:t xml:space="preserve"> </w:t>
      </w:r>
      <w:r w:rsidRPr="00A444EC">
        <w:rPr>
          <w:rStyle w:val="hps"/>
          <w:rtl/>
          <w:lang/>
        </w:rPr>
        <w:t>في ال</w:t>
      </w:r>
      <w:r w:rsidRPr="00A444EC">
        <w:rPr>
          <w:rStyle w:val="hps"/>
          <w:rFonts w:hint="cs"/>
          <w:rtl/>
          <w:lang/>
        </w:rPr>
        <w:t>قضيتين</w:t>
      </w:r>
      <w:r w:rsidRPr="00A444EC">
        <w:rPr>
          <w:vertAlign w:val="superscript"/>
          <w:rtl/>
          <w:lang w:val="fr-CH"/>
        </w:rPr>
        <w:t>(</w:t>
      </w:r>
      <w:r w:rsidRPr="00A444EC">
        <w:rPr>
          <w:rStyle w:val="FootnoteReference"/>
          <w:rtl/>
          <w:lang w:val="fr-CH"/>
        </w:rPr>
        <w:footnoteReference w:id="127"/>
      </w:r>
      <w:r w:rsidRPr="00A444EC">
        <w:rPr>
          <w:vertAlign w:val="superscript"/>
          <w:rtl/>
          <w:lang w:val="fr-CH"/>
        </w:rPr>
        <w:t>)</w:t>
      </w:r>
      <w:r w:rsidRPr="00A444EC">
        <w:rPr>
          <w:rtl/>
          <w:lang/>
        </w:rPr>
        <w:t xml:space="preserve"> </w:t>
      </w:r>
      <w:r w:rsidRPr="00A444EC">
        <w:rPr>
          <w:rStyle w:val="hps"/>
          <w:rFonts w:hint="cs"/>
          <w:rtl/>
          <w:lang/>
        </w:rPr>
        <w:t>ب</w:t>
      </w:r>
      <w:r w:rsidRPr="00A444EC">
        <w:rPr>
          <w:rStyle w:val="hps"/>
          <w:rtl/>
          <w:lang/>
        </w:rPr>
        <w:t xml:space="preserve">السجن </w:t>
      </w:r>
      <w:r w:rsidRPr="00A444EC">
        <w:rPr>
          <w:rStyle w:val="hps"/>
          <w:rFonts w:hint="cs"/>
          <w:rtl/>
          <w:lang/>
        </w:rPr>
        <w:t xml:space="preserve">المؤبد والسجن خمس سنوات مع النفاذ المؤقت </w:t>
      </w:r>
      <w:r w:rsidRPr="00A444EC">
        <w:rPr>
          <w:rStyle w:val="hps"/>
          <w:rtl/>
          <w:lang/>
        </w:rPr>
        <w:t>ل</w:t>
      </w:r>
      <w:r w:rsidRPr="00A444EC">
        <w:rPr>
          <w:rtl/>
          <w:lang/>
        </w:rPr>
        <w:t>تشكيل</w:t>
      </w:r>
      <w:r w:rsidRPr="00A444EC">
        <w:rPr>
          <w:rFonts w:hint="cs"/>
          <w:rtl/>
          <w:lang/>
        </w:rPr>
        <w:t>ه</w:t>
      </w:r>
      <w:r w:rsidRPr="00A444EC">
        <w:rPr>
          <w:rtl/>
          <w:lang/>
        </w:rPr>
        <w:t xml:space="preserve"> عصابة </w:t>
      </w:r>
      <w:r w:rsidRPr="00A444EC">
        <w:rPr>
          <w:rStyle w:val="hps"/>
          <w:rtl/>
          <w:lang/>
        </w:rPr>
        <w:t>في</w:t>
      </w:r>
      <w:r w:rsidRPr="00A444EC">
        <w:rPr>
          <w:rtl/>
          <w:lang/>
        </w:rPr>
        <w:t xml:space="preserve"> </w:t>
      </w:r>
      <w:r w:rsidRPr="00A444EC">
        <w:rPr>
          <w:rStyle w:val="hps"/>
          <w:rtl/>
          <w:lang/>
        </w:rPr>
        <w:t>تونس</w:t>
      </w:r>
      <w:r w:rsidRPr="00A444EC">
        <w:rPr>
          <w:rtl/>
          <w:lang/>
        </w:rPr>
        <w:t xml:space="preserve"> </w:t>
      </w:r>
      <w:r w:rsidRPr="00A444EC">
        <w:rPr>
          <w:rStyle w:val="hps"/>
          <w:rtl/>
          <w:lang/>
        </w:rPr>
        <w:t xml:space="preserve">والخارج </w:t>
      </w:r>
      <w:r w:rsidRPr="00A444EC">
        <w:rPr>
          <w:rStyle w:val="hps"/>
          <w:rFonts w:hint="cs"/>
          <w:rtl/>
          <w:lang/>
        </w:rPr>
        <w:t>ب</w:t>
      </w:r>
      <w:r w:rsidRPr="00A444EC">
        <w:rPr>
          <w:rtl/>
          <w:lang/>
        </w:rPr>
        <w:t xml:space="preserve">غرض ارتكاب </w:t>
      </w:r>
      <w:r w:rsidRPr="00A444EC">
        <w:rPr>
          <w:rStyle w:val="hps"/>
          <w:rFonts w:hint="cs"/>
          <w:rtl/>
          <w:lang/>
        </w:rPr>
        <w:t>ج</w:t>
      </w:r>
      <w:r w:rsidRPr="00A444EC">
        <w:rPr>
          <w:rStyle w:val="hps"/>
          <w:rtl/>
          <w:lang/>
        </w:rPr>
        <w:t xml:space="preserve">رائم </w:t>
      </w:r>
      <w:r w:rsidRPr="00A444EC">
        <w:rPr>
          <w:rStyle w:val="hps"/>
          <w:rFonts w:hint="cs"/>
          <w:rtl/>
          <w:lang/>
        </w:rPr>
        <w:t>م</w:t>
      </w:r>
      <w:r w:rsidRPr="00A444EC">
        <w:rPr>
          <w:rStyle w:val="hps"/>
          <w:rtl/>
          <w:lang/>
        </w:rPr>
        <w:t>تعلقة بالمخدرات</w:t>
      </w:r>
      <w:r w:rsidRPr="00A444EC">
        <w:rPr>
          <w:rtl/>
          <w:lang/>
        </w:rPr>
        <w:t>.</w:t>
      </w:r>
    </w:p>
    <w:p w:rsidR="005E110C" w:rsidRPr="00A444EC" w:rsidRDefault="005E110C" w:rsidP="005E110C">
      <w:pPr>
        <w:pStyle w:val="SingleTxtGA"/>
        <w:rPr>
          <w:rStyle w:val="hps"/>
          <w:rtl/>
          <w:lang/>
        </w:rPr>
      </w:pPr>
      <w:r w:rsidRPr="00A444EC">
        <w:rPr>
          <w:rtl/>
          <w:lang w:val="fr-CH"/>
        </w:rPr>
        <w:t>2-6</w:t>
      </w:r>
      <w:r w:rsidRPr="00A444EC">
        <w:rPr>
          <w:rtl/>
          <w:lang w:val="fr-CH"/>
        </w:rPr>
        <w:tab/>
      </w:r>
      <w:r w:rsidRPr="00A444EC">
        <w:rPr>
          <w:rFonts w:hint="cs"/>
          <w:rtl/>
          <w:lang w:val="fr-CH"/>
        </w:rPr>
        <w:t>و</w:t>
      </w:r>
      <w:r w:rsidRPr="00A444EC">
        <w:rPr>
          <w:rStyle w:val="hps"/>
          <w:rtl/>
          <w:lang/>
        </w:rPr>
        <w:t>في 24 تشرين الأول</w:t>
      </w:r>
      <w:r w:rsidRPr="00A444EC">
        <w:rPr>
          <w:rStyle w:val="hps"/>
          <w:rFonts w:hint="cs"/>
          <w:rtl/>
          <w:lang/>
        </w:rPr>
        <w:t>/أكتوبر</w:t>
      </w:r>
      <w:r w:rsidRPr="00A444EC">
        <w:rPr>
          <w:rtl/>
          <w:lang/>
        </w:rPr>
        <w:t xml:space="preserve"> </w:t>
      </w:r>
      <w:r w:rsidRPr="00A444EC">
        <w:rPr>
          <w:rStyle w:val="hps"/>
          <w:rtl/>
          <w:lang/>
        </w:rPr>
        <w:t>2009،</w:t>
      </w:r>
      <w:r w:rsidRPr="00A444EC">
        <w:rPr>
          <w:rtl/>
          <w:lang/>
        </w:rPr>
        <w:t xml:space="preserve"> </w:t>
      </w:r>
      <w:r w:rsidRPr="00A444EC">
        <w:rPr>
          <w:rStyle w:val="hps"/>
          <w:rFonts w:hint="cs"/>
          <w:rtl/>
          <w:lang/>
        </w:rPr>
        <w:t>عقب</w:t>
      </w:r>
      <w:r w:rsidRPr="00A444EC">
        <w:rPr>
          <w:rStyle w:val="hps"/>
          <w:rtl/>
          <w:lang/>
        </w:rPr>
        <w:t xml:space="preserve"> </w:t>
      </w:r>
      <w:r w:rsidRPr="00A444EC">
        <w:rPr>
          <w:rStyle w:val="hps"/>
          <w:rFonts w:hint="cs"/>
          <w:rtl/>
          <w:lang/>
        </w:rPr>
        <w:t>توقيف</w:t>
      </w:r>
      <w:r w:rsidRPr="00A444EC">
        <w:rPr>
          <w:rtl/>
          <w:lang/>
        </w:rPr>
        <w:t xml:space="preserve"> </w:t>
      </w:r>
      <w:r w:rsidRPr="00A444EC">
        <w:rPr>
          <w:rStyle w:val="hps"/>
          <w:rtl/>
          <w:lang/>
        </w:rPr>
        <w:t>ا</w:t>
      </w:r>
      <w:r w:rsidRPr="00A444EC">
        <w:rPr>
          <w:rStyle w:val="hps"/>
          <w:rFonts w:hint="cs"/>
          <w:rtl/>
          <w:lang/>
        </w:rPr>
        <w:t>لشرطة الألمانية ل</w:t>
      </w:r>
      <w:r w:rsidRPr="00A444EC">
        <w:rPr>
          <w:rStyle w:val="hps"/>
          <w:rtl/>
          <w:lang/>
        </w:rPr>
        <w:t>لسيد</w:t>
      </w:r>
      <w:r w:rsidRPr="00A444EC">
        <w:rPr>
          <w:rtl/>
          <w:lang/>
        </w:rPr>
        <w:t xml:space="preserve"> </w:t>
      </w:r>
      <w:r w:rsidRPr="00A444EC">
        <w:rPr>
          <w:rStyle w:val="hps"/>
          <w:rFonts w:hint="cs"/>
          <w:rtl/>
          <w:lang/>
        </w:rPr>
        <w:t>أنسي عبيشو</w:t>
      </w:r>
      <w:r w:rsidRPr="00A444EC">
        <w:rPr>
          <w:rtl/>
          <w:lang/>
        </w:rPr>
        <w:t xml:space="preserve">، </w:t>
      </w:r>
      <w:r w:rsidRPr="00A444EC">
        <w:rPr>
          <w:rFonts w:hint="cs"/>
          <w:rtl/>
          <w:lang/>
        </w:rPr>
        <w:t xml:space="preserve">وجه </w:t>
      </w:r>
      <w:r w:rsidRPr="00A444EC">
        <w:rPr>
          <w:rStyle w:val="hps"/>
          <w:rtl/>
          <w:lang/>
        </w:rPr>
        <w:t xml:space="preserve">قاضي التحقيق </w:t>
      </w:r>
      <w:r w:rsidRPr="00A444EC">
        <w:rPr>
          <w:rStyle w:val="hps"/>
          <w:rFonts w:hint="cs"/>
          <w:rtl/>
          <w:lang/>
        </w:rPr>
        <w:t>المسؤول عن</w:t>
      </w:r>
      <w:r w:rsidRPr="00A444EC">
        <w:rPr>
          <w:rtl/>
          <w:lang/>
        </w:rPr>
        <w:t xml:space="preserve"> </w:t>
      </w:r>
      <w:r w:rsidRPr="00A444EC">
        <w:rPr>
          <w:rStyle w:val="hps"/>
          <w:rtl/>
          <w:lang/>
        </w:rPr>
        <w:t>المكتب</w:t>
      </w:r>
      <w:r w:rsidRPr="00A444EC">
        <w:rPr>
          <w:rtl/>
          <w:lang/>
        </w:rPr>
        <w:t xml:space="preserve"> </w:t>
      </w:r>
      <w:r w:rsidRPr="00A444EC">
        <w:rPr>
          <w:rStyle w:val="hps"/>
          <w:rtl/>
          <w:lang/>
        </w:rPr>
        <w:t>الثامن لل</w:t>
      </w:r>
      <w:r w:rsidRPr="00A444EC">
        <w:rPr>
          <w:rtl/>
          <w:lang/>
        </w:rPr>
        <w:t xml:space="preserve">محكمة </w:t>
      </w:r>
      <w:r w:rsidRPr="00A444EC">
        <w:rPr>
          <w:rStyle w:val="hps"/>
          <w:rtl/>
          <w:lang/>
        </w:rPr>
        <w:t>الابتدائية بتونس</w:t>
      </w:r>
      <w:r w:rsidRPr="00A444EC">
        <w:rPr>
          <w:rStyle w:val="hps"/>
          <w:rFonts w:hint="cs"/>
          <w:rtl/>
          <w:lang/>
        </w:rPr>
        <w:t xml:space="preserve"> إلى السلطات القضائية الألمانية "طلباً </w:t>
      </w:r>
      <w:r w:rsidRPr="00A444EC">
        <w:rPr>
          <w:rStyle w:val="hps"/>
          <w:rtl/>
          <w:lang/>
        </w:rPr>
        <w:t>من</w:t>
      </w:r>
      <w:r w:rsidRPr="00A444EC">
        <w:rPr>
          <w:rtl/>
          <w:lang/>
        </w:rPr>
        <w:t xml:space="preserve"> </w:t>
      </w:r>
      <w:r w:rsidRPr="00A444EC">
        <w:rPr>
          <w:rStyle w:val="hps"/>
          <w:rtl/>
          <w:lang/>
        </w:rPr>
        <w:t>السلطات التونسية</w:t>
      </w:r>
      <w:r w:rsidRPr="00A444EC">
        <w:rPr>
          <w:rtl/>
          <w:lang/>
        </w:rPr>
        <w:t xml:space="preserve"> إلى </w:t>
      </w:r>
      <w:r w:rsidRPr="00A444EC">
        <w:rPr>
          <w:rStyle w:val="hps"/>
          <w:rtl/>
          <w:lang/>
        </w:rPr>
        <w:t>السلطات الألمانية</w:t>
      </w:r>
      <w:r w:rsidRPr="00A444EC">
        <w:rPr>
          <w:rtl/>
          <w:lang/>
        </w:rPr>
        <w:t xml:space="preserve"> </w:t>
      </w:r>
      <w:r w:rsidRPr="00A444EC">
        <w:rPr>
          <w:rStyle w:val="hps"/>
          <w:rtl/>
          <w:lang/>
        </w:rPr>
        <w:t>لتسليم</w:t>
      </w:r>
      <w:r w:rsidRPr="00A444EC">
        <w:rPr>
          <w:rtl/>
          <w:lang/>
        </w:rPr>
        <w:t xml:space="preserve"> </w:t>
      </w:r>
      <w:r w:rsidRPr="00A444EC">
        <w:rPr>
          <w:rStyle w:val="hps"/>
          <w:rtl/>
          <w:lang/>
        </w:rPr>
        <w:t>المواطن التونسي</w:t>
      </w:r>
      <w:r w:rsidRPr="00A444EC">
        <w:rPr>
          <w:rtl/>
          <w:lang/>
        </w:rPr>
        <w:t xml:space="preserve"> </w:t>
      </w:r>
      <w:r w:rsidRPr="00A444EC">
        <w:rPr>
          <w:rStyle w:val="hps"/>
          <w:rtl/>
          <w:lang/>
        </w:rPr>
        <w:t>أنسي</w:t>
      </w:r>
      <w:r w:rsidRPr="00A444EC">
        <w:rPr>
          <w:rtl/>
          <w:lang/>
        </w:rPr>
        <w:t xml:space="preserve"> </w:t>
      </w:r>
      <w:r w:rsidRPr="00A444EC">
        <w:rPr>
          <w:rStyle w:val="hps"/>
          <w:rFonts w:hint="cs"/>
          <w:rtl/>
          <w:lang/>
        </w:rPr>
        <w:t>عبيشو"</w:t>
      </w:r>
      <w:r w:rsidRPr="00A444EC">
        <w:rPr>
          <w:rtl/>
          <w:lang/>
        </w:rPr>
        <w:t xml:space="preserve">. </w:t>
      </w:r>
      <w:r w:rsidRPr="00A444EC">
        <w:rPr>
          <w:rFonts w:hint="cs"/>
          <w:rtl/>
          <w:lang/>
        </w:rPr>
        <w:t>و</w:t>
      </w:r>
      <w:r w:rsidRPr="00A444EC">
        <w:rPr>
          <w:rStyle w:val="hps"/>
          <w:rtl/>
          <w:lang/>
        </w:rPr>
        <w:t>أرسلت</w:t>
      </w:r>
      <w:r w:rsidRPr="00A444EC">
        <w:rPr>
          <w:rtl/>
          <w:lang/>
        </w:rPr>
        <w:t xml:space="preserve"> </w:t>
      </w:r>
      <w:r w:rsidRPr="00A444EC">
        <w:rPr>
          <w:rStyle w:val="hps"/>
          <w:rtl/>
          <w:lang/>
        </w:rPr>
        <w:t>الدولة الطرف يوم</w:t>
      </w:r>
      <w:r w:rsidRPr="00A444EC">
        <w:rPr>
          <w:rStyle w:val="hps"/>
          <w:rFonts w:hint="cs"/>
          <w:rtl/>
          <w:lang/>
        </w:rPr>
        <w:t>ي</w:t>
      </w:r>
      <w:r w:rsidRPr="00A444EC">
        <w:rPr>
          <w:rStyle w:val="hps"/>
          <w:rtl/>
          <w:lang/>
        </w:rPr>
        <w:t xml:space="preserve"> 25 </w:t>
      </w:r>
      <w:r w:rsidRPr="00A444EC">
        <w:rPr>
          <w:rStyle w:val="hps"/>
          <w:rFonts w:hint="cs"/>
          <w:rtl/>
          <w:lang/>
        </w:rPr>
        <w:t>آذار/</w:t>
      </w:r>
      <w:r w:rsidRPr="00A444EC">
        <w:rPr>
          <w:rStyle w:val="hps"/>
          <w:rtl/>
          <w:lang/>
        </w:rPr>
        <w:t>مارس</w:t>
      </w:r>
      <w:r w:rsidRPr="00A444EC">
        <w:rPr>
          <w:rtl/>
          <w:lang/>
        </w:rPr>
        <w:t xml:space="preserve"> و</w:t>
      </w:r>
      <w:r w:rsidRPr="00A444EC">
        <w:rPr>
          <w:rStyle w:val="hps"/>
          <w:rtl/>
          <w:lang/>
        </w:rPr>
        <w:t>6</w:t>
      </w:r>
      <w:r w:rsidRPr="00A444EC">
        <w:rPr>
          <w:rtl/>
          <w:lang/>
        </w:rPr>
        <w:t xml:space="preserve"> </w:t>
      </w:r>
      <w:r w:rsidRPr="00A444EC">
        <w:rPr>
          <w:rFonts w:hint="cs"/>
          <w:rtl/>
          <w:lang/>
        </w:rPr>
        <w:t>أيار/</w:t>
      </w:r>
      <w:r w:rsidRPr="00A444EC">
        <w:rPr>
          <w:rStyle w:val="hps"/>
          <w:rtl/>
          <w:lang/>
        </w:rPr>
        <w:t>مايو 2010</w:t>
      </w:r>
      <w:r w:rsidRPr="00A444EC">
        <w:rPr>
          <w:rStyle w:val="hps"/>
          <w:rFonts w:hint="cs"/>
          <w:rtl/>
          <w:lang/>
        </w:rPr>
        <w:t xml:space="preserve"> مذكرتين شفويتين</w:t>
      </w:r>
      <w:r w:rsidRPr="00A444EC">
        <w:rPr>
          <w:rStyle w:val="hps"/>
          <w:rtl/>
          <w:lang/>
        </w:rPr>
        <w:t xml:space="preserve"> إلى تونس</w:t>
      </w:r>
      <w:r w:rsidRPr="00A444EC">
        <w:rPr>
          <w:rtl/>
          <w:lang/>
        </w:rPr>
        <w:t xml:space="preserve"> </w:t>
      </w:r>
      <w:r w:rsidRPr="00A444EC">
        <w:rPr>
          <w:rStyle w:val="hps"/>
          <w:rtl/>
          <w:lang/>
        </w:rPr>
        <w:t>تطلب</w:t>
      </w:r>
      <w:r w:rsidRPr="00A444EC">
        <w:rPr>
          <w:rStyle w:val="hps"/>
          <w:rFonts w:hint="cs"/>
          <w:rtl/>
          <w:lang/>
        </w:rPr>
        <w:t xml:space="preserve"> فيهما تقديم</w:t>
      </w:r>
      <w:r w:rsidRPr="00A444EC">
        <w:rPr>
          <w:rtl/>
          <w:lang/>
        </w:rPr>
        <w:t xml:space="preserve"> </w:t>
      </w:r>
      <w:r w:rsidRPr="00A444EC">
        <w:rPr>
          <w:rStyle w:val="hps"/>
          <w:rFonts w:hint="cs"/>
          <w:rtl/>
          <w:lang/>
        </w:rPr>
        <w:t>ضمانات فيما يتعلق</w:t>
      </w:r>
      <w:r w:rsidRPr="00A444EC">
        <w:rPr>
          <w:rStyle w:val="hps"/>
          <w:rtl/>
          <w:lang/>
        </w:rPr>
        <w:t xml:space="preserve"> </w:t>
      </w:r>
      <w:r w:rsidRPr="00A444EC">
        <w:rPr>
          <w:rStyle w:val="hps"/>
          <w:rFonts w:hint="cs"/>
          <w:rtl/>
          <w:lang/>
        </w:rPr>
        <w:t xml:space="preserve">بمراعاة </w:t>
      </w:r>
      <w:r w:rsidRPr="00A444EC">
        <w:rPr>
          <w:rStyle w:val="hps"/>
          <w:rtl/>
          <w:lang/>
        </w:rPr>
        <w:t>حقوق</w:t>
      </w:r>
      <w:r w:rsidRPr="00A444EC">
        <w:rPr>
          <w:rtl/>
          <w:lang/>
        </w:rPr>
        <w:t xml:space="preserve"> </w:t>
      </w:r>
      <w:r w:rsidRPr="00A444EC">
        <w:rPr>
          <w:rStyle w:val="hps"/>
          <w:rtl/>
          <w:lang/>
        </w:rPr>
        <w:t>السيد</w:t>
      </w:r>
      <w:r w:rsidRPr="00A444EC">
        <w:rPr>
          <w:rtl/>
          <w:lang/>
        </w:rPr>
        <w:t xml:space="preserve"> </w:t>
      </w:r>
      <w:r w:rsidRPr="00A444EC">
        <w:rPr>
          <w:rStyle w:val="hps"/>
          <w:rFonts w:hint="cs"/>
          <w:rtl/>
          <w:lang/>
        </w:rPr>
        <w:t>أنسي عبيشو</w:t>
      </w:r>
      <w:r w:rsidRPr="00A444EC">
        <w:rPr>
          <w:rtl/>
          <w:lang/>
        </w:rPr>
        <w:t xml:space="preserve"> </w:t>
      </w:r>
      <w:r w:rsidRPr="00A444EC">
        <w:rPr>
          <w:rStyle w:val="hps"/>
          <w:rtl/>
          <w:lang/>
        </w:rPr>
        <w:t>في حال</w:t>
      </w:r>
      <w:r w:rsidRPr="00A444EC">
        <w:rPr>
          <w:rtl/>
          <w:lang/>
        </w:rPr>
        <w:t xml:space="preserve"> </w:t>
      </w:r>
      <w:r w:rsidRPr="00A444EC">
        <w:rPr>
          <w:rStyle w:val="hps"/>
          <w:rtl/>
          <w:lang/>
        </w:rPr>
        <w:t>تسليمه إلى تونس</w:t>
      </w:r>
      <w:r w:rsidRPr="00A444EC">
        <w:rPr>
          <w:rtl/>
          <w:lang/>
        </w:rPr>
        <w:t xml:space="preserve">. </w:t>
      </w:r>
      <w:r w:rsidRPr="00A444EC">
        <w:rPr>
          <w:rFonts w:hint="cs"/>
          <w:rtl/>
          <w:lang/>
        </w:rPr>
        <w:t>و</w:t>
      </w:r>
      <w:r w:rsidRPr="00A444EC">
        <w:rPr>
          <w:rStyle w:val="hps"/>
          <w:rtl/>
          <w:lang/>
        </w:rPr>
        <w:t>ردا</w:t>
      </w:r>
      <w:r w:rsidRPr="00A444EC">
        <w:rPr>
          <w:rStyle w:val="hps"/>
          <w:rFonts w:hint="cs"/>
          <w:rtl/>
          <w:lang/>
        </w:rPr>
        <w:t>ً</w:t>
      </w:r>
      <w:r w:rsidRPr="00A444EC">
        <w:rPr>
          <w:rStyle w:val="hps"/>
          <w:rtl/>
          <w:lang/>
        </w:rPr>
        <w:t xml:space="preserve"> على ذلك،</w:t>
      </w:r>
      <w:r w:rsidRPr="00A444EC">
        <w:rPr>
          <w:rtl/>
          <w:lang/>
        </w:rPr>
        <w:t xml:space="preserve"> </w:t>
      </w:r>
      <w:r w:rsidRPr="00A444EC">
        <w:rPr>
          <w:rStyle w:val="hps"/>
          <w:rFonts w:hint="cs"/>
          <w:rtl/>
          <w:lang/>
        </w:rPr>
        <w:t>بعثت</w:t>
      </w:r>
      <w:r w:rsidRPr="00A444EC">
        <w:rPr>
          <w:rStyle w:val="hps"/>
          <w:rtl/>
          <w:lang/>
        </w:rPr>
        <w:t xml:space="preserve"> وزارة</w:t>
      </w:r>
      <w:r w:rsidRPr="00A444EC">
        <w:rPr>
          <w:rtl/>
          <w:lang/>
        </w:rPr>
        <w:t xml:space="preserve"> </w:t>
      </w:r>
      <w:r w:rsidRPr="00A444EC">
        <w:rPr>
          <w:rStyle w:val="hps"/>
          <w:rFonts w:hint="cs"/>
          <w:rtl/>
          <w:lang/>
        </w:rPr>
        <w:t>الخارجية التونسية</w:t>
      </w:r>
      <w:r w:rsidRPr="00A444EC">
        <w:rPr>
          <w:rtl/>
          <w:lang/>
        </w:rPr>
        <w:t xml:space="preserve"> </w:t>
      </w:r>
      <w:r w:rsidRPr="00A444EC">
        <w:rPr>
          <w:rFonts w:hint="cs"/>
          <w:rtl/>
          <w:lang/>
        </w:rPr>
        <w:t>ب</w:t>
      </w:r>
      <w:r w:rsidRPr="00A444EC">
        <w:rPr>
          <w:rStyle w:val="hps"/>
          <w:rtl/>
          <w:lang/>
        </w:rPr>
        <w:t>رسالتين</w:t>
      </w:r>
      <w:r w:rsidRPr="00A444EC">
        <w:rPr>
          <w:vertAlign w:val="superscript"/>
          <w:rtl/>
          <w:lang w:val="fr-CH"/>
        </w:rPr>
        <w:t>(</w:t>
      </w:r>
      <w:r w:rsidRPr="00B93686">
        <w:rPr>
          <w:rStyle w:val="FootnoteReference"/>
          <w:color w:val="FFFFFF"/>
          <w:sz w:val="2"/>
          <w:szCs w:val="2"/>
          <w:rtl/>
          <w:lang w:val="fr-CH"/>
        </w:rPr>
        <w:footnoteReference w:id="128"/>
      </w:r>
      <w:r w:rsidR="0077398F" w:rsidRPr="00A444EC">
        <w:rPr>
          <w:rFonts w:hint="cs"/>
          <w:sz w:val="30"/>
          <w:vertAlign w:val="superscript"/>
          <w:rtl/>
          <w:lang w:val="fr-CH"/>
        </w:rPr>
        <w:t>ﻫ</w:t>
      </w:r>
      <w:r w:rsidRPr="00A444EC">
        <w:rPr>
          <w:vertAlign w:val="superscript"/>
          <w:rtl/>
          <w:lang w:val="fr-CH"/>
        </w:rPr>
        <w:t>)</w:t>
      </w:r>
      <w:r w:rsidRPr="00A444EC">
        <w:rPr>
          <w:rtl/>
          <w:lang/>
        </w:rPr>
        <w:t xml:space="preserve"> </w:t>
      </w:r>
      <w:r w:rsidRPr="00A444EC">
        <w:rPr>
          <w:rStyle w:val="hps"/>
          <w:rFonts w:hint="cs"/>
          <w:rtl/>
          <w:lang/>
        </w:rPr>
        <w:t>قدمت فيهما بوجه خاص ضمانات الالتزام في الدعوى الجديدة التي ستقام بعد تسليم السيد أنسي عبيشو بمعايير</w:t>
      </w:r>
      <w:r w:rsidRPr="00A444EC">
        <w:rPr>
          <w:rStyle w:val="hps"/>
          <w:rtl/>
          <w:lang/>
        </w:rPr>
        <w:t xml:space="preserve"> العهد</w:t>
      </w:r>
      <w:r w:rsidRPr="00A444EC">
        <w:rPr>
          <w:rtl/>
          <w:lang/>
        </w:rPr>
        <w:t xml:space="preserve"> </w:t>
      </w:r>
      <w:r w:rsidRPr="00A444EC">
        <w:rPr>
          <w:rStyle w:val="hps"/>
          <w:rtl/>
          <w:lang/>
        </w:rPr>
        <w:t>الدولي الخاص بالحقوق</w:t>
      </w:r>
      <w:r w:rsidRPr="00A444EC">
        <w:rPr>
          <w:rtl/>
          <w:lang/>
        </w:rPr>
        <w:t xml:space="preserve"> </w:t>
      </w:r>
      <w:r w:rsidRPr="00A444EC">
        <w:rPr>
          <w:rStyle w:val="hps"/>
          <w:rtl/>
          <w:lang/>
        </w:rPr>
        <w:t>المدنية والسياسية</w:t>
      </w:r>
      <w:r w:rsidRPr="00A444EC">
        <w:rPr>
          <w:rtl/>
          <w:lang/>
        </w:rPr>
        <w:t xml:space="preserve">، </w:t>
      </w:r>
      <w:r w:rsidRPr="00A444EC">
        <w:rPr>
          <w:rStyle w:val="hps"/>
          <w:rtl/>
          <w:lang/>
        </w:rPr>
        <w:t>الذي</w:t>
      </w:r>
      <w:r w:rsidRPr="00A444EC">
        <w:rPr>
          <w:rtl/>
          <w:lang/>
        </w:rPr>
        <w:t xml:space="preserve"> </w:t>
      </w:r>
      <w:r w:rsidRPr="00A444EC">
        <w:rPr>
          <w:rStyle w:val="hps"/>
          <w:rtl/>
          <w:lang/>
        </w:rPr>
        <w:t>صدقت عليه</w:t>
      </w:r>
      <w:r w:rsidRPr="00A444EC">
        <w:rPr>
          <w:rtl/>
          <w:lang/>
        </w:rPr>
        <w:t xml:space="preserve"> </w:t>
      </w:r>
      <w:r w:rsidRPr="00A444EC">
        <w:rPr>
          <w:rStyle w:val="hps"/>
          <w:rtl/>
          <w:lang/>
        </w:rPr>
        <w:t>تونس</w:t>
      </w:r>
      <w:r w:rsidRPr="00A444EC">
        <w:rPr>
          <w:rtl/>
          <w:lang/>
        </w:rPr>
        <w:t xml:space="preserve">، </w:t>
      </w:r>
      <w:r w:rsidRPr="00A444EC">
        <w:rPr>
          <w:rStyle w:val="hps"/>
          <w:rtl/>
          <w:lang/>
        </w:rPr>
        <w:t>و</w:t>
      </w:r>
      <w:r w:rsidRPr="00A444EC">
        <w:rPr>
          <w:rStyle w:val="hps"/>
          <w:rFonts w:hint="cs"/>
          <w:rtl/>
          <w:lang/>
        </w:rPr>
        <w:t>أكدت أن السيد أنسي عبيشو سيقضى</w:t>
      </w:r>
      <w:r w:rsidRPr="00A444EC">
        <w:rPr>
          <w:rtl/>
          <w:lang/>
        </w:rPr>
        <w:t xml:space="preserve"> </w:t>
      </w:r>
      <w:r w:rsidRPr="00A444EC">
        <w:rPr>
          <w:rStyle w:val="hps"/>
          <w:rtl/>
          <w:lang/>
        </w:rPr>
        <w:t>مدة عقوبته</w:t>
      </w:r>
      <w:r w:rsidRPr="00A444EC">
        <w:rPr>
          <w:rStyle w:val="hps"/>
          <w:rFonts w:hint="cs"/>
          <w:rtl/>
          <w:lang/>
        </w:rPr>
        <w:t>، في حالة إدانته،</w:t>
      </w:r>
      <w:r w:rsidRPr="00A444EC">
        <w:rPr>
          <w:rtl/>
          <w:lang/>
        </w:rPr>
        <w:t xml:space="preserve"> </w:t>
      </w:r>
      <w:r w:rsidRPr="00A444EC">
        <w:rPr>
          <w:rStyle w:val="hps"/>
          <w:rtl/>
          <w:lang/>
        </w:rPr>
        <w:t>في</w:t>
      </w:r>
      <w:r w:rsidRPr="00A444EC">
        <w:rPr>
          <w:rtl/>
          <w:lang/>
        </w:rPr>
        <w:t xml:space="preserve"> </w:t>
      </w:r>
      <w:r w:rsidRPr="00A444EC">
        <w:rPr>
          <w:rStyle w:val="hps"/>
          <w:rFonts w:hint="cs"/>
          <w:rtl/>
          <w:lang/>
        </w:rPr>
        <w:t xml:space="preserve">سجن تُحترم فيه </w:t>
      </w:r>
      <w:r w:rsidRPr="00A444EC">
        <w:rPr>
          <w:rFonts w:hint="cs"/>
          <w:rtl/>
          <w:lang/>
        </w:rPr>
        <w:t>القواعد</w:t>
      </w:r>
      <w:r w:rsidRPr="00A444EC">
        <w:rPr>
          <w:rStyle w:val="hps"/>
          <w:rtl/>
          <w:lang/>
        </w:rPr>
        <w:t xml:space="preserve"> النموذجية الدنيا </w:t>
      </w:r>
      <w:r w:rsidRPr="00A444EC">
        <w:rPr>
          <w:rStyle w:val="hps"/>
          <w:rFonts w:hint="cs"/>
          <w:rtl/>
          <w:lang/>
        </w:rPr>
        <w:t>لم</w:t>
      </w:r>
      <w:r w:rsidRPr="00A444EC">
        <w:rPr>
          <w:rtl/>
          <w:lang/>
        </w:rPr>
        <w:t>عاملة السجناء.</w:t>
      </w:r>
    </w:p>
    <w:p w:rsidR="005E110C" w:rsidRPr="00A444EC" w:rsidRDefault="005E110C" w:rsidP="0077398F">
      <w:pPr>
        <w:pStyle w:val="SingleTxtGA"/>
        <w:rPr>
          <w:rStyle w:val="hps"/>
          <w:rtl/>
          <w:lang/>
        </w:rPr>
      </w:pPr>
      <w:r w:rsidRPr="00A444EC">
        <w:rPr>
          <w:rtl/>
          <w:lang w:val="fr-CH"/>
        </w:rPr>
        <w:t>2-7</w:t>
      </w:r>
      <w:r w:rsidRPr="00A444EC">
        <w:rPr>
          <w:rtl/>
          <w:lang w:val="fr-CH"/>
        </w:rPr>
        <w:tab/>
      </w:r>
      <w:r w:rsidRPr="00A444EC">
        <w:rPr>
          <w:rFonts w:hint="cs"/>
          <w:rtl/>
          <w:lang w:val="fr-CH"/>
        </w:rPr>
        <w:t>و</w:t>
      </w:r>
      <w:r w:rsidRPr="00A444EC">
        <w:rPr>
          <w:rStyle w:val="hps"/>
          <w:rtl/>
          <w:lang/>
        </w:rPr>
        <w:t>في 20</w:t>
      </w:r>
      <w:r w:rsidRPr="00A444EC">
        <w:rPr>
          <w:rtl/>
          <w:lang/>
        </w:rPr>
        <w:t xml:space="preserve"> </w:t>
      </w:r>
      <w:r w:rsidRPr="00A444EC">
        <w:rPr>
          <w:rFonts w:hint="cs"/>
          <w:rtl/>
          <w:lang/>
        </w:rPr>
        <w:t>أيار/</w:t>
      </w:r>
      <w:r w:rsidRPr="00A444EC">
        <w:rPr>
          <w:rStyle w:val="hps"/>
          <w:rtl/>
          <w:lang/>
        </w:rPr>
        <w:t>مايو 2010،</w:t>
      </w:r>
      <w:r w:rsidRPr="00A444EC">
        <w:rPr>
          <w:rtl/>
          <w:lang/>
        </w:rPr>
        <w:t xml:space="preserve"> </w:t>
      </w:r>
      <w:r w:rsidRPr="00A444EC">
        <w:rPr>
          <w:rFonts w:hint="cs"/>
          <w:rtl/>
          <w:lang/>
        </w:rPr>
        <w:t xml:space="preserve">أكدت </w:t>
      </w:r>
      <w:r w:rsidRPr="00A444EC">
        <w:rPr>
          <w:rStyle w:val="hps"/>
          <w:rtl/>
          <w:lang/>
        </w:rPr>
        <w:t>المحكمة العليا</w:t>
      </w:r>
      <w:r w:rsidRPr="00A444EC">
        <w:rPr>
          <w:rtl/>
          <w:lang/>
        </w:rPr>
        <w:t xml:space="preserve"> </w:t>
      </w:r>
      <w:r w:rsidRPr="00A444EC">
        <w:rPr>
          <w:rStyle w:val="hps"/>
          <w:rFonts w:hint="cs"/>
          <w:rtl/>
          <w:lang/>
        </w:rPr>
        <w:t>لولاية سار مشروعية التسليم</w:t>
      </w:r>
      <w:r w:rsidRPr="00A444EC">
        <w:rPr>
          <w:rtl/>
          <w:lang/>
        </w:rPr>
        <w:t xml:space="preserve">، </w:t>
      </w:r>
      <w:r w:rsidRPr="00A444EC">
        <w:rPr>
          <w:rFonts w:hint="cs"/>
          <w:rtl/>
          <w:lang/>
        </w:rPr>
        <w:t>فأذنت بذلك ل</w:t>
      </w:r>
      <w:r w:rsidRPr="00A444EC">
        <w:rPr>
          <w:rStyle w:val="hps"/>
          <w:rtl/>
          <w:lang/>
        </w:rPr>
        <w:t>وزارة</w:t>
      </w:r>
      <w:r w:rsidRPr="00A444EC">
        <w:rPr>
          <w:rtl/>
          <w:lang/>
        </w:rPr>
        <w:t xml:space="preserve"> </w:t>
      </w:r>
      <w:r w:rsidRPr="00A444EC">
        <w:rPr>
          <w:rStyle w:val="hps"/>
          <w:rtl/>
          <w:lang/>
        </w:rPr>
        <w:t>الخارجية الألمانية</w:t>
      </w:r>
      <w:r w:rsidRPr="00A444EC">
        <w:rPr>
          <w:rtl/>
          <w:lang/>
        </w:rPr>
        <w:t xml:space="preserve"> </w:t>
      </w:r>
      <w:r w:rsidRPr="00A444EC">
        <w:rPr>
          <w:rFonts w:hint="cs"/>
          <w:rtl/>
          <w:lang/>
        </w:rPr>
        <w:t>ب</w:t>
      </w:r>
      <w:r w:rsidRPr="00A444EC">
        <w:rPr>
          <w:rStyle w:val="hps"/>
          <w:rtl/>
          <w:lang/>
        </w:rPr>
        <w:t>أن تأمر</w:t>
      </w:r>
      <w:r w:rsidRPr="00A444EC">
        <w:rPr>
          <w:rtl/>
          <w:lang/>
        </w:rPr>
        <w:t xml:space="preserve"> </w:t>
      </w:r>
      <w:r w:rsidRPr="00A444EC">
        <w:rPr>
          <w:rStyle w:val="hps"/>
          <w:rtl/>
          <w:lang/>
        </w:rPr>
        <w:t>رسمياً بتسليم</w:t>
      </w:r>
      <w:r w:rsidRPr="00A444EC">
        <w:rPr>
          <w:rtl/>
          <w:lang/>
        </w:rPr>
        <w:t xml:space="preserve"> </w:t>
      </w:r>
      <w:r w:rsidRPr="00A444EC">
        <w:rPr>
          <w:rStyle w:val="hps"/>
          <w:rtl/>
          <w:lang/>
        </w:rPr>
        <w:t>السيد</w:t>
      </w:r>
      <w:r w:rsidRPr="00A444EC">
        <w:rPr>
          <w:rtl/>
          <w:lang/>
        </w:rPr>
        <w:t xml:space="preserve"> </w:t>
      </w:r>
      <w:r w:rsidRPr="00A444EC">
        <w:rPr>
          <w:rStyle w:val="hps"/>
          <w:rFonts w:hint="cs"/>
          <w:rtl/>
          <w:lang/>
        </w:rPr>
        <w:t>أنسي عبيشو</w:t>
      </w:r>
      <w:r w:rsidRPr="00A444EC">
        <w:rPr>
          <w:rtl/>
          <w:lang/>
        </w:rPr>
        <w:t xml:space="preserve">. </w:t>
      </w:r>
      <w:r w:rsidRPr="00A444EC">
        <w:rPr>
          <w:rFonts w:hint="cs"/>
          <w:rtl/>
          <w:lang/>
        </w:rPr>
        <w:t xml:space="preserve">وطعن عبيشو، بمساعدة محاميه، </w:t>
      </w:r>
      <w:r w:rsidRPr="00A444EC">
        <w:rPr>
          <w:rStyle w:val="hps"/>
          <w:rFonts w:hint="cs"/>
          <w:rtl/>
          <w:lang/>
        </w:rPr>
        <w:t xml:space="preserve">في </w:t>
      </w:r>
      <w:r w:rsidRPr="00A444EC">
        <w:rPr>
          <w:rStyle w:val="hps"/>
          <w:rtl/>
          <w:lang/>
        </w:rPr>
        <w:t>القرار</w:t>
      </w:r>
      <w:r w:rsidRPr="00A444EC">
        <w:rPr>
          <w:rtl/>
          <w:lang/>
        </w:rPr>
        <w:t xml:space="preserve"> </w:t>
      </w:r>
      <w:r w:rsidRPr="00A444EC">
        <w:rPr>
          <w:rStyle w:val="hps"/>
          <w:rtl/>
          <w:lang/>
        </w:rPr>
        <w:t xml:space="preserve">الصادر في 20 </w:t>
      </w:r>
      <w:r w:rsidRPr="00A444EC">
        <w:rPr>
          <w:rStyle w:val="hps"/>
          <w:rFonts w:hint="cs"/>
          <w:rtl/>
          <w:lang/>
        </w:rPr>
        <w:t>أيار/</w:t>
      </w:r>
      <w:r w:rsidRPr="00A444EC">
        <w:rPr>
          <w:rStyle w:val="hps"/>
          <w:rtl/>
          <w:lang/>
        </w:rPr>
        <w:t>مايو</w:t>
      </w:r>
      <w:r w:rsidRPr="00A444EC">
        <w:rPr>
          <w:rtl/>
          <w:lang/>
        </w:rPr>
        <w:t xml:space="preserve"> </w:t>
      </w:r>
      <w:r w:rsidRPr="00A444EC">
        <w:rPr>
          <w:rStyle w:val="hps"/>
          <w:rtl/>
          <w:lang/>
        </w:rPr>
        <w:t>2010 على</w:t>
      </w:r>
      <w:r w:rsidRPr="00A444EC">
        <w:rPr>
          <w:rtl/>
          <w:lang/>
        </w:rPr>
        <w:t xml:space="preserve"> </w:t>
      </w:r>
      <w:r w:rsidRPr="00A444EC">
        <w:rPr>
          <w:rStyle w:val="hps"/>
          <w:rtl/>
          <w:lang/>
        </w:rPr>
        <w:t xml:space="preserve">أساس </w:t>
      </w:r>
      <w:r w:rsidRPr="00A444EC">
        <w:rPr>
          <w:rStyle w:val="hps"/>
          <w:rFonts w:hint="cs"/>
          <w:rtl/>
          <w:lang/>
        </w:rPr>
        <w:t>عدم بتّ</w:t>
      </w:r>
      <w:r w:rsidRPr="00A444EC">
        <w:rPr>
          <w:rtl/>
          <w:lang/>
        </w:rPr>
        <w:t xml:space="preserve"> </w:t>
      </w:r>
      <w:r w:rsidRPr="00A444EC">
        <w:rPr>
          <w:rStyle w:val="hps"/>
          <w:rtl/>
          <w:lang/>
        </w:rPr>
        <w:t>المحكمة العليا</w:t>
      </w:r>
      <w:r w:rsidRPr="00A444EC">
        <w:rPr>
          <w:rtl/>
          <w:lang/>
        </w:rPr>
        <w:t xml:space="preserve"> </w:t>
      </w:r>
      <w:r w:rsidRPr="00A444EC">
        <w:rPr>
          <w:rStyle w:val="hps"/>
          <w:rtl/>
          <w:lang/>
        </w:rPr>
        <w:t>الإقليمية</w:t>
      </w:r>
      <w:r w:rsidRPr="00A444EC">
        <w:rPr>
          <w:rStyle w:val="hps"/>
          <w:rFonts w:hint="cs"/>
          <w:rtl/>
          <w:lang/>
        </w:rPr>
        <w:t xml:space="preserve"> في العديد من الحجج التي ساقها</w:t>
      </w:r>
      <w:r w:rsidRPr="00A444EC">
        <w:rPr>
          <w:rtl/>
          <w:lang/>
        </w:rPr>
        <w:t xml:space="preserve">، ولا سيما </w:t>
      </w:r>
      <w:r w:rsidRPr="00A444EC">
        <w:rPr>
          <w:rStyle w:val="hps"/>
          <w:rtl/>
          <w:lang/>
        </w:rPr>
        <w:t xml:space="preserve">تلك </w:t>
      </w:r>
      <w:r w:rsidRPr="00A444EC">
        <w:rPr>
          <w:rStyle w:val="hps"/>
          <w:rFonts w:hint="cs"/>
          <w:rtl/>
          <w:lang/>
        </w:rPr>
        <w:t>التي تتعلق</w:t>
      </w:r>
      <w:r w:rsidRPr="00A444EC">
        <w:rPr>
          <w:rtl/>
          <w:lang/>
        </w:rPr>
        <w:t xml:space="preserve"> </w:t>
      </w:r>
      <w:r w:rsidRPr="00A444EC">
        <w:rPr>
          <w:rFonts w:hint="cs"/>
          <w:rtl/>
          <w:lang/>
        </w:rPr>
        <w:t>ب</w:t>
      </w:r>
      <w:r w:rsidRPr="00A444EC">
        <w:rPr>
          <w:rStyle w:val="hps"/>
          <w:rtl/>
          <w:lang/>
        </w:rPr>
        <w:t>خطر التعرض للتعذيب</w:t>
      </w:r>
      <w:r w:rsidRPr="00A444EC">
        <w:rPr>
          <w:rtl/>
          <w:lang/>
        </w:rPr>
        <w:t xml:space="preserve">. </w:t>
      </w:r>
      <w:r w:rsidRPr="00A444EC">
        <w:rPr>
          <w:rFonts w:hint="cs"/>
          <w:rtl/>
          <w:lang/>
        </w:rPr>
        <w:t>و</w:t>
      </w:r>
      <w:r w:rsidRPr="00A444EC">
        <w:rPr>
          <w:rStyle w:val="hps"/>
          <w:rtl/>
          <w:lang/>
        </w:rPr>
        <w:t xml:space="preserve">على الرغم من </w:t>
      </w:r>
      <w:r w:rsidRPr="00A444EC">
        <w:rPr>
          <w:rStyle w:val="hps"/>
          <w:rFonts w:hint="cs"/>
          <w:rtl/>
          <w:lang/>
        </w:rPr>
        <w:t xml:space="preserve">عدم تضمن هذا الطعن لأي أثر إيقافي، فقد وافقت النيابة العامة على </w:t>
      </w:r>
      <w:r w:rsidRPr="00A444EC">
        <w:rPr>
          <w:rStyle w:val="hps"/>
          <w:rtl/>
          <w:lang/>
        </w:rPr>
        <w:t xml:space="preserve">عدم </w:t>
      </w:r>
      <w:r w:rsidRPr="00A444EC">
        <w:rPr>
          <w:rStyle w:val="hps"/>
          <w:rFonts w:hint="cs"/>
          <w:rtl/>
          <w:lang/>
        </w:rPr>
        <w:t xml:space="preserve">طرد </w:t>
      </w:r>
      <w:r w:rsidRPr="00A444EC">
        <w:rPr>
          <w:rStyle w:val="hps"/>
          <w:rtl/>
          <w:lang/>
        </w:rPr>
        <w:t>السيد</w:t>
      </w:r>
      <w:r w:rsidRPr="00A444EC">
        <w:rPr>
          <w:rtl/>
          <w:lang/>
        </w:rPr>
        <w:t xml:space="preserve"> </w:t>
      </w:r>
      <w:r w:rsidRPr="00A444EC">
        <w:rPr>
          <w:rStyle w:val="hps"/>
          <w:rFonts w:hint="cs"/>
          <w:rtl/>
          <w:lang/>
        </w:rPr>
        <w:t>أنسي عبيشو</w:t>
      </w:r>
      <w:r w:rsidRPr="00A444EC">
        <w:rPr>
          <w:rtl/>
          <w:lang/>
        </w:rPr>
        <w:t xml:space="preserve"> إلى </w:t>
      </w:r>
      <w:r w:rsidRPr="00A444EC">
        <w:rPr>
          <w:rStyle w:val="hps"/>
          <w:rFonts w:hint="cs"/>
          <w:rtl/>
          <w:lang/>
        </w:rPr>
        <w:t>أن تبتّ المحكمة في الحجج المقدمة.</w:t>
      </w:r>
    </w:p>
    <w:p w:rsidR="005E110C" w:rsidRPr="00A444EC" w:rsidRDefault="005E110C" w:rsidP="005E110C">
      <w:pPr>
        <w:pStyle w:val="SingleTxtGA"/>
        <w:rPr>
          <w:rStyle w:val="hps"/>
          <w:rtl/>
          <w:lang/>
        </w:rPr>
      </w:pPr>
      <w:r w:rsidRPr="00A444EC">
        <w:rPr>
          <w:rtl/>
          <w:lang w:val="fr-CH"/>
        </w:rPr>
        <w:t>2-8</w:t>
      </w:r>
      <w:r w:rsidRPr="00A444EC">
        <w:rPr>
          <w:rtl/>
          <w:lang w:val="fr-CH"/>
        </w:rPr>
        <w:tab/>
      </w:r>
      <w:r w:rsidRPr="00A444EC">
        <w:rPr>
          <w:rFonts w:hint="cs"/>
          <w:rtl/>
          <w:lang w:val="fr-CH"/>
        </w:rPr>
        <w:t>و</w:t>
      </w:r>
      <w:r w:rsidRPr="00A444EC">
        <w:rPr>
          <w:rStyle w:val="hps"/>
          <w:rtl/>
          <w:lang/>
        </w:rPr>
        <w:t>في 8 تموز</w:t>
      </w:r>
      <w:r w:rsidRPr="00A444EC">
        <w:rPr>
          <w:rFonts w:hint="cs"/>
          <w:rtl/>
          <w:lang/>
        </w:rPr>
        <w:t xml:space="preserve">/يوليه </w:t>
      </w:r>
      <w:r w:rsidRPr="00A444EC">
        <w:rPr>
          <w:rStyle w:val="hps"/>
          <w:rtl/>
          <w:lang/>
        </w:rPr>
        <w:t>2010،</w:t>
      </w:r>
      <w:r w:rsidRPr="00A444EC">
        <w:rPr>
          <w:rtl/>
          <w:lang/>
        </w:rPr>
        <w:t xml:space="preserve"> </w:t>
      </w:r>
      <w:r w:rsidRPr="00A444EC">
        <w:rPr>
          <w:rStyle w:val="hps"/>
          <w:rtl/>
          <w:lang/>
        </w:rPr>
        <w:t>أرسلت وزارة</w:t>
      </w:r>
      <w:r w:rsidRPr="00A444EC">
        <w:rPr>
          <w:rtl/>
          <w:lang/>
        </w:rPr>
        <w:t xml:space="preserve"> </w:t>
      </w:r>
      <w:r w:rsidRPr="00A444EC">
        <w:rPr>
          <w:rStyle w:val="hps"/>
          <w:rtl/>
          <w:lang/>
        </w:rPr>
        <w:t>الخارجية الألمانية إلى السفارة</w:t>
      </w:r>
      <w:r w:rsidRPr="00A444EC">
        <w:rPr>
          <w:rtl/>
          <w:lang/>
        </w:rPr>
        <w:t xml:space="preserve"> </w:t>
      </w:r>
      <w:r w:rsidRPr="00A444EC">
        <w:rPr>
          <w:rStyle w:val="hps"/>
          <w:rtl/>
          <w:lang/>
        </w:rPr>
        <w:t>التونسية</w:t>
      </w:r>
      <w:r w:rsidRPr="00A444EC">
        <w:rPr>
          <w:rtl/>
          <w:lang/>
        </w:rPr>
        <w:t xml:space="preserve"> </w:t>
      </w:r>
      <w:r w:rsidRPr="00A444EC">
        <w:rPr>
          <w:rStyle w:val="hps"/>
          <w:rtl/>
          <w:lang/>
        </w:rPr>
        <w:t>في</w:t>
      </w:r>
      <w:r w:rsidRPr="00A444EC">
        <w:rPr>
          <w:rtl/>
          <w:lang/>
        </w:rPr>
        <w:t xml:space="preserve"> </w:t>
      </w:r>
      <w:r w:rsidRPr="00A444EC">
        <w:rPr>
          <w:rStyle w:val="hps"/>
          <w:rtl/>
          <w:lang/>
        </w:rPr>
        <w:t>برلين</w:t>
      </w:r>
      <w:r w:rsidRPr="00A444EC">
        <w:rPr>
          <w:rtl/>
          <w:lang/>
        </w:rPr>
        <w:t xml:space="preserve"> </w:t>
      </w:r>
      <w:r w:rsidRPr="00A444EC">
        <w:rPr>
          <w:rStyle w:val="hps"/>
          <w:rtl/>
          <w:lang/>
        </w:rPr>
        <w:t>مذكرة شفوية</w:t>
      </w:r>
      <w:r w:rsidRPr="00A444EC">
        <w:rPr>
          <w:rtl/>
          <w:lang/>
        </w:rPr>
        <w:t xml:space="preserve"> </w:t>
      </w:r>
      <w:r w:rsidRPr="00A444EC">
        <w:rPr>
          <w:rStyle w:val="hps"/>
          <w:rtl/>
          <w:lang/>
        </w:rPr>
        <w:t>أكدت فيه</w:t>
      </w:r>
      <w:r w:rsidRPr="00A444EC">
        <w:rPr>
          <w:rStyle w:val="hps"/>
          <w:rFonts w:hint="cs"/>
          <w:rtl/>
          <w:lang/>
        </w:rPr>
        <w:t>ا</w:t>
      </w:r>
      <w:r w:rsidRPr="00A444EC">
        <w:rPr>
          <w:rtl/>
          <w:lang/>
        </w:rPr>
        <w:t xml:space="preserve"> </w:t>
      </w:r>
      <w:r w:rsidRPr="00A444EC">
        <w:rPr>
          <w:rStyle w:val="hps"/>
          <w:rtl/>
          <w:lang/>
        </w:rPr>
        <w:t>موافقة</w:t>
      </w:r>
      <w:r w:rsidRPr="00A444EC">
        <w:rPr>
          <w:rtl/>
          <w:lang/>
        </w:rPr>
        <w:t xml:space="preserve"> </w:t>
      </w:r>
      <w:r w:rsidRPr="00A444EC">
        <w:rPr>
          <w:rStyle w:val="hps"/>
          <w:rFonts w:hint="cs"/>
          <w:rtl/>
          <w:lang/>
        </w:rPr>
        <w:t xml:space="preserve">ألمانيا </w:t>
      </w:r>
      <w:r w:rsidRPr="00A444EC">
        <w:rPr>
          <w:rStyle w:val="hps"/>
          <w:rtl/>
          <w:lang/>
        </w:rPr>
        <w:t>على</w:t>
      </w:r>
      <w:r w:rsidRPr="00A444EC">
        <w:rPr>
          <w:rtl/>
          <w:lang/>
        </w:rPr>
        <w:t xml:space="preserve"> </w:t>
      </w:r>
      <w:r w:rsidRPr="00A444EC">
        <w:rPr>
          <w:rStyle w:val="hps"/>
          <w:rtl/>
          <w:lang/>
        </w:rPr>
        <w:t>تسليم</w:t>
      </w:r>
      <w:r w:rsidRPr="00A444EC">
        <w:rPr>
          <w:rtl/>
          <w:lang/>
        </w:rPr>
        <w:t xml:space="preserve"> </w:t>
      </w:r>
      <w:r w:rsidRPr="00A444EC">
        <w:rPr>
          <w:rStyle w:val="hps"/>
          <w:rtl/>
          <w:lang/>
        </w:rPr>
        <w:t>السيد</w:t>
      </w:r>
      <w:r w:rsidRPr="00A444EC">
        <w:rPr>
          <w:rtl/>
          <w:lang/>
        </w:rPr>
        <w:t xml:space="preserve"> </w:t>
      </w:r>
      <w:r w:rsidRPr="00A444EC">
        <w:rPr>
          <w:rStyle w:val="hps"/>
          <w:rFonts w:hint="cs"/>
          <w:rtl/>
          <w:lang/>
        </w:rPr>
        <w:t>أنسي عبيشو</w:t>
      </w:r>
      <w:r w:rsidRPr="00A444EC">
        <w:rPr>
          <w:rtl/>
          <w:lang/>
        </w:rPr>
        <w:t xml:space="preserve">. </w:t>
      </w:r>
      <w:r w:rsidRPr="00A444EC">
        <w:rPr>
          <w:rFonts w:hint="cs"/>
          <w:rtl/>
          <w:lang/>
        </w:rPr>
        <w:t>و</w:t>
      </w:r>
      <w:r w:rsidRPr="00A444EC">
        <w:rPr>
          <w:rStyle w:val="hps"/>
          <w:rtl/>
          <w:lang/>
        </w:rPr>
        <w:t>لم</w:t>
      </w:r>
      <w:r w:rsidRPr="00A444EC">
        <w:rPr>
          <w:rStyle w:val="hps"/>
          <w:rFonts w:hint="cs"/>
          <w:rtl/>
          <w:lang/>
        </w:rPr>
        <w:t xml:space="preserve"> يبلغ محامي السيد عبيشو</w:t>
      </w:r>
      <w:r w:rsidRPr="00A444EC">
        <w:rPr>
          <w:rStyle w:val="hps"/>
          <w:rtl/>
          <w:lang/>
        </w:rPr>
        <w:t xml:space="preserve"> </w:t>
      </w:r>
      <w:r w:rsidRPr="00A444EC">
        <w:rPr>
          <w:rStyle w:val="hps"/>
          <w:rFonts w:hint="cs"/>
          <w:rtl/>
          <w:lang/>
        </w:rPr>
        <w:t>بمضمون هذه الرسالة إلاّ في</w:t>
      </w:r>
      <w:r w:rsidRPr="00A444EC">
        <w:rPr>
          <w:rtl/>
          <w:lang/>
        </w:rPr>
        <w:t xml:space="preserve"> </w:t>
      </w:r>
      <w:r w:rsidRPr="00A444EC">
        <w:rPr>
          <w:rStyle w:val="hps"/>
          <w:rtl/>
          <w:lang/>
        </w:rPr>
        <w:t xml:space="preserve">19 </w:t>
      </w:r>
      <w:r w:rsidRPr="00A444EC">
        <w:rPr>
          <w:rStyle w:val="hps"/>
          <w:rFonts w:hint="cs"/>
          <w:rtl/>
          <w:lang/>
        </w:rPr>
        <w:t>آب/</w:t>
      </w:r>
      <w:r w:rsidRPr="00A444EC">
        <w:rPr>
          <w:rStyle w:val="hps"/>
          <w:rtl/>
          <w:lang/>
        </w:rPr>
        <w:t>أغسطس 2010</w:t>
      </w:r>
      <w:r w:rsidRPr="00A444EC">
        <w:rPr>
          <w:rFonts w:hint="cs"/>
          <w:rtl/>
          <w:lang/>
        </w:rPr>
        <w:t>، وكان ذلك بناءً</w:t>
      </w:r>
      <w:r w:rsidRPr="00A444EC">
        <w:rPr>
          <w:rFonts w:hint="eastAsia"/>
          <w:rtl/>
          <w:lang/>
        </w:rPr>
        <w:t> </w:t>
      </w:r>
      <w:r w:rsidRPr="00A444EC">
        <w:rPr>
          <w:rFonts w:hint="cs"/>
          <w:rtl/>
          <w:lang/>
        </w:rPr>
        <w:t>على طلبه.</w:t>
      </w:r>
    </w:p>
    <w:p w:rsidR="005E110C" w:rsidRPr="00FA645B" w:rsidRDefault="005E110C" w:rsidP="00FA645B">
      <w:pPr>
        <w:pStyle w:val="SingleTxtGA"/>
        <w:spacing w:line="366" w:lineRule="exact"/>
        <w:rPr>
          <w:rFonts w:hint="cs"/>
          <w:spacing w:val="-2"/>
          <w:rtl/>
          <w:lang/>
        </w:rPr>
      </w:pPr>
      <w:r w:rsidRPr="00FA645B">
        <w:rPr>
          <w:spacing w:val="-2"/>
          <w:rtl/>
          <w:lang w:val="fr-CH"/>
        </w:rPr>
        <w:t>2-9</w:t>
      </w:r>
      <w:r w:rsidRPr="00FA645B">
        <w:rPr>
          <w:spacing w:val="-2"/>
          <w:rtl/>
          <w:lang w:val="fr-CH"/>
        </w:rPr>
        <w:tab/>
      </w:r>
      <w:r w:rsidRPr="00FA645B">
        <w:rPr>
          <w:rFonts w:hint="cs"/>
          <w:spacing w:val="-2"/>
          <w:rtl/>
          <w:lang w:val="fr-CH"/>
        </w:rPr>
        <w:t>و</w:t>
      </w:r>
      <w:r w:rsidRPr="00FA645B">
        <w:rPr>
          <w:rStyle w:val="hps"/>
          <w:spacing w:val="-2"/>
          <w:rtl/>
          <w:lang/>
        </w:rPr>
        <w:t>في 12 تموز</w:t>
      </w:r>
      <w:r w:rsidRPr="00FA645B">
        <w:rPr>
          <w:rStyle w:val="hps"/>
          <w:rFonts w:hint="cs"/>
          <w:spacing w:val="-2"/>
          <w:rtl/>
          <w:lang/>
        </w:rPr>
        <w:t>/يوليه</w:t>
      </w:r>
      <w:r w:rsidRPr="00FA645B">
        <w:rPr>
          <w:spacing w:val="-2"/>
          <w:rtl/>
          <w:lang/>
        </w:rPr>
        <w:t xml:space="preserve"> </w:t>
      </w:r>
      <w:r w:rsidRPr="00FA645B">
        <w:rPr>
          <w:rStyle w:val="hps"/>
          <w:spacing w:val="-2"/>
          <w:rtl/>
          <w:lang/>
        </w:rPr>
        <w:t>2010،</w:t>
      </w:r>
      <w:r w:rsidRPr="00FA645B">
        <w:rPr>
          <w:spacing w:val="-2"/>
          <w:rtl/>
          <w:lang/>
        </w:rPr>
        <w:t xml:space="preserve"> </w:t>
      </w:r>
      <w:r w:rsidRPr="00FA645B">
        <w:rPr>
          <w:rStyle w:val="hps"/>
          <w:spacing w:val="-2"/>
          <w:rtl/>
          <w:lang/>
        </w:rPr>
        <w:t>أ</w:t>
      </w:r>
      <w:r w:rsidRPr="00FA645B">
        <w:rPr>
          <w:rStyle w:val="hps"/>
          <w:rFonts w:hint="cs"/>
          <w:spacing w:val="-2"/>
          <w:rtl/>
          <w:lang/>
        </w:rPr>
        <w:t>كدت</w:t>
      </w:r>
      <w:r w:rsidRPr="00FA645B">
        <w:rPr>
          <w:spacing w:val="-2"/>
          <w:rtl/>
          <w:lang/>
        </w:rPr>
        <w:t xml:space="preserve"> </w:t>
      </w:r>
      <w:r w:rsidRPr="00FA645B">
        <w:rPr>
          <w:rStyle w:val="hps"/>
          <w:spacing w:val="-2"/>
          <w:rtl/>
          <w:lang/>
        </w:rPr>
        <w:t>المحكمة العليا</w:t>
      </w:r>
      <w:r w:rsidRPr="00FA645B">
        <w:rPr>
          <w:spacing w:val="-2"/>
          <w:rtl/>
          <w:lang/>
        </w:rPr>
        <w:t xml:space="preserve"> </w:t>
      </w:r>
      <w:r w:rsidRPr="00FA645B">
        <w:rPr>
          <w:rStyle w:val="hps"/>
          <w:spacing w:val="-2"/>
          <w:rtl/>
          <w:lang/>
        </w:rPr>
        <w:t>الإقليمية</w:t>
      </w:r>
      <w:r w:rsidRPr="00FA645B">
        <w:rPr>
          <w:spacing w:val="-2"/>
          <w:rtl/>
          <w:lang/>
        </w:rPr>
        <w:t xml:space="preserve"> </w:t>
      </w:r>
      <w:r w:rsidRPr="00FA645B">
        <w:rPr>
          <w:rStyle w:val="hps"/>
          <w:rFonts w:hint="cs"/>
          <w:spacing w:val="-2"/>
          <w:rtl/>
          <w:lang/>
        </w:rPr>
        <w:t xml:space="preserve">لسار </w:t>
      </w:r>
      <w:r w:rsidRPr="00FA645B">
        <w:rPr>
          <w:rStyle w:val="hps"/>
          <w:spacing w:val="-2"/>
          <w:rtl/>
          <w:lang/>
        </w:rPr>
        <w:t>قرارها الصادر في</w:t>
      </w:r>
      <w:r w:rsidRPr="00FA645B">
        <w:rPr>
          <w:rFonts w:hint="cs"/>
          <w:spacing w:val="-2"/>
          <w:rtl/>
          <w:lang/>
        </w:rPr>
        <w:t> </w:t>
      </w:r>
      <w:r w:rsidRPr="00FA645B">
        <w:rPr>
          <w:rStyle w:val="hps"/>
          <w:spacing w:val="-2"/>
          <w:rtl/>
          <w:lang/>
        </w:rPr>
        <w:t xml:space="preserve">20 </w:t>
      </w:r>
      <w:r w:rsidRPr="00FA645B">
        <w:rPr>
          <w:rStyle w:val="hps"/>
          <w:rFonts w:hint="cs"/>
          <w:spacing w:val="-2"/>
          <w:rtl/>
          <w:lang/>
        </w:rPr>
        <w:t>أيار/</w:t>
      </w:r>
      <w:r w:rsidRPr="00FA645B">
        <w:rPr>
          <w:rStyle w:val="hps"/>
          <w:spacing w:val="-2"/>
          <w:rtl/>
          <w:lang/>
        </w:rPr>
        <w:t>مايو 2010</w:t>
      </w:r>
      <w:r w:rsidRPr="00FA645B">
        <w:rPr>
          <w:spacing w:val="-2"/>
          <w:rtl/>
          <w:lang/>
        </w:rPr>
        <w:t xml:space="preserve"> </w:t>
      </w:r>
      <w:r w:rsidRPr="00FA645B">
        <w:rPr>
          <w:rStyle w:val="hps"/>
          <w:spacing w:val="-2"/>
          <w:rtl/>
          <w:lang/>
        </w:rPr>
        <w:t>على</w:t>
      </w:r>
      <w:r w:rsidRPr="00FA645B">
        <w:rPr>
          <w:spacing w:val="-2"/>
          <w:rtl/>
          <w:lang/>
        </w:rPr>
        <w:t xml:space="preserve"> </w:t>
      </w:r>
      <w:r w:rsidRPr="00FA645B">
        <w:rPr>
          <w:rStyle w:val="hps"/>
          <w:spacing w:val="-2"/>
          <w:rtl/>
          <w:lang/>
        </w:rPr>
        <w:t>أساس أنه،</w:t>
      </w:r>
      <w:r w:rsidRPr="00FA645B">
        <w:rPr>
          <w:spacing w:val="-2"/>
          <w:rtl/>
          <w:lang/>
        </w:rPr>
        <w:t xml:space="preserve"> </w:t>
      </w:r>
      <w:r w:rsidRPr="00FA645B">
        <w:rPr>
          <w:rStyle w:val="hps"/>
          <w:spacing w:val="-2"/>
          <w:rtl/>
          <w:lang/>
        </w:rPr>
        <w:t>على الرغم من</w:t>
      </w:r>
      <w:r w:rsidRPr="00FA645B">
        <w:rPr>
          <w:spacing w:val="-2"/>
          <w:rtl/>
          <w:lang/>
        </w:rPr>
        <w:t xml:space="preserve"> </w:t>
      </w:r>
      <w:r w:rsidRPr="00FA645B">
        <w:rPr>
          <w:rStyle w:val="hps"/>
          <w:spacing w:val="-2"/>
          <w:rtl/>
          <w:lang/>
        </w:rPr>
        <w:t>علم</w:t>
      </w:r>
      <w:r w:rsidRPr="00FA645B">
        <w:rPr>
          <w:rStyle w:val="hps"/>
          <w:rFonts w:hint="cs"/>
          <w:spacing w:val="-2"/>
          <w:rtl/>
          <w:lang/>
        </w:rPr>
        <w:t>ها</w:t>
      </w:r>
      <w:r w:rsidRPr="00FA645B">
        <w:rPr>
          <w:rStyle w:val="hps"/>
          <w:spacing w:val="-2"/>
          <w:rtl/>
          <w:lang/>
        </w:rPr>
        <w:t xml:space="preserve"> ب</w:t>
      </w:r>
      <w:r w:rsidRPr="00FA645B">
        <w:rPr>
          <w:rStyle w:val="hps"/>
          <w:rFonts w:hint="cs"/>
          <w:spacing w:val="-2"/>
          <w:rtl/>
          <w:lang/>
        </w:rPr>
        <w:t xml:space="preserve">تقارير المنظمات </w:t>
      </w:r>
      <w:r w:rsidRPr="00FA645B">
        <w:rPr>
          <w:rStyle w:val="hps"/>
          <w:spacing w:val="-2"/>
          <w:rtl/>
          <w:lang/>
        </w:rPr>
        <w:t>غير الحكومية</w:t>
      </w:r>
      <w:r w:rsidRPr="00FA645B">
        <w:rPr>
          <w:rStyle w:val="hps"/>
          <w:rFonts w:hint="cs"/>
          <w:spacing w:val="-2"/>
          <w:rtl/>
          <w:lang/>
        </w:rPr>
        <w:t> </w:t>
      </w:r>
      <w:r w:rsidRPr="00FA645B">
        <w:rPr>
          <w:rStyle w:val="hps"/>
          <w:spacing w:val="-2"/>
          <w:rtl/>
          <w:lang/>
        </w:rPr>
        <w:t>الدولية</w:t>
      </w:r>
      <w:r w:rsidRPr="00FA645B">
        <w:rPr>
          <w:spacing w:val="-2"/>
          <w:rtl/>
          <w:lang/>
        </w:rPr>
        <w:t xml:space="preserve"> </w:t>
      </w:r>
      <w:r w:rsidRPr="00FA645B">
        <w:rPr>
          <w:rStyle w:val="hps"/>
          <w:spacing w:val="-2"/>
          <w:rtl/>
          <w:lang/>
        </w:rPr>
        <w:t>بشأن</w:t>
      </w:r>
      <w:r w:rsidRPr="00FA645B">
        <w:rPr>
          <w:spacing w:val="-2"/>
          <w:rtl/>
          <w:lang/>
        </w:rPr>
        <w:t xml:space="preserve"> </w:t>
      </w:r>
      <w:r w:rsidRPr="00FA645B">
        <w:rPr>
          <w:rStyle w:val="hps"/>
          <w:spacing w:val="-2"/>
          <w:rtl/>
          <w:lang/>
        </w:rPr>
        <w:t>خطر التعذيب</w:t>
      </w:r>
      <w:r w:rsidRPr="00FA645B">
        <w:rPr>
          <w:spacing w:val="-2"/>
          <w:rtl/>
          <w:lang/>
        </w:rPr>
        <w:t xml:space="preserve"> </w:t>
      </w:r>
      <w:r w:rsidRPr="00FA645B">
        <w:rPr>
          <w:rStyle w:val="hps"/>
          <w:spacing w:val="-2"/>
          <w:rtl/>
          <w:lang/>
        </w:rPr>
        <w:t>في</w:t>
      </w:r>
      <w:r w:rsidRPr="00FA645B">
        <w:rPr>
          <w:spacing w:val="-2"/>
          <w:rtl/>
          <w:lang/>
        </w:rPr>
        <w:t xml:space="preserve"> </w:t>
      </w:r>
      <w:r w:rsidRPr="00FA645B">
        <w:rPr>
          <w:rStyle w:val="hps"/>
          <w:spacing w:val="-2"/>
          <w:rtl/>
          <w:lang/>
        </w:rPr>
        <w:t>تونس</w:t>
      </w:r>
      <w:r w:rsidRPr="00FA645B">
        <w:rPr>
          <w:spacing w:val="-2"/>
          <w:rtl/>
          <w:lang/>
        </w:rPr>
        <w:t xml:space="preserve">، </w:t>
      </w:r>
      <w:r w:rsidRPr="00FA645B">
        <w:rPr>
          <w:rFonts w:hint="cs"/>
          <w:spacing w:val="-2"/>
          <w:rtl/>
          <w:lang/>
        </w:rPr>
        <w:t>فإنها</w:t>
      </w:r>
      <w:r w:rsidRPr="00FA645B">
        <w:rPr>
          <w:spacing w:val="-2"/>
          <w:rtl/>
          <w:lang/>
        </w:rPr>
        <w:t xml:space="preserve"> </w:t>
      </w:r>
      <w:r w:rsidRPr="00FA645B">
        <w:rPr>
          <w:rStyle w:val="hps"/>
          <w:rFonts w:hint="cs"/>
          <w:spacing w:val="-2"/>
          <w:rtl/>
          <w:lang/>
        </w:rPr>
        <w:t>تضع</w:t>
      </w:r>
      <w:r w:rsidRPr="00FA645B">
        <w:rPr>
          <w:spacing w:val="-2"/>
          <w:rtl/>
          <w:lang/>
        </w:rPr>
        <w:t xml:space="preserve"> </w:t>
      </w:r>
      <w:r w:rsidRPr="00FA645B">
        <w:rPr>
          <w:rStyle w:val="hps"/>
          <w:spacing w:val="-2"/>
          <w:rtl/>
          <w:lang/>
        </w:rPr>
        <w:t>ثقتها في</w:t>
      </w:r>
      <w:r w:rsidRPr="00FA645B">
        <w:rPr>
          <w:spacing w:val="-2"/>
          <w:rtl/>
          <w:lang/>
        </w:rPr>
        <w:t xml:space="preserve"> </w:t>
      </w:r>
      <w:r w:rsidRPr="00FA645B">
        <w:rPr>
          <w:rStyle w:val="hps"/>
          <w:spacing w:val="-2"/>
          <w:rtl/>
          <w:lang/>
        </w:rPr>
        <w:t>الحكومة التونسية</w:t>
      </w:r>
      <w:r w:rsidRPr="00FA645B">
        <w:rPr>
          <w:spacing w:val="-2"/>
          <w:rtl/>
          <w:lang/>
        </w:rPr>
        <w:t xml:space="preserve">. </w:t>
      </w:r>
      <w:r w:rsidRPr="00FA645B">
        <w:rPr>
          <w:rStyle w:val="hps"/>
          <w:spacing w:val="-2"/>
          <w:rtl/>
          <w:lang/>
        </w:rPr>
        <w:t>وعلاوة على ذلك</w:t>
      </w:r>
      <w:r w:rsidRPr="00FA645B">
        <w:rPr>
          <w:spacing w:val="-2"/>
          <w:rtl/>
          <w:lang/>
        </w:rPr>
        <w:t xml:space="preserve">، </w:t>
      </w:r>
      <w:r w:rsidRPr="00FA645B">
        <w:rPr>
          <w:rStyle w:val="hps"/>
          <w:rFonts w:hint="cs"/>
          <w:spacing w:val="-2"/>
          <w:rtl/>
          <w:lang/>
        </w:rPr>
        <w:t>أفادت</w:t>
      </w:r>
      <w:r w:rsidRPr="00FA645B">
        <w:rPr>
          <w:rStyle w:val="hps"/>
          <w:spacing w:val="-2"/>
          <w:rtl/>
          <w:lang/>
        </w:rPr>
        <w:t xml:space="preserve"> المحكمة</w:t>
      </w:r>
      <w:r w:rsidRPr="00FA645B">
        <w:rPr>
          <w:spacing w:val="-2"/>
          <w:rtl/>
          <w:lang/>
        </w:rPr>
        <w:t xml:space="preserve"> </w:t>
      </w:r>
      <w:r w:rsidRPr="00FA645B">
        <w:rPr>
          <w:rFonts w:hint="cs"/>
          <w:spacing w:val="-2"/>
          <w:rtl/>
          <w:lang/>
        </w:rPr>
        <w:t>ب</w:t>
      </w:r>
      <w:r w:rsidRPr="00FA645B">
        <w:rPr>
          <w:rStyle w:val="hps"/>
          <w:spacing w:val="-2"/>
          <w:rtl/>
          <w:lang/>
        </w:rPr>
        <w:t>عدم وجود</w:t>
      </w:r>
      <w:r w:rsidRPr="00FA645B">
        <w:rPr>
          <w:spacing w:val="-2"/>
          <w:rtl/>
          <w:lang/>
        </w:rPr>
        <w:t xml:space="preserve"> </w:t>
      </w:r>
      <w:r w:rsidRPr="00FA645B">
        <w:rPr>
          <w:rStyle w:val="hps"/>
          <w:rFonts w:hint="cs"/>
          <w:spacing w:val="-2"/>
          <w:rtl/>
          <w:lang/>
        </w:rPr>
        <w:t>أدلة</w:t>
      </w:r>
      <w:r w:rsidRPr="00FA645B">
        <w:rPr>
          <w:rStyle w:val="hps"/>
          <w:spacing w:val="-2"/>
          <w:rtl/>
          <w:lang/>
        </w:rPr>
        <w:t xml:space="preserve"> </w:t>
      </w:r>
      <w:r w:rsidRPr="00FA645B">
        <w:rPr>
          <w:rStyle w:val="hps"/>
          <w:rFonts w:hint="cs"/>
          <w:spacing w:val="-2"/>
          <w:rtl/>
          <w:lang/>
        </w:rPr>
        <w:t xml:space="preserve">تؤكد تعرض مقدم </w:t>
      </w:r>
      <w:r w:rsidRPr="00FA645B">
        <w:rPr>
          <w:rStyle w:val="hps"/>
          <w:spacing w:val="-2"/>
          <w:rtl/>
          <w:lang/>
        </w:rPr>
        <w:t>الطلب</w:t>
      </w:r>
      <w:r w:rsidRPr="00FA645B">
        <w:rPr>
          <w:rStyle w:val="hps"/>
          <w:rFonts w:hint="cs"/>
          <w:spacing w:val="-2"/>
          <w:rtl/>
          <w:lang/>
        </w:rPr>
        <w:t xml:space="preserve"> لأي تهديد</w:t>
      </w:r>
      <w:r w:rsidR="00FA645B" w:rsidRPr="00FA645B">
        <w:rPr>
          <w:rStyle w:val="hps"/>
          <w:rFonts w:hint="eastAsia"/>
          <w:spacing w:val="-2"/>
          <w:rtl/>
          <w:lang/>
        </w:rPr>
        <w:t> </w:t>
      </w:r>
      <w:r w:rsidRPr="00FA645B">
        <w:rPr>
          <w:rStyle w:val="hps"/>
          <w:rFonts w:hint="cs"/>
          <w:spacing w:val="-2"/>
          <w:rtl/>
          <w:lang/>
        </w:rPr>
        <w:t>مباشر</w:t>
      </w:r>
      <w:r w:rsidRPr="00FA645B">
        <w:rPr>
          <w:spacing w:val="-2"/>
          <w:rtl/>
          <w:lang/>
        </w:rPr>
        <w:t>.</w:t>
      </w:r>
    </w:p>
    <w:p w:rsidR="005E110C" w:rsidRPr="00A444EC" w:rsidRDefault="005E110C" w:rsidP="00FA645B">
      <w:pPr>
        <w:pStyle w:val="SingleTxtGA"/>
        <w:spacing w:line="366" w:lineRule="exact"/>
        <w:rPr>
          <w:rStyle w:val="hps"/>
          <w:rtl/>
          <w:lang/>
        </w:rPr>
      </w:pPr>
      <w:r w:rsidRPr="00A444EC">
        <w:rPr>
          <w:rtl/>
          <w:lang w:val="fr-CH"/>
        </w:rPr>
        <w:t>2-10</w:t>
      </w:r>
      <w:r w:rsidRPr="00A444EC">
        <w:rPr>
          <w:rtl/>
          <w:lang w:val="fr-CH"/>
        </w:rPr>
        <w:tab/>
      </w:r>
      <w:r w:rsidRPr="00A444EC">
        <w:rPr>
          <w:rFonts w:hint="cs"/>
          <w:rtl/>
          <w:lang w:val="fr-CH"/>
        </w:rPr>
        <w:t>و</w:t>
      </w:r>
      <w:r w:rsidRPr="00A444EC">
        <w:rPr>
          <w:rStyle w:val="hps"/>
          <w:rtl/>
          <w:lang/>
        </w:rPr>
        <w:t>في 22 تموز</w:t>
      </w:r>
      <w:r w:rsidRPr="00A444EC">
        <w:rPr>
          <w:rStyle w:val="hps"/>
          <w:rFonts w:hint="cs"/>
          <w:rtl/>
          <w:lang/>
        </w:rPr>
        <w:t>/يوليه</w:t>
      </w:r>
      <w:r w:rsidRPr="00A444EC">
        <w:rPr>
          <w:rtl/>
          <w:lang/>
        </w:rPr>
        <w:t xml:space="preserve"> </w:t>
      </w:r>
      <w:r w:rsidRPr="00A444EC">
        <w:rPr>
          <w:rStyle w:val="hps"/>
          <w:rtl/>
          <w:lang/>
        </w:rPr>
        <w:t>2010،</w:t>
      </w:r>
      <w:r w:rsidRPr="00A444EC">
        <w:rPr>
          <w:rtl/>
          <w:lang/>
        </w:rPr>
        <w:t xml:space="preserve"> </w:t>
      </w:r>
      <w:r w:rsidRPr="00A444EC">
        <w:rPr>
          <w:rStyle w:val="hps"/>
          <w:rtl/>
          <w:lang/>
        </w:rPr>
        <w:t>قدم السيد</w:t>
      </w:r>
      <w:r w:rsidRPr="00A444EC">
        <w:rPr>
          <w:rtl/>
          <w:lang/>
        </w:rPr>
        <w:t xml:space="preserve"> </w:t>
      </w:r>
      <w:r w:rsidRPr="00A444EC">
        <w:rPr>
          <w:rStyle w:val="hps"/>
          <w:rFonts w:hint="cs"/>
          <w:rtl/>
          <w:lang/>
        </w:rPr>
        <w:t>أنسي عبيشو</w:t>
      </w:r>
      <w:r w:rsidRPr="00A444EC">
        <w:rPr>
          <w:rtl/>
          <w:lang/>
        </w:rPr>
        <w:t xml:space="preserve"> إلى </w:t>
      </w:r>
      <w:r w:rsidRPr="00A444EC">
        <w:rPr>
          <w:rStyle w:val="hps"/>
          <w:rtl/>
          <w:lang/>
        </w:rPr>
        <w:t>المحكمة الدستورية</w:t>
      </w:r>
      <w:r w:rsidRPr="00A444EC">
        <w:rPr>
          <w:rtl/>
          <w:lang/>
        </w:rPr>
        <w:t xml:space="preserve"> </w:t>
      </w:r>
      <w:r w:rsidRPr="00A444EC">
        <w:rPr>
          <w:rStyle w:val="hps"/>
          <w:rtl/>
          <w:lang/>
        </w:rPr>
        <w:t>الألمانية</w:t>
      </w:r>
      <w:r w:rsidRPr="00A444EC">
        <w:rPr>
          <w:rtl/>
          <w:lang/>
        </w:rPr>
        <w:t xml:space="preserve"> </w:t>
      </w:r>
      <w:r w:rsidRPr="00A444EC">
        <w:rPr>
          <w:rStyle w:val="hps"/>
          <w:rtl/>
          <w:lang/>
        </w:rPr>
        <w:t>نداء</w:t>
      </w:r>
      <w:r w:rsidRPr="00A444EC">
        <w:rPr>
          <w:rStyle w:val="hps"/>
          <w:rFonts w:hint="cs"/>
          <w:rtl/>
          <w:lang/>
        </w:rPr>
        <w:t>ً</w:t>
      </w:r>
      <w:r w:rsidRPr="00A444EC">
        <w:rPr>
          <w:rStyle w:val="hps"/>
          <w:rtl/>
          <w:lang/>
        </w:rPr>
        <w:t xml:space="preserve"> عاجلا</w:t>
      </w:r>
      <w:r w:rsidRPr="00A444EC">
        <w:rPr>
          <w:rFonts w:hint="cs"/>
          <w:rtl/>
          <w:lang/>
        </w:rPr>
        <w:t xml:space="preserve">ً وطلباً يلتمس فيه إلغاء القرار الصادر عن </w:t>
      </w:r>
      <w:r w:rsidRPr="00A444EC">
        <w:rPr>
          <w:rStyle w:val="hps"/>
          <w:rtl/>
          <w:lang/>
        </w:rPr>
        <w:t>المحكمة العليا</w:t>
      </w:r>
      <w:r w:rsidRPr="00A444EC">
        <w:rPr>
          <w:rtl/>
          <w:lang/>
        </w:rPr>
        <w:t xml:space="preserve"> </w:t>
      </w:r>
      <w:r w:rsidRPr="00A444EC">
        <w:rPr>
          <w:rStyle w:val="hps"/>
          <w:rtl/>
          <w:lang/>
        </w:rPr>
        <w:t>الإقليمي</w:t>
      </w:r>
      <w:r w:rsidRPr="00A444EC">
        <w:rPr>
          <w:rStyle w:val="hps"/>
          <w:rFonts w:hint="cs"/>
          <w:rtl/>
          <w:lang/>
        </w:rPr>
        <w:t>ة</w:t>
      </w:r>
      <w:r w:rsidRPr="00A444EC">
        <w:rPr>
          <w:rtl/>
          <w:lang/>
        </w:rPr>
        <w:t xml:space="preserve">. </w:t>
      </w:r>
      <w:r w:rsidRPr="00A444EC">
        <w:rPr>
          <w:rStyle w:val="hps"/>
          <w:rtl/>
          <w:lang/>
        </w:rPr>
        <w:t>ورفض هذا</w:t>
      </w:r>
      <w:r w:rsidRPr="00A444EC">
        <w:rPr>
          <w:rtl/>
          <w:lang/>
        </w:rPr>
        <w:t xml:space="preserve"> </w:t>
      </w:r>
      <w:r w:rsidRPr="00A444EC">
        <w:rPr>
          <w:rStyle w:val="hps"/>
          <w:rtl/>
          <w:lang/>
        </w:rPr>
        <w:t>الالتماس</w:t>
      </w:r>
      <w:r w:rsidRPr="00A444EC">
        <w:rPr>
          <w:rtl/>
          <w:lang/>
        </w:rPr>
        <w:t xml:space="preserve"> </w:t>
      </w:r>
      <w:r w:rsidRPr="00A444EC">
        <w:rPr>
          <w:rStyle w:val="hps"/>
          <w:rtl/>
          <w:lang/>
        </w:rPr>
        <w:t>في 28</w:t>
      </w:r>
      <w:r w:rsidRPr="00A444EC">
        <w:rPr>
          <w:rtl/>
          <w:lang/>
        </w:rPr>
        <w:t xml:space="preserve"> </w:t>
      </w:r>
      <w:r w:rsidRPr="00A444EC">
        <w:rPr>
          <w:rStyle w:val="hps"/>
          <w:rFonts w:hint="cs"/>
          <w:rtl/>
          <w:lang/>
        </w:rPr>
        <w:t>تموز/يوليه</w:t>
      </w:r>
      <w:r w:rsidRPr="00A444EC">
        <w:rPr>
          <w:rStyle w:val="hps"/>
          <w:rtl/>
          <w:lang/>
        </w:rPr>
        <w:t xml:space="preserve"> 2010</w:t>
      </w:r>
      <w:r w:rsidRPr="00A444EC">
        <w:rPr>
          <w:rStyle w:val="hps"/>
          <w:rFonts w:hint="cs"/>
          <w:rtl/>
          <w:lang/>
        </w:rPr>
        <w:t>، وبعثت إثره النيابة العامة في</w:t>
      </w:r>
      <w:r w:rsidRPr="00A444EC">
        <w:rPr>
          <w:rtl/>
          <w:lang/>
        </w:rPr>
        <w:t xml:space="preserve"> </w:t>
      </w:r>
      <w:r w:rsidRPr="00A444EC">
        <w:rPr>
          <w:rStyle w:val="hps"/>
          <w:rtl/>
          <w:lang/>
        </w:rPr>
        <w:t>ساربروكن</w:t>
      </w:r>
      <w:r w:rsidRPr="00A444EC">
        <w:rPr>
          <w:rtl/>
          <w:lang/>
        </w:rPr>
        <w:t xml:space="preserve"> </w:t>
      </w:r>
      <w:r w:rsidRPr="00A444EC">
        <w:rPr>
          <w:rStyle w:val="hps"/>
          <w:rFonts w:hint="cs"/>
          <w:rtl/>
          <w:lang/>
        </w:rPr>
        <w:t>ب</w:t>
      </w:r>
      <w:r w:rsidRPr="00A444EC">
        <w:rPr>
          <w:rStyle w:val="hps"/>
          <w:rtl/>
          <w:lang/>
        </w:rPr>
        <w:t xml:space="preserve">رسالة </w:t>
      </w:r>
      <w:r w:rsidRPr="00A444EC">
        <w:rPr>
          <w:rStyle w:val="hps"/>
          <w:rFonts w:hint="cs"/>
          <w:rtl/>
          <w:lang/>
        </w:rPr>
        <w:t>تطلب فيها إلى الإدارة المركزية للشرطة القضائية الألمانية</w:t>
      </w:r>
      <w:r w:rsidRPr="00A444EC">
        <w:rPr>
          <w:rtl/>
          <w:lang/>
        </w:rPr>
        <w:t xml:space="preserve"> </w:t>
      </w:r>
      <w:r w:rsidRPr="00A444EC">
        <w:rPr>
          <w:rStyle w:val="hps"/>
          <w:rtl/>
          <w:lang/>
        </w:rPr>
        <w:t>في</w:t>
      </w:r>
      <w:r w:rsidRPr="00A444EC">
        <w:rPr>
          <w:rtl/>
          <w:lang/>
        </w:rPr>
        <w:t xml:space="preserve"> </w:t>
      </w:r>
      <w:r w:rsidRPr="00A444EC">
        <w:rPr>
          <w:rStyle w:val="hps"/>
          <w:rtl/>
          <w:lang/>
        </w:rPr>
        <w:t>فيسبادن</w:t>
      </w:r>
      <w:r w:rsidRPr="00A444EC">
        <w:rPr>
          <w:rtl/>
          <w:lang/>
        </w:rPr>
        <w:t xml:space="preserve"> </w:t>
      </w:r>
      <w:r w:rsidRPr="00A444EC">
        <w:rPr>
          <w:rStyle w:val="hps"/>
          <w:rtl/>
          <w:lang/>
        </w:rPr>
        <w:t>اتخاذ الترتيبات اللازمة ل</w:t>
      </w:r>
      <w:r w:rsidRPr="00A444EC">
        <w:rPr>
          <w:rtl/>
          <w:lang/>
        </w:rPr>
        <w:t xml:space="preserve">تسليم السيد </w:t>
      </w:r>
      <w:r w:rsidRPr="00A444EC">
        <w:rPr>
          <w:rStyle w:val="hps"/>
          <w:rFonts w:hint="cs"/>
          <w:rtl/>
          <w:lang/>
        </w:rPr>
        <w:t>أنسي عبيشو.</w:t>
      </w:r>
    </w:p>
    <w:p w:rsidR="005E110C" w:rsidRPr="00FA645B" w:rsidRDefault="005E110C" w:rsidP="00FA645B">
      <w:pPr>
        <w:pStyle w:val="SingleTxtGA"/>
        <w:spacing w:line="366" w:lineRule="exact"/>
        <w:rPr>
          <w:rStyle w:val="hps"/>
          <w:spacing w:val="-2"/>
          <w:rtl/>
          <w:lang/>
        </w:rPr>
      </w:pPr>
      <w:r w:rsidRPr="00FA645B">
        <w:rPr>
          <w:spacing w:val="-2"/>
          <w:rtl/>
          <w:lang w:val="fr-CH"/>
        </w:rPr>
        <w:t>2-11</w:t>
      </w:r>
      <w:r w:rsidRPr="00FA645B">
        <w:rPr>
          <w:spacing w:val="-2"/>
          <w:rtl/>
          <w:lang w:val="fr-CH"/>
        </w:rPr>
        <w:tab/>
      </w:r>
      <w:r w:rsidRPr="00FA645B">
        <w:rPr>
          <w:rFonts w:hint="cs"/>
          <w:spacing w:val="-2"/>
          <w:rtl/>
          <w:lang w:val="fr-CH"/>
        </w:rPr>
        <w:t>و</w:t>
      </w:r>
      <w:r w:rsidRPr="00FA645B">
        <w:rPr>
          <w:rStyle w:val="hps"/>
          <w:spacing w:val="-2"/>
          <w:rtl/>
          <w:lang/>
        </w:rPr>
        <w:t>في 20</w:t>
      </w:r>
      <w:r w:rsidRPr="00FA645B">
        <w:rPr>
          <w:spacing w:val="-2"/>
          <w:rtl/>
          <w:lang/>
        </w:rPr>
        <w:t xml:space="preserve"> </w:t>
      </w:r>
      <w:r w:rsidRPr="00FA645B">
        <w:rPr>
          <w:rFonts w:hint="cs"/>
          <w:spacing w:val="-2"/>
          <w:rtl/>
          <w:lang/>
        </w:rPr>
        <w:t>آب/</w:t>
      </w:r>
      <w:r w:rsidRPr="00FA645B">
        <w:rPr>
          <w:rStyle w:val="hps"/>
          <w:spacing w:val="-2"/>
          <w:rtl/>
          <w:lang/>
        </w:rPr>
        <w:t>أغسطس 2010،</w:t>
      </w:r>
      <w:r w:rsidRPr="00FA645B">
        <w:rPr>
          <w:spacing w:val="-2"/>
          <w:rtl/>
          <w:lang/>
        </w:rPr>
        <w:t xml:space="preserve"> </w:t>
      </w:r>
      <w:r w:rsidRPr="00FA645B">
        <w:rPr>
          <w:rStyle w:val="hps"/>
          <w:spacing w:val="-2"/>
          <w:rtl/>
          <w:lang/>
        </w:rPr>
        <w:t>قدم السيد</w:t>
      </w:r>
      <w:r w:rsidRPr="00FA645B">
        <w:rPr>
          <w:spacing w:val="-2"/>
          <w:rtl/>
          <w:lang/>
        </w:rPr>
        <w:t xml:space="preserve"> </w:t>
      </w:r>
      <w:r w:rsidRPr="00FA645B">
        <w:rPr>
          <w:rStyle w:val="hps"/>
          <w:rFonts w:hint="cs"/>
          <w:spacing w:val="-2"/>
          <w:rtl/>
          <w:lang/>
        </w:rPr>
        <w:t>أنسي عبيشو</w:t>
      </w:r>
      <w:r w:rsidRPr="00FA645B">
        <w:rPr>
          <w:spacing w:val="-2"/>
          <w:rtl/>
          <w:lang/>
        </w:rPr>
        <w:t xml:space="preserve"> </w:t>
      </w:r>
      <w:r w:rsidRPr="00FA645B">
        <w:rPr>
          <w:rStyle w:val="hps"/>
          <w:spacing w:val="-2"/>
          <w:rtl/>
          <w:lang/>
        </w:rPr>
        <w:t>طلب</w:t>
      </w:r>
      <w:r w:rsidRPr="00FA645B">
        <w:rPr>
          <w:rStyle w:val="hps"/>
          <w:rFonts w:hint="cs"/>
          <w:spacing w:val="-2"/>
          <w:rtl/>
          <w:lang/>
        </w:rPr>
        <w:t>اً لاتخاذ تدابير مؤقتة</w:t>
      </w:r>
      <w:r w:rsidRPr="00FA645B">
        <w:rPr>
          <w:spacing w:val="-2"/>
          <w:vertAlign w:val="superscript"/>
          <w:rtl/>
          <w:lang w:val="fr-CH"/>
        </w:rPr>
        <w:t>(</w:t>
      </w:r>
      <w:r w:rsidRPr="00FA645B">
        <w:rPr>
          <w:rStyle w:val="FootnoteReference"/>
          <w:spacing w:val="-2"/>
          <w:rtl/>
          <w:lang w:val="fr-CH"/>
        </w:rPr>
        <w:footnoteReference w:id="129"/>
      </w:r>
      <w:r w:rsidRPr="00FA645B">
        <w:rPr>
          <w:spacing w:val="-2"/>
          <w:vertAlign w:val="superscript"/>
          <w:rtl/>
          <w:lang w:val="fr-CH"/>
        </w:rPr>
        <w:t>)</w:t>
      </w:r>
      <w:r w:rsidRPr="00FA645B">
        <w:rPr>
          <w:spacing w:val="-2"/>
          <w:rtl/>
          <w:lang/>
        </w:rPr>
        <w:t xml:space="preserve"> إلى </w:t>
      </w:r>
      <w:r w:rsidRPr="00FA645B">
        <w:rPr>
          <w:rStyle w:val="hps"/>
          <w:spacing w:val="-2"/>
          <w:rtl/>
          <w:lang/>
        </w:rPr>
        <w:t>المحكمة</w:t>
      </w:r>
      <w:r w:rsidRPr="00FA645B">
        <w:rPr>
          <w:spacing w:val="-2"/>
          <w:rtl/>
          <w:lang/>
        </w:rPr>
        <w:t xml:space="preserve"> </w:t>
      </w:r>
      <w:r w:rsidRPr="00FA645B">
        <w:rPr>
          <w:rStyle w:val="hps"/>
          <w:spacing w:val="-2"/>
          <w:rtl/>
          <w:lang/>
        </w:rPr>
        <w:t>الأوروبية لحقوق</w:t>
      </w:r>
      <w:r w:rsidRPr="00FA645B">
        <w:rPr>
          <w:spacing w:val="-2"/>
          <w:rtl/>
          <w:lang/>
        </w:rPr>
        <w:t xml:space="preserve"> </w:t>
      </w:r>
      <w:r w:rsidRPr="00FA645B">
        <w:rPr>
          <w:rStyle w:val="hps"/>
          <w:spacing w:val="-2"/>
          <w:rtl/>
          <w:lang/>
        </w:rPr>
        <w:t>الإنسان</w:t>
      </w:r>
      <w:r w:rsidRPr="00FA645B">
        <w:rPr>
          <w:spacing w:val="-2"/>
          <w:rtl/>
          <w:lang/>
        </w:rPr>
        <w:t xml:space="preserve"> </w:t>
      </w:r>
      <w:r w:rsidRPr="00FA645B">
        <w:rPr>
          <w:rStyle w:val="hps"/>
          <w:rFonts w:hint="cs"/>
          <w:spacing w:val="-2"/>
          <w:rtl/>
          <w:lang/>
        </w:rPr>
        <w:t>بموجب المادة</w:t>
      </w:r>
      <w:r w:rsidRPr="00FA645B">
        <w:rPr>
          <w:spacing w:val="-2"/>
          <w:rtl/>
          <w:lang/>
        </w:rPr>
        <w:t xml:space="preserve"> </w:t>
      </w:r>
      <w:r w:rsidRPr="00FA645B">
        <w:rPr>
          <w:rStyle w:val="hps"/>
          <w:spacing w:val="-2"/>
          <w:rtl/>
          <w:lang/>
        </w:rPr>
        <w:t>39 من</w:t>
      </w:r>
      <w:r w:rsidRPr="00FA645B">
        <w:rPr>
          <w:spacing w:val="-2"/>
          <w:rtl/>
          <w:lang/>
        </w:rPr>
        <w:t xml:space="preserve"> </w:t>
      </w:r>
      <w:r w:rsidRPr="00FA645B">
        <w:rPr>
          <w:rStyle w:val="hps"/>
          <w:rFonts w:hint="cs"/>
          <w:spacing w:val="-2"/>
          <w:rtl/>
          <w:lang/>
        </w:rPr>
        <w:t>النظام الداخلي للمحكمة</w:t>
      </w:r>
      <w:r w:rsidRPr="00FA645B">
        <w:rPr>
          <w:spacing w:val="-2"/>
          <w:rtl/>
          <w:lang/>
        </w:rPr>
        <w:t xml:space="preserve">. </w:t>
      </w:r>
      <w:r w:rsidRPr="00FA645B">
        <w:rPr>
          <w:rStyle w:val="hps"/>
          <w:rFonts w:hint="cs"/>
          <w:spacing w:val="-2"/>
          <w:rtl/>
          <w:lang/>
        </w:rPr>
        <w:t>و</w:t>
      </w:r>
      <w:r w:rsidRPr="00FA645B">
        <w:rPr>
          <w:rStyle w:val="hps"/>
          <w:spacing w:val="-2"/>
          <w:rtl/>
          <w:lang/>
        </w:rPr>
        <w:t>رفض</w:t>
      </w:r>
      <w:r w:rsidRPr="00FA645B">
        <w:rPr>
          <w:rStyle w:val="hps"/>
          <w:rFonts w:hint="cs"/>
          <w:spacing w:val="-2"/>
          <w:rtl/>
          <w:lang/>
        </w:rPr>
        <w:t>ت المحكمة هذا</w:t>
      </w:r>
      <w:r w:rsidRPr="00FA645B">
        <w:rPr>
          <w:rStyle w:val="hps"/>
          <w:spacing w:val="-2"/>
          <w:rtl/>
          <w:lang/>
        </w:rPr>
        <w:t xml:space="preserve"> الطلب</w:t>
      </w:r>
      <w:r w:rsidRPr="00FA645B">
        <w:rPr>
          <w:spacing w:val="-2"/>
          <w:rtl/>
          <w:lang/>
        </w:rPr>
        <w:t xml:space="preserve"> </w:t>
      </w:r>
      <w:r w:rsidRPr="00FA645B">
        <w:rPr>
          <w:rStyle w:val="hps"/>
          <w:spacing w:val="-2"/>
          <w:rtl/>
          <w:lang/>
        </w:rPr>
        <w:t>في 23 آب</w:t>
      </w:r>
      <w:r w:rsidRPr="00FA645B">
        <w:rPr>
          <w:rStyle w:val="hps"/>
          <w:rFonts w:hint="cs"/>
          <w:spacing w:val="-2"/>
          <w:rtl/>
          <w:lang/>
        </w:rPr>
        <w:t>/أغسطس</w:t>
      </w:r>
      <w:r w:rsidRPr="00FA645B">
        <w:rPr>
          <w:spacing w:val="-2"/>
          <w:rtl/>
          <w:lang/>
        </w:rPr>
        <w:t xml:space="preserve"> </w:t>
      </w:r>
      <w:r w:rsidRPr="00FA645B">
        <w:rPr>
          <w:rStyle w:val="hps"/>
          <w:spacing w:val="-2"/>
          <w:rtl/>
          <w:lang/>
        </w:rPr>
        <w:t>2010</w:t>
      </w:r>
      <w:r w:rsidRPr="00FA645B">
        <w:rPr>
          <w:rStyle w:val="hps"/>
          <w:rFonts w:hint="cs"/>
          <w:spacing w:val="-2"/>
          <w:rtl/>
          <w:lang/>
        </w:rPr>
        <w:t xml:space="preserve"> دون أن تحدد أسباب هذا الرفض.</w:t>
      </w:r>
    </w:p>
    <w:p w:rsidR="005E110C" w:rsidRPr="00A444EC" w:rsidRDefault="005E110C" w:rsidP="00FA645B">
      <w:pPr>
        <w:pStyle w:val="SingleTxtGA"/>
        <w:spacing w:line="366" w:lineRule="exact"/>
        <w:rPr>
          <w:rFonts w:hint="cs"/>
          <w:rtl/>
          <w:lang/>
        </w:rPr>
      </w:pPr>
      <w:r w:rsidRPr="00A444EC">
        <w:rPr>
          <w:rtl/>
          <w:lang w:val="fr-CH"/>
        </w:rPr>
        <w:t>2-12</w:t>
      </w:r>
      <w:r w:rsidRPr="00A444EC">
        <w:rPr>
          <w:rtl/>
          <w:lang w:val="fr-CH"/>
        </w:rPr>
        <w:tab/>
      </w:r>
      <w:r w:rsidRPr="00A444EC">
        <w:rPr>
          <w:rFonts w:hint="cs"/>
          <w:rtl/>
          <w:lang w:val="fr-CH"/>
        </w:rPr>
        <w:t>و</w:t>
      </w:r>
      <w:r w:rsidRPr="00A444EC">
        <w:rPr>
          <w:rStyle w:val="hps"/>
          <w:rtl/>
          <w:lang/>
        </w:rPr>
        <w:t>في 25</w:t>
      </w:r>
      <w:r w:rsidRPr="00A444EC">
        <w:rPr>
          <w:rtl/>
          <w:lang/>
        </w:rPr>
        <w:t xml:space="preserve"> </w:t>
      </w:r>
      <w:r w:rsidRPr="00A444EC">
        <w:rPr>
          <w:rFonts w:hint="cs"/>
          <w:rtl/>
          <w:lang/>
        </w:rPr>
        <w:t>آب/</w:t>
      </w:r>
      <w:r w:rsidRPr="00A444EC">
        <w:rPr>
          <w:rStyle w:val="hps"/>
          <w:rtl/>
          <w:lang/>
        </w:rPr>
        <w:t>أغسطس 2010،</w:t>
      </w:r>
      <w:r w:rsidRPr="00A444EC">
        <w:rPr>
          <w:rtl/>
          <w:lang/>
        </w:rPr>
        <w:t xml:space="preserve"> </w:t>
      </w:r>
      <w:r w:rsidRPr="00A444EC">
        <w:rPr>
          <w:rStyle w:val="hps"/>
          <w:rtl/>
          <w:lang/>
        </w:rPr>
        <w:t>علمت</w:t>
      </w:r>
      <w:r w:rsidRPr="00A444EC">
        <w:rPr>
          <w:rtl/>
          <w:lang/>
        </w:rPr>
        <w:t xml:space="preserve"> </w:t>
      </w:r>
      <w:r w:rsidRPr="00A444EC">
        <w:rPr>
          <w:rStyle w:val="hps"/>
          <w:rFonts w:hint="cs"/>
          <w:rtl/>
          <w:lang/>
        </w:rPr>
        <w:t>صاحبة</w:t>
      </w:r>
      <w:r w:rsidRPr="00A444EC">
        <w:rPr>
          <w:rtl/>
          <w:lang/>
        </w:rPr>
        <w:t xml:space="preserve"> </w:t>
      </w:r>
      <w:r w:rsidRPr="00A444EC">
        <w:rPr>
          <w:rStyle w:val="hps"/>
          <w:rtl/>
          <w:lang/>
        </w:rPr>
        <w:t>الشكوى</w:t>
      </w:r>
      <w:r w:rsidRPr="00A444EC">
        <w:rPr>
          <w:rStyle w:val="hps"/>
          <w:rFonts w:hint="cs"/>
          <w:rtl/>
          <w:lang/>
        </w:rPr>
        <w:t xml:space="preserve"> أنه من المزمع</w:t>
      </w:r>
      <w:r w:rsidRPr="00A444EC">
        <w:rPr>
          <w:rtl/>
          <w:lang/>
        </w:rPr>
        <w:t xml:space="preserve"> </w:t>
      </w:r>
      <w:r w:rsidRPr="00A444EC">
        <w:rPr>
          <w:rStyle w:val="hps"/>
          <w:rtl/>
          <w:lang/>
        </w:rPr>
        <w:t>تسليم</w:t>
      </w:r>
      <w:r w:rsidRPr="00A444EC">
        <w:rPr>
          <w:rtl/>
          <w:lang/>
        </w:rPr>
        <w:t xml:space="preserve"> </w:t>
      </w:r>
      <w:r w:rsidRPr="00A444EC">
        <w:rPr>
          <w:rStyle w:val="hps"/>
          <w:rtl/>
          <w:lang/>
        </w:rPr>
        <w:t>زوجها</w:t>
      </w:r>
      <w:r w:rsidRPr="00A444EC">
        <w:rPr>
          <w:rtl/>
          <w:lang/>
        </w:rPr>
        <w:t xml:space="preserve">، </w:t>
      </w:r>
      <w:r w:rsidRPr="00A444EC">
        <w:rPr>
          <w:rStyle w:val="hps"/>
          <w:rtl/>
          <w:lang/>
        </w:rPr>
        <w:t>السيد</w:t>
      </w:r>
      <w:r w:rsidRPr="00A444EC">
        <w:rPr>
          <w:rtl/>
          <w:lang/>
        </w:rPr>
        <w:t xml:space="preserve"> </w:t>
      </w:r>
      <w:r w:rsidRPr="00A444EC">
        <w:rPr>
          <w:rStyle w:val="hps"/>
          <w:rFonts w:hint="cs"/>
          <w:rtl/>
          <w:lang/>
        </w:rPr>
        <w:t>أنسي عبيشو</w:t>
      </w:r>
      <w:r w:rsidRPr="00A444EC">
        <w:rPr>
          <w:rtl/>
          <w:lang/>
        </w:rPr>
        <w:t xml:space="preserve">، </w:t>
      </w:r>
      <w:r w:rsidRPr="00A444EC">
        <w:rPr>
          <w:rStyle w:val="hps"/>
          <w:rtl/>
          <w:lang/>
        </w:rPr>
        <w:t>في اليوم</w:t>
      </w:r>
      <w:r w:rsidRPr="00A444EC">
        <w:rPr>
          <w:rtl/>
          <w:lang/>
        </w:rPr>
        <w:t xml:space="preserve"> </w:t>
      </w:r>
      <w:r w:rsidRPr="00A444EC">
        <w:rPr>
          <w:rStyle w:val="hps"/>
          <w:rtl/>
          <w:lang/>
        </w:rPr>
        <w:t>نفسه</w:t>
      </w:r>
      <w:r w:rsidRPr="00A444EC">
        <w:rPr>
          <w:rtl/>
          <w:lang/>
        </w:rPr>
        <w:t xml:space="preserve"> </w:t>
      </w:r>
      <w:r w:rsidRPr="00A444EC">
        <w:rPr>
          <w:rStyle w:val="hps"/>
          <w:rFonts w:hint="cs"/>
          <w:rtl/>
          <w:lang/>
        </w:rPr>
        <w:t xml:space="preserve">في </w:t>
      </w:r>
      <w:r w:rsidRPr="00A444EC">
        <w:rPr>
          <w:rStyle w:val="hps"/>
          <w:rtl/>
          <w:lang/>
        </w:rPr>
        <w:t xml:space="preserve">الساعة </w:t>
      </w:r>
      <w:r w:rsidRPr="00A444EC">
        <w:rPr>
          <w:rStyle w:val="hps"/>
          <w:rFonts w:hint="cs"/>
          <w:rtl/>
          <w:lang/>
        </w:rPr>
        <w:t>00/13.</w:t>
      </w:r>
      <w:r w:rsidRPr="00A444EC">
        <w:rPr>
          <w:rtl/>
          <w:lang/>
        </w:rPr>
        <w:t xml:space="preserve"> </w:t>
      </w:r>
      <w:r w:rsidRPr="00A444EC">
        <w:rPr>
          <w:rStyle w:val="hps"/>
          <w:rtl/>
          <w:lang/>
        </w:rPr>
        <w:t>و</w:t>
      </w:r>
      <w:r w:rsidRPr="00A444EC">
        <w:rPr>
          <w:rStyle w:val="hps"/>
          <w:rFonts w:hint="cs"/>
          <w:rtl/>
          <w:lang/>
        </w:rPr>
        <w:t xml:space="preserve">قد </w:t>
      </w:r>
      <w:r w:rsidRPr="00A444EC">
        <w:rPr>
          <w:rStyle w:val="hps"/>
          <w:rtl/>
          <w:lang/>
        </w:rPr>
        <w:t>جر</w:t>
      </w:r>
      <w:r w:rsidRPr="00A444EC">
        <w:rPr>
          <w:rStyle w:val="hps"/>
          <w:rFonts w:hint="cs"/>
          <w:rtl/>
          <w:lang/>
        </w:rPr>
        <w:t>ت عملية</w:t>
      </w:r>
      <w:r w:rsidRPr="00A444EC">
        <w:rPr>
          <w:rtl/>
          <w:lang/>
        </w:rPr>
        <w:t xml:space="preserve"> </w:t>
      </w:r>
      <w:r w:rsidRPr="00A444EC">
        <w:rPr>
          <w:rStyle w:val="hps"/>
          <w:rtl/>
          <w:lang/>
        </w:rPr>
        <w:t>التسليم</w:t>
      </w:r>
      <w:r w:rsidRPr="00A444EC">
        <w:rPr>
          <w:rtl/>
          <w:lang/>
        </w:rPr>
        <w:t xml:space="preserve"> </w:t>
      </w:r>
      <w:r w:rsidRPr="00A444EC">
        <w:rPr>
          <w:rStyle w:val="hps"/>
          <w:rFonts w:hint="cs"/>
          <w:rtl/>
          <w:lang/>
        </w:rPr>
        <w:t>بالفعل يوم</w:t>
      </w:r>
      <w:r w:rsidRPr="00A444EC">
        <w:rPr>
          <w:rStyle w:val="hps"/>
          <w:rtl/>
          <w:lang/>
        </w:rPr>
        <w:t xml:space="preserve"> 25</w:t>
      </w:r>
      <w:r w:rsidRPr="00A444EC">
        <w:rPr>
          <w:rtl/>
          <w:lang/>
        </w:rPr>
        <w:t xml:space="preserve"> </w:t>
      </w:r>
      <w:r w:rsidRPr="00A444EC">
        <w:rPr>
          <w:rFonts w:hint="cs"/>
          <w:rtl/>
          <w:lang/>
        </w:rPr>
        <w:t>آب/</w:t>
      </w:r>
      <w:r w:rsidRPr="00A444EC">
        <w:rPr>
          <w:rStyle w:val="hps"/>
          <w:rtl/>
          <w:lang/>
        </w:rPr>
        <w:t>أغسطس 2010.</w:t>
      </w:r>
    </w:p>
    <w:p w:rsidR="005E110C" w:rsidRPr="00A444EC" w:rsidRDefault="005E110C" w:rsidP="00FA645B">
      <w:pPr>
        <w:pStyle w:val="H23GA"/>
        <w:spacing w:line="366" w:lineRule="exact"/>
        <w:rPr>
          <w:rFonts w:hint="cs"/>
          <w:rtl/>
          <w:lang w:val="fr-CH"/>
        </w:rPr>
      </w:pPr>
      <w:r w:rsidRPr="00A444EC">
        <w:rPr>
          <w:rFonts w:hint="cs"/>
          <w:rtl/>
          <w:lang w:val="fr-CH"/>
        </w:rPr>
        <w:tab/>
      </w:r>
      <w:r w:rsidRPr="00A444EC">
        <w:rPr>
          <w:rFonts w:hint="cs"/>
          <w:rtl/>
          <w:lang w:val="fr-CH"/>
        </w:rPr>
        <w:tab/>
        <w:t>الشكوى</w:t>
      </w:r>
    </w:p>
    <w:p w:rsidR="005E110C" w:rsidRPr="00A444EC" w:rsidRDefault="005E110C" w:rsidP="00B23BB0">
      <w:pPr>
        <w:pStyle w:val="SingleTxtGA"/>
        <w:rPr>
          <w:rtl/>
          <w:lang w:val="fr-CH"/>
        </w:rPr>
      </w:pPr>
      <w:r w:rsidRPr="00A444EC">
        <w:rPr>
          <w:rtl/>
          <w:lang w:val="fr-CH"/>
        </w:rPr>
        <w:t>3-1</w:t>
      </w:r>
      <w:r w:rsidRPr="00A444EC">
        <w:rPr>
          <w:rtl/>
          <w:lang w:val="fr-CH"/>
        </w:rPr>
        <w:tab/>
      </w:r>
      <w:r w:rsidRPr="00A444EC">
        <w:rPr>
          <w:rStyle w:val="hps"/>
          <w:rtl/>
          <w:lang/>
        </w:rPr>
        <w:t>تشير</w:t>
      </w:r>
      <w:r w:rsidRPr="00A444EC">
        <w:rPr>
          <w:rtl/>
          <w:lang/>
        </w:rPr>
        <w:t xml:space="preserve"> </w:t>
      </w:r>
      <w:r w:rsidRPr="00A444EC">
        <w:rPr>
          <w:rFonts w:hint="cs"/>
          <w:rtl/>
          <w:lang/>
        </w:rPr>
        <w:t xml:space="preserve">صاحبة </w:t>
      </w:r>
      <w:r w:rsidRPr="00A444EC">
        <w:rPr>
          <w:rStyle w:val="hps"/>
          <w:rtl/>
          <w:lang/>
        </w:rPr>
        <w:t>الشكوى إلى الملاحظات</w:t>
      </w:r>
      <w:r w:rsidRPr="00A444EC">
        <w:rPr>
          <w:rtl/>
          <w:lang/>
        </w:rPr>
        <w:t xml:space="preserve"> </w:t>
      </w:r>
      <w:r w:rsidRPr="00A444EC">
        <w:rPr>
          <w:rStyle w:val="hps"/>
          <w:rtl/>
          <w:lang/>
        </w:rPr>
        <w:t>الختامية</w:t>
      </w:r>
      <w:r w:rsidRPr="00A444EC">
        <w:rPr>
          <w:rStyle w:val="hps"/>
          <w:rFonts w:hint="cs"/>
          <w:rtl/>
          <w:lang/>
        </w:rPr>
        <w:t xml:space="preserve"> التي اعتمدتها ا</w:t>
      </w:r>
      <w:r w:rsidRPr="00A444EC">
        <w:rPr>
          <w:rStyle w:val="hps"/>
          <w:rtl/>
          <w:lang/>
        </w:rPr>
        <w:t>للجنة</w:t>
      </w:r>
      <w:r w:rsidRPr="00A444EC">
        <w:rPr>
          <w:rStyle w:val="hps"/>
          <w:rFonts w:hint="cs"/>
          <w:rtl/>
          <w:lang/>
        </w:rPr>
        <w:t xml:space="preserve"> المعنية</w:t>
      </w:r>
      <w:r w:rsidRPr="00A444EC">
        <w:rPr>
          <w:rtl/>
          <w:lang/>
        </w:rPr>
        <w:t xml:space="preserve"> </w:t>
      </w:r>
      <w:r w:rsidRPr="00A444EC">
        <w:rPr>
          <w:rFonts w:hint="cs"/>
          <w:rtl/>
          <w:lang/>
        </w:rPr>
        <w:t>ب</w:t>
      </w:r>
      <w:r w:rsidRPr="00A444EC">
        <w:rPr>
          <w:rStyle w:val="hps"/>
          <w:rtl/>
          <w:lang/>
        </w:rPr>
        <w:t>حقوق</w:t>
      </w:r>
      <w:r w:rsidRPr="00A444EC">
        <w:rPr>
          <w:rtl/>
          <w:lang/>
        </w:rPr>
        <w:t xml:space="preserve"> </w:t>
      </w:r>
      <w:r w:rsidRPr="00A444EC">
        <w:rPr>
          <w:rStyle w:val="hps"/>
          <w:rtl/>
          <w:lang/>
        </w:rPr>
        <w:t>الإنسان</w:t>
      </w:r>
      <w:r w:rsidRPr="00A444EC">
        <w:rPr>
          <w:rtl/>
          <w:lang/>
        </w:rPr>
        <w:t xml:space="preserve"> </w:t>
      </w:r>
      <w:r w:rsidRPr="00A444EC">
        <w:rPr>
          <w:rStyle w:val="hps"/>
          <w:rtl/>
          <w:lang/>
        </w:rPr>
        <w:t>بشأن تونس</w:t>
      </w:r>
      <w:r w:rsidRPr="00A444EC">
        <w:rPr>
          <w:rtl/>
          <w:lang/>
        </w:rPr>
        <w:t xml:space="preserve">، </w:t>
      </w:r>
      <w:r w:rsidRPr="00A444EC">
        <w:rPr>
          <w:rStyle w:val="hps"/>
          <w:rtl/>
          <w:lang/>
        </w:rPr>
        <w:t>في 28</w:t>
      </w:r>
      <w:r w:rsidRPr="00A444EC">
        <w:rPr>
          <w:rtl/>
          <w:lang/>
        </w:rPr>
        <w:t xml:space="preserve"> </w:t>
      </w:r>
      <w:r w:rsidRPr="00A444EC">
        <w:rPr>
          <w:rFonts w:hint="cs"/>
          <w:rtl/>
          <w:lang/>
        </w:rPr>
        <w:t>آذار/</w:t>
      </w:r>
      <w:r w:rsidRPr="00A444EC">
        <w:rPr>
          <w:rStyle w:val="hps"/>
          <w:rtl/>
          <w:lang/>
        </w:rPr>
        <w:t xml:space="preserve">مارس </w:t>
      </w:r>
      <w:r w:rsidRPr="00A444EC">
        <w:rPr>
          <w:rStyle w:val="hps"/>
          <w:rFonts w:hint="cs"/>
          <w:rtl/>
          <w:lang/>
        </w:rPr>
        <w:t>2008</w:t>
      </w:r>
      <w:r w:rsidRPr="00A444EC">
        <w:rPr>
          <w:vertAlign w:val="superscript"/>
          <w:rtl/>
          <w:lang w:val="fr-CH"/>
        </w:rPr>
        <w:t>(</w:t>
      </w:r>
      <w:r w:rsidRPr="00A444EC">
        <w:rPr>
          <w:rStyle w:val="FootnoteReference"/>
          <w:rtl/>
          <w:lang w:val="fr-CH"/>
        </w:rPr>
        <w:footnoteReference w:id="130"/>
      </w:r>
      <w:r w:rsidRPr="00A444EC">
        <w:rPr>
          <w:vertAlign w:val="superscript"/>
          <w:rtl/>
          <w:lang w:val="fr-CH"/>
        </w:rPr>
        <w:t>)</w:t>
      </w:r>
      <w:r w:rsidRPr="00A444EC">
        <w:rPr>
          <w:rStyle w:val="hps"/>
          <w:rtl/>
          <w:lang/>
        </w:rPr>
        <w:t>،</w:t>
      </w:r>
      <w:r w:rsidRPr="00A444EC">
        <w:rPr>
          <w:rtl/>
          <w:lang/>
        </w:rPr>
        <w:t xml:space="preserve"> </w:t>
      </w:r>
      <w:r w:rsidRPr="00A444EC">
        <w:rPr>
          <w:rStyle w:val="hps"/>
          <w:rFonts w:hint="cs"/>
          <w:rtl/>
          <w:lang/>
        </w:rPr>
        <w:t>والتي تفيد ب</w:t>
      </w:r>
      <w:r w:rsidRPr="00A444EC">
        <w:rPr>
          <w:rStyle w:val="hps"/>
          <w:rtl/>
          <w:lang/>
        </w:rPr>
        <w:t>أن</w:t>
      </w:r>
      <w:r w:rsidRPr="00A444EC">
        <w:rPr>
          <w:rtl/>
          <w:lang/>
        </w:rPr>
        <w:t xml:space="preserve"> </w:t>
      </w:r>
      <w:r w:rsidRPr="00A444EC">
        <w:rPr>
          <w:rFonts w:hint="cs"/>
          <w:rtl/>
          <w:lang/>
        </w:rPr>
        <w:t xml:space="preserve">استخدام </w:t>
      </w:r>
      <w:r w:rsidRPr="00A444EC">
        <w:rPr>
          <w:rStyle w:val="hps"/>
          <w:rtl/>
          <w:lang/>
        </w:rPr>
        <w:t>التعذيب</w:t>
      </w:r>
      <w:r w:rsidRPr="00A444EC">
        <w:rPr>
          <w:rtl/>
          <w:lang/>
        </w:rPr>
        <w:t xml:space="preserve"> </w:t>
      </w:r>
      <w:r w:rsidRPr="00A444EC">
        <w:rPr>
          <w:rStyle w:val="hps"/>
          <w:rtl/>
          <w:lang/>
        </w:rPr>
        <w:t>في</w:t>
      </w:r>
      <w:r w:rsidRPr="00A444EC">
        <w:rPr>
          <w:rtl/>
          <w:lang/>
        </w:rPr>
        <w:t xml:space="preserve"> </w:t>
      </w:r>
      <w:r w:rsidRPr="00A444EC">
        <w:rPr>
          <w:rStyle w:val="hps"/>
          <w:rtl/>
          <w:lang/>
        </w:rPr>
        <w:t>تونس</w:t>
      </w:r>
      <w:r w:rsidRPr="00A444EC">
        <w:rPr>
          <w:rtl/>
          <w:lang/>
        </w:rPr>
        <w:t xml:space="preserve"> </w:t>
      </w:r>
      <w:r w:rsidRPr="00A444EC">
        <w:rPr>
          <w:rStyle w:val="hps"/>
          <w:rtl/>
          <w:lang/>
        </w:rPr>
        <w:t>أسلوب</w:t>
      </w:r>
      <w:r w:rsidRPr="00A444EC">
        <w:rPr>
          <w:rStyle w:val="hps"/>
          <w:rFonts w:hint="cs"/>
          <w:rtl/>
          <w:lang/>
        </w:rPr>
        <w:t xml:space="preserve"> شائع من أساليب</w:t>
      </w:r>
      <w:r w:rsidRPr="00A444EC">
        <w:rPr>
          <w:rtl/>
          <w:lang/>
        </w:rPr>
        <w:t xml:space="preserve"> </w:t>
      </w:r>
      <w:r w:rsidRPr="00A444EC">
        <w:rPr>
          <w:rStyle w:val="hps"/>
          <w:rtl/>
          <w:lang/>
        </w:rPr>
        <w:t>التحقيق</w:t>
      </w:r>
      <w:r w:rsidRPr="00A444EC">
        <w:rPr>
          <w:rFonts w:hint="cs"/>
          <w:rtl/>
          <w:lang/>
        </w:rPr>
        <w:t xml:space="preserve">، </w:t>
      </w:r>
      <w:r w:rsidRPr="00A444EC">
        <w:rPr>
          <w:rStyle w:val="hps"/>
          <w:rFonts w:hint="cs"/>
          <w:rtl/>
          <w:lang/>
        </w:rPr>
        <w:t>سواء مع</w:t>
      </w:r>
      <w:r w:rsidRPr="00A444EC">
        <w:rPr>
          <w:rtl/>
          <w:lang/>
        </w:rPr>
        <w:t xml:space="preserve"> </w:t>
      </w:r>
      <w:r w:rsidRPr="00A444EC">
        <w:rPr>
          <w:rStyle w:val="hps"/>
          <w:rtl/>
          <w:lang/>
        </w:rPr>
        <w:t>سجناء الرأي</w:t>
      </w:r>
      <w:r w:rsidRPr="00A444EC">
        <w:rPr>
          <w:rtl/>
          <w:lang/>
        </w:rPr>
        <w:t xml:space="preserve"> </w:t>
      </w:r>
      <w:r w:rsidRPr="00A444EC">
        <w:rPr>
          <w:rStyle w:val="hps"/>
          <w:rFonts w:hint="cs"/>
          <w:rtl/>
          <w:lang/>
        </w:rPr>
        <w:t>أو مع المتهمين بارتكاب جرائم عادية</w:t>
      </w:r>
      <w:r w:rsidRPr="00A444EC">
        <w:rPr>
          <w:rStyle w:val="hps"/>
          <w:rtl/>
          <w:lang/>
        </w:rPr>
        <w:t>.</w:t>
      </w:r>
      <w:r w:rsidRPr="00A444EC">
        <w:rPr>
          <w:rtl/>
          <w:lang/>
        </w:rPr>
        <w:t xml:space="preserve"> </w:t>
      </w:r>
      <w:r w:rsidRPr="00A444EC">
        <w:rPr>
          <w:rStyle w:val="hps"/>
          <w:rtl/>
          <w:lang/>
        </w:rPr>
        <w:t>ويتعرض</w:t>
      </w:r>
      <w:r w:rsidRPr="00A444EC">
        <w:rPr>
          <w:rtl/>
          <w:lang/>
        </w:rPr>
        <w:t xml:space="preserve"> </w:t>
      </w:r>
      <w:r w:rsidRPr="00A444EC">
        <w:rPr>
          <w:rStyle w:val="hps"/>
          <w:rFonts w:hint="cs"/>
          <w:rtl/>
          <w:lang/>
        </w:rPr>
        <w:t>أفراد الفئة الأخيرة</w:t>
      </w:r>
      <w:r w:rsidRPr="00A444EC">
        <w:rPr>
          <w:rtl/>
          <w:lang/>
        </w:rPr>
        <w:t xml:space="preserve"> </w:t>
      </w:r>
      <w:r w:rsidRPr="00A444EC">
        <w:rPr>
          <w:rStyle w:val="hps"/>
          <w:rFonts w:hint="cs"/>
          <w:rtl/>
          <w:lang/>
        </w:rPr>
        <w:t xml:space="preserve">بصورة شبه دائمة لضروب المعاملة </w:t>
      </w:r>
      <w:r w:rsidRPr="00A444EC">
        <w:rPr>
          <w:rStyle w:val="hps"/>
          <w:rtl/>
          <w:lang/>
        </w:rPr>
        <w:t>القاسية</w:t>
      </w:r>
      <w:r w:rsidRPr="00A444EC">
        <w:rPr>
          <w:rtl/>
          <w:lang/>
        </w:rPr>
        <w:t xml:space="preserve"> </w:t>
      </w:r>
      <w:r w:rsidRPr="00A444EC">
        <w:rPr>
          <w:rStyle w:val="hps"/>
          <w:rtl/>
          <w:lang/>
        </w:rPr>
        <w:t>أو</w:t>
      </w:r>
      <w:r w:rsidRPr="00A444EC">
        <w:rPr>
          <w:rStyle w:val="hps"/>
          <w:rFonts w:hint="cs"/>
          <w:rtl/>
          <w:lang/>
        </w:rPr>
        <w:t> </w:t>
      </w:r>
      <w:r w:rsidRPr="00A444EC">
        <w:rPr>
          <w:rStyle w:val="hps"/>
          <w:rtl/>
          <w:lang/>
        </w:rPr>
        <w:t>اللاإنسانية أو المهينة</w:t>
      </w:r>
      <w:r w:rsidRPr="00A444EC">
        <w:rPr>
          <w:rtl/>
          <w:lang/>
        </w:rPr>
        <w:t xml:space="preserve">، </w:t>
      </w:r>
      <w:r w:rsidRPr="00A444EC">
        <w:rPr>
          <w:rStyle w:val="hps"/>
          <w:rFonts w:hint="cs"/>
          <w:rtl/>
          <w:lang/>
        </w:rPr>
        <w:t>من قبيل تلقي</w:t>
      </w:r>
      <w:r w:rsidRPr="00A444EC">
        <w:rPr>
          <w:rtl/>
          <w:lang/>
        </w:rPr>
        <w:t xml:space="preserve"> </w:t>
      </w:r>
      <w:r w:rsidRPr="00A444EC">
        <w:rPr>
          <w:rFonts w:hint="cs"/>
          <w:rtl/>
          <w:lang/>
        </w:rPr>
        <w:t>ال</w:t>
      </w:r>
      <w:r w:rsidRPr="00A444EC">
        <w:rPr>
          <w:rStyle w:val="hps"/>
          <w:rtl/>
          <w:lang/>
        </w:rPr>
        <w:t>ركلات</w:t>
      </w:r>
      <w:r w:rsidRPr="00A444EC">
        <w:rPr>
          <w:rtl/>
          <w:lang/>
        </w:rPr>
        <w:t xml:space="preserve"> </w:t>
      </w:r>
      <w:r w:rsidRPr="00A444EC">
        <w:rPr>
          <w:rStyle w:val="hps"/>
          <w:rtl/>
          <w:lang/>
        </w:rPr>
        <w:t>و</w:t>
      </w:r>
      <w:r w:rsidRPr="00A444EC">
        <w:rPr>
          <w:rtl/>
          <w:lang/>
        </w:rPr>
        <w:t xml:space="preserve">الصفعات </w:t>
      </w:r>
      <w:r w:rsidRPr="00A444EC">
        <w:rPr>
          <w:rStyle w:val="hps"/>
          <w:rtl/>
          <w:lang/>
        </w:rPr>
        <w:t>واللكمات</w:t>
      </w:r>
      <w:r w:rsidRPr="00A444EC">
        <w:rPr>
          <w:rtl/>
          <w:lang/>
        </w:rPr>
        <w:t xml:space="preserve"> </w:t>
      </w:r>
      <w:r w:rsidRPr="00A444EC">
        <w:rPr>
          <w:rStyle w:val="hps"/>
          <w:rtl/>
          <w:lang/>
        </w:rPr>
        <w:t>أثناء الاستجواب.</w:t>
      </w:r>
      <w:r w:rsidRPr="00A444EC">
        <w:rPr>
          <w:rtl/>
          <w:lang/>
        </w:rPr>
        <w:t xml:space="preserve"> </w:t>
      </w:r>
      <w:r w:rsidRPr="00A444EC">
        <w:rPr>
          <w:rFonts w:hint="cs"/>
          <w:rtl/>
          <w:lang/>
        </w:rPr>
        <w:t>و</w:t>
      </w:r>
      <w:r w:rsidRPr="00A444EC">
        <w:rPr>
          <w:rStyle w:val="hps"/>
          <w:rtl/>
          <w:lang/>
        </w:rPr>
        <w:t>يتعرض</w:t>
      </w:r>
      <w:r w:rsidRPr="00A444EC">
        <w:rPr>
          <w:rStyle w:val="hps"/>
          <w:rFonts w:hint="cs"/>
          <w:rtl/>
          <w:lang/>
        </w:rPr>
        <w:t xml:space="preserve"> </w:t>
      </w:r>
      <w:r w:rsidRPr="00A444EC">
        <w:rPr>
          <w:rStyle w:val="hps"/>
          <w:rtl/>
          <w:lang/>
        </w:rPr>
        <w:t>المشتبه بهم</w:t>
      </w:r>
      <w:r w:rsidRPr="00A444EC">
        <w:rPr>
          <w:rtl/>
          <w:lang/>
        </w:rPr>
        <w:t xml:space="preserve"> </w:t>
      </w:r>
      <w:r w:rsidRPr="00A444EC">
        <w:rPr>
          <w:rStyle w:val="hps"/>
          <w:rFonts w:hint="cs"/>
          <w:rtl/>
          <w:lang/>
        </w:rPr>
        <w:t xml:space="preserve">غير الطيّعين </w:t>
      </w:r>
      <w:r w:rsidRPr="00A444EC">
        <w:rPr>
          <w:rStyle w:val="hps"/>
          <w:rtl/>
          <w:lang/>
        </w:rPr>
        <w:t>للتعذيب</w:t>
      </w:r>
      <w:r w:rsidRPr="00A444EC">
        <w:rPr>
          <w:vertAlign w:val="superscript"/>
          <w:rtl/>
          <w:lang w:val="fr-CH"/>
        </w:rPr>
        <w:t>(</w:t>
      </w:r>
      <w:r w:rsidRPr="00A444EC">
        <w:rPr>
          <w:rStyle w:val="FootnoteReference"/>
          <w:rtl/>
          <w:lang w:val="fr-CH"/>
        </w:rPr>
        <w:footnoteReference w:id="131"/>
      </w:r>
      <w:r w:rsidRPr="00A444EC">
        <w:rPr>
          <w:vertAlign w:val="superscript"/>
          <w:rtl/>
          <w:lang w:val="fr-CH"/>
        </w:rPr>
        <w:t>)</w:t>
      </w:r>
      <w:r w:rsidRPr="00A444EC">
        <w:rPr>
          <w:rtl/>
          <w:lang/>
        </w:rPr>
        <w:t xml:space="preserve">. </w:t>
      </w:r>
      <w:r w:rsidRPr="00A444EC">
        <w:rPr>
          <w:rStyle w:val="hps"/>
          <w:rtl/>
          <w:lang/>
        </w:rPr>
        <w:t>وي</w:t>
      </w:r>
      <w:r w:rsidRPr="00A444EC">
        <w:rPr>
          <w:rStyle w:val="hps"/>
          <w:rFonts w:hint="cs"/>
          <w:rtl/>
          <w:lang/>
        </w:rPr>
        <w:t>هدف هذا</w:t>
      </w:r>
      <w:r w:rsidRPr="00A444EC">
        <w:rPr>
          <w:rtl/>
          <w:lang/>
        </w:rPr>
        <w:t xml:space="preserve"> </w:t>
      </w:r>
      <w:r w:rsidRPr="00A444EC">
        <w:rPr>
          <w:rStyle w:val="hps"/>
          <w:rtl/>
          <w:lang/>
        </w:rPr>
        <w:t>التعذيب</w:t>
      </w:r>
      <w:r w:rsidRPr="00A444EC">
        <w:rPr>
          <w:rStyle w:val="hps"/>
          <w:rFonts w:hint="cs"/>
          <w:rtl/>
          <w:lang/>
        </w:rPr>
        <w:t>، على النحو المستخدم ضد</w:t>
      </w:r>
      <w:r w:rsidRPr="00A444EC">
        <w:rPr>
          <w:rStyle w:val="hps"/>
          <w:rtl/>
          <w:lang/>
        </w:rPr>
        <w:t xml:space="preserve"> السجناء</w:t>
      </w:r>
      <w:r w:rsidRPr="00A444EC">
        <w:rPr>
          <w:rtl/>
          <w:lang/>
        </w:rPr>
        <w:t xml:space="preserve"> </w:t>
      </w:r>
      <w:r w:rsidRPr="00A444EC">
        <w:rPr>
          <w:rStyle w:val="hps"/>
          <w:rFonts w:hint="cs"/>
          <w:rtl/>
          <w:lang/>
        </w:rPr>
        <w:t>المدانين بجرائم عادية،</w:t>
      </w:r>
      <w:r w:rsidRPr="00A444EC">
        <w:rPr>
          <w:rStyle w:val="hps"/>
          <w:rtl/>
          <w:lang/>
        </w:rPr>
        <w:t xml:space="preserve"> إلى انتزاع الاعترافات</w:t>
      </w:r>
      <w:r w:rsidRPr="00A444EC">
        <w:rPr>
          <w:rtl/>
          <w:lang/>
        </w:rPr>
        <w:t xml:space="preserve"> </w:t>
      </w:r>
      <w:r w:rsidRPr="00A444EC">
        <w:rPr>
          <w:rStyle w:val="hps"/>
          <w:rFonts w:hint="cs"/>
          <w:rtl/>
          <w:lang/>
        </w:rPr>
        <w:t>فيما يتعلق ب</w:t>
      </w:r>
      <w:r w:rsidRPr="00A444EC">
        <w:rPr>
          <w:rStyle w:val="hps"/>
          <w:rtl/>
          <w:lang/>
        </w:rPr>
        <w:t xml:space="preserve">الجرائم </w:t>
      </w:r>
      <w:r w:rsidRPr="00A444EC">
        <w:rPr>
          <w:rStyle w:val="hps"/>
          <w:rFonts w:hint="cs"/>
          <w:rtl/>
          <w:lang/>
        </w:rPr>
        <w:t xml:space="preserve">التي يزعم أن المتهمين ارتكبوها، </w:t>
      </w:r>
      <w:r w:rsidRPr="00A444EC">
        <w:rPr>
          <w:rStyle w:val="hps"/>
          <w:rtl/>
          <w:lang/>
        </w:rPr>
        <w:t>و</w:t>
      </w:r>
      <w:r w:rsidRPr="00A444EC">
        <w:rPr>
          <w:rStyle w:val="hps"/>
          <w:rFonts w:hint="cs"/>
          <w:rtl/>
          <w:lang/>
        </w:rPr>
        <w:t>لإنهاء بعض القضايا التي لم يتسن حلها.</w:t>
      </w:r>
    </w:p>
    <w:p w:rsidR="005E110C" w:rsidRPr="00A444EC" w:rsidRDefault="005E110C" w:rsidP="00B23BB0">
      <w:pPr>
        <w:pStyle w:val="SingleTxtGA"/>
        <w:rPr>
          <w:rtl/>
          <w:lang/>
        </w:rPr>
      </w:pPr>
      <w:r w:rsidRPr="00A444EC">
        <w:rPr>
          <w:rtl/>
          <w:lang w:val="fr-CH"/>
        </w:rPr>
        <w:t>3-2</w:t>
      </w:r>
      <w:r w:rsidRPr="00A444EC">
        <w:rPr>
          <w:rtl/>
          <w:lang w:val="fr-CH"/>
        </w:rPr>
        <w:tab/>
      </w:r>
      <w:r w:rsidRPr="00A444EC">
        <w:rPr>
          <w:rStyle w:val="hps"/>
          <w:rFonts w:hint="cs"/>
          <w:rtl/>
          <w:lang/>
        </w:rPr>
        <w:t>وترى صاحبة</w:t>
      </w:r>
      <w:r w:rsidRPr="00A444EC">
        <w:rPr>
          <w:rtl/>
          <w:lang/>
        </w:rPr>
        <w:t xml:space="preserve"> الشكوى</w:t>
      </w:r>
      <w:r w:rsidRPr="00A444EC">
        <w:rPr>
          <w:rFonts w:hint="cs"/>
          <w:rtl/>
          <w:lang/>
        </w:rPr>
        <w:t xml:space="preserve"> أن </w:t>
      </w:r>
      <w:r w:rsidRPr="00A444EC">
        <w:rPr>
          <w:rtl/>
          <w:lang/>
        </w:rPr>
        <w:t xml:space="preserve">الضمانات التي قدمتها </w:t>
      </w:r>
      <w:r w:rsidRPr="00A444EC">
        <w:rPr>
          <w:rStyle w:val="hps"/>
          <w:rtl/>
          <w:lang/>
        </w:rPr>
        <w:t>الحكومة التونسية</w:t>
      </w:r>
      <w:r w:rsidRPr="00A444EC">
        <w:rPr>
          <w:rtl/>
          <w:lang/>
        </w:rPr>
        <w:t xml:space="preserve"> </w:t>
      </w:r>
      <w:r w:rsidRPr="00A444EC">
        <w:rPr>
          <w:rStyle w:val="hps"/>
          <w:rtl/>
          <w:lang/>
        </w:rPr>
        <w:t>في</w:t>
      </w:r>
      <w:r w:rsidRPr="00A444EC">
        <w:rPr>
          <w:rtl/>
          <w:lang/>
        </w:rPr>
        <w:t xml:space="preserve"> </w:t>
      </w:r>
      <w:r w:rsidRPr="00A444EC">
        <w:rPr>
          <w:rStyle w:val="hps"/>
          <w:rtl/>
          <w:lang/>
        </w:rPr>
        <w:t>المذكرتين</w:t>
      </w:r>
      <w:r w:rsidRPr="00A444EC">
        <w:rPr>
          <w:rtl/>
          <w:lang/>
        </w:rPr>
        <w:t xml:space="preserve"> </w:t>
      </w:r>
      <w:r w:rsidRPr="00A444EC">
        <w:rPr>
          <w:rStyle w:val="hps"/>
          <w:rtl/>
          <w:lang/>
        </w:rPr>
        <w:t>الشفوي</w:t>
      </w:r>
      <w:r w:rsidRPr="00A444EC">
        <w:rPr>
          <w:rStyle w:val="hps"/>
          <w:rFonts w:hint="cs"/>
          <w:rtl/>
          <w:lang/>
        </w:rPr>
        <w:t>تين المتعلقتين</w:t>
      </w:r>
      <w:r w:rsidRPr="00A444EC">
        <w:rPr>
          <w:rtl/>
          <w:lang/>
        </w:rPr>
        <w:t xml:space="preserve"> </w:t>
      </w:r>
      <w:r w:rsidRPr="00A444EC">
        <w:rPr>
          <w:rStyle w:val="hps"/>
          <w:rFonts w:hint="cs"/>
          <w:rtl/>
          <w:lang/>
        </w:rPr>
        <w:t>ب</w:t>
      </w:r>
      <w:r w:rsidRPr="00A444EC">
        <w:rPr>
          <w:rStyle w:val="hps"/>
          <w:rtl/>
          <w:lang/>
        </w:rPr>
        <w:t>الحفاظ على</w:t>
      </w:r>
      <w:r w:rsidRPr="00A444EC">
        <w:rPr>
          <w:rtl/>
          <w:lang/>
        </w:rPr>
        <w:t xml:space="preserve"> </w:t>
      </w:r>
      <w:r w:rsidRPr="00A444EC">
        <w:rPr>
          <w:rStyle w:val="hps"/>
          <w:rtl/>
          <w:lang/>
        </w:rPr>
        <w:t>السلامة الجسدية و</w:t>
      </w:r>
      <w:r w:rsidRPr="00A444EC">
        <w:rPr>
          <w:rtl/>
          <w:lang/>
        </w:rPr>
        <w:t xml:space="preserve">النفسية للسيد </w:t>
      </w:r>
      <w:r w:rsidRPr="00A444EC">
        <w:rPr>
          <w:rStyle w:val="hps"/>
          <w:rFonts w:hint="cs"/>
          <w:rtl/>
          <w:lang/>
        </w:rPr>
        <w:t>أنسي عبيشو</w:t>
      </w:r>
      <w:r w:rsidRPr="00A444EC">
        <w:rPr>
          <w:rtl/>
          <w:lang/>
        </w:rPr>
        <w:t xml:space="preserve"> </w:t>
      </w:r>
      <w:r w:rsidRPr="00A444EC">
        <w:rPr>
          <w:rStyle w:val="hps"/>
          <w:rtl/>
          <w:lang/>
        </w:rPr>
        <w:t>هي</w:t>
      </w:r>
      <w:r w:rsidRPr="00A444EC">
        <w:rPr>
          <w:rtl/>
          <w:lang/>
        </w:rPr>
        <w:t xml:space="preserve"> </w:t>
      </w:r>
      <w:r w:rsidRPr="00A444EC">
        <w:rPr>
          <w:rStyle w:val="hps"/>
          <w:rFonts w:hint="cs"/>
          <w:rtl/>
          <w:lang/>
        </w:rPr>
        <w:t>ضمانات عديمة</w:t>
      </w:r>
      <w:r w:rsidRPr="00A444EC">
        <w:rPr>
          <w:rStyle w:val="hps"/>
          <w:rtl/>
          <w:lang/>
        </w:rPr>
        <w:t xml:space="preserve"> </w:t>
      </w:r>
      <w:r w:rsidRPr="00A444EC">
        <w:rPr>
          <w:rStyle w:val="hps"/>
          <w:rFonts w:hint="cs"/>
          <w:rtl/>
          <w:lang/>
        </w:rPr>
        <w:t>ال</w:t>
      </w:r>
      <w:r w:rsidRPr="00A444EC">
        <w:rPr>
          <w:rStyle w:val="hps"/>
          <w:rtl/>
          <w:lang/>
        </w:rPr>
        <w:t>قيمة</w:t>
      </w:r>
      <w:r w:rsidRPr="00A444EC">
        <w:rPr>
          <w:rFonts w:hint="cs"/>
          <w:rtl/>
          <w:lang/>
        </w:rPr>
        <w:t xml:space="preserve"> لأن تونس لم تلتزم بالوعود التي قدمتها للدولة التي طلبت منها تسليم</w:t>
      </w:r>
      <w:r w:rsidRPr="00A444EC">
        <w:rPr>
          <w:rtl/>
          <w:lang/>
        </w:rPr>
        <w:t xml:space="preserve"> </w:t>
      </w:r>
      <w:r w:rsidRPr="00A444EC">
        <w:rPr>
          <w:rStyle w:val="hps"/>
          <w:rtl/>
          <w:lang/>
        </w:rPr>
        <w:t>أحد مواطنيها</w:t>
      </w:r>
      <w:r w:rsidRPr="00A444EC">
        <w:rPr>
          <w:rStyle w:val="hps"/>
          <w:rFonts w:hint="cs"/>
          <w:rtl/>
          <w:lang/>
        </w:rPr>
        <w:t xml:space="preserve"> أو إعادته إليها</w:t>
      </w:r>
      <w:r w:rsidRPr="00A444EC">
        <w:rPr>
          <w:vertAlign w:val="superscript"/>
          <w:rtl/>
          <w:lang w:val="fr-CH"/>
        </w:rPr>
        <w:t>(</w:t>
      </w:r>
      <w:r w:rsidRPr="00A444EC">
        <w:rPr>
          <w:rStyle w:val="FootnoteReference"/>
          <w:rtl/>
          <w:lang w:val="fr-CH"/>
        </w:rPr>
        <w:footnoteReference w:id="132"/>
      </w:r>
      <w:r w:rsidRPr="00A444EC">
        <w:rPr>
          <w:vertAlign w:val="superscript"/>
          <w:rtl/>
          <w:lang w:val="fr-CH"/>
        </w:rPr>
        <w:t>)</w:t>
      </w:r>
      <w:r w:rsidRPr="00A444EC">
        <w:rPr>
          <w:rtl/>
          <w:lang/>
        </w:rPr>
        <w:t xml:space="preserve">. </w:t>
      </w:r>
      <w:r w:rsidRPr="00A444EC">
        <w:rPr>
          <w:rStyle w:val="hps"/>
          <w:rtl/>
          <w:lang/>
        </w:rPr>
        <w:t>وعلاوة على ذلك</w:t>
      </w:r>
      <w:r w:rsidRPr="00A444EC">
        <w:rPr>
          <w:rtl/>
          <w:lang/>
        </w:rPr>
        <w:t xml:space="preserve">، </w:t>
      </w:r>
      <w:r w:rsidRPr="00A444EC">
        <w:rPr>
          <w:rFonts w:hint="cs"/>
          <w:rtl/>
          <w:lang/>
        </w:rPr>
        <w:t>فقد أخبر محامي السيد محمد جلوالي</w:t>
      </w:r>
      <w:r w:rsidRPr="00A444EC">
        <w:rPr>
          <w:rtl/>
          <w:lang/>
        </w:rPr>
        <w:t>،</w:t>
      </w:r>
      <w:r w:rsidRPr="00A444EC">
        <w:rPr>
          <w:rFonts w:hint="cs"/>
          <w:rtl/>
          <w:lang/>
        </w:rPr>
        <w:t xml:space="preserve"> </w:t>
      </w:r>
      <w:r w:rsidRPr="00A444EC">
        <w:rPr>
          <w:rStyle w:val="hps"/>
          <w:rtl/>
          <w:lang/>
        </w:rPr>
        <w:t>المتهم</w:t>
      </w:r>
      <w:r w:rsidRPr="00A444EC">
        <w:rPr>
          <w:rtl/>
          <w:lang/>
        </w:rPr>
        <w:t xml:space="preserve"> </w:t>
      </w:r>
      <w:r w:rsidRPr="00A444EC">
        <w:rPr>
          <w:rStyle w:val="hps"/>
          <w:rtl/>
          <w:lang/>
        </w:rPr>
        <w:t>في القضية نفسها</w:t>
      </w:r>
      <w:r w:rsidRPr="00A444EC">
        <w:rPr>
          <w:rtl/>
          <w:lang/>
        </w:rPr>
        <w:t>،</w:t>
      </w:r>
      <w:r w:rsidRPr="00A444EC">
        <w:rPr>
          <w:rFonts w:hint="cs"/>
          <w:rtl/>
          <w:lang/>
        </w:rPr>
        <w:t xml:space="preserve"> </w:t>
      </w:r>
      <w:r w:rsidRPr="00A444EC">
        <w:rPr>
          <w:rStyle w:val="hps"/>
          <w:rFonts w:hint="cs"/>
          <w:rtl/>
          <w:lang/>
        </w:rPr>
        <w:t>محامي صاحبة</w:t>
      </w:r>
      <w:r w:rsidRPr="00A444EC">
        <w:rPr>
          <w:rStyle w:val="hps"/>
          <w:rtl/>
          <w:lang/>
        </w:rPr>
        <w:t xml:space="preserve"> الشكوى </w:t>
      </w:r>
      <w:r w:rsidRPr="00A444EC">
        <w:rPr>
          <w:rStyle w:val="hps"/>
          <w:rFonts w:hint="cs"/>
          <w:rtl/>
          <w:lang/>
        </w:rPr>
        <w:t xml:space="preserve">في </w:t>
      </w:r>
      <w:r w:rsidRPr="00A444EC">
        <w:rPr>
          <w:rStyle w:val="hps"/>
          <w:rtl/>
          <w:lang/>
        </w:rPr>
        <w:t xml:space="preserve">اتصال هاتفي </w:t>
      </w:r>
      <w:r w:rsidRPr="00A444EC">
        <w:rPr>
          <w:rStyle w:val="hps"/>
          <w:rFonts w:hint="cs"/>
          <w:rtl/>
          <w:lang/>
        </w:rPr>
        <w:t>أجراه معه</w:t>
      </w:r>
      <w:r w:rsidRPr="00A444EC">
        <w:rPr>
          <w:rFonts w:hint="cs"/>
          <w:rtl/>
          <w:lang/>
        </w:rPr>
        <w:t xml:space="preserve"> بتعرّض</w:t>
      </w:r>
      <w:r w:rsidRPr="00A444EC">
        <w:rPr>
          <w:rtl/>
          <w:lang/>
        </w:rPr>
        <w:t xml:space="preserve"> </w:t>
      </w:r>
      <w:r w:rsidRPr="00A444EC">
        <w:rPr>
          <w:rStyle w:val="hps"/>
          <w:rtl/>
          <w:lang/>
        </w:rPr>
        <w:t>موكله</w:t>
      </w:r>
      <w:r w:rsidRPr="00A444EC">
        <w:rPr>
          <w:rtl/>
          <w:lang/>
        </w:rPr>
        <w:t xml:space="preserve"> </w:t>
      </w:r>
      <w:r w:rsidRPr="00A444EC">
        <w:rPr>
          <w:rStyle w:val="hps"/>
          <w:rFonts w:hint="cs"/>
          <w:rtl/>
          <w:lang/>
        </w:rPr>
        <w:t>للاعتداء على يد</w:t>
      </w:r>
      <w:r w:rsidRPr="00A444EC">
        <w:rPr>
          <w:rtl/>
          <w:lang/>
        </w:rPr>
        <w:t xml:space="preserve"> </w:t>
      </w:r>
      <w:r w:rsidRPr="00A444EC">
        <w:rPr>
          <w:rStyle w:val="hps"/>
          <w:rtl/>
          <w:lang/>
        </w:rPr>
        <w:t>موظفي الجمارك</w:t>
      </w:r>
      <w:r w:rsidRPr="00A444EC">
        <w:rPr>
          <w:rtl/>
          <w:lang/>
        </w:rPr>
        <w:t xml:space="preserve"> </w:t>
      </w:r>
      <w:r w:rsidRPr="00A444EC">
        <w:rPr>
          <w:rStyle w:val="hps"/>
          <w:rtl/>
          <w:lang/>
        </w:rPr>
        <w:t>الذين</w:t>
      </w:r>
      <w:r w:rsidRPr="00A444EC">
        <w:rPr>
          <w:rStyle w:val="hps"/>
          <w:rFonts w:hint="cs"/>
          <w:rtl/>
          <w:lang/>
        </w:rPr>
        <w:t xml:space="preserve"> أوقفوه، </w:t>
      </w:r>
      <w:r w:rsidRPr="00A444EC">
        <w:rPr>
          <w:rStyle w:val="hps"/>
          <w:rtl/>
          <w:lang/>
        </w:rPr>
        <w:t>ثم تعرض</w:t>
      </w:r>
      <w:r w:rsidRPr="00A444EC">
        <w:rPr>
          <w:rStyle w:val="hps"/>
          <w:rFonts w:hint="cs"/>
          <w:rtl/>
          <w:lang/>
        </w:rPr>
        <w:t>ه</w:t>
      </w:r>
      <w:r w:rsidRPr="00A444EC">
        <w:rPr>
          <w:rStyle w:val="hps"/>
          <w:rtl/>
          <w:lang/>
        </w:rPr>
        <w:t xml:space="preserve"> للتعذيب</w:t>
      </w:r>
      <w:r w:rsidRPr="00A444EC">
        <w:rPr>
          <w:rtl/>
          <w:lang/>
        </w:rPr>
        <w:t xml:space="preserve"> </w:t>
      </w:r>
      <w:r w:rsidRPr="00A444EC">
        <w:rPr>
          <w:rStyle w:val="hps"/>
          <w:rtl/>
          <w:lang/>
        </w:rPr>
        <w:t xml:space="preserve">على أيدي </w:t>
      </w:r>
      <w:r w:rsidRPr="00A444EC">
        <w:rPr>
          <w:rStyle w:val="hps"/>
          <w:rFonts w:hint="cs"/>
          <w:rtl/>
          <w:lang/>
        </w:rPr>
        <w:t>أفراد شرطة</w:t>
      </w:r>
      <w:r w:rsidRPr="00A444EC">
        <w:rPr>
          <w:rStyle w:val="hps"/>
          <w:rtl/>
          <w:lang/>
        </w:rPr>
        <w:t xml:space="preserve"> </w:t>
      </w:r>
      <w:r w:rsidRPr="00A444EC">
        <w:rPr>
          <w:rStyle w:val="hps"/>
          <w:rFonts w:hint="cs"/>
          <w:rtl/>
          <w:lang/>
        </w:rPr>
        <w:t xml:space="preserve">مركز </w:t>
      </w:r>
      <w:r w:rsidRPr="00A444EC">
        <w:rPr>
          <w:rStyle w:val="hps"/>
          <w:rtl/>
          <w:lang/>
        </w:rPr>
        <w:t>حلق الوادي</w:t>
      </w:r>
      <w:r w:rsidRPr="00A444EC">
        <w:rPr>
          <w:rFonts w:hint="cs"/>
          <w:rtl/>
          <w:lang/>
        </w:rPr>
        <w:t xml:space="preserve"> الذين سلم إليهم </w:t>
      </w:r>
      <w:r w:rsidRPr="00A444EC">
        <w:rPr>
          <w:rStyle w:val="hps"/>
          <w:rtl/>
          <w:lang/>
        </w:rPr>
        <w:t>في اليوم نفس</w:t>
      </w:r>
      <w:r w:rsidRPr="00A444EC">
        <w:rPr>
          <w:rStyle w:val="hps"/>
          <w:rFonts w:hint="cs"/>
          <w:rtl/>
          <w:lang/>
        </w:rPr>
        <w:t>ه</w:t>
      </w:r>
      <w:r w:rsidRPr="00A444EC">
        <w:rPr>
          <w:rtl/>
          <w:lang/>
        </w:rPr>
        <w:t xml:space="preserve">. </w:t>
      </w:r>
      <w:r w:rsidRPr="00A444EC">
        <w:rPr>
          <w:rStyle w:val="hps"/>
          <w:rtl/>
          <w:lang/>
        </w:rPr>
        <w:t>و</w:t>
      </w:r>
      <w:r w:rsidRPr="00A444EC">
        <w:rPr>
          <w:rStyle w:val="hps"/>
          <w:rFonts w:hint="cs"/>
          <w:rtl/>
          <w:lang/>
        </w:rPr>
        <w:t>تعرض للكم والركل</w:t>
      </w:r>
      <w:r w:rsidRPr="00A444EC">
        <w:rPr>
          <w:rStyle w:val="hps"/>
          <w:rtl/>
          <w:lang/>
        </w:rPr>
        <w:t xml:space="preserve"> والضرب</w:t>
      </w:r>
      <w:r w:rsidRPr="00A444EC">
        <w:rPr>
          <w:rtl/>
          <w:lang/>
        </w:rPr>
        <w:t xml:space="preserve"> </w:t>
      </w:r>
      <w:r w:rsidRPr="00A444EC">
        <w:rPr>
          <w:rStyle w:val="hps"/>
          <w:rtl/>
          <w:lang/>
        </w:rPr>
        <w:t>بالهراوات</w:t>
      </w:r>
      <w:r w:rsidRPr="00A444EC">
        <w:rPr>
          <w:rtl/>
          <w:lang/>
        </w:rPr>
        <w:t xml:space="preserve"> </w:t>
      </w:r>
      <w:r w:rsidRPr="00A444EC">
        <w:rPr>
          <w:rStyle w:val="hps"/>
          <w:rFonts w:hint="cs"/>
          <w:rtl/>
          <w:lang/>
        </w:rPr>
        <w:t>خلال الأيام</w:t>
      </w:r>
      <w:r w:rsidRPr="00A444EC">
        <w:rPr>
          <w:rStyle w:val="hps"/>
          <w:rFonts w:hint="eastAsia"/>
          <w:rtl/>
          <w:lang/>
        </w:rPr>
        <w:t> </w:t>
      </w:r>
      <w:r w:rsidRPr="00A444EC">
        <w:rPr>
          <w:rStyle w:val="hps"/>
          <w:rFonts w:hint="cs"/>
          <w:rtl/>
          <w:lang/>
        </w:rPr>
        <w:t>الخمسة</w:t>
      </w:r>
      <w:r w:rsidRPr="00A444EC">
        <w:rPr>
          <w:rtl/>
          <w:lang/>
        </w:rPr>
        <w:t xml:space="preserve"> </w:t>
      </w:r>
      <w:r w:rsidRPr="00A444EC">
        <w:rPr>
          <w:rFonts w:hint="cs"/>
          <w:rtl/>
          <w:lang/>
        </w:rPr>
        <w:t>التي أ</w:t>
      </w:r>
      <w:r w:rsidRPr="00A444EC">
        <w:rPr>
          <w:rStyle w:val="hps"/>
          <w:rtl/>
          <w:lang/>
        </w:rPr>
        <w:t>عقب</w:t>
      </w:r>
      <w:r w:rsidRPr="00A444EC">
        <w:rPr>
          <w:rStyle w:val="hps"/>
          <w:rFonts w:hint="cs"/>
          <w:rtl/>
          <w:lang/>
        </w:rPr>
        <w:t xml:space="preserve">ت توقيفه. وقد جرى استجوابه طيلة الليلة الأولى </w:t>
      </w:r>
      <w:r w:rsidRPr="00A444EC">
        <w:rPr>
          <w:rStyle w:val="hps"/>
          <w:rtl/>
          <w:lang/>
        </w:rPr>
        <w:t>من أجل</w:t>
      </w:r>
      <w:r w:rsidRPr="00A444EC">
        <w:rPr>
          <w:rtl/>
          <w:lang/>
        </w:rPr>
        <w:t xml:space="preserve"> </w:t>
      </w:r>
      <w:r w:rsidRPr="00A444EC">
        <w:rPr>
          <w:rStyle w:val="hps"/>
          <w:rtl/>
          <w:lang/>
        </w:rPr>
        <w:t>حرمانه من</w:t>
      </w:r>
      <w:r w:rsidRPr="00A444EC">
        <w:rPr>
          <w:rtl/>
          <w:lang/>
        </w:rPr>
        <w:t xml:space="preserve"> </w:t>
      </w:r>
      <w:r w:rsidRPr="00A444EC">
        <w:rPr>
          <w:rStyle w:val="hps"/>
          <w:rtl/>
          <w:lang/>
        </w:rPr>
        <w:t>النوم</w:t>
      </w:r>
      <w:r w:rsidRPr="00A444EC">
        <w:rPr>
          <w:rtl/>
          <w:lang/>
        </w:rPr>
        <w:t xml:space="preserve">. </w:t>
      </w:r>
      <w:r w:rsidRPr="00A444EC">
        <w:rPr>
          <w:rStyle w:val="hps"/>
          <w:rFonts w:hint="cs"/>
          <w:rtl/>
          <w:lang/>
        </w:rPr>
        <w:t>ولم يمثل</w:t>
      </w:r>
      <w:r w:rsidRPr="00A444EC">
        <w:rPr>
          <w:rtl/>
          <w:lang/>
        </w:rPr>
        <w:t xml:space="preserve"> </w:t>
      </w:r>
      <w:r w:rsidRPr="00A444EC">
        <w:rPr>
          <w:rStyle w:val="hps"/>
          <w:rtl/>
          <w:lang/>
        </w:rPr>
        <w:t>أمام</w:t>
      </w:r>
      <w:r w:rsidRPr="00A444EC">
        <w:rPr>
          <w:rtl/>
          <w:lang/>
        </w:rPr>
        <w:t xml:space="preserve"> </w:t>
      </w:r>
      <w:r w:rsidRPr="00A444EC">
        <w:rPr>
          <w:rStyle w:val="hps"/>
          <w:rtl/>
          <w:lang/>
        </w:rPr>
        <w:t>قاضي التحقيق</w:t>
      </w:r>
      <w:r w:rsidRPr="00A444EC">
        <w:rPr>
          <w:rtl/>
          <w:lang/>
        </w:rPr>
        <w:t xml:space="preserve"> </w:t>
      </w:r>
      <w:r w:rsidRPr="00A444EC">
        <w:rPr>
          <w:rStyle w:val="hps"/>
          <w:rtl/>
          <w:lang/>
        </w:rPr>
        <w:t>إلا بعد</w:t>
      </w:r>
      <w:r w:rsidRPr="00A444EC">
        <w:rPr>
          <w:rStyle w:val="hps"/>
          <w:rFonts w:hint="cs"/>
          <w:rtl/>
          <w:lang/>
        </w:rPr>
        <w:t xml:space="preserve"> مرور</w:t>
      </w:r>
      <w:r w:rsidRPr="00A444EC">
        <w:rPr>
          <w:rtl/>
          <w:lang/>
        </w:rPr>
        <w:t xml:space="preserve"> </w:t>
      </w:r>
      <w:r w:rsidRPr="00A444EC">
        <w:rPr>
          <w:rStyle w:val="hps"/>
          <w:rtl/>
          <w:lang/>
        </w:rPr>
        <w:t>25</w:t>
      </w:r>
      <w:r w:rsidRPr="00A444EC">
        <w:rPr>
          <w:rtl/>
          <w:lang/>
        </w:rPr>
        <w:t xml:space="preserve"> </w:t>
      </w:r>
      <w:r w:rsidRPr="00A444EC">
        <w:rPr>
          <w:rStyle w:val="hps"/>
          <w:rtl/>
          <w:lang/>
        </w:rPr>
        <w:t>يوما</w:t>
      </w:r>
      <w:r w:rsidRPr="00A444EC">
        <w:rPr>
          <w:rStyle w:val="hps"/>
          <w:rFonts w:hint="cs"/>
          <w:rtl/>
          <w:lang/>
        </w:rPr>
        <w:t>ً</w:t>
      </w:r>
      <w:r w:rsidRPr="00A444EC">
        <w:rPr>
          <w:rStyle w:val="hps"/>
          <w:rtl/>
          <w:lang/>
        </w:rPr>
        <w:t xml:space="preserve"> </w:t>
      </w:r>
      <w:r w:rsidRPr="00A444EC">
        <w:rPr>
          <w:rStyle w:val="hps"/>
          <w:rFonts w:hint="cs"/>
          <w:rtl/>
          <w:lang/>
        </w:rPr>
        <w:t>على احتجازه</w:t>
      </w:r>
      <w:r w:rsidRPr="00A444EC">
        <w:rPr>
          <w:rtl/>
          <w:lang/>
        </w:rPr>
        <w:t xml:space="preserve">، </w:t>
      </w:r>
      <w:r w:rsidRPr="00A444EC">
        <w:rPr>
          <w:rStyle w:val="hps"/>
          <w:rFonts w:hint="cs"/>
          <w:rtl/>
          <w:lang/>
        </w:rPr>
        <w:t>وهو ما يشكل انتهاكاً</w:t>
      </w:r>
      <w:r w:rsidRPr="00A444EC">
        <w:rPr>
          <w:rStyle w:val="hps"/>
          <w:rtl/>
          <w:lang/>
        </w:rPr>
        <w:t xml:space="preserve"> للقانون التونسي الذي يحد</w:t>
      </w:r>
      <w:r w:rsidRPr="00A444EC">
        <w:rPr>
          <w:rStyle w:val="hps"/>
          <w:rFonts w:hint="cs"/>
          <w:rtl/>
          <w:lang/>
        </w:rPr>
        <w:t>د</w:t>
      </w:r>
      <w:r w:rsidRPr="00A444EC">
        <w:rPr>
          <w:rStyle w:val="hps"/>
          <w:rtl/>
          <w:lang/>
        </w:rPr>
        <w:t xml:space="preserve"> </w:t>
      </w:r>
      <w:r w:rsidRPr="00A444EC">
        <w:rPr>
          <w:rStyle w:val="hps"/>
          <w:rFonts w:hint="cs"/>
          <w:rtl/>
          <w:lang/>
        </w:rPr>
        <w:t>فترة</w:t>
      </w:r>
      <w:r w:rsidRPr="00A444EC">
        <w:rPr>
          <w:rtl/>
          <w:lang/>
        </w:rPr>
        <w:t xml:space="preserve"> </w:t>
      </w:r>
      <w:r w:rsidRPr="00A444EC">
        <w:rPr>
          <w:rStyle w:val="hps"/>
          <w:rFonts w:hint="cs"/>
          <w:rtl/>
          <w:lang/>
        </w:rPr>
        <w:t>الحبس الاحتياطي</w:t>
      </w:r>
      <w:r w:rsidRPr="00A444EC">
        <w:rPr>
          <w:rtl/>
          <w:lang/>
        </w:rPr>
        <w:t xml:space="preserve"> </w:t>
      </w:r>
      <w:r w:rsidRPr="00A444EC">
        <w:rPr>
          <w:rStyle w:val="hps"/>
          <w:rFonts w:hint="cs"/>
          <w:rtl/>
          <w:lang/>
        </w:rPr>
        <w:t>بمدة لا تزيد على</w:t>
      </w:r>
      <w:r w:rsidRPr="00A444EC">
        <w:rPr>
          <w:rStyle w:val="hps"/>
          <w:rtl/>
          <w:lang/>
        </w:rPr>
        <w:t xml:space="preserve"> </w:t>
      </w:r>
      <w:r w:rsidRPr="00A444EC">
        <w:rPr>
          <w:rStyle w:val="hps"/>
          <w:rFonts w:hint="cs"/>
          <w:rtl/>
          <w:lang/>
        </w:rPr>
        <w:t>ستة</w:t>
      </w:r>
      <w:r w:rsidRPr="00A444EC">
        <w:rPr>
          <w:rStyle w:val="hps"/>
          <w:rtl/>
          <w:lang/>
        </w:rPr>
        <w:t xml:space="preserve"> أيام</w:t>
      </w:r>
      <w:r w:rsidRPr="00A444EC">
        <w:rPr>
          <w:rtl/>
          <w:lang/>
        </w:rPr>
        <w:t>.</w:t>
      </w:r>
      <w:r w:rsidRPr="00A444EC">
        <w:rPr>
          <w:rFonts w:hint="cs"/>
          <w:rtl/>
          <w:lang/>
        </w:rPr>
        <w:t xml:space="preserve"> وقد عرض السيد محمد جلوالي ومحاميه كل هذه</w:t>
      </w:r>
      <w:r w:rsidRPr="00A444EC">
        <w:rPr>
          <w:rtl/>
          <w:lang/>
        </w:rPr>
        <w:t xml:space="preserve"> </w:t>
      </w:r>
      <w:r w:rsidRPr="00A444EC">
        <w:rPr>
          <w:rStyle w:val="hps"/>
          <w:rFonts w:hint="cs"/>
          <w:rtl/>
          <w:lang/>
        </w:rPr>
        <w:t>الوقائع على</w:t>
      </w:r>
      <w:r w:rsidRPr="00A444EC">
        <w:rPr>
          <w:rtl/>
          <w:lang/>
        </w:rPr>
        <w:t xml:space="preserve"> </w:t>
      </w:r>
      <w:r w:rsidRPr="00A444EC">
        <w:rPr>
          <w:rStyle w:val="hps"/>
          <w:rtl/>
          <w:lang/>
        </w:rPr>
        <w:t>قاضي التحقيق</w:t>
      </w:r>
      <w:r w:rsidRPr="00A444EC">
        <w:rPr>
          <w:rtl/>
          <w:lang/>
        </w:rPr>
        <w:t xml:space="preserve">، وقضاة </w:t>
      </w:r>
      <w:r w:rsidRPr="00A444EC">
        <w:rPr>
          <w:rStyle w:val="hps"/>
          <w:rFonts w:hint="cs"/>
          <w:rtl/>
          <w:lang/>
        </w:rPr>
        <w:t>المحكمة الابتدائية</w:t>
      </w:r>
      <w:r w:rsidRPr="00A444EC">
        <w:rPr>
          <w:rStyle w:val="hps"/>
          <w:rtl/>
          <w:lang/>
        </w:rPr>
        <w:t xml:space="preserve"> و</w:t>
      </w:r>
      <w:r w:rsidRPr="00A444EC">
        <w:rPr>
          <w:rtl/>
          <w:lang/>
        </w:rPr>
        <w:t xml:space="preserve">قضاة الاستئناف، </w:t>
      </w:r>
      <w:r w:rsidRPr="00A444EC">
        <w:rPr>
          <w:rStyle w:val="hps"/>
          <w:rFonts w:hint="cs"/>
          <w:rtl/>
          <w:lang/>
        </w:rPr>
        <w:t>غير أن</w:t>
      </w:r>
      <w:r w:rsidRPr="00A444EC">
        <w:rPr>
          <w:rStyle w:val="hps"/>
          <w:rtl/>
          <w:lang/>
        </w:rPr>
        <w:t xml:space="preserve"> أيا</w:t>
      </w:r>
      <w:r w:rsidRPr="00A444EC">
        <w:rPr>
          <w:rFonts w:hint="cs"/>
          <w:rtl/>
          <w:lang/>
        </w:rPr>
        <w:t xml:space="preserve">ً منهم </w:t>
      </w:r>
      <w:r w:rsidRPr="00A444EC">
        <w:rPr>
          <w:rStyle w:val="hps"/>
          <w:rFonts w:hint="cs"/>
          <w:rtl/>
          <w:lang/>
        </w:rPr>
        <w:t xml:space="preserve">لم يستخلص النتائج من </w:t>
      </w:r>
      <w:r w:rsidRPr="00A444EC">
        <w:rPr>
          <w:rStyle w:val="hps"/>
          <w:rtl/>
          <w:lang/>
        </w:rPr>
        <w:t xml:space="preserve">الانتهاكات </w:t>
      </w:r>
      <w:r w:rsidRPr="00A444EC">
        <w:rPr>
          <w:rStyle w:val="hps"/>
          <w:rFonts w:hint="cs"/>
          <w:rtl/>
          <w:lang/>
        </w:rPr>
        <w:t xml:space="preserve">التي وقع المتهم ضحية لها. وأفاد محامي السيد محمد زايد، </w:t>
      </w:r>
      <w:r w:rsidRPr="00A444EC">
        <w:rPr>
          <w:rStyle w:val="hps"/>
          <w:rtl/>
          <w:lang/>
        </w:rPr>
        <w:t>المتهم الثاني</w:t>
      </w:r>
      <w:r w:rsidRPr="00A444EC">
        <w:rPr>
          <w:rtl/>
          <w:lang/>
        </w:rPr>
        <w:t xml:space="preserve"> </w:t>
      </w:r>
      <w:r w:rsidRPr="00A444EC">
        <w:rPr>
          <w:rStyle w:val="hps"/>
          <w:rtl/>
          <w:lang/>
        </w:rPr>
        <w:t>في القضية</w:t>
      </w:r>
      <w:r w:rsidR="00FA645B">
        <w:rPr>
          <w:rStyle w:val="hps"/>
          <w:rFonts w:hint="cs"/>
          <w:rtl/>
          <w:lang/>
        </w:rPr>
        <w:t> </w:t>
      </w:r>
      <w:r w:rsidRPr="00A444EC">
        <w:rPr>
          <w:rStyle w:val="hps"/>
          <w:rtl/>
          <w:lang/>
        </w:rPr>
        <w:t>نفسها</w:t>
      </w:r>
      <w:r w:rsidRPr="00A444EC">
        <w:rPr>
          <w:rtl/>
          <w:lang/>
        </w:rPr>
        <w:t xml:space="preserve">، </w:t>
      </w:r>
      <w:r w:rsidRPr="00A444EC">
        <w:rPr>
          <w:rFonts w:hint="cs"/>
          <w:rtl/>
          <w:lang/>
        </w:rPr>
        <w:t>بأن موكله قد تعرض</w:t>
      </w:r>
      <w:r w:rsidRPr="00A444EC">
        <w:rPr>
          <w:rtl/>
          <w:lang/>
        </w:rPr>
        <w:t xml:space="preserve"> </w:t>
      </w:r>
      <w:r w:rsidRPr="00A444EC">
        <w:rPr>
          <w:rFonts w:hint="cs"/>
          <w:rtl/>
          <w:lang/>
        </w:rPr>
        <w:t>ل</w:t>
      </w:r>
      <w:r w:rsidRPr="00A444EC">
        <w:rPr>
          <w:rStyle w:val="hps"/>
          <w:rtl/>
          <w:lang/>
        </w:rPr>
        <w:t>معاملة مماثلة</w:t>
      </w:r>
      <w:r w:rsidRPr="00A444EC">
        <w:rPr>
          <w:rtl/>
          <w:lang/>
        </w:rPr>
        <w:t xml:space="preserve">. </w:t>
      </w:r>
      <w:r w:rsidRPr="00A444EC">
        <w:rPr>
          <w:rStyle w:val="hps"/>
          <w:rFonts w:hint="cs"/>
          <w:rtl/>
          <w:lang/>
        </w:rPr>
        <w:t>ويشير القراران المؤرخان</w:t>
      </w:r>
      <w:r w:rsidRPr="00A444EC">
        <w:rPr>
          <w:rtl/>
          <w:lang/>
        </w:rPr>
        <w:t xml:space="preserve"> </w:t>
      </w:r>
      <w:r w:rsidRPr="00A444EC">
        <w:rPr>
          <w:rStyle w:val="hps"/>
          <w:rtl/>
          <w:lang/>
        </w:rPr>
        <w:t xml:space="preserve">27 </w:t>
      </w:r>
      <w:r w:rsidRPr="00A444EC">
        <w:rPr>
          <w:rStyle w:val="hps"/>
          <w:rFonts w:hint="cs"/>
          <w:rtl/>
          <w:lang/>
        </w:rPr>
        <w:t>حزيران/</w:t>
      </w:r>
      <w:r w:rsidR="00FA645B">
        <w:rPr>
          <w:rStyle w:val="hps"/>
          <w:rFonts w:hint="cs"/>
          <w:rtl/>
          <w:lang/>
        </w:rPr>
        <w:t xml:space="preserve"> </w:t>
      </w:r>
      <w:r w:rsidRPr="00A444EC">
        <w:rPr>
          <w:rStyle w:val="hps"/>
          <w:rFonts w:hint="cs"/>
          <w:rtl/>
          <w:lang/>
        </w:rPr>
        <w:t>يونيه</w:t>
      </w:r>
      <w:r w:rsidRPr="00A444EC">
        <w:rPr>
          <w:rStyle w:val="hps"/>
          <w:rtl/>
          <w:lang/>
        </w:rPr>
        <w:t xml:space="preserve"> 2009</w:t>
      </w:r>
      <w:r w:rsidRPr="00A444EC">
        <w:rPr>
          <w:rtl/>
          <w:lang/>
        </w:rPr>
        <w:t xml:space="preserve"> </w:t>
      </w:r>
      <w:r w:rsidRPr="00A444EC">
        <w:rPr>
          <w:rStyle w:val="hps"/>
          <w:rFonts w:hint="cs"/>
          <w:rtl/>
          <w:lang/>
        </w:rPr>
        <w:t>والصادران عن</w:t>
      </w:r>
      <w:r w:rsidRPr="00A444EC">
        <w:rPr>
          <w:rStyle w:val="hps"/>
          <w:rtl/>
          <w:lang/>
        </w:rPr>
        <w:t xml:space="preserve"> المحكمة</w:t>
      </w:r>
      <w:r w:rsidRPr="00A444EC">
        <w:rPr>
          <w:rtl/>
          <w:lang/>
        </w:rPr>
        <w:t xml:space="preserve"> </w:t>
      </w:r>
      <w:r w:rsidRPr="00A444EC">
        <w:rPr>
          <w:rStyle w:val="hps"/>
          <w:rtl/>
          <w:lang/>
        </w:rPr>
        <w:t>الابتدائية</w:t>
      </w:r>
      <w:r w:rsidRPr="00A444EC">
        <w:rPr>
          <w:rtl/>
          <w:lang/>
        </w:rPr>
        <w:t xml:space="preserve"> </w:t>
      </w:r>
      <w:r w:rsidRPr="00A444EC">
        <w:rPr>
          <w:rStyle w:val="hps"/>
          <w:rFonts w:hint="cs"/>
          <w:rtl/>
          <w:lang/>
        </w:rPr>
        <w:t>لتونس</w:t>
      </w:r>
      <w:r w:rsidRPr="00A444EC">
        <w:rPr>
          <w:rtl/>
          <w:lang/>
        </w:rPr>
        <w:t xml:space="preserve"> إلى </w:t>
      </w:r>
      <w:r w:rsidRPr="00A444EC">
        <w:rPr>
          <w:rStyle w:val="hps"/>
          <w:rFonts w:hint="cs"/>
          <w:rtl/>
          <w:lang/>
        </w:rPr>
        <w:t>استخدام</w:t>
      </w:r>
      <w:r w:rsidRPr="00A444EC">
        <w:rPr>
          <w:rStyle w:val="hps"/>
          <w:rtl/>
          <w:lang/>
        </w:rPr>
        <w:t xml:space="preserve"> التعذيب</w:t>
      </w:r>
      <w:r w:rsidRPr="00A444EC">
        <w:rPr>
          <w:rtl/>
          <w:lang/>
        </w:rPr>
        <w:t xml:space="preserve"> </w:t>
      </w:r>
      <w:r w:rsidRPr="00A444EC">
        <w:rPr>
          <w:rStyle w:val="hps"/>
          <w:rtl/>
          <w:lang/>
        </w:rPr>
        <w:t>ضد</w:t>
      </w:r>
      <w:r w:rsidRPr="00A444EC">
        <w:rPr>
          <w:rStyle w:val="hps"/>
          <w:rFonts w:hint="cs"/>
          <w:rtl/>
          <w:lang/>
        </w:rPr>
        <w:t xml:space="preserve"> السيدين</w:t>
      </w:r>
      <w:r w:rsidRPr="00A444EC">
        <w:rPr>
          <w:rtl/>
          <w:lang/>
        </w:rPr>
        <w:t xml:space="preserve"> </w:t>
      </w:r>
      <w:r w:rsidRPr="00A444EC">
        <w:rPr>
          <w:rStyle w:val="hps"/>
          <w:rtl/>
          <w:lang/>
        </w:rPr>
        <w:t>محمد</w:t>
      </w:r>
      <w:r w:rsidRPr="00A444EC">
        <w:rPr>
          <w:rtl/>
          <w:lang/>
        </w:rPr>
        <w:t xml:space="preserve"> </w:t>
      </w:r>
      <w:r w:rsidRPr="00A444EC">
        <w:rPr>
          <w:rStyle w:val="hps"/>
          <w:rtl/>
          <w:lang/>
        </w:rPr>
        <w:t>زايد</w:t>
      </w:r>
      <w:r w:rsidRPr="00A444EC">
        <w:rPr>
          <w:rtl/>
          <w:lang/>
        </w:rPr>
        <w:t xml:space="preserve"> </w:t>
      </w:r>
      <w:r w:rsidRPr="00A444EC">
        <w:rPr>
          <w:rStyle w:val="hps"/>
          <w:rtl/>
          <w:lang/>
        </w:rPr>
        <w:t>و</w:t>
      </w:r>
      <w:r w:rsidRPr="00A444EC">
        <w:rPr>
          <w:rtl/>
          <w:lang/>
        </w:rPr>
        <w:t xml:space="preserve">محمد </w:t>
      </w:r>
      <w:r w:rsidRPr="00A444EC">
        <w:rPr>
          <w:rStyle w:val="hps"/>
          <w:rFonts w:hint="cs"/>
          <w:rtl/>
          <w:lang/>
        </w:rPr>
        <w:t>جلوالي</w:t>
      </w:r>
      <w:r w:rsidRPr="00A444EC">
        <w:rPr>
          <w:rtl/>
          <w:lang/>
        </w:rPr>
        <w:t xml:space="preserve">، </w:t>
      </w:r>
      <w:r w:rsidRPr="00A444EC">
        <w:rPr>
          <w:rStyle w:val="hps"/>
          <w:rFonts w:hint="cs"/>
          <w:rtl/>
          <w:lang/>
        </w:rPr>
        <w:t>وهو ما أبلغه المحامون واستندوا إليه</w:t>
      </w:r>
      <w:r w:rsidRPr="00A444EC">
        <w:rPr>
          <w:rtl/>
          <w:lang/>
        </w:rPr>
        <w:t xml:space="preserve"> </w:t>
      </w:r>
      <w:r w:rsidRPr="00A444EC">
        <w:rPr>
          <w:rStyle w:val="hps"/>
          <w:rFonts w:hint="cs"/>
          <w:rtl/>
          <w:lang/>
        </w:rPr>
        <w:t>في ا</w:t>
      </w:r>
      <w:r w:rsidRPr="00A444EC">
        <w:rPr>
          <w:rStyle w:val="hps"/>
          <w:rtl/>
          <w:lang/>
        </w:rPr>
        <w:t>لدفاع</w:t>
      </w:r>
      <w:r w:rsidRPr="00A444EC">
        <w:rPr>
          <w:rtl/>
          <w:lang/>
        </w:rPr>
        <w:t xml:space="preserve">. </w:t>
      </w:r>
      <w:r w:rsidRPr="00A444EC">
        <w:rPr>
          <w:rStyle w:val="hps"/>
          <w:rtl/>
          <w:lang/>
        </w:rPr>
        <w:t xml:space="preserve">ومع ذلك، </w:t>
      </w:r>
      <w:r w:rsidRPr="00A444EC">
        <w:rPr>
          <w:rStyle w:val="hps"/>
          <w:rFonts w:hint="cs"/>
          <w:rtl/>
          <w:lang/>
        </w:rPr>
        <w:t>رفض</w:t>
      </w:r>
      <w:r w:rsidRPr="00A444EC">
        <w:rPr>
          <w:rtl/>
          <w:lang/>
        </w:rPr>
        <w:t xml:space="preserve"> </w:t>
      </w:r>
      <w:r w:rsidRPr="00A444EC">
        <w:rPr>
          <w:rStyle w:val="hps"/>
          <w:rtl/>
          <w:lang/>
        </w:rPr>
        <w:t>القاضي</w:t>
      </w:r>
      <w:r w:rsidRPr="00A444EC">
        <w:rPr>
          <w:rtl/>
          <w:lang/>
        </w:rPr>
        <w:t xml:space="preserve">، </w:t>
      </w:r>
      <w:r w:rsidRPr="00A444EC">
        <w:rPr>
          <w:rFonts w:hint="cs"/>
          <w:rtl/>
          <w:lang/>
        </w:rPr>
        <w:t xml:space="preserve">أخذ ذلك </w:t>
      </w:r>
      <w:r w:rsidRPr="00A444EC">
        <w:rPr>
          <w:rStyle w:val="hps"/>
          <w:rtl/>
          <w:lang/>
        </w:rPr>
        <w:t>في الاعتبار</w:t>
      </w:r>
      <w:r w:rsidRPr="00A444EC">
        <w:rPr>
          <w:rtl/>
          <w:lang/>
        </w:rPr>
        <w:t xml:space="preserve"> </w:t>
      </w:r>
      <w:r w:rsidRPr="00A444EC">
        <w:rPr>
          <w:rStyle w:val="hps"/>
          <w:rtl/>
          <w:lang/>
        </w:rPr>
        <w:t xml:space="preserve">في </w:t>
      </w:r>
      <w:r w:rsidRPr="00A444EC">
        <w:rPr>
          <w:rStyle w:val="hps"/>
          <w:rFonts w:hint="cs"/>
          <w:rtl/>
          <w:lang/>
        </w:rPr>
        <w:t>كلتا القضيتين</w:t>
      </w:r>
      <w:r w:rsidRPr="00A444EC">
        <w:rPr>
          <w:rStyle w:val="hps"/>
          <w:rtl/>
          <w:lang/>
        </w:rPr>
        <w:t xml:space="preserve"> دون تقديم</w:t>
      </w:r>
      <w:r w:rsidRPr="00A444EC">
        <w:rPr>
          <w:rtl/>
          <w:lang/>
        </w:rPr>
        <w:t xml:space="preserve"> </w:t>
      </w:r>
      <w:r w:rsidRPr="00A444EC">
        <w:rPr>
          <w:rStyle w:val="hps"/>
          <w:rFonts w:hint="cs"/>
          <w:rtl/>
          <w:lang/>
        </w:rPr>
        <w:t>تبريرات وجيهة</w:t>
      </w:r>
      <w:r w:rsidRPr="00A444EC">
        <w:rPr>
          <w:vertAlign w:val="superscript"/>
          <w:rtl/>
          <w:lang w:val="fr-CH"/>
        </w:rPr>
        <w:t>(</w:t>
      </w:r>
      <w:r w:rsidRPr="00A444EC">
        <w:rPr>
          <w:rStyle w:val="FootnoteReference"/>
          <w:rtl/>
          <w:lang w:val="fr-CH"/>
        </w:rPr>
        <w:footnoteReference w:id="133"/>
      </w:r>
      <w:r w:rsidRPr="00A444EC">
        <w:rPr>
          <w:vertAlign w:val="superscript"/>
          <w:rtl/>
          <w:lang w:val="fr-CH"/>
        </w:rPr>
        <w:t>)</w:t>
      </w:r>
      <w:r w:rsidRPr="00A444EC">
        <w:rPr>
          <w:rtl/>
          <w:lang/>
        </w:rPr>
        <w:t>.</w:t>
      </w:r>
    </w:p>
    <w:p w:rsidR="005E110C" w:rsidRPr="00A444EC" w:rsidRDefault="005E110C" w:rsidP="00B23BB0">
      <w:pPr>
        <w:pStyle w:val="SingleTxtGA"/>
        <w:rPr>
          <w:rtl/>
          <w:lang/>
        </w:rPr>
      </w:pPr>
      <w:r w:rsidRPr="00A444EC">
        <w:rPr>
          <w:rtl/>
          <w:lang w:val="fr-CH"/>
        </w:rPr>
        <w:t>3-3</w:t>
      </w:r>
      <w:r w:rsidRPr="00A444EC">
        <w:rPr>
          <w:rtl/>
          <w:lang w:val="fr-CH"/>
        </w:rPr>
        <w:tab/>
      </w:r>
      <w:r w:rsidRPr="00A444EC">
        <w:rPr>
          <w:rFonts w:hint="cs"/>
          <w:rtl/>
          <w:lang w:val="fr-CH"/>
        </w:rPr>
        <w:t>و</w:t>
      </w:r>
      <w:r w:rsidRPr="00A444EC">
        <w:rPr>
          <w:rStyle w:val="hps"/>
          <w:rtl/>
          <w:lang/>
        </w:rPr>
        <w:t>في</w:t>
      </w:r>
      <w:r w:rsidRPr="00A444EC">
        <w:rPr>
          <w:rtl/>
          <w:lang/>
        </w:rPr>
        <w:t xml:space="preserve"> </w:t>
      </w:r>
      <w:r w:rsidRPr="00A444EC">
        <w:rPr>
          <w:rStyle w:val="hps"/>
          <w:rtl/>
          <w:lang/>
        </w:rPr>
        <w:t>ضوء ا</w:t>
      </w:r>
      <w:r w:rsidRPr="00A444EC">
        <w:rPr>
          <w:rStyle w:val="hps"/>
          <w:rFonts w:hint="cs"/>
          <w:rtl/>
          <w:lang/>
        </w:rPr>
        <w:t>للجوء</w:t>
      </w:r>
      <w:r w:rsidRPr="00A444EC">
        <w:rPr>
          <w:rtl/>
          <w:lang/>
        </w:rPr>
        <w:t xml:space="preserve"> </w:t>
      </w:r>
      <w:r w:rsidRPr="00A444EC">
        <w:rPr>
          <w:rStyle w:val="hps"/>
          <w:rtl/>
          <w:lang/>
        </w:rPr>
        <w:t>المتكرر للتعذيب</w:t>
      </w:r>
      <w:r w:rsidRPr="00A444EC">
        <w:rPr>
          <w:rtl/>
          <w:lang/>
        </w:rPr>
        <w:t xml:space="preserve"> </w:t>
      </w:r>
      <w:r w:rsidRPr="00A444EC">
        <w:rPr>
          <w:rStyle w:val="hps"/>
          <w:rtl/>
          <w:lang/>
        </w:rPr>
        <w:t>في</w:t>
      </w:r>
      <w:r w:rsidRPr="00A444EC">
        <w:rPr>
          <w:rtl/>
          <w:lang/>
        </w:rPr>
        <w:t xml:space="preserve"> </w:t>
      </w:r>
      <w:r w:rsidRPr="00A444EC">
        <w:rPr>
          <w:rStyle w:val="hps"/>
          <w:rtl/>
          <w:lang/>
        </w:rPr>
        <w:t>تونس</w:t>
      </w:r>
      <w:r w:rsidRPr="00A444EC">
        <w:rPr>
          <w:rtl/>
          <w:lang/>
        </w:rPr>
        <w:t xml:space="preserve">، وبالنظر إلى </w:t>
      </w:r>
      <w:r w:rsidRPr="00A444EC">
        <w:rPr>
          <w:rStyle w:val="hps"/>
          <w:rtl/>
          <w:lang/>
        </w:rPr>
        <w:t xml:space="preserve">سوء </w:t>
      </w:r>
      <w:r w:rsidRPr="00A444EC">
        <w:rPr>
          <w:rStyle w:val="hps"/>
          <w:rFonts w:hint="cs"/>
          <w:rtl/>
          <w:lang/>
        </w:rPr>
        <w:t>ال</w:t>
      </w:r>
      <w:r w:rsidRPr="00A444EC">
        <w:rPr>
          <w:rStyle w:val="hps"/>
          <w:rtl/>
          <w:lang/>
        </w:rPr>
        <w:t>معاملة</w:t>
      </w:r>
      <w:r w:rsidRPr="00A444EC">
        <w:rPr>
          <w:rStyle w:val="hps"/>
          <w:rFonts w:hint="cs"/>
          <w:rtl/>
          <w:lang/>
        </w:rPr>
        <w:t xml:space="preserve"> التي تعرض لها المتهمان الموقوفان في </w:t>
      </w:r>
      <w:r w:rsidRPr="00A444EC">
        <w:rPr>
          <w:rStyle w:val="hps"/>
          <w:rtl/>
          <w:lang/>
        </w:rPr>
        <w:t>القضية نفسها</w:t>
      </w:r>
      <w:r w:rsidRPr="00A444EC">
        <w:rPr>
          <w:rtl/>
          <w:lang/>
        </w:rPr>
        <w:t xml:space="preserve">، </w:t>
      </w:r>
      <w:r w:rsidRPr="00A444EC">
        <w:rPr>
          <w:rFonts w:hint="cs"/>
          <w:rtl/>
          <w:lang/>
        </w:rPr>
        <w:t>ف</w:t>
      </w:r>
      <w:r w:rsidRPr="00A444EC">
        <w:rPr>
          <w:rtl/>
          <w:lang/>
        </w:rPr>
        <w:t xml:space="preserve">هناك </w:t>
      </w:r>
      <w:r w:rsidRPr="00A444EC">
        <w:rPr>
          <w:rStyle w:val="hps"/>
          <w:rtl/>
          <w:lang/>
        </w:rPr>
        <w:t xml:space="preserve">احتمال </w:t>
      </w:r>
      <w:r w:rsidRPr="00A444EC">
        <w:rPr>
          <w:rStyle w:val="hps"/>
          <w:rFonts w:hint="cs"/>
          <w:rtl/>
          <w:lang/>
        </w:rPr>
        <w:t>حقيقي</w:t>
      </w:r>
      <w:r w:rsidRPr="00A444EC">
        <w:rPr>
          <w:rStyle w:val="hps"/>
          <w:rtl/>
          <w:lang/>
        </w:rPr>
        <w:t xml:space="preserve"> </w:t>
      </w:r>
      <w:r w:rsidRPr="00A444EC">
        <w:rPr>
          <w:rStyle w:val="hps"/>
          <w:rFonts w:hint="cs"/>
          <w:rtl/>
          <w:lang/>
        </w:rPr>
        <w:t xml:space="preserve">لأن يتعرض </w:t>
      </w:r>
      <w:r w:rsidRPr="00A444EC">
        <w:rPr>
          <w:rStyle w:val="hps"/>
          <w:rtl/>
          <w:lang/>
        </w:rPr>
        <w:t>السيد</w:t>
      </w:r>
      <w:r w:rsidRPr="00A444EC">
        <w:rPr>
          <w:rtl/>
          <w:lang/>
        </w:rPr>
        <w:t xml:space="preserve"> </w:t>
      </w:r>
      <w:r w:rsidRPr="00A444EC">
        <w:rPr>
          <w:rStyle w:val="hps"/>
          <w:rFonts w:hint="cs"/>
          <w:rtl/>
          <w:lang/>
        </w:rPr>
        <w:t>أنسي عبيشو</w:t>
      </w:r>
      <w:r w:rsidRPr="00A444EC">
        <w:rPr>
          <w:rStyle w:val="hps"/>
          <w:rtl/>
          <w:lang/>
        </w:rPr>
        <w:t xml:space="preserve"> أيضا</w:t>
      </w:r>
      <w:r w:rsidRPr="00A444EC">
        <w:rPr>
          <w:rStyle w:val="hps"/>
          <w:rFonts w:hint="cs"/>
          <w:rtl/>
          <w:lang/>
        </w:rPr>
        <w:t>ً</w:t>
      </w:r>
      <w:r w:rsidRPr="00A444EC">
        <w:rPr>
          <w:rStyle w:val="hps"/>
          <w:rtl/>
          <w:lang/>
        </w:rPr>
        <w:t xml:space="preserve"> للتعذيب</w:t>
      </w:r>
      <w:r w:rsidRPr="00A444EC">
        <w:rPr>
          <w:rtl/>
          <w:lang/>
        </w:rPr>
        <w:t xml:space="preserve"> </w:t>
      </w:r>
      <w:r w:rsidRPr="00A444EC">
        <w:rPr>
          <w:rStyle w:val="hps"/>
          <w:rtl/>
          <w:lang/>
        </w:rPr>
        <w:t>أو المعاملة اللاإنسانية أو</w:t>
      </w:r>
      <w:r w:rsidRPr="00A444EC">
        <w:rPr>
          <w:rtl/>
          <w:lang/>
        </w:rPr>
        <w:t xml:space="preserve"> </w:t>
      </w:r>
      <w:r w:rsidRPr="00A444EC">
        <w:rPr>
          <w:rStyle w:val="hps"/>
          <w:rtl/>
          <w:lang/>
        </w:rPr>
        <w:t>المهينة في</w:t>
      </w:r>
      <w:r w:rsidRPr="00A444EC">
        <w:rPr>
          <w:rtl/>
          <w:lang/>
        </w:rPr>
        <w:t xml:space="preserve"> </w:t>
      </w:r>
      <w:r w:rsidRPr="00A444EC">
        <w:rPr>
          <w:rStyle w:val="hps"/>
          <w:rFonts w:hint="cs"/>
          <w:rtl/>
          <w:lang/>
        </w:rPr>
        <w:t>حالة</w:t>
      </w:r>
      <w:r w:rsidRPr="00A444EC">
        <w:rPr>
          <w:rtl/>
          <w:lang/>
        </w:rPr>
        <w:t xml:space="preserve"> </w:t>
      </w:r>
      <w:r w:rsidRPr="00A444EC">
        <w:rPr>
          <w:rStyle w:val="hps"/>
          <w:rtl/>
          <w:lang/>
        </w:rPr>
        <w:t>تسليمه إلى تونس</w:t>
      </w:r>
      <w:r w:rsidRPr="00A444EC">
        <w:rPr>
          <w:rtl/>
          <w:lang/>
        </w:rPr>
        <w:t xml:space="preserve">، </w:t>
      </w:r>
      <w:r w:rsidRPr="00A444EC">
        <w:rPr>
          <w:rStyle w:val="hps"/>
          <w:rFonts w:hint="cs"/>
          <w:rtl/>
          <w:lang/>
        </w:rPr>
        <w:t>وهو ما يشكل انتهاكاً</w:t>
      </w:r>
      <w:r w:rsidRPr="00A444EC">
        <w:rPr>
          <w:rStyle w:val="hps"/>
          <w:rtl/>
          <w:lang/>
        </w:rPr>
        <w:t xml:space="preserve"> للمادة</w:t>
      </w:r>
      <w:r w:rsidRPr="00A444EC">
        <w:rPr>
          <w:rtl/>
          <w:lang/>
        </w:rPr>
        <w:t xml:space="preserve"> </w:t>
      </w:r>
      <w:r w:rsidRPr="00A444EC">
        <w:rPr>
          <w:rStyle w:val="hps"/>
          <w:rtl/>
          <w:lang/>
        </w:rPr>
        <w:t>3 من الاتفاقية</w:t>
      </w:r>
      <w:r w:rsidRPr="00A444EC">
        <w:rPr>
          <w:rtl/>
          <w:lang/>
        </w:rPr>
        <w:t>.</w:t>
      </w:r>
    </w:p>
    <w:p w:rsidR="005E110C" w:rsidRPr="00A444EC" w:rsidRDefault="005E110C" w:rsidP="00B23BB0">
      <w:pPr>
        <w:pStyle w:val="H23GA"/>
        <w:rPr>
          <w:rtl/>
          <w:lang w:val="fr-CH"/>
        </w:rPr>
      </w:pPr>
      <w:r w:rsidRPr="00A444EC">
        <w:rPr>
          <w:rtl/>
          <w:lang w:val="fr-CH"/>
        </w:rPr>
        <w:tab/>
      </w:r>
      <w:r w:rsidRPr="00A444EC">
        <w:rPr>
          <w:rtl/>
          <w:lang w:val="fr-CH"/>
        </w:rPr>
        <w:tab/>
        <w:t>ملاحظات الدولة الطرف بشأن المقبولية</w:t>
      </w:r>
    </w:p>
    <w:p w:rsidR="005E110C" w:rsidRPr="00A444EC" w:rsidRDefault="005E110C" w:rsidP="00B23BB0">
      <w:pPr>
        <w:pStyle w:val="SingleTxtGA"/>
        <w:rPr>
          <w:rtl/>
          <w:lang w:val="fr-CH"/>
        </w:rPr>
      </w:pPr>
      <w:r w:rsidRPr="00A444EC">
        <w:rPr>
          <w:rtl/>
          <w:lang w:val="fr-CH"/>
        </w:rPr>
        <w:t>4-1</w:t>
      </w:r>
      <w:r w:rsidRPr="00A444EC">
        <w:rPr>
          <w:rtl/>
          <w:lang w:val="fr-CH"/>
        </w:rPr>
        <w:tab/>
        <w:t xml:space="preserve">في </w:t>
      </w:r>
      <w:r w:rsidRPr="00A444EC">
        <w:rPr>
          <w:rFonts w:hint="cs"/>
          <w:rtl/>
          <w:lang w:val="fr-CH"/>
        </w:rPr>
        <w:t>1</w:t>
      </w:r>
      <w:r w:rsidRPr="00A444EC">
        <w:rPr>
          <w:rtl/>
          <w:lang w:val="fr-CH"/>
        </w:rPr>
        <w:t xml:space="preserve">9 </w:t>
      </w:r>
      <w:r w:rsidRPr="00A444EC">
        <w:rPr>
          <w:rFonts w:hint="cs"/>
          <w:rtl/>
          <w:lang w:val="fr-CH"/>
        </w:rPr>
        <w:t>تشرين الأول/أكتوبر 2010</w:t>
      </w:r>
      <w:r w:rsidRPr="00A444EC">
        <w:rPr>
          <w:rtl/>
          <w:lang w:val="fr-CH"/>
        </w:rPr>
        <w:t xml:space="preserve">، </w:t>
      </w:r>
      <w:r w:rsidRPr="00A444EC">
        <w:rPr>
          <w:rFonts w:hint="cs"/>
          <w:rtl/>
          <w:lang w:val="fr-CH"/>
        </w:rPr>
        <w:t>طعنت</w:t>
      </w:r>
      <w:r w:rsidRPr="00A444EC">
        <w:rPr>
          <w:rtl/>
          <w:lang w:val="fr-CH"/>
        </w:rPr>
        <w:t xml:space="preserve"> الدولة الطرف </w:t>
      </w:r>
      <w:r w:rsidRPr="00A444EC">
        <w:rPr>
          <w:rFonts w:hint="cs"/>
          <w:rtl/>
          <w:lang w:val="fr-CH"/>
        </w:rPr>
        <w:t xml:space="preserve">في </w:t>
      </w:r>
      <w:r w:rsidRPr="00A444EC">
        <w:rPr>
          <w:rtl/>
          <w:lang w:val="fr-CH"/>
        </w:rPr>
        <w:t>مقبولية البلاغ بموجب الفقر</w:t>
      </w:r>
      <w:r w:rsidRPr="00A444EC">
        <w:rPr>
          <w:rFonts w:hint="cs"/>
          <w:rtl/>
          <w:lang w:val="fr-CH"/>
        </w:rPr>
        <w:t>ة</w:t>
      </w:r>
      <w:r w:rsidRPr="00A444EC">
        <w:rPr>
          <w:rtl/>
          <w:lang w:val="fr-CH"/>
        </w:rPr>
        <w:t xml:space="preserve"> الفرعي</w:t>
      </w:r>
      <w:r w:rsidRPr="00A444EC">
        <w:rPr>
          <w:rFonts w:hint="cs"/>
          <w:rtl/>
          <w:lang w:val="fr-CH"/>
        </w:rPr>
        <w:t>ة</w:t>
      </w:r>
      <w:r w:rsidRPr="00A444EC">
        <w:rPr>
          <w:rtl/>
          <w:lang w:val="fr-CH"/>
        </w:rPr>
        <w:t xml:space="preserve"> (أ) من الفقرة 5 من المادة 22 من الاتفاقية.</w:t>
      </w:r>
    </w:p>
    <w:p w:rsidR="005E110C" w:rsidRPr="00FA645B" w:rsidRDefault="005E110C" w:rsidP="00B23BB0">
      <w:pPr>
        <w:pStyle w:val="SingleTxtGA"/>
        <w:rPr>
          <w:spacing w:val="-2"/>
          <w:rtl/>
          <w:lang w:val="fr-CH"/>
        </w:rPr>
      </w:pPr>
      <w:r w:rsidRPr="00A444EC">
        <w:rPr>
          <w:rtl/>
          <w:lang w:val="fr-CH"/>
        </w:rPr>
        <w:t>4-2</w:t>
      </w:r>
      <w:r w:rsidRPr="00A444EC">
        <w:rPr>
          <w:rtl/>
          <w:lang w:val="fr-CH"/>
        </w:rPr>
        <w:tab/>
        <w:t>وت</w:t>
      </w:r>
      <w:r w:rsidRPr="00A444EC">
        <w:rPr>
          <w:rFonts w:hint="cs"/>
          <w:rtl/>
          <w:lang w:val="fr-CH"/>
        </w:rPr>
        <w:t xml:space="preserve">شير </w:t>
      </w:r>
      <w:r w:rsidRPr="00A444EC">
        <w:rPr>
          <w:rtl/>
          <w:lang w:val="fr-CH"/>
        </w:rPr>
        <w:t>الدولة الطرف</w:t>
      </w:r>
      <w:r w:rsidRPr="00A444EC">
        <w:rPr>
          <w:rFonts w:hint="cs"/>
          <w:rtl/>
          <w:lang w:val="fr-CH"/>
        </w:rPr>
        <w:t xml:space="preserve"> إلى</w:t>
      </w:r>
      <w:r w:rsidRPr="00A444EC">
        <w:rPr>
          <w:rtl/>
          <w:lang w:val="fr-CH"/>
        </w:rPr>
        <w:t xml:space="preserve"> أن</w:t>
      </w:r>
      <w:r w:rsidRPr="00A444EC">
        <w:rPr>
          <w:rFonts w:hint="cs"/>
          <w:rtl/>
          <w:lang w:val="fr-CH"/>
        </w:rPr>
        <w:t xml:space="preserve"> السيد أنسي عبيشو الذي يحمل</w:t>
      </w:r>
      <w:r w:rsidRPr="00A444EC">
        <w:rPr>
          <w:rtl/>
          <w:lang w:val="fr-CH"/>
        </w:rPr>
        <w:t xml:space="preserve"> </w:t>
      </w:r>
      <w:r w:rsidRPr="00A444EC">
        <w:rPr>
          <w:rStyle w:val="hps"/>
          <w:rFonts w:hint="cs"/>
          <w:rtl/>
          <w:lang/>
        </w:rPr>
        <w:t>الجنسيتين</w:t>
      </w:r>
      <w:r w:rsidRPr="00A444EC">
        <w:rPr>
          <w:rtl/>
          <w:lang/>
        </w:rPr>
        <w:t xml:space="preserve"> </w:t>
      </w:r>
      <w:r w:rsidRPr="00A444EC">
        <w:rPr>
          <w:rStyle w:val="hps"/>
          <w:rtl/>
          <w:lang/>
        </w:rPr>
        <w:t>الفرنسية</w:t>
      </w:r>
      <w:r w:rsidRPr="00A444EC">
        <w:rPr>
          <w:rtl/>
          <w:lang/>
        </w:rPr>
        <w:t xml:space="preserve"> </w:t>
      </w:r>
      <w:r w:rsidRPr="00A444EC">
        <w:rPr>
          <w:rStyle w:val="hps"/>
          <w:rtl/>
          <w:lang/>
        </w:rPr>
        <w:t>والتونسية</w:t>
      </w:r>
      <w:r w:rsidRPr="00A444EC">
        <w:rPr>
          <w:rtl/>
          <w:lang/>
        </w:rPr>
        <w:t xml:space="preserve"> </w:t>
      </w:r>
      <w:r w:rsidRPr="00A444EC">
        <w:rPr>
          <w:rStyle w:val="hps"/>
          <w:rFonts w:hint="cs"/>
          <w:rtl/>
          <w:lang/>
        </w:rPr>
        <w:t xml:space="preserve">قد </w:t>
      </w:r>
      <w:r w:rsidRPr="00A444EC">
        <w:rPr>
          <w:rStyle w:val="hps"/>
          <w:rtl/>
          <w:lang/>
        </w:rPr>
        <w:t>حكم</w:t>
      </w:r>
      <w:r w:rsidRPr="00A444EC">
        <w:rPr>
          <w:rtl/>
          <w:lang/>
        </w:rPr>
        <w:t xml:space="preserve"> </w:t>
      </w:r>
      <w:r w:rsidRPr="00A444EC">
        <w:rPr>
          <w:rStyle w:val="hps"/>
          <w:rtl/>
          <w:lang/>
        </w:rPr>
        <w:t>عليه غيابيا</w:t>
      </w:r>
      <w:r w:rsidRPr="00A444EC">
        <w:rPr>
          <w:rStyle w:val="hps"/>
          <w:rFonts w:hint="cs"/>
          <w:rtl/>
          <w:lang/>
        </w:rPr>
        <w:t>ً</w:t>
      </w:r>
      <w:r w:rsidRPr="00A444EC">
        <w:rPr>
          <w:rtl/>
          <w:lang/>
        </w:rPr>
        <w:t xml:space="preserve"> </w:t>
      </w:r>
      <w:r w:rsidRPr="00A444EC">
        <w:rPr>
          <w:rStyle w:val="hps"/>
          <w:rtl/>
          <w:lang/>
        </w:rPr>
        <w:t xml:space="preserve">بالسجن </w:t>
      </w:r>
      <w:r w:rsidRPr="00A444EC">
        <w:rPr>
          <w:rStyle w:val="hps"/>
          <w:rFonts w:hint="cs"/>
          <w:rtl/>
          <w:lang/>
        </w:rPr>
        <w:t>المؤبد</w:t>
      </w:r>
      <w:r w:rsidRPr="00A444EC">
        <w:rPr>
          <w:rtl/>
          <w:lang/>
        </w:rPr>
        <w:t xml:space="preserve"> </w:t>
      </w:r>
      <w:r w:rsidRPr="00A444EC">
        <w:rPr>
          <w:rStyle w:val="hps"/>
          <w:rFonts w:hint="cs"/>
          <w:rtl/>
          <w:lang/>
        </w:rPr>
        <w:t>ل</w:t>
      </w:r>
      <w:r w:rsidRPr="00A444EC">
        <w:rPr>
          <w:rStyle w:val="hps"/>
          <w:rtl/>
          <w:lang/>
        </w:rPr>
        <w:t>عدة</w:t>
      </w:r>
      <w:r w:rsidRPr="00A444EC">
        <w:rPr>
          <w:rtl/>
          <w:lang/>
        </w:rPr>
        <w:t xml:space="preserve"> </w:t>
      </w:r>
      <w:r w:rsidRPr="00A444EC">
        <w:rPr>
          <w:rStyle w:val="hps"/>
          <w:rtl/>
          <w:lang/>
        </w:rPr>
        <w:t>تهم</w:t>
      </w:r>
      <w:r w:rsidRPr="00A444EC">
        <w:rPr>
          <w:rStyle w:val="hps"/>
          <w:rFonts w:hint="cs"/>
          <w:rtl/>
          <w:lang/>
        </w:rPr>
        <w:t xml:space="preserve"> تتعلق</w:t>
      </w:r>
      <w:r w:rsidRPr="00A444EC">
        <w:rPr>
          <w:rtl/>
          <w:lang/>
        </w:rPr>
        <w:t xml:space="preserve"> </w:t>
      </w:r>
      <w:r w:rsidRPr="00A444EC">
        <w:rPr>
          <w:rFonts w:hint="cs"/>
          <w:rtl/>
          <w:lang/>
        </w:rPr>
        <w:t>بالاتجار بالمخدرات وال</w:t>
      </w:r>
      <w:r w:rsidRPr="00A444EC">
        <w:rPr>
          <w:rStyle w:val="hps"/>
          <w:rtl/>
          <w:lang/>
        </w:rPr>
        <w:t>تهريب</w:t>
      </w:r>
      <w:r w:rsidRPr="00A444EC">
        <w:rPr>
          <w:rtl/>
          <w:lang/>
        </w:rPr>
        <w:t xml:space="preserve"> </w:t>
      </w:r>
      <w:r w:rsidRPr="00A444EC">
        <w:rPr>
          <w:rStyle w:val="hps"/>
          <w:rFonts w:hint="cs"/>
          <w:rtl/>
          <w:lang/>
        </w:rPr>
        <w:t>الواسع النطاق</w:t>
      </w:r>
      <w:r w:rsidRPr="00A444EC">
        <w:rPr>
          <w:rStyle w:val="hps"/>
          <w:rtl/>
          <w:lang/>
        </w:rPr>
        <w:t>.</w:t>
      </w:r>
      <w:r w:rsidRPr="00A444EC">
        <w:rPr>
          <w:rtl/>
          <w:lang/>
        </w:rPr>
        <w:t xml:space="preserve"> </w:t>
      </w:r>
      <w:r w:rsidRPr="00A444EC">
        <w:rPr>
          <w:rStyle w:val="hps"/>
          <w:rtl/>
          <w:lang/>
        </w:rPr>
        <w:t>و</w:t>
      </w:r>
      <w:r w:rsidRPr="00A444EC">
        <w:rPr>
          <w:rStyle w:val="hps"/>
          <w:rFonts w:hint="cs"/>
          <w:rtl/>
          <w:lang/>
        </w:rPr>
        <w:t xml:space="preserve">قد صدر بحق </w:t>
      </w:r>
      <w:r w:rsidRPr="00A444EC">
        <w:rPr>
          <w:rStyle w:val="hps"/>
          <w:rtl/>
          <w:lang/>
        </w:rPr>
        <w:t>السيد</w:t>
      </w:r>
      <w:r w:rsidRPr="00A444EC">
        <w:rPr>
          <w:rtl/>
          <w:lang/>
        </w:rPr>
        <w:t xml:space="preserve"> </w:t>
      </w:r>
      <w:r w:rsidRPr="00A444EC">
        <w:rPr>
          <w:rFonts w:hint="cs"/>
          <w:rtl/>
          <w:lang w:val="fr-CH"/>
        </w:rPr>
        <w:t>أنسي عبيشو</w:t>
      </w:r>
      <w:r w:rsidRPr="00A444EC">
        <w:rPr>
          <w:rtl/>
          <w:lang/>
        </w:rPr>
        <w:t xml:space="preserve"> </w:t>
      </w:r>
      <w:r w:rsidRPr="00A444EC">
        <w:rPr>
          <w:rStyle w:val="hps"/>
          <w:rtl/>
          <w:lang/>
        </w:rPr>
        <w:t>إشعار</w:t>
      </w:r>
      <w:r w:rsidRPr="00A444EC">
        <w:rPr>
          <w:rStyle w:val="hps"/>
          <w:rFonts w:hint="cs"/>
          <w:rtl/>
          <w:lang/>
        </w:rPr>
        <w:t xml:space="preserve"> من </w:t>
      </w:r>
      <w:r w:rsidRPr="00A444EC">
        <w:rPr>
          <w:rStyle w:val="hps"/>
          <w:rtl/>
          <w:lang/>
        </w:rPr>
        <w:t>ال</w:t>
      </w:r>
      <w:r w:rsidRPr="00A444EC">
        <w:rPr>
          <w:rFonts w:hint="cs"/>
          <w:rtl/>
          <w:lang w:val="fr-CH"/>
        </w:rPr>
        <w:t>أ</w:t>
      </w:r>
      <w:r w:rsidRPr="00A444EC">
        <w:rPr>
          <w:rStyle w:val="hps"/>
          <w:rtl/>
          <w:lang/>
        </w:rPr>
        <w:t>نتربول</w:t>
      </w:r>
      <w:r w:rsidRPr="00A444EC">
        <w:rPr>
          <w:rtl/>
          <w:lang/>
        </w:rPr>
        <w:t xml:space="preserve">، </w:t>
      </w:r>
      <w:r w:rsidRPr="00A444EC">
        <w:rPr>
          <w:rStyle w:val="hps"/>
          <w:rFonts w:hint="cs"/>
          <w:rtl/>
          <w:lang/>
        </w:rPr>
        <w:t xml:space="preserve">وهو ما </w:t>
      </w:r>
      <w:r w:rsidRPr="00A444EC">
        <w:rPr>
          <w:rStyle w:val="hps"/>
          <w:rtl/>
          <w:lang/>
        </w:rPr>
        <w:t xml:space="preserve">أدى إلى </w:t>
      </w:r>
      <w:r w:rsidRPr="00A444EC">
        <w:rPr>
          <w:rStyle w:val="hps"/>
          <w:rFonts w:hint="cs"/>
          <w:rtl/>
          <w:lang/>
        </w:rPr>
        <w:t>توقيفه</w:t>
      </w:r>
      <w:r w:rsidRPr="00A444EC">
        <w:rPr>
          <w:rtl/>
          <w:lang/>
        </w:rPr>
        <w:t xml:space="preserve"> </w:t>
      </w:r>
      <w:r w:rsidRPr="00A444EC">
        <w:rPr>
          <w:rStyle w:val="hps"/>
          <w:rtl/>
          <w:lang/>
        </w:rPr>
        <w:t>في ساربروكن</w:t>
      </w:r>
      <w:r w:rsidRPr="00A444EC">
        <w:rPr>
          <w:rtl/>
          <w:lang/>
        </w:rPr>
        <w:t xml:space="preserve"> </w:t>
      </w:r>
      <w:r w:rsidRPr="00A444EC">
        <w:rPr>
          <w:rStyle w:val="hps"/>
          <w:rtl/>
          <w:lang/>
        </w:rPr>
        <w:t>في 17</w:t>
      </w:r>
      <w:r w:rsidRPr="00A444EC">
        <w:rPr>
          <w:rtl/>
          <w:lang/>
        </w:rPr>
        <w:t xml:space="preserve"> </w:t>
      </w:r>
      <w:r w:rsidRPr="00A444EC">
        <w:rPr>
          <w:rFonts w:hint="cs"/>
          <w:rtl/>
          <w:lang/>
        </w:rPr>
        <w:t>تشرين الأول/</w:t>
      </w:r>
      <w:r w:rsidRPr="00A444EC">
        <w:rPr>
          <w:rStyle w:val="hps"/>
          <w:rtl/>
          <w:lang/>
        </w:rPr>
        <w:t>أكتوبر 2009.</w:t>
      </w:r>
      <w:r w:rsidRPr="00A444EC">
        <w:rPr>
          <w:rtl/>
          <w:lang/>
        </w:rPr>
        <w:t xml:space="preserve"> </w:t>
      </w:r>
      <w:r w:rsidRPr="00A444EC">
        <w:rPr>
          <w:rStyle w:val="hps"/>
          <w:rFonts w:hint="cs"/>
          <w:rtl/>
          <w:lang/>
        </w:rPr>
        <w:t xml:space="preserve">وطلبت </w:t>
      </w:r>
      <w:r w:rsidRPr="00A444EC">
        <w:rPr>
          <w:rStyle w:val="hps"/>
          <w:rtl/>
          <w:lang/>
        </w:rPr>
        <w:t>تونس</w:t>
      </w:r>
      <w:r w:rsidRPr="00A444EC">
        <w:rPr>
          <w:rtl/>
          <w:lang/>
        </w:rPr>
        <w:t xml:space="preserve"> </w:t>
      </w:r>
      <w:r w:rsidRPr="00A444EC">
        <w:rPr>
          <w:rStyle w:val="hps"/>
          <w:rFonts w:hint="cs"/>
          <w:rtl/>
          <w:lang/>
        </w:rPr>
        <w:t>تسليمه</w:t>
      </w:r>
      <w:r w:rsidRPr="00A444EC">
        <w:rPr>
          <w:rtl/>
          <w:lang/>
        </w:rPr>
        <w:t xml:space="preserve"> </w:t>
      </w:r>
      <w:r w:rsidRPr="00A444EC">
        <w:rPr>
          <w:rStyle w:val="hps"/>
          <w:rFonts w:hint="cs"/>
          <w:rtl/>
          <w:lang/>
        </w:rPr>
        <w:t xml:space="preserve">بغرض </w:t>
      </w:r>
      <w:r w:rsidRPr="00A444EC">
        <w:rPr>
          <w:rFonts w:hint="cs"/>
          <w:rtl/>
          <w:lang/>
        </w:rPr>
        <w:t>إنفاذ العقوبة</w:t>
      </w:r>
      <w:r w:rsidRPr="00A444EC">
        <w:rPr>
          <w:rFonts w:hint="eastAsia"/>
          <w:rtl/>
          <w:lang/>
        </w:rPr>
        <w:t> </w:t>
      </w:r>
      <w:r w:rsidRPr="00A444EC">
        <w:rPr>
          <w:rFonts w:hint="cs"/>
          <w:rtl/>
          <w:lang/>
        </w:rPr>
        <w:t>الصادرة في حقه</w:t>
      </w:r>
      <w:r w:rsidRPr="00A444EC">
        <w:rPr>
          <w:rtl/>
          <w:lang/>
        </w:rPr>
        <w:t xml:space="preserve">. </w:t>
      </w:r>
      <w:r w:rsidRPr="00A444EC">
        <w:rPr>
          <w:rFonts w:hint="cs"/>
          <w:rtl/>
          <w:lang/>
        </w:rPr>
        <w:t>و</w:t>
      </w:r>
      <w:r w:rsidRPr="00A444EC">
        <w:rPr>
          <w:rStyle w:val="hps"/>
          <w:rtl/>
          <w:lang/>
        </w:rPr>
        <w:t>وفقا</w:t>
      </w:r>
      <w:r w:rsidRPr="00A444EC">
        <w:rPr>
          <w:rStyle w:val="hps"/>
          <w:rFonts w:hint="cs"/>
          <w:rtl/>
          <w:lang/>
        </w:rPr>
        <w:t>ً</w:t>
      </w:r>
      <w:r w:rsidRPr="00A444EC">
        <w:rPr>
          <w:rStyle w:val="hps"/>
          <w:rtl/>
          <w:lang/>
        </w:rPr>
        <w:t xml:space="preserve"> للإجراءات</w:t>
      </w:r>
      <w:r w:rsidRPr="00A444EC">
        <w:rPr>
          <w:rStyle w:val="hps"/>
          <w:rFonts w:hint="cs"/>
          <w:rtl/>
          <w:lang/>
        </w:rPr>
        <w:t xml:space="preserve"> الداخلية المتعلقة</w:t>
      </w:r>
      <w:r w:rsidRPr="00A444EC">
        <w:rPr>
          <w:rtl/>
          <w:lang/>
        </w:rPr>
        <w:t xml:space="preserve"> </w:t>
      </w:r>
      <w:r w:rsidRPr="00A444EC">
        <w:rPr>
          <w:rFonts w:hint="cs"/>
          <w:rtl/>
          <w:lang/>
        </w:rPr>
        <w:t>بال</w:t>
      </w:r>
      <w:r w:rsidRPr="00A444EC">
        <w:rPr>
          <w:rStyle w:val="hps"/>
          <w:rtl/>
          <w:lang/>
        </w:rPr>
        <w:t xml:space="preserve">تسليم </w:t>
      </w:r>
      <w:r w:rsidRPr="00A444EC">
        <w:rPr>
          <w:rStyle w:val="hps"/>
          <w:rFonts w:hint="cs"/>
          <w:rtl/>
          <w:lang/>
        </w:rPr>
        <w:t>في ا</w:t>
      </w:r>
      <w:r w:rsidRPr="00A444EC">
        <w:rPr>
          <w:rStyle w:val="hps"/>
          <w:rtl/>
          <w:lang/>
        </w:rPr>
        <w:t>لدولة الطرف</w:t>
      </w:r>
      <w:r w:rsidRPr="00A444EC">
        <w:rPr>
          <w:rtl/>
          <w:lang/>
        </w:rPr>
        <w:t xml:space="preserve">، </w:t>
      </w:r>
      <w:r w:rsidRPr="00FA645B">
        <w:rPr>
          <w:rStyle w:val="hps"/>
          <w:rFonts w:hint="cs"/>
          <w:spacing w:val="-2"/>
          <w:rtl/>
          <w:lang/>
        </w:rPr>
        <w:t>وافقت</w:t>
      </w:r>
      <w:r w:rsidRPr="00FA645B">
        <w:rPr>
          <w:rStyle w:val="hps"/>
          <w:spacing w:val="-2"/>
          <w:rtl/>
          <w:lang/>
        </w:rPr>
        <w:t xml:space="preserve"> المحكمة العليا</w:t>
      </w:r>
      <w:r w:rsidRPr="00FA645B">
        <w:rPr>
          <w:spacing w:val="-2"/>
          <w:rtl/>
          <w:lang/>
        </w:rPr>
        <w:t xml:space="preserve"> </w:t>
      </w:r>
      <w:r w:rsidRPr="00FA645B">
        <w:rPr>
          <w:rStyle w:val="hps"/>
          <w:spacing w:val="-2"/>
          <w:rtl/>
          <w:lang/>
        </w:rPr>
        <w:t>الإقليمية</w:t>
      </w:r>
      <w:r w:rsidRPr="00FA645B">
        <w:rPr>
          <w:spacing w:val="-2"/>
          <w:rtl/>
          <w:lang/>
        </w:rPr>
        <w:t xml:space="preserve"> </w:t>
      </w:r>
      <w:r w:rsidRPr="00FA645B">
        <w:rPr>
          <w:rFonts w:hint="cs"/>
          <w:spacing w:val="-2"/>
          <w:rtl/>
          <w:lang/>
        </w:rPr>
        <w:t xml:space="preserve">في </w:t>
      </w:r>
      <w:r w:rsidRPr="00FA645B">
        <w:rPr>
          <w:rStyle w:val="hps"/>
          <w:spacing w:val="-2"/>
          <w:rtl/>
          <w:lang/>
        </w:rPr>
        <w:t>ساربروكن</w:t>
      </w:r>
      <w:r w:rsidRPr="00FA645B">
        <w:rPr>
          <w:rStyle w:val="hps"/>
          <w:rFonts w:hint="cs"/>
          <w:spacing w:val="-2"/>
          <w:rtl/>
          <w:lang/>
        </w:rPr>
        <w:t xml:space="preserve"> على عملية التسليم بعد أن ثبت لها </w:t>
      </w:r>
      <w:r w:rsidRPr="00FA645B">
        <w:rPr>
          <w:rStyle w:val="hps"/>
          <w:spacing w:val="-2"/>
          <w:rtl/>
          <w:lang/>
        </w:rPr>
        <w:t>أن</w:t>
      </w:r>
      <w:r w:rsidRPr="00FA645B">
        <w:rPr>
          <w:spacing w:val="-2"/>
          <w:rtl/>
          <w:lang/>
        </w:rPr>
        <w:t xml:space="preserve"> </w:t>
      </w:r>
      <w:r w:rsidRPr="00FA645B">
        <w:rPr>
          <w:rStyle w:val="hps"/>
          <w:spacing w:val="-2"/>
          <w:rtl/>
          <w:lang/>
        </w:rPr>
        <w:t>القانون التونسي</w:t>
      </w:r>
      <w:r w:rsidRPr="00FA645B">
        <w:rPr>
          <w:spacing w:val="-2"/>
          <w:rtl/>
          <w:lang/>
        </w:rPr>
        <w:t xml:space="preserve"> </w:t>
      </w:r>
      <w:r w:rsidRPr="00FA645B">
        <w:rPr>
          <w:rStyle w:val="hps"/>
          <w:spacing w:val="-2"/>
          <w:rtl/>
          <w:lang/>
        </w:rPr>
        <w:t>يسمح</w:t>
      </w:r>
      <w:r w:rsidRPr="00FA645B">
        <w:rPr>
          <w:spacing w:val="-2"/>
          <w:rtl/>
          <w:lang/>
        </w:rPr>
        <w:t xml:space="preserve"> </w:t>
      </w:r>
      <w:r w:rsidRPr="00FA645B">
        <w:rPr>
          <w:rStyle w:val="hps"/>
          <w:rFonts w:hint="cs"/>
          <w:spacing w:val="-2"/>
          <w:rtl/>
          <w:lang/>
        </w:rPr>
        <w:t>بالاستئناف في القضايا</w:t>
      </w:r>
      <w:r w:rsidRPr="00FA645B">
        <w:rPr>
          <w:spacing w:val="-2"/>
          <w:rtl/>
          <w:lang/>
        </w:rPr>
        <w:t xml:space="preserve"> </w:t>
      </w:r>
      <w:r w:rsidRPr="00FA645B">
        <w:rPr>
          <w:rStyle w:val="hps"/>
          <w:rFonts w:hint="cs"/>
          <w:spacing w:val="-2"/>
          <w:rtl/>
          <w:lang/>
        </w:rPr>
        <w:t>التي صدرت فيها أحكام غيابية، وأن السيد أنسي عبيشو، على</w:t>
      </w:r>
      <w:r w:rsidRPr="00FA645B">
        <w:rPr>
          <w:rStyle w:val="hps"/>
          <w:rFonts w:hint="eastAsia"/>
          <w:spacing w:val="-2"/>
          <w:rtl/>
          <w:lang/>
        </w:rPr>
        <w:t> </w:t>
      </w:r>
      <w:r w:rsidRPr="00FA645B">
        <w:rPr>
          <w:rStyle w:val="hps"/>
          <w:rFonts w:hint="cs"/>
          <w:spacing w:val="-2"/>
          <w:rtl/>
          <w:lang/>
        </w:rPr>
        <w:t>الرغم من عقوبة السجن المؤبد الصادرة بحقه، قد يحصل على إفراج مشروط بعد انقضاء</w:t>
      </w:r>
      <w:r w:rsidRPr="00FA645B">
        <w:rPr>
          <w:rStyle w:val="hps"/>
          <w:rFonts w:hint="eastAsia"/>
          <w:spacing w:val="-2"/>
          <w:rtl/>
          <w:lang/>
        </w:rPr>
        <w:t> </w:t>
      </w:r>
      <w:r w:rsidRPr="00FA645B">
        <w:rPr>
          <w:rStyle w:val="hps"/>
          <w:rFonts w:hint="cs"/>
          <w:spacing w:val="-2"/>
          <w:rtl/>
          <w:lang/>
        </w:rPr>
        <w:t xml:space="preserve">15 سنة على سجنه. </w:t>
      </w:r>
      <w:r w:rsidRPr="00FA645B">
        <w:rPr>
          <w:rStyle w:val="hps"/>
          <w:spacing w:val="-2"/>
          <w:rtl/>
          <w:lang/>
        </w:rPr>
        <w:t>وبناء</w:t>
      </w:r>
      <w:r w:rsidRPr="00FA645B">
        <w:rPr>
          <w:rStyle w:val="hps"/>
          <w:rFonts w:hint="cs"/>
          <w:spacing w:val="-2"/>
          <w:rtl/>
          <w:lang/>
        </w:rPr>
        <w:t>ً</w:t>
      </w:r>
      <w:r w:rsidRPr="00FA645B">
        <w:rPr>
          <w:rStyle w:val="hps"/>
          <w:spacing w:val="-2"/>
          <w:rtl/>
          <w:lang/>
        </w:rPr>
        <w:t xml:space="preserve"> على ذلك</w:t>
      </w:r>
      <w:r w:rsidRPr="00FA645B">
        <w:rPr>
          <w:spacing w:val="-2"/>
          <w:rtl/>
          <w:lang/>
        </w:rPr>
        <w:t xml:space="preserve">، </w:t>
      </w:r>
      <w:r w:rsidRPr="00FA645B">
        <w:rPr>
          <w:rStyle w:val="hps"/>
          <w:spacing w:val="-2"/>
          <w:rtl/>
          <w:lang/>
        </w:rPr>
        <w:t>ف</w:t>
      </w:r>
      <w:r w:rsidRPr="00FA645B">
        <w:rPr>
          <w:rStyle w:val="hps"/>
          <w:rFonts w:hint="cs"/>
          <w:spacing w:val="-2"/>
          <w:rtl/>
          <w:lang/>
        </w:rPr>
        <w:t>قد أذنت</w:t>
      </w:r>
      <w:r w:rsidRPr="00FA645B">
        <w:rPr>
          <w:rStyle w:val="hps"/>
          <w:spacing w:val="-2"/>
          <w:rtl/>
          <w:lang/>
        </w:rPr>
        <w:t xml:space="preserve"> الحكومة</w:t>
      </w:r>
      <w:r w:rsidRPr="00FA645B">
        <w:rPr>
          <w:spacing w:val="-2"/>
          <w:rtl/>
          <w:lang/>
        </w:rPr>
        <w:t xml:space="preserve"> </w:t>
      </w:r>
      <w:r w:rsidRPr="00FA645B">
        <w:rPr>
          <w:rStyle w:val="hps"/>
          <w:rFonts w:hint="cs"/>
          <w:spacing w:val="-2"/>
          <w:rtl/>
          <w:lang/>
        </w:rPr>
        <w:t>الاتحادية للدولة الطرف بتسليمه</w:t>
      </w:r>
      <w:r w:rsidRPr="00FA645B">
        <w:rPr>
          <w:rStyle w:val="hps"/>
          <w:spacing w:val="-2"/>
          <w:rtl/>
          <w:lang/>
        </w:rPr>
        <w:t>.</w:t>
      </w:r>
      <w:r w:rsidRPr="00FA645B">
        <w:rPr>
          <w:spacing w:val="-2"/>
          <w:rtl/>
          <w:lang/>
        </w:rPr>
        <w:t xml:space="preserve"> </w:t>
      </w:r>
      <w:r w:rsidRPr="00FA645B">
        <w:rPr>
          <w:rStyle w:val="hps"/>
          <w:rFonts w:hint="cs"/>
          <w:spacing w:val="-2"/>
          <w:rtl/>
          <w:lang/>
        </w:rPr>
        <w:t>وأخطرت</w:t>
      </w:r>
      <w:r w:rsidRPr="00FA645B">
        <w:rPr>
          <w:spacing w:val="-2"/>
          <w:rtl/>
          <w:lang/>
        </w:rPr>
        <w:t xml:space="preserve"> </w:t>
      </w:r>
      <w:r w:rsidRPr="00FA645B">
        <w:rPr>
          <w:rStyle w:val="hps"/>
          <w:spacing w:val="-2"/>
          <w:rtl/>
          <w:lang/>
        </w:rPr>
        <w:t>الحكومة التونسية</w:t>
      </w:r>
      <w:r w:rsidRPr="00FA645B">
        <w:rPr>
          <w:spacing w:val="-2"/>
          <w:rtl/>
          <w:lang/>
        </w:rPr>
        <w:t xml:space="preserve"> </w:t>
      </w:r>
      <w:r w:rsidRPr="00FA645B">
        <w:rPr>
          <w:rStyle w:val="hps"/>
          <w:rFonts w:hint="cs"/>
          <w:spacing w:val="-2"/>
          <w:rtl/>
          <w:lang/>
        </w:rPr>
        <w:t>ب</w:t>
      </w:r>
      <w:r w:rsidRPr="00FA645B">
        <w:rPr>
          <w:rStyle w:val="hps"/>
          <w:spacing w:val="-2"/>
          <w:rtl/>
          <w:lang/>
        </w:rPr>
        <w:t>هذا القرار</w:t>
      </w:r>
      <w:r w:rsidRPr="00FA645B">
        <w:rPr>
          <w:spacing w:val="-2"/>
          <w:rtl/>
          <w:lang/>
        </w:rPr>
        <w:t xml:space="preserve"> </w:t>
      </w:r>
      <w:r w:rsidRPr="00FA645B">
        <w:rPr>
          <w:rStyle w:val="hps"/>
          <w:spacing w:val="-2"/>
          <w:rtl/>
          <w:lang/>
        </w:rPr>
        <w:t>بمذكرة شفوية</w:t>
      </w:r>
      <w:r w:rsidRPr="00FA645B">
        <w:rPr>
          <w:spacing w:val="-2"/>
          <w:rtl/>
          <w:lang/>
        </w:rPr>
        <w:t xml:space="preserve"> </w:t>
      </w:r>
      <w:r w:rsidRPr="00FA645B">
        <w:rPr>
          <w:rStyle w:val="hps"/>
          <w:rFonts w:hint="cs"/>
          <w:spacing w:val="-2"/>
          <w:rtl/>
          <w:lang/>
        </w:rPr>
        <w:t>مؤرخة</w:t>
      </w:r>
      <w:r w:rsidRPr="00FA645B">
        <w:rPr>
          <w:rStyle w:val="hps"/>
          <w:spacing w:val="-2"/>
          <w:rtl/>
          <w:lang/>
        </w:rPr>
        <w:t xml:space="preserve"> 8</w:t>
      </w:r>
      <w:r w:rsidRPr="00FA645B">
        <w:rPr>
          <w:spacing w:val="-2"/>
          <w:rtl/>
          <w:lang/>
        </w:rPr>
        <w:t xml:space="preserve"> </w:t>
      </w:r>
      <w:r w:rsidRPr="00FA645B">
        <w:rPr>
          <w:rStyle w:val="hps"/>
          <w:rFonts w:hint="cs"/>
          <w:spacing w:val="-2"/>
          <w:rtl/>
          <w:lang/>
        </w:rPr>
        <w:t>تموز/يوليه</w:t>
      </w:r>
      <w:r w:rsidRPr="00FA645B">
        <w:rPr>
          <w:rStyle w:val="hps"/>
          <w:spacing w:val="-2"/>
          <w:rtl/>
          <w:lang/>
        </w:rPr>
        <w:t xml:space="preserve"> 2010.</w:t>
      </w:r>
    </w:p>
    <w:p w:rsidR="005E110C" w:rsidRPr="00A444EC" w:rsidRDefault="005E110C" w:rsidP="00B23BB0">
      <w:pPr>
        <w:pStyle w:val="SingleTxtGA"/>
        <w:rPr>
          <w:rtl/>
          <w:lang/>
        </w:rPr>
      </w:pPr>
      <w:r w:rsidRPr="00A444EC">
        <w:rPr>
          <w:rtl/>
          <w:lang w:val="fr-CH"/>
        </w:rPr>
        <w:t>4-3</w:t>
      </w:r>
      <w:r w:rsidRPr="00A444EC">
        <w:rPr>
          <w:rtl/>
          <w:lang w:val="fr-CH"/>
        </w:rPr>
        <w:tab/>
      </w:r>
      <w:r w:rsidRPr="00A444EC">
        <w:rPr>
          <w:rStyle w:val="hps"/>
          <w:rFonts w:hint="cs"/>
          <w:rtl/>
          <w:lang/>
        </w:rPr>
        <w:t>وقد قدم السيد أنسي عبيشو طعناً</w:t>
      </w:r>
      <w:r w:rsidRPr="00A444EC">
        <w:rPr>
          <w:rStyle w:val="hps"/>
          <w:rtl/>
          <w:lang/>
        </w:rPr>
        <w:t xml:space="preserve"> </w:t>
      </w:r>
      <w:r w:rsidRPr="00A444EC">
        <w:rPr>
          <w:rStyle w:val="hps"/>
          <w:rFonts w:hint="cs"/>
          <w:rtl/>
          <w:lang/>
        </w:rPr>
        <w:t xml:space="preserve">في </w:t>
      </w:r>
      <w:r w:rsidRPr="00A444EC">
        <w:rPr>
          <w:rStyle w:val="hps"/>
          <w:rtl/>
          <w:lang/>
        </w:rPr>
        <w:t>هذا</w:t>
      </w:r>
      <w:r w:rsidRPr="00A444EC">
        <w:rPr>
          <w:rtl/>
          <w:lang/>
        </w:rPr>
        <w:t xml:space="preserve"> </w:t>
      </w:r>
      <w:r w:rsidRPr="00A444EC">
        <w:rPr>
          <w:rStyle w:val="hps"/>
          <w:rtl/>
          <w:lang/>
        </w:rPr>
        <w:t>القرار</w:t>
      </w:r>
      <w:r w:rsidRPr="00A444EC">
        <w:rPr>
          <w:rtl/>
          <w:lang/>
        </w:rPr>
        <w:t xml:space="preserve"> </w:t>
      </w:r>
      <w:r w:rsidRPr="00A444EC">
        <w:rPr>
          <w:rStyle w:val="hps"/>
          <w:rtl/>
          <w:lang/>
        </w:rPr>
        <w:t>أمام المحكمة الدستورية</w:t>
      </w:r>
      <w:r w:rsidRPr="00A444EC">
        <w:rPr>
          <w:rtl/>
          <w:lang/>
        </w:rPr>
        <w:t xml:space="preserve"> </w:t>
      </w:r>
      <w:r w:rsidRPr="00A444EC">
        <w:rPr>
          <w:rStyle w:val="hps"/>
          <w:rtl/>
          <w:lang/>
        </w:rPr>
        <w:t>الألمانية</w:t>
      </w:r>
      <w:r w:rsidRPr="00A444EC">
        <w:rPr>
          <w:rtl/>
          <w:lang/>
        </w:rPr>
        <w:t xml:space="preserve">، </w:t>
      </w:r>
      <w:r w:rsidRPr="00A444EC">
        <w:rPr>
          <w:rFonts w:hint="cs"/>
          <w:rtl/>
          <w:lang/>
        </w:rPr>
        <w:t>وادعى فيه</w:t>
      </w:r>
      <w:r w:rsidRPr="00A444EC">
        <w:rPr>
          <w:rtl/>
          <w:lang/>
        </w:rPr>
        <w:t xml:space="preserve"> </w:t>
      </w:r>
      <w:r w:rsidRPr="00A444EC">
        <w:rPr>
          <w:rStyle w:val="hps"/>
          <w:rtl/>
          <w:lang/>
        </w:rPr>
        <w:t>أنه</w:t>
      </w:r>
      <w:r w:rsidRPr="00A444EC">
        <w:rPr>
          <w:rtl/>
          <w:lang/>
        </w:rPr>
        <w:t xml:space="preserve"> </w:t>
      </w:r>
      <w:r w:rsidRPr="00A444EC">
        <w:rPr>
          <w:rStyle w:val="hps"/>
          <w:rtl/>
          <w:lang/>
        </w:rPr>
        <w:t>سيواجه</w:t>
      </w:r>
      <w:r w:rsidRPr="00A444EC">
        <w:rPr>
          <w:rStyle w:val="hps"/>
          <w:rFonts w:hint="cs"/>
          <w:rtl/>
          <w:lang/>
        </w:rPr>
        <w:t>، في حالة تسليمه إلى تونس،</w:t>
      </w:r>
      <w:r w:rsidRPr="00A444EC">
        <w:rPr>
          <w:rtl/>
          <w:lang/>
        </w:rPr>
        <w:t xml:space="preserve"> </w:t>
      </w:r>
      <w:r w:rsidRPr="00A444EC">
        <w:rPr>
          <w:rStyle w:val="hps"/>
          <w:rtl/>
          <w:lang/>
        </w:rPr>
        <w:t xml:space="preserve">خطر </w:t>
      </w:r>
      <w:r w:rsidRPr="00A444EC">
        <w:rPr>
          <w:rStyle w:val="hps"/>
          <w:rFonts w:hint="cs"/>
          <w:rtl/>
          <w:lang/>
        </w:rPr>
        <w:t>التعرض ل</w:t>
      </w:r>
      <w:r w:rsidRPr="00A444EC">
        <w:rPr>
          <w:rStyle w:val="hps"/>
          <w:rtl/>
          <w:lang/>
        </w:rPr>
        <w:t>لتعذيب</w:t>
      </w:r>
      <w:r w:rsidRPr="00A444EC">
        <w:rPr>
          <w:rFonts w:hint="cs"/>
          <w:rtl/>
          <w:lang/>
        </w:rPr>
        <w:t>، وأن الحكم الصادر في حقه قد استند إلى شهادات انتزعت عن طريق</w:t>
      </w:r>
      <w:r w:rsidRPr="00A444EC">
        <w:rPr>
          <w:rStyle w:val="hps"/>
          <w:rtl/>
          <w:lang/>
        </w:rPr>
        <w:t xml:space="preserve"> التعذيب</w:t>
      </w:r>
      <w:r w:rsidRPr="00A444EC">
        <w:rPr>
          <w:rtl/>
          <w:lang/>
        </w:rPr>
        <w:t xml:space="preserve">. </w:t>
      </w:r>
      <w:r w:rsidRPr="00A444EC">
        <w:rPr>
          <w:rFonts w:hint="cs"/>
          <w:rtl/>
          <w:lang/>
        </w:rPr>
        <w:t xml:space="preserve">وقد </w:t>
      </w:r>
      <w:r w:rsidRPr="00A444EC">
        <w:rPr>
          <w:rStyle w:val="hps"/>
          <w:rtl/>
          <w:lang/>
        </w:rPr>
        <w:t xml:space="preserve">رفضت المحكمة </w:t>
      </w:r>
      <w:r w:rsidRPr="00FA645B">
        <w:rPr>
          <w:rStyle w:val="hps"/>
          <w:spacing w:val="-4"/>
          <w:rtl/>
          <w:lang/>
        </w:rPr>
        <w:t>الدستورية</w:t>
      </w:r>
      <w:r w:rsidRPr="00FA645B">
        <w:rPr>
          <w:rStyle w:val="hps"/>
          <w:rFonts w:hint="cs"/>
          <w:spacing w:val="-4"/>
          <w:rtl/>
          <w:lang/>
        </w:rPr>
        <w:t xml:space="preserve"> هذا</w:t>
      </w:r>
      <w:r w:rsidRPr="00FA645B">
        <w:rPr>
          <w:rFonts w:hint="cs"/>
          <w:spacing w:val="-4"/>
          <w:rtl/>
          <w:lang/>
        </w:rPr>
        <w:t> </w:t>
      </w:r>
      <w:r w:rsidRPr="00FA645B">
        <w:rPr>
          <w:rStyle w:val="hps"/>
          <w:spacing w:val="-4"/>
          <w:rtl/>
          <w:lang/>
        </w:rPr>
        <w:t>الطعن.</w:t>
      </w:r>
      <w:r w:rsidRPr="00FA645B">
        <w:rPr>
          <w:spacing w:val="-4"/>
          <w:rtl/>
          <w:lang/>
        </w:rPr>
        <w:t xml:space="preserve"> </w:t>
      </w:r>
      <w:r w:rsidRPr="00FA645B">
        <w:rPr>
          <w:rStyle w:val="hps"/>
          <w:spacing w:val="-4"/>
          <w:rtl/>
          <w:lang/>
        </w:rPr>
        <w:t>وبناء</w:t>
      </w:r>
      <w:r w:rsidRPr="00FA645B">
        <w:rPr>
          <w:rStyle w:val="hps"/>
          <w:rFonts w:hint="cs"/>
          <w:spacing w:val="-4"/>
          <w:rtl/>
          <w:lang/>
        </w:rPr>
        <w:t>ً</w:t>
      </w:r>
      <w:r w:rsidRPr="00FA645B">
        <w:rPr>
          <w:rStyle w:val="hps"/>
          <w:spacing w:val="-4"/>
          <w:rtl/>
          <w:lang/>
        </w:rPr>
        <w:t xml:space="preserve"> على ذلك</w:t>
      </w:r>
      <w:r w:rsidRPr="00FA645B">
        <w:rPr>
          <w:spacing w:val="-4"/>
          <w:rtl/>
          <w:lang/>
        </w:rPr>
        <w:t xml:space="preserve">، </w:t>
      </w:r>
      <w:r w:rsidRPr="00FA645B">
        <w:rPr>
          <w:rStyle w:val="hps"/>
          <w:spacing w:val="-4"/>
          <w:rtl/>
          <w:lang/>
        </w:rPr>
        <w:t>قدم السيد</w:t>
      </w:r>
      <w:r w:rsidRPr="00FA645B">
        <w:rPr>
          <w:spacing w:val="-4"/>
          <w:rtl/>
          <w:lang/>
        </w:rPr>
        <w:t xml:space="preserve"> </w:t>
      </w:r>
      <w:r w:rsidRPr="00FA645B">
        <w:rPr>
          <w:rStyle w:val="hps"/>
          <w:rFonts w:hint="cs"/>
          <w:spacing w:val="-4"/>
          <w:rtl/>
          <w:lang/>
        </w:rPr>
        <w:t>أنسي عبيشو</w:t>
      </w:r>
      <w:r w:rsidRPr="00FA645B">
        <w:rPr>
          <w:spacing w:val="-4"/>
          <w:rtl/>
          <w:lang/>
        </w:rPr>
        <w:t xml:space="preserve"> </w:t>
      </w:r>
      <w:r w:rsidRPr="00FA645B">
        <w:rPr>
          <w:rStyle w:val="hps"/>
          <w:spacing w:val="-4"/>
          <w:rtl/>
          <w:lang/>
        </w:rPr>
        <w:t>في 23</w:t>
      </w:r>
      <w:r w:rsidRPr="00FA645B">
        <w:rPr>
          <w:spacing w:val="-4"/>
          <w:rtl/>
          <w:lang/>
        </w:rPr>
        <w:t xml:space="preserve"> </w:t>
      </w:r>
      <w:r w:rsidRPr="00FA645B">
        <w:rPr>
          <w:rFonts w:hint="cs"/>
          <w:spacing w:val="-4"/>
          <w:rtl/>
          <w:lang/>
        </w:rPr>
        <w:t>آب/</w:t>
      </w:r>
      <w:r w:rsidRPr="00FA645B">
        <w:rPr>
          <w:rStyle w:val="hps"/>
          <w:spacing w:val="-4"/>
          <w:rtl/>
          <w:lang/>
        </w:rPr>
        <w:t>أغسطس</w:t>
      </w:r>
      <w:r w:rsidRPr="00FA645B">
        <w:rPr>
          <w:rStyle w:val="hps"/>
          <w:rFonts w:hint="cs"/>
          <w:spacing w:val="-4"/>
          <w:rtl/>
          <w:lang/>
        </w:rPr>
        <w:t xml:space="preserve"> 2010</w:t>
      </w:r>
      <w:r w:rsidRPr="00FA645B">
        <w:rPr>
          <w:spacing w:val="-4"/>
          <w:vertAlign w:val="superscript"/>
          <w:rtl/>
          <w:lang w:val="fr-CH"/>
        </w:rPr>
        <w:t>(</w:t>
      </w:r>
      <w:r w:rsidRPr="00FA645B">
        <w:rPr>
          <w:rStyle w:val="FootnoteReference"/>
          <w:spacing w:val="-4"/>
          <w:rtl/>
          <w:lang w:val="fr-CH"/>
        </w:rPr>
        <w:footnoteReference w:id="134"/>
      </w:r>
      <w:r w:rsidRPr="00FA645B">
        <w:rPr>
          <w:spacing w:val="-4"/>
          <w:vertAlign w:val="superscript"/>
          <w:rtl/>
          <w:lang w:val="fr-CH"/>
        </w:rPr>
        <w:t>)</w:t>
      </w:r>
      <w:r w:rsidRPr="00A444EC">
        <w:rPr>
          <w:rStyle w:val="hps"/>
          <w:rFonts w:hint="cs"/>
          <w:rtl/>
          <w:lang/>
        </w:rPr>
        <w:t xml:space="preserve"> شكوى</w:t>
      </w:r>
      <w:r w:rsidRPr="00A444EC">
        <w:rPr>
          <w:rStyle w:val="hps"/>
          <w:rtl/>
          <w:lang/>
        </w:rPr>
        <w:t xml:space="preserve"> إلى المحكمة الأوروبية لحقوق</w:t>
      </w:r>
      <w:r w:rsidRPr="00A444EC">
        <w:rPr>
          <w:rtl/>
          <w:lang/>
        </w:rPr>
        <w:t xml:space="preserve"> </w:t>
      </w:r>
      <w:r w:rsidRPr="00A444EC">
        <w:rPr>
          <w:rStyle w:val="hps"/>
          <w:rtl/>
          <w:lang/>
        </w:rPr>
        <w:t>الإنسان</w:t>
      </w:r>
      <w:r w:rsidRPr="00A444EC">
        <w:rPr>
          <w:rtl/>
          <w:lang/>
        </w:rPr>
        <w:t xml:space="preserve"> </w:t>
      </w:r>
      <w:r w:rsidRPr="00A444EC">
        <w:rPr>
          <w:rStyle w:val="hps"/>
          <w:rtl/>
          <w:lang/>
        </w:rPr>
        <w:t>(</w:t>
      </w:r>
      <w:r w:rsidRPr="00A444EC">
        <w:rPr>
          <w:rFonts w:hint="cs"/>
          <w:rtl/>
          <w:lang/>
        </w:rPr>
        <w:t xml:space="preserve">الشكوى </w:t>
      </w:r>
      <w:r w:rsidRPr="00A444EC">
        <w:rPr>
          <w:rtl/>
          <w:lang/>
        </w:rPr>
        <w:t xml:space="preserve">رقم </w:t>
      </w:r>
      <w:r w:rsidRPr="00A444EC">
        <w:rPr>
          <w:rStyle w:val="hps"/>
          <w:rtl/>
          <w:lang/>
        </w:rPr>
        <w:t>33841/10</w:t>
      </w:r>
      <w:r w:rsidRPr="00A444EC">
        <w:rPr>
          <w:rtl/>
          <w:lang/>
        </w:rPr>
        <w:t xml:space="preserve">) </w:t>
      </w:r>
      <w:r w:rsidRPr="00A444EC">
        <w:rPr>
          <w:rStyle w:val="hps"/>
          <w:rtl/>
          <w:lang/>
        </w:rPr>
        <w:t>بموجب المادتين</w:t>
      </w:r>
      <w:r w:rsidR="00FA645B">
        <w:rPr>
          <w:rStyle w:val="hps"/>
          <w:rFonts w:hint="cs"/>
          <w:rtl/>
          <w:lang/>
        </w:rPr>
        <w:t> </w:t>
      </w:r>
      <w:r w:rsidRPr="00A444EC">
        <w:rPr>
          <w:rStyle w:val="hps"/>
          <w:rtl/>
          <w:lang/>
        </w:rPr>
        <w:t>3</w:t>
      </w:r>
      <w:r w:rsidRPr="00A444EC">
        <w:rPr>
          <w:rtl/>
          <w:lang/>
        </w:rPr>
        <w:t xml:space="preserve"> و</w:t>
      </w:r>
      <w:r w:rsidRPr="00A444EC">
        <w:rPr>
          <w:rStyle w:val="hps"/>
          <w:rtl/>
          <w:lang/>
        </w:rPr>
        <w:t>6 من</w:t>
      </w:r>
      <w:r w:rsidRPr="00A444EC">
        <w:rPr>
          <w:rtl/>
          <w:lang/>
        </w:rPr>
        <w:t xml:space="preserve"> </w:t>
      </w:r>
      <w:r w:rsidRPr="00A444EC">
        <w:rPr>
          <w:rFonts w:hint="cs"/>
          <w:rtl/>
          <w:lang/>
        </w:rPr>
        <w:t>ال</w:t>
      </w:r>
      <w:r w:rsidRPr="00A444EC">
        <w:rPr>
          <w:rStyle w:val="hps"/>
          <w:rFonts w:hint="cs"/>
          <w:rtl/>
          <w:lang/>
        </w:rPr>
        <w:t>اتفاقية الأوروبية لحماية</w:t>
      </w:r>
      <w:r w:rsidRPr="00A444EC">
        <w:rPr>
          <w:rtl/>
          <w:lang/>
        </w:rPr>
        <w:t xml:space="preserve"> </w:t>
      </w:r>
      <w:r w:rsidRPr="00A444EC">
        <w:rPr>
          <w:rStyle w:val="hps"/>
          <w:rtl/>
          <w:lang/>
        </w:rPr>
        <w:t>حقوق الإنسان و</w:t>
      </w:r>
      <w:r w:rsidRPr="00A444EC">
        <w:rPr>
          <w:rStyle w:val="atn"/>
          <w:rtl/>
          <w:lang/>
        </w:rPr>
        <w:t xml:space="preserve">الحريات الأساسية </w:t>
      </w:r>
      <w:r w:rsidR="0077398F" w:rsidRPr="00A444EC">
        <w:rPr>
          <w:rStyle w:val="atn"/>
          <w:rFonts w:hint="cs"/>
          <w:rtl/>
          <w:lang/>
        </w:rPr>
        <w:t>(</w:t>
      </w:r>
      <w:r w:rsidRPr="00A444EC">
        <w:rPr>
          <w:rtl/>
          <w:lang/>
        </w:rPr>
        <w:t xml:space="preserve">الاتفاقية الأوروبية </w:t>
      </w:r>
      <w:r w:rsidRPr="00A444EC">
        <w:rPr>
          <w:rStyle w:val="hps"/>
          <w:rtl/>
          <w:lang/>
        </w:rPr>
        <w:t>لحقوق الإنسان</w:t>
      </w:r>
      <w:r w:rsidR="0077398F" w:rsidRPr="00A444EC">
        <w:rPr>
          <w:rFonts w:hint="cs"/>
          <w:rtl/>
          <w:lang/>
        </w:rPr>
        <w:t>)</w:t>
      </w:r>
      <w:r w:rsidRPr="00A444EC">
        <w:rPr>
          <w:rtl/>
          <w:lang/>
        </w:rPr>
        <w:t xml:space="preserve"> </w:t>
      </w:r>
      <w:r w:rsidRPr="00A444EC">
        <w:rPr>
          <w:rStyle w:val="hps"/>
          <w:rFonts w:hint="cs"/>
          <w:rtl/>
          <w:lang/>
        </w:rPr>
        <w:t>وبموجب</w:t>
      </w:r>
      <w:r w:rsidRPr="00A444EC">
        <w:rPr>
          <w:rtl/>
          <w:lang/>
        </w:rPr>
        <w:t xml:space="preserve"> </w:t>
      </w:r>
      <w:r w:rsidRPr="00A444EC">
        <w:rPr>
          <w:rStyle w:val="hps"/>
          <w:rtl/>
          <w:lang/>
        </w:rPr>
        <w:t>البروتوكول رقم</w:t>
      </w:r>
      <w:r w:rsidRPr="00A444EC">
        <w:rPr>
          <w:rtl/>
          <w:lang/>
        </w:rPr>
        <w:t xml:space="preserve"> </w:t>
      </w:r>
      <w:r w:rsidRPr="00A444EC">
        <w:rPr>
          <w:rStyle w:val="hps"/>
          <w:rtl/>
          <w:lang/>
        </w:rPr>
        <w:t xml:space="preserve">7 </w:t>
      </w:r>
      <w:r w:rsidRPr="00A444EC">
        <w:rPr>
          <w:rStyle w:val="hps"/>
          <w:rFonts w:hint="cs"/>
          <w:rtl/>
          <w:lang/>
        </w:rPr>
        <w:t xml:space="preserve">لهذه </w:t>
      </w:r>
      <w:r w:rsidRPr="00A444EC">
        <w:rPr>
          <w:rStyle w:val="hps"/>
          <w:rtl/>
          <w:lang/>
        </w:rPr>
        <w:t>الاتفاقية</w:t>
      </w:r>
      <w:r w:rsidRPr="00A444EC">
        <w:rPr>
          <w:rtl/>
          <w:lang/>
        </w:rPr>
        <w:t xml:space="preserve">، على الرغم </w:t>
      </w:r>
      <w:r w:rsidRPr="00A444EC">
        <w:rPr>
          <w:rFonts w:hint="cs"/>
          <w:rtl/>
          <w:lang/>
        </w:rPr>
        <w:t>من عدم تصديق</w:t>
      </w:r>
      <w:r w:rsidRPr="00A444EC">
        <w:rPr>
          <w:rtl/>
          <w:lang/>
        </w:rPr>
        <w:t xml:space="preserve"> </w:t>
      </w:r>
      <w:r w:rsidRPr="00A444EC">
        <w:rPr>
          <w:rStyle w:val="hps"/>
          <w:rtl/>
          <w:lang/>
        </w:rPr>
        <w:t>الدولة الطرف</w:t>
      </w:r>
      <w:r w:rsidRPr="00A444EC">
        <w:rPr>
          <w:rStyle w:val="hps"/>
          <w:rFonts w:hint="cs"/>
          <w:rtl/>
          <w:lang/>
        </w:rPr>
        <w:t xml:space="preserve"> عليه</w:t>
      </w:r>
      <w:r w:rsidRPr="00A444EC">
        <w:rPr>
          <w:rStyle w:val="hps"/>
          <w:rtl/>
          <w:lang/>
        </w:rPr>
        <w:t>.</w:t>
      </w:r>
      <w:r w:rsidRPr="00A444EC">
        <w:rPr>
          <w:rtl/>
          <w:lang/>
        </w:rPr>
        <w:t xml:space="preserve"> </w:t>
      </w:r>
      <w:r w:rsidRPr="00A444EC">
        <w:rPr>
          <w:rStyle w:val="hps"/>
          <w:rFonts w:hint="cs"/>
          <w:rtl/>
          <w:lang/>
        </w:rPr>
        <w:t>كما قدم</w:t>
      </w:r>
      <w:r w:rsidRPr="00A444EC">
        <w:rPr>
          <w:rtl/>
          <w:lang/>
        </w:rPr>
        <w:t xml:space="preserve"> </w:t>
      </w:r>
      <w:r w:rsidRPr="00A444EC">
        <w:rPr>
          <w:rStyle w:val="hps"/>
          <w:rtl/>
          <w:lang/>
        </w:rPr>
        <w:t>السيد</w:t>
      </w:r>
      <w:r w:rsidRPr="00A444EC">
        <w:rPr>
          <w:rtl/>
          <w:lang/>
        </w:rPr>
        <w:t xml:space="preserve"> </w:t>
      </w:r>
      <w:r w:rsidRPr="00A444EC">
        <w:rPr>
          <w:rStyle w:val="hps"/>
          <w:rFonts w:hint="cs"/>
          <w:rtl/>
          <w:lang/>
        </w:rPr>
        <w:t xml:space="preserve">أنسي عبيشو، في الشكوى نفسها، </w:t>
      </w:r>
      <w:r w:rsidRPr="00A444EC">
        <w:rPr>
          <w:rStyle w:val="hps"/>
          <w:rtl/>
          <w:lang/>
        </w:rPr>
        <w:t>طلب</w:t>
      </w:r>
      <w:r w:rsidRPr="00A444EC">
        <w:rPr>
          <w:rtl/>
          <w:lang/>
        </w:rPr>
        <w:t xml:space="preserve"> </w:t>
      </w:r>
      <w:r w:rsidRPr="00A444EC">
        <w:rPr>
          <w:rStyle w:val="hps"/>
          <w:rtl/>
          <w:lang/>
        </w:rPr>
        <w:t>اتخاذ تدابير</w:t>
      </w:r>
      <w:r w:rsidRPr="00A444EC">
        <w:rPr>
          <w:rStyle w:val="hps"/>
          <w:rFonts w:hint="cs"/>
          <w:rtl/>
          <w:lang/>
        </w:rPr>
        <w:t xml:space="preserve"> مؤقتة </w:t>
      </w:r>
      <w:r w:rsidRPr="00A444EC">
        <w:rPr>
          <w:rStyle w:val="hps"/>
          <w:rtl/>
          <w:lang/>
        </w:rPr>
        <w:t>بموجب المادة 39 من</w:t>
      </w:r>
      <w:r w:rsidRPr="00A444EC">
        <w:rPr>
          <w:rtl/>
          <w:lang/>
        </w:rPr>
        <w:t xml:space="preserve"> </w:t>
      </w:r>
      <w:r w:rsidRPr="00A444EC">
        <w:rPr>
          <w:rStyle w:val="hps"/>
          <w:rFonts w:hint="cs"/>
          <w:rtl/>
          <w:lang/>
        </w:rPr>
        <w:t>النظام الداخلي للمحكمة</w:t>
      </w:r>
      <w:r w:rsidRPr="00A444EC">
        <w:rPr>
          <w:rtl/>
          <w:lang/>
        </w:rPr>
        <w:t xml:space="preserve">. </w:t>
      </w:r>
      <w:r w:rsidRPr="00A444EC">
        <w:rPr>
          <w:rStyle w:val="hps"/>
          <w:rFonts w:hint="cs"/>
          <w:rtl/>
          <w:lang/>
        </w:rPr>
        <w:t>ومع ذلك، فقد رفضت المحكمة هذا الطلب.</w:t>
      </w:r>
    </w:p>
    <w:p w:rsidR="005E110C" w:rsidRPr="00FA645B" w:rsidRDefault="005E110C" w:rsidP="00B23BB0">
      <w:pPr>
        <w:pStyle w:val="SingleTxtGA"/>
        <w:keepNext/>
        <w:keepLines/>
        <w:rPr>
          <w:spacing w:val="-2"/>
          <w:rtl/>
          <w:lang w:val="fr-CH"/>
        </w:rPr>
      </w:pPr>
      <w:r w:rsidRPr="00A444EC">
        <w:rPr>
          <w:rtl/>
          <w:lang w:val="fr-CH"/>
        </w:rPr>
        <w:t>4-4</w:t>
      </w:r>
      <w:r w:rsidRPr="00A444EC">
        <w:rPr>
          <w:rtl/>
          <w:lang w:val="fr-CH"/>
        </w:rPr>
        <w:tab/>
      </w:r>
      <w:r w:rsidRPr="00A444EC">
        <w:rPr>
          <w:rStyle w:val="hps"/>
          <w:rFonts w:hint="cs"/>
          <w:rtl/>
          <w:lang/>
        </w:rPr>
        <w:t>وترى الدولة</w:t>
      </w:r>
      <w:r w:rsidRPr="00A444EC">
        <w:rPr>
          <w:rStyle w:val="hps"/>
          <w:rtl/>
          <w:lang/>
        </w:rPr>
        <w:t xml:space="preserve"> الطرف</w:t>
      </w:r>
      <w:r w:rsidRPr="00A444EC">
        <w:rPr>
          <w:rFonts w:hint="cs"/>
          <w:rtl/>
          <w:lang/>
        </w:rPr>
        <w:t xml:space="preserve"> أن السيد أنسي عبيشو لم يلجأ إلى اللجنة لتقديم هذا البلاغ إلا</w:t>
      </w:r>
      <w:r w:rsidRPr="00A444EC">
        <w:rPr>
          <w:rFonts w:hint="eastAsia"/>
          <w:rtl/>
          <w:lang/>
        </w:rPr>
        <w:t> </w:t>
      </w:r>
      <w:r w:rsidRPr="00A444EC">
        <w:rPr>
          <w:rFonts w:hint="cs"/>
          <w:rtl/>
          <w:lang/>
        </w:rPr>
        <w:t>بعد أن رفضت المحكمة</w:t>
      </w:r>
      <w:r w:rsidRPr="00A444EC">
        <w:rPr>
          <w:rtl/>
          <w:lang/>
        </w:rPr>
        <w:t xml:space="preserve"> </w:t>
      </w:r>
      <w:r w:rsidRPr="00A444EC">
        <w:rPr>
          <w:rStyle w:val="hps"/>
          <w:rtl/>
          <w:lang/>
        </w:rPr>
        <w:t>الأوروبية لحقوق</w:t>
      </w:r>
      <w:r w:rsidRPr="00A444EC">
        <w:rPr>
          <w:rtl/>
          <w:lang/>
        </w:rPr>
        <w:t xml:space="preserve"> </w:t>
      </w:r>
      <w:r w:rsidRPr="00A444EC">
        <w:rPr>
          <w:rStyle w:val="hps"/>
          <w:rtl/>
          <w:lang/>
        </w:rPr>
        <w:t xml:space="preserve">الإنسان </w:t>
      </w:r>
      <w:r w:rsidRPr="00A444EC">
        <w:rPr>
          <w:rStyle w:val="hps"/>
          <w:rFonts w:hint="cs"/>
          <w:rtl/>
          <w:lang/>
        </w:rPr>
        <w:t xml:space="preserve">طلبه الداعي إلى تعليق </w:t>
      </w:r>
      <w:r w:rsidRPr="00A444EC">
        <w:rPr>
          <w:rStyle w:val="hps"/>
          <w:rtl/>
          <w:lang/>
        </w:rPr>
        <w:t>الدولة الطرف</w:t>
      </w:r>
      <w:r w:rsidRPr="00A444EC">
        <w:rPr>
          <w:rtl/>
          <w:lang/>
        </w:rPr>
        <w:t xml:space="preserve"> </w:t>
      </w:r>
      <w:r w:rsidR="0077398F" w:rsidRPr="00A444EC">
        <w:rPr>
          <w:rFonts w:hint="cs"/>
          <w:rtl/>
          <w:lang/>
        </w:rPr>
        <w:t>لإ</w:t>
      </w:r>
      <w:r w:rsidRPr="00A444EC">
        <w:rPr>
          <w:rStyle w:val="hps"/>
          <w:rtl/>
          <w:lang/>
        </w:rPr>
        <w:t xml:space="preserve">جراءات </w:t>
      </w:r>
      <w:r w:rsidRPr="00A444EC">
        <w:rPr>
          <w:rStyle w:val="hps"/>
          <w:rFonts w:hint="cs"/>
          <w:rtl/>
          <w:lang/>
        </w:rPr>
        <w:t>ال</w:t>
      </w:r>
      <w:r w:rsidRPr="00A444EC">
        <w:rPr>
          <w:rStyle w:val="hps"/>
          <w:rtl/>
          <w:lang/>
        </w:rPr>
        <w:t>تسليم</w:t>
      </w:r>
      <w:r w:rsidRPr="00A444EC">
        <w:rPr>
          <w:rFonts w:hint="cs"/>
          <w:rtl/>
          <w:lang/>
        </w:rPr>
        <w:t>. و</w:t>
      </w:r>
      <w:r w:rsidRPr="00A444EC">
        <w:rPr>
          <w:rStyle w:val="hps"/>
          <w:rtl/>
          <w:lang/>
        </w:rPr>
        <w:t>طلب المقرر</w:t>
      </w:r>
      <w:r w:rsidRPr="00A444EC">
        <w:rPr>
          <w:rtl/>
          <w:lang/>
        </w:rPr>
        <w:t xml:space="preserve"> </w:t>
      </w:r>
      <w:r w:rsidRPr="00A444EC">
        <w:rPr>
          <w:rStyle w:val="hps"/>
          <w:rtl/>
          <w:lang/>
        </w:rPr>
        <w:t>المعني بالشكاوى الجديدة</w:t>
      </w:r>
      <w:r w:rsidRPr="00A444EC">
        <w:rPr>
          <w:rtl/>
          <w:lang/>
        </w:rPr>
        <w:t xml:space="preserve"> </w:t>
      </w:r>
      <w:r w:rsidRPr="00A444EC">
        <w:rPr>
          <w:rStyle w:val="hps"/>
          <w:rtl/>
          <w:lang/>
        </w:rPr>
        <w:t>والتدابير المؤقتة</w:t>
      </w:r>
      <w:r w:rsidRPr="00A444EC">
        <w:rPr>
          <w:rtl/>
          <w:lang/>
        </w:rPr>
        <w:t xml:space="preserve"> إلى </w:t>
      </w:r>
      <w:r w:rsidRPr="00A444EC">
        <w:rPr>
          <w:rStyle w:val="hps"/>
          <w:rtl/>
          <w:lang/>
        </w:rPr>
        <w:t xml:space="preserve">الدولة الطرف </w:t>
      </w:r>
      <w:r w:rsidRPr="00A444EC">
        <w:rPr>
          <w:rStyle w:val="hps"/>
          <w:rFonts w:hint="cs"/>
          <w:rtl/>
          <w:lang/>
        </w:rPr>
        <w:t xml:space="preserve">عدم </w:t>
      </w:r>
      <w:r w:rsidRPr="00A444EC">
        <w:rPr>
          <w:rStyle w:val="hps"/>
          <w:rtl/>
          <w:lang/>
        </w:rPr>
        <w:t>تسليم السيد</w:t>
      </w:r>
      <w:r w:rsidRPr="00A444EC">
        <w:rPr>
          <w:rtl/>
          <w:lang/>
        </w:rPr>
        <w:t xml:space="preserve"> </w:t>
      </w:r>
      <w:r w:rsidRPr="00A444EC">
        <w:rPr>
          <w:rStyle w:val="hps"/>
          <w:rFonts w:hint="cs"/>
          <w:rtl/>
          <w:lang/>
        </w:rPr>
        <w:t>أنسي عبيشو</w:t>
      </w:r>
      <w:r w:rsidRPr="00A444EC">
        <w:rPr>
          <w:rtl/>
          <w:lang/>
        </w:rPr>
        <w:t xml:space="preserve"> إلى </w:t>
      </w:r>
      <w:r w:rsidRPr="00A444EC">
        <w:rPr>
          <w:rStyle w:val="hps"/>
          <w:rtl/>
          <w:lang/>
        </w:rPr>
        <w:t>تونس</w:t>
      </w:r>
      <w:r w:rsidRPr="00A444EC">
        <w:rPr>
          <w:rtl/>
          <w:lang/>
        </w:rPr>
        <w:t xml:space="preserve">. </w:t>
      </w:r>
      <w:r w:rsidRPr="00A444EC">
        <w:rPr>
          <w:rStyle w:val="hps"/>
          <w:rFonts w:hint="cs"/>
          <w:rtl/>
          <w:lang/>
        </w:rPr>
        <w:t>وقد أرسل هذا الطلب إلى الدولة الطرف</w:t>
      </w:r>
      <w:r w:rsidRPr="00A444EC">
        <w:rPr>
          <w:rtl/>
          <w:lang/>
        </w:rPr>
        <w:t xml:space="preserve"> </w:t>
      </w:r>
      <w:r w:rsidRPr="00A444EC">
        <w:rPr>
          <w:rStyle w:val="hps"/>
          <w:rtl/>
          <w:lang/>
        </w:rPr>
        <w:t>في 25</w:t>
      </w:r>
      <w:r w:rsidRPr="00A444EC">
        <w:rPr>
          <w:rtl/>
          <w:lang/>
        </w:rPr>
        <w:t xml:space="preserve"> </w:t>
      </w:r>
      <w:r w:rsidRPr="00A444EC">
        <w:rPr>
          <w:rFonts w:hint="cs"/>
          <w:rtl/>
          <w:lang/>
        </w:rPr>
        <w:t>آب/</w:t>
      </w:r>
      <w:r w:rsidRPr="00A444EC">
        <w:rPr>
          <w:rStyle w:val="hps"/>
          <w:rtl/>
          <w:lang/>
        </w:rPr>
        <w:t>أغسطس 2010.</w:t>
      </w:r>
      <w:r w:rsidRPr="00A444EC">
        <w:rPr>
          <w:rtl/>
          <w:lang/>
        </w:rPr>
        <w:t xml:space="preserve"> </w:t>
      </w:r>
      <w:r w:rsidRPr="00A444EC">
        <w:rPr>
          <w:rStyle w:val="hps"/>
          <w:rFonts w:hint="cs"/>
          <w:rtl/>
          <w:lang/>
        </w:rPr>
        <w:t xml:space="preserve">غير أن </w:t>
      </w:r>
      <w:r w:rsidRPr="00A444EC">
        <w:rPr>
          <w:rStyle w:val="hps"/>
          <w:rtl/>
          <w:lang/>
        </w:rPr>
        <w:t>السلطات المختصة في</w:t>
      </w:r>
      <w:r w:rsidRPr="00A444EC">
        <w:rPr>
          <w:rtl/>
          <w:lang/>
        </w:rPr>
        <w:t xml:space="preserve"> </w:t>
      </w:r>
      <w:r w:rsidRPr="00A444EC">
        <w:rPr>
          <w:rStyle w:val="hps"/>
          <w:rtl/>
          <w:lang/>
        </w:rPr>
        <w:t>الدولة الطرف</w:t>
      </w:r>
      <w:r w:rsidRPr="00A444EC">
        <w:rPr>
          <w:rtl/>
          <w:lang/>
        </w:rPr>
        <w:t xml:space="preserve"> </w:t>
      </w:r>
      <w:r w:rsidRPr="00A444EC">
        <w:rPr>
          <w:rStyle w:val="hps"/>
          <w:rFonts w:hint="cs"/>
          <w:rtl/>
          <w:lang/>
        </w:rPr>
        <w:t>لم تتلق الطلب المذكور إلا</w:t>
      </w:r>
      <w:r w:rsidRPr="00A444EC">
        <w:rPr>
          <w:rStyle w:val="hps"/>
          <w:rFonts w:hint="eastAsia"/>
          <w:rtl/>
          <w:lang/>
        </w:rPr>
        <w:t> </w:t>
      </w:r>
      <w:r w:rsidRPr="00A444EC">
        <w:rPr>
          <w:rStyle w:val="hps"/>
          <w:rFonts w:hint="cs"/>
          <w:rtl/>
          <w:lang/>
        </w:rPr>
        <w:t>بعد تسليم السيد أنسي عبيشو</w:t>
      </w:r>
      <w:r w:rsidRPr="00A444EC">
        <w:rPr>
          <w:rtl/>
          <w:lang/>
        </w:rPr>
        <w:t xml:space="preserve">. </w:t>
      </w:r>
      <w:r w:rsidRPr="00A444EC">
        <w:rPr>
          <w:rStyle w:val="hps"/>
          <w:rFonts w:hint="cs"/>
          <w:rtl/>
          <w:lang/>
        </w:rPr>
        <w:t xml:space="preserve">ومن ثم لم يكن بوسع </w:t>
      </w:r>
      <w:r w:rsidRPr="00A444EC">
        <w:rPr>
          <w:rStyle w:val="hps"/>
          <w:rtl/>
          <w:lang/>
        </w:rPr>
        <w:t>الدولة الطرف</w:t>
      </w:r>
      <w:r w:rsidRPr="00A444EC">
        <w:rPr>
          <w:rtl/>
          <w:lang/>
        </w:rPr>
        <w:t xml:space="preserve"> </w:t>
      </w:r>
      <w:r w:rsidRPr="00A444EC">
        <w:rPr>
          <w:rStyle w:val="hps"/>
          <w:rtl/>
          <w:lang/>
        </w:rPr>
        <w:t>الامتثال ل</w:t>
      </w:r>
      <w:r w:rsidRPr="00A444EC">
        <w:rPr>
          <w:rtl/>
          <w:lang/>
        </w:rPr>
        <w:t xml:space="preserve">طلب اللجنة </w:t>
      </w:r>
      <w:r w:rsidRPr="00A444EC">
        <w:rPr>
          <w:rStyle w:val="hps"/>
          <w:rtl/>
          <w:lang/>
        </w:rPr>
        <w:t>باتخاذ تدابير مؤقتة</w:t>
      </w:r>
      <w:r w:rsidRPr="00A444EC">
        <w:rPr>
          <w:rtl/>
          <w:lang/>
        </w:rPr>
        <w:t xml:space="preserve">. </w:t>
      </w:r>
      <w:r w:rsidRPr="00A444EC">
        <w:rPr>
          <w:rStyle w:val="hps"/>
          <w:rtl/>
          <w:lang/>
        </w:rPr>
        <w:t>و</w:t>
      </w:r>
      <w:r w:rsidRPr="00A444EC">
        <w:rPr>
          <w:rStyle w:val="hps"/>
          <w:rFonts w:hint="cs"/>
          <w:rtl/>
          <w:lang/>
        </w:rPr>
        <w:t>تشير ملفات</w:t>
      </w:r>
      <w:r w:rsidRPr="00A444EC">
        <w:rPr>
          <w:rtl/>
          <w:lang/>
        </w:rPr>
        <w:t xml:space="preserve"> </w:t>
      </w:r>
      <w:r w:rsidRPr="00A444EC">
        <w:rPr>
          <w:rStyle w:val="hps"/>
          <w:rtl/>
          <w:lang/>
        </w:rPr>
        <w:t>الدولة الطرف</w:t>
      </w:r>
      <w:r w:rsidRPr="00A444EC">
        <w:rPr>
          <w:rFonts w:hint="cs"/>
          <w:rtl/>
          <w:lang/>
        </w:rPr>
        <w:t xml:space="preserve"> إلى أن </w:t>
      </w:r>
      <w:r w:rsidRPr="00A444EC">
        <w:rPr>
          <w:rStyle w:val="hps"/>
          <w:rFonts w:hint="cs"/>
          <w:rtl/>
          <w:lang/>
        </w:rPr>
        <w:t>بعثتها الدائمة</w:t>
      </w:r>
      <w:r w:rsidRPr="00A444EC">
        <w:rPr>
          <w:rtl/>
          <w:lang/>
        </w:rPr>
        <w:t xml:space="preserve"> </w:t>
      </w:r>
      <w:r w:rsidRPr="00A444EC">
        <w:rPr>
          <w:rStyle w:val="hps"/>
          <w:rtl/>
          <w:lang/>
        </w:rPr>
        <w:t>في</w:t>
      </w:r>
      <w:r w:rsidRPr="00A444EC">
        <w:rPr>
          <w:rtl/>
          <w:lang/>
        </w:rPr>
        <w:t xml:space="preserve"> </w:t>
      </w:r>
      <w:r w:rsidRPr="00A444EC">
        <w:rPr>
          <w:rStyle w:val="hps"/>
          <w:rtl/>
          <w:lang/>
        </w:rPr>
        <w:t>جنيف</w:t>
      </w:r>
      <w:r w:rsidRPr="00A444EC">
        <w:rPr>
          <w:rtl/>
          <w:lang/>
        </w:rPr>
        <w:t xml:space="preserve"> </w:t>
      </w:r>
      <w:r w:rsidRPr="00A444EC">
        <w:rPr>
          <w:rFonts w:hint="cs"/>
          <w:rtl/>
          <w:lang/>
        </w:rPr>
        <w:t xml:space="preserve">تلقت </w:t>
      </w:r>
      <w:r w:rsidRPr="00A444EC">
        <w:rPr>
          <w:rStyle w:val="hps"/>
          <w:rtl/>
          <w:lang/>
        </w:rPr>
        <w:t>طلب اللجنة</w:t>
      </w:r>
      <w:r w:rsidRPr="00A444EC">
        <w:rPr>
          <w:rtl/>
          <w:lang/>
        </w:rPr>
        <w:t xml:space="preserve"> </w:t>
      </w:r>
      <w:r w:rsidRPr="00A444EC">
        <w:rPr>
          <w:rStyle w:val="hps"/>
          <w:rtl/>
          <w:lang/>
        </w:rPr>
        <w:t>باتخاذ تدابير مؤقتة</w:t>
      </w:r>
      <w:r w:rsidRPr="00A444EC">
        <w:rPr>
          <w:rtl/>
          <w:lang/>
        </w:rPr>
        <w:t xml:space="preserve"> </w:t>
      </w:r>
      <w:r w:rsidRPr="00A444EC">
        <w:rPr>
          <w:rStyle w:val="hps"/>
          <w:rtl/>
          <w:lang/>
        </w:rPr>
        <w:t>في 25</w:t>
      </w:r>
      <w:r w:rsidRPr="00A444EC">
        <w:rPr>
          <w:rtl/>
          <w:lang/>
        </w:rPr>
        <w:t xml:space="preserve"> </w:t>
      </w:r>
      <w:r w:rsidRPr="00A444EC">
        <w:rPr>
          <w:rFonts w:hint="cs"/>
          <w:rtl/>
          <w:lang/>
        </w:rPr>
        <w:t>آب/</w:t>
      </w:r>
      <w:r w:rsidRPr="00A444EC">
        <w:rPr>
          <w:rStyle w:val="hps"/>
          <w:rtl/>
          <w:lang/>
        </w:rPr>
        <w:t xml:space="preserve">أغسطس 2010 </w:t>
      </w:r>
      <w:r w:rsidRPr="00A444EC">
        <w:rPr>
          <w:rStyle w:val="hps"/>
          <w:rFonts w:hint="cs"/>
          <w:rtl/>
          <w:lang/>
        </w:rPr>
        <w:t xml:space="preserve">في </w:t>
      </w:r>
      <w:r w:rsidRPr="00A444EC">
        <w:rPr>
          <w:rStyle w:val="hps"/>
          <w:rtl/>
          <w:lang/>
        </w:rPr>
        <w:t>الساعة</w:t>
      </w:r>
      <w:r w:rsidRPr="00A444EC">
        <w:rPr>
          <w:rStyle w:val="hps"/>
          <w:rFonts w:hint="cs"/>
          <w:rtl/>
          <w:lang/>
        </w:rPr>
        <w:t xml:space="preserve"> 05/12</w:t>
      </w:r>
      <w:r w:rsidRPr="00A444EC">
        <w:rPr>
          <w:rFonts w:hint="cs"/>
          <w:rtl/>
          <w:lang/>
        </w:rPr>
        <w:t xml:space="preserve">. وقام </w:t>
      </w:r>
      <w:r w:rsidRPr="00A444EC">
        <w:rPr>
          <w:rStyle w:val="hps"/>
          <w:rtl/>
          <w:lang/>
        </w:rPr>
        <w:t>ال</w:t>
      </w:r>
      <w:r w:rsidRPr="00A444EC">
        <w:rPr>
          <w:rStyle w:val="hps"/>
          <w:rFonts w:hint="cs"/>
          <w:rtl/>
          <w:lang/>
        </w:rPr>
        <w:t>موظف</w:t>
      </w:r>
      <w:r w:rsidRPr="00A444EC">
        <w:rPr>
          <w:rStyle w:val="hps"/>
          <w:rtl/>
          <w:lang/>
        </w:rPr>
        <w:t xml:space="preserve"> </w:t>
      </w:r>
      <w:r w:rsidRPr="00A444EC">
        <w:rPr>
          <w:rStyle w:val="hps"/>
          <w:rFonts w:hint="cs"/>
          <w:rtl/>
          <w:lang/>
        </w:rPr>
        <w:t>المعني بهذه المسائل بإرساله</w:t>
      </w:r>
      <w:r w:rsidRPr="00A444EC">
        <w:rPr>
          <w:rtl/>
          <w:lang/>
        </w:rPr>
        <w:t xml:space="preserve"> </w:t>
      </w:r>
      <w:r w:rsidRPr="00A444EC">
        <w:rPr>
          <w:rStyle w:val="hps"/>
          <w:rtl/>
          <w:lang/>
        </w:rPr>
        <w:t>فورا</w:t>
      </w:r>
      <w:r w:rsidRPr="00A444EC">
        <w:rPr>
          <w:rStyle w:val="hps"/>
          <w:rFonts w:hint="cs"/>
          <w:rtl/>
          <w:lang/>
        </w:rPr>
        <w:t>ً (في الساعة 10/12) إلى وزارة الخارجية (وحدة حقوق الإنسان)</w:t>
      </w:r>
      <w:r w:rsidRPr="00A444EC">
        <w:rPr>
          <w:rtl/>
          <w:lang/>
        </w:rPr>
        <w:t xml:space="preserve"> </w:t>
      </w:r>
      <w:r w:rsidRPr="00A444EC">
        <w:rPr>
          <w:rStyle w:val="hps"/>
          <w:rtl/>
          <w:lang/>
        </w:rPr>
        <w:t>في</w:t>
      </w:r>
      <w:r w:rsidRPr="00A444EC">
        <w:rPr>
          <w:rtl/>
          <w:lang/>
        </w:rPr>
        <w:t xml:space="preserve"> </w:t>
      </w:r>
      <w:r w:rsidRPr="00A444EC">
        <w:rPr>
          <w:rStyle w:val="hps"/>
          <w:rtl/>
          <w:lang/>
        </w:rPr>
        <w:t>برلين</w:t>
      </w:r>
      <w:r w:rsidRPr="00A444EC">
        <w:rPr>
          <w:rtl/>
          <w:lang/>
        </w:rPr>
        <w:t xml:space="preserve"> </w:t>
      </w:r>
      <w:r w:rsidRPr="00A444EC">
        <w:rPr>
          <w:rStyle w:val="hps"/>
          <w:rtl/>
          <w:lang/>
        </w:rPr>
        <w:t>عن طريق البريد</w:t>
      </w:r>
      <w:r w:rsidRPr="00A444EC">
        <w:rPr>
          <w:rtl/>
          <w:lang/>
        </w:rPr>
        <w:t xml:space="preserve"> </w:t>
      </w:r>
      <w:r w:rsidRPr="00A444EC">
        <w:rPr>
          <w:rStyle w:val="hps"/>
          <w:rtl/>
          <w:lang/>
        </w:rPr>
        <w:t>الإلكتروني.</w:t>
      </w:r>
      <w:r w:rsidRPr="00A444EC">
        <w:rPr>
          <w:rtl/>
          <w:lang/>
        </w:rPr>
        <w:t xml:space="preserve"> </w:t>
      </w:r>
      <w:r w:rsidRPr="00A444EC">
        <w:rPr>
          <w:rFonts w:hint="cs"/>
          <w:rtl/>
          <w:lang/>
        </w:rPr>
        <w:t>وفي هذه المرحلة، نظرت إدارات الوزارة المعنية</w:t>
      </w:r>
      <w:r w:rsidR="0077398F" w:rsidRPr="00A444EC">
        <w:rPr>
          <w:rFonts w:hint="cs"/>
          <w:rtl/>
          <w:lang/>
        </w:rPr>
        <w:t xml:space="preserve"> </w:t>
      </w:r>
      <w:r w:rsidRPr="00A444EC">
        <w:rPr>
          <w:rFonts w:hint="cs"/>
          <w:rtl/>
          <w:lang/>
        </w:rPr>
        <w:t xml:space="preserve">بالقانون الدولي مباشرة </w:t>
      </w:r>
      <w:r w:rsidRPr="00A444EC">
        <w:rPr>
          <w:rStyle w:val="hps"/>
          <w:rFonts w:hint="cs"/>
          <w:rtl/>
          <w:lang/>
        </w:rPr>
        <w:t>في هذه الرسالة.</w:t>
      </w:r>
      <w:r w:rsidRPr="00A444EC">
        <w:rPr>
          <w:rtl/>
          <w:lang/>
        </w:rPr>
        <w:t xml:space="preserve"> </w:t>
      </w:r>
      <w:r w:rsidRPr="00A444EC">
        <w:rPr>
          <w:rStyle w:val="hps"/>
          <w:rFonts w:hint="cs"/>
          <w:rtl/>
          <w:lang/>
        </w:rPr>
        <w:t>و</w:t>
      </w:r>
      <w:r w:rsidRPr="00A444EC">
        <w:rPr>
          <w:rStyle w:val="hps"/>
          <w:rtl/>
          <w:lang/>
        </w:rPr>
        <w:t>أبلغت</w:t>
      </w:r>
      <w:r w:rsidRPr="00A444EC">
        <w:rPr>
          <w:rtl/>
          <w:lang/>
        </w:rPr>
        <w:t xml:space="preserve"> </w:t>
      </w:r>
      <w:r w:rsidRPr="00A444EC">
        <w:rPr>
          <w:rStyle w:val="hps"/>
          <w:rtl/>
          <w:lang/>
        </w:rPr>
        <w:t>وزارة</w:t>
      </w:r>
      <w:r w:rsidRPr="00A444EC">
        <w:rPr>
          <w:rtl/>
          <w:lang/>
        </w:rPr>
        <w:t xml:space="preserve"> </w:t>
      </w:r>
      <w:r w:rsidRPr="00A444EC">
        <w:rPr>
          <w:rStyle w:val="hps"/>
          <w:rtl/>
          <w:lang/>
        </w:rPr>
        <w:t>العدل</w:t>
      </w:r>
      <w:r w:rsidRPr="00A444EC">
        <w:rPr>
          <w:rtl/>
          <w:lang/>
        </w:rPr>
        <w:t xml:space="preserve"> </w:t>
      </w:r>
      <w:r w:rsidRPr="00A444EC">
        <w:rPr>
          <w:rStyle w:val="hps"/>
          <w:rFonts w:hint="cs"/>
          <w:rtl/>
          <w:lang/>
        </w:rPr>
        <w:t>ب</w:t>
      </w:r>
      <w:r w:rsidRPr="00A444EC">
        <w:rPr>
          <w:rStyle w:val="hps"/>
          <w:rtl/>
          <w:lang/>
        </w:rPr>
        <w:t>طلب اللجنة</w:t>
      </w:r>
      <w:r w:rsidRPr="00A444EC">
        <w:rPr>
          <w:rStyle w:val="hps"/>
          <w:rFonts w:hint="cs"/>
          <w:rtl/>
          <w:lang/>
        </w:rPr>
        <w:t xml:space="preserve"> في الساعة</w:t>
      </w:r>
      <w:r w:rsidRPr="00A444EC">
        <w:rPr>
          <w:rStyle w:val="hps"/>
          <w:rFonts w:hint="eastAsia"/>
          <w:rtl/>
          <w:lang/>
        </w:rPr>
        <w:t> </w:t>
      </w:r>
      <w:r w:rsidRPr="00A444EC">
        <w:rPr>
          <w:rStyle w:val="hps"/>
          <w:rFonts w:hint="cs"/>
          <w:rtl/>
          <w:lang/>
        </w:rPr>
        <w:t>39/13</w:t>
      </w:r>
      <w:r w:rsidRPr="00A444EC">
        <w:rPr>
          <w:rtl/>
          <w:lang/>
        </w:rPr>
        <w:t xml:space="preserve">. </w:t>
      </w:r>
      <w:r w:rsidRPr="00A444EC">
        <w:rPr>
          <w:rStyle w:val="hps"/>
          <w:rFonts w:hint="cs"/>
          <w:rtl/>
          <w:lang/>
        </w:rPr>
        <w:t>واتصل الشخص المسؤول على الفور</w:t>
      </w:r>
      <w:r w:rsidRPr="00A444EC">
        <w:rPr>
          <w:rtl/>
          <w:lang/>
        </w:rPr>
        <w:t xml:space="preserve"> </w:t>
      </w:r>
      <w:r w:rsidRPr="00A444EC">
        <w:rPr>
          <w:rFonts w:hint="cs"/>
          <w:rtl/>
          <w:lang/>
        </w:rPr>
        <w:t>ب</w:t>
      </w:r>
      <w:r w:rsidRPr="00A444EC">
        <w:rPr>
          <w:rStyle w:val="hps"/>
          <w:rtl/>
          <w:lang/>
        </w:rPr>
        <w:t>السلطة الإقليمية</w:t>
      </w:r>
      <w:r w:rsidRPr="00A444EC">
        <w:rPr>
          <w:rtl/>
          <w:lang/>
        </w:rPr>
        <w:t xml:space="preserve"> </w:t>
      </w:r>
      <w:r w:rsidRPr="00A444EC">
        <w:rPr>
          <w:rStyle w:val="hps"/>
          <w:rtl/>
          <w:lang/>
        </w:rPr>
        <w:t>المسؤولة عن</w:t>
      </w:r>
      <w:r w:rsidRPr="00A444EC">
        <w:rPr>
          <w:rtl/>
          <w:lang/>
        </w:rPr>
        <w:t xml:space="preserve"> </w:t>
      </w:r>
      <w:r w:rsidRPr="00FA645B">
        <w:rPr>
          <w:rStyle w:val="hps"/>
          <w:spacing w:val="-2"/>
          <w:rtl/>
          <w:lang/>
        </w:rPr>
        <w:t>إجراءات</w:t>
      </w:r>
      <w:r w:rsidR="0077398F" w:rsidRPr="00FA645B">
        <w:rPr>
          <w:rStyle w:val="hps"/>
          <w:rFonts w:hint="cs"/>
          <w:spacing w:val="-2"/>
          <w:rtl/>
          <w:lang/>
        </w:rPr>
        <w:t xml:space="preserve"> </w:t>
      </w:r>
      <w:r w:rsidRPr="00FA645B">
        <w:rPr>
          <w:rStyle w:val="hps"/>
          <w:spacing w:val="-2"/>
          <w:rtl/>
          <w:lang/>
        </w:rPr>
        <w:t>التسليم</w:t>
      </w:r>
      <w:r w:rsidRPr="00FA645B">
        <w:rPr>
          <w:spacing w:val="-2"/>
          <w:rtl/>
          <w:lang/>
        </w:rPr>
        <w:t xml:space="preserve"> </w:t>
      </w:r>
      <w:r w:rsidRPr="00FA645B">
        <w:rPr>
          <w:rStyle w:val="hps"/>
          <w:spacing w:val="-2"/>
          <w:rtl/>
          <w:lang/>
        </w:rPr>
        <w:t>(وزارة</w:t>
      </w:r>
      <w:r w:rsidRPr="00FA645B">
        <w:rPr>
          <w:spacing w:val="-2"/>
          <w:rtl/>
          <w:lang/>
        </w:rPr>
        <w:t xml:space="preserve"> </w:t>
      </w:r>
      <w:r w:rsidRPr="00FA645B">
        <w:rPr>
          <w:rStyle w:val="hps"/>
          <w:spacing w:val="-2"/>
          <w:rtl/>
          <w:lang/>
        </w:rPr>
        <w:t>العدل</w:t>
      </w:r>
      <w:r w:rsidRPr="00FA645B">
        <w:rPr>
          <w:rStyle w:val="hps"/>
          <w:rFonts w:hint="cs"/>
          <w:spacing w:val="-2"/>
          <w:rtl/>
          <w:lang/>
        </w:rPr>
        <w:t xml:space="preserve"> في ولاية</w:t>
      </w:r>
      <w:r w:rsidRPr="00FA645B">
        <w:rPr>
          <w:spacing w:val="-2"/>
          <w:rtl/>
          <w:lang/>
        </w:rPr>
        <w:t xml:space="preserve"> </w:t>
      </w:r>
      <w:r w:rsidRPr="00FA645B">
        <w:rPr>
          <w:rStyle w:val="hps"/>
          <w:spacing w:val="-2"/>
          <w:rtl/>
          <w:lang/>
        </w:rPr>
        <w:t>سار</w:t>
      </w:r>
      <w:r w:rsidRPr="00FA645B">
        <w:rPr>
          <w:spacing w:val="-2"/>
          <w:rtl/>
          <w:lang/>
        </w:rPr>
        <w:t xml:space="preserve">). </w:t>
      </w:r>
      <w:r w:rsidRPr="00FA645B">
        <w:rPr>
          <w:rStyle w:val="hps"/>
          <w:spacing w:val="-2"/>
          <w:rtl/>
          <w:lang/>
        </w:rPr>
        <w:t>وأبلغ</w:t>
      </w:r>
      <w:r w:rsidRPr="00FA645B">
        <w:rPr>
          <w:spacing w:val="-2"/>
          <w:rtl/>
          <w:lang/>
        </w:rPr>
        <w:t xml:space="preserve"> </w:t>
      </w:r>
      <w:r w:rsidRPr="00FA645B">
        <w:rPr>
          <w:rStyle w:val="hps"/>
          <w:rFonts w:hint="cs"/>
          <w:spacing w:val="-2"/>
          <w:rtl/>
          <w:lang/>
        </w:rPr>
        <w:t xml:space="preserve">الشخص المذكور </w:t>
      </w:r>
      <w:r w:rsidRPr="00FA645B">
        <w:rPr>
          <w:rFonts w:hint="cs"/>
          <w:spacing w:val="-2"/>
          <w:rtl/>
          <w:lang/>
        </w:rPr>
        <w:t>ب</w:t>
      </w:r>
      <w:r w:rsidRPr="00FA645B">
        <w:rPr>
          <w:rStyle w:val="hps"/>
          <w:spacing w:val="-2"/>
          <w:rtl/>
          <w:lang/>
        </w:rPr>
        <w:t>أن السيد</w:t>
      </w:r>
      <w:r w:rsidRPr="00FA645B">
        <w:rPr>
          <w:spacing w:val="-2"/>
          <w:rtl/>
          <w:lang/>
        </w:rPr>
        <w:t xml:space="preserve"> </w:t>
      </w:r>
      <w:r w:rsidRPr="00FA645B">
        <w:rPr>
          <w:rStyle w:val="hps"/>
          <w:rFonts w:hint="cs"/>
          <w:spacing w:val="-2"/>
          <w:rtl/>
          <w:lang/>
        </w:rPr>
        <w:t>أنسى عبيشو</w:t>
      </w:r>
      <w:r w:rsidRPr="00FA645B">
        <w:rPr>
          <w:spacing w:val="-2"/>
          <w:rtl/>
          <w:lang/>
        </w:rPr>
        <w:t xml:space="preserve"> </w:t>
      </w:r>
      <w:r w:rsidRPr="00FA645B">
        <w:rPr>
          <w:rStyle w:val="hps"/>
          <w:spacing w:val="-2"/>
          <w:rtl/>
          <w:lang/>
        </w:rPr>
        <w:t>قد</w:t>
      </w:r>
      <w:r w:rsidRPr="00FA645B">
        <w:rPr>
          <w:spacing w:val="-2"/>
          <w:rtl/>
          <w:lang/>
        </w:rPr>
        <w:t xml:space="preserve"> </w:t>
      </w:r>
      <w:r w:rsidRPr="00FA645B">
        <w:rPr>
          <w:rStyle w:val="hps"/>
          <w:rFonts w:hint="cs"/>
          <w:spacing w:val="-2"/>
          <w:rtl/>
          <w:lang/>
        </w:rPr>
        <w:t>جرى</w:t>
      </w:r>
      <w:r w:rsidRPr="00FA645B">
        <w:rPr>
          <w:spacing w:val="-2"/>
          <w:rtl/>
          <w:lang/>
        </w:rPr>
        <w:t xml:space="preserve"> </w:t>
      </w:r>
      <w:r w:rsidRPr="00FA645B">
        <w:rPr>
          <w:rStyle w:val="hps"/>
          <w:spacing w:val="-2"/>
          <w:rtl/>
          <w:lang/>
        </w:rPr>
        <w:t>تسليمه إلى السلطات التونسية</w:t>
      </w:r>
      <w:r w:rsidRPr="00FA645B">
        <w:rPr>
          <w:spacing w:val="-2"/>
          <w:rtl/>
          <w:lang/>
        </w:rPr>
        <w:t xml:space="preserve"> </w:t>
      </w:r>
      <w:r w:rsidRPr="00FA645B">
        <w:rPr>
          <w:rStyle w:val="hps"/>
          <w:spacing w:val="-2"/>
          <w:rtl/>
          <w:lang/>
        </w:rPr>
        <w:t>في مطار</w:t>
      </w:r>
      <w:r w:rsidRPr="00FA645B">
        <w:rPr>
          <w:spacing w:val="-2"/>
          <w:rtl/>
          <w:lang/>
        </w:rPr>
        <w:t xml:space="preserve"> </w:t>
      </w:r>
      <w:r w:rsidRPr="00FA645B">
        <w:rPr>
          <w:rStyle w:val="hps"/>
          <w:spacing w:val="-2"/>
          <w:rtl/>
          <w:lang/>
        </w:rPr>
        <w:t>فرانكفورت</w:t>
      </w:r>
      <w:r w:rsidRPr="00FA645B">
        <w:rPr>
          <w:spacing w:val="-2"/>
          <w:rtl/>
          <w:lang/>
        </w:rPr>
        <w:t xml:space="preserve"> </w:t>
      </w:r>
      <w:r w:rsidRPr="00FA645B">
        <w:rPr>
          <w:rStyle w:val="hps"/>
          <w:spacing w:val="-2"/>
          <w:rtl/>
          <w:lang/>
        </w:rPr>
        <w:t>في ح</w:t>
      </w:r>
      <w:r w:rsidRPr="00FA645B">
        <w:rPr>
          <w:rStyle w:val="hps"/>
          <w:rFonts w:hint="cs"/>
          <w:spacing w:val="-2"/>
          <w:rtl/>
          <w:lang/>
        </w:rPr>
        <w:t>دود الساعة 15/13.</w:t>
      </w:r>
    </w:p>
    <w:p w:rsidR="005E110C" w:rsidRPr="00A444EC" w:rsidRDefault="005E110C" w:rsidP="00B23BB0">
      <w:pPr>
        <w:pStyle w:val="SingleTxtGA"/>
        <w:rPr>
          <w:rStyle w:val="hps"/>
          <w:rtl/>
          <w:lang/>
        </w:rPr>
      </w:pPr>
      <w:r w:rsidRPr="00A444EC">
        <w:rPr>
          <w:rtl/>
          <w:lang w:val="fr-CH"/>
        </w:rPr>
        <w:t>4-5</w:t>
      </w:r>
      <w:r w:rsidRPr="00A444EC">
        <w:rPr>
          <w:rtl/>
          <w:lang w:val="fr-CH"/>
        </w:rPr>
        <w:tab/>
      </w:r>
      <w:r w:rsidRPr="00A444EC">
        <w:rPr>
          <w:rFonts w:hint="cs"/>
          <w:rtl/>
          <w:lang w:val="fr-CH"/>
        </w:rPr>
        <w:t xml:space="preserve">وترى </w:t>
      </w:r>
      <w:r w:rsidRPr="00A444EC">
        <w:rPr>
          <w:rStyle w:val="hps"/>
          <w:rtl/>
          <w:lang/>
        </w:rPr>
        <w:t>الدولة الطرف</w:t>
      </w:r>
      <w:r w:rsidRPr="00A444EC">
        <w:rPr>
          <w:rtl/>
          <w:lang/>
        </w:rPr>
        <w:t xml:space="preserve"> </w:t>
      </w:r>
      <w:r w:rsidRPr="00A444EC">
        <w:rPr>
          <w:rStyle w:val="hps"/>
          <w:rtl/>
          <w:lang/>
        </w:rPr>
        <w:t>أن</w:t>
      </w:r>
      <w:r w:rsidRPr="00A444EC">
        <w:rPr>
          <w:rStyle w:val="hps"/>
          <w:rFonts w:hint="cs"/>
          <w:rtl/>
          <w:lang/>
        </w:rPr>
        <w:t xml:space="preserve"> </w:t>
      </w:r>
      <w:r w:rsidRPr="00A444EC">
        <w:rPr>
          <w:rStyle w:val="hps"/>
          <w:rtl/>
          <w:lang/>
        </w:rPr>
        <w:t xml:space="preserve">الوقت الذي </w:t>
      </w:r>
      <w:r w:rsidRPr="00A444EC">
        <w:rPr>
          <w:rStyle w:val="hps"/>
          <w:rFonts w:hint="cs"/>
          <w:rtl/>
          <w:lang/>
        </w:rPr>
        <w:t>ا</w:t>
      </w:r>
      <w:r w:rsidRPr="00A444EC">
        <w:rPr>
          <w:rStyle w:val="hps"/>
          <w:rtl/>
          <w:lang/>
        </w:rPr>
        <w:t xml:space="preserve">ستغرقه </w:t>
      </w:r>
      <w:r w:rsidRPr="00A444EC">
        <w:rPr>
          <w:rtl/>
          <w:lang/>
        </w:rPr>
        <w:t xml:space="preserve">نقل </w:t>
      </w:r>
      <w:r w:rsidRPr="00A444EC">
        <w:rPr>
          <w:rStyle w:val="hps"/>
          <w:rtl/>
          <w:lang/>
        </w:rPr>
        <w:t>طلب اللجنة</w:t>
      </w:r>
      <w:r w:rsidRPr="00A444EC">
        <w:rPr>
          <w:rtl/>
          <w:lang/>
        </w:rPr>
        <w:t xml:space="preserve"> </w:t>
      </w:r>
      <w:r w:rsidRPr="00A444EC">
        <w:rPr>
          <w:rStyle w:val="hps"/>
          <w:rtl/>
          <w:lang/>
        </w:rPr>
        <w:t>باتخاذ تدابير مؤقتة</w:t>
      </w:r>
      <w:r w:rsidRPr="00A444EC">
        <w:rPr>
          <w:rtl/>
          <w:lang/>
        </w:rPr>
        <w:t xml:space="preserve"> </w:t>
      </w:r>
      <w:r w:rsidRPr="00A444EC">
        <w:rPr>
          <w:rStyle w:val="hps"/>
          <w:rFonts w:hint="cs"/>
          <w:rtl/>
          <w:lang/>
        </w:rPr>
        <w:t>لصالح</w:t>
      </w:r>
      <w:r w:rsidRPr="00A444EC">
        <w:rPr>
          <w:rStyle w:val="hps"/>
          <w:rtl/>
          <w:lang/>
        </w:rPr>
        <w:t xml:space="preserve"> السيد</w:t>
      </w:r>
      <w:r w:rsidRPr="00A444EC">
        <w:rPr>
          <w:rtl/>
          <w:lang/>
        </w:rPr>
        <w:t xml:space="preserve"> </w:t>
      </w:r>
      <w:r w:rsidRPr="00A444EC">
        <w:rPr>
          <w:rStyle w:val="hps"/>
          <w:rFonts w:hint="cs"/>
          <w:rtl/>
          <w:lang/>
        </w:rPr>
        <w:t>أنسي عبيشو كان معقولاً تماماً</w:t>
      </w:r>
      <w:r w:rsidRPr="00A444EC">
        <w:rPr>
          <w:rtl/>
          <w:lang/>
        </w:rPr>
        <w:t xml:space="preserve">، </w:t>
      </w:r>
      <w:r w:rsidRPr="00A444EC">
        <w:rPr>
          <w:rStyle w:val="hps"/>
          <w:rFonts w:hint="cs"/>
          <w:rtl/>
          <w:lang/>
        </w:rPr>
        <w:t xml:space="preserve">بالنظر إلى </w:t>
      </w:r>
      <w:r w:rsidRPr="00A444EC">
        <w:rPr>
          <w:rStyle w:val="hps"/>
          <w:rtl/>
          <w:lang/>
        </w:rPr>
        <w:t>ال</w:t>
      </w:r>
      <w:r w:rsidRPr="00A444EC">
        <w:rPr>
          <w:rStyle w:val="hps"/>
          <w:rFonts w:hint="cs"/>
          <w:rtl/>
          <w:lang/>
        </w:rPr>
        <w:t>مدة</w:t>
      </w:r>
      <w:r w:rsidRPr="00A444EC">
        <w:rPr>
          <w:rStyle w:val="hps"/>
          <w:rtl/>
          <w:lang/>
        </w:rPr>
        <w:t xml:space="preserve"> اللازم</w:t>
      </w:r>
      <w:r w:rsidRPr="00A444EC">
        <w:rPr>
          <w:rStyle w:val="hps"/>
          <w:rFonts w:hint="cs"/>
          <w:rtl/>
          <w:lang/>
        </w:rPr>
        <w:t>ة</w:t>
      </w:r>
      <w:r w:rsidRPr="00A444EC">
        <w:rPr>
          <w:rtl/>
          <w:lang/>
        </w:rPr>
        <w:t xml:space="preserve"> </w:t>
      </w:r>
      <w:r w:rsidRPr="00A444EC">
        <w:rPr>
          <w:rStyle w:val="hps"/>
          <w:rtl/>
          <w:lang/>
        </w:rPr>
        <w:t>لتنبيه</w:t>
      </w:r>
      <w:r w:rsidRPr="00A444EC">
        <w:rPr>
          <w:rtl/>
          <w:lang/>
        </w:rPr>
        <w:t xml:space="preserve"> </w:t>
      </w:r>
      <w:r w:rsidRPr="00A444EC">
        <w:rPr>
          <w:rStyle w:val="hps"/>
          <w:rtl/>
          <w:lang/>
        </w:rPr>
        <w:t>السلطات</w:t>
      </w:r>
      <w:r w:rsidRPr="00A444EC">
        <w:rPr>
          <w:rtl/>
          <w:lang/>
        </w:rPr>
        <w:t xml:space="preserve"> </w:t>
      </w:r>
      <w:r w:rsidRPr="00A444EC">
        <w:rPr>
          <w:rStyle w:val="hps"/>
          <w:rtl/>
          <w:lang/>
        </w:rPr>
        <w:t>المختصة</w:t>
      </w:r>
      <w:r w:rsidRPr="00A444EC">
        <w:rPr>
          <w:rtl/>
          <w:lang/>
        </w:rPr>
        <w:t xml:space="preserve"> </w:t>
      </w:r>
      <w:r w:rsidRPr="00A444EC">
        <w:rPr>
          <w:rStyle w:val="hps"/>
          <w:rFonts w:hint="cs"/>
          <w:rtl/>
          <w:lang/>
        </w:rPr>
        <w:t xml:space="preserve">في </w:t>
      </w:r>
      <w:r w:rsidRPr="00A444EC">
        <w:rPr>
          <w:rStyle w:val="hps"/>
          <w:rtl/>
          <w:lang/>
        </w:rPr>
        <w:t>الدولة</w:t>
      </w:r>
      <w:r w:rsidRPr="00A444EC">
        <w:rPr>
          <w:rStyle w:val="hps"/>
          <w:rFonts w:hint="cs"/>
          <w:rtl/>
          <w:lang/>
        </w:rPr>
        <w:t xml:space="preserve"> الاتحادية</w:t>
      </w:r>
      <w:r w:rsidRPr="00A444EC">
        <w:rPr>
          <w:rtl/>
          <w:lang/>
        </w:rPr>
        <w:t xml:space="preserve">. </w:t>
      </w:r>
      <w:r w:rsidRPr="00A444EC">
        <w:rPr>
          <w:rStyle w:val="hps"/>
          <w:rtl/>
          <w:lang/>
        </w:rPr>
        <w:t>وفي ظل هذه الظروف</w:t>
      </w:r>
      <w:r w:rsidRPr="00A444EC">
        <w:rPr>
          <w:rtl/>
          <w:lang/>
        </w:rPr>
        <w:t xml:space="preserve">، </w:t>
      </w:r>
      <w:r w:rsidRPr="00A444EC">
        <w:rPr>
          <w:rStyle w:val="hps"/>
          <w:rFonts w:hint="cs"/>
          <w:rtl/>
          <w:lang/>
        </w:rPr>
        <w:t xml:space="preserve">كان </w:t>
      </w:r>
      <w:r w:rsidRPr="00A444EC">
        <w:rPr>
          <w:rStyle w:val="hps"/>
          <w:rtl/>
          <w:lang/>
        </w:rPr>
        <w:t>الوقت</w:t>
      </w:r>
      <w:r w:rsidRPr="00A444EC">
        <w:rPr>
          <w:rtl/>
          <w:lang/>
        </w:rPr>
        <w:t xml:space="preserve"> </w:t>
      </w:r>
      <w:r w:rsidRPr="00A444EC">
        <w:rPr>
          <w:rStyle w:val="hps"/>
          <w:rFonts w:hint="cs"/>
          <w:rtl/>
          <w:lang/>
        </w:rPr>
        <w:t>المتاح لاستجابة</w:t>
      </w:r>
      <w:r w:rsidRPr="00A444EC">
        <w:rPr>
          <w:rtl/>
          <w:lang/>
        </w:rPr>
        <w:t xml:space="preserve"> </w:t>
      </w:r>
      <w:r w:rsidRPr="00A444EC">
        <w:rPr>
          <w:rStyle w:val="hps"/>
          <w:rtl/>
          <w:lang/>
        </w:rPr>
        <w:t>الدولة الطرف</w:t>
      </w:r>
      <w:r w:rsidRPr="00A444EC">
        <w:rPr>
          <w:rtl/>
          <w:lang/>
        </w:rPr>
        <w:t xml:space="preserve"> </w:t>
      </w:r>
      <w:r w:rsidRPr="00A444EC">
        <w:rPr>
          <w:rStyle w:val="hps"/>
          <w:rFonts w:hint="cs"/>
          <w:rtl/>
          <w:lang/>
        </w:rPr>
        <w:t>قصيراً جداً</w:t>
      </w:r>
      <w:r w:rsidRPr="00A444EC">
        <w:rPr>
          <w:rtl/>
          <w:lang/>
        </w:rPr>
        <w:t xml:space="preserve">. </w:t>
      </w:r>
      <w:r w:rsidRPr="00A444EC">
        <w:rPr>
          <w:rStyle w:val="hps"/>
          <w:rtl/>
          <w:lang/>
        </w:rPr>
        <w:t>والدولة الطرف</w:t>
      </w:r>
      <w:r w:rsidRPr="00A444EC">
        <w:rPr>
          <w:rtl/>
          <w:lang/>
        </w:rPr>
        <w:t xml:space="preserve"> </w:t>
      </w:r>
      <w:r w:rsidRPr="00A444EC">
        <w:rPr>
          <w:rStyle w:val="hps"/>
          <w:rFonts w:hint="cs"/>
          <w:rtl/>
          <w:lang/>
        </w:rPr>
        <w:t xml:space="preserve">مقتنعة بضرورة التصرف الفوري </w:t>
      </w:r>
      <w:r w:rsidRPr="00A444EC">
        <w:rPr>
          <w:rStyle w:val="hps"/>
          <w:rtl/>
          <w:lang/>
        </w:rPr>
        <w:t xml:space="preserve">في </w:t>
      </w:r>
      <w:r w:rsidRPr="00A444EC">
        <w:rPr>
          <w:rStyle w:val="hps"/>
          <w:rFonts w:hint="cs"/>
          <w:rtl/>
          <w:lang/>
        </w:rPr>
        <w:t>سياق المادة</w:t>
      </w:r>
      <w:r w:rsidRPr="00A444EC">
        <w:rPr>
          <w:rtl/>
          <w:lang/>
        </w:rPr>
        <w:t xml:space="preserve"> </w:t>
      </w:r>
      <w:r w:rsidRPr="00A444EC">
        <w:rPr>
          <w:rStyle w:val="hps"/>
          <w:rtl/>
          <w:lang/>
        </w:rPr>
        <w:t>3 من الاتفاقية</w:t>
      </w:r>
      <w:r w:rsidRPr="00A444EC">
        <w:rPr>
          <w:rStyle w:val="hps"/>
          <w:rFonts w:hint="cs"/>
          <w:rtl/>
          <w:lang/>
        </w:rPr>
        <w:t>،</w:t>
      </w:r>
      <w:r w:rsidRPr="00A444EC">
        <w:rPr>
          <w:rtl/>
          <w:lang/>
        </w:rPr>
        <w:t xml:space="preserve"> </w:t>
      </w:r>
      <w:r w:rsidRPr="00A444EC">
        <w:rPr>
          <w:rStyle w:val="hps"/>
          <w:rtl/>
          <w:lang/>
        </w:rPr>
        <w:t>وتؤكد من جديد</w:t>
      </w:r>
      <w:r w:rsidRPr="00A444EC">
        <w:rPr>
          <w:rtl/>
          <w:lang/>
        </w:rPr>
        <w:t xml:space="preserve"> </w:t>
      </w:r>
      <w:r w:rsidRPr="00A444EC">
        <w:rPr>
          <w:rStyle w:val="hps"/>
          <w:rFonts w:hint="cs"/>
          <w:rtl/>
          <w:lang/>
        </w:rPr>
        <w:t xml:space="preserve">عزمها على </w:t>
      </w:r>
      <w:r w:rsidRPr="00A444EC">
        <w:rPr>
          <w:rStyle w:val="hps"/>
          <w:rtl/>
          <w:lang/>
        </w:rPr>
        <w:t>الامتثال</w:t>
      </w:r>
      <w:r w:rsidRPr="00A444EC">
        <w:rPr>
          <w:rtl/>
          <w:lang/>
        </w:rPr>
        <w:t xml:space="preserve"> </w:t>
      </w:r>
      <w:r w:rsidRPr="00A444EC">
        <w:rPr>
          <w:rStyle w:val="hps"/>
          <w:rtl/>
          <w:lang/>
        </w:rPr>
        <w:t>لطلبات</w:t>
      </w:r>
      <w:r w:rsidRPr="00A444EC">
        <w:rPr>
          <w:rtl/>
          <w:lang/>
        </w:rPr>
        <w:t xml:space="preserve"> </w:t>
      </w:r>
      <w:r w:rsidRPr="00A444EC">
        <w:rPr>
          <w:rStyle w:val="hps"/>
          <w:rtl/>
          <w:lang/>
        </w:rPr>
        <w:t>المقرر المعني بالشكاوى</w:t>
      </w:r>
      <w:r w:rsidRPr="00A444EC">
        <w:rPr>
          <w:rtl/>
          <w:lang/>
        </w:rPr>
        <w:t xml:space="preserve"> </w:t>
      </w:r>
      <w:r w:rsidRPr="00A444EC">
        <w:rPr>
          <w:rStyle w:val="hps"/>
          <w:rtl/>
          <w:lang/>
        </w:rPr>
        <w:t>الجديدة والتدابير المؤقتة</w:t>
      </w:r>
      <w:r w:rsidRPr="00A444EC">
        <w:rPr>
          <w:rtl/>
          <w:lang/>
        </w:rPr>
        <w:t xml:space="preserve"> </w:t>
      </w:r>
      <w:r w:rsidRPr="00A444EC">
        <w:rPr>
          <w:rStyle w:val="hps"/>
          <w:rtl/>
          <w:lang/>
        </w:rPr>
        <w:t>بموجب المادة 108 من</w:t>
      </w:r>
      <w:r w:rsidRPr="00A444EC">
        <w:rPr>
          <w:rtl/>
          <w:lang/>
        </w:rPr>
        <w:t xml:space="preserve"> </w:t>
      </w:r>
      <w:r w:rsidRPr="00A444EC">
        <w:rPr>
          <w:rStyle w:val="hps"/>
          <w:rtl/>
          <w:lang/>
        </w:rPr>
        <w:t>النظام الداخلي للجنة.</w:t>
      </w:r>
    </w:p>
    <w:p w:rsidR="005E110C" w:rsidRPr="00A444EC" w:rsidRDefault="005E110C" w:rsidP="00B23BB0">
      <w:pPr>
        <w:pStyle w:val="SingleTxtGA"/>
        <w:rPr>
          <w:rtl/>
          <w:lang w:val="fr-CH"/>
        </w:rPr>
      </w:pPr>
      <w:r w:rsidRPr="00A444EC">
        <w:rPr>
          <w:rtl/>
          <w:lang w:val="fr-CH"/>
        </w:rPr>
        <w:t>4-6</w:t>
      </w:r>
      <w:r w:rsidRPr="00A444EC">
        <w:rPr>
          <w:rtl/>
          <w:lang w:val="fr-CH"/>
        </w:rPr>
        <w:tab/>
      </w:r>
      <w:r w:rsidRPr="00A444EC">
        <w:rPr>
          <w:rStyle w:val="hps"/>
          <w:rtl/>
          <w:lang/>
        </w:rPr>
        <w:t>وتضيف الدولة</w:t>
      </w:r>
      <w:r w:rsidRPr="00A444EC">
        <w:rPr>
          <w:rtl/>
          <w:lang/>
        </w:rPr>
        <w:t xml:space="preserve"> </w:t>
      </w:r>
      <w:r w:rsidRPr="00A444EC">
        <w:rPr>
          <w:rStyle w:val="hps"/>
          <w:rtl/>
          <w:lang/>
        </w:rPr>
        <w:t>الطرف أن البلاغ</w:t>
      </w:r>
      <w:r w:rsidRPr="00A444EC">
        <w:rPr>
          <w:rtl/>
          <w:lang/>
        </w:rPr>
        <w:t xml:space="preserve"> </w:t>
      </w:r>
      <w:r w:rsidRPr="00A444EC">
        <w:rPr>
          <w:rStyle w:val="hps"/>
          <w:rtl/>
          <w:lang/>
        </w:rPr>
        <w:t>غير مقبول</w:t>
      </w:r>
      <w:r w:rsidRPr="00A444EC">
        <w:rPr>
          <w:rtl/>
          <w:lang/>
        </w:rPr>
        <w:t xml:space="preserve"> </w:t>
      </w:r>
      <w:r w:rsidRPr="00A444EC">
        <w:rPr>
          <w:rStyle w:val="hps"/>
          <w:rFonts w:hint="cs"/>
          <w:rtl/>
          <w:lang/>
        </w:rPr>
        <w:t xml:space="preserve">مبدئياً </w:t>
      </w:r>
      <w:r w:rsidRPr="00A444EC">
        <w:rPr>
          <w:rStyle w:val="hps"/>
          <w:rtl/>
          <w:lang/>
        </w:rPr>
        <w:t>بموجب الفقرة</w:t>
      </w:r>
      <w:r w:rsidRPr="00A444EC">
        <w:rPr>
          <w:rtl/>
          <w:lang/>
        </w:rPr>
        <w:t xml:space="preserve"> </w:t>
      </w:r>
      <w:r w:rsidRPr="00A444EC">
        <w:rPr>
          <w:rStyle w:val="hps"/>
          <w:rtl/>
          <w:lang/>
        </w:rPr>
        <w:t>5(</w:t>
      </w:r>
      <w:r w:rsidRPr="00A444EC">
        <w:rPr>
          <w:rtl/>
          <w:lang/>
        </w:rPr>
        <w:t xml:space="preserve">أ) من </w:t>
      </w:r>
      <w:r w:rsidRPr="00A444EC">
        <w:rPr>
          <w:rStyle w:val="hps"/>
          <w:rtl/>
          <w:lang/>
        </w:rPr>
        <w:t>المادة</w:t>
      </w:r>
      <w:r w:rsidRPr="00A444EC">
        <w:rPr>
          <w:rStyle w:val="hps"/>
          <w:rFonts w:hint="cs"/>
          <w:rtl/>
          <w:lang/>
        </w:rPr>
        <w:t> </w:t>
      </w:r>
      <w:r w:rsidRPr="00A444EC">
        <w:rPr>
          <w:rStyle w:val="hps"/>
          <w:rtl/>
          <w:lang/>
        </w:rPr>
        <w:t>22</w:t>
      </w:r>
      <w:r w:rsidRPr="00A444EC">
        <w:rPr>
          <w:rFonts w:hint="cs"/>
          <w:rtl/>
          <w:lang/>
        </w:rPr>
        <w:t xml:space="preserve"> من </w:t>
      </w:r>
      <w:r w:rsidRPr="00A444EC">
        <w:rPr>
          <w:rStyle w:val="hps"/>
          <w:rtl/>
          <w:lang/>
        </w:rPr>
        <w:t>الاتفاقية</w:t>
      </w:r>
      <w:r w:rsidRPr="00A444EC">
        <w:rPr>
          <w:vertAlign w:val="superscript"/>
          <w:rtl/>
          <w:lang w:val="fr-CH"/>
        </w:rPr>
        <w:t>(</w:t>
      </w:r>
      <w:r w:rsidRPr="00A444EC">
        <w:rPr>
          <w:rStyle w:val="FootnoteReference"/>
          <w:rtl/>
          <w:lang w:val="fr-CH"/>
        </w:rPr>
        <w:footnoteReference w:id="135"/>
      </w:r>
      <w:r w:rsidRPr="00A444EC">
        <w:rPr>
          <w:vertAlign w:val="superscript"/>
          <w:rtl/>
          <w:lang w:val="fr-CH"/>
        </w:rPr>
        <w:t>)</w:t>
      </w:r>
      <w:r w:rsidRPr="00A444EC">
        <w:rPr>
          <w:rStyle w:val="hps"/>
          <w:rtl/>
          <w:lang/>
        </w:rPr>
        <w:t>، لأن</w:t>
      </w:r>
      <w:r w:rsidRPr="00A444EC">
        <w:rPr>
          <w:rtl/>
          <w:lang/>
        </w:rPr>
        <w:t xml:space="preserve"> </w:t>
      </w:r>
      <w:r w:rsidRPr="00A444EC">
        <w:rPr>
          <w:rStyle w:val="hps"/>
          <w:rtl/>
          <w:lang/>
        </w:rPr>
        <w:t>السيد</w:t>
      </w:r>
      <w:r w:rsidRPr="00A444EC">
        <w:rPr>
          <w:rtl/>
          <w:lang/>
        </w:rPr>
        <w:t xml:space="preserve"> </w:t>
      </w:r>
      <w:r w:rsidRPr="00A444EC">
        <w:rPr>
          <w:rStyle w:val="hps"/>
          <w:rFonts w:hint="cs"/>
          <w:rtl/>
          <w:lang/>
        </w:rPr>
        <w:t>أنسى عبيشو</w:t>
      </w:r>
      <w:r w:rsidRPr="00A444EC">
        <w:rPr>
          <w:rtl/>
          <w:lang/>
        </w:rPr>
        <w:t xml:space="preserve"> </w:t>
      </w:r>
      <w:r w:rsidRPr="00A444EC">
        <w:rPr>
          <w:rStyle w:val="hps"/>
          <w:rtl/>
          <w:lang/>
        </w:rPr>
        <w:t xml:space="preserve">قدم </w:t>
      </w:r>
      <w:r w:rsidRPr="00A444EC">
        <w:rPr>
          <w:rStyle w:val="hps"/>
          <w:rFonts w:hint="cs"/>
          <w:rtl/>
          <w:lang/>
        </w:rPr>
        <w:t xml:space="preserve">شكوى </w:t>
      </w:r>
      <w:r w:rsidRPr="00A444EC">
        <w:rPr>
          <w:rtl/>
          <w:lang/>
        </w:rPr>
        <w:t xml:space="preserve">إلى </w:t>
      </w:r>
      <w:r w:rsidRPr="00A444EC">
        <w:rPr>
          <w:rStyle w:val="hps"/>
          <w:rtl/>
          <w:lang/>
        </w:rPr>
        <w:t>المحكمة</w:t>
      </w:r>
      <w:r w:rsidRPr="00A444EC">
        <w:rPr>
          <w:rtl/>
          <w:lang/>
        </w:rPr>
        <w:t xml:space="preserve"> </w:t>
      </w:r>
      <w:r w:rsidRPr="00A444EC">
        <w:rPr>
          <w:rStyle w:val="hps"/>
          <w:rtl/>
          <w:lang/>
        </w:rPr>
        <w:t>الأوروبية لحقوق</w:t>
      </w:r>
      <w:r w:rsidRPr="00A444EC">
        <w:rPr>
          <w:rtl/>
          <w:lang/>
        </w:rPr>
        <w:t xml:space="preserve"> </w:t>
      </w:r>
      <w:r w:rsidRPr="00A444EC">
        <w:rPr>
          <w:rStyle w:val="hps"/>
          <w:rtl/>
          <w:lang/>
        </w:rPr>
        <w:t>الإنسان</w:t>
      </w:r>
      <w:r w:rsidRPr="00A444EC">
        <w:rPr>
          <w:rtl/>
          <w:lang/>
        </w:rPr>
        <w:t xml:space="preserve"> </w:t>
      </w:r>
      <w:r w:rsidRPr="00A444EC">
        <w:rPr>
          <w:rStyle w:val="hps"/>
          <w:rtl/>
          <w:lang/>
        </w:rPr>
        <w:t>بشأن الأحداث نفسها</w:t>
      </w:r>
      <w:r w:rsidRPr="00A444EC">
        <w:rPr>
          <w:rtl/>
          <w:lang/>
        </w:rPr>
        <w:t xml:space="preserve">. </w:t>
      </w:r>
      <w:r w:rsidRPr="00A444EC">
        <w:rPr>
          <w:rStyle w:val="hps"/>
          <w:rtl/>
          <w:lang/>
        </w:rPr>
        <w:t>وعلاوة على ذلك</w:t>
      </w:r>
      <w:r w:rsidRPr="00A444EC">
        <w:rPr>
          <w:rtl/>
          <w:lang/>
        </w:rPr>
        <w:t xml:space="preserve">، </w:t>
      </w:r>
      <w:r w:rsidRPr="00A444EC">
        <w:rPr>
          <w:rStyle w:val="hps"/>
          <w:rFonts w:hint="cs"/>
          <w:rtl/>
          <w:lang/>
        </w:rPr>
        <w:t>فقد رفضت هذه</w:t>
      </w:r>
      <w:r w:rsidRPr="00A444EC">
        <w:rPr>
          <w:rStyle w:val="hps"/>
          <w:rtl/>
          <w:lang/>
        </w:rPr>
        <w:t xml:space="preserve"> المحكمة</w:t>
      </w:r>
      <w:r w:rsidRPr="00A444EC">
        <w:rPr>
          <w:rtl/>
          <w:lang/>
        </w:rPr>
        <w:t xml:space="preserve"> </w:t>
      </w:r>
      <w:r w:rsidRPr="00A444EC">
        <w:rPr>
          <w:rStyle w:val="hps"/>
          <w:rtl/>
          <w:lang/>
        </w:rPr>
        <w:t>طلبه</w:t>
      </w:r>
      <w:r w:rsidRPr="00A444EC">
        <w:rPr>
          <w:rtl/>
          <w:lang/>
        </w:rPr>
        <w:t xml:space="preserve"> </w:t>
      </w:r>
      <w:r w:rsidRPr="00A444EC">
        <w:rPr>
          <w:rStyle w:val="hps"/>
          <w:rFonts w:hint="cs"/>
          <w:rtl/>
          <w:lang/>
        </w:rPr>
        <w:t>ب</w:t>
      </w:r>
      <w:r w:rsidRPr="00A444EC">
        <w:rPr>
          <w:rStyle w:val="hps"/>
          <w:rtl/>
          <w:lang/>
        </w:rPr>
        <w:t>اتخاذ تدابير مؤقتة</w:t>
      </w:r>
      <w:r w:rsidRPr="00A444EC">
        <w:rPr>
          <w:rtl/>
          <w:lang/>
        </w:rPr>
        <w:t xml:space="preserve">. </w:t>
      </w:r>
      <w:r w:rsidRPr="00A444EC">
        <w:rPr>
          <w:rStyle w:val="hps"/>
          <w:rtl/>
          <w:lang/>
        </w:rPr>
        <w:t>و</w:t>
      </w:r>
      <w:r w:rsidRPr="00A444EC">
        <w:rPr>
          <w:rStyle w:val="hps"/>
          <w:rFonts w:hint="cs"/>
          <w:rtl/>
          <w:lang/>
        </w:rPr>
        <w:t xml:space="preserve">قد </w:t>
      </w:r>
      <w:r w:rsidRPr="00A444EC">
        <w:rPr>
          <w:rStyle w:val="hps"/>
          <w:rtl/>
          <w:lang/>
        </w:rPr>
        <w:t>استند</w:t>
      </w:r>
      <w:r w:rsidRPr="00A444EC">
        <w:rPr>
          <w:rStyle w:val="hps"/>
          <w:rFonts w:hint="cs"/>
          <w:rtl/>
          <w:lang/>
        </w:rPr>
        <w:t xml:space="preserve">ت هذه الشكوى </w:t>
      </w:r>
      <w:r w:rsidRPr="00A444EC">
        <w:rPr>
          <w:rtl/>
          <w:lang/>
        </w:rPr>
        <w:t xml:space="preserve">إلى </w:t>
      </w:r>
      <w:r w:rsidRPr="00A444EC">
        <w:rPr>
          <w:rStyle w:val="hps"/>
          <w:rFonts w:hint="cs"/>
          <w:rtl/>
          <w:lang/>
        </w:rPr>
        <w:t>نفس الوقائع التي أثيرت أمام</w:t>
      </w:r>
      <w:r w:rsidRPr="00A444EC">
        <w:rPr>
          <w:rtl/>
          <w:lang/>
        </w:rPr>
        <w:t xml:space="preserve"> </w:t>
      </w:r>
      <w:r w:rsidRPr="00A444EC">
        <w:rPr>
          <w:rStyle w:val="hps"/>
          <w:rtl/>
          <w:lang/>
        </w:rPr>
        <w:t>اللجنة</w:t>
      </w:r>
      <w:r w:rsidRPr="00A444EC">
        <w:rPr>
          <w:rtl/>
          <w:lang/>
        </w:rPr>
        <w:t xml:space="preserve">، </w:t>
      </w:r>
      <w:r w:rsidRPr="00A444EC">
        <w:rPr>
          <w:rStyle w:val="hps"/>
          <w:rtl/>
          <w:lang/>
        </w:rPr>
        <w:t>وهي</w:t>
      </w:r>
      <w:r w:rsidRPr="00A444EC">
        <w:rPr>
          <w:rtl/>
          <w:lang/>
        </w:rPr>
        <w:t xml:space="preserve"> </w:t>
      </w:r>
      <w:r w:rsidRPr="00A444EC">
        <w:rPr>
          <w:rStyle w:val="hps"/>
          <w:rFonts w:hint="cs"/>
          <w:rtl/>
          <w:lang/>
        </w:rPr>
        <w:t>الادعاء بأن</w:t>
      </w:r>
      <w:r w:rsidRPr="00A444EC">
        <w:rPr>
          <w:rStyle w:val="hps"/>
          <w:rtl/>
          <w:lang/>
        </w:rPr>
        <w:t xml:space="preserve"> السيد</w:t>
      </w:r>
      <w:r w:rsidRPr="00A444EC">
        <w:rPr>
          <w:rtl/>
          <w:lang/>
        </w:rPr>
        <w:t xml:space="preserve"> </w:t>
      </w:r>
      <w:r w:rsidRPr="00A444EC">
        <w:rPr>
          <w:rStyle w:val="hps"/>
          <w:rFonts w:hint="cs"/>
          <w:rtl/>
          <w:lang/>
        </w:rPr>
        <w:t>أنسي عبيشو</w:t>
      </w:r>
      <w:r w:rsidRPr="00A444EC">
        <w:rPr>
          <w:rtl/>
          <w:lang/>
        </w:rPr>
        <w:t xml:space="preserve"> </w:t>
      </w:r>
      <w:r w:rsidRPr="00A444EC">
        <w:rPr>
          <w:rStyle w:val="hps"/>
          <w:rtl/>
          <w:lang/>
        </w:rPr>
        <w:t>سيواجه</w:t>
      </w:r>
      <w:r w:rsidRPr="00A444EC">
        <w:rPr>
          <w:rStyle w:val="hps"/>
          <w:rFonts w:hint="cs"/>
          <w:rtl/>
          <w:lang/>
        </w:rPr>
        <w:t xml:space="preserve"> </w:t>
      </w:r>
      <w:r w:rsidRPr="00A444EC">
        <w:rPr>
          <w:rStyle w:val="hps"/>
          <w:rtl/>
          <w:lang/>
        </w:rPr>
        <w:t>خطر تعذيب</w:t>
      </w:r>
      <w:r w:rsidRPr="00A444EC">
        <w:rPr>
          <w:rtl/>
          <w:lang/>
        </w:rPr>
        <w:t xml:space="preserve"> </w:t>
      </w:r>
      <w:r w:rsidRPr="00A444EC">
        <w:rPr>
          <w:rFonts w:hint="cs"/>
          <w:rtl/>
          <w:lang/>
        </w:rPr>
        <w:t xml:space="preserve">حقيقياً </w:t>
      </w:r>
      <w:r w:rsidRPr="00A444EC">
        <w:rPr>
          <w:rStyle w:val="hps"/>
          <w:rFonts w:hint="cs"/>
          <w:rtl/>
          <w:lang/>
        </w:rPr>
        <w:t xml:space="preserve">في حالة عودته إلى </w:t>
      </w:r>
      <w:r w:rsidRPr="00A444EC">
        <w:rPr>
          <w:rStyle w:val="hps"/>
          <w:rtl/>
          <w:lang/>
        </w:rPr>
        <w:t>تونس</w:t>
      </w:r>
      <w:r w:rsidRPr="00A444EC">
        <w:rPr>
          <w:rtl/>
          <w:lang/>
        </w:rPr>
        <w:t xml:space="preserve">. </w:t>
      </w:r>
      <w:r w:rsidRPr="00A444EC">
        <w:rPr>
          <w:rStyle w:val="hps"/>
          <w:rFonts w:hint="cs"/>
          <w:rtl/>
          <w:lang/>
        </w:rPr>
        <w:t xml:space="preserve">واستناد السيد أنسي عبيشو في شكواه إلى </w:t>
      </w:r>
      <w:r w:rsidRPr="00A444EC">
        <w:rPr>
          <w:rStyle w:val="hps"/>
          <w:rtl/>
          <w:lang/>
        </w:rPr>
        <w:t>المحكمة الأوروبية</w:t>
      </w:r>
      <w:r w:rsidRPr="00A444EC">
        <w:rPr>
          <w:rtl/>
          <w:lang/>
        </w:rPr>
        <w:t xml:space="preserve"> </w:t>
      </w:r>
      <w:r w:rsidRPr="00A444EC">
        <w:rPr>
          <w:rStyle w:val="hps"/>
          <w:rtl/>
          <w:lang/>
        </w:rPr>
        <w:t>لحقوق الإنسان</w:t>
      </w:r>
      <w:r w:rsidRPr="00A444EC">
        <w:rPr>
          <w:rStyle w:val="hps"/>
          <w:rFonts w:hint="cs"/>
          <w:rtl/>
          <w:lang/>
        </w:rPr>
        <w:t xml:space="preserve">، إلى وقوع انتهاكات إضافية للاتفاقية </w:t>
      </w:r>
      <w:r w:rsidRPr="00A444EC">
        <w:rPr>
          <w:rStyle w:val="hps"/>
          <w:rtl/>
          <w:lang/>
        </w:rPr>
        <w:t>الأوروبية لحقوق</w:t>
      </w:r>
      <w:r w:rsidRPr="00A444EC">
        <w:rPr>
          <w:rtl/>
          <w:lang/>
        </w:rPr>
        <w:t xml:space="preserve"> </w:t>
      </w:r>
      <w:r w:rsidRPr="00A444EC">
        <w:rPr>
          <w:rStyle w:val="hps"/>
          <w:rtl/>
          <w:lang/>
        </w:rPr>
        <w:t>الإنسان</w:t>
      </w:r>
      <w:r w:rsidRPr="00A444EC">
        <w:rPr>
          <w:rtl/>
          <w:lang/>
        </w:rPr>
        <w:t xml:space="preserve"> </w:t>
      </w:r>
      <w:r w:rsidRPr="00A444EC">
        <w:rPr>
          <w:rStyle w:val="hps"/>
          <w:rFonts w:hint="cs"/>
          <w:rtl/>
          <w:lang/>
        </w:rPr>
        <w:t>ليس له أي تأثير</w:t>
      </w:r>
      <w:r w:rsidRPr="00A444EC">
        <w:rPr>
          <w:rtl/>
          <w:lang/>
        </w:rPr>
        <w:t xml:space="preserve">. </w:t>
      </w:r>
      <w:r w:rsidRPr="00A444EC">
        <w:rPr>
          <w:rStyle w:val="hps"/>
          <w:rtl/>
          <w:lang/>
        </w:rPr>
        <w:t>وتضيف الدولة الطرف</w:t>
      </w:r>
      <w:r w:rsidRPr="00A444EC">
        <w:rPr>
          <w:rtl/>
          <w:lang/>
        </w:rPr>
        <w:t xml:space="preserve"> </w:t>
      </w:r>
      <w:r w:rsidRPr="00A444EC">
        <w:rPr>
          <w:rStyle w:val="hps"/>
          <w:rFonts w:hint="cs"/>
          <w:rtl/>
          <w:lang/>
        </w:rPr>
        <w:t xml:space="preserve">أن استخدام </w:t>
      </w:r>
      <w:r w:rsidRPr="00A444EC">
        <w:rPr>
          <w:rStyle w:val="hps"/>
          <w:rtl/>
          <w:lang/>
        </w:rPr>
        <w:t>التدابير المؤقتة</w:t>
      </w:r>
      <w:r w:rsidRPr="00A444EC">
        <w:rPr>
          <w:rtl/>
          <w:lang/>
        </w:rPr>
        <w:t xml:space="preserve"> </w:t>
      </w:r>
      <w:r w:rsidRPr="00A444EC">
        <w:rPr>
          <w:rFonts w:hint="cs"/>
          <w:rtl/>
          <w:lang/>
        </w:rPr>
        <w:t xml:space="preserve">ينبغي ألا يشمل </w:t>
      </w:r>
      <w:r w:rsidRPr="00A444EC">
        <w:rPr>
          <w:rStyle w:val="hps"/>
          <w:rtl/>
          <w:lang/>
        </w:rPr>
        <w:t>ال</w:t>
      </w:r>
      <w:r w:rsidRPr="00A444EC">
        <w:rPr>
          <w:rStyle w:val="hps"/>
          <w:rFonts w:hint="cs"/>
          <w:rtl/>
          <w:lang/>
        </w:rPr>
        <w:t xml:space="preserve">قضايا </w:t>
      </w:r>
      <w:r w:rsidRPr="00A444EC">
        <w:rPr>
          <w:rStyle w:val="hps"/>
          <w:rtl/>
          <w:lang/>
        </w:rPr>
        <w:t xml:space="preserve">التي </w:t>
      </w:r>
      <w:r w:rsidRPr="00A444EC">
        <w:rPr>
          <w:rStyle w:val="hps"/>
          <w:rFonts w:hint="cs"/>
          <w:rtl/>
          <w:lang/>
        </w:rPr>
        <w:t xml:space="preserve">ينطبق عليها </w:t>
      </w:r>
      <w:r w:rsidRPr="00A444EC">
        <w:rPr>
          <w:rStyle w:val="hps"/>
          <w:rtl/>
          <w:lang/>
        </w:rPr>
        <w:t>بشكل واضح</w:t>
      </w:r>
      <w:r w:rsidRPr="00A444EC">
        <w:rPr>
          <w:rtl/>
          <w:lang/>
        </w:rPr>
        <w:t xml:space="preserve"> </w:t>
      </w:r>
      <w:r w:rsidRPr="00A444EC">
        <w:rPr>
          <w:rStyle w:val="hps"/>
          <w:rFonts w:hint="cs"/>
          <w:rtl/>
          <w:lang/>
        </w:rPr>
        <w:t xml:space="preserve">بسبب عدم المقبولية المذكور في </w:t>
      </w:r>
      <w:r w:rsidRPr="00A444EC">
        <w:rPr>
          <w:rStyle w:val="hps"/>
          <w:rtl/>
          <w:lang/>
        </w:rPr>
        <w:t>الفقرة</w:t>
      </w:r>
      <w:r w:rsidRPr="00A444EC">
        <w:rPr>
          <w:rtl/>
          <w:lang/>
        </w:rPr>
        <w:t xml:space="preserve"> </w:t>
      </w:r>
      <w:r w:rsidRPr="00A444EC">
        <w:rPr>
          <w:rStyle w:val="hps"/>
          <w:rtl/>
          <w:lang/>
        </w:rPr>
        <w:t>5(أ</w:t>
      </w:r>
      <w:r w:rsidRPr="00A444EC">
        <w:rPr>
          <w:rtl/>
          <w:lang/>
        </w:rPr>
        <w:t xml:space="preserve">) من المادة 22 </w:t>
      </w:r>
      <w:r w:rsidRPr="00A444EC">
        <w:rPr>
          <w:rStyle w:val="hps"/>
          <w:rtl/>
          <w:lang/>
        </w:rPr>
        <w:t>من الاتفاقية</w:t>
      </w:r>
      <w:r w:rsidRPr="00A444EC">
        <w:rPr>
          <w:rtl/>
          <w:lang/>
        </w:rPr>
        <w:t>.</w:t>
      </w:r>
    </w:p>
    <w:p w:rsidR="005E110C" w:rsidRPr="00A444EC" w:rsidRDefault="005E110C" w:rsidP="0077398F">
      <w:pPr>
        <w:pStyle w:val="H23GA"/>
        <w:rPr>
          <w:rFonts w:hint="cs"/>
          <w:rtl/>
          <w:lang w:val="fr-CH"/>
        </w:rPr>
      </w:pPr>
      <w:r w:rsidRPr="00A444EC">
        <w:rPr>
          <w:rFonts w:hint="cs"/>
          <w:rtl/>
          <w:lang w:val="fr-CH"/>
        </w:rPr>
        <w:tab/>
      </w:r>
      <w:r w:rsidRPr="00A444EC">
        <w:rPr>
          <w:rFonts w:hint="cs"/>
          <w:rtl/>
          <w:lang w:val="fr-CH"/>
        </w:rPr>
        <w:tab/>
        <w:t>تعليقات صاحبة الشكوى على ملاحظات الدولة الطرف</w:t>
      </w:r>
    </w:p>
    <w:p w:rsidR="005E110C" w:rsidRPr="00A444EC" w:rsidRDefault="005E110C" w:rsidP="00FA645B">
      <w:pPr>
        <w:pStyle w:val="SingleTxtGA"/>
        <w:rPr>
          <w:rtl/>
          <w:lang w:val="fr-CH"/>
        </w:rPr>
      </w:pPr>
      <w:r w:rsidRPr="00A444EC">
        <w:rPr>
          <w:rtl/>
          <w:lang w:val="fr-CH"/>
        </w:rPr>
        <w:t>5-1</w:t>
      </w:r>
      <w:r w:rsidRPr="00A444EC">
        <w:rPr>
          <w:rtl/>
          <w:lang w:val="fr-CH"/>
        </w:rPr>
        <w:tab/>
      </w:r>
      <w:r w:rsidRPr="00A444EC">
        <w:rPr>
          <w:rStyle w:val="hps"/>
          <w:rtl/>
          <w:lang/>
        </w:rPr>
        <w:t xml:space="preserve">في 23 </w:t>
      </w:r>
      <w:r w:rsidRPr="00A444EC">
        <w:rPr>
          <w:rStyle w:val="hps"/>
          <w:rFonts w:hint="cs"/>
          <w:rtl/>
          <w:lang/>
        </w:rPr>
        <w:t>كانون الأول/</w:t>
      </w:r>
      <w:r w:rsidRPr="00A444EC">
        <w:rPr>
          <w:rStyle w:val="hps"/>
          <w:rtl/>
          <w:lang/>
        </w:rPr>
        <w:t>ديسمبر</w:t>
      </w:r>
      <w:r w:rsidRPr="00A444EC">
        <w:rPr>
          <w:rtl/>
          <w:lang/>
        </w:rPr>
        <w:t xml:space="preserve"> </w:t>
      </w:r>
      <w:r w:rsidRPr="00A444EC">
        <w:rPr>
          <w:rStyle w:val="hps"/>
          <w:rtl/>
          <w:lang/>
        </w:rPr>
        <w:t>2010،</w:t>
      </w:r>
      <w:r w:rsidRPr="00A444EC">
        <w:rPr>
          <w:rtl/>
          <w:lang/>
        </w:rPr>
        <w:t xml:space="preserve"> </w:t>
      </w:r>
      <w:r w:rsidRPr="00A444EC">
        <w:rPr>
          <w:rStyle w:val="hps"/>
          <w:rFonts w:hint="cs"/>
          <w:rtl/>
          <w:lang/>
        </w:rPr>
        <w:t>قدمت صاحبة</w:t>
      </w:r>
      <w:r w:rsidRPr="00A444EC">
        <w:rPr>
          <w:rStyle w:val="hps"/>
          <w:rtl/>
          <w:lang/>
        </w:rPr>
        <w:t xml:space="preserve"> الشكوى</w:t>
      </w:r>
      <w:r w:rsidRPr="00A444EC">
        <w:rPr>
          <w:rStyle w:val="hps"/>
          <w:rFonts w:hint="cs"/>
          <w:rtl/>
          <w:lang/>
        </w:rPr>
        <w:t xml:space="preserve"> تعليقات</w:t>
      </w:r>
      <w:r w:rsidRPr="00A444EC">
        <w:rPr>
          <w:rtl/>
          <w:lang/>
        </w:rPr>
        <w:t xml:space="preserve"> </w:t>
      </w:r>
      <w:r w:rsidRPr="00A444EC">
        <w:rPr>
          <w:rStyle w:val="hps"/>
          <w:rtl/>
          <w:lang/>
        </w:rPr>
        <w:t>على ملاحظات الدولة</w:t>
      </w:r>
      <w:r w:rsidRPr="00A444EC">
        <w:rPr>
          <w:rtl/>
          <w:lang/>
        </w:rPr>
        <w:t xml:space="preserve"> </w:t>
      </w:r>
      <w:r w:rsidRPr="00A444EC">
        <w:rPr>
          <w:rStyle w:val="hps"/>
          <w:rtl/>
          <w:lang/>
        </w:rPr>
        <w:t>الطرف.</w:t>
      </w:r>
      <w:r w:rsidRPr="00A444EC">
        <w:rPr>
          <w:rtl/>
          <w:lang/>
        </w:rPr>
        <w:t xml:space="preserve"> </w:t>
      </w:r>
      <w:r w:rsidRPr="00A444EC">
        <w:rPr>
          <w:rStyle w:val="hps"/>
          <w:rFonts w:hint="cs"/>
          <w:rtl/>
          <w:lang/>
        </w:rPr>
        <w:t>وهي</w:t>
      </w:r>
      <w:r w:rsidRPr="00A444EC">
        <w:rPr>
          <w:rtl/>
          <w:lang/>
        </w:rPr>
        <w:t xml:space="preserve"> </w:t>
      </w:r>
      <w:r w:rsidRPr="00A444EC">
        <w:rPr>
          <w:rStyle w:val="hps"/>
          <w:rtl/>
          <w:lang/>
        </w:rPr>
        <w:t>ترفض</w:t>
      </w:r>
      <w:r w:rsidRPr="00A444EC">
        <w:rPr>
          <w:rtl/>
          <w:lang/>
        </w:rPr>
        <w:t xml:space="preserve"> </w:t>
      </w:r>
      <w:r w:rsidRPr="00A444EC">
        <w:rPr>
          <w:rStyle w:val="hps"/>
          <w:rtl/>
          <w:lang/>
        </w:rPr>
        <w:t>حجة الدولة الطرف</w:t>
      </w:r>
      <w:r w:rsidRPr="00A444EC">
        <w:rPr>
          <w:rStyle w:val="hps"/>
          <w:rFonts w:hint="cs"/>
          <w:rtl/>
          <w:lang/>
        </w:rPr>
        <w:t xml:space="preserve"> التي تفيد بأنه ينبغي</w:t>
      </w:r>
      <w:r w:rsidRPr="00A444EC">
        <w:rPr>
          <w:rFonts w:hint="cs"/>
          <w:rtl/>
          <w:lang/>
        </w:rPr>
        <w:t xml:space="preserve"> إعلان عدم مقبولية البلاغ بموجب</w:t>
      </w:r>
      <w:r w:rsidRPr="00A444EC">
        <w:rPr>
          <w:rStyle w:val="hps"/>
          <w:rtl/>
          <w:lang/>
        </w:rPr>
        <w:t xml:space="preserve"> الفقرة</w:t>
      </w:r>
      <w:r w:rsidRPr="00A444EC">
        <w:rPr>
          <w:rtl/>
          <w:lang/>
        </w:rPr>
        <w:t xml:space="preserve"> </w:t>
      </w:r>
      <w:r w:rsidRPr="00A444EC">
        <w:rPr>
          <w:rStyle w:val="hps"/>
          <w:rtl/>
          <w:lang/>
        </w:rPr>
        <w:t>5(أ)</w:t>
      </w:r>
      <w:r w:rsidRPr="00A444EC">
        <w:rPr>
          <w:rtl/>
          <w:lang/>
        </w:rPr>
        <w:t xml:space="preserve"> </w:t>
      </w:r>
      <w:r w:rsidRPr="00A444EC">
        <w:rPr>
          <w:rFonts w:hint="cs"/>
          <w:rtl/>
          <w:lang/>
        </w:rPr>
        <w:t>من</w:t>
      </w:r>
      <w:r w:rsidRPr="00A444EC">
        <w:rPr>
          <w:rStyle w:val="hps"/>
          <w:rFonts w:hint="cs"/>
          <w:rtl/>
          <w:lang/>
        </w:rPr>
        <w:t xml:space="preserve"> </w:t>
      </w:r>
      <w:r w:rsidRPr="00A444EC">
        <w:rPr>
          <w:rStyle w:val="hps"/>
          <w:rtl/>
          <w:lang/>
        </w:rPr>
        <w:t>المادة</w:t>
      </w:r>
      <w:r w:rsidRPr="00A444EC">
        <w:rPr>
          <w:rtl/>
          <w:lang/>
        </w:rPr>
        <w:t xml:space="preserve"> </w:t>
      </w:r>
      <w:r w:rsidRPr="00A444EC">
        <w:rPr>
          <w:rStyle w:val="hps"/>
          <w:rtl/>
          <w:lang/>
        </w:rPr>
        <w:t>22</w:t>
      </w:r>
      <w:r w:rsidRPr="00A444EC">
        <w:rPr>
          <w:rtl/>
          <w:lang/>
        </w:rPr>
        <w:t xml:space="preserve"> </w:t>
      </w:r>
      <w:r w:rsidRPr="00A444EC">
        <w:rPr>
          <w:rStyle w:val="hps"/>
          <w:rtl/>
          <w:lang/>
        </w:rPr>
        <w:t>من الاتفاقية</w:t>
      </w:r>
      <w:r w:rsidRPr="00A444EC">
        <w:rPr>
          <w:rtl/>
          <w:lang/>
        </w:rPr>
        <w:t xml:space="preserve"> </w:t>
      </w:r>
      <w:r w:rsidRPr="00A444EC">
        <w:rPr>
          <w:rStyle w:val="hps"/>
          <w:rtl/>
          <w:lang/>
        </w:rPr>
        <w:t>على أساس أن</w:t>
      </w:r>
      <w:r w:rsidRPr="00A444EC">
        <w:rPr>
          <w:rtl/>
          <w:lang/>
        </w:rPr>
        <w:t xml:space="preserve"> </w:t>
      </w:r>
      <w:r w:rsidRPr="00A444EC">
        <w:rPr>
          <w:rStyle w:val="hps"/>
          <w:rtl/>
          <w:lang/>
        </w:rPr>
        <w:t>السيد</w:t>
      </w:r>
      <w:r w:rsidRPr="00A444EC">
        <w:rPr>
          <w:rtl/>
          <w:lang/>
        </w:rPr>
        <w:t xml:space="preserve"> </w:t>
      </w:r>
      <w:r w:rsidRPr="00A444EC">
        <w:rPr>
          <w:rStyle w:val="hps"/>
          <w:rFonts w:hint="cs"/>
          <w:rtl/>
          <w:lang/>
        </w:rPr>
        <w:t>أنسي عبيشو</w:t>
      </w:r>
      <w:r w:rsidRPr="00A444EC">
        <w:rPr>
          <w:rtl/>
          <w:lang/>
        </w:rPr>
        <w:t xml:space="preserve"> </w:t>
      </w:r>
      <w:r w:rsidRPr="00A444EC">
        <w:rPr>
          <w:rStyle w:val="hps"/>
          <w:rFonts w:hint="cs"/>
          <w:rtl/>
          <w:lang/>
        </w:rPr>
        <w:t>قد طلب من</w:t>
      </w:r>
      <w:r w:rsidRPr="00A444EC">
        <w:rPr>
          <w:rStyle w:val="hps"/>
          <w:rtl/>
          <w:lang/>
        </w:rPr>
        <w:t xml:space="preserve"> المحكمة</w:t>
      </w:r>
      <w:r w:rsidRPr="00A444EC">
        <w:rPr>
          <w:rtl/>
          <w:lang/>
        </w:rPr>
        <w:t xml:space="preserve"> </w:t>
      </w:r>
      <w:r w:rsidRPr="00A444EC">
        <w:rPr>
          <w:rStyle w:val="hps"/>
          <w:rtl/>
          <w:lang/>
        </w:rPr>
        <w:t>الأوروبية لحقوق</w:t>
      </w:r>
      <w:r w:rsidRPr="00A444EC">
        <w:rPr>
          <w:rtl/>
          <w:lang/>
        </w:rPr>
        <w:t xml:space="preserve"> </w:t>
      </w:r>
      <w:r w:rsidRPr="00A444EC">
        <w:rPr>
          <w:rStyle w:val="hps"/>
          <w:rtl/>
          <w:lang/>
        </w:rPr>
        <w:t>الإنسان</w:t>
      </w:r>
      <w:r w:rsidRPr="00A444EC">
        <w:rPr>
          <w:rtl/>
          <w:lang/>
        </w:rPr>
        <w:t xml:space="preserve"> </w:t>
      </w:r>
      <w:r w:rsidRPr="00A444EC">
        <w:rPr>
          <w:rStyle w:val="hps"/>
          <w:rtl/>
          <w:lang/>
        </w:rPr>
        <w:t xml:space="preserve">اتخاذ تدبير </w:t>
      </w:r>
      <w:r w:rsidRPr="00A444EC">
        <w:rPr>
          <w:rStyle w:val="hps"/>
          <w:rFonts w:hint="cs"/>
          <w:rtl/>
          <w:lang/>
        </w:rPr>
        <w:t xml:space="preserve">عاجل </w:t>
      </w:r>
      <w:r w:rsidRPr="00A444EC">
        <w:rPr>
          <w:rStyle w:val="hps"/>
          <w:rtl/>
          <w:lang/>
        </w:rPr>
        <w:t>بموجب المادة 39</w:t>
      </w:r>
      <w:r w:rsidRPr="00A444EC">
        <w:rPr>
          <w:rtl/>
          <w:lang/>
        </w:rPr>
        <w:t xml:space="preserve"> </w:t>
      </w:r>
      <w:r w:rsidRPr="00A444EC">
        <w:rPr>
          <w:rStyle w:val="hps"/>
          <w:rtl/>
          <w:lang/>
        </w:rPr>
        <w:t>من</w:t>
      </w:r>
      <w:r w:rsidRPr="00A444EC">
        <w:rPr>
          <w:rtl/>
          <w:lang/>
        </w:rPr>
        <w:t xml:space="preserve"> </w:t>
      </w:r>
      <w:r w:rsidRPr="00A444EC">
        <w:rPr>
          <w:rStyle w:val="hps"/>
          <w:rFonts w:hint="cs"/>
          <w:rtl/>
          <w:lang/>
        </w:rPr>
        <w:t>النظام الداخلي</w:t>
      </w:r>
      <w:r w:rsidRPr="00A444EC">
        <w:rPr>
          <w:rtl/>
          <w:lang/>
        </w:rPr>
        <w:t xml:space="preserve"> </w:t>
      </w:r>
      <w:r w:rsidRPr="00A444EC">
        <w:rPr>
          <w:rStyle w:val="hps"/>
          <w:rFonts w:hint="cs"/>
          <w:rtl/>
          <w:lang/>
        </w:rPr>
        <w:t>لل</w:t>
      </w:r>
      <w:r w:rsidRPr="00A444EC">
        <w:rPr>
          <w:rStyle w:val="hps"/>
          <w:rtl/>
          <w:lang/>
        </w:rPr>
        <w:t>محكمة</w:t>
      </w:r>
      <w:r w:rsidRPr="00A444EC">
        <w:rPr>
          <w:rtl/>
          <w:lang/>
        </w:rPr>
        <w:t xml:space="preserve">، </w:t>
      </w:r>
      <w:r w:rsidRPr="00A444EC">
        <w:rPr>
          <w:rFonts w:hint="cs"/>
          <w:rtl/>
          <w:lang/>
        </w:rPr>
        <w:t xml:space="preserve">بهدف مطالبة </w:t>
      </w:r>
      <w:r w:rsidRPr="00A444EC">
        <w:rPr>
          <w:rStyle w:val="hps"/>
          <w:rFonts w:hint="cs"/>
          <w:rtl/>
          <w:lang/>
        </w:rPr>
        <w:t>ألمانيا بإرجاء تسليمه إلى حين نظر المحكمة في القضية والبت في</w:t>
      </w:r>
      <w:r w:rsidRPr="00A444EC">
        <w:rPr>
          <w:rStyle w:val="hps"/>
          <w:rtl/>
          <w:lang/>
        </w:rPr>
        <w:t xml:space="preserve"> أسس</w:t>
      </w:r>
      <w:r w:rsidRPr="00A444EC">
        <w:rPr>
          <w:rStyle w:val="hps"/>
          <w:rFonts w:hint="cs"/>
          <w:rtl/>
          <w:lang/>
        </w:rPr>
        <w:t>ها</w:t>
      </w:r>
      <w:r w:rsidRPr="00A444EC">
        <w:rPr>
          <w:rStyle w:val="hps"/>
          <w:rtl/>
          <w:lang/>
        </w:rPr>
        <w:t xml:space="preserve"> الموضوعية</w:t>
      </w:r>
      <w:r w:rsidRPr="00A444EC">
        <w:rPr>
          <w:rFonts w:hint="cs"/>
          <w:rtl/>
          <w:lang/>
        </w:rPr>
        <w:t>.</w:t>
      </w:r>
    </w:p>
    <w:p w:rsidR="005E110C" w:rsidRPr="00A444EC" w:rsidRDefault="005E110C" w:rsidP="00FA645B">
      <w:pPr>
        <w:pStyle w:val="SingleTxtGA"/>
        <w:rPr>
          <w:rtl/>
          <w:lang/>
        </w:rPr>
      </w:pPr>
      <w:r w:rsidRPr="00A444EC">
        <w:rPr>
          <w:rtl/>
          <w:lang w:val="fr-CH"/>
        </w:rPr>
        <w:t>5-2</w:t>
      </w:r>
      <w:r w:rsidRPr="00A444EC">
        <w:rPr>
          <w:rtl/>
          <w:lang w:val="fr-CH"/>
        </w:rPr>
        <w:tab/>
      </w:r>
      <w:r w:rsidRPr="00A444EC">
        <w:rPr>
          <w:rStyle w:val="hps"/>
          <w:rFonts w:hint="cs"/>
          <w:rtl/>
          <w:lang/>
        </w:rPr>
        <w:t>وتذكر صاحبة</w:t>
      </w:r>
      <w:r w:rsidRPr="00A444EC">
        <w:rPr>
          <w:rtl/>
          <w:lang/>
        </w:rPr>
        <w:t xml:space="preserve"> الشكوى</w:t>
      </w:r>
      <w:r w:rsidRPr="00A444EC">
        <w:rPr>
          <w:rFonts w:hint="cs"/>
          <w:rtl/>
          <w:lang/>
        </w:rPr>
        <w:t xml:space="preserve"> أن</w:t>
      </w:r>
      <w:r w:rsidRPr="00A444EC">
        <w:rPr>
          <w:rtl/>
          <w:lang/>
        </w:rPr>
        <w:t xml:space="preserve"> </w:t>
      </w:r>
      <w:r w:rsidRPr="00A444EC">
        <w:rPr>
          <w:rStyle w:val="hps"/>
          <w:rFonts w:hint="cs"/>
          <w:rtl/>
          <w:lang/>
        </w:rPr>
        <w:t xml:space="preserve">الشكوى </w:t>
      </w:r>
      <w:r w:rsidRPr="00A444EC">
        <w:rPr>
          <w:rStyle w:val="hps"/>
          <w:rtl/>
          <w:lang/>
        </w:rPr>
        <w:t>ال</w:t>
      </w:r>
      <w:r w:rsidRPr="00A444EC">
        <w:rPr>
          <w:rStyle w:val="hps"/>
          <w:rFonts w:hint="cs"/>
          <w:rtl/>
          <w:lang/>
        </w:rPr>
        <w:t>تي قدمها السيد أنسي عبيشو، عن طريق محاميه،</w:t>
      </w:r>
      <w:r w:rsidRPr="00A444EC">
        <w:rPr>
          <w:rtl/>
          <w:lang/>
        </w:rPr>
        <w:t xml:space="preserve"> إلى </w:t>
      </w:r>
      <w:r w:rsidRPr="00A444EC">
        <w:rPr>
          <w:rStyle w:val="hps"/>
          <w:rtl/>
          <w:lang/>
        </w:rPr>
        <w:t>المحكمة</w:t>
      </w:r>
      <w:r w:rsidRPr="00A444EC">
        <w:rPr>
          <w:rtl/>
          <w:lang/>
        </w:rPr>
        <w:t xml:space="preserve"> </w:t>
      </w:r>
      <w:r w:rsidRPr="00A444EC">
        <w:rPr>
          <w:rStyle w:val="hps"/>
          <w:rtl/>
          <w:lang/>
        </w:rPr>
        <w:t>الأوروبية لحقوق</w:t>
      </w:r>
      <w:r w:rsidRPr="00A444EC">
        <w:rPr>
          <w:rtl/>
          <w:lang/>
        </w:rPr>
        <w:t xml:space="preserve"> </w:t>
      </w:r>
      <w:r w:rsidRPr="00A444EC">
        <w:rPr>
          <w:rStyle w:val="hps"/>
          <w:rtl/>
          <w:lang/>
        </w:rPr>
        <w:t>الإنسان</w:t>
      </w:r>
      <w:r w:rsidRPr="00A444EC">
        <w:rPr>
          <w:rStyle w:val="hps"/>
          <w:rFonts w:hint="cs"/>
          <w:rtl/>
          <w:lang/>
        </w:rPr>
        <w:t xml:space="preserve"> كانت</w:t>
      </w:r>
      <w:r w:rsidRPr="00A444EC">
        <w:rPr>
          <w:rStyle w:val="hps"/>
          <w:rtl/>
          <w:lang/>
        </w:rPr>
        <w:t xml:space="preserve"> بعنوان "</w:t>
      </w:r>
      <w:r w:rsidRPr="00A444EC">
        <w:rPr>
          <w:rStyle w:val="hps"/>
          <w:rFonts w:hint="cs"/>
          <w:rtl/>
          <w:lang/>
        </w:rPr>
        <w:t>شكوى متعلقة ب</w:t>
      </w:r>
      <w:r w:rsidRPr="00A444EC">
        <w:rPr>
          <w:rtl/>
          <w:lang/>
        </w:rPr>
        <w:t xml:space="preserve">المادة 39". </w:t>
      </w:r>
      <w:r w:rsidRPr="00A444EC">
        <w:rPr>
          <w:rStyle w:val="hps"/>
          <w:rtl/>
          <w:lang/>
        </w:rPr>
        <w:t>و</w:t>
      </w:r>
      <w:r w:rsidRPr="00A444EC">
        <w:rPr>
          <w:rStyle w:val="hps"/>
          <w:rFonts w:hint="cs"/>
          <w:rtl/>
          <w:lang/>
        </w:rPr>
        <w:t>بالمثل، ف</w:t>
      </w:r>
      <w:r w:rsidRPr="00A444EC">
        <w:rPr>
          <w:rStyle w:val="hps"/>
          <w:rtl/>
          <w:lang/>
        </w:rPr>
        <w:t xml:space="preserve">قرار </w:t>
      </w:r>
      <w:r w:rsidRPr="00A444EC">
        <w:rPr>
          <w:rStyle w:val="hps"/>
          <w:rFonts w:hint="cs"/>
          <w:rtl/>
          <w:lang/>
        </w:rPr>
        <w:t xml:space="preserve">الرفض الصادر من </w:t>
      </w:r>
      <w:r w:rsidRPr="00A444EC">
        <w:rPr>
          <w:rStyle w:val="hps"/>
          <w:rtl/>
          <w:lang/>
        </w:rPr>
        <w:t>المحكمة</w:t>
      </w:r>
      <w:r w:rsidRPr="00A444EC">
        <w:rPr>
          <w:rtl/>
          <w:lang/>
        </w:rPr>
        <w:t xml:space="preserve"> لا </w:t>
      </w:r>
      <w:r w:rsidRPr="00A444EC">
        <w:rPr>
          <w:rStyle w:val="hps"/>
          <w:rFonts w:hint="cs"/>
          <w:rtl/>
          <w:lang/>
        </w:rPr>
        <w:t>يتعلق إلا</w:t>
      </w:r>
      <w:r w:rsidRPr="00A444EC">
        <w:rPr>
          <w:rtl/>
          <w:lang/>
        </w:rPr>
        <w:t xml:space="preserve"> </w:t>
      </w:r>
      <w:r w:rsidRPr="00A444EC">
        <w:rPr>
          <w:rFonts w:hint="cs"/>
          <w:rtl/>
          <w:lang/>
        </w:rPr>
        <w:t>ب</w:t>
      </w:r>
      <w:r w:rsidRPr="00A444EC">
        <w:rPr>
          <w:rStyle w:val="hps"/>
          <w:rtl/>
          <w:lang/>
        </w:rPr>
        <w:t>ال</w:t>
      </w:r>
      <w:r w:rsidRPr="00A444EC">
        <w:rPr>
          <w:rStyle w:val="hps"/>
          <w:rFonts w:hint="cs"/>
          <w:rtl/>
          <w:lang/>
        </w:rPr>
        <w:t xml:space="preserve">طلب </w:t>
      </w:r>
      <w:r w:rsidRPr="00A444EC">
        <w:rPr>
          <w:rStyle w:val="hps"/>
          <w:rtl/>
          <w:lang/>
        </w:rPr>
        <w:t>المقدم بموجب</w:t>
      </w:r>
      <w:r w:rsidRPr="00A444EC">
        <w:rPr>
          <w:rtl/>
          <w:lang/>
        </w:rPr>
        <w:t xml:space="preserve"> </w:t>
      </w:r>
      <w:r w:rsidRPr="00A444EC">
        <w:rPr>
          <w:rStyle w:val="hps"/>
          <w:rtl/>
          <w:lang/>
        </w:rPr>
        <w:t>المادة 39</w:t>
      </w:r>
      <w:r w:rsidRPr="00A444EC">
        <w:rPr>
          <w:rtl/>
          <w:lang/>
        </w:rPr>
        <w:t xml:space="preserve">. </w:t>
      </w:r>
      <w:r w:rsidRPr="00A444EC">
        <w:rPr>
          <w:rStyle w:val="hps"/>
          <w:rFonts w:hint="cs"/>
          <w:rtl/>
          <w:lang/>
        </w:rPr>
        <w:t>ووفقاً لما أوردته صاحبة</w:t>
      </w:r>
      <w:r w:rsidRPr="00A444EC">
        <w:rPr>
          <w:rtl/>
          <w:lang/>
        </w:rPr>
        <w:t xml:space="preserve"> الشكوى</w:t>
      </w:r>
      <w:r w:rsidRPr="00A444EC">
        <w:rPr>
          <w:rFonts w:hint="cs"/>
          <w:rtl/>
          <w:lang/>
        </w:rPr>
        <w:t xml:space="preserve">، فإنه لم يعرض على المحكمة أي طلب يهدف إلى إدانتها لإذن </w:t>
      </w:r>
      <w:r w:rsidRPr="00A444EC">
        <w:rPr>
          <w:rStyle w:val="hps"/>
          <w:rtl/>
          <w:lang/>
        </w:rPr>
        <w:t>السلطات القضائية</w:t>
      </w:r>
      <w:r w:rsidRPr="00A444EC">
        <w:rPr>
          <w:rtl/>
          <w:lang/>
        </w:rPr>
        <w:t xml:space="preserve"> </w:t>
      </w:r>
      <w:r w:rsidRPr="00A444EC">
        <w:rPr>
          <w:rStyle w:val="hps"/>
          <w:rtl/>
          <w:lang/>
        </w:rPr>
        <w:t>الألمانية</w:t>
      </w:r>
      <w:r w:rsidRPr="00A444EC">
        <w:rPr>
          <w:rFonts w:hint="cs"/>
          <w:rtl/>
          <w:lang/>
        </w:rPr>
        <w:t xml:space="preserve"> بتسليم السيد أنسي عبيشو إلى تونس، ولم تنظر البتة في الأسس الموضوعية لطلب من هذا القبيل. </w:t>
      </w:r>
      <w:r w:rsidRPr="00A444EC">
        <w:rPr>
          <w:rStyle w:val="hps"/>
          <w:rFonts w:hint="cs"/>
          <w:rtl/>
          <w:lang/>
        </w:rPr>
        <w:t xml:space="preserve">ولم يقدم هذا الطلب سوى إلى </w:t>
      </w:r>
      <w:r w:rsidRPr="00A444EC">
        <w:rPr>
          <w:rStyle w:val="hps"/>
          <w:rtl/>
          <w:lang/>
        </w:rPr>
        <w:t>لجنة مناهضة</w:t>
      </w:r>
      <w:r w:rsidRPr="00A444EC">
        <w:rPr>
          <w:rtl/>
          <w:lang/>
        </w:rPr>
        <w:t xml:space="preserve"> </w:t>
      </w:r>
      <w:r w:rsidRPr="00A444EC">
        <w:rPr>
          <w:rStyle w:val="hps"/>
          <w:rtl/>
          <w:lang/>
        </w:rPr>
        <w:t>التعذيب</w:t>
      </w:r>
      <w:r w:rsidRPr="00A444EC">
        <w:rPr>
          <w:rtl/>
          <w:lang/>
        </w:rPr>
        <w:t xml:space="preserve"> </w:t>
      </w:r>
      <w:r w:rsidRPr="00A444EC">
        <w:rPr>
          <w:rStyle w:val="hps"/>
          <w:rFonts w:hint="cs"/>
          <w:rtl/>
          <w:lang/>
        </w:rPr>
        <w:t xml:space="preserve">ولذا يمكن </w:t>
      </w:r>
      <w:r w:rsidRPr="00A444EC">
        <w:rPr>
          <w:rFonts w:hint="cs"/>
          <w:rtl/>
          <w:lang/>
        </w:rPr>
        <w:t xml:space="preserve">تأكيد </w:t>
      </w:r>
      <w:r w:rsidRPr="00A444EC">
        <w:rPr>
          <w:rStyle w:val="hps"/>
          <w:rtl/>
          <w:lang/>
        </w:rPr>
        <w:t>أن</w:t>
      </w:r>
      <w:r w:rsidRPr="00A444EC">
        <w:rPr>
          <w:rtl/>
          <w:lang/>
        </w:rPr>
        <w:t xml:space="preserve"> </w:t>
      </w:r>
      <w:r w:rsidRPr="00A444EC">
        <w:rPr>
          <w:rStyle w:val="hps"/>
          <w:rtl/>
          <w:lang/>
        </w:rPr>
        <w:t>"</w:t>
      </w:r>
      <w:r w:rsidRPr="00A444EC">
        <w:rPr>
          <w:rFonts w:hint="cs"/>
          <w:rtl/>
          <w:lang/>
        </w:rPr>
        <w:t xml:space="preserve">هذه المسألة لم تُبحث ولا يجري بحثها في إطار أي إجراء آخر من إجراءات التحقيق الدولي </w:t>
      </w:r>
      <w:r w:rsidRPr="00A444EC">
        <w:rPr>
          <w:rStyle w:val="hps"/>
          <w:rtl/>
          <w:lang/>
        </w:rPr>
        <w:t>أو التسوية الدولية</w:t>
      </w:r>
      <w:r w:rsidRPr="00A444EC">
        <w:rPr>
          <w:rtl/>
          <w:lang/>
        </w:rPr>
        <w:t xml:space="preserve">"، </w:t>
      </w:r>
      <w:r w:rsidRPr="00A444EC">
        <w:rPr>
          <w:rStyle w:val="hps"/>
          <w:rtl/>
          <w:lang/>
        </w:rPr>
        <w:t xml:space="preserve">على النحو </w:t>
      </w:r>
      <w:r w:rsidRPr="00A444EC">
        <w:rPr>
          <w:rStyle w:val="hps"/>
          <w:rFonts w:hint="cs"/>
          <w:rtl/>
          <w:lang/>
        </w:rPr>
        <w:t xml:space="preserve">المنصوص عليه في </w:t>
      </w:r>
      <w:r w:rsidRPr="00A444EC">
        <w:rPr>
          <w:rStyle w:val="hps"/>
          <w:rtl/>
          <w:lang/>
        </w:rPr>
        <w:t>الفقرة 5(أ)</w:t>
      </w:r>
      <w:r w:rsidRPr="00A444EC">
        <w:rPr>
          <w:rStyle w:val="hps"/>
          <w:rFonts w:hint="cs"/>
          <w:rtl/>
          <w:lang/>
        </w:rPr>
        <w:t xml:space="preserve"> من</w:t>
      </w:r>
      <w:r w:rsidRPr="00A444EC">
        <w:rPr>
          <w:rtl/>
          <w:lang/>
        </w:rPr>
        <w:t xml:space="preserve"> المادة 22 </w:t>
      </w:r>
      <w:r w:rsidRPr="00A444EC">
        <w:rPr>
          <w:rStyle w:val="hps"/>
          <w:rtl/>
          <w:lang/>
        </w:rPr>
        <w:t>من الاتفاقية</w:t>
      </w:r>
      <w:r w:rsidRPr="00A444EC">
        <w:rPr>
          <w:rtl/>
          <w:lang/>
        </w:rPr>
        <w:t>.</w:t>
      </w:r>
    </w:p>
    <w:p w:rsidR="005E110C" w:rsidRPr="00A444EC" w:rsidRDefault="005E110C" w:rsidP="00FA645B">
      <w:pPr>
        <w:pStyle w:val="SingleTxtGA"/>
        <w:rPr>
          <w:rtl/>
          <w:lang w:val="fr-CH"/>
        </w:rPr>
      </w:pPr>
      <w:r w:rsidRPr="00A444EC">
        <w:rPr>
          <w:rtl/>
          <w:lang w:val="fr-CH"/>
        </w:rPr>
        <w:t>5-3</w:t>
      </w:r>
      <w:r w:rsidRPr="00A444EC">
        <w:rPr>
          <w:rtl/>
          <w:lang w:val="fr-CH"/>
        </w:rPr>
        <w:tab/>
      </w:r>
      <w:r w:rsidRPr="00A444EC">
        <w:rPr>
          <w:rStyle w:val="hps"/>
          <w:rtl/>
          <w:lang/>
        </w:rPr>
        <w:t>وفيما يتعلق بمسألة</w:t>
      </w:r>
      <w:r w:rsidRPr="00A444EC">
        <w:rPr>
          <w:rtl/>
          <w:lang/>
        </w:rPr>
        <w:t xml:space="preserve"> </w:t>
      </w:r>
      <w:r w:rsidRPr="00A444EC">
        <w:rPr>
          <w:rStyle w:val="hps"/>
          <w:rtl/>
          <w:lang/>
        </w:rPr>
        <w:t>عدم امتثال</w:t>
      </w:r>
      <w:r w:rsidRPr="00A444EC">
        <w:rPr>
          <w:rtl/>
          <w:lang/>
        </w:rPr>
        <w:t xml:space="preserve"> </w:t>
      </w:r>
      <w:r w:rsidRPr="00A444EC">
        <w:rPr>
          <w:rStyle w:val="hps"/>
          <w:rtl/>
          <w:lang/>
        </w:rPr>
        <w:t>الدولة</w:t>
      </w:r>
      <w:r w:rsidRPr="00A444EC">
        <w:rPr>
          <w:rtl/>
          <w:lang/>
        </w:rPr>
        <w:t xml:space="preserve"> </w:t>
      </w:r>
      <w:r w:rsidRPr="00A444EC">
        <w:rPr>
          <w:rStyle w:val="hps"/>
          <w:rtl/>
          <w:lang/>
        </w:rPr>
        <w:t xml:space="preserve">الطرف </w:t>
      </w:r>
      <w:r w:rsidRPr="00A444EC">
        <w:rPr>
          <w:rStyle w:val="hps"/>
          <w:rFonts w:hint="cs"/>
          <w:rtl/>
          <w:lang/>
        </w:rPr>
        <w:t>ل</w:t>
      </w:r>
      <w:r w:rsidRPr="00A444EC">
        <w:rPr>
          <w:rStyle w:val="hps"/>
          <w:rtl/>
          <w:lang/>
        </w:rPr>
        <w:t>طلب اللجنة</w:t>
      </w:r>
      <w:r w:rsidRPr="00A444EC">
        <w:rPr>
          <w:rtl/>
          <w:lang/>
        </w:rPr>
        <w:t xml:space="preserve"> </w:t>
      </w:r>
      <w:r w:rsidRPr="00A444EC">
        <w:rPr>
          <w:rStyle w:val="hps"/>
          <w:rtl/>
          <w:lang/>
        </w:rPr>
        <w:t>باتخاذ تدابير مؤقتة</w:t>
      </w:r>
      <w:r w:rsidRPr="00A444EC">
        <w:rPr>
          <w:rtl/>
          <w:lang/>
        </w:rPr>
        <w:t>، وال</w:t>
      </w:r>
      <w:r w:rsidRPr="00A444EC">
        <w:rPr>
          <w:rFonts w:hint="cs"/>
          <w:rtl/>
          <w:lang/>
        </w:rPr>
        <w:t xml:space="preserve">ذي عزته </w:t>
      </w:r>
      <w:r w:rsidRPr="00A444EC">
        <w:rPr>
          <w:rStyle w:val="hps"/>
          <w:rtl/>
          <w:lang/>
        </w:rPr>
        <w:t xml:space="preserve">الدولة الطرف إلى </w:t>
      </w:r>
      <w:r w:rsidRPr="00A444EC">
        <w:rPr>
          <w:rStyle w:val="hps"/>
          <w:rFonts w:hint="cs"/>
          <w:rtl/>
          <w:lang/>
        </w:rPr>
        <w:t>المهلة القصيرة للغاية التي كانت متاحة أمامها</w:t>
      </w:r>
      <w:r w:rsidRPr="00A444EC">
        <w:rPr>
          <w:rStyle w:val="hps"/>
          <w:rtl/>
          <w:lang/>
        </w:rPr>
        <w:t xml:space="preserve">، </w:t>
      </w:r>
      <w:r w:rsidRPr="00A444EC">
        <w:rPr>
          <w:rStyle w:val="hps"/>
          <w:rFonts w:hint="cs"/>
          <w:rtl/>
          <w:lang/>
        </w:rPr>
        <w:t>توضح صاحبة</w:t>
      </w:r>
      <w:r w:rsidRPr="00A444EC">
        <w:rPr>
          <w:rtl/>
          <w:lang/>
        </w:rPr>
        <w:t xml:space="preserve"> الشكوى أن</w:t>
      </w:r>
      <w:r w:rsidRPr="00A444EC">
        <w:rPr>
          <w:rFonts w:hint="cs"/>
          <w:rtl/>
          <w:lang/>
        </w:rPr>
        <w:t xml:space="preserve"> السيد أنسي عبيشو لم يعلم إلا في صبيحة </w:t>
      </w:r>
      <w:r w:rsidRPr="00A444EC">
        <w:rPr>
          <w:rStyle w:val="hps"/>
          <w:rtl/>
          <w:lang/>
        </w:rPr>
        <w:t>يوم</w:t>
      </w:r>
      <w:r w:rsidRPr="00A444EC">
        <w:rPr>
          <w:rtl/>
          <w:lang/>
        </w:rPr>
        <w:t xml:space="preserve"> </w:t>
      </w:r>
      <w:r w:rsidRPr="00A444EC">
        <w:rPr>
          <w:rStyle w:val="hps"/>
          <w:rtl/>
          <w:lang/>
        </w:rPr>
        <w:t xml:space="preserve">25 </w:t>
      </w:r>
      <w:r w:rsidRPr="00A444EC">
        <w:rPr>
          <w:rStyle w:val="hps"/>
          <w:rFonts w:hint="cs"/>
          <w:rtl/>
          <w:lang/>
        </w:rPr>
        <w:t>آب/</w:t>
      </w:r>
      <w:r w:rsidRPr="00A444EC">
        <w:rPr>
          <w:rStyle w:val="hps"/>
          <w:rtl/>
          <w:lang/>
        </w:rPr>
        <w:t>أغسطس 2010</w:t>
      </w:r>
      <w:r w:rsidRPr="00A444EC">
        <w:rPr>
          <w:rFonts w:hint="cs"/>
          <w:rtl/>
          <w:lang/>
        </w:rPr>
        <w:t xml:space="preserve"> بأنه سيجري تسليمه </w:t>
      </w:r>
      <w:r w:rsidRPr="00A444EC">
        <w:rPr>
          <w:rStyle w:val="hps"/>
          <w:rtl/>
          <w:lang/>
        </w:rPr>
        <w:t>بعد ظهر ذلك اليوم</w:t>
      </w:r>
      <w:r w:rsidRPr="00A444EC">
        <w:rPr>
          <w:rtl/>
          <w:lang/>
        </w:rPr>
        <w:t xml:space="preserve"> </w:t>
      </w:r>
      <w:r w:rsidRPr="00A444EC">
        <w:rPr>
          <w:rStyle w:val="hps"/>
          <w:rtl/>
          <w:lang/>
        </w:rPr>
        <w:t>نفسه</w:t>
      </w:r>
      <w:r w:rsidRPr="00A444EC">
        <w:rPr>
          <w:rtl/>
          <w:lang/>
        </w:rPr>
        <w:t xml:space="preserve">، </w:t>
      </w:r>
      <w:r w:rsidRPr="00A444EC">
        <w:rPr>
          <w:rStyle w:val="hps"/>
          <w:rtl/>
          <w:lang/>
        </w:rPr>
        <w:t>على الرغم من أن</w:t>
      </w:r>
      <w:r w:rsidRPr="00A444EC">
        <w:rPr>
          <w:rtl/>
          <w:lang/>
        </w:rPr>
        <w:t xml:space="preserve"> </w:t>
      </w:r>
      <w:r w:rsidRPr="00A444EC">
        <w:rPr>
          <w:rStyle w:val="hps"/>
          <w:rtl/>
          <w:lang/>
        </w:rPr>
        <w:t>ال</w:t>
      </w:r>
      <w:r w:rsidRPr="00A444EC">
        <w:rPr>
          <w:rStyle w:val="hps"/>
          <w:rFonts w:hint="cs"/>
          <w:rtl/>
          <w:lang/>
        </w:rPr>
        <w:t xml:space="preserve">نيابة العامة </w:t>
      </w:r>
      <w:r w:rsidRPr="00A444EC">
        <w:rPr>
          <w:rStyle w:val="hps"/>
          <w:rtl/>
          <w:lang/>
        </w:rPr>
        <w:t>الألمانية</w:t>
      </w:r>
      <w:r w:rsidRPr="00A444EC">
        <w:rPr>
          <w:rtl/>
          <w:lang/>
        </w:rPr>
        <w:t xml:space="preserve"> </w:t>
      </w:r>
      <w:r w:rsidRPr="00A444EC">
        <w:rPr>
          <w:rStyle w:val="hps"/>
          <w:rtl/>
          <w:lang/>
        </w:rPr>
        <w:t>قد طلب</w:t>
      </w:r>
      <w:r w:rsidRPr="00A444EC">
        <w:rPr>
          <w:rStyle w:val="hps"/>
          <w:rFonts w:hint="cs"/>
          <w:rtl/>
          <w:lang/>
        </w:rPr>
        <w:t xml:space="preserve">ت </w:t>
      </w:r>
      <w:r w:rsidRPr="00A444EC">
        <w:rPr>
          <w:rStyle w:val="hps"/>
          <w:rtl/>
          <w:lang/>
        </w:rPr>
        <w:t>من</w:t>
      </w:r>
      <w:r w:rsidRPr="00A444EC">
        <w:rPr>
          <w:rtl/>
          <w:lang/>
        </w:rPr>
        <w:t xml:space="preserve"> </w:t>
      </w:r>
      <w:r w:rsidRPr="00A444EC">
        <w:rPr>
          <w:rStyle w:val="hps"/>
          <w:rtl/>
          <w:lang/>
        </w:rPr>
        <w:t>الشرطة القضائية</w:t>
      </w:r>
      <w:r w:rsidRPr="00A444EC">
        <w:rPr>
          <w:rtl/>
          <w:lang/>
        </w:rPr>
        <w:t xml:space="preserve"> </w:t>
      </w:r>
      <w:r w:rsidRPr="00A444EC">
        <w:rPr>
          <w:rFonts w:hint="cs"/>
          <w:rtl/>
          <w:lang/>
        </w:rPr>
        <w:t xml:space="preserve">أن تعلن </w:t>
      </w:r>
      <w:r w:rsidRPr="00A444EC">
        <w:rPr>
          <w:rtl/>
          <w:lang/>
        </w:rPr>
        <w:t xml:space="preserve">موعد </w:t>
      </w:r>
      <w:r w:rsidRPr="00A444EC">
        <w:rPr>
          <w:rFonts w:hint="cs"/>
          <w:rtl/>
          <w:lang/>
        </w:rPr>
        <w:t>ال</w:t>
      </w:r>
      <w:r w:rsidRPr="00A444EC">
        <w:rPr>
          <w:rStyle w:val="hps"/>
          <w:rtl/>
          <w:lang/>
        </w:rPr>
        <w:t>تسليم</w:t>
      </w:r>
      <w:r w:rsidRPr="00A444EC">
        <w:rPr>
          <w:rtl/>
          <w:lang/>
        </w:rPr>
        <w:t xml:space="preserve"> </w:t>
      </w:r>
      <w:r w:rsidRPr="00A444EC">
        <w:rPr>
          <w:rFonts w:hint="cs"/>
          <w:rtl/>
          <w:lang/>
        </w:rPr>
        <w:t>قبل تنفيذه ب</w:t>
      </w:r>
      <w:r w:rsidRPr="00A444EC">
        <w:rPr>
          <w:rStyle w:val="hps"/>
          <w:rtl/>
          <w:lang/>
        </w:rPr>
        <w:t>أسبوعين</w:t>
      </w:r>
      <w:r w:rsidRPr="00A444EC">
        <w:rPr>
          <w:vertAlign w:val="superscript"/>
          <w:rtl/>
          <w:lang w:val="fr-CH"/>
        </w:rPr>
        <w:t>(</w:t>
      </w:r>
      <w:r w:rsidRPr="00A444EC">
        <w:rPr>
          <w:rStyle w:val="FootnoteReference"/>
          <w:rtl/>
          <w:lang w:val="fr-CH"/>
        </w:rPr>
        <w:footnoteReference w:id="136"/>
      </w:r>
      <w:r w:rsidRPr="00A444EC">
        <w:rPr>
          <w:vertAlign w:val="superscript"/>
          <w:rtl/>
          <w:lang w:val="fr-CH"/>
        </w:rPr>
        <w:t>)</w:t>
      </w:r>
      <w:r w:rsidRPr="00A444EC">
        <w:rPr>
          <w:rtl/>
          <w:lang/>
        </w:rPr>
        <w:t xml:space="preserve">. </w:t>
      </w:r>
      <w:r w:rsidRPr="00A444EC">
        <w:rPr>
          <w:rStyle w:val="hps"/>
          <w:rFonts w:hint="cs"/>
          <w:rtl/>
          <w:lang/>
        </w:rPr>
        <w:t>ووفقاً لما أوردته صاحبة</w:t>
      </w:r>
      <w:r w:rsidRPr="00A444EC">
        <w:rPr>
          <w:rtl/>
          <w:lang/>
        </w:rPr>
        <w:t xml:space="preserve"> الشكوى، </w:t>
      </w:r>
      <w:r w:rsidRPr="00A444EC">
        <w:rPr>
          <w:rStyle w:val="hps"/>
          <w:rFonts w:hint="cs"/>
          <w:rtl/>
          <w:lang/>
        </w:rPr>
        <w:t>فقد قررت</w:t>
      </w:r>
      <w:r w:rsidRPr="00A444EC">
        <w:rPr>
          <w:rStyle w:val="hps"/>
          <w:rtl/>
          <w:lang/>
        </w:rPr>
        <w:t xml:space="preserve"> السلطات</w:t>
      </w:r>
      <w:r w:rsidRPr="00A444EC">
        <w:rPr>
          <w:rtl/>
          <w:lang/>
        </w:rPr>
        <w:t xml:space="preserve"> </w:t>
      </w:r>
      <w:r w:rsidRPr="00A444EC">
        <w:rPr>
          <w:rStyle w:val="hps"/>
          <w:rtl/>
          <w:lang/>
        </w:rPr>
        <w:t>الإسراع</w:t>
      </w:r>
      <w:r w:rsidRPr="00A444EC">
        <w:rPr>
          <w:rStyle w:val="hps"/>
          <w:rFonts w:hint="cs"/>
          <w:rtl/>
          <w:lang/>
        </w:rPr>
        <w:t xml:space="preserve"> بعملية التسليم، ولذا لم يكن أمامه أي خيار سوى</w:t>
      </w:r>
      <w:r w:rsidRPr="00A444EC">
        <w:rPr>
          <w:rStyle w:val="hps"/>
          <w:rtl/>
          <w:lang/>
        </w:rPr>
        <w:t xml:space="preserve"> </w:t>
      </w:r>
      <w:r w:rsidRPr="00A444EC">
        <w:rPr>
          <w:rStyle w:val="hps"/>
          <w:rFonts w:hint="cs"/>
          <w:rtl/>
          <w:lang/>
        </w:rPr>
        <w:t xml:space="preserve">عرض </w:t>
      </w:r>
      <w:r w:rsidRPr="00A444EC">
        <w:rPr>
          <w:rStyle w:val="hps"/>
          <w:rtl/>
          <w:lang/>
        </w:rPr>
        <w:t>المسألة</w:t>
      </w:r>
      <w:r w:rsidRPr="00A444EC">
        <w:rPr>
          <w:rtl/>
          <w:lang/>
        </w:rPr>
        <w:t xml:space="preserve"> </w:t>
      </w:r>
      <w:r w:rsidRPr="00A444EC">
        <w:rPr>
          <w:rFonts w:hint="cs"/>
          <w:rtl/>
          <w:lang/>
        </w:rPr>
        <w:t xml:space="preserve">على </w:t>
      </w:r>
      <w:r w:rsidRPr="00A444EC">
        <w:rPr>
          <w:rStyle w:val="hps"/>
          <w:rtl/>
          <w:lang/>
        </w:rPr>
        <w:t>اللجنة قبل</w:t>
      </w:r>
      <w:r w:rsidRPr="00A444EC">
        <w:rPr>
          <w:rtl/>
          <w:lang/>
        </w:rPr>
        <w:t xml:space="preserve"> </w:t>
      </w:r>
      <w:r w:rsidRPr="00A444EC">
        <w:rPr>
          <w:rFonts w:hint="cs"/>
          <w:rtl/>
          <w:lang/>
        </w:rPr>
        <w:t>التسليم الفعلي ب</w:t>
      </w:r>
      <w:r w:rsidRPr="00A444EC">
        <w:rPr>
          <w:rStyle w:val="hps"/>
          <w:rtl/>
          <w:lang/>
        </w:rPr>
        <w:t>بضع ساعات</w:t>
      </w:r>
      <w:r w:rsidRPr="00A444EC">
        <w:rPr>
          <w:rtl/>
          <w:lang/>
        </w:rPr>
        <w:t>.</w:t>
      </w:r>
    </w:p>
    <w:p w:rsidR="005E110C" w:rsidRPr="00A444EC" w:rsidRDefault="005E110C" w:rsidP="00FA645B">
      <w:pPr>
        <w:pStyle w:val="H23GA"/>
        <w:rPr>
          <w:rtl/>
          <w:lang w:val="fr-CH"/>
        </w:rPr>
      </w:pPr>
      <w:r w:rsidRPr="00A444EC">
        <w:rPr>
          <w:rtl/>
          <w:lang w:val="fr-CH"/>
        </w:rPr>
        <w:tab/>
      </w:r>
      <w:r w:rsidRPr="00A444EC">
        <w:rPr>
          <w:rtl/>
          <w:lang w:val="fr-CH"/>
        </w:rPr>
        <w:tab/>
        <w:t>ملاحظات الدولة الطرف بشأن الأسس الموضوعية</w:t>
      </w:r>
    </w:p>
    <w:p w:rsidR="005E110C" w:rsidRPr="00A444EC" w:rsidRDefault="005E110C" w:rsidP="00610111">
      <w:pPr>
        <w:pStyle w:val="SingleTxtGA"/>
        <w:rPr>
          <w:rtl/>
          <w:lang w:val="fr-CH"/>
        </w:rPr>
      </w:pPr>
      <w:r w:rsidRPr="00A444EC">
        <w:rPr>
          <w:rtl/>
          <w:lang w:val="fr-CH"/>
        </w:rPr>
        <w:t>6-1</w:t>
      </w:r>
      <w:r w:rsidRPr="00A444EC">
        <w:rPr>
          <w:rtl/>
          <w:lang w:val="fr-CH"/>
        </w:rPr>
        <w:tab/>
      </w:r>
      <w:r w:rsidRPr="00A444EC">
        <w:rPr>
          <w:rtl/>
          <w:lang/>
        </w:rPr>
        <w:t xml:space="preserve">في 19 </w:t>
      </w:r>
      <w:r w:rsidRPr="00A444EC">
        <w:rPr>
          <w:rFonts w:hint="cs"/>
          <w:rtl/>
          <w:lang/>
        </w:rPr>
        <w:t>نيسان/</w:t>
      </w:r>
      <w:r w:rsidRPr="00A444EC">
        <w:rPr>
          <w:rtl/>
          <w:lang/>
        </w:rPr>
        <w:t>أبريل 2011، قدمت الدولة الطرف ملاحظاتها بشأن الأسس الموضوعية للبلاغ. وت</w:t>
      </w:r>
      <w:r w:rsidRPr="00A444EC">
        <w:rPr>
          <w:rFonts w:hint="cs"/>
          <w:rtl/>
          <w:lang/>
        </w:rPr>
        <w:t xml:space="preserve">تطرق </w:t>
      </w:r>
      <w:r w:rsidRPr="00A444EC">
        <w:rPr>
          <w:rtl/>
          <w:lang/>
        </w:rPr>
        <w:t>الدولة الطرف</w:t>
      </w:r>
      <w:r w:rsidRPr="00A444EC">
        <w:rPr>
          <w:rFonts w:hint="cs"/>
          <w:rtl/>
          <w:lang/>
        </w:rPr>
        <w:t xml:space="preserve"> في المقام الأول إلى </w:t>
      </w:r>
      <w:r w:rsidRPr="00A444EC">
        <w:rPr>
          <w:rtl/>
          <w:lang/>
        </w:rPr>
        <w:t xml:space="preserve">مقبولية البلاغ وترفض حجة </w:t>
      </w:r>
      <w:r w:rsidRPr="00A444EC">
        <w:rPr>
          <w:rFonts w:hint="cs"/>
          <w:rtl/>
          <w:lang/>
        </w:rPr>
        <w:t xml:space="preserve">صاحبة </w:t>
      </w:r>
      <w:r w:rsidRPr="00A444EC">
        <w:rPr>
          <w:rtl/>
          <w:lang/>
        </w:rPr>
        <w:t>الشكوى</w:t>
      </w:r>
      <w:r w:rsidRPr="00A444EC">
        <w:rPr>
          <w:rFonts w:hint="cs"/>
          <w:rtl/>
          <w:lang/>
        </w:rPr>
        <w:t xml:space="preserve"> ب</w:t>
      </w:r>
      <w:r w:rsidRPr="00A444EC">
        <w:rPr>
          <w:rtl/>
          <w:lang/>
        </w:rPr>
        <w:t xml:space="preserve">أن </w:t>
      </w:r>
      <w:r w:rsidRPr="00A444EC">
        <w:rPr>
          <w:rFonts w:hint="cs"/>
          <w:rtl/>
          <w:lang/>
        </w:rPr>
        <w:t xml:space="preserve">السيد </w:t>
      </w:r>
      <w:r w:rsidRPr="00A444EC">
        <w:rPr>
          <w:rtl/>
          <w:lang/>
        </w:rPr>
        <w:t xml:space="preserve">أنسي </w:t>
      </w:r>
      <w:r w:rsidRPr="00A444EC">
        <w:rPr>
          <w:rFonts w:hint="cs"/>
          <w:rtl/>
          <w:lang/>
        </w:rPr>
        <w:t>عبيشو</w:t>
      </w:r>
      <w:r w:rsidRPr="00A444EC">
        <w:rPr>
          <w:rtl/>
          <w:lang/>
        </w:rPr>
        <w:t xml:space="preserve"> </w:t>
      </w:r>
      <w:r w:rsidRPr="00A444EC">
        <w:rPr>
          <w:rFonts w:hint="cs"/>
          <w:rtl/>
          <w:lang/>
        </w:rPr>
        <w:t xml:space="preserve">لم يقدم إلى </w:t>
      </w:r>
      <w:r w:rsidRPr="00A444EC">
        <w:rPr>
          <w:rtl/>
          <w:lang/>
        </w:rPr>
        <w:t xml:space="preserve">المحكمة الأوروبية لحقوق الإنسان </w:t>
      </w:r>
      <w:r w:rsidRPr="00A444EC">
        <w:rPr>
          <w:rFonts w:hint="cs"/>
          <w:rtl/>
          <w:lang/>
        </w:rPr>
        <w:t>سوى</w:t>
      </w:r>
      <w:r w:rsidRPr="00A444EC">
        <w:rPr>
          <w:rtl/>
          <w:lang/>
        </w:rPr>
        <w:t xml:space="preserve"> طلب اتخاذ تدابير مؤقتة، </w:t>
      </w:r>
      <w:r w:rsidRPr="00A444EC">
        <w:rPr>
          <w:rFonts w:hint="cs"/>
          <w:rtl/>
          <w:lang/>
        </w:rPr>
        <w:t xml:space="preserve">ومن ثم </w:t>
      </w:r>
      <w:r w:rsidRPr="00A444EC">
        <w:rPr>
          <w:rtl/>
          <w:lang/>
        </w:rPr>
        <w:t>فإن المحكمة ل</w:t>
      </w:r>
      <w:r w:rsidRPr="00A444EC">
        <w:rPr>
          <w:rFonts w:hint="cs"/>
          <w:rtl/>
          <w:lang/>
        </w:rPr>
        <w:t>م</w:t>
      </w:r>
      <w:r w:rsidRPr="00A444EC">
        <w:rPr>
          <w:rtl/>
          <w:lang/>
        </w:rPr>
        <w:t xml:space="preserve"> تنظر في</w:t>
      </w:r>
      <w:r w:rsidRPr="00A444EC">
        <w:rPr>
          <w:rFonts w:hint="cs"/>
          <w:rtl/>
          <w:lang/>
        </w:rPr>
        <w:t xml:space="preserve"> الأسس الموضوعية</w:t>
      </w:r>
      <w:r w:rsidRPr="00A444EC">
        <w:rPr>
          <w:rtl/>
          <w:lang/>
        </w:rPr>
        <w:t xml:space="preserve"> </w:t>
      </w:r>
      <w:r w:rsidRPr="00A444EC">
        <w:rPr>
          <w:rFonts w:hint="cs"/>
          <w:rtl/>
          <w:lang/>
        </w:rPr>
        <w:t>للقضية</w:t>
      </w:r>
      <w:r w:rsidRPr="00A444EC">
        <w:rPr>
          <w:rtl/>
          <w:lang/>
        </w:rPr>
        <w:t xml:space="preserve">، </w:t>
      </w:r>
      <w:r w:rsidRPr="00A444EC">
        <w:rPr>
          <w:rFonts w:hint="cs"/>
          <w:rtl/>
          <w:lang/>
        </w:rPr>
        <w:t>ولذا</w:t>
      </w:r>
      <w:r w:rsidR="00610111">
        <w:rPr>
          <w:rFonts w:hint="cs"/>
          <w:rtl/>
          <w:lang/>
        </w:rPr>
        <w:t> </w:t>
      </w:r>
      <w:r w:rsidRPr="00A444EC">
        <w:rPr>
          <w:rFonts w:hint="eastAsia"/>
          <w:rtl/>
          <w:lang/>
        </w:rPr>
        <w:t>لا </w:t>
      </w:r>
      <w:r w:rsidRPr="00A444EC">
        <w:rPr>
          <w:rFonts w:hint="cs"/>
          <w:rtl/>
          <w:lang/>
        </w:rPr>
        <w:t>يؤدي ذلك إلى عدم</w:t>
      </w:r>
      <w:r w:rsidRPr="00A444EC">
        <w:rPr>
          <w:rtl/>
          <w:lang/>
        </w:rPr>
        <w:t xml:space="preserve"> مقبولية البلاغ </w:t>
      </w:r>
      <w:r w:rsidRPr="00A444EC">
        <w:rPr>
          <w:rFonts w:hint="cs"/>
          <w:rtl/>
          <w:lang/>
        </w:rPr>
        <w:t>أمام</w:t>
      </w:r>
      <w:r w:rsidRPr="00A444EC">
        <w:rPr>
          <w:rtl/>
          <w:lang/>
        </w:rPr>
        <w:t xml:space="preserve"> اللجنة بموجب الفقرة 5(أ) </w:t>
      </w:r>
      <w:r w:rsidRPr="00A444EC">
        <w:rPr>
          <w:rFonts w:hint="cs"/>
          <w:rtl/>
          <w:lang/>
        </w:rPr>
        <w:t>من</w:t>
      </w:r>
      <w:r w:rsidRPr="00A444EC">
        <w:rPr>
          <w:rtl/>
          <w:lang/>
        </w:rPr>
        <w:t xml:space="preserve"> المادة 22 من</w:t>
      </w:r>
      <w:r w:rsidRPr="00A444EC">
        <w:rPr>
          <w:rFonts w:hint="cs"/>
          <w:rtl/>
          <w:lang/>
        </w:rPr>
        <w:t> </w:t>
      </w:r>
      <w:r w:rsidRPr="00A444EC">
        <w:rPr>
          <w:rtl/>
          <w:lang/>
        </w:rPr>
        <w:t xml:space="preserve">الاتفاقية. </w:t>
      </w:r>
      <w:r w:rsidRPr="00A444EC">
        <w:rPr>
          <w:rFonts w:hint="cs"/>
          <w:rtl/>
          <w:lang/>
        </w:rPr>
        <w:t>و</w:t>
      </w:r>
      <w:r w:rsidRPr="00A444EC">
        <w:rPr>
          <w:rtl/>
          <w:lang/>
        </w:rPr>
        <w:t>وفقا</w:t>
      </w:r>
      <w:r w:rsidRPr="00A444EC">
        <w:rPr>
          <w:rFonts w:hint="cs"/>
          <w:rtl/>
          <w:lang/>
        </w:rPr>
        <w:t>ً لما أوردته</w:t>
      </w:r>
      <w:r w:rsidRPr="00A444EC">
        <w:rPr>
          <w:rtl/>
          <w:lang/>
        </w:rPr>
        <w:t xml:space="preserve"> </w:t>
      </w:r>
      <w:r w:rsidRPr="00A444EC">
        <w:rPr>
          <w:rFonts w:hint="cs"/>
          <w:rtl/>
          <w:lang/>
        </w:rPr>
        <w:t>ا</w:t>
      </w:r>
      <w:r w:rsidRPr="00A444EC">
        <w:rPr>
          <w:rtl/>
          <w:lang/>
        </w:rPr>
        <w:t xml:space="preserve">لدولة الطرف، </w:t>
      </w:r>
      <w:r w:rsidRPr="00A444EC">
        <w:rPr>
          <w:rFonts w:hint="cs"/>
          <w:rtl/>
          <w:lang/>
        </w:rPr>
        <w:t>فإن ال</w:t>
      </w:r>
      <w:r w:rsidRPr="00A444EC">
        <w:rPr>
          <w:rtl/>
          <w:lang/>
        </w:rPr>
        <w:t>تفسير</w:t>
      </w:r>
      <w:r w:rsidRPr="00A444EC">
        <w:rPr>
          <w:rFonts w:hint="cs"/>
          <w:rtl/>
          <w:lang/>
        </w:rPr>
        <w:t xml:space="preserve"> الذي قدمته صاحبة</w:t>
      </w:r>
      <w:r w:rsidRPr="00A444EC">
        <w:rPr>
          <w:rtl/>
          <w:lang/>
        </w:rPr>
        <w:t xml:space="preserve"> الشكوى هو </w:t>
      </w:r>
      <w:r w:rsidRPr="00A444EC">
        <w:rPr>
          <w:rFonts w:hint="cs"/>
          <w:rtl/>
          <w:lang/>
        </w:rPr>
        <w:t>تفسير</w:t>
      </w:r>
      <w:r w:rsidRPr="00A444EC">
        <w:rPr>
          <w:rtl/>
          <w:lang/>
        </w:rPr>
        <w:t xml:space="preserve"> خاطئ، لأن إجراءات المحكمة الأوروبية لحقوق الإنسان لا تسمح </w:t>
      </w:r>
      <w:r w:rsidRPr="00A444EC">
        <w:rPr>
          <w:rFonts w:hint="cs"/>
          <w:rtl/>
          <w:lang/>
        </w:rPr>
        <w:t>با</w:t>
      </w:r>
      <w:r w:rsidRPr="00A444EC">
        <w:rPr>
          <w:rtl/>
          <w:lang/>
        </w:rPr>
        <w:t xml:space="preserve">لنظر </w:t>
      </w:r>
      <w:r w:rsidRPr="00A444EC">
        <w:rPr>
          <w:rFonts w:hint="cs"/>
          <w:rtl/>
          <w:lang/>
        </w:rPr>
        <w:t xml:space="preserve">بصورة </w:t>
      </w:r>
      <w:r w:rsidRPr="00A444EC">
        <w:rPr>
          <w:rtl/>
          <w:lang/>
        </w:rPr>
        <w:t xml:space="preserve">منفصلة </w:t>
      </w:r>
      <w:r w:rsidRPr="00A444EC">
        <w:rPr>
          <w:rFonts w:hint="cs"/>
          <w:rtl/>
          <w:lang/>
        </w:rPr>
        <w:t>في</w:t>
      </w:r>
      <w:r w:rsidRPr="00A444EC">
        <w:rPr>
          <w:rtl/>
          <w:lang/>
        </w:rPr>
        <w:t xml:space="preserve"> طلب اتخاذ تدابير مؤقتة. </w:t>
      </w:r>
      <w:r w:rsidRPr="00A444EC">
        <w:rPr>
          <w:rFonts w:hint="cs"/>
          <w:rtl/>
          <w:lang/>
        </w:rPr>
        <w:t xml:space="preserve">ولا تستخدم </w:t>
      </w:r>
      <w:r w:rsidRPr="00A444EC">
        <w:rPr>
          <w:rtl/>
          <w:lang/>
        </w:rPr>
        <w:t>تدابير الحماية</w:t>
      </w:r>
      <w:r w:rsidRPr="00A444EC">
        <w:rPr>
          <w:rFonts w:hint="cs"/>
          <w:rtl/>
          <w:lang/>
        </w:rPr>
        <w:t xml:space="preserve"> هذه إلاّ</w:t>
      </w:r>
      <w:r w:rsidRPr="00A444EC">
        <w:rPr>
          <w:rtl/>
          <w:lang/>
        </w:rPr>
        <w:t xml:space="preserve"> لتعليق أمر الطرد </w:t>
      </w:r>
      <w:r w:rsidRPr="00A444EC">
        <w:rPr>
          <w:rFonts w:hint="cs"/>
          <w:rtl/>
          <w:lang/>
        </w:rPr>
        <w:t xml:space="preserve">أثناء نظر المحكمة في </w:t>
      </w:r>
      <w:r w:rsidRPr="00A444EC">
        <w:rPr>
          <w:rtl/>
          <w:lang/>
        </w:rPr>
        <w:t>القضية. وعلاوة على ذلك، فمن الواضح أن</w:t>
      </w:r>
      <w:r w:rsidRPr="00A444EC">
        <w:rPr>
          <w:rFonts w:hint="cs"/>
          <w:rtl/>
          <w:lang/>
        </w:rPr>
        <w:t xml:space="preserve"> الأمر يتعلق بشكوى قدمها السيد أنسي عبيشو</w:t>
      </w:r>
      <w:r w:rsidRPr="00A444EC">
        <w:rPr>
          <w:rtl/>
          <w:lang/>
        </w:rPr>
        <w:t xml:space="preserve"> إلى المحكمة </w:t>
      </w:r>
      <w:r w:rsidRPr="00A444EC">
        <w:rPr>
          <w:rFonts w:hint="cs"/>
          <w:rtl/>
          <w:lang/>
        </w:rPr>
        <w:t xml:space="preserve">حسب الأصول </w:t>
      </w:r>
      <w:r w:rsidRPr="00A444EC">
        <w:rPr>
          <w:rtl/>
          <w:lang/>
        </w:rPr>
        <w:t>بموجب المادة 34 من الاتفاقية الأوروبية لحقوق الإنسان</w:t>
      </w:r>
      <w:r w:rsidRPr="00A444EC">
        <w:rPr>
          <w:vertAlign w:val="superscript"/>
          <w:rtl/>
          <w:lang w:val="fr-CH"/>
        </w:rPr>
        <w:t>(</w:t>
      </w:r>
      <w:r w:rsidRPr="00A444EC">
        <w:rPr>
          <w:rStyle w:val="FootnoteReference"/>
          <w:rtl/>
          <w:lang w:val="fr-CH"/>
        </w:rPr>
        <w:footnoteReference w:id="137"/>
      </w:r>
      <w:r w:rsidRPr="00A444EC">
        <w:rPr>
          <w:vertAlign w:val="superscript"/>
          <w:rtl/>
          <w:lang w:val="fr-CH"/>
        </w:rPr>
        <w:t>)</w:t>
      </w:r>
      <w:r w:rsidRPr="00A444EC">
        <w:rPr>
          <w:rtl/>
          <w:lang/>
        </w:rPr>
        <w:t xml:space="preserve">. </w:t>
      </w:r>
      <w:r w:rsidRPr="00A444EC">
        <w:rPr>
          <w:rFonts w:hint="cs"/>
          <w:rtl/>
          <w:lang/>
        </w:rPr>
        <w:t>و</w:t>
      </w:r>
      <w:r w:rsidRPr="00A444EC">
        <w:rPr>
          <w:rtl/>
          <w:lang/>
        </w:rPr>
        <w:t>في</w:t>
      </w:r>
      <w:r w:rsidRPr="00A444EC">
        <w:rPr>
          <w:rFonts w:hint="cs"/>
          <w:rtl/>
          <w:lang/>
        </w:rPr>
        <w:t xml:space="preserve"> جميع الأحوال</w:t>
      </w:r>
      <w:r w:rsidRPr="00A444EC">
        <w:rPr>
          <w:rtl/>
          <w:lang/>
        </w:rPr>
        <w:t xml:space="preserve">، </w:t>
      </w:r>
      <w:r w:rsidRPr="00A444EC">
        <w:rPr>
          <w:rFonts w:hint="cs"/>
          <w:rtl/>
          <w:lang/>
        </w:rPr>
        <w:t xml:space="preserve">فقد </w:t>
      </w:r>
      <w:r w:rsidRPr="00A444EC">
        <w:rPr>
          <w:rtl/>
          <w:lang/>
        </w:rPr>
        <w:t>كان</w:t>
      </w:r>
      <w:r w:rsidRPr="00A444EC">
        <w:rPr>
          <w:rFonts w:hint="cs"/>
          <w:rtl/>
          <w:lang/>
        </w:rPr>
        <w:t>ت</w:t>
      </w:r>
      <w:r w:rsidRPr="00A444EC">
        <w:rPr>
          <w:rtl/>
          <w:lang/>
        </w:rPr>
        <w:t xml:space="preserve"> </w:t>
      </w:r>
      <w:r w:rsidRPr="00A444EC">
        <w:rPr>
          <w:rFonts w:hint="cs"/>
          <w:rtl/>
          <w:lang/>
        </w:rPr>
        <w:t>هذه الطريقة</w:t>
      </w:r>
      <w:r w:rsidRPr="00A444EC">
        <w:rPr>
          <w:rtl/>
          <w:lang/>
        </w:rPr>
        <w:t xml:space="preserve"> </w:t>
      </w:r>
      <w:r w:rsidRPr="00A444EC">
        <w:rPr>
          <w:rFonts w:hint="cs"/>
          <w:rtl/>
          <w:lang/>
        </w:rPr>
        <w:t>هي السبيل الوحيد</w:t>
      </w:r>
      <w:r w:rsidRPr="00A444EC">
        <w:rPr>
          <w:rtl/>
          <w:lang/>
        </w:rPr>
        <w:t xml:space="preserve"> لتقديم طلب </w:t>
      </w:r>
      <w:r w:rsidRPr="00A444EC">
        <w:rPr>
          <w:rFonts w:hint="cs"/>
          <w:rtl/>
          <w:lang/>
        </w:rPr>
        <w:t>إلى ا</w:t>
      </w:r>
      <w:r w:rsidRPr="00A444EC">
        <w:rPr>
          <w:rtl/>
          <w:lang/>
        </w:rPr>
        <w:t>لمحكمة</w:t>
      </w:r>
      <w:r w:rsidRPr="00A444EC">
        <w:rPr>
          <w:rFonts w:hint="cs"/>
          <w:rtl/>
          <w:lang/>
        </w:rPr>
        <w:t xml:space="preserve"> ل</w:t>
      </w:r>
      <w:r w:rsidRPr="00A444EC">
        <w:rPr>
          <w:rtl/>
          <w:lang/>
        </w:rPr>
        <w:t>اتخاذ تدابير مؤقتة، و</w:t>
      </w:r>
      <w:r w:rsidRPr="00A444EC">
        <w:rPr>
          <w:rFonts w:hint="cs"/>
          <w:rtl/>
          <w:lang/>
        </w:rPr>
        <w:t xml:space="preserve">لا يمكن أن يجهل </w:t>
      </w:r>
      <w:r w:rsidRPr="00A444EC">
        <w:rPr>
          <w:rtl/>
          <w:lang/>
        </w:rPr>
        <w:t xml:space="preserve">محامي </w:t>
      </w:r>
      <w:r w:rsidRPr="00A444EC">
        <w:rPr>
          <w:rFonts w:hint="cs"/>
          <w:rtl/>
          <w:lang/>
        </w:rPr>
        <w:t xml:space="preserve">السيد أنسي عبيشو </w:t>
      </w:r>
      <w:r w:rsidRPr="00A444EC">
        <w:rPr>
          <w:rtl/>
          <w:lang/>
        </w:rPr>
        <w:t xml:space="preserve">هذه الحقيقة. </w:t>
      </w:r>
      <w:r w:rsidRPr="00A444EC">
        <w:rPr>
          <w:rFonts w:hint="cs"/>
          <w:rtl/>
          <w:lang/>
        </w:rPr>
        <w:t>و</w:t>
      </w:r>
      <w:r w:rsidRPr="00A444EC">
        <w:rPr>
          <w:rtl/>
          <w:lang/>
        </w:rPr>
        <w:t>في 12 آب</w:t>
      </w:r>
      <w:r w:rsidRPr="00A444EC">
        <w:rPr>
          <w:rFonts w:hint="cs"/>
          <w:rtl/>
          <w:lang/>
        </w:rPr>
        <w:t>/أغسطس</w:t>
      </w:r>
      <w:r w:rsidRPr="00A444EC">
        <w:rPr>
          <w:rtl/>
          <w:lang/>
        </w:rPr>
        <w:t xml:space="preserve"> 2010، أبلغ</w:t>
      </w:r>
      <w:r w:rsidRPr="00A444EC">
        <w:rPr>
          <w:rFonts w:hint="cs"/>
          <w:rtl/>
          <w:lang/>
        </w:rPr>
        <w:t>ت</w:t>
      </w:r>
      <w:r w:rsidRPr="00A444EC">
        <w:rPr>
          <w:rtl/>
          <w:lang/>
        </w:rPr>
        <w:t xml:space="preserve"> المحكمة الأوروبية لحقوق الإنسان </w:t>
      </w:r>
      <w:r w:rsidRPr="00A444EC">
        <w:rPr>
          <w:rFonts w:hint="cs"/>
          <w:rtl/>
          <w:lang/>
        </w:rPr>
        <w:t>السيد أنسي عبيشو</w:t>
      </w:r>
      <w:r w:rsidRPr="00A444EC">
        <w:rPr>
          <w:rtl/>
          <w:lang/>
        </w:rPr>
        <w:t xml:space="preserve"> </w:t>
      </w:r>
      <w:r w:rsidRPr="00A444EC">
        <w:rPr>
          <w:rFonts w:hint="cs"/>
          <w:rtl/>
          <w:lang/>
        </w:rPr>
        <w:t>برفض</w:t>
      </w:r>
      <w:r w:rsidRPr="00A444EC">
        <w:rPr>
          <w:rtl/>
          <w:lang/>
        </w:rPr>
        <w:t xml:space="preserve"> طلبه</w:t>
      </w:r>
      <w:r w:rsidRPr="00A444EC">
        <w:rPr>
          <w:rFonts w:hint="cs"/>
          <w:rtl/>
          <w:lang/>
        </w:rPr>
        <w:t xml:space="preserve"> المتعلق</w:t>
      </w:r>
      <w:r w:rsidRPr="00A444EC">
        <w:rPr>
          <w:rtl/>
          <w:lang/>
        </w:rPr>
        <w:t xml:space="preserve"> باتخاذ تدابير مؤقتة. </w:t>
      </w:r>
      <w:r w:rsidRPr="00A444EC">
        <w:rPr>
          <w:rFonts w:hint="cs"/>
          <w:rtl/>
          <w:lang/>
        </w:rPr>
        <w:t>و</w:t>
      </w:r>
      <w:r w:rsidRPr="00A444EC">
        <w:rPr>
          <w:rtl/>
          <w:lang/>
        </w:rPr>
        <w:t>في 24 آب</w:t>
      </w:r>
      <w:r w:rsidRPr="00A444EC">
        <w:rPr>
          <w:rFonts w:hint="cs"/>
          <w:rtl/>
          <w:lang/>
        </w:rPr>
        <w:t>/أغسطس</w:t>
      </w:r>
      <w:r w:rsidRPr="00A444EC">
        <w:rPr>
          <w:rtl/>
          <w:lang/>
        </w:rPr>
        <w:t xml:space="preserve"> 2010، أبلغ</w:t>
      </w:r>
      <w:r w:rsidRPr="00A444EC">
        <w:rPr>
          <w:rFonts w:hint="cs"/>
          <w:rtl/>
          <w:lang/>
        </w:rPr>
        <w:t>ته</w:t>
      </w:r>
      <w:r w:rsidRPr="00A444EC">
        <w:rPr>
          <w:rtl/>
          <w:lang/>
        </w:rPr>
        <w:t xml:space="preserve"> المحكمة </w:t>
      </w:r>
      <w:r w:rsidRPr="00A444EC">
        <w:rPr>
          <w:rFonts w:hint="cs"/>
          <w:rtl/>
          <w:lang/>
        </w:rPr>
        <w:t xml:space="preserve">أن شكواه ستعرض على </w:t>
      </w:r>
      <w:r w:rsidRPr="00A444EC">
        <w:rPr>
          <w:rtl/>
          <w:lang/>
        </w:rPr>
        <w:t>المحكمة في أقرب وقت ممكن. و</w:t>
      </w:r>
      <w:r w:rsidRPr="00A444EC">
        <w:rPr>
          <w:rFonts w:hint="cs"/>
          <w:rtl/>
          <w:lang/>
        </w:rPr>
        <w:t xml:space="preserve">من المفترض أن </w:t>
      </w:r>
      <w:r w:rsidRPr="00A444EC">
        <w:rPr>
          <w:rtl/>
          <w:lang/>
        </w:rPr>
        <w:t xml:space="preserve">محاميه </w:t>
      </w:r>
      <w:r w:rsidRPr="00A444EC">
        <w:rPr>
          <w:rFonts w:hint="cs"/>
          <w:rtl/>
          <w:lang/>
        </w:rPr>
        <w:t>كان يعلم بالضرورة أن</w:t>
      </w:r>
      <w:r w:rsidRPr="00A444EC">
        <w:rPr>
          <w:rtl/>
          <w:lang/>
        </w:rPr>
        <w:t xml:space="preserve"> </w:t>
      </w:r>
      <w:r w:rsidRPr="00A444EC">
        <w:rPr>
          <w:rFonts w:hint="cs"/>
          <w:rtl/>
          <w:lang/>
        </w:rPr>
        <w:t xml:space="preserve">شكواه </w:t>
      </w:r>
      <w:r w:rsidRPr="00A444EC">
        <w:rPr>
          <w:rtl/>
          <w:lang/>
        </w:rPr>
        <w:t xml:space="preserve">إلى المحكمة </w:t>
      </w:r>
      <w:r w:rsidRPr="00A444EC">
        <w:rPr>
          <w:rFonts w:hint="cs"/>
          <w:rtl/>
          <w:lang/>
        </w:rPr>
        <w:t>اعتبرت شكوى متعلقة بالأسس الموضوعية،</w:t>
      </w:r>
      <w:r w:rsidRPr="00A444EC">
        <w:rPr>
          <w:rtl/>
          <w:lang/>
        </w:rPr>
        <w:t xml:space="preserve"> وس</w:t>
      </w:r>
      <w:r w:rsidRPr="00A444EC">
        <w:rPr>
          <w:rFonts w:hint="cs"/>
          <w:rtl/>
          <w:lang/>
        </w:rPr>
        <w:t>يجري التعامل معها</w:t>
      </w:r>
      <w:r w:rsidRPr="00A444EC">
        <w:rPr>
          <w:rtl/>
          <w:lang/>
        </w:rPr>
        <w:t xml:space="preserve"> على هذا النحو. وتضيف الدولة الطرف </w:t>
      </w:r>
      <w:r w:rsidRPr="00A444EC">
        <w:rPr>
          <w:rFonts w:hint="cs"/>
          <w:rtl/>
          <w:lang/>
        </w:rPr>
        <w:t>أ</w:t>
      </w:r>
      <w:r w:rsidRPr="00A444EC">
        <w:rPr>
          <w:rtl/>
          <w:lang/>
        </w:rPr>
        <w:t xml:space="preserve">نها </w:t>
      </w:r>
      <w:r w:rsidRPr="00A444EC">
        <w:rPr>
          <w:rFonts w:hint="cs"/>
          <w:rtl/>
          <w:lang/>
        </w:rPr>
        <w:t xml:space="preserve">قد </w:t>
      </w:r>
      <w:r w:rsidRPr="00A444EC">
        <w:rPr>
          <w:rtl/>
          <w:lang/>
        </w:rPr>
        <w:t>طلبت</w:t>
      </w:r>
      <w:r w:rsidRPr="00A444EC">
        <w:rPr>
          <w:rFonts w:hint="cs"/>
          <w:rtl/>
          <w:lang/>
        </w:rPr>
        <w:t xml:space="preserve"> وتلقت من المحكمة</w:t>
      </w:r>
      <w:r w:rsidRPr="00A444EC">
        <w:rPr>
          <w:rtl/>
          <w:lang/>
        </w:rPr>
        <w:t xml:space="preserve"> في 7 شباط</w:t>
      </w:r>
      <w:r w:rsidRPr="00A444EC">
        <w:rPr>
          <w:rFonts w:hint="cs"/>
          <w:rtl/>
          <w:lang/>
        </w:rPr>
        <w:t>/فبراير</w:t>
      </w:r>
      <w:r w:rsidRPr="00A444EC">
        <w:rPr>
          <w:rtl/>
          <w:lang/>
        </w:rPr>
        <w:t xml:space="preserve"> 2011، تأكيد</w:t>
      </w:r>
      <w:r w:rsidRPr="00A444EC">
        <w:rPr>
          <w:rFonts w:hint="cs"/>
          <w:rtl/>
          <w:lang/>
        </w:rPr>
        <w:t>اً يفيد بأن الشكوى التي رفعها السيد أنسي عبيشو تشكل بالفعل شكوى كاملة معروضة على</w:t>
      </w:r>
      <w:r w:rsidRPr="00A444EC">
        <w:rPr>
          <w:rtl/>
          <w:lang/>
        </w:rPr>
        <w:t xml:space="preserve"> المحكمة. </w:t>
      </w:r>
      <w:r w:rsidRPr="00A444EC">
        <w:rPr>
          <w:rFonts w:hint="cs"/>
          <w:rtl/>
          <w:lang/>
        </w:rPr>
        <w:t>وحينئذ أدركت صاحبة</w:t>
      </w:r>
      <w:r w:rsidRPr="00A444EC">
        <w:rPr>
          <w:rtl/>
          <w:lang/>
        </w:rPr>
        <w:t xml:space="preserve"> الشكوى </w:t>
      </w:r>
      <w:r w:rsidRPr="00A444EC">
        <w:rPr>
          <w:rFonts w:hint="cs"/>
          <w:rtl/>
          <w:lang/>
        </w:rPr>
        <w:t>أن</w:t>
      </w:r>
      <w:r w:rsidRPr="00A444EC">
        <w:rPr>
          <w:rtl/>
          <w:lang/>
        </w:rPr>
        <w:t xml:space="preserve"> اللجنة </w:t>
      </w:r>
      <w:r w:rsidRPr="00A444EC">
        <w:rPr>
          <w:rFonts w:hint="cs"/>
          <w:rtl/>
          <w:lang/>
        </w:rPr>
        <w:t>لن تظل</w:t>
      </w:r>
      <w:r w:rsidRPr="00A444EC">
        <w:rPr>
          <w:rtl/>
          <w:lang/>
        </w:rPr>
        <w:t xml:space="preserve"> </w:t>
      </w:r>
      <w:r w:rsidRPr="00A444EC">
        <w:rPr>
          <w:rFonts w:hint="cs"/>
          <w:rtl/>
          <w:lang/>
        </w:rPr>
        <w:t>غافلة عن</w:t>
      </w:r>
      <w:r w:rsidRPr="00A444EC">
        <w:rPr>
          <w:rtl/>
          <w:lang/>
        </w:rPr>
        <w:t xml:space="preserve"> هذه الحقائق، </w:t>
      </w:r>
      <w:r w:rsidRPr="00A444EC">
        <w:rPr>
          <w:rFonts w:hint="cs"/>
          <w:rtl/>
          <w:lang/>
        </w:rPr>
        <w:t>ف</w:t>
      </w:r>
      <w:r w:rsidRPr="00A444EC">
        <w:rPr>
          <w:rtl/>
          <w:lang/>
        </w:rPr>
        <w:t xml:space="preserve">قررت سحب </w:t>
      </w:r>
      <w:r w:rsidRPr="00A444EC">
        <w:rPr>
          <w:rFonts w:hint="cs"/>
          <w:rtl/>
          <w:lang/>
        </w:rPr>
        <w:t xml:space="preserve">الشكوى التي قدمتها إلى </w:t>
      </w:r>
      <w:r w:rsidRPr="00A444EC">
        <w:rPr>
          <w:rtl/>
          <w:lang/>
        </w:rPr>
        <w:t xml:space="preserve">المحكمة الأوروبية لحقوق الإنسان. </w:t>
      </w:r>
      <w:r w:rsidRPr="00A444EC">
        <w:rPr>
          <w:rFonts w:hint="cs"/>
          <w:rtl/>
          <w:lang/>
        </w:rPr>
        <w:t>و</w:t>
      </w:r>
      <w:r w:rsidRPr="00A444EC">
        <w:rPr>
          <w:rtl/>
          <w:lang/>
        </w:rPr>
        <w:t xml:space="preserve">يدل </w:t>
      </w:r>
      <w:r w:rsidRPr="00A444EC">
        <w:rPr>
          <w:rFonts w:hint="cs"/>
          <w:rtl/>
          <w:lang/>
        </w:rPr>
        <w:t>هذا على</w:t>
      </w:r>
      <w:r w:rsidRPr="00A444EC">
        <w:rPr>
          <w:rtl/>
          <w:lang/>
        </w:rPr>
        <w:t xml:space="preserve"> أن صاحب</w:t>
      </w:r>
      <w:r w:rsidRPr="00A444EC">
        <w:rPr>
          <w:rFonts w:hint="cs"/>
          <w:rtl/>
          <w:lang/>
        </w:rPr>
        <w:t>ة</w:t>
      </w:r>
      <w:r w:rsidRPr="00A444EC">
        <w:rPr>
          <w:rtl/>
          <w:lang/>
        </w:rPr>
        <w:t xml:space="preserve"> الشكوى </w:t>
      </w:r>
      <w:r w:rsidRPr="00A444EC">
        <w:rPr>
          <w:rFonts w:hint="cs"/>
          <w:rtl/>
          <w:lang/>
        </w:rPr>
        <w:t>كانت على علم بأن شكواها لا تزال معروضة</w:t>
      </w:r>
      <w:r w:rsidRPr="00A444EC">
        <w:rPr>
          <w:rtl/>
          <w:lang/>
        </w:rPr>
        <w:t xml:space="preserve"> </w:t>
      </w:r>
      <w:r w:rsidRPr="00A444EC">
        <w:rPr>
          <w:rFonts w:hint="cs"/>
          <w:rtl/>
          <w:lang/>
        </w:rPr>
        <w:t>على</w:t>
      </w:r>
      <w:r w:rsidRPr="00A444EC">
        <w:rPr>
          <w:rtl/>
          <w:lang/>
        </w:rPr>
        <w:t xml:space="preserve"> المحكمة. </w:t>
      </w:r>
      <w:r w:rsidRPr="00A444EC">
        <w:rPr>
          <w:rFonts w:hint="cs"/>
          <w:rtl/>
          <w:lang/>
        </w:rPr>
        <w:t>وترى الدولة الطرف أن</w:t>
      </w:r>
      <w:r w:rsidRPr="00A444EC">
        <w:rPr>
          <w:rtl/>
          <w:lang/>
        </w:rPr>
        <w:t xml:space="preserve"> المسألة </w:t>
      </w:r>
      <w:r w:rsidRPr="00A444EC">
        <w:rPr>
          <w:rFonts w:hint="cs"/>
          <w:rtl/>
          <w:lang/>
        </w:rPr>
        <w:t>تتعلق</w:t>
      </w:r>
      <w:r w:rsidRPr="00A444EC">
        <w:rPr>
          <w:rtl/>
          <w:lang/>
        </w:rPr>
        <w:t xml:space="preserve"> </w:t>
      </w:r>
      <w:r w:rsidRPr="00A444EC">
        <w:rPr>
          <w:rFonts w:hint="cs"/>
          <w:rtl/>
          <w:lang/>
        </w:rPr>
        <w:t>بإفادة تعمدت فيها صاحبة</w:t>
      </w:r>
      <w:r w:rsidRPr="00A444EC">
        <w:rPr>
          <w:rtl/>
          <w:lang/>
        </w:rPr>
        <w:t xml:space="preserve"> الشكو</w:t>
      </w:r>
      <w:r w:rsidRPr="00A444EC">
        <w:rPr>
          <w:rFonts w:hint="cs"/>
          <w:rtl/>
          <w:lang/>
        </w:rPr>
        <w:t>ى الكذب</w:t>
      </w:r>
      <w:r w:rsidRPr="00A444EC">
        <w:rPr>
          <w:rtl/>
          <w:lang/>
        </w:rPr>
        <w:t>، و</w:t>
      </w:r>
      <w:r w:rsidRPr="00A444EC">
        <w:rPr>
          <w:rFonts w:hint="cs"/>
          <w:rtl/>
          <w:lang/>
        </w:rPr>
        <w:t>من ثم</w:t>
      </w:r>
      <w:r w:rsidRPr="00A444EC">
        <w:rPr>
          <w:rtl/>
          <w:lang/>
        </w:rPr>
        <w:t xml:space="preserve">، </w:t>
      </w:r>
      <w:r w:rsidRPr="00A444EC">
        <w:rPr>
          <w:rFonts w:hint="cs"/>
          <w:rtl/>
          <w:lang/>
        </w:rPr>
        <w:t>ب</w:t>
      </w:r>
      <w:r w:rsidRPr="00A444EC">
        <w:rPr>
          <w:rtl/>
          <w:lang/>
        </w:rPr>
        <w:t xml:space="preserve">إساءة استعمال الحق في تقديم </w:t>
      </w:r>
      <w:r w:rsidRPr="00A444EC">
        <w:rPr>
          <w:rFonts w:hint="cs"/>
          <w:rtl/>
          <w:lang/>
        </w:rPr>
        <w:t>البلاغات</w:t>
      </w:r>
      <w:r w:rsidRPr="00A444EC">
        <w:rPr>
          <w:rtl/>
          <w:lang/>
        </w:rPr>
        <w:t xml:space="preserve"> بالمعنى المقصود في الفقرة 2 من المادة 22 من الاتفاقية. </w:t>
      </w:r>
      <w:r w:rsidRPr="00A444EC">
        <w:rPr>
          <w:rFonts w:hint="cs"/>
          <w:rtl/>
          <w:lang/>
        </w:rPr>
        <w:t>وبناءً على ذلك</w:t>
      </w:r>
      <w:r w:rsidRPr="00A444EC">
        <w:rPr>
          <w:rtl/>
          <w:lang/>
        </w:rPr>
        <w:t xml:space="preserve">، </w:t>
      </w:r>
      <w:r w:rsidRPr="00A444EC">
        <w:rPr>
          <w:rFonts w:hint="cs"/>
          <w:rtl/>
          <w:lang/>
        </w:rPr>
        <w:t>ت</w:t>
      </w:r>
      <w:r w:rsidRPr="00A444EC">
        <w:rPr>
          <w:rtl/>
          <w:lang/>
        </w:rPr>
        <w:t xml:space="preserve">طلب الدولة الطرف إلى اللجنة رفض </w:t>
      </w:r>
      <w:r w:rsidRPr="00A444EC">
        <w:rPr>
          <w:rFonts w:hint="cs"/>
          <w:rtl/>
          <w:lang/>
        </w:rPr>
        <w:t xml:space="preserve">بلاغها </w:t>
      </w:r>
      <w:r w:rsidRPr="00A444EC">
        <w:rPr>
          <w:rtl/>
          <w:lang/>
        </w:rPr>
        <w:t>على أساس أن</w:t>
      </w:r>
      <w:r w:rsidRPr="00A444EC">
        <w:rPr>
          <w:rFonts w:hint="cs"/>
          <w:rtl/>
          <w:lang/>
        </w:rPr>
        <w:t xml:space="preserve">ه </w:t>
      </w:r>
      <w:r w:rsidRPr="00A444EC">
        <w:rPr>
          <w:rtl/>
          <w:lang/>
        </w:rPr>
        <w:t xml:space="preserve">يشكل إساءة لاستعمال الحق في تقديم </w:t>
      </w:r>
      <w:r w:rsidRPr="00A444EC">
        <w:rPr>
          <w:rFonts w:hint="cs"/>
          <w:rtl/>
          <w:lang/>
        </w:rPr>
        <w:t>البلاغات</w:t>
      </w:r>
      <w:r w:rsidRPr="00A444EC">
        <w:rPr>
          <w:rtl/>
          <w:lang/>
        </w:rPr>
        <w:t xml:space="preserve">، وكذلك على أساس الفقرة 5(أ) من المادة 22 </w:t>
      </w:r>
      <w:r w:rsidRPr="00A444EC">
        <w:rPr>
          <w:rFonts w:hint="cs"/>
          <w:rtl/>
          <w:lang/>
        </w:rPr>
        <w:t>من</w:t>
      </w:r>
      <w:r w:rsidRPr="00A444EC">
        <w:rPr>
          <w:rtl/>
          <w:lang/>
        </w:rPr>
        <w:t xml:space="preserve"> الاتفاقية.</w:t>
      </w:r>
    </w:p>
    <w:p w:rsidR="005E110C" w:rsidRPr="00282AAC" w:rsidRDefault="005E110C" w:rsidP="00FA645B">
      <w:pPr>
        <w:pStyle w:val="SingleTxtGA"/>
        <w:rPr>
          <w:rStyle w:val="hps"/>
          <w:rtl/>
          <w:lang/>
        </w:rPr>
      </w:pPr>
      <w:r w:rsidRPr="00FA645B">
        <w:rPr>
          <w:spacing w:val="-2"/>
          <w:rtl/>
          <w:lang w:val="fr-CH"/>
        </w:rPr>
        <w:t>6-2</w:t>
      </w:r>
      <w:r w:rsidRPr="00FA645B">
        <w:rPr>
          <w:spacing w:val="-2"/>
          <w:rtl/>
          <w:lang w:val="fr-CH"/>
        </w:rPr>
        <w:tab/>
      </w:r>
      <w:r w:rsidRPr="00FA645B">
        <w:rPr>
          <w:rStyle w:val="hps"/>
          <w:spacing w:val="-2"/>
          <w:rtl/>
          <w:lang/>
        </w:rPr>
        <w:t>وفيما يتعلق</w:t>
      </w:r>
      <w:r w:rsidRPr="00FA645B">
        <w:rPr>
          <w:spacing w:val="-2"/>
          <w:rtl/>
          <w:lang/>
        </w:rPr>
        <w:t xml:space="preserve"> </w:t>
      </w:r>
      <w:r w:rsidRPr="00FA645B">
        <w:rPr>
          <w:rStyle w:val="hps"/>
          <w:rFonts w:hint="cs"/>
          <w:spacing w:val="-2"/>
          <w:rtl/>
          <w:lang/>
        </w:rPr>
        <w:t>بالأسس الموضوعية</w:t>
      </w:r>
      <w:r w:rsidRPr="00FA645B">
        <w:rPr>
          <w:spacing w:val="-2"/>
          <w:rtl/>
          <w:lang/>
        </w:rPr>
        <w:t xml:space="preserve">، </w:t>
      </w:r>
      <w:r w:rsidRPr="00FA645B">
        <w:rPr>
          <w:rFonts w:hint="cs"/>
          <w:spacing w:val="-2"/>
          <w:rtl/>
          <w:lang/>
        </w:rPr>
        <w:t>توضح الدولة الطرف أنها قد قدمت</w:t>
      </w:r>
      <w:r w:rsidRPr="00FA645B">
        <w:rPr>
          <w:spacing w:val="-2"/>
          <w:rtl/>
          <w:lang/>
        </w:rPr>
        <w:t xml:space="preserve"> </w:t>
      </w:r>
      <w:r w:rsidRPr="00FA645B">
        <w:rPr>
          <w:rStyle w:val="hps"/>
          <w:spacing w:val="-2"/>
          <w:rtl/>
          <w:lang/>
        </w:rPr>
        <w:t>هذه الملاحظات</w:t>
      </w:r>
      <w:r w:rsidRPr="00FA645B">
        <w:rPr>
          <w:spacing w:val="-2"/>
          <w:rtl/>
          <w:lang/>
        </w:rPr>
        <w:t xml:space="preserve"> </w:t>
      </w:r>
      <w:r w:rsidRPr="00FA645B">
        <w:rPr>
          <w:rStyle w:val="hps"/>
          <w:spacing w:val="-2"/>
          <w:rtl/>
          <w:lang/>
        </w:rPr>
        <w:t xml:space="preserve">على الرغم من </w:t>
      </w:r>
      <w:r w:rsidRPr="00FA645B">
        <w:rPr>
          <w:rStyle w:val="hps"/>
          <w:rFonts w:hint="cs"/>
          <w:spacing w:val="-2"/>
          <w:rtl/>
          <w:lang/>
        </w:rPr>
        <w:t xml:space="preserve">أنها تظل مقتنعة </w:t>
      </w:r>
      <w:r w:rsidRPr="00FA645B">
        <w:rPr>
          <w:rStyle w:val="hps"/>
          <w:spacing w:val="-2"/>
          <w:rtl/>
          <w:lang/>
        </w:rPr>
        <w:t>ب</w:t>
      </w:r>
      <w:r w:rsidRPr="00FA645B">
        <w:rPr>
          <w:rStyle w:val="hps"/>
          <w:rFonts w:hint="cs"/>
          <w:spacing w:val="-2"/>
          <w:rtl/>
          <w:lang/>
        </w:rPr>
        <w:t>عدم استناد</w:t>
      </w:r>
      <w:r w:rsidRPr="00FA645B">
        <w:rPr>
          <w:rStyle w:val="hps"/>
          <w:spacing w:val="-2"/>
          <w:rtl/>
          <w:lang/>
        </w:rPr>
        <w:t xml:space="preserve"> البلاغ</w:t>
      </w:r>
      <w:r w:rsidRPr="00FA645B">
        <w:rPr>
          <w:spacing w:val="-2"/>
          <w:rtl/>
          <w:lang/>
        </w:rPr>
        <w:t xml:space="preserve"> إلى </w:t>
      </w:r>
      <w:r w:rsidRPr="00FA645B">
        <w:rPr>
          <w:rStyle w:val="hps"/>
          <w:rFonts w:hint="cs"/>
          <w:spacing w:val="-2"/>
          <w:rtl/>
          <w:lang/>
        </w:rPr>
        <w:t>أي</w:t>
      </w:r>
      <w:r w:rsidRPr="00FA645B">
        <w:rPr>
          <w:rStyle w:val="hps"/>
          <w:spacing w:val="-2"/>
          <w:rtl/>
          <w:lang/>
        </w:rPr>
        <w:t xml:space="preserve"> أساس</w:t>
      </w:r>
      <w:r w:rsidRPr="00FA645B">
        <w:rPr>
          <w:spacing w:val="-2"/>
          <w:rtl/>
          <w:lang/>
        </w:rPr>
        <w:t xml:space="preserve"> </w:t>
      </w:r>
      <w:r w:rsidRPr="00FA645B">
        <w:rPr>
          <w:rStyle w:val="hps"/>
          <w:spacing w:val="-2"/>
          <w:rtl/>
          <w:lang/>
        </w:rPr>
        <w:t>قانوني</w:t>
      </w:r>
      <w:r w:rsidRPr="00FA645B">
        <w:rPr>
          <w:spacing w:val="-2"/>
          <w:rtl/>
          <w:lang/>
        </w:rPr>
        <w:t xml:space="preserve">، </w:t>
      </w:r>
      <w:r w:rsidRPr="00FA645B">
        <w:rPr>
          <w:rStyle w:val="hps"/>
          <w:rFonts w:hint="cs"/>
          <w:spacing w:val="-2"/>
          <w:rtl/>
          <w:lang/>
        </w:rPr>
        <w:t xml:space="preserve">وترى </w:t>
      </w:r>
      <w:r w:rsidRPr="00FA645B">
        <w:rPr>
          <w:rStyle w:val="hps"/>
          <w:spacing w:val="-2"/>
          <w:rtl/>
          <w:lang/>
        </w:rPr>
        <w:t>أن</w:t>
      </w:r>
      <w:r w:rsidRPr="00FA645B">
        <w:rPr>
          <w:spacing w:val="-2"/>
          <w:rtl/>
          <w:lang/>
        </w:rPr>
        <w:t xml:space="preserve"> </w:t>
      </w:r>
      <w:r w:rsidRPr="00FA645B">
        <w:rPr>
          <w:rStyle w:val="hps"/>
          <w:spacing w:val="-2"/>
          <w:rtl/>
          <w:lang/>
        </w:rPr>
        <w:t>إجراءات التسليم</w:t>
      </w:r>
      <w:r w:rsidRPr="00FA645B">
        <w:rPr>
          <w:spacing w:val="-2"/>
          <w:rtl/>
          <w:lang/>
        </w:rPr>
        <w:t xml:space="preserve"> </w:t>
      </w:r>
      <w:r w:rsidRPr="00FA645B">
        <w:rPr>
          <w:rStyle w:val="hps"/>
          <w:rFonts w:hint="cs"/>
          <w:spacing w:val="-2"/>
          <w:rtl/>
          <w:lang/>
        </w:rPr>
        <w:t>تتضمن مستويين</w:t>
      </w:r>
      <w:r w:rsidRPr="00FA645B">
        <w:rPr>
          <w:spacing w:val="-2"/>
          <w:rtl/>
          <w:lang/>
        </w:rPr>
        <w:t xml:space="preserve"> </w:t>
      </w:r>
      <w:r w:rsidRPr="00FA645B">
        <w:rPr>
          <w:rStyle w:val="hps"/>
          <w:rFonts w:hint="cs"/>
          <w:spacing w:val="-2"/>
          <w:rtl/>
          <w:lang/>
        </w:rPr>
        <w:t>للرقابة</w:t>
      </w:r>
      <w:r w:rsidRPr="00FA645B">
        <w:rPr>
          <w:spacing w:val="-2"/>
          <w:rtl/>
          <w:lang/>
        </w:rPr>
        <w:t xml:space="preserve">. </w:t>
      </w:r>
      <w:r w:rsidRPr="00FA645B">
        <w:rPr>
          <w:rFonts w:hint="cs"/>
          <w:spacing w:val="-2"/>
          <w:rtl/>
          <w:lang/>
        </w:rPr>
        <w:t>ف</w:t>
      </w:r>
      <w:r w:rsidRPr="00FA645B">
        <w:rPr>
          <w:rStyle w:val="hps"/>
          <w:spacing w:val="-2"/>
          <w:rtl/>
          <w:lang/>
        </w:rPr>
        <w:t xml:space="preserve">يجب </w:t>
      </w:r>
      <w:r w:rsidRPr="00FA645B">
        <w:rPr>
          <w:rStyle w:val="hps"/>
          <w:rFonts w:hint="cs"/>
          <w:spacing w:val="-2"/>
          <w:rtl/>
          <w:lang/>
        </w:rPr>
        <w:t>في المقام الأول</w:t>
      </w:r>
      <w:r w:rsidRPr="00FA645B">
        <w:rPr>
          <w:rStyle w:val="hps"/>
          <w:spacing w:val="-2"/>
          <w:rtl/>
          <w:lang/>
        </w:rPr>
        <w:t xml:space="preserve"> أن توافق</w:t>
      </w:r>
      <w:r w:rsidRPr="00FA645B">
        <w:rPr>
          <w:rStyle w:val="hps"/>
          <w:rFonts w:hint="cs"/>
          <w:spacing w:val="-2"/>
          <w:rtl/>
          <w:lang/>
        </w:rPr>
        <w:t xml:space="preserve"> على هذا النوع من الطلبات محكمة إقليمية عليا تستند </w:t>
      </w:r>
      <w:r w:rsidRPr="00FA645B">
        <w:rPr>
          <w:rStyle w:val="hps"/>
          <w:spacing w:val="-2"/>
          <w:rtl/>
          <w:lang/>
        </w:rPr>
        <w:t xml:space="preserve">في قرارها </w:t>
      </w:r>
      <w:r w:rsidRPr="00FA645B">
        <w:rPr>
          <w:rStyle w:val="hps"/>
          <w:rFonts w:hint="cs"/>
          <w:spacing w:val="-2"/>
          <w:rtl/>
          <w:lang/>
        </w:rPr>
        <w:t>إلى تقارير مصادر عديدة</w:t>
      </w:r>
      <w:r w:rsidRPr="00FA645B">
        <w:rPr>
          <w:spacing w:val="-2"/>
          <w:rtl/>
          <w:lang/>
        </w:rPr>
        <w:t>، بما في</w:t>
      </w:r>
      <w:r w:rsidRPr="00FA645B">
        <w:rPr>
          <w:rFonts w:hint="cs"/>
          <w:spacing w:val="-2"/>
          <w:rtl/>
          <w:lang/>
        </w:rPr>
        <w:t>ها</w:t>
      </w:r>
      <w:r w:rsidRPr="00FA645B">
        <w:rPr>
          <w:spacing w:val="-2"/>
          <w:rtl/>
          <w:lang/>
        </w:rPr>
        <w:t xml:space="preserve"> </w:t>
      </w:r>
      <w:r w:rsidRPr="00FA645B">
        <w:rPr>
          <w:rStyle w:val="hps"/>
          <w:spacing w:val="-2"/>
          <w:rtl/>
          <w:lang/>
        </w:rPr>
        <w:t>المنظمات غير الحكومية</w:t>
      </w:r>
      <w:r w:rsidRPr="00FA645B">
        <w:rPr>
          <w:spacing w:val="-2"/>
          <w:rtl/>
          <w:lang/>
        </w:rPr>
        <w:t xml:space="preserve">، </w:t>
      </w:r>
      <w:r w:rsidRPr="00FA645B">
        <w:rPr>
          <w:rStyle w:val="hps"/>
          <w:rFonts w:hint="cs"/>
          <w:spacing w:val="-2"/>
          <w:rtl/>
          <w:lang/>
        </w:rPr>
        <w:t>بشأن</w:t>
      </w:r>
      <w:r w:rsidRPr="00FA645B">
        <w:rPr>
          <w:spacing w:val="-2"/>
          <w:rtl/>
          <w:lang/>
        </w:rPr>
        <w:t xml:space="preserve"> </w:t>
      </w:r>
      <w:r w:rsidRPr="00FA645B">
        <w:rPr>
          <w:rStyle w:val="hps"/>
          <w:spacing w:val="-2"/>
          <w:rtl/>
          <w:lang/>
        </w:rPr>
        <w:t>حالة حقوق الإنسان</w:t>
      </w:r>
      <w:r w:rsidRPr="00FA645B">
        <w:rPr>
          <w:spacing w:val="-2"/>
          <w:rtl/>
          <w:lang/>
        </w:rPr>
        <w:t xml:space="preserve"> </w:t>
      </w:r>
      <w:r w:rsidRPr="00FA645B">
        <w:rPr>
          <w:rStyle w:val="hps"/>
          <w:spacing w:val="-2"/>
          <w:rtl/>
          <w:lang/>
        </w:rPr>
        <w:t>في الدولة ال</w:t>
      </w:r>
      <w:r w:rsidRPr="00FA645B">
        <w:rPr>
          <w:rStyle w:val="hps"/>
          <w:rFonts w:hint="cs"/>
          <w:spacing w:val="-2"/>
          <w:rtl/>
          <w:lang/>
        </w:rPr>
        <w:t>م</w:t>
      </w:r>
      <w:r w:rsidRPr="00FA645B">
        <w:rPr>
          <w:rStyle w:val="hps"/>
          <w:spacing w:val="-2"/>
          <w:rtl/>
          <w:lang/>
        </w:rPr>
        <w:t>طالبة</w:t>
      </w:r>
      <w:r w:rsidRPr="00FA645B">
        <w:rPr>
          <w:spacing w:val="-2"/>
          <w:rtl/>
          <w:lang/>
        </w:rPr>
        <w:t xml:space="preserve">. </w:t>
      </w:r>
      <w:r w:rsidRPr="00FA645B">
        <w:rPr>
          <w:rFonts w:hint="cs"/>
          <w:spacing w:val="-2"/>
          <w:rtl/>
          <w:lang/>
        </w:rPr>
        <w:t>و</w:t>
      </w:r>
      <w:r w:rsidRPr="00FA645B">
        <w:rPr>
          <w:rStyle w:val="hps"/>
          <w:rFonts w:hint="cs"/>
          <w:spacing w:val="-2"/>
          <w:rtl/>
          <w:lang/>
        </w:rPr>
        <w:t>ل</w:t>
      </w:r>
      <w:r w:rsidRPr="00FA645B">
        <w:rPr>
          <w:rStyle w:val="hps"/>
          <w:spacing w:val="-2"/>
          <w:rtl/>
          <w:lang/>
        </w:rPr>
        <w:t>لشخص المعني</w:t>
      </w:r>
      <w:r w:rsidRPr="00FA645B">
        <w:rPr>
          <w:spacing w:val="-2"/>
          <w:rtl/>
          <w:lang/>
        </w:rPr>
        <w:t xml:space="preserve"> </w:t>
      </w:r>
      <w:r w:rsidRPr="00FA645B">
        <w:rPr>
          <w:rStyle w:val="hps"/>
          <w:rFonts w:hint="cs"/>
          <w:spacing w:val="-2"/>
          <w:rtl/>
          <w:lang/>
        </w:rPr>
        <w:t xml:space="preserve">أن يقدم </w:t>
      </w:r>
      <w:r w:rsidRPr="00FA645B">
        <w:rPr>
          <w:rStyle w:val="hps"/>
          <w:spacing w:val="-2"/>
          <w:rtl/>
          <w:lang/>
        </w:rPr>
        <w:t>أي</w:t>
      </w:r>
      <w:r w:rsidRPr="00FA645B">
        <w:rPr>
          <w:rStyle w:val="hps"/>
          <w:rFonts w:hint="cs"/>
          <w:spacing w:val="-2"/>
          <w:rtl/>
          <w:lang/>
        </w:rPr>
        <w:t>ة</w:t>
      </w:r>
      <w:r w:rsidRPr="00FA645B">
        <w:rPr>
          <w:rStyle w:val="hps"/>
          <w:spacing w:val="-2"/>
          <w:rtl/>
          <w:lang/>
        </w:rPr>
        <w:t xml:space="preserve"> معلومات </w:t>
      </w:r>
      <w:r w:rsidRPr="00FA645B">
        <w:rPr>
          <w:rStyle w:val="hps"/>
          <w:rFonts w:hint="cs"/>
          <w:spacing w:val="-2"/>
          <w:rtl/>
          <w:lang/>
        </w:rPr>
        <w:t>تتعلق</w:t>
      </w:r>
      <w:r w:rsidRPr="00FA645B">
        <w:rPr>
          <w:spacing w:val="-2"/>
          <w:rtl/>
          <w:lang/>
        </w:rPr>
        <w:t xml:space="preserve"> </w:t>
      </w:r>
      <w:r w:rsidRPr="00FA645B">
        <w:rPr>
          <w:rFonts w:hint="cs"/>
          <w:spacing w:val="-2"/>
          <w:rtl/>
          <w:lang/>
        </w:rPr>
        <w:t>ب</w:t>
      </w:r>
      <w:r w:rsidRPr="00FA645B">
        <w:rPr>
          <w:rStyle w:val="hps"/>
          <w:spacing w:val="-2"/>
          <w:rtl/>
          <w:lang/>
        </w:rPr>
        <w:t>المخاطر المحتملة</w:t>
      </w:r>
      <w:r w:rsidRPr="00FA645B">
        <w:rPr>
          <w:spacing w:val="-2"/>
          <w:rtl/>
          <w:lang/>
        </w:rPr>
        <w:t xml:space="preserve"> </w:t>
      </w:r>
      <w:r w:rsidRPr="00FA645B">
        <w:rPr>
          <w:rStyle w:val="hps"/>
          <w:spacing w:val="-2"/>
          <w:rtl/>
          <w:lang/>
        </w:rPr>
        <w:t>التي</w:t>
      </w:r>
      <w:r w:rsidRPr="00FA645B">
        <w:rPr>
          <w:spacing w:val="-2"/>
          <w:rtl/>
          <w:lang/>
        </w:rPr>
        <w:t xml:space="preserve"> </w:t>
      </w:r>
      <w:r w:rsidRPr="00FA645B">
        <w:rPr>
          <w:rStyle w:val="hps"/>
          <w:rFonts w:hint="cs"/>
          <w:spacing w:val="-2"/>
          <w:rtl/>
          <w:lang/>
        </w:rPr>
        <w:t>يدعي تعرضه</w:t>
      </w:r>
      <w:r w:rsidRPr="00FA645B">
        <w:rPr>
          <w:rStyle w:val="hps"/>
          <w:spacing w:val="-2"/>
          <w:rtl/>
          <w:lang/>
        </w:rPr>
        <w:t xml:space="preserve"> لها.</w:t>
      </w:r>
      <w:r w:rsidRPr="00FA645B">
        <w:rPr>
          <w:spacing w:val="-2"/>
          <w:rtl/>
          <w:lang/>
        </w:rPr>
        <w:t xml:space="preserve"> </w:t>
      </w:r>
      <w:r w:rsidRPr="00FA645B">
        <w:rPr>
          <w:rFonts w:hint="cs"/>
          <w:spacing w:val="-2"/>
          <w:rtl/>
          <w:lang/>
        </w:rPr>
        <w:t>و</w:t>
      </w:r>
      <w:r w:rsidRPr="00FA645B">
        <w:rPr>
          <w:rStyle w:val="hps"/>
          <w:spacing w:val="-2"/>
          <w:rtl/>
          <w:lang/>
        </w:rPr>
        <w:t>بعد</w:t>
      </w:r>
      <w:r w:rsidRPr="00FA645B">
        <w:rPr>
          <w:rStyle w:val="hps"/>
          <w:rFonts w:hint="cs"/>
          <w:spacing w:val="-2"/>
          <w:rtl/>
          <w:lang/>
        </w:rPr>
        <w:t xml:space="preserve"> موافقة</w:t>
      </w:r>
      <w:r w:rsidRPr="00FA645B">
        <w:rPr>
          <w:spacing w:val="-2"/>
          <w:rtl/>
          <w:lang/>
        </w:rPr>
        <w:t xml:space="preserve"> </w:t>
      </w:r>
      <w:r w:rsidRPr="00FA645B">
        <w:rPr>
          <w:rStyle w:val="hps"/>
          <w:spacing w:val="-2"/>
          <w:rtl/>
          <w:lang/>
        </w:rPr>
        <w:t>المحكمة الإقليمية العليا على</w:t>
      </w:r>
      <w:r w:rsidRPr="00FA645B">
        <w:rPr>
          <w:spacing w:val="-2"/>
          <w:rtl/>
          <w:lang/>
        </w:rPr>
        <w:t xml:space="preserve"> </w:t>
      </w:r>
      <w:r w:rsidRPr="00FA645B">
        <w:rPr>
          <w:rStyle w:val="hps"/>
          <w:spacing w:val="-2"/>
          <w:rtl/>
          <w:lang/>
        </w:rPr>
        <w:t>الطلب</w:t>
      </w:r>
      <w:r w:rsidRPr="00FA645B">
        <w:rPr>
          <w:spacing w:val="-2"/>
          <w:rtl/>
          <w:lang/>
        </w:rPr>
        <w:t xml:space="preserve">، </w:t>
      </w:r>
      <w:r w:rsidRPr="00FA645B">
        <w:rPr>
          <w:rStyle w:val="hps"/>
          <w:rFonts w:hint="cs"/>
          <w:spacing w:val="-2"/>
          <w:rtl/>
          <w:lang/>
        </w:rPr>
        <w:t>يجب أيضاً</w:t>
      </w:r>
      <w:r w:rsidRPr="00FA645B">
        <w:rPr>
          <w:rStyle w:val="hps"/>
          <w:spacing w:val="-2"/>
          <w:rtl/>
          <w:lang/>
        </w:rPr>
        <w:t xml:space="preserve"> </w:t>
      </w:r>
      <w:r w:rsidRPr="00FA645B">
        <w:rPr>
          <w:rStyle w:val="hps"/>
          <w:rFonts w:hint="cs"/>
          <w:spacing w:val="-2"/>
          <w:rtl/>
          <w:lang/>
        </w:rPr>
        <w:t xml:space="preserve">أن توافق </w:t>
      </w:r>
      <w:r w:rsidRPr="00FA645B">
        <w:rPr>
          <w:rStyle w:val="hps"/>
          <w:spacing w:val="-2"/>
          <w:rtl/>
          <w:lang/>
        </w:rPr>
        <w:t>حكومة</w:t>
      </w:r>
      <w:r w:rsidRPr="00FA645B">
        <w:rPr>
          <w:spacing w:val="-2"/>
          <w:rtl/>
          <w:lang/>
        </w:rPr>
        <w:t xml:space="preserve"> </w:t>
      </w:r>
      <w:r w:rsidRPr="00FA645B">
        <w:rPr>
          <w:rStyle w:val="hps"/>
          <w:spacing w:val="-2"/>
          <w:rtl/>
          <w:lang/>
        </w:rPr>
        <w:t>الدولة الطرف</w:t>
      </w:r>
      <w:r w:rsidRPr="00FA645B">
        <w:rPr>
          <w:spacing w:val="-2"/>
          <w:rtl/>
          <w:lang/>
        </w:rPr>
        <w:t xml:space="preserve"> </w:t>
      </w:r>
      <w:r w:rsidRPr="00FA645B">
        <w:rPr>
          <w:rStyle w:val="hps"/>
          <w:rFonts w:hint="cs"/>
          <w:spacing w:val="-2"/>
          <w:rtl/>
          <w:lang/>
        </w:rPr>
        <w:t>على التسليم</w:t>
      </w:r>
      <w:r w:rsidRPr="00FA645B">
        <w:rPr>
          <w:spacing w:val="-2"/>
          <w:rtl/>
          <w:lang/>
        </w:rPr>
        <w:t xml:space="preserve">. </w:t>
      </w:r>
      <w:r w:rsidRPr="00FA645B">
        <w:rPr>
          <w:rStyle w:val="hps"/>
          <w:spacing w:val="-2"/>
          <w:rtl/>
          <w:lang/>
        </w:rPr>
        <w:t>وت</w:t>
      </w:r>
      <w:r w:rsidRPr="00FA645B">
        <w:rPr>
          <w:rStyle w:val="hps"/>
          <w:rFonts w:hint="cs"/>
          <w:spacing w:val="-2"/>
          <w:rtl/>
          <w:lang/>
        </w:rPr>
        <w:t>نظر </w:t>
      </w:r>
      <w:r w:rsidRPr="00FA645B">
        <w:rPr>
          <w:rStyle w:val="hps"/>
          <w:spacing w:val="-2"/>
          <w:rtl/>
          <w:lang/>
        </w:rPr>
        <w:t>وزارة</w:t>
      </w:r>
      <w:r w:rsidRPr="00FA645B">
        <w:rPr>
          <w:spacing w:val="-2"/>
          <w:rtl/>
          <w:lang/>
        </w:rPr>
        <w:t xml:space="preserve"> </w:t>
      </w:r>
      <w:r w:rsidRPr="00FA645B">
        <w:rPr>
          <w:rStyle w:val="hps"/>
          <w:spacing w:val="-2"/>
          <w:rtl/>
          <w:lang/>
        </w:rPr>
        <w:t>العدل</w:t>
      </w:r>
      <w:r w:rsidRPr="00FA645B">
        <w:rPr>
          <w:spacing w:val="-2"/>
          <w:rtl/>
          <w:lang/>
        </w:rPr>
        <w:t xml:space="preserve"> </w:t>
      </w:r>
      <w:r w:rsidRPr="00FA645B">
        <w:rPr>
          <w:rFonts w:hint="cs"/>
          <w:spacing w:val="-2"/>
          <w:rtl/>
          <w:lang/>
        </w:rPr>
        <w:t>في</w:t>
      </w:r>
      <w:r w:rsidRPr="00FA645B">
        <w:rPr>
          <w:rStyle w:val="hps"/>
          <w:spacing w:val="-2"/>
          <w:rtl/>
          <w:lang/>
        </w:rPr>
        <w:t>ما إذا كانت</w:t>
      </w:r>
      <w:r w:rsidRPr="00FA645B">
        <w:rPr>
          <w:spacing w:val="-2"/>
          <w:rtl/>
          <w:lang/>
        </w:rPr>
        <w:t xml:space="preserve"> </w:t>
      </w:r>
      <w:r w:rsidRPr="00FA645B">
        <w:rPr>
          <w:rStyle w:val="hps"/>
          <w:rFonts w:hint="cs"/>
          <w:spacing w:val="-2"/>
          <w:rtl/>
          <w:lang/>
        </w:rPr>
        <w:t xml:space="preserve">معايير </w:t>
      </w:r>
      <w:r w:rsidRPr="00282AAC">
        <w:rPr>
          <w:rStyle w:val="hps"/>
          <w:rFonts w:hint="cs"/>
          <w:rtl/>
          <w:lang/>
        </w:rPr>
        <w:t>التسليم</w:t>
      </w:r>
      <w:r w:rsidRPr="00282AAC">
        <w:rPr>
          <w:rtl/>
          <w:lang/>
        </w:rPr>
        <w:t xml:space="preserve"> </w:t>
      </w:r>
      <w:r w:rsidRPr="00282AAC">
        <w:rPr>
          <w:rStyle w:val="hps"/>
          <w:rtl/>
          <w:lang/>
        </w:rPr>
        <w:t>-</w:t>
      </w:r>
      <w:r w:rsidRPr="00282AAC">
        <w:rPr>
          <w:rtl/>
          <w:lang/>
        </w:rPr>
        <w:t xml:space="preserve"> </w:t>
      </w:r>
      <w:r w:rsidRPr="00282AAC">
        <w:rPr>
          <w:rStyle w:val="hps"/>
          <w:rtl/>
          <w:lang/>
        </w:rPr>
        <w:t>بما في ذلك</w:t>
      </w:r>
      <w:r w:rsidRPr="00282AAC">
        <w:rPr>
          <w:rtl/>
          <w:lang/>
        </w:rPr>
        <w:t xml:space="preserve"> </w:t>
      </w:r>
      <w:r w:rsidRPr="00282AAC">
        <w:rPr>
          <w:rStyle w:val="hps"/>
          <w:rtl/>
          <w:lang/>
        </w:rPr>
        <w:t>التزامات الدولة</w:t>
      </w:r>
      <w:r w:rsidRPr="00282AAC">
        <w:rPr>
          <w:rtl/>
          <w:lang/>
        </w:rPr>
        <w:t xml:space="preserve"> </w:t>
      </w:r>
      <w:r w:rsidRPr="00282AAC">
        <w:rPr>
          <w:rStyle w:val="hps"/>
          <w:rtl/>
          <w:lang/>
        </w:rPr>
        <w:t>الطرف بموجب</w:t>
      </w:r>
      <w:r w:rsidRPr="00282AAC">
        <w:rPr>
          <w:rtl/>
          <w:lang/>
        </w:rPr>
        <w:t xml:space="preserve"> </w:t>
      </w:r>
      <w:r w:rsidRPr="00282AAC">
        <w:rPr>
          <w:rStyle w:val="hps"/>
          <w:rtl/>
          <w:lang/>
        </w:rPr>
        <w:t>القانون الدولي</w:t>
      </w:r>
      <w:r w:rsidRPr="00282AAC">
        <w:rPr>
          <w:rStyle w:val="hps"/>
          <w:rFonts w:hint="cs"/>
          <w:rtl/>
          <w:lang/>
        </w:rPr>
        <w:t xml:space="preserve"> </w:t>
      </w:r>
      <w:r w:rsidRPr="00282AAC">
        <w:rPr>
          <w:rStyle w:val="hps"/>
          <w:rtl/>
          <w:lang/>
        </w:rPr>
        <w:t>-</w:t>
      </w:r>
      <w:r w:rsidRPr="00282AAC">
        <w:rPr>
          <w:rtl/>
          <w:lang/>
        </w:rPr>
        <w:t xml:space="preserve"> </w:t>
      </w:r>
      <w:r w:rsidRPr="00282AAC">
        <w:rPr>
          <w:rStyle w:val="hps"/>
          <w:rtl/>
          <w:lang/>
        </w:rPr>
        <w:t xml:space="preserve">قد </w:t>
      </w:r>
      <w:r w:rsidRPr="00282AAC">
        <w:rPr>
          <w:rStyle w:val="hps"/>
          <w:rFonts w:hint="cs"/>
          <w:rtl/>
          <w:lang/>
        </w:rPr>
        <w:t>استوفيت</w:t>
      </w:r>
      <w:r w:rsidRPr="00282AAC">
        <w:rPr>
          <w:rtl/>
          <w:lang/>
        </w:rPr>
        <w:t xml:space="preserve">. </w:t>
      </w:r>
      <w:r w:rsidRPr="00282AAC">
        <w:rPr>
          <w:rStyle w:val="hps"/>
          <w:rFonts w:hint="cs"/>
          <w:rtl/>
          <w:lang/>
        </w:rPr>
        <w:t xml:space="preserve">ويجب أن توافق </w:t>
      </w:r>
      <w:r w:rsidRPr="00282AAC">
        <w:rPr>
          <w:rStyle w:val="hps"/>
          <w:rtl/>
          <w:lang/>
        </w:rPr>
        <w:t>وزارة</w:t>
      </w:r>
      <w:r w:rsidRPr="00282AAC">
        <w:rPr>
          <w:rtl/>
          <w:lang/>
        </w:rPr>
        <w:t xml:space="preserve"> </w:t>
      </w:r>
      <w:r w:rsidRPr="00282AAC">
        <w:rPr>
          <w:rStyle w:val="hps"/>
          <w:rtl/>
          <w:lang/>
        </w:rPr>
        <w:t>الخارجية</w:t>
      </w:r>
      <w:r w:rsidRPr="00282AAC">
        <w:rPr>
          <w:rtl/>
          <w:lang/>
        </w:rPr>
        <w:t xml:space="preserve"> </w:t>
      </w:r>
      <w:r w:rsidRPr="00282AAC">
        <w:rPr>
          <w:rStyle w:val="hps"/>
          <w:rtl/>
          <w:lang/>
        </w:rPr>
        <w:t>أيضا</w:t>
      </w:r>
      <w:r w:rsidRPr="00282AAC">
        <w:rPr>
          <w:rStyle w:val="hps"/>
          <w:rFonts w:hint="cs"/>
          <w:rtl/>
          <w:lang/>
        </w:rPr>
        <w:t>ً</w:t>
      </w:r>
      <w:r w:rsidRPr="00282AAC">
        <w:rPr>
          <w:rtl/>
          <w:lang/>
        </w:rPr>
        <w:t xml:space="preserve"> </w:t>
      </w:r>
      <w:r w:rsidRPr="00282AAC">
        <w:rPr>
          <w:rStyle w:val="hps"/>
          <w:rtl/>
          <w:lang/>
        </w:rPr>
        <w:t>على</w:t>
      </w:r>
      <w:r w:rsidRPr="00282AAC">
        <w:rPr>
          <w:rStyle w:val="hps"/>
          <w:rFonts w:hint="cs"/>
          <w:rtl/>
          <w:lang/>
        </w:rPr>
        <w:t xml:space="preserve"> التسليم</w:t>
      </w:r>
      <w:r w:rsidRPr="00282AAC">
        <w:rPr>
          <w:rStyle w:val="hps"/>
          <w:rtl/>
          <w:lang/>
        </w:rPr>
        <w:t>.</w:t>
      </w:r>
      <w:r w:rsidRPr="00282AAC">
        <w:rPr>
          <w:rtl/>
          <w:lang/>
        </w:rPr>
        <w:t xml:space="preserve"> </w:t>
      </w:r>
      <w:r w:rsidRPr="00282AAC">
        <w:rPr>
          <w:rFonts w:hint="cs"/>
          <w:rtl/>
          <w:lang/>
        </w:rPr>
        <w:t xml:space="preserve">ويُرجع، </w:t>
      </w:r>
      <w:r w:rsidRPr="00282AAC">
        <w:rPr>
          <w:rStyle w:val="hps"/>
          <w:rtl/>
          <w:lang/>
        </w:rPr>
        <w:t>في</w:t>
      </w:r>
      <w:r w:rsidRPr="00282AAC">
        <w:rPr>
          <w:rtl/>
          <w:lang/>
        </w:rPr>
        <w:t xml:space="preserve"> </w:t>
      </w:r>
      <w:r w:rsidRPr="00282AAC">
        <w:rPr>
          <w:rStyle w:val="hps"/>
          <w:rtl/>
          <w:lang/>
        </w:rPr>
        <w:t>جميع</w:t>
      </w:r>
      <w:r w:rsidRPr="00282AAC">
        <w:rPr>
          <w:rtl/>
          <w:lang/>
        </w:rPr>
        <w:t xml:space="preserve"> </w:t>
      </w:r>
      <w:r w:rsidRPr="00282AAC">
        <w:rPr>
          <w:rStyle w:val="hps"/>
          <w:rtl/>
          <w:lang/>
        </w:rPr>
        <w:t>مراحل الإجراءات</w:t>
      </w:r>
      <w:r w:rsidRPr="00282AAC">
        <w:rPr>
          <w:rtl/>
          <w:lang/>
        </w:rPr>
        <w:t xml:space="preserve">، إلى </w:t>
      </w:r>
      <w:r w:rsidRPr="00282AAC">
        <w:rPr>
          <w:rStyle w:val="hps"/>
          <w:rtl/>
          <w:lang/>
        </w:rPr>
        <w:t>تقارير المصادر</w:t>
      </w:r>
      <w:r w:rsidRPr="00282AAC">
        <w:rPr>
          <w:rStyle w:val="hps"/>
          <w:rFonts w:hint="cs"/>
          <w:rtl/>
          <w:lang/>
        </w:rPr>
        <w:t xml:space="preserve"> الحكومية وغير الحكومية</w:t>
      </w:r>
      <w:r w:rsidRPr="00282AAC">
        <w:rPr>
          <w:rtl/>
          <w:lang/>
        </w:rPr>
        <w:t xml:space="preserve"> </w:t>
      </w:r>
      <w:r w:rsidRPr="00282AAC">
        <w:rPr>
          <w:rStyle w:val="hps"/>
          <w:rtl/>
          <w:lang/>
        </w:rPr>
        <w:t>من أجل</w:t>
      </w:r>
      <w:r w:rsidRPr="00282AAC">
        <w:rPr>
          <w:rStyle w:val="hps"/>
          <w:rFonts w:hint="cs"/>
          <w:rtl/>
          <w:lang/>
        </w:rPr>
        <w:t xml:space="preserve"> إجراء تقييم</w:t>
      </w:r>
      <w:r w:rsidRPr="00282AAC">
        <w:rPr>
          <w:rtl/>
          <w:lang/>
        </w:rPr>
        <w:t xml:space="preserve"> </w:t>
      </w:r>
      <w:r w:rsidRPr="00282AAC">
        <w:rPr>
          <w:rStyle w:val="hps"/>
          <w:rtl/>
          <w:lang/>
        </w:rPr>
        <w:t>واقعي</w:t>
      </w:r>
      <w:r w:rsidRPr="00282AAC">
        <w:rPr>
          <w:rtl/>
          <w:lang/>
        </w:rPr>
        <w:t xml:space="preserve"> </w:t>
      </w:r>
      <w:r w:rsidRPr="00282AAC">
        <w:rPr>
          <w:rStyle w:val="hps"/>
          <w:rtl/>
          <w:lang/>
        </w:rPr>
        <w:t>للوضع</w:t>
      </w:r>
      <w:r w:rsidRPr="00282AAC">
        <w:rPr>
          <w:rtl/>
          <w:lang/>
        </w:rPr>
        <w:t xml:space="preserve"> </w:t>
      </w:r>
      <w:r w:rsidRPr="00282AAC">
        <w:rPr>
          <w:rStyle w:val="hps"/>
          <w:rFonts w:hint="cs"/>
          <w:rtl/>
          <w:lang/>
        </w:rPr>
        <w:t>داخل</w:t>
      </w:r>
      <w:r w:rsidRPr="00282AAC">
        <w:rPr>
          <w:rStyle w:val="hps"/>
          <w:rtl/>
          <w:lang/>
        </w:rPr>
        <w:t xml:space="preserve"> الدولة ال</w:t>
      </w:r>
      <w:r w:rsidRPr="00282AAC">
        <w:rPr>
          <w:rStyle w:val="hps"/>
          <w:rFonts w:hint="cs"/>
          <w:rtl/>
          <w:lang/>
        </w:rPr>
        <w:t>م</w:t>
      </w:r>
      <w:r w:rsidRPr="00282AAC">
        <w:rPr>
          <w:rStyle w:val="hps"/>
          <w:rtl/>
          <w:lang/>
        </w:rPr>
        <w:t>طالبة</w:t>
      </w:r>
      <w:r w:rsidRPr="00282AAC">
        <w:rPr>
          <w:rtl/>
          <w:lang/>
        </w:rPr>
        <w:t xml:space="preserve">. </w:t>
      </w:r>
      <w:r w:rsidRPr="00282AAC">
        <w:rPr>
          <w:rFonts w:hint="cs"/>
          <w:rtl/>
          <w:lang/>
        </w:rPr>
        <w:t>و</w:t>
      </w:r>
      <w:r w:rsidRPr="00282AAC">
        <w:rPr>
          <w:rStyle w:val="hps"/>
          <w:rtl/>
          <w:lang/>
        </w:rPr>
        <w:t>إذا لزم الأمر</w:t>
      </w:r>
      <w:r w:rsidRPr="00282AAC">
        <w:rPr>
          <w:rtl/>
          <w:lang/>
        </w:rPr>
        <w:t xml:space="preserve">، </w:t>
      </w:r>
      <w:r w:rsidRPr="00282AAC">
        <w:rPr>
          <w:rFonts w:hint="cs"/>
          <w:rtl/>
          <w:lang/>
        </w:rPr>
        <w:t xml:space="preserve">فإنه </w:t>
      </w:r>
      <w:r w:rsidRPr="00282AAC">
        <w:rPr>
          <w:rStyle w:val="hps"/>
          <w:rtl/>
          <w:lang/>
        </w:rPr>
        <w:t>يمكن</w:t>
      </w:r>
      <w:r w:rsidRPr="00282AAC">
        <w:rPr>
          <w:rtl/>
          <w:lang/>
        </w:rPr>
        <w:t xml:space="preserve"> </w:t>
      </w:r>
      <w:r w:rsidRPr="00282AAC">
        <w:rPr>
          <w:rStyle w:val="hps"/>
          <w:rFonts w:hint="cs"/>
          <w:rtl/>
          <w:lang/>
        </w:rPr>
        <w:t>فرض</w:t>
      </w:r>
      <w:r w:rsidRPr="00282AAC">
        <w:rPr>
          <w:rStyle w:val="hps"/>
          <w:rtl/>
          <w:lang/>
        </w:rPr>
        <w:t xml:space="preserve"> شروط</w:t>
      </w:r>
      <w:r w:rsidRPr="00282AAC">
        <w:rPr>
          <w:rtl/>
          <w:lang/>
        </w:rPr>
        <w:t xml:space="preserve"> </w:t>
      </w:r>
      <w:r w:rsidRPr="00282AAC">
        <w:rPr>
          <w:rStyle w:val="hps"/>
          <w:rtl/>
          <w:lang/>
        </w:rPr>
        <w:t>لل</w:t>
      </w:r>
      <w:r w:rsidRPr="00282AAC">
        <w:rPr>
          <w:rtl/>
          <w:lang/>
        </w:rPr>
        <w:t xml:space="preserve">موافقة على </w:t>
      </w:r>
      <w:r w:rsidRPr="00282AAC">
        <w:rPr>
          <w:rFonts w:hint="cs"/>
          <w:rtl/>
          <w:lang/>
        </w:rPr>
        <w:t>ال</w:t>
      </w:r>
      <w:r w:rsidRPr="00282AAC">
        <w:rPr>
          <w:rStyle w:val="hps"/>
          <w:rFonts w:hint="cs"/>
          <w:rtl/>
          <w:lang/>
        </w:rPr>
        <w:t>تسليم</w:t>
      </w:r>
      <w:r w:rsidRPr="00282AAC">
        <w:rPr>
          <w:rStyle w:val="hps"/>
          <w:rtl/>
          <w:lang/>
        </w:rPr>
        <w:t>.</w:t>
      </w:r>
    </w:p>
    <w:p w:rsidR="005E110C" w:rsidRPr="00282AAC" w:rsidRDefault="005E110C" w:rsidP="008302C2">
      <w:pPr>
        <w:pStyle w:val="SingleTxtGA"/>
        <w:rPr>
          <w:rtl/>
          <w:lang w:val="fr-CH"/>
        </w:rPr>
      </w:pPr>
      <w:r w:rsidRPr="00282AAC">
        <w:rPr>
          <w:rtl/>
          <w:lang w:val="fr-CH"/>
        </w:rPr>
        <w:t>6-3</w:t>
      </w:r>
      <w:r w:rsidRPr="00282AAC">
        <w:rPr>
          <w:rtl/>
          <w:lang w:val="fr-CH"/>
        </w:rPr>
        <w:tab/>
      </w:r>
      <w:r w:rsidRPr="00282AAC">
        <w:rPr>
          <w:rStyle w:val="hps"/>
          <w:rtl/>
          <w:lang/>
        </w:rPr>
        <w:t>وت</w:t>
      </w:r>
      <w:r w:rsidRPr="00282AAC">
        <w:rPr>
          <w:rStyle w:val="hps"/>
          <w:rFonts w:hint="cs"/>
          <w:rtl/>
          <w:lang/>
        </w:rPr>
        <w:t>ؤكد</w:t>
      </w:r>
      <w:r w:rsidRPr="00282AAC">
        <w:rPr>
          <w:rStyle w:val="hps"/>
          <w:rtl/>
          <w:lang/>
        </w:rPr>
        <w:t xml:space="preserve"> الدولة الطرف</w:t>
      </w:r>
      <w:r w:rsidRPr="00282AAC">
        <w:rPr>
          <w:rtl/>
          <w:lang/>
        </w:rPr>
        <w:t xml:space="preserve"> </w:t>
      </w:r>
      <w:r w:rsidRPr="00282AAC">
        <w:rPr>
          <w:rStyle w:val="hps"/>
          <w:rFonts w:hint="cs"/>
          <w:rtl/>
          <w:lang/>
        </w:rPr>
        <w:t>علمها بالتقارير التي ذكرتها صاحبة الشكوى في شكواها والتي تثير شواغل حقيقية بشأن</w:t>
      </w:r>
      <w:r w:rsidRPr="00282AAC">
        <w:rPr>
          <w:rStyle w:val="hps"/>
          <w:rtl/>
          <w:lang/>
        </w:rPr>
        <w:t xml:space="preserve"> حالة حقوق</w:t>
      </w:r>
      <w:r w:rsidRPr="00282AAC">
        <w:rPr>
          <w:rtl/>
          <w:lang/>
        </w:rPr>
        <w:t xml:space="preserve"> </w:t>
      </w:r>
      <w:r w:rsidRPr="00282AAC">
        <w:rPr>
          <w:rStyle w:val="hps"/>
          <w:rtl/>
          <w:lang/>
        </w:rPr>
        <w:t>الإنسان في</w:t>
      </w:r>
      <w:r w:rsidRPr="00282AAC">
        <w:rPr>
          <w:rtl/>
          <w:lang/>
        </w:rPr>
        <w:t xml:space="preserve"> </w:t>
      </w:r>
      <w:r w:rsidRPr="00282AAC">
        <w:rPr>
          <w:rStyle w:val="hps"/>
          <w:rtl/>
          <w:lang/>
        </w:rPr>
        <w:t>تونس</w:t>
      </w:r>
      <w:r w:rsidRPr="00282AAC">
        <w:rPr>
          <w:rtl/>
          <w:lang/>
        </w:rPr>
        <w:t xml:space="preserve">. </w:t>
      </w:r>
      <w:r w:rsidRPr="00282AAC">
        <w:rPr>
          <w:rStyle w:val="hps"/>
          <w:rtl/>
          <w:lang/>
        </w:rPr>
        <w:t>وقد اتخذ قرار</w:t>
      </w:r>
      <w:r w:rsidRPr="00282AAC">
        <w:rPr>
          <w:rtl/>
          <w:lang/>
        </w:rPr>
        <w:t xml:space="preserve"> </w:t>
      </w:r>
      <w:r w:rsidRPr="00282AAC">
        <w:rPr>
          <w:rStyle w:val="hps"/>
          <w:rtl/>
          <w:lang/>
        </w:rPr>
        <w:t>تسليم</w:t>
      </w:r>
      <w:r w:rsidRPr="00282AAC">
        <w:rPr>
          <w:rStyle w:val="hps"/>
          <w:rFonts w:hint="cs"/>
          <w:rtl/>
          <w:lang/>
        </w:rPr>
        <w:t xml:space="preserve"> السيد</w:t>
      </w:r>
      <w:r w:rsidRPr="00282AAC">
        <w:rPr>
          <w:rtl/>
          <w:lang/>
        </w:rPr>
        <w:t xml:space="preserve"> </w:t>
      </w:r>
      <w:r w:rsidRPr="00282AAC">
        <w:rPr>
          <w:rStyle w:val="hps"/>
          <w:rtl/>
          <w:lang/>
        </w:rPr>
        <w:t>أنسي</w:t>
      </w:r>
      <w:r w:rsidRPr="00282AAC">
        <w:rPr>
          <w:rtl/>
          <w:lang/>
        </w:rPr>
        <w:t xml:space="preserve"> </w:t>
      </w:r>
      <w:r w:rsidRPr="00282AAC">
        <w:rPr>
          <w:rStyle w:val="hps"/>
          <w:rFonts w:hint="cs"/>
          <w:rtl/>
          <w:lang/>
        </w:rPr>
        <w:t>عبيشو</w:t>
      </w:r>
      <w:r w:rsidRPr="00282AAC">
        <w:rPr>
          <w:rtl/>
          <w:lang/>
        </w:rPr>
        <w:t xml:space="preserve"> </w:t>
      </w:r>
      <w:r w:rsidRPr="00282AAC">
        <w:rPr>
          <w:rStyle w:val="hps"/>
          <w:rtl/>
          <w:lang/>
        </w:rPr>
        <w:t>بعد</w:t>
      </w:r>
      <w:r w:rsidRPr="00282AAC">
        <w:rPr>
          <w:rStyle w:val="hps"/>
          <w:rFonts w:hint="cs"/>
          <w:rtl/>
          <w:lang/>
        </w:rPr>
        <w:t xml:space="preserve"> </w:t>
      </w:r>
      <w:r w:rsidRPr="00282AAC">
        <w:rPr>
          <w:rStyle w:val="hps"/>
          <w:rtl/>
          <w:lang/>
        </w:rPr>
        <w:t>تقييم</w:t>
      </w:r>
      <w:r w:rsidRPr="00282AAC">
        <w:rPr>
          <w:rtl/>
          <w:lang/>
        </w:rPr>
        <w:t xml:space="preserve"> </w:t>
      </w:r>
      <w:r w:rsidRPr="00282AAC">
        <w:rPr>
          <w:rStyle w:val="hps"/>
          <w:rtl/>
          <w:lang/>
        </w:rPr>
        <w:t>دقيق</w:t>
      </w:r>
      <w:r w:rsidRPr="00282AAC">
        <w:rPr>
          <w:rtl/>
          <w:lang/>
        </w:rPr>
        <w:t xml:space="preserve"> </w:t>
      </w:r>
      <w:r w:rsidRPr="00282AAC">
        <w:rPr>
          <w:rStyle w:val="hps"/>
          <w:rtl/>
          <w:lang/>
        </w:rPr>
        <w:t>ومفصل</w:t>
      </w:r>
      <w:r w:rsidRPr="00282AAC">
        <w:rPr>
          <w:rtl/>
          <w:lang/>
        </w:rPr>
        <w:t xml:space="preserve"> </w:t>
      </w:r>
      <w:r w:rsidRPr="00282AAC">
        <w:rPr>
          <w:rStyle w:val="hps"/>
          <w:rtl/>
          <w:lang/>
        </w:rPr>
        <w:t>للمخاطر</w:t>
      </w:r>
      <w:r w:rsidRPr="00282AAC">
        <w:rPr>
          <w:rtl/>
          <w:lang/>
        </w:rPr>
        <w:t xml:space="preserve"> </w:t>
      </w:r>
      <w:r w:rsidRPr="00282AAC">
        <w:rPr>
          <w:rStyle w:val="hps"/>
          <w:rtl/>
          <w:lang/>
        </w:rPr>
        <w:t>المحددة التي</w:t>
      </w:r>
      <w:r w:rsidRPr="00282AAC">
        <w:rPr>
          <w:rtl/>
          <w:lang/>
        </w:rPr>
        <w:t xml:space="preserve"> </w:t>
      </w:r>
      <w:r w:rsidRPr="00282AAC">
        <w:rPr>
          <w:rStyle w:val="hps"/>
          <w:rFonts w:hint="cs"/>
          <w:rtl/>
          <w:lang/>
        </w:rPr>
        <w:t>سيتعرض لها.</w:t>
      </w:r>
      <w:r w:rsidRPr="00282AAC">
        <w:rPr>
          <w:rStyle w:val="hps"/>
          <w:rtl/>
          <w:lang/>
        </w:rPr>
        <w:t xml:space="preserve"> </w:t>
      </w:r>
      <w:r w:rsidRPr="00282AAC">
        <w:rPr>
          <w:rStyle w:val="hps"/>
          <w:rFonts w:hint="cs"/>
          <w:rtl/>
          <w:lang/>
        </w:rPr>
        <w:t>و</w:t>
      </w:r>
      <w:r w:rsidRPr="00282AAC">
        <w:rPr>
          <w:rStyle w:val="hps"/>
          <w:rtl/>
          <w:lang/>
        </w:rPr>
        <w:t>طلبت وزارة</w:t>
      </w:r>
      <w:r w:rsidRPr="00282AAC">
        <w:rPr>
          <w:rtl/>
          <w:lang/>
        </w:rPr>
        <w:t xml:space="preserve"> </w:t>
      </w:r>
      <w:r w:rsidRPr="00282AAC">
        <w:rPr>
          <w:rStyle w:val="hps"/>
          <w:rtl/>
          <w:lang/>
        </w:rPr>
        <w:t>الخارجية من</w:t>
      </w:r>
      <w:r w:rsidRPr="00282AAC">
        <w:rPr>
          <w:rtl/>
          <w:lang/>
        </w:rPr>
        <w:t xml:space="preserve"> </w:t>
      </w:r>
      <w:r w:rsidRPr="00282AAC">
        <w:rPr>
          <w:rStyle w:val="hps"/>
          <w:rtl/>
          <w:lang/>
        </w:rPr>
        <w:t>السلطات التونسية</w:t>
      </w:r>
      <w:r w:rsidRPr="00282AAC">
        <w:rPr>
          <w:rStyle w:val="hps"/>
          <w:rFonts w:hint="cs"/>
          <w:rtl/>
          <w:lang/>
        </w:rPr>
        <w:t xml:space="preserve"> تقديم</w:t>
      </w:r>
      <w:r w:rsidRPr="00282AAC">
        <w:rPr>
          <w:rtl/>
          <w:lang/>
        </w:rPr>
        <w:t xml:space="preserve"> </w:t>
      </w:r>
      <w:r w:rsidRPr="00282AAC">
        <w:rPr>
          <w:rStyle w:val="hps"/>
          <w:rFonts w:hint="cs"/>
          <w:rtl/>
          <w:lang/>
        </w:rPr>
        <w:t xml:space="preserve">ضمانات </w:t>
      </w:r>
      <w:r w:rsidRPr="00282AAC">
        <w:rPr>
          <w:rStyle w:val="hps"/>
          <w:rtl/>
          <w:lang/>
        </w:rPr>
        <w:t>دبلوماسية</w:t>
      </w:r>
      <w:r w:rsidRPr="00282AAC">
        <w:rPr>
          <w:rStyle w:val="hps"/>
          <w:rFonts w:hint="cs"/>
          <w:rtl/>
          <w:lang/>
        </w:rPr>
        <w:t xml:space="preserve"> تشمل</w:t>
      </w:r>
      <w:r w:rsidRPr="00282AAC">
        <w:rPr>
          <w:rtl/>
          <w:lang/>
        </w:rPr>
        <w:t xml:space="preserve">، في جملة أمور، </w:t>
      </w:r>
      <w:r w:rsidRPr="00282AAC">
        <w:rPr>
          <w:rStyle w:val="hps"/>
          <w:rFonts w:hint="cs"/>
          <w:rtl/>
          <w:lang/>
        </w:rPr>
        <w:t>إجراء محاكمة جديدة للسيد أنسي عبيشو تحترم</w:t>
      </w:r>
      <w:r w:rsidRPr="00282AAC">
        <w:rPr>
          <w:rtl/>
          <w:lang/>
        </w:rPr>
        <w:t xml:space="preserve"> </w:t>
      </w:r>
      <w:r w:rsidRPr="00282AAC">
        <w:rPr>
          <w:rFonts w:hint="cs"/>
          <w:rtl/>
          <w:lang/>
        </w:rPr>
        <w:t xml:space="preserve">فيها </w:t>
      </w:r>
      <w:r w:rsidRPr="00282AAC">
        <w:rPr>
          <w:rStyle w:val="hps"/>
          <w:rtl/>
          <w:lang/>
        </w:rPr>
        <w:t>الحقوق المنصوص</w:t>
      </w:r>
      <w:r w:rsidRPr="00282AAC">
        <w:rPr>
          <w:rtl/>
          <w:lang/>
        </w:rPr>
        <w:t xml:space="preserve"> </w:t>
      </w:r>
      <w:r w:rsidRPr="00282AAC">
        <w:rPr>
          <w:rStyle w:val="hps"/>
          <w:rtl/>
          <w:lang/>
        </w:rPr>
        <w:t>عليها في العهد</w:t>
      </w:r>
      <w:r w:rsidRPr="00282AAC">
        <w:rPr>
          <w:rtl/>
          <w:lang/>
        </w:rPr>
        <w:t xml:space="preserve"> </w:t>
      </w:r>
      <w:r w:rsidRPr="00282AAC">
        <w:rPr>
          <w:rStyle w:val="hps"/>
          <w:rtl/>
          <w:lang/>
        </w:rPr>
        <w:t>الدولي الخاص بالحقوق</w:t>
      </w:r>
      <w:r w:rsidRPr="00282AAC">
        <w:rPr>
          <w:rtl/>
          <w:lang/>
        </w:rPr>
        <w:t xml:space="preserve"> </w:t>
      </w:r>
      <w:r w:rsidRPr="00282AAC">
        <w:rPr>
          <w:rStyle w:val="hps"/>
          <w:rtl/>
          <w:lang/>
        </w:rPr>
        <w:t>المدنية والسياسية</w:t>
      </w:r>
      <w:r w:rsidRPr="00282AAC">
        <w:rPr>
          <w:rtl/>
          <w:lang/>
        </w:rPr>
        <w:t xml:space="preserve">، </w:t>
      </w:r>
      <w:r w:rsidRPr="00282AAC">
        <w:rPr>
          <w:rFonts w:hint="cs"/>
          <w:rtl/>
          <w:lang/>
        </w:rPr>
        <w:t>وسجنه، في حالة إدانته من جديد</w:t>
      </w:r>
      <w:r w:rsidRPr="00282AAC">
        <w:rPr>
          <w:rtl/>
          <w:lang/>
        </w:rPr>
        <w:t xml:space="preserve">، </w:t>
      </w:r>
      <w:r w:rsidRPr="00282AAC">
        <w:rPr>
          <w:rFonts w:hint="cs"/>
          <w:rtl/>
          <w:lang/>
        </w:rPr>
        <w:t>في مكان احتجاز</w:t>
      </w:r>
      <w:r w:rsidRPr="00282AAC">
        <w:rPr>
          <w:rtl/>
          <w:lang/>
        </w:rPr>
        <w:t xml:space="preserve"> </w:t>
      </w:r>
      <w:r w:rsidRPr="00282AAC">
        <w:rPr>
          <w:rStyle w:val="hps"/>
          <w:rFonts w:hint="cs"/>
          <w:rtl/>
          <w:lang/>
        </w:rPr>
        <w:t>تُراعي</w:t>
      </w:r>
      <w:r w:rsidRPr="00282AAC">
        <w:rPr>
          <w:rtl/>
          <w:lang/>
        </w:rPr>
        <w:t xml:space="preserve"> </w:t>
      </w:r>
      <w:r w:rsidRPr="00282AAC">
        <w:rPr>
          <w:rFonts w:hint="cs"/>
          <w:rtl/>
          <w:lang/>
        </w:rPr>
        <w:t xml:space="preserve">فيه </w:t>
      </w:r>
      <w:r w:rsidRPr="00282AAC">
        <w:rPr>
          <w:rStyle w:val="hps"/>
          <w:rFonts w:hint="cs"/>
          <w:rtl/>
          <w:lang/>
        </w:rPr>
        <w:t>القواعد</w:t>
      </w:r>
      <w:r w:rsidRPr="00282AAC">
        <w:rPr>
          <w:rStyle w:val="hps"/>
          <w:rtl/>
          <w:lang/>
        </w:rPr>
        <w:t xml:space="preserve"> النموذجية الدنيا ل</w:t>
      </w:r>
      <w:r w:rsidRPr="00282AAC">
        <w:rPr>
          <w:rtl/>
          <w:lang/>
        </w:rPr>
        <w:t xml:space="preserve">معاملة السجناء. </w:t>
      </w:r>
      <w:r w:rsidRPr="00282AAC">
        <w:rPr>
          <w:rFonts w:hint="cs"/>
          <w:rtl/>
          <w:lang/>
        </w:rPr>
        <w:t>و</w:t>
      </w:r>
      <w:r w:rsidRPr="00282AAC">
        <w:rPr>
          <w:rStyle w:val="hps"/>
          <w:rtl/>
          <w:lang/>
        </w:rPr>
        <w:t>قدمت وزارة</w:t>
      </w:r>
      <w:r w:rsidRPr="00282AAC">
        <w:rPr>
          <w:rtl/>
          <w:lang/>
        </w:rPr>
        <w:t xml:space="preserve"> </w:t>
      </w:r>
      <w:r w:rsidRPr="00282AAC">
        <w:rPr>
          <w:rStyle w:val="hps"/>
          <w:rtl/>
          <w:lang/>
        </w:rPr>
        <w:t>الخارجية التونسي</w:t>
      </w:r>
      <w:r w:rsidRPr="00282AAC">
        <w:rPr>
          <w:rStyle w:val="hps"/>
          <w:rFonts w:hint="cs"/>
          <w:rtl/>
          <w:lang/>
        </w:rPr>
        <w:t>ة</w:t>
      </w:r>
      <w:r w:rsidRPr="00282AAC">
        <w:rPr>
          <w:rtl/>
          <w:lang/>
        </w:rPr>
        <w:t xml:space="preserve"> </w:t>
      </w:r>
      <w:r w:rsidRPr="00282AAC">
        <w:rPr>
          <w:rStyle w:val="hps"/>
          <w:rtl/>
          <w:lang/>
        </w:rPr>
        <w:t>هذه الضمانات</w:t>
      </w:r>
      <w:r w:rsidRPr="00282AAC">
        <w:rPr>
          <w:rtl/>
          <w:lang/>
        </w:rPr>
        <w:t xml:space="preserve"> إلى </w:t>
      </w:r>
      <w:r w:rsidRPr="00282AAC">
        <w:rPr>
          <w:rStyle w:val="hps"/>
          <w:rtl/>
          <w:lang/>
        </w:rPr>
        <w:t>الدولة الطرف</w:t>
      </w:r>
      <w:r w:rsidRPr="00282AAC">
        <w:rPr>
          <w:rtl/>
          <w:lang/>
        </w:rPr>
        <w:t xml:space="preserve"> </w:t>
      </w:r>
      <w:r w:rsidRPr="00282AAC">
        <w:rPr>
          <w:rStyle w:val="hps"/>
          <w:rtl/>
          <w:lang/>
        </w:rPr>
        <w:t>في 8</w:t>
      </w:r>
      <w:r w:rsidRPr="00282AAC">
        <w:rPr>
          <w:rtl/>
          <w:lang/>
        </w:rPr>
        <w:t xml:space="preserve"> </w:t>
      </w:r>
      <w:r w:rsidRPr="00282AAC">
        <w:rPr>
          <w:rFonts w:hint="cs"/>
          <w:rtl/>
          <w:lang/>
        </w:rPr>
        <w:t>أيار/</w:t>
      </w:r>
      <w:r w:rsidRPr="00282AAC">
        <w:rPr>
          <w:rStyle w:val="hps"/>
          <w:rtl/>
          <w:lang/>
        </w:rPr>
        <w:t xml:space="preserve">مايو </w:t>
      </w:r>
      <w:r w:rsidRPr="00282AAC">
        <w:rPr>
          <w:rStyle w:val="hps"/>
          <w:rFonts w:hint="cs"/>
          <w:rtl/>
          <w:lang/>
        </w:rPr>
        <w:t>2010</w:t>
      </w:r>
      <w:r w:rsidRPr="00282AAC">
        <w:rPr>
          <w:vertAlign w:val="superscript"/>
          <w:rtl/>
          <w:lang w:val="fr-CH"/>
        </w:rPr>
        <w:t>(</w:t>
      </w:r>
      <w:r w:rsidRPr="00282AAC">
        <w:rPr>
          <w:rStyle w:val="FootnoteReference"/>
          <w:rtl/>
          <w:lang w:val="fr-CH"/>
        </w:rPr>
        <w:footnoteReference w:id="138"/>
      </w:r>
      <w:r w:rsidRPr="00282AAC">
        <w:rPr>
          <w:vertAlign w:val="superscript"/>
          <w:rtl/>
          <w:lang w:val="fr-CH"/>
        </w:rPr>
        <w:t>)</w:t>
      </w:r>
      <w:r w:rsidRPr="00282AAC">
        <w:rPr>
          <w:rStyle w:val="hps"/>
          <w:rtl/>
          <w:lang/>
        </w:rPr>
        <w:t>.</w:t>
      </w:r>
      <w:r w:rsidRPr="00282AAC">
        <w:rPr>
          <w:rtl/>
          <w:lang/>
        </w:rPr>
        <w:t xml:space="preserve"> </w:t>
      </w:r>
      <w:r w:rsidRPr="00282AAC">
        <w:rPr>
          <w:rStyle w:val="hps"/>
          <w:rFonts w:hint="cs"/>
          <w:rtl/>
          <w:lang/>
        </w:rPr>
        <w:t xml:space="preserve">وقد استندت </w:t>
      </w:r>
      <w:r w:rsidRPr="00282AAC">
        <w:rPr>
          <w:rStyle w:val="hps"/>
          <w:rtl/>
          <w:lang/>
        </w:rPr>
        <w:t>المحكمة العليا</w:t>
      </w:r>
      <w:r w:rsidRPr="00282AAC">
        <w:rPr>
          <w:rtl/>
          <w:lang/>
        </w:rPr>
        <w:t xml:space="preserve"> </w:t>
      </w:r>
      <w:r w:rsidRPr="00282AAC">
        <w:rPr>
          <w:rStyle w:val="hps"/>
          <w:rtl/>
          <w:lang/>
        </w:rPr>
        <w:t>الإقليمية</w:t>
      </w:r>
      <w:r w:rsidRPr="00282AAC">
        <w:rPr>
          <w:rStyle w:val="hps"/>
          <w:rFonts w:hint="cs"/>
          <w:rtl/>
          <w:lang/>
        </w:rPr>
        <w:t xml:space="preserve"> في</w:t>
      </w:r>
      <w:r w:rsidRPr="00282AAC">
        <w:rPr>
          <w:rtl/>
          <w:lang/>
        </w:rPr>
        <w:t xml:space="preserve"> </w:t>
      </w:r>
      <w:r w:rsidRPr="00282AAC">
        <w:rPr>
          <w:rStyle w:val="hps"/>
          <w:rtl/>
          <w:lang/>
        </w:rPr>
        <w:t>ساربروكن</w:t>
      </w:r>
      <w:r w:rsidRPr="00282AAC">
        <w:rPr>
          <w:rtl/>
          <w:lang/>
        </w:rPr>
        <w:t xml:space="preserve">، </w:t>
      </w:r>
      <w:r w:rsidRPr="00282AAC">
        <w:rPr>
          <w:rStyle w:val="hps"/>
          <w:rFonts w:hint="cs"/>
          <w:rtl/>
          <w:lang/>
        </w:rPr>
        <w:t xml:space="preserve">التي ترجع إليها </w:t>
      </w:r>
      <w:r w:rsidRPr="00282AAC">
        <w:rPr>
          <w:rFonts w:hint="cs"/>
          <w:rtl/>
          <w:lang/>
        </w:rPr>
        <w:t>الموافقة</w:t>
      </w:r>
      <w:r w:rsidRPr="00282AAC">
        <w:rPr>
          <w:rStyle w:val="hps"/>
          <w:rtl/>
          <w:lang/>
        </w:rPr>
        <w:t xml:space="preserve"> على</w:t>
      </w:r>
      <w:r w:rsidRPr="00282AAC">
        <w:rPr>
          <w:rtl/>
          <w:lang/>
        </w:rPr>
        <w:t xml:space="preserve"> </w:t>
      </w:r>
      <w:r w:rsidRPr="00282AAC">
        <w:rPr>
          <w:rStyle w:val="hps"/>
          <w:rtl/>
          <w:lang/>
        </w:rPr>
        <w:t>طلب التسليم</w:t>
      </w:r>
      <w:r w:rsidRPr="00282AAC">
        <w:rPr>
          <w:rtl/>
          <w:lang/>
        </w:rPr>
        <w:t xml:space="preserve">، </w:t>
      </w:r>
      <w:r w:rsidRPr="00282AAC">
        <w:rPr>
          <w:rFonts w:hint="cs"/>
          <w:rtl/>
          <w:lang/>
        </w:rPr>
        <w:t xml:space="preserve">في قرارها، إلى </w:t>
      </w:r>
      <w:r w:rsidRPr="00282AAC">
        <w:rPr>
          <w:rStyle w:val="hps"/>
          <w:rtl/>
          <w:lang/>
        </w:rPr>
        <w:t>التقارير</w:t>
      </w:r>
      <w:r w:rsidRPr="00282AAC">
        <w:rPr>
          <w:rtl/>
          <w:lang/>
        </w:rPr>
        <w:t xml:space="preserve"> </w:t>
      </w:r>
      <w:r w:rsidRPr="00282AAC">
        <w:rPr>
          <w:rStyle w:val="hps"/>
          <w:rtl/>
          <w:lang/>
        </w:rPr>
        <w:t>المتعلقة</w:t>
      </w:r>
      <w:r w:rsidRPr="00282AAC">
        <w:rPr>
          <w:rtl/>
          <w:lang/>
        </w:rPr>
        <w:t xml:space="preserve"> </w:t>
      </w:r>
      <w:r w:rsidRPr="00282AAC">
        <w:rPr>
          <w:rStyle w:val="hps"/>
          <w:rtl/>
          <w:lang/>
        </w:rPr>
        <w:t>بحالة حقوق الإنسان في</w:t>
      </w:r>
      <w:r w:rsidRPr="00282AAC">
        <w:rPr>
          <w:rtl/>
          <w:lang/>
        </w:rPr>
        <w:t xml:space="preserve"> </w:t>
      </w:r>
      <w:r w:rsidRPr="00282AAC">
        <w:rPr>
          <w:rStyle w:val="hps"/>
          <w:rtl/>
          <w:lang/>
        </w:rPr>
        <w:t>تونس</w:t>
      </w:r>
      <w:r w:rsidRPr="00282AAC">
        <w:rPr>
          <w:rtl/>
          <w:lang/>
        </w:rPr>
        <w:t xml:space="preserve"> </w:t>
      </w:r>
      <w:r w:rsidRPr="00282AAC">
        <w:rPr>
          <w:rStyle w:val="hps"/>
          <w:rFonts w:hint="cs"/>
          <w:rtl/>
          <w:lang/>
        </w:rPr>
        <w:t>والواردة من</w:t>
      </w:r>
      <w:r w:rsidRPr="00282AAC">
        <w:rPr>
          <w:rtl/>
          <w:lang/>
        </w:rPr>
        <w:t xml:space="preserve"> </w:t>
      </w:r>
      <w:r w:rsidRPr="00282AAC">
        <w:rPr>
          <w:rStyle w:val="hps"/>
          <w:rtl/>
          <w:lang/>
        </w:rPr>
        <w:t>وزارة</w:t>
      </w:r>
      <w:r w:rsidRPr="00282AAC">
        <w:rPr>
          <w:rStyle w:val="hps"/>
          <w:rFonts w:hint="cs"/>
          <w:rtl/>
          <w:lang/>
        </w:rPr>
        <w:t xml:space="preserve"> خارجية</w:t>
      </w:r>
      <w:r w:rsidRPr="00282AAC">
        <w:rPr>
          <w:rtl/>
          <w:lang/>
        </w:rPr>
        <w:t xml:space="preserve"> </w:t>
      </w:r>
      <w:r w:rsidRPr="00282AAC">
        <w:rPr>
          <w:rStyle w:val="hps"/>
          <w:rtl/>
          <w:lang/>
        </w:rPr>
        <w:t>الدولة الطرف</w:t>
      </w:r>
      <w:r w:rsidRPr="00282AAC">
        <w:rPr>
          <w:rtl/>
          <w:lang/>
        </w:rPr>
        <w:t xml:space="preserve">، ومنظمة العفو </w:t>
      </w:r>
      <w:r w:rsidRPr="00282AAC">
        <w:rPr>
          <w:rStyle w:val="hps"/>
          <w:rtl/>
          <w:lang/>
        </w:rPr>
        <w:t>الدولية و</w:t>
      </w:r>
      <w:r w:rsidRPr="00282AAC">
        <w:rPr>
          <w:rtl/>
          <w:lang/>
        </w:rPr>
        <w:t xml:space="preserve">وزارة خارجية الولايات المتحدة. </w:t>
      </w:r>
      <w:r w:rsidRPr="00282AAC">
        <w:rPr>
          <w:rStyle w:val="hps"/>
          <w:rFonts w:hint="cs"/>
          <w:rtl/>
          <w:lang/>
        </w:rPr>
        <w:t xml:space="preserve">واستناداً إلى </w:t>
      </w:r>
      <w:r w:rsidRPr="00282AAC">
        <w:rPr>
          <w:rStyle w:val="hps"/>
          <w:rtl/>
          <w:lang/>
        </w:rPr>
        <w:t>هذه التقارير</w:t>
      </w:r>
      <w:r w:rsidRPr="00282AAC">
        <w:rPr>
          <w:rtl/>
          <w:lang/>
        </w:rPr>
        <w:t xml:space="preserve">، </w:t>
      </w:r>
      <w:r w:rsidRPr="00282AAC">
        <w:rPr>
          <w:rFonts w:hint="cs"/>
          <w:rtl/>
          <w:lang/>
        </w:rPr>
        <w:t>رأت</w:t>
      </w:r>
      <w:r w:rsidRPr="00282AAC">
        <w:rPr>
          <w:rtl/>
          <w:lang/>
        </w:rPr>
        <w:t xml:space="preserve"> المحكمة </w:t>
      </w:r>
      <w:r w:rsidRPr="00282AAC">
        <w:rPr>
          <w:rStyle w:val="hps"/>
          <w:rtl/>
          <w:lang/>
        </w:rPr>
        <w:t>أنه</w:t>
      </w:r>
      <w:r w:rsidRPr="00282AAC">
        <w:rPr>
          <w:rStyle w:val="hps"/>
          <w:rFonts w:hint="cs"/>
          <w:rtl/>
          <w:lang/>
        </w:rPr>
        <w:t xml:space="preserve"> لا يمكن </w:t>
      </w:r>
      <w:r w:rsidRPr="00282AAC">
        <w:rPr>
          <w:rStyle w:val="hps"/>
          <w:rtl/>
          <w:lang/>
        </w:rPr>
        <w:t xml:space="preserve">استبعاد </w:t>
      </w:r>
      <w:r w:rsidRPr="00282AAC">
        <w:rPr>
          <w:rStyle w:val="hps"/>
          <w:rFonts w:hint="cs"/>
          <w:rtl/>
          <w:lang/>
        </w:rPr>
        <w:t>احتمال تعرض</w:t>
      </w:r>
      <w:r w:rsidRPr="00282AAC">
        <w:rPr>
          <w:rtl/>
          <w:lang/>
        </w:rPr>
        <w:t xml:space="preserve"> </w:t>
      </w:r>
      <w:r w:rsidRPr="00282AAC">
        <w:rPr>
          <w:rStyle w:val="hps"/>
          <w:rtl/>
          <w:lang/>
        </w:rPr>
        <w:t>المشتبه بهم</w:t>
      </w:r>
      <w:r w:rsidRPr="00282AAC">
        <w:rPr>
          <w:rtl/>
          <w:lang/>
        </w:rPr>
        <w:t xml:space="preserve"> </w:t>
      </w:r>
      <w:r w:rsidRPr="00282AAC">
        <w:rPr>
          <w:rStyle w:val="hps"/>
          <w:rtl/>
          <w:lang/>
        </w:rPr>
        <w:t>في</w:t>
      </w:r>
      <w:r w:rsidRPr="00282AAC">
        <w:rPr>
          <w:rtl/>
          <w:lang/>
        </w:rPr>
        <w:t xml:space="preserve"> </w:t>
      </w:r>
      <w:r w:rsidRPr="00282AAC">
        <w:rPr>
          <w:rStyle w:val="hps"/>
          <w:rtl/>
          <w:lang/>
        </w:rPr>
        <w:t>تونس</w:t>
      </w:r>
      <w:r w:rsidRPr="00282AAC">
        <w:rPr>
          <w:rtl/>
          <w:lang/>
        </w:rPr>
        <w:t xml:space="preserve"> </w:t>
      </w:r>
      <w:r w:rsidRPr="00282AAC">
        <w:rPr>
          <w:rStyle w:val="hps"/>
          <w:rtl/>
          <w:lang/>
        </w:rPr>
        <w:t>ل</w:t>
      </w:r>
      <w:r w:rsidRPr="00282AAC">
        <w:rPr>
          <w:rtl/>
          <w:lang/>
        </w:rPr>
        <w:t xml:space="preserve">معاملة </w:t>
      </w:r>
      <w:r w:rsidRPr="00282AAC">
        <w:rPr>
          <w:rStyle w:val="hps"/>
          <w:rtl/>
          <w:lang/>
        </w:rPr>
        <w:t xml:space="preserve">غير </w:t>
      </w:r>
      <w:r w:rsidRPr="00282AAC">
        <w:rPr>
          <w:rStyle w:val="hps"/>
          <w:rFonts w:hint="cs"/>
          <w:rtl/>
          <w:lang/>
        </w:rPr>
        <w:t>مشروعة</w:t>
      </w:r>
      <w:r w:rsidRPr="00282AAC">
        <w:rPr>
          <w:rtl/>
          <w:lang/>
        </w:rPr>
        <w:t xml:space="preserve">، </w:t>
      </w:r>
      <w:r w:rsidRPr="00282AAC">
        <w:rPr>
          <w:rFonts w:hint="cs"/>
          <w:rtl/>
          <w:lang/>
        </w:rPr>
        <w:t>غير أنه لا يوجد ما</w:t>
      </w:r>
      <w:r w:rsidR="008302C2" w:rsidRPr="00282AAC">
        <w:rPr>
          <w:rFonts w:hint="eastAsia"/>
          <w:rtl/>
          <w:lang/>
        </w:rPr>
        <w:t> </w:t>
      </w:r>
      <w:r w:rsidRPr="00282AAC">
        <w:rPr>
          <w:rStyle w:val="hps"/>
          <w:rFonts w:hint="cs"/>
          <w:rtl/>
          <w:lang/>
        </w:rPr>
        <w:t>يدل على أن</w:t>
      </w:r>
      <w:r w:rsidRPr="00282AAC">
        <w:rPr>
          <w:rtl/>
          <w:lang/>
        </w:rPr>
        <w:t xml:space="preserve"> </w:t>
      </w:r>
      <w:r w:rsidRPr="00282AAC">
        <w:rPr>
          <w:rStyle w:val="hps"/>
          <w:rtl/>
          <w:lang/>
        </w:rPr>
        <w:t>السلطات التونسية</w:t>
      </w:r>
      <w:r w:rsidRPr="00282AAC">
        <w:rPr>
          <w:rtl/>
          <w:lang/>
        </w:rPr>
        <w:t xml:space="preserve"> </w:t>
      </w:r>
      <w:r w:rsidRPr="00282AAC">
        <w:rPr>
          <w:rStyle w:val="hps"/>
          <w:rFonts w:hint="cs"/>
          <w:rtl/>
          <w:lang/>
        </w:rPr>
        <w:t>ت</w:t>
      </w:r>
      <w:r w:rsidRPr="00282AAC">
        <w:rPr>
          <w:rStyle w:val="hps"/>
          <w:rtl/>
          <w:lang/>
        </w:rPr>
        <w:t>حرض</w:t>
      </w:r>
      <w:r w:rsidRPr="00282AAC">
        <w:rPr>
          <w:rStyle w:val="hps"/>
          <w:rFonts w:hint="cs"/>
          <w:rtl/>
          <w:lang/>
        </w:rPr>
        <w:t xml:space="preserve"> </w:t>
      </w:r>
      <w:r w:rsidRPr="00282AAC">
        <w:rPr>
          <w:rStyle w:val="hps"/>
          <w:rFonts w:hint="cs"/>
          <w:i/>
          <w:iCs/>
          <w:rtl/>
          <w:lang/>
        </w:rPr>
        <w:t>(</w:t>
      </w:r>
      <w:r w:rsidRPr="00282AAC">
        <w:rPr>
          <w:i/>
          <w:iCs/>
        </w:rPr>
        <w:t>instigated</w:t>
      </w:r>
      <w:r w:rsidRPr="00282AAC">
        <w:rPr>
          <w:rStyle w:val="hps"/>
          <w:rFonts w:hint="cs"/>
          <w:i/>
          <w:iCs/>
          <w:rtl/>
          <w:lang/>
        </w:rPr>
        <w:t>)</w:t>
      </w:r>
      <w:r w:rsidRPr="00282AAC">
        <w:rPr>
          <w:rtl/>
          <w:lang/>
        </w:rPr>
        <w:t xml:space="preserve"> </w:t>
      </w:r>
      <w:r w:rsidRPr="00282AAC">
        <w:rPr>
          <w:rStyle w:val="hps"/>
          <w:rtl/>
          <w:lang/>
        </w:rPr>
        <w:t>أو</w:t>
      </w:r>
      <w:r w:rsidRPr="00282AAC">
        <w:rPr>
          <w:rtl/>
          <w:lang/>
        </w:rPr>
        <w:t xml:space="preserve"> </w:t>
      </w:r>
      <w:r w:rsidRPr="00282AAC">
        <w:rPr>
          <w:rStyle w:val="hps"/>
          <w:rFonts w:hint="cs"/>
          <w:rtl/>
          <w:lang/>
        </w:rPr>
        <w:t xml:space="preserve">توافق </w:t>
      </w:r>
      <w:r w:rsidRPr="00282AAC">
        <w:rPr>
          <w:rStyle w:val="hps"/>
          <w:rFonts w:hint="cs"/>
          <w:i/>
          <w:iCs/>
          <w:rtl/>
          <w:lang/>
        </w:rPr>
        <w:t>(</w:t>
      </w:r>
      <w:r w:rsidRPr="00282AAC">
        <w:rPr>
          <w:i/>
          <w:iCs/>
        </w:rPr>
        <w:t>acquiesced</w:t>
      </w:r>
      <w:r w:rsidRPr="00282AAC">
        <w:rPr>
          <w:rStyle w:val="hps"/>
          <w:rFonts w:hint="cs"/>
          <w:i/>
          <w:iCs/>
          <w:rtl/>
          <w:lang/>
        </w:rPr>
        <w:t>)</w:t>
      </w:r>
      <w:r w:rsidRPr="00282AAC">
        <w:rPr>
          <w:rStyle w:val="hps"/>
          <w:rFonts w:hint="cs"/>
          <w:rtl/>
          <w:lang/>
        </w:rPr>
        <w:t xml:space="preserve"> على هذه ال</w:t>
      </w:r>
      <w:r w:rsidRPr="00282AAC">
        <w:rPr>
          <w:rFonts w:hint="cs"/>
          <w:rtl/>
          <w:lang/>
        </w:rPr>
        <w:t>معاملة</w:t>
      </w:r>
      <w:r w:rsidRPr="00282AAC">
        <w:rPr>
          <w:rtl/>
          <w:lang/>
        </w:rPr>
        <w:t xml:space="preserve">، على الأقل </w:t>
      </w:r>
      <w:r w:rsidRPr="00282AAC">
        <w:rPr>
          <w:rFonts w:hint="cs"/>
          <w:rtl/>
          <w:lang/>
        </w:rPr>
        <w:t>فيما يتعلق</w:t>
      </w:r>
      <w:r w:rsidRPr="00282AAC">
        <w:rPr>
          <w:rtl/>
          <w:lang/>
        </w:rPr>
        <w:t xml:space="preserve"> </w:t>
      </w:r>
      <w:r w:rsidRPr="00282AAC">
        <w:rPr>
          <w:rFonts w:hint="cs"/>
          <w:rtl/>
          <w:lang/>
        </w:rPr>
        <w:t>ب</w:t>
      </w:r>
      <w:r w:rsidRPr="00282AAC">
        <w:rPr>
          <w:rStyle w:val="hps"/>
          <w:rtl/>
          <w:lang/>
        </w:rPr>
        <w:t>الجرائم التي</w:t>
      </w:r>
      <w:r w:rsidRPr="00282AAC">
        <w:rPr>
          <w:rtl/>
          <w:lang/>
        </w:rPr>
        <w:t xml:space="preserve"> لا </w:t>
      </w:r>
      <w:r w:rsidRPr="00282AAC">
        <w:rPr>
          <w:rStyle w:val="hps"/>
          <w:rFonts w:hint="cs"/>
          <w:rtl/>
          <w:lang/>
        </w:rPr>
        <w:t>صلة لها</w:t>
      </w:r>
      <w:r w:rsidRPr="00282AAC">
        <w:rPr>
          <w:rtl/>
          <w:lang/>
        </w:rPr>
        <w:t xml:space="preserve"> </w:t>
      </w:r>
      <w:r w:rsidRPr="00282AAC">
        <w:rPr>
          <w:rFonts w:hint="cs"/>
          <w:rtl/>
          <w:lang/>
        </w:rPr>
        <w:t>ب</w:t>
      </w:r>
      <w:r w:rsidRPr="00282AAC">
        <w:rPr>
          <w:rStyle w:val="hps"/>
          <w:rtl/>
          <w:lang/>
        </w:rPr>
        <w:t>الإرهاب</w:t>
      </w:r>
      <w:r w:rsidRPr="00282AAC">
        <w:rPr>
          <w:rtl/>
          <w:lang w:val="fr-CH"/>
        </w:rPr>
        <w:t>.</w:t>
      </w:r>
    </w:p>
    <w:p w:rsidR="005E110C" w:rsidRPr="00282AAC" w:rsidRDefault="005E110C" w:rsidP="001C7C70">
      <w:pPr>
        <w:pStyle w:val="SingleTxtGA"/>
        <w:rPr>
          <w:rStyle w:val="hps"/>
          <w:rtl/>
          <w:lang/>
        </w:rPr>
      </w:pPr>
      <w:r w:rsidRPr="00A444EC">
        <w:rPr>
          <w:rtl/>
          <w:lang w:val="fr-CH"/>
        </w:rPr>
        <w:t>6-4</w:t>
      </w:r>
      <w:r w:rsidRPr="00A444EC">
        <w:rPr>
          <w:rtl/>
          <w:lang w:val="fr-CH"/>
        </w:rPr>
        <w:tab/>
      </w:r>
      <w:r w:rsidRPr="00A444EC">
        <w:rPr>
          <w:rStyle w:val="hps"/>
          <w:rFonts w:hint="cs"/>
          <w:rtl/>
          <w:lang/>
        </w:rPr>
        <w:t xml:space="preserve">وفيما يتعلق بالتعذيب الذي يُدعى أن من أدلوا بشهادات أدت إلى إدانة السيد أنسي عبيشو قد تعرضوا له، رأت </w:t>
      </w:r>
      <w:r w:rsidRPr="00A444EC">
        <w:rPr>
          <w:rtl/>
          <w:lang/>
        </w:rPr>
        <w:t xml:space="preserve">المحكمة العليا </w:t>
      </w:r>
      <w:r w:rsidRPr="00A444EC">
        <w:rPr>
          <w:rStyle w:val="hps"/>
          <w:rtl/>
          <w:lang/>
        </w:rPr>
        <w:t>الإقليمية</w:t>
      </w:r>
      <w:r w:rsidRPr="00A444EC">
        <w:rPr>
          <w:rtl/>
          <w:lang/>
        </w:rPr>
        <w:t xml:space="preserve"> </w:t>
      </w:r>
      <w:r w:rsidRPr="00A444EC">
        <w:rPr>
          <w:rFonts w:hint="cs"/>
          <w:rtl/>
          <w:lang/>
        </w:rPr>
        <w:t>ل</w:t>
      </w:r>
      <w:r w:rsidRPr="00A444EC">
        <w:rPr>
          <w:rStyle w:val="hps"/>
          <w:rtl/>
          <w:lang/>
        </w:rPr>
        <w:t>ساربروكن</w:t>
      </w:r>
      <w:r w:rsidRPr="00A444EC">
        <w:rPr>
          <w:rtl/>
          <w:lang/>
        </w:rPr>
        <w:t xml:space="preserve"> </w:t>
      </w:r>
      <w:r w:rsidRPr="00A444EC">
        <w:rPr>
          <w:rStyle w:val="hps"/>
          <w:rtl/>
          <w:lang/>
        </w:rPr>
        <w:t>أن</w:t>
      </w:r>
      <w:r w:rsidRPr="00A444EC">
        <w:rPr>
          <w:rStyle w:val="hps"/>
          <w:rFonts w:hint="cs"/>
          <w:rtl/>
          <w:lang/>
        </w:rPr>
        <w:t>ه ليس هناك ما يثبت</w:t>
      </w:r>
      <w:r w:rsidRPr="00A444EC">
        <w:rPr>
          <w:rtl/>
          <w:lang/>
        </w:rPr>
        <w:t xml:space="preserve"> </w:t>
      </w:r>
      <w:r w:rsidRPr="00A444EC">
        <w:rPr>
          <w:rStyle w:val="hps"/>
          <w:rFonts w:hint="cs"/>
          <w:rtl/>
          <w:lang/>
        </w:rPr>
        <w:t>هذه</w:t>
      </w:r>
      <w:r w:rsidRPr="00A444EC">
        <w:rPr>
          <w:rStyle w:val="hps"/>
          <w:rtl/>
          <w:lang/>
        </w:rPr>
        <w:t xml:space="preserve"> الادعاءات</w:t>
      </w:r>
      <w:r w:rsidRPr="00A444EC">
        <w:rPr>
          <w:rtl/>
          <w:lang/>
        </w:rPr>
        <w:t xml:space="preserve">. </w:t>
      </w:r>
      <w:r w:rsidRPr="00A444EC">
        <w:rPr>
          <w:rStyle w:val="hps"/>
          <w:rFonts w:hint="cs"/>
          <w:rtl/>
          <w:lang/>
        </w:rPr>
        <w:t>وإضافة إلى ذلك</w:t>
      </w:r>
      <w:r w:rsidRPr="00A444EC">
        <w:rPr>
          <w:rtl/>
          <w:lang/>
        </w:rPr>
        <w:t xml:space="preserve">، </w:t>
      </w:r>
      <w:r w:rsidRPr="00A444EC">
        <w:rPr>
          <w:rFonts w:hint="cs"/>
          <w:rtl/>
          <w:lang/>
        </w:rPr>
        <w:t>ف</w:t>
      </w:r>
      <w:r w:rsidRPr="00A444EC">
        <w:rPr>
          <w:rStyle w:val="hps"/>
          <w:rtl/>
          <w:lang/>
        </w:rPr>
        <w:t>قد</w:t>
      </w:r>
      <w:r w:rsidRPr="00A444EC">
        <w:rPr>
          <w:rtl/>
          <w:lang/>
        </w:rPr>
        <w:t xml:space="preserve"> </w:t>
      </w:r>
      <w:r w:rsidRPr="00A444EC">
        <w:rPr>
          <w:rFonts w:hint="cs"/>
          <w:rtl/>
          <w:lang/>
        </w:rPr>
        <w:t xml:space="preserve">استندت </w:t>
      </w:r>
      <w:r w:rsidRPr="00A444EC">
        <w:rPr>
          <w:rStyle w:val="hps"/>
          <w:rtl/>
          <w:lang/>
        </w:rPr>
        <w:t>إدانة السيد</w:t>
      </w:r>
      <w:r w:rsidRPr="00A444EC">
        <w:rPr>
          <w:rtl/>
          <w:lang/>
        </w:rPr>
        <w:t xml:space="preserve"> </w:t>
      </w:r>
      <w:r w:rsidRPr="00A444EC">
        <w:rPr>
          <w:rStyle w:val="hps"/>
          <w:rFonts w:hint="cs"/>
          <w:rtl/>
          <w:lang/>
        </w:rPr>
        <w:t>أنسي عبيشو</w:t>
      </w:r>
      <w:r w:rsidRPr="00A444EC">
        <w:rPr>
          <w:rtl/>
          <w:lang/>
        </w:rPr>
        <w:t xml:space="preserve"> إلى </w:t>
      </w:r>
      <w:r w:rsidRPr="00A444EC">
        <w:rPr>
          <w:rStyle w:val="hps"/>
          <w:rtl/>
          <w:lang/>
        </w:rPr>
        <w:t xml:space="preserve">أدلة </w:t>
      </w:r>
      <w:r w:rsidRPr="00A444EC">
        <w:rPr>
          <w:rStyle w:val="hps"/>
          <w:rFonts w:hint="cs"/>
          <w:rtl/>
          <w:lang/>
        </w:rPr>
        <w:t xml:space="preserve">داعمة </w:t>
      </w:r>
      <w:r w:rsidRPr="00A444EC">
        <w:rPr>
          <w:rStyle w:val="hps"/>
          <w:rtl/>
          <w:lang/>
        </w:rPr>
        <w:t>أخرى</w:t>
      </w:r>
      <w:r w:rsidRPr="00A444EC">
        <w:rPr>
          <w:rtl/>
          <w:lang/>
        </w:rPr>
        <w:t xml:space="preserve">. </w:t>
      </w:r>
      <w:r w:rsidRPr="00A444EC">
        <w:rPr>
          <w:rStyle w:val="hps"/>
          <w:rFonts w:hint="cs"/>
          <w:rtl/>
          <w:lang/>
        </w:rPr>
        <w:t>ومن جهة أخرى، بالنظر إلى أنه كان بوسع عبيشو</w:t>
      </w:r>
      <w:r w:rsidRPr="00A444EC">
        <w:rPr>
          <w:rtl/>
          <w:lang/>
        </w:rPr>
        <w:t xml:space="preserve">، بموجب القانون </w:t>
      </w:r>
      <w:r w:rsidRPr="00A444EC">
        <w:rPr>
          <w:rStyle w:val="hps"/>
          <w:rtl/>
          <w:lang/>
        </w:rPr>
        <w:t>التونسي</w:t>
      </w:r>
      <w:r w:rsidRPr="00A444EC">
        <w:rPr>
          <w:rtl/>
          <w:lang/>
        </w:rPr>
        <w:t xml:space="preserve">، </w:t>
      </w:r>
      <w:r w:rsidRPr="00A444EC">
        <w:rPr>
          <w:rStyle w:val="hps"/>
          <w:rFonts w:hint="cs"/>
          <w:rtl/>
          <w:lang/>
        </w:rPr>
        <w:t xml:space="preserve">أن يطلب محاكمته من جديد </w:t>
      </w:r>
      <w:r w:rsidRPr="00A444EC">
        <w:rPr>
          <w:rStyle w:val="hps"/>
          <w:rtl/>
          <w:lang/>
        </w:rPr>
        <w:t>-</w:t>
      </w:r>
      <w:r w:rsidRPr="00A444EC">
        <w:rPr>
          <w:rStyle w:val="hps"/>
          <w:rFonts w:hint="cs"/>
          <w:rtl/>
          <w:lang/>
        </w:rPr>
        <w:t xml:space="preserve"> وهو ما أكدته</w:t>
      </w:r>
      <w:r w:rsidRPr="00A444EC">
        <w:rPr>
          <w:rtl/>
          <w:lang/>
        </w:rPr>
        <w:t xml:space="preserve"> </w:t>
      </w:r>
      <w:r w:rsidRPr="00A444EC">
        <w:rPr>
          <w:rStyle w:val="hps"/>
          <w:rtl/>
          <w:lang/>
        </w:rPr>
        <w:t>صراحة</w:t>
      </w:r>
      <w:r w:rsidRPr="00A444EC">
        <w:rPr>
          <w:rtl/>
          <w:lang/>
        </w:rPr>
        <w:t xml:space="preserve"> </w:t>
      </w:r>
      <w:r w:rsidRPr="00A444EC">
        <w:rPr>
          <w:rStyle w:val="hps"/>
          <w:rtl/>
          <w:lang/>
        </w:rPr>
        <w:t>السلطات التونسية</w:t>
      </w:r>
      <w:r w:rsidRPr="00A444EC">
        <w:rPr>
          <w:rtl/>
          <w:lang/>
        </w:rPr>
        <w:t xml:space="preserve"> </w:t>
      </w:r>
      <w:r w:rsidRPr="00A444EC">
        <w:rPr>
          <w:rStyle w:val="hps"/>
          <w:rtl/>
          <w:lang/>
        </w:rPr>
        <w:t>في</w:t>
      </w:r>
      <w:r w:rsidRPr="00A444EC">
        <w:rPr>
          <w:rtl/>
          <w:lang/>
        </w:rPr>
        <w:t xml:space="preserve"> </w:t>
      </w:r>
      <w:r w:rsidRPr="00A444EC">
        <w:rPr>
          <w:rStyle w:val="hps"/>
          <w:rtl/>
          <w:lang/>
        </w:rPr>
        <w:t>الضمانات</w:t>
      </w:r>
      <w:r w:rsidRPr="00A444EC">
        <w:rPr>
          <w:rtl/>
          <w:lang/>
        </w:rPr>
        <w:t xml:space="preserve"> </w:t>
      </w:r>
      <w:r w:rsidRPr="00A444EC">
        <w:rPr>
          <w:rStyle w:val="hps"/>
          <w:rtl/>
          <w:lang/>
        </w:rPr>
        <w:t>التي قدم</w:t>
      </w:r>
      <w:r w:rsidRPr="00A444EC">
        <w:rPr>
          <w:rStyle w:val="hps"/>
          <w:rFonts w:hint="cs"/>
          <w:rtl/>
          <w:lang/>
        </w:rPr>
        <w:t>تها</w:t>
      </w:r>
      <w:r w:rsidRPr="00A444EC">
        <w:rPr>
          <w:rtl/>
          <w:lang/>
        </w:rPr>
        <w:t xml:space="preserve"> </w:t>
      </w:r>
      <w:r w:rsidRPr="00A444EC">
        <w:rPr>
          <w:rStyle w:val="hps"/>
          <w:rtl/>
          <w:lang/>
        </w:rPr>
        <w:t>للدولة الطرف</w:t>
      </w:r>
      <w:r w:rsidRPr="00A444EC">
        <w:rPr>
          <w:rFonts w:hint="cs"/>
          <w:rtl/>
          <w:lang/>
        </w:rPr>
        <w:t xml:space="preserve"> - فقد</w:t>
      </w:r>
      <w:r w:rsidRPr="00A444EC">
        <w:rPr>
          <w:rtl/>
          <w:lang/>
        </w:rPr>
        <w:t xml:space="preserve"> </w:t>
      </w:r>
      <w:r w:rsidRPr="00A444EC">
        <w:rPr>
          <w:rStyle w:val="hps"/>
          <w:rFonts w:hint="cs"/>
          <w:rtl/>
          <w:lang/>
        </w:rPr>
        <w:t>رأت</w:t>
      </w:r>
      <w:r w:rsidRPr="00A444EC">
        <w:rPr>
          <w:rStyle w:val="hps"/>
          <w:rtl/>
          <w:lang/>
        </w:rPr>
        <w:t xml:space="preserve"> المحكمة</w:t>
      </w:r>
      <w:r w:rsidRPr="00A444EC">
        <w:rPr>
          <w:rtl/>
          <w:lang/>
        </w:rPr>
        <w:t xml:space="preserve"> </w:t>
      </w:r>
      <w:r w:rsidRPr="00A444EC">
        <w:rPr>
          <w:rStyle w:val="hps"/>
          <w:rFonts w:hint="cs"/>
          <w:rtl/>
          <w:lang/>
        </w:rPr>
        <w:t>عدم وجود أي سبب يدعو إلى الاعتقاد</w:t>
      </w:r>
      <w:r w:rsidRPr="00A444EC">
        <w:rPr>
          <w:rtl/>
          <w:lang/>
        </w:rPr>
        <w:t xml:space="preserve"> </w:t>
      </w:r>
      <w:r w:rsidRPr="00A444EC">
        <w:rPr>
          <w:rStyle w:val="hps"/>
          <w:rtl/>
          <w:lang/>
        </w:rPr>
        <w:t>بأن</w:t>
      </w:r>
      <w:r w:rsidRPr="00A444EC">
        <w:rPr>
          <w:rtl/>
          <w:lang/>
        </w:rPr>
        <w:t xml:space="preserve"> </w:t>
      </w:r>
      <w:r w:rsidRPr="00A444EC">
        <w:rPr>
          <w:rStyle w:val="hps"/>
          <w:rtl/>
          <w:lang/>
        </w:rPr>
        <w:t>السيد</w:t>
      </w:r>
      <w:r w:rsidRPr="00A444EC">
        <w:rPr>
          <w:rtl/>
          <w:lang/>
        </w:rPr>
        <w:t xml:space="preserve"> </w:t>
      </w:r>
      <w:r w:rsidRPr="00A444EC">
        <w:rPr>
          <w:rStyle w:val="hps"/>
          <w:rFonts w:hint="cs"/>
          <w:rtl/>
          <w:lang/>
        </w:rPr>
        <w:t>أنسي عبيشو</w:t>
      </w:r>
      <w:r w:rsidRPr="00A444EC">
        <w:rPr>
          <w:rtl/>
          <w:lang/>
        </w:rPr>
        <w:t xml:space="preserve"> </w:t>
      </w:r>
      <w:r w:rsidRPr="00A444EC">
        <w:rPr>
          <w:rStyle w:val="hps"/>
          <w:rtl/>
          <w:lang/>
        </w:rPr>
        <w:t>لن</w:t>
      </w:r>
      <w:r w:rsidRPr="00A444EC">
        <w:rPr>
          <w:rtl/>
          <w:lang/>
        </w:rPr>
        <w:t xml:space="preserve"> </w:t>
      </w:r>
      <w:r w:rsidRPr="00A444EC">
        <w:rPr>
          <w:rStyle w:val="hps"/>
          <w:rtl/>
          <w:lang/>
        </w:rPr>
        <w:t>يحصل على</w:t>
      </w:r>
      <w:r w:rsidRPr="00A444EC">
        <w:rPr>
          <w:rtl/>
          <w:lang/>
        </w:rPr>
        <w:t xml:space="preserve"> </w:t>
      </w:r>
      <w:r w:rsidRPr="00A444EC">
        <w:rPr>
          <w:rStyle w:val="hps"/>
          <w:rtl/>
          <w:lang/>
        </w:rPr>
        <w:t>محاكمة عادلة</w:t>
      </w:r>
      <w:r w:rsidRPr="00A444EC">
        <w:rPr>
          <w:rtl/>
          <w:lang/>
        </w:rPr>
        <w:t xml:space="preserve">. </w:t>
      </w:r>
      <w:r w:rsidRPr="00A444EC">
        <w:rPr>
          <w:rStyle w:val="hps"/>
          <w:rtl/>
          <w:lang/>
        </w:rPr>
        <w:t>وتضيف الدولة الطرف</w:t>
      </w:r>
      <w:r w:rsidRPr="00A444EC">
        <w:rPr>
          <w:rtl/>
          <w:lang/>
        </w:rPr>
        <w:t xml:space="preserve"> </w:t>
      </w:r>
      <w:r w:rsidRPr="00A444EC">
        <w:rPr>
          <w:rStyle w:val="hps"/>
          <w:rtl/>
          <w:lang/>
        </w:rPr>
        <w:t>أن المحكمة العليا</w:t>
      </w:r>
      <w:r w:rsidRPr="00A444EC">
        <w:rPr>
          <w:rtl/>
          <w:lang/>
        </w:rPr>
        <w:t xml:space="preserve"> </w:t>
      </w:r>
      <w:r w:rsidRPr="00A444EC">
        <w:rPr>
          <w:rStyle w:val="hps"/>
          <w:rtl/>
          <w:lang/>
        </w:rPr>
        <w:t>الإقليمية</w:t>
      </w:r>
      <w:r w:rsidRPr="00A444EC">
        <w:rPr>
          <w:rStyle w:val="hps"/>
          <w:rFonts w:hint="cs"/>
          <w:rtl/>
          <w:lang/>
        </w:rPr>
        <w:t xml:space="preserve"> في</w:t>
      </w:r>
      <w:r w:rsidRPr="00A444EC">
        <w:rPr>
          <w:rtl/>
          <w:lang/>
        </w:rPr>
        <w:t xml:space="preserve"> </w:t>
      </w:r>
      <w:r w:rsidRPr="00A444EC">
        <w:rPr>
          <w:rStyle w:val="hps"/>
          <w:rtl/>
          <w:lang/>
        </w:rPr>
        <w:t>ساربروكن</w:t>
      </w:r>
      <w:r w:rsidRPr="00A444EC">
        <w:rPr>
          <w:rStyle w:val="hps"/>
          <w:rFonts w:hint="cs"/>
          <w:rtl/>
          <w:lang/>
        </w:rPr>
        <w:t xml:space="preserve"> قد</w:t>
      </w:r>
      <w:r w:rsidRPr="00A444EC">
        <w:rPr>
          <w:rtl/>
          <w:lang/>
        </w:rPr>
        <w:t xml:space="preserve"> </w:t>
      </w:r>
      <w:r w:rsidRPr="00A444EC">
        <w:rPr>
          <w:rStyle w:val="hps"/>
          <w:rtl/>
          <w:lang/>
        </w:rPr>
        <w:t>أحاط</w:t>
      </w:r>
      <w:r w:rsidRPr="00A444EC">
        <w:rPr>
          <w:rStyle w:val="hps"/>
          <w:rFonts w:hint="cs"/>
          <w:rtl/>
          <w:lang/>
        </w:rPr>
        <w:t>ت كذلك</w:t>
      </w:r>
      <w:r w:rsidRPr="00A444EC">
        <w:rPr>
          <w:rStyle w:val="hps"/>
          <w:rtl/>
          <w:lang/>
        </w:rPr>
        <w:t xml:space="preserve"> علما</w:t>
      </w:r>
      <w:r w:rsidRPr="00A444EC">
        <w:rPr>
          <w:rStyle w:val="hps"/>
          <w:rFonts w:hint="cs"/>
          <w:rtl/>
          <w:lang/>
        </w:rPr>
        <w:t>ً</w:t>
      </w:r>
      <w:r w:rsidRPr="00A444EC">
        <w:rPr>
          <w:rtl/>
          <w:lang/>
        </w:rPr>
        <w:t xml:space="preserve"> </w:t>
      </w:r>
      <w:r w:rsidRPr="00A444EC">
        <w:rPr>
          <w:rFonts w:hint="cs"/>
          <w:rtl/>
          <w:lang/>
        </w:rPr>
        <w:t>ب</w:t>
      </w:r>
      <w:r w:rsidRPr="00A444EC">
        <w:rPr>
          <w:rStyle w:val="hps"/>
          <w:rtl/>
          <w:lang/>
        </w:rPr>
        <w:t>الشواغل</w:t>
      </w:r>
      <w:r w:rsidRPr="00A444EC">
        <w:rPr>
          <w:rtl/>
          <w:lang/>
        </w:rPr>
        <w:t xml:space="preserve"> </w:t>
      </w:r>
      <w:r w:rsidRPr="00A444EC">
        <w:rPr>
          <w:rStyle w:val="hps"/>
          <w:rtl/>
          <w:lang/>
        </w:rPr>
        <w:t>المتعلقة بظروف</w:t>
      </w:r>
      <w:r w:rsidRPr="00A444EC">
        <w:rPr>
          <w:rtl/>
          <w:lang/>
        </w:rPr>
        <w:t xml:space="preserve"> </w:t>
      </w:r>
      <w:r w:rsidRPr="00A444EC">
        <w:rPr>
          <w:rStyle w:val="hps"/>
          <w:rtl/>
          <w:lang/>
        </w:rPr>
        <w:t>الاحتجاز</w:t>
      </w:r>
      <w:r w:rsidRPr="00A444EC">
        <w:rPr>
          <w:rtl/>
          <w:lang/>
        </w:rPr>
        <w:t xml:space="preserve"> </w:t>
      </w:r>
      <w:r w:rsidRPr="00A444EC">
        <w:rPr>
          <w:rStyle w:val="hps"/>
          <w:rtl/>
          <w:lang/>
        </w:rPr>
        <w:t>في</w:t>
      </w:r>
      <w:r w:rsidRPr="00A444EC">
        <w:rPr>
          <w:rtl/>
          <w:lang/>
        </w:rPr>
        <w:t xml:space="preserve"> </w:t>
      </w:r>
      <w:r w:rsidRPr="00A444EC">
        <w:rPr>
          <w:rStyle w:val="hps"/>
          <w:rtl/>
          <w:lang/>
        </w:rPr>
        <w:t>تونس</w:t>
      </w:r>
      <w:r w:rsidRPr="00A444EC">
        <w:rPr>
          <w:rtl/>
          <w:lang/>
        </w:rPr>
        <w:t xml:space="preserve"> </w:t>
      </w:r>
      <w:r w:rsidRPr="00A444EC">
        <w:rPr>
          <w:rStyle w:val="hps"/>
          <w:rFonts w:hint="cs"/>
          <w:rtl/>
          <w:lang/>
        </w:rPr>
        <w:t xml:space="preserve">على </w:t>
      </w:r>
      <w:r w:rsidRPr="00282AAC">
        <w:rPr>
          <w:rStyle w:val="hps"/>
          <w:rFonts w:hint="cs"/>
          <w:rtl/>
          <w:lang/>
        </w:rPr>
        <w:t>النحو الوارد</w:t>
      </w:r>
      <w:r w:rsidRPr="00282AAC">
        <w:rPr>
          <w:rtl/>
          <w:lang/>
        </w:rPr>
        <w:t xml:space="preserve"> </w:t>
      </w:r>
      <w:r w:rsidRPr="00282AAC">
        <w:rPr>
          <w:rStyle w:val="hps"/>
          <w:rtl/>
          <w:lang/>
        </w:rPr>
        <w:t>في</w:t>
      </w:r>
      <w:r w:rsidRPr="00282AAC">
        <w:rPr>
          <w:rtl/>
          <w:lang/>
        </w:rPr>
        <w:t xml:space="preserve"> </w:t>
      </w:r>
      <w:r w:rsidRPr="00282AAC">
        <w:rPr>
          <w:rStyle w:val="hps"/>
          <w:rtl/>
          <w:lang/>
        </w:rPr>
        <w:t>التقارير المذكورة أعلاه</w:t>
      </w:r>
      <w:r w:rsidRPr="00282AAC">
        <w:rPr>
          <w:rtl/>
          <w:lang/>
        </w:rPr>
        <w:t xml:space="preserve">، </w:t>
      </w:r>
      <w:r w:rsidRPr="00282AAC">
        <w:rPr>
          <w:rStyle w:val="hps"/>
          <w:rFonts w:hint="cs"/>
          <w:rtl/>
          <w:lang/>
        </w:rPr>
        <w:t>غير أنها</w:t>
      </w:r>
      <w:r w:rsidRPr="00282AAC">
        <w:rPr>
          <w:rStyle w:val="hps"/>
          <w:rtl/>
          <w:lang/>
        </w:rPr>
        <w:t xml:space="preserve"> اعتبرت</w:t>
      </w:r>
      <w:r w:rsidRPr="00282AAC">
        <w:rPr>
          <w:rtl/>
          <w:lang/>
        </w:rPr>
        <w:t xml:space="preserve"> </w:t>
      </w:r>
      <w:r w:rsidRPr="00282AAC">
        <w:rPr>
          <w:rStyle w:val="hps"/>
          <w:rtl/>
          <w:lang/>
        </w:rPr>
        <w:t>أن الضمانات</w:t>
      </w:r>
      <w:r w:rsidRPr="00282AAC">
        <w:rPr>
          <w:rtl/>
          <w:lang/>
        </w:rPr>
        <w:t xml:space="preserve"> </w:t>
      </w:r>
      <w:r w:rsidRPr="00282AAC">
        <w:rPr>
          <w:rStyle w:val="hps"/>
          <w:rtl/>
          <w:lang/>
        </w:rPr>
        <w:t>التي قدمتها</w:t>
      </w:r>
      <w:r w:rsidRPr="00282AAC">
        <w:rPr>
          <w:rtl/>
          <w:lang/>
        </w:rPr>
        <w:t xml:space="preserve"> </w:t>
      </w:r>
      <w:r w:rsidRPr="00282AAC">
        <w:rPr>
          <w:rStyle w:val="hps"/>
          <w:rtl/>
          <w:lang/>
        </w:rPr>
        <w:t>تونس</w:t>
      </w:r>
      <w:r w:rsidRPr="00282AAC">
        <w:rPr>
          <w:rFonts w:hint="cs"/>
          <w:rtl/>
          <w:lang/>
        </w:rPr>
        <w:t xml:space="preserve"> والتي تؤكد</w:t>
      </w:r>
      <w:r w:rsidRPr="00282AAC">
        <w:rPr>
          <w:rStyle w:val="hps"/>
          <w:rtl/>
          <w:lang/>
        </w:rPr>
        <w:t xml:space="preserve"> أن</w:t>
      </w:r>
      <w:r w:rsidRPr="00282AAC">
        <w:rPr>
          <w:rtl/>
          <w:lang/>
        </w:rPr>
        <w:t xml:space="preserve"> </w:t>
      </w:r>
      <w:r w:rsidRPr="00282AAC">
        <w:rPr>
          <w:rStyle w:val="hps"/>
          <w:rtl/>
          <w:lang/>
        </w:rPr>
        <w:t>السيد</w:t>
      </w:r>
      <w:r w:rsidRPr="00282AAC">
        <w:rPr>
          <w:rtl/>
          <w:lang/>
        </w:rPr>
        <w:t xml:space="preserve"> </w:t>
      </w:r>
      <w:r w:rsidRPr="00282AAC">
        <w:rPr>
          <w:rStyle w:val="hps"/>
          <w:rFonts w:hint="cs"/>
          <w:rtl/>
          <w:lang/>
        </w:rPr>
        <w:t>أنسي عبيشو</w:t>
      </w:r>
      <w:r w:rsidRPr="00282AAC">
        <w:rPr>
          <w:rtl/>
          <w:lang/>
        </w:rPr>
        <w:t xml:space="preserve"> </w:t>
      </w:r>
      <w:r w:rsidRPr="00282AAC">
        <w:rPr>
          <w:rStyle w:val="hps"/>
          <w:rtl/>
          <w:lang/>
        </w:rPr>
        <w:t>سي</w:t>
      </w:r>
      <w:r w:rsidRPr="00282AAC">
        <w:rPr>
          <w:rStyle w:val="hps"/>
          <w:rFonts w:hint="cs"/>
          <w:rtl/>
          <w:lang/>
        </w:rPr>
        <w:t xml:space="preserve">سجن </w:t>
      </w:r>
      <w:r w:rsidRPr="00282AAC">
        <w:rPr>
          <w:rStyle w:val="hps"/>
          <w:rtl/>
          <w:lang/>
        </w:rPr>
        <w:t xml:space="preserve">في </w:t>
      </w:r>
      <w:r w:rsidRPr="00282AAC">
        <w:rPr>
          <w:rStyle w:val="hps"/>
          <w:rFonts w:hint="cs"/>
          <w:rtl/>
          <w:lang/>
        </w:rPr>
        <w:t>مكان احتجاز تُراعي</w:t>
      </w:r>
      <w:r w:rsidRPr="00282AAC">
        <w:rPr>
          <w:rtl/>
          <w:lang/>
        </w:rPr>
        <w:t xml:space="preserve"> </w:t>
      </w:r>
      <w:r w:rsidRPr="00282AAC">
        <w:rPr>
          <w:rFonts w:hint="cs"/>
          <w:rtl/>
          <w:lang/>
        </w:rPr>
        <w:t xml:space="preserve">فيه </w:t>
      </w:r>
      <w:r w:rsidRPr="00282AAC">
        <w:rPr>
          <w:rStyle w:val="hps"/>
          <w:rFonts w:hint="cs"/>
          <w:rtl/>
          <w:lang/>
        </w:rPr>
        <w:t xml:space="preserve">القواعد </w:t>
      </w:r>
      <w:r w:rsidRPr="00282AAC">
        <w:rPr>
          <w:rStyle w:val="hps"/>
          <w:rtl/>
          <w:lang/>
        </w:rPr>
        <w:t>النموذجية الدنيا ل</w:t>
      </w:r>
      <w:r w:rsidRPr="00282AAC">
        <w:rPr>
          <w:rtl/>
          <w:lang/>
        </w:rPr>
        <w:t xml:space="preserve">معاملة السجناء، </w:t>
      </w:r>
      <w:r w:rsidRPr="00282AAC">
        <w:rPr>
          <w:rStyle w:val="hps"/>
          <w:rFonts w:hint="cs"/>
          <w:rtl/>
          <w:lang/>
        </w:rPr>
        <w:t>هي ضمانات كافية لاستبعاد</w:t>
      </w:r>
      <w:r w:rsidRPr="00282AAC">
        <w:rPr>
          <w:rStyle w:val="hps"/>
          <w:rtl/>
          <w:lang/>
        </w:rPr>
        <w:t xml:space="preserve"> هذه المخاطر</w:t>
      </w:r>
      <w:r w:rsidRPr="00282AAC">
        <w:rPr>
          <w:rtl/>
          <w:lang/>
        </w:rPr>
        <w:t xml:space="preserve">. </w:t>
      </w:r>
      <w:r w:rsidRPr="00282AAC">
        <w:rPr>
          <w:rStyle w:val="hps"/>
          <w:rFonts w:hint="cs"/>
          <w:rtl/>
          <w:lang/>
        </w:rPr>
        <w:t>ومن ثم، فقد أخذت</w:t>
      </w:r>
      <w:r w:rsidRPr="00282AAC">
        <w:rPr>
          <w:rtl/>
          <w:lang/>
        </w:rPr>
        <w:t xml:space="preserve"> </w:t>
      </w:r>
      <w:r w:rsidRPr="00282AAC">
        <w:rPr>
          <w:rStyle w:val="hps"/>
          <w:rtl/>
          <w:lang/>
        </w:rPr>
        <w:t xml:space="preserve">المحاكم </w:t>
      </w:r>
      <w:r w:rsidRPr="00282AAC">
        <w:rPr>
          <w:rStyle w:val="hps"/>
          <w:rFonts w:hint="cs"/>
          <w:rtl/>
          <w:lang/>
        </w:rPr>
        <w:t>والسلطات المختصة في</w:t>
      </w:r>
      <w:r w:rsidRPr="00282AAC">
        <w:rPr>
          <w:rtl/>
          <w:lang/>
        </w:rPr>
        <w:t xml:space="preserve"> </w:t>
      </w:r>
      <w:r w:rsidRPr="00282AAC">
        <w:rPr>
          <w:rStyle w:val="hps"/>
          <w:rtl/>
          <w:lang/>
        </w:rPr>
        <w:t>الدولة الطرف</w:t>
      </w:r>
      <w:r w:rsidRPr="00282AAC">
        <w:rPr>
          <w:rtl/>
          <w:lang/>
        </w:rPr>
        <w:t xml:space="preserve"> </w:t>
      </w:r>
      <w:r w:rsidRPr="00282AAC">
        <w:rPr>
          <w:rStyle w:val="hps"/>
          <w:rFonts w:hint="cs"/>
          <w:rtl/>
          <w:lang/>
        </w:rPr>
        <w:t>في الاعتبار</w:t>
      </w:r>
      <w:r w:rsidRPr="00282AAC">
        <w:rPr>
          <w:rtl/>
          <w:lang/>
        </w:rPr>
        <w:t xml:space="preserve"> </w:t>
      </w:r>
      <w:r w:rsidRPr="00282AAC">
        <w:rPr>
          <w:rStyle w:val="hps"/>
          <w:rtl/>
          <w:lang/>
        </w:rPr>
        <w:t>المخاطر</w:t>
      </w:r>
      <w:r w:rsidRPr="00282AAC">
        <w:rPr>
          <w:rStyle w:val="hps"/>
          <w:rFonts w:hint="cs"/>
          <w:rtl/>
          <w:lang/>
        </w:rPr>
        <w:t xml:space="preserve"> المتعلقة ب</w:t>
      </w:r>
      <w:r w:rsidRPr="00282AAC">
        <w:rPr>
          <w:rStyle w:val="hps"/>
          <w:rtl/>
          <w:lang/>
        </w:rPr>
        <w:t>تسليم</w:t>
      </w:r>
      <w:r w:rsidRPr="00282AAC">
        <w:rPr>
          <w:rtl/>
          <w:lang/>
        </w:rPr>
        <w:t xml:space="preserve"> </w:t>
      </w:r>
      <w:r w:rsidRPr="00282AAC">
        <w:rPr>
          <w:rStyle w:val="hps"/>
          <w:rtl/>
          <w:lang/>
        </w:rPr>
        <w:t>السيد</w:t>
      </w:r>
      <w:r w:rsidRPr="00282AAC">
        <w:rPr>
          <w:rtl/>
          <w:lang/>
        </w:rPr>
        <w:t xml:space="preserve"> </w:t>
      </w:r>
      <w:r w:rsidRPr="00282AAC">
        <w:rPr>
          <w:rStyle w:val="hps"/>
          <w:rFonts w:hint="cs"/>
          <w:rtl/>
          <w:lang/>
        </w:rPr>
        <w:t>أنسي عبيشو</w:t>
      </w:r>
      <w:r w:rsidRPr="00282AAC">
        <w:rPr>
          <w:rtl/>
          <w:lang/>
        </w:rPr>
        <w:t xml:space="preserve"> إلى </w:t>
      </w:r>
      <w:r w:rsidRPr="00282AAC">
        <w:rPr>
          <w:rStyle w:val="hps"/>
          <w:rtl/>
          <w:lang/>
        </w:rPr>
        <w:t>تونس</w:t>
      </w:r>
      <w:r w:rsidRPr="00282AAC">
        <w:rPr>
          <w:rtl/>
          <w:lang/>
        </w:rPr>
        <w:t xml:space="preserve">. </w:t>
      </w:r>
      <w:r w:rsidRPr="00282AAC">
        <w:rPr>
          <w:rStyle w:val="hps"/>
          <w:rtl/>
          <w:lang/>
        </w:rPr>
        <w:t>وبالإضافة إلى ذلك</w:t>
      </w:r>
      <w:r w:rsidRPr="00282AAC">
        <w:rPr>
          <w:rtl/>
          <w:lang/>
        </w:rPr>
        <w:t xml:space="preserve">، </w:t>
      </w:r>
      <w:r w:rsidRPr="00282AAC">
        <w:rPr>
          <w:rFonts w:hint="cs"/>
          <w:rtl/>
          <w:lang/>
        </w:rPr>
        <w:t xml:space="preserve">فقد </w:t>
      </w:r>
      <w:r w:rsidRPr="00282AAC">
        <w:rPr>
          <w:rtl/>
          <w:lang/>
        </w:rPr>
        <w:t xml:space="preserve">تابعت </w:t>
      </w:r>
      <w:r w:rsidRPr="00282AAC">
        <w:rPr>
          <w:rStyle w:val="hps"/>
          <w:rtl/>
          <w:lang/>
        </w:rPr>
        <w:t>السفارة الألمانية</w:t>
      </w:r>
      <w:r w:rsidRPr="00282AAC">
        <w:rPr>
          <w:rtl/>
          <w:lang/>
        </w:rPr>
        <w:t xml:space="preserve"> </w:t>
      </w:r>
      <w:r w:rsidRPr="00282AAC">
        <w:rPr>
          <w:rStyle w:val="hps"/>
          <w:rtl/>
          <w:lang/>
        </w:rPr>
        <w:t>في</w:t>
      </w:r>
      <w:r w:rsidRPr="00282AAC">
        <w:rPr>
          <w:rtl/>
          <w:lang/>
        </w:rPr>
        <w:t xml:space="preserve"> </w:t>
      </w:r>
      <w:r w:rsidRPr="00282AAC">
        <w:rPr>
          <w:rStyle w:val="hps"/>
          <w:rtl/>
          <w:lang/>
        </w:rPr>
        <w:t>تونس</w:t>
      </w:r>
      <w:r w:rsidRPr="00282AAC">
        <w:rPr>
          <w:rtl/>
          <w:lang/>
        </w:rPr>
        <w:t xml:space="preserve"> </w:t>
      </w:r>
      <w:r w:rsidRPr="00282AAC">
        <w:rPr>
          <w:rStyle w:val="hps"/>
          <w:rtl/>
          <w:lang/>
        </w:rPr>
        <w:t>الضمانات الدبلوماسية</w:t>
      </w:r>
      <w:r w:rsidRPr="00282AAC">
        <w:rPr>
          <w:rStyle w:val="hps"/>
          <w:rFonts w:hint="cs"/>
          <w:rtl/>
          <w:lang/>
        </w:rPr>
        <w:t xml:space="preserve"> المقدمة واهتم</w:t>
      </w:r>
      <w:r w:rsidRPr="00282AAC">
        <w:rPr>
          <w:vertAlign w:val="superscript"/>
          <w:rtl/>
          <w:lang w:val="fr-CH"/>
        </w:rPr>
        <w:t>(</w:t>
      </w:r>
      <w:r w:rsidRPr="00282AAC">
        <w:rPr>
          <w:rStyle w:val="FootnoteReference"/>
          <w:rtl/>
          <w:lang w:val="fr-CH"/>
        </w:rPr>
        <w:footnoteReference w:id="139"/>
      </w:r>
      <w:r w:rsidRPr="00282AAC">
        <w:rPr>
          <w:vertAlign w:val="superscript"/>
          <w:rtl/>
          <w:lang w:val="fr-CH"/>
        </w:rPr>
        <w:t>)</w:t>
      </w:r>
      <w:r w:rsidRPr="00282AAC">
        <w:rPr>
          <w:rStyle w:val="hps"/>
          <w:rFonts w:hint="cs"/>
          <w:rtl/>
          <w:lang/>
        </w:rPr>
        <w:t xml:space="preserve"> موظفون</w:t>
      </w:r>
      <w:r w:rsidRPr="00282AAC">
        <w:rPr>
          <w:rFonts w:hint="cs"/>
          <w:rtl/>
          <w:lang/>
        </w:rPr>
        <w:t xml:space="preserve"> </w:t>
      </w:r>
      <w:r w:rsidRPr="00282AAC">
        <w:rPr>
          <w:rStyle w:val="hps"/>
          <w:rFonts w:hint="cs"/>
          <w:rtl/>
          <w:lang/>
        </w:rPr>
        <w:t>با</w:t>
      </w:r>
      <w:r w:rsidRPr="00282AAC">
        <w:rPr>
          <w:rStyle w:val="hps"/>
          <w:rtl/>
          <w:lang/>
        </w:rPr>
        <w:t>لسفارة الفرنسية</w:t>
      </w:r>
      <w:r w:rsidRPr="00282AAC">
        <w:rPr>
          <w:rtl/>
          <w:lang/>
        </w:rPr>
        <w:t xml:space="preserve"> </w:t>
      </w:r>
      <w:r w:rsidRPr="00282AAC">
        <w:rPr>
          <w:rStyle w:val="hps"/>
          <w:rtl/>
          <w:lang/>
        </w:rPr>
        <w:t>في</w:t>
      </w:r>
      <w:r w:rsidRPr="00282AAC">
        <w:rPr>
          <w:rtl/>
          <w:lang/>
        </w:rPr>
        <w:t xml:space="preserve"> </w:t>
      </w:r>
      <w:r w:rsidRPr="00282AAC">
        <w:rPr>
          <w:rStyle w:val="hps"/>
          <w:rtl/>
          <w:lang/>
        </w:rPr>
        <w:t>تونس</w:t>
      </w:r>
      <w:r w:rsidRPr="00282AAC">
        <w:rPr>
          <w:rStyle w:val="hps"/>
          <w:rFonts w:hint="cs"/>
          <w:rtl/>
          <w:lang/>
        </w:rPr>
        <w:t xml:space="preserve"> بأن السيد أنسي عبيشو </w:t>
      </w:r>
      <w:r w:rsidRPr="00282AAC">
        <w:rPr>
          <w:rStyle w:val="hps"/>
          <w:rtl/>
          <w:lang/>
        </w:rPr>
        <w:t>(</w:t>
      </w:r>
      <w:r w:rsidRPr="00282AAC">
        <w:rPr>
          <w:rStyle w:val="hps"/>
          <w:rFonts w:hint="cs"/>
          <w:rtl/>
          <w:lang/>
        </w:rPr>
        <w:t>لكونه مواطناً فرنسياً</w:t>
      </w:r>
      <w:r w:rsidRPr="00282AAC">
        <w:rPr>
          <w:rtl/>
          <w:lang/>
        </w:rPr>
        <w:t xml:space="preserve">). </w:t>
      </w:r>
      <w:r w:rsidRPr="00282AAC">
        <w:rPr>
          <w:rStyle w:val="hps"/>
          <w:rtl/>
          <w:lang/>
        </w:rPr>
        <w:t>و</w:t>
      </w:r>
      <w:r w:rsidRPr="00282AAC">
        <w:rPr>
          <w:rtl/>
          <w:lang/>
        </w:rPr>
        <w:t xml:space="preserve">تابعت </w:t>
      </w:r>
      <w:r w:rsidRPr="00282AAC">
        <w:rPr>
          <w:rStyle w:val="hps"/>
          <w:rtl/>
          <w:lang/>
        </w:rPr>
        <w:t>السفارة الألمانية</w:t>
      </w:r>
      <w:r w:rsidRPr="00282AAC">
        <w:rPr>
          <w:rStyle w:val="hps"/>
          <w:rFonts w:hint="cs"/>
          <w:rtl/>
          <w:lang/>
        </w:rPr>
        <w:t xml:space="preserve"> كذلك جلسات محاكمته الجديدة على مستوى المحكمة الابتدائية</w:t>
      </w:r>
      <w:r w:rsidRPr="00282AAC">
        <w:rPr>
          <w:rFonts w:hint="cs"/>
          <w:rtl/>
          <w:lang/>
        </w:rPr>
        <w:t xml:space="preserve">، بالإضافة إلى </w:t>
      </w:r>
      <w:r w:rsidRPr="00282AAC">
        <w:rPr>
          <w:rStyle w:val="hps"/>
          <w:rtl/>
          <w:lang/>
        </w:rPr>
        <w:t>إجراء الاستئناف</w:t>
      </w:r>
      <w:r w:rsidRPr="00282AAC">
        <w:rPr>
          <w:rStyle w:val="hps"/>
          <w:rFonts w:hint="cs"/>
          <w:rtl/>
          <w:lang/>
        </w:rPr>
        <w:t xml:space="preserve"> المرفوعة</w:t>
      </w:r>
      <w:r w:rsidRPr="00282AAC">
        <w:rPr>
          <w:vertAlign w:val="superscript"/>
          <w:rtl/>
          <w:lang w:val="fr-CH"/>
        </w:rPr>
        <w:t>(</w:t>
      </w:r>
      <w:r w:rsidRPr="00282AAC">
        <w:rPr>
          <w:rStyle w:val="FootnoteReference"/>
          <w:rtl/>
          <w:lang w:val="fr-CH"/>
        </w:rPr>
        <w:footnoteReference w:id="140"/>
      </w:r>
      <w:r w:rsidRPr="00282AAC">
        <w:rPr>
          <w:vertAlign w:val="superscript"/>
          <w:rtl/>
          <w:lang w:val="fr-CH"/>
        </w:rPr>
        <w:t>)</w:t>
      </w:r>
      <w:r w:rsidRPr="00282AAC">
        <w:rPr>
          <w:rtl/>
          <w:lang/>
        </w:rPr>
        <w:t xml:space="preserve">. </w:t>
      </w:r>
      <w:r w:rsidRPr="00282AAC">
        <w:rPr>
          <w:rFonts w:hint="cs"/>
          <w:rtl/>
          <w:lang/>
        </w:rPr>
        <w:t>و</w:t>
      </w:r>
      <w:r w:rsidRPr="00282AAC">
        <w:rPr>
          <w:rStyle w:val="hps"/>
          <w:rtl/>
          <w:lang/>
        </w:rPr>
        <w:t>لم يكن هناك أي</w:t>
      </w:r>
      <w:r w:rsidRPr="00282AAC">
        <w:rPr>
          <w:rtl/>
          <w:lang/>
        </w:rPr>
        <w:t xml:space="preserve"> </w:t>
      </w:r>
      <w:r w:rsidRPr="00282AAC">
        <w:rPr>
          <w:rStyle w:val="hps"/>
          <w:rtl/>
          <w:lang/>
        </w:rPr>
        <w:t>مؤشر</w:t>
      </w:r>
      <w:r w:rsidRPr="00282AAC">
        <w:rPr>
          <w:rStyle w:val="hps"/>
          <w:rFonts w:hint="cs"/>
          <w:rtl/>
          <w:lang/>
        </w:rPr>
        <w:t xml:space="preserve"> يدل</w:t>
      </w:r>
      <w:r w:rsidRPr="00282AAC">
        <w:rPr>
          <w:rStyle w:val="hps"/>
          <w:rtl/>
          <w:lang/>
        </w:rPr>
        <w:t xml:space="preserve"> على تعرض السيد</w:t>
      </w:r>
      <w:r w:rsidRPr="00282AAC">
        <w:rPr>
          <w:rtl/>
          <w:lang/>
        </w:rPr>
        <w:t xml:space="preserve"> </w:t>
      </w:r>
      <w:r w:rsidRPr="00282AAC">
        <w:rPr>
          <w:rStyle w:val="hps"/>
          <w:rFonts w:hint="cs"/>
          <w:rtl/>
          <w:lang/>
        </w:rPr>
        <w:t>أنسي عبيشو</w:t>
      </w:r>
      <w:r w:rsidRPr="00282AAC">
        <w:rPr>
          <w:rStyle w:val="hps"/>
          <w:rtl/>
          <w:lang/>
        </w:rPr>
        <w:t xml:space="preserve"> لل</w:t>
      </w:r>
      <w:r w:rsidRPr="00282AAC">
        <w:rPr>
          <w:rtl/>
          <w:lang/>
        </w:rPr>
        <w:t xml:space="preserve">تعذيب </w:t>
      </w:r>
      <w:r w:rsidRPr="00282AAC">
        <w:rPr>
          <w:rStyle w:val="hps"/>
          <w:rtl/>
          <w:lang/>
        </w:rPr>
        <w:t>أو</w:t>
      </w:r>
      <w:r w:rsidRPr="00282AAC">
        <w:rPr>
          <w:rtl/>
          <w:lang/>
        </w:rPr>
        <w:t xml:space="preserve"> </w:t>
      </w:r>
      <w:r w:rsidRPr="00282AAC">
        <w:rPr>
          <w:rStyle w:val="hps"/>
          <w:rtl/>
          <w:lang/>
        </w:rPr>
        <w:t>ل</w:t>
      </w:r>
      <w:r w:rsidRPr="00282AAC">
        <w:rPr>
          <w:rtl/>
          <w:lang/>
        </w:rPr>
        <w:t xml:space="preserve">غيره من ضروب المعاملة </w:t>
      </w:r>
      <w:r w:rsidRPr="00282AAC">
        <w:rPr>
          <w:rStyle w:val="hps"/>
          <w:rtl/>
          <w:lang/>
        </w:rPr>
        <w:t>اللاإنسانية</w:t>
      </w:r>
      <w:r w:rsidRPr="00282AAC">
        <w:rPr>
          <w:rtl/>
          <w:lang/>
        </w:rPr>
        <w:t>.</w:t>
      </w:r>
    </w:p>
    <w:p w:rsidR="005E110C" w:rsidRPr="00282AAC" w:rsidRDefault="005E110C" w:rsidP="008302C2">
      <w:pPr>
        <w:pStyle w:val="SingleTxtGA"/>
        <w:rPr>
          <w:rStyle w:val="hps"/>
          <w:rtl/>
          <w:lang/>
        </w:rPr>
      </w:pPr>
      <w:r w:rsidRPr="00282AAC">
        <w:rPr>
          <w:rtl/>
          <w:lang w:val="fr-CH"/>
        </w:rPr>
        <w:t>6-5</w:t>
      </w:r>
      <w:r w:rsidRPr="00282AAC">
        <w:rPr>
          <w:rtl/>
          <w:lang w:val="fr-CH"/>
        </w:rPr>
        <w:tab/>
      </w:r>
      <w:r w:rsidRPr="00282AAC">
        <w:rPr>
          <w:rStyle w:val="hps"/>
          <w:rtl/>
          <w:lang/>
        </w:rPr>
        <w:t>وفيما يتعلق بمسألة</w:t>
      </w:r>
      <w:r w:rsidRPr="00282AAC">
        <w:rPr>
          <w:rtl/>
          <w:lang/>
        </w:rPr>
        <w:t xml:space="preserve"> </w:t>
      </w:r>
      <w:r w:rsidRPr="00282AAC">
        <w:rPr>
          <w:rStyle w:val="hps"/>
          <w:rtl/>
          <w:lang/>
        </w:rPr>
        <w:t>التعرض ل</w:t>
      </w:r>
      <w:r w:rsidRPr="00282AAC">
        <w:rPr>
          <w:rtl/>
          <w:lang/>
        </w:rPr>
        <w:t xml:space="preserve">خطر التعذيب، </w:t>
      </w:r>
      <w:r w:rsidRPr="00282AAC">
        <w:rPr>
          <w:rStyle w:val="hps"/>
          <w:rFonts w:hint="cs"/>
          <w:rtl/>
          <w:lang/>
        </w:rPr>
        <w:t>تؤكد</w:t>
      </w:r>
      <w:r w:rsidRPr="00282AAC">
        <w:rPr>
          <w:rStyle w:val="hps"/>
          <w:rtl/>
          <w:lang/>
        </w:rPr>
        <w:t xml:space="preserve"> الدولة الطرف</w:t>
      </w:r>
      <w:r w:rsidRPr="00282AAC">
        <w:rPr>
          <w:rtl/>
          <w:lang/>
        </w:rPr>
        <w:t xml:space="preserve"> </w:t>
      </w:r>
      <w:r w:rsidRPr="00282AAC">
        <w:rPr>
          <w:rStyle w:val="hps"/>
          <w:rtl/>
          <w:lang/>
        </w:rPr>
        <w:t>أنه</w:t>
      </w:r>
      <w:r w:rsidRPr="00282AAC">
        <w:rPr>
          <w:rStyle w:val="hps"/>
          <w:rFonts w:hint="cs"/>
          <w:rtl/>
          <w:lang/>
        </w:rPr>
        <w:t>ا</w:t>
      </w:r>
      <w:r w:rsidRPr="00282AAC">
        <w:rPr>
          <w:rtl/>
          <w:lang/>
        </w:rPr>
        <w:t xml:space="preserve"> </w:t>
      </w:r>
      <w:r w:rsidRPr="00282AAC">
        <w:rPr>
          <w:rStyle w:val="hps"/>
          <w:rtl/>
          <w:lang/>
        </w:rPr>
        <w:t xml:space="preserve">على </w:t>
      </w:r>
      <w:r w:rsidRPr="00282AAC">
        <w:rPr>
          <w:rStyle w:val="hps"/>
          <w:rFonts w:hint="cs"/>
          <w:rtl/>
          <w:lang/>
        </w:rPr>
        <w:t>دراية بال</w:t>
      </w:r>
      <w:r w:rsidRPr="00282AAC">
        <w:rPr>
          <w:rStyle w:val="hps"/>
          <w:rtl/>
          <w:lang/>
        </w:rPr>
        <w:t>مخاطر</w:t>
      </w:r>
      <w:r w:rsidRPr="00282AAC">
        <w:rPr>
          <w:rtl/>
          <w:lang/>
        </w:rPr>
        <w:t xml:space="preserve"> </w:t>
      </w:r>
      <w:r w:rsidRPr="00282AAC">
        <w:rPr>
          <w:rFonts w:hint="cs"/>
          <w:rtl/>
          <w:lang/>
        </w:rPr>
        <w:t>ال</w:t>
      </w:r>
      <w:r w:rsidRPr="00282AAC">
        <w:rPr>
          <w:rStyle w:val="hps"/>
          <w:rtl/>
          <w:lang/>
        </w:rPr>
        <w:t>كبيرة</w:t>
      </w:r>
      <w:r w:rsidRPr="00282AAC">
        <w:rPr>
          <w:rtl/>
          <w:lang/>
        </w:rPr>
        <w:t xml:space="preserve"> </w:t>
      </w:r>
      <w:r w:rsidRPr="00282AAC">
        <w:rPr>
          <w:rStyle w:val="hps"/>
          <w:rtl/>
          <w:lang/>
        </w:rPr>
        <w:t xml:space="preserve">التي </w:t>
      </w:r>
      <w:r w:rsidRPr="00282AAC">
        <w:rPr>
          <w:rStyle w:val="hps"/>
          <w:rFonts w:hint="cs"/>
          <w:rtl/>
          <w:lang/>
        </w:rPr>
        <w:t>تواجهها</w:t>
      </w:r>
      <w:r w:rsidRPr="00282AAC">
        <w:rPr>
          <w:rtl/>
          <w:lang/>
        </w:rPr>
        <w:t xml:space="preserve"> </w:t>
      </w:r>
      <w:r w:rsidRPr="00282AAC">
        <w:rPr>
          <w:rStyle w:val="hps"/>
          <w:rtl/>
          <w:lang/>
        </w:rPr>
        <w:t>فئات معينة من</w:t>
      </w:r>
      <w:r w:rsidRPr="00282AAC">
        <w:rPr>
          <w:rtl/>
          <w:lang/>
        </w:rPr>
        <w:t xml:space="preserve"> </w:t>
      </w:r>
      <w:r w:rsidRPr="00282AAC">
        <w:rPr>
          <w:rStyle w:val="hps"/>
          <w:rtl/>
          <w:lang/>
        </w:rPr>
        <w:t>المشتبه بهم</w:t>
      </w:r>
      <w:r w:rsidRPr="00282AAC">
        <w:rPr>
          <w:rStyle w:val="hps"/>
          <w:rFonts w:hint="cs"/>
          <w:rtl/>
          <w:lang/>
        </w:rPr>
        <w:t>،</w:t>
      </w:r>
      <w:r w:rsidRPr="00282AAC">
        <w:rPr>
          <w:rtl/>
          <w:lang/>
        </w:rPr>
        <w:t xml:space="preserve"> </w:t>
      </w:r>
      <w:r w:rsidRPr="00282AAC">
        <w:rPr>
          <w:rStyle w:val="hps"/>
          <w:rtl/>
          <w:lang/>
        </w:rPr>
        <w:t>وأن</w:t>
      </w:r>
      <w:r w:rsidRPr="00282AAC">
        <w:rPr>
          <w:rStyle w:val="hps"/>
          <w:rFonts w:hint="cs"/>
          <w:rtl/>
          <w:lang/>
        </w:rPr>
        <w:t>ه يمكن اعتبار هذه المخاطر</w:t>
      </w:r>
      <w:r w:rsidRPr="00282AAC">
        <w:rPr>
          <w:rStyle w:val="hps"/>
          <w:rtl/>
          <w:lang/>
        </w:rPr>
        <w:t xml:space="preserve"> </w:t>
      </w:r>
      <w:r w:rsidRPr="00282AAC">
        <w:rPr>
          <w:rStyle w:val="hps"/>
          <w:rFonts w:hint="cs"/>
          <w:rtl/>
          <w:lang/>
        </w:rPr>
        <w:t>جزءاً من</w:t>
      </w:r>
      <w:r w:rsidRPr="00282AAC">
        <w:rPr>
          <w:rtl/>
          <w:lang/>
        </w:rPr>
        <w:t xml:space="preserve"> </w:t>
      </w:r>
      <w:r w:rsidRPr="00282AAC">
        <w:rPr>
          <w:rStyle w:val="hps"/>
          <w:rFonts w:hint="cs"/>
          <w:rtl/>
          <w:lang/>
        </w:rPr>
        <w:t>م</w:t>
      </w:r>
      <w:r w:rsidRPr="00282AAC">
        <w:rPr>
          <w:rStyle w:val="hps"/>
          <w:rtl/>
          <w:lang/>
        </w:rPr>
        <w:t xml:space="preserve">مارسة </w:t>
      </w:r>
      <w:r w:rsidRPr="00282AAC">
        <w:rPr>
          <w:rStyle w:val="hps"/>
          <w:rFonts w:hint="cs"/>
          <w:rtl/>
          <w:lang/>
        </w:rPr>
        <w:t>منهجية</w:t>
      </w:r>
      <w:r w:rsidRPr="00282AAC">
        <w:rPr>
          <w:rtl/>
          <w:lang/>
        </w:rPr>
        <w:t xml:space="preserve">. </w:t>
      </w:r>
      <w:r w:rsidRPr="00282AAC">
        <w:rPr>
          <w:rStyle w:val="hps"/>
          <w:rtl/>
          <w:lang/>
        </w:rPr>
        <w:t>ومع ذلك</w:t>
      </w:r>
      <w:r w:rsidRPr="00282AAC">
        <w:rPr>
          <w:rtl/>
          <w:lang/>
        </w:rPr>
        <w:t xml:space="preserve">، </w:t>
      </w:r>
      <w:r w:rsidRPr="00282AAC">
        <w:rPr>
          <w:rStyle w:val="hps"/>
          <w:rFonts w:hint="cs"/>
          <w:rtl/>
          <w:lang/>
        </w:rPr>
        <w:t>ترى</w:t>
      </w:r>
      <w:r w:rsidRPr="00282AAC">
        <w:rPr>
          <w:rtl/>
          <w:lang/>
        </w:rPr>
        <w:t xml:space="preserve"> </w:t>
      </w:r>
      <w:r w:rsidRPr="00282AAC">
        <w:rPr>
          <w:rStyle w:val="hps"/>
          <w:rtl/>
          <w:lang/>
        </w:rPr>
        <w:t xml:space="preserve">حكومة </w:t>
      </w:r>
      <w:r w:rsidRPr="00282AAC">
        <w:rPr>
          <w:rStyle w:val="hps"/>
          <w:rFonts w:hint="cs"/>
          <w:rtl/>
          <w:lang/>
        </w:rPr>
        <w:t xml:space="preserve">الدولة الطرف أن السيد </w:t>
      </w:r>
      <w:r w:rsidRPr="00282AAC">
        <w:rPr>
          <w:rStyle w:val="hps"/>
          <w:rtl/>
          <w:lang/>
        </w:rPr>
        <w:t>أنسي</w:t>
      </w:r>
      <w:r w:rsidRPr="00282AAC">
        <w:rPr>
          <w:rtl/>
          <w:lang/>
        </w:rPr>
        <w:t xml:space="preserve"> </w:t>
      </w:r>
      <w:r w:rsidRPr="00282AAC">
        <w:rPr>
          <w:rStyle w:val="hps"/>
          <w:rFonts w:hint="cs"/>
          <w:rtl/>
          <w:lang/>
        </w:rPr>
        <w:t>عبيشو</w:t>
      </w:r>
      <w:r w:rsidRPr="00282AAC">
        <w:rPr>
          <w:rtl/>
          <w:lang/>
        </w:rPr>
        <w:t xml:space="preserve"> لا </w:t>
      </w:r>
      <w:r w:rsidRPr="00282AAC">
        <w:rPr>
          <w:rStyle w:val="hps"/>
          <w:rFonts w:hint="cs"/>
          <w:rtl/>
          <w:lang/>
        </w:rPr>
        <w:t>ي</w:t>
      </w:r>
      <w:r w:rsidRPr="00282AAC">
        <w:rPr>
          <w:rStyle w:val="hps"/>
          <w:rtl/>
          <w:lang/>
        </w:rPr>
        <w:t xml:space="preserve">نتمي إلى أي </w:t>
      </w:r>
      <w:r w:rsidRPr="00282AAC">
        <w:rPr>
          <w:rStyle w:val="hps"/>
          <w:rFonts w:hint="cs"/>
          <w:rtl/>
          <w:lang/>
        </w:rPr>
        <w:t>فئة من الفئات</w:t>
      </w:r>
      <w:r w:rsidRPr="00282AAC">
        <w:rPr>
          <w:rStyle w:val="hps"/>
          <w:rtl/>
          <w:lang/>
        </w:rPr>
        <w:t xml:space="preserve"> التي</w:t>
      </w:r>
      <w:r w:rsidRPr="00282AAC">
        <w:rPr>
          <w:rtl/>
          <w:lang/>
        </w:rPr>
        <w:t xml:space="preserve"> </w:t>
      </w:r>
      <w:r w:rsidRPr="00282AAC">
        <w:rPr>
          <w:rStyle w:val="hps"/>
          <w:rtl/>
          <w:lang/>
        </w:rPr>
        <w:t xml:space="preserve">يمكن أن تتعرض </w:t>
      </w:r>
      <w:r w:rsidRPr="00282AAC">
        <w:rPr>
          <w:rStyle w:val="hps"/>
          <w:rFonts w:hint="cs"/>
          <w:rtl/>
          <w:lang/>
        </w:rPr>
        <w:t>لخطر من هذا القبيل.</w:t>
      </w:r>
      <w:r w:rsidRPr="00282AAC">
        <w:rPr>
          <w:rtl/>
          <w:lang/>
        </w:rPr>
        <w:t xml:space="preserve"> </w:t>
      </w:r>
      <w:r w:rsidRPr="00282AAC">
        <w:rPr>
          <w:rStyle w:val="hps"/>
          <w:rtl/>
          <w:lang/>
        </w:rPr>
        <w:t>وتشير</w:t>
      </w:r>
      <w:r w:rsidRPr="00282AAC">
        <w:rPr>
          <w:rtl/>
          <w:lang/>
        </w:rPr>
        <w:t xml:space="preserve"> </w:t>
      </w:r>
      <w:r w:rsidRPr="00282AAC">
        <w:rPr>
          <w:rFonts w:hint="cs"/>
          <w:rtl/>
          <w:lang/>
        </w:rPr>
        <w:t xml:space="preserve">صاحبة </w:t>
      </w:r>
      <w:r w:rsidRPr="00282AAC">
        <w:rPr>
          <w:rStyle w:val="hps"/>
          <w:rtl/>
          <w:lang/>
        </w:rPr>
        <w:t>الشكوى إلى الحكم الصادر عن</w:t>
      </w:r>
      <w:r w:rsidRPr="00282AAC">
        <w:rPr>
          <w:rtl/>
          <w:lang/>
        </w:rPr>
        <w:t xml:space="preserve"> </w:t>
      </w:r>
      <w:r w:rsidRPr="00282AAC">
        <w:rPr>
          <w:rStyle w:val="hps"/>
          <w:rtl/>
          <w:lang/>
        </w:rPr>
        <w:t>المحكمة الأوروبية لحقوق</w:t>
      </w:r>
      <w:r w:rsidRPr="00282AAC">
        <w:rPr>
          <w:rtl/>
          <w:lang/>
        </w:rPr>
        <w:t xml:space="preserve"> </w:t>
      </w:r>
      <w:r w:rsidRPr="00282AAC">
        <w:rPr>
          <w:rStyle w:val="hps"/>
          <w:rtl/>
          <w:lang/>
        </w:rPr>
        <w:t>الإنسان</w:t>
      </w:r>
      <w:r w:rsidRPr="00282AAC">
        <w:rPr>
          <w:rtl/>
          <w:lang/>
        </w:rPr>
        <w:t xml:space="preserve"> </w:t>
      </w:r>
      <w:r w:rsidRPr="00282AAC">
        <w:rPr>
          <w:rStyle w:val="hps"/>
          <w:rtl/>
          <w:lang/>
        </w:rPr>
        <w:t>في قضية</w:t>
      </w:r>
      <w:r w:rsidRPr="00282AAC">
        <w:rPr>
          <w:rtl/>
          <w:lang/>
        </w:rPr>
        <w:t xml:space="preserve"> </w:t>
      </w:r>
      <w:r w:rsidRPr="00282AAC">
        <w:rPr>
          <w:rStyle w:val="hps"/>
          <w:i/>
          <w:iCs/>
          <w:rtl/>
          <w:lang/>
        </w:rPr>
        <w:t>بن خميس</w:t>
      </w:r>
      <w:r w:rsidRPr="00282AAC">
        <w:rPr>
          <w:i/>
          <w:iCs/>
          <w:rtl/>
          <w:lang/>
        </w:rPr>
        <w:t xml:space="preserve"> </w:t>
      </w:r>
      <w:r w:rsidRPr="00282AAC">
        <w:rPr>
          <w:rStyle w:val="hps"/>
          <w:i/>
          <w:iCs/>
          <w:rtl/>
          <w:lang/>
        </w:rPr>
        <w:t>ضد إيطاليا</w:t>
      </w:r>
      <w:r w:rsidRPr="00282AAC">
        <w:rPr>
          <w:rFonts w:hint="cs"/>
          <w:rtl/>
          <w:lang/>
        </w:rPr>
        <w:t xml:space="preserve">. وقد أشارت المحكمة في هذه القضية بشكل صريح إلى </w:t>
      </w:r>
      <w:r w:rsidRPr="00282AAC">
        <w:rPr>
          <w:rStyle w:val="hps"/>
          <w:rtl/>
          <w:lang/>
        </w:rPr>
        <w:t>المخاطر المحددة</w:t>
      </w:r>
      <w:r w:rsidRPr="00282AAC">
        <w:rPr>
          <w:rtl/>
          <w:lang/>
        </w:rPr>
        <w:t xml:space="preserve"> </w:t>
      </w:r>
      <w:r w:rsidRPr="00282AAC">
        <w:rPr>
          <w:rStyle w:val="hps"/>
          <w:rtl/>
          <w:lang/>
        </w:rPr>
        <w:t>التي يواجهها الأشخاص</w:t>
      </w:r>
      <w:r w:rsidRPr="00282AAC">
        <w:rPr>
          <w:rtl/>
          <w:lang/>
        </w:rPr>
        <w:t xml:space="preserve"> </w:t>
      </w:r>
      <w:r w:rsidRPr="00282AAC">
        <w:rPr>
          <w:rStyle w:val="hps"/>
          <w:rtl/>
          <w:lang/>
        </w:rPr>
        <w:t xml:space="preserve">المشتبه في </w:t>
      </w:r>
      <w:r w:rsidRPr="00282AAC">
        <w:rPr>
          <w:rStyle w:val="hps"/>
          <w:rFonts w:hint="cs"/>
          <w:rtl/>
          <w:lang/>
        </w:rPr>
        <w:t>تورطهم في</w:t>
      </w:r>
      <w:r w:rsidRPr="00282AAC">
        <w:rPr>
          <w:rStyle w:val="hps"/>
          <w:rtl/>
          <w:lang/>
        </w:rPr>
        <w:t xml:space="preserve"> أنشطة</w:t>
      </w:r>
      <w:r w:rsidRPr="00282AAC">
        <w:rPr>
          <w:rtl/>
          <w:lang/>
        </w:rPr>
        <w:t xml:space="preserve"> </w:t>
      </w:r>
      <w:r w:rsidRPr="00282AAC">
        <w:rPr>
          <w:rStyle w:val="hps"/>
          <w:rtl/>
          <w:lang/>
        </w:rPr>
        <w:t>إرهابية</w:t>
      </w:r>
      <w:r w:rsidRPr="00282AAC">
        <w:rPr>
          <w:rtl/>
          <w:lang/>
        </w:rPr>
        <w:t xml:space="preserve">. </w:t>
      </w:r>
      <w:r w:rsidRPr="00282AAC">
        <w:rPr>
          <w:rFonts w:hint="cs"/>
          <w:rtl/>
          <w:lang/>
        </w:rPr>
        <w:t xml:space="preserve">ولا يندرج السيد </w:t>
      </w:r>
      <w:r w:rsidRPr="00282AAC">
        <w:rPr>
          <w:rStyle w:val="hps"/>
          <w:rtl/>
          <w:lang/>
        </w:rPr>
        <w:t>أنسي</w:t>
      </w:r>
      <w:r w:rsidRPr="00282AAC">
        <w:rPr>
          <w:rtl/>
          <w:lang/>
        </w:rPr>
        <w:t xml:space="preserve"> </w:t>
      </w:r>
      <w:r w:rsidRPr="00282AAC">
        <w:rPr>
          <w:rStyle w:val="hps"/>
          <w:rFonts w:hint="cs"/>
          <w:rtl/>
          <w:lang/>
        </w:rPr>
        <w:t>عبيشو</w:t>
      </w:r>
      <w:r w:rsidRPr="00282AAC">
        <w:rPr>
          <w:rStyle w:val="hps"/>
          <w:rtl/>
          <w:lang/>
        </w:rPr>
        <w:t xml:space="preserve"> ضمن</w:t>
      </w:r>
      <w:r w:rsidRPr="00282AAC">
        <w:rPr>
          <w:rStyle w:val="hps"/>
          <w:rFonts w:hint="cs"/>
          <w:rtl/>
          <w:lang/>
        </w:rPr>
        <w:t xml:space="preserve"> </w:t>
      </w:r>
      <w:r w:rsidRPr="00282AAC">
        <w:rPr>
          <w:rStyle w:val="hps"/>
          <w:rtl/>
          <w:lang/>
        </w:rPr>
        <w:t>هذه الفئة</w:t>
      </w:r>
      <w:r w:rsidRPr="00282AAC">
        <w:rPr>
          <w:rtl/>
          <w:lang/>
        </w:rPr>
        <w:t xml:space="preserve">. </w:t>
      </w:r>
      <w:r w:rsidRPr="00282AAC">
        <w:rPr>
          <w:rFonts w:hint="cs"/>
          <w:rtl/>
          <w:lang/>
        </w:rPr>
        <w:t>ولو وجهت إليه اتهامات من هذا النوع، لكان من المستبعد تسليمه.</w:t>
      </w:r>
      <w:r w:rsidRPr="00282AAC">
        <w:rPr>
          <w:rtl/>
          <w:lang/>
        </w:rPr>
        <w:t xml:space="preserve"> </w:t>
      </w:r>
      <w:r w:rsidRPr="00282AAC">
        <w:rPr>
          <w:rFonts w:hint="cs"/>
          <w:rtl/>
          <w:lang/>
        </w:rPr>
        <w:t>و</w:t>
      </w:r>
      <w:r w:rsidRPr="00282AAC">
        <w:rPr>
          <w:rStyle w:val="hps"/>
          <w:rtl/>
          <w:lang/>
        </w:rPr>
        <w:t>للجنة</w:t>
      </w:r>
      <w:r w:rsidRPr="00282AAC">
        <w:rPr>
          <w:rtl/>
          <w:lang/>
        </w:rPr>
        <w:t xml:space="preserve"> </w:t>
      </w:r>
      <w:r w:rsidRPr="00282AAC">
        <w:rPr>
          <w:rStyle w:val="hps"/>
          <w:rtl/>
          <w:lang/>
        </w:rPr>
        <w:t>استخلاص</w:t>
      </w:r>
      <w:r w:rsidRPr="00282AAC">
        <w:rPr>
          <w:rStyle w:val="hps"/>
          <w:rFonts w:hint="cs"/>
          <w:rtl/>
          <w:lang/>
        </w:rPr>
        <w:t xml:space="preserve"> ما يلزم من نتائج، مع العلم </w:t>
      </w:r>
      <w:r w:rsidRPr="00282AAC">
        <w:rPr>
          <w:rStyle w:val="hps"/>
          <w:rtl/>
          <w:lang/>
        </w:rPr>
        <w:t>أن المحكمة</w:t>
      </w:r>
      <w:r w:rsidRPr="00282AAC">
        <w:rPr>
          <w:rtl/>
          <w:lang/>
        </w:rPr>
        <w:t xml:space="preserve"> </w:t>
      </w:r>
      <w:r w:rsidRPr="00282AAC">
        <w:rPr>
          <w:rStyle w:val="hps"/>
          <w:rtl/>
          <w:lang/>
        </w:rPr>
        <w:t>الأوروبية لحقوق</w:t>
      </w:r>
      <w:r w:rsidRPr="00282AAC">
        <w:rPr>
          <w:rtl/>
          <w:lang/>
        </w:rPr>
        <w:t xml:space="preserve"> </w:t>
      </w:r>
      <w:r w:rsidRPr="00282AAC">
        <w:rPr>
          <w:rStyle w:val="hps"/>
          <w:rtl/>
          <w:lang/>
        </w:rPr>
        <w:t>الإنسان</w:t>
      </w:r>
      <w:r w:rsidRPr="00282AAC">
        <w:rPr>
          <w:rtl/>
          <w:lang/>
        </w:rPr>
        <w:t xml:space="preserve">، </w:t>
      </w:r>
      <w:r w:rsidRPr="00282AAC">
        <w:rPr>
          <w:rStyle w:val="hps"/>
          <w:rFonts w:hint="cs"/>
          <w:rtl/>
          <w:lang/>
        </w:rPr>
        <w:t>واضعة في اعتبارها أحكامها السابقة في مجال</w:t>
      </w:r>
      <w:r w:rsidRPr="00282AAC">
        <w:rPr>
          <w:rStyle w:val="hps"/>
          <w:rtl/>
          <w:lang/>
        </w:rPr>
        <w:t xml:space="preserve"> مسألة</w:t>
      </w:r>
      <w:r w:rsidRPr="00282AAC">
        <w:rPr>
          <w:rtl/>
          <w:lang/>
        </w:rPr>
        <w:t xml:space="preserve"> </w:t>
      </w:r>
      <w:r w:rsidRPr="00282AAC">
        <w:rPr>
          <w:rFonts w:hint="cs"/>
          <w:rtl/>
          <w:lang/>
        </w:rPr>
        <w:t>ال</w:t>
      </w:r>
      <w:r w:rsidRPr="00282AAC">
        <w:rPr>
          <w:rStyle w:val="hps"/>
          <w:rtl/>
          <w:lang/>
        </w:rPr>
        <w:t xml:space="preserve">تسليم </w:t>
      </w:r>
      <w:r w:rsidRPr="00282AAC">
        <w:rPr>
          <w:rtl/>
          <w:lang/>
        </w:rPr>
        <w:t xml:space="preserve">إلى </w:t>
      </w:r>
      <w:r w:rsidRPr="00282AAC">
        <w:rPr>
          <w:rStyle w:val="hps"/>
          <w:rtl/>
          <w:lang/>
        </w:rPr>
        <w:t>تونس</w:t>
      </w:r>
      <w:r w:rsidRPr="00282AAC">
        <w:rPr>
          <w:rtl/>
          <w:lang/>
        </w:rPr>
        <w:t xml:space="preserve">، </w:t>
      </w:r>
      <w:r w:rsidRPr="00282AAC">
        <w:rPr>
          <w:rStyle w:val="hps"/>
          <w:rFonts w:hint="cs"/>
          <w:rtl/>
          <w:lang/>
        </w:rPr>
        <w:t>قد</w:t>
      </w:r>
      <w:r w:rsidRPr="00282AAC">
        <w:rPr>
          <w:rtl/>
          <w:lang/>
        </w:rPr>
        <w:t xml:space="preserve"> </w:t>
      </w:r>
      <w:r w:rsidRPr="00282AAC">
        <w:rPr>
          <w:rStyle w:val="hps"/>
          <w:rtl/>
          <w:lang/>
        </w:rPr>
        <w:t>رفضت</w:t>
      </w:r>
      <w:r w:rsidRPr="00282AAC">
        <w:rPr>
          <w:rStyle w:val="hps"/>
          <w:rFonts w:hint="cs"/>
          <w:rtl/>
          <w:lang/>
        </w:rPr>
        <w:t xml:space="preserve"> عدة مرات، مع ذلك،</w:t>
      </w:r>
      <w:r w:rsidRPr="00282AAC">
        <w:rPr>
          <w:rtl/>
          <w:lang/>
        </w:rPr>
        <w:t xml:space="preserve"> </w:t>
      </w:r>
      <w:r w:rsidRPr="00282AAC">
        <w:rPr>
          <w:rStyle w:val="hps"/>
          <w:rtl/>
          <w:lang/>
        </w:rPr>
        <w:t>طلب</w:t>
      </w:r>
      <w:r w:rsidRPr="00282AAC">
        <w:rPr>
          <w:rtl/>
          <w:lang/>
        </w:rPr>
        <w:t xml:space="preserve"> </w:t>
      </w:r>
      <w:r w:rsidRPr="00282AAC">
        <w:rPr>
          <w:rFonts w:hint="cs"/>
          <w:rtl/>
          <w:lang/>
        </w:rPr>
        <w:t xml:space="preserve">السيد </w:t>
      </w:r>
      <w:r w:rsidRPr="00282AAC">
        <w:rPr>
          <w:rStyle w:val="hps"/>
          <w:rtl/>
          <w:lang/>
        </w:rPr>
        <w:t>أنسي</w:t>
      </w:r>
      <w:r w:rsidRPr="00282AAC">
        <w:rPr>
          <w:rtl/>
          <w:lang/>
        </w:rPr>
        <w:t xml:space="preserve"> </w:t>
      </w:r>
      <w:r w:rsidRPr="00282AAC">
        <w:rPr>
          <w:rStyle w:val="hps"/>
          <w:rFonts w:hint="cs"/>
          <w:rtl/>
          <w:lang/>
        </w:rPr>
        <w:t>عبيشو</w:t>
      </w:r>
      <w:r w:rsidRPr="00282AAC">
        <w:rPr>
          <w:rtl/>
          <w:lang/>
        </w:rPr>
        <w:t xml:space="preserve"> </w:t>
      </w:r>
      <w:r w:rsidRPr="00282AAC">
        <w:rPr>
          <w:rStyle w:val="hps"/>
          <w:rFonts w:hint="cs"/>
          <w:rtl/>
          <w:lang/>
        </w:rPr>
        <w:t>ب</w:t>
      </w:r>
      <w:r w:rsidRPr="00282AAC">
        <w:rPr>
          <w:rtl/>
          <w:lang/>
        </w:rPr>
        <w:t>اتخاذ تدابير مؤقتة</w:t>
      </w:r>
      <w:r w:rsidRPr="00282AAC">
        <w:rPr>
          <w:rStyle w:val="hps"/>
          <w:rtl/>
          <w:lang/>
        </w:rPr>
        <w:t>.</w:t>
      </w:r>
    </w:p>
    <w:p w:rsidR="005E110C" w:rsidRPr="00A444EC" w:rsidRDefault="005E110C" w:rsidP="00610111">
      <w:pPr>
        <w:pStyle w:val="SingleTxtGA"/>
        <w:rPr>
          <w:rFonts w:hint="cs"/>
          <w:rtl/>
          <w:lang/>
        </w:rPr>
      </w:pPr>
      <w:r w:rsidRPr="00282AAC">
        <w:rPr>
          <w:rtl/>
          <w:lang w:val="fr-CH"/>
        </w:rPr>
        <w:t>6-6</w:t>
      </w:r>
      <w:r w:rsidRPr="00282AAC">
        <w:rPr>
          <w:rtl/>
          <w:lang w:val="fr-CH"/>
        </w:rPr>
        <w:tab/>
      </w:r>
      <w:r w:rsidRPr="00282AAC">
        <w:rPr>
          <w:rStyle w:val="hps"/>
          <w:rtl/>
          <w:lang/>
        </w:rPr>
        <w:t>وتضيف الدولة الطرف</w:t>
      </w:r>
      <w:r w:rsidRPr="00282AAC">
        <w:rPr>
          <w:rtl/>
          <w:lang/>
        </w:rPr>
        <w:t xml:space="preserve"> </w:t>
      </w:r>
      <w:r w:rsidRPr="00282AAC">
        <w:rPr>
          <w:rStyle w:val="hps"/>
          <w:rtl/>
          <w:lang/>
        </w:rPr>
        <w:t xml:space="preserve">أن </w:t>
      </w:r>
      <w:r w:rsidRPr="00282AAC">
        <w:rPr>
          <w:rStyle w:val="hps"/>
          <w:rFonts w:hint="cs"/>
          <w:rtl/>
          <w:lang/>
        </w:rPr>
        <w:t>قيمة</w:t>
      </w:r>
      <w:r w:rsidRPr="00282AAC">
        <w:rPr>
          <w:rtl/>
          <w:lang/>
        </w:rPr>
        <w:t xml:space="preserve"> </w:t>
      </w:r>
      <w:r w:rsidRPr="00282AAC">
        <w:rPr>
          <w:rStyle w:val="hps"/>
          <w:rtl/>
          <w:lang/>
        </w:rPr>
        <w:t>الضمانات الدبلوماسية</w:t>
      </w:r>
      <w:r w:rsidRPr="00282AAC">
        <w:rPr>
          <w:rtl/>
          <w:lang/>
        </w:rPr>
        <w:t xml:space="preserve"> </w:t>
      </w:r>
      <w:r w:rsidRPr="00282AAC">
        <w:rPr>
          <w:rStyle w:val="hps"/>
          <w:rFonts w:hint="cs"/>
          <w:rtl/>
          <w:lang/>
        </w:rPr>
        <w:t>تتباين بحسب ما إذا كان تقديمها متعلقاً</w:t>
      </w:r>
      <w:r w:rsidRPr="00282AAC">
        <w:rPr>
          <w:rtl/>
          <w:lang/>
        </w:rPr>
        <w:t xml:space="preserve"> </w:t>
      </w:r>
      <w:r w:rsidRPr="00282AAC">
        <w:rPr>
          <w:rStyle w:val="hps"/>
          <w:rFonts w:hint="cs"/>
          <w:rtl/>
          <w:lang/>
        </w:rPr>
        <w:t>بحالات</w:t>
      </w:r>
      <w:r w:rsidRPr="00282AAC">
        <w:rPr>
          <w:rtl/>
          <w:lang/>
        </w:rPr>
        <w:t xml:space="preserve"> </w:t>
      </w:r>
      <w:r w:rsidRPr="00282AAC">
        <w:rPr>
          <w:rFonts w:hint="cs"/>
          <w:rtl/>
          <w:lang/>
        </w:rPr>
        <w:t>ال</w:t>
      </w:r>
      <w:r w:rsidRPr="00282AAC">
        <w:rPr>
          <w:rStyle w:val="hps"/>
          <w:rtl/>
          <w:lang/>
        </w:rPr>
        <w:t>تسليم أو</w:t>
      </w:r>
      <w:r w:rsidRPr="00282AAC">
        <w:rPr>
          <w:rtl/>
          <w:lang/>
        </w:rPr>
        <w:t xml:space="preserve"> </w:t>
      </w:r>
      <w:r w:rsidRPr="00282AAC">
        <w:rPr>
          <w:rFonts w:hint="cs"/>
          <w:rtl/>
          <w:lang/>
        </w:rPr>
        <w:t xml:space="preserve">بحالات </w:t>
      </w:r>
      <w:r w:rsidRPr="00282AAC">
        <w:rPr>
          <w:rStyle w:val="hps"/>
          <w:rtl/>
          <w:lang/>
        </w:rPr>
        <w:t>الترحيل.</w:t>
      </w:r>
      <w:r w:rsidRPr="00282AAC">
        <w:rPr>
          <w:rtl/>
          <w:lang/>
        </w:rPr>
        <w:t xml:space="preserve"> </w:t>
      </w:r>
      <w:r w:rsidRPr="00282AAC">
        <w:rPr>
          <w:rStyle w:val="hps"/>
          <w:rFonts w:hint="cs"/>
          <w:rtl/>
          <w:lang/>
        </w:rPr>
        <w:t>و</w:t>
      </w:r>
      <w:r w:rsidRPr="00282AAC">
        <w:rPr>
          <w:rStyle w:val="hps"/>
          <w:rtl/>
          <w:lang/>
        </w:rPr>
        <w:t xml:space="preserve">من </w:t>
      </w:r>
      <w:r w:rsidRPr="00282AAC">
        <w:rPr>
          <w:rStyle w:val="hps"/>
          <w:rFonts w:hint="cs"/>
          <w:rtl/>
          <w:lang/>
        </w:rPr>
        <w:t xml:space="preserve">المنطقي تصور عدم رغبة </w:t>
      </w:r>
      <w:r w:rsidRPr="00282AAC">
        <w:rPr>
          <w:rStyle w:val="hps"/>
          <w:rtl/>
          <w:lang/>
        </w:rPr>
        <w:t>الدولة ال</w:t>
      </w:r>
      <w:r w:rsidRPr="00282AAC">
        <w:rPr>
          <w:rStyle w:val="hps"/>
          <w:rFonts w:hint="cs"/>
          <w:rtl/>
          <w:lang/>
        </w:rPr>
        <w:t>م</w:t>
      </w:r>
      <w:r w:rsidRPr="00282AAC">
        <w:rPr>
          <w:rStyle w:val="hps"/>
          <w:rtl/>
          <w:lang/>
        </w:rPr>
        <w:t>طالبة</w:t>
      </w:r>
      <w:r w:rsidRPr="00282AAC">
        <w:rPr>
          <w:rtl/>
          <w:lang/>
        </w:rPr>
        <w:t xml:space="preserve"> </w:t>
      </w:r>
      <w:r w:rsidRPr="00282AAC">
        <w:rPr>
          <w:rStyle w:val="hps"/>
          <w:rFonts w:hint="cs"/>
          <w:rtl/>
          <w:lang/>
        </w:rPr>
        <w:t>في الإضرار ب</w:t>
      </w:r>
      <w:r w:rsidRPr="00282AAC">
        <w:rPr>
          <w:rStyle w:val="hps"/>
          <w:rtl/>
          <w:lang/>
        </w:rPr>
        <w:t xml:space="preserve">طلبات </w:t>
      </w:r>
      <w:r w:rsidRPr="00282AAC">
        <w:rPr>
          <w:rStyle w:val="hps"/>
          <w:rFonts w:hint="cs"/>
          <w:rtl/>
          <w:lang/>
        </w:rPr>
        <w:t xml:space="preserve">التسليم التي ستقدمها </w:t>
      </w:r>
      <w:r w:rsidRPr="00282AAC">
        <w:rPr>
          <w:rStyle w:val="hps"/>
          <w:rtl/>
          <w:lang/>
        </w:rPr>
        <w:t>في المستقبل</w:t>
      </w:r>
      <w:r w:rsidRPr="00282AAC">
        <w:rPr>
          <w:rStyle w:val="hps"/>
          <w:rFonts w:hint="cs"/>
          <w:rtl/>
          <w:lang/>
        </w:rPr>
        <w:t xml:space="preserve"> ب</w:t>
      </w:r>
      <w:r w:rsidRPr="00282AAC">
        <w:rPr>
          <w:rStyle w:val="hps"/>
          <w:rtl/>
          <w:lang/>
        </w:rPr>
        <w:t>عدم احترام</w:t>
      </w:r>
      <w:r w:rsidRPr="00282AAC">
        <w:rPr>
          <w:rFonts w:hint="cs"/>
          <w:rtl/>
          <w:lang/>
        </w:rPr>
        <w:t>ها</w:t>
      </w:r>
      <w:r w:rsidRPr="00282AAC">
        <w:rPr>
          <w:rtl/>
          <w:lang/>
        </w:rPr>
        <w:t xml:space="preserve"> </w:t>
      </w:r>
      <w:r w:rsidRPr="00282AAC">
        <w:rPr>
          <w:rStyle w:val="hps"/>
          <w:rtl/>
          <w:lang/>
        </w:rPr>
        <w:t>الضمانات التي</w:t>
      </w:r>
      <w:r w:rsidRPr="00282AAC">
        <w:rPr>
          <w:rtl/>
          <w:lang/>
        </w:rPr>
        <w:t xml:space="preserve"> </w:t>
      </w:r>
      <w:r w:rsidRPr="00282AAC">
        <w:rPr>
          <w:rStyle w:val="hps"/>
          <w:rFonts w:hint="cs"/>
          <w:rtl/>
          <w:lang/>
        </w:rPr>
        <w:t>قدمتها</w:t>
      </w:r>
      <w:r w:rsidRPr="00282AAC">
        <w:rPr>
          <w:rtl/>
          <w:lang/>
        </w:rPr>
        <w:t xml:space="preserve"> إلى </w:t>
      </w:r>
      <w:r w:rsidRPr="00282AAC">
        <w:rPr>
          <w:rStyle w:val="hps"/>
          <w:rFonts w:hint="cs"/>
          <w:rtl/>
          <w:lang/>
        </w:rPr>
        <w:t>الدولة المتلقية لهذه الطلبات</w:t>
      </w:r>
      <w:r w:rsidRPr="00282AAC">
        <w:rPr>
          <w:rtl/>
          <w:lang/>
        </w:rPr>
        <w:t xml:space="preserve">. </w:t>
      </w:r>
      <w:r w:rsidRPr="00282AAC">
        <w:rPr>
          <w:rStyle w:val="hps"/>
          <w:rFonts w:hint="cs"/>
          <w:rtl/>
          <w:lang/>
        </w:rPr>
        <w:t>وينطبق هذا الأمر بشكل أوضح</w:t>
      </w:r>
      <w:r w:rsidRPr="00282AAC">
        <w:rPr>
          <w:rtl/>
          <w:lang/>
        </w:rPr>
        <w:t xml:space="preserve"> </w:t>
      </w:r>
      <w:r w:rsidRPr="00282AAC">
        <w:rPr>
          <w:rStyle w:val="hps"/>
          <w:rtl/>
          <w:lang/>
        </w:rPr>
        <w:t>في</w:t>
      </w:r>
      <w:r w:rsidRPr="00282AAC">
        <w:rPr>
          <w:rtl/>
          <w:lang/>
        </w:rPr>
        <w:t xml:space="preserve"> </w:t>
      </w:r>
      <w:r w:rsidRPr="00282AAC">
        <w:rPr>
          <w:rStyle w:val="hps"/>
          <w:rtl/>
          <w:lang/>
        </w:rPr>
        <w:t>الحالات</w:t>
      </w:r>
      <w:r w:rsidRPr="00282AAC">
        <w:rPr>
          <w:rtl/>
          <w:lang/>
        </w:rPr>
        <w:t xml:space="preserve"> </w:t>
      </w:r>
      <w:r w:rsidRPr="00282AAC">
        <w:rPr>
          <w:rStyle w:val="hps"/>
          <w:rtl/>
          <w:lang/>
        </w:rPr>
        <w:t>التي لا تنطوي على</w:t>
      </w:r>
      <w:r w:rsidRPr="00282AAC">
        <w:rPr>
          <w:rtl/>
          <w:lang/>
        </w:rPr>
        <w:t xml:space="preserve"> </w:t>
      </w:r>
      <w:r w:rsidRPr="00282AAC">
        <w:rPr>
          <w:rStyle w:val="hps"/>
          <w:rtl/>
          <w:lang/>
        </w:rPr>
        <w:t>أي</w:t>
      </w:r>
      <w:r w:rsidRPr="00282AAC">
        <w:rPr>
          <w:rtl/>
          <w:lang/>
        </w:rPr>
        <w:t xml:space="preserve"> </w:t>
      </w:r>
      <w:r w:rsidRPr="00282AAC">
        <w:rPr>
          <w:rStyle w:val="hps"/>
          <w:rtl/>
          <w:lang/>
        </w:rPr>
        <w:t>مدلول سياسي</w:t>
      </w:r>
      <w:r w:rsidRPr="00282AAC">
        <w:rPr>
          <w:rtl/>
          <w:lang/>
        </w:rPr>
        <w:t xml:space="preserve"> </w:t>
      </w:r>
      <w:r w:rsidRPr="00282AAC">
        <w:rPr>
          <w:rStyle w:val="hps"/>
          <w:rtl/>
          <w:lang/>
        </w:rPr>
        <w:t>أو</w:t>
      </w:r>
      <w:r w:rsidRPr="00282AAC">
        <w:rPr>
          <w:rStyle w:val="hps"/>
          <w:rFonts w:hint="cs"/>
          <w:rtl/>
          <w:lang/>
        </w:rPr>
        <w:t xml:space="preserve"> </w:t>
      </w:r>
      <w:r w:rsidRPr="00282AAC">
        <w:rPr>
          <w:rStyle w:val="hps"/>
          <w:rtl/>
          <w:lang/>
        </w:rPr>
        <w:t>نشاط</w:t>
      </w:r>
      <w:r w:rsidRPr="00282AAC">
        <w:rPr>
          <w:rtl/>
          <w:lang/>
        </w:rPr>
        <w:t xml:space="preserve"> </w:t>
      </w:r>
      <w:r w:rsidRPr="00282AAC">
        <w:rPr>
          <w:rStyle w:val="hps"/>
          <w:rtl/>
          <w:lang/>
        </w:rPr>
        <w:t>إرهابي</w:t>
      </w:r>
      <w:r w:rsidRPr="00282AAC">
        <w:rPr>
          <w:rtl/>
          <w:lang/>
        </w:rPr>
        <w:t xml:space="preserve">، </w:t>
      </w:r>
      <w:r w:rsidRPr="00282AAC">
        <w:rPr>
          <w:rStyle w:val="hps"/>
          <w:rtl/>
          <w:lang/>
        </w:rPr>
        <w:t xml:space="preserve">كما </w:t>
      </w:r>
      <w:r w:rsidRPr="00282AAC">
        <w:rPr>
          <w:rStyle w:val="hps"/>
          <w:rFonts w:hint="cs"/>
          <w:rtl/>
          <w:lang/>
        </w:rPr>
        <w:t xml:space="preserve">هو الحال </w:t>
      </w:r>
      <w:r w:rsidRPr="00282AAC">
        <w:rPr>
          <w:rStyle w:val="hps"/>
          <w:rtl/>
          <w:lang/>
        </w:rPr>
        <w:t>في</w:t>
      </w:r>
      <w:r w:rsidRPr="00282AAC">
        <w:rPr>
          <w:rtl/>
          <w:lang/>
        </w:rPr>
        <w:t xml:space="preserve"> </w:t>
      </w:r>
      <w:r w:rsidRPr="00282AAC">
        <w:rPr>
          <w:rStyle w:val="hps"/>
          <w:rFonts w:hint="cs"/>
          <w:rtl/>
          <w:lang/>
        </w:rPr>
        <w:t>هذا المثال وهو قضية</w:t>
      </w:r>
      <w:r w:rsidR="00610111" w:rsidRPr="00282AAC">
        <w:rPr>
          <w:rStyle w:val="hps"/>
          <w:rFonts w:hint="eastAsia"/>
          <w:rtl/>
          <w:lang/>
        </w:rPr>
        <w:t> </w:t>
      </w:r>
      <w:r w:rsidRPr="00282AAC">
        <w:rPr>
          <w:rStyle w:val="hps"/>
          <w:rFonts w:hint="cs"/>
          <w:rtl/>
          <w:lang/>
        </w:rPr>
        <w:t>غير معقدة تتعلق بالاتجار بالمخدرات.</w:t>
      </w:r>
      <w:r w:rsidRPr="00282AAC">
        <w:rPr>
          <w:rtl/>
          <w:lang/>
        </w:rPr>
        <w:t xml:space="preserve"> </w:t>
      </w:r>
      <w:r w:rsidRPr="00282AAC">
        <w:rPr>
          <w:rFonts w:hint="cs"/>
          <w:rtl/>
          <w:lang/>
        </w:rPr>
        <w:t>و</w:t>
      </w:r>
      <w:r w:rsidRPr="00282AAC">
        <w:rPr>
          <w:rStyle w:val="hps"/>
          <w:rtl/>
          <w:lang/>
        </w:rPr>
        <w:t>لهذه الأسباب</w:t>
      </w:r>
      <w:r w:rsidRPr="00282AAC">
        <w:rPr>
          <w:rtl/>
          <w:lang/>
        </w:rPr>
        <w:t xml:space="preserve">، </w:t>
      </w:r>
      <w:r w:rsidRPr="00282AAC">
        <w:rPr>
          <w:rStyle w:val="hps"/>
          <w:rtl/>
          <w:lang/>
        </w:rPr>
        <w:t>تؤكد الدولة الطرف</w:t>
      </w:r>
      <w:r w:rsidRPr="00282AAC">
        <w:rPr>
          <w:rtl/>
          <w:lang/>
        </w:rPr>
        <w:t xml:space="preserve"> </w:t>
      </w:r>
      <w:r w:rsidRPr="00282AAC">
        <w:rPr>
          <w:rStyle w:val="hps"/>
          <w:rtl/>
          <w:lang/>
        </w:rPr>
        <w:t>أن المحاكم</w:t>
      </w:r>
      <w:r w:rsidR="00610111" w:rsidRPr="00282AAC">
        <w:rPr>
          <w:rFonts w:hint="cs"/>
          <w:rtl/>
          <w:lang/>
        </w:rPr>
        <w:t> </w:t>
      </w:r>
      <w:r w:rsidRPr="00282AAC">
        <w:rPr>
          <w:rStyle w:val="hps"/>
          <w:rtl/>
          <w:lang/>
        </w:rPr>
        <w:t>و</w:t>
      </w:r>
      <w:r w:rsidRPr="00282AAC">
        <w:rPr>
          <w:rtl/>
          <w:lang/>
        </w:rPr>
        <w:t>السلطات</w:t>
      </w:r>
      <w:r w:rsidRPr="00282AAC">
        <w:rPr>
          <w:rFonts w:hint="cs"/>
          <w:rtl/>
          <w:lang/>
        </w:rPr>
        <w:t xml:space="preserve"> المختصة قد قيّمت</w:t>
      </w:r>
      <w:r w:rsidRPr="00282AAC">
        <w:rPr>
          <w:rtl/>
          <w:lang/>
        </w:rPr>
        <w:t xml:space="preserve"> </w:t>
      </w:r>
      <w:r w:rsidRPr="00282AAC">
        <w:rPr>
          <w:rStyle w:val="hps"/>
          <w:rtl/>
          <w:lang/>
        </w:rPr>
        <w:t>بشكل صحيح</w:t>
      </w:r>
      <w:r w:rsidRPr="00282AAC">
        <w:rPr>
          <w:rtl/>
          <w:lang/>
        </w:rPr>
        <w:t xml:space="preserve"> </w:t>
      </w:r>
      <w:r w:rsidRPr="00282AAC">
        <w:rPr>
          <w:rStyle w:val="hps"/>
          <w:rtl/>
          <w:lang/>
        </w:rPr>
        <w:t>المخاطر التي</w:t>
      </w:r>
      <w:r w:rsidRPr="00282AAC">
        <w:rPr>
          <w:rtl/>
          <w:lang/>
        </w:rPr>
        <w:t xml:space="preserve"> </w:t>
      </w:r>
      <w:r w:rsidRPr="00282AAC">
        <w:rPr>
          <w:rStyle w:val="hps"/>
          <w:rFonts w:hint="cs"/>
          <w:rtl/>
          <w:lang/>
        </w:rPr>
        <w:t>قد</w:t>
      </w:r>
      <w:r w:rsidRPr="00282AAC">
        <w:rPr>
          <w:rStyle w:val="hps"/>
          <w:rtl/>
          <w:lang/>
        </w:rPr>
        <w:t xml:space="preserve"> يتعرض</w:t>
      </w:r>
      <w:r w:rsidRPr="00282AAC">
        <w:rPr>
          <w:rtl/>
          <w:lang/>
        </w:rPr>
        <w:t xml:space="preserve"> </w:t>
      </w:r>
      <w:r w:rsidRPr="00282AAC">
        <w:rPr>
          <w:rFonts w:hint="cs"/>
          <w:rtl/>
          <w:lang/>
        </w:rPr>
        <w:t xml:space="preserve">لها </w:t>
      </w:r>
      <w:r w:rsidRPr="00282AAC">
        <w:rPr>
          <w:rStyle w:val="hps"/>
          <w:rFonts w:hint="cs"/>
          <w:rtl/>
          <w:lang/>
        </w:rPr>
        <w:t>السيد أنسي عبيشو</w:t>
      </w:r>
      <w:r w:rsidRPr="00282AAC">
        <w:rPr>
          <w:rtl/>
          <w:lang/>
        </w:rPr>
        <w:t xml:space="preserve"> </w:t>
      </w:r>
      <w:r w:rsidRPr="00282AAC">
        <w:rPr>
          <w:rStyle w:val="hps"/>
          <w:rFonts w:hint="cs"/>
          <w:rtl/>
          <w:lang/>
        </w:rPr>
        <w:t xml:space="preserve">تمهيداً </w:t>
      </w:r>
      <w:r w:rsidRPr="00282AAC">
        <w:rPr>
          <w:rFonts w:hint="cs"/>
          <w:rtl/>
          <w:lang/>
        </w:rPr>
        <w:t>ل</w:t>
      </w:r>
      <w:r w:rsidRPr="00282AAC">
        <w:rPr>
          <w:rtl/>
          <w:lang/>
        </w:rPr>
        <w:t xml:space="preserve">تسليمه إلى </w:t>
      </w:r>
      <w:r w:rsidRPr="00282AAC">
        <w:rPr>
          <w:rStyle w:val="hps"/>
          <w:rtl/>
          <w:lang/>
        </w:rPr>
        <w:t>تونس</w:t>
      </w:r>
      <w:r w:rsidRPr="00282AAC">
        <w:rPr>
          <w:rtl/>
          <w:lang/>
        </w:rPr>
        <w:t xml:space="preserve">. </w:t>
      </w:r>
      <w:r w:rsidRPr="00282AAC">
        <w:rPr>
          <w:rFonts w:hint="cs"/>
          <w:rtl/>
          <w:lang/>
        </w:rPr>
        <w:t>وأثناء صدور القرار</w:t>
      </w:r>
      <w:r w:rsidRPr="00282AAC">
        <w:rPr>
          <w:rStyle w:val="hps"/>
          <w:rtl/>
          <w:lang/>
        </w:rPr>
        <w:t>،</w:t>
      </w:r>
      <w:r w:rsidRPr="00282AAC">
        <w:rPr>
          <w:rtl/>
          <w:lang/>
        </w:rPr>
        <w:t xml:space="preserve"> </w:t>
      </w:r>
      <w:r w:rsidRPr="00282AAC">
        <w:rPr>
          <w:rStyle w:val="hps"/>
          <w:rtl/>
          <w:lang/>
        </w:rPr>
        <w:t>لم يكن هناك أي</w:t>
      </w:r>
      <w:r w:rsidRPr="00282AAC">
        <w:rPr>
          <w:rtl/>
          <w:lang/>
        </w:rPr>
        <w:t xml:space="preserve"> </w:t>
      </w:r>
      <w:r w:rsidRPr="00282AAC">
        <w:rPr>
          <w:rStyle w:val="hps"/>
          <w:rtl/>
          <w:lang/>
        </w:rPr>
        <w:t xml:space="preserve">دليل </w:t>
      </w:r>
      <w:r w:rsidRPr="00282AAC">
        <w:rPr>
          <w:rStyle w:val="hps"/>
          <w:rFonts w:hint="cs"/>
          <w:rtl/>
          <w:lang/>
        </w:rPr>
        <w:t>يثبت</w:t>
      </w:r>
      <w:r w:rsidRPr="00282AAC">
        <w:rPr>
          <w:rStyle w:val="hps"/>
          <w:rtl/>
          <w:lang/>
        </w:rPr>
        <w:t xml:space="preserve"> </w:t>
      </w:r>
      <w:r w:rsidRPr="00282AAC">
        <w:rPr>
          <w:rStyle w:val="hps"/>
          <w:rFonts w:hint="cs"/>
          <w:rtl/>
          <w:lang/>
        </w:rPr>
        <w:t xml:space="preserve">أن </w:t>
      </w:r>
      <w:r w:rsidRPr="00282AAC">
        <w:rPr>
          <w:rStyle w:val="hps"/>
          <w:rtl/>
          <w:lang/>
        </w:rPr>
        <w:t>السيد</w:t>
      </w:r>
      <w:r w:rsidRPr="00282AAC">
        <w:rPr>
          <w:rtl/>
          <w:lang/>
        </w:rPr>
        <w:t xml:space="preserve"> </w:t>
      </w:r>
      <w:r w:rsidRPr="00282AAC">
        <w:rPr>
          <w:rStyle w:val="hps"/>
          <w:rFonts w:hint="cs"/>
          <w:rtl/>
          <w:lang/>
        </w:rPr>
        <w:t>أنسي عبيشو</w:t>
      </w:r>
      <w:r w:rsidRPr="00282AAC">
        <w:rPr>
          <w:rtl/>
          <w:lang/>
        </w:rPr>
        <w:t xml:space="preserve"> </w:t>
      </w:r>
      <w:r w:rsidRPr="00282AAC">
        <w:rPr>
          <w:rFonts w:hint="cs"/>
          <w:rtl/>
          <w:lang/>
        </w:rPr>
        <w:t xml:space="preserve">سيتعرض </w:t>
      </w:r>
      <w:r w:rsidRPr="00282AAC">
        <w:rPr>
          <w:rStyle w:val="hps"/>
          <w:rtl/>
          <w:lang/>
        </w:rPr>
        <w:t>لل</w:t>
      </w:r>
      <w:r w:rsidRPr="00282AAC">
        <w:rPr>
          <w:rtl/>
          <w:lang/>
        </w:rPr>
        <w:t xml:space="preserve">تعذيب، </w:t>
      </w:r>
      <w:r w:rsidRPr="00282AAC">
        <w:rPr>
          <w:rFonts w:hint="cs"/>
          <w:rtl/>
          <w:lang/>
        </w:rPr>
        <w:t xml:space="preserve">أو </w:t>
      </w:r>
      <w:r w:rsidRPr="00282AAC">
        <w:rPr>
          <w:rStyle w:val="hps"/>
          <w:rFonts w:hint="cs"/>
          <w:rtl/>
          <w:lang/>
        </w:rPr>
        <w:t xml:space="preserve">أن </w:t>
      </w:r>
      <w:r w:rsidRPr="00282AAC">
        <w:rPr>
          <w:rStyle w:val="hps"/>
          <w:rtl/>
          <w:lang/>
        </w:rPr>
        <w:t>السلطات التونسية</w:t>
      </w:r>
      <w:r w:rsidRPr="00282AAC">
        <w:rPr>
          <w:rtl/>
          <w:lang/>
        </w:rPr>
        <w:t xml:space="preserve"> </w:t>
      </w:r>
      <w:r w:rsidRPr="00282AAC">
        <w:rPr>
          <w:rStyle w:val="hps"/>
          <w:rFonts w:hint="cs"/>
          <w:rtl/>
          <w:lang/>
        </w:rPr>
        <w:t>لن تحترم الضمانات التي قدمتها،</w:t>
      </w:r>
      <w:r w:rsidR="00E76C26" w:rsidRPr="00A444EC">
        <w:rPr>
          <w:rStyle w:val="hps"/>
          <w:rFonts w:hint="cs"/>
          <w:rtl/>
          <w:lang/>
        </w:rPr>
        <w:t xml:space="preserve"> </w:t>
      </w:r>
      <w:r w:rsidRPr="00A444EC">
        <w:rPr>
          <w:rStyle w:val="hps"/>
          <w:rtl/>
          <w:lang/>
        </w:rPr>
        <w:t>أو</w:t>
      </w:r>
      <w:r w:rsidRPr="00A444EC">
        <w:rPr>
          <w:rStyle w:val="hps"/>
          <w:rFonts w:hint="eastAsia"/>
          <w:rtl/>
          <w:lang/>
        </w:rPr>
        <w:t> </w:t>
      </w:r>
      <w:r w:rsidRPr="00A444EC">
        <w:rPr>
          <w:rStyle w:val="hps"/>
          <w:rFonts w:hint="cs"/>
          <w:rtl/>
          <w:lang/>
        </w:rPr>
        <w:t xml:space="preserve">لن تستجيب لأي شكوى تقدم </w:t>
      </w:r>
      <w:r w:rsidRPr="00A444EC">
        <w:rPr>
          <w:rStyle w:val="hps"/>
          <w:rtl/>
          <w:lang/>
        </w:rPr>
        <w:t>في هذا الشأن.</w:t>
      </w:r>
      <w:r w:rsidRPr="00A444EC">
        <w:rPr>
          <w:rtl/>
          <w:lang/>
        </w:rPr>
        <w:t xml:space="preserve"> </w:t>
      </w:r>
      <w:r w:rsidRPr="00A444EC">
        <w:rPr>
          <w:rStyle w:val="hps"/>
          <w:rFonts w:hint="cs"/>
          <w:rtl/>
          <w:lang/>
        </w:rPr>
        <w:t>ومن ثم</w:t>
      </w:r>
      <w:r w:rsidRPr="00A444EC">
        <w:rPr>
          <w:rtl/>
          <w:lang/>
        </w:rPr>
        <w:t>، فإن هذا القرار لا </w:t>
      </w:r>
      <w:r w:rsidRPr="00A444EC">
        <w:rPr>
          <w:rStyle w:val="hps"/>
          <w:rtl/>
          <w:lang/>
        </w:rPr>
        <w:t>يتعارض مع</w:t>
      </w:r>
      <w:r w:rsidR="00610111">
        <w:rPr>
          <w:rFonts w:hint="cs"/>
          <w:rtl/>
          <w:lang/>
        </w:rPr>
        <w:t> </w:t>
      </w:r>
      <w:r w:rsidRPr="00A444EC">
        <w:rPr>
          <w:rStyle w:val="hps"/>
          <w:rtl/>
          <w:lang/>
        </w:rPr>
        <w:t>المادة</w:t>
      </w:r>
      <w:r w:rsidRPr="00A444EC">
        <w:rPr>
          <w:rtl/>
          <w:lang/>
        </w:rPr>
        <w:t xml:space="preserve"> </w:t>
      </w:r>
      <w:r w:rsidRPr="00A444EC">
        <w:rPr>
          <w:rStyle w:val="hps"/>
          <w:rtl/>
          <w:lang/>
        </w:rPr>
        <w:t>3 من الاتفاقية</w:t>
      </w:r>
      <w:r w:rsidRPr="00A444EC">
        <w:rPr>
          <w:rtl/>
          <w:lang/>
        </w:rPr>
        <w:t xml:space="preserve">. </w:t>
      </w:r>
      <w:r w:rsidRPr="00A444EC">
        <w:rPr>
          <w:rStyle w:val="hps"/>
          <w:rtl/>
          <w:lang/>
        </w:rPr>
        <w:t>ولذلك</w:t>
      </w:r>
      <w:r w:rsidRPr="00A444EC">
        <w:rPr>
          <w:rStyle w:val="hps"/>
          <w:rFonts w:hint="cs"/>
          <w:rtl/>
          <w:lang/>
        </w:rPr>
        <w:t>، فإن</w:t>
      </w:r>
      <w:r w:rsidRPr="00A444EC">
        <w:rPr>
          <w:rtl/>
          <w:lang/>
        </w:rPr>
        <w:t xml:space="preserve"> </w:t>
      </w:r>
      <w:r w:rsidRPr="00A444EC">
        <w:rPr>
          <w:rStyle w:val="hps"/>
          <w:rtl/>
          <w:lang/>
        </w:rPr>
        <w:t>الدولة الطرف</w:t>
      </w:r>
      <w:r w:rsidRPr="00A444EC">
        <w:rPr>
          <w:rStyle w:val="hps"/>
          <w:rFonts w:hint="cs"/>
          <w:rtl/>
          <w:lang/>
        </w:rPr>
        <w:t xml:space="preserve"> تطلب إلى اللجنة</w:t>
      </w:r>
      <w:r w:rsidRPr="00A444EC">
        <w:rPr>
          <w:rtl/>
          <w:lang/>
        </w:rPr>
        <w:t xml:space="preserve"> </w:t>
      </w:r>
      <w:r w:rsidRPr="00A444EC">
        <w:rPr>
          <w:rStyle w:val="hps"/>
          <w:rtl/>
          <w:lang/>
        </w:rPr>
        <w:t xml:space="preserve">أن </w:t>
      </w:r>
      <w:r w:rsidRPr="00A444EC">
        <w:rPr>
          <w:rStyle w:val="hps"/>
          <w:rFonts w:hint="cs"/>
          <w:rtl/>
          <w:lang/>
        </w:rPr>
        <w:t>تعتبر</w:t>
      </w:r>
      <w:r w:rsidRPr="00A444EC">
        <w:rPr>
          <w:rtl/>
          <w:lang/>
        </w:rPr>
        <w:t xml:space="preserve"> </w:t>
      </w:r>
      <w:r w:rsidRPr="00A444EC">
        <w:rPr>
          <w:rStyle w:val="hps"/>
          <w:rtl/>
          <w:lang/>
        </w:rPr>
        <w:t>الشكوى غير مقبولة</w:t>
      </w:r>
      <w:r w:rsidRPr="00A444EC">
        <w:rPr>
          <w:rtl/>
          <w:lang/>
        </w:rPr>
        <w:t xml:space="preserve"> </w:t>
      </w:r>
      <w:r w:rsidRPr="00A444EC">
        <w:rPr>
          <w:rStyle w:val="hps"/>
          <w:rtl/>
          <w:lang/>
        </w:rPr>
        <w:t>على</w:t>
      </w:r>
      <w:r w:rsidRPr="00A444EC">
        <w:rPr>
          <w:rtl/>
          <w:lang/>
        </w:rPr>
        <w:t xml:space="preserve"> </w:t>
      </w:r>
      <w:r w:rsidRPr="00A444EC">
        <w:rPr>
          <w:rStyle w:val="hps"/>
          <w:rtl/>
          <w:lang/>
        </w:rPr>
        <w:t>أساس أنه</w:t>
      </w:r>
      <w:r w:rsidRPr="00A444EC">
        <w:rPr>
          <w:rStyle w:val="hps"/>
          <w:rFonts w:hint="cs"/>
          <w:rtl/>
          <w:lang/>
        </w:rPr>
        <w:t>ا</w:t>
      </w:r>
      <w:r w:rsidRPr="00A444EC">
        <w:rPr>
          <w:rtl/>
          <w:lang/>
        </w:rPr>
        <w:t xml:space="preserve"> </w:t>
      </w:r>
      <w:r w:rsidRPr="00A444EC">
        <w:rPr>
          <w:rStyle w:val="hps"/>
          <w:rFonts w:hint="cs"/>
          <w:rtl/>
          <w:lang/>
        </w:rPr>
        <w:t>ت</w:t>
      </w:r>
      <w:r w:rsidRPr="00A444EC">
        <w:rPr>
          <w:rStyle w:val="hps"/>
          <w:rtl/>
          <w:lang/>
        </w:rPr>
        <w:t>شكل</w:t>
      </w:r>
      <w:r w:rsidRPr="00A444EC">
        <w:rPr>
          <w:rtl/>
          <w:lang/>
        </w:rPr>
        <w:t xml:space="preserve"> </w:t>
      </w:r>
      <w:r w:rsidRPr="00A444EC">
        <w:rPr>
          <w:rStyle w:val="hps"/>
          <w:rtl/>
          <w:lang/>
        </w:rPr>
        <w:t>إساءة لاستعمال الحق</w:t>
      </w:r>
      <w:r w:rsidRPr="00A444EC">
        <w:rPr>
          <w:rtl/>
          <w:lang/>
        </w:rPr>
        <w:t xml:space="preserve"> </w:t>
      </w:r>
      <w:r w:rsidRPr="00A444EC">
        <w:rPr>
          <w:rStyle w:val="hps"/>
          <w:rtl/>
          <w:lang/>
        </w:rPr>
        <w:t xml:space="preserve">في تقديم </w:t>
      </w:r>
      <w:r w:rsidRPr="00A444EC">
        <w:rPr>
          <w:rStyle w:val="hps"/>
          <w:rFonts w:hint="cs"/>
          <w:rtl/>
          <w:lang/>
        </w:rPr>
        <w:t>البلاغات</w:t>
      </w:r>
      <w:r w:rsidRPr="00A444EC">
        <w:rPr>
          <w:rtl/>
          <w:lang/>
        </w:rPr>
        <w:t xml:space="preserve"> </w:t>
      </w:r>
      <w:r w:rsidRPr="00A444EC">
        <w:rPr>
          <w:rStyle w:val="hps"/>
          <w:rtl/>
          <w:lang/>
        </w:rPr>
        <w:t>أو</w:t>
      </w:r>
      <w:r w:rsidRPr="00A444EC">
        <w:rPr>
          <w:rStyle w:val="hps"/>
          <w:rFonts w:hint="cs"/>
          <w:rtl/>
          <w:lang/>
        </w:rPr>
        <w:t xml:space="preserve"> غير مقبولة بموجب ال</w:t>
      </w:r>
      <w:r w:rsidRPr="00A444EC">
        <w:rPr>
          <w:rStyle w:val="hps"/>
          <w:rtl/>
          <w:lang/>
        </w:rPr>
        <w:t>فقرة</w:t>
      </w:r>
      <w:r w:rsidRPr="00A444EC">
        <w:rPr>
          <w:rtl/>
          <w:lang/>
        </w:rPr>
        <w:t xml:space="preserve"> </w:t>
      </w:r>
      <w:r w:rsidRPr="00A444EC">
        <w:rPr>
          <w:rStyle w:val="hps"/>
          <w:rtl/>
          <w:lang/>
        </w:rPr>
        <w:t>5(أ)</w:t>
      </w:r>
      <w:r w:rsidRPr="00A444EC">
        <w:rPr>
          <w:rtl/>
          <w:lang/>
        </w:rPr>
        <w:t xml:space="preserve"> </w:t>
      </w:r>
      <w:r w:rsidRPr="00A444EC">
        <w:rPr>
          <w:rFonts w:hint="cs"/>
          <w:rtl/>
          <w:lang/>
        </w:rPr>
        <w:t>من ا</w:t>
      </w:r>
      <w:r w:rsidRPr="00A444EC">
        <w:rPr>
          <w:rStyle w:val="hps"/>
          <w:rtl/>
          <w:lang/>
        </w:rPr>
        <w:t>لمادة</w:t>
      </w:r>
      <w:r w:rsidRPr="00A444EC">
        <w:rPr>
          <w:rtl/>
          <w:lang/>
        </w:rPr>
        <w:t xml:space="preserve"> </w:t>
      </w:r>
      <w:r w:rsidRPr="00A444EC">
        <w:rPr>
          <w:rStyle w:val="hps"/>
          <w:rtl/>
          <w:lang/>
        </w:rPr>
        <w:t>22</w:t>
      </w:r>
      <w:r w:rsidRPr="00A444EC">
        <w:rPr>
          <w:rtl/>
          <w:lang/>
        </w:rPr>
        <w:t xml:space="preserve"> من </w:t>
      </w:r>
      <w:r w:rsidRPr="00A444EC">
        <w:rPr>
          <w:rStyle w:val="hps"/>
          <w:rtl/>
          <w:lang/>
        </w:rPr>
        <w:t>الاتفاقية.</w:t>
      </w:r>
      <w:r w:rsidRPr="00A444EC">
        <w:rPr>
          <w:rtl/>
          <w:lang/>
        </w:rPr>
        <w:t xml:space="preserve"> </w:t>
      </w:r>
      <w:r w:rsidRPr="00A444EC">
        <w:rPr>
          <w:rStyle w:val="hps"/>
          <w:rtl/>
          <w:lang/>
        </w:rPr>
        <w:t xml:space="preserve">وإذا ما </w:t>
      </w:r>
      <w:r w:rsidRPr="00A444EC">
        <w:rPr>
          <w:rStyle w:val="hps"/>
          <w:rFonts w:hint="cs"/>
          <w:rtl/>
          <w:lang/>
        </w:rPr>
        <w:t>رأت</w:t>
      </w:r>
      <w:r w:rsidRPr="00A444EC">
        <w:rPr>
          <w:rtl/>
          <w:lang/>
        </w:rPr>
        <w:t xml:space="preserve"> </w:t>
      </w:r>
      <w:r w:rsidRPr="00A444EC">
        <w:rPr>
          <w:rStyle w:val="hps"/>
          <w:rtl/>
          <w:lang/>
        </w:rPr>
        <w:t>اللجنة أن</w:t>
      </w:r>
      <w:r w:rsidRPr="00A444EC">
        <w:rPr>
          <w:rtl/>
          <w:lang/>
        </w:rPr>
        <w:t xml:space="preserve"> </w:t>
      </w:r>
      <w:r w:rsidRPr="00A444EC">
        <w:rPr>
          <w:rStyle w:val="hps"/>
          <w:rtl/>
          <w:lang/>
        </w:rPr>
        <w:t>الشكوى مقبولة</w:t>
      </w:r>
      <w:r w:rsidRPr="00A444EC">
        <w:rPr>
          <w:rtl/>
          <w:lang/>
        </w:rPr>
        <w:t xml:space="preserve">، </w:t>
      </w:r>
      <w:r w:rsidRPr="00A444EC">
        <w:rPr>
          <w:rStyle w:val="hps"/>
          <w:rFonts w:hint="cs"/>
          <w:rtl/>
          <w:lang/>
        </w:rPr>
        <w:t>فإن</w:t>
      </w:r>
      <w:r w:rsidRPr="00A444EC">
        <w:rPr>
          <w:rStyle w:val="hps"/>
          <w:rtl/>
          <w:lang/>
        </w:rPr>
        <w:t xml:space="preserve"> الدولة</w:t>
      </w:r>
      <w:r w:rsidRPr="00A444EC">
        <w:rPr>
          <w:rtl/>
          <w:lang/>
        </w:rPr>
        <w:t xml:space="preserve"> </w:t>
      </w:r>
      <w:r w:rsidRPr="00A444EC">
        <w:rPr>
          <w:rStyle w:val="hps"/>
          <w:rtl/>
          <w:lang/>
        </w:rPr>
        <w:t xml:space="preserve">الطرف </w:t>
      </w:r>
      <w:r w:rsidRPr="00A444EC">
        <w:rPr>
          <w:rStyle w:val="hps"/>
          <w:rFonts w:hint="cs"/>
          <w:rtl/>
          <w:lang/>
        </w:rPr>
        <w:t xml:space="preserve">تطلب إليها </w:t>
      </w:r>
      <w:r w:rsidRPr="00A444EC">
        <w:rPr>
          <w:rStyle w:val="hps"/>
          <w:rtl/>
          <w:lang/>
        </w:rPr>
        <w:t>أن</w:t>
      </w:r>
      <w:r w:rsidRPr="00A444EC">
        <w:rPr>
          <w:rStyle w:val="hps"/>
          <w:rFonts w:hint="cs"/>
          <w:rtl/>
          <w:lang/>
        </w:rPr>
        <w:t xml:space="preserve"> تعلن أنها</w:t>
      </w:r>
      <w:r w:rsidRPr="00A444EC">
        <w:rPr>
          <w:rStyle w:val="hps"/>
          <w:rtl/>
          <w:lang/>
        </w:rPr>
        <w:t xml:space="preserve"> لا </w:t>
      </w:r>
      <w:r w:rsidRPr="00A444EC">
        <w:rPr>
          <w:rStyle w:val="hps"/>
          <w:rFonts w:hint="cs"/>
          <w:rtl/>
          <w:lang/>
        </w:rPr>
        <w:t>تستند إلى أي</w:t>
      </w:r>
      <w:r w:rsidRPr="00A444EC">
        <w:rPr>
          <w:rStyle w:val="hps"/>
          <w:rtl/>
          <w:lang/>
        </w:rPr>
        <w:t xml:space="preserve"> أساس</w:t>
      </w:r>
      <w:r w:rsidRPr="00A444EC">
        <w:rPr>
          <w:rtl/>
          <w:lang/>
        </w:rPr>
        <w:t>.</w:t>
      </w:r>
    </w:p>
    <w:p w:rsidR="005E110C" w:rsidRPr="00A444EC" w:rsidRDefault="005E110C" w:rsidP="00282AAC">
      <w:pPr>
        <w:pStyle w:val="H23GA"/>
        <w:spacing w:line="374" w:lineRule="exact"/>
        <w:rPr>
          <w:rFonts w:hint="cs"/>
          <w:rtl/>
          <w:lang w:val="fr-CH"/>
        </w:rPr>
      </w:pPr>
      <w:r w:rsidRPr="00A444EC">
        <w:rPr>
          <w:rFonts w:hint="cs"/>
          <w:rtl/>
          <w:lang w:val="fr-CH"/>
        </w:rPr>
        <w:tab/>
      </w:r>
      <w:r w:rsidRPr="00A444EC">
        <w:rPr>
          <w:rFonts w:hint="cs"/>
          <w:rtl/>
          <w:lang w:val="fr-CH"/>
        </w:rPr>
        <w:tab/>
        <w:t>الملاحظات الإضافية المقدمة من الدولة الطرف</w:t>
      </w:r>
    </w:p>
    <w:p w:rsidR="005E110C" w:rsidRPr="00A444EC" w:rsidRDefault="005E110C" w:rsidP="00282AAC">
      <w:pPr>
        <w:pStyle w:val="SingleTxtGA"/>
        <w:spacing w:line="374" w:lineRule="exact"/>
        <w:rPr>
          <w:rtl/>
          <w:lang/>
        </w:rPr>
      </w:pPr>
      <w:r w:rsidRPr="00A444EC">
        <w:rPr>
          <w:rtl/>
          <w:lang w:val="fr-CH"/>
        </w:rPr>
        <w:t>7-1</w:t>
      </w:r>
      <w:r w:rsidRPr="00A444EC">
        <w:rPr>
          <w:rtl/>
          <w:lang w:val="fr-CH"/>
        </w:rPr>
        <w:tab/>
      </w:r>
      <w:r w:rsidRPr="00A444EC">
        <w:rPr>
          <w:rStyle w:val="hps"/>
          <w:rtl/>
          <w:lang/>
        </w:rPr>
        <w:t>في 27</w:t>
      </w:r>
      <w:r w:rsidRPr="00A444EC">
        <w:rPr>
          <w:rtl/>
          <w:lang/>
        </w:rPr>
        <w:t xml:space="preserve"> </w:t>
      </w:r>
      <w:r w:rsidRPr="00A444EC">
        <w:rPr>
          <w:rFonts w:hint="cs"/>
          <w:rtl/>
          <w:lang/>
        </w:rPr>
        <w:t>أيار/</w:t>
      </w:r>
      <w:r w:rsidRPr="00A444EC">
        <w:rPr>
          <w:rStyle w:val="hps"/>
          <w:rtl/>
          <w:lang/>
        </w:rPr>
        <w:t>مايو 2011،</w:t>
      </w:r>
      <w:r w:rsidRPr="00A444EC">
        <w:rPr>
          <w:rtl/>
          <w:lang/>
        </w:rPr>
        <w:t xml:space="preserve"> </w:t>
      </w:r>
      <w:r w:rsidRPr="00A444EC">
        <w:rPr>
          <w:rStyle w:val="hps"/>
          <w:rtl/>
          <w:lang/>
        </w:rPr>
        <w:t>قدمت الدولة</w:t>
      </w:r>
      <w:r w:rsidRPr="00A444EC">
        <w:rPr>
          <w:rtl/>
          <w:lang/>
        </w:rPr>
        <w:t xml:space="preserve"> </w:t>
      </w:r>
      <w:r w:rsidRPr="00A444EC">
        <w:rPr>
          <w:rStyle w:val="hps"/>
          <w:rtl/>
          <w:lang/>
        </w:rPr>
        <w:t xml:space="preserve">الطرف </w:t>
      </w:r>
      <w:r w:rsidRPr="00A444EC">
        <w:rPr>
          <w:rStyle w:val="hps"/>
          <w:rFonts w:hint="cs"/>
          <w:rtl/>
          <w:lang/>
        </w:rPr>
        <w:t xml:space="preserve">إلى اللجنة </w:t>
      </w:r>
      <w:r w:rsidRPr="00A444EC">
        <w:rPr>
          <w:rStyle w:val="hps"/>
          <w:rtl/>
          <w:lang/>
        </w:rPr>
        <w:t>معلومات</w:t>
      </w:r>
      <w:r w:rsidRPr="00A444EC">
        <w:rPr>
          <w:rtl/>
          <w:lang/>
        </w:rPr>
        <w:t xml:space="preserve"> </w:t>
      </w:r>
      <w:r w:rsidRPr="00A444EC">
        <w:rPr>
          <w:rStyle w:val="hps"/>
          <w:rtl/>
          <w:lang/>
        </w:rPr>
        <w:t>إضافية</w:t>
      </w:r>
      <w:r w:rsidRPr="00A444EC">
        <w:rPr>
          <w:rStyle w:val="hps"/>
          <w:rFonts w:hint="cs"/>
          <w:rtl/>
          <w:lang/>
        </w:rPr>
        <w:t xml:space="preserve"> تفيد أن</w:t>
      </w:r>
      <w:r w:rsidRPr="00A444EC">
        <w:rPr>
          <w:rtl/>
          <w:lang/>
        </w:rPr>
        <w:t xml:space="preserve"> محكمة الاستئناف بتونس</w:t>
      </w:r>
      <w:r w:rsidRPr="00A444EC">
        <w:rPr>
          <w:rFonts w:hint="cs"/>
          <w:rtl/>
          <w:lang/>
        </w:rPr>
        <w:t xml:space="preserve"> قد أصدرت حكماً ببراءة </w:t>
      </w:r>
      <w:r w:rsidRPr="00A444EC">
        <w:rPr>
          <w:rStyle w:val="hps"/>
          <w:rFonts w:hint="cs"/>
          <w:rtl/>
          <w:lang/>
        </w:rPr>
        <w:t>السيد أنسي عبيشو</w:t>
      </w:r>
      <w:r w:rsidRPr="00A444EC">
        <w:rPr>
          <w:rtl/>
          <w:lang/>
        </w:rPr>
        <w:t xml:space="preserve"> </w:t>
      </w:r>
      <w:r w:rsidRPr="00A444EC">
        <w:rPr>
          <w:rStyle w:val="hps"/>
          <w:rtl/>
          <w:lang/>
        </w:rPr>
        <w:t>من</w:t>
      </w:r>
      <w:r w:rsidRPr="00A444EC">
        <w:rPr>
          <w:rtl/>
          <w:lang/>
        </w:rPr>
        <w:t xml:space="preserve"> </w:t>
      </w:r>
      <w:r w:rsidRPr="00A444EC">
        <w:rPr>
          <w:rStyle w:val="hps"/>
          <w:rtl/>
          <w:lang/>
        </w:rPr>
        <w:t>جميع التهم الموجهة</w:t>
      </w:r>
      <w:r w:rsidRPr="00A444EC">
        <w:rPr>
          <w:rtl/>
          <w:lang/>
        </w:rPr>
        <w:t xml:space="preserve"> </w:t>
      </w:r>
      <w:r w:rsidRPr="00A444EC">
        <w:rPr>
          <w:rStyle w:val="hps"/>
          <w:rtl/>
          <w:lang/>
        </w:rPr>
        <w:t>إليه</w:t>
      </w:r>
      <w:r w:rsidRPr="00A444EC">
        <w:rPr>
          <w:rStyle w:val="hps"/>
          <w:rFonts w:hint="cs"/>
          <w:rtl/>
          <w:lang/>
        </w:rPr>
        <w:t xml:space="preserve"> </w:t>
      </w:r>
      <w:r w:rsidRPr="00A444EC">
        <w:rPr>
          <w:rStyle w:val="hps"/>
          <w:rtl/>
          <w:lang/>
        </w:rPr>
        <w:t>في 19 أيار</w:t>
      </w:r>
      <w:r w:rsidRPr="00A444EC">
        <w:rPr>
          <w:rStyle w:val="hps"/>
          <w:rFonts w:hint="cs"/>
          <w:rtl/>
          <w:lang/>
        </w:rPr>
        <w:t>/مايو</w:t>
      </w:r>
      <w:r w:rsidRPr="00A444EC">
        <w:rPr>
          <w:rtl/>
          <w:lang/>
        </w:rPr>
        <w:t xml:space="preserve"> </w:t>
      </w:r>
      <w:r w:rsidRPr="00A444EC">
        <w:rPr>
          <w:rStyle w:val="hps"/>
          <w:rtl/>
          <w:lang/>
        </w:rPr>
        <w:t>2011</w:t>
      </w:r>
      <w:r w:rsidRPr="00A444EC">
        <w:rPr>
          <w:rStyle w:val="hps"/>
          <w:rFonts w:hint="cs"/>
          <w:rtl/>
          <w:lang/>
        </w:rPr>
        <w:t>،</w:t>
      </w:r>
      <w:r w:rsidRPr="00A444EC">
        <w:rPr>
          <w:rStyle w:val="hps"/>
          <w:rtl/>
          <w:lang/>
        </w:rPr>
        <w:t xml:space="preserve"> و</w:t>
      </w:r>
      <w:r w:rsidRPr="00A444EC">
        <w:rPr>
          <w:rStyle w:val="hps"/>
          <w:rFonts w:hint="cs"/>
          <w:rtl/>
          <w:lang/>
        </w:rPr>
        <w:t>أنه أُفرج عنه</w:t>
      </w:r>
      <w:r w:rsidRPr="00A444EC">
        <w:rPr>
          <w:rtl/>
          <w:lang/>
        </w:rPr>
        <w:t xml:space="preserve">. </w:t>
      </w:r>
      <w:r w:rsidRPr="00A444EC">
        <w:rPr>
          <w:rFonts w:hint="cs"/>
          <w:rtl/>
          <w:lang/>
        </w:rPr>
        <w:t xml:space="preserve">وقد </w:t>
      </w:r>
      <w:r w:rsidRPr="00A444EC">
        <w:rPr>
          <w:rStyle w:val="hps"/>
          <w:rtl/>
          <w:lang/>
        </w:rPr>
        <w:t>تابعت</w:t>
      </w:r>
      <w:r w:rsidRPr="00A444EC">
        <w:rPr>
          <w:rtl/>
          <w:lang/>
        </w:rPr>
        <w:t xml:space="preserve"> </w:t>
      </w:r>
      <w:r w:rsidRPr="00A444EC">
        <w:rPr>
          <w:rStyle w:val="hps"/>
          <w:rtl/>
          <w:lang/>
        </w:rPr>
        <w:t>السفارة الألمانية</w:t>
      </w:r>
      <w:r w:rsidRPr="00A444EC">
        <w:rPr>
          <w:rtl/>
          <w:lang/>
        </w:rPr>
        <w:t xml:space="preserve"> </w:t>
      </w:r>
      <w:r w:rsidRPr="00A444EC">
        <w:rPr>
          <w:rStyle w:val="hps"/>
          <w:rFonts w:hint="cs"/>
          <w:rtl/>
          <w:lang/>
        </w:rPr>
        <w:t>المحاكمة</w:t>
      </w:r>
      <w:r w:rsidRPr="00A444EC">
        <w:rPr>
          <w:rStyle w:val="hps"/>
          <w:rtl/>
          <w:lang/>
        </w:rPr>
        <w:t>،</w:t>
      </w:r>
      <w:r w:rsidRPr="00A444EC">
        <w:rPr>
          <w:rtl/>
          <w:lang/>
        </w:rPr>
        <w:t xml:space="preserve"> </w:t>
      </w:r>
      <w:r w:rsidRPr="00A444EC">
        <w:rPr>
          <w:rStyle w:val="hps"/>
          <w:rtl/>
          <w:lang/>
        </w:rPr>
        <w:t>ويبدو أن</w:t>
      </w:r>
      <w:r w:rsidRPr="00A444EC">
        <w:rPr>
          <w:rStyle w:val="hps"/>
          <w:rFonts w:hint="cs"/>
          <w:rtl/>
          <w:lang/>
        </w:rPr>
        <w:t xml:space="preserve"> السيد أنسي عبيشو</w:t>
      </w:r>
      <w:r w:rsidRPr="00A444EC">
        <w:rPr>
          <w:rtl/>
          <w:lang/>
        </w:rPr>
        <w:t xml:space="preserve"> </w:t>
      </w:r>
      <w:r w:rsidRPr="00A444EC">
        <w:rPr>
          <w:rStyle w:val="hps"/>
          <w:rFonts w:hint="cs"/>
          <w:rtl/>
          <w:lang/>
        </w:rPr>
        <w:t>قد أُفرج عنه بناءً على أقوال شهود النفي</w:t>
      </w:r>
      <w:r w:rsidRPr="00A444EC">
        <w:rPr>
          <w:rtl/>
          <w:lang/>
        </w:rPr>
        <w:t>.</w:t>
      </w:r>
    </w:p>
    <w:p w:rsidR="005E110C" w:rsidRPr="00A444EC" w:rsidRDefault="005E110C" w:rsidP="00282AAC">
      <w:pPr>
        <w:pStyle w:val="SingleTxtGA"/>
        <w:spacing w:line="374" w:lineRule="exact"/>
        <w:rPr>
          <w:rStyle w:val="hps"/>
          <w:lang/>
        </w:rPr>
      </w:pPr>
      <w:r w:rsidRPr="00A444EC">
        <w:rPr>
          <w:rtl/>
          <w:lang w:val="fr-CH"/>
        </w:rPr>
        <w:t>7-2</w:t>
      </w:r>
      <w:r w:rsidRPr="00A444EC">
        <w:rPr>
          <w:rtl/>
          <w:lang w:val="fr-CH"/>
        </w:rPr>
        <w:tab/>
      </w:r>
      <w:r w:rsidRPr="00A444EC">
        <w:rPr>
          <w:rFonts w:hint="cs"/>
          <w:rtl/>
          <w:lang w:val="fr-CH"/>
        </w:rPr>
        <w:t>و</w:t>
      </w:r>
      <w:r w:rsidRPr="00A444EC">
        <w:rPr>
          <w:rStyle w:val="hps"/>
          <w:rtl/>
          <w:lang/>
        </w:rPr>
        <w:t>وفقا</w:t>
      </w:r>
      <w:r w:rsidRPr="00A444EC">
        <w:rPr>
          <w:rStyle w:val="hps"/>
          <w:rFonts w:hint="cs"/>
          <w:rtl/>
          <w:lang/>
        </w:rPr>
        <w:t>ً لما أوردته</w:t>
      </w:r>
      <w:r w:rsidRPr="00A444EC">
        <w:rPr>
          <w:rtl/>
          <w:lang/>
        </w:rPr>
        <w:t xml:space="preserve"> </w:t>
      </w:r>
      <w:r w:rsidRPr="00A444EC">
        <w:rPr>
          <w:rStyle w:val="hps"/>
          <w:rFonts w:hint="cs"/>
          <w:rtl/>
          <w:lang/>
        </w:rPr>
        <w:t>ا</w:t>
      </w:r>
      <w:r w:rsidRPr="00A444EC">
        <w:rPr>
          <w:rStyle w:val="hps"/>
          <w:rtl/>
          <w:lang/>
        </w:rPr>
        <w:t>لدولة الطرف</w:t>
      </w:r>
      <w:r w:rsidRPr="00A444EC">
        <w:rPr>
          <w:rtl/>
          <w:lang/>
        </w:rPr>
        <w:t xml:space="preserve">، </w:t>
      </w:r>
      <w:r w:rsidRPr="00A444EC">
        <w:rPr>
          <w:rStyle w:val="hps"/>
          <w:rFonts w:hint="cs"/>
          <w:rtl/>
          <w:lang/>
        </w:rPr>
        <w:t>فإن هذه الوقائع</w:t>
      </w:r>
      <w:r w:rsidRPr="00A444EC">
        <w:rPr>
          <w:rtl/>
          <w:lang/>
        </w:rPr>
        <w:t xml:space="preserve"> </w:t>
      </w:r>
      <w:r w:rsidRPr="00A444EC">
        <w:rPr>
          <w:rStyle w:val="hps"/>
          <w:rtl/>
          <w:lang/>
        </w:rPr>
        <w:t>تثبت أن</w:t>
      </w:r>
      <w:r w:rsidRPr="00A444EC">
        <w:rPr>
          <w:rtl/>
          <w:lang/>
        </w:rPr>
        <w:t xml:space="preserve"> </w:t>
      </w:r>
      <w:r w:rsidRPr="00A444EC">
        <w:rPr>
          <w:rStyle w:val="hps"/>
          <w:rtl/>
          <w:lang/>
        </w:rPr>
        <w:t>السلطات التونسية</w:t>
      </w:r>
      <w:r w:rsidRPr="00A444EC">
        <w:rPr>
          <w:rtl/>
          <w:lang/>
        </w:rPr>
        <w:t xml:space="preserve"> </w:t>
      </w:r>
      <w:r w:rsidRPr="00A444EC">
        <w:rPr>
          <w:rStyle w:val="hps"/>
          <w:rFonts w:hint="cs"/>
          <w:rtl/>
          <w:lang/>
        </w:rPr>
        <w:t>قد احترمت ضماناتها</w:t>
      </w:r>
      <w:r w:rsidRPr="00A444EC">
        <w:rPr>
          <w:rtl/>
          <w:lang/>
        </w:rPr>
        <w:t xml:space="preserve"> </w:t>
      </w:r>
      <w:r w:rsidRPr="00A444EC">
        <w:rPr>
          <w:rStyle w:val="hps"/>
          <w:rtl/>
          <w:lang/>
        </w:rPr>
        <w:t>الدبلوماسية</w:t>
      </w:r>
      <w:r w:rsidRPr="00A444EC">
        <w:rPr>
          <w:rtl/>
          <w:lang/>
        </w:rPr>
        <w:t xml:space="preserve">، </w:t>
      </w:r>
      <w:r w:rsidRPr="00A444EC">
        <w:rPr>
          <w:rStyle w:val="hps"/>
          <w:rFonts w:hint="cs"/>
          <w:rtl/>
          <w:lang/>
        </w:rPr>
        <w:t>وهو ما يدعم</w:t>
      </w:r>
      <w:r w:rsidRPr="00A444EC">
        <w:rPr>
          <w:rtl/>
          <w:lang/>
        </w:rPr>
        <w:t xml:space="preserve"> </w:t>
      </w:r>
      <w:r w:rsidRPr="00A444EC">
        <w:rPr>
          <w:rStyle w:val="hps"/>
          <w:rtl/>
          <w:lang/>
        </w:rPr>
        <w:t>الملاحظات</w:t>
      </w:r>
      <w:r w:rsidRPr="00A444EC">
        <w:rPr>
          <w:rtl/>
          <w:lang/>
        </w:rPr>
        <w:t xml:space="preserve"> </w:t>
      </w:r>
      <w:r w:rsidRPr="00A444EC">
        <w:rPr>
          <w:rStyle w:val="hps"/>
          <w:rtl/>
          <w:lang/>
        </w:rPr>
        <w:t>السابق</w:t>
      </w:r>
      <w:r w:rsidRPr="00A444EC">
        <w:rPr>
          <w:rStyle w:val="hps"/>
          <w:rFonts w:hint="cs"/>
          <w:rtl/>
          <w:lang/>
        </w:rPr>
        <w:t>ة</w:t>
      </w:r>
      <w:r w:rsidRPr="00A444EC">
        <w:rPr>
          <w:rStyle w:val="hps"/>
          <w:rtl/>
          <w:lang/>
        </w:rPr>
        <w:t xml:space="preserve"> للدولة</w:t>
      </w:r>
      <w:r w:rsidRPr="00A444EC">
        <w:rPr>
          <w:rtl/>
          <w:lang/>
        </w:rPr>
        <w:t xml:space="preserve"> </w:t>
      </w:r>
      <w:r w:rsidRPr="00A444EC">
        <w:rPr>
          <w:rStyle w:val="hps"/>
          <w:rtl/>
          <w:lang/>
        </w:rPr>
        <w:t>الطرف بشأن</w:t>
      </w:r>
      <w:r w:rsidRPr="00A444EC">
        <w:rPr>
          <w:rtl/>
          <w:lang/>
        </w:rPr>
        <w:t xml:space="preserve"> </w:t>
      </w:r>
      <w:r w:rsidRPr="00A444EC">
        <w:rPr>
          <w:rStyle w:val="hps"/>
          <w:rFonts w:hint="cs"/>
          <w:rtl/>
          <w:lang/>
        </w:rPr>
        <w:t>م</w:t>
      </w:r>
      <w:r w:rsidRPr="00A444EC">
        <w:rPr>
          <w:rStyle w:val="hps"/>
          <w:rtl/>
          <w:lang/>
        </w:rPr>
        <w:t>قبولية</w:t>
      </w:r>
      <w:r w:rsidRPr="00A444EC">
        <w:rPr>
          <w:rStyle w:val="hps"/>
          <w:rFonts w:hint="cs"/>
          <w:rtl/>
          <w:lang/>
        </w:rPr>
        <w:t xml:space="preserve"> البلاغ</w:t>
      </w:r>
      <w:r w:rsidRPr="00A444EC">
        <w:rPr>
          <w:rStyle w:val="hps"/>
          <w:rtl/>
          <w:lang/>
        </w:rPr>
        <w:t xml:space="preserve"> </w:t>
      </w:r>
      <w:r w:rsidRPr="00A444EC">
        <w:rPr>
          <w:rStyle w:val="hps"/>
          <w:rFonts w:hint="cs"/>
          <w:rtl/>
          <w:lang/>
        </w:rPr>
        <w:t>وأسسه الموضوعية.</w:t>
      </w:r>
    </w:p>
    <w:p w:rsidR="005E110C" w:rsidRPr="00282AAC" w:rsidRDefault="005E110C" w:rsidP="00282AAC">
      <w:pPr>
        <w:pStyle w:val="H23GA"/>
        <w:spacing w:line="374" w:lineRule="exact"/>
        <w:rPr>
          <w:rFonts w:ascii="Times New Roman Bold" w:hAnsi="Times New Roman Bold"/>
          <w:spacing w:val="-4"/>
          <w:rtl/>
        </w:rPr>
      </w:pPr>
      <w:r w:rsidRPr="00282AAC">
        <w:rPr>
          <w:rFonts w:ascii="Times New Roman Bold" w:hAnsi="Times New Roman Bold" w:hint="cs"/>
          <w:spacing w:val="-4"/>
          <w:rtl/>
        </w:rPr>
        <w:tab/>
      </w:r>
      <w:r w:rsidRPr="00282AAC">
        <w:rPr>
          <w:rFonts w:ascii="Times New Roman Bold" w:hAnsi="Times New Roman Bold" w:hint="cs"/>
          <w:spacing w:val="-4"/>
          <w:rtl/>
        </w:rPr>
        <w:tab/>
      </w:r>
      <w:r w:rsidRPr="00282AAC">
        <w:rPr>
          <w:rFonts w:ascii="Times New Roman Bold" w:hAnsi="Times New Roman Bold"/>
          <w:spacing w:val="-4"/>
          <w:rtl/>
        </w:rPr>
        <w:t>تعليقات صاحب</w:t>
      </w:r>
      <w:r w:rsidRPr="00282AAC">
        <w:rPr>
          <w:rFonts w:ascii="Times New Roman Bold" w:hAnsi="Times New Roman Bold" w:hint="cs"/>
          <w:spacing w:val="-4"/>
          <w:rtl/>
        </w:rPr>
        <w:t>ة</w:t>
      </w:r>
      <w:r w:rsidRPr="00282AAC">
        <w:rPr>
          <w:rFonts w:ascii="Times New Roman Bold" w:hAnsi="Times New Roman Bold"/>
          <w:spacing w:val="-4"/>
          <w:rtl/>
        </w:rPr>
        <w:t xml:space="preserve"> الشكوى</w:t>
      </w:r>
      <w:r w:rsidRPr="00282AAC">
        <w:rPr>
          <w:rFonts w:ascii="Times New Roman Bold" w:hAnsi="Times New Roman Bold" w:hint="cs"/>
          <w:spacing w:val="-4"/>
          <w:rtl/>
        </w:rPr>
        <w:t xml:space="preserve"> على ملاحظات الدولة الطرف</w:t>
      </w:r>
      <w:r w:rsidRPr="00282AAC">
        <w:rPr>
          <w:rFonts w:ascii="Times New Roman Bold" w:hAnsi="Times New Roman Bold"/>
          <w:spacing w:val="-4"/>
          <w:rtl/>
        </w:rPr>
        <w:t xml:space="preserve"> بشأن المقبولية</w:t>
      </w:r>
      <w:r w:rsidRPr="00282AAC">
        <w:rPr>
          <w:rFonts w:ascii="Times New Roman Bold" w:hAnsi="Times New Roman Bold" w:hint="cs"/>
          <w:spacing w:val="-4"/>
          <w:rtl/>
        </w:rPr>
        <w:t xml:space="preserve"> والأسس الموضوعية</w:t>
      </w:r>
    </w:p>
    <w:p w:rsidR="005E110C" w:rsidRPr="00610111" w:rsidRDefault="005E110C" w:rsidP="00282AAC">
      <w:pPr>
        <w:pStyle w:val="SingleTxtGA"/>
        <w:rPr>
          <w:rtl/>
        </w:rPr>
      </w:pPr>
      <w:r w:rsidRPr="00610111">
        <w:rPr>
          <w:rtl/>
        </w:rPr>
        <w:t>8-1</w:t>
      </w:r>
      <w:r w:rsidRPr="00610111">
        <w:rPr>
          <w:rtl/>
        </w:rPr>
        <w:tab/>
      </w:r>
      <w:r w:rsidRPr="00610111">
        <w:rPr>
          <w:rStyle w:val="hps"/>
          <w:rFonts w:hint="cs"/>
          <w:rtl/>
          <w:lang/>
        </w:rPr>
        <w:t>تؤكد صاحبة الشكوى في تعليقاتها المؤرخة</w:t>
      </w:r>
      <w:r w:rsidRPr="00610111">
        <w:rPr>
          <w:rtl/>
          <w:lang/>
        </w:rPr>
        <w:t xml:space="preserve"> </w:t>
      </w:r>
      <w:r w:rsidRPr="00610111">
        <w:rPr>
          <w:rStyle w:val="hps"/>
          <w:rtl/>
          <w:lang/>
        </w:rPr>
        <w:t xml:space="preserve">26 </w:t>
      </w:r>
      <w:r w:rsidRPr="00610111">
        <w:rPr>
          <w:rStyle w:val="hps"/>
          <w:rFonts w:hint="cs"/>
          <w:rtl/>
          <w:lang/>
        </w:rPr>
        <w:t>حزيران/</w:t>
      </w:r>
      <w:r w:rsidR="003F0BC7" w:rsidRPr="00610111">
        <w:rPr>
          <w:rStyle w:val="hps"/>
          <w:rFonts w:hint="cs"/>
          <w:rtl/>
          <w:lang/>
        </w:rPr>
        <w:t>يونيه</w:t>
      </w:r>
      <w:r w:rsidRPr="00610111">
        <w:rPr>
          <w:rStyle w:val="hps"/>
          <w:rtl/>
          <w:lang/>
        </w:rPr>
        <w:t xml:space="preserve"> 2011</w:t>
      </w:r>
      <w:r w:rsidRPr="00610111">
        <w:rPr>
          <w:rFonts w:hint="cs"/>
          <w:rtl/>
          <w:lang/>
        </w:rPr>
        <w:t xml:space="preserve"> أن</w:t>
      </w:r>
      <w:r w:rsidRPr="00610111">
        <w:rPr>
          <w:rStyle w:val="hps"/>
          <w:rtl/>
          <w:lang/>
        </w:rPr>
        <w:t xml:space="preserve"> المحكمة</w:t>
      </w:r>
      <w:r w:rsidRPr="00610111">
        <w:rPr>
          <w:rtl/>
          <w:lang/>
        </w:rPr>
        <w:t xml:space="preserve"> </w:t>
      </w:r>
      <w:r w:rsidRPr="00610111">
        <w:rPr>
          <w:rStyle w:val="hps"/>
          <w:rtl/>
          <w:lang/>
        </w:rPr>
        <w:t>الأوروبية لحقوق</w:t>
      </w:r>
      <w:r w:rsidRPr="00610111">
        <w:rPr>
          <w:rtl/>
          <w:lang/>
        </w:rPr>
        <w:t xml:space="preserve"> </w:t>
      </w:r>
      <w:r w:rsidRPr="00610111">
        <w:rPr>
          <w:rStyle w:val="hps"/>
          <w:rtl/>
          <w:lang/>
        </w:rPr>
        <w:t>الإنسان</w:t>
      </w:r>
      <w:r w:rsidRPr="00610111">
        <w:rPr>
          <w:rStyle w:val="hps"/>
          <w:rFonts w:hint="cs"/>
          <w:rtl/>
          <w:lang/>
        </w:rPr>
        <w:t xml:space="preserve"> لم تكن تنظر في موضوع التماسها في وقت تقديم</w:t>
      </w:r>
      <w:r w:rsidRPr="00610111">
        <w:rPr>
          <w:rFonts w:hint="cs"/>
          <w:rtl/>
          <w:lang/>
        </w:rPr>
        <w:t xml:space="preserve"> </w:t>
      </w:r>
      <w:r w:rsidRPr="00610111">
        <w:rPr>
          <w:rStyle w:val="hps"/>
          <w:rtl/>
          <w:lang/>
        </w:rPr>
        <w:t>شكواها</w:t>
      </w:r>
      <w:r w:rsidRPr="00610111">
        <w:rPr>
          <w:rtl/>
          <w:lang/>
        </w:rPr>
        <w:t xml:space="preserve"> </w:t>
      </w:r>
      <w:r w:rsidRPr="00610111">
        <w:rPr>
          <w:rStyle w:val="hps"/>
          <w:rFonts w:hint="cs"/>
          <w:rtl/>
          <w:lang/>
        </w:rPr>
        <w:t xml:space="preserve">الأولى </w:t>
      </w:r>
      <w:r w:rsidRPr="00610111">
        <w:rPr>
          <w:rStyle w:val="hps"/>
          <w:rtl/>
          <w:lang/>
        </w:rPr>
        <w:t>إلى اللجنة</w:t>
      </w:r>
      <w:r w:rsidRPr="00610111">
        <w:rPr>
          <w:rtl/>
          <w:lang/>
        </w:rPr>
        <w:t xml:space="preserve"> </w:t>
      </w:r>
      <w:r w:rsidRPr="00610111">
        <w:rPr>
          <w:rStyle w:val="hps"/>
          <w:rtl/>
          <w:lang/>
        </w:rPr>
        <w:t>في 25 آب</w:t>
      </w:r>
      <w:r w:rsidRPr="00610111">
        <w:rPr>
          <w:rStyle w:val="hps"/>
          <w:rFonts w:hint="cs"/>
          <w:rtl/>
          <w:lang/>
        </w:rPr>
        <w:t>/أغسطس</w:t>
      </w:r>
      <w:r w:rsidRPr="00610111">
        <w:rPr>
          <w:rtl/>
          <w:lang/>
        </w:rPr>
        <w:t xml:space="preserve"> </w:t>
      </w:r>
      <w:r w:rsidRPr="00610111">
        <w:rPr>
          <w:rStyle w:val="hps"/>
          <w:rtl/>
          <w:lang/>
        </w:rPr>
        <w:t>2010،</w:t>
      </w:r>
      <w:r w:rsidRPr="00610111">
        <w:rPr>
          <w:rtl/>
          <w:lang/>
        </w:rPr>
        <w:t xml:space="preserve"> </w:t>
      </w:r>
      <w:r w:rsidRPr="00610111">
        <w:rPr>
          <w:rStyle w:val="hps"/>
          <w:rFonts w:hint="cs"/>
          <w:rtl/>
          <w:lang/>
        </w:rPr>
        <w:t>وأن السيد أنسي عبيشو</w:t>
      </w:r>
      <w:r w:rsidRPr="00610111">
        <w:rPr>
          <w:rStyle w:val="hps"/>
          <w:rtl/>
          <w:lang/>
        </w:rPr>
        <w:t xml:space="preserve"> </w:t>
      </w:r>
      <w:r w:rsidRPr="00610111">
        <w:rPr>
          <w:rStyle w:val="hps"/>
          <w:rFonts w:hint="cs"/>
          <w:rtl/>
          <w:lang/>
        </w:rPr>
        <w:t>و</w:t>
      </w:r>
      <w:r w:rsidRPr="00610111">
        <w:rPr>
          <w:rStyle w:val="hps"/>
          <w:rtl/>
          <w:lang/>
        </w:rPr>
        <w:t>محاميه</w:t>
      </w:r>
      <w:r w:rsidRPr="00610111">
        <w:rPr>
          <w:rtl/>
          <w:lang/>
        </w:rPr>
        <w:t xml:space="preserve"> </w:t>
      </w:r>
      <w:r w:rsidRPr="00610111">
        <w:rPr>
          <w:rStyle w:val="hps"/>
          <w:rFonts w:hint="cs"/>
          <w:rtl/>
          <w:lang/>
        </w:rPr>
        <w:t>لم يكونا على علم</w:t>
      </w:r>
      <w:r w:rsidRPr="00610111">
        <w:rPr>
          <w:rStyle w:val="hps"/>
          <w:rtl/>
          <w:lang/>
        </w:rPr>
        <w:t xml:space="preserve"> </w:t>
      </w:r>
      <w:r w:rsidRPr="00610111">
        <w:rPr>
          <w:rStyle w:val="hps"/>
          <w:rFonts w:hint="cs"/>
          <w:rtl/>
          <w:lang/>
        </w:rPr>
        <w:t>ب</w:t>
      </w:r>
      <w:r w:rsidRPr="00610111">
        <w:rPr>
          <w:rStyle w:val="hps"/>
          <w:rtl/>
          <w:lang/>
        </w:rPr>
        <w:t>أن</w:t>
      </w:r>
      <w:r w:rsidRPr="00610111">
        <w:rPr>
          <w:rtl/>
          <w:lang/>
        </w:rPr>
        <w:t xml:space="preserve"> </w:t>
      </w:r>
      <w:r w:rsidRPr="00610111">
        <w:rPr>
          <w:rStyle w:val="hps"/>
          <w:rFonts w:hint="cs"/>
          <w:rtl/>
          <w:lang/>
        </w:rPr>
        <w:t>هناك شكوى منظورة أمام هذه</w:t>
      </w:r>
      <w:r w:rsidRPr="00610111">
        <w:rPr>
          <w:rStyle w:val="hps"/>
          <w:rtl/>
          <w:lang/>
        </w:rPr>
        <w:t xml:space="preserve"> الهيئة</w:t>
      </w:r>
      <w:r w:rsidRPr="00610111">
        <w:rPr>
          <w:rtl/>
          <w:lang/>
        </w:rPr>
        <w:t xml:space="preserve">. </w:t>
      </w:r>
      <w:r w:rsidRPr="00610111">
        <w:rPr>
          <w:rStyle w:val="hps"/>
          <w:rFonts w:hint="cs"/>
          <w:rtl/>
          <w:lang/>
        </w:rPr>
        <w:t xml:space="preserve">وتُذكّر صاحبة </w:t>
      </w:r>
      <w:r w:rsidRPr="00610111">
        <w:rPr>
          <w:rStyle w:val="hps"/>
          <w:rtl/>
          <w:lang/>
        </w:rPr>
        <w:t>الشكوى</w:t>
      </w:r>
      <w:r w:rsidRPr="00610111">
        <w:rPr>
          <w:rStyle w:val="hps"/>
          <w:rFonts w:hint="cs"/>
          <w:rtl/>
          <w:lang/>
        </w:rPr>
        <w:t xml:space="preserve"> ب</w:t>
      </w:r>
      <w:r w:rsidRPr="00610111">
        <w:rPr>
          <w:rStyle w:val="hps"/>
          <w:rtl/>
          <w:lang/>
        </w:rPr>
        <w:t>التمييز الذي</w:t>
      </w:r>
      <w:r w:rsidRPr="00610111">
        <w:rPr>
          <w:rtl/>
          <w:lang/>
        </w:rPr>
        <w:t xml:space="preserve"> </w:t>
      </w:r>
      <w:r w:rsidRPr="00610111">
        <w:rPr>
          <w:rStyle w:val="hps"/>
          <w:rtl/>
          <w:lang/>
        </w:rPr>
        <w:t>يجب أن ي</w:t>
      </w:r>
      <w:r w:rsidRPr="00610111">
        <w:rPr>
          <w:rStyle w:val="hps"/>
          <w:rFonts w:hint="cs"/>
          <w:rtl/>
          <w:lang/>
        </w:rPr>
        <w:t>جرى</w:t>
      </w:r>
      <w:r w:rsidRPr="00610111">
        <w:rPr>
          <w:rtl/>
          <w:lang/>
        </w:rPr>
        <w:t xml:space="preserve">، </w:t>
      </w:r>
      <w:r w:rsidRPr="00610111">
        <w:rPr>
          <w:rStyle w:val="hps"/>
          <w:rFonts w:hint="cs"/>
          <w:rtl/>
          <w:lang/>
        </w:rPr>
        <w:t>حسب وجهة نظرها</w:t>
      </w:r>
      <w:r w:rsidRPr="00610111">
        <w:rPr>
          <w:rStyle w:val="hps"/>
          <w:rtl/>
          <w:lang/>
        </w:rPr>
        <w:t>،</w:t>
      </w:r>
      <w:r w:rsidRPr="00610111">
        <w:rPr>
          <w:rtl/>
          <w:lang/>
        </w:rPr>
        <w:t xml:space="preserve"> </w:t>
      </w:r>
      <w:r w:rsidRPr="00610111">
        <w:rPr>
          <w:rStyle w:val="hps"/>
          <w:rtl/>
          <w:lang/>
        </w:rPr>
        <w:t>بين</w:t>
      </w:r>
      <w:r w:rsidRPr="00610111">
        <w:rPr>
          <w:rtl/>
          <w:lang/>
        </w:rPr>
        <w:t xml:space="preserve"> </w:t>
      </w:r>
      <w:r w:rsidRPr="00610111">
        <w:rPr>
          <w:rFonts w:hint="cs"/>
          <w:rtl/>
          <w:lang/>
        </w:rPr>
        <w:t xml:space="preserve">البلاغ </w:t>
      </w:r>
      <w:r w:rsidRPr="00610111">
        <w:rPr>
          <w:rStyle w:val="hps"/>
          <w:rtl/>
          <w:lang/>
        </w:rPr>
        <w:t>و</w:t>
      </w:r>
      <w:r w:rsidRPr="00610111">
        <w:rPr>
          <w:rtl/>
          <w:lang/>
        </w:rPr>
        <w:t xml:space="preserve">طلب </w:t>
      </w:r>
      <w:r w:rsidRPr="00610111">
        <w:rPr>
          <w:rStyle w:val="hps"/>
          <w:rtl/>
          <w:lang/>
        </w:rPr>
        <w:t>تدابير الحماية</w:t>
      </w:r>
      <w:r w:rsidRPr="00610111">
        <w:rPr>
          <w:rtl/>
          <w:lang/>
        </w:rPr>
        <w:t xml:space="preserve"> </w:t>
      </w:r>
      <w:r w:rsidRPr="00610111">
        <w:rPr>
          <w:rStyle w:val="hps"/>
          <w:rtl/>
          <w:lang/>
        </w:rPr>
        <w:t>المؤقتة.</w:t>
      </w:r>
      <w:r w:rsidRPr="00610111">
        <w:rPr>
          <w:rtl/>
          <w:lang/>
        </w:rPr>
        <w:t xml:space="preserve"> </w:t>
      </w:r>
      <w:r w:rsidRPr="00610111">
        <w:rPr>
          <w:rFonts w:hint="cs"/>
          <w:rtl/>
          <w:lang/>
        </w:rPr>
        <w:t>ف</w:t>
      </w:r>
      <w:r w:rsidRPr="00610111">
        <w:rPr>
          <w:rStyle w:val="hps"/>
          <w:rtl/>
          <w:lang/>
        </w:rPr>
        <w:t>الفقرة</w:t>
      </w:r>
      <w:r w:rsidRPr="00610111">
        <w:rPr>
          <w:rtl/>
          <w:lang/>
        </w:rPr>
        <w:t xml:space="preserve"> </w:t>
      </w:r>
      <w:r w:rsidRPr="00610111">
        <w:rPr>
          <w:rStyle w:val="hps"/>
          <w:rtl/>
          <w:lang/>
        </w:rPr>
        <w:t>5(أ)</w:t>
      </w:r>
      <w:r w:rsidRPr="00610111">
        <w:rPr>
          <w:rtl/>
          <w:lang/>
        </w:rPr>
        <w:t xml:space="preserve"> </w:t>
      </w:r>
      <w:r w:rsidRPr="00610111">
        <w:rPr>
          <w:rStyle w:val="hps"/>
          <w:rtl/>
          <w:lang/>
        </w:rPr>
        <w:t>من المادة</w:t>
      </w:r>
      <w:r w:rsidR="00FA645B" w:rsidRPr="00610111">
        <w:rPr>
          <w:rStyle w:val="hps"/>
          <w:rFonts w:hint="eastAsia"/>
          <w:rtl/>
          <w:lang/>
        </w:rPr>
        <w:t> </w:t>
      </w:r>
      <w:r w:rsidRPr="00610111">
        <w:rPr>
          <w:rStyle w:val="hps"/>
          <w:rtl/>
          <w:lang/>
        </w:rPr>
        <w:t>22</w:t>
      </w:r>
      <w:r w:rsidRPr="00610111">
        <w:rPr>
          <w:rFonts w:hint="cs"/>
          <w:rtl/>
          <w:lang/>
        </w:rPr>
        <w:t xml:space="preserve"> من</w:t>
      </w:r>
      <w:r w:rsidRPr="00610111">
        <w:rPr>
          <w:rStyle w:val="hps"/>
          <w:rtl/>
          <w:lang/>
        </w:rPr>
        <w:t xml:space="preserve"> الاتفاقية</w:t>
      </w:r>
      <w:r w:rsidRPr="00610111">
        <w:rPr>
          <w:rtl/>
          <w:lang/>
        </w:rPr>
        <w:t xml:space="preserve"> </w:t>
      </w:r>
      <w:r w:rsidRPr="00610111">
        <w:rPr>
          <w:rFonts w:hint="cs"/>
          <w:rtl/>
          <w:lang/>
        </w:rPr>
        <w:t xml:space="preserve">تمنع </w:t>
      </w:r>
      <w:r w:rsidRPr="00610111">
        <w:rPr>
          <w:rStyle w:val="hps"/>
          <w:rtl/>
          <w:lang/>
        </w:rPr>
        <w:t>اللجنة</w:t>
      </w:r>
      <w:r w:rsidRPr="00610111">
        <w:rPr>
          <w:rtl/>
          <w:lang/>
        </w:rPr>
        <w:t xml:space="preserve"> </w:t>
      </w:r>
      <w:r w:rsidRPr="00610111">
        <w:rPr>
          <w:rStyle w:val="hps"/>
          <w:rtl/>
          <w:lang/>
        </w:rPr>
        <w:t>من</w:t>
      </w:r>
      <w:r w:rsidRPr="00610111">
        <w:rPr>
          <w:rtl/>
          <w:lang/>
        </w:rPr>
        <w:t xml:space="preserve"> </w:t>
      </w:r>
      <w:r w:rsidRPr="00610111">
        <w:rPr>
          <w:rStyle w:val="hps"/>
          <w:rtl/>
          <w:lang/>
        </w:rPr>
        <w:t>النظر في أي بلاغ</w:t>
      </w:r>
      <w:r w:rsidRPr="00610111">
        <w:rPr>
          <w:rtl/>
          <w:lang/>
        </w:rPr>
        <w:t xml:space="preserve"> </w:t>
      </w:r>
      <w:r w:rsidRPr="00610111">
        <w:rPr>
          <w:rStyle w:val="hps"/>
          <w:rFonts w:hint="cs"/>
          <w:rtl/>
          <w:lang/>
        </w:rPr>
        <w:t>نظر فيه أو قيد النظر في إطار إجراء دولي</w:t>
      </w:r>
      <w:r w:rsidR="00FA645B" w:rsidRPr="00610111">
        <w:rPr>
          <w:rStyle w:val="hps"/>
          <w:rFonts w:hint="eastAsia"/>
          <w:rtl/>
          <w:lang/>
        </w:rPr>
        <w:t> </w:t>
      </w:r>
      <w:r w:rsidRPr="00610111">
        <w:rPr>
          <w:rStyle w:val="hps"/>
          <w:rFonts w:hint="cs"/>
          <w:rtl/>
          <w:lang/>
        </w:rPr>
        <w:t>آخر، غير أن هذا لا ينطبق</w:t>
      </w:r>
      <w:r w:rsidRPr="00610111">
        <w:rPr>
          <w:rStyle w:val="hps"/>
          <w:rtl/>
          <w:lang/>
        </w:rPr>
        <w:t xml:space="preserve"> على</w:t>
      </w:r>
      <w:r w:rsidRPr="00610111">
        <w:rPr>
          <w:rtl/>
          <w:lang/>
        </w:rPr>
        <w:t xml:space="preserve"> </w:t>
      </w:r>
      <w:r w:rsidRPr="00610111">
        <w:rPr>
          <w:rStyle w:val="hps"/>
          <w:rtl/>
          <w:lang/>
        </w:rPr>
        <w:t>طلبات اتخاذ تدابير</w:t>
      </w:r>
      <w:r w:rsidRPr="00610111">
        <w:rPr>
          <w:rtl/>
          <w:lang/>
        </w:rPr>
        <w:t xml:space="preserve"> </w:t>
      </w:r>
      <w:r w:rsidRPr="00610111">
        <w:rPr>
          <w:rStyle w:val="hps"/>
          <w:rtl/>
          <w:lang/>
        </w:rPr>
        <w:t>الحماية</w:t>
      </w:r>
      <w:r w:rsidRPr="00610111">
        <w:rPr>
          <w:rtl/>
          <w:lang/>
        </w:rPr>
        <w:t xml:space="preserve"> </w:t>
      </w:r>
      <w:r w:rsidRPr="00610111">
        <w:rPr>
          <w:rStyle w:val="hps"/>
          <w:rtl/>
          <w:lang/>
        </w:rPr>
        <w:t>المؤقتة</w:t>
      </w:r>
      <w:r w:rsidRPr="00610111">
        <w:rPr>
          <w:rtl/>
          <w:lang/>
        </w:rPr>
        <w:t xml:space="preserve"> </w:t>
      </w:r>
      <w:r w:rsidRPr="00610111">
        <w:rPr>
          <w:rStyle w:val="hps"/>
          <w:rtl/>
          <w:lang/>
        </w:rPr>
        <w:t>لأسباب واضحة</w:t>
      </w:r>
      <w:r w:rsidRPr="00610111">
        <w:rPr>
          <w:rtl/>
          <w:lang/>
        </w:rPr>
        <w:t xml:space="preserve"> </w:t>
      </w:r>
      <w:r w:rsidRPr="00610111">
        <w:rPr>
          <w:rStyle w:val="hps"/>
          <w:rtl/>
          <w:lang/>
        </w:rPr>
        <w:t>تتعلق</w:t>
      </w:r>
      <w:r w:rsidRPr="00610111">
        <w:rPr>
          <w:rtl/>
          <w:lang/>
        </w:rPr>
        <w:t xml:space="preserve"> </w:t>
      </w:r>
      <w:r w:rsidRPr="00610111">
        <w:rPr>
          <w:rStyle w:val="hps"/>
          <w:rtl/>
          <w:lang/>
        </w:rPr>
        <w:t>بضرورة</w:t>
      </w:r>
      <w:r w:rsidRPr="00610111">
        <w:rPr>
          <w:rtl/>
          <w:lang/>
        </w:rPr>
        <w:t xml:space="preserve"> </w:t>
      </w:r>
      <w:r w:rsidRPr="00610111">
        <w:rPr>
          <w:rStyle w:val="hps"/>
          <w:rFonts w:hint="cs"/>
          <w:rtl/>
          <w:lang/>
        </w:rPr>
        <w:t>منح</w:t>
      </w:r>
      <w:r w:rsidRPr="00610111">
        <w:rPr>
          <w:rtl/>
          <w:lang/>
        </w:rPr>
        <w:t xml:space="preserve"> </w:t>
      </w:r>
      <w:r w:rsidRPr="00610111">
        <w:rPr>
          <w:rStyle w:val="hps"/>
          <w:rtl/>
          <w:lang/>
        </w:rPr>
        <w:t>حماية</w:t>
      </w:r>
      <w:r w:rsidRPr="00610111">
        <w:rPr>
          <w:rtl/>
          <w:lang/>
        </w:rPr>
        <w:t xml:space="preserve"> </w:t>
      </w:r>
      <w:r w:rsidRPr="00610111">
        <w:rPr>
          <w:rStyle w:val="hps"/>
          <w:rtl/>
          <w:lang/>
        </w:rPr>
        <w:t>السلامة الجسدية</w:t>
      </w:r>
      <w:r w:rsidRPr="00610111">
        <w:rPr>
          <w:rtl/>
          <w:lang/>
        </w:rPr>
        <w:t xml:space="preserve"> </w:t>
      </w:r>
      <w:r w:rsidRPr="00610111">
        <w:rPr>
          <w:rStyle w:val="hps"/>
          <w:rtl/>
          <w:lang/>
        </w:rPr>
        <w:t>و</w:t>
      </w:r>
      <w:r w:rsidRPr="00610111">
        <w:rPr>
          <w:rStyle w:val="hps"/>
          <w:rFonts w:hint="cs"/>
          <w:rtl/>
          <w:lang/>
        </w:rPr>
        <w:t xml:space="preserve">النفسية </w:t>
      </w:r>
      <w:r w:rsidRPr="00610111">
        <w:rPr>
          <w:rStyle w:val="hps"/>
          <w:rtl/>
          <w:lang/>
        </w:rPr>
        <w:t>للشخص</w:t>
      </w:r>
      <w:r w:rsidRPr="00610111">
        <w:rPr>
          <w:rFonts w:hint="cs"/>
          <w:rtl/>
          <w:lang/>
        </w:rPr>
        <w:t xml:space="preserve"> الأسبقية على أية اعتبارات إجرائية أخرى.</w:t>
      </w:r>
    </w:p>
    <w:p w:rsidR="00282AAC" w:rsidRDefault="005E110C" w:rsidP="00282AAC">
      <w:pPr>
        <w:pStyle w:val="SingleTxtGA"/>
        <w:rPr>
          <w:rStyle w:val="hps"/>
          <w:rFonts w:hint="cs"/>
          <w:rtl/>
          <w:lang/>
        </w:rPr>
      </w:pPr>
      <w:r w:rsidRPr="00A444EC">
        <w:rPr>
          <w:rtl/>
        </w:rPr>
        <w:t>8-2</w:t>
      </w:r>
      <w:r w:rsidRPr="00A444EC">
        <w:rPr>
          <w:rtl/>
        </w:rPr>
        <w:tab/>
      </w:r>
      <w:r w:rsidRPr="00A444EC">
        <w:rPr>
          <w:rFonts w:hint="cs"/>
          <w:rtl/>
        </w:rPr>
        <w:t>و</w:t>
      </w:r>
      <w:r w:rsidRPr="00A444EC">
        <w:rPr>
          <w:rStyle w:val="hps"/>
          <w:rtl/>
          <w:lang/>
        </w:rPr>
        <w:t>بناء</w:t>
      </w:r>
      <w:r w:rsidRPr="00A444EC">
        <w:rPr>
          <w:rStyle w:val="hps"/>
          <w:rFonts w:hint="cs"/>
          <w:rtl/>
          <w:lang/>
        </w:rPr>
        <w:t>ً</w:t>
      </w:r>
      <w:r w:rsidRPr="00A444EC">
        <w:rPr>
          <w:rStyle w:val="hps"/>
          <w:rtl/>
          <w:lang/>
        </w:rPr>
        <w:t xml:space="preserve"> على طلب</w:t>
      </w:r>
      <w:r w:rsidRPr="00A444EC">
        <w:rPr>
          <w:rtl/>
          <w:lang/>
        </w:rPr>
        <w:t xml:space="preserve"> </w:t>
      </w:r>
      <w:r w:rsidRPr="00A444EC">
        <w:rPr>
          <w:rFonts w:hint="cs"/>
          <w:rtl/>
          <w:lang/>
        </w:rPr>
        <w:t xml:space="preserve">مقدم </w:t>
      </w:r>
      <w:r w:rsidRPr="00A444EC">
        <w:rPr>
          <w:rStyle w:val="hps"/>
          <w:rtl/>
          <w:lang/>
        </w:rPr>
        <w:t>من</w:t>
      </w:r>
      <w:r w:rsidRPr="00A444EC">
        <w:rPr>
          <w:rtl/>
          <w:lang/>
        </w:rPr>
        <w:t xml:space="preserve"> </w:t>
      </w:r>
      <w:r w:rsidRPr="00A444EC">
        <w:rPr>
          <w:rStyle w:val="hps"/>
          <w:rFonts w:hint="cs"/>
          <w:rtl/>
          <w:lang/>
        </w:rPr>
        <w:t xml:space="preserve">منظمة العمل المسيحي من أجل إلغاء التعذيب </w:t>
      </w:r>
      <w:r w:rsidRPr="00A444EC">
        <w:rPr>
          <w:rtl/>
          <w:lang/>
        </w:rPr>
        <w:t>-</w:t>
      </w:r>
      <w:r w:rsidRPr="00A444EC">
        <w:rPr>
          <w:rFonts w:hint="cs"/>
          <w:rtl/>
          <w:lang/>
        </w:rPr>
        <w:t xml:space="preserve"> فرنسا</w:t>
      </w:r>
      <w:r w:rsidRPr="00A444EC">
        <w:rPr>
          <w:rStyle w:val="hps"/>
          <w:rtl/>
          <w:lang/>
        </w:rPr>
        <w:t xml:space="preserve"> (</w:t>
      </w:r>
      <w:r w:rsidRPr="00A444EC">
        <w:rPr>
          <w:rtl/>
          <w:lang/>
        </w:rPr>
        <w:t>محامي صاحب</w:t>
      </w:r>
      <w:r w:rsidRPr="00A444EC">
        <w:rPr>
          <w:rFonts w:hint="cs"/>
          <w:rtl/>
          <w:lang/>
        </w:rPr>
        <w:t>ة</w:t>
      </w:r>
      <w:r w:rsidRPr="00A444EC">
        <w:rPr>
          <w:rtl/>
          <w:lang/>
        </w:rPr>
        <w:t xml:space="preserve"> الشكوى)،</w:t>
      </w:r>
      <w:r w:rsidRPr="00A444EC">
        <w:rPr>
          <w:rFonts w:hint="cs"/>
          <w:rtl/>
          <w:lang/>
        </w:rPr>
        <w:t xml:space="preserve"> قدم مكتب محاماة السيد وليام بوردون</w:t>
      </w:r>
      <w:r w:rsidRPr="00A444EC">
        <w:rPr>
          <w:rtl/>
          <w:lang/>
        </w:rPr>
        <w:t xml:space="preserve"> </w:t>
      </w:r>
      <w:r w:rsidRPr="00A444EC">
        <w:rPr>
          <w:rStyle w:val="hps"/>
          <w:rtl/>
          <w:lang/>
        </w:rPr>
        <w:t>في 3</w:t>
      </w:r>
      <w:r w:rsidRPr="00A444EC">
        <w:rPr>
          <w:rtl/>
          <w:lang/>
        </w:rPr>
        <w:t xml:space="preserve"> و</w:t>
      </w:r>
      <w:r w:rsidRPr="00A444EC">
        <w:rPr>
          <w:rStyle w:val="hps"/>
          <w:rtl/>
          <w:lang/>
        </w:rPr>
        <w:t>19</w:t>
      </w:r>
      <w:r w:rsidRPr="00A444EC">
        <w:rPr>
          <w:rtl/>
          <w:lang/>
        </w:rPr>
        <w:t xml:space="preserve"> </w:t>
      </w:r>
      <w:r w:rsidRPr="00A444EC">
        <w:rPr>
          <w:rFonts w:hint="cs"/>
          <w:rtl/>
          <w:lang/>
        </w:rPr>
        <w:t xml:space="preserve">آب/ </w:t>
      </w:r>
      <w:r w:rsidRPr="00A444EC">
        <w:rPr>
          <w:rStyle w:val="hps"/>
          <w:rtl/>
          <w:lang/>
        </w:rPr>
        <w:t>أغسطس</w:t>
      </w:r>
      <w:r w:rsidR="008302C2" w:rsidRPr="00A444EC">
        <w:rPr>
          <w:rStyle w:val="hps"/>
          <w:rFonts w:hint="cs"/>
          <w:rtl/>
          <w:lang/>
        </w:rPr>
        <w:t> </w:t>
      </w:r>
      <w:r w:rsidRPr="00A444EC">
        <w:rPr>
          <w:rStyle w:val="hps"/>
          <w:rtl/>
          <w:lang/>
        </w:rPr>
        <w:t>2010</w:t>
      </w:r>
      <w:r w:rsidRPr="00A444EC">
        <w:rPr>
          <w:rStyle w:val="hps"/>
          <w:rFonts w:hint="cs"/>
          <w:rtl/>
          <w:lang/>
        </w:rPr>
        <w:t xml:space="preserve"> طلبين</w:t>
      </w:r>
      <w:r w:rsidRPr="00A444EC">
        <w:rPr>
          <w:rtl/>
          <w:lang/>
        </w:rPr>
        <w:t xml:space="preserve"> </w:t>
      </w:r>
      <w:r w:rsidRPr="00A444EC">
        <w:rPr>
          <w:rStyle w:val="hps"/>
          <w:rtl/>
          <w:lang/>
        </w:rPr>
        <w:t>من</w:t>
      </w:r>
      <w:r w:rsidRPr="00A444EC">
        <w:rPr>
          <w:rtl/>
          <w:lang/>
        </w:rPr>
        <w:t xml:space="preserve"> </w:t>
      </w:r>
      <w:r w:rsidRPr="00A444EC">
        <w:rPr>
          <w:rStyle w:val="hps"/>
          <w:rtl/>
          <w:lang/>
        </w:rPr>
        <w:t>طلبات</w:t>
      </w:r>
      <w:r w:rsidRPr="00A444EC">
        <w:rPr>
          <w:rtl/>
          <w:lang/>
        </w:rPr>
        <w:t xml:space="preserve"> </w:t>
      </w:r>
      <w:r w:rsidRPr="00A444EC">
        <w:rPr>
          <w:rStyle w:val="hps"/>
          <w:rtl/>
          <w:lang/>
        </w:rPr>
        <w:t>التدابير المؤقتة</w:t>
      </w:r>
      <w:r w:rsidRPr="00A444EC">
        <w:rPr>
          <w:rtl/>
          <w:lang/>
        </w:rPr>
        <w:t xml:space="preserve"> إلى </w:t>
      </w:r>
      <w:r w:rsidRPr="00A444EC">
        <w:rPr>
          <w:rStyle w:val="hps"/>
          <w:rtl/>
          <w:lang/>
        </w:rPr>
        <w:t>المحكمة</w:t>
      </w:r>
      <w:r w:rsidRPr="00A444EC">
        <w:rPr>
          <w:rtl/>
          <w:lang/>
        </w:rPr>
        <w:t xml:space="preserve"> </w:t>
      </w:r>
      <w:r w:rsidRPr="00A444EC">
        <w:rPr>
          <w:rStyle w:val="hps"/>
          <w:rtl/>
          <w:lang/>
        </w:rPr>
        <w:t>الأوروبية لحقوق</w:t>
      </w:r>
      <w:r w:rsidRPr="00A444EC">
        <w:rPr>
          <w:rtl/>
          <w:lang/>
        </w:rPr>
        <w:t xml:space="preserve"> </w:t>
      </w:r>
      <w:r w:rsidRPr="00A444EC">
        <w:rPr>
          <w:rStyle w:val="hps"/>
          <w:rtl/>
          <w:lang/>
        </w:rPr>
        <w:t>الإنسان</w:t>
      </w:r>
      <w:r w:rsidRPr="00A444EC">
        <w:rPr>
          <w:rFonts w:hint="cs"/>
          <w:rtl/>
          <w:lang/>
        </w:rPr>
        <w:t>،</w:t>
      </w:r>
      <w:r w:rsidRPr="00A444EC">
        <w:rPr>
          <w:rtl/>
          <w:lang/>
        </w:rPr>
        <w:t xml:space="preserve"> </w:t>
      </w:r>
      <w:r w:rsidRPr="00A444EC">
        <w:rPr>
          <w:rStyle w:val="hps"/>
          <w:rFonts w:hint="cs"/>
          <w:rtl/>
          <w:lang/>
        </w:rPr>
        <w:t>استناداً إلى ا</w:t>
      </w:r>
      <w:r w:rsidRPr="00A444EC">
        <w:rPr>
          <w:rStyle w:val="hps"/>
          <w:rtl/>
          <w:lang/>
        </w:rPr>
        <w:t>لمادة</w:t>
      </w:r>
      <w:r w:rsidRPr="00A444EC">
        <w:rPr>
          <w:rtl/>
          <w:lang/>
        </w:rPr>
        <w:t xml:space="preserve"> </w:t>
      </w:r>
      <w:r w:rsidRPr="00A444EC">
        <w:rPr>
          <w:rStyle w:val="hps"/>
          <w:rtl/>
          <w:lang/>
        </w:rPr>
        <w:t>39 من</w:t>
      </w:r>
      <w:r w:rsidRPr="00A444EC">
        <w:rPr>
          <w:rtl/>
          <w:lang/>
        </w:rPr>
        <w:t xml:space="preserve"> </w:t>
      </w:r>
      <w:r w:rsidRPr="00A444EC">
        <w:rPr>
          <w:rStyle w:val="hps"/>
          <w:rFonts w:hint="cs"/>
          <w:rtl/>
          <w:lang/>
        </w:rPr>
        <w:t>النظام الداخلي</w:t>
      </w:r>
      <w:r w:rsidRPr="00A444EC">
        <w:rPr>
          <w:rStyle w:val="hps"/>
          <w:rtl/>
          <w:lang/>
        </w:rPr>
        <w:t xml:space="preserve"> </w:t>
      </w:r>
      <w:r w:rsidRPr="00A444EC">
        <w:rPr>
          <w:rStyle w:val="hps"/>
          <w:rFonts w:hint="cs"/>
          <w:rtl/>
          <w:lang/>
        </w:rPr>
        <w:t>ل</w:t>
      </w:r>
      <w:r w:rsidRPr="00A444EC">
        <w:rPr>
          <w:rStyle w:val="hps"/>
          <w:rtl/>
          <w:lang/>
        </w:rPr>
        <w:t>لمحكمة</w:t>
      </w:r>
      <w:r w:rsidRPr="00A444EC">
        <w:rPr>
          <w:rtl/>
          <w:lang/>
        </w:rPr>
        <w:t xml:space="preserve">، </w:t>
      </w:r>
      <w:r w:rsidRPr="00A444EC">
        <w:rPr>
          <w:rStyle w:val="hps"/>
          <w:rFonts w:hint="cs"/>
          <w:rtl/>
          <w:lang/>
        </w:rPr>
        <w:t>والتمس فيهما من المحكمة</w:t>
      </w:r>
      <w:r w:rsidRPr="00A444EC">
        <w:rPr>
          <w:rStyle w:val="hps"/>
          <w:rtl/>
          <w:lang/>
        </w:rPr>
        <w:t xml:space="preserve"> أن تطلب</w:t>
      </w:r>
      <w:r w:rsidRPr="00A444EC">
        <w:rPr>
          <w:rStyle w:val="hps"/>
          <w:rFonts w:hint="cs"/>
          <w:rtl/>
          <w:lang/>
        </w:rPr>
        <w:t xml:space="preserve"> إلى </w:t>
      </w:r>
      <w:r w:rsidRPr="00A444EC">
        <w:rPr>
          <w:rStyle w:val="hps"/>
          <w:rtl/>
          <w:lang/>
        </w:rPr>
        <w:t>ألمانيا</w:t>
      </w:r>
      <w:r w:rsidRPr="00A444EC">
        <w:rPr>
          <w:rtl/>
          <w:lang/>
        </w:rPr>
        <w:t xml:space="preserve"> </w:t>
      </w:r>
      <w:r w:rsidRPr="00A444EC">
        <w:rPr>
          <w:rStyle w:val="hps"/>
          <w:rFonts w:hint="cs"/>
          <w:rtl/>
          <w:lang/>
        </w:rPr>
        <w:t>تأجيل</w:t>
      </w:r>
      <w:r w:rsidRPr="00A444EC">
        <w:rPr>
          <w:rtl/>
          <w:lang/>
        </w:rPr>
        <w:t xml:space="preserve"> </w:t>
      </w:r>
      <w:r w:rsidRPr="00A444EC">
        <w:rPr>
          <w:rStyle w:val="hps"/>
          <w:rtl/>
          <w:lang/>
        </w:rPr>
        <w:t>تسليم</w:t>
      </w:r>
      <w:r w:rsidRPr="00A444EC">
        <w:rPr>
          <w:rtl/>
          <w:lang/>
        </w:rPr>
        <w:t xml:space="preserve"> </w:t>
      </w:r>
      <w:r w:rsidRPr="00A444EC">
        <w:rPr>
          <w:rStyle w:val="hps"/>
          <w:rFonts w:hint="cs"/>
          <w:rtl/>
          <w:lang/>
        </w:rPr>
        <w:t>السيد أنسي عبيشو</w:t>
      </w:r>
      <w:r w:rsidRPr="00A444EC">
        <w:rPr>
          <w:rtl/>
          <w:lang/>
        </w:rPr>
        <w:t xml:space="preserve"> إلى </w:t>
      </w:r>
      <w:r w:rsidRPr="00A444EC">
        <w:rPr>
          <w:rStyle w:val="hps"/>
          <w:rtl/>
          <w:lang/>
        </w:rPr>
        <w:t>تونس</w:t>
      </w:r>
      <w:r w:rsidRPr="00A444EC">
        <w:rPr>
          <w:vertAlign w:val="superscript"/>
          <w:rtl/>
          <w:lang w:val="fr-CH"/>
        </w:rPr>
        <w:t>(</w:t>
      </w:r>
      <w:r w:rsidRPr="00A444EC">
        <w:rPr>
          <w:rStyle w:val="FootnoteReference"/>
          <w:rtl/>
          <w:lang w:val="fr-CH"/>
        </w:rPr>
        <w:footnoteReference w:id="141"/>
      </w:r>
      <w:r w:rsidRPr="00A444EC">
        <w:rPr>
          <w:vertAlign w:val="superscript"/>
          <w:rtl/>
          <w:lang w:val="fr-CH"/>
        </w:rPr>
        <w:t>)</w:t>
      </w:r>
      <w:r w:rsidRPr="00A444EC">
        <w:rPr>
          <w:rtl/>
          <w:lang/>
        </w:rPr>
        <w:t xml:space="preserve">. </w:t>
      </w:r>
      <w:r w:rsidRPr="00A444EC">
        <w:rPr>
          <w:rFonts w:hint="cs"/>
          <w:rtl/>
          <w:lang/>
        </w:rPr>
        <w:t>و</w:t>
      </w:r>
      <w:r w:rsidRPr="00A444EC">
        <w:rPr>
          <w:rStyle w:val="hps"/>
          <w:rtl/>
          <w:lang/>
        </w:rPr>
        <w:t>في 12</w:t>
      </w:r>
      <w:r w:rsidRPr="00A444EC">
        <w:rPr>
          <w:rtl/>
          <w:lang/>
        </w:rPr>
        <w:t xml:space="preserve"> و</w:t>
      </w:r>
      <w:r w:rsidRPr="00A444EC">
        <w:rPr>
          <w:rStyle w:val="hps"/>
          <w:rtl/>
          <w:lang/>
        </w:rPr>
        <w:t>23</w:t>
      </w:r>
      <w:r w:rsidRPr="00A444EC">
        <w:rPr>
          <w:rtl/>
          <w:lang/>
        </w:rPr>
        <w:t xml:space="preserve"> </w:t>
      </w:r>
      <w:r w:rsidRPr="00A444EC">
        <w:rPr>
          <w:rFonts w:hint="cs"/>
          <w:rtl/>
          <w:lang/>
        </w:rPr>
        <w:t>آب/</w:t>
      </w:r>
      <w:r w:rsidRPr="00A444EC">
        <w:rPr>
          <w:rStyle w:val="hps"/>
          <w:rtl/>
          <w:lang/>
        </w:rPr>
        <w:t>أغسطس 2010،</w:t>
      </w:r>
      <w:r w:rsidRPr="00A444EC">
        <w:rPr>
          <w:rStyle w:val="hps"/>
          <w:rFonts w:hint="cs"/>
          <w:rtl/>
          <w:lang/>
        </w:rPr>
        <w:t xml:space="preserve"> </w:t>
      </w:r>
      <w:r w:rsidR="00282AAC">
        <w:rPr>
          <w:rStyle w:val="hps"/>
          <w:rtl/>
          <w:lang/>
        </w:rPr>
        <w:br/>
      </w:r>
    </w:p>
    <w:p w:rsidR="005E110C" w:rsidRPr="00A444EC" w:rsidRDefault="005E110C" w:rsidP="00282AAC">
      <w:pPr>
        <w:pStyle w:val="SingleTxtGA"/>
        <w:rPr>
          <w:rtl/>
          <w:lang/>
        </w:rPr>
      </w:pPr>
      <w:r w:rsidRPr="00A444EC">
        <w:rPr>
          <w:rStyle w:val="hps"/>
          <w:rFonts w:hint="cs"/>
          <w:rtl/>
          <w:lang/>
        </w:rPr>
        <w:t>على التوالي،</w:t>
      </w:r>
      <w:r w:rsidRPr="00A444EC">
        <w:rPr>
          <w:rtl/>
          <w:lang/>
        </w:rPr>
        <w:t xml:space="preserve"> </w:t>
      </w:r>
      <w:r w:rsidRPr="00A444EC">
        <w:rPr>
          <w:rStyle w:val="hps"/>
          <w:rtl/>
          <w:lang/>
        </w:rPr>
        <w:t>رفضت المحكمة</w:t>
      </w:r>
      <w:r w:rsidRPr="00A444EC">
        <w:rPr>
          <w:rtl/>
          <w:lang/>
        </w:rPr>
        <w:t xml:space="preserve"> </w:t>
      </w:r>
      <w:r w:rsidRPr="00A444EC">
        <w:rPr>
          <w:rStyle w:val="hps"/>
          <w:rFonts w:hint="cs"/>
          <w:rtl/>
          <w:lang/>
        </w:rPr>
        <w:t>هذين الطلبين</w:t>
      </w:r>
      <w:r w:rsidRPr="00A444EC">
        <w:rPr>
          <w:vertAlign w:val="superscript"/>
          <w:rtl/>
          <w:lang w:val="fr-CH"/>
        </w:rPr>
        <w:t>(</w:t>
      </w:r>
      <w:r w:rsidRPr="00A444EC">
        <w:rPr>
          <w:rStyle w:val="FootnoteReference"/>
          <w:rtl/>
          <w:lang w:val="fr-CH"/>
        </w:rPr>
        <w:footnoteReference w:id="142"/>
      </w:r>
      <w:r w:rsidRPr="00A444EC">
        <w:rPr>
          <w:vertAlign w:val="superscript"/>
          <w:rtl/>
          <w:lang w:val="fr-CH"/>
        </w:rPr>
        <w:t>)</w:t>
      </w:r>
      <w:r w:rsidRPr="00A444EC">
        <w:rPr>
          <w:rtl/>
          <w:lang/>
        </w:rPr>
        <w:t xml:space="preserve">. </w:t>
      </w:r>
      <w:r w:rsidRPr="00A444EC">
        <w:rPr>
          <w:rFonts w:hint="cs"/>
          <w:rtl/>
          <w:lang/>
        </w:rPr>
        <w:t xml:space="preserve">ولا تتعلق </w:t>
      </w:r>
      <w:r w:rsidRPr="00A444EC">
        <w:rPr>
          <w:rStyle w:val="hps"/>
          <w:rtl/>
          <w:lang/>
        </w:rPr>
        <w:t>قرارات</w:t>
      </w:r>
      <w:r w:rsidRPr="00A444EC">
        <w:rPr>
          <w:rStyle w:val="hps"/>
          <w:rFonts w:hint="cs"/>
          <w:rtl/>
          <w:lang/>
        </w:rPr>
        <w:t xml:space="preserve"> الرفض الصادرة عن</w:t>
      </w:r>
      <w:r w:rsidRPr="00A444EC">
        <w:rPr>
          <w:rStyle w:val="hps"/>
          <w:rtl/>
          <w:lang/>
        </w:rPr>
        <w:t xml:space="preserve"> المحكمة</w:t>
      </w:r>
      <w:r w:rsidRPr="00A444EC">
        <w:rPr>
          <w:rtl/>
          <w:lang/>
        </w:rPr>
        <w:t xml:space="preserve"> </w:t>
      </w:r>
      <w:r w:rsidRPr="00A444EC">
        <w:rPr>
          <w:rStyle w:val="hps"/>
          <w:rFonts w:hint="cs"/>
          <w:rtl/>
          <w:lang/>
        </w:rPr>
        <w:t>إلاّ بالطلبات المقدمة</w:t>
      </w:r>
      <w:r w:rsidRPr="00A444EC">
        <w:rPr>
          <w:rStyle w:val="hps"/>
          <w:rtl/>
          <w:lang/>
        </w:rPr>
        <w:t xml:space="preserve"> بموجب</w:t>
      </w:r>
      <w:r w:rsidRPr="00A444EC">
        <w:rPr>
          <w:rtl/>
          <w:lang/>
        </w:rPr>
        <w:t xml:space="preserve"> </w:t>
      </w:r>
      <w:r w:rsidRPr="00A444EC">
        <w:rPr>
          <w:rStyle w:val="hps"/>
          <w:rtl/>
          <w:lang/>
        </w:rPr>
        <w:t>المادة 39</w:t>
      </w:r>
      <w:r w:rsidRPr="00A444EC">
        <w:rPr>
          <w:rStyle w:val="hps"/>
          <w:rFonts w:hint="cs"/>
          <w:rtl/>
          <w:lang/>
        </w:rPr>
        <w:t xml:space="preserve"> من النظام الداخلي للمحكمة</w:t>
      </w:r>
      <w:r w:rsidRPr="00A444EC">
        <w:rPr>
          <w:rtl/>
          <w:lang/>
        </w:rPr>
        <w:t xml:space="preserve"> </w:t>
      </w:r>
      <w:r w:rsidRPr="00A444EC">
        <w:rPr>
          <w:rStyle w:val="hps"/>
          <w:rtl/>
          <w:lang/>
        </w:rPr>
        <w:t>(</w:t>
      </w:r>
      <w:r w:rsidRPr="00A444EC">
        <w:rPr>
          <w:rStyle w:val="hps"/>
          <w:rFonts w:hint="cs"/>
          <w:rtl/>
          <w:lang/>
        </w:rPr>
        <w:t>ال</w:t>
      </w:r>
      <w:r w:rsidRPr="00A444EC">
        <w:rPr>
          <w:rtl/>
          <w:lang/>
        </w:rPr>
        <w:t xml:space="preserve">تدابير </w:t>
      </w:r>
      <w:r w:rsidRPr="00A444EC">
        <w:rPr>
          <w:rFonts w:hint="cs"/>
          <w:rtl/>
          <w:lang/>
        </w:rPr>
        <w:t>ال</w:t>
      </w:r>
      <w:r w:rsidRPr="00A444EC">
        <w:rPr>
          <w:rtl/>
          <w:lang/>
        </w:rPr>
        <w:t xml:space="preserve">مؤقتة). </w:t>
      </w:r>
      <w:r w:rsidRPr="00A444EC">
        <w:rPr>
          <w:rStyle w:val="hps"/>
          <w:rFonts w:hint="cs"/>
          <w:rtl/>
          <w:lang/>
        </w:rPr>
        <w:t>ومن ثم</w:t>
      </w:r>
      <w:r w:rsidRPr="00A444EC">
        <w:rPr>
          <w:rStyle w:val="hps"/>
          <w:rtl/>
          <w:lang/>
        </w:rPr>
        <w:t>، فإن</w:t>
      </w:r>
      <w:r w:rsidRPr="00A444EC">
        <w:rPr>
          <w:rtl/>
          <w:lang/>
        </w:rPr>
        <w:t xml:space="preserve"> </w:t>
      </w:r>
      <w:r w:rsidRPr="00A444EC">
        <w:rPr>
          <w:rStyle w:val="hps"/>
          <w:rtl/>
          <w:lang/>
        </w:rPr>
        <w:t>المحكمة</w:t>
      </w:r>
      <w:r w:rsidRPr="00A444EC">
        <w:rPr>
          <w:rtl/>
          <w:lang/>
        </w:rPr>
        <w:t xml:space="preserve"> </w:t>
      </w:r>
      <w:r w:rsidRPr="00A444EC">
        <w:rPr>
          <w:rStyle w:val="hps"/>
          <w:rFonts w:hint="cs"/>
          <w:rtl/>
          <w:lang/>
        </w:rPr>
        <w:t xml:space="preserve">لم تبتّ إطلاقاً في الطلب الذي تنظر فيه اللجنة حالياً، وعليه، لا يمكن الادعاء بأن الطلب الذي يتناوله البلاغ </w:t>
      </w:r>
      <w:r w:rsidRPr="00A444EC">
        <w:rPr>
          <w:rStyle w:val="hps"/>
          <w:rtl/>
          <w:lang/>
        </w:rPr>
        <w:t xml:space="preserve">المقدم إلى </w:t>
      </w:r>
      <w:r w:rsidRPr="00A444EC">
        <w:rPr>
          <w:rStyle w:val="hps"/>
          <w:rFonts w:hint="cs"/>
          <w:rtl/>
          <w:lang/>
        </w:rPr>
        <w:t>ال</w:t>
      </w:r>
      <w:r w:rsidRPr="00A444EC">
        <w:rPr>
          <w:rStyle w:val="hps"/>
          <w:rtl/>
          <w:lang/>
        </w:rPr>
        <w:t>لجنة</w:t>
      </w:r>
      <w:r w:rsidRPr="00A444EC">
        <w:rPr>
          <w:rtl/>
          <w:lang/>
        </w:rPr>
        <w:t xml:space="preserve"> </w:t>
      </w:r>
      <w:r w:rsidRPr="00A444EC">
        <w:rPr>
          <w:rStyle w:val="hps"/>
          <w:rtl/>
          <w:lang/>
        </w:rPr>
        <w:t xml:space="preserve">قد سبق </w:t>
      </w:r>
      <w:r w:rsidRPr="00A444EC">
        <w:rPr>
          <w:rStyle w:val="hps"/>
          <w:rFonts w:hint="cs"/>
          <w:rtl/>
          <w:lang/>
        </w:rPr>
        <w:t>بحثه</w:t>
      </w:r>
      <w:r w:rsidRPr="00A444EC">
        <w:rPr>
          <w:rtl/>
          <w:lang/>
        </w:rPr>
        <w:t xml:space="preserve"> </w:t>
      </w:r>
      <w:r w:rsidRPr="00A444EC">
        <w:rPr>
          <w:rStyle w:val="hps"/>
          <w:rtl/>
          <w:lang/>
        </w:rPr>
        <w:t>في إطار</w:t>
      </w:r>
      <w:r w:rsidRPr="00A444EC">
        <w:rPr>
          <w:rtl/>
          <w:lang/>
        </w:rPr>
        <w:t xml:space="preserve"> </w:t>
      </w:r>
      <w:r w:rsidRPr="00A444EC">
        <w:rPr>
          <w:rStyle w:val="hps"/>
          <w:rtl/>
          <w:lang/>
        </w:rPr>
        <w:t>إجراء دولي آخر</w:t>
      </w:r>
      <w:r w:rsidRPr="00A444EC">
        <w:rPr>
          <w:rtl/>
          <w:lang/>
        </w:rPr>
        <w:t>.</w:t>
      </w:r>
    </w:p>
    <w:p w:rsidR="005E110C" w:rsidRPr="00A444EC" w:rsidRDefault="005E110C" w:rsidP="00610111">
      <w:pPr>
        <w:pStyle w:val="SingleTxtGA"/>
        <w:rPr>
          <w:rtl/>
          <w:lang/>
        </w:rPr>
      </w:pPr>
      <w:r w:rsidRPr="00A444EC">
        <w:rPr>
          <w:rtl/>
        </w:rPr>
        <w:t>8-3</w:t>
      </w:r>
      <w:r w:rsidRPr="00A444EC">
        <w:rPr>
          <w:rtl/>
        </w:rPr>
        <w:tab/>
      </w:r>
      <w:r w:rsidRPr="00A444EC">
        <w:rPr>
          <w:rStyle w:val="hps"/>
          <w:rFonts w:hint="cs"/>
          <w:rtl/>
          <w:lang/>
        </w:rPr>
        <w:t>وحينما</w:t>
      </w:r>
      <w:r w:rsidRPr="00A444EC">
        <w:rPr>
          <w:rStyle w:val="hps"/>
          <w:rtl/>
          <w:lang/>
        </w:rPr>
        <w:t xml:space="preserve"> رفض</w:t>
      </w:r>
      <w:r w:rsidRPr="00A444EC">
        <w:rPr>
          <w:rtl/>
          <w:lang/>
        </w:rPr>
        <w:t xml:space="preserve"> </w:t>
      </w:r>
      <w:r w:rsidRPr="00A444EC">
        <w:rPr>
          <w:rStyle w:val="hps"/>
          <w:rtl/>
          <w:lang/>
        </w:rPr>
        <w:t>الطلب الثاني</w:t>
      </w:r>
      <w:r w:rsidRPr="00A444EC">
        <w:rPr>
          <w:rtl/>
          <w:lang/>
        </w:rPr>
        <w:t xml:space="preserve"> </w:t>
      </w:r>
      <w:r w:rsidRPr="00A444EC">
        <w:rPr>
          <w:rFonts w:hint="cs"/>
          <w:rtl/>
          <w:lang/>
        </w:rPr>
        <w:t>المتعلق ب</w:t>
      </w:r>
      <w:r w:rsidRPr="00A444EC">
        <w:rPr>
          <w:rStyle w:val="hps"/>
          <w:rtl/>
          <w:lang/>
        </w:rPr>
        <w:t>اتخاذ تدابير مؤقتة</w:t>
      </w:r>
      <w:r w:rsidRPr="00A444EC">
        <w:rPr>
          <w:rtl/>
          <w:lang/>
        </w:rPr>
        <w:t xml:space="preserve">، </w:t>
      </w:r>
      <w:r w:rsidRPr="00A444EC">
        <w:rPr>
          <w:rFonts w:hint="cs"/>
          <w:rtl/>
          <w:lang/>
        </w:rPr>
        <w:t>سأل أحد موظفي</w:t>
      </w:r>
      <w:r w:rsidRPr="00A444EC">
        <w:rPr>
          <w:rStyle w:val="hps"/>
          <w:rtl/>
          <w:lang/>
        </w:rPr>
        <w:t xml:space="preserve"> المحكمة</w:t>
      </w:r>
      <w:r w:rsidRPr="00A444EC">
        <w:rPr>
          <w:rStyle w:val="hps"/>
          <w:rFonts w:hint="cs"/>
          <w:rtl/>
          <w:lang/>
        </w:rPr>
        <w:t xml:space="preserve"> </w:t>
      </w:r>
      <w:r w:rsidRPr="00A444EC">
        <w:rPr>
          <w:rStyle w:val="hps"/>
          <w:rtl/>
          <w:lang/>
        </w:rPr>
        <w:t>السيد</w:t>
      </w:r>
      <w:r w:rsidRPr="00A444EC">
        <w:rPr>
          <w:rtl/>
          <w:lang/>
        </w:rPr>
        <w:t xml:space="preserve"> </w:t>
      </w:r>
      <w:r w:rsidRPr="00A444EC">
        <w:rPr>
          <w:rStyle w:val="hps"/>
          <w:rtl/>
          <w:lang/>
        </w:rPr>
        <w:t>بوردون</w:t>
      </w:r>
      <w:r w:rsidRPr="00A444EC">
        <w:rPr>
          <w:rStyle w:val="hps"/>
          <w:rFonts w:hint="cs"/>
          <w:rtl/>
          <w:lang/>
        </w:rPr>
        <w:t>،</w:t>
      </w:r>
      <w:r w:rsidRPr="00A444EC">
        <w:rPr>
          <w:rtl/>
          <w:lang/>
        </w:rPr>
        <w:t xml:space="preserve"> </w:t>
      </w:r>
      <w:r w:rsidRPr="00A444EC">
        <w:rPr>
          <w:rStyle w:val="hps"/>
          <w:rFonts w:hint="cs"/>
          <w:rtl/>
          <w:lang/>
        </w:rPr>
        <w:t xml:space="preserve">في مكالمة هاتفية أجراها معه، إن كان يود أن تنظر المحكمة في الأسس الموضوعية للطلب، فرد عليه السيد بوردون بالنفي، وفقاً لرغبة منظمة العمل المسيحي من أجل إلغاء التعذيب - </w:t>
      </w:r>
      <w:r w:rsidRPr="00A444EC">
        <w:rPr>
          <w:rFonts w:hint="cs"/>
          <w:rtl/>
          <w:lang/>
        </w:rPr>
        <w:t>فرنسا وأسرة السيد أنسي عبيشو. وبالإضافة إلى ذلك، فإن</w:t>
      </w:r>
      <w:r w:rsidRPr="00A444EC">
        <w:rPr>
          <w:rtl/>
          <w:lang/>
        </w:rPr>
        <w:t xml:space="preserve"> </w:t>
      </w:r>
      <w:r w:rsidRPr="00A444EC">
        <w:rPr>
          <w:rStyle w:val="hps"/>
          <w:rtl/>
          <w:lang/>
        </w:rPr>
        <w:t>السيد</w:t>
      </w:r>
      <w:r w:rsidRPr="00A444EC">
        <w:rPr>
          <w:rtl/>
          <w:lang/>
        </w:rPr>
        <w:t xml:space="preserve"> </w:t>
      </w:r>
      <w:r w:rsidRPr="00A444EC">
        <w:rPr>
          <w:rStyle w:val="hps"/>
          <w:rtl/>
          <w:lang/>
        </w:rPr>
        <w:t>بوردون</w:t>
      </w:r>
      <w:r w:rsidRPr="00A444EC">
        <w:rPr>
          <w:rtl/>
          <w:lang/>
        </w:rPr>
        <w:t xml:space="preserve"> </w:t>
      </w:r>
      <w:r w:rsidRPr="00A444EC">
        <w:rPr>
          <w:rStyle w:val="hps"/>
          <w:rFonts w:hint="cs"/>
          <w:rtl/>
          <w:lang/>
        </w:rPr>
        <w:t>لم يرسل أية</w:t>
      </w:r>
      <w:r w:rsidRPr="00A444EC">
        <w:rPr>
          <w:rStyle w:val="hps"/>
          <w:rtl/>
          <w:lang/>
        </w:rPr>
        <w:t xml:space="preserve"> بيانات</w:t>
      </w:r>
      <w:r w:rsidRPr="00A444EC">
        <w:rPr>
          <w:rtl/>
          <w:lang/>
        </w:rPr>
        <w:t xml:space="preserve"> </w:t>
      </w:r>
      <w:r w:rsidRPr="00A444EC">
        <w:rPr>
          <w:rStyle w:val="hps"/>
          <w:rFonts w:hint="cs"/>
          <w:rtl/>
          <w:lang/>
        </w:rPr>
        <w:t xml:space="preserve">إضافية إلى </w:t>
      </w:r>
      <w:r w:rsidRPr="00A444EC">
        <w:rPr>
          <w:rStyle w:val="hps"/>
          <w:rtl/>
          <w:lang/>
        </w:rPr>
        <w:t>المحكمة</w:t>
      </w:r>
      <w:r w:rsidRPr="00A444EC">
        <w:rPr>
          <w:rtl/>
          <w:lang/>
        </w:rPr>
        <w:t xml:space="preserve"> </w:t>
      </w:r>
      <w:r w:rsidRPr="00A444EC">
        <w:rPr>
          <w:rStyle w:val="hps"/>
          <w:rtl/>
          <w:lang/>
        </w:rPr>
        <w:t>بشأن</w:t>
      </w:r>
      <w:r w:rsidRPr="00A444EC">
        <w:rPr>
          <w:rtl/>
          <w:lang/>
        </w:rPr>
        <w:t xml:space="preserve"> </w:t>
      </w:r>
      <w:r w:rsidRPr="00A444EC">
        <w:rPr>
          <w:rStyle w:val="hps"/>
          <w:rtl/>
          <w:lang/>
        </w:rPr>
        <w:t>هذه المسألة،</w:t>
      </w:r>
      <w:r w:rsidRPr="00A444EC">
        <w:rPr>
          <w:rtl/>
          <w:lang/>
        </w:rPr>
        <w:t xml:space="preserve"> </w:t>
      </w:r>
      <w:r w:rsidRPr="00A444EC">
        <w:rPr>
          <w:rStyle w:val="hps"/>
          <w:rtl/>
          <w:lang/>
        </w:rPr>
        <w:t>ومنذ ذلك الحين</w:t>
      </w:r>
      <w:r w:rsidRPr="00A444EC">
        <w:rPr>
          <w:rStyle w:val="hps"/>
          <w:rFonts w:hint="cs"/>
          <w:rtl/>
          <w:lang/>
        </w:rPr>
        <w:t xml:space="preserve">، توقف السيد بوردون عن متابعة قضية السيد أنسي عبيشو التي تولت منظمة العمل المسيحي من أجل إلغاء التعذيب - </w:t>
      </w:r>
      <w:r w:rsidRPr="00A444EC">
        <w:rPr>
          <w:rFonts w:hint="cs"/>
          <w:rtl/>
          <w:lang/>
        </w:rPr>
        <w:t>فرنسا وحدها مسؤوليتها.</w:t>
      </w:r>
      <w:r w:rsidRPr="00A444EC">
        <w:rPr>
          <w:rStyle w:val="hps"/>
          <w:rFonts w:hint="cs"/>
          <w:rtl/>
          <w:lang/>
        </w:rPr>
        <w:t xml:space="preserve"> ولم ينتبه السيد بوردون ولا منظمة العمل المسيحي من أجل إلغاء التعذيب - </w:t>
      </w:r>
      <w:r w:rsidRPr="00A444EC">
        <w:rPr>
          <w:rFonts w:hint="cs"/>
          <w:rtl/>
          <w:lang/>
        </w:rPr>
        <w:t>فرنسا إلى أن القضية لا تزال، خلافاً للتعليمات التي قدماها، منظورة أمام المحكمة إلا بعد</w:t>
      </w:r>
      <w:r w:rsidRPr="00A444EC">
        <w:rPr>
          <w:rStyle w:val="hps"/>
          <w:rtl/>
          <w:lang/>
        </w:rPr>
        <w:t xml:space="preserve"> </w:t>
      </w:r>
      <w:r w:rsidRPr="00A444EC">
        <w:rPr>
          <w:rStyle w:val="hps"/>
          <w:rFonts w:hint="cs"/>
          <w:rtl/>
          <w:lang/>
        </w:rPr>
        <w:t>أن تلقى</w:t>
      </w:r>
      <w:r w:rsidRPr="00A444EC">
        <w:rPr>
          <w:rtl/>
          <w:lang/>
        </w:rPr>
        <w:t xml:space="preserve"> </w:t>
      </w:r>
      <w:r w:rsidRPr="00A444EC">
        <w:rPr>
          <w:rStyle w:val="hps"/>
          <w:rtl/>
          <w:lang/>
        </w:rPr>
        <w:t>مكتب السيد</w:t>
      </w:r>
      <w:r w:rsidRPr="00A444EC">
        <w:rPr>
          <w:rtl/>
          <w:lang/>
        </w:rPr>
        <w:t xml:space="preserve"> </w:t>
      </w:r>
      <w:r w:rsidRPr="00A444EC">
        <w:rPr>
          <w:rStyle w:val="hps"/>
          <w:rtl/>
          <w:lang/>
        </w:rPr>
        <w:t>بوردون</w:t>
      </w:r>
      <w:r w:rsidRPr="00A444EC">
        <w:rPr>
          <w:rStyle w:val="hps"/>
          <w:rFonts w:hint="cs"/>
          <w:rtl/>
          <w:lang/>
        </w:rPr>
        <w:t xml:space="preserve"> الرسالة التي وجهتها</w:t>
      </w:r>
      <w:r w:rsidRPr="00A444EC">
        <w:rPr>
          <w:rtl/>
          <w:lang/>
        </w:rPr>
        <w:t xml:space="preserve"> </w:t>
      </w:r>
      <w:r w:rsidRPr="00A444EC">
        <w:rPr>
          <w:rStyle w:val="hps"/>
          <w:rtl/>
          <w:lang/>
        </w:rPr>
        <w:t>المحكمة الأوروبية لحقوق</w:t>
      </w:r>
      <w:r w:rsidRPr="00A444EC">
        <w:rPr>
          <w:rtl/>
          <w:lang/>
        </w:rPr>
        <w:t xml:space="preserve"> </w:t>
      </w:r>
      <w:r w:rsidRPr="00A444EC">
        <w:rPr>
          <w:rStyle w:val="hps"/>
          <w:rtl/>
          <w:lang/>
        </w:rPr>
        <w:t>الإنسان إلى الحكومة</w:t>
      </w:r>
      <w:r w:rsidRPr="00A444EC">
        <w:rPr>
          <w:rtl/>
          <w:lang/>
        </w:rPr>
        <w:t xml:space="preserve"> </w:t>
      </w:r>
      <w:r w:rsidRPr="00A444EC">
        <w:rPr>
          <w:rStyle w:val="hps"/>
          <w:rtl/>
          <w:lang/>
        </w:rPr>
        <w:t>الألمانية في 7 شباط</w:t>
      </w:r>
      <w:r w:rsidRPr="00A444EC">
        <w:rPr>
          <w:rStyle w:val="hps"/>
          <w:rFonts w:hint="cs"/>
          <w:rtl/>
          <w:lang/>
        </w:rPr>
        <w:t>/فبراير</w:t>
      </w:r>
      <w:r w:rsidRPr="00A444EC">
        <w:rPr>
          <w:rtl/>
          <w:lang/>
        </w:rPr>
        <w:t xml:space="preserve"> </w:t>
      </w:r>
      <w:r w:rsidRPr="00A444EC">
        <w:rPr>
          <w:rStyle w:val="hps"/>
          <w:rtl/>
          <w:lang/>
        </w:rPr>
        <w:t>2011</w:t>
      </w:r>
      <w:r w:rsidRPr="00A444EC">
        <w:rPr>
          <w:rStyle w:val="hps"/>
          <w:rFonts w:hint="cs"/>
          <w:rtl/>
          <w:lang/>
        </w:rPr>
        <w:t>.</w:t>
      </w:r>
    </w:p>
    <w:p w:rsidR="005E110C" w:rsidRPr="00A444EC" w:rsidRDefault="005E110C" w:rsidP="00610111">
      <w:pPr>
        <w:pStyle w:val="SingleTxtGA"/>
        <w:rPr>
          <w:rtl/>
          <w:lang/>
        </w:rPr>
      </w:pPr>
      <w:r w:rsidRPr="00A444EC">
        <w:rPr>
          <w:rtl/>
        </w:rPr>
        <w:t>8-4</w:t>
      </w:r>
      <w:r w:rsidRPr="00A444EC">
        <w:rPr>
          <w:rtl/>
        </w:rPr>
        <w:tab/>
      </w:r>
      <w:r w:rsidRPr="00A444EC">
        <w:rPr>
          <w:rStyle w:val="hps"/>
          <w:rFonts w:hint="cs"/>
          <w:rtl/>
          <w:lang/>
        </w:rPr>
        <w:t xml:space="preserve">ومن ثم، فقد طلبت منظمة العمل المسيحي من أجل إلغاء التعذيب - </w:t>
      </w:r>
      <w:r w:rsidRPr="00A444EC">
        <w:rPr>
          <w:rFonts w:hint="cs"/>
          <w:rtl/>
          <w:lang/>
        </w:rPr>
        <w:t>فرنسا من</w:t>
      </w:r>
      <w:r w:rsidRPr="00A444EC">
        <w:rPr>
          <w:rStyle w:val="hps"/>
          <w:rtl/>
          <w:lang/>
        </w:rPr>
        <w:t xml:space="preserve"> السيد</w:t>
      </w:r>
      <w:r w:rsidRPr="00A444EC">
        <w:rPr>
          <w:rtl/>
          <w:lang/>
        </w:rPr>
        <w:t xml:space="preserve"> </w:t>
      </w:r>
      <w:r w:rsidRPr="00A444EC">
        <w:rPr>
          <w:rStyle w:val="hps"/>
          <w:rtl/>
          <w:lang/>
        </w:rPr>
        <w:t>بوردون</w:t>
      </w:r>
      <w:r w:rsidRPr="00A444EC">
        <w:rPr>
          <w:rtl/>
          <w:lang/>
        </w:rPr>
        <w:t xml:space="preserve"> </w:t>
      </w:r>
      <w:r w:rsidRPr="00A444EC">
        <w:rPr>
          <w:rStyle w:val="hps"/>
          <w:rtl/>
          <w:lang/>
        </w:rPr>
        <w:t>تصحيح</w:t>
      </w:r>
      <w:r w:rsidRPr="00A444EC">
        <w:rPr>
          <w:rtl/>
          <w:lang/>
        </w:rPr>
        <w:t xml:space="preserve"> </w:t>
      </w:r>
      <w:r w:rsidRPr="00A444EC">
        <w:rPr>
          <w:rStyle w:val="hps"/>
          <w:rtl/>
          <w:lang/>
        </w:rPr>
        <w:t>هذا الخطأ</w:t>
      </w:r>
      <w:r w:rsidRPr="00A444EC">
        <w:rPr>
          <w:rFonts w:hint="cs"/>
          <w:rtl/>
          <w:lang/>
        </w:rPr>
        <w:t xml:space="preserve"> بشكل عاجل، وهو ما فعله ب</w:t>
      </w:r>
      <w:r w:rsidRPr="00A444EC">
        <w:rPr>
          <w:rStyle w:val="hps"/>
          <w:rFonts w:hint="cs"/>
          <w:rtl/>
          <w:lang/>
        </w:rPr>
        <w:t>توجيه</w:t>
      </w:r>
      <w:r w:rsidRPr="00A444EC">
        <w:rPr>
          <w:rtl/>
          <w:lang/>
        </w:rPr>
        <w:t xml:space="preserve"> </w:t>
      </w:r>
      <w:r w:rsidRPr="00A444EC">
        <w:rPr>
          <w:rStyle w:val="hps"/>
          <w:rtl/>
          <w:lang/>
        </w:rPr>
        <w:t>رسالة إلى المحكمة في</w:t>
      </w:r>
      <w:r w:rsidRPr="00A444EC">
        <w:rPr>
          <w:rFonts w:hint="cs"/>
          <w:rtl/>
          <w:lang/>
        </w:rPr>
        <w:t> </w:t>
      </w:r>
      <w:r w:rsidRPr="00A444EC">
        <w:rPr>
          <w:rStyle w:val="hps"/>
          <w:rtl/>
          <w:lang/>
        </w:rPr>
        <w:t xml:space="preserve">8 </w:t>
      </w:r>
      <w:r w:rsidRPr="00A444EC">
        <w:rPr>
          <w:rStyle w:val="hps"/>
          <w:rFonts w:hint="cs"/>
          <w:rtl/>
          <w:lang/>
        </w:rPr>
        <w:t>آذار/</w:t>
      </w:r>
      <w:r w:rsidRPr="00A444EC">
        <w:rPr>
          <w:rStyle w:val="hps"/>
          <w:rtl/>
          <w:lang/>
        </w:rPr>
        <w:t>مارس 2011</w:t>
      </w:r>
      <w:r w:rsidRPr="00A444EC">
        <w:rPr>
          <w:rFonts w:hint="cs"/>
          <w:rtl/>
          <w:lang/>
        </w:rPr>
        <w:t xml:space="preserve">، </w:t>
      </w:r>
      <w:r w:rsidRPr="00A444EC">
        <w:rPr>
          <w:rStyle w:val="hps"/>
          <w:rtl/>
          <w:lang/>
        </w:rPr>
        <w:t>ذك</w:t>
      </w:r>
      <w:r w:rsidRPr="00A444EC">
        <w:rPr>
          <w:rStyle w:val="hps"/>
          <w:rFonts w:hint="cs"/>
          <w:rtl/>
          <w:lang/>
        </w:rPr>
        <w:t>ّرها فيها بأنه كان قد أخطرها</w:t>
      </w:r>
      <w:r w:rsidRPr="00A444EC">
        <w:rPr>
          <w:rStyle w:val="hps"/>
          <w:rtl/>
          <w:lang/>
        </w:rPr>
        <w:t>،</w:t>
      </w:r>
      <w:r w:rsidRPr="00A444EC">
        <w:rPr>
          <w:rtl/>
          <w:lang/>
        </w:rPr>
        <w:t xml:space="preserve"> </w:t>
      </w:r>
      <w:r w:rsidRPr="00A444EC">
        <w:rPr>
          <w:rStyle w:val="hps"/>
          <w:rtl/>
          <w:lang/>
        </w:rPr>
        <w:t>بعد</w:t>
      </w:r>
      <w:r w:rsidRPr="00A444EC">
        <w:rPr>
          <w:rtl/>
          <w:lang/>
        </w:rPr>
        <w:t xml:space="preserve"> </w:t>
      </w:r>
      <w:r w:rsidRPr="00A444EC">
        <w:rPr>
          <w:rStyle w:val="hps"/>
          <w:rtl/>
          <w:lang/>
        </w:rPr>
        <w:t>رفضها لل</w:t>
      </w:r>
      <w:r w:rsidRPr="00A444EC">
        <w:rPr>
          <w:rtl/>
          <w:lang/>
        </w:rPr>
        <w:t xml:space="preserve">طلب الثاني </w:t>
      </w:r>
      <w:r w:rsidRPr="00A444EC">
        <w:rPr>
          <w:rStyle w:val="hps"/>
          <w:rFonts w:hint="cs"/>
          <w:rtl/>
          <w:lang/>
        </w:rPr>
        <w:t>المتعلق ب</w:t>
      </w:r>
      <w:r w:rsidRPr="00A444EC">
        <w:rPr>
          <w:rStyle w:val="hps"/>
          <w:rtl/>
          <w:lang/>
        </w:rPr>
        <w:t>اتخاذ تدابير مؤقتة</w:t>
      </w:r>
      <w:r w:rsidRPr="00A444EC">
        <w:rPr>
          <w:rtl/>
          <w:lang/>
        </w:rPr>
        <w:t xml:space="preserve">، </w:t>
      </w:r>
      <w:r w:rsidRPr="00A444EC">
        <w:rPr>
          <w:rStyle w:val="hps"/>
          <w:rFonts w:hint="cs"/>
          <w:rtl/>
          <w:lang/>
        </w:rPr>
        <w:t>بعدم رغبته في أن تنظر في الأسس الموضوعية للطلب. و</w:t>
      </w:r>
      <w:r w:rsidRPr="00A444EC">
        <w:rPr>
          <w:rStyle w:val="hps"/>
          <w:rtl/>
          <w:lang/>
        </w:rPr>
        <w:t>في</w:t>
      </w:r>
      <w:r w:rsidRPr="00A444EC">
        <w:rPr>
          <w:rtl/>
          <w:lang/>
        </w:rPr>
        <w:t xml:space="preserve"> </w:t>
      </w:r>
      <w:r w:rsidRPr="00A444EC">
        <w:rPr>
          <w:rStyle w:val="hps"/>
          <w:rtl/>
          <w:lang/>
        </w:rPr>
        <w:t>رسالة مؤرخة 25</w:t>
      </w:r>
      <w:r w:rsidRPr="00A444EC">
        <w:rPr>
          <w:rtl/>
          <w:lang/>
        </w:rPr>
        <w:t xml:space="preserve"> </w:t>
      </w:r>
      <w:r w:rsidRPr="00A444EC">
        <w:rPr>
          <w:rFonts w:hint="cs"/>
          <w:rtl/>
          <w:lang/>
        </w:rPr>
        <w:t>آذار/</w:t>
      </w:r>
      <w:r w:rsidRPr="00A444EC">
        <w:rPr>
          <w:rStyle w:val="hps"/>
          <w:rtl/>
          <w:lang/>
        </w:rPr>
        <w:t>مارس 2011،</w:t>
      </w:r>
      <w:r w:rsidRPr="00A444EC">
        <w:rPr>
          <w:rtl/>
          <w:lang/>
        </w:rPr>
        <w:t xml:space="preserve"> </w:t>
      </w:r>
      <w:r w:rsidRPr="00A444EC">
        <w:rPr>
          <w:rStyle w:val="hps"/>
          <w:rFonts w:hint="cs"/>
          <w:rtl/>
          <w:lang/>
        </w:rPr>
        <w:t>رد</w:t>
      </w:r>
      <w:r w:rsidRPr="00A444EC">
        <w:rPr>
          <w:rtl/>
          <w:lang/>
        </w:rPr>
        <w:t xml:space="preserve"> </w:t>
      </w:r>
      <w:r w:rsidRPr="00A444EC">
        <w:rPr>
          <w:rStyle w:val="hps"/>
          <w:rtl/>
          <w:lang/>
        </w:rPr>
        <w:t>رئيس قلم</w:t>
      </w:r>
      <w:r w:rsidRPr="00A444EC">
        <w:rPr>
          <w:rStyle w:val="hps"/>
          <w:rFonts w:hint="cs"/>
          <w:rtl/>
          <w:lang/>
        </w:rPr>
        <w:t xml:space="preserve"> تسجيل</w:t>
      </w:r>
      <w:r w:rsidRPr="00A444EC">
        <w:rPr>
          <w:rtl/>
          <w:lang/>
        </w:rPr>
        <w:t xml:space="preserve"> </w:t>
      </w:r>
      <w:r w:rsidRPr="00A444EC">
        <w:rPr>
          <w:rStyle w:val="hps"/>
          <w:rtl/>
          <w:lang/>
        </w:rPr>
        <w:t>المحكمة</w:t>
      </w:r>
      <w:r w:rsidRPr="00A444EC">
        <w:rPr>
          <w:rtl/>
          <w:lang/>
        </w:rPr>
        <w:t xml:space="preserve"> </w:t>
      </w:r>
      <w:r w:rsidRPr="00A444EC">
        <w:rPr>
          <w:rStyle w:val="hps"/>
          <w:rFonts w:hint="cs"/>
          <w:rtl/>
          <w:lang/>
        </w:rPr>
        <w:t xml:space="preserve">على </w:t>
      </w:r>
      <w:r w:rsidRPr="00A444EC">
        <w:rPr>
          <w:rStyle w:val="hps"/>
          <w:rtl/>
          <w:lang/>
        </w:rPr>
        <w:t>السيد</w:t>
      </w:r>
      <w:r w:rsidRPr="00A444EC">
        <w:rPr>
          <w:rtl/>
          <w:lang/>
        </w:rPr>
        <w:t xml:space="preserve"> </w:t>
      </w:r>
      <w:r w:rsidRPr="00A444EC">
        <w:rPr>
          <w:rStyle w:val="hps"/>
          <w:rtl/>
          <w:lang/>
        </w:rPr>
        <w:t>بوردون</w:t>
      </w:r>
      <w:r w:rsidRPr="00A444EC">
        <w:rPr>
          <w:rStyle w:val="hps"/>
          <w:rFonts w:hint="cs"/>
          <w:rtl/>
          <w:lang/>
        </w:rPr>
        <w:t xml:space="preserve"> وأخبره أنه كان</w:t>
      </w:r>
      <w:r w:rsidRPr="00A444EC">
        <w:rPr>
          <w:rtl/>
          <w:lang/>
        </w:rPr>
        <w:t xml:space="preserve"> </w:t>
      </w:r>
      <w:r w:rsidRPr="00A444EC">
        <w:rPr>
          <w:rStyle w:val="hps"/>
          <w:rtl/>
          <w:lang/>
        </w:rPr>
        <w:t>ينبغي</w:t>
      </w:r>
      <w:r w:rsidRPr="00A444EC">
        <w:rPr>
          <w:rStyle w:val="hps"/>
          <w:rFonts w:hint="cs"/>
          <w:rtl/>
          <w:lang/>
        </w:rPr>
        <w:t xml:space="preserve"> له تأكيد سحب الطلب بخطاب خطي، وأن عدم فعل ذلك قد أدى إلى استمرار النظر في الطلب. و</w:t>
      </w:r>
      <w:r w:rsidRPr="00A444EC">
        <w:rPr>
          <w:rStyle w:val="hps"/>
          <w:rtl/>
          <w:lang/>
        </w:rPr>
        <w:t>في 7 نيسان</w:t>
      </w:r>
      <w:r w:rsidRPr="00A444EC">
        <w:rPr>
          <w:rStyle w:val="hps"/>
          <w:rFonts w:hint="cs"/>
          <w:rtl/>
          <w:lang/>
        </w:rPr>
        <w:t>/أبريل</w:t>
      </w:r>
      <w:r w:rsidRPr="00A444EC">
        <w:rPr>
          <w:rtl/>
          <w:lang/>
        </w:rPr>
        <w:t xml:space="preserve"> </w:t>
      </w:r>
      <w:r w:rsidRPr="00A444EC">
        <w:rPr>
          <w:rStyle w:val="hps"/>
          <w:rtl/>
          <w:lang/>
        </w:rPr>
        <w:t>2011، بناء</w:t>
      </w:r>
      <w:r w:rsidRPr="00A444EC">
        <w:rPr>
          <w:rStyle w:val="hps"/>
          <w:rFonts w:hint="cs"/>
          <w:rtl/>
          <w:lang/>
        </w:rPr>
        <w:t>ً</w:t>
      </w:r>
      <w:r w:rsidRPr="00A444EC">
        <w:rPr>
          <w:rStyle w:val="hps"/>
          <w:rtl/>
          <w:lang/>
        </w:rPr>
        <w:t xml:space="preserve"> على طلب صريح</w:t>
      </w:r>
      <w:r w:rsidRPr="00A444EC">
        <w:rPr>
          <w:rtl/>
          <w:lang/>
        </w:rPr>
        <w:t xml:space="preserve"> </w:t>
      </w:r>
      <w:r w:rsidRPr="00A444EC">
        <w:rPr>
          <w:rStyle w:val="hps"/>
          <w:rtl/>
          <w:lang/>
        </w:rPr>
        <w:t>من</w:t>
      </w:r>
      <w:r w:rsidRPr="00A444EC">
        <w:rPr>
          <w:rtl/>
          <w:lang/>
        </w:rPr>
        <w:t xml:space="preserve"> </w:t>
      </w:r>
      <w:r w:rsidRPr="00A444EC">
        <w:rPr>
          <w:rStyle w:val="hps"/>
          <w:rtl/>
          <w:lang/>
        </w:rPr>
        <w:t>السيد</w:t>
      </w:r>
      <w:r w:rsidRPr="00A444EC">
        <w:rPr>
          <w:rtl/>
          <w:lang/>
        </w:rPr>
        <w:t xml:space="preserve"> </w:t>
      </w:r>
      <w:r w:rsidRPr="00A444EC">
        <w:rPr>
          <w:rStyle w:val="hps"/>
          <w:rtl/>
          <w:lang/>
        </w:rPr>
        <w:t>بوردون</w:t>
      </w:r>
      <w:r w:rsidRPr="00A444EC">
        <w:rPr>
          <w:rtl/>
          <w:lang/>
        </w:rPr>
        <w:t>،</w:t>
      </w:r>
      <w:r w:rsidRPr="00A444EC">
        <w:rPr>
          <w:rStyle w:val="hps"/>
          <w:rFonts w:hint="cs"/>
          <w:rtl/>
          <w:lang/>
        </w:rPr>
        <w:t xml:space="preserve"> شطبت المحكمة في نهاية المطاف طلب السيد أنسي عبيشو من قائمة القضايا المعروضة عليها. وبالنظر إلى أن منظمة العمل المسيحي من أجل إلغاء التعذيب - </w:t>
      </w:r>
      <w:r w:rsidRPr="00A444EC">
        <w:rPr>
          <w:rFonts w:hint="cs"/>
          <w:rtl/>
          <w:lang/>
        </w:rPr>
        <w:t>فرنسا</w:t>
      </w:r>
      <w:r w:rsidRPr="00A444EC">
        <w:rPr>
          <w:rtl/>
          <w:lang/>
        </w:rPr>
        <w:t xml:space="preserve"> </w:t>
      </w:r>
      <w:r w:rsidRPr="00A444EC">
        <w:rPr>
          <w:rFonts w:hint="cs"/>
          <w:rtl/>
          <w:lang/>
        </w:rPr>
        <w:t>لم</w:t>
      </w:r>
      <w:r w:rsidRPr="00A444EC">
        <w:rPr>
          <w:rFonts w:hint="eastAsia"/>
          <w:rtl/>
          <w:lang/>
        </w:rPr>
        <w:t> </w:t>
      </w:r>
      <w:r w:rsidRPr="00A444EC">
        <w:rPr>
          <w:rFonts w:hint="cs"/>
          <w:rtl/>
          <w:lang/>
        </w:rPr>
        <w:t xml:space="preserve">تشارك </w:t>
      </w:r>
      <w:r w:rsidRPr="00A444EC">
        <w:rPr>
          <w:rStyle w:val="hps"/>
          <w:rtl/>
          <w:lang/>
        </w:rPr>
        <w:t>في</w:t>
      </w:r>
      <w:r w:rsidRPr="00A444EC">
        <w:rPr>
          <w:rtl/>
          <w:lang/>
        </w:rPr>
        <w:t xml:space="preserve"> </w:t>
      </w:r>
      <w:r w:rsidRPr="00A444EC">
        <w:rPr>
          <w:rStyle w:val="hps"/>
          <w:rtl/>
          <w:lang/>
        </w:rPr>
        <w:t>ال</w:t>
      </w:r>
      <w:r w:rsidRPr="00A444EC">
        <w:rPr>
          <w:rStyle w:val="hps"/>
          <w:rFonts w:hint="cs"/>
          <w:rtl/>
          <w:lang/>
        </w:rPr>
        <w:t xml:space="preserve">مراسلات </w:t>
      </w:r>
      <w:r w:rsidRPr="00A444EC">
        <w:rPr>
          <w:rStyle w:val="hps"/>
          <w:rtl/>
          <w:lang/>
        </w:rPr>
        <w:t>بين</w:t>
      </w:r>
      <w:r w:rsidRPr="00A444EC">
        <w:rPr>
          <w:rtl/>
          <w:lang/>
        </w:rPr>
        <w:t xml:space="preserve"> </w:t>
      </w:r>
      <w:r w:rsidRPr="00A444EC">
        <w:rPr>
          <w:rStyle w:val="hps"/>
          <w:rFonts w:hint="cs"/>
          <w:rtl/>
          <w:lang/>
        </w:rPr>
        <w:t>مكتب</w:t>
      </w:r>
      <w:r w:rsidRPr="00A444EC">
        <w:rPr>
          <w:rtl/>
          <w:lang/>
        </w:rPr>
        <w:t xml:space="preserve"> </w:t>
      </w:r>
      <w:r w:rsidRPr="00A444EC">
        <w:rPr>
          <w:rStyle w:val="hps"/>
          <w:rtl/>
          <w:lang/>
        </w:rPr>
        <w:t>السيد</w:t>
      </w:r>
      <w:r w:rsidRPr="00A444EC">
        <w:rPr>
          <w:rtl/>
          <w:lang/>
        </w:rPr>
        <w:t xml:space="preserve"> </w:t>
      </w:r>
      <w:r w:rsidRPr="00A444EC">
        <w:rPr>
          <w:rStyle w:val="hps"/>
          <w:rtl/>
          <w:lang/>
        </w:rPr>
        <w:t>بوردون</w:t>
      </w:r>
      <w:r w:rsidRPr="00A444EC">
        <w:rPr>
          <w:rtl/>
          <w:lang/>
        </w:rPr>
        <w:t xml:space="preserve"> </w:t>
      </w:r>
      <w:r w:rsidRPr="00A444EC">
        <w:rPr>
          <w:rStyle w:val="hps"/>
          <w:rtl/>
          <w:lang/>
        </w:rPr>
        <w:t>و</w:t>
      </w:r>
      <w:r w:rsidRPr="00A444EC">
        <w:rPr>
          <w:rtl/>
          <w:lang/>
        </w:rPr>
        <w:t>قلم</w:t>
      </w:r>
      <w:r w:rsidRPr="00A444EC">
        <w:rPr>
          <w:rFonts w:hint="cs"/>
          <w:rtl/>
          <w:lang/>
        </w:rPr>
        <w:t xml:space="preserve"> تسجيل</w:t>
      </w:r>
      <w:r w:rsidRPr="00A444EC">
        <w:rPr>
          <w:rtl/>
          <w:lang/>
        </w:rPr>
        <w:t xml:space="preserve"> </w:t>
      </w:r>
      <w:r w:rsidRPr="00A444EC">
        <w:rPr>
          <w:rStyle w:val="hps"/>
          <w:rtl/>
          <w:lang/>
        </w:rPr>
        <w:t>المحكمة</w:t>
      </w:r>
      <w:r w:rsidRPr="00A444EC">
        <w:rPr>
          <w:rtl/>
          <w:lang/>
        </w:rPr>
        <w:t xml:space="preserve"> </w:t>
      </w:r>
      <w:r w:rsidRPr="00A444EC">
        <w:rPr>
          <w:rStyle w:val="hps"/>
          <w:rtl/>
          <w:lang/>
        </w:rPr>
        <w:t>الأوروبية لحقوق</w:t>
      </w:r>
      <w:r w:rsidRPr="00A444EC">
        <w:rPr>
          <w:rtl/>
          <w:lang/>
        </w:rPr>
        <w:t xml:space="preserve"> </w:t>
      </w:r>
      <w:r w:rsidRPr="00A444EC">
        <w:rPr>
          <w:rStyle w:val="hps"/>
          <w:rtl/>
          <w:lang/>
        </w:rPr>
        <w:t>الإنسان</w:t>
      </w:r>
      <w:r w:rsidRPr="00A444EC">
        <w:rPr>
          <w:rtl/>
          <w:lang/>
        </w:rPr>
        <w:t xml:space="preserve">، </w:t>
      </w:r>
      <w:r w:rsidRPr="00A444EC">
        <w:rPr>
          <w:rStyle w:val="hps"/>
          <w:rFonts w:hint="cs"/>
          <w:rtl/>
          <w:lang/>
        </w:rPr>
        <w:t>فهي لا </w:t>
      </w:r>
      <w:r w:rsidRPr="00A444EC">
        <w:rPr>
          <w:rStyle w:val="hps"/>
          <w:rtl/>
          <w:lang/>
        </w:rPr>
        <w:t>يمكنها تحديد</w:t>
      </w:r>
      <w:r w:rsidRPr="00A444EC">
        <w:rPr>
          <w:rtl/>
          <w:lang/>
        </w:rPr>
        <w:t xml:space="preserve"> </w:t>
      </w:r>
      <w:r w:rsidRPr="00A444EC">
        <w:rPr>
          <w:rStyle w:val="hps"/>
          <w:rFonts w:hint="cs"/>
          <w:rtl/>
          <w:lang/>
        </w:rPr>
        <w:t>الجهة المسؤولة</w:t>
      </w:r>
      <w:r w:rsidRPr="00A444EC">
        <w:rPr>
          <w:rtl/>
          <w:lang/>
        </w:rPr>
        <w:t xml:space="preserve"> </w:t>
      </w:r>
      <w:r w:rsidRPr="00A444EC">
        <w:rPr>
          <w:rStyle w:val="hps"/>
          <w:rtl/>
          <w:lang/>
        </w:rPr>
        <w:t>عن سوء الفهم</w:t>
      </w:r>
      <w:r w:rsidRPr="00A444EC">
        <w:rPr>
          <w:rtl/>
          <w:lang/>
        </w:rPr>
        <w:t xml:space="preserve">، </w:t>
      </w:r>
      <w:r w:rsidRPr="00A444EC">
        <w:rPr>
          <w:rStyle w:val="hps"/>
          <w:rFonts w:hint="cs"/>
          <w:rtl/>
          <w:lang/>
        </w:rPr>
        <w:t>وتطلب إلى اللجنة أن تضمن عدم تحمل السيد</w:t>
      </w:r>
      <w:r w:rsidRPr="00A444EC">
        <w:rPr>
          <w:rtl/>
          <w:lang/>
        </w:rPr>
        <w:t xml:space="preserve"> </w:t>
      </w:r>
      <w:r w:rsidRPr="00A444EC">
        <w:rPr>
          <w:rStyle w:val="hps"/>
          <w:rtl/>
          <w:lang/>
        </w:rPr>
        <w:t>أنسي</w:t>
      </w:r>
      <w:r w:rsidRPr="00A444EC">
        <w:rPr>
          <w:rtl/>
          <w:lang/>
        </w:rPr>
        <w:t xml:space="preserve"> </w:t>
      </w:r>
      <w:r w:rsidRPr="00A444EC">
        <w:rPr>
          <w:rStyle w:val="hps"/>
          <w:rFonts w:hint="cs"/>
          <w:rtl/>
          <w:lang/>
        </w:rPr>
        <w:t>عبيشو</w:t>
      </w:r>
      <w:r w:rsidRPr="00A444EC">
        <w:rPr>
          <w:rtl/>
          <w:lang/>
        </w:rPr>
        <w:t xml:space="preserve"> </w:t>
      </w:r>
      <w:r w:rsidRPr="00A444EC">
        <w:rPr>
          <w:rStyle w:val="hps"/>
          <w:rFonts w:hint="cs"/>
          <w:rtl/>
          <w:lang/>
        </w:rPr>
        <w:t>تبعاته لعدم مسؤوليته عنه</w:t>
      </w:r>
      <w:r w:rsidRPr="00A444EC">
        <w:rPr>
          <w:rtl/>
          <w:lang/>
        </w:rPr>
        <w:t>.</w:t>
      </w:r>
    </w:p>
    <w:p w:rsidR="00282AAC" w:rsidRDefault="005E110C" w:rsidP="00610111">
      <w:pPr>
        <w:pStyle w:val="SingleTxtGA"/>
        <w:rPr>
          <w:rStyle w:val="hps"/>
          <w:rFonts w:hint="cs"/>
          <w:rtl/>
          <w:lang/>
        </w:rPr>
      </w:pPr>
      <w:r w:rsidRPr="00A444EC">
        <w:rPr>
          <w:rtl/>
        </w:rPr>
        <w:t>8-5</w:t>
      </w:r>
      <w:r w:rsidRPr="00A444EC">
        <w:rPr>
          <w:rtl/>
        </w:rPr>
        <w:tab/>
      </w:r>
      <w:r w:rsidRPr="00A444EC">
        <w:rPr>
          <w:rStyle w:val="hps"/>
          <w:rFonts w:hint="cs"/>
          <w:rtl/>
          <w:lang/>
        </w:rPr>
        <w:t>و</w:t>
      </w:r>
      <w:r w:rsidRPr="00A444EC">
        <w:rPr>
          <w:rStyle w:val="hps"/>
          <w:rtl/>
          <w:lang/>
        </w:rPr>
        <w:t>فيما يتعلق</w:t>
      </w:r>
      <w:r w:rsidRPr="00A444EC">
        <w:rPr>
          <w:rtl/>
          <w:lang/>
        </w:rPr>
        <w:t xml:space="preserve"> </w:t>
      </w:r>
      <w:r w:rsidRPr="00A444EC">
        <w:rPr>
          <w:rStyle w:val="hps"/>
          <w:rtl/>
          <w:lang/>
        </w:rPr>
        <w:t xml:space="preserve">بالأسس الموضوعية، </w:t>
      </w:r>
      <w:r w:rsidRPr="00A444EC">
        <w:rPr>
          <w:rStyle w:val="hps"/>
          <w:rFonts w:hint="cs"/>
          <w:rtl/>
          <w:lang/>
        </w:rPr>
        <w:t>تطعن صاحبة</w:t>
      </w:r>
      <w:r w:rsidRPr="00A444EC">
        <w:rPr>
          <w:rStyle w:val="hps"/>
          <w:rtl/>
          <w:lang/>
        </w:rPr>
        <w:t xml:space="preserve"> الشكوى</w:t>
      </w:r>
      <w:r w:rsidRPr="00A444EC">
        <w:rPr>
          <w:rtl/>
          <w:lang/>
        </w:rPr>
        <w:t xml:space="preserve"> </w:t>
      </w:r>
      <w:r w:rsidRPr="00A444EC">
        <w:rPr>
          <w:rStyle w:val="hps"/>
          <w:rFonts w:hint="cs"/>
          <w:rtl/>
          <w:lang/>
        </w:rPr>
        <w:t>في تأكيدات</w:t>
      </w:r>
      <w:r w:rsidRPr="00A444EC">
        <w:rPr>
          <w:rtl/>
          <w:lang/>
        </w:rPr>
        <w:t xml:space="preserve"> </w:t>
      </w:r>
      <w:r w:rsidRPr="00A444EC">
        <w:rPr>
          <w:rStyle w:val="hps"/>
          <w:rtl/>
          <w:lang/>
        </w:rPr>
        <w:t>الدولة</w:t>
      </w:r>
      <w:r w:rsidRPr="00A444EC">
        <w:rPr>
          <w:rtl/>
          <w:lang/>
        </w:rPr>
        <w:t xml:space="preserve"> </w:t>
      </w:r>
      <w:r w:rsidRPr="00A444EC">
        <w:rPr>
          <w:rStyle w:val="hps"/>
          <w:rtl/>
          <w:lang/>
        </w:rPr>
        <w:t xml:space="preserve">الطرف </w:t>
      </w:r>
      <w:r w:rsidRPr="00A444EC">
        <w:rPr>
          <w:rStyle w:val="hps"/>
          <w:rFonts w:hint="cs"/>
          <w:rtl/>
          <w:lang/>
        </w:rPr>
        <w:t xml:space="preserve">التي أفادت </w:t>
      </w:r>
      <w:r w:rsidRPr="00A444EC">
        <w:rPr>
          <w:rStyle w:val="hps"/>
          <w:rtl/>
          <w:lang/>
        </w:rPr>
        <w:t>بأن</w:t>
      </w:r>
      <w:r w:rsidRPr="00A444EC">
        <w:rPr>
          <w:rtl/>
          <w:lang/>
        </w:rPr>
        <w:t xml:space="preserve"> </w:t>
      </w:r>
      <w:r w:rsidRPr="00A444EC">
        <w:rPr>
          <w:rStyle w:val="hps"/>
          <w:rtl/>
          <w:lang/>
        </w:rPr>
        <w:t>التقارير التي</w:t>
      </w:r>
      <w:r w:rsidRPr="00A444EC">
        <w:rPr>
          <w:rtl/>
          <w:lang/>
        </w:rPr>
        <w:t xml:space="preserve"> </w:t>
      </w:r>
      <w:r w:rsidRPr="00A444EC">
        <w:rPr>
          <w:rStyle w:val="hps"/>
          <w:rFonts w:hint="cs"/>
          <w:rtl/>
          <w:lang/>
        </w:rPr>
        <w:t>رجعت إليها</w:t>
      </w:r>
      <w:r w:rsidRPr="00A444EC">
        <w:rPr>
          <w:rtl/>
          <w:lang/>
        </w:rPr>
        <w:t xml:space="preserve"> </w:t>
      </w:r>
      <w:r w:rsidRPr="00A444EC">
        <w:rPr>
          <w:rStyle w:val="hps"/>
          <w:rtl/>
          <w:lang/>
        </w:rPr>
        <w:t>لم</w:t>
      </w:r>
      <w:r w:rsidRPr="00A444EC">
        <w:rPr>
          <w:rStyle w:val="hps"/>
          <w:rFonts w:hint="cs"/>
          <w:rtl/>
          <w:lang/>
        </w:rPr>
        <w:t xml:space="preserve"> تتح لها إثبات</w:t>
      </w:r>
      <w:r w:rsidRPr="00A444EC">
        <w:rPr>
          <w:rStyle w:val="hps"/>
          <w:rtl/>
          <w:lang/>
        </w:rPr>
        <w:t xml:space="preserve"> </w:t>
      </w:r>
      <w:r w:rsidRPr="00A444EC">
        <w:rPr>
          <w:rStyle w:val="hps"/>
          <w:rFonts w:hint="cs"/>
          <w:rtl/>
          <w:lang/>
        </w:rPr>
        <w:t>أن السيد</w:t>
      </w:r>
      <w:r w:rsidRPr="00A444EC">
        <w:rPr>
          <w:rtl/>
          <w:lang/>
        </w:rPr>
        <w:t xml:space="preserve"> </w:t>
      </w:r>
      <w:r w:rsidRPr="00A444EC">
        <w:rPr>
          <w:rStyle w:val="hps"/>
          <w:rtl/>
          <w:lang/>
        </w:rPr>
        <w:t>أنسي</w:t>
      </w:r>
      <w:r w:rsidRPr="00A444EC">
        <w:rPr>
          <w:rStyle w:val="hps"/>
          <w:rFonts w:hint="cs"/>
          <w:rtl/>
          <w:lang/>
        </w:rPr>
        <w:t xml:space="preserve"> عبيشو سيكون عرضة لخطر تعذيب حقيقي</w:t>
      </w:r>
      <w:r w:rsidRPr="00A444EC">
        <w:rPr>
          <w:rFonts w:hint="cs"/>
          <w:rtl/>
          <w:lang/>
        </w:rPr>
        <w:t xml:space="preserve">، </w:t>
      </w:r>
      <w:r w:rsidRPr="00A444EC">
        <w:rPr>
          <w:rStyle w:val="hps"/>
          <w:rFonts w:hint="cs"/>
          <w:rtl/>
          <w:lang/>
        </w:rPr>
        <w:t>لكون ملاحقة هذا الأخير لا تتعلق بمكافحة</w:t>
      </w:r>
      <w:r w:rsidRPr="00A444EC">
        <w:rPr>
          <w:rStyle w:val="hps"/>
          <w:rtl/>
          <w:lang/>
        </w:rPr>
        <w:t xml:space="preserve"> الإرهاب</w:t>
      </w:r>
      <w:r w:rsidRPr="00A444EC">
        <w:rPr>
          <w:rtl/>
          <w:lang/>
        </w:rPr>
        <w:t xml:space="preserve">. </w:t>
      </w:r>
      <w:r w:rsidRPr="00A444EC">
        <w:rPr>
          <w:rStyle w:val="hps"/>
          <w:rFonts w:hint="cs"/>
          <w:rtl/>
          <w:lang/>
        </w:rPr>
        <w:t>وت</w:t>
      </w:r>
      <w:r w:rsidRPr="00A444EC">
        <w:rPr>
          <w:rStyle w:val="hps"/>
          <w:rtl/>
          <w:lang/>
        </w:rPr>
        <w:t>شير</w:t>
      </w:r>
      <w:r w:rsidRPr="00A444EC">
        <w:rPr>
          <w:rtl/>
          <w:lang/>
        </w:rPr>
        <w:t xml:space="preserve"> </w:t>
      </w:r>
      <w:r w:rsidRPr="00A444EC">
        <w:rPr>
          <w:rStyle w:val="hps"/>
          <w:rtl/>
          <w:lang/>
        </w:rPr>
        <w:t>صاحب</w:t>
      </w:r>
      <w:r w:rsidRPr="00A444EC">
        <w:rPr>
          <w:rStyle w:val="hps"/>
          <w:rFonts w:hint="cs"/>
          <w:rtl/>
          <w:lang/>
        </w:rPr>
        <w:t>ة</w:t>
      </w:r>
      <w:r w:rsidRPr="00A444EC">
        <w:rPr>
          <w:rStyle w:val="hps"/>
          <w:rtl/>
          <w:lang/>
        </w:rPr>
        <w:t xml:space="preserve"> الشكوى</w:t>
      </w:r>
      <w:r w:rsidRPr="00A444EC">
        <w:rPr>
          <w:rtl/>
          <w:lang/>
        </w:rPr>
        <w:t xml:space="preserve"> </w:t>
      </w:r>
      <w:r w:rsidRPr="00A444EC">
        <w:rPr>
          <w:rStyle w:val="hps"/>
          <w:rtl/>
          <w:lang/>
        </w:rPr>
        <w:t>في هذا الصدد</w:t>
      </w:r>
      <w:r w:rsidRPr="00A444EC">
        <w:rPr>
          <w:rtl/>
          <w:lang/>
        </w:rPr>
        <w:t xml:space="preserve"> إلى </w:t>
      </w:r>
      <w:r w:rsidRPr="00A444EC">
        <w:rPr>
          <w:rStyle w:val="hps"/>
          <w:rFonts w:hint="cs"/>
          <w:rtl/>
          <w:lang/>
        </w:rPr>
        <w:t xml:space="preserve">العديد من التقارير الصادرة </w:t>
      </w:r>
      <w:r w:rsidRPr="00A444EC">
        <w:rPr>
          <w:rFonts w:hint="cs"/>
          <w:rtl/>
          <w:lang/>
        </w:rPr>
        <w:t xml:space="preserve">أساساً </w:t>
      </w:r>
      <w:r w:rsidRPr="00A444EC">
        <w:rPr>
          <w:rStyle w:val="hps"/>
          <w:rFonts w:hint="cs"/>
          <w:rtl/>
          <w:lang/>
        </w:rPr>
        <w:t xml:space="preserve">من </w:t>
      </w:r>
      <w:r w:rsidRPr="00A444EC">
        <w:rPr>
          <w:rStyle w:val="hps"/>
          <w:rtl/>
          <w:lang/>
        </w:rPr>
        <w:t xml:space="preserve">مصادر غير </w:t>
      </w:r>
      <w:r w:rsidR="00282AAC">
        <w:rPr>
          <w:rStyle w:val="hps"/>
          <w:rFonts w:hint="cs"/>
          <w:rtl/>
          <w:lang/>
        </w:rPr>
        <w:br/>
      </w:r>
    </w:p>
    <w:p w:rsidR="005E110C" w:rsidRPr="00A444EC" w:rsidRDefault="005E110C" w:rsidP="00610111">
      <w:pPr>
        <w:pStyle w:val="SingleTxtGA"/>
        <w:rPr>
          <w:rtl/>
          <w:lang/>
        </w:rPr>
      </w:pPr>
      <w:r w:rsidRPr="00A444EC">
        <w:rPr>
          <w:rStyle w:val="hps"/>
          <w:rtl/>
          <w:lang/>
        </w:rPr>
        <w:t>حكومية</w:t>
      </w:r>
      <w:r w:rsidRPr="00A444EC">
        <w:rPr>
          <w:vertAlign w:val="superscript"/>
          <w:rtl/>
          <w:lang w:val="fr-CH"/>
        </w:rPr>
        <w:t>(</w:t>
      </w:r>
      <w:r w:rsidRPr="00A444EC">
        <w:rPr>
          <w:rStyle w:val="FootnoteReference"/>
          <w:rtl/>
          <w:lang w:val="fr-CH"/>
        </w:rPr>
        <w:footnoteReference w:id="143"/>
      </w:r>
      <w:r w:rsidRPr="00A444EC">
        <w:rPr>
          <w:vertAlign w:val="superscript"/>
          <w:rtl/>
          <w:lang w:val="fr-CH"/>
        </w:rPr>
        <w:t>)</w:t>
      </w:r>
      <w:r w:rsidRPr="00A444EC">
        <w:rPr>
          <w:rFonts w:hint="cs"/>
          <w:rtl/>
          <w:lang/>
        </w:rPr>
        <w:t xml:space="preserve">، </w:t>
      </w:r>
      <w:r w:rsidRPr="00A444EC">
        <w:rPr>
          <w:rStyle w:val="hps"/>
          <w:rFonts w:hint="cs"/>
          <w:rtl/>
          <w:lang/>
        </w:rPr>
        <w:t>التي أرسلت</w:t>
      </w:r>
      <w:r w:rsidRPr="00A444EC">
        <w:rPr>
          <w:rtl/>
          <w:lang/>
        </w:rPr>
        <w:t xml:space="preserve"> إلى </w:t>
      </w:r>
      <w:r w:rsidRPr="00A444EC">
        <w:rPr>
          <w:rStyle w:val="hps"/>
          <w:rtl/>
          <w:lang/>
        </w:rPr>
        <w:t>المحكمة الأوروبية</w:t>
      </w:r>
      <w:r w:rsidRPr="00A444EC">
        <w:rPr>
          <w:rtl/>
          <w:lang/>
        </w:rPr>
        <w:t xml:space="preserve"> </w:t>
      </w:r>
      <w:r w:rsidRPr="00A444EC">
        <w:rPr>
          <w:rStyle w:val="hps"/>
          <w:rtl/>
          <w:lang/>
        </w:rPr>
        <w:t>لحقوق الإنسان في</w:t>
      </w:r>
      <w:r w:rsidRPr="00A444EC">
        <w:rPr>
          <w:rtl/>
          <w:lang/>
        </w:rPr>
        <w:t xml:space="preserve"> </w:t>
      </w:r>
      <w:r w:rsidRPr="00A444EC">
        <w:rPr>
          <w:rStyle w:val="hps"/>
          <w:rtl/>
          <w:lang/>
        </w:rPr>
        <w:t xml:space="preserve">19 </w:t>
      </w:r>
      <w:r w:rsidRPr="00A444EC">
        <w:rPr>
          <w:rStyle w:val="hps"/>
          <w:rFonts w:hint="cs"/>
          <w:rtl/>
          <w:lang/>
        </w:rPr>
        <w:t>آب/</w:t>
      </w:r>
      <w:r w:rsidRPr="00A444EC">
        <w:rPr>
          <w:rStyle w:val="hps"/>
          <w:rtl/>
          <w:lang/>
        </w:rPr>
        <w:t>أغسطس 2010</w:t>
      </w:r>
      <w:r w:rsidRPr="00A444EC">
        <w:rPr>
          <w:rtl/>
          <w:lang/>
        </w:rPr>
        <w:t xml:space="preserve"> </w:t>
      </w:r>
      <w:r w:rsidRPr="00A444EC">
        <w:rPr>
          <w:rStyle w:val="hps"/>
          <w:rtl/>
          <w:lang/>
        </w:rPr>
        <w:t>مع</w:t>
      </w:r>
      <w:r w:rsidRPr="00A444EC">
        <w:rPr>
          <w:rtl/>
          <w:lang/>
        </w:rPr>
        <w:t xml:space="preserve"> </w:t>
      </w:r>
      <w:r w:rsidRPr="00A444EC">
        <w:rPr>
          <w:rStyle w:val="hps"/>
          <w:rtl/>
          <w:lang/>
        </w:rPr>
        <w:t>طلب اتخاذ تدابير مؤقتة</w:t>
      </w:r>
      <w:r w:rsidRPr="00A444EC">
        <w:rPr>
          <w:rtl/>
          <w:lang/>
        </w:rPr>
        <w:t xml:space="preserve"> </w:t>
      </w:r>
      <w:r w:rsidRPr="00A444EC">
        <w:rPr>
          <w:rStyle w:val="hps"/>
          <w:rtl/>
          <w:lang/>
        </w:rPr>
        <w:t>فيما يتعلق</w:t>
      </w:r>
      <w:r w:rsidRPr="00A444EC">
        <w:rPr>
          <w:rStyle w:val="hps"/>
          <w:rFonts w:hint="cs"/>
          <w:rtl/>
          <w:lang/>
        </w:rPr>
        <w:t xml:space="preserve"> بالسيد</w:t>
      </w:r>
      <w:r w:rsidRPr="00A444EC">
        <w:rPr>
          <w:rtl/>
          <w:lang/>
        </w:rPr>
        <w:t xml:space="preserve"> </w:t>
      </w:r>
      <w:r w:rsidRPr="00A444EC">
        <w:rPr>
          <w:rStyle w:val="hps"/>
          <w:rtl/>
          <w:lang/>
        </w:rPr>
        <w:t>أنسي</w:t>
      </w:r>
      <w:r w:rsidRPr="00A444EC">
        <w:rPr>
          <w:rtl/>
          <w:lang/>
        </w:rPr>
        <w:t xml:space="preserve"> </w:t>
      </w:r>
      <w:r w:rsidRPr="00A444EC">
        <w:rPr>
          <w:rStyle w:val="hps"/>
          <w:rFonts w:hint="cs"/>
          <w:rtl/>
          <w:lang/>
        </w:rPr>
        <w:t>عبيشو</w:t>
      </w:r>
      <w:r w:rsidRPr="00A444EC">
        <w:rPr>
          <w:rtl/>
          <w:lang/>
        </w:rPr>
        <w:t xml:space="preserve">، </w:t>
      </w:r>
      <w:r w:rsidRPr="00A444EC">
        <w:rPr>
          <w:rStyle w:val="hps"/>
          <w:rFonts w:hint="cs"/>
          <w:rtl/>
          <w:lang/>
        </w:rPr>
        <w:t xml:space="preserve">والتي أشارت إلى ممارسة </w:t>
      </w:r>
      <w:r w:rsidRPr="00A444EC">
        <w:rPr>
          <w:rStyle w:val="hps"/>
          <w:rtl/>
          <w:lang/>
        </w:rPr>
        <w:t>التعذيب</w:t>
      </w:r>
      <w:r w:rsidRPr="00A444EC">
        <w:rPr>
          <w:rStyle w:val="hps"/>
          <w:rFonts w:hint="cs"/>
          <w:rtl/>
          <w:lang/>
        </w:rPr>
        <w:t xml:space="preserve"> </w:t>
      </w:r>
      <w:r w:rsidRPr="00A444EC">
        <w:rPr>
          <w:rStyle w:val="hps"/>
          <w:rtl/>
          <w:lang/>
        </w:rPr>
        <w:t>ضد</w:t>
      </w:r>
      <w:r w:rsidRPr="00A444EC">
        <w:rPr>
          <w:rtl/>
          <w:lang/>
        </w:rPr>
        <w:t xml:space="preserve"> </w:t>
      </w:r>
      <w:r w:rsidRPr="00A444EC">
        <w:rPr>
          <w:rStyle w:val="hps"/>
          <w:rtl/>
          <w:lang/>
        </w:rPr>
        <w:t>السجناء</w:t>
      </w:r>
      <w:r w:rsidRPr="00A444EC">
        <w:rPr>
          <w:rtl/>
          <w:lang/>
        </w:rPr>
        <w:t xml:space="preserve"> </w:t>
      </w:r>
      <w:r w:rsidRPr="00A444EC">
        <w:rPr>
          <w:rStyle w:val="hps"/>
          <w:rFonts w:hint="cs"/>
          <w:rtl/>
          <w:lang/>
        </w:rPr>
        <w:t>الملاحقين قضائياً في</w:t>
      </w:r>
      <w:r w:rsidRPr="00A444EC">
        <w:rPr>
          <w:rStyle w:val="hps"/>
          <w:rtl/>
          <w:lang/>
        </w:rPr>
        <w:t xml:space="preserve"> جرائم</w:t>
      </w:r>
      <w:r w:rsidRPr="00A444EC">
        <w:rPr>
          <w:rtl/>
          <w:lang/>
        </w:rPr>
        <w:t xml:space="preserve"> </w:t>
      </w:r>
      <w:r w:rsidRPr="00A444EC">
        <w:rPr>
          <w:rStyle w:val="hps"/>
          <w:rtl/>
          <w:lang/>
        </w:rPr>
        <w:t>عادية</w:t>
      </w:r>
      <w:r w:rsidRPr="00A444EC">
        <w:rPr>
          <w:rtl/>
          <w:lang/>
        </w:rPr>
        <w:t xml:space="preserve">. </w:t>
      </w:r>
      <w:r w:rsidRPr="00A444EC">
        <w:rPr>
          <w:rStyle w:val="hps"/>
          <w:rFonts w:hint="cs"/>
          <w:rtl/>
          <w:lang/>
        </w:rPr>
        <w:t>وتتناول</w:t>
      </w:r>
      <w:r w:rsidRPr="00A444EC">
        <w:rPr>
          <w:rtl/>
          <w:lang/>
        </w:rPr>
        <w:t xml:space="preserve"> </w:t>
      </w:r>
      <w:r w:rsidRPr="00A444EC">
        <w:rPr>
          <w:rStyle w:val="hps"/>
          <w:rtl/>
          <w:lang/>
        </w:rPr>
        <w:t>صاحب</w:t>
      </w:r>
      <w:r w:rsidRPr="00A444EC">
        <w:rPr>
          <w:rStyle w:val="hps"/>
          <w:rFonts w:hint="cs"/>
          <w:rtl/>
          <w:lang/>
        </w:rPr>
        <w:t>ة</w:t>
      </w:r>
      <w:r w:rsidRPr="00A444EC">
        <w:rPr>
          <w:rStyle w:val="hps"/>
          <w:rtl/>
          <w:lang/>
        </w:rPr>
        <w:t xml:space="preserve"> الشكوى</w:t>
      </w:r>
      <w:r w:rsidRPr="00A444EC">
        <w:rPr>
          <w:rtl/>
          <w:lang/>
        </w:rPr>
        <w:t xml:space="preserve"> </w:t>
      </w:r>
      <w:r w:rsidRPr="00A444EC">
        <w:rPr>
          <w:rStyle w:val="hps"/>
          <w:rtl/>
          <w:lang/>
        </w:rPr>
        <w:t>مرة أخرى الحكم الصادر عن</w:t>
      </w:r>
      <w:r w:rsidRPr="00A444EC">
        <w:rPr>
          <w:rtl/>
          <w:lang/>
        </w:rPr>
        <w:t xml:space="preserve"> </w:t>
      </w:r>
      <w:r w:rsidRPr="00A444EC">
        <w:rPr>
          <w:rStyle w:val="hps"/>
          <w:rtl/>
          <w:lang/>
        </w:rPr>
        <w:t>المحكمة الأوروبية لحقوق</w:t>
      </w:r>
      <w:r w:rsidRPr="00A444EC">
        <w:rPr>
          <w:rtl/>
          <w:lang/>
        </w:rPr>
        <w:t xml:space="preserve"> </w:t>
      </w:r>
      <w:r w:rsidRPr="00A444EC">
        <w:rPr>
          <w:rStyle w:val="hps"/>
          <w:rtl/>
          <w:lang/>
        </w:rPr>
        <w:t>الإنسان</w:t>
      </w:r>
      <w:r w:rsidRPr="00A444EC">
        <w:rPr>
          <w:rtl/>
          <w:lang/>
        </w:rPr>
        <w:t xml:space="preserve"> </w:t>
      </w:r>
      <w:r w:rsidRPr="00A444EC">
        <w:rPr>
          <w:rStyle w:val="hps"/>
          <w:rtl/>
          <w:lang/>
        </w:rPr>
        <w:t>في قضية</w:t>
      </w:r>
      <w:r w:rsidRPr="00A444EC">
        <w:rPr>
          <w:rtl/>
          <w:lang/>
        </w:rPr>
        <w:t xml:space="preserve"> </w:t>
      </w:r>
      <w:r w:rsidRPr="00A444EC">
        <w:rPr>
          <w:rStyle w:val="hps"/>
          <w:i/>
          <w:iCs/>
          <w:rtl/>
          <w:lang/>
        </w:rPr>
        <w:t>بن خميس</w:t>
      </w:r>
      <w:r w:rsidRPr="00A444EC">
        <w:rPr>
          <w:i/>
          <w:iCs/>
          <w:rtl/>
          <w:lang/>
        </w:rPr>
        <w:t xml:space="preserve"> </w:t>
      </w:r>
      <w:r w:rsidRPr="00A444EC">
        <w:rPr>
          <w:rStyle w:val="hps"/>
          <w:i/>
          <w:iCs/>
          <w:rtl/>
          <w:lang/>
        </w:rPr>
        <w:t>ضد إيطاليا</w:t>
      </w:r>
      <w:r w:rsidRPr="00A444EC">
        <w:rPr>
          <w:rtl/>
          <w:lang/>
        </w:rPr>
        <w:t>، و</w:t>
      </w:r>
      <w:r w:rsidRPr="00A444EC">
        <w:rPr>
          <w:rFonts w:hint="cs"/>
          <w:rtl/>
          <w:lang/>
        </w:rPr>
        <w:t xml:space="preserve">الذي </w:t>
      </w:r>
      <w:r w:rsidRPr="00A444EC">
        <w:rPr>
          <w:rStyle w:val="hps"/>
          <w:rtl/>
          <w:lang/>
        </w:rPr>
        <w:t>استشهد</w:t>
      </w:r>
      <w:r w:rsidRPr="00A444EC">
        <w:rPr>
          <w:rStyle w:val="hps"/>
          <w:rFonts w:hint="cs"/>
          <w:rtl/>
          <w:lang/>
        </w:rPr>
        <w:t>ت</w:t>
      </w:r>
      <w:r w:rsidRPr="00A444EC">
        <w:rPr>
          <w:rtl/>
          <w:lang/>
        </w:rPr>
        <w:t xml:space="preserve"> </w:t>
      </w:r>
      <w:r w:rsidRPr="00A444EC">
        <w:rPr>
          <w:rStyle w:val="hps"/>
          <w:rtl/>
          <w:lang/>
        </w:rPr>
        <w:t>به الدولة الطرف</w:t>
      </w:r>
      <w:r w:rsidRPr="00A444EC">
        <w:rPr>
          <w:rtl/>
          <w:lang/>
        </w:rPr>
        <w:t xml:space="preserve"> </w:t>
      </w:r>
      <w:r w:rsidRPr="00A444EC">
        <w:rPr>
          <w:rStyle w:val="hps"/>
          <w:rtl/>
          <w:lang/>
        </w:rPr>
        <w:t>في محاولة</w:t>
      </w:r>
      <w:r w:rsidRPr="00A444EC">
        <w:rPr>
          <w:rtl/>
          <w:lang/>
        </w:rPr>
        <w:t xml:space="preserve"> </w:t>
      </w:r>
      <w:r w:rsidRPr="00A444EC">
        <w:rPr>
          <w:rStyle w:val="hps"/>
          <w:rtl/>
          <w:lang/>
        </w:rPr>
        <w:t>لإظهار أن</w:t>
      </w:r>
      <w:r w:rsidRPr="00A444EC">
        <w:rPr>
          <w:rtl/>
          <w:lang/>
        </w:rPr>
        <w:t xml:space="preserve"> </w:t>
      </w:r>
      <w:r w:rsidRPr="00A444EC">
        <w:rPr>
          <w:rStyle w:val="hps"/>
          <w:rtl/>
          <w:lang/>
        </w:rPr>
        <w:t>خطر التعرض للتعذيب</w:t>
      </w:r>
      <w:r w:rsidRPr="00A444EC">
        <w:rPr>
          <w:rtl/>
          <w:lang/>
        </w:rPr>
        <w:t xml:space="preserve"> </w:t>
      </w:r>
      <w:r w:rsidRPr="00A444EC">
        <w:rPr>
          <w:rStyle w:val="hps"/>
          <w:rtl/>
          <w:lang/>
        </w:rPr>
        <w:t>ينطبق فقط على</w:t>
      </w:r>
      <w:r w:rsidRPr="00A444EC">
        <w:rPr>
          <w:rtl/>
          <w:lang/>
        </w:rPr>
        <w:t xml:space="preserve"> </w:t>
      </w:r>
      <w:r w:rsidRPr="00A444EC">
        <w:rPr>
          <w:rStyle w:val="hps"/>
          <w:rtl/>
          <w:lang/>
        </w:rPr>
        <w:t>الأشخاص</w:t>
      </w:r>
      <w:r w:rsidRPr="00A444EC">
        <w:rPr>
          <w:rtl/>
          <w:lang/>
        </w:rPr>
        <w:t xml:space="preserve"> </w:t>
      </w:r>
      <w:r w:rsidRPr="00A444EC">
        <w:rPr>
          <w:rStyle w:val="hps"/>
          <w:rtl/>
          <w:lang/>
        </w:rPr>
        <w:t xml:space="preserve">المشتبه في </w:t>
      </w:r>
      <w:r w:rsidRPr="00A444EC">
        <w:rPr>
          <w:rStyle w:val="hps"/>
          <w:rFonts w:hint="cs"/>
          <w:rtl/>
          <w:lang/>
        </w:rPr>
        <w:t>مشاركتهم في</w:t>
      </w:r>
      <w:r w:rsidRPr="00A444EC">
        <w:rPr>
          <w:rStyle w:val="hps"/>
          <w:rtl/>
          <w:lang/>
        </w:rPr>
        <w:t xml:space="preserve"> أنشطة</w:t>
      </w:r>
      <w:r w:rsidRPr="00A444EC">
        <w:rPr>
          <w:rtl/>
          <w:lang/>
        </w:rPr>
        <w:t xml:space="preserve"> </w:t>
      </w:r>
      <w:r w:rsidRPr="00A444EC">
        <w:rPr>
          <w:rStyle w:val="hps"/>
          <w:rtl/>
          <w:lang/>
        </w:rPr>
        <w:t>إرهابية.</w:t>
      </w:r>
      <w:r w:rsidRPr="00A444EC">
        <w:rPr>
          <w:rtl/>
          <w:lang/>
        </w:rPr>
        <w:t xml:space="preserve"> </w:t>
      </w:r>
      <w:r w:rsidRPr="00A444EC">
        <w:rPr>
          <w:rStyle w:val="hps"/>
          <w:rFonts w:hint="cs"/>
          <w:rtl/>
          <w:lang/>
        </w:rPr>
        <w:t>وكون</w:t>
      </w:r>
      <w:r w:rsidRPr="00A444EC">
        <w:rPr>
          <w:rtl/>
          <w:lang/>
        </w:rPr>
        <w:t xml:space="preserve"> </w:t>
      </w:r>
      <w:r w:rsidRPr="00A444EC">
        <w:rPr>
          <w:rStyle w:val="hps"/>
          <w:rtl/>
          <w:lang/>
        </w:rPr>
        <w:t>هذا الحكم</w:t>
      </w:r>
      <w:r w:rsidRPr="00A444EC">
        <w:rPr>
          <w:rtl/>
          <w:lang/>
        </w:rPr>
        <w:t xml:space="preserve"> </w:t>
      </w:r>
      <w:r w:rsidRPr="00A444EC">
        <w:rPr>
          <w:rStyle w:val="hps"/>
          <w:rtl/>
          <w:lang/>
        </w:rPr>
        <w:t>يتعلق</w:t>
      </w:r>
      <w:r w:rsidRPr="00A444EC">
        <w:rPr>
          <w:rStyle w:val="hps"/>
          <w:rFonts w:hint="cs"/>
          <w:rtl/>
          <w:lang/>
        </w:rPr>
        <w:t xml:space="preserve"> بشخص اشتبهت السلطات التونسية في تورطه في أنشطة إرهابية وخضع للتعذيب لا </w:t>
      </w:r>
      <w:r w:rsidRPr="00A444EC">
        <w:rPr>
          <w:rStyle w:val="hps"/>
          <w:rtl/>
          <w:lang/>
        </w:rPr>
        <w:t>يعني</w:t>
      </w:r>
      <w:r w:rsidRPr="00A444EC">
        <w:rPr>
          <w:rtl/>
          <w:lang/>
        </w:rPr>
        <w:t xml:space="preserve">، </w:t>
      </w:r>
      <w:r w:rsidRPr="00A444EC">
        <w:rPr>
          <w:rFonts w:hint="cs"/>
          <w:rtl/>
          <w:lang/>
        </w:rPr>
        <w:t>بمفهوم المخالفة</w:t>
      </w:r>
      <w:r w:rsidRPr="00A444EC">
        <w:rPr>
          <w:rtl/>
          <w:lang/>
        </w:rPr>
        <w:t xml:space="preserve">، </w:t>
      </w:r>
      <w:r w:rsidRPr="00A444EC">
        <w:rPr>
          <w:rStyle w:val="hps"/>
          <w:rtl/>
          <w:lang/>
        </w:rPr>
        <w:t>أن الأشخاص</w:t>
      </w:r>
      <w:r w:rsidRPr="00A444EC">
        <w:rPr>
          <w:rStyle w:val="hps"/>
          <w:rFonts w:hint="cs"/>
          <w:rtl/>
          <w:lang/>
        </w:rPr>
        <w:t xml:space="preserve"> الملاحقين قضائياً</w:t>
      </w:r>
      <w:r w:rsidRPr="00A444EC">
        <w:rPr>
          <w:rtl/>
          <w:lang/>
        </w:rPr>
        <w:t xml:space="preserve"> </w:t>
      </w:r>
      <w:r w:rsidRPr="00A444EC">
        <w:rPr>
          <w:rStyle w:val="hps"/>
          <w:rtl/>
          <w:lang/>
        </w:rPr>
        <w:t>في</w:t>
      </w:r>
      <w:r w:rsidRPr="00A444EC">
        <w:rPr>
          <w:rtl/>
          <w:lang/>
        </w:rPr>
        <w:t xml:space="preserve"> </w:t>
      </w:r>
      <w:r w:rsidRPr="00A444EC">
        <w:rPr>
          <w:rStyle w:val="hps"/>
          <w:rtl/>
          <w:lang/>
        </w:rPr>
        <w:t>تونس</w:t>
      </w:r>
      <w:r w:rsidRPr="00A444EC">
        <w:rPr>
          <w:rtl/>
          <w:lang/>
        </w:rPr>
        <w:t xml:space="preserve"> </w:t>
      </w:r>
      <w:r w:rsidRPr="00A444EC">
        <w:rPr>
          <w:rStyle w:val="hps"/>
          <w:rFonts w:hint="cs"/>
          <w:rtl/>
          <w:lang/>
        </w:rPr>
        <w:t xml:space="preserve">لارتكابهم أنواعاً </w:t>
      </w:r>
      <w:r w:rsidRPr="00A444EC">
        <w:rPr>
          <w:rStyle w:val="hps"/>
          <w:rtl/>
          <w:lang/>
        </w:rPr>
        <w:t>أخرى من الجرائم</w:t>
      </w:r>
      <w:r w:rsidRPr="00A444EC">
        <w:rPr>
          <w:rtl/>
          <w:lang/>
        </w:rPr>
        <w:t xml:space="preserve"> </w:t>
      </w:r>
      <w:r w:rsidRPr="00A444EC">
        <w:rPr>
          <w:rStyle w:val="hps"/>
          <w:rFonts w:hint="cs"/>
          <w:rtl/>
          <w:lang/>
        </w:rPr>
        <w:t>غير معرضين</w:t>
      </w:r>
      <w:r w:rsidRPr="00A444EC">
        <w:rPr>
          <w:rStyle w:val="hps"/>
          <w:rtl/>
          <w:lang/>
        </w:rPr>
        <w:t xml:space="preserve"> للتعذيب</w:t>
      </w:r>
      <w:r w:rsidRPr="00A444EC">
        <w:rPr>
          <w:rtl/>
          <w:lang/>
        </w:rPr>
        <w:t xml:space="preserve">. </w:t>
      </w:r>
      <w:r w:rsidRPr="00A444EC">
        <w:rPr>
          <w:rStyle w:val="hps"/>
          <w:rtl/>
          <w:lang/>
        </w:rPr>
        <w:t>وقد وثقت</w:t>
      </w:r>
      <w:r w:rsidRPr="00A444EC">
        <w:rPr>
          <w:rtl/>
          <w:lang/>
        </w:rPr>
        <w:t xml:space="preserve"> </w:t>
      </w:r>
      <w:r w:rsidRPr="00A444EC">
        <w:rPr>
          <w:rStyle w:val="hps"/>
          <w:rtl/>
          <w:lang/>
        </w:rPr>
        <w:t>العديد من</w:t>
      </w:r>
      <w:r w:rsidRPr="00A444EC">
        <w:rPr>
          <w:rtl/>
          <w:lang/>
        </w:rPr>
        <w:t xml:space="preserve"> </w:t>
      </w:r>
      <w:r w:rsidRPr="00A444EC">
        <w:rPr>
          <w:rFonts w:hint="cs"/>
          <w:rtl/>
          <w:lang/>
        </w:rPr>
        <w:t>ال</w:t>
      </w:r>
      <w:r w:rsidRPr="00A444EC">
        <w:rPr>
          <w:rStyle w:val="hps"/>
          <w:rtl/>
          <w:lang/>
        </w:rPr>
        <w:t xml:space="preserve">مصادر </w:t>
      </w:r>
      <w:r w:rsidRPr="00A444EC">
        <w:rPr>
          <w:rStyle w:val="hps"/>
          <w:rFonts w:hint="cs"/>
          <w:rtl/>
          <w:lang/>
        </w:rPr>
        <w:t>ذات المصداقية</w:t>
      </w:r>
      <w:r w:rsidRPr="00A444EC">
        <w:rPr>
          <w:rtl/>
          <w:lang/>
        </w:rPr>
        <w:t xml:space="preserve"> </w:t>
      </w:r>
      <w:r w:rsidRPr="00A444EC">
        <w:rPr>
          <w:rStyle w:val="hps"/>
          <w:rFonts w:hint="cs"/>
          <w:rtl/>
          <w:lang/>
        </w:rPr>
        <w:t xml:space="preserve">اللجوء إلى </w:t>
      </w:r>
      <w:r w:rsidRPr="00A444EC">
        <w:rPr>
          <w:rStyle w:val="hps"/>
          <w:rtl/>
          <w:lang/>
        </w:rPr>
        <w:t>التعذيب</w:t>
      </w:r>
      <w:r w:rsidRPr="00A444EC">
        <w:rPr>
          <w:rtl/>
          <w:lang/>
        </w:rPr>
        <w:t xml:space="preserve"> </w:t>
      </w:r>
      <w:r w:rsidRPr="00A444EC">
        <w:rPr>
          <w:rStyle w:val="hps"/>
          <w:rtl/>
          <w:lang/>
        </w:rPr>
        <w:t>ضد</w:t>
      </w:r>
      <w:r w:rsidRPr="00A444EC">
        <w:rPr>
          <w:rtl/>
          <w:lang/>
        </w:rPr>
        <w:t xml:space="preserve"> </w:t>
      </w:r>
      <w:r w:rsidRPr="00A444EC">
        <w:rPr>
          <w:rStyle w:val="hps"/>
          <w:rtl/>
          <w:lang/>
        </w:rPr>
        <w:t>المعارضين السياسيين</w:t>
      </w:r>
      <w:r w:rsidRPr="00A444EC">
        <w:rPr>
          <w:rtl/>
          <w:lang/>
        </w:rPr>
        <w:t xml:space="preserve"> </w:t>
      </w:r>
      <w:r w:rsidRPr="00A444EC">
        <w:rPr>
          <w:rStyle w:val="hps"/>
          <w:rtl/>
          <w:lang/>
        </w:rPr>
        <w:t>والنقابيين</w:t>
      </w:r>
      <w:r w:rsidRPr="00A444EC">
        <w:rPr>
          <w:rtl/>
          <w:lang/>
        </w:rPr>
        <w:t xml:space="preserve"> </w:t>
      </w:r>
      <w:r w:rsidRPr="00A444EC">
        <w:rPr>
          <w:rStyle w:val="hps"/>
          <w:rtl/>
          <w:lang/>
        </w:rPr>
        <w:t>والصحفيين وغيرهم</w:t>
      </w:r>
      <w:r w:rsidRPr="00A444EC">
        <w:rPr>
          <w:rtl/>
          <w:lang/>
        </w:rPr>
        <w:t xml:space="preserve"> </w:t>
      </w:r>
      <w:r w:rsidRPr="00A444EC">
        <w:rPr>
          <w:rFonts w:hint="cs"/>
          <w:rtl/>
          <w:lang/>
        </w:rPr>
        <w:t xml:space="preserve">من الأشخاص الذين </w:t>
      </w:r>
      <w:r w:rsidRPr="00A444EC">
        <w:rPr>
          <w:rStyle w:val="hps"/>
          <w:rFonts w:hint="cs"/>
          <w:rtl/>
          <w:lang/>
        </w:rPr>
        <w:t xml:space="preserve">أُلقي القبض عليهم </w:t>
      </w:r>
      <w:r w:rsidRPr="00A444EC">
        <w:rPr>
          <w:rStyle w:val="hps"/>
          <w:rtl/>
          <w:lang/>
        </w:rPr>
        <w:t>في</w:t>
      </w:r>
      <w:r w:rsidRPr="00A444EC">
        <w:rPr>
          <w:rStyle w:val="hps"/>
          <w:rFonts w:hint="cs"/>
          <w:rtl/>
          <w:lang/>
        </w:rPr>
        <w:t xml:space="preserve"> سياق آخر غير سياق</w:t>
      </w:r>
      <w:r w:rsidRPr="00A444EC">
        <w:rPr>
          <w:rtl/>
          <w:lang/>
        </w:rPr>
        <w:t xml:space="preserve"> </w:t>
      </w:r>
      <w:r w:rsidRPr="00A444EC">
        <w:rPr>
          <w:rStyle w:val="hps"/>
          <w:rtl/>
          <w:lang/>
        </w:rPr>
        <w:t>مكافحة الإرهاب</w:t>
      </w:r>
      <w:r w:rsidRPr="00A444EC">
        <w:rPr>
          <w:vertAlign w:val="superscript"/>
          <w:rtl/>
          <w:lang w:val="fr-CH"/>
        </w:rPr>
        <w:t>(</w:t>
      </w:r>
      <w:r w:rsidRPr="00A444EC">
        <w:rPr>
          <w:rStyle w:val="FootnoteReference"/>
          <w:rtl/>
          <w:lang w:val="fr-CH"/>
        </w:rPr>
        <w:footnoteReference w:id="144"/>
      </w:r>
      <w:r w:rsidRPr="00A444EC">
        <w:rPr>
          <w:vertAlign w:val="superscript"/>
          <w:rtl/>
          <w:lang w:val="fr-CH"/>
        </w:rPr>
        <w:t>)</w:t>
      </w:r>
      <w:r w:rsidRPr="00A444EC">
        <w:rPr>
          <w:rtl/>
          <w:lang/>
        </w:rPr>
        <w:t>.</w:t>
      </w:r>
    </w:p>
    <w:p w:rsidR="005E110C" w:rsidRPr="007C1E0E" w:rsidRDefault="005E110C" w:rsidP="007C1E0E">
      <w:pPr>
        <w:pStyle w:val="SingleTxtGA"/>
        <w:rPr>
          <w:spacing w:val="-2"/>
          <w:rtl/>
          <w:lang/>
        </w:rPr>
      </w:pPr>
      <w:r w:rsidRPr="007C1E0E">
        <w:rPr>
          <w:spacing w:val="-2"/>
          <w:rtl/>
        </w:rPr>
        <w:t>8-6</w:t>
      </w:r>
      <w:r w:rsidRPr="007C1E0E">
        <w:rPr>
          <w:spacing w:val="-2"/>
          <w:rtl/>
        </w:rPr>
        <w:tab/>
      </w:r>
      <w:r w:rsidRPr="007C1E0E">
        <w:rPr>
          <w:rStyle w:val="hps"/>
          <w:spacing w:val="-2"/>
          <w:rtl/>
          <w:lang/>
        </w:rPr>
        <w:t>وفيما يتعلق بمسألة</w:t>
      </w:r>
      <w:r w:rsidRPr="007C1E0E">
        <w:rPr>
          <w:spacing w:val="-2"/>
          <w:rtl/>
          <w:lang/>
        </w:rPr>
        <w:t xml:space="preserve"> </w:t>
      </w:r>
      <w:r w:rsidRPr="007C1E0E">
        <w:rPr>
          <w:rStyle w:val="hps"/>
          <w:spacing w:val="-2"/>
          <w:rtl/>
          <w:lang/>
        </w:rPr>
        <w:t>الضمانات الدبلوماسية</w:t>
      </w:r>
      <w:r w:rsidRPr="007C1E0E">
        <w:rPr>
          <w:spacing w:val="-2"/>
          <w:rtl/>
          <w:lang/>
        </w:rPr>
        <w:t xml:space="preserve">، </w:t>
      </w:r>
      <w:r w:rsidRPr="007C1E0E">
        <w:rPr>
          <w:rStyle w:val="hps"/>
          <w:rFonts w:hint="cs"/>
          <w:spacing w:val="-2"/>
          <w:rtl/>
          <w:lang/>
        </w:rPr>
        <w:t>ت</w:t>
      </w:r>
      <w:r w:rsidRPr="007C1E0E">
        <w:rPr>
          <w:rStyle w:val="hps"/>
          <w:spacing w:val="-2"/>
          <w:rtl/>
          <w:lang/>
        </w:rPr>
        <w:t>لاحظ</w:t>
      </w:r>
      <w:r w:rsidRPr="007C1E0E">
        <w:rPr>
          <w:spacing w:val="-2"/>
          <w:rtl/>
          <w:lang/>
        </w:rPr>
        <w:t xml:space="preserve"> </w:t>
      </w:r>
      <w:r w:rsidRPr="007C1E0E">
        <w:rPr>
          <w:rStyle w:val="hps"/>
          <w:rFonts w:hint="cs"/>
          <w:spacing w:val="-2"/>
          <w:rtl/>
          <w:lang/>
        </w:rPr>
        <w:t xml:space="preserve">صاحبة </w:t>
      </w:r>
      <w:r w:rsidRPr="007C1E0E">
        <w:rPr>
          <w:rStyle w:val="hps"/>
          <w:spacing w:val="-2"/>
          <w:rtl/>
          <w:lang/>
        </w:rPr>
        <w:t>الشكوى</w:t>
      </w:r>
      <w:r w:rsidRPr="007C1E0E">
        <w:rPr>
          <w:rStyle w:val="hps"/>
          <w:rFonts w:hint="cs"/>
          <w:spacing w:val="-2"/>
          <w:rtl/>
          <w:lang/>
        </w:rPr>
        <w:t xml:space="preserve"> عدم الوفاء ب</w:t>
      </w:r>
      <w:r w:rsidRPr="007C1E0E">
        <w:rPr>
          <w:rStyle w:val="hps"/>
          <w:spacing w:val="-2"/>
          <w:rtl/>
          <w:lang/>
        </w:rPr>
        <w:t>ثلاثة</w:t>
      </w:r>
      <w:r w:rsidRPr="007C1E0E">
        <w:rPr>
          <w:rStyle w:val="hps"/>
          <w:rFonts w:hint="cs"/>
          <w:spacing w:val="-2"/>
          <w:rtl/>
          <w:lang/>
        </w:rPr>
        <w:t> </w:t>
      </w:r>
      <w:r w:rsidRPr="007C1E0E">
        <w:rPr>
          <w:rStyle w:val="hps"/>
          <w:spacing w:val="-2"/>
          <w:rtl/>
          <w:lang/>
        </w:rPr>
        <w:t>من</w:t>
      </w:r>
      <w:r w:rsidRPr="007C1E0E">
        <w:rPr>
          <w:spacing w:val="-2"/>
          <w:rtl/>
          <w:lang/>
        </w:rPr>
        <w:t xml:space="preserve"> </w:t>
      </w:r>
      <w:r w:rsidRPr="007C1E0E">
        <w:rPr>
          <w:rStyle w:val="hps"/>
          <w:spacing w:val="-2"/>
          <w:rtl/>
          <w:lang/>
        </w:rPr>
        <w:t>الضمانات الدبلوماسية</w:t>
      </w:r>
      <w:r w:rsidRPr="007C1E0E">
        <w:rPr>
          <w:spacing w:val="-2"/>
          <w:rtl/>
          <w:lang/>
        </w:rPr>
        <w:t xml:space="preserve"> </w:t>
      </w:r>
      <w:r w:rsidRPr="007C1E0E">
        <w:rPr>
          <w:rStyle w:val="hps"/>
          <w:spacing w:val="-2"/>
          <w:rtl/>
          <w:lang/>
        </w:rPr>
        <w:t>التي قدمت</w:t>
      </w:r>
      <w:r w:rsidRPr="007C1E0E">
        <w:rPr>
          <w:rStyle w:val="hps"/>
          <w:rFonts w:hint="cs"/>
          <w:spacing w:val="-2"/>
          <w:rtl/>
          <w:lang/>
        </w:rPr>
        <w:t>ها تونس</w:t>
      </w:r>
      <w:r w:rsidRPr="007C1E0E">
        <w:rPr>
          <w:rStyle w:val="hps"/>
          <w:spacing w:val="-2"/>
          <w:rtl/>
          <w:lang/>
        </w:rPr>
        <w:t xml:space="preserve"> إلى الدولة الطرف</w:t>
      </w:r>
      <w:r w:rsidRPr="007C1E0E">
        <w:rPr>
          <w:rStyle w:val="hps"/>
          <w:rFonts w:hint="cs"/>
          <w:spacing w:val="-2"/>
          <w:rtl/>
          <w:lang/>
        </w:rPr>
        <w:t>، وهي على النحو التالي</w:t>
      </w:r>
      <w:r w:rsidRPr="007C1E0E">
        <w:rPr>
          <w:spacing w:val="-2"/>
          <w:rtl/>
          <w:lang/>
        </w:rPr>
        <w:t xml:space="preserve">: </w:t>
      </w:r>
      <w:r w:rsidRPr="007C1E0E">
        <w:rPr>
          <w:rStyle w:val="hps"/>
          <w:spacing w:val="-2"/>
          <w:rtl/>
          <w:lang/>
        </w:rPr>
        <w:t>(1</w:t>
      </w:r>
      <w:r w:rsidRPr="007C1E0E">
        <w:rPr>
          <w:spacing w:val="-2"/>
          <w:rtl/>
          <w:lang/>
        </w:rPr>
        <w:t>) "</w:t>
      </w:r>
      <w:r w:rsidRPr="007C1E0E">
        <w:rPr>
          <w:rFonts w:hint="cs"/>
          <w:spacing w:val="-2"/>
          <w:rtl/>
          <w:lang/>
        </w:rPr>
        <w:t>تضمن ال</w:t>
      </w:r>
      <w:r w:rsidRPr="007C1E0E">
        <w:rPr>
          <w:rStyle w:val="hps"/>
          <w:spacing w:val="-2"/>
          <w:rtl/>
          <w:lang/>
        </w:rPr>
        <w:t xml:space="preserve">محاكمة </w:t>
      </w:r>
      <w:r w:rsidRPr="007C1E0E">
        <w:rPr>
          <w:rStyle w:val="hps"/>
          <w:rFonts w:hint="cs"/>
          <w:spacing w:val="-2"/>
          <w:rtl/>
          <w:lang/>
        </w:rPr>
        <w:t>ال</w:t>
      </w:r>
      <w:r w:rsidRPr="007C1E0E">
        <w:rPr>
          <w:rStyle w:val="hps"/>
          <w:spacing w:val="-2"/>
          <w:rtl/>
          <w:lang/>
        </w:rPr>
        <w:t>جديدة</w:t>
      </w:r>
      <w:r w:rsidRPr="007C1E0E">
        <w:rPr>
          <w:rFonts w:hint="cs"/>
          <w:spacing w:val="-2"/>
          <w:rtl/>
          <w:lang/>
        </w:rPr>
        <w:t xml:space="preserve"> على وجه التحديد</w:t>
      </w:r>
      <w:r w:rsidRPr="007C1E0E">
        <w:rPr>
          <w:spacing w:val="-2"/>
          <w:rtl/>
          <w:lang/>
        </w:rPr>
        <w:t xml:space="preserve"> </w:t>
      </w:r>
      <w:r w:rsidRPr="007C1E0E">
        <w:rPr>
          <w:rStyle w:val="hps"/>
          <w:spacing w:val="-2"/>
          <w:rtl/>
          <w:lang/>
        </w:rPr>
        <w:t>حق</w:t>
      </w:r>
      <w:r w:rsidRPr="007C1E0E">
        <w:rPr>
          <w:spacing w:val="-2"/>
          <w:rtl/>
          <w:lang/>
        </w:rPr>
        <w:t xml:space="preserve"> </w:t>
      </w:r>
      <w:r w:rsidRPr="007C1E0E">
        <w:rPr>
          <w:rStyle w:val="hps"/>
          <w:spacing w:val="-2"/>
          <w:rtl/>
          <w:lang/>
        </w:rPr>
        <w:t>المتهم في</w:t>
      </w:r>
      <w:r w:rsidRPr="007C1E0E">
        <w:rPr>
          <w:spacing w:val="-2"/>
          <w:rtl/>
          <w:lang/>
        </w:rPr>
        <w:t xml:space="preserve"> </w:t>
      </w:r>
      <w:r w:rsidRPr="007C1E0E">
        <w:rPr>
          <w:rStyle w:val="hps"/>
          <w:rFonts w:hint="cs"/>
          <w:spacing w:val="-2"/>
          <w:rtl/>
          <w:lang/>
        </w:rPr>
        <w:t xml:space="preserve">أن يستجوب، من </w:t>
      </w:r>
      <w:r w:rsidRPr="007C1E0E">
        <w:rPr>
          <w:rStyle w:val="hps"/>
          <w:spacing w:val="-2"/>
          <w:rtl/>
          <w:lang/>
        </w:rPr>
        <w:t>خلال</w:t>
      </w:r>
      <w:r w:rsidRPr="007C1E0E">
        <w:rPr>
          <w:spacing w:val="-2"/>
          <w:rtl/>
          <w:lang/>
        </w:rPr>
        <w:t xml:space="preserve"> </w:t>
      </w:r>
      <w:r w:rsidRPr="007C1E0E">
        <w:rPr>
          <w:rStyle w:val="hps"/>
          <w:spacing w:val="-2"/>
          <w:rtl/>
          <w:lang/>
        </w:rPr>
        <w:t>القاضي الذي يرأس الجلسة</w:t>
      </w:r>
      <w:r w:rsidRPr="007C1E0E">
        <w:rPr>
          <w:spacing w:val="-2"/>
          <w:rtl/>
          <w:lang/>
        </w:rPr>
        <w:t xml:space="preserve">، </w:t>
      </w:r>
      <w:r w:rsidRPr="007C1E0E">
        <w:rPr>
          <w:rStyle w:val="hps"/>
          <w:rFonts w:hint="cs"/>
          <w:spacing w:val="-2"/>
          <w:rtl/>
          <w:lang/>
        </w:rPr>
        <w:t>شهود الادعاء</w:t>
      </w:r>
      <w:r w:rsidRPr="007C1E0E">
        <w:rPr>
          <w:spacing w:val="-2"/>
          <w:rtl/>
          <w:lang/>
        </w:rPr>
        <w:t xml:space="preserve"> </w:t>
      </w:r>
      <w:r w:rsidRPr="007C1E0E">
        <w:rPr>
          <w:rStyle w:val="hps"/>
          <w:rFonts w:hint="cs"/>
          <w:spacing w:val="-2"/>
          <w:rtl/>
          <w:lang/>
        </w:rPr>
        <w:t>والمتهمين الآخرين</w:t>
      </w:r>
      <w:r w:rsidRPr="007C1E0E">
        <w:rPr>
          <w:rStyle w:val="hps"/>
          <w:spacing w:val="-2"/>
          <w:rtl/>
          <w:lang/>
        </w:rPr>
        <w:t xml:space="preserve"> عملا</w:t>
      </w:r>
      <w:r w:rsidRPr="007C1E0E">
        <w:rPr>
          <w:rStyle w:val="hps"/>
          <w:rFonts w:hint="cs"/>
          <w:spacing w:val="-2"/>
          <w:rtl/>
          <w:lang/>
        </w:rPr>
        <w:t>ً</w:t>
      </w:r>
      <w:r w:rsidRPr="007C1E0E">
        <w:rPr>
          <w:rStyle w:val="hps"/>
          <w:spacing w:val="-2"/>
          <w:rtl/>
          <w:lang/>
        </w:rPr>
        <w:t xml:space="preserve"> بالمادة</w:t>
      </w:r>
      <w:r w:rsidRPr="007C1E0E">
        <w:rPr>
          <w:spacing w:val="-2"/>
          <w:rtl/>
          <w:lang/>
        </w:rPr>
        <w:t xml:space="preserve"> </w:t>
      </w:r>
      <w:r w:rsidRPr="007C1E0E">
        <w:rPr>
          <w:rStyle w:val="hps"/>
          <w:spacing w:val="-2"/>
          <w:rtl/>
          <w:lang/>
        </w:rPr>
        <w:t>143 من</w:t>
      </w:r>
      <w:r w:rsidRPr="007C1E0E">
        <w:rPr>
          <w:spacing w:val="-2"/>
          <w:rtl/>
          <w:lang/>
        </w:rPr>
        <w:t xml:space="preserve"> </w:t>
      </w:r>
      <w:r w:rsidRPr="007C1E0E">
        <w:rPr>
          <w:rStyle w:val="hps"/>
          <w:spacing w:val="-2"/>
          <w:rtl/>
          <w:lang/>
        </w:rPr>
        <w:t>قانون الإجراءات</w:t>
      </w:r>
      <w:r w:rsidRPr="007C1E0E">
        <w:rPr>
          <w:spacing w:val="-2"/>
          <w:rtl/>
          <w:lang/>
        </w:rPr>
        <w:t xml:space="preserve"> </w:t>
      </w:r>
      <w:r w:rsidRPr="007C1E0E">
        <w:rPr>
          <w:rStyle w:val="hps"/>
          <w:spacing w:val="-2"/>
          <w:rtl/>
          <w:lang/>
        </w:rPr>
        <w:t>الجنائية"</w:t>
      </w:r>
      <w:r w:rsidRPr="007C1E0E">
        <w:rPr>
          <w:rStyle w:val="hps"/>
          <w:rFonts w:hint="cs"/>
          <w:spacing w:val="-2"/>
          <w:rtl/>
          <w:lang/>
        </w:rPr>
        <w:t xml:space="preserve">. وفي أثناء </w:t>
      </w:r>
      <w:r w:rsidRPr="007C1E0E">
        <w:rPr>
          <w:rFonts w:hint="cs"/>
          <w:spacing w:val="-2"/>
          <w:rtl/>
          <w:lang/>
        </w:rPr>
        <w:t>ال</w:t>
      </w:r>
      <w:r w:rsidRPr="007C1E0E">
        <w:rPr>
          <w:rStyle w:val="hps"/>
          <w:spacing w:val="-2"/>
          <w:rtl/>
          <w:lang/>
        </w:rPr>
        <w:t>محاكمة</w:t>
      </w:r>
      <w:r w:rsidRPr="007C1E0E">
        <w:rPr>
          <w:rStyle w:val="hps"/>
          <w:rFonts w:hint="cs"/>
          <w:spacing w:val="-2"/>
          <w:rtl/>
          <w:lang/>
        </w:rPr>
        <w:t xml:space="preserve"> الجديدة</w:t>
      </w:r>
      <w:r w:rsidRPr="007C1E0E">
        <w:rPr>
          <w:rFonts w:hint="cs"/>
          <w:spacing w:val="-2"/>
          <w:rtl/>
          <w:lang/>
        </w:rPr>
        <w:t xml:space="preserve">، </w:t>
      </w:r>
      <w:r w:rsidRPr="007C1E0E">
        <w:rPr>
          <w:spacing w:val="-2"/>
          <w:rtl/>
          <w:lang/>
        </w:rPr>
        <w:t xml:space="preserve">التي </w:t>
      </w:r>
      <w:r w:rsidRPr="007C1E0E">
        <w:rPr>
          <w:rFonts w:hint="cs"/>
          <w:spacing w:val="-2"/>
          <w:rtl/>
          <w:lang/>
        </w:rPr>
        <w:t xml:space="preserve">جرت بعد أن سلمت </w:t>
      </w:r>
      <w:r w:rsidRPr="007C1E0E">
        <w:rPr>
          <w:rStyle w:val="hps"/>
          <w:spacing w:val="-2"/>
          <w:rtl/>
          <w:lang/>
        </w:rPr>
        <w:t>ألمانيا</w:t>
      </w:r>
      <w:r w:rsidRPr="007C1E0E">
        <w:rPr>
          <w:rStyle w:val="hps"/>
          <w:rFonts w:hint="cs"/>
          <w:spacing w:val="-2"/>
          <w:rtl/>
          <w:lang/>
        </w:rPr>
        <w:t xml:space="preserve"> ا</w:t>
      </w:r>
      <w:r w:rsidRPr="007C1E0E">
        <w:rPr>
          <w:rStyle w:val="hps"/>
          <w:spacing w:val="-2"/>
          <w:rtl/>
          <w:lang/>
        </w:rPr>
        <w:t>لسيد</w:t>
      </w:r>
      <w:r w:rsidRPr="007C1E0E">
        <w:rPr>
          <w:spacing w:val="-2"/>
          <w:rtl/>
          <w:lang/>
        </w:rPr>
        <w:t xml:space="preserve"> </w:t>
      </w:r>
      <w:r w:rsidRPr="007C1E0E">
        <w:rPr>
          <w:rStyle w:val="hps"/>
          <w:rFonts w:hint="cs"/>
          <w:spacing w:val="-2"/>
          <w:rtl/>
          <w:lang/>
        </w:rPr>
        <w:t>أنسي عبيشو</w:t>
      </w:r>
      <w:r w:rsidRPr="007C1E0E">
        <w:rPr>
          <w:spacing w:val="-2"/>
          <w:rtl/>
          <w:lang/>
        </w:rPr>
        <w:t xml:space="preserve">، </w:t>
      </w:r>
      <w:r w:rsidRPr="007C1E0E">
        <w:rPr>
          <w:rFonts w:hint="cs"/>
          <w:spacing w:val="-2"/>
          <w:rtl/>
          <w:lang/>
        </w:rPr>
        <w:t xml:space="preserve">رفض </w:t>
      </w:r>
      <w:r w:rsidRPr="007C1E0E">
        <w:rPr>
          <w:spacing w:val="-2"/>
          <w:rtl/>
          <w:lang/>
        </w:rPr>
        <w:t xml:space="preserve">القاضي </w:t>
      </w:r>
      <w:r w:rsidRPr="007C1E0E">
        <w:rPr>
          <w:rFonts w:hint="cs"/>
          <w:spacing w:val="-2"/>
          <w:rtl/>
          <w:lang/>
        </w:rPr>
        <w:t xml:space="preserve">التونسي </w:t>
      </w:r>
      <w:r w:rsidRPr="007C1E0E">
        <w:rPr>
          <w:rStyle w:val="hps"/>
          <w:spacing w:val="-2"/>
          <w:rtl/>
          <w:lang/>
        </w:rPr>
        <w:t>محرز</w:t>
      </w:r>
      <w:r w:rsidRPr="007C1E0E">
        <w:rPr>
          <w:spacing w:val="-2"/>
          <w:rtl/>
          <w:lang/>
        </w:rPr>
        <w:t xml:space="preserve"> </w:t>
      </w:r>
      <w:r w:rsidRPr="007C1E0E">
        <w:rPr>
          <w:rStyle w:val="hps"/>
          <w:spacing w:val="-2"/>
          <w:rtl/>
          <w:lang/>
        </w:rPr>
        <w:t>الهمامي</w:t>
      </w:r>
      <w:r w:rsidRPr="007C1E0E">
        <w:rPr>
          <w:spacing w:val="-2"/>
          <w:rtl/>
          <w:lang/>
        </w:rPr>
        <w:t xml:space="preserve"> </w:t>
      </w:r>
      <w:r w:rsidRPr="007C1E0E">
        <w:rPr>
          <w:rFonts w:hint="cs"/>
          <w:spacing w:val="-2"/>
          <w:rtl/>
          <w:lang/>
        </w:rPr>
        <w:t xml:space="preserve">- </w:t>
      </w:r>
      <w:r w:rsidRPr="007C1E0E">
        <w:rPr>
          <w:rStyle w:val="hps"/>
          <w:spacing w:val="-2"/>
          <w:rtl/>
          <w:lang/>
        </w:rPr>
        <w:t>الذي</w:t>
      </w:r>
      <w:r w:rsidRPr="007C1E0E">
        <w:rPr>
          <w:spacing w:val="-2"/>
          <w:rtl/>
          <w:lang/>
        </w:rPr>
        <w:t xml:space="preserve"> </w:t>
      </w:r>
      <w:r w:rsidRPr="007C1E0E">
        <w:rPr>
          <w:rStyle w:val="hps"/>
          <w:rFonts w:hint="cs"/>
          <w:spacing w:val="-2"/>
          <w:rtl/>
          <w:lang/>
        </w:rPr>
        <w:t>عُزل</w:t>
      </w:r>
      <w:r w:rsidRPr="007C1E0E">
        <w:rPr>
          <w:spacing w:val="-2"/>
          <w:rtl/>
          <w:lang/>
        </w:rPr>
        <w:t xml:space="preserve"> </w:t>
      </w:r>
      <w:r w:rsidRPr="007C1E0E">
        <w:rPr>
          <w:rStyle w:val="hps"/>
          <w:rFonts w:hint="cs"/>
          <w:spacing w:val="-2"/>
          <w:rtl/>
          <w:lang/>
        </w:rPr>
        <w:t>عقب</w:t>
      </w:r>
      <w:r w:rsidRPr="007C1E0E">
        <w:rPr>
          <w:spacing w:val="-2"/>
          <w:rtl/>
          <w:lang/>
        </w:rPr>
        <w:t xml:space="preserve"> </w:t>
      </w:r>
      <w:r w:rsidRPr="007C1E0E">
        <w:rPr>
          <w:rStyle w:val="hps"/>
          <w:spacing w:val="-2"/>
          <w:rtl/>
          <w:lang/>
        </w:rPr>
        <w:t>الثورة التونسية</w:t>
      </w:r>
      <w:r w:rsidRPr="007C1E0E">
        <w:rPr>
          <w:rStyle w:val="hps"/>
          <w:rFonts w:hint="cs"/>
          <w:spacing w:val="-2"/>
          <w:rtl/>
          <w:lang/>
        </w:rPr>
        <w:t xml:space="preserve"> </w:t>
      </w:r>
      <w:r w:rsidRPr="007C1E0E">
        <w:rPr>
          <w:rFonts w:hint="cs"/>
          <w:spacing w:val="-2"/>
          <w:rtl/>
          <w:lang/>
        </w:rPr>
        <w:t>-</w:t>
      </w:r>
      <w:r w:rsidRPr="007C1E0E">
        <w:rPr>
          <w:rStyle w:val="hps"/>
          <w:spacing w:val="-2"/>
          <w:rtl/>
          <w:lang/>
        </w:rPr>
        <w:t xml:space="preserve"> السماح</w:t>
      </w:r>
      <w:r w:rsidRPr="007C1E0E">
        <w:rPr>
          <w:spacing w:val="-2"/>
          <w:rtl/>
          <w:lang/>
        </w:rPr>
        <w:t xml:space="preserve"> </w:t>
      </w:r>
      <w:r w:rsidRPr="007C1E0E">
        <w:rPr>
          <w:rStyle w:val="hps"/>
          <w:rFonts w:hint="cs"/>
          <w:spacing w:val="-2"/>
          <w:rtl/>
          <w:lang/>
        </w:rPr>
        <w:t>بمواجهة</w:t>
      </w:r>
      <w:r w:rsidRPr="007C1E0E">
        <w:rPr>
          <w:spacing w:val="-2"/>
          <w:rtl/>
          <w:lang/>
        </w:rPr>
        <w:t xml:space="preserve"> </w:t>
      </w:r>
      <w:r w:rsidRPr="007C1E0E">
        <w:rPr>
          <w:rStyle w:val="hps"/>
          <w:spacing w:val="-2"/>
          <w:rtl/>
          <w:lang/>
        </w:rPr>
        <w:t>الشهود</w:t>
      </w:r>
      <w:r w:rsidRPr="007C1E0E">
        <w:rPr>
          <w:spacing w:val="-2"/>
          <w:rtl/>
          <w:lang/>
        </w:rPr>
        <w:t xml:space="preserve">. </w:t>
      </w:r>
      <w:r w:rsidRPr="007C1E0E">
        <w:rPr>
          <w:rStyle w:val="hps"/>
          <w:spacing w:val="-2"/>
          <w:rtl/>
          <w:lang/>
        </w:rPr>
        <w:t>و</w:t>
      </w:r>
      <w:r w:rsidRPr="007C1E0E">
        <w:rPr>
          <w:spacing w:val="-2"/>
          <w:rtl/>
          <w:lang/>
        </w:rPr>
        <w:t xml:space="preserve">حكم على </w:t>
      </w:r>
      <w:r w:rsidRPr="007C1E0E">
        <w:rPr>
          <w:rStyle w:val="hps"/>
          <w:spacing w:val="-2"/>
          <w:rtl/>
          <w:lang/>
        </w:rPr>
        <w:t>المتهم</w:t>
      </w:r>
      <w:r w:rsidRPr="007C1E0E">
        <w:rPr>
          <w:spacing w:val="-2"/>
          <w:rtl/>
          <w:lang/>
        </w:rPr>
        <w:t xml:space="preserve"> </w:t>
      </w:r>
      <w:r w:rsidRPr="007C1E0E">
        <w:rPr>
          <w:rStyle w:val="hps"/>
          <w:spacing w:val="-2"/>
          <w:rtl/>
          <w:lang/>
        </w:rPr>
        <w:t xml:space="preserve">بالسجن </w:t>
      </w:r>
      <w:r w:rsidRPr="007C1E0E">
        <w:rPr>
          <w:rStyle w:val="hps"/>
          <w:rFonts w:hint="cs"/>
          <w:spacing w:val="-2"/>
          <w:rtl/>
          <w:lang/>
        </w:rPr>
        <w:t>المؤبد في</w:t>
      </w:r>
      <w:r w:rsidRPr="007C1E0E">
        <w:rPr>
          <w:spacing w:val="-2"/>
          <w:rtl/>
          <w:lang/>
        </w:rPr>
        <w:t xml:space="preserve"> </w:t>
      </w:r>
      <w:r w:rsidRPr="007C1E0E">
        <w:rPr>
          <w:rStyle w:val="hps"/>
          <w:spacing w:val="-2"/>
          <w:rtl/>
          <w:lang/>
        </w:rPr>
        <w:t xml:space="preserve">11 </w:t>
      </w:r>
      <w:r w:rsidRPr="007C1E0E">
        <w:rPr>
          <w:rStyle w:val="hps"/>
          <w:rFonts w:hint="cs"/>
          <w:spacing w:val="-2"/>
          <w:rtl/>
          <w:lang/>
        </w:rPr>
        <w:t>كانون الأول/</w:t>
      </w:r>
      <w:r w:rsidR="00A126DC" w:rsidRPr="007C1E0E">
        <w:rPr>
          <w:rStyle w:val="hps"/>
          <w:rFonts w:hint="cs"/>
          <w:spacing w:val="-2"/>
          <w:rtl/>
          <w:lang/>
        </w:rPr>
        <w:t xml:space="preserve"> </w:t>
      </w:r>
      <w:r w:rsidRPr="007C1E0E">
        <w:rPr>
          <w:rStyle w:val="hps"/>
          <w:spacing w:val="-2"/>
          <w:rtl/>
          <w:lang/>
        </w:rPr>
        <w:t>ديسمبر</w:t>
      </w:r>
      <w:r w:rsidR="00A126DC" w:rsidRPr="007C1E0E">
        <w:rPr>
          <w:rStyle w:val="hps"/>
          <w:rFonts w:hint="cs"/>
          <w:spacing w:val="-2"/>
          <w:rtl/>
          <w:lang/>
        </w:rPr>
        <w:t> </w:t>
      </w:r>
      <w:r w:rsidRPr="007C1E0E">
        <w:rPr>
          <w:rStyle w:val="hps"/>
          <w:spacing w:val="-2"/>
          <w:rtl/>
          <w:lang/>
        </w:rPr>
        <w:t>2010</w:t>
      </w:r>
      <w:r w:rsidRPr="007C1E0E">
        <w:rPr>
          <w:spacing w:val="-2"/>
          <w:rtl/>
          <w:lang/>
        </w:rPr>
        <w:t xml:space="preserve"> </w:t>
      </w:r>
      <w:r w:rsidRPr="007C1E0E">
        <w:rPr>
          <w:rStyle w:val="hps"/>
          <w:rFonts w:hint="cs"/>
          <w:spacing w:val="-2"/>
          <w:rtl/>
          <w:lang/>
        </w:rPr>
        <w:t xml:space="preserve">بالاستناد فقط إلى </w:t>
      </w:r>
      <w:r w:rsidRPr="007C1E0E">
        <w:rPr>
          <w:rStyle w:val="hps"/>
          <w:spacing w:val="-2"/>
          <w:rtl/>
          <w:lang/>
        </w:rPr>
        <w:t>اعترافات انتزعت</w:t>
      </w:r>
      <w:r w:rsidRPr="007C1E0E">
        <w:rPr>
          <w:rStyle w:val="hps"/>
          <w:rFonts w:hint="cs"/>
          <w:spacing w:val="-2"/>
          <w:rtl/>
          <w:lang/>
        </w:rPr>
        <w:t xml:space="preserve"> تحت التعذيب من الشركاء المزعومين</w:t>
      </w:r>
      <w:r w:rsidRPr="007C1E0E">
        <w:rPr>
          <w:spacing w:val="-2"/>
          <w:rtl/>
          <w:lang/>
        </w:rPr>
        <w:t>.</w:t>
      </w:r>
      <w:r w:rsidRPr="007C1E0E">
        <w:rPr>
          <w:rFonts w:hint="cs"/>
          <w:spacing w:val="-2"/>
          <w:rtl/>
          <w:lang/>
        </w:rPr>
        <w:t xml:space="preserve"> وكانت مواجهة السيد أنسي عبيشو بشركائه المزعومين ستسمح لهذين الشخصين بالتذكير بالتعذيب الذي تعرضا</w:t>
      </w:r>
      <w:r w:rsidRPr="007C1E0E">
        <w:rPr>
          <w:spacing w:val="-2"/>
          <w:rtl/>
          <w:lang/>
        </w:rPr>
        <w:t xml:space="preserve"> </w:t>
      </w:r>
      <w:r w:rsidRPr="007C1E0E">
        <w:rPr>
          <w:rStyle w:val="hps"/>
          <w:spacing w:val="-2"/>
          <w:rtl/>
          <w:lang/>
        </w:rPr>
        <w:t>له</w:t>
      </w:r>
      <w:r w:rsidRPr="007C1E0E">
        <w:rPr>
          <w:spacing w:val="-2"/>
          <w:rtl/>
          <w:lang/>
        </w:rPr>
        <w:t xml:space="preserve"> </w:t>
      </w:r>
      <w:r w:rsidRPr="007C1E0E">
        <w:rPr>
          <w:rStyle w:val="hps"/>
          <w:spacing w:val="-2"/>
          <w:rtl/>
          <w:lang/>
        </w:rPr>
        <w:t>أثناء الاستجواب</w:t>
      </w:r>
      <w:r w:rsidRPr="007C1E0E">
        <w:rPr>
          <w:spacing w:val="-2"/>
          <w:vertAlign w:val="superscript"/>
          <w:rtl/>
          <w:lang w:val="fr-CH"/>
        </w:rPr>
        <w:t>(</w:t>
      </w:r>
      <w:r w:rsidRPr="007C1E0E">
        <w:rPr>
          <w:rStyle w:val="FootnoteReference"/>
          <w:spacing w:val="-2"/>
          <w:rtl/>
          <w:lang w:val="fr-CH"/>
        </w:rPr>
        <w:footnoteReference w:id="145"/>
      </w:r>
      <w:r w:rsidRPr="007C1E0E">
        <w:rPr>
          <w:spacing w:val="-2"/>
          <w:vertAlign w:val="superscript"/>
          <w:rtl/>
          <w:lang w:val="fr-CH"/>
        </w:rPr>
        <w:t>)</w:t>
      </w:r>
      <w:r w:rsidRPr="007C1E0E">
        <w:rPr>
          <w:rFonts w:hint="cs"/>
          <w:spacing w:val="-2"/>
          <w:rtl/>
          <w:lang/>
        </w:rPr>
        <w:t xml:space="preserve">؛ </w:t>
      </w:r>
      <w:r w:rsidRPr="007C1E0E">
        <w:rPr>
          <w:rStyle w:val="hps"/>
          <w:spacing w:val="-2"/>
          <w:rtl/>
          <w:lang/>
        </w:rPr>
        <w:t>(</w:t>
      </w:r>
      <w:r w:rsidRPr="007C1E0E">
        <w:rPr>
          <w:rFonts w:hint="cs"/>
          <w:spacing w:val="-2"/>
          <w:rtl/>
          <w:lang/>
        </w:rPr>
        <w:t>2</w:t>
      </w:r>
      <w:r w:rsidRPr="007C1E0E">
        <w:rPr>
          <w:spacing w:val="-2"/>
          <w:rtl/>
          <w:lang/>
        </w:rPr>
        <w:t xml:space="preserve">) </w:t>
      </w:r>
      <w:r w:rsidRPr="007C1E0E">
        <w:rPr>
          <w:rFonts w:hint="cs"/>
          <w:spacing w:val="-2"/>
          <w:rtl/>
          <w:lang/>
        </w:rPr>
        <w:t>"</w:t>
      </w:r>
      <w:r w:rsidRPr="007C1E0E">
        <w:rPr>
          <w:rStyle w:val="hps"/>
          <w:rFonts w:hint="cs"/>
          <w:spacing w:val="-2"/>
          <w:rtl/>
          <w:lang/>
        </w:rPr>
        <w:t>ستُحترم في</w:t>
      </w:r>
      <w:r w:rsidRPr="007C1E0E">
        <w:rPr>
          <w:rStyle w:val="hps"/>
          <w:spacing w:val="-2"/>
          <w:rtl/>
          <w:lang/>
        </w:rPr>
        <w:t xml:space="preserve"> </w:t>
      </w:r>
      <w:r w:rsidRPr="007C1E0E">
        <w:rPr>
          <w:rStyle w:val="hps"/>
          <w:rFonts w:hint="cs"/>
          <w:spacing w:val="-2"/>
          <w:rtl/>
          <w:lang/>
        </w:rPr>
        <w:t>المحاكمة الجديدة</w:t>
      </w:r>
      <w:r w:rsidRPr="007C1E0E">
        <w:rPr>
          <w:spacing w:val="-2"/>
          <w:rtl/>
          <w:lang/>
        </w:rPr>
        <w:t xml:space="preserve"> </w:t>
      </w:r>
      <w:r w:rsidRPr="007C1E0E">
        <w:rPr>
          <w:rStyle w:val="hps"/>
          <w:rFonts w:hint="cs"/>
          <w:spacing w:val="-2"/>
          <w:rtl/>
          <w:lang/>
        </w:rPr>
        <w:t>معايير</w:t>
      </w:r>
      <w:r w:rsidRPr="007C1E0E">
        <w:rPr>
          <w:rStyle w:val="hps"/>
          <w:spacing w:val="-2"/>
          <w:rtl/>
          <w:lang/>
        </w:rPr>
        <w:t xml:space="preserve"> العهد</w:t>
      </w:r>
      <w:r w:rsidRPr="007C1E0E">
        <w:rPr>
          <w:spacing w:val="-2"/>
          <w:rtl/>
          <w:lang/>
        </w:rPr>
        <w:t xml:space="preserve"> </w:t>
      </w:r>
      <w:r w:rsidRPr="007C1E0E">
        <w:rPr>
          <w:rStyle w:val="hps"/>
          <w:spacing w:val="-2"/>
          <w:rtl/>
          <w:lang/>
        </w:rPr>
        <w:t>الدولي الخاص بالحقوق</w:t>
      </w:r>
      <w:r w:rsidRPr="007C1E0E">
        <w:rPr>
          <w:spacing w:val="-2"/>
          <w:rtl/>
          <w:lang/>
        </w:rPr>
        <w:t xml:space="preserve"> </w:t>
      </w:r>
      <w:r w:rsidRPr="007C1E0E">
        <w:rPr>
          <w:rStyle w:val="hps"/>
          <w:spacing w:val="-2"/>
          <w:rtl/>
          <w:lang/>
        </w:rPr>
        <w:t>المدنية والسياسية،</w:t>
      </w:r>
      <w:r w:rsidRPr="007C1E0E">
        <w:rPr>
          <w:spacing w:val="-2"/>
          <w:rtl/>
          <w:lang/>
        </w:rPr>
        <w:t xml:space="preserve"> </w:t>
      </w:r>
      <w:r w:rsidRPr="007C1E0E">
        <w:rPr>
          <w:rFonts w:hint="cs"/>
          <w:spacing w:val="-2"/>
          <w:rtl/>
          <w:lang/>
        </w:rPr>
        <w:t xml:space="preserve">الذي </w:t>
      </w:r>
      <w:r w:rsidRPr="007C1E0E">
        <w:rPr>
          <w:rStyle w:val="hps"/>
          <w:spacing w:val="-2"/>
          <w:rtl/>
          <w:lang/>
        </w:rPr>
        <w:t>صدقت عليه</w:t>
      </w:r>
      <w:r w:rsidRPr="007C1E0E">
        <w:rPr>
          <w:spacing w:val="-2"/>
          <w:rtl/>
          <w:lang/>
        </w:rPr>
        <w:t xml:space="preserve"> </w:t>
      </w:r>
      <w:r w:rsidRPr="007C1E0E">
        <w:rPr>
          <w:rStyle w:val="hps"/>
          <w:spacing w:val="-2"/>
          <w:rtl/>
          <w:lang/>
        </w:rPr>
        <w:t>تونس</w:t>
      </w:r>
      <w:r w:rsidRPr="007C1E0E">
        <w:rPr>
          <w:spacing w:val="-2"/>
          <w:rtl/>
          <w:lang/>
        </w:rPr>
        <w:t xml:space="preserve"> </w:t>
      </w:r>
      <w:r w:rsidRPr="007C1E0E">
        <w:rPr>
          <w:rStyle w:val="hps"/>
          <w:spacing w:val="-2"/>
          <w:rtl/>
          <w:lang/>
        </w:rPr>
        <w:t>بموجب القانون رقم</w:t>
      </w:r>
      <w:r w:rsidRPr="007C1E0E">
        <w:rPr>
          <w:spacing w:val="-2"/>
          <w:rtl/>
          <w:lang/>
        </w:rPr>
        <w:t xml:space="preserve"> </w:t>
      </w:r>
      <w:r w:rsidRPr="007C1E0E">
        <w:rPr>
          <w:rStyle w:val="hps"/>
          <w:spacing w:val="-2"/>
          <w:rtl/>
          <w:lang/>
        </w:rPr>
        <w:t>30</w:t>
      </w:r>
      <w:r w:rsidRPr="007C1E0E">
        <w:rPr>
          <w:spacing w:val="-2"/>
          <w:rtl/>
          <w:lang/>
        </w:rPr>
        <w:t xml:space="preserve"> </w:t>
      </w:r>
      <w:r w:rsidRPr="007C1E0E">
        <w:rPr>
          <w:rStyle w:val="hps"/>
          <w:spacing w:val="-2"/>
          <w:rtl/>
          <w:lang/>
        </w:rPr>
        <w:t>المؤرخ</w:t>
      </w:r>
      <w:r w:rsidRPr="007C1E0E">
        <w:rPr>
          <w:rStyle w:val="hps"/>
          <w:rFonts w:hint="cs"/>
          <w:spacing w:val="-2"/>
          <w:rtl/>
          <w:lang/>
        </w:rPr>
        <w:t> </w:t>
      </w:r>
      <w:r w:rsidRPr="007C1E0E">
        <w:rPr>
          <w:rStyle w:val="hps"/>
          <w:spacing w:val="-2"/>
          <w:rtl/>
          <w:lang/>
        </w:rPr>
        <w:t>29 تشرين الثاني</w:t>
      </w:r>
      <w:r w:rsidRPr="007C1E0E">
        <w:rPr>
          <w:rStyle w:val="hps"/>
          <w:rFonts w:hint="cs"/>
          <w:spacing w:val="-2"/>
          <w:rtl/>
          <w:lang/>
        </w:rPr>
        <w:t>/نوفمبر</w:t>
      </w:r>
      <w:r w:rsidRPr="007C1E0E">
        <w:rPr>
          <w:spacing w:val="-2"/>
          <w:rtl/>
          <w:lang/>
        </w:rPr>
        <w:t xml:space="preserve"> </w:t>
      </w:r>
      <w:r w:rsidRPr="007C1E0E">
        <w:rPr>
          <w:rStyle w:val="hps"/>
          <w:spacing w:val="-2"/>
          <w:rtl/>
          <w:lang/>
        </w:rPr>
        <w:t>1968،</w:t>
      </w:r>
      <w:r w:rsidRPr="007C1E0E">
        <w:rPr>
          <w:spacing w:val="-2"/>
          <w:rtl/>
          <w:lang/>
        </w:rPr>
        <w:t xml:space="preserve"> </w:t>
      </w:r>
      <w:r w:rsidRPr="007C1E0E">
        <w:rPr>
          <w:rStyle w:val="hps"/>
          <w:rFonts w:hint="cs"/>
          <w:spacing w:val="-2"/>
          <w:rtl/>
          <w:lang/>
        </w:rPr>
        <w:t>الذي يسمح</w:t>
      </w:r>
      <w:r w:rsidRPr="007C1E0E">
        <w:rPr>
          <w:spacing w:val="-2"/>
          <w:rtl/>
          <w:lang/>
        </w:rPr>
        <w:t xml:space="preserve"> </w:t>
      </w:r>
      <w:r w:rsidRPr="007C1E0E">
        <w:rPr>
          <w:rStyle w:val="hps"/>
          <w:spacing w:val="-2"/>
          <w:rtl/>
          <w:lang/>
        </w:rPr>
        <w:t>للمتهم</w:t>
      </w:r>
      <w:r w:rsidRPr="007C1E0E">
        <w:rPr>
          <w:rStyle w:val="hps"/>
          <w:rFonts w:hint="cs"/>
          <w:spacing w:val="-2"/>
          <w:rtl/>
          <w:lang/>
        </w:rPr>
        <w:t xml:space="preserve"> بالحصول على</w:t>
      </w:r>
      <w:r w:rsidRPr="007C1E0E">
        <w:rPr>
          <w:spacing w:val="-2"/>
          <w:rtl/>
          <w:lang/>
        </w:rPr>
        <w:t xml:space="preserve"> </w:t>
      </w:r>
      <w:r w:rsidRPr="007C1E0E">
        <w:rPr>
          <w:rStyle w:val="hps"/>
          <w:spacing w:val="-2"/>
          <w:rtl/>
          <w:lang/>
        </w:rPr>
        <w:t>دفاع فعال"</w:t>
      </w:r>
      <w:r w:rsidRPr="007C1E0E">
        <w:rPr>
          <w:rStyle w:val="hps"/>
          <w:rFonts w:hint="cs"/>
          <w:spacing w:val="-2"/>
          <w:rtl/>
          <w:lang/>
        </w:rPr>
        <w:t xml:space="preserve">. </w:t>
      </w:r>
      <w:r w:rsidRPr="007C1E0E">
        <w:rPr>
          <w:spacing w:val="-2"/>
          <w:rtl/>
          <w:lang/>
        </w:rPr>
        <w:t>و</w:t>
      </w:r>
      <w:r w:rsidRPr="007C1E0E">
        <w:rPr>
          <w:rFonts w:hint="cs"/>
          <w:spacing w:val="-2"/>
          <w:rtl/>
          <w:lang/>
        </w:rPr>
        <w:t>قد أدين السيد</w:t>
      </w:r>
      <w:r w:rsidRPr="007C1E0E">
        <w:rPr>
          <w:spacing w:val="-2"/>
          <w:rtl/>
          <w:lang/>
        </w:rPr>
        <w:t xml:space="preserve"> </w:t>
      </w:r>
      <w:r w:rsidRPr="007C1E0E">
        <w:rPr>
          <w:rStyle w:val="hps"/>
          <w:spacing w:val="-2"/>
          <w:rtl/>
          <w:lang/>
        </w:rPr>
        <w:t>أنسي</w:t>
      </w:r>
      <w:r w:rsidRPr="007C1E0E">
        <w:rPr>
          <w:rStyle w:val="hps"/>
          <w:rFonts w:hint="cs"/>
          <w:spacing w:val="-2"/>
          <w:rtl/>
          <w:lang/>
        </w:rPr>
        <w:t xml:space="preserve"> عبيشو</w:t>
      </w:r>
      <w:r w:rsidRPr="007C1E0E">
        <w:rPr>
          <w:spacing w:val="-2"/>
          <w:rtl/>
          <w:lang/>
        </w:rPr>
        <w:t xml:space="preserve"> </w:t>
      </w:r>
      <w:r w:rsidRPr="007C1E0E">
        <w:rPr>
          <w:rStyle w:val="hps"/>
          <w:spacing w:val="-2"/>
          <w:rtl/>
          <w:lang/>
        </w:rPr>
        <w:t xml:space="preserve">في 11 </w:t>
      </w:r>
      <w:r w:rsidRPr="007C1E0E">
        <w:rPr>
          <w:rStyle w:val="hps"/>
          <w:rFonts w:hint="cs"/>
          <w:spacing w:val="-2"/>
          <w:rtl/>
          <w:lang/>
        </w:rPr>
        <w:t>كانون الأول/</w:t>
      </w:r>
      <w:r w:rsidRPr="007C1E0E">
        <w:rPr>
          <w:rStyle w:val="hps"/>
          <w:spacing w:val="-2"/>
          <w:rtl/>
          <w:lang/>
        </w:rPr>
        <w:t>ديسمبر</w:t>
      </w:r>
      <w:r w:rsidRPr="007C1E0E">
        <w:rPr>
          <w:spacing w:val="-2"/>
          <w:rtl/>
          <w:lang/>
        </w:rPr>
        <w:t xml:space="preserve"> </w:t>
      </w:r>
      <w:r w:rsidRPr="007C1E0E">
        <w:rPr>
          <w:rStyle w:val="hps"/>
          <w:spacing w:val="-2"/>
          <w:rtl/>
          <w:lang/>
        </w:rPr>
        <w:t>2010،</w:t>
      </w:r>
      <w:r w:rsidRPr="007C1E0E">
        <w:rPr>
          <w:spacing w:val="-2"/>
          <w:rtl/>
          <w:lang/>
        </w:rPr>
        <w:t xml:space="preserve"> </w:t>
      </w:r>
      <w:r w:rsidRPr="007C1E0E">
        <w:rPr>
          <w:rStyle w:val="hps"/>
          <w:rFonts w:hint="cs"/>
          <w:spacing w:val="-2"/>
          <w:rtl/>
          <w:lang/>
        </w:rPr>
        <w:t>وهو اليوم الذي عقدت فيه</w:t>
      </w:r>
      <w:r w:rsidRPr="007C1E0E">
        <w:rPr>
          <w:spacing w:val="-2"/>
          <w:rtl/>
          <w:lang/>
        </w:rPr>
        <w:t xml:space="preserve"> </w:t>
      </w:r>
      <w:r w:rsidRPr="007C1E0E">
        <w:rPr>
          <w:rStyle w:val="hps"/>
          <w:rFonts w:hint="cs"/>
          <w:spacing w:val="-2"/>
          <w:rtl/>
          <w:lang/>
        </w:rPr>
        <w:t>أولى جلسات المحاكمة</w:t>
      </w:r>
      <w:r w:rsidRPr="007C1E0E">
        <w:rPr>
          <w:spacing w:val="-2"/>
          <w:rtl/>
          <w:lang/>
        </w:rPr>
        <w:t xml:space="preserve">، </w:t>
      </w:r>
      <w:r w:rsidRPr="007C1E0E">
        <w:rPr>
          <w:rStyle w:val="hps"/>
          <w:spacing w:val="-2"/>
          <w:rtl/>
          <w:lang/>
        </w:rPr>
        <w:t>دون</w:t>
      </w:r>
      <w:r w:rsidRPr="007C1E0E">
        <w:rPr>
          <w:rStyle w:val="hps"/>
          <w:rFonts w:hint="cs"/>
          <w:spacing w:val="-2"/>
          <w:rtl/>
          <w:lang/>
        </w:rPr>
        <w:t xml:space="preserve"> أن يُسمح</w:t>
      </w:r>
      <w:r w:rsidRPr="007C1E0E">
        <w:rPr>
          <w:spacing w:val="-2"/>
          <w:rtl/>
          <w:lang/>
        </w:rPr>
        <w:t xml:space="preserve"> </w:t>
      </w:r>
      <w:r w:rsidRPr="007C1E0E">
        <w:rPr>
          <w:rStyle w:val="hps"/>
          <w:rFonts w:hint="cs"/>
          <w:spacing w:val="-2"/>
          <w:rtl/>
          <w:lang/>
        </w:rPr>
        <w:t>لمحاميته</w:t>
      </w:r>
      <w:r w:rsidRPr="007C1E0E">
        <w:rPr>
          <w:spacing w:val="-2"/>
          <w:rtl/>
          <w:lang/>
        </w:rPr>
        <w:t xml:space="preserve">، </w:t>
      </w:r>
      <w:r w:rsidRPr="007C1E0E">
        <w:rPr>
          <w:rFonts w:hint="cs"/>
          <w:spacing w:val="-2"/>
          <w:rtl/>
          <w:lang/>
        </w:rPr>
        <w:t xml:space="preserve">السيدة </w:t>
      </w:r>
      <w:r w:rsidRPr="007C1E0E">
        <w:rPr>
          <w:rStyle w:val="hps"/>
          <w:spacing w:val="-2"/>
          <w:rtl/>
          <w:lang/>
        </w:rPr>
        <w:t>راضية نصراوي</w:t>
      </w:r>
      <w:r w:rsidRPr="007C1E0E">
        <w:rPr>
          <w:spacing w:val="-2"/>
          <w:rtl/>
          <w:lang/>
        </w:rPr>
        <w:t xml:space="preserve">، </w:t>
      </w:r>
      <w:r w:rsidRPr="007C1E0E">
        <w:rPr>
          <w:rStyle w:val="hps"/>
          <w:rFonts w:hint="cs"/>
          <w:spacing w:val="-2"/>
          <w:rtl/>
          <w:lang/>
        </w:rPr>
        <w:t>بالمرافعة في الموضوع؛</w:t>
      </w:r>
      <w:r w:rsidRPr="007C1E0E">
        <w:rPr>
          <w:spacing w:val="-2"/>
          <w:rtl/>
          <w:lang/>
        </w:rPr>
        <w:t xml:space="preserve"> </w:t>
      </w:r>
      <w:r w:rsidRPr="007C1E0E">
        <w:rPr>
          <w:rStyle w:val="hps"/>
          <w:spacing w:val="-2"/>
          <w:rtl/>
          <w:lang/>
        </w:rPr>
        <w:t>(</w:t>
      </w:r>
      <w:r w:rsidRPr="007C1E0E">
        <w:rPr>
          <w:rStyle w:val="atn"/>
          <w:spacing w:val="-2"/>
          <w:rtl/>
          <w:lang/>
        </w:rPr>
        <w:t xml:space="preserve">3) </w:t>
      </w:r>
      <w:r w:rsidRPr="007C1E0E">
        <w:rPr>
          <w:rFonts w:hint="cs"/>
          <w:spacing w:val="-2"/>
          <w:rtl/>
          <w:lang/>
        </w:rPr>
        <w:t>"في حالة إدانة</w:t>
      </w:r>
      <w:r w:rsidRPr="007C1E0E">
        <w:rPr>
          <w:rStyle w:val="hps"/>
          <w:spacing w:val="-2"/>
          <w:rtl/>
          <w:lang/>
        </w:rPr>
        <w:t xml:space="preserve"> السيد</w:t>
      </w:r>
      <w:r w:rsidRPr="007C1E0E">
        <w:rPr>
          <w:spacing w:val="-2"/>
          <w:rtl/>
          <w:lang/>
        </w:rPr>
        <w:t xml:space="preserve"> </w:t>
      </w:r>
      <w:r w:rsidRPr="007C1E0E">
        <w:rPr>
          <w:rStyle w:val="hps"/>
          <w:rFonts w:hint="cs"/>
          <w:spacing w:val="-2"/>
          <w:rtl/>
          <w:lang/>
        </w:rPr>
        <w:t>أنسي عبيشو، س</w:t>
      </w:r>
      <w:r w:rsidRPr="007C1E0E">
        <w:rPr>
          <w:rStyle w:val="hps"/>
          <w:spacing w:val="-2"/>
          <w:rtl/>
          <w:lang/>
        </w:rPr>
        <w:t>يقضي عقوبته</w:t>
      </w:r>
      <w:r w:rsidRPr="007C1E0E">
        <w:rPr>
          <w:spacing w:val="-2"/>
          <w:rtl/>
          <w:lang/>
        </w:rPr>
        <w:t xml:space="preserve"> </w:t>
      </w:r>
      <w:r w:rsidRPr="007C1E0E">
        <w:rPr>
          <w:rStyle w:val="hps"/>
          <w:spacing w:val="-2"/>
          <w:rtl/>
          <w:lang/>
        </w:rPr>
        <w:t>في سجن</w:t>
      </w:r>
      <w:r w:rsidRPr="007C1E0E">
        <w:rPr>
          <w:spacing w:val="-2"/>
          <w:rtl/>
          <w:lang/>
        </w:rPr>
        <w:t xml:space="preserve"> </w:t>
      </w:r>
      <w:r w:rsidRPr="007C1E0E">
        <w:rPr>
          <w:rStyle w:val="hps"/>
          <w:rFonts w:hint="cs"/>
          <w:spacing w:val="-2"/>
          <w:rtl/>
          <w:lang/>
        </w:rPr>
        <w:t xml:space="preserve">تراعى فيه القواعد </w:t>
      </w:r>
      <w:r w:rsidRPr="007C1E0E">
        <w:rPr>
          <w:rStyle w:val="hps"/>
          <w:spacing w:val="-2"/>
          <w:rtl/>
          <w:lang/>
        </w:rPr>
        <w:t>الدنيا</w:t>
      </w:r>
      <w:r w:rsidRPr="007C1E0E">
        <w:rPr>
          <w:spacing w:val="-2"/>
          <w:rtl/>
          <w:lang/>
        </w:rPr>
        <w:t xml:space="preserve"> </w:t>
      </w:r>
      <w:r w:rsidRPr="007C1E0E">
        <w:rPr>
          <w:rStyle w:val="hps"/>
          <w:spacing w:val="-2"/>
          <w:rtl/>
          <w:lang/>
        </w:rPr>
        <w:t>النموذجية لمعاملة</w:t>
      </w:r>
      <w:r w:rsidRPr="007C1E0E">
        <w:rPr>
          <w:rFonts w:hint="cs"/>
          <w:spacing w:val="-2"/>
          <w:rtl/>
          <w:lang/>
        </w:rPr>
        <w:t> </w:t>
      </w:r>
      <w:r w:rsidRPr="007C1E0E">
        <w:rPr>
          <w:rStyle w:val="hps"/>
          <w:spacing w:val="-2"/>
          <w:rtl/>
          <w:lang/>
        </w:rPr>
        <w:t>السجناء</w:t>
      </w:r>
      <w:r w:rsidRPr="007C1E0E">
        <w:rPr>
          <w:spacing w:val="-2"/>
          <w:rtl/>
          <w:lang/>
        </w:rPr>
        <w:t>"</w:t>
      </w:r>
      <w:r w:rsidRPr="007C1E0E">
        <w:rPr>
          <w:rFonts w:hint="cs"/>
          <w:spacing w:val="-2"/>
          <w:rtl/>
          <w:lang/>
        </w:rPr>
        <w:t>.</w:t>
      </w:r>
      <w:r w:rsidRPr="007C1E0E">
        <w:rPr>
          <w:spacing w:val="-2"/>
          <w:rtl/>
          <w:lang/>
        </w:rPr>
        <w:t xml:space="preserve"> </w:t>
      </w:r>
      <w:r w:rsidRPr="007C1E0E">
        <w:rPr>
          <w:rStyle w:val="hps"/>
          <w:spacing w:val="-2"/>
          <w:rtl/>
          <w:lang/>
        </w:rPr>
        <w:t>وكما ل</w:t>
      </w:r>
      <w:r w:rsidRPr="007C1E0E">
        <w:rPr>
          <w:rStyle w:val="hps"/>
          <w:rFonts w:hint="cs"/>
          <w:spacing w:val="-2"/>
          <w:rtl/>
          <w:lang/>
        </w:rPr>
        <w:t xml:space="preserve">احظت </w:t>
      </w:r>
      <w:r w:rsidRPr="007C1E0E">
        <w:rPr>
          <w:rStyle w:val="hps"/>
          <w:spacing w:val="-2"/>
          <w:rtl/>
          <w:lang/>
        </w:rPr>
        <w:t>وزارة خارجية الولايات</w:t>
      </w:r>
      <w:r w:rsidRPr="007C1E0E">
        <w:rPr>
          <w:spacing w:val="-2"/>
          <w:rtl/>
          <w:lang/>
        </w:rPr>
        <w:t xml:space="preserve"> </w:t>
      </w:r>
      <w:r w:rsidRPr="007C1E0E">
        <w:rPr>
          <w:rStyle w:val="hps"/>
          <w:spacing w:val="-2"/>
          <w:rtl/>
          <w:lang/>
        </w:rPr>
        <w:t>المتحدة الأمريكية</w:t>
      </w:r>
      <w:r w:rsidRPr="007C1E0E">
        <w:rPr>
          <w:spacing w:val="-2"/>
          <w:rtl/>
          <w:lang/>
        </w:rPr>
        <w:t xml:space="preserve"> </w:t>
      </w:r>
      <w:r w:rsidRPr="007C1E0E">
        <w:rPr>
          <w:rStyle w:val="hps"/>
          <w:spacing w:val="-2"/>
          <w:rtl/>
          <w:lang/>
        </w:rPr>
        <w:t>في</w:t>
      </w:r>
      <w:r w:rsidRPr="007C1E0E">
        <w:rPr>
          <w:spacing w:val="-2"/>
          <w:rtl/>
          <w:lang/>
        </w:rPr>
        <w:t xml:space="preserve"> </w:t>
      </w:r>
      <w:r w:rsidRPr="007C1E0E">
        <w:rPr>
          <w:rStyle w:val="hps"/>
          <w:spacing w:val="-2"/>
          <w:rtl/>
          <w:lang/>
        </w:rPr>
        <w:t xml:space="preserve">تقريرها </w:t>
      </w:r>
      <w:r w:rsidRPr="007C1E0E">
        <w:rPr>
          <w:rStyle w:val="hps"/>
          <w:rFonts w:hint="cs"/>
          <w:spacing w:val="-2"/>
          <w:rtl/>
          <w:lang/>
        </w:rPr>
        <w:t>الصادر</w:t>
      </w:r>
      <w:r w:rsidRPr="007C1E0E">
        <w:rPr>
          <w:rStyle w:val="hps"/>
          <w:rFonts w:hint="eastAsia"/>
          <w:spacing w:val="-2"/>
          <w:rtl/>
          <w:lang/>
        </w:rPr>
        <w:t> </w:t>
      </w:r>
      <w:r w:rsidRPr="007C1E0E">
        <w:rPr>
          <w:rStyle w:val="hps"/>
          <w:spacing w:val="-2"/>
          <w:rtl/>
          <w:lang/>
        </w:rPr>
        <w:t>عام 2009</w:t>
      </w:r>
      <w:r w:rsidRPr="007C1E0E">
        <w:rPr>
          <w:spacing w:val="-2"/>
          <w:rtl/>
          <w:lang/>
        </w:rPr>
        <w:t xml:space="preserve">، </w:t>
      </w:r>
      <w:r w:rsidRPr="007C1E0E">
        <w:rPr>
          <w:rStyle w:val="hps"/>
          <w:rFonts w:hint="cs"/>
          <w:spacing w:val="-2"/>
          <w:rtl/>
          <w:lang/>
        </w:rPr>
        <w:t xml:space="preserve">والذي رجعت إليه </w:t>
      </w:r>
      <w:r w:rsidRPr="007C1E0E">
        <w:rPr>
          <w:rStyle w:val="hps"/>
          <w:spacing w:val="-2"/>
          <w:rtl/>
          <w:lang/>
        </w:rPr>
        <w:t>سلطات</w:t>
      </w:r>
      <w:r w:rsidRPr="007C1E0E">
        <w:rPr>
          <w:spacing w:val="-2"/>
          <w:rtl/>
          <w:lang/>
        </w:rPr>
        <w:t xml:space="preserve"> </w:t>
      </w:r>
      <w:r w:rsidRPr="007C1E0E">
        <w:rPr>
          <w:rStyle w:val="hps"/>
          <w:spacing w:val="-2"/>
          <w:rtl/>
          <w:lang/>
        </w:rPr>
        <w:t>الدولة الطرف</w:t>
      </w:r>
      <w:r w:rsidRPr="007C1E0E">
        <w:rPr>
          <w:spacing w:val="-2"/>
          <w:rtl/>
          <w:lang/>
        </w:rPr>
        <w:t>،</w:t>
      </w:r>
      <w:r w:rsidR="00282AAC" w:rsidRPr="007C1E0E">
        <w:rPr>
          <w:rFonts w:hint="cs"/>
          <w:spacing w:val="-2"/>
          <w:rtl/>
          <w:lang/>
        </w:rPr>
        <w:t xml:space="preserve"> </w:t>
      </w:r>
      <w:r w:rsidRPr="007C1E0E">
        <w:rPr>
          <w:rFonts w:hint="cs"/>
          <w:spacing w:val="-2"/>
          <w:rtl/>
          <w:lang/>
        </w:rPr>
        <w:t>فإن</w:t>
      </w:r>
      <w:r w:rsidRPr="007C1E0E">
        <w:rPr>
          <w:spacing w:val="-2"/>
          <w:rtl/>
          <w:lang/>
        </w:rPr>
        <w:t xml:space="preserve"> </w:t>
      </w:r>
      <w:r w:rsidRPr="007C1E0E">
        <w:rPr>
          <w:rStyle w:val="hps"/>
          <w:spacing w:val="-2"/>
          <w:rtl/>
          <w:lang/>
        </w:rPr>
        <w:t>"</w:t>
      </w:r>
      <w:r w:rsidRPr="007C1E0E">
        <w:rPr>
          <w:rFonts w:hint="cs"/>
          <w:spacing w:val="-2"/>
          <w:rtl/>
          <w:lang/>
        </w:rPr>
        <w:t>ظروف الاحتجاز</w:t>
      </w:r>
      <w:r w:rsidRPr="007C1E0E">
        <w:rPr>
          <w:spacing w:val="-2"/>
          <w:rtl/>
          <w:lang/>
        </w:rPr>
        <w:t xml:space="preserve"> لا </w:t>
      </w:r>
      <w:r w:rsidRPr="007C1E0E">
        <w:rPr>
          <w:rStyle w:val="hps"/>
          <w:spacing w:val="-2"/>
          <w:rtl/>
          <w:lang/>
        </w:rPr>
        <w:t>تفي</w:t>
      </w:r>
      <w:r w:rsidRPr="007C1E0E">
        <w:rPr>
          <w:rStyle w:val="hps"/>
          <w:rFonts w:hint="cs"/>
          <w:spacing w:val="-2"/>
          <w:rtl/>
          <w:lang/>
        </w:rPr>
        <w:t xml:space="preserve"> بوجه عام</w:t>
      </w:r>
      <w:r w:rsidRPr="007C1E0E">
        <w:rPr>
          <w:rStyle w:val="hps"/>
          <w:spacing w:val="-2"/>
          <w:rtl/>
          <w:lang/>
        </w:rPr>
        <w:t xml:space="preserve"> بالمعايير</w:t>
      </w:r>
      <w:r w:rsidRPr="007C1E0E">
        <w:rPr>
          <w:spacing w:val="-2"/>
          <w:rtl/>
          <w:lang/>
        </w:rPr>
        <w:t xml:space="preserve"> </w:t>
      </w:r>
      <w:r w:rsidRPr="007C1E0E">
        <w:rPr>
          <w:rStyle w:val="hps"/>
          <w:spacing w:val="-2"/>
          <w:rtl/>
          <w:lang/>
        </w:rPr>
        <w:t>الدولية</w:t>
      </w:r>
      <w:r w:rsidRPr="007C1E0E">
        <w:rPr>
          <w:spacing w:val="-2"/>
          <w:rtl/>
          <w:lang/>
        </w:rPr>
        <w:t>"</w:t>
      </w:r>
      <w:r w:rsidRPr="007C1E0E">
        <w:rPr>
          <w:rFonts w:hint="cs"/>
          <w:spacing w:val="-2"/>
          <w:rtl/>
          <w:lang/>
        </w:rPr>
        <w:t>، وهي النتيجة التي أكدتها</w:t>
      </w:r>
      <w:r w:rsidRPr="007C1E0E">
        <w:rPr>
          <w:spacing w:val="-2"/>
          <w:rtl/>
          <w:lang/>
        </w:rPr>
        <w:t xml:space="preserve"> </w:t>
      </w:r>
      <w:r w:rsidRPr="007C1E0E">
        <w:rPr>
          <w:rStyle w:val="hps"/>
          <w:rFonts w:hint="cs"/>
          <w:spacing w:val="-2"/>
          <w:rtl/>
          <w:lang/>
        </w:rPr>
        <w:t xml:space="preserve">منظمة العمل المسيحي من أجل إلغاء التعذيب </w:t>
      </w:r>
      <w:r w:rsidRPr="007C1E0E">
        <w:rPr>
          <w:rFonts w:hint="cs"/>
          <w:spacing w:val="-2"/>
          <w:rtl/>
          <w:lang/>
        </w:rPr>
        <w:t>- فرنسا</w:t>
      </w:r>
      <w:r w:rsidRPr="007C1E0E">
        <w:rPr>
          <w:rStyle w:val="hps"/>
          <w:spacing w:val="-2"/>
          <w:rtl/>
          <w:lang/>
        </w:rPr>
        <w:t xml:space="preserve"> في</w:t>
      </w:r>
      <w:r w:rsidRPr="007C1E0E">
        <w:rPr>
          <w:spacing w:val="-2"/>
          <w:rtl/>
          <w:lang/>
        </w:rPr>
        <w:t xml:space="preserve"> </w:t>
      </w:r>
      <w:r w:rsidRPr="007C1E0E">
        <w:rPr>
          <w:rStyle w:val="hps"/>
          <w:spacing w:val="-2"/>
          <w:rtl/>
          <w:lang/>
        </w:rPr>
        <w:t>تقرير</w:t>
      </w:r>
      <w:r w:rsidRPr="007C1E0E">
        <w:rPr>
          <w:rStyle w:val="hps"/>
          <w:rFonts w:hint="cs"/>
          <w:spacing w:val="-2"/>
          <w:rtl/>
          <w:lang/>
        </w:rPr>
        <w:t>ها الصادر</w:t>
      </w:r>
      <w:r w:rsidRPr="007C1E0E">
        <w:rPr>
          <w:rStyle w:val="hps"/>
          <w:spacing w:val="-2"/>
          <w:rtl/>
          <w:lang/>
        </w:rPr>
        <w:t xml:space="preserve"> عام 2010</w:t>
      </w:r>
      <w:r w:rsidRPr="007C1E0E">
        <w:rPr>
          <w:spacing w:val="-2"/>
          <w:rtl/>
          <w:lang/>
        </w:rPr>
        <w:t xml:space="preserve"> </w:t>
      </w:r>
      <w:r w:rsidRPr="007C1E0E">
        <w:rPr>
          <w:rStyle w:val="hps"/>
          <w:rFonts w:hint="cs"/>
          <w:spacing w:val="-2"/>
          <w:rtl/>
          <w:lang/>
        </w:rPr>
        <w:t>بعنوان</w:t>
      </w:r>
      <w:r w:rsidRPr="007C1E0E">
        <w:rPr>
          <w:spacing w:val="-2"/>
          <w:rtl/>
          <w:lang/>
        </w:rPr>
        <w:t xml:space="preserve"> </w:t>
      </w:r>
      <w:r w:rsidRPr="007C1E0E">
        <w:rPr>
          <w:rFonts w:hint="cs"/>
          <w:spacing w:val="-2"/>
          <w:rtl/>
          <w:lang/>
        </w:rPr>
        <w:t>"</w:t>
      </w:r>
      <w:r w:rsidRPr="007C1E0E">
        <w:rPr>
          <w:rStyle w:val="hps"/>
          <w:spacing w:val="-2"/>
          <w:rtl/>
          <w:lang/>
        </w:rPr>
        <w:t xml:space="preserve">عالم </w:t>
      </w:r>
      <w:r w:rsidRPr="007C1E0E">
        <w:rPr>
          <w:rStyle w:val="hps"/>
          <w:rFonts w:hint="cs"/>
          <w:spacing w:val="-2"/>
          <w:rtl/>
          <w:lang/>
        </w:rPr>
        <w:t>مليء</w:t>
      </w:r>
      <w:r w:rsidR="007C1E0E" w:rsidRPr="007C1E0E">
        <w:rPr>
          <w:rStyle w:val="hps"/>
          <w:rFonts w:hint="eastAsia"/>
          <w:spacing w:val="-2"/>
          <w:rtl/>
          <w:lang/>
        </w:rPr>
        <w:t> </w:t>
      </w:r>
      <w:r w:rsidRPr="007C1E0E">
        <w:rPr>
          <w:rStyle w:val="hps"/>
          <w:rFonts w:hint="cs"/>
          <w:spacing w:val="-2"/>
          <w:rtl/>
          <w:lang/>
        </w:rPr>
        <w:t>ب</w:t>
      </w:r>
      <w:r w:rsidRPr="007C1E0E">
        <w:rPr>
          <w:rStyle w:val="hps"/>
          <w:spacing w:val="-2"/>
          <w:rtl/>
          <w:lang/>
        </w:rPr>
        <w:t>التعذيب</w:t>
      </w:r>
      <w:r w:rsidRPr="007C1E0E">
        <w:rPr>
          <w:rStyle w:val="hps"/>
          <w:rFonts w:hint="cs"/>
          <w:spacing w:val="-2"/>
          <w:rtl/>
          <w:lang/>
        </w:rPr>
        <w:t>"</w:t>
      </w:r>
      <w:r w:rsidRPr="007C1E0E">
        <w:rPr>
          <w:spacing w:val="-2"/>
          <w:vertAlign w:val="superscript"/>
          <w:rtl/>
          <w:lang w:val="fr-CH"/>
        </w:rPr>
        <w:t>(</w:t>
      </w:r>
      <w:r w:rsidRPr="007C1E0E">
        <w:rPr>
          <w:rStyle w:val="FootnoteReference"/>
          <w:spacing w:val="-2"/>
          <w:rtl/>
          <w:lang w:val="fr-CH"/>
        </w:rPr>
        <w:footnoteReference w:id="146"/>
      </w:r>
      <w:r w:rsidRPr="007C1E0E">
        <w:rPr>
          <w:spacing w:val="-2"/>
          <w:vertAlign w:val="superscript"/>
          <w:rtl/>
          <w:lang w:val="fr-CH"/>
        </w:rPr>
        <w:t>)</w:t>
      </w:r>
      <w:r w:rsidRPr="007C1E0E">
        <w:rPr>
          <w:rStyle w:val="hps"/>
          <w:rFonts w:hint="cs"/>
          <w:spacing w:val="-2"/>
          <w:rtl/>
          <w:lang/>
        </w:rPr>
        <w:t>.</w:t>
      </w:r>
    </w:p>
    <w:p w:rsidR="005E110C" w:rsidRPr="00A444EC" w:rsidRDefault="005E110C" w:rsidP="00297786">
      <w:pPr>
        <w:pStyle w:val="SingleTxtGA"/>
        <w:rPr>
          <w:rtl/>
          <w:lang/>
        </w:rPr>
      </w:pPr>
      <w:r w:rsidRPr="00A444EC">
        <w:rPr>
          <w:rtl/>
        </w:rPr>
        <w:t>8-7</w:t>
      </w:r>
      <w:r w:rsidRPr="00A444EC">
        <w:rPr>
          <w:rtl/>
        </w:rPr>
        <w:tab/>
      </w:r>
      <w:r w:rsidRPr="00A444EC">
        <w:rPr>
          <w:rStyle w:val="hps"/>
          <w:rFonts w:hint="cs"/>
          <w:rtl/>
          <w:lang/>
        </w:rPr>
        <w:t xml:space="preserve">وتفند صاحبه </w:t>
      </w:r>
      <w:r w:rsidRPr="00A444EC">
        <w:rPr>
          <w:rStyle w:val="hps"/>
          <w:rtl/>
          <w:lang/>
        </w:rPr>
        <w:t>الشكوى</w:t>
      </w:r>
      <w:r w:rsidRPr="00A444EC">
        <w:rPr>
          <w:rtl/>
          <w:lang/>
        </w:rPr>
        <w:t xml:space="preserve"> </w:t>
      </w:r>
      <w:r w:rsidRPr="00A444EC">
        <w:rPr>
          <w:rStyle w:val="hps"/>
          <w:rFonts w:hint="cs"/>
          <w:rtl/>
          <w:lang/>
        </w:rPr>
        <w:t xml:space="preserve">تماماً الاستنتاج الذي خلصت إليه </w:t>
      </w:r>
      <w:r w:rsidRPr="00A444EC">
        <w:rPr>
          <w:rStyle w:val="hps"/>
          <w:rtl/>
          <w:lang/>
        </w:rPr>
        <w:t>الدولة</w:t>
      </w:r>
      <w:r w:rsidRPr="00A444EC">
        <w:rPr>
          <w:rtl/>
          <w:lang/>
        </w:rPr>
        <w:t xml:space="preserve"> </w:t>
      </w:r>
      <w:r w:rsidRPr="00A444EC">
        <w:rPr>
          <w:rStyle w:val="hps"/>
          <w:rtl/>
          <w:lang/>
        </w:rPr>
        <w:t xml:space="preserve">الطرف </w:t>
      </w:r>
      <w:r w:rsidRPr="00A444EC">
        <w:rPr>
          <w:rStyle w:val="hps"/>
          <w:rFonts w:hint="cs"/>
          <w:rtl/>
          <w:lang/>
        </w:rPr>
        <w:t xml:space="preserve">فيما يتعلق بالحكم ببراءة </w:t>
      </w:r>
      <w:r w:rsidRPr="00A444EC">
        <w:rPr>
          <w:rFonts w:hint="cs"/>
          <w:rtl/>
          <w:lang/>
        </w:rPr>
        <w:t xml:space="preserve">السيد </w:t>
      </w:r>
      <w:r w:rsidRPr="00A444EC">
        <w:rPr>
          <w:rStyle w:val="hps"/>
          <w:rtl/>
          <w:lang/>
        </w:rPr>
        <w:t>أنسي</w:t>
      </w:r>
      <w:r w:rsidRPr="00A444EC">
        <w:rPr>
          <w:rStyle w:val="hps"/>
          <w:rFonts w:hint="cs"/>
          <w:rtl/>
          <w:lang/>
        </w:rPr>
        <w:t xml:space="preserve"> عبيشو</w:t>
      </w:r>
      <w:r w:rsidRPr="00A444EC">
        <w:rPr>
          <w:rtl/>
          <w:lang/>
        </w:rPr>
        <w:t xml:space="preserve"> </w:t>
      </w:r>
      <w:r w:rsidRPr="00A444EC">
        <w:rPr>
          <w:rStyle w:val="hps"/>
          <w:rFonts w:hint="cs"/>
          <w:rtl/>
          <w:lang/>
        </w:rPr>
        <w:t xml:space="preserve">في </w:t>
      </w:r>
      <w:r w:rsidRPr="00A444EC">
        <w:rPr>
          <w:rStyle w:val="hps"/>
          <w:rtl/>
          <w:lang/>
        </w:rPr>
        <w:t>الاستئناف</w:t>
      </w:r>
      <w:r w:rsidRPr="00A444EC">
        <w:rPr>
          <w:rtl/>
          <w:lang/>
        </w:rPr>
        <w:t xml:space="preserve"> </w:t>
      </w:r>
      <w:r w:rsidRPr="00A444EC">
        <w:rPr>
          <w:rStyle w:val="hps"/>
          <w:rtl/>
          <w:lang/>
        </w:rPr>
        <w:t>و</w:t>
      </w:r>
      <w:r w:rsidRPr="00A444EC">
        <w:rPr>
          <w:rtl/>
          <w:lang/>
        </w:rPr>
        <w:t>الإفراج</w:t>
      </w:r>
      <w:r w:rsidRPr="00A444EC">
        <w:rPr>
          <w:rFonts w:hint="cs"/>
          <w:rtl/>
          <w:lang/>
        </w:rPr>
        <w:t xml:space="preserve"> عنه</w:t>
      </w:r>
      <w:r w:rsidRPr="00A444EC">
        <w:rPr>
          <w:rtl/>
          <w:lang/>
        </w:rPr>
        <w:t xml:space="preserve"> </w:t>
      </w:r>
      <w:r w:rsidRPr="00A444EC">
        <w:rPr>
          <w:rStyle w:val="hps"/>
          <w:rtl/>
          <w:lang/>
        </w:rPr>
        <w:t>لاحقا</w:t>
      </w:r>
      <w:r w:rsidRPr="00A444EC">
        <w:rPr>
          <w:rStyle w:val="hps"/>
          <w:rFonts w:hint="cs"/>
          <w:rtl/>
          <w:lang/>
        </w:rPr>
        <w:t>ً</w:t>
      </w:r>
      <w:r w:rsidRPr="00A444EC">
        <w:rPr>
          <w:rtl/>
          <w:lang/>
        </w:rPr>
        <w:t xml:space="preserve"> </w:t>
      </w:r>
      <w:r w:rsidRPr="00A444EC">
        <w:rPr>
          <w:rStyle w:val="hps"/>
          <w:rFonts w:hint="cs"/>
          <w:rtl/>
          <w:lang/>
        </w:rPr>
        <w:t>في</w:t>
      </w:r>
      <w:r w:rsidRPr="00A444EC">
        <w:rPr>
          <w:rtl/>
          <w:lang/>
        </w:rPr>
        <w:t xml:space="preserve"> </w:t>
      </w:r>
      <w:r w:rsidRPr="00A444EC">
        <w:rPr>
          <w:rStyle w:val="hps"/>
          <w:rtl/>
          <w:lang/>
        </w:rPr>
        <w:t xml:space="preserve">19 </w:t>
      </w:r>
      <w:r w:rsidRPr="00A444EC">
        <w:rPr>
          <w:rStyle w:val="hps"/>
          <w:rFonts w:hint="cs"/>
          <w:rtl/>
          <w:lang/>
        </w:rPr>
        <w:t>أيار/</w:t>
      </w:r>
      <w:r w:rsidR="00297786" w:rsidRPr="00A444EC">
        <w:rPr>
          <w:rStyle w:val="hps"/>
          <w:rFonts w:hint="cs"/>
          <w:rtl/>
          <w:lang/>
        </w:rPr>
        <w:t xml:space="preserve"> </w:t>
      </w:r>
      <w:r w:rsidRPr="00A444EC">
        <w:rPr>
          <w:rStyle w:val="hps"/>
          <w:rtl/>
          <w:lang/>
        </w:rPr>
        <w:t>مايو</w:t>
      </w:r>
      <w:r w:rsidR="00297786" w:rsidRPr="00A444EC">
        <w:rPr>
          <w:rStyle w:val="hps"/>
          <w:rFonts w:hint="cs"/>
          <w:rtl/>
          <w:lang/>
        </w:rPr>
        <w:t> </w:t>
      </w:r>
      <w:r w:rsidRPr="00A444EC">
        <w:rPr>
          <w:rStyle w:val="hps"/>
          <w:rtl/>
          <w:lang/>
        </w:rPr>
        <w:t>2011</w:t>
      </w:r>
      <w:r w:rsidRPr="00A444EC">
        <w:rPr>
          <w:rFonts w:hint="cs"/>
          <w:rtl/>
          <w:lang/>
        </w:rPr>
        <w:t xml:space="preserve">، والذي رأت فيه أن هذه الوقائع تثبت احترام </w:t>
      </w:r>
      <w:r w:rsidRPr="00A444EC">
        <w:rPr>
          <w:rStyle w:val="hps"/>
          <w:rtl/>
          <w:lang/>
        </w:rPr>
        <w:t>تونس</w:t>
      </w:r>
      <w:r w:rsidRPr="00A444EC">
        <w:rPr>
          <w:rtl/>
          <w:lang/>
        </w:rPr>
        <w:t xml:space="preserve"> </w:t>
      </w:r>
      <w:r w:rsidRPr="00A444EC">
        <w:rPr>
          <w:rStyle w:val="hps"/>
          <w:rFonts w:hint="cs"/>
          <w:rtl/>
          <w:lang/>
        </w:rPr>
        <w:t>للضمانات التي قدمتها</w:t>
      </w:r>
      <w:r w:rsidRPr="00A444EC">
        <w:rPr>
          <w:rtl/>
          <w:lang/>
        </w:rPr>
        <w:t xml:space="preserve">. </w:t>
      </w:r>
      <w:r w:rsidRPr="00A444EC">
        <w:rPr>
          <w:rFonts w:hint="cs"/>
          <w:rtl/>
          <w:lang/>
        </w:rPr>
        <w:t>و</w:t>
      </w:r>
      <w:r w:rsidRPr="00A444EC">
        <w:rPr>
          <w:rStyle w:val="hps"/>
          <w:rFonts w:hint="cs"/>
          <w:rtl/>
          <w:lang/>
        </w:rPr>
        <w:t xml:space="preserve">لا يعزى حصول السيد أنسي عبيشو </w:t>
      </w:r>
      <w:r w:rsidRPr="00A444EC">
        <w:rPr>
          <w:rStyle w:val="hps"/>
          <w:rtl/>
          <w:lang/>
        </w:rPr>
        <w:t>على محاكمة عادلة</w:t>
      </w:r>
      <w:r w:rsidRPr="00A444EC">
        <w:rPr>
          <w:rtl/>
          <w:lang/>
        </w:rPr>
        <w:t xml:space="preserve"> </w:t>
      </w:r>
      <w:r w:rsidRPr="00A444EC">
        <w:rPr>
          <w:rStyle w:val="hps"/>
          <w:rFonts w:hint="cs"/>
          <w:rtl/>
          <w:lang/>
        </w:rPr>
        <w:t xml:space="preserve">في </w:t>
      </w:r>
      <w:r w:rsidRPr="00A444EC">
        <w:rPr>
          <w:rStyle w:val="hps"/>
          <w:rtl/>
          <w:lang/>
        </w:rPr>
        <w:t>الاستئناف</w:t>
      </w:r>
      <w:r w:rsidRPr="00A444EC">
        <w:rPr>
          <w:rStyle w:val="hps"/>
          <w:rFonts w:hint="cs"/>
          <w:rtl/>
          <w:lang/>
        </w:rPr>
        <w:t xml:space="preserve"> إلى </w:t>
      </w:r>
      <w:r w:rsidRPr="00A444EC">
        <w:rPr>
          <w:rStyle w:val="hps"/>
          <w:rtl/>
          <w:lang/>
        </w:rPr>
        <w:t>الضمانات الدبلوماسية</w:t>
      </w:r>
      <w:r w:rsidRPr="00A444EC">
        <w:rPr>
          <w:rtl/>
          <w:lang/>
        </w:rPr>
        <w:t xml:space="preserve"> </w:t>
      </w:r>
      <w:r w:rsidRPr="00A444EC">
        <w:rPr>
          <w:rStyle w:val="hps"/>
          <w:rtl/>
          <w:lang/>
        </w:rPr>
        <w:t>التي قدمتها الحكومة</w:t>
      </w:r>
      <w:r w:rsidRPr="00A444EC">
        <w:rPr>
          <w:rtl/>
          <w:lang/>
        </w:rPr>
        <w:t xml:space="preserve"> </w:t>
      </w:r>
      <w:r w:rsidRPr="00A444EC">
        <w:rPr>
          <w:rStyle w:val="hps"/>
          <w:rtl/>
          <w:lang/>
        </w:rPr>
        <w:t>التونسي</w:t>
      </w:r>
      <w:r w:rsidRPr="00A444EC">
        <w:rPr>
          <w:rStyle w:val="hps"/>
          <w:rFonts w:hint="cs"/>
          <w:rtl/>
          <w:lang/>
        </w:rPr>
        <w:t>ة</w:t>
      </w:r>
      <w:r w:rsidRPr="00A444EC">
        <w:rPr>
          <w:rStyle w:val="hps"/>
          <w:rtl/>
          <w:lang/>
        </w:rPr>
        <w:t xml:space="preserve"> السابق</w:t>
      </w:r>
      <w:r w:rsidRPr="00A444EC">
        <w:rPr>
          <w:rStyle w:val="hps"/>
          <w:rFonts w:hint="cs"/>
          <w:rtl/>
          <w:lang/>
        </w:rPr>
        <w:t>ة</w:t>
      </w:r>
      <w:r w:rsidRPr="00A444EC">
        <w:rPr>
          <w:rtl/>
          <w:lang/>
        </w:rPr>
        <w:t xml:space="preserve">، بل </w:t>
      </w:r>
      <w:r w:rsidRPr="00A444EC">
        <w:rPr>
          <w:rStyle w:val="hps"/>
          <w:rFonts w:hint="cs"/>
          <w:rtl/>
          <w:lang/>
        </w:rPr>
        <w:t xml:space="preserve">يعزى إلى التغييرات </w:t>
      </w:r>
      <w:r w:rsidRPr="00A444EC">
        <w:rPr>
          <w:rStyle w:val="hps"/>
          <w:rtl/>
          <w:lang/>
        </w:rPr>
        <w:t>الإيجابية التي</w:t>
      </w:r>
      <w:r w:rsidRPr="00A444EC">
        <w:rPr>
          <w:rtl/>
          <w:lang/>
        </w:rPr>
        <w:t xml:space="preserve"> </w:t>
      </w:r>
      <w:r w:rsidRPr="00A444EC">
        <w:rPr>
          <w:rStyle w:val="hps"/>
          <w:rFonts w:hint="cs"/>
          <w:rtl/>
          <w:lang/>
        </w:rPr>
        <w:t>أحدثتها</w:t>
      </w:r>
      <w:r w:rsidRPr="00A444EC">
        <w:rPr>
          <w:rtl/>
          <w:lang/>
        </w:rPr>
        <w:t xml:space="preserve"> </w:t>
      </w:r>
      <w:r w:rsidRPr="00A444EC">
        <w:rPr>
          <w:rStyle w:val="hps"/>
          <w:rtl/>
          <w:lang/>
        </w:rPr>
        <w:t>ثورة</w:t>
      </w:r>
      <w:r w:rsidRPr="00A444EC">
        <w:rPr>
          <w:rtl/>
          <w:lang/>
        </w:rPr>
        <w:t xml:space="preserve"> </w:t>
      </w:r>
      <w:r w:rsidRPr="00A444EC">
        <w:rPr>
          <w:rStyle w:val="hps"/>
          <w:rtl/>
          <w:lang/>
        </w:rPr>
        <w:t xml:space="preserve">14 </w:t>
      </w:r>
      <w:r w:rsidRPr="00A444EC">
        <w:rPr>
          <w:rStyle w:val="hps"/>
          <w:rFonts w:hint="cs"/>
          <w:rtl/>
          <w:lang/>
        </w:rPr>
        <w:t>كانون الثاني/</w:t>
      </w:r>
      <w:r w:rsidRPr="00A444EC">
        <w:rPr>
          <w:rStyle w:val="hps"/>
          <w:rtl/>
          <w:lang/>
        </w:rPr>
        <w:t>يناير 2011</w:t>
      </w:r>
      <w:r w:rsidRPr="00A444EC">
        <w:rPr>
          <w:rtl/>
          <w:lang/>
        </w:rPr>
        <w:t xml:space="preserve"> </w:t>
      </w:r>
      <w:r w:rsidRPr="00A444EC">
        <w:rPr>
          <w:rStyle w:val="hps"/>
          <w:rtl/>
          <w:lang/>
        </w:rPr>
        <w:t>و</w:t>
      </w:r>
      <w:r w:rsidRPr="00A444EC">
        <w:rPr>
          <w:rStyle w:val="hps"/>
          <w:rFonts w:hint="cs"/>
          <w:rtl/>
          <w:lang/>
        </w:rPr>
        <w:t>إلى</w:t>
      </w:r>
      <w:r w:rsidRPr="00A444EC">
        <w:rPr>
          <w:rtl/>
          <w:lang/>
        </w:rPr>
        <w:t xml:space="preserve"> </w:t>
      </w:r>
      <w:r w:rsidRPr="00A444EC">
        <w:rPr>
          <w:rStyle w:val="hps"/>
          <w:rFonts w:hint="cs"/>
          <w:rtl/>
          <w:lang/>
        </w:rPr>
        <w:t>التعبئة التي قامت بها منظمة العمل المسيحي من أجل إلغاء التعذيب - فرنسا</w:t>
      </w:r>
      <w:r w:rsidRPr="00A444EC">
        <w:rPr>
          <w:rtl/>
          <w:lang/>
        </w:rPr>
        <w:t xml:space="preserve"> و</w:t>
      </w:r>
      <w:r w:rsidRPr="00A444EC">
        <w:rPr>
          <w:rFonts w:hint="cs"/>
          <w:rtl/>
          <w:lang/>
        </w:rPr>
        <w:t xml:space="preserve">السيدة </w:t>
      </w:r>
      <w:r w:rsidRPr="00A444EC">
        <w:rPr>
          <w:rtl/>
          <w:lang/>
        </w:rPr>
        <w:t xml:space="preserve">راضية نصراوي، </w:t>
      </w:r>
      <w:r w:rsidRPr="00A444EC">
        <w:rPr>
          <w:rStyle w:val="hps"/>
          <w:rtl/>
          <w:lang/>
        </w:rPr>
        <w:t>محامي</w:t>
      </w:r>
      <w:r w:rsidRPr="00A444EC">
        <w:rPr>
          <w:rStyle w:val="hps"/>
          <w:rFonts w:hint="cs"/>
          <w:rtl/>
          <w:lang/>
        </w:rPr>
        <w:t>ة</w:t>
      </w:r>
      <w:r w:rsidRPr="00A444EC">
        <w:rPr>
          <w:rtl/>
          <w:lang/>
        </w:rPr>
        <w:t xml:space="preserve"> </w:t>
      </w:r>
      <w:r w:rsidRPr="00A444EC">
        <w:rPr>
          <w:rStyle w:val="hps"/>
          <w:rtl/>
          <w:lang/>
        </w:rPr>
        <w:t>المتهم</w:t>
      </w:r>
      <w:r w:rsidRPr="00A444EC">
        <w:rPr>
          <w:rStyle w:val="hps"/>
          <w:rFonts w:hint="cs"/>
          <w:rtl/>
          <w:lang/>
        </w:rPr>
        <w:t xml:space="preserve"> بشأن القضية</w:t>
      </w:r>
      <w:r w:rsidRPr="00A444EC">
        <w:rPr>
          <w:rStyle w:val="hps"/>
          <w:rtl/>
          <w:lang/>
        </w:rPr>
        <w:t>.</w:t>
      </w:r>
      <w:r w:rsidRPr="00A444EC">
        <w:rPr>
          <w:rtl/>
          <w:lang/>
        </w:rPr>
        <w:t xml:space="preserve"> </w:t>
      </w:r>
      <w:r w:rsidRPr="00A444EC">
        <w:rPr>
          <w:rFonts w:hint="cs"/>
          <w:rtl/>
          <w:lang/>
        </w:rPr>
        <w:t xml:space="preserve">وقد </w:t>
      </w:r>
      <w:r w:rsidRPr="00A444EC">
        <w:rPr>
          <w:rStyle w:val="hps"/>
          <w:rFonts w:hint="cs"/>
          <w:rtl/>
          <w:lang/>
        </w:rPr>
        <w:t>أدت هذه التعبئة بوجه خاص إلى السماح ب</w:t>
      </w:r>
      <w:r w:rsidRPr="00A444EC">
        <w:rPr>
          <w:rStyle w:val="hps"/>
          <w:rtl/>
          <w:lang/>
        </w:rPr>
        <w:t>مواجهة الشهود</w:t>
      </w:r>
      <w:r w:rsidRPr="00A444EC">
        <w:rPr>
          <w:rFonts w:hint="cs"/>
          <w:rtl/>
          <w:lang/>
        </w:rPr>
        <w:t>، وهو</w:t>
      </w:r>
      <w:r w:rsidRPr="00A444EC">
        <w:rPr>
          <w:rtl/>
          <w:lang/>
        </w:rPr>
        <w:t xml:space="preserve"> </w:t>
      </w:r>
      <w:r w:rsidRPr="00A444EC">
        <w:rPr>
          <w:rStyle w:val="hps"/>
          <w:rtl/>
          <w:lang/>
        </w:rPr>
        <w:t>إجراء</w:t>
      </w:r>
      <w:r w:rsidRPr="00A444EC">
        <w:rPr>
          <w:rtl/>
          <w:lang/>
        </w:rPr>
        <w:t xml:space="preserve"> </w:t>
      </w:r>
      <w:r w:rsidRPr="00A444EC">
        <w:rPr>
          <w:rStyle w:val="hps"/>
          <w:rtl/>
          <w:lang/>
        </w:rPr>
        <w:t>غير مسبوق</w:t>
      </w:r>
      <w:r w:rsidRPr="00A444EC">
        <w:rPr>
          <w:rtl/>
          <w:lang/>
        </w:rPr>
        <w:t xml:space="preserve"> </w:t>
      </w:r>
      <w:r w:rsidRPr="00A444EC">
        <w:rPr>
          <w:rStyle w:val="hps"/>
          <w:rtl/>
          <w:lang/>
        </w:rPr>
        <w:t xml:space="preserve">في الممارسة </w:t>
      </w:r>
      <w:r w:rsidRPr="00A444EC">
        <w:rPr>
          <w:rStyle w:val="hps"/>
          <w:rFonts w:hint="cs"/>
          <w:rtl/>
          <w:lang/>
        </w:rPr>
        <w:t xml:space="preserve">القضائية </w:t>
      </w:r>
      <w:r w:rsidRPr="00A444EC">
        <w:rPr>
          <w:rStyle w:val="hps"/>
          <w:rtl/>
          <w:lang/>
        </w:rPr>
        <w:t>التونسية</w:t>
      </w:r>
      <w:r w:rsidRPr="00A444EC">
        <w:rPr>
          <w:rtl/>
          <w:lang/>
        </w:rPr>
        <w:t xml:space="preserve">. </w:t>
      </w:r>
      <w:r w:rsidRPr="00A444EC">
        <w:rPr>
          <w:rStyle w:val="hps"/>
          <w:rFonts w:hint="cs"/>
          <w:rtl/>
          <w:lang/>
        </w:rPr>
        <w:t xml:space="preserve">وأغفلت </w:t>
      </w:r>
      <w:r w:rsidRPr="00A444EC">
        <w:rPr>
          <w:rStyle w:val="hps"/>
          <w:rtl/>
          <w:lang/>
        </w:rPr>
        <w:t>الدولة الطرف</w:t>
      </w:r>
      <w:r w:rsidRPr="00A444EC">
        <w:rPr>
          <w:rtl/>
          <w:lang/>
        </w:rPr>
        <w:t xml:space="preserve"> </w:t>
      </w:r>
      <w:r w:rsidRPr="00A444EC">
        <w:rPr>
          <w:rStyle w:val="hps"/>
          <w:rFonts w:hint="cs"/>
          <w:rtl/>
          <w:lang/>
        </w:rPr>
        <w:t xml:space="preserve">عن عمد </w:t>
      </w:r>
      <w:r w:rsidRPr="00A444EC">
        <w:rPr>
          <w:rFonts w:hint="cs"/>
          <w:rtl/>
          <w:lang/>
        </w:rPr>
        <w:t>ال</w:t>
      </w:r>
      <w:r w:rsidRPr="00A444EC">
        <w:rPr>
          <w:rStyle w:val="hps"/>
          <w:rtl/>
          <w:lang/>
        </w:rPr>
        <w:t xml:space="preserve">تغيير </w:t>
      </w:r>
      <w:r w:rsidRPr="00A444EC">
        <w:rPr>
          <w:rStyle w:val="hps"/>
          <w:rFonts w:hint="cs"/>
          <w:rtl/>
          <w:lang/>
        </w:rPr>
        <w:t>ال</w:t>
      </w:r>
      <w:r w:rsidRPr="00A444EC">
        <w:rPr>
          <w:rStyle w:val="hps"/>
          <w:rtl/>
          <w:lang/>
        </w:rPr>
        <w:t xml:space="preserve">سياسي </w:t>
      </w:r>
      <w:r w:rsidRPr="00A444EC">
        <w:rPr>
          <w:rStyle w:val="hps"/>
          <w:rFonts w:hint="cs"/>
          <w:rtl/>
          <w:lang/>
        </w:rPr>
        <w:t>ال</w:t>
      </w:r>
      <w:r w:rsidRPr="00A444EC">
        <w:rPr>
          <w:rStyle w:val="hps"/>
          <w:rtl/>
          <w:lang/>
        </w:rPr>
        <w:t>جذري</w:t>
      </w:r>
      <w:r w:rsidRPr="00A444EC">
        <w:rPr>
          <w:rtl/>
          <w:lang/>
        </w:rPr>
        <w:t xml:space="preserve"> </w:t>
      </w:r>
      <w:r w:rsidRPr="00A444EC">
        <w:rPr>
          <w:rStyle w:val="hps"/>
          <w:rFonts w:hint="cs"/>
          <w:rtl/>
          <w:lang/>
        </w:rPr>
        <w:t>الذي سمح ب</w:t>
      </w:r>
      <w:r w:rsidRPr="00A444EC">
        <w:rPr>
          <w:rStyle w:val="hps"/>
          <w:rtl/>
          <w:lang/>
        </w:rPr>
        <w:t>تبرئة</w:t>
      </w:r>
      <w:r w:rsidRPr="00A444EC">
        <w:rPr>
          <w:rtl/>
          <w:lang/>
        </w:rPr>
        <w:t xml:space="preserve"> </w:t>
      </w:r>
      <w:r w:rsidRPr="00A444EC">
        <w:rPr>
          <w:rStyle w:val="hps"/>
          <w:rFonts w:hint="cs"/>
          <w:rtl/>
          <w:lang/>
        </w:rPr>
        <w:t xml:space="preserve">السيد أنسي عبيشو، </w:t>
      </w:r>
      <w:r w:rsidRPr="00A444EC">
        <w:rPr>
          <w:rStyle w:val="hps"/>
          <w:rtl/>
          <w:lang/>
        </w:rPr>
        <w:t>و</w:t>
      </w:r>
      <w:r w:rsidRPr="00A444EC">
        <w:rPr>
          <w:rStyle w:val="hps"/>
          <w:rFonts w:hint="cs"/>
          <w:rtl/>
          <w:lang/>
        </w:rPr>
        <w:t>لم تتطرق إلى ال</w:t>
      </w:r>
      <w:r w:rsidRPr="00A444EC">
        <w:rPr>
          <w:rStyle w:val="hps"/>
          <w:rtl/>
          <w:lang/>
        </w:rPr>
        <w:t xml:space="preserve">محاكمة </w:t>
      </w:r>
      <w:r w:rsidRPr="00A444EC">
        <w:rPr>
          <w:rStyle w:val="hps"/>
          <w:rFonts w:hint="cs"/>
          <w:rtl/>
          <w:lang/>
        </w:rPr>
        <w:t>ال</w:t>
      </w:r>
      <w:r w:rsidRPr="00A444EC">
        <w:rPr>
          <w:rStyle w:val="hps"/>
          <w:rtl/>
          <w:lang/>
        </w:rPr>
        <w:t>جائرة</w:t>
      </w:r>
      <w:r w:rsidRPr="00A444EC">
        <w:rPr>
          <w:rtl/>
          <w:lang/>
        </w:rPr>
        <w:t xml:space="preserve"> </w:t>
      </w:r>
      <w:r w:rsidRPr="00A444EC">
        <w:rPr>
          <w:rStyle w:val="hps"/>
          <w:rtl/>
          <w:lang/>
        </w:rPr>
        <w:t>ال</w:t>
      </w:r>
      <w:r w:rsidRPr="00A444EC">
        <w:rPr>
          <w:rStyle w:val="hps"/>
          <w:rFonts w:hint="cs"/>
          <w:rtl/>
          <w:lang/>
        </w:rPr>
        <w:t>ت</w:t>
      </w:r>
      <w:r w:rsidRPr="00A444EC">
        <w:rPr>
          <w:rStyle w:val="hps"/>
          <w:rtl/>
          <w:lang/>
        </w:rPr>
        <w:t>ي</w:t>
      </w:r>
      <w:r w:rsidRPr="00A444EC">
        <w:rPr>
          <w:rtl/>
          <w:lang/>
        </w:rPr>
        <w:t xml:space="preserve"> </w:t>
      </w:r>
      <w:r w:rsidRPr="00A444EC">
        <w:rPr>
          <w:rStyle w:val="hps"/>
          <w:rFonts w:hint="cs"/>
          <w:rtl/>
          <w:lang/>
        </w:rPr>
        <w:t xml:space="preserve">خضع </w:t>
      </w:r>
      <w:r w:rsidRPr="00A444EC">
        <w:rPr>
          <w:rStyle w:val="hps"/>
          <w:rtl/>
          <w:lang/>
        </w:rPr>
        <w:t>له</w:t>
      </w:r>
      <w:r w:rsidRPr="00A444EC">
        <w:rPr>
          <w:rStyle w:val="hps"/>
          <w:rFonts w:hint="cs"/>
          <w:rtl/>
          <w:lang/>
        </w:rPr>
        <w:t>ا</w:t>
      </w:r>
      <w:r w:rsidRPr="00A444EC">
        <w:rPr>
          <w:rtl/>
          <w:lang/>
        </w:rPr>
        <w:t xml:space="preserve"> </w:t>
      </w:r>
      <w:r w:rsidRPr="00A444EC">
        <w:rPr>
          <w:rStyle w:val="hps"/>
          <w:rFonts w:hint="cs"/>
          <w:rtl/>
          <w:lang/>
        </w:rPr>
        <w:t xml:space="preserve">في أول درجة </w:t>
      </w:r>
      <w:r w:rsidRPr="00A444EC">
        <w:rPr>
          <w:rStyle w:val="hps"/>
          <w:rtl/>
          <w:lang/>
        </w:rPr>
        <w:t xml:space="preserve">قبل </w:t>
      </w:r>
      <w:r w:rsidRPr="00A444EC">
        <w:rPr>
          <w:rStyle w:val="hps"/>
          <w:rFonts w:hint="cs"/>
          <w:rtl/>
          <w:lang/>
        </w:rPr>
        <w:t>اندلاع</w:t>
      </w:r>
      <w:r w:rsidRPr="00A444EC">
        <w:rPr>
          <w:rtl/>
          <w:lang/>
        </w:rPr>
        <w:t xml:space="preserve"> </w:t>
      </w:r>
      <w:r w:rsidRPr="00A444EC">
        <w:rPr>
          <w:rStyle w:val="hps"/>
          <w:rtl/>
          <w:lang/>
        </w:rPr>
        <w:t xml:space="preserve">الثورة </w:t>
      </w:r>
      <w:r w:rsidRPr="00A444EC">
        <w:rPr>
          <w:rStyle w:val="hps"/>
          <w:rFonts w:hint="cs"/>
          <w:rtl/>
          <w:lang/>
        </w:rPr>
        <w:t>ب</w:t>
      </w:r>
      <w:r w:rsidRPr="00A444EC">
        <w:rPr>
          <w:rStyle w:val="hps"/>
          <w:rtl/>
          <w:lang/>
        </w:rPr>
        <w:t>شهر.</w:t>
      </w:r>
      <w:r w:rsidRPr="00A444EC">
        <w:rPr>
          <w:rtl/>
          <w:lang/>
        </w:rPr>
        <w:t xml:space="preserve"> </w:t>
      </w:r>
      <w:r w:rsidRPr="00A444EC">
        <w:rPr>
          <w:rStyle w:val="hps"/>
          <w:rtl/>
          <w:lang/>
        </w:rPr>
        <w:t>وتشير</w:t>
      </w:r>
      <w:r w:rsidRPr="00A444EC">
        <w:rPr>
          <w:rtl/>
          <w:lang/>
        </w:rPr>
        <w:t xml:space="preserve"> </w:t>
      </w:r>
      <w:r w:rsidRPr="00A444EC">
        <w:rPr>
          <w:rFonts w:hint="cs"/>
          <w:rtl/>
          <w:lang/>
        </w:rPr>
        <w:t xml:space="preserve">صاحبة </w:t>
      </w:r>
      <w:r w:rsidRPr="00A444EC">
        <w:rPr>
          <w:rStyle w:val="hps"/>
          <w:rtl/>
          <w:lang/>
        </w:rPr>
        <w:t>الشكوى</w:t>
      </w:r>
      <w:r w:rsidRPr="00A444EC">
        <w:rPr>
          <w:rStyle w:val="hps"/>
          <w:rFonts w:hint="cs"/>
          <w:rtl/>
          <w:lang/>
        </w:rPr>
        <w:t xml:space="preserve"> أخير</w:t>
      </w:r>
      <w:r w:rsidRPr="00A444EC">
        <w:rPr>
          <w:rFonts w:hint="cs"/>
          <w:rtl/>
          <w:lang/>
        </w:rPr>
        <w:t>اً</w:t>
      </w:r>
      <w:r w:rsidRPr="00A444EC">
        <w:rPr>
          <w:rtl/>
          <w:lang/>
        </w:rPr>
        <w:t xml:space="preserve"> إلى </w:t>
      </w:r>
      <w:r w:rsidRPr="00A444EC">
        <w:rPr>
          <w:rStyle w:val="hps"/>
          <w:rtl/>
          <w:lang/>
        </w:rPr>
        <w:t>الخطأ</w:t>
      </w:r>
      <w:r w:rsidRPr="00A444EC">
        <w:rPr>
          <w:rtl/>
          <w:lang/>
        </w:rPr>
        <w:t xml:space="preserve"> </w:t>
      </w:r>
      <w:r w:rsidRPr="00A444EC">
        <w:rPr>
          <w:rStyle w:val="hps"/>
          <w:rtl/>
          <w:lang/>
        </w:rPr>
        <w:t>ال</w:t>
      </w:r>
      <w:r w:rsidRPr="00A444EC">
        <w:rPr>
          <w:rStyle w:val="hps"/>
          <w:rFonts w:hint="cs"/>
          <w:rtl/>
          <w:lang/>
        </w:rPr>
        <w:t>ذي</w:t>
      </w:r>
      <w:r w:rsidRPr="00A444EC">
        <w:rPr>
          <w:rStyle w:val="hps"/>
          <w:rtl/>
          <w:lang/>
        </w:rPr>
        <w:t xml:space="preserve"> </w:t>
      </w:r>
      <w:r w:rsidRPr="00A444EC">
        <w:rPr>
          <w:rStyle w:val="hps"/>
          <w:rFonts w:hint="cs"/>
          <w:rtl/>
          <w:lang/>
        </w:rPr>
        <w:t>وقعت فيه</w:t>
      </w:r>
      <w:r w:rsidRPr="00A444EC">
        <w:rPr>
          <w:rtl/>
          <w:lang/>
        </w:rPr>
        <w:t xml:space="preserve"> </w:t>
      </w:r>
      <w:r w:rsidRPr="00A444EC">
        <w:rPr>
          <w:rStyle w:val="hps"/>
          <w:rtl/>
          <w:lang/>
        </w:rPr>
        <w:t>المحكمة العليا</w:t>
      </w:r>
      <w:r w:rsidRPr="00A444EC">
        <w:rPr>
          <w:rtl/>
          <w:lang/>
        </w:rPr>
        <w:t xml:space="preserve"> </w:t>
      </w:r>
      <w:r w:rsidRPr="00A444EC">
        <w:rPr>
          <w:rStyle w:val="hps"/>
          <w:rtl/>
          <w:lang/>
        </w:rPr>
        <w:t>الإقليمية</w:t>
      </w:r>
      <w:r w:rsidRPr="00A444EC">
        <w:rPr>
          <w:rtl/>
          <w:lang/>
        </w:rPr>
        <w:t xml:space="preserve"> </w:t>
      </w:r>
      <w:r w:rsidRPr="00A444EC">
        <w:rPr>
          <w:rFonts w:hint="cs"/>
          <w:rtl/>
          <w:lang/>
        </w:rPr>
        <w:t xml:space="preserve">في </w:t>
      </w:r>
      <w:r w:rsidRPr="00A444EC">
        <w:rPr>
          <w:rStyle w:val="hps"/>
          <w:rtl/>
          <w:lang/>
        </w:rPr>
        <w:t>ساربروكن</w:t>
      </w:r>
      <w:r w:rsidRPr="00A444EC">
        <w:rPr>
          <w:rtl/>
          <w:lang/>
        </w:rPr>
        <w:t xml:space="preserve">، </w:t>
      </w:r>
      <w:r w:rsidRPr="00A444EC">
        <w:rPr>
          <w:rStyle w:val="hps"/>
          <w:rFonts w:hint="cs"/>
          <w:rtl/>
          <w:lang/>
        </w:rPr>
        <w:t>عندما رأت أن إدانة السيد</w:t>
      </w:r>
      <w:r w:rsidRPr="00A444EC">
        <w:rPr>
          <w:rtl/>
          <w:lang/>
        </w:rPr>
        <w:t xml:space="preserve"> </w:t>
      </w:r>
      <w:r w:rsidRPr="00A444EC">
        <w:rPr>
          <w:rStyle w:val="hps"/>
          <w:rtl/>
          <w:lang/>
        </w:rPr>
        <w:t>أنسي</w:t>
      </w:r>
      <w:r w:rsidRPr="00A444EC">
        <w:rPr>
          <w:rtl/>
          <w:lang/>
        </w:rPr>
        <w:t xml:space="preserve"> </w:t>
      </w:r>
      <w:r w:rsidRPr="00A444EC">
        <w:rPr>
          <w:rStyle w:val="hps"/>
          <w:rFonts w:hint="cs"/>
          <w:rtl/>
          <w:lang/>
        </w:rPr>
        <w:t>عبيشو</w:t>
      </w:r>
      <w:r w:rsidRPr="00A444EC">
        <w:rPr>
          <w:rtl/>
          <w:lang/>
        </w:rPr>
        <w:t xml:space="preserve"> </w:t>
      </w:r>
      <w:r w:rsidRPr="00A444EC">
        <w:rPr>
          <w:rStyle w:val="hps"/>
          <w:rFonts w:hint="cs"/>
          <w:rtl/>
          <w:lang/>
        </w:rPr>
        <w:t xml:space="preserve">تستند إلى </w:t>
      </w:r>
      <w:r w:rsidRPr="00A444EC">
        <w:rPr>
          <w:rStyle w:val="hps"/>
          <w:rtl/>
          <w:lang/>
        </w:rPr>
        <w:t xml:space="preserve">أدلة </w:t>
      </w:r>
      <w:r w:rsidRPr="00A444EC">
        <w:rPr>
          <w:rStyle w:val="hps"/>
          <w:rFonts w:hint="cs"/>
          <w:rtl/>
          <w:lang/>
        </w:rPr>
        <w:t>داعمة</w:t>
      </w:r>
      <w:r w:rsidRPr="00A444EC">
        <w:rPr>
          <w:rStyle w:val="hps"/>
          <w:rtl/>
          <w:lang/>
        </w:rPr>
        <w:t xml:space="preserve"> أخرى</w:t>
      </w:r>
      <w:r w:rsidRPr="00A444EC">
        <w:rPr>
          <w:rtl/>
          <w:lang/>
        </w:rPr>
        <w:t xml:space="preserve"> </w:t>
      </w:r>
      <w:r w:rsidRPr="00A444EC">
        <w:rPr>
          <w:rStyle w:val="hps"/>
          <w:rtl/>
          <w:lang/>
        </w:rPr>
        <w:t xml:space="preserve">وليس إلى </w:t>
      </w:r>
      <w:r w:rsidRPr="00A444EC">
        <w:rPr>
          <w:rStyle w:val="hps"/>
          <w:rFonts w:hint="cs"/>
          <w:rtl/>
          <w:lang/>
        </w:rPr>
        <w:t>تصريحات</w:t>
      </w:r>
      <w:r w:rsidRPr="00A444EC">
        <w:rPr>
          <w:rStyle w:val="hps"/>
          <w:rtl/>
          <w:lang/>
        </w:rPr>
        <w:t xml:space="preserve"> الشهود</w:t>
      </w:r>
      <w:r w:rsidRPr="00A444EC">
        <w:rPr>
          <w:rtl/>
          <w:lang/>
        </w:rPr>
        <w:t xml:space="preserve"> </w:t>
      </w:r>
      <w:r w:rsidRPr="00A444EC">
        <w:rPr>
          <w:rStyle w:val="hps"/>
          <w:rtl/>
          <w:lang/>
        </w:rPr>
        <w:t>الذين</w:t>
      </w:r>
      <w:r w:rsidRPr="00A444EC">
        <w:rPr>
          <w:rtl/>
          <w:lang/>
        </w:rPr>
        <w:t xml:space="preserve"> </w:t>
      </w:r>
      <w:r w:rsidRPr="00A444EC">
        <w:rPr>
          <w:rStyle w:val="hps"/>
          <w:rtl/>
          <w:lang/>
        </w:rPr>
        <w:t>تعرضوا للتعذيب</w:t>
      </w:r>
      <w:r w:rsidRPr="00A444EC">
        <w:rPr>
          <w:rtl/>
          <w:lang/>
        </w:rPr>
        <w:t xml:space="preserve">. </w:t>
      </w:r>
      <w:r w:rsidRPr="00A444EC">
        <w:rPr>
          <w:rStyle w:val="hps"/>
          <w:rtl/>
          <w:lang/>
        </w:rPr>
        <w:t>و</w:t>
      </w:r>
      <w:r w:rsidRPr="00A444EC">
        <w:rPr>
          <w:rStyle w:val="hps"/>
          <w:rFonts w:hint="cs"/>
          <w:rtl/>
          <w:lang/>
        </w:rPr>
        <w:t xml:space="preserve">ترى صاحبة </w:t>
      </w:r>
      <w:r w:rsidRPr="00A444EC">
        <w:rPr>
          <w:rtl/>
          <w:lang/>
        </w:rPr>
        <w:t>الشكوى</w:t>
      </w:r>
      <w:r w:rsidRPr="00A444EC">
        <w:rPr>
          <w:rFonts w:hint="cs"/>
          <w:rtl/>
          <w:lang/>
        </w:rPr>
        <w:t xml:space="preserve"> أن</w:t>
      </w:r>
      <w:r w:rsidRPr="00A444EC">
        <w:rPr>
          <w:rtl/>
          <w:lang/>
        </w:rPr>
        <w:t xml:space="preserve"> </w:t>
      </w:r>
      <w:r w:rsidRPr="00A444EC">
        <w:rPr>
          <w:rStyle w:val="hps"/>
          <w:rtl/>
          <w:lang/>
        </w:rPr>
        <w:t>تبرئة</w:t>
      </w:r>
      <w:r w:rsidRPr="00A444EC">
        <w:rPr>
          <w:rtl/>
          <w:lang/>
        </w:rPr>
        <w:t xml:space="preserve"> </w:t>
      </w:r>
      <w:r w:rsidRPr="00A444EC">
        <w:rPr>
          <w:rStyle w:val="hps"/>
          <w:rFonts w:hint="cs"/>
          <w:rtl/>
          <w:lang/>
        </w:rPr>
        <w:t>السيد أنسي عبيشو</w:t>
      </w:r>
      <w:r w:rsidRPr="00A444EC">
        <w:rPr>
          <w:rtl/>
          <w:lang/>
        </w:rPr>
        <w:t xml:space="preserve"> </w:t>
      </w:r>
      <w:r w:rsidRPr="00A444EC">
        <w:rPr>
          <w:rStyle w:val="hps"/>
          <w:rFonts w:hint="cs"/>
          <w:rtl/>
          <w:lang/>
        </w:rPr>
        <w:t>في الاستئناف</w:t>
      </w:r>
      <w:r w:rsidRPr="00A444EC">
        <w:rPr>
          <w:rtl/>
          <w:lang/>
        </w:rPr>
        <w:t xml:space="preserve"> </w:t>
      </w:r>
      <w:r w:rsidRPr="00A444EC">
        <w:rPr>
          <w:rStyle w:val="hps"/>
          <w:rtl/>
          <w:lang/>
        </w:rPr>
        <w:t>التونسي</w:t>
      </w:r>
      <w:r w:rsidRPr="00A444EC">
        <w:rPr>
          <w:rtl/>
          <w:lang/>
        </w:rPr>
        <w:t xml:space="preserve"> </w:t>
      </w:r>
      <w:r w:rsidRPr="00A444EC">
        <w:rPr>
          <w:rStyle w:val="hps"/>
          <w:rFonts w:hint="cs"/>
          <w:rtl/>
          <w:lang/>
        </w:rPr>
        <w:t>تثبت عكس ذلك</w:t>
      </w:r>
      <w:r w:rsidRPr="00A444EC">
        <w:rPr>
          <w:rtl/>
          <w:lang/>
        </w:rPr>
        <w:t>.</w:t>
      </w:r>
    </w:p>
    <w:p w:rsidR="005E110C" w:rsidRPr="00A444EC" w:rsidRDefault="005E110C" w:rsidP="007C1E0E">
      <w:pPr>
        <w:pStyle w:val="SingleTxtGA"/>
        <w:rPr>
          <w:rtl/>
          <w:lang/>
        </w:rPr>
      </w:pPr>
      <w:r w:rsidRPr="00A444EC">
        <w:rPr>
          <w:rtl/>
        </w:rPr>
        <w:t>8-8</w:t>
      </w:r>
      <w:r w:rsidRPr="00A444EC">
        <w:rPr>
          <w:rtl/>
        </w:rPr>
        <w:tab/>
      </w:r>
      <w:r w:rsidRPr="00A444EC">
        <w:rPr>
          <w:rStyle w:val="hps"/>
          <w:rtl/>
          <w:lang/>
        </w:rPr>
        <w:t>وأخيرا</w:t>
      </w:r>
      <w:r w:rsidRPr="00A444EC">
        <w:rPr>
          <w:rStyle w:val="hps"/>
          <w:rFonts w:hint="cs"/>
          <w:rtl/>
          <w:lang/>
        </w:rPr>
        <w:t>ً</w:t>
      </w:r>
      <w:r w:rsidRPr="00A444EC">
        <w:rPr>
          <w:rtl/>
          <w:lang/>
        </w:rPr>
        <w:t>،</w:t>
      </w:r>
      <w:r w:rsidRPr="00A444EC">
        <w:rPr>
          <w:rFonts w:hint="cs"/>
          <w:rtl/>
          <w:lang/>
        </w:rPr>
        <w:t xml:space="preserve"> تشير صاحبة الشكوى، في معرض ردها على حجة </w:t>
      </w:r>
      <w:r w:rsidRPr="00A444EC">
        <w:rPr>
          <w:rStyle w:val="hps"/>
          <w:rtl/>
          <w:lang/>
        </w:rPr>
        <w:t>الدولة الطرف</w:t>
      </w:r>
      <w:r w:rsidRPr="00A444EC">
        <w:rPr>
          <w:rStyle w:val="hps"/>
          <w:rFonts w:hint="cs"/>
          <w:rtl/>
          <w:lang/>
        </w:rPr>
        <w:t xml:space="preserve"> </w:t>
      </w:r>
      <w:r w:rsidRPr="00A444EC">
        <w:rPr>
          <w:rStyle w:val="hps"/>
          <w:rtl/>
          <w:lang/>
        </w:rPr>
        <w:t xml:space="preserve">بأن </w:t>
      </w:r>
      <w:r w:rsidRPr="00A444EC">
        <w:rPr>
          <w:rStyle w:val="hps"/>
          <w:rFonts w:hint="cs"/>
          <w:rtl/>
          <w:lang/>
        </w:rPr>
        <w:t xml:space="preserve">ادعاءات ممارسة </w:t>
      </w:r>
      <w:r w:rsidRPr="00A444EC">
        <w:rPr>
          <w:rStyle w:val="hps"/>
          <w:rtl/>
          <w:lang/>
        </w:rPr>
        <w:t>التعذيب</w:t>
      </w:r>
      <w:r w:rsidRPr="00A444EC">
        <w:rPr>
          <w:rtl/>
          <w:lang/>
        </w:rPr>
        <w:t xml:space="preserve"> </w:t>
      </w:r>
      <w:r w:rsidRPr="00A444EC">
        <w:rPr>
          <w:rStyle w:val="hps"/>
          <w:rFonts w:hint="cs"/>
          <w:rtl/>
          <w:lang/>
        </w:rPr>
        <w:t>ضد</w:t>
      </w:r>
      <w:r w:rsidRPr="00A444EC">
        <w:rPr>
          <w:rtl/>
          <w:lang/>
        </w:rPr>
        <w:t xml:space="preserve"> </w:t>
      </w:r>
      <w:r w:rsidRPr="00A444EC">
        <w:rPr>
          <w:rStyle w:val="hps"/>
          <w:rFonts w:hint="cs"/>
          <w:rtl/>
          <w:lang/>
        </w:rPr>
        <w:t>شركاء السيد</w:t>
      </w:r>
      <w:r w:rsidRPr="00A444EC">
        <w:rPr>
          <w:rtl/>
          <w:lang/>
        </w:rPr>
        <w:t xml:space="preserve"> </w:t>
      </w:r>
      <w:r w:rsidRPr="00A444EC">
        <w:rPr>
          <w:rStyle w:val="hps"/>
          <w:rtl/>
          <w:lang/>
        </w:rPr>
        <w:t>أنسي</w:t>
      </w:r>
      <w:r w:rsidRPr="00A444EC">
        <w:rPr>
          <w:rStyle w:val="hps"/>
          <w:rFonts w:hint="cs"/>
          <w:rtl/>
          <w:lang/>
        </w:rPr>
        <w:t xml:space="preserve"> عبيشو </w:t>
      </w:r>
      <w:r w:rsidRPr="00A444EC">
        <w:rPr>
          <w:rStyle w:val="hps"/>
          <w:rtl/>
          <w:lang/>
        </w:rPr>
        <w:t>ل</w:t>
      </w:r>
      <w:r w:rsidRPr="00A444EC">
        <w:rPr>
          <w:rtl/>
          <w:lang/>
        </w:rPr>
        <w:t>م تكن موثقة بالأدلة</w:t>
      </w:r>
      <w:r w:rsidRPr="00A444EC">
        <w:rPr>
          <w:vertAlign w:val="superscript"/>
          <w:rtl/>
          <w:lang w:val="fr-CH"/>
        </w:rPr>
        <w:t>(</w:t>
      </w:r>
      <w:r w:rsidRPr="00A444EC">
        <w:rPr>
          <w:rStyle w:val="FootnoteReference"/>
          <w:rtl/>
          <w:lang w:val="fr-CH"/>
        </w:rPr>
        <w:footnoteReference w:id="147"/>
      </w:r>
      <w:r w:rsidRPr="00A444EC">
        <w:rPr>
          <w:vertAlign w:val="superscript"/>
          <w:rtl/>
          <w:lang w:val="fr-CH"/>
        </w:rPr>
        <w:t>)</w:t>
      </w:r>
      <w:r w:rsidRPr="00A444EC">
        <w:rPr>
          <w:rtl/>
          <w:lang/>
        </w:rPr>
        <w:t xml:space="preserve">، إلى </w:t>
      </w:r>
      <w:r w:rsidRPr="00A444EC">
        <w:rPr>
          <w:rStyle w:val="hps"/>
          <w:rFonts w:hint="cs"/>
          <w:rtl/>
          <w:lang/>
        </w:rPr>
        <w:t>محضرين لمقابلتين أجرتهما منظمة العمل المسيحي من أجل إلغاء التعذيب - فرنسا</w:t>
      </w:r>
      <w:r w:rsidRPr="00A444EC">
        <w:rPr>
          <w:rtl/>
          <w:lang/>
        </w:rPr>
        <w:t xml:space="preserve"> </w:t>
      </w:r>
      <w:r w:rsidRPr="00A444EC">
        <w:rPr>
          <w:rStyle w:val="hps"/>
          <w:rFonts w:hint="cs"/>
          <w:rtl/>
          <w:lang/>
        </w:rPr>
        <w:t xml:space="preserve">في </w:t>
      </w:r>
      <w:r w:rsidRPr="00A444EC">
        <w:rPr>
          <w:rStyle w:val="hps"/>
          <w:rtl/>
          <w:lang/>
        </w:rPr>
        <w:t xml:space="preserve">21 </w:t>
      </w:r>
      <w:r w:rsidRPr="00A444EC">
        <w:rPr>
          <w:rStyle w:val="hps"/>
          <w:rFonts w:hint="cs"/>
          <w:rtl/>
          <w:lang/>
        </w:rPr>
        <w:t>آذار/</w:t>
      </w:r>
      <w:r w:rsidRPr="00A444EC">
        <w:rPr>
          <w:rStyle w:val="hps"/>
          <w:rtl/>
          <w:lang/>
        </w:rPr>
        <w:t>مارس</w:t>
      </w:r>
      <w:r w:rsidRPr="00A444EC">
        <w:rPr>
          <w:rtl/>
          <w:lang/>
        </w:rPr>
        <w:t xml:space="preserve"> </w:t>
      </w:r>
      <w:r w:rsidRPr="00A444EC">
        <w:rPr>
          <w:rStyle w:val="hps"/>
          <w:rtl/>
          <w:lang/>
        </w:rPr>
        <w:t>2011</w:t>
      </w:r>
      <w:r w:rsidRPr="00A444EC">
        <w:rPr>
          <w:rtl/>
          <w:lang/>
        </w:rPr>
        <w:t xml:space="preserve"> </w:t>
      </w:r>
      <w:r w:rsidRPr="00A444EC">
        <w:rPr>
          <w:rStyle w:val="hps"/>
          <w:rtl/>
          <w:lang/>
        </w:rPr>
        <w:t>في سجن</w:t>
      </w:r>
      <w:r w:rsidRPr="00A444EC">
        <w:rPr>
          <w:rtl/>
          <w:lang/>
        </w:rPr>
        <w:t xml:space="preserve"> </w:t>
      </w:r>
      <w:r w:rsidRPr="00A444EC">
        <w:rPr>
          <w:rStyle w:val="hps"/>
          <w:rtl/>
          <w:lang/>
        </w:rPr>
        <w:t>المرناقية</w:t>
      </w:r>
      <w:r w:rsidRPr="00A444EC">
        <w:rPr>
          <w:rtl/>
          <w:lang/>
        </w:rPr>
        <w:t xml:space="preserve"> </w:t>
      </w:r>
      <w:r w:rsidRPr="00A444EC">
        <w:rPr>
          <w:rStyle w:val="hps"/>
          <w:rtl/>
          <w:lang/>
        </w:rPr>
        <w:t>مع</w:t>
      </w:r>
      <w:r w:rsidRPr="00A444EC">
        <w:rPr>
          <w:rtl/>
          <w:lang/>
        </w:rPr>
        <w:t xml:space="preserve"> </w:t>
      </w:r>
      <w:r w:rsidRPr="00A444EC">
        <w:rPr>
          <w:rStyle w:val="hps"/>
          <w:rtl/>
          <w:lang/>
        </w:rPr>
        <w:t>السج</w:t>
      </w:r>
      <w:r w:rsidRPr="00A444EC">
        <w:rPr>
          <w:rStyle w:val="hps"/>
          <w:rFonts w:hint="cs"/>
          <w:rtl/>
          <w:lang/>
        </w:rPr>
        <w:t>ينين</w:t>
      </w:r>
      <w:r w:rsidRPr="00A444EC">
        <w:rPr>
          <w:rtl/>
          <w:lang/>
        </w:rPr>
        <w:t xml:space="preserve"> </w:t>
      </w:r>
      <w:r w:rsidRPr="00A444EC">
        <w:rPr>
          <w:rStyle w:val="hps"/>
          <w:rtl/>
          <w:lang/>
        </w:rPr>
        <w:t>محمد</w:t>
      </w:r>
      <w:r w:rsidRPr="00A444EC">
        <w:rPr>
          <w:rtl/>
          <w:lang/>
        </w:rPr>
        <w:t xml:space="preserve"> </w:t>
      </w:r>
      <w:r w:rsidRPr="00A444EC">
        <w:rPr>
          <w:rStyle w:val="hps"/>
          <w:rtl/>
          <w:lang/>
        </w:rPr>
        <w:t>زايد</w:t>
      </w:r>
      <w:r w:rsidRPr="00A444EC">
        <w:rPr>
          <w:rtl/>
          <w:lang/>
        </w:rPr>
        <w:t xml:space="preserve"> </w:t>
      </w:r>
      <w:r w:rsidRPr="00A444EC">
        <w:rPr>
          <w:rStyle w:val="hps"/>
          <w:rtl/>
          <w:lang/>
        </w:rPr>
        <w:t>و</w:t>
      </w:r>
      <w:r w:rsidRPr="00A444EC">
        <w:rPr>
          <w:rtl/>
          <w:lang/>
        </w:rPr>
        <w:t xml:space="preserve">محمد </w:t>
      </w:r>
      <w:r w:rsidRPr="00A444EC">
        <w:rPr>
          <w:rStyle w:val="hps"/>
          <w:rFonts w:hint="cs"/>
          <w:rtl/>
          <w:lang/>
        </w:rPr>
        <w:t>جلوالي</w:t>
      </w:r>
      <w:r w:rsidRPr="00A444EC">
        <w:rPr>
          <w:rFonts w:hint="cs"/>
          <w:rtl/>
          <w:lang/>
        </w:rPr>
        <w:t xml:space="preserve"> يثبتان </w:t>
      </w:r>
      <w:r w:rsidRPr="00A444EC">
        <w:rPr>
          <w:rStyle w:val="hps"/>
          <w:rtl/>
          <w:lang/>
        </w:rPr>
        <w:t xml:space="preserve">التعذيب </w:t>
      </w:r>
      <w:r w:rsidRPr="00A444EC">
        <w:rPr>
          <w:rStyle w:val="hps"/>
          <w:rFonts w:hint="cs"/>
          <w:rtl/>
          <w:lang/>
        </w:rPr>
        <w:t>الذي تعرض له شريكا السيد أنسي عبيشو المزعومان أثناء التحقيق</w:t>
      </w:r>
      <w:r w:rsidRPr="00A444EC">
        <w:rPr>
          <w:vertAlign w:val="superscript"/>
          <w:rtl/>
          <w:lang w:val="fr-CH"/>
        </w:rPr>
        <w:t>(</w:t>
      </w:r>
      <w:r w:rsidRPr="00A444EC">
        <w:rPr>
          <w:rStyle w:val="FootnoteReference"/>
          <w:rtl/>
          <w:lang w:val="fr-CH"/>
        </w:rPr>
        <w:footnoteReference w:id="148"/>
      </w:r>
      <w:r w:rsidRPr="00A444EC">
        <w:rPr>
          <w:vertAlign w:val="superscript"/>
          <w:rtl/>
          <w:lang w:val="fr-CH"/>
        </w:rPr>
        <w:t>)</w:t>
      </w:r>
      <w:r w:rsidRPr="00A444EC">
        <w:rPr>
          <w:rStyle w:val="hps"/>
          <w:rFonts w:hint="cs"/>
          <w:rtl/>
          <w:lang/>
        </w:rPr>
        <w:t>.</w:t>
      </w:r>
      <w:r w:rsidRPr="00A444EC">
        <w:rPr>
          <w:rtl/>
          <w:lang/>
        </w:rPr>
        <w:t xml:space="preserve"> </w:t>
      </w:r>
      <w:r w:rsidRPr="00A444EC">
        <w:rPr>
          <w:rStyle w:val="hps"/>
          <w:rFonts w:hint="cs"/>
          <w:rtl/>
          <w:lang/>
        </w:rPr>
        <w:t>وتستشهد</w:t>
      </w:r>
      <w:r w:rsidRPr="00A444EC">
        <w:rPr>
          <w:rStyle w:val="hps"/>
          <w:rtl/>
          <w:lang/>
        </w:rPr>
        <w:t xml:space="preserve"> أيضا</w:t>
      </w:r>
      <w:r w:rsidRPr="00A444EC">
        <w:rPr>
          <w:rStyle w:val="hps"/>
          <w:rFonts w:hint="cs"/>
          <w:rtl/>
          <w:lang/>
        </w:rPr>
        <w:t>ً</w:t>
      </w:r>
      <w:r w:rsidRPr="00A444EC">
        <w:rPr>
          <w:rtl/>
          <w:lang/>
        </w:rPr>
        <w:t xml:space="preserve"> </w:t>
      </w:r>
      <w:r w:rsidRPr="00A444EC">
        <w:rPr>
          <w:rStyle w:val="hps"/>
          <w:rFonts w:hint="cs"/>
          <w:rtl/>
          <w:lang/>
        </w:rPr>
        <w:t>ب</w:t>
      </w:r>
      <w:r w:rsidRPr="00A444EC">
        <w:rPr>
          <w:rStyle w:val="hps"/>
          <w:rtl/>
          <w:lang/>
        </w:rPr>
        <w:t>الشكوى</w:t>
      </w:r>
      <w:r w:rsidRPr="00A444EC">
        <w:rPr>
          <w:rtl/>
          <w:lang/>
        </w:rPr>
        <w:t xml:space="preserve"> </w:t>
      </w:r>
      <w:r w:rsidRPr="00A444EC">
        <w:rPr>
          <w:rStyle w:val="hps"/>
          <w:rFonts w:hint="cs"/>
          <w:rtl/>
          <w:lang/>
        </w:rPr>
        <w:t>المتعلقة</w:t>
      </w:r>
      <w:r w:rsidRPr="00A444EC">
        <w:rPr>
          <w:rtl/>
          <w:lang/>
        </w:rPr>
        <w:t xml:space="preserve"> </w:t>
      </w:r>
      <w:r w:rsidRPr="00A444EC">
        <w:rPr>
          <w:rStyle w:val="hps"/>
          <w:rFonts w:hint="cs"/>
          <w:rtl/>
          <w:lang/>
        </w:rPr>
        <w:t>با</w:t>
      </w:r>
      <w:r w:rsidRPr="00A444EC">
        <w:rPr>
          <w:rStyle w:val="hps"/>
          <w:rtl/>
          <w:lang/>
        </w:rPr>
        <w:t xml:space="preserve">لتعذيب </w:t>
      </w:r>
      <w:r w:rsidRPr="00A444EC">
        <w:rPr>
          <w:rStyle w:val="hps"/>
          <w:rFonts w:hint="cs"/>
          <w:rtl/>
          <w:lang/>
        </w:rPr>
        <w:t>التي أعدها السيد</w:t>
      </w:r>
      <w:r w:rsidRPr="00A444EC">
        <w:rPr>
          <w:rtl/>
          <w:lang/>
        </w:rPr>
        <w:t xml:space="preserve"> </w:t>
      </w:r>
      <w:r w:rsidRPr="00A444EC">
        <w:rPr>
          <w:rStyle w:val="hps"/>
          <w:rtl/>
          <w:lang/>
        </w:rPr>
        <w:t>محمد</w:t>
      </w:r>
      <w:r w:rsidRPr="00A444EC">
        <w:rPr>
          <w:rtl/>
          <w:lang/>
        </w:rPr>
        <w:t xml:space="preserve"> </w:t>
      </w:r>
      <w:r w:rsidRPr="00A444EC">
        <w:rPr>
          <w:rStyle w:val="hps"/>
          <w:rtl/>
          <w:lang/>
        </w:rPr>
        <w:t>عبو</w:t>
      </w:r>
      <w:r w:rsidRPr="00A444EC">
        <w:rPr>
          <w:rtl/>
          <w:lang/>
        </w:rPr>
        <w:t xml:space="preserve">، </w:t>
      </w:r>
      <w:r w:rsidRPr="00A444EC">
        <w:rPr>
          <w:rStyle w:val="hps"/>
          <w:rFonts w:hint="cs"/>
          <w:rtl/>
          <w:lang/>
        </w:rPr>
        <w:t>محامي السيد</w:t>
      </w:r>
      <w:r w:rsidRPr="00A444EC">
        <w:rPr>
          <w:rStyle w:val="hps"/>
          <w:rtl/>
          <w:lang/>
        </w:rPr>
        <w:t xml:space="preserve"> محمد</w:t>
      </w:r>
      <w:r w:rsidRPr="00A444EC">
        <w:rPr>
          <w:rtl/>
          <w:lang/>
        </w:rPr>
        <w:t xml:space="preserve"> </w:t>
      </w:r>
      <w:r w:rsidRPr="00A444EC">
        <w:rPr>
          <w:rStyle w:val="hps"/>
          <w:rtl/>
          <w:lang/>
        </w:rPr>
        <w:t>زايد</w:t>
      </w:r>
      <w:r w:rsidRPr="00A444EC">
        <w:rPr>
          <w:rtl/>
          <w:lang/>
        </w:rPr>
        <w:t xml:space="preserve">، </w:t>
      </w:r>
      <w:r w:rsidRPr="00A444EC">
        <w:rPr>
          <w:rStyle w:val="hps"/>
          <w:rtl/>
          <w:lang/>
        </w:rPr>
        <w:t>و</w:t>
      </w:r>
      <w:r w:rsidRPr="00A444EC">
        <w:rPr>
          <w:rtl/>
          <w:lang/>
        </w:rPr>
        <w:t>قدم</w:t>
      </w:r>
      <w:r w:rsidRPr="00A444EC">
        <w:rPr>
          <w:rFonts w:hint="cs"/>
          <w:rtl/>
          <w:lang/>
        </w:rPr>
        <w:t>ها</w:t>
      </w:r>
      <w:r w:rsidRPr="00A444EC">
        <w:rPr>
          <w:rtl/>
          <w:lang/>
        </w:rPr>
        <w:t xml:space="preserve"> إلى </w:t>
      </w:r>
      <w:r w:rsidRPr="00A444EC">
        <w:rPr>
          <w:rStyle w:val="hps"/>
          <w:rFonts w:hint="cs"/>
          <w:rtl/>
          <w:lang/>
        </w:rPr>
        <w:t>مدعي الجمهورية</w:t>
      </w:r>
      <w:r w:rsidRPr="00A444EC">
        <w:rPr>
          <w:rtl/>
          <w:lang/>
        </w:rPr>
        <w:t xml:space="preserve"> </w:t>
      </w:r>
      <w:r w:rsidRPr="00A444EC">
        <w:rPr>
          <w:rStyle w:val="hps"/>
          <w:rFonts w:hint="cs"/>
          <w:rtl/>
          <w:lang/>
        </w:rPr>
        <w:t>لدى</w:t>
      </w:r>
      <w:r w:rsidRPr="00A444EC">
        <w:rPr>
          <w:rtl/>
          <w:lang/>
        </w:rPr>
        <w:t xml:space="preserve"> </w:t>
      </w:r>
      <w:r w:rsidRPr="00A444EC">
        <w:rPr>
          <w:rStyle w:val="hps"/>
          <w:rtl/>
          <w:lang/>
        </w:rPr>
        <w:t>المحكمة</w:t>
      </w:r>
      <w:r w:rsidRPr="00A444EC">
        <w:rPr>
          <w:rtl/>
          <w:lang/>
        </w:rPr>
        <w:t xml:space="preserve"> </w:t>
      </w:r>
      <w:r w:rsidRPr="00A444EC">
        <w:rPr>
          <w:rStyle w:val="hps"/>
          <w:rtl/>
          <w:lang/>
        </w:rPr>
        <w:t>الابتدائية</w:t>
      </w:r>
      <w:r w:rsidRPr="00A444EC">
        <w:rPr>
          <w:rStyle w:val="hps"/>
          <w:rFonts w:hint="cs"/>
          <w:rtl/>
          <w:lang/>
        </w:rPr>
        <w:t xml:space="preserve"> </w:t>
      </w:r>
      <w:r w:rsidRPr="00A444EC">
        <w:rPr>
          <w:rStyle w:val="hps"/>
          <w:rtl/>
          <w:lang/>
        </w:rPr>
        <w:t>بتونس</w:t>
      </w:r>
      <w:r w:rsidRPr="00A444EC">
        <w:rPr>
          <w:rtl/>
          <w:lang/>
        </w:rPr>
        <w:t xml:space="preserve"> </w:t>
      </w:r>
      <w:r w:rsidRPr="00A444EC">
        <w:rPr>
          <w:rStyle w:val="hps"/>
          <w:rFonts w:hint="cs"/>
          <w:rtl/>
          <w:lang/>
        </w:rPr>
        <w:t>في</w:t>
      </w:r>
      <w:r w:rsidRPr="00A444EC">
        <w:rPr>
          <w:rStyle w:val="hps"/>
          <w:rtl/>
          <w:lang/>
        </w:rPr>
        <w:t xml:space="preserve"> 19 </w:t>
      </w:r>
      <w:r w:rsidRPr="00A444EC">
        <w:rPr>
          <w:rStyle w:val="hps"/>
          <w:rFonts w:hint="cs"/>
          <w:rtl/>
          <w:lang/>
        </w:rPr>
        <w:t>نيسان/</w:t>
      </w:r>
      <w:r w:rsidRPr="00A444EC">
        <w:rPr>
          <w:rStyle w:val="hps"/>
          <w:rtl/>
          <w:lang/>
        </w:rPr>
        <w:t>أبريل</w:t>
      </w:r>
      <w:r w:rsidRPr="00A444EC">
        <w:rPr>
          <w:rtl/>
          <w:lang/>
        </w:rPr>
        <w:t xml:space="preserve"> </w:t>
      </w:r>
      <w:r w:rsidRPr="00A444EC">
        <w:rPr>
          <w:rStyle w:val="hps"/>
          <w:rtl/>
          <w:lang/>
        </w:rPr>
        <w:t>2011.</w:t>
      </w:r>
      <w:r w:rsidRPr="00A444EC">
        <w:rPr>
          <w:rtl/>
          <w:lang/>
        </w:rPr>
        <w:t xml:space="preserve"> </w:t>
      </w:r>
      <w:r w:rsidRPr="00A444EC">
        <w:rPr>
          <w:rStyle w:val="hps"/>
          <w:rtl/>
          <w:lang/>
        </w:rPr>
        <w:t>و</w:t>
      </w:r>
      <w:r w:rsidRPr="00A444EC">
        <w:rPr>
          <w:rStyle w:val="hps"/>
          <w:rFonts w:hint="cs"/>
          <w:rtl/>
          <w:lang/>
        </w:rPr>
        <w:t>ت</w:t>
      </w:r>
      <w:r w:rsidRPr="00A444EC">
        <w:rPr>
          <w:rStyle w:val="hps"/>
          <w:rtl/>
          <w:lang/>
        </w:rPr>
        <w:t>خ</w:t>
      </w:r>
      <w:r w:rsidRPr="00A444EC">
        <w:rPr>
          <w:rStyle w:val="hps"/>
          <w:rFonts w:hint="cs"/>
          <w:rtl/>
          <w:lang/>
        </w:rPr>
        <w:t xml:space="preserve">تم </w:t>
      </w:r>
      <w:r w:rsidRPr="00A444EC">
        <w:rPr>
          <w:rStyle w:val="hps"/>
          <w:rtl/>
          <w:lang/>
        </w:rPr>
        <w:t>صاحب</w:t>
      </w:r>
      <w:r w:rsidRPr="00A444EC">
        <w:rPr>
          <w:rStyle w:val="hps"/>
          <w:rFonts w:hint="cs"/>
          <w:rtl/>
          <w:lang/>
        </w:rPr>
        <w:t xml:space="preserve">ة </w:t>
      </w:r>
      <w:r w:rsidRPr="00A444EC">
        <w:rPr>
          <w:rStyle w:val="hps"/>
          <w:rtl/>
          <w:lang/>
        </w:rPr>
        <w:t>الشكوى</w:t>
      </w:r>
      <w:r w:rsidRPr="00A444EC">
        <w:rPr>
          <w:rtl/>
          <w:lang/>
        </w:rPr>
        <w:t xml:space="preserve"> </w:t>
      </w:r>
      <w:r w:rsidRPr="00A444EC">
        <w:rPr>
          <w:rStyle w:val="hps"/>
          <w:rFonts w:hint="cs"/>
          <w:rtl/>
          <w:lang/>
        </w:rPr>
        <w:t>حديثها بالإشارة من جديد إلى أن هذه الشهادات،</w:t>
      </w:r>
      <w:r w:rsidRPr="00A444EC">
        <w:rPr>
          <w:rStyle w:val="hps"/>
          <w:rtl/>
          <w:lang/>
        </w:rPr>
        <w:t xml:space="preserve"> التي</w:t>
      </w:r>
      <w:r w:rsidRPr="00A444EC">
        <w:rPr>
          <w:rtl/>
          <w:lang/>
        </w:rPr>
        <w:t xml:space="preserve"> </w:t>
      </w:r>
      <w:r w:rsidRPr="00A444EC">
        <w:rPr>
          <w:rStyle w:val="hps"/>
          <w:rtl/>
          <w:lang/>
        </w:rPr>
        <w:t>تؤكده</w:t>
      </w:r>
      <w:r w:rsidRPr="00A444EC">
        <w:rPr>
          <w:rStyle w:val="hps"/>
          <w:rFonts w:hint="cs"/>
          <w:rtl/>
          <w:lang/>
        </w:rPr>
        <w:t>ا</w:t>
      </w:r>
      <w:r w:rsidRPr="00A444EC">
        <w:rPr>
          <w:rtl/>
          <w:lang/>
        </w:rPr>
        <w:t xml:space="preserve"> </w:t>
      </w:r>
      <w:r w:rsidRPr="00A444EC">
        <w:rPr>
          <w:rStyle w:val="hps"/>
          <w:rtl/>
          <w:lang/>
        </w:rPr>
        <w:t>مصادر وثائقية</w:t>
      </w:r>
      <w:r w:rsidRPr="00A444EC">
        <w:rPr>
          <w:rtl/>
          <w:lang/>
        </w:rPr>
        <w:t xml:space="preserve"> </w:t>
      </w:r>
      <w:r w:rsidRPr="00A444EC">
        <w:rPr>
          <w:rStyle w:val="hps"/>
          <w:rtl/>
          <w:lang/>
        </w:rPr>
        <w:t>عديدة،</w:t>
      </w:r>
      <w:r w:rsidRPr="00A444EC">
        <w:rPr>
          <w:rtl/>
          <w:lang/>
        </w:rPr>
        <w:t xml:space="preserve"> </w:t>
      </w:r>
      <w:r w:rsidRPr="00A444EC">
        <w:rPr>
          <w:rStyle w:val="hps"/>
          <w:rFonts w:hint="cs"/>
          <w:rtl/>
          <w:lang/>
        </w:rPr>
        <w:t>تثبت شيوع ظاهرة</w:t>
      </w:r>
      <w:r w:rsidRPr="00A444EC">
        <w:rPr>
          <w:rStyle w:val="hps"/>
          <w:rtl/>
          <w:lang/>
        </w:rPr>
        <w:t xml:space="preserve"> التعذيب في</w:t>
      </w:r>
      <w:r w:rsidRPr="00A444EC">
        <w:rPr>
          <w:rtl/>
          <w:lang/>
        </w:rPr>
        <w:t xml:space="preserve"> </w:t>
      </w:r>
      <w:r w:rsidRPr="00A444EC">
        <w:rPr>
          <w:rStyle w:val="hps"/>
          <w:rtl/>
          <w:lang/>
        </w:rPr>
        <w:t>تونس</w:t>
      </w:r>
      <w:r w:rsidRPr="00A444EC">
        <w:rPr>
          <w:rtl/>
          <w:lang/>
        </w:rPr>
        <w:t xml:space="preserve"> </w:t>
      </w:r>
      <w:r w:rsidRPr="00A444EC">
        <w:rPr>
          <w:rStyle w:val="hps"/>
          <w:rtl/>
          <w:lang/>
        </w:rPr>
        <w:t>و</w:t>
      </w:r>
      <w:r w:rsidRPr="00A444EC">
        <w:rPr>
          <w:rFonts w:hint="cs"/>
          <w:rtl/>
          <w:lang/>
        </w:rPr>
        <w:t>تكفي</w:t>
      </w:r>
      <w:r w:rsidRPr="00A444EC">
        <w:rPr>
          <w:rtl/>
          <w:lang/>
        </w:rPr>
        <w:t xml:space="preserve"> </w:t>
      </w:r>
      <w:r w:rsidRPr="00A444EC">
        <w:rPr>
          <w:rStyle w:val="hps"/>
          <w:rtl/>
          <w:lang/>
        </w:rPr>
        <w:t>لإثبات أن</w:t>
      </w:r>
      <w:r w:rsidRPr="00A444EC">
        <w:rPr>
          <w:rtl/>
          <w:lang/>
        </w:rPr>
        <w:t xml:space="preserve"> </w:t>
      </w:r>
      <w:r w:rsidRPr="00A444EC">
        <w:rPr>
          <w:rStyle w:val="hps"/>
          <w:rFonts w:hint="cs"/>
          <w:rtl/>
          <w:lang/>
        </w:rPr>
        <w:t xml:space="preserve">السيد أنسي عبيشو كان عرضة لخطر تعذيب حقيقي وكبير عند </w:t>
      </w:r>
      <w:r w:rsidRPr="00A444EC">
        <w:rPr>
          <w:rStyle w:val="hps"/>
          <w:rtl/>
          <w:lang/>
        </w:rPr>
        <w:t>تسليمه إلى تونس</w:t>
      </w:r>
      <w:r w:rsidRPr="00A444EC">
        <w:rPr>
          <w:rtl/>
          <w:lang/>
        </w:rPr>
        <w:t xml:space="preserve">. </w:t>
      </w:r>
      <w:r w:rsidRPr="00A444EC">
        <w:rPr>
          <w:rStyle w:val="hps"/>
          <w:rtl/>
          <w:lang/>
        </w:rPr>
        <w:t>وكان</w:t>
      </w:r>
      <w:r w:rsidRPr="00A444EC">
        <w:rPr>
          <w:rStyle w:val="hps"/>
          <w:rFonts w:hint="cs"/>
          <w:rtl/>
          <w:lang/>
        </w:rPr>
        <w:t>ت</w:t>
      </w:r>
      <w:r w:rsidRPr="00A444EC">
        <w:rPr>
          <w:rtl/>
          <w:lang/>
        </w:rPr>
        <w:t xml:space="preserve"> </w:t>
      </w:r>
      <w:r w:rsidRPr="00A444EC">
        <w:rPr>
          <w:rStyle w:val="hps"/>
          <w:rtl/>
          <w:lang/>
        </w:rPr>
        <w:t>معظم هذه المعلومات</w:t>
      </w:r>
      <w:r w:rsidRPr="00A444EC">
        <w:rPr>
          <w:rtl/>
          <w:lang/>
        </w:rPr>
        <w:t xml:space="preserve"> </w:t>
      </w:r>
      <w:r w:rsidRPr="00A444EC">
        <w:rPr>
          <w:rStyle w:val="hps"/>
          <w:rFonts w:hint="cs"/>
          <w:rtl/>
          <w:lang/>
        </w:rPr>
        <w:t>متاحة</w:t>
      </w:r>
      <w:r w:rsidRPr="00A444EC">
        <w:rPr>
          <w:rStyle w:val="hps"/>
          <w:rtl/>
          <w:lang/>
        </w:rPr>
        <w:t xml:space="preserve"> للدولة</w:t>
      </w:r>
      <w:r w:rsidRPr="00A444EC">
        <w:rPr>
          <w:rtl/>
          <w:lang/>
        </w:rPr>
        <w:t xml:space="preserve"> </w:t>
      </w:r>
      <w:r w:rsidRPr="00A444EC">
        <w:rPr>
          <w:rStyle w:val="hps"/>
          <w:rtl/>
          <w:lang/>
        </w:rPr>
        <w:t>الطرف</w:t>
      </w:r>
      <w:r w:rsidRPr="00A444EC">
        <w:rPr>
          <w:rtl/>
          <w:lang/>
        </w:rPr>
        <w:t xml:space="preserve"> </w:t>
      </w:r>
      <w:r w:rsidRPr="00A444EC">
        <w:rPr>
          <w:rStyle w:val="hps"/>
          <w:rFonts w:hint="cs"/>
          <w:rtl/>
          <w:lang/>
        </w:rPr>
        <w:t>حينما</w:t>
      </w:r>
      <w:r w:rsidRPr="00A444EC">
        <w:rPr>
          <w:rtl/>
          <w:lang/>
        </w:rPr>
        <w:t xml:space="preserve"> </w:t>
      </w:r>
      <w:r w:rsidRPr="00A444EC">
        <w:rPr>
          <w:rStyle w:val="hps"/>
          <w:rtl/>
          <w:lang/>
        </w:rPr>
        <w:t>نفذت</w:t>
      </w:r>
      <w:r w:rsidRPr="00A444EC">
        <w:rPr>
          <w:rtl/>
          <w:lang/>
        </w:rPr>
        <w:t xml:space="preserve"> </w:t>
      </w:r>
      <w:r w:rsidRPr="00A444EC">
        <w:rPr>
          <w:rStyle w:val="hps"/>
          <w:rFonts w:hint="cs"/>
          <w:rtl/>
          <w:lang/>
        </w:rPr>
        <w:t>عملية التسليم</w:t>
      </w:r>
      <w:r w:rsidRPr="00A444EC">
        <w:rPr>
          <w:rStyle w:val="hps"/>
          <w:rtl/>
          <w:lang/>
        </w:rPr>
        <w:t>.</w:t>
      </w:r>
      <w:r w:rsidRPr="00A444EC">
        <w:rPr>
          <w:rtl/>
          <w:lang/>
        </w:rPr>
        <w:t xml:space="preserve"> </w:t>
      </w:r>
      <w:r w:rsidRPr="00A444EC">
        <w:rPr>
          <w:rStyle w:val="hps"/>
          <w:rFonts w:hint="cs"/>
          <w:rtl/>
          <w:lang/>
        </w:rPr>
        <w:t>وعدم تعرض السيد</w:t>
      </w:r>
      <w:r w:rsidRPr="00A444EC">
        <w:rPr>
          <w:rtl/>
          <w:lang/>
        </w:rPr>
        <w:t xml:space="preserve"> </w:t>
      </w:r>
      <w:r w:rsidRPr="00A444EC">
        <w:rPr>
          <w:rStyle w:val="hps"/>
          <w:rtl/>
          <w:lang/>
        </w:rPr>
        <w:t>أنسي</w:t>
      </w:r>
      <w:r w:rsidRPr="00A444EC">
        <w:rPr>
          <w:rtl/>
          <w:lang/>
        </w:rPr>
        <w:t xml:space="preserve"> </w:t>
      </w:r>
      <w:r w:rsidRPr="00A444EC">
        <w:rPr>
          <w:rStyle w:val="hps"/>
          <w:rFonts w:hint="cs"/>
          <w:rtl/>
          <w:lang/>
        </w:rPr>
        <w:t>عبيشو</w:t>
      </w:r>
      <w:r w:rsidRPr="00A444EC">
        <w:rPr>
          <w:rStyle w:val="hps"/>
          <w:rtl/>
          <w:lang/>
        </w:rPr>
        <w:t xml:space="preserve"> للتعذيب</w:t>
      </w:r>
      <w:r w:rsidRPr="00A444EC">
        <w:rPr>
          <w:rtl/>
          <w:lang/>
        </w:rPr>
        <w:t xml:space="preserve"> </w:t>
      </w:r>
      <w:r w:rsidRPr="00A444EC">
        <w:rPr>
          <w:rStyle w:val="hps"/>
          <w:rtl/>
          <w:lang/>
        </w:rPr>
        <w:t>لدى وصوله إلى تونس</w:t>
      </w:r>
      <w:r w:rsidRPr="00A444EC">
        <w:rPr>
          <w:rtl/>
          <w:lang/>
        </w:rPr>
        <w:t xml:space="preserve"> </w:t>
      </w:r>
      <w:r w:rsidRPr="00A444EC">
        <w:rPr>
          <w:rStyle w:val="hps"/>
          <w:rFonts w:hint="cs"/>
          <w:rtl/>
          <w:lang/>
        </w:rPr>
        <w:t>- وذلك يرجع</w:t>
      </w:r>
      <w:r w:rsidRPr="00A444EC">
        <w:rPr>
          <w:rStyle w:val="hps"/>
          <w:rtl/>
          <w:lang/>
        </w:rPr>
        <w:t xml:space="preserve"> إلى </w:t>
      </w:r>
      <w:r w:rsidRPr="00A444EC">
        <w:rPr>
          <w:rStyle w:val="hps"/>
          <w:rFonts w:hint="cs"/>
          <w:rtl/>
          <w:lang/>
        </w:rPr>
        <w:t>حد بعيد</w:t>
      </w:r>
      <w:r w:rsidRPr="00A444EC">
        <w:rPr>
          <w:rtl/>
          <w:lang/>
        </w:rPr>
        <w:t xml:space="preserve"> </w:t>
      </w:r>
      <w:r w:rsidRPr="00A444EC">
        <w:rPr>
          <w:rFonts w:hint="cs"/>
          <w:rtl/>
          <w:lang/>
        </w:rPr>
        <w:t xml:space="preserve">بلا شك </w:t>
      </w:r>
      <w:r w:rsidRPr="00A444EC">
        <w:rPr>
          <w:rtl/>
          <w:lang/>
        </w:rPr>
        <w:t xml:space="preserve">إلى </w:t>
      </w:r>
      <w:r w:rsidRPr="00A444EC">
        <w:rPr>
          <w:rStyle w:val="hps"/>
          <w:rtl/>
          <w:lang/>
        </w:rPr>
        <w:t xml:space="preserve">الاهتمام </w:t>
      </w:r>
      <w:r w:rsidRPr="00A444EC">
        <w:rPr>
          <w:rStyle w:val="hps"/>
          <w:rFonts w:hint="cs"/>
          <w:rtl/>
          <w:lang/>
        </w:rPr>
        <w:t>الذي حظيت به</w:t>
      </w:r>
      <w:r w:rsidRPr="00A444EC">
        <w:rPr>
          <w:rtl/>
          <w:lang/>
        </w:rPr>
        <w:t xml:space="preserve"> </w:t>
      </w:r>
      <w:r w:rsidRPr="00A444EC">
        <w:rPr>
          <w:rStyle w:val="hps"/>
          <w:rtl/>
          <w:lang/>
        </w:rPr>
        <w:t>قضيته</w:t>
      </w:r>
      <w:r w:rsidRPr="00A444EC">
        <w:rPr>
          <w:rtl/>
          <w:lang/>
        </w:rPr>
        <w:t xml:space="preserve">، </w:t>
      </w:r>
      <w:r w:rsidRPr="00A444EC">
        <w:rPr>
          <w:rFonts w:hint="cs"/>
          <w:rtl/>
          <w:lang/>
        </w:rPr>
        <w:t>وبخاصة الاهتمام الإعلامي</w:t>
      </w:r>
      <w:r w:rsidR="007C1E0E">
        <w:rPr>
          <w:rFonts w:hint="cs"/>
          <w:rtl/>
          <w:lang/>
        </w:rPr>
        <w:t>،</w:t>
      </w:r>
      <w:r w:rsidRPr="00A444EC">
        <w:rPr>
          <w:rtl/>
          <w:lang/>
        </w:rPr>
        <w:t xml:space="preserve"> لا </w:t>
      </w:r>
      <w:r w:rsidRPr="00A444EC">
        <w:rPr>
          <w:rStyle w:val="hps"/>
          <w:rtl/>
          <w:lang/>
        </w:rPr>
        <w:t>يمكن</w:t>
      </w:r>
      <w:r w:rsidRPr="00A444EC">
        <w:rPr>
          <w:rStyle w:val="hps"/>
          <w:rFonts w:hint="cs"/>
          <w:rtl/>
          <w:lang/>
        </w:rPr>
        <w:t xml:space="preserve"> أن يبرر</w:t>
      </w:r>
      <w:r w:rsidRPr="00A444EC">
        <w:rPr>
          <w:rtl/>
          <w:lang/>
        </w:rPr>
        <w:t xml:space="preserve"> </w:t>
      </w:r>
      <w:r w:rsidRPr="00A444EC">
        <w:rPr>
          <w:rStyle w:val="hps"/>
          <w:rtl/>
          <w:lang/>
        </w:rPr>
        <w:t>بأثر رجعي</w:t>
      </w:r>
      <w:r w:rsidRPr="00A444EC">
        <w:rPr>
          <w:rtl/>
          <w:lang/>
        </w:rPr>
        <w:t xml:space="preserve"> </w:t>
      </w:r>
      <w:r w:rsidRPr="00A444EC">
        <w:rPr>
          <w:rStyle w:val="hps"/>
          <w:rtl/>
          <w:lang/>
        </w:rPr>
        <w:t>تصرفات</w:t>
      </w:r>
      <w:r w:rsidRPr="00A444EC">
        <w:rPr>
          <w:rtl/>
          <w:lang/>
        </w:rPr>
        <w:t xml:space="preserve"> </w:t>
      </w:r>
      <w:r w:rsidRPr="00A444EC">
        <w:rPr>
          <w:rStyle w:val="hps"/>
          <w:rtl/>
          <w:lang/>
        </w:rPr>
        <w:t>الدولة الطرف.</w:t>
      </w:r>
      <w:r w:rsidRPr="00A444EC">
        <w:rPr>
          <w:rtl/>
          <w:lang/>
        </w:rPr>
        <w:t xml:space="preserve"> </w:t>
      </w:r>
      <w:r w:rsidRPr="00A444EC">
        <w:rPr>
          <w:rFonts w:hint="cs"/>
          <w:rtl/>
          <w:lang/>
        </w:rPr>
        <w:t>و</w:t>
      </w:r>
      <w:r w:rsidRPr="00A444EC">
        <w:rPr>
          <w:rStyle w:val="hps"/>
          <w:rtl/>
          <w:lang/>
        </w:rPr>
        <w:t>لهذه الأسباب</w:t>
      </w:r>
      <w:r w:rsidRPr="00A444EC">
        <w:rPr>
          <w:rtl/>
          <w:lang/>
        </w:rPr>
        <w:t xml:space="preserve">، تدعو </w:t>
      </w:r>
      <w:r w:rsidRPr="00A444EC">
        <w:rPr>
          <w:rStyle w:val="hps"/>
          <w:rFonts w:hint="cs"/>
          <w:rtl/>
          <w:lang/>
        </w:rPr>
        <w:t>صاحبة</w:t>
      </w:r>
      <w:r w:rsidRPr="00A444EC">
        <w:rPr>
          <w:rtl/>
          <w:lang/>
        </w:rPr>
        <w:t xml:space="preserve"> </w:t>
      </w:r>
      <w:r w:rsidRPr="00A444EC">
        <w:rPr>
          <w:rStyle w:val="hps"/>
          <w:rtl/>
          <w:lang/>
        </w:rPr>
        <w:t>الشكوى</w:t>
      </w:r>
      <w:r w:rsidRPr="00A444EC">
        <w:rPr>
          <w:rStyle w:val="hps"/>
          <w:rFonts w:hint="cs"/>
          <w:rtl/>
          <w:lang/>
        </w:rPr>
        <w:t xml:space="preserve"> اللجنة إلى إثبات أن</w:t>
      </w:r>
      <w:r w:rsidRPr="00A444EC">
        <w:rPr>
          <w:rtl/>
          <w:lang/>
        </w:rPr>
        <w:t xml:space="preserve"> </w:t>
      </w:r>
      <w:r w:rsidRPr="00A444EC">
        <w:rPr>
          <w:rStyle w:val="hps"/>
          <w:rtl/>
          <w:lang/>
        </w:rPr>
        <w:t>الدولة الطرف</w:t>
      </w:r>
      <w:r w:rsidRPr="00A444EC">
        <w:rPr>
          <w:rtl/>
          <w:lang/>
        </w:rPr>
        <w:t xml:space="preserve"> </w:t>
      </w:r>
      <w:r w:rsidRPr="00A444EC">
        <w:rPr>
          <w:rFonts w:hint="cs"/>
          <w:rtl/>
          <w:lang/>
        </w:rPr>
        <w:t xml:space="preserve">قد </w:t>
      </w:r>
      <w:r w:rsidRPr="00A444EC">
        <w:rPr>
          <w:rStyle w:val="hps"/>
          <w:rFonts w:hint="cs"/>
          <w:rtl/>
          <w:lang/>
        </w:rPr>
        <w:t>انتهكت المادة</w:t>
      </w:r>
      <w:r w:rsidRPr="00A444EC">
        <w:rPr>
          <w:rFonts w:hint="cs"/>
          <w:rtl/>
          <w:lang/>
        </w:rPr>
        <w:t> </w:t>
      </w:r>
      <w:r w:rsidRPr="00A444EC">
        <w:rPr>
          <w:rStyle w:val="hps"/>
          <w:rtl/>
          <w:lang/>
        </w:rPr>
        <w:t>3 من</w:t>
      </w:r>
      <w:r w:rsidRPr="00A444EC">
        <w:rPr>
          <w:rtl/>
          <w:lang/>
        </w:rPr>
        <w:t xml:space="preserve"> </w:t>
      </w:r>
      <w:r w:rsidRPr="00A444EC">
        <w:rPr>
          <w:rStyle w:val="hps"/>
          <w:rtl/>
          <w:lang/>
        </w:rPr>
        <w:t>الاتفاقية و</w:t>
      </w:r>
      <w:r w:rsidRPr="00A444EC">
        <w:rPr>
          <w:rtl/>
          <w:lang/>
        </w:rPr>
        <w:t>تدابير</w:t>
      </w:r>
      <w:r w:rsidRPr="00A444EC">
        <w:rPr>
          <w:rFonts w:hint="cs"/>
          <w:rtl/>
          <w:lang/>
        </w:rPr>
        <w:t xml:space="preserve"> الحماية</w:t>
      </w:r>
      <w:r w:rsidRPr="00A444EC">
        <w:rPr>
          <w:rtl/>
          <w:lang/>
        </w:rPr>
        <w:t xml:space="preserve"> المؤقتة </w:t>
      </w:r>
      <w:r w:rsidRPr="00A444EC">
        <w:rPr>
          <w:rStyle w:val="hps"/>
          <w:rtl/>
          <w:lang/>
        </w:rPr>
        <w:t>التي طلبتها اللجنة</w:t>
      </w:r>
      <w:r w:rsidRPr="00A444EC">
        <w:rPr>
          <w:rtl/>
          <w:lang/>
        </w:rPr>
        <w:t>.</w:t>
      </w:r>
    </w:p>
    <w:p w:rsidR="005E110C" w:rsidRPr="00A444EC" w:rsidRDefault="005E110C" w:rsidP="005E110C">
      <w:pPr>
        <w:pStyle w:val="H23GA"/>
        <w:rPr>
          <w:rtl/>
        </w:rPr>
      </w:pPr>
      <w:r w:rsidRPr="00A444EC">
        <w:rPr>
          <w:rFonts w:hint="cs"/>
          <w:rtl/>
        </w:rPr>
        <w:tab/>
      </w:r>
      <w:r w:rsidRPr="00A444EC">
        <w:rPr>
          <w:rFonts w:hint="cs"/>
          <w:rtl/>
        </w:rPr>
        <w:tab/>
      </w:r>
      <w:r w:rsidRPr="00A444EC">
        <w:rPr>
          <w:rtl/>
        </w:rPr>
        <w:t>المسائل والإجراءات المعروضة على اللجنة</w:t>
      </w:r>
    </w:p>
    <w:p w:rsidR="005E110C" w:rsidRPr="00A444EC" w:rsidRDefault="005E110C" w:rsidP="007C1E0E">
      <w:pPr>
        <w:pStyle w:val="H4GA"/>
        <w:jc w:val="lowKashida"/>
        <w:rPr>
          <w:spacing w:val="0"/>
          <w:kern w:val="0"/>
          <w:rtl/>
        </w:rPr>
      </w:pPr>
      <w:r w:rsidRPr="00A444EC">
        <w:rPr>
          <w:rFonts w:hint="cs"/>
          <w:spacing w:val="0"/>
          <w:kern w:val="0"/>
          <w:rtl/>
        </w:rPr>
        <w:tab/>
      </w:r>
      <w:r w:rsidRPr="00A444EC">
        <w:rPr>
          <w:rFonts w:hint="cs"/>
          <w:spacing w:val="0"/>
          <w:kern w:val="0"/>
          <w:rtl/>
        </w:rPr>
        <w:tab/>
      </w:r>
      <w:r w:rsidRPr="00A444EC">
        <w:rPr>
          <w:spacing w:val="0"/>
          <w:kern w:val="0"/>
          <w:rtl/>
        </w:rPr>
        <w:t xml:space="preserve">عدم </w:t>
      </w:r>
      <w:r w:rsidRPr="00A444EC">
        <w:rPr>
          <w:rFonts w:hint="cs"/>
          <w:spacing w:val="0"/>
          <w:kern w:val="0"/>
          <w:rtl/>
        </w:rPr>
        <w:t xml:space="preserve">تلبية </w:t>
      </w:r>
      <w:r w:rsidRPr="00A444EC">
        <w:rPr>
          <w:spacing w:val="0"/>
          <w:kern w:val="0"/>
          <w:rtl/>
        </w:rPr>
        <w:t>الدولة الطرف لطلب اللجنة اتخاذ تدابير مؤقتة عملاً بالمادة 114 من نظامها الداخلي</w:t>
      </w:r>
    </w:p>
    <w:p w:rsidR="005E110C" w:rsidRPr="00A444EC" w:rsidRDefault="005E110C" w:rsidP="005E110C">
      <w:pPr>
        <w:pStyle w:val="SingleTxtGA"/>
        <w:rPr>
          <w:rStyle w:val="hps"/>
          <w:rtl/>
          <w:lang/>
        </w:rPr>
      </w:pPr>
      <w:r w:rsidRPr="00A444EC">
        <w:rPr>
          <w:rFonts w:hint="cs"/>
          <w:rtl/>
        </w:rPr>
        <w:t>9</w:t>
      </w:r>
      <w:r w:rsidRPr="00A444EC">
        <w:rPr>
          <w:rtl/>
        </w:rPr>
        <w:t>-1</w:t>
      </w:r>
      <w:r w:rsidRPr="00A444EC">
        <w:rPr>
          <w:rtl/>
        </w:rPr>
        <w:tab/>
      </w:r>
      <w:r w:rsidRPr="00A444EC">
        <w:rPr>
          <w:rStyle w:val="hps"/>
          <w:rtl/>
          <w:lang/>
        </w:rPr>
        <w:t>تأسف اللجنة ل</w:t>
      </w:r>
      <w:r w:rsidRPr="00A444EC">
        <w:rPr>
          <w:rStyle w:val="hps"/>
          <w:rFonts w:hint="cs"/>
          <w:rtl/>
          <w:lang/>
        </w:rPr>
        <w:t xml:space="preserve">عدم تلبية </w:t>
      </w:r>
      <w:r w:rsidRPr="00A444EC">
        <w:rPr>
          <w:rtl/>
          <w:lang/>
        </w:rPr>
        <w:t xml:space="preserve">طلبها </w:t>
      </w:r>
      <w:r w:rsidRPr="00A444EC">
        <w:rPr>
          <w:rStyle w:val="hps"/>
          <w:rtl/>
          <w:lang/>
        </w:rPr>
        <w:t>باتخاذ تدابير مؤقتة</w:t>
      </w:r>
      <w:r w:rsidRPr="00A444EC">
        <w:rPr>
          <w:rtl/>
          <w:lang/>
        </w:rPr>
        <w:t xml:space="preserve">. </w:t>
      </w:r>
      <w:r w:rsidRPr="00A444EC">
        <w:rPr>
          <w:rStyle w:val="hps"/>
          <w:rFonts w:hint="cs"/>
          <w:rtl/>
          <w:lang/>
        </w:rPr>
        <w:t xml:space="preserve">وهي </w:t>
      </w:r>
      <w:r w:rsidRPr="00A444EC">
        <w:rPr>
          <w:rStyle w:val="hps"/>
          <w:rtl/>
          <w:lang/>
        </w:rPr>
        <w:t>تعترف</w:t>
      </w:r>
      <w:r w:rsidRPr="00A444EC">
        <w:rPr>
          <w:rtl/>
          <w:lang/>
        </w:rPr>
        <w:t xml:space="preserve"> </w:t>
      </w:r>
      <w:r w:rsidRPr="00A444EC">
        <w:rPr>
          <w:rStyle w:val="hps"/>
          <w:rtl/>
          <w:lang/>
        </w:rPr>
        <w:t xml:space="preserve">بالجهود التي </w:t>
      </w:r>
      <w:r w:rsidRPr="00A444EC">
        <w:rPr>
          <w:rStyle w:val="hps"/>
          <w:rFonts w:hint="cs"/>
          <w:rtl/>
          <w:lang/>
        </w:rPr>
        <w:t xml:space="preserve">بذلتها </w:t>
      </w:r>
      <w:r w:rsidRPr="00A444EC">
        <w:rPr>
          <w:rStyle w:val="hps"/>
          <w:rtl/>
          <w:lang/>
        </w:rPr>
        <w:t>الدولة</w:t>
      </w:r>
      <w:r w:rsidRPr="00A444EC">
        <w:rPr>
          <w:rtl/>
          <w:lang/>
        </w:rPr>
        <w:t xml:space="preserve"> </w:t>
      </w:r>
      <w:r w:rsidRPr="00A444EC">
        <w:rPr>
          <w:rStyle w:val="hps"/>
          <w:rtl/>
          <w:lang/>
        </w:rPr>
        <w:t>الطرف ل</w:t>
      </w:r>
      <w:r w:rsidRPr="00A444EC">
        <w:rPr>
          <w:rtl/>
          <w:lang/>
        </w:rPr>
        <w:t xml:space="preserve">نقل </w:t>
      </w:r>
      <w:r w:rsidRPr="00A444EC">
        <w:rPr>
          <w:rStyle w:val="hps"/>
          <w:rtl/>
          <w:lang/>
        </w:rPr>
        <w:t>طلب اللجنة</w:t>
      </w:r>
      <w:r w:rsidRPr="00A444EC">
        <w:rPr>
          <w:rtl/>
          <w:lang/>
        </w:rPr>
        <w:t xml:space="preserve"> </w:t>
      </w:r>
      <w:r w:rsidRPr="00A444EC">
        <w:rPr>
          <w:rStyle w:val="hps"/>
          <w:rtl/>
          <w:lang/>
        </w:rPr>
        <w:t>باتخاذ تدابير مؤقتة</w:t>
      </w:r>
      <w:r w:rsidRPr="00A444EC">
        <w:rPr>
          <w:rtl/>
          <w:lang/>
        </w:rPr>
        <w:t xml:space="preserve"> </w:t>
      </w:r>
      <w:r w:rsidRPr="00A444EC">
        <w:rPr>
          <w:rStyle w:val="hps"/>
          <w:rtl/>
          <w:lang/>
        </w:rPr>
        <w:t>بأسرع</w:t>
      </w:r>
      <w:r w:rsidRPr="00A444EC">
        <w:rPr>
          <w:rtl/>
          <w:lang/>
        </w:rPr>
        <w:t xml:space="preserve"> </w:t>
      </w:r>
      <w:r w:rsidRPr="00A444EC">
        <w:rPr>
          <w:rStyle w:val="hps"/>
          <w:rFonts w:hint="cs"/>
          <w:rtl/>
          <w:lang/>
        </w:rPr>
        <w:t>ما يمكن في ضوء الظروف القائمة</w:t>
      </w:r>
      <w:r w:rsidRPr="00A444EC">
        <w:rPr>
          <w:rtl/>
          <w:lang/>
        </w:rPr>
        <w:t xml:space="preserve">، </w:t>
      </w:r>
      <w:r w:rsidRPr="00A444EC">
        <w:rPr>
          <w:rStyle w:val="hps"/>
          <w:rtl/>
          <w:lang/>
        </w:rPr>
        <w:t>و</w:t>
      </w:r>
      <w:r w:rsidRPr="00A444EC">
        <w:rPr>
          <w:rStyle w:val="hps"/>
          <w:rFonts w:hint="cs"/>
          <w:rtl/>
          <w:lang/>
        </w:rPr>
        <w:t>ت</w:t>
      </w:r>
      <w:r w:rsidRPr="00A444EC">
        <w:rPr>
          <w:rStyle w:val="hps"/>
          <w:rtl/>
          <w:lang/>
        </w:rPr>
        <w:t>خلص،</w:t>
      </w:r>
      <w:r w:rsidRPr="00A444EC">
        <w:rPr>
          <w:rtl/>
          <w:lang/>
        </w:rPr>
        <w:t xml:space="preserve"> </w:t>
      </w:r>
      <w:r w:rsidRPr="00A444EC">
        <w:rPr>
          <w:rStyle w:val="hps"/>
          <w:rtl/>
          <w:lang/>
        </w:rPr>
        <w:t>في</w:t>
      </w:r>
      <w:r w:rsidRPr="00A444EC">
        <w:rPr>
          <w:rtl/>
          <w:lang/>
        </w:rPr>
        <w:t xml:space="preserve"> </w:t>
      </w:r>
      <w:r w:rsidRPr="00A444EC">
        <w:rPr>
          <w:rStyle w:val="hps"/>
          <w:rFonts w:hint="cs"/>
          <w:rtl/>
          <w:lang/>
        </w:rPr>
        <w:t>هذه الحالة</w:t>
      </w:r>
      <w:r w:rsidRPr="00A444EC">
        <w:rPr>
          <w:rtl/>
          <w:lang/>
        </w:rPr>
        <w:t>،</w:t>
      </w:r>
      <w:r w:rsidRPr="00A444EC">
        <w:rPr>
          <w:rFonts w:hint="cs"/>
          <w:rtl/>
          <w:lang/>
        </w:rPr>
        <w:t xml:space="preserve"> إلى أنه</w:t>
      </w:r>
      <w:r w:rsidRPr="00A444EC">
        <w:rPr>
          <w:rtl/>
          <w:lang/>
        </w:rPr>
        <w:t xml:space="preserve"> لا </w:t>
      </w:r>
      <w:r w:rsidRPr="00A444EC">
        <w:rPr>
          <w:rFonts w:hint="cs"/>
          <w:rtl/>
          <w:lang/>
        </w:rPr>
        <w:t xml:space="preserve">يمكن لوم </w:t>
      </w:r>
      <w:r w:rsidRPr="00A444EC">
        <w:rPr>
          <w:rtl/>
          <w:lang/>
        </w:rPr>
        <w:t xml:space="preserve">الدولة </w:t>
      </w:r>
      <w:r w:rsidRPr="00A444EC">
        <w:rPr>
          <w:rFonts w:hint="cs"/>
          <w:rtl/>
          <w:lang/>
        </w:rPr>
        <w:t xml:space="preserve">على عدم الوفاء </w:t>
      </w:r>
      <w:r w:rsidRPr="00A444EC">
        <w:rPr>
          <w:rStyle w:val="hps"/>
          <w:rtl/>
          <w:lang/>
        </w:rPr>
        <w:t>بالتزاماتها</w:t>
      </w:r>
      <w:r w:rsidRPr="00A444EC">
        <w:rPr>
          <w:rtl/>
          <w:lang/>
        </w:rPr>
        <w:t xml:space="preserve"> </w:t>
      </w:r>
      <w:r w:rsidRPr="00A444EC">
        <w:rPr>
          <w:rStyle w:val="hps"/>
          <w:rtl/>
          <w:lang/>
        </w:rPr>
        <w:t>بموجب المادة</w:t>
      </w:r>
      <w:r w:rsidRPr="00A444EC">
        <w:rPr>
          <w:rtl/>
          <w:lang/>
        </w:rPr>
        <w:t xml:space="preserve"> </w:t>
      </w:r>
      <w:r w:rsidRPr="00A444EC">
        <w:rPr>
          <w:rStyle w:val="hps"/>
          <w:rtl/>
          <w:lang/>
        </w:rPr>
        <w:t>22 من</w:t>
      </w:r>
      <w:r w:rsidRPr="00A444EC">
        <w:rPr>
          <w:rtl/>
          <w:lang/>
        </w:rPr>
        <w:t xml:space="preserve"> </w:t>
      </w:r>
      <w:r w:rsidRPr="00A444EC">
        <w:rPr>
          <w:rStyle w:val="hps"/>
          <w:rtl/>
          <w:lang/>
        </w:rPr>
        <w:t>الاتفاقية.</w:t>
      </w:r>
    </w:p>
    <w:p w:rsidR="005E110C" w:rsidRPr="00A444EC" w:rsidRDefault="005E110C" w:rsidP="005E110C">
      <w:pPr>
        <w:pStyle w:val="H4GA"/>
        <w:rPr>
          <w:spacing w:val="0"/>
          <w:kern w:val="0"/>
          <w:rtl/>
          <w:lang w:val="fr-CH"/>
        </w:rPr>
      </w:pPr>
      <w:r w:rsidRPr="00A444EC">
        <w:rPr>
          <w:spacing w:val="0"/>
          <w:kern w:val="0"/>
          <w:rtl/>
          <w:lang w:val="fr-CH"/>
        </w:rPr>
        <w:tab/>
      </w:r>
      <w:r w:rsidRPr="00A444EC">
        <w:rPr>
          <w:spacing w:val="0"/>
          <w:kern w:val="0"/>
          <w:rtl/>
          <w:lang w:val="fr-CH"/>
        </w:rPr>
        <w:tab/>
        <w:t>النظر في المقبولية</w:t>
      </w:r>
    </w:p>
    <w:p w:rsidR="005E110C" w:rsidRPr="005B7D22" w:rsidRDefault="005E110C" w:rsidP="005E110C">
      <w:pPr>
        <w:pStyle w:val="SingleTxtGA"/>
        <w:rPr>
          <w:spacing w:val="-2"/>
          <w:rtl/>
          <w:lang w:val="fr-CH"/>
        </w:rPr>
      </w:pPr>
      <w:r w:rsidRPr="00A444EC">
        <w:rPr>
          <w:rtl/>
          <w:lang w:val="fr-CH"/>
        </w:rPr>
        <w:t>10-1</w:t>
      </w:r>
      <w:r w:rsidRPr="00A444EC">
        <w:rPr>
          <w:rtl/>
          <w:lang w:val="fr-CH"/>
        </w:rPr>
        <w:tab/>
        <w:t xml:space="preserve">قبل النظر في أي </w:t>
      </w:r>
      <w:r w:rsidRPr="00A444EC">
        <w:rPr>
          <w:rFonts w:hint="cs"/>
          <w:rtl/>
          <w:lang w:val="fr-CH"/>
        </w:rPr>
        <w:t xml:space="preserve">شكوى ترد </w:t>
      </w:r>
      <w:r w:rsidRPr="00A444EC">
        <w:rPr>
          <w:rtl/>
          <w:lang w:val="fr-CH"/>
        </w:rPr>
        <w:t xml:space="preserve">في </w:t>
      </w:r>
      <w:r w:rsidRPr="00A444EC">
        <w:rPr>
          <w:rFonts w:hint="cs"/>
          <w:rtl/>
          <w:lang w:val="fr-CH"/>
        </w:rPr>
        <w:t xml:space="preserve">بلاغ </w:t>
      </w:r>
      <w:r w:rsidRPr="00A444EC">
        <w:rPr>
          <w:rtl/>
          <w:lang w:val="fr-CH"/>
        </w:rPr>
        <w:t xml:space="preserve">ما، يجب على لجنة مناهضة التعذيب أن تُقرِّر </w:t>
      </w:r>
      <w:r w:rsidRPr="005B7D22">
        <w:rPr>
          <w:spacing w:val="-2"/>
          <w:rtl/>
          <w:lang w:val="fr-CH"/>
        </w:rPr>
        <w:t xml:space="preserve">ما إذا كانت الشكوى مقبولة أم لا بموجب المادة 22 من الاتفاقية. </w:t>
      </w:r>
      <w:r w:rsidRPr="005B7D22">
        <w:rPr>
          <w:rStyle w:val="hps"/>
          <w:spacing w:val="-2"/>
          <w:rtl/>
          <w:lang/>
        </w:rPr>
        <w:t>وفي هذا الصدد</w:t>
      </w:r>
      <w:r w:rsidRPr="005B7D22">
        <w:rPr>
          <w:spacing w:val="-2"/>
          <w:rtl/>
          <w:lang/>
        </w:rPr>
        <w:t xml:space="preserve">، </w:t>
      </w:r>
      <w:r w:rsidRPr="005B7D22">
        <w:rPr>
          <w:rStyle w:val="hps"/>
          <w:spacing w:val="-2"/>
          <w:rtl/>
          <w:lang/>
        </w:rPr>
        <w:t>تلاحظ اللجنة أن</w:t>
      </w:r>
      <w:r w:rsidRPr="005B7D22">
        <w:rPr>
          <w:spacing w:val="-2"/>
          <w:rtl/>
          <w:lang/>
        </w:rPr>
        <w:t xml:space="preserve"> </w:t>
      </w:r>
      <w:r w:rsidRPr="005B7D22">
        <w:rPr>
          <w:rStyle w:val="hps"/>
          <w:rFonts w:hint="cs"/>
          <w:spacing w:val="-2"/>
          <w:rtl/>
          <w:lang/>
        </w:rPr>
        <w:t>السيد أنسي عبيشو</w:t>
      </w:r>
      <w:r w:rsidRPr="005B7D22">
        <w:rPr>
          <w:spacing w:val="-2"/>
          <w:rtl/>
          <w:lang/>
        </w:rPr>
        <w:t xml:space="preserve"> </w:t>
      </w:r>
      <w:r w:rsidRPr="005B7D22">
        <w:rPr>
          <w:rStyle w:val="hps"/>
          <w:rFonts w:hint="cs"/>
          <w:spacing w:val="-2"/>
          <w:rtl/>
          <w:lang/>
        </w:rPr>
        <w:t xml:space="preserve">قدم إلى </w:t>
      </w:r>
      <w:r w:rsidRPr="005B7D22">
        <w:rPr>
          <w:rStyle w:val="hps"/>
          <w:spacing w:val="-2"/>
          <w:rtl/>
          <w:lang/>
        </w:rPr>
        <w:t>المحكمة</w:t>
      </w:r>
      <w:r w:rsidRPr="005B7D22">
        <w:rPr>
          <w:spacing w:val="-2"/>
          <w:rtl/>
          <w:lang/>
        </w:rPr>
        <w:t xml:space="preserve"> </w:t>
      </w:r>
      <w:r w:rsidRPr="005B7D22">
        <w:rPr>
          <w:rStyle w:val="hps"/>
          <w:spacing w:val="-2"/>
          <w:rtl/>
          <w:lang/>
        </w:rPr>
        <w:t>الأوروبية لحقوق</w:t>
      </w:r>
      <w:r w:rsidRPr="005B7D22">
        <w:rPr>
          <w:spacing w:val="-2"/>
          <w:rtl/>
          <w:lang/>
        </w:rPr>
        <w:t xml:space="preserve"> </w:t>
      </w:r>
      <w:r w:rsidRPr="005B7D22">
        <w:rPr>
          <w:rStyle w:val="hps"/>
          <w:spacing w:val="-2"/>
          <w:rtl/>
          <w:lang/>
        </w:rPr>
        <w:t>الإنسان</w:t>
      </w:r>
      <w:r w:rsidRPr="005B7D22">
        <w:rPr>
          <w:spacing w:val="-2"/>
          <w:rtl/>
          <w:lang/>
        </w:rPr>
        <w:t xml:space="preserve"> </w:t>
      </w:r>
      <w:r w:rsidRPr="005B7D22">
        <w:rPr>
          <w:rStyle w:val="hps"/>
          <w:rFonts w:hint="cs"/>
          <w:spacing w:val="-2"/>
          <w:rtl/>
          <w:lang/>
        </w:rPr>
        <w:t>شكوى سجلت ب</w:t>
      </w:r>
      <w:r w:rsidRPr="005B7D22">
        <w:rPr>
          <w:rStyle w:val="hps"/>
          <w:spacing w:val="-2"/>
          <w:rtl/>
          <w:lang/>
        </w:rPr>
        <w:t>رقم</w:t>
      </w:r>
      <w:r w:rsidRPr="005B7D22">
        <w:rPr>
          <w:rFonts w:hint="cs"/>
          <w:spacing w:val="-2"/>
          <w:rtl/>
          <w:lang/>
        </w:rPr>
        <w:t> </w:t>
      </w:r>
      <w:r w:rsidRPr="005B7D22">
        <w:rPr>
          <w:rStyle w:val="hps"/>
          <w:spacing w:val="-2"/>
          <w:rtl/>
          <w:lang/>
        </w:rPr>
        <w:t>33841/10</w:t>
      </w:r>
      <w:r w:rsidRPr="005B7D22">
        <w:rPr>
          <w:rFonts w:hint="cs"/>
          <w:spacing w:val="-2"/>
          <w:rtl/>
          <w:lang/>
        </w:rPr>
        <w:t>، وتشير إلى أنها تتعلق</w:t>
      </w:r>
      <w:r w:rsidRPr="005B7D22">
        <w:rPr>
          <w:spacing w:val="-2"/>
          <w:rtl/>
          <w:lang/>
        </w:rPr>
        <w:t xml:space="preserve"> </w:t>
      </w:r>
      <w:r w:rsidRPr="005B7D22">
        <w:rPr>
          <w:rStyle w:val="hps"/>
          <w:rFonts w:hint="cs"/>
          <w:spacing w:val="-2"/>
          <w:rtl/>
          <w:lang/>
        </w:rPr>
        <w:t>بنفس وقائع المسألة المعروضة على</w:t>
      </w:r>
      <w:r w:rsidRPr="005B7D22">
        <w:rPr>
          <w:spacing w:val="-2"/>
          <w:rtl/>
          <w:lang/>
        </w:rPr>
        <w:t xml:space="preserve"> </w:t>
      </w:r>
      <w:r w:rsidRPr="005B7D22">
        <w:rPr>
          <w:rStyle w:val="hps"/>
          <w:spacing w:val="-2"/>
          <w:rtl/>
          <w:lang/>
        </w:rPr>
        <w:t>اللجنة.</w:t>
      </w:r>
      <w:r w:rsidRPr="005B7D22">
        <w:rPr>
          <w:spacing w:val="-2"/>
          <w:rtl/>
          <w:lang/>
        </w:rPr>
        <w:t xml:space="preserve"> </w:t>
      </w:r>
      <w:r w:rsidRPr="005B7D22">
        <w:rPr>
          <w:rStyle w:val="hps"/>
          <w:spacing w:val="-2"/>
          <w:rtl/>
          <w:lang/>
        </w:rPr>
        <w:t>ومع ذلك</w:t>
      </w:r>
      <w:r w:rsidRPr="005B7D22">
        <w:rPr>
          <w:spacing w:val="-2"/>
          <w:rtl/>
          <w:lang/>
        </w:rPr>
        <w:t xml:space="preserve">، تلاحظ اللجنة </w:t>
      </w:r>
      <w:r w:rsidRPr="005B7D22">
        <w:rPr>
          <w:rStyle w:val="hps"/>
          <w:spacing w:val="-2"/>
          <w:rtl/>
          <w:lang/>
        </w:rPr>
        <w:t xml:space="preserve">أن </w:t>
      </w:r>
      <w:r w:rsidRPr="005B7D22">
        <w:rPr>
          <w:rStyle w:val="hps"/>
          <w:rFonts w:hint="cs"/>
          <w:spacing w:val="-2"/>
          <w:rtl/>
          <w:lang/>
        </w:rPr>
        <w:t xml:space="preserve">الشكوى قد سحبت </w:t>
      </w:r>
      <w:r w:rsidRPr="005B7D22">
        <w:rPr>
          <w:rStyle w:val="hps"/>
          <w:spacing w:val="-2"/>
          <w:rtl/>
          <w:lang/>
        </w:rPr>
        <w:t>و</w:t>
      </w:r>
      <w:r w:rsidRPr="005B7D22">
        <w:rPr>
          <w:spacing w:val="-2"/>
          <w:rtl/>
          <w:lang/>
        </w:rPr>
        <w:t>شطب</w:t>
      </w:r>
      <w:r w:rsidRPr="005B7D22">
        <w:rPr>
          <w:rFonts w:hint="cs"/>
          <w:spacing w:val="-2"/>
          <w:rtl/>
          <w:lang/>
        </w:rPr>
        <w:t>ت</w:t>
      </w:r>
      <w:r w:rsidRPr="005B7D22">
        <w:rPr>
          <w:spacing w:val="-2"/>
          <w:rtl/>
          <w:lang/>
        </w:rPr>
        <w:t xml:space="preserve"> </w:t>
      </w:r>
      <w:r w:rsidRPr="005B7D22">
        <w:rPr>
          <w:rFonts w:hint="cs"/>
          <w:spacing w:val="-2"/>
          <w:rtl/>
          <w:lang/>
        </w:rPr>
        <w:t xml:space="preserve">من </w:t>
      </w:r>
      <w:r w:rsidRPr="005B7D22">
        <w:rPr>
          <w:rStyle w:val="hps"/>
          <w:spacing w:val="-2"/>
          <w:rtl/>
          <w:lang/>
        </w:rPr>
        <w:t>قائمة</w:t>
      </w:r>
      <w:r w:rsidRPr="005B7D22">
        <w:rPr>
          <w:spacing w:val="-2"/>
          <w:rtl/>
          <w:lang/>
        </w:rPr>
        <w:t xml:space="preserve"> </w:t>
      </w:r>
      <w:r w:rsidRPr="005B7D22">
        <w:rPr>
          <w:rStyle w:val="hps"/>
          <w:rFonts w:hint="cs"/>
          <w:spacing w:val="-2"/>
          <w:rtl/>
          <w:lang/>
        </w:rPr>
        <w:t>القضايا التي تنظر فيها المحكمة</w:t>
      </w:r>
      <w:r w:rsidRPr="005B7D22">
        <w:rPr>
          <w:spacing w:val="-2"/>
          <w:rtl/>
          <w:lang/>
        </w:rPr>
        <w:t xml:space="preserve"> </w:t>
      </w:r>
      <w:r w:rsidRPr="005B7D22">
        <w:rPr>
          <w:rStyle w:val="hps"/>
          <w:rFonts w:hint="cs"/>
          <w:spacing w:val="-2"/>
          <w:rtl/>
          <w:lang/>
        </w:rPr>
        <w:t>في</w:t>
      </w:r>
      <w:r w:rsidRPr="005B7D22">
        <w:rPr>
          <w:spacing w:val="-2"/>
          <w:rtl/>
          <w:lang/>
        </w:rPr>
        <w:t xml:space="preserve"> </w:t>
      </w:r>
      <w:r w:rsidRPr="005B7D22">
        <w:rPr>
          <w:rStyle w:val="hps"/>
          <w:spacing w:val="-2"/>
          <w:rtl/>
          <w:lang/>
        </w:rPr>
        <w:t xml:space="preserve">7 </w:t>
      </w:r>
      <w:r w:rsidRPr="005B7D22">
        <w:rPr>
          <w:rStyle w:val="hps"/>
          <w:rFonts w:hint="cs"/>
          <w:spacing w:val="-2"/>
          <w:rtl/>
          <w:lang/>
        </w:rPr>
        <w:t>نيسان/</w:t>
      </w:r>
      <w:r w:rsidRPr="005B7D22">
        <w:rPr>
          <w:rStyle w:val="hps"/>
          <w:spacing w:val="-2"/>
          <w:rtl/>
          <w:lang/>
        </w:rPr>
        <w:t>أبريل 2011</w:t>
      </w:r>
      <w:r w:rsidRPr="005B7D22">
        <w:rPr>
          <w:spacing w:val="-2"/>
          <w:rtl/>
          <w:lang/>
        </w:rPr>
        <w:t xml:space="preserve"> </w:t>
      </w:r>
      <w:r w:rsidRPr="005B7D22">
        <w:rPr>
          <w:rStyle w:val="hps"/>
          <w:spacing w:val="-2"/>
          <w:rtl/>
          <w:lang/>
        </w:rPr>
        <w:t>قبل</w:t>
      </w:r>
      <w:r w:rsidRPr="005B7D22">
        <w:rPr>
          <w:rStyle w:val="hps"/>
          <w:rFonts w:hint="cs"/>
          <w:spacing w:val="-2"/>
          <w:rtl/>
          <w:lang/>
        </w:rPr>
        <w:t xml:space="preserve"> أن تنظر هذه الهيئة في أسسها الموضوعية.</w:t>
      </w:r>
      <w:r w:rsidRPr="005B7D22">
        <w:rPr>
          <w:spacing w:val="-2"/>
          <w:rtl/>
          <w:lang/>
        </w:rPr>
        <w:t xml:space="preserve"> </w:t>
      </w:r>
      <w:r w:rsidRPr="005B7D22">
        <w:rPr>
          <w:rStyle w:val="hps"/>
          <w:spacing w:val="-2"/>
          <w:rtl/>
          <w:lang/>
        </w:rPr>
        <w:t>وبناء على ذلك</w:t>
      </w:r>
      <w:r w:rsidRPr="005B7D22">
        <w:rPr>
          <w:spacing w:val="-2"/>
          <w:rtl/>
          <w:lang/>
        </w:rPr>
        <w:t xml:space="preserve">، ترى اللجنة </w:t>
      </w:r>
      <w:r w:rsidRPr="005B7D22">
        <w:rPr>
          <w:rStyle w:val="hps"/>
          <w:spacing w:val="-2"/>
          <w:rtl/>
          <w:lang/>
        </w:rPr>
        <w:t>أن أحكام</w:t>
      </w:r>
      <w:r w:rsidRPr="005B7D22">
        <w:rPr>
          <w:spacing w:val="-2"/>
          <w:rtl/>
          <w:lang/>
        </w:rPr>
        <w:t xml:space="preserve"> </w:t>
      </w:r>
      <w:r w:rsidRPr="005B7D22">
        <w:rPr>
          <w:rStyle w:val="hps"/>
          <w:spacing w:val="-2"/>
          <w:rtl/>
          <w:lang/>
        </w:rPr>
        <w:t>الفقرة</w:t>
      </w:r>
      <w:r w:rsidRPr="005B7D22">
        <w:rPr>
          <w:spacing w:val="-2"/>
          <w:rtl/>
          <w:lang/>
        </w:rPr>
        <w:t xml:space="preserve"> </w:t>
      </w:r>
      <w:r w:rsidRPr="005B7D22">
        <w:rPr>
          <w:rStyle w:val="hps"/>
          <w:spacing w:val="-2"/>
          <w:rtl/>
          <w:lang/>
        </w:rPr>
        <w:t>5(أ)</w:t>
      </w:r>
      <w:r w:rsidRPr="005B7D22">
        <w:rPr>
          <w:spacing w:val="-2"/>
          <w:rtl/>
          <w:lang/>
        </w:rPr>
        <w:t xml:space="preserve"> </w:t>
      </w:r>
      <w:r w:rsidRPr="005B7D22">
        <w:rPr>
          <w:rFonts w:hint="cs"/>
          <w:spacing w:val="-2"/>
          <w:rtl/>
          <w:lang/>
        </w:rPr>
        <w:t xml:space="preserve">من </w:t>
      </w:r>
      <w:r w:rsidRPr="005B7D22">
        <w:rPr>
          <w:rStyle w:val="hps"/>
          <w:spacing w:val="-2"/>
          <w:rtl/>
          <w:lang/>
        </w:rPr>
        <w:t>المادة 22</w:t>
      </w:r>
      <w:r w:rsidRPr="005B7D22">
        <w:rPr>
          <w:spacing w:val="-2"/>
          <w:rtl/>
          <w:lang/>
        </w:rPr>
        <w:t xml:space="preserve"> </w:t>
      </w:r>
      <w:r w:rsidRPr="005B7D22">
        <w:rPr>
          <w:rStyle w:val="hps"/>
          <w:spacing w:val="-2"/>
          <w:rtl/>
          <w:lang/>
        </w:rPr>
        <w:t>من الاتفاقية</w:t>
      </w:r>
      <w:r w:rsidRPr="005B7D22">
        <w:rPr>
          <w:spacing w:val="-2"/>
          <w:rtl/>
          <w:lang/>
        </w:rPr>
        <w:t xml:space="preserve"> لا </w:t>
      </w:r>
      <w:r w:rsidRPr="005B7D22">
        <w:rPr>
          <w:rStyle w:val="hps"/>
          <w:rFonts w:hint="cs"/>
          <w:spacing w:val="-2"/>
          <w:rtl/>
          <w:lang/>
        </w:rPr>
        <w:t xml:space="preserve">تمنع </w:t>
      </w:r>
      <w:r w:rsidRPr="005B7D22">
        <w:rPr>
          <w:rStyle w:val="hps"/>
          <w:spacing w:val="-2"/>
          <w:rtl/>
          <w:lang/>
        </w:rPr>
        <w:t>النظر في</w:t>
      </w:r>
      <w:r w:rsidRPr="005B7D22">
        <w:rPr>
          <w:spacing w:val="-2"/>
          <w:rtl/>
          <w:lang/>
        </w:rPr>
        <w:t xml:space="preserve"> </w:t>
      </w:r>
      <w:r w:rsidRPr="005B7D22">
        <w:rPr>
          <w:rStyle w:val="hps"/>
          <w:spacing w:val="-2"/>
          <w:rtl/>
          <w:lang/>
        </w:rPr>
        <w:t>الشكوى</w:t>
      </w:r>
      <w:r w:rsidRPr="005B7D22">
        <w:rPr>
          <w:spacing w:val="-2"/>
          <w:vertAlign w:val="superscript"/>
          <w:rtl/>
          <w:lang w:val="fr-CH"/>
        </w:rPr>
        <w:t>(</w:t>
      </w:r>
      <w:r w:rsidRPr="005B7D22">
        <w:rPr>
          <w:rStyle w:val="FootnoteReference"/>
          <w:spacing w:val="-2"/>
          <w:rtl/>
          <w:lang w:val="fr-CH"/>
        </w:rPr>
        <w:footnoteReference w:id="149"/>
      </w:r>
      <w:r w:rsidRPr="005B7D22">
        <w:rPr>
          <w:spacing w:val="-2"/>
          <w:vertAlign w:val="superscript"/>
          <w:rtl/>
          <w:lang w:val="fr-CH"/>
        </w:rPr>
        <w:t>)</w:t>
      </w:r>
      <w:r w:rsidRPr="005B7D22">
        <w:rPr>
          <w:spacing w:val="-2"/>
          <w:rtl/>
          <w:lang/>
        </w:rPr>
        <w:t>.</w:t>
      </w:r>
    </w:p>
    <w:p w:rsidR="005E110C" w:rsidRPr="00A444EC" w:rsidRDefault="005E110C" w:rsidP="005E110C">
      <w:pPr>
        <w:pStyle w:val="SingleTxtGA"/>
        <w:rPr>
          <w:rtl/>
        </w:rPr>
      </w:pPr>
      <w:r w:rsidRPr="00A444EC">
        <w:rPr>
          <w:rtl/>
        </w:rPr>
        <w:t>10-2</w:t>
      </w:r>
      <w:r w:rsidRPr="00A444EC">
        <w:rPr>
          <w:rtl/>
        </w:rPr>
        <w:tab/>
        <w:t>و</w:t>
      </w:r>
      <w:r w:rsidRPr="00A444EC">
        <w:rPr>
          <w:rStyle w:val="hps"/>
          <w:rFonts w:hint="cs"/>
          <w:rtl/>
          <w:lang/>
        </w:rPr>
        <w:t>نظراً لعدم وجود مانع إضافي ل</w:t>
      </w:r>
      <w:r w:rsidRPr="00A444EC">
        <w:rPr>
          <w:rStyle w:val="hps"/>
          <w:rtl/>
          <w:lang/>
        </w:rPr>
        <w:t>مقبولية</w:t>
      </w:r>
      <w:r w:rsidRPr="00A444EC">
        <w:rPr>
          <w:rtl/>
          <w:lang/>
        </w:rPr>
        <w:t xml:space="preserve"> </w:t>
      </w:r>
      <w:r w:rsidRPr="00A444EC">
        <w:rPr>
          <w:rStyle w:val="hps"/>
          <w:rtl/>
          <w:lang/>
        </w:rPr>
        <w:t>البلاغ</w:t>
      </w:r>
      <w:r w:rsidRPr="00A444EC">
        <w:rPr>
          <w:rtl/>
          <w:lang/>
        </w:rPr>
        <w:t xml:space="preserve">، </w:t>
      </w:r>
      <w:r w:rsidRPr="00A444EC">
        <w:rPr>
          <w:rStyle w:val="hps"/>
          <w:rtl/>
          <w:lang/>
        </w:rPr>
        <w:t>فإن اللجنة ستشرع</w:t>
      </w:r>
      <w:r w:rsidRPr="00A444EC">
        <w:rPr>
          <w:rtl/>
          <w:lang/>
        </w:rPr>
        <w:t xml:space="preserve"> </w:t>
      </w:r>
      <w:r w:rsidRPr="00A444EC">
        <w:rPr>
          <w:rStyle w:val="hps"/>
          <w:rFonts w:hint="cs"/>
          <w:rtl/>
          <w:lang/>
        </w:rPr>
        <w:t>في</w:t>
      </w:r>
      <w:r w:rsidRPr="00A444EC">
        <w:rPr>
          <w:rtl/>
          <w:lang/>
        </w:rPr>
        <w:t xml:space="preserve"> </w:t>
      </w:r>
      <w:r w:rsidRPr="00A444EC">
        <w:rPr>
          <w:rStyle w:val="hps"/>
          <w:rtl/>
          <w:lang/>
        </w:rPr>
        <w:t>النظر في أسس</w:t>
      </w:r>
      <w:r w:rsidRPr="00A444EC">
        <w:rPr>
          <w:rStyle w:val="hps"/>
          <w:rFonts w:hint="cs"/>
          <w:rtl/>
          <w:lang/>
        </w:rPr>
        <w:t>ه</w:t>
      </w:r>
      <w:r w:rsidRPr="00A444EC">
        <w:rPr>
          <w:rStyle w:val="hps"/>
          <w:rtl/>
          <w:lang/>
        </w:rPr>
        <w:t xml:space="preserve"> الموضوعية</w:t>
      </w:r>
      <w:r w:rsidRPr="00A444EC">
        <w:rPr>
          <w:rtl/>
          <w:lang/>
        </w:rPr>
        <w:t xml:space="preserve"> </w:t>
      </w:r>
      <w:r w:rsidRPr="00A444EC">
        <w:rPr>
          <w:rStyle w:val="hps"/>
          <w:rtl/>
          <w:lang/>
        </w:rPr>
        <w:t>بموجب المادة</w:t>
      </w:r>
      <w:r w:rsidRPr="00A444EC">
        <w:rPr>
          <w:rtl/>
          <w:lang/>
        </w:rPr>
        <w:t xml:space="preserve"> </w:t>
      </w:r>
      <w:r w:rsidRPr="00A444EC">
        <w:rPr>
          <w:rStyle w:val="hps"/>
          <w:rtl/>
          <w:lang/>
        </w:rPr>
        <w:t>3 من الاتفاقية</w:t>
      </w:r>
      <w:r w:rsidRPr="00A444EC">
        <w:rPr>
          <w:rtl/>
          <w:lang/>
        </w:rPr>
        <w:t>.</w:t>
      </w:r>
    </w:p>
    <w:p w:rsidR="005E110C" w:rsidRPr="00A444EC" w:rsidRDefault="005E110C" w:rsidP="005E110C">
      <w:pPr>
        <w:pStyle w:val="H4GA"/>
        <w:rPr>
          <w:spacing w:val="0"/>
          <w:kern w:val="0"/>
          <w:rtl/>
        </w:rPr>
      </w:pPr>
      <w:r w:rsidRPr="00A444EC">
        <w:rPr>
          <w:spacing w:val="0"/>
          <w:kern w:val="0"/>
          <w:rtl/>
        </w:rPr>
        <w:tab/>
      </w:r>
      <w:r w:rsidRPr="00A444EC">
        <w:rPr>
          <w:spacing w:val="0"/>
          <w:kern w:val="0"/>
          <w:rtl/>
        </w:rPr>
        <w:tab/>
        <w:t>النظر في الأسس الموضوعية</w:t>
      </w:r>
    </w:p>
    <w:p w:rsidR="005E110C" w:rsidRPr="00A444EC" w:rsidRDefault="005E110C" w:rsidP="005E110C">
      <w:pPr>
        <w:pStyle w:val="SingleTxtGA"/>
        <w:rPr>
          <w:rtl/>
        </w:rPr>
      </w:pPr>
      <w:r w:rsidRPr="00A444EC">
        <w:rPr>
          <w:rtl/>
        </w:rPr>
        <w:t>11-1</w:t>
      </w:r>
      <w:r w:rsidRPr="00A444EC">
        <w:rPr>
          <w:rtl/>
        </w:rPr>
        <w:tab/>
        <w:t>نظرت اللجنة في الشكوى في ضوء جميع المعلومات التي أتاحتها لها الأطراف</w:t>
      </w:r>
      <w:r w:rsidRPr="00A444EC">
        <w:rPr>
          <w:rFonts w:hint="cs"/>
          <w:rtl/>
        </w:rPr>
        <w:t>،</w:t>
      </w:r>
      <w:r w:rsidRPr="00A444EC">
        <w:rPr>
          <w:rtl/>
        </w:rPr>
        <w:t xml:space="preserve"> وفقاً للفقرة 4 من المادة 22 من الاتفاقية. </w:t>
      </w:r>
    </w:p>
    <w:p w:rsidR="005E110C" w:rsidRPr="00A444EC" w:rsidRDefault="005E110C" w:rsidP="005E110C">
      <w:pPr>
        <w:pStyle w:val="SingleTxtGA"/>
        <w:rPr>
          <w:rtl/>
        </w:rPr>
      </w:pPr>
      <w:r w:rsidRPr="00A444EC">
        <w:rPr>
          <w:rtl/>
        </w:rPr>
        <w:t>11-2</w:t>
      </w:r>
      <w:r w:rsidRPr="00A444EC">
        <w:rPr>
          <w:rtl/>
        </w:rPr>
        <w:tab/>
        <w:t>ويجب على اللجنة أن تقرر ما إذا كان</w:t>
      </w:r>
      <w:r w:rsidRPr="00A444EC">
        <w:rPr>
          <w:rFonts w:hint="cs"/>
          <w:rtl/>
        </w:rPr>
        <w:t>ت</w:t>
      </w:r>
      <w:r w:rsidRPr="00A444EC">
        <w:rPr>
          <w:rtl/>
        </w:rPr>
        <w:t xml:space="preserve"> </w:t>
      </w:r>
      <w:r w:rsidRPr="00A444EC">
        <w:rPr>
          <w:rFonts w:hint="cs"/>
          <w:rtl/>
        </w:rPr>
        <w:t xml:space="preserve">الدولة بتسليمها </w:t>
      </w:r>
      <w:r w:rsidRPr="00A444EC">
        <w:rPr>
          <w:rtl/>
        </w:rPr>
        <w:t xml:space="preserve">صاحب الشكوى إلى </w:t>
      </w:r>
      <w:r w:rsidRPr="00A444EC">
        <w:rPr>
          <w:rFonts w:hint="cs"/>
          <w:rtl/>
        </w:rPr>
        <w:t xml:space="preserve">تونس قد انتهكت التزامها </w:t>
      </w:r>
      <w:r w:rsidRPr="00A444EC">
        <w:rPr>
          <w:rtl/>
        </w:rPr>
        <w:t>بموجب الفقرة 1 من المادة 3 من الاتفاقية، بعدم طرد أو إعادة أي شخص إلى دولة أخرى إذا توافرت أسباب وجيهة تدعو إلى الاعتقاد بأنه سيواجه فيها خطر التعرض للتعذيب. وتشدد اللجنة على أنها يجب أن تتخذ قراراً بشأن المسألة في ضوء المعلومات التي كانت متوافرة للدولة الطرف، أو كان ينبغي أن تكون متوافرة لها، في وقت التسليم. وتشير اللجنة إلى أن الأحداث اللاحقة تفيد فقط في تقييم المعلومات التي كانت متوافرة بالفعل للدولة الطرف، أو كان ينبغي أن تكون متوافرة لها، في وقت التسليم</w:t>
      </w:r>
      <w:r w:rsidRPr="00A444EC">
        <w:rPr>
          <w:vertAlign w:val="superscript"/>
          <w:rtl/>
          <w:lang w:val="fr-CH"/>
        </w:rPr>
        <w:t>(</w:t>
      </w:r>
      <w:r w:rsidRPr="00F40A83">
        <w:rPr>
          <w:rStyle w:val="FootnoteReference"/>
          <w:sz w:val="2"/>
          <w:szCs w:val="2"/>
          <w:rtl/>
          <w:lang w:val="fr-CH"/>
        </w:rPr>
        <w:footnoteReference w:id="150"/>
      </w:r>
      <w:r w:rsidR="00F40A83">
        <w:rPr>
          <w:rFonts w:hint="cs"/>
          <w:vertAlign w:val="superscript"/>
          <w:rtl/>
          <w:lang w:val="fr-CH"/>
        </w:rPr>
        <w:t>أأ</w:t>
      </w:r>
      <w:r w:rsidRPr="00A444EC">
        <w:rPr>
          <w:vertAlign w:val="superscript"/>
          <w:rtl/>
          <w:lang w:val="fr-CH"/>
        </w:rPr>
        <w:t>)</w:t>
      </w:r>
      <w:r w:rsidRPr="00A444EC">
        <w:rPr>
          <w:rtl/>
        </w:rPr>
        <w:t>.</w:t>
      </w:r>
    </w:p>
    <w:p w:rsidR="005E110C" w:rsidRPr="00A444EC" w:rsidRDefault="005E110C" w:rsidP="005E110C">
      <w:pPr>
        <w:pStyle w:val="SingleTxtGA"/>
        <w:rPr>
          <w:rFonts w:hint="cs"/>
          <w:rtl/>
          <w:lang/>
        </w:rPr>
      </w:pPr>
      <w:r w:rsidRPr="00A444EC">
        <w:rPr>
          <w:rtl/>
        </w:rPr>
        <w:t>11-3</w:t>
      </w:r>
      <w:r w:rsidRPr="00A444EC">
        <w:rPr>
          <w:rtl/>
        </w:rPr>
        <w:tab/>
      </w:r>
      <w:r w:rsidRPr="00A444EC">
        <w:rPr>
          <w:rStyle w:val="hps"/>
          <w:rtl/>
          <w:lang/>
        </w:rPr>
        <w:t>وتشير اللجنة إلى أن الهدف من</w:t>
      </w:r>
      <w:r w:rsidRPr="00A444EC">
        <w:rPr>
          <w:rtl/>
          <w:lang/>
        </w:rPr>
        <w:t xml:space="preserve"> </w:t>
      </w:r>
      <w:r w:rsidRPr="00A444EC">
        <w:rPr>
          <w:rStyle w:val="hps"/>
          <w:rtl/>
          <w:lang/>
        </w:rPr>
        <w:t>هذا الت</w:t>
      </w:r>
      <w:r w:rsidRPr="00A444EC">
        <w:rPr>
          <w:rStyle w:val="hps"/>
          <w:rFonts w:hint="cs"/>
          <w:rtl/>
          <w:lang/>
        </w:rPr>
        <w:t>قييم</w:t>
      </w:r>
      <w:r w:rsidRPr="00A444EC">
        <w:rPr>
          <w:rtl/>
          <w:lang/>
        </w:rPr>
        <w:t xml:space="preserve"> </w:t>
      </w:r>
      <w:r w:rsidRPr="00A444EC">
        <w:rPr>
          <w:rStyle w:val="hps"/>
          <w:rFonts w:hint="cs"/>
          <w:rtl/>
          <w:lang/>
        </w:rPr>
        <w:t>يتمثل في</w:t>
      </w:r>
      <w:r w:rsidRPr="00A444EC">
        <w:rPr>
          <w:rStyle w:val="hps"/>
          <w:rtl/>
          <w:lang/>
        </w:rPr>
        <w:t xml:space="preserve"> </w:t>
      </w:r>
      <w:r w:rsidRPr="00A444EC">
        <w:rPr>
          <w:rStyle w:val="hps"/>
          <w:rFonts w:hint="cs"/>
          <w:rtl/>
          <w:lang/>
        </w:rPr>
        <w:t xml:space="preserve">تحديد </w:t>
      </w:r>
      <w:r w:rsidRPr="00A444EC">
        <w:rPr>
          <w:rStyle w:val="hps"/>
          <w:rtl/>
          <w:lang/>
        </w:rPr>
        <w:t>ما إذا</w:t>
      </w:r>
      <w:r w:rsidRPr="00A444EC">
        <w:rPr>
          <w:rtl/>
          <w:lang/>
        </w:rPr>
        <w:t xml:space="preserve"> </w:t>
      </w:r>
      <w:r w:rsidRPr="00A444EC">
        <w:rPr>
          <w:rStyle w:val="hps"/>
          <w:rtl/>
          <w:lang/>
        </w:rPr>
        <w:t>كان</w:t>
      </w:r>
      <w:r w:rsidRPr="00A444EC">
        <w:rPr>
          <w:rtl/>
          <w:lang/>
        </w:rPr>
        <w:t xml:space="preserve"> </w:t>
      </w:r>
      <w:r w:rsidRPr="00A444EC">
        <w:rPr>
          <w:rStyle w:val="hps"/>
          <w:rtl/>
          <w:lang/>
        </w:rPr>
        <w:t>الشخص المعني</w:t>
      </w:r>
      <w:r w:rsidRPr="00A444EC">
        <w:rPr>
          <w:rtl/>
          <w:lang/>
        </w:rPr>
        <w:t xml:space="preserve"> </w:t>
      </w:r>
      <w:r w:rsidRPr="00A444EC">
        <w:rPr>
          <w:rStyle w:val="hps"/>
          <w:rFonts w:hint="cs"/>
          <w:rtl/>
          <w:lang/>
        </w:rPr>
        <w:t xml:space="preserve">يواجه بصورة شخصية </w:t>
      </w:r>
      <w:r w:rsidRPr="00A444EC">
        <w:rPr>
          <w:rStyle w:val="hps"/>
          <w:rtl/>
          <w:lang/>
        </w:rPr>
        <w:t xml:space="preserve">خطر </w:t>
      </w:r>
      <w:r w:rsidRPr="00A444EC">
        <w:rPr>
          <w:rStyle w:val="hps"/>
          <w:rFonts w:hint="cs"/>
          <w:rtl/>
          <w:lang/>
        </w:rPr>
        <w:t xml:space="preserve">تعذيب </w:t>
      </w:r>
      <w:r w:rsidRPr="00A444EC">
        <w:rPr>
          <w:rStyle w:val="hps"/>
          <w:rtl/>
          <w:lang/>
        </w:rPr>
        <w:t>متوقع</w:t>
      </w:r>
      <w:r w:rsidRPr="00A444EC">
        <w:rPr>
          <w:rFonts w:hint="cs"/>
          <w:rtl/>
          <w:lang/>
        </w:rPr>
        <w:t>اً</w:t>
      </w:r>
      <w:r w:rsidRPr="00A444EC">
        <w:rPr>
          <w:rtl/>
          <w:lang/>
        </w:rPr>
        <w:t xml:space="preserve"> </w:t>
      </w:r>
      <w:r w:rsidRPr="00A444EC">
        <w:rPr>
          <w:rStyle w:val="hps"/>
          <w:rtl/>
          <w:lang/>
        </w:rPr>
        <w:t>و</w:t>
      </w:r>
      <w:r w:rsidRPr="00A444EC">
        <w:rPr>
          <w:rtl/>
          <w:lang/>
        </w:rPr>
        <w:t>حقيقي</w:t>
      </w:r>
      <w:r w:rsidRPr="00A444EC">
        <w:rPr>
          <w:rFonts w:hint="cs"/>
          <w:rtl/>
          <w:lang/>
        </w:rPr>
        <w:t>اً</w:t>
      </w:r>
      <w:r w:rsidRPr="00A444EC">
        <w:rPr>
          <w:rtl/>
          <w:lang/>
        </w:rPr>
        <w:t xml:space="preserve"> </w:t>
      </w:r>
      <w:r w:rsidRPr="00A444EC">
        <w:rPr>
          <w:rStyle w:val="hps"/>
          <w:rtl/>
          <w:lang/>
        </w:rPr>
        <w:t>لدى عودته إلى تونس</w:t>
      </w:r>
      <w:r w:rsidRPr="00A444EC">
        <w:rPr>
          <w:rtl/>
          <w:lang/>
        </w:rPr>
        <w:t xml:space="preserve">. </w:t>
      </w:r>
      <w:r w:rsidRPr="00A444EC">
        <w:rPr>
          <w:rFonts w:hint="cs"/>
          <w:rtl/>
          <w:lang/>
        </w:rPr>
        <w:t>و</w:t>
      </w:r>
      <w:r w:rsidRPr="00A444EC">
        <w:rPr>
          <w:rStyle w:val="hps"/>
          <w:rtl/>
          <w:lang/>
        </w:rPr>
        <w:t>تشير اللجنة أيضا</w:t>
      </w:r>
      <w:r w:rsidRPr="00A444EC">
        <w:rPr>
          <w:rStyle w:val="hps"/>
          <w:rFonts w:hint="cs"/>
          <w:rtl/>
          <w:lang/>
        </w:rPr>
        <w:t>ً</w:t>
      </w:r>
      <w:r w:rsidRPr="00A444EC">
        <w:rPr>
          <w:rStyle w:val="hps"/>
          <w:rtl/>
          <w:lang/>
        </w:rPr>
        <w:t xml:space="preserve"> إلى تعليقها</w:t>
      </w:r>
      <w:r w:rsidRPr="00A444EC">
        <w:rPr>
          <w:rtl/>
          <w:lang/>
        </w:rPr>
        <w:t xml:space="preserve"> </w:t>
      </w:r>
      <w:r w:rsidRPr="00A444EC">
        <w:rPr>
          <w:rStyle w:val="hps"/>
          <w:rtl/>
          <w:lang/>
        </w:rPr>
        <w:t>العام رقم 1(</w:t>
      </w:r>
      <w:r w:rsidRPr="00A444EC">
        <w:rPr>
          <w:rtl/>
          <w:lang/>
        </w:rPr>
        <w:t xml:space="preserve">1997) بشأن </w:t>
      </w:r>
      <w:r w:rsidRPr="00A444EC">
        <w:rPr>
          <w:rStyle w:val="hps"/>
          <w:rtl/>
          <w:lang/>
        </w:rPr>
        <w:t>تنفيذ المادة 3</w:t>
      </w:r>
      <w:r w:rsidRPr="00A444EC">
        <w:rPr>
          <w:rtl/>
          <w:lang/>
        </w:rPr>
        <w:t>،</w:t>
      </w:r>
      <w:r w:rsidRPr="00A444EC">
        <w:rPr>
          <w:rtl/>
        </w:rPr>
        <w:t xml:space="preserve"> والذي جاء </w:t>
      </w:r>
      <w:r w:rsidRPr="00A444EC">
        <w:rPr>
          <w:rFonts w:hint="cs"/>
          <w:rtl/>
        </w:rPr>
        <w:t>فيه</w:t>
      </w:r>
      <w:r w:rsidRPr="00A444EC">
        <w:rPr>
          <w:rtl/>
        </w:rPr>
        <w:t xml:space="preserve"> أنه "يجب</w:t>
      </w:r>
      <w:r w:rsidRPr="00A444EC">
        <w:rPr>
          <w:rFonts w:hint="cs"/>
          <w:rtl/>
        </w:rPr>
        <w:t> </w:t>
      </w:r>
      <w:r w:rsidRPr="00A444EC">
        <w:rPr>
          <w:rtl/>
        </w:rPr>
        <w:t xml:space="preserve">أن يقدر خطر التعذيب على أسس تتجاوز مجرد النظرية أو الشك. </w:t>
      </w:r>
      <w:r w:rsidRPr="00A444EC">
        <w:rPr>
          <w:rFonts w:hint="cs"/>
          <w:rtl/>
        </w:rPr>
        <w:t>ومع ذلك لا يلزم</w:t>
      </w:r>
      <w:r w:rsidRPr="00A444EC">
        <w:rPr>
          <w:rtl/>
        </w:rPr>
        <w:t xml:space="preserve"> أن يكون الخطر </w:t>
      </w:r>
      <w:r w:rsidRPr="00A444EC">
        <w:rPr>
          <w:rFonts w:hint="cs"/>
          <w:rtl/>
        </w:rPr>
        <w:t>م</w:t>
      </w:r>
      <w:r w:rsidRPr="00A444EC">
        <w:rPr>
          <w:rtl/>
        </w:rPr>
        <w:t>حتملاً للغاية</w:t>
      </w:r>
      <w:r w:rsidRPr="00A444EC">
        <w:rPr>
          <w:rFonts w:hint="cs"/>
          <w:rtl/>
        </w:rPr>
        <w:t>"</w:t>
      </w:r>
      <w:r w:rsidRPr="00A444EC">
        <w:rPr>
          <w:vertAlign w:val="superscript"/>
          <w:rtl/>
          <w:lang w:val="fr-CH"/>
        </w:rPr>
        <w:t>(</w:t>
      </w:r>
      <w:r w:rsidRPr="00D16875">
        <w:rPr>
          <w:rStyle w:val="FootnoteReference"/>
          <w:sz w:val="2"/>
          <w:szCs w:val="2"/>
          <w:rtl/>
          <w:lang w:val="fr-CH"/>
        </w:rPr>
        <w:footnoteReference w:id="151"/>
      </w:r>
      <w:r w:rsidR="00D16875">
        <w:rPr>
          <w:rFonts w:hint="cs"/>
          <w:vertAlign w:val="superscript"/>
          <w:rtl/>
          <w:lang w:val="fr-CH"/>
        </w:rPr>
        <w:t>ب</w:t>
      </w:r>
      <w:r w:rsidR="00D16875" w:rsidRPr="00367067">
        <w:rPr>
          <w:rFonts w:hint="cs"/>
          <w:sz w:val="4"/>
          <w:szCs w:val="14"/>
          <w:vertAlign w:val="superscript"/>
          <w:rtl/>
          <w:lang w:val="fr-CH"/>
        </w:rPr>
        <w:t xml:space="preserve"> </w:t>
      </w:r>
      <w:r w:rsidR="00D16875">
        <w:rPr>
          <w:rFonts w:hint="cs"/>
          <w:vertAlign w:val="superscript"/>
          <w:rtl/>
          <w:lang w:val="fr-CH"/>
        </w:rPr>
        <w:t>ب</w:t>
      </w:r>
      <w:r w:rsidRPr="00A444EC">
        <w:rPr>
          <w:vertAlign w:val="superscript"/>
          <w:rtl/>
          <w:lang w:val="fr-CH"/>
        </w:rPr>
        <w:t>)</w:t>
      </w:r>
      <w:r w:rsidRPr="00A444EC">
        <w:rPr>
          <w:rtl/>
        </w:rPr>
        <w:t xml:space="preserve">، وإنما يجب أن يكون شخصياً وقائماً. </w:t>
      </w:r>
      <w:r w:rsidRPr="00A444EC">
        <w:rPr>
          <w:rFonts w:hint="cs"/>
          <w:rtl/>
        </w:rPr>
        <w:t>و</w:t>
      </w:r>
      <w:r w:rsidRPr="00A444EC">
        <w:rPr>
          <w:rStyle w:val="hps"/>
          <w:rtl/>
          <w:lang/>
        </w:rPr>
        <w:t>في هذا الصدد</w:t>
      </w:r>
      <w:r w:rsidRPr="00A444EC">
        <w:rPr>
          <w:rtl/>
          <w:lang/>
        </w:rPr>
        <w:t xml:space="preserve">، </w:t>
      </w:r>
      <w:r w:rsidRPr="00A444EC">
        <w:rPr>
          <w:rStyle w:val="hps"/>
          <w:rFonts w:hint="cs"/>
          <w:rtl/>
          <w:lang/>
        </w:rPr>
        <w:t>رأت اللجنة</w:t>
      </w:r>
      <w:r w:rsidRPr="00A444EC">
        <w:rPr>
          <w:rStyle w:val="hps"/>
          <w:rtl/>
          <w:lang/>
        </w:rPr>
        <w:t xml:space="preserve"> أن</w:t>
      </w:r>
      <w:r w:rsidRPr="00A444EC">
        <w:rPr>
          <w:rtl/>
          <w:lang/>
        </w:rPr>
        <w:t xml:space="preserve"> </w:t>
      </w:r>
      <w:r w:rsidRPr="00A444EC">
        <w:rPr>
          <w:rStyle w:val="hps"/>
          <w:rtl/>
          <w:lang/>
        </w:rPr>
        <w:t>خطر التعذيب</w:t>
      </w:r>
      <w:r w:rsidRPr="00A444EC">
        <w:rPr>
          <w:rtl/>
          <w:lang/>
        </w:rPr>
        <w:t xml:space="preserve"> </w:t>
      </w:r>
      <w:r w:rsidRPr="00A444EC">
        <w:rPr>
          <w:rStyle w:val="hps"/>
          <w:rtl/>
          <w:lang/>
        </w:rPr>
        <w:t>يجب أن يكون</w:t>
      </w:r>
      <w:r w:rsidRPr="00A444EC">
        <w:rPr>
          <w:rStyle w:val="hps"/>
          <w:rFonts w:hint="cs"/>
          <w:rtl/>
          <w:lang/>
        </w:rPr>
        <w:t xml:space="preserve"> متوقعاً</w:t>
      </w:r>
      <w:r w:rsidRPr="00A444EC">
        <w:rPr>
          <w:rtl/>
          <w:lang/>
        </w:rPr>
        <w:t xml:space="preserve"> </w:t>
      </w:r>
      <w:r w:rsidRPr="00A444EC">
        <w:rPr>
          <w:rFonts w:hint="cs"/>
          <w:rtl/>
          <w:lang/>
        </w:rPr>
        <w:t>و</w:t>
      </w:r>
      <w:r w:rsidRPr="00A444EC">
        <w:rPr>
          <w:rFonts w:hint="cs"/>
          <w:rtl/>
        </w:rPr>
        <w:t>حقيقياً وشخصياً</w:t>
      </w:r>
      <w:r w:rsidRPr="00A444EC">
        <w:rPr>
          <w:vertAlign w:val="superscript"/>
          <w:rtl/>
          <w:lang w:val="fr-CH"/>
        </w:rPr>
        <w:t>(</w:t>
      </w:r>
      <w:r w:rsidRPr="00D16875">
        <w:rPr>
          <w:rStyle w:val="FootnoteReference"/>
          <w:sz w:val="2"/>
          <w:szCs w:val="2"/>
          <w:rtl/>
          <w:lang w:val="fr-CH"/>
        </w:rPr>
        <w:footnoteReference w:id="152"/>
      </w:r>
      <w:r w:rsidR="00D16875">
        <w:rPr>
          <w:rFonts w:hint="cs"/>
          <w:vertAlign w:val="superscript"/>
          <w:rtl/>
          <w:lang w:val="fr-CH"/>
        </w:rPr>
        <w:t>ج ج</w:t>
      </w:r>
      <w:r w:rsidRPr="00A444EC">
        <w:rPr>
          <w:vertAlign w:val="superscript"/>
          <w:rtl/>
          <w:lang w:val="fr-CH"/>
        </w:rPr>
        <w:t>)</w:t>
      </w:r>
      <w:r w:rsidRPr="00A444EC">
        <w:rPr>
          <w:rtl/>
          <w:lang/>
        </w:rPr>
        <w:t xml:space="preserve">. </w:t>
      </w:r>
      <w:r w:rsidRPr="00A444EC">
        <w:rPr>
          <w:rStyle w:val="hps"/>
          <w:rtl/>
          <w:lang/>
        </w:rPr>
        <w:t>وتشير</w:t>
      </w:r>
      <w:r w:rsidRPr="00A444EC">
        <w:rPr>
          <w:rtl/>
          <w:lang/>
        </w:rPr>
        <w:t xml:space="preserve"> </w:t>
      </w:r>
      <w:r w:rsidRPr="00A444EC">
        <w:rPr>
          <w:rStyle w:val="hps"/>
          <w:rtl/>
          <w:lang/>
        </w:rPr>
        <w:t>اللجنة أيضا</w:t>
      </w:r>
      <w:r w:rsidRPr="00A444EC">
        <w:rPr>
          <w:rStyle w:val="hps"/>
          <w:rFonts w:hint="cs"/>
          <w:rtl/>
          <w:lang/>
        </w:rPr>
        <w:t>ً</w:t>
      </w:r>
      <w:r w:rsidRPr="00A444EC">
        <w:rPr>
          <w:rtl/>
          <w:lang/>
        </w:rPr>
        <w:t xml:space="preserve"> إلى </w:t>
      </w:r>
      <w:r w:rsidRPr="00A444EC">
        <w:rPr>
          <w:rStyle w:val="hps"/>
          <w:rtl/>
          <w:lang/>
        </w:rPr>
        <w:t>أنه</w:t>
      </w:r>
      <w:r w:rsidRPr="00A444EC">
        <w:rPr>
          <w:rStyle w:val="hps"/>
          <w:rFonts w:hint="cs"/>
          <w:rtl/>
          <w:lang/>
        </w:rPr>
        <w:t>ا</w:t>
      </w:r>
      <w:r w:rsidRPr="00A444EC">
        <w:rPr>
          <w:rStyle w:val="hps"/>
          <w:rtl/>
          <w:lang/>
        </w:rPr>
        <w:t xml:space="preserve"> </w:t>
      </w:r>
      <w:r w:rsidRPr="00A444EC">
        <w:rPr>
          <w:rStyle w:val="hps"/>
          <w:rFonts w:hint="cs"/>
          <w:rtl/>
          <w:lang/>
        </w:rPr>
        <w:t>وفقاً</w:t>
      </w:r>
      <w:r w:rsidRPr="00A444EC">
        <w:rPr>
          <w:rtl/>
          <w:lang/>
        </w:rPr>
        <w:t xml:space="preserve"> </w:t>
      </w:r>
      <w:r w:rsidRPr="00A444EC">
        <w:rPr>
          <w:rFonts w:hint="cs"/>
          <w:rtl/>
          <w:lang/>
        </w:rPr>
        <w:t>ل</w:t>
      </w:r>
      <w:r w:rsidRPr="00A444EC">
        <w:rPr>
          <w:rStyle w:val="hps"/>
          <w:rtl/>
          <w:lang/>
        </w:rPr>
        <w:t>تعليقها العام</w:t>
      </w:r>
      <w:r w:rsidRPr="00A444EC">
        <w:rPr>
          <w:rtl/>
          <w:lang/>
        </w:rPr>
        <w:t xml:space="preserve"> </w:t>
      </w:r>
      <w:r w:rsidRPr="00A444EC">
        <w:rPr>
          <w:rStyle w:val="hps"/>
          <w:rtl/>
          <w:lang/>
        </w:rPr>
        <w:t>رقم (1)</w:t>
      </w:r>
      <w:r w:rsidRPr="00A444EC">
        <w:rPr>
          <w:rFonts w:hint="cs"/>
          <w:rtl/>
        </w:rPr>
        <w:t xml:space="preserve"> تُقِيم وزناً كبيراً لتقرير الوقائع الذي يرد من أجهزة الدولة الطرف المعنية</w:t>
      </w:r>
      <w:r w:rsidRPr="00A444EC">
        <w:rPr>
          <w:vertAlign w:val="superscript"/>
          <w:rtl/>
          <w:lang w:val="fr-CH"/>
        </w:rPr>
        <w:t>(</w:t>
      </w:r>
      <w:r w:rsidRPr="00D16875">
        <w:rPr>
          <w:rStyle w:val="FootnoteReference"/>
          <w:sz w:val="2"/>
          <w:szCs w:val="2"/>
          <w:rtl/>
          <w:lang w:val="fr-CH"/>
        </w:rPr>
        <w:footnoteReference w:id="153"/>
      </w:r>
      <w:r w:rsidR="00D16875">
        <w:rPr>
          <w:rFonts w:hint="cs"/>
          <w:vertAlign w:val="superscript"/>
          <w:rtl/>
          <w:lang w:val="fr-CH"/>
        </w:rPr>
        <w:t>د</w:t>
      </w:r>
      <w:r w:rsidR="00D16875" w:rsidRPr="00367067">
        <w:rPr>
          <w:rFonts w:hint="cs"/>
          <w:sz w:val="14"/>
          <w:szCs w:val="24"/>
          <w:vertAlign w:val="superscript"/>
          <w:rtl/>
          <w:lang w:val="fr-CH"/>
        </w:rPr>
        <w:t xml:space="preserve"> </w:t>
      </w:r>
      <w:r w:rsidR="00D16875">
        <w:rPr>
          <w:rFonts w:hint="cs"/>
          <w:vertAlign w:val="superscript"/>
          <w:rtl/>
          <w:lang w:val="fr-CH"/>
        </w:rPr>
        <w:t>د</w:t>
      </w:r>
      <w:r w:rsidRPr="00A444EC">
        <w:rPr>
          <w:vertAlign w:val="superscript"/>
          <w:rtl/>
          <w:lang w:val="fr-CH"/>
        </w:rPr>
        <w:t>)</w:t>
      </w:r>
      <w:r w:rsidRPr="00A444EC">
        <w:rPr>
          <w:rFonts w:hint="cs"/>
          <w:rtl/>
        </w:rPr>
        <w:t>، بيد أنها غير ملزمة به بل إنها، على العكس من ذلك، يحق لها، بموجب الفقرة 4 من المادة 22 من الاتفاقية، تقدير الوقائع بحرية في ضوء الظروف المحيطة بكل قضية.</w:t>
      </w:r>
    </w:p>
    <w:p w:rsidR="005E110C" w:rsidRPr="00A444EC" w:rsidRDefault="005E110C" w:rsidP="005E110C">
      <w:pPr>
        <w:pStyle w:val="SingleTxtGA"/>
        <w:rPr>
          <w:rtl/>
        </w:rPr>
      </w:pPr>
      <w:r w:rsidRPr="00A444EC">
        <w:rPr>
          <w:rtl/>
        </w:rPr>
        <w:t>11-4</w:t>
      </w:r>
      <w:r w:rsidRPr="00A444EC">
        <w:rPr>
          <w:rtl/>
        </w:rPr>
        <w:tab/>
      </w:r>
      <w:r w:rsidRPr="00A444EC">
        <w:rPr>
          <w:rFonts w:hint="cs"/>
          <w:rtl/>
        </w:rPr>
        <w:t xml:space="preserve">ولتحديد </w:t>
      </w:r>
      <w:r w:rsidRPr="00A444EC">
        <w:rPr>
          <w:rtl/>
        </w:rPr>
        <w:t xml:space="preserve">ما إذا كان تسليم صاحب الشكوى إلى </w:t>
      </w:r>
      <w:r w:rsidRPr="00A444EC">
        <w:rPr>
          <w:rFonts w:hint="cs"/>
          <w:rtl/>
        </w:rPr>
        <w:t>تونس</w:t>
      </w:r>
      <w:r w:rsidRPr="00A444EC">
        <w:rPr>
          <w:rtl/>
        </w:rPr>
        <w:t xml:space="preserve"> </w:t>
      </w:r>
      <w:r w:rsidRPr="00A444EC">
        <w:rPr>
          <w:rFonts w:hint="cs"/>
          <w:rtl/>
        </w:rPr>
        <w:t>يشكل انتهاكاً ل</w:t>
      </w:r>
      <w:r w:rsidRPr="00A444EC">
        <w:rPr>
          <w:rtl/>
        </w:rPr>
        <w:t>التزامات الدولة الطرف بموجب المادة 3 من الاتفاقية، يجب على اللجنة أن تراعي جميع الاعتبارات ذات الصلة، بما في ذلك وجود نمط ثابت من الانتهاكات الجسيمة أو الصارخة أو الجماعية لحقوق الإنسان. غير أن</w:t>
      </w:r>
      <w:r w:rsidRPr="00A444EC">
        <w:rPr>
          <w:rFonts w:hint="cs"/>
          <w:rtl/>
        </w:rPr>
        <w:t>ها تشير إلى أن</w:t>
      </w:r>
      <w:r w:rsidRPr="00A444EC">
        <w:rPr>
          <w:rtl/>
        </w:rPr>
        <w:t xml:space="preserve"> الهدف من تحليل</w:t>
      </w:r>
      <w:r w:rsidRPr="00A444EC">
        <w:rPr>
          <w:rFonts w:hint="cs"/>
          <w:rtl/>
        </w:rPr>
        <w:t>ها</w:t>
      </w:r>
      <w:r w:rsidRPr="00A444EC">
        <w:rPr>
          <w:rtl/>
        </w:rPr>
        <w:t xml:space="preserve"> هو تحديد ما إذا كان صاحب الشكوى سيتعرض شخصياً لخطر</w:t>
      </w:r>
      <w:r w:rsidRPr="00A444EC">
        <w:rPr>
          <w:rFonts w:hint="cs"/>
          <w:rtl/>
        </w:rPr>
        <w:t xml:space="preserve"> تعذيب حقيقي ومتوقع</w:t>
      </w:r>
      <w:r w:rsidRPr="00A444EC">
        <w:rPr>
          <w:rtl/>
        </w:rPr>
        <w:t xml:space="preserve"> في البلد الذي </w:t>
      </w:r>
      <w:r w:rsidRPr="00A444EC">
        <w:rPr>
          <w:rFonts w:hint="cs"/>
          <w:rtl/>
        </w:rPr>
        <w:t xml:space="preserve">سيُعاد </w:t>
      </w:r>
      <w:r w:rsidRPr="00A444EC">
        <w:rPr>
          <w:rtl/>
        </w:rPr>
        <w:t>إليه.</w:t>
      </w:r>
      <w:r w:rsidRPr="00A444EC">
        <w:rPr>
          <w:rFonts w:hint="cs"/>
          <w:rtl/>
        </w:rPr>
        <w:t xml:space="preserve"> وعليه، فإن وجود نمط ثابت من الانتهاكات الجسيمة أو الصارخة أو الجماعية في البلد المعني ليس سبباً في حد ذاته لتقرير احتمال تعرض هذا الشخص للتعذيب عند عودته إلى بلده. وعلى العكس من ذلك، فإن عدم وجود نمط ثابت من الانتهاكات الصارخة لحقوق الإنسان لا يعني أنه لا يمكن أن يتعرض شخصٌ ما للتعذيب في حالة معينة خاصة به.</w:t>
      </w:r>
      <w:r w:rsidRPr="00A444EC">
        <w:rPr>
          <w:rStyle w:val="hps"/>
          <w:rFonts w:hint="cs"/>
          <w:rtl/>
          <w:lang/>
        </w:rPr>
        <w:t xml:space="preserve"> واللجنة، بفصلها في مسألة</w:t>
      </w:r>
      <w:r w:rsidRPr="00A444EC">
        <w:rPr>
          <w:rtl/>
          <w:lang/>
        </w:rPr>
        <w:t xml:space="preserve"> </w:t>
      </w:r>
      <w:r w:rsidRPr="00A444EC">
        <w:rPr>
          <w:rStyle w:val="hps"/>
          <w:rtl/>
          <w:lang/>
        </w:rPr>
        <w:t>وجود</w:t>
      </w:r>
      <w:r w:rsidRPr="00A444EC">
        <w:rPr>
          <w:rtl/>
          <w:lang/>
        </w:rPr>
        <w:t xml:space="preserve"> </w:t>
      </w:r>
      <w:r w:rsidRPr="00A444EC">
        <w:rPr>
          <w:rStyle w:val="hps"/>
          <w:rtl/>
          <w:lang/>
        </w:rPr>
        <w:t>خطر متوقع</w:t>
      </w:r>
      <w:r w:rsidRPr="00A444EC">
        <w:rPr>
          <w:rtl/>
          <w:lang/>
        </w:rPr>
        <w:t xml:space="preserve"> </w:t>
      </w:r>
      <w:r w:rsidRPr="00A444EC">
        <w:rPr>
          <w:rStyle w:val="hps"/>
          <w:rtl/>
          <w:lang/>
        </w:rPr>
        <w:t>وحقيقي وشخصي</w:t>
      </w:r>
      <w:r w:rsidRPr="00A444EC">
        <w:rPr>
          <w:rtl/>
          <w:lang/>
        </w:rPr>
        <w:t xml:space="preserve"> لا </w:t>
      </w:r>
      <w:r w:rsidRPr="00A444EC">
        <w:rPr>
          <w:rStyle w:val="hps"/>
          <w:rFonts w:hint="cs"/>
          <w:rtl/>
          <w:lang/>
        </w:rPr>
        <w:t>تصدر على أي نحو رأياً مسبقاً بشأن</w:t>
      </w:r>
      <w:r w:rsidRPr="00A444EC">
        <w:rPr>
          <w:rStyle w:val="hps"/>
          <w:rtl/>
          <w:lang/>
        </w:rPr>
        <w:t xml:space="preserve"> صحة</w:t>
      </w:r>
      <w:r w:rsidRPr="00A444EC">
        <w:rPr>
          <w:rtl/>
          <w:lang/>
        </w:rPr>
        <w:t xml:space="preserve"> </w:t>
      </w:r>
      <w:r w:rsidRPr="00A444EC">
        <w:rPr>
          <w:rStyle w:val="hps"/>
          <w:rtl/>
          <w:lang/>
        </w:rPr>
        <w:t>أو</w:t>
      </w:r>
      <w:r w:rsidRPr="00A444EC">
        <w:rPr>
          <w:rtl/>
          <w:lang/>
        </w:rPr>
        <w:t xml:space="preserve"> </w:t>
      </w:r>
      <w:r w:rsidRPr="00A444EC">
        <w:rPr>
          <w:rStyle w:val="hps"/>
          <w:rtl/>
          <w:lang/>
        </w:rPr>
        <w:t>خطورة</w:t>
      </w:r>
      <w:r w:rsidRPr="00A444EC">
        <w:rPr>
          <w:rtl/>
          <w:lang/>
        </w:rPr>
        <w:t xml:space="preserve"> </w:t>
      </w:r>
      <w:r w:rsidRPr="00A444EC">
        <w:rPr>
          <w:rStyle w:val="hps"/>
          <w:rtl/>
          <w:lang/>
        </w:rPr>
        <w:t>التهم الجنائية</w:t>
      </w:r>
      <w:r w:rsidRPr="00A444EC">
        <w:rPr>
          <w:rtl/>
          <w:lang/>
        </w:rPr>
        <w:t xml:space="preserve"> </w:t>
      </w:r>
      <w:r w:rsidRPr="00A444EC">
        <w:rPr>
          <w:rStyle w:val="hps"/>
          <w:rFonts w:hint="cs"/>
          <w:rtl/>
          <w:lang/>
        </w:rPr>
        <w:t>الموجهة ضد السيد أنسي عبيشو</w:t>
      </w:r>
      <w:r w:rsidRPr="00A444EC">
        <w:rPr>
          <w:rStyle w:val="hps"/>
          <w:rtl/>
          <w:lang/>
        </w:rPr>
        <w:t xml:space="preserve"> وقت</w:t>
      </w:r>
      <w:r w:rsidRPr="00A444EC">
        <w:rPr>
          <w:rtl/>
          <w:lang/>
        </w:rPr>
        <w:t xml:space="preserve"> </w:t>
      </w:r>
      <w:r w:rsidRPr="00A444EC">
        <w:rPr>
          <w:rStyle w:val="hps"/>
          <w:rtl/>
          <w:lang/>
        </w:rPr>
        <w:t>تسليمه</w:t>
      </w:r>
      <w:r w:rsidRPr="00A444EC">
        <w:rPr>
          <w:rtl/>
          <w:lang/>
        </w:rPr>
        <w:t>.</w:t>
      </w:r>
    </w:p>
    <w:p w:rsidR="005E110C" w:rsidRPr="00A444EC" w:rsidRDefault="005E110C" w:rsidP="005E110C">
      <w:pPr>
        <w:pStyle w:val="SingleTxtGA"/>
        <w:rPr>
          <w:rFonts w:hint="cs"/>
          <w:rtl/>
          <w:lang/>
        </w:rPr>
      </w:pPr>
      <w:r w:rsidRPr="00A444EC">
        <w:rPr>
          <w:rtl/>
        </w:rPr>
        <w:t>11-5</w:t>
      </w:r>
      <w:r w:rsidRPr="00A444EC">
        <w:rPr>
          <w:rtl/>
        </w:rPr>
        <w:tab/>
        <w:t>وت</w:t>
      </w:r>
      <w:r w:rsidRPr="00A444EC">
        <w:rPr>
          <w:rFonts w:hint="cs"/>
          <w:rtl/>
        </w:rPr>
        <w:t>ذكّر</w:t>
      </w:r>
      <w:r w:rsidRPr="00A444EC">
        <w:rPr>
          <w:rtl/>
        </w:rPr>
        <w:t xml:space="preserve"> اللجنة </w:t>
      </w:r>
      <w:r w:rsidRPr="00A444EC">
        <w:rPr>
          <w:rFonts w:hint="cs"/>
          <w:rtl/>
        </w:rPr>
        <w:t>ب</w:t>
      </w:r>
      <w:r w:rsidRPr="00A444EC">
        <w:rPr>
          <w:rtl/>
        </w:rPr>
        <w:t xml:space="preserve">أن حظر التعذيب مطلق وغير قابل </w:t>
      </w:r>
      <w:r w:rsidRPr="00A444EC">
        <w:rPr>
          <w:rFonts w:hint="cs"/>
          <w:rtl/>
        </w:rPr>
        <w:t>للتقييد</w:t>
      </w:r>
      <w:r w:rsidRPr="00A444EC">
        <w:rPr>
          <w:rtl/>
        </w:rPr>
        <w:t>، و</w:t>
      </w:r>
      <w:r w:rsidRPr="00A444EC">
        <w:rPr>
          <w:rFonts w:hint="cs"/>
          <w:rtl/>
        </w:rPr>
        <w:t xml:space="preserve">بأنه لا يجوز </w:t>
      </w:r>
      <w:r w:rsidRPr="00A444EC">
        <w:rPr>
          <w:rtl/>
        </w:rPr>
        <w:t>تذرع أي دولة طرف بظروف استثنائية أياً كانت لتبرير أفعال التعذيب</w:t>
      </w:r>
      <w:r w:rsidRPr="00A444EC">
        <w:rPr>
          <w:vertAlign w:val="superscript"/>
          <w:rtl/>
          <w:lang w:val="fr-CH"/>
        </w:rPr>
        <w:t>(</w:t>
      </w:r>
      <w:r w:rsidRPr="00367067">
        <w:rPr>
          <w:rStyle w:val="FootnoteReference"/>
          <w:color w:val="FFFFFF"/>
          <w:sz w:val="2"/>
          <w:szCs w:val="2"/>
          <w:rtl/>
          <w:lang w:val="fr-CH"/>
        </w:rPr>
        <w:footnoteReference w:id="154"/>
      </w:r>
      <w:r w:rsidR="00D16875" w:rsidRPr="00D16875">
        <w:rPr>
          <w:rFonts w:hint="cs"/>
          <w:sz w:val="30"/>
          <w:vertAlign w:val="superscript"/>
          <w:rtl/>
          <w:lang w:val="fr-CH"/>
        </w:rPr>
        <w:t>ﻫ</w:t>
      </w:r>
      <w:r w:rsidR="00D16875" w:rsidRPr="00367067">
        <w:rPr>
          <w:rFonts w:hint="cs"/>
          <w:sz w:val="12"/>
          <w:szCs w:val="22"/>
          <w:vertAlign w:val="superscript"/>
          <w:rtl/>
          <w:lang w:val="fr-CH"/>
        </w:rPr>
        <w:t xml:space="preserve"> </w:t>
      </w:r>
      <w:r w:rsidR="00D16875" w:rsidRPr="00D16875">
        <w:rPr>
          <w:rFonts w:hint="cs"/>
          <w:sz w:val="30"/>
          <w:vertAlign w:val="superscript"/>
          <w:rtl/>
          <w:lang w:val="fr-CH"/>
        </w:rPr>
        <w:t>ﻫ</w:t>
      </w:r>
      <w:r w:rsidRPr="00A444EC">
        <w:rPr>
          <w:vertAlign w:val="superscript"/>
          <w:rtl/>
          <w:lang w:val="fr-CH"/>
        </w:rPr>
        <w:t>)</w:t>
      </w:r>
      <w:r w:rsidRPr="00A444EC">
        <w:rPr>
          <w:rFonts w:hint="cs"/>
          <w:rtl/>
        </w:rPr>
        <w:t>.</w:t>
      </w:r>
      <w:r w:rsidRPr="00A444EC">
        <w:rPr>
          <w:rStyle w:val="Header"/>
          <w:rtl/>
          <w:lang/>
        </w:rPr>
        <w:t xml:space="preserve"> </w:t>
      </w:r>
      <w:r w:rsidRPr="00A444EC">
        <w:rPr>
          <w:rStyle w:val="hps"/>
          <w:rFonts w:hint="cs"/>
          <w:rtl/>
          <w:lang/>
        </w:rPr>
        <w:t>وأحاطت اللجنة علماً ب</w:t>
      </w:r>
      <w:r w:rsidRPr="00A444EC">
        <w:rPr>
          <w:rFonts w:hint="cs"/>
          <w:rtl/>
          <w:lang/>
        </w:rPr>
        <w:t>تدابير المتابعة</w:t>
      </w:r>
      <w:r w:rsidRPr="00A444EC">
        <w:rPr>
          <w:rStyle w:val="hps"/>
          <w:rtl/>
          <w:lang/>
        </w:rPr>
        <w:t xml:space="preserve"> التي </w:t>
      </w:r>
      <w:r w:rsidRPr="00A444EC">
        <w:rPr>
          <w:rStyle w:val="hps"/>
          <w:rFonts w:hint="cs"/>
          <w:rtl/>
          <w:lang/>
        </w:rPr>
        <w:t>اتخذتها</w:t>
      </w:r>
      <w:r w:rsidRPr="00A444EC">
        <w:rPr>
          <w:rtl/>
          <w:lang/>
        </w:rPr>
        <w:t xml:space="preserve"> </w:t>
      </w:r>
      <w:r w:rsidRPr="00A444EC">
        <w:rPr>
          <w:rStyle w:val="hps"/>
          <w:rtl/>
          <w:lang/>
        </w:rPr>
        <w:t>الدولة الطرف</w:t>
      </w:r>
      <w:r w:rsidRPr="00A444EC">
        <w:rPr>
          <w:rtl/>
          <w:lang/>
        </w:rPr>
        <w:t xml:space="preserve">، </w:t>
      </w:r>
      <w:r w:rsidRPr="00A444EC">
        <w:rPr>
          <w:rFonts w:hint="cs"/>
          <w:rtl/>
          <w:lang/>
        </w:rPr>
        <w:t>إلا أنها تشير</w:t>
      </w:r>
      <w:r w:rsidRPr="00A444EC">
        <w:rPr>
          <w:rtl/>
          <w:lang/>
        </w:rPr>
        <w:t xml:space="preserve"> إلى </w:t>
      </w:r>
      <w:r w:rsidRPr="00A444EC">
        <w:rPr>
          <w:rStyle w:val="hps"/>
          <w:rtl/>
          <w:lang/>
        </w:rPr>
        <w:t>أن</w:t>
      </w:r>
      <w:r w:rsidRPr="00A444EC">
        <w:rPr>
          <w:rStyle w:val="hps"/>
          <w:rFonts w:hint="cs"/>
          <w:rtl/>
          <w:lang/>
        </w:rPr>
        <w:t>ه لا </w:t>
      </w:r>
      <w:r w:rsidRPr="00A444EC">
        <w:rPr>
          <w:rFonts w:hint="cs"/>
          <w:rtl/>
          <w:lang w:val="fr-CH"/>
        </w:rPr>
        <w:t>يجوز الاستناد إلى الضمانات الدبلوماسية لتجنب تطبيق مبدأ عدم الرد</w:t>
      </w:r>
      <w:r w:rsidRPr="00A444EC">
        <w:rPr>
          <w:rtl/>
          <w:lang/>
        </w:rPr>
        <w:t xml:space="preserve"> </w:t>
      </w:r>
      <w:r w:rsidRPr="00A444EC">
        <w:rPr>
          <w:rStyle w:val="hps"/>
          <w:rtl/>
          <w:lang/>
        </w:rPr>
        <w:t>المنصوص عليه</w:t>
      </w:r>
      <w:r w:rsidRPr="00A444EC">
        <w:rPr>
          <w:rtl/>
          <w:lang/>
        </w:rPr>
        <w:t xml:space="preserve"> </w:t>
      </w:r>
      <w:r w:rsidRPr="00A444EC">
        <w:rPr>
          <w:rStyle w:val="hps"/>
          <w:rtl/>
          <w:lang/>
        </w:rPr>
        <w:t>في المادة</w:t>
      </w:r>
      <w:r w:rsidRPr="00A444EC">
        <w:rPr>
          <w:rtl/>
          <w:lang/>
        </w:rPr>
        <w:t xml:space="preserve"> </w:t>
      </w:r>
      <w:r w:rsidRPr="00A444EC">
        <w:rPr>
          <w:rStyle w:val="hps"/>
          <w:rtl/>
          <w:lang/>
        </w:rPr>
        <w:t>3 من الاتفاقية</w:t>
      </w:r>
      <w:r w:rsidRPr="00A444EC">
        <w:rPr>
          <w:vertAlign w:val="superscript"/>
          <w:rtl/>
          <w:lang w:val="fr-CH"/>
        </w:rPr>
        <w:t>(</w:t>
      </w:r>
      <w:r w:rsidRPr="00D16875">
        <w:rPr>
          <w:rStyle w:val="FootnoteReference"/>
          <w:sz w:val="2"/>
          <w:szCs w:val="2"/>
          <w:rtl/>
          <w:lang w:val="fr-CH"/>
        </w:rPr>
        <w:footnoteReference w:id="155"/>
      </w:r>
      <w:r w:rsidR="00CE592B">
        <w:rPr>
          <w:rFonts w:hint="cs"/>
          <w:vertAlign w:val="superscript"/>
          <w:rtl/>
          <w:lang w:val="fr-CH"/>
        </w:rPr>
        <w:t>و</w:t>
      </w:r>
      <w:r w:rsidR="00D16875">
        <w:rPr>
          <w:rFonts w:hint="cs"/>
          <w:vertAlign w:val="superscript"/>
          <w:rtl/>
          <w:lang w:val="fr-CH"/>
        </w:rPr>
        <w:t>و</w:t>
      </w:r>
      <w:r w:rsidRPr="00A444EC">
        <w:rPr>
          <w:vertAlign w:val="superscript"/>
          <w:rtl/>
          <w:lang w:val="fr-CH"/>
        </w:rPr>
        <w:t>)</w:t>
      </w:r>
      <w:r w:rsidRPr="00A444EC">
        <w:rPr>
          <w:rtl/>
          <w:lang/>
        </w:rPr>
        <w:t xml:space="preserve">. </w:t>
      </w:r>
      <w:r w:rsidRPr="00A444EC">
        <w:rPr>
          <w:rStyle w:val="hps"/>
          <w:rtl/>
          <w:lang/>
        </w:rPr>
        <w:t>و</w:t>
      </w:r>
      <w:r w:rsidRPr="00A444EC">
        <w:rPr>
          <w:rStyle w:val="hps"/>
          <w:rFonts w:hint="cs"/>
          <w:rtl/>
          <w:lang/>
        </w:rPr>
        <w:t xml:space="preserve">أحاطت </w:t>
      </w:r>
      <w:r w:rsidRPr="00A444EC">
        <w:rPr>
          <w:rStyle w:val="hps"/>
          <w:rtl/>
          <w:lang/>
        </w:rPr>
        <w:t>اللجنة</w:t>
      </w:r>
      <w:r w:rsidRPr="00A444EC">
        <w:rPr>
          <w:rtl/>
          <w:lang/>
        </w:rPr>
        <w:t xml:space="preserve"> </w:t>
      </w:r>
      <w:r w:rsidRPr="00A444EC">
        <w:rPr>
          <w:rStyle w:val="hps"/>
          <w:rtl/>
          <w:lang/>
        </w:rPr>
        <w:t>علما</w:t>
      </w:r>
      <w:r w:rsidRPr="00A444EC">
        <w:rPr>
          <w:rStyle w:val="hps"/>
          <w:rFonts w:hint="cs"/>
          <w:rtl/>
          <w:lang/>
        </w:rPr>
        <w:t>ً</w:t>
      </w:r>
      <w:r w:rsidRPr="00A444EC">
        <w:rPr>
          <w:rStyle w:val="hps"/>
          <w:rtl/>
          <w:lang/>
        </w:rPr>
        <w:t xml:space="preserve"> بالحجج</w:t>
      </w:r>
      <w:r w:rsidRPr="00A444EC">
        <w:rPr>
          <w:rtl/>
          <w:lang/>
        </w:rPr>
        <w:t xml:space="preserve"> </w:t>
      </w:r>
      <w:r w:rsidRPr="00A444EC">
        <w:rPr>
          <w:rStyle w:val="hps"/>
          <w:rtl/>
          <w:lang/>
        </w:rPr>
        <w:t xml:space="preserve">التي </w:t>
      </w:r>
      <w:r w:rsidRPr="00A444EC">
        <w:rPr>
          <w:rStyle w:val="hps"/>
          <w:rFonts w:hint="cs"/>
          <w:rtl/>
          <w:lang/>
        </w:rPr>
        <w:t>ساقتها صاحبة</w:t>
      </w:r>
      <w:r w:rsidRPr="00A444EC">
        <w:rPr>
          <w:rStyle w:val="hps"/>
          <w:rtl/>
          <w:lang/>
        </w:rPr>
        <w:t xml:space="preserve"> الشكوى</w:t>
      </w:r>
      <w:r w:rsidRPr="00A444EC">
        <w:rPr>
          <w:rStyle w:val="hps"/>
          <w:rFonts w:hint="cs"/>
          <w:rtl/>
          <w:lang/>
        </w:rPr>
        <w:t xml:space="preserve">، والتي تؤكد أنه بالنظر إلى </w:t>
      </w:r>
      <w:r w:rsidRPr="00A444EC">
        <w:rPr>
          <w:rStyle w:val="hps"/>
          <w:rtl/>
          <w:lang/>
        </w:rPr>
        <w:t>ا</w:t>
      </w:r>
      <w:r w:rsidRPr="00A444EC">
        <w:rPr>
          <w:rStyle w:val="hps"/>
          <w:rFonts w:hint="cs"/>
          <w:rtl/>
          <w:lang/>
        </w:rPr>
        <w:t xml:space="preserve">للجوء </w:t>
      </w:r>
      <w:r w:rsidRPr="00A444EC">
        <w:rPr>
          <w:rStyle w:val="hps"/>
          <w:rtl/>
          <w:lang/>
        </w:rPr>
        <w:t xml:space="preserve">المتكرر إلى </w:t>
      </w:r>
      <w:r w:rsidRPr="00A444EC">
        <w:rPr>
          <w:rStyle w:val="hps"/>
          <w:rFonts w:hint="cs"/>
          <w:rtl/>
          <w:lang/>
        </w:rPr>
        <w:t>ا</w:t>
      </w:r>
      <w:r w:rsidRPr="00A444EC">
        <w:rPr>
          <w:rStyle w:val="hps"/>
          <w:rtl/>
          <w:lang/>
        </w:rPr>
        <w:t>لتعذيب</w:t>
      </w:r>
      <w:r w:rsidRPr="00A444EC">
        <w:rPr>
          <w:rtl/>
          <w:lang/>
        </w:rPr>
        <w:t xml:space="preserve"> </w:t>
      </w:r>
      <w:r w:rsidRPr="00A444EC">
        <w:rPr>
          <w:rStyle w:val="hps"/>
          <w:rtl/>
          <w:lang/>
        </w:rPr>
        <w:t>في</w:t>
      </w:r>
      <w:r w:rsidRPr="00A444EC">
        <w:rPr>
          <w:rtl/>
          <w:lang/>
        </w:rPr>
        <w:t xml:space="preserve"> </w:t>
      </w:r>
      <w:r w:rsidRPr="00A444EC">
        <w:rPr>
          <w:rStyle w:val="hps"/>
          <w:rtl/>
          <w:lang/>
        </w:rPr>
        <w:t>تونس</w:t>
      </w:r>
      <w:r w:rsidRPr="00A444EC">
        <w:rPr>
          <w:rtl/>
          <w:lang/>
        </w:rPr>
        <w:t xml:space="preserve"> </w:t>
      </w:r>
      <w:r w:rsidRPr="00A444EC">
        <w:rPr>
          <w:rFonts w:hint="cs"/>
          <w:rtl/>
          <w:lang/>
        </w:rPr>
        <w:t>و</w:t>
      </w:r>
      <w:r w:rsidRPr="00A444EC">
        <w:rPr>
          <w:rStyle w:val="hps"/>
          <w:rFonts w:hint="cs"/>
          <w:rtl/>
          <w:lang/>
        </w:rPr>
        <w:t>إلى تعرض المتهمين</w:t>
      </w:r>
      <w:r w:rsidRPr="00A444EC">
        <w:rPr>
          <w:rtl/>
          <w:lang/>
        </w:rPr>
        <w:t xml:space="preserve"> </w:t>
      </w:r>
      <w:r w:rsidRPr="00A444EC">
        <w:rPr>
          <w:rStyle w:val="hps"/>
          <w:rtl/>
          <w:lang/>
        </w:rPr>
        <w:t>الآخرين ال</w:t>
      </w:r>
      <w:r w:rsidRPr="00A444EC">
        <w:rPr>
          <w:rStyle w:val="hps"/>
          <w:rFonts w:hint="cs"/>
          <w:rtl/>
          <w:lang/>
        </w:rPr>
        <w:t>ل</w:t>
      </w:r>
      <w:r w:rsidRPr="00A444EC">
        <w:rPr>
          <w:rStyle w:val="hps"/>
          <w:rtl/>
          <w:lang/>
        </w:rPr>
        <w:t xml:space="preserve">ذين </w:t>
      </w:r>
      <w:r w:rsidRPr="00A444EC">
        <w:rPr>
          <w:rStyle w:val="hps"/>
          <w:rFonts w:hint="cs"/>
          <w:rtl/>
          <w:lang/>
        </w:rPr>
        <w:t>أوقفا في</w:t>
      </w:r>
      <w:r w:rsidRPr="00A444EC">
        <w:rPr>
          <w:rStyle w:val="hps"/>
          <w:rtl/>
          <w:lang/>
        </w:rPr>
        <w:t xml:space="preserve"> القضية</w:t>
      </w:r>
      <w:r w:rsidRPr="00A444EC">
        <w:rPr>
          <w:rStyle w:val="hps"/>
          <w:rFonts w:hint="cs"/>
          <w:rtl/>
          <w:lang/>
        </w:rPr>
        <w:t xml:space="preserve"> نفسها</w:t>
      </w:r>
      <w:r w:rsidRPr="00A444EC">
        <w:rPr>
          <w:rFonts w:hint="cs"/>
          <w:rtl/>
          <w:lang/>
        </w:rPr>
        <w:t xml:space="preserve"> للتعذيب كان هناك</w:t>
      </w:r>
      <w:r w:rsidRPr="00A444EC">
        <w:rPr>
          <w:rtl/>
          <w:lang/>
        </w:rPr>
        <w:t xml:space="preserve">، </w:t>
      </w:r>
      <w:r w:rsidRPr="00A444EC">
        <w:rPr>
          <w:rStyle w:val="hps"/>
          <w:rtl/>
          <w:lang/>
        </w:rPr>
        <w:t xml:space="preserve">احتمال كبير </w:t>
      </w:r>
      <w:r w:rsidRPr="00A444EC">
        <w:rPr>
          <w:rStyle w:val="hps"/>
          <w:rFonts w:hint="cs"/>
          <w:rtl/>
          <w:lang/>
        </w:rPr>
        <w:t>لأن يتعرض السيد أنسي عبيشو أيضاً</w:t>
      </w:r>
      <w:r w:rsidRPr="00A444EC">
        <w:rPr>
          <w:rtl/>
          <w:lang/>
        </w:rPr>
        <w:t xml:space="preserve"> </w:t>
      </w:r>
      <w:r w:rsidRPr="00A444EC">
        <w:rPr>
          <w:rStyle w:val="hps"/>
          <w:rtl/>
          <w:lang/>
        </w:rPr>
        <w:t xml:space="preserve">للتعذيب </w:t>
      </w:r>
      <w:r w:rsidRPr="00A444EC">
        <w:rPr>
          <w:rStyle w:val="hps"/>
          <w:rFonts w:hint="cs"/>
          <w:rtl/>
          <w:lang/>
        </w:rPr>
        <w:t>أو ضروب ا</w:t>
      </w:r>
      <w:r w:rsidRPr="00A444EC">
        <w:rPr>
          <w:rStyle w:val="hps"/>
          <w:rtl/>
          <w:lang/>
        </w:rPr>
        <w:t>ل</w:t>
      </w:r>
      <w:r w:rsidRPr="00A444EC">
        <w:rPr>
          <w:rtl/>
          <w:lang/>
        </w:rPr>
        <w:t xml:space="preserve">معاملة </w:t>
      </w:r>
      <w:r w:rsidRPr="00A444EC">
        <w:rPr>
          <w:rStyle w:val="hps"/>
          <w:rtl/>
          <w:lang/>
        </w:rPr>
        <w:t>اللاإنسانية</w:t>
      </w:r>
      <w:r w:rsidRPr="00A444EC">
        <w:rPr>
          <w:rStyle w:val="hps"/>
          <w:rFonts w:hint="cs"/>
          <w:rtl/>
          <w:lang/>
        </w:rPr>
        <w:t xml:space="preserve"> أو المهينة</w:t>
      </w:r>
      <w:r w:rsidRPr="00A444EC">
        <w:rPr>
          <w:rtl/>
          <w:lang/>
        </w:rPr>
        <w:t xml:space="preserve"> </w:t>
      </w:r>
      <w:r w:rsidRPr="00A444EC">
        <w:rPr>
          <w:rStyle w:val="hps"/>
          <w:rtl/>
          <w:lang/>
        </w:rPr>
        <w:t>في حال</w:t>
      </w:r>
      <w:r w:rsidRPr="00A444EC">
        <w:rPr>
          <w:rtl/>
          <w:lang/>
        </w:rPr>
        <w:t xml:space="preserve"> </w:t>
      </w:r>
      <w:r w:rsidRPr="00A444EC">
        <w:rPr>
          <w:rStyle w:val="hps"/>
          <w:rtl/>
          <w:lang/>
        </w:rPr>
        <w:t>تسليمه إلى تونس</w:t>
      </w:r>
      <w:r w:rsidRPr="00A444EC">
        <w:rPr>
          <w:rtl/>
          <w:lang/>
        </w:rPr>
        <w:t xml:space="preserve">. </w:t>
      </w:r>
      <w:r w:rsidRPr="00A444EC">
        <w:rPr>
          <w:rStyle w:val="hps"/>
          <w:rFonts w:hint="cs"/>
          <w:rtl/>
          <w:lang/>
        </w:rPr>
        <w:t>كما أحاطت</w:t>
      </w:r>
      <w:r w:rsidRPr="00A444EC">
        <w:rPr>
          <w:rStyle w:val="hps"/>
          <w:rtl/>
          <w:lang/>
        </w:rPr>
        <w:t xml:space="preserve"> اللجنة</w:t>
      </w:r>
      <w:r w:rsidRPr="00A444EC">
        <w:rPr>
          <w:rtl/>
          <w:lang/>
        </w:rPr>
        <w:t xml:space="preserve"> </w:t>
      </w:r>
      <w:r w:rsidRPr="00A444EC">
        <w:rPr>
          <w:rStyle w:val="hps"/>
          <w:rtl/>
          <w:lang/>
        </w:rPr>
        <w:t>علما</w:t>
      </w:r>
      <w:r w:rsidRPr="00A444EC">
        <w:rPr>
          <w:rStyle w:val="hps"/>
          <w:rFonts w:hint="cs"/>
          <w:rtl/>
          <w:lang/>
        </w:rPr>
        <w:t>ً ب</w:t>
      </w:r>
      <w:r w:rsidRPr="00A444EC">
        <w:rPr>
          <w:rStyle w:val="hps"/>
          <w:rtl/>
          <w:lang/>
        </w:rPr>
        <w:t>حجة الدولة</w:t>
      </w:r>
      <w:r w:rsidRPr="00A444EC">
        <w:rPr>
          <w:rtl/>
          <w:lang/>
        </w:rPr>
        <w:t xml:space="preserve"> </w:t>
      </w:r>
      <w:r w:rsidRPr="00A444EC">
        <w:rPr>
          <w:rStyle w:val="hps"/>
          <w:rtl/>
          <w:lang/>
        </w:rPr>
        <w:t xml:space="preserve">الطرف </w:t>
      </w:r>
      <w:r w:rsidRPr="00A444EC">
        <w:rPr>
          <w:rStyle w:val="hps"/>
          <w:rFonts w:hint="cs"/>
          <w:rtl/>
          <w:lang/>
        </w:rPr>
        <w:t>بأن السيد أنسي عبيشو</w:t>
      </w:r>
      <w:r w:rsidRPr="00A444EC">
        <w:rPr>
          <w:rtl/>
          <w:lang/>
        </w:rPr>
        <w:t xml:space="preserve"> لا </w:t>
      </w:r>
      <w:r w:rsidRPr="00A444EC">
        <w:rPr>
          <w:rStyle w:val="hps"/>
          <w:rtl/>
          <w:lang/>
        </w:rPr>
        <w:t>ي</w:t>
      </w:r>
      <w:r w:rsidRPr="00A444EC">
        <w:rPr>
          <w:rStyle w:val="hps"/>
          <w:rFonts w:hint="cs"/>
          <w:rtl/>
          <w:lang/>
        </w:rPr>
        <w:t>نتمي</w:t>
      </w:r>
      <w:r w:rsidRPr="00A444EC">
        <w:rPr>
          <w:rtl/>
          <w:lang/>
        </w:rPr>
        <w:t xml:space="preserve"> إلى </w:t>
      </w:r>
      <w:r w:rsidRPr="00A444EC">
        <w:rPr>
          <w:rStyle w:val="hps"/>
          <w:rFonts w:hint="cs"/>
          <w:rtl/>
          <w:lang/>
        </w:rPr>
        <w:t>الفئات المعرضة</w:t>
      </w:r>
      <w:r w:rsidRPr="00A444EC">
        <w:rPr>
          <w:rStyle w:val="hps"/>
          <w:rtl/>
          <w:lang/>
        </w:rPr>
        <w:t xml:space="preserve"> ل</w:t>
      </w:r>
      <w:r w:rsidRPr="00A444EC">
        <w:rPr>
          <w:rtl/>
          <w:lang/>
        </w:rPr>
        <w:t xml:space="preserve">مثل هذا الخطر، </w:t>
      </w:r>
      <w:r w:rsidRPr="00A444EC">
        <w:rPr>
          <w:rStyle w:val="hps"/>
          <w:rFonts w:hint="cs"/>
          <w:rtl/>
          <w:lang/>
        </w:rPr>
        <w:t>لكونه لا يواجه اتهامات</w:t>
      </w:r>
      <w:r w:rsidRPr="00A444EC">
        <w:rPr>
          <w:rtl/>
          <w:lang/>
        </w:rPr>
        <w:t xml:space="preserve"> </w:t>
      </w:r>
      <w:r w:rsidRPr="00A444EC">
        <w:rPr>
          <w:rStyle w:val="hps"/>
          <w:rtl/>
          <w:lang/>
        </w:rPr>
        <w:t>مرتبطة</w:t>
      </w:r>
      <w:r w:rsidRPr="00A444EC">
        <w:rPr>
          <w:rtl/>
          <w:lang/>
        </w:rPr>
        <w:t xml:space="preserve"> </w:t>
      </w:r>
      <w:r w:rsidRPr="00A444EC">
        <w:rPr>
          <w:rStyle w:val="hps"/>
          <w:rtl/>
          <w:lang/>
        </w:rPr>
        <w:t>بالإرهاب</w:t>
      </w:r>
      <w:r w:rsidRPr="00A444EC">
        <w:rPr>
          <w:rtl/>
          <w:lang/>
        </w:rPr>
        <w:t xml:space="preserve">. </w:t>
      </w:r>
      <w:r w:rsidRPr="00A444EC">
        <w:rPr>
          <w:rStyle w:val="hps"/>
          <w:rtl/>
          <w:lang/>
        </w:rPr>
        <w:t>و</w:t>
      </w:r>
      <w:r w:rsidRPr="00A444EC">
        <w:rPr>
          <w:rStyle w:val="hps"/>
          <w:rFonts w:hint="cs"/>
          <w:rtl/>
          <w:lang/>
        </w:rPr>
        <w:t>بيّنت</w:t>
      </w:r>
      <w:r w:rsidRPr="00A444EC">
        <w:rPr>
          <w:rStyle w:val="hps"/>
          <w:rtl/>
          <w:lang/>
        </w:rPr>
        <w:t xml:space="preserve"> الدولة</w:t>
      </w:r>
      <w:r w:rsidRPr="00A444EC">
        <w:rPr>
          <w:rtl/>
          <w:lang/>
        </w:rPr>
        <w:t xml:space="preserve"> </w:t>
      </w:r>
      <w:r w:rsidRPr="00A444EC">
        <w:rPr>
          <w:rStyle w:val="hps"/>
          <w:rtl/>
          <w:lang/>
        </w:rPr>
        <w:t>الطرف أيضا</w:t>
      </w:r>
      <w:r w:rsidRPr="00A444EC">
        <w:rPr>
          <w:rStyle w:val="hps"/>
          <w:rFonts w:hint="cs"/>
          <w:rtl/>
          <w:lang/>
        </w:rPr>
        <w:t>ً</w:t>
      </w:r>
      <w:r w:rsidRPr="00A444EC">
        <w:rPr>
          <w:rtl/>
          <w:lang/>
        </w:rPr>
        <w:t xml:space="preserve"> </w:t>
      </w:r>
      <w:r w:rsidRPr="00A444EC">
        <w:rPr>
          <w:rStyle w:val="hps"/>
          <w:rFonts w:hint="cs"/>
          <w:rtl/>
          <w:lang/>
        </w:rPr>
        <w:t>للجنة</w:t>
      </w:r>
      <w:r w:rsidRPr="00A444EC">
        <w:rPr>
          <w:rtl/>
          <w:lang/>
        </w:rPr>
        <w:t xml:space="preserve"> </w:t>
      </w:r>
      <w:r w:rsidRPr="00A444EC">
        <w:rPr>
          <w:rStyle w:val="hps"/>
          <w:rtl/>
          <w:lang/>
        </w:rPr>
        <w:t>أن</w:t>
      </w:r>
      <w:r w:rsidRPr="00A444EC">
        <w:rPr>
          <w:rtl/>
          <w:lang/>
        </w:rPr>
        <w:t xml:space="preserve"> </w:t>
      </w:r>
      <w:r w:rsidRPr="00A444EC">
        <w:rPr>
          <w:rStyle w:val="hps"/>
          <w:rtl/>
          <w:lang/>
        </w:rPr>
        <w:t>طلب التسليم</w:t>
      </w:r>
      <w:r w:rsidRPr="00A444EC">
        <w:rPr>
          <w:rtl/>
          <w:lang/>
        </w:rPr>
        <w:t xml:space="preserve"> </w:t>
      </w:r>
      <w:r w:rsidRPr="00A444EC">
        <w:rPr>
          <w:rStyle w:val="hps"/>
          <w:rFonts w:hint="cs"/>
          <w:rtl/>
          <w:lang/>
        </w:rPr>
        <w:t>كان مصحوباً بضمانات</w:t>
      </w:r>
      <w:r w:rsidRPr="00A444EC">
        <w:rPr>
          <w:rStyle w:val="hps"/>
          <w:rtl/>
          <w:lang/>
        </w:rPr>
        <w:t xml:space="preserve"> دبلوماسية </w:t>
      </w:r>
      <w:r w:rsidRPr="00A444EC">
        <w:rPr>
          <w:rStyle w:val="hps"/>
          <w:rFonts w:hint="cs"/>
          <w:rtl/>
          <w:lang/>
        </w:rPr>
        <w:t>قدمتها</w:t>
      </w:r>
      <w:r w:rsidRPr="00A444EC">
        <w:rPr>
          <w:rtl/>
          <w:lang/>
        </w:rPr>
        <w:t xml:space="preserve"> </w:t>
      </w:r>
      <w:r w:rsidRPr="00A444EC">
        <w:rPr>
          <w:rStyle w:val="hps"/>
          <w:rtl/>
          <w:lang/>
        </w:rPr>
        <w:t>تونس</w:t>
      </w:r>
      <w:r w:rsidRPr="00A444EC">
        <w:rPr>
          <w:rStyle w:val="hps"/>
          <w:rFonts w:hint="cs"/>
          <w:rtl/>
          <w:lang/>
        </w:rPr>
        <w:t xml:space="preserve">، وأشارت فيها إلى أن السيد أنسي عبيشو سيحصل على </w:t>
      </w:r>
      <w:r w:rsidRPr="00A444EC">
        <w:rPr>
          <w:rStyle w:val="hps"/>
          <w:rtl/>
          <w:lang/>
        </w:rPr>
        <w:t>محاكمة</w:t>
      </w:r>
      <w:r w:rsidRPr="00A444EC">
        <w:rPr>
          <w:rtl/>
          <w:lang/>
        </w:rPr>
        <w:t xml:space="preserve"> </w:t>
      </w:r>
      <w:r w:rsidRPr="00A444EC">
        <w:rPr>
          <w:rStyle w:val="hps"/>
          <w:rFonts w:hint="cs"/>
          <w:rtl/>
          <w:lang/>
        </w:rPr>
        <w:t xml:space="preserve">جديدة تراعي فيها </w:t>
      </w:r>
      <w:r w:rsidRPr="00A444EC">
        <w:rPr>
          <w:rStyle w:val="hps"/>
          <w:rtl/>
          <w:lang/>
        </w:rPr>
        <w:t>الحقوق</w:t>
      </w:r>
      <w:r w:rsidRPr="00A444EC">
        <w:rPr>
          <w:rtl/>
          <w:lang/>
        </w:rPr>
        <w:t xml:space="preserve"> </w:t>
      </w:r>
      <w:r w:rsidRPr="00A444EC">
        <w:rPr>
          <w:rStyle w:val="hps"/>
          <w:rFonts w:hint="cs"/>
          <w:rtl/>
          <w:lang/>
        </w:rPr>
        <w:t>المنصوص عليها</w:t>
      </w:r>
      <w:r w:rsidRPr="00A444EC">
        <w:rPr>
          <w:rStyle w:val="hps"/>
          <w:rtl/>
          <w:lang/>
        </w:rPr>
        <w:t xml:space="preserve"> في العهد</w:t>
      </w:r>
      <w:r w:rsidRPr="00A444EC">
        <w:rPr>
          <w:rtl/>
          <w:lang/>
        </w:rPr>
        <w:t xml:space="preserve"> </w:t>
      </w:r>
      <w:r w:rsidRPr="00A444EC">
        <w:rPr>
          <w:rStyle w:val="hps"/>
          <w:rtl/>
          <w:lang/>
        </w:rPr>
        <w:t>الدولي الخاص بالحقوق</w:t>
      </w:r>
      <w:r w:rsidRPr="00A444EC">
        <w:rPr>
          <w:rtl/>
          <w:lang/>
        </w:rPr>
        <w:t xml:space="preserve"> </w:t>
      </w:r>
      <w:r w:rsidRPr="00A444EC">
        <w:rPr>
          <w:rStyle w:val="hps"/>
          <w:rtl/>
          <w:lang/>
        </w:rPr>
        <w:t>المدنية والسياسية</w:t>
      </w:r>
      <w:r w:rsidRPr="00A444EC">
        <w:rPr>
          <w:rStyle w:val="hps"/>
          <w:rFonts w:hint="cs"/>
          <w:rtl/>
          <w:lang/>
        </w:rPr>
        <w:t>، وسيسجن، في حالة إدانته من جديد، في مكان احتجاز تُراعي</w:t>
      </w:r>
      <w:r w:rsidRPr="00A444EC">
        <w:rPr>
          <w:rFonts w:hint="cs"/>
          <w:rtl/>
          <w:lang/>
        </w:rPr>
        <w:t xml:space="preserve"> فيه القواعد</w:t>
      </w:r>
      <w:r w:rsidRPr="00A444EC">
        <w:rPr>
          <w:rStyle w:val="hps"/>
          <w:rtl/>
          <w:lang/>
        </w:rPr>
        <w:t xml:space="preserve"> النموذجية الدنيا </w:t>
      </w:r>
      <w:r w:rsidRPr="00A444EC">
        <w:rPr>
          <w:rStyle w:val="hps"/>
          <w:rFonts w:hint="cs"/>
          <w:rtl/>
          <w:lang/>
        </w:rPr>
        <w:t>لم</w:t>
      </w:r>
      <w:r w:rsidRPr="00A444EC">
        <w:rPr>
          <w:rtl/>
          <w:lang/>
        </w:rPr>
        <w:t>عاملة السجناء</w:t>
      </w:r>
      <w:r w:rsidRPr="00A444EC">
        <w:rPr>
          <w:rFonts w:hint="cs"/>
          <w:rtl/>
          <w:lang/>
        </w:rPr>
        <w:t>.</w:t>
      </w:r>
      <w:r w:rsidRPr="00A444EC">
        <w:rPr>
          <w:rtl/>
          <w:lang/>
        </w:rPr>
        <w:t xml:space="preserve"> </w:t>
      </w:r>
    </w:p>
    <w:p w:rsidR="005E110C" w:rsidRPr="00A444EC" w:rsidRDefault="005E110C" w:rsidP="005B7D22">
      <w:pPr>
        <w:pStyle w:val="SingleTxtGA"/>
        <w:rPr>
          <w:rFonts w:hint="cs"/>
          <w:rtl/>
        </w:rPr>
      </w:pPr>
      <w:r w:rsidRPr="00A444EC">
        <w:rPr>
          <w:rtl/>
        </w:rPr>
        <w:t>11-6</w:t>
      </w:r>
      <w:r w:rsidRPr="00A444EC">
        <w:rPr>
          <w:rtl/>
        </w:rPr>
        <w:tab/>
      </w:r>
      <w:r w:rsidRPr="00A444EC">
        <w:rPr>
          <w:rStyle w:val="hps"/>
          <w:rtl/>
          <w:lang/>
        </w:rPr>
        <w:t>وعلى الرغم من</w:t>
      </w:r>
      <w:r w:rsidRPr="00A444EC">
        <w:rPr>
          <w:rtl/>
          <w:lang/>
        </w:rPr>
        <w:t xml:space="preserve"> </w:t>
      </w:r>
      <w:r w:rsidRPr="00A444EC">
        <w:rPr>
          <w:rStyle w:val="hps"/>
          <w:rtl/>
          <w:lang/>
        </w:rPr>
        <w:t>الضمانات الدبلوماسية</w:t>
      </w:r>
      <w:r w:rsidRPr="00A444EC">
        <w:rPr>
          <w:rtl/>
          <w:lang/>
        </w:rPr>
        <w:t xml:space="preserve"> </w:t>
      </w:r>
      <w:r w:rsidRPr="00A444EC">
        <w:rPr>
          <w:rStyle w:val="hps"/>
          <w:rFonts w:hint="cs"/>
          <w:rtl/>
          <w:lang/>
        </w:rPr>
        <w:t>المقدمة</w:t>
      </w:r>
      <w:r w:rsidRPr="00A444EC">
        <w:rPr>
          <w:rtl/>
          <w:lang/>
        </w:rPr>
        <w:t xml:space="preserve">، يجب </w:t>
      </w:r>
      <w:r w:rsidRPr="00A444EC">
        <w:rPr>
          <w:rStyle w:val="hps"/>
          <w:rFonts w:hint="cs"/>
          <w:rtl/>
          <w:lang/>
        </w:rPr>
        <w:t xml:space="preserve">أن تأخذ </w:t>
      </w:r>
      <w:r w:rsidRPr="00A444EC">
        <w:rPr>
          <w:rtl/>
          <w:lang/>
        </w:rPr>
        <w:t xml:space="preserve">اللجنة </w:t>
      </w:r>
      <w:r w:rsidRPr="00A444EC">
        <w:rPr>
          <w:rStyle w:val="hps"/>
          <w:rFonts w:hint="cs"/>
          <w:rtl/>
          <w:lang/>
        </w:rPr>
        <w:t>في الاعتبار</w:t>
      </w:r>
      <w:r w:rsidRPr="00A444EC">
        <w:rPr>
          <w:rtl/>
          <w:lang/>
        </w:rPr>
        <w:t xml:space="preserve"> </w:t>
      </w:r>
      <w:r w:rsidRPr="00A444EC">
        <w:rPr>
          <w:rStyle w:val="hps"/>
          <w:rtl/>
          <w:lang/>
        </w:rPr>
        <w:t>الوضع الفعلي</w:t>
      </w:r>
      <w:r w:rsidRPr="00A444EC">
        <w:rPr>
          <w:rtl/>
          <w:lang/>
        </w:rPr>
        <w:t xml:space="preserve"> </w:t>
      </w:r>
      <w:r w:rsidRPr="00A444EC">
        <w:rPr>
          <w:rStyle w:val="hps"/>
          <w:rtl/>
          <w:lang/>
        </w:rPr>
        <w:t>لحقوق الإنسان</w:t>
      </w:r>
      <w:r w:rsidRPr="00A444EC">
        <w:rPr>
          <w:rtl/>
          <w:lang/>
        </w:rPr>
        <w:t xml:space="preserve"> </w:t>
      </w:r>
      <w:r w:rsidRPr="00A444EC">
        <w:rPr>
          <w:rStyle w:val="hps"/>
          <w:rtl/>
          <w:lang/>
        </w:rPr>
        <w:t>في</w:t>
      </w:r>
      <w:r w:rsidRPr="00A444EC">
        <w:rPr>
          <w:rtl/>
          <w:lang/>
        </w:rPr>
        <w:t xml:space="preserve"> </w:t>
      </w:r>
      <w:r w:rsidRPr="00A444EC">
        <w:rPr>
          <w:rStyle w:val="hps"/>
          <w:rtl/>
          <w:lang/>
        </w:rPr>
        <w:t>تونس</w:t>
      </w:r>
      <w:r w:rsidRPr="00A444EC">
        <w:rPr>
          <w:rtl/>
          <w:lang/>
        </w:rPr>
        <w:t xml:space="preserve"> </w:t>
      </w:r>
      <w:r w:rsidRPr="00A444EC">
        <w:rPr>
          <w:rStyle w:val="hps"/>
          <w:rtl/>
          <w:lang/>
        </w:rPr>
        <w:t>وقت</w:t>
      </w:r>
      <w:r w:rsidRPr="00A444EC">
        <w:rPr>
          <w:rtl/>
          <w:lang/>
        </w:rPr>
        <w:t xml:space="preserve"> </w:t>
      </w:r>
      <w:r w:rsidRPr="00A444EC">
        <w:rPr>
          <w:rStyle w:val="hps"/>
          <w:rtl/>
          <w:lang/>
        </w:rPr>
        <w:t>تسليم</w:t>
      </w:r>
      <w:r w:rsidRPr="00A444EC">
        <w:rPr>
          <w:rtl/>
          <w:lang/>
        </w:rPr>
        <w:t xml:space="preserve"> </w:t>
      </w:r>
      <w:r w:rsidRPr="00A444EC">
        <w:rPr>
          <w:rStyle w:val="hps"/>
          <w:rtl/>
          <w:lang/>
        </w:rPr>
        <w:t>زوج</w:t>
      </w:r>
      <w:r w:rsidRPr="00A444EC">
        <w:rPr>
          <w:rtl/>
          <w:lang/>
        </w:rPr>
        <w:t xml:space="preserve"> </w:t>
      </w:r>
      <w:r w:rsidRPr="00A444EC">
        <w:rPr>
          <w:rStyle w:val="hps"/>
          <w:rFonts w:hint="cs"/>
          <w:rtl/>
          <w:lang/>
        </w:rPr>
        <w:t xml:space="preserve">صاحبة </w:t>
      </w:r>
      <w:r w:rsidRPr="00A444EC">
        <w:rPr>
          <w:rStyle w:val="hps"/>
          <w:rtl/>
          <w:lang/>
        </w:rPr>
        <w:t>الشكوى.</w:t>
      </w:r>
      <w:r w:rsidRPr="00A444EC">
        <w:rPr>
          <w:rtl/>
          <w:lang/>
        </w:rPr>
        <w:t xml:space="preserve"> </w:t>
      </w:r>
      <w:r w:rsidRPr="00A444EC">
        <w:rPr>
          <w:rStyle w:val="hps"/>
          <w:rtl/>
          <w:lang/>
        </w:rPr>
        <w:t xml:space="preserve">وتشير اللجنة إلى </w:t>
      </w:r>
      <w:r w:rsidRPr="00A444EC">
        <w:rPr>
          <w:rStyle w:val="hps"/>
          <w:rFonts w:hint="cs"/>
          <w:rtl/>
          <w:lang/>
        </w:rPr>
        <w:t>الملاحظات</w:t>
      </w:r>
      <w:r w:rsidRPr="00A444EC">
        <w:rPr>
          <w:rStyle w:val="hps"/>
          <w:rtl/>
          <w:lang/>
        </w:rPr>
        <w:t xml:space="preserve"> الختامية</w:t>
      </w:r>
      <w:r w:rsidRPr="00A444EC">
        <w:rPr>
          <w:rStyle w:val="hps"/>
          <w:rFonts w:hint="cs"/>
          <w:rtl/>
          <w:lang/>
        </w:rPr>
        <w:t xml:space="preserve"> التي أصدرتها</w:t>
      </w:r>
      <w:r w:rsidRPr="00A444EC">
        <w:rPr>
          <w:rtl/>
          <w:lang/>
        </w:rPr>
        <w:t xml:space="preserve"> </w:t>
      </w:r>
      <w:r w:rsidRPr="00A444EC">
        <w:rPr>
          <w:rStyle w:val="hps"/>
          <w:rtl/>
          <w:lang/>
        </w:rPr>
        <w:t>عام 1998</w:t>
      </w:r>
      <w:r w:rsidRPr="00A444EC">
        <w:rPr>
          <w:rFonts w:hint="cs"/>
          <w:rtl/>
          <w:lang/>
        </w:rPr>
        <w:t xml:space="preserve"> بشأن</w:t>
      </w:r>
      <w:r w:rsidRPr="00A444EC">
        <w:rPr>
          <w:rStyle w:val="hps"/>
          <w:rtl/>
          <w:lang/>
        </w:rPr>
        <w:t xml:space="preserve"> التقرير</w:t>
      </w:r>
      <w:r w:rsidRPr="00A444EC">
        <w:rPr>
          <w:rtl/>
          <w:lang/>
        </w:rPr>
        <w:t xml:space="preserve"> </w:t>
      </w:r>
      <w:r w:rsidRPr="00A444EC">
        <w:rPr>
          <w:rStyle w:val="hps"/>
          <w:rtl/>
          <w:lang/>
        </w:rPr>
        <w:t xml:space="preserve">الدوري الثاني </w:t>
      </w:r>
      <w:r w:rsidRPr="00A444EC">
        <w:rPr>
          <w:rStyle w:val="hps"/>
          <w:rFonts w:hint="cs"/>
          <w:rtl/>
          <w:lang/>
        </w:rPr>
        <w:t>الذي قدمته</w:t>
      </w:r>
      <w:r w:rsidRPr="00A444EC">
        <w:rPr>
          <w:rtl/>
          <w:lang/>
        </w:rPr>
        <w:t xml:space="preserve"> </w:t>
      </w:r>
      <w:r w:rsidRPr="00A444EC">
        <w:rPr>
          <w:rStyle w:val="hps"/>
          <w:rtl/>
          <w:lang/>
        </w:rPr>
        <w:t>تونس</w:t>
      </w:r>
      <w:r w:rsidRPr="00A444EC">
        <w:rPr>
          <w:rtl/>
          <w:lang/>
        </w:rPr>
        <w:t xml:space="preserve"> </w:t>
      </w:r>
      <w:r w:rsidRPr="00A444EC">
        <w:rPr>
          <w:rStyle w:val="hps"/>
          <w:rtl/>
          <w:lang/>
        </w:rPr>
        <w:t>(</w:t>
      </w:r>
      <w:r w:rsidRPr="00A444EC">
        <w:t>CAT/C/20/Add.7</w:t>
      </w:r>
      <w:r w:rsidRPr="00A444EC">
        <w:rPr>
          <w:rtl/>
          <w:lang/>
        </w:rPr>
        <w:t xml:space="preserve">)، </w:t>
      </w:r>
      <w:r w:rsidRPr="00A444EC">
        <w:rPr>
          <w:rFonts w:hint="cs"/>
          <w:rtl/>
          <w:lang/>
        </w:rPr>
        <w:t>والتي أفادت فيها بما يلي:</w:t>
      </w:r>
      <w:r w:rsidRPr="00A444EC">
        <w:rPr>
          <w:rStyle w:val="hps"/>
          <w:rtl/>
          <w:lang/>
        </w:rPr>
        <w:t xml:space="preserve"> "</w:t>
      </w:r>
      <w:r w:rsidRPr="00A444EC">
        <w:rPr>
          <w:rStyle w:val="hps"/>
          <w:rFonts w:hint="cs"/>
          <w:rtl/>
          <w:lang/>
        </w:rPr>
        <w:t>مما يكدر اللجنة بوجه خاص ما</w:t>
      </w:r>
      <w:r w:rsidR="005B7D22">
        <w:rPr>
          <w:rStyle w:val="hps"/>
          <w:rFonts w:hint="eastAsia"/>
          <w:rtl/>
          <w:lang/>
        </w:rPr>
        <w:t> </w:t>
      </w:r>
      <w:r w:rsidRPr="00A444EC">
        <w:rPr>
          <w:rStyle w:val="hps"/>
          <w:rFonts w:hint="cs"/>
          <w:rtl/>
          <w:lang/>
        </w:rPr>
        <w:t>ذكرته التقارير من ممارسة قوات الأمن والشرطة التعذيب</w:t>
      </w:r>
      <w:r w:rsidRPr="00A444EC">
        <w:rPr>
          <w:rtl/>
          <w:lang/>
        </w:rPr>
        <w:t xml:space="preserve"> </w:t>
      </w:r>
      <w:r w:rsidRPr="00A444EC">
        <w:rPr>
          <w:rStyle w:val="hps"/>
          <w:rtl/>
          <w:lang/>
        </w:rPr>
        <w:t>وغيره من ضروب المعاملة</w:t>
      </w:r>
      <w:r w:rsidRPr="00A444EC">
        <w:rPr>
          <w:rtl/>
          <w:lang/>
        </w:rPr>
        <w:t xml:space="preserve"> </w:t>
      </w:r>
      <w:r w:rsidRPr="00A444EC">
        <w:rPr>
          <w:rStyle w:val="hps"/>
          <w:rtl/>
          <w:lang/>
        </w:rPr>
        <w:t xml:space="preserve">القاسية </w:t>
      </w:r>
      <w:r w:rsidRPr="00A444EC">
        <w:rPr>
          <w:rStyle w:val="hps"/>
          <w:rFonts w:hint="cs"/>
          <w:rtl/>
          <w:lang/>
        </w:rPr>
        <w:t>أو المهينة على نطاق واسع، مما أسفر في بعض الحالات عن وفاة الأشخاص الموضوعين تحت الحراسة"</w:t>
      </w:r>
      <w:r w:rsidRPr="00A444EC">
        <w:rPr>
          <w:vertAlign w:val="superscript"/>
          <w:rtl/>
          <w:lang w:val="fr-CH"/>
        </w:rPr>
        <w:t>(</w:t>
      </w:r>
      <w:r w:rsidRPr="00CE592B">
        <w:rPr>
          <w:rStyle w:val="FootnoteReference"/>
          <w:sz w:val="2"/>
          <w:szCs w:val="2"/>
          <w:rtl/>
          <w:lang w:val="fr-CH"/>
        </w:rPr>
        <w:footnoteReference w:id="156"/>
      </w:r>
      <w:r w:rsidR="00CE592B">
        <w:rPr>
          <w:rFonts w:hint="cs"/>
          <w:vertAlign w:val="superscript"/>
          <w:rtl/>
          <w:lang w:val="fr-CH"/>
        </w:rPr>
        <w:t>زز</w:t>
      </w:r>
      <w:r w:rsidRPr="00A444EC">
        <w:rPr>
          <w:vertAlign w:val="superscript"/>
          <w:rtl/>
          <w:lang w:val="fr-CH"/>
        </w:rPr>
        <w:t>)</w:t>
      </w:r>
      <w:r w:rsidRPr="00A444EC">
        <w:rPr>
          <w:rStyle w:val="hps"/>
          <w:rFonts w:hint="cs"/>
          <w:rtl/>
          <w:lang/>
        </w:rPr>
        <w:t>.</w:t>
      </w:r>
      <w:r w:rsidRPr="00A444EC">
        <w:rPr>
          <w:rStyle w:val="hps"/>
          <w:rtl/>
          <w:lang/>
        </w:rPr>
        <w:t xml:space="preserve"> </w:t>
      </w:r>
      <w:r w:rsidRPr="00A444EC">
        <w:rPr>
          <w:rStyle w:val="hps"/>
          <w:rFonts w:hint="cs"/>
          <w:rtl/>
          <w:lang/>
        </w:rPr>
        <w:t>و</w:t>
      </w:r>
      <w:r w:rsidRPr="00A444EC">
        <w:rPr>
          <w:rStyle w:val="hps"/>
          <w:rtl/>
          <w:lang/>
        </w:rPr>
        <w:t>أشارت</w:t>
      </w:r>
      <w:r w:rsidRPr="00A444EC">
        <w:rPr>
          <w:rtl/>
          <w:lang/>
        </w:rPr>
        <w:t xml:space="preserve"> </w:t>
      </w:r>
      <w:r w:rsidRPr="00A444EC">
        <w:rPr>
          <w:rStyle w:val="hps"/>
          <w:rtl/>
          <w:lang/>
        </w:rPr>
        <w:t>اللجنة المعنية بحقوق</w:t>
      </w:r>
      <w:r w:rsidRPr="00A444EC">
        <w:rPr>
          <w:rtl/>
          <w:lang/>
        </w:rPr>
        <w:t xml:space="preserve"> </w:t>
      </w:r>
      <w:r w:rsidRPr="00A444EC">
        <w:rPr>
          <w:rStyle w:val="hps"/>
          <w:rtl/>
          <w:lang/>
        </w:rPr>
        <w:t>الإنسان</w:t>
      </w:r>
      <w:r w:rsidRPr="00A444EC">
        <w:rPr>
          <w:rStyle w:val="hps"/>
          <w:rFonts w:hint="cs"/>
          <w:rtl/>
          <w:lang/>
        </w:rPr>
        <w:t xml:space="preserve"> مؤخراً، في عام 2008</w:t>
      </w:r>
      <w:r w:rsidRPr="00A444EC">
        <w:rPr>
          <w:rtl/>
          <w:lang/>
        </w:rPr>
        <w:t xml:space="preserve">، </w:t>
      </w:r>
      <w:r w:rsidRPr="00A444EC">
        <w:rPr>
          <w:rFonts w:hint="cs"/>
          <w:rtl/>
          <w:lang/>
        </w:rPr>
        <w:t>عقب</w:t>
      </w:r>
      <w:r w:rsidRPr="00A444EC">
        <w:rPr>
          <w:rtl/>
          <w:lang/>
        </w:rPr>
        <w:t xml:space="preserve"> </w:t>
      </w:r>
      <w:r w:rsidRPr="00A444EC">
        <w:rPr>
          <w:rStyle w:val="hps"/>
          <w:rtl/>
          <w:lang/>
        </w:rPr>
        <w:t>نظرها في</w:t>
      </w:r>
      <w:r w:rsidRPr="00A444EC">
        <w:rPr>
          <w:rtl/>
          <w:lang/>
        </w:rPr>
        <w:t xml:space="preserve"> </w:t>
      </w:r>
      <w:r w:rsidRPr="00A444EC">
        <w:rPr>
          <w:rStyle w:val="hps"/>
          <w:rtl/>
          <w:lang/>
        </w:rPr>
        <w:t>التقرير الدوري</w:t>
      </w:r>
      <w:r w:rsidRPr="00A444EC">
        <w:rPr>
          <w:rtl/>
          <w:lang/>
        </w:rPr>
        <w:t xml:space="preserve"> </w:t>
      </w:r>
      <w:r w:rsidRPr="00A444EC">
        <w:rPr>
          <w:rStyle w:val="hps"/>
          <w:rFonts w:hint="cs"/>
          <w:rtl/>
          <w:lang/>
        </w:rPr>
        <w:t>لتونس</w:t>
      </w:r>
      <w:r w:rsidRPr="00A444EC">
        <w:rPr>
          <w:rtl/>
          <w:lang/>
        </w:rPr>
        <w:t xml:space="preserve"> </w:t>
      </w:r>
      <w:r w:rsidRPr="00A444EC">
        <w:rPr>
          <w:rStyle w:val="hps"/>
          <w:rtl/>
          <w:lang/>
        </w:rPr>
        <w:t>(</w:t>
      </w:r>
      <w:r w:rsidRPr="00A444EC">
        <w:rPr>
          <w:lang w:eastAsia="fr-CH"/>
        </w:rPr>
        <w:t>CCPR/C/TUN/5</w:t>
      </w:r>
      <w:r w:rsidRPr="00A444EC">
        <w:rPr>
          <w:rtl/>
          <w:lang/>
        </w:rPr>
        <w:t>)،</w:t>
      </w:r>
      <w:r w:rsidRPr="00A444EC">
        <w:rPr>
          <w:rFonts w:hint="cs"/>
          <w:rtl/>
          <w:lang/>
        </w:rPr>
        <w:t xml:space="preserve"> إلى </w:t>
      </w:r>
      <w:r w:rsidRPr="00A444EC">
        <w:rPr>
          <w:rStyle w:val="hps"/>
          <w:rFonts w:hint="cs"/>
          <w:rtl/>
          <w:lang/>
        </w:rPr>
        <w:t xml:space="preserve">أنها </w:t>
      </w:r>
      <w:r w:rsidRPr="00A444EC">
        <w:rPr>
          <w:rFonts w:hint="cs"/>
          <w:rtl/>
        </w:rPr>
        <w:t>تشعر</w:t>
      </w:r>
      <w:r w:rsidRPr="00A444EC">
        <w:rPr>
          <w:rStyle w:val="hps"/>
          <w:rtl/>
          <w:lang/>
        </w:rPr>
        <w:t xml:space="preserve"> "</w:t>
      </w:r>
      <w:r w:rsidRPr="00A444EC">
        <w:rPr>
          <w:rFonts w:hint="cs"/>
          <w:rtl/>
        </w:rPr>
        <w:t>بالقلق إزاء معلومات خطيرة ومتواترة تفيد بحدوث حالات تعذيب وضروب للمعاملة القاسية أو</w:t>
      </w:r>
      <w:r w:rsidR="005B7D22">
        <w:rPr>
          <w:rFonts w:hint="eastAsia"/>
          <w:rtl/>
        </w:rPr>
        <w:t> </w:t>
      </w:r>
      <w:r w:rsidRPr="00A444EC">
        <w:rPr>
          <w:rFonts w:hint="cs"/>
          <w:rtl/>
        </w:rPr>
        <w:t>اللاإنسانية أو المهينة في إقليم الدولة الطرف"</w:t>
      </w:r>
      <w:r w:rsidRPr="00A444EC">
        <w:rPr>
          <w:vertAlign w:val="superscript"/>
          <w:rtl/>
          <w:lang w:val="fr-CH"/>
        </w:rPr>
        <w:t>(</w:t>
      </w:r>
      <w:r w:rsidRPr="00CE592B">
        <w:rPr>
          <w:rStyle w:val="FootnoteReference"/>
          <w:sz w:val="2"/>
          <w:szCs w:val="2"/>
          <w:rtl/>
          <w:lang w:val="fr-CH"/>
        </w:rPr>
        <w:footnoteReference w:id="157"/>
      </w:r>
      <w:r w:rsidR="00CE592B">
        <w:rPr>
          <w:rFonts w:hint="cs"/>
          <w:vertAlign w:val="superscript"/>
          <w:rtl/>
          <w:lang w:val="fr-CH"/>
        </w:rPr>
        <w:t>ح</w:t>
      </w:r>
      <w:r w:rsidR="00CE592B" w:rsidRPr="00367067">
        <w:rPr>
          <w:rFonts w:hint="cs"/>
          <w:sz w:val="2"/>
          <w:szCs w:val="8"/>
          <w:vertAlign w:val="superscript"/>
          <w:rtl/>
          <w:lang w:val="fr-CH"/>
        </w:rPr>
        <w:t xml:space="preserve"> </w:t>
      </w:r>
      <w:r w:rsidR="00CE592B">
        <w:rPr>
          <w:rFonts w:hint="cs"/>
          <w:vertAlign w:val="superscript"/>
          <w:rtl/>
          <w:lang w:val="fr-CH"/>
        </w:rPr>
        <w:t>ح</w:t>
      </w:r>
      <w:r w:rsidRPr="00A444EC">
        <w:rPr>
          <w:vertAlign w:val="superscript"/>
          <w:rtl/>
          <w:lang w:val="fr-CH"/>
        </w:rPr>
        <w:t>)</w:t>
      </w:r>
      <w:r w:rsidRPr="00A444EC">
        <w:rPr>
          <w:rFonts w:hint="cs"/>
          <w:rtl/>
        </w:rPr>
        <w:t>.</w:t>
      </w:r>
      <w:r w:rsidRPr="00A444EC">
        <w:rPr>
          <w:rtl/>
          <w:lang/>
        </w:rPr>
        <w:t xml:space="preserve"> </w:t>
      </w:r>
      <w:r w:rsidRPr="00A444EC">
        <w:rPr>
          <w:rStyle w:val="hps"/>
          <w:rFonts w:hint="cs"/>
          <w:rtl/>
          <w:lang/>
        </w:rPr>
        <w:t>و</w:t>
      </w:r>
      <w:r w:rsidRPr="00A444EC">
        <w:rPr>
          <w:rFonts w:hint="cs"/>
          <w:rtl/>
          <w:lang/>
        </w:rPr>
        <w:t>أعربت</w:t>
      </w:r>
      <w:r w:rsidRPr="00A444EC">
        <w:rPr>
          <w:rtl/>
          <w:lang/>
        </w:rPr>
        <w:t xml:space="preserve"> </w:t>
      </w:r>
      <w:r w:rsidRPr="00A444EC">
        <w:rPr>
          <w:rStyle w:val="hps"/>
          <w:rtl/>
          <w:lang/>
        </w:rPr>
        <w:t>اللجنة المعنية بحقوق الإنسان</w:t>
      </w:r>
      <w:r w:rsidRPr="00A444EC">
        <w:rPr>
          <w:rtl/>
          <w:lang/>
        </w:rPr>
        <w:t xml:space="preserve"> </w:t>
      </w:r>
      <w:r w:rsidRPr="00A444EC">
        <w:rPr>
          <w:rStyle w:val="hps"/>
          <w:rtl/>
          <w:lang/>
        </w:rPr>
        <w:t xml:space="preserve">كذلك </w:t>
      </w:r>
      <w:r w:rsidRPr="00A444EC">
        <w:rPr>
          <w:rStyle w:val="hps"/>
          <w:rFonts w:hint="cs"/>
          <w:rtl/>
          <w:lang/>
        </w:rPr>
        <w:t xml:space="preserve">عن </w:t>
      </w:r>
      <w:r w:rsidRPr="00A444EC">
        <w:rPr>
          <w:rStyle w:val="hps"/>
          <w:rtl/>
          <w:lang/>
        </w:rPr>
        <w:t>"</w:t>
      </w:r>
      <w:r w:rsidRPr="00A444EC">
        <w:rPr>
          <w:rFonts w:hint="cs"/>
          <w:rtl/>
        </w:rPr>
        <w:t>قلقها إزاء معلومات تشير إلى أن الاعترافات المنتزعة تحت التعذيب، لا تستبعد من الناحية العملية من أدلة الإثبات في المحاكمات"</w:t>
      </w:r>
      <w:r w:rsidRPr="00A444EC">
        <w:rPr>
          <w:vertAlign w:val="superscript"/>
          <w:rtl/>
          <w:lang w:val="fr-CH"/>
        </w:rPr>
        <w:t>(</w:t>
      </w:r>
      <w:r w:rsidRPr="00CE592B">
        <w:rPr>
          <w:rStyle w:val="FootnoteReference"/>
          <w:sz w:val="2"/>
          <w:szCs w:val="2"/>
          <w:rtl/>
          <w:lang w:val="fr-CH"/>
        </w:rPr>
        <w:footnoteReference w:id="158"/>
      </w:r>
      <w:r w:rsidR="00CE592B">
        <w:rPr>
          <w:rFonts w:hint="cs"/>
          <w:vertAlign w:val="superscript"/>
          <w:rtl/>
          <w:lang w:val="fr-CH"/>
        </w:rPr>
        <w:t>ط</w:t>
      </w:r>
      <w:r w:rsidR="00CE592B" w:rsidRPr="00367067">
        <w:rPr>
          <w:rFonts w:hint="cs"/>
          <w:sz w:val="8"/>
          <w:szCs w:val="18"/>
          <w:vertAlign w:val="superscript"/>
          <w:rtl/>
          <w:lang w:val="fr-CH"/>
        </w:rPr>
        <w:t xml:space="preserve"> </w:t>
      </w:r>
      <w:r w:rsidR="00CE592B">
        <w:rPr>
          <w:rFonts w:hint="cs"/>
          <w:vertAlign w:val="superscript"/>
          <w:rtl/>
          <w:lang w:val="fr-CH"/>
        </w:rPr>
        <w:t>ط</w:t>
      </w:r>
      <w:r w:rsidRPr="00A444EC">
        <w:rPr>
          <w:vertAlign w:val="superscript"/>
          <w:rtl/>
          <w:lang w:val="fr-CH"/>
        </w:rPr>
        <w:t>)</w:t>
      </w:r>
      <w:r w:rsidRPr="00A444EC">
        <w:rPr>
          <w:rFonts w:hint="cs"/>
          <w:rtl/>
        </w:rPr>
        <w:t xml:space="preserve">. </w:t>
      </w:r>
      <w:r w:rsidRPr="00A444EC">
        <w:rPr>
          <w:rStyle w:val="hps"/>
          <w:rtl/>
          <w:lang/>
        </w:rPr>
        <w:t>و</w:t>
      </w:r>
      <w:r w:rsidRPr="00A444EC">
        <w:rPr>
          <w:rStyle w:val="hps"/>
          <w:rFonts w:hint="cs"/>
          <w:rtl/>
          <w:lang/>
        </w:rPr>
        <w:t xml:space="preserve">أكدت هذه المعلومات </w:t>
      </w:r>
      <w:r w:rsidRPr="00A444EC">
        <w:rPr>
          <w:rStyle w:val="hps"/>
          <w:rtl/>
          <w:lang/>
        </w:rPr>
        <w:t>العديد من</w:t>
      </w:r>
      <w:r w:rsidRPr="00A444EC">
        <w:rPr>
          <w:rtl/>
          <w:lang/>
        </w:rPr>
        <w:t xml:space="preserve"> </w:t>
      </w:r>
      <w:r w:rsidRPr="00A444EC">
        <w:rPr>
          <w:rStyle w:val="hps"/>
          <w:rtl/>
          <w:lang/>
        </w:rPr>
        <w:t>المصادر غير الحكومية</w:t>
      </w:r>
      <w:r w:rsidRPr="00A444EC">
        <w:rPr>
          <w:rtl/>
          <w:lang/>
        </w:rPr>
        <w:t xml:space="preserve"> </w:t>
      </w:r>
      <w:r w:rsidRPr="00A444EC">
        <w:rPr>
          <w:rStyle w:val="hps"/>
          <w:rFonts w:hint="cs"/>
          <w:rtl/>
          <w:lang/>
        </w:rPr>
        <w:t xml:space="preserve">التي </w:t>
      </w:r>
      <w:r w:rsidRPr="00A444EC">
        <w:rPr>
          <w:rStyle w:val="hps"/>
          <w:rtl/>
          <w:lang/>
        </w:rPr>
        <w:t>استشهد</w:t>
      </w:r>
      <w:r w:rsidRPr="00A444EC">
        <w:rPr>
          <w:rStyle w:val="hps"/>
          <w:rFonts w:hint="cs"/>
          <w:rtl/>
          <w:lang/>
        </w:rPr>
        <w:t>ت بها</w:t>
      </w:r>
      <w:r w:rsidRPr="00A444EC">
        <w:rPr>
          <w:rtl/>
          <w:lang/>
        </w:rPr>
        <w:t xml:space="preserve"> </w:t>
      </w:r>
      <w:r w:rsidRPr="00A444EC">
        <w:rPr>
          <w:rStyle w:val="hps"/>
          <w:rFonts w:hint="cs"/>
          <w:rtl/>
          <w:lang/>
        </w:rPr>
        <w:t>صاحبة الشكوى</w:t>
      </w:r>
      <w:r w:rsidRPr="00A444EC">
        <w:rPr>
          <w:rStyle w:val="hps"/>
          <w:rtl/>
          <w:lang/>
        </w:rPr>
        <w:t xml:space="preserve"> و</w:t>
      </w:r>
      <w:r w:rsidRPr="00A444EC">
        <w:rPr>
          <w:rtl/>
          <w:lang/>
        </w:rPr>
        <w:t>الدولة الطرف</w:t>
      </w:r>
      <w:r w:rsidRPr="00A444EC">
        <w:rPr>
          <w:rFonts w:hint="cs"/>
          <w:rtl/>
          <w:lang/>
        </w:rPr>
        <w:t xml:space="preserve"> على حد سواء</w:t>
      </w:r>
      <w:r w:rsidRPr="00A444EC">
        <w:rPr>
          <w:rtl/>
          <w:lang/>
        </w:rPr>
        <w:t>، و</w:t>
      </w:r>
      <w:r w:rsidRPr="00A444EC">
        <w:rPr>
          <w:rFonts w:hint="cs"/>
          <w:rtl/>
          <w:lang/>
        </w:rPr>
        <w:t>قد أقرت الدولة الطرف</w:t>
      </w:r>
      <w:r w:rsidRPr="00A444EC">
        <w:rPr>
          <w:rtl/>
          <w:lang/>
        </w:rPr>
        <w:t xml:space="preserve"> </w:t>
      </w:r>
      <w:r w:rsidRPr="00A444EC">
        <w:rPr>
          <w:rStyle w:val="hps"/>
          <w:rFonts w:hint="cs"/>
          <w:rtl/>
          <w:lang/>
        </w:rPr>
        <w:t>بحالة</w:t>
      </w:r>
      <w:r w:rsidRPr="00A444EC">
        <w:rPr>
          <w:rtl/>
          <w:lang/>
        </w:rPr>
        <w:t xml:space="preserve"> </w:t>
      </w:r>
      <w:r w:rsidRPr="00A444EC">
        <w:rPr>
          <w:rStyle w:val="hps"/>
          <w:rtl/>
          <w:lang/>
        </w:rPr>
        <w:t>حقوق الإنسان</w:t>
      </w:r>
      <w:r w:rsidRPr="00A444EC">
        <w:rPr>
          <w:rtl/>
          <w:lang/>
        </w:rPr>
        <w:t xml:space="preserve"> </w:t>
      </w:r>
      <w:r w:rsidRPr="00A444EC">
        <w:rPr>
          <w:rStyle w:val="hps"/>
          <w:rFonts w:hint="cs"/>
          <w:rtl/>
          <w:lang/>
        </w:rPr>
        <w:t>المقلقة</w:t>
      </w:r>
      <w:r w:rsidRPr="00A444EC">
        <w:rPr>
          <w:rStyle w:val="hps"/>
          <w:rtl/>
          <w:lang/>
        </w:rPr>
        <w:t xml:space="preserve"> </w:t>
      </w:r>
      <w:r w:rsidRPr="00A444EC">
        <w:rPr>
          <w:rStyle w:val="hps"/>
          <w:rFonts w:hint="cs"/>
          <w:rtl/>
          <w:lang/>
        </w:rPr>
        <w:t>التي كانت سائدة في</w:t>
      </w:r>
      <w:r w:rsidRPr="00A444EC">
        <w:rPr>
          <w:rtl/>
          <w:lang/>
        </w:rPr>
        <w:t xml:space="preserve"> </w:t>
      </w:r>
      <w:r w:rsidRPr="00A444EC">
        <w:rPr>
          <w:rStyle w:val="hps"/>
          <w:rtl/>
          <w:lang/>
        </w:rPr>
        <w:t>تونس</w:t>
      </w:r>
      <w:r w:rsidRPr="00A444EC">
        <w:rPr>
          <w:rtl/>
          <w:lang/>
        </w:rPr>
        <w:t xml:space="preserve"> </w:t>
      </w:r>
      <w:r w:rsidRPr="00A444EC">
        <w:rPr>
          <w:rStyle w:val="hps"/>
          <w:rtl/>
          <w:lang/>
        </w:rPr>
        <w:t>في وقت</w:t>
      </w:r>
      <w:r w:rsidRPr="00A444EC">
        <w:rPr>
          <w:rtl/>
          <w:lang/>
        </w:rPr>
        <w:t xml:space="preserve"> </w:t>
      </w:r>
      <w:r w:rsidRPr="00A444EC">
        <w:rPr>
          <w:rStyle w:val="hps"/>
          <w:rtl/>
          <w:lang/>
        </w:rPr>
        <w:t>تسليم</w:t>
      </w:r>
      <w:r w:rsidRPr="00A444EC">
        <w:rPr>
          <w:rtl/>
          <w:lang/>
        </w:rPr>
        <w:t xml:space="preserve"> </w:t>
      </w:r>
      <w:r w:rsidRPr="00A444EC">
        <w:rPr>
          <w:rStyle w:val="hps"/>
          <w:rFonts w:hint="cs"/>
          <w:rtl/>
          <w:lang/>
        </w:rPr>
        <w:t>السيد أنسي عبيشو، وذهبت إلى حد اعتبار أن "تعرض المشتبه فيهم لمعاملة غير مشروعة هو أمر غير مستبعد في تونس".</w:t>
      </w:r>
    </w:p>
    <w:p w:rsidR="005E110C" w:rsidRPr="00A444EC" w:rsidRDefault="005E110C" w:rsidP="005E110C">
      <w:pPr>
        <w:pStyle w:val="SingleTxtGA"/>
        <w:rPr>
          <w:rtl/>
        </w:rPr>
      </w:pPr>
      <w:r w:rsidRPr="00A444EC">
        <w:rPr>
          <w:rtl/>
        </w:rPr>
        <w:t>11-7</w:t>
      </w:r>
      <w:r w:rsidRPr="00A444EC">
        <w:rPr>
          <w:rtl/>
        </w:rPr>
        <w:tab/>
      </w:r>
      <w:r w:rsidRPr="00A444EC">
        <w:rPr>
          <w:rtl/>
          <w:lang/>
        </w:rPr>
        <w:t>و</w:t>
      </w:r>
      <w:r w:rsidRPr="00A444EC">
        <w:rPr>
          <w:rFonts w:hint="cs"/>
          <w:rtl/>
          <w:lang/>
        </w:rPr>
        <w:t>من ثم</w:t>
      </w:r>
      <w:r w:rsidRPr="00A444EC">
        <w:rPr>
          <w:rtl/>
          <w:lang/>
        </w:rPr>
        <w:t xml:space="preserve">، فإن سلطات الدولة الطرف </w:t>
      </w:r>
      <w:r w:rsidRPr="00A444EC">
        <w:rPr>
          <w:rFonts w:hint="cs"/>
          <w:rtl/>
          <w:lang/>
        </w:rPr>
        <w:t xml:space="preserve">كانت تعلم </w:t>
      </w:r>
      <w:r w:rsidRPr="00A444EC">
        <w:rPr>
          <w:rtl/>
          <w:lang/>
        </w:rPr>
        <w:t xml:space="preserve">أو </w:t>
      </w:r>
      <w:r w:rsidRPr="00A444EC">
        <w:rPr>
          <w:rFonts w:hint="cs"/>
          <w:rtl/>
          <w:lang/>
        </w:rPr>
        <w:t>كان ينبغي لها أن تعلم عند</w:t>
      </w:r>
      <w:r w:rsidRPr="00A444EC">
        <w:rPr>
          <w:rtl/>
          <w:lang/>
        </w:rPr>
        <w:t xml:space="preserve"> تسليم </w:t>
      </w:r>
      <w:r w:rsidRPr="00A444EC">
        <w:rPr>
          <w:rFonts w:hint="cs"/>
          <w:rtl/>
          <w:lang/>
        </w:rPr>
        <w:t>السيد أنسي عبيشو</w:t>
      </w:r>
      <w:r w:rsidRPr="00A444EC">
        <w:rPr>
          <w:rtl/>
          <w:lang/>
        </w:rPr>
        <w:t xml:space="preserve"> أن تونس </w:t>
      </w:r>
      <w:r w:rsidRPr="00A444EC">
        <w:rPr>
          <w:rFonts w:hint="cs"/>
          <w:rtl/>
          <w:lang/>
        </w:rPr>
        <w:t xml:space="preserve">تلجأ بشكل منتظم وعلى نطاق واسع إلى استخدام التعذيب </w:t>
      </w:r>
      <w:r w:rsidRPr="00A444EC">
        <w:rPr>
          <w:rtl/>
          <w:lang/>
        </w:rPr>
        <w:t>ضد المعتقلين لأسباب سياسية</w:t>
      </w:r>
      <w:r w:rsidRPr="00A444EC">
        <w:rPr>
          <w:rFonts w:hint="cs"/>
          <w:rtl/>
          <w:lang/>
        </w:rPr>
        <w:t>،</w:t>
      </w:r>
      <w:r w:rsidRPr="00A444EC">
        <w:rPr>
          <w:rtl/>
          <w:lang/>
        </w:rPr>
        <w:t xml:space="preserve"> و</w:t>
      </w:r>
      <w:r w:rsidRPr="00A444EC">
        <w:rPr>
          <w:rFonts w:hint="cs"/>
          <w:rtl/>
          <w:lang/>
        </w:rPr>
        <w:t xml:space="preserve">كذلك </w:t>
      </w:r>
      <w:r w:rsidRPr="00A444EC">
        <w:rPr>
          <w:rtl/>
          <w:lang/>
        </w:rPr>
        <w:t>ضد الم</w:t>
      </w:r>
      <w:r w:rsidRPr="00A444EC">
        <w:rPr>
          <w:rFonts w:hint="cs"/>
          <w:rtl/>
          <w:lang/>
        </w:rPr>
        <w:t>حتجزين</w:t>
      </w:r>
      <w:r w:rsidRPr="00A444EC">
        <w:rPr>
          <w:rtl/>
          <w:lang/>
        </w:rPr>
        <w:t xml:space="preserve"> المتهمين بارتكاب جرائم عادية. </w:t>
      </w:r>
      <w:r w:rsidRPr="00A444EC">
        <w:rPr>
          <w:rFonts w:hint="cs"/>
          <w:rtl/>
          <w:lang/>
        </w:rPr>
        <w:t>كما أحاطت</w:t>
      </w:r>
      <w:r w:rsidRPr="00A444EC">
        <w:rPr>
          <w:rtl/>
          <w:lang/>
        </w:rPr>
        <w:t xml:space="preserve"> اللجنة علما</w:t>
      </w:r>
      <w:r w:rsidRPr="00A444EC">
        <w:rPr>
          <w:rFonts w:hint="cs"/>
          <w:rtl/>
          <w:lang/>
        </w:rPr>
        <w:t>ً</w:t>
      </w:r>
      <w:r w:rsidRPr="00A444EC">
        <w:rPr>
          <w:rtl/>
          <w:lang/>
        </w:rPr>
        <w:t xml:space="preserve"> بادعاء </w:t>
      </w:r>
      <w:r w:rsidRPr="00A444EC">
        <w:rPr>
          <w:rFonts w:hint="cs"/>
          <w:rtl/>
          <w:lang/>
        </w:rPr>
        <w:t>صاحبة</w:t>
      </w:r>
      <w:r w:rsidRPr="00A444EC">
        <w:rPr>
          <w:rtl/>
          <w:lang/>
        </w:rPr>
        <w:t xml:space="preserve"> الشكوى </w:t>
      </w:r>
      <w:r w:rsidRPr="00A444EC">
        <w:rPr>
          <w:rFonts w:hint="cs"/>
          <w:rtl/>
          <w:lang/>
        </w:rPr>
        <w:t>الذي أكدت فيه تعرض م</w:t>
      </w:r>
      <w:r w:rsidRPr="00A444EC">
        <w:rPr>
          <w:rtl/>
          <w:lang/>
        </w:rPr>
        <w:t xml:space="preserve">تهمين آخرين في القضية نفسها للتعذيب </w:t>
      </w:r>
      <w:r w:rsidRPr="00A444EC">
        <w:rPr>
          <w:rFonts w:hint="cs"/>
          <w:rtl/>
          <w:lang/>
        </w:rPr>
        <w:t>بهدف</w:t>
      </w:r>
      <w:r w:rsidRPr="00A444EC">
        <w:rPr>
          <w:rtl/>
          <w:lang/>
        </w:rPr>
        <w:t xml:space="preserve"> انتزاع </w:t>
      </w:r>
      <w:r w:rsidRPr="00A444EC">
        <w:rPr>
          <w:rFonts w:hint="cs"/>
          <w:rtl/>
          <w:lang/>
        </w:rPr>
        <w:t>ال</w:t>
      </w:r>
      <w:r w:rsidRPr="00A444EC">
        <w:rPr>
          <w:rtl/>
          <w:lang/>
        </w:rPr>
        <w:t>اعترافات منهم</w:t>
      </w:r>
      <w:r w:rsidRPr="00A444EC">
        <w:rPr>
          <w:rFonts w:hint="cs"/>
          <w:rtl/>
          <w:lang/>
        </w:rPr>
        <w:t>ا</w:t>
      </w:r>
      <w:r w:rsidRPr="00A444EC">
        <w:rPr>
          <w:rtl/>
          <w:lang/>
        </w:rPr>
        <w:t xml:space="preserve">، </w:t>
      </w:r>
      <w:r w:rsidRPr="00A444EC">
        <w:rPr>
          <w:rFonts w:hint="cs"/>
          <w:rtl/>
          <w:lang/>
        </w:rPr>
        <w:t xml:space="preserve">ليس فقط أثناء حبسهما الاحتياطي، بل في أثناء الإجراءات القضائية أيضاً </w:t>
      </w:r>
      <w:r w:rsidRPr="00A444EC">
        <w:rPr>
          <w:rtl/>
          <w:lang/>
        </w:rPr>
        <w:t xml:space="preserve">بعد أن أمر قاضي التحقيق </w:t>
      </w:r>
      <w:r w:rsidRPr="00A444EC">
        <w:rPr>
          <w:rFonts w:hint="cs"/>
          <w:rtl/>
          <w:lang/>
        </w:rPr>
        <w:t>بإجراء تحقيق تكميلي في القضية.</w:t>
      </w:r>
      <w:r w:rsidRPr="00A444EC">
        <w:rPr>
          <w:rtl/>
          <w:lang/>
        </w:rPr>
        <w:t xml:space="preserve"> </w:t>
      </w:r>
      <w:r w:rsidRPr="00A444EC">
        <w:rPr>
          <w:rFonts w:hint="cs"/>
          <w:rtl/>
          <w:lang/>
        </w:rPr>
        <w:t>وتولي</w:t>
      </w:r>
      <w:r w:rsidRPr="00A444EC">
        <w:rPr>
          <w:rtl/>
          <w:lang/>
        </w:rPr>
        <w:t xml:space="preserve"> اللجنة </w:t>
      </w:r>
      <w:r w:rsidRPr="00A444EC">
        <w:rPr>
          <w:rFonts w:hint="cs"/>
          <w:rtl/>
          <w:lang/>
        </w:rPr>
        <w:t xml:space="preserve">الاهتمام اللازم </w:t>
      </w:r>
      <w:r w:rsidRPr="00A444EC">
        <w:rPr>
          <w:rtl/>
          <w:lang/>
        </w:rPr>
        <w:t xml:space="preserve">للمعلومات </w:t>
      </w:r>
      <w:r w:rsidRPr="00A444EC">
        <w:rPr>
          <w:rFonts w:hint="cs"/>
          <w:rtl/>
          <w:lang/>
        </w:rPr>
        <w:t>الموثقة التي قدمتها</w:t>
      </w:r>
      <w:r w:rsidRPr="00A444EC">
        <w:rPr>
          <w:rtl/>
          <w:lang/>
        </w:rPr>
        <w:t xml:space="preserve"> صاحب</w:t>
      </w:r>
      <w:r w:rsidRPr="00A444EC">
        <w:rPr>
          <w:rFonts w:hint="cs"/>
          <w:rtl/>
          <w:lang/>
        </w:rPr>
        <w:t>ة</w:t>
      </w:r>
      <w:r w:rsidRPr="00A444EC">
        <w:rPr>
          <w:rtl/>
          <w:lang/>
        </w:rPr>
        <w:t xml:space="preserve"> الشكوى </w:t>
      </w:r>
      <w:r w:rsidRPr="00A444EC">
        <w:rPr>
          <w:rFonts w:hint="cs"/>
          <w:rtl/>
          <w:lang/>
        </w:rPr>
        <w:t>بشأن</w:t>
      </w:r>
      <w:r w:rsidRPr="00A444EC">
        <w:rPr>
          <w:rtl/>
          <w:lang/>
        </w:rPr>
        <w:t xml:space="preserve"> هذا الموضوع، </w:t>
      </w:r>
      <w:r w:rsidRPr="00A444EC">
        <w:rPr>
          <w:rFonts w:hint="cs"/>
          <w:rtl/>
          <w:lang/>
        </w:rPr>
        <w:t xml:space="preserve">ولا سيما الشهادات التي قدمها المتهمان والشكاوى التي رفعاها إلى </w:t>
      </w:r>
      <w:r w:rsidRPr="00A444EC">
        <w:rPr>
          <w:rtl/>
          <w:lang/>
        </w:rPr>
        <w:t>ال</w:t>
      </w:r>
      <w:r w:rsidRPr="00A444EC">
        <w:rPr>
          <w:rFonts w:hint="cs"/>
          <w:rtl/>
          <w:lang/>
        </w:rPr>
        <w:t>عدالة</w:t>
      </w:r>
      <w:r w:rsidRPr="00A444EC">
        <w:rPr>
          <w:rtl/>
          <w:lang/>
        </w:rPr>
        <w:t xml:space="preserve"> التونسية</w:t>
      </w:r>
      <w:r w:rsidRPr="00A444EC">
        <w:rPr>
          <w:rFonts w:hint="cs"/>
          <w:rtl/>
          <w:lang/>
        </w:rPr>
        <w:t xml:space="preserve"> بشأن تعرضهما للتعذيب</w:t>
      </w:r>
      <w:r w:rsidRPr="00A444EC">
        <w:rPr>
          <w:rtl/>
          <w:lang/>
        </w:rPr>
        <w:t xml:space="preserve">، </w:t>
      </w:r>
      <w:r w:rsidRPr="00A444EC">
        <w:rPr>
          <w:rFonts w:hint="cs"/>
          <w:rtl/>
          <w:lang/>
        </w:rPr>
        <w:t>والتي رفضت</w:t>
      </w:r>
      <w:r w:rsidRPr="00A444EC">
        <w:rPr>
          <w:rtl/>
          <w:lang/>
        </w:rPr>
        <w:t xml:space="preserve"> دون </w:t>
      </w:r>
      <w:r w:rsidRPr="00A444EC">
        <w:rPr>
          <w:rFonts w:hint="cs"/>
          <w:rtl/>
          <w:lang/>
        </w:rPr>
        <w:t>إجراء أي تحر أو</w:t>
      </w:r>
      <w:r w:rsidRPr="00A444EC">
        <w:rPr>
          <w:rFonts w:hint="eastAsia"/>
          <w:rtl/>
          <w:lang/>
        </w:rPr>
        <w:t> </w:t>
      </w:r>
      <w:r w:rsidRPr="00A444EC">
        <w:rPr>
          <w:rFonts w:hint="cs"/>
          <w:rtl/>
          <w:lang/>
        </w:rPr>
        <w:t>تحقيق بشأنها</w:t>
      </w:r>
      <w:r w:rsidRPr="00A444EC">
        <w:rPr>
          <w:rtl/>
          <w:lang/>
        </w:rPr>
        <w:t xml:space="preserve">. </w:t>
      </w:r>
      <w:r w:rsidRPr="00A444EC">
        <w:rPr>
          <w:rFonts w:hint="cs"/>
          <w:rtl/>
          <w:lang/>
        </w:rPr>
        <w:t xml:space="preserve">ومن المرجح أن التعذيب الذي تعرض له هذان الشخصان قد أكد </w:t>
      </w:r>
      <w:r w:rsidRPr="00A444EC">
        <w:rPr>
          <w:rtl/>
          <w:lang/>
        </w:rPr>
        <w:t xml:space="preserve">المخاطر الشخصية التي </w:t>
      </w:r>
      <w:r w:rsidRPr="00A444EC">
        <w:rPr>
          <w:rFonts w:hint="cs"/>
          <w:rtl/>
          <w:lang/>
        </w:rPr>
        <w:t>كان سيتعرض لها</w:t>
      </w:r>
      <w:r w:rsidRPr="00A444EC">
        <w:rPr>
          <w:rtl/>
          <w:lang/>
        </w:rPr>
        <w:t xml:space="preserve"> السيد </w:t>
      </w:r>
      <w:r w:rsidRPr="00A444EC">
        <w:rPr>
          <w:rFonts w:hint="cs"/>
          <w:rtl/>
          <w:lang/>
        </w:rPr>
        <w:t xml:space="preserve">أنسي عبيشو الذي كان بعد تسليمه إلى تونس سيُقدم إلى محاكمة جديدة، ومن ثم سيمر بإجراءات قضائية جديدة، </w:t>
      </w:r>
      <w:r w:rsidRPr="00A444EC">
        <w:rPr>
          <w:rtl/>
          <w:lang/>
        </w:rPr>
        <w:t xml:space="preserve">بما في ذلك </w:t>
      </w:r>
      <w:r w:rsidRPr="00A444EC">
        <w:rPr>
          <w:rFonts w:hint="cs"/>
          <w:rtl/>
          <w:lang/>
        </w:rPr>
        <w:t>تحقيقات جديدة</w:t>
      </w:r>
      <w:r w:rsidRPr="00A444EC">
        <w:rPr>
          <w:rtl/>
          <w:lang/>
        </w:rPr>
        <w:t>، و</w:t>
      </w:r>
      <w:r w:rsidRPr="00A444EC">
        <w:rPr>
          <w:rFonts w:hint="cs"/>
          <w:rtl/>
          <w:lang/>
        </w:rPr>
        <w:t xml:space="preserve">سيتعرض، في ظل هذه الظروف، لخطر </w:t>
      </w:r>
      <w:r w:rsidRPr="00A444EC">
        <w:rPr>
          <w:rtl/>
          <w:lang/>
        </w:rPr>
        <w:t>تعذيب أو سوء معاملة</w:t>
      </w:r>
      <w:r w:rsidRPr="00A444EC">
        <w:rPr>
          <w:rFonts w:hint="cs"/>
          <w:rtl/>
          <w:lang/>
        </w:rPr>
        <w:t xml:space="preserve"> حقيقي</w:t>
      </w:r>
      <w:r w:rsidRPr="00A444EC">
        <w:rPr>
          <w:rtl/>
          <w:lang/>
        </w:rPr>
        <w:t xml:space="preserve">. </w:t>
      </w:r>
      <w:r w:rsidRPr="00A444EC">
        <w:rPr>
          <w:rFonts w:hint="cs"/>
          <w:rtl/>
          <w:lang/>
        </w:rPr>
        <w:t>ولا يشكل الحصول على ضمانات دبلوماسية</w:t>
      </w:r>
      <w:r w:rsidRPr="00A444EC">
        <w:rPr>
          <w:rtl/>
          <w:lang/>
        </w:rPr>
        <w:t xml:space="preserve"> </w:t>
      </w:r>
      <w:r w:rsidRPr="00A444EC">
        <w:rPr>
          <w:rFonts w:hint="cs"/>
          <w:rtl/>
          <w:lang/>
        </w:rPr>
        <w:t>سبباً كافياً يسمح ل</w:t>
      </w:r>
      <w:r w:rsidRPr="00A444EC">
        <w:rPr>
          <w:rtl/>
          <w:lang/>
        </w:rPr>
        <w:t xml:space="preserve">لدولة الطرف </w:t>
      </w:r>
      <w:r w:rsidRPr="00A444EC">
        <w:rPr>
          <w:rFonts w:hint="cs"/>
          <w:rtl/>
          <w:lang/>
        </w:rPr>
        <w:t>ب</w:t>
      </w:r>
      <w:r w:rsidRPr="00A444EC">
        <w:rPr>
          <w:rtl/>
          <w:lang/>
        </w:rPr>
        <w:t xml:space="preserve">تجاهل هذا الخطر </w:t>
      </w:r>
      <w:r w:rsidRPr="00A444EC">
        <w:rPr>
          <w:rFonts w:hint="cs"/>
          <w:rtl/>
          <w:lang/>
        </w:rPr>
        <w:t>ال</w:t>
      </w:r>
      <w:r w:rsidRPr="00A444EC">
        <w:rPr>
          <w:rtl/>
          <w:lang/>
        </w:rPr>
        <w:t>واضح، لا </w:t>
      </w:r>
      <w:r w:rsidRPr="00A444EC">
        <w:rPr>
          <w:rFonts w:hint="cs"/>
          <w:rtl/>
          <w:lang/>
        </w:rPr>
        <w:t>سيما</w:t>
      </w:r>
      <w:r w:rsidRPr="00A444EC">
        <w:rPr>
          <w:rtl/>
          <w:lang/>
        </w:rPr>
        <w:t xml:space="preserve"> وأن أيا</w:t>
      </w:r>
      <w:r w:rsidRPr="00A444EC">
        <w:rPr>
          <w:rFonts w:hint="cs"/>
          <w:rtl/>
          <w:lang/>
        </w:rPr>
        <w:t>ً</w:t>
      </w:r>
      <w:r w:rsidRPr="00A444EC">
        <w:rPr>
          <w:rtl/>
          <w:lang/>
        </w:rPr>
        <w:t xml:space="preserve"> من الضمانات </w:t>
      </w:r>
      <w:r w:rsidRPr="00A444EC">
        <w:rPr>
          <w:rFonts w:hint="cs"/>
          <w:rtl/>
          <w:lang/>
        </w:rPr>
        <w:t>المقدمة لا يتعلق</w:t>
      </w:r>
      <w:r w:rsidRPr="00A444EC">
        <w:rPr>
          <w:rtl/>
          <w:lang/>
        </w:rPr>
        <w:t xml:space="preserve"> على وجه التحديد </w:t>
      </w:r>
      <w:r w:rsidRPr="00A444EC">
        <w:rPr>
          <w:rFonts w:hint="cs"/>
          <w:rtl/>
          <w:lang/>
        </w:rPr>
        <w:t>ب</w:t>
      </w:r>
      <w:r w:rsidRPr="00A444EC">
        <w:rPr>
          <w:rtl/>
          <w:lang/>
        </w:rPr>
        <w:t>الحماية من التعذيب أو</w:t>
      </w:r>
      <w:r w:rsidRPr="00A444EC">
        <w:rPr>
          <w:rFonts w:hint="cs"/>
          <w:rtl/>
          <w:lang/>
        </w:rPr>
        <w:t xml:space="preserve"> من </w:t>
      </w:r>
      <w:r w:rsidRPr="00A444EC">
        <w:rPr>
          <w:rtl/>
          <w:lang/>
        </w:rPr>
        <w:t xml:space="preserve">سوء المعاملة. </w:t>
      </w:r>
      <w:r w:rsidRPr="00A444EC">
        <w:rPr>
          <w:rFonts w:hint="cs"/>
          <w:rtl/>
          <w:lang/>
        </w:rPr>
        <w:t>ولا يمكن أن يكون عدم تعرض السيد أنسي عبيشو</w:t>
      </w:r>
      <w:r w:rsidRPr="00A444EC">
        <w:rPr>
          <w:rtl/>
          <w:lang/>
        </w:rPr>
        <w:t xml:space="preserve"> في </w:t>
      </w:r>
      <w:r w:rsidRPr="00A444EC">
        <w:rPr>
          <w:rFonts w:hint="cs"/>
          <w:rtl/>
          <w:lang/>
        </w:rPr>
        <w:t>نهاية المطاف</w:t>
      </w:r>
      <w:r w:rsidRPr="00A444EC">
        <w:rPr>
          <w:rtl/>
          <w:lang/>
        </w:rPr>
        <w:t xml:space="preserve"> إلى </w:t>
      </w:r>
      <w:r w:rsidRPr="00A444EC">
        <w:rPr>
          <w:rFonts w:hint="cs"/>
          <w:rtl/>
          <w:lang/>
        </w:rPr>
        <w:t>معاملة من هذا القبيل</w:t>
      </w:r>
      <w:r w:rsidRPr="00A444EC">
        <w:rPr>
          <w:rtl/>
          <w:lang/>
        </w:rPr>
        <w:t xml:space="preserve"> بعد تسليمه </w:t>
      </w:r>
      <w:r w:rsidRPr="00A444EC">
        <w:rPr>
          <w:rFonts w:hint="cs"/>
          <w:rtl/>
          <w:lang/>
        </w:rPr>
        <w:t xml:space="preserve">مبرراً </w:t>
      </w:r>
      <w:r w:rsidRPr="00A444EC">
        <w:rPr>
          <w:rtl/>
          <w:lang/>
        </w:rPr>
        <w:t>للتشكيك</w:t>
      </w:r>
      <w:r w:rsidRPr="00A444EC">
        <w:rPr>
          <w:rFonts w:hint="cs"/>
          <w:rtl/>
          <w:lang/>
        </w:rPr>
        <w:t xml:space="preserve"> في وجود هذا الخطر في وقت تسليمه أو</w:t>
      </w:r>
      <w:r w:rsidRPr="00A444EC">
        <w:rPr>
          <w:rFonts w:hint="eastAsia"/>
          <w:rtl/>
          <w:lang/>
        </w:rPr>
        <w:t> </w:t>
      </w:r>
      <w:r w:rsidRPr="00A444EC">
        <w:rPr>
          <w:rFonts w:hint="cs"/>
          <w:rtl/>
          <w:lang/>
        </w:rPr>
        <w:t>للتقليل من شأنه</w:t>
      </w:r>
      <w:r w:rsidRPr="00A444EC">
        <w:rPr>
          <w:rtl/>
          <w:lang/>
        </w:rPr>
        <w:t xml:space="preserve">. </w:t>
      </w:r>
      <w:r w:rsidRPr="00A444EC">
        <w:rPr>
          <w:rFonts w:hint="cs"/>
          <w:rtl/>
          <w:lang/>
        </w:rPr>
        <w:t>و</w:t>
      </w:r>
      <w:r w:rsidRPr="00A444EC">
        <w:rPr>
          <w:rtl/>
          <w:lang/>
        </w:rPr>
        <w:t xml:space="preserve">تخلص اللجنة إلى أن </w:t>
      </w:r>
      <w:r w:rsidRPr="00A444EC">
        <w:rPr>
          <w:rFonts w:hint="cs"/>
          <w:rtl/>
          <w:lang/>
        </w:rPr>
        <w:t>صاحبة</w:t>
      </w:r>
      <w:r w:rsidRPr="00A444EC">
        <w:rPr>
          <w:rtl/>
          <w:lang/>
        </w:rPr>
        <w:t xml:space="preserve"> الشكوى قد أثبتت</w:t>
      </w:r>
      <w:r w:rsidRPr="00A444EC">
        <w:rPr>
          <w:rFonts w:hint="cs"/>
          <w:rtl/>
          <w:lang/>
        </w:rPr>
        <w:t xml:space="preserve"> بصورة كافية</w:t>
      </w:r>
      <w:r w:rsidRPr="00A444EC">
        <w:rPr>
          <w:rtl/>
          <w:lang/>
        </w:rPr>
        <w:t xml:space="preserve"> أن </w:t>
      </w:r>
      <w:r w:rsidRPr="00A444EC">
        <w:rPr>
          <w:rFonts w:hint="cs"/>
          <w:rtl/>
          <w:lang/>
        </w:rPr>
        <w:t>السيد</w:t>
      </w:r>
      <w:r w:rsidRPr="00A444EC">
        <w:rPr>
          <w:rFonts w:hint="eastAsia"/>
          <w:rtl/>
          <w:lang/>
        </w:rPr>
        <w:t> </w:t>
      </w:r>
      <w:r w:rsidRPr="00A444EC">
        <w:rPr>
          <w:rFonts w:hint="cs"/>
          <w:rtl/>
          <w:lang/>
        </w:rPr>
        <w:t>أنسي عبيشو</w:t>
      </w:r>
      <w:r w:rsidRPr="00A444EC">
        <w:rPr>
          <w:rtl/>
          <w:lang/>
        </w:rPr>
        <w:t xml:space="preserve"> </w:t>
      </w:r>
      <w:r w:rsidRPr="00A444EC">
        <w:rPr>
          <w:rFonts w:hint="cs"/>
          <w:rtl/>
          <w:lang/>
        </w:rPr>
        <w:t>واجه</w:t>
      </w:r>
      <w:r w:rsidRPr="00A444EC">
        <w:rPr>
          <w:rtl/>
          <w:lang/>
        </w:rPr>
        <w:t xml:space="preserve"> خطر</w:t>
      </w:r>
      <w:r w:rsidRPr="00A444EC">
        <w:rPr>
          <w:rFonts w:hint="cs"/>
          <w:rtl/>
          <w:lang/>
        </w:rPr>
        <w:t xml:space="preserve"> تعذيب </w:t>
      </w:r>
      <w:r w:rsidRPr="00A444EC">
        <w:rPr>
          <w:rtl/>
          <w:lang/>
        </w:rPr>
        <w:t>متوقع</w:t>
      </w:r>
      <w:r w:rsidRPr="00A444EC">
        <w:rPr>
          <w:rFonts w:hint="cs"/>
          <w:rtl/>
          <w:lang/>
        </w:rPr>
        <w:t>اً</w:t>
      </w:r>
      <w:r w:rsidRPr="00A444EC">
        <w:rPr>
          <w:rtl/>
          <w:lang/>
        </w:rPr>
        <w:t xml:space="preserve"> وحقيقي</w:t>
      </w:r>
      <w:r w:rsidRPr="00A444EC">
        <w:rPr>
          <w:rFonts w:hint="cs"/>
          <w:rtl/>
          <w:lang/>
        </w:rPr>
        <w:t>اً</w:t>
      </w:r>
      <w:r w:rsidRPr="00A444EC">
        <w:rPr>
          <w:rtl/>
          <w:lang/>
        </w:rPr>
        <w:t xml:space="preserve"> وشخصي</w:t>
      </w:r>
      <w:r w:rsidRPr="00A444EC">
        <w:rPr>
          <w:rFonts w:hint="cs"/>
          <w:rtl/>
          <w:lang/>
        </w:rPr>
        <w:t>اً</w:t>
      </w:r>
      <w:r w:rsidRPr="00A444EC">
        <w:rPr>
          <w:rtl/>
          <w:lang/>
        </w:rPr>
        <w:t xml:space="preserve"> </w:t>
      </w:r>
      <w:r w:rsidRPr="00A444EC">
        <w:rPr>
          <w:rFonts w:hint="cs"/>
          <w:rtl/>
          <w:lang/>
        </w:rPr>
        <w:t xml:space="preserve">في </w:t>
      </w:r>
      <w:r w:rsidRPr="00A444EC">
        <w:rPr>
          <w:rtl/>
          <w:lang/>
        </w:rPr>
        <w:t>وقت تسليمه إلى تونس. و</w:t>
      </w:r>
      <w:r w:rsidRPr="00A444EC">
        <w:rPr>
          <w:rFonts w:hint="cs"/>
          <w:rtl/>
          <w:lang/>
        </w:rPr>
        <w:t xml:space="preserve">عليه، فإن </w:t>
      </w:r>
      <w:r w:rsidRPr="00A444EC">
        <w:rPr>
          <w:rtl/>
          <w:lang/>
        </w:rPr>
        <w:t>تسليمه من الدولة الطرف يشكل انتهاكاً للمادة 3 من الاتفاقية.</w:t>
      </w:r>
    </w:p>
    <w:p w:rsidR="005E110C" w:rsidRPr="00A444EC" w:rsidRDefault="005E110C" w:rsidP="005E110C">
      <w:pPr>
        <w:pStyle w:val="SingleTxtGA"/>
        <w:rPr>
          <w:rFonts w:hint="cs"/>
          <w:rtl/>
        </w:rPr>
      </w:pPr>
      <w:r w:rsidRPr="00A444EC">
        <w:rPr>
          <w:rtl/>
        </w:rPr>
        <w:t>1</w:t>
      </w:r>
      <w:r w:rsidRPr="00A444EC">
        <w:rPr>
          <w:rFonts w:hint="cs"/>
          <w:rtl/>
        </w:rPr>
        <w:t>2-</w:t>
      </w:r>
      <w:r w:rsidRPr="00A444EC">
        <w:rPr>
          <w:rtl/>
        </w:rPr>
        <w:tab/>
        <w:t>ولجنة مناهضة التعذيب، عملاً بالفقرة 7 من المادة 22 من اتفاقية مناهضة التعذيب وغيره من ضروب المعاملة أو العقوبة القاسية أو اللاإنسانية أو المهينة،</w:t>
      </w:r>
      <w:r w:rsidRPr="00A444EC">
        <w:rPr>
          <w:rFonts w:hint="cs"/>
          <w:rtl/>
        </w:rPr>
        <w:t xml:space="preserve"> تقرر</w:t>
      </w:r>
      <w:r w:rsidRPr="00A444EC">
        <w:rPr>
          <w:rtl/>
        </w:rPr>
        <w:t xml:space="preserve"> أن الوقائع المعروضة عليها </w:t>
      </w:r>
      <w:r w:rsidRPr="00A444EC">
        <w:rPr>
          <w:rFonts w:hint="cs"/>
          <w:rtl/>
        </w:rPr>
        <w:t xml:space="preserve">تكشف </w:t>
      </w:r>
      <w:r w:rsidRPr="00A444EC">
        <w:rPr>
          <w:rtl/>
        </w:rPr>
        <w:t>انتهاك</w:t>
      </w:r>
      <w:r w:rsidRPr="00A444EC">
        <w:rPr>
          <w:rFonts w:hint="cs"/>
          <w:rtl/>
        </w:rPr>
        <w:t xml:space="preserve"> </w:t>
      </w:r>
      <w:r w:rsidRPr="00A444EC">
        <w:rPr>
          <w:rtl/>
        </w:rPr>
        <w:t>الدولة الطرف للماد</w:t>
      </w:r>
      <w:r w:rsidRPr="00A444EC">
        <w:rPr>
          <w:rFonts w:hint="cs"/>
          <w:rtl/>
        </w:rPr>
        <w:t>ة</w:t>
      </w:r>
      <w:r w:rsidRPr="00A444EC">
        <w:rPr>
          <w:rtl/>
        </w:rPr>
        <w:t xml:space="preserve"> 3 من الاتفاقية.</w:t>
      </w:r>
    </w:p>
    <w:p w:rsidR="005E110C" w:rsidRPr="00A444EC" w:rsidRDefault="005E110C" w:rsidP="005E110C">
      <w:pPr>
        <w:pStyle w:val="SingleTxtGA"/>
        <w:rPr>
          <w:rFonts w:hint="cs"/>
          <w:rtl/>
        </w:rPr>
      </w:pPr>
      <w:r w:rsidRPr="00A444EC">
        <w:rPr>
          <w:rtl/>
        </w:rPr>
        <w:t>1</w:t>
      </w:r>
      <w:r w:rsidRPr="00A444EC">
        <w:rPr>
          <w:rFonts w:hint="cs"/>
          <w:rtl/>
        </w:rPr>
        <w:t>3-</w:t>
      </w:r>
      <w:r w:rsidRPr="00A444EC">
        <w:rPr>
          <w:rtl/>
        </w:rPr>
        <w:tab/>
        <w:t>وتحث اللجنة الدولة الطرف، وفقاً للفقرة 5 من المادة 118 (المادة 112 سابقاً) من نظامها الداخلي</w:t>
      </w:r>
      <w:r w:rsidRPr="00A444EC">
        <w:rPr>
          <w:rFonts w:hint="cs"/>
          <w:rtl/>
        </w:rPr>
        <w:t>،</w:t>
      </w:r>
      <w:r w:rsidRPr="00A444EC">
        <w:rPr>
          <w:rtl/>
        </w:rPr>
        <w:t xml:space="preserve"> على </w:t>
      </w:r>
      <w:r w:rsidRPr="00A444EC">
        <w:rPr>
          <w:rFonts w:hint="cs"/>
          <w:rtl/>
        </w:rPr>
        <w:t>جبر الضرر الذي تعرض له السيد أنسي عبيشو</w:t>
      </w:r>
      <w:r w:rsidRPr="00A444EC">
        <w:rPr>
          <w:rtl/>
        </w:rPr>
        <w:t>، بما في ذلك</w:t>
      </w:r>
      <w:r w:rsidRPr="00A444EC">
        <w:rPr>
          <w:rFonts w:hint="cs"/>
          <w:rtl/>
        </w:rPr>
        <w:t xml:space="preserve"> منحه</w:t>
      </w:r>
      <w:r w:rsidRPr="00A444EC">
        <w:rPr>
          <w:rtl/>
        </w:rPr>
        <w:t xml:space="preserve"> التعويض</w:t>
      </w:r>
      <w:r w:rsidRPr="00A444EC">
        <w:rPr>
          <w:rFonts w:hint="cs"/>
          <w:rtl/>
        </w:rPr>
        <w:t xml:space="preserve"> الكافي.</w:t>
      </w:r>
      <w:r w:rsidRPr="00A444EC">
        <w:rPr>
          <w:rtl/>
        </w:rPr>
        <w:t xml:space="preserve"> و</w:t>
      </w:r>
      <w:r w:rsidRPr="00A444EC">
        <w:rPr>
          <w:rFonts w:hint="cs"/>
          <w:rtl/>
        </w:rPr>
        <w:t xml:space="preserve">تود </w:t>
      </w:r>
      <w:r w:rsidRPr="00A444EC">
        <w:rPr>
          <w:rtl/>
        </w:rPr>
        <w:t xml:space="preserve">اللجنة أيضاً أن </w:t>
      </w:r>
      <w:r w:rsidRPr="00A444EC">
        <w:rPr>
          <w:rFonts w:hint="cs"/>
          <w:rtl/>
        </w:rPr>
        <w:t>تتلقى</w:t>
      </w:r>
      <w:r w:rsidRPr="00A444EC">
        <w:rPr>
          <w:rtl/>
        </w:rPr>
        <w:t xml:space="preserve">، في غضون 90 يوماً، </w:t>
      </w:r>
      <w:r w:rsidRPr="00A444EC">
        <w:rPr>
          <w:rFonts w:hint="cs"/>
          <w:rtl/>
        </w:rPr>
        <w:t xml:space="preserve">معلومات عن </w:t>
      </w:r>
      <w:r w:rsidRPr="00A444EC">
        <w:rPr>
          <w:rtl/>
        </w:rPr>
        <w:t>ال</w:t>
      </w:r>
      <w:r w:rsidRPr="00A444EC">
        <w:rPr>
          <w:rFonts w:hint="cs"/>
          <w:rtl/>
        </w:rPr>
        <w:t>تدابير</w:t>
      </w:r>
      <w:r w:rsidRPr="00A444EC">
        <w:rPr>
          <w:rtl/>
        </w:rPr>
        <w:t xml:space="preserve"> التي اتخذتها الدولة الطرف </w:t>
      </w:r>
      <w:r w:rsidRPr="00A444EC">
        <w:rPr>
          <w:rFonts w:hint="cs"/>
          <w:rtl/>
        </w:rPr>
        <w:t>لتنفيذ هذا</w:t>
      </w:r>
      <w:r w:rsidRPr="00A444EC">
        <w:rPr>
          <w:rtl/>
        </w:rPr>
        <w:t xml:space="preserve"> القرار</w:t>
      </w:r>
      <w:r w:rsidRPr="00A444EC">
        <w:rPr>
          <w:rFonts w:hint="cs"/>
          <w:rtl/>
        </w:rPr>
        <w:t>.</w:t>
      </w:r>
    </w:p>
    <w:p w:rsidR="000241AA" w:rsidRDefault="000241AA" w:rsidP="00021691">
      <w:pPr>
        <w:pStyle w:val="SingleTxtGA"/>
        <w:rPr>
          <w:rFonts w:ascii="Traditional Arabic" w:hAnsi="Traditional Arabic" w:hint="cs"/>
          <w:rtl/>
        </w:rPr>
      </w:pPr>
    </w:p>
    <w:p w:rsidR="000241AA" w:rsidRDefault="000241AA" w:rsidP="00021691">
      <w:pPr>
        <w:pStyle w:val="SingleTxtGA"/>
        <w:rPr>
          <w:rFonts w:ascii="Traditional Arabic" w:hAnsi="Traditional Arabic" w:hint="cs"/>
          <w:rtl/>
        </w:rPr>
        <w:sectPr w:rsidR="000241AA" w:rsidSect="00F1742A">
          <w:footnotePr>
            <w:numFmt w:val="arabicAbjad"/>
            <w:numRestart w:val="eachSect"/>
          </w:footnotePr>
          <w:endnotePr>
            <w:numFmt w:val="decimal"/>
          </w:endnotePr>
          <w:pgSz w:w="11907" w:h="16840" w:code="9"/>
          <w:pgMar w:top="1701" w:right="1134" w:bottom="2268" w:left="1134" w:header="1134" w:footer="1701" w:gutter="0"/>
          <w:cols w:space="720"/>
          <w:bidi/>
          <w:rtlGutter/>
          <w:docGrid w:linePitch="360"/>
        </w:sectPr>
      </w:pPr>
    </w:p>
    <w:p w:rsidR="000241AA" w:rsidRDefault="000241AA" w:rsidP="001E45D5">
      <w:pPr>
        <w:pStyle w:val="H1GA"/>
        <w:spacing w:before="120"/>
        <w:rPr>
          <w:rFonts w:hint="cs"/>
          <w:sz w:val="36"/>
          <w:szCs w:val="36"/>
          <w:rtl/>
        </w:rPr>
      </w:pPr>
      <w:r w:rsidRPr="00FC4554">
        <w:rPr>
          <w:rFonts w:hint="cs"/>
          <w:rtl/>
        </w:rPr>
        <w:tab/>
      </w:r>
      <w:r w:rsidRPr="00FC4554">
        <w:rPr>
          <w:rFonts w:hint="cs"/>
          <w:rtl/>
        </w:rPr>
        <w:tab/>
        <w:t>البلاغ رقم 431/</w:t>
      </w:r>
      <w:r>
        <w:rPr>
          <w:rFonts w:hint="cs"/>
          <w:rtl/>
        </w:rPr>
        <w:t>2010</w:t>
      </w:r>
      <w:r w:rsidR="00C51691">
        <w:rPr>
          <w:rFonts w:hint="cs"/>
          <w:sz w:val="20"/>
          <w:rtl/>
        </w:rPr>
        <w:t xml:space="preserve">: </w:t>
      </w:r>
      <w:r w:rsidR="00C51691">
        <w:rPr>
          <w:rFonts w:hint="cs"/>
          <w:i/>
          <w:iCs/>
          <w:sz w:val="20"/>
          <w:rtl/>
        </w:rPr>
        <w:t>ي. ضد سويسرا</w:t>
      </w:r>
      <w:r w:rsidRPr="00C51691">
        <w:rPr>
          <w:rStyle w:val="FootnoteReference"/>
          <w:b w:val="0"/>
          <w:bCs w:val="0"/>
          <w:sz w:val="12"/>
          <w:szCs w:val="30"/>
          <w:vertAlign w:val="baseline"/>
          <w:rtl/>
        </w:rPr>
        <w:footnoteReference w:customMarkFollows="1" w:id="159"/>
        <w:t>*</w:t>
      </w:r>
    </w:p>
    <w:p w:rsidR="000241AA" w:rsidRPr="005B7AED" w:rsidRDefault="000241AA" w:rsidP="000241AA">
      <w:pPr>
        <w:pStyle w:val="SingleTxtGA"/>
        <w:tabs>
          <w:tab w:val="clear" w:pos="1928"/>
          <w:tab w:val="clear" w:pos="2608"/>
          <w:tab w:val="clear" w:pos="3289"/>
          <w:tab w:val="clear" w:pos="3969"/>
          <w:tab w:val="clear" w:pos="4649"/>
          <w:tab w:val="left" w:pos="4304"/>
        </w:tabs>
        <w:ind w:left="1939" w:hanging="14"/>
        <w:rPr>
          <w:rFonts w:hint="cs"/>
          <w:rtl/>
        </w:rPr>
      </w:pPr>
      <w:r>
        <w:rPr>
          <w:rFonts w:hint="cs"/>
          <w:i/>
          <w:iCs/>
          <w:rtl/>
        </w:rPr>
        <w:t>المقدم من</w:t>
      </w:r>
      <w:r w:rsidRPr="00F35EFF">
        <w:rPr>
          <w:rFonts w:hint="cs"/>
          <w:rtl/>
        </w:rPr>
        <w:t>:</w:t>
      </w:r>
      <w:r>
        <w:rPr>
          <w:rFonts w:hint="cs"/>
          <w:i/>
          <w:iCs/>
          <w:rtl/>
        </w:rPr>
        <w:tab/>
      </w:r>
      <w:r>
        <w:rPr>
          <w:rFonts w:hint="cs"/>
          <w:rtl/>
        </w:rPr>
        <w:t>ي.</w:t>
      </w:r>
      <w:r w:rsidRPr="005B7AED">
        <w:rPr>
          <w:rFonts w:hint="cs"/>
          <w:rtl/>
        </w:rPr>
        <w:t xml:space="preserve"> (يمثله</w:t>
      </w:r>
      <w:r>
        <w:rPr>
          <w:rFonts w:hint="cs"/>
          <w:rtl/>
        </w:rPr>
        <w:t>ا</w:t>
      </w:r>
      <w:r w:rsidRPr="005B7AED">
        <w:rPr>
          <w:rFonts w:hint="cs"/>
          <w:rtl/>
        </w:rPr>
        <w:t xml:space="preserve"> </w:t>
      </w:r>
      <w:r>
        <w:rPr>
          <w:rFonts w:hint="cs"/>
          <w:rtl/>
        </w:rPr>
        <w:t>المحامي أوليفر برونيتي</w:t>
      </w:r>
      <w:r w:rsidRPr="005B7AED">
        <w:rPr>
          <w:rFonts w:hint="cs"/>
          <w:rtl/>
        </w:rPr>
        <w:t>)</w:t>
      </w:r>
    </w:p>
    <w:p w:rsidR="000241AA" w:rsidRPr="005B7AED" w:rsidRDefault="000241AA" w:rsidP="000241AA">
      <w:pPr>
        <w:pStyle w:val="SingleTxtGA"/>
        <w:tabs>
          <w:tab w:val="clear" w:pos="1928"/>
          <w:tab w:val="clear" w:pos="2608"/>
          <w:tab w:val="clear" w:pos="3289"/>
          <w:tab w:val="clear" w:pos="3969"/>
          <w:tab w:val="clear" w:pos="4649"/>
          <w:tab w:val="left" w:pos="4304"/>
        </w:tabs>
        <w:ind w:left="1939" w:hanging="14"/>
        <w:rPr>
          <w:rFonts w:hint="cs"/>
          <w:rtl/>
        </w:rPr>
      </w:pPr>
      <w:r w:rsidRPr="005B7AED">
        <w:rPr>
          <w:rFonts w:hint="cs"/>
          <w:i/>
          <w:iCs/>
          <w:rtl/>
        </w:rPr>
        <w:t>الشخص المدعى أنه ضحية</w:t>
      </w:r>
      <w:r w:rsidRPr="00F35EFF">
        <w:rPr>
          <w:rFonts w:hint="cs"/>
          <w:rtl/>
        </w:rPr>
        <w:t>:</w:t>
      </w:r>
      <w:r w:rsidRPr="005B7AED">
        <w:rPr>
          <w:rFonts w:hint="cs"/>
          <w:i/>
          <w:iCs/>
          <w:rtl/>
        </w:rPr>
        <w:tab/>
      </w:r>
      <w:r w:rsidRPr="005B7AED">
        <w:rPr>
          <w:rFonts w:hint="cs"/>
          <w:rtl/>
        </w:rPr>
        <w:t>صاحب</w:t>
      </w:r>
      <w:r>
        <w:rPr>
          <w:rFonts w:hint="cs"/>
          <w:rtl/>
        </w:rPr>
        <w:t>ة</w:t>
      </w:r>
      <w:r w:rsidRPr="005B7AED">
        <w:rPr>
          <w:rFonts w:hint="cs"/>
          <w:rtl/>
        </w:rPr>
        <w:t xml:space="preserve"> الشكوى</w:t>
      </w:r>
    </w:p>
    <w:p w:rsidR="000241AA" w:rsidRPr="005B7AED" w:rsidRDefault="000241AA" w:rsidP="000241AA">
      <w:pPr>
        <w:pStyle w:val="SingleTxtGA"/>
        <w:tabs>
          <w:tab w:val="clear" w:pos="1928"/>
          <w:tab w:val="clear" w:pos="2608"/>
          <w:tab w:val="clear" w:pos="3289"/>
          <w:tab w:val="clear" w:pos="3969"/>
          <w:tab w:val="clear" w:pos="4649"/>
          <w:tab w:val="left" w:pos="4304"/>
        </w:tabs>
        <w:ind w:left="1939" w:hanging="14"/>
        <w:rPr>
          <w:rFonts w:hint="cs"/>
          <w:rtl/>
        </w:rPr>
      </w:pPr>
      <w:r w:rsidRPr="005B7AED">
        <w:rPr>
          <w:rFonts w:hint="cs"/>
          <w:i/>
          <w:iCs/>
          <w:rtl/>
        </w:rPr>
        <w:t>الدولة الطرف</w:t>
      </w:r>
      <w:r w:rsidRPr="00F35EFF">
        <w:rPr>
          <w:rFonts w:hint="cs"/>
          <w:rtl/>
        </w:rPr>
        <w:t>:</w:t>
      </w:r>
      <w:r w:rsidRPr="005B7AED">
        <w:rPr>
          <w:rFonts w:hint="cs"/>
          <w:rtl/>
        </w:rPr>
        <w:tab/>
      </w:r>
      <w:r>
        <w:rPr>
          <w:rFonts w:hint="cs"/>
          <w:rtl/>
        </w:rPr>
        <w:t>سويسرا</w:t>
      </w:r>
    </w:p>
    <w:p w:rsidR="000241AA" w:rsidRPr="005B7AED" w:rsidRDefault="000241AA" w:rsidP="000241AA">
      <w:pPr>
        <w:pStyle w:val="SingleTxtGA"/>
        <w:tabs>
          <w:tab w:val="clear" w:pos="1928"/>
          <w:tab w:val="clear" w:pos="2608"/>
          <w:tab w:val="clear" w:pos="3289"/>
          <w:tab w:val="clear" w:pos="3969"/>
          <w:tab w:val="clear" w:pos="4649"/>
          <w:tab w:val="left" w:pos="4304"/>
        </w:tabs>
        <w:ind w:left="4304" w:hanging="2379"/>
        <w:rPr>
          <w:rFonts w:hint="cs"/>
          <w:rtl/>
        </w:rPr>
      </w:pPr>
      <w:r w:rsidRPr="005B7AED">
        <w:rPr>
          <w:rFonts w:hint="cs"/>
          <w:i/>
          <w:iCs/>
          <w:rtl/>
        </w:rPr>
        <w:t>تاريخ تقديم الشكوى</w:t>
      </w:r>
      <w:r w:rsidRPr="00F35EFF">
        <w:rPr>
          <w:rFonts w:hint="cs"/>
          <w:rtl/>
        </w:rPr>
        <w:t>:</w:t>
      </w:r>
      <w:r>
        <w:rPr>
          <w:rFonts w:hint="cs"/>
          <w:rtl/>
        </w:rPr>
        <w:tab/>
        <w:t xml:space="preserve">31 آب/أغسطس 2010 (تاريخ </w:t>
      </w:r>
      <w:r w:rsidRPr="005B7AED">
        <w:rPr>
          <w:rFonts w:hint="cs"/>
          <w:rtl/>
        </w:rPr>
        <w:t>الرسالة</w:t>
      </w:r>
      <w:r>
        <w:rPr>
          <w:rFonts w:hint="eastAsia"/>
          <w:rtl/>
        </w:rPr>
        <w:t> </w:t>
      </w:r>
      <w:r w:rsidRPr="005B7AED">
        <w:rPr>
          <w:rFonts w:hint="cs"/>
          <w:rtl/>
        </w:rPr>
        <w:t>الأولى)</w:t>
      </w:r>
    </w:p>
    <w:p w:rsidR="000241AA" w:rsidRPr="005B7AED" w:rsidRDefault="000241AA" w:rsidP="000241AA">
      <w:pPr>
        <w:pStyle w:val="SingleTxtGA"/>
        <w:spacing w:line="370" w:lineRule="exact"/>
        <w:rPr>
          <w:rFonts w:hint="cs"/>
          <w:rtl/>
        </w:rPr>
      </w:pPr>
      <w:r>
        <w:rPr>
          <w:i/>
          <w:iCs/>
          <w:rtl/>
        </w:rPr>
        <w:tab/>
      </w:r>
      <w:r w:rsidRPr="005B7AED">
        <w:rPr>
          <w:rFonts w:hint="cs"/>
          <w:i/>
          <w:iCs/>
          <w:rtl/>
        </w:rPr>
        <w:t xml:space="preserve">إن لجنة مناهضة التعذيب، </w:t>
      </w:r>
      <w:r w:rsidRPr="005B7AED">
        <w:rPr>
          <w:rFonts w:hint="cs"/>
          <w:rtl/>
        </w:rPr>
        <w:t>المنشأة بموجب المادة 17 من اتفاقية مناهضة التعذيب وغيره من ضروب المعاملة</w:t>
      </w:r>
      <w:r>
        <w:rPr>
          <w:rFonts w:hint="cs"/>
          <w:rtl/>
        </w:rPr>
        <w:t xml:space="preserve"> أو</w:t>
      </w:r>
      <w:r>
        <w:rPr>
          <w:rtl/>
        </w:rPr>
        <w:t> </w:t>
      </w:r>
      <w:r w:rsidRPr="005B7AED">
        <w:rPr>
          <w:rFonts w:hint="cs"/>
          <w:rtl/>
        </w:rPr>
        <w:t>العقوبة القاسية</w:t>
      </w:r>
      <w:r>
        <w:rPr>
          <w:rFonts w:hint="cs"/>
          <w:rtl/>
        </w:rPr>
        <w:t xml:space="preserve"> أو</w:t>
      </w:r>
      <w:r>
        <w:rPr>
          <w:rtl/>
        </w:rPr>
        <w:t> </w:t>
      </w:r>
      <w:r w:rsidRPr="005B7AED">
        <w:rPr>
          <w:rFonts w:hint="cs"/>
          <w:rtl/>
        </w:rPr>
        <w:t>اللاإنسانية</w:t>
      </w:r>
      <w:r>
        <w:rPr>
          <w:rFonts w:hint="cs"/>
          <w:rtl/>
        </w:rPr>
        <w:t xml:space="preserve"> أو</w:t>
      </w:r>
      <w:r>
        <w:rPr>
          <w:rtl/>
        </w:rPr>
        <w:t> </w:t>
      </w:r>
      <w:r w:rsidRPr="005B7AED">
        <w:rPr>
          <w:rFonts w:hint="cs"/>
          <w:rtl/>
        </w:rPr>
        <w:t>المهينة،</w:t>
      </w:r>
    </w:p>
    <w:p w:rsidR="000241AA" w:rsidRDefault="000241AA" w:rsidP="000241AA">
      <w:pPr>
        <w:pStyle w:val="SingleTxtGA"/>
        <w:spacing w:line="370" w:lineRule="exact"/>
        <w:rPr>
          <w:rFonts w:hint="cs"/>
          <w:rtl/>
          <w:lang w:val="fr-CH"/>
        </w:rPr>
      </w:pPr>
      <w:r>
        <w:rPr>
          <w:rFonts w:hint="cs"/>
          <w:rtl/>
          <w:lang w:val="fr-CH"/>
        </w:rPr>
        <w:tab/>
      </w:r>
      <w:r>
        <w:rPr>
          <w:rFonts w:hint="cs"/>
          <w:i/>
          <w:iCs/>
          <w:rtl/>
          <w:lang w:val="fr-CH"/>
        </w:rPr>
        <w:t>وقد اجتمعت</w:t>
      </w:r>
      <w:r>
        <w:rPr>
          <w:rFonts w:hint="cs"/>
          <w:rtl/>
          <w:lang w:val="fr-CH"/>
        </w:rPr>
        <w:t xml:space="preserve"> في 21 أيار/مايو 2013،</w:t>
      </w:r>
    </w:p>
    <w:p w:rsidR="000241AA" w:rsidRDefault="000241AA" w:rsidP="000241AA">
      <w:pPr>
        <w:pStyle w:val="SingleTxtGA"/>
        <w:spacing w:line="370" w:lineRule="exact"/>
        <w:rPr>
          <w:rFonts w:hint="cs"/>
          <w:rtl/>
          <w:lang w:val="fr-CH"/>
        </w:rPr>
      </w:pPr>
      <w:r>
        <w:rPr>
          <w:rFonts w:hint="cs"/>
          <w:rtl/>
          <w:lang w:val="fr-CH"/>
        </w:rPr>
        <w:tab/>
      </w:r>
      <w:r>
        <w:rPr>
          <w:rFonts w:hint="cs"/>
          <w:i/>
          <w:iCs/>
          <w:rtl/>
          <w:lang w:val="fr-CH"/>
        </w:rPr>
        <w:t xml:space="preserve">وقد فرغت </w:t>
      </w:r>
      <w:r>
        <w:rPr>
          <w:rFonts w:hint="cs"/>
          <w:rtl/>
          <w:lang w:val="fr-CH"/>
        </w:rPr>
        <w:t>من النظر في الشكوى رقم 431/2010، المقدمة إلى لجنة مناهضة التعذيب من المحامي أوليفر برونيتي نيابة عن السيدة ي.، بموجب المادة 22 من اتفاقية مناهضة التعذيب وغيره من ضروب المعاملة أو</w:t>
      </w:r>
      <w:r>
        <w:rPr>
          <w:rtl/>
          <w:lang w:val="fr-CH"/>
        </w:rPr>
        <w:t> </w:t>
      </w:r>
      <w:r>
        <w:rPr>
          <w:rFonts w:hint="cs"/>
          <w:rtl/>
          <w:lang w:val="fr-CH"/>
        </w:rPr>
        <w:t>العقوبة القاسية أو</w:t>
      </w:r>
      <w:r>
        <w:rPr>
          <w:rtl/>
          <w:lang w:val="fr-CH"/>
        </w:rPr>
        <w:t> </w:t>
      </w:r>
      <w:r>
        <w:rPr>
          <w:rFonts w:hint="cs"/>
          <w:rtl/>
          <w:lang w:val="fr-CH"/>
        </w:rPr>
        <w:t>اللاإنسانية أو</w:t>
      </w:r>
      <w:r>
        <w:rPr>
          <w:rtl/>
          <w:lang w:val="fr-CH"/>
        </w:rPr>
        <w:t> </w:t>
      </w:r>
      <w:r>
        <w:rPr>
          <w:rFonts w:hint="cs"/>
          <w:rtl/>
          <w:lang w:val="fr-CH"/>
        </w:rPr>
        <w:t>المهينة،</w:t>
      </w:r>
    </w:p>
    <w:p w:rsidR="000241AA" w:rsidRDefault="000241AA" w:rsidP="000241AA">
      <w:pPr>
        <w:pStyle w:val="SingleTxtGA"/>
        <w:spacing w:line="370" w:lineRule="exact"/>
        <w:rPr>
          <w:rFonts w:hint="cs"/>
          <w:rtl/>
          <w:lang w:val="fr-CH"/>
        </w:rPr>
      </w:pPr>
      <w:r>
        <w:rPr>
          <w:rFonts w:hint="cs"/>
          <w:rtl/>
          <w:lang w:val="fr-CH"/>
        </w:rPr>
        <w:tab/>
      </w:r>
      <w:r>
        <w:rPr>
          <w:rFonts w:hint="cs"/>
          <w:i/>
          <w:iCs/>
          <w:rtl/>
          <w:lang w:val="fr-CH"/>
        </w:rPr>
        <w:t xml:space="preserve">وقد وضعت في اعتبارها </w:t>
      </w:r>
      <w:r>
        <w:rPr>
          <w:rFonts w:hint="cs"/>
          <w:rtl/>
          <w:lang w:val="fr-CH"/>
        </w:rPr>
        <w:t xml:space="preserve">جميع المعلومات التي أتاحتها لها صاحبة الشكوى ومحاميها والدولة الطرف، </w:t>
      </w:r>
    </w:p>
    <w:p w:rsidR="000241AA" w:rsidRPr="008C4BD1" w:rsidRDefault="000241AA" w:rsidP="000241AA">
      <w:pPr>
        <w:pStyle w:val="SingleTxtGA"/>
        <w:rPr>
          <w:rFonts w:hint="cs"/>
          <w:i/>
          <w:iCs/>
          <w:rtl/>
          <w:lang w:val="fr-CH"/>
        </w:rPr>
      </w:pPr>
      <w:r>
        <w:rPr>
          <w:rFonts w:hint="cs"/>
          <w:rtl/>
          <w:lang w:val="fr-CH"/>
        </w:rPr>
        <w:tab/>
      </w:r>
      <w:r>
        <w:rPr>
          <w:rFonts w:hint="cs"/>
          <w:i/>
          <w:iCs/>
          <w:rtl/>
          <w:lang w:val="fr-CH"/>
        </w:rPr>
        <w:t xml:space="preserve">تعتمد </w:t>
      </w:r>
      <w:r w:rsidRPr="00674DE1">
        <w:rPr>
          <w:rFonts w:hint="cs"/>
          <w:rtl/>
          <w:lang w:val="fr-CH"/>
        </w:rPr>
        <w:t>ما</w:t>
      </w:r>
      <w:r w:rsidRPr="00674DE1">
        <w:rPr>
          <w:rtl/>
          <w:lang w:val="fr-CH"/>
        </w:rPr>
        <w:t> </w:t>
      </w:r>
      <w:r w:rsidRPr="00676768">
        <w:rPr>
          <w:rFonts w:hint="cs"/>
          <w:rtl/>
          <w:lang w:val="fr-CH"/>
        </w:rPr>
        <w:t>يلي</w:t>
      </w:r>
      <w:r>
        <w:rPr>
          <w:rFonts w:hint="cs"/>
          <w:rtl/>
          <w:lang w:val="fr-CH"/>
        </w:rPr>
        <w:t>:</w:t>
      </w:r>
    </w:p>
    <w:p w:rsidR="000241AA" w:rsidRPr="0056771E" w:rsidRDefault="000241AA" w:rsidP="000241AA">
      <w:pPr>
        <w:pStyle w:val="H1GA"/>
        <w:rPr>
          <w:rtl/>
        </w:rPr>
      </w:pPr>
      <w:r>
        <w:rPr>
          <w:rFonts w:hint="cs"/>
          <w:rtl/>
        </w:rPr>
        <w:tab/>
      </w:r>
      <w:r>
        <w:rPr>
          <w:rtl/>
        </w:rPr>
        <w:tab/>
      </w:r>
      <w:r w:rsidRPr="0056771E">
        <w:rPr>
          <w:rtl/>
        </w:rPr>
        <w:t>قرار بموجب الفقرة 7 من المادة 22 من اتفاقية مناهضة التعذيب</w:t>
      </w:r>
    </w:p>
    <w:p w:rsidR="000241AA" w:rsidRPr="002224BE" w:rsidRDefault="000241AA" w:rsidP="000241AA">
      <w:pPr>
        <w:pStyle w:val="SingleTxtGA"/>
        <w:rPr>
          <w:spacing w:val="-4"/>
        </w:rPr>
      </w:pPr>
      <w:r w:rsidRPr="002224BE">
        <w:rPr>
          <w:rFonts w:hint="cs"/>
          <w:spacing w:val="-4"/>
          <w:rtl/>
        </w:rPr>
        <w:t>1-1</w:t>
      </w:r>
      <w:r w:rsidRPr="002224BE">
        <w:rPr>
          <w:spacing w:val="-4"/>
          <w:rtl/>
        </w:rPr>
        <w:tab/>
        <w:t>صاحب</w:t>
      </w:r>
      <w:r w:rsidRPr="002224BE">
        <w:rPr>
          <w:rFonts w:hint="cs"/>
          <w:spacing w:val="-4"/>
          <w:rtl/>
        </w:rPr>
        <w:t>ة</w:t>
      </w:r>
      <w:r w:rsidRPr="002224BE">
        <w:rPr>
          <w:spacing w:val="-4"/>
          <w:rtl/>
        </w:rPr>
        <w:t xml:space="preserve"> الشكوى مواطن</w:t>
      </w:r>
      <w:r w:rsidRPr="002224BE">
        <w:rPr>
          <w:rFonts w:hint="cs"/>
          <w:spacing w:val="-4"/>
          <w:rtl/>
        </w:rPr>
        <w:t>ةٌ</w:t>
      </w:r>
      <w:r w:rsidRPr="002224BE">
        <w:rPr>
          <w:spacing w:val="-4"/>
          <w:rtl/>
        </w:rPr>
        <w:t xml:space="preserve"> </w:t>
      </w:r>
      <w:r w:rsidRPr="002224BE">
        <w:rPr>
          <w:rFonts w:hint="cs"/>
          <w:spacing w:val="-4"/>
          <w:rtl/>
        </w:rPr>
        <w:t xml:space="preserve">تركية تدعى السيدة ي. </w:t>
      </w:r>
      <w:r w:rsidRPr="002224BE">
        <w:rPr>
          <w:spacing w:val="-4"/>
          <w:rtl/>
        </w:rPr>
        <w:t>و</w:t>
      </w:r>
      <w:r w:rsidRPr="002224BE">
        <w:rPr>
          <w:rFonts w:hint="cs"/>
          <w:spacing w:val="-4"/>
          <w:rtl/>
        </w:rPr>
        <w:t>هي ت</w:t>
      </w:r>
      <w:r w:rsidRPr="002224BE">
        <w:rPr>
          <w:spacing w:val="-4"/>
          <w:rtl/>
        </w:rPr>
        <w:t>دعي أن</w:t>
      </w:r>
      <w:r w:rsidRPr="002224BE">
        <w:rPr>
          <w:rFonts w:hint="cs"/>
          <w:spacing w:val="-4"/>
          <w:rtl/>
        </w:rPr>
        <w:t xml:space="preserve"> ترحيلها إلى تركيا سيشكل</w:t>
      </w:r>
      <w:r w:rsidRPr="002224BE">
        <w:rPr>
          <w:spacing w:val="-4"/>
          <w:rtl/>
        </w:rPr>
        <w:t xml:space="preserve"> انتهاكاً من جانب سويسرا للمادة 3 من اتفاقية مناهضة التعذيب وغيره من ضروب المعاملة أو العقوبة القاسية أو اللاإنسانية أو المهينة. ويمثل صاحب</w:t>
      </w:r>
      <w:r w:rsidRPr="002224BE">
        <w:rPr>
          <w:rFonts w:hint="cs"/>
          <w:spacing w:val="-4"/>
          <w:rtl/>
        </w:rPr>
        <w:t>ة</w:t>
      </w:r>
      <w:r w:rsidRPr="002224BE">
        <w:rPr>
          <w:spacing w:val="-4"/>
          <w:rtl/>
        </w:rPr>
        <w:t xml:space="preserve"> الشكوى </w:t>
      </w:r>
      <w:r w:rsidRPr="002224BE">
        <w:rPr>
          <w:rFonts w:hint="cs"/>
          <w:spacing w:val="-4"/>
          <w:rtl/>
        </w:rPr>
        <w:t>المحامي أوليفر برونيتي</w:t>
      </w:r>
      <w:r w:rsidRPr="002224BE">
        <w:rPr>
          <w:spacing w:val="-4"/>
          <w:rtl/>
        </w:rPr>
        <w:t>.</w:t>
      </w:r>
    </w:p>
    <w:p w:rsidR="000241AA" w:rsidRPr="00CE3CF4" w:rsidRDefault="000241AA" w:rsidP="000241AA">
      <w:pPr>
        <w:pStyle w:val="SingleTxtGA"/>
        <w:rPr>
          <w:rFonts w:hint="cs"/>
          <w:rtl/>
        </w:rPr>
      </w:pPr>
      <w:r w:rsidRPr="00CE3CF4">
        <w:rPr>
          <w:rFonts w:hint="cs"/>
          <w:rtl/>
        </w:rPr>
        <w:t>1-2</w:t>
      </w:r>
      <w:r w:rsidRPr="00CE3CF4">
        <w:rPr>
          <w:rFonts w:hint="cs"/>
          <w:rtl/>
        </w:rPr>
        <w:tab/>
      </w:r>
      <w:r w:rsidRPr="00CE3CF4">
        <w:rPr>
          <w:rFonts w:hint="cs"/>
          <w:spacing w:val="-4"/>
          <w:rtl/>
        </w:rPr>
        <w:t>و</w:t>
      </w:r>
      <w:r w:rsidRPr="00CE3CF4">
        <w:rPr>
          <w:spacing w:val="-4"/>
          <w:rtl/>
        </w:rPr>
        <w:t>طلبت اللجنة</w:t>
      </w:r>
      <w:r w:rsidRPr="00CE3CF4">
        <w:rPr>
          <w:rFonts w:hint="cs"/>
          <w:spacing w:val="-4"/>
          <w:rtl/>
        </w:rPr>
        <w:t xml:space="preserve">، </w:t>
      </w:r>
      <w:r w:rsidRPr="00CE3CF4">
        <w:rPr>
          <w:spacing w:val="-4"/>
          <w:rtl/>
        </w:rPr>
        <w:t>بموجب الفقرة المادة</w:t>
      </w:r>
      <w:r w:rsidRPr="00CE3CF4">
        <w:rPr>
          <w:rFonts w:hint="cs"/>
          <w:spacing w:val="-4"/>
          <w:rtl/>
        </w:rPr>
        <w:t xml:space="preserve"> 114 (المادة</w:t>
      </w:r>
      <w:r w:rsidRPr="00CE3CF4">
        <w:rPr>
          <w:spacing w:val="-4"/>
          <w:rtl/>
        </w:rPr>
        <w:t xml:space="preserve"> 108 </w:t>
      </w:r>
      <w:r w:rsidRPr="00CE3CF4">
        <w:rPr>
          <w:rFonts w:hint="cs"/>
          <w:spacing w:val="-4"/>
          <w:rtl/>
        </w:rPr>
        <w:t>سابقاً)</w:t>
      </w:r>
      <w:r w:rsidRPr="00CE3CF4">
        <w:rPr>
          <w:spacing w:val="-4"/>
          <w:rtl/>
        </w:rPr>
        <w:t xml:space="preserve"> من نظامها الداخلي </w:t>
      </w:r>
      <w:r w:rsidRPr="00CE3CF4">
        <w:rPr>
          <w:spacing w:val="-4"/>
        </w:rPr>
        <w:t>(CAT/C/3/Rev.</w:t>
      </w:r>
      <w:r w:rsidRPr="00CE3CF4">
        <w:rPr>
          <w:spacing w:val="-4"/>
          <w:sz w:val="18"/>
          <w:szCs w:val="28"/>
        </w:rPr>
        <w:t xml:space="preserve"> </w:t>
      </w:r>
      <w:r w:rsidRPr="00CE3CF4">
        <w:rPr>
          <w:spacing w:val="-4"/>
        </w:rPr>
        <w:t>5)</w:t>
      </w:r>
      <w:r w:rsidRPr="00CE3CF4">
        <w:rPr>
          <w:rFonts w:hint="cs"/>
          <w:spacing w:val="-4"/>
          <w:rtl/>
        </w:rPr>
        <w:t xml:space="preserve">، </w:t>
      </w:r>
      <w:r w:rsidRPr="00CE3CF4">
        <w:rPr>
          <w:spacing w:val="-4"/>
          <w:rtl/>
        </w:rPr>
        <w:t xml:space="preserve">في </w:t>
      </w:r>
      <w:r w:rsidRPr="00CE3CF4">
        <w:rPr>
          <w:rFonts w:hint="cs"/>
          <w:spacing w:val="-4"/>
          <w:rtl/>
        </w:rPr>
        <w:t>3</w:t>
      </w:r>
      <w:r w:rsidRPr="00CE3CF4">
        <w:rPr>
          <w:spacing w:val="-4"/>
          <w:rtl/>
        </w:rPr>
        <w:t xml:space="preserve"> أيلول/سبتمبر 2010، إلى الدولة الطرف عدم </w:t>
      </w:r>
      <w:r w:rsidRPr="00CE3CF4">
        <w:rPr>
          <w:rFonts w:hint="cs"/>
          <w:spacing w:val="-4"/>
          <w:rtl/>
        </w:rPr>
        <w:t>طرد</w:t>
      </w:r>
      <w:r w:rsidRPr="00CE3CF4">
        <w:rPr>
          <w:spacing w:val="-4"/>
          <w:rtl/>
        </w:rPr>
        <w:t xml:space="preserve"> صاحبة الشكوى إلى </w:t>
      </w:r>
      <w:r w:rsidRPr="00CE3CF4">
        <w:rPr>
          <w:rFonts w:hint="cs"/>
          <w:spacing w:val="-4"/>
          <w:rtl/>
        </w:rPr>
        <w:t>تركيا</w:t>
      </w:r>
      <w:r w:rsidRPr="00CE3CF4">
        <w:rPr>
          <w:spacing w:val="-4"/>
          <w:rtl/>
        </w:rPr>
        <w:t xml:space="preserve"> </w:t>
      </w:r>
      <w:r w:rsidRPr="00CE3CF4">
        <w:rPr>
          <w:rFonts w:hint="cs"/>
          <w:spacing w:val="-4"/>
          <w:rtl/>
        </w:rPr>
        <w:t>ريثما تنظر في بلاغها. ووافقت الدولة الطرف على هذا الطلب</w:t>
      </w:r>
      <w:r w:rsidRPr="00CE3CF4">
        <w:rPr>
          <w:rFonts w:hint="cs"/>
          <w:rtl/>
        </w:rPr>
        <w:t>.</w:t>
      </w:r>
    </w:p>
    <w:p w:rsidR="000241AA" w:rsidRPr="00F87262" w:rsidRDefault="000241AA" w:rsidP="000241AA">
      <w:pPr>
        <w:pStyle w:val="H23GA"/>
        <w:rPr>
          <w:rFonts w:hint="cs"/>
          <w:rtl/>
        </w:rPr>
      </w:pPr>
      <w:r>
        <w:rPr>
          <w:rtl/>
        </w:rPr>
        <w:tab/>
      </w:r>
      <w:r>
        <w:rPr>
          <w:rFonts w:hint="cs"/>
          <w:rtl/>
        </w:rPr>
        <w:tab/>
      </w:r>
      <w:r w:rsidRPr="00F87262">
        <w:rPr>
          <w:rFonts w:hint="cs"/>
          <w:rtl/>
        </w:rPr>
        <w:t>الوقائع كم</w:t>
      </w:r>
      <w:r>
        <w:rPr>
          <w:rFonts w:hint="cs"/>
          <w:rtl/>
        </w:rPr>
        <w:t>ا عرض</w:t>
      </w:r>
      <w:r w:rsidRPr="00F87262">
        <w:rPr>
          <w:rFonts w:hint="cs"/>
          <w:rtl/>
        </w:rPr>
        <w:t>تها صاحبة الشكوى</w:t>
      </w:r>
    </w:p>
    <w:p w:rsidR="000241AA" w:rsidRPr="00F80C4E" w:rsidRDefault="000241AA" w:rsidP="000241AA">
      <w:pPr>
        <w:pStyle w:val="SingleTxtGA"/>
        <w:rPr>
          <w:rFonts w:hint="cs"/>
          <w:spacing w:val="-4"/>
        </w:rPr>
      </w:pPr>
      <w:r w:rsidRPr="00F80C4E">
        <w:rPr>
          <w:spacing w:val="-4"/>
          <w:rtl/>
        </w:rPr>
        <w:t>2-1</w:t>
      </w:r>
      <w:r w:rsidRPr="00F80C4E">
        <w:rPr>
          <w:spacing w:val="-4"/>
          <w:rtl/>
        </w:rPr>
        <w:tab/>
      </w:r>
      <w:r w:rsidRPr="00F80C4E">
        <w:rPr>
          <w:rFonts w:hint="cs"/>
          <w:spacing w:val="-4"/>
          <w:rtl/>
        </w:rPr>
        <w:t>صاحبة الشكوى هي مواطنة تركية من أصل كردي، مولودة في اسطنبول. وبدأت العمل في مركز بلاد ما بين النهرين الثقافي في اسطنبول عام 1997، حيث كانت تعلم الرقص الشعبي. وهي تنتمي إلى عائلة معروفة بآرائها وأنشطتها السياسية الليبرالية المناصرة للأكراد.</w:t>
      </w:r>
    </w:p>
    <w:p w:rsidR="000241AA" w:rsidRPr="00B03D55" w:rsidRDefault="000241AA" w:rsidP="000241AA">
      <w:pPr>
        <w:pStyle w:val="SingleTxtGA"/>
        <w:rPr>
          <w:rFonts w:hint="cs"/>
        </w:rPr>
      </w:pPr>
      <w:r>
        <w:rPr>
          <w:rFonts w:hint="cs"/>
          <w:rtl/>
        </w:rPr>
        <w:t>2-2</w:t>
      </w:r>
      <w:r>
        <w:rPr>
          <w:rFonts w:hint="cs"/>
          <w:rtl/>
        </w:rPr>
        <w:tab/>
        <w:t>وهناك شبه لافت للنظر بين صاحبة الشكوى وشقيقتها الكبرى، س. وكانت شقيقتها ناشطة جداً في العمل السياسي والتحقت ب</w:t>
      </w:r>
      <w:r>
        <w:rPr>
          <w:rtl/>
        </w:rPr>
        <w:t>العصاب</w:t>
      </w:r>
      <w:r>
        <w:rPr>
          <w:rFonts w:hint="cs"/>
          <w:rtl/>
        </w:rPr>
        <w:t>ات</w:t>
      </w:r>
      <w:r w:rsidRPr="00B03D55">
        <w:rPr>
          <w:rtl/>
        </w:rPr>
        <w:t xml:space="preserve"> المسلحة</w:t>
      </w:r>
      <w:r>
        <w:rPr>
          <w:rFonts w:hint="cs"/>
          <w:rtl/>
        </w:rPr>
        <w:t xml:space="preserve"> التابعة لحزب العمل الشيوعي التركي/اللينيني المحظور. ولذلك كانت مطلوبة من الشرطة التي كانت تحضر دائماً إلى منزليهما بحثاً عنها وتهدد بإلقاء القبض على صاحبة الشكوى لدفع الشقيقة </w:t>
      </w:r>
      <w:r w:rsidRPr="00E706BC">
        <w:rPr>
          <w:rFonts w:hint="cs"/>
          <w:color w:val="000000"/>
          <w:rtl/>
          <w:lang w:val="en-GB"/>
        </w:rPr>
        <w:t>س</w:t>
      </w:r>
      <w:r>
        <w:rPr>
          <w:rFonts w:hint="cs"/>
          <w:color w:val="000000"/>
          <w:rtl/>
          <w:lang w:val="en-GB"/>
        </w:rPr>
        <w:t>.</w:t>
      </w:r>
      <w:r w:rsidRPr="005E6DBE">
        <w:rPr>
          <w:rFonts w:hint="cs"/>
          <w:color w:val="000000"/>
          <w:sz w:val="30"/>
          <w:rtl/>
          <w:lang w:val="en-GB"/>
        </w:rPr>
        <w:t xml:space="preserve"> </w:t>
      </w:r>
      <w:r>
        <w:rPr>
          <w:rFonts w:hint="cs"/>
          <w:color w:val="000000"/>
          <w:rtl/>
          <w:lang w:val="en-GB"/>
        </w:rPr>
        <w:t>إ</w:t>
      </w:r>
      <w:r w:rsidRPr="00660E38">
        <w:rPr>
          <w:rFonts w:hint="cs"/>
          <w:color w:val="000000"/>
          <w:rtl/>
          <w:lang w:val="en-GB"/>
        </w:rPr>
        <w:t xml:space="preserve">لى </w:t>
      </w:r>
      <w:r>
        <w:rPr>
          <w:rFonts w:hint="cs"/>
          <w:color w:val="000000"/>
          <w:rtl/>
          <w:lang w:val="en-GB"/>
        </w:rPr>
        <w:t>الاستسلام. وأُلقي القبض على شقيقة صاحبة الشكوى في عام 1995، وتعرضت للتعذيب على أيدي عناصر الشرطة لإجبارها على كشف ما كانت تقوم به من أنشطة لصالح حزب العمل الشيوعي التركي/اللينيني. ولما امتنعت عن ذلك، عادت الشرطة إلى تهديد الأسرة لإجبار س. على الإدلاء بما لديها. وقامت الشرطة باحتجاز صاحبة الشكوى ليوم واحد وضربها لحمل شقيقتها على الإدلاء بأقوالها.</w:t>
      </w:r>
    </w:p>
    <w:p w:rsidR="000241AA" w:rsidRPr="0056771E" w:rsidRDefault="000241AA" w:rsidP="00EF7160">
      <w:pPr>
        <w:pStyle w:val="SingleTxtGA"/>
        <w:rPr>
          <w:rFonts w:hint="cs"/>
        </w:rPr>
      </w:pPr>
      <w:r>
        <w:rPr>
          <w:rFonts w:hint="cs"/>
          <w:rtl/>
        </w:rPr>
        <w:t>2-3</w:t>
      </w:r>
      <w:r>
        <w:rPr>
          <w:rFonts w:hint="cs"/>
          <w:rtl/>
        </w:rPr>
        <w:tab/>
        <w:t>وفي الفترة 2001-2002، شاركت شقيقة صاحبة الشكوى في إضراب عن الطعام نفذه السجناء السياسيون في جميع أنحاء البلاد وامتنعوا عن تناول الطعام لمدة 180 يوماً. وأفرج عنها هي وعدة سجناء آخرين شاركوا في الإضراب عن الطعام، إفراجاً مشروطاً مدته ستة أشهر لكي تستعيد عافيتها. وطلب منها أن تتعهد بالإقامة في منزل والديها وأن توقف إضرابها عن الطعام وتعود إلى السجن بعد مرور ستة أشهر. وتمكنت الأسرة من تدبير عملية هروب س إلى سويسرا على الرغم من الرقابة المشددة التي كانت تفرضها السلطات الأمنية. وحصلت على اللجوء في سويسرا بتاريخ 31 تشرين الأول/</w:t>
      </w:r>
      <w:r w:rsidR="00F35EFF">
        <w:rPr>
          <w:rFonts w:hint="cs"/>
          <w:rtl/>
        </w:rPr>
        <w:t xml:space="preserve"> </w:t>
      </w:r>
      <w:r>
        <w:rPr>
          <w:rFonts w:hint="cs"/>
          <w:rtl/>
        </w:rPr>
        <w:t xml:space="preserve">أكتوبر 2003. وفي عام 2006، وضعت الشرطة التركية اسمها على قائمة </w:t>
      </w:r>
      <w:r w:rsidRPr="0085745E">
        <w:rPr>
          <w:rtl/>
        </w:rPr>
        <w:t>المنظمة الدولية للشرطة الجنائية (</w:t>
      </w:r>
      <w:r w:rsidR="00EF7160">
        <w:rPr>
          <w:rFonts w:hint="cs"/>
          <w:rtl/>
        </w:rPr>
        <w:t>الأ</w:t>
      </w:r>
      <w:r w:rsidRPr="0085745E">
        <w:rPr>
          <w:rtl/>
        </w:rPr>
        <w:t>نتربول)</w:t>
      </w:r>
      <w:r>
        <w:rPr>
          <w:rFonts w:hint="cs"/>
          <w:rtl/>
        </w:rPr>
        <w:t>. وفي 29 نيسان/أبريل 2008، طالبت السلطات التركية بتسليم</w:t>
      </w:r>
      <w:r w:rsidR="00F35EFF">
        <w:rPr>
          <w:rFonts w:hint="eastAsia"/>
          <w:rtl/>
        </w:rPr>
        <w:t> </w:t>
      </w:r>
      <w:r w:rsidRPr="004F3690">
        <w:rPr>
          <w:rFonts w:hint="cs"/>
          <w:rtl/>
          <w:lang w:val="en-GB"/>
        </w:rPr>
        <w:t>س</w:t>
      </w:r>
      <w:r>
        <w:rPr>
          <w:rFonts w:hint="cs"/>
          <w:rtl/>
          <w:lang w:val="en-GB"/>
        </w:rPr>
        <w:t>.</w:t>
      </w:r>
      <w:r w:rsidRPr="009C4A7A">
        <w:rPr>
          <w:rFonts w:hint="cs"/>
          <w:sz w:val="30"/>
          <w:rtl/>
          <w:lang w:val="en-GB"/>
        </w:rPr>
        <w:t xml:space="preserve"> </w:t>
      </w:r>
      <w:r w:rsidRPr="0085745E">
        <w:rPr>
          <w:rFonts w:hint="cs"/>
          <w:rtl/>
          <w:lang w:val="en-GB"/>
        </w:rPr>
        <w:t>بعد</w:t>
      </w:r>
      <w:r>
        <w:rPr>
          <w:rFonts w:hint="cs"/>
          <w:rtl/>
          <w:lang w:val="en-GB"/>
        </w:rPr>
        <w:t xml:space="preserve"> أن علمت بأنها تقيم في سويسرا</w:t>
      </w:r>
      <w:r>
        <w:rPr>
          <w:rFonts w:hint="cs"/>
          <w:rtl/>
        </w:rPr>
        <w:t xml:space="preserve">؛ ورفضت سويسرا هذا الطلب استناداً إلى مبدأ عدم الإعادة القسرية. </w:t>
      </w:r>
    </w:p>
    <w:p w:rsidR="000241AA" w:rsidRPr="0056771E" w:rsidRDefault="000241AA" w:rsidP="00F35EFF">
      <w:pPr>
        <w:pStyle w:val="SingleTxtGA"/>
        <w:rPr>
          <w:rFonts w:hint="cs"/>
        </w:rPr>
      </w:pPr>
      <w:r>
        <w:rPr>
          <w:rFonts w:hint="cs"/>
          <w:rtl/>
        </w:rPr>
        <w:t>2-4</w:t>
      </w:r>
      <w:r>
        <w:rPr>
          <w:rFonts w:hint="cs"/>
          <w:rtl/>
        </w:rPr>
        <w:tab/>
        <w:t>وكانت صاحبة الشكوى تزور شقيقتها بالسجن منذ إلقاء القبض عليها في عام</w:t>
      </w:r>
      <w:r>
        <w:rPr>
          <w:rFonts w:hint="eastAsia"/>
          <w:rtl/>
        </w:rPr>
        <w:t> </w:t>
      </w:r>
      <w:r>
        <w:rPr>
          <w:rFonts w:hint="cs"/>
          <w:rtl/>
        </w:rPr>
        <w:t xml:space="preserve">1995، مرة واحدة في الأسبوع على الأقل وبشكل يومي أثناء فترة الإضراب عن الطعام. وكان حراس السجن يحتجزونها عند كل زيارة. وعند انتهاء الزيارة، كانوا يستبقونها دون سواها لتفتيشها جسدياً وفحص وجهها باللمس وأخذ بصماتها. ويبدو أن رجال الأمن كانوا يشتبهون في وجود نية لديها لاستغلال شبهها بشقيقتها وأخذ مكانها في السجن ليتسنى لها الخروج. وكانت صاحبة الشكوى تخضع للمراقبة ويتم تعقبها والتنصت على اتصالاتها الهاتفية بشكل دائم، ويبدو أن السلطات كانت تشتبه في ضلوعها في تنفيذ الأنشطة نفسها التي كانت تضطلع بها شقيقتها في الحركة السياسية السرية. وزاد الاشتباه فيها أكثر عندما بدأت تعمل في مركز بلاد ما بين النهرين الثقافي. ويعتبر هذا المركز من المؤسسات التابعة لحزب العمال الكردستاني وهو يخضع لمراقبة مشددة من السلطات الأمنية في تركيا. </w:t>
      </w:r>
    </w:p>
    <w:p w:rsidR="000241AA" w:rsidRPr="0056771E" w:rsidRDefault="000241AA" w:rsidP="000241AA">
      <w:pPr>
        <w:pStyle w:val="SingleTxtGA"/>
        <w:rPr>
          <w:rFonts w:hint="cs"/>
        </w:rPr>
      </w:pPr>
      <w:r>
        <w:rPr>
          <w:rFonts w:hint="cs"/>
          <w:rtl/>
        </w:rPr>
        <w:t>2-5</w:t>
      </w:r>
      <w:r>
        <w:rPr>
          <w:rFonts w:hint="cs"/>
          <w:rtl/>
        </w:rPr>
        <w:tab/>
        <w:t>وفي 1 شباط/فبراير 1998، قامت الشرطة بمداهمة منزل صاحبة الشكوى وإلقاء القبض عليها. وأودعت السجن مدة سبعة أيام، وعُصبت عيناها وعوملت بقسوة لا سيما في عورتها، وتعرضت للتحرش الجنسي والحرمان من الطعام. واتهمت بحيازة منشورات ممنوعة والمشاركة في جنازة ناشط سياسي ثم أفرج عنها لعدم كفاية الأدلة. لكن الشرطة والسلطات الأمنية لم تتوقف عن اضطهادها. إذ كان يُقبض عليها دائماً لفترات قصيرة، وتخضع للاستجواب والتخويف سواء أثناء زيارة شقيقتها في السجن أو في مكان عملها.</w:t>
      </w:r>
    </w:p>
    <w:p w:rsidR="000241AA" w:rsidRPr="00467B5F" w:rsidRDefault="000241AA" w:rsidP="000241AA">
      <w:pPr>
        <w:pStyle w:val="SingleTxtGA"/>
        <w:rPr>
          <w:rFonts w:hint="cs"/>
          <w:rtl/>
        </w:rPr>
      </w:pPr>
      <w:r>
        <w:rPr>
          <w:rFonts w:hint="cs"/>
          <w:rtl/>
        </w:rPr>
        <w:t>2-6</w:t>
      </w:r>
      <w:r>
        <w:rPr>
          <w:rFonts w:hint="cs"/>
          <w:rtl/>
        </w:rPr>
        <w:tab/>
        <w:t xml:space="preserve">وبعد هروب شقيقة صاحبة الشكوى في آب/أغسطس 2002، استمرت الشرطة في مراقبتها. وكانت الشرطة مقتنعة بأن </w:t>
      </w:r>
      <w:r>
        <w:rPr>
          <w:rFonts w:hint="cs"/>
          <w:rtl/>
          <w:lang w:val="en-GB"/>
        </w:rPr>
        <w:t xml:space="preserve">س. </w:t>
      </w:r>
      <w:r w:rsidRPr="00467B5F">
        <w:rPr>
          <w:rFonts w:hint="cs"/>
          <w:rtl/>
          <w:lang w:val="en-GB"/>
        </w:rPr>
        <w:t>مختبئة داخل البل</w:t>
      </w:r>
      <w:r>
        <w:rPr>
          <w:rFonts w:hint="cs"/>
          <w:rtl/>
          <w:lang w:val="en-GB"/>
        </w:rPr>
        <w:t xml:space="preserve">د والواضح أنها </w:t>
      </w:r>
      <w:r>
        <w:rPr>
          <w:rFonts w:hint="cs"/>
          <w:rtl/>
        </w:rPr>
        <w:t xml:space="preserve">كانت تأمل في أن تهتدي إلى مكانها من خلال صاحبة الشكوى. وكانت الشرطة تخشى أيضاً أن تستغل صاحبة الشكوى شبهها بشقيقتها ليتيسر لها التنقل بحرية. وبالإضافة إلى ذلك، كان التخويف يستخدم وسيلة للضغط باستمرار على س. لدفعها إلى الاستسلام. كما أصبحت السلطات تشتبه بشده في صاحبة الشكوى نفسها ليس فقط بسبب علاقتها الوثيقة </w:t>
      </w:r>
      <w:r w:rsidRPr="00C42314">
        <w:rPr>
          <w:rFonts w:hint="cs"/>
          <w:sz w:val="30"/>
          <w:rtl/>
        </w:rPr>
        <w:t>ب‍</w:t>
      </w:r>
      <w:r>
        <w:rPr>
          <w:rFonts w:hint="cs"/>
          <w:rtl/>
        </w:rPr>
        <w:t xml:space="preserve"> س. بل بسبب نشاطها في مركز بلاد ما بين النهرين الثقافي. وحين علمت السلطات في عام 2006، بفرار س. من تركيا، قامت بتشديد المراقبة على صاحبة الشكوى باعتبارها هدفاً وحيداً ويشتبه في ضلوعها في تيسير هروب شقيقتها وخلافتها في الحركة السياسية السرية.</w:t>
      </w:r>
    </w:p>
    <w:p w:rsidR="000241AA" w:rsidRPr="0056771E" w:rsidRDefault="000241AA" w:rsidP="000241AA">
      <w:pPr>
        <w:pStyle w:val="SingleTxtGA"/>
        <w:rPr>
          <w:rFonts w:hint="cs"/>
        </w:rPr>
      </w:pPr>
      <w:r>
        <w:rPr>
          <w:rFonts w:hint="cs"/>
          <w:rtl/>
        </w:rPr>
        <w:t>2-7</w:t>
      </w:r>
      <w:r>
        <w:rPr>
          <w:rFonts w:hint="cs"/>
          <w:rtl/>
        </w:rPr>
        <w:tab/>
        <w:t>ونتيجة خضوع صاحبة الشكوى للمراقبة والتخويف بهذا الشكل الدائم وتأثرها بإلقاء القبض عليها وسوء معاملتها عدة مرات، أصبحت تعاني من اضطرابات عقلية حادة. فكانت تهاب الخروج من المنزل، وكلما خرجت ينتابها الخوف من القبض عليها والتعرض لسوء المعاملة مجدداً. وفي عام 2002، لجأت إلى مركز توهاف لإعادة التأهيل، وهو مركز شهير متخصص في توفير العلاج لضحايا التعذيب في مجال الصحة العقلية، وخضعت في الفترة من 2002 إلى 2006، لبرنامج إعادة التأهيل الذي يوفره هذا المركز. وفي عام</w:t>
      </w:r>
      <w:r>
        <w:rPr>
          <w:rFonts w:hint="eastAsia"/>
          <w:rtl/>
        </w:rPr>
        <w:t> </w:t>
      </w:r>
      <w:r>
        <w:rPr>
          <w:rFonts w:hint="cs"/>
          <w:rtl/>
        </w:rPr>
        <w:t>2006، توقفت عن العلاج خوفاً من تعقبها وإلقاء القبض عليها لأن مركز توهاف نفسه عرضة لخطر شديد كونه مدافعاً بارزاً عن حقوق الإنسان ومنع التعذيب.</w:t>
      </w:r>
    </w:p>
    <w:p w:rsidR="000241AA" w:rsidRPr="0056771E" w:rsidRDefault="000241AA" w:rsidP="000241AA">
      <w:pPr>
        <w:pStyle w:val="SingleTxtGA"/>
        <w:rPr>
          <w:rFonts w:hint="cs"/>
        </w:rPr>
      </w:pPr>
      <w:r>
        <w:rPr>
          <w:rFonts w:hint="cs"/>
          <w:rtl/>
        </w:rPr>
        <w:t>2-8</w:t>
      </w:r>
      <w:r>
        <w:rPr>
          <w:rFonts w:hint="cs"/>
          <w:rtl/>
        </w:rPr>
        <w:tab/>
        <w:t>وفي ربيع عام 2008، شعرت صاحبة الشكوى أنها لم تعد قادرة على العيش في ظل هذه الظروف فهي تعيش عملياً حبيسة بيتها ويسكنها خوف دائم. وخلال مظاهرات الأول من شهر أيار/مايو 2007، ألقت الشرطة القبض على أحد أبناء عمومة الشقيقتين وخاطبته بالقول إن عائلتهم ينبغي أن تمحى من الوجود. ونصح محامي صاحبة الشكوى موكلته بأن تغادر البلاد حفاظاً على سلامتها الشخصية. وتمكنت من مغادرتها بصورة غير شرعية إلى سويسرا حيث دخلتها بتاريخ 11 أيلول/سبتمبر 2008. وعلمت صاحبة الشكوى من والديها بأن الشرطة بحثت عنها مراراً في بيت الأسرة منذ هروبها.</w:t>
      </w:r>
    </w:p>
    <w:p w:rsidR="000241AA" w:rsidRPr="0056771E" w:rsidRDefault="000241AA" w:rsidP="000241AA">
      <w:pPr>
        <w:pStyle w:val="SingleTxtGA"/>
        <w:rPr>
          <w:rFonts w:hint="cs"/>
        </w:rPr>
      </w:pPr>
      <w:r>
        <w:rPr>
          <w:rFonts w:hint="cs"/>
          <w:rtl/>
        </w:rPr>
        <w:t>2-9</w:t>
      </w:r>
      <w:r>
        <w:rPr>
          <w:rFonts w:hint="cs"/>
          <w:rtl/>
        </w:rPr>
        <w:tab/>
        <w:t xml:space="preserve">وقدمت صاحبة الشكوى طلباً للجوء في 15 أيلول/سبتمبر 2008. ومثلت أمام </w:t>
      </w:r>
      <w:r w:rsidRPr="00F35EFF">
        <w:rPr>
          <w:rFonts w:hint="cs"/>
          <w:spacing w:val="-2"/>
          <w:rtl/>
        </w:rPr>
        <w:t>المكتب الاتحادي لشؤون الهجرة في جلسة الاستماع الأولى بتاريخ 25 أيلول/سبتمبر 2008،</w:t>
      </w:r>
      <w:r>
        <w:rPr>
          <w:rFonts w:hint="cs"/>
          <w:rtl/>
        </w:rPr>
        <w:t xml:space="preserve"> وفي جلسة الاستماع الثانية بتاريخ 22 حزيران/يونيه 2009. وقدمت بهذه المناسبة أدلة موثقة تثبت ادع</w:t>
      </w:r>
      <w:r w:rsidRPr="00E8205E">
        <w:rPr>
          <w:rFonts w:hint="cs"/>
          <w:color w:val="000000"/>
          <w:rtl/>
        </w:rPr>
        <w:t>اءاته</w:t>
      </w:r>
      <w:r>
        <w:rPr>
          <w:rFonts w:hint="cs"/>
          <w:rtl/>
        </w:rPr>
        <w:t>ا</w:t>
      </w:r>
      <w:r w:rsidRPr="00691813">
        <w:rPr>
          <w:rFonts w:hint="cs"/>
          <w:vertAlign w:val="superscript"/>
          <w:rtl/>
        </w:rPr>
        <w:t>(</w:t>
      </w:r>
      <w:r w:rsidRPr="00691813">
        <w:rPr>
          <w:rStyle w:val="FootnoteReference"/>
          <w:rtl/>
        </w:rPr>
        <w:footnoteReference w:id="160"/>
      </w:r>
      <w:r w:rsidRPr="00691813">
        <w:rPr>
          <w:rFonts w:hint="cs"/>
          <w:vertAlign w:val="superscript"/>
          <w:rtl/>
        </w:rPr>
        <w:t>)</w:t>
      </w:r>
      <w:r>
        <w:rPr>
          <w:rFonts w:hint="cs"/>
          <w:rtl/>
        </w:rPr>
        <w:t>. وفي 19 آذار/مارس 2010، رفض المكتب الاتحادي لشؤون الهجرة طلبها. ولم يستبعد أن تكون صاحبة الشكوى قد عانت بالفعل من التهديد والتخويف، لكنه اعتبر وصفها لشدة الاضطهاد الذي قالت إنها تعرضت له مبالغاً فيه؛ إذ من غير المنطقي أن تدأب السلطات التركية على اضطهادها بسبب القضية عينها طوال سنوات عدة؛ بل من المؤكد أن لائحة اتهام كانت لتصدر ضدها لو أنها كانت فعلاً محل اشتباه. ورأى المكتب الاتحادي لشؤون الهجرة أن صاحبة الشكوى كانت لتتعرض للملاحقة الجنائية لو اشتُبه بالفعل في تيسيرها هروب شقيقتها وتحريضها على ذلك. وعلاوة على ذلك، يبدو من المستبعد تماماً أن تكون قد تعرضت للاحتجاز في جميع المرات التي زارت فيها شقيقتها في السجن كما ادعت، لأن تصرف سلطات السجن على هذا النحو يبدو عديم الجدوى تماماً. وأشار المكتب الاتحادي كذلك إلى وجود تناقضات عديدة في ادعاءات صاحبة الشكوى فيما يتعلق بمختلف الفترات التي وقع فيها اضطهاد السلطات لها. وخلص إلى أن ما قيل عن شدة الاضطهاد واستمراره في الماضي، واحتمال التعرض له في المستقبل نتيجة ذلك، لا يعتد به كثيراً.</w:t>
      </w:r>
    </w:p>
    <w:p w:rsidR="000241AA" w:rsidRPr="00B220B7" w:rsidRDefault="000241AA" w:rsidP="000241AA">
      <w:pPr>
        <w:pStyle w:val="SingleTxtGA"/>
        <w:rPr>
          <w:rFonts w:hint="cs"/>
        </w:rPr>
      </w:pPr>
      <w:r>
        <w:rPr>
          <w:rFonts w:hint="cs"/>
          <w:rtl/>
        </w:rPr>
        <w:t>2-10</w:t>
      </w:r>
      <w:r>
        <w:rPr>
          <w:rFonts w:hint="cs"/>
          <w:rtl/>
        </w:rPr>
        <w:tab/>
        <w:t>وبالإضافة إلى ذلك، اعتبر المكتب الاتحادي لشؤون الهجرة ادعاءات صاحبة الشكوى بشأن إلقاء القبض عليها وسوء معاملتها في عام 1998، ادعاءات موثوقة ومثبتة بأدلة ذات قيمة، لكنه لاحظ أن تلك الأحداث تعود إلى زمن قديم جداً يتعذر معه ربطها بعلاقة سببية مع طلبها الحالي للجوء. وأشار المكتب الاتحادي إلى أن تعرض الأشخاص للاضطهاد بسبب وجود سوابق لهم أو لأحد أقاربهم في العمل السياسي غير المشروع كان أمراً شائعاً في تركيا حتى أواخر التسعينيات لكن هذا الزمن قد ولَّى اليوم، وأضاف أن الوضع في تركيا قد تحسن كثيراً منذ عام 2001، ومنذ أن أصدرت الدولة ضمانات جديدة بشأن الإجراءات الجنائية في عام 2005. ومن هذا المنطلق قال إنه قد يكون من غير المستبعد أن تتخذ الشرطة إجراءات في حق شخص يشتبه في اتصاله بأحد الأشخاص المطلوبين أو في مشاركته في إحدى المنظمات غير القانونية، لكن هذه الإجراءات لم تعد تعتبر في معظم الحالات اضطهاداً يستدعي التماس اللجوء. واعتبر المكتب الاتحادي ما قالته صاحبة الشكوى عن أحداث عام 1998 وعن تعرضها لبعض ممارسات الاضطهاد في الماضي معقولاً، لكنه شكك في مصداقيتها بشأن استمرار هذا الاضطهاد بنفس الشدة المزعومة. وخلص المكتب الاتحادي إلى أنه ليس هناك ما يدل على وجود احتمال كبير لأن تتعرض صاحبة الشكوى عند عودتها إلى تركيا لمعاملة تتنافى مع ما نصت عليه المادة 3 من الاتفاقية الأوروبية لحماية حقوق الإنسان والحريات الأساسية.</w:t>
      </w:r>
    </w:p>
    <w:p w:rsidR="000241AA" w:rsidRPr="00F35EFF" w:rsidRDefault="000241AA" w:rsidP="000241AA">
      <w:pPr>
        <w:pStyle w:val="SingleTxtGA"/>
        <w:rPr>
          <w:rFonts w:hint="cs"/>
        </w:rPr>
      </w:pPr>
      <w:r w:rsidRPr="00F35EFF">
        <w:rPr>
          <w:rFonts w:hint="cs"/>
          <w:rtl/>
        </w:rPr>
        <w:t>2-11</w:t>
      </w:r>
      <w:r w:rsidRPr="00F35EFF">
        <w:rPr>
          <w:rFonts w:hint="cs"/>
          <w:rtl/>
        </w:rPr>
        <w:tab/>
        <w:t>وفي 21 نيسان/أبريل 2010، قدمت صاحبة الشكوى استئنافاً أمام ال</w:t>
      </w:r>
      <w:r w:rsidRPr="00F35EFF">
        <w:rPr>
          <w:rtl/>
        </w:rPr>
        <w:t>محكمة الإدارية الاتحادية</w:t>
      </w:r>
      <w:r w:rsidRPr="00F35EFF">
        <w:rPr>
          <w:rFonts w:hint="cs"/>
          <w:rtl/>
        </w:rPr>
        <w:t>، وقدمت وثائق إضافية تثبت ادعاءاتها. وأكدت أن الاضطهاد جرى على مراحل مختلفة، وتزامن مع الإجراءات المتخذة في حق شقيقتها وفترة عملها في مركز بلاد ما</w:t>
      </w:r>
      <w:r w:rsidRPr="00F35EFF">
        <w:rPr>
          <w:rFonts w:hint="eastAsia"/>
          <w:rtl/>
        </w:rPr>
        <w:t> </w:t>
      </w:r>
      <w:r w:rsidRPr="00F35EFF">
        <w:rPr>
          <w:rFonts w:hint="cs"/>
          <w:rtl/>
        </w:rPr>
        <w:t>بين النهرين الثقافي. وعليه، فإن الشرطة كانت لديها أسباب شتى لتقوم بمراقبتها وتخويفها وإلقاء القبض عليها وإساءة معاملتها، ومن ذلك الضغط على شقيقتها لكي تستسلم وتعترف بما لديها؛ ومنع صاحبة الشكوى من استغلال شبهها بشقيقتها وانتحال شخصيتها ومن خلافتها في تنفيذ الأنشطة غير القانونية التي كانت تضطلع بها؛ وممارسة الضغط عليها بسبب نشاطها في حزب العمال الكردستاني المرتبط بمركز بلاد ما بين النهرين الثقافي؛ ومعاقبتها على النشاط غير القانوني لشقيقتها وعلى هروبها من البلاد. وفيما يتعلق بعدم إلقاء القبض عليها بسبب ضلوعها في تيسير هروب شقيقتها في عام 2002، أفادت بأن ذنبها في هروب شقيقتها كان هو الشبه الذي يجمع بينهما وسمح لشقيقتها بالتنقل بحرية ويسَّر بالتالي هروبها. وهذا ليس بطبيعة الحال، جرماً يترتب عليه صدور لائحة اتهام.</w:t>
      </w:r>
    </w:p>
    <w:p w:rsidR="000241AA" w:rsidRPr="00F35EFF" w:rsidRDefault="000241AA" w:rsidP="000241AA">
      <w:pPr>
        <w:pStyle w:val="SingleTxtGA"/>
        <w:rPr>
          <w:rFonts w:hint="cs"/>
        </w:rPr>
      </w:pPr>
      <w:r w:rsidRPr="00F35EFF">
        <w:rPr>
          <w:rFonts w:hint="cs"/>
          <w:rtl/>
        </w:rPr>
        <w:t>2-12</w:t>
      </w:r>
      <w:r w:rsidRPr="00F35EFF">
        <w:rPr>
          <w:rFonts w:hint="cs"/>
          <w:rtl/>
        </w:rPr>
        <w:tab/>
        <w:t>وفيما يتعلق بعدم جدوى احتجازها كلما ذهبت لزيارة شقيقتها في السجن، تُذكِّر صاحبة الشكوى بأن الهدف من تلك الإجراءات كان منعها من أخذ مكان شقيقتها في السجن لتيسير هروبها. وقدمت أيضاً حججاً شتى على عدم وجود أي تناقضات في ادعاءاتها خلافاً لمزاعم المكتب الاتحادي لشؤون الهجرة. أما فيما يخص العلاقة السببية بين أحداث عام</w:t>
      </w:r>
      <w:r w:rsidRPr="00F35EFF">
        <w:rPr>
          <w:rFonts w:hint="eastAsia"/>
          <w:rtl/>
        </w:rPr>
        <w:t> </w:t>
      </w:r>
      <w:r w:rsidRPr="00F35EFF">
        <w:rPr>
          <w:rFonts w:hint="cs"/>
          <w:rtl/>
        </w:rPr>
        <w:t>1998 التي لا يجادل أحد في أنها كانت مروعة وهروب صاحبة الشكوى في عام</w:t>
      </w:r>
      <w:r w:rsidRPr="00F35EFF">
        <w:rPr>
          <w:rFonts w:hint="eastAsia"/>
          <w:rtl/>
        </w:rPr>
        <w:t> </w:t>
      </w:r>
      <w:r w:rsidRPr="00F35EFF">
        <w:rPr>
          <w:rFonts w:hint="cs"/>
          <w:rtl/>
        </w:rPr>
        <w:t>2008، أكدت أنها لم تستند في طلبها اللجوء كما هو واضح، إلى هذه الأحداث فقط بل استندت إلى استمرار تعرضها للتخويف والمراقبة والتوقيف والمضايقات على أيدي قوات الأمن منذ أن</w:t>
      </w:r>
      <w:r w:rsidRPr="00F35EFF">
        <w:rPr>
          <w:rFonts w:hint="eastAsia"/>
          <w:rtl/>
        </w:rPr>
        <w:t> </w:t>
      </w:r>
      <w:r w:rsidRPr="00F35EFF">
        <w:rPr>
          <w:rFonts w:hint="cs"/>
          <w:rtl/>
        </w:rPr>
        <w:t>انخرطت شقيقتها في أنشطتها غير القانونية وحتى تاريخ هروب صاحبة الشكوى من تركيا في عام 2008.</w:t>
      </w:r>
    </w:p>
    <w:p w:rsidR="00F35EFF" w:rsidRDefault="000241AA" w:rsidP="00CE592B">
      <w:pPr>
        <w:pStyle w:val="SingleTxtGA"/>
        <w:rPr>
          <w:rFonts w:hint="cs"/>
          <w:rtl/>
        </w:rPr>
      </w:pPr>
      <w:r w:rsidRPr="00F35EFF">
        <w:rPr>
          <w:rFonts w:hint="cs"/>
          <w:rtl/>
        </w:rPr>
        <w:t>2-13</w:t>
      </w:r>
      <w:r w:rsidRPr="00F35EFF">
        <w:rPr>
          <w:rFonts w:hint="cs"/>
          <w:rtl/>
        </w:rPr>
        <w:tab/>
        <w:t xml:space="preserve">كما اعترضت صاحبة الشكوى في استئنافها على رأي المكتب الاتحادي لشؤون الهجرة الذي ذهب فيه إلى أن حالة حقوق الإنسان في تركيا قد تحسنت كثيراً مستبعداً أن يتعرض شخص ما للاضطهاد بسبب أنشطة قام بها في الماضي هو أو أحد أقاربه، وأشارت إلى السوابق القضائية الأخيرة للمحكمة الإدارية الاتحادية (على سبيل المثال، قرارها </w:t>
      </w:r>
      <w:r w:rsidRPr="00CE592B">
        <w:rPr>
          <w:rFonts w:hint="cs"/>
          <w:spacing w:val="-4"/>
          <w:rtl/>
        </w:rPr>
        <w:t>المؤرخ</w:t>
      </w:r>
      <w:r w:rsidRPr="00CE592B">
        <w:rPr>
          <w:rFonts w:hint="eastAsia"/>
          <w:spacing w:val="-4"/>
          <w:rtl/>
        </w:rPr>
        <w:t> </w:t>
      </w:r>
      <w:r w:rsidRPr="00CE592B">
        <w:rPr>
          <w:rFonts w:hint="cs"/>
          <w:spacing w:val="-4"/>
          <w:rtl/>
        </w:rPr>
        <w:t>8</w:t>
      </w:r>
      <w:r w:rsidRPr="00CE592B">
        <w:rPr>
          <w:rFonts w:hint="eastAsia"/>
          <w:spacing w:val="-4"/>
          <w:rtl/>
        </w:rPr>
        <w:t> </w:t>
      </w:r>
      <w:r w:rsidRPr="00CE592B">
        <w:rPr>
          <w:rFonts w:hint="cs"/>
          <w:spacing w:val="-4"/>
          <w:rtl/>
        </w:rPr>
        <w:t xml:space="preserve">أيلول/سبتمبر 2005، </w:t>
      </w:r>
      <w:r w:rsidRPr="00CE592B">
        <w:rPr>
          <w:spacing w:val="-4"/>
        </w:rPr>
        <w:t>EMARK 2005/21</w:t>
      </w:r>
      <w:r w:rsidRPr="00CE592B">
        <w:rPr>
          <w:rFonts w:hint="cs"/>
          <w:spacing w:val="-4"/>
          <w:rtl/>
        </w:rPr>
        <w:t xml:space="preserve">)، التي تفيد بأن التعديلات التشريعية ذات </w:t>
      </w:r>
      <w:r w:rsidRPr="00F35EFF">
        <w:rPr>
          <w:rFonts w:hint="cs"/>
          <w:rtl/>
        </w:rPr>
        <w:t>الصلة التي أجرتها تركيا في الآونة الأخيرة، لم تتجسد في الممارسة العملية؛ إذ استمرت</w:t>
      </w:r>
      <w:r w:rsidR="00F35EFF">
        <w:rPr>
          <w:rFonts w:hint="eastAsia"/>
          <w:rtl/>
        </w:rPr>
        <w:t> </w:t>
      </w:r>
      <w:r w:rsidRPr="00F35EFF">
        <w:rPr>
          <w:rFonts w:hint="cs"/>
          <w:rtl/>
        </w:rPr>
        <w:t>قوات الأمن التركية في قمع أعضاء المنظمات الكردية؛ وظلت ممارسة التعذيب شائعة على نطاق</w:t>
      </w:r>
      <w:r w:rsidR="00CE592B">
        <w:rPr>
          <w:rFonts w:hint="eastAsia"/>
          <w:rtl/>
        </w:rPr>
        <w:t> </w:t>
      </w:r>
      <w:r w:rsidRPr="00F35EFF">
        <w:rPr>
          <w:rFonts w:hint="cs"/>
          <w:rtl/>
        </w:rPr>
        <w:t>واسع لدرجة تستدعي اعتبارها ممارسة رسمية معتادة؛ ولا تزال أعمال القمع الشديد</w:t>
      </w:r>
      <w:r w:rsidR="00CE592B">
        <w:rPr>
          <w:rFonts w:hint="eastAsia"/>
          <w:rtl/>
        </w:rPr>
        <w:t> </w:t>
      </w:r>
      <w:r w:rsidRPr="00F35EFF">
        <w:rPr>
          <w:rFonts w:hint="cs"/>
          <w:rtl/>
        </w:rPr>
        <w:t>تستهدف أفراد أسر الناشطين الأكراد المشتبه فيهم. وأشارت أيضاً إلى تقارير عديدة</w:t>
      </w:r>
      <w:r w:rsidR="00CE592B">
        <w:rPr>
          <w:rFonts w:hint="eastAsia"/>
          <w:rtl/>
        </w:rPr>
        <w:t> </w:t>
      </w:r>
      <w:r w:rsidRPr="00F35EFF">
        <w:rPr>
          <w:rFonts w:hint="cs"/>
          <w:rtl/>
        </w:rPr>
        <w:t xml:space="preserve">صدرت مؤخراً عن منظمات دولية ومحلية بشأن حالة حقوق الإنسان في تركيا </w:t>
      </w:r>
      <w:r w:rsidR="00F35EFF">
        <w:rPr>
          <w:rtl/>
        </w:rPr>
        <w:br/>
      </w:r>
    </w:p>
    <w:p w:rsidR="000241AA" w:rsidRPr="0075480F" w:rsidRDefault="000241AA" w:rsidP="00F35EFF">
      <w:pPr>
        <w:pStyle w:val="SingleTxtGA"/>
        <w:rPr>
          <w:rFonts w:hint="cs"/>
          <w:rtl/>
        </w:rPr>
      </w:pPr>
      <w:r w:rsidRPr="00F35EFF">
        <w:rPr>
          <w:rFonts w:hint="cs"/>
          <w:rtl/>
        </w:rPr>
        <w:t>وقدمت تقارير صادرة</w:t>
      </w:r>
      <w:r w:rsidRPr="0075480F">
        <w:rPr>
          <w:rFonts w:hint="cs"/>
          <w:rtl/>
        </w:rPr>
        <w:t xml:space="preserve"> عن منظمة العفو الدولية (2009)</w:t>
      </w:r>
      <w:r w:rsidRPr="0075480F">
        <w:rPr>
          <w:rFonts w:hint="cs"/>
          <w:vertAlign w:val="superscript"/>
          <w:rtl/>
        </w:rPr>
        <w:t>(</w:t>
      </w:r>
      <w:r w:rsidRPr="0075480F">
        <w:rPr>
          <w:rStyle w:val="FootnoteReference"/>
          <w:rtl/>
        </w:rPr>
        <w:footnoteReference w:id="161"/>
      </w:r>
      <w:r w:rsidRPr="0075480F">
        <w:rPr>
          <w:rFonts w:hint="cs"/>
          <w:vertAlign w:val="superscript"/>
          <w:rtl/>
        </w:rPr>
        <w:t>)</w:t>
      </w:r>
      <w:r w:rsidRPr="0075480F">
        <w:rPr>
          <w:rFonts w:hint="cs"/>
          <w:rtl/>
        </w:rPr>
        <w:t>، وهيومن رايتس ووتش (2010)</w:t>
      </w:r>
      <w:r w:rsidRPr="00925088">
        <w:rPr>
          <w:rFonts w:hint="cs"/>
          <w:vertAlign w:val="superscript"/>
          <w:rtl/>
        </w:rPr>
        <w:t>(</w:t>
      </w:r>
      <w:r w:rsidRPr="00925088">
        <w:rPr>
          <w:rStyle w:val="FootnoteReference"/>
          <w:rtl/>
        </w:rPr>
        <w:footnoteReference w:id="162"/>
      </w:r>
      <w:r w:rsidRPr="00925088">
        <w:rPr>
          <w:rFonts w:hint="cs"/>
          <w:vertAlign w:val="superscript"/>
          <w:rtl/>
        </w:rPr>
        <w:t>)</w:t>
      </w:r>
      <w:r w:rsidRPr="0075480F">
        <w:rPr>
          <w:rFonts w:hint="cs"/>
          <w:rtl/>
        </w:rPr>
        <w:t xml:space="preserve"> والمجلس السويسري للاجئين (2008)</w:t>
      </w:r>
      <w:r w:rsidRPr="00925088">
        <w:rPr>
          <w:rFonts w:hint="cs"/>
          <w:vertAlign w:val="superscript"/>
          <w:rtl/>
        </w:rPr>
        <w:t>(</w:t>
      </w:r>
      <w:r w:rsidRPr="00925088">
        <w:rPr>
          <w:rStyle w:val="FootnoteReference"/>
          <w:rtl/>
        </w:rPr>
        <w:footnoteReference w:id="163"/>
      </w:r>
      <w:r w:rsidRPr="00925088">
        <w:rPr>
          <w:rFonts w:hint="cs"/>
          <w:vertAlign w:val="superscript"/>
          <w:rtl/>
        </w:rPr>
        <w:t>)</w:t>
      </w:r>
      <w:r>
        <w:rPr>
          <w:rFonts w:hint="cs"/>
          <w:rtl/>
        </w:rPr>
        <w:t xml:space="preserve"> كوثائق داعمة.</w:t>
      </w:r>
    </w:p>
    <w:p w:rsidR="000241AA" w:rsidRDefault="000241AA" w:rsidP="000241AA">
      <w:pPr>
        <w:pStyle w:val="SingleTxtGA"/>
        <w:rPr>
          <w:rFonts w:hint="cs"/>
          <w:rtl/>
        </w:rPr>
      </w:pPr>
      <w:r>
        <w:rPr>
          <w:rFonts w:hint="cs"/>
          <w:rtl/>
        </w:rPr>
        <w:t>2-14</w:t>
      </w:r>
      <w:r>
        <w:rPr>
          <w:rFonts w:hint="cs"/>
          <w:rtl/>
        </w:rPr>
        <w:tab/>
        <w:t xml:space="preserve">كما ذكرت صاحبة الشكوى في استئنافها أنها أصيبت مراراً بانهيار </w:t>
      </w:r>
      <w:r w:rsidRPr="00056F49">
        <w:rPr>
          <w:rFonts w:hint="cs"/>
          <w:color w:val="000000"/>
          <w:rtl/>
        </w:rPr>
        <w:t>عصبي</w:t>
      </w:r>
      <w:r>
        <w:rPr>
          <w:rFonts w:hint="cs"/>
          <w:rtl/>
        </w:rPr>
        <w:t xml:space="preserve"> منذ أن وصلت إلى سويسرا. ودفعت في نهاية المطاف، بأن عودتها إلى تركيا ستعرضها لخطر شديد وبأن إعادتها قسراً سيؤثر تأثيراً كبيراً أيضاً على حالتها العقلية الهشة جداً بالنظر إلى ما ظلت تعانيه من اضطهاد شديد وتخويف وتوقيف وسوء معاملة حتى تاريخ هروبها من تركيا بسبب أنشطتها وأنشطة شقيقتها، وسعي السلطات التركية الحثيث إلى اعتقال شقيقتها باستخدامها هي، ومثابرة الشرطة على البحث عنها في منزل والديها منذ أن غادرت البلاد، وبالنظر إلى حالة حقوق الإنسان في تركيا التي لا تزال دقيقة لا سيما بالنسبة للنشطاء الأكراد وأقربائهم.</w:t>
      </w:r>
    </w:p>
    <w:p w:rsidR="000241AA" w:rsidRPr="0056771E" w:rsidRDefault="000241AA" w:rsidP="000241AA">
      <w:pPr>
        <w:pStyle w:val="SingleTxtGA"/>
        <w:rPr>
          <w:rFonts w:hint="cs"/>
          <w:rtl/>
        </w:rPr>
      </w:pPr>
      <w:r>
        <w:rPr>
          <w:rFonts w:hint="cs"/>
          <w:rtl/>
        </w:rPr>
        <w:t>2-15</w:t>
      </w:r>
      <w:r>
        <w:rPr>
          <w:rFonts w:hint="cs"/>
          <w:rtl/>
        </w:rPr>
        <w:tab/>
        <w:t>وفي 5 آب/أغسطس 2010، أصدرت المحكمة الإدارية الاتحادية حكمها بشأن موضوع القضية فأيدت قرار المكتب الاتحادي لشؤون الهجرة. وأكدت رأي المكتب الاتحادي معتبرة أنه يمكن تصديق السرد الذي قدمته صاحبة الشكوى لأحداث عام 1998 ولبعض ما تعرضت له بعد ذلك، من ممارسات التخويف. في حين رأت أن الادعاءات المتعلقة بالتعرض للاضطهاد بعد عام 2002 تفتقر إلى المصداقية مستبعدة تماماً أن تستمر السلطات التركية في اضطهاد صاحبة الشكوى طوال سنوات عدة دون أن تكتشف قبل عام</w:t>
      </w:r>
      <w:r>
        <w:rPr>
          <w:rFonts w:hint="eastAsia"/>
          <w:rtl/>
        </w:rPr>
        <w:t> </w:t>
      </w:r>
      <w:r>
        <w:rPr>
          <w:rFonts w:hint="cs"/>
          <w:rtl/>
        </w:rPr>
        <w:t>2008 أن شقيقتها قد حصلت على اللجوء في سويسرا. وعدم صدور لائحة اتهام في حق صاحبة الشكوى بسبب تيسير هروب شقيقتها على حد زعمها، يدل على أن السلطات التركية لا تحملها مسؤولية هذا الهروب. ورأت المحكمة أن صاحبة الشكوى قد اختلقت جزءاً كبيراً مما قالته بشأن اضطهادها لتدعيم طلبها اللجوء، وخلصت إلى خلو ادعاءاتها والوثائق المتاحة، من دليل على احتمال تعرضها لمعاملة منافية لأحكام المادة 3 من الاتفاقية الأوروبية لحقوق الإنسان أو</w:t>
      </w:r>
      <w:r>
        <w:rPr>
          <w:rFonts w:hint="eastAsia"/>
          <w:rtl/>
        </w:rPr>
        <w:t> </w:t>
      </w:r>
      <w:r>
        <w:rPr>
          <w:rFonts w:hint="cs"/>
          <w:rtl/>
        </w:rPr>
        <w:t>المادة 1 من اتفاقية مناهضة التعذيب</w:t>
      </w:r>
      <w:r>
        <w:rPr>
          <w:rtl/>
        </w:rPr>
        <w:t xml:space="preserve"> </w:t>
      </w:r>
      <w:r w:rsidRPr="006D7822">
        <w:rPr>
          <w:rtl/>
        </w:rPr>
        <w:t>وغيره من ضروب المعاملة أو العقوبة القاسية أو</w:t>
      </w:r>
      <w:r>
        <w:rPr>
          <w:rFonts w:hint="cs"/>
          <w:rtl/>
        </w:rPr>
        <w:t> </w:t>
      </w:r>
      <w:r w:rsidRPr="006D7822">
        <w:rPr>
          <w:rtl/>
        </w:rPr>
        <w:t>اللاإنسانية أو المهينة</w:t>
      </w:r>
      <w:r>
        <w:rPr>
          <w:rFonts w:hint="cs"/>
          <w:rtl/>
        </w:rPr>
        <w:t xml:space="preserve"> لدى عودتها إلى تركيا. وذكرت في الأخير أن صاحبة الشكوى لا</w:t>
      </w:r>
      <w:r>
        <w:rPr>
          <w:rFonts w:hint="eastAsia"/>
          <w:rtl/>
        </w:rPr>
        <w:t> </w:t>
      </w:r>
      <w:r>
        <w:rPr>
          <w:rFonts w:hint="cs"/>
          <w:rtl/>
        </w:rPr>
        <w:t>تعاني من أي مرض يمنع تنفيذ أمر الترحيل.</w:t>
      </w:r>
    </w:p>
    <w:p w:rsidR="000241AA" w:rsidRPr="0056771E" w:rsidRDefault="000241AA" w:rsidP="000241AA">
      <w:pPr>
        <w:pStyle w:val="SingleTxtGA"/>
        <w:rPr>
          <w:rFonts w:hint="cs"/>
        </w:rPr>
      </w:pPr>
      <w:r>
        <w:rPr>
          <w:rFonts w:hint="cs"/>
          <w:rtl/>
        </w:rPr>
        <w:t>2-16</w:t>
      </w:r>
      <w:r>
        <w:rPr>
          <w:rFonts w:hint="cs"/>
          <w:rtl/>
        </w:rPr>
        <w:tab/>
        <w:t xml:space="preserve">وفي 9 آب/أغسطس 2010، طلب المكتب الاتحادي لشؤون الهجرة من صاحبة الشكوى مغادرة سويسرا في موعد أقصاه 6 أيلول/سبتمبر 2010. </w:t>
      </w:r>
    </w:p>
    <w:p w:rsidR="000241AA" w:rsidRPr="0056771E" w:rsidRDefault="000241AA" w:rsidP="00F35EFF">
      <w:pPr>
        <w:pStyle w:val="SingleTxtGA"/>
        <w:rPr>
          <w:rFonts w:hint="cs"/>
        </w:rPr>
      </w:pPr>
      <w:r w:rsidRPr="00F35EFF">
        <w:rPr>
          <w:rFonts w:hint="cs"/>
          <w:spacing w:val="-2"/>
          <w:rtl/>
        </w:rPr>
        <w:t>2-17</w:t>
      </w:r>
      <w:r w:rsidRPr="00F35EFF">
        <w:rPr>
          <w:rFonts w:hint="cs"/>
          <w:spacing w:val="-2"/>
          <w:rtl/>
        </w:rPr>
        <w:tab/>
        <w:t>وتؤكد صاحبة الشكوى أنها تعرضت للانهيار مرات عديدة عقب مغادرتها تركيا. وفي حزيران/يونيه 2010، عرضت نفسها على طبيب نفساني وخضعت للعلاج الذي وصفه لها. وبعد أن علمت بحكم المحكمة الإدارية الاتحادية، أصيبت بأزمة عقلية وعدل الطبيب النفساني</w:t>
      </w:r>
      <w:r w:rsidR="00F35EFF">
        <w:rPr>
          <w:rFonts w:hint="eastAsia"/>
          <w:spacing w:val="-2"/>
          <w:rtl/>
        </w:rPr>
        <w:t> </w:t>
      </w:r>
      <w:r w:rsidRPr="00F35EFF">
        <w:rPr>
          <w:rFonts w:hint="cs"/>
          <w:spacing w:val="-2"/>
          <w:rtl/>
        </w:rPr>
        <w:t>علاجها بما يتناسب مع وضعها. ويشير تقرير طبي مؤرخ 23 آب/</w:t>
      </w:r>
      <w:r>
        <w:rPr>
          <w:rFonts w:hint="cs"/>
          <w:rtl/>
        </w:rPr>
        <w:t>أغسطس</w:t>
      </w:r>
      <w:r>
        <w:rPr>
          <w:rFonts w:hint="eastAsia"/>
          <w:rtl/>
        </w:rPr>
        <w:t> </w:t>
      </w:r>
      <w:r>
        <w:rPr>
          <w:rFonts w:hint="cs"/>
          <w:rtl/>
        </w:rPr>
        <w:t>2010، إلى أن صاحبة الشكوى تعاني من نوبات اكتئاب مع أعراض جسدية وتشنجات فصامية وأنه يشتبه في إصابتها ب</w:t>
      </w:r>
      <w:r w:rsidRPr="00B05E7A">
        <w:rPr>
          <w:rtl/>
        </w:rPr>
        <w:t xml:space="preserve">اضطراب </w:t>
      </w:r>
      <w:r>
        <w:rPr>
          <w:rFonts w:hint="cs"/>
          <w:rtl/>
        </w:rPr>
        <w:t>ال</w:t>
      </w:r>
      <w:r w:rsidRPr="00B05E7A">
        <w:rPr>
          <w:rtl/>
        </w:rPr>
        <w:t xml:space="preserve">إجهاد </w:t>
      </w:r>
      <w:r>
        <w:rPr>
          <w:rFonts w:hint="cs"/>
          <w:rtl/>
        </w:rPr>
        <w:t>الناجم عن</w:t>
      </w:r>
      <w:r w:rsidRPr="00B05E7A">
        <w:rPr>
          <w:rtl/>
        </w:rPr>
        <w:t xml:space="preserve"> الصدمة</w:t>
      </w:r>
      <w:r>
        <w:rPr>
          <w:rFonts w:hint="cs"/>
          <w:rtl/>
        </w:rPr>
        <w:t xml:space="preserve"> (لم يكن التشخيص قد انتهى في تاريخ تقديم الشكوى). ويشير التقرير إلى أن حالة صاحبة الشكوى آنذاك لم تكن تسمح بعودتها إلى تركيا. إذ إن خوفها من إلقاء القبض عليها وإساءة معاملتها مجدداً بعد العودة يصيبها بتشنجات فصامية. ورجوعها إلى تركيا سيزيد من تدهور حالتها الصحية، مع وجود احتمال كبير لإقدامها على الانتحار. وفي 26 آب/أغسطس 2010، قدم التقرير الطبي إلى مكتب الهجرة في كانتون بازل وهو المكتب المسؤول عن إنفاذ أمر الترحيل وقدم معه طلب لتعليق ترحيلها لأسباب طبية.</w:t>
      </w:r>
    </w:p>
    <w:p w:rsidR="000241AA" w:rsidRPr="0075006B" w:rsidRDefault="000241AA" w:rsidP="000241AA">
      <w:pPr>
        <w:pStyle w:val="H23GA"/>
        <w:rPr>
          <w:rFonts w:hint="cs"/>
        </w:rPr>
      </w:pPr>
      <w:r>
        <w:rPr>
          <w:rtl/>
        </w:rPr>
        <w:tab/>
      </w:r>
      <w:r>
        <w:rPr>
          <w:rFonts w:hint="cs"/>
          <w:rtl/>
        </w:rPr>
        <w:tab/>
      </w:r>
      <w:r w:rsidRPr="0075006B">
        <w:rPr>
          <w:rFonts w:hint="cs"/>
          <w:rtl/>
        </w:rPr>
        <w:t>الشكوى</w:t>
      </w:r>
    </w:p>
    <w:p w:rsidR="000241AA" w:rsidRPr="0056771E" w:rsidRDefault="000241AA" w:rsidP="000241AA">
      <w:pPr>
        <w:pStyle w:val="SingleTxtGA"/>
        <w:rPr>
          <w:rFonts w:hint="cs"/>
        </w:rPr>
      </w:pPr>
      <w:r>
        <w:rPr>
          <w:rFonts w:hint="cs"/>
          <w:rtl/>
        </w:rPr>
        <w:t>3-1</w:t>
      </w:r>
      <w:r>
        <w:rPr>
          <w:rFonts w:hint="cs"/>
          <w:rtl/>
        </w:rPr>
        <w:tab/>
        <w:t>تدعي صاحبة الشكوى أن ترحيلها إلى تركيا يشكل انتهاكاً للمادة 3 من الاتفاقية. وتؤكد أنها ستتعرض لدى عودتها، للاحتجاز والاستجواب والتخويف وسوء المعاملة على يد</w:t>
      </w:r>
      <w:r>
        <w:rPr>
          <w:rFonts w:hint="eastAsia"/>
          <w:rtl/>
        </w:rPr>
        <w:t> </w:t>
      </w:r>
      <w:r>
        <w:rPr>
          <w:rFonts w:hint="cs"/>
          <w:rtl/>
        </w:rPr>
        <w:t>الشرطة. وربما تخضع أيضاً لنفس نظام المراقبة الدائمة والاضطهاد والاحتجاز والترهيب الذي سبق أن عانت منه وكان سبباً في إصابتها باضطرابات عقلية حادة.</w:t>
      </w:r>
    </w:p>
    <w:p w:rsidR="000241AA" w:rsidRPr="0056771E" w:rsidRDefault="000241AA" w:rsidP="00F35EFF">
      <w:pPr>
        <w:pStyle w:val="SingleTxtGA"/>
        <w:rPr>
          <w:rFonts w:hint="cs"/>
        </w:rPr>
      </w:pPr>
      <w:r>
        <w:rPr>
          <w:rFonts w:hint="cs"/>
          <w:rtl/>
        </w:rPr>
        <w:t>3-2</w:t>
      </w:r>
      <w:r>
        <w:rPr>
          <w:rFonts w:hint="cs"/>
          <w:rtl/>
        </w:rPr>
        <w:tab/>
        <w:t>وتُذك</w:t>
      </w:r>
      <w:r>
        <w:rPr>
          <w:rFonts w:ascii="Symbol" w:hAnsi="Symbol" w:hint="cs"/>
          <w:rtl/>
        </w:rPr>
        <w:t>ّ</w:t>
      </w:r>
      <w:r>
        <w:rPr>
          <w:rFonts w:hint="cs"/>
          <w:rtl/>
        </w:rPr>
        <w:t>ر صاحبة الشكوى، دعماً لادعاءاتها، بما يلي: (أ) إنها أُلقي القبض عليها وأسيئت معاملتها بشدة طوال سبعة أيام في عام 1998، وهو ما لم تطعن في صحته سلطات الهجرة السويسرية؛ (ب) إنها قُبض عليها مراراً لفترات قصيرة أثناء زيارة شقيقتها في السجن؛ (ج) إنها خضعت لمراقبة مشددة وترهيب دائم وللاحتجاز لفترات قصيرة منذ أن انخرطت شقيقتها في أنشطة غير قانونية مناصرة للأكراد؛ (د) إنها عملت سنوات عدة، لدى مركز بلاد ما بين النهرين الثقافي وهو منظمة تعتبر وثيقة الصلة بحزب العمال الكردستاني في نظر السلطات التركية؛ (</w:t>
      </w:r>
      <w:r w:rsidRPr="001334FC">
        <w:rPr>
          <w:rFonts w:hint="cs"/>
          <w:sz w:val="30"/>
          <w:rtl/>
        </w:rPr>
        <w:t>ﻫ</w:t>
      </w:r>
      <w:r>
        <w:rPr>
          <w:rFonts w:hint="cs"/>
          <w:rtl/>
        </w:rPr>
        <w:t xml:space="preserve">) إن شقيقتها حكم عليها بالسجن مدى الحياة بتهمة القيام بأنشطة غير مشروعة لصالح الأكراد وبدعوى قتل رجل شرطة، وإن سويسرا رفضت تسليمها استناداً إلى مبدأ عدم الإعادة القسرية؛ (و) إن السلطات التركية تعلم أو ستعلم لدى عودة صاحبة الشكوى إلى تركيا، أنها كانت مع شقيقتها في سويسرا حيث طلبت الحصول على اللجوء؛ (ز) إن منظمات دولية عديدة فضلاً عن المحكمة الإدارية الاتحادية في أحكامها القضائية الصادرة مؤخراً، تؤكد أن حالة حقوق الإنسان في تركيا لم تشهد تغييراً يُذكر، لا سيما بالنسبة للأكراد، وإن ممارسة التوقيف التعسفي وسوء المعاملة والتعذيب ضد الأشخاص المتهمين بالقيام بأنشطة مناصرة للأكراد أو ضد أقربائهم لا يزال إجراءً اعتيادياً؛ (ح) إنها أصيبت بمرض عقلي لسنوات عدة، وتلقت العلاج في مركز توهاف لإعادة تأهيل ضحايا التعذيب في اسطنبول لمدة أربع سنوات وهي تخضع للعلاج لدى طبيب نفساني أكد أنها لن تتحمل الوقوع من جديد في قبضة السلطات التركية. </w:t>
      </w:r>
    </w:p>
    <w:p w:rsidR="000241AA" w:rsidRPr="008E6668" w:rsidRDefault="000241AA" w:rsidP="000241AA">
      <w:pPr>
        <w:pStyle w:val="H23GA"/>
        <w:rPr>
          <w:rFonts w:hint="cs"/>
        </w:rPr>
      </w:pPr>
      <w:r>
        <w:rPr>
          <w:rtl/>
        </w:rPr>
        <w:tab/>
      </w:r>
      <w:r>
        <w:rPr>
          <w:rFonts w:hint="cs"/>
          <w:rtl/>
        </w:rPr>
        <w:tab/>
      </w:r>
      <w:r w:rsidRPr="008E6668">
        <w:rPr>
          <w:rFonts w:hint="cs"/>
          <w:rtl/>
        </w:rPr>
        <w:t xml:space="preserve">ملاحظات الدولة الطرف بشأن المقبولية والأسس الموضوعية </w:t>
      </w:r>
    </w:p>
    <w:p w:rsidR="000241AA" w:rsidRPr="00A95564" w:rsidRDefault="000241AA" w:rsidP="000241AA">
      <w:pPr>
        <w:pStyle w:val="SingleTxtGA"/>
        <w:rPr>
          <w:rFonts w:hint="cs"/>
        </w:rPr>
      </w:pPr>
      <w:r w:rsidRPr="003F0AE4">
        <w:rPr>
          <w:rFonts w:hint="cs"/>
          <w:rtl/>
        </w:rPr>
        <w:t>4-1</w:t>
      </w:r>
      <w:r>
        <w:rPr>
          <w:rFonts w:hint="cs"/>
          <w:rtl/>
        </w:rPr>
        <w:tab/>
      </w:r>
      <w:r w:rsidRPr="00A95564">
        <w:rPr>
          <w:rtl/>
        </w:rPr>
        <w:t>قدّمت الدولة الطرف ملاحظاتها في مذكرة شفوية مؤرخة</w:t>
      </w:r>
      <w:r>
        <w:rPr>
          <w:rFonts w:hint="cs"/>
          <w:rtl/>
        </w:rPr>
        <w:t xml:space="preserve"> 16 شباط/ فبراير</w:t>
      </w:r>
      <w:r>
        <w:rPr>
          <w:rFonts w:hint="eastAsia"/>
          <w:rtl/>
        </w:rPr>
        <w:t> </w:t>
      </w:r>
      <w:r>
        <w:rPr>
          <w:rFonts w:hint="cs"/>
          <w:rtl/>
        </w:rPr>
        <w:t>2011. وقدمت ملخصاً لوقائع قضية صاحبة الشكوى وادعاءاتها في سياق إجراءات اللجوء، وهو ملخص يبين المعلومات التي قدمتها صاحبة الشكوى في الفقرات من 2-1 إلى</w:t>
      </w:r>
      <w:r>
        <w:rPr>
          <w:rFonts w:hint="eastAsia"/>
          <w:rtl/>
        </w:rPr>
        <w:t> </w:t>
      </w:r>
      <w:r>
        <w:rPr>
          <w:rFonts w:hint="cs"/>
          <w:rtl/>
        </w:rPr>
        <w:t>2-8 أعلاه. وتشير الدولة الطرف إلى أن صاحبة الشكوى تدعي أمام اللجنة أنها ستتعرض للتوقيف وسوء المعاملة لدى عودتها إلى تركيا، مما يشكل انتهاكاً للمادة 3 من الاتفاقية. وتدعي كذلك أنها تعاني من اضطرابات في الصحة العقلية وأنها معرضة بشكل كبير لخطر الانتحار في حال عودتها. وتدعي الدولة الطرف أن صاحبة الشكوى تستند إلى نفس الوقائع والادعاءات المعروضة على السلطات الوطنية، إلا فيما يتعلق بادعاء إصابتها باضطرابات في الصحة العقلية، ولا تقدم معلومات جديدة تتيح الطعن في قرار المكتب الاتحادي لشؤون الهجرة المؤرخ 19 آذار/مارس 2010 وفي الحكم الصادر عن المحكمة الإدارية الاتحادية بتاريخ 5 آب/أغسطس 2010.</w:t>
      </w:r>
    </w:p>
    <w:p w:rsidR="000241AA" w:rsidRPr="00934829" w:rsidRDefault="000241AA" w:rsidP="000241AA">
      <w:pPr>
        <w:pStyle w:val="SingleTxtGA"/>
        <w:rPr>
          <w:rFonts w:hint="cs"/>
          <w:rtl/>
        </w:rPr>
      </w:pPr>
      <w:r w:rsidRPr="00934829">
        <w:rPr>
          <w:rFonts w:hint="cs"/>
          <w:rtl/>
        </w:rPr>
        <w:t>4-2</w:t>
      </w:r>
      <w:r w:rsidRPr="00934829">
        <w:rPr>
          <w:rFonts w:hint="cs"/>
          <w:rtl/>
        </w:rPr>
        <w:tab/>
        <w:t xml:space="preserve">وتذكر الدولة الطرف أن المادة 3 من الاتفاقية </w:t>
      </w:r>
      <w:r w:rsidRPr="00934829">
        <w:rPr>
          <w:rtl/>
        </w:rPr>
        <w:t xml:space="preserve">لا </w:t>
      </w:r>
      <w:r w:rsidRPr="00934829">
        <w:rPr>
          <w:rFonts w:hint="cs"/>
          <w:rtl/>
        </w:rPr>
        <w:t>تجيز</w:t>
      </w:r>
      <w:r w:rsidRPr="00934829">
        <w:rPr>
          <w:rtl/>
        </w:rPr>
        <w:t xml:space="preserve"> </w:t>
      </w:r>
      <w:r w:rsidRPr="00934829">
        <w:rPr>
          <w:rFonts w:hint="cs"/>
          <w:rtl/>
        </w:rPr>
        <w:t>لل</w:t>
      </w:r>
      <w:r w:rsidRPr="00934829">
        <w:rPr>
          <w:rtl/>
        </w:rPr>
        <w:t>دول</w:t>
      </w:r>
      <w:r w:rsidRPr="00934829">
        <w:rPr>
          <w:rFonts w:hint="cs"/>
          <w:rtl/>
        </w:rPr>
        <w:t xml:space="preserve"> الأطراف أ</w:t>
      </w:r>
      <w:r w:rsidRPr="00934829">
        <w:rPr>
          <w:rtl/>
        </w:rPr>
        <w:t xml:space="preserve">ن تطرد أي شخص أو أن تعيده أو أن تسلمه إلى دولة أخرى، إذا توافرت لديها أسباب حقيقية تدعو إلى الاعتقاد بأنه </w:t>
      </w:r>
      <w:r w:rsidRPr="00934829">
        <w:rPr>
          <w:rFonts w:hint="cs"/>
          <w:rtl/>
        </w:rPr>
        <w:t>سيواجه</w:t>
      </w:r>
      <w:r w:rsidRPr="00934829">
        <w:rPr>
          <w:rtl/>
        </w:rPr>
        <w:t xml:space="preserve"> خطر التعرض للتعذيب</w:t>
      </w:r>
      <w:r w:rsidRPr="00934829">
        <w:rPr>
          <w:rFonts w:hint="cs"/>
          <w:rtl/>
        </w:rPr>
        <w:t xml:space="preserve">. وعند </w:t>
      </w:r>
      <w:r w:rsidRPr="00934829">
        <w:rPr>
          <w:rtl/>
        </w:rPr>
        <w:t xml:space="preserve">تحديد </w:t>
      </w:r>
      <w:r w:rsidRPr="00934829">
        <w:rPr>
          <w:rFonts w:hint="cs"/>
          <w:rtl/>
        </w:rPr>
        <w:t xml:space="preserve">مدى توافر </w:t>
      </w:r>
      <w:r w:rsidRPr="00934829">
        <w:rPr>
          <w:rtl/>
        </w:rPr>
        <w:t>هذه الأسباب، تراعي السلطات المختصة جميع الاعتبارات ذات الصلة، بما في ذلك، في حالة الانطباق، وجود نمط ثابت من الانتهاكات الفادحة أو الصارخة أو الجماعية لحقوق الإنسان في الدولة المعنية</w:t>
      </w:r>
      <w:r w:rsidRPr="00934829">
        <w:rPr>
          <w:rFonts w:hint="cs"/>
          <w:rtl/>
        </w:rPr>
        <w:t>. وتذكَر الدولة الطرف ب</w:t>
      </w:r>
      <w:r w:rsidRPr="00934829">
        <w:rPr>
          <w:rtl/>
        </w:rPr>
        <w:t xml:space="preserve">المعايير التي وضعتها اللجنة في تعليقها العام رقم </w:t>
      </w:r>
      <w:r w:rsidRPr="00934829">
        <w:rPr>
          <w:rFonts w:hint="cs"/>
          <w:rtl/>
        </w:rPr>
        <w:t>1(1997) بشأن تطبيق المادة 3 من الاتفاقية في سياق المادة 22</w:t>
      </w:r>
      <w:r w:rsidRPr="00983D5D">
        <w:rPr>
          <w:rFonts w:hint="cs"/>
          <w:vertAlign w:val="superscript"/>
          <w:rtl/>
        </w:rPr>
        <w:t>(</w:t>
      </w:r>
      <w:r w:rsidRPr="00367067">
        <w:rPr>
          <w:b/>
          <w:color w:val="FFFFFF"/>
          <w:sz w:val="2"/>
          <w:szCs w:val="2"/>
          <w:vertAlign w:val="superscript"/>
          <w:rtl/>
        </w:rPr>
        <w:footnoteReference w:id="164"/>
      </w:r>
      <w:r w:rsidR="00F35EFF" w:rsidRPr="00F35EFF">
        <w:rPr>
          <w:rFonts w:hint="cs"/>
          <w:sz w:val="30"/>
          <w:vertAlign w:val="superscript"/>
          <w:rtl/>
        </w:rPr>
        <w:t>ﻫ</w:t>
      </w:r>
      <w:r w:rsidRPr="00983D5D">
        <w:rPr>
          <w:rFonts w:hint="cs"/>
          <w:vertAlign w:val="superscript"/>
          <w:rtl/>
        </w:rPr>
        <w:t>)</w:t>
      </w:r>
      <w:r w:rsidRPr="00934829">
        <w:rPr>
          <w:rFonts w:hint="cs"/>
          <w:rtl/>
        </w:rPr>
        <w:t xml:space="preserve"> </w:t>
      </w:r>
      <w:r>
        <w:rPr>
          <w:rFonts w:hint="cs"/>
          <w:rtl/>
        </w:rPr>
        <w:t>والتي تقتضي ب</w:t>
      </w:r>
      <w:r w:rsidRPr="00934829">
        <w:rPr>
          <w:rFonts w:hint="cs"/>
          <w:rtl/>
        </w:rPr>
        <w:t xml:space="preserve">أن يثبت </w:t>
      </w:r>
      <w:r>
        <w:rPr>
          <w:rtl/>
        </w:rPr>
        <w:t>صاحب الشكوى</w:t>
      </w:r>
      <w:r w:rsidRPr="00934829">
        <w:rPr>
          <w:rtl/>
        </w:rPr>
        <w:t xml:space="preserve"> أنه </w:t>
      </w:r>
      <w:r w:rsidRPr="00934829">
        <w:rPr>
          <w:rFonts w:hint="cs"/>
          <w:rtl/>
        </w:rPr>
        <w:t>يواجه</w:t>
      </w:r>
      <w:r w:rsidRPr="00934829">
        <w:rPr>
          <w:rtl/>
        </w:rPr>
        <w:t xml:space="preserve"> خطر</w:t>
      </w:r>
      <w:r w:rsidRPr="00934829">
        <w:rPr>
          <w:rFonts w:hint="cs"/>
          <w:rtl/>
        </w:rPr>
        <w:t>اً</w:t>
      </w:r>
      <w:r w:rsidRPr="00934829">
        <w:rPr>
          <w:rtl/>
        </w:rPr>
        <w:t xml:space="preserve"> شخصي</w:t>
      </w:r>
      <w:r w:rsidRPr="00934829">
        <w:rPr>
          <w:rFonts w:hint="cs"/>
          <w:rtl/>
        </w:rPr>
        <w:t>اً</w:t>
      </w:r>
      <w:r w:rsidRPr="00934829">
        <w:rPr>
          <w:rtl/>
        </w:rPr>
        <w:t xml:space="preserve"> و</w:t>
      </w:r>
      <w:r w:rsidRPr="00934829">
        <w:rPr>
          <w:rFonts w:hint="cs"/>
          <w:rtl/>
        </w:rPr>
        <w:t>محدقاً وجوهرياً</w:t>
      </w:r>
      <w:r w:rsidRPr="00934829">
        <w:rPr>
          <w:rtl/>
        </w:rPr>
        <w:t xml:space="preserve"> بأن يتعرض للتعذيب في حال</w:t>
      </w:r>
      <w:r w:rsidRPr="00934829">
        <w:rPr>
          <w:rFonts w:hint="cs"/>
          <w:rtl/>
        </w:rPr>
        <w:t xml:space="preserve"> تم ترحيله </w:t>
      </w:r>
      <w:r w:rsidRPr="00934829">
        <w:rPr>
          <w:rtl/>
        </w:rPr>
        <w:t>إلى بلده الأصلي.</w:t>
      </w:r>
      <w:r>
        <w:rPr>
          <w:rtl/>
        </w:rPr>
        <w:t xml:space="preserve"> </w:t>
      </w:r>
      <w:r w:rsidRPr="00934829">
        <w:rPr>
          <w:rFonts w:hint="cs"/>
          <w:rtl/>
        </w:rPr>
        <w:t>و</w:t>
      </w:r>
      <w:r w:rsidRPr="00934829">
        <w:rPr>
          <w:rtl/>
        </w:rPr>
        <w:t xml:space="preserve">يجب </w:t>
      </w:r>
      <w:r w:rsidRPr="00934829">
        <w:rPr>
          <w:rFonts w:hint="cs"/>
          <w:rtl/>
        </w:rPr>
        <w:t>تقييم</w:t>
      </w:r>
      <w:r w:rsidRPr="00934829">
        <w:rPr>
          <w:rtl/>
        </w:rPr>
        <w:t xml:space="preserve"> </w:t>
      </w:r>
      <w:r w:rsidRPr="00934829">
        <w:rPr>
          <w:rFonts w:hint="cs"/>
          <w:rtl/>
        </w:rPr>
        <w:t>هذا ال</w:t>
      </w:r>
      <w:r w:rsidRPr="00934829">
        <w:rPr>
          <w:rtl/>
        </w:rPr>
        <w:t xml:space="preserve">خطر على أسس تتجاوز مجرد الافتراض أو </w:t>
      </w:r>
      <w:r w:rsidRPr="00934829">
        <w:rPr>
          <w:rFonts w:hint="cs"/>
          <w:rtl/>
        </w:rPr>
        <w:t>الشك؛</w:t>
      </w:r>
      <w:r w:rsidRPr="00934829">
        <w:rPr>
          <w:rtl/>
        </w:rPr>
        <w:t xml:space="preserve"> </w:t>
      </w:r>
      <w:r w:rsidRPr="00934829">
        <w:rPr>
          <w:rFonts w:hint="cs"/>
          <w:rtl/>
        </w:rPr>
        <w:t>ومن الضروري أن تظهر الوقائع المزعومة أن هذا الخطر حقيقي</w:t>
      </w:r>
      <w:r w:rsidRPr="00934829">
        <w:rPr>
          <w:rtl/>
        </w:rPr>
        <w:t>. و</w:t>
      </w:r>
      <w:r w:rsidRPr="00934829">
        <w:rPr>
          <w:rFonts w:hint="cs"/>
          <w:rtl/>
        </w:rPr>
        <w:t>تذكر الدولة الطرف بأن الفقرة</w:t>
      </w:r>
      <w:r>
        <w:rPr>
          <w:rFonts w:hint="eastAsia"/>
          <w:rtl/>
        </w:rPr>
        <w:t> </w:t>
      </w:r>
      <w:r w:rsidRPr="00934829">
        <w:rPr>
          <w:rFonts w:hint="cs"/>
          <w:rtl/>
        </w:rPr>
        <w:t>8 من تعليق اللجنة العام تنص في جملة أمور، على وضع المعلومات التالية</w:t>
      </w:r>
      <w:r w:rsidRPr="00934829">
        <w:rPr>
          <w:rtl/>
        </w:rPr>
        <w:t xml:space="preserve"> </w:t>
      </w:r>
      <w:r w:rsidRPr="00934829">
        <w:rPr>
          <w:rFonts w:hint="cs"/>
          <w:rtl/>
        </w:rPr>
        <w:t xml:space="preserve">في الاعتبار عند تقييم المخاطر </w:t>
      </w:r>
      <w:r w:rsidRPr="00934829">
        <w:rPr>
          <w:rtl/>
        </w:rPr>
        <w:t xml:space="preserve">المترتبة على </w:t>
      </w:r>
      <w:r w:rsidRPr="00934829">
        <w:rPr>
          <w:rFonts w:hint="cs"/>
          <w:rtl/>
        </w:rPr>
        <w:t>طرد</w:t>
      </w:r>
      <w:r w:rsidRPr="00934829">
        <w:rPr>
          <w:rtl/>
        </w:rPr>
        <w:t xml:space="preserve"> شخص ما: </w:t>
      </w:r>
      <w:r w:rsidRPr="00934829">
        <w:rPr>
          <w:rFonts w:hint="cs"/>
          <w:rtl/>
        </w:rPr>
        <w:t>الأدلة على وجود</w:t>
      </w:r>
      <w:r w:rsidRPr="00934829">
        <w:rPr>
          <w:rtl/>
        </w:rPr>
        <w:t xml:space="preserve"> نمط ثابت من الانتهاكات الفادحة أو الصارخة أو الجماعية لحقوق الإنسان في الدولة المعنية</w:t>
      </w:r>
      <w:r w:rsidRPr="00934829">
        <w:rPr>
          <w:rFonts w:hint="cs"/>
          <w:rtl/>
        </w:rPr>
        <w:t>؛ وورود ادعاءات تتعلق بالتعرض للتعذيب أو سوء المعاملة في الماضي القريب فضلاً عن وجود أدلة مستقاة من مصادر مستقلة بهذا الشأن؛</w:t>
      </w:r>
      <w:r w:rsidRPr="00934829">
        <w:rPr>
          <w:rtl/>
        </w:rPr>
        <w:t xml:space="preserve"> </w:t>
      </w:r>
      <w:r w:rsidRPr="00934829">
        <w:rPr>
          <w:rFonts w:hint="cs"/>
          <w:rtl/>
        </w:rPr>
        <w:t xml:space="preserve">وممارسة </w:t>
      </w:r>
      <w:r w:rsidRPr="00934829">
        <w:rPr>
          <w:rtl/>
        </w:rPr>
        <w:t>صاحب الشكوى لأنشطة سياسية داخل وخارج بلده الأصلي</w:t>
      </w:r>
      <w:r w:rsidRPr="00934829">
        <w:rPr>
          <w:rFonts w:hint="cs"/>
          <w:rtl/>
        </w:rPr>
        <w:t>؛ ووجود أدلة على مصداقية صاحب الشكوى؛ ووجود عدم اتساق في الوقائع الواردة في ادعاء صاحب الشكوى.</w:t>
      </w:r>
    </w:p>
    <w:p w:rsidR="000241AA" w:rsidRPr="0041161E" w:rsidRDefault="000241AA" w:rsidP="00F35EFF">
      <w:pPr>
        <w:pStyle w:val="SingleTxtGA"/>
        <w:rPr>
          <w:rFonts w:hint="cs"/>
          <w:rtl/>
        </w:rPr>
      </w:pPr>
      <w:r w:rsidRPr="0041161E">
        <w:rPr>
          <w:rFonts w:hint="cs"/>
          <w:rtl/>
        </w:rPr>
        <w:t>4-3</w:t>
      </w:r>
      <w:r>
        <w:rPr>
          <w:rFonts w:hint="cs"/>
          <w:rtl/>
        </w:rPr>
        <w:tab/>
        <w:t>ولتحديد ما إذا كانت هناك</w:t>
      </w:r>
      <w:r w:rsidRPr="0041161E">
        <w:rPr>
          <w:rFonts w:hint="cs"/>
          <w:rtl/>
        </w:rPr>
        <w:t xml:space="preserve"> أسباب </w:t>
      </w:r>
      <w:r>
        <w:rPr>
          <w:rFonts w:hint="cs"/>
          <w:rtl/>
        </w:rPr>
        <w:t>جدية</w:t>
      </w:r>
      <w:r w:rsidRPr="0041161E">
        <w:rPr>
          <w:rFonts w:hint="cs"/>
          <w:rtl/>
        </w:rPr>
        <w:t xml:space="preserve"> تدعو إلى الاعتقاد باحتمال تعرض صاحب </w:t>
      </w:r>
      <w:r>
        <w:rPr>
          <w:rFonts w:hint="cs"/>
          <w:rtl/>
        </w:rPr>
        <w:t>ال</w:t>
      </w:r>
      <w:r w:rsidRPr="0041161E">
        <w:rPr>
          <w:rFonts w:hint="cs"/>
          <w:rtl/>
        </w:rPr>
        <w:t>شكوى لخطر التعذيب في حال إعادته قسرا</w:t>
      </w:r>
      <w:r>
        <w:rPr>
          <w:rFonts w:hint="cs"/>
          <w:rtl/>
        </w:rPr>
        <w:t>ً</w:t>
      </w:r>
      <w:r w:rsidRPr="0041161E">
        <w:rPr>
          <w:rFonts w:hint="cs"/>
          <w:rtl/>
        </w:rPr>
        <w:t xml:space="preserve">، </w:t>
      </w:r>
      <w:r>
        <w:rPr>
          <w:rFonts w:hint="cs"/>
          <w:rtl/>
        </w:rPr>
        <w:t>يجب على</w:t>
      </w:r>
      <w:r w:rsidRPr="0041161E">
        <w:rPr>
          <w:rFonts w:hint="cs"/>
          <w:rtl/>
        </w:rPr>
        <w:t xml:space="preserve"> اللجنة أن تراعي جميع الاعتبارات ذات الصلة</w:t>
      </w:r>
      <w:r w:rsidRPr="0041161E">
        <w:rPr>
          <w:rtl/>
        </w:rPr>
        <w:t xml:space="preserve">، وبخاصة وجود نمط ثابت من الانتهاكات الفادحة </w:t>
      </w:r>
      <w:r>
        <w:rPr>
          <w:rFonts w:hint="cs"/>
          <w:rtl/>
        </w:rPr>
        <w:t>أ</w:t>
      </w:r>
      <w:r w:rsidRPr="0041161E">
        <w:rPr>
          <w:rtl/>
        </w:rPr>
        <w:t>و</w:t>
      </w:r>
      <w:r>
        <w:rPr>
          <w:rFonts w:hint="cs"/>
          <w:rtl/>
        </w:rPr>
        <w:t xml:space="preserve"> </w:t>
      </w:r>
      <w:r w:rsidRPr="0041161E">
        <w:rPr>
          <w:rtl/>
        </w:rPr>
        <w:t xml:space="preserve">الصارخة </w:t>
      </w:r>
      <w:r w:rsidRPr="00F35EFF">
        <w:rPr>
          <w:rFonts w:hint="cs"/>
          <w:spacing w:val="-2"/>
          <w:rtl/>
        </w:rPr>
        <w:t>أ</w:t>
      </w:r>
      <w:r w:rsidRPr="00F35EFF">
        <w:rPr>
          <w:spacing w:val="-2"/>
          <w:rtl/>
        </w:rPr>
        <w:t>و</w:t>
      </w:r>
      <w:r w:rsidR="00F35EFF" w:rsidRPr="00F35EFF">
        <w:rPr>
          <w:rFonts w:hint="eastAsia"/>
          <w:spacing w:val="-2"/>
          <w:rtl/>
        </w:rPr>
        <w:t> </w:t>
      </w:r>
      <w:r w:rsidRPr="00F35EFF">
        <w:rPr>
          <w:spacing w:val="-2"/>
          <w:rtl/>
        </w:rPr>
        <w:t xml:space="preserve">الجماعية لحقوق الإنسان في الدولة </w:t>
      </w:r>
      <w:r w:rsidRPr="00F35EFF">
        <w:rPr>
          <w:rFonts w:hint="cs"/>
          <w:spacing w:val="-2"/>
          <w:rtl/>
        </w:rPr>
        <w:t>المستقبلة. غير أن الهدف من التقييم هو تحديد ما إذا كان صاحب الشكوى سيواجه شخصياً خطر التعذيب في بلد العودة. و</w:t>
      </w:r>
      <w:r w:rsidRPr="00F35EFF">
        <w:rPr>
          <w:spacing w:val="-2"/>
          <w:rtl/>
        </w:rPr>
        <w:t>وجود نمط ثابت من</w:t>
      </w:r>
      <w:r w:rsidRPr="0041161E">
        <w:rPr>
          <w:rtl/>
        </w:rPr>
        <w:t xml:space="preserve"> الانتهاكات الفادحة </w:t>
      </w:r>
      <w:r>
        <w:rPr>
          <w:rFonts w:hint="cs"/>
          <w:rtl/>
        </w:rPr>
        <w:t>أ</w:t>
      </w:r>
      <w:r w:rsidRPr="0041161E">
        <w:rPr>
          <w:rtl/>
        </w:rPr>
        <w:t>و</w:t>
      </w:r>
      <w:r>
        <w:rPr>
          <w:rFonts w:hint="cs"/>
          <w:rtl/>
        </w:rPr>
        <w:t xml:space="preserve"> </w:t>
      </w:r>
      <w:r w:rsidRPr="0041161E">
        <w:rPr>
          <w:rtl/>
        </w:rPr>
        <w:t xml:space="preserve">الصارخة </w:t>
      </w:r>
      <w:r>
        <w:rPr>
          <w:rFonts w:hint="cs"/>
          <w:rtl/>
        </w:rPr>
        <w:t>أ</w:t>
      </w:r>
      <w:r w:rsidRPr="0041161E">
        <w:rPr>
          <w:rtl/>
        </w:rPr>
        <w:t>و</w:t>
      </w:r>
      <w:r>
        <w:rPr>
          <w:rFonts w:hint="cs"/>
          <w:rtl/>
        </w:rPr>
        <w:t xml:space="preserve"> </w:t>
      </w:r>
      <w:r w:rsidRPr="0041161E">
        <w:rPr>
          <w:rtl/>
        </w:rPr>
        <w:t xml:space="preserve">الجماعية لحقوق الإنسان </w:t>
      </w:r>
      <w:r>
        <w:rPr>
          <w:rFonts w:hint="cs"/>
          <w:rtl/>
        </w:rPr>
        <w:t xml:space="preserve">ليس </w:t>
      </w:r>
      <w:r w:rsidRPr="0041161E">
        <w:rPr>
          <w:rtl/>
        </w:rPr>
        <w:t xml:space="preserve">في </w:t>
      </w:r>
      <w:r w:rsidRPr="0041161E">
        <w:rPr>
          <w:rFonts w:hint="cs"/>
          <w:rtl/>
        </w:rPr>
        <w:t>حد ذاته سبب</w:t>
      </w:r>
      <w:r>
        <w:rPr>
          <w:rFonts w:hint="cs"/>
          <w:rtl/>
        </w:rPr>
        <w:t xml:space="preserve">اً </w:t>
      </w:r>
      <w:r w:rsidRPr="0041161E">
        <w:rPr>
          <w:rFonts w:hint="cs"/>
          <w:rtl/>
        </w:rPr>
        <w:t>كافي</w:t>
      </w:r>
      <w:r>
        <w:rPr>
          <w:rFonts w:hint="cs"/>
          <w:rtl/>
        </w:rPr>
        <w:t xml:space="preserve">اً </w:t>
      </w:r>
      <w:r w:rsidRPr="0041161E">
        <w:rPr>
          <w:rFonts w:hint="cs"/>
          <w:rtl/>
        </w:rPr>
        <w:t xml:space="preserve">يدعو </w:t>
      </w:r>
      <w:r>
        <w:rPr>
          <w:rFonts w:hint="cs"/>
          <w:rtl/>
        </w:rPr>
        <w:t>إلى ا</w:t>
      </w:r>
      <w:r w:rsidRPr="0041161E">
        <w:rPr>
          <w:rFonts w:hint="cs"/>
          <w:rtl/>
        </w:rPr>
        <w:t>لاعتقاد بأن الشخص سيتعرض للتعذيب لدى عودته إلى بلده الأصلي، ولا بد من تو</w:t>
      </w:r>
      <w:r>
        <w:rPr>
          <w:rFonts w:hint="cs"/>
          <w:rtl/>
        </w:rPr>
        <w:t>ا</w:t>
      </w:r>
      <w:r w:rsidRPr="0041161E">
        <w:rPr>
          <w:rFonts w:hint="cs"/>
          <w:rtl/>
        </w:rPr>
        <w:t xml:space="preserve">فر أسباب إضافية </w:t>
      </w:r>
      <w:r w:rsidRPr="0041161E">
        <w:rPr>
          <w:rtl/>
        </w:rPr>
        <w:t xml:space="preserve">لكي </w:t>
      </w:r>
      <w:r>
        <w:rPr>
          <w:rFonts w:hint="cs"/>
          <w:rtl/>
        </w:rPr>
        <w:t>ينطبق على خطر التعذيب، بالمعنى المقصود في المادة 3 وصف</w:t>
      </w:r>
      <w:r w:rsidRPr="0041161E">
        <w:rPr>
          <w:rtl/>
        </w:rPr>
        <w:t xml:space="preserve"> </w:t>
      </w:r>
      <w:r w:rsidRPr="0071050F">
        <w:rPr>
          <w:i/>
          <w:iCs/>
          <w:rtl/>
        </w:rPr>
        <w:t>"</w:t>
      </w:r>
      <w:r>
        <w:rPr>
          <w:i/>
          <w:iCs/>
          <w:rtl/>
        </w:rPr>
        <w:t>خ</w:t>
      </w:r>
      <w:r>
        <w:rPr>
          <w:rFonts w:hint="cs"/>
          <w:i/>
          <w:iCs/>
          <w:rtl/>
        </w:rPr>
        <w:t>طر</w:t>
      </w:r>
      <w:r>
        <w:rPr>
          <w:i/>
          <w:iCs/>
          <w:rtl/>
        </w:rPr>
        <w:t xml:space="preserve"> متوق</w:t>
      </w:r>
      <w:r>
        <w:rPr>
          <w:rFonts w:hint="cs"/>
          <w:i/>
          <w:iCs/>
          <w:rtl/>
        </w:rPr>
        <w:t>ع</w:t>
      </w:r>
      <w:r>
        <w:rPr>
          <w:i/>
          <w:iCs/>
          <w:rtl/>
        </w:rPr>
        <w:t xml:space="preserve"> وحقيقي وشخصي</w:t>
      </w:r>
      <w:r w:rsidRPr="0071050F">
        <w:rPr>
          <w:rFonts w:hint="cs"/>
          <w:i/>
          <w:iCs/>
          <w:rtl/>
        </w:rPr>
        <w:t>"</w:t>
      </w:r>
      <w:r w:rsidRPr="00B3437C">
        <w:rPr>
          <w:rFonts w:hint="cs"/>
          <w:vertAlign w:val="superscript"/>
          <w:rtl/>
        </w:rPr>
        <w:t>(</w:t>
      </w:r>
      <w:r w:rsidRPr="00B3437C">
        <w:rPr>
          <w:rStyle w:val="FootnoteReference"/>
          <w:rtl/>
        </w:rPr>
        <w:footnoteReference w:id="165"/>
      </w:r>
      <w:r w:rsidRPr="00B3437C">
        <w:rPr>
          <w:rFonts w:hint="cs"/>
          <w:vertAlign w:val="superscript"/>
          <w:rtl/>
        </w:rPr>
        <w:t>)</w:t>
      </w:r>
      <w:r w:rsidRPr="0041161E">
        <w:rPr>
          <w:rFonts w:hint="cs"/>
          <w:rtl/>
        </w:rPr>
        <w:t xml:space="preserve">. </w:t>
      </w:r>
      <w:r>
        <w:rPr>
          <w:rFonts w:hint="cs"/>
          <w:rtl/>
        </w:rPr>
        <w:t>وفي المقابل، وكما ذكرت اللجنة في قراراتها السابقة</w:t>
      </w:r>
      <w:r w:rsidRPr="0041161E">
        <w:rPr>
          <w:rFonts w:hint="cs"/>
          <w:rtl/>
        </w:rPr>
        <w:t xml:space="preserve">، لا يعني عدم وجود نمط ثابت من الانتهاكات الفادحة </w:t>
      </w:r>
      <w:r w:rsidRPr="0041161E">
        <w:rPr>
          <w:rtl/>
        </w:rPr>
        <w:t>لحقوق الإنسان</w:t>
      </w:r>
      <w:r w:rsidRPr="0041161E">
        <w:rPr>
          <w:rFonts w:hint="cs"/>
          <w:rtl/>
        </w:rPr>
        <w:t xml:space="preserve"> أن الشخص قد لا</w:t>
      </w:r>
      <w:r>
        <w:rPr>
          <w:rFonts w:hint="eastAsia"/>
          <w:rtl/>
        </w:rPr>
        <w:t> </w:t>
      </w:r>
      <w:r w:rsidRPr="0041161E">
        <w:rPr>
          <w:rFonts w:hint="cs"/>
          <w:rtl/>
        </w:rPr>
        <w:t xml:space="preserve">يتعرض للتعذيب في </w:t>
      </w:r>
      <w:r>
        <w:rPr>
          <w:rFonts w:hint="cs"/>
          <w:rtl/>
        </w:rPr>
        <w:t>ال</w:t>
      </w:r>
      <w:r w:rsidRPr="0041161E">
        <w:rPr>
          <w:rFonts w:hint="cs"/>
          <w:rtl/>
        </w:rPr>
        <w:t>ظروف الخاصة</w:t>
      </w:r>
      <w:r>
        <w:rPr>
          <w:rFonts w:hint="cs"/>
          <w:rtl/>
        </w:rPr>
        <w:t xml:space="preserve"> به</w:t>
      </w:r>
      <w:r w:rsidRPr="00620B3B">
        <w:rPr>
          <w:rFonts w:hint="cs"/>
          <w:vertAlign w:val="superscript"/>
          <w:rtl/>
        </w:rPr>
        <w:t>(</w:t>
      </w:r>
      <w:r w:rsidRPr="00620B3B">
        <w:rPr>
          <w:rStyle w:val="FootnoteReference"/>
          <w:rtl/>
        </w:rPr>
        <w:footnoteReference w:id="166"/>
      </w:r>
      <w:r w:rsidRPr="00620B3B">
        <w:rPr>
          <w:rFonts w:hint="cs"/>
          <w:vertAlign w:val="superscript"/>
          <w:rtl/>
        </w:rPr>
        <w:t>)</w:t>
      </w:r>
      <w:r>
        <w:rPr>
          <w:rFonts w:hint="cs"/>
          <w:rtl/>
        </w:rPr>
        <w:t>.</w:t>
      </w:r>
    </w:p>
    <w:p w:rsidR="000241AA" w:rsidRPr="008D3AAB" w:rsidRDefault="000241AA" w:rsidP="000241AA">
      <w:pPr>
        <w:pStyle w:val="SingleTxtGA"/>
        <w:rPr>
          <w:rFonts w:hint="cs"/>
          <w:rtl/>
        </w:rPr>
      </w:pPr>
      <w:r>
        <w:rPr>
          <w:rFonts w:hint="cs"/>
          <w:rtl/>
        </w:rPr>
        <w:t>4-4</w:t>
      </w:r>
      <w:r>
        <w:rPr>
          <w:rFonts w:hint="cs"/>
          <w:rtl/>
        </w:rPr>
        <w:tab/>
      </w:r>
      <w:r w:rsidRPr="008D3AAB">
        <w:rPr>
          <w:rFonts w:hint="cs"/>
          <w:rtl/>
        </w:rPr>
        <w:t xml:space="preserve">وتفيد الدولة الطرف بأن اللجنة تسنى لها بالفعل أن تنظر في بلاغات لمتظلمين من أصل كردي ادعوا أنهم سيتعرضون </w:t>
      </w:r>
      <w:r>
        <w:rPr>
          <w:rFonts w:hint="cs"/>
          <w:rtl/>
        </w:rPr>
        <w:t>للتعذيب إذا أعيدوا إلى تركيا. و</w:t>
      </w:r>
      <w:r w:rsidRPr="008D3AAB">
        <w:rPr>
          <w:rFonts w:hint="cs"/>
          <w:rtl/>
        </w:rPr>
        <w:t>لاحظت اللجنة في هذه الحالات، أن حالة حقوق الإنسان في تركيا تدعو إلى القلق لا سيما بالنسبة للناشطين في</w:t>
      </w:r>
      <w:r w:rsidRPr="008D3AAB">
        <w:rPr>
          <w:rFonts w:hint="eastAsia"/>
          <w:rtl/>
        </w:rPr>
        <w:t> </w:t>
      </w:r>
      <w:r w:rsidRPr="008D3AAB">
        <w:rPr>
          <w:rFonts w:hint="cs"/>
          <w:rtl/>
        </w:rPr>
        <w:t>حزب العمال الكردستاني. ومع ذلك، خلصت اللجنة إلى أن خطر تعرض صاحب شكوى بعينه للتعذيب عند عودته إلى تركيا لا يعد خطر</w:t>
      </w:r>
      <w:r>
        <w:rPr>
          <w:rFonts w:hint="cs"/>
          <w:rtl/>
        </w:rPr>
        <w:t xml:space="preserve">اً </w:t>
      </w:r>
      <w:r w:rsidRPr="008D3AAB">
        <w:rPr>
          <w:rFonts w:hint="cs"/>
          <w:rtl/>
        </w:rPr>
        <w:t>حقيقي</w:t>
      </w:r>
      <w:r>
        <w:rPr>
          <w:rFonts w:hint="cs"/>
          <w:rtl/>
        </w:rPr>
        <w:t xml:space="preserve">اً </w:t>
      </w:r>
      <w:r w:rsidRPr="008D3AAB">
        <w:rPr>
          <w:rFonts w:hint="cs"/>
          <w:rtl/>
        </w:rPr>
        <w:t>وشخصي</w:t>
      </w:r>
      <w:r>
        <w:rPr>
          <w:rFonts w:hint="cs"/>
          <w:rtl/>
        </w:rPr>
        <w:t xml:space="preserve">اً </w:t>
      </w:r>
      <w:r w:rsidRPr="008D3AAB">
        <w:rPr>
          <w:rFonts w:hint="cs"/>
          <w:rtl/>
        </w:rPr>
        <w:t>ما لم يتسن إثبات وقائع فردية إضافية، لا سيما أهمية الأنشطة السياسية التي يقوم بها لصالح حزب العمال الكردستاني، واحتمال وجود دوافع سياسية وراء ملاحقته جنائي</w:t>
      </w:r>
      <w:r>
        <w:rPr>
          <w:rFonts w:hint="cs"/>
          <w:rtl/>
        </w:rPr>
        <w:t xml:space="preserve">اً </w:t>
      </w:r>
      <w:r w:rsidRPr="008D3AAB">
        <w:rPr>
          <w:rFonts w:hint="cs"/>
          <w:rtl/>
        </w:rPr>
        <w:t>وتحديد ما إذا كان صاحب الشكوى قد تعرض للتعذيب في الماضي</w:t>
      </w:r>
      <w:r w:rsidRPr="008D3AAB">
        <w:rPr>
          <w:rFonts w:hint="cs"/>
          <w:vertAlign w:val="superscript"/>
          <w:rtl/>
        </w:rPr>
        <w:t>(</w:t>
      </w:r>
      <w:r w:rsidRPr="008D3AAB">
        <w:rPr>
          <w:rStyle w:val="FootnoteReference"/>
          <w:rtl/>
        </w:rPr>
        <w:footnoteReference w:id="167"/>
      </w:r>
      <w:r w:rsidRPr="008D3AAB">
        <w:rPr>
          <w:rFonts w:hint="cs"/>
          <w:vertAlign w:val="superscript"/>
          <w:rtl/>
        </w:rPr>
        <w:t>)</w:t>
      </w:r>
      <w:r w:rsidRPr="008D3AAB">
        <w:rPr>
          <w:rFonts w:hint="cs"/>
          <w:rtl/>
        </w:rPr>
        <w:t>. وفيما يتعلق بالأنشطة السياسية أو أعمال الاضطهاد التي حدثت في الماضي، أولت اللجنة اهتمام</w:t>
      </w:r>
      <w:r>
        <w:rPr>
          <w:rFonts w:hint="cs"/>
          <w:rtl/>
        </w:rPr>
        <w:t xml:space="preserve">اً </w:t>
      </w:r>
      <w:r w:rsidRPr="008D3AAB">
        <w:rPr>
          <w:rFonts w:hint="cs"/>
          <w:rtl/>
        </w:rPr>
        <w:t>كبير</w:t>
      </w:r>
      <w:r>
        <w:rPr>
          <w:rFonts w:hint="cs"/>
          <w:rtl/>
        </w:rPr>
        <w:t xml:space="preserve">اً </w:t>
      </w:r>
      <w:r w:rsidRPr="008D3AAB">
        <w:rPr>
          <w:rFonts w:hint="cs"/>
          <w:rtl/>
        </w:rPr>
        <w:t>لتحديد حدوثها في الآونة الأخيرة من عدمه</w:t>
      </w:r>
      <w:r w:rsidRPr="008D3AAB">
        <w:rPr>
          <w:rFonts w:hint="cs"/>
          <w:vertAlign w:val="superscript"/>
          <w:rtl/>
        </w:rPr>
        <w:t>(</w:t>
      </w:r>
      <w:r w:rsidRPr="008D3AAB">
        <w:rPr>
          <w:rStyle w:val="FootnoteReference"/>
          <w:rtl/>
        </w:rPr>
        <w:footnoteReference w:id="168"/>
      </w:r>
      <w:r w:rsidRPr="008D3AAB">
        <w:rPr>
          <w:rFonts w:hint="cs"/>
          <w:vertAlign w:val="superscript"/>
          <w:rtl/>
        </w:rPr>
        <w:t>)</w:t>
      </w:r>
      <w:r w:rsidRPr="008D3AAB">
        <w:rPr>
          <w:rFonts w:hint="cs"/>
          <w:rtl/>
        </w:rPr>
        <w:t>.</w:t>
      </w:r>
    </w:p>
    <w:p w:rsidR="000241AA" w:rsidRPr="008224A9" w:rsidRDefault="000241AA" w:rsidP="00F35EFF">
      <w:pPr>
        <w:pStyle w:val="SingleTxtGA"/>
        <w:spacing w:line="370" w:lineRule="exact"/>
        <w:rPr>
          <w:rFonts w:hint="cs"/>
        </w:rPr>
      </w:pPr>
      <w:r w:rsidRPr="008224A9">
        <w:rPr>
          <w:rFonts w:hint="cs"/>
          <w:rtl/>
        </w:rPr>
        <w:t>4-5</w:t>
      </w:r>
      <w:r w:rsidRPr="008224A9">
        <w:rPr>
          <w:rFonts w:hint="cs"/>
          <w:rtl/>
        </w:rPr>
        <w:tab/>
        <w:t>وتدعي الدولة الطرف أن صاحبة الشكوى لم تثبت أنها ستواجه شخصي</w:t>
      </w:r>
      <w:r>
        <w:rPr>
          <w:rFonts w:hint="cs"/>
          <w:rtl/>
        </w:rPr>
        <w:t xml:space="preserve">اً </w:t>
      </w:r>
      <w:r w:rsidRPr="008224A9">
        <w:rPr>
          <w:rFonts w:hint="cs"/>
          <w:rtl/>
        </w:rPr>
        <w:t>خطر</w:t>
      </w:r>
      <w:r>
        <w:rPr>
          <w:rFonts w:hint="cs"/>
          <w:rtl/>
        </w:rPr>
        <w:t xml:space="preserve">اً </w:t>
      </w:r>
      <w:r w:rsidRPr="008224A9">
        <w:rPr>
          <w:rFonts w:hint="cs"/>
          <w:rtl/>
        </w:rPr>
        <w:t>متوقع</w:t>
      </w:r>
      <w:r>
        <w:rPr>
          <w:rFonts w:hint="cs"/>
          <w:rtl/>
        </w:rPr>
        <w:t xml:space="preserve">اً </w:t>
      </w:r>
      <w:r w:rsidRPr="008224A9">
        <w:rPr>
          <w:rFonts w:hint="cs"/>
          <w:rtl/>
        </w:rPr>
        <w:t>وحقيقي</w:t>
      </w:r>
      <w:r>
        <w:rPr>
          <w:rFonts w:hint="cs"/>
          <w:rtl/>
        </w:rPr>
        <w:t xml:space="preserve">اً </w:t>
      </w:r>
      <w:r w:rsidRPr="008224A9">
        <w:rPr>
          <w:rFonts w:hint="cs"/>
          <w:rtl/>
        </w:rPr>
        <w:t>بالتعرض للتعذيب إذا عادت إلى تركيا. والتعذيب أو سوء المعاملة الذي تعرضت له في الماضي بحسب ادعائها، يدخل ضمن العناصر التي ينبغي مراعاتها عند تقييم خطر التعرض للتعذيب أو</w:t>
      </w:r>
      <w:r>
        <w:rPr>
          <w:rFonts w:hint="cs"/>
          <w:rtl/>
        </w:rPr>
        <w:t xml:space="preserve"> </w:t>
      </w:r>
      <w:r w:rsidRPr="008224A9">
        <w:rPr>
          <w:rFonts w:hint="cs"/>
          <w:rtl/>
        </w:rPr>
        <w:t>سوء المعاملة في حالة العودة. فصاحبة الشكوى تدعي أن السلطات التركية أساءت معاملتها أثناء احتجازها لمدة أسبوع في شباط/فبراير 1998. ولم</w:t>
      </w:r>
      <w:r w:rsidR="00F35EFF">
        <w:rPr>
          <w:rFonts w:hint="eastAsia"/>
          <w:rtl/>
        </w:rPr>
        <w:t> </w:t>
      </w:r>
      <w:r w:rsidRPr="008224A9">
        <w:rPr>
          <w:rFonts w:hint="cs"/>
          <w:rtl/>
        </w:rPr>
        <w:t>تطعن السلطات السويسرية في صحة إلقاء القبض على صاحبة الشكوى عام 1998، لكنها لاحظت أن هذه الحادثة مر عليها أكثر من عشر سنوات. وبعد أن درست السلطات السويسرية وضع صاحبة الشكوى حاليا، رأت أنها لم تثبت وجود علاقة سببية بين أحداث عام 1998 وهروبها المزعوم من البلاد في عام 2008، وخلصت إلى أنها لا تواجه حالي</w:t>
      </w:r>
      <w:r>
        <w:rPr>
          <w:rFonts w:hint="cs"/>
          <w:rtl/>
        </w:rPr>
        <w:t xml:space="preserve">اً </w:t>
      </w:r>
      <w:r w:rsidRPr="008224A9">
        <w:rPr>
          <w:rFonts w:hint="cs"/>
          <w:rtl/>
        </w:rPr>
        <w:t>خطر التعرض للاضطهاد في حال عودتها إلى اسطنبول. وبالإضافة إلى ذلك، تذكِّر الدولة الطرف بأن احتمال تعرض صاحبة الشكوى لسوء المعاملة في الماضي، لا يعد في عرف اللجنة، دليل</w:t>
      </w:r>
      <w:r>
        <w:rPr>
          <w:rFonts w:hint="cs"/>
          <w:rtl/>
        </w:rPr>
        <w:t xml:space="preserve">اً </w:t>
      </w:r>
      <w:r w:rsidRPr="008224A9">
        <w:rPr>
          <w:rFonts w:hint="cs"/>
          <w:rtl/>
        </w:rPr>
        <w:t>ع</w:t>
      </w:r>
      <w:r>
        <w:rPr>
          <w:rFonts w:hint="cs"/>
          <w:rtl/>
        </w:rPr>
        <w:t>لى وجود خطر في الوقت الحالي</w:t>
      </w:r>
      <w:r w:rsidRPr="008224A9">
        <w:rPr>
          <w:rFonts w:hint="cs"/>
          <w:rtl/>
        </w:rPr>
        <w:t xml:space="preserve"> بتعرضها للتعذيب في حال عادت خصوص</w:t>
      </w:r>
      <w:r>
        <w:rPr>
          <w:rFonts w:hint="cs"/>
          <w:rtl/>
        </w:rPr>
        <w:t xml:space="preserve">اً </w:t>
      </w:r>
      <w:r w:rsidRPr="008224A9">
        <w:rPr>
          <w:rFonts w:hint="cs"/>
          <w:rtl/>
        </w:rPr>
        <w:t>إذا لم تكن تلك الأعمال قد ارتكبت منذ عهد قريب</w:t>
      </w:r>
      <w:r w:rsidRPr="00071149">
        <w:rPr>
          <w:rFonts w:hint="cs"/>
          <w:vertAlign w:val="superscript"/>
          <w:rtl/>
        </w:rPr>
        <w:t>(</w:t>
      </w:r>
      <w:r w:rsidRPr="00071149">
        <w:rPr>
          <w:vertAlign w:val="superscript"/>
          <w:rtl/>
        </w:rPr>
        <w:footnoteReference w:id="169"/>
      </w:r>
      <w:r w:rsidRPr="00071149">
        <w:rPr>
          <w:rFonts w:hint="cs"/>
          <w:vertAlign w:val="superscript"/>
          <w:rtl/>
        </w:rPr>
        <w:t>)</w:t>
      </w:r>
      <w:r>
        <w:rPr>
          <w:rFonts w:hint="cs"/>
          <w:rtl/>
        </w:rPr>
        <w:t>.</w:t>
      </w:r>
    </w:p>
    <w:p w:rsidR="000241AA" w:rsidRPr="004D1241" w:rsidRDefault="000241AA" w:rsidP="000241AA">
      <w:pPr>
        <w:pStyle w:val="SingleTxtGA"/>
        <w:spacing w:line="370" w:lineRule="exact"/>
        <w:rPr>
          <w:rFonts w:hint="cs"/>
        </w:rPr>
      </w:pPr>
      <w:r w:rsidRPr="004D1241">
        <w:rPr>
          <w:rFonts w:hint="cs"/>
          <w:rtl/>
        </w:rPr>
        <w:t>4-6</w:t>
      </w:r>
      <w:r w:rsidRPr="004D1241">
        <w:rPr>
          <w:rFonts w:hint="cs"/>
          <w:rtl/>
        </w:rPr>
        <w:tab/>
        <w:t>وتفيد الدولة الطرف بأن صاحبة الشكوى ادعت أنها ستتعرض للاضطهاد بسبب ما</w:t>
      </w:r>
      <w:r>
        <w:rPr>
          <w:rFonts w:hint="eastAsia"/>
          <w:rtl/>
        </w:rPr>
        <w:t> </w:t>
      </w:r>
      <w:r w:rsidRPr="004D1241">
        <w:rPr>
          <w:rFonts w:hint="cs"/>
          <w:rtl/>
        </w:rPr>
        <w:t>قامت به شقيقتها من أنشطة سياسية في الماضي وهروبها إلى سويسرا. وقالت أيض</w:t>
      </w:r>
      <w:r>
        <w:rPr>
          <w:rFonts w:hint="cs"/>
          <w:rtl/>
        </w:rPr>
        <w:t xml:space="preserve">اً </w:t>
      </w:r>
      <w:r w:rsidRPr="004D1241">
        <w:rPr>
          <w:rFonts w:hint="cs"/>
          <w:rtl/>
        </w:rPr>
        <w:t>إن السلطات كانت تشتبه في مساندتها لحزب العمال الكردستاني بسبب عملها في مركز بلاد ما</w:t>
      </w:r>
      <w:r>
        <w:rPr>
          <w:rFonts w:hint="eastAsia"/>
          <w:rtl/>
        </w:rPr>
        <w:t> </w:t>
      </w:r>
      <w:r w:rsidRPr="004D1241">
        <w:rPr>
          <w:rFonts w:hint="cs"/>
          <w:rtl/>
        </w:rPr>
        <w:t xml:space="preserve">بين النهرين الثقافي الأمر الذي أدى إلى اضطهادها. ولم تطعن السلطات السويسرية المختصة في صحة تعرض صاحبة الشكوى للاحتجاز في عام 1998. واعتبرت كذلك أن ادعاءاتها المتعلقة بالتعرض للاضطهاد بسبب </w:t>
      </w:r>
      <w:r>
        <w:rPr>
          <w:rFonts w:hint="cs"/>
          <w:rtl/>
        </w:rPr>
        <w:t>أنشطة شقيقتها ادعاءات موثوقة.</w:t>
      </w:r>
    </w:p>
    <w:p w:rsidR="000241AA" w:rsidRPr="00DC414C" w:rsidRDefault="000241AA" w:rsidP="000241AA">
      <w:pPr>
        <w:pStyle w:val="SingleTxtGA"/>
        <w:spacing w:line="370" w:lineRule="exact"/>
        <w:rPr>
          <w:rFonts w:hint="cs"/>
        </w:rPr>
      </w:pPr>
      <w:r w:rsidRPr="00DC414C">
        <w:rPr>
          <w:rFonts w:hint="cs"/>
          <w:rtl/>
        </w:rPr>
        <w:t>4-7</w:t>
      </w:r>
      <w:r w:rsidRPr="00DC414C">
        <w:rPr>
          <w:rFonts w:hint="cs"/>
          <w:rtl/>
        </w:rPr>
        <w:tab/>
        <w:t>ولاحظ المكتب الاتحادي لشؤون الهجرة أن صاحبة الشكوى قد ناقضت نفسها فيما يتعلق بالفترة التي تعرضت خلالها لمضايقات السلطات التركية. ورأى المكتب الاتحادي في جملة أمور، أنه من المستبعد أن تكون صاحبة الشكوى قد تعرضت للتوقيف "في كل مرة" زارت فيها شقيقتها في السجن بسبب الشبه بينهما. ففي هذه الحالة، كانت السلطات التركية لتتخذ إجراءات تجنبها الوقوع في هذا الخلط؛ لا</w:t>
      </w:r>
      <w:r w:rsidR="00231234">
        <w:rPr>
          <w:rFonts w:hint="cs"/>
          <w:rtl/>
        </w:rPr>
        <w:t xml:space="preserve"> </w:t>
      </w:r>
      <w:r w:rsidRPr="00DC414C">
        <w:rPr>
          <w:rFonts w:hint="cs"/>
          <w:rtl/>
        </w:rPr>
        <w:t>سيما وأن صاحبة الشكوى كانت تقوم بزيارة شقيقتها بشكل يومي في</w:t>
      </w:r>
      <w:r>
        <w:rPr>
          <w:rFonts w:hint="cs"/>
          <w:rtl/>
        </w:rPr>
        <w:t xml:space="preserve"> فترات معينة.</w:t>
      </w:r>
    </w:p>
    <w:p w:rsidR="000241AA" w:rsidRPr="00271E3A" w:rsidRDefault="000241AA" w:rsidP="000241AA">
      <w:pPr>
        <w:pStyle w:val="SingleTxtGA"/>
        <w:spacing w:line="370" w:lineRule="exact"/>
        <w:rPr>
          <w:rFonts w:hint="cs"/>
          <w:spacing w:val="-4"/>
        </w:rPr>
      </w:pPr>
      <w:r w:rsidRPr="00271E3A">
        <w:rPr>
          <w:rFonts w:hint="cs"/>
          <w:spacing w:val="-4"/>
          <w:rtl/>
        </w:rPr>
        <w:t>4-8</w:t>
      </w:r>
      <w:r w:rsidRPr="00271E3A">
        <w:rPr>
          <w:rFonts w:hint="cs"/>
          <w:spacing w:val="-4"/>
          <w:rtl/>
        </w:rPr>
        <w:tab/>
        <w:t>وهناك ادعاءات أخرى أدلت بها صاحبة الشكوى واعتبرتها السلطات السويسرية مبالغ</w:t>
      </w:r>
      <w:r>
        <w:rPr>
          <w:rFonts w:hint="cs"/>
          <w:spacing w:val="-4"/>
          <w:rtl/>
        </w:rPr>
        <w:t xml:space="preserve">اً </w:t>
      </w:r>
      <w:r w:rsidRPr="00271E3A">
        <w:rPr>
          <w:rFonts w:hint="cs"/>
          <w:spacing w:val="-4"/>
          <w:rtl/>
        </w:rPr>
        <w:t>فيها وأقل مصداقية. فقد ادعت أيض</w:t>
      </w:r>
      <w:r>
        <w:rPr>
          <w:rFonts w:hint="cs"/>
          <w:spacing w:val="-4"/>
          <w:rtl/>
        </w:rPr>
        <w:t xml:space="preserve">اً </w:t>
      </w:r>
      <w:r w:rsidRPr="00271E3A">
        <w:rPr>
          <w:rFonts w:hint="cs"/>
          <w:spacing w:val="-4"/>
          <w:rtl/>
        </w:rPr>
        <w:t>أنها كان يقبض عليها أسبوعي</w:t>
      </w:r>
      <w:r>
        <w:rPr>
          <w:rFonts w:hint="cs"/>
          <w:spacing w:val="-4"/>
          <w:rtl/>
        </w:rPr>
        <w:t xml:space="preserve">اً </w:t>
      </w:r>
      <w:r w:rsidRPr="00271E3A">
        <w:rPr>
          <w:rFonts w:hint="cs"/>
          <w:spacing w:val="-4"/>
          <w:rtl/>
        </w:rPr>
        <w:t>طوال سبع سنوات. وبالإضافة إلى ذلك، تعرضت للتحرش والتهديد وخضعت للمراقبة طيلة سنوات. وادعت أنه كان هناك من يتعقبها بصورة شبه يومية وأن مضايقة الشرطة لها لم تتوقف حتى بعدما علمت بمغادرة شقيقتها إلى الخارج. واعتبرت السلطات السويسرية أنه من غير</w:t>
      </w:r>
      <w:r w:rsidRPr="00271E3A">
        <w:rPr>
          <w:rStyle w:val="hps"/>
          <w:rFonts w:hint="cs"/>
          <w:spacing w:val="-4"/>
          <w:sz w:val="36"/>
          <w:szCs w:val="36"/>
          <w:rtl/>
          <w:lang/>
        </w:rPr>
        <w:t xml:space="preserve"> </w:t>
      </w:r>
      <w:r w:rsidRPr="00271E3A">
        <w:rPr>
          <w:rFonts w:hint="cs"/>
          <w:spacing w:val="-4"/>
          <w:rtl/>
        </w:rPr>
        <w:t xml:space="preserve">المنطقي أن تثابر الشرطة على تخويف صاحبة الشكوى للسبب عينه طيلة سنوات عدة بنفس الوتيرة التي ادعتها. </w:t>
      </w:r>
    </w:p>
    <w:p w:rsidR="000241AA" w:rsidRPr="00091C47" w:rsidRDefault="000241AA" w:rsidP="000241AA">
      <w:pPr>
        <w:pStyle w:val="SingleTxtGA"/>
        <w:rPr>
          <w:rFonts w:hint="cs"/>
        </w:rPr>
      </w:pPr>
      <w:r w:rsidRPr="000D5D28">
        <w:rPr>
          <w:rFonts w:hint="cs"/>
          <w:rtl/>
        </w:rPr>
        <w:t>4-9</w:t>
      </w:r>
      <w:r>
        <w:rPr>
          <w:rFonts w:hint="cs"/>
          <w:rtl/>
        </w:rPr>
        <w:tab/>
      </w:r>
      <w:r w:rsidRPr="000D5D28">
        <w:rPr>
          <w:rFonts w:hint="cs"/>
          <w:rtl/>
        </w:rPr>
        <w:t>وترى الدولة الطرف أنه ليس هناك ما يدعو إلى تقييم الأمر بشكل مخالف لما ذهبت</w:t>
      </w:r>
      <w:r w:rsidRPr="00091C47">
        <w:rPr>
          <w:rFonts w:hint="cs"/>
          <w:rtl/>
        </w:rPr>
        <w:t xml:space="preserve"> إليه المحكمة الإدارية الاتحادية، إذ خلصت إلى أنه من غير المرجح أن تسخر السلطات التركية كل هذه الطاقة لمراقبة صاحبة الشكوى ورصد تحركاتها، لا سيما وأن شقيقتها غادرت تركيا في عام 2002. وقد ادعت صاحبة الشكوى خلال جلسة الاستماع المعقودة في 22 حزيران/يونيه 2009، أنها قامت هي وأسرتها،</w:t>
      </w:r>
      <w:r>
        <w:rPr>
          <w:rFonts w:hint="cs"/>
          <w:rtl/>
        </w:rPr>
        <w:t xml:space="preserve"> </w:t>
      </w:r>
      <w:r w:rsidRPr="00091C47">
        <w:rPr>
          <w:rFonts w:hint="cs"/>
          <w:rtl/>
        </w:rPr>
        <w:t>في آذار/مارس 2008، بإبلاغ الشرطة بفرار شقيقتها من البلاد. والأرجح أن صاحبة الشكوى تحاول بادعاء استمرار خضوعها للمراقبة، أن تربط بين أحداث عام 1998 ومغادرتها إلى سويسرا في عام 2008.</w:t>
      </w:r>
    </w:p>
    <w:p w:rsidR="000241AA" w:rsidRPr="00674628" w:rsidRDefault="000241AA" w:rsidP="000241AA">
      <w:pPr>
        <w:pStyle w:val="SingleTxtGA"/>
        <w:rPr>
          <w:rFonts w:hint="cs"/>
          <w:rtl/>
        </w:rPr>
      </w:pPr>
      <w:r w:rsidRPr="00674628">
        <w:rPr>
          <w:rFonts w:hint="cs"/>
          <w:rtl/>
        </w:rPr>
        <w:t>4-10</w:t>
      </w:r>
      <w:r w:rsidRPr="00674628">
        <w:rPr>
          <w:rFonts w:hint="cs"/>
          <w:rtl/>
        </w:rPr>
        <w:tab/>
      </w:r>
      <w:r w:rsidRPr="00C603AD">
        <w:rPr>
          <w:rFonts w:hint="cs"/>
          <w:spacing w:val="-2"/>
          <w:rtl/>
        </w:rPr>
        <w:t>وفيما يتعلق بادعاء صاحبة الشكوى بشأن الاشتباه في تيسير هروب شقيقتها، أصابت سلطات الهجرة السويسرية حين أشارت إلى أن صاحبة الشكوى ذكرت وقائع تؤدي عادة إلى</w:t>
      </w:r>
      <w:r>
        <w:rPr>
          <w:rFonts w:hint="eastAsia"/>
          <w:spacing w:val="-2"/>
          <w:rtl/>
        </w:rPr>
        <w:t> </w:t>
      </w:r>
      <w:r w:rsidRPr="00C603AD">
        <w:rPr>
          <w:rFonts w:hint="cs"/>
          <w:spacing w:val="-2"/>
          <w:rtl/>
        </w:rPr>
        <w:t>الملاحقة الجنائية. ومع ذلك، لم تُتَّخذ في حقها أي إجراءات جنائية. وقد رأت سلطات الهجرة السويسرية في نهاية المطاف، أنه لم يثبت وجود علاقة سببية بين ما تعرضت</w:t>
      </w:r>
      <w:r w:rsidRPr="00674628">
        <w:rPr>
          <w:rFonts w:hint="cs"/>
          <w:rtl/>
        </w:rPr>
        <w:t xml:space="preserve"> له صاحبة الشكوى من مشاكل واضطهاد في عام 1998 والأسباب التي تدعي أنها كانت وراء هروبها من البلاد في عام 2008. فالاضطهاد الذي استطاعت صاحبة الشكوى أن تثبته بالأدلة للسلطات السويسرية يسبق، في الواقع، تاريخ مغادرتها بأكثر من عشر سنوات. ولذلك، خلصت المحكمة الإدارية الاتحادية إلى أن المشاكل التي واجهتها صاحبة الشكوى في</w:t>
      </w:r>
      <w:r>
        <w:rPr>
          <w:rFonts w:hint="eastAsia"/>
          <w:rtl/>
        </w:rPr>
        <w:t> </w:t>
      </w:r>
      <w:r w:rsidRPr="00674628">
        <w:rPr>
          <w:rFonts w:hint="cs"/>
          <w:rtl/>
        </w:rPr>
        <w:t>التسعينيات لم تعد ذات صلة فيما يتعلق بطلبها الحصول على اللجوء. وقد ذكر المكتب الاتحادي لشؤون الهجرة في جملة أمور، أن حالة حقوق الإنسان في تركيا شهدت تحسن</w:t>
      </w:r>
      <w:r>
        <w:rPr>
          <w:rFonts w:hint="cs"/>
          <w:rtl/>
        </w:rPr>
        <w:t xml:space="preserve">اً </w:t>
      </w:r>
      <w:r w:rsidRPr="00674628">
        <w:rPr>
          <w:rFonts w:hint="cs"/>
          <w:rtl/>
        </w:rPr>
        <w:t>كبير</w:t>
      </w:r>
      <w:r>
        <w:rPr>
          <w:rFonts w:hint="cs"/>
          <w:rtl/>
        </w:rPr>
        <w:t xml:space="preserve">اً </w:t>
      </w:r>
      <w:r w:rsidRPr="00674628">
        <w:rPr>
          <w:rFonts w:hint="cs"/>
          <w:rtl/>
        </w:rPr>
        <w:t>في السنوات الماضية لا سيما في سياق مفاوضات الانضمام إلى الاتحاد الأوروبي. ولهذه الأسباب، استبعد المكتب والمحكمة الاتحاديين أن تتعرض صاحبة الشكوى للاضطها</w:t>
      </w:r>
      <w:r>
        <w:rPr>
          <w:rFonts w:hint="cs"/>
          <w:rtl/>
        </w:rPr>
        <w:t>د في اسطنبول في الوقت الحالي.</w:t>
      </w:r>
    </w:p>
    <w:p w:rsidR="000241AA" w:rsidRPr="00C87194" w:rsidRDefault="000241AA" w:rsidP="000241AA">
      <w:pPr>
        <w:pStyle w:val="SingleTxtGA"/>
        <w:rPr>
          <w:rFonts w:hint="cs"/>
          <w:rtl/>
        </w:rPr>
      </w:pPr>
      <w:r w:rsidRPr="00C87194">
        <w:rPr>
          <w:rFonts w:hint="cs"/>
          <w:rtl/>
        </w:rPr>
        <w:t>4-11</w:t>
      </w:r>
      <w:r w:rsidRPr="00C87194">
        <w:rPr>
          <w:rFonts w:hint="cs"/>
          <w:rtl/>
        </w:rPr>
        <w:tab/>
        <w:t>وتذكِّر الدولة الطرف بعدم وجود إجراءات جنائية معلقة في حق صاحبة الشكوى. وتشير علاوة على ذلك، إلى أنها لم تذكر شيئاً يفيد باضطهاد أفراد أسرتها المقربين، بمن فيهم والداها المقيمان في اسطنبول. وادعاؤها بشأن حضور الشرطة إلى منزل والديه</w:t>
      </w:r>
      <w:r>
        <w:rPr>
          <w:rFonts w:hint="cs"/>
          <w:rtl/>
        </w:rPr>
        <w:t xml:space="preserve">ا </w:t>
      </w:r>
      <w:r w:rsidRPr="00C87194">
        <w:rPr>
          <w:rFonts w:hint="cs"/>
          <w:rtl/>
        </w:rPr>
        <w:t>بحث</w:t>
      </w:r>
      <w:r>
        <w:rPr>
          <w:rFonts w:hint="cs"/>
          <w:rtl/>
        </w:rPr>
        <w:t xml:space="preserve">اً </w:t>
      </w:r>
      <w:r w:rsidRPr="00C87194">
        <w:rPr>
          <w:rFonts w:hint="cs"/>
          <w:rtl/>
        </w:rPr>
        <w:t>عنها منذ هروبها في عام 2008 لم تدل به إلا أمام اللجنة. وتلاحظ الدولة الطرف أن صاحبة الشكوى لم تدع أن لها نشاطاً سياسياً في سويسرا أو أنها تعاونت مع عناصر حزب العمال الكردستاني، سواء في تركيا أو في سويسرا. وفي الختام، رأت الدولة الطرف أنه لا يمكن استبعاد قيام السلطات التركية باستجواب صاحبة الشكوى عند عودتها إلى اسطنبول. بيد أنه ليس هناك ما يشير حتى في هذه الحالة، إلى أنها ستتعرض</w:t>
      </w:r>
      <w:r>
        <w:rPr>
          <w:rFonts w:hint="cs"/>
          <w:rtl/>
        </w:rPr>
        <w:t xml:space="preserve"> لسوء المعاملة أو التعذيب.</w:t>
      </w:r>
    </w:p>
    <w:p w:rsidR="000241AA" w:rsidRPr="00B86C50" w:rsidRDefault="000241AA" w:rsidP="00F35EFF">
      <w:pPr>
        <w:pStyle w:val="SingleTxtGA"/>
        <w:rPr>
          <w:rFonts w:hint="cs"/>
          <w:rtl/>
        </w:rPr>
      </w:pPr>
      <w:r w:rsidRPr="00B86C50">
        <w:rPr>
          <w:rFonts w:hint="cs"/>
          <w:rtl/>
        </w:rPr>
        <w:t>4-12</w:t>
      </w:r>
      <w:r w:rsidRPr="00B86C50">
        <w:rPr>
          <w:rFonts w:hint="cs"/>
          <w:rtl/>
        </w:rPr>
        <w:tab/>
        <w:t>وتذكر الدولة الطرف بأن مبدأ عدم الإعادة القسرية بالمعنى المقصود في المادة 3 من الاتفاقية لا ينطبق إلا في الحالات التي يكون فيها الشخص معرضا</w:t>
      </w:r>
      <w:r>
        <w:rPr>
          <w:rFonts w:hint="cs"/>
          <w:rtl/>
        </w:rPr>
        <w:t>ً</w:t>
      </w:r>
      <w:r w:rsidRPr="00B86C50">
        <w:rPr>
          <w:rFonts w:hint="cs"/>
          <w:rtl/>
        </w:rPr>
        <w:t>، في حالة الإبعاد أو</w:t>
      </w:r>
      <w:r>
        <w:rPr>
          <w:rFonts w:hint="eastAsia"/>
          <w:rtl/>
        </w:rPr>
        <w:t> </w:t>
      </w:r>
      <w:r w:rsidRPr="00B86C50">
        <w:rPr>
          <w:rFonts w:hint="cs"/>
          <w:rtl/>
        </w:rPr>
        <w:t>التسليم، لخطر التعذيب كما عرفته المادة 1 من الاتفاقية. وأي معاملة أخرى قد يتعرض لها الشخص في الخارج، حتى لو كانت معاملة لا إنسانية أو مهينة، لا تندرج في نطاق المادة</w:t>
      </w:r>
      <w:r>
        <w:rPr>
          <w:rFonts w:hint="eastAsia"/>
          <w:rtl/>
        </w:rPr>
        <w:t> </w:t>
      </w:r>
      <w:r w:rsidRPr="00B86C50">
        <w:rPr>
          <w:rFonts w:hint="cs"/>
          <w:rtl/>
        </w:rPr>
        <w:t>3</w:t>
      </w:r>
      <w:r w:rsidRPr="00B86C50">
        <w:rPr>
          <w:rFonts w:hint="cs"/>
          <w:vertAlign w:val="superscript"/>
          <w:rtl/>
        </w:rPr>
        <w:t>(</w:t>
      </w:r>
      <w:r w:rsidRPr="00B86C50">
        <w:rPr>
          <w:b/>
          <w:vertAlign w:val="superscript"/>
          <w:rtl/>
        </w:rPr>
        <w:footnoteReference w:id="170"/>
      </w:r>
      <w:r w:rsidRPr="00B86C50">
        <w:rPr>
          <w:rFonts w:hint="cs"/>
          <w:vertAlign w:val="superscript"/>
          <w:rtl/>
        </w:rPr>
        <w:t>)</w:t>
      </w:r>
      <w:r w:rsidRPr="00B86C50">
        <w:rPr>
          <w:rFonts w:hint="cs"/>
          <w:rtl/>
        </w:rPr>
        <w:t>. وبناء على ما تقدم، وفي ضوء الممارسة التي اتبعتها اللجنة في قضايا أخرى تتعلق بحالات ترحيل إلى تركيا، ترى الدولة الطرف أن صاحبة الشكوى لا يمكن اعتبارها شخص</w:t>
      </w:r>
      <w:r>
        <w:rPr>
          <w:rFonts w:hint="cs"/>
          <w:rtl/>
        </w:rPr>
        <w:t xml:space="preserve">اً </w:t>
      </w:r>
      <w:r w:rsidRPr="00B86C50">
        <w:rPr>
          <w:rFonts w:hint="cs"/>
          <w:rtl/>
        </w:rPr>
        <w:t>يواجه خطر</w:t>
      </w:r>
      <w:r>
        <w:rPr>
          <w:rFonts w:hint="cs"/>
          <w:rtl/>
        </w:rPr>
        <w:t xml:space="preserve">اً </w:t>
      </w:r>
      <w:r w:rsidRPr="00B86C50">
        <w:rPr>
          <w:rFonts w:hint="cs"/>
          <w:rtl/>
        </w:rPr>
        <w:t>حقيقي</w:t>
      </w:r>
      <w:r>
        <w:rPr>
          <w:rFonts w:hint="cs"/>
          <w:rtl/>
        </w:rPr>
        <w:t xml:space="preserve">اً </w:t>
      </w:r>
      <w:r w:rsidRPr="00B86C50">
        <w:rPr>
          <w:rFonts w:hint="cs"/>
          <w:rtl/>
        </w:rPr>
        <w:t>وشخصيا</w:t>
      </w:r>
      <w:r>
        <w:rPr>
          <w:rFonts w:hint="cs"/>
          <w:rtl/>
        </w:rPr>
        <w:t>ً</w:t>
      </w:r>
      <w:r w:rsidRPr="00B86C50">
        <w:rPr>
          <w:rFonts w:hint="cs"/>
          <w:rtl/>
        </w:rPr>
        <w:t xml:space="preserve"> بالتعرض للتعذيب بالمعنى المقصود في المادة 1 من الا</w:t>
      </w:r>
      <w:r>
        <w:rPr>
          <w:rFonts w:hint="cs"/>
          <w:rtl/>
        </w:rPr>
        <w:t>تفاقية إذا</w:t>
      </w:r>
      <w:r w:rsidR="00F35EFF">
        <w:rPr>
          <w:rFonts w:hint="eastAsia"/>
          <w:rtl/>
        </w:rPr>
        <w:t> </w:t>
      </w:r>
      <w:r>
        <w:rPr>
          <w:rFonts w:hint="cs"/>
          <w:rtl/>
        </w:rPr>
        <w:t>أعيدت إلى اسطنبول.</w:t>
      </w:r>
    </w:p>
    <w:p w:rsidR="000241AA" w:rsidRPr="00C976BF" w:rsidRDefault="000241AA" w:rsidP="00FA367A">
      <w:pPr>
        <w:pStyle w:val="SingleTxtGA"/>
        <w:spacing w:line="360" w:lineRule="exact"/>
        <w:rPr>
          <w:rFonts w:hint="cs"/>
        </w:rPr>
      </w:pPr>
      <w:r w:rsidRPr="00C976BF">
        <w:rPr>
          <w:rFonts w:hint="cs"/>
          <w:rtl/>
        </w:rPr>
        <w:t>4-13</w:t>
      </w:r>
      <w:r w:rsidRPr="00C976BF">
        <w:rPr>
          <w:rFonts w:hint="cs"/>
          <w:rtl/>
        </w:rPr>
        <w:tab/>
        <w:t>أما فيما يتعلق بادعاء صاحبة الشكوى بشأن إصابتها باضطرابات عقلية، ولا سيما الاكتئاب المصحوب بأعراض جسدية، والاشتباه في إصابتها باضطراب الكرب الناجم عن الصدمة ووجود خطر شديد عليها من الإقدام على الانتحار في حال إعادتها قسر</w:t>
      </w:r>
      <w:r>
        <w:rPr>
          <w:rFonts w:hint="cs"/>
          <w:rtl/>
        </w:rPr>
        <w:t xml:space="preserve">اً </w:t>
      </w:r>
      <w:r w:rsidRPr="00C976BF">
        <w:rPr>
          <w:rFonts w:hint="cs"/>
          <w:rtl/>
        </w:rPr>
        <w:t xml:space="preserve">إلى تركيا، فإن الدولة </w:t>
      </w:r>
      <w:r>
        <w:rPr>
          <w:rFonts w:hint="cs"/>
          <w:rtl/>
        </w:rPr>
        <w:t xml:space="preserve">الطرف </w:t>
      </w:r>
      <w:r w:rsidRPr="00C976BF">
        <w:rPr>
          <w:rFonts w:hint="cs"/>
          <w:rtl/>
        </w:rPr>
        <w:t>تبدي دهشتها لأن صاحبة الشكوى لم تحتج بمشاكلها العقلية في أثناء إجراءات اللجوء. ففي جلسة الاستماع المعقودة في 22 حزيران/يونيه 2009، صرحت بوضوح بأنها لا تعاني من أي مشاكل صحية. وعلاوة على ذلك، لم يثبت بتات</w:t>
      </w:r>
      <w:r>
        <w:rPr>
          <w:rFonts w:hint="cs"/>
          <w:rtl/>
        </w:rPr>
        <w:t xml:space="preserve">اً </w:t>
      </w:r>
      <w:r w:rsidRPr="00C976BF">
        <w:rPr>
          <w:rFonts w:hint="cs"/>
          <w:rtl/>
        </w:rPr>
        <w:t>سبب أو</w:t>
      </w:r>
      <w:r w:rsidR="00FA367A">
        <w:rPr>
          <w:rFonts w:hint="eastAsia"/>
          <w:rtl/>
        </w:rPr>
        <w:t> </w:t>
      </w:r>
      <w:r w:rsidRPr="00C976BF">
        <w:rPr>
          <w:rFonts w:hint="cs"/>
          <w:rtl/>
        </w:rPr>
        <w:t>مصدر المشاكل العقلية التي تعاني منها صاحبة الشكوى؛ والاشتباه في إصابتها باضطراب الكرب الناجم عن الصدمة لا يعد مؤشر</w:t>
      </w:r>
      <w:r>
        <w:rPr>
          <w:rFonts w:hint="cs"/>
          <w:rtl/>
        </w:rPr>
        <w:t xml:space="preserve">اً </w:t>
      </w:r>
      <w:r w:rsidRPr="00C976BF">
        <w:rPr>
          <w:rFonts w:hint="cs"/>
          <w:rtl/>
        </w:rPr>
        <w:t>كبير</w:t>
      </w:r>
      <w:r>
        <w:rPr>
          <w:rFonts w:hint="cs"/>
          <w:rtl/>
        </w:rPr>
        <w:t xml:space="preserve">اً </w:t>
      </w:r>
      <w:r w:rsidRPr="00C976BF">
        <w:rPr>
          <w:rFonts w:hint="cs"/>
          <w:rtl/>
        </w:rPr>
        <w:t>على تعرضها للاضطهاد في تركيا. وفي جميع الأحوال، لا يمكن اعتبار إصابة صاحبة الشكوى باضطرابات عقلية سبب</w:t>
      </w:r>
      <w:r>
        <w:rPr>
          <w:rFonts w:hint="cs"/>
          <w:rtl/>
        </w:rPr>
        <w:t xml:space="preserve">اً </w:t>
      </w:r>
      <w:r w:rsidRPr="00C976BF">
        <w:rPr>
          <w:rFonts w:hint="cs"/>
          <w:rtl/>
        </w:rPr>
        <w:t>كافي</w:t>
      </w:r>
      <w:r>
        <w:rPr>
          <w:rFonts w:hint="cs"/>
          <w:rtl/>
        </w:rPr>
        <w:t xml:space="preserve">اً </w:t>
      </w:r>
      <w:r w:rsidRPr="00C976BF">
        <w:rPr>
          <w:rFonts w:hint="cs"/>
          <w:rtl/>
        </w:rPr>
        <w:t>يمنع ترحيلها. وتذكِّر الدولة الطرف بموقف اللجنة الذي يفيد بأن تدهور الوضع الصحي للشخص جسدي</w:t>
      </w:r>
      <w:r>
        <w:rPr>
          <w:rFonts w:hint="cs"/>
          <w:rtl/>
        </w:rPr>
        <w:t xml:space="preserve">اً </w:t>
      </w:r>
      <w:r w:rsidRPr="00C976BF">
        <w:rPr>
          <w:rFonts w:hint="cs"/>
          <w:rtl/>
        </w:rPr>
        <w:t>أو نفسي</w:t>
      </w:r>
      <w:r>
        <w:rPr>
          <w:rFonts w:hint="cs"/>
          <w:rtl/>
        </w:rPr>
        <w:t xml:space="preserve">اً </w:t>
      </w:r>
      <w:r w:rsidRPr="00C976BF">
        <w:rPr>
          <w:rFonts w:hint="cs"/>
          <w:rtl/>
        </w:rPr>
        <w:t>بسبب ترحيله لا يكفي عموم</w:t>
      </w:r>
      <w:r>
        <w:rPr>
          <w:rFonts w:hint="cs"/>
          <w:rtl/>
        </w:rPr>
        <w:t xml:space="preserve">اً </w:t>
      </w:r>
      <w:r w:rsidRPr="00C976BF">
        <w:rPr>
          <w:rFonts w:hint="cs"/>
          <w:rtl/>
        </w:rPr>
        <w:t xml:space="preserve">في غياب عوامل أخرى، </w:t>
      </w:r>
      <w:r w:rsidRPr="00C976BF">
        <w:rPr>
          <w:rtl/>
        </w:rPr>
        <w:t xml:space="preserve">لاعتباره ضرباً من ضروب المعاملة المهينة </w:t>
      </w:r>
      <w:r w:rsidRPr="00C976BF">
        <w:rPr>
          <w:rFonts w:hint="cs"/>
          <w:rtl/>
        </w:rPr>
        <w:t xml:space="preserve">التي تنطوي على انتهاك للاتفاقية. </w:t>
      </w:r>
      <w:r w:rsidRPr="00C976BF">
        <w:rPr>
          <w:rtl/>
        </w:rPr>
        <w:t>و</w:t>
      </w:r>
      <w:r w:rsidRPr="00C976BF">
        <w:rPr>
          <w:rFonts w:hint="cs"/>
          <w:rtl/>
        </w:rPr>
        <w:t>هناك العديد من القرارات التي تؤكد هذا العرف. وقد قضت اللجنة بعدم قبول بلاغات لمتظلمين تمكنوا من إثبات إصابتهم باضطرابات ما بعد الصدمة الناجمة عن التعرض لسوء المعاملة في الماضي، فضل</w:t>
      </w:r>
      <w:r>
        <w:rPr>
          <w:rFonts w:hint="cs"/>
          <w:rtl/>
        </w:rPr>
        <w:t xml:space="preserve">اً </w:t>
      </w:r>
      <w:r w:rsidRPr="00C976BF">
        <w:rPr>
          <w:rFonts w:hint="cs"/>
          <w:rtl/>
        </w:rPr>
        <w:t>عن بلاغات مدعومة بأدلة على احتمال إقدام أصحابها على الانتحار في حال عودتهم</w:t>
      </w:r>
      <w:r w:rsidRPr="00027625">
        <w:rPr>
          <w:rFonts w:hint="cs"/>
          <w:vertAlign w:val="superscript"/>
          <w:rtl/>
        </w:rPr>
        <w:t>(</w:t>
      </w:r>
      <w:r w:rsidRPr="00027625">
        <w:rPr>
          <w:b/>
          <w:vertAlign w:val="superscript"/>
          <w:rtl/>
        </w:rPr>
        <w:footnoteReference w:id="171"/>
      </w:r>
      <w:r w:rsidRPr="00027625">
        <w:rPr>
          <w:rFonts w:hint="cs"/>
          <w:vertAlign w:val="superscript"/>
          <w:rtl/>
        </w:rPr>
        <w:t>)</w:t>
      </w:r>
      <w:r>
        <w:rPr>
          <w:rFonts w:hint="cs"/>
          <w:rtl/>
        </w:rPr>
        <w:t>.</w:t>
      </w:r>
    </w:p>
    <w:p w:rsidR="000241AA" w:rsidRPr="00EE4ABE" w:rsidRDefault="000241AA" w:rsidP="000241AA">
      <w:pPr>
        <w:pStyle w:val="SingleTxtGA"/>
        <w:spacing w:line="360" w:lineRule="exact"/>
        <w:rPr>
          <w:rFonts w:hint="cs"/>
        </w:rPr>
      </w:pPr>
      <w:r w:rsidRPr="00EE4ABE">
        <w:rPr>
          <w:rFonts w:hint="cs"/>
          <w:rtl/>
        </w:rPr>
        <w:t>4-14</w:t>
      </w:r>
      <w:r w:rsidRPr="00EE4ABE">
        <w:rPr>
          <w:rFonts w:hint="cs"/>
          <w:rtl/>
        </w:rPr>
        <w:tab/>
      </w:r>
      <w:r>
        <w:rPr>
          <w:rFonts w:hint="cs"/>
          <w:rtl/>
        </w:rPr>
        <w:t>و</w:t>
      </w:r>
      <w:r w:rsidRPr="00EE4ABE">
        <w:rPr>
          <w:rFonts w:hint="cs"/>
          <w:rtl/>
        </w:rPr>
        <w:t>وفقاً للممارسة التي تتبعها اللجنة، لا تبلغ معاناة صاحبة الشكوى الحد الذي يستوجب منع تنفيذ الترحيل، لا سيما وأن العلاج متاح في بلدها وهناك مرافق طبية كافية ويمكن الوصول إليها في اسطنبول. وتشير الدولة الطرف في الختام، إلى أنه في حالة وجود احتمال الإقدام على الانتحار، فإن السلطات السويسرية تتخذ التدابير اللازمة لضمان سلامة الشخص المعني، كتوفير طبيب لمرافقة الشخص المبعد على سبيل المثال. وقد قرر المكتب الاتحادي لشؤون الهجرة مثل</w:t>
      </w:r>
      <w:r>
        <w:rPr>
          <w:rFonts w:hint="cs"/>
          <w:rtl/>
        </w:rPr>
        <w:t xml:space="preserve">اً </w:t>
      </w:r>
      <w:r w:rsidRPr="00EE4ABE">
        <w:rPr>
          <w:rFonts w:hint="cs"/>
          <w:rtl/>
        </w:rPr>
        <w:t xml:space="preserve">تأجيل ترحيل صاحبة </w:t>
      </w:r>
      <w:r>
        <w:rPr>
          <w:rFonts w:hint="cs"/>
          <w:rtl/>
        </w:rPr>
        <w:t>الشكوى مراعاة لوضعها الصحي.</w:t>
      </w:r>
    </w:p>
    <w:p w:rsidR="000241AA" w:rsidRPr="00B54E72" w:rsidRDefault="000241AA" w:rsidP="000241AA">
      <w:pPr>
        <w:pStyle w:val="SingleTxtGA"/>
        <w:spacing w:line="360" w:lineRule="exact"/>
        <w:rPr>
          <w:rFonts w:hint="cs"/>
          <w:spacing w:val="-4"/>
          <w:rtl/>
        </w:rPr>
      </w:pPr>
      <w:r w:rsidRPr="00B54E72">
        <w:rPr>
          <w:rFonts w:hint="cs"/>
          <w:spacing w:val="-4"/>
          <w:rtl/>
        </w:rPr>
        <w:t>4-15</w:t>
      </w:r>
      <w:r w:rsidRPr="00B54E72">
        <w:rPr>
          <w:rFonts w:hint="cs"/>
          <w:spacing w:val="-4"/>
          <w:rtl/>
        </w:rPr>
        <w:tab/>
        <w:t>وبناء على ما تقدم، تؤ</w:t>
      </w:r>
      <w:r>
        <w:rPr>
          <w:rFonts w:hint="cs"/>
          <w:spacing w:val="-4"/>
          <w:rtl/>
        </w:rPr>
        <w:t xml:space="preserve">كد الدولة الطرف عدم وجود أسباب </w:t>
      </w:r>
      <w:r w:rsidRPr="00B54E72">
        <w:rPr>
          <w:rFonts w:hint="cs"/>
          <w:spacing w:val="-4"/>
          <w:rtl/>
        </w:rPr>
        <w:t>جوهرية تدعو إلى الاعتقاد بأن صاحبة الشكوى ستواجه خطر</w:t>
      </w:r>
      <w:r>
        <w:rPr>
          <w:rFonts w:hint="cs"/>
          <w:spacing w:val="-4"/>
          <w:rtl/>
        </w:rPr>
        <w:t xml:space="preserve">اً </w:t>
      </w:r>
      <w:r w:rsidRPr="00B54E72">
        <w:rPr>
          <w:rFonts w:hint="cs"/>
          <w:spacing w:val="-4"/>
          <w:rtl/>
        </w:rPr>
        <w:t>فعلي</w:t>
      </w:r>
      <w:r>
        <w:rPr>
          <w:rFonts w:hint="cs"/>
          <w:spacing w:val="-4"/>
          <w:rtl/>
        </w:rPr>
        <w:t xml:space="preserve">اً </w:t>
      </w:r>
      <w:r w:rsidRPr="00B54E72">
        <w:rPr>
          <w:rFonts w:hint="cs"/>
          <w:spacing w:val="-4"/>
          <w:rtl/>
        </w:rPr>
        <w:t>وشخصي</w:t>
      </w:r>
      <w:r>
        <w:rPr>
          <w:rFonts w:hint="cs"/>
          <w:spacing w:val="-4"/>
          <w:rtl/>
        </w:rPr>
        <w:t xml:space="preserve">اً </w:t>
      </w:r>
      <w:r w:rsidRPr="00B54E72">
        <w:rPr>
          <w:rFonts w:hint="cs"/>
          <w:spacing w:val="-4"/>
          <w:rtl/>
        </w:rPr>
        <w:t>بالتعرض للتعذيب عند عودتها إلى تركيا. ولا</w:t>
      </w:r>
      <w:r>
        <w:rPr>
          <w:rFonts w:hint="eastAsia"/>
          <w:spacing w:val="-4"/>
          <w:rtl/>
        </w:rPr>
        <w:t> </w:t>
      </w:r>
      <w:r w:rsidRPr="00B54E72">
        <w:rPr>
          <w:rFonts w:hint="cs"/>
          <w:spacing w:val="-4"/>
          <w:rtl/>
        </w:rPr>
        <w:t>يمكن الاستنتاج من ادعاءاتها بأن الترحيل يجعلها شخصي</w:t>
      </w:r>
      <w:r>
        <w:rPr>
          <w:rFonts w:hint="cs"/>
          <w:spacing w:val="-4"/>
          <w:rtl/>
        </w:rPr>
        <w:t xml:space="preserve">اً </w:t>
      </w:r>
      <w:r w:rsidRPr="00B54E72">
        <w:rPr>
          <w:rFonts w:hint="cs"/>
          <w:spacing w:val="-4"/>
          <w:rtl/>
        </w:rPr>
        <w:t xml:space="preserve">في </w:t>
      </w:r>
      <w:r w:rsidRPr="00B54E72">
        <w:rPr>
          <w:spacing w:val="-4"/>
          <w:rtl/>
        </w:rPr>
        <w:t>خطر</w:t>
      </w:r>
      <w:r w:rsidRPr="00B54E72">
        <w:rPr>
          <w:rFonts w:hint="cs"/>
          <w:spacing w:val="-4"/>
          <w:rtl/>
        </w:rPr>
        <w:t xml:space="preserve"> </w:t>
      </w:r>
      <w:r w:rsidRPr="00B54E72">
        <w:rPr>
          <w:spacing w:val="-4"/>
          <w:rtl/>
        </w:rPr>
        <w:t>متوق</w:t>
      </w:r>
      <w:r w:rsidRPr="00B54E72">
        <w:rPr>
          <w:rFonts w:hint="cs"/>
          <w:spacing w:val="-4"/>
          <w:rtl/>
        </w:rPr>
        <w:t>ع</w:t>
      </w:r>
      <w:r w:rsidRPr="00B54E72">
        <w:rPr>
          <w:spacing w:val="-4"/>
          <w:rtl/>
        </w:rPr>
        <w:t xml:space="preserve"> وحقيقي </w:t>
      </w:r>
      <w:r w:rsidRPr="00B54E72">
        <w:rPr>
          <w:rFonts w:hint="cs"/>
          <w:spacing w:val="-4"/>
          <w:rtl/>
        </w:rPr>
        <w:t>بالتعرض للتعذيب. ولذلك، فإن ترحيلها إلى تركيا لن يشكل انتهاك</w:t>
      </w:r>
      <w:r>
        <w:rPr>
          <w:rFonts w:hint="cs"/>
          <w:spacing w:val="-4"/>
          <w:rtl/>
        </w:rPr>
        <w:t xml:space="preserve">اً </w:t>
      </w:r>
      <w:r w:rsidRPr="00B54E72">
        <w:rPr>
          <w:rFonts w:hint="cs"/>
          <w:spacing w:val="-4"/>
          <w:rtl/>
        </w:rPr>
        <w:t xml:space="preserve">للمادة 3 من الاتفاقية. </w:t>
      </w:r>
    </w:p>
    <w:p w:rsidR="000241AA" w:rsidRPr="00E91750" w:rsidRDefault="000241AA" w:rsidP="000241AA">
      <w:pPr>
        <w:pStyle w:val="H23GA"/>
        <w:rPr>
          <w:rFonts w:hint="cs"/>
        </w:rPr>
      </w:pPr>
      <w:r>
        <w:rPr>
          <w:rtl/>
        </w:rPr>
        <w:tab/>
      </w:r>
      <w:r>
        <w:rPr>
          <w:rFonts w:hint="cs"/>
          <w:rtl/>
        </w:rPr>
        <w:tab/>
      </w:r>
      <w:r w:rsidRPr="00E91750">
        <w:rPr>
          <w:rFonts w:hint="cs"/>
          <w:rtl/>
        </w:rPr>
        <w:t>تعليقات صاحبة الش</w:t>
      </w:r>
      <w:r>
        <w:rPr>
          <w:rFonts w:hint="cs"/>
          <w:rtl/>
        </w:rPr>
        <w:t>كوى على ملاحظات الدولة الطرف</w:t>
      </w:r>
    </w:p>
    <w:p w:rsidR="000241AA" w:rsidRPr="00F35EFF" w:rsidRDefault="000241AA" w:rsidP="00F35EFF">
      <w:pPr>
        <w:pStyle w:val="SingleTxtGA"/>
        <w:rPr>
          <w:rFonts w:hint="cs"/>
          <w:rtl/>
        </w:rPr>
      </w:pPr>
      <w:r>
        <w:rPr>
          <w:rFonts w:hint="cs"/>
          <w:rtl/>
        </w:rPr>
        <w:t>5-1</w:t>
      </w:r>
      <w:r>
        <w:rPr>
          <w:rFonts w:hint="cs"/>
          <w:rtl/>
        </w:rPr>
        <w:tab/>
        <w:t xml:space="preserve">أدلت صاحبة الشكوى بتعليقاتها في 20 نيسان/أبريل 2011. وفيما يتعلق بملخص الوقائع الذي قدمته الدولة الطرف، أوضحت أن ثمة أدلة دامغة على إساءة معاملتها بشدة خلال الأيام السبعة التي قضتها مقبوضاً عليها في عام 1998، وأن المكتب الاتحادي لشؤون </w:t>
      </w:r>
      <w:r w:rsidRPr="00F35EFF">
        <w:rPr>
          <w:rFonts w:hint="cs"/>
          <w:rtl/>
        </w:rPr>
        <w:t>الهجرة والمحكمة الإدارية الاتحادية قد قبلا صراحة الإثباتات المقدمة على ذلك. وأوضحت أيضاً أنها تخشى أمرين في حال عادت إلى تركيا وهما أولا: أنه من المتوقع أن تحتجزها الشرطة فور دخولها إلى تركيا وتعمد إلى استجوابها وترهيبها وإساءة معاملتها. وثانياً: أنه من المتوقع أن تخضع لنفس ما عانت منه قبل هروبها من تركيا من نظام مراقبة دائمة واضطهاد واحتجاز وتخويف وهو ما أدى إلى إصابتها باضطرابات عقلية حادة. أما فيما يتعلق بإشارة الدولة الطرف إلى المعايير التي وضعتها اللجنة في تعليقها العام رقم 1، فلاحظت أن المعيار الوارد في الفقرة</w:t>
      </w:r>
      <w:r w:rsidRPr="00F35EFF">
        <w:rPr>
          <w:rFonts w:hint="eastAsia"/>
          <w:rtl/>
        </w:rPr>
        <w:t> </w:t>
      </w:r>
      <w:r w:rsidRPr="00F35EFF">
        <w:rPr>
          <w:rFonts w:hint="cs"/>
          <w:rtl/>
        </w:rPr>
        <w:t>8(ج) لا يشير فقط إلى مدى وجود دليل من مصادر مستقلة يثبت التعرض للتعذيب</w:t>
      </w:r>
      <w:r w:rsidR="00F35EFF">
        <w:rPr>
          <w:rFonts w:hint="eastAsia"/>
          <w:rtl/>
        </w:rPr>
        <w:t> </w:t>
      </w:r>
      <w:r w:rsidRPr="00F35EFF">
        <w:rPr>
          <w:rFonts w:hint="cs"/>
          <w:rtl/>
        </w:rPr>
        <w:t>- كما ذكرت الدولة الطرف - بل يتحدث أيضاً عن مدى وجود آثار للتعذيب. وتكمن أهمية هذا التوضيح في كونها تعاني هذه الآثار.</w:t>
      </w:r>
    </w:p>
    <w:p w:rsidR="000241AA" w:rsidRPr="009E7B19" w:rsidRDefault="000241AA" w:rsidP="00F35EFF">
      <w:pPr>
        <w:pStyle w:val="SingleTxtGA"/>
        <w:rPr>
          <w:rFonts w:hint="cs"/>
        </w:rPr>
      </w:pPr>
      <w:r w:rsidRPr="009E7B19">
        <w:rPr>
          <w:rFonts w:hint="cs"/>
          <w:rtl/>
        </w:rPr>
        <w:t>5-2</w:t>
      </w:r>
      <w:r w:rsidRPr="009E7B19">
        <w:rPr>
          <w:rFonts w:hint="cs"/>
          <w:rtl/>
        </w:rPr>
        <w:tab/>
      </w:r>
      <w:r w:rsidRPr="009E7B19">
        <w:rPr>
          <w:rFonts w:hint="cs"/>
          <w:spacing w:val="-2"/>
          <w:rtl/>
        </w:rPr>
        <w:t>وفيما يتعلق بملاحظات الدولة الطرف بشأن حالة حقوق الإنسان في تركيا والإشارة إلى القرارات السابقة الصادرة عن اللجنة بشأن إعادة أشخاص إلى تركيا (انظر الفقرتين</w:t>
      </w:r>
      <w:r w:rsidRPr="009E7B19">
        <w:rPr>
          <w:rFonts w:hint="eastAsia"/>
          <w:spacing w:val="-2"/>
          <w:rtl/>
        </w:rPr>
        <w:t> </w:t>
      </w:r>
      <w:r w:rsidRPr="009E7B19">
        <w:rPr>
          <w:rFonts w:hint="cs"/>
          <w:spacing w:val="-2"/>
          <w:rtl/>
        </w:rPr>
        <w:t>4-3</w:t>
      </w:r>
      <w:r w:rsidRPr="009E7B19">
        <w:rPr>
          <w:rFonts w:hint="cs"/>
          <w:rtl/>
        </w:rPr>
        <w:t xml:space="preserve"> و4-4 أعلاه)، تؤكد صاحبة الشكوى مجدد</w:t>
      </w:r>
      <w:r>
        <w:rPr>
          <w:rFonts w:hint="cs"/>
          <w:rtl/>
        </w:rPr>
        <w:t xml:space="preserve">اً </w:t>
      </w:r>
      <w:r w:rsidRPr="009E7B19">
        <w:rPr>
          <w:rFonts w:hint="cs"/>
          <w:rtl/>
        </w:rPr>
        <w:t>على العناصر الشخصية التي تجعلها عرضة لخطر فعلي كما ذكرت في الشكوى. وبالإضافة إلى ذلك، تذكِّر مرة أخرى، بالسوابق القضائية للمحكمة الإدارية الاتحادية التي أكدها حكم صادر في 25 تشرين الأول/</w:t>
      </w:r>
      <w:r>
        <w:rPr>
          <w:rFonts w:hint="cs"/>
          <w:rtl/>
        </w:rPr>
        <w:t xml:space="preserve"> أكتوبر</w:t>
      </w:r>
      <w:r>
        <w:rPr>
          <w:rFonts w:hint="eastAsia"/>
          <w:rtl/>
        </w:rPr>
        <w:t> </w:t>
      </w:r>
      <w:r w:rsidRPr="009E7B19">
        <w:rPr>
          <w:rFonts w:hint="cs"/>
          <w:rtl/>
        </w:rPr>
        <w:t>2010 (</w:t>
      </w:r>
      <w:r w:rsidRPr="009E7B19">
        <w:t>E-6587/2007</w:t>
      </w:r>
      <w:r w:rsidRPr="009E7B19">
        <w:rPr>
          <w:rFonts w:hint="cs"/>
          <w:rtl/>
        </w:rPr>
        <w:t>)، ومفاده أن السلطات التركية مستمرة في اضطهاد أقرباء الناشطين السياسيين (يشار إليه فيما يلي ب‍ "الاضطهاد بسبب الانتماء الأسري"، وأن هذا القمع قد يعد خطر</w:t>
      </w:r>
      <w:r>
        <w:rPr>
          <w:rFonts w:hint="cs"/>
          <w:rtl/>
        </w:rPr>
        <w:t xml:space="preserve">اً </w:t>
      </w:r>
      <w:r w:rsidRPr="009E7B19">
        <w:rPr>
          <w:rFonts w:hint="cs"/>
          <w:rtl/>
        </w:rPr>
        <w:t>جسيم</w:t>
      </w:r>
      <w:r>
        <w:rPr>
          <w:rFonts w:hint="cs"/>
          <w:rtl/>
        </w:rPr>
        <w:t xml:space="preserve">اً </w:t>
      </w:r>
      <w:r w:rsidRPr="009E7B19">
        <w:rPr>
          <w:rFonts w:hint="cs"/>
          <w:rtl/>
        </w:rPr>
        <w:t>بالمعنى المقصود في المادة 3 من قانون اللجوء السويسري. كما</w:t>
      </w:r>
      <w:r>
        <w:rPr>
          <w:rFonts w:hint="eastAsia"/>
          <w:rtl/>
        </w:rPr>
        <w:t> </w:t>
      </w:r>
      <w:r w:rsidRPr="009E7B19">
        <w:rPr>
          <w:rFonts w:hint="cs"/>
          <w:rtl/>
        </w:rPr>
        <w:t>اعتبرت المحكمة أن احتمال التعرض لهذا الاضطهاد بسبب الانتماء الأسري يكون كبيراً في</w:t>
      </w:r>
      <w:r>
        <w:rPr>
          <w:rFonts w:hint="eastAsia"/>
          <w:rtl/>
        </w:rPr>
        <w:t> </w:t>
      </w:r>
      <w:r w:rsidRPr="009E7B19">
        <w:rPr>
          <w:rFonts w:hint="cs"/>
          <w:rtl/>
        </w:rPr>
        <w:t>حال كان أبناء الأسرة المنخرطين في العمل السياسي مطلوبين من الشرطة وكان لدى السلطات سبب</w:t>
      </w:r>
      <w:r>
        <w:rPr>
          <w:rFonts w:hint="cs"/>
          <w:rtl/>
        </w:rPr>
        <w:t xml:space="preserve">اً </w:t>
      </w:r>
      <w:r w:rsidRPr="009E7B19">
        <w:rPr>
          <w:rFonts w:hint="cs"/>
          <w:rtl/>
        </w:rPr>
        <w:t>يدعوها إلى الاعتقاد بوجود صلة وثيقة تربط بين الشخص المطلوب والقريب المعني. واستشهدت المحكمة بالعديد من التقارير الصادرة عن منظمات دولية، لتؤكد أن حالة حقوق الإنسان في تركيا لم تشهد تغيير</w:t>
      </w:r>
      <w:r>
        <w:rPr>
          <w:rFonts w:hint="cs"/>
          <w:rtl/>
        </w:rPr>
        <w:t xml:space="preserve">اً </w:t>
      </w:r>
      <w:r w:rsidRPr="009E7B19">
        <w:rPr>
          <w:rFonts w:hint="cs"/>
          <w:rtl/>
        </w:rPr>
        <w:t>يُذكر منذ عام 2005. واستناد</w:t>
      </w:r>
      <w:r>
        <w:rPr>
          <w:rFonts w:hint="cs"/>
          <w:rtl/>
        </w:rPr>
        <w:t xml:space="preserve">اً </w:t>
      </w:r>
      <w:r w:rsidRPr="009E7B19">
        <w:rPr>
          <w:rFonts w:hint="cs"/>
          <w:rtl/>
        </w:rPr>
        <w:t>إلى ما تقدم، تدعي صاحبة الشكوى أن المحكمة لم تتقيد في قضيتها، بأحكامها القضائية السابقة التي تعتبر على أساسها، شخص</w:t>
      </w:r>
      <w:r>
        <w:rPr>
          <w:rFonts w:hint="cs"/>
          <w:rtl/>
        </w:rPr>
        <w:t xml:space="preserve">اً </w:t>
      </w:r>
      <w:r w:rsidRPr="009E7B19">
        <w:rPr>
          <w:rFonts w:hint="cs"/>
          <w:rtl/>
        </w:rPr>
        <w:t>معرض</w:t>
      </w:r>
      <w:r>
        <w:rPr>
          <w:rFonts w:hint="cs"/>
          <w:rtl/>
        </w:rPr>
        <w:t xml:space="preserve">اً </w:t>
      </w:r>
      <w:r w:rsidRPr="009E7B19">
        <w:rPr>
          <w:rFonts w:hint="cs"/>
          <w:rtl/>
        </w:rPr>
        <w:t>لخطر الاضطهاد في حالة العودة إلى تركيا.</w:t>
      </w:r>
    </w:p>
    <w:p w:rsidR="000241AA" w:rsidRPr="00EF1DDE" w:rsidRDefault="000241AA" w:rsidP="00F35EFF">
      <w:pPr>
        <w:pStyle w:val="SingleTxtGA"/>
        <w:rPr>
          <w:rFonts w:hint="cs"/>
          <w:rtl/>
        </w:rPr>
      </w:pPr>
      <w:r w:rsidRPr="00EF1DDE">
        <w:rPr>
          <w:rFonts w:hint="cs"/>
          <w:rtl/>
        </w:rPr>
        <w:t>5-3</w:t>
      </w:r>
      <w:r w:rsidRPr="00EF1DDE">
        <w:rPr>
          <w:rFonts w:hint="cs"/>
          <w:rtl/>
        </w:rPr>
        <w:tab/>
        <w:t>وفيما يتعلق بحجة الدولة الطرف بشأن عدم وجود علاقة سببية كافية بين إلقاء القبض عليها في عام 1998 وهروبها من تركيا في عام 2008، تذكر صاحبة الشكوى بأن الطلب الذي قدمته للحصول على اللجوء لا يستند فقط إلى أحداث عام 1998، بل يستند أيض</w:t>
      </w:r>
      <w:r>
        <w:rPr>
          <w:rFonts w:hint="cs"/>
          <w:rtl/>
        </w:rPr>
        <w:t xml:space="preserve">اً </w:t>
      </w:r>
      <w:r w:rsidRPr="00EF1DDE">
        <w:rPr>
          <w:rFonts w:hint="cs"/>
          <w:rtl/>
        </w:rPr>
        <w:t>إلى استمرار تعرضها للاضطهاد والتخويف حتى تاريخ مغادرتها لتركيا في عام 2008، وكذلك إلى احتمال تعرضها لخطر الاضطهاد بسبب علاقتها الوثيقة بشقيقتها. وبالتالي، فإن أحداث عام</w:t>
      </w:r>
      <w:r>
        <w:rPr>
          <w:rFonts w:hint="eastAsia"/>
          <w:rtl/>
        </w:rPr>
        <w:t> </w:t>
      </w:r>
      <w:r w:rsidRPr="00EF1DDE">
        <w:rPr>
          <w:rFonts w:hint="cs"/>
          <w:rtl/>
        </w:rPr>
        <w:t>1998 تشكل عنصر</w:t>
      </w:r>
      <w:r>
        <w:rPr>
          <w:rFonts w:hint="cs"/>
          <w:rtl/>
        </w:rPr>
        <w:t xml:space="preserve">اً </w:t>
      </w:r>
      <w:r w:rsidRPr="00EF1DDE">
        <w:rPr>
          <w:rFonts w:hint="cs"/>
          <w:rtl/>
        </w:rPr>
        <w:t>هام</w:t>
      </w:r>
      <w:r>
        <w:rPr>
          <w:rFonts w:hint="cs"/>
          <w:rtl/>
        </w:rPr>
        <w:t xml:space="preserve">اً </w:t>
      </w:r>
      <w:r w:rsidRPr="00EF1DDE">
        <w:rPr>
          <w:rFonts w:hint="cs"/>
          <w:rtl/>
        </w:rPr>
        <w:t xml:space="preserve">من جملة عناصر تثبت احتمال تعرضها لخطر التعذيب في حالة العودة إلى تركيا ولا بد أن يُنظر إليها في سياق معاناتها من الاضطهاد دون انقطاع حتى عهد قريب وفي سياق ما تواجهه من خطر كبير يتمثل في التعرض للاضطهاد بسبب انتمائها الأسري. وعليه، فإن إشارة الدولة الطرف إلى </w:t>
      </w:r>
      <w:r w:rsidRPr="00D44997">
        <w:rPr>
          <w:rFonts w:hint="cs"/>
          <w:i/>
          <w:iCs/>
          <w:rtl/>
        </w:rPr>
        <w:t>قضية م. ف. ضد السويد</w:t>
      </w:r>
      <w:r w:rsidRPr="00EF1DDE">
        <w:rPr>
          <w:rFonts w:hint="cs"/>
          <w:rtl/>
        </w:rPr>
        <w:t xml:space="preserve"> لا</w:t>
      </w:r>
      <w:r w:rsidRPr="00EF1DDE">
        <w:rPr>
          <w:rFonts w:hint="eastAsia"/>
          <w:rtl/>
        </w:rPr>
        <w:t> </w:t>
      </w:r>
      <w:r w:rsidRPr="00EF1DDE">
        <w:rPr>
          <w:rFonts w:hint="cs"/>
          <w:rtl/>
        </w:rPr>
        <w:t>يبدو مبررا</w:t>
      </w:r>
      <w:r>
        <w:rPr>
          <w:rFonts w:hint="cs"/>
          <w:rtl/>
        </w:rPr>
        <w:t>ً</w:t>
      </w:r>
      <w:r w:rsidRPr="00EF1DDE">
        <w:rPr>
          <w:rFonts w:hint="cs"/>
          <w:rtl/>
        </w:rPr>
        <w:t>، إذ إن اللجنة لم</w:t>
      </w:r>
      <w:r w:rsidR="00F35EFF">
        <w:rPr>
          <w:rFonts w:hint="eastAsia"/>
          <w:rtl/>
        </w:rPr>
        <w:t> </w:t>
      </w:r>
      <w:r w:rsidRPr="00EF1DDE">
        <w:rPr>
          <w:rFonts w:hint="cs"/>
          <w:rtl/>
        </w:rPr>
        <w:t>تكن في هذه القضية، تملك أي معلومات عن الأسباب التي تفسر اهتمام السلطات بأمر صاحب الشكوى فيما عدا المعلومات المتعلقة بتعرضه لسوء المعاملة قبل ذلك التاريخ بست</w:t>
      </w:r>
      <w:r w:rsidR="00F35EFF">
        <w:rPr>
          <w:rFonts w:hint="eastAsia"/>
          <w:rtl/>
        </w:rPr>
        <w:t> </w:t>
      </w:r>
      <w:r w:rsidRPr="00EF1DDE">
        <w:rPr>
          <w:rFonts w:hint="cs"/>
          <w:rtl/>
        </w:rPr>
        <w:t>سنوات.</w:t>
      </w:r>
    </w:p>
    <w:p w:rsidR="000241AA" w:rsidRPr="0056771E" w:rsidRDefault="000241AA" w:rsidP="00F35EFF">
      <w:pPr>
        <w:pStyle w:val="SingleTxtGA"/>
        <w:rPr>
          <w:rFonts w:hint="cs"/>
          <w:rtl/>
        </w:rPr>
      </w:pPr>
      <w:r>
        <w:rPr>
          <w:rFonts w:hint="cs"/>
          <w:rtl/>
        </w:rPr>
        <w:t>5-4</w:t>
      </w:r>
      <w:r>
        <w:rPr>
          <w:rFonts w:hint="cs"/>
          <w:rtl/>
        </w:rPr>
        <w:tab/>
        <w:t>وتشير صاحبة الشكوى إلى أن الدولة الطرف تقر من حيث المبدأ بالعناصر الرئيسية التي استندت إليها، أي تعرضها لسوء المعاملة الشديد في عام 1998، وما تلا ذلك من تحرش السلطات التركية بها (وإن كانت تعترض على درجة هذا التحرش والمدة التي استغرقها)، وما</w:t>
      </w:r>
      <w:r>
        <w:rPr>
          <w:rFonts w:hint="eastAsia"/>
          <w:rtl/>
        </w:rPr>
        <w:t> </w:t>
      </w:r>
      <w:r>
        <w:rPr>
          <w:rFonts w:hint="cs"/>
          <w:rtl/>
        </w:rPr>
        <w:t>كانت تضطلع به شقيقتها من أنشطة سياسية تجعل خطر التعرض للاضطهاد بسبب الانتماء الأسري كبيراً. وتعترض صاحبة الشكوى على ما دفعت به الدولة الطرف فيما يتعلق بتضارب أقوالها بشأن الفترات الزمنية التي تعرضت خلالها للتحرش على أيدي السلطات التركية، وتنفي وجود أي تناقضات كما سبق لها أن أوضحت ذلك بشكل مفصل في استئنافها ضد قرار الرفض الصادر عن المكتب الاتحادي لشؤون الهجرة.</w:t>
      </w:r>
    </w:p>
    <w:p w:rsidR="000241AA" w:rsidRPr="0056771E" w:rsidRDefault="000241AA" w:rsidP="00F35EFF">
      <w:pPr>
        <w:pStyle w:val="SingleTxtGA"/>
        <w:rPr>
          <w:rFonts w:hint="cs"/>
          <w:rtl/>
        </w:rPr>
      </w:pPr>
      <w:r>
        <w:rPr>
          <w:rFonts w:hint="cs"/>
          <w:rtl/>
        </w:rPr>
        <w:t>5-5</w:t>
      </w:r>
      <w:r>
        <w:rPr>
          <w:rFonts w:hint="cs"/>
          <w:rtl/>
        </w:rPr>
        <w:tab/>
        <w:t xml:space="preserve">ورداً على الدولة الطرف التي رأت أنه من المستبعد أن تكون صاحبة الشكوى قد تعرضت للاحتجاز والتحرش مراراً (الفقرة 4-8 أعلاه)، وأنه يصعب تصديق أن تكون السلطات التركية قد اضطهدتها على مدى سنوات عدة ثم تقوم أسرة صاحبة الشكوى </w:t>
      </w:r>
      <w:r w:rsidRPr="00E637CB">
        <w:rPr>
          <w:rFonts w:hint="cs"/>
          <w:spacing w:val="-2"/>
          <w:rtl/>
        </w:rPr>
        <w:t>نفسها بإبلاغ هذه السلطات في عام 2008، بهروب شقيقتها من تركيا (الفقرة 4-9)، وأنها لم تتهم بتيسير هروب شقيقتها من تركيا (الفقرة 4-10)، تكرر صاحبة الشكوى الحجج التي ساقتها في استئنافها ضد قرار المكتب الاتحادي لشؤون الهجرة (انظر الفقرة 2-11 أعلاه)،</w:t>
      </w:r>
      <w:r>
        <w:rPr>
          <w:rFonts w:hint="cs"/>
          <w:rtl/>
        </w:rPr>
        <w:t xml:space="preserve"> وتضيف</w:t>
      </w:r>
      <w:r>
        <w:rPr>
          <w:rFonts w:hint="eastAsia"/>
          <w:rtl/>
        </w:rPr>
        <w:t> </w:t>
      </w:r>
      <w:r>
        <w:rPr>
          <w:rFonts w:hint="cs"/>
          <w:rtl/>
        </w:rPr>
        <w:t>أنه ليس من المستبعد إطلاقاً أن يعمد حراس السجن إلى احتجازها وتفتيشها والتحرش بها بعد كل زيارة كانت تقوم بها لشقيقتها في السجن إذ إن هذه التدابير لا يكون لها معنى من وجهة نظر الحراس إلا إذا طُبقت دون استثناء.</w:t>
      </w:r>
    </w:p>
    <w:p w:rsidR="000241AA" w:rsidRPr="0056771E" w:rsidRDefault="000241AA" w:rsidP="00F35EFF">
      <w:pPr>
        <w:pStyle w:val="SingleTxtGA"/>
        <w:rPr>
          <w:rFonts w:hint="cs"/>
          <w:rtl/>
        </w:rPr>
      </w:pPr>
      <w:r>
        <w:rPr>
          <w:rFonts w:hint="cs"/>
          <w:rtl/>
        </w:rPr>
        <w:t>5-6</w:t>
      </w:r>
      <w:r>
        <w:rPr>
          <w:rFonts w:hint="cs"/>
          <w:rtl/>
        </w:rPr>
        <w:tab/>
        <w:t>وتؤكد صاحبة الشكوى أنه لم يُقدم أي دليل على تحسن حالة حقوق الإنسان في تركيا لا من المكتب الاتحادي لشؤون الهجرة ولا من المحكمة الإدارية الاتحادية، ولا هما علَّقا، بشكل أو بآخر، على التقارير العديدة التي تفيد خلاف ذلك. وتُذكِّر أيضاً بأن آراء الدولة الطرف بهذا الشأن تتناقض مع السوابق القضائية للمحكمة على النحو المبين أعلاه، وتشير إلى التقارير الصادرة عن منظمة العفو الدولية وهيومن رايتس ووتش</w:t>
      </w:r>
      <w:r>
        <w:rPr>
          <w:rtl/>
        </w:rPr>
        <w:t xml:space="preserve"> </w:t>
      </w:r>
      <w:r w:rsidRPr="004B658D">
        <w:rPr>
          <w:rtl/>
        </w:rPr>
        <w:t>و</w:t>
      </w:r>
      <w:r>
        <w:rPr>
          <w:rFonts w:hint="cs"/>
          <w:rtl/>
        </w:rPr>
        <w:t>و</w:t>
      </w:r>
      <w:r w:rsidRPr="004B658D">
        <w:rPr>
          <w:rtl/>
        </w:rPr>
        <w:t>زارة الخارجية في الولايات المتحدة</w:t>
      </w:r>
      <w:r>
        <w:rPr>
          <w:rFonts w:hint="cs"/>
          <w:rtl/>
        </w:rPr>
        <w:t xml:space="preserve"> والتي قدمت كدليل</w:t>
      </w:r>
      <w:r w:rsidRPr="00E812FC">
        <w:rPr>
          <w:rFonts w:hint="cs"/>
          <w:vertAlign w:val="superscript"/>
          <w:rtl/>
        </w:rPr>
        <w:t>(</w:t>
      </w:r>
      <w:r w:rsidRPr="00E812FC">
        <w:rPr>
          <w:rStyle w:val="FootnoteReference"/>
          <w:rtl/>
        </w:rPr>
        <w:footnoteReference w:id="172"/>
      </w:r>
      <w:r w:rsidRPr="00E812FC">
        <w:rPr>
          <w:rFonts w:hint="cs"/>
          <w:vertAlign w:val="superscript"/>
          <w:rtl/>
        </w:rPr>
        <w:t>)</w:t>
      </w:r>
      <w:r>
        <w:rPr>
          <w:rFonts w:hint="cs"/>
          <w:rtl/>
        </w:rPr>
        <w:t>. وتشير كذلك إلى الملاحظات الختامية التي قدمتها اللجنة في تشرين الثاني/نوفمبر 2010، وأعربت فيها مجدداً عن قلقها الشديد إزاء حالة حقوق الإنسان في تركيا</w:t>
      </w:r>
      <w:r w:rsidRPr="00E812FC">
        <w:rPr>
          <w:rFonts w:hint="cs"/>
          <w:vertAlign w:val="superscript"/>
          <w:rtl/>
        </w:rPr>
        <w:t>(</w:t>
      </w:r>
      <w:r w:rsidRPr="00E812FC">
        <w:rPr>
          <w:rStyle w:val="FootnoteReference"/>
          <w:rtl/>
        </w:rPr>
        <w:footnoteReference w:id="173"/>
      </w:r>
      <w:r w:rsidRPr="00E812FC">
        <w:rPr>
          <w:rFonts w:hint="cs"/>
          <w:vertAlign w:val="superscript"/>
          <w:rtl/>
        </w:rPr>
        <w:t>)</w:t>
      </w:r>
      <w:r>
        <w:rPr>
          <w:rFonts w:hint="cs"/>
          <w:rtl/>
        </w:rPr>
        <w:t>.</w:t>
      </w:r>
    </w:p>
    <w:p w:rsidR="000241AA" w:rsidRPr="0056771E" w:rsidRDefault="000241AA" w:rsidP="00F35EFF">
      <w:pPr>
        <w:pStyle w:val="SingleTxtGA"/>
        <w:rPr>
          <w:rFonts w:hint="cs"/>
        </w:rPr>
      </w:pPr>
      <w:r>
        <w:rPr>
          <w:rFonts w:hint="cs"/>
          <w:rtl/>
        </w:rPr>
        <w:t>5-7</w:t>
      </w:r>
      <w:r>
        <w:rPr>
          <w:rFonts w:hint="cs"/>
          <w:rtl/>
        </w:rPr>
        <w:tab/>
        <w:t>وتطعن صاحبة الشكوى في حجة الدولة الطرف التي قالت إنها لم تذكر شيئاً عن استمرار الشرطة في البحث عنها في منزل والديها بعد مغادرتها لتركيا في صيف عام 2008، إلا أمام اللجنة، مؤكدة أنها أبلغت المحكمة الإدارية الاتحادية بهذه الواقعة في الاستئناف الذي قدمته. ورداً على ما دفعت به الدولة الطرف بشأن عدم وجود ما يشير إلى إمكانية تعرضها لسوء المعاملة أو التعذيب في إطار الاستجواب الذي قد تخضع له من قبل الشرطة عند العودة، تكرر صاحبة الشكوى الحجج التي ذكرتها في الفقرتين 3-1 و3-2 أعلاه.</w:t>
      </w:r>
    </w:p>
    <w:p w:rsidR="000241AA" w:rsidRPr="0056771E" w:rsidRDefault="000241AA" w:rsidP="00F35EFF">
      <w:pPr>
        <w:pStyle w:val="SingleTxtGA"/>
        <w:rPr>
          <w:rFonts w:hint="cs"/>
        </w:rPr>
      </w:pPr>
      <w:r w:rsidRPr="00F35EFF">
        <w:rPr>
          <w:rFonts w:hint="cs"/>
          <w:spacing w:val="-2"/>
          <w:rtl/>
        </w:rPr>
        <w:t>5-8</w:t>
      </w:r>
      <w:r w:rsidRPr="00F35EFF">
        <w:rPr>
          <w:rFonts w:hint="cs"/>
          <w:spacing w:val="-2"/>
          <w:rtl/>
        </w:rPr>
        <w:tab/>
        <w:t>وتدعي صاحبة الشكوى أنها لم تشر إلى مشاكلها الصحية لدى وصولها إلى سويسرا لأنها كانت تأمل في أن تتعافى منها. ثم إن طبيعة الاضطرابات العقلية التي تعاني منها تجعل الخوض فيها أمراً صعباً بالنسبة لها حتى أنها تجد صعوبة في الكشف عنها إذا ما سئلت بصفة عامة، كما حدث معها خلال جلسة الاستماع التي جمعتها بالسلطات السويسرية. وفيما يتعلق بحجة الدولة الطرف بشأن عدم وجود ما يثبت سبب مشاكلها الصحية، تشير صاحبة</w:t>
      </w:r>
      <w:r>
        <w:rPr>
          <w:rFonts w:hint="cs"/>
          <w:rtl/>
        </w:rPr>
        <w:t xml:space="preserve"> الشكوى إلى التقرير الطبي الصادر عن طبيبها النفساني بتاريخ 23 آب/أغسطس 2010، الذي يؤكد إصابتها باضطرابات عقلية حوالي عام 2000، على إثر زيارة شقيقتها في السجن على مدى سنوات وتعرضها الدائم للاحتجاز والتخويف، وبعد احتجازها وإساءة معاملتها بشدة في عام 1998. وقد أصيبت آنذاك بتشنجات فصامية وتوتر عضلي وفقدان الوعي مما استدعى نقلها إلى المستشفى بشكل طارئ. كما يشير التقرير إلى تلقيها العلاج في مركز توهاف من عام 2002 إلى عام 2006، ويذكر أنها انزوت في بيتها لا تكاد تخرج منه نتيجة تشديد المراقبة عليها واضطهاد الشرطة لها بعد عام 2006، وهو ما فاقم من مشاكلها العقلية ودفعها في نهاية المطاف إلى مغادرة تركيا في عام 2008. وفي سويسرا أحست أنها عديمة القيمة وعاجزة ومكتئبة، وداهمتها ذكريات المهانة والتعذيب اللذين ذاقتهما على أيدي الشرطة أثناء الاحتجاز. ووجدت نفسها عاجزة أيضاً عن تحمل أي تجارب سيئة أخرى وباتت تخشى الإقدام على إيذاء نفسها إن هي تعرضت لشيء من هذا القبيل. وتستند صاحبة الشكوى إلى ملاحظات الطبيب النفساني التي تثبت من وجهة نظرها، إصابتها باضطرابات عقلية نتيجة معاملة السلطات التركية لها فيما مضى.</w:t>
      </w:r>
    </w:p>
    <w:p w:rsidR="000241AA" w:rsidRPr="0056771E" w:rsidRDefault="000241AA" w:rsidP="00F35EFF">
      <w:pPr>
        <w:pStyle w:val="SingleTxtGA"/>
        <w:rPr>
          <w:rFonts w:hint="cs"/>
        </w:rPr>
      </w:pPr>
      <w:r>
        <w:rPr>
          <w:rFonts w:hint="cs"/>
          <w:rtl/>
        </w:rPr>
        <w:t>5-9</w:t>
      </w:r>
      <w:r>
        <w:rPr>
          <w:rFonts w:hint="cs"/>
          <w:rtl/>
        </w:rPr>
        <w:tab/>
        <w:t xml:space="preserve">تدعي صاحبة الشكوى أن اضطرابات الصحة العقلية تمثل أحد العناصر العديدة التي بنت عليها شكواها بموجب المادة 3، وبالتالي، فإن قرارات اللجنة التي تشير إليها الدولة الطرف ومفادها أن الوضع الصحي للشخص لا يكفي بصفة عامة في غياب عوامل إضافية، للحديث عن معاملة مهينة تحول دون ترحيله، هي غير ذات صلة في قضيتها. ولا تعترض صاحبة الشكوى من حيث المبدأ على فكرة توافر العلاج الطبي المناسب في تركيا. بيد أن المشكلة الحقيقية تكمن في أن العودة إلى جو المراقبة والتخويف الذي عاشته على أيدي سلطات الدولة، وكان سبب ما تعانيه من اضطرابات عقلية تحديداً، سيشكل حائلاً كبيراً دون معالجتها كما ينبغي في تركيا. </w:t>
      </w:r>
    </w:p>
    <w:p w:rsidR="000241AA" w:rsidRPr="0056771E" w:rsidRDefault="000241AA" w:rsidP="00F35EFF">
      <w:pPr>
        <w:pStyle w:val="SingleTxtGA"/>
        <w:rPr>
          <w:rFonts w:hint="cs"/>
          <w:rtl/>
        </w:rPr>
      </w:pPr>
      <w:r>
        <w:rPr>
          <w:rFonts w:hint="cs"/>
          <w:rtl/>
        </w:rPr>
        <w:t>5-10</w:t>
      </w:r>
      <w:r>
        <w:rPr>
          <w:rFonts w:hint="cs"/>
          <w:rtl/>
        </w:rPr>
        <w:tab/>
        <w:t>وتدحض صاحبة الشكوى استنتاج الدولة الطرف القائل بعدم وجود أسباب وجيهة تدعو إلى الاعتقاد بأنها ستواجه شخصياً خطر تعذيب حقيقياً في حال عادت إلى تركيا. وترى أن هناك عناصر متعددة تؤكد وجود هذا الاحتمال سواء بالنسبة لها هي كحالة مستقلة أو بالنظر إلى حالة حقوق الإنسان السائدة في تركيا عموماً. وتشير صاحبة الشكوى إلى الوثائق التي قدمتها لإثبات وجود خطر فعلي بالتعرض للتعذيب عند العودة، وتلاحظ أن الدولة الطرف لم تعلق على بعض هذه الوثائق، ومنها على سبيل المثال (أ) الرسالة المؤرخة 1 نيسان/أبريل 2010 التي أكد فيها محاميها تعرضها لاضطهاد شديد حتى تاريخ فرارها من تركيا واحتمال تعرض حياتها وسلامتها للخطر في حالة العودة؛ (ب) الرسالة الواردة من مركز توهاف التي تؤكد أنها تلقت العلاج في الفترة من عام 2002 إلى عام 2006؛ (ج)</w:t>
      </w:r>
      <w:r>
        <w:rPr>
          <w:rFonts w:hint="eastAsia"/>
          <w:rtl/>
        </w:rPr>
        <w:t> </w:t>
      </w:r>
      <w:r>
        <w:rPr>
          <w:rFonts w:hint="cs"/>
          <w:rtl/>
        </w:rPr>
        <w:t>مختلف التقارير الصادرة عن منظمات دولية بشأن حالة حقوق الإنسان في تركيا. وتكرر ادعاءها بأن ترحيلها إلى تركيا يشكل انتهاكاً للمادة 3 من الاتفاقية.</w:t>
      </w:r>
    </w:p>
    <w:p w:rsidR="000241AA" w:rsidRPr="006C0D90" w:rsidRDefault="000241AA" w:rsidP="000241AA">
      <w:pPr>
        <w:pStyle w:val="H23GA"/>
      </w:pPr>
      <w:r>
        <w:rPr>
          <w:rFonts w:hint="cs"/>
          <w:rtl/>
        </w:rPr>
        <w:tab/>
      </w:r>
      <w:r>
        <w:rPr>
          <w:rtl/>
        </w:rPr>
        <w:tab/>
      </w:r>
      <w:r w:rsidRPr="006C0D90">
        <w:rPr>
          <w:rtl/>
        </w:rPr>
        <w:t>المسائل والإجراءات المعروضة على اللجنة</w:t>
      </w:r>
    </w:p>
    <w:p w:rsidR="000241AA" w:rsidRPr="00CA65D6" w:rsidRDefault="000241AA" w:rsidP="000241AA">
      <w:pPr>
        <w:pStyle w:val="H4GA"/>
        <w:rPr>
          <w:rFonts w:hint="cs"/>
        </w:rPr>
      </w:pPr>
      <w:r>
        <w:rPr>
          <w:rtl/>
        </w:rPr>
        <w:tab/>
      </w:r>
      <w:r>
        <w:rPr>
          <w:rFonts w:hint="cs"/>
          <w:rtl/>
        </w:rPr>
        <w:tab/>
      </w:r>
      <w:r w:rsidRPr="00CA65D6">
        <w:rPr>
          <w:rFonts w:hint="cs"/>
          <w:rtl/>
        </w:rPr>
        <w:t>النظر في المق</w:t>
      </w:r>
      <w:r>
        <w:rPr>
          <w:rFonts w:hint="cs"/>
          <w:rtl/>
        </w:rPr>
        <w:t>بولية</w:t>
      </w:r>
    </w:p>
    <w:p w:rsidR="000241AA" w:rsidRPr="00F13E19" w:rsidRDefault="000241AA" w:rsidP="00F35EFF">
      <w:pPr>
        <w:pStyle w:val="SingleTxtGA"/>
        <w:rPr>
          <w:rFonts w:hint="cs"/>
        </w:rPr>
      </w:pPr>
      <w:r w:rsidRPr="00117795">
        <w:rPr>
          <w:rFonts w:hint="cs"/>
          <w:rtl/>
        </w:rPr>
        <w:t>6-1</w:t>
      </w:r>
      <w:r>
        <w:rPr>
          <w:rFonts w:hint="cs"/>
          <w:rtl/>
        </w:rPr>
        <w:tab/>
      </w:r>
      <w:r w:rsidRPr="00BF1A54">
        <w:rPr>
          <w:rtl/>
        </w:rPr>
        <w:t>ق</w:t>
      </w:r>
      <w:r>
        <w:rPr>
          <w:rtl/>
        </w:rPr>
        <w:t xml:space="preserve">بل النظر في أي ادعاء يرد في </w:t>
      </w:r>
      <w:r>
        <w:rPr>
          <w:rFonts w:hint="cs"/>
          <w:rtl/>
        </w:rPr>
        <w:t>شكوى</w:t>
      </w:r>
      <w:r w:rsidRPr="00BF1A54">
        <w:rPr>
          <w:rtl/>
        </w:rPr>
        <w:t xml:space="preserve"> ما، يجب أن تقرر </w:t>
      </w:r>
      <w:r>
        <w:rPr>
          <w:rFonts w:hint="cs"/>
          <w:rtl/>
        </w:rPr>
        <w:t>ال</w:t>
      </w:r>
      <w:r w:rsidRPr="00BF1A54">
        <w:rPr>
          <w:rtl/>
        </w:rPr>
        <w:t>لجنة ما إذا كان</w:t>
      </w:r>
      <w:r>
        <w:rPr>
          <w:rFonts w:hint="cs"/>
          <w:rtl/>
        </w:rPr>
        <w:t>ت</w:t>
      </w:r>
      <w:r w:rsidRPr="00BF1A54">
        <w:rPr>
          <w:rtl/>
        </w:rPr>
        <w:t xml:space="preserve"> </w:t>
      </w:r>
      <w:r>
        <w:rPr>
          <w:rFonts w:hint="cs"/>
          <w:rtl/>
        </w:rPr>
        <w:t>الشكوى مقبولة</w:t>
      </w:r>
      <w:r w:rsidRPr="00BF1A54">
        <w:rPr>
          <w:rtl/>
        </w:rPr>
        <w:t xml:space="preserve"> أم لا بموجب المادة 22 من الاتفاقية. </w:t>
      </w:r>
      <w:r w:rsidRPr="00F13E19">
        <w:rPr>
          <w:rtl/>
        </w:rPr>
        <w:t>وقد تأكدت اللجنة، وفقاً لما تقتضيه الفقرة 5(أ) من المادة 22 من الاتفاقية، من أن المسألة نفسها لم تبحث ولا يجري بحثها في إطار أي إجراء آخر من إجراءات التحقيق الدولي أو التسوية الدولية</w:t>
      </w:r>
      <w:r>
        <w:rPr>
          <w:rFonts w:hint="cs"/>
          <w:rtl/>
        </w:rPr>
        <w:t>.</w:t>
      </w:r>
    </w:p>
    <w:p w:rsidR="000241AA" w:rsidRPr="003E4CF6" w:rsidRDefault="000241AA" w:rsidP="00F35EFF">
      <w:pPr>
        <w:pStyle w:val="SingleTxtGA"/>
      </w:pPr>
      <w:r>
        <w:rPr>
          <w:rFonts w:hint="cs"/>
          <w:rtl/>
        </w:rPr>
        <w:t>6-2</w:t>
      </w:r>
      <w:r>
        <w:rPr>
          <w:rFonts w:hint="cs"/>
          <w:rtl/>
        </w:rPr>
        <w:tab/>
        <w:t>وفي هذه القضية تلاحظ</w:t>
      </w:r>
      <w:r w:rsidRPr="003E4CF6">
        <w:rPr>
          <w:rtl/>
        </w:rPr>
        <w:t xml:space="preserve"> اللجنة</w:t>
      </w:r>
      <w:r>
        <w:rPr>
          <w:rFonts w:hint="cs"/>
          <w:rtl/>
        </w:rPr>
        <w:t xml:space="preserve"> أن الدولة الطرف لم تعترض على مقبولية</w:t>
      </w:r>
      <w:r w:rsidRPr="003E4CF6">
        <w:rPr>
          <w:rtl/>
        </w:rPr>
        <w:t xml:space="preserve"> هذ</w:t>
      </w:r>
      <w:r>
        <w:rPr>
          <w:rFonts w:hint="cs"/>
          <w:rtl/>
        </w:rPr>
        <w:t xml:space="preserve">ه الشكوى لأي سبب من الأسباب. وترى اللجنة أن صاحبة الشكوى قدمت أدلة كافية تثبت ادعاءها بموجب المادة 3، وتعلن أن الشكوى مقبولة </w:t>
      </w:r>
      <w:r>
        <w:rPr>
          <w:rtl/>
        </w:rPr>
        <w:t xml:space="preserve">وتمضي في النظر في </w:t>
      </w:r>
      <w:r w:rsidRPr="00711627">
        <w:rPr>
          <w:rtl/>
        </w:rPr>
        <w:t>أسس</w:t>
      </w:r>
      <w:r>
        <w:rPr>
          <w:rFonts w:hint="cs"/>
          <w:rtl/>
        </w:rPr>
        <w:t>ها</w:t>
      </w:r>
      <w:r w:rsidRPr="00711627">
        <w:rPr>
          <w:rtl/>
        </w:rPr>
        <w:t xml:space="preserve"> الموضوعية</w:t>
      </w:r>
      <w:r>
        <w:rPr>
          <w:rFonts w:hint="cs"/>
          <w:rtl/>
        </w:rPr>
        <w:t xml:space="preserve">. </w:t>
      </w:r>
    </w:p>
    <w:p w:rsidR="000241AA" w:rsidRPr="00AC3D78" w:rsidRDefault="000241AA" w:rsidP="000241AA">
      <w:pPr>
        <w:pStyle w:val="H4GA"/>
        <w:rPr>
          <w:rFonts w:hint="cs"/>
        </w:rPr>
      </w:pPr>
      <w:r>
        <w:rPr>
          <w:rtl/>
        </w:rPr>
        <w:tab/>
      </w:r>
      <w:r>
        <w:rPr>
          <w:rFonts w:hint="cs"/>
          <w:rtl/>
        </w:rPr>
        <w:tab/>
      </w:r>
      <w:r w:rsidRPr="00AC3D78">
        <w:rPr>
          <w:rFonts w:hint="cs"/>
          <w:rtl/>
        </w:rPr>
        <w:t>النظر في الأسس الموضوعية</w:t>
      </w:r>
    </w:p>
    <w:p w:rsidR="000241AA" w:rsidRPr="005D65BD" w:rsidRDefault="000241AA" w:rsidP="000241AA">
      <w:pPr>
        <w:pStyle w:val="SingleTxtGA"/>
        <w:rPr>
          <w:rFonts w:hint="cs"/>
        </w:rPr>
      </w:pPr>
      <w:r w:rsidRPr="001051EB">
        <w:rPr>
          <w:rFonts w:hint="cs"/>
          <w:rtl/>
        </w:rPr>
        <w:t>7-1</w:t>
      </w:r>
      <w:r>
        <w:rPr>
          <w:rFonts w:hint="cs"/>
          <w:rtl/>
        </w:rPr>
        <w:tab/>
      </w:r>
      <w:r w:rsidRPr="005D65BD">
        <w:rPr>
          <w:rtl/>
        </w:rPr>
        <w:t>نظرت اللجنة في هذ</w:t>
      </w:r>
      <w:r>
        <w:rPr>
          <w:rFonts w:hint="cs"/>
          <w:rtl/>
        </w:rPr>
        <w:t xml:space="preserve">ا البلاغ </w:t>
      </w:r>
      <w:r w:rsidRPr="005D65BD">
        <w:rPr>
          <w:rtl/>
        </w:rPr>
        <w:t>في ضوء جميع المعلومات التي أتاحها لها الطرفان المعنيان وفقاً للفقرة 4 من المادة 22 من الاتفاقية</w:t>
      </w:r>
      <w:r>
        <w:rPr>
          <w:rFonts w:hint="cs"/>
          <w:rtl/>
        </w:rPr>
        <w:t>.</w:t>
      </w:r>
    </w:p>
    <w:p w:rsidR="000241AA" w:rsidRPr="00A74B3E" w:rsidRDefault="000241AA" w:rsidP="00F35EFF">
      <w:pPr>
        <w:pStyle w:val="SingleTxtGA"/>
        <w:rPr>
          <w:rFonts w:hint="cs"/>
          <w:rtl/>
        </w:rPr>
      </w:pPr>
      <w:r w:rsidRPr="00BF7A23">
        <w:rPr>
          <w:rFonts w:hint="cs"/>
          <w:rtl/>
        </w:rPr>
        <w:t>7-2</w:t>
      </w:r>
      <w:r>
        <w:rPr>
          <w:rFonts w:hint="cs"/>
          <w:rtl/>
        </w:rPr>
        <w:tab/>
      </w:r>
      <w:r w:rsidRPr="007C00D3">
        <w:rPr>
          <w:rtl/>
        </w:rPr>
        <w:t xml:space="preserve">وتتعلق المسألة المعروضة على اللجنة بتحديد ما إذا كان </w:t>
      </w:r>
      <w:r>
        <w:rPr>
          <w:rFonts w:hint="cs"/>
          <w:rtl/>
        </w:rPr>
        <w:t>إبعاد</w:t>
      </w:r>
      <w:r w:rsidRPr="007C00D3">
        <w:rPr>
          <w:rtl/>
        </w:rPr>
        <w:t xml:space="preserve"> صاحبة الشكوى إلى </w:t>
      </w:r>
      <w:r>
        <w:rPr>
          <w:rFonts w:hint="cs"/>
          <w:rtl/>
        </w:rPr>
        <w:t>تركيا</w:t>
      </w:r>
      <w:r w:rsidRPr="007C00D3">
        <w:rPr>
          <w:rtl/>
        </w:rPr>
        <w:t xml:space="preserve"> يشكل انتهاكاً لالتزام الدولة الطرف بموجب المادة 3 من الاتفاقية بأن تمتنع عن طرد أي شخص أو </w:t>
      </w:r>
      <w:r w:rsidRPr="003C7603">
        <w:rPr>
          <w:rtl/>
        </w:rPr>
        <w:t>رده</w:t>
      </w:r>
      <w:r>
        <w:rPr>
          <w:rFonts w:hint="cs"/>
          <w:rtl/>
        </w:rPr>
        <w:t xml:space="preserve"> </w:t>
      </w:r>
      <w:r w:rsidRPr="00367067">
        <w:rPr>
          <w:rFonts w:hint="cs"/>
          <w:i/>
          <w:iCs/>
          <w:rtl/>
        </w:rPr>
        <w:t>(</w:t>
      </w:r>
      <w:r w:rsidRPr="003C7603">
        <w:rPr>
          <w:i/>
          <w:iCs/>
          <w:rtl/>
        </w:rPr>
        <w:t>إعادته</w:t>
      </w:r>
      <w:r w:rsidRPr="003C7603">
        <w:rPr>
          <w:rFonts w:hint="cs"/>
          <w:i/>
          <w:iCs/>
          <w:rtl/>
        </w:rPr>
        <w:t xml:space="preserve"> قسرا</w:t>
      </w:r>
      <w:r>
        <w:rPr>
          <w:rFonts w:hint="cs"/>
          <w:i/>
          <w:iCs/>
          <w:rtl/>
        </w:rPr>
        <w:t>ً</w:t>
      </w:r>
      <w:r w:rsidRPr="00367067">
        <w:rPr>
          <w:i/>
          <w:iCs/>
          <w:rtl/>
        </w:rPr>
        <w:t>)</w:t>
      </w:r>
      <w:r w:rsidRPr="007C00D3">
        <w:rPr>
          <w:rtl/>
        </w:rPr>
        <w:t xml:space="preserve"> إلى دولة أخرى إذا توافرت لديها أسباب حقيقية للاعتقاد أنه سيواجه خطر التعرض للتعذيب</w:t>
      </w:r>
      <w:r>
        <w:rPr>
          <w:rFonts w:hint="cs"/>
          <w:rtl/>
        </w:rPr>
        <w:t>. ويتعين على اللجنة</w:t>
      </w:r>
      <w:r w:rsidRPr="00F14D11">
        <w:rPr>
          <w:rtl/>
        </w:rPr>
        <w:t xml:space="preserve"> أن </w:t>
      </w:r>
      <w:r>
        <w:rPr>
          <w:rFonts w:hint="cs"/>
          <w:rtl/>
        </w:rPr>
        <w:t>تدرس ما إذا كانت هناك</w:t>
      </w:r>
      <w:r w:rsidRPr="00F14D11">
        <w:rPr>
          <w:rtl/>
        </w:rPr>
        <w:t xml:space="preserve"> أسباب وجيهة تدعو إلى الاعتقاد بأن صاحب</w:t>
      </w:r>
      <w:r>
        <w:rPr>
          <w:rFonts w:hint="cs"/>
          <w:rtl/>
        </w:rPr>
        <w:t>ة</w:t>
      </w:r>
      <w:r w:rsidRPr="00F14D11">
        <w:rPr>
          <w:rtl/>
        </w:rPr>
        <w:t xml:space="preserve"> الشكوى س</w:t>
      </w:r>
      <w:r>
        <w:rPr>
          <w:rFonts w:hint="cs"/>
          <w:rtl/>
        </w:rPr>
        <w:t>ت</w:t>
      </w:r>
      <w:r w:rsidRPr="00F14D11">
        <w:rPr>
          <w:rtl/>
        </w:rPr>
        <w:t>تعرض شخصياً لخطر التعذيب لدى عودته</w:t>
      </w:r>
      <w:r>
        <w:rPr>
          <w:rFonts w:hint="cs"/>
          <w:rtl/>
        </w:rPr>
        <w:t>ا</w:t>
      </w:r>
      <w:r w:rsidRPr="00F14D11">
        <w:rPr>
          <w:rtl/>
        </w:rPr>
        <w:t xml:space="preserve"> إلى </w:t>
      </w:r>
      <w:r>
        <w:rPr>
          <w:rFonts w:hint="cs"/>
          <w:rtl/>
        </w:rPr>
        <w:t xml:space="preserve">تركيا. وعند </w:t>
      </w:r>
      <w:r w:rsidRPr="00B06B1F">
        <w:rPr>
          <w:rtl/>
        </w:rPr>
        <w:t>تقييم هذا الخطر</w:t>
      </w:r>
      <w:r>
        <w:rPr>
          <w:rFonts w:hint="cs"/>
          <w:rtl/>
        </w:rPr>
        <w:t xml:space="preserve"> يجب أن تراعي </w:t>
      </w:r>
      <w:r w:rsidRPr="00B06B1F">
        <w:rPr>
          <w:rtl/>
        </w:rPr>
        <w:t>اللجنة جميع الاعتبارات ذات الصلة، عملاً بالفقرة 2 من المادة 3 من الاتفاقية، بما في ذلك مدى وجود نمط ثابت من الانتهاكات الفادحة أو الصارخة أو الجماعية لحقوق الإنسان</w:t>
      </w:r>
      <w:r>
        <w:rPr>
          <w:rFonts w:hint="cs"/>
          <w:rtl/>
        </w:rPr>
        <w:t xml:space="preserve">. </w:t>
      </w:r>
      <w:r>
        <w:rPr>
          <w:rtl/>
        </w:rPr>
        <w:t>بيد أن اللجنة تذ</w:t>
      </w:r>
      <w:r w:rsidRPr="00A74B3E">
        <w:rPr>
          <w:rtl/>
        </w:rPr>
        <w:t>ك</w:t>
      </w:r>
      <w:r>
        <w:rPr>
          <w:rFonts w:hint="cs"/>
          <w:rtl/>
        </w:rPr>
        <w:t>ِّ</w:t>
      </w:r>
      <w:r w:rsidRPr="00A74B3E">
        <w:rPr>
          <w:rtl/>
        </w:rPr>
        <w:t xml:space="preserve">ر بأن الهدف من ذلك هو </w:t>
      </w:r>
      <w:r>
        <w:rPr>
          <w:rFonts w:hint="cs"/>
          <w:rtl/>
        </w:rPr>
        <w:t>تحديد ما إذا كان</w:t>
      </w:r>
      <w:r w:rsidRPr="00A74B3E">
        <w:rPr>
          <w:rtl/>
        </w:rPr>
        <w:t xml:space="preserve"> </w:t>
      </w:r>
      <w:r>
        <w:rPr>
          <w:rFonts w:hint="cs"/>
          <w:rtl/>
        </w:rPr>
        <w:t>الشخص</w:t>
      </w:r>
      <w:r w:rsidRPr="00A74B3E">
        <w:rPr>
          <w:rtl/>
        </w:rPr>
        <w:t xml:space="preserve"> المعني سيواجه شخصياً </w:t>
      </w:r>
      <w:r>
        <w:rPr>
          <w:rtl/>
        </w:rPr>
        <w:t>خطر</w:t>
      </w:r>
      <w:r>
        <w:rPr>
          <w:rFonts w:hint="cs"/>
          <w:rtl/>
        </w:rPr>
        <w:t xml:space="preserve"> تعذيب</w:t>
      </w:r>
      <w:r w:rsidRPr="0071111F">
        <w:rPr>
          <w:rtl/>
        </w:rPr>
        <w:t xml:space="preserve"> </w:t>
      </w:r>
      <w:r w:rsidRPr="0071111F">
        <w:rPr>
          <w:rFonts w:hint="cs"/>
          <w:rtl/>
        </w:rPr>
        <w:t>فعليا</w:t>
      </w:r>
      <w:r>
        <w:rPr>
          <w:rFonts w:hint="cs"/>
          <w:rtl/>
        </w:rPr>
        <w:t xml:space="preserve">ً والتنبؤ به </w:t>
      </w:r>
      <w:r w:rsidRPr="00A74B3E">
        <w:rPr>
          <w:rtl/>
        </w:rPr>
        <w:t>في البلد الذي سيعود إليه</w:t>
      </w:r>
      <w:r>
        <w:rPr>
          <w:rFonts w:hint="cs"/>
          <w:rtl/>
        </w:rPr>
        <w:t>.</w:t>
      </w:r>
    </w:p>
    <w:p w:rsidR="000241AA" w:rsidRPr="00173EA8" w:rsidRDefault="000241AA" w:rsidP="00F35EFF">
      <w:pPr>
        <w:pStyle w:val="SingleTxtGA"/>
        <w:rPr>
          <w:rFonts w:hint="cs"/>
        </w:rPr>
      </w:pPr>
      <w:r>
        <w:rPr>
          <w:rFonts w:hint="cs"/>
          <w:rtl/>
        </w:rPr>
        <w:t>7-3</w:t>
      </w:r>
      <w:r>
        <w:rPr>
          <w:rFonts w:hint="cs"/>
          <w:rtl/>
        </w:rPr>
        <w:tab/>
      </w:r>
      <w:r w:rsidRPr="00771B2A">
        <w:rPr>
          <w:rtl/>
        </w:rPr>
        <w:t>وتذك</w:t>
      </w:r>
      <w:r>
        <w:rPr>
          <w:rFonts w:hint="cs"/>
          <w:rtl/>
        </w:rPr>
        <w:t>ِّ</w:t>
      </w:r>
      <w:r w:rsidRPr="00771B2A">
        <w:rPr>
          <w:rtl/>
        </w:rPr>
        <w:t>ر اللجنة بتعلي</w:t>
      </w:r>
      <w:r>
        <w:rPr>
          <w:rtl/>
        </w:rPr>
        <w:t xml:space="preserve">قها العام رقم 1 الذي جاء فيه </w:t>
      </w:r>
      <w:r>
        <w:rPr>
          <w:rFonts w:hint="cs"/>
          <w:rtl/>
        </w:rPr>
        <w:t>"</w:t>
      </w:r>
      <w:r>
        <w:rPr>
          <w:rtl/>
        </w:rPr>
        <w:t>أن</w:t>
      </w:r>
      <w:r>
        <w:rPr>
          <w:rFonts w:hint="cs"/>
          <w:rtl/>
        </w:rPr>
        <w:t>ه يجب أن يقدر</w:t>
      </w:r>
      <w:r w:rsidRPr="00771B2A">
        <w:rPr>
          <w:rtl/>
        </w:rPr>
        <w:t xml:space="preserve"> خطر التعذيب </w:t>
      </w:r>
      <w:r>
        <w:rPr>
          <w:rtl/>
        </w:rPr>
        <w:t>على أسس تتجاوز مجرد ال</w:t>
      </w:r>
      <w:r>
        <w:rPr>
          <w:rFonts w:hint="cs"/>
          <w:rtl/>
        </w:rPr>
        <w:t>نظرية</w:t>
      </w:r>
      <w:r w:rsidRPr="00771B2A">
        <w:rPr>
          <w:rtl/>
        </w:rPr>
        <w:t xml:space="preserve"> أو الشك</w:t>
      </w:r>
      <w:r>
        <w:rPr>
          <w:rFonts w:hint="cs"/>
          <w:rtl/>
        </w:rPr>
        <w:t xml:space="preserve">. </w:t>
      </w:r>
      <w:r w:rsidRPr="001A7437">
        <w:rPr>
          <w:rtl/>
        </w:rPr>
        <w:t xml:space="preserve">غير أنه لا </w:t>
      </w:r>
      <w:r>
        <w:rPr>
          <w:rFonts w:hint="cs"/>
          <w:rtl/>
        </w:rPr>
        <w:t>يتحتم أن يكون</w:t>
      </w:r>
      <w:r w:rsidRPr="001A7437">
        <w:rPr>
          <w:rtl/>
        </w:rPr>
        <w:t xml:space="preserve"> هذا الخطر </w:t>
      </w:r>
      <w:r>
        <w:rPr>
          <w:rFonts w:hint="cs"/>
          <w:rtl/>
        </w:rPr>
        <w:t>موافقاً لمعيار الاحتمال الكبير</w:t>
      </w:r>
      <w:r w:rsidRPr="00771B2A">
        <w:rPr>
          <w:rtl/>
        </w:rPr>
        <w:t xml:space="preserve">" (الفقرة 6)، </w:t>
      </w:r>
      <w:r w:rsidRPr="00D60FD0">
        <w:rPr>
          <w:rtl/>
        </w:rPr>
        <w:t xml:space="preserve">بل يجب أن يكون </w:t>
      </w:r>
      <w:r>
        <w:rPr>
          <w:rFonts w:hint="cs"/>
          <w:rtl/>
        </w:rPr>
        <w:t xml:space="preserve">خطراً </w:t>
      </w:r>
      <w:r w:rsidRPr="00D60FD0">
        <w:rPr>
          <w:rtl/>
        </w:rPr>
        <w:t>شخصياً ومحدقاً</w:t>
      </w:r>
      <w:r>
        <w:rPr>
          <w:rFonts w:hint="cs"/>
          <w:rtl/>
        </w:rPr>
        <w:t xml:space="preserve">. </w:t>
      </w:r>
      <w:r>
        <w:rPr>
          <w:rtl/>
        </w:rPr>
        <w:t xml:space="preserve">وفي هذا الصدد، </w:t>
      </w:r>
      <w:r>
        <w:rPr>
          <w:rFonts w:hint="cs"/>
          <w:rtl/>
        </w:rPr>
        <w:t>حدَّدت</w:t>
      </w:r>
      <w:r w:rsidRPr="00FF67F6">
        <w:rPr>
          <w:rtl/>
        </w:rPr>
        <w:t xml:space="preserve"> اللجنة في قرارات سابقة أن خطر التعرض للتعذيب يجب أن يكون متوقعاً وحقيقياً وشخصياً</w:t>
      </w:r>
      <w:r>
        <w:rPr>
          <w:sz w:val="28"/>
          <w:vertAlign w:val="superscript"/>
          <w:rtl/>
        </w:rPr>
        <w:t>(</w:t>
      </w:r>
      <w:r>
        <w:rPr>
          <w:rStyle w:val="FootnoteReference"/>
          <w:rtl/>
        </w:rPr>
        <w:footnoteReference w:id="174"/>
      </w:r>
      <w:r>
        <w:rPr>
          <w:sz w:val="28"/>
          <w:vertAlign w:val="superscript"/>
          <w:rtl/>
        </w:rPr>
        <w:t>)</w:t>
      </w:r>
      <w:r>
        <w:rPr>
          <w:rFonts w:hint="cs"/>
          <w:rtl/>
        </w:rPr>
        <w:t xml:space="preserve">. </w:t>
      </w:r>
      <w:r w:rsidRPr="009C4D01">
        <w:rPr>
          <w:rtl/>
        </w:rPr>
        <w:t>وتذكّر اللجنة كذلك</w:t>
      </w:r>
      <w:r>
        <w:rPr>
          <w:rtl/>
        </w:rPr>
        <w:t xml:space="preserve"> بتعليقها العام رقم 1</w:t>
      </w:r>
      <w:r w:rsidRPr="009C4D01">
        <w:rPr>
          <w:rtl/>
        </w:rPr>
        <w:t xml:space="preserve"> الذي جاء فيه أن تقديم </w:t>
      </w:r>
      <w:r>
        <w:rPr>
          <w:rFonts w:hint="cs"/>
          <w:rtl/>
        </w:rPr>
        <w:t>أدلة كافية لقبول البلاغ</w:t>
      </w:r>
      <w:r w:rsidRPr="009C4D01">
        <w:rPr>
          <w:rtl/>
        </w:rPr>
        <w:t xml:space="preserve"> يقع على عاتق صاحب الشكوى</w:t>
      </w:r>
      <w:r>
        <w:rPr>
          <w:rFonts w:hint="cs"/>
          <w:rtl/>
        </w:rPr>
        <w:t xml:space="preserve"> (الفقرة 5). و</w:t>
      </w:r>
      <w:r w:rsidRPr="00173EA8">
        <w:rPr>
          <w:rtl/>
        </w:rPr>
        <w:t xml:space="preserve">في هذه </w:t>
      </w:r>
      <w:r>
        <w:rPr>
          <w:rFonts w:hint="cs"/>
          <w:rtl/>
        </w:rPr>
        <w:t>القضية</w:t>
      </w:r>
      <w:r w:rsidRPr="00173EA8">
        <w:rPr>
          <w:rtl/>
        </w:rPr>
        <w:t xml:space="preserve">، تلاحظ اللجنة أن ادعاء </w:t>
      </w:r>
      <w:r>
        <w:rPr>
          <w:rFonts w:hint="cs"/>
          <w:rtl/>
        </w:rPr>
        <w:t xml:space="preserve">صاحبة </w:t>
      </w:r>
      <w:r w:rsidRPr="00173EA8">
        <w:rPr>
          <w:rtl/>
        </w:rPr>
        <w:t xml:space="preserve">الشكوى </w:t>
      </w:r>
      <w:r>
        <w:rPr>
          <w:rFonts w:hint="cs"/>
          <w:rtl/>
        </w:rPr>
        <w:t>بأ</w:t>
      </w:r>
      <w:r w:rsidRPr="00173EA8">
        <w:rPr>
          <w:rtl/>
        </w:rPr>
        <w:t xml:space="preserve">نها </w:t>
      </w:r>
      <w:r>
        <w:rPr>
          <w:rFonts w:hint="cs"/>
          <w:rtl/>
        </w:rPr>
        <w:t xml:space="preserve">ستتعرض </w:t>
      </w:r>
      <w:r w:rsidRPr="00173EA8">
        <w:rPr>
          <w:rtl/>
        </w:rPr>
        <w:t>لخطر التعذيب إ</w:t>
      </w:r>
      <w:r>
        <w:rPr>
          <w:rFonts w:hint="cs"/>
          <w:rtl/>
        </w:rPr>
        <w:t>ن</w:t>
      </w:r>
      <w:r w:rsidRPr="00173EA8">
        <w:rPr>
          <w:rtl/>
        </w:rPr>
        <w:t xml:space="preserve"> هي </w:t>
      </w:r>
      <w:r>
        <w:rPr>
          <w:rFonts w:hint="cs"/>
          <w:rtl/>
        </w:rPr>
        <w:t xml:space="preserve">أُعيدت </w:t>
      </w:r>
      <w:r w:rsidRPr="00173EA8">
        <w:rPr>
          <w:rtl/>
        </w:rPr>
        <w:t xml:space="preserve">إلى تركيا يستند </w:t>
      </w:r>
      <w:r>
        <w:rPr>
          <w:rFonts w:hint="cs"/>
          <w:rtl/>
        </w:rPr>
        <w:t>إلى العناصر التالية</w:t>
      </w:r>
      <w:r w:rsidRPr="00173EA8">
        <w:rPr>
          <w:rtl/>
        </w:rPr>
        <w:t xml:space="preserve">: </w:t>
      </w:r>
      <w:r>
        <w:rPr>
          <w:rFonts w:hint="cs"/>
          <w:rtl/>
        </w:rPr>
        <w:t>تعرضها للاحتجاز والتعذيب عا</w:t>
      </w:r>
      <w:r w:rsidRPr="00173EA8">
        <w:rPr>
          <w:rtl/>
        </w:rPr>
        <w:t>م 1998</w:t>
      </w:r>
      <w:r>
        <w:rPr>
          <w:rFonts w:hint="cs"/>
          <w:rtl/>
        </w:rPr>
        <w:t>؛</w:t>
      </w:r>
      <w:r w:rsidRPr="00173EA8">
        <w:rPr>
          <w:rtl/>
        </w:rPr>
        <w:t xml:space="preserve"> </w:t>
      </w:r>
      <w:r>
        <w:rPr>
          <w:rFonts w:hint="cs"/>
          <w:rtl/>
        </w:rPr>
        <w:t>تعرضها للتوقيف لمدد قصيرة</w:t>
      </w:r>
      <w:r w:rsidRPr="00173EA8">
        <w:rPr>
          <w:rtl/>
        </w:rPr>
        <w:t xml:space="preserve"> </w:t>
      </w:r>
      <w:r>
        <w:rPr>
          <w:rFonts w:hint="cs"/>
          <w:rtl/>
        </w:rPr>
        <w:t>عند زيارتها لشقي</w:t>
      </w:r>
      <w:r w:rsidRPr="00173EA8">
        <w:rPr>
          <w:rtl/>
        </w:rPr>
        <w:t xml:space="preserve">قتها في السجن؛ </w:t>
      </w:r>
      <w:r>
        <w:rPr>
          <w:rFonts w:hint="cs"/>
          <w:rtl/>
        </w:rPr>
        <w:t>خضوعها ل</w:t>
      </w:r>
      <w:r w:rsidRPr="00173EA8">
        <w:rPr>
          <w:rtl/>
        </w:rPr>
        <w:t>لمراقبة</w:t>
      </w:r>
      <w:r>
        <w:rPr>
          <w:rFonts w:hint="cs"/>
          <w:rtl/>
        </w:rPr>
        <w:t xml:space="preserve"> منذ فرار شقيقتها</w:t>
      </w:r>
      <w:r>
        <w:rPr>
          <w:rtl/>
        </w:rPr>
        <w:t xml:space="preserve"> من البلاد عام 2002، </w:t>
      </w:r>
      <w:r w:rsidRPr="00173EA8">
        <w:rPr>
          <w:rtl/>
        </w:rPr>
        <w:t>وتعرض</w:t>
      </w:r>
      <w:r>
        <w:rPr>
          <w:rFonts w:hint="cs"/>
          <w:rtl/>
        </w:rPr>
        <w:t>ها</w:t>
      </w:r>
      <w:r w:rsidRPr="00173EA8">
        <w:rPr>
          <w:rtl/>
        </w:rPr>
        <w:t xml:space="preserve"> </w:t>
      </w:r>
      <w:r>
        <w:rPr>
          <w:rFonts w:hint="cs"/>
          <w:rtl/>
        </w:rPr>
        <w:t>للتحرش والتخويف والاحتجاز</w:t>
      </w:r>
      <w:r w:rsidRPr="00173EA8">
        <w:rPr>
          <w:rtl/>
        </w:rPr>
        <w:t xml:space="preserve"> بسبب </w:t>
      </w:r>
      <w:r>
        <w:rPr>
          <w:rFonts w:hint="cs"/>
          <w:rtl/>
        </w:rPr>
        <w:t>ال</w:t>
      </w:r>
      <w:r w:rsidRPr="00173EA8">
        <w:rPr>
          <w:rtl/>
        </w:rPr>
        <w:t>أنشط</w:t>
      </w:r>
      <w:r>
        <w:rPr>
          <w:rFonts w:hint="cs"/>
          <w:rtl/>
        </w:rPr>
        <w:t xml:space="preserve">ة </w:t>
      </w:r>
      <w:r w:rsidRPr="00173EA8">
        <w:rPr>
          <w:rtl/>
        </w:rPr>
        <w:t xml:space="preserve">السياسية </w:t>
      </w:r>
      <w:r>
        <w:rPr>
          <w:rFonts w:hint="cs"/>
          <w:rtl/>
        </w:rPr>
        <w:t xml:space="preserve">لشقيقتها </w:t>
      </w:r>
      <w:r w:rsidRPr="00173EA8">
        <w:rPr>
          <w:rtl/>
        </w:rPr>
        <w:t xml:space="preserve">وبسبب </w:t>
      </w:r>
      <w:r>
        <w:rPr>
          <w:rFonts w:hint="cs"/>
          <w:rtl/>
        </w:rPr>
        <w:t xml:space="preserve">الاشتباه في استغلالها للشبه بينها وبين شقيقتها </w:t>
      </w:r>
      <w:r>
        <w:rPr>
          <w:rtl/>
        </w:rPr>
        <w:t>في تسهيل هروب</w:t>
      </w:r>
      <w:r>
        <w:rPr>
          <w:rFonts w:hint="cs"/>
          <w:rtl/>
        </w:rPr>
        <w:t xml:space="preserve">ها </w:t>
      </w:r>
      <w:r w:rsidRPr="00173EA8">
        <w:rPr>
          <w:rtl/>
        </w:rPr>
        <w:t xml:space="preserve">من تركيا؛ </w:t>
      </w:r>
      <w:r>
        <w:rPr>
          <w:rFonts w:hint="cs"/>
          <w:rtl/>
        </w:rPr>
        <w:t>ال</w:t>
      </w:r>
      <w:r w:rsidRPr="00173EA8">
        <w:rPr>
          <w:rtl/>
        </w:rPr>
        <w:t>أنشط</w:t>
      </w:r>
      <w:r>
        <w:rPr>
          <w:rFonts w:hint="cs"/>
          <w:rtl/>
        </w:rPr>
        <w:t xml:space="preserve">ة التي كانت تزاولها هي في </w:t>
      </w:r>
      <w:r w:rsidRPr="00173EA8">
        <w:rPr>
          <w:rtl/>
        </w:rPr>
        <w:t xml:space="preserve">مركز بلاد ما بين النهرين </w:t>
      </w:r>
      <w:r>
        <w:rPr>
          <w:rFonts w:hint="cs"/>
          <w:rtl/>
        </w:rPr>
        <w:t xml:space="preserve">الثقافي </w:t>
      </w:r>
      <w:r w:rsidRPr="00173EA8">
        <w:rPr>
          <w:rtl/>
        </w:rPr>
        <w:t xml:space="preserve">في اسطنبول؛ </w:t>
      </w:r>
      <w:r>
        <w:rPr>
          <w:rFonts w:hint="cs"/>
          <w:rtl/>
        </w:rPr>
        <w:t>واحتمال تعرضها ل</w:t>
      </w:r>
      <w:r w:rsidRPr="00173EA8">
        <w:rPr>
          <w:rtl/>
        </w:rPr>
        <w:t xml:space="preserve">لاضطهاد </w:t>
      </w:r>
      <w:r>
        <w:rPr>
          <w:rFonts w:hint="cs"/>
          <w:rtl/>
        </w:rPr>
        <w:t xml:space="preserve">بسبب الانتماء </w:t>
      </w:r>
      <w:r w:rsidRPr="00173EA8">
        <w:rPr>
          <w:rtl/>
        </w:rPr>
        <w:t>الأسر</w:t>
      </w:r>
      <w:r>
        <w:rPr>
          <w:rFonts w:hint="cs"/>
          <w:rtl/>
        </w:rPr>
        <w:t>ي</w:t>
      </w:r>
      <w:r w:rsidRPr="00173EA8">
        <w:rPr>
          <w:rtl/>
        </w:rPr>
        <w:t xml:space="preserve"> </w:t>
      </w:r>
      <w:r>
        <w:rPr>
          <w:rFonts w:hint="cs"/>
          <w:rtl/>
        </w:rPr>
        <w:t>بالنظر إلى صلة القرابة الوثيقة ب</w:t>
      </w:r>
      <w:r w:rsidRPr="00173EA8">
        <w:rPr>
          <w:rtl/>
        </w:rPr>
        <w:t>شقيقتها.</w:t>
      </w:r>
    </w:p>
    <w:p w:rsidR="000241AA" w:rsidRPr="0056771E" w:rsidRDefault="000241AA" w:rsidP="00F35EFF">
      <w:pPr>
        <w:pStyle w:val="SingleTxtGA"/>
        <w:rPr>
          <w:rFonts w:hint="cs"/>
          <w:rtl/>
          <w:lang w:val="en-GB"/>
        </w:rPr>
      </w:pPr>
      <w:r>
        <w:rPr>
          <w:rFonts w:hint="cs"/>
          <w:rtl/>
          <w:lang w:val="en-GB"/>
        </w:rPr>
        <w:t>7-4</w:t>
      </w:r>
      <w:r>
        <w:rPr>
          <w:rFonts w:hint="cs"/>
          <w:rtl/>
          <w:lang w:val="en-GB"/>
        </w:rPr>
        <w:tab/>
        <w:t>وتشير اللجنة إلى أنه لا جدال في تعرض صاحبة الشكوى للتوقيف وسوء المعاملة في عام 1998، لكن الدولة الطرف تدفع بأن صاحبة الشكوى لم تتمكن من إثبات وجود رابط بين تلك الأحداث وبين مغادرتها لتركيا في عام 2008. وعلاوة على ذلك، تعتبر الدولة الطرف أن صاحبة الشكوى بالغت في ادعائها بشأن التعرض للتحرش والمراقبة على أيدي السلطات التركية طيلة سنوات متواصلة، بما في ذلك في الفترة التي أعقبت هروب شقيقتها من البلاد في عام 2002، وتدفع بأنه لو كانت السلطات تأبه لأمرها لكانت لجأت إلى اتخاذ تدابير أخرى.</w:t>
      </w:r>
    </w:p>
    <w:p w:rsidR="000241AA" w:rsidRPr="0056771E" w:rsidRDefault="000241AA" w:rsidP="00F35EFF">
      <w:pPr>
        <w:pStyle w:val="SingleTxtGA"/>
        <w:rPr>
          <w:rFonts w:hint="cs"/>
          <w:lang w:val="en-GB"/>
        </w:rPr>
      </w:pPr>
      <w:r>
        <w:rPr>
          <w:rFonts w:hint="cs"/>
          <w:rtl/>
          <w:lang w:val="en-GB"/>
        </w:rPr>
        <w:t>7-5</w:t>
      </w:r>
      <w:r>
        <w:rPr>
          <w:rFonts w:hint="cs"/>
          <w:rtl/>
          <w:lang w:val="en-GB"/>
        </w:rPr>
        <w:tab/>
        <w:t xml:space="preserve">وتذكِّر اللجنة بأنها </w:t>
      </w:r>
      <w:r w:rsidRPr="00912A4D">
        <w:rPr>
          <w:rtl/>
          <w:lang w:val="en-GB"/>
        </w:rPr>
        <w:t>تولي</w:t>
      </w:r>
      <w:r>
        <w:rPr>
          <w:rFonts w:hint="cs"/>
          <w:rtl/>
          <w:lang w:val="en-GB"/>
        </w:rPr>
        <w:t xml:space="preserve"> </w:t>
      </w:r>
      <w:r>
        <w:rPr>
          <w:rtl/>
          <w:lang w:val="en-GB"/>
        </w:rPr>
        <w:t>أهمية كبيرة</w:t>
      </w:r>
      <w:r>
        <w:rPr>
          <w:rFonts w:hint="cs"/>
          <w:rtl/>
          <w:lang w:val="en-GB"/>
        </w:rPr>
        <w:t>، ل</w:t>
      </w:r>
      <w:r w:rsidRPr="00912A4D">
        <w:rPr>
          <w:rtl/>
          <w:lang w:val="en-GB"/>
        </w:rPr>
        <w:t xml:space="preserve">تعليقها </w:t>
      </w:r>
      <w:r>
        <w:rPr>
          <w:rtl/>
          <w:lang w:val="en-GB"/>
        </w:rPr>
        <w:t>العام رقم 1، لتقرير الوقائع ال</w:t>
      </w:r>
      <w:r>
        <w:rPr>
          <w:rFonts w:hint="cs"/>
          <w:rtl/>
          <w:lang w:val="en-GB"/>
        </w:rPr>
        <w:t>ذي</w:t>
      </w:r>
      <w:r>
        <w:rPr>
          <w:rtl/>
          <w:lang w:val="en-GB"/>
        </w:rPr>
        <w:t xml:space="preserve"> تخلص إليه</w:t>
      </w:r>
      <w:r w:rsidRPr="00912A4D">
        <w:rPr>
          <w:rtl/>
          <w:lang w:val="en-GB"/>
        </w:rPr>
        <w:t xml:space="preserve"> أجهزة الدولة الطرف المعنية</w:t>
      </w:r>
      <w:r>
        <w:rPr>
          <w:vertAlign w:val="superscript"/>
          <w:rtl/>
          <w:lang w:val="en-GB"/>
        </w:rPr>
        <w:t>(</w:t>
      </w:r>
      <w:r>
        <w:rPr>
          <w:rStyle w:val="FootnoteReference"/>
          <w:rtl/>
          <w:lang w:val="en-GB"/>
        </w:rPr>
        <w:footnoteReference w:id="175"/>
      </w:r>
      <w:r>
        <w:rPr>
          <w:vertAlign w:val="superscript"/>
          <w:rtl/>
          <w:lang w:val="en-GB"/>
        </w:rPr>
        <w:t>)</w:t>
      </w:r>
      <w:r w:rsidRPr="00912A4D">
        <w:rPr>
          <w:rtl/>
          <w:lang w:val="en-GB"/>
        </w:rPr>
        <w:t xml:space="preserve">، لكنها في الوقت نفسه </w:t>
      </w:r>
      <w:r>
        <w:rPr>
          <w:rFonts w:hint="cs"/>
          <w:rtl/>
          <w:lang w:val="en-GB"/>
        </w:rPr>
        <w:t>لا تت</w:t>
      </w:r>
      <w:r w:rsidRPr="00912A4D">
        <w:rPr>
          <w:rtl/>
          <w:lang w:val="en-GB"/>
        </w:rPr>
        <w:t xml:space="preserve">قيد به بل </w:t>
      </w:r>
      <w:r>
        <w:rPr>
          <w:rFonts w:hint="cs"/>
          <w:rtl/>
          <w:lang w:val="en-GB"/>
        </w:rPr>
        <w:t xml:space="preserve">إنها مخولة بموجب </w:t>
      </w:r>
      <w:r w:rsidRPr="00912A4D">
        <w:rPr>
          <w:rtl/>
          <w:lang w:val="en-GB"/>
        </w:rPr>
        <w:t>الفقرة 4 من المادة 22 من الاتفاقية، سلطة تقييم الوقائع بحرية، استناداً إلى مجمل ملابسات كل قضية</w:t>
      </w:r>
      <w:r>
        <w:rPr>
          <w:rFonts w:hint="cs"/>
          <w:rtl/>
          <w:lang w:val="en-GB"/>
        </w:rPr>
        <w:t>.</w:t>
      </w:r>
    </w:p>
    <w:p w:rsidR="000241AA" w:rsidRPr="0056771E" w:rsidRDefault="000241AA" w:rsidP="000241AA">
      <w:pPr>
        <w:pStyle w:val="SingleTxtGA"/>
        <w:rPr>
          <w:rFonts w:hint="cs"/>
          <w:rtl/>
          <w:lang w:val="en-GB"/>
        </w:rPr>
      </w:pPr>
      <w:r>
        <w:rPr>
          <w:rFonts w:hint="cs"/>
          <w:rtl/>
          <w:lang w:val="en-GB"/>
        </w:rPr>
        <w:t>7-6</w:t>
      </w:r>
      <w:r>
        <w:rPr>
          <w:rFonts w:hint="cs"/>
          <w:rtl/>
          <w:lang w:val="en-GB"/>
        </w:rPr>
        <w:tab/>
        <w:t>ولتقييم خطر التعرض للتعذيب في هذه القضية، تحيط اللجنة علماً بتعرض صاحبة الشكوى للتوقيف وسوء المعاملة في عام 1998، وبادعائها الإصابة باضطرابات الصحة العقلية بسبب إساءة معاملتها في الماضي واستمرار تعرضها للتحرش والاضطهاد على أيدي السلطات التركية. وتلاحظ اللجنة في هذا الصدد، أن صاحبة الشكوى تقدم أدلة موثقة تتضمن شهادة من مركز توهاف لإعادة التأهيل تؤكد تلقيها العلاج في الفترة من عام</w:t>
      </w:r>
      <w:r>
        <w:rPr>
          <w:rFonts w:hint="eastAsia"/>
          <w:rtl/>
          <w:lang w:val="en-GB"/>
        </w:rPr>
        <w:t> </w:t>
      </w:r>
      <w:r>
        <w:rPr>
          <w:rFonts w:hint="cs"/>
          <w:rtl/>
          <w:lang w:val="en-GB"/>
        </w:rPr>
        <w:t>2002 إلى عام 2006، وتقريراً طبياً صادراً عن طبيب نفساني سويسري بتاريخ 23 آب/أغسطس 2010، يشير في جملة أمور، إلى احتمال إصابتها باضطراب</w:t>
      </w:r>
      <w:r>
        <w:rPr>
          <w:rtl/>
        </w:rPr>
        <w:t xml:space="preserve"> </w:t>
      </w:r>
      <w:r>
        <w:rPr>
          <w:rtl/>
          <w:lang w:val="en-GB"/>
        </w:rPr>
        <w:t>الإجهاد اللاحق</w:t>
      </w:r>
      <w:r w:rsidRPr="00A5410A">
        <w:rPr>
          <w:rtl/>
          <w:lang w:val="en-GB"/>
        </w:rPr>
        <w:t xml:space="preserve"> للصدمة</w:t>
      </w:r>
      <w:r>
        <w:rPr>
          <w:rFonts w:hint="cs"/>
          <w:rtl/>
          <w:lang w:val="en-GB"/>
        </w:rPr>
        <w:t>. وتشير اللجنة، علاوة على ذلك، إلى الحجج التي دفعت بها الدولة الطرف بشأن عدم إعلان صاحبة الشكوى عن إصابتها باضطرابات الصحة العقلية في أثناء إجراءات طلب اللجوء، وعدم تقديم إثبات على السبب الذي تزعم أنه كان وراء إصابتها بتلك الاضطرابات، وعدم اعتبار احتمال إصابتها باضطراب الإجهاد اللاحق للصدمة مؤشراً كبيراً على اضطهادها في تركيا، وتوفر العلاج المناسب لحالتها في تركيا.</w:t>
      </w:r>
    </w:p>
    <w:p w:rsidR="000241AA" w:rsidRPr="0056771E" w:rsidRDefault="000241AA" w:rsidP="000241AA">
      <w:pPr>
        <w:pStyle w:val="SingleTxtGA"/>
        <w:rPr>
          <w:rFonts w:hint="cs"/>
          <w:rtl/>
          <w:lang w:val="en-GB"/>
        </w:rPr>
      </w:pPr>
      <w:r>
        <w:rPr>
          <w:rFonts w:hint="cs"/>
          <w:rtl/>
          <w:lang w:val="en-GB"/>
        </w:rPr>
        <w:t>7-7</w:t>
      </w:r>
      <w:r>
        <w:rPr>
          <w:rFonts w:hint="cs"/>
          <w:rtl/>
          <w:lang w:val="en-GB"/>
        </w:rPr>
        <w:tab/>
        <w:t>وتذكِّر اللجنة بأن التعرض لسوء المعاملة أو التعذيب في الماضي لا يشكل سوى عنصراً من العناصر التي تؤخذ في الحسبان، وأن المسألة المطروحة عليها تتعلق بتحديد ما إذا كانت صاحبة الشكوى معرضة حالياً لخطر التعذيب في حالة العودة إلى تركيا. ولئن كان من المسلم به أنها تعرضت للتعذيب في الماضي، فذلك لا يعني بالضرورة أنها لا تزال معرضة حتى الآن، بعد مرور 15 عاماً على تلك الأحداث، لخطر التعذيب في حالة عودتها إلى تركيا في المستقبل المنظور</w:t>
      </w:r>
      <w:r>
        <w:rPr>
          <w:vertAlign w:val="superscript"/>
          <w:rtl/>
          <w:lang w:val="en-GB"/>
        </w:rPr>
        <w:t>(</w:t>
      </w:r>
      <w:r>
        <w:rPr>
          <w:rStyle w:val="FootnoteReference"/>
          <w:rtl/>
          <w:lang w:val="en-GB"/>
        </w:rPr>
        <w:footnoteReference w:id="176"/>
      </w:r>
      <w:r>
        <w:rPr>
          <w:vertAlign w:val="superscript"/>
          <w:rtl/>
          <w:lang w:val="en-GB"/>
        </w:rPr>
        <w:t>)</w:t>
      </w:r>
      <w:r>
        <w:rPr>
          <w:rFonts w:hint="cs"/>
          <w:rtl/>
          <w:lang w:val="en-GB"/>
        </w:rPr>
        <w:t xml:space="preserve"> وفي هذا الصدد، تلاحظ اللجنة أن صاحبة الشكوى تدعي أنها ظلت تخضع للمراقبة بصورة دائمة وتتعرض للتحرش وللتوقيف لمدد قصيرة وللاضطهاد إلى حين هروبها إلى سويسرا في عام 2008، لكنها لم تتمكن من تقديم ما يثبت أن ذلك يشكل تعذيبا. وعلاوة على ذلك، تدعي أن السلطات اشتبهت "على ما يبدو" في قيامها باستلام دور شقيقتها في الأنشطة التي كانت تضطلع بها لصالح الحركة السياسية السرية، لكنها لم</w:t>
      </w:r>
      <w:r>
        <w:rPr>
          <w:rFonts w:hint="eastAsia"/>
          <w:rtl/>
          <w:lang w:val="en-GB"/>
        </w:rPr>
        <w:t> </w:t>
      </w:r>
      <w:r>
        <w:rPr>
          <w:rFonts w:hint="cs"/>
          <w:rtl/>
          <w:lang w:val="en-GB"/>
        </w:rPr>
        <w:t>تقدم أي دليل على أنها استدعيت في إحدى المرات للاستجواب أو وجه إليها الاتهام بسبب الاشتباه في مشاركتها في أنشطة حزب العمال الكردستاني؛ كما أنها لم تقدم أي دليل يؤكد ادعاءها بأن الشرطة كانت تفتش عنها في منزل والديها منذ أن فرت إلى سويسرا. وتشير اللجنة كذلك إلى أن صاحبة الشكوى لم تدع أبداً أن أفراد أسرتها المقيمين في اسطنبول يتعرضون للاضطهاد بسبب فرارها وفرار شقيقتها إلى سويسرا. وما من شك علاوة على ذلك، في أن صاحبة الشكوى نفسها لم تتعرض للإدانة أو المقاضاة أو توجيه الاتهام بسبب ارتكاب جريمة من الجرائم في تركيا؛ ولم تقم بنشاط سياسي في سويسرا؛ ولم</w:t>
      </w:r>
      <w:r>
        <w:rPr>
          <w:rFonts w:hint="eastAsia"/>
          <w:rtl/>
          <w:lang w:val="en-GB"/>
        </w:rPr>
        <w:t> </w:t>
      </w:r>
      <w:r>
        <w:rPr>
          <w:rFonts w:hint="cs"/>
          <w:rtl/>
          <w:lang w:val="en-GB"/>
        </w:rPr>
        <w:t>تكن تتعاون مع أعضاء حزب العمال الكردستاني سواء في تركيا أو في سويسرا.</w:t>
      </w:r>
    </w:p>
    <w:p w:rsidR="000241AA" w:rsidRPr="00823215" w:rsidRDefault="000241AA" w:rsidP="000241AA">
      <w:pPr>
        <w:pStyle w:val="SingleTxtGA"/>
        <w:rPr>
          <w:rFonts w:hint="cs"/>
        </w:rPr>
      </w:pPr>
      <w:r w:rsidRPr="00823215">
        <w:rPr>
          <w:rFonts w:hint="cs"/>
          <w:rtl/>
        </w:rPr>
        <w:t>7-8</w:t>
      </w:r>
      <w:r w:rsidRPr="00823215">
        <w:rPr>
          <w:rFonts w:hint="cs"/>
          <w:rtl/>
        </w:rPr>
        <w:tab/>
        <w:t>وتحيط اللجنة علم</w:t>
      </w:r>
      <w:r>
        <w:rPr>
          <w:rFonts w:hint="cs"/>
          <w:rtl/>
        </w:rPr>
        <w:t xml:space="preserve">اً </w:t>
      </w:r>
      <w:r w:rsidRPr="00823215">
        <w:rPr>
          <w:rFonts w:hint="cs"/>
          <w:rtl/>
        </w:rPr>
        <w:t>بالمعلومات التي قدمها الطرفان بشأن حالة حقوق الإنسان بوجه عام في تركيا.وتشير إلى معلومات وردت في تقارير صادرة حديثا، تفيد بحدوث بعض التحسن في الحالة عموماً، على صعيد احترام القانون الدولي لحقوق الإنسان، وبتواصل الجهود في تركيا لضمان الامتثال للضمانات القانونية لمنع التعذيب وسوء المعاملة من خلال تنظيم حملة متواصلة بعنوان "عدم التسامح مطلق</w:t>
      </w:r>
      <w:r>
        <w:rPr>
          <w:rFonts w:hint="cs"/>
          <w:rtl/>
        </w:rPr>
        <w:t xml:space="preserve">اً </w:t>
      </w:r>
      <w:r w:rsidRPr="00823215">
        <w:rPr>
          <w:rFonts w:hint="cs"/>
          <w:rtl/>
        </w:rPr>
        <w:t>مع ممارسة التعذيب"</w:t>
      </w:r>
      <w:r w:rsidRPr="00823215">
        <w:rPr>
          <w:vertAlign w:val="superscript"/>
          <w:rtl/>
        </w:rPr>
        <w:t>(</w:t>
      </w:r>
      <w:r w:rsidRPr="00823215">
        <w:rPr>
          <w:rStyle w:val="FootnoteReference"/>
          <w:color w:val="000000"/>
          <w:rtl/>
        </w:rPr>
        <w:footnoteReference w:id="177"/>
      </w:r>
      <w:r w:rsidRPr="00823215">
        <w:rPr>
          <w:vertAlign w:val="superscript"/>
          <w:rtl/>
        </w:rPr>
        <w:t>)</w:t>
      </w:r>
      <w:r w:rsidRPr="00823215">
        <w:rPr>
          <w:rFonts w:hint="cs"/>
          <w:rtl/>
        </w:rPr>
        <w:t>، وبتراجع عدد حالات سوء المعاملة وحدتها باطراد</w:t>
      </w:r>
      <w:r w:rsidRPr="00823215">
        <w:rPr>
          <w:vertAlign w:val="superscript"/>
          <w:rtl/>
        </w:rPr>
        <w:t>(</w:t>
      </w:r>
      <w:r w:rsidRPr="00823215">
        <w:rPr>
          <w:rStyle w:val="FootnoteReference"/>
          <w:color w:val="000000"/>
          <w:rtl/>
        </w:rPr>
        <w:footnoteReference w:id="178"/>
      </w:r>
      <w:r w:rsidRPr="00823215">
        <w:rPr>
          <w:vertAlign w:val="superscript"/>
          <w:rtl/>
        </w:rPr>
        <w:t>)</w:t>
      </w:r>
      <w:r w:rsidRPr="00823215">
        <w:rPr>
          <w:rFonts w:hint="cs"/>
          <w:rtl/>
        </w:rPr>
        <w:t>. وتشير التقارير أيضا</w:t>
      </w:r>
      <w:r w:rsidR="00FA367A">
        <w:rPr>
          <w:rFonts w:hint="cs"/>
          <w:rtl/>
        </w:rPr>
        <w:t>ً</w:t>
      </w:r>
      <w:r w:rsidRPr="00823215">
        <w:rPr>
          <w:rFonts w:hint="cs"/>
          <w:rtl/>
        </w:rPr>
        <w:t>، إلى أن استخدام موظفي إنفاذ القانون للقوة بشكل غير متناسب لا يزال يشكل مصدر</w:t>
      </w:r>
      <w:r>
        <w:rPr>
          <w:rFonts w:hint="cs"/>
          <w:rtl/>
        </w:rPr>
        <w:t xml:space="preserve">اً </w:t>
      </w:r>
      <w:r w:rsidRPr="00823215">
        <w:rPr>
          <w:rFonts w:hint="cs"/>
          <w:rtl/>
        </w:rPr>
        <w:t>للقلق</w:t>
      </w:r>
      <w:r w:rsidRPr="00823215">
        <w:rPr>
          <w:vertAlign w:val="superscript"/>
          <w:rtl/>
        </w:rPr>
        <w:t>(</w:t>
      </w:r>
      <w:r w:rsidRPr="00823215">
        <w:rPr>
          <w:rStyle w:val="FootnoteReference"/>
          <w:color w:val="000000"/>
          <w:rtl/>
        </w:rPr>
        <w:footnoteReference w:id="179"/>
      </w:r>
      <w:r w:rsidRPr="00823215">
        <w:rPr>
          <w:vertAlign w:val="superscript"/>
          <w:rtl/>
        </w:rPr>
        <w:t>)</w:t>
      </w:r>
      <w:r w:rsidRPr="00823215">
        <w:rPr>
          <w:rFonts w:hint="cs"/>
          <w:rtl/>
        </w:rPr>
        <w:t>، وإلى أن الإبلاغ عن حالات التعذيب لا يزال مستمر</w:t>
      </w:r>
      <w:r>
        <w:rPr>
          <w:rFonts w:hint="cs"/>
          <w:rtl/>
        </w:rPr>
        <w:t xml:space="preserve">اً </w:t>
      </w:r>
      <w:r w:rsidRPr="00823215">
        <w:rPr>
          <w:rFonts w:hint="cs"/>
          <w:rtl/>
        </w:rPr>
        <w:t>حتى الآن</w:t>
      </w:r>
      <w:r w:rsidRPr="00823215">
        <w:rPr>
          <w:vertAlign w:val="superscript"/>
          <w:rtl/>
        </w:rPr>
        <w:t>(</w:t>
      </w:r>
      <w:r w:rsidRPr="00823215">
        <w:rPr>
          <w:rStyle w:val="FootnoteReference"/>
          <w:color w:val="000000"/>
          <w:rtl/>
        </w:rPr>
        <w:footnoteReference w:id="180"/>
      </w:r>
      <w:r w:rsidRPr="00823215">
        <w:rPr>
          <w:vertAlign w:val="superscript"/>
          <w:rtl/>
        </w:rPr>
        <w:t>)</w:t>
      </w:r>
      <w:r w:rsidRPr="00823215">
        <w:rPr>
          <w:rFonts w:hint="cs"/>
          <w:rtl/>
        </w:rPr>
        <w:t>. بيد أن اللجنة تلاحظ عدم ورود أي إشارة في هذه التقارير عن استهداف أفراد أسر مناضلي حزب العمال الكردستاني أو تعرضهم للتعذي</w:t>
      </w:r>
      <w:r>
        <w:rPr>
          <w:rFonts w:hint="cs"/>
          <w:rtl/>
        </w:rPr>
        <w:t>ب بوجه خاص. أما فيما يتعلق بادعاء</w:t>
      </w:r>
      <w:r w:rsidRPr="00823215">
        <w:rPr>
          <w:rFonts w:hint="cs"/>
          <w:rtl/>
        </w:rPr>
        <w:t xml:space="preserve"> صاحبة الشكوى </w:t>
      </w:r>
      <w:r>
        <w:rPr>
          <w:rFonts w:hint="cs"/>
          <w:rtl/>
        </w:rPr>
        <w:t>أنها ستتعرض للتوقيف والاستجواب عند عودتها</w:t>
      </w:r>
      <w:r w:rsidRPr="00823215">
        <w:rPr>
          <w:rFonts w:hint="cs"/>
          <w:rtl/>
        </w:rPr>
        <w:t xml:space="preserve">، فإن اللجنة تذكِّر بأن </w:t>
      </w:r>
      <w:r>
        <w:rPr>
          <w:rFonts w:hint="cs"/>
          <w:rtl/>
        </w:rPr>
        <w:t>مجرد وجود احتمال التعرض للتوقيف</w:t>
      </w:r>
      <w:r w:rsidRPr="00823215">
        <w:rPr>
          <w:rFonts w:hint="cs"/>
          <w:rtl/>
        </w:rPr>
        <w:t xml:space="preserve"> والاستج</w:t>
      </w:r>
      <w:r>
        <w:rPr>
          <w:rFonts w:hint="cs"/>
          <w:rtl/>
        </w:rPr>
        <w:t xml:space="preserve">واب لا يكفي لاستنتاج وجود خطر </w:t>
      </w:r>
      <w:r w:rsidRPr="00823215">
        <w:rPr>
          <w:rFonts w:hint="cs"/>
          <w:rtl/>
        </w:rPr>
        <w:t>تعرض للتعذيب أيضا</w:t>
      </w:r>
      <w:r>
        <w:rPr>
          <w:rFonts w:hint="cs"/>
          <w:rtl/>
        </w:rPr>
        <w:t>ً</w:t>
      </w:r>
      <w:r w:rsidRPr="00823215">
        <w:rPr>
          <w:vertAlign w:val="superscript"/>
          <w:rtl/>
        </w:rPr>
        <w:t>(</w:t>
      </w:r>
      <w:r w:rsidRPr="00823215">
        <w:rPr>
          <w:rStyle w:val="FootnoteReference"/>
          <w:color w:val="000000"/>
          <w:rtl/>
        </w:rPr>
        <w:footnoteReference w:id="181"/>
      </w:r>
      <w:r w:rsidRPr="00823215">
        <w:rPr>
          <w:vertAlign w:val="superscript"/>
          <w:rtl/>
        </w:rPr>
        <w:t>)</w:t>
      </w:r>
      <w:r w:rsidRPr="00823215">
        <w:rPr>
          <w:rFonts w:hint="cs"/>
          <w:rtl/>
        </w:rPr>
        <w:t>.</w:t>
      </w:r>
    </w:p>
    <w:p w:rsidR="000241AA" w:rsidRPr="004620E1" w:rsidRDefault="000241AA" w:rsidP="000241AA">
      <w:pPr>
        <w:pStyle w:val="SingleTxtGA"/>
        <w:rPr>
          <w:rFonts w:hint="cs"/>
        </w:rPr>
      </w:pPr>
      <w:r>
        <w:rPr>
          <w:rFonts w:hint="cs"/>
          <w:rtl/>
        </w:rPr>
        <w:t>7-9</w:t>
      </w:r>
      <w:r>
        <w:rPr>
          <w:rFonts w:hint="cs"/>
          <w:rtl/>
        </w:rPr>
        <w:tab/>
      </w:r>
      <w:r w:rsidRPr="004620E1">
        <w:rPr>
          <w:rtl/>
        </w:rPr>
        <w:t xml:space="preserve">وفي ضوء الاعتبارات السابقة، </w:t>
      </w:r>
      <w:r>
        <w:rPr>
          <w:rFonts w:hint="cs"/>
          <w:rtl/>
        </w:rPr>
        <w:t xml:space="preserve">ترى </w:t>
      </w:r>
      <w:r w:rsidRPr="004620E1">
        <w:rPr>
          <w:rtl/>
        </w:rPr>
        <w:t xml:space="preserve">اللجنة أن </w:t>
      </w:r>
      <w:r>
        <w:rPr>
          <w:rFonts w:hint="cs"/>
          <w:rtl/>
        </w:rPr>
        <w:t>الوقائع</w:t>
      </w:r>
      <w:r w:rsidRPr="004620E1">
        <w:rPr>
          <w:rtl/>
        </w:rPr>
        <w:t xml:space="preserve"> </w:t>
      </w:r>
      <w:r>
        <w:rPr>
          <w:rFonts w:hint="cs"/>
          <w:rtl/>
        </w:rPr>
        <w:t xml:space="preserve">المعروضة </w:t>
      </w:r>
      <w:r>
        <w:rPr>
          <w:rtl/>
        </w:rPr>
        <w:t>لا ت</w:t>
      </w:r>
      <w:r>
        <w:rPr>
          <w:rFonts w:hint="cs"/>
          <w:rtl/>
        </w:rPr>
        <w:t>سمح</w:t>
      </w:r>
      <w:r w:rsidRPr="00B427BA">
        <w:rPr>
          <w:rtl/>
        </w:rPr>
        <w:t xml:space="preserve"> لها </w:t>
      </w:r>
      <w:r>
        <w:rPr>
          <w:rFonts w:hint="cs"/>
          <w:rtl/>
        </w:rPr>
        <w:t>ب</w:t>
      </w:r>
      <w:r w:rsidRPr="00B427BA">
        <w:rPr>
          <w:rtl/>
        </w:rPr>
        <w:t xml:space="preserve">أن تخلص إلى </w:t>
      </w:r>
      <w:r>
        <w:rPr>
          <w:rFonts w:hint="cs"/>
          <w:rtl/>
        </w:rPr>
        <w:t xml:space="preserve">أن </w:t>
      </w:r>
      <w:r w:rsidRPr="00B427BA">
        <w:rPr>
          <w:rtl/>
        </w:rPr>
        <w:t>صاحب</w:t>
      </w:r>
      <w:r>
        <w:rPr>
          <w:rFonts w:hint="cs"/>
          <w:rtl/>
        </w:rPr>
        <w:t>ة</w:t>
      </w:r>
      <w:r w:rsidRPr="00B427BA">
        <w:rPr>
          <w:rtl/>
        </w:rPr>
        <w:t xml:space="preserve"> الشكوى</w:t>
      </w:r>
      <w:r>
        <w:rPr>
          <w:rFonts w:hint="cs"/>
          <w:rtl/>
        </w:rPr>
        <w:t xml:space="preserve"> ستواجه، في حال عودتها إلى تركيا، </w:t>
      </w:r>
      <w:r w:rsidRPr="00B427BA">
        <w:rPr>
          <w:rtl/>
        </w:rPr>
        <w:t>خطر</w:t>
      </w:r>
      <w:r>
        <w:rPr>
          <w:rFonts w:hint="cs"/>
          <w:rtl/>
        </w:rPr>
        <w:t>اً شخصياً و</w:t>
      </w:r>
      <w:r w:rsidRPr="00B427BA">
        <w:rPr>
          <w:rtl/>
        </w:rPr>
        <w:t>حقيقي</w:t>
      </w:r>
      <w:r>
        <w:rPr>
          <w:rFonts w:hint="cs"/>
          <w:rtl/>
        </w:rPr>
        <w:t>اً و</w:t>
      </w:r>
      <w:r w:rsidRPr="00B427BA">
        <w:rPr>
          <w:rtl/>
        </w:rPr>
        <w:t>متوقع</w:t>
      </w:r>
      <w:r>
        <w:rPr>
          <w:rFonts w:hint="cs"/>
          <w:rtl/>
        </w:rPr>
        <w:t xml:space="preserve">اً بالتعرض </w:t>
      </w:r>
      <w:r>
        <w:rPr>
          <w:rtl/>
        </w:rPr>
        <w:t>للتعذيب</w:t>
      </w:r>
      <w:r>
        <w:rPr>
          <w:rFonts w:hint="cs"/>
          <w:rtl/>
        </w:rPr>
        <w:t xml:space="preserve"> بالمعنى المقصود في ا</w:t>
      </w:r>
      <w:r w:rsidRPr="004620E1">
        <w:rPr>
          <w:rtl/>
        </w:rPr>
        <w:t>لمادة 3 من الاتفاقية</w:t>
      </w:r>
      <w:r>
        <w:rPr>
          <w:rFonts w:hint="cs"/>
          <w:rtl/>
        </w:rPr>
        <w:t>. وعليه</w:t>
      </w:r>
      <w:r w:rsidRPr="004620E1">
        <w:rPr>
          <w:rtl/>
        </w:rPr>
        <w:t>،</w:t>
      </w:r>
      <w:r>
        <w:rPr>
          <w:rFonts w:hint="cs"/>
          <w:rtl/>
        </w:rPr>
        <w:t xml:space="preserve"> تخلص اللجنة إلى أن إبعادها إلى تركيا لن يشكل انتهاكاً للمادة 3 من الاتفاقية.</w:t>
      </w:r>
    </w:p>
    <w:p w:rsidR="000241AA" w:rsidRPr="00360ED8" w:rsidRDefault="000241AA" w:rsidP="000241AA">
      <w:pPr>
        <w:pStyle w:val="SingleTxtGA"/>
        <w:rPr>
          <w:rFonts w:hint="cs"/>
        </w:rPr>
      </w:pPr>
      <w:r w:rsidRPr="004E35E8">
        <w:rPr>
          <w:rFonts w:hint="cs"/>
          <w:rtl/>
        </w:rPr>
        <w:t>8-</w:t>
      </w:r>
      <w:r>
        <w:rPr>
          <w:rFonts w:hint="cs"/>
          <w:rtl/>
        </w:rPr>
        <w:tab/>
        <w:t>وبناء على ذلك</w:t>
      </w:r>
      <w:r w:rsidRPr="00360ED8">
        <w:rPr>
          <w:rtl/>
        </w:rPr>
        <w:t>، فإن لجنة مناهضة التعذيب، إذ تعمل بموجب الفقرة 7 من المادة</w:t>
      </w:r>
      <w:r>
        <w:rPr>
          <w:rFonts w:hint="cs"/>
          <w:rtl/>
        </w:rPr>
        <w:t> </w:t>
      </w:r>
      <w:r w:rsidRPr="00360ED8">
        <w:rPr>
          <w:rtl/>
        </w:rPr>
        <w:t>22 من اتفاقية مناهضة التعذيب وغيره من ضروب المعاملة أو العقوبة القاسية أو</w:t>
      </w:r>
      <w:r>
        <w:rPr>
          <w:rFonts w:hint="cs"/>
          <w:rtl/>
        </w:rPr>
        <w:t> </w:t>
      </w:r>
      <w:r w:rsidRPr="00360ED8">
        <w:rPr>
          <w:rtl/>
        </w:rPr>
        <w:t>اللاإ</w:t>
      </w:r>
      <w:r>
        <w:rPr>
          <w:rtl/>
        </w:rPr>
        <w:t xml:space="preserve">نسانية أو المهينة، تخلص إلى أن </w:t>
      </w:r>
      <w:r>
        <w:rPr>
          <w:rFonts w:hint="cs"/>
          <w:rtl/>
        </w:rPr>
        <w:t>ترحيل</w:t>
      </w:r>
      <w:r w:rsidRPr="00360ED8">
        <w:rPr>
          <w:rtl/>
        </w:rPr>
        <w:t xml:space="preserve"> صاحب</w:t>
      </w:r>
      <w:r>
        <w:rPr>
          <w:rFonts w:hint="cs"/>
          <w:rtl/>
        </w:rPr>
        <w:t>ة</w:t>
      </w:r>
      <w:r w:rsidRPr="00360ED8">
        <w:rPr>
          <w:rtl/>
        </w:rPr>
        <w:t xml:space="preserve"> الشكوى إلى </w:t>
      </w:r>
      <w:r>
        <w:rPr>
          <w:rFonts w:hint="cs"/>
          <w:rtl/>
        </w:rPr>
        <w:t>تركيا</w:t>
      </w:r>
      <w:r w:rsidRPr="00360ED8">
        <w:rPr>
          <w:rtl/>
        </w:rPr>
        <w:t xml:space="preserve"> لن يشكل </w:t>
      </w:r>
      <w:r>
        <w:rPr>
          <w:rFonts w:hint="cs"/>
          <w:rtl/>
        </w:rPr>
        <w:t>انتهاك</w:t>
      </w:r>
      <w:r w:rsidRPr="00360ED8">
        <w:rPr>
          <w:rtl/>
        </w:rPr>
        <w:t>اً للمادة 3 من الاتفاقية</w:t>
      </w:r>
      <w:r>
        <w:rPr>
          <w:rFonts w:hint="cs"/>
          <w:rtl/>
        </w:rPr>
        <w:t>.</w:t>
      </w:r>
    </w:p>
    <w:p w:rsidR="000241AA" w:rsidRPr="00036EB5" w:rsidRDefault="000241AA" w:rsidP="00036EB5">
      <w:pPr>
        <w:pStyle w:val="HChGA"/>
        <w:spacing w:before="120"/>
        <w:rPr>
          <w:rFonts w:hint="cs"/>
        </w:rPr>
      </w:pPr>
      <w:r>
        <w:rPr>
          <w:u w:val="single"/>
          <w:rtl/>
        </w:rPr>
        <w:br w:type="page"/>
      </w:r>
      <w:r w:rsidR="00036EB5" w:rsidRPr="00036EB5">
        <w:rPr>
          <w:rFonts w:hint="cs"/>
          <w:rtl/>
        </w:rPr>
        <w:t>التذييل</w:t>
      </w:r>
    </w:p>
    <w:p w:rsidR="000241AA" w:rsidRPr="00855972" w:rsidRDefault="000241AA" w:rsidP="00036EB5">
      <w:pPr>
        <w:pStyle w:val="HChGA"/>
        <w:rPr>
          <w:rFonts w:hint="cs"/>
        </w:rPr>
      </w:pPr>
      <w:r>
        <w:rPr>
          <w:rtl/>
        </w:rPr>
        <w:tab/>
      </w:r>
      <w:r>
        <w:rPr>
          <w:rFonts w:hint="cs"/>
          <w:rtl/>
        </w:rPr>
        <w:tab/>
      </w:r>
      <w:r w:rsidRPr="00855972">
        <w:rPr>
          <w:rFonts w:hint="cs"/>
          <w:rtl/>
        </w:rPr>
        <w:t>رأي فردي لعضو اللجنة السيد أليسيو بروني (مخالف)</w:t>
      </w:r>
    </w:p>
    <w:p w:rsidR="000241AA" w:rsidRPr="0056771E" w:rsidRDefault="000241AA" w:rsidP="000241AA">
      <w:pPr>
        <w:pStyle w:val="SingleTxtGA"/>
        <w:rPr>
          <w:rFonts w:eastAsia="Calibri" w:hint="cs"/>
        </w:rPr>
      </w:pPr>
      <w:r>
        <w:rPr>
          <w:rFonts w:eastAsia="Calibri"/>
          <w:rtl/>
        </w:rPr>
        <w:tab/>
      </w:r>
      <w:r>
        <w:rPr>
          <w:rFonts w:eastAsia="Calibri" w:hint="cs"/>
          <w:rtl/>
        </w:rPr>
        <w:t xml:space="preserve">إن إعادة صاحبة الشكوى قسراً يشكل من وجهة نظري، انتهاكاً من الدولة الطرف للمادة 3 من اتفاقية </w:t>
      </w:r>
      <w:r w:rsidRPr="00360ED8">
        <w:rPr>
          <w:b/>
          <w:rtl/>
        </w:rPr>
        <w:t>مناهضة التعذيب وغيره من ضروب المعاملة أو العقوبة القاسية أو</w:t>
      </w:r>
      <w:r>
        <w:rPr>
          <w:rFonts w:hint="cs"/>
          <w:b/>
          <w:rtl/>
        </w:rPr>
        <w:t> </w:t>
      </w:r>
      <w:r w:rsidRPr="00360ED8">
        <w:rPr>
          <w:b/>
          <w:rtl/>
        </w:rPr>
        <w:t>اللاإنسانية أو المهينة</w:t>
      </w:r>
      <w:r>
        <w:rPr>
          <w:rFonts w:eastAsia="Calibri" w:hint="cs"/>
          <w:rtl/>
        </w:rPr>
        <w:t xml:space="preserve"> وذلك للأسباب التالية:</w:t>
      </w:r>
    </w:p>
    <w:p w:rsidR="000241AA" w:rsidRPr="0056771E" w:rsidRDefault="000241AA" w:rsidP="000241AA">
      <w:pPr>
        <w:pStyle w:val="SingleTxtGA"/>
        <w:rPr>
          <w:rFonts w:eastAsia="Calibri" w:hint="cs"/>
        </w:rPr>
      </w:pPr>
      <w:r>
        <w:rPr>
          <w:rFonts w:eastAsia="Calibri"/>
          <w:rtl/>
        </w:rPr>
        <w:tab/>
      </w:r>
      <w:r>
        <w:rPr>
          <w:rFonts w:eastAsia="Calibri" w:hint="cs"/>
          <w:rtl/>
        </w:rPr>
        <w:t>(أ)</w:t>
      </w:r>
      <w:r>
        <w:rPr>
          <w:rFonts w:eastAsia="Calibri" w:hint="cs"/>
          <w:rtl/>
        </w:rPr>
        <w:tab/>
        <w:t>يبدو من المعلومات المقدمة للجنة أن صاحبة الشكوى تنتمي إلى إحدى الأسر المعروفة في تركيا بتأييدها للآراء والأنشطة السياسية المناصرة للأكراد والتي تعتبرها الحكومة غير قانونية. فقد أُلقي القبض على شقيقة صاحبة الشكوى بسبب قيامها بأنشطة سياسية لمصلحة حزب العمل الشيوعي غير الشرعي في عام 1995، واتهمت بقتل بأحد رجال الشرطة في تبادل لإطلاق النار أثناء القبض عليها. وعُذبت وحكم عليها بالسجن مدى الحياة. وعندما حصلت على إفراج مشروط لمدة ستة شهور في عام 2002، هربت إلى سويسرا حيث منحت حق اللجوء في عام 2003. وطلبت تركيا تسليمها غير أن سويسرا رفضت طلبها استناداً إلى مبدأ عدم الإعادة القسرية؛</w:t>
      </w:r>
    </w:p>
    <w:p w:rsidR="000241AA" w:rsidRPr="0056771E" w:rsidRDefault="000241AA" w:rsidP="000241AA">
      <w:pPr>
        <w:pStyle w:val="SingleTxtGA"/>
        <w:rPr>
          <w:rFonts w:eastAsia="Calibri" w:hint="cs"/>
        </w:rPr>
      </w:pPr>
      <w:r>
        <w:rPr>
          <w:rFonts w:eastAsia="Calibri"/>
          <w:rtl/>
        </w:rPr>
        <w:tab/>
      </w:r>
      <w:r>
        <w:rPr>
          <w:rFonts w:eastAsia="Calibri" w:hint="cs"/>
          <w:rtl/>
        </w:rPr>
        <w:t>(ب)</w:t>
      </w:r>
      <w:r>
        <w:rPr>
          <w:rFonts w:eastAsia="Calibri" w:hint="cs"/>
          <w:rtl/>
        </w:rPr>
        <w:tab/>
        <w:t>إن انتماء صاحبة الشكوى إلى أسرة لها أبناء تبحث عنهم الشرطة التركية، وكونها شقيقة شخص رفضت الدولة الطرف تسليمه استناداً إلى مبدأ عدم الإعادة القسرية يشكل عنصراً من عناصر الخطر الشخصي والحقيقي والمتوقع بتعرض صاحبة الشكوى لسوء المعاملة في حال عودتها إلى تركيا. ويمكن أن تتعرض للتوقيف والاستجواب وأغلب الظن أنها ستُعامل معاملة تتنافى مع المادة 1 من الاتفاقية لتُنتزع منها معلومات عن أفراد أسرتها وأنشطتهم في الخارج. وقد تلقت بالفعل تهديدات من الشرطة عندما جاءت تفتش عن شقيقتها في عامي 1995 و2002؛</w:t>
      </w:r>
    </w:p>
    <w:p w:rsidR="000241AA" w:rsidRPr="00124D43" w:rsidRDefault="000241AA" w:rsidP="00124D43">
      <w:pPr>
        <w:pStyle w:val="SingleTxtGA"/>
        <w:rPr>
          <w:rFonts w:eastAsia="Calibri" w:hint="cs"/>
          <w:spacing w:val="-4"/>
        </w:rPr>
      </w:pPr>
      <w:r w:rsidRPr="00124D43">
        <w:rPr>
          <w:rFonts w:eastAsia="Calibri"/>
          <w:spacing w:val="-2"/>
          <w:rtl/>
        </w:rPr>
        <w:tab/>
      </w:r>
      <w:r w:rsidRPr="00124D43">
        <w:rPr>
          <w:rFonts w:eastAsia="Calibri" w:hint="cs"/>
          <w:spacing w:val="-2"/>
          <w:rtl/>
        </w:rPr>
        <w:t>(ج)</w:t>
      </w:r>
      <w:r w:rsidRPr="00124D43">
        <w:rPr>
          <w:rFonts w:eastAsia="Calibri" w:hint="cs"/>
          <w:spacing w:val="-2"/>
          <w:rtl/>
        </w:rPr>
        <w:tab/>
        <w:t>تدفع الدولة الطرف بعدم تعرض والدي صاحبة الشكوى المقيمين في</w:t>
      </w:r>
      <w:r w:rsidR="00124D43" w:rsidRPr="00124D43">
        <w:rPr>
          <w:rFonts w:eastAsia="Calibri" w:hint="cs"/>
          <w:spacing w:val="-2"/>
          <w:rtl/>
        </w:rPr>
        <w:t xml:space="preserve"> </w:t>
      </w:r>
      <w:r w:rsidRPr="00124D43">
        <w:rPr>
          <w:rFonts w:eastAsia="Calibri" w:hint="cs"/>
          <w:spacing w:val="-2"/>
          <w:rtl/>
        </w:rPr>
        <w:t xml:space="preserve">اسطنبول للاضطهاد. ومن السهل إيجاد تفسير لذلك كونهما يعيشان في اسطنبول وبالتالي، </w:t>
      </w:r>
      <w:r w:rsidRPr="00124D43">
        <w:rPr>
          <w:rFonts w:eastAsia="Calibri" w:hint="cs"/>
          <w:spacing w:val="-4"/>
          <w:rtl/>
        </w:rPr>
        <w:t>لا</w:t>
      </w:r>
      <w:r w:rsidR="00124D43" w:rsidRPr="00124D43">
        <w:rPr>
          <w:rFonts w:eastAsia="Calibri" w:hint="eastAsia"/>
          <w:spacing w:val="-4"/>
          <w:rtl/>
        </w:rPr>
        <w:t> </w:t>
      </w:r>
      <w:r w:rsidRPr="00124D43">
        <w:rPr>
          <w:rFonts w:eastAsia="Calibri" w:hint="cs"/>
          <w:spacing w:val="-4"/>
          <w:rtl/>
        </w:rPr>
        <w:t>يملكان أي معلومات مباشرة مفيدة يدليان بها للشرطة عن أنشطة باقي أفراد الأسرة في</w:t>
      </w:r>
      <w:r w:rsidR="00124D43" w:rsidRPr="00124D43">
        <w:rPr>
          <w:rFonts w:eastAsia="Calibri" w:hint="cs"/>
          <w:spacing w:val="-4"/>
          <w:rtl/>
        </w:rPr>
        <w:t xml:space="preserve"> </w:t>
      </w:r>
      <w:r w:rsidRPr="00124D43">
        <w:rPr>
          <w:rFonts w:eastAsia="Calibri" w:hint="cs"/>
          <w:spacing w:val="-4"/>
          <w:rtl/>
        </w:rPr>
        <w:t>الخارج؛</w:t>
      </w:r>
    </w:p>
    <w:p w:rsidR="000241AA" w:rsidRPr="0056771E" w:rsidRDefault="000241AA" w:rsidP="000241AA">
      <w:pPr>
        <w:pStyle w:val="SingleTxtGA"/>
        <w:rPr>
          <w:rFonts w:eastAsia="Calibri" w:hint="cs"/>
        </w:rPr>
      </w:pPr>
      <w:r>
        <w:rPr>
          <w:rFonts w:eastAsia="Calibri"/>
          <w:rtl/>
        </w:rPr>
        <w:tab/>
      </w:r>
      <w:r>
        <w:rPr>
          <w:rFonts w:eastAsia="Calibri" w:hint="cs"/>
          <w:rtl/>
        </w:rPr>
        <w:t>(د)</w:t>
      </w:r>
      <w:r>
        <w:rPr>
          <w:rFonts w:eastAsia="Calibri" w:hint="cs"/>
          <w:rtl/>
        </w:rPr>
        <w:tab/>
        <w:t>كما أن صاحبة الشكوى قد تلفت اهتمام سلطات الشرطة التركية للأسباب التالية:</w:t>
      </w:r>
    </w:p>
    <w:p w:rsidR="000241AA" w:rsidRPr="00124D43" w:rsidRDefault="000241AA" w:rsidP="00510C3D">
      <w:pPr>
        <w:pStyle w:val="Roman1GA"/>
        <w:numPr>
          <w:ilvl w:val="0"/>
          <w:numId w:val="36"/>
        </w:numPr>
        <w:tabs>
          <w:tab w:val="clear" w:pos="2041"/>
          <w:tab w:val="left" w:pos="2570"/>
        </w:tabs>
        <w:bidi/>
        <w:ind w:left="2570" w:hanging="322"/>
        <w:jc w:val="lowKashida"/>
        <w:rPr>
          <w:rFonts w:eastAsia="Calibri" w:hint="cs"/>
          <w:spacing w:val="-2"/>
          <w:kern w:val="0"/>
        </w:rPr>
      </w:pPr>
      <w:r w:rsidRPr="00124D43">
        <w:rPr>
          <w:rFonts w:eastAsia="Calibri" w:hint="cs"/>
          <w:spacing w:val="0"/>
          <w:kern w:val="0"/>
          <w:rtl/>
        </w:rPr>
        <w:t xml:space="preserve">الاشتباه في استغلالها للشبه الكبير بينها وبين شقيقتها لتيسير هروبها. وينبغي الإشارة في هذا الصدد، إلى أن هذا الشبه قد تسبب في القبض عليها لفترات وجيزة أثناء زيارة شقيقتها في السجن. والأرجح أن عمليات إلقاء القبض عليها هذه كانت ترمي إلى منعها من أخذ مكان شقيقتها في السجن ليتسنى </w:t>
      </w:r>
      <w:r w:rsidRPr="00124D43">
        <w:rPr>
          <w:rFonts w:eastAsia="Calibri" w:hint="cs"/>
          <w:spacing w:val="-2"/>
          <w:kern w:val="0"/>
          <w:rtl/>
        </w:rPr>
        <w:t xml:space="preserve">لها الهروب. </w:t>
      </w:r>
      <w:r w:rsidR="00BE6C28">
        <w:rPr>
          <w:rFonts w:eastAsia="Calibri" w:hint="cs"/>
          <w:spacing w:val="-2"/>
          <w:kern w:val="0"/>
          <w:rtl/>
        </w:rPr>
        <w:t>و</w:t>
      </w:r>
      <w:r w:rsidRPr="00124D43">
        <w:rPr>
          <w:rFonts w:eastAsia="Calibri" w:hint="cs"/>
          <w:spacing w:val="-2"/>
          <w:kern w:val="0"/>
          <w:rtl/>
        </w:rPr>
        <w:t>تدفع الدولة الطرف بأن صاحبة الشكوى كانت ستواجه اتهامات جنائية لو أن سلطات الشرطة اشتبهت في استغلالها الشبه بينها وبين شقيقتها لمساعدتها على الهرب من السجن. وبما أن صاحبة الشكوى كانت تخضع لمراقبة الشرطة التي كانت تسعى إلى اعتراض اتصالاتها بشقيقتها فإن ذلك لم يكن ضرورياً غير أنه قد يحدث في حال عادت إلى تركيا؛</w:t>
      </w:r>
    </w:p>
    <w:p w:rsidR="000241AA" w:rsidRPr="00124D43" w:rsidRDefault="000241AA" w:rsidP="00036EB5">
      <w:pPr>
        <w:pStyle w:val="Roman1GA"/>
        <w:tabs>
          <w:tab w:val="clear" w:pos="2041"/>
          <w:tab w:val="left" w:pos="2570"/>
        </w:tabs>
        <w:bidi/>
        <w:ind w:left="2570" w:hanging="336"/>
        <w:jc w:val="lowKashida"/>
        <w:rPr>
          <w:rFonts w:eastAsia="Calibri" w:hint="cs"/>
          <w:spacing w:val="-2"/>
          <w:kern w:val="0"/>
        </w:rPr>
      </w:pPr>
      <w:r w:rsidRPr="00124D43">
        <w:rPr>
          <w:rFonts w:eastAsia="Calibri" w:hint="cs"/>
          <w:spacing w:val="0"/>
          <w:kern w:val="0"/>
          <w:rtl/>
        </w:rPr>
        <w:t xml:space="preserve">عملت صاحبة الشكوى أثناء وجودها في تركيا، من عام 1997 إلى </w:t>
      </w:r>
      <w:r w:rsidRPr="00124D43">
        <w:rPr>
          <w:rFonts w:eastAsia="Calibri" w:hint="cs"/>
          <w:spacing w:val="-2"/>
          <w:kern w:val="0"/>
          <w:rtl/>
        </w:rPr>
        <w:t>عام</w:t>
      </w:r>
      <w:r w:rsidRPr="00124D43">
        <w:rPr>
          <w:rFonts w:eastAsia="Calibri" w:hint="eastAsia"/>
          <w:spacing w:val="-2"/>
          <w:kern w:val="0"/>
          <w:rtl/>
        </w:rPr>
        <w:t> </w:t>
      </w:r>
      <w:r w:rsidRPr="00124D43">
        <w:rPr>
          <w:rFonts w:eastAsia="Calibri" w:hint="cs"/>
          <w:spacing w:val="-2"/>
          <w:kern w:val="0"/>
          <w:rtl/>
        </w:rPr>
        <w:t>2004، لدى مركز بلاد ما بين النهرين الثقافي، وهي مؤسسة يزعم أنها تابعة لحزب العمال الكردستاني وترصد السلطات الأمنية نشاطها عن كثب؛</w:t>
      </w:r>
    </w:p>
    <w:p w:rsidR="000241AA" w:rsidRPr="00124D43" w:rsidRDefault="000241AA" w:rsidP="00036EB5">
      <w:pPr>
        <w:pStyle w:val="Roman1GA"/>
        <w:tabs>
          <w:tab w:val="clear" w:pos="2041"/>
          <w:tab w:val="left" w:pos="2598"/>
        </w:tabs>
        <w:bidi/>
        <w:ind w:left="2598" w:hanging="322"/>
        <w:jc w:val="lowKashida"/>
        <w:rPr>
          <w:rFonts w:eastAsia="Calibri" w:hint="cs"/>
          <w:spacing w:val="0"/>
          <w:kern w:val="0"/>
        </w:rPr>
      </w:pPr>
      <w:r w:rsidRPr="00124D43">
        <w:rPr>
          <w:rFonts w:eastAsia="Calibri" w:hint="cs"/>
          <w:spacing w:val="0"/>
          <w:kern w:val="0"/>
          <w:rtl/>
        </w:rPr>
        <w:t xml:space="preserve">مراقبة الشرطة لصاحبة الشكوى بعد فرار شقيقتها طيلة أربع سنوات بحسب الادعاء؛ </w:t>
      </w:r>
    </w:p>
    <w:p w:rsidR="000241AA" w:rsidRPr="00124D43" w:rsidRDefault="000241AA" w:rsidP="00036EB5">
      <w:pPr>
        <w:pStyle w:val="Roman1GA"/>
        <w:tabs>
          <w:tab w:val="clear" w:pos="2041"/>
          <w:tab w:val="left" w:pos="2598"/>
        </w:tabs>
        <w:bidi/>
        <w:spacing w:line="370" w:lineRule="exact"/>
        <w:ind w:left="2598" w:hanging="322"/>
        <w:jc w:val="lowKashida"/>
        <w:rPr>
          <w:rFonts w:eastAsia="Calibri" w:hint="cs"/>
          <w:spacing w:val="0"/>
          <w:kern w:val="0"/>
        </w:rPr>
      </w:pPr>
      <w:r w:rsidRPr="00124D43">
        <w:rPr>
          <w:rFonts w:eastAsia="Calibri" w:hint="cs"/>
          <w:spacing w:val="0"/>
          <w:kern w:val="0"/>
          <w:rtl/>
        </w:rPr>
        <w:t>إلقاء القبض على صاحبة الشكوى في 1 شباط/فبراير 1998، واحتجازها لمدة سبعة أيام تعرضت خلالها للتعذيب بحجة مزاولة أنشطة غير مشروعة قبل أن يتم الإفراج عنها لعدم كفاية الأدلة. والدولة الطرف لم تشكك في صحة هذه الأحداث ولا في تعرضها للاضطهاد لاحقاً. بيد أنها اعتبرت أنه لا توجد علاقة سببية كافية بين هذه الأحداث ومغادرتها إلى سويسرا في عام 2008. وعلى العكس من ذلك، هناك علاقة سببية واضحة تظهر من خلال العناصر التالية: إن السبب الأصلي وراء اضطراباتها العقلية يكمن في إلقاء القبض عليها وسوء معاملتها في عام 1998، وخضوعها للمراقبة والتخويف بشكل دائم في الفترة من عام 2002 إلى عام 2006، حسبما يؤكده التقرير الطبي. ولا تظهر المعلومات التي قدمتها صاحبة الشكوى أو</w:t>
      </w:r>
      <w:r w:rsidRPr="00124D43">
        <w:rPr>
          <w:rFonts w:eastAsia="Calibri" w:hint="eastAsia"/>
          <w:spacing w:val="0"/>
          <w:kern w:val="0"/>
          <w:rtl/>
        </w:rPr>
        <w:t> </w:t>
      </w:r>
      <w:r w:rsidRPr="00124D43">
        <w:rPr>
          <w:rFonts w:eastAsia="Calibri" w:hint="cs"/>
          <w:spacing w:val="0"/>
          <w:kern w:val="0"/>
          <w:rtl/>
        </w:rPr>
        <w:t>الدولة الطرف إلى اللجنة وجود أي أسباب أخرى وراء إصابتها بتلك الاضطرابات. وينبغي الإشارة في هذا الصدد، إلى أنها تلقت العلاج من عام</w:t>
      </w:r>
      <w:r w:rsidRPr="00124D43">
        <w:rPr>
          <w:rFonts w:eastAsia="Calibri" w:hint="eastAsia"/>
          <w:spacing w:val="0"/>
          <w:kern w:val="0"/>
          <w:rtl/>
        </w:rPr>
        <w:t> </w:t>
      </w:r>
      <w:r w:rsidRPr="00124D43">
        <w:rPr>
          <w:rFonts w:eastAsia="Calibri" w:hint="cs"/>
          <w:spacing w:val="0"/>
          <w:kern w:val="0"/>
          <w:rtl/>
        </w:rPr>
        <w:t>2002 إلى عام 2006، في مركز توهاف المتخصص في توفير العلاج لضحايا التعذيب في مجال الصحة العقلية، ثم عالجها طبيب نفساني في عام</w:t>
      </w:r>
      <w:r w:rsidRPr="00124D43">
        <w:rPr>
          <w:rFonts w:eastAsia="Calibri" w:hint="eastAsia"/>
          <w:spacing w:val="0"/>
          <w:kern w:val="0"/>
          <w:rtl/>
        </w:rPr>
        <w:t> </w:t>
      </w:r>
      <w:r w:rsidRPr="00124D43">
        <w:rPr>
          <w:rFonts w:eastAsia="Calibri" w:hint="cs"/>
          <w:spacing w:val="0"/>
          <w:kern w:val="0"/>
          <w:rtl/>
        </w:rPr>
        <w:t>2010. وفي ظل الأسباب المبينة أعلاه، وجدت نفسها مضطرة للبحث عن بلد تعيش فيه دون شعور بالخوف الدائم. ومن البديهي أن يكون هذا البلد هو سويسرا حيث حصلت شقيقتها على اللجوء؛</w:t>
      </w:r>
    </w:p>
    <w:p w:rsidR="000241AA" w:rsidRPr="0056771E" w:rsidRDefault="000241AA" w:rsidP="00124D43">
      <w:pPr>
        <w:pStyle w:val="SingleTxtGA"/>
        <w:rPr>
          <w:rFonts w:eastAsia="Calibri" w:hint="cs"/>
        </w:rPr>
      </w:pPr>
      <w:r>
        <w:rPr>
          <w:rFonts w:eastAsia="Calibri"/>
          <w:rtl/>
        </w:rPr>
        <w:tab/>
      </w:r>
      <w:r>
        <w:rPr>
          <w:rFonts w:eastAsia="Calibri" w:hint="cs"/>
          <w:rtl/>
        </w:rPr>
        <w:t>(</w:t>
      </w:r>
      <w:r w:rsidRPr="00C25C41">
        <w:rPr>
          <w:rFonts w:eastAsia="Calibri" w:hint="cs"/>
          <w:sz w:val="30"/>
          <w:rtl/>
        </w:rPr>
        <w:t>ﻫ</w:t>
      </w:r>
      <w:r>
        <w:rPr>
          <w:rFonts w:eastAsia="Calibri" w:hint="cs"/>
          <w:rtl/>
        </w:rPr>
        <w:t>)</w:t>
      </w:r>
      <w:r>
        <w:rPr>
          <w:rFonts w:eastAsia="Calibri" w:hint="cs"/>
          <w:rtl/>
        </w:rPr>
        <w:tab/>
        <w:t>ينبغي الإشارة أيضاً إلى أن تقريراً طبياً صادراً عن طبيب نفساني سويسري بتاريخ</w:t>
      </w:r>
      <w:r>
        <w:rPr>
          <w:rFonts w:eastAsia="Calibri" w:hint="eastAsia"/>
          <w:rtl/>
        </w:rPr>
        <w:t> </w:t>
      </w:r>
      <w:r>
        <w:rPr>
          <w:rFonts w:eastAsia="Calibri" w:hint="cs"/>
          <w:rtl/>
        </w:rPr>
        <w:t>23 آب/أغسطس 2010، يشير إلى الاشتباه في إصابتها باضطراب الإجهاد اللاحق للصدمة. واعتبر الطبيب النفساني أن وضع صاحبة الشكوى آنذاك لم يكن يسمح بعودتها إلى</w:t>
      </w:r>
      <w:r>
        <w:rPr>
          <w:rFonts w:eastAsia="Calibri" w:hint="eastAsia"/>
          <w:rtl/>
        </w:rPr>
        <w:t> </w:t>
      </w:r>
      <w:r>
        <w:rPr>
          <w:rFonts w:eastAsia="Calibri" w:hint="cs"/>
          <w:rtl/>
        </w:rPr>
        <w:t>تركيا؛</w:t>
      </w:r>
    </w:p>
    <w:p w:rsidR="000241AA" w:rsidRPr="0056771E" w:rsidRDefault="000241AA" w:rsidP="00124D43">
      <w:pPr>
        <w:pStyle w:val="SingleTxtGA"/>
        <w:rPr>
          <w:rFonts w:eastAsia="Calibri" w:hint="cs"/>
        </w:rPr>
      </w:pPr>
      <w:r>
        <w:rPr>
          <w:rFonts w:eastAsia="Calibri"/>
          <w:rtl/>
        </w:rPr>
        <w:tab/>
      </w:r>
      <w:r>
        <w:rPr>
          <w:rFonts w:eastAsia="Calibri" w:hint="cs"/>
          <w:rtl/>
        </w:rPr>
        <w:t>(و)</w:t>
      </w:r>
      <w:r>
        <w:rPr>
          <w:rFonts w:eastAsia="Calibri" w:hint="cs"/>
          <w:rtl/>
        </w:rPr>
        <w:tab/>
        <w:t>ترى الدولة الطرف أن الوضع الصحي ليس مؤشراً هاماً على التعرض للاضطهاد في تركيا لكنها لا تستبعد ذلك. وإضافة هذا العنصر إلى العناصر الأخرى المشار إليها أعلاه تجعل صاحبة الشكوى بالغة الضعف وعرضة في الوقت الحالي، لسوء المعاملة بل</w:t>
      </w:r>
      <w:r>
        <w:rPr>
          <w:rFonts w:eastAsia="Calibri" w:hint="eastAsia"/>
          <w:rtl/>
        </w:rPr>
        <w:t> </w:t>
      </w:r>
      <w:r>
        <w:rPr>
          <w:rFonts w:eastAsia="Calibri" w:hint="cs"/>
          <w:rtl/>
        </w:rPr>
        <w:t>والتعذيب في حال عادت إلى بلادها؛</w:t>
      </w:r>
    </w:p>
    <w:p w:rsidR="000241AA" w:rsidRPr="007E19C7" w:rsidRDefault="000241AA" w:rsidP="00124D43">
      <w:pPr>
        <w:pStyle w:val="SingleTxtGA"/>
        <w:rPr>
          <w:rFonts w:eastAsia="Calibri" w:hint="cs"/>
          <w:rtl/>
        </w:rPr>
      </w:pPr>
      <w:r>
        <w:rPr>
          <w:rFonts w:eastAsia="Calibri"/>
          <w:rtl/>
        </w:rPr>
        <w:tab/>
      </w:r>
      <w:r>
        <w:rPr>
          <w:rFonts w:eastAsia="Calibri" w:hint="cs"/>
          <w:rtl/>
        </w:rPr>
        <w:t>(ز)</w:t>
      </w:r>
      <w:r>
        <w:rPr>
          <w:rFonts w:eastAsia="Calibri" w:hint="cs"/>
          <w:rtl/>
        </w:rPr>
        <w:tab/>
        <w:t>لعله من الجدير بالذكر في هذا الصدد أن تعليق اللجنة العام رقم 1 ينص على أنه "</w:t>
      </w:r>
      <w:r>
        <w:rPr>
          <w:rFonts w:eastAsia="Calibri"/>
          <w:rtl/>
        </w:rPr>
        <w:t xml:space="preserve">يجب </w:t>
      </w:r>
      <w:r>
        <w:rPr>
          <w:rFonts w:eastAsia="Calibri" w:hint="cs"/>
          <w:rtl/>
        </w:rPr>
        <w:t>أن يُقدّر</w:t>
      </w:r>
      <w:r w:rsidRPr="005B247B">
        <w:rPr>
          <w:rFonts w:eastAsia="Calibri"/>
          <w:rtl/>
        </w:rPr>
        <w:t xml:space="preserve"> خطر التعذيب على أسس تتجاوز مجرد النظرية أو الشك، </w:t>
      </w:r>
      <w:r>
        <w:rPr>
          <w:rFonts w:eastAsia="Calibri" w:hint="cs"/>
          <w:rtl/>
        </w:rPr>
        <w:t>غير أنه لا</w:t>
      </w:r>
      <w:r>
        <w:rPr>
          <w:rFonts w:eastAsia="Calibri" w:hint="eastAsia"/>
          <w:rtl/>
        </w:rPr>
        <w:t> </w:t>
      </w:r>
      <w:r>
        <w:rPr>
          <w:rFonts w:eastAsia="Calibri" w:hint="cs"/>
          <w:rtl/>
        </w:rPr>
        <w:t>يتحتم</w:t>
      </w:r>
      <w:r w:rsidRPr="007E19C7">
        <w:rPr>
          <w:rFonts w:eastAsia="Calibri"/>
          <w:rtl/>
        </w:rPr>
        <w:t xml:space="preserve"> أن يكون </w:t>
      </w:r>
      <w:r>
        <w:rPr>
          <w:rFonts w:eastAsia="Calibri" w:hint="cs"/>
          <w:rtl/>
        </w:rPr>
        <w:t>هذا الخطر موافقاً لمعيار ال</w:t>
      </w:r>
      <w:r>
        <w:rPr>
          <w:rFonts w:eastAsia="Calibri"/>
          <w:rtl/>
        </w:rPr>
        <w:t>احتمال ال</w:t>
      </w:r>
      <w:r>
        <w:rPr>
          <w:rFonts w:eastAsia="Calibri" w:hint="cs"/>
          <w:rtl/>
        </w:rPr>
        <w:t>كبير" (الفقرة 6). ويبدو أن العناصر المذكورة أعلاه تتجاوز مجرد النظرية أو الشك وأن الخطر المحدق بصاحبة الشكوى هو خطر شخصي وحقيقي ويمكن توقعه رغم تعذر قياس درجة احتمال وقوعه.</w:t>
      </w:r>
    </w:p>
    <w:p w:rsidR="00021691" w:rsidRDefault="000241AA" w:rsidP="00124D43">
      <w:pPr>
        <w:pStyle w:val="SingleTxtGA"/>
        <w:rPr>
          <w:rFonts w:eastAsia="Calibri" w:hint="cs"/>
          <w:rtl/>
        </w:rPr>
      </w:pPr>
      <w:r w:rsidRPr="00BA2B96">
        <w:rPr>
          <w:rFonts w:eastAsia="Calibri"/>
          <w:rtl/>
        </w:rPr>
        <w:tab/>
      </w:r>
      <w:r w:rsidRPr="00BA2B96">
        <w:rPr>
          <w:rFonts w:eastAsia="Calibri" w:hint="cs"/>
          <w:rtl/>
        </w:rPr>
        <w:t xml:space="preserve">والحالات المبلغ عنها بشأن التعرض للتعذيب وإفلات الجناة من العقاب، وهي حالات وردت الإشارة إليها في الملاحظات الختامية على التقرير الدوري الثالث لتركيا الذي نظرت فيه لجنة مناهضة التعذيب في تشرين الثاني/نوفمبر 2010 </w:t>
      </w:r>
      <w:r w:rsidRPr="00BA2B96">
        <w:rPr>
          <w:rFonts w:eastAsia="Calibri"/>
        </w:rPr>
        <w:t>(CAT/C/TUR/CO/3)</w:t>
      </w:r>
      <w:r>
        <w:rPr>
          <w:rFonts w:eastAsia="Calibri" w:hint="cs"/>
          <w:rtl/>
        </w:rPr>
        <w:t xml:space="preserve"> </w:t>
      </w:r>
      <w:r w:rsidRPr="00BA2B96">
        <w:rPr>
          <w:rFonts w:eastAsia="Calibri" w:hint="cs"/>
          <w:rtl/>
        </w:rPr>
        <w:t>وفي</w:t>
      </w:r>
      <w:r w:rsidRPr="00BA2B96">
        <w:rPr>
          <w:rFonts w:eastAsia="Calibri" w:hint="eastAsia"/>
          <w:rtl/>
        </w:rPr>
        <w:t> </w:t>
      </w:r>
      <w:r w:rsidRPr="00BA2B96">
        <w:rPr>
          <w:rFonts w:eastAsia="Calibri" w:hint="cs"/>
          <w:rtl/>
        </w:rPr>
        <w:t xml:space="preserve">الملاحظات الختامية التي قدمتها اللجنة المعنية بحقوق الإنسان بشأن التقرير الأولي لتركيا الذي نظرت فيه بتاريخ تشرين الأول/أكتوبر 2012 </w:t>
      </w:r>
      <w:r w:rsidRPr="00BA2B96">
        <w:rPr>
          <w:rFonts w:eastAsia="Calibri"/>
        </w:rPr>
        <w:t>(CCPR/C/TUR/CO/1)</w:t>
      </w:r>
      <w:r w:rsidRPr="00BA2B96">
        <w:rPr>
          <w:rFonts w:eastAsia="Calibri" w:hint="cs"/>
          <w:rtl/>
        </w:rPr>
        <w:t>، تؤكد في جملة أمور، حالة الخطر التي قد تواجهها صاحبة</w:t>
      </w:r>
      <w:r>
        <w:rPr>
          <w:rFonts w:eastAsia="Calibri" w:hint="cs"/>
          <w:rtl/>
        </w:rPr>
        <w:t xml:space="preserve"> الشكوى إذا ما عادت إلى البلاد.</w:t>
      </w:r>
    </w:p>
    <w:p w:rsidR="00036EB5" w:rsidRPr="00124D43" w:rsidRDefault="00124D43" w:rsidP="00124D43">
      <w:pPr>
        <w:pStyle w:val="SingleTxtGA"/>
        <w:tabs>
          <w:tab w:val="clear" w:pos="1928"/>
          <w:tab w:val="clear" w:pos="2608"/>
          <w:tab w:val="clear" w:pos="3289"/>
          <w:tab w:val="clear" w:pos="3969"/>
          <w:tab w:val="clear" w:pos="4649"/>
          <w:tab w:val="clear" w:pos="5330"/>
          <w:tab w:val="left" w:pos="7399"/>
        </w:tabs>
        <w:ind w:left="6573"/>
        <w:rPr>
          <w:rFonts w:ascii="Traditional Arabic" w:hAnsi="Traditional Arabic" w:hint="cs"/>
          <w:b/>
          <w:bCs/>
          <w:rtl/>
        </w:rPr>
      </w:pPr>
      <w:r>
        <w:rPr>
          <w:rFonts w:ascii="Traditional Arabic" w:hAnsi="Traditional Arabic" w:hint="cs"/>
          <w:i/>
          <w:iCs/>
          <w:rtl/>
        </w:rPr>
        <w:t>(توقيع)</w:t>
      </w:r>
      <w:r>
        <w:rPr>
          <w:rFonts w:ascii="Traditional Arabic" w:hAnsi="Traditional Arabic" w:hint="cs"/>
          <w:i/>
          <w:iCs/>
          <w:rtl/>
        </w:rPr>
        <w:tab/>
      </w:r>
      <w:r>
        <w:rPr>
          <w:rFonts w:ascii="Traditional Arabic" w:hAnsi="Traditional Arabic" w:hint="cs"/>
          <w:rtl/>
        </w:rPr>
        <w:t xml:space="preserve">أليسيو </w:t>
      </w:r>
      <w:r>
        <w:rPr>
          <w:rFonts w:ascii="Traditional Arabic" w:hAnsi="Traditional Arabic" w:hint="cs"/>
          <w:b/>
          <w:bCs/>
          <w:rtl/>
        </w:rPr>
        <w:t>بروني</w:t>
      </w:r>
    </w:p>
    <w:p w:rsidR="00091373" w:rsidRDefault="00091373" w:rsidP="00A64097">
      <w:pPr>
        <w:pStyle w:val="SingleTxtGA"/>
        <w:rPr>
          <w:rFonts w:hint="cs"/>
          <w:rtl/>
          <w:lang w:val="fr-CH"/>
        </w:rPr>
      </w:pPr>
    </w:p>
    <w:p w:rsidR="00091373" w:rsidRDefault="00091373" w:rsidP="00A64097">
      <w:pPr>
        <w:pStyle w:val="SingleTxtGA"/>
        <w:rPr>
          <w:rFonts w:hint="cs"/>
          <w:rtl/>
          <w:lang w:val="fr-CH"/>
        </w:rPr>
      </w:pPr>
    </w:p>
    <w:p w:rsidR="00091373" w:rsidRDefault="00091373" w:rsidP="00A64097">
      <w:pPr>
        <w:pStyle w:val="SingleTxtGA"/>
        <w:rPr>
          <w:rFonts w:hint="cs"/>
          <w:rtl/>
          <w:lang w:val="fr-CH"/>
        </w:rPr>
        <w:sectPr w:rsidR="00091373" w:rsidSect="00F1742A">
          <w:footnotePr>
            <w:numFmt w:val="arabicAbjad"/>
            <w:numRestart w:val="eachSect"/>
          </w:footnotePr>
          <w:endnotePr>
            <w:numFmt w:val="decimal"/>
          </w:endnotePr>
          <w:pgSz w:w="11907" w:h="16840" w:code="9"/>
          <w:pgMar w:top="1701" w:right="1134" w:bottom="2268" w:left="1134" w:header="1134" w:footer="1701" w:gutter="0"/>
          <w:cols w:space="720"/>
          <w:bidi/>
          <w:rtlGutter/>
          <w:docGrid w:linePitch="360"/>
        </w:sectPr>
      </w:pPr>
    </w:p>
    <w:p w:rsidR="00091373" w:rsidRPr="00FA0FC2" w:rsidRDefault="00091373" w:rsidP="00091373">
      <w:pPr>
        <w:pStyle w:val="H1GA"/>
        <w:spacing w:before="120"/>
        <w:rPr>
          <w:rFonts w:hint="cs"/>
          <w:rtl/>
        </w:rPr>
      </w:pPr>
      <w:r w:rsidRPr="00FA0FC2">
        <w:rPr>
          <w:rFonts w:hint="cs"/>
          <w:rtl/>
        </w:rPr>
        <w:tab/>
      </w:r>
      <w:r w:rsidRPr="00FA0FC2">
        <w:rPr>
          <w:rFonts w:hint="cs"/>
          <w:rtl/>
        </w:rPr>
        <w:tab/>
        <w:t xml:space="preserve">البلاغ رقم 432/2010: </w:t>
      </w:r>
      <w:r w:rsidRPr="00FA0FC2">
        <w:rPr>
          <w:rFonts w:hint="cs"/>
          <w:i/>
          <w:iCs/>
          <w:rtl/>
        </w:rPr>
        <w:t>ح. ك. ضد سويسرا</w:t>
      </w:r>
    </w:p>
    <w:p w:rsidR="00091373" w:rsidRPr="00FA0FC2" w:rsidRDefault="00091373" w:rsidP="00091373">
      <w:pPr>
        <w:pStyle w:val="SingleTxtGA"/>
        <w:tabs>
          <w:tab w:val="clear" w:pos="2608"/>
          <w:tab w:val="clear" w:pos="3289"/>
          <w:tab w:val="clear" w:pos="3969"/>
          <w:tab w:val="clear" w:pos="4649"/>
          <w:tab w:val="left" w:pos="4304"/>
        </w:tabs>
        <w:ind w:left="1928"/>
        <w:rPr>
          <w:rFonts w:hint="cs"/>
          <w:rtl/>
        </w:rPr>
      </w:pPr>
      <w:r w:rsidRPr="00FA0FC2">
        <w:rPr>
          <w:i/>
          <w:iCs/>
          <w:rtl/>
        </w:rPr>
        <w:t>المقدم من</w:t>
      </w:r>
      <w:r w:rsidRPr="00222E49">
        <w:rPr>
          <w:rtl/>
        </w:rPr>
        <w:t>:</w:t>
      </w:r>
      <w:r w:rsidRPr="00FA0FC2">
        <w:rPr>
          <w:rFonts w:hint="cs"/>
          <w:i/>
          <w:iCs/>
          <w:rtl/>
        </w:rPr>
        <w:tab/>
      </w:r>
      <w:r w:rsidRPr="00FA0FC2">
        <w:rPr>
          <w:rFonts w:hint="cs"/>
          <w:rtl/>
        </w:rPr>
        <w:t>ح. ك. (يمثلها المحامي ط. ح.)</w:t>
      </w:r>
    </w:p>
    <w:p w:rsidR="00091373" w:rsidRPr="00FA0FC2" w:rsidRDefault="00091373" w:rsidP="00091373">
      <w:pPr>
        <w:pStyle w:val="SingleTxtGA"/>
        <w:tabs>
          <w:tab w:val="clear" w:pos="2608"/>
          <w:tab w:val="clear" w:pos="3289"/>
          <w:tab w:val="clear" w:pos="3969"/>
          <w:tab w:val="clear" w:pos="4649"/>
          <w:tab w:val="left" w:pos="4304"/>
        </w:tabs>
        <w:ind w:left="1928"/>
        <w:rPr>
          <w:rFonts w:hint="cs"/>
          <w:rtl/>
        </w:rPr>
      </w:pPr>
      <w:r w:rsidRPr="00FA0FC2">
        <w:rPr>
          <w:i/>
          <w:iCs/>
          <w:rtl/>
        </w:rPr>
        <w:t>الشخص المدعى أنه ضحية</w:t>
      </w:r>
      <w:r w:rsidRPr="00222E49">
        <w:rPr>
          <w:rFonts w:hint="cs"/>
          <w:rtl/>
        </w:rPr>
        <w:t>:</w:t>
      </w:r>
      <w:r w:rsidRPr="00FA0FC2">
        <w:rPr>
          <w:rFonts w:hint="cs"/>
          <w:i/>
          <w:iCs/>
          <w:rtl/>
        </w:rPr>
        <w:tab/>
      </w:r>
      <w:r w:rsidRPr="00FA0FC2">
        <w:rPr>
          <w:rtl/>
        </w:rPr>
        <w:t>صاحب</w:t>
      </w:r>
      <w:r w:rsidRPr="00FA0FC2">
        <w:rPr>
          <w:rFonts w:hint="cs"/>
          <w:rtl/>
        </w:rPr>
        <w:t>ة</w:t>
      </w:r>
      <w:r w:rsidRPr="00FA0FC2">
        <w:rPr>
          <w:rtl/>
        </w:rPr>
        <w:t xml:space="preserve"> </w:t>
      </w:r>
      <w:r w:rsidRPr="00FA0FC2">
        <w:rPr>
          <w:rFonts w:hint="cs"/>
          <w:rtl/>
        </w:rPr>
        <w:t>الشكوى</w:t>
      </w:r>
    </w:p>
    <w:p w:rsidR="00091373" w:rsidRPr="00FA0FC2" w:rsidRDefault="00091373" w:rsidP="00091373">
      <w:pPr>
        <w:pStyle w:val="SingleTxtGA"/>
        <w:tabs>
          <w:tab w:val="clear" w:pos="2608"/>
          <w:tab w:val="clear" w:pos="3289"/>
          <w:tab w:val="clear" w:pos="3969"/>
          <w:tab w:val="clear" w:pos="4649"/>
          <w:tab w:val="left" w:pos="4304"/>
        </w:tabs>
        <w:ind w:left="1928"/>
        <w:rPr>
          <w:rFonts w:hint="cs"/>
          <w:rtl/>
        </w:rPr>
      </w:pPr>
      <w:r w:rsidRPr="00FA0FC2">
        <w:rPr>
          <w:rFonts w:hint="cs"/>
          <w:i/>
          <w:iCs/>
          <w:rtl/>
        </w:rPr>
        <w:t>الدولة الطرف</w:t>
      </w:r>
      <w:r w:rsidRPr="00222E49">
        <w:rPr>
          <w:rFonts w:hint="cs"/>
          <w:rtl/>
        </w:rPr>
        <w:t>:</w:t>
      </w:r>
      <w:r w:rsidRPr="00FA0FC2">
        <w:rPr>
          <w:rFonts w:hint="cs"/>
          <w:i/>
          <w:iCs/>
          <w:rtl/>
        </w:rPr>
        <w:tab/>
      </w:r>
      <w:r w:rsidRPr="00FA0FC2">
        <w:rPr>
          <w:rFonts w:hint="cs"/>
          <w:rtl/>
        </w:rPr>
        <w:t>سويسرا</w:t>
      </w:r>
    </w:p>
    <w:p w:rsidR="00091373" w:rsidRPr="00FA0FC2" w:rsidRDefault="00091373" w:rsidP="00091373">
      <w:pPr>
        <w:pStyle w:val="SingleTxtGA"/>
        <w:tabs>
          <w:tab w:val="clear" w:pos="2608"/>
          <w:tab w:val="clear" w:pos="3289"/>
          <w:tab w:val="clear" w:pos="3969"/>
          <w:tab w:val="clear" w:pos="4649"/>
          <w:tab w:val="left" w:pos="4304"/>
        </w:tabs>
        <w:ind w:left="1928"/>
        <w:rPr>
          <w:rFonts w:hint="cs"/>
          <w:rtl/>
        </w:rPr>
      </w:pPr>
      <w:r w:rsidRPr="00FA0FC2">
        <w:rPr>
          <w:i/>
          <w:iCs/>
          <w:rtl/>
        </w:rPr>
        <w:t>تاريخ تقديم ا</w:t>
      </w:r>
      <w:r w:rsidRPr="00FA0FC2">
        <w:rPr>
          <w:rFonts w:hint="cs"/>
          <w:i/>
          <w:iCs/>
          <w:rtl/>
        </w:rPr>
        <w:t>لشكوى</w:t>
      </w:r>
      <w:r w:rsidRPr="00222E49">
        <w:rPr>
          <w:rFonts w:hint="cs"/>
          <w:rtl/>
        </w:rPr>
        <w:t>:</w:t>
      </w:r>
      <w:r w:rsidRPr="00FA0FC2">
        <w:rPr>
          <w:rFonts w:hint="cs"/>
          <w:i/>
          <w:iCs/>
          <w:rtl/>
        </w:rPr>
        <w:tab/>
      </w:r>
      <w:r w:rsidRPr="00FA0FC2">
        <w:rPr>
          <w:rFonts w:hint="cs"/>
          <w:rtl/>
        </w:rPr>
        <w:t xml:space="preserve">1 أيلول/سبتمبر 2010 (تاريخ الرسالة </w:t>
      </w:r>
      <w:r w:rsidRPr="00FA0FC2">
        <w:rPr>
          <w:rtl/>
        </w:rPr>
        <w:t>الأولى)</w:t>
      </w:r>
    </w:p>
    <w:p w:rsidR="00091373" w:rsidRPr="00FA0FC2" w:rsidRDefault="00091373" w:rsidP="00091373">
      <w:pPr>
        <w:pStyle w:val="SingleTxtGA"/>
        <w:rPr>
          <w:rFonts w:hint="cs"/>
          <w:rtl/>
        </w:rPr>
      </w:pPr>
      <w:r w:rsidRPr="00FA0FC2">
        <w:rPr>
          <w:rFonts w:hint="cs"/>
          <w:i/>
          <w:iCs/>
          <w:rtl/>
        </w:rPr>
        <w:tab/>
        <w:t>إن لجنة مناهضة التعذيب</w:t>
      </w:r>
      <w:r w:rsidRPr="00FA0FC2">
        <w:rPr>
          <w:rFonts w:hint="cs"/>
          <w:rtl/>
        </w:rPr>
        <w:t>، المنشأة بموجب ال</w:t>
      </w:r>
      <w:r>
        <w:rPr>
          <w:rFonts w:hint="cs"/>
          <w:rtl/>
        </w:rPr>
        <w:t>مادة</w:t>
      </w:r>
      <w:r>
        <w:rPr>
          <w:rtl/>
        </w:rPr>
        <w:t> </w:t>
      </w:r>
      <w:r w:rsidRPr="00FA0FC2">
        <w:rPr>
          <w:rFonts w:hint="cs"/>
          <w:rtl/>
        </w:rPr>
        <w:t>17 من اتفاقية مناهضة التعذيب وغيره من ضروب المعاملة</w:t>
      </w:r>
      <w:r>
        <w:rPr>
          <w:rFonts w:hint="cs"/>
          <w:rtl/>
        </w:rPr>
        <w:t xml:space="preserve"> أو</w:t>
      </w:r>
      <w:r>
        <w:rPr>
          <w:rtl/>
        </w:rPr>
        <w:t> </w:t>
      </w:r>
      <w:r w:rsidRPr="00FA0FC2">
        <w:rPr>
          <w:rFonts w:hint="cs"/>
          <w:rtl/>
        </w:rPr>
        <w:t>العقوبة القاسية</w:t>
      </w:r>
      <w:r>
        <w:rPr>
          <w:rFonts w:hint="cs"/>
          <w:rtl/>
        </w:rPr>
        <w:t xml:space="preserve"> أو</w:t>
      </w:r>
      <w:r>
        <w:rPr>
          <w:rtl/>
        </w:rPr>
        <w:t> </w:t>
      </w:r>
      <w:r w:rsidRPr="00FA0FC2">
        <w:rPr>
          <w:rFonts w:hint="cs"/>
          <w:rtl/>
        </w:rPr>
        <w:t>اللاإنسانية</w:t>
      </w:r>
      <w:r>
        <w:rPr>
          <w:rFonts w:hint="cs"/>
          <w:rtl/>
        </w:rPr>
        <w:t xml:space="preserve"> أو</w:t>
      </w:r>
      <w:r>
        <w:rPr>
          <w:rtl/>
        </w:rPr>
        <w:t> </w:t>
      </w:r>
      <w:r w:rsidRPr="00FA0FC2">
        <w:rPr>
          <w:rFonts w:hint="cs"/>
          <w:rtl/>
        </w:rPr>
        <w:t>المهينة،</w:t>
      </w:r>
    </w:p>
    <w:p w:rsidR="00091373" w:rsidRPr="00FA0FC2" w:rsidRDefault="00091373" w:rsidP="00091373">
      <w:pPr>
        <w:pStyle w:val="SingleTxtGA"/>
        <w:rPr>
          <w:rFonts w:hint="cs"/>
          <w:rtl/>
        </w:rPr>
      </w:pPr>
      <w:r w:rsidRPr="00FA0FC2">
        <w:rPr>
          <w:rFonts w:hint="cs"/>
          <w:i/>
          <w:iCs/>
          <w:rtl/>
        </w:rPr>
        <w:tab/>
        <w:t>وقد اجتمعت</w:t>
      </w:r>
      <w:r w:rsidRPr="00FA0FC2">
        <w:rPr>
          <w:rFonts w:hint="cs"/>
          <w:rtl/>
        </w:rPr>
        <w:t xml:space="preserve"> في 23 تشرين الثاني/نوفمبر 2012،</w:t>
      </w:r>
    </w:p>
    <w:p w:rsidR="00091373" w:rsidRPr="00FA0FC2" w:rsidRDefault="00091373" w:rsidP="00091373">
      <w:pPr>
        <w:pStyle w:val="SingleTxtGA"/>
        <w:rPr>
          <w:rFonts w:hint="cs"/>
          <w:rtl/>
        </w:rPr>
      </w:pPr>
      <w:r w:rsidRPr="00FA0FC2">
        <w:rPr>
          <w:rFonts w:hint="cs"/>
          <w:i/>
          <w:iCs/>
          <w:rtl/>
        </w:rPr>
        <w:tab/>
        <w:t xml:space="preserve">وقد فرغت </w:t>
      </w:r>
      <w:r w:rsidRPr="00FA0FC2">
        <w:rPr>
          <w:rFonts w:hint="cs"/>
          <w:rtl/>
        </w:rPr>
        <w:t>من النظر في الشكوى الواردة في البلاغ رقم 432/2010 الذي قدمته السيدة ح. ك. إلى لجنة مناهضة التعذيب بموجب ال</w:t>
      </w:r>
      <w:r>
        <w:rPr>
          <w:rFonts w:hint="cs"/>
          <w:rtl/>
        </w:rPr>
        <w:t>مادة</w:t>
      </w:r>
      <w:r>
        <w:rPr>
          <w:rtl/>
        </w:rPr>
        <w:t> </w:t>
      </w:r>
      <w:r w:rsidRPr="00FA0FC2">
        <w:rPr>
          <w:rFonts w:hint="cs"/>
          <w:rtl/>
        </w:rPr>
        <w:t>22 من اتفاقية مناهضة التعذيب وغيره من ضروب المعاملة</w:t>
      </w:r>
      <w:r>
        <w:rPr>
          <w:rFonts w:hint="cs"/>
          <w:rtl/>
        </w:rPr>
        <w:t xml:space="preserve"> أو</w:t>
      </w:r>
      <w:r>
        <w:rPr>
          <w:rtl/>
        </w:rPr>
        <w:t> </w:t>
      </w:r>
      <w:r w:rsidRPr="00FA0FC2">
        <w:rPr>
          <w:rFonts w:hint="cs"/>
          <w:rtl/>
        </w:rPr>
        <w:t>العقوبة القاسية</w:t>
      </w:r>
      <w:r>
        <w:rPr>
          <w:rFonts w:hint="cs"/>
          <w:rtl/>
        </w:rPr>
        <w:t xml:space="preserve"> أو</w:t>
      </w:r>
      <w:r>
        <w:rPr>
          <w:rtl/>
        </w:rPr>
        <w:t> </w:t>
      </w:r>
      <w:r w:rsidRPr="00FA0FC2">
        <w:rPr>
          <w:rFonts w:hint="cs"/>
          <w:rtl/>
        </w:rPr>
        <w:t>اللاإنسانية</w:t>
      </w:r>
      <w:r>
        <w:rPr>
          <w:rFonts w:hint="cs"/>
          <w:rtl/>
        </w:rPr>
        <w:t xml:space="preserve"> أو</w:t>
      </w:r>
      <w:r>
        <w:rPr>
          <w:rtl/>
        </w:rPr>
        <w:t> </w:t>
      </w:r>
      <w:r w:rsidRPr="00FA0FC2">
        <w:rPr>
          <w:rFonts w:hint="cs"/>
          <w:rtl/>
        </w:rPr>
        <w:t>المهينة،</w:t>
      </w:r>
    </w:p>
    <w:p w:rsidR="00091373" w:rsidRPr="00FA0FC2" w:rsidRDefault="00091373" w:rsidP="00091373">
      <w:pPr>
        <w:pStyle w:val="SingleTxtGA"/>
        <w:rPr>
          <w:rFonts w:hint="cs"/>
          <w:rtl/>
        </w:rPr>
      </w:pPr>
      <w:r w:rsidRPr="00FA0FC2">
        <w:rPr>
          <w:rFonts w:hint="cs"/>
          <w:i/>
          <w:iCs/>
          <w:rtl/>
        </w:rPr>
        <w:tab/>
        <w:t xml:space="preserve">وقد وضعت في اعتبارها </w:t>
      </w:r>
      <w:r w:rsidRPr="00FA0FC2">
        <w:rPr>
          <w:rFonts w:hint="cs"/>
          <w:rtl/>
        </w:rPr>
        <w:t>جميع المعلومات التي أتاحتها لها صاحبة الشكوى ومحاميها والدولة الطرف،</w:t>
      </w:r>
    </w:p>
    <w:p w:rsidR="00091373" w:rsidRPr="00FA0FC2" w:rsidRDefault="00091373" w:rsidP="00091373">
      <w:pPr>
        <w:pStyle w:val="SingleTxtGA"/>
        <w:rPr>
          <w:rFonts w:hint="cs"/>
          <w:sz w:val="32"/>
          <w:szCs w:val="32"/>
          <w:rtl/>
        </w:rPr>
      </w:pPr>
      <w:r w:rsidRPr="00FA0FC2">
        <w:rPr>
          <w:rFonts w:hint="cs"/>
          <w:rtl/>
        </w:rPr>
        <w:tab/>
      </w:r>
      <w:r w:rsidRPr="00FA0FC2">
        <w:rPr>
          <w:rFonts w:hint="cs"/>
          <w:i/>
          <w:iCs/>
          <w:rtl/>
        </w:rPr>
        <w:t>تعتمد</w:t>
      </w:r>
      <w:r>
        <w:rPr>
          <w:rFonts w:hint="cs"/>
          <w:i/>
          <w:iCs/>
          <w:rtl/>
        </w:rPr>
        <w:t xml:space="preserve"> </w:t>
      </w:r>
      <w:r w:rsidRPr="005D3B07">
        <w:rPr>
          <w:rFonts w:hint="cs"/>
          <w:rtl/>
        </w:rPr>
        <w:t>ما</w:t>
      </w:r>
      <w:r>
        <w:rPr>
          <w:i/>
          <w:iCs/>
          <w:rtl/>
        </w:rPr>
        <w:t> </w:t>
      </w:r>
      <w:r w:rsidRPr="00FA0FC2">
        <w:rPr>
          <w:rFonts w:hint="cs"/>
          <w:rtl/>
        </w:rPr>
        <w:t>يلي:</w:t>
      </w:r>
    </w:p>
    <w:p w:rsidR="00091373" w:rsidRPr="00FA0FC2" w:rsidRDefault="00091373" w:rsidP="00091373">
      <w:pPr>
        <w:pStyle w:val="H1GA"/>
        <w:rPr>
          <w:rFonts w:hint="cs"/>
          <w:rtl/>
        </w:rPr>
      </w:pPr>
      <w:r w:rsidRPr="00FA0FC2">
        <w:rPr>
          <w:rFonts w:hint="cs"/>
          <w:rtl/>
        </w:rPr>
        <w:tab/>
      </w:r>
      <w:r w:rsidRPr="00FA0FC2">
        <w:rPr>
          <w:rFonts w:hint="cs"/>
          <w:rtl/>
        </w:rPr>
        <w:tab/>
        <w:t>قرار بموجب الفقرة 7 من ال</w:t>
      </w:r>
      <w:r>
        <w:rPr>
          <w:rFonts w:hint="cs"/>
          <w:rtl/>
        </w:rPr>
        <w:t>مادة</w:t>
      </w:r>
      <w:r>
        <w:rPr>
          <w:rtl/>
        </w:rPr>
        <w:t> </w:t>
      </w:r>
      <w:r w:rsidRPr="00FA0FC2">
        <w:rPr>
          <w:rFonts w:hint="cs"/>
          <w:rtl/>
        </w:rPr>
        <w:t xml:space="preserve">22 من اتفاقية مناهضة التعذيب </w:t>
      </w:r>
    </w:p>
    <w:p w:rsidR="00091373" w:rsidRPr="00FA0FC2" w:rsidRDefault="00091373" w:rsidP="00091373">
      <w:pPr>
        <w:pStyle w:val="SingleTxtGA"/>
        <w:spacing w:line="360" w:lineRule="exact"/>
        <w:rPr>
          <w:rFonts w:hint="cs"/>
          <w:rtl/>
        </w:rPr>
      </w:pPr>
      <w:r w:rsidRPr="00FA0FC2">
        <w:rPr>
          <w:rFonts w:hint="cs"/>
          <w:rtl/>
        </w:rPr>
        <w:t>1-1</w:t>
      </w:r>
      <w:r w:rsidRPr="00FA0FC2">
        <w:rPr>
          <w:rFonts w:hint="cs"/>
          <w:rtl/>
        </w:rPr>
        <w:tab/>
        <w:t>صاحبة الشكوى، السيدة ح. ك.، هي مواطنة إثيوبية من مواليد 28 تموز/</w:t>
      </w:r>
      <w:r>
        <w:rPr>
          <w:rFonts w:hint="cs"/>
          <w:rtl/>
        </w:rPr>
        <w:t xml:space="preserve"> </w:t>
      </w:r>
      <w:r w:rsidRPr="00FA0FC2">
        <w:rPr>
          <w:rFonts w:hint="cs"/>
          <w:rtl/>
        </w:rPr>
        <w:t>يوليه</w:t>
      </w:r>
      <w:r w:rsidRPr="00FA0FC2">
        <w:rPr>
          <w:rFonts w:hint="eastAsia"/>
          <w:rtl/>
        </w:rPr>
        <w:t> </w:t>
      </w:r>
      <w:r w:rsidRPr="00FA0FC2">
        <w:rPr>
          <w:rFonts w:hint="cs"/>
          <w:rtl/>
        </w:rPr>
        <w:t>1973. وهي ملتمسة لجوء رُفض طلب اللجوء الذي قدمته؛ وقد كانت تنتظر ترحيلها إلى إثيوبيا عندما قدمت شكواها. وتدعي أن ترحيلها إلى إثيوبيا يعد انتهاكاً من جانب سويسرا لل</w:t>
      </w:r>
      <w:r>
        <w:rPr>
          <w:rFonts w:hint="cs"/>
          <w:rtl/>
        </w:rPr>
        <w:t>مادة</w:t>
      </w:r>
      <w:r>
        <w:rPr>
          <w:rtl/>
        </w:rPr>
        <w:t> </w:t>
      </w:r>
      <w:r w:rsidRPr="00FA0FC2">
        <w:rPr>
          <w:rFonts w:hint="cs"/>
          <w:rtl/>
        </w:rPr>
        <w:t>3 من اتفاقية مناهضة التعذيب وغيره من ضروب المعاملة</w:t>
      </w:r>
      <w:r>
        <w:rPr>
          <w:rFonts w:hint="cs"/>
          <w:rtl/>
        </w:rPr>
        <w:t xml:space="preserve"> أو</w:t>
      </w:r>
      <w:r>
        <w:rPr>
          <w:rtl/>
        </w:rPr>
        <w:t> </w:t>
      </w:r>
      <w:r w:rsidRPr="00FA0FC2">
        <w:rPr>
          <w:rFonts w:hint="cs"/>
          <w:rtl/>
        </w:rPr>
        <w:t>العقوبة القاسية</w:t>
      </w:r>
      <w:r>
        <w:rPr>
          <w:rFonts w:hint="cs"/>
          <w:rtl/>
        </w:rPr>
        <w:t xml:space="preserve"> أو</w:t>
      </w:r>
      <w:r>
        <w:rPr>
          <w:rtl/>
        </w:rPr>
        <w:t> </w:t>
      </w:r>
      <w:r w:rsidRPr="00FA0FC2">
        <w:rPr>
          <w:rFonts w:hint="cs"/>
          <w:rtl/>
        </w:rPr>
        <w:t>اللاإنسانية</w:t>
      </w:r>
      <w:r>
        <w:rPr>
          <w:rFonts w:hint="cs"/>
          <w:rtl/>
        </w:rPr>
        <w:t xml:space="preserve"> أو</w:t>
      </w:r>
      <w:r>
        <w:rPr>
          <w:rtl/>
        </w:rPr>
        <w:t> </w:t>
      </w:r>
      <w:r w:rsidRPr="00FA0FC2">
        <w:rPr>
          <w:rFonts w:hint="cs"/>
          <w:rtl/>
        </w:rPr>
        <w:t>المهينة. ويمثل صاحبة الشكوى المحامي ط. ح.</w:t>
      </w:r>
    </w:p>
    <w:p w:rsidR="00091373" w:rsidRPr="00FA0FC2" w:rsidRDefault="00091373" w:rsidP="00091373">
      <w:pPr>
        <w:pStyle w:val="SingleTxtGA"/>
        <w:rPr>
          <w:rFonts w:hint="cs"/>
          <w:rtl/>
          <w:lang/>
        </w:rPr>
      </w:pPr>
      <w:r w:rsidRPr="00FA0FC2">
        <w:rPr>
          <w:rFonts w:hint="cs"/>
          <w:rtl/>
        </w:rPr>
        <w:t>1-2</w:t>
      </w:r>
      <w:r w:rsidRPr="00FA0FC2">
        <w:rPr>
          <w:rFonts w:hint="cs"/>
          <w:rtl/>
        </w:rPr>
        <w:tab/>
        <w:t xml:space="preserve">وفي 8 أيلول/سبتمبر 2010، </w:t>
      </w:r>
      <w:r w:rsidRPr="00FA0FC2">
        <w:rPr>
          <w:rFonts w:hint="cs"/>
          <w:rtl/>
          <w:lang/>
        </w:rPr>
        <w:t>طلبت اللجنة بموجب الفقرة 1 من ال</w:t>
      </w:r>
      <w:r>
        <w:rPr>
          <w:rFonts w:hint="cs"/>
          <w:rtl/>
          <w:lang/>
        </w:rPr>
        <w:t>مادة</w:t>
      </w:r>
      <w:r>
        <w:rPr>
          <w:rtl/>
          <w:lang/>
        </w:rPr>
        <w:t> </w:t>
      </w:r>
      <w:r w:rsidRPr="00FA0FC2">
        <w:rPr>
          <w:rFonts w:hint="cs"/>
          <w:rtl/>
          <w:lang/>
        </w:rPr>
        <w:t>108 السابقة من نظامها الداخلي</w:t>
      </w:r>
      <w:r w:rsidRPr="00FA0FC2">
        <w:rPr>
          <w:sz w:val="30"/>
          <w:vertAlign w:val="superscript"/>
          <w:rtl/>
          <w:lang w:val="es-ES"/>
        </w:rPr>
        <w:t>(</w:t>
      </w:r>
      <w:r w:rsidRPr="00FA0FC2">
        <w:rPr>
          <w:rStyle w:val="FootnoteReference"/>
          <w:rtl/>
          <w:lang w:val="es-ES"/>
        </w:rPr>
        <w:footnoteReference w:id="182"/>
      </w:r>
      <w:r w:rsidRPr="00FA0FC2">
        <w:rPr>
          <w:sz w:val="30"/>
          <w:vertAlign w:val="superscript"/>
          <w:rtl/>
          <w:lang w:val="es-ES"/>
        </w:rPr>
        <w:t>)</w:t>
      </w:r>
      <w:r w:rsidRPr="00FA0FC2">
        <w:rPr>
          <w:rFonts w:hint="cs"/>
          <w:sz w:val="30"/>
          <w:rtl/>
          <w:lang w:val="fr-CH"/>
        </w:rPr>
        <w:t xml:space="preserve"> </w:t>
      </w:r>
      <w:r w:rsidRPr="00FA0FC2">
        <w:rPr>
          <w:rFonts w:hint="cs"/>
          <w:rtl/>
          <w:lang/>
        </w:rPr>
        <w:t>إلى الدولة الطرف عدم ترحيل صاحبة الشكوى إلى إثيوبيا</w:t>
      </w:r>
      <w:r>
        <w:rPr>
          <w:rFonts w:hint="cs"/>
          <w:rtl/>
          <w:lang/>
        </w:rPr>
        <w:t xml:space="preserve"> ما</w:t>
      </w:r>
      <w:r>
        <w:rPr>
          <w:rtl/>
          <w:lang/>
        </w:rPr>
        <w:t> </w:t>
      </w:r>
      <w:r w:rsidRPr="00FA0FC2">
        <w:rPr>
          <w:rFonts w:hint="cs"/>
          <w:rtl/>
          <w:lang/>
        </w:rPr>
        <w:t>دامت شكواها قيد نظر اللجنة.</w:t>
      </w:r>
    </w:p>
    <w:p w:rsidR="00091373" w:rsidRPr="00FA0FC2" w:rsidRDefault="00091373" w:rsidP="00091373">
      <w:pPr>
        <w:pStyle w:val="H23GA"/>
        <w:rPr>
          <w:rFonts w:hint="cs"/>
          <w:rtl/>
        </w:rPr>
      </w:pPr>
      <w:r w:rsidRPr="00FA0FC2">
        <w:rPr>
          <w:rFonts w:hint="cs"/>
          <w:rtl/>
          <w:lang w:val="fr-CH"/>
        </w:rPr>
        <w:tab/>
      </w:r>
      <w:r w:rsidRPr="00FA0FC2">
        <w:rPr>
          <w:rFonts w:hint="cs"/>
          <w:rtl/>
          <w:lang w:val="fr-CH"/>
        </w:rPr>
        <w:tab/>
        <w:t>الوقائع</w:t>
      </w:r>
      <w:r>
        <w:rPr>
          <w:rFonts w:hint="cs"/>
          <w:rtl/>
          <w:lang w:val="fr-CH"/>
        </w:rPr>
        <w:t xml:space="preserve"> كما</w:t>
      </w:r>
      <w:r>
        <w:rPr>
          <w:rtl/>
          <w:lang w:val="fr-CH"/>
        </w:rPr>
        <w:t> </w:t>
      </w:r>
      <w:r w:rsidRPr="00FA0FC2">
        <w:rPr>
          <w:rFonts w:hint="cs"/>
          <w:rtl/>
          <w:lang w:val="fr-CH"/>
        </w:rPr>
        <w:t xml:space="preserve">عرضتها صاحبة </w:t>
      </w:r>
      <w:r w:rsidRPr="00FA0FC2">
        <w:rPr>
          <w:rFonts w:hint="cs"/>
          <w:rtl/>
        </w:rPr>
        <w:t>الشكوى</w:t>
      </w:r>
    </w:p>
    <w:p w:rsidR="00091373" w:rsidRPr="00FA0FC2" w:rsidRDefault="00091373" w:rsidP="00091373">
      <w:pPr>
        <w:pStyle w:val="SingleTxtGA"/>
        <w:rPr>
          <w:rFonts w:hint="cs"/>
          <w:rtl/>
        </w:rPr>
      </w:pPr>
      <w:r w:rsidRPr="00FA0FC2">
        <w:rPr>
          <w:rFonts w:hint="cs"/>
          <w:rtl/>
        </w:rPr>
        <w:t>2-1</w:t>
      </w:r>
      <w:r w:rsidRPr="00FA0FC2">
        <w:rPr>
          <w:rFonts w:hint="cs"/>
          <w:rtl/>
        </w:rPr>
        <w:tab/>
        <w:t xml:space="preserve">أصل صاحبة الشكوى من أديس أبابا حيث كانت تعمل كسكرتيرة لحساب شركة لتجارة البن. وقد انضمت صاحبة الشكوى إلى </w:t>
      </w:r>
      <w:r w:rsidRPr="00FA0FC2">
        <w:rPr>
          <w:rFonts w:hint="cs"/>
          <w:rtl/>
          <w:lang w:val="fr-CH"/>
        </w:rPr>
        <w:t>حزب التحالف من أجل الوحدة والديمقراطية</w:t>
      </w:r>
      <w:r w:rsidRPr="00FA0FC2">
        <w:rPr>
          <w:rFonts w:hint="cs"/>
          <w:rtl/>
        </w:rPr>
        <w:t xml:space="preserve"> الحديث التأسيس (اختصاراً حزب التحالف المعروف أيضاً باسم "</w:t>
      </w:r>
      <w:r w:rsidRPr="00FA0FC2">
        <w:t>KINIJIT</w:t>
      </w:r>
      <w:r w:rsidRPr="00FA0FC2">
        <w:rPr>
          <w:rFonts w:hint="cs"/>
          <w:rtl/>
        </w:rPr>
        <w:t>"</w:t>
      </w:r>
      <w:r>
        <w:rPr>
          <w:rFonts w:hint="cs"/>
          <w:rtl/>
        </w:rPr>
        <w:t xml:space="preserve"> أو</w:t>
      </w:r>
      <w:r>
        <w:rPr>
          <w:rtl/>
        </w:rPr>
        <w:t> </w:t>
      </w:r>
      <w:r w:rsidRPr="00FA0FC2">
        <w:rPr>
          <w:rFonts w:hint="cs"/>
          <w:rtl/>
        </w:rPr>
        <w:t>"</w:t>
      </w:r>
      <w:r w:rsidRPr="00FA0FC2">
        <w:t>CUDP</w:t>
      </w:r>
      <w:r w:rsidRPr="00FA0FC2">
        <w:rPr>
          <w:rFonts w:hint="cs"/>
          <w:rtl/>
        </w:rPr>
        <w:t>") في كانون الأول/ديسمبر 2004. وبدأت تدعم الحزب وتساعده على تنظيم أنشطة ومظاهرات. وألقي القبض عليها على أيدي أفراد من قوات الجيش الإثيوبية وسجنت لمدة شهر في أيار/مايو</w:t>
      </w:r>
      <w:r w:rsidRPr="00FA0FC2">
        <w:rPr>
          <w:rFonts w:hint="eastAsia"/>
          <w:rtl/>
        </w:rPr>
        <w:t> </w:t>
      </w:r>
      <w:r w:rsidRPr="00FA0FC2">
        <w:rPr>
          <w:rFonts w:hint="cs"/>
          <w:rtl/>
        </w:rPr>
        <w:t>2006</w:t>
      </w:r>
      <w:r w:rsidRPr="00FA0FC2">
        <w:rPr>
          <w:sz w:val="30"/>
          <w:vertAlign w:val="superscript"/>
          <w:rtl/>
          <w:lang w:val="es-ES"/>
        </w:rPr>
        <w:t>(</w:t>
      </w:r>
      <w:r w:rsidRPr="00FA0FC2">
        <w:rPr>
          <w:rStyle w:val="FootnoteReference"/>
          <w:rtl/>
          <w:lang w:val="es-ES"/>
        </w:rPr>
        <w:footnoteReference w:id="183"/>
      </w:r>
      <w:r w:rsidRPr="00FA0FC2">
        <w:rPr>
          <w:sz w:val="30"/>
          <w:vertAlign w:val="superscript"/>
          <w:rtl/>
          <w:lang w:val="es-ES"/>
        </w:rPr>
        <w:t>)</w:t>
      </w:r>
      <w:r w:rsidRPr="00FA0FC2">
        <w:rPr>
          <w:rFonts w:hint="cs"/>
          <w:rtl/>
        </w:rPr>
        <w:t>. وأطلق سراحها بكفالة بعد أن تعرضت لسوء المعاملة القاسية أثناء احتجازها،</w:t>
      </w:r>
      <w:r>
        <w:rPr>
          <w:rFonts w:hint="cs"/>
          <w:rtl/>
        </w:rPr>
        <w:t xml:space="preserve"> إلا</w:t>
      </w:r>
      <w:r>
        <w:rPr>
          <w:rtl/>
        </w:rPr>
        <w:t> </w:t>
      </w:r>
      <w:r w:rsidRPr="00FA0FC2">
        <w:rPr>
          <w:rFonts w:hint="cs"/>
          <w:rtl/>
        </w:rPr>
        <w:t>أنها ظلت تخضع لمراقبة السلطات الإثيوبية وتخشى أن يلقى القبض عليها مجدداً. وأتيحت لها فرصة لحضور مؤتمر في جنيف بوصفها ممثلة لرب عملها في حزيران/</w:t>
      </w:r>
      <w:r>
        <w:rPr>
          <w:rFonts w:hint="cs"/>
          <w:rtl/>
        </w:rPr>
        <w:t xml:space="preserve"> </w:t>
      </w:r>
      <w:r w:rsidRPr="00FA0FC2">
        <w:rPr>
          <w:rFonts w:hint="cs"/>
          <w:rtl/>
        </w:rPr>
        <w:t>يونيه</w:t>
      </w:r>
      <w:r>
        <w:rPr>
          <w:rFonts w:hint="eastAsia"/>
          <w:rtl/>
        </w:rPr>
        <w:t> </w:t>
      </w:r>
      <w:r w:rsidRPr="00FA0FC2">
        <w:rPr>
          <w:rFonts w:hint="cs"/>
          <w:rtl/>
        </w:rPr>
        <w:t>2007. واغتنمت الفرصة لتتمكن من مغادرة إثيوبيا بصورة شرعية وطلبت اللجوء في سويسرا للمرة الأولى في 25 حزيران/يونيه 2007.</w:t>
      </w:r>
    </w:p>
    <w:p w:rsidR="00091373" w:rsidRPr="00FA0FC2" w:rsidRDefault="00091373" w:rsidP="00091373">
      <w:pPr>
        <w:pStyle w:val="SingleTxtGA"/>
        <w:rPr>
          <w:rFonts w:hint="cs"/>
          <w:rtl/>
        </w:rPr>
      </w:pPr>
      <w:r w:rsidRPr="00FA0FC2">
        <w:rPr>
          <w:rFonts w:hint="cs"/>
          <w:rtl/>
        </w:rPr>
        <w:t>2-2</w:t>
      </w:r>
      <w:r w:rsidRPr="00FA0FC2">
        <w:rPr>
          <w:rFonts w:hint="cs"/>
          <w:rtl/>
        </w:rPr>
        <w:tab/>
        <w:t>وتفيد صاحبة الشكوى بأنها واصلت نشاطها السياسي في سويسرا. وأصبحت عضواً نشطاً في حزب التحالف منذ تشرين الأول/أكتوبر 2007 وهي تشغل حالياً منصب ممثلة مقاطعة لوزرن للمنظمة الداعمة لحزب التحالف في سويسرا (</w:t>
      </w:r>
      <w:r w:rsidRPr="00FA0FC2">
        <w:t>KSOS</w:t>
      </w:r>
      <w:r w:rsidRPr="00FA0FC2">
        <w:rPr>
          <w:rFonts w:hint="cs"/>
          <w:rtl/>
        </w:rPr>
        <w:t>) التي تضطلع في إطارها بدور نشط في ترتيب الاجتماعات وتشجيع انضمام الأعضاء الجدد وتنظيم المظاهرات. وعلاوة على ذلك، غالباً</w:t>
      </w:r>
      <w:r>
        <w:rPr>
          <w:rFonts w:hint="cs"/>
          <w:rtl/>
        </w:rPr>
        <w:t xml:space="preserve"> ما</w:t>
      </w:r>
      <w:r>
        <w:rPr>
          <w:rtl/>
        </w:rPr>
        <w:t> </w:t>
      </w:r>
      <w:r w:rsidRPr="00FA0FC2">
        <w:rPr>
          <w:rFonts w:hint="cs"/>
          <w:rtl/>
        </w:rPr>
        <w:t xml:space="preserve">تتحدث صاحبة الشكوى خلال التظاهرات الاحتجاجية وتنشر تعليقات ومقالات انتقادية على الإنترنت. وهي أيضاً عضو في </w:t>
      </w:r>
      <w:r w:rsidRPr="00FA0FC2">
        <w:rPr>
          <w:rFonts w:hint="cs"/>
          <w:sz w:val="30"/>
          <w:rtl/>
        </w:rPr>
        <w:t>جمعية الإثيوبيين في سويسرا (</w:t>
      </w:r>
      <w:r w:rsidRPr="00FA0FC2">
        <w:t>AES</w:t>
      </w:r>
      <w:r w:rsidRPr="00FA0FC2">
        <w:rPr>
          <w:rFonts w:hint="cs"/>
          <w:sz w:val="30"/>
          <w:rtl/>
        </w:rPr>
        <w:t xml:space="preserve">) التي </w:t>
      </w:r>
      <w:r w:rsidRPr="00FA0FC2">
        <w:rPr>
          <w:rFonts w:hint="cs"/>
          <w:rtl/>
        </w:rPr>
        <w:t>غالباً</w:t>
      </w:r>
      <w:r>
        <w:rPr>
          <w:rFonts w:hint="cs"/>
          <w:rtl/>
        </w:rPr>
        <w:t xml:space="preserve"> ما</w:t>
      </w:r>
      <w:r>
        <w:rPr>
          <w:rtl/>
        </w:rPr>
        <w:t> </w:t>
      </w:r>
      <w:r w:rsidRPr="00FA0FC2">
        <w:rPr>
          <w:rFonts w:hint="cs"/>
          <w:rtl/>
        </w:rPr>
        <w:t>تنظم مظاهرات ضد السلطات الإثيوبية.</w:t>
      </w:r>
    </w:p>
    <w:p w:rsidR="00091373" w:rsidRPr="00FA0FC2" w:rsidRDefault="00091373" w:rsidP="00091373">
      <w:pPr>
        <w:pStyle w:val="SingleTxtGA"/>
        <w:rPr>
          <w:rFonts w:hint="cs"/>
          <w:spacing w:val="-2"/>
          <w:rtl/>
        </w:rPr>
      </w:pPr>
      <w:r w:rsidRPr="00FA0FC2">
        <w:rPr>
          <w:rFonts w:hint="cs"/>
          <w:spacing w:val="-2"/>
          <w:rtl/>
        </w:rPr>
        <w:t>2-3</w:t>
      </w:r>
      <w:r w:rsidRPr="00FA0FC2">
        <w:rPr>
          <w:rFonts w:hint="cs"/>
          <w:spacing w:val="-2"/>
          <w:rtl/>
        </w:rPr>
        <w:tab/>
        <w:t xml:space="preserve">وقد قرر </w:t>
      </w:r>
      <w:r w:rsidRPr="00FA0FC2">
        <w:rPr>
          <w:rFonts w:hint="cs"/>
          <w:rtl/>
          <w:lang w:val="fr-CH"/>
        </w:rPr>
        <w:t xml:space="preserve">مكتب الهجرة الاتحادي عدم إبداء رأيه في الأسس الموضوعية لطلب اللجوء الذي قدمته صاحبة الشكوى وأمر </w:t>
      </w:r>
      <w:r w:rsidRPr="00FA0FC2">
        <w:rPr>
          <w:rFonts w:hint="cs"/>
          <w:spacing w:val="-2"/>
          <w:rtl/>
        </w:rPr>
        <w:t>بترحيلها من سويسرا</w:t>
      </w:r>
      <w:r w:rsidRPr="00FA0FC2">
        <w:rPr>
          <w:rFonts w:hint="cs"/>
          <w:rtl/>
          <w:lang w:val="fr-CH"/>
        </w:rPr>
        <w:t xml:space="preserve"> في 25 تموز/يوليه 2007</w:t>
      </w:r>
      <w:r w:rsidRPr="00FA0FC2">
        <w:rPr>
          <w:rFonts w:hint="cs"/>
          <w:spacing w:val="-2"/>
          <w:rtl/>
        </w:rPr>
        <w:t xml:space="preserve">. ورفضت </w:t>
      </w:r>
      <w:r w:rsidRPr="00FA0FC2">
        <w:rPr>
          <w:rFonts w:hint="cs"/>
          <w:rtl/>
          <w:lang w:val="fr-CH"/>
        </w:rPr>
        <w:t>المحكمة الإدارية الاتحادية في 11 كانون الأول/ديسمبر 2008 طعنها</w:t>
      </w:r>
      <w:r w:rsidRPr="00FA0FC2">
        <w:rPr>
          <w:rFonts w:hint="cs"/>
          <w:spacing w:val="-2"/>
          <w:rtl/>
        </w:rPr>
        <w:t xml:space="preserve"> في ذلك القرار.</w:t>
      </w:r>
    </w:p>
    <w:p w:rsidR="00091373" w:rsidRPr="00FA0FC2" w:rsidRDefault="00091373" w:rsidP="00091373">
      <w:pPr>
        <w:pStyle w:val="SingleTxtGA"/>
        <w:spacing w:line="360" w:lineRule="exact"/>
        <w:rPr>
          <w:rFonts w:hint="cs"/>
          <w:spacing w:val="-4"/>
          <w:rtl/>
          <w:lang w:val="fr-CH"/>
        </w:rPr>
      </w:pPr>
      <w:r w:rsidRPr="00FA0FC2">
        <w:rPr>
          <w:rFonts w:hint="cs"/>
          <w:spacing w:val="-4"/>
          <w:rtl/>
        </w:rPr>
        <w:t>2-4</w:t>
      </w:r>
      <w:r w:rsidRPr="00FA0FC2">
        <w:rPr>
          <w:rFonts w:hint="cs"/>
          <w:spacing w:val="-4"/>
          <w:rtl/>
        </w:rPr>
        <w:tab/>
        <w:t>وقدمت صاحبة الشكوى طلباً ثانياً للجوء في 24 نيسان/أبريل 2009 وأشارت فيه إلى أنشطتها السياسية في سويسرا وأرفقت به صوراً وكتيبات ومقالات من إعدادها وتعليقاتها المضافة إلى منتديات المناقشة ورسالة إثبات من المنظمة الداعمة لحزب التحالف في</w:t>
      </w:r>
      <w:r w:rsidRPr="00FA0FC2">
        <w:rPr>
          <w:rFonts w:hint="eastAsia"/>
          <w:spacing w:val="-4"/>
          <w:rtl/>
        </w:rPr>
        <w:t> </w:t>
      </w:r>
      <w:r w:rsidRPr="00FA0FC2">
        <w:rPr>
          <w:rFonts w:hint="cs"/>
          <w:spacing w:val="-4"/>
          <w:rtl/>
        </w:rPr>
        <w:t xml:space="preserve">سويسرا ورسالة من </w:t>
      </w:r>
      <w:r w:rsidRPr="00FA0FC2">
        <w:rPr>
          <w:rFonts w:hint="cs"/>
          <w:spacing w:val="-4"/>
          <w:sz w:val="30"/>
          <w:rtl/>
        </w:rPr>
        <w:t>جمعية الإثيوبيين في سويسرا</w:t>
      </w:r>
      <w:r w:rsidRPr="00FA0FC2">
        <w:rPr>
          <w:rFonts w:hint="cs"/>
          <w:spacing w:val="-4"/>
          <w:rtl/>
        </w:rPr>
        <w:t xml:space="preserve"> وتقريراً لمنظمة رصد حقوق الإنسان كأدلة داعمة. وأجرى </w:t>
      </w:r>
      <w:r w:rsidRPr="00FA0FC2">
        <w:rPr>
          <w:rFonts w:hint="cs"/>
          <w:spacing w:val="-4"/>
          <w:rtl/>
          <w:lang w:val="fr-CH"/>
        </w:rPr>
        <w:t>مكتب الهجرة الاتحادي مقابلة مع صاحبة الشكوى في 30 تشرين الأول/أكتوبر 2009 ورفض طلب لجوئها الثاني في 12 تشرين الثاني/نوفمبر 2009. وأحاط علماً بأن صاحبة الشكوى عجزت عن تقديم إثبات جدير بالثقة لأي حالة اضطهاد ناشئة عن دوافع سياسية من جانب السلطات الإثيوبية في إطار إجرائها الأول لالتماس اللجوء. وعليه،</w:t>
      </w:r>
      <w:r>
        <w:rPr>
          <w:rFonts w:hint="cs"/>
          <w:spacing w:val="-4"/>
          <w:rtl/>
          <w:lang w:val="fr-CH"/>
        </w:rPr>
        <w:t xml:space="preserve"> لم</w:t>
      </w:r>
      <w:r>
        <w:rPr>
          <w:spacing w:val="-4"/>
          <w:rtl/>
          <w:lang w:val="fr-CH"/>
        </w:rPr>
        <w:t> </w:t>
      </w:r>
      <w:r w:rsidRPr="00FA0FC2">
        <w:rPr>
          <w:rFonts w:hint="cs"/>
          <w:spacing w:val="-4"/>
          <w:rtl/>
          <w:lang w:val="fr-CH"/>
        </w:rPr>
        <w:t>يكن هناك</w:t>
      </w:r>
      <w:r>
        <w:rPr>
          <w:rFonts w:hint="cs"/>
          <w:spacing w:val="-4"/>
          <w:rtl/>
          <w:lang w:val="fr-CH"/>
        </w:rPr>
        <w:t xml:space="preserve"> ما</w:t>
      </w:r>
      <w:r>
        <w:rPr>
          <w:spacing w:val="-4"/>
          <w:rtl/>
          <w:lang w:val="fr-CH"/>
        </w:rPr>
        <w:t> </w:t>
      </w:r>
      <w:r w:rsidRPr="00FA0FC2">
        <w:rPr>
          <w:rFonts w:hint="cs"/>
          <w:spacing w:val="-4"/>
          <w:rtl/>
          <w:lang w:val="fr-CH"/>
        </w:rPr>
        <w:t xml:space="preserve">يدعو إلى افتراض </w:t>
      </w:r>
      <w:r>
        <w:rPr>
          <w:rFonts w:hint="cs"/>
          <w:spacing w:val="-4"/>
          <w:rtl/>
          <w:lang w:val="fr-CH"/>
        </w:rPr>
        <w:t>تصنيفها من جانب</w:t>
      </w:r>
      <w:r w:rsidRPr="00FA0FC2">
        <w:rPr>
          <w:rFonts w:hint="cs"/>
          <w:spacing w:val="-4"/>
          <w:rtl/>
          <w:lang w:val="fr-CH"/>
        </w:rPr>
        <w:t xml:space="preserve"> السلطات الإثيوبية كمنشقة قبل مغادرتها</w:t>
      </w:r>
      <w:r>
        <w:rPr>
          <w:rFonts w:hint="cs"/>
          <w:spacing w:val="-4"/>
          <w:rtl/>
          <w:lang w:val="fr-CH"/>
        </w:rPr>
        <w:t xml:space="preserve"> أو</w:t>
      </w:r>
      <w:r>
        <w:rPr>
          <w:spacing w:val="-4"/>
          <w:rtl/>
          <w:lang w:val="fr-CH"/>
        </w:rPr>
        <w:t> </w:t>
      </w:r>
      <w:r w:rsidRPr="00FA0FC2">
        <w:rPr>
          <w:rFonts w:hint="cs"/>
          <w:spacing w:val="-4"/>
          <w:rtl/>
          <w:lang w:val="fr-CH"/>
        </w:rPr>
        <w:t>تسجيلها بأي شكل من الأشكال كناقدة لنظام الحكم</w:t>
      </w:r>
      <w:r>
        <w:rPr>
          <w:rFonts w:hint="cs"/>
          <w:spacing w:val="-4"/>
          <w:rtl/>
          <w:lang w:val="fr-CH"/>
        </w:rPr>
        <w:t xml:space="preserve"> أو</w:t>
      </w:r>
      <w:r>
        <w:rPr>
          <w:spacing w:val="-4"/>
          <w:rtl/>
          <w:lang w:val="fr-CH"/>
        </w:rPr>
        <w:t> </w:t>
      </w:r>
      <w:r w:rsidRPr="00FA0FC2">
        <w:rPr>
          <w:rFonts w:hint="cs"/>
          <w:spacing w:val="-4"/>
          <w:rtl/>
          <w:lang w:val="fr-CH"/>
        </w:rPr>
        <w:t>ناشطة سياسية. ورأى مكتب الهجرة بالتالي أنه ليس هناك أيضاً</w:t>
      </w:r>
      <w:r>
        <w:rPr>
          <w:rFonts w:hint="cs"/>
          <w:spacing w:val="-4"/>
          <w:rtl/>
          <w:lang w:val="fr-CH"/>
        </w:rPr>
        <w:t xml:space="preserve"> ما</w:t>
      </w:r>
      <w:r>
        <w:rPr>
          <w:spacing w:val="-4"/>
          <w:rtl/>
          <w:lang w:val="fr-CH"/>
        </w:rPr>
        <w:t> </w:t>
      </w:r>
      <w:r w:rsidRPr="00FA0FC2">
        <w:rPr>
          <w:rFonts w:hint="cs"/>
          <w:spacing w:val="-4"/>
          <w:rtl/>
          <w:lang w:val="fr-CH"/>
        </w:rPr>
        <w:t>يبرر افتراض مراقبة السلطات الإثيوبية لصاحبة الشكوى بعد وصولها إلى سويسرا.</w:t>
      </w:r>
    </w:p>
    <w:p w:rsidR="00091373" w:rsidRPr="00FA0FC2" w:rsidRDefault="00091373" w:rsidP="00091373">
      <w:pPr>
        <w:pStyle w:val="SingleTxtGA"/>
        <w:spacing w:line="360" w:lineRule="exact"/>
        <w:rPr>
          <w:rFonts w:hint="cs"/>
          <w:spacing w:val="-2"/>
          <w:rtl/>
          <w:lang w:val="fr-CH"/>
        </w:rPr>
      </w:pPr>
      <w:r w:rsidRPr="00FA0FC2">
        <w:rPr>
          <w:rFonts w:hint="cs"/>
          <w:spacing w:val="-2"/>
          <w:rtl/>
          <w:lang w:val="fr-CH"/>
        </w:rPr>
        <w:t>2-5</w:t>
      </w:r>
      <w:r w:rsidRPr="00FA0FC2">
        <w:rPr>
          <w:rFonts w:hint="cs"/>
          <w:spacing w:val="-2"/>
          <w:rtl/>
          <w:lang w:val="fr-CH"/>
        </w:rPr>
        <w:tab/>
        <w:t>ورأى مكتب الهجرة الاتحادي أيضاً أن المعلومات التي قدمتها صاحبة الشكوى أثناء جلسة الاستماع الشفوية في 30 تشرين الأول/أكتوبر 2009</w:t>
      </w:r>
      <w:r>
        <w:rPr>
          <w:rFonts w:hint="cs"/>
          <w:spacing w:val="-2"/>
          <w:rtl/>
          <w:lang w:val="fr-CH"/>
        </w:rPr>
        <w:t xml:space="preserve"> لا</w:t>
      </w:r>
      <w:r>
        <w:rPr>
          <w:spacing w:val="-2"/>
          <w:rtl/>
          <w:lang w:val="fr-CH"/>
        </w:rPr>
        <w:t> </w:t>
      </w:r>
      <w:r w:rsidRPr="00FA0FC2">
        <w:rPr>
          <w:rFonts w:hint="cs"/>
          <w:spacing w:val="-2"/>
          <w:rtl/>
          <w:lang w:val="fr-CH"/>
        </w:rPr>
        <w:t>تفيد بأن صاحبة الشكوى تشغل منصباً بارزاً في المنظمة الداعمة لحزب التحالف في سويسرا. وفضلاً عن ذلك،</w:t>
      </w:r>
      <w:r>
        <w:rPr>
          <w:rFonts w:hint="cs"/>
          <w:spacing w:val="-2"/>
          <w:rtl/>
          <w:lang w:val="fr-CH"/>
        </w:rPr>
        <w:t xml:space="preserve"> لم</w:t>
      </w:r>
      <w:r>
        <w:rPr>
          <w:spacing w:val="-2"/>
          <w:rtl/>
          <w:lang w:val="fr-CH"/>
        </w:rPr>
        <w:t> </w:t>
      </w:r>
      <w:r w:rsidRPr="00FA0FC2">
        <w:rPr>
          <w:rFonts w:hint="cs"/>
          <w:spacing w:val="-2"/>
          <w:rtl/>
          <w:lang w:val="fr-CH"/>
        </w:rPr>
        <w:t>يكن هناك</w:t>
      </w:r>
      <w:r>
        <w:rPr>
          <w:rFonts w:hint="cs"/>
          <w:spacing w:val="-2"/>
          <w:rtl/>
          <w:lang w:val="fr-CH"/>
        </w:rPr>
        <w:t xml:space="preserve"> ما</w:t>
      </w:r>
      <w:r>
        <w:rPr>
          <w:spacing w:val="-2"/>
          <w:rtl/>
          <w:lang w:val="fr-CH"/>
        </w:rPr>
        <w:t> </w:t>
      </w:r>
      <w:r w:rsidRPr="00FA0FC2">
        <w:rPr>
          <w:rFonts w:hint="cs"/>
          <w:spacing w:val="-2"/>
          <w:rtl/>
          <w:lang w:val="fr-CH"/>
        </w:rPr>
        <w:t>يبين أن السلطات الإثيوبية كانت قد تنبهت لعضوية صاحبة الشكوى في المنظمة الداعمة لحزب التحالف</w:t>
      </w:r>
      <w:r>
        <w:rPr>
          <w:rFonts w:hint="cs"/>
          <w:spacing w:val="-2"/>
          <w:rtl/>
          <w:lang w:val="fr-CH"/>
        </w:rPr>
        <w:t xml:space="preserve"> أو</w:t>
      </w:r>
      <w:r>
        <w:rPr>
          <w:spacing w:val="-2"/>
          <w:rtl/>
          <w:lang w:val="fr-CH"/>
        </w:rPr>
        <w:t> </w:t>
      </w:r>
      <w:r w:rsidRPr="00FA0FC2">
        <w:rPr>
          <w:rFonts w:hint="cs"/>
          <w:spacing w:val="-2"/>
          <w:rtl/>
          <w:lang w:val="fr-CH"/>
        </w:rPr>
        <w:t xml:space="preserve">اتخذت أي تدابير ضدها. وإضافة إلى ذلك، كانت صاحبة الشكوى تضطلع بالأحرى بأنشطة محدودة النطاق لحساب </w:t>
      </w:r>
      <w:r w:rsidRPr="00FA0FC2">
        <w:rPr>
          <w:rFonts w:hint="cs"/>
          <w:spacing w:val="-2"/>
          <w:sz w:val="30"/>
          <w:rtl/>
        </w:rPr>
        <w:t>جمعية الإثيوبيين في سويسرا</w:t>
      </w:r>
      <w:r w:rsidRPr="00FA0FC2">
        <w:rPr>
          <w:rFonts w:hint="cs"/>
          <w:spacing w:val="-2"/>
          <w:rtl/>
          <w:lang w:val="fr-CH"/>
        </w:rPr>
        <w:t xml:space="preserve"> التي هي عبارة عن جمعية تعلن أنها مستقلة سياسياً وتعنى أساساً بالأنشطة الثقافية. وارتأى المكتب أنه من المؤكد أن صاحبة الشكوى هي ناشطة سياسية في المهجر مثلها مثل العديد من أبناء بلدها،</w:t>
      </w:r>
      <w:r>
        <w:rPr>
          <w:rFonts w:hint="cs"/>
          <w:spacing w:val="-2"/>
          <w:rtl/>
          <w:lang w:val="fr-CH"/>
        </w:rPr>
        <w:t xml:space="preserve"> إلا</w:t>
      </w:r>
      <w:r>
        <w:rPr>
          <w:spacing w:val="-2"/>
          <w:rtl/>
          <w:lang w:val="fr-CH"/>
        </w:rPr>
        <w:t> </w:t>
      </w:r>
      <w:r w:rsidRPr="00FA0FC2">
        <w:rPr>
          <w:rFonts w:hint="cs"/>
          <w:spacing w:val="-2"/>
          <w:rtl/>
          <w:lang w:val="fr-CH"/>
        </w:rPr>
        <w:t>أن الأدلة التي قدمتها صاحبة الشكوى بينت</w:t>
      </w:r>
      <w:r>
        <w:rPr>
          <w:rFonts w:hint="cs"/>
          <w:spacing w:val="-2"/>
          <w:rtl/>
          <w:lang w:val="fr-CH"/>
        </w:rPr>
        <w:t xml:space="preserve"> كما</w:t>
      </w:r>
      <w:r>
        <w:rPr>
          <w:spacing w:val="-2"/>
          <w:rtl/>
          <w:lang w:val="fr-CH"/>
        </w:rPr>
        <w:t> </w:t>
      </w:r>
      <w:r w:rsidRPr="00FA0FC2">
        <w:rPr>
          <w:rFonts w:hint="cs"/>
          <w:spacing w:val="-2"/>
          <w:rtl/>
          <w:lang w:val="fr-CH"/>
        </w:rPr>
        <w:t>في حال طلبات لجوء عديدة أخرى مدعمة بالمستندات على نحو مماثل أن العديد من الأنشطة التي يضطلع بها المنشقون في المهجر</w:t>
      </w:r>
      <w:r>
        <w:rPr>
          <w:rFonts w:hint="cs"/>
          <w:spacing w:val="-2"/>
          <w:rtl/>
          <w:lang w:val="fr-CH"/>
        </w:rPr>
        <w:t xml:space="preserve"> لا</w:t>
      </w:r>
      <w:r>
        <w:rPr>
          <w:spacing w:val="-2"/>
          <w:rtl/>
          <w:lang w:val="fr-CH"/>
        </w:rPr>
        <w:t> </w:t>
      </w:r>
      <w:r w:rsidRPr="00FA0FC2">
        <w:rPr>
          <w:rFonts w:hint="cs"/>
          <w:spacing w:val="-2"/>
          <w:rtl/>
          <w:lang w:val="fr-CH"/>
        </w:rPr>
        <w:t>تدوم سوى بضعة أشهر في سويسرا. وتُنشر بعدئذ صور جماعية تختلق في الغالب وتظهر مئات الأشخاص في وسائل الإعلام المناسبة. وحتى إن كانت الصور التي قدمتها صاحبة الشكوى تصورها وهي تحمل مكبراً للصوت في صف المتظاهرين الأمامي، فهذا أمر</w:t>
      </w:r>
      <w:r>
        <w:rPr>
          <w:rFonts w:hint="cs"/>
          <w:spacing w:val="-2"/>
          <w:rtl/>
          <w:lang w:val="fr-CH"/>
        </w:rPr>
        <w:t xml:space="preserve"> لم</w:t>
      </w:r>
      <w:r>
        <w:rPr>
          <w:spacing w:val="-2"/>
          <w:rtl/>
          <w:lang w:val="fr-CH"/>
        </w:rPr>
        <w:t> </w:t>
      </w:r>
      <w:r w:rsidRPr="00FA0FC2">
        <w:rPr>
          <w:rFonts w:hint="cs"/>
          <w:spacing w:val="-2"/>
          <w:rtl/>
          <w:lang w:val="fr-CH"/>
        </w:rPr>
        <w:t>يعتبره المكتب كافياً ليجعلها تبدو ناقدة لنظام الحكم يمكن أن تزعزع الاستقرار. وأشار المكتب إلى أنها ليست المحتجة الوحيدة التي نادت بالشعارات وأن اسمها</w:t>
      </w:r>
      <w:r>
        <w:rPr>
          <w:rFonts w:hint="cs"/>
          <w:spacing w:val="-2"/>
          <w:rtl/>
          <w:lang w:val="fr-CH"/>
        </w:rPr>
        <w:t xml:space="preserve"> لم</w:t>
      </w:r>
      <w:r>
        <w:rPr>
          <w:spacing w:val="-2"/>
          <w:rtl/>
          <w:lang w:val="fr-CH"/>
        </w:rPr>
        <w:t> </w:t>
      </w:r>
      <w:r w:rsidRPr="00FA0FC2">
        <w:rPr>
          <w:rFonts w:hint="cs"/>
          <w:spacing w:val="-2"/>
          <w:rtl/>
          <w:lang w:val="fr-CH"/>
        </w:rPr>
        <w:t>يرد ذكره في الصور المنشورة على الإنترنت.</w:t>
      </w:r>
      <w:r>
        <w:rPr>
          <w:rFonts w:hint="cs"/>
          <w:spacing w:val="-2"/>
          <w:rtl/>
          <w:lang w:val="fr-CH"/>
        </w:rPr>
        <w:t xml:space="preserve"> ولا</w:t>
      </w:r>
      <w:r>
        <w:rPr>
          <w:spacing w:val="-2"/>
          <w:rtl/>
          <w:lang w:val="fr-CH"/>
        </w:rPr>
        <w:t> </w:t>
      </w:r>
      <w:r w:rsidRPr="00FA0FC2">
        <w:rPr>
          <w:rFonts w:hint="cs"/>
          <w:spacing w:val="-2"/>
          <w:rtl/>
          <w:lang w:val="fr-CH"/>
        </w:rPr>
        <w:t>يمكن بالتالي الخلوص إلى اعتبار صاحبة الشكوى أكثر تعرضاً من غيرها.</w:t>
      </w:r>
    </w:p>
    <w:p w:rsidR="00091373" w:rsidRPr="00FA0FC2" w:rsidRDefault="00091373" w:rsidP="00091373">
      <w:pPr>
        <w:pStyle w:val="SingleTxtGA"/>
        <w:rPr>
          <w:rFonts w:hint="cs"/>
          <w:rtl/>
          <w:lang w:val="fr-CH"/>
        </w:rPr>
      </w:pPr>
      <w:r w:rsidRPr="00FA0FC2">
        <w:rPr>
          <w:rFonts w:hint="cs"/>
          <w:rtl/>
          <w:lang w:val="fr-CH"/>
        </w:rPr>
        <w:t>2-6</w:t>
      </w:r>
      <w:r w:rsidRPr="00FA0FC2">
        <w:rPr>
          <w:rFonts w:hint="cs"/>
          <w:rtl/>
          <w:lang w:val="fr-CH"/>
        </w:rPr>
        <w:tab/>
        <w:t>وفيما يتعلق بالمقالات السياسية التي نشرتها صاحبة الشكوى على الإنترنت، ارتأى مكتب الهجرة الاتحادي أنه</w:t>
      </w:r>
      <w:r>
        <w:rPr>
          <w:rFonts w:hint="cs"/>
          <w:rtl/>
          <w:lang w:val="fr-CH"/>
        </w:rPr>
        <w:t xml:space="preserve"> لا</w:t>
      </w:r>
      <w:r>
        <w:rPr>
          <w:rtl/>
          <w:lang w:val="fr-CH"/>
        </w:rPr>
        <w:t> </w:t>
      </w:r>
      <w:r w:rsidRPr="00FA0FC2">
        <w:rPr>
          <w:rFonts w:hint="cs"/>
          <w:rtl/>
          <w:lang w:val="fr-CH"/>
        </w:rPr>
        <w:t>يمكن استنتاج أن صاحبة الشكوى موضع أي اهتمام خاص من جانب السلطات الإثيوبية، علماً بأن مئات المقالات المناهضة للحكومة تنشر على الشبكة. وحتى في حال اطلاع السلطات على الأنشطة السياسية التي يضطلع بها رعايا البلد في المهجر فهي ليست في وضع يمكنها من مراقبة كل شخص بمفرده وتحديد هويته نظراً إلى ارتفاع عدد المواطنين الإثيوبيين المقيمين في الخارج. وعلاوة على ذلك، ينبغي أن تكون السلطات الإثيوبية على علم بأن العديد من المهاجرين الإثيوبيين يسعون لأسباب اقتصادية أساساً إلى الحصول على رخصة الإقامة في أوروبا، وخصوصاً في سويسرا، قبل اختتام إجراءاتهم لالتماس اللجوء</w:t>
      </w:r>
      <w:r>
        <w:rPr>
          <w:rFonts w:hint="cs"/>
          <w:rtl/>
          <w:lang w:val="fr-CH"/>
        </w:rPr>
        <w:t xml:space="preserve"> أو</w:t>
      </w:r>
      <w:r>
        <w:rPr>
          <w:rtl/>
          <w:lang w:val="fr-CH"/>
        </w:rPr>
        <w:t> </w:t>
      </w:r>
      <w:r w:rsidRPr="00FA0FC2">
        <w:rPr>
          <w:rFonts w:hint="cs"/>
          <w:rtl/>
          <w:lang w:val="fr-CH"/>
        </w:rPr>
        <w:t>بعد ذلك، وينهمكون بالتالي في تنظيم أنشطة مناهضة للحكومة مثل المشاركة في المظاهرات ونشر الصور والنصوص وغير ذلك.</w:t>
      </w:r>
    </w:p>
    <w:p w:rsidR="00091373" w:rsidRPr="00FA0FC2" w:rsidRDefault="00091373" w:rsidP="00091373">
      <w:pPr>
        <w:pStyle w:val="SingleTxtGA"/>
        <w:spacing w:line="360" w:lineRule="exact"/>
        <w:rPr>
          <w:rFonts w:hint="cs"/>
          <w:rtl/>
          <w:lang w:val="fr-CH"/>
        </w:rPr>
      </w:pPr>
      <w:r w:rsidRPr="00FA0FC2">
        <w:rPr>
          <w:rFonts w:hint="cs"/>
          <w:rtl/>
          <w:lang w:val="fr-CH"/>
        </w:rPr>
        <w:t>2-7</w:t>
      </w:r>
      <w:r w:rsidRPr="00FA0FC2">
        <w:rPr>
          <w:rFonts w:hint="cs"/>
          <w:rtl/>
          <w:lang w:val="fr-CH"/>
        </w:rPr>
        <w:tab/>
        <w:t>واستنتج مكتب الهجرة الاتحادي بالتالي أن السلطات الإثيوبية</w:t>
      </w:r>
      <w:r>
        <w:rPr>
          <w:rFonts w:hint="cs"/>
          <w:rtl/>
          <w:lang w:val="fr-CH"/>
        </w:rPr>
        <w:t xml:space="preserve"> لم</w:t>
      </w:r>
      <w:r>
        <w:rPr>
          <w:rtl/>
          <w:lang w:val="fr-CH"/>
        </w:rPr>
        <w:t> </w:t>
      </w:r>
      <w:r w:rsidRPr="00FA0FC2">
        <w:rPr>
          <w:rFonts w:hint="cs"/>
          <w:rtl/>
          <w:lang w:val="fr-CH"/>
        </w:rPr>
        <w:t>يكن لديها مصلحة في انتقاء شخص معين</w:t>
      </w:r>
      <w:r>
        <w:rPr>
          <w:rFonts w:hint="cs"/>
          <w:rtl/>
          <w:lang w:val="fr-CH"/>
        </w:rPr>
        <w:t xml:space="preserve"> ما</w:t>
      </w:r>
      <w:r>
        <w:rPr>
          <w:rtl/>
          <w:lang w:val="fr-CH"/>
        </w:rPr>
        <w:t> </w:t>
      </w:r>
      <w:r>
        <w:rPr>
          <w:rFonts w:hint="cs"/>
          <w:rtl/>
          <w:lang w:val="fr-CH"/>
        </w:rPr>
        <w:t>لم</w:t>
      </w:r>
      <w:r>
        <w:rPr>
          <w:rtl/>
          <w:lang w:val="fr-CH"/>
        </w:rPr>
        <w:t> </w:t>
      </w:r>
      <w:r w:rsidRPr="00FA0FC2">
        <w:rPr>
          <w:rFonts w:hint="cs"/>
          <w:rtl/>
          <w:lang w:val="fr-CH"/>
        </w:rPr>
        <w:t>تمثل أنشطة ذلك الشخص في تصورها تهديداً ملموساً للنظام السياسي.</w:t>
      </w:r>
      <w:r>
        <w:rPr>
          <w:rFonts w:hint="cs"/>
          <w:rtl/>
          <w:lang w:val="fr-CH"/>
        </w:rPr>
        <w:t xml:space="preserve"> وفي</w:t>
      </w:r>
      <w:r>
        <w:rPr>
          <w:rtl/>
          <w:lang w:val="fr-CH"/>
        </w:rPr>
        <w:t> </w:t>
      </w:r>
      <w:r w:rsidRPr="00FA0FC2">
        <w:rPr>
          <w:rFonts w:hint="cs"/>
          <w:rtl/>
          <w:lang w:val="fr-CH"/>
        </w:rPr>
        <w:t>قضية صاحبة الشكوى،</w:t>
      </w:r>
      <w:r>
        <w:rPr>
          <w:rFonts w:hint="cs"/>
          <w:rtl/>
          <w:lang w:val="fr-CH"/>
        </w:rPr>
        <w:t xml:space="preserve"> لم</w:t>
      </w:r>
      <w:r>
        <w:rPr>
          <w:rtl/>
          <w:lang w:val="fr-CH"/>
        </w:rPr>
        <w:t> </w:t>
      </w:r>
      <w:r w:rsidRPr="00FA0FC2">
        <w:rPr>
          <w:rFonts w:hint="cs"/>
          <w:rtl/>
          <w:lang w:val="fr-CH"/>
        </w:rPr>
        <w:t>تتوفر أي مؤشرات تفيد بأن صاحبة الشكوى كانت ناشطة</w:t>
      </w:r>
      <w:r>
        <w:rPr>
          <w:rFonts w:hint="cs"/>
          <w:rtl/>
          <w:lang w:val="fr-CH"/>
        </w:rPr>
        <w:t xml:space="preserve"> أو</w:t>
      </w:r>
      <w:r>
        <w:rPr>
          <w:rtl/>
          <w:lang w:val="fr-CH"/>
        </w:rPr>
        <w:t> </w:t>
      </w:r>
      <w:r w:rsidRPr="00FA0FC2">
        <w:rPr>
          <w:rFonts w:hint="cs"/>
          <w:rtl/>
          <w:lang w:val="fr-CH"/>
        </w:rPr>
        <w:t>مستهدفة بوجه خاص. فهي</w:t>
      </w:r>
      <w:r>
        <w:rPr>
          <w:rFonts w:hint="cs"/>
          <w:rtl/>
          <w:lang w:val="fr-CH"/>
        </w:rPr>
        <w:t xml:space="preserve"> لم</w:t>
      </w:r>
      <w:r>
        <w:rPr>
          <w:rtl/>
          <w:lang w:val="fr-CH"/>
        </w:rPr>
        <w:t> </w:t>
      </w:r>
      <w:r w:rsidRPr="00FA0FC2">
        <w:rPr>
          <w:rFonts w:hint="cs"/>
          <w:rtl/>
          <w:lang w:val="fr-CH"/>
        </w:rPr>
        <w:t>تنتم قطعاً إلى المجموعة المستهدفة من الناشطين المنشقين الأساسيين في المهجر، الذين كانوا موضع اهتمام السلطات الإثيوبية.</w:t>
      </w:r>
    </w:p>
    <w:p w:rsidR="00091373" w:rsidRPr="00FA0FC2" w:rsidRDefault="00091373" w:rsidP="00091373">
      <w:pPr>
        <w:pStyle w:val="SingleTxtGA"/>
        <w:spacing w:line="360" w:lineRule="exact"/>
        <w:rPr>
          <w:rFonts w:hint="cs"/>
          <w:rtl/>
          <w:lang w:val="fr-CH"/>
        </w:rPr>
      </w:pPr>
      <w:r w:rsidRPr="00FA0FC2">
        <w:rPr>
          <w:rFonts w:hint="cs"/>
          <w:rtl/>
          <w:lang w:val="fr-CH"/>
        </w:rPr>
        <w:t>2-8</w:t>
      </w:r>
      <w:r w:rsidRPr="00FA0FC2">
        <w:rPr>
          <w:rFonts w:hint="cs"/>
          <w:rtl/>
          <w:lang w:val="fr-CH"/>
        </w:rPr>
        <w:tab/>
        <w:t>ورفضت المحكمة الإدارية الاتحادية طعن صاحبة الشكوى في قرار مكتب الهجرة الاتحادي في 6 آب/أغسطس 2010. وطلب من صاحبة الشكوى، بعد صدور هذا الحكم الأخير، أن تغادر سويسرا بحلول 9 أيلول/سبتمبر 2010. وتفيد صاحبة الشكوى بأنها إن</w:t>
      </w:r>
      <w:r>
        <w:rPr>
          <w:rFonts w:hint="cs"/>
          <w:rtl/>
          <w:lang w:val="fr-CH"/>
        </w:rPr>
        <w:t xml:space="preserve"> لم</w:t>
      </w:r>
      <w:r>
        <w:rPr>
          <w:rtl/>
          <w:lang w:val="fr-CH"/>
        </w:rPr>
        <w:t> </w:t>
      </w:r>
      <w:r w:rsidRPr="00FA0FC2">
        <w:rPr>
          <w:rFonts w:hint="cs"/>
          <w:rtl/>
          <w:lang w:val="fr-CH"/>
        </w:rPr>
        <w:t>تغادر سويسرا طوعاً، فسوف تتم إعادتها إلى إثيوبيا قسراً.</w:t>
      </w:r>
    </w:p>
    <w:p w:rsidR="00091373" w:rsidRPr="00FA0FC2" w:rsidRDefault="00091373" w:rsidP="00091373">
      <w:pPr>
        <w:pStyle w:val="SingleTxtGA"/>
        <w:spacing w:line="360" w:lineRule="exact"/>
        <w:rPr>
          <w:rFonts w:hint="cs"/>
          <w:rtl/>
          <w:lang w:val="fr-CH"/>
        </w:rPr>
      </w:pPr>
      <w:r w:rsidRPr="00FA0FC2">
        <w:rPr>
          <w:rFonts w:hint="cs"/>
          <w:rtl/>
          <w:lang w:val="fr-CH"/>
        </w:rPr>
        <w:t>2-9</w:t>
      </w:r>
      <w:r w:rsidRPr="00FA0FC2">
        <w:rPr>
          <w:rFonts w:hint="cs"/>
          <w:rtl/>
          <w:lang w:val="fr-CH"/>
        </w:rPr>
        <w:tab/>
        <w:t>وإضافة إلى الأسباب التي عرضها مكتب الهجرة الاتحادي لتبرير رفض طلب اللجوء الثاني الذي قدمته صاحبة الشكوى، رأت المحكمة الإدارية الاتحادية أن المقالات المنشورة على الإنترنت</w:t>
      </w:r>
      <w:r>
        <w:rPr>
          <w:rFonts w:hint="cs"/>
          <w:rtl/>
          <w:lang w:val="fr-CH"/>
        </w:rPr>
        <w:t xml:space="preserve"> لا</w:t>
      </w:r>
      <w:r>
        <w:rPr>
          <w:rtl/>
          <w:lang w:val="fr-CH"/>
        </w:rPr>
        <w:t> </w:t>
      </w:r>
      <w:r w:rsidRPr="00FA0FC2">
        <w:rPr>
          <w:rFonts w:hint="cs"/>
          <w:rtl/>
          <w:lang w:val="fr-CH"/>
        </w:rPr>
        <w:t>يمكن أن تؤدي إلى تعرف</w:t>
      </w:r>
      <w:r>
        <w:rPr>
          <w:rFonts w:hint="cs"/>
          <w:rtl/>
          <w:lang w:val="fr-CH"/>
        </w:rPr>
        <w:t xml:space="preserve"> لا</w:t>
      </w:r>
      <w:r>
        <w:rPr>
          <w:rtl/>
          <w:lang w:val="fr-CH"/>
        </w:rPr>
        <w:t> </w:t>
      </w:r>
      <w:r w:rsidRPr="00FA0FC2">
        <w:rPr>
          <w:rFonts w:hint="cs"/>
          <w:rtl/>
          <w:lang w:val="fr-CH"/>
        </w:rPr>
        <w:t>لبس فيه على هوية صاحبة الشكوى من قبل السلطات الإثيوبية.</w:t>
      </w:r>
      <w:r>
        <w:rPr>
          <w:rFonts w:hint="cs"/>
          <w:rtl/>
          <w:lang w:val="fr-CH"/>
        </w:rPr>
        <w:t xml:space="preserve"> فلا</w:t>
      </w:r>
      <w:r>
        <w:rPr>
          <w:rtl/>
          <w:lang w:val="fr-CH"/>
        </w:rPr>
        <w:t> </w:t>
      </w:r>
      <w:r w:rsidRPr="00FA0FC2">
        <w:rPr>
          <w:rFonts w:hint="cs"/>
          <w:rtl/>
          <w:lang w:val="fr-CH"/>
        </w:rPr>
        <w:t>تثبت التواقيع الخمسة المختلفة أنها مؤلفة المقالات الأصلية من جهة ومن جهة أخرى</w:t>
      </w:r>
      <w:r>
        <w:rPr>
          <w:rFonts w:hint="cs"/>
          <w:rtl/>
          <w:lang w:val="fr-CH"/>
        </w:rPr>
        <w:t xml:space="preserve"> لا</w:t>
      </w:r>
      <w:r>
        <w:rPr>
          <w:rtl/>
          <w:lang w:val="fr-CH"/>
        </w:rPr>
        <w:t> </w:t>
      </w:r>
      <w:r w:rsidRPr="00FA0FC2">
        <w:rPr>
          <w:rFonts w:hint="cs"/>
          <w:rtl/>
          <w:lang w:val="fr-CH"/>
        </w:rPr>
        <w:t>يمكن استبعاد احتمال وجود شخص آخر يحمل اسم صاحبة الشكوى نفسه ويكون في الواقع كاتب تلك المقالات.</w:t>
      </w:r>
    </w:p>
    <w:p w:rsidR="00091373" w:rsidRPr="00FA0FC2" w:rsidRDefault="00091373" w:rsidP="00091373">
      <w:pPr>
        <w:pStyle w:val="SingleTxtGA"/>
        <w:spacing w:line="360" w:lineRule="exact"/>
        <w:rPr>
          <w:rFonts w:hint="cs"/>
          <w:rtl/>
        </w:rPr>
      </w:pPr>
      <w:r w:rsidRPr="00FA0FC2">
        <w:rPr>
          <w:rFonts w:hint="cs"/>
          <w:rtl/>
          <w:lang w:val="fr-CH"/>
        </w:rPr>
        <w:t>2-10</w:t>
      </w:r>
      <w:r w:rsidRPr="00FA0FC2">
        <w:rPr>
          <w:rFonts w:hint="cs"/>
          <w:rtl/>
          <w:lang w:val="fr-CH"/>
        </w:rPr>
        <w:tab/>
        <w:t>وخلصت المحكمة الإدارية الاتحادية بصفة عامة إلى أن صاحبة الشكوى</w:t>
      </w:r>
      <w:r>
        <w:rPr>
          <w:rFonts w:hint="cs"/>
          <w:rtl/>
          <w:lang w:val="fr-CH"/>
        </w:rPr>
        <w:t xml:space="preserve"> لم</w:t>
      </w:r>
      <w:r>
        <w:rPr>
          <w:rtl/>
          <w:lang w:val="fr-CH"/>
        </w:rPr>
        <w:t> </w:t>
      </w:r>
      <w:r w:rsidRPr="00FA0FC2">
        <w:rPr>
          <w:rFonts w:hint="cs"/>
          <w:rtl/>
          <w:lang w:val="fr-CH"/>
        </w:rPr>
        <w:t>تترك انطباعاً يفيد بأنها ناقدة بارزة لنظام الحكم يمكن أن تزعزع الاستقرار</w:t>
      </w:r>
      <w:r>
        <w:rPr>
          <w:rFonts w:hint="cs"/>
          <w:rtl/>
          <w:lang w:val="fr-CH"/>
        </w:rPr>
        <w:t xml:space="preserve"> مما</w:t>
      </w:r>
      <w:r>
        <w:rPr>
          <w:rtl/>
          <w:lang w:val="fr-CH"/>
        </w:rPr>
        <w:t> </w:t>
      </w:r>
      <w:r w:rsidRPr="00FA0FC2">
        <w:rPr>
          <w:rFonts w:hint="cs"/>
          <w:rtl/>
          <w:lang w:val="fr-CH"/>
        </w:rPr>
        <w:t>يبرر اهتمام جهاز المخابرات الإثيوبي بها. وعليه، ليست صاحبة الشكوى معرضة لخطر الاضطهاد السياسي</w:t>
      </w:r>
      <w:r>
        <w:rPr>
          <w:rFonts w:hint="cs"/>
          <w:rtl/>
          <w:lang w:val="fr-CH"/>
        </w:rPr>
        <w:t xml:space="preserve"> أو</w:t>
      </w:r>
      <w:r>
        <w:rPr>
          <w:rtl/>
          <w:lang w:val="fr-CH"/>
        </w:rPr>
        <w:t> </w:t>
      </w:r>
      <w:r w:rsidRPr="00FA0FC2">
        <w:rPr>
          <w:rFonts w:hint="cs"/>
          <w:rtl/>
          <w:lang w:val="fr-CH"/>
        </w:rPr>
        <w:t>التعذيب</w:t>
      </w:r>
      <w:r>
        <w:rPr>
          <w:rFonts w:hint="cs"/>
          <w:rtl/>
          <w:lang w:val="fr-CH"/>
        </w:rPr>
        <w:t xml:space="preserve"> أو</w:t>
      </w:r>
      <w:r>
        <w:rPr>
          <w:rtl/>
          <w:lang w:val="fr-CH"/>
        </w:rPr>
        <w:t> </w:t>
      </w:r>
      <w:r w:rsidRPr="00FA0FC2">
        <w:rPr>
          <w:rFonts w:hint="cs"/>
          <w:rtl/>
        </w:rPr>
        <w:t>غيره من ضروب المعاملة اللاإنسانية</w:t>
      </w:r>
      <w:r>
        <w:rPr>
          <w:rFonts w:hint="cs"/>
          <w:rtl/>
        </w:rPr>
        <w:t xml:space="preserve"> أو</w:t>
      </w:r>
      <w:r>
        <w:rPr>
          <w:rtl/>
        </w:rPr>
        <w:t> </w:t>
      </w:r>
      <w:r w:rsidRPr="00FA0FC2">
        <w:rPr>
          <w:rFonts w:hint="cs"/>
          <w:rtl/>
        </w:rPr>
        <w:t>المهينة في حال إعادتها إلى</w:t>
      </w:r>
      <w:r w:rsidRPr="00FA0FC2">
        <w:rPr>
          <w:rFonts w:hint="eastAsia"/>
          <w:rtl/>
        </w:rPr>
        <w:t> </w:t>
      </w:r>
      <w:r w:rsidRPr="00FA0FC2">
        <w:rPr>
          <w:rFonts w:hint="cs"/>
          <w:rtl/>
        </w:rPr>
        <w:t>إثيوبيا.</w:t>
      </w:r>
    </w:p>
    <w:p w:rsidR="00091373" w:rsidRPr="00FA0FC2" w:rsidRDefault="00091373" w:rsidP="00091373">
      <w:pPr>
        <w:pStyle w:val="SingleTxtGA"/>
        <w:spacing w:line="360" w:lineRule="exact"/>
        <w:rPr>
          <w:rFonts w:hint="cs"/>
          <w:rtl/>
          <w:lang w:val="fr-CH"/>
        </w:rPr>
      </w:pPr>
      <w:r w:rsidRPr="00FA0FC2">
        <w:rPr>
          <w:rFonts w:hint="cs"/>
          <w:rtl/>
        </w:rPr>
        <w:t>2-11</w:t>
      </w:r>
      <w:r w:rsidRPr="00FA0FC2">
        <w:rPr>
          <w:rFonts w:hint="cs"/>
          <w:rtl/>
        </w:rPr>
        <w:tab/>
      </w:r>
      <w:r w:rsidRPr="00FA0FC2">
        <w:rPr>
          <w:rFonts w:hint="cs"/>
          <w:rtl/>
          <w:lang w:val="fr-CH"/>
        </w:rPr>
        <w:t>وتفيد صاحبة الشكوى بأن هناك</w:t>
      </w:r>
      <w:r>
        <w:rPr>
          <w:rFonts w:hint="cs"/>
          <w:rtl/>
          <w:lang w:val="fr-CH"/>
        </w:rPr>
        <w:t xml:space="preserve"> ما</w:t>
      </w:r>
      <w:r>
        <w:rPr>
          <w:rtl/>
          <w:lang w:val="fr-CH"/>
        </w:rPr>
        <w:t> </w:t>
      </w:r>
      <w:r w:rsidRPr="00FA0FC2">
        <w:rPr>
          <w:rFonts w:hint="cs"/>
          <w:rtl/>
          <w:lang w:val="fr-CH"/>
        </w:rPr>
        <w:t>يبرر خوفها من اعتبارها ناشطة منشقة وتسجيلها بهذه الصفة من جانب السلطات الإثيوبية، وبأنها معرضة فعلاً لخطر المعاملة المخالفة لأحكام الاتفاقية في حال ترحيلها إلى إثيوبيا للأسباب التالية، خلافاً لتقدير المحكمة الإدارية الاتحادية:</w:t>
      </w:r>
    </w:p>
    <w:p w:rsidR="00091373" w:rsidRPr="00FA0FC2" w:rsidRDefault="00091373" w:rsidP="00091373">
      <w:pPr>
        <w:pStyle w:val="SingleTxtGA"/>
        <w:spacing w:line="360" w:lineRule="exact"/>
        <w:rPr>
          <w:rFonts w:hint="cs"/>
          <w:spacing w:val="-4"/>
          <w:rtl/>
          <w:lang w:val="fr-CH"/>
        </w:rPr>
      </w:pPr>
      <w:r w:rsidRPr="00FA0FC2">
        <w:rPr>
          <w:rFonts w:hint="cs"/>
          <w:spacing w:val="-4"/>
          <w:rtl/>
          <w:lang w:val="fr-CH"/>
        </w:rPr>
        <w:tab/>
        <w:t>(أ)</w:t>
      </w:r>
      <w:r w:rsidRPr="00FA0FC2">
        <w:rPr>
          <w:rFonts w:hint="cs"/>
          <w:spacing w:val="-4"/>
          <w:rtl/>
          <w:lang w:val="fr-CH"/>
        </w:rPr>
        <w:tab/>
        <w:t>ترصد الحكومة الإثيوبية حركة المعارضة</w:t>
      </w:r>
      <w:r w:rsidRPr="00FA0FC2">
        <w:rPr>
          <w:spacing w:val="-4"/>
          <w:sz w:val="30"/>
          <w:vertAlign w:val="superscript"/>
          <w:rtl/>
          <w:lang w:val="es-ES"/>
        </w:rPr>
        <w:t>(</w:t>
      </w:r>
      <w:r w:rsidRPr="00FA0FC2">
        <w:rPr>
          <w:rStyle w:val="FootnoteReference"/>
          <w:spacing w:val="-4"/>
          <w:rtl/>
          <w:lang w:val="es-ES"/>
        </w:rPr>
        <w:footnoteReference w:id="184"/>
      </w:r>
      <w:r w:rsidRPr="00FA0FC2">
        <w:rPr>
          <w:spacing w:val="-4"/>
          <w:sz w:val="30"/>
          <w:vertAlign w:val="superscript"/>
          <w:rtl/>
          <w:lang w:val="es-ES"/>
        </w:rPr>
        <w:t>)</w:t>
      </w:r>
      <w:r w:rsidRPr="00FA0FC2">
        <w:rPr>
          <w:rFonts w:hint="cs"/>
          <w:spacing w:val="-4"/>
          <w:rtl/>
          <w:lang w:val="fr-CH"/>
        </w:rPr>
        <w:t xml:space="preserve"> رصداً نشطاً ووثيقاً داخل إثيوبيا</w:t>
      </w:r>
      <w:r>
        <w:rPr>
          <w:rFonts w:hint="cs"/>
          <w:spacing w:val="-4"/>
          <w:rtl/>
          <w:lang w:val="fr-CH"/>
        </w:rPr>
        <w:t xml:space="preserve"> وفي</w:t>
      </w:r>
      <w:r>
        <w:rPr>
          <w:spacing w:val="-4"/>
          <w:rtl/>
          <w:lang w:val="fr-CH"/>
        </w:rPr>
        <w:t> </w:t>
      </w:r>
      <w:r w:rsidRPr="00FA0FC2">
        <w:rPr>
          <w:rFonts w:hint="cs"/>
          <w:spacing w:val="-4"/>
          <w:rtl/>
          <w:lang w:val="fr-CH"/>
        </w:rPr>
        <w:t>المهجر. وقد تكثفت عمليات السلطات الإثيوبية لقمع المنشقين السياسيين تبعاً لتشريع مكافحة الإرهاب الذي اعتمد مؤخراً. وينص أحد أحكام التشريع المذكور آنفاً على فرض عقوبة بالسجن لمدة 20 سنة على "كل من يكتب ويحرر ويطبع وينشر ويروج ويعمم ويعرض ويذيع أي بيان ترويجي يشجع الأعمال الإرهابية</w:t>
      </w:r>
      <w:r>
        <w:rPr>
          <w:rFonts w:hint="cs"/>
          <w:spacing w:val="-4"/>
          <w:rtl/>
          <w:lang w:val="fr-CH"/>
        </w:rPr>
        <w:t xml:space="preserve"> أو</w:t>
      </w:r>
      <w:r>
        <w:rPr>
          <w:spacing w:val="-4"/>
          <w:rtl/>
          <w:lang w:val="fr-CH"/>
        </w:rPr>
        <w:t> </w:t>
      </w:r>
      <w:r w:rsidRPr="00FA0FC2">
        <w:rPr>
          <w:rFonts w:hint="cs"/>
          <w:spacing w:val="-4"/>
          <w:rtl/>
          <w:lang w:val="fr-CH"/>
        </w:rPr>
        <w:t>يدعمها</w:t>
      </w:r>
      <w:r>
        <w:rPr>
          <w:rFonts w:hint="cs"/>
          <w:spacing w:val="-4"/>
          <w:rtl/>
          <w:lang w:val="fr-CH"/>
        </w:rPr>
        <w:t xml:space="preserve"> أو</w:t>
      </w:r>
      <w:r>
        <w:rPr>
          <w:spacing w:val="-4"/>
          <w:rtl/>
          <w:lang w:val="fr-CH"/>
        </w:rPr>
        <w:t> </w:t>
      </w:r>
      <w:r w:rsidRPr="00FA0FC2">
        <w:rPr>
          <w:rFonts w:hint="cs"/>
          <w:spacing w:val="-4"/>
          <w:rtl/>
          <w:lang w:val="fr-CH"/>
        </w:rPr>
        <w:t>ينهض بها"</w:t>
      </w:r>
      <w:r w:rsidRPr="00FA0FC2">
        <w:rPr>
          <w:spacing w:val="-4"/>
          <w:sz w:val="30"/>
          <w:vertAlign w:val="superscript"/>
          <w:rtl/>
          <w:lang w:val="es-ES"/>
        </w:rPr>
        <w:t>(</w:t>
      </w:r>
      <w:r w:rsidRPr="00FA0FC2">
        <w:rPr>
          <w:rStyle w:val="FootnoteReference"/>
          <w:spacing w:val="-4"/>
          <w:rtl/>
          <w:lang w:val="es-ES"/>
        </w:rPr>
        <w:footnoteReference w:id="185"/>
      </w:r>
      <w:r w:rsidRPr="00FA0FC2">
        <w:rPr>
          <w:spacing w:val="-4"/>
          <w:sz w:val="30"/>
          <w:vertAlign w:val="superscript"/>
          <w:rtl/>
          <w:lang w:val="es-ES"/>
        </w:rPr>
        <w:t>)</w:t>
      </w:r>
      <w:r w:rsidRPr="00FA0FC2">
        <w:rPr>
          <w:rFonts w:hint="cs"/>
          <w:spacing w:val="-4"/>
          <w:rtl/>
          <w:lang w:val="fr-CH"/>
        </w:rPr>
        <w:t>، ويفيد أحد التحاليل بأن "التشريع يعتبر المعارضة السياسية إرهاباً"</w:t>
      </w:r>
      <w:r w:rsidRPr="00FA0FC2">
        <w:rPr>
          <w:spacing w:val="-4"/>
          <w:sz w:val="30"/>
          <w:vertAlign w:val="superscript"/>
          <w:rtl/>
          <w:lang w:val="es-ES"/>
        </w:rPr>
        <w:t>(</w:t>
      </w:r>
      <w:r w:rsidRPr="00FA0FC2">
        <w:rPr>
          <w:rFonts w:hint="cs"/>
          <w:spacing w:val="-4"/>
          <w:sz w:val="30"/>
          <w:vertAlign w:val="superscript"/>
          <w:rtl/>
          <w:lang w:val="es-ES"/>
        </w:rPr>
        <w:t>ﻫ</w:t>
      </w:r>
      <w:r w:rsidRPr="004F40B8">
        <w:rPr>
          <w:rStyle w:val="FootnoteReference"/>
          <w:color w:val="FFFFFF"/>
          <w:spacing w:val="-4"/>
          <w:sz w:val="2"/>
          <w:szCs w:val="2"/>
          <w:rtl/>
          <w:lang w:val="es-ES"/>
        </w:rPr>
        <w:footnoteReference w:id="186"/>
      </w:r>
      <w:r w:rsidRPr="00FA0FC2">
        <w:rPr>
          <w:spacing w:val="-4"/>
          <w:sz w:val="30"/>
          <w:vertAlign w:val="superscript"/>
          <w:rtl/>
          <w:lang w:val="es-ES"/>
        </w:rPr>
        <w:t>)</w:t>
      </w:r>
      <w:r w:rsidRPr="00FA0FC2">
        <w:rPr>
          <w:rFonts w:hint="cs"/>
          <w:spacing w:val="-4"/>
          <w:rtl/>
          <w:lang w:val="fr-CH"/>
        </w:rPr>
        <w:t xml:space="preserve">. وتشير صاحبة الشكوى أيضاً إلى تحليل من إعداد منظمة </w:t>
      </w:r>
      <w:r>
        <w:rPr>
          <w:rFonts w:hint="cs"/>
          <w:spacing w:val="-4"/>
          <w:rtl/>
          <w:lang w:val="fr-CH"/>
        </w:rPr>
        <w:t xml:space="preserve">هيومن رايتس ووتش </w:t>
      </w:r>
      <w:r w:rsidRPr="00FA0FC2">
        <w:rPr>
          <w:rFonts w:hint="cs"/>
          <w:spacing w:val="-4"/>
          <w:rtl/>
          <w:lang w:val="fr-CH"/>
        </w:rPr>
        <w:t>التي تذكر فيه أن "معارضي الحكومة والمواطنين العاديين على السواء يتعرضون للقمع الذي يثني عن حرية التعبير والنشاط السياسي ويعاقب عليهما"</w:t>
      </w:r>
      <w:r w:rsidRPr="00FA0FC2">
        <w:rPr>
          <w:spacing w:val="-4"/>
          <w:vertAlign w:val="superscript"/>
          <w:rtl/>
          <w:lang w:val="fr-CH"/>
        </w:rPr>
        <w:t>(</w:t>
      </w:r>
      <w:r w:rsidRPr="00FA0FC2">
        <w:rPr>
          <w:rStyle w:val="FootnoteReference"/>
          <w:spacing w:val="-4"/>
          <w:rtl/>
          <w:lang w:val="fr-CH"/>
        </w:rPr>
        <w:footnoteReference w:id="187"/>
      </w:r>
      <w:r w:rsidRPr="00FA0FC2">
        <w:rPr>
          <w:spacing w:val="-4"/>
          <w:vertAlign w:val="superscript"/>
          <w:rtl/>
          <w:lang w:val="fr-CH"/>
        </w:rPr>
        <w:t>)</w:t>
      </w:r>
      <w:r w:rsidRPr="00FA0FC2">
        <w:rPr>
          <w:rFonts w:hint="cs"/>
          <w:spacing w:val="-4"/>
          <w:rtl/>
          <w:lang w:val="fr-CH"/>
        </w:rPr>
        <w:t>. وتعلق الحكومة أهمية خاصة على المنشورات الناقدة للسلطات الإثيوبية والصادرة على شبكة الإنترنت</w:t>
      </w:r>
      <w:r>
        <w:rPr>
          <w:rFonts w:hint="cs"/>
          <w:spacing w:val="-4"/>
          <w:rtl/>
          <w:lang w:val="fr-CH"/>
        </w:rPr>
        <w:t xml:space="preserve"> إذ</w:t>
      </w:r>
      <w:r>
        <w:rPr>
          <w:spacing w:val="-4"/>
          <w:rtl/>
          <w:lang w:val="fr-CH"/>
        </w:rPr>
        <w:t> </w:t>
      </w:r>
      <w:r w:rsidRPr="00FA0FC2">
        <w:rPr>
          <w:rFonts w:hint="cs"/>
          <w:spacing w:val="-4"/>
          <w:rtl/>
          <w:lang w:val="fr-CH"/>
        </w:rPr>
        <w:t>يلجأ المواطنون بصفة متزايدة إلى الشبكة للحصول على المعلومات. وتشير صاحبة الشكوى دعماً لحجتها إلى تقرير منظمة دار الحرية (</w:t>
      </w:r>
      <w:r w:rsidRPr="00FA0FC2">
        <w:rPr>
          <w:spacing w:val="-4"/>
        </w:rPr>
        <w:t>Freedom House</w:t>
      </w:r>
      <w:r w:rsidRPr="00FA0FC2">
        <w:rPr>
          <w:rFonts w:hint="cs"/>
          <w:spacing w:val="-4"/>
          <w:rtl/>
          <w:lang w:val="fr-CH"/>
        </w:rPr>
        <w:t>) الذي يحمل العنوان "حرية الصحافة في</w:t>
      </w:r>
      <w:r>
        <w:rPr>
          <w:rFonts w:hint="cs"/>
          <w:spacing w:val="-4"/>
          <w:rtl/>
          <w:lang w:val="fr-CH"/>
        </w:rPr>
        <w:t xml:space="preserve"> عام</w:t>
      </w:r>
      <w:r>
        <w:rPr>
          <w:spacing w:val="-4"/>
          <w:rtl/>
          <w:lang w:val="fr-CH"/>
        </w:rPr>
        <w:t> </w:t>
      </w:r>
      <w:r w:rsidRPr="00FA0FC2">
        <w:rPr>
          <w:rFonts w:hint="cs"/>
          <w:spacing w:val="-4"/>
          <w:rtl/>
          <w:lang w:val="fr-CH"/>
        </w:rPr>
        <w:t>2009: إثيوبيا" ويفيد بأن السلطات الإثيوبية ترصد وتحجب المواقع والمدونات الإلكترونية للمعارضة</w:t>
      </w:r>
      <w:r>
        <w:rPr>
          <w:rFonts w:hint="cs"/>
          <w:spacing w:val="-4"/>
          <w:rtl/>
          <w:lang w:val="fr-CH"/>
        </w:rPr>
        <w:t xml:space="preserve"> بما</w:t>
      </w:r>
      <w:r>
        <w:rPr>
          <w:spacing w:val="-4"/>
          <w:rtl/>
          <w:lang w:val="fr-CH"/>
        </w:rPr>
        <w:t> </w:t>
      </w:r>
      <w:r w:rsidRPr="00FA0FC2">
        <w:rPr>
          <w:rFonts w:hint="cs"/>
          <w:spacing w:val="-4"/>
          <w:rtl/>
          <w:lang w:val="fr-CH"/>
        </w:rPr>
        <w:t>فيها مواقع الأنباء الإلكترونية التي يديره</w:t>
      </w:r>
      <w:r>
        <w:rPr>
          <w:rFonts w:hint="cs"/>
          <w:spacing w:val="-4"/>
          <w:rtl/>
          <w:lang w:val="fr-CH"/>
        </w:rPr>
        <w:t>ا الإثيوبيون المقيمون في الخارج؛</w:t>
      </w:r>
    </w:p>
    <w:p w:rsidR="00091373" w:rsidRPr="00FA0FC2" w:rsidRDefault="00091373" w:rsidP="00091373">
      <w:pPr>
        <w:pStyle w:val="SingleTxtGA"/>
        <w:spacing w:line="360" w:lineRule="exact"/>
        <w:rPr>
          <w:rFonts w:hint="cs"/>
          <w:spacing w:val="-2"/>
          <w:rtl/>
          <w:lang w:val="fr-CH"/>
        </w:rPr>
      </w:pPr>
      <w:r w:rsidRPr="00FA0FC2">
        <w:rPr>
          <w:rFonts w:hint="cs"/>
          <w:spacing w:val="-2"/>
          <w:rtl/>
          <w:lang w:val="fr-CH"/>
        </w:rPr>
        <w:tab/>
        <w:t>(ب)</w:t>
      </w:r>
      <w:r w:rsidRPr="00FA0FC2">
        <w:rPr>
          <w:rFonts w:hint="cs"/>
          <w:spacing w:val="-2"/>
          <w:rtl/>
          <w:lang w:val="fr-CH"/>
        </w:rPr>
        <w:tab/>
        <w:t>هناك تقارير عديدة وواضحة تفيد بأن الشرطة الإثيوبية تمارس أساليب التعذيب على المعارضين والناقدين السياسيين</w:t>
      </w:r>
      <w:r w:rsidRPr="00FA0FC2">
        <w:rPr>
          <w:spacing w:val="-2"/>
          <w:vertAlign w:val="superscript"/>
          <w:rtl/>
          <w:lang w:val="fr-CH"/>
        </w:rPr>
        <w:t>(</w:t>
      </w:r>
      <w:r w:rsidRPr="00FA0FC2">
        <w:rPr>
          <w:rStyle w:val="FootnoteReference"/>
          <w:spacing w:val="-2"/>
          <w:rtl/>
          <w:lang w:val="fr-CH"/>
        </w:rPr>
        <w:footnoteReference w:id="188"/>
      </w:r>
      <w:r w:rsidRPr="00FA0FC2">
        <w:rPr>
          <w:spacing w:val="-2"/>
          <w:vertAlign w:val="superscript"/>
          <w:rtl/>
          <w:lang w:val="fr-CH"/>
        </w:rPr>
        <w:t>)</w:t>
      </w:r>
      <w:r w:rsidRPr="00FA0FC2">
        <w:rPr>
          <w:rFonts w:hint="cs"/>
          <w:spacing w:val="-2"/>
          <w:rtl/>
          <w:lang w:val="fr-CH"/>
        </w:rPr>
        <w:t>. فحالات الاعتقال العشوائي والاحتجاز المطول قبل المحاكمة شائعة. وغالباً</w:t>
      </w:r>
      <w:r>
        <w:rPr>
          <w:rFonts w:hint="cs"/>
          <w:spacing w:val="-2"/>
          <w:rtl/>
          <w:lang w:val="fr-CH"/>
        </w:rPr>
        <w:t xml:space="preserve"> ما</w:t>
      </w:r>
      <w:r>
        <w:rPr>
          <w:spacing w:val="-2"/>
          <w:rtl/>
          <w:lang w:val="fr-CH"/>
        </w:rPr>
        <w:t> </w:t>
      </w:r>
      <w:r w:rsidRPr="00FA0FC2">
        <w:rPr>
          <w:rFonts w:hint="cs"/>
          <w:spacing w:val="-2"/>
          <w:rtl/>
          <w:lang w:val="fr-CH"/>
        </w:rPr>
        <w:t xml:space="preserve">يستخدم التعذيب لانتزاع الاعترافات والمعلومات. وتشير صاحبة الشكوى إلى تقرير من إعداد منظمة </w:t>
      </w:r>
      <w:r>
        <w:rPr>
          <w:rFonts w:hint="cs"/>
          <w:spacing w:val="-2"/>
          <w:rtl/>
          <w:lang w:val="fr-CH"/>
        </w:rPr>
        <w:t>هيومن رايتس ووتش</w:t>
      </w:r>
      <w:r w:rsidRPr="00FA0FC2">
        <w:rPr>
          <w:spacing w:val="-2"/>
          <w:vertAlign w:val="superscript"/>
          <w:rtl/>
          <w:lang w:val="fr-CH"/>
        </w:rPr>
        <w:t>(</w:t>
      </w:r>
      <w:r w:rsidRPr="00FA0FC2">
        <w:rPr>
          <w:rStyle w:val="FootnoteReference"/>
          <w:spacing w:val="-2"/>
          <w:rtl/>
          <w:lang w:val="fr-CH"/>
        </w:rPr>
        <w:footnoteReference w:id="189"/>
      </w:r>
      <w:r w:rsidRPr="00FA0FC2">
        <w:rPr>
          <w:spacing w:val="-2"/>
          <w:vertAlign w:val="superscript"/>
          <w:rtl/>
          <w:lang w:val="fr-CH"/>
        </w:rPr>
        <w:t>)</w:t>
      </w:r>
      <w:r w:rsidRPr="00FA0FC2">
        <w:rPr>
          <w:rFonts w:hint="cs"/>
          <w:spacing w:val="-2"/>
          <w:rtl/>
          <w:lang w:val="fr-CH"/>
        </w:rPr>
        <w:t xml:space="preserve"> يوثق استخدام التعذيب على أيدي موظفي الشرطة والجيش في مرافق الاحتجاز الرسمي</w:t>
      </w:r>
      <w:r>
        <w:rPr>
          <w:rFonts w:hint="cs"/>
          <w:spacing w:val="-2"/>
          <w:rtl/>
          <w:lang w:val="fr-CH"/>
        </w:rPr>
        <w:t>ة والسرية في جميع أنحاء إثيوبيا؛</w:t>
      </w:r>
    </w:p>
    <w:p w:rsidR="00091373" w:rsidRPr="00FA0FC2" w:rsidRDefault="00091373" w:rsidP="00091373">
      <w:pPr>
        <w:pStyle w:val="SingleTxtGA"/>
        <w:spacing w:line="360" w:lineRule="exact"/>
        <w:rPr>
          <w:rFonts w:hint="cs"/>
          <w:rtl/>
          <w:lang w:val="fr-CH"/>
        </w:rPr>
      </w:pPr>
      <w:r w:rsidRPr="00FA0FC2">
        <w:rPr>
          <w:rFonts w:hint="cs"/>
          <w:rtl/>
          <w:lang w:val="fr-CH"/>
        </w:rPr>
        <w:tab/>
        <w:t>(ج)</w:t>
      </w:r>
      <w:r w:rsidRPr="00FA0FC2">
        <w:rPr>
          <w:rFonts w:hint="cs"/>
          <w:rtl/>
          <w:lang w:val="fr-CH"/>
        </w:rPr>
        <w:tab/>
        <w:t xml:space="preserve">مقالات صاحبة الشكوى التي تنتقد فيها نظام حكم رئيس وزراء إثيوبيا، السيد </w:t>
      </w:r>
      <w:r w:rsidRPr="00FA0FC2">
        <w:rPr>
          <w:rFonts w:hint="cs"/>
          <w:rtl/>
          <w:lang/>
        </w:rPr>
        <w:t>ميليس زيناوي</w:t>
      </w:r>
      <w:r w:rsidRPr="00FA0FC2">
        <w:rPr>
          <w:rFonts w:hint="cs"/>
          <w:rtl/>
          <w:lang w:val="fr-CH"/>
        </w:rPr>
        <w:t xml:space="preserve">، انتقاداً شديداً بلغت مستوى من النوعية والمضمون يوحي بأن للسلطات الإثيوبية مصلحة حيوية في مراقبة صاحبة الشكوى. وصاحبة الشكوى هي امرأة مثقفة على مستوى عال من التعليم تتابع بحماس التطورات السياسية الحالية. وعلاوة على ذلك، تُقيم صاحبة الشكوى علاقات وثيقة ضمن حركة المنشقين في المهجر ويتضح ذلك من نشر مقالاتها على موقع المنشقين الإلكتروني المشهور </w:t>
      </w:r>
      <w:hyperlink r:id="rId35" w:history="1">
        <w:r w:rsidRPr="00FA0FC2">
          <w:t>cyberethiopia.com</w:t>
        </w:r>
      </w:hyperlink>
      <w:r w:rsidRPr="00FA0FC2">
        <w:rPr>
          <w:rFonts w:hint="cs"/>
          <w:rtl/>
          <w:lang w:val="fr-CH"/>
        </w:rPr>
        <w:t xml:space="preserve"> ومن عضويتها القديمة العهد في المنظمة الداعمة لحزب التحالف. وفضلاً عن ذلك، تشارك صاحبة الشكوى مشاركة فعالة في المناقشات والتعليقات الشبكية المتصلة بحالات انضمام ناشطين آخرين. ومن الأرجح أن يكون جهاز المخابرات الإثيوبي على علم بهوية صاحبة الشكوى في ضوء عملية لقمع المعارضين في إثيوبيا موثقة توثيقاً جيداً وممارسة السلطات المتبعة لمراقبة المواقع الإلكترونية الناقدة بشكل منهجي والسعي بنشاط إلى تحديد هوية الناقدين المعبرين عن آرائ</w:t>
      </w:r>
      <w:r>
        <w:rPr>
          <w:rFonts w:hint="cs"/>
          <w:rtl/>
          <w:lang w:val="fr-CH"/>
        </w:rPr>
        <w:t>هم بصراحة؛</w:t>
      </w:r>
    </w:p>
    <w:p w:rsidR="00091373" w:rsidRPr="00FA0FC2" w:rsidRDefault="00091373" w:rsidP="00091373">
      <w:pPr>
        <w:pStyle w:val="SingleTxtGA"/>
        <w:spacing w:line="360" w:lineRule="exact"/>
        <w:rPr>
          <w:rFonts w:hint="cs"/>
          <w:spacing w:val="-2"/>
          <w:rtl/>
          <w:lang w:val="fr-CH"/>
        </w:rPr>
      </w:pPr>
      <w:r w:rsidRPr="00FA0FC2">
        <w:rPr>
          <w:rFonts w:hint="cs"/>
          <w:spacing w:val="-2"/>
          <w:rtl/>
          <w:lang w:val="fr-CH"/>
        </w:rPr>
        <w:tab/>
        <w:t>(د)</w:t>
      </w:r>
      <w:r w:rsidRPr="00FA0FC2">
        <w:rPr>
          <w:rFonts w:hint="cs"/>
          <w:spacing w:val="-2"/>
          <w:rtl/>
          <w:lang w:val="fr-CH"/>
        </w:rPr>
        <w:tab/>
        <w:t>وبالنسبة إلى حجة المحكمة الإدارية الاتحادية التي مفادها أن صاحبة الشكوى</w:t>
      </w:r>
      <w:r>
        <w:rPr>
          <w:rFonts w:hint="cs"/>
          <w:spacing w:val="-2"/>
          <w:rtl/>
          <w:lang w:val="fr-CH"/>
        </w:rPr>
        <w:t xml:space="preserve"> لم</w:t>
      </w:r>
      <w:r>
        <w:rPr>
          <w:spacing w:val="-2"/>
          <w:rtl/>
          <w:lang w:val="fr-CH"/>
        </w:rPr>
        <w:t> </w:t>
      </w:r>
      <w:r w:rsidRPr="00FA0FC2">
        <w:rPr>
          <w:rFonts w:hint="cs"/>
          <w:spacing w:val="-2"/>
          <w:rtl/>
          <w:lang w:val="fr-CH"/>
        </w:rPr>
        <w:t>تثبت أنها حررت شخصياً المقالات المذكورة، تشير صاحبة الشكوى إلى كون السلطات السويسرية المعنية باللجوء أقدر على معرفة</w:t>
      </w:r>
      <w:r>
        <w:rPr>
          <w:rFonts w:hint="cs"/>
          <w:spacing w:val="-2"/>
          <w:rtl/>
          <w:lang w:val="fr-CH"/>
        </w:rPr>
        <w:t xml:space="preserve"> ما</w:t>
      </w:r>
      <w:r>
        <w:rPr>
          <w:spacing w:val="-2"/>
          <w:rtl/>
          <w:lang w:val="fr-CH"/>
        </w:rPr>
        <w:t> </w:t>
      </w:r>
      <w:r w:rsidRPr="00FA0FC2">
        <w:rPr>
          <w:rFonts w:hint="cs"/>
          <w:spacing w:val="-2"/>
          <w:rtl/>
          <w:lang w:val="fr-CH"/>
        </w:rPr>
        <w:t>إذا كان هناك في الواقع شخص آخر يحمل الجنسية الإثيوبية ويدعى ح. ك. في سويسرا ويشارك مشاركة نشطة في حركة المنشقين الإثيوبية وينشر مقالات باستخدام اسم ح. ك. (سويسرا). وترى صاحبة الشكوى أن هذه الحجة هي بالأحرى بمثابة افتراض غير محتمل</w:t>
      </w:r>
      <w:r>
        <w:rPr>
          <w:rFonts w:hint="cs"/>
          <w:spacing w:val="-2"/>
          <w:rtl/>
          <w:lang w:val="fr-CH"/>
        </w:rPr>
        <w:t xml:space="preserve"> إذ</w:t>
      </w:r>
      <w:r>
        <w:rPr>
          <w:spacing w:val="-2"/>
          <w:rtl/>
          <w:lang w:val="fr-CH"/>
        </w:rPr>
        <w:t> </w:t>
      </w:r>
      <w:r w:rsidRPr="00FA0FC2">
        <w:rPr>
          <w:rFonts w:hint="cs"/>
          <w:spacing w:val="-2"/>
          <w:rtl/>
          <w:lang w:val="fr-CH"/>
        </w:rPr>
        <w:t>ورد ذكر بلد إقامتها الحالي وعنوان بريدها الإلكتروني في المقالات، قد استظهرت صاحبة الشكوى ببطاقة هوية إثيوبية أمام السلطات السويسرية المعنية باللجوء وأثبتت بذلك هويتها. وإذا كانت السلطات الإثيوبية على علم بأن هناك شخصاً اسمه ح.</w:t>
      </w:r>
      <w:r>
        <w:rPr>
          <w:rFonts w:hint="eastAsia"/>
          <w:spacing w:val="-2"/>
          <w:rtl/>
          <w:lang w:val="fr-CH"/>
        </w:rPr>
        <w:t> </w:t>
      </w:r>
      <w:r w:rsidRPr="00FA0FC2">
        <w:rPr>
          <w:rFonts w:hint="cs"/>
          <w:spacing w:val="-2"/>
          <w:rtl/>
          <w:lang w:val="fr-CH"/>
        </w:rPr>
        <w:t>ك. ينشر مقالات ناقدة، فيمكن استنتاج أن السلطات الإثيوبية قد</w:t>
      </w:r>
      <w:r w:rsidRPr="00FA0FC2">
        <w:rPr>
          <w:rFonts w:hint="eastAsia"/>
          <w:spacing w:val="-2"/>
          <w:rtl/>
          <w:lang w:val="fr-CH"/>
        </w:rPr>
        <w:t> </w:t>
      </w:r>
      <w:r w:rsidRPr="00FA0FC2">
        <w:rPr>
          <w:rFonts w:hint="cs"/>
          <w:spacing w:val="-2"/>
          <w:rtl/>
          <w:lang w:val="fr-CH"/>
        </w:rPr>
        <w:t>تشتبه في كون صاحبة الشكوى هي ذلك الشخص في حال ترحيلها من سويسرا إلى إثيوبيا.</w:t>
      </w:r>
    </w:p>
    <w:p w:rsidR="00091373" w:rsidRPr="00FA0FC2" w:rsidRDefault="00091373" w:rsidP="00091373">
      <w:pPr>
        <w:pStyle w:val="H23GA"/>
        <w:spacing w:line="360" w:lineRule="exact"/>
        <w:rPr>
          <w:rFonts w:hint="cs"/>
          <w:rtl/>
          <w:lang w:val="fr-CH"/>
        </w:rPr>
      </w:pPr>
      <w:r w:rsidRPr="00FA0FC2">
        <w:rPr>
          <w:rFonts w:hint="cs"/>
          <w:rtl/>
          <w:lang w:val="fr-CH"/>
        </w:rPr>
        <w:tab/>
      </w:r>
      <w:r w:rsidRPr="00FA0FC2">
        <w:rPr>
          <w:rFonts w:hint="cs"/>
          <w:rtl/>
          <w:lang w:val="fr-CH"/>
        </w:rPr>
        <w:tab/>
        <w:t>الشكوى</w:t>
      </w:r>
    </w:p>
    <w:p w:rsidR="00091373" w:rsidRPr="00FA0FC2" w:rsidRDefault="00091373" w:rsidP="00091373">
      <w:pPr>
        <w:pStyle w:val="SingleTxtGA"/>
        <w:spacing w:line="360" w:lineRule="exact"/>
        <w:rPr>
          <w:rFonts w:hint="cs"/>
          <w:rtl/>
          <w:lang w:val="fr-CH"/>
        </w:rPr>
      </w:pPr>
      <w:r w:rsidRPr="00FA0FC2">
        <w:rPr>
          <w:rFonts w:hint="cs"/>
          <w:sz w:val="30"/>
          <w:rtl/>
          <w:lang w:val="fr-CH"/>
        </w:rPr>
        <w:t>3-</w:t>
      </w:r>
      <w:r w:rsidRPr="00FA0FC2">
        <w:rPr>
          <w:rFonts w:hint="cs"/>
          <w:sz w:val="30"/>
          <w:rtl/>
          <w:lang w:val="fr-CH"/>
        </w:rPr>
        <w:tab/>
        <w:t xml:space="preserve">تدعي </w:t>
      </w:r>
      <w:r w:rsidRPr="00FA0FC2">
        <w:rPr>
          <w:rFonts w:hint="cs"/>
          <w:sz w:val="30"/>
          <w:rtl/>
          <w:lang w:val="fr-CH"/>
        </w:rPr>
        <w:t xml:space="preserve">صاحبة </w:t>
      </w:r>
      <w:r w:rsidRPr="00FA0FC2">
        <w:rPr>
          <w:rFonts w:hint="cs"/>
          <w:sz w:val="30"/>
          <w:rtl/>
          <w:lang w:val="fr-CH"/>
        </w:rPr>
        <w:t xml:space="preserve">الشكوى أن </w:t>
      </w:r>
      <w:r w:rsidRPr="00FA0FC2">
        <w:rPr>
          <w:rFonts w:hint="cs"/>
          <w:rtl/>
          <w:lang w:val="fr-CH"/>
        </w:rPr>
        <w:t>ترحيلها القسري إلى إثيوبيا يعد انتهاكاً من جانب سويسرا لحقوقها المكفولة بموجب ال</w:t>
      </w:r>
      <w:r>
        <w:rPr>
          <w:rFonts w:hint="cs"/>
          <w:rtl/>
          <w:lang w:val="fr-CH"/>
        </w:rPr>
        <w:t>مادة</w:t>
      </w:r>
      <w:r>
        <w:rPr>
          <w:rtl/>
          <w:lang w:val="fr-CH"/>
        </w:rPr>
        <w:t> </w:t>
      </w:r>
      <w:r w:rsidRPr="00FA0FC2">
        <w:rPr>
          <w:rFonts w:hint="cs"/>
          <w:rtl/>
          <w:lang w:val="fr-CH"/>
        </w:rPr>
        <w:t>3 من الاتفاقية</w:t>
      </w:r>
      <w:r>
        <w:rPr>
          <w:rFonts w:hint="cs"/>
          <w:rtl/>
          <w:lang w:val="fr-CH"/>
        </w:rPr>
        <w:t xml:space="preserve"> إذ</w:t>
      </w:r>
      <w:r>
        <w:rPr>
          <w:rtl/>
          <w:lang w:val="fr-CH"/>
        </w:rPr>
        <w:t> </w:t>
      </w:r>
      <w:r w:rsidRPr="00FA0FC2">
        <w:rPr>
          <w:rFonts w:hint="cs"/>
          <w:rtl/>
          <w:lang w:val="fr-CH"/>
        </w:rPr>
        <w:t>يُحتمل أن تتعرض بوصفها عضواً نشطاً وبارزاً في مجتمع المنشقين الإثيوبي للتعذيب</w:t>
      </w:r>
      <w:r>
        <w:rPr>
          <w:rFonts w:hint="cs"/>
          <w:rtl/>
          <w:lang w:val="fr-CH"/>
        </w:rPr>
        <w:t xml:space="preserve"> أو</w:t>
      </w:r>
      <w:r>
        <w:rPr>
          <w:rtl/>
          <w:lang w:val="fr-CH"/>
        </w:rPr>
        <w:t> </w:t>
      </w:r>
      <w:r w:rsidRPr="00FA0FC2">
        <w:rPr>
          <w:rFonts w:hint="cs"/>
          <w:rtl/>
          <w:lang w:val="fr-CH"/>
        </w:rPr>
        <w:t xml:space="preserve">غيره من ضروب </w:t>
      </w:r>
      <w:r w:rsidRPr="00FA0FC2">
        <w:rPr>
          <w:rFonts w:hint="cs"/>
          <w:rtl/>
        </w:rPr>
        <w:t>المعاملة القاسية</w:t>
      </w:r>
      <w:r>
        <w:rPr>
          <w:rFonts w:hint="cs"/>
          <w:rtl/>
        </w:rPr>
        <w:t xml:space="preserve"> أو</w:t>
      </w:r>
      <w:r>
        <w:rPr>
          <w:rtl/>
        </w:rPr>
        <w:t> </w:t>
      </w:r>
      <w:r w:rsidRPr="00FA0FC2">
        <w:rPr>
          <w:rFonts w:hint="cs"/>
          <w:rtl/>
        </w:rPr>
        <w:t>اللاإنسانية</w:t>
      </w:r>
      <w:r>
        <w:rPr>
          <w:rFonts w:hint="cs"/>
          <w:rtl/>
        </w:rPr>
        <w:t xml:space="preserve"> أو</w:t>
      </w:r>
      <w:r>
        <w:rPr>
          <w:rtl/>
        </w:rPr>
        <w:t> </w:t>
      </w:r>
      <w:r w:rsidRPr="00FA0FC2">
        <w:rPr>
          <w:rFonts w:hint="cs"/>
          <w:rtl/>
        </w:rPr>
        <w:t>المهينة</w:t>
      </w:r>
      <w:r w:rsidRPr="00FA0FC2">
        <w:rPr>
          <w:rFonts w:hint="cs"/>
          <w:rtl/>
          <w:lang w:val="fr-CH"/>
        </w:rPr>
        <w:t xml:space="preserve"> على يد السلطات الإثيوبية بسبب أنشطتها السياسية في سويسرا.</w:t>
      </w:r>
    </w:p>
    <w:p w:rsidR="00091373" w:rsidRPr="00FA0FC2" w:rsidRDefault="00091373" w:rsidP="00091373">
      <w:pPr>
        <w:pStyle w:val="H23GA"/>
        <w:spacing w:line="360" w:lineRule="exact"/>
        <w:rPr>
          <w:rFonts w:hint="cs"/>
          <w:rtl/>
          <w:lang w:val="es-ES"/>
        </w:rPr>
      </w:pPr>
      <w:r w:rsidRPr="00FA0FC2">
        <w:rPr>
          <w:rFonts w:hint="cs"/>
          <w:rtl/>
          <w:lang/>
        </w:rPr>
        <w:tab/>
      </w:r>
      <w:r w:rsidRPr="00FA0FC2">
        <w:rPr>
          <w:rFonts w:hint="cs"/>
          <w:rtl/>
          <w:lang/>
        </w:rPr>
        <w:tab/>
        <w:t xml:space="preserve">ملاحظات الدولة الطرف بشأن </w:t>
      </w:r>
      <w:r>
        <w:rPr>
          <w:rFonts w:hint="cs"/>
          <w:rtl/>
          <w:lang w:val="es-ES"/>
        </w:rPr>
        <w:t>الأسس</w:t>
      </w:r>
      <w:r w:rsidRPr="00FA0FC2">
        <w:rPr>
          <w:rFonts w:hint="cs"/>
          <w:rtl/>
          <w:lang w:val="es-ES"/>
        </w:rPr>
        <w:t xml:space="preserve"> الموضوعية</w:t>
      </w:r>
    </w:p>
    <w:p w:rsidR="00091373" w:rsidRPr="00FA0FC2" w:rsidRDefault="00091373" w:rsidP="00091373">
      <w:pPr>
        <w:pStyle w:val="SingleTxtGA"/>
        <w:spacing w:line="360" w:lineRule="exact"/>
        <w:rPr>
          <w:rFonts w:hint="cs"/>
          <w:spacing w:val="-6"/>
          <w:rtl/>
          <w:lang w:val="fr-CH"/>
        </w:rPr>
      </w:pPr>
      <w:r w:rsidRPr="00FA0FC2">
        <w:rPr>
          <w:rFonts w:hint="cs"/>
          <w:spacing w:val="-6"/>
          <w:rtl/>
          <w:lang w:val="es-ES"/>
        </w:rPr>
        <w:t>4-1</w:t>
      </w:r>
      <w:r w:rsidRPr="00FA0FC2">
        <w:rPr>
          <w:rFonts w:hint="cs"/>
          <w:spacing w:val="-6"/>
          <w:rtl/>
          <w:lang w:val="es-ES"/>
        </w:rPr>
        <w:tab/>
      </w:r>
      <w:r w:rsidRPr="00FA0FC2">
        <w:rPr>
          <w:rFonts w:hint="cs"/>
          <w:spacing w:val="-6"/>
          <w:rtl/>
          <w:lang/>
        </w:rPr>
        <w:t>قدمت الدولة الطرف ملاحظاتها بشأن أسس الشكوى الموضوعية</w:t>
      </w:r>
      <w:r w:rsidRPr="00FA0FC2">
        <w:rPr>
          <w:rFonts w:hint="cs"/>
          <w:spacing w:val="-6"/>
          <w:rtl/>
          <w:lang w:val="es-ES"/>
        </w:rPr>
        <w:t xml:space="preserve"> في 24 </w:t>
      </w:r>
      <w:r w:rsidRPr="00FA0FC2">
        <w:rPr>
          <w:rFonts w:hint="cs"/>
          <w:spacing w:val="-6"/>
          <w:rtl/>
          <w:lang w:val="fr-CH"/>
        </w:rPr>
        <w:t>شباط/فبراير</w:t>
      </w:r>
      <w:r w:rsidRPr="00FA0FC2">
        <w:rPr>
          <w:rFonts w:hint="eastAsia"/>
          <w:spacing w:val="-6"/>
          <w:rtl/>
          <w:lang w:val="fr-CH"/>
        </w:rPr>
        <w:t> </w:t>
      </w:r>
      <w:r w:rsidRPr="00FA0FC2">
        <w:rPr>
          <w:rFonts w:hint="cs"/>
          <w:spacing w:val="-6"/>
          <w:rtl/>
          <w:lang w:val="es-ES"/>
        </w:rPr>
        <w:t>2011. وتذكر بوقائع الشكوى وتحيط علماً بحجج صاحبة الشكوى المعروضة على اللجنة والمشيرة إلى احتمال تعرضها لخطر تعذيب شخصي وحقيقي جسيم في حال إعادتها إلى بلد منشئها بسبب أنشطتها السياسية في سويسرا</w:t>
      </w:r>
      <w:r>
        <w:rPr>
          <w:rFonts w:hint="cs"/>
          <w:spacing w:val="-6"/>
          <w:rtl/>
          <w:lang w:val="es-ES"/>
        </w:rPr>
        <w:t xml:space="preserve"> ولا</w:t>
      </w:r>
      <w:r>
        <w:rPr>
          <w:spacing w:val="-6"/>
          <w:rtl/>
          <w:lang w:val="es-ES"/>
        </w:rPr>
        <w:t> </w:t>
      </w:r>
      <w:r w:rsidRPr="00FA0FC2">
        <w:rPr>
          <w:rFonts w:hint="cs"/>
          <w:spacing w:val="-6"/>
          <w:rtl/>
          <w:lang w:val="es-ES"/>
        </w:rPr>
        <w:t xml:space="preserve">سيما الأنشطة التي شاركت فيها بعد صدور حكم </w:t>
      </w:r>
      <w:r w:rsidRPr="00FA0FC2">
        <w:rPr>
          <w:rFonts w:hint="cs"/>
          <w:spacing w:val="-6"/>
          <w:rtl/>
          <w:lang w:val="fr-CH"/>
        </w:rPr>
        <w:t>المحكمة الإدارية الاتحادية في 11 كانون الأول/ديسمبر 2008.</w:t>
      </w:r>
      <w:r>
        <w:rPr>
          <w:rFonts w:hint="cs"/>
          <w:spacing w:val="-6"/>
          <w:rtl/>
          <w:lang w:val="fr-CH"/>
        </w:rPr>
        <w:t xml:space="preserve"> ولا</w:t>
      </w:r>
      <w:r>
        <w:rPr>
          <w:spacing w:val="-6"/>
          <w:rtl/>
          <w:lang w:val="fr-CH"/>
        </w:rPr>
        <w:t> </w:t>
      </w:r>
      <w:r w:rsidRPr="00FA0FC2">
        <w:rPr>
          <w:rFonts w:hint="cs"/>
          <w:spacing w:val="-6"/>
          <w:rtl/>
          <w:lang w:val="fr-CH"/>
        </w:rPr>
        <w:t xml:space="preserve">تعرض صاحبة الشكوى أي عناصر جديدة من شأنها أن تشكك في صحة قرارات السلطات السويسرية المعنية باللجوء المتخذة إثر </w:t>
      </w:r>
      <w:r w:rsidRPr="00FA0FC2">
        <w:rPr>
          <w:rFonts w:hint="cs"/>
          <w:spacing w:val="-4"/>
          <w:rtl/>
          <w:lang w:val="fr-CH"/>
        </w:rPr>
        <w:t>فحص معمق للقضية، غير أنها تجادل في تقييم تلك</w:t>
      </w:r>
      <w:r w:rsidRPr="00FA0FC2">
        <w:rPr>
          <w:rFonts w:hint="cs"/>
          <w:spacing w:val="-6"/>
          <w:rtl/>
          <w:lang w:val="fr-CH"/>
        </w:rPr>
        <w:t xml:space="preserve"> السلطات للوقائع والأدلة. وتؤكد الدولة الطرف أن ترحيل صاحبة الشكوى إلى إثيوبيا</w:t>
      </w:r>
      <w:r>
        <w:rPr>
          <w:rFonts w:hint="cs"/>
          <w:spacing w:val="-6"/>
          <w:rtl/>
          <w:lang w:val="fr-CH"/>
        </w:rPr>
        <w:t xml:space="preserve"> لا</w:t>
      </w:r>
      <w:r>
        <w:rPr>
          <w:spacing w:val="-6"/>
          <w:rtl/>
          <w:lang w:val="fr-CH"/>
        </w:rPr>
        <w:t> </w:t>
      </w:r>
      <w:r w:rsidRPr="00FA0FC2">
        <w:rPr>
          <w:rFonts w:hint="cs"/>
          <w:spacing w:val="-6"/>
          <w:rtl/>
          <w:lang w:val="fr-CH"/>
        </w:rPr>
        <w:t>يمثل انتهاكاً للاتفاقية من جانب سويسرا.</w:t>
      </w:r>
    </w:p>
    <w:p w:rsidR="00091373" w:rsidRPr="00FA0FC2" w:rsidRDefault="00091373" w:rsidP="00091373">
      <w:pPr>
        <w:pStyle w:val="SingleTxtGA"/>
        <w:spacing w:line="360" w:lineRule="exact"/>
        <w:rPr>
          <w:rFonts w:hint="cs"/>
          <w:rtl/>
          <w:lang/>
        </w:rPr>
      </w:pPr>
      <w:r w:rsidRPr="00FA0FC2">
        <w:rPr>
          <w:rFonts w:hint="cs"/>
          <w:rtl/>
          <w:lang w:val="fr-CH"/>
        </w:rPr>
        <w:t>4-2</w:t>
      </w:r>
      <w:r w:rsidRPr="00FA0FC2">
        <w:rPr>
          <w:rFonts w:hint="cs"/>
          <w:rtl/>
          <w:lang w:val="fr-CH"/>
        </w:rPr>
        <w:tab/>
      </w:r>
      <w:r w:rsidRPr="00FA0FC2">
        <w:rPr>
          <w:rFonts w:hint="cs"/>
          <w:rtl/>
          <w:lang/>
        </w:rPr>
        <w:t>ووفقاً لل</w:t>
      </w:r>
      <w:r>
        <w:rPr>
          <w:rFonts w:hint="cs"/>
          <w:rtl/>
          <w:lang/>
        </w:rPr>
        <w:t>مادة</w:t>
      </w:r>
      <w:r>
        <w:rPr>
          <w:rtl/>
          <w:lang/>
        </w:rPr>
        <w:t> </w:t>
      </w:r>
      <w:r w:rsidRPr="00FA0FC2">
        <w:rPr>
          <w:rFonts w:hint="cs"/>
          <w:rtl/>
          <w:lang/>
        </w:rPr>
        <w:t>3 من الاتفاقية، يحظر على الدول الأطراف أن تطرد شخصاً</w:t>
      </w:r>
      <w:r>
        <w:rPr>
          <w:rFonts w:hint="cs"/>
          <w:rtl/>
          <w:lang/>
        </w:rPr>
        <w:t xml:space="preserve"> أو</w:t>
      </w:r>
      <w:r>
        <w:rPr>
          <w:rtl/>
          <w:lang/>
        </w:rPr>
        <w:t> </w:t>
      </w:r>
      <w:r w:rsidRPr="00FA0FC2">
        <w:rPr>
          <w:rFonts w:hint="cs"/>
          <w:rtl/>
          <w:lang/>
        </w:rPr>
        <w:t>تعيده</w:t>
      </w:r>
      <w:r>
        <w:rPr>
          <w:rFonts w:hint="cs"/>
          <w:rtl/>
          <w:lang/>
        </w:rPr>
        <w:t xml:space="preserve"> أو</w:t>
      </w:r>
      <w:r>
        <w:rPr>
          <w:rtl/>
          <w:lang/>
        </w:rPr>
        <w:t> </w:t>
      </w:r>
      <w:r w:rsidRPr="00FA0FC2">
        <w:rPr>
          <w:rFonts w:hint="cs"/>
          <w:rtl/>
          <w:lang/>
        </w:rPr>
        <w:t xml:space="preserve">تسلمه إلى دولة أخرى إذا توافرت لديها أسباب حقيقية للاعتقاد أنه سيتعرض فيها للتعذيب. </w:t>
      </w:r>
      <w:r w:rsidRPr="00FA0FC2">
        <w:rPr>
          <w:rFonts w:hint="cs"/>
          <w:rtl/>
          <w:lang w:val="fr-CH"/>
        </w:rPr>
        <w:t xml:space="preserve">ويجب على </w:t>
      </w:r>
      <w:r w:rsidRPr="00FA0FC2">
        <w:rPr>
          <w:rFonts w:hint="cs"/>
          <w:rtl/>
          <w:lang/>
        </w:rPr>
        <w:t>السلطات المختصة</w:t>
      </w:r>
      <w:r w:rsidRPr="00FA0FC2">
        <w:rPr>
          <w:rFonts w:hint="cs"/>
          <w:rtl/>
          <w:lang w:val="fr-CH"/>
        </w:rPr>
        <w:t xml:space="preserve">، سعياً إلى البت في </w:t>
      </w:r>
      <w:r w:rsidRPr="00FA0FC2">
        <w:rPr>
          <w:rFonts w:hint="cs"/>
          <w:rtl/>
          <w:lang/>
        </w:rPr>
        <w:t>وجود هذه الأسباب،</w:t>
      </w:r>
      <w:r w:rsidRPr="00FA0FC2">
        <w:rPr>
          <w:rFonts w:hint="cs"/>
          <w:rtl/>
          <w:lang w:val="fr-CH"/>
        </w:rPr>
        <w:t xml:space="preserve"> أن تراعي </w:t>
      </w:r>
      <w:r w:rsidRPr="00FA0FC2">
        <w:rPr>
          <w:rFonts w:hint="cs"/>
          <w:rtl/>
          <w:lang/>
        </w:rPr>
        <w:t>جميع الاعتبارات ذات الصلة</w:t>
      </w:r>
      <w:r>
        <w:rPr>
          <w:rFonts w:hint="cs"/>
          <w:rtl/>
          <w:lang/>
        </w:rPr>
        <w:t xml:space="preserve"> بما</w:t>
      </w:r>
      <w:r>
        <w:rPr>
          <w:rtl/>
          <w:lang/>
        </w:rPr>
        <w:t> </w:t>
      </w:r>
      <w:r w:rsidRPr="00FA0FC2">
        <w:rPr>
          <w:rFonts w:hint="cs"/>
          <w:rtl/>
          <w:lang/>
        </w:rPr>
        <w:t>في ذلك، عند الاقتضاء، وجود نمط ثابت من الانتهاكات الجسيمة</w:t>
      </w:r>
      <w:r>
        <w:rPr>
          <w:rFonts w:hint="cs"/>
          <w:rtl/>
          <w:lang/>
        </w:rPr>
        <w:t xml:space="preserve"> أو</w:t>
      </w:r>
      <w:r>
        <w:rPr>
          <w:rtl/>
          <w:lang/>
        </w:rPr>
        <w:t> </w:t>
      </w:r>
      <w:r w:rsidRPr="00FA0FC2">
        <w:rPr>
          <w:rFonts w:hint="cs"/>
          <w:rtl/>
          <w:lang/>
        </w:rPr>
        <w:t>الصارخة</w:t>
      </w:r>
      <w:r>
        <w:rPr>
          <w:rFonts w:hint="cs"/>
          <w:rtl/>
          <w:lang/>
        </w:rPr>
        <w:t xml:space="preserve"> أو</w:t>
      </w:r>
      <w:r>
        <w:rPr>
          <w:rtl/>
          <w:lang/>
        </w:rPr>
        <w:t> </w:t>
      </w:r>
      <w:r w:rsidRPr="00FA0FC2">
        <w:rPr>
          <w:rFonts w:hint="cs"/>
          <w:rtl/>
          <w:lang/>
        </w:rPr>
        <w:t>الجماعية لحقوق الإنسان في الدولة المعنية</w:t>
      </w:r>
      <w:r w:rsidRPr="00FA0FC2">
        <w:rPr>
          <w:vertAlign w:val="superscript"/>
          <w:rtl/>
          <w:lang w:val="fr-CH"/>
        </w:rPr>
        <w:t>(</w:t>
      </w:r>
      <w:r w:rsidRPr="00FA0FC2">
        <w:rPr>
          <w:rStyle w:val="FootnoteReference"/>
          <w:rtl/>
          <w:lang w:val="fr-CH"/>
        </w:rPr>
        <w:footnoteReference w:id="190"/>
      </w:r>
      <w:r w:rsidRPr="00FA0FC2">
        <w:rPr>
          <w:vertAlign w:val="superscript"/>
          <w:rtl/>
          <w:lang w:val="fr-CH"/>
        </w:rPr>
        <w:t>)</w:t>
      </w:r>
      <w:r w:rsidRPr="00FA0FC2">
        <w:rPr>
          <w:rFonts w:hint="cs"/>
          <w:rtl/>
        </w:rPr>
        <w:t>.</w:t>
      </w:r>
      <w:r w:rsidRPr="00FA0FC2">
        <w:rPr>
          <w:rFonts w:hint="cs"/>
          <w:rtl/>
          <w:lang w:val="fr-CH"/>
        </w:rPr>
        <w:t xml:space="preserve"> </w:t>
      </w:r>
      <w:r w:rsidRPr="00FA0FC2">
        <w:rPr>
          <w:rFonts w:hint="cs"/>
          <w:rtl/>
          <w:lang/>
        </w:rPr>
        <w:t>ووجود انتهاكات جسيمة</w:t>
      </w:r>
      <w:r>
        <w:rPr>
          <w:rFonts w:hint="cs"/>
          <w:rtl/>
          <w:lang/>
        </w:rPr>
        <w:t xml:space="preserve"> أو</w:t>
      </w:r>
      <w:r>
        <w:rPr>
          <w:rtl/>
          <w:lang/>
        </w:rPr>
        <w:t> </w:t>
      </w:r>
      <w:r w:rsidRPr="00FA0FC2">
        <w:rPr>
          <w:rFonts w:hint="cs"/>
          <w:rtl/>
          <w:lang/>
        </w:rPr>
        <w:t>صارخة</w:t>
      </w:r>
      <w:r>
        <w:rPr>
          <w:rFonts w:hint="cs"/>
          <w:rtl/>
          <w:lang/>
        </w:rPr>
        <w:t xml:space="preserve"> أو</w:t>
      </w:r>
      <w:r>
        <w:rPr>
          <w:rtl/>
          <w:lang/>
        </w:rPr>
        <w:t> </w:t>
      </w:r>
      <w:r w:rsidRPr="00FA0FC2">
        <w:rPr>
          <w:rFonts w:hint="cs"/>
          <w:rtl/>
          <w:lang/>
        </w:rPr>
        <w:t>جماعية لحقوق الإنسان</w:t>
      </w:r>
      <w:r>
        <w:rPr>
          <w:rFonts w:hint="cs"/>
          <w:rtl/>
          <w:lang/>
        </w:rPr>
        <w:t xml:space="preserve"> لا</w:t>
      </w:r>
      <w:r>
        <w:rPr>
          <w:rtl/>
          <w:lang/>
        </w:rPr>
        <w:t> </w:t>
      </w:r>
      <w:r w:rsidRPr="00FA0FC2">
        <w:rPr>
          <w:rFonts w:hint="cs"/>
          <w:rtl/>
          <w:lang/>
        </w:rPr>
        <w:t>يكفي في حد ذاته كأساس لاستنتاج احتمال تعرض فرد</w:t>
      </w:r>
      <w:r>
        <w:rPr>
          <w:rFonts w:hint="cs"/>
          <w:rtl/>
          <w:lang/>
        </w:rPr>
        <w:t xml:space="preserve"> ما</w:t>
      </w:r>
      <w:r>
        <w:rPr>
          <w:rtl/>
          <w:lang/>
        </w:rPr>
        <w:t> </w:t>
      </w:r>
      <w:r w:rsidRPr="00FA0FC2">
        <w:rPr>
          <w:rFonts w:hint="cs"/>
          <w:rtl/>
          <w:lang/>
        </w:rPr>
        <w:t>للتعذيب بعد عودته إلى بلده</w:t>
      </w:r>
      <w:r w:rsidRPr="00FA0FC2">
        <w:rPr>
          <w:rFonts w:hint="cs"/>
          <w:rtl/>
          <w:lang w:val="fr-CH"/>
        </w:rPr>
        <w:t xml:space="preserve">، </w:t>
      </w:r>
      <w:r w:rsidRPr="00FA0FC2">
        <w:rPr>
          <w:rFonts w:hint="cs"/>
          <w:rtl/>
          <w:lang/>
        </w:rPr>
        <w:t>ووجوب وجود أسباب إضافية كي يتسنى وصف خطر التعرض للتعذيب وفقاً للمعنى المقصود من ال</w:t>
      </w:r>
      <w:r>
        <w:rPr>
          <w:rFonts w:hint="cs"/>
          <w:rtl/>
          <w:lang/>
        </w:rPr>
        <w:t>مادة</w:t>
      </w:r>
      <w:r>
        <w:rPr>
          <w:rtl/>
          <w:lang/>
        </w:rPr>
        <w:t> </w:t>
      </w:r>
      <w:r w:rsidRPr="00FA0FC2">
        <w:rPr>
          <w:rFonts w:hint="cs"/>
          <w:rtl/>
          <w:lang/>
        </w:rPr>
        <w:t>3 على أنه "متوقع وحقيقي وشخصي".</w:t>
      </w:r>
    </w:p>
    <w:p w:rsidR="00091373" w:rsidRPr="00FA0FC2" w:rsidRDefault="00091373" w:rsidP="00091373">
      <w:pPr>
        <w:pStyle w:val="SingleTxtGA"/>
        <w:rPr>
          <w:rFonts w:hint="cs"/>
          <w:rtl/>
          <w:lang w:val="fr-CH"/>
        </w:rPr>
      </w:pPr>
      <w:r w:rsidRPr="00FA0FC2">
        <w:rPr>
          <w:rFonts w:hint="cs"/>
          <w:rtl/>
          <w:lang/>
        </w:rPr>
        <w:t>4-3</w:t>
      </w:r>
      <w:r w:rsidRPr="00FA0FC2">
        <w:rPr>
          <w:rFonts w:hint="cs"/>
          <w:rtl/>
          <w:lang/>
        </w:rPr>
        <w:tab/>
        <w:t>وبخصوص الحالة العامة لحقوق الإنسان في إثيوبيا، تفيد الدولة الطرف ب</w:t>
      </w:r>
      <w:r w:rsidRPr="00FA0FC2">
        <w:rPr>
          <w:rFonts w:hint="cs"/>
          <w:rtl/>
          <w:lang w:val="fr-CH"/>
        </w:rPr>
        <w:t xml:space="preserve">أن الانتخابات التي أجريت في </w:t>
      </w:r>
      <w:r w:rsidRPr="00FA0FC2">
        <w:rPr>
          <w:rFonts w:hint="cs"/>
          <w:sz w:val="30"/>
          <w:rtl/>
          <w:lang w:val="fr-CH"/>
        </w:rPr>
        <w:t xml:space="preserve">أيار/مايو 2005 </w:t>
      </w:r>
      <w:r w:rsidRPr="00FA0FC2">
        <w:rPr>
          <w:rFonts w:hint="cs"/>
          <w:rtl/>
          <w:lang w:val="fr-CH"/>
        </w:rPr>
        <w:t>و</w:t>
      </w:r>
      <w:r w:rsidRPr="00FA0FC2">
        <w:rPr>
          <w:rFonts w:hint="cs"/>
          <w:sz w:val="30"/>
          <w:rtl/>
          <w:lang w:val="fr-CH"/>
        </w:rPr>
        <w:t xml:space="preserve">آب/أغسطس 2005 في إثيوبيا عززت تمثيل أحزاب المعارضة في البرلمان. </w:t>
      </w:r>
      <w:r w:rsidRPr="00FA0FC2">
        <w:rPr>
          <w:rFonts w:hint="cs"/>
          <w:rtl/>
          <w:lang/>
        </w:rPr>
        <w:t>وتقر</w:t>
      </w:r>
      <w:r w:rsidRPr="00FA0FC2">
        <w:rPr>
          <w:rFonts w:hint="cs"/>
          <w:rtl/>
          <w:lang w:val="fr-CH"/>
        </w:rPr>
        <w:t xml:space="preserve"> بوجود </w:t>
      </w:r>
      <w:r w:rsidRPr="00FA0FC2">
        <w:rPr>
          <w:rFonts w:hint="cs"/>
          <w:rtl/>
          <w:lang/>
        </w:rPr>
        <w:t xml:space="preserve">العديد من حالات </w:t>
      </w:r>
      <w:r w:rsidRPr="00FA0FC2">
        <w:rPr>
          <w:rFonts w:hint="cs"/>
          <w:rtl/>
          <w:lang w:val="fr-CH"/>
        </w:rPr>
        <w:t xml:space="preserve">الاعتقال والاحتجاز </w:t>
      </w:r>
      <w:r w:rsidRPr="00FA0FC2">
        <w:rPr>
          <w:rFonts w:hint="cs"/>
          <w:rtl/>
          <w:lang/>
        </w:rPr>
        <w:t>التعسفيين،</w:t>
      </w:r>
      <w:r w:rsidRPr="00FA0FC2">
        <w:rPr>
          <w:rFonts w:hint="cs"/>
          <w:rtl/>
          <w:lang w:val="fr-CH"/>
        </w:rPr>
        <w:t xml:space="preserve"> وخاصة </w:t>
      </w:r>
      <w:r w:rsidRPr="00FA0FC2">
        <w:rPr>
          <w:rFonts w:hint="cs"/>
          <w:rtl/>
          <w:lang/>
        </w:rPr>
        <w:t>اعتقال أعضاء أحزاب المعارضة واحتجازهم على الرغم من أن الدستور الإثيوبي يعترف بحقوق الإنسان صراحة</w:t>
      </w:r>
      <w:r w:rsidRPr="00FA0FC2">
        <w:rPr>
          <w:rFonts w:hint="cs"/>
          <w:rtl/>
          <w:lang w:val="fr-CH"/>
        </w:rPr>
        <w:t>.</w:t>
      </w:r>
      <w:r>
        <w:rPr>
          <w:rFonts w:hint="cs"/>
          <w:rtl/>
          <w:lang w:val="fr-CH"/>
        </w:rPr>
        <w:t xml:space="preserve"> كما</w:t>
      </w:r>
      <w:r>
        <w:rPr>
          <w:rtl/>
          <w:lang w:val="fr-CH"/>
        </w:rPr>
        <w:t> </w:t>
      </w:r>
      <w:r w:rsidRPr="00FA0FC2">
        <w:rPr>
          <w:rFonts w:hint="cs"/>
          <w:rtl/>
          <w:lang/>
        </w:rPr>
        <w:t>تقر بعدم وجود جهاز قضائي مستقل</w:t>
      </w:r>
      <w:r w:rsidRPr="00FA0FC2">
        <w:rPr>
          <w:rFonts w:hint="cs"/>
          <w:rtl/>
          <w:lang w:val="fr-CH"/>
        </w:rPr>
        <w:t xml:space="preserve">. </w:t>
      </w:r>
      <w:r w:rsidRPr="00FA0FC2">
        <w:rPr>
          <w:rFonts w:hint="cs"/>
          <w:rtl/>
          <w:lang/>
        </w:rPr>
        <w:t>غير أن المشاركة في عضوية حزب سياسي معارض</w:t>
      </w:r>
      <w:r>
        <w:rPr>
          <w:rFonts w:hint="cs"/>
          <w:rtl/>
          <w:lang/>
        </w:rPr>
        <w:t xml:space="preserve"> أو</w:t>
      </w:r>
      <w:r>
        <w:rPr>
          <w:rtl/>
          <w:lang/>
        </w:rPr>
        <w:t> </w:t>
      </w:r>
      <w:r w:rsidRPr="00FA0FC2">
        <w:rPr>
          <w:rFonts w:hint="cs"/>
          <w:rtl/>
          <w:lang/>
        </w:rPr>
        <w:t>تأييد الحزب أمران</w:t>
      </w:r>
      <w:r>
        <w:rPr>
          <w:rFonts w:hint="cs"/>
          <w:rtl/>
          <w:lang/>
        </w:rPr>
        <w:t xml:space="preserve"> لا</w:t>
      </w:r>
      <w:r>
        <w:rPr>
          <w:rtl/>
          <w:lang/>
        </w:rPr>
        <w:t> </w:t>
      </w:r>
      <w:r w:rsidRPr="00FA0FC2">
        <w:rPr>
          <w:rFonts w:hint="cs"/>
          <w:rtl/>
          <w:lang/>
        </w:rPr>
        <w:t>يؤديان مبدئياً إلى خطر التعرض للاضطهاد. والأمر يختلف بالنسبة إلى الأشخاص الذين يشغلون منصباً بارزاً في حزب من أحزاب المعارضة</w:t>
      </w:r>
      <w:r w:rsidRPr="00FA0FC2">
        <w:rPr>
          <w:vertAlign w:val="superscript"/>
          <w:rtl/>
          <w:lang w:val="fr-CH"/>
        </w:rPr>
        <w:t>(</w:t>
      </w:r>
      <w:r w:rsidRPr="00FA0FC2">
        <w:rPr>
          <w:rStyle w:val="FootnoteReference"/>
          <w:rtl/>
          <w:lang w:val="fr-CH"/>
        </w:rPr>
        <w:footnoteReference w:id="191"/>
      </w:r>
      <w:r w:rsidRPr="00FA0FC2">
        <w:rPr>
          <w:vertAlign w:val="superscript"/>
          <w:rtl/>
          <w:lang w:val="fr-CH"/>
        </w:rPr>
        <w:t>)</w:t>
      </w:r>
      <w:r w:rsidRPr="00FA0FC2">
        <w:rPr>
          <w:rFonts w:hint="cs"/>
          <w:rtl/>
        </w:rPr>
        <w:t>.</w:t>
      </w:r>
      <w:r>
        <w:rPr>
          <w:rFonts w:hint="cs"/>
          <w:rtl/>
          <w:lang/>
        </w:rPr>
        <w:t xml:space="preserve"> وفي</w:t>
      </w:r>
      <w:r>
        <w:rPr>
          <w:rtl/>
          <w:lang/>
        </w:rPr>
        <w:t> </w:t>
      </w:r>
      <w:r w:rsidRPr="00FA0FC2">
        <w:rPr>
          <w:rFonts w:hint="cs"/>
          <w:rtl/>
          <w:lang/>
        </w:rPr>
        <w:t xml:space="preserve">ضوء المعلومات المذكورة أعلاه، اعتمدت السلطات السويسرية المختصة المعنية باللجوء ممارسات متباينة لتحديد خطر التعرض للاضطهاد. ويعتبر الأشخاص </w:t>
      </w:r>
      <w:r w:rsidRPr="00FA0FC2">
        <w:rPr>
          <w:rFonts w:hint="cs"/>
          <w:rtl/>
          <w:lang w:val="es-ES"/>
        </w:rPr>
        <w:t>الذين تشتبه السلطات الإثيوبية</w:t>
      </w:r>
      <w:r w:rsidRPr="00FA0FC2">
        <w:rPr>
          <w:rFonts w:hint="cs"/>
          <w:rtl/>
          <w:lang/>
        </w:rPr>
        <w:t xml:space="preserve"> في انتمائهم إلى </w:t>
      </w:r>
      <w:r w:rsidRPr="00FA0FC2">
        <w:rPr>
          <w:rFonts w:hint="cs"/>
          <w:sz w:val="30"/>
          <w:rtl/>
          <w:lang w:val="fr-CH"/>
        </w:rPr>
        <w:t xml:space="preserve">جبهة تحرير </w:t>
      </w:r>
      <w:r w:rsidRPr="00FA0FC2">
        <w:rPr>
          <w:rFonts w:hint="cs"/>
          <w:rtl/>
          <w:lang w:val="fr-CH"/>
        </w:rPr>
        <w:t>أورومو</w:t>
      </w:r>
      <w:r>
        <w:rPr>
          <w:rFonts w:hint="cs"/>
          <w:rtl/>
          <w:lang w:val="fr-CH"/>
        </w:rPr>
        <w:t xml:space="preserve"> أو</w:t>
      </w:r>
      <w:r>
        <w:rPr>
          <w:rtl/>
          <w:lang w:val="fr-CH"/>
        </w:rPr>
        <w:t> </w:t>
      </w:r>
      <w:r w:rsidRPr="00FA0FC2">
        <w:rPr>
          <w:rFonts w:hint="cs"/>
          <w:rtl/>
          <w:lang w:val="fr-CH"/>
        </w:rPr>
        <w:t xml:space="preserve">جبهة تحرير أوغادين الوطنية </w:t>
      </w:r>
      <w:r w:rsidRPr="00FA0FC2">
        <w:rPr>
          <w:rFonts w:hint="cs"/>
          <w:rtl/>
          <w:lang w:val="es-ES"/>
        </w:rPr>
        <w:t>في عداد الأشخاص المعرضين لخطر الاضطهاد.</w:t>
      </w:r>
    </w:p>
    <w:p w:rsidR="00091373" w:rsidRPr="00E37658" w:rsidRDefault="00091373" w:rsidP="00091373">
      <w:pPr>
        <w:pStyle w:val="SingleTxtGA"/>
        <w:rPr>
          <w:rFonts w:hint="cs"/>
          <w:rtl/>
        </w:rPr>
      </w:pPr>
      <w:r w:rsidRPr="00E37658">
        <w:rPr>
          <w:rFonts w:hint="cs"/>
          <w:rtl/>
          <w:lang/>
        </w:rPr>
        <w:t>4-4</w:t>
      </w:r>
      <w:r w:rsidRPr="00E37658">
        <w:rPr>
          <w:rFonts w:hint="cs"/>
          <w:rtl/>
          <w:lang/>
        </w:rPr>
        <w:tab/>
        <w:t>وفيما يتعلق برصد الأنشطة السياسية في المهجر، تفيد الدولة الطرف استناداً إلى المعلومات المتاحة لها بأن البعثات الدبلوماسية أو</w:t>
      </w:r>
      <w:r w:rsidRPr="00E37658">
        <w:rPr>
          <w:rtl/>
          <w:lang/>
        </w:rPr>
        <w:t> </w:t>
      </w:r>
      <w:r w:rsidRPr="00E37658">
        <w:rPr>
          <w:rFonts w:hint="cs"/>
          <w:rtl/>
          <w:lang/>
        </w:rPr>
        <w:t xml:space="preserve">القنصلية الإثيوبية تفتقر إلى الموظفين والموارد الهيكلية اللازمة لرصد الأنشطة السياسية التي يضطلع بها أعضاء المعارضة في سويسرا رصداً منهجياً. وعليه، ليس من المدهش أن </w:t>
      </w:r>
      <w:r w:rsidRPr="00E37658">
        <w:rPr>
          <w:rFonts w:hint="cs"/>
          <w:rtl/>
          <w:lang w:val="fr-CH"/>
        </w:rPr>
        <w:t xml:space="preserve">مجلس الهجرة واللجوء في كندا </w:t>
      </w:r>
      <w:r w:rsidRPr="00E37658">
        <w:rPr>
          <w:rFonts w:hint="cs"/>
          <w:rtl/>
        </w:rPr>
        <w:t>عجز عن الحصول على أي معلومات تثبت وجود عمليات مراقبة من هذا القبيل في الواقع</w:t>
      </w:r>
      <w:r w:rsidRPr="00E37658">
        <w:rPr>
          <w:vertAlign w:val="superscript"/>
          <w:rtl/>
          <w:lang w:val="fr-CH"/>
        </w:rPr>
        <w:t>(</w:t>
      </w:r>
      <w:r w:rsidRPr="00E37658">
        <w:rPr>
          <w:rStyle w:val="FootnoteReference"/>
          <w:rtl/>
          <w:lang w:val="fr-CH"/>
        </w:rPr>
        <w:footnoteReference w:id="192"/>
      </w:r>
      <w:r w:rsidRPr="00E37658">
        <w:rPr>
          <w:vertAlign w:val="superscript"/>
          <w:rtl/>
          <w:lang w:val="fr-CH"/>
        </w:rPr>
        <w:t>)</w:t>
      </w:r>
      <w:r w:rsidRPr="00E37658">
        <w:rPr>
          <w:rFonts w:hint="cs"/>
          <w:rtl/>
        </w:rPr>
        <w:t>.</w:t>
      </w:r>
      <w:r w:rsidRPr="00E37658">
        <w:rPr>
          <w:rFonts w:hint="cs"/>
          <w:rtl/>
          <w:lang/>
        </w:rPr>
        <w:t xml:space="preserve"> </w:t>
      </w:r>
      <w:r w:rsidRPr="00E37658">
        <w:rPr>
          <w:rFonts w:hint="cs"/>
          <w:rtl/>
        </w:rPr>
        <w:t>ومع ذلك، فإنّ أعضاء المعارضة النشطين و/أو البارزين والناشطين في المنظمات والذين يشنون حملات متصلة باستخدام العنف يتعرضون لخطر كشف هويتهم وتسجيلهم واضطهادهم نتيجة لذلك في حال إعادتهم.</w:t>
      </w:r>
    </w:p>
    <w:p w:rsidR="00091373" w:rsidRPr="001776AB" w:rsidRDefault="00091373" w:rsidP="00091373">
      <w:pPr>
        <w:pStyle w:val="SingleTxtGA"/>
        <w:rPr>
          <w:rFonts w:hint="cs"/>
          <w:spacing w:val="-2"/>
          <w:sz w:val="30"/>
          <w:rtl/>
        </w:rPr>
      </w:pPr>
      <w:r w:rsidRPr="001776AB">
        <w:rPr>
          <w:rFonts w:hint="cs"/>
          <w:spacing w:val="-2"/>
          <w:rtl/>
        </w:rPr>
        <w:t>4-5</w:t>
      </w:r>
      <w:r w:rsidRPr="001776AB">
        <w:rPr>
          <w:rFonts w:hint="cs"/>
          <w:spacing w:val="-2"/>
          <w:rtl/>
        </w:rPr>
        <w:tab/>
        <w:t>وبالإشارة إلى تعليق اللجنة العام رقم 1 (الفقرة 8(ب))، تفيد الدولة الطرف بأن ممارسات التعذيب أو</w:t>
      </w:r>
      <w:r w:rsidRPr="001776AB">
        <w:rPr>
          <w:spacing w:val="-2"/>
          <w:rtl/>
        </w:rPr>
        <w:t> </w:t>
      </w:r>
      <w:r w:rsidRPr="001776AB">
        <w:rPr>
          <w:rFonts w:hint="cs"/>
          <w:spacing w:val="-2"/>
          <w:rtl/>
        </w:rPr>
        <w:t>سوء المعاملة التي تدعي صاحبة الشكوى أنها تعرضت لها في الماضي هي عنصر من العناصر التي ينبغي أخذها في الحسبان لدى تقييم خطر تعرض شخص للتعذيب أو</w:t>
      </w:r>
      <w:r w:rsidRPr="001776AB">
        <w:rPr>
          <w:spacing w:val="-2"/>
          <w:rtl/>
        </w:rPr>
        <w:t> </w:t>
      </w:r>
      <w:r w:rsidRPr="001776AB">
        <w:rPr>
          <w:rFonts w:hint="cs"/>
          <w:spacing w:val="-2"/>
          <w:rtl/>
        </w:rPr>
        <w:t>سوء المعاملة في حال إعادته إلى بلد المنشأ. وفي</w:t>
      </w:r>
      <w:r w:rsidRPr="001776AB">
        <w:rPr>
          <w:spacing w:val="-2"/>
          <w:rtl/>
        </w:rPr>
        <w:t> </w:t>
      </w:r>
      <w:r w:rsidRPr="001776AB">
        <w:rPr>
          <w:rFonts w:hint="cs"/>
          <w:spacing w:val="-2"/>
          <w:rtl/>
        </w:rPr>
        <w:t>هذا الصدد، تذكر الدولة الطرف بادعاء صاحبة الشكوى أنها تعرضت لسوء المعاملة أثناء احتجازها في شهر أيار/مايو 2006. ومع ذلك، تضيف الدولة الطرف موضحة أن صاحبة الشكوى لم</w:t>
      </w:r>
      <w:r w:rsidRPr="001776AB">
        <w:rPr>
          <w:spacing w:val="-2"/>
          <w:rtl/>
        </w:rPr>
        <w:t> </w:t>
      </w:r>
      <w:r w:rsidRPr="001776AB">
        <w:rPr>
          <w:rFonts w:hint="cs"/>
          <w:spacing w:val="-2"/>
          <w:rtl/>
        </w:rPr>
        <w:t xml:space="preserve">تسند هذا الادعاء بالأدلة لدى السلطات السويسرية المعنية باللجوء خلال الإجراء الأول لالتماس اللجوء، وأن </w:t>
      </w:r>
      <w:r w:rsidRPr="001776AB">
        <w:rPr>
          <w:rFonts w:hint="cs"/>
          <w:spacing w:val="-2"/>
          <w:sz w:val="30"/>
          <w:rtl/>
        </w:rPr>
        <w:t>الوثيقة الصادرة عن لجنة الشرطة التابعة لإدارة مدينة أديس أبابا التي قدمتها صاحبة الشكوى إلى اللجنة</w:t>
      </w:r>
      <w:r w:rsidRPr="001776AB">
        <w:rPr>
          <w:spacing w:val="-2"/>
          <w:vertAlign w:val="superscript"/>
          <w:rtl/>
          <w:lang w:val="fr-CH"/>
        </w:rPr>
        <w:t>(</w:t>
      </w:r>
      <w:r w:rsidRPr="001776AB">
        <w:rPr>
          <w:rStyle w:val="FootnoteReference"/>
          <w:spacing w:val="-2"/>
          <w:rtl/>
          <w:lang w:val="fr-CH"/>
        </w:rPr>
        <w:footnoteReference w:id="193"/>
      </w:r>
      <w:r w:rsidRPr="001776AB">
        <w:rPr>
          <w:spacing w:val="-2"/>
          <w:vertAlign w:val="superscript"/>
          <w:rtl/>
          <w:lang w:val="fr-CH"/>
        </w:rPr>
        <w:t>)</w:t>
      </w:r>
      <w:r w:rsidRPr="001776AB">
        <w:rPr>
          <w:rFonts w:hint="cs"/>
          <w:spacing w:val="-2"/>
          <w:sz w:val="30"/>
          <w:rtl/>
        </w:rPr>
        <w:t xml:space="preserve"> لا</w:t>
      </w:r>
      <w:r w:rsidRPr="001776AB">
        <w:rPr>
          <w:spacing w:val="-2"/>
          <w:sz w:val="30"/>
          <w:rtl/>
        </w:rPr>
        <w:t> </w:t>
      </w:r>
      <w:r w:rsidRPr="001776AB">
        <w:rPr>
          <w:rFonts w:hint="cs"/>
          <w:spacing w:val="-2"/>
          <w:sz w:val="30"/>
          <w:rtl/>
        </w:rPr>
        <w:t>تغير التقييم السابق. ولا</w:t>
      </w:r>
      <w:r w:rsidRPr="001776AB">
        <w:rPr>
          <w:spacing w:val="-2"/>
          <w:sz w:val="30"/>
          <w:rtl/>
        </w:rPr>
        <w:t> </w:t>
      </w:r>
      <w:r w:rsidRPr="001776AB">
        <w:rPr>
          <w:rFonts w:hint="cs"/>
          <w:spacing w:val="-2"/>
          <w:sz w:val="30"/>
          <w:rtl/>
        </w:rPr>
        <w:t>غرابة بالتالي من أن صاحبة الشكوى لم</w:t>
      </w:r>
      <w:r w:rsidRPr="001776AB">
        <w:rPr>
          <w:spacing w:val="-2"/>
          <w:sz w:val="30"/>
          <w:rtl/>
        </w:rPr>
        <w:t> </w:t>
      </w:r>
      <w:r w:rsidRPr="001776AB">
        <w:rPr>
          <w:rFonts w:hint="cs"/>
          <w:spacing w:val="-2"/>
          <w:sz w:val="30"/>
          <w:rtl/>
        </w:rPr>
        <w:t>تحتفظ بذلك الادعاء في طلب اللجوء الثاني الذي قدمته في 24 نيسان/أبريل 2009 غير أن الدولة الطرف مندهشة لكون صاحبة الشكوى طرحت ذلك الادعاء على اللجنة دون تقديم أدلة داعمة.</w:t>
      </w:r>
    </w:p>
    <w:p w:rsidR="00091373" w:rsidRPr="00FA0FC2" w:rsidRDefault="00091373" w:rsidP="00091373">
      <w:pPr>
        <w:pStyle w:val="SingleTxtGA"/>
        <w:rPr>
          <w:rFonts w:hint="cs"/>
          <w:spacing w:val="-2"/>
          <w:rtl/>
        </w:rPr>
      </w:pPr>
      <w:r w:rsidRPr="00FA0FC2">
        <w:rPr>
          <w:rFonts w:hint="cs"/>
          <w:spacing w:val="-2"/>
          <w:sz w:val="30"/>
          <w:rtl/>
        </w:rPr>
        <w:t>4-6</w:t>
      </w:r>
      <w:r w:rsidRPr="00FA0FC2">
        <w:rPr>
          <w:rFonts w:hint="cs"/>
          <w:spacing w:val="-2"/>
          <w:sz w:val="30"/>
          <w:rtl/>
        </w:rPr>
        <w:tab/>
      </w:r>
      <w:r w:rsidRPr="00FA0FC2">
        <w:rPr>
          <w:rFonts w:hint="cs"/>
          <w:spacing w:val="-2"/>
          <w:rtl/>
        </w:rPr>
        <w:t>وفيما يتصل بالأنشطة السياسية التي شاركت فيها صاحبة الشكوى في وطنها، تفيد الدولة الطرف بأن صاحبة الشكوى ذكرت في جملة أمور نشاطها السياسي في إثيوبيا خلال الإجراء الأول لالتماس اللجوء. وقد ادعت صاحبة الشكوى أنها عضو في حزب التحالف غير أن المعلومات التي استطاعت توفيرها عن مجموعة المعارضة المذكورة اقتصرت على معلومات سطحية وغير واضحة. ويتوقع مع ذلك أن يكون مستوى المعرفة أكثر تحديداً لدى شخص مثل صاحبة الشكوى الحاصلة على تعليم جامعي والمدعية أنها تهتم بالحياة السياسية في وطنها.</w:t>
      </w:r>
    </w:p>
    <w:p w:rsidR="00091373" w:rsidRPr="00FA0FC2" w:rsidRDefault="00091373" w:rsidP="00091373">
      <w:pPr>
        <w:pStyle w:val="SingleTxtGA"/>
        <w:rPr>
          <w:rFonts w:hint="cs"/>
          <w:spacing w:val="-2"/>
          <w:rtl/>
        </w:rPr>
      </w:pPr>
      <w:r w:rsidRPr="00FA0FC2">
        <w:rPr>
          <w:rFonts w:hint="cs"/>
          <w:spacing w:val="-2"/>
          <w:rtl/>
        </w:rPr>
        <w:t>4-7</w:t>
      </w:r>
      <w:r w:rsidRPr="00FA0FC2">
        <w:rPr>
          <w:rFonts w:hint="cs"/>
          <w:spacing w:val="-2"/>
          <w:rtl/>
        </w:rPr>
        <w:tab/>
        <w:t>وتحيط الدولة الطرف أيضاً علماً بأن صاحبة الشكوى غادرت إثيوبيا بصورة قانونية بعد مضي حوالي سنة على احتجازها. وقد وصلت صاحبة الشكوى إلى زيورخ في 4 حزيران/يونيه 2007 حاملة جواز سفر صادر في 8 شباط/فبراير 2007 بناء على طلبها ودون مصادفة أي مصاعب على متن طائرة في رحلة مباشرة من أديس أبابا لحضور مؤتمر في جنيف بصفتها ممثلة لرب عملها. ويبدو أن صاحبة الشكوى تخلصت من جواز سفرها بعد وصولها وأمضت حوالي ثلاثة أسابيع مع أبناء بلدها قبل أن تقدم أخيراً طلب اللجوء في 25 حزيران/يونيه 2007. وهذا سلوك يثير بالأحرى الدهشة في ضوء أنشطتها السياسية المزعومة واضطهادها المزعوم من جانب السلطات الإثيوبية. وإضافة إلى ذلك،</w:t>
      </w:r>
      <w:r>
        <w:rPr>
          <w:rFonts w:hint="cs"/>
          <w:spacing w:val="-2"/>
          <w:rtl/>
        </w:rPr>
        <w:t xml:space="preserve"> لم</w:t>
      </w:r>
      <w:r>
        <w:rPr>
          <w:spacing w:val="-2"/>
          <w:rtl/>
        </w:rPr>
        <w:t> </w:t>
      </w:r>
      <w:r w:rsidRPr="00FA0FC2">
        <w:rPr>
          <w:rFonts w:hint="cs"/>
          <w:spacing w:val="-2"/>
          <w:rtl/>
        </w:rPr>
        <w:t>تقدم صاحبة الشكوى وثائق النقل</w:t>
      </w:r>
      <w:r>
        <w:rPr>
          <w:rFonts w:hint="cs"/>
          <w:spacing w:val="-2"/>
          <w:rtl/>
        </w:rPr>
        <w:t xml:space="preserve"> ولم</w:t>
      </w:r>
      <w:r>
        <w:rPr>
          <w:spacing w:val="-2"/>
          <w:rtl/>
        </w:rPr>
        <w:t> </w:t>
      </w:r>
      <w:r w:rsidRPr="00FA0FC2">
        <w:rPr>
          <w:rFonts w:hint="cs"/>
          <w:spacing w:val="-2"/>
          <w:rtl/>
        </w:rPr>
        <w:t>تشر إلى المؤتمر</w:t>
      </w:r>
      <w:r>
        <w:rPr>
          <w:rFonts w:hint="cs"/>
          <w:spacing w:val="-2"/>
          <w:rtl/>
        </w:rPr>
        <w:t xml:space="preserve"> إلا</w:t>
      </w:r>
      <w:r>
        <w:rPr>
          <w:spacing w:val="-2"/>
          <w:rtl/>
        </w:rPr>
        <w:t> </w:t>
      </w:r>
      <w:r w:rsidRPr="00FA0FC2">
        <w:rPr>
          <w:rFonts w:hint="cs"/>
          <w:spacing w:val="-2"/>
          <w:rtl/>
        </w:rPr>
        <w:t>في نهاية إجرائها الأول لالتماس اللجوء</w:t>
      </w:r>
      <w:r w:rsidRPr="00FA0FC2">
        <w:rPr>
          <w:spacing w:val="-2"/>
          <w:vertAlign w:val="superscript"/>
          <w:rtl/>
          <w:lang w:val="fr-CH"/>
        </w:rPr>
        <w:t>(</w:t>
      </w:r>
      <w:r w:rsidRPr="00FA0FC2">
        <w:rPr>
          <w:rStyle w:val="FootnoteReference"/>
          <w:spacing w:val="-2"/>
          <w:rtl/>
          <w:lang w:val="fr-CH"/>
        </w:rPr>
        <w:footnoteReference w:id="194"/>
      </w:r>
      <w:r w:rsidRPr="00FA0FC2">
        <w:rPr>
          <w:spacing w:val="-2"/>
          <w:vertAlign w:val="superscript"/>
          <w:rtl/>
          <w:lang w:val="fr-CH"/>
        </w:rPr>
        <w:t>)</w:t>
      </w:r>
      <w:r w:rsidRPr="00FA0FC2">
        <w:rPr>
          <w:rFonts w:hint="cs"/>
          <w:rtl/>
        </w:rPr>
        <w:t>.</w:t>
      </w:r>
    </w:p>
    <w:p w:rsidR="00091373" w:rsidRPr="00FA0FC2" w:rsidRDefault="00091373" w:rsidP="00091373">
      <w:pPr>
        <w:pStyle w:val="SingleTxtGA"/>
        <w:spacing w:line="360" w:lineRule="exact"/>
        <w:rPr>
          <w:rFonts w:hint="cs"/>
          <w:rtl/>
        </w:rPr>
      </w:pPr>
      <w:r w:rsidRPr="00FA0FC2">
        <w:rPr>
          <w:rFonts w:hint="cs"/>
          <w:rtl/>
        </w:rPr>
        <w:t>4-8</w:t>
      </w:r>
      <w:r w:rsidRPr="00FA0FC2">
        <w:rPr>
          <w:rFonts w:hint="cs"/>
          <w:rtl/>
        </w:rPr>
        <w:tab/>
        <w:t>وتشير الدولة الطرف إلى عدم تغيير التقييم الذي أجرته السلطات السويسرية المعنية باللجوء خلال إجراء صاحبة الشكوى الأول لالتماس اللجوء نتيجة للوثيقة التي قدمتها صاحبة الشكوى إلى اللجنة في 8 أيلول/سبتمبر 2010 لإثبات احتجازها</w:t>
      </w:r>
      <w:r w:rsidRPr="00FA0FC2">
        <w:rPr>
          <w:vertAlign w:val="superscript"/>
          <w:rtl/>
          <w:lang w:val="fr-CH"/>
        </w:rPr>
        <w:t>(</w:t>
      </w:r>
      <w:r w:rsidRPr="00FA0FC2">
        <w:rPr>
          <w:rStyle w:val="FootnoteReference"/>
          <w:rtl/>
          <w:lang w:val="fr-CH"/>
        </w:rPr>
        <w:footnoteReference w:id="195"/>
      </w:r>
      <w:r w:rsidRPr="00FA0FC2">
        <w:rPr>
          <w:vertAlign w:val="superscript"/>
          <w:rtl/>
          <w:lang w:val="fr-CH"/>
        </w:rPr>
        <w:t>)</w:t>
      </w:r>
      <w:r w:rsidRPr="00FA0FC2">
        <w:rPr>
          <w:rFonts w:hint="cs"/>
          <w:rtl/>
        </w:rPr>
        <w:t xml:space="preserve"> وسبق أن نظرت فيها المحكمة الإدارية الاتحادية</w:t>
      </w:r>
      <w:r w:rsidRPr="00FA0FC2">
        <w:rPr>
          <w:vertAlign w:val="superscript"/>
          <w:rtl/>
          <w:lang w:val="fr-CH"/>
        </w:rPr>
        <w:t>(</w:t>
      </w:r>
      <w:r w:rsidRPr="00FA0FC2">
        <w:rPr>
          <w:rStyle w:val="FootnoteReference"/>
          <w:rtl/>
          <w:lang w:val="fr-CH"/>
        </w:rPr>
        <w:footnoteReference w:id="196"/>
      </w:r>
      <w:r w:rsidRPr="00FA0FC2">
        <w:rPr>
          <w:vertAlign w:val="superscript"/>
          <w:rtl/>
          <w:lang w:val="fr-CH"/>
        </w:rPr>
        <w:t>)</w:t>
      </w:r>
      <w:r w:rsidRPr="00FA0FC2">
        <w:rPr>
          <w:rFonts w:hint="cs"/>
          <w:rtl/>
        </w:rPr>
        <w:t xml:space="preserve">. وتفيد هذه الوثيقة بأن محكمة اتحادية </w:t>
      </w:r>
      <w:r w:rsidRPr="00FA0FC2">
        <w:rPr>
          <w:rFonts w:hint="cs"/>
          <w:i/>
          <w:iCs/>
          <w:rtl/>
        </w:rPr>
        <w:t>أدانت</w:t>
      </w:r>
      <w:r w:rsidRPr="00FA0FC2">
        <w:rPr>
          <w:vertAlign w:val="superscript"/>
          <w:rtl/>
          <w:lang w:val="fr-CH"/>
        </w:rPr>
        <w:t>(</w:t>
      </w:r>
      <w:r w:rsidRPr="00FA0FC2">
        <w:rPr>
          <w:rStyle w:val="FootnoteReference"/>
          <w:rtl/>
          <w:lang w:val="fr-CH"/>
        </w:rPr>
        <w:footnoteReference w:id="197"/>
      </w:r>
      <w:r w:rsidRPr="00FA0FC2">
        <w:rPr>
          <w:vertAlign w:val="superscript"/>
          <w:rtl/>
          <w:lang w:val="fr-CH"/>
        </w:rPr>
        <w:t>)</w:t>
      </w:r>
      <w:r w:rsidRPr="00FA0FC2">
        <w:rPr>
          <w:rFonts w:hint="cs"/>
          <w:rtl/>
        </w:rPr>
        <w:t xml:space="preserve"> صاحبة الشكوى في حين أن صاحبة الشكوى</w:t>
      </w:r>
      <w:r>
        <w:rPr>
          <w:rFonts w:hint="cs"/>
          <w:rtl/>
        </w:rPr>
        <w:t xml:space="preserve"> لم</w:t>
      </w:r>
      <w:r>
        <w:rPr>
          <w:rtl/>
        </w:rPr>
        <w:t> </w:t>
      </w:r>
      <w:r w:rsidRPr="00FA0FC2">
        <w:rPr>
          <w:rFonts w:hint="cs"/>
          <w:rtl/>
        </w:rPr>
        <w:t>تشر إلى وجود مثل ذلك الحكم بالإدانة لدى مثولها أمام السلطات السويسرية المعنية باللجوء</w:t>
      </w:r>
      <w:r>
        <w:rPr>
          <w:rFonts w:hint="cs"/>
          <w:rtl/>
        </w:rPr>
        <w:t xml:space="preserve"> أو</w:t>
      </w:r>
      <w:r>
        <w:rPr>
          <w:rtl/>
        </w:rPr>
        <w:t> </w:t>
      </w:r>
      <w:r w:rsidRPr="00FA0FC2">
        <w:rPr>
          <w:rFonts w:hint="cs"/>
          <w:rtl/>
        </w:rPr>
        <w:t>ضمن شكواها المرفوعة إلى اللجنة. وتلاحظ الدولة الطرف أيضاً التناقض الوارد في الوثيقة المذكورة لأن الفقرة الأولى تشير إلى اتهام صاحبة الشكوى بينما تفيد الفقرة الثانية بالحكم عليها بالسجن لمدة شهر.</w:t>
      </w:r>
      <w:r>
        <w:rPr>
          <w:rFonts w:hint="cs"/>
          <w:rtl/>
        </w:rPr>
        <w:t xml:space="preserve"> وفي</w:t>
      </w:r>
      <w:r>
        <w:rPr>
          <w:rtl/>
        </w:rPr>
        <w:t> </w:t>
      </w:r>
      <w:r w:rsidRPr="00FA0FC2">
        <w:rPr>
          <w:rFonts w:hint="cs"/>
          <w:rtl/>
        </w:rPr>
        <w:t>ضوء جميع هذه العناصر، تشك الدولة الطرف كل التشكيك في صحة الوثيقة المذكورة. وتخلص بتأييد استنتاجات المحكمة الإدارية الاتحادية</w:t>
      </w:r>
      <w:r w:rsidRPr="00FA0FC2">
        <w:rPr>
          <w:vertAlign w:val="superscript"/>
          <w:rtl/>
          <w:lang w:val="fr-CH"/>
        </w:rPr>
        <w:t>(</w:t>
      </w:r>
      <w:r w:rsidRPr="00FA0FC2">
        <w:rPr>
          <w:rStyle w:val="FootnoteReference"/>
          <w:rtl/>
          <w:lang w:val="fr-CH"/>
        </w:rPr>
        <w:footnoteReference w:id="198"/>
      </w:r>
      <w:r w:rsidRPr="00FA0FC2">
        <w:rPr>
          <w:vertAlign w:val="superscript"/>
          <w:rtl/>
          <w:lang w:val="fr-CH"/>
        </w:rPr>
        <w:t>)</w:t>
      </w:r>
      <w:r w:rsidRPr="00FA0FC2">
        <w:rPr>
          <w:rFonts w:hint="cs"/>
          <w:rtl/>
        </w:rPr>
        <w:t xml:space="preserve"> إلى عدم توفر أي مواصفات سياسية لدى صاحبة الشكوى قبل مغادرتها إثيوبيا.</w:t>
      </w:r>
    </w:p>
    <w:p w:rsidR="00091373" w:rsidRPr="00FA0FC2" w:rsidRDefault="00091373" w:rsidP="00091373">
      <w:pPr>
        <w:pStyle w:val="SingleTxtGA"/>
        <w:spacing w:line="360" w:lineRule="exact"/>
        <w:rPr>
          <w:rFonts w:hint="cs"/>
          <w:rtl/>
          <w:lang w:val="fr-CH"/>
        </w:rPr>
      </w:pPr>
      <w:r w:rsidRPr="00FA0FC2">
        <w:rPr>
          <w:rFonts w:hint="cs"/>
          <w:rtl/>
        </w:rPr>
        <w:t>4-9</w:t>
      </w:r>
      <w:r w:rsidRPr="00FA0FC2">
        <w:rPr>
          <w:rFonts w:hint="cs"/>
          <w:rtl/>
        </w:rPr>
        <w:tab/>
        <w:t xml:space="preserve">وفيما يخص أنشطة صاحبة الشكوى السياسية في سويسرا، تلاحظ الدولة الطرف أن صاحبة الشكوى تدعي أنها شاركت في مظاهرات عديدة مناهضة للسلطات الإثيوبية وكتبت مقالات وساهمت في المنتدى الإلكتروني على الموقع </w:t>
      </w:r>
      <w:hyperlink r:id="rId36" w:history="1">
        <w:r w:rsidRPr="00FA0FC2">
          <w:t>cyberethiopia.com</w:t>
        </w:r>
      </w:hyperlink>
      <w:r w:rsidRPr="00FA0FC2">
        <w:rPr>
          <w:rFonts w:hint="cs"/>
          <w:rtl/>
        </w:rPr>
        <w:t xml:space="preserve"> وشغلت مناصب ضمن حركتين سياسيتين في المهجر. وتحيط علماً بأن </w:t>
      </w:r>
      <w:r w:rsidRPr="00FA0FC2">
        <w:rPr>
          <w:rFonts w:hint="cs"/>
          <w:rtl/>
          <w:lang w:val="fr-CH"/>
        </w:rPr>
        <w:t>مكتب الهجرة الاتحادي</w:t>
      </w:r>
      <w:r w:rsidRPr="00FA0FC2">
        <w:rPr>
          <w:rFonts w:hint="cs"/>
          <w:rtl/>
        </w:rPr>
        <w:t xml:space="preserve"> والمحكمة الإدارية الاتحادية أجريا تقييماً معمقاً لمدى وجود خطر تعرض صاحبة الشكوى للتعذيب</w:t>
      </w:r>
      <w:r>
        <w:rPr>
          <w:rFonts w:hint="cs"/>
          <w:rtl/>
        </w:rPr>
        <w:t xml:space="preserve"> أو</w:t>
      </w:r>
      <w:r>
        <w:rPr>
          <w:rtl/>
        </w:rPr>
        <w:t> </w:t>
      </w:r>
      <w:r w:rsidRPr="00FA0FC2">
        <w:rPr>
          <w:rFonts w:hint="cs"/>
          <w:rtl/>
        </w:rPr>
        <w:t>المعاملة اللاإنسانية</w:t>
      </w:r>
      <w:r>
        <w:rPr>
          <w:rFonts w:hint="cs"/>
          <w:rtl/>
        </w:rPr>
        <w:t xml:space="preserve"> أو</w:t>
      </w:r>
      <w:r>
        <w:rPr>
          <w:rtl/>
        </w:rPr>
        <w:t> </w:t>
      </w:r>
      <w:r w:rsidRPr="00FA0FC2">
        <w:rPr>
          <w:rFonts w:hint="cs"/>
          <w:rtl/>
        </w:rPr>
        <w:t xml:space="preserve">المهينة بسبب أنشطتها المزعومة في حال إعادتها إلى إثيوبيا. وبالنسبة إلى ادعاء صاحبة الشكوى أنها </w:t>
      </w:r>
      <w:r w:rsidRPr="00FA0FC2">
        <w:rPr>
          <w:rFonts w:hint="cs"/>
          <w:spacing w:val="-2"/>
          <w:rtl/>
        </w:rPr>
        <w:t xml:space="preserve">عضو في </w:t>
      </w:r>
      <w:r w:rsidRPr="00FA0FC2">
        <w:rPr>
          <w:rFonts w:hint="cs"/>
          <w:sz w:val="30"/>
          <w:rtl/>
        </w:rPr>
        <w:t>جمعية الإثيوبيين في سويسرا، تحتج الدولة الطرف استناداً إلى السجل التجاري بأن جمعية الإثيوبيين في سويسرا</w:t>
      </w:r>
      <w:r w:rsidRPr="00FA0FC2">
        <w:rPr>
          <w:rFonts w:hint="cs"/>
          <w:rtl/>
        </w:rPr>
        <w:t xml:space="preserve"> هي منظمة محايدة من الناحية السياسية </w:t>
      </w:r>
      <w:r w:rsidRPr="00FA0FC2">
        <w:rPr>
          <w:rFonts w:hint="cs"/>
          <w:rtl/>
          <w:lang w:val="fr-CH"/>
        </w:rPr>
        <w:t>تعنى بالأنشطة الثقافية حصراً. وعليه، ليست صاحبة الشكوى معرضة للاضطهاد بسبب عضويتها في تلك المنظمة.</w:t>
      </w:r>
    </w:p>
    <w:p w:rsidR="00091373" w:rsidRPr="00FA0FC2" w:rsidRDefault="00091373" w:rsidP="00091373">
      <w:pPr>
        <w:pStyle w:val="SingleTxtGA"/>
        <w:spacing w:line="360" w:lineRule="exact"/>
        <w:rPr>
          <w:rFonts w:hint="cs"/>
          <w:rtl/>
        </w:rPr>
      </w:pPr>
      <w:r w:rsidRPr="00FA0FC2">
        <w:rPr>
          <w:rFonts w:hint="cs"/>
          <w:rtl/>
          <w:lang w:val="fr-CH"/>
        </w:rPr>
        <w:t>4-10</w:t>
      </w:r>
      <w:r w:rsidRPr="00FA0FC2">
        <w:rPr>
          <w:rFonts w:hint="cs"/>
          <w:rtl/>
          <w:lang w:val="fr-CH"/>
        </w:rPr>
        <w:tab/>
      </w:r>
      <w:r w:rsidRPr="00FA0FC2">
        <w:rPr>
          <w:rFonts w:hint="cs"/>
          <w:rtl/>
        </w:rPr>
        <w:t xml:space="preserve">وفيما يتصل بادعاء صاحبة الشكوى أنها ممثلة </w:t>
      </w:r>
      <w:r w:rsidRPr="00FA0FC2">
        <w:rPr>
          <w:rFonts w:hint="cs"/>
          <w:spacing w:val="-2"/>
          <w:rtl/>
        </w:rPr>
        <w:t>مقاطعة لوزرن في المنظمة الداعمة لحزب التحالف في سويسرا</w:t>
      </w:r>
      <w:r w:rsidRPr="00FA0FC2">
        <w:rPr>
          <w:rFonts w:hint="cs"/>
          <w:rtl/>
        </w:rPr>
        <w:t xml:space="preserve">، تحيط الدولة الطرف علماً بأن موضوع المقابلة الخاصة بطلب اللجوء التي أجراها </w:t>
      </w:r>
      <w:r w:rsidRPr="00FA0FC2">
        <w:rPr>
          <w:rFonts w:hint="cs"/>
          <w:rtl/>
          <w:lang w:val="fr-CH"/>
        </w:rPr>
        <w:t>مكتب الهجرة الاتحادي</w:t>
      </w:r>
      <w:r w:rsidRPr="00FA0FC2">
        <w:rPr>
          <w:rFonts w:hint="cs"/>
          <w:rtl/>
        </w:rPr>
        <w:t xml:space="preserve"> مع صاحبة الشكوى في 30 تشرين الأول/أكتوبر</w:t>
      </w:r>
      <w:r w:rsidRPr="00FA0FC2">
        <w:rPr>
          <w:rFonts w:hint="eastAsia"/>
          <w:rtl/>
        </w:rPr>
        <w:t> </w:t>
      </w:r>
      <w:r w:rsidRPr="00FA0FC2">
        <w:rPr>
          <w:rFonts w:hint="cs"/>
          <w:rtl/>
        </w:rPr>
        <w:t>2009 قد كان دورها في هذه المنظمة. وبعد أن عجزت صاحبة الشكوى عن وصف دورها الملموس كممثلة للمقاطعة في المنظمة، سلمت في النهاية بعدم وجود هيكل تنظيمي هرمي في مقاطعة لوزرن. وتفيد الدولة الطرف إضافة إلى ذلك بأنه يتضح أيضاً من محضر المقابلة أن دور صاحبة الشكوى في سياق نشاطين شاركت فيهما خلال</w:t>
      </w:r>
      <w:r>
        <w:rPr>
          <w:rFonts w:hint="cs"/>
          <w:rtl/>
        </w:rPr>
        <w:t xml:space="preserve"> عام</w:t>
      </w:r>
      <w:r>
        <w:rPr>
          <w:rtl/>
        </w:rPr>
        <w:t> </w:t>
      </w:r>
      <w:r w:rsidRPr="00FA0FC2">
        <w:rPr>
          <w:rFonts w:hint="cs"/>
          <w:rtl/>
        </w:rPr>
        <w:t>2009</w:t>
      </w:r>
      <w:r>
        <w:rPr>
          <w:rFonts w:hint="cs"/>
          <w:rtl/>
        </w:rPr>
        <w:t xml:space="preserve"> لا</w:t>
      </w:r>
      <w:r>
        <w:rPr>
          <w:rtl/>
        </w:rPr>
        <w:t> </w:t>
      </w:r>
      <w:r w:rsidRPr="00FA0FC2">
        <w:rPr>
          <w:rFonts w:hint="cs"/>
          <w:rtl/>
        </w:rPr>
        <w:t>يتميز عن دور العديد من المشاركين الآخرين. وقد شاركت صاحبة الشكوى أيضاً في أنشطة لجمع التبرعات</w:t>
      </w:r>
      <w:r>
        <w:rPr>
          <w:rFonts w:hint="cs"/>
          <w:rtl/>
        </w:rPr>
        <w:t xml:space="preserve"> وفي</w:t>
      </w:r>
      <w:r>
        <w:rPr>
          <w:rtl/>
        </w:rPr>
        <w:t> </w:t>
      </w:r>
      <w:r w:rsidRPr="00FA0FC2">
        <w:rPr>
          <w:rFonts w:hint="cs"/>
          <w:rtl/>
        </w:rPr>
        <w:t>اجتماع نظمه فرع زيورخ لحزب التحالف</w:t>
      </w:r>
      <w:r>
        <w:rPr>
          <w:rFonts w:hint="cs"/>
          <w:rtl/>
        </w:rPr>
        <w:t>.</w:t>
      </w:r>
    </w:p>
    <w:p w:rsidR="00091373" w:rsidRPr="00FA0FC2" w:rsidRDefault="00091373" w:rsidP="00091373">
      <w:pPr>
        <w:pStyle w:val="SingleTxtGA"/>
        <w:spacing w:line="360" w:lineRule="exact"/>
        <w:rPr>
          <w:rFonts w:hint="cs"/>
          <w:rtl/>
        </w:rPr>
      </w:pPr>
      <w:r w:rsidRPr="00FA0FC2">
        <w:rPr>
          <w:rFonts w:hint="cs"/>
          <w:rtl/>
        </w:rPr>
        <w:t>4-11</w:t>
      </w:r>
      <w:r w:rsidRPr="00FA0FC2">
        <w:rPr>
          <w:rFonts w:hint="cs"/>
          <w:rtl/>
        </w:rPr>
        <w:tab/>
        <w:t xml:space="preserve">وبخصوص المقالات التي تزعم صاحبة الشكوى أنها نشرتها على الإنترنت، تذكر الدولة الطرف أن هذه المقالات كانت أيضاً موضع تقييم معمق من جانب </w:t>
      </w:r>
      <w:r w:rsidRPr="00FA0FC2">
        <w:rPr>
          <w:rFonts w:hint="cs"/>
          <w:rtl/>
          <w:lang w:val="fr-CH"/>
        </w:rPr>
        <w:t>مكتب الهجرة الاتحادي</w:t>
      </w:r>
      <w:r w:rsidRPr="00FA0FC2">
        <w:rPr>
          <w:rFonts w:hint="cs"/>
          <w:rtl/>
        </w:rPr>
        <w:t xml:space="preserve"> والمحكمة الإدارية الاتحادية. وقد أخذ </w:t>
      </w:r>
      <w:r w:rsidRPr="00FA0FC2">
        <w:rPr>
          <w:rFonts w:hint="cs"/>
          <w:rtl/>
          <w:lang w:val="fr-CH"/>
        </w:rPr>
        <w:t xml:space="preserve">مكتب الهجرة الاتحادي في الحسبان التفسيرات التي قدمتها صاحبة </w:t>
      </w:r>
      <w:r w:rsidRPr="00FA0FC2">
        <w:rPr>
          <w:rFonts w:hint="cs"/>
          <w:rtl/>
        </w:rPr>
        <w:t>الشكوى أثناء المقابلة الخاصة بطلب اللجوء ورأى أن المقالات التي كتبتها صاحبة الشكوى ليس من شأنها أن تحظى بأي اهتمام خاص من جانب السلطات الإثيوبية نظراً إلى عدد المقالات المماثلة لها الصادرة. ومسألة اقتصار المعلومات التي استطاعت صاحبة الشكوى توفيرها خلال الإجراء الأول لالتماس اللجوء عن أنشطتها السياسية في إثيوبيا على معلومات سطحية وغير واضحة تعد أيضاً عنصراً آخر يدعو من جديد إلى الشك في تأليفها لتلك المقالات، إضافة إلى الأسباب التي قدمتها المحكمة الإدارية الاتحادية</w:t>
      </w:r>
      <w:r w:rsidRPr="00FA0FC2">
        <w:rPr>
          <w:vertAlign w:val="superscript"/>
          <w:rtl/>
          <w:lang w:val="fr-CH"/>
        </w:rPr>
        <w:t>(</w:t>
      </w:r>
      <w:r w:rsidRPr="00FA0FC2">
        <w:rPr>
          <w:rStyle w:val="FootnoteReference"/>
          <w:rtl/>
          <w:lang w:val="fr-CH"/>
        </w:rPr>
        <w:footnoteReference w:id="199"/>
      </w:r>
      <w:r w:rsidRPr="00FA0FC2">
        <w:rPr>
          <w:vertAlign w:val="superscript"/>
          <w:rtl/>
          <w:lang w:val="fr-CH"/>
        </w:rPr>
        <w:t>)</w:t>
      </w:r>
      <w:r w:rsidRPr="00FA0FC2">
        <w:rPr>
          <w:rFonts w:hint="cs"/>
          <w:rtl/>
        </w:rPr>
        <w:t>.</w:t>
      </w:r>
    </w:p>
    <w:p w:rsidR="00091373" w:rsidRPr="00FA0FC2" w:rsidRDefault="00091373" w:rsidP="00091373">
      <w:pPr>
        <w:pStyle w:val="SingleTxtGA"/>
        <w:rPr>
          <w:rFonts w:hint="cs"/>
          <w:rtl/>
        </w:rPr>
      </w:pPr>
      <w:r w:rsidRPr="00FA0FC2">
        <w:rPr>
          <w:rFonts w:hint="cs"/>
          <w:rtl/>
        </w:rPr>
        <w:t>4-12</w:t>
      </w:r>
      <w:r w:rsidRPr="00FA0FC2">
        <w:rPr>
          <w:rFonts w:hint="cs"/>
          <w:rtl/>
        </w:rPr>
        <w:tab/>
        <w:t>وتستنتج الدولة الطرف أنه من المستبعد أن تكون السلطات الإثيوبية دارية بأنشطة صاحبة الشكوى الأخيرة. فالسلطات الإثيوبية تركز كل اهتمامها على الأفراد الذين تتجاوز أنشطتهم نطاق "السلوك العادي"</w:t>
      </w:r>
      <w:r>
        <w:rPr>
          <w:rFonts w:hint="cs"/>
          <w:rtl/>
        </w:rPr>
        <w:t xml:space="preserve"> أو</w:t>
      </w:r>
      <w:r>
        <w:rPr>
          <w:rtl/>
        </w:rPr>
        <w:t> </w:t>
      </w:r>
      <w:r w:rsidRPr="00FA0FC2">
        <w:rPr>
          <w:rFonts w:hint="cs"/>
          <w:rtl/>
        </w:rPr>
        <w:t>الذين يضطلعون بدور</w:t>
      </w:r>
      <w:r>
        <w:rPr>
          <w:rFonts w:hint="cs"/>
          <w:rtl/>
        </w:rPr>
        <w:t xml:space="preserve"> أو</w:t>
      </w:r>
      <w:r>
        <w:rPr>
          <w:rtl/>
        </w:rPr>
        <w:t> </w:t>
      </w:r>
      <w:r w:rsidRPr="00FA0FC2">
        <w:rPr>
          <w:rFonts w:hint="cs"/>
          <w:rtl/>
        </w:rPr>
        <w:t xml:space="preserve">نشاط معين يمكن أن يهدد نظام الحكم الإثيوبي، </w:t>
      </w:r>
      <w:r>
        <w:rPr>
          <w:rFonts w:hint="cs"/>
          <w:rtl/>
        </w:rPr>
        <w:t xml:space="preserve">بيد </w:t>
      </w:r>
      <w:r w:rsidRPr="00FA0FC2">
        <w:rPr>
          <w:rFonts w:hint="cs"/>
          <w:rtl/>
        </w:rPr>
        <w:t>أن صاحبة الشكوى</w:t>
      </w:r>
      <w:r>
        <w:rPr>
          <w:rFonts w:hint="cs"/>
          <w:rtl/>
        </w:rPr>
        <w:t xml:space="preserve"> لم</w:t>
      </w:r>
      <w:r>
        <w:rPr>
          <w:rtl/>
        </w:rPr>
        <w:t> </w:t>
      </w:r>
      <w:r w:rsidRPr="00FA0FC2">
        <w:rPr>
          <w:rFonts w:hint="cs"/>
          <w:rtl/>
        </w:rPr>
        <w:t>تتوفر فيها مواصفات من ذلك القبيل سواء أكانت سياسية</w:t>
      </w:r>
      <w:r>
        <w:rPr>
          <w:rFonts w:hint="cs"/>
          <w:rtl/>
        </w:rPr>
        <w:t xml:space="preserve"> أم</w:t>
      </w:r>
      <w:r>
        <w:rPr>
          <w:rtl/>
        </w:rPr>
        <w:t> </w:t>
      </w:r>
      <w:r w:rsidRPr="00FA0FC2">
        <w:rPr>
          <w:rFonts w:hint="cs"/>
          <w:rtl/>
        </w:rPr>
        <w:t xml:space="preserve">غير سياسية لدى وصولها إلى سويسرا. وترى الدولة الطرف أنه من الصائب استبعاد </w:t>
      </w:r>
      <w:r>
        <w:rPr>
          <w:rFonts w:hint="cs"/>
          <w:rtl/>
        </w:rPr>
        <w:t xml:space="preserve">أن تكون اكتسبت تلك </w:t>
      </w:r>
      <w:r w:rsidRPr="00FA0FC2">
        <w:rPr>
          <w:rFonts w:hint="cs"/>
          <w:rtl/>
        </w:rPr>
        <w:t>المواصفات في وقت لاحق. وتؤكد الدولة الطرف أن الوثائق الصادرة عن صاحبة الشكوى</w:t>
      </w:r>
      <w:r>
        <w:rPr>
          <w:rFonts w:hint="cs"/>
          <w:rtl/>
        </w:rPr>
        <w:t xml:space="preserve"> لا</w:t>
      </w:r>
      <w:r>
        <w:rPr>
          <w:rtl/>
        </w:rPr>
        <w:t> </w:t>
      </w:r>
      <w:r w:rsidRPr="00FA0FC2">
        <w:rPr>
          <w:rFonts w:hint="cs"/>
          <w:rtl/>
        </w:rPr>
        <w:t>تبين أي نشاط في سويسرا يمكن أن يحظى باهتمام السلطات الإثيوبية.</w:t>
      </w:r>
      <w:r>
        <w:rPr>
          <w:rFonts w:hint="cs"/>
          <w:rtl/>
        </w:rPr>
        <w:t xml:space="preserve"> ولا</w:t>
      </w:r>
      <w:r>
        <w:rPr>
          <w:rtl/>
        </w:rPr>
        <w:t> </w:t>
      </w:r>
      <w:r w:rsidRPr="00FA0FC2">
        <w:rPr>
          <w:rFonts w:hint="cs"/>
          <w:rtl/>
        </w:rPr>
        <w:t>يعد التعرف على صاحبة الشكوى في الصور وتسجيلات الفيديو أمراً كافياً لإثبات وجود خطر اضطهاد في حال إعادتها إلى البلد.</w:t>
      </w:r>
    </w:p>
    <w:p w:rsidR="00091373" w:rsidRPr="00FA0FC2" w:rsidRDefault="00091373" w:rsidP="00091373">
      <w:pPr>
        <w:pStyle w:val="SingleTxtGA"/>
        <w:rPr>
          <w:rFonts w:hint="cs"/>
          <w:rtl/>
        </w:rPr>
      </w:pPr>
      <w:r w:rsidRPr="00FA0FC2">
        <w:rPr>
          <w:rFonts w:hint="cs"/>
          <w:rtl/>
        </w:rPr>
        <w:t>4-13</w:t>
      </w:r>
      <w:r w:rsidRPr="00FA0FC2">
        <w:rPr>
          <w:rFonts w:hint="cs"/>
          <w:rtl/>
        </w:rPr>
        <w:tab/>
        <w:t>وفي هذا الصدد، تؤكد الدولة الطرف أن مظاهرات سياسية عديدة يشارك فيها أبناء بلد صاحبة الشكوى تنظم في سويسرا</w:t>
      </w:r>
      <w:r>
        <w:rPr>
          <w:rFonts w:hint="cs"/>
          <w:rtl/>
        </w:rPr>
        <w:t xml:space="preserve"> وفي</w:t>
      </w:r>
      <w:r>
        <w:rPr>
          <w:rtl/>
        </w:rPr>
        <w:t> </w:t>
      </w:r>
      <w:r w:rsidRPr="00FA0FC2">
        <w:rPr>
          <w:rFonts w:hint="cs"/>
          <w:rtl/>
        </w:rPr>
        <w:t>بلدان أخرى، وأن الصور</w:t>
      </w:r>
      <w:r>
        <w:rPr>
          <w:rFonts w:hint="cs"/>
          <w:rtl/>
        </w:rPr>
        <w:t xml:space="preserve"> أو</w:t>
      </w:r>
      <w:r>
        <w:rPr>
          <w:rtl/>
        </w:rPr>
        <w:t> </w:t>
      </w:r>
      <w:r w:rsidRPr="00FA0FC2">
        <w:rPr>
          <w:rFonts w:hint="cs"/>
          <w:rtl/>
        </w:rPr>
        <w:t>تسجيلات الفيديو التي تظهر أحياناً مئات الأشخاص تتاح للجمهور من جانب وسائل الإعلام ذات الصلة، وأنه من المستبعد أن تتمكن السلطات الإثيوبية من التعرف على كل شخص</w:t>
      </w:r>
      <w:r>
        <w:rPr>
          <w:rFonts w:hint="cs"/>
          <w:rtl/>
        </w:rPr>
        <w:t xml:space="preserve"> أو</w:t>
      </w:r>
      <w:r>
        <w:rPr>
          <w:rtl/>
        </w:rPr>
        <w:t> </w:t>
      </w:r>
      <w:r w:rsidRPr="00FA0FC2">
        <w:rPr>
          <w:rFonts w:hint="cs"/>
          <w:rtl/>
        </w:rPr>
        <w:t>حتى أن تكون على علم بانتساب صاحبة الشكوى إلى المنظمات المذكورة أعلاه.</w:t>
      </w:r>
    </w:p>
    <w:p w:rsidR="00091373" w:rsidRPr="00FA0FC2" w:rsidRDefault="00091373" w:rsidP="00091373">
      <w:pPr>
        <w:pStyle w:val="SingleTxtGA"/>
        <w:rPr>
          <w:rFonts w:hint="cs"/>
          <w:rtl/>
          <w:lang w:val="fr-CH"/>
        </w:rPr>
      </w:pPr>
      <w:r w:rsidRPr="00FA0FC2">
        <w:rPr>
          <w:rFonts w:hint="cs"/>
          <w:rtl/>
        </w:rPr>
        <w:t>4-14</w:t>
      </w:r>
      <w:r w:rsidRPr="00FA0FC2">
        <w:rPr>
          <w:rFonts w:hint="cs"/>
          <w:rtl/>
        </w:rPr>
        <w:tab/>
        <w:t xml:space="preserve">وتشير الدولة الطرف إلى عدم وجود </w:t>
      </w:r>
      <w:r w:rsidRPr="00FA0FC2">
        <w:rPr>
          <w:rFonts w:hint="cs"/>
          <w:rtl/>
          <w:lang w:val="fr-CH"/>
        </w:rPr>
        <w:t>دليل يثبت أن السلطات الإثيوبية باشرت إجراءات جنائية بحق صاحبة الشكوى</w:t>
      </w:r>
      <w:r>
        <w:rPr>
          <w:rFonts w:hint="cs"/>
          <w:rtl/>
          <w:lang w:val="fr-CH"/>
        </w:rPr>
        <w:t xml:space="preserve"> أو</w:t>
      </w:r>
      <w:r>
        <w:rPr>
          <w:rtl/>
          <w:lang w:val="fr-CH"/>
        </w:rPr>
        <w:t> </w:t>
      </w:r>
      <w:r w:rsidRPr="00FA0FC2">
        <w:rPr>
          <w:rFonts w:hint="cs"/>
          <w:rtl/>
          <w:lang w:val="fr-CH"/>
        </w:rPr>
        <w:t>اتخذت تدابير أخرى ضدها. وبناء على ذلك،</w:t>
      </w:r>
      <w:r>
        <w:rPr>
          <w:rFonts w:hint="cs"/>
          <w:rtl/>
          <w:lang w:val="fr-CH"/>
        </w:rPr>
        <w:t xml:space="preserve"> لم</w:t>
      </w:r>
      <w:r>
        <w:rPr>
          <w:rtl/>
          <w:lang w:val="fr-CH"/>
        </w:rPr>
        <w:t> </w:t>
      </w:r>
      <w:r w:rsidRPr="00FA0FC2">
        <w:rPr>
          <w:rFonts w:hint="cs"/>
          <w:rtl/>
          <w:lang w:val="fr-CH"/>
        </w:rPr>
        <w:t>يعتبر كل من مكتب الهجرة الاتحادي والمحكمة الإدارية الاتحادية ادعاء صاحبة الشكوى أنّ اضطلاعها بدور في وسط الجالية الإثيوبية في سويسرا يمكن أن يثير انتباه السلطات الإثيوبية ادعاء مقنعاً</w:t>
      </w:r>
      <w:r w:rsidRPr="00FA0FC2">
        <w:rPr>
          <w:vertAlign w:val="superscript"/>
          <w:rtl/>
          <w:lang w:val="fr-CH"/>
        </w:rPr>
        <w:t>(</w:t>
      </w:r>
      <w:r w:rsidRPr="00FA0FC2">
        <w:rPr>
          <w:rStyle w:val="FootnoteReference"/>
          <w:rtl/>
          <w:lang w:val="fr-CH"/>
        </w:rPr>
        <w:footnoteReference w:id="200"/>
      </w:r>
      <w:r w:rsidRPr="00FA0FC2">
        <w:rPr>
          <w:vertAlign w:val="superscript"/>
          <w:rtl/>
          <w:lang w:val="fr-CH"/>
        </w:rPr>
        <w:t>)</w:t>
      </w:r>
      <w:r w:rsidRPr="00FA0FC2">
        <w:rPr>
          <w:rFonts w:hint="cs"/>
          <w:rtl/>
          <w:lang w:val="fr-CH"/>
        </w:rPr>
        <w:t>. وبعبارة أخرى،</w:t>
      </w:r>
      <w:r>
        <w:rPr>
          <w:rFonts w:hint="cs"/>
          <w:rtl/>
          <w:lang w:val="fr-CH"/>
        </w:rPr>
        <w:t xml:space="preserve"> لم</w:t>
      </w:r>
      <w:r>
        <w:rPr>
          <w:rtl/>
          <w:lang w:val="fr-CH"/>
        </w:rPr>
        <w:t> </w:t>
      </w:r>
      <w:r w:rsidRPr="00FA0FC2">
        <w:rPr>
          <w:rFonts w:hint="cs"/>
          <w:rtl/>
          <w:lang w:val="fr-CH"/>
        </w:rPr>
        <w:t>تثبت صاحبة الشكوى أنها ستتعرض لخطر إساءة المعاملة بسبب أنشطتها السياسية في سويسرا في حال إعادتها إلى إثيوبيا.</w:t>
      </w:r>
    </w:p>
    <w:p w:rsidR="00091373" w:rsidRPr="00FA0FC2" w:rsidRDefault="00091373" w:rsidP="00091373">
      <w:pPr>
        <w:pStyle w:val="SingleTxtGA"/>
        <w:rPr>
          <w:rFonts w:hint="cs"/>
          <w:rtl/>
          <w:lang/>
        </w:rPr>
      </w:pPr>
      <w:r w:rsidRPr="00FA0FC2">
        <w:rPr>
          <w:rFonts w:hint="cs"/>
          <w:rtl/>
          <w:lang w:val="fr-CH"/>
        </w:rPr>
        <w:t>4-15</w:t>
      </w:r>
      <w:r w:rsidRPr="00FA0FC2">
        <w:rPr>
          <w:rFonts w:hint="cs"/>
          <w:rtl/>
          <w:lang w:val="fr-CH"/>
        </w:rPr>
        <w:tab/>
      </w:r>
      <w:r w:rsidRPr="00FA0FC2">
        <w:rPr>
          <w:rFonts w:hint="cs"/>
          <w:rtl/>
        </w:rPr>
        <w:t>وتشير الدولة الطرف في ضوء</w:t>
      </w:r>
      <w:r>
        <w:rPr>
          <w:rFonts w:hint="cs"/>
          <w:rtl/>
        </w:rPr>
        <w:t xml:space="preserve"> ما</w:t>
      </w:r>
      <w:r>
        <w:rPr>
          <w:rtl/>
        </w:rPr>
        <w:t> </w:t>
      </w:r>
      <w:r w:rsidRPr="00FA0FC2">
        <w:rPr>
          <w:rFonts w:hint="cs"/>
          <w:rtl/>
        </w:rPr>
        <w:t xml:space="preserve">سبق إلى عدم وجود </w:t>
      </w:r>
      <w:r w:rsidRPr="00FA0FC2">
        <w:rPr>
          <w:rFonts w:hint="cs"/>
          <w:rtl/>
          <w:lang w:val="fr-CH"/>
        </w:rPr>
        <w:t>أسباب حقيقية تبعث على الخوف من أن تؤدي عودة صاحبة الشكوى إلى إثيوبيا إلى تعرضها لخطر تعذيب متوقع وحقيقي وشخصي</w:t>
      </w:r>
      <w:r w:rsidRPr="00FA0FC2">
        <w:rPr>
          <w:rFonts w:hint="cs"/>
          <w:rtl/>
        </w:rPr>
        <w:t xml:space="preserve"> </w:t>
      </w:r>
      <w:r w:rsidRPr="00FA0FC2">
        <w:rPr>
          <w:rFonts w:hint="cs"/>
          <w:rtl/>
          <w:lang w:val="fr-CH"/>
        </w:rPr>
        <w:t>وتدعو اللجنة إلى التوصل إلى استنتاج مفاده أن إعادة صاحبة الشكوى إلى إثيوبيا إجراء</w:t>
      </w:r>
      <w:r>
        <w:rPr>
          <w:rFonts w:hint="cs"/>
          <w:rtl/>
          <w:lang w:val="fr-CH"/>
        </w:rPr>
        <w:t xml:space="preserve"> لن</w:t>
      </w:r>
      <w:r>
        <w:rPr>
          <w:rtl/>
          <w:lang w:val="fr-CH"/>
        </w:rPr>
        <w:t> </w:t>
      </w:r>
      <w:r w:rsidRPr="00FA0FC2">
        <w:rPr>
          <w:rFonts w:hint="cs"/>
          <w:rtl/>
          <w:lang w:val="fr-CH"/>
        </w:rPr>
        <w:t>يشكل انتهاكاً لالتزامات سويسرا الدولية بموجب ال</w:t>
      </w:r>
      <w:r>
        <w:rPr>
          <w:rFonts w:hint="cs"/>
          <w:rtl/>
          <w:lang w:val="fr-CH"/>
        </w:rPr>
        <w:t>مادة</w:t>
      </w:r>
      <w:r>
        <w:rPr>
          <w:rtl/>
          <w:lang w:val="fr-CH"/>
        </w:rPr>
        <w:t> </w:t>
      </w:r>
      <w:r w:rsidRPr="00FA0FC2">
        <w:rPr>
          <w:rFonts w:hint="cs"/>
          <w:rtl/>
          <w:lang w:val="fr-CH"/>
        </w:rPr>
        <w:t>3 من الاتفاقية.</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تعليقات صاحبة الشكوى على ملاحظات الدولة الطرف</w:t>
      </w:r>
    </w:p>
    <w:p w:rsidR="00091373" w:rsidRPr="00FA0FC2" w:rsidRDefault="00091373" w:rsidP="00222E49">
      <w:pPr>
        <w:pStyle w:val="SingleTxtGA"/>
        <w:spacing w:line="370" w:lineRule="exact"/>
        <w:rPr>
          <w:rFonts w:hint="cs"/>
          <w:rtl/>
          <w:lang w:val="fr-CH"/>
        </w:rPr>
      </w:pPr>
      <w:r w:rsidRPr="00FA0FC2">
        <w:rPr>
          <w:rFonts w:hint="cs"/>
          <w:rtl/>
          <w:lang w:val="fr-CH"/>
        </w:rPr>
        <w:t>5-1</w:t>
      </w:r>
      <w:r w:rsidRPr="00FA0FC2">
        <w:rPr>
          <w:rFonts w:hint="cs"/>
          <w:rtl/>
          <w:lang w:val="fr-CH"/>
        </w:rPr>
        <w:tab/>
        <w:t>علقت صاحبة الشكوى على ملاحظات الدولة الطرف في 5 أيار/مايو 2011. وتحيط علماً بتقارير صدرت مؤخراً تفيد بأن السلطات الإثيوبية كثفت جهودها لمراقبة التعبير</w:t>
      </w:r>
      <w:r w:rsidR="00222E49">
        <w:rPr>
          <w:rFonts w:hint="eastAsia"/>
          <w:rtl/>
          <w:lang w:val="fr-CH"/>
        </w:rPr>
        <w:t> </w:t>
      </w:r>
      <w:r w:rsidRPr="00FA0FC2">
        <w:rPr>
          <w:rFonts w:hint="cs"/>
          <w:rtl/>
          <w:lang w:val="fr-CH"/>
        </w:rPr>
        <w:t>عن الآراء المختلفة على الإنترنت</w:t>
      </w:r>
      <w:r w:rsidRPr="00FA0FC2">
        <w:rPr>
          <w:vertAlign w:val="superscript"/>
          <w:rtl/>
          <w:lang w:val="fr-CH"/>
        </w:rPr>
        <w:t>(</w:t>
      </w:r>
      <w:r w:rsidRPr="00FA0FC2">
        <w:rPr>
          <w:rStyle w:val="FootnoteReference"/>
          <w:rtl/>
          <w:lang w:val="fr-CH"/>
        </w:rPr>
        <w:footnoteReference w:id="201"/>
      </w:r>
      <w:r w:rsidRPr="00FA0FC2">
        <w:rPr>
          <w:vertAlign w:val="superscript"/>
          <w:rtl/>
          <w:lang w:val="fr-CH"/>
        </w:rPr>
        <w:t>)</w:t>
      </w:r>
      <w:r w:rsidRPr="00FA0FC2">
        <w:rPr>
          <w:rFonts w:hint="cs"/>
          <w:rtl/>
          <w:lang w:val="fr-CH"/>
        </w:rPr>
        <w:t xml:space="preserve"> وأنها تسعى في الحقيقة إلى تحديد أنشطة المعارضة بتحليل الصور وتسجيلات الفيديو المتعلقة بالمظاهرات داخل إثيوبيا على الأقل</w:t>
      </w:r>
      <w:r w:rsidRPr="00FA0FC2">
        <w:rPr>
          <w:vertAlign w:val="superscript"/>
          <w:rtl/>
          <w:lang w:val="fr-CH"/>
        </w:rPr>
        <w:t>(</w:t>
      </w:r>
      <w:r w:rsidRPr="00FA0FC2">
        <w:rPr>
          <w:rStyle w:val="FootnoteReference"/>
          <w:rtl/>
          <w:lang w:val="fr-CH"/>
        </w:rPr>
        <w:footnoteReference w:id="202"/>
      </w:r>
      <w:r w:rsidRPr="00FA0FC2">
        <w:rPr>
          <w:vertAlign w:val="superscript"/>
          <w:rtl/>
          <w:lang w:val="fr-CH"/>
        </w:rPr>
        <w:t>)</w:t>
      </w:r>
      <w:r w:rsidRPr="00FA0FC2">
        <w:rPr>
          <w:rFonts w:hint="cs"/>
          <w:rtl/>
          <w:lang w:val="fr-CH"/>
        </w:rPr>
        <w:t>. وتشير أيضاً إلى وضع حقوق الإنسان الذي يزداد سوءاً في إثيوبيا وإلى جهود السلطات المبذولة لتقييد حرية التعبير</w:t>
      </w:r>
      <w:r w:rsidRPr="00FA0FC2">
        <w:rPr>
          <w:vertAlign w:val="superscript"/>
          <w:rtl/>
          <w:lang w:val="fr-CH"/>
        </w:rPr>
        <w:t>(</w:t>
      </w:r>
      <w:r w:rsidRPr="00FA0FC2">
        <w:rPr>
          <w:rStyle w:val="FootnoteReference"/>
          <w:rtl/>
          <w:lang w:val="fr-CH"/>
        </w:rPr>
        <w:footnoteReference w:id="203"/>
      </w:r>
      <w:r w:rsidRPr="00FA0FC2">
        <w:rPr>
          <w:vertAlign w:val="superscript"/>
          <w:rtl/>
          <w:lang w:val="fr-CH"/>
        </w:rPr>
        <w:t>)</w:t>
      </w:r>
      <w:r w:rsidRPr="00FA0FC2">
        <w:rPr>
          <w:rFonts w:hint="cs"/>
          <w:rtl/>
          <w:lang w:val="fr-CH"/>
        </w:rPr>
        <w:t>. وتفيد بأن الدولة الطرف</w:t>
      </w:r>
      <w:r>
        <w:rPr>
          <w:rFonts w:hint="cs"/>
          <w:rtl/>
          <w:lang w:val="fr-CH"/>
        </w:rPr>
        <w:t xml:space="preserve"> لم</w:t>
      </w:r>
      <w:r>
        <w:rPr>
          <w:rtl/>
          <w:lang w:val="fr-CH"/>
        </w:rPr>
        <w:t> </w:t>
      </w:r>
      <w:r w:rsidRPr="00FA0FC2">
        <w:rPr>
          <w:rFonts w:hint="cs"/>
          <w:rtl/>
          <w:lang w:val="fr-CH"/>
        </w:rPr>
        <w:t>تتناول التقارير المذكورة في شكواها المرفوعة إلى اللجنة التي تشير إلى رصد السلطات الإثيوبية الوثيق لمختلف أشكال التعبير عن الآراء المختلفة في الواقع.</w:t>
      </w:r>
      <w:r>
        <w:rPr>
          <w:rFonts w:hint="cs"/>
          <w:rtl/>
          <w:lang w:val="fr-CH"/>
        </w:rPr>
        <w:t xml:space="preserve"> أما</w:t>
      </w:r>
      <w:r>
        <w:rPr>
          <w:rtl/>
          <w:lang w:val="fr-CH"/>
        </w:rPr>
        <w:t> </w:t>
      </w:r>
      <w:r w:rsidRPr="00FA0FC2">
        <w:rPr>
          <w:rFonts w:hint="cs"/>
          <w:rtl/>
          <w:lang w:val="fr-CH"/>
        </w:rPr>
        <w:t>طلب الحصول على معلومات عن بلد المنشأ الذي أشارت إليه الدولة الطرف</w:t>
      </w:r>
      <w:r w:rsidRPr="00FA0FC2">
        <w:rPr>
          <w:vertAlign w:val="superscript"/>
          <w:rtl/>
          <w:lang w:val="fr-CH"/>
        </w:rPr>
        <w:t>(</w:t>
      </w:r>
      <w:r w:rsidRPr="00FA0FC2">
        <w:rPr>
          <w:rStyle w:val="FootnoteReference"/>
          <w:rtl/>
          <w:lang w:val="fr-CH"/>
        </w:rPr>
        <w:footnoteReference w:id="204"/>
      </w:r>
      <w:r w:rsidRPr="00FA0FC2">
        <w:rPr>
          <w:vertAlign w:val="superscript"/>
          <w:rtl/>
          <w:lang w:val="fr-CH"/>
        </w:rPr>
        <w:t>)</w:t>
      </w:r>
      <w:r w:rsidRPr="00FA0FC2">
        <w:rPr>
          <w:rFonts w:hint="cs"/>
          <w:rtl/>
          <w:lang w:val="fr-CH"/>
        </w:rPr>
        <w:t xml:space="preserve"> فقد نشر في أوائل سنة 2007</w:t>
      </w:r>
      <w:r>
        <w:rPr>
          <w:rFonts w:hint="cs"/>
          <w:rtl/>
          <w:lang w:val="fr-CH"/>
        </w:rPr>
        <w:t xml:space="preserve"> ولا</w:t>
      </w:r>
      <w:r>
        <w:rPr>
          <w:rtl/>
          <w:lang w:val="fr-CH"/>
        </w:rPr>
        <w:t> </w:t>
      </w:r>
      <w:r w:rsidRPr="00FA0FC2">
        <w:rPr>
          <w:rFonts w:hint="cs"/>
          <w:rtl/>
          <w:lang w:val="fr-CH"/>
        </w:rPr>
        <w:t>يمكن بالتالي اعتباره مصدراً موثوقاً لدحض ادعاء صاحبة الشكوى أنها ستتعرض للاضطهاد بسبب أنشطتها السياسية في حال إعادتها القسرية إلى إثيوبيا.</w:t>
      </w:r>
    </w:p>
    <w:p w:rsidR="00091373" w:rsidRPr="00FA0FC2" w:rsidRDefault="00091373" w:rsidP="00091373">
      <w:pPr>
        <w:pStyle w:val="SingleTxtGA"/>
        <w:spacing w:line="370" w:lineRule="exact"/>
        <w:rPr>
          <w:rFonts w:hint="cs"/>
          <w:spacing w:val="-2"/>
          <w:rtl/>
          <w:lang w:val="fr-CH"/>
        </w:rPr>
      </w:pPr>
      <w:r w:rsidRPr="00FA0FC2">
        <w:rPr>
          <w:rFonts w:hint="cs"/>
          <w:spacing w:val="-2"/>
          <w:rtl/>
          <w:lang w:val="fr-CH"/>
        </w:rPr>
        <w:t>5-2</w:t>
      </w:r>
      <w:r w:rsidRPr="00FA0FC2">
        <w:rPr>
          <w:rFonts w:hint="cs"/>
          <w:spacing w:val="-2"/>
          <w:rtl/>
          <w:lang w:val="fr-CH"/>
        </w:rPr>
        <w:tab/>
        <w:t>وتحيط صاحبة الشكوى علماً بأن قانون اللجوء في الدولة الطرف ينص على وجوب أن يتضمن طلب لجوء جديد أدلة تثبت صلة الحوادث التي</w:t>
      </w:r>
      <w:r w:rsidRPr="00FA0FC2">
        <w:rPr>
          <w:rFonts w:hint="cs"/>
          <w:i/>
          <w:iCs/>
          <w:spacing w:val="-2"/>
          <w:rtl/>
          <w:lang w:val="fr-CH"/>
        </w:rPr>
        <w:t xml:space="preserve"> وقعت منذ اتخاذ القرار الأخير بشأن اللجوء</w:t>
      </w:r>
      <w:r w:rsidRPr="00FA0FC2">
        <w:rPr>
          <w:spacing w:val="-2"/>
          <w:vertAlign w:val="superscript"/>
          <w:rtl/>
          <w:lang w:val="fr-CH"/>
        </w:rPr>
        <w:t>(</w:t>
      </w:r>
      <w:r w:rsidRPr="00FA0FC2">
        <w:rPr>
          <w:rStyle w:val="FootnoteReference"/>
          <w:spacing w:val="-2"/>
          <w:rtl/>
          <w:lang w:val="fr-CH"/>
        </w:rPr>
        <w:footnoteReference w:id="205"/>
      </w:r>
      <w:r w:rsidRPr="00FA0FC2">
        <w:rPr>
          <w:spacing w:val="-2"/>
          <w:vertAlign w:val="superscript"/>
          <w:rtl/>
          <w:lang w:val="fr-CH"/>
        </w:rPr>
        <w:t>)</w:t>
      </w:r>
      <w:r w:rsidRPr="00FA0FC2">
        <w:rPr>
          <w:rFonts w:hint="cs"/>
          <w:spacing w:val="-2"/>
          <w:rtl/>
          <w:lang w:val="fr-CH"/>
        </w:rPr>
        <w:t xml:space="preserve"> بتحديد وضع اللاجئ.</w:t>
      </w:r>
      <w:r>
        <w:rPr>
          <w:rFonts w:hint="cs"/>
          <w:spacing w:val="-2"/>
          <w:rtl/>
          <w:lang w:val="fr-CH"/>
        </w:rPr>
        <w:t xml:space="preserve"> ولا</w:t>
      </w:r>
      <w:r>
        <w:rPr>
          <w:spacing w:val="-2"/>
          <w:rtl/>
          <w:lang w:val="fr-CH"/>
        </w:rPr>
        <w:t> </w:t>
      </w:r>
      <w:r w:rsidRPr="00FA0FC2">
        <w:rPr>
          <w:rFonts w:hint="cs"/>
          <w:spacing w:val="-2"/>
          <w:rtl/>
          <w:lang w:val="fr-CH"/>
        </w:rPr>
        <w:t>يجوز الاستشهاد بأسباب التماس اللجوء التي سبق تقديمها خلال الإجراء الأول لالتماس اللجوء</w:t>
      </w:r>
      <w:r>
        <w:rPr>
          <w:rFonts w:hint="cs"/>
          <w:spacing w:val="-2"/>
          <w:rtl/>
          <w:lang w:val="fr-CH"/>
        </w:rPr>
        <w:t xml:space="preserve"> إلا</w:t>
      </w:r>
      <w:r>
        <w:rPr>
          <w:spacing w:val="-2"/>
          <w:rtl/>
          <w:lang w:val="fr-CH"/>
        </w:rPr>
        <w:t> </w:t>
      </w:r>
      <w:r w:rsidRPr="00FA0FC2">
        <w:rPr>
          <w:rFonts w:hint="cs"/>
          <w:spacing w:val="-2"/>
          <w:rtl/>
          <w:lang w:val="fr-CH"/>
        </w:rPr>
        <w:t>عبر طلب للمراجعة ويجب في هذه الحالة تقديم أدلة جديدة تدعم تلك الأسباب.</w:t>
      </w:r>
      <w:r>
        <w:rPr>
          <w:rFonts w:hint="cs"/>
          <w:spacing w:val="-2"/>
          <w:rtl/>
          <w:lang w:val="fr-CH"/>
        </w:rPr>
        <w:t xml:space="preserve"> وفي</w:t>
      </w:r>
      <w:r>
        <w:rPr>
          <w:spacing w:val="-2"/>
          <w:rtl/>
          <w:lang w:val="fr-CH"/>
        </w:rPr>
        <w:t> </w:t>
      </w:r>
      <w:r w:rsidRPr="00FA0FC2">
        <w:rPr>
          <w:rFonts w:hint="cs"/>
          <w:spacing w:val="-2"/>
          <w:rtl/>
          <w:lang w:val="fr-CH"/>
        </w:rPr>
        <w:t>هذا الصدد، تؤكد صاحبة الشكوى ادعاءاتها المتعلقة بسجنها وإساءة معاملتها القاسية في أيار/مايو 2006. وتحتج بأنه</w:t>
      </w:r>
      <w:r>
        <w:rPr>
          <w:rFonts w:hint="cs"/>
          <w:spacing w:val="-2"/>
          <w:rtl/>
          <w:lang w:val="fr-CH"/>
        </w:rPr>
        <w:t xml:space="preserve"> لا</w:t>
      </w:r>
      <w:r>
        <w:rPr>
          <w:spacing w:val="-2"/>
          <w:rtl/>
          <w:lang w:val="fr-CH"/>
        </w:rPr>
        <w:t> </w:t>
      </w:r>
      <w:r w:rsidRPr="00FA0FC2">
        <w:rPr>
          <w:rFonts w:hint="cs"/>
          <w:spacing w:val="-2"/>
          <w:rtl/>
          <w:lang w:val="fr-CH"/>
        </w:rPr>
        <w:t>عجب في أنها</w:t>
      </w:r>
      <w:r>
        <w:rPr>
          <w:rFonts w:hint="cs"/>
          <w:spacing w:val="-2"/>
          <w:rtl/>
          <w:lang w:val="fr-CH"/>
        </w:rPr>
        <w:t xml:space="preserve"> لم</w:t>
      </w:r>
      <w:r>
        <w:rPr>
          <w:spacing w:val="-2"/>
          <w:rtl/>
          <w:lang w:val="fr-CH"/>
        </w:rPr>
        <w:t> </w:t>
      </w:r>
      <w:r w:rsidRPr="00FA0FC2">
        <w:rPr>
          <w:rFonts w:hint="cs"/>
          <w:spacing w:val="-2"/>
          <w:rtl/>
          <w:lang w:val="fr-CH"/>
        </w:rPr>
        <w:t>تدل بتلك الادعاءات عندما قدمت طلب اللجوء الثاني على عكس تقدير الدولة الطرف. فقد رأت السلطات السويسرية المعنية باللجوء أن ادعاء صاحبة الشكوى ليس جديراً بالثقة عندما قدمته خلال الإجراء الأول لالتماس اللجوء</w:t>
      </w:r>
      <w:r>
        <w:rPr>
          <w:rFonts w:hint="cs"/>
          <w:spacing w:val="-2"/>
          <w:rtl/>
          <w:lang w:val="fr-CH"/>
        </w:rPr>
        <w:t xml:space="preserve"> ولم</w:t>
      </w:r>
      <w:r>
        <w:rPr>
          <w:spacing w:val="-2"/>
          <w:rtl/>
          <w:lang w:val="fr-CH"/>
        </w:rPr>
        <w:t> </w:t>
      </w:r>
      <w:r w:rsidRPr="00FA0FC2">
        <w:rPr>
          <w:rFonts w:hint="cs"/>
          <w:spacing w:val="-2"/>
          <w:rtl/>
          <w:lang w:val="fr-CH"/>
        </w:rPr>
        <w:t>تتمكن صاحبة الشكوى من تقديم أي أدلة جديدة تسند ادعاءاتها خلال الإجراء الثاني لالتماس اللجوء. وإيداع طلب للمراجعة دون التمكن من تقديم أدلة جديدة عبارة عن محاولة مكلفة</w:t>
      </w:r>
      <w:r>
        <w:rPr>
          <w:rFonts w:hint="cs"/>
          <w:spacing w:val="-2"/>
          <w:rtl/>
          <w:lang w:val="fr-CH"/>
        </w:rPr>
        <w:t xml:space="preserve"> لا</w:t>
      </w:r>
      <w:r>
        <w:rPr>
          <w:spacing w:val="-2"/>
          <w:rtl/>
          <w:lang w:val="fr-CH"/>
        </w:rPr>
        <w:t> </w:t>
      </w:r>
      <w:r w:rsidRPr="00FA0FC2">
        <w:rPr>
          <w:rFonts w:hint="cs"/>
          <w:spacing w:val="-2"/>
          <w:rtl/>
          <w:lang w:val="fr-CH"/>
        </w:rPr>
        <w:t>جدوى منها.</w:t>
      </w:r>
    </w:p>
    <w:p w:rsidR="00091373" w:rsidRPr="00FA0FC2" w:rsidRDefault="00091373" w:rsidP="00091373">
      <w:pPr>
        <w:pStyle w:val="SingleTxtGA"/>
        <w:spacing w:line="370" w:lineRule="exact"/>
        <w:rPr>
          <w:rFonts w:hint="cs"/>
          <w:rtl/>
          <w:lang w:val="fr-CH"/>
        </w:rPr>
      </w:pPr>
      <w:r w:rsidRPr="00FA0FC2">
        <w:rPr>
          <w:rFonts w:hint="cs"/>
          <w:rtl/>
          <w:lang w:val="fr-CH"/>
        </w:rPr>
        <w:t>5-3</w:t>
      </w:r>
      <w:r w:rsidRPr="00FA0FC2">
        <w:rPr>
          <w:rFonts w:hint="cs"/>
          <w:rtl/>
          <w:lang w:val="fr-CH"/>
        </w:rPr>
        <w:tab/>
        <w:t>وبالنسبة إلى أنشطة صاحبة الشكوى السياسية داخل إثيوبيا، تذكر صاحبة الشكوى مجدداً أنها كانت عضواً في حزب التحالف قبل وصولها إلى سويسرا. وتفيد بأنها ردت خلال المقابلة التي أجريت معها</w:t>
      </w:r>
      <w:r>
        <w:rPr>
          <w:rFonts w:hint="cs"/>
          <w:rtl/>
          <w:lang w:val="fr-CH"/>
        </w:rPr>
        <w:t xml:space="preserve"> فيما</w:t>
      </w:r>
      <w:r>
        <w:rPr>
          <w:rtl/>
          <w:lang w:val="fr-CH"/>
        </w:rPr>
        <w:t> </w:t>
      </w:r>
      <w:r w:rsidRPr="00FA0FC2">
        <w:rPr>
          <w:rFonts w:hint="cs"/>
          <w:rtl/>
          <w:lang w:val="fr-CH"/>
        </w:rPr>
        <w:t>يتصل بطلب اللجوء الأول رداً صحيحاً على جميع الأسئلة التي طرحت عليها بشأن حزب التحالف غير أنه</w:t>
      </w:r>
      <w:r>
        <w:rPr>
          <w:rFonts w:hint="cs"/>
          <w:rtl/>
          <w:lang w:val="fr-CH"/>
        </w:rPr>
        <w:t xml:space="preserve"> لم</w:t>
      </w:r>
      <w:r>
        <w:rPr>
          <w:rtl/>
          <w:lang w:val="fr-CH"/>
        </w:rPr>
        <w:t> </w:t>
      </w:r>
      <w:r w:rsidRPr="00FA0FC2">
        <w:rPr>
          <w:rFonts w:hint="cs"/>
          <w:rtl/>
          <w:lang w:val="fr-CH"/>
        </w:rPr>
        <w:t>يطلب منها أن تشرح مطامح المنظمة</w:t>
      </w:r>
      <w:r>
        <w:rPr>
          <w:rFonts w:hint="cs"/>
          <w:rtl/>
          <w:lang w:val="fr-CH"/>
        </w:rPr>
        <w:t xml:space="preserve"> أو</w:t>
      </w:r>
      <w:r>
        <w:rPr>
          <w:rtl/>
          <w:lang w:val="fr-CH"/>
        </w:rPr>
        <w:t> </w:t>
      </w:r>
      <w:r w:rsidRPr="00FA0FC2">
        <w:rPr>
          <w:rFonts w:hint="cs"/>
          <w:rtl/>
          <w:lang w:val="fr-CH"/>
        </w:rPr>
        <w:t>هيكلها شرحاً مفصلاً ومستفيضاً. وعلاوة على ذلك،</w:t>
      </w:r>
      <w:r>
        <w:rPr>
          <w:rFonts w:hint="cs"/>
          <w:rtl/>
          <w:lang w:val="fr-CH"/>
        </w:rPr>
        <w:t xml:space="preserve"> لم</w:t>
      </w:r>
      <w:r>
        <w:rPr>
          <w:rtl/>
          <w:lang w:val="fr-CH"/>
        </w:rPr>
        <w:t> </w:t>
      </w:r>
      <w:r w:rsidRPr="00FA0FC2">
        <w:rPr>
          <w:rFonts w:hint="cs"/>
          <w:rtl/>
          <w:lang w:val="fr-CH"/>
        </w:rPr>
        <w:t>تستغرق المقابلة</w:t>
      </w:r>
      <w:r>
        <w:rPr>
          <w:rFonts w:hint="cs"/>
          <w:rtl/>
          <w:lang w:val="fr-CH"/>
        </w:rPr>
        <w:t xml:space="preserve"> إلا</w:t>
      </w:r>
      <w:r>
        <w:rPr>
          <w:rtl/>
          <w:lang w:val="fr-CH"/>
        </w:rPr>
        <w:t> </w:t>
      </w:r>
      <w:r w:rsidRPr="00FA0FC2">
        <w:rPr>
          <w:rFonts w:hint="cs"/>
          <w:rtl/>
          <w:lang w:val="fr-CH"/>
        </w:rPr>
        <w:t>ساعتين وشملت الترجمة الفورية إلى اللغة الأمهرية. وتحتج صاحبة الشكوى بالتالي بأنه</w:t>
      </w:r>
      <w:r>
        <w:rPr>
          <w:rFonts w:hint="cs"/>
          <w:rtl/>
          <w:lang w:val="fr-CH"/>
        </w:rPr>
        <w:t xml:space="preserve"> لا</w:t>
      </w:r>
      <w:r>
        <w:rPr>
          <w:rtl/>
          <w:lang w:val="fr-CH"/>
        </w:rPr>
        <w:t> </w:t>
      </w:r>
      <w:r w:rsidRPr="00FA0FC2">
        <w:rPr>
          <w:rFonts w:hint="cs"/>
          <w:rtl/>
          <w:lang w:val="fr-CH"/>
        </w:rPr>
        <w:t>يمكن التمسك بعجزها المزعوم عن توفير المعلومات كعنصر ضدها. وتضيف قائلة إن السلطات السويسرية المعنية باللجوء</w:t>
      </w:r>
      <w:r>
        <w:rPr>
          <w:rFonts w:hint="cs"/>
          <w:rtl/>
          <w:lang w:val="fr-CH"/>
        </w:rPr>
        <w:t xml:space="preserve"> لم</w:t>
      </w:r>
      <w:r>
        <w:rPr>
          <w:rtl/>
          <w:lang w:val="fr-CH"/>
        </w:rPr>
        <w:t> </w:t>
      </w:r>
      <w:r w:rsidRPr="00FA0FC2">
        <w:rPr>
          <w:rFonts w:hint="cs"/>
          <w:rtl/>
          <w:lang w:val="fr-CH"/>
        </w:rPr>
        <w:t>تستفسر منها قط عما إذا صدر</w:t>
      </w:r>
      <w:r>
        <w:rPr>
          <w:rFonts w:hint="cs"/>
          <w:rtl/>
          <w:lang w:val="fr-CH"/>
        </w:rPr>
        <w:t xml:space="preserve"> أو</w:t>
      </w:r>
      <w:r>
        <w:rPr>
          <w:rtl/>
          <w:lang w:val="fr-CH"/>
        </w:rPr>
        <w:t xml:space="preserve"> لم </w:t>
      </w:r>
      <w:r w:rsidRPr="00FA0FC2">
        <w:rPr>
          <w:rFonts w:hint="cs"/>
          <w:rtl/>
          <w:lang w:val="fr-CH"/>
        </w:rPr>
        <w:t>يصدر حكم بإدانتها. وفضلاً عن ذلك، ترجمت صاحبة الشكوى بنفسها الوثيقة التي تثبت احتجازها</w:t>
      </w:r>
      <w:r w:rsidRPr="00FA0FC2">
        <w:rPr>
          <w:vertAlign w:val="superscript"/>
          <w:rtl/>
          <w:lang w:val="fr-CH"/>
        </w:rPr>
        <w:t>(</w:t>
      </w:r>
      <w:r w:rsidRPr="00FA0FC2">
        <w:rPr>
          <w:rStyle w:val="FootnoteReference"/>
          <w:rtl/>
          <w:lang w:val="fr-CH"/>
        </w:rPr>
        <w:footnoteReference w:id="206"/>
      </w:r>
      <w:r w:rsidRPr="00FA0FC2">
        <w:rPr>
          <w:vertAlign w:val="superscript"/>
          <w:rtl/>
          <w:lang w:val="fr-CH"/>
        </w:rPr>
        <w:t>)</w:t>
      </w:r>
      <w:r w:rsidRPr="00FA0FC2">
        <w:rPr>
          <w:rFonts w:hint="cs"/>
          <w:rtl/>
          <w:lang w:val="fr-CH"/>
        </w:rPr>
        <w:t xml:space="preserve"> وهي ليست مترجمة محترفة.</w:t>
      </w:r>
    </w:p>
    <w:p w:rsidR="00091373" w:rsidRPr="001776AB" w:rsidRDefault="00091373" w:rsidP="00091373">
      <w:pPr>
        <w:pStyle w:val="SingleTxtGA"/>
        <w:rPr>
          <w:rFonts w:hint="cs"/>
          <w:spacing w:val="-4"/>
          <w:rtl/>
          <w:lang/>
        </w:rPr>
      </w:pPr>
      <w:r w:rsidRPr="001776AB">
        <w:rPr>
          <w:rFonts w:hint="cs"/>
          <w:spacing w:val="-4"/>
          <w:rtl/>
          <w:lang w:val="fr-CH"/>
        </w:rPr>
        <w:t>5-4</w:t>
      </w:r>
      <w:r w:rsidRPr="001776AB">
        <w:rPr>
          <w:rFonts w:hint="cs"/>
          <w:spacing w:val="-4"/>
          <w:rtl/>
          <w:lang w:val="fr-CH"/>
        </w:rPr>
        <w:tab/>
        <w:t>وفيما يتعلق بأنشطة صاحبة الشكوى السياسية في سويسرا، تذكر صاحبة الشكوى مجدداً أنها عضو في المنظمة الداعمة لحزب التحالف في سويسرا منذ تشرين الأول/أكتوبر</w:t>
      </w:r>
      <w:r w:rsidRPr="001776AB">
        <w:rPr>
          <w:rFonts w:hint="eastAsia"/>
          <w:spacing w:val="-4"/>
          <w:rtl/>
          <w:lang w:val="fr-CH"/>
        </w:rPr>
        <w:t> </w:t>
      </w:r>
      <w:r w:rsidRPr="001776AB">
        <w:rPr>
          <w:rFonts w:hint="cs"/>
          <w:spacing w:val="-4"/>
          <w:rtl/>
          <w:lang w:val="fr-CH"/>
        </w:rPr>
        <w:t>2007 وممثلة في مقاطعة المنظمة. وتفيد بأنها نشرت عدة مقالات ناقدة وعلى دراية جيدة ضد</w:t>
      </w:r>
      <w:r w:rsidRPr="001776AB">
        <w:rPr>
          <w:rFonts w:hint="cs"/>
          <w:spacing w:val="-4"/>
          <w:rtl/>
          <w:lang/>
        </w:rPr>
        <w:t xml:space="preserve"> نظام حكم ميليس زيناوي وتساهم بانتظام في المدونات الإلكترونية. وتقدم دعماً لادعاءاتها نسخاً من مقال وثماني مدونات إلكترونية كتبتها منذ أن رفعت شكواها إلى اللجنة.</w:t>
      </w:r>
    </w:p>
    <w:p w:rsidR="00091373" w:rsidRPr="00FA0FC2" w:rsidRDefault="00091373" w:rsidP="00091373">
      <w:pPr>
        <w:pStyle w:val="SingleTxtGA"/>
        <w:rPr>
          <w:rFonts w:hint="cs"/>
          <w:rtl/>
          <w:lang w:val="fr-CH"/>
        </w:rPr>
      </w:pPr>
      <w:r w:rsidRPr="00FA0FC2">
        <w:rPr>
          <w:rFonts w:hint="cs"/>
          <w:rtl/>
          <w:lang/>
        </w:rPr>
        <w:t>5-5</w:t>
      </w:r>
      <w:r w:rsidRPr="00FA0FC2">
        <w:rPr>
          <w:rFonts w:hint="cs"/>
          <w:rtl/>
          <w:lang/>
        </w:rPr>
        <w:tab/>
        <w:t xml:space="preserve">وتلاحظ صاحبة الشكوى أن الدولة الطرف تشير أساساً إلى قرار </w:t>
      </w:r>
      <w:r w:rsidRPr="00FA0FC2">
        <w:rPr>
          <w:rFonts w:hint="cs"/>
          <w:rtl/>
          <w:lang w:val="fr-CH"/>
        </w:rPr>
        <w:t xml:space="preserve">مكتب الهجرة الاتحادي وتستبعد احتمال تعرف السلطات الإثيوبية على صاحبة الشكوى بوصفها ناقدة لنظام الحكم. غير أنها تحتج بأن ذلك القرار اتخذ في تشرين الثاني/نوفمبر 2009 وبأنها أصبحت منذ ذلك الحين عضواً من أنشط الأعضاء في حركة المنشقين الإثيوبية في سويسرا. وقد نشرت عدة مقالات عن التطورات السياسية في إثيوبيا وتضطلع بدور ريادي خلال المظاهرات. وتختتم صاحبة الشكوى تعليقاتها قائلة إنها قد تتعرض لخطر إلقاء القبض عليها واحتجازها لدى عودتها إلى إثيوبيا نظراً إلى الجهود المكثفة التي تبذلها السلطات الإثيوبية لمراقبة التعبير </w:t>
      </w:r>
      <w:r w:rsidRPr="00FA0FC2">
        <w:rPr>
          <w:rFonts w:hint="cs"/>
          <w:rtl/>
        </w:rPr>
        <w:t>عن الآراء الناقدة.</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المسائل والإجراءات المعروضة على اللجنة</w:t>
      </w:r>
    </w:p>
    <w:p w:rsidR="00091373" w:rsidRPr="00FA0FC2" w:rsidRDefault="00091373" w:rsidP="00091373">
      <w:pPr>
        <w:pStyle w:val="H4GA"/>
        <w:rPr>
          <w:rFonts w:hint="cs"/>
          <w:rtl/>
          <w:lang w:val="fr-CH"/>
        </w:rPr>
      </w:pPr>
      <w:r w:rsidRPr="00FA0FC2">
        <w:rPr>
          <w:rFonts w:hint="cs"/>
          <w:rtl/>
          <w:lang w:val="fr-CH"/>
        </w:rPr>
        <w:tab/>
      </w:r>
      <w:r w:rsidRPr="00FA0FC2">
        <w:rPr>
          <w:rFonts w:hint="cs"/>
          <w:rtl/>
          <w:lang w:val="fr-CH"/>
        </w:rPr>
        <w:tab/>
        <w:t xml:space="preserve">النظر في </w:t>
      </w:r>
      <w:r>
        <w:rPr>
          <w:rFonts w:hint="cs"/>
          <w:rtl/>
          <w:lang w:val="fr-CH"/>
        </w:rPr>
        <w:t>المقبولية</w:t>
      </w:r>
    </w:p>
    <w:p w:rsidR="00091373" w:rsidRPr="00FA0FC2" w:rsidRDefault="00091373" w:rsidP="00091373">
      <w:pPr>
        <w:pStyle w:val="SingleTxtGA"/>
        <w:spacing w:line="360" w:lineRule="exact"/>
        <w:rPr>
          <w:rFonts w:hint="cs"/>
          <w:rtl/>
          <w:lang w:val="fr-CH"/>
        </w:rPr>
      </w:pPr>
      <w:r w:rsidRPr="00FA0FC2">
        <w:rPr>
          <w:rFonts w:hint="cs"/>
          <w:rtl/>
          <w:lang w:val="fr-CH"/>
        </w:rPr>
        <w:t>6-1</w:t>
      </w:r>
      <w:r w:rsidRPr="00FA0FC2">
        <w:rPr>
          <w:rFonts w:hint="cs"/>
          <w:rtl/>
          <w:lang w:val="fr-CH"/>
        </w:rPr>
        <w:tab/>
        <w:t>يجب على اللجنة قبل النظر في أي ادعاء يرد في بلاغ</w:t>
      </w:r>
      <w:r>
        <w:rPr>
          <w:rFonts w:hint="cs"/>
          <w:rtl/>
          <w:lang w:val="fr-CH"/>
        </w:rPr>
        <w:t xml:space="preserve"> ما</w:t>
      </w:r>
      <w:r>
        <w:rPr>
          <w:rtl/>
          <w:lang w:val="fr-CH"/>
        </w:rPr>
        <w:t> </w:t>
      </w:r>
      <w:r w:rsidRPr="00FA0FC2">
        <w:rPr>
          <w:rFonts w:hint="cs"/>
          <w:rtl/>
          <w:lang w:val="fr-CH"/>
        </w:rPr>
        <w:t>أن تقرر</w:t>
      </w:r>
      <w:r>
        <w:rPr>
          <w:rFonts w:hint="cs"/>
          <w:rtl/>
          <w:lang w:val="fr-CH"/>
        </w:rPr>
        <w:t xml:space="preserve"> ما</w:t>
      </w:r>
      <w:r>
        <w:rPr>
          <w:rtl/>
          <w:lang w:val="fr-CH"/>
        </w:rPr>
        <w:t> </w:t>
      </w:r>
      <w:r w:rsidRPr="00FA0FC2">
        <w:rPr>
          <w:rFonts w:hint="cs"/>
          <w:rtl/>
          <w:lang w:val="fr-CH"/>
        </w:rPr>
        <w:t>إذا كان البلاغ مقبولاً بموجب ال</w:t>
      </w:r>
      <w:r>
        <w:rPr>
          <w:rFonts w:hint="cs"/>
          <w:rtl/>
          <w:lang w:val="fr-CH"/>
        </w:rPr>
        <w:t>مادة</w:t>
      </w:r>
      <w:r>
        <w:rPr>
          <w:rtl/>
          <w:lang w:val="fr-CH"/>
        </w:rPr>
        <w:t> </w:t>
      </w:r>
      <w:r w:rsidRPr="00FA0FC2">
        <w:rPr>
          <w:rFonts w:hint="cs"/>
          <w:rtl/>
          <w:lang w:val="fr-CH"/>
        </w:rPr>
        <w:t>22 من الاتفاقية. وقد تأكدت اللجنة وفقاً</w:t>
      </w:r>
      <w:r>
        <w:rPr>
          <w:rFonts w:hint="cs"/>
          <w:rtl/>
          <w:lang w:val="fr-CH"/>
        </w:rPr>
        <w:t xml:space="preserve"> لما</w:t>
      </w:r>
      <w:r>
        <w:rPr>
          <w:rtl/>
          <w:lang w:val="fr-CH"/>
        </w:rPr>
        <w:t> </w:t>
      </w:r>
      <w:r w:rsidRPr="00FA0FC2">
        <w:rPr>
          <w:rFonts w:hint="cs"/>
          <w:rtl/>
          <w:lang w:val="fr-CH"/>
        </w:rPr>
        <w:t>تقتضيه الفقرة 5(أ) من ال</w:t>
      </w:r>
      <w:r>
        <w:rPr>
          <w:rFonts w:hint="cs"/>
          <w:rtl/>
          <w:lang w:val="fr-CH"/>
        </w:rPr>
        <w:t>مادة</w:t>
      </w:r>
      <w:r>
        <w:rPr>
          <w:rtl/>
          <w:lang w:val="fr-CH"/>
        </w:rPr>
        <w:t> </w:t>
      </w:r>
      <w:r w:rsidRPr="00FA0FC2">
        <w:rPr>
          <w:rFonts w:hint="cs"/>
          <w:rtl/>
          <w:lang w:val="fr-CH"/>
        </w:rPr>
        <w:t>22 من الاتفاقية من أن المسألة ذاتها</w:t>
      </w:r>
      <w:r>
        <w:rPr>
          <w:rFonts w:hint="cs"/>
          <w:rtl/>
          <w:lang w:val="fr-CH"/>
        </w:rPr>
        <w:t xml:space="preserve"> لم</w:t>
      </w:r>
      <w:r>
        <w:rPr>
          <w:rtl/>
          <w:lang w:val="fr-CH"/>
        </w:rPr>
        <w:t> </w:t>
      </w:r>
      <w:r w:rsidRPr="00FA0FC2">
        <w:rPr>
          <w:rFonts w:hint="cs"/>
          <w:rtl/>
          <w:lang w:val="fr-CH"/>
        </w:rPr>
        <w:t>تبحث سابقاً</w:t>
      </w:r>
      <w:r>
        <w:rPr>
          <w:rFonts w:hint="cs"/>
          <w:rtl/>
          <w:lang w:val="fr-CH"/>
        </w:rPr>
        <w:t xml:space="preserve"> ولا</w:t>
      </w:r>
      <w:r>
        <w:rPr>
          <w:rtl/>
          <w:lang w:val="fr-CH"/>
        </w:rPr>
        <w:t> </w:t>
      </w:r>
      <w:r w:rsidRPr="00FA0FC2">
        <w:rPr>
          <w:rFonts w:hint="cs"/>
          <w:rtl/>
          <w:lang w:val="fr-CH"/>
        </w:rPr>
        <w:t>يجري بحثها في إطار إجراء آخر من إجراءات التحقيق الدولي</w:t>
      </w:r>
      <w:r>
        <w:rPr>
          <w:rFonts w:hint="cs"/>
          <w:rtl/>
          <w:lang w:val="fr-CH"/>
        </w:rPr>
        <w:t xml:space="preserve"> أو</w:t>
      </w:r>
      <w:r>
        <w:rPr>
          <w:rtl/>
          <w:lang w:val="fr-CH"/>
        </w:rPr>
        <w:t> </w:t>
      </w:r>
      <w:r w:rsidRPr="00FA0FC2">
        <w:rPr>
          <w:rFonts w:hint="cs"/>
          <w:rtl/>
          <w:lang w:val="fr-CH"/>
        </w:rPr>
        <w:t>التسوية الدولية.</w:t>
      </w:r>
    </w:p>
    <w:p w:rsidR="00091373" w:rsidRPr="00FA0FC2" w:rsidRDefault="00091373" w:rsidP="00091373">
      <w:pPr>
        <w:pStyle w:val="SingleTxtGA"/>
        <w:spacing w:line="360" w:lineRule="exact"/>
        <w:rPr>
          <w:rFonts w:hint="cs"/>
          <w:rtl/>
          <w:lang w:val="fr-CH"/>
        </w:rPr>
      </w:pPr>
      <w:r w:rsidRPr="00FA0FC2">
        <w:rPr>
          <w:rFonts w:hint="cs"/>
          <w:rtl/>
          <w:lang w:val="fr-CH"/>
        </w:rPr>
        <w:t>6-2</w:t>
      </w:r>
      <w:r w:rsidRPr="00FA0FC2">
        <w:rPr>
          <w:rFonts w:hint="cs"/>
          <w:rtl/>
          <w:lang w:val="fr-CH"/>
        </w:rPr>
        <w:tab/>
        <w:t>وتذكر اللجنة بأنها، بمقتضى الفقرة 5(ب) من ال</w:t>
      </w:r>
      <w:r>
        <w:rPr>
          <w:rFonts w:hint="cs"/>
          <w:rtl/>
          <w:lang w:val="fr-CH"/>
        </w:rPr>
        <w:t>مادة</w:t>
      </w:r>
      <w:r>
        <w:rPr>
          <w:rtl/>
          <w:lang w:val="fr-CH"/>
        </w:rPr>
        <w:t> </w:t>
      </w:r>
      <w:r w:rsidRPr="00FA0FC2">
        <w:rPr>
          <w:rFonts w:hint="cs"/>
          <w:rtl/>
          <w:lang w:val="fr-CH"/>
        </w:rPr>
        <w:t>22 من الاتفاقية،</w:t>
      </w:r>
      <w:r>
        <w:rPr>
          <w:rFonts w:hint="cs"/>
          <w:rtl/>
          <w:lang w:val="fr-CH"/>
        </w:rPr>
        <w:t xml:space="preserve"> لا</w:t>
      </w:r>
      <w:r>
        <w:rPr>
          <w:rtl/>
          <w:lang w:val="fr-CH"/>
        </w:rPr>
        <w:t> </w:t>
      </w:r>
      <w:r w:rsidRPr="00FA0FC2">
        <w:rPr>
          <w:rFonts w:hint="cs"/>
          <w:rtl/>
          <w:lang w:val="fr-CH"/>
        </w:rPr>
        <w:t>تنظر في أي بلاغ مقدم من فرد من الأفراد</w:t>
      </w:r>
      <w:r>
        <w:rPr>
          <w:rFonts w:hint="cs"/>
          <w:rtl/>
          <w:lang w:val="fr-CH"/>
        </w:rPr>
        <w:t xml:space="preserve"> ما</w:t>
      </w:r>
      <w:r>
        <w:rPr>
          <w:rtl/>
          <w:lang w:val="fr-CH"/>
        </w:rPr>
        <w:t> </w:t>
      </w:r>
      <w:r>
        <w:rPr>
          <w:rFonts w:hint="cs"/>
          <w:rtl/>
          <w:lang w:val="fr-CH"/>
        </w:rPr>
        <w:t>لم</w:t>
      </w:r>
      <w:r>
        <w:rPr>
          <w:rtl/>
          <w:lang w:val="fr-CH"/>
        </w:rPr>
        <w:t> </w:t>
      </w:r>
      <w:r w:rsidRPr="00FA0FC2">
        <w:rPr>
          <w:rFonts w:hint="cs"/>
          <w:rtl/>
          <w:lang w:val="fr-CH"/>
        </w:rPr>
        <w:t>تتحقق من أن ذلك الفرد قد استنفد جميع سبل الانتصاف المحلية المتاحة. وتلاحظ اللجنة في هذه القضية أن الدولة الطرف اعترفت بأن صاحبة الشكوى قد استنفدت جميع سبل الانتصاف المحلية المتاحة.</w:t>
      </w:r>
      <w:r>
        <w:rPr>
          <w:rFonts w:hint="cs"/>
          <w:rtl/>
          <w:lang w:val="fr-CH"/>
        </w:rPr>
        <w:t xml:space="preserve"> وإذ</w:t>
      </w:r>
      <w:r>
        <w:rPr>
          <w:rtl/>
          <w:lang w:val="fr-CH"/>
        </w:rPr>
        <w:t> </w:t>
      </w:r>
      <w:r>
        <w:rPr>
          <w:rFonts w:hint="cs"/>
          <w:rtl/>
          <w:lang w:val="fr-CH"/>
        </w:rPr>
        <w:t>لا</w:t>
      </w:r>
      <w:r>
        <w:rPr>
          <w:rtl/>
          <w:lang w:val="fr-CH"/>
        </w:rPr>
        <w:t> </w:t>
      </w:r>
      <w:r w:rsidRPr="00FA0FC2">
        <w:rPr>
          <w:rFonts w:hint="cs"/>
          <w:rtl/>
          <w:lang w:val="fr-CH"/>
        </w:rPr>
        <w:t>تجد اللجنة أي عراقيل أخرى تحول دون المقبولية، تعلن أن البلاغ مقبول.</w:t>
      </w:r>
    </w:p>
    <w:p w:rsidR="00091373" w:rsidRPr="00FA0FC2" w:rsidRDefault="00091373" w:rsidP="00091373">
      <w:pPr>
        <w:pStyle w:val="H4GA"/>
        <w:rPr>
          <w:rFonts w:hint="cs"/>
          <w:rtl/>
          <w:lang w:val="fr-CH"/>
        </w:rPr>
      </w:pPr>
      <w:r w:rsidRPr="00FA0FC2">
        <w:rPr>
          <w:rFonts w:hint="cs"/>
          <w:rtl/>
          <w:lang w:val="fr-CH"/>
        </w:rPr>
        <w:tab/>
      </w:r>
      <w:r w:rsidRPr="00FA0FC2">
        <w:rPr>
          <w:rFonts w:hint="cs"/>
          <w:rtl/>
          <w:lang w:val="fr-CH"/>
        </w:rPr>
        <w:tab/>
        <w:t>النظر في الأسس الموضوعية</w:t>
      </w:r>
    </w:p>
    <w:p w:rsidR="00091373" w:rsidRPr="00FA0FC2" w:rsidRDefault="00091373" w:rsidP="00091373">
      <w:pPr>
        <w:pStyle w:val="SingleTxtGA"/>
        <w:rPr>
          <w:rFonts w:hint="cs"/>
          <w:rtl/>
          <w:lang w:val="fr-CH"/>
        </w:rPr>
      </w:pPr>
      <w:r w:rsidRPr="00FA0FC2">
        <w:rPr>
          <w:rFonts w:hint="cs"/>
          <w:rtl/>
          <w:lang w:val="fr-CH"/>
        </w:rPr>
        <w:t>7-1</w:t>
      </w:r>
      <w:r w:rsidRPr="00FA0FC2">
        <w:rPr>
          <w:rFonts w:hint="cs"/>
          <w:rtl/>
          <w:lang w:val="fr-CH"/>
        </w:rPr>
        <w:tab/>
        <w:t>نظرت اللجنة في هذا البلاغ في ضوء جميع المعلومات التي أتاحها لها الطرفان المعنيان وفقاً للفقرة 4 من ال</w:t>
      </w:r>
      <w:r>
        <w:rPr>
          <w:rFonts w:hint="cs"/>
          <w:rtl/>
          <w:lang w:val="fr-CH"/>
        </w:rPr>
        <w:t>مادة</w:t>
      </w:r>
      <w:r>
        <w:rPr>
          <w:rtl/>
          <w:lang w:val="fr-CH"/>
        </w:rPr>
        <w:t> </w:t>
      </w:r>
      <w:r w:rsidRPr="00FA0FC2">
        <w:rPr>
          <w:rFonts w:hint="cs"/>
          <w:rtl/>
          <w:lang w:val="fr-CH"/>
        </w:rPr>
        <w:t>22 من الاتفاقية.</w:t>
      </w:r>
    </w:p>
    <w:p w:rsidR="00091373" w:rsidRPr="00FA0FC2" w:rsidRDefault="00091373" w:rsidP="00091373">
      <w:pPr>
        <w:pStyle w:val="SingleTxtGA"/>
        <w:rPr>
          <w:rFonts w:hint="cs"/>
          <w:rtl/>
          <w:lang w:val="fr-CH"/>
        </w:rPr>
      </w:pPr>
      <w:r w:rsidRPr="00FA0FC2">
        <w:rPr>
          <w:rFonts w:hint="cs"/>
          <w:rtl/>
          <w:lang w:val="fr-CH"/>
        </w:rPr>
        <w:t>7-2</w:t>
      </w:r>
      <w:r w:rsidRPr="00FA0FC2">
        <w:rPr>
          <w:rFonts w:hint="cs"/>
          <w:rtl/>
          <w:lang w:val="fr-CH"/>
        </w:rPr>
        <w:tab/>
        <w:t>وتتعلق المسألة المعروضة على اللجنة بتحديد</w:t>
      </w:r>
      <w:r>
        <w:rPr>
          <w:rFonts w:hint="cs"/>
          <w:rtl/>
          <w:lang w:val="fr-CH"/>
        </w:rPr>
        <w:t xml:space="preserve"> ما</w:t>
      </w:r>
      <w:r>
        <w:rPr>
          <w:rtl/>
          <w:lang w:val="fr-CH"/>
        </w:rPr>
        <w:t> </w:t>
      </w:r>
      <w:r w:rsidRPr="00FA0FC2">
        <w:rPr>
          <w:rFonts w:hint="cs"/>
          <w:rtl/>
          <w:lang w:val="fr-CH"/>
        </w:rPr>
        <w:t>إذا كان ترحيل صاحبة الشكوى إلى إثيوبيا يشكل انتهاكاً لالتزام الدولة الطرف بموجب ال</w:t>
      </w:r>
      <w:r>
        <w:rPr>
          <w:rFonts w:hint="cs"/>
          <w:rtl/>
          <w:lang w:val="fr-CH"/>
        </w:rPr>
        <w:t>مادة</w:t>
      </w:r>
      <w:r>
        <w:rPr>
          <w:rtl/>
          <w:lang w:val="fr-CH"/>
        </w:rPr>
        <w:t> </w:t>
      </w:r>
      <w:r w:rsidRPr="00FA0FC2">
        <w:rPr>
          <w:rFonts w:hint="cs"/>
          <w:rtl/>
          <w:lang w:val="fr-CH"/>
        </w:rPr>
        <w:t>3 من الاتفاقية بأن تمتنع عن طرد أي شخص</w:t>
      </w:r>
      <w:r>
        <w:rPr>
          <w:rFonts w:hint="cs"/>
          <w:rtl/>
          <w:lang w:val="fr-CH"/>
        </w:rPr>
        <w:t xml:space="preserve"> أو</w:t>
      </w:r>
      <w:r>
        <w:rPr>
          <w:rtl/>
          <w:lang w:val="fr-CH"/>
        </w:rPr>
        <w:t> </w:t>
      </w:r>
      <w:r w:rsidRPr="00FA0FC2">
        <w:rPr>
          <w:rFonts w:hint="cs"/>
          <w:rtl/>
          <w:lang w:val="fr-CH"/>
        </w:rPr>
        <w:t xml:space="preserve">إعادته </w:t>
      </w:r>
      <w:r w:rsidRPr="00FA0FC2">
        <w:rPr>
          <w:rFonts w:hint="cs"/>
          <w:i/>
          <w:iCs/>
          <w:rtl/>
          <w:lang w:val="fr-CH"/>
        </w:rPr>
        <w:t>(رده)</w:t>
      </w:r>
      <w:r w:rsidRPr="00FA0FC2">
        <w:rPr>
          <w:rFonts w:hint="cs"/>
          <w:rtl/>
          <w:lang w:val="fr-CH"/>
        </w:rPr>
        <w:t xml:space="preserve"> إلى </w:t>
      </w:r>
      <w:r w:rsidRPr="00FA0FC2">
        <w:rPr>
          <w:rFonts w:hint="cs"/>
          <w:rtl/>
          <w:lang/>
        </w:rPr>
        <w:t xml:space="preserve">دولة أخرى </w:t>
      </w:r>
      <w:r w:rsidRPr="00FA0FC2">
        <w:rPr>
          <w:rFonts w:hint="cs"/>
          <w:rtl/>
          <w:lang w:val="fr-CH"/>
        </w:rPr>
        <w:t>إذا توافرت لديها أسباب حقيقية للاعتقاد أنه سيواجه خطر التعرض للتعذيب في تلك الدولة. ويتعين على اللجنة أن تقيم</w:t>
      </w:r>
      <w:r>
        <w:rPr>
          <w:rFonts w:hint="cs"/>
          <w:rtl/>
          <w:lang w:val="fr-CH"/>
        </w:rPr>
        <w:t xml:space="preserve"> ما</w:t>
      </w:r>
      <w:r>
        <w:rPr>
          <w:rtl/>
          <w:lang w:val="fr-CH"/>
        </w:rPr>
        <w:t> </w:t>
      </w:r>
      <w:r w:rsidRPr="00FA0FC2">
        <w:rPr>
          <w:rFonts w:hint="cs"/>
          <w:rtl/>
          <w:lang w:val="fr-CH"/>
        </w:rPr>
        <w:t>إذا كانت هناك أسباب حقيقية تدعو إلى الاعتقاد بأن صاحبة الشكوى ستتعرض شخصياً لخطر التعذيب عند عودتها إلى إثيوبيا.</w:t>
      </w:r>
      <w:r>
        <w:rPr>
          <w:rFonts w:hint="cs"/>
          <w:rtl/>
          <w:lang w:val="fr-CH"/>
        </w:rPr>
        <w:t xml:space="preserve"> كما</w:t>
      </w:r>
      <w:r>
        <w:rPr>
          <w:rtl/>
          <w:lang w:val="fr-CH"/>
        </w:rPr>
        <w:t> </w:t>
      </w:r>
      <w:r w:rsidRPr="00FA0FC2">
        <w:rPr>
          <w:rFonts w:hint="cs"/>
          <w:rtl/>
          <w:lang w:val="fr-CH"/>
        </w:rPr>
        <w:t>يتعين على اللجنة لدى تقييمها لهذا الخطر أن تراعي جميع الاعتبارات ذات الصلة وفقاً للفقرة 2 من ال</w:t>
      </w:r>
      <w:r>
        <w:rPr>
          <w:rFonts w:hint="cs"/>
          <w:rtl/>
          <w:lang w:val="fr-CH"/>
        </w:rPr>
        <w:t>مادة</w:t>
      </w:r>
      <w:r>
        <w:rPr>
          <w:rtl/>
          <w:lang w:val="fr-CH"/>
        </w:rPr>
        <w:t> </w:t>
      </w:r>
      <w:r w:rsidRPr="00FA0FC2">
        <w:rPr>
          <w:rFonts w:hint="cs"/>
          <w:rtl/>
          <w:lang w:val="fr-CH"/>
        </w:rPr>
        <w:t>3 من الاتفاقية،</w:t>
      </w:r>
      <w:r>
        <w:rPr>
          <w:rFonts w:hint="cs"/>
          <w:rtl/>
          <w:lang w:val="fr-CH"/>
        </w:rPr>
        <w:t xml:space="preserve"> بما</w:t>
      </w:r>
      <w:r>
        <w:rPr>
          <w:rtl/>
          <w:lang w:val="fr-CH"/>
        </w:rPr>
        <w:t> </w:t>
      </w:r>
      <w:r w:rsidRPr="00FA0FC2">
        <w:rPr>
          <w:rFonts w:hint="cs"/>
          <w:rtl/>
          <w:lang w:val="fr-CH"/>
        </w:rPr>
        <w:t>في ذلك وجود نمط ثابت من الانتهاكات الجسيمة</w:t>
      </w:r>
      <w:r>
        <w:rPr>
          <w:rFonts w:hint="cs"/>
          <w:rtl/>
          <w:lang w:val="fr-CH"/>
        </w:rPr>
        <w:t xml:space="preserve"> أو</w:t>
      </w:r>
      <w:r>
        <w:rPr>
          <w:rtl/>
          <w:lang w:val="fr-CH"/>
        </w:rPr>
        <w:t> </w:t>
      </w:r>
      <w:r w:rsidRPr="00FA0FC2">
        <w:rPr>
          <w:rFonts w:hint="cs"/>
          <w:rtl/>
          <w:lang w:val="fr-CH"/>
        </w:rPr>
        <w:t>الصارخة</w:t>
      </w:r>
      <w:r>
        <w:rPr>
          <w:rFonts w:hint="cs"/>
          <w:rtl/>
          <w:lang w:val="fr-CH"/>
        </w:rPr>
        <w:t xml:space="preserve"> أو</w:t>
      </w:r>
      <w:r>
        <w:rPr>
          <w:rtl/>
          <w:lang w:val="fr-CH"/>
        </w:rPr>
        <w:t> </w:t>
      </w:r>
      <w:r w:rsidRPr="00FA0FC2">
        <w:rPr>
          <w:rFonts w:hint="cs"/>
          <w:rtl/>
          <w:lang w:val="fr-CH"/>
        </w:rPr>
        <w:t>الجماعية لحقوق الإنسان. ومع ذلك، تذكر اللجنة بأن الهدف من هذا الأمر هو تحديد</w:t>
      </w:r>
      <w:r>
        <w:rPr>
          <w:rFonts w:hint="cs"/>
          <w:rtl/>
          <w:lang w:val="fr-CH"/>
        </w:rPr>
        <w:t xml:space="preserve"> ما</w:t>
      </w:r>
      <w:r>
        <w:rPr>
          <w:rtl/>
          <w:lang w:val="fr-CH"/>
        </w:rPr>
        <w:t> </w:t>
      </w:r>
      <w:r w:rsidRPr="00FA0FC2">
        <w:rPr>
          <w:rFonts w:hint="cs"/>
          <w:rtl/>
          <w:lang w:val="fr-CH"/>
        </w:rPr>
        <w:t>إذا كان الفرد المعني سيتعرض شخصياً لخطر تعذيب متوقع وحقيقي في البلد الذي يعود إليه.</w:t>
      </w:r>
    </w:p>
    <w:p w:rsidR="00091373" w:rsidRPr="00FA0FC2" w:rsidRDefault="00091373" w:rsidP="00091373">
      <w:pPr>
        <w:pStyle w:val="SingleTxtGA"/>
        <w:rPr>
          <w:rFonts w:hint="cs"/>
          <w:rtl/>
          <w:lang w:val="fr-CH"/>
        </w:rPr>
      </w:pPr>
      <w:r w:rsidRPr="00FA0FC2">
        <w:rPr>
          <w:rFonts w:hint="cs"/>
          <w:rtl/>
          <w:lang w:val="fr-CH"/>
        </w:rPr>
        <w:t>7-3</w:t>
      </w:r>
      <w:r w:rsidRPr="00FA0FC2">
        <w:rPr>
          <w:rFonts w:hint="cs"/>
          <w:rtl/>
          <w:lang w:val="fr-CH"/>
        </w:rPr>
        <w:tab/>
        <w:t>وتذكر اللجنة بتعليقها العام رقم 1 الذي جاء فيه أنّ خطر التعذيب يجب أن يقيّم على أسس تتجاوز مجرد الافتراض</w:t>
      </w:r>
      <w:r>
        <w:rPr>
          <w:rFonts w:hint="cs"/>
          <w:rtl/>
          <w:lang w:val="fr-CH"/>
        </w:rPr>
        <w:t xml:space="preserve"> أو</w:t>
      </w:r>
      <w:r>
        <w:rPr>
          <w:rtl/>
          <w:lang w:val="fr-CH"/>
        </w:rPr>
        <w:t> </w:t>
      </w:r>
      <w:r w:rsidRPr="00FA0FC2">
        <w:rPr>
          <w:rFonts w:hint="cs"/>
          <w:rtl/>
          <w:lang w:val="fr-CH"/>
        </w:rPr>
        <w:t>الشك.</w:t>
      </w:r>
      <w:r>
        <w:rPr>
          <w:rFonts w:hint="cs"/>
          <w:rtl/>
          <w:lang w:val="fr-CH"/>
        </w:rPr>
        <w:t xml:space="preserve"> ولا</w:t>
      </w:r>
      <w:r>
        <w:rPr>
          <w:rtl/>
          <w:lang w:val="fr-CH"/>
        </w:rPr>
        <w:t> </w:t>
      </w:r>
      <w:r w:rsidRPr="00FA0FC2">
        <w:rPr>
          <w:rFonts w:hint="cs"/>
          <w:rtl/>
          <w:lang w:val="fr-CH"/>
        </w:rPr>
        <w:t>يتحتم إثبات أن هذا الخطر "مرجح وقوعه بشدة" (الفقرة 6)،</w:t>
      </w:r>
      <w:r>
        <w:rPr>
          <w:rFonts w:hint="cs"/>
          <w:rtl/>
          <w:lang w:val="fr-CH"/>
        </w:rPr>
        <w:t xml:space="preserve"> إلا</w:t>
      </w:r>
      <w:r>
        <w:rPr>
          <w:rtl/>
          <w:lang w:val="fr-CH"/>
        </w:rPr>
        <w:t> </w:t>
      </w:r>
      <w:r w:rsidRPr="00FA0FC2">
        <w:rPr>
          <w:rFonts w:hint="cs"/>
          <w:rtl/>
          <w:lang w:val="fr-CH"/>
        </w:rPr>
        <w:t>أن اللجنة تلاحظ أن عبء الإثبات يقع عامة على عاتق صاحب الشكوى الذي يجب عليه أن يرفع قضية مقنعة تدل على تعرضه لخطر "متوقع وحقيقي وشخصي"</w:t>
      </w:r>
      <w:r w:rsidRPr="00FA0FC2">
        <w:rPr>
          <w:vertAlign w:val="superscript"/>
          <w:rtl/>
          <w:lang w:val="fr-CH"/>
        </w:rPr>
        <w:t>(</w:t>
      </w:r>
      <w:r w:rsidRPr="00FA0FC2">
        <w:rPr>
          <w:rStyle w:val="FootnoteReference"/>
          <w:rtl/>
          <w:lang w:val="fr-CH"/>
        </w:rPr>
        <w:footnoteReference w:id="207"/>
      </w:r>
      <w:r w:rsidRPr="00FA0FC2">
        <w:rPr>
          <w:vertAlign w:val="superscript"/>
          <w:rtl/>
          <w:lang w:val="fr-CH"/>
        </w:rPr>
        <w:t>)</w:t>
      </w:r>
      <w:r w:rsidRPr="00FA0FC2">
        <w:rPr>
          <w:rFonts w:hint="cs"/>
          <w:rtl/>
          <w:lang w:val="fr-CH"/>
        </w:rPr>
        <w:t>. وتذكر اللجنة بأنها، وفقاً لتعليقها العام رقم 1، تولي أهمية كبيرة للنتائج الوقائعية التي تقدمها أجهزة الدولة الطرف المعنية</w:t>
      </w:r>
      <w:r w:rsidRPr="00FA0FC2">
        <w:rPr>
          <w:vertAlign w:val="superscript"/>
          <w:rtl/>
          <w:lang w:val="fr-CH"/>
        </w:rPr>
        <w:t>(</w:t>
      </w:r>
      <w:r w:rsidRPr="00FA0FC2">
        <w:rPr>
          <w:rFonts w:hint="cs"/>
          <w:vertAlign w:val="superscript"/>
          <w:rtl/>
          <w:lang w:val="fr-CH"/>
        </w:rPr>
        <w:t>أأ</w:t>
      </w:r>
      <w:r w:rsidRPr="00D51495">
        <w:rPr>
          <w:rStyle w:val="FootnoteReference"/>
          <w:color w:val="FFFFFF"/>
          <w:sz w:val="2"/>
          <w:szCs w:val="2"/>
          <w:rtl/>
          <w:lang w:val="fr-CH"/>
        </w:rPr>
        <w:footnoteReference w:id="208"/>
      </w:r>
      <w:r w:rsidRPr="00FA0FC2">
        <w:rPr>
          <w:vertAlign w:val="superscript"/>
          <w:rtl/>
          <w:lang w:val="fr-CH"/>
        </w:rPr>
        <w:t>)</w:t>
      </w:r>
      <w:r w:rsidRPr="00FA0FC2">
        <w:rPr>
          <w:rFonts w:hint="cs"/>
          <w:rtl/>
          <w:lang w:val="fr-CH"/>
        </w:rPr>
        <w:t xml:space="preserve"> لكنها في الوقت نفسه ليست مقيدة بتلك النتائج بل تتمتع بسلطة تقييم الوقائع بحرية استناداً إلى كامل ملابسات كل قضية بمقتضى الفقرة 4 من ال</w:t>
      </w:r>
      <w:r>
        <w:rPr>
          <w:rFonts w:hint="cs"/>
          <w:rtl/>
          <w:lang w:val="fr-CH"/>
        </w:rPr>
        <w:t>مادة</w:t>
      </w:r>
      <w:r>
        <w:rPr>
          <w:rtl/>
          <w:lang w:val="fr-CH"/>
        </w:rPr>
        <w:t> </w:t>
      </w:r>
      <w:r w:rsidRPr="00FA0FC2">
        <w:rPr>
          <w:rFonts w:hint="cs"/>
          <w:rtl/>
          <w:lang w:val="fr-CH"/>
        </w:rPr>
        <w:t>22 من الاتفاقية.</w:t>
      </w:r>
    </w:p>
    <w:p w:rsidR="00091373" w:rsidRPr="00FA0FC2" w:rsidRDefault="00091373" w:rsidP="00091373">
      <w:pPr>
        <w:pStyle w:val="SingleTxtGA"/>
        <w:rPr>
          <w:rFonts w:hint="cs"/>
          <w:spacing w:val="4"/>
          <w:rtl/>
          <w:lang w:val="fr-CH"/>
        </w:rPr>
      </w:pPr>
      <w:r w:rsidRPr="00FA0FC2">
        <w:rPr>
          <w:rFonts w:hint="cs"/>
          <w:spacing w:val="4"/>
          <w:rtl/>
          <w:lang w:val="fr-CH"/>
        </w:rPr>
        <w:t>7-4</w:t>
      </w:r>
      <w:r w:rsidRPr="00FA0FC2">
        <w:rPr>
          <w:rFonts w:hint="cs"/>
          <w:spacing w:val="4"/>
          <w:rtl/>
          <w:lang w:val="fr-CH"/>
        </w:rPr>
        <w:tab/>
        <w:t xml:space="preserve">وفي إطار تقييم خطر التعرض للتعذيب في هذه القضية، تحيط اللجنة علماً بادعاءات صاحبة الشكوى التي تفيد بأنها سجنت وتعرضت لإساءة المعاملة القاسية على أيدي </w:t>
      </w:r>
      <w:r w:rsidRPr="00FA0FC2">
        <w:rPr>
          <w:rFonts w:hint="cs"/>
          <w:spacing w:val="4"/>
          <w:rtl/>
        </w:rPr>
        <w:t xml:space="preserve">قوات الجيش الإثيوبية </w:t>
      </w:r>
      <w:r w:rsidRPr="00FA0FC2">
        <w:rPr>
          <w:rFonts w:hint="cs"/>
          <w:spacing w:val="4"/>
          <w:rtl/>
          <w:lang w:val="fr-CH"/>
        </w:rPr>
        <w:t>في أيار/مايو 2006. وتحيط علماً أيضاً بحجة الدولة الطرف التي تذكر أن صاحبة الشكوى</w:t>
      </w:r>
      <w:r>
        <w:rPr>
          <w:rFonts w:hint="cs"/>
          <w:spacing w:val="4"/>
          <w:rtl/>
          <w:lang w:val="fr-CH"/>
        </w:rPr>
        <w:t xml:space="preserve"> لم</w:t>
      </w:r>
      <w:r>
        <w:rPr>
          <w:spacing w:val="4"/>
          <w:rtl/>
          <w:lang w:val="fr-CH"/>
        </w:rPr>
        <w:t> </w:t>
      </w:r>
      <w:r w:rsidRPr="00FA0FC2">
        <w:rPr>
          <w:rFonts w:hint="cs"/>
          <w:spacing w:val="4"/>
          <w:rtl/>
          <w:lang w:val="fr-CH"/>
        </w:rPr>
        <w:t>تدعم تلك الادعاءات بالأدلة لدى مثولها أمام السلطات السويسرية المعنية باللجوء خلال إجرائها الأول لالتماس اللجوء</w:t>
      </w:r>
      <w:r>
        <w:rPr>
          <w:rFonts w:hint="cs"/>
          <w:spacing w:val="4"/>
          <w:rtl/>
          <w:lang w:val="fr-CH"/>
        </w:rPr>
        <w:t xml:space="preserve"> ولم</w:t>
      </w:r>
      <w:r>
        <w:rPr>
          <w:spacing w:val="4"/>
          <w:rtl/>
          <w:lang w:val="fr-CH"/>
        </w:rPr>
        <w:t> </w:t>
      </w:r>
      <w:r w:rsidRPr="00FA0FC2">
        <w:rPr>
          <w:rFonts w:hint="cs"/>
          <w:spacing w:val="4"/>
          <w:rtl/>
          <w:lang w:val="fr-CH"/>
        </w:rPr>
        <w:t xml:space="preserve">تستشهد بها في طلب اللجوء الثاني. وتلاحظ أيضاً أن الدولة الطرف تشك في صحة وثيقة </w:t>
      </w:r>
      <w:r w:rsidRPr="00FA0FC2">
        <w:rPr>
          <w:rFonts w:hint="cs"/>
          <w:spacing w:val="4"/>
          <w:rtl/>
        </w:rPr>
        <w:t xml:space="preserve">إثبات احتجاز صاحبة الشكوى التي يزعم صدورها عن </w:t>
      </w:r>
      <w:r w:rsidRPr="00FA0FC2">
        <w:rPr>
          <w:rFonts w:hint="cs"/>
          <w:spacing w:val="4"/>
          <w:sz w:val="30"/>
          <w:rtl/>
        </w:rPr>
        <w:t>لجنة الشرطة التابعة لإدارة مدينة أديس</w:t>
      </w:r>
      <w:r w:rsidRPr="00FA0FC2">
        <w:rPr>
          <w:rFonts w:hint="eastAsia"/>
          <w:spacing w:val="4"/>
          <w:sz w:val="30"/>
          <w:rtl/>
        </w:rPr>
        <w:t> </w:t>
      </w:r>
      <w:r w:rsidRPr="00FA0FC2">
        <w:rPr>
          <w:rFonts w:hint="cs"/>
          <w:spacing w:val="4"/>
          <w:sz w:val="30"/>
          <w:rtl/>
        </w:rPr>
        <w:t xml:space="preserve">أبابا. </w:t>
      </w:r>
      <w:r w:rsidRPr="00FA0FC2">
        <w:rPr>
          <w:rFonts w:hint="cs"/>
          <w:spacing w:val="4"/>
          <w:rtl/>
          <w:lang w:val="fr-CH"/>
        </w:rPr>
        <w:t>وتحيط علماً أيضاً بالمعلومات التي أتاحتها صاحبة الشكوى عن هذه النقاط. وتلاحظ في هذا المضمار أن صاحبة الشكوى</w:t>
      </w:r>
      <w:r>
        <w:rPr>
          <w:rFonts w:hint="cs"/>
          <w:spacing w:val="4"/>
          <w:rtl/>
          <w:lang w:val="fr-CH"/>
        </w:rPr>
        <w:t xml:space="preserve"> لم</w:t>
      </w:r>
      <w:r>
        <w:rPr>
          <w:spacing w:val="4"/>
          <w:rtl/>
          <w:lang w:val="fr-CH"/>
        </w:rPr>
        <w:t> </w:t>
      </w:r>
      <w:r w:rsidRPr="00FA0FC2">
        <w:rPr>
          <w:rFonts w:hint="cs"/>
          <w:spacing w:val="4"/>
          <w:rtl/>
          <w:lang w:val="fr-CH"/>
        </w:rPr>
        <w:t>تقدم أي أدلة تدعم ادعاءاتها المتعلقة بإساءة معاملتها القاسية على أيدي قوات الجيش الإثيوبية قبل وصولها إلى سويسرا</w:t>
      </w:r>
      <w:r>
        <w:rPr>
          <w:rFonts w:hint="cs"/>
          <w:spacing w:val="4"/>
          <w:rtl/>
          <w:lang w:val="fr-CH"/>
        </w:rPr>
        <w:t xml:space="preserve"> أو</w:t>
      </w:r>
      <w:r>
        <w:rPr>
          <w:spacing w:val="4"/>
          <w:rtl/>
          <w:lang w:val="fr-CH"/>
        </w:rPr>
        <w:t> </w:t>
      </w:r>
      <w:r w:rsidRPr="00FA0FC2">
        <w:rPr>
          <w:rFonts w:hint="cs"/>
          <w:spacing w:val="4"/>
          <w:rtl/>
          <w:lang w:val="fr-CH"/>
        </w:rPr>
        <w:t>تبين أن الشرطة</w:t>
      </w:r>
      <w:r>
        <w:rPr>
          <w:rFonts w:hint="cs"/>
          <w:spacing w:val="4"/>
          <w:rtl/>
          <w:lang w:val="fr-CH"/>
        </w:rPr>
        <w:t xml:space="preserve"> أو</w:t>
      </w:r>
      <w:r>
        <w:rPr>
          <w:spacing w:val="4"/>
          <w:rtl/>
          <w:lang w:val="fr-CH"/>
        </w:rPr>
        <w:t> </w:t>
      </w:r>
      <w:r w:rsidRPr="00FA0FC2">
        <w:rPr>
          <w:rFonts w:hint="cs"/>
          <w:spacing w:val="4"/>
          <w:rtl/>
          <w:lang w:val="fr-CH"/>
        </w:rPr>
        <w:t>سلطات أخرى في إثيوبيا تبحث عنها منذ ذلك الحين.</w:t>
      </w:r>
      <w:r>
        <w:rPr>
          <w:rFonts w:hint="cs"/>
          <w:spacing w:val="4"/>
          <w:rtl/>
          <w:lang w:val="fr-CH"/>
        </w:rPr>
        <w:t xml:space="preserve"> ولم</w:t>
      </w:r>
      <w:r>
        <w:rPr>
          <w:spacing w:val="4"/>
          <w:rtl/>
          <w:lang w:val="fr-CH"/>
        </w:rPr>
        <w:t> </w:t>
      </w:r>
      <w:r w:rsidRPr="00FA0FC2">
        <w:rPr>
          <w:rFonts w:hint="cs"/>
          <w:spacing w:val="4"/>
          <w:rtl/>
          <w:lang w:val="fr-CH"/>
        </w:rPr>
        <w:t>تدع صاحبة الشكوى أيضاً لدى مثولها أمام السلطات السويسرية المعنية باللجوء</w:t>
      </w:r>
      <w:r>
        <w:rPr>
          <w:rFonts w:hint="cs"/>
          <w:spacing w:val="4"/>
          <w:rtl/>
          <w:lang w:val="fr-CH"/>
        </w:rPr>
        <w:t xml:space="preserve"> أو</w:t>
      </w:r>
      <w:r>
        <w:rPr>
          <w:spacing w:val="4"/>
          <w:rtl/>
          <w:lang w:val="fr-CH"/>
        </w:rPr>
        <w:t> </w:t>
      </w:r>
      <w:r w:rsidRPr="00FA0FC2">
        <w:rPr>
          <w:rFonts w:hint="cs"/>
          <w:spacing w:val="4"/>
          <w:rtl/>
          <w:lang w:val="fr-CH"/>
        </w:rPr>
        <w:t>ضمن شكواها المرفوعة إلى اللجنة أنها وجهت إليها أي تهم بموجب قانون مكافحة الإرهاب</w:t>
      </w:r>
      <w:r>
        <w:rPr>
          <w:rFonts w:hint="cs"/>
          <w:spacing w:val="4"/>
          <w:rtl/>
          <w:lang w:val="fr-CH"/>
        </w:rPr>
        <w:t xml:space="preserve"> أو</w:t>
      </w:r>
      <w:r>
        <w:rPr>
          <w:spacing w:val="4"/>
          <w:rtl/>
          <w:lang w:val="fr-CH"/>
        </w:rPr>
        <w:t> </w:t>
      </w:r>
      <w:r w:rsidRPr="00FA0FC2">
        <w:rPr>
          <w:rFonts w:hint="cs"/>
          <w:spacing w:val="4"/>
          <w:rtl/>
          <w:lang w:val="fr-CH"/>
        </w:rPr>
        <w:t>أي قانون محلي آخر.</w:t>
      </w:r>
    </w:p>
    <w:p w:rsidR="00091373" w:rsidRPr="00FA0FC2" w:rsidRDefault="00091373" w:rsidP="00091373">
      <w:pPr>
        <w:pStyle w:val="SingleTxtGA"/>
        <w:rPr>
          <w:rFonts w:hint="cs"/>
          <w:rtl/>
          <w:lang w:val="fr-CH"/>
        </w:rPr>
      </w:pPr>
      <w:r w:rsidRPr="00FA0FC2">
        <w:rPr>
          <w:rFonts w:hint="cs"/>
          <w:rtl/>
          <w:lang w:val="fr-CH"/>
        </w:rPr>
        <w:t>7-5</w:t>
      </w:r>
      <w:r w:rsidRPr="00FA0FC2">
        <w:rPr>
          <w:rFonts w:hint="cs"/>
          <w:rtl/>
          <w:lang w:val="fr-CH"/>
        </w:rPr>
        <w:tab/>
        <w:t>وتحيط اللجنة كذلك علماً</w:t>
      </w:r>
      <w:r>
        <w:rPr>
          <w:rFonts w:hint="cs"/>
          <w:rtl/>
          <w:lang w:val="fr-CH"/>
        </w:rPr>
        <w:t xml:space="preserve"> بما</w:t>
      </w:r>
      <w:r>
        <w:rPr>
          <w:rtl/>
          <w:lang w:val="fr-CH"/>
        </w:rPr>
        <w:t> </w:t>
      </w:r>
      <w:r w:rsidRPr="00FA0FC2">
        <w:rPr>
          <w:rFonts w:hint="cs"/>
          <w:rtl/>
          <w:lang w:val="fr-CH"/>
        </w:rPr>
        <w:t>عرضته صاحبة الشكوى بشأن مشاركتها في أنشطة المنظمة الداعمة لحزب التحالف في سويسرا</w:t>
      </w:r>
      <w:r>
        <w:rPr>
          <w:rFonts w:hint="cs"/>
          <w:rtl/>
          <w:lang w:val="fr-CH"/>
        </w:rPr>
        <w:t xml:space="preserve"> وفي</w:t>
      </w:r>
      <w:r>
        <w:rPr>
          <w:rtl/>
          <w:lang w:val="fr-CH"/>
        </w:rPr>
        <w:t> </w:t>
      </w:r>
      <w:r w:rsidRPr="00FA0FC2">
        <w:rPr>
          <w:rFonts w:hint="cs"/>
          <w:rtl/>
          <w:lang w:val="fr-CH"/>
        </w:rPr>
        <w:t xml:space="preserve">جمعية الإثيوبيين في سويسرا. وتحيط علماً بوجه خاص بادعاء صاحبة الشكوى أنها عضو من أنشط الأعضاء في حركة المنشقين الإثيوبية في سويسرا وأنها تنشر مقالات ناقدة للسلطات الإثيوبية على الإنترنت وتساهم بانتظام في مدونات المعارضة الإلكترونية. وتلاحظ أيضاً أن الدولة الطرف تشك في </w:t>
      </w:r>
      <w:r w:rsidRPr="00FA0FC2">
        <w:rPr>
          <w:rFonts w:hint="cs"/>
          <w:rtl/>
        </w:rPr>
        <w:t xml:space="preserve">تأليف </w:t>
      </w:r>
      <w:r w:rsidRPr="00FA0FC2">
        <w:rPr>
          <w:rFonts w:hint="cs"/>
          <w:rtl/>
          <w:lang w:val="fr-CH"/>
        </w:rPr>
        <w:t>صاحبة الشكوى</w:t>
      </w:r>
      <w:r w:rsidRPr="00FA0FC2">
        <w:rPr>
          <w:rFonts w:hint="cs"/>
          <w:rtl/>
        </w:rPr>
        <w:t xml:space="preserve"> للمقالات</w:t>
      </w:r>
      <w:r w:rsidRPr="00FA0FC2">
        <w:rPr>
          <w:rFonts w:hint="cs"/>
          <w:rtl/>
          <w:lang w:val="fr-CH"/>
        </w:rPr>
        <w:t xml:space="preserve"> والمدونات الإلكترونية المذكورة.</w:t>
      </w:r>
      <w:r>
        <w:rPr>
          <w:rFonts w:hint="cs"/>
          <w:rtl/>
          <w:lang w:val="fr-CH"/>
        </w:rPr>
        <w:t xml:space="preserve"> كما</w:t>
      </w:r>
      <w:r>
        <w:rPr>
          <w:rtl/>
          <w:lang w:val="fr-CH"/>
        </w:rPr>
        <w:t> </w:t>
      </w:r>
      <w:r w:rsidRPr="00FA0FC2">
        <w:rPr>
          <w:rFonts w:hint="cs"/>
          <w:rtl/>
          <w:lang w:val="fr-CH"/>
        </w:rPr>
        <w:t>تحيط علماً بادعاء صاحبة الشكوى أن السلطات الإثيوبية تستخدم وسائل تكنولوجية متطورة لمراقبة المنشقين الإثيوبيين المقيمين في الخارج،</w:t>
      </w:r>
      <w:r>
        <w:rPr>
          <w:rFonts w:hint="cs"/>
          <w:rtl/>
          <w:lang w:val="fr-CH"/>
        </w:rPr>
        <w:t xml:space="preserve"> إلا</w:t>
      </w:r>
      <w:r>
        <w:rPr>
          <w:rtl/>
          <w:lang w:val="fr-CH"/>
        </w:rPr>
        <w:t> </w:t>
      </w:r>
      <w:r w:rsidRPr="00FA0FC2">
        <w:rPr>
          <w:rFonts w:hint="cs"/>
          <w:rtl/>
          <w:lang w:val="fr-CH"/>
        </w:rPr>
        <w:t>أنها تلاحظ أن صاحبة الشكوى</w:t>
      </w:r>
      <w:r>
        <w:rPr>
          <w:rFonts w:hint="cs"/>
          <w:rtl/>
          <w:lang w:val="fr-CH"/>
        </w:rPr>
        <w:t xml:space="preserve"> لم</w:t>
      </w:r>
      <w:r>
        <w:rPr>
          <w:rtl/>
          <w:lang w:val="fr-CH"/>
        </w:rPr>
        <w:t> </w:t>
      </w:r>
      <w:r w:rsidRPr="00FA0FC2">
        <w:rPr>
          <w:rFonts w:hint="cs"/>
          <w:rtl/>
          <w:lang w:val="fr-CH"/>
        </w:rPr>
        <w:t>تدعم هذا الادعاء بمزيد من التفاصيل</w:t>
      </w:r>
      <w:r>
        <w:rPr>
          <w:rFonts w:hint="cs"/>
          <w:rtl/>
          <w:lang w:val="fr-CH"/>
        </w:rPr>
        <w:t xml:space="preserve"> ولم</w:t>
      </w:r>
      <w:r>
        <w:rPr>
          <w:rtl/>
          <w:lang w:val="fr-CH"/>
        </w:rPr>
        <w:t> </w:t>
      </w:r>
      <w:r w:rsidRPr="00FA0FC2">
        <w:rPr>
          <w:rFonts w:hint="cs"/>
          <w:rtl/>
          <w:lang w:val="fr-CH"/>
        </w:rPr>
        <w:t>تقدم أي أدلة تثبته.</w:t>
      </w:r>
      <w:r>
        <w:rPr>
          <w:rFonts w:hint="cs"/>
          <w:rtl/>
          <w:lang w:val="fr-CH"/>
        </w:rPr>
        <w:t xml:space="preserve"> وفي</w:t>
      </w:r>
      <w:r>
        <w:rPr>
          <w:rtl/>
          <w:lang w:val="fr-CH"/>
        </w:rPr>
        <w:t> </w:t>
      </w:r>
      <w:r w:rsidRPr="00FA0FC2">
        <w:rPr>
          <w:rFonts w:hint="cs"/>
          <w:rtl/>
          <w:lang w:val="fr-CH"/>
        </w:rPr>
        <w:t>رأي اللجنة، أنّ صاحبة الشكوى</w:t>
      </w:r>
      <w:r>
        <w:rPr>
          <w:rFonts w:hint="cs"/>
          <w:rtl/>
          <w:lang w:val="fr-CH"/>
        </w:rPr>
        <w:t xml:space="preserve"> لم</w:t>
      </w:r>
      <w:r>
        <w:rPr>
          <w:rtl/>
          <w:lang w:val="fr-CH"/>
        </w:rPr>
        <w:t> </w:t>
      </w:r>
      <w:r w:rsidRPr="00FA0FC2">
        <w:rPr>
          <w:rFonts w:hint="cs"/>
          <w:rtl/>
          <w:lang w:val="fr-CH"/>
        </w:rPr>
        <w:t>تقدم أدلة كافية على تنظيم أي نشاط سياسي يبلغ درجة من الأهمية بحيث يجتذب اهتمام السلطات الإثيوبية</w:t>
      </w:r>
      <w:r>
        <w:rPr>
          <w:rFonts w:hint="cs"/>
          <w:rtl/>
          <w:lang w:val="fr-CH"/>
        </w:rPr>
        <w:t xml:space="preserve"> أو</w:t>
      </w:r>
      <w:r>
        <w:rPr>
          <w:rtl/>
          <w:lang w:val="fr-CH"/>
        </w:rPr>
        <w:t> </w:t>
      </w:r>
      <w:r w:rsidRPr="00FA0FC2">
        <w:rPr>
          <w:rFonts w:hint="cs"/>
          <w:rtl/>
          <w:lang w:val="fr-CH"/>
        </w:rPr>
        <w:t>أي أدلة أخرى تثبت أن السلطات في وطنها تبحث عنها</w:t>
      </w:r>
      <w:r>
        <w:rPr>
          <w:rFonts w:hint="cs"/>
          <w:rtl/>
          <w:lang w:val="fr-CH"/>
        </w:rPr>
        <w:t xml:space="preserve"> أو</w:t>
      </w:r>
      <w:r>
        <w:rPr>
          <w:rtl/>
          <w:lang w:val="fr-CH"/>
        </w:rPr>
        <w:t> </w:t>
      </w:r>
      <w:r w:rsidRPr="00FA0FC2">
        <w:rPr>
          <w:rFonts w:hint="cs"/>
          <w:rtl/>
          <w:lang w:val="fr-CH"/>
        </w:rPr>
        <w:t>أنها تتعرض شخصياً لخطر التعذيب في حال إعادتها إلى إثيوبيا.</w:t>
      </w:r>
    </w:p>
    <w:p w:rsidR="00091373" w:rsidRPr="00FA0FC2" w:rsidRDefault="00091373" w:rsidP="00091373">
      <w:pPr>
        <w:pStyle w:val="SingleTxtGA"/>
        <w:rPr>
          <w:rFonts w:hint="cs"/>
          <w:spacing w:val="4"/>
          <w:rtl/>
          <w:lang w:val="fr-CH"/>
        </w:rPr>
      </w:pPr>
      <w:r w:rsidRPr="00FA0FC2">
        <w:rPr>
          <w:rFonts w:hint="cs"/>
          <w:spacing w:val="4"/>
          <w:rtl/>
          <w:lang w:val="fr-CH"/>
        </w:rPr>
        <w:t>7-6</w:t>
      </w:r>
      <w:r w:rsidRPr="00FA0FC2">
        <w:rPr>
          <w:rFonts w:hint="cs"/>
          <w:spacing w:val="4"/>
          <w:rtl/>
          <w:lang w:val="fr-CH"/>
        </w:rPr>
        <w:tab/>
        <w:t>وعليه، تستنتج اللجنة أن المعلومات التي قدمتها صاحبة الشكوى وشملت أنشطتها السياسية غير الواضحة في إثيوبيا قبل مغادرتها ذلك البلد وأنشطتها السياسية القليلة الأهمية في سويسرا ليست كافية لإثبات تعرضها شخصياً لخطر التعذيب في حال إعادتها إلى إثيوبيا. وتعبر اللجنة عن قلقها إزاء التقارير العديدة المقدمة عن انتهاكات حقوق الإنسان،</w:t>
      </w:r>
      <w:r>
        <w:rPr>
          <w:rFonts w:hint="cs"/>
          <w:spacing w:val="4"/>
          <w:rtl/>
          <w:lang w:val="fr-CH"/>
        </w:rPr>
        <w:t xml:space="preserve"> بما</w:t>
      </w:r>
      <w:r>
        <w:rPr>
          <w:spacing w:val="4"/>
          <w:rtl/>
          <w:lang w:val="fr-CH"/>
        </w:rPr>
        <w:t> </w:t>
      </w:r>
      <w:r w:rsidRPr="00FA0FC2">
        <w:rPr>
          <w:rFonts w:hint="cs"/>
          <w:spacing w:val="4"/>
          <w:rtl/>
          <w:lang w:val="fr-CH"/>
        </w:rPr>
        <w:t>في ذلك اللجوء إلى التعذيب في إثيوبيا</w:t>
      </w:r>
      <w:r w:rsidRPr="00FA0FC2">
        <w:rPr>
          <w:spacing w:val="4"/>
          <w:vertAlign w:val="superscript"/>
          <w:rtl/>
          <w:lang w:val="fr-CH"/>
        </w:rPr>
        <w:t>(</w:t>
      </w:r>
      <w:r w:rsidRPr="00FA0FC2">
        <w:rPr>
          <w:rFonts w:hint="cs"/>
          <w:spacing w:val="4"/>
          <w:vertAlign w:val="superscript"/>
          <w:rtl/>
          <w:lang w:val="fr-CH"/>
        </w:rPr>
        <w:t>ب</w:t>
      </w:r>
      <w:r w:rsidRPr="00222E49">
        <w:rPr>
          <w:rStyle w:val="FootnoteReference"/>
          <w:rFonts w:hint="eastAsia"/>
          <w:spacing w:val="-10"/>
          <w:sz w:val="6"/>
          <w:szCs w:val="6"/>
          <w:rtl/>
        </w:rPr>
        <w:t> </w:t>
      </w:r>
      <w:r w:rsidRPr="00FA0FC2">
        <w:rPr>
          <w:rFonts w:hint="cs"/>
          <w:spacing w:val="4"/>
          <w:vertAlign w:val="superscript"/>
          <w:rtl/>
          <w:lang w:val="fr-CH"/>
        </w:rPr>
        <w:t>ب</w:t>
      </w:r>
      <w:r w:rsidRPr="004F40B8">
        <w:rPr>
          <w:rStyle w:val="FootnoteReference"/>
          <w:color w:val="FFFFFF"/>
          <w:spacing w:val="-10"/>
          <w:sz w:val="2"/>
          <w:szCs w:val="2"/>
          <w:rtl/>
          <w:lang w:val="fr-CH"/>
        </w:rPr>
        <w:footnoteReference w:id="209"/>
      </w:r>
      <w:r w:rsidRPr="00FA0FC2">
        <w:rPr>
          <w:spacing w:val="4"/>
          <w:vertAlign w:val="superscript"/>
          <w:rtl/>
          <w:lang w:val="fr-CH"/>
        </w:rPr>
        <w:t>)</w:t>
      </w:r>
      <w:r w:rsidRPr="00FA0FC2">
        <w:rPr>
          <w:rFonts w:hint="cs"/>
          <w:spacing w:val="4"/>
          <w:rtl/>
          <w:lang w:val="fr-CH"/>
        </w:rPr>
        <w:t>، لكنها تذكر بأنه يجب أن يتعرض الفرد المعني لخطر تعذيب متوقع وحقيقي وشخصي في البلد الذي يعاد إليه لأغراض ال</w:t>
      </w:r>
      <w:r>
        <w:rPr>
          <w:rFonts w:hint="cs"/>
          <w:spacing w:val="4"/>
          <w:rtl/>
          <w:lang w:val="fr-CH"/>
        </w:rPr>
        <w:t>مادة</w:t>
      </w:r>
      <w:r>
        <w:rPr>
          <w:spacing w:val="4"/>
          <w:rtl/>
          <w:lang w:val="fr-CH"/>
        </w:rPr>
        <w:t> </w:t>
      </w:r>
      <w:r w:rsidRPr="00FA0FC2">
        <w:rPr>
          <w:rFonts w:hint="cs"/>
          <w:spacing w:val="4"/>
          <w:rtl/>
          <w:lang w:val="fr-CH"/>
        </w:rPr>
        <w:t>3 من الاتفاقية.</w:t>
      </w:r>
      <w:r>
        <w:rPr>
          <w:rFonts w:hint="cs"/>
          <w:spacing w:val="4"/>
          <w:rtl/>
          <w:lang w:val="fr-CH"/>
        </w:rPr>
        <w:t xml:space="preserve"> وفي</w:t>
      </w:r>
      <w:r>
        <w:rPr>
          <w:spacing w:val="4"/>
          <w:rtl/>
          <w:lang w:val="fr-CH"/>
        </w:rPr>
        <w:t> </w:t>
      </w:r>
      <w:r w:rsidRPr="00FA0FC2">
        <w:rPr>
          <w:rFonts w:hint="cs"/>
          <w:spacing w:val="4"/>
          <w:rtl/>
          <w:lang w:val="fr-CH"/>
        </w:rPr>
        <w:t>ضوء</w:t>
      </w:r>
      <w:r>
        <w:rPr>
          <w:rFonts w:hint="cs"/>
          <w:spacing w:val="4"/>
          <w:rtl/>
          <w:lang w:val="fr-CH"/>
        </w:rPr>
        <w:t xml:space="preserve"> ما</w:t>
      </w:r>
      <w:r>
        <w:rPr>
          <w:spacing w:val="4"/>
          <w:rtl/>
          <w:lang w:val="fr-CH"/>
        </w:rPr>
        <w:t> </w:t>
      </w:r>
      <w:r w:rsidRPr="00FA0FC2">
        <w:rPr>
          <w:rFonts w:hint="cs"/>
          <w:spacing w:val="4"/>
          <w:rtl/>
          <w:lang w:val="fr-CH"/>
        </w:rPr>
        <w:t>تقدَّم ذكره، ترى اللجنة أنه</w:t>
      </w:r>
      <w:r>
        <w:rPr>
          <w:rFonts w:hint="cs"/>
          <w:spacing w:val="4"/>
          <w:rtl/>
          <w:lang w:val="fr-CH"/>
        </w:rPr>
        <w:t xml:space="preserve"> لم</w:t>
      </w:r>
      <w:r>
        <w:rPr>
          <w:spacing w:val="4"/>
          <w:rtl/>
          <w:lang w:val="fr-CH"/>
        </w:rPr>
        <w:t> </w:t>
      </w:r>
      <w:r w:rsidRPr="00FA0FC2">
        <w:rPr>
          <w:rFonts w:hint="cs"/>
          <w:spacing w:val="4"/>
          <w:rtl/>
          <w:lang w:val="fr-CH"/>
        </w:rPr>
        <w:t>يثبت وجود خطر من هذا القبيل.</w:t>
      </w:r>
    </w:p>
    <w:p w:rsidR="00091373" w:rsidRPr="00FA0FC2" w:rsidRDefault="00091373" w:rsidP="00091373">
      <w:pPr>
        <w:pStyle w:val="SingleTxtGA"/>
        <w:rPr>
          <w:rFonts w:hint="cs"/>
          <w:szCs w:val="20"/>
          <w:rtl/>
        </w:rPr>
      </w:pPr>
      <w:r w:rsidRPr="00FA0FC2">
        <w:rPr>
          <w:rFonts w:hint="cs"/>
          <w:rtl/>
          <w:lang w:val="fr-CH"/>
        </w:rPr>
        <w:t>8-</w:t>
      </w:r>
      <w:r w:rsidRPr="00FA0FC2">
        <w:rPr>
          <w:rFonts w:hint="cs"/>
          <w:rtl/>
          <w:lang w:val="fr-CH"/>
        </w:rPr>
        <w:tab/>
        <w:t>وفي ضوء</w:t>
      </w:r>
      <w:r>
        <w:rPr>
          <w:rFonts w:hint="cs"/>
          <w:rtl/>
          <w:lang w:val="fr-CH"/>
        </w:rPr>
        <w:t xml:space="preserve"> ما</w:t>
      </w:r>
      <w:r>
        <w:rPr>
          <w:rtl/>
          <w:lang w:val="fr-CH"/>
        </w:rPr>
        <w:t> </w:t>
      </w:r>
      <w:r w:rsidRPr="00FA0FC2">
        <w:rPr>
          <w:rFonts w:hint="cs"/>
          <w:rtl/>
          <w:lang w:val="fr-CH"/>
        </w:rPr>
        <w:t>ورد ذكره أعلاه، تستنتج لجنة مناهضة التعذيب، عملاً بالفقرة 7 من ال</w:t>
      </w:r>
      <w:r>
        <w:rPr>
          <w:rFonts w:hint="cs"/>
          <w:rtl/>
          <w:lang w:val="fr-CH"/>
        </w:rPr>
        <w:t>مادة</w:t>
      </w:r>
      <w:r>
        <w:rPr>
          <w:rtl/>
          <w:lang w:val="fr-CH"/>
        </w:rPr>
        <w:t> </w:t>
      </w:r>
      <w:r w:rsidRPr="00FA0FC2">
        <w:rPr>
          <w:rFonts w:hint="cs"/>
          <w:rtl/>
          <w:lang w:val="fr-CH"/>
        </w:rPr>
        <w:t>22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المهينة، أن القرار الذي اتخذته الدولة الطرف بشأن إعادة صاحبة الشكوى إلى إثيوبيا</w:t>
      </w:r>
      <w:r>
        <w:rPr>
          <w:rFonts w:hint="cs"/>
          <w:rtl/>
          <w:lang w:val="fr-CH"/>
        </w:rPr>
        <w:t xml:space="preserve"> لا</w:t>
      </w:r>
      <w:r>
        <w:rPr>
          <w:rtl/>
          <w:lang w:val="fr-CH"/>
        </w:rPr>
        <w:t> </w:t>
      </w:r>
      <w:r w:rsidRPr="00FA0FC2">
        <w:rPr>
          <w:rFonts w:hint="cs"/>
          <w:rtl/>
          <w:lang w:val="fr-CH"/>
        </w:rPr>
        <w:t>يشكل انتهاكاً لل</w:t>
      </w:r>
      <w:r>
        <w:rPr>
          <w:rFonts w:hint="cs"/>
          <w:rtl/>
          <w:lang w:val="fr-CH"/>
        </w:rPr>
        <w:t>مادة</w:t>
      </w:r>
      <w:r>
        <w:rPr>
          <w:rtl/>
          <w:lang w:val="fr-CH"/>
        </w:rPr>
        <w:t> </w:t>
      </w:r>
      <w:r w:rsidRPr="00FA0FC2">
        <w:rPr>
          <w:rFonts w:hint="cs"/>
          <w:rtl/>
          <w:lang w:val="fr-CH"/>
        </w:rPr>
        <w:t>3 من الاتفاقية.</w:t>
      </w:r>
    </w:p>
    <w:p w:rsidR="00091373" w:rsidRPr="00FA0FC2" w:rsidRDefault="00091373" w:rsidP="00091373">
      <w:pPr>
        <w:pStyle w:val="SingleTxtGA"/>
        <w:rPr>
          <w:szCs w:val="20"/>
          <w:rtl/>
        </w:rPr>
        <w:sectPr w:rsidR="00091373" w:rsidRPr="00FA0FC2" w:rsidSect="00091373">
          <w:headerReference w:type="even" r:id="rId37"/>
          <w:headerReference w:type="default" r:id="rId38"/>
          <w:footerReference w:type="even" r:id="rId39"/>
          <w:footerReference w:type="default" r:id="rId40"/>
          <w:headerReference w:type="first" r:id="rId41"/>
          <w:footerReference w:type="first" r:id="rId42"/>
          <w:footnotePr>
            <w:numFmt w:val="arabicAbjad"/>
            <w:numRestart w:val="eachSect"/>
          </w:footnotePr>
          <w:endnotePr>
            <w:numFmt w:val="decimal"/>
          </w:endnotePr>
          <w:pgSz w:w="11906" w:h="16838" w:code="9"/>
          <w:pgMar w:top="1701" w:right="1134" w:bottom="2268" w:left="1134" w:header="1134" w:footer="1701" w:gutter="0"/>
          <w:cols w:space="708"/>
          <w:bidi/>
          <w:rtlGutter/>
          <w:docGrid w:linePitch="360"/>
        </w:sectPr>
      </w:pPr>
    </w:p>
    <w:p w:rsidR="00091373" w:rsidRPr="006A57F4" w:rsidRDefault="00091373" w:rsidP="00091373">
      <w:pPr>
        <w:pStyle w:val="H1GA"/>
        <w:spacing w:before="120"/>
        <w:rPr>
          <w:rFonts w:hint="cs"/>
          <w:i/>
          <w:iCs/>
          <w:rtl/>
        </w:rPr>
      </w:pPr>
      <w:r w:rsidRPr="00FA0FC2">
        <w:rPr>
          <w:rFonts w:hint="cs"/>
          <w:rtl/>
        </w:rPr>
        <w:tab/>
      </w:r>
      <w:r w:rsidRPr="00FA0FC2">
        <w:rPr>
          <w:rFonts w:hint="cs"/>
          <w:rtl/>
        </w:rPr>
        <w:tab/>
        <w:t>البلاغ رقم 435/2010</w:t>
      </w:r>
      <w:r>
        <w:rPr>
          <w:rFonts w:hint="cs"/>
          <w:rtl/>
        </w:rPr>
        <w:t xml:space="preserve">: </w:t>
      </w:r>
      <w:r>
        <w:rPr>
          <w:rFonts w:hint="cs"/>
          <w:i/>
          <w:iCs/>
          <w:rtl/>
        </w:rPr>
        <w:t>غ. ب. م. ضد السويد</w:t>
      </w:r>
    </w:p>
    <w:p w:rsidR="00091373" w:rsidRPr="00FA0FC2" w:rsidRDefault="00091373" w:rsidP="00222E49">
      <w:pPr>
        <w:pStyle w:val="SingleTxtGA"/>
        <w:tabs>
          <w:tab w:val="clear" w:pos="2608"/>
          <w:tab w:val="clear" w:pos="3289"/>
          <w:tab w:val="clear" w:pos="3969"/>
          <w:tab w:val="clear" w:pos="4649"/>
          <w:tab w:val="left" w:pos="4276"/>
        </w:tabs>
        <w:ind w:left="1928"/>
      </w:pPr>
      <w:r w:rsidRPr="00FA0FC2">
        <w:rPr>
          <w:i/>
          <w:iCs/>
          <w:rtl/>
        </w:rPr>
        <w:t>المقدم من</w:t>
      </w:r>
      <w:r w:rsidRPr="00222E49">
        <w:rPr>
          <w:rtl/>
        </w:rPr>
        <w:t>:</w:t>
      </w:r>
      <w:r w:rsidRPr="00FA0FC2">
        <w:rPr>
          <w:i/>
          <w:iCs/>
          <w:rtl/>
        </w:rPr>
        <w:tab/>
      </w:r>
      <w:r w:rsidRPr="00FA0FC2">
        <w:rPr>
          <w:rFonts w:hint="cs"/>
          <w:rtl/>
        </w:rPr>
        <w:t>غ. ب. م.</w:t>
      </w:r>
      <w:r w:rsidRPr="00FA0FC2">
        <w:rPr>
          <w:rtl/>
        </w:rPr>
        <w:t xml:space="preserve"> (</w:t>
      </w:r>
      <w:r w:rsidRPr="00FA0FC2">
        <w:rPr>
          <w:rFonts w:hint="cs"/>
          <w:rtl/>
        </w:rPr>
        <w:t>لا ي</w:t>
      </w:r>
      <w:r w:rsidRPr="00FA0FC2">
        <w:rPr>
          <w:rtl/>
        </w:rPr>
        <w:t>مثله م</w:t>
      </w:r>
      <w:r w:rsidRPr="00FA0FC2">
        <w:rPr>
          <w:rFonts w:hint="cs"/>
          <w:rtl/>
        </w:rPr>
        <w:t>حام</w:t>
      </w:r>
      <w:r w:rsidRPr="00FA0FC2">
        <w:rPr>
          <w:rtl/>
        </w:rPr>
        <w:t>)</w:t>
      </w:r>
    </w:p>
    <w:p w:rsidR="00091373" w:rsidRPr="00FA0FC2" w:rsidRDefault="00091373" w:rsidP="00222E49">
      <w:pPr>
        <w:pStyle w:val="SingleTxtGA"/>
        <w:tabs>
          <w:tab w:val="clear" w:pos="2608"/>
          <w:tab w:val="clear" w:pos="3289"/>
          <w:tab w:val="clear" w:pos="3969"/>
          <w:tab w:val="clear" w:pos="4649"/>
          <w:tab w:val="left" w:pos="4276"/>
        </w:tabs>
        <w:ind w:left="1928"/>
      </w:pPr>
      <w:r w:rsidRPr="00FA0FC2">
        <w:rPr>
          <w:i/>
          <w:iCs/>
          <w:rtl/>
        </w:rPr>
        <w:t>الشخص المدعى أنه ضحية</w:t>
      </w:r>
      <w:r w:rsidRPr="00222E49">
        <w:rPr>
          <w:rtl/>
        </w:rPr>
        <w:t>:</w:t>
      </w:r>
      <w:r w:rsidRPr="00FA0FC2">
        <w:rPr>
          <w:i/>
          <w:iCs/>
          <w:rtl/>
        </w:rPr>
        <w:tab/>
      </w:r>
      <w:r w:rsidRPr="00FA0FC2">
        <w:rPr>
          <w:rtl/>
        </w:rPr>
        <w:t>صاحب الشكوى</w:t>
      </w:r>
    </w:p>
    <w:p w:rsidR="00091373" w:rsidRPr="00FA0FC2" w:rsidRDefault="00091373" w:rsidP="00222E49">
      <w:pPr>
        <w:pStyle w:val="SingleTxtGA"/>
        <w:tabs>
          <w:tab w:val="clear" w:pos="2608"/>
          <w:tab w:val="clear" w:pos="3289"/>
          <w:tab w:val="clear" w:pos="3969"/>
          <w:tab w:val="clear" w:pos="4649"/>
          <w:tab w:val="left" w:pos="4276"/>
        </w:tabs>
        <w:ind w:left="1928"/>
      </w:pPr>
      <w:r w:rsidRPr="00FA0FC2">
        <w:rPr>
          <w:i/>
          <w:iCs/>
          <w:rtl/>
        </w:rPr>
        <w:t>الدولة الطرف</w:t>
      </w:r>
      <w:r w:rsidRPr="00222E49">
        <w:rPr>
          <w:rtl/>
        </w:rPr>
        <w:t>:</w:t>
      </w:r>
      <w:r w:rsidRPr="00FA0FC2">
        <w:rPr>
          <w:rFonts w:hint="cs"/>
          <w:i/>
          <w:iCs/>
          <w:rtl/>
        </w:rPr>
        <w:tab/>
      </w:r>
      <w:r w:rsidRPr="00FA0FC2">
        <w:rPr>
          <w:rFonts w:hint="cs"/>
          <w:rtl/>
        </w:rPr>
        <w:t>السويد</w:t>
      </w:r>
    </w:p>
    <w:p w:rsidR="00091373" w:rsidRPr="00222E49" w:rsidRDefault="00091373" w:rsidP="00222E49">
      <w:pPr>
        <w:pStyle w:val="SingleTxtGA"/>
        <w:tabs>
          <w:tab w:val="clear" w:pos="2608"/>
          <w:tab w:val="clear" w:pos="3289"/>
          <w:tab w:val="clear" w:pos="3969"/>
          <w:tab w:val="clear" w:pos="4649"/>
          <w:tab w:val="left" w:pos="4276"/>
        </w:tabs>
        <w:ind w:left="1928"/>
        <w:rPr>
          <w:spacing w:val="-4"/>
        </w:rPr>
      </w:pPr>
      <w:r w:rsidRPr="00222E49">
        <w:rPr>
          <w:i/>
          <w:iCs/>
          <w:spacing w:val="-4"/>
          <w:rtl/>
        </w:rPr>
        <w:t>تاريخ تقديم الشكوى</w:t>
      </w:r>
      <w:r w:rsidRPr="007F1BF8">
        <w:rPr>
          <w:spacing w:val="-4"/>
          <w:rtl/>
        </w:rPr>
        <w:t>:</w:t>
      </w:r>
      <w:r w:rsidRPr="00222E49">
        <w:rPr>
          <w:i/>
          <w:iCs/>
          <w:spacing w:val="-4"/>
          <w:rtl/>
        </w:rPr>
        <w:tab/>
      </w:r>
      <w:r w:rsidRPr="00222E49">
        <w:rPr>
          <w:rFonts w:hint="cs"/>
          <w:spacing w:val="-4"/>
          <w:rtl/>
        </w:rPr>
        <w:t>5</w:t>
      </w:r>
      <w:r w:rsidRPr="00222E49">
        <w:rPr>
          <w:spacing w:val="-4"/>
          <w:rtl/>
        </w:rPr>
        <w:t xml:space="preserve"> </w:t>
      </w:r>
      <w:r w:rsidRPr="00222E49">
        <w:rPr>
          <w:rFonts w:hint="cs"/>
          <w:spacing w:val="-4"/>
          <w:rtl/>
        </w:rPr>
        <w:t>تشرين الأول</w:t>
      </w:r>
      <w:r w:rsidRPr="00222E49">
        <w:rPr>
          <w:spacing w:val="-4"/>
          <w:rtl/>
        </w:rPr>
        <w:t>/أ</w:t>
      </w:r>
      <w:r w:rsidRPr="00222E49">
        <w:rPr>
          <w:rFonts w:hint="cs"/>
          <w:spacing w:val="-4"/>
          <w:rtl/>
        </w:rPr>
        <w:t>كتوبر</w:t>
      </w:r>
      <w:r w:rsidRPr="00222E49">
        <w:rPr>
          <w:spacing w:val="-4"/>
          <w:rtl/>
        </w:rPr>
        <w:t xml:space="preserve"> 2010 (تاريخ الرسالة الأولى)</w:t>
      </w:r>
    </w:p>
    <w:p w:rsidR="00091373" w:rsidRPr="00FA0FC2" w:rsidRDefault="00091373" w:rsidP="00091373">
      <w:pPr>
        <w:pStyle w:val="SingleTxtGA"/>
        <w:rPr>
          <w:rFonts w:hint="cs"/>
          <w:rtl/>
        </w:rPr>
      </w:pPr>
      <w:r w:rsidRPr="00FA0FC2">
        <w:rPr>
          <w:rFonts w:hint="cs"/>
          <w:rtl/>
        </w:rPr>
        <w:tab/>
      </w:r>
      <w:r w:rsidRPr="00FA0FC2">
        <w:rPr>
          <w:rFonts w:hint="cs"/>
          <w:i/>
          <w:iCs/>
          <w:rtl/>
        </w:rPr>
        <w:t>إن لجنة مناهضة التعذيب</w:t>
      </w:r>
      <w:r w:rsidRPr="00FA0FC2">
        <w:rPr>
          <w:rFonts w:hint="cs"/>
          <w:rtl/>
        </w:rPr>
        <w:t>، المنشأة بموجب ال</w:t>
      </w:r>
      <w:r>
        <w:rPr>
          <w:rFonts w:hint="cs"/>
          <w:rtl/>
        </w:rPr>
        <w:t>مادة</w:t>
      </w:r>
      <w:r>
        <w:rPr>
          <w:rtl/>
        </w:rPr>
        <w:t> </w:t>
      </w:r>
      <w:r w:rsidRPr="00FA0FC2">
        <w:rPr>
          <w:rFonts w:hint="cs"/>
          <w:rtl/>
        </w:rPr>
        <w:t>17 من اتفاقية مناهضة التعذيب وغيره من ضروب المعاملة</w:t>
      </w:r>
      <w:r>
        <w:rPr>
          <w:rFonts w:hint="cs"/>
          <w:rtl/>
        </w:rPr>
        <w:t xml:space="preserve"> أو</w:t>
      </w:r>
      <w:r>
        <w:rPr>
          <w:rtl/>
        </w:rPr>
        <w:t> </w:t>
      </w:r>
      <w:r w:rsidRPr="00FA0FC2">
        <w:rPr>
          <w:rFonts w:hint="cs"/>
          <w:rtl/>
        </w:rPr>
        <w:t>العقوبة القاسية</w:t>
      </w:r>
      <w:r>
        <w:rPr>
          <w:rFonts w:hint="cs"/>
          <w:rtl/>
        </w:rPr>
        <w:t xml:space="preserve"> أو</w:t>
      </w:r>
      <w:r>
        <w:rPr>
          <w:rtl/>
        </w:rPr>
        <w:t> </w:t>
      </w:r>
      <w:r w:rsidRPr="00FA0FC2">
        <w:rPr>
          <w:rFonts w:hint="cs"/>
          <w:rtl/>
        </w:rPr>
        <w:t>اللاإنسانية</w:t>
      </w:r>
      <w:r>
        <w:rPr>
          <w:rFonts w:hint="cs"/>
          <w:rtl/>
        </w:rPr>
        <w:t xml:space="preserve"> أو</w:t>
      </w:r>
      <w:r>
        <w:rPr>
          <w:rtl/>
        </w:rPr>
        <w:t> </w:t>
      </w:r>
      <w:r w:rsidRPr="00FA0FC2">
        <w:rPr>
          <w:rFonts w:hint="cs"/>
          <w:rtl/>
        </w:rPr>
        <w:t>المهينة،</w:t>
      </w:r>
    </w:p>
    <w:p w:rsidR="00091373" w:rsidRPr="00FA0FC2" w:rsidRDefault="00091373" w:rsidP="00091373">
      <w:pPr>
        <w:pStyle w:val="SingleTxtGA"/>
        <w:rPr>
          <w:rFonts w:hint="cs"/>
          <w:rtl/>
        </w:rPr>
      </w:pPr>
      <w:r w:rsidRPr="00FA0FC2">
        <w:rPr>
          <w:rFonts w:hint="cs"/>
          <w:i/>
          <w:iCs/>
          <w:rtl/>
        </w:rPr>
        <w:tab/>
        <w:t>وقد اجتمعت</w:t>
      </w:r>
      <w:r w:rsidRPr="00FA0FC2">
        <w:rPr>
          <w:rFonts w:hint="cs"/>
          <w:rtl/>
        </w:rPr>
        <w:t xml:space="preserve"> في 14 تشرين الثاني/نوفمبر 2012،</w:t>
      </w:r>
    </w:p>
    <w:p w:rsidR="00091373" w:rsidRPr="00FA0FC2" w:rsidRDefault="00091373" w:rsidP="00091373">
      <w:pPr>
        <w:pStyle w:val="SingleTxtGA"/>
        <w:rPr>
          <w:rFonts w:hint="cs"/>
          <w:rtl/>
        </w:rPr>
      </w:pPr>
      <w:r w:rsidRPr="00FA0FC2">
        <w:rPr>
          <w:rFonts w:hint="cs"/>
          <w:i/>
          <w:iCs/>
          <w:rtl/>
        </w:rPr>
        <w:tab/>
        <w:t xml:space="preserve">وقد فرغت </w:t>
      </w:r>
      <w:r w:rsidRPr="00FA0FC2">
        <w:rPr>
          <w:rFonts w:hint="cs"/>
          <w:rtl/>
        </w:rPr>
        <w:t xml:space="preserve">من النظر في الشكوى رقم 435/2010، التي قدّمها </w:t>
      </w:r>
      <w:r w:rsidRPr="00FA0FC2">
        <w:rPr>
          <w:rFonts w:hint="cs"/>
          <w:sz w:val="30"/>
          <w:rtl/>
        </w:rPr>
        <w:t xml:space="preserve">غ. ب. م. </w:t>
      </w:r>
      <w:r w:rsidRPr="00FA0FC2">
        <w:rPr>
          <w:rFonts w:hint="cs"/>
          <w:rtl/>
        </w:rPr>
        <w:t>إلى لجنة مناهضة التعذيب بموجب ال</w:t>
      </w:r>
      <w:r>
        <w:rPr>
          <w:rFonts w:hint="cs"/>
          <w:rtl/>
        </w:rPr>
        <w:t>مادة</w:t>
      </w:r>
      <w:r>
        <w:rPr>
          <w:rtl/>
        </w:rPr>
        <w:t> </w:t>
      </w:r>
      <w:r w:rsidRPr="00FA0FC2">
        <w:rPr>
          <w:rFonts w:hint="cs"/>
          <w:rtl/>
        </w:rPr>
        <w:t>22 من اتفاقية مناهضة التعذيب وغيره من ضروب المعاملة</w:t>
      </w:r>
      <w:r>
        <w:rPr>
          <w:rFonts w:hint="cs"/>
          <w:rtl/>
        </w:rPr>
        <w:t xml:space="preserve"> أو</w:t>
      </w:r>
      <w:r>
        <w:rPr>
          <w:rtl/>
        </w:rPr>
        <w:t> </w:t>
      </w:r>
      <w:r w:rsidRPr="00FA0FC2">
        <w:rPr>
          <w:rFonts w:hint="cs"/>
          <w:rtl/>
        </w:rPr>
        <w:t>العقوبة القاسية</w:t>
      </w:r>
      <w:r>
        <w:rPr>
          <w:rFonts w:hint="cs"/>
          <w:rtl/>
        </w:rPr>
        <w:t xml:space="preserve"> أو</w:t>
      </w:r>
      <w:r>
        <w:rPr>
          <w:rtl/>
        </w:rPr>
        <w:t> </w:t>
      </w:r>
      <w:r w:rsidRPr="00FA0FC2">
        <w:rPr>
          <w:rFonts w:hint="cs"/>
          <w:rtl/>
        </w:rPr>
        <w:t>اللاإنسانية</w:t>
      </w:r>
      <w:r>
        <w:rPr>
          <w:rFonts w:hint="cs"/>
          <w:rtl/>
        </w:rPr>
        <w:t xml:space="preserve"> أو</w:t>
      </w:r>
      <w:r>
        <w:rPr>
          <w:rtl/>
        </w:rPr>
        <w:t> </w:t>
      </w:r>
      <w:r w:rsidRPr="00FA0FC2">
        <w:rPr>
          <w:rFonts w:hint="cs"/>
          <w:rtl/>
        </w:rPr>
        <w:t>المهينة،</w:t>
      </w:r>
    </w:p>
    <w:p w:rsidR="00091373" w:rsidRPr="00FA0FC2" w:rsidRDefault="00091373" w:rsidP="00091373">
      <w:pPr>
        <w:pStyle w:val="SingleTxtGA"/>
        <w:rPr>
          <w:rFonts w:hint="cs"/>
          <w:rtl/>
        </w:rPr>
      </w:pPr>
      <w:r w:rsidRPr="00FA0FC2">
        <w:rPr>
          <w:rFonts w:hint="cs"/>
          <w:i/>
          <w:iCs/>
          <w:rtl/>
        </w:rPr>
        <w:tab/>
        <w:t xml:space="preserve">وقد </w:t>
      </w:r>
      <w:r>
        <w:rPr>
          <w:rFonts w:hint="cs"/>
          <w:i/>
          <w:iCs/>
          <w:rtl/>
        </w:rPr>
        <w:t xml:space="preserve">وضعت </w:t>
      </w:r>
      <w:r w:rsidRPr="00FA0FC2">
        <w:rPr>
          <w:rFonts w:hint="cs"/>
          <w:i/>
          <w:iCs/>
          <w:rtl/>
        </w:rPr>
        <w:t xml:space="preserve">في اعتبارها </w:t>
      </w:r>
      <w:r w:rsidRPr="00FA0FC2">
        <w:rPr>
          <w:rFonts w:hint="cs"/>
          <w:rtl/>
        </w:rPr>
        <w:t>جميع المعلومات التي أتاحها لها صاحب الشكوى والدولة</w:t>
      </w:r>
      <w:r>
        <w:rPr>
          <w:rFonts w:hint="eastAsia"/>
          <w:rtl/>
        </w:rPr>
        <w:t> </w:t>
      </w:r>
      <w:r w:rsidRPr="00FA0FC2">
        <w:rPr>
          <w:rFonts w:hint="cs"/>
          <w:rtl/>
        </w:rPr>
        <w:t>الطرف،</w:t>
      </w:r>
    </w:p>
    <w:p w:rsidR="00091373" w:rsidRPr="00FA0FC2" w:rsidRDefault="00091373" w:rsidP="00091373">
      <w:pPr>
        <w:pStyle w:val="SingleTxtGA"/>
        <w:rPr>
          <w:rFonts w:hint="cs"/>
          <w:rtl/>
        </w:rPr>
      </w:pPr>
      <w:r w:rsidRPr="00FA0FC2">
        <w:rPr>
          <w:rFonts w:hint="cs"/>
          <w:rtl/>
        </w:rPr>
        <w:tab/>
      </w:r>
      <w:r w:rsidRPr="00FA0FC2">
        <w:rPr>
          <w:rFonts w:hint="cs"/>
          <w:i/>
          <w:iCs/>
          <w:rtl/>
        </w:rPr>
        <w:t>تعتمد</w:t>
      </w:r>
      <w:r>
        <w:rPr>
          <w:rFonts w:hint="cs"/>
          <w:i/>
          <w:iCs/>
          <w:rtl/>
        </w:rPr>
        <w:t xml:space="preserve"> </w:t>
      </w:r>
      <w:r w:rsidRPr="005D3B07">
        <w:rPr>
          <w:rFonts w:hint="cs"/>
          <w:rtl/>
        </w:rPr>
        <w:t>ما</w:t>
      </w:r>
      <w:r>
        <w:rPr>
          <w:i/>
          <w:iCs/>
          <w:rtl/>
        </w:rPr>
        <w:t> </w:t>
      </w:r>
      <w:r w:rsidRPr="00FA0FC2">
        <w:rPr>
          <w:rFonts w:hint="cs"/>
          <w:rtl/>
        </w:rPr>
        <w:t>يلي:</w:t>
      </w:r>
    </w:p>
    <w:p w:rsidR="00091373" w:rsidRPr="00FA0FC2" w:rsidRDefault="00091373" w:rsidP="00091373">
      <w:pPr>
        <w:pStyle w:val="H1GA"/>
        <w:rPr>
          <w:rtl/>
        </w:rPr>
      </w:pPr>
      <w:r w:rsidRPr="00FA0FC2">
        <w:rPr>
          <w:rFonts w:hint="cs"/>
          <w:rtl/>
        </w:rPr>
        <w:tab/>
      </w:r>
      <w:r w:rsidRPr="00FA0FC2">
        <w:rPr>
          <w:rFonts w:hint="cs"/>
          <w:rtl/>
        </w:rPr>
        <w:tab/>
        <w:t>قرار بموجب الفقرة 7 من ال</w:t>
      </w:r>
      <w:r>
        <w:rPr>
          <w:rFonts w:hint="cs"/>
          <w:rtl/>
        </w:rPr>
        <w:t>مادة</w:t>
      </w:r>
      <w:r>
        <w:rPr>
          <w:rtl/>
        </w:rPr>
        <w:t> </w:t>
      </w:r>
      <w:r w:rsidRPr="00FA0FC2">
        <w:rPr>
          <w:rFonts w:hint="cs"/>
          <w:rtl/>
        </w:rPr>
        <w:t>22 من اتفاقية مناهضة التعذيب</w:t>
      </w:r>
    </w:p>
    <w:p w:rsidR="00091373" w:rsidRPr="00FA0FC2" w:rsidRDefault="00091373" w:rsidP="00091373">
      <w:pPr>
        <w:pStyle w:val="SingleTxtGA"/>
        <w:rPr>
          <w:rFonts w:hint="cs"/>
          <w:rtl/>
        </w:rPr>
      </w:pPr>
      <w:r w:rsidRPr="00FA0FC2">
        <w:rPr>
          <w:rFonts w:hint="cs"/>
          <w:rtl/>
        </w:rPr>
        <w:t>1-1</w:t>
      </w:r>
      <w:r>
        <w:rPr>
          <w:rFonts w:hint="cs"/>
          <w:rtl/>
        </w:rPr>
        <w:tab/>
        <w:t xml:space="preserve">صاحب الشكوى، </w:t>
      </w:r>
      <w:r w:rsidRPr="00FA0FC2">
        <w:rPr>
          <w:rFonts w:hint="cs"/>
          <w:sz w:val="30"/>
          <w:rtl/>
        </w:rPr>
        <w:t>غ. ب. م.</w:t>
      </w:r>
      <w:r w:rsidRPr="00FA0FC2">
        <w:rPr>
          <w:rFonts w:hint="cs"/>
          <w:rtl/>
        </w:rPr>
        <w:t xml:space="preserve">، </w:t>
      </w:r>
      <w:r>
        <w:rPr>
          <w:rFonts w:hint="cs"/>
          <w:rtl/>
        </w:rPr>
        <w:t xml:space="preserve">هو </w:t>
      </w:r>
      <w:r w:rsidRPr="00FA0FC2">
        <w:rPr>
          <w:rFonts w:hint="cs"/>
          <w:rtl/>
        </w:rPr>
        <w:t>مواطن من جمهورية تنزانيا المتحدة من مواليد</w:t>
      </w:r>
      <w:r>
        <w:rPr>
          <w:rFonts w:hint="cs"/>
          <w:rtl/>
        </w:rPr>
        <w:t xml:space="preserve"> عام</w:t>
      </w:r>
      <w:r>
        <w:rPr>
          <w:rtl/>
        </w:rPr>
        <w:t> </w:t>
      </w:r>
      <w:r w:rsidRPr="00FA0FC2">
        <w:rPr>
          <w:rFonts w:hint="cs"/>
          <w:rtl/>
        </w:rPr>
        <w:t xml:space="preserve">1968، كان </w:t>
      </w:r>
      <w:r>
        <w:rPr>
          <w:rFonts w:hint="cs"/>
          <w:rtl/>
        </w:rPr>
        <w:t xml:space="preserve">متواجداً </w:t>
      </w:r>
      <w:r w:rsidRPr="00FA0FC2">
        <w:rPr>
          <w:rFonts w:hint="cs"/>
          <w:rtl/>
        </w:rPr>
        <w:t>في السويد أثناء تقديم الرسالة الأولى. وادعى أن إعادته قسراً إلى تنزانيا ستمثل انتهاكاً من السويد لل</w:t>
      </w:r>
      <w:r>
        <w:rPr>
          <w:rFonts w:hint="cs"/>
          <w:rtl/>
        </w:rPr>
        <w:t>مادة</w:t>
      </w:r>
      <w:r>
        <w:rPr>
          <w:rtl/>
        </w:rPr>
        <w:t> </w:t>
      </w:r>
      <w:r w:rsidRPr="00FA0FC2">
        <w:rPr>
          <w:rFonts w:hint="cs"/>
          <w:rtl/>
        </w:rPr>
        <w:t>3 من اتفاقية مناهضة التعذيب وغيره من ضروب المعاملة</w:t>
      </w:r>
      <w:r>
        <w:rPr>
          <w:rFonts w:hint="cs"/>
          <w:rtl/>
        </w:rPr>
        <w:t xml:space="preserve"> أو</w:t>
      </w:r>
      <w:r>
        <w:rPr>
          <w:rtl/>
        </w:rPr>
        <w:t> </w:t>
      </w:r>
      <w:r w:rsidRPr="00FA0FC2">
        <w:rPr>
          <w:rFonts w:hint="cs"/>
          <w:rtl/>
        </w:rPr>
        <w:t>العقوبة القاسية</w:t>
      </w:r>
      <w:r>
        <w:rPr>
          <w:rFonts w:hint="cs"/>
          <w:rtl/>
        </w:rPr>
        <w:t xml:space="preserve"> أو</w:t>
      </w:r>
      <w:r>
        <w:rPr>
          <w:rtl/>
        </w:rPr>
        <w:t> </w:t>
      </w:r>
      <w:r w:rsidRPr="00FA0FC2">
        <w:rPr>
          <w:rFonts w:hint="cs"/>
          <w:rtl/>
        </w:rPr>
        <w:t>اللاإنسانية</w:t>
      </w:r>
      <w:r>
        <w:rPr>
          <w:rFonts w:hint="cs"/>
          <w:rtl/>
        </w:rPr>
        <w:t xml:space="preserve"> أو</w:t>
      </w:r>
      <w:r>
        <w:rPr>
          <w:rtl/>
        </w:rPr>
        <w:t> </w:t>
      </w:r>
      <w:r w:rsidRPr="00FA0FC2">
        <w:rPr>
          <w:rFonts w:hint="cs"/>
          <w:rtl/>
        </w:rPr>
        <w:t>المهينة.</w:t>
      </w:r>
      <w:r>
        <w:rPr>
          <w:rFonts w:hint="cs"/>
          <w:rtl/>
        </w:rPr>
        <w:t xml:space="preserve"> ولا</w:t>
      </w:r>
      <w:r>
        <w:rPr>
          <w:rtl/>
        </w:rPr>
        <w:t> </w:t>
      </w:r>
      <w:r w:rsidRPr="00FA0FC2">
        <w:rPr>
          <w:rFonts w:hint="cs"/>
          <w:rtl/>
        </w:rPr>
        <w:t>يمثله محام.</w:t>
      </w:r>
    </w:p>
    <w:p w:rsidR="00091373" w:rsidRPr="00FA0FC2" w:rsidRDefault="00091373" w:rsidP="00091373">
      <w:pPr>
        <w:pStyle w:val="SingleTxtGA"/>
        <w:rPr>
          <w:rFonts w:hint="cs"/>
          <w:rtl/>
          <w:lang w:val="fr-CH" w:bidi="ar-MA"/>
        </w:rPr>
      </w:pPr>
      <w:r w:rsidRPr="00FA0FC2">
        <w:rPr>
          <w:rFonts w:hint="cs"/>
          <w:rtl/>
        </w:rPr>
        <w:t>1-2</w:t>
      </w:r>
      <w:r w:rsidRPr="00FA0FC2">
        <w:rPr>
          <w:rFonts w:hint="cs"/>
          <w:rtl/>
        </w:rPr>
        <w:tab/>
        <w:t xml:space="preserve">وفي 4 تشرين الثاني/نوفمبر 2010، </w:t>
      </w:r>
      <w:r w:rsidRPr="00FA0FC2">
        <w:rPr>
          <w:rFonts w:hint="cs"/>
          <w:rtl/>
          <w:lang w:bidi="ar-MA"/>
        </w:rPr>
        <w:t>رفضت اللجنة، وهي تتصرف عن طريق مقررها المعني بالشكاوى الجديدة والتدابير المؤقتة، طلب صاحب الشكوى اتخاذ تدابير مؤقتة لحمايته بموجب الفقرة 1 من ال</w:t>
      </w:r>
      <w:r>
        <w:rPr>
          <w:rFonts w:hint="cs"/>
          <w:rtl/>
          <w:lang w:bidi="ar-MA"/>
        </w:rPr>
        <w:t>مادة</w:t>
      </w:r>
      <w:r>
        <w:rPr>
          <w:rtl/>
          <w:lang w:bidi="ar-MA"/>
        </w:rPr>
        <w:t> </w:t>
      </w:r>
      <w:r w:rsidRPr="00FA0FC2">
        <w:rPr>
          <w:rFonts w:hint="cs"/>
          <w:rtl/>
          <w:lang w:bidi="ar-MA"/>
        </w:rPr>
        <w:t>108 من النظام الداخلي للجنة (</w:t>
      </w:r>
      <w:r w:rsidRPr="00FA0FC2">
        <w:rPr>
          <w:lang w:val="fr-CH" w:bidi="ar-MA"/>
        </w:rPr>
        <w:t>CAT/C/3/Rev.4</w:t>
      </w:r>
      <w:r w:rsidRPr="00FA0FC2">
        <w:rPr>
          <w:rFonts w:hint="cs"/>
          <w:rtl/>
          <w:lang w:bidi="ar-MA"/>
        </w:rPr>
        <w:t>).</w:t>
      </w:r>
    </w:p>
    <w:p w:rsidR="00091373" w:rsidRPr="00FA0FC2" w:rsidRDefault="00091373" w:rsidP="00091373">
      <w:pPr>
        <w:pStyle w:val="SingleTxtGA"/>
        <w:rPr>
          <w:rFonts w:hint="cs"/>
          <w:rtl/>
        </w:rPr>
      </w:pPr>
      <w:r w:rsidRPr="00FA0FC2">
        <w:rPr>
          <w:rFonts w:hint="cs"/>
          <w:rtl/>
        </w:rPr>
        <w:t>1-3</w:t>
      </w:r>
      <w:r w:rsidRPr="00FA0FC2">
        <w:rPr>
          <w:rFonts w:hint="cs"/>
          <w:rtl/>
        </w:rPr>
        <w:tab/>
        <w:t>وأخطر صاحب الشكوى اللجنةَ لاحقاً، في أيار/مايو 2012، بأنه قد جرى ترحيله قسراً من السوي</w:t>
      </w:r>
      <w:r w:rsidRPr="00FA0FC2">
        <w:rPr>
          <w:rFonts w:hint="cs"/>
          <w:rtl/>
          <w:lang w:bidi="ar-MA"/>
        </w:rPr>
        <w:t>د، ولكنه لاذ بالفرار خلال توقف في طريقه إلى جمهورية تنزانيا المتحدة، وأنه يقيم حالياً في بلد ثالث</w:t>
      </w:r>
      <w:r w:rsidRPr="00FA0FC2">
        <w:rPr>
          <w:vertAlign w:val="superscript"/>
          <w:rtl/>
        </w:rPr>
        <w:t>(</w:t>
      </w:r>
      <w:r w:rsidRPr="00FA0FC2">
        <w:rPr>
          <w:rStyle w:val="FootnoteReference"/>
          <w:rtl/>
        </w:rPr>
        <w:footnoteReference w:id="210"/>
      </w:r>
      <w:r w:rsidRPr="00FA0FC2">
        <w:rPr>
          <w:vertAlign w:val="superscript"/>
          <w:rtl/>
        </w:rPr>
        <w:t>)</w:t>
      </w:r>
      <w:r w:rsidRPr="00FA0FC2">
        <w:rPr>
          <w:rFonts w:hint="cs"/>
          <w:rtl/>
        </w:rPr>
        <w:t>.</w:t>
      </w:r>
    </w:p>
    <w:p w:rsidR="00091373" w:rsidRPr="00FA0FC2" w:rsidRDefault="00091373" w:rsidP="00091373">
      <w:pPr>
        <w:pStyle w:val="H23GA"/>
        <w:rPr>
          <w:rFonts w:hint="cs"/>
          <w:rtl/>
        </w:rPr>
      </w:pPr>
      <w:r w:rsidRPr="00FA0FC2">
        <w:rPr>
          <w:rFonts w:hint="cs"/>
          <w:rtl/>
        </w:rPr>
        <w:tab/>
      </w:r>
      <w:r w:rsidRPr="00FA0FC2">
        <w:rPr>
          <w:rFonts w:hint="cs"/>
          <w:rtl/>
        </w:rPr>
        <w:tab/>
        <w:t>الوقائع</w:t>
      </w:r>
      <w:r>
        <w:rPr>
          <w:rFonts w:hint="cs"/>
          <w:rtl/>
        </w:rPr>
        <w:t xml:space="preserve"> كما</w:t>
      </w:r>
      <w:r>
        <w:rPr>
          <w:rtl/>
        </w:rPr>
        <w:t> </w:t>
      </w:r>
      <w:r w:rsidRPr="00FA0FC2">
        <w:rPr>
          <w:rFonts w:hint="cs"/>
          <w:rtl/>
        </w:rPr>
        <w:t>عرضها صاحب الشكوى</w:t>
      </w:r>
    </w:p>
    <w:p w:rsidR="00091373" w:rsidRPr="00FA0FC2" w:rsidRDefault="00091373" w:rsidP="00091373">
      <w:pPr>
        <w:pStyle w:val="SingleTxtGA"/>
        <w:rPr>
          <w:rFonts w:hint="cs"/>
          <w:rtl/>
          <w:lang w:val="fr-CH" w:bidi="ar-MA"/>
        </w:rPr>
      </w:pPr>
      <w:r w:rsidRPr="00FA0FC2">
        <w:rPr>
          <w:rFonts w:hint="cs"/>
          <w:rtl/>
        </w:rPr>
        <w:t>2-1</w:t>
      </w:r>
      <w:r w:rsidRPr="00FA0FC2">
        <w:rPr>
          <w:rFonts w:hint="cs"/>
          <w:rtl/>
        </w:rPr>
        <w:tab/>
        <w:t>كان صاحب الشكوى يعمل صحفياً في جمهورية تنزانيا المتحدة.</w:t>
      </w:r>
      <w:r>
        <w:rPr>
          <w:rFonts w:hint="cs"/>
          <w:rtl/>
        </w:rPr>
        <w:t xml:space="preserve"> وفي</w:t>
      </w:r>
      <w:r>
        <w:rPr>
          <w:rtl/>
        </w:rPr>
        <w:t> </w:t>
      </w:r>
      <w:r w:rsidRPr="00FA0FC2">
        <w:rPr>
          <w:rFonts w:hint="cs"/>
          <w:rtl/>
        </w:rPr>
        <w:t>31 آب/</w:t>
      </w:r>
      <w:r>
        <w:rPr>
          <w:rFonts w:hint="cs"/>
          <w:rtl/>
        </w:rPr>
        <w:t xml:space="preserve"> </w:t>
      </w:r>
      <w:r w:rsidRPr="00FA0FC2">
        <w:rPr>
          <w:rFonts w:hint="cs"/>
          <w:rtl/>
        </w:rPr>
        <w:t xml:space="preserve">أغسطس 2008، وصل إلى السويد ليشارك في تدريب نظمه </w:t>
      </w:r>
      <w:r w:rsidRPr="00FA0FC2">
        <w:rPr>
          <w:rFonts w:hint="cs"/>
          <w:rtl/>
          <w:lang w:val="fr-CH" w:bidi="ar-MA"/>
        </w:rPr>
        <w:t xml:space="preserve">معهد </w:t>
      </w:r>
      <w:r>
        <w:rPr>
          <w:rFonts w:hint="cs"/>
          <w:rtl/>
          <w:lang w:val="fr-CH" w:bidi="ar-MA"/>
        </w:rPr>
        <w:t>التعليم المتواصل ل</w:t>
      </w:r>
      <w:r w:rsidRPr="00FA0FC2">
        <w:rPr>
          <w:rFonts w:hint="cs"/>
          <w:rtl/>
          <w:lang w:val="fr-CH" w:bidi="ar-MA"/>
        </w:rPr>
        <w:t>لصحفيين بجامعة كالمار. وبتاريخ 16</w:t>
      </w:r>
      <w:r>
        <w:rPr>
          <w:rFonts w:hint="cs"/>
          <w:rtl/>
          <w:lang w:val="fr-CH" w:bidi="ar-MA"/>
        </w:rPr>
        <w:t xml:space="preserve"> أو</w:t>
      </w:r>
      <w:r>
        <w:rPr>
          <w:rtl/>
          <w:lang w:val="fr-CH" w:bidi="ar-MA"/>
        </w:rPr>
        <w:t> </w:t>
      </w:r>
      <w:r w:rsidRPr="00FA0FC2">
        <w:rPr>
          <w:rFonts w:hint="cs"/>
          <w:rtl/>
          <w:lang w:val="fr-CH" w:bidi="ar-MA"/>
        </w:rPr>
        <w:t>17 أيلول/سبتمبر 2008، تلقى صاحب الشكوى اتصالاً هاتفياً من زميل له في تنزانيا أخبره فيه أن الشرطة تريد استجوابه بشأن مقال ذي طابع سياسي كان قد حرره قبل مغادرته إلى السويد (وأكدت زوجة صاحب الشكوى بدورها هذا الكلام). وكان المقال الذي نشرته صحيفة محلية بتاريخ 3 آب/أغسطس 2008 يتعلق بوضع زنجبار إزاء البر الرئيسي لتنزانيا. وتملك الخوف صاحب الشكوى فالتمس اللجوء بتاريخ 22 أيلول/سبتمبر 2008.</w:t>
      </w:r>
    </w:p>
    <w:p w:rsidR="00091373" w:rsidRPr="00FA0FC2" w:rsidRDefault="00091373" w:rsidP="00091373">
      <w:pPr>
        <w:pStyle w:val="SingleTxtGA"/>
        <w:rPr>
          <w:rFonts w:hint="cs"/>
          <w:spacing w:val="-2"/>
          <w:rtl/>
          <w:lang w:val="fr-CH" w:bidi="ar-MA"/>
        </w:rPr>
      </w:pPr>
      <w:r w:rsidRPr="00FA0FC2">
        <w:rPr>
          <w:rFonts w:hint="cs"/>
          <w:spacing w:val="-2"/>
          <w:rtl/>
        </w:rPr>
        <w:t>2-2</w:t>
      </w:r>
      <w:r w:rsidRPr="00FA0FC2">
        <w:rPr>
          <w:rFonts w:hint="cs"/>
          <w:spacing w:val="-2"/>
          <w:rtl/>
        </w:rPr>
        <w:tab/>
        <w:t xml:space="preserve">وفي 4 شباط/فبراير 2008، </w:t>
      </w:r>
      <w:r w:rsidRPr="00FA0FC2">
        <w:rPr>
          <w:rFonts w:hint="cs"/>
          <w:spacing w:val="-2"/>
          <w:rtl/>
          <w:lang w:val="fr-CH" w:bidi="ar-MA"/>
        </w:rPr>
        <w:t>أجرى مجلس الهجرة السويدي مقابلة معه.</w:t>
      </w:r>
      <w:r>
        <w:rPr>
          <w:rFonts w:hint="cs"/>
          <w:spacing w:val="-2"/>
          <w:rtl/>
          <w:lang w:val="fr-CH" w:bidi="ar-MA"/>
        </w:rPr>
        <w:t xml:space="preserve"> وفي</w:t>
      </w:r>
      <w:r>
        <w:rPr>
          <w:spacing w:val="-2"/>
          <w:rtl/>
          <w:lang w:val="fr-CH" w:bidi="ar-MA"/>
        </w:rPr>
        <w:t> </w:t>
      </w:r>
      <w:r w:rsidRPr="00FA0FC2">
        <w:rPr>
          <w:rFonts w:hint="cs"/>
          <w:spacing w:val="-2"/>
          <w:rtl/>
          <w:lang w:val="fr-CH" w:bidi="ar-MA"/>
        </w:rPr>
        <w:t>تلك المناسبة، أفاد بأنه قد واجه في</w:t>
      </w:r>
      <w:r>
        <w:rPr>
          <w:rFonts w:hint="cs"/>
          <w:spacing w:val="-2"/>
          <w:rtl/>
          <w:lang w:val="fr-CH" w:bidi="ar-MA"/>
        </w:rPr>
        <w:t xml:space="preserve"> عام</w:t>
      </w:r>
      <w:r>
        <w:rPr>
          <w:spacing w:val="-2"/>
          <w:rtl/>
          <w:lang w:val="fr-CH" w:bidi="ar-MA"/>
        </w:rPr>
        <w:t> </w:t>
      </w:r>
      <w:r w:rsidRPr="00FA0FC2">
        <w:rPr>
          <w:rFonts w:hint="cs"/>
          <w:spacing w:val="-2"/>
          <w:rtl/>
          <w:lang w:val="fr-CH" w:bidi="ar-MA"/>
        </w:rPr>
        <w:t>2002 اتهامات جنائية بعد أن حرر مقالاً انتقد فيه البرلمان، وأنه قد تعرض خلال الاستجواب للتعذيب</w:t>
      </w:r>
      <w:r w:rsidRPr="00FA0FC2">
        <w:rPr>
          <w:spacing w:val="-2"/>
          <w:sz w:val="30"/>
          <w:vertAlign w:val="superscript"/>
          <w:rtl/>
        </w:rPr>
        <w:t>(</w:t>
      </w:r>
      <w:r w:rsidRPr="00FA0FC2">
        <w:rPr>
          <w:rStyle w:val="FootnoteReference"/>
          <w:spacing w:val="-2"/>
          <w:rtl/>
        </w:rPr>
        <w:footnoteReference w:id="211"/>
      </w:r>
      <w:r w:rsidRPr="00FA0FC2">
        <w:rPr>
          <w:spacing w:val="-2"/>
          <w:vertAlign w:val="superscript"/>
          <w:rtl/>
        </w:rPr>
        <w:t>)</w:t>
      </w:r>
      <w:r w:rsidRPr="00FA0FC2">
        <w:rPr>
          <w:rFonts w:hint="cs"/>
          <w:spacing w:val="-2"/>
          <w:rtl/>
          <w:lang w:val="fr-CH" w:bidi="ar-MA"/>
        </w:rPr>
        <w:t xml:space="preserve"> واحتُجز دون محاكمة لمدة شهرين.</w:t>
      </w:r>
      <w:r>
        <w:rPr>
          <w:rFonts w:hint="cs"/>
          <w:spacing w:val="-2"/>
          <w:rtl/>
          <w:lang w:val="fr-CH" w:bidi="ar-MA"/>
        </w:rPr>
        <w:t xml:space="preserve"> ولم</w:t>
      </w:r>
      <w:r>
        <w:rPr>
          <w:spacing w:val="-2"/>
          <w:rtl/>
          <w:lang w:val="fr-CH" w:bidi="ar-MA"/>
        </w:rPr>
        <w:t> </w:t>
      </w:r>
      <w:r w:rsidRPr="00FA0FC2">
        <w:rPr>
          <w:rFonts w:hint="cs"/>
          <w:spacing w:val="-2"/>
          <w:rtl/>
          <w:lang w:val="fr-CH" w:bidi="ar-MA"/>
        </w:rPr>
        <w:t>تُرفع الاتهامات الموجهة ضده</w:t>
      </w:r>
      <w:r>
        <w:rPr>
          <w:rFonts w:hint="cs"/>
          <w:spacing w:val="-2"/>
          <w:rtl/>
          <w:lang w:val="fr-CH" w:bidi="ar-MA"/>
        </w:rPr>
        <w:t xml:space="preserve"> إلا</w:t>
      </w:r>
      <w:r>
        <w:rPr>
          <w:spacing w:val="-2"/>
          <w:rtl/>
          <w:lang w:val="fr-CH" w:bidi="ar-MA"/>
        </w:rPr>
        <w:t> </w:t>
      </w:r>
      <w:r w:rsidRPr="00FA0FC2">
        <w:rPr>
          <w:rFonts w:hint="cs"/>
          <w:spacing w:val="-2"/>
          <w:rtl/>
          <w:lang w:val="fr-CH" w:bidi="ar-MA"/>
        </w:rPr>
        <w:t>في</w:t>
      </w:r>
      <w:r>
        <w:rPr>
          <w:rFonts w:hint="cs"/>
          <w:spacing w:val="-2"/>
          <w:rtl/>
          <w:lang w:val="fr-CH" w:bidi="ar-MA"/>
        </w:rPr>
        <w:t xml:space="preserve"> عام</w:t>
      </w:r>
      <w:r>
        <w:rPr>
          <w:spacing w:val="-2"/>
          <w:rtl/>
          <w:lang w:val="fr-CH" w:bidi="ar-MA"/>
        </w:rPr>
        <w:t> </w:t>
      </w:r>
      <w:r w:rsidRPr="00FA0FC2">
        <w:rPr>
          <w:rFonts w:hint="cs"/>
          <w:spacing w:val="-2"/>
          <w:rtl/>
          <w:lang w:val="fr-CH" w:bidi="ar-MA"/>
        </w:rPr>
        <w:t>2004. وعلاوة على ذلك، منعت وزارة الإعلام والثقافة والرياضة في جمهورية تنزانيا المتحدة، بتاريخ 15 كانون الأول/ديسمبر 2007، صاحب الشكوى من مزاولة مهنته نظراً لأنه كان قد حرر مقالات تشوه سمعة قادة البلد.</w:t>
      </w:r>
    </w:p>
    <w:p w:rsidR="00091373" w:rsidRPr="00FA0FC2" w:rsidRDefault="00091373" w:rsidP="00091373">
      <w:pPr>
        <w:pStyle w:val="SingleTxtGA"/>
        <w:rPr>
          <w:rFonts w:hint="cs"/>
          <w:rtl/>
        </w:rPr>
      </w:pPr>
      <w:r w:rsidRPr="00FA0FC2">
        <w:rPr>
          <w:rFonts w:hint="cs"/>
          <w:rtl/>
          <w:lang w:val="fr-CH" w:bidi="ar-MA"/>
        </w:rPr>
        <w:t>2-3</w:t>
      </w:r>
      <w:r w:rsidRPr="00FA0FC2">
        <w:rPr>
          <w:rFonts w:hint="cs"/>
          <w:rtl/>
          <w:lang w:val="fr-CH" w:bidi="ar-MA"/>
        </w:rPr>
        <w:tab/>
        <w:t>وفي 5 حزيران/يونيه 2009، رفض مجلس الهجرة السويدي طلب صاحب الشكوى. واستند المجلس في اتخاذ قراره بالأساس إلى تقرير عن حقوق الإنسان لوزارة خارجية الولايات المتحدة بشأن جمهورية تنزانيا المتحدة ورد فيه أن تنزانيا تضمن حرية التعبير والحرية السياسية وتحترمهما. إضافة إلى ذلك، رأى المجلس أن تَعرُّض صاحب الشكوى للاضطهاد في</w:t>
      </w:r>
      <w:r>
        <w:rPr>
          <w:rFonts w:hint="cs"/>
          <w:rtl/>
          <w:lang w:val="fr-CH" w:bidi="ar-MA"/>
        </w:rPr>
        <w:t xml:space="preserve"> عام</w:t>
      </w:r>
      <w:r>
        <w:rPr>
          <w:rtl/>
          <w:lang w:val="fr-CH" w:bidi="ar-MA"/>
        </w:rPr>
        <w:t> </w:t>
      </w:r>
      <w:r w:rsidRPr="00FA0FC2">
        <w:rPr>
          <w:rFonts w:hint="cs"/>
          <w:rtl/>
          <w:lang w:val="fr-CH" w:bidi="ar-MA"/>
        </w:rPr>
        <w:t>2002 من السلطات التنزانية</w:t>
      </w:r>
      <w:r>
        <w:rPr>
          <w:rFonts w:hint="cs"/>
          <w:rtl/>
          <w:lang w:val="fr-CH" w:bidi="ar-MA"/>
        </w:rPr>
        <w:t xml:space="preserve"> لا</w:t>
      </w:r>
      <w:r>
        <w:rPr>
          <w:rtl/>
          <w:lang w:val="fr-CH" w:bidi="ar-MA"/>
        </w:rPr>
        <w:t> </w:t>
      </w:r>
      <w:r w:rsidRPr="00FA0FC2">
        <w:rPr>
          <w:rFonts w:hint="cs"/>
          <w:rtl/>
          <w:lang w:val="fr-CH" w:bidi="ar-MA"/>
        </w:rPr>
        <w:t>يبرر اتخاذ قرار يمنحه حق اللجوء، نظراً للزمن الذي مضى على ذلك.</w:t>
      </w:r>
    </w:p>
    <w:p w:rsidR="00091373" w:rsidRPr="00FA0FC2" w:rsidRDefault="00091373" w:rsidP="00091373">
      <w:pPr>
        <w:pStyle w:val="SingleTxtGA"/>
        <w:rPr>
          <w:rFonts w:hint="cs"/>
          <w:rtl/>
        </w:rPr>
      </w:pPr>
      <w:r w:rsidRPr="00FA0FC2">
        <w:rPr>
          <w:rFonts w:hint="cs"/>
          <w:rtl/>
        </w:rPr>
        <w:t>2-4</w:t>
      </w:r>
      <w:r w:rsidRPr="00FA0FC2">
        <w:rPr>
          <w:rFonts w:hint="cs"/>
          <w:rtl/>
        </w:rPr>
        <w:tab/>
        <w:t>وبتاريخ غير محدد، طعن صاحب الشكوى في قرار المجلس أمام محكمة الهجرة.</w:t>
      </w:r>
      <w:r>
        <w:rPr>
          <w:rFonts w:hint="cs"/>
          <w:rtl/>
        </w:rPr>
        <w:t xml:space="preserve"> وفي</w:t>
      </w:r>
      <w:r>
        <w:rPr>
          <w:rtl/>
        </w:rPr>
        <w:t> </w:t>
      </w:r>
      <w:r w:rsidRPr="00FA0FC2">
        <w:rPr>
          <w:rFonts w:hint="cs"/>
          <w:rtl/>
        </w:rPr>
        <w:t>28 أيار/مايو 2010، رفضت المحكمة طعنه</w:t>
      </w:r>
      <w:r>
        <w:rPr>
          <w:rFonts w:hint="cs"/>
          <w:rtl/>
        </w:rPr>
        <w:t xml:space="preserve"> إذ</w:t>
      </w:r>
      <w:r>
        <w:rPr>
          <w:rtl/>
        </w:rPr>
        <w:t> </w:t>
      </w:r>
      <w:r w:rsidRPr="00FA0FC2">
        <w:rPr>
          <w:rFonts w:hint="cs"/>
          <w:rtl/>
        </w:rPr>
        <w:t>ارتأت أن عرض صاحب الشكوى للأسباب التي دعته إلى التماس اللجوء عرض غير مقنع. وخلصت المحكمة إلى أنه ليست ثمة أسس كافية للاعتقاد بأن صاحب الشكوى سيواجه خطر الاضطهاد إذا</w:t>
      </w:r>
      <w:r>
        <w:rPr>
          <w:rFonts w:hint="cs"/>
          <w:rtl/>
        </w:rPr>
        <w:t xml:space="preserve"> ما</w:t>
      </w:r>
      <w:r>
        <w:rPr>
          <w:rtl/>
        </w:rPr>
        <w:t> </w:t>
      </w:r>
      <w:r w:rsidRPr="00FA0FC2">
        <w:rPr>
          <w:rFonts w:hint="cs"/>
          <w:rtl/>
        </w:rPr>
        <w:t>أُعيد إلى جمهورية تنزانيا المتحدة، وأن ظروف القضية</w:t>
      </w:r>
      <w:r>
        <w:rPr>
          <w:rFonts w:hint="cs"/>
          <w:rtl/>
        </w:rPr>
        <w:t xml:space="preserve"> لا</w:t>
      </w:r>
      <w:r>
        <w:rPr>
          <w:rtl/>
        </w:rPr>
        <w:t> </w:t>
      </w:r>
      <w:r w:rsidRPr="00FA0FC2">
        <w:rPr>
          <w:rFonts w:hint="cs"/>
          <w:rtl/>
        </w:rPr>
        <w:t>تكفي لإثبات حاجته إلى الحماية.</w:t>
      </w:r>
    </w:p>
    <w:p w:rsidR="00091373" w:rsidRPr="00FA0FC2" w:rsidRDefault="00091373" w:rsidP="00091373">
      <w:pPr>
        <w:pStyle w:val="SingleTxtGA"/>
        <w:rPr>
          <w:rFonts w:hint="cs"/>
          <w:rtl/>
          <w:lang w:val="fr-CH" w:bidi="ar-MA"/>
        </w:rPr>
      </w:pPr>
      <w:r w:rsidRPr="00FA0FC2">
        <w:rPr>
          <w:rFonts w:hint="cs"/>
          <w:rtl/>
        </w:rPr>
        <w:t>2-5</w:t>
      </w:r>
      <w:r w:rsidRPr="00FA0FC2">
        <w:rPr>
          <w:rFonts w:hint="cs"/>
          <w:rtl/>
        </w:rPr>
        <w:tab/>
        <w:t xml:space="preserve">وفي 6 آب/أغسطس 2010، طلب </w:t>
      </w:r>
      <w:r w:rsidRPr="00FA0FC2">
        <w:rPr>
          <w:rFonts w:hint="cs"/>
          <w:rtl/>
          <w:lang w:val="fr-CH" w:bidi="ar-MA"/>
        </w:rPr>
        <w:t>صاحب الشكوى من محكمة الاستئناف الخاصة بالهجرة أن تمنحه إذناً بالطعن.</w:t>
      </w:r>
      <w:r>
        <w:rPr>
          <w:rFonts w:hint="cs"/>
          <w:rtl/>
          <w:lang w:val="fr-CH" w:bidi="ar-MA"/>
        </w:rPr>
        <w:t xml:space="preserve"> وفي</w:t>
      </w:r>
      <w:r>
        <w:rPr>
          <w:rtl/>
          <w:lang w:val="fr-CH" w:bidi="ar-MA"/>
        </w:rPr>
        <w:t> </w:t>
      </w:r>
      <w:r w:rsidRPr="00FA0FC2">
        <w:rPr>
          <w:rFonts w:hint="cs"/>
          <w:rtl/>
          <w:lang w:val="fr-CH" w:bidi="ar-MA"/>
        </w:rPr>
        <w:t>27 آب/أغسطس 2010، لقي طلبه الرفض وأصبح قرار محكمة الهجرة المؤرخ 28 أيار/مايو 2010 نهائياً. واستدعى مجلس الهجرة صاحبَ الشكوى مرتين لاحقاً بخصوص التاريخ المحتمل لترحيله، فقرر بالتالي الاختباء</w:t>
      </w:r>
      <w:r w:rsidRPr="00FA0FC2">
        <w:rPr>
          <w:sz w:val="30"/>
          <w:vertAlign w:val="superscript"/>
          <w:rtl/>
        </w:rPr>
        <w:t>(</w:t>
      </w:r>
      <w:r w:rsidRPr="00FA0FC2">
        <w:rPr>
          <w:rStyle w:val="FootnoteReference"/>
          <w:rtl/>
        </w:rPr>
        <w:footnoteReference w:id="212"/>
      </w:r>
      <w:r w:rsidRPr="00FA0FC2">
        <w:rPr>
          <w:vertAlign w:val="superscript"/>
          <w:rtl/>
        </w:rPr>
        <w:t>)</w:t>
      </w:r>
      <w:r w:rsidRPr="00FA0FC2">
        <w:rPr>
          <w:rFonts w:hint="cs"/>
          <w:rtl/>
        </w:rPr>
        <w:t>.</w:t>
      </w:r>
    </w:p>
    <w:p w:rsidR="00091373" w:rsidRPr="00FA0FC2" w:rsidRDefault="00091373" w:rsidP="00091373">
      <w:pPr>
        <w:pStyle w:val="H23GA"/>
        <w:rPr>
          <w:rFonts w:hint="cs"/>
          <w:rtl/>
          <w:lang w:bidi="ar-SY"/>
        </w:rPr>
      </w:pPr>
      <w:r w:rsidRPr="00FA0FC2">
        <w:rPr>
          <w:rFonts w:hint="cs"/>
          <w:rtl/>
          <w:lang w:bidi="ar-SY"/>
        </w:rPr>
        <w:tab/>
      </w:r>
      <w:r w:rsidRPr="00FA0FC2">
        <w:rPr>
          <w:rFonts w:hint="cs"/>
          <w:rtl/>
          <w:lang w:bidi="ar-SY"/>
        </w:rPr>
        <w:tab/>
        <w:t>الشكوى</w:t>
      </w:r>
    </w:p>
    <w:p w:rsidR="00091373" w:rsidRPr="001776AB" w:rsidRDefault="00091373" w:rsidP="00091373">
      <w:pPr>
        <w:pStyle w:val="SingleTxtGA"/>
        <w:rPr>
          <w:rFonts w:hint="cs"/>
          <w:spacing w:val="-4"/>
          <w:rtl/>
          <w:lang w:bidi="ar-SY"/>
        </w:rPr>
      </w:pPr>
      <w:r w:rsidRPr="001776AB">
        <w:rPr>
          <w:rFonts w:hint="cs"/>
          <w:spacing w:val="-4"/>
          <w:rtl/>
          <w:lang w:bidi="ar-SY"/>
        </w:rPr>
        <w:t>3-</w:t>
      </w:r>
      <w:r w:rsidRPr="001776AB">
        <w:rPr>
          <w:rFonts w:hint="cs"/>
          <w:spacing w:val="-4"/>
          <w:rtl/>
          <w:lang w:bidi="ar-SY"/>
        </w:rPr>
        <w:tab/>
        <w:t>يدعي صاحب الشكوى أنه سيتعرض للاعتقال والتعذيب في حال ما</w:t>
      </w:r>
      <w:r w:rsidRPr="001776AB">
        <w:rPr>
          <w:spacing w:val="-4"/>
          <w:rtl/>
          <w:lang w:bidi="ar-SY"/>
        </w:rPr>
        <w:t> </w:t>
      </w:r>
      <w:r w:rsidRPr="001776AB">
        <w:rPr>
          <w:rFonts w:hint="cs"/>
          <w:spacing w:val="-4"/>
          <w:rtl/>
          <w:lang w:bidi="ar-SY"/>
        </w:rPr>
        <w:t>أُعيد إلى جمهورية تنزانيا المتحدة، مما</w:t>
      </w:r>
      <w:r w:rsidRPr="001776AB">
        <w:rPr>
          <w:spacing w:val="-4"/>
          <w:rtl/>
          <w:lang w:bidi="ar-SY"/>
        </w:rPr>
        <w:t> </w:t>
      </w:r>
      <w:r w:rsidRPr="001776AB">
        <w:rPr>
          <w:rFonts w:hint="cs"/>
          <w:spacing w:val="-4"/>
          <w:rtl/>
          <w:lang w:bidi="ar-SY"/>
        </w:rPr>
        <w:t>سيمثل انتهاكاً لالتزامات الدولة الطرف بموجب المادة</w:t>
      </w:r>
      <w:r w:rsidRPr="001776AB">
        <w:rPr>
          <w:spacing w:val="-4"/>
          <w:rtl/>
          <w:lang w:bidi="ar-SY"/>
        </w:rPr>
        <w:t> </w:t>
      </w:r>
      <w:r w:rsidRPr="001776AB">
        <w:rPr>
          <w:rFonts w:hint="cs"/>
          <w:spacing w:val="-4"/>
          <w:rtl/>
          <w:lang w:bidi="ar-SY"/>
        </w:rPr>
        <w:t>3 من الاتفاقية.</w:t>
      </w:r>
    </w:p>
    <w:p w:rsidR="00091373" w:rsidRPr="00FA0FC2" w:rsidRDefault="00091373" w:rsidP="00091373">
      <w:pPr>
        <w:pStyle w:val="H23GA"/>
        <w:rPr>
          <w:rFonts w:hint="cs"/>
          <w:rtl/>
          <w:lang/>
        </w:rPr>
      </w:pPr>
      <w:r w:rsidRPr="00FA0FC2">
        <w:rPr>
          <w:rFonts w:hint="cs"/>
          <w:rtl/>
          <w:lang/>
        </w:rPr>
        <w:tab/>
      </w:r>
      <w:r w:rsidRPr="00FA0FC2">
        <w:rPr>
          <w:rFonts w:hint="cs"/>
          <w:rtl/>
          <w:lang/>
        </w:rPr>
        <w:tab/>
        <w:t>ملاحظات الدولة الطرف بشأن المقبولية والأسس الموضوعية</w:t>
      </w:r>
    </w:p>
    <w:p w:rsidR="00091373" w:rsidRPr="00FA0FC2" w:rsidRDefault="00091373" w:rsidP="00091373">
      <w:pPr>
        <w:pStyle w:val="SingleTxtGA"/>
        <w:rPr>
          <w:rFonts w:hint="cs"/>
          <w:rtl/>
        </w:rPr>
      </w:pPr>
      <w:r w:rsidRPr="00FA0FC2">
        <w:rPr>
          <w:rFonts w:hint="cs"/>
          <w:rtl/>
          <w:lang/>
        </w:rPr>
        <w:t>4-1</w:t>
      </w:r>
      <w:r w:rsidRPr="00FA0FC2">
        <w:rPr>
          <w:rFonts w:hint="cs"/>
          <w:rtl/>
          <w:lang w:bidi="ar-SY"/>
        </w:rPr>
        <w:tab/>
      </w:r>
      <w:r w:rsidRPr="00FA0FC2">
        <w:rPr>
          <w:rFonts w:hint="cs"/>
          <w:rtl/>
        </w:rPr>
        <w:t>قدمت الدولة الطرف في المذكرة الشفوية المؤرخة 4 أيار/مايو 2011، ملاحظاتها بشأن المقبولية والأسس الموضوعية. وأشارت إلى أن طلب صاحب الشكوى الحصول على رخصة للإقامة قد تم تقييمه بموجب قانون الأجانب</w:t>
      </w:r>
      <w:r>
        <w:rPr>
          <w:rFonts w:hint="cs"/>
          <w:rtl/>
        </w:rPr>
        <w:t xml:space="preserve"> لعام</w:t>
      </w:r>
      <w:r>
        <w:rPr>
          <w:rtl/>
        </w:rPr>
        <w:t> </w:t>
      </w:r>
      <w:r w:rsidRPr="00FA0FC2">
        <w:rPr>
          <w:rFonts w:hint="cs"/>
          <w:rtl/>
        </w:rPr>
        <w:t>2005، الذي خضع جزئياً للتعديل في كانون الثاني/يناير 2010. وبالتالي فإن مجلس الهجرة ينظر في طلبه أولاً، بينما تخضع الطعون في قرارات المجلس لنظر إحدى المحاكم الثلاث القائمة المعنية بالهجرة، وتُخوَّل محكمة الاستئناف الخاصة بالهجرة البت النهائي في القضية.</w:t>
      </w:r>
    </w:p>
    <w:p w:rsidR="00091373" w:rsidRPr="00FA0FC2" w:rsidRDefault="00091373" w:rsidP="00091373">
      <w:pPr>
        <w:pStyle w:val="SingleTxtGA"/>
        <w:rPr>
          <w:rFonts w:hint="cs"/>
          <w:spacing w:val="-2"/>
          <w:rtl/>
          <w:lang w:bidi="ar-MA"/>
        </w:rPr>
      </w:pPr>
      <w:r w:rsidRPr="00FA0FC2">
        <w:rPr>
          <w:rFonts w:hint="cs"/>
          <w:spacing w:val="-2"/>
          <w:rtl/>
        </w:rPr>
        <w:t>4-2</w:t>
      </w:r>
      <w:r w:rsidRPr="00FA0FC2">
        <w:rPr>
          <w:rFonts w:hint="cs"/>
          <w:spacing w:val="-2"/>
          <w:rtl/>
        </w:rPr>
        <w:tab/>
        <w:t>وتفيد الدولة الطرف بإجراء مقابلة أولى مع صاحب الشكوى بتاريخ 22 أيلول/</w:t>
      </w:r>
      <w:r>
        <w:rPr>
          <w:rFonts w:hint="cs"/>
          <w:spacing w:val="-2"/>
          <w:rtl/>
        </w:rPr>
        <w:t xml:space="preserve"> </w:t>
      </w:r>
      <w:r w:rsidRPr="00FA0FC2">
        <w:rPr>
          <w:rFonts w:hint="cs"/>
          <w:spacing w:val="-2"/>
          <w:rtl/>
        </w:rPr>
        <w:t xml:space="preserve">سبتمبر 2008، صرَّح خلالها بأنه قد عمل صحفياً في صحيفة تُدعى </w:t>
      </w:r>
      <w:r w:rsidRPr="00FA0FC2">
        <w:rPr>
          <w:i/>
          <w:iCs/>
          <w:spacing w:val="-2"/>
          <w:lang w:val="fr-CH"/>
        </w:rPr>
        <w:t>Tanzania Daima</w:t>
      </w:r>
      <w:r w:rsidRPr="00FA0FC2">
        <w:rPr>
          <w:rFonts w:hint="cs"/>
          <w:i/>
          <w:iCs/>
          <w:spacing w:val="-2"/>
          <w:rtl/>
        </w:rPr>
        <w:t xml:space="preserve"> </w:t>
      </w:r>
      <w:r w:rsidRPr="00FA0FC2">
        <w:rPr>
          <w:rFonts w:hint="cs"/>
          <w:spacing w:val="-2"/>
          <w:rtl/>
        </w:rPr>
        <w:t>بدار السلام.</w:t>
      </w:r>
      <w:r w:rsidRPr="00FA0FC2">
        <w:rPr>
          <w:rFonts w:hint="cs"/>
          <w:spacing w:val="-2"/>
          <w:rtl/>
          <w:lang w:bidi="ar-MA"/>
        </w:rPr>
        <w:t xml:space="preserve"> وبسبب مقال حرره في أوائل آب/أغسطس 2008، كان يخشى أن يحكم عليه بالسجن وأن يخضع للتعذيب إذا</w:t>
      </w:r>
      <w:r>
        <w:rPr>
          <w:rFonts w:hint="cs"/>
          <w:spacing w:val="-2"/>
          <w:rtl/>
          <w:lang w:bidi="ar-MA"/>
        </w:rPr>
        <w:t xml:space="preserve"> ما</w:t>
      </w:r>
      <w:r>
        <w:rPr>
          <w:spacing w:val="-2"/>
          <w:rtl/>
          <w:lang w:bidi="ar-MA"/>
        </w:rPr>
        <w:t> </w:t>
      </w:r>
      <w:r w:rsidRPr="00FA0FC2">
        <w:rPr>
          <w:rFonts w:hint="cs"/>
          <w:spacing w:val="-2"/>
          <w:rtl/>
          <w:lang w:bidi="ar-MA"/>
        </w:rPr>
        <w:t xml:space="preserve">أُعيد لبلده الأصلي. وكان عضواً في حزب سياسي معارض يدعى </w:t>
      </w:r>
      <w:r w:rsidRPr="00FA0FC2">
        <w:rPr>
          <w:spacing w:val="-2"/>
          <w:lang w:val="fr-CH" w:bidi="ar-MA"/>
        </w:rPr>
        <w:t>Chadema</w:t>
      </w:r>
      <w:r w:rsidRPr="00FA0FC2">
        <w:rPr>
          <w:rFonts w:hint="cs"/>
          <w:spacing w:val="-2"/>
          <w:rtl/>
          <w:lang w:bidi="ar-MA"/>
        </w:rPr>
        <w:t>.</w:t>
      </w:r>
      <w:r>
        <w:rPr>
          <w:rFonts w:hint="cs"/>
          <w:spacing w:val="-2"/>
          <w:rtl/>
          <w:lang w:bidi="ar-MA"/>
        </w:rPr>
        <w:t xml:space="preserve"> وفي</w:t>
      </w:r>
      <w:r>
        <w:rPr>
          <w:spacing w:val="-2"/>
          <w:rtl/>
          <w:lang w:bidi="ar-MA"/>
        </w:rPr>
        <w:t> </w:t>
      </w:r>
      <w:r w:rsidRPr="00FA0FC2">
        <w:rPr>
          <w:rFonts w:hint="cs"/>
          <w:spacing w:val="-2"/>
          <w:rtl/>
          <w:lang w:bidi="ar-MA"/>
        </w:rPr>
        <w:t>نيسان/أبريل 2002، تعرض للاعتقال والتعذيب. وأُطلق سراحه في نهاية حزيران/يونيه 2002، وكان يتعيّن عليه منذئذ مراجعة سلطات الشرطة مرتين في</w:t>
      </w:r>
      <w:r w:rsidRPr="00FA0FC2">
        <w:rPr>
          <w:rFonts w:hint="eastAsia"/>
          <w:spacing w:val="-2"/>
          <w:rtl/>
          <w:lang w:bidi="ar-MA"/>
        </w:rPr>
        <w:t> </w:t>
      </w:r>
      <w:r w:rsidRPr="00FA0FC2">
        <w:rPr>
          <w:rFonts w:hint="cs"/>
          <w:spacing w:val="-2"/>
          <w:rtl/>
          <w:lang w:bidi="ar-MA"/>
        </w:rPr>
        <w:t>الأسبوع حتى</w:t>
      </w:r>
      <w:r>
        <w:rPr>
          <w:rFonts w:hint="cs"/>
          <w:spacing w:val="-2"/>
          <w:rtl/>
          <w:lang w:bidi="ar-MA"/>
        </w:rPr>
        <w:t xml:space="preserve"> عام</w:t>
      </w:r>
      <w:r>
        <w:rPr>
          <w:spacing w:val="-2"/>
          <w:rtl/>
          <w:lang w:bidi="ar-MA"/>
        </w:rPr>
        <w:t> </w:t>
      </w:r>
      <w:r w:rsidRPr="00FA0FC2">
        <w:rPr>
          <w:rFonts w:hint="cs"/>
          <w:spacing w:val="-2"/>
          <w:rtl/>
          <w:lang w:bidi="ar-MA"/>
        </w:rPr>
        <w:t>2004 عندما رُفعت الاتهامات الموجهة ضده. وأُجريت مقابلة ثانية معه في 4 شباط/فبراير 2009.</w:t>
      </w:r>
    </w:p>
    <w:p w:rsidR="00091373" w:rsidRPr="00FA0FC2" w:rsidRDefault="00091373" w:rsidP="00091373">
      <w:pPr>
        <w:pStyle w:val="SingleTxtGA"/>
        <w:spacing w:line="370" w:lineRule="exact"/>
        <w:rPr>
          <w:rFonts w:hint="cs"/>
          <w:rtl/>
          <w:lang w:val="fr-CH" w:bidi="ar-MA"/>
        </w:rPr>
      </w:pPr>
      <w:r w:rsidRPr="00FA0FC2">
        <w:rPr>
          <w:rFonts w:hint="cs"/>
          <w:rtl/>
          <w:lang w:bidi="ar-MA"/>
        </w:rPr>
        <w:t>4-3</w:t>
      </w:r>
      <w:r w:rsidRPr="00FA0FC2">
        <w:rPr>
          <w:rFonts w:hint="cs"/>
          <w:rtl/>
          <w:lang w:bidi="ar-MA"/>
        </w:rPr>
        <w:tab/>
        <w:t xml:space="preserve">وفي 5 حزيران/يونيه 2009، رفض مجلس الهجرة طلب صاحب الشكوى. وأحال المجلس في قراره إلى </w:t>
      </w:r>
      <w:r w:rsidRPr="00FA0FC2">
        <w:rPr>
          <w:rFonts w:hint="cs"/>
          <w:rtl/>
          <w:lang w:val="fr-CH" w:bidi="ar-MA"/>
        </w:rPr>
        <w:t xml:space="preserve">الجزء المتعلق </w:t>
      </w:r>
      <w:r w:rsidRPr="00FA0FC2">
        <w:rPr>
          <w:rFonts w:hint="cs"/>
          <w:sz w:val="30"/>
          <w:rtl/>
          <w:lang w:val="fr-CH" w:bidi="ar-MA"/>
        </w:rPr>
        <w:t>ب‍</w:t>
      </w:r>
      <w:r>
        <w:rPr>
          <w:rFonts w:hint="eastAsia"/>
          <w:sz w:val="30"/>
          <w:rtl/>
          <w:lang w:val="fr-CH" w:bidi="ar-MA"/>
        </w:rPr>
        <w:t> </w:t>
      </w:r>
      <w:r w:rsidRPr="00FA0FC2">
        <w:rPr>
          <w:rFonts w:hint="cs"/>
          <w:rtl/>
          <w:lang w:val="fr-CH" w:bidi="ar-MA"/>
        </w:rPr>
        <w:t xml:space="preserve">"حرية الكلام والصحافة" من تقرير وزارة خارجية الولايات المتحدة السنوي عن حقوق الإنسان </w:t>
      </w:r>
      <w:r>
        <w:rPr>
          <w:rFonts w:hint="cs"/>
          <w:rtl/>
          <w:lang w:val="fr-CH" w:bidi="ar-MA"/>
        </w:rPr>
        <w:t xml:space="preserve">في </w:t>
      </w:r>
      <w:r w:rsidRPr="00FA0FC2">
        <w:rPr>
          <w:rFonts w:hint="cs"/>
          <w:rtl/>
          <w:lang w:val="fr-CH" w:bidi="ar-MA"/>
        </w:rPr>
        <w:t>جمهورية تنزانيا المتحدة من 2006 إلى</w:t>
      </w:r>
      <w:r>
        <w:rPr>
          <w:rFonts w:hint="eastAsia"/>
          <w:rtl/>
          <w:lang w:val="fr-CH" w:bidi="ar-MA"/>
        </w:rPr>
        <w:t> </w:t>
      </w:r>
      <w:r w:rsidRPr="00FA0FC2">
        <w:rPr>
          <w:rFonts w:hint="cs"/>
          <w:rtl/>
          <w:lang w:val="fr-CH" w:bidi="ar-MA"/>
        </w:rPr>
        <w:t xml:space="preserve">2009، الذي يشير إلى أن حرية التعبير مرسخةٌ في دستور تنزانيا كحق من الحقوق؛ وقد عبَّر الرئيس علناً عن دعمه لحرية الصحافة، ويتسنى للصحفيين عموماً نشر المقالات وتسمح السلطات للمعارضة بالوصول بحرية إلى وسائط الإعلام؛ وتَصدر صحيفة </w:t>
      </w:r>
      <w:r w:rsidRPr="00FA0FC2">
        <w:rPr>
          <w:i/>
          <w:iCs/>
          <w:lang w:val="fr-CH" w:bidi="ar-MA"/>
        </w:rPr>
        <w:t>Tanzania Daima</w:t>
      </w:r>
      <w:r w:rsidRPr="00FA0FC2">
        <w:rPr>
          <w:rFonts w:hint="cs"/>
          <w:i/>
          <w:iCs/>
          <w:rtl/>
          <w:lang w:val="fr-CH" w:bidi="ar-MA"/>
        </w:rPr>
        <w:t xml:space="preserve"> </w:t>
      </w:r>
      <w:r w:rsidRPr="00FA0FC2">
        <w:rPr>
          <w:rFonts w:hint="cs"/>
          <w:rtl/>
          <w:lang w:val="fr-CH" w:bidi="ar-MA"/>
        </w:rPr>
        <w:t xml:space="preserve">التابعة للحزب السياسي </w:t>
      </w:r>
      <w:r w:rsidRPr="00FA0FC2">
        <w:rPr>
          <w:lang w:val="fr-CH" w:bidi="ar-MA"/>
        </w:rPr>
        <w:t>Chadema</w:t>
      </w:r>
      <w:r w:rsidRPr="00FA0FC2">
        <w:rPr>
          <w:rFonts w:hint="cs"/>
          <w:rtl/>
          <w:lang w:val="fr-CH" w:bidi="ar-MA"/>
        </w:rPr>
        <w:t xml:space="preserve"> يومياً.</w:t>
      </w:r>
      <w:r>
        <w:rPr>
          <w:rFonts w:hint="cs"/>
          <w:rtl/>
          <w:lang w:val="fr-CH" w:bidi="ar-MA"/>
        </w:rPr>
        <w:t xml:space="preserve"> كما</w:t>
      </w:r>
      <w:r>
        <w:rPr>
          <w:rtl/>
          <w:lang w:val="fr-CH" w:bidi="ar-MA"/>
        </w:rPr>
        <w:t> </w:t>
      </w:r>
      <w:r w:rsidRPr="00FA0FC2">
        <w:rPr>
          <w:rFonts w:hint="cs"/>
          <w:rtl/>
          <w:lang w:val="fr-CH" w:bidi="ar-MA"/>
        </w:rPr>
        <w:t xml:space="preserve">لاحظ المجلس إضافة إلى ذلك، وفقاً لتقارير لجنة حماية الصحفيين - تنزانيا، أن صاحب الشكوى كان مراسلاً لصحيفة </w:t>
      </w:r>
      <w:r w:rsidRPr="00FA0FC2">
        <w:rPr>
          <w:i/>
          <w:iCs/>
          <w:lang w:val="fr-CH" w:bidi="ar-MA"/>
        </w:rPr>
        <w:t>Mwananchi</w:t>
      </w:r>
      <w:r w:rsidRPr="00FA0FC2">
        <w:rPr>
          <w:rFonts w:hint="cs"/>
          <w:rtl/>
          <w:lang w:val="fr-CH" w:bidi="ar-MA"/>
        </w:rPr>
        <w:t xml:space="preserve"> اليومية واتُّهم </w:t>
      </w:r>
      <w:r w:rsidRPr="00FA0FC2">
        <w:rPr>
          <w:rFonts w:hint="cs"/>
          <w:sz w:val="30"/>
          <w:rtl/>
          <w:lang w:val="fr-CH" w:bidi="ar-MA"/>
        </w:rPr>
        <w:t>ب‍</w:t>
      </w:r>
      <w:r>
        <w:rPr>
          <w:rFonts w:hint="eastAsia"/>
          <w:sz w:val="30"/>
          <w:rtl/>
          <w:lang w:val="fr-CH" w:bidi="ar-MA"/>
        </w:rPr>
        <w:t> </w:t>
      </w:r>
      <w:r w:rsidRPr="00FA0FC2">
        <w:rPr>
          <w:rFonts w:hint="cs"/>
          <w:rtl/>
          <w:lang w:val="fr-CH" w:bidi="ar-MA"/>
        </w:rPr>
        <w:t>"انتهاك حرمة البرلمان" بعد أن ادعى في مقال مؤرخ 7 نيسان/أبريل 2001 أن بعض الإصلاحات المقترحة ستكون في صالح الحزب الحاكم. فاعتُقل صاحب الشكوى واستُجوب</w:t>
      </w:r>
      <w:r w:rsidRPr="00FA0FC2">
        <w:rPr>
          <w:sz w:val="30"/>
          <w:vertAlign w:val="superscript"/>
          <w:rtl/>
        </w:rPr>
        <w:t>(</w:t>
      </w:r>
      <w:r w:rsidRPr="00FA0FC2">
        <w:rPr>
          <w:rStyle w:val="FootnoteReference"/>
          <w:rtl/>
        </w:rPr>
        <w:footnoteReference w:id="213"/>
      </w:r>
      <w:r w:rsidRPr="00FA0FC2">
        <w:rPr>
          <w:vertAlign w:val="superscript"/>
          <w:rtl/>
        </w:rPr>
        <w:t>)</w:t>
      </w:r>
      <w:r w:rsidRPr="00FA0FC2">
        <w:rPr>
          <w:rFonts w:hint="cs"/>
          <w:rtl/>
        </w:rPr>
        <w:t>،</w:t>
      </w:r>
      <w:r w:rsidRPr="00FA0FC2">
        <w:rPr>
          <w:rFonts w:hint="cs"/>
          <w:rtl/>
          <w:lang w:val="fr-CH" w:bidi="ar-MA"/>
        </w:rPr>
        <w:t xml:space="preserve"> ولكن أُطلق سراحه لاحقاً دون توجيه تهمة إليه بعد مرور عدة ساعات. بيد أنه تلقى تهديداً بالمزيد من الملاحقة القانونية. وأفاد مدع</w:t>
      </w:r>
      <w:r>
        <w:rPr>
          <w:rFonts w:hint="cs"/>
          <w:rtl/>
          <w:lang w:val="fr-CH" w:bidi="ar-MA"/>
        </w:rPr>
        <w:t xml:space="preserve"> عام</w:t>
      </w:r>
      <w:r>
        <w:rPr>
          <w:rtl/>
          <w:lang w:val="fr-CH" w:bidi="ar-MA"/>
        </w:rPr>
        <w:t> </w:t>
      </w:r>
      <w:r w:rsidRPr="00FA0FC2">
        <w:rPr>
          <w:rFonts w:hint="cs"/>
          <w:rtl/>
          <w:lang w:val="fr-CH" w:bidi="ar-MA"/>
        </w:rPr>
        <w:t>لاحقاً بأنه تلقى تعليمات من البرلمان بمقاضاة صاحب الشكوى، غير أن المجلس الإعلامي لتنزانيا وغيره من المدافعين عن حرية التعبير قد أثاروا اعتراضات على ذلك،</w:t>
      </w:r>
      <w:r>
        <w:rPr>
          <w:rFonts w:hint="cs"/>
          <w:rtl/>
          <w:lang w:val="fr-CH" w:bidi="ar-MA"/>
        </w:rPr>
        <w:t xml:space="preserve"> مما</w:t>
      </w:r>
      <w:r>
        <w:rPr>
          <w:rtl/>
          <w:lang w:val="fr-CH" w:bidi="ar-MA"/>
        </w:rPr>
        <w:t> </w:t>
      </w:r>
      <w:r w:rsidRPr="00FA0FC2">
        <w:rPr>
          <w:rFonts w:hint="cs"/>
          <w:rtl/>
          <w:lang w:val="fr-CH" w:bidi="ar-MA"/>
        </w:rPr>
        <w:t>حال دون توجيه المزيد من الاتهامات ضد صاحب الشكوى. وقد وردت نفس رواية الأحداث أيضاً في التقرير المعنون "حالة وسائط الإعلام في أفريقيا الجنوبية" ومن جانب معهد الصحافة الدولي. ونتيجة لذلك، ارتأى المجلس أن حالة صاحب الشكوى</w:t>
      </w:r>
      <w:r>
        <w:rPr>
          <w:rFonts w:hint="cs"/>
          <w:rtl/>
          <w:lang w:val="fr-CH" w:bidi="ar-MA"/>
        </w:rPr>
        <w:t xml:space="preserve"> لا</w:t>
      </w:r>
      <w:r>
        <w:rPr>
          <w:rtl/>
          <w:lang w:val="fr-CH" w:bidi="ar-MA"/>
        </w:rPr>
        <w:t> </w:t>
      </w:r>
      <w:r w:rsidRPr="00FA0FC2">
        <w:rPr>
          <w:rFonts w:hint="cs"/>
          <w:rtl/>
          <w:lang w:val="fr-CH" w:bidi="ar-MA"/>
        </w:rPr>
        <w:t>تستدعي إصدار رخصة إقامة له على أساس ظروف قاسية للغاية. وشككَ</w:t>
      </w:r>
      <w:r>
        <w:rPr>
          <w:rFonts w:hint="cs"/>
          <w:rtl/>
          <w:lang w:val="fr-CH" w:bidi="ar-MA"/>
        </w:rPr>
        <w:t xml:space="preserve"> فيما</w:t>
      </w:r>
      <w:r>
        <w:rPr>
          <w:rtl/>
          <w:lang w:val="fr-CH" w:bidi="ar-MA"/>
        </w:rPr>
        <w:t> </w:t>
      </w:r>
      <w:r w:rsidRPr="00FA0FC2">
        <w:rPr>
          <w:rFonts w:hint="cs"/>
          <w:rtl/>
          <w:lang w:val="fr-CH" w:bidi="ar-MA"/>
        </w:rPr>
        <w:t>إذا كان صاحب الشكوى قد سُجن حقاً لمدة شهرين في</w:t>
      </w:r>
      <w:r>
        <w:rPr>
          <w:rFonts w:hint="cs"/>
          <w:rtl/>
          <w:lang w:val="fr-CH" w:bidi="ar-MA"/>
        </w:rPr>
        <w:t xml:space="preserve"> عام</w:t>
      </w:r>
      <w:r>
        <w:rPr>
          <w:rtl/>
          <w:lang w:val="fr-CH" w:bidi="ar-MA"/>
        </w:rPr>
        <w:t> </w:t>
      </w:r>
      <w:r w:rsidRPr="00FA0FC2">
        <w:rPr>
          <w:rFonts w:hint="cs"/>
          <w:rtl/>
          <w:lang w:val="fr-CH" w:bidi="ar-MA"/>
        </w:rPr>
        <w:t>2002</w:t>
      </w:r>
      <w:r>
        <w:rPr>
          <w:rFonts w:hint="cs"/>
          <w:rtl/>
          <w:lang w:val="fr-CH" w:bidi="ar-MA"/>
        </w:rPr>
        <w:t xml:space="preserve"> أم</w:t>
      </w:r>
      <w:r>
        <w:rPr>
          <w:rtl/>
          <w:lang w:val="fr-CH" w:bidi="ar-MA"/>
        </w:rPr>
        <w:t> </w:t>
      </w:r>
      <w:r w:rsidRPr="00FA0FC2">
        <w:rPr>
          <w:rFonts w:hint="cs"/>
          <w:rtl/>
          <w:lang w:val="fr-CH" w:bidi="ar-MA"/>
        </w:rPr>
        <w:t>لا،</w:t>
      </w:r>
      <w:r>
        <w:rPr>
          <w:rFonts w:hint="cs"/>
          <w:rtl/>
          <w:lang w:val="fr-CH" w:bidi="ar-MA"/>
        </w:rPr>
        <w:t xml:space="preserve"> كما</w:t>
      </w:r>
      <w:r>
        <w:rPr>
          <w:rtl/>
          <w:lang w:val="fr-CH" w:bidi="ar-MA"/>
        </w:rPr>
        <w:t> </w:t>
      </w:r>
      <w:r w:rsidRPr="00FA0FC2">
        <w:rPr>
          <w:rFonts w:hint="cs"/>
          <w:rtl/>
          <w:lang w:val="fr-CH" w:bidi="ar-MA"/>
        </w:rPr>
        <w:t>لاحظ أنه منذ</w:t>
      </w:r>
      <w:r>
        <w:rPr>
          <w:rFonts w:hint="cs"/>
          <w:rtl/>
          <w:lang w:val="fr-CH" w:bidi="ar-MA"/>
        </w:rPr>
        <w:t xml:space="preserve"> عام</w:t>
      </w:r>
      <w:r>
        <w:rPr>
          <w:rtl/>
          <w:lang w:val="fr-CH" w:bidi="ar-MA"/>
        </w:rPr>
        <w:t> </w:t>
      </w:r>
      <w:r w:rsidRPr="00FA0FC2">
        <w:rPr>
          <w:rFonts w:hint="cs"/>
          <w:rtl/>
          <w:lang w:val="fr-CH" w:bidi="ar-MA"/>
        </w:rPr>
        <w:t>2002 وبعد</w:t>
      </w:r>
      <w:r>
        <w:rPr>
          <w:rFonts w:hint="cs"/>
          <w:rtl/>
          <w:lang w:val="fr-CH" w:bidi="ar-MA"/>
        </w:rPr>
        <w:t xml:space="preserve"> عام</w:t>
      </w:r>
      <w:r>
        <w:rPr>
          <w:rtl/>
          <w:lang w:val="fr-CH" w:bidi="ar-MA"/>
        </w:rPr>
        <w:t> </w:t>
      </w:r>
      <w:r w:rsidRPr="00FA0FC2">
        <w:rPr>
          <w:rFonts w:hint="cs"/>
          <w:rtl/>
          <w:lang w:val="fr-CH" w:bidi="ar-MA"/>
        </w:rPr>
        <w:t>2007 بالأخص، عندما مُنع صاحب الشكوى من إصدار أي تقارير عن أي عمل يؤديه أعضاء الحكومة، فإنه</w:t>
      </w:r>
      <w:r>
        <w:rPr>
          <w:rFonts w:hint="cs"/>
          <w:rtl/>
          <w:lang w:val="fr-CH" w:bidi="ar-MA"/>
        </w:rPr>
        <w:t xml:space="preserve"> لم</w:t>
      </w:r>
      <w:r>
        <w:rPr>
          <w:rtl/>
          <w:lang w:val="fr-CH" w:bidi="ar-MA"/>
        </w:rPr>
        <w:t> </w:t>
      </w:r>
      <w:r w:rsidRPr="00FA0FC2">
        <w:rPr>
          <w:rFonts w:hint="cs"/>
          <w:rtl/>
          <w:lang w:val="fr-CH" w:bidi="ar-MA"/>
        </w:rPr>
        <w:t>يُمنع من العمل كصحفي بل حرر عدداً من المقالات. وأخيراً، لاحظ المجلس أن استمرار صدور الصحيفة التي يُزعم أنها نشرت مقاله السياسي المؤرخ 3 آب/أغسطس 2008 وعدم مواجهتها أي تداعيات قانونية أمران في منتهى الغرابة.</w:t>
      </w:r>
    </w:p>
    <w:p w:rsidR="00091373" w:rsidRPr="001776AB" w:rsidRDefault="00091373" w:rsidP="00091373">
      <w:pPr>
        <w:pStyle w:val="SingleTxtGA"/>
        <w:spacing w:line="370" w:lineRule="exact"/>
        <w:rPr>
          <w:rFonts w:hint="cs"/>
          <w:spacing w:val="-2"/>
          <w:rtl/>
          <w:lang w:val="fr-CH" w:bidi="ar-MA"/>
        </w:rPr>
      </w:pPr>
      <w:r w:rsidRPr="001776AB">
        <w:rPr>
          <w:rFonts w:hint="cs"/>
          <w:spacing w:val="-2"/>
          <w:rtl/>
          <w:lang w:val="fr-CH" w:bidi="ar-MA"/>
        </w:rPr>
        <w:t>4-4</w:t>
      </w:r>
      <w:r w:rsidRPr="001776AB">
        <w:rPr>
          <w:rFonts w:hint="cs"/>
          <w:spacing w:val="-2"/>
          <w:rtl/>
          <w:lang w:val="fr-CH" w:bidi="ar-MA"/>
        </w:rPr>
        <w:tab/>
        <w:t>وفي 22 حزيران/يونيه 2009، طعن صاحب الشكوى أمام محكمة الهجرة في قرار الرفض الذي اتخذه مجلس الهجرة. وفي</w:t>
      </w:r>
      <w:r w:rsidRPr="001776AB">
        <w:rPr>
          <w:spacing w:val="-2"/>
          <w:rtl/>
          <w:lang w:val="fr-CH" w:bidi="ar-MA"/>
        </w:rPr>
        <w:t> </w:t>
      </w:r>
      <w:r w:rsidRPr="001776AB">
        <w:rPr>
          <w:rFonts w:hint="cs"/>
          <w:spacing w:val="-2"/>
          <w:rtl/>
          <w:lang w:val="fr-CH" w:bidi="ar-MA"/>
        </w:rPr>
        <w:t>7 أيار/مايو 2010، عقدت المحكمة جلسة استماع وخلصت إلى أنها لم</w:t>
      </w:r>
      <w:r w:rsidRPr="001776AB">
        <w:rPr>
          <w:spacing w:val="-2"/>
          <w:rtl/>
          <w:lang w:val="fr-CH" w:bidi="ar-MA"/>
        </w:rPr>
        <w:t> </w:t>
      </w:r>
      <w:r w:rsidRPr="001776AB">
        <w:rPr>
          <w:rFonts w:hint="cs"/>
          <w:spacing w:val="-2"/>
          <w:rtl/>
          <w:lang w:val="fr-CH" w:bidi="ar-MA"/>
        </w:rPr>
        <w:t>تعثر على أسباب تدعوها للتشكيك فيما</w:t>
      </w:r>
      <w:r w:rsidRPr="001776AB">
        <w:rPr>
          <w:spacing w:val="-2"/>
          <w:rtl/>
          <w:lang w:val="fr-CH" w:bidi="ar-MA"/>
        </w:rPr>
        <w:t> </w:t>
      </w:r>
      <w:r w:rsidRPr="001776AB">
        <w:rPr>
          <w:rFonts w:hint="cs"/>
          <w:spacing w:val="-2"/>
          <w:rtl/>
          <w:lang w:val="fr-CH" w:bidi="ar-MA"/>
        </w:rPr>
        <w:t>إذا كان صاحب الشكوى قد احتُجز لفترة وجيزة في عام</w:t>
      </w:r>
      <w:r w:rsidRPr="001776AB">
        <w:rPr>
          <w:spacing w:val="-2"/>
          <w:rtl/>
          <w:lang w:val="fr-CH" w:bidi="ar-MA"/>
        </w:rPr>
        <w:t> </w:t>
      </w:r>
      <w:r w:rsidRPr="001776AB">
        <w:rPr>
          <w:rFonts w:hint="cs"/>
          <w:spacing w:val="-2"/>
          <w:rtl/>
          <w:lang w:val="fr-CH" w:bidi="ar-MA"/>
        </w:rPr>
        <w:t>2002 أو</w:t>
      </w:r>
      <w:r w:rsidRPr="001776AB">
        <w:rPr>
          <w:spacing w:val="-2"/>
          <w:rtl/>
          <w:lang w:val="fr-CH" w:bidi="ar-MA"/>
        </w:rPr>
        <w:t> </w:t>
      </w:r>
      <w:r w:rsidRPr="001776AB">
        <w:rPr>
          <w:rFonts w:hint="cs"/>
          <w:spacing w:val="-2"/>
          <w:rtl/>
          <w:lang w:val="fr-CH" w:bidi="ar-MA"/>
        </w:rPr>
        <w:t>أن السلطات قد منعته من مزاولة مهنته في عام</w:t>
      </w:r>
      <w:r w:rsidRPr="001776AB">
        <w:rPr>
          <w:spacing w:val="-2"/>
          <w:rtl/>
          <w:lang w:val="fr-CH" w:bidi="ar-MA"/>
        </w:rPr>
        <w:t> </w:t>
      </w:r>
      <w:r w:rsidRPr="001776AB">
        <w:rPr>
          <w:rFonts w:hint="cs"/>
          <w:spacing w:val="-2"/>
          <w:rtl/>
          <w:lang w:val="fr-CH" w:bidi="ar-MA"/>
        </w:rPr>
        <w:t>2007. ورأت المحكمة أن صاحب الشكوى قد استمر في العمل كصحفي في بلده الأصلي رغم هذين الحدثين؛ وإضافة إلى ذلك، تَبينَ حسب محتوى الطلب الذي قدمه في عام</w:t>
      </w:r>
      <w:r w:rsidRPr="001776AB">
        <w:rPr>
          <w:spacing w:val="-2"/>
          <w:rtl/>
          <w:lang w:val="fr-CH" w:bidi="ar-MA"/>
        </w:rPr>
        <w:t> </w:t>
      </w:r>
      <w:r w:rsidRPr="001776AB">
        <w:rPr>
          <w:rFonts w:hint="cs"/>
          <w:spacing w:val="-2"/>
          <w:rtl/>
          <w:lang w:val="fr-CH" w:bidi="ar-MA"/>
        </w:rPr>
        <w:t>2008 للحصول على تأشيرة أنه كان يعمل لحساب إحدى الصحف صحفياً ومحرراً في القضايا السياسية. وقد استمر في تحرير المقالات ونشرها بعد ما</w:t>
      </w:r>
      <w:r w:rsidRPr="001776AB">
        <w:rPr>
          <w:spacing w:val="-2"/>
          <w:rtl/>
          <w:lang w:val="fr-CH" w:bidi="ar-MA"/>
        </w:rPr>
        <w:t> </w:t>
      </w:r>
      <w:r w:rsidRPr="001776AB">
        <w:rPr>
          <w:rFonts w:hint="cs"/>
          <w:spacing w:val="-2"/>
          <w:rtl/>
          <w:lang w:val="fr-CH" w:bidi="ar-MA"/>
        </w:rPr>
        <w:t>جرى من أحداث في عامي</w:t>
      </w:r>
      <w:r w:rsidRPr="001776AB">
        <w:rPr>
          <w:rFonts w:hint="eastAsia"/>
          <w:spacing w:val="-2"/>
          <w:rtl/>
          <w:lang w:val="fr-CH" w:bidi="ar-MA"/>
        </w:rPr>
        <w:t> </w:t>
      </w:r>
      <w:r w:rsidRPr="001776AB">
        <w:rPr>
          <w:rFonts w:hint="cs"/>
          <w:spacing w:val="-2"/>
          <w:rtl/>
          <w:lang w:val="fr-CH" w:bidi="ar-MA"/>
        </w:rPr>
        <w:t>2002 و2007 على حد سواء. ولاحظت المحكمة أيضاً أن صاحب الشكوى اعترف بنفسه أن صاحب عمله كان يود منه أن يستأنف عمله. وفي</w:t>
      </w:r>
      <w:r w:rsidRPr="001776AB">
        <w:rPr>
          <w:spacing w:val="-2"/>
          <w:rtl/>
          <w:lang w:val="fr-CH" w:bidi="ar-MA"/>
        </w:rPr>
        <w:t> </w:t>
      </w:r>
      <w:r w:rsidRPr="001776AB">
        <w:rPr>
          <w:rFonts w:hint="cs"/>
          <w:spacing w:val="-2"/>
          <w:rtl/>
          <w:lang w:val="fr-CH" w:bidi="ar-MA"/>
        </w:rPr>
        <w:t>ضوء ذلك، شككت محكمة الهجرة في وجود أي تهديد لصاحب الشكوى في جمهورية تنزانيا المتحدة. كما</w:t>
      </w:r>
      <w:r w:rsidRPr="001776AB">
        <w:rPr>
          <w:spacing w:val="-2"/>
          <w:rtl/>
          <w:lang w:val="fr-CH" w:bidi="ar-MA"/>
        </w:rPr>
        <w:t> </w:t>
      </w:r>
      <w:r w:rsidRPr="001776AB">
        <w:rPr>
          <w:rFonts w:hint="cs"/>
          <w:spacing w:val="-2"/>
          <w:rtl/>
          <w:lang w:val="fr-CH" w:bidi="ar-MA"/>
        </w:rPr>
        <w:t>أخذت في حسبانها أن ما</w:t>
      </w:r>
      <w:r w:rsidRPr="001776AB">
        <w:rPr>
          <w:spacing w:val="-2"/>
          <w:rtl/>
          <w:lang w:val="fr-CH" w:bidi="ar-MA"/>
        </w:rPr>
        <w:t> </w:t>
      </w:r>
      <w:r w:rsidRPr="001776AB">
        <w:rPr>
          <w:rFonts w:hint="cs"/>
          <w:spacing w:val="-2"/>
          <w:rtl/>
          <w:lang w:val="fr-CH" w:bidi="ar-MA"/>
        </w:rPr>
        <w:t>جرى من أحداث في عام</w:t>
      </w:r>
      <w:r w:rsidRPr="001776AB">
        <w:rPr>
          <w:spacing w:val="-2"/>
          <w:rtl/>
          <w:lang w:val="fr-CH" w:bidi="ar-MA"/>
        </w:rPr>
        <w:t> </w:t>
      </w:r>
      <w:r w:rsidRPr="001776AB">
        <w:rPr>
          <w:rFonts w:hint="cs"/>
          <w:spacing w:val="-2"/>
          <w:rtl/>
          <w:lang w:val="fr-CH" w:bidi="ar-MA"/>
        </w:rPr>
        <w:t>2002 قد مضى عليه زمن طويل، وأن صاحب الشكوى قد استطاع مغادرة بلده على نحو قانوني بعد مرور ثلاثة أسابيع على نشر مقاله، دون أن تبدي السلطات أي اهتمام به. ولم</w:t>
      </w:r>
      <w:r w:rsidRPr="001776AB">
        <w:rPr>
          <w:spacing w:val="-2"/>
          <w:rtl/>
          <w:lang w:val="fr-CH" w:bidi="ar-MA"/>
        </w:rPr>
        <w:t> </w:t>
      </w:r>
      <w:r w:rsidRPr="001776AB">
        <w:rPr>
          <w:rFonts w:hint="cs"/>
          <w:spacing w:val="-2"/>
          <w:rtl/>
          <w:lang w:val="fr-CH" w:bidi="ar-MA"/>
        </w:rPr>
        <w:t>تَرد أي تقارير تشير إلى أن الصحيفة المعنية أو</w:t>
      </w:r>
      <w:r w:rsidRPr="001776AB">
        <w:rPr>
          <w:spacing w:val="-2"/>
          <w:rtl/>
          <w:lang w:val="fr-CH" w:bidi="ar-MA"/>
        </w:rPr>
        <w:t> </w:t>
      </w:r>
      <w:r w:rsidRPr="001776AB">
        <w:rPr>
          <w:rFonts w:hint="cs"/>
          <w:spacing w:val="-2"/>
          <w:rtl/>
          <w:lang w:val="fr-CH" w:bidi="ar-MA"/>
        </w:rPr>
        <w:t>صاحب الشكوى نفسه كانا محط اهتمام للسلطات بعد نشر المقال. واستناداً إلى هذه الأسس، رفضت محكمة الهجرة بتاريخ 28 أيار/</w:t>
      </w:r>
      <w:r>
        <w:rPr>
          <w:rFonts w:hint="cs"/>
          <w:spacing w:val="-2"/>
          <w:rtl/>
          <w:lang w:val="fr-CH" w:bidi="ar-MA"/>
        </w:rPr>
        <w:t xml:space="preserve"> </w:t>
      </w:r>
      <w:r w:rsidRPr="001776AB">
        <w:rPr>
          <w:rFonts w:hint="cs"/>
          <w:spacing w:val="-2"/>
          <w:rtl/>
          <w:lang w:val="fr-CH" w:bidi="ar-MA"/>
        </w:rPr>
        <w:t>مايو 2010 الطعن الذي قدمه صاحب الشكوى.</w:t>
      </w:r>
    </w:p>
    <w:p w:rsidR="00091373" w:rsidRPr="00FA0FC2" w:rsidRDefault="00091373" w:rsidP="00091373">
      <w:pPr>
        <w:pStyle w:val="SingleTxtGA"/>
        <w:rPr>
          <w:rFonts w:hint="cs"/>
          <w:rtl/>
          <w:lang w:val="fr-CH" w:bidi="ar-MA"/>
        </w:rPr>
      </w:pPr>
      <w:r w:rsidRPr="00FA0FC2">
        <w:rPr>
          <w:rFonts w:hint="cs"/>
          <w:rtl/>
          <w:lang w:val="fr-CH" w:bidi="ar-MA"/>
        </w:rPr>
        <w:t>4-5</w:t>
      </w:r>
      <w:r w:rsidRPr="00FA0FC2">
        <w:rPr>
          <w:rFonts w:hint="cs"/>
          <w:rtl/>
          <w:lang w:val="fr-CH" w:bidi="ar-MA"/>
        </w:rPr>
        <w:tab/>
        <w:t>وفي 17 حزيران/يونيه 2010، طعن صاحب الشكوى في الحكم الذي أصدرته محكمة الهجرة.</w:t>
      </w:r>
      <w:r>
        <w:rPr>
          <w:rFonts w:hint="cs"/>
          <w:rtl/>
          <w:lang w:val="fr-CH" w:bidi="ar-MA"/>
        </w:rPr>
        <w:t xml:space="preserve"> وفي</w:t>
      </w:r>
      <w:r>
        <w:rPr>
          <w:rtl/>
          <w:lang w:val="fr-CH" w:bidi="ar-MA"/>
        </w:rPr>
        <w:t> </w:t>
      </w:r>
      <w:r w:rsidRPr="00FA0FC2">
        <w:rPr>
          <w:rFonts w:hint="cs"/>
          <w:rtl/>
          <w:lang w:val="fr-CH" w:bidi="ar-MA"/>
        </w:rPr>
        <w:t>27 آب/أغسطس 2010، قررت محكمة الاستئناف الخاصة بالهجرة ألا</w:t>
      </w:r>
      <w:r w:rsidRPr="00FA0FC2">
        <w:rPr>
          <w:rFonts w:hint="eastAsia"/>
          <w:rtl/>
          <w:lang w:val="fr-CH" w:bidi="ar-MA"/>
        </w:rPr>
        <w:t> </w:t>
      </w:r>
      <w:r w:rsidRPr="00FA0FC2">
        <w:rPr>
          <w:rFonts w:hint="cs"/>
          <w:rtl/>
          <w:lang w:val="fr-CH" w:bidi="ar-MA"/>
        </w:rPr>
        <w:t>تمنح صاحب الشكوى إذناً بالطعن. وأخيراً، أحاطت الدولةُ الطرف اللجنةَ علماً بأنها قد تلقت معلومات من مجلس الهجرة السويدي مفادها أن صاحب الشكوى قد غادر الأراضي السويدية بتاريخ 20 تشرين الثاني/نوفمبر 2010.</w:t>
      </w:r>
    </w:p>
    <w:p w:rsidR="00091373" w:rsidRPr="00FA0FC2" w:rsidRDefault="00091373" w:rsidP="00091373">
      <w:pPr>
        <w:pStyle w:val="SingleTxtGA"/>
        <w:rPr>
          <w:rFonts w:hint="cs"/>
          <w:spacing w:val="-2"/>
          <w:rtl/>
          <w:lang w:val="fr-CH" w:bidi="ar-MA"/>
        </w:rPr>
      </w:pPr>
      <w:r w:rsidRPr="00FA0FC2">
        <w:rPr>
          <w:rFonts w:hint="cs"/>
          <w:spacing w:val="-2"/>
          <w:rtl/>
          <w:lang w:val="fr-CH" w:bidi="ar-MA"/>
        </w:rPr>
        <w:t>4-6</w:t>
      </w:r>
      <w:r w:rsidRPr="00FA0FC2">
        <w:rPr>
          <w:rFonts w:hint="cs"/>
          <w:spacing w:val="-2"/>
          <w:rtl/>
          <w:lang w:val="fr-CH" w:bidi="ar-MA"/>
        </w:rPr>
        <w:tab/>
        <w:t>وفيما يتعلق بمقبولية البلاغ، تذكر الدولة الطرف أنها ليست على علم بأن هذه المسألة بالذات يجري بحثها</w:t>
      </w:r>
      <w:r>
        <w:rPr>
          <w:rFonts w:hint="cs"/>
          <w:spacing w:val="-2"/>
          <w:rtl/>
          <w:lang w:val="fr-CH" w:bidi="ar-MA"/>
        </w:rPr>
        <w:t xml:space="preserve"> أو</w:t>
      </w:r>
      <w:r>
        <w:rPr>
          <w:spacing w:val="-2"/>
          <w:rtl/>
          <w:lang w:val="fr-CH" w:bidi="ar-MA"/>
        </w:rPr>
        <w:t> </w:t>
      </w:r>
      <w:r w:rsidRPr="00FA0FC2">
        <w:rPr>
          <w:rFonts w:hint="cs"/>
          <w:spacing w:val="-2"/>
          <w:rtl/>
          <w:lang w:val="fr-CH" w:bidi="ar-MA"/>
        </w:rPr>
        <w:t>خضعت للبحث في إطار إجراء آخر من إجراءات التحقيق الدولي</w:t>
      </w:r>
      <w:r>
        <w:rPr>
          <w:rFonts w:hint="cs"/>
          <w:spacing w:val="-2"/>
          <w:rtl/>
          <w:lang w:val="fr-CH" w:bidi="ar-MA"/>
        </w:rPr>
        <w:t xml:space="preserve"> أو</w:t>
      </w:r>
      <w:r>
        <w:rPr>
          <w:spacing w:val="-2"/>
          <w:rtl/>
          <w:lang w:val="fr-CH" w:bidi="ar-MA"/>
        </w:rPr>
        <w:t> </w:t>
      </w:r>
      <w:r w:rsidRPr="00FA0FC2">
        <w:rPr>
          <w:rFonts w:hint="cs"/>
          <w:spacing w:val="-2"/>
          <w:rtl/>
          <w:lang w:val="fr-CH" w:bidi="ar-MA"/>
        </w:rPr>
        <w:t>التسوية الدولية، وأن سبل الانتصاف المحلية قد استُنفدت، بالإشارة إلى الفقرة 5(ب) من ال</w:t>
      </w:r>
      <w:r>
        <w:rPr>
          <w:rFonts w:hint="cs"/>
          <w:spacing w:val="-2"/>
          <w:rtl/>
          <w:lang w:val="fr-CH" w:bidi="ar-MA"/>
        </w:rPr>
        <w:t>مادة</w:t>
      </w:r>
      <w:r>
        <w:rPr>
          <w:spacing w:val="-2"/>
          <w:rtl/>
          <w:lang w:val="fr-CH" w:bidi="ar-MA"/>
        </w:rPr>
        <w:t> </w:t>
      </w:r>
      <w:r w:rsidRPr="00FA0FC2">
        <w:rPr>
          <w:rFonts w:hint="cs"/>
          <w:spacing w:val="-2"/>
          <w:rtl/>
          <w:lang w:val="fr-CH" w:bidi="ar-MA"/>
        </w:rPr>
        <w:t xml:space="preserve">22 من الاتفاقية. ولكن الدولة الطرف تدفع بأن زعم صاحب الشكوى أنه عرضة لخطر المعاملة </w:t>
      </w:r>
      <w:r w:rsidRPr="00FA0FC2">
        <w:rPr>
          <w:rFonts w:hint="cs"/>
          <w:spacing w:val="-2"/>
          <w:rtl/>
          <w:lang w:val="en-CA"/>
        </w:rPr>
        <w:t xml:space="preserve">بطريقة تبلغ حد انتهاك </w:t>
      </w:r>
      <w:r w:rsidRPr="00FA0FC2">
        <w:rPr>
          <w:spacing w:val="-2"/>
          <w:rtl/>
          <w:lang w:val="en-CA"/>
        </w:rPr>
        <w:t>الاتفاقية</w:t>
      </w:r>
      <w:r>
        <w:rPr>
          <w:spacing w:val="-2"/>
          <w:rtl/>
          <w:lang w:val="en-CA"/>
        </w:rPr>
        <w:t xml:space="preserve"> لا </w:t>
      </w:r>
      <w:r w:rsidRPr="00FA0FC2">
        <w:rPr>
          <w:spacing w:val="-2"/>
          <w:rtl/>
          <w:lang w:val="en-CA"/>
        </w:rPr>
        <w:t xml:space="preserve">يرقى إلى مستوى </w:t>
      </w:r>
      <w:r w:rsidRPr="00FA0FC2">
        <w:rPr>
          <w:rFonts w:hint="cs"/>
          <w:spacing w:val="-2"/>
          <w:rtl/>
          <w:lang w:val="en-CA"/>
        </w:rPr>
        <w:t xml:space="preserve">الإثبات </w:t>
      </w:r>
      <w:r w:rsidRPr="00FA0FC2">
        <w:rPr>
          <w:spacing w:val="-2"/>
          <w:rtl/>
          <w:lang w:val="en-CA"/>
        </w:rPr>
        <w:t xml:space="preserve">الأساسي </w:t>
      </w:r>
      <w:r w:rsidRPr="00FA0FC2">
        <w:rPr>
          <w:rFonts w:hint="cs"/>
          <w:spacing w:val="-2"/>
          <w:rtl/>
          <w:lang w:val="en-CA"/>
        </w:rPr>
        <w:t xml:space="preserve">بالأدلة </w:t>
      </w:r>
      <w:r w:rsidRPr="00FA0FC2">
        <w:rPr>
          <w:spacing w:val="-2"/>
          <w:rtl/>
          <w:lang w:val="en-CA"/>
        </w:rPr>
        <w:t>لأغراض المقبولية</w:t>
      </w:r>
      <w:r w:rsidRPr="00FA0FC2">
        <w:rPr>
          <w:rFonts w:hint="cs"/>
          <w:spacing w:val="-2"/>
          <w:rtl/>
          <w:lang w:val="en-CA"/>
        </w:rPr>
        <w:t>. وترى أن من الواضح أن البلاغ</w:t>
      </w:r>
      <w:r>
        <w:rPr>
          <w:rFonts w:hint="cs"/>
          <w:spacing w:val="-2"/>
          <w:rtl/>
          <w:lang w:val="en-CA"/>
        </w:rPr>
        <w:t xml:space="preserve"> لا</w:t>
      </w:r>
      <w:r>
        <w:rPr>
          <w:spacing w:val="-2"/>
          <w:rtl/>
          <w:lang w:val="en-CA"/>
        </w:rPr>
        <w:t> </w:t>
      </w:r>
      <w:r w:rsidRPr="00FA0FC2">
        <w:rPr>
          <w:rFonts w:hint="cs"/>
          <w:spacing w:val="-2"/>
          <w:rtl/>
          <w:lang w:val="en-CA"/>
        </w:rPr>
        <w:t>يستند إلى أي أساس، ومن ثم ينبغي اعتباره غير مقبول بموجب الفقرة 2 من ال</w:t>
      </w:r>
      <w:r>
        <w:rPr>
          <w:rFonts w:hint="cs"/>
          <w:spacing w:val="-2"/>
          <w:rtl/>
          <w:lang w:val="en-CA"/>
        </w:rPr>
        <w:t>مادة</w:t>
      </w:r>
      <w:r>
        <w:rPr>
          <w:spacing w:val="-2"/>
          <w:rtl/>
          <w:lang w:val="en-CA"/>
        </w:rPr>
        <w:t> </w:t>
      </w:r>
      <w:r w:rsidRPr="00FA0FC2">
        <w:rPr>
          <w:rFonts w:hint="cs"/>
          <w:spacing w:val="-2"/>
          <w:rtl/>
          <w:lang w:val="en-CA"/>
        </w:rPr>
        <w:t>2</w:t>
      </w:r>
      <w:r w:rsidRPr="00FA0FC2">
        <w:rPr>
          <w:rFonts w:hint="cs"/>
          <w:spacing w:val="-2"/>
          <w:rtl/>
          <w:lang w:val="fr-CH" w:bidi="ar-MA"/>
        </w:rPr>
        <w:t>2 من الاتفاقية والفقرة (ب) من ال</w:t>
      </w:r>
      <w:r>
        <w:rPr>
          <w:rFonts w:hint="cs"/>
          <w:spacing w:val="-2"/>
          <w:rtl/>
          <w:lang w:val="fr-CH" w:bidi="ar-MA"/>
        </w:rPr>
        <w:t>مادة</w:t>
      </w:r>
      <w:r>
        <w:rPr>
          <w:spacing w:val="-2"/>
          <w:rtl/>
          <w:lang w:val="fr-CH" w:bidi="ar-MA"/>
        </w:rPr>
        <w:t> </w:t>
      </w:r>
      <w:r w:rsidRPr="00FA0FC2">
        <w:rPr>
          <w:rFonts w:hint="cs"/>
          <w:spacing w:val="-2"/>
          <w:rtl/>
          <w:lang w:val="fr-CH" w:bidi="ar-MA"/>
        </w:rPr>
        <w:t>107 من النظام الداخلي للجنة (</w:t>
      </w:r>
      <w:r w:rsidRPr="00FA0FC2">
        <w:rPr>
          <w:spacing w:val="-2"/>
          <w:lang w:val="fr-CH" w:bidi="ar-MA"/>
        </w:rPr>
        <w:t>CAT/C/3/Rev.4</w:t>
      </w:r>
      <w:r w:rsidRPr="00FA0FC2">
        <w:rPr>
          <w:rFonts w:hint="cs"/>
          <w:spacing w:val="-2"/>
          <w:rtl/>
          <w:lang w:val="fr-CH" w:bidi="ar-MA"/>
        </w:rPr>
        <w:t>).</w:t>
      </w:r>
    </w:p>
    <w:p w:rsidR="00091373" w:rsidRPr="00FA0FC2" w:rsidRDefault="00091373" w:rsidP="00091373">
      <w:pPr>
        <w:pStyle w:val="SingleTxtGA"/>
        <w:rPr>
          <w:rFonts w:hint="cs"/>
          <w:rtl/>
          <w:lang w:val="en-CA"/>
        </w:rPr>
      </w:pPr>
      <w:r w:rsidRPr="00FA0FC2">
        <w:rPr>
          <w:rFonts w:hint="cs"/>
          <w:rtl/>
          <w:lang w:val="fr-CH" w:bidi="ar-MA"/>
        </w:rPr>
        <w:t>4-7</w:t>
      </w:r>
      <w:r w:rsidRPr="00FA0FC2">
        <w:rPr>
          <w:rFonts w:hint="cs"/>
          <w:rtl/>
          <w:lang w:val="fr-CH" w:bidi="ar-MA"/>
        </w:rPr>
        <w:tab/>
        <w:t>وتضيف الدولة الطرف أنه إذا</w:t>
      </w:r>
      <w:r>
        <w:rPr>
          <w:rFonts w:hint="cs"/>
          <w:rtl/>
          <w:lang w:val="fr-CH" w:bidi="ar-MA"/>
        </w:rPr>
        <w:t xml:space="preserve"> ما</w:t>
      </w:r>
      <w:r>
        <w:rPr>
          <w:rtl/>
          <w:lang w:val="fr-CH" w:bidi="ar-MA"/>
        </w:rPr>
        <w:t> </w:t>
      </w:r>
      <w:r w:rsidRPr="00FA0FC2">
        <w:rPr>
          <w:rFonts w:hint="cs"/>
          <w:rtl/>
          <w:lang w:val="fr-CH" w:bidi="ar-MA"/>
        </w:rPr>
        <w:t>خلصت اللجنة إلى أن البلاغ مقبول، فإن المسألة المعروضة أمامها بشأن الأسس الموضوعية تتمثل</w:t>
      </w:r>
      <w:r>
        <w:rPr>
          <w:rFonts w:hint="cs"/>
          <w:rtl/>
          <w:lang w:val="fr-CH" w:bidi="ar-MA"/>
        </w:rPr>
        <w:t xml:space="preserve"> فيما</w:t>
      </w:r>
      <w:r>
        <w:rPr>
          <w:rtl/>
          <w:lang w:val="fr-CH" w:bidi="ar-MA"/>
        </w:rPr>
        <w:t> </w:t>
      </w:r>
      <w:r w:rsidRPr="00FA0FC2">
        <w:rPr>
          <w:rFonts w:hint="cs"/>
          <w:rtl/>
          <w:lang w:val="fr-CH" w:bidi="ar-MA"/>
        </w:rPr>
        <w:t>إذا كان طرد صاحب الشكوى سينتهك التزام السويد بموجب ال</w:t>
      </w:r>
      <w:r>
        <w:rPr>
          <w:rFonts w:hint="cs"/>
          <w:rtl/>
          <w:lang w:val="fr-CH" w:bidi="ar-MA"/>
        </w:rPr>
        <w:t>مادة</w:t>
      </w:r>
      <w:r>
        <w:rPr>
          <w:rtl/>
          <w:lang w:val="fr-CH" w:bidi="ar-MA"/>
        </w:rPr>
        <w:t> </w:t>
      </w:r>
      <w:r w:rsidRPr="00FA0FC2">
        <w:rPr>
          <w:rFonts w:hint="cs"/>
          <w:rtl/>
          <w:lang w:val="fr-CH" w:bidi="ar-MA"/>
        </w:rPr>
        <w:t>3 من الاتفاقية.</w:t>
      </w:r>
      <w:r>
        <w:rPr>
          <w:rFonts w:hint="cs"/>
          <w:rtl/>
          <w:lang w:val="fr-CH" w:bidi="ar-MA"/>
        </w:rPr>
        <w:t xml:space="preserve"> وفي</w:t>
      </w:r>
      <w:r>
        <w:rPr>
          <w:rtl/>
          <w:lang w:val="fr-CH" w:bidi="ar-MA"/>
        </w:rPr>
        <w:t> </w:t>
      </w:r>
      <w:r w:rsidRPr="00FA0FC2">
        <w:rPr>
          <w:rFonts w:hint="cs"/>
          <w:rtl/>
          <w:lang w:val="fr-CH" w:bidi="ar-MA"/>
        </w:rPr>
        <w:t xml:space="preserve">هذا الصدد، تشير الدولة الطرف إلى </w:t>
      </w:r>
      <w:r>
        <w:rPr>
          <w:rFonts w:hint="cs"/>
          <w:rtl/>
          <w:lang w:val="fr-CH" w:bidi="ar-MA"/>
        </w:rPr>
        <w:t>الاجتهادات السابقة</w:t>
      </w:r>
      <w:r w:rsidRPr="00FA0FC2">
        <w:rPr>
          <w:rFonts w:hint="cs"/>
          <w:rtl/>
          <w:lang w:val="fr-CH" w:bidi="ar-MA"/>
        </w:rPr>
        <w:t xml:space="preserve"> للجنة التي رأت فيها أن </w:t>
      </w:r>
      <w:r w:rsidRPr="00FA0FC2">
        <w:rPr>
          <w:rFonts w:hint="cs"/>
          <w:rtl/>
          <w:lang w:val="en-CA"/>
        </w:rPr>
        <w:t>الغرض من تحديد</w:t>
      </w:r>
      <w:r>
        <w:rPr>
          <w:rtl/>
          <w:lang w:val="en-CA"/>
        </w:rPr>
        <w:t xml:space="preserve"> ما </w:t>
      </w:r>
      <w:r w:rsidRPr="00FA0FC2">
        <w:rPr>
          <w:rtl/>
          <w:lang w:val="en-CA"/>
        </w:rPr>
        <w:t>إذا كان</w:t>
      </w:r>
      <w:r w:rsidRPr="00FA0FC2">
        <w:rPr>
          <w:rFonts w:hint="cs"/>
          <w:rtl/>
          <w:lang w:val="en-CA"/>
        </w:rPr>
        <w:t>ت</w:t>
      </w:r>
      <w:r w:rsidRPr="00FA0FC2">
        <w:rPr>
          <w:rtl/>
          <w:lang w:val="en-CA"/>
        </w:rPr>
        <w:t xml:space="preserve"> الإعادة القسرية لشخص</w:t>
      </w:r>
      <w:r>
        <w:rPr>
          <w:rtl/>
          <w:lang w:val="en-CA"/>
        </w:rPr>
        <w:t xml:space="preserve"> ما </w:t>
      </w:r>
      <w:r w:rsidRPr="00FA0FC2">
        <w:rPr>
          <w:rtl/>
          <w:lang w:val="en-CA"/>
        </w:rPr>
        <w:t xml:space="preserve">إلى بلد آخر </w:t>
      </w:r>
      <w:r w:rsidRPr="00FA0FC2">
        <w:rPr>
          <w:rFonts w:hint="cs"/>
          <w:rtl/>
          <w:lang w:val="en-CA"/>
        </w:rPr>
        <w:t>تشكل</w:t>
      </w:r>
      <w:r w:rsidRPr="00FA0FC2">
        <w:rPr>
          <w:rtl/>
          <w:lang w:val="en-CA"/>
        </w:rPr>
        <w:t xml:space="preserve"> انتهاكاً للفقرة 3 من الاتفاقية</w:t>
      </w:r>
      <w:r>
        <w:rPr>
          <w:rFonts w:hint="cs"/>
          <w:rtl/>
          <w:lang w:val="en-CA"/>
        </w:rPr>
        <w:t xml:space="preserve"> أم</w:t>
      </w:r>
      <w:r>
        <w:rPr>
          <w:rtl/>
          <w:lang w:val="en-CA"/>
        </w:rPr>
        <w:t> لا </w:t>
      </w:r>
      <w:r w:rsidRPr="00FA0FC2">
        <w:rPr>
          <w:rFonts w:hint="cs"/>
          <w:rtl/>
          <w:lang w:val="en-CA"/>
        </w:rPr>
        <w:t>يتمثل في البت</w:t>
      </w:r>
      <w:r>
        <w:rPr>
          <w:rFonts w:hint="cs"/>
          <w:rtl/>
          <w:lang w:val="en-CA"/>
        </w:rPr>
        <w:t xml:space="preserve"> فيما</w:t>
      </w:r>
      <w:r>
        <w:rPr>
          <w:rtl/>
          <w:lang w:val="en-CA"/>
        </w:rPr>
        <w:t> </w:t>
      </w:r>
      <w:r w:rsidRPr="00FA0FC2">
        <w:rPr>
          <w:rFonts w:hint="cs"/>
          <w:rtl/>
          <w:lang w:val="en-CA"/>
        </w:rPr>
        <w:t xml:space="preserve">إذا كان الفرد المعني سيتعرض </w:t>
      </w:r>
      <w:r w:rsidRPr="00FA0FC2">
        <w:rPr>
          <w:rFonts w:hint="cs"/>
          <w:i/>
          <w:iCs/>
          <w:rtl/>
          <w:lang w:val="en-CA"/>
        </w:rPr>
        <w:t>شخصياً لخطر</w:t>
      </w:r>
      <w:r w:rsidRPr="00FA0FC2">
        <w:rPr>
          <w:rFonts w:hint="cs"/>
          <w:sz w:val="28"/>
          <w:szCs w:val="28"/>
          <w:vertAlign w:val="superscript"/>
          <w:rtl/>
          <w:lang w:val="en-CA"/>
        </w:rPr>
        <w:t>(</w:t>
      </w:r>
      <w:r w:rsidRPr="00FA0FC2">
        <w:rPr>
          <w:rFonts w:hint="cs"/>
          <w:spacing w:val="-4"/>
          <w:sz w:val="30"/>
          <w:vertAlign w:val="superscript"/>
          <w:rtl/>
          <w:lang w:val="es-ES"/>
        </w:rPr>
        <w:t>ﻫ</w:t>
      </w:r>
      <w:r w:rsidRPr="004F40B8">
        <w:rPr>
          <w:rStyle w:val="FootnoteReference"/>
          <w:color w:val="FFFFFF"/>
          <w:spacing w:val="-10"/>
          <w:sz w:val="2"/>
          <w:szCs w:val="2"/>
          <w:rtl/>
          <w:lang w:val="fr-CH"/>
        </w:rPr>
        <w:footnoteReference w:id="214"/>
      </w:r>
      <w:r>
        <w:rPr>
          <w:rFonts w:hint="cs"/>
          <w:sz w:val="28"/>
          <w:szCs w:val="28"/>
          <w:vertAlign w:val="superscript"/>
          <w:rtl/>
          <w:lang w:val="en-CA"/>
        </w:rPr>
        <w:t>)</w:t>
      </w:r>
      <w:r w:rsidRPr="00FA0FC2">
        <w:rPr>
          <w:rFonts w:hint="cs"/>
          <w:i/>
          <w:iCs/>
          <w:rtl/>
          <w:lang w:val="en-CA"/>
        </w:rPr>
        <w:t xml:space="preserve"> </w:t>
      </w:r>
      <w:r w:rsidRPr="00FA0FC2">
        <w:rPr>
          <w:rFonts w:hint="cs"/>
          <w:rtl/>
          <w:lang w:val="en-CA"/>
        </w:rPr>
        <w:t>التعذيب عقب إعادته إلى ذلك البلد</w:t>
      </w:r>
      <w:r w:rsidRPr="00FA0FC2">
        <w:rPr>
          <w:rFonts w:hint="cs"/>
          <w:sz w:val="28"/>
          <w:szCs w:val="28"/>
          <w:vertAlign w:val="superscript"/>
          <w:rtl/>
          <w:lang w:val="en-CA"/>
        </w:rPr>
        <w:t>(</w:t>
      </w:r>
      <w:r w:rsidRPr="00FA0FC2">
        <w:rPr>
          <w:sz w:val="28"/>
          <w:szCs w:val="28"/>
          <w:vertAlign w:val="superscript"/>
          <w:rtl/>
        </w:rPr>
        <w:footnoteReference w:id="215"/>
      </w:r>
      <w:r w:rsidRPr="00FA0FC2">
        <w:rPr>
          <w:rFonts w:hint="cs"/>
          <w:sz w:val="28"/>
          <w:szCs w:val="28"/>
          <w:vertAlign w:val="superscript"/>
          <w:rtl/>
          <w:lang w:val="en-CA"/>
        </w:rPr>
        <w:t>)</w:t>
      </w:r>
      <w:r w:rsidRPr="00FA0FC2">
        <w:rPr>
          <w:rFonts w:hint="cs"/>
          <w:rtl/>
        </w:rPr>
        <w:t>.</w:t>
      </w:r>
      <w:r w:rsidRPr="00FA0FC2">
        <w:rPr>
          <w:rFonts w:hint="cs"/>
          <w:rtl/>
          <w:lang w:val="en-CA"/>
        </w:rPr>
        <w:t xml:space="preserve"> ويستتبع ذلك أن</w:t>
      </w:r>
      <w:r w:rsidRPr="00FA0FC2">
        <w:rPr>
          <w:rtl/>
          <w:lang w:val="en-CA"/>
        </w:rPr>
        <w:t xml:space="preserve"> وجود نمط ثابت من الانتهاكات </w:t>
      </w:r>
      <w:r w:rsidRPr="00FA0FC2">
        <w:rPr>
          <w:rFonts w:hint="cs"/>
          <w:rtl/>
          <w:lang w:val="en-CA"/>
        </w:rPr>
        <w:t>الفادحة</w:t>
      </w:r>
      <w:r>
        <w:rPr>
          <w:rFonts w:hint="cs"/>
          <w:rtl/>
          <w:lang w:val="en-CA"/>
        </w:rPr>
        <w:t xml:space="preserve"> أو</w:t>
      </w:r>
      <w:r>
        <w:rPr>
          <w:rtl/>
          <w:lang w:val="en-CA"/>
        </w:rPr>
        <w:t> </w:t>
      </w:r>
      <w:r w:rsidRPr="00FA0FC2">
        <w:rPr>
          <w:rFonts w:hint="cs"/>
          <w:rtl/>
          <w:lang w:val="en-CA"/>
        </w:rPr>
        <w:t>الصارخة</w:t>
      </w:r>
      <w:r>
        <w:rPr>
          <w:rtl/>
          <w:lang w:val="en-CA"/>
        </w:rPr>
        <w:t xml:space="preserve"> أو </w:t>
      </w:r>
      <w:r w:rsidRPr="00FA0FC2">
        <w:rPr>
          <w:rtl/>
          <w:lang w:val="en-CA"/>
        </w:rPr>
        <w:t>الجماعية لحقوق الإنسان في بلد</w:t>
      </w:r>
      <w:r>
        <w:rPr>
          <w:rtl/>
          <w:lang w:val="en-CA"/>
        </w:rPr>
        <w:t xml:space="preserve"> ما لا </w:t>
      </w:r>
      <w:r w:rsidRPr="00FA0FC2">
        <w:rPr>
          <w:rFonts w:hint="cs"/>
          <w:rtl/>
          <w:lang w:val="en-CA"/>
        </w:rPr>
        <w:t xml:space="preserve">يشكل </w:t>
      </w:r>
      <w:r w:rsidRPr="00FA0FC2">
        <w:rPr>
          <w:rtl/>
          <w:lang w:val="en-CA"/>
        </w:rPr>
        <w:t xml:space="preserve">في حد ذاته </w:t>
      </w:r>
      <w:r w:rsidRPr="00FA0FC2">
        <w:rPr>
          <w:rFonts w:hint="cs"/>
          <w:rtl/>
          <w:lang w:val="en-CA"/>
        </w:rPr>
        <w:t xml:space="preserve">سبباً </w:t>
      </w:r>
      <w:r w:rsidRPr="00FA0FC2">
        <w:rPr>
          <w:rtl/>
          <w:lang w:val="en-CA"/>
        </w:rPr>
        <w:t xml:space="preserve">كافياً لتحديد أن شخصاً معيناً </w:t>
      </w:r>
      <w:r w:rsidRPr="00FA0FC2">
        <w:rPr>
          <w:rFonts w:hint="cs"/>
          <w:rtl/>
          <w:lang w:val="en-CA"/>
        </w:rPr>
        <w:t xml:space="preserve">سيتعرض </w:t>
      </w:r>
      <w:r w:rsidRPr="00FA0FC2">
        <w:rPr>
          <w:rtl/>
          <w:lang w:val="en-CA"/>
        </w:rPr>
        <w:t xml:space="preserve">لخطر التعذيب عقب عودته إلى </w:t>
      </w:r>
      <w:r w:rsidRPr="00FA0FC2">
        <w:rPr>
          <w:rFonts w:hint="cs"/>
          <w:rtl/>
          <w:lang w:val="en-CA"/>
        </w:rPr>
        <w:t>ذلك</w:t>
      </w:r>
      <w:r w:rsidRPr="00FA0FC2">
        <w:rPr>
          <w:rtl/>
          <w:lang w:val="en-CA"/>
        </w:rPr>
        <w:t xml:space="preserve"> البلد.</w:t>
      </w:r>
    </w:p>
    <w:p w:rsidR="00091373" w:rsidRPr="00E82DBC" w:rsidRDefault="00091373" w:rsidP="00091373">
      <w:pPr>
        <w:pStyle w:val="SingleTxtGA"/>
        <w:rPr>
          <w:rFonts w:hint="cs"/>
          <w:spacing w:val="-2"/>
          <w:rtl/>
          <w:lang w:val="fr-CH" w:bidi="ar-MA"/>
        </w:rPr>
      </w:pPr>
      <w:r w:rsidRPr="00E82DBC">
        <w:rPr>
          <w:rFonts w:hint="cs"/>
          <w:spacing w:val="-2"/>
          <w:rtl/>
          <w:lang w:val="en-CA"/>
        </w:rPr>
        <w:t>4</w:t>
      </w:r>
      <w:r w:rsidRPr="00E82DBC">
        <w:rPr>
          <w:spacing w:val="-2"/>
          <w:rtl/>
          <w:lang w:val="en-CA"/>
        </w:rPr>
        <w:t>-</w:t>
      </w:r>
      <w:r w:rsidRPr="00E82DBC">
        <w:rPr>
          <w:rFonts w:hint="cs"/>
          <w:spacing w:val="-2"/>
          <w:rtl/>
          <w:lang w:val="en-CA"/>
        </w:rPr>
        <w:t>8</w:t>
      </w:r>
      <w:r w:rsidRPr="00E82DBC">
        <w:rPr>
          <w:spacing w:val="-2"/>
          <w:rtl/>
          <w:lang w:val="en-CA"/>
        </w:rPr>
        <w:tab/>
      </w:r>
      <w:r w:rsidRPr="00E82DBC">
        <w:rPr>
          <w:rFonts w:hint="cs"/>
          <w:spacing w:val="-2"/>
          <w:rtl/>
        </w:rPr>
        <w:t>وفيما يتعلق</w:t>
      </w:r>
      <w:r w:rsidRPr="00E82DBC">
        <w:rPr>
          <w:spacing w:val="-2"/>
          <w:rtl/>
        </w:rPr>
        <w:t xml:space="preserve"> </w:t>
      </w:r>
      <w:r w:rsidRPr="00E82DBC">
        <w:rPr>
          <w:rFonts w:hint="cs"/>
          <w:spacing w:val="-2"/>
          <w:rtl/>
        </w:rPr>
        <w:t>ب</w:t>
      </w:r>
      <w:r w:rsidRPr="00E82DBC">
        <w:rPr>
          <w:spacing w:val="-2"/>
          <w:rtl/>
        </w:rPr>
        <w:t xml:space="preserve">الحالة العامة لحقوق الإنسان في </w:t>
      </w:r>
      <w:r w:rsidRPr="00E82DBC">
        <w:rPr>
          <w:rFonts w:hint="cs"/>
          <w:spacing w:val="-2"/>
          <w:rtl/>
        </w:rPr>
        <w:t>جمهورية تنزانيا المتحدة</w:t>
      </w:r>
      <w:r w:rsidRPr="00E82DBC">
        <w:rPr>
          <w:spacing w:val="-2"/>
          <w:rtl/>
        </w:rPr>
        <w:t>،</w:t>
      </w:r>
      <w:r w:rsidRPr="00E82DBC">
        <w:rPr>
          <w:rFonts w:hint="cs"/>
          <w:spacing w:val="-2"/>
          <w:rtl/>
        </w:rPr>
        <w:t xml:space="preserve"> ترى الدولة الطرف أنه حسبما يرد في الجزء المتعلق </w:t>
      </w:r>
      <w:r w:rsidRPr="00E82DBC">
        <w:rPr>
          <w:rFonts w:hint="cs"/>
          <w:spacing w:val="-2"/>
          <w:sz w:val="30"/>
          <w:rtl/>
        </w:rPr>
        <w:t>ب‍</w:t>
      </w:r>
      <w:r w:rsidRPr="00E82DBC">
        <w:rPr>
          <w:rFonts w:hint="eastAsia"/>
          <w:spacing w:val="-2"/>
          <w:rtl/>
        </w:rPr>
        <w:t> </w:t>
      </w:r>
      <w:r w:rsidRPr="00E82DBC">
        <w:rPr>
          <w:rFonts w:hint="cs"/>
          <w:spacing w:val="-2"/>
          <w:rtl/>
        </w:rPr>
        <w:t xml:space="preserve">"حرية الكلام والصحافة" من التقريرين القطريين لوزارة خارجية الولايات المتحدة عن تنزانيا (2009 و2010)، اتسمت وسائط الإعلام بالنشاط وعبرت عن آراء شتى دون قيود. وحسبما ورد في نفس التقريرين، عبر رئيس تنزانيا علناً عن دعمه لحرية الصحافة، وتسنى للصحفيين عموماً نشر مقالات يزعمون فيها، على سبيل المثال، ارتكاب مسؤولين حكوميين للفساد، دون أن يتعرضوا لأي أعمال انتقامية. وتصدر منشورات من قبيل صحيفة المعارضة </w:t>
      </w:r>
      <w:r w:rsidRPr="00E82DBC">
        <w:rPr>
          <w:rFonts w:cs="Times New Roman"/>
          <w:i/>
          <w:iCs/>
          <w:spacing w:val="-2"/>
          <w:lang w:val="fr-CH"/>
        </w:rPr>
        <w:t>Tanzania Daima</w:t>
      </w:r>
      <w:r w:rsidRPr="00E82DBC">
        <w:rPr>
          <w:rFonts w:hint="cs"/>
          <w:spacing w:val="-2"/>
          <w:rtl/>
        </w:rPr>
        <w:t xml:space="preserve"> على أساس يومي</w:t>
      </w:r>
      <w:r w:rsidRPr="00E82DBC">
        <w:rPr>
          <w:rFonts w:hint="cs"/>
          <w:spacing w:val="-2"/>
          <w:rtl/>
          <w:lang w:bidi="ar-MA"/>
        </w:rPr>
        <w:t>. وأشار التقرير أيضاً إلى أن وزارة الإعلام والثقافة والرياضة قد استدعت في عام</w:t>
      </w:r>
      <w:r w:rsidRPr="00E82DBC">
        <w:rPr>
          <w:spacing w:val="-2"/>
          <w:rtl/>
          <w:lang w:bidi="ar-MA"/>
        </w:rPr>
        <w:t> </w:t>
      </w:r>
      <w:r w:rsidRPr="00E82DBC">
        <w:rPr>
          <w:rFonts w:hint="cs"/>
          <w:spacing w:val="-2"/>
          <w:rtl/>
          <w:lang w:bidi="ar-MA"/>
        </w:rPr>
        <w:t>2009 أربعة محررين إلى مكاتبها بسبب تحريفهم لتصريحات حكومية وأنذرت في عام</w:t>
      </w:r>
      <w:r w:rsidRPr="00E82DBC">
        <w:rPr>
          <w:spacing w:val="-2"/>
          <w:rtl/>
          <w:lang w:bidi="ar-MA"/>
        </w:rPr>
        <w:t> </w:t>
      </w:r>
      <w:r w:rsidRPr="00E82DBC">
        <w:rPr>
          <w:rFonts w:hint="cs"/>
          <w:spacing w:val="-2"/>
          <w:rtl/>
          <w:lang w:bidi="ar-MA"/>
        </w:rPr>
        <w:t>2010 محرري صحيفة</w:t>
      </w:r>
      <w:r w:rsidRPr="00E82DBC">
        <w:rPr>
          <w:rFonts w:hint="cs"/>
          <w:spacing w:val="-2"/>
          <w:rtl/>
          <w:lang w:val="fr-CH" w:bidi="ar-MA"/>
        </w:rPr>
        <w:t xml:space="preserve"> </w:t>
      </w:r>
      <w:r w:rsidRPr="00E82DBC">
        <w:rPr>
          <w:rFonts w:cs="Times New Roman"/>
          <w:i/>
          <w:iCs/>
          <w:spacing w:val="-2"/>
          <w:lang w:val="fr-CH" w:bidi="ar-MA"/>
        </w:rPr>
        <w:t>Mwananchi</w:t>
      </w:r>
      <w:r w:rsidRPr="00E82DBC">
        <w:rPr>
          <w:rFonts w:hint="cs"/>
          <w:spacing w:val="-2"/>
          <w:rtl/>
          <w:lang w:bidi="ar-MA"/>
        </w:rPr>
        <w:t xml:space="preserve"> باحتمال ملاحقتهم قانونياً إذا ما</w:t>
      </w:r>
      <w:r w:rsidRPr="00E82DBC">
        <w:rPr>
          <w:spacing w:val="-2"/>
          <w:rtl/>
          <w:lang w:bidi="ar-MA"/>
        </w:rPr>
        <w:t> </w:t>
      </w:r>
      <w:r w:rsidRPr="00E82DBC">
        <w:rPr>
          <w:rFonts w:hint="cs"/>
          <w:spacing w:val="-2"/>
          <w:rtl/>
          <w:lang w:bidi="ar-MA"/>
        </w:rPr>
        <w:t>استمرت الصحيفة في نشر مقالات تنتقد الحكومة. ولكن الدولة الطرف تلاحظ أنه لم</w:t>
      </w:r>
      <w:r w:rsidRPr="00E82DBC">
        <w:rPr>
          <w:spacing w:val="-2"/>
          <w:rtl/>
          <w:lang w:bidi="ar-MA"/>
        </w:rPr>
        <w:t> </w:t>
      </w:r>
      <w:r w:rsidRPr="00E82DBC">
        <w:rPr>
          <w:rFonts w:hint="cs"/>
          <w:spacing w:val="-2"/>
          <w:rtl/>
          <w:lang w:bidi="ar-MA"/>
        </w:rPr>
        <w:t xml:space="preserve">تُتَّخذ أي إجراءات أخرى ضد هؤلاء المحررين بل استمرت صحيفة </w:t>
      </w:r>
      <w:r w:rsidRPr="00E82DBC">
        <w:rPr>
          <w:rFonts w:cs="Times New Roman"/>
          <w:i/>
          <w:iCs/>
          <w:spacing w:val="-2"/>
          <w:lang w:val="fr-CH" w:bidi="ar-MA"/>
        </w:rPr>
        <w:t>Mwananchi</w:t>
      </w:r>
      <w:r w:rsidRPr="00E82DBC">
        <w:rPr>
          <w:rFonts w:hint="cs"/>
          <w:spacing w:val="-2"/>
          <w:rtl/>
          <w:lang w:bidi="ar-MA"/>
        </w:rPr>
        <w:t xml:space="preserve"> في نشر مقالات انتقادية. وفضلاً عن ذلك، صُنفت تنزانيا، </w:t>
      </w:r>
      <w:r w:rsidRPr="00E82DBC">
        <w:rPr>
          <w:rFonts w:hint="cs"/>
          <w:spacing w:val="-2"/>
          <w:rtl/>
          <w:lang w:val="fr-CH" w:bidi="ar-MA"/>
        </w:rPr>
        <w:t>حسب المؤشر العالمي لحرية الصحافة لعام</w:t>
      </w:r>
      <w:r w:rsidRPr="00E82DBC">
        <w:rPr>
          <w:spacing w:val="-2"/>
          <w:rtl/>
          <w:lang w:val="fr-CH" w:bidi="ar-MA"/>
        </w:rPr>
        <w:t> </w:t>
      </w:r>
      <w:r w:rsidRPr="00E82DBC">
        <w:rPr>
          <w:rFonts w:hint="cs"/>
          <w:spacing w:val="-2"/>
          <w:rtl/>
          <w:lang w:val="fr-CH" w:bidi="ar-MA"/>
        </w:rPr>
        <w:t xml:space="preserve">2010 </w:t>
      </w:r>
      <w:r w:rsidRPr="00E82DBC">
        <w:rPr>
          <w:rFonts w:hint="cs"/>
          <w:spacing w:val="-2"/>
          <w:rtl/>
          <w:lang w:bidi="ar-MA"/>
        </w:rPr>
        <w:t>لمنظمة "مراسلون بلا</w:t>
      </w:r>
      <w:r w:rsidRPr="00E82DBC">
        <w:rPr>
          <w:spacing w:val="-2"/>
          <w:rtl/>
          <w:lang w:bidi="ar-MA"/>
        </w:rPr>
        <w:t> </w:t>
      </w:r>
      <w:r w:rsidRPr="00E82DBC">
        <w:rPr>
          <w:rFonts w:hint="cs"/>
          <w:spacing w:val="-2"/>
          <w:rtl/>
          <w:lang w:bidi="ar-MA"/>
        </w:rPr>
        <w:t>حدود"</w:t>
      </w:r>
      <w:r w:rsidRPr="00E82DBC">
        <w:rPr>
          <w:rFonts w:hint="cs"/>
          <w:spacing w:val="-2"/>
          <w:rtl/>
          <w:lang w:val="fr-CH" w:bidi="ar-MA"/>
        </w:rPr>
        <w:t xml:space="preserve"> من ضمن البلدان الخمسين الأولى من حيث احترام حرية الصحافة والإعلام. ولاحظت أيضاً أن عدد الاعتداءات على الصحفيين قد انخفض على مدى الأعوام وأن الصحفيين يعملون في ظروف</w:t>
      </w:r>
      <w:r>
        <w:rPr>
          <w:rFonts w:hint="eastAsia"/>
          <w:spacing w:val="-2"/>
          <w:rtl/>
          <w:lang w:val="fr-CH" w:bidi="ar-MA"/>
        </w:rPr>
        <w:t> </w:t>
      </w:r>
      <w:r w:rsidRPr="00E82DBC">
        <w:rPr>
          <w:rFonts w:hint="cs"/>
          <w:spacing w:val="-2"/>
          <w:rtl/>
          <w:lang w:val="fr-CH" w:bidi="ar-MA"/>
        </w:rPr>
        <w:t>تتحسن باطراد.</w:t>
      </w:r>
    </w:p>
    <w:p w:rsidR="00091373" w:rsidRPr="00FA0FC2" w:rsidRDefault="00091373" w:rsidP="00091373">
      <w:pPr>
        <w:pStyle w:val="SingleTxtGA"/>
        <w:rPr>
          <w:rFonts w:hint="cs"/>
          <w:rtl/>
          <w:lang w:val="fr-CH" w:bidi="ar-MA"/>
        </w:rPr>
      </w:pPr>
      <w:r w:rsidRPr="00FA0FC2">
        <w:rPr>
          <w:rFonts w:hint="cs"/>
          <w:rtl/>
          <w:lang w:val="fr-CH" w:bidi="ar-MA"/>
        </w:rPr>
        <w:t>4-9</w:t>
      </w:r>
      <w:r w:rsidRPr="00FA0FC2">
        <w:rPr>
          <w:rFonts w:hint="cs"/>
          <w:rtl/>
          <w:lang w:val="fr-CH" w:bidi="ar-MA"/>
        </w:rPr>
        <w:tab/>
        <w:t>وفيما يتعلق بهذه القضية، ترى الدولة الطرف أنه ليس ثمة أي شك في أن الظروف المشار إليها في التقارير المذكورة أعلاه</w:t>
      </w:r>
      <w:r>
        <w:rPr>
          <w:rFonts w:hint="cs"/>
          <w:rtl/>
          <w:lang w:val="fr-CH" w:bidi="ar-MA"/>
        </w:rPr>
        <w:t xml:space="preserve"> وفي</w:t>
      </w:r>
      <w:r>
        <w:rPr>
          <w:rtl/>
          <w:lang w:val="fr-CH" w:bidi="ar-MA"/>
        </w:rPr>
        <w:t> </w:t>
      </w:r>
      <w:r w:rsidRPr="00FA0FC2">
        <w:rPr>
          <w:rFonts w:hint="cs"/>
          <w:rtl/>
          <w:lang w:val="fr-CH" w:bidi="ar-MA"/>
        </w:rPr>
        <w:t>قرار مجلس الهجرة</w:t>
      </w:r>
      <w:r>
        <w:rPr>
          <w:rFonts w:hint="cs"/>
          <w:rtl/>
          <w:lang w:val="fr-CH" w:bidi="ar-MA"/>
        </w:rPr>
        <w:t xml:space="preserve"> لا</w:t>
      </w:r>
      <w:r>
        <w:rPr>
          <w:rtl/>
          <w:lang w:val="fr-CH" w:bidi="ar-MA"/>
        </w:rPr>
        <w:t> </w:t>
      </w:r>
      <w:r w:rsidRPr="00FA0FC2">
        <w:rPr>
          <w:rFonts w:hint="cs"/>
          <w:rtl/>
          <w:lang w:val="fr-CH" w:bidi="ar-MA"/>
        </w:rPr>
        <w:t>تكفي في حد ذاتها لتأكيد أن الإعادة القسرية لصاحب الشكوى إلى جمهورية تنزانيا المتحدة سيترتب عليها انتهاك لل</w:t>
      </w:r>
      <w:r>
        <w:rPr>
          <w:rFonts w:hint="cs"/>
          <w:rtl/>
          <w:lang w:val="fr-CH" w:bidi="ar-MA"/>
        </w:rPr>
        <w:t>مادة</w:t>
      </w:r>
      <w:r>
        <w:rPr>
          <w:rtl/>
          <w:lang w:val="fr-CH" w:bidi="ar-MA"/>
        </w:rPr>
        <w:t> </w:t>
      </w:r>
      <w:r w:rsidRPr="00FA0FC2">
        <w:rPr>
          <w:rFonts w:hint="cs"/>
          <w:rtl/>
          <w:lang w:val="fr-CH" w:bidi="ar-MA"/>
        </w:rPr>
        <w:t>3 من الاتفاقية. وبالتالي فإنه ينبغي للجنة أن تقيّم خطر تعرض صاحب الشكوى شخصياً للتعذيب عقب ترحيله إلى تنزانيا.</w:t>
      </w:r>
    </w:p>
    <w:p w:rsidR="00091373" w:rsidRPr="00FA0FC2" w:rsidRDefault="00091373" w:rsidP="00091373">
      <w:pPr>
        <w:pStyle w:val="SingleTxtGA"/>
        <w:rPr>
          <w:rFonts w:hint="cs"/>
          <w:spacing w:val="-2"/>
          <w:rtl/>
        </w:rPr>
      </w:pPr>
      <w:r w:rsidRPr="00FA0FC2">
        <w:rPr>
          <w:rFonts w:hint="cs"/>
          <w:rtl/>
          <w:lang w:val="fr-CH" w:bidi="ar-MA"/>
        </w:rPr>
        <w:t>4-10</w:t>
      </w:r>
      <w:r w:rsidRPr="00FA0FC2">
        <w:rPr>
          <w:rFonts w:hint="cs"/>
          <w:rtl/>
          <w:lang w:val="fr-CH" w:bidi="ar-MA"/>
        </w:rPr>
        <w:tab/>
        <w:t xml:space="preserve">وتلاحظ الدولة الطرف أنه وفقاً </w:t>
      </w:r>
      <w:r>
        <w:rPr>
          <w:rFonts w:hint="cs"/>
          <w:rtl/>
          <w:lang w:val="fr-CH" w:bidi="ar-MA"/>
        </w:rPr>
        <w:t xml:space="preserve">للاجتهادات السابقة </w:t>
      </w:r>
      <w:r w:rsidRPr="00FA0FC2">
        <w:rPr>
          <w:rFonts w:hint="cs"/>
          <w:rtl/>
          <w:lang w:val="fr-CH" w:bidi="ar-MA"/>
        </w:rPr>
        <w:t>للجنة، لأغراض تنفيذ ال</w:t>
      </w:r>
      <w:r>
        <w:rPr>
          <w:rFonts w:hint="cs"/>
          <w:rtl/>
          <w:lang w:val="fr-CH" w:bidi="ar-MA"/>
        </w:rPr>
        <w:t>مادة</w:t>
      </w:r>
      <w:r>
        <w:rPr>
          <w:rtl/>
          <w:lang w:val="fr-CH" w:bidi="ar-MA"/>
        </w:rPr>
        <w:t> </w:t>
      </w:r>
      <w:r w:rsidRPr="00FA0FC2">
        <w:rPr>
          <w:rFonts w:hint="cs"/>
          <w:rtl/>
          <w:lang w:val="fr-CH" w:bidi="ar-MA"/>
        </w:rPr>
        <w:t>3 من الاتفاقية، يتعين أن يواجه الشخص المعني بصورة متوقعة وفعلية وشخصية خطر التعرض للتعذيب في البلد الذي سيُعاد إليه</w:t>
      </w:r>
      <w:r w:rsidRPr="00FA0FC2">
        <w:rPr>
          <w:rFonts w:hint="cs"/>
          <w:sz w:val="28"/>
          <w:szCs w:val="28"/>
          <w:vertAlign w:val="superscript"/>
          <w:rtl/>
          <w:lang w:val="en-CA"/>
        </w:rPr>
        <w:t>(</w:t>
      </w:r>
      <w:r w:rsidRPr="00FA0FC2">
        <w:rPr>
          <w:sz w:val="28"/>
          <w:szCs w:val="28"/>
          <w:vertAlign w:val="superscript"/>
          <w:rtl/>
        </w:rPr>
        <w:footnoteReference w:id="216"/>
      </w:r>
      <w:r w:rsidRPr="00FA0FC2">
        <w:rPr>
          <w:rFonts w:hint="cs"/>
          <w:sz w:val="28"/>
          <w:szCs w:val="28"/>
          <w:vertAlign w:val="superscript"/>
          <w:rtl/>
          <w:lang w:val="en-CA"/>
        </w:rPr>
        <w:t>)</w:t>
      </w:r>
      <w:r w:rsidRPr="00FA0FC2">
        <w:rPr>
          <w:rFonts w:hint="cs"/>
          <w:rtl/>
        </w:rPr>
        <w:t>.</w:t>
      </w:r>
      <w:r w:rsidRPr="00FA0FC2">
        <w:rPr>
          <w:rFonts w:hint="cs"/>
          <w:rtl/>
          <w:lang w:val="fr-CH" w:bidi="ar-MA"/>
        </w:rPr>
        <w:t xml:space="preserve"> وإضافة إلى ذلك، </w:t>
      </w:r>
      <w:r w:rsidRPr="00FA0FC2">
        <w:rPr>
          <w:rFonts w:hint="cs"/>
          <w:spacing w:val="-2"/>
          <w:rtl/>
        </w:rPr>
        <w:t>ينبغي تفسير شَرطي الضرورة والقابلية للتنبؤ في ضوء التعليق العام رقم 1(1997) للجنة المتعلق بتنفيذ ال</w:t>
      </w:r>
      <w:r>
        <w:rPr>
          <w:rFonts w:hint="cs"/>
          <w:spacing w:val="-2"/>
          <w:rtl/>
        </w:rPr>
        <w:t>مادة</w:t>
      </w:r>
      <w:r>
        <w:rPr>
          <w:spacing w:val="-2"/>
          <w:rtl/>
        </w:rPr>
        <w:t> </w:t>
      </w:r>
      <w:r w:rsidRPr="00FA0FC2">
        <w:rPr>
          <w:rFonts w:hint="cs"/>
          <w:spacing w:val="-2"/>
          <w:rtl/>
        </w:rPr>
        <w:t>3 من الاتفاقية</w:t>
      </w:r>
      <w:r w:rsidRPr="00FA0FC2">
        <w:rPr>
          <w:rFonts w:hint="cs"/>
          <w:sz w:val="28"/>
          <w:szCs w:val="28"/>
          <w:vertAlign w:val="superscript"/>
          <w:rtl/>
          <w:lang w:val="en-CA"/>
        </w:rPr>
        <w:t>(</w:t>
      </w:r>
      <w:r w:rsidRPr="00FA0FC2">
        <w:rPr>
          <w:sz w:val="28"/>
          <w:szCs w:val="28"/>
          <w:vertAlign w:val="superscript"/>
          <w:rtl/>
        </w:rPr>
        <w:footnoteReference w:id="217"/>
      </w:r>
      <w:r w:rsidRPr="00FA0FC2">
        <w:rPr>
          <w:rFonts w:hint="cs"/>
          <w:sz w:val="28"/>
          <w:szCs w:val="28"/>
          <w:vertAlign w:val="superscript"/>
          <w:rtl/>
          <w:lang w:val="en-CA"/>
        </w:rPr>
        <w:t>)</w:t>
      </w:r>
      <w:r w:rsidRPr="00FA0FC2">
        <w:rPr>
          <w:rFonts w:hint="cs"/>
          <w:rtl/>
        </w:rPr>
        <w:t>،</w:t>
      </w:r>
      <w:r w:rsidRPr="00FA0FC2">
        <w:rPr>
          <w:rFonts w:hint="cs"/>
          <w:b/>
          <w:bCs/>
          <w:spacing w:val="-2"/>
          <w:rtl/>
        </w:rPr>
        <w:t xml:space="preserve"> </w:t>
      </w:r>
      <w:r w:rsidRPr="00FA0FC2">
        <w:rPr>
          <w:rFonts w:hint="cs"/>
          <w:spacing w:val="-2"/>
          <w:rtl/>
          <w:lang/>
        </w:rPr>
        <w:t xml:space="preserve">الذي يقضى بأن </w:t>
      </w:r>
      <w:r w:rsidRPr="00FA0FC2">
        <w:rPr>
          <w:spacing w:val="-2"/>
          <w:rtl/>
        </w:rPr>
        <w:t xml:space="preserve">على </w:t>
      </w:r>
      <w:r w:rsidRPr="00FA0FC2">
        <w:rPr>
          <w:rFonts w:hint="cs"/>
          <w:spacing w:val="-2"/>
          <w:rtl/>
        </w:rPr>
        <w:t xml:space="preserve">صاحب البلاغ </w:t>
      </w:r>
      <w:r w:rsidRPr="00FA0FC2">
        <w:rPr>
          <w:spacing w:val="-2"/>
          <w:rtl/>
        </w:rPr>
        <w:t xml:space="preserve">أن يقدم </w:t>
      </w:r>
      <w:r w:rsidRPr="00FA0FC2">
        <w:rPr>
          <w:rFonts w:hint="cs"/>
          <w:spacing w:val="-2"/>
          <w:rtl/>
        </w:rPr>
        <w:t xml:space="preserve">حججاً </w:t>
      </w:r>
      <w:r w:rsidRPr="00FA0FC2">
        <w:rPr>
          <w:rFonts w:hint="cs"/>
          <w:spacing w:val="-2"/>
          <w:rtl/>
          <w:lang w:bidi="ar-MA"/>
        </w:rPr>
        <w:t>وجيهة</w:t>
      </w:r>
      <w:r w:rsidRPr="00FA0FC2">
        <w:rPr>
          <w:rFonts w:hint="cs"/>
          <w:spacing w:val="-2"/>
          <w:rtl/>
        </w:rPr>
        <w:t>. وعلاوة على ذلك، يجب تقييم خطر التعذيب على أسس تتجاوز مجرد النظرية</w:t>
      </w:r>
      <w:r>
        <w:rPr>
          <w:rFonts w:hint="cs"/>
          <w:spacing w:val="-2"/>
          <w:rtl/>
        </w:rPr>
        <w:t xml:space="preserve"> أو</w:t>
      </w:r>
      <w:r>
        <w:rPr>
          <w:spacing w:val="-2"/>
          <w:rtl/>
        </w:rPr>
        <w:t> </w:t>
      </w:r>
      <w:r w:rsidRPr="00FA0FC2">
        <w:rPr>
          <w:rFonts w:hint="cs"/>
          <w:spacing w:val="-2"/>
          <w:rtl/>
        </w:rPr>
        <w:t>الشك، وإن كان</w:t>
      </w:r>
      <w:r>
        <w:rPr>
          <w:rFonts w:hint="cs"/>
          <w:spacing w:val="-2"/>
          <w:rtl/>
        </w:rPr>
        <w:t xml:space="preserve"> لا</w:t>
      </w:r>
      <w:r>
        <w:rPr>
          <w:spacing w:val="-2"/>
          <w:rtl/>
        </w:rPr>
        <w:t> </w:t>
      </w:r>
      <w:r w:rsidRPr="00FA0FC2">
        <w:rPr>
          <w:rFonts w:hint="cs"/>
          <w:spacing w:val="-2"/>
          <w:rtl/>
        </w:rPr>
        <w:t>يتحتم أن يلبي معيار ترجيح احتمال وقوعه.</w:t>
      </w:r>
    </w:p>
    <w:p w:rsidR="00091373" w:rsidRPr="00FA0FC2" w:rsidRDefault="00091373" w:rsidP="00091373">
      <w:pPr>
        <w:pStyle w:val="SingleTxtGA"/>
        <w:rPr>
          <w:rFonts w:hint="cs"/>
          <w:rtl/>
          <w:lang w:val="fr-CH" w:bidi="ar-MA"/>
        </w:rPr>
      </w:pPr>
      <w:r w:rsidRPr="00FA0FC2">
        <w:rPr>
          <w:rFonts w:hint="cs"/>
          <w:rtl/>
        </w:rPr>
        <w:t>4-11</w:t>
      </w:r>
      <w:r w:rsidRPr="00FA0FC2">
        <w:rPr>
          <w:rFonts w:hint="cs"/>
          <w:rtl/>
        </w:rPr>
        <w:tab/>
        <w:t xml:space="preserve">وتضيف الدولة الطرف أن ادعاءات صاحب الشكوى قد تم النظر فيها طبقاً </w:t>
      </w:r>
      <w:r w:rsidRPr="00FA0FC2">
        <w:rPr>
          <w:rFonts w:hint="cs"/>
          <w:rtl/>
          <w:lang w:val="fr-CH" w:bidi="ar-MA"/>
        </w:rPr>
        <w:t>للقانون المحلي المعمول به وأن عدة أحكام من قانون الأجانب تعكس نفس المبدأ الذي تنص عليه ال</w:t>
      </w:r>
      <w:r>
        <w:rPr>
          <w:rFonts w:hint="cs"/>
          <w:rtl/>
          <w:lang w:val="fr-CH" w:bidi="ar-MA"/>
        </w:rPr>
        <w:t>مادة</w:t>
      </w:r>
      <w:r>
        <w:rPr>
          <w:rtl/>
          <w:lang w:val="fr-CH" w:bidi="ar-MA"/>
        </w:rPr>
        <w:t> </w:t>
      </w:r>
      <w:r w:rsidRPr="00FA0FC2">
        <w:rPr>
          <w:rFonts w:hint="cs"/>
          <w:rtl/>
          <w:lang w:val="fr-CH" w:bidi="ar-MA"/>
        </w:rPr>
        <w:t>3 من الاتفاقية. ومن ثم فإن سلطات الهجرة السويدية قد استندت، في تقييم خطر التعرض للتعذيب عند النظر في طلب الحصول على اللجوء بموجب القانون، إلى نفس المعيار الذي كانت ستستند إليه اللجنة عند النظر في طلب لاحق بموجب الاتفاقية</w:t>
      </w:r>
      <w:r w:rsidRPr="00FA0FC2">
        <w:rPr>
          <w:rFonts w:hint="cs"/>
          <w:sz w:val="28"/>
          <w:szCs w:val="28"/>
          <w:vertAlign w:val="superscript"/>
          <w:rtl/>
          <w:lang w:val="en-CA"/>
        </w:rPr>
        <w:t>(</w:t>
      </w:r>
      <w:r w:rsidRPr="00FA0FC2">
        <w:rPr>
          <w:sz w:val="28"/>
          <w:szCs w:val="28"/>
          <w:vertAlign w:val="superscript"/>
          <w:rtl/>
        </w:rPr>
        <w:footnoteReference w:id="218"/>
      </w:r>
      <w:r w:rsidRPr="00FA0FC2">
        <w:rPr>
          <w:rFonts w:hint="cs"/>
          <w:sz w:val="28"/>
          <w:szCs w:val="28"/>
          <w:vertAlign w:val="superscript"/>
          <w:rtl/>
          <w:lang w:val="en-CA"/>
        </w:rPr>
        <w:t>)</w:t>
      </w:r>
      <w:r w:rsidRPr="00FA0FC2">
        <w:rPr>
          <w:rFonts w:hint="cs"/>
          <w:rtl/>
        </w:rPr>
        <w:t>.</w:t>
      </w:r>
      <w:r w:rsidRPr="00FA0FC2">
        <w:rPr>
          <w:rFonts w:hint="cs"/>
          <w:rtl/>
          <w:lang w:val="fr-CH" w:bidi="ar-MA"/>
        </w:rPr>
        <w:t xml:space="preserve"> وتشدد الدولة الطرف على أن السلطات الوطنية تحتل مكانة تؤهلها لتقييم المعلومات التي يقدمها ملتمس اللجوء وتقدير تصريحاته وادعاءاته نظراً لأنها تحظى بميزة التواصل المباشر مع الشخص المعني.</w:t>
      </w:r>
      <w:r>
        <w:rPr>
          <w:rFonts w:hint="cs"/>
          <w:rtl/>
          <w:lang w:val="fr-CH" w:bidi="ar-MA"/>
        </w:rPr>
        <w:t xml:space="preserve"> وفي</w:t>
      </w:r>
      <w:r>
        <w:rPr>
          <w:rtl/>
          <w:lang w:val="fr-CH" w:bidi="ar-MA"/>
        </w:rPr>
        <w:t> </w:t>
      </w:r>
      <w:r w:rsidRPr="00FA0FC2">
        <w:rPr>
          <w:rFonts w:hint="cs"/>
          <w:rtl/>
          <w:lang w:val="fr-CH" w:bidi="ar-MA"/>
        </w:rPr>
        <w:t>ضوء</w:t>
      </w:r>
      <w:r>
        <w:rPr>
          <w:rFonts w:hint="cs"/>
          <w:rtl/>
          <w:lang w:val="fr-CH" w:bidi="ar-MA"/>
        </w:rPr>
        <w:t xml:space="preserve"> ما</w:t>
      </w:r>
      <w:r>
        <w:rPr>
          <w:rtl/>
          <w:lang w:val="fr-CH" w:bidi="ar-MA"/>
        </w:rPr>
        <w:t> </w:t>
      </w:r>
      <w:r w:rsidRPr="00FA0FC2">
        <w:rPr>
          <w:rFonts w:hint="cs"/>
          <w:rtl/>
          <w:lang w:val="fr-CH" w:bidi="ar-MA"/>
        </w:rPr>
        <w:t>سبق، تدفع الدولة الطرف بأنه ينبغي منح قدر كبير من الأهمية للتقييم الذي أجرَته سلطات الهجرة السويدية والذي استند في هذه القضية إلى مبررات وجيهة.</w:t>
      </w:r>
    </w:p>
    <w:p w:rsidR="00091373" w:rsidRPr="00FA0FC2" w:rsidRDefault="00091373" w:rsidP="00091373">
      <w:pPr>
        <w:pStyle w:val="SingleTxtGA"/>
        <w:rPr>
          <w:rFonts w:hint="cs"/>
          <w:rtl/>
          <w:lang w:val="fr-CH" w:bidi="ar-MA"/>
        </w:rPr>
      </w:pPr>
      <w:r w:rsidRPr="00FA0FC2">
        <w:rPr>
          <w:rFonts w:hint="cs"/>
          <w:rtl/>
          <w:lang w:val="fr-CH" w:bidi="ar-MA"/>
        </w:rPr>
        <w:t>4-12</w:t>
      </w:r>
      <w:r w:rsidRPr="00FA0FC2">
        <w:rPr>
          <w:rFonts w:hint="cs"/>
          <w:rtl/>
          <w:lang w:val="fr-CH" w:bidi="ar-MA"/>
        </w:rPr>
        <w:tab/>
        <w:t>وفيما يتعلق بتقييم مصداقية التصريحات التي أدلى بها صاحب الشكوى، تلفت الدولة الطرف انتباه اللجنة إلى أن صاحب الشكوى قد زود اللجنة بوثيقة يبدو أنها عبارة عن سجل طبي مؤرخ في 20 تموز/يوليه 2002 أصدره مستشفى مجلس مسوا في جمهورية تنزانيا المتحدة. ولكن تلك الوثيقة</w:t>
      </w:r>
      <w:r>
        <w:rPr>
          <w:rFonts w:hint="cs"/>
          <w:rtl/>
          <w:lang w:val="fr-CH" w:bidi="ar-MA"/>
        </w:rPr>
        <w:t xml:space="preserve"> لم</w:t>
      </w:r>
      <w:r>
        <w:rPr>
          <w:rtl/>
          <w:lang w:val="fr-CH" w:bidi="ar-MA"/>
        </w:rPr>
        <w:t> </w:t>
      </w:r>
      <w:r w:rsidRPr="00FA0FC2">
        <w:rPr>
          <w:rFonts w:hint="cs"/>
          <w:rtl/>
          <w:lang w:val="fr-CH" w:bidi="ar-MA"/>
        </w:rPr>
        <w:t>تُقدَّم قط إلى سلطات الهجرة. وتضيف الدولة الطرف أنه على أي حال ليس من الواضح</w:t>
      </w:r>
      <w:r>
        <w:rPr>
          <w:rFonts w:hint="cs"/>
          <w:rtl/>
          <w:lang w:val="fr-CH" w:bidi="ar-MA"/>
        </w:rPr>
        <w:t xml:space="preserve"> ما</w:t>
      </w:r>
      <w:r>
        <w:rPr>
          <w:rtl/>
          <w:lang w:val="fr-CH" w:bidi="ar-MA"/>
        </w:rPr>
        <w:t> </w:t>
      </w:r>
      <w:r w:rsidRPr="00FA0FC2">
        <w:rPr>
          <w:rFonts w:hint="cs"/>
          <w:rtl/>
          <w:lang w:val="fr-CH" w:bidi="ar-MA"/>
        </w:rPr>
        <w:t>إذا كان صاحب الشكوى قد فحصه طبيب مختص في الإصابات من جراء التعذيب،</w:t>
      </w:r>
      <w:r>
        <w:rPr>
          <w:rFonts w:hint="cs"/>
          <w:rtl/>
          <w:lang w:val="fr-CH" w:bidi="ar-MA"/>
        </w:rPr>
        <w:t xml:space="preserve"> كما</w:t>
      </w:r>
      <w:r>
        <w:rPr>
          <w:rtl/>
          <w:lang w:val="fr-CH" w:bidi="ar-MA"/>
        </w:rPr>
        <w:t> </w:t>
      </w:r>
      <w:r w:rsidRPr="00FA0FC2">
        <w:rPr>
          <w:rFonts w:hint="cs"/>
          <w:rtl/>
          <w:lang w:val="fr-CH" w:bidi="ar-MA"/>
        </w:rPr>
        <w:t>أن كيفية إجراء الفحص الطبي مبهمة.</w:t>
      </w:r>
      <w:r>
        <w:rPr>
          <w:rFonts w:hint="cs"/>
          <w:rtl/>
          <w:lang w:val="fr-CH" w:bidi="ar-MA"/>
        </w:rPr>
        <w:t xml:space="preserve"> كما</w:t>
      </w:r>
      <w:r>
        <w:rPr>
          <w:rtl/>
          <w:lang w:val="fr-CH" w:bidi="ar-MA"/>
        </w:rPr>
        <w:t> </w:t>
      </w:r>
      <w:r w:rsidRPr="00FA0FC2">
        <w:rPr>
          <w:rFonts w:hint="cs"/>
          <w:rtl/>
          <w:lang w:val="fr-CH" w:bidi="ar-MA"/>
        </w:rPr>
        <w:t>تلاحظ الدولة الطرف أن الوثيقة يبدو أنها عبارة عن سجل طبي وليست تقريراً طبياً بالمعنى الضيق. ويعتري الوثيقةَ الغموض وهي</w:t>
      </w:r>
      <w:r>
        <w:rPr>
          <w:rFonts w:hint="cs"/>
          <w:rtl/>
          <w:lang w:val="fr-CH" w:bidi="ar-MA"/>
        </w:rPr>
        <w:t xml:space="preserve"> لا</w:t>
      </w:r>
      <w:r>
        <w:rPr>
          <w:rtl/>
          <w:lang w:val="fr-CH" w:bidi="ar-MA"/>
        </w:rPr>
        <w:t> </w:t>
      </w:r>
      <w:r w:rsidRPr="00FA0FC2">
        <w:rPr>
          <w:rFonts w:hint="cs"/>
          <w:rtl/>
          <w:lang w:val="fr-CH" w:bidi="ar-MA"/>
        </w:rPr>
        <w:t>تنطوي على أي تفاصيل ملموسة تتعلق على سبيل المثال بالإصابات وبأسبابها المحتملة. وبالتالي فإن الدولة الطرف ترى أن تلك الوثيقة</w:t>
      </w:r>
      <w:r>
        <w:rPr>
          <w:rFonts w:hint="cs"/>
          <w:rtl/>
          <w:lang w:val="fr-CH" w:bidi="ar-MA"/>
        </w:rPr>
        <w:t xml:space="preserve"> لا</w:t>
      </w:r>
      <w:r>
        <w:rPr>
          <w:rtl/>
          <w:lang w:val="fr-CH" w:bidi="ar-MA"/>
        </w:rPr>
        <w:t> </w:t>
      </w:r>
      <w:r w:rsidRPr="00FA0FC2">
        <w:rPr>
          <w:rFonts w:hint="cs"/>
          <w:rtl/>
          <w:lang w:val="fr-CH" w:bidi="ar-MA"/>
        </w:rPr>
        <w:t>ينبغي منحها سوى قيمة ضئيلة جداً كدليل، هذا إذا حظيت بقدر من القيمة أصلاً. وإضافة إلى ذلك، حتى لو افتُرض أن السجل الطبي سيكفي لإثبات تعرض صاحب الشكوى لمعاملة وصلت إلى حد التعذيب في الماضي، فإن هذا</w:t>
      </w:r>
      <w:r>
        <w:rPr>
          <w:rFonts w:hint="cs"/>
          <w:rtl/>
          <w:lang w:val="fr-CH" w:bidi="ar-MA"/>
        </w:rPr>
        <w:t xml:space="preserve"> لا</w:t>
      </w:r>
      <w:r>
        <w:rPr>
          <w:rtl/>
          <w:lang w:val="fr-CH" w:bidi="ar-MA"/>
        </w:rPr>
        <w:t> </w:t>
      </w:r>
      <w:r w:rsidRPr="00FA0FC2">
        <w:rPr>
          <w:rFonts w:hint="cs"/>
          <w:rtl/>
          <w:lang w:val="fr-CH" w:bidi="ar-MA"/>
        </w:rPr>
        <w:t>يدل على أن صاحب الشكوى قد أثبت بالأدلة ادعاءه بأنه سيتعرض حالياً لخطر التعذيب إذا</w:t>
      </w:r>
      <w:r>
        <w:rPr>
          <w:rFonts w:hint="cs"/>
          <w:rtl/>
          <w:lang w:val="fr-CH" w:bidi="ar-MA"/>
        </w:rPr>
        <w:t xml:space="preserve"> ما</w:t>
      </w:r>
      <w:r>
        <w:rPr>
          <w:rtl/>
          <w:lang w:val="fr-CH" w:bidi="ar-MA"/>
        </w:rPr>
        <w:t> </w:t>
      </w:r>
      <w:r w:rsidRPr="00FA0FC2">
        <w:rPr>
          <w:rFonts w:hint="cs"/>
          <w:rtl/>
          <w:lang w:val="fr-CH" w:bidi="ar-MA"/>
        </w:rPr>
        <w:t>أُعيدَ إلى بلده الأصلي. بل على العكس، ليس ثمة</w:t>
      </w:r>
      <w:r>
        <w:rPr>
          <w:rFonts w:hint="cs"/>
          <w:rtl/>
          <w:lang w:val="fr-CH" w:bidi="ar-MA"/>
        </w:rPr>
        <w:t xml:space="preserve"> ما</w:t>
      </w:r>
      <w:r>
        <w:rPr>
          <w:rtl/>
          <w:lang w:val="fr-CH" w:bidi="ar-MA"/>
        </w:rPr>
        <w:t> </w:t>
      </w:r>
      <w:r w:rsidRPr="00FA0FC2">
        <w:rPr>
          <w:rFonts w:hint="cs"/>
          <w:rtl/>
          <w:lang w:val="fr-CH" w:bidi="ar-MA"/>
        </w:rPr>
        <w:t>يشير إلى أن صاحب الشكوى سيتعرض لتلك المعاملة إذا</w:t>
      </w:r>
      <w:r>
        <w:rPr>
          <w:rFonts w:hint="cs"/>
          <w:rtl/>
          <w:lang w:val="fr-CH" w:bidi="ar-MA"/>
        </w:rPr>
        <w:t xml:space="preserve"> ما</w:t>
      </w:r>
      <w:r>
        <w:rPr>
          <w:rtl/>
          <w:lang w:val="fr-CH" w:bidi="ar-MA"/>
        </w:rPr>
        <w:t> </w:t>
      </w:r>
      <w:r w:rsidRPr="00FA0FC2">
        <w:rPr>
          <w:rFonts w:hint="cs"/>
          <w:rtl/>
          <w:lang w:val="fr-CH" w:bidi="ar-MA"/>
        </w:rPr>
        <w:t>أُعيد إلى تنزانيا.</w:t>
      </w:r>
    </w:p>
    <w:p w:rsidR="00091373" w:rsidRPr="00FA0FC2" w:rsidRDefault="00091373" w:rsidP="00091373">
      <w:pPr>
        <w:pStyle w:val="SingleTxtGA"/>
        <w:rPr>
          <w:rFonts w:hint="cs"/>
          <w:spacing w:val="-4"/>
          <w:rtl/>
          <w:lang w:val="fr-CH" w:bidi="ar-MA"/>
        </w:rPr>
      </w:pPr>
      <w:r w:rsidRPr="00FA0FC2">
        <w:rPr>
          <w:rFonts w:hint="cs"/>
          <w:spacing w:val="-4"/>
          <w:rtl/>
          <w:lang w:val="fr-CH" w:bidi="ar-MA"/>
        </w:rPr>
        <w:t>4-13</w:t>
      </w:r>
      <w:r w:rsidRPr="00FA0FC2">
        <w:rPr>
          <w:rFonts w:hint="cs"/>
          <w:spacing w:val="-4"/>
          <w:rtl/>
          <w:lang w:val="fr-CH" w:bidi="ar-MA"/>
        </w:rPr>
        <w:tab/>
        <w:t>وفضلاً عن ذلك، ترى الدولة الطرف أن ثمة شكوكاً في صحة</w:t>
      </w:r>
      <w:r>
        <w:rPr>
          <w:rFonts w:hint="cs"/>
          <w:spacing w:val="-4"/>
          <w:rtl/>
          <w:lang w:val="fr-CH" w:bidi="ar-MA"/>
        </w:rPr>
        <w:t xml:space="preserve"> ما</w:t>
      </w:r>
      <w:r>
        <w:rPr>
          <w:spacing w:val="-4"/>
          <w:rtl/>
          <w:lang w:val="fr-CH" w:bidi="ar-MA"/>
        </w:rPr>
        <w:t> </w:t>
      </w:r>
      <w:r w:rsidRPr="00FA0FC2">
        <w:rPr>
          <w:rFonts w:hint="cs"/>
          <w:spacing w:val="-4"/>
          <w:rtl/>
          <w:lang w:val="fr-CH" w:bidi="ar-MA"/>
        </w:rPr>
        <w:t>صرح به صاحب الشكوى بشأن فترة احتجازه في</w:t>
      </w:r>
      <w:r>
        <w:rPr>
          <w:rFonts w:hint="cs"/>
          <w:spacing w:val="-4"/>
          <w:rtl/>
          <w:lang w:val="fr-CH" w:bidi="ar-MA"/>
        </w:rPr>
        <w:t xml:space="preserve"> عام</w:t>
      </w:r>
      <w:r>
        <w:rPr>
          <w:spacing w:val="-4"/>
          <w:rtl/>
          <w:lang w:val="fr-CH" w:bidi="ar-MA"/>
        </w:rPr>
        <w:t> </w:t>
      </w:r>
      <w:r w:rsidRPr="00FA0FC2">
        <w:rPr>
          <w:rFonts w:hint="cs"/>
          <w:spacing w:val="-4"/>
          <w:rtl/>
          <w:lang w:val="fr-CH" w:bidi="ar-MA"/>
        </w:rPr>
        <w:t xml:space="preserve">2002. وتشير الدولة الطرف إلى أن كلاً من لجنة حماية الصحفيين (في تقريرها المعنون </w:t>
      </w:r>
      <w:r w:rsidRPr="00FA0FC2">
        <w:rPr>
          <w:i/>
          <w:iCs/>
          <w:spacing w:val="-4"/>
          <w:lang w:val="fr-CH" w:bidi="ar-MA"/>
        </w:rPr>
        <w:t>Attacks on the Press 2002</w:t>
      </w:r>
      <w:r w:rsidRPr="00FA0FC2">
        <w:rPr>
          <w:rFonts w:hint="cs"/>
          <w:spacing w:val="-4"/>
          <w:rtl/>
          <w:lang w:val="fr-CH" w:bidi="ar-MA"/>
        </w:rPr>
        <w:t xml:space="preserve"> </w:t>
      </w:r>
      <w:r w:rsidRPr="00FA0FC2">
        <w:rPr>
          <w:rFonts w:hint="cs"/>
          <w:i/>
          <w:iCs/>
          <w:spacing w:val="-4"/>
          <w:rtl/>
          <w:lang w:val="fr-CH" w:bidi="ar-MA"/>
        </w:rPr>
        <w:t>"الاعتداءات على الصحافة، 2002"</w:t>
      </w:r>
      <w:r w:rsidRPr="00FA0FC2">
        <w:rPr>
          <w:rFonts w:hint="cs"/>
          <w:spacing w:val="-4"/>
          <w:rtl/>
          <w:lang w:val="fr-CH" w:bidi="ar-MA"/>
        </w:rPr>
        <w:t xml:space="preserve"> الصادر في 31 آذار/مارس 2003) واليونسكو (في دراستها المعنونة </w:t>
      </w:r>
      <w:r w:rsidRPr="00FA0FC2">
        <w:rPr>
          <w:i/>
          <w:iCs/>
          <w:spacing w:val="-4"/>
          <w:lang w:val="fr-CH" w:bidi="ar-MA"/>
        </w:rPr>
        <w:t>Media Legislation in Africa: A Comparative Legal Study</w:t>
      </w:r>
      <w:r w:rsidRPr="00FA0FC2">
        <w:rPr>
          <w:rFonts w:hint="cs"/>
          <w:spacing w:val="-4"/>
          <w:rtl/>
          <w:lang w:val="fr-CH" w:bidi="ar-MA"/>
        </w:rPr>
        <w:t xml:space="preserve"> </w:t>
      </w:r>
      <w:r w:rsidRPr="00FA0FC2">
        <w:rPr>
          <w:rFonts w:hint="cs"/>
          <w:i/>
          <w:iCs/>
          <w:spacing w:val="-4"/>
          <w:rtl/>
          <w:lang w:val="fr-CH" w:bidi="ar-MA"/>
        </w:rPr>
        <w:t>"تشريعات وسائط الإعلام في أفريقيا: دراسة قانونية مقارِنة"</w:t>
      </w:r>
      <w:r w:rsidRPr="00FA0FC2">
        <w:rPr>
          <w:rFonts w:hint="cs"/>
          <w:spacing w:val="-4"/>
          <w:rtl/>
          <w:lang w:val="fr-CH" w:bidi="ar-MA"/>
        </w:rPr>
        <w:t>) قد أبلغتا عن وضع صاحب الشكوى رهن الاعتقال في 2002، ولكن لمدة بضع ساعات فقط. وتتناقض هذه الإفادة مع تصريح صاحب الشكوى بأنه قد احتُجز في الفترة</w:t>
      </w:r>
      <w:r>
        <w:rPr>
          <w:rFonts w:hint="cs"/>
          <w:spacing w:val="-4"/>
          <w:rtl/>
          <w:lang w:val="fr-CH" w:bidi="ar-MA"/>
        </w:rPr>
        <w:t xml:space="preserve"> ما</w:t>
      </w:r>
      <w:r>
        <w:rPr>
          <w:spacing w:val="-4"/>
          <w:rtl/>
          <w:lang w:val="fr-CH" w:bidi="ar-MA"/>
        </w:rPr>
        <w:t> </w:t>
      </w:r>
      <w:r w:rsidRPr="00FA0FC2">
        <w:rPr>
          <w:rFonts w:hint="cs"/>
          <w:spacing w:val="-4"/>
          <w:rtl/>
          <w:lang w:val="fr-CH" w:bidi="ar-MA"/>
        </w:rPr>
        <w:t>بين</w:t>
      </w:r>
      <w:r w:rsidRPr="00FA0FC2">
        <w:rPr>
          <w:rFonts w:hint="eastAsia"/>
          <w:spacing w:val="-4"/>
          <w:rtl/>
          <w:lang w:val="fr-CH" w:bidi="ar-MA"/>
        </w:rPr>
        <w:t> </w:t>
      </w:r>
      <w:r w:rsidRPr="00FA0FC2">
        <w:rPr>
          <w:rFonts w:hint="cs"/>
          <w:spacing w:val="-4"/>
          <w:rtl/>
          <w:lang w:val="fr-CH" w:bidi="ar-MA"/>
        </w:rPr>
        <w:t>30 نيسان/أبريل ونهاية حزيران/يونيه 2002.</w:t>
      </w:r>
    </w:p>
    <w:p w:rsidR="00091373" w:rsidRPr="001776AB" w:rsidRDefault="00091373" w:rsidP="00091373">
      <w:pPr>
        <w:pStyle w:val="SingleTxtGA"/>
        <w:rPr>
          <w:rFonts w:hint="cs"/>
          <w:spacing w:val="-2"/>
          <w:rtl/>
          <w:lang w:val="fr-CH" w:bidi="ar-MA"/>
        </w:rPr>
      </w:pPr>
      <w:r w:rsidRPr="001776AB">
        <w:rPr>
          <w:rFonts w:hint="cs"/>
          <w:spacing w:val="-2"/>
          <w:rtl/>
          <w:lang w:val="fr-CH" w:bidi="ar-MA"/>
        </w:rPr>
        <w:t>4-14</w:t>
      </w:r>
      <w:r w:rsidRPr="001776AB">
        <w:rPr>
          <w:rFonts w:hint="cs"/>
          <w:spacing w:val="-2"/>
          <w:rtl/>
          <w:lang w:val="fr-CH" w:bidi="ar-MA"/>
        </w:rPr>
        <w:tab/>
        <w:t>وتلاحظ الدولة الطرف أن المقال الذي زُعم أنه لفتَ انتباه السلطات التنزانية قد نُشر بتاريخ 3 آب/أغسطس 2008. غير أن مكتب مراقبة الشرطة التابع لوزارة الهجرة في جمهورية تنزانيا المتحدة قد أصدر في 27 آب/أغسطس 2008 جواز سفر لصاحب الشكوى بعد مرور ثلاثة أسابيع ونصف الأسبوع على نشر المقال، واستطاع صاحب الشكوى أن يسافر بصفة قانونية إلى السويد. وترى الدولة الطرف أن صاحب الشكوى كان سيُمنع من مغادرة بلده الأصلي لو أن السلطات كانت تستهدفه. وإضافة إلى ذلك، تسنى لصاحب الشكوى أن يعمل كصحفي وينشر المقالات عقب أحداث 2002 المزعومة وبعدما مُنع في عام</w:t>
      </w:r>
      <w:r w:rsidRPr="001776AB">
        <w:rPr>
          <w:spacing w:val="-2"/>
          <w:rtl/>
          <w:lang w:val="fr-CH" w:bidi="ar-MA"/>
        </w:rPr>
        <w:t> </w:t>
      </w:r>
      <w:r w:rsidRPr="001776AB">
        <w:rPr>
          <w:rFonts w:hint="cs"/>
          <w:spacing w:val="-2"/>
          <w:rtl/>
          <w:lang w:val="fr-CH" w:bidi="ar-MA"/>
        </w:rPr>
        <w:t xml:space="preserve">2007 من إصدار أي تقارير عن أي عمل يؤديه أعضاء الحكومة. ووفقاً لطلب صاحب الشكوى في الحصول على تأشيرة، المؤرخ 28 آب/أغسطس 2008، فإنه كان يعمل محرراً في صحيفة </w:t>
      </w:r>
      <w:r w:rsidRPr="001776AB">
        <w:rPr>
          <w:i/>
          <w:iCs/>
          <w:spacing w:val="-2"/>
          <w:lang w:val="fr-CH" w:bidi="ar-MA"/>
        </w:rPr>
        <w:t>Tanzania Daima</w:t>
      </w:r>
      <w:r w:rsidRPr="001776AB">
        <w:rPr>
          <w:rFonts w:hint="cs"/>
          <w:spacing w:val="-2"/>
          <w:rtl/>
          <w:lang w:val="fr-CH" w:bidi="ar-MA"/>
        </w:rPr>
        <w:t>. وترى الدولة الطرف أن كل هذا يدل بوضوح على أن صاحب الشكوى لم</w:t>
      </w:r>
      <w:r w:rsidRPr="001776AB">
        <w:rPr>
          <w:spacing w:val="-2"/>
          <w:rtl/>
          <w:lang w:val="fr-CH" w:bidi="ar-MA"/>
        </w:rPr>
        <w:t> </w:t>
      </w:r>
      <w:r w:rsidRPr="001776AB">
        <w:rPr>
          <w:rFonts w:hint="cs"/>
          <w:spacing w:val="-2"/>
          <w:rtl/>
          <w:lang w:val="fr-CH" w:bidi="ar-MA"/>
        </w:rPr>
        <w:t>يكن محط اهتمام للسلطات عندما غادر بلده وأنه لن</w:t>
      </w:r>
      <w:r w:rsidRPr="001776AB">
        <w:rPr>
          <w:spacing w:val="-2"/>
          <w:rtl/>
          <w:lang w:val="fr-CH" w:bidi="ar-MA"/>
        </w:rPr>
        <w:t> </w:t>
      </w:r>
      <w:r w:rsidRPr="001776AB">
        <w:rPr>
          <w:rFonts w:hint="cs"/>
          <w:spacing w:val="-2"/>
          <w:rtl/>
          <w:lang w:val="fr-CH" w:bidi="ar-MA"/>
        </w:rPr>
        <w:t>يتعرض هناك لأي تهديد.</w:t>
      </w:r>
    </w:p>
    <w:p w:rsidR="00091373" w:rsidRPr="00FA0FC2" w:rsidRDefault="00091373" w:rsidP="00091373">
      <w:pPr>
        <w:pStyle w:val="SingleTxtGA"/>
        <w:rPr>
          <w:rFonts w:hint="cs"/>
          <w:rtl/>
          <w:lang w:val="fr-CH" w:bidi="ar-MA"/>
        </w:rPr>
      </w:pPr>
      <w:r w:rsidRPr="00FA0FC2">
        <w:rPr>
          <w:rFonts w:hint="cs"/>
          <w:rtl/>
          <w:lang w:bidi="ar-MA"/>
        </w:rPr>
        <w:t>4-15</w:t>
      </w:r>
      <w:r w:rsidRPr="00FA0FC2">
        <w:rPr>
          <w:rFonts w:hint="cs"/>
          <w:rtl/>
          <w:lang w:bidi="ar-MA"/>
        </w:rPr>
        <w:tab/>
        <w:t>وتلاحظ الدولة الطرف أن فترة طويلة قد مرت على أحداث 2002 وتُذكّر بأنه رغم أن أحداث الماضي قد تكون ذات أهمية، فإن الغرض الرئيسي من تقييم اللجنة يتمثل في تحديد</w:t>
      </w:r>
      <w:r>
        <w:rPr>
          <w:rFonts w:hint="cs"/>
          <w:rtl/>
          <w:lang w:bidi="ar-MA"/>
        </w:rPr>
        <w:t xml:space="preserve"> ما</w:t>
      </w:r>
      <w:r>
        <w:rPr>
          <w:rtl/>
          <w:lang w:bidi="ar-MA"/>
        </w:rPr>
        <w:t> </w:t>
      </w:r>
      <w:r w:rsidRPr="00FA0FC2">
        <w:rPr>
          <w:rFonts w:hint="cs"/>
          <w:rtl/>
          <w:lang w:bidi="ar-MA"/>
        </w:rPr>
        <w:t>إذا كان صاحب الشكوى يحدق به حالياً خطر التعرض للتعذيب عقب وصوله إلى جمهورية تنزانيا المتحدة</w:t>
      </w:r>
      <w:r w:rsidRPr="00FA0FC2">
        <w:rPr>
          <w:rFonts w:hint="cs"/>
          <w:sz w:val="28"/>
          <w:szCs w:val="28"/>
          <w:vertAlign w:val="superscript"/>
          <w:rtl/>
          <w:lang w:val="en-CA"/>
        </w:rPr>
        <w:t>(</w:t>
      </w:r>
      <w:r w:rsidRPr="00FA0FC2">
        <w:rPr>
          <w:sz w:val="28"/>
          <w:szCs w:val="28"/>
          <w:vertAlign w:val="superscript"/>
          <w:rtl/>
        </w:rPr>
        <w:footnoteReference w:id="219"/>
      </w:r>
      <w:r w:rsidRPr="00FA0FC2">
        <w:rPr>
          <w:rFonts w:hint="cs"/>
          <w:sz w:val="28"/>
          <w:szCs w:val="28"/>
          <w:vertAlign w:val="superscript"/>
          <w:rtl/>
          <w:lang w:val="en-CA"/>
        </w:rPr>
        <w:t>)</w:t>
      </w:r>
      <w:r w:rsidRPr="00FA0FC2">
        <w:rPr>
          <w:rFonts w:hint="cs"/>
          <w:rtl/>
          <w:lang w:bidi="ar-MA"/>
        </w:rPr>
        <w:t>.</w:t>
      </w:r>
      <w:r>
        <w:rPr>
          <w:rFonts w:hint="cs"/>
          <w:rtl/>
          <w:lang w:bidi="ar-MA"/>
        </w:rPr>
        <w:t xml:space="preserve"> وفي</w:t>
      </w:r>
      <w:r>
        <w:rPr>
          <w:rtl/>
          <w:lang w:bidi="ar-MA"/>
        </w:rPr>
        <w:t> </w:t>
      </w:r>
      <w:r w:rsidRPr="00FA0FC2">
        <w:rPr>
          <w:rFonts w:hint="cs"/>
          <w:rtl/>
          <w:lang w:bidi="ar-MA"/>
        </w:rPr>
        <w:t xml:space="preserve">هذا الصدد، تشدد الدولة الطرف على أن آخر التقارير بشأن حقوق الإنسان تعطي عموماً صورة إيجابية </w:t>
      </w:r>
      <w:r w:rsidRPr="00FA0FC2">
        <w:rPr>
          <w:rFonts w:hint="cs"/>
          <w:rtl/>
          <w:lang w:val="fr-CH" w:bidi="ar-MA"/>
        </w:rPr>
        <w:t>إلى حد</w:t>
      </w:r>
      <w:r>
        <w:rPr>
          <w:rFonts w:hint="cs"/>
          <w:rtl/>
          <w:lang w:val="fr-CH" w:bidi="ar-MA"/>
        </w:rPr>
        <w:t xml:space="preserve"> ما</w:t>
      </w:r>
      <w:r>
        <w:rPr>
          <w:rtl/>
          <w:lang w:val="fr-CH" w:bidi="ar-MA"/>
        </w:rPr>
        <w:t> </w:t>
      </w:r>
      <w:r w:rsidRPr="00FA0FC2">
        <w:rPr>
          <w:rFonts w:hint="cs"/>
          <w:rtl/>
          <w:lang w:val="fr-CH" w:bidi="ar-MA"/>
        </w:rPr>
        <w:t>عن الوضع الحالي للصحفيين في تنزانيا. وحسب التقريرين المشار إليهما أعلاه</w:t>
      </w:r>
      <w:r w:rsidRPr="00FA0FC2">
        <w:rPr>
          <w:rFonts w:hint="cs"/>
          <w:sz w:val="28"/>
          <w:szCs w:val="28"/>
          <w:vertAlign w:val="superscript"/>
          <w:rtl/>
          <w:lang w:val="en-CA"/>
        </w:rPr>
        <w:t>(</w:t>
      </w:r>
      <w:r w:rsidRPr="00FA0FC2">
        <w:rPr>
          <w:sz w:val="28"/>
          <w:szCs w:val="28"/>
          <w:vertAlign w:val="superscript"/>
          <w:rtl/>
        </w:rPr>
        <w:footnoteReference w:id="220"/>
      </w:r>
      <w:r w:rsidRPr="00FA0FC2">
        <w:rPr>
          <w:rFonts w:hint="cs"/>
          <w:sz w:val="28"/>
          <w:szCs w:val="28"/>
          <w:vertAlign w:val="superscript"/>
          <w:rtl/>
          <w:lang w:val="en-CA"/>
        </w:rPr>
        <w:t>)</w:t>
      </w:r>
      <w:r w:rsidRPr="00FA0FC2">
        <w:rPr>
          <w:rFonts w:hint="cs"/>
          <w:rtl/>
        </w:rPr>
        <w:t>،</w:t>
      </w:r>
      <w:r w:rsidRPr="00FA0FC2">
        <w:rPr>
          <w:rFonts w:hint="cs"/>
          <w:rtl/>
          <w:lang w:val="fr-CH" w:bidi="ar-MA"/>
        </w:rPr>
        <w:t xml:space="preserve"> فإن وسائط الإعلام المستقلة في تنزانيا تُعبر عن آراء شتى وتنشر مقالات تنتقد فيها الحكومة دون أن تُفرَض عليها قيود</w:t>
      </w:r>
      <w:r>
        <w:rPr>
          <w:rFonts w:hint="cs"/>
          <w:rtl/>
          <w:lang w:val="fr-CH" w:bidi="ar-MA"/>
        </w:rPr>
        <w:t xml:space="preserve"> أو</w:t>
      </w:r>
      <w:r>
        <w:rPr>
          <w:rtl/>
          <w:lang w:val="fr-CH" w:bidi="ar-MA"/>
        </w:rPr>
        <w:t> </w:t>
      </w:r>
      <w:r w:rsidRPr="00FA0FC2">
        <w:rPr>
          <w:rFonts w:hint="cs"/>
          <w:rtl/>
          <w:lang w:val="fr-CH" w:bidi="ar-MA"/>
        </w:rPr>
        <w:t xml:space="preserve">أن تتعرض لأعمال انتقامية. وإضافة إلى ذلك، كان صاحب الشكوى عندما غادر تنزانيا يعمل في صحيفة </w:t>
      </w:r>
      <w:r w:rsidRPr="00FA0FC2">
        <w:rPr>
          <w:rFonts w:cs="Times New Roman"/>
          <w:i/>
          <w:iCs/>
          <w:lang w:val="fr-CH" w:bidi="ar-MA"/>
        </w:rPr>
        <w:t>Tanzania Daima</w:t>
      </w:r>
      <w:r w:rsidRPr="00FA0FC2">
        <w:rPr>
          <w:rFonts w:cs="Times New Roman"/>
          <w:i/>
          <w:iCs/>
          <w:rtl/>
          <w:lang w:val="fr-CH" w:bidi="ar-MA"/>
        </w:rPr>
        <w:t xml:space="preserve"> </w:t>
      </w:r>
      <w:r w:rsidRPr="00FA0FC2">
        <w:rPr>
          <w:rFonts w:hint="cs"/>
          <w:rtl/>
          <w:lang w:val="fr-CH" w:bidi="ar-MA"/>
        </w:rPr>
        <w:t>المعارِضة. وعليه، ليس ثمة</w:t>
      </w:r>
      <w:r>
        <w:rPr>
          <w:rFonts w:hint="cs"/>
          <w:rtl/>
          <w:lang w:val="fr-CH" w:bidi="ar-MA"/>
        </w:rPr>
        <w:t xml:space="preserve"> ما</w:t>
      </w:r>
      <w:r>
        <w:rPr>
          <w:rtl/>
          <w:lang w:val="fr-CH" w:bidi="ar-MA"/>
        </w:rPr>
        <w:t> </w:t>
      </w:r>
      <w:r w:rsidRPr="00FA0FC2">
        <w:rPr>
          <w:rFonts w:hint="cs"/>
          <w:rtl/>
          <w:lang w:val="fr-CH" w:bidi="ar-MA"/>
        </w:rPr>
        <w:t>يشير إلى أن صاحب الشكوى سيلفت انتباه السلطات التنزانية بسبب أنشطته السابقة إذا</w:t>
      </w:r>
      <w:r>
        <w:rPr>
          <w:rFonts w:hint="cs"/>
          <w:rtl/>
          <w:lang w:val="fr-CH" w:bidi="ar-MA"/>
        </w:rPr>
        <w:t xml:space="preserve"> ما</w:t>
      </w:r>
      <w:r>
        <w:rPr>
          <w:rtl/>
          <w:lang w:val="fr-CH" w:bidi="ar-MA"/>
        </w:rPr>
        <w:t> </w:t>
      </w:r>
      <w:r w:rsidRPr="00FA0FC2">
        <w:rPr>
          <w:rFonts w:hint="cs"/>
          <w:rtl/>
          <w:lang w:val="fr-CH" w:bidi="ar-MA"/>
        </w:rPr>
        <w:t>أُعيد إلى تنزانيا.</w:t>
      </w:r>
    </w:p>
    <w:p w:rsidR="00091373" w:rsidRPr="00FA0FC2" w:rsidRDefault="00091373" w:rsidP="00091373">
      <w:pPr>
        <w:pStyle w:val="SingleTxtGA"/>
        <w:rPr>
          <w:rFonts w:hint="cs"/>
          <w:rtl/>
          <w:lang w:val="fr-CH" w:bidi="ar-MA"/>
        </w:rPr>
      </w:pPr>
      <w:r w:rsidRPr="00FA0FC2">
        <w:rPr>
          <w:rFonts w:hint="cs"/>
          <w:rtl/>
          <w:lang w:val="fr-CH" w:bidi="ar-MA"/>
        </w:rPr>
        <w:t>4-16</w:t>
      </w:r>
      <w:r w:rsidRPr="00FA0FC2">
        <w:rPr>
          <w:rFonts w:hint="cs"/>
          <w:rtl/>
          <w:lang w:val="fr-CH" w:bidi="ar-MA"/>
        </w:rPr>
        <w:tab/>
        <w:t>وختاماً، تقول الدولة الطرف إن الأدلة والظروف التي احتج بها صاحب الشكوى ليست كافية لإثبات أن خطر التعرض للتعذيب المزعوم يفي بشروط كونه خطراً متوقعاً وحقيقياً وشخصياً. ومن ثم فإن صاحب الشكوى</w:t>
      </w:r>
      <w:r>
        <w:rPr>
          <w:rFonts w:hint="cs"/>
          <w:rtl/>
          <w:lang w:val="fr-CH" w:bidi="ar-MA"/>
        </w:rPr>
        <w:t xml:space="preserve"> لم</w:t>
      </w:r>
      <w:r>
        <w:rPr>
          <w:rtl/>
          <w:lang w:val="fr-CH" w:bidi="ar-MA"/>
        </w:rPr>
        <w:t> </w:t>
      </w:r>
      <w:r w:rsidRPr="00FA0FC2">
        <w:rPr>
          <w:rFonts w:hint="cs"/>
          <w:rtl/>
          <w:lang w:val="fr-CH" w:bidi="ar-MA"/>
        </w:rPr>
        <w:t>يعرض أسباباً وجيهة تدعو للاعتقاد بأن هناك خطراً حقيقياً وشخصياً لأن يتعرّض لمعاملة تتنافى مع ال</w:t>
      </w:r>
      <w:r>
        <w:rPr>
          <w:rFonts w:hint="cs"/>
          <w:rtl/>
          <w:lang w:val="fr-CH" w:bidi="ar-MA"/>
        </w:rPr>
        <w:t>مادة</w:t>
      </w:r>
      <w:r>
        <w:rPr>
          <w:rtl/>
          <w:lang w:val="fr-CH" w:bidi="ar-MA"/>
        </w:rPr>
        <w:t> </w:t>
      </w:r>
      <w:r w:rsidRPr="00FA0FC2">
        <w:rPr>
          <w:rFonts w:hint="cs"/>
          <w:rtl/>
          <w:lang w:val="fr-CH" w:bidi="ar-MA"/>
        </w:rPr>
        <w:t>3 من الاتفاقية إذا</w:t>
      </w:r>
      <w:r>
        <w:rPr>
          <w:rFonts w:hint="cs"/>
          <w:rtl/>
          <w:lang w:val="fr-CH" w:bidi="ar-MA"/>
        </w:rPr>
        <w:t xml:space="preserve"> ما</w:t>
      </w:r>
      <w:r>
        <w:rPr>
          <w:rtl/>
          <w:lang w:val="fr-CH" w:bidi="ar-MA"/>
        </w:rPr>
        <w:t> </w:t>
      </w:r>
      <w:r w:rsidRPr="00FA0FC2">
        <w:rPr>
          <w:rFonts w:hint="cs"/>
          <w:rtl/>
          <w:lang w:val="fr-CH" w:bidi="ar-MA"/>
        </w:rPr>
        <w:t>جرى ترحيله إلى جمهورية تنزانيا المتحدة. وعليه، فإن الدولة الطرف ترى أن إنفاذ أمر الترحيل، في هذه الظروف،</w:t>
      </w:r>
      <w:r>
        <w:rPr>
          <w:rFonts w:hint="cs"/>
          <w:rtl/>
          <w:lang w:val="fr-CH" w:bidi="ar-MA"/>
        </w:rPr>
        <w:t xml:space="preserve"> لن</w:t>
      </w:r>
      <w:r>
        <w:rPr>
          <w:rtl/>
          <w:lang w:val="fr-CH" w:bidi="ar-MA"/>
        </w:rPr>
        <w:t> </w:t>
      </w:r>
      <w:r w:rsidRPr="00FA0FC2">
        <w:rPr>
          <w:rFonts w:hint="cs"/>
          <w:rtl/>
          <w:lang w:val="fr-CH" w:bidi="ar-MA"/>
        </w:rPr>
        <w:t>يُشكل انتهاكاً لل</w:t>
      </w:r>
      <w:r>
        <w:rPr>
          <w:rFonts w:hint="cs"/>
          <w:rtl/>
          <w:lang w:val="fr-CH" w:bidi="ar-MA"/>
        </w:rPr>
        <w:t>مادة</w:t>
      </w:r>
      <w:r>
        <w:rPr>
          <w:rtl/>
          <w:lang w:val="fr-CH" w:bidi="ar-MA"/>
        </w:rPr>
        <w:t> </w:t>
      </w:r>
      <w:r w:rsidRPr="00FA0FC2">
        <w:rPr>
          <w:rFonts w:hint="cs"/>
          <w:rtl/>
          <w:lang w:val="fr-CH" w:bidi="ar-MA"/>
        </w:rPr>
        <w:t>3 من الاتفاقية.</w:t>
      </w:r>
      <w:r>
        <w:rPr>
          <w:rFonts w:hint="cs"/>
          <w:rtl/>
          <w:lang w:val="fr-CH" w:bidi="ar-MA"/>
        </w:rPr>
        <w:t xml:space="preserve"> وبما</w:t>
      </w:r>
      <w:r>
        <w:rPr>
          <w:rtl/>
          <w:lang w:val="fr-CH" w:bidi="ar-MA"/>
        </w:rPr>
        <w:t> </w:t>
      </w:r>
      <w:r w:rsidRPr="00FA0FC2">
        <w:rPr>
          <w:rFonts w:hint="cs"/>
          <w:rtl/>
          <w:lang w:val="fr-CH" w:bidi="ar-MA"/>
        </w:rPr>
        <w:t>أن ادعاء صاحب الشكوى بموجب ال</w:t>
      </w:r>
      <w:r>
        <w:rPr>
          <w:rFonts w:hint="cs"/>
          <w:rtl/>
          <w:lang w:val="fr-CH" w:bidi="ar-MA"/>
        </w:rPr>
        <w:t>مادة</w:t>
      </w:r>
      <w:r>
        <w:rPr>
          <w:rtl/>
          <w:lang w:val="fr-CH" w:bidi="ar-MA"/>
        </w:rPr>
        <w:t> </w:t>
      </w:r>
      <w:r w:rsidRPr="00FA0FC2">
        <w:rPr>
          <w:rFonts w:hint="cs"/>
          <w:rtl/>
          <w:lang w:val="fr-CH" w:bidi="ar-MA"/>
        </w:rPr>
        <w:t>3 من الاتفاقية</w:t>
      </w:r>
      <w:r>
        <w:rPr>
          <w:rFonts w:hint="cs"/>
          <w:rtl/>
          <w:lang w:val="fr-CH" w:bidi="ar-MA"/>
        </w:rPr>
        <w:t xml:space="preserve"> لا</w:t>
      </w:r>
      <w:r>
        <w:rPr>
          <w:rtl/>
          <w:lang w:val="fr-CH" w:bidi="ar-MA"/>
        </w:rPr>
        <w:t> </w:t>
      </w:r>
      <w:r w:rsidRPr="00FA0FC2">
        <w:rPr>
          <w:rFonts w:hint="cs"/>
          <w:rtl/>
          <w:lang w:val="fr-CH" w:bidi="ar-MA"/>
        </w:rPr>
        <w:t>يرقى إلى المستوى الأساسي من الإثبات بالأدلة، فإنه ينبغي الإعلان عن عدم مقبولية البلاغ لافتقاره الظاهر إلى أسس وجيهة، حسب الدولة الطرف.</w:t>
      </w:r>
    </w:p>
    <w:p w:rsidR="00091373" w:rsidRPr="00FA0FC2" w:rsidRDefault="00091373" w:rsidP="00091373">
      <w:pPr>
        <w:pStyle w:val="SingleTxtGA"/>
        <w:rPr>
          <w:rFonts w:hint="cs"/>
          <w:spacing w:val="-4"/>
          <w:rtl/>
          <w:lang w:val="fr-CH" w:bidi="ar-MA"/>
        </w:rPr>
      </w:pPr>
      <w:r w:rsidRPr="00FA0FC2">
        <w:rPr>
          <w:rFonts w:hint="cs"/>
          <w:spacing w:val="-4"/>
          <w:rtl/>
          <w:lang w:val="fr-CH" w:bidi="ar-MA"/>
        </w:rPr>
        <w:t>4-17</w:t>
      </w:r>
      <w:r w:rsidRPr="00FA0FC2">
        <w:rPr>
          <w:rFonts w:hint="cs"/>
          <w:spacing w:val="-4"/>
          <w:rtl/>
          <w:lang w:val="fr-CH" w:bidi="ar-MA"/>
        </w:rPr>
        <w:tab/>
        <w:t>ونظراً لأن صاحب الشكوى قد غادر السويد بتاريخ 20 تشرين الثاني/نوفمبر 2010، فإن الدولة الطرف ترى أن من المناسب أن تبت اللجنة</w:t>
      </w:r>
      <w:r>
        <w:rPr>
          <w:rFonts w:hint="cs"/>
          <w:spacing w:val="-4"/>
          <w:rtl/>
          <w:lang w:val="fr-CH" w:bidi="ar-MA"/>
        </w:rPr>
        <w:t xml:space="preserve"> فيما</w:t>
      </w:r>
      <w:r>
        <w:rPr>
          <w:spacing w:val="-4"/>
          <w:rtl/>
          <w:lang w:val="fr-CH" w:bidi="ar-MA"/>
        </w:rPr>
        <w:t> </w:t>
      </w:r>
      <w:r w:rsidRPr="00FA0FC2">
        <w:rPr>
          <w:rFonts w:hint="cs"/>
          <w:spacing w:val="-4"/>
          <w:rtl/>
          <w:lang w:val="fr-CH" w:bidi="ar-MA"/>
        </w:rPr>
        <w:t>إذا كان صاحب الشكوى</w:t>
      </w:r>
      <w:r>
        <w:rPr>
          <w:rFonts w:hint="cs"/>
          <w:spacing w:val="-4"/>
          <w:rtl/>
          <w:lang w:val="fr-CH" w:bidi="ar-MA"/>
        </w:rPr>
        <w:t xml:space="preserve"> لا</w:t>
      </w:r>
      <w:r>
        <w:rPr>
          <w:spacing w:val="-4"/>
          <w:rtl/>
          <w:lang w:val="fr-CH" w:bidi="ar-MA"/>
        </w:rPr>
        <w:t> </w:t>
      </w:r>
      <w:r w:rsidRPr="00FA0FC2">
        <w:rPr>
          <w:rFonts w:hint="cs"/>
          <w:spacing w:val="-4"/>
          <w:rtl/>
          <w:lang w:val="fr-CH" w:bidi="ar-MA"/>
        </w:rPr>
        <w:t>يزال يود استبقاء بلاغه معروضاً أمام اللجنة. وتدعو الدولة الطرف اللجنةَ إلى وقف النظر في البلاغ إذا</w:t>
      </w:r>
      <w:r>
        <w:rPr>
          <w:rFonts w:hint="cs"/>
          <w:spacing w:val="-4"/>
          <w:rtl/>
          <w:lang w:val="fr-CH" w:bidi="ar-MA"/>
        </w:rPr>
        <w:t xml:space="preserve"> ما</w:t>
      </w:r>
      <w:r>
        <w:rPr>
          <w:spacing w:val="-4"/>
          <w:rtl/>
          <w:lang w:val="fr-CH" w:bidi="ar-MA"/>
        </w:rPr>
        <w:t> </w:t>
      </w:r>
      <w:r w:rsidRPr="00FA0FC2">
        <w:rPr>
          <w:rFonts w:hint="cs"/>
          <w:spacing w:val="-4"/>
          <w:rtl/>
          <w:lang w:val="fr-CH" w:bidi="ar-MA"/>
        </w:rPr>
        <w:t>تلقت معلومات تفيد بعدم رغبة صاحب الشكوى في استبقاء بلاغه.</w:t>
      </w:r>
    </w:p>
    <w:p w:rsidR="00091373" w:rsidRPr="00FA0FC2" w:rsidRDefault="00091373" w:rsidP="00091373">
      <w:pPr>
        <w:pStyle w:val="H23GA"/>
        <w:rPr>
          <w:rFonts w:hint="cs"/>
          <w:rtl/>
          <w:lang/>
        </w:rPr>
      </w:pPr>
      <w:r w:rsidRPr="00FA0FC2">
        <w:rPr>
          <w:rFonts w:hint="cs"/>
          <w:rtl/>
          <w:lang/>
        </w:rPr>
        <w:tab/>
      </w:r>
      <w:r w:rsidRPr="00FA0FC2">
        <w:rPr>
          <w:rFonts w:hint="cs"/>
          <w:rtl/>
          <w:lang/>
        </w:rPr>
        <w:tab/>
        <w:t>تعليقات صاحب الشكوى على ملاحظات الدولة الطرف</w:t>
      </w:r>
    </w:p>
    <w:p w:rsidR="00091373" w:rsidRPr="001776AB" w:rsidRDefault="00091373" w:rsidP="00091373">
      <w:pPr>
        <w:pStyle w:val="SingleTxtGA"/>
        <w:rPr>
          <w:rFonts w:ascii="Traditional Arabic" w:hAnsi="Traditional Arabic" w:hint="cs"/>
          <w:spacing w:val="-4"/>
          <w:rtl/>
        </w:rPr>
      </w:pPr>
      <w:r w:rsidRPr="001776AB">
        <w:rPr>
          <w:rFonts w:hint="cs"/>
          <w:spacing w:val="-4"/>
          <w:rtl/>
        </w:rPr>
        <w:t>5-1</w:t>
      </w:r>
      <w:r w:rsidRPr="001776AB">
        <w:rPr>
          <w:rFonts w:hint="cs"/>
          <w:spacing w:val="-4"/>
          <w:rtl/>
        </w:rPr>
        <w:tab/>
        <w:t>في 31 أيار/مايو 2012، أبلغَ صاحب الشكوى اللجنة بأن السويد قد باشرت عملية إعادته قسراً إلى جمهورية تنزانيا المتحدة، بيد أنه تمكن من الفرار خلال التوقف في بلد ثالث. ويختبئ صاحب الشكوى في الوقت الراهن في ذلك البلد. وفي</w:t>
      </w:r>
      <w:r w:rsidRPr="001776AB">
        <w:rPr>
          <w:spacing w:val="-4"/>
          <w:rtl/>
        </w:rPr>
        <w:t> </w:t>
      </w:r>
      <w:r w:rsidRPr="001776AB">
        <w:rPr>
          <w:rFonts w:hint="cs"/>
          <w:spacing w:val="-4"/>
          <w:rtl/>
        </w:rPr>
        <w:t>5 حزيران/يونيه</w:t>
      </w:r>
      <w:r w:rsidRPr="001776AB">
        <w:rPr>
          <w:rFonts w:hint="eastAsia"/>
          <w:spacing w:val="-4"/>
          <w:rtl/>
        </w:rPr>
        <w:t> </w:t>
      </w:r>
      <w:r w:rsidRPr="001776AB">
        <w:rPr>
          <w:rFonts w:hint="cs"/>
          <w:spacing w:val="-4"/>
          <w:rtl/>
        </w:rPr>
        <w:t>2012، أبدى تعليقاته على ملاحظات الدولة الطرف. وبشأن الحالة العامة لحقوق الإنسان في تنزانيا، يرى أن الدولة الطرف تفتقر إلى معلومات موثوقة وأصلية وشاملة ومستقلة عن الحالة العامة هناك. كما</w:t>
      </w:r>
      <w:r w:rsidRPr="001776AB">
        <w:rPr>
          <w:spacing w:val="-4"/>
          <w:rtl/>
        </w:rPr>
        <w:t> </w:t>
      </w:r>
      <w:r w:rsidRPr="001776AB">
        <w:rPr>
          <w:rFonts w:hint="cs"/>
          <w:spacing w:val="-4"/>
          <w:rtl/>
        </w:rPr>
        <w:t xml:space="preserve">يشير إلى أن </w:t>
      </w:r>
      <w:r w:rsidRPr="001776AB">
        <w:rPr>
          <w:rFonts w:ascii="Traditional Arabic" w:hAnsi="Traditional Arabic" w:hint="cs"/>
          <w:spacing w:val="-4"/>
          <w:rtl/>
        </w:rPr>
        <w:t>التقريرين القطريين لوزارة خارجية الولايات المتحدة يفتقران إلى المصداقية وليسا مستقلين ولا</w:t>
      </w:r>
      <w:r w:rsidRPr="001776AB">
        <w:rPr>
          <w:rFonts w:ascii="Traditional Arabic" w:hAnsi="Traditional Arabic"/>
          <w:spacing w:val="-4"/>
          <w:rtl/>
        </w:rPr>
        <w:t> </w:t>
      </w:r>
      <w:r w:rsidRPr="001776AB">
        <w:rPr>
          <w:rFonts w:ascii="Traditional Arabic" w:hAnsi="Traditional Arabic" w:hint="cs"/>
          <w:spacing w:val="-4"/>
          <w:rtl/>
        </w:rPr>
        <w:t>وافيين. وفيما</w:t>
      </w:r>
      <w:r w:rsidRPr="001776AB">
        <w:rPr>
          <w:rFonts w:ascii="Traditional Arabic" w:hAnsi="Traditional Arabic"/>
          <w:spacing w:val="-4"/>
          <w:rtl/>
        </w:rPr>
        <w:t> </w:t>
      </w:r>
      <w:r w:rsidRPr="001776AB">
        <w:rPr>
          <w:rFonts w:ascii="Traditional Arabic" w:hAnsi="Traditional Arabic" w:hint="cs"/>
          <w:spacing w:val="-4"/>
          <w:rtl/>
        </w:rPr>
        <w:t>يتعلق بوضع الصحفيين في تنزانيا، يحيل إلى تقارير مختلفة مستقاة من شبكة الإنترنت تشير إلى منع إصدار الصحف وحظر احتجاجات الصحفيين والبحث عن مكاتب الصحف المستقلة وعن بيوت المحررين في تنزانيا.</w:t>
      </w:r>
    </w:p>
    <w:p w:rsidR="00091373" w:rsidRPr="00FA0FC2" w:rsidRDefault="00091373" w:rsidP="00091373">
      <w:pPr>
        <w:pStyle w:val="SingleTxtGA"/>
        <w:rPr>
          <w:rFonts w:hint="cs"/>
          <w:rtl/>
        </w:rPr>
      </w:pPr>
      <w:r w:rsidRPr="00FA0FC2">
        <w:rPr>
          <w:rFonts w:hint="cs"/>
          <w:rtl/>
        </w:rPr>
        <w:t>5-2</w:t>
      </w:r>
      <w:r w:rsidRPr="00FA0FC2">
        <w:rPr>
          <w:rFonts w:hint="cs"/>
          <w:rtl/>
        </w:rPr>
        <w:tab/>
        <w:t>وبشأن مسألة</w:t>
      </w:r>
      <w:r>
        <w:rPr>
          <w:rFonts w:hint="cs"/>
          <w:rtl/>
        </w:rPr>
        <w:t xml:space="preserve"> ما</w:t>
      </w:r>
      <w:r>
        <w:rPr>
          <w:rtl/>
        </w:rPr>
        <w:t> </w:t>
      </w:r>
      <w:r w:rsidRPr="00FA0FC2">
        <w:rPr>
          <w:rFonts w:hint="cs"/>
          <w:rtl/>
        </w:rPr>
        <w:t>إذا كان خطر التعرض شخصياً للتعذيب</w:t>
      </w:r>
      <w:r>
        <w:rPr>
          <w:rFonts w:hint="cs"/>
          <w:rtl/>
        </w:rPr>
        <w:t xml:space="preserve"> لا</w:t>
      </w:r>
      <w:r>
        <w:rPr>
          <w:rtl/>
        </w:rPr>
        <w:t> </w:t>
      </w:r>
      <w:r w:rsidRPr="00FA0FC2">
        <w:rPr>
          <w:rFonts w:hint="cs"/>
          <w:rtl/>
        </w:rPr>
        <w:t>يزال محدقاً بصاحب الشكوى</w:t>
      </w:r>
      <w:r>
        <w:rPr>
          <w:rFonts w:hint="cs"/>
          <w:rtl/>
        </w:rPr>
        <w:t xml:space="preserve"> أم</w:t>
      </w:r>
      <w:r>
        <w:rPr>
          <w:rtl/>
        </w:rPr>
        <w:t> </w:t>
      </w:r>
      <w:r w:rsidRPr="00FA0FC2">
        <w:rPr>
          <w:rFonts w:hint="cs"/>
          <w:rtl/>
        </w:rPr>
        <w:t>لا، يقول هذا الأخير إن أمر مواجهته لهذا الخطر يتجلى من خلال تجربته الماضية في</w:t>
      </w:r>
      <w:r>
        <w:rPr>
          <w:rFonts w:hint="cs"/>
          <w:rtl/>
        </w:rPr>
        <w:t xml:space="preserve"> عام</w:t>
      </w:r>
      <w:r>
        <w:rPr>
          <w:rtl/>
        </w:rPr>
        <w:t> </w:t>
      </w:r>
      <w:r w:rsidRPr="00FA0FC2">
        <w:rPr>
          <w:rFonts w:hint="cs"/>
          <w:rtl/>
        </w:rPr>
        <w:t>2002 ومنعه في</w:t>
      </w:r>
      <w:r>
        <w:rPr>
          <w:rFonts w:hint="cs"/>
          <w:rtl/>
        </w:rPr>
        <w:t xml:space="preserve"> عام</w:t>
      </w:r>
      <w:r>
        <w:rPr>
          <w:rtl/>
        </w:rPr>
        <w:t> </w:t>
      </w:r>
      <w:r w:rsidRPr="00FA0FC2">
        <w:rPr>
          <w:rFonts w:hint="cs"/>
          <w:rtl/>
        </w:rPr>
        <w:t>2007 من مزاولة مهنته كصحفي. ويشير إلى أن الدولة الطرف</w:t>
      </w:r>
      <w:r>
        <w:rPr>
          <w:rFonts w:hint="cs"/>
          <w:rtl/>
        </w:rPr>
        <w:t xml:space="preserve"> لم</w:t>
      </w:r>
      <w:r>
        <w:rPr>
          <w:rtl/>
        </w:rPr>
        <w:t> </w:t>
      </w:r>
      <w:r w:rsidRPr="00FA0FC2">
        <w:rPr>
          <w:rFonts w:hint="cs"/>
          <w:rtl/>
        </w:rPr>
        <w:t>تقدّم أدلة ملموسة على أنه</w:t>
      </w:r>
      <w:r>
        <w:rPr>
          <w:rFonts w:hint="cs"/>
          <w:rtl/>
        </w:rPr>
        <w:t xml:space="preserve"> لن</w:t>
      </w:r>
      <w:r>
        <w:rPr>
          <w:rtl/>
        </w:rPr>
        <w:t> </w:t>
      </w:r>
      <w:r w:rsidRPr="00FA0FC2">
        <w:rPr>
          <w:rFonts w:hint="cs"/>
          <w:rtl/>
        </w:rPr>
        <w:t>يتعرض لسوء المعاملة في جمهورية تنزانيا المتحدة ويضيف أن الدولة الطرف، وكذلك سلطاتها المعنية بالهجرة، قد استندت في استنتاجاتها إلى مجرد افتراضات.</w:t>
      </w:r>
    </w:p>
    <w:p w:rsidR="00091373" w:rsidRPr="00FA0FC2" w:rsidRDefault="00091373" w:rsidP="00091373">
      <w:pPr>
        <w:pStyle w:val="SingleTxtGA"/>
        <w:rPr>
          <w:rFonts w:hint="cs"/>
          <w:rtl/>
        </w:rPr>
      </w:pPr>
      <w:r w:rsidRPr="00FA0FC2">
        <w:rPr>
          <w:rFonts w:hint="cs"/>
          <w:rtl/>
        </w:rPr>
        <w:t>5-3</w:t>
      </w:r>
      <w:r w:rsidRPr="00FA0FC2">
        <w:rPr>
          <w:rFonts w:hint="cs"/>
          <w:rtl/>
        </w:rPr>
        <w:tab/>
        <w:t>وفيما يتعلق بمسألة سجله الطبي، يشير صاحب الشكوى إلى عدم وجود أطباء متخصصين في الإصابات من جراء التعذيب في أفريقيا.</w:t>
      </w:r>
    </w:p>
    <w:p w:rsidR="00091373" w:rsidRPr="00FA0FC2" w:rsidRDefault="00091373" w:rsidP="00091373">
      <w:pPr>
        <w:pStyle w:val="SingleTxtGA"/>
        <w:rPr>
          <w:rFonts w:hint="cs"/>
          <w:spacing w:val="-2"/>
          <w:rtl/>
        </w:rPr>
      </w:pPr>
      <w:r w:rsidRPr="00FA0FC2">
        <w:rPr>
          <w:rFonts w:hint="cs"/>
          <w:rtl/>
        </w:rPr>
        <w:t>5-4</w:t>
      </w:r>
      <w:r w:rsidRPr="00FA0FC2">
        <w:rPr>
          <w:rFonts w:hint="cs"/>
          <w:rtl/>
        </w:rPr>
        <w:tab/>
        <w:t>وختاماً، يفيد صاحب الشكوى أنه يود استبقاء بلاغه معروضاً على اللجنة نظراً لترحيله قسراً ولأنه</w:t>
      </w:r>
      <w:r>
        <w:rPr>
          <w:rFonts w:hint="cs"/>
          <w:rtl/>
        </w:rPr>
        <w:t xml:space="preserve"> لا</w:t>
      </w:r>
      <w:r>
        <w:rPr>
          <w:rtl/>
        </w:rPr>
        <w:t> </w:t>
      </w:r>
      <w:r w:rsidRPr="00FA0FC2">
        <w:rPr>
          <w:rFonts w:hint="cs"/>
          <w:rtl/>
        </w:rPr>
        <w:t>يزال في حاجة إلى الحماية الدولية.</w:t>
      </w:r>
    </w:p>
    <w:p w:rsidR="00091373" w:rsidRPr="00FA0FC2" w:rsidRDefault="00091373" w:rsidP="00091373">
      <w:pPr>
        <w:pStyle w:val="H23GA"/>
        <w:rPr>
          <w:rFonts w:hint="cs"/>
          <w:szCs w:val="20"/>
          <w:rtl/>
        </w:rPr>
      </w:pPr>
      <w:r w:rsidRPr="00FA0FC2">
        <w:rPr>
          <w:rFonts w:hint="cs"/>
          <w:rtl/>
          <w:lang/>
        </w:rPr>
        <w:tab/>
      </w:r>
      <w:r w:rsidRPr="00FA0FC2">
        <w:rPr>
          <w:rFonts w:hint="cs"/>
          <w:rtl/>
          <w:lang/>
        </w:rPr>
        <w:tab/>
        <w:t>المسائل والإجراءات المعروضة على اللجنة</w:t>
      </w:r>
    </w:p>
    <w:p w:rsidR="00091373" w:rsidRPr="00FA0FC2" w:rsidRDefault="00091373" w:rsidP="00091373">
      <w:pPr>
        <w:pStyle w:val="H4GA"/>
        <w:rPr>
          <w:rFonts w:hint="cs"/>
          <w:szCs w:val="20"/>
          <w:rtl/>
        </w:rPr>
      </w:pPr>
      <w:r w:rsidRPr="00FA0FC2">
        <w:rPr>
          <w:rFonts w:hint="cs"/>
          <w:rtl/>
        </w:rPr>
        <w:tab/>
      </w:r>
      <w:r w:rsidRPr="00FA0FC2">
        <w:rPr>
          <w:rFonts w:hint="cs"/>
          <w:rtl/>
        </w:rPr>
        <w:tab/>
        <w:t>النظر في المقبولية</w:t>
      </w:r>
    </w:p>
    <w:p w:rsidR="00091373" w:rsidRPr="00FA0FC2" w:rsidRDefault="00091373" w:rsidP="00091373">
      <w:pPr>
        <w:pStyle w:val="SingleTxtGA"/>
        <w:rPr>
          <w:rFonts w:hint="cs"/>
          <w:rtl/>
          <w:lang/>
        </w:rPr>
      </w:pPr>
      <w:r w:rsidRPr="00FA0FC2">
        <w:rPr>
          <w:rFonts w:hint="cs"/>
          <w:rtl/>
        </w:rPr>
        <w:t>6-1</w:t>
      </w:r>
      <w:r w:rsidRPr="00FA0FC2">
        <w:rPr>
          <w:rFonts w:hint="cs"/>
          <w:rtl/>
          <w:lang/>
        </w:rPr>
        <w:tab/>
        <w:t>قبل النظر في أي ادعاءات ترد في بلاغ ما، يتعين على اللجنة أن تحدد</w:t>
      </w:r>
      <w:r>
        <w:rPr>
          <w:rFonts w:hint="cs"/>
          <w:rtl/>
          <w:lang/>
        </w:rPr>
        <w:t xml:space="preserve"> ما</w:t>
      </w:r>
      <w:r>
        <w:rPr>
          <w:rtl/>
          <w:lang/>
        </w:rPr>
        <w:t> </w:t>
      </w:r>
      <w:r w:rsidRPr="00FA0FC2">
        <w:rPr>
          <w:rFonts w:hint="cs"/>
          <w:rtl/>
          <w:lang/>
        </w:rPr>
        <w:t>إذا كان هذا البلاغ مقبولاً</w:t>
      </w:r>
      <w:r>
        <w:rPr>
          <w:rFonts w:hint="cs"/>
          <w:rtl/>
          <w:lang/>
        </w:rPr>
        <w:t xml:space="preserve"> أم</w:t>
      </w:r>
      <w:r>
        <w:rPr>
          <w:rtl/>
          <w:lang/>
        </w:rPr>
        <w:t> لا </w:t>
      </w:r>
      <w:r w:rsidRPr="00FA0FC2">
        <w:rPr>
          <w:rFonts w:hint="cs"/>
          <w:rtl/>
          <w:lang/>
        </w:rPr>
        <w:t>بموجب ال</w:t>
      </w:r>
      <w:r>
        <w:rPr>
          <w:rFonts w:hint="cs"/>
          <w:rtl/>
          <w:lang/>
        </w:rPr>
        <w:t>مادة</w:t>
      </w:r>
      <w:r>
        <w:rPr>
          <w:rtl/>
          <w:lang/>
        </w:rPr>
        <w:t> </w:t>
      </w:r>
      <w:r w:rsidRPr="00FA0FC2">
        <w:rPr>
          <w:rFonts w:hint="cs"/>
          <w:rtl/>
          <w:lang/>
        </w:rPr>
        <w:t>22 من الاتفاقية.</w:t>
      </w:r>
    </w:p>
    <w:p w:rsidR="00091373" w:rsidRPr="00FA0FC2" w:rsidRDefault="00091373" w:rsidP="00091373">
      <w:pPr>
        <w:pStyle w:val="SingleTxtGA"/>
        <w:rPr>
          <w:rFonts w:hint="cs"/>
          <w:rtl/>
          <w:lang w:bidi="ar-MA"/>
        </w:rPr>
      </w:pPr>
      <w:r w:rsidRPr="00FA0FC2">
        <w:rPr>
          <w:rFonts w:hint="cs"/>
          <w:rtl/>
          <w:lang/>
        </w:rPr>
        <w:t>6-2</w:t>
      </w:r>
      <w:r w:rsidRPr="00FA0FC2">
        <w:rPr>
          <w:rFonts w:hint="cs"/>
          <w:rtl/>
          <w:lang/>
        </w:rPr>
        <w:tab/>
      </w:r>
      <w:r w:rsidRPr="00FA0FC2">
        <w:rPr>
          <w:rFonts w:hint="cs"/>
          <w:rtl/>
          <w:lang w:val="fr-CH"/>
        </w:rPr>
        <w:t xml:space="preserve">وقد </w:t>
      </w:r>
      <w:r w:rsidRPr="00FA0FC2">
        <w:rPr>
          <w:rFonts w:hint="cs"/>
          <w:rtl/>
          <w:lang/>
        </w:rPr>
        <w:t>تأكدت اللجنة، حسب</w:t>
      </w:r>
      <w:r>
        <w:rPr>
          <w:rFonts w:hint="cs"/>
          <w:rtl/>
          <w:lang/>
        </w:rPr>
        <w:t xml:space="preserve"> ما</w:t>
      </w:r>
      <w:r>
        <w:rPr>
          <w:rtl/>
          <w:lang/>
        </w:rPr>
        <w:t> </w:t>
      </w:r>
      <w:r w:rsidRPr="00FA0FC2">
        <w:rPr>
          <w:rFonts w:hint="cs"/>
          <w:rtl/>
          <w:lang/>
        </w:rPr>
        <w:t>تقتضيه الفقرة 5(أ) من ال</w:t>
      </w:r>
      <w:r>
        <w:rPr>
          <w:rFonts w:hint="cs"/>
          <w:rtl/>
          <w:lang/>
        </w:rPr>
        <w:t>مادة</w:t>
      </w:r>
      <w:r>
        <w:rPr>
          <w:rtl/>
          <w:lang/>
        </w:rPr>
        <w:t> </w:t>
      </w:r>
      <w:r w:rsidRPr="00FA0FC2">
        <w:rPr>
          <w:rFonts w:hint="cs"/>
          <w:rtl/>
          <w:lang/>
        </w:rPr>
        <w:t>22 من الاتفاقية، من أن المسألة نفسها</w:t>
      </w:r>
      <w:r>
        <w:rPr>
          <w:rFonts w:hint="cs"/>
          <w:rtl/>
          <w:lang/>
        </w:rPr>
        <w:t xml:space="preserve"> لم</w:t>
      </w:r>
      <w:r>
        <w:rPr>
          <w:rtl/>
          <w:lang/>
        </w:rPr>
        <w:t> </w:t>
      </w:r>
      <w:r w:rsidRPr="00FA0FC2">
        <w:rPr>
          <w:rFonts w:hint="cs"/>
          <w:rtl/>
          <w:lang/>
        </w:rPr>
        <w:t>تُبحث</w:t>
      </w:r>
      <w:r>
        <w:rPr>
          <w:rFonts w:hint="cs"/>
          <w:rtl/>
          <w:lang/>
        </w:rPr>
        <w:t xml:space="preserve"> ولا</w:t>
      </w:r>
      <w:r>
        <w:rPr>
          <w:rtl/>
          <w:lang/>
        </w:rPr>
        <w:t> </w:t>
      </w:r>
      <w:r w:rsidRPr="00FA0FC2">
        <w:rPr>
          <w:rFonts w:hint="cs"/>
          <w:rtl/>
          <w:lang/>
        </w:rPr>
        <w:t>يجري بحثها في إطار أي إجراء آخر من إجراءات التحقيق الدولي</w:t>
      </w:r>
      <w:r>
        <w:rPr>
          <w:rFonts w:hint="cs"/>
          <w:rtl/>
          <w:lang/>
        </w:rPr>
        <w:t xml:space="preserve"> أو</w:t>
      </w:r>
      <w:r>
        <w:rPr>
          <w:rtl/>
          <w:lang/>
        </w:rPr>
        <w:t> </w:t>
      </w:r>
      <w:r w:rsidRPr="00FA0FC2">
        <w:rPr>
          <w:rFonts w:hint="cs"/>
          <w:rtl/>
          <w:lang/>
        </w:rPr>
        <w:t>التسوية الدولية، وتشير إلى أن سبل الانتصاف المحلية قد استنفِدت، وفقاً</w:t>
      </w:r>
      <w:r>
        <w:rPr>
          <w:rFonts w:hint="cs"/>
          <w:rtl/>
          <w:lang/>
        </w:rPr>
        <w:t xml:space="preserve"> لما</w:t>
      </w:r>
      <w:r>
        <w:rPr>
          <w:rtl/>
          <w:lang/>
        </w:rPr>
        <w:t> </w:t>
      </w:r>
      <w:r w:rsidRPr="00FA0FC2">
        <w:rPr>
          <w:rFonts w:hint="cs"/>
          <w:rtl/>
          <w:lang/>
        </w:rPr>
        <w:t>تقتضيه الفقرة 5(ب) من ال</w:t>
      </w:r>
      <w:r>
        <w:rPr>
          <w:rFonts w:hint="cs"/>
          <w:rtl/>
          <w:lang/>
        </w:rPr>
        <w:t>مادة</w:t>
      </w:r>
      <w:r>
        <w:rPr>
          <w:rtl/>
          <w:lang/>
        </w:rPr>
        <w:t> </w:t>
      </w:r>
      <w:r w:rsidRPr="00FA0FC2">
        <w:rPr>
          <w:rFonts w:hint="cs"/>
          <w:rtl/>
          <w:lang/>
        </w:rPr>
        <w:t>22 من الاتفاقية.</w:t>
      </w:r>
    </w:p>
    <w:p w:rsidR="00091373" w:rsidRPr="00FA0FC2" w:rsidRDefault="00091373" w:rsidP="00091373">
      <w:pPr>
        <w:pStyle w:val="SingleTxtGA"/>
        <w:rPr>
          <w:rFonts w:hint="cs"/>
          <w:rtl/>
          <w:lang w:bidi="ar-MA"/>
        </w:rPr>
      </w:pPr>
      <w:r w:rsidRPr="00FA0FC2">
        <w:rPr>
          <w:rFonts w:hint="cs"/>
          <w:rtl/>
          <w:lang w:bidi="ar-MA"/>
        </w:rPr>
        <w:t>6-3</w:t>
      </w:r>
      <w:r w:rsidRPr="00FA0FC2">
        <w:rPr>
          <w:rFonts w:hint="cs"/>
          <w:rtl/>
          <w:lang w:bidi="ar-MA"/>
        </w:rPr>
        <w:tab/>
        <w:t>وتلاحظ اللجنة أن الدولة الطرف تقول إن البلاغ غير مقبول لأن من الواضح أنه</w:t>
      </w:r>
      <w:r>
        <w:rPr>
          <w:rFonts w:hint="cs"/>
          <w:rtl/>
          <w:lang w:bidi="ar-MA"/>
        </w:rPr>
        <w:t xml:space="preserve"> لا</w:t>
      </w:r>
      <w:r>
        <w:rPr>
          <w:rtl/>
          <w:lang w:bidi="ar-MA"/>
        </w:rPr>
        <w:t> </w:t>
      </w:r>
      <w:r w:rsidRPr="00FA0FC2">
        <w:rPr>
          <w:rFonts w:hint="cs"/>
          <w:rtl/>
          <w:lang w:bidi="ar-MA"/>
        </w:rPr>
        <w:t>يستند إلى أي أساس. بيد أن اللجنة ترى أن الحجج التي عرضها عليها صاحب الشكوى تثير مسائل موضوعية، بموجب ال</w:t>
      </w:r>
      <w:r>
        <w:rPr>
          <w:rFonts w:hint="cs"/>
          <w:rtl/>
          <w:lang w:bidi="ar-MA"/>
        </w:rPr>
        <w:t>مادة</w:t>
      </w:r>
      <w:r>
        <w:rPr>
          <w:rtl/>
          <w:lang w:bidi="ar-MA"/>
        </w:rPr>
        <w:t> </w:t>
      </w:r>
      <w:r w:rsidRPr="00FA0FC2">
        <w:rPr>
          <w:rFonts w:hint="cs"/>
          <w:rtl/>
          <w:lang w:bidi="ar-MA"/>
        </w:rPr>
        <w:t>3 من الاتفاقية، ينبغي معالجتها من حيث الأسس الموضوعية. وعليه، تخلص اللجنة إلى عدم وجود عوائق أخرى أمام المقبولية وتعلن البلاغ مقبولاً وتباشر النظر فيه من حيث أسسه الموضوعية.</w:t>
      </w:r>
    </w:p>
    <w:p w:rsidR="00091373" w:rsidRPr="00FA0FC2" w:rsidRDefault="00091373" w:rsidP="00091373">
      <w:pPr>
        <w:pStyle w:val="H4GA"/>
        <w:rPr>
          <w:rFonts w:hint="cs"/>
          <w:szCs w:val="20"/>
          <w:rtl/>
        </w:rPr>
      </w:pPr>
      <w:r w:rsidRPr="00FA0FC2">
        <w:rPr>
          <w:rFonts w:hint="cs"/>
          <w:rtl/>
        </w:rPr>
        <w:tab/>
      </w:r>
      <w:r w:rsidRPr="00FA0FC2">
        <w:rPr>
          <w:rFonts w:hint="cs"/>
          <w:rtl/>
        </w:rPr>
        <w:tab/>
        <w:t>النظر في الأسس الموضوعية</w:t>
      </w:r>
    </w:p>
    <w:p w:rsidR="00091373" w:rsidRPr="00DE4AC4" w:rsidRDefault="00091373" w:rsidP="00091373">
      <w:pPr>
        <w:pStyle w:val="SingleTxtGA"/>
        <w:rPr>
          <w:rFonts w:hint="cs"/>
          <w:rtl/>
          <w:lang/>
        </w:rPr>
      </w:pPr>
      <w:r w:rsidRPr="00DE4AC4">
        <w:rPr>
          <w:rFonts w:hint="cs"/>
          <w:rtl/>
        </w:rPr>
        <w:t>7-</w:t>
      </w:r>
      <w:r w:rsidRPr="00DE4AC4">
        <w:rPr>
          <w:rFonts w:hint="cs"/>
          <w:rtl/>
          <w:lang/>
        </w:rPr>
        <w:t>1</w:t>
      </w:r>
      <w:r w:rsidRPr="00DE4AC4">
        <w:rPr>
          <w:rFonts w:hint="cs"/>
          <w:rtl/>
          <w:lang/>
        </w:rPr>
        <w:tab/>
        <w:t>نظرت اللجنة في هذا البلاغ في ضوء جميع المعلومات التي أتاحها لها الطرفان المعنيان وفقاً للفقرة 4 من المادة</w:t>
      </w:r>
      <w:r w:rsidRPr="00DE4AC4">
        <w:rPr>
          <w:rtl/>
          <w:lang/>
        </w:rPr>
        <w:t> </w:t>
      </w:r>
      <w:r w:rsidRPr="00DE4AC4">
        <w:rPr>
          <w:rFonts w:hint="cs"/>
          <w:rtl/>
          <w:lang/>
        </w:rPr>
        <w:t>22 من الاتفاقية.</w:t>
      </w:r>
    </w:p>
    <w:p w:rsidR="00091373" w:rsidRPr="00DE4AC4" w:rsidRDefault="00091373" w:rsidP="00091373">
      <w:pPr>
        <w:pStyle w:val="SingleTxtGA"/>
        <w:rPr>
          <w:rFonts w:hint="cs"/>
          <w:rtl/>
          <w:lang/>
        </w:rPr>
      </w:pPr>
      <w:r w:rsidRPr="00DE4AC4">
        <w:rPr>
          <w:rFonts w:hint="cs"/>
          <w:rtl/>
          <w:lang/>
        </w:rPr>
        <w:t>7-2</w:t>
      </w:r>
      <w:r w:rsidRPr="00DE4AC4">
        <w:rPr>
          <w:rFonts w:hint="cs"/>
          <w:rtl/>
          <w:lang/>
        </w:rPr>
        <w:tab/>
        <w:t>وفي هذه القضية، تتمثل المسألة المعروضة على نظر اللجنة فيما</w:t>
      </w:r>
      <w:r w:rsidRPr="00DE4AC4">
        <w:rPr>
          <w:rtl/>
          <w:lang/>
        </w:rPr>
        <w:t> </w:t>
      </w:r>
      <w:r w:rsidRPr="00DE4AC4">
        <w:rPr>
          <w:rFonts w:hint="cs"/>
          <w:rtl/>
          <w:lang/>
        </w:rPr>
        <w:t>إذا كانت إعادة صاحب الشكوى قسراً إلى جمهورية تنزانيا المتحدة ستشكل انتهاكاً لالتزام الدولة الطرف بموجب المادة</w:t>
      </w:r>
      <w:r w:rsidRPr="00DE4AC4">
        <w:rPr>
          <w:rtl/>
          <w:lang/>
        </w:rPr>
        <w:t> </w:t>
      </w:r>
      <w:r w:rsidRPr="00DE4AC4">
        <w:rPr>
          <w:rFonts w:hint="cs"/>
          <w:rtl/>
          <w:lang/>
        </w:rPr>
        <w:t>3 من الاتفاقية بعدم طرد أي شخص أو</w:t>
      </w:r>
      <w:r w:rsidRPr="00DE4AC4">
        <w:rPr>
          <w:rtl/>
          <w:lang/>
        </w:rPr>
        <w:t> </w:t>
      </w:r>
      <w:r w:rsidRPr="00DE4AC4">
        <w:rPr>
          <w:rFonts w:hint="cs"/>
          <w:rtl/>
          <w:lang/>
        </w:rPr>
        <w:t xml:space="preserve">إعادته </w:t>
      </w:r>
      <w:r w:rsidRPr="00DE4AC4">
        <w:rPr>
          <w:rFonts w:hint="cs"/>
          <w:i/>
          <w:iCs/>
          <w:rtl/>
          <w:lang/>
        </w:rPr>
        <w:t>(</w:t>
      </w:r>
      <w:r w:rsidRPr="00DE4AC4">
        <w:rPr>
          <w:rFonts w:hint="cs"/>
          <w:i/>
          <w:iCs/>
          <w:rtl/>
          <w:lang w:bidi="ar-MA"/>
        </w:rPr>
        <w:t>رده</w:t>
      </w:r>
      <w:r w:rsidRPr="00DE4AC4">
        <w:rPr>
          <w:rFonts w:hint="cs"/>
          <w:i/>
          <w:iCs/>
          <w:rtl/>
          <w:lang/>
        </w:rPr>
        <w:t>)</w:t>
      </w:r>
      <w:r w:rsidRPr="00DE4AC4">
        <w:rPr>
          <w:rFonts w:hint="cs"/>
          <w:rtl/>
          <w:lang/>
        </w:rPr>
        <w:t xml:space="preserve"> إلى دولة أخرى حيثما وُجدت أسباب وجيهة تدعو إلى الاعتقاد بأنه سيواجه خطر التعرض للتعذيب.</w:t>
      </w:r>
    </w:p>
    <w:p w:rsidR="00091373" w:rsidRPr="00DE4AC4" w:rsidRDefault="00091373" w:rsidP="00091373">
      <w:pPr>
        <w:pStyle w:val="SingleTxtGA"/>
        <w:rPr>
          <w:rFonts w:hint="cs"/>
          <w:rtl/>
          <w:lang w:val="fr-CH"/>
        </w:rPr>
      </w:pPr>
      <w:r w:rsidRPr="00DE4AC4">
        <w:rPr>
          <w:rFonts w:hint="cs"/>
          <w:rtl/>
          <w:lang/>
        </w:rPr>
        <w:t>7-3</w:t>
      </w:r>
      <w:r w:rsidRPr="00DE4AC4">
        <w:rPr>
          <w:rFonts w:hint="cs"/>
          <w:rtl/>
          <w:lang/>
        </w:rPr>
        <w:tab/>
        <w:t xml:space="preserve">ويجب </w:t>
      </w:r>
      <w:r w:rsidRPr="00DE4AC4">
        <w:rPr>
          <w:rFonts w:hint="cs"/>
          <w:rtl/>
          <w:lang w:val="fr-CH"/>
        </w:rPr>
        <w:t>أن تقيّم اللجنة ما</w:t>
      </w:r>
      <w:r w:rsidRPr="00DE4AC4">
        <w:rPr>
          <w:rtl/>
          <w:lang w:val="fr-CH"/>
        </w:rPr>
        <w:t> </w:t>
      </w:r>
      <w:r w:rsidRPr="00DE4AC4">
        <w:rPr>
          <w:rFonts w:hint="cs"/>
          <w:rtl/>
          <w:lang w:val="fr-CH"/>
        </w:rPr>
        <w:t>إذا كانت هناك أسباب وجيهة تدعو إلى الاعتقاد بأن صاحب الشكوى سيتعرض شخصياً لخطر التعذيب لدى عودته إلى بلده الأصلي. وعند تقييم هذا الخطر، يجب على اللجنة أن تراعي جميع الاعتبارات ذات الصلة، عملاً بالفقرة 2 من المادة</w:t>
      </w:r>
      <w:r w:rsidRPr="00DE4AC4">
        <w:rPr>
          <w:rtl/>
          <w:lang w:val="fr-CH"/>
        </w:rPr>
        <w:t> </w:t>
      </w:r>
      <w:r w:rsidRPr="00DE4AC4">
        <w:rPr>
          <w:rFonts w:hint="cs"/>
          <w:rtl/>
          <w:lang w:val="fr-CH"/>
        </w:rPr>
        <w:t>3 من الاتفاقية، بما</w:t>
      </w:r>
      <w:r w:rsidRPr="00DE4AC4">
        <w:rPr>
          <w:rtl/>
          <w:lang w:val="fr-CH"/>
        </w:rPr>
        <w:t> </w:t>
      </w:r>
      <w:r w:rsidRPr="00DE4AC4">
        <w:rPr>
          <w:rFonts w:hint="cs"/>
          <w:rtl/>
          <w:lang w:val="fr-CH"/>
        </w:rPr>
        <w:t>في ذلك وجود نمط ثابت من الانتهاكات الفادحة أو</w:t>
      </w:r>
      <w:r w:rsidRPr="00DE4AC4">
        <w:rPr>
          <w:rtl/>
          <w:lang w:val="fr-CH"/>
        </w:rPr>
        <w:t> </w:t>
      </w:r>
      <w:r w:rsidRPr="00DE4AC4">
        <w:rPr>
          <w:rFonts w:hint="cs"/>
          <w:rtl/>
          <w:lang w:val="fr-CH"/>
        </w:rPr>
        <w:t>الصارخة أو</w:t>
      </w:r>
      <w:r w:rsidRPr="00DE4AC4">
        <w:rPr>
          <w:rtl/>
          <w:lang w:val="fr-CH"/>
        </w:rPr>
        <w:t> </w:t>
      </w:r>
      <w:r w:rsidRPr="00DE4AC4">
        <w:rPr>
          <w:rFonts w:hint="cs"/>
          <w:rtl/>
          <w:lang w:val="fr-CH"/>
        </w:rPr>
        <w:t>الجماعية لحقوق الإنسان. بيد أن اللجنة تذكّر بأن الهدف من ذلك هو تحديد ما</w:t>
      </w:r>
      <w:r w:rsidRPr="00DE4AC4">
        <w:rPr>
          <w:rtl/>
          <w:lang w:val="fr-CH"/>
        </w:rPr>
        <w:t> </w:t>
      </w:r>
      <w:r w:rsidRPr="00DE4AC4">
        <w:rPr>
          <w:rFonts w:hint="cs"/>
          <w:rtl/>
          <w:lang w:val="fr-CH"/>
        </w:rPr>
        <w:t>إذا كان صاحب الشكوى سيتعرض شخصياً لخطر متوقع وحقيقي بالتعذيب في البلد الذي سيُعاد إليه. ويعني ذلك أن وجود نمط من الانتهاكات الفادحة أو</w:t>
      </w:r>
      <w:r w:rsidRPr="00DE4AC4">
        <w:rPr>
          <w:rtl/>
          <w:lang w:val="fr-CH"/>
        </w:rPr>
        <w:t> </w:t>
      </w:r>
      <w:r w:rsidRPr="00DE4AC4">
        <w:rPr>
          <w:rFonts w:hint="cs"/>
          <w:rtl/>
          <w:lang w:val="fr-CH"/>
        </w:rPr>
        <w:t>الصارخة أو</w:t>
      </w:r>
      <w:r w:rsidRPr="00DE4AC4">
        <w:rPr>
          <w:rtl/>
          <w:lang w:val="fr-CH"/>
        </w:rPr>
        <w:t> </w:t>
      </w:r>
      <w:r w:rsidRPr="00DE4AC4">
        <w:rPr>
          <w:rFonts w:hint="cs"/>
          <w:rtl/>
          <w:lang w:val="fr-CH"/>
        </w:rPr>
        <w:t>الجماعية لحقوق الإنسان في بلد ما</w:t>
      </w:r>
      <w:r w:rsidRPr="00DE4AC4">
        <w:rPr>
          <w:rtl/>
          <w:lang w:val="fr-CH"/>
        </w:rPr>
        <w:t> لا </w:t>
      </w:r>
      <w:r w:rsidRPr="00DE4AC4">
        <w:rPr>
          <w:rFonts w:hint="cs"/>
          <w:rtl/>
          <w:lang w:val="fr-CH"/>
        </w:rPr>
        <w:t>يشكل في حد ذاته سبباً كافياً لأن تقرر اللجنة أن شخصاً بعينه سيتعرض لخطر التعذيب لدى عودته إلى ذلك البلد؛ ويجب أن تكون هناك أسباب إضافية تبين أن الفرد المعني سيواجه شخصياً هذا الخطر. وفي</w:t>
      </w:r>
      <w:r w:rsidRPr="00DE4AC4">
        <w:rPr>
          <w:rtl/>
          <w:lang w:val="fr-CH"/>
        </w:rPr>
        <w:t> </w:t>
      </w:r>
      <w:r w:rsidRPr="00DE4AC4">
        <w:rPr>
          <w:rFonts w:hint="cs"/>
          <w:rtl/>
          <w:lang w:val="fr-CH"/>
        </w:rPr>
        <w:t>المقابل، فإن عدم وجود نمط ثابت من الانتهاكات الصارخة لحقوق الإنسان لا</w:t>
      </w:r>
      <w:r w:rsidRPr="00DE4AC4">
        <w:rPr>
          <w:rtl/>
          <w:lang w:val="fr-CH"/>
        </w:rPr>
        <w:t> </w:t>
      </w:r>
      <w:r w:rsidRPr="00DE4AC4">
        <w:rPr>
          <w:rFonts w:hint="cs"/>
          <w:rtl/>
          <w:lang w:val="fr-CH"/>
        </w:rPr>
        <w:t>يعني أن شخصاً ما</w:t>
      </w:r>
      <w:r w:rsidRPr="00DE4AC4">
        <w:rPr>
          <w:rtl/>
          <w:lang w:val="fr-CH"/>
        </w:rPr>
        <w:t> </w:t>
      </w:r>
      <w:r w:rsidRPr="00DE4AC4">
        <w:rPr>
          <w:rFonts w:hint="cs"/>
          <w:rtl/>
          <w:lang w:val="fr-CH"/>
        </w:rPr>
        <w:t>قد لا</w:t>
      </w:r>
      <w:r w:rsidRPr="00DE4AC4">
        <w:rPr>
          <w:rtl/>
          <w:lang w:val="fr-CH"/>
        </w:rPr>
        <w:t> </w:t>
      </w:r>
      <w:r w:rsidRPr="00DE4AC4">
        <w:rPr>
          <w:rFonts w:hint="cs"/>
          <w:rtl/>
          <w:lang w:val="fr-CH"/>
        </w:rPr>
        <w:t>يتعرض للتعذيب في ظروفه</w:t>
      </w:r>
      <w:r w:rsidRPr="00DE4AC4">
        <w:rPr>
          <w:rFonts w:hint="eastAsia"/>
          <w:rtl/>
          <w:lang w:val="fr-CH"/>
        </w:rPr>
        <w:t> </w:t>
      </w:r>
      <w:r w:rsidRPr="00DE4AC4">
        <w:rPr>
          <w:rFonts w:hint="cs"/>
          <w:rtl/>
          <w:lang w:val="fr-CH"/>
        </w:rPr>
        <w:t>الخاصة.</w:t>
      </w:r>
    </w:p>
    <w:p w:rsidR="00091373" w:rsidRPr="00DE4AC4" w:rsidRDefault="00091373" w:rsidP="00091373">
      <w:pPr>
        <w:pStyle w:val="SingleTxtGA"/>
        <w:rPr>
          <w:rFonts w:hint="cs"/>
          <w:rtl/>
        </w:rPr>
      </w:pPr>
      <w:r w:rsidRPr="00DE4AC4">
        <w:rPr>
          <w:rFonts w:hint="cs"/>
          <w:rtl/>
        </w:rPr>
        <w:t>7-4</w:t>
      </w:r>
      <w:r w:rsidRPr="00DE4AC4">
        <w:rPr>
          <w:rFonts w:hint="cs"/>
          <w:rtl/>
        </w:rPr>
        <w:tab/>
        <w:t>وتذكّر اللجنة بتعليقها العام رقم 1 بشأن تنفيذ المادة</w:t>
      </w:r>
      <w:r w:rsidRPr="00DE4AC4">
        <w:rPr>
          <w:rtl/>
        </w:rPr>
        <w:t> </w:t>
      </w:r>
      <w:r w:rsidRPr="00DE4AC4">
        <w:rPr>
          <w:rFonts w:hint="cs"/>
          <w:rtl/>
        </w:rPr>
        <w:t>3 من الاتفاقية، الذي جاء فيه أن خطر التعذيب يجب أن يُقدَّر على أسس تتجاوز مجرد الافتراض أو</w:t>
      </w:r>
      <w:r w:rsidRPr="00DE4AC4">
        <w:rPr>
          <w:rtl/>
        </w:rPr>
        <w:t> </w:t>
      </w:r>
      <w:r w:rsidRPr="00DE4AC4">
        <w:rPr>
          <w:rFonts w:hint="cs"/>
          <w:rtl/>
        </w:rPr>
        <w:t>الشك. ولئن كان لا</w:t>
      </w:r>
      <w:r w:rsidRPr="00DE4AC4">
        <w:rPr>
          <w:rtl/>
        </w:rPr>
        <w:t> </w:t>
      </w:r>
      <w:r w:rsidRPr="00DE4AC4">
        <w:rPr>
          <w:rFonts w:hint="cs"/>
          <w:rtl/>
        </w:rPr>
        <w:t>يتحتم إثبات أن وقوع هذا الخطر "مرجح بشدة"</w:t>
      </w:r>
      <w:r w:rsidRPr="00DE4AC4">
        <w:rPr>
          <w:rFonts w:hint="cs"/>
          <w:sz w:val="28"/>
          <w:szCs w:val="28"/>
          <w:vertAlign w:val="superscript"/>
          <w:rtl/>
          <w:lang w:val="en-CA"/>
        </w:rPr>
        <w:t>(</w:t>
      </w:r>
      <w:r w:rsidRPr="00DE4AC4">
        <w:rPr>
          <w:sz w:val="28"/>
          <w:szCs w:val="28"/>
          <w:vertAlign w:val="superscript"/>
          <w:rtl/>
        </w:rPr>
        <w:footnoteReference w:id="221"/>
      </w:r>
      <w:r w:rsidRPr="00DE4AC4">
        <w:rPr>
          <w:rFonts w:hint="cs"/>
          <w:sz w:val="28"/>
          <w:szCs w:val="28"/>
          <w:vertAlign w:val="superscript"/>
          <w:rtl/>
          <w:lang w:val="en-CA"/>
        </w:rPr>
        <w:t>)</w:t>
      </w:r>
      <w:r w:rsidRPr="00DE4AC4">
        <w:rPr>
          <w:rFonts w:hint="cs"/>
          <w:rtl/>
        </w:rPr>
        <w:t>، فإن اللجنة تذكّر بأن عبء الإثبات يقع عموماً على صاحب الشكوى، الذي يتعين عليه تقديم أدلة وجيهة تثبت أنه يواجه خطراً "متوقعاً وحقيقياً وشخصياً"</w:t>
      </w:r>
      <w:r w:rsidRPr="00DE4AC4">
        <w:rPr>
          <w:rFonts w:hint="cs"/>
          <w:sz w:val="28"/>
          <w:szCs w:val="28"/>
          <w:vertAlign w:val="superscript"/>
          <w:rtl/>
          <w:lang w:val="en-CA"/>
        </w:rPr>
        <w:t>(</w:t>
      </w:r>
      <w:r w:rsidRPr="00DE4AC4">
        <w:rPr>
          <w:sz w:val="28"/>
          <w:szCs w:val="28"/>
          <w:vertAlign w:val="superscript"/>
          <w:rtl/>
        </w:rPr>
        <w:footnoteReference w:id="222"/>
      </w:r>
      <w:r w:rsidRPr="00DE4AC4">
        <w:rPr>
          <w:rFonts w:hint="cs"/>
          <w:sz w:val="28"/>
          <w:szCs w:val="28"/>
          <w:vertAlign w:val="superscript"/>
          <w:rtl/>
          <w:lang w:val="en-CA"/>
        </w:rPr>
        <w:t>)</w:t>
      </w:r>
      <w:r w:rsidRPr="00DE4AC4">
        <w:rPr>
          <w:rFonts w:hint="cs"/>
          <w:rtl/>
        </w:rPr>
        <w:t xml:space="preserve">. </w:t>
      </w:r>
      <w:r w:rsidRPr="00DE4AC4">
        <w:rPr>
          <w:rFonts w:hint="cs"/>
          <w:rtl/>
          <w:lang w:val="en-CA"/>
        </w:rPr>
        <w:t xml:space="preserve">وبينما تتمتع اللجنة بمقتضى تعليقها العام بالحرية في تقييم الوقائع </w:t>
      </w:r>
      <w:r w:rsidRPr="00DE4AC4">
        <w:rPr>
          <w:rFonts w:hint="cs"/>
          <w:rtl/>
          <w:lang w:val="en-CA" w:bidi="ar-MA"/>
        </w:rPr>
        <w:t>استناداً إلى المجموعة الكاملة من الظروف المحيطة بكل قضية، فهي تذكّر بأنها ليست هيئة قضائية أو</w:t>
      </w:r>
      <w:r w:rsidRPr="00DE4AC4">
        <w:rPr>
          <w:rtl/>
          <w:lang w:val="en-CA" w:bidi="ar-MA"/>
        </w:rPr>
        <w:t> </w:t>
      </w:r>
      <w:r w:rsidRPr="00DE4AC4">
        <w:rPr>
          <w:rFonts w:hint="cs"/>
          <w:rtl/>
          <w:lang w:val="en-CA" w:bidi="ar-MA"/>
        </w:rPr>
        <w:t>هيئة استئناف، بل يجب عليها أن تولي قدراً كبيراً من الأهمية لنتائج الوقائع التي توصلت إليها أجهزة الدولة الطرف المعنية</w:t>
      </w:r>
      <w:r w:rsidRPr="00DE4AC4">
        <w:rPr>
          <w:rFonts w:hint="cs"/>
          <w:sz w:val="28"/>
          <w:szCs w:val="28"/>
          <w:vertAlign w:val="superscript"/>
          <w:rtl/>
          <w:lang w:val="en-CA"/>
        </w:rPr>
        <w:t>(</w:t>
      </w:r>
      <w:r w:rsidRPr="00DE4AC4">
        <w:rPr>
          <w:rStyle w:val="FootnoteReference"/>
          <w:sz w:val="28"/>
          <w:rtl/>
          <w:lang w:val="en-CA"/>
        </w:rPr>
        <w:footnoteReference w:id="223"/>
      </w:r>
      <w:r w:rsidRPr="00DE4AC4">
        <w:rPr>
          <w:rFonts w:hint="cs"/>
          <w:sz w:val="28"/>
          <w:szCs w:val="28"/>
          <w:vertAlign w:val="superscript"/>
          <w:rtl/>
          <w:lang w:val="en-CA"/>
        </w:rPr>
        <w:t>)</w:t>
      </w:r>
      <w:r w:rsidRPr="00DE4AC4">
        <w:rPr>
          <w:rFonts w:hint="cs"/>
          <w:rtl/>
        </w:rPr>
        <w:t>.</w:t>
      </w:r>
    </w:p>
    <w:p w:rsidR="00091373" w:rsidRPr="00DE4AC4" w:rsidRDefault="00091373" w:rsidP="00091373">
      <w:pPr>
        <w:pStyle w:val="SingleTxtGA"/>
        <w:rPr>
          <w:rFonts w:hint="cs"/>
          <w:rtl/>
          <w:lang w:val="en-CA" w:bidi="ar-MA"/>
        </w:rPr>
      </w:pPr>
      <w:r w:rsidRPr="00DE4AC4">
        <w:rPr>
          <w:rFonts w:hint="cs"/>
          <w:rtl/>
          <w:lang w:val="en-CA" w:bidi="ar-MA"/>
        </w:rPr>
        <w:t>7-5</w:t>
      </w:r>
      <w:r w:rsidRPr="00DE4AC4">
        <w:rPr>
          <w:rFonts w:hint="cs"/>
          <w:rtl/>
          <w:lang w:val="en-CA" w:bidi="ar-MA"/>
        </w:rPr>
        <w:tab/>
        <w:t>وفي هذه القضية، تلاحظ اللجنة أن السلطات المعنية بالهجرة في الدولة الطرف قد أخذت في اعتبارها أن سجل جمهورية تنزانيا المتحدة في مجال حقوق الإنسان لا</w:t>
      </w:r>
      <w:r w:rsidRPr="00DE4AC4">
        <w:rPr>
          <w:rtl/>
          <w:lang w:val="en-CA" w:bidi="ar-MA"/>
        </w:rPr>
        <w:t> </w:t>
      </w:r>
      <w:r w:rsidRPr="00DE4AC4">
        <w:rPr>
          <w:rFonts w:hint="cs"/>
          <w:rtl/>
          <w:lang w:val="en-CA" w:bidi="ar-MA"/>
        </w:rPr>
        <w:t>يرقى إلى أعلى المستويات، ولكنه مع ذلك يتسم بالاعتدال من حيث مدى حرية الصحافة والحق في التمتع بحرية التعبير. ولكن بينما لم</w:t>
      </w:r>
      <w:r w:rsidRPr="00DE4AC4">
        <w:rPr>
          <w:rtl/>
          <w:lang w:val="en-CA" w:bidi="ar-MA"/>
        </w:rPr>
        <w:t> </w:t>
      </w:r>
      <w:r w:rsidRPr="00DE4AC4">
        <w:rPr>
          <w:rFonts w:hint="cs"/>
          <w:rtl/>
          <w:lang w:val="en-CA" w:bidi="ar-MA"/>
        </w:rPr>
        <w:t>تُقلل سلطات الدولة الطرف ومحاكمها من شأن الشواغل التي يجوز التعبير عنها بصفة مشروعة إزاء الوضع الحالي لحقوق الإنسان في تنزانيا بشأن حرية الصحافة والحق في التمتع بحرية التعبير، فإنها رأت أن الوضع السائد في ذلك البلد لا</w:t>
      </w:r>
      <w:r w:rsidRPr="00DE4AC4">
        <w:rPr>
          <w:rtl/>
          <w:lang w:val="en-CA" w:bidi="ar-MA"/>
        </w:rPr>
        <w:t> </w:t>
      </w:r>
      <w:r w:rsidRPr="00DE4AC4">
        <w:rPr>
          <w:rFonts w:hint="cs"/>
          <w:rtl/>
          <w:lang w:val="en-CA" w:bidi="ar-MA"/>
        </w:rPr>
        <w:t>يكفي في</w:t>
      </w:r>
      <w:r w:rsidRPr="00DE4AC4">
        <w:rPr>
          <w:rFonts w:hint="eastAsia"/>
          <w:rtl/>
          <w:lang w:val="en-CA" w:bidi="ar-MA"/>
        </w:rPr>
        <w:t> </w:t>
      </w:r>
      <w:r w:rsidRPr="00DE4AC4">
        <w:rPr>
          <w:rFonts w:hint="cs"/>
          <w:rtl/>
          <w:lang w:val="en-CA" w:bidi="ar-MA"/>
        </w:rPr>
        <w:t>حد ذاته لإثبات أن إعادة صاحب الشكوى قسراً إلى بلده ستشكل انتهاكاً للمادة</w:t>
      </w:r>
      <w:r w:rsidRPr="00DE4AC4">
        <w:rPr>
          <w:rtl/>
          <w:lang w:val="en-CA" w:bidi="ar-MA"/>
        </w:rPr>
        <w:t> </w:t>
      </w:r>
      <w:r w:rsidRPr="00DE4AC4">
        <w:rPr>
          <w:rFonts w:hint="cs"/>
          <w:rtl/>
          <w:lang w:val="en-CA" w:bidi="ar-MA"/>
        </w:rPr>
        <w:t>3 من</w:t>
      </w:r>
      <w:r w:rsidRPr="00DE4AC4">
        <w:rPr>
          <w:rFonts w:hint="eastAsia"/>
          <w:rtl/>
          <w:lang w:val="en-CA" w:bidi="ar-MA"/>
        </w:rPr>
        <w:t> </w:t>
      </w:r>
      <w:r w:rsidRPr="00DE4AC4">
        <w:rPr>
          <w:rFonts w:hint="cs"/>
          <w:rtl/>
          <w:lang w:val="en-CA" w:bidi="ar-MA"/>
        </w:rPr>
        <w:t>الاتفاقية.</w:t>
      </w:r>
    </w:p>
    <w:p w:rsidR="00091373" w:rsidRPr="00DE4AC4" w:rsidRDefault="00091373" w:rsidP="00091373">
      <w:pPr>
        <w:pStyle w:val="SingleTxtGA"/>
        <w:rPr>
          <w:rFonts w:hint="cs"/>
          <w:rtl/>
          <w:lang w:val="en-CA" w:bidi="ar-MA"/>
        </w:rPr>
      </w:pPr>
      <w:r w:rsidRPr="00DE4AC4">
        <w:rPr>
          <w:rFonts w:hint="cs"/>
          <w:rtl/>
          <w:lang w:val="en-CA" w:bidi="ar-MA"/>
        </w:rPr>
        <w:t>7-6</w:t>
      </w:r>
      <w:r w:rsidRPr="00DE4AC4">
        <w:rPr>
          <w:rFonts w:hint="cs"/>
          <w:rtl/>
          <w:lang w:val="en-CA" w:bidi="ar-MA"/>
        </w:rPr>
        <w:tab/>
        <w:t>وتحيط اللجنة علماً بادعاء صاحب الشكوى الذي مفاده أنه احتُجز وتعرض للتعذيب في الفترة ما</w:t>
      </w:r>
      <w:r w:rsidRPr="00DE4AC4">
        <w:rPr>
          <w:rtl/>
          <w:lang w:val="en-CA" w:bidi="ar-MA"/>
        </w:rPr>
        <w:t> </w:t>
      </w:r>
      <w:r w:rsidRPr="00DE4AC4">
        <w:rPr>
          <w:rFonts w:hint="cs"/>
          <w:rtl/>
          <w:lang w:val="en-CA" w:bidi="ar-MA"/>
        </w:rPr>
        <w:t>بين 30 نيسان/أبريل 2002 ونهاية حزيران/يونيه 2002. كما</w:t>
      </w:r>
      <w:r w:rsidRPr="00DE4AC4">
        <w:rPr>
          <w:rtl/>
          <w:lang w:val="en-CA" w:bidi="ar-MA"/>
        </w:rPr>
        <w:t> </w:t>
      </w:r>
      <w:r w:rsidRPr="00DE4AC4">
        <w:rPr>
          <w:rFonts w:hint="cs"/>
          <w:rtl/>
          <w:lang w:val="en-CA" w:bidi="ar-MA"/>
        </w:rPr>
        <w:t>تلاحظ ما</w:t>
      </w:r>
      <w:r w:rsidRPr="00DE4AC4">
        <w:rPr>
          <w:rtl/>
          <w:lang w:val="en-CA" w:bidi="ar-MA"/>
        </w:rPr>
        <w:t> </w:t>
      </w:r>
      <w:r w:rsidRPr="00DE4AC4">
        <w:rPr>
          <w:rFonts w:hint="cs"/>
          <w:rtl/>
          <w:lang w:val="en-CA" w:bidi="ar-MA"/>
        </w:rPr>
        <w:t>أعربت عنه الدولة الطرف من شكوك في هذا الصدد، أي أن تقريرين موثوقين قد أفادا بأن صاحب الشكوى لم</w:t>
      </w:r>
      <w:r w:rsidRPr="00DE4AC4">
        <w:rPr>
          <w:rtl/>
          <w:lang w:val="en-CA" w:bidi="ar-MA"/>
        </w:rPr>
        <w:t> </w:t>
      </w:r>
      <w:r w:rsidRPr="00DE4AC4">
        <w:rPr>
          <w:rFonts w:hint="cs"/>
          <w:rtl/>
          <w:lang w:val="en-CA" w:bidi="ar-MA"/>
        </w:rPr>
        <w:t>يوضع رهن الاعتقال سوى لمدة بضع ساعات في عام</w:t>
      </w:r>
      <w:r w:rsidRPr="00DE4AC4">
        <w:rPr>
          <w:rtl/>
          <w:lang w:val="en-CA" w:bidi="ar-MA"/>
        </w:rPr>
        <w:t> </w:t>
      </w:r>
      <w:r w:rsidRPr="00DE4AC4">
        <w:rPr>
          <w:rFonts w:hint="cs"/>
          <w:rtl/>
          <w:lang w:val="en-CA" w:bidi="ar-MA"/>
        </w:rPr>
        <w:t>2002 (انظر</w:t>
      </w:r>
      <w:r w:rsidRPr="00DE4AC4">
        <w:rPr>
          <w:rFonts w:hint="eastAsia"/>
          <w:rtl/>
          <w:lang w:val="en-CA" w:bidi="ar-MA"/>
        </w:rPr>
        <w:t> </w:t>
      </w:r>
      <w:r w:rsidRPr="00DE4AC4">
        <w:rPr>
          <w:rFonts w:hint="cs"/>
          <w:rtl/>
          <w:lang w:val="en-CA" w:bidi="ar-MA"/>
        </w:rPr>
        <w:t>الفقرة 4-13 أعلاه). وتشير اللجنة أيضاً إلى أن صاحب الشكوى لم</w:t>
      </w:r>
      <w:r w:rsidRPr="00DE4AC4">
        <w:rPr>
          <w:rtl/>
          <w:lang w:val="en-CA" w:bidi="ar-MA"/>
        </w:rPr>
        <w:t> </w:t>
      </w:r>
      <w:r w:rsidRPr="00DE4AC4">
        <w:rPr>
          <w:rFonts w:hint="cs"/>
          <w:rtl/>
          <w:lang w:val="en-CA" w:bidi="ar-MA"/>
        </w:rPr>
        <w:t>يفند هذه المعلومات تحديداً في التعليقات التي أبداها.</w:t>
      </w:r>
    </w:p>
    <w:p w:rsidR="00091373" w:rsidRPr="00DE4AC4" w:rsidRDefault="00091373" w:rsidP="00091373">
      <w:pPr>
        <w:pStyle w:val="SingleTxtGA"/>
        <w:rPr>
          <w:rFonts w:hint="cs"/>
          <w:rtl/>
          <w:lang w:val="en-CA" w:bidi="ar-MA"/>
        </w:rPr>
      </w:pPr>
      <w:r w:rsidRPr="00DE4AC4">
        <w:rPr>
          <w:rFonts w:hint="cs"/>
          <w:rtl/>
          <w:lang w:val="en-CA" w:bidi="ar-MA"/>
        </w:rPr>
        <w:t>7-7</w:t>
      </w:r>
      <w:r w:rsidRPr="00DE4AC4">
        <w:rPr>
          <w:rFonts w:hint="cs"/>
          <w:rtl/>
          <w:lang w:val="en-CA" w:bidi="ar-MA"/>
        </w:rPr>
        <w:tab/>
        <w:t>وتلاحظ اللجنة كذلك طول الفترة الزمنية التي مضت على أحداث 2002، وتذكّر بأنه رغم الأهمية التي قد تكتسيها أحداث الماضي، فإن الهدف الرئيسي للتقييم الذي تجريه اللجنة يتمثل في تحديد ما</w:t>
      </w:r>
      <w:r w:rsidRPr="00DE4AC4">
        <w:rPr>
          <w:rtl/>
          <w:lang w:val="en-CA" w:bidi="ar-MA"/>
        </w:rPr>
        <w:t> </w:t>
      </w:r>
      <w:r w:rsidRPr="00DE4AC4">
        <w:rPr>
          <w:rFonts w:hint="cs"/>
          <w:rtl/>
          <w:lang w:val="en-CA" w:bidi="ar-MA"/>
        </w:rPr>
        <w:t>إذا كان صاحب الشكوى يحدق به حالياً خطر التعرض للتعذيب أم</w:t>
      </w:r>
      <w:r w:rsidRPr="00DE4AC4">
        <w:rPr>
          <w:rtl/>
          <w:lang w:val="en-CA" w:bidi="ar-MA"/>
        </w:rPr>
        <w:t> لا </w:t>
      </w:r>
      <w:r w:rsidRPr="00DE4AC4">
        <w:rPr>
          <w:rFonts w:hint="cs"/>
          <w:rtl/>
          <w:lang w:val="en-CA" w:bidi="ar-MA"/>
        </w:rPr>
        <w:t>عقب وصوله إلى جمهورية تنزانيا المتحدة</w:t>
      </w:r>
      <w:r w:rsidRPr="00DE4AC4">
        <w:rPr>
          <w:rFonts w:hint="cs"/>
          <w:sz w:val="28"/>
          <w:szCs w:val="28"/>
          <w:vertAlign w:val="superscript"/>
          <w:rtl/>
          <w:lang w:val="en-CA"/>
        </w:rPr>
        <w:t>(</w:t>
      </w:r>
      <w:r w:rsidRPr="00DE4AC4">
        <w:rPr>
          <w:rStyle w:val="FootnoteReference"/>
          <w:sz w:val="28"/>
          <w:rtl/>
          <w:lang w:val="en-CA"/>
        </w:rPr>
        <w:footnoteReference w:id="224"/>
      </w:r>
      <w:r w:rsidRPr="00DE4AC4">
        <w:rPr>
          <w:rFonts w:hint="cs"/>
          <w:sz w:val="28"/>
          <w:szCs w:val="28"/>
          <w:vertAlign w:val="superscript"/>
          <w:rtl/>
          <w:lang w:val="en-CA"/>
        </w:rPr>
        <w:t>)</w:t>
      </w:r>
      <w:r w:rsidRPr="00DE4AC4">
        <w:rPr>
          <w:rFonts w:hint="cs"/>
          <w:rtl/>
          <w:lang w:val="en-CA" w:bidi="ar-MA"/>
        </w:rPr>
        <w:t>. وفي</w:t>
      </w:r>
      <w:r w:rsidRPr="00DE4AC4">
        <w:rPr>
          <w:rtl/>
          <w:lang w:val="en-CA" w:bidi="ar-MA"/>
        </w:rPr>
        <w:t> </w:t>
      </w:r>
      <w:r w:rsidRPr="00DE4AC4">
        <w:rPr>
          <w:rFonts w:hint="cs"/>
          <w:rtl/>
          <w:lang w:val="en-CA" w:bidi="ar-MA"/>
        </w:rPr>
        <w:t>هذا الصدد، تلاحظ اللجنة أيضاً إشارة الدولة الطرف إلى التقارير الأخيرة عن حقوق الإنسان التي تقيّم الوضع الحالي للصحفيين في تنزانيا (انظر الفقرة 4-15 أعلاه).</w:t>
      </w:r>
    </w:p>
    <w:p w:rsidR="00091373" w:rsidRPr="00DE4AC4" w:rsidRDefault="00091373" w:rsidP="00091373">
      <w:pPr>
        <w:pStyle w:val="SingleTxtGA"/>
        <w:rPr>
          <w:rFonts w:hint="cs"/>
          <w:rtl/>
          <w:lang w:val="en-CA" w:bidi="ar-MA"/>
        </w:rPr>
      </w:pPr>
      <w:r w:rsidRPr="00DE4AC4">
        <w:rPr>
          <w:rFonts w:hint="cs"/>
          <w:spacing w:val="-2"/>
          <w:rtl/>
          <w:lang w:val="en-CA" w:bidi="ar-MA"/>
        </w:rPr>
        <w:t>7-8</w:t>
      </w:r>
      <w:r w:rsidRPr="00DE4AC4">
        <w:rPr>
          <w:rFonts w:hint="cs"/>
          <w:spacing w:val="-2"/>
          <w:rtl/>
          <w:lang w:val="en-CA" w:bidi="ar-MA"/>
        </w:rPr>
        <w:tab/>
        <w:t>وتلاحظ اللجنة أيضاً أن صاحب الشكوى لم</w:t>
      </w:r>
      <w:r w:rsidRPr="00DE4AC4">
        <w:rPr>
          <w:spacing w:val="-2"/>
          <w:rtl/>
          <w:lang w:val="en-CA" w:bidi="ar-MA"/>
        </w:rPr>
        <w:t> </w:t>
      </w:r>
      <w:r w:rsidRPr="00DE4AC4">
        <w:rPr>
          <w:rFonts w:hint="cs"/>
          <w:spacing w:val="-2"/>
          <w:rtl/>
          <w:lang w:val="en-CA" w:bidi="ar-MA"/>
        </w:rPr>
        <w:t>يفنّد ملاحظات الدولة الطرف بشأن كون المقال المزعوم الذي لفت انتباه السلطات التنزانية إليه قد نُشِرَ في 3 آب/أغسطس 2008 وأنه حصل مع ذلك بعدئذ في 27 آب/أغسطس 2008، على جواز سفر وتمكّن</w:t>
      </w:r>
      <w:r w:rsidRPr="00DE4AC4">
        <w:rPr>
          <w:rFonts w:hint="cs"/>
          <w:rtl/>
          <w:lang w:val="en-CA" w:bidi="ar-MA"/>
        </w:rPr>
        <w:t xml:space="preserve"> من السفر إلى الخارج دون التعرض لأي عراقيل.</w:t>
      </w:r>
    </w:p>
    <w:p w:rsidR="00091373" w:rsidRPr="00DE4AC4" w:rsidRDefault="00091373" w:rsidP="00091373">
      <w:pPr>
        <w:pStyle w:val="SingleTxtGA"/>
        <w:rPr>
          <w:rFonts w:hint="cs"/>
          <w:rtl/>
          <w:lang w:val="en-CA" w:bidi="ar-MA"/>
        </w:rPr>
      </w:pPr>
      <w:r w:rsidRPr="00DE4AC4">
        <w:rPr>
          <w:rFonts w:hint="cs"/>
          <w:rtl/>
          <w:lang w:val="en-CA" w:bidi="ar-MA"/>
        </w:rPr>
        <w:t>7-9</w:t>
      </w:r>
      <w:r w:rsidRPr="00DE4AC4">
        <w:rPr>
          <w:rFonts w:hint="cs"/>
          <w:rtl/>
          <w:lang w:val="en-CA" w:bidi="ar-MA"/>
        </w:rPr>
        <w:tab/>
        <w:t>وأخيراً، فيما</w:t>
      </w:r>
      <w:r w:rsidRPr="00DE4AC4">
        <w:rPr>
          <w:rtl/>
          <w:lang w:val="en-CA" w:bidi="ar-MA"/>
        </w:rPr>
        <w:t> </w:t>
      </w:r>
      <w:r w:rsidRPr="00DE4AC4">
        <w:rPr>
          <w:rFonts w:hint="cs"/>
          <w:rtl/>
          <w:lang w:val="en-CA" w:bidi="ar-MA"/>
        </w:rPr>
        <w:t>يتعلق بالسجل الطبي المقدَّم في إطار هذا البلاغ، تلاحظ اللجنة أن صاحب الشكوى لم</w:t>
      </w:r>
      <w:r w:rsidRPr="00DE4AC4">
        <w:rPr>
          <w:rtl/>
          <w:lang w:val="en-CA" w:bidi="ar-MA"/>
        </w:rPr>
        <w:t> </w:t>
      </w:r>
      <w:r w:rsidRPr="00DE4AC4">
        <w:rPr>
          <w:rFonts w:hint="cs"/>
          <w:rtl/>
          <w:lang w:val="en-CA" w:bidi="ar-MA"/>
        </w:rPr>
        <w:t>يُدلِ بأي تفسير لعدم تقديمه إلى سلطات الدولة الطرف، وأن السجل المذكور لا</w:t>
      </w:r>
      <w:r w:rsidRPr="00DE4AC4">
        <w:rPr>
          <w:rtl/>
          <w:lang w:val="en-CA" w:bidi="ar-MA"/>
        </w:rPr>
        <w:t> </w:t>
      </w:r>
      <w:r w:rsidRPr="00DE4AC4">
        <w:rPr>
          <w:rFonts w:hint="cs"/>
          <w:rtl/>
          <w:lang w:val="en-CA" w:bidi="ar-MA"/>
        </w:rPr>
        <w:t>يتضمن على أي حال ما</w:t>
      </w:r>
      <w:r w:rsidRPr="00DE4AC4">
        <w:rPr>
          <w:rtl/>
          <w:lang w:val="en-CA" w:bidi="ar-MA"/>
        </w:rPr>
        <w:t> </w:t>
      </w:r>
      <w:r w:rsidRPr="00DE4AC4">
        <w:rPr>
          <w:rFonts w:hint="cs"/>
          <w:rtl/>
          <w:lang w:val="en-CA" w:bidi="ar-MA"/>
        </w:rPr>
        <w:t>من شأنه أن يأتي بتفاصيل إضافية تتصل بإساءة معاملته المزعومة في الماضي.</w:t>
      </w:r>
    </w:p>
    <w:p w:rsidR="00091373" w:rsidRPr="00DE4AC4" w:rsidRDefault="00091373" w:rsidP="00DE4AC4">
      <w:pPr>
        <w:pStyle w:val="SingleTxtGA"/>
        <w:rPr>
          <w:rFonts w:hint="cs"/>
          <w:rtl/>
        </w:rPr>
      </w:pPr>
      <w:r w:rsidRPr="00DE4AC4">
        <w:rPr>
          <w:rFonts w:hint="cs"/>
          <w:rtl/>
          <w:lang w:val="en-CA" w:bidi="ar-MA"/>
        </w:rPr>
        <w:t>8-</w:t>
      </w:r>
      <w:r w:rsidRPr="00DE4AC4">
        <w:rPr>
          <w:rFonts w:hint="cs"/>
          <w:rtl/>
          <w:lang w:val="en-CA" w:bidi="ar-MA"/>
        </w:rPr>
        <w:tab/>
        <w:t>ونظراً لهذه الظروف ولعدم احتواء ملف القضية على أي معلومات أخرى ذات</w:t>
      </w:r>
      <w:r w:rsidR="00DE4AC4">
        <w:rPr>
          <w:rFonts w:hint="eastAsia"/>
          <w:rtl/>
          <w:lang w:val="en-CA" w:bidi="ar-MA"/>
        </w:rPr>
        <w:t> </w:t>
      </w:r>
      <w:r w:rsidRPr="00DE4AC4">
        <w:rPr>
          <w:rFonts w:hint="cs"/>
          <w:rtl/>
          <w:lang w:val="en-CA" w:bidi="ar-MA"/>
        </w:rPr>
        <w:t xml:space="preserve">صلة، </w:t>
      </w:r>
      <w:r w:rsidRPr="00DE4AC4">
        <w:rPr>
          <w:rFonts w:hint="cs"/>
          <w:rtl/>
        </w:rPr>
        <w:t>تخلص</w:t>
      </w:r>
      <w:r w:rsidRPr="00DE4AC4">
        <w:rPr>
          <w:rtl/>
        </w:rPr>
        <w:t xml:space="preserve"> اللجنة </w:t>
      </w:r>
      <w:r w:rsidRPr="00DE4AC4">
        <w:rPr>
          <w:rFonts w:hint="cs"/>
          <w:rtl/>
        </w:rPr>
        <w:t xml:space="preserve">إلى </w:t>
      </w:r>
      <w:r w:rsidRPr="00DE4AC4">
        <w:rPr>
          <w:rtl/>
        </w:rPr>
        <w:t xml:space="preserve">أن </w:t>
      </w:r>
      <w:r w:rsidRPr="00DE4AC4">
        <w:rPr>
          <w:rFonts w:hint="cs"/>
          <w:rtl/>
        </w:rPr>
        <w:t xml:space="preserve">صاحب </w:t>
      </w:r>
      <w:r w:rsidRPr="00DE4AC4">
        <w:rPr>
          <w:rtl/>
        </w:rPr>
        <w:t>الشكوى لم </w:t>
      </w:r>
      <w:r w:rsidRPr="00DE4AC4">
        <w:rPr>
          <w:rFonts w:hint="cs"/>
          <w:rtl/>
        </w:rPr>
        <w:t>ي</w:t>
      </w:r>
      <w:r w:rsidRPr="00DE4AC4">
        <w:rPr>
          <w:rtl/>
        </w:rPr>
        <w:t>ثبت أنه</w:t>
      </w:r>
      <w:r w:rsidRPr="00DE4AC4">
        <w:rPr>
          <w:rFonts w:hint="cs"/>
          <w:rtl/>
        </w:rPr>
        <w:t xml:space="preserve"> سيواجه،</w:t>
      </w:r>
      <w:r w:rsidRPr="00DE4AC4">
        <w:rPr>
          <w:rtl/>
        </w:rPr>
        <w:t xml:space="preserve"> في حالة طرده إلى</w:t>
      </w:r>
      <w:r w:rsidR="00DE4AC4">
        <w:rPr>
          <w:rFonts w:hint="cs"/>
          <w:rtl/>
        </w:rPr>
        <w:t> </w:t>
      </w:r>
      <w:r w:rsidRPr="00DE4AC4">
        <w:rPr>
          <w:rtl/>
        </w:rPr>
        <w:t>بلد</w:t>
      </w:r>
      <w:r w:rsidRPr="00DE4AC4">
        <w:rPr>
          <w:rFonts w:hint="cs"/>
          <w:rtl/>
        </w:rPr>
        <w:t xml:space="preserve">ه الأصلي، </w:t>
      </w:r>
      <w:r w:rsidRPr="00DE4AC4">
        <w:rPr>
          <w:rtl/>
        </w:rPr>
        <w:t>خطر</w:t>
      </w:r>
      <w:r w:rsidRPr="00DE4AC4">
        <w:rPr>
          <w:rFonts w:hint="cs"/>
          <w:rtl/>
        </w:rPr>
        <w:t>اً</w:t>
      </w:r>
      <w:r w:rsidRPr="00DE4AC4">
        <w:rPr>
          <w:rtl/>
        </w:rPr>
        <w:t xml:space="preserve"> متوقع</w:t>
      </w:r>
      <w:r w:rsidRPr="00DE4AC4">
        <w:rPr>
          <w:rFonts w:hint="cs"/>
          <w:rtl/>
        </w:rPr>
        <w:t>اً</w:t>
      </w:r>
      <w:r w:rsidRPr="00DE4AC4">
        <w:rPr>
          <w:rtl/>
        </w:rPr>
        <w:t xml:space="preserve"> وحقيقي</w:t>
      </w:r>
      <w:r w:rsidRPr="00DE4AC4">
        <w:rPr>
          <w:rFonts w:hint="cs"/>
          <w:rtl/>
        </w:rPr>
        <w:t>اً</w:t>
      </w:r>
      <w:r w:rsidRPr="00DE4AC4">
        <w:rPr>
          <w:rtl/>
        </w:rPr>
        <w:t xml:space="preserve"> وشخصي</w:t>
      </w:r>
      <w:r w:rsidRPr="00DE4AC4">
        <w:rPr>
          <w:rFonts w:hint="cs"/>
          <w:rtl/>
        </w:rPr>
        <w:t xml:space="preserve">اً بالتعرض </w:t>
      </w:r>
      <w:r w:rsidRPr="00DE4AC4">
        <w:rPr>
          <w:rtl/>
        </w:rPr>
        <w:t>للتعذيب بالمعنى المقصود في المادة 3 من الاتفاقية</w:t>
      </w:r>
      <w:r w:rsidRPr="00DE4AC4">
        <w:t>.</w:t>
      </w:r>
    </w:p>
    <w:p w:rsidR="00091373" w:rsidRPr="00DE4AC4" w:rsidRDefault="00091373" w:rsidP="00091373">
      <w:pPr>
        <w:pStyle w:val="SingleTxtGA"/>
        <w:rPr>
          <w:rFonts w:hint="cs"/>
          <w:szCs w:val="20"/>
          <w:rtl/>
        </w:rPr>
      </w:pPr>
      <w:r w:rsidRPr="00DE4AC4">
        <w:rPr>
          <w:rFonts w:ascii="Traditional Arabic" w:hAnsi="Traditional Arabic" w:hint="cs"/>
          <w:rtl/>
        </w:rPr>
        <w:t>9-</w:t>
      </w:r>
      <w:r w:rsidRPr="00DE4AC4">
        <w:rPr>
          <w:rFonts w:ascii="Traditional Arabic" w:hAnsi="Traditional Arabic" w:hint="cs"/>
          <w:rtl/>
        </w:rPr>
        <w:tab/>
        <w:t xml:space="preserve">وعليه، </w:t>
      </w:r>
      <w:r w:rsidRPr="00DE4AC4">
        <w:rPr>
          <w:rFonts w:hint="cs"/>
          <w:rtl/>
          <w:lang w:val="en-CA"/>
        </w:rPr>
        <w:t>فإن لجنة مناهضة التعذيب، إذ</w:t>
      </w:r>
      <w:r w:rsidRPr="00DE4AC4">
        <w:rPr>
          <w:rtl/>
          <w:lang w:val="en-CA"/>
        </w:rPr>
        <w:t> </w:t>
      </w:r>
      <w:r w:rsidRPr="00DE4AC4">
        <w:rPr>
          <w:rFonts w:hint="cs"/>
          <w:rtl/>
          <w:lang w:val="en-CA"/>
        </w:rPr>
        <w:t>تعمل بموجب الفقرة 7 من المادة</w:t>
      </w:r>
      <w:r w:rsidRPr="00DE4AC4">
        <w:rPr>
          <w:rtl/>
          <w:lang w:val="en-CA"/>
        </w:rPr>
        <w:t> </w:t>
      </w:r>
      <w:r w:rsidRPr="00DE4AC4">
        <w:rPr>
          <w:rFonts w:hint="cs"/>
          <w:rtl/>
          <w:lang w:val="en-CA"/>
        </w:rPr>
        <w:t xml:space="preserve">22 من </w:t>
      </w:r>
      <w:r w:rsidRPr="00DE4AC4">
        <w:rPr>
          <w:rtl/>
          <w:lang w:bidi="ar-SY"/>
        </w:rPr>
        <w:t>اتفاقية مناهضة التعذيب وغيره من ضروب المعاملة أو العقوبة القاسية أو اللاإنسانية أو المهينة</w:t>
      </w:r>
      <w:r w:rsidRPr="00DE4AC4">
        <w:rPr>
          <w:rFonts w:hint="cs"/>
          <w:rtl/>
          <w:lang w:bidi="ar-SY"/>
        </w:rPr>
        <w:t>، تخلص إلى أن إعادة الدولة الطرف لصاحب الشكوى قسراً إلى جمهورية تنزانيا المتحدة لن</w:t>
      </w:r>
      <w:r w:rsidRPr="00DE4AC4">
        <w:rPr>
          <w:rtl/>
          <w:lang w:bidi="ar-SY"/>
        </w:rPr>
        <w:t> </w:t>
      </w:r>
      <w:r w:rsidRPr="00DE4AC4">
        <w:rPr>
          <w:rFonts w:hint="cs"/>
          <w:rtl/>
          <w:lang w:bidi="ar-SY"/>
        </w:rPr>
        <w:t>يشكل خرقاً للمادة</w:t>
      </w:r>
      <w:r w:rsidRPr="00DE4AC4">
        <w:rPr>
          <w:rtl/>
          <w:lang w:bidi="ar-SY"/>
        </w:rPr>
        <w:t> </w:t>
      </w:r>
      <w:r w:rsidRPr="00DE4AC4">
        <w:rPr>
          <w:rFonts w:hint="cs"/>
          <w:rtl/>
          <w:lang w:bidi="ar-SY"/>
        </w:rPr>
        <w:t>3 من الاتفاقية.</w:t>
      </w:r>
      <w:r w:rsidRPr="00DE4AC4">
        <w:rPr>
          <w:rFonts w:hint="cs"/>
          <w:szCs w:val="20"/>
          <w:rtl/>
        </w:rPr>
        <w:t xml:space="preserve"> </w:t>
      </w:r>
    </w:p>
    <w:p w:rsidR="00091373" w:rsidRPr="00DE4AC4" w:rsidRDefault="00091373" w:rsidP="00091373">
      <w:pPr>
        <w:pStyle w:val="SingleTxtGA"/>
        <w:rPr>
          <w:szCs w:val="20"/>
          <w:rtl/>
        </w:rPr>
        <w:sectPr w:rsidR="00091373" w:rsidRPr="00DE4AC4" w:rsidSect="00091373">
          <w:footnotePr>
            <w:numFmt w:val="arabicAbjad"/>
            <w:numRestart w:val="eachSect"/>
          </w:footnotePr>
          <w:endnotePr>
            <w:numFmt w:val="decimal"/>
          </w:endnotePr>
          <w:pgSz w:w="11906" w:h="16838" w:code="9"/>
          <w:pgMar w:top="1701" w:right="1134" w:bottom="2268" w:left="1134" w:header="1134" w:footer="1701" w:gutter="0"/>
          <w:cols w:space="708"/>
          <w:bidi/>
          <w:rtlGutter/>
          <w:docGrid w:linePitch="360"/>
        </w:sectPr>
      </w:pPr>
    </w:p>
    <w:p w:rsidR="00091373" w:rsidRPr="008F0FF5" w:rsidRDefault="00091373" w:rsidP="00091373">
      <w:pPr>
        <w:pStyle w:val="H1GA"/>
        <w:spacing w:before="120"/>
        <w:rPr>
          <w:rFonts w:hint="cs"/>
          <w:i/>
          <w:iCs/>
          <w:rtl/>
          <w:lang w:val="fr-CH"/>
        </w:rPr>
      </w:pPr>
      <w:r w:rsidRPr="00FA0FC2">
        <w:rPr>
          <w:rFonts w:hint="cs"/>
          <w:rtl/>
          <w:lang w:val="fr-CH"/>
        </w:rPr>
        <w:tab/>
      </w:r>
      <w:r w:rsidRPr="00FA0FC2">
        <w:rPr>
          <w:rFonts w:hint="cs"/>
          <w:rtl/>
          <w:lang w:val="fr-CH"/>
        </w:rPr>
        <w:tab/>
        <w:t>البلاغ رقم 439/2010</w:t>
      </w:r>
      <w:r>
        <w:rPr>
          <w:rFonts w:hint="cs"/>
          <w:rtl/>
          <w:lang w:val="fr-CH"/>
        </w:rPr>
        <w:t>:</w:t>
      </w:r>
      <w:r>
        <w:rPr>
          <w:rFonts w:hint="cs"/>
          <w:i/>
          <w:iCs/>
          <w:rtl/>
          <w:lang w:val="fr-CH"/>
        </w:rPr>
        <w:t xml:space="preserve"> م. ب. ضد سويسرا</w:t>
      </w:r>
    </w:p>
    <w:p w:rsidR="00091373" w:rsidRPr="00FA0FC2" w:rsidRDefault="00091373" w:rsidP="00DE4AC4">
      <w:pPr>
        <w:pStyle w:val="SingleTxtGA"/>
        <w:tabs>
          <w:tab w:val="clear" w:pos="1928"/>
          <w:tab w:val="clear" w:pos="2608"/>
          <w:tab w:val="clear" w:pos="3289"/>
          <w:tab w:val="clear" w:pos="3969"/>
          <w:tab w:val="clear" w:pos="4649"/>
          <w:tab w:val="clear" w:pos="5330"/>
        </w:tabs>
        <w:ind w:left="4253" w:hanging="2325"/>
        <w:rPr>
          <w:rFonts w:hint="cs"/>
          <w:vertAlign w:val="superscript"/>
          <w:rtl/>
          <w:lang w:val="fr-CH"/>
        </w:rPr>
      </w:pPr>
      <w:r w:rsidRPr="00FA0FC2">
        <w:rPr>
          <w:rFonts w:hint="cs"/>
          <w:i/>
          <w:iCs/>
          <w:rtl/>
          <w:lang w:val="fr-CH"/>
        </w:rPr>
        <w:t>المقدم من</w:t>
      </w:r>
      <w:r w:rsidRPr="00FA0FC2">
        <w:rPr>
          <w:rFonts w:hint="cs"/>
          <w:rtl/>
          <w:lang w:val="fr-CH"/>
        </w:rPr>
        <w:t>:</w:t>
      </w:r>
      <w:r w:rsidRPr="00FA0FC2">
        <w:rPr>
          <w:rFonts w:hint="cs"/>
          <w:rtl/>
          <w:lang w:val="fr-CH"/>
        </w:rPr>
        <w:tab/>
        <w:t>م. ب. (تمثله دائرة المساعدة القضائية لطالبي اللجوء)</w:t>
      </w:r>
    </w:p>
    <w:p w:rsidR="00091373" w:rsidRPr="00FA0FC2" w:rsidRDefault="00091373" w:rsidP="00DE4AC4">
      <w:pPr>
        <w:pStyle w:val="SingleTxtGA"/>
        <w:tabs>
          <w:tab w:val="clear" w:pos="1928"/>
          <w:tab w:val="clear" w:pos="2608"/>
          <w:tab w:val="clear" w:pos="3289"/>
          <w:tab w:val="clear" w:pos="3969"/>
          <w:tab w:val="clear" w:pos="4649"/>
          <w:tab w:val="clear" w:pos="5330"/>
        </w:tabs>
        <w:ind w:left="4253" w:hanging="2325"/>
        <w:rPr>
          <w:rFonts w:hint="cs"/>
          <w:rtl/>
          <w:lang w:val="fr-CH"/>
        </w:rPr>
      </w:pPr>
      <w:r w:rsidRPr="00FA0FC2">
        <w:rPr>
          <w:rFonts w:hint="cs"/>
          <w:i/>
          <w:iCs/>
          <w:rtl/>
          <w:lang w:val="fr-CH"/>
        </w:rPr>
        <w:t>الشخص المدعى أنه ضحية</w:t>
      </w:r>
      <w:r w:rsidRPr="00FA0FC2">
        <w:rPr>
          <w:rFonts w:hint="cs"/>
          <w:rtl/>
          <w:lang w:val="fr-CH"/>
        </w:rPr>
        <w:t>:</w:t>
      </w:r>
      <w:r w:rsidRPr="00FA0FC2">
        <w:rPr>
          <w:rFonts w:hint="cs"/>
          <w:rtl/>
          <w:lang w:val="fr-CH"/>
        </w:rPr>
        <w:tab/>
        <w:t xml:space="preserve">صاحب </w:t>
      </w:r>
      <w:r>
        <w:rPr>
          <w:rFonts w:hint="cs"/>
          <w:rtl/>
          <w:lang w:val="fr-CH"/>
        </w:rPr>
        <w:t>الشكوى</w:t>
      </w:r>
    </w:p>
    <w:p w:rsidR="00091373" w:rsidRPr="00FA0FC2" w:rsidRDefault="00091373" w:rsidP="00DE4AC4">
      <w:pPr>
        <w:pStyle w:val="SingleTxtGA"/>
        <w:tabs>
          <w:tab w:val="clear" w:pos="1928"/>
          <w:tab w:val="clear" w:pos="2608"/>
          <w:tab w:val="clear" w:pos="3289"/>
          <w:tab w:val="clear" w:pos="3969"/>
          <w:tab w:val="clear" w:pos="4649"/>
          <w:tab w:val="clear" w:pos="5330"/>
        </w:tabs>
        <w:ind w:left="4253" w:hanging="2325"/>
        <w:rPr>
          <w:rFonts w:hint="cs"/>
          <w:rtl/>
          <w:lang w:val="fr-CH"/>
        </w:rPr>
      </w:pPr>
      <w:r w:rsidRPr="00FA0FC2">
        <w:rPr>
          <w:rFonts w:hint="cs"/>
          <w:i/>
          <w:iCs/>
          <w:rtl/>
          <w:lang w:val="fr-CH"/>
        </w:rPr>
        <w:t>الدولة الطرف</w:t>
      </w:r>
      <w:r w:rsidRPr="00FA0FC2">
        <w:rPr>
          <w:rFonts w:hint="cs"/>
          <w:rtl/>
          <w:lang w:val="fr-CH"/>
        </w:rPr>
        <w:t>:</w:t>
      </w:r>
      <w:r w:rsidRPr="00FA0FC2">
        <w:rPr>
          <w:rFonts w:hint="cs"/>
          <w:rtl/>
          <w:lang w:val="fr-CH"/>
        </w:rPr>
        <w:tab/>
        <w:t>سويسرا</w:t>
      </w:r>
    </w:p>
    <w:p w:rsidR="00091373" w:rsidRPr="00DE4AC4" w:rsidRDefault="00091373" w:rsidP="00DE4AC4">
      <w:pPr>
        <w:pStyle w:val="SingleTxtGA"/>
        <w:tabs>
          <w:tab w:val="clear" w:pos="1928"/>
          <w:tab w:val="clear" w:pos="2608"/>
          <w:tab w:val="clear" w:pos="3289"/>
          <w:tab w:val="clear" w:pos="3969"/>
          <w:tab w:val="clear" w:pos="4649"/>
          <w:tab w:val="clear" w:pos="5330"/>
        </w:tabs>
        <w:ind w:left="4253" w:hanging="2325"/>
        <w:rPr>
          <w:rFonts w:hint="cs"/>
          <w:spacing w:val="-4"/>
          <w:rtl/>
          <w:lang w:val="fr-CH"/>
        </w:rPr>
      </w:pPr>
      <w:r w:rsidRPr="00DE4AC4">
        <w:rPr>
          <w:rFonts w:hint="cs"/>
          <w:i/>
          <w:iCs/>
          <w:spacing w:val="-4"/>
          <w:rtl/>
          <w:lang w:val="fr-CH"/>
        </w:rPr>
        <w:t>تاريخ تقديم الشكوى</w:t>
      </w:r>
      <w:r w:rsidRPr="00DE4AC4">
        <w:rPr>
          <w:rFonts w:hint="cs"/>
          <w:spacing w:val="-4"/>
          <w:rtl/>
          <w:lang w:val="fr-CH"/>
        </w:rPr>
        <w:t>:</w:t>
      </w:r>
      <w:r w:rsidRPr="00DE4AC4">
        <w:rPr>
          <w:rFonts w:hint="cs"/>
          <w:spacing w:val="-4"/>
          <w:rtl/>
          <w:lang w:val="fr-CH"/>
        </w:rPr>
        <w:tab/>
        <w:t>22 تشرين الثاني/نوفمبر 2010 (تاريخ الرسالة الأولى)</w:t>
      </w:r>
    </w:p>
    <w:p w:rsidR="00091373" w:rsidRPr="00FA0FC2" w:rsidRDefault="00091373" w:rsidP="00091373">
      <w:pPr>
        <w:pStyle w:val="SingleTxtGA"/>
        <w:rPr>
          <w:rFonts w:hint="cs"/>
          <w:rtl/>
          <w:lang w:val="fr-CH"/>
        </w:rPr>
      </w:pPr>
      <w:r w:rsidRPr="00FA0FC2">
        <w:rPr>
          <w:rFonts w:hint="cs"/>
          <w:rtl/>
          <w:lang w:val="fr-CH"/>
        </w:rPr>
        <w:tab/>
      </w:r>
      <w:r w:rsidRPr="00FA0FC2">
        <w:rPr>
          <w:rFonts w:hint="cs"/>
          <w:i/>
          <w:iCs/>
          <w:rtl/>
          <w:lang w:val="fr-CH"/>
        </w:rPr>
        <w:t>إن لجنة مناهضة التعذيب</w:t>
      </w:r>
      <w:r w:rsidRPr="00FA0FC2">
        <w:rPr>
          <w:rFonts w:hint="cs"/>
          <w:rtl/>
          <w:lang w:val="fr-CH"/>
        </w:rPr>
        <w:t>، المنشأة بموجب ال</w:t>
      </w:r>
      <w:r>
        <w:rPr>
          <w:rFonts w:hint="cs"/>
          <w:rtl/>
          <w:lang w:val="fr-CH"/>
        </w:rPr>
        <w:t>مادة</w:t>
      </w:r>
      <w:r>
        <w:rPr>
          <w:rtl/>
          <w:lang w:val="fr-CH"/>
        </w:rPr>
        <w:t> </w:t>
      </w:r>
      <w:r w:rsidRPr="00FA0FC2">
        <w:rPr>
          <w:rFonts w:hint="cs"/>
          <w:rtl/>
          <w:lang w:val="fr-CH"/>
        </w:rPr>
        <w:t>17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المهينة،</w:t>
      </w:r>
    </w:p>
    <w:p w:rsidR="00091373" w:rsidRPr="00FA0FC2" w:rsidRDefault="00091373" w:rsidP="00091373">
      <w:pPr>
        <w:pStyle w:val="SingleTxtGA"/>
        <w:rPr>
          <w:rFonts w:hint="cs"/>
          <w:rtl/>
          <w:lang w:val="fr-CH"/>
        </w:rPr>
      </w:pPr>
      <w:r w:rsidRPr="00FA0FC2">
        <w:rPr>
          <w:rFonts w:hint="cs"/>
          <w:rtl/>
          <w:lang w:val="fr-CH"/>
        </w:rPr>
        <w:tab/>
      </w:r>
      <w:r w:rsidRPr="00FA0FC2">
        <w:rPr>
          <w:rFonts w:hint="cs"/>
          <w:i/>
          <w:iCs/>
          <w:rtl/>
          <w:lang w:val="fr-CH"/>
        </w:rPr>
        <w:t xml:space="preserve">وقد اجتمعت </w:t>
      </w:r>
      <w:r w:rsidRPr="00FA0FC2">
        <w:rPr>
          <w:rFonts w:hint="cs"/>
          <w:rtl/>
          <w:lang w:val="fr-CH"/>
        </w:rPr>
        <w:t>في 31 أيار/مايو 2013،</w:t>
      </w:r>
    </w:p>
    <w:p w:rsidR="00091373" w:rsidRPr="00FA0FC2" w:rsidRDefault="00091373" w:rsidP="00091373">
      <w:pPr>
        <w:pStyle w:val="SingleTxtGA"/>
        <w:rPr>
          <w:rFonts w:hint="cs"/>
          <w:rtl/>
          <w:lang w:val="fr-CH"/>
        </w:rPr>
      </w:pPr>
      <w:r w:rsidRPr="00FA0FC2">
        <w:rPr>
          <w:rFonts w:hint="cs"/>
          <w:rtl/>
          <w:lang w:val="fr-CH"/>
        </w:rPr>
        <w:tab/>
      </w:r>
      <w:r w:rsidRPr="00FA0FC2">
        <w:rPr>
          <w:rFonts w:hint="cs"/>
          <w:i/>
          <w:iCs/>
          <w:rtl/>
          <w:lang w:val="fr-CH"/>
        </w:rPr>
        <w:t xml:space="preserve">وقد فرغت </w:t>
      </w:r>
      <w:r w:rsidRPr="00FA0FC2">
        <w:rPr>
          <w:rFonts w:hint="cs"/>
          <w:rtl/>
          <w:lang w:val="fr-CH"/>
        </w:rPr>
        <w:t xml:space="preserve">من النظر في الشكوى رقم 439/2010 المقدمة </w:t>
      </w:r>
      <w:r>
        <w:rPr>
          <w:rFonts w:hint="cs"/>
          <w:rtl/>
          <w:lang w:val="fr-CH"/>
        </w:rPr>
        <w:t xml:space="preserve">إلى اللجنة </w:t>
      </w:r>
      <w:r w:rsidRPr="00FA0FC2">
        <w:rPr>
          <w:rFonts w:hint="cs"/>
          <w:rtl/>
          <w:lang w:val="fr-CH"/>
        </w:rPr>
        <w:t>باسم م.</w:t>
      </w:r>
      <w:r>
        <w:rPr>
          <w:rFonts w:hint="eastAsia"/>
          <w:rtl/>
          <w:lang w:val="fr-CH"/>
        </w:rPr>
        <w:t> </w:t>
      </w:r>
      <w:r w:rsidRPr="00FA0FC2">
        <w:rPr>
          <w:rFonts w:hint="cs"/>
          <w:rtl/>
          <w:lang w:val="fr-CH"/>
        </w:rPr>
        <w:t>ب. بموجب ال</w:t>
      </w:r>
      <w:r>
        <w:rPr>
          <w:rFonts w:hint="cs"/>
          <w:rtl/>
          <w:lang w:val="fr-CH"/>
        </w:rPr>
        <w:t>مادة</w:t>
      </w:r>
      <w:r>
        <w:rPr>
          <w:rtl/>
          <w:lang w:val="fr-CH"/>
        </w:rPr>
        <w:t> </w:t>
      </w:r>
      <w:r w:rsidRPr="00FA0FC2">
        <w:rPr>
          <w:rFonts w:hint="cs"/>
          <w:rtl/>
          <w:lang w:val="fr-CH"/>
        </w:rPr>
        <w:t>22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w:t>
      </w:r>
      <w:r>
        <w:rPr>
          <w:rFonts w:hint="cs"/>
          <w:rtl/>
          <w:lang w:val="fr-CH"/>
        </w:rPr>
        <w:t>ة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المهينة،</w:t>
      </w:r>
    </w:p>
    <w:p w:rsidR="00091373" w:rsidRPr="00FA0FC2" w:rsidRDefault="00091373" w:rsidP="00091373">
      <w:pPr>
        <w:pStyle w:val="SingleTxtGA"/>
        <w:rPr>
          <w:rFonts w:hint="cs"/>
          <w:rtl/>
          <w:lang w:val="fr-CH"/>
        </w:rPr>
      </w:pPr>
      <w:r w:rsidRPr="00FA0FC2">
        <w:rPr>
          <w:rFonts w:hint="cs"/>
          <w:rtl/>
          <w:lang w:val="fr-CH"/>
        </w:rPr>
        <w:tab/>
      </w:r>
      <w:r w:rsidRPr="00FA0FC2">
        <w:rPr>
          <w:rFonts w:hint="cs"/>
          <w:i/>
          <w:iCs/>
          <w:rtl/>
          <w:lang w:val="fr-CH"/>
        </w:rPr>
        <w:t xml:space="preserve">وقد </w:t>
      </w:r>
      <w:r>
        <w:rPr>
          <w:rFonts w:hint="cs"/>
          <w:i/>
          <w:iCs/>
          <w:rtl/>
          <w:lang w:val="fr-CH"/>
        </w:rPr>
        <w:t xml:space="preserve">وضعت </w:t>
      </w:r>
      <w:r w:rsidRPr="00FA0FC2">
        <w:rPr>
          <w:rFonts w:hint="cs"/>
          <w:i/>
          <w:iCs/>
          <w:rtl/>
          <w:lang w:val="fr-CH"/>
        </w:rPr>
        <w:t xml:space="preserve">في اعتبارها </w:t>
      </w:r>
      <w:r w:rsidRPr="00FA0FC2">
        <w:rPr>
          <w:rFonts w:hint="cs"/>
          <w:rtl/>
          <w:lang w:val="fr-CH"/>
        </w:rPr>
        <w:t>جميع المعلومات التي أتاحها لها صاحب البلاغ ومحاميه والدولة الطرف،</w:t>
      </w:r>
    </w:p>
    <w:p w:rsidR="00091373" w:rsidRPr="00FA0FC2" w:rsidRDefault="00091373" w:rsidP="00091373">
      <w:pPr>
        <w:pStyle w:val="SingleTxtGA"/>
        <w:rPr>
          <w:rFonts w:hint="cs"/>
          <w:rtl/>
          <w:lang w:val="fr-CH"/>
        </w:rPr>
      </w:pPr>
      <w:r w:rsidRPr="00FA0FC2">
        <w:rPr>
          <w:rFonts w:hint="cs"/>
          <w:rtl/>
          <w:lang w:val="fr-CH"/>
        </w:rPr>
        <w:tab/>
      </w:r>
      <w:r w:rsidRPr="00FA0FC2">
        <w:rPr>
          <w:rFonts w:hint="cs"/>
          <w:i/>
          <w:iCs/>
          <w:rtl/>
          <w:lang w:val="fr-CH"/>
        </w:rPr>
        <w:t>تعتمد</w:t>
      </w:r>
      <w:r>
        <w:rPr>
          <w:rFonts w:hint="cs"/>
          <w:i/>
          <w:iCs/>
          <w:rtl/>
          <w:lang w:val="fr-CH"/>
        </w:rPr>
        <w:t xml:space="preserve"> </w:t>
      </w:r>
      <w:r w:rsidRPr="005D3B07">
        <w:rPr>
          <w:rFonts w:hint="cs"/>
          <w:rtl/>
          <w:lang w:val="fr-CH"/>
        </w:rPr>
        <w:t>ما</w:t>
      </w:r>
      <w:r>
        <w:rPr>
          <w:i/>
          <w:iCs/>
          <w:rtl/>
          <w:lang w:val="fr-CH"/>
        </w:rPr>
        <w:t> </w:t>
      </w:r>
      <w:r w:rsidRPr="00FA0FC2">
        <w:rPr>
          <w:rFonts w:hint="cs"/>
          <w:rtl/>
          <w:lang w:val="fr-CH"/>
        </w:rPr>
        <w:t>يلي:</w:t>
      </w:r>
    </w:p>
    <w:p w:rsidR="00091373" w:rsidRPr="00FA0FC2" w:rsidRDefault="00091373" w:rsidP="00091373">
      <w:pPr>
        <w:pStyle w:val="H1GA"/>
        <w:rPr>
          <w:rFonts w:hint="cs"/>
          <w:rtl/>
          <w:lang w:val="fr-CH"/>
        </w:rPr>
      </w:pPr>
      <w:r w:rsidRPr="00FA0FC2">
        <w:rPr>
          <w:rFonts w:hint="cs"/>
          <w:rtl/>
          <w:lang w:val="fr-CH"/>
        </w:rPr>
        <w:tab/>
      </w:r>
      <w:r w:rsidRPr="00FA0FC2">
        <w:rPr>
          <w:rFonts w:hint="cs"/>
          <w:rtl/>
          <w:lang w:val="fr-CH"/>
        </w:rPr>
        <w:tab/>
        <w:t>قرار بموجب الفقرة 7 من ال</w:t>
      </w:r>
      <w:r>
        <w:rPr>
          <w:rFonts w:hint="cs"/>
          <w:rtl/>
          <w:lang w:val="fr-CH"/>
        </w:rPr>
        <w:t>مادة</w:t>
      </w:r>
      <w:r>
        <w:rPr>
          <w:rtl/>
          <w:lang w:val="fr-CH"/>
        </w:rPr>
        <w:t> </w:t>
      </w:r>
      <w:r w:rsidRPr="00FA0FC2">
        <w:rPr>
          <w:rFonts w:hint="cs"/>
          <w:rtl/>
          <w:lang w:val="fr-CH"/>
        </w:rPr>
        <w:t>22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المهينة</w:t>
      </w:r>
    </w:p>
    <w:p w:rsidR="00091373" w:rsidRPr="00FA0FC2" w:rsidRDefault="00091373" w:rsidP="00091373">
      <w:pPr>
        <w:pStyle w:val="SingleTxtGA"/>
        <w:rPr>
          <w:rFonts w:hint="cs"/>
          <w:rtl/>
          <w:lang w:val="fr-CH"/>
        </w:rPr>
      </w:pPr>
      <w:r w:rsidRPr="00FA0FC2">
        <w:rPr>
          <w:rFonts w:hint="cs"/>
          <w:rtl/>
          <w:lang w:val="fr-CH"/>
        </w:rPr>
        <w:t>1-1</w:t>
      </w:r>
      <w:r w:rsidRPr="00FA0FC2">
        <w:rPr>
          <w:rFonts w:hint="cs"/>
          <w:rtl/>
          <w:lang w:val="fr-CH"/>
        </w:rPr>
        <w:tab/>
        <w:t>صاحب البلاغ هو م. ب.، وهو مواطن إيراني مولود في</w:t>
      </w:r>
      <w:r>
        <w:rPr>
          <w:rFonts w:hint="cs"/>
          <w:rtl/>
          <w:lang w:val="fr-CH"/>
        </w:rPr>
        <w:t xml:space="preserve"> عام</w:t>
      </w:r>
      <w:r>
        <w:rPr>
          <w:rtl/>
          <w:lang w:val="fr-CH"/>
        </w:rPr>
        <w:t> </w:t>
      </w:r>
      <w:r w:rsidRPr="00FA0FC2">
        <w:rPr>
          <w:rFonts w:hint="cs"/>
          <w:rtl/>
          <w:lang w:val="fr-CH"/>
        </w:rPr>
        <w:t>1970. وقد قدم طلب لجوء سياسي في سويسرا فرفض طلبه، ولذلك فإنه يخشى أن يُعاد إلى إيران. وهو يرى أن إعادته قسراً إلى إيران ستشكّل انتهاكاً من جانب سويسرا لحقوقه بموجب ال</w:t>
      </w:r>
      <w:r>
        <w:rPr>
          <w:rFonts w:hint="cs"/>
          <w:rtl/>
          <w:lang w:val="fr-CH"/>
        </w:rPr>
        <w:t>مادة</w:t>
      </w:r>
      <w:r>
        <w:rPr>
          <w:rtl/>
          <w:lang w:val="fr-CH"/>
        </w:rPr>
        <w:t> </w:t>
      </w:r>
      <w:r w:rsidRPr="00FA0FC2">
        <w:rPr>
          <w:rFonts w:hint="cs"/>
          <w:rtl/>
          <w:lang w:val="fr-CH"/>
        </w:rPr>
        <w:t>3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 ويساعده محامٍ.</w:t>
      </w:r>
    </w:p>
    <w:p w:rsidR="00091373" w:rsidRPr="00FA0FC2" w:rsidRDefault="00091373" w:rsidP="00091373">
      <w:pPr>
        <w:pStyle w:val="SingleTxtGA"/>
        <w:rPr>
          <w:rFonts w:hint="cs"/>
          <w:rtl/>
          <w:lang w:val="fr-CH"/>
        </w:rPr>
      </w:pPr>
      <w:r w:rsidRPr="00FA0FC2">
        <w:rPr>
          <w:rFonts w:hint="cs"/>
          <w:rtl/>
          <w:lang w:val="fr-CH"/>
        </w:rPr>
        <w:t>1-2</w:t>
      </w:r>
      <w:r w:rsidRPr="00FA0FC2">
        <w:rPr>
          <w:rFonts w:hint="cs"/>
          <w:rtl/>
          <w:lang w:val="fr-CH"/>
        </w:rPr>
        <w:tab/>
        <w:t>وبموجب ال</w:t>
      </w:r>
      <w:r>
        <w:rPr>
          <w:rFonts w:hint="cs"/>
          <w:rtl/>
          <w:lang w:val="fr-CH"/>
        </w:rPr>
        <w:t>مادة</w:t>
      </w:r>
      <w:r>
        <w:rPr>
          <w:rtl/>
          <w:lang w:val="fr-CH"/>
        </w:rPr>
        <w:t> </w:t>
      </w:r>
      <w:r w:rsidRPr="00FA0FC2">
        <w:rPr>
          <w:rFonts w:hint="cs"/>
          <w:rtl/>
          <w:lang w:val="fr-CH"/>
        </w:rPr>
        <w:t>108 من النظام الداخلي للجنة، طلبت اللجنة إلى الدولة الطرف لدى تسجيل الشكوى في 29 تشرين الثاني/نوفمبر 2010، عن طريق مقررها المعني بالبلاغات الجديدة وتدابير الحماية المؤقتة، عدم طرد صاحب الشكوى إلى إيران</w:t>
      </w:r>
      <w:r>
        <w:rPr>
          <w:rFonts w:hint="cs"/>
          <w:rtl/>
          <w:lang w:val="fr-CH"/>
        </w:rPr>
        <w:t xml:space="preserve"> ما</w:t>
      </w:r>
      <w:r>
        <w:rPr>
          <w:rtl/>
          <w:lang w:val="fr-CH"/>
        </w:rPr>
        <w:t> </w:t>
      </w:r>
      <w:r w:rsidRPr="00FA0FC2">
        <w:rPr>
          <w:rFonts w:hint="cs"/>
          <w:rtl/>
          <w:lang w:val="fr-CH"/>
        </w:rPr>
        <w:t>دامت شكواه قيد النظر.</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الوقائع</w:t>
      </w:r>
      <w:r>
        <w:rPr>
          <w:rFonts w:hint="cs"/>
          <w:rtl/>
          <w:lang w:val="fr-CH"/>
        </w:rPr>
        <w:t xml:space="preserve"> كما</w:t>
      </w:r>
      <w:r>
        <w:rPr>
          <w:rtl/>
          <w:lang w:val="fr-CH"/>
        </w:rPr>
        <w:t> </w:t>
      </w:r>
      <w:r>
        <w:rPr>
          <w:rFonts w:hint="cs"/>
          <w:rtl/>
          <w:lang w:val="fr-CH"/>
        </w:rPr>
        <w:t>عرضها</w:t>
      </w:r>
      <w:r w:rsidRPr="00FA0FC2">
        <w:rPr>
          <w:rFonts w:hint="cs"/>
          <w:rtl/>
          <w:lang w:val="fr-CH"/>
        </w:rPr>
        <w:t xml:space="preserve"> صاحب الشكوى</w:t>
      </w:r>
    </w:p>
    <w:p w:rsidR="00091373" w:rsidRPr="00FA0FC2" w:rsidRDefault="00091373" w:rsidP="00091373">
      <w:pPr>
        <w:pStyle w:val="SingleTxtGA"/>
        <w:rPr>
          <w:rFonts w:hint="cs"/>
          <w:rtl/>
          <w:lang w:val="fr-CH"/>
        </w:rPr>
      </w:pPr>
      <w:r w:rsidRPr="00FA0FC2">
        <w:rPr>
          <w:rFonts w:hint="cs"/>
          <w:rtl/>
          <w:lang w:val="fr-CH"/>
        </w:rPr>
        <w:t>2-1</w:t>
      </w:r>
      <w:r w:rsidRPr="00FA0FC2">
        <w:rPr>
          <w:rFonts w:hint="cs"/>
          <w:rtl/>
          <w:lang w:val="fr-CH"/>
        </w:rPr>
        <w:tab/>
        <w:t xml:space="preserve">قدّم صاحب الشكوى طلب لجوء إلى سويسرا في كانون الثاني/يناير 2005. وقال، دعماً لطلبه، إنه من إيران، من أصل إثني عربي، ومن مدينة تقع بالقرب من الحدود العراقية ومارس فيها مهنة الخياطة لمدة عشر سنوات. وله شقيق </w:t>
      </w:r>
      <w:r>
        <w:rPr>
          <w:rFonts w:hint="cs"/>
          <w:rtl/>
          <w:lang w:val="fr-CH"/>
        </w:rPr>
        <w:t xml:space="preserve">ناشط </w:t>
      </w:r>
      <w:r w:rsidRPr="00FA0FC2">
        <w:rPr>
          <w:rFonts w:hint="cs"/>
          <w:rtl/>
          <w:lang w:val="fr-CH"/>
        </w:rPr>
        <w:t>سياسياً وعضو في حزب عربي ينادي باستقلال إقليم خوزستان. وكان شقيقه يشارك في توزيع المنشورات (وصاحب الشكوى ليس على عِلم بأنشطة شقيقه الأخرى).</w:t>
      </w:r>
      <w:r>
        <w:rPr>
          <w:rFonts w:hint="cs"/>
          <w:rtl/>
          <w:lang w:val="fr-CH"/>
        </w:rPr>
        <w:t xml:space="preserve"> ولم</w:t>
      </w:r>
      <w:r>
        <w:rPr>
          <w:rtl/>
          <w:lang w:val="fr-CH"/>
        </w:rPr>
        <w:t> </w:t>
      </w:r>
      <w:r w:rsidRPr="00FA0FC2">
        <w:rPr>
          <w:rFonts w:hint="cs"/>
          <w:rtl/>
          <w:lang w:val="fr-CH"/>
        </w:rPr>
        <w:t>يكن لشقيقه مكان إقامة ثابت وكان يختبئ عن أعين السلطات. ومنذ خمس سنوات تقريباً، أخذت السلطات تتردد بانتظام على منزل الأسرة بحثاً عن شقيقه في أوقات مختلفة من النهار وبمتوسط مرتين في الأسبوع. وكانت تريد معرفة مكان شقيقه والتعرّف بالضبط على الأنشطة التي يمارسها. وكان أفراد الشرطة يفتشون المنزل بحثاً عن أسلحة وغير ذلك، ويقومون أحياناً بضرب أفراد الأسرة.</w:t>
      </w:r>
      <w:r>
        <w:rPr>
          <w:rFonts w:hint="cs"/>
          <w:rtl/>
          <w:lang w:val="fr-CH"/>
        </w:rPr>
        <w:t xml:space="preserve"> وفي</w:t>
      </w:r>
      <w:r>
        <w:rPr>
          <w:rtl/>
          <w:lang w:val="fr-CH"/>
        </w:rPr>
        <w:t> </w:t>
      </w:r>
      <w:r w:rsidRPr="00FA0FC2">
        <w:rPr>
          <w:rFonts w:hint="cs"/>
          <w:rtl/>
          <w:lang w:val="fr-CH"/>
        </w:rPr>
        <w:t>إحدى المرات، شاهد أفراد الشرطة شقيقه يفرّ من سطح من المنزل فأطلقوا عليه النار ولكنهم</w:t>
      </w:r>
      <w:r>
        <w:rPr>
          <w:rFonts w:hint="cs"/>
          <w:rtl/>
          <w:lang w:val="fr-CH"/>
        </w:rPr>
        <w:t xml:space="preserve"> لم</w:t>
      </w:r>
      <w:r>
        <w:rPr>
          <w:rtl/>
          <w:lang w:val="fr-CH"/>
        </w:rPr>
        <w:t> </w:t>
      </w:r>
      <w:r w:rsidRPr="00FA0FC2">
        <w:rPr>
          <w:rFonts w:hint="cs"/>
          <w:rtl/>
          <w:lang w:val="fr-CH"/>
        </w:rPr>
        <w:t>يصيبوه. وأصبح صاحب الشكوى، بعد وفاة أبيه، ربّ العائلة وبذلك أصبح هدفاً للاستجوابات وعمليات التفتيش التي تقوم بها السلطات.</w:t>
      </w:r>
    </w:p>
    <w:p w:rsidR="00091373" w:rsidRPr="00FA0FC2" w:rsidRDefault="00091373" w:rsidP="00091373">
      <w:pPr>
        <w:pStyle w:val="SingleTxtGA"/>
        <w:rPr>
          <w:rFonts w:hint="cs"/>
          <w:rtl/>
          <w:lang w:val="fr-CH"/>
        </w:rPr>
      </w:pPr>
      <w:r w:rsidRPr="00FA0FC2">
        <w:rPr>
          <w:rFonts w:hint="cs"/>
          <w:rtl/>
          <w:lang w:val="fr-CH"/>
        </w:rPr>
        <w:t>2-2</w:t>
      </w:r>
      <w:r w:rsidRPr="00FA0FC2">
        <w:rPr>
          <w:rFonts w:hint="cs"/>
          <w:rtl/>
          <w:lang w:val="fr-CH"/>
        </w:rPr>
        <w:tab/>
        <w:t>وبعد مضي سنة، في</w:t>
      </w:r>
      <w:r>
        <w:rPr>
          <w:rFonts w:hint="cs"/>
          <w:rtl/>
          <w:lang w:val="fr-CH"/>
        </w:rPr>
        <w:t xml:space="preserve"> عام</w:t>
      </w:r>
      <w:r>
        <w:rPr>
          <w:rtl/>
          <w:lang w:val="fr-CH"/>
        </w:rPr>
        <w:t> </w:t>
      </w:r>
      <w:r w:rsidRPr="00FA0FC2">
        <w:rPr>
          <w:rFonts w:hint="cs"/>
          <w:rtl/>
          <w:lang w:val="fr-CH"/>
        </w:rPr>
        <w:t>2005، قرر صاحب الشكوى مغادرة البلد للتخلّص من مضايقة السلطات التي كانت تتعدى على حياته الخاصة وتُقلق راحته باستمرار</w:t>
      </w:r>
      <w:r w:rsidRPr="00FA0FC2">
        <w:rPr>
          <w:spacing w:val="-4"/>
          <w:vertAlign w:val="superscript"/>
          <w:rtl/>
          <w:lang w:val="fr-CH"/>
        </w:rPr>
        <w:t>(</w:t>
      </w:r>
      <w:r w:rsidRPr="00FA0FC2">
        <w:rPr>
          <w:rStyle w:val="FootnoteReference"/>
          <w:spacing w:val="-4"/>
          <w:rtl/>
          <w:lang w:val="fr-CH"/>
        </w:rPr>
        <w:footnoteReference w:id="225"/>
      </w:r>
      <w:r w:rsidRPr="00FA0FC2">
        <w:rPr>
          <w:spacing w:val="-4"/>
          <w:vertAlign w:val="superscript"/>
          <w:rtl/>
          <w:lang w:val="fr-CH"/>
        </w:rPr>
        <w:t>)</w:t>
      </w:r>
      <w:r w:rsidRPr="00FA0FC2">
        <w:rPr>
          <w:rFonts w:hint="cs"/>
          <w:rtl/>
          <w:lang w:val="fr-CH"/>
        </w:rPr>
        <w:t>.</w:t>
      </w:r>
    </w:p>
    <w:p w:rsidR="00091373" w:rsidRPr="00FA0FC2" w:rsidRDefault="00091373" w:rsidP="00091373">
      <w:pPr>
        <w:pStyle w:val="SingleTxtGA"/>
        <w:rPr>
          <w:rFonts w:hint="cs"/>
          <w:rtl/>
          <w:lang w:val="fr-CH"/>
        </w:rPr>
      </w:pPr>
      <w:r w:rsidRPr="00FA0FC2">
        <w:rPr>
          <w:rFonts w:hint="cs"/>
          <w:rtl/>
          <w:lang w:val="fr-CH"/>
        </w:rPr>
        <w:t>2-3</w:t>
      </w:r>
      <w:r w:rsidRPr="00FA0FC2">
        <w:rPr>
          <w:rFonts w:hint="cs"/>
          <w:rtl/>
          <w:lang w:val="fr-CH"/>
        </w:rPr>
        <w:tab/>
        <w:t>أما الشقيق الأصغر لصاحب الشكوى، الذي اعتُبر ربّ الأسرة بعد رحيل هذا الأخير، فقد اعتُقل من قِبل أجهزة الأمن الإيرانية لمدة أسبوع، واعتُقل مرة أخرى لمدة "يومين</w:t>
      </w:r>
      <w:r>
        <w:rPr>
          <w:rFonts w:hint="cs"/>
          <w:rtl/>
          <w:lang w:val="fr-CH"/>
        </w:rPr>
        <w:t xml:space="preserve"> أو</w:t>
      </w:r>
      <w:r>
        <w:rPr>
          <w:rtl/>
          <w:lang w:val="fr-CH"/>
        </w:rPr>
        <w:t> </w:t>
      </w:r>
      <w:r w:rsidRPr="00FA0FC2">
        <w:rPr>
          <w:rFonts w:hint="cs"/>
          <w:rtl/>
          <w:lang w:val="fr-CH"/>
        </w:rPr>
        <w:t>ثلاثة". ويزعم أن شقيقه هُدّد بالسجن وتعرّض للتعذيب (تم حرق أعضائه التناسلية في إحدى المرات التي كان فيها قيد الاحتجاز)</w:t>
      </w:r>
      <w:r w:rsidRPr="00FA0FC2">
        <w:rPr>
          <w:spacing w:val="-4"/>
          <w:vertAlign w:val="superscript"/>
          <w:rtl/>
          <w:lang w:val="fr-CH"/>
        </w:rPr>
        <w:t>(</w:t>
      </w:r>
      <w:r w:rsidRPr="00FA0FC2">
        <w:rPr>
          <w:rStyle w:val="FootnoteReference"/>
          <w:spacing w:val="-4"/>
          <w:rtl/>
          <w:lang w:val="fr-CH"/>
        </w:rPr>
        <w:footnoteReference w:id="226"/>
      </w:r>
      <w:r w:rsidRPr="00FA0FC2">
        <w:rPr>
          <w:spacing w:val="-4"/>
          <w:vertAlign w:val="superscript"/>
          <w:rtl/>
          <w:lang w:val="fr-CH"/>
        </w:rPr>
        <w:t>)</w:t>
      </w:r>
      <w:r w:rsidRPr="00FA0FC2">
        <w:rPr>
          <w:rFonts w:hint="cs"/>
          <w:rtl/>
          <w:lang w:val="fr-CH"/>
        </w:rPr>
        <w:t>. وتعرّضت الأسرة أيضاً للمضايقة على يد الأجهزة الأمنية وهُدّد أحد أشقاء صاحب الشكوى بالسجن. وأُخضعت الأسرة ب.، بالمعنى الواسع للعشيرة، للمراقبة من قِبل السلطات، وكانت الأسرة تقيم في جنوب البلد، وأوقف عدة أشخاص يحملون اسم ب.،</w:t>
      </w:r>
      <w:r>
        <w:rPr>
          <w:rFonts w:hint="cs"/>
          <w:rtl/>
          <w:lang w:val="fr-CH"/>
        </w:rPr>
        <w:t xml:space="preserve"> ولا</w:t>
      </w:r>
      <w:r>
        <w:rPr>
          <w:rtl/>
          <w:lang w:val="fr-CH"/>
        </w:rPr>
        <w:t> </w:t>
      </w:r>
      <w:r w:rsidRPr="00FA0FC2">
        <w:rPr>
          <w:rFonts w:hint="cs"/>
          <w:rtl/>
          <w:lang w:val="fr-CH"/>
        </w:rPr>
        <w:t>سيما من الشباب، وقُتلوا، واختفى آخرون.</w:t>
      </w:r>
      <w:r>
        <w:rPr>
          <w:rFonts w:hint="cs"/>
          <w:rtl/>
          <w:lang w:val="fr-CH"/>
        </w:rPr>
        <w:t xml:space="preserve"> ولا</w:t>
      </w:r>
      <w:r>
        <w:rPr>
          <w:rtl/>
          <w:lang w:val="fr-CH"/>
        </w:rPr>
        <w:t> </w:t>
      </w:r>
      <w:r w:rsidRPr="00FA0FC2">
        <w:rPr>
          <w:rFonts w:hint="cs"/>
          <w:rtl/>
          <w:lang w:val="fr-CH"/>
        </w:rPr>
        <w:t>يستطيع صاحب الشكوى أن يتحدث بالهاتف مع أسرته في إيران</w:t>
      </w:r>
      <w:r>
        <w:rPr>
          <w:rFonts w:hint="cs"/>
          <w:rtl/>
          <w:lang w:val="fr-CH"/>
        </w:rPr>
        <w:t xml:space="preserve"> أو</w:t>
      </w:r>
      <w:r>
        <w:rPr>
          <w:rtl/>
          <w:lang w:val="fr-CH"/>
        </w:rPr>
        <w:t> </w:t>
      </w:r>
      <w:r w:rsidRPr="00FA0FC2">
        <w:rPr>
          <w:rFonts w:hint="cs"/>
          <w:rtl/>
          <w:lang w:val="fr-CH"/>
        </w:rPr>
        <w:t>أن يراسلها لأن السلطات الإيرانية تراقب البريد والاتصالات الهاتفية.</w:t>
      </w:r>
    </w:p>
    <w:p w:rsidR="00091373" w:rsidRPr="001776AB" w:rsidRDefault="00091373" w:rsidP="00091373">
      <w:pPr>
        <w:pStyle w:val="SingleTxtGA"/>
        <w:rPr>
          <w:rFonts w:hint="cs"/>
          <w:spacing w:val="-2"/>
          <w:rtl/>
          <w:lang w:val="fr-CH"/>
        </w:rPr>
      </w:pPr>
      <w:r w:rsidRPr="001776AB">
        <w:rPr>
          <w:rFonts w:hint="cs"/>
          <w:spacing w:val="-2"/>
          <w:rtl/>
          <w:lang w:val="fr-CH"/>
        </w:rPr>
        <w:t>2-4</w:t>
      </w:r>
      <w:r w:rsidRPr="001776AB">
        <w:rPr>
          <w:rFonts w:hint="cs"/>
          <w:spacing w:val="-2"/>
          <w:rtl/>
          <w:lang w:val="fr-CH"/>
        </w:rPr>
        <w:tab/>
        <w:t>وفي عام</w:t>
      </w:r>
      <w:r w:rsidRPr="001776AB">
        <w:rPr>
          <w:spacing w:val="-2"/>
          <w:rtl/>
          <w:lang w:val="fr-CH"/>
        </w:rPr>
        <w:t> </w:t>
      </w:r>
      <w:r w:rsidRPr="001776AB">
        <w:rPr>
          <w:rFonts w:hint="cs"/>
          <w:spacing w:val="-2"/>
          <w:rtl/>
          <w:lang w:val="fr-CH"/>
        </w:rPr>
        <w:t xml:space="preserve">2006، شارك صاحب الشكوى في مظاهرة عامة أمام سفارة إيران في بيرن مع مجموعة عربية. ونُشرت على أحد مواقع الإنترنت صورة يظهر فيها صاحب الشكوى أثناء هذه المظاهرة ونتيجة لذلك، حسبما يقول صاحب الشكوى، أصبحت السلطات الإيرانية على عِلم بأنه تظاهر، بعد ممارسة ضغوط على شقيقه في إيران. ولكي يحمي صاحب الشكوى أقرباءه في إيران، قرّر الكف عن ممارسة أي نشاط سياسي في سويسرا. </w:t>
      </w:r>
    </w:p>
    <w:p w:rsidR="00091373" w:rsidRPr="00FA0FC2" w:rsidRDefault="00091373" w:rsidP="00091373">
      <w:pPr>
        <w:pStyle w:val="SingleTxtGA"/>
        <w:rPr>
          <w:rFonts w:hint="cs"/>
          <w:rtl/>
          <w:lang w:val="fr-CH"/>
        </w:rPr>
      </w:pPr>
      <w:r w:rsidRPr="00FA0FC2">
        <w:rPr>
          <w:rFonts w:hint="cs"/>
          <w:rtl/>
          <w:lang w:val="fr-CH"/>
        </w:rPr>
        <w:t>2-5</w:t>
      </w:r>
      <w:r w:rsidRPr="00FA0FC2">
        <w:rPr>
          <w:rFonts w:hint="cs"/>
          <w:rtl/>
          <w:lang w:val="fr-CH"/>
        </w:rPr>
        <w:tab/>
        <w:t>وقد رفض المكتب الاتحادي للهجرة في 19 كانون الثاني/يناير 2006 طلب اللجوء الذي قدمه.</w:t>
      </w:r>
      <w:r>
        <w:rPr>
          <w:rFonts w:hint="cs"/>
          <w:rtl/>
          <w:lang w:val="fr-CH"/>
        </w:rPr>
        <w:t xml:space="preserve"> وفي</w:t>
      </w:r>
      <w:r>
        <w:rPr>
          <w:rtl/>
          <w:lang w:val="fr-CH"/>
        </w:rPr>
        <w:t> </w:t>
      </w:r>
      <w:r w:rsidRPr="00FA0FC2">
        <w:rPr>
          <w:rFonts w:hint="cs"/>
          <w:rtl/>
          <w:lang w:val="fr-CH"/>
        </w:rPr>
        <w:t>23 كانون الأول/ديسمبر 2009، قدّم محاميه طلباً لإعادة النظر في رفض طلب اللجوء وقرار الإبعاد، فاعتبر المكتب الاتحادي للهجرة هذا الطلب بمثابة طلب لجوء جديد فرفضه في 26 شباط/فبراير 2010.</w:t>
      </w:r>
      <w:r>
        <w:rPr>
          <w:rFonts w:hint="cs"/>
          <w:rtl/>
          <w:lang w:val="fr-CH"/>
        </w:rPr>
        <w:t xml:space="preserve"> ولم</w:t>
      </w:r>
      <w:r>
        <w:rPr>
          <w:rtl/>
          <w:lang w:val="fr-CH"/>
        </w:rPr>
        <w:t> </w:t>
      </w:r>
      <w:r w:rsidRPr="00FA0FC2">
        <w:rPr>
          <w:rFonts w:hint="cs"/>
          <w:rtl/>
          <w:lang w:val="fr-CH"/>
        </w:rPr>
        <w:t>يُقدَّم أي استئناف لقرار المكتب الاتحادي للهجرة هذا.</w:t>
      </w:r>
      <w:r>
        <w:rPr>
          <w:rFonts w:hint="cs"/>
          <w:rtl/>
          <w:lang w:val="fr-CH"/>
        </w:rPr>
        <w:t xml:space="preserve"> وفي</w:t>
      </w:r>
      <w:r>
        <w:rPr>
          <w:rtl/>
          <w:lang w:val="fr-CH"/>
        </w:rPr>
        <w:t> </w:t>
      </w:r>
      <w:r w:rsidRPr="00FA0FC2">
        <w:rPr>
          <w:rFonts w:hint="cs"/>
          <w:rtl/>
          <w:lang w:val="fr-CH"/>
        </w:rPr>
        <w:t>1 حزيران/يونيه 2010، قدّمت دائرة المساعدة القضائية لطالبي اللجوء طلباً جديداً لإعادة النظر في طلب اللجوء، استناداً إلى وقائع جديدة (بتقديم تقرير طبي مؤرخ</w:t>
      </w:r>
      <w:r>
        <w:rPr>
          <w:rFonts w:hint="eastAsia"/>
          <w:rtl/>
          <w:lang w:val="fr-CH"/>
        </w:rPr>
        <w:t> </w:t>
      </w:r>
      <w:r w:rsidRPr="00FA0FC2">
        <w:rPr>
          <w:rFonts w:hint="cs"/>
          <w:rtl/>
          <w:lang w:val="fr-CH"/>
        </w:rPr>
        <w:t xml:space="preserve">24 نيسان/أبريل 2010 يُذكر فيه أن صاحب الشكوى يعاني الأرق والكُرب والقلق والعصبية والاكتئاب وأنه مصاب أيضاً بفيروس </w:t>
      </w:r>
      <w:r>
        <w:rPr>
          <w:rFonts w:hint="cs"/>
          <w:rtl/>
          <w:lang w:val="fr-CH"/>
        </w:rPr>
        <w:t>التهاب الكبد من النوع جيم</w:t>
      </w:r>
      <w:r w:rsidRPr="00FA0FC2">
        <w:rPr>
          <w:rFonts w:hint="cs"/>
          <w:rtl/>
          <w:lang w:val="fr-CH"/>
        </w:rPr>
        <w:t>).</w:t>
      </w:r>
      <w:r>
        <w:rPr>
          <w:rFonts w:hint="cs"/>
          <w:rtl/>
          <w:lang w:val="fr-CH"/>
        </w:rPr>
        <w:t xml:space="preserve"> وفي</w:t>
      </w:r>
      <w:r>
        <w:rPr>
          <w:rtl/>
          <w:lang w:val="fr-CH"/>
        </w:rPr>
        <w:t> </w:t>
      </w:r>
      <w:r w:rsidRPr="00FA0FC2">
        <w:rPr>
          <w:rFonts w:hint="cs"/>
          <w:rtl/>
          <w:lang w:val="fr-CH"/>
        </w:rPr>
        <w:t>11 حزيران/يونيه 2010، رفض المكتب الاتحادي للهجرة هذا الطلب من دون أن يدرسه.</w:t>
      </w:r>
      <w:r>
        <w:rPr>
          <w:rFonts w:hint="cs"/>
          <w:rtl/>
          <w:lang w:val="fr-CH"/>
        </w:rPr>
        <w:t xml:space="preserve"> وفي</w:t>
      </w:r>
      <w:r>
        <w:rPr>
          <w:rtl/>
          <w:lang w:val="fr-CH"/>
        </w:rPr>
        <w:t> </w:t>
      </w:r>
      <w:r w:rsidRPr="00FA0FC2">
        <w:rPr>
          <w:rFonts w:hint="cs"/>
          <w:rtl/>
          <w:lang w:val="fr-CH"/>
        </w:rPr>
        <w:t>8 تموز/يوليه 2010، تقدّمت دائرة المساعدة القضائية لطالبي اللجوء بطعن ضد قرار المكتب الاتحادي للهجرة أمام المحكمة الإدارية الاتحادية فرفضت المحكمة الطعن بقرار صادر في 3 أيلول/سبتمبر 2010 بحجة أن طلب إعادة النظر قد قُدم بعد مدة تزيد عن 90 يوماً من الإخطار بآخر قرار للمكتب الاتحادي للهجرة وأن الاضطرابات الصحية المشار إليها</w:t>
      </w:r>
      <w:r>
        <w:rPr>
          <w:rFonts w:hint="cs"/>
          <w:rtl/>
          <w:lang w:val="fr-CH"/>
        </w:rPr>
        <w:t xml:space="preserve"> لا</w:t>
      </w:r>
      <w:r>
        <w:rPr>
          <w:rtl/>
          <w:lang w:val="fr-CH"/>
        </w:rPr>
        <w:t> </w:t>
      </w:r>
      <w:r w:rsidRPr="00FA0FC2">
        <w:rPr>
          <w:rFonts w:hint="cs"/>
          <w:rtl/>
          <w:lang w:val="fr-CH"/>
        </w:rPr>
        <w:t>تتسم بخطورة كافية لتبرير إعادة النظر</w:t>
      </w:r>
      <w:r w:rsidRPr="00FA0FC2">
        <w:rPr>
          <w:spacing w:val="-4"/>
          <w:vertAlign w:val="superscript"/>
          <w:rtl/>
          <w:lang w:val="fr-CH"/>
        </w:rPr>
        <w:t>(</w:t>
      </w:r>
      <w:r w:rsidRPr="00FA0FC2">
        <w:rPr>
          <w:rStyle w:val="FootnoteReference"/>
          <w:spacing w:val="-4"/>
          <w:rtl/>
          <w:lang w:val="fr-CH"/>
        </w:rPr>
        <w:footnoteReference w:id="227"/>
      </w:r>
      <w:r w:rsidRPr="00FA0FC2">
        <w:rPr>
          <w:spacing w:val="-4"/>
          <w:vertAlign w:val="superscript"/>
          <w:rtl/>
          <w:lang w:val="fr-CH"/>
        </w:rPr>
        <w:t>)</w:t>
      </w:r>
      <w:r w:rsidRPr="00FA0FC2">
        <w:rPr>
          <w:rFonts w:hint="cs"/>
          <w:rtl/>
          <w:lang w:val="fr-CH"/>
        </w:rPr>
        <w:t>. ويرى صاحب الشكوى أن المكتب الاتحادي للهجرة قد طبّق القانون بشكل خاطئ،</w:t>
      </w:r>
      <w:r>
        <w:rPr>
          <w:rFonts w:hint="cs"/>
          <w:rtl/>
          <w:lang w:val="fr-CH"/>
        </w:rPr>
        <w:t xml:space="preserve"> إذ</w:t>
      </w:r>
      <w:r>
        <w:rPr>
          <w:rtl/>
          <w:lang w:val="fr-CH"/>
        </w:rPr>
        <w:t> </w:t>
      </w:r>
      <w:r w:rsidRPr="00FA0FC2">
        <w:rPr>
          <w:rFonts w:hint="cs"/>
          <w:rtl/>
          <w:lang w:val="fr-CH"/>
        </w:rPr>
        <w:t>كان عليه أن يُعيد النظر في القضية استناداً إلى العنصر الجديد المقدم، أي التقرير المؤرخ 24 نيسان/أبريل 2010. ويشير بإسهاب، في هذا السياق، إلى ممارسة السلطات الوطنية</w:t>
      </w:r>
      <w:r>
        <w:rPr>
          <w:rFonts w:hint="cs"/>
          <w:rtl/>
          <w:lang w:val="fr-CH"/>
        </w:rPr>
        <w:t xml:space="preserve"> فيما</w:t>
      </w:r>
      <w:r>
        <w:rPr>
          <w:rtl/>
          <w:lang w:val="fr-CH"/>
        </w:rPr>
        <w:t> </w:t>
      </w:r>
      <w:r w:rsidRPr="00FA0FC2">
        <w:rPr>
          <w:rFonts w:hint="cs"/>
          <w:rtl/>
          <w:lang w:val="fr-CH"/>
        </w:rPr>
        <w:t>يتعلق بالمراجعة استناداً إلى عناصر الإثبات المقدمة بعد دخول قرارات سابقة حيز التنفيذ،</w:t>
      </w:r>
      <w:r>
        <w:rPr>
          <w:rFonts w:hint="cs"/>
          <w:rtl/>
          <w:lang w:val="fr-CH"/>
        </w:rPr>
        <w:t xml:space="preserve"> ولا</w:t>
      </w:r>
      <w:r>
        <w:rPr>
          <w:rtl/>
          <w:lang w:val="fr-CH"/>
        </w:rPr>
        <w:t> </w:t>
      </w:r>
      <w:r w:rsidRPr="00FA0FC2">
        <w:rPr>
          <w:rFonts w:hint="cs"/>
          <w:rtl/>
          <w:lang w:val="fr-CH"/>
        </w:rPr>
        <w:t>سيما بشأن حالات عدم الإعادة القسرية إلى بلد يُخشى أن يتعرض فيه الشخص للتعذيب.</w:t>
      </w:r>
    </w:p>
    <w:p w:rsidR="00091373" w:rsidRPr="00DE4AC4" w:rsidRDefault="00091373" w:rsidP="00DE4AC4">
      <w:pPr>
        <w:pStyle w:val="SingleTxtGA"/>
        <w:rPr>
          <w:rFonts w:hint="cs"/>
          <w:rtl/>
          <w:lang w:val="fr-CH"/>
        </w:rPr>
      </w:pPr>
      <w:r w:rsidRPr="00DE4AC4">
        <w:rPr>
          <w:rFonts w:hint="cs"/>
          <w:spacing w:val="-4"/>
          <w:rtl/>
          <w:lang w:val="fr-CH"/>
        </w:rPr>
        <w:t>2-6</w:t>
      </w:r>
      <w:r w:rsidRPr="00DE4AC4">
        <w:rPr>
          <w:rFonts w:hint="cs"/>
          <w:spacing w:val="-4"/>
          <w:rtl/>
          <w:lang w:val="fr-CH"/>
        </w:rPr>
        <w:tab/>
        <w:t>ويدعي صاحب الشكوى أن الوضع السياسي للأقليات الإثنية العربية أصبح الآن موثقاً التوثيق الكافي، في حين أن الحال لم</w:t>
      </w:r>
      <w:r w:rsidRPr="00DE4AC4">
        <w:rPr>
          <w:spacing w:val="-4"/>
          <w:rtl/>
          <w:lang w:val="fr-CH"/>
        </w:rPr>
        <w:t> </w:t>
      </w:r>
      <w:r w:rsidRPr="00DE4AC4">
        <w:rPr>
          <w:rFonts w:hint="cs"/>
          <w:spacing w:val="-4"/>
          <w:rtl/>
          <w:lang w:val="fr-CH"/>
        </w:rPr>
        <w:t>يكن كذلك عندما قدم طلب اللجوء في الدولة الطرف. ويشير إلى تقرير يُدعى</w:t>
      </w:r>
      <w:r w:rsidRPr="00DE4AC4">
        <w:rPr>
          <w:rFonts w:hint="cs"/>
          <w:rtl/>
          <w:lang w:val="fr-CH"/>
        </w:rPr>
        <w:t xml:space="preserve"> "</w:t>
      </w:r>
      <w:r w:rsidRPr="00DE4AC4">
        <w:t>Country of Origin Information</w:t>
      </w:r>
      <w:r w:rsidRPr="00DE4AC4">
        <w:rPr>
          <w:rFonts w:hint="cs"/>
          <w:rtl/>
        </w:rPr>
        <w:t xml:space="preserve">" </w:t>
      </w:r>
      <w:r w:rsidRPr="00DE4AC4">
        <w:rPr>
          <w:rFonts w:hint="cs"/>
          <w:rtl/>
          <w:lang w:val="fr-CH"/>
        </w:rPr>
        <w:t>أعدته "</w:t>
      </w:r>
      <w:r w:rsidRPr="00DE4AC4">
        <w:t>UK Border</w:t>
      </w:r>
      <w:r w:rsidR="00DE4AC4" w:rsidRPr="00DE4AC4">
        <w:t xml:space="preserve"> </w:t>
      </w:r>
      <w:r w:rsidRPr="00DE4AC4">
        <w:t>Agency</w:t>
      </w:r>
      <w:r w:rsidRPr="00DE4AC4">
        <w:rPr>
          <w:rFonts w:hint="cs"/>
          <w:rtl/>
          <w:lang w:val="fr-CH"/>
        </w:rPr>
        <w:t>" عن إيران (2009)، وإلى أن ما</w:t>
      </w:r>
      <w:r w:rsidRPr="00DE4AC4">
        <w:rPr>
          <w:rtl/>
          <w:lang w:val="fr-CH"/>
        </w:rPr>
        <w:t> </w:t>
      </w:r>
      <w:r w:rsidRPr="00DE4AC4">
        <w:rPr>
          <w:rFonts w:hint="cs"/>
          <w:rtl/>
          <w:lang w:val="fr-CH"/>
        </w:rPr>
        <w:t>يقرب من 3 في المائة من سكان إيران هم من أصل عربي ويعيش نصفهم في خوزستان. وقد هُجّر أكثر من مليون عربي بالقوة منذ عام</w:t>
      </w:r>
      <w:r w:rsidRPr="00DE4AC4">
        <w:rPr>
          <w:rtl/>
          <w:lang w:val="fr-CH"/>
        </w:rPr>
        <w:t> </w:t>
      </w:r>
      <w:r w:rsidRPr="00DE4AC4">
        <w:rPr>
          <w:rFonts w:hint="cs"/>
          <w:rtl/>
          <w:lang w:val="fr-CH"/>
        </w:rPr>
        <w:t>1999 ووزّعوا فيما</w:t>
      </w:r>
      <w:r w:rsidRPr="00DE4AC4">
        <w:rPr>
          <w:rtl/>
          <w:lang w:val="fr-CH"/>
        </w:rPr>
        <w:t> </w:t>
      </w:r>
      <w:r w:rsidRPr="00DE4AC4">
        <w:rPr>
          <w:rFonts w:hint="cs"/>
          <w:rtl/>
          <w:lang w:val="fr-CH"/>
        </w:rPr>
        <w:t>بين السكان الإيرانيين بهدف طمس هويتهم العربية. ويقول إن أكثر من 80 في المائة من النفط الإيراني موجود في منطقة خوزستان، ما</w:t>
      </w:r>
      <w:r w:rsidRPr="00DE4AC4">
        <w:rPr>
          <w:rtl/>
          <w:lang w:val="fr-CH"/>
        </w:rPr>
        <w:t> </w:t>
      </w:r>
      <w:r w:rsidRPr="00DE4AC4">
        <w:rPr>
          <w:rFonts w:hint="cs"/>
          <w:rtl/>
          <w:lang w:val="fr-CH"/>
        </w:rPr>
        <w:t>يجعل هذه الأخيرة منطقة استراتيجية. وإن انتهاكات حقوق الإنسان، مثل الاعتقالات التعسفية، والاحتجاز غير</w:t>
      </w:r>
      <w:r w:rsidRPr="00DE4AC4">
        <w:rPr>
          <w:rFonts w:hint="eastAsia"/>
          <w:rtl/>
          <w:lang w:val="fr-CH"/>
        </w:rPr>
        <w:t> </w:t>
      </w:r>
      <w:r w:rsidRPr="00DE4AC4">
        <w:rPr>
          <w:rFonts w:hint="cs"/>
          <w:rtl/>
          <w:lang w:val="fr-CH"/>
        </w:rPr>
        <w:t>المحدد المدة، والعنف البدني، تمارس بشكل رئيسي ضد أفراد الأقليات الإثنية، ولا</w:t>
      </w:r>
      <w:r w:rsidRPr="00DE4AC4">
        <w:rPr>
          <w:rtl/>
          <w:lang w:val="fr-CH"/>
        </w:rPr>
        <w:t> </w:t>
      </w:r>
      <w:r w:rsidRPr="00DE4AC4">
        <w:rPr>
          <w:rFonts w:hint="cs"/>
          <w:rtl/>
          <w:lang w:val="fr-CH"/>
        </w:rPr>
        <w:t>سيما الأقلية العربية.</w:t>
      </w:r>
    </w:p>
    <w:p w:rsidR="00091373" w:rsidRPr="00FA0FC2" w:rsidRDefault="00091373" w:rsidP="00091373">
      <w:pPr>
        <w:pStyle w:val="SingleTxtGA"/>
        <w:rPr>
          <w:rFonts w:hint="cs"/>
          <w:rtl/>
          <w:lang w:val="fr-CH"/>
        </w:rPr>
      </w:pPr>
      <w:r w:rsidRPr="00FA0FC2">
        <w:rPr>
          <w:rFonts w:hint="cs"/>
          <w:rtl/>
          <w:lang w:val="fr-CH"/>
        </w:rPr>
        <w:t>2-7</w:t>
      </w:r>
      <w:r w:rsidRPr="00FA0FC2">
        <w:rPr>
          <w:rFonts w:hint="cs"/>
          <w:rtl/>
          <w:lang w:val="fr-CH"/>
        </w:rPr>
        <w:tab/>
        <w:t>ويذكر صاحب الشكوى أن العرب يتجنبون التحدث بلغتهم في إيران خوفاً من القمع. وقد لقيت أحزاب المعارضة العربية، في الماضي، الدعم من العراق، ويعمل بعضها سراً وينادون بالاستقلال. ويدعي صاحب الشكوى أيضاً أنه حدثت هجمات بالقنابل في خوزستان في</w:t>
      </w:r>
      <w:r>
        <w:rPr>
          <w:rFonts w:hint="cs"/>
          <w:rtl/>
          <w:lang w:val="fr-CH"/>
        </w:rPr>
        <w:t xml:space="preserve"> عام</w:t>
      </w:r>
      <w:r>
        <w:rPr>
          <w:rtl/>
          <w:lang w:val="fr-CH"/>
        </w:rPr>
        <w:t> </w:t>
      </w:r>
      <w:r w:rsidRPr="00FA0FC2">
        <w:rPr>
          <w:rFonts w:hint="cs"/>
          <w:rtl/>
          <w:lang w:val="fr-CH"/>
        </w:rPr>
        <w:t>2005. ورداً على ذلك، أعدمت السلطات ثمانية عرب واعتقلت الكثير منهم. وعقب المظاهرات التي حدثت في عبدان</w:t>
      </w:r>
      <w:r>
        <w:rPr>
          <w:rFonts w:hint="cs"/>
          <w:rtl/>
          <w:lang w:val="fr-CH"/>
        </w:rPr>
        <w:t xml:space="preserve"> عام</w:t>
      </w:r>
      <w:r>
        <w:rPr>
          <w:rtl/>
          <w:lang w:val="fr-CH"/>
        </w:rPr>
        <w:t> </w:t>
      </w:r>
      <w:r w:rsidRPr="00FA0FC2">
        <w:rPr>
          <w:rFonts w:hint="cs"/>
          <w:rtl/>
          <w:lang w:val="fr-CH"/>
        </w:rPr>
        <w:t>2005 للاحتجاج على سوء نوعية الماء، أصبح سكان خوزستان أكثر تعرضاً للمراقبة والقمع، وأصبح التعذيب ممنهجاً، وتم تجاوز قدرة السجون على الاستيعاب تجاوزاً خطيراً أدى إلى أوضاع حياة</w:t>
      </w:r>
      <w:r>
        <w:rPr>
          <w:rFonts w:hint="cs"/>
          <w:rtl/>
          <w:lang w:val="fr-CH"/>
        </w:rPr>
        <w:t xml:space="preserve"> لا</w:t>
      </w:r>
      <w:r>
        <w:rPr>
          <w:rtl/>
          <w:lang w:val="fr-CH"/>
        </w:rPr>
        <w:t> </w:t>
      </w:r>
      <w:r w:rsidRPr="00FA0FC2">
        <w:rPr>
          <w:rFonts w:hint="cs"/>
          <w:rtl/>
          <w:lang w:val="fr-CH"/>
        </w:rPr>
        <w:t>إنسانية. ويضيف صاحب الشكوى أن عمليات الإعدام بإجراءات موجزة كثيرة الوقوع في إيران</w:t>
      </w:r>
      <w:r w:rsidRPr="00FA0FC2">
        <w:rPr>
          <w:vertAlign w:val="superscript"/>
          <w:rtl/>
          <w:lang w:val="fr-CH"/>
        </w:rPr>
        <w:t>(</w:t>
      </w:r>
      <w:r w:rsidRPr="00FA0FC2">
        <w:rPr>
          <w:rStyle w:val="FootnoteReference"/>
          <w:rtl/>
          <w:lang w:val="fr-CH"/>
        </w:rPr>
        <w:footnoteReference w:id="228"/>
      </w:r>
      <w:r w:rsidRPr="00FA0FC2">
        <w:rPr>
          <w:vertAlign w:val="superscript"/>
          <w:rtl/>
          <w:lang w:val="fr-CH"/>
        </w:rPr>
        <w:t>)</w:t>
      </w:r>
      <w:r w:rsidRPr="00FA0FC2">
        <w:rPr>
          <w:rFonts w:hint="cs"/>
          <w:rtl/>
          <w:lang w:val="fr-CH"/>
        </w:rPr>
        <w:t xml:space="preserve">. </w:t>
      </w:r>
    </w:p>
    <w:p w:rsidR="00091373" w:rsidRPr="00FA0FC2" w:rsidRDefault="00091373" w:rsidP="00091373">
      <w:pPr>
        <w:pStyle w:val="SingleTxtGA"/>
        <w:rPr>
          <w:rFonts w:hint="cs"/>
          <w:rtl/>
          <w:lang w:val="fr-CH"/>
        </w:rPr>
      </w:pPr>
      <w:r w:rsidRPr="00FA0FC2">
        <w:rPr>
          <w:rFonts w:hint="cs"/>
          <w:rtl/>
          <w:lang w:val="fr-CH"/>
        </w:rPr>
        <w:t>2-8</w:t>
      </w:r>
      <w:r w:rsidRPr="00FA0FC2">
        <w:rPr>
          <w:rFonts w:hint="cs"/>
          <w:rtl/>
          <w:lang w:val="fr-CH"/>
        </w:rPr>
        <w:tab/>
        <w:t>ويشير كذلك إلى أن المحكمة الإدارية الاتحادية للدولة الطرف قد سلَّمت بأنه يحق للأجهزة الأمنية، بشكل مطلق، أن تراقب الأنشطة السياسية التي تمارس ضد النظام في الخارج. غير أن انتباه السلطات يتركز، بالدرجة الأولى، على الأشخاص الذين يتسمون بسمات خاصة والذين يعملون خارج إطار المعارضة الجماهيرية المعتادة، والذين يشغلون وظائف</w:t>
      </w:r>
      <w:r>
        <w:rPr>
          <w:rFonts w:hint="cs"/>
          <w:rtl/>
          <w:lang w:val="fr-CH"/>
        </w:rPr>
        <w:t xml:space="preserve"> أو</w:t>
      </w:r>
      <w:r>
        <w:rPr>
          <w:rtl/>
          <w:lang w:val="fr-CH"/>
        </w:rPr>
        <w:t> </w:t>
      </w:r>
      <w:r w:rsidRPr="00FA0FC2">
        <w:rPr>
          <w:rFonts w:hint="cs"/>
          <w:rtl/>
          <w:lang w:val="fr-CH"/>
        </w:rPr>
        <w:t>يمارسون أنشطة ذات طبيعة تمثل تهديداً خطيراً وملموساً للنظام الإيراني</w:t>
      </w:r>
      <w:r>
        <w:rPr>
          <w:rFonts w:hint="cs"/>
          <w:rtl/>
          <w:lang w:val="fr-CH"/>
        </w:rPr>
        <w:t>،</w:t>
      </w:r>
      <w:r w:rsidRPr="00FA0FC2">
        <w:rPr>
          <w:rFonts w:hint="cs"/>
          <w:rtl/>
          <w:lang w:val="fr-CH"/>
        </w:rPr>
        <w:t xml:space="preserve"> حيث يعتبر معيار درجة الخطورة حاسماً. </w:t>
      </w:r>
    </w:p>
    <w:p w:rsidR="00091373" w:rsidRPr="00FA0FC2" w:rsidRDefault="00091373" w:rsidP="00091373">
      <w:pPr>
        <w:pStyle w:val="SingleTxtGA"/>
        <w:rPr>
          <w:rFonts w:hint="cs"/>
          <w:rtl/>
          <w:lang w:val="fr-CH"/>
        </w:rPr>
      </w:pPr>
      <w:r w:rsidRPr="00FA0FC2">
        <w:rPr>
          <w:rFonts w:hint="cs"/>
          <w:rtl/>
          <w:lang w:val="fr-CH"/>
        </w:rPr>
        <w:t>2-9</w:t>
      </w:r>
      <w:r w:rsidRPr="00FA0FC2">
        <w:rPr>
          <w:rFonts w:hint="cs"/>
          <w:rtl/>
          <w:lang w:val="fr-CH"/>
        </w:rPr>
        <w:tab/>
        <w:t>وهكذا يرى صاحب الشكوى أنه يجمع بين عدة معايير يمكن أن تجعله عرضة للقمع في إيران: فهو فرد من أفراد الأقلية العربية، وينتمي إلى العشيرة ب.، وهو أحد أفراد أسرة شخص ناشط سياسياً ومطلوب من السلطات (شقيقه) في حين أنه رب أسرة بسبب وفاة والده؛ وشارك في مظاهرة معارضة في سويسرا ويعتقد أن السلطات الإيرانية على علم بهذه المشاركة. ويرى صاحب الشكوى أن من المهم، لدى النظر في قضيته، أن تؤخذ جميع ظروف القضية في الاعتبار، حتى وإن</w:t>
      </w:r>
      <w:r>
        <w:rPr>
          <w:rFonts w:hint="cs"/>
          <w:rtl/>
          <w:lang w:val="fr-CH"/>
        </w:rPr>
        <w:t xml:space="preserve"> لم</w:t>
      </w:r>
      <w:r>
        <w:rPr>
          <w:rtl/>
          <w:lang w:val="fr-CH"/>
        </w:rPr>
        <w:t> </w:t>
      </w:r>
      <w:r w:rsidRPr="00FA0FC2">
        <w:rPr>
          <w:rFonts w:hint="cs"/>
          <w:rtl/>
          <w:lang w:val="fr-CH"/>
        </w:rPr>
        <w:t xml:space="preserve">يكن رئيساً لحزب سياسي وحتى </w:t>
      </w:r>
      <w:r>
        <w:rPr>
          <w:rFonts w:hint="cs"/>
          <w:rtl/>
          <w:lang w:val="fr-CH"/>
        </w:rPr>
        <w:t xml:space="preserve">وإن كانت </w:t>
      </w:r>
      <w:r w:rsidRPr="00FA0FC2">
        <w:rPr>
          <w:rFonts w:hint="cs"/>
          <w:rtl/>
          <w:lang w:val="fr-CH"/>
        </w:rPr>
        <w:t>أنشطته السياسية أنشطة محدودة.</w:t>
      </w:r>
    </w:p>
    <w:p w:rsidR="00091373" w:rsidRPr="00FA0FC2" w:rsidRDefault="00091373" w:rsidP="00091373">
      <w:pPr>
        <w:pStyle w:val="SingleTxtGA"/>
        <w:rPr>
          <w:rFonts w:hint="cs"/>
          <w:rtl/>
          <w:lang w:val="fr-CH"/>
        </w:rPr>
      </w:pPr>
      <w:r w:rsidRPr="00FA0FC2">
        <w:rPr>
          <w:rFonts w:hint="cs"/>
          <w:rtl/>
          <w:lang w:val="fr-CH"/>
        </w:rPr>
        <w:t>2-10</w:t>
      </w:r>
      <w:r w:rsidRPr="00FA0FC2">
        <w:rPr>
          <w:rFonts w:hint="cs"/>
          <w:rtl/>
          <w:lang w:val="fr-CH"/>
        </w:rPr>
        <w:tab/>
        <w:t>ويقول صاحب الشكوى إن من الصعب الحصول على أدلة من إيران،</w:t>
      </w:r>
      <w:r>
        <w:rPr>
          <w:rFonts w:hint="cs"/>
          <w:rtl/>
          <w:lang w:val="fr-CH"/>
        </w:rPr>
        <w:t xml:space="preserve"> إذ</w:t>
      </w:r>
      <w:r>
        <w:rPr>
          <w:rtl/>
          <w:lang w:val="fr-CH"/>
        </w:rPr>
        <w:t> </w:t>
      </w:r>
      <w:r w:rsidRPr="00FA0FC2">
        <w:rPr>
          <w:rFonts w:hint="cs"/>
          <w:rtl/>
          <w:lang w:val="fr-CH"/>
        </w:rPr>
        <w:t>إن الأجهزة الأمنية</w:t>
      </w:r>
      <w:r>
        <w:rPr>
          <w:rFonts w:hint="cs"/>
          <w:rtl/>
          <w:lang w:val="fr-CH"/>
        </w:rPr>
        <w:t xml:space="preserve"> لا</w:t>
      </w:r>
      <w:r>
        <w:rPr>
          <w:rtl/>
          <w:lang w:val="fr-CH"/>
        </w:rPr>
        <w:t> </w:t>
      </w:r>
      <w:r w:rsidRPr="00FA0FC2">
        <w:rPr>
          <w:rFonts w:hint="cs"/>
          <w:rtl/>
          <w:lang w:val="fr-CH"/>
        </w:rPr>
        <w:t>توثق عمليات البحث التي تقوم بها والملفات تظل سرية إلى حين نقلها إلى المحكمة. وأخيراً، يرى أنه ليس من غير الطبيعي ألا يعرف بالضبط اسم الحزب الذي كان ينشط فيه شقيقه</w:t>
      </w:r>
      <w:r>
        <w:rPr>
          <w:rFonts w:hint="cs"/>
          <w:rtl/>
          <w:lang w:val="fr-CH"/>
        </w:rPr>
        <w:t xml:space="preserve"> ولا</w:t>
      </w:r>
      <w:r>
        <w:rPr>
          <w:rtl/>
          <w:lang w:val="fr-CH"/>
        </w:rPr>
        <w:t> </w:t>
      </w:r>
      <w:r w:rsidRPr="00FA0FC2">
        <w:rPr>
          <w:rFonts w:hint="cs"/>
          <w:rtl/>
          <w:lang w:val="fr-CH"/>
        </w:rPr>
        <w:t>طبيعة الأنشطة التي كان يمارسها، وذلك نظراً إلى سرية عمل مثل هذه الأحزاب في إيران.</w:t>
      </w:r>
    </w:p>
    <w:p w:rsidR="00091373" w:rsidRPr="00FA0FC2" w:rsidRDefault="00091373" w:rsidP="00091373">
      <w:pPr>
        <w:pStyle w:val="SingleTxtGA"/>
        <w:rPr>
          <w:rFonts w:hint="cs"/>
          <w:rtl/>
          <w:lang w:val="fr-CH"/>
        </w:rPr>
      </w:pPr>
      <w:r w:rsidRPr="00FA0FC2">
        <w:rPr>
          <w:rFonts w:hint="cs"/>
          <w:rtl/>
          <w:lang w:val="fr-CH"/>
        </w:rPr>
        <w:t>2-11</w:t>
      </w:r>
      <w:r w:rsidRPr="00FA0FC2">
        <w:rPr>
          <w:rFonts w:hint="cs"/>
          <w:rtl/>
          <w:lang w:val="fr-CH"/>
        </w:rPr>
        <w:tab/>
        <w:t>ويرى صاحب الشكوى، في الختام، أنه يمكن أن يتعرض كذلك للتعذيب في إيران لمجرد أنه غادر هذا البلد بصورة غير قانونية.</w:t>
      </w:r>
    </w:p>
    <w:p w:rsidR="00091373" w:rsidRPr="00FA0FC2" w:rsidRDefault="00091373" w:rsidP="00091373">
      <w:pPr>
        <w:pStyle w:val="SingleTxtGA"/>
        <w:rPr>
          <w:rFonts w:hint="cs"/>
          <w:rtl/>
          <w:lang w:val="fr-CH"/>
        </w:rPr>
      </w:pPr>
      <w:r w:rsidRPr="00FA0FC2">
        <w:rPr>
          <w:rFonts w:hint="cs"/>
          <w:rtl/>
          <w:lang w:val="fr-CH"/>
        </w:rPr>
        <w:t>2-12</w:t>
      </w:r>
      <w:r w:rsidRPr="00FA0FC2">
        <w:rPr>
          <w:rFonts w:hint="cs"/>
          <w:rtl/>
          <w:lang w:val="fr-CH"/>
        </w:rPr>
        <w:tab/>
        <w:t>واستناداً إلى الاعتبارات المذكورة أعلاه، يرى صاحب الشكوى أنه ينبغي ألا يعاد إلى إيران لأنه يمكن أن يتعرض فيها للتعذيب.</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الشكوى</w:t>
      </w:r>
    </w:p>
    <w:p w:rsidR="00091373" w:rsidRPr="007279DC" w:rsidRDefault="00091373" w:rsidP="00091373">
      <w:pPr>
        <w:pStyle w:val="SingleTxtGA"/>
        <w:rPr>
          <w:rFonts w:hint="cs"/>
          <w:spacing w:val="-2"/>
          <w:rtl/>
          <w:lang w:val="fr-CH"/>
        </w:rPr>
      </w:pPr>
      <w:r w:rsidRPr="007279DC">
        <w:rPr>
          <w:rFonts w:hint="cs"/>
          <w:spacing w:val="-2"/>
          <w:rtl/>
          <w:lang w:val="fr-CH"/>
        </w:rPr>
        <w:t>3-</w:t>
      </w:r>
      <w:r w:rsidRPr="007279DC">
        <w:rPr>
          <w:rFonts w:hint="cs"/>
          <w:spacing w:val="-2"/>
          <w:rtl/>
          <w:lang w:val="fr-CH"/>
        </w:rPr>
        <w:tab/>
        <w:t>يقول صاحب الشكوى إنه إذا طُرد إلى إيران فمن المؤكد أنه سيُعتقل ويتعرض للتعذيب على يد قوات الأمن بسبب انتمائه الإثني وانتمائه إلى العشيرة ب.، وكونه أحد أفراد أسرة شخص ناشط سياسياً ومطلوب من السلطات (شقيقه) وكونه رب أسرة. وإن إعادته قسراً إلى إيران ستُشكل انتهاكاً من جانب الدولة الطرف لحقوقه بموجب المادة</w:t>
      </w:r>
      <w:r w:rsidRPr="007279DC">
        <w:rPr>
          <w:spacing w:val="-2"/>
          <w:rtl/>
          <w:lang w:val="fr-CH"/>
        </w:rPr>
        <w:t> </w:t>
      </w:r>
      <w:r w:rsidRPr="007279DC">
        <w:rPr>
          <w:rFonts w:hint="cs"/>
          <w:spacing w:val="-2"/>
          <w:rtl/>
          <w:lang w:val="fr-CH"/>
        </w:rPr>
        <w:t xml:space="preserve">3 من الاتفاقية. </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 xml:space="preserve">ملاحظات الدولة الطرف بشأن المقبولية </w:t>
      </w:r>
      <w:r>
        <w:rPr>
          <w:rFonts w:hint="cs"/>
          <w:rtl/>
          <w:lang w:val="fr-CH"/>
        </w:rPr>
        <w:t>والأسس الموضوعية</w:t>
      </w:r>
    </w:p>
    <w:p w:rsidR="00091373" w:rsidRPr="00FA0FC2" w:rsidRDefault="00091373" w:rsidP="00091373">
      <w:pPr>
        <w:pStyle w:val="SingleTxtGA"/>
        <w:rPr>
          <w:rFonts w:hint="cs"/>
          <w:rtl/>
          <w:lang w:val="fr-CH"/>
        </w:rPr>
      </w:pPr>
      <w:r w:rsidRPr="00FA0FC2">
        <w:rPr>
          <w:rFonts w:hint="cs"/>
          <w:rtl/>
          <w:lang w:val="fr-CH"/>
        </w:rPr>
        <w:t>4-1</w:t>
      </w:r>
      <w:r w:rsidRPr="00FA0FC2">
        <w:rPr>
          <w:rFonts w:hint="cs"/>
          <w:rtl/>
          <w:lang w:val="fr-CH"/>
        </w:rPr>
        <w:tab/>
        <w:t xml:space="preserve">في 19 أيار/مايو 2010، قدمت الدولة الطرف ملاحظاتها بشأن مقبولة البلاغ </w:t>
      </w:r>
      <w:r>
        <w:rPr>
          <w:rFonts w:hint="cs"/>
          <w:rtl/>
          <w:lang w:val="fr-CH"/>
        </w:rPr>
        <w:t>وأسسه الموضوعية</w:t>
      </w:r>
      <w:r w:rsidRPr="00FA0FC2">
        <w:rPr>
          <w:rFonts w:hint="cs"/>
          <w:rtl/>
          <w:lang w:val="fr-CH"/>
        </w:rPr>
        <w:t>. وذكّرت بأن صاحب الشكوى إيراني من أصل عربي، وأنه ذكر، سواء أمام السلطات المختصة بمسائل اللجوء</w:t>
      </w:r>
      <w:r>
        <w:rPr>
          <w:rFonts w:hint="cs"/>
          <w:rtl/>
          <w:lang w:val="fr-CH"/>
        </w:rPr>
        <w:t xml:space="preserve"> أم</w:t>
      </w:r>
      <w:r>
        <w:rPr>
          <w:rtl/>
          <w:lang w:val="fr-CH"/>
        </w:rPr>
        <w:t> </w:t>
      </w:r>
      <w:r w:rsidRPr="00FA0FC2">
        <w:rPr>
          <w:rFonts w:hint="cs"/>
          <w:rtl/>
          <w:lang w:val="fr-CH"/>
        </w:rPr>
        <w:t>أمام اللجنة، أنه غادر إيران لأن السلطات قامت بتفتيش منزله بحثاً عن شقيقه العضو في حزب العرب الذين يناضلون للحصول على حقوق السكان العرب المحليين. وبذا، يمكن أن يتعرض صاحب الشكوى للاعتقال إذا أُعيد إلى إيران،</w:t>
      </w:r>
      <w:r>
        <w:rPr>
          <w:rFonts w:hint="cs"/>
          <w:rtl/>
          <w:lang w:val="fr-CH"/>
        </w:rPr>
        <w:t xml:space="preserve"> </w:t>
      </w:r>
      <w:r w:rsidRPr="00FA0FC2">
        <w:rPr>
          <w:rFonts w:hint="cs"/>
          <w:rtl/>
          <w:lang w:val="fr-CH"/>
        </w:rPr>
        <w:t>لا</w:t>
      </w:r>
      <w:r>
        <w:rPr>
          <w:rFonts w:hint="eastAsia"/>
          <w:rtl/>
          <w:lang w:val="fr-CH"/>
        </w:rPr>
        <w:t> </w:t>
      </w:r>
      <w:r w:rsidRPr="00FA0FC2">
        <w:rPr>
          <w:rFonts w:hint="cs"/>
          <w:rtl/>
          <w:lang w:val="fr-CH"/>
        </w:rPr>
        <w:t>سيما وأن أسر المعارضين السياسيين، وبخاصة العرب، تعاني بشكل</w:t>
      </w:r>
      <w:r>
        <w:rPr>
          <w:rFonts w:hint="cs"/>
          <w:rtl/>
          <w:lang w:val="fr-CH"/>
        </w:rPr>
        <w:t xml:space="preserve"> عام</w:t>
      </w:r>
      <w:r>
        <w:rPr>
          <w:rtl/>
          <w:lang w:val="fr-CH"/>
        </w:rPr>
        <w:t> </w:t>
      </w:r>
      <w:r w:rsidRPr="00FA0FC2">
        <w:rPr>
          <w:rFonts w:hint="cs"/>
          <w:rtl/>
          <w:lang w:val="fr-CH"/>
        </w:rPr>
        <w:t>من القمع والتمييز وسوء المعاملة. وبالإضافة إلى ذلك، شارك صاحب الشكوى في مظاهرة جرت</w:t>
      </w:r>
      <w:r>
        <w:rPr>
          <w:rFonts w:hint="cs"/>
          <w:rtl/>
          <w:lang w:val="fr-CH"/>
        </w:rPr>
        <w:t xml:space="preserve"> عام</w:t>
      </w:r>
      <w:r>
        <w:rPr>
          <w:rtl/>
          <w:lang w:val="fr-CH"/>
        </w:rPr>
        <w:t> </w:t>
      </w:r>
      <w:r w:rsidRPr="00FA0FC2">
        <w:rPr>
          <w:rFonts w:hint="cs"/>
          <w:rtl/>
          <w:lang w:val="fr-CH"/>
        </w:rPr>
        <w:t>2006 أمام سفارة إيران في برن حيث التُقطت بعض الصور. وهو معرض أيضاً للخطر لكونه غادر إيران بصورة غير قانونية. وأخيراً، ذكر صاحب الشكوى أنه نظراً إلى</w:t>
      </w:r>
      <w:r>
        <w:rPr>
          <w:rFonts w:hint="cs"/>
          <w:rtl/>
          <w:lang w:val="fr-CH"/>
        </w:rPr>
        <w:t xml:space="preserve"> ما</w:t>
      </w:r>
      <w:r>
        <w:rPr>
          <w:rtl/>
          <w:lang w:val="fr-CH"/>
        </w:rPr>
        <w:t> </w:t>
      </w:r>
      <w:r w:rsidRPr="00FA0FC2">
        <w:rPr>
          <w:rFonts w:hint="cs"/>
          <w:rtl/>
          <w:lang w:val="fr-CH"/>
        </w:rPr>
        <w:t>يعانيه من مشكلات صحية، من غير الجائز، منطقياً، تنفيذ أمر إعادته قسراً إلى إيران.</w:t>
      </w:r>
    </w:p>
    <w:p w:rsidR="00091373" w:rsidRPr="003F369C" w:rsidRDefault="00091373" w:rsidP="00091373">
      <w:pPr>
        <w:pStyle w:val="SingleTxtGA"/>
        <w:rPr>
          <w:rFonts w:hint="cs"/>
          <w:spacing w:val="-4"/>
          <w:rtl/>
          <w:lang w:val="fr-CH"/>
        </w:rPr>
      </w:pPr>
      <w:r w:rsidRPr="003F369C">
        <w:rPr>
          <w:rFonts w:hint="cs"/>
          <w:spacing w:val="-4"/>
          <w:rtl/>
          <w:lang w:val="fr-CH"/>
        </w:rPr>
        <w:t>4-2</w:t>
      </w:r>
      <w:r w:rsidRPr="003F369C">
        <w:rPr>
          <w:rFonts w:hint="cs"/>
          <w:spacing w:val="-4"/>
          <w:rtl/>
          <w:lang w:val="fr-CH"/>
        </w:rPr>
        <w:tab/>
        <w:t>وتذكّر الدولة الطرف بأن صاحب الشكوى دخل إلى سويسرا في 15 كانون الأول/ديسمبر 2005 وقدم فيها طلب لجوء. وفي</w:t>
      </w:r>
      <w:r w:rsidRPr="003F369C">
        <w:rPr>
          <w:spacing w:val="-4"/>
          <w:rtl/>
          <w:lang w:val="fr-CH"/>
        </w:rPr>
        <w:t> </w:t>
      </w:r>
      <w:r w:rsidRPr="003F369C">
        <w:rPr>
          <w:rFonts w:hint="cs"/>
          <w:spacing w:val="-4"/>
          <w:rtl/>
          <w:lang w:val="fr-CH"/>
        </w:rPr>
        <w:t>19 كانون الثاني/يناير 2006، رفض المكتب الاتحادي للهجرة طلبه وطلب إعادته إلى إيران. وأكّدت اللجنة السويسرية للطعون المتعلقة باللجوء (التي عُهِدَ باختصاصها إلى المحكمة الإدارية الاتحادية)، بموجب حكم صدر في</w:t>
      </w:r>
      <w:r w:rsidRPr="003F369C">
        <w:rPr>
          <w:rFonts w:hint="eastAsia"/>
          <w:spacing w:val="-4"/>
          <w:rtl/>
          <w:lang w:val="fr-CH"/>
        </w:rPr>
        <w:t> </w:t>
      </w:r>
      <w:r w:rsidRPr="003F369C">
        <w:rPr>
          <w:rFonts w:hint="cs"/>
          <w:spacing w:val="-4"/>
          <w:rtl/>
          <w:lang w:val="fr-CH"/>
        </w:rPr>
        <w:t>2 شباط/</w:t>
      </w:r>
      <w:r>
        <w:rPr>
          <w:rFonts w:hint="cs"/>
          <w:spacing w:val="-4"/>
          <w:rtl/>
          <w:lang w:val="fr-CH"/>
        </w:rPr>
        <w:t xml:space="preserve"> </w:t>
      </w:r>
      <w:r w:rsidRPr="003F369C">
        <w:rPr>
          <w:rFonts w:hint="cs"/>
          <w:spacing w:val="-4"/>
          <w:rtl/>
          <w:lang w:val="fr-CH"/>
        </w:rPr>
        <w:t>فبراير 2006، ذلك القرار. وفي</w:t>
      </w:r>
      <w:r w:rsidRPr="003F369C">
        <w:rPr>
          <w:spacing w:val="-4"/>
          <w:rtl/>
          <w:lang w:val="fr-CH"/>
        </w:rPr>
        <w:t> </w:t>
      </w:r>
      <w:r w:rsidRPr="003F369C">
        <w:rPr>
          <w:rFonts w:hint="cs"/>
          <w:spacing w:val="-4"/>
          <w:rtl/>
          <w:lang w:val="fr-CH"/>
        </w:rPr>
        <w:t>23 كانون الأول/ديسمبر 2009، قدم صاحب الشكوى طلب لجوء جديداً، فرفضه المكتب الاتحادي للهجرة في 26 شباط/فبراير</w:t>
      </w:r>
      <w:r w:rsidRPr="003F369C">
        <w:rPr>
          <w:rFonts w:hint="eastAsia"/>
          <w:spacing w:val="-4"/>
          <w:rtl/>
          <w:lang w:val="fr-CH"/>
        </w:rPr>
        <w:t> </w:t>
      </w:r>
      <w:r w:rsidRPr="003F369C">
        <w:rPr>
          <w:rFonts w:hint="cs"/>
          <w:spacing w:val="-4"/>
          <w:rtl/>
          <w:lang w:val="fr-CH"/>
        </w:rPr>
        <w:t>2010. ولم</w:t>
      </w:r>
      <w:r w:rsidRPr="003F369C">
        <w:rPr>
          <w:spacing w:val="-4"/>
          <w:rtl/>
          <w:lang w:val="fr-CH"/>
        </w:rPr>
        <w:t> </w:t>
      </w:r>
      <w:r w:rsidRPr="003F369C">
        <w:rPr>
          <w:rFonts w:hint="cs"/>
          <w:spacing w:val="-4"/>
          <w:rtl/>
          <w:lang w:val="fr-CH"/>
        </w:rPr>
        <w:t>يتقدم صاحب الشكوى باستئناف ضد هذا القرار. على أن صاحب الشكوى قدم في 1 حزيران/</w:t>
      </w:r>
      <w:r>
        <w:rPr>
          <w:rFonts w:hint="cs"/>
          <w:spacing w:val="-4"/>
          <w:rtl/>
          <w:lang w:val="fr-CH"/>
        </w:rPr>
        <w:t xml:space="preserve"> </w:t>
      </w:r>
      <w:r w:rsidRPr="003F369C">
        <w:rPr>
          <w:rFonts w:hint="cs"/>
          <w:spacing w:val="-4"/>
          <w:rtl/>
          <w:lang w:val="fr-CH"/>
        </w:rPr>
        <w:t>يونيه</w:t>
      </w:r>
      <w:r>
        <w:rPr>
          <w:rFonts w:hint="eastAsia"/>
          <w:spacing w:val="-4"/>
          <w:rtl/>
          <w:lang w:val="fr-CH"/>
        </w:rPr>
        <w:t> </w:t>
      </w:r>
      <w:r w:rsidRPr="003F369C">
        <w:rPr>
          <w:rFonts w:hint="cs"/>
          <w:spacing w:val="-4"/>
          <w:rtl/>
          <w:lang w:val="fr-CH"/>
        </w:rPr>
        <w:t>2010 طلباً لإعادة النظر في قضيته؛ وقد رفض المكتب الاتحادي للهجرة هذا الطلب في</w:t>
      </w:r>
      <w:r>
        <w:rPr>
          <w:rFonts w:hint="eastAsia"/>
          <w:spacing w:val="-4"/>
          <w:rtl/>
          <w:lang w:val="fr-CH"/>
        </w:rPr>
        <w:t> </w:t>
      </w:r>
      <w:r w:rsidRPr="003F369C">
        <w:rPr>
          <w:rFonts w:hint="cs"/>
          <w:spacing w:val="-4"/>
          <w:rtl/>
          <w:lang w:val="fr-CH"/>
        </w:rPr>
        <w:t>11 حزيران/يونيه 2010. وأكّدت المحكمة الإدارية الاتحادية هذا القرار بحكم صدر في 3 أيلول/سبتمبر 2010.</w:t>
      </w:r>
    </w:p>
    <w:p w:rsidR="00091373" w:rsidRPr="00DE4AC4" w:rsidRDefault="00091373" w:rsidP="00DE4AC4">
      <w:pPr>
        <w:pStyle w:val="SingleTxtGA"/>
        <w:rPr>
          <w:rFonts w:hint="cs"/>
          <w:rtl/>
          <w:lang w:val="fr-CH"/>
        </w:rPr>
      </w:pPr>
      <w:r w:rsidRPr="00DE4AC4">
        <w:rPr>
          <w:rFonts w:hint="cs"/>
          <w:rtl/>
          <w:lang w:val="fr-CH"/>
        </w:rPr>
        <w:t>4-3</w:t>
      </w:r>
      <w:r w:rsidRPr="00DE4AC4">
        <w:rPr>
          <w:rFonts w:hint="cs"/>
          <w:rtl/>
          <w:lang w:val="fr-CH"/>
        </w:rPr>
        <w:tab/>
        <w:t>وتلاحظ الدولة الطرف، في بلاغها، أن صاحب الشكوى يدعي أن المحكمة الإدارية الاتحادية، في حكمها الصادر في 3 أيلول/سبتمبر 2010، لم</w:t>
      </w:r>
      <w:r w:rsidRPr="00DE4AC4">
        <w:rPr>
          <w:rtl/>
          <w:lang w:val="fr-CH"/>
        </w:rPr>
        <w:t> </w:t>
      </w:r>
      <w:r w:rsidRPr="00DE4AC4">
        <w:rPr>
          <w:rFonts w:hint="cs"/>
          <w:rtl/>
          <w:lang w:val="fr-CH"/>
        </w:rPr>
        <w:t>تقتنع بادعاءاته المتعلقة بالتعذيب</w:t>
      </w:r>
      <w:r w:rsidR="00DE4AC4">
        <w:rPr>
          <w:rFonts w:hint="eastAsia"/>
          <w:rtl/>
          <w:lang w:val="fr-CH"/>
        </w:rPr>
        <w:t> </w:t>
      </w:r>
      <w:r w:rsidRPr="00DE4AC4">
        <w:rPr>
          <w:rFonts w:hint="cs"/>
          <w:rtl/>
          <w:lang w:val="fr-CH"/>
        </w:rPr>
        <w:t>في حال إعادته إلى إيران، واقتصرت في نظرها على الجوانب الطبية التي ذكرها صاحب الشكوى. وتلاحظ الدولة الطرف أن الحجج التي تقدم بها صاحب الشكوى فيما</w:t>
      </w:r>
      <w:r w:rsidRPr="00DE4AC4">
        <w:rPr>
          <w:rtl/>
          <w:lang w:val="fr-CH"/>
        </w:rPr>
        <w:t> </w:t>
      </w:r>
      <w:r w:rsidRPr="00DE4AC4">
        <w:rPr>
          <w:rFonts w:hint="cs"/>
          <w:rtl/>
          <w:lang w:val="fr-CH"/>
        </w:rPr>
        <w:t>يتعلق بخطر اضطهاده في إيران قد نظرت فيها السلطات المختصة بطريقة متعمقة عندما عُرضت القضية ثلاث مرات على المكتب الاتحادي للهجرة، ورأت أن البلاغ الحالي لا</w:t>
      </w:r>
      <w:r w:rsidRPr="00DE4AC4">
        <w:rPr>
          <w:rtl/>
          <w:lang w:val="fr-CH"/>
        </w:rPr>
        <w:t> </w:t>
      </w:r>
      <w:r w:rsidRPr="00DE4AC4">
        <w:rPr>
          <w:rFonts w:hint="cs"/>
          <w:rtl/>
          <w:lang w:val="fr-CH"/>
        </w:rPr>
        <w:t>يتضمن أي عنصر جديد يمكن أن يغير قرارات المكتب الاتحادي للهجرة الصادرة في 19 كانون الثاني/ يناير</w:t>
      </w:r>
      <w:r w:rsidRPr="00DE4AC4">
        <w:rPr>
          <w:rFonts w:hint="eastAsia"/>
          <w:rtl/>
          <w:lang w:val="fr-CH"/>
        </w:rPr>
        <w:t> </w:t>
      </w:r>
      <w:r w:rsidRPr="00DE4AC4">
        <w:rPr>
          <w:rFonts w:hint="cs"/>
          <w:rtl/>
          <w:lang w:val="fr-CH"/>
        </w:rPr>
        <w:t>2006، و26 شباط/فبراير و11 حزيران/يونيه 2010، ولا</w:t>
      </w:r>
      <w:r w:rsidRPr="00DE4AC4">
        <w:rPr>
          <w:rtl/>
          <w:lang w:val="fr-CH"/>
        </w:rPr>
        <w:t> </w:t>
      </w:r>
      <w:r w:rsidRPr="00DE4AC4">
        <w:rPr>
          <w:rFonts w:hint="cs"/>
          <w:rtl/>
          <w:lang w:val="fr-CH"/>
        </w:rPr>
        <w:t>قرارات السلطة الأعلى الصادرة في 2 شباط/فبراير 2006 و3 أيلول/سبتمبر 2010 التي أكّدت استنتاجات المكتب الاتحادي للهجرة.</w:t>
      </w:r>
    </w:p>
    <w:p w:rsidR="00091373" w:rsidRPr="00FA0FC2" w:rsidRDefault="00091373" w:rsidP="00091373">
      <w:pPr>
        <w:pStyle w:val="SingleTxtGA"/>
        <w:rPr>
          <w:rFonts w:hint="cs"/>
          <w:rtl/>
          <w:lang w:val="fr-CH"/>
        </w:rPr>
      </w:pPr>
      <w:r w:rsidRPr="00FA0FC2">
        <w:rPr>
          <w:rFonts w:hint="cs"/>
          <w:rtl/>
          <w:lang w:val="fr-CH"/>
        </w:rPr>
        <w:t>4-4</w:t>
      </w:r>
      <w:r w:rsidRPr="00FA0FC2">
        <w:rPr>
          <w:rFonts w:hint="cs"/>
          <w:rtl/>
          <w:lang w:val="fr-CH"/>
        </w:rPr>
        <w:tab/>
        <w:t>وتذكر الدولة الطرف أن المكتب الاتحادي للهجرة قد خلص، في قراره الأول، إلى استبعاد التعرّض للاضطهاد بسبب شقيق يُزعم بأنه ملتزم سياسياً، وأن المحكمة الإدارية الاتحادية أكدت هذا الاستنتاج في حكمها الصادر في 2 شباط/فبراير 2006. ورأى المكتب الاتحادي للهجرة، في قراره الثاني الصادر في 26 شباط/فبراير 2010، أن الأسباب الشخصية التي ذكرها صاحب الشكوى - النشاط السياسي في سويسرا -</w:t>
      </w:r>
      <w:r>
        <w:rPr>
          <w:rFonts w:hint="cs"/>
          <w:rtl/>
          <w:lang w:val="fr-CH"/>
        </w:rPr>
        <w:t xml:space="preserve"> لا</w:t>
      </w:r>
      <w:r>
        <w:rPr>
          <w:rtl/>
          <w:lang w:val="fr-CH"/>
        </w:rPr>
        <w:t> </w:t>
      </w:r>
      <w:r w:rsidRPr="00FA0FC2">
        <w:rPr>
          <w:rFonts w:hint="cs"/>
          <w:rtl/>
          <w:lang w:val="fr-CH"/>
        </w:rPr>
        <w:t>يمكن اعتبارها أسباباً وجيهة تستلزم الاعتراف بوضع اللاجئ.</w:t>
      </w:r>
      <w:r>
        <w:rPr>
          <w:rFonts w:hint="cs"/>
          <w:rtl/>
          <w:lang w:val="fr-CH"/>
        </w:rPr>
        <w:t xml:space="preserve"> وفي</w:t>
      </w:r>
      <w:r>
        <w:rPr>
          <w:rtl/>
          <w:lang w:val="fr-CH"/>
        </w:rPr>
        <w:t> </w:t>
      </w:r>
      <w:r w:rsidRPr="00FA0FC2">
        <w:rPr>
          <w:rFonts w:hint="cs"/>
          <w:rtl/>
          <w:lang w:val="fr-CH"/>
        </w:rPr>
        <w:t>الوقت ذاته، أكد المكتب الاتحادي للهجرة أن الإشارة العامة إلى الحالة التي يمكن أن يتعرّض لها الرعايا العرب الإيرانيون،</w:t>
      </w:r>
      <w:r>
        <w:rPr>
          <w:rFonts w:hint="cs"/>
          <w:rtl/>
          <w:lang w:val="fr-CH"/>
        </w:rPr>
        <w:t xml:space="preserve"> ولا</w:t>
      </w:r>
      <w:r>
        <w:rPr>
          <w:rtl/>
          <w:lang w:val="fr-CH"/>
        </w:rPr>
        <w:t> </w:t>
      </w:r>
      <w:r w:rsidRPr="00FA0FC2">
        <w:rPr>
          <w:rFonts w:hint="cs"/>
          <w:rtl/>
          <w:lang w:val="fr-CH"/>
        </w:rPr>
        <w:t>سيما عشائر</w:t>
      </w:r>
      <w:r>
        <w:rPr>
          <w:rFonts w:hint="cs"/>
          <w:rtl/>
          <w:lang w:val="fr-CH"/>
        </w:rPr>
        <w:t xml:space="preserve"> أو</w:t>
      </w:r>
      <w:r>
        <w:rPr>
          <w:rtl/>
          <w:lang w:val="fr-CH"/>
        </w:rPr>
        <w:t> </w:t>
      </w:r>
      <w:r w:rsidRPr="00FA0FC2">
        <w:rPr>
          <w:rFonts w:hint="cs"/>
          <w:rtl/>
          <w:lang w:val="fr-CH"/>
        </w:rPr>
        <w:t>أُسر معيّنة، ليست كافية للخلوص إلى وجود اضطهاد شخصي لصاحب الشكوى. ولتبرير عدم الطعن في هذا القرار، أشار صاحب الشكوى إلى عبء العمل المفرط الواقع على وكيله. ولكن، تقصير الوكيل</w:t>
      </w:r>
      <w:r>
        <w:rPr>
          <w:rFonts w:hint="cs"/>
          <w:rtl/>
          <w:lang w:val="fr-CH"/>
        </w:rPr>
        <w:t xml:space="preserve"> لا</w:t>
      </w:r>
      <w:r>
        <w:rPr>
          <w:rtl/>
          <w:lang w:val="fr-CH"/>
        </w:rPr>
        <w:t> </w:t>
      </w:r>
      <w:r w:rsidRPr="00FA0FC2">
        <w:rPr>
          <w:rFonts w:hint="cs"/>
          <w:rtl/>
          <w:lang w:val="fr-CH"/>
        </w:rPr>
        <w:t>يمكن أن يُنسب إلى الدولة الطرف</w:t>
      </w:r>
      <w:r w:rsidRPr="00FA0FC2">
        <w:rPr>
          <w:spacing w:val="-4"/>
          <w:vertAlign w:val="superscript"/>
          <w:rtl/>
          <w:lang w:val="fr-CH"/>
        </w:rPr>
        <w:t>(</w:t>
      </w:r>
      <w:r w:rsidRPr="00FA0FC2">
        <w:rPr>
          <w:rFonts w:hint="cs"/>
          <w:spacing w:val="-4"/>
          <w:sz w:val="30"/>
          <w:vertAlign w:val="superscript"/>
          <w:rtl/>
          <w:lang w:val="es-ES"/>
        </w:rPr>
        <w:t>ﻫ</w:t>
      </w:r>
      <w:r w:rsidRPr="004F40B8">
        <w:rPr>
          <w:rStyle w:val="FootnoteReference"/>
          <w:color w:val="FFFFFF"/>
          <w:spacing w:val="-10"/>
          <w:sz w:val="2"/>
          <w:szCs w:val="2"/>
          <w:rtl/>
          <w:lang w:val="fr-CH"/>
        </w:rPr>
        <w:footnoteReference w:id="229"/>
      </w:r>
      <w:r w:rsidRPr="00FA0FC2">
        <w:rPr>
          <w:spacing w:val="-4"/>
          <w:vertAlign w:val="superscript"/>
          <w:rtl/>
          <w:lang w:val="fr-CH"/>
        </w:rPr>
        <w:t>)</w:t>
      </w:r>
      <w:r w:rsidRPr="00FA0FC2">
        <w:rPr>
          <w:rFonts w:hint="cs"/>
          <w:rtl/>
          <w:lang w:val="fr-CH"/>
        </w:rPr>
        <w:t>. مثلما أوضحت اللجنة في أحكامها السابقة. وعلاوة على ذلك،</w:t>
      </w:r>
      <w:r>
        <w:rPr>
          <w:rFonts w:hint="cs"/>
          <w:rtl/>
          <w:lang w:val="fr-CH"/>
        </w:rPr>
        <w:t xml:space="preserve"> لم</w:t>
      </w:r>
      <w:r>
        <w:rPr>
          <w:rtl/>
          <w:lang w:val="fr-CH"/>
        </w:rPr>
        <w:t> </w:t>
      </w:r>
      <w:r w:rsidRPr="00FA0FC2">
        <w:rPr>
          <w:rFonts w:hint="cs"/>
          <w:rtl/>
          <w:lang w:val="fr-CH"/>
        </w:rPr>
        <w:t>يوضّح صاحب الشكوى لماذا</w:t>
      </w:r>
      <w:r>
        <w:rPr>
          <w:rFonts w:hint="cs"/>
          <w:rtl/>
          <w:lang w:val="fr-CH"/>
        </w:rPr>
        <w:t xml:space="preserve"> لم</w:t>
      </w:r>
      <w:r>
        <w:rPr>
          <w:rtl/>
          <w:lang w:val="fr-CH"/>
        </w:rPr>
        <w:t> </w:t>
      </w:r>
      <w:r w:rsidRPr="00FA0FC2">
        <w:rPr>
          <w:rFonts w:hint="cs"/>
          <w:rtl/>
          <w:lang w:val="fr-CH"/>
        </w:rPr>
        <w:t xml:space="preserve">يعهد بقضيته إلى إحدى المنظمات العديدة التي تدافع عن مصالح طالبي اللجوء في سويسرا. </w:t>
      </w:r>
    </w:p>
    <w:p w:rsidR="00091373" w:rsidRPr="00FA0FC2" w:rsidRDefault="00091373" w:rsidP="00091373">
      <w:pPr>
        <w:pStyle w:val="SingleTxtGA"/>
        <w:rPr>
          <w:rFonts w:hint="cs"/>
          <w:rtl/>
          <w:lang w:val="fr-CH"/>
        </w:rPr>
      </w:pPr>
      <w:r w:rsidRPr="00FA0FC2">
        <w:rPr>
          <w:rFonts w:hint="cs"/>
          <w:rtl/>
          <w:lang w:val="fr-CH"/>
        </w:rPr>
        <w:t>4-5</w:t>
      </w:r>
      <w:r w:rsidRPr="00FA0FC2">
        <w:rPr>
          <w:rFonts w:hint="cs"/>
          <w:rtl/>
          <w:lang w:val="fr-CH"/>
        </w:rPr>
        <w:tab/>
        <w:t xml:space="preserve">وتذكر الدولة الطرف بعد ذلك أن المكتب الاتحادي للهجرة أوضح، في قراره الثالث الصادر في 11 حزيران/يونيه 2010، أن الأسباب المرتبطة بالنشاط السياسي لأحد أشقاء صاحب </w:t>
      </w:r>
      <w:r>
        <w:rPr>
          <w:rFonts w:hint="cs"/>
          <w:rtl/>
          <w:lang w:val="fr-CH"/>
        </w:rPr>
        <w:t>الشكوى</w:t>
      </w:r>
      <w:r w:rsidRPr="00FA0FC2">
        <w:rPr>
          <w:rFonts w:hint="cs"/>
          <w:rtl/>
          <w:lang w:val="fr-CH"/>
        </w:rPr>
        <w:t>، وبانتمائه إلى الإثنية العربية وأنشطته في سويسرا، قد تم النظر فيها في إطار الإجراءات العادية.</w:t>
      </w:r>
      <w:r>
        <w:rPr>
          <w:rFonts w:hint="cs"/>
          <w:rtl/>
          <w:lang w:val="fr-CH"/>
        </w:rPr>
        <w:t xml:space="preserve"> أما</w:t>
      </w:r>
      <w:r>
        <w:rPr>
          <w:rtl/>
          <w:lang w:val="fr-CH"/>
        </w:rPr>
        <w:t> </w:t>
      </w:r>
      <w:r w:rsidRPr="00FA0FC2">
        <w:rPr>
          <w:rFonts w:hint="cs"/>
          <w:rtl/>
          <w:lang w:val="fr-CH"/>
        </w:rPr>
        <w:t xml:space="preserve">المشكلات الطبية التي ذكرها (إدمان عدة </w:t>
      </w:r>
      <w:r>
        <w:rPr>
          <w:rFonts w:hint="cs"/>
          <w:rtl/>
          <w:lang w:val="fr-CH"/>
        </w:rPr>
        <w:t>مخدرات، والتهاب الكبد الم</w:t>
      </w:r>
      <w:r w:rsidRPr="00FA0FC2">
        <w:rPr>
          <w:rFonts w:hint="cs"/>
          <w:rtl/>
          <w:lang w:val="fr-CH"/>
        </w:rPr>
        <w:t>زمن)، فقد رُئي أنه تم الادعاء بها في وقت متأخر.</w:t>
      </w:r>
    </w:p>
    <w:p w:rsidR="00091373" w:rsidRPr="00FA0FC2" w:rsidRDefault="00091373" w:rsidP="00091373">
      <w:pPr>
        <w:pStyle w:val="SingleTxtGA"/>
        <w:rPr>
          <w:rFonts w:hint="cs"/>
          <w:rtl/>
          <w:lang w:val="fr-CH"/>
        </w:rPr>
      </w:pPr>
      <w:r w:rsidRPr="00FA0FC2">
        <w:rPr>
          <w:rFonts w:hint="cs"/>
          <w:rtl/>
          <w:lang w:val="fr-CH"/>
        </w:rPr>
        <w:t>4-6</w:t>
      </w:r>
      <w:r w:rsidRPr="00FA0FC2">
        <w:rPr>
          <w:rFonts w:hint="cs"/>
          <w:rtl/>
          <w:lang w:val="fr-CH"/>
        </w:rPr>
        <w:tab/>
        <w:t>وفي ضوء الاعتبارات السابقة، فإن الدولة الطرف ترفض الادعاء القائل إن السلطات المختصة</w:t>
      </w:r>
      <w:r>
        <w:rPr>
          <w:rFonts w:hint="cs"/>
          <w:rtl/>
          <w:lang w:val="fr-CH"/>
        </w:rPr>
        <w:t xml:space="preserve"> لم</w:t>
      </w:r>
      <w:r>
        <w:rPr>
          <w:rtl/>
          <w:lang w:val="fr-CH"/>
        </w:rPr>
        <w:t> </w:t>
      </w:r>
      <w:r w:rsidRPr="00FA0FC2">
        <w:rPr>
          <w:rFonts w:hint="cs"/>
          <w:rtl/>
          <w:lang w:val="fr-CH"/>
        </w:rPr>
        <w:t>تنظر في أساس مسألة معرفة</w:t>
      </w:r>
      <w:r>
        <w:rPr>
          <w:rFonts w:hint="cs"/>
          <w:rtl/>
          <w:lang w:val="fr-CH"/>
        </w:rPr>
        <w:t xml:space="preserve"> ما</w:t>
      </w:r>
      <w:r>
        <w:rPr>
          <w:rtl/>
          <w:lang w:val="fr-CH"/>
        </w:rPr>
        <w:t> </w:t>
      </w:r>
      <w:r w:rsidRPr="00FA0FC2">
        <w:rPr>
          <w:rFonts w:hint="cs"/>
          <w:rtl/>
          <w:lang w:val="fr-CH"/>
        </w:rPr>
        <w:t>إذا كان صاحب الشكوى يمكن أن يتعرّض لاضطهادات في إيران.</w:t>
      </w:r>
    </w:p>
    <w:p w:rsidR="00091373" w:rsidRPr="007279DC" w:rsidRDefault="00091373" w:rsidP="00091373">
      <w:pPr>
        <w:pStyle w:val="SingleTxtGA"/>
        <w:rPr>
          <w:rFonts w:hint="cs"/>
          <w:spacing w:val="-2"/>
          <w:rtl/>
          <w:lang w:val="fr-CH"/>
        </w:rPr>
      </w:pPr>
      <w:r w:rsidRPr="007279DC">
        <w:rPr>
          <w:rFonts w:hint="cs"/>
          <w:spacing w:val="-2"/>
          <w:rtl/>
          <w:lang w:val="fr-CH"/>
        </w:rPr>
        <w:t>4-7</w:t>
      </w:r>
      <w:r w:rsidRPr="007279DC">
        <w:rPr>
          <w:rFonts w:hint="cs"/>
          <w:spacing w:val="-2"/>
          <w:rtl/>
          <w:lang w:val="fr-CH"/>
        </w:rPr>
        <w:tab/>
        <w:t>وفيما يتعلق بالمشكلات الصحية التي ذكرها صاحب الشكوى، ترى الدولة الطرف أنها لا</w:t>
      </w:r>
      <w:r w:rsidRPr="007279DC">
        <w:rPr>
          <w:spacing w:val="-2"/>
          <w:rtl/>
          <w:lang w:val="fr-CH"/>
        </w:rPr>
        <w:t> </w:t>
      </w:r>
      <w:r w:rsidRPr="007279DC">
        <w:rPr>
          <w:rFonts w:hint="cs"/>
          <w:spacing w:val="-2"/>
          <w:rtl/>
          <w:lang w:val="fr-CH"/>
        </w:rPr>
        <w:t>تتسم بدرجة من الخطورة تجعل من غير المشروع إعادته إلى إيران. وإن هذه المشكلات، أو</w:t>
      </w:r>
      <w:r w:rsidRPr="007279DC">
        <w:rPr>
          <w:spacing w:val="-2"/>
          <w:rtl/>
          <w:lang w:val="fr-CH"/>
        </w:rPr>
        <w:t> </w:t>
      </w:r>
      <w:r w:rsidRPr="007279DC">
        <w:rPr>
          <w:rFonts w:hint="cs"/>
          <w:spacing w:val="-2"/>
          <w:rtl/>
          <w:lang w:val="fr-CH"/>
        </w:rPr>
        <w:t>التقرير الطبي الذي يهدف إلى إثباتها، لا</w:t>
      </w:r>
      <w:r w:rsidRPr="007279DC">
        <w:rPr>
          <w:spacing w:val="-2"/>
          <w:rtl/>
          <w:lang w:val="fr-CH"/>
        </w:rPr>
        <w:t> </w:t>
      </w:r>
      <w:r w:rsidRPr="007279DC">
        <w:rPr>
          <w:rFonts w:hint="cs"/>
          <w:spacing w:val="-2"/>
          <w:rtl/>
          <w:lang w:val="fr-CH"/>
        </w:rPr>
        <w:t>تتصف بأي طابع من الجدية لأنها كان يمكن ويجب، حسب الدولة الطرف، التذرع بها قبل تقديم طلب مراجعة قضية صاحب الشكوى في عام</w:t>
      </w:r>
      <w:r w:rsidRPr="007279DC">
        <w:rPr>
          <w:spacing w:val="-2"/>
          <w:rtl/>
          <w:lang w:val="fr-CH"/>
        </w:rPr>
        <w:t> </w:t>
      </w:r>
      <w:r w:rsidRPr="007279DC">
        <w:rPr>
          <w:rFonts w:hint="cs"/>
          <w:spacing w:val="-2"/>
          <w:rtl/>
          <w:lang w:val="fr-CH"/>
        </w:rPr>
        <w:t>2010، ما</w:t>
      </w:r>
      <w:r w:rsidRPr="007279DC">
        <w:rPr>
          <w:spacing w:val="-2"/>
          <w:rtl/>
          <w:lang w:val="fr-CH"/>
        </w:rPr>
        <w:t> </w:t>
      </w:r>
      <w:r w:rsidRPr="007279DC">
        <w:rPr>
          <w:rFonts w:hint="cs"/>
          <w:spacing w:val="-2"/>
          <w:rtl/>
          <w:lang w:val="fr-CH"/>
        </w:rPr>
        <w:t>دام صاحب الشكوى يعانيها منذ عام</w:t>
      </w:r>
      <w:r w:rsidRPr="007279DC">
        <w:rPr>
          <w:spacing w:val="-2"/>
          <w:rtl/>
          <w:lang w:val="fr-CH"/>
        </w:rPr>
        <w:t> </w:t>
      </w:r>
      <w:r w:rsidRPr="007279DC">
        <w:rPr>
          <w:rFonts w:hint="cs"/>
          <w:spacing w:val="-2"/>
          <w:rtl/>
          <w:lang w:val="fr-CH"/>
        </w:rPr>
        <w:t>2008. وتذكّر الدولة الطرف بممارسة اللجنة ومفادها أن تفاقم الحالة البدنية أو</w:t>
      </w:r>
      <w:r w:rsidRPr="007279DC">
        <w:rPr>
          <w:spacing w:val="-2"/>
          <w:rtl/>
          <w:lang w:val="fr-CH"/>
        </w:rPr>
        <w:t> </w:t>
      </w:r>
      <w:r w:rsidRPr="007279DC">
        <w:rPr>
          <w:rFonts w:hint="cs"/>
          <w:spacing w:val="-2"/>
          <w:rtl/>
          <w:lang w:val="fr-CH"/>
        </w:rPr>
        <w:t>العقلية لطالب اللجوء بسبب الطرد لا</w:t>
      </w:r>
      <w:r w:rsidRPr="007279DC">
        <w:rPr>
          <w:spacing w:val="-2"/>
          <w:rtl/>
          <w:lang w:val="fr-CH"/>
        </w:rPr>
        <w:t> </w:t>
      </w:r>
      <w:r w:rsidRPr="007279DC">
        <w:rPr>
          <w:rFonts w:hint="cs"/>
          <w:spacing w:val="-2"/>
          <w:rtl/>
          <w:lang w:val="fr-CH"/>
        </w:rPr>
        <w:t>يكفي بوجه عام، ليشكّل، في حال عدم وجود عوامل أخرى، معاملة مهينة مخالفة للاتفاقية</w:t>
      </w:r>
      <w:r w:rsidRPr="007279DC">
        <w:rPr>
          <w:spacing w:val="-2"/>
          <w:vertAlign w:val="superscript"/>
          <w:rtl/>
          <w:lang w:val="fr-CH"/>
        </w:rPr>
        <w:t>(</w:t>
      </w:r>
      <w:r w:rsidRPr="007279DC">
        <w:rPr>
          <w:rStyle w:val="FootnoteReference"/>
          <w:spacing w:val="-2"/>
          <w:rtl/>
          <w:lang w:val="fr-CH"/>
        </w:rPr>
        <w:footnoteReference w:id="230"/>
      </w:r>
      <w:r w:rsidRPr="007279DC">
        <w:rPr>
          <w:spacing w:val="-2"/>
          <w:vertAlign w:val="superscript"/>
          <w:rtl/>
          <w:lang w:val="fr-CH"/>
        </w:rPr>
        <w:t>)</w:t>
      </w:r>
      <w:r w:rsidRPr="007279DC">
        <w:rPr>
          <w:rFonts w:hint="cs"/>
          <w:spacing w:val="-2"/>
          <w:rtl/>
          <w:lang w:val="fr-CH"/>
        </w:rPr>
        <w:t>.</w:t>
      </w:r>
    </w:p>
    <w:p w:rsidR="00091373" w:rsidRPr="00FA0FC2" w:rsidRDefault="00091373" w:rsidP="00091373">
      <w:pPr>
        <w:pStyle w:val="SingleTxtGA"/>
        <w:rPr>
          <w:rFonts w:hint="cs"/>
          <w:rtl/>
          <w:lang w:val="fr-CH"/>
        </w:rPr>
      </w:pPr>
      <w:r w:rsidRPr="00FA0FC2">
        <w:rPr>
          <w:rFonts w:hint="cs"/>
          <w:rtl/>
          <w:lang w:val="fr-CH"/>
        </w:rPr>
        <w:t>4-8</w:t>
      </w:r>
      <w:r w:rsidRPr="00FA0FC2">
        <w:rPr>
          <w:rFonts w:hint="cs"/>
          <w:rtl/>
          <w:lang w:val="fr-CH"/>
        </w:rPr>
        <w:tab/>
        <w:t>وتنتقل الدولة الطرف بعد ذلك إلى النظر في البلاغ من زاوية ال</w:t>
      </w:r>
      <w:r>
        <w:rPr>
          <w:rFonts w:hint="cs"/>
          <w:rtl/>
          <w:lang w:val="fr-CH"/>
        </w:rPr>
        <w:t>مادة</w:t>
      </w:r>
      <w:r>
        <w:rPr>
          <w:rtl/>
          <w:lang w:val="fr-CH"/>
        </w:rPr>
        <w:t> </w:t>
      </w:r>
      <w:r w:rsidRPr="00FA0FC2">
        <w:rPr>
          <w:rFonts w:hint="cs"/>
          <w:rtl/>
          <w:lang w:val="fr-CH"/>
        </w:rPr>
        <w:t>3 من الاتفاقية. وتذكّر، في هذا الشأن، بأنه</w:t>
      </w:r>
      <w:r>
        <w:rPr>
          <w:rFonts w:hint="cs"/>
          <w:rtl/>
          <w:lang w:val="fr-CH"/>
        </w:rPr>
        <w:t xml:space="preserve"> لا</w:t>
      </w:r>
      <w:r>
        <w:rPr>
          <w:rtl/>
          <w:lang w:val="fr-CH"/>
        </w:rPr>
        <w:t> </w:t>
      </w:r>
      <w:r w:rsidRPr="00FA0FC2">
        <w:rPr>
          <w:rFonts w:hint="cs"/>
          <w:rtl/>
          <w:lang w:val="fr-CH"/>
        </w:rPr>
        <w:t>يمكن لأية دولة طرف أن تطرد</w:t>
      </w:r>
      <w:r>
        <w:rPr>
          <w:rFonts w:hint="cs"/>
          <w:rtl/>
          <w:lang w:val="fr-CH"/>
        </w:rPr>
        <w:t xml:space="preserve"> أو</w:t>
      </w:r>
      <w:r>
        <w:rPr>
          <w:rtl/>
          <w:lang w:val="fr-CH"/>
        </w:rPr>
        <w:t> </w:t>
      </w:r>
      <w:r w:rsidRPr="00FA0FC2">
        <w:rPr>
          <w:rFonts w:hint="cs"/>
          <w:rtl/>
          <w:lang w:val="fr-CH"/>
        </w:rPr>
        <w:t>تُعيد قسراً</w:t>
      </w:r>
      <w:r>
        <w:rPr>
          <w:rFonts w:hint="cs"/>
          <w:rtl/>
          <w:lang w:val="fr-CH"/>
        </w:rPr>
        <w:t xml:space="preserve"> أو</w:t>
      </w:r>
      <w:r>
        <w:rPr>
          <w:rtl/>
          <w:lang w:val="fr-CH"/>
        </w:rPr>
        <w:t> </w:t>
      </w:r>
      <w:r w:rsidRPr="00FA0FC2">
        <w:rPr>
          <w:rFonts w:hint="cs"/>
          <w:rtl/>
          <w:lang w:val="fr-CH"/>
        </w:rPr>
        <w:t>تُسلّم شخصاً إلى دولة توجد أسباب جدية للاعتقاد بأنه يمكن أن يتعرّض فيها للتعذيب؛ ولتحديد</w:t>
      </w:r>
      <w:r>
        <w:rPr>
          <w:rFonts w:hint="cs"/>
          <w:rtl/>
          <w:lang w:val="fr-CH"/>
        </w:rPr>
        <w:t xml:space="preserve"> ما</w:t>
      </w:r>
      <w:r>
        <w:rPr>
          <w:rtl/>
          <w:lang w:val="fr-CH"/>
        </w:rPr>
        <w:t> </w:t>
      </w:r>
      <w:r w:rsidRPr="00FA0FC2">
        <w:rPr>
          <w:rFonts w:hint="cs"/>
          <w:rtl/>
          <w:lang w:val="fr-CH"/>
        </w:rPr>
        <w:t>إذا كان يوجد مثل هذه الأسباب، تأخذ السلطات المختصة في الحسبان جميع الاعتبارات ذات الصلة،</w:t>
      </w:r>
      <w:r>
        <w:rPr>
          <w:rFonts w:hint="cs"/>
          <w:rtl/>
          <w:lang w:val="fr-CH"/>
        </w:rPr>
        <w:t xml:space="preserve"> بما</w:t>
      </w:r>
      <w:r>
        <w:rPr>
          <w:rtl/>
          <w:lang w:val="fr-CH"/>
        </w:rPr>
        <w:t> </w:t>
      </w:r>
      <w:r w:rsidRPr="00FA0FC2">
        <w:rPr>
          <w:rFonts w:hint="cs"/>
          <w:rtl/>
          <w:lang w:val="fr-CH"/>
        </w:rPr>
        <w:t>فيها، عند الاقتضاء، وجود مجموعة من الانتهاكات المنهجية الجسيمة</w:t>
      </w:r>
      <w:r>
        <w:rPr>
          <w:rFonts w:hint="cs"/>
          <w:rtl/>
          <w:lang w:val="fr-CH"/>
        </w:rPr>
        <w:t xml:space="preserve"> أو</w:t>
      </w:r>
      <w:r>
        <w:rPr>
          <w:rtl/>
          <w:lang w:val="fr-CH"/>
        </w:rPr>
        <w:t> </w:t>
      </w:r>
      <w:r w:rsidRPr="00FA0FC2">
        <w:rPr>
          <w:rFonts w:hint="cs"/>
          <w:rtl/>
          <w:lang w:val="fr-CH"/>
        </w:rPr>
        <w:t>الصارخة</w:t>
      </w:r>
      <w:r>
        <w:rPr>
          <w:rFonts w:hint="cs"/>
          <w:rtl/>
          <w:lang w:val="fr-CH"/>
        </w:rPr>
        <w:t xml:space="preserve"> أو</w:t>
      </w:r>
      <w:r>
        <w:rPr>
          <w:rtl/>
          <w:lang w:val="fr-CH"/>
        </w:rPr>
        <w:t> </w:t>
      </w:r>
      <w:r w:rsidRPr="00FA0FC2">
        <w:rPr>
          <w:rFonts w:hint="cs"/>
          <w:rtl/>
          <w:lang w:val="fr-CH"/>
        </w:rPr>
        <w:t>الجماعية لحقوق الإنسان في الدولة المعنية. وقد أوضحت اللجنة عناصر ال</w:t>
      </w:r>
      <w:r>
        <w:rPr>
          <w:rFonts w:hint="cs"/>
          <w:rtl/>
          <w:lang w:val="fr-CH"/>
        </w:rPr>
        <w:t>مادة</w:t>
      </w:r>
      <w:r>
        <w:rPr>
          <w:rtl/>
          <w:lang w:val="fr-CH"/>
        </w:rPr>
        <w:t> </w:t>
      </w:r>
      <w:r w:rsidRPr="00FA0FC2">
        <w:rPr>
          <w:rFonts w:hint="cs"/>
          <w:rtl/>
          <w:lang w:val="fr-CH"/>
        </w:rPr>
        <w:t>3 في قراراتها السابقة</w:t>
      </w:r>
      <w:r>
        <w:rPr>
          <w:rFonts w:hint="cs"/>
          <w:rtl/>
          <w:lang w:val="fr-CH"/>
        </w:rPr>
        <w:t xml:space="preserve"> وفي</w:t>
      </w:r>
      <w:r>
        <w:rPr>
          <w:rtl/>
          <w:lang w:val="fr-CH"/>
        </w:rPr>
        <w:t> </w:t>
      </w:r>
      <w:r w:rsidRPr="00FA0FC2">
        <w:rPr>
          <w:rFonts w:hint="cs"/>
          <w:rtl/>
          <w:lang w:val="fr-CH"/>
        </w:rPr>
        <w:t>تعليقها العام رقم 1(1997)</w:t>
      </w:r>
      <w:r w:rsidRPr="00FA0FC2">
        <w:rPr>
          <w:spacing w:val="-4"/>
          <w:vertAlign w:val="superscript"/>
          <w:rtl/>
          <w:lang w:val="fr-CH"/>
        </w:rPr>
        <w:t>(</w:t>
      </w:r>
      <w:r w:rsidRPr="00FA0FC2">
        <w:rPr>
          <w:rStyle w:val="FootnoteReference"/>
          <w:spacing w:val="-4"/>
          <w:rtl/>
          <w:lang w:val="fr-CH"/>
        </w:rPr>
        <w:footnoteReference w:id="231"/>
      </w:r>
      <w:r w:rsidRPr="00FA0FC2">
        <w:rPr>
          <w:spacing w:val="-4"/>
          <w:vertAlign w:val="superscript"/>
          <w:rtl/>
          <w:lang w:val="fr-CH"/>
        </w:rPr>
        <w:t>)</w:t>
      </w:r>
      <w:r w:rsidRPr="00FA0FC2">
        <w:rPr>
          <w:rFonts w:hint="cs"/>
          <w:rtl/>
          <w:lang w:val="fr-CH"/>
        </w:rPr>
        <w:t xml:space="preserve"> التي ينص على أنه يجب على مقدمي الشكاوى أن يُثبتوا أنهم يواجهون خطراً شخصياً وفعلياً ومؤكداً لأن يتعرضوا للتعذيب إذا رُحِّلوا إلى بلدهم الأصلي. وإن وجود خطر من هذا القبيل يجب ألا يُقدّر استناداً إلى مجرد افتراضات</w:t>
      </w:r>
      <w:r>
        <w:rPr>
          <w:rFonts w:hint="cs"/>
          <w:rtl/>
          <w:lang w:val="fr-CH"/>
        </w:rPr>
        <w:t xml:space="preserve"> أو</w:t>
      </w:r>
      <w:r>
        <w:rPr>
          <w:rtl/>
          <w:lang w:val="fr-CH"/>
        </w:rPr>
        <w:t> </w:t>
      </w:r>
      <w:r w:rsidRPr="00FA0FC2">
        <w:rPr>
          <w:rFonts w:hint="cs"/>
          <w:rtl/>
          <w:lang w:val="fr-CH"/>
        </w:rPr>
        <w:t>شكوك فقط، وإنما يجب أن يتبيّن من الوقائع المعروضة أن الخطر مؤكَّد.</w:t>
      </w:r>
    </w:p>
    <w:p w:rsidR="00091373" w:rsidRPr="00FA0FC2" w:rsidRDefault="00091373" w:rsidP="00091373">
      <w:pPr>
        <w:pStyle w:val="SingleTxtGA"/>
        <w:rPr>
          <w:rFonts w:hint="cs"/>
          <w:rtl/>
          <w:lang w:val="fr-CH"/>
        </w:rPr>
      </w:pPr>
      <w:r w:rsidRPr="00FA0FC2">
        <w:rPr>
          <w:rFonts w:hint="cs"/>
          <w:rtl/>
          <w:lang w:val="fr-CH"/>
        </w:rPr>
        <w:t>4-9</w:t>
      </w:r>
      <w:r w:rsidRPr="00FA0FC2">
        <w:rPr>
          <w:rFonts w:hint="cs"/>
          <w:rtl/>
          <w:lang w:val="fr-CH"/>
        </w:rPr>
        <w:tab/>
        <w:t xml:space="preserve">وبالإشارة إلى الفقرتين الفرعيتين </w:t>
      </w:r>
      <w:r w:rsidRPr="002161DA">
        <w:rPr>
          <w:rFonts w:hint="cs"/>
          <w:rtl/>
          <w:lang w:val="fr-CH"/>
        </w:rPr>
        <w:t>(ب) و(ﻫ)</w:t>
      </w:r>
      <w:r w:rsidRPr="00FA0FC2">
        <w:rPr>
          <w:rFonts w:hint="cs"/>
          <w:rtl/>
          <w:lang w:val="fr-CH"/>
        </w:rPr>
        <w:t xml:space="preserve"> من الفقرة 8 من التعليق العام رقم 1 للجنة، تشير الدولة الطرف إلى أن صاحب الشكوى</w:t>
      </w:r>
      <w:r>
        <w:rPr>
          <w:rFonts w:hint="cs"/>
          <w:rtl/>
          <w:lang w:val="fr-CH"/>
        </w:rPr>
        <w:t xml:space="preserve"> لا</w:t>
      </w:r>
      <w:r>
        <w:rPr>
          <w:rtl/>
          <w:lang w:val="fr-CH"/>
        </w:rPr>
        <w:t> </w:t>
      </w:r>
      <w:r w:rsidRPr="00FA0FC2">
        <w:rPr>
          <w:rFonts w:hint="cs"/>
          <w:rtl/>
          <w:lang w:val="fr-CH"/>
        </w:rPr>
        <w:t>يدعي أنه تعرّض لسوء المعاملة في الماضي في إيران ويصرح بأنه</w:t>
      </w:r>
      <w:r>
        <w:rPr>
          <w:rFonts w:hint="cs"/>
          <w:rtl/>
          <w:lang w:val="fr-CH"/>
        </w:rPr>
        <w:t xml:space="preserve"> لم</w:t>
      </w:r>
      <w:r>
        <w:rPr>
          <w:rtl/>
          <w:lang w:val="fr-CH"/>
        </w:rPr>
        <w:t> </w:t>
      </w:r>
      <w:r w:rsidRPr="00FA0FC2">
        <w:rPr>
          <w:rFonts w:hint="cs"/>
          <w:rtl/>
          <w:lang w:val="fr-CH"/>
        </w:rPr>
        <w:t>يكن ناشطاً سياسياً هناك.</w:t>
      </w:r>
      <w:r>
        <w:rPr>
          <w:rFonts w:hint="cs"/>
          <w:rtl/>
          <w:lang w:val="fr-CH"/>
        </w:rPr>
        <w:t xml:space="preserve"> وفيما</w:t>
      </w:r>
      <w:r>
        <w:rPr>
          <w:rtl/>
          <w:lang w:val="fr-CH"/>
        </w:rPr>
        <w:t> </w:t>
      </w:r>
      <w:r w:rsidRPr="00FA0FC2">
        <w:rPr>
          <w:rFonts w:hint="cs"/>
          <w:rtl/>
          <w:lang w:val="fr-CH"/>
        </w:rPr>
        <w:t>يتعلَّق بالادعاءات التي تتناول الأنشطة العامة لشقيق صاحب الشكوى في إيران، تلاحظ الدولة الطرف أنه</w:t>
      </w:r>
      <w:r>
        <w:rPr>
          <w:rFonts w:hint="cs"/>
          <w:rtl/>
          <w:lang w:val="fr-CH"/>
        </w:rPr>
        <w:t xml:space="preserve"> لم</w:t>
      </w:r>
      <w:r>
        <w:rPr>
          <w:rtl/>
          <w:lang w:val="fr-CH"/>
        </w:rPr>
        <w:t> </w:t>
      </w:r>
      <w:r w:rsidRPr="00FA0FC2">
        <w:rPr>
          <w:rFonts w:hint="cs"/>
          <w:rtl/>
          <w:lang w:val="fr-CH"/>
        </w:rPr>
        <w:t>يُقدَّم أي دليل في هذا الشأن. وتضيف الدولة الطرف أن المكتب الاتحادي للهجرة قد خلص في قراره الصادر في</w:t>
      </w:r>
      <w:r>
        <w:rPr>
          <w:rFonts w:hint="eastAsia"/>
          <w:rtl/>
          <w:lang w:val="fr-CH"/>
        </w:rPr>
        <w:t> </w:t>
      </w:r>
      <w:r w:rsidRPr="00FA0FC2">
        <w:rPr>
          <w:rFonts w:hint="cs"/>
          <w:rtl/>
          <w:lang w:val="fr-CH"/>
        </w:rPr>
        <w:t>19 كانون الثاني/يناير 2006 إلى أن من غير المعقول ألا تلقي السلطات القبض على شقيق صاحب الشكوى على الرغم من أنه بقي ساكناً في منزل والديه حيث بحثت عنه قوات الأمن أكثر من مرة، وأنه</w:t>
      </w:r>
      <w:r>
        <w:rPr>
          <w:rFonts w:hint="cs"/>
          <w:rtl/>
          <w:lang w:val="fr-CH"/>
        </w:rPr>
        <w:t xml:space="preserve"> لا</w:t>
      </w:r>
      <w:r>
        <w:rPr>
          <w:rtl/>
          <w:lang w:val="fr-CH"/>
        </w:rPr>
        <w:t> </w:t>
      </w:r>
      <w:r w:rsidRPr="00FA0FC2">
        <w:rPr>
          <w:rFonts w:hint="cs"/>
          <w:rtl/>
          <w:lang w:val="fr-CH"/>
        </w:rPr>
        <w:t>يبدو من المنطقي في هذه الأحوال أن يكون صاحب الشكوى وحده قد فرّ من البلد، وليس والداه</w:t>
      </w:r>
      <w:r>
        <w:rPr>
          <w:rFonts w:hint="cs"/>
          <w:rtl/>
          <w:lang w:val="fr-CH"/>
        </w:rPr>
        <w:t xml:space="preserve"> ولا</w:t>
      </w:r>
      <w:r>
        <w:rPr>
          <w:rtl/>
          <w:lang w:val="fr-CH"/>
        </w:rPr>
        <w:t> </w:t>
      </w:r>
      <w:r w:rsidRPr="00FA0FC2">
        <w:rPr>
          <w:rFonts w:hint="cs"/>
          <w:rtl/>
          <w:lang w:val="fr-CH"/>
        </w:rPr>
        <w:t>شقيقه.</w:t>
      </w:r>
    </w:p>
    <w:p w:rsidR="00091373" w:rsidRPr="00FA0FC2" w:rsidRDefault="00091373" w:rsidP="00091373">
      <w:pPr>
        <w:pStyle w:val="SingleTxtGA"/>
        <w:rPr>
          <w:rFonts w:hint="cs"/>
          <w:rtl/>
          <w:lang w:val="fr-CH"/>
        </w:rPr>
      </w:pPr>
      <w:r w:rsidRPr="00FA0FC2">
        <w:rPr>
          <w:rFonts w:hint="cs"/>
          <w:rtl/>
          <w:lang w:val="fr-CH"/>
        </w:rPr>
        <w:t>4-10</w:t>
      </w:r>
      <w:r w:rsidRPr="00FA0FC2">
        <w:rPr>
          <w:rFonts w:hint="cs"/>
          <w:rtl/>
          <w:lang w:val="fr-CH"/>
        </w:rPr>
        <w:tab/>
        <w:t>وتشير الدولة الطرف بعد ذلك إلى أن المكتب الاتحادي للهجرة والمحكمة الإدارية الاتحادية وجدا كلاهما أن ادعاءات صاحب الشكوى المتعلِّقة بالمضايقات التي تعرّض لها قبل رحيله بسبب انتمائه الإثني ادعاءات</w:t>
      </w:r>
      <w:r>
        <w:rPr>
          <w:rFonts w:hint="cs"/>
          <w:rtl/>
          <w:lang w:val="fr-CH"/>
        </w:rPr>
        <w:t xml:space="preserve"> لا</w:t>
      </w:r>
      <w:r>
        <w:rPr>
          <w:rtl/>
          <w:lang w:val="fr-CH"/>
        </w:rPr>
        <w:t> </w:t>
      </w:r>
      <w:r w:rsidRPr="00FA0FC2">
        <w:rPr>
          <w:rFonts w:hint="cs"/>
          <w:rtl/>
          <w:lang w:val="fr-CH"/>
        </w:rPr>
        <w:t>أساس لها. وقد أكد المكتب الاتحادي للهجرة، في قراره الصادر في 26 شباط/فبراير 2010، أن التقارير والمقالات الصحفية التي قدَّمها صاحب الشكوى دعماً لطلب اللجوء الثاني</w:t>
      </w:r>
      <w:r>
        <w:rPr>
          <w:rFonts w:hint="cs"/>
          <w:rtl/>
          <w:lang w:val="fr-CH"/>
        </w:rPr>
        <w:t xml:space="preserve"> لم</w:t>
      </w:r>
      <w:r>
        <w:rPr>
          <w:rtl/>
          <w:lang w:val="fr-CH"/>
        </w:rPr>
        <w:t> </w:t>
      </w:r>
      <w:r w:rsidRPr="00FA0FC2">
        <w:rPr>
          <w:rFonts w:hint="cs"/>
          <w:rtl/>
          <w:lang w:val="fr-CH"/>
        </w:rPr>
        <w:t xml:space="preserve">تتضمَّن أي عنصر جديد يدلّ على أن كل </w:t>
      </w:r>
      <w:r>
        <w:rPr>
          <w:rFonts w:hint="cs"/>
          <w:rtl/>
          <w:lang w:val="fr-CH"/>
        </w:rPr>
        <w:t xml:space="preserve">أفراد </w:t>
      </w:r>
      <w:r w:rsidRPr="00FA0FC2">
        <w:rPr>
          <w:rFonts w:hint="cs"/>
          <w:rtl/>
          <w:lang w:val="fr-CH"/>
        </w:rPr>
        <w:t>الجالية العربية في إيران،</w:t>
      </w:r>
      <w:r>
        <w:rPr>
          <w:rFonts w:hint="cs"/>
          <w:rtl/>
          <w:lang w:val="fr-CH"/>
        </w:rPr>
        <w:t xml:space="preserve"> ولا</w:t>
      </w:r>
      <w:r>
        <w:rPr>
          <w:rtl/>
          <w:lang w:val="fr-CH"/>
        </w:rPr>
        <w:t> </w:t>
      </w:r>
      <w:r w:rsidRPr="00FA0FC2">
        <w:rPr>
          <w:rFonts w:hint="cs"/>
          <w:rtl/>
          <w:lang w:val="fr-CH"/>
        </w:rPr>
        <w:t>سيما صاحب الشكوى، كانوا يعانون من الاضطهادات من جانب السلطات الإيرانية.</w:t>
      </w:r>
    </w:p>
    <w:p w:rsidR="00091373" w:rsidRPr="007279DC" w:rsidRDefault="00091373" w:rsidP="00091373">
      <w:pPr>
        <w:pStyle w:val="SingleTxtGA"/>
        <w:rPr>
          <w:rFonts w:hint="cs"/>
          <w:spacing w:val="-4"/>
          <w:rtl/>
          <w:lang w:val="fr-CH"/>
        </w:rPr>
      </w:pPr>
      <w:r w:rsidRPr="007279DC">
        <w:rPr>
          <w:rFonts w:hint="cs"/>
          <w:spacing w:val="-4"/>
          <w:rtl/>
          <w:lang w:val="fr-CH"/>
        </w:rPr>
        <w:t>4-11</w:t>
      </w:r>
      <w:r w:rsidRPr="007279DC">
        <w:rPr>
          <w:rFonts w:hint="cs"/>
          <w:spacing w:val="-4"/>
          <w:rtl/>
          <w:lang w:val="fr-CH"/>
        </w:rPr>
        <w:tab/>
        <w:t>وتلاحظ الدولة الطرف كذلك أن صاحب الشكوى ادّعى أيضاً أنه يخشى أن يتعرّض للتعذيب في إيران لأنه شارك في مظاهرة أمام السفارة الإيرانية في بيرن، وأنه التقطت صورتان توثقان هذه المظاهرة. وتشير الدولة الطرف في هذا الشأن إلى أن المكتب الاتحادي للهجرة لاحظ أن صاحب الشكوى لم</w:t>
      </w:r>
      <w:r w:rsidRPr="007279DC">
        <w:rPr>
          <w:spacing w:val="-4"/>
          <w:rtl/>
          <w:lang w:val="fr-CH"/>
        </w:rPr>
        <w:t> </w:t>
      </w:r>
      <w:r w:rsidRPr="007279DC">
        <w:rPr>
          <w:rFonts w:hint="cs"/>
          <w:spacing w:val="-4"/>
          <w:rtl/>
          <w:lang w:val="fr-CH"/>
        </w:rPr>
        <w:t>يبدأ ممارسة أنشطة سياسية في سويسرا إلا</w:t>
      </w:r>
      <w:r w:rsidRPr="007279DC">
        <w:rPr>
          <w:spacing w:val="-4"/>
          <w:rtl/>
          <w:lang w:val="fr-CH"/>
        </w:rPr>
        <w:t> </w:t>
      </w:r>
      <w:r w:rsidRPr="007279DC">
        <w:rPr>
          <w:rFonts w:hint="cs"/>
          <w:spacing w:val="-4"/>
          <w:rtl/>
          <w:lang w:val="fr-CH"/>
        </w:rPr>
        <w:t>بعد وصوله بوقت طويل، في حين أنه لم</w:t>
      </w:r>
      <w:r w:rsidRPr="007279DC">
        <w:rPr>
          <w:spacing w:val="-4"/>
          <w:rtl/>
          <w:lang w:val="fr-CH"/>
        </w:rPr>
        <w:t> </w:t>
      </w:r>
      <w:r w:rsidRPr="007279DC">
        <w:rPr>
          <w:rFonts w:hint="cs"/>
          <w:spacing w:val="-4"/>
          <w:rtl/>
          <w:lang w:val="fr-CH"/>
        </w:rPr>
        <w:t>يكن أبداً من الناشطين سياسياً في إيران؛ وإضافةً إلى ذلك، فإن نشر صورة فوتوغرافية على صفحة إنترنت يظهر فيها أشخاص عديدون من بين عدَّة مئات من الصور من هذا النوع يجعل من المتعذّر على السلطات الإيرانية تحديد هوية جميع الأشخاص واسمهم الصحيح. وتذكِّر الدولة الطرف بأن صاحب الشكوى لم</w:t>
      </w:r>
      <w:r w:rsidRPr="007279DC">
        <w:rPr>
          <w:spacing w:val="-4"/>
          <w:rtl/>
          <w:lang w:val="fr-CH"/>
        </w:rPr>
        <w:t> </w:t>
      </w:r>
      <w:r w:rsidRPr="007279DC">
        <w:rPr>
          <w:rFonts w:hint="cs"/>
          <w:spacing w:val="-4"/>
          <w:rtl/>
          <w:lang w:val="fr-CH"/>
        </w:rPr>
        <w:t>يقدِّم أي دليل أو</w:t>
      </w:r>
      <w:r w:rsidRPr="007279DC">
        <w:rPr>
          <w:spacing w:val="-4"/>
          <w:rtl/>
          <w:lang w:val="fr-CH"/>
        </w:rPr>
        <w:t> </w:t>
      </w:r>
      <w:r w:rsidRPr="007279DC">
        <w:rPr>
          <w:rFonts w:hint="cs"/>
          <w:spacing w:val="-4"/>
          <w:rtl/>
          <w:lang w:val="fr-CH"/>
        </w:rPr>
        <w:t>قرينة ملموسة يمكن أن تَسند ادعاءه بأن مشاركته في المظاهرات المذكورة يمكن أن تعرِّضه لخطر الاضطهاد.</w:t>
      </w:r>
    </w:p>
    <w:p w:rsidR="00091373" w:rsidRPr="00FA0FC2" w:rsidRDefault="00091373" w:rsidP="00091373">
      <w:pPr>
        <w:pStyle w:val="SingleTxtGA"/>
        <w:rPr>
          <w:rFonts w:hint="cs"/>
          <w:rtl/>
          <w:lang w:val="fr-CH"/>
        </w:rPr>
      </w:pPr>
      <w:r w:rsidRPr="00FA0FC2">
        <w:rPr>
          <w:rFonts w:hint="cs"/>
          <w:rtl/>
          <w:lang w:val="fr-CH"/>
        </w:rPr>
        <w:t>4-12</w:t>
      </w:r>
      <w:r w:rsidRPr="00FA0FC2">
        <w:rPr>
          <w:rFonts w:hint="cs"/>
          <w:rtl/>
          <w:lang w:val="fr-CH"/>
        </w:rPr>
        <w:tab/>
        <w:t>وتلاحظ الدولة الطرف أن المكتب الاتحادي للهجرة أكَّد كذلك أن السلطات الإيرانية، عندما تُبلغ بالأنشطة السياسية التي يمارسها رعاياها في الخارج،</w:t>
      </w:r>
      <w:r>
        <w:rPr>
          <w:rFonts w:hint="cs"/>
          <w:rtl/>
          <w:lang w:val="fr-CH"/>
        </w:rPr>
        <w:t xml:space="preserve"> لا</w:t>
      </w:r>
      <w:r>
        <w:rPr>
          <w:rtl/>
          <w:lang w:val="fr-CH"/>
        </w:rPr>
        <w:t> </w:t>
      </w:r>
      <w:r w:rsidRPr="00FA0FC2">
        <w:rPr>
          <w:rFonts w:hint="cs"/>
          <w:rtl/>
          <w:lang w:val="fr-CH"/>
        </w:rPr>
        <w:t>تستطيع أن تراقب كل شخص مراقبة دقيقة، نظراً إلى كبر عدد الرعايا الإيرانيين الذين يعيشون خارج البلد. وعلاوةً على ذلك، فإنها تعرف أيضاً أن الكثير من المهاجرين الإيرانيين الذين غادروا بلدهم لأسباب اقتصادية بالدرجة الأولى يحاولون الحصول على رخصة إقامة في أوروبا من خلال ممارسة أنشطة مختلفة ينتقدون فيها النظام. وإن السلطات الإيرانية</w:t>
      </w:r>
      <w:r>
        <w:rPr>
          <w:rFonts w:hint="cs"/>
          <w:rtl/>
          <w:lang w:val="fr-CH"/>
        </w:rPr>
        <w:t xml:space="preserve"> لا</w:t>
      </w:r>
      <w:r>
        <w:rPr>
          <w:rtl/>
          <w:lang w:val="fr-CH"/>
        </w:rPr>
        <w:t> </w:t>
      </w:r>
      <w:r w:rsidRPr="00FA0FC2">
        <w:rPr>
          <w:rFonts w:hint="cs"/>
          <w:rtl/>
          <w:lang w:val="fr-CH"/>
        </w:rPr>
        <w:t>تحدِّد هوية مثل هؤلاء الأشخاص</w:t>
      </w:r>
      <w:r>
        <w:rPr>
          <w:rFonts w:hint="cs"/>
          <w:rtl/>
          <w:lang w:val="fr-CH"/>
        </w:rPr>
        <w:t xml:space="preserve"> إلا</w:t>
      </w:r>
      <w:r>
        <w:rPr>
          <w:rtl/>
          <w:lang w:val="fr-CH"/>
        </w:rPr>
        <w:t> </w:t>
      </w:r>
      <w:r w:rsidRPr="00FA0FC2">
        <w:rPr>
          <w:rFonts w:hint="cs"/>
          <w:rtl/>
          <w:lang w:val="fr-CH"/>
        </w:rPr>
        <w:t>عندما تمثِّل طبيعة أنشطتهم تهديداً للنظام السياسي القائم (قرار المكتب الاتحادي للهجرة المؤرخ 26 شباط/فبراير 2010).</w:t>
      </w:r>
    </w:p>
    <w:p w:rsidR="00091373" w:rsidRPr="00FA0FC2" w:rsidRDefault="00091373" w:rsidP="00091373">
      <w:pPr>
        <w:pStyle w:val="SingleTxtGA"/>
        <w:rPr>
          <w:rFonts w:hint="cs"/>
          <w:rtl/>
          <w:lang w:val="fr-CH"/>
        </w:rPr>
      </w:pPr>
      <w:r w:rsidRPr="00FA0FC2">
        <w:rPr>
          <w:rFonts w:hint="cs"/>
          <w:rtl/>
          <w:lang w:val="fr-CH"/>
        </w:rPr>
        <w:t>4-13</w:t>
      </w:r>
      <w:r w:rsidRPr="00FA0FC2">
        <w:rPr>
          <w:rFonts w:hint="cs"/>
          <w:rtl/>
          <w:lang w:val="fr-CH"/>
        </w:rPr>
        <w:tab/>
        <w:t>وفي هذا السياق، رأى المكتب الاتحادي للهجرة،</w:t>
      </w:r>
      <w:r>
        <w:rPr>
          <w:rFonts w:hint="cs"/>
          <w:rtl/>
          <w:lang w:val="fr-CH"/>
        </w:rPr>
        <w:t xml:space="preserve"> فيما</w:t>
      </w:r>
      <w:r>
        <w:rPr>
          <w:rtl/>
          <w:lang w:val="fr-CH"/>
        </w:rPr>
        <w:t> </w:t>
      </w:r>
      <w:r w:rsidRPr="00FA0FC2">
        <w:rPr>
          <w:rFonts w:hint="cs"/>
          <w:rtl/>
          <w:lang w:val="fr-CH"/>
        </w:rPr>
        <w:t>يتعلَّق بصاحب الشكوى، أن الأنشطة من قبيل المشاركة في مظاهرات غير عنيفة</w:t>
      </w:r>
      <w:r>
        <w:rPr>
          <w:rFonts w:hint="cs"/>
          <w:rtl/>
          <w:lang w:val="fr-CH"/>
        </w:rPr>
        <w:t xml:space="preserve"> لا</w:t>
      </w:r>
      <w:r>
        <w:rPr>
          <w:rtl/>
          <w:lang w:val="fr-CH"/>
        </w:rPr>
        <w:t> </w:t>
      </w:r>
      <w:r w:rsidRPr="00FA0FC2">
        <w:rPr>
          <w:rFonts w:hint="cs"/>
          <w:rtl/>
          <w:lang w:val="fr-CH"/>
        </w:rPr>
        <w:t>تشكِّل أساساً للتعرُّض لخطر ملموس في حال العودة إلى إيران. وأن صاحب الشكوى</w:t>
      </w:r>
      <w:r>
        <w:rPr>
          <w:rFonts w:hint="cs"/>
          <w:rtl/>
          <w:lang w:val="fr-CH"/>
        </w:rPr>
        <w:t xml:space="preserve"> لم</w:t>
      </w:r>
      <w:r>
        <w:rPr>
          <w:rtl/>
          <w:lang w:val="fr-CH"/>
        </w:rPr>
        <w:t> </w:t>
      </w:r>
      <w:r w:rsidRPr="00FA0FC2">
        <w:rPr>
          <w:rFonts w:hint="cs"/>
          <w:rtl/>
          <w:lang w:val="fr-CH"/>
        </w:rPr>
        <w:t>يمارس وظيفة سياسية مهمة داخل المنظمات المذكورة، وليس لديه ماضٍ سياسي في إيران</w:t>
      </w:r>
      <w:r>
        <w:rPr>
          <w:rFonts w:hint="cs"/>
          <w:rtl/>
          <w:lang w:val="fr-CH"/>
        </w:rPr>
        <w:t xml:space="preserve"> ولم</w:t>
      </w:r>
      <w:r>
        <w:rPr>
          <w:rtl/>
          <w:lang w:val="fr-CH"/>
        </w:rPr>
        <w:t> </w:t>
      </w:r>
      <w:r w:rsidRPr="00FA0FC2">
        <w:rPr>
          <w:rFonts w:hint="cs"/>
          <w:rtl/>
          <w:lang w:val="fr-CH"/>
        </w:rPr>
        <w:t>يهتم اهتماماً كبيراً بالانخراط في عمل سياسي بعد وصوله إلى سويسرا. وتلاحظ الدولة الطرف أن المكتب الاتحادي للهجرة رأى أيضاً أن تصرُّف صاحب الشكوى في سويسرا</w:t>
      </w:r>
      <w:r>
        <w:rPr>
          <w:rFonts w:hint="cs"/>
          <w:rtl/>
          <w:lang w:val="fr-CH"/>
        </w:rPr>
        <w:t xml:space="preserve"> لم</w:t>
      </w:r>
      <w:r>
        <w:rPr>
          <w:rtl/>
          <w:lang w:val="fr-CH"/>
        </w:rPr>
        <w:t> </w:t>
      </w:r>
      <w:r w:rsidRPr="00FA0FC2">
        <w:rPr>
          <w:rFonts w:hint="cs"/>
          <w:rtl/>
          <w:lang w:val="fr-CH"/>
        </w:rPr>
        <w:t>يكن ليسبب له أذى بالغاً من جانب السلطات الإيرانية نظراً، بوجه خاص، إلى عدم وجود قرينة تسمح بالاعتقاد بأن السلطات قد اتخذت تدابير ضده بسبب الأنشطة التي يمارسها في الدولة الطرف. ولاحظ المكتب الاتحادي للهجرة، من ناحية أخرى، أن صاحب الشكوى ادعى أن السلطات كانت تبحث عنه في إيران في حين أنه ادعى أنها كانت تعرف أنه في سويسرا، وهذان الأمران متناقضان. وهكذا خلص المكتب الاتحادي للهجرة أن صاحب الشكوى</w:t>
      </w:r>
      <w:r>
        <w:rPr>
          <w:rFonts w:hint="cs"/>
          <w:rtl/>
          <w:lang w:val="fr-CH"/>
        </w:rPr>
        <w:t xml:space="preserve"> لم</w:t>
      </w:r>
      <w:r>
        <w:rPr>
          <w:rtl/>
          <w:lang w:val="fr-CH"/>
        </w:rPr>
        <w:t> </w:t>
      </w:r>
      <w:r w:rsidRPr="00FA0FC2">
        <w:rPr>
          <w:rFonts w:hint="cs"/>
          <w:rtl/>
          <w:lang w:val="fr-CH"/>
        </w:rPr>
        <w:t>يكن من الشخصيات السياسية الهامة إلى درجة تجعله يتعرّض لخطر في إيران.</w:t>
      </w:r>
    </w:p>
    <w:p w:rsidR="00091373" w:rsidRPr="00FA0FC2" w:rsidRDefault="00091373" w:rsidP="00091373">
      <w:pPr>
        <w:pStyle w:val="SingleTxtGA"/>
        <w:rPr>
          <w:rFonts w:hint="cs"/>
          <w:rtl/>
          <w:lang w:val="fr-CH"/>
        </w:rPr>
      </w:pPr>
      <w:r w:rsidRPr="00FA0FC2">
        <w:rPr>
          <w:rFonts w:hint="cs"/>
          <w:rtl/>
          <w:lang w:val="fr-CH"/>
        </w:rPr>
        <w:t>4-14</w:t>
      </w:r>
      <w:r w:rsidRPr="00FA0FC2">
        <w:rPr>
          <w:rFonts w:hint="cs"/>
          <w:rtl/>
          <w:lang w:val="fr-CH"/>
        </w:rPr>
        <w:tab/>
        <w:t>وتضيف الدولة الطرف أنه</w:t>
      </w:r>
      <w:r>
        <w:rPr>
          <w:rFonts w:hint="cs"/>
          <w:rtl/>
          <w:lang w:val="fr-CH"/>
        </w:rPr>
        <w:t xml:space="preserve"> لا</w:t>
      </w:r>
      <w:r>
        <w:rPr>
          <w:rtl/>
          <w:lang w:val="fr-CH"/>
        </w:rPr>
        <w:t> </w:t>
      </w:r>
      <w:r w:rsidRPr="00FA0FC2">
        <w:rPr>
          <w:rFonts w:hint="cs"/>
          <w:rtl/>
          <w:lang w:val="fr-CH"/>
        </w:rPr>
        <w:t>يمكن الخلوص من مجرّد مشاركة صاحب الشكوى في مظاهرة</w:t>
      </w:r>
      <w:r>
        <w:rPr>
          <w:rFonts w:hint="cs"/>
          <w:rtl/>
          <w:lang w:val="fr-CH"/>
        </w:rPr>
        <w:t xml:space="preserve"> أو</w:t>
      </w:r>
      <w:r>
        <w:rPr>
          <w:rtl/>
          <w:lang w:val="fr-CH"/>
        </w:rPr>
        <w:t> </w:t>
      </w:r>
      <w:r w:rsidRPr="00FA0FC2">
        <w:rPr>
          <w:rFonts w:hint="cs"/>
          <w:rtl/>
          <w:lang w:val="fr-CH"/>
        </w:rPr>
        <w:t>حتى عدَّة مظاهرات في سويسرا إلى أنه يمكن النظر إليه على أنه يشكل تهديداً محتملاً للنظام الإيراني وأنه يمكن أن يواجه بسبب ذلك خطر التعرض للتعذيب لدى عودته. وعلى أي حال، فإن صاحب الشكوى</w:t>
      </w:r>
      <w:r>
        <w:rPr>
          <w:rFonts w:hint="cs"/>
          <w:rtl/>
          <w:lang w:val="fr-CH"/>
        </w:rPr>
        <w:t xml:space="preserve"> لم</w:t>
      </w:r>
      <w:r>
        <w:rPr>
          <w:rtl/>
          <w:lang w:val="fr-CH"/>
        </w:rPr>
        <w:t> </w:t>
      </w:r>
      <w:r w:rsidRPr="00FA0FC2">
        <w:rPr>
          <w:rFonts w:hint="cs"/>
          <w:rtl/>
          <w:lang w:val="fr-CH"/>
        </w:rPr>
        <w:t>يبرهن على أن السلطات الإيرانية قد علمت بتلك المشاركة وإلى أي مدى يمثِّل، لهذا السبب، خطراً في نظر السلطات.</w:t>
      </w:r>
      <w:r>
        <w:rPr>
          <w:rFonts w:hint="cs"/>
          <w:rtl/>
          <w:lang w:val="fr-CH"/>
        </w:rPr>
        <w:t xml:space="preserve"> ولم</w:t>
      </w:r>
      <w:r>
        <w:rPr>
          <w:rtl/>
          <w:lang w:val="fr-CH"/>
        </w:rPr>
        <w:t> </w:t>
      </w:r>
      <w:r w:rsidRPr="00FA0FC2">
        <w:rPr>
          <w:rFonts w:hint="cs"/>
          <w:rtl/>
          <w:lang w:val="fr-CH"/>
        </w:rPr>
        <w:t>يبرهن كذلك على أنه كان هو شخصياً</w:t>
      </w:r>
      <w:r>
        <w:rPr>
          <w:rFonts w:hint="cs"/>
          <w:rtl/>
          <w:lang w:val="fr-CH"/>
        </w:rPr>
        <w:t xml:space="preserve"> أو</w:t>
      </w:r>
      <w:r>
        <w:rPr>
          <w:rtl/>
          <w:lang w:val="fr-CH"/>
        </w:rPr>
        <w:t> </w:t>
      </w:r>
      <w:r w:rsidRPr="00FA0FC2">
        <w:rPr>
          <w:rFonts w:hint="cs"/>
          <w:rtl/>
          <w:lang w:val="fr-CH"/>
        </w:rPr>
        <w:t>حتى شقيقه مطلوبين في إيران.</w:t>
      </w:r>
    </w:p>
    <w:p w:rsidR="00091373" w:rsidRPr="00FA0FC2" w:rsidRDefault="00091373" w:rsidP="00091373">
      <w:pPr>
        <w:pStyle w:val="SingleTxtGA"/>
        <w:rPr>
          <w:rFonts w:hint="cs"/>
          <w:rtl/>
          <w:lang w:val="fr-CH"/>
        </w:rPr>
      </w:pPr>
      <w:r w:rsidRPr="00FA0FC2">
        <w:rPr>
          <w:rFonts w:hint="cs"/>
          <w:rtl/>
          <w:lang w:val="fr-CH"/>
        </w:rPr>
        <w:t>4-15</w:t>
      </w:r>
      <w:r w:rsidRPr="00FA0FC2">
        <w:rPr>
          <w:rFonts w:hint="cs"/>
          <w:rtl/>
          <w:lang w:val="fr-CH"/>
        </w:rPr>
        <w:tab/>
        <w:t>وبالنظر إلى مجموع الاعتبارات السابقة، تخلص الدولة الطرف إلى أن صاحب الشكوى</w:t>
      </w:r>
      <w:r>
        <w:rPr>
          <w:rFonts w:hint="cs"/>
          <w:rtl/>
          <w:lang w:val="fr-CH"/>
        </w:rPr>
        <w:t xml:space="preserve"> لا</w:t>
      </w:r>
      <w:r>
        <w:rPr>
          <w:rtl/>
          <w:lang w:val="fr-CH"/>
        </w:rPr>
        <w:t> </w:t>
      </w:r>
      <w:r w:rsidRPr="00FA0FC2">
        <w:rPr>
          <w:rFonts w:hint="cs"/>
          <w:rtl/>
          <w:lang w:val="fr-CH"/>
        </w:rPr>
        <w:t>يواجه خطر التعذيب في حال العودة إلى إيران.</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تعليقات صاحب الشكوى على ملاحظات الدولة الطرف</w:t>
      </w:r>
    </w:p>
    <w:p w:rsidR="00091373" w:rsidRPr="007279DC" w:rsidRDefault="00091373" w:rsidP="00091373">
      <w:pPr>
        <w:pStyle w:val="SingleTxtGA"/>
        <w:rPr>
          <w:rFonts w:hint="cs"/>
          <w:spacing w:val="-4"/>
          <w:rtl/>
          <w:lang w:val="fr-CH"/>
        </w:rPr>
      </w:pPr>
      <w:r w:rsidRPr="007279DC">
        <w:rPr>
          <w:rFonts w:hint="cs"/>
          <w:spacing w:val="-4"/>
          <w:rtl/>
          <w:lang w:val="fr-CH"/>
        </w:rPr>
        <w:t>5-1</w:t>
      </w:r>
      <w:r w:rsidRPr="007279DC">
        <w:rPr>
          <w:rFonts w:hint="cs"/>
          <w:spacing w:val="-4"/>
          <w:rtl/>
          <w:lang w:val="fr-CH"/>
        </w:rPr>
        <w:tab/>
        <w:t>قدّم صاحب الشكوى تعليقاته على ملاحظات الدولة الطرف في 27 حزيران/</w:t>
      </w:r>
      <w:r>
        <w:rPr>
          <w:rFonts w:hint="cs"/>
          <w:spacing w:val="-4"/>
          <w:rtl/>
          <w:lang w:val="fr-CH"/>
        </w:rPr>
        <w:t xml:space="preserve"> </w:t>
      </w:r>
      <w:r w:rsidRPr="007279DC">
        <w:rPr>
          <w:rFonts w:hint="cs"/>
          <w:spacing w:val="-4"/>
          <w:rtl/>
          <w:lang w:val="fr-CH"/>
        </w:rPr>
        <w:t>يونيه</w:t>
      </w:r>
      <w:r w:rsidRPr="007279DC">
        <w:rPr>
          <w:rFonts w:hint="eastAsia"/>
          <w:spacing w:val="-4"/>
          <w:rtl/>
          <w:lang w:val="fr-CH"/>
        </w:rPr>
        <w:t> </w:t>
      </w:r>
      <w:r w:rsidRPr="007279DC">
        <w:rPr>
          <w:rFonts w:hint="cs"/>
          <w:spacing w:val="-4"/>
          <w:rtl/>
          <w:lang w:val="fr-CH"/>
        </w:rPr>
        <w:t>2011. ففيما يتعلق بالملاحظات التي تخص شقيقه الناشط سياسياً في إيران، أوضح أن هذا الأخير لم</w:t>
      </w:r>
      <w:r w:rsidRPr="007279DC">
        <w:rPr>
          <w:spacing w:val="-4"/>
          <w:rtl/>
          <w:lang w:val="fr-CH"/>
        </w:rPr>
        <w:t> </w:t>
      </w:r>
      <w:r w:rsidRPr="007279DC">
        <w:rPr>
          <w:rFonts w:hint="cs"/>
          <w:spacing w:val="-4"/>
          <w:rtl/>
          <w:lang w:val="fr-CH"/>
        </w:rPr>
        <w:t>يُقم في منزل والديه إلا</w:t>
      </w:r>
      <w:r w:rsidRPr="007279DC">
        <w:rPr>
          <w:spacing w:val="-4"/>
          <w:rtl/>
          <w:lang w:val="fr-CH"/>
        </w:rPr>
        <w:t> </w:t>
      </w:r>
      <w:r w:rsidRPr="007279DC">
        <w:rPr>
          <w:rFonts w:hint="cs"/>
          <w:spacing w:val="-4"/>
          <w:rtl/>
          <w:lang w:val="fr-CH"/>
        </w:rPr>
        <w:t>منذ وقت قصير. وكان، قبل ذلك، يسكن في مدينة أخرى ولا</w:t>
      </w:r>
      <w:r w:rsidRPr="007279DC">
        <w:rPr>
          <w:spacing w:val="-4"/>
          <w:rtl/>
          <w:lang w:val="fr-CH"/>
        </w:rPr>
        <w:t> </w:t>
      </w:r>
      <w:r w:rsidRPr="007279DC">
        <w:rPr>
          <w:rFonts w:hint="cs"/>
          <w:spacing w:val="-4"/>
          <w:rtl/>
          <w:lang w:val="fr-CH"/>
        </w:rPr>
        <w:t>يزور والديه إلا</w:t>
      </w:r>
      <w:r w:rsidRPr="007279DC">
        <w:rPr>
          <w:spacing w:val="-4"/>
          <w:rtl/>
          <w:lang w:val="fr-CH"/>
        </w:rPr>
        <w:t> </w:t>
      </w:r>
      <w:r w:rsidRPr="007279DC">
        <w:rPr>
          <w:rFonts w:hint="cs"/>
          <w:spacing w:val="-4"/>
          <w:rtl/>
          <w:lang w:val="fr-CH"/>
        </w:rPr>
        <w:t>بصورة عرضية. وصرّح صاحب الشكوى كذلك لسلطات اللجوء بأن رجال الأمن شاهدوا في إحدى المرات شقيقه يفرّ من سطح منزل والديه وأنهم أطلقوا عليه النار ولكنه تمكن من الهرب. وكان شقيق صاحب الشكوى يعود إلى المنزل لفترة أسبوع أحياناً، ثم يغادره من جديد لفترة عشرة أيام، وهكذا دواليك، دون أن يكون له عنوان مُحدد</w:t>
      </w:r>
      <w:r w:rsidRPr="007279DC">
        <w:rPr>
          <w:spacing w:val="-4"/>
          <w:vertAlign w:val="superscript"/>
          <w:rtl/>
          <w:lang w:val="fr-CH"/>
        </w:rPr>
        <w:t>(</w:t>
      </w:r>
      <w:r w:rsidRPr="007279DC">
        <w:rPr>
          <w:rStyle w:val="FootnoteReference"/>
          <w:spacing w:val="-4"/>
          <w:rtl/>
          <w:lang w:val="fr-CH"/>
        </w:rPr>
        <w:footnoteReference w:id="232"/>
      </w:r>
      <w:r w:rsidRPr="007279DC">
        <w:rPr>
          <w:spacing w:val="-4"/>
          <w:vertAlign w:val="superscript"/>
          <w:rtl/>
          <w:lang w:val="fr-CH"/>
        </w:rPr>
        <w:t>)</w:t>
      </w:r>
      <w:r w:rsidRPr="007279DC">
        <w:rPr>
          <w:rFonts w:hint="cs"/>
          <w:spacing w:val="-4"/>
          <w:rtl/>
          <w:lang w:val="fr-CH"/>
        </w:rPr>
        <w:t>.</w:t>
      </w:r>
    </w:p>
    <w:p w:rsidR="00091373" w:rsidRPr="00FA0FC2" w:rsidRDefault="00091373" w:rsidP="00091373">
      <w:pPr>
        <w:pStyle w:val="SingleTxtGA"/>
        <w:rPr>
          <w:rFonts w:hint="cs"/>
          <w:rtl/>
          <w:lang w:val="fr-CH"/>
        </w:rPr>
      </w:pPr>
      <w:r w:rsidRPr="00FA0FC2">
        <w:rPr>
          <w:rFonts w:hint="cs"/>
          <w:rtl/>
          <w:lang w:val="fr-CH"/>
        </w:rPr>
        <w:t>5-2</w:t>
      </w:r>
      <w:r w:rsidRPr="00FA0FC2">
        <w:rPr>
          <w:rFonts w:hint="cs"/>
          <w:rtl/>
          <w:lang w:val="fr-CH"/>
        </w:rPr>
        <w:tab/>
        <w:t>ويضيف صاحب الشكوى أنه اختار الفرار لأنه</w:t>
      </w:r>
      <w:r>
        <w:rPr>
          <w:rFonts w:hint="cs"/>
          <w:rtl/>
          <w:lang w:val="fr-CH"/>
        </w:rPr>
        <w:t xml:space="preserve"> لم</w:t>
      </w:r>
      <w:r>
        <w:rPr>
          <w:rtl/>
          <w:lang w:val="fr-CH"/>
        </w:rPr>
        <w:t> </w:t>
      </w:r>
      <w:r w:rsidRPr="00FA0FC2">
        <w:rPr>
          <w:rFonts w:hint="cs"/>
          <w:rtl/>
          <w:lang w:val="fr-CH"/>
        </w:rPr>
        <w:t>يعد يطيق أن تُضايقه أجهزة الأمن باستمرار. فكان يخشى على سلامته وعلى حياته. وإذا كان شقيقه</w:t>
      </w:r>
      <w:r>
        <w:rPr>
          <w:rFonts w:hint="cs"/>
          <w:rtl/>
          <w:lang w:val="fr-CH"/>
        </w:rPr>
        <w:t xml:space="preserve"> لم</w:t>
      </w:r>
      <w:r>
        <w:rPr>
          <w:rtl/>
          <w:lang w:val="fr-CH"/>
        </w:rPr>
        <w:t> </w:t>
      </w:r>
      <w:r w:rsidRPr="00FA0FC2">
        <w:rPr>
          <w:rFonts w:hint="cs"/>
          <w:rtl/>
          <w:lang w:val="fr-CH"/>
        </w:rPr>
        <w:t>يغادر البلد، فلأنه اختار شخصياً ألا يغادره، وربما كان ذلك مرتبطاً بنشاطه السياسي، وبالتالي، فإن المسألة ليست مسألة منطق.</w:t>
      </w:r>
    </w:p>
    <w:p w:rsidR="00091373" w:rsidRPr="00FA0FC2" w:rsidRDefault="00091373" w:rsidP="00091373">
      <w:pPr>
        <w:pStyle w:val="SingleTxtGA"/>
        <w:rPr>
          <w:rFonts w:hint="cs"/>
          <w:rtl/>
        </w:rPr>
      </w:pPr>
      <w:r w:rsidRPr="00FA0FC2">
        <w:rPr>
          <w:rFonts w:hint="cs"/>
          <w:rtl/>
          <w:lang w:val="fr-CH"/>
        </w:rPr>
        <w:t>5-3</w:t>
      </w:r>
      <w:r w:rsidRPr="00FA0FC2">
        <w:rPr>
          <w:rFonts w:hint="cs"/>
          <w:rtl/>
          <w:lang w:val="fr-CH"/>
        </w:rPr>
        <w:tab/>
        <w:t>ولا يملك صاحب الشكوى أدلة على الاضطهادات.</w:t>
      </w:r>
      <w:r>
        <w:rPr>
          <w:rFonts w:hint="cs"/>
          <w:rtl/>
          <w:lang w:val="fr-CH"/>
        </w:rPr>
        <w:t xml:space="preserve"> ولم</w:t>
      </w:r>
      <w:r>
        <w:rPr>
          <w:rtl/>
          <w:lang w:val="fr-CH"/>
        </w:rPr>
        <w:t> </w:t>
      </w:r>
      <w:r w:rsidRPr="00FA0FC2">
        <w:rPr>
          <w:rFonts w:hint="cs"/>
          <w:rtl/>
          <w:lang w:val="fr-CH"/>
        </w:rPr>
        <w:t>تستدعه السلطات الإيرانية رسمياً قط،</w:t>
      </w:r>
      <w:r>
        <w:rPr>
          <w:rFonts w:hint="cs"/>
          <w:rtl/>
          <w:lang w:val="fr-CH"/>
        </w:rPr>
        <w:t xml:space="preserve"> ولم</w:t>
      </w:r>
      <w:r>
        <w:rPr>
          <w:rtl/>
          <w:lang w:val="fr-CH"/>
        </w:rPr>
        <w:t> </w:t>
      </w:r>
      <w:r w:rsidRPr="00FA0FC2">
        <w:rPr>
          <w:rFonts w:hint="cs"/>
          <w:rtl/>
          <w:lang w:val="fr-CH"/>
        </w:rPr>
        <w:t>تسلمه أمر تفتيش</w:t>
      </w:r>
      <w:r>
        <w:rPr>
          <w:rFonts w:hint="cs"/>
          <w:rtl/>
          <w:lang w:val="fr-CH"/>
        </w:rPr>
        <w:t xml:space="preserve"> أو</w:t>
      </w:r>
      <w:r>
        <w:rPr>
          <w:rtl/>
          <w:lang w:val="fr-CH"/>
        </w:rPr>
        <w:t> </w:t>
      </w:r>
      <w:r w:rsidRPr="00FA0FC2">
        <w:rPr>
          <w:rFonts w:hint="cs"/>
          <w:rtl/>
          <w:lang w:val="fr-CH"/>
        </w:rPr>
        <w:t>أمر اعتقال</w:t>
      </w:r>
      <w:r>
        <w:rPr>
          <w:rFonts w:hint="cs"/>
          <w:rtl/>
          <w:lang w:val="fr-CH"/>
        </w:rPr>
        <w:t xml:space="preserve"> أو</w:t>
      </w:r>
      <w:r>
        <w:rPr>
          <w:rtl/>
          <w:lang w:val="fr-CH"/>
        </w:rPr>
        <w:t> </w:t>
      </w:r>
      <w:r w:rsidRPr="00FA0FC2">
        <w:rPr>
          <w:rFonts w:hint="cs"/>
          <w:rtl/>
          <w:lang w:val="fr-CH"/>
        </w:rPr>
        <w:t>أية وثيقة أخرى تدل على أن أسرته كانت تحت المراقبة.</w:t>
      </w:r>
      <w:r>
        <w:rPr>
          <w:rFonts w:hint="cs"/>
          <w:rtl/>
          <w:lang w:val="fr-CH"/>
        </w:rPr>
        <w:t xml:space="preserve"> أما</w:t>
      </w:r>
      <w:r>
        <w:rPr>
          <w:rtl/>
          <w:lang w:val="fr-CH"/>
        </w:rPr>
        <w:t> </w:t>
      </w:r>
      <w:r w:rsidRPr="00FA0FC2">
        <w:rPr>
          <w:rFonts w:hint="cs"/>
          <w:rtl/>
          <w:lang w:val="fr-CH"/>
        </w:rPr>
        <w:t>بشأن الأنشطة السياسية التي كان يمارسها شقيقه، فإنه يذكّر بأن قمع النظام هو من الشدة إلى درجة أن أحزاب المعارضة تلزم في عملها أكبر درجة من الحذر، وتعمل في الخفاء</w:t>
      </w:r>
      <w:r>
        <w:rPr>
          <w:rFonts w:hint="cs"/>
          <w:rtl/>
          <w:lang w:val="fr-CH"/>
        </w:rPr>
        <w:t xml:space="preserve"> ولا</w:t>
      </w:r>
      <w:r>
        <w:rPr>
          <w:rtl/>
          <w:lang w:val="fr-CH"/>
        </w:rPr>
        <w:t> </w:t>
      </w:r>
      <w:r w:rsidRPr="00FA0FC2">
        <w:rPr>
          <w:rFonts w:hint="cs"/>
          <w:rtl/>
          <w:lang w:val="fr-CH"/>
        </w:rPr>
        <w:t>توجد وثائق كثيرة تدل على وجودها. فعلى سبيل المثال،</w:t>
      </w:r>
      <w:r>
        <w:rPr>
          <w:rFonts w:hint="cs"/>
          <w:rtl/>
          <w:lang w:val="fr-CH"/>
        </w:rPr>
        <w:t xml:space="preserve"> لا</w:t>
      </w:r>
      <w:r>
        <w:rPr>
          <w:rtl/>
          <w:lang w:val="fr-CH"/>
        </w:rPr>
        <w:t> </w:t>
      </w:r>
      <w:r w:rsidRPr="00FA0FC2">
        <w:rPr>
          <w:rFonts w:hint="cs"/>
          <w:rtl/>
          <w:lang w:val="fr-CH"/>
        </w:rPr>
        <w:t xml:space="preserve">يُسلَّم العضو أية بطاقة عضوية. والواقع أن السلطات السويسرية اعترفت بأن الثقافة السياسية للمعارضة في إيران تقوم على الريبة والسرية </w:t>
      </w:r>
      <w:r w:rsidRPr="00FA0FC2">
        <w:rPr>
          <w:i/>
          <w:iCs/>
        </w:rPr>
        <w:t>(</w:t>
      </w:r>
      <w:bookmarkStart w:id="15" w:name="OLE_LINK3"/>
      <w:bookmarkStart w:id="16" w:name="OLE_LINK4"/>
      <w:r w:rsidRPr="00FA0FC2">
        <w:rPr>
          <w:i/>
          <w:iCs/>
        </w:rPr>
        <w:t>JAAC 1999 I no. 63.5</w:t>
      </w:r>
      <w:bookmarkEnd w:id="15"/>
      <w:bookmarkEnd w:id="16"/>
      <w:r w:rsidRPr="00FA0FC2">
        <w:rPr>
          <w:i/>
          <w:iCs/>
        </w:rPr>
        <w:t>, p. 45; JJCRA 1998/4)</w:t>
      </w:r>
      <w:r w:rsidRPr="00FA0FC2">
        <w:rPr>
          <w:rFonts w:hint="cs"/>
          <w:rtl/>
        </w:rPr>
        <w:t>.</w:t>
      </w:r>
    </w:p>
    <w:p w:rsidR="00091373" w:rsidRPr="00FA0FC2" w:rsidRDefault="00091373" w:rsidP="00091373">
      <w:pPr>
        <w:pStyle w:val="SingleTxtGA"/>
        <w:rPr>
          <w:rFonts w:hint="cs"/>
          <w:rtl/>
          <w:lang w:val="fr-CH"/>
        </w:rPr>
      </w:pPr>
      <w:r w:rsidRPr="00FA0FC2">
        <w:rPr>
          <w:rFonts w:hint="cs"/>
          <w:rtl/>
        </w:rPr>
        <w:t>5-4</w:t>
      </w:r>
      <w:r w:rsidRPr="00FA0FC2">
        <w:rPr>
          <w:rFonts w:hint="cs"/>
          <w:rtl/>
        </w:rPr>
        <w:tab/>
        <w:t>وكرر صاحب الشكوى،</w:t>
      </w:r>
      <w:r>
        <w:rPr>
          <w:rFonts w:hint="cs"/>
          <w:rtl/>
        </w:rPr>
        <w:t xml:space="preserve"> فيما</w:t>
      </w:r>
      <w:r>
        <w:rPr>
          <w:rtl/>
        </w:rPr>
        <w:t> </w:t>
      </w:r>
      <w:r w:rsidRPr="00FA0FC2">
        <w:rPr>
          <w:rFonts w:hint="cs"/>
          <w:rtl/>
        </w:rPr>
        <w:t>يتعلق بالحجج التي تتناول أنشطته السياسية في سويسرا، الحجج التي أوردها في بلاغه الأول ويُضيف أن الدولة الطرف تجهل هوية الإيرانيين الذين تعرّفت</w:t>
      </w:r>
      <w:r>
        <w:rPr>
          <w:rFonts w:hint="cs"/>
          <w:rtl/>
        </w:rPr>
        <w:t xml:space="preserve"> أو</w:t>
      </w:r>
      <w:r>
        <w:rPr>
          <w:rtl/>
        </w:rPr>
        <w:t xml:space="preserve"> لم </w:t>
      </w:r>
      <w:r w:rsidRPr="00FA0FC2">
        <w:rPr>
          <w:rFonts w:hint="cs"/>
          <w:rtl/>
        </w:rPr>
        <w:t>تتعرّف عليهم السلطات الإيرانية من بين أولئك الذين شاركوا في مظاهرات سياسية عامة. وقال إنه</w:t>
      </w:r>
      <w:r>
        <w:rPr>
          <w:rFonts w:hint="cs"/>
          <w:rtl/>
        </w:rPr>
        <w:t xml:space="preserve"> لا</w:t>
      </w:r>
      <w:r>
        <w:rPr>
          <w:rtl/>
        </w:rPr>
        <w:t> </w:t>
      </w:r>
      <w:r w:rsidRPr="00FA0FC2">
        <w:rPr>
          <w:rFonts w:hint="cs"/>
          <w:rtl/>
        </w:rPr>
        <w:t>يكفي الاستناد إلى مجرد احتمال</w:t>
      </w:r>
      <w:r>
        <w:rPr>
          <w:rFonts w:hint="cs"/>
          <w:rtl/>
        </w:rPr>
        <w:t xml:space="preserve"> أو</w:t>
      </w:r>
      <w:r>
        <w:rPr>
          <w:rtl/>
        </w:rPr>
        <w:t> </w:t>
      </w:r>
      <w:r w:rsidRPr="00FA0FC2">
        <w:rPr>
          <w:rFonts w:hint="cs"/>
          <w:rtl/>
        </w:rPr>
        <w:t>افتراض أن سلطات بلده</w:t>
      </w:r>
      <w:r>
        <w:rPr>
          <w:rFonts w:hint="cs"/>
          <w:rtl/>
        </w:rPr>
        <w:t xml:space="preserve"> لم</w:t>
      </w:r>
      <w:r>
        <w:rPr>
          <w:rtl/>
        </w:rPr>
        <w:t> </w:t>
      </w:r>
      <w:r w:rsidRPr="00FA0FC2">
        <w:rPr>
          <w:rFonts w:hint="cs"/>
          <w:rtl/>
        </w:rPr>
        <w:t xml:space="preserve">تتعرف عليه، بل إن مجرد وجوده في أوروبا يُعتبر، في نظر السلطات الإيرانية، قرينة على معارضته للنظام القائم، قرينة تُعززها العناصر الأخرى الموجودة في الملف، وهي كونه أحد أفراد أقلية إثنية مُضطهدة، وأحد أفراد الأسرة ب.، وله شقيق ناشط سياسياً ومطلوب من قِبل السلطات. وحسب اجتهاد المحكمة الأوروبية لحقوق الإنسان </w:t>
      </w:r>
      <w:r>
        <w:rPr>
          <w:rFonts w:hint="cs"/>
          <w:rtl/>
        </w:rPr>
        <w:t>(</w:t>
      </w:r>
      <w:r w:rsidRPr="00FA0FC2">
        <w:rPr>
          <w:rFonts w:hint="cs"/>
          <w:rtl/>
        </w:rPr>
        <w:t xml:space="preserve">في الحكم </w:t>
      </w:r>
      <w:r>
        <w:rPr>
          <w:rFonts w:hint="cs"/>
          <w:rtl/>
        </w:rPr>
        <w:t xml:space="preserve">الصادر </w:t>
      </w:r>
      <w:r w:rsidRPr="00FA0FC2">
        <w:rPr>
          <w:rFonts w:hint="cs"/>
          <w:rtl/>
        </w:rPr>
        <w:t>في</w:t>
      </w:r>
      <w:r>
        <w:rPr>
          <w:rFonts w:hint="eastAsia"/>
          <w:rtl/>
        </w:rPr>
        <w:t> </w:t>
      </w:r>
      <w:r w:rsidRPr="00FA0FC2">
        <w:rPr>
          <w:rFonts w:hint="cs"/>
          <w:rtl/>
        </w:rPr>
        <w:t xml:space="preserve">9 آذار/مارس 2010 في القضية رقم 41827/07، </w:t>
      </w:r>
      <w:r w:rsidRPr="00FA0FC2">
        <w:rPr>
          <w:rFonts w:hint="cs"/>
          <w:i/>
          <w:iCs/>
          <w:rtl/>
        </w:rPr>
        <w:t>ر. ج. ضد السويد</w:t>
      </w:r>
      <w:r w:rsidRPr="00B354B5">
        <w:rPr>
          <w:rFonts w:hint="cs"/>
          <w:i/>
          <w:iCs/>
          <w:rtl/>
        </w:rPr>
        <w:t>)</w:t>
      </w:r>
      <w:r w:rsidRPr="00FA0FC2">
        <w:rPr>
          <w:rFonts w:hint="cs"/>
          <w:rtl/>
        </w:rPr>
        <w:t xml:space="preserve"> إن مجرّد المشاركة في مظاهرة يمكن أن يُفضي إلى الاعتقال والاحتجاز والتعذيب.</w:t>
      </w:r>
    </w:p>
    <w:p w:rsidR="00091373" w:rsidRPr="00FA0FC2" w:rsidRDefault="00091373" w:rsidP="00091373">
      <w:pPr>
        <w:pStyle w:val="SingleTxtGA"/>
        <w:rPr>
          <w:rFonts w:hint="cs"/>
          <w:rtl/>
          <w:lang w:val="fr-CH"/>
        </w:rPr>
      </w:pPr>
      <w:r w:rsidRPr="00FA0FC2">
        <w:rPr>
          <w:rFonts w:hint="cs"/>
          <w:rtl/>
          <w:lang w:val="fr-CH"/>
        </w:rPr>
        <w:t>5-5</w:t>
      </w:r>
      <w:r w:rsidRPr="00FA0FC2">
        <w:rPr>
          <w:rFonts w:hint="cs"/>
          <w:rtl/>
          <w:lang w:val="fr-CH"/>
        </w:rPr>
        <w:tab/>
        <w:t>ويضيف صاحب الشكوى أن النظام في إيران قمعي</w:t>
      </w:r>
      <w:r>
        <w:rPr>
          <w:rFonts w:hint="cs"/>
          <w:rtl/>
          <w:lang w:val="fr-CH"/>
        </w:rPr>
        <w:t xml:space="preserve"> ولا</w:t>
      </w:r>
      <w:r>
        <w:rPr>
          <w:rtl/>
          <w:lang w:val="fr-CH"/>
        </w:rPr>
        <w:t> </w:t>
      </w:r>
      <w:r w:rsidRPr="00FA0FC2">
        <w:rPr>
          <w:rFonts w:hint="cs"/>
          <w:rtl/>
          <w:lang w:val="fr-CH"/>
        </w:rPr>
        <w:t>يمكن توقُّع تصرفاته وتحكمه الإيديولوجيا وليس الإجراءات، ورؤية سياسية تتمثَّل في وجود أخطار تهدده. ويمكن أن يُنظر إلى أي شخص على أنه معارض، حتى ولو</w:t>
      </w:r>
      <w:r>
        <w:rPr>
          <w:rFonts w:hint="cs"/>
          <w:rtl/>
          <w:lang w:val="fr-CH"/>
        </w:rPr>
        <w:t xml:space="preserve"> لم</w:t>
      </w:r>
      <w:r>
        <w:rPr>
          <w:rtl/>
          <w:lang w:val="fr-CH"/>
        </w:rPr>
        <w:t> </w:t>
      </w:r>
      <w:r w:rsidRPr="00FA0FC2">
        <w:rPr>
          <w:rFonts w:hint="cs"/>
          <w:rtl/>
          <w:lang w:val="fr-CH"/>
        </w:rPr>
        <w:t>يمارس أبداً أنشطة سياسية، إذا كان النظام يرى ذلك. وعليه، فإن خطر الاضطهاد مرتفع وذلك، بالذات، لعدم القدرة على التكهن بتصرفات النظام.</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r>
      <w:r>
        <w:rPr>
          <w:rFonts w:hint="cs"/>
          <w:rtl/>
          <w:lang w:val="fr-CH"/>
        </w:rPr>
        <w:t>المسائل والإجراءات المعروضة على اللجنة</w:t>
      </w:r>
    </w:p>
    <w:p w:rsidR="00091373" w:rsidRPr="00FA0FC2" w:rsidRDefault="00091373" w:rsidP="00091373">
      <w:pPr>
        <w:pStyle w:val="H4GA"/>
        <w:rPr>
          <w:rFonts w:hint="cs"/>
          <w:rtl/>
          <w:lang w:val="fr-CH"/>
        </w:rPr>
      </w:pPr>
      <w:r w:rsidRPr="00FA0FC2">
        <w:rPr>
          <w:rFonts w:hint="cs"/>
          <w:rtl/>
          <w:lang w:val="fr-CH"/>
        </w:rPr>
        <w:tab/>
      </w:r>
      <w:r w:rsidRPr="00FA0FC2">
        <w:rPr>
          <w:rFonts w:hint="cs"/>
          <w:rtl/>
          <w:lang w:val="fr-CH"/>
        </w:rPr>
        <w:tab/>
        <w:t>النظر في المقبولية</w:t>
      </w:r>
    </w:p>
    <w:p w:rsidR="00091373" w:rsidRPr="00FA0FC2" w:rsidRDefault="00091373" w:rsidP="00091373">
      <w:pPr>
        <w:pStyle w:val="SingleTxtGA"/>
        <w:rPr>
          <w:rFonts w:hint="cs"/>
          <w:rtl/>
          <w:lang w:val="fr-CH"/>
        </w:rPr>
      </w:pPr>
      <w:r w:rsidRPr="00FA0FC2">
        <w:rPr>
          <w:rFonts w:hint="cs"/>
          <w:rtl/>
          <w:lang w:val="fr-CH"/>
        </w:rPr>
        <w:t>6-</w:t>
      </w:r>
      <w:r w:rsidRPr="00FA0FC2">
        <w:rPr>
          <w:rFonts w:hint="cs"/>
          <w:rtl/>
          <w:lang w:val="fr-CH"/>
        </w:rPr>
        <w:tab/>
        <w:t>قبل النظر في أي شكوى مقدَّمة في بلاغ ما، يتعيَّن على لجنة مناهضة التعذيب أن تبتّ</w:t>
      </w:r>
      <w:r>
        <w:rPr>
          <w:rFonts w:hint="cs"/>
          <w:rtl/>
          <w:lang w:val="fr-CH"/>
        </w:rPr>
        <w:t xml:space="preserve"> فيما</w:t>
      </w:r>
      <w:r>
        <w:rPr>
          <w:rtl/>
          <w:lang w:val="fr-CH"/>
        </w:rPr>
        <w:t> </w:t>
      </w:r>
      <w:r w:rsidRPr="00FA0FC2">
        <w:rPr>
          <w:rFonts w:hint="cs"/>
          <w:rtl/>
          <w:lang w:val="fr-CH"/>
        </w:rPr>
        <w:t>إذا كان البلاغ مقبولاً</w:t>
      </w:r>
      <w:r>
        <w:rPr>
          <w:rFonts w:hint="cs"/>
          <w:rtl/>
          <w:lang w:val="fr-CH"/>
        </w:rPr>
        <w:t xml:space="preserve"> أم</w:t>
      </w:r>
      <w:r>
        <w:rPr>
          <w:rtl/>
          <w:lang w:val="fr-CH"/>
        </w:rPr>
        <w:t> </w:t>
      </w:r>
      <w:r>
        <w:rPr>
          <w:rFonts w:hint="cs"/>
          <w:rtl/>
          <w:lang w:val="fr-CH"/>
        </w:rPr>
        <w:t>لا</w:t>
      </w:r>
      <w:r>
        <w:rPr>
          <w:rtl/>
          <w:lang w:val="fr-CH"/>
        </w:rPr>
        <w:t> </w:t>
      </w:r>
      <w:r w:rsidRPr="00FA0FC2">
        <w:rPr>
          <w:rFonts w:hint="cs"/>
          <w:rtl/>
          <w:lang w:val="fr-CH"/>
        </w:rPr>
        <w:t>بموجب ال</w:t>
      </w:r>
      <w:r>
        <w:rPr>
          <w:rFonts w:hint="cs"/>
          <w:rtl/>
          <w:lang w:val="fr-CH"/>
        </w:rPr>
        <w:t>مادة</w:t>
      </w:r>
      <w:r>
        <w:rPr>
          <w:rtl/>
          <w:lang w:val="fr-CH"/>
        </w:rPr>
        <w:t> </w:t>
      </w:r>
      <w:r w:rsidRPr="00FA0FC2">
        <w:rPr>
          <w:rFonts w:hint="cs"/>
          <w:rtl/>
          <w:lang w:val="fr-CH"/>
        </w:rPr>
        <w:t>22 من الاتفاقية. وقد تأكدت اللجنة،</w:t>
      </w:r>
      <w:r>
        <w:rPr>
          <w:rFonts w:hint="cs"/>
          <w:rtl/>
          <w:lang w:val="fr-CH"/>
        </w:rPr>
        <w:t xml:space="preserve"> كما</w:t>
      </w:r>
      <w:r>
        <w:rPr>
          <w:rtl/>
          <w:lang w:val="fr-CH"/>
        </w:rPr>
        <w:t> </w:t>
      </w:r>
      <w:r w:rsidRPr="00FA0FC2">
        <w:rPr>
          <w:rFonts w:hint="cs"/>
          <w:rtl/>
          <w:lang w:val="fr-CH"/>
        </w:rPr>
        <w:t>هي مطالبة بأن تفعل ذلك بموجب الفقرة 5(أ) من ال</w:t>
      </w:r>
      <w:r>
        <w:rPr>
          <w:rFonts w:hint="cs"/>
          <w:rtl/>
          <w:lang w:val="fr-CH"/>
        </w:rPr>
        <w:t>مادة</w:t>
      </w:r>
      <w:r>
        <w:rPr>
          <w:rtl/>
          <w:lang w:val="fr-CH"/>
        </w:rPr>
        <w:t> </w:t>
      </w:r>
      <w:r w:rsidRPr="00FA0FC2">
        <w:rPr>
          <w:rFonts w:hint="cs"/>
          <w:rtl/>
          <w:lang w:val="fr-CH"/>
        </w:rPr>
        <w:t>22 من الاتفاقية، من أن المسألة نفسها</w:t>
      </w:r>
      <w:r>
        <w:rPr>
          <w:rFonts w:hint="cs"/>
          <w:rtl/>
          <w:lang w:val="fr-CH"/>
        </w:rPr>
        <w:t xml:space="preserve"> لم</w:t>
      </w:r>
      <w:r>
        <w:rPr>
          <w:rtl/>
          <w:lang w:val="fr-CH"/>
        </w:rPr>
        <w:t> </w:t>
      </w:r>
      <w:r w:rsidRPr="00FA0FC2">
        <w:rPr>
          <w:rFonts w:hint="cs"/>
          <w:rtl/>
          <w:lang w:val="fr-CH"/>
        </w:rPr>
        <w:t>تُبحث</w:t>
      </w:r>
      <w:r>
        <w:rPr>
          <w:rFonts w:hint="cs"/>
          <w:rtl/>
          <w:lang w:val="fr-CH"/>
        </w:rPr>
        <w:t xml:space="preserve"> ولا</w:t>
      </w:r>
      <w:r>
        <w:rPr>
          <w:rtl/>
          <w:lang w:val="fr-CH"/>
        </w:rPr>
        <w:t> </w:t>
      </w:r>
      <w:r w:rsidRPr="00FA0FC2">
        <w:rPr>
          <w:rFonts w:hint="cs"/>
          <w:rtl/>
          <w:lang w:val="fr-CH"/>
        </w:rPr>
        <w:t>يجري بحثها في إطار أي إجراء آخر من إجراءات التحقيق الدولي</w:t>
      </w:r>
      <w:r>
        <w:rPr>
          <w:rFonts w:hint="cs"/>
          <w:rtl/>
          <w:lang w:val="fr-CH"/>
        </w:rPr>
        <w:t xml:space="preserve"> أو</w:t>
      </w:r>
      <w:r>
        <w:rPr>
          <w:rtl/>
          <w:lang w:val="fr-CH"/>
        </w:rPr>
        <w:t> </w:t>
      </w:r>
      <w:r w:rsidRPr="00FA0FC2">
        <w:rPr>
          <w:rFonts w:hint="cs"/>
          <w:rtl/>
          <w:lang w:val="fr-CH"/>
        </w:rPr>
        <w:t>التسوية الدولية. وتلاحظ كذلك أن جميع سُبل الانتصاف المحلية قد استُنفدت. وتبعاً لذلك، ترى اللجنة أن الشكوى مقبولة وتشرع في النظر في أُسسها الموضوعية.</w:t>
      </w:r>
    </w:p>
    <w:p w:rsidR="00091373" w:rsidRPr="00FA0FC2" w:rsidRDefault="00091373" w:rsidP="00091373">
      <w:pPr>
        <w:pStyle w:val="H4GA"/>
        <w:rPr>
          <w:rFonts w:hint="cs"/>
          <w:rtl/>
          <w:lang w:val="fr-CH"/>
        </w:rPr>
      </w:pPr>
      <w:r w:rsidRPr="00FA0FC2">
        <w:rPr>
          <w:rFonts w:hint="cs"/>
          <w:rtl/>
          <w:lang w:val="fr-CH"/>
        </w:rPr>
        <w:tab/>
      </w:r>
      <w:r w:rsidRPr="00FA0FC2">
        <w:rPr>
          <w:rFonts w:hint="cs"/>
          <w:rtl/>
          <w:lang w:val="fr-CH"/>
        </w:rPr>
        <w:tab/>
        <w:t>النظر في الأسس الموضوعية</w:t>
      </w:r>
    </w:p>
    <w:p w:rsidR="00091373" w:rsidRPr="00FA0FC2" w:rsidRDefault="00091373" w:rsidP="00091373">
      <w:pPr>
        <w:pStyle w:val="SingleTxtGA"/>
        <w:rPr>
          <w:rFonts w:hint="cs"/>
          <w:rtl/>
          <w:lang w:val="fr-CH"/>
        </w:rPr>
      </w:pPr>
      <w:r w:rsidRPr="00FA0FC2">
        <w:rPr>
          <w:rFonts w:hint="cs"/>
          <w:rtl/>
          <w:lang w:val="fr-CH"/>
        </w:rPr>
        <w:t>7-1</w:t>
      </w:r>
      <w:r w:rsidRPr="00FA0FC2">
        <w:rPr>
          <w:rFonts w:hint="cs"/>
          <w:rtl/>
          <w:lang w:val="fr-CH"/>
        </w:rPr>
        <w:tab/>
        <w:t>نظرت اللجنة في البلاغ في ضوء جميع المعلومات التي أتاحها لها الطرفان المعنيان، وفقاً لأحكام الفقرة 4 من ال</w:t>
      </w:r>
      <w:r>
        <w:rPr>
          <w:rFonts w:hint="cs"/>
          <w:rtl/>
          <w:lang w:val="fr-CH"/>
        </w:rPr>
        <w:t>مادة</w:t>
      </w:r>
      <w:r>
        <w:rPr>
          <w:rtl/>
          <w:lang w:val="fr-CH"/>
        </w:rPr>
        <w:t> </w:t>
      </w:r>
      <w:r w:rsidRPr="00FA0FC2">
        <w:rPr>
          <w:rFonts w:hint="cs"/>
          <w:rtl/>
          <w:lang w:val="fr-CH"/>
        </w:rPr>
        <w:t>22 من الاتفاقية.</w:t>
      </w:r>
    </w:p>
    <w:p w:rsidR="00091373" w:rsidRPr="00FA0FC2" w:rsidRDefault="00091373" w:rsidP="00091373">
      <w:pPr>
        <w:pStyle w:val="SingleTxtGA"/>
        <w:rPr>
          <w:rFonts w:hint="cs"/>
          <w:rtl/>
          <w:lang w:val="fr-CH"/>
        </w:rPr>
      </w:pPr>
      <w:r w:rsidRPr="00FA0FC2">
        <w:rPr>
          <w:rFonts w:hint="cs"/>
          <w:rtl/>
          <w:lang w:val="fr-CH"/>
        </w:rPr>
        <w:t>7-2</w:t>
      </w:r>
      <w:r w:rsidRPr="00FA0FC2">
        <w:rPr>
          <w:rFonts w:hint="cs"/>
          <w:rtl/>
          <w:lang w:val="fr-CH"/>
        </w:rPr>
        <w:tab/>
        <w:t>ويجب أن تبتّ اللجنة</w:t>
      </w:r>
      <w:r>
        <w:rPr>
          <w:rFonts w:hint="cs"/>
          <w:rtl/>
          <w:lang w:val="fr-CH"/>
        </w:rPr>
        <w:t xml:space="preserve"> فيما</w:t>
      </w:r>
      <w:r>
        <w:rPr>
          <w:rtl/>
          <w:lang w:val="fr-CH"/>
        </w:rPr>
        <w:t> </w:t>
      </w:r>
      <w:r w:rsidRPr="00FA0FC2">
        <w:rPr>
          <w:rFonts w:hint="cs"/>
          <w:rtl/>
          <w:lang w:val="fr-CH"/>
        </w:rPr>
        <w:t>إذا كانت الدولة الطرف، بطرد صاحب الشكوى إلى إيران، ستخلّ بالالتزام الذي يقع عليها بموجب ال</w:t>
      </w:r>
      <w:r>
        <w:rPr>
          <w:rFonts w:hint="cs"/>
          <w:rtl/>
          <w:lang w:val="fr-CH"/>
        </w:rPr>
        <w:t>مادة</w:t>
      </w:r>
      <w:r>
        <w:rPr>
          <w:rtl/>
          <w:lang w:val="fr-CH"/>
        </w:rPr>
        <w:t> </w:t>
      </w:r>
      <w:r w:rsidRPr="00FA0FC2">
        <w:rPr>
          <w:rFonts w:hint="cs"/>
          <w:rtl/>
          <w:lang w:val="fr-CH"/>
        </w:rPr>
        <w:t>3 من الاتفاقية والمتمثِّل في عدم طرد أي شخص</w:t>
      </w:r>
      <w:r>
        <w:rPr>
          <w:rFonts w:hint="cs"/>
          <w:rtl/>
          <w:lang w:val="fr-CH"/>
        </w:rPr>
        <w:t xml:space="preserve"> أو</w:t>
      </w:r>
      <w:r>
        <w:rPr>
          <w:rtl/>
          <w:lang w:val="fr-CH"/>
        </w:rPr>
        <w:t> </w:t>
      </w:r>
      <w:r w:rsidRPr="00FA0FC2">
        <w:rPr>
          <w:rFonts w:hint="cs"/>
          <w:rtl/>
          <w:lang w:val="fr-CH"/>
        </w:rPr>
        <w:t>إعادته قسراً إلى دولة أخرى إذا توافرت أسباب حقيقية تدعو إلى الاعتقاد بأنه قد يتعرض فيها لخطر التعذيب.</w:t>
      </w:r>
    </w:p>
    <w:p w:rsidR="00091373" w:rsidRPr="00FA0FC2" w:rsidRDefault="00091373" w:rsidP="00091373">
      <w:pPr>
        <w:pStyle w:val="SingleTxtGA"/>
        <w:rPr>
          <w:rFonts w:hint="cs"/>
          <w:rtl/>
          <w:lang w:val="fr-CH"/>
        </w:rPr>
      </w:pPr>
      <w:r w:rsidRPr="00FA0FC2">
        <w:rPr>
          <w:rFonts w:hint="cs"/>
          <w:rtl/>
          <w:lang w:val="fr-CH"/>
        </w:rPr>
        <w:t>7-3</w:t>
      </w:r>
      <w:r w:rsidRPr="00FA0FC2">
        <w:rPr>
          <w:rFonts w:hint="cs"/>
          <w:rtl/>
          <w:lang w:val="fr-CH"/>
        </w:rPr>
        <w:tab/>
        <w:t>وفيما يتعلَّق بادعاءات صاحب الشكوى بموجب ال</w:t>
      </w:r>
      <w:r>
        <w:rPr>
          <w:rFonts w:hint="cs"/>
          <w:rtl/>
          <w:lang w:val="fr-CH"/>
        </w:rPr>
        <w:t>مادة</w:t>
      </w:r>
      <w:r>
        <w:rPr>
          <w:rtl/>
          <w:lang w:val="fr-CH"/>
        </w:rPr>
        <w:t> </w:t>
      </w:r>
      <w:r w:rsidRPr="00FA0FC2">
        <w:rPr>
          <w:rFonts w:hint="cs"/>
          <w:rtl/>
          <w:lang w:val="fr-CH"/>
        </w:rPr>
        <w:t>3، يجب أن تأخذ اللجنة في الحسبان جميع العناصر ذات الصلة،</w:t>
      </w:r>
      <w:r>
        <w:rPr>
          <w:rFonts w:hint="cs"/>
          <w:rtl/>
          <w:lang w:val="fr-CH"/>
        </w:rPr>
        <w:t xml:space="preserve"> بما</w:t>
      </w:r>
      <w:r>
        <w:rPr>
          <w:rtl/>
          <w:lang w:val="fr-CH"/>
        </w:rPr>
        <w:t> </w:t>
      </w:r>
      <w:r w:rsidRPr="00FA0FC2">
        <w:rPr>
          <w:rFonts w:hint="cs"/>
          <w:rtl/>
          <w:lang w:val="fr-CH"/>
        </w:rPr>
        <w:t>في ذلك وجود نمط ثابت من الانتهاكات الجسيم</w:t>
      </w:r>
      <w:r>
        <w:rPr>
          <w:rFonts w:hint="cs"/>
          <w:rtl/>
          <w:lang w:val="fr-CH"/>
        </w:rPr>
        <w:t>ة أو</w:t>
      </w:r>
      <w:r>
        <w:rPr>
          <w:rtl/>
          <w:lang w:val="fr-CH"/>
        </w:rPr>
        <w:t> </w:t>
      </w:r>
      <w:r w:rsidRPr="00FA0FC2">
        <w:rPr>
          <w:rFonts w:hint="cs"/>
          <w:rtl/>
          <w:lang w:val="fr-CH"/>
        </w:rPr>
        <w:t>الصارخة</w:t>
      </w:r>
      <w:r>
        <w:rPr>
          <w:rFonts w:hint="cs"/>
          <w:rtl/>
          <w:lang w:val="fr-CH"/>
        </w:rPr>
        <w:t xml:space="preserve"> أو</w:t>
      </w:r>
      <w:r>
        <w:rPr>
          <w:rtl/>
          <w:lang w:val="fr-CH"/>
        </w:rPr>
        <w:t> </w:t>
      </w:r>
      <w:r w:rsidRPr="00FA0FC2">
        <w:rPr>
          <w:rFonts w:hint="cs"/>
          <w:rtl/>
          <w:lang w:val="fr-CH"/>
        </w:rPr>
        <w:t>الجماعية لحقوق الإنسان في الدولة التي سيُعاد إليها الشخص المعني. غير أن الأمر يتعلَّق بتحديد</w:t>
      </w:r>
      <w:r>
        <w:rPr>
          <w:rFonts w:hint="cs"/>
          <w:rtl/>
          <w:lang w:val="fr-CH"/>
        </w:rPr>
        <w:t xml:space="preserve"> ما</w:t>
      </w:r>
      <w:r>
        <w:rPr>
          <w:rtl/>
          <w:lang w:val="fr-CH"/>
        </w:rPr>
        <w:t> </w:t>
      </w:r>
      <w:r w:rsidRPr="00FA0FC2">
        <w:rPr>
          <w:rFonts w:hint="cs"/>
          <w:rtl/>
          <w:lang w:val="fr-CH"/>
        </w:rPr>
        <w:t>إذا كان صاحب الشكوى سيواجه شخصياً خطر التعرُّض للتعذيب في إيران. وبالتالي، فإن وجود نمط ثابت من الانتهاكات الجسيمة</w:t>
      </w:r>
      <w:r>
        <w:rPr>
          <w:rFonts w:hint="cs"/>
          <w:rtl/>
          <w:lang w:val="fr-CH"/>
        </w:rPr>
        <w:t xml:space="preserve"> أو</w:t>
      </w:r>
      <w:r>
        <w:rPr>
          <w:rtl/>
          <w:lang w:val="fr-CH"/>
        </w:rPr>
        <w:t> </w:t>
      </w:r>
      <w:r w:rsidRPr="00FA0FC2">
        <w:rPr>
          <w:rFonts w:hint="cs"/>
          <w:rtl/>
          <w:lang w:val="fr-CH"/>
        </w:rPr>
        <w:t>الصارخة</w:t>
      </w:r>
      <w:r>
        <w:rPr>
          <w:rFonts w:hint="cs"/>
          <w:rtl/>
          <w:lang w:val="fr-CH"/>
        </w:rPr>
        <w:t xml:space="preserve"> أو</w:t>
      </w:r>
      <w:r>
        <w:rPr>
          <w:rtl/>
          <w:lang w:val="fr-CH"/>
        </w:rPr>
        <w:t> </w:t>
      </w:r>
      <w:r w:rsidRPr="00FA0FC2">
        <w:rPr>
          <w:rFonts w:hint="cs"/>
          <w:rtl/>
          <w:lang w:val="fr-CH"/>
        </w:rPr>
        <w:t>الجماعية لحقوق الإنسان في البلد</w:t>
      </w:r>
      <w:r>
        <w:rPr>
          <w:rFonts w:hint="cs"/>
          <w:rtl/>
          <w:lang w:val="fr-CH"/>
        </w:rPr>
        <w:t xml:space="preserve"> لا</w:t>
      </w:r>
      <w:r>
        <w:rPr>
          <w:rtl/>
          <w:lang w:val="fr-CH"/>
        </w:rPr>
        <w:t> </w:t>
      </w:r>
      <w:r w:rsidRPr="00FA0FC2">
        <w:rPr>
          <w:rFonts w:hint="cs"/>
          <w:rtl/>
          <w:lang w:val="fr-CH"/>
        </w:rPr>
        <w:t>يشكِّل في حدِّ ذاته سبباً كافياً لإثبات أنه سيواجه خطر التعرُّض للتعذيب عند طرده إلى البلد المعني؛ بل يجب وجود أسباب إضافية تدعو إلى الاعتقاد بأن الشخص المعني سيتعرَّض شخصياً لخطر التعذيب.</w:t>
      </w:r>
    </w:p>
    <w:p w:rsidR="00091373" w:rsidRPr="00FA0FC2" w:rsidRDefault="00091373" w:rsidP="00091373">
      <w:pPr>
        <w:pStyle w:val="SingleTxtGA"/>
        <w:rPr>
          <w:rFonts w:hint="cs"/>
          <w:rtl/>
          <w:lang w:val="fr-CH"/>
        </w:rPr>
      </w:pPr>
      <w:r w:rsidRPr="00FA0FC2">
        <w:rPr>
          <w:rFonts w:hint="cs"/>
          <w:rtl/>
          <w:lang w:val="fr-CH"/>
        </w:rPr>
        <w:t>7-4</w:t>
      </w:r>
      <w:r w:rsidRPr="00FA0FC2">
        <w:rPr>
          <w:rFonts w:hint="cs"/>
          <w:rtl/>
          <w:lang w:val="fr-CH"/>
        </w:rPr>
        <w:tab/>
        <w:t>وتشير اللجنة إلى تعليقها العام رقم 1(1997) بشأن تنفيذ ال</w:t>
      </w:r>
      <w:r>
        <w:rPr>
          <w:rFonts w:hint="cs"/>
          <w:rtl/>
          <w:lang w:val="fr-CH"/>
        </w:rPr>
        <w:t>مادة</w:t>
      </w:r>
      <w:r>
        <w:rPr>
          <w:rtl/>
          <w:lang w:val="fr-CH"/>
        </w:rPr>
        <w:t> </w:t>
      </w:r>
      <w:r w:rsidRPr="00FA0FC2">
        <w:rPr>
          <w:rFonts w:hint="cs"/>
          <w:rtl/>
          <w:lang w:val="fr-CH"/>
        </w:rPr>
        <w:t>3 من الاتفاقية، الذي ينصّ على أنه</w:t>
      </w:r>
      <w:r>
        <w:rPr>
          <w:rFonts w:hint="cs"/>
          <w:rtl/>
          <w:lang w:val="fr-CH"/>
        </w:rPr>
        <w:t xml:space="preserve"> لا</w:t>
      </w:r>
      <w:r>
        <w:rPr>
          <w:rtl/>
          <w:lang w:val="fr-CH"/>
        </w:rPr>
        <w:t> </w:t>
      </w:r>
      <w:r w:rsidRPr="00FA0FC2">
        <w:rPr>
          <w:rFonts w:hint="cs"/>
          <w:rtl/>
          <w:lang w:val="fr-CH"/>
        </w:rPr>
        <w:t>يلزم إثبات أن خطر التعذيب محتمل جداً، وإنما يجب أن يكون هذا الخطر شخصياً وفعلياً.</w:t>
      </w:r>
      <w:r>
        <w:rPr>
          <w:rFonts w:hint="cs"/>
          <w:rtl/>
          <w:lang w:val="fr-CH"/>
        </w:rPr>
        <w:t xml:space="preserve"> وفي</w:t>
      </w:r>
      <w:r>
        <w:rPr>
          <w:rtl/>
          <w:lang w:val="fr-CH"/>
        </w:rPr>
        <w:t> </w:t>
      </w:r>
      <w:r w:rsidRPr="00FA0FC2">
        <w:rPr>
          <w:rFonts w:hint="cs"/>
          <w:rtl/>
          <w:lang w:val="fr-CH"/>
        </w:rPr>
        <w:t>هذا الصدد، أكدت اللجنة في قرارات سابقة أن خطر التعذيب يجب أن يكون "متوقعاً وحقيقياً وشخصياً"</w:t>
      </w:r>
      <w:r w:rsidRPr="00FA0FC2">
        <w:rPr>
          <w:vertAlign w:val="superscript"/>
          <w:rtl/>
          <w:lang w:val="fr-CH"/>
        </w:rPr>
        <w:t>(</w:t>
      </w:r>
      <w:r w:rsidRPr="00FA0FC2">
        <w:rPr>
          <w:rStyle w:val="FootnoteReference"/>
          <w:rtl/>
          <w:lang w:val="fr-CH"/>
        </w:rPr>
        <w:footnoteReference w:id="233"/>
      </w:r>
      <w:r w:rsidRPr="00FA0FC2">
        <w:rPr>
          <w:vertAlign w:val="superscript"/>
          <w:rtl/>
          <w:lang w:val="fr-CH"/>
        </w:rPr>
        <w:t>)</w:t>
      </w:r>
      <w:r w:rsidRPr="00FA0FC2">
        <w:rPr>
          <w:rFonts w:hint="cs"/>
          <w:rtl/>
          <w:lang w:val="fr-CH"/>
        </w:rPr>
        <w:t>.</w:t>
      </w:r>
      <w:r>
        <w:rPr>
          <w:rFonts w:hint="cs"/>
          <w:rtl/>
          <w:lang w:val="fr-CH"/>
        </w:rPr>
        <w:t xml:space="preserve"> وفيما</w:t>
      </w:r>
      <w:r>
        <w:rPr>
          <w:rtl/>
          <w:lang w:val="fr-CH"/>
        </w:rPr>
        <w:t> </w:t>
      </w:r>
      <w:r w:rsidRPr="00FA0FC2">
        <w:rPr>
          <w:rFonts w:hint="cs"/>
          <w:rtl/>
          <w:lang w:val="fr-CH"/>
        </w:rPr>
        <w:t>يخص عبء الإثبات، تذكّر اللجنة بأن على صاحب الشكوى عموماً تقديم حجج مقنعة، وأن خطر التعرُّض للتعذيب يجب تقييمه بناءً على عناصر</w:t>
      </w:r>
      <w:r>
        <w:rPr>
          <w:rFonts w:hint="cs"/>
          <w:rtl/>
          <w:lang w:val="fr-CH"/>
        </w:rPr>
        <w:t xml:space="preserve"> لا</w:t>
      </w:r>
      <w:r>
        <w:rPr>
          <w:rtl/>
          <w:lang w:val="fr-CH"/>
        </w:rPr>
        <w:t> </w:t>
      </w:r>
      <w:r w:rsidRPr="00FA0FC2">
        <w:rPr>
          <w:rFonts w:hint="cs"/>
          <w:rtl/>
          <w:lang w:val="fr-CH"/>
        </w:rPr>
        <w:t>تقتصر على مجرد افتراضات</w:t>
      </w:r>
      <w:r>
        <w:rPr>
          <w:rFonts w:hint="cs"/>
          <w:rtl/>
          <w:lang w:val="fr-CH"/>
        </w:rPr>
        <w:t xml:space="preserve"> أو</w:t>
      </w:r>
      <w:r>
        <w:rPr>
          <w:rtl/>
          <w:lang w:val="fr-CH"/>
        </w:rPr>
        <w:t> </w:t>
      </w:r>
      <w:r w:rsidRPr="00FA0FC2">
        <w:rPr>
          <w:rFonts w:hint="cs"/>
          <w:rtl/>
          <w:lang w:val="fr-CH"/>
        </w:rPr>
        <w:t>شكوك.</w:t>
      </w:r>
    </w:p>
    <w:p w:rsidR="00091373" w:rsidRPr="00FA0FC2" w:rsidRDefault="00091373" w:rsidP="00091373">
      <w:pPr>
        <w:pStyle w:val="SingleTxtGA"/>
        <w:rPr>
          <w:rFonts w:hint="cs"/>
          <w:rtl/>
          <w:lang w:val="fr-CH"/>
        </w:rPr>
      </w:pPr>
      <w:r w:rsidRPr="00FA0FC2">
        <w:rPr>
          <w:rFonts w:hint="cs"/>
          <w:rtl/>
          <w:lang w:val="fr-CH"/>
        </w:rPr>
        <w:t>7-5</w:t>
      </w:r>
      <w:r w:rsidRPr="00FA0FC2">
        <w:rPr>
          <w:rFonts w:hint="cs"/>
          <w:rtl/>
          <w:lang w:val="fr-CH"/>
        </w:rPr>
        <w:tab/>
        <w:t>وعلاوةً على ذلك، تذكر اللجنة بأنها، وفقاً لتعليقها العام رقم 1، تولي وزناً كبيراً للاستنتاجات الوقائعية التي تتوصل إليها الدولة الطرف المعنية، ولكنها غير ملزمة بالأخذ بهذه الاستنتاجات وإنما لديها، على العكس، السلطة اللازمة لإجراء تقييم حر للوقائع استناداً إلى المجموعة الكاملة للظروف في كل قضية.</w:t>
      </w:r>
    </w:p>
    <w:p w:rsidR="00091373" w:rsidRPr="00FA0FC2" w:rsidRDefault="00091373" w:rsidP="00091373">
      <w:pPr>
        <w:pStyle w:val="SingleTxtGA"/>
        <w:rPr>
          <w:rFonts w:hint="cs"/>
          <w:rtl/>
        </w:rPr>
      </w:pPr>
      <w:r w:rsidRPr="00FA0FC2">
        <w:rPr>
          <w:rFonts w:hint="cs"/>
          <w:rtl/>
        </w:rPr>
        <w:t>7-6</w:t>
      </w:r>
      <w:r w:rsidRPr="00FA0FC2">
        <w:rPr>
          <w:rFonts w:hint="cs"/>
          <w:rtl/>
        </w:rPr>
        <w:tab/>
        <w:t>وفي القضية قيد النظر، يقول صاحب الشكوى إنه يواجه خطر التعرّض للتعذيب إذا</w:t>
      </w:r>
      <w:r>
        <w:rPr>
          <w:rFonts w:hint="cs"/>
          <w:rtl/>
        </w:rPr>
        <w:t xml:space="preserve"> ما</w:t>
      </w:r>
      <w:r>
        <w:rPr>
          <w:rtl/>
        </w:rPr>
        <w:t> </w:t>
      </w:r>
      <w:r w:rsidRPr="00FA0FC2">
        <w:rPr>
          <w:rFonts w:hint="cs"/>
          <w:rtl/>
        </w:rPr>
        <w:t>أُعيد إلى إيران بسبب انتمائه إلى الأقلية العربية المضطهدة في إيران وإلى العشيرة ب. التي قُتل منها عدة أفراد بالفعل واختفى منها آخرون وبسبب الأنشطة السياسية التي يمارسها شقيقه المطلوب من السلطات</w:t>
      </w:r>
      <w:r>
        <w:rPr>
          <w:rFonts w:hint="cs"/>
          <w:rtl/>
        </w:rPr>
        <w:t xml:space="preserve"> أو</w:t>
      </w:r>
      <w:r>
        <w:rPr>
          <w:rtl/>
        </w:rPr>
        <w:t> </w:t>
      </w:r>
      <w:r w:rsidRPr="00FA0FC2">
        <w:rPr>
          <w:rFonts w:hint="cs"/>
          <w:rtl/>
        </w:rPr>
        <w:t>بسبب مشاركته في مظاهرة أمام سفارة إيران في بيرن.</w:t>
      </w:r>
    </w:p>
    <w:p w:rsidR="00091373" w:rsidRPr="00FA0FC2" w:rsidRDefault="00091373" w:rsidP="00091373">
      <w:pPr>
        <w:pStyle w:val="SingleTxtGA"/>
        <w:rPr>
          <w:rFonts w:hint="cs"/>
          <w:rtl/>
        </w:rPr>
      </w:pPr>
      <w:r w:rsidRPr="00FA0FC2">
        <w:rPr>
          <w:rFonts w:hint="cs"/>
          <w:rtl/>
        </w:rPr>
        <w:t>7-7</w:t>
      </w:r>
      <w:r w:rsidRPr="00FA0FC2">
        <w:rPr>
          <w:rFonts w:hint="cs"/>
          <w:rtl/>
        </w:rPr>
        <w:tab/>
        <w:t>وتلاحظ اللجنة، في البداية، أن الحالة العامة لحقوق الإنسان في إيران يمكن أن تُعتبر حالة تنطوي على مشاكل من نواحٍ عديدة. غير أنها تلاحظ مع ذلك أن صاحب الشكوى</w:t>
      </w:r>
      <w:r>
        <w:rPr>
          <w:rFonts w:hint="cs"/>
          <w:rtl/>
        </w:rPr>
        <w:t xml:space="preserve"> لم</w:t>
      </w:r>
      <w:r>
        <w:rPr>
          <w:rtl/>
        </w:rPr>
        <w:t> </w:t>
      </w:r>
      <w:r w:rsidRPr="00FA0FC2">
        <w:rPr>
          <w:rFonts w:hint="cs"/>
          <w:rtl/>
        </w:rPr>
        <w:t>يتعرض للتعذيب في الماضي في إيران،</w:t>
      </w:r>
      <w:r>
        <w:rPr>
          <w:rFonts w:hint="cs"/>
          <w:rtl/>
        </w:rPr>
        <w:t xml:space="preserve"> لا</w:t>
      </w:r>
      <w:r>
        <w:rPr>
          <w:rtl/>
        </w:rPr>
        <w:t> </w:t>
      </w:r>
      <w:r w:rsidRPr="00FA0FC2">
        <w:rPr>
          <w:rFonts w:hint="cs"/>
          <w:rtl/>
        </w:rPr>
        <w:t>على أساس انتمائه الإثني</w:t>
      </w:r>
      <w:r>
        <w:rPr>
          <w:rFonts w:hint="cs"/>
          <w:rtl/>
        </w:rPr>
        <w:t xml:space="preserve"> ولا</w:t>
      </w:r>
      <w:r>
        <w:rPr>
          <w:rtl/>
        </w:rPr>
        <w:t> </w:t>
      </w:r>
      <w:r w:rsidRPr="00FA0FC2">
        <w:rPr>
          <w:rFonts w:hint="cs"/>
          <w:rtl/>
        </w:rPr>
        <w:t>على أساس آخر. وحتى وإن ادعى صاحب الشكوى أن أسرته اضطُهدت من قِبل السلطات التي كانت تبحث عن شقيقه الذي ادعى أنه ناشط سياسياً في المعارضة العربية المحلية السرية، فإنه</w:t>
      </w:r>
      <w:r>
        <w:rPr>
          <w:rFonts w:hint="cs"/>
          <w:rtl/>
        </w:rPr>
        <w:t xml:space="preserve"> لم</w:t>
      </w:r>
      <w:r>
        <w:rPr>
          <w:rtl/>
        </w:rPr>
        <w:t> </w:t>
      </w:r>
      <w:r w:rsidRPr="00FA0FC2">
        <w:rPr>
          <w:rFonts w:hint="cs"/>
          <w:rtl/>
        </w:rPr>
        <w:t>يُقدم أي دليل يدعم ذلك.</w:t>
      </w:r>
      <w:r>
        <w:rPr>
          <w:rFonts w:hint="cs"/>
          <w:rtl/>
        </w:rPr>
        <w:t xml:space="preserve"> وفيما</w:t>
      </w:r>
      <w:r>
        <w:rPr>
          <w:rtl/>
        </w:rPr>
        <w:t> </w:t>
      </w:r>
      <w:r w:rsidRPr="00FA0FC2">
        <w:rPr>
          <w:rFonts w:hint="cs"/>
          <w:rtl/>
        </w:rPr>
        <w:t>يتعلق بشكواه العامة بشأن الاضطهاد الذي تتعرض له الأقلية العربية، وبخاصة في منطقة خوزستان، ترى اللجنة أنها</w:t>
      </w:r>
      <w:r>
        <w:rPr>
          <w:rFonts w:hint="cs"/>
          <w:rtl/>
        </w:rPr>
        <w:t xml:space="preserve"> لا</w:t>
      </w:r>
      <w:r>
        <w:rPr>
          <w:rtl/>
        </w:rPr>
        <w:t> </w:t>
      </w:r>
      <w:r w:rsidRPr="00FA0FC2">
        <w:rPr>
          <w:rFonts w:hint="cs"/>
          <w:rtl/>
        </w:rPr>
        <w:t>تُبرّر في أي حال الخلوص إلى أنه يواجه خطراً حقيقياً وشخصياً ومؤكداً للتعرض للتعذيب لدى عودته.</w:t>
      </w:r>
    </w:p>
    <w:p w:rsidR="00091373" w:rsidRPr="007279DC" w:rsidRDefault="00091373" w:rsidP="00091373">
      <w:pPr>
        <w:pStyle w:val="SingleTxtGA"/>
        <w:rPr>
          <w:rFonts w:hint="cs"/>
          <w:spacing w:val="-4"/>
          <w:rtl/>
        </w:rPr>
      </w:pPr>
      <w:r w:rsidRPr="007279DC">
        <w:rPr>
          <w:rFonts w:hint="cs"/>
          <w:spacing w:val="-4"/>
          <w:rtl/>
        </w:rPr>
        <w:t>7-8</w:t>
      </w:r>
      <w:r w:rsidRPr="007279DC">
        <w:rPr>
          <w:rFonts w:hint="cs"/>
          <w:spacing w:val="-4"/>
          <w:rtl/>
        </w:rPr>
        <w:tab/>
        <w:t>وتشير اللجنة أيضاً إلى أن صاحب الشكوى لم</w:t>
      </w:r>
      <w:r w:rsidRPr="007279DC">
        <w:rPr>
          <w:spacing w:val="-4"/>
          <w:rtl/>
        </w:rPr>
        <w:t> </w:t>
      </w:r>
      <w:r w:rsidRPr="007279DC">
        <w:rPr>
          <w:rFonts w:hint="cs"/>
          <w:spacing w:val="-4"/>
          <w:rtl/>
        </w:rPr>
        <w:t>يكن ناشطاً على الصعيد السياسي في بلده الأصلي وأنه لن</w:t>
      </w:r>
      <w:r w:rsidRPr="007279DC">
        <w:rPr>
          <w:spacing w:val="-4"/>
          <w:rtl/>
        </w:rPr>
        <w:t> </w:t>
      </w:r>
      <w:r w:rsidRPr="007279DC">
        <w:rPr>
          <w:rFonts w:hint="cs"/>
          <w:spacing w:val="-4"/>
          <w:rtl/>
        </w:rPr>
        <w:t>يتعرض بالتالي للخطر في حال إعادته. أما</w:t>
      </w:r>
      <w:r w:rsidRPr="007279DC">
        <w:rPr>
          <w:spacing w:val="-4"/>
          <w:rtl/>
        </w:rPr>
        <w:t> </w:t>
      </w:r>
      <w:r w:rsidRPr="007279DC">
        <w:rPr>
          <w:rFonts w:hint="cs"/>
          <w:spacing w:val="-4"/>
          <w:rtl/>
        </w:rPr>
        <w:t>بشأن أنشطته السياسية في سويسرا، فإن اللجنة تلاحظ أنه شارك مرة واحدة في مظاهرة مع مجموعة عربية أمام السفارة الإيرانية في بيرن، وأنه نُشرت بعد ذلك في صفحة على الإنترنت صورة من بين مئات الصور الأخرى، يظهر فيها صاحب الشكوى. وتشير اللجنة إلى حجة الدولة الطرف، التي لم</w:t>
      </w:r>
      <w:r w:rsidRPr="007279DC">
        <w:rPr>
          <w:spacing w:val="-4"/>
          <w:rtl/>
        </w:rPr>
        <w:t> </w:t>
      </w:r>
      <w:r w:rsidRPr="007279DC">
        <w:rPr>
          <w:rFonts w:hint="cs"/>
          <w:spacing w:val="-4"/>
          <w:rtl/>
        </w:rPr>
        <w:t>يدحضها صاحب الشكوى، والقائلة إن المظاهرة المذكورة ضمّت عدة عشرات من المشاركين. وترى اللجنة أن المشاركة الفردية في مظاهرة جماعية، حتى ولو كانت السلطات الإيرانية على عِلم بذلك، لا</w:t>
      </w:r>
      <w:r w:rsidRPr="007279DC">
        <w:rPr>
          <w:spacing w:val="-4"/>
          <w:rtl/>
        </w:rPr>
        <w:t> </w:t>
      </w:r>
      <w:r w:rsidRPr="007279DC">
        <w:rPr>
          <w:rFonts w:hint="cs"/>
          <w:spacing w:val="-4"/>
          <w:rtl/>
        </w:rPr>
        <w:t>تُجيز الاعتقاد، في حال عدم وجود عناصر أخرى، بأن صاحب الشكوى يمكن أن يتعرّض من جراء ذلك للتعذيب أو</w:t>
      </w:r>
      <w:r w:rsidRPr="007279DC">
        <w:rPr>
          <w:spacing w:val="-4"/>
          <w:rtl/>
        </w:rPr>
        <w:t> </w:t>
      </w:r>
      <w:r w:rsidRPr="007279DC">
        <w:rPr>
          <w:rFonts w:hint="cs"/>
          <w:spacing w:val="-4"/>
          <w:rtl/>
        </w:rPr>
        <w:t>أي شكل آخر من الاضطهاد في حال إعادته إلى إيران.</w:t>
      </w:r>
    </w:p>
    <w:p w:rsidR="00091373" w:rsidRPr="00FA0FC2" w:rsidRDefault="00091373" w:rsidP="00091373">
      <w:pPr>
        <w:pStyle w:val="SingleTxtGA"/>
        <w:rPr>
          <w:rFonts w:hint="cs"/>
          <w:rtl/>
        </w:rPr>
      </w:pPr>
      <w:r w:rsidRPr="00FA0FC2">
        <w:rPr>
          <w:rFonts w:hint="cs"/>
          <w:rtl/>
        </w:rPr>
        <w:t>7-9</w:t>
      </w:r>
      <w:r w:rsidRPr="00FA0FC2">
        <w:rPr>
          <w:rFonts w:hint="cs"/>
          <w:rtl/>
        </w:rPr>
        <w:tab/>
        <w:t>وفيما يتعلق</w:t>
      </w:r>
      <w:r>
        <w:rPr>
          <w:rFonts w:hint="cs"/>
          <w:rtl/>
        </w:rPr>
        <w:t xml:space="preserve"> بما</w:t>
      </w:r>
      <w:r>
        <w:rPr>
          <w:rtl/>
        </w:rPr>
        <w:t> </w:t>
      </w:r>
      <w:r w:rsidRPr="00FA0FC2">
        <w:rPr>
          <w:rFonts w:hint="cs"/>
          <w:rtl/>
        </w:rPr>
        <w:t>أوضحه صاحب الشكوى من أن من الصعب تقديم أدلة تتعلق بادعاءاته</w:t>
      </w:r>
      <w:r>
        <w:rPr>
          <w:rFonts w:hint="cs"/>
          <w:rtl/>
        </w:rPr>
        <w:t xml:space="preserve"> أو</w:t>
      </w:r>
      <w:r>
        <w:rPr>
          <w:rtl/>
        </w:rPr>
        <w:t> </w:t>
      </w:r>
      <w:r w:rsidRPr="00FA0FC2">
        <w:rPr>
          <w:rFonts w:hint="cs"/>
          <w:rtl/>
        </w:rPr>
        <w:t>أيضاً بشأن استحالة تقديم المزيد من التفاصيل عن اسم الحزب السياسي الذي كان شقيقه ينشط لحسابه سياسياً</w:t>
      </w:r>
      <w:r>
        <w:rPr>
          <w:rFonts w:hint="cs"/>
          <w:rtl/>
        </w:rPr>
        <w:t xml:space="preserve"> أو</w:t>
      </w:r>
      <w:r>
        <w:rPr>
          <w:rtl/>
        </w:rPr>
        <w:t> </w:t>
      </w:r>
      <w:r w:rsidRPr="00FA0FC2">
        <w:rPr>
          <w:rFonts w:hint="cs"/>
          <w:rtl/>
        </w:rPr>
        <w:t>أيضاً بشأن الأنشطة المُحددة التي كان يمارسها شقيقه، وذلك نظراً إلى السرية التي تحيط بها، فإن اللجنة تُذكّر، وفقاً لأحكامها السابقة، بأنه يعود عادة إلى صاحب الشكوى تقديم حُجج وجيهة وأنه يتعين تقييم خطر التعذيب بالاستناد إلى أُسس</w:t>
      </w:r>
      <w:r>
        <w:rPr>
          <w:rFonts w:hint="cs"/>
          <w:rtl/>
        </w:rPr>
        <w:t xml:space="preserve"> لا</w:t>
      </w:r>
      <w:r>
        <w:rPr>
          <w:rtl/>
        </w:rPr>
        <w:t> </w:t>
      </w:r>
      <w:r w:rsidRPr="00FA0FC2">
        <w:rPr>
          <w:rFonts w:hint="cs"/>
          <w:rtl/>
        </w:rPr>
        <w:t>تقتصر على مجرد الافتراضات</w:t>
      </w:r>
      <w:r>
        <w:rPr>
          <w:rFonts w:hint="cs"/>
          <w:rtl/>
        </w:rPr>
        <w:t xml:space="preserve"> أو</w:t>
      </w:r>
      <w:r>
        <w:rPr>
          <w:rtl/>
        </w:rPr>
        <w:t> </w:t>
      </w:r>
      <w:r w:rsidRPr="00FA0FC2">
        <w:rPr>
          <w:rFonts w:hint="cs"/>
          <w:rtl/>
        </w:rPr>
        <w:t>الشكوك</w:t>
      </w:r>
      <w:r w:rsidRPr="00FA0FC2">
        <w:rPr>
          <w:vertAlign w:val="superscript"/>
          <w:rtl/>
        </w:rPr>
        <w:t>(</w:t>
      </w:r>
      <w:r w:rsidRPr="00FA0FC2">
        <w:rPr>
          <w:rStyle w:val="FootnoteReference"/>
          <w:rtl/>
        </w:rPr>
        <w:footnoteReference w:id="234"/>
      </w:r>
      <w:r w:rsidRPr="00FA0FC2">
        <w:rPr>
          <w:vertAlign w:val="superscript"/>
          <w:rtl/>
        </w:rPr>
        <w:t>)</w:t>
      </w:r>
      <w:r w:rsidRPr="00FA0FC2">
        <w:rPr>
          <w:rFonts w:hint="cs"/>
          <w:rtl/>
        </w:rPr>
        <w:t>.</w:t>
      </w:r>
    </w:p>
    <w:p w:rsidR="00091373" w:rsidRPr="00FA0FC2" w:rsidRDefault="00091373" w:rsidP="00091373">
      <w:pPr>
        <w:pStyle w:val="SingleTxtGA"/>
        <w:rPr>
          <w:rFonts w:hint="cs"/>
          <w:rtl/>
        </w:rPr>
      </w:pPr>
      <w:r w:rsidRPr="00FA0FC2">
        <w:rPr>
          <w:rFonts w:hint="cs"/>
          <w:rtl/>
        </w:rPr>
        <w:t>8-</w:t>
      </w:r>
      <w:r w:rsidRPr="00FA0FC2">
        <w:rPr>
          <w:rFonts w:hint="cs"/>
          <w:rtl/>
        </w:rPr>
        <w:tab/>
        <w:t>واستناداً إلى مُجمل الاعتبارات السابقة، ومع مراعاة مُجمل المعلومات المُقدّمة إلى اللجنة، ترى اللجنة أن صاحب الشكوى</w:t>
      </w:r>
      <w:r>
        <w:rPr>
          <w:rFonts w:hint="cs"/>
          <w:rtl/>
        </w:rPr>
        <w:t xml:space="preserve"> لم</w:t>
      </w:r>
      <w:r>
        <w:rPr>
          <w:rtl/>
        </w:rPr>
        <w:t> </w:t>
      </w:r>
      <w:r w:rsidRPr="00FA0FC2">
        <w:rPr>
          <w:rFonts w:hint="cs"/>
          <w:rtl/>
        </w:rPr>
        <w:t>يُقدم</w:t>
      </w:r>
      <w:r>
        <w:rPr>
          <w:rFonts w:hint="cs"/>
          <w:rtl/>
        </w:rPr>
        <w:t xml:space="preserve"> ما</w:t>
      </w:r>
      <w:r>
        <w:rPr>
          <w:rtl/>
        </w:rPr>
        <w:t> </w:t>
      </w:r>
      <w:r w:rsidRPr="00FA0FC2">
        <w:rPr>
          <w:rFonts w:hint="cs"/>
          <w:rtl/>
        </w:rPr>
        <w:t>يكفي من العناصر التي تسمح بالخلوص إلى أنه يواجه شخصياً خطراً حقيقياً ومتوقّعاً للتعرّض للتعذيب إذا</w:t>
      </w:r>
      <w:r>
        <w:rPr>
          <w:rFonts w:hint="cs"/>
          <w:rtl/>
        </w:rPr>
        <w:t xml:space="preserve"> ما</w:t>
      </w:r>
      <w:r>
        <w:rPr>
          <w:rtl/>
        </w:rPr>
        <w:t> </w:t>
      </w:r>
      <w:r w:rsidRPr="00FA0FC2">
        <w:rPr>
          <w:rFonts w:hint="cs"/>
          <w:rtl/>
        </w:rPr>
        <w:t>أُعيد إلى بلده الأصلي.</w:t>
      </w:r>
    </w:p>
    <w:p w:rsidR="00091373" w:rsidRDefault="00091373" w:rsidP="00091373">
      <w:pPr>
        <w:pStyle w:val="SingleTxtGA"/>
        <w:rPr>
          <w:rFonts w:hint="cs"/>
          <w:rtl/>
        </w:rPr>
      </w:pPr>
      <w:r w:rsidRPr="00FA0FC2">
        <w:rPr>
          <w:rFonts w:hint="cs"/>
          <w:rtl/>
        </w:rPr>
        <w:t>9-</w:t>
      </w:r>
      <w:r w:rsidRPr="00FA0FC2">
        <w:rPr>
          <w:rFonts w:hint="cs"/>
          <w:rtl/>
        </w:rPr>
        <w:tab/>
        <w:t>وتخلص لجنة مناهضة التعذيب، عملاً بالفقرة 7 من ال</w:t>
      </w:r>
      <w:r>
        <w:rPr>
          <w:rFonts w:hint="cs"/>
          <w:rtl/>
        </w:rPr>
        <w:t>مادة</w:t>
      </w:r>
      <w:r>
        <w:rPr>
          <w:rtl/>
        </w:rPr>
        <w:t> </w:t>
      </w:r>
      <w:r w:rsidRPr="00FA0FC2">
        <w:rPr>
          <w:rFonts w:hint="cs"/>
          <w:rtl/>
        </w:rPr>
        <w:t>22 من اتفاقية مناهضة التعذيب وغيره من ضروب المعاملة</w:t>
      </w:r>
      <w:r>
        <w:rPr>
          <w:rFonts w:hint="cs"/>
          <w:rtl/>
        </w:rPr>
        <w:t xml:space="preserve"> أو</w:t>
      </w:r>
      <w:r>
        <w:rPr>
          <w:rtl/>
        </w:rPr>
        <w:t> </w:t>
      </w:r>
      <w:r w:rsidRPr="00FA0FC2">
        <w:rPr>
          <w:rFonts w:hint="cs"/>
          <w:rtl/>
        </w:rPr>
        <w:t>العقوبة القاسية</w:t>
      </w:r>
      <w:r>
        <w:rPr>
          <w:rFonts w:hint="cs"/>
          <w:rtl/>
        </w:rPr>
        <w:t xml:space="preserve"> أو</w:t>
      </w:r>
      <w:r>
        <w:rPr>
          <w:rtl/>
        </w:rPr>
        <w:t> </w:t>
      </w:r>
      <w:r w:rsidRPr="00FA0FC2">
        <w:rPr>
          <w:rFonts w:hint="cs"/>
          <w:rtl/>
        </w:rPr>
        <w:t>اللاإنسانية</w:t>
      </w:r>
      <w:r>
        <w:rPr>
          <w:rFonts w:hint="cs"/>
          <w:rtl/>
        </w:rPr>
        <w:t xml:space="preserve"> أو</w:t>
      </w:r>
      <w:r>
        <w:rPr>
          <w:rtl/>
        </w:rPr>
        <w:t> </w:t>
      </w:r>
      <w:r w:rsidRPr="00FA0FC2">
        <w:rPr>
          <w:rFonts w:hint="cs"/>
          <w:rtl/>
        </w:rPr>
        <w:t>المهينة، إلى أن ترحيل صاحب الشكوى إلى إيران</w:t>
      </w:r>
      <w:r>
        <w:rPr>
          <w:rFonts w:hint="cs"/>
          <w:rtl/>
        </w:rPr>
        <w:t xml:space="preserve"> لا</w:t>
      </w:r>
      <w:r>
        <w:rPr>
          <w:rtl/>
        </w:rPr>
        <w:t> </w:t>
      </w:r>
      <w:r w:rsidRPr="00FA0FC2">
        <w:rPr>
          <w:rFonts w:hint="cs"/>
          <w:rtl/>
        </w:rPr>
        <w:t xml:space="preserve">يشكّل انتهاكاً </w:t>
      </w:r>
      <w:r>
        <w:rPr>
          <w:rFonts w:hint="cs"/>
          <w:rtl/>
        </w:rPr>
        <w:t>ل</w:t>
      </w:r>
      <w:r w:rsidRPr="00FA0FC2">
        <w:rPr>
          <w:rFonts w:hint="cs"/>
          <w:rtl/>
        </w:rPr>
        <w:t>ل</w:t>
      </w:r>
      <w:r>
        <w:rPr>
          <w:rFonts w:hint="cs"/>
          <w:rtl/>
        </w:rPr>
        <w:t>مادة</w:t>
      </w:r>
      <w:r>
        <w:rPr>
          <w:rtl/>
        </w:rPr>
        <w:t> </w:t>
      </w:r>
      <w:r w:rsidRPr="00FA0FC2">
        <w:rPr>
          <w:rFonts w:hint="cs"/>
          <w:rtl/>
        </w:rPr>
        <w:t>3 من الاتفاقية.</w:t>
      </w:r>
    </w:p>
    <w:p w:rsidR="00DE4AC4" w:rsidRPr="00FA0FC2" w:rsidRDefault="00DE4AC4" w:rsidP="00091373">
      <w:pPr>
        <w:pStyle w:val="SingleTxtGA"/>
        <w:rPr>
          <w:rFonts w:hint="cs"/>
          <w:szCs w:val="20"/>
          <w:rtl/>
        </w:rPr>
      </w:pPr>
    </w:p>
    <w:p w:rsidR="00091373" w:rsidRPr="00FA0FC2" w:rsidRDefault="00091373" w:rsidP="00091373">
      <w:pPr>
        <w:pStyle w:val="SingleTxtGA"/>
        <w:rPr>
          <w:szCs w:val="20"/>
          <w:rtl/>
        </w:rPr>
        <w:sectPr w:rsidR="00091373" w:rsidRPr="00FA0FC2" w:rsidSect="00091373">
          <w:footnotePr>
            <w:numFmt w:val="arabicAbjad"/>
            <w:numRestart w:val="eachSect"/>
          </w:footnotePr>
          <w:endnotePr>
            <w:numFmt w:val="decimal"/>
          </w:endnotePr>
          <w:pgSz w:w="11906" w:h="16838" w:code="9"/>
          <w:pgMar w:top="1701" w:right="1134" w:bottom="2268" w:left="1134" w:header="1134" w:footer="1701" w:gutter="0"/>
          <w:cols w:space="708"/>
          <w:bidi/>
          <w:rtlGutter/>
          <w:docGrid w:linePitch="360"/>
        </w:sectPr>
      </w:pPr>
    </w:p>
    <w:p w:rsidR="00091373" w:rsidRPr="00B354B5" w:rsidRDefault="00091373" w:rsidP="00091373">
      <w:pPr>
        <w:pStyle w:val="H1GA"/>
        <w:spacing w:before="120"/>
        <w:rPr>
          <w:i/>
          <w:iCs/>
          <w:rtl/>
        </w:rPr>
      </w:pPr>
      <w:r w:rsidRPr="00FA0FC2">
        <w:rPr>
          <w:rtl/>
        </w:rPr>
        <w:tab/>
      </w:r>
      <w:r w:rsidRPr="00FA0FC2">
        <w:rPr>
          <w:rFonts w:hint="cs"/>
          <w:rtl/>
        </w:rPr>
        <w:tab/>
        <w:t>البلاغ رقم 463/2011</w:t>
      </w:r>
      <w:r>
        <w:rPr>
          <w:rFonts w:hint="cs"/>
          <w:rtl/>
        </w:rPr>
        <w:t xml:space="preserve">: </w:t>
      </w:r>
      <w:r>
        <w:rPr>
          <w:rFonts w:hint="cs"/>
          <w:i/>
          <w:iCs/>
          <w:rtl/>
        </w:rPr>
        <w:t>د. واي. ضد السويد</w:t>
      </w:r>
    </w:p>
    <w:p w:rsidR="00091373" w:rsidRPr="00FA0FC2" w:rsidRDefault="00091373" w:rsidP="00091373">
      <w:pPr>
        <w:pStyle w:val="SingleTxtGA"/>
        <w:tabs>
          <w:tab w:val="clear" w:pos="1928"/>
        </w:tabs>
        <w:ind w:left="4598" w:hanging="2670"/>
        <w:rPr>
          <w:rtl/>
        </w:rPr>
      </w:pPr>
      <w:r w:rsidRPr="00FA0FC2">
        <w:rPr>
          <w:rFonts w:hint="cs"/>
          <w:i/>
          <w:iCs/>
          <w:rtl/>
        </w:rPr>
        <w:t>المقدم من</w:t>
      </w:r>
      <w:r w:rsidRPr="00FA0FC2">
        <w:rPr>
          <w:rFonts w:hint="cs"/>
          <w:rtl/>
        </w:rPr>
        <w:t>:</w:t>
      </w:r>
      <w:r w:rsidRPr="00FA0FC2">
        <w:rPr>
          <w:rtl/>
        </w:rPr>
        <w:tab/>
      </w:r>
      <w:r w:rsidRPr="00FA0FC2">
        <w:rPr>
          <w:rFonts w:hint="cs"/>
          <w:rtl/>
        </w:rPr>
        <w:tab/>
      </w:r>
      <w:r w:rsidRPr="00FA0FC2">
        <w:rPr>
          <w:rtl/>
        </w:rPr>
        <w:tab/>
      </w:r>
      <w:r w:rsidRPr="00FA0FC2">
        <w:rPr>
          <w:rFonts w:hint="cs"/>
          <w:rtl/>
        </w:rPr>
        <w:t>د. واي. (تمثله محامية، هي إيفا ريمستن من الصليب الأحمر السويدي)</w:t>
      </w:r>
    </w:p>
    <w:p w:rsidR="00091373" w:rsidRPr="00FA0FC2" w:rsidRDefault="00091373" w:rsidP="00091373">
      <w:pPr>
        <w:pStyle w:val="SingleTxtGA"/>
        <w:tabs>
          <w:tab w:val="clear" w:pos="1928"/>
        </w:tabs>
        <w:ind w:left="4598" w:hanging="2670"/>
        <w:rPr>
          <w:rtl/>
        </w:rPr>
      </w:pPr>
      <w:r w:rsidRPr="00FA0FC2">
        <w:rPr>
          <w:rFonts w:hint="cs"/>
          <w:i/>
          <w:iCs/>
          <w:rtl/>
        </w:rPr>
        <w:t>الشخص المدعى أنه ضحية</w:t>
      </w:r>
      <w:r w:rsidRPr="00FA0FC2">
        <w:rPr>
          <w:rFonts w:hint="cs"/>
          <w:rtl/>
        </w:rPr>
        <w:t>:</w:t>
      </w:r>
      <w:r w:rsidRPr="00FA0FC2">
        <w:rPr>
          <w:rtl/>
        </w:rPr>
        <w:tab/>
      </w:r>
      <w:r w:rsidRPr="00FA0FC2">
        <w:rPr>
          <w:rFonts w:hint="cs"/>
          <w:rtl/>
        </w:rPr>
        <w:t>صاحب الشكوى</w:t>
      </w:r>
    </w:p>
    <w:p w:rsidR="00091373" w:rsidRPr="00FA0FC2" w:rsidRDefault="00091373" w:rsidP="00091373">
      <w:pPr>
        <w:pStyle w:val="SingleTxtGA"/>
        <w:tabs>
          <w:tab w:val="clear" w:pos="1928"/>
        </w:tabs>
        <w:ind w:left="4598" w:hanging="2670"/>
      </w:pPr>
      <w:r w:rsidRPr="00FA0FC2">
        <w:rPr>
          <w:rFonts w:hint="cs"/>
          <w:i/>
          <w:iCs/>
          <w:rtl/>
        </w:rPr>
        <w:t>الدولة الطرف</w:t>
      </w:r>
      <w:r w:rsidRPr="00FA0FC2">
        <w:rPr>
          <w:rFonts w:hint="cs"/>
          <w:rtl/>
        </w:rPr>
        <w:t>:</w:t>
      </w:r>
      <w:r w:rsidRPr="00FA0FC2">
        <w:rPr>
          <w:rtl/>
        </w:rPr>
        <w:tab/>
      </w:r>
      <w:r w:rsidRPr="00FA0FC2">
        <w:rPr>
          <w:rFonts w:hint="cs"/>
          <w:rtl/>
        </w:rPr>
        <w:tab/>
      </w:r>
      <w:r w:rsidRPr="00FA0FC2">
        <w:rPr>
          <w:rtl/>
        </w:rPr>
        <w:tab/>
      </w:r>
      <w:r w:rsidRPr="00FA0FC2">
        <w:rPr>
          <w:rFonts w:hint="cs"/>
          <w:rtl/>
        </w:rPr>
        <w:t>السويد</w:t>
      </w:r>
    </w:p>
    <w:p w:rsidR="00091373" w:rsidRPr="00FA0FC2" w:rsidRDefault="00091373" w:rsidP="00091373">
      <w:pPr>
        <w:pStyle w:val="SingleTxtGA"/>
        <w:tabs>
          <w:tab w:val="clear" w:pos="1928"/>
        </w:tabs>
        <w:ind w:left="4598" w:hanging="2670"/>
        <w:rPr>
          <w:rtl/>
        </w:rPr>
      </w:pPr>
      <w:r w:rsidRPr="00FA0FC2">
        <w:rPr>
          <w:rFonts w:hint="cs"/>
          <w:i/>
          <w:iCs/>
          <w:rtl/>
        </w:rPr>
        <w:t>تاريخ تقديم الشكوى</w:t>
      </w:r>
      <w:r w:rsidRPr="00FA0FC2">
        <w:rPr>
          <w:rFonts w:hint="cs"/>
          <w:rtl/>
        </w:rPr>
        <w:t>:</w:t>
      </w:r>
      <w:r w:rsidRPr="00FA0FC2">
        <w:rPr>
          <w:rtl/>
        </w:rPr>
        <w:tab/>
      </w:r>
      <w:r w:rsidRPr="00FA0FC2">
        <w:rPr>
          <w:rFonts w:hint="cs"/>
          <w:rtl/>
        </w:rPr>
        <w:tab/>
        <w:t>30 أيار/مايو 2011 (تاريخ الرسالة الأولى)</w:t>
      </w:r>
    </w:p>
    <w:p w:rsidR="00091373" w:rsidRPr="00FA0FC2" w:rsidRDefault="00091373" w:rsidP="00091373">
      <w:pPr>
        <w:pStyle w:val="SingleTxtGA"/>
        <w:rPr>
          <w:rtl/>
        </w:rPr>
      </w:pPr>
      <w:r w:rsidRPr="00FA0FC2">
        <w:rPr>
          <w:rFonts w:hint="cs"/>
          <w:i/>
          <w:iCs/>
          <w:rtl/>
        </w:rPr>
        <w:tab/>
      </w:r>
      <w:r w:rsidRPr="00FA0FC2">
        <w:rPr>
          <w:i/>
          <w:iCs/>
          <w:rtl/>
        </w:rPr>
        <w:t>إن لجنة مناهضة التعذيب</w:t>
      </w:r>
      <w:r w:rsidRPr="00FA0FC2">
        <w:rPr>
          <w:rtl/>
        </w:rPr>
        <w:t xml:space="preserve"> المنشأة بموجب ال</w:t>
      </w:r>
      <w:r>
        <w:rPr>
          <w:rtl/>
        </w:rPr>
        <w:t>مادة </w:t>
      </w:r>
      <w:r w:rsidRPr="00FA0FC2">
        <w:rPr>
          <w:rtl/>
        </w:rPr>
        <w:t>17 من اتفاقية مناهضة التعذيب وغيره من ضروب المعاملة</w:t>
      </w:r>
      <w:r>
        <w:rPr>
          <w:rtl/>
        </w:rPr>
        <w:t xml:space="preserve"> أو </w:t>
      </w:r>
      <w:r w:rsidRPr="00FA0FC2">
        <w:rPr>
          <w:rtl/>
        </w:rPr>
        <w:t>العقوبة القاسية</w:t>
      </w:r>
      <w:r>
        <w:rPr>
          <w:rtl/>
        </w:rPr>
        <w:t xml:space="preserve"> أو </w:t>
      </w:r>
      <w:r w:rsidRPr="00FA0FC2">
        <w:rPr>
          <w:rtl/>
        </w:rPr>
        <w:t>اللاإنسانية</w:t>
      </w:r>
      <w:r>
        <w:rPr>
          <w:rtl/>
        </w:rPr>
        <w:t xml:space="preserve"> أو </w:t>
      </w:r>
      <w:r w:rsidRPr="00FA0FC2">
        <w:rPr>
          <w:rtl/>
        </w:rPr>
        <w:t>المهينة،</w:t>
      </w:r>
    </w:p>
    <w:p w:rsidR="00091373" w:rsidRPr="00FA0FC2" w:rsidRDefault="00091373" w:rsidP="00091373">
      <w:pPr>
        <w:pStyle w:val="SingleTxtGA"/>
      </w:pPr>
      <w:r w:rsidRPr="00FA0FC2">
        <w:rPr>
          <w:rFonts w:hint="cs"/>
          <w:i/>
          <w:iCs/>
          <w:rtl/>
        </w:rPr>
        <w:tab/>
      </w:r>
      <w:r w:rsidRPr="00FA0FC2">
        <w:rPr>
          <w:i/>
          <w:iCs/>
          <w:rtl/>
        </w:rPr>
        <w:t>وقد اجتمعت</w:t>
      </w:r>
      <w:r w:rsidRPr="00FA0FC2">
        <w:rPr>
          <w:rtl/>
        </w:rPr>
        <w:t xml:space="preserve"> في </w:t>
      </w:r>
      <w:r w:rsidRPr="00FA0FC2">
        <w:rPr>
          <w:rFonts w:hint="cs"/>
          <w:rtl/>
        </w:rPr>
        <w:t>21</w:t>
      </w:r>
      <w:r w:rsidRPr="00FA0FC2">
        <w:rPr>
          <w:rtl/>
        </w:rPr>
        <w:t xml:space="preserve"> </w:t>
      </w:r>
      <w:r w:rsidRPr="00FA0FC2">
        <w:rPr>
          <w:rFonts w:hint="cs"/>
          <w:rtl/>
        </w:rPr>
        <w:t>أيار</w:t>
      </w:r>
      <w:r w:rsidRPr="00FA0FC2">
        <w:rPr>
          <w:rtl/>
        </w:rPr>
        <w:t>/</w:t>
      </w:r>
      <w:r w:rsidRPr="00FA0FC2">
        <w:rPr>
          <w:rFonts w:hint="cs"/>
          <w:rtl/>
        </w:rPr>
        <w:t>مايو 2013</w:t>
      </w:r>
      <w:r w:rsidRPr="00FA0FC2">
        <w:rPr>
          <w:rtl/>
        </w:rPr>
        <w:t xml:space="preserve">، </w:t>
      </w:r>
    </w:p>
    <w:p w:rsidR="00091373" w:rsidRPr="00FA0FC2" w:rsidRDefault="00091373" w:rsidP="00091373">
      <w:pPr>
        <w:pStyle w:val="SingleTxtGA"/>
      </w:pPr>
      <w:r w:rsidRPr="00FA0FC2">
        <w:rPr>
          <w:rFonts w:hint="cs"/>
          <w:i/>
          <w:iCs/>
          <w:rtl/>
        </w:rPr>
        <w:tab/>
      </w:r>
      <w:r w:rsidRPr="00FA0FC2">
        <w:rPr>
          <w:rtl/>
        </w:rPr>
        <w:t>وقد</w:t>
      </w:r>
      <w:r w:rsidRPr="00FA0FC2">
        <w:rPr>
          <w:rFonts w:hint="cs"/>
          <w:rtl/>
        </w:rPr>
        <w:t xml:space="preserve"> فرغت من النظر في الشكوى</w:t>
      </w:r>
      <w:r w:rsidRPr="00FA0FC2">
        <w:rPr>
          <w:rtl/>
        </w:rPr>
        <w:t xml:space="preserve"> رقم </w:t>
      </w:r>
      <w:r w:rsidRPr="00FA0FC2">
        <w:rPr>
          <w:rFonts w:hint="cs"/>
          <w:rtl/>
        </w:rPr>
        <w:t>463</w:t>
      </w:r>
      <w:r w:rsidRPr="00FA0FC2">
        <w:rPr>
          <w:rtl/>
        </w:rPr>
        <w:t>/</w:t>
      </w:r>
      <w:r w:rsidRPr="00FA0FC2">
        <w:rPr>
          <w:rFonts w:hint="cs"/>
          <w:rtl/>
        </w:rPr>
        <w:t>2011</w:t>
      </w:r>
      <w:r w:rsidRPr="00FA0FC2">
        <w:rPr>
          <w:rtl/>
        </w:rPr>
        <w:t>، المقدم</w:t>
      </w:r>
      <w:r w:rsidRPr="00FA0FC2">
        <w:rPr>
          <w:rFonts w:hint="cs"/>
          <w:rtl/>
        </w:rPr>
        <w:t>ة</w:t>
      </w:r>
      <w:r w:rsidRPr="00FA0FC2">
        <w:rPr>
          <w:rtl/>
        </w:rPr>
        <w:t xml:space="preserve"> إلى لجنة مناهضة التعذيب </w:t>
      </w:r>
      <w:r w:rsidRPr="00FA0FC2">
        <w:rPr>
          <w:rFonts w:hint="cs"/>
          <w:rtl/>
        </w:rPr>
        <w:t xml:space="preserve">من السيدة إيفا ريمستن </w:t>
      </w:r>
      <w:r w:rsidRPr="00FA0FC2">
        <w:rPr>
          <w:rtl/>
        </w:rPr>
        <w:t>نيابة عن</w:t>
      </w:r>
      <w:r w:rsidRPr="00FA0FC2">
        <w:rPr>
          <w:rFonts w:hint="cs"/>
          <w:rtl/>
        </w:rPr>
        <w:t xml:space="preserve"> السيد</w:t>
      </w:r>
      <w:r w:rsidRPr="00FA0FC2">
        <w:rPr>
          <w:rtl/>
        </w:rPr>
        <w:t xml:space="preserve"> </w:t>
      </w:r>
      <w:r w:rsidRPr="00FA0FC2">
        <w:rPr>
          <w:rFonts w:hint="cs"/>
          <w:rtl/>
        </w:rPr>
        <w:t xml:space="preserve">د. واي. </w:t>
      </w:r>
      <w:r w:rsidRPr="00FA0FC2">
        <w:rPr>
          <w:rtl/>
        </w:rPr>
        <w:t>بموجب ال</w:t>
      </w:r>
      <w:r>
        <w:rPr>
          <w:rtl/>
        </w:rPr>
        <w:t>مادة </w:t>
      </w:r>
      <w:r w:rsidRPr="00FA0FC2">
        <w:rPr>
          <w:rtl/>
        </w:rPr>
        <w:t>22 من اتفاقية مناهضة التعذيب وغيره من ضروب المعاملة</w:t>
      </w:r>
      <w:r>
        <w:rPr>
          <w:rtl/>
        </w:rPr>
        <w:t xml:space="preserve"> أو </w:t>
      </w:r>
      <w:r w:rsidRPr="00FA0FC2">
        <w:rPr>
          <w:rtl/>
        </w:rPr>
        <w:t>العقوبة القاسية</w:t>
      </w:r>
      <w:r>
        <w:rPr>
          <w:rtl/>
        </w:rPr>
        <w:t xml:space="preserve"> أو </w:t>
      </w:r>
      <w:r w:rsidRPr="00FA0FC2">
        <w:rPr>
          <w:rtl/>
        </w:rPr>
        <w:t>اللاإنسانية</w:t>
      </w:r>
      <w:r>
        <w:rPr>
          <w:rtl/>
        </w:rPr>
        <w:t xml:space="preserve"> أو </w:t>
      </w:r>
      <w:r w:rsidRPr="00FA0FC2">
        <w:rPr>
          <w:rtl/>
        </w:rPr>
        <w:t>المهينة،</w:t>
      </w:r>
    </w:p>
    <w:p w:rsidR="00091373" w:rsidRPr="00FA0FC2" w:rsidRDefault="00091373" w:rsidP="00091373">
      <w:pPr>
        <w:pStyle w:val="SingleTxtGA"/>
        <w:rPr>
          <w:rFonts w:hint="cs"/>
          <w:rtl/>
        </w:rPr>
      </w:pPr>
      <w:r w:rsidRPr="00FA0FC2">
        <w:rPr>
          <w:rFonts w:hint="cs"/>
          <w:i/>
          <w:iCs/>
          <w:rtl/>
        </w:rPr>
        <w:tab/>
      </w:r>
      <w:r w:rsidRPr="00FA0FC2">
        <w:rPr>
          <w:i/>
          <w:iCs/>
          <w:rtl/>
        </w:rPr>
        <w:t xml:space="preserve">وقد </w:t>
      </w:r>
      <w:r w:rsidRPr="00FA0FC2">
        <w:rPr>
          <w:rFonts w:hint="cs"/>
          <w:i/>
          <w:iCs/>
          <w:rtl/>
        </w:rPr>
        <w:t>وضعت</w:t>
      </w:r>
      <w:r w:rsidRPr="00FA0FC2">
        <w:rPr>
          <w:i/>
          <w:iCs/>
          <w:rtl/>
        </w:rPr>
        <w:t xml:space="preserve"> في </w:t>
      </w:r>
      <w:r w:rsidRPr="00FA0FC2">
        <w:rPr>
          <w:rFonts w:hint="cs"/>
          <w:i/>
          <w:iCs/>
          <w:rtl/>
        </w:rPr>
        <w:t xml:space="preserve">اعتبارها </w:t>
      </w:r>
      <w:r w:rsidRPr="00FA0FC2">
        <w:rPr>
          <w:rtl/>
        </w:rPr>
        <w:t xml:space="preserve">جميع المعلومات التي أتاحها لها </w:t>
      </w:r>
      <w:r w:rsidRPr="00FA0FC2">
        <w:rPr>
          <w:rFonts w:hint="cs"/>
          <w:rtl/>
        </w:rPr>
        <w:t>صاحب الشكوى ومحاميته</w:t>
      </w:r>
      <w:r w:rsidRPr="00FA0FC2">
        <w:rPr>
          <w:rtl/>
        </w:rPr>
        <w:t xml:space="preserve"> والدولة الطرف،</w:t>
      </w:r>
    </w:p>
    <w:p w:rsidR="00091373" w:rsidRPr="00FA0FC2" w:rsidRDefault="00091373" w:rsidP="00091373">
      <w:pPr>
        <w:pStyle w:val="SingleTxtGA"/>
        <w:rPr>
          <w:rFonts w:hint="cs"/>
          <w:rtl/>
        </w:rPr>
      </w:pPr>
      <w:r w:rsidRPr="00FA0FC2">
        <w:rPr>
          <w:rFonts w:hint="cs"/>
          <w:i/>
          <w:iCs/>
          <w:rtl/>
        </w:rPr>
        <w:tab/>
      </w:r>
      <w:r w:rsidRPr="00FA0FC2">
        <w:rPr>
          <w:i/>
          <w:iCs/>
          <w:rtl/>
        </w:rPr>
        <w:t>تعتمد</w:t>
      </w:r>
      <w:r>
        <w:rPr>
          <w:rtl/>
        </w:rPr>
        <w:t xml:space="preserve"> ما </w:t>
      </w:r>
      <w:r w:rsidRPr="00FA0FC2">
        <w:rPr>
          <w:rFonts w:hint="cs"/>
          <w:rtl/>
        </w:rPr>
        <w:t>يلي:</w:t>
      </w:r>
    </w:p>
    <w:p w:rsidR="00091373" w:rsidRPr="00FA0FC2" w:rsidRDefault="00091373" w:rsidP="00091373">
      <w:pPr>
        <w:pStyle w:val="H1GA"/>
        <w:rPr>
          <w:rtl/>
        </w:rPr>
      </w:pPr>
      <w:r w:rsidRPr="00FA0FC2">
        <w:rPr>
          <w:rFonts w:hint="cs"/>
          <w:rtl/>
        </w:rPr>
        <w:tab/>
      </w:r>
      <w:r w:rsidRPr="00FA0FC2">
        <w:rPr>
          <w:rFonts w:hint="cs"/>
          <w:rtl/>
        </w:rPr>
        <w:tab/>
        <w:t xml:space="preserve">قرار </w:t>
      </w:r>
      <w:r w:rsidRPr="00FA0FC2">
        <w:rPr>
          <w:rtl/>
        </w:rPr>
        <w:t>بموجب الفقرة 7 من ال</w:t>
      </w:r>
      <w:r>
        <w:rPr>
          <w:rtl/>
        </w:rPr>
        <w:t>مادة </w:t>
      </w:r>
      <w:r w:rsidRPr="00FA0FC2">
        <w:rPr>
          <w:rtl/>
        </w:rPr>
        <w:t>22 من اتفاقية مناهضة التعذيب</w:t>
      </w:r>
    </w:p>
    <w:p w:rsidR="00091373" w:rsidRPr="007279DC" w:rsidRDefault="00091373" w:rsidP="00091373">
      <w:pPr>
        <w:pStyle w:val="SingleTxtGA"/>
        <w:rPr>
          <w:spacing w:val="-4"/>
          <w:rtl/>
        </w:rPr>
      </w:pPr>
      <w:r w:rsidRPr="007279DC">
        <w:rPr>
          <w:spacing w:val="-4"/>
          <w:rtl/>
        </w:rPr>
        <w:t>1-1</w:t>
      </w:r>
      <w:r w:rsidRPr="007279DC">
        <w:rPr>
          <w:rFonts w:hint="cs"/>
          <w:spacing w:val="-4"/>
          <w:rtl/>
        </w:rPr>
        <w:tab/>
        <w:t>صاحب الشكوى هو</w:t>
      </w:r>
      <w:r w:rsidRPr="007279DC">
        <w:rPr>
          <w:spacing w:val="-4"/>
          <w:rtl/>
        </w:rPr>
        <w:t xml:space="preserve"> </w:t>
      </w:r>
      <w:r w:rsidRPr="007279DC">
        <w:rPr>
          <w:rFonts w:hint="cs"/>
          <w:spacing w:val="-4"/>
          <w:rtl/>
        </w:rPr>
        <w:t>السيد د</w:t>
      </w:r>
      <w:r w:rsidRPr="007279DC">
        <w:rPr>
          <w:spacing w:val="-4"/>
          <w:rtl/>
        </w:rPr>
        <w:t>.</w:t>
      </w:r>
      <w:r w:rsidRPr="007279DC">
        <w:rPr>
          <w:rFonts w:hint="cs"/>
          <w:spacing w:val="-4"/>
          <w:rtl/>
        </w:rPr>
        <w:t xml:space="preserve"> واي</w:t>
      </w:r>
      <w:r w:rsidRPr="007279DC">
        <w:rPr>
          <w:spacing w:val="-4"/>
          <w:rtl/>
        </w:rPr>
        <w:t xml:space="preserve">. </w:t>
      </w:r>
      <w:r w:rsidRPr="007279DC">
        <w:rPr>
          <w:rFonts w:hint="cs"/>
          <w:spacing w:val="-4"/>
          <w:rtl/>
        </w:rPr>
        <w:t>وهو مواطن من أوزبكستان ولد في 22 شباط/</w:t>
      </w:r>
      <w:r>
        <w:rPr>
          <w:rFonts w:hint="cs"/>
          <w:spacing w:val="-4"/>
          <w:rtl/>
        </w:rPr>
        <w:t xml:space="preserve"> </w:t>
      </w:r>
      <w:r w:rsidRPr="007279DC">
        <w:rPr>
          <w:rFonts w:hint="cs"/>
          <w:spacing w:val="-4"/>
          <w:rtl/>
        </w:rPr>
        <w:t>فبراير 1981، ويقيم حالياً في السويد. ويدعي صاحب الشكوى أن السويد ستنتهك المادة</w:t>
      </w:r>
      <w:r w:rsidRPr="007279DC">
        <w:rPr>
          <w:spacing w:val="-4"/>
          <w:rtl/>
        </w:rPr>
        <w:t> </w:t>
      </w:r>
      <w:r w:rsidRPr="007279DC">
        <w:rPr>
          <w:rFonts w:hint="cs"/>
          <w:spacing w:val="-4"/>
          <w:rtl/>
        </w:rPr>
        <w:t>3 من اتفاقية مناهضة التعذيب وغيره من ضروب المعاملة أو</w:t>
      </w:r>
      <w:r w:rsidRPr="007279DC">
        <w:rPr>
          <w:spacing w:val="-4"/>
          <w:rtl/>
        </w:rPr>
        <w:t> </w:t>
      </w:r>
      <w:r w:rsidRPr="007279DC">
        <w:rPr>
          <w:rFonts w:hint="cs"/>
          <w:spacing w:val="-4"/>
          <w:rtl/>
        </w:rPr>
        <w:t>العقوبة القاسية أو</w:t>
      </w:r>
      <w:r w:rsidRPr="007279DC">
        <w:rPr>
          <w:spacing w:val="-4"/>
          <w:rtl/>
        </w:rPr>
        <w:t> </w:t>
      </w:r>
      <w:r w:rsidRPr="007279DC">
        <w:rPr>
          <w:rFonts w:hint="cs"/>
          <w:spacing w:val="-4"/>
          <w:rtl/>
        </w:rPr>
        <w:t>اللاإنسانية أو</w:t>
      </w:r>
      <w:r w:rsidRPr="007279DC">
        <w:rPr>
          <w:spacing w:val="-4"/>
          <w:rtl/>
        </w:rPr>
        <w:t> </w:t>
      </w:r>
      <w:r w:rsidRPr="007279DC">
        <w:rPr>
          <w:rFonts w:hint="cs"/>
          <w:spacing w:val="-4"/>
          <w:rtl/>
        </w:rPr>
        <w:t>المهينة إذا قامت بترحيله إلى أوزبكستان</w:t>
      </w:r>
      <w:r w:rsidRPr="007279DC">
        <w:rPr>
          <w:spacing w:val="-4"/>
          <w:rtl/>
        </w:rPr>
        <w:t>. و</w:t>
      </w:r>
      <w:r w:rsidRPr="007279DC">
        <w:rPr>
          <w:rFonts w:hint="cs"/>
          <w:spacing w:val="-4"/>
          <w:rtl/>
        </w:rPr>
        <w:t>ت</w:t>
      </w:r>
      <w:r w:rsidRPr="007279DC">
        <w:rPr>
          <w:spacing w:val="-4"/>
          <w:rtl/>
        </w:rPr>
        <w:t>مثل</w:t>
      </w:r>
      <w:r w:rsidRPr="007279DC">
        <w:rPr>
          <w:rFonts w:hint="cs"/>
          <w:spacing w:val="-4"/>
          <w:rtl/>
        </w:rPr>
        <w:t>ه المحامية إيفا ريمستن (من</w:t>
      </w:r>
      <w:r w:rsidRPr="007279DC">
        <w:rPr>
          <w:spacing w:val="-4"/>
          <w:rtl/>
        </w:rPr>
        <w:t xml:space="preserve"> </w:t>
      </w:r>
      <w:r w:rsidRPr="007279DC">
        <w:rPr>
          <w:rFonts w:hint="cs"/>
          <w:spacing w:val="-4"/>
          <w:rtl/>
        </w:rPr>
        <w:t>الصليب الأحمر السويدي)</w:t>
      </w:r>
      <w:r w:rsidRPr="007279DC">
        <w:rPr>
          <w:spacing w:val="-4"/>
          <w:rtl/>
        </w:rPr>
        <w:t>.</w:t>
      </w:r>
    </w:p>
    <w:p w:rsidR="00091373" w:rsidRPr="00FA0FC2" w:rsidRDefault="00091373" w:rsidP="00091373">
      <w:pPr>
        <w:pStyle w:val="SingleTxtGA"/>
        <w:rPr>
          <w:rtl/>
        </w:rPr>
      </w:pPr>
      <w:r w:rsidRPr="00FA0FC2">
        <w:rPr>
          <w:rtl/>
        </w:rPr>
        <w:t>1-2</w:t>
      </w:r>
      <w:r w:rsidRPr="00FA0FC2">
        <w:rPr>
          <w:rFonts w:hint="cs"/>
          <w:rtl/>
        </w:rPr>
        <w:tab/>
      </w:r>
      <w:r w:rsidRPr="00FA0FC2">
        <w:rPr>
          <w:rtl/>
        </w:rPr>
        <w:t>وقد طلبت اللجنة بموجب ال</w:t>
      </w:r>
      <w:r>
        <w:rPr>
          <w:rtl/>
        </w:rPr>
        <w:t>مادة </w:t>
      </w:r>
      <w:r w:rsidRPr="00FA0FC2">
        <w:rPr>
          <w:rtl/>
        </w:rPr>
        <w:t>114 من نظامها الداخلي، إلى الدولة الطرف</w:t>
      </w:r>
      <w:r w:rsidRPr="00FA0FC2">
        <w:rPr>
          <w:rFonts w:hint="cs"/>
          <w:rtl/>
        </w:rPr>
        <w:t xml:space="preserve"> </w:t>
      </w:r>
      <w:r w:rsidRPr="00FA0FC2">
        <w:rPr>
          <w:rtl/>
        </w:rPr>
        <w:t>في</w:t>
      </w:r>
      <w:r w:rsidRPr="00FA0FC2">
        <w:rPr>
          <w:rFonts w:hint="cs"/>
          <w:rtl/>
        </w:rPr>
        <w:t> 10</w:t>
      </w:r>
      <w:r w:rsidRPr="00FA0FC2">
        <w:rPr>
          <w:rtl/>
        </w:rPr>
        <w:t xml:space="preserve"> </w:t>
      </w:r>
      <w:r w:rsidRPr="00FA0FC2">
        <w:rPr>
          <w:rFonts w:hint="cs"/>
          <w:rtl/>
        </w:rPr>
        <w:t>حزيران</w:t>
      </w:r>
      <w:r w:rsidRPr="00FA0FC2">
        <w:rPr>
          <w:rtl/>
        </w:rPr>
        <w:t>/يو</w:t>
      </w:r>
      <w:r w:rsidRPr="00FA0FC2">
        <w:rPr>
          <w:rFonts w:hint="cs"/>
          <w:rtl/>
        </w:rPr>
        <w:t>نيه</w:t>
      </w:r>
      <w:r w:rsidRPr="00FA0FC2">
        <w:rPr>
          <w:rtl/>
        </w:rPr>
        <w:t xml:space="preserve"> 20</w:t>
      </w:r>
      <w:r w:rsidRPr="00FA0FC2">
        <w:rPr>
          <w:rFonts w:hint="cs"/>
          <w:rtl/>
        </w:rPr>
        <w:t>11</w:t>
      </w:r>
      <w:r w:rsidRPr="00FA0FC2">
        <w:rPr>
          <w:rtl/>
        </w:rPr>
        <w:t xml:space="preserve">، الامتناع عن </w:t>
      </w:r>
      <w:r w:rsidRPr="00FA0FC2">
        <w:rPr>
          <w:rFonts w:hint="cs"/>
          <w:rtl/>
        </w:rPr>
        <w:t xml:space="preserve">طرد صاحب الشكوى إلى أوزبكستان </w:t>
      </w:r>
      <w:r w:rsidRPr="00FA0FC2">
        <w:rPr>
          <w:rtl/>
        </w:rPr>
        <w:t xml:space="preserve">أثناء قيام اللجنة بالنظر في </w:t>
      </w:r>
      <w:r w:rsidRPr="00FA0FC2">
        <w:rPr>
          <w:rFonts w:hint="cs"/>
          <w:rtl/>
        </w:rPr>
        <w:t>شكواه</w:t>
      </w:r>
      <w:r w:rsidRPr="00FA0FC2">
        <w:rPr>
          <w:rtl/>
        </w:rPr>
        <w:t>. و</w:t>
      </w:r>
      <w:r w:rsidRPr="00FA0FC2">
        <w:rPr>
          <w:rFonts w:hint="cs"/>
          <w:rtl/>
        </w:rPr>
        <w:t xml:space="preserve">بناء على هذا الطلب، قرر مجلس الهجرة </w:t>
      </w:r>
      <w:r w:rsidRPr="00FA0FC2">
        <w:rPr>
          <w:rtl/>
        </w:rPr>
        <w:t xml:space="preserve">في </w:t>
      </w:r>
      <w:r w:rsidRPr="00FA0FC2">
        <w:rPr>
          <w:rFonts w:hint="cs"/>
          <w:rtl/>
        </w:rPr>
        <w:t>13</w:t>
      </w:r>
      <w:r w:rsidRPr="00FA0FC2">
        <w:rPr>
          <w:rtl/>
        </w:rPr>
        <w:t xml:space="preserve"> </w:t>
      </w:r>
      <w:r w:rsidRPr="00FA0FC2">
        <w:rPr>
          <w:rFonts w:hint="cs"/>
          <w:rtl/>
        </w:rPr>
        <w:t>حزيران</w:t>
      </w:r>
      <w:r w:rsidRPr="00FA0FC2">
        <w:rPr>
          <w:rtl/>
        </w:rPr>
        <w:t>/</w:t>
      </w:r>
      <w:r w:rsidRPr="00FA0FC2">
        <w:rPr>
          <w:rFonts w:hint="cs"/>
          <w:rtl/>
        </w:rPr>
        <w:t>يونيه </w:t>
      </w:r>
      <w:r w:rsidRPr="00FA0FC2">
        <w:rPr>
          <w:rtl/>
        </w:rPr>
        <w:t>20</w:t>
      </w:r>
      <w:r w:rsidRPr="00FA0FC2">
        <w:rPr>
          <w:rFonts w:hint="cs"/>
          <w:rtl/>
        </w:rPr>
        <w:t>11</w:t>
      </w:r>
      <w:r w:rsidRPr="00FA0FC2">
        <w:rPr>
          <w:rtl/>
        </w:rPr>
        <w:t xml:space="preserve">، وقف إنفاذ </w:t>
      </w:r>
      <w:r w:rsidRPr="00FA0FC2">
        <w:rPr>
          <w:rFonts w:hint="cs"/>
          <w:rtl/>
        </w:rPr>
        <w:t>أمر الطرد المتعلق بصاحب الشكوى</w:t>
      </w:r>
      <w:r w:rsidRPr="00FA0FC2">
        <w:rPr>
          <w:rtl/>
        </w:rPr>
        <w:t xml:space="preserve">. </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بيان الوقائع</w:t>
      </w:r>
    </w:p>
    <w:p w:rsidR="00091373" w:rsidRPr="007279DC" w:rsidRDefault="00091373" w:rsidP="00091373">
      <w:pPr>
        <w:pStyle w:val="SingleTxtGA"/>
        <w:rPr>
          <w:rFonts w:hint="cs"/>
          <w:spacing w:val="-2"/>
          <w:rtl/>
          <w:lang w:val="fr-CH"/>
        </w:rPr>
      </w:pPr>
      <w:r w:rsidRPr="007279DC">
        <w:rPr>
          <w:rFonts w:hint="cs"/>
          <w:spacing w:val="-2"/>
          <w:rtl/>
          <w:lang w:val="fr-CH"/>
        </w:rPr>
        <w:t>2-1</w:t>
      </w:r>
      <w:r w:rsidRPr="007279DC">
        <w:rPr>
          <w:rFonts w:hint="cs"/>
          <w:spacing w:val="-2"/>
          <w:rtl/>
          <w:lang w:val="fr-CH"/>
        </w:rPr>
        <w:tab/>
        <w:t>باشر صاحب الشكوى خدمته العسكرية في القوات الجوية في أوائل عام</w:t>
      </w:r>
      <w:r w:rsidRPr="007279DC">
        <w:rPr>
          <w:spacing w:val="-2"/>
          <w:rtl/>
          <w:lang w:val="fr-CH"/>
        </w:rPr>
        <w:t> </w:t>
      </w:r>
      <w:r w:rsidRPr="007279DC">
        <w:rPr>
          <w:rFonts w:hint="cs"/>
          <w:spacing w:val="-2"/>
          <w:rtl/>
          <w:lang w:val="fr-CH"/>
        </w:rPr>
        <w:t>2004 حيث عمل كحارس (أدنى رتبة). وفي</w:t>
      </w:r>
      <w:r w:rsidRPr="007279DC">
        <w:rPr>
          <w:spacing w:val="-2"/>
          <w:rtl/>
          <w:lang w:val="fr-CH"/>
        </w:rPr>
        <w:t> </w:t>
      </w:r>
      <w:r w:rsidRPr="007279DC">
        <w:rPr>
          <w:rFonts w:hint="cs"/>
          <w:spacing w:val="-2"/>
          <w:sz w:val="30"/>
          <w:rtl/>
          <w:lang w:val="fr-CH"/>
        </w:rPr>
        <w:t xml:space="preserve">أيار/مايو </w:t>
      </w:r>
      <w:r w:rsidRPr="007279DC">
        <w:rPr>
          <w:rFonts w:hint="cs"/>
          <w:spacing w:val="-2"/>
          <w:rtl/>
          <w:lang w:val="fr-CH"/>
        </w:rPr>
        <w:t>2005، تلقت وحدته أمراً بالذهاب إلى أنديجان (أنديجان أو</w:t>
      </w:r>
      <w:r w:rsidRPr="007279DC">
        <w:rPr>
          <w:spacing w:val="-2"/>
          <w:rtl/>
          <w:lang w:val="fr-CH"/>
        </w:rPr>
        <w:t> </w:t>
      </w:r>
      <w:r w:rsidRPr="007279DC">
        <w:rPr>
          <w:rFonts w:hint="cs"/>
          <w:spacing w:val="-2"/>
          <w:rtl/>
          <w:lang w:val="fr-CH"/>
        </w:rPr>
        <w:t>أنديجون) لقمع مظاهرة عنيفة شهدتها تلك المدينة. ولدى وصول صاحب البلاغ إلى هناك تلقى أمراً بإطلاق النار على المتظاهرين. ورفض صاحب البلاغ مع جنود آخرين الانصياع لهذا الأمر بالنظر إلى أن معظم المتظاهرين كانوا من النساء والأطفال، وألقوا بأسلحتهم. وعندما شاهد رئيسهم ذلك وجه مسدسه نحوهم وهددهم بإطلاق الرصاص عليهم. وفي</w:t>
      </w:r>
      <w:r w:rsidRPr="007279DC">
        <w:rPr>
          <w:spacing w:val="-2"/>
          <w:rtl/>
          <w:lang w:val="fr-CH"/>
        </w:rPr>
        <w:t> </w:t>
      </w:r>
      <w:r w:rsidRPr="007279DC">
        <w:rPr>
          <w:rFonts w:hint="cs"/>
          <w:spacing w:val="-2"/>
          <w:rtl/>
          <w:lang w:val="fr-CH"/>
        </w:rPr>
        <w:t>وقت لاحق من اليوم نفسه عندما عاد صاحب البلاغ إلى الثكنة العسكرية، ألقت الشرطة القبض عليه واقتادته إلى السجن العسكري في غوباه، حيث وُجِّهت إليه تهمة عصيان الأوامر وتهمة خيانة الدولة. وأثناء وجوده في السجن تعرَّض للاعتداء والشتم.</w:t>
      </w:r>
    </w:p>
    <w:p w:rsidR="00091373" w:rsidRPr="00FA0FC2" w:rsidRDefault="00091373" w:rsidP="00091373">
      <w:pPr>
        <w:pStyle w:val="SingleTxtGA"/>
        <w:rPr>
          <w:rFonts w:hint="cs"/>
          <w:rtl/>
          <w:lang w:val="fr-CH"/>
        </w:rPr>
      </w:pPr>
      <w:r w:rsidRPr="00FA0FC2">
        <w:rPr>
          <w:rFonts w:hint="cs"/>
          <w:rtl/>
          <w:lang w:val="fr-CH"/>
        </w:rPr>
        <w:t>2-2</w:t>
      </w:r>
      <w:r w:rsidRPr="00FA0FC2">
        <w:rPr>
          <w:rFonts w:hint="cs"/>
          <w:rtl/>
          <w:lang w:val="fr-CH"/>
        </w:rPr>
        <w:tab/>
        <w:t xml:space="preserve">وفي </w:t>
      </w:r>
      <w:r w:rsidRPr="00FA0FC2">
        <w:rPr>
          <w:rFonts w:hint="cs"/>
          <w:sz w:val="30"/>
          <w:rtl/>
          <w:lang w:val="fr-CH"/>
        </w:rPr>
        <w:t xml:space="preserve">آب/أغسطس </w:t>
      </w:r>
      <w:r w:rsidRPr="00FA0FC2">
        <w:rPr>
          <w:rFonts w:hint="cs"/>
          <w:rtl/>
          <w:lang w:val="fr-CH"/>
        </w:rPr>
        <w:t>2005، أُطلق سراح صاحب الشكوى من السجن لكنه تلقى تعليمات بالحضور مرتين في اليوم إلى مركز الشرطة حتى وإن كان مريضاً. وعند الحضور إلى مركز الشرطة كان يتعرض في حالات كثيرة للضرب والتهديد على أيدي رجال الشرطة.</w:t>
      </w:r>
      <w:r>
        <w:rPr>
          <w:rFonts w:hint="cs"/>
          <w:rtl/>
          <w:lang w:val="fr-CH"/>
        </w:rPr>
        <w:t xml:space="preserve"> وفي</w:t>
      </w:r>
      <w:r>
        <w:rPr>
          <w:rtl/>
          <w:lang w:val="fr-CH"/>
        </w:rPr>
        <w:t> </w:t>
      </w:r>
      <w:r w:rsidRPr="00FA0FC2">
        <w:rPr>
          <w:rFonts w:hint="cs"/>
          <w:sz w:val="30"/>
          <w:rtl/>
          <w:lang w:val="fr-CH"/>
        </w:rPr>
        <w:t xml:space="preserve">تشرين الأول/أكتوبر </w:t>
      </w:r>
      <w:r w:rsidRPr="00FA0FC2">
        <w:rPr>
          <w:rFonts w:hint="cs"/>
          <w:rtl/>
          <w:lang w:val="fr-CH"/>
        </w:rPr>
        <w:t>2005، جاء أشخاص مجهولو الهوية إلى منزل صاحب الشكوى، وعرض أحدهم بطاقة شُرطي واقتاده إلى مركز الشرطة، حيث استجوب بشأن أحداث أنديجان. وظل مسجوناً في قبو مركز الشرطة نفسه لمدة ثلاثة أيام، تعرض خلالها للضرب والشتم عدة مرات.</w:t>
      </w:r>
      <w:r>
        <w:rPr>
          <w:rFonts w:hint="cs"/>
          <w:rtl/>
          <w:lang w:val="fr-CH"/>
        </w:rPr>
        <w:t xml:space="preserve"> وفي</w:t>
      </w:r>
      <w:r>
        <w:rPr>
          <w:rtl/>
          <w:lang w:val="fr-CH"/>
        </w:rPr>
        <w:t> </w:t>
      </w:r>
      <w:r w:rsidRPr="00FA0FC2">
        <w:rPr>
          <w:rFonts w:hint="cs"/>
          <w:rtl/>
          <w:lang w:val="fr-CH"/>
        </w:rPr>
        <w:t>اليوم الثالث، نُقل إلى سجن في كشكاداريا. وأصدرت محكمة عسكرية بحقه حكماً بالسجن لمدة ثلاث سنوات بدون محاكمة فعلية وبدون تمكينه من الاستعانة بمحامي الدفاع العام.</w:t>
      </w:r>
      <w:r>
        <w:rPr>
          <w:rFonts w:hint="cs"/>
          <w:rtl/>
          <w:lang w:val="fr-CH"/>
        </w:rPr>
        <w:t xml:space="preserve"> ولم</w:t>
      </w:r>
      <w:r>
        <w:rPr>
          <w:rtl/>
          <w:lang w:val="fr-CH"/>
        </w:rPr>
        <w:t> </w:t>
      </w:r>
      <w:r w:rsidRPr="00FA0FC2">
        <w:rPr>
          <w:rFonts w:hint="cs"/>
          <w:rtl/>
          <w:lang w:val="fr-CH"/>
        </w:rPr>
        <w:t>يحصل قط على نسخة من الحكم. وأثناء وجوده في السجن، تعرّض أيضاً للضرب والتهديد على أيدي موظفي السجن. وبعد انقضاء السنة الأولى، أُجبر على التوقيع على وثائق مختلفة.</w:t>
      </w:r>
      <w:r>
        <w:rPr>
          <w:rFonts w:hint="cs"/>
          <w:rtl/>
          <w:lang w:val="fr-CH"/>
        </w:rPr>
        <w:t xml:space="preserve"> وفي</w:t>
      </w:r>
      <w:r>
        <w:rPr>
          <w:rtl/>
          <w:lang w:val="fr-CH"/>
        </w:rPr>
        <w:t> </w:t>
      </w:r>
      <w:r w:rsidRPr="00FA0FC2">
        <w:rPr>
          <w:rFonts w:hint="cs"/>
          <w:sz w:val="30"/>
          <w:rtl/>
          <w:lang w:val="fr-CH"/>
        </w:rPr>
        <w:t xml:space="preserve">حزيران/يونيه </w:t>
      </w:r>
      <w:r w:rsidRPr="00FA0FC2">
        <w:rPr>
          <w:rFonts w:hint="cs"/>
          <w:rtl/>
          <w:lang w:val="fr-CH"/>
        </w:rPr>
        <w:t>2008 أُطلق سراحه وتلقى تعليمات بالحضور يومياً إلى مركز الشرطة. ومُنع من السفر. وكان أفراد الشرطة يوجهون له الشتائم والإهانات في كل مرة يحضر فيها إلى مركز الشرطة.</w:t>
      </w:r>
    </w:p>
    <w:p w:rsidR="00091373" w:rsidRPr="00FA0FC2" w:rsidRDefault="00091373" w:rsidP="00091373">
      <w:pPr>
        <w:pStyle w:val="SingleTxtGA"/>
        <w:rPr>
          <w:rFonts w:hint="cs"/>
          <w:spacing w:val="-1"/>
          <w:rtl/>
        </w:rPr>
      </w:pPr>
      <w:r w:rsidRPr="00FA0FC2">
        <w:rPr>
          <w:rFonts w:hint="cs"/>
          <w:spacing w:val="-1"/>
          <w:rtl/>
          <w:lang w:val="fr-CH"/>
        </w:rPr>
        <w:t>2-3</w:t>
      </w:r>
      <w:r w:rsidRPr="00FA0FC2">
        <w:rPr>
          <w:rFonts w:hint="cs"/>
          <w:spacing w:val="-1"/>
          <w:rtl/>
          <w:lang w:val="fr-CH"/>
        </w:rPr>
        <w:tab/>
        <w:t xml:space="preserve">وفي </w:t>
      </w:r>
      <w:r w:rsidRPr="00FA0FC2">
        <w:rPr>
          <w:rFonts w:hint="cs"/>
          <w:spacing w:val="-1"/>
          <w:sz w:val="30"/>
          <w:rtl/>
          <w:lang w:val="fr-CH"/>
        </w:rPr>
        <w:t xml:space="preserve">كانون الأول/ديسمبر </w:t>
      </w:r>
      <w:r w:rsidRPr="00FA0FC2">
        <w:rPr>
          <w:rFonts w:hint="cs"/>
          <w:spacing w:val="-1"/>
          <w:rtl/>
          <w:lang w:val="fr-CH"/>
        </w:rPr>
        <w:t>2008، غادر صاحب الشكوى أوزبكستان متجهاً إلى كازاخستان. وقد سافر عبر طرق التهريب ودفع رشوة إلى أحد الأشخاص لكي يتمكن من عبور نقطة مراقبة الحدود. وبعد مرور بضعة أيام على مغادرته، جاءت الشرطة إلى منزله وهددت زوجته بالسجن والتعذيب. واستولى رجال الشرطة على جواز سفرها وشهادات ميلاد طفليها وصك زواجهما.</w:t>
      </w:r>
      <w:r>
        <w:rPr>
          <w:rFonts w:hint="cs"/>
          <w:spacing w:val="-1"/>
          <w:rtl/>
          <w:lang w:val="fr-CH"/>
        </w:rPr>
        <w:t xml:space="preserve"> وفي</w:t>
      </w:r>
      <w:r>
        <w:rPr>
          <w:spacing w:val="-1"/>
          <w:rtl/>
          <w:lang w:val="fr-CH"/>
        </w:rPr>
        <w:t> </w:t>
      </w:r>
      <w:r w:rsidRPr="00FA0FC2">
        <w:rPr>
          <w:rFonts w:hint="cs"/>
          <w:spacing w:val="-1"/>
          <w:rtl/>
          <w:lang w:val="fr-CH"/>
        </w:rPr>
        <w:t>5</w:t>
      </w:r>
      <w:r>
        <w:rPr>
          <w:rFonts w:hint="cs"/>
          <w:spacing w:val="-1"/>
          <w:rtl/>
          <w:lang w:val="fr-CH"/>
        </w:rPr>
        <w:t xml:space="preserve"> أو</w:t>
      </w:r>
      <w:r>
        <w:rPr>
          <w:spacing w:val="-1"/>
          <w:rtl/>
          <w:lang w:val="fr-CH"/>
        </w:rPr>
        <w:t> </w:t>
      </w:r>
      <w:r w:rsidRPr="00FA0FC2">
        <w:rPr>
          <w:rFonts w:hint="cs"/>
          <w:spacing w:val="-1"/>
          <w:rtl/>
          <w:lang w:val="fr-CH"/>
        </w:rPr>
        <w:t xml:space="preserve">6 </w:t>
      </w:r>
      <w:r w:rsidRPr="00FA0FC2">
        <w:rPr>
          <w:rFonts w:hint="cs"/>
          <w:spacing w:val="-1"/>
          <w:sz w:val="30"/>
          <w:rtl/>
          <w:lang w:val="fr-CH"/>
        </w:rPr>
        <w:t xml:space="preserve">كانون الثاني/يناير </w:t>
      </w:r>
      <w:r w:rsidRPr="00FA0FC2">
        <w:rPr>
          <w:rFonts w:hint="cs"/>
          <w:spacing w:val="-1"/>
          <w:rtl/>
          <w:lang w:val="fr-CH"/>
        </w:rPr>
        <w:t xml:space="preserve">2009 غادرت زوجته أيضاً أوزبكستان بصحبة طفليهما، ولحقت بصاحب البلاغ في كازاخستان. وقد ترك صاحب الشكوى وزوجته الطفلين برعاية ابن عم لها في كازاخستان وسافرا إلى سانت بيترسبرغ في الاتحاد الروسي ومن ثم إلى السويد على متن سفينة مستخدمين جوازي سفر روسيين مزورين. ولدى وصولهما إلى السويد في 19 </w:t>
      </w:r>
      <w:r w:rsidRPr="00FA0FC2">
        <w:rPr>
          <w:rFonts w:hint="cs"/>
          <w:spacing w:val="-1"/>
          <w:sz w:val="30"/>
          <w:rtl/>
          <w:lang w:val="fr-CH"/>
        </w:rPr>
        <w:t xml:space="preserve">كانون الثاني/يناير </w:t>
      </w:r>
      <w:r w:rsidRPr="00FA0FC2">
        <w:rPr>
          <w:rFonts w:hint="cs"/>
          <w:spacing w:val="-1"/>
          <w:rtl/>
          <w:lang w:val="fr-CH"/>
        </w:rPr>
        <w:t>2009، قدم صاحب الشكوى وزوجته طلبَ لجوء مستخدماً هوية مزورة باسم مستعار هو ج. ب. م</w:t>
      </w:r>
      <w:r w:rsidRPr="00FA0FC2">
        <w:rPr>
          <w:rFonts w:hint="cs"/>
          <w:spacing w:val="-1"/>
          <w:rtl/>
        </w:rPr>
        <w:t>. وبعد أن أبلغا السلطات بالأحداث التي تعرضا لها في بلدهما الأصلي، ادعيا أنه</w:t>
      </w:r>
      <w:r>
        <w:rPr>
          <w:rFonts w:hint="cs"/>
          <w:spacing w:val="-1"/>
          <w:rtl/>
        </w:rPr>
        <w:t xml:space="preserve"> لا</w:t>
      </w:r>
      <w:r>
        <w:rPr>
          <w:spacing w:val="-1"/>
          <w:rtl/>
        </w:rPr>
        <w:t> </w:t>
      </w:r>
      <w:r w:rsidRPr="00FA0FC2">
        <w:rPr>
          <w:rFonts w:hint="cs"/>
          <w:spacing w:val="-1"/>
          <w:rtl/>
        </w:rPr>
        <w:t>يمكنهما العودة إلى أوزبكستان لأنهما سيواجهان هناك خطر السجن</w:t>
      </w:r>
      <w:r>
        <w:rPr>
          <w:rFonts w:hint="cs"/>
          <w:spacing w:val="-1"/>
          <w:rtl/>
        </w:rPr>
        <w:t xml:space="preserve"> أو</w:t>
      </w:r>
      <w:r>
        <w:rPr>
          <w:spacing w:val="-1"/>
          <w:rtl/>
        </w:rPr>
        <w:t> </w:t>
      </w:r>
      <w:r w:rsidRPr="00FA0FC2">
        <w:rPr>
          <w:rFonts w:hint="cs"/>
          <w:spacing w:val="-1"/>
          <w:rtl/>
        </w:rPr>
        <w:t>القتل بالنظر إلى أن صاحب البلاغ</w:t>
      </w:r>
      <w:r>
        <w:rPr>
          <w:rFonts w:hint="cs"/>
          <w:spacing w:val="-1"/>
          <w:rtl/>
        </w:rPr>
        <w:t xml:space="preserve"> لم</w:t>
      </w:r>
      <w:r>
        <w:rPr>
          <w:spacing w:val="-1"/>
          <w:rtl/>
        </w:rPr>
        <w:t> </w:t>
      </w:r>
      <w:r w:rsidRPr="00FA0FC2">
        <w:rPr>
          <w:rFonts w:hint="cs"/>
          <w:spacing w:val="-1"/>
          <w:rtl/>
        </w:rPr>
        <w:t>يحترم التزامه بالحضور إلى الشرطة وعدم السفر، وإلى أن زوجته نكثت بوعودها للشرطة بأن تكشف عن مكان وجود زوجها. وقدَّم صاحب الشكوى شهادات ميلاد تُثبت هويته تحت اسمه المستعار ج.</w:t>
      </w:r>
      <w:r>
        <w:rPr>
          <w:rFonts w:hint="eastAsia"/>
          <w:spacing w:val="-1"/>
          <w:rtl/>
        </w:rPr>
        <w:t> </w:t>
      </w:r>
      <w:r w:rsidRPr="00FA0FC2">
        <w:rPr>
          <w:rFonts w:hint="cs"/>
          <w:spacing w:val="-1"/>
          <w:rtl/>
        </w:rPr>
        <w:t>ب.</w:t>
      </w:r>
      <w:r>
        <w:rPr>
          <w:rFonts w:hint="eastAsia"/>
          <w:spacing w:val="-1"/>
          <w:rtl/>
        </w:rPr>
        <w:t> </w:t>
      </w:r>
      <w:r w:rsidRPr="00FA0FC2">
        <w:rPr>
          <w:rFonts w:hint="cs"/>
          <w:spacing w:val="-1"/>
          <w:rtl/>
        </w:rPr>
        <w:t>م.</w:t>
      </w:r>
      <w:r>
        <w:rPr>
          <w:rFonts w:hint="cs"/>
          <w:spacing w:val="-1"/>
          <w:rtl/>
        </w:rPr>
        <w:t xml:space="preserve"> ولم</w:t>
      </w:r>
      <w:r>
        <w:rPr>
          <w:spacing w:val="-1"/>
          <w:rtl/>
        </w:rPr>
        <w:t> </w:t>
      </w:r>
      <w:r w:rsidRPr="00FA0FC2">
        <w:rPr>
          <w:rFonts w:hint="cs"/>
          <w:spacing w:val="-1"/>
          <w:rtl/>
        </w:rPr>
        <w:t>تُقدَّم أية وثيقة أخرى تثبت هويته</w:t>
      </w:r>
      <w:r>
        <w:rPr>
          <w:rFonts w:hint="cs"/>
          <w:spacing w:val="-1"/>
          <w:rtl/>
        </w:rPr>
        <w:t xml:space="preserve"> أو</w:t>
      </w:r>
      <w:r>
        <w:rPr>
          <w:spacing w:val="-1"/>
          <w:rtl/>
        </w:rPr>
        <w:t> </w:t>
      </w:r>
      <w:r w:rsidRPr="00FA0FC2">
        <w:rPr>
          <w:rFonts w:hint="cs"/>
          <w:spacing w:val="-1"/>
          <w:rtl/>
        </w:rPr>
        <w:t>تقوي مزاعمه لدعم طلب لجوئهما.</w:t>
      </w:r>
    </w:p>
    <w:p w:rsidR="00091373" w:rsidRPr="00FA0FC2" w:rsidRDefault="00091373" w:rsidP="00091373">
      <w:pPr>
        <w:pStyle w:val="SingleTxtGA"/>
        <w:rPr>
          <w:rFonts w:hint="cs"/>
          <w:rtl/>
        </w:rPr>
      </w:pPr>
      <w:r w:rsidRPr="00FA0FC2">
        <w:rPr>
          <w:rFonts w:hint="cs"/>
          <w:rtl/>
        </w:rPr>
        <w:t>2-4</w:t>
      </w:r>
      <w:r w:rsidRPr="00FA0FC2">
        <w:rPr>
          <w:rFonts w:hint="cs"/>
          <w:rtl/>
        </w:rPr>
        <w:tab/>
        <w:t xml:space="preserve">وفي 5 </w:t>
      </w:r>
      <w:r w:rsidRPr="00FA0FC2">
        <w:rPr>
          <w:rFonts w:hint="cs"/>
          <w:sz w:val="30"/>
          <w:rtl/>
        </w:rPr>
        <w:t xml:space="preserve">حزيران/يونيه </w:t>
      </w:r>
      <w:r w:rsidRPr="00FA0FC2">
        <w:rPr>
          <w:rFonts w:hint="cs"/>
          <w:rtl/>
        </w:rPr>
        <w:t>2009، رفض مجلس الهجرة السويدي طلب لجوء صاحب الشكوى. وأفاد مجلس الهجرة أن السرد الوارد في طلب اللجوء يتسم بالغموض</w:t>
      </w:r>
      <w:r>
        <w:rPr>
          <w:rFonts w:hint="cs"/>
          <w:rtl/>
        </w:rPr>
        <w:t xml:space="preserve"> ولم</w:t>
      </w:r>
      <w:r>
        <w:rPr>
          <w:rtl/>
        </w:rPr>
        <w:t> </w:t>
      </w:r>
      <w:r w:rsidRPr="00FA0FC2">
        <w:rPr>
          <w:rFonts w:hint="cs"/>
          <w:rtl/>
        </w:rPr>
        <w:t>يُظهر أية معلومات عن أي شكل من أشكال الاضطهاد التي مارستها السلطات في بلد المنشأ على أساس العرق</w:t>
      </w:r>
      <w:r>
        <w:rPr>
          <w:rFonts w:hint="cs"/>
          <w:rtl/>
        </w:rPr>
        <w:t xml:space="preserve"> أو</w:t>
      </w:r>
      <w:r>
        <w:rPr>
          <w:rtl/>
        </w:rPr>
        <w:t> </w:t>
      </w:r>
      <w:r w:rsidRPr="00FA0FC2">
        <w:rPr>
          <w:rFonts w:hint="cs"/>
          <w:rtl/>
        </w:rPr>
        <w:t>الجنسية</w:t>
      </w:r>
      <w:r>
        <w:rPr>
          <w:rFonts w:hint="cs"/>
          <w:rtl/>
        </w:rPr>
        <w:t xml:space="preserve"> أو</w:t>
      </w:r>
      <w:r>
        <w:rPr>
          <w:rtl/>
        </w:rPr>
        <w:t> </w:t>
      </w:r>
      <w:r w:rsidRPr="00FA0FC2">
        <w:rPr>
          <w:rFonts w:hint="cs"/>
          <w:rtl/>
        </w:rPr>
        <w:t>الفئة الاجتماعية</w:t>
      </w:r>
      <w:r>
        <w:rPr>
          <w:rFonts w:hint="cs"/>
          <w:rtl/>
        </w:rPr>
        <w:t xml:space="preserve"> أو</w:t>
      </w:r>
      <w:r>
        <w:rPr>
          <w:rtl/>
        </w:rPr>
        <w:t> </w:t>
      </w:r>
      <w:r w:rsidRPr="00FA0FC2">
        <w:rPr>
          <w:rFonts w:hint="cs"/>
          <w:rtl/>
        </w:rPr>
        <w:t>الدين</w:t>
      </w:r>
      <w:r>
        <w:rPr>
          <w:rFonts w:hint="cs"/>
          <w:rtl/>
        </w:rPr>
        <w:t xml:space="preserve"> أو</w:t>
      </w:r>
      <w:r>
        <w:rPr>
          <w:rtl/>
        </w:rPr>
        <w:t> </w:t>
      </w:r>
      <w:r w:rsidRPr="00FA0FC2">
        <w:rPr>
          <w:rFonts w:hint="cs"/>
          <w:rtl/>
        </w:rPr>
        <w:t>المعتقدات السياسية وأنه</w:t>
      </w:r>
      <w:r>
        <w:rPr>
          <w:rFonts w:hint="cs"/>
          <w:rtl/>
        </w:rPr>
        <w:t xml:space="preserve"> لا</w:t>
      </w:r>
      <w:r>
        <w:rPr>
          <w:rtl/>
        </w:rPr>
        <w:t> </w:t>
      </w:r>
      <w:r w:rsidRPr="00FA0FC2">
        <w:rPr>
          <w:rFonts w:hint="cs"/>
          <w:rtl/>
        </w:rPr>
        <w:t>توجد أية أسباب تدعو إلى الاعتقاد بأن صاحب الشكوى وزوجته قد يتعرضان لعقوبات أقسى من العقوبات التي يتعرض لها أي شخص يرتكب جريمة. وأشار المجلس كذلك إلى أن صاحب الشكوى</w:t>
      </w:r>
      <w:r>
        <w:rPr>
          <w:rFonts w:hint="cs"/>
          <w:rtl/>
        </w:rPr>
        <w:t xml:space="preserve"> لم</w:t>
      </w:r>
      <w:r>
        <w:rPr>
          <w:rtl/>
        </w:rPr>
        <w:t> </w:t>
      </w:r>
      <w:r w:rsidRPr="00FA0FC2">
        <w:rPr>
          <w:rFonts w:hint="cs"/>
          <w:rtl/>
        </w:rPr>
        <w:t>يتمكن من تقديم وثائق هوية</w:t>
      </w:r>
      <w:r>
        <w:rPr>
          <w:rFonts w:hint="cs"/>
          <w:rtl/>
        </w:rPr>
        <w:t xml:space="preserve"> أو</w:t>
      </w:r>
      <w:r>
        <w:rPr>
          <w:rtl/>
        </w:rPr>
        <w:t> </w:t>
      </w:r>
      <w:r w:rsidRPr="00FA0FC2">
        <w:rPr>
          <w:rFonts w:hint="cs"/>
          <w:rtl/>
        </w:rPr>
        <w:t>أدلة خطية تثبت أنه قد حكم عليه بالسجن لمدة ثلاث سنوات وأنه كان ممنوعاً من السفر وكان ملزماً بالحضور إلى مركز الشرطة. وعلى الرغم من أن المجلس</w:t>
      </w:r>
      <w:r>
        <w:rPr>
          <w:rFonts w:hint="cs"/>
          <w:rtl/>
        </w:rPr>
        <w:t xml:space="preserve"> لم</w:t>
      </w:r>
      <w:r>
        <w:rPr>
          <w:rtl/>
        </w:rPr>
        <w:t> </w:t>
      </w:r>
      <w:r w:rsidRPr="00FA0FC2">
        <w:rPr>
          <w:rFonts w:hint="cs"/>
          <w:rtl/>
        </w:rPr>
        <w:t>يشكك بالأصل الأوزبكي لصاحب الشكوى وزوجته، فقد خلُص إلى أن الأسباب التي قدمها لتبرير عدم توافر الأدلة متناقضة وغير محتملة وبالتالي غير موثوقة.</w:t>
      </w:r>
    </w:p>
    <w:p w:rsidR="00091373" w:rsidRPr="00FA0FC2" w:rsidRDefault="00091373" w:rsidP="00091373">
      <w:pPr>
        <w:pStyle w:val="SingleTxtGA"/>
        <w:rPr>
          <w:rFonts w:hint="cs"/>
          <w:rtl/>
        </w:rPr>
      </w:pPr>
      <w:r w:rsidRPr="00FA0FC2">
        <w:rPr>
          <w:rFonts w:hint="cs"/>
          <w:rtl/>
        </w:rPr>
        <w:t>2-5</w:t>
      </w:r>
      <w:r w:rsidRPr="00FA0FC2">
        <w:rPr>
          <w:rFonts w:hint="cs"/>
          <w:rtl/>
        </w:rPr>
        <w:tab/>
        <w:t>ووفقاً لقرار مجلس الهجرة، أدلى صاحب الشكوى بأقوال متناقضة بشأن وثائق هويته. فقد جاء على لسان دفاعه أن الشرطة صادرت جواز سفره وبطاقته العسكرية ورخصة القيادة التي يحملها. بيد أنه أفاد مع زوجته أثناء المقابلة التي أجريت في مجلس الهجرة أنهما طلبا إلى والديهما أن يُرسلا إليهما رخصة القيادة الخاصة بصاحب الشكوى وشهادة الدبلوم الذي تحمله زوجته لإثبات هويتهما. وقد تراجع صاحب الشكوى أيضاً عن جزء من إفاداته بشأن المظاهرة التي حدثت في أنديجان ومكان تمركز كتيبته،</w:t>
      </w:r>
      <w:r>
        <w:rPr>
          <w:rFonts w:hint="cs"/>
          <w:rtl/>
        </w:rPr>
        <w:t xml:space="preserve"> فيما</w:t>
      </w:r>
      <w:r>
        <w:rPr>
          <w:rtl/>
        </w:rPr>
        <w:t> </w:t>
      </w:r>
      <w:r>
        <w:rPr>
          <w:rFonts w:hint="cs"/>
          <w:rtl/>
        </w:rPr>
        <w:t>لم</w:t>
      </w:r>
      <w:r>
        <w:rPr>
          <w:rtl/>
        </w:rPr>
        <w:t> </w:t>
      </w:r>
      <w:r w:rsidRPr="00FA0FC2">
        <w:rPr>
          <w:rFonts w:hint="cs"/>
          <w:rtl/>
        </w:rPr>
        <w:t>تتذكر زوجته الطريق الذي سلكته للسفر إلى كازاخستان على الرغم</w:t>
      </w:r>
      <w:r>
        <w:rPr>
          <w:rFonts w:hint="cs"/>
          <w:rtl/>
        </w:rPr>
        <w:t xml:space="preserve"> مما</w:t>
      </w:r>
      <w:r>
        <w:rPr>
          <w:rtl/>
        </w:rPr>
        <w:t> </w:t>
      </w:r>
      <w:r w:rsidRPr="00FA0FC2">
        <w:rPr>
          <w:rFonts w:hint="cs"/>
          <w:rtl/>
        </w:rPr>
        <w:t>تزعمه من أنها</w:t>
      </w:r>
      <w:r>
        <w:rPr>
          <w:rFonts w:hint="cs"/>
          <w:rtl/>
        </w:rPr>
        <w:t xml:space="preserve"> لا</w:t>
      </w:r>
      <w:r>
        <w:rPr>
          <w:rtl/>
        </w:rPr>
        <w:t> </w:t>
      </w:r>
      <w:r w:rsidRPr="00FA0FC2">
        <w:rPr>
          <w:rFonts w:hint="cs"/>
          <w:rtl/>
        </w:rPr>
        <w:t>تحمل جواز سفر وأنها تلقت تعليمات من زوجها. وخلُص مجلس الهجرة إلى أنه</w:t>
      </w:r>
      <w:r>
        <w:rPr>
          <w:rFonts w:hint="cs"/>
          <w:rtl/>
        </w:rPr>
        <w:t xml:space="preserve"> لا</w:t>
      </w:r>
      <w:r>
        <w:rPr>
          <w:rtl/>
        </w:rPr>
        <w:t> </w:t>
      </w:r>
      <w:r w:rsidRPr="00FA0FC2">
        <w:rPr>
          <w:rFonts w:hint="cs"/>
          <w:rtl/>
        </w:rPr>
        <w:t>يوجد دليل يُثبت أنهما سيتعرضان للتعذيب وللمعاملة</w:t>
      </w:r>
      <w:r>
        <w:rPr>
          <w:rFonts w:hint="cs"/>
          <w:rtl/>
        </w:rPr>
        <w:t xml:space="preserve"> أو</w:t>
      </w:r>
      <w:r>
        <w:rPr>
          <w:rtl/>
        </w:rPr>
        <w:t> </w:t>
      </w:r>
      <w:r w:rsidRPr="00FA0FC2">
        <w:rPr>
          <w:rFonts w:hint="cs"/>
          <w:rtl/>
        </w:rPr>
        <w:t>العقوبة</w:t>
      </w:r>
      <w:r>
        <w:rPr>
          <w:rFonts w:hint="cs"/>
          <w:rtl/>
        </w:rPr>
        <w:t xml:space="preserve"> </w:t>
      </w:r>
      <w:r w:rsidRPr="00FA0FC2">
        <w:rPr>
          <w:rFonts w:hint="cs"/>
          <w:rtl/>
        </w:rPr>
        <w:t>القاسية</w:t>
      </w:r>
      <w:r>
        <w:rPr>
          <w:rFonts w:hint="cs"/>
          <w:rtl/>
        </w:rPr>
        <w:t xml:space="preserve"> أو</w:t>
      </w:r>
      <w:r>
        <w:rPr>
          <w:rtl/>
        </w:rPr>
        <w:t> </w:t>
      </w:r>
      <w:r w:rsidRPr="00FA0FC2">
        <w:rPr>
          <w:rFonts w:hint="cs"/>
          <w:rtl/>
        </w:rPr>
        <w:t>اللاإنسانية</w:t>
      </w:r>
      <w:r>
        <w:rPr>
          <w:rFonts w:hint="cs"/>
          <w:rtl/>
        </w:rPr>
        <w:t xml:space="preserve"> أو</w:t>
      </w:r>
      <w:r>
        <w:rPr>
          <w:rtl/>
        </w:rPr>
        <w:t> </w:t>
      </w:r>
      <w:r w:rsidRPr="00FA0FC2">
        <w:rPr>
          <w:rFonts w:hint="cs"/>
          <w:rtl/>
        </w:rPr>
        <w:t>المهينة إذا أُعيدا إلى أوزبكستان، وأصدر أمراً بترحيل صاحب الشكوى وزوجته عملاً بال</w:t>
      </w:r>
      <w:r>
        <w:rPr>
          <w:rFonts w:hint="cs"/>
          <w:rtl/>
        </w:rPr>
        <w:t>مادة</w:t>
      </w:r>
      <w:r>
        <w:rPr>
          <w:rtl/>
        </w:rPr>
        <w:t> </w:t>
      </w:r>
      <w:r w:rsidRPr="00FA0FC2">
        <w:rPr>
          <w:rFonts w:hint="cs"/>
          <w:rtl/>
        </w:rPr>
        <w:t>7 من الفصل 8 من قانون الأجانب (</w:t>
      </w:r>
      <w:r w:rsidRPr="00FA0FC2">
        <w:t>2005:716</w:t>
      </w:r>
      <w:r w:rsidRPr="00FA0FC2">
        <w:rPr>
          <w:rFonts w:hint="cs"/>
          <w:rtl/>
        </w:rPr>
        <w:t>).</w:t>
      </w:r>
    </w:p>
    <w:p w:rsidR="00091373" w:rsidRPr="00FA0FC2" w:rsidRDefault="00091373" w:rsidP="00091373">
      <w:pPr>
        <w:pStyle w:val="SingleTxtGA"/>
        <w:spacing w:line="370" w:lineRule="exact"/>
        <w:rPr>
          <w:rFonts w:hint="cs"/>
          <w:rtl/>
        </w:rPr>
      </w:pPr>
      <w:r w:rsidRPr="00FA0FC2">
        <w:rPr>
          <w:rFonts w:hint="cs"/>
          <w:rtl/>
          <w:lang w:val="fr-CH"/>
        </w:rPr>
        <w:t>2-6</w:t>
      </w:r>
      <w:r w:rsidRPr="00FA0FC2">
        <w:rPr>
          <w:rFonts w:hint="cs"/>
          <w:rtl/>
          <w:lang w:val="fr-CH"/>
        </w:rPr>
        <w:tab/>
        <w:t>واستأنف صاحب الشكوى القرار أمام محكمة الهجرة. وذكر في طعنه أنه قدم طلب لجوء بهوية مزورة (ج. ب. م.) لأنه كان يخشى على سلامته وأن اسمه الحقيقي هو د. واي،</w:t>
      </w:r>
      <w:r w:rsidRPr="00FA0FC2">
        <w:rPr>
          <w:rFonts w:hint="cs"/>
          <w:rtl/>
        </w:rPr>
        <w:t xml:space="preserve"> وهو مولود في 22 شباط/فبراير 1981. وقدم بطاقة طالب ودفتره العسكري لإثبات هويته الحقيقية، وأكدّ أن جميع المعلومات الأخرى المقدمة صحيحة. وأفاد كذلك أنه كان يملك جوازي سفر، وقد أخذت السلطات العسكرية منه الجواز الأول عندما استدعته إلى تأدية الخدمة العسكرية. وحصل على الجواز الثاني بطرق الرشوة بعد زواجه. وعلى الرغم من أن الشرطة استولت على الجوازين، فإنه تمكن من تجديد جواز السفر الثاني في</w:t>
      </w:r>
      <w:r>
        <w:rPr>
          <w:rFonts w:hint="cs"/>
          <w:rtl/>
        </w:rPr>
        <w:t xml:space="preserve"> عام</w:t>
      </w:r>
      <w:r>
        <w:rPr>
          <w:rtl/>
        </w:rPr>
        <w:t> </w:t>
      </w:r>
      <w:r w:rsidRPr="00FA0FC2">
        <w:rPr>
          <w:rFonts w:hint="cs"/>
          <w:rtl/>
        </w:rPr>
        <w:t>2006 بدفع رشوة بعد أن أبلغ عن فقدانه.</w:t>
      </w:r>
    </w:p>
    <w:p w:rsidR="00091373" w:rsidRPr="00FA0FC2" w:rsidRDefault="00091373" w:rsidP="00091373">
      <w:pPr>
        <w:pStyle w:val="SingleTxtGA"/>
        <w:spacing w:line="370" w:lineRule="exact"/>
        <w:rPr>
          <w:rFonts w:hint="cs"/>
          <w:rtl/>
        </w:rPr>
      </w:pPr>
      <w:r w:rsidRPr="00FA0FC2">
        <w:rPr>
          <w:rFonts w:hint="cs"/>
          <w:rtl/>
        </w:rPr>
        <w:t>2-7</w:t>
      </w:r>
      <w:r w:rsidRPr="00FA0FC2">
        <w:rPr>
          <w:rFonts w:hint="cs"/>
          <w:rtl/>
        </w:rPr>
        <w:tab/>
        <w:t>وفي 1 حزيران/يونيه 2010، أجرت المحكمة جلسة استماع في هذه القضية. وكرر صاحب الشكوى ادعاءاته السابقة، وأكد مجدداً أن السلطات استولت على بطاقة هويته ووثائقه الشخصية. بيد أنه تمكن من إخفاء دفتر الخدمة العسكرية الذي قدمه في مرحلة لاحقة إلى سلطات الهجرة السويدية.</w:t>
      </w:r>
      <w:r>
        <w:rPr>
          <w:rFonts w:hint="cs"/>
          <w:rtl/>
        </w:rPr>
        <w:t xml:space="preserve"> ولم</w:t>
      </w:r>
      <w:r>
        <w:rPr>
          <w:rtl/>
        </w:rPr>
        <w:t> </w:t>
      </w:r>
      <w:r w:rsidRPr="00FA0FC2">
        <w:rPr>
          <w:rFonts w:hint="cs"/>
          <w:rtl/>
        </w:rPr>
        <w:t>يكشف للسلطات السويدية عن هويته الحقيقية لأنه كان يخشى أن يطارده جهاز الأمن الأوزبكي أيضاً في السويد. وإن</w:t>
      </w:r>
      <w:r>
        <w:rPr>
          <w:rFonts w:hint="cs"/>
          <w:rtl/>
        </w:rPr>
        <w:t xml:space="preserve"> ما</w:t>
      </w:r>
      <w:r>
        <w:rPr>
          <w:rtl/>
        </w:rPr>
        <w:t> </w:t>
      </w:r>
      <w:r w:rsidRPr="00FA0FC2">
        <w:rPr>
          <w:rFonts w:hint="cs"/>
          <w:rtl/>
        </w:rPr>
        <w:t>قدمه في المرحلة الأولى إلى السلطات السويدية من وثائق هوية ودبلوم هي وثائق تعود إلى شخص آخر. وقد ادعى أنه إذا أُعيد إلى أوزبكستان فسيحتجز ويعاقب وستُساء معاملته بدرجة أقسى من ذي قبل وسيحكم عليه بالسجن مدى الحياة لأنه سافر إلى الخارج. وأبلغ المحكمة أيضاً أن طفليه قد عادا إلى أوزبكستان وهما يعيشان مع والديه، وأنه عندما يتصل بهما بالهاتف فإنه</w:t>
      </w:r>
      <w:r>
        <w:rPr>
          <w:rFonts w:hint="cs"/>
          <w:rtl/>
        </w:rPr>
        <w:t xml:space="preserve"> لا</w:t>
      </w:r>
      <w:r>
        <w:rPr>
          <w:rtl/>
        </w:rPr>
        <w:t> </w:t>
      </w:r>
      <w:r w:rsidRPr="00FA0FC2">
        <w:rPr>
          <w:rFonts w:hint="cs"/>
          <w:rtl/>
        </w:rPr>
        <w:t>يتحدث معهما لأكثر من ثلاث</w:t>
      </w:r>
      <w:r>
        <w:rPr>
          <w:rFonts w:hint="cs"/>
          <w:rtl/>
        </w:rPr>
        <w:t xml:space="preserve"> أو</w:t>
      </w:r>
      <w:r>
        <w:rPr>
          <w:rtl/>
        </w:rPr>
        <w:t> </w:t>
      </w:r>
      <w:r w:rsidRPr="00FA0FC2">
        <w:rPr>
          <w:rFonts w:hint="cs"/>
          <w:rtl/>
        </w:rPr>
        <w:t>أربع دقائق خشيةً من اعتراض المكالمة الهاتفية. ويأتي رجال الشرطة إلى منزله مرتين في الأسبوع للسؤال عن مكان وجوده. وادعى أيضاً أنه يعاني من مشكلة صحية تتعلق بالكلية نتيجة للتعذيب.</w:t>
      </w:r>
    </w:p>
    <w:p w:rsidR="00091373" w:rsidRPr="00FA0FC2" w:rsidRDefault="00091373" w:rsidP="00091373">
      <w:pPr>
        <w:pStyle w:val="SingleTxtGA"/>
        <w:spacing w:line="370" w:lineRule="exact"/>
        <w:rPr>
          <w:rFonts w:hint="cs"/>
          <w:rtl/>
        </w:rPr>
      </w:pPr>
      <w:r w:rsidRPr="00FA0FC2">
        <w:rPr>
          <w:rFonts w:hint="cs"/>
          <w:rtl/>
        </w:rPr>
        <w:t>2-8</w:t>
      </w:r>
      <w:r w:rsidRPr="00FA0FC2">
        <w:rPr>
          <w:rFonts w:hint="cs"/>
          <w:rtl/>
        </w:rPr>
        <w:tab/>
        <w:t>وفي 14 حزيران/يونيه 2010، رفضت محكمة الهجرة الطعن وأمرت بطرد صاحب الشكوى من السويد ومنعته لمدة سنتين من العودة إلى السويد بدون تصريح من مجلس الهجرة. وأشارت المحكمة إلى أن الصورة التي تظهر على دفتر الخدمة العسكرية</w:t>
      </w:r>
      <w:r>
        <w:rPr>
          <w:rFonts w:hint="cs"/>
          <w:rtl/>
        </w:rPr>
        <w:t xml:space="preserve"> لا</w:t>
      </w:r>
      <w:r>
        <w:rPr>
          <w:rtl/>
        </w:rPr>
        <w:t> </w:t>
      </w:r>
      <w:r w:rsidRPr="00FA0FC2">
        <w:rPr>
          <w:rFonts w:hint="cs"/>
          <w:rtl/>
        </w:rPr>
        <w:t>تشبه صاحب الشكوى الذي</w:t>
      </w:r>
      <w:r>
        <w:rPr>
          <w:rFonts w:hint="cs"/>
          <w:rtl/>
        </w:rPr>
        <w:t xml:space="preserve"> لم</w:t>
      </w:r>
      <w:r>
        <w:rPr>
          <w:rtl/>
        </w:rPr>
        <w:t> </w:t>
      </w:r>
      <w:r w:rsidRPr="00FA0FC2">
        <w:rPr>
          <w:rFonts w:hint="cs"/>
          <w:rtl/>
        </w:rPr>
        <w:t>يتمكن من توضيح سبب وجود صورته على الدفتر وهو في سن الثامنة عشرة عوضاً عن صورته وقتَ التحاقه بالخدمة العسكرية. وعليه،</w:t>
      </w:r>
      <w:r>
        <w:rPr>
          <w:rFonts w:hint="cs"/>
          <w:rtl/>
        </w:rPr>
        <w:t xml:space="preserve"> لم</w:t>
      </w:r>
      <w:r>
        <w:rPr>
          <w:rtl/>
        </w:rPr>
        <w:t> </w:t>
      </w:r>
      <w:r w:rsidRPr="00FA0FC2">
        <w:rPr>
          <w:rFonts w:hint="cs"/>
          <w:rtl/>
        </w:rPr>
        <w:t>يتمكن صاحب الشكوى من إثبات هويته الجديدة. وأشارت المحكمة كذلك إلى أنه</w:t>
      </w:r>
      <w:r>
        <w:rPr>
          <w:rFonts w:hint="cs"/>
          <w:rtl/>
        </w:rPr>
        <w:t xml:space="preserve"> لم</w:t>
      </w:r>
      <w:r>
        <w:rPr>
          <w:rtl/>
        </w:rPr>
        <w:t> </w:t>
      </w:r>
      <w:r w:rsidRPr="00FA0FC2">
        <w:rPr>
          <w:rFonts w:hint="cs"/>
          <w:rtl/>
        </w:rPr>
        <w:t>يقدم أي دليل خطي وأن سرده كان مبهماً ومليئاً بالتناقضات.</w:t>
      </w:r>
      <w:r>
        <w:rPr>
          <w:rFonts w:hint="cs"/>
          <w:rtl/>
        </w:rPr>
        <w:t xml:space="preserve"> وفيما</w:t>
      </w:r>
      <w:r>
        <w:rPr>
          <w:rtl/>
        </w:rPr>
        <w:t> </w:t>
      </w:r>
      <w:r w:rsidRPr="00FA0FC2">
        <w:rPr>
          <w:rFonts w:hint="cs"/>
          <w:rtl/>
        </w:rPr>
        <w:t>يخص الأحداث التي وقعت في أنديجان في</w:t>
      </w:r>
      <w:r w:rsidRPr="00FA0FC2">
        <w:rPr>
          <w:rFonts w:hint="eastAsia"/>
          <w:rtl/>
        </w:rPr>
        <w:t> </w:t>
      </w:r>
      <w:r w:rsidRPr="00FA0FC2">
        <w:rPr>
          <w:rFonts w:hint="cs"/>
          <w:rtl/>
        </w:rPr>
        <w:t>13 أيار/مايو 2005،</w:t>
      </w:r>
      <w:r>
        <w:rPr>
          <w:rFonts w:hint="cs"/>
          <w:rtl/>
        </w:rPr>
        <w:t xml:space="preserve"> لم</w:t>
      </w:r>
      <w:r>
        <w:rPr>
          <w:rtl/>
        </w:rPr>
        <w:t> </w:t>
      </w:r>
      <w:r w:rsidRPr="00FA0FC2">
        <w:rPr>
          <w:rFonts w:hint="cs"/>
          <w:rtl/>
        </w:rPr>
        <w:t>يتمكن صاحب الشكوى من إعطاء أية تفاصيل عن وجود حواجز طرق</w:t>
      </w:r>
      <w:r>
        <w:rPr>
          <w:rFonts w:hint="cs"/>
          <w:rtl/>
        </w:rPr>
        <w:t xml:space="preserve"> أو</w:t>
      </w:r>
      <w:r>
        <w:rPr>
          <w:rtl/>
        </w:rPr>
        <w:t> </w:t>
      </w:r>
      <w:r w:rsidRPr="00FA0FC2">
        <w:rPr>
          <w:rFonts w:hint="cs"/>
          <w:rtl/>
        </w:rPr>
        <w:t>ذكر أسماء أماكن رئيسية، مثل ساحة بابور حيث تجمع المتظاهرون،</w:t>
      </w:r>
      <w:r>
        <w:rPr>
          <w:rFonts w:hint="cs"/>
          <w:rtl/>
        </w:rPr>
        <w:t xml:space="preserve"> ولم</w:t>
      </w:r>
      <w:r>
        <w:rPr>
          <w:rtl/>
        </w:rPr>
        <w:t> </w:t>
      </w:r>
      <w:r w:rsidRPr="00FA0FC2">
        <w:rPr>
          <w:rFonts w:hint="cs"/>
          <w:rtl/>
        </w:rPr>
        <w:t>يشر أي تقرير قطري إلى</w:t>
      </w:r>
      <w:r>
        <w:rPr>
          <w:rFonts w:hint="cs"/>
          <w:rtl/>
        </w:rPr>
        <w:t xml:space="preserve"> ما</w:t>
      </w:r>
      <w:r>
        <w:rPr>
          <w:rtl/>
        </w:rPr>
        <w:t> </w:t>
      </w:r>
      <w:r w:rsidRPr="00FA0FC2">
        <w:rPr>
          <w:rFonts w:hint="cs"/>
          <w:rtl/>
        </w:rPr>
        <w:t>أكده من أن المروحيات والطائرات كانت تقصف المتظاهرين. وإضافة إلى ذلك، ليس من المعقول أن يتمكن صاحب الشكوى من الحصول على جواز سفر جديد في</w:t>
      </w:r>
      <w:r>
        <w:rPr>
          <w:rFonts w:hint="cs"/>
          <w:rtl/>
        </w:rPr>
        <w:t xml:space="preserve"> عام</w:t>
      </w:r>
      <w:r>
        <w:rPr>
          <w:rtl/>
        </w:rPr>
        <w:t> </w:t>
      </w:r>
      <w:r w:rsidRPr="00FA0FC2">
        <w:rPr>
          <w:rFonts w:hint="cs"/>
          <w:rtl/>
        </w:rPr>
        <w:t>2006 وهو في السجن. وقد قدم معلومات متناقضة تتعلق بإدانته. فهو أفاد في المعلومات الأولية التي قدمها أنه أُدين بالسجن لمدة ثلاث سنوات من دون محاكمة ودون تعيين محامي دفاع</w:t>
      </w:r>
      <w:r>
        <w:rPr>
          <w:rFonts w:hint="cs"/>
          <w:rtl/>
        </w:rPr>
        <w:t xml:space="preserve"> عام</w:t>
      </w:r>
      <w:r>
        <w:rPr>
          <w:rtl/>
        </w:rPr>
        <w:t> </w:t>
      </w:r>
      <w:r w:rsidRPr="00FA0FC2">
        <w:rPr>
          <w:rFonts w:hint="cs"/>
          <w:rtl/>
        </w:rPr>
        <w:t>له، ثم ذكر أمام المحكمة أنه أُدين في جلسة مغلقة. فأقوال صاحب الشكوى كانت تفتقر إلى المصداقية، وهو</w:t>
      </w:r>
      <w:r>
        <w:rPr>
          <w:rFonts w:hint="cs"/>
          <w:rtl/>
        </w:rPr>
        <w:t xml:space="preserve"> لم</w:t>
      </w:r>
      <w:r>
        <w:rPr>
          <w:rtl/>
        </w:rPr>
        <w:t> </w:t>
      </w:r>
      <w:r w:rsidRPr="00FA0FC2">
        <w:rPr>
          <w:rFonts w:hint="cs"/>
          <w:rtl/>
        </w:rPr>
        <w:t>يتمكن من إثبات احتمال تعرضه للاضطهاد</w:t>
      </w:r>
      <w:r>
        <w:rPr>
          <w:rFonts w:hint="cs"/>
          <w:rtl/>
        </w:rPr>
        <w:t xml:space="preserve"> أو</w:t>
      </w:r>
      <w:r>
        <w:rPr>
          <w:rtl/>
        </w:rPr>
        <w:t> </w:t>
      </w:r>
      <w:r w:rsidRPr="00FA0FC2">
        <w:rPr>
          <w:rFonts w:hint="cs"/>
          <w:rtl/>
        </w:rPr>
        <w:t>للتعذيب</w:t>
      </w:r>
      <w:r>
        <w:rPr>
          <w:rFonts w:hint="cs"/>
          <w:rtl/>
        </w:rPr>
        <w:t xml:space="preserve"> أو</w:t>
      </w:r>
      <w:r>
        <w:rPr>
          <w:rtl/>
        </w:rPr>
        <w:t> </w:t>
      </w:r>
      <w:r w:rsidRPr="00FA0FC2">
        <w:rPr>
          <w:rFonts w:hint="cs"/>
          <w:rtl/>
        </w:rPr>
        <w:t>المعاملة</w:t>
      </w:r>
      <w:r>
        <w:rPr>
          <w:rFonts w:hint="cs"/>
          <w:rtl/>
        </w:rPr>
        <w:t xml:space="preserve"> أو</w:t>
      </w:r>
      <w:r>
        <w:rPr>
          <w:rtl/>
        </w:rPr>
        <w:t> </w:t>
      </w:r>
      <w:r w:rsidRPr="00FA0FC2">
        <w:rPr>
          <w:rFonts w:hint="cs"/>
          <w:rtl/>
        </w:rPr>
        <w:t>العقوبة اللاإنسانية</w:t>
      </w:r>
      <w:r>
        <w:rPr>
          <w:rFonts w:hint="cs"/>
          <w:rtl/>
        </w:rPr>
        <w:t xml:space="preserve"> أو</w:t>
      </w:r>
      <w:r>
        <w:rPr>
          <w:rtl/>
        </w:rPr>
        <w:t> </w:t>
      </w:r>
      <w:r w:rsidRPr="00FA0FC2">
        <w:rPr>
          <w:rFonts w:hint="cs"/>
          <w:rtl/>
        </w:rPr>
        <w:t>المهينة لدى عودته إلى أوزبكستان.</w:t>
      </w:r>
      <w:r>
        <w:rPr>
          <w:rFonts w:hint="cs"/>
          <w:rtl/>
        </w:rPr>
        <w:t xml:space="preserve"> وفي</w:t>
      </w:r>
      <w:r>
        <w:rPr>
          <w:rtl/>
        </w:rPr>
        <w:t> </w:t>
      </w:r>
      <w:r w:rsidRPr="00FA0FC2">
        <w:rPr>
          <w:rFonts w:hint="cs"/>
          <w:rtl/>
        </w:rPr>
        <w:t>16 آب/أغسطس 2010 دخل قرار طرد صاحب الشكوى حيز النفاذ.</w:t>
      </w:r>
    </w:p>
    <w:p w:rsidR="00091373" w:rsidRPr="00FA0FC2" w:rsidRDefault="00091373" w:rsidP="00091373">
      <w:pPr>
        <w:pStyle w:val="SingleTxtGA"/>
        <w:rPr>
          <w:rFonts w:hint="cs"/>
          <w:rtl/>
        </w:rPr>
      </w:pPr>
      <w:r w:rsidRPr="00FA0FC2">
        <w:rPr>
          <w:rFonts w:hint="cs"/>
          <w:rtl/>
        </w:rPr>
        <w:t>2-9</w:t>
      </w:r>
      <w:r w:rsidRPr="00FA0FC2">
        <w:rPr>
          <w:rFonts w:hint="cs"/>
          <w:rtl/>
        </w:rPr>
        <w:tab/>
        <w:t>وفي 8 تشرين الثاني/نوفمبر 2010، قام طبيب من الصليب الأحمر السويدي بفحص صاحب الشكوى وفقاً لدليل التقصي والتوثيق الفعالين بشأن التعذيب وغيره من ضروب المعاملة</w:t>
      </w:r>
      <w:r>
        <w:rPr>
          <w:rFonts w:hint="cs"/>
          <w:rtl/>
        </w:rPr>
        <w:t xml:space="preserve"> أو</w:t>
      </w:r>
      <w:r>
        <w:rPr>
          <w:rtl/>
        </w:rPr>
        <w:t> </w:t>
      </w:r>
      <w:r w:rsidRPr="00FA0FC2">
        <w:rPr>
          <w:rFonts w:hint="cs"/>
          <w:rtl/>
        </w:rPr>
        <w:t>العقوبة القاسية</w:t>
      </w:r>
      <w:r>
        <w:rPr>
          <w:rFonts w:hint="cs"/>
          <w:rtl/>
        </w:rPr>
        <w:t xml:space="preserve"> أو</w:t>
      </w:r>
      <w:r>
        <w:rPr>
          <w:rtl/>
        </w:rPr>
        <w:t> </w:t>
      </w:r>
      <w:r w:rsidRPr="00FA0FC2">
        <w:rPr>
          <w:rFonts w:hint="cs"/>
          <w:rtl/>
        </w:rPr>
        <w:t>اللاإنسانية</w:t>
      </w:r>
      <w:r>
        <w:rPr>
          <w:rFonts w:hint="cs"/>
          <w:rtl/>
        </w:rPr>
        <w:t xml:space="preserve"> أو</w:t>
      </w:r>
      <w:r>
        <w:rPr>
          <w:rtl/>
        </w:rPr>
        <w:t> </w:t>
      </w:r>
      <w:r w:rsidRPr="00FA0FC2">
        <w:rPr>
          <w:rFonts w:hint="cs"/>
          <w:rtl/>
        </w:rPr>
        <w:t>المهينة (بروتوكول اسطنبول)، ووجد علامات تشير إلى تعرضه للركل واللكم، وجروح بشفرات الحلاقة على الجزء الباطني من ذراعه الأيسر، وحروق بالولاعة على الورك الأيسر وعلى الجزء الخلفي من ساقه اليمنى، وتعرضه كذلك للضرب بهراوة على ساقيه من الخلف وندوب على الردف الأيسر يمكن أن يكون سببها أداة حادة وحروق ناجمة عن قطرات من البلاستيك الحارق على الجهة الخلفية من القدم اليمنى وكسر في الإصبع ناجم عن الركل. وخلص التقرير إلى أنه تعرض للتعذيب</w:t>
      </w:r>
      <w:r>
        <w:rPr>
          <w:rFonts w:hint="cs"/>
          <w:rtl/>
        </w:rPr>
        <w:t xml:space="preserve"> أو</w:t>
      </w:r>
      <w:r>
        <w:rPr>
          <w:rtl/>
        </w:rPr>
        <w:t> </w:t>
      </w:r>
      <w:r w:rsidRPr="00FA0FC2">
        <w:rPr>
          <w:rFonts w:hint="cs"/>
          <w:rtl/>
        </w:rPr>
        <w:t>الإساءة البدنية.</w:t>
      </w:r>
      <w:r>
        <w:rPr>
          <w:rFonts w:hint="cs"/>
          <w:rtl/>
        </w:rPr>
        <w:t xml:space="preserve"> وفي</w:t>
      </w:r>
      <w:r>
        <w:rPr>
          <w:rtl/>
        </w:rPr>
        <w:t> </w:t>
      </w:r>
      <w:r w:rsidRPr="00FA0FC2">
        <w:rPr>
          <w:rFonts w:hint="cs"/>
          <w:rtl/>
        </w:rPr>
        <w:t>10 شباط/فبراير 2011، صدر تقرير للطب النفسي يُشير إلى أن صاحب البلاغ كان يعاني من اضطرابات نفسية لاحقة للإصابة بالصدمة وحالة كآبة مرتبطة بأفعال التعذيب التي تعرض لها في الماضي مع احتمال كبير أن تدفعه حالته إلى الانتحار.</w:t>
      </w:r>
    </w:p>
    <w:p w:rsidR="00091373" w:rsidRPr="00FA0FC2" w:rsidRDefault="00091373" w:rsidP="00091373">
      <w:pPr>
        <w:pStyle w:val="SingleTxtGA"/>
        <w:rPr>
          <w:rFonts w:hint="cs"/>
          <w:rtl/>
        </w:rPr>
      </w:pPr>
      <w:r w:rsidRPr="00FA0FC2">
        <w:rPr>
          <w:rFonts w:hint="cs"/>
          <w:rtl/>
        </w:rPr>
        <w:t>2-10</w:t>
      </w:r>
      <w:r w:rsidRPr="00FA0FC2">
        <w:rPr>
          <w:rFonts w:hint="cs"/>
          <w:rtl/>
        </w:rPr>
        <w:tab/>
        <w:t>وفي 14 شباط/فبراير 2011، رفع صاحب البلاغ طلباً إلى مجلس الهجرة يُشير فيه إلى وجود ظروف جديدة من شأنها أن توفر أسباباً معقولة تدعو إلى الاعتقاد بأنه سيواجه خطر التعذيب إذا أُعيد إلى أوزبكستان. وقدم التقارير الطبية التي أعدها الصليب الأحمر السويدي، واحتج بأنه</w:t>
      </w:r>
      <w:r>
        <w:rPr>
          <w:rFonts w:hint="cs"/>
          <w:rtl/>
        </w:rPr>
        <w:t xml:space="preserve"> لم</w:t>
      </w:r>
      <w:r>
        <w:rPr>
          <w:rtl/>
        </w:rPr>
        <w:t> </w:t>
      </w:r>
      <w:r w:rsidRPr="00FA0FC2">
        <w:rPr>
          <w:rFonts w:hint="cs"/>
          <w:rtl/>
        </w:rPr>
        <w:t>يدرك، أثناء إجراء اللجوء، أهمية إقامة الدليل على</w:t>
      </w:r>
      <w:r>
        <w:rPr>
          <w:rFonts w:hint="cs"/>
          <w:rtl/>
        </w:rPr>
        <w:t xml:space="preserve"> ما</w:t>
      </w:r>
      <w:r>
        <w:rPr>
          <w:rtl/>
        </w:rPr>
        <w:t> </w:t>
      </w:r>
      <w:r w:rsidRPr="00FA0FC2">
        <w:rPr>
          <w:rFonts w:hint="cs"/>
          <w:rtl/>
        </w:rPr>
        <w:t>تعرض له من تعذيب في الماضي، وأن مجلس الهجرة</w:t>
      </w:r>
      <w:r>
        <w:rPr>
          <w:rFonts w:hint="cs"/>
          <w:rtl/>
        </w:rPr>
        <w:t xml:space="preserve"> لم</w:t>
      </w:r>
      <w:r>
        <w:rPr>
          <w:rtl/>
        </w:rPr>
        <w:t> </w:t>
      </w:r>
      <w:r w:rsidRPr="00FA0FC2">
        <w:rPr>
          <w:rFonts w:hint="cs"/>
          <w:rtl/>
        </w:rPr>
        <w:t>يبحث</w:t>
      </w:r>
      <w:r>
        <w:rPr>
          <w:rFonts w:hint="cs"/>
          <w:rtl/>
        </w:rPr>
        <w:t xml:space="preserve"> لا</w:t>
      </w:r>
      <w:r>
        <w:rPr>
          <w:rtl/>
        </w:rPr>
        <w:t> </w:t>
      </w:r>
      <w:r w:rsidRPr="00FA0FC2">
        <w:rPr>
          <w:rFonts w:hint="cs"/>
          <w:rtl/>
        </w:rPr>
        <w:t>هو</w:t>
      </w:r>
      <w:r>
        <w:rPr>
          <w:rFonts w:hint="cs"/>
          <w:rtl/>
        </w:rPr>
        <w:t xml:space="preserve"> ولا</w:t>
      </w:r>
      <w:r>
        <w:rPr>
          <w:rtl/>
        </w:rPr>
        <w:t> </w:t>
      </w:r>
      <w:r w:rsidRPr="00FA0FC2">
        <w:rPr>
          <w:rFonts w:hint="cs"/>
          <w:rtl/>
        </w:rPr>
        <w:t>محكمة الهجرة مسألة</w:t>
      </w:r>
      <w:r>
        <w:rPr>
          <w:rFonts w:hint="cs"/>
          <w:rtl/>
        </w:rPr>
        <w:t xml:space="preserve"> ما</w:t>
      </w:r>
      <w:r>
        <w:rPr>
          <w:rtl/>
        </w:rPr>
        <w:t> </w:t>
      </w:r>
      <w:r w:rsidRPr="00FA0FC2">
        <w:rPr>
          <w:rFonts w:hint="cs"/>
          <w:rtl/>
        </w:rPr>
        <w:t>إذا كان قد خضع للتعذيب أثناء وجوده في السجن. وأكد أيضاًَ أنه كان يخشى أن يقوم المترجم الشفوي الذي ساعده أثناء المقابلات بإبلاغ السلطات الأوزبكية بأقواله. وادعى أن السلطات الأوزبكية تخترق عمليات اللجوء في أوروبا الغربية لمراقبة المواطنين الأوزبكيين الذين يلتمسون اللجوء. وأشار إلى تقرير لمجلس الهجرة السويدي صادر في حزيران/</w:t>
      </w:r>
      <w:r>
        <w:rPr>
          <w:rFonts w:hint="cs"/>
          <w:rtl/>
        </w:rPr>
        <w:t xml:space="preserve"> </w:t>
      </w:r>
      <w:r w:rsidRPr="00FA0FC2">
        <w:rPr>
          <w:rFonts w:hint="cs"/>
          <w:rtl/>
        </w:rPr>
        <w:t>يونيه</w:t>
      </w:r>
      <w:r w:rsidRPr="00FA0FC2">
        <w:rPr>
          <w:rFonts w:hint="eastAsia"/>
          <w:rtl/>
        </w:rPr>
        <w:t> </w:t>
      </w:r>
      <w:r w:rsidRPr="00FA0FC2">
        <w:rPr>
          <w:rFonts w:hint="cs"/>
          <w:rtl/>
        </w:rPr>
        <w:t>2010 بشأن الحالة في أوزبكستان، وقد جاء في هذا التقرير أن استخدام التعذيب شائع في أوزبكستان، وأنه في الفترة</w:t>
      </w:r>
      <w:r>
        <w:rPr>
          <w:rFonts w:hint="cs"/>
          <w:rtl/>
        </w:rPr>
        <w:t xml:space="preserve"> ما</w:t>
      </w:r>
      <w:r>
        <w:rPr>
          <w:rtl/>
        </w:rPr>
        <w:t> </w:t>
      </w:r>
      <w:r w:rsidRPr="00FA0FC2">
        <w:rPr>
          <w:rFonts w:hint="cs"/>
          <w:rtl/>
        </w:rPr>
        <w:t xml:space="preserve">بين عامي 2008 و2009 قتل تسعة أشخاص من المتورطين في حوادث أنديجان نتيجة للتعذيب، وبالتالي فإن من المحتمل أن يكون جميع الأشخاص الذين لهم صلة بحوادث أنديجان معرضين لهذا الخطر. </w:t>
      </w:r>
    </w:p>
    <w:p w:rsidR="00091373" w:rsidRPr="00FA0FC2" w:rsidRDefault="00091373" w:rsidP="00091373">
      <w:pPr>
        <w:pStyle w:val="SingleTxtGA"/>
        <w:rPr>
          <w:rFonts w:hint="cs"/>
          <w:rtl/>
          <w:lang w:val="fr-CH"/>
        </w:rPr>
      </w:pPr>
      <w:r w:rsidRPr="00FA0FC2">
        <w:rPr>
          <w:rFonts w:hint="cs"/>
          <w:rtl/>
          <w:lang w:val="fr-CH"/>
        </w:rPr>
        <w:t>2-11</w:t>
      </w:r>
      <w:r w:rsidRPr="00FA0FC2">
        <w:rPr>
          <w:rtl/>
          <w:lang w:val="fr-CH"/>
        </w:rPr>
        <w:tab/>
      </w:r>
      <w:r w:rsidRPr="00FA0FC2">
        <w:rPr>
          <w:rFonts w:hint="cs"/>
          <w:rtl/>
          <w:lang w:val="fr-CH"/>
        </w:rPr>
        <w:t>وفي 14 آذار/مارس 2011، قرر مجلس الهجرة عدم إعادة النظر في طلب صاحب الشكوى. وقد اعتبر مجلس الهجرة أن الأسباب التي قدمها صاحب الشكوى</w:t>
      </w:r>
      <w:r>
        <w:rPr>
          <w:rFonts w:hint="cs"/>
          <w:rtl/>
          <w:lang w:val="fr-CH"/>
        </w:rPr>
        <w:t xml:space="preserve"> لا</w:t>
      </w:r>
      <w:r>
        <w:rPr>
          <w:rtl/>
          <w:lang w:val="fr-CH"/>
        </w:rPr>
        <w:t> </w:t>
      </w:r>
      <w:r w:rsidRPr="00FA0FC2">
        <w:rPr>
          <w:rFonts w:hint="cs"/>
          <w:rtl/>
          <w:lang w:val="fr-CH"/>
        </w:rPr>
        <w:t>تشكل من حيث طابعها</w:t>
      </w:r>
      <w:r>
        <w:rPr>
          <w:rFonts w:hint="cs"/>
          <w:rtl/>
          <w:lang w:val="fr-CH"/>
        </w:rPr>
        <w:t xml:space="preserve"> أو</w:t>
      </w:r>
      <w:r>
        <w:rPr>
          <w:rtl/>
          <w:lang w:val="fr-CH"/>
        </w:rPr>
        <w:t> </w:t>
      </w:r>
      <w:r w:rsidRPr="00FA0FC2">
        <w:rPr>
          <w:rFonts w:hint="cs"/>
          <w:rtl/>
          <w:lang w:val="fr-CH"/>
        </w:rPr>
        <w:t>بعدها عائقاً يحول دون تنفيذ أمر الطرد وفقاً لل</w:t>
      </w:r>
      <w:r>
        <w:rPr>
          <w:rFonts w:hint="cs"/>
          <w:rtl/>
          <w:lang w:val="fr-CH"/>
        </w:rPr>
        <w:t>مادة</w:t>
      </w:r>
      <w:r>
        <w:rPr>
          <w:rtl/>
          <w:lang w:val="fr-CH"/>
        </w:rPr>
        <w:t> </w:t>
      </w:r>
      <w:r w:rsidRPr="00FA0FC2">
        <w:rPr>
          <w:rFonts w:hint="cs"/>
          <w:rtl/>
          <w:lang w:val="fr-CH"/>
        </w:rPr>
        <w:t>18 من الفصل 12 من قانون الأجانب السويدي. وقد رأى المجلس أن الظروف الجديدة التي احتج بها صاحب الشكوى في طلبه الجديد كانت بالفعل موضع نظر مجلس الهجرة وكذلك محكمة الهجرة.</w:t>
      </w:r>
      <w:r>
        <w:rPr>
          <w:rFonts w:hint="cs"/>
          <w:rtl/>
          <w:lang w:val="fr-CH"/>
        </w:rPr>
        <w:t xml:space="preserve"> وبما</w:t>
      </w:r>
      <w:r>
        <w:rPr>
          <w:rtl/>
          <w:lang w:val="fr-CH"/>
        </w:rPr>
        <w:t> </w:t>
      </w:r>
      <w:r w:rsidRPr="00FA0FC2">
        <w:rPr>
          <w:rFonts w:hint="cs"/>
          <w:rtl/>
          <w:lang w:val="fr-CH"/>
        </w:rPr>
        <w:t>أن صاحب الشكوى</w:t>
      </w:r>
      <w:r>
        <w:rPr>
          <w:rFonts w:hint="cs"/>
          <w:rtl/>
          <w:lang w:val="fr-CH"/>
        </w:rPr>
        <w:t xml:space="preserve"> لم</w:t>
      </w:r>
      <w:r>
        <w:rPr>
          <w:rtl/>
          <w:lang w:val="fr-CH"/>
        </w:rPr>
        <w:t> </w:t>
      </w:r>
      <w:r w:rsidRPr="00FA0FC2">
        <w:rPr>
          <w:rFonts w:hint="cs"/>
          <w:rtl/>
          <w:lang w:val="fr-CH"/>
        </w:rPr>
        <w:t>يذكر أي ظروف جديدة تبرر حاجته إلى الحماية، اعتبر المجلس أنه</w:t>
      </w:r>
      <w:r>
        <w:rPr>
          <w:rFonts w:hint="cs"/>
          <w:rtl/>
          <w:lang w:val="fr-CH"/>
        </w:rPr>
        <w:t xml:space="preserve"> لا</w:t>
      </w:r>
      <w:r>
        <w:rPr>
          <w:rtl/>
          <w:lang w:val="fr-CH"/>
        </w:rPr>
        <w:t> </w:t>
      </w:r>
      <w:r w:rsidRPr="00FA0FC2">
        <w:rPr>
          <w:rFonts w:hint="cs"/>
          <w:rtl/>
          <w:lang w:val="fr-CH"/>
        </w:rPr>
        <w:t>توجد أسباب تدعو إلى إعادة النظر في المسألة. وقد طعن صاحب الشكوى في هذا القرار بالاستئناف أمام محكمة الهجرة.</w:t>
      </w:r>
    </w:p>
    <w:p w:rsidR="00091373" w:rsidRPr="00FA0FC2" w:rsidRDefault="00091373" w:rsidP="00091373">
      <w:pPr>
        <w:pStyle w:val="SingleTxtGA"/>
        <w:rPr>
          <w:rFonts w:hint="cs"/>
          <w:rtl/>
          <w:lang w:val="fr-CH"/>
        </w:rPr>
      </w:pPr>
      <w:r w:rsidRPr="00FA0FC2">
        <w:rPr>
          <w:rFonts w:hint="cs"/>
          <w:rtl/>
          <w:lang w:val="fr-CH"/>
        </w:rPr>
        <w:t>2-12</w:t>
      </w:r>
      <w:r w:rsidRPr="00FA0FC2">
        <w:rPr>
          <w:rFonts w:hint="cs"/>
          <w:rtl/>
          <w:lang w:val="fr-CH"/>
        </w:rPr>
        <w:tab/>
        <w:t>وفي 7 نيسان/أبريل 2011، رفضت محكمة الهجرة الطعن. وقد رأت المحكمة أن الادعاءات التي تفيد تعرض صاحب الشكوى للإيذاء الشديد عندما كان في السجن كانت بالفعل موضع دراسة وأن ادعاءاته الجديدة المتعلقة بالتعذيب هي مجرد تعديل لطلبه السابق</w:t>
      </w:r>
      <w:r>
        <w:rPr>
          <w:rFonts w:hint="cs"/>
          <w:rtl/>
          <w:lang w:val="fr-CH"/>
        </w:rPr>
        <w:t xml:space="preserve"> أو</w:t>
      </w:r>
      <w:r>
        <w:rPr>
          <w:rtl/>
          <w:lang w:val="fr-CH"/>
        </w:rPr>
        <w:t> </w:t>
      </w:r>
      <w:r w:rsidRPr="00FA0FC2">
        <w:rPr>
          <w:rFonts w:hint="cs"/>
          <w:rtl/>
          <w:lang w:val="fr-CH"/>
        </w:rPr>
        <w:t>إضافة له. وإن ادعاءاته التي تفيد أن الشرطة تطارده وأن والده معرّض للتوقيف هي ادعاءات جديدة. بيد أنه</w:t>
      </w:r>
      <w:r>
        <w:rPr>
          <w:rFonts w:hint="cs"/>
          <w:rtl/>
          <w:lang w:val="fr-CH"/>
        </w:rPr>
        <w:t xml:space="preserve"> لم</w:t>
      </w:r>
      <w:r>
        <w:rPr>
          <w:rtl/>
          <w:lang w:val="fr-CH"/>
        </w:rPr>
        <w:t> </w:t>
      </w:r>
      <w:r w:rsidRPr="00FA0FC2">
        <w:rPr>
          <w:rFonts w:hint="cs"/>
          <w:rtl/>
          <w:lang w:val="fr-CH"/>
        </w:rPr>
        <w:t xml:space="preserve">يقدم دليلاً خطياً في هذا الشأن. وقد تقدم صاحب الشكوى إلى محكمة استئناف قضايا الهجرة بطلب للحصول على إذن بالطعن دفع فيه بأنه قدم دليلاً جديداً هاماً يتعلق بالتعذيب. ورفضت محكمة استئناف قضايا الهجرة طلبه المتعلق بالإذن بالطعن في نيسان/أبريل 2011. ولذلك، فإنه يدعي أن جميع سبل الانتصاف المحلية قد استُنفدت وأن أمر ترحيله يمكن أن يكون نافذاً في أي وقت. </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الشكوى</w:t>
      </w:r>
    </w:p>
    <w:p w:rsidR="00091373" w:rsidRPr="00FA0FC2" w:rsidRDefault="00091373" w:rsidP="00091373">
      <w:pPr>
        <w:pStyle w:val="SingleTxtGA"/>
        <w:rPr>
          <w:rFonts w:hint="cs"/>
          <w:rtl/>
          <w:lang w:val="fr-CH"/>
        </w:rPr>
      </w:pPr>
      <w:r w:rsidRPr="00FA0FC2">
        <w:rPr>
          <w:rFonts w:hint="cs"/>
          <w:rtl/>
          <w:lang w:val="fr-CH"/>
        </w:rPr>
        <w:t>3-1</w:t>
      </w:r>
      <w:r w:rsidRPr="00FA0FC2">
        <w:rPr>
          <w:rFonts w:hint="cs"/>
          <w:rtl/>
          <w:lang w:val="fr-CH"/>
        </w:rPr>
        <w:tab/>
        <w:t>يدفع صاحب الشكوى بأن الدولة الطرف</w:t>
      </w:r>
      <w:r>
        <w:rPr>
          <w:rFonts w:hint="cs"/>
          <w:rtl/>
          <w:lang w:val="fr-CH"/>
        </w:rPr>
        <w:t xml:space="preserve"> لم</w:t>
      </w:r>
      <w:r>
        <w:rPr>
          <w:rtl/>
          <w:lang w:val="fr-CH"/>
        </w:rPr>
        <w:t> </w:t>
      </w:r>
      <w:r w:rsidRPr="00FA0FC2">
        <w:rPr>
          <w:rFonts w:hint="cs"/>
          <w:rtl/>
          <w:lang w:val="fr-CH"/>
        </w:rPr>
        <w:t>تقيّم على النحو المناسب الخطر الذي قد يواجهه إن هو عاد إلى أوزبكستان. وأكّد أنه سيواجه شخصياً خطر الاضطهاد والتعذيب، وهو</w:t>
      </w:r>
      <w:r>
        <w:rPr>
          <w:rFonts w:hint="cs"/>
          <w:rtl/>
          <w:lang w:val="fr-CH"/>
        </w:rPr>
        <w:t xml:space="preserve"> ما</w:t>
      </w:r>
      <w:r>
        <w:rPr>
          <w:rtl/>
          <w:lang w:val="fr-CH"/>
        </w:rPr>
        <w:t> </w:t>
      </w:r>
      <w:r w:rsidRPr="00FA0FC2">
        <w:rPr>
          <w:rFonts w:hint="cs"/>
          <w:rtl/>
          <w:lang w:val="fr-CH"/>
        </w:rPr>
        <w:t>يشكلا انتهاكاً لل</w:t>
      </w:r>
      <w:r>
        <w:rPr>
          <w:rFonts w:hint="cs"/>
          <w:rtl/>
          <w:lang w:val="fr-CH"/>
        </w:rPr>
        <w:t>مادة</w:t>
      </w:r>
      <w:r>
        <w:rPr>
          <w:rtl/>
          <w:lang w:val="fr-CH"/>
        </w:rPr>
        <w:t> </w:t>
      </w:r>
      <w:r w:rsidRPr="00FA0FC2">
        <w:rPr>
          <w:rFonts w:hint="cs"/>
          <w:rtl/>
          <w:lang w:val="fr-CH"/>
        </w:rPr>
        <w:t xml:space="preserve">3 من الاتفاقية. </w:t>
      </w:r>
    </w:p>
    <w:p w:rsidR="00091373" w:rsidRPr="00FA0FC2" w:rsidRDefault="00091373" w:rsidP="00091373">
      <w:pPr>
        <w:pStyle w:val="SingleTxtGA"/>
        <w:rPr>
          <w:rFonts w:hint="cs"/>
          <w:rtl/>
          <w:lang w:val="fr-CH"/>
        </w:rPr>
      </w:pPr>
      <w:r w:rsidRPr="00FA0FC2">
        <w:rPr>
          <w:rFonts w:hint="cs"/>
          <w:rtl/>
          <w:lang w:val="fr-CH"/>
        </w:rPr>
        <w:t>3-2</w:t>
      </w:r>
      <w:r w:rsidRPr="00FA0FC2">
        <w:rPr>
          <w:rFonts w:hint="cs"/>
          <w:rtl/>
          <w:lang w:val="fr-CH"/>
        </w:rPr>
        <w:tab/>
        <w:t>ويدفع صاحب الشكوى بأنه قد سُجن وتعرض للإهانة والتعذيب بسبب رفضه إطلاق الرصاص على المتظاهرين. وقد أُطلق سراحه من السجن لكنه تلقى تعليمات بالحضور إلى مركز الشرطة يومياً وكان ممنوعاً من السفر. وعندما كان يحضر إلى مركز الشرطة كان يتعرض للإهانة والشتم. وقد غادر بلده الأصلي خشية منه أن يتعرض مرة أخرى للسجن والتعذيب. ولو عاد إلى بلده الأصلي فإنه سيُحاكم بتهمة الخيانة وسيحكم عليه بالسجن مدى الحياة لأنه سافر إلى الخارج بدون تصريح بالسفر. وبعد رحيله، تعرضت زوجته لمضايقات من أفراد الشرطة الذين وجهوا لها تهديدات بالاحتجاز والتعذيب.</w:t>
      </w:r>
      <w:r>
        <w:rPr>
          <w:rFonts w:hint="cs"/>
          <w:rtl/>
          <w:lang w:val="fr-CH"/>
        </w:rPr>
        <w:t xml:space="preserve"> ولا</w:t>
      </w:r>
      <w:r>
        <w:rPr>
          <w:rtl/>
          <w:lang w:val="fr-CH"/>
        </w:rPr>
        <w:t> </w:t>
      </w:r>
      <w:r w:rsidRPr="00FA0FC2">
        <w:rPr>
          <w:rFonts w:hint="cs"/>
          <w:rtl/>
          <w:lang w:val="fr-CH"/>
        </w:rPr>
        <w:t>تزال الشرطة في الوقت الحاضر تقوم بزيارة منزل والديه وتحاول إجبار والده على تقديم معلومات عن مكان وجوده.</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 xml:space="preserve">ملاحظات الدولة الطرف بشأن </w:t>
      </w:r>
      <w:r>
        <w:rPr>
          <w:rFonts w:hint="cs"/>
          <w:rtl/>
          <w:lang w:val="fr-CH"/>
        </w:rPr>
        <w:t>المقبولية والأسس الموضوعية</w:t>
      </w:r>
    </w:p>
    <w:p w:rsidR="00091373" w:rsidRPr="00FA0FC2" w:rsidRDefault="00091373" w:rsidP="00091373">
      <w:pPr>
        <w:pStyle w:val="SingleTxtGA"/>
        <w:rPr>
          <w:rFonts w:hint="cs"/>
          <w:rtl/>
          <w:lang w:val="fr-CH"/>
        </w:rPr>
      </w:pPr>
      <w:r w:rsidRPr="00FA0FC2">
        <w:rPr>
          <w:rFonts w:hint="cs"/>
          <w:rtl/>
          <w:lang w:val="fr-CH"/>
        </w:rPr>
        <w:t>4-1</w:t>
      </w:r>
      <w:r w:rsidRPr="00FA0FC2">
        <w:rPr>
          <w:rFonts w:hint="cs"/>
          <w:rtl/>
          <w:lang w:val="fr-CH"/>
        </w:rPr>
        <w:tab/>
        <w:t>قدمت الدولة الطرف في 12 كانون الأول/ديسمبر 2011 ملاحظاتها بشأن مقبولية الشكوى وأسسها الموضوعية، وطلبت إلى اللجنة أن تعلن عدم مقبولية الشكوى لأن من الواضح أنها</w:t>
      </w:r>
      <w:r>
        <w:rPr>
          <w:rFonts w:hint="cs"/>
          <w:rtl/>
          <w:lang w:val="fr-CH"/>
        </w:rPr>
        <w:t xml:space="preserve"> لا</w:t>
      </w:r>
      <w:r>
        <w:rPr>
          <w:rtl/>
          <w:lang w:val="fr-CH"/>
        </w:rPr>
        <w:t> </w:t>
      </w:r>
      <w:r w:rsidRPr="00FA0FC2">
        <w:rPr>
          <w:rFonts w:hint="cs"/>
          <w:rtl/>
          <w:lang w:val="fr-CH"/>
        </w:rPr>
        <w:t>تستند إلى أي أساس وذلك عملاً بالفقرة 2 من ال</w:t>
      </w:r>
      <w:r>
        <w:rPr>
          <w:rFonts w:hint="cs"/>
          <w:rtl/>
          <w:lang w:val="fr-CH"/>
        </w:rPr>
        <w:t>مادة</w:t>
      </w:r>
      <w:r>
        <w:rPr>
          <w:rtl/>
          <w:lang w:val="fr-CH"/>
        </w:rPr>
        <w:t> </w:t>
      </w:r>
      <w:r w:rsidRPr="00FA0FC2">
        <w:rPr>
          <w:rFonts w:hint="cs"/>
          <w:rtl/>
          <w:lang w:val="fr-CH"/>
        </w:rPr>
        <w:t xml:space="preserve">22 من الاتفاقية. وتسلّم الدولة الطرف بأن جميع سبل الانتصاف المتاحة قد استُنفدت. </w:t>
      </w:r>
    </w:p>
    <w:p w:rsidR="00091373" w:rsidRPr="00FA0FC2" w:rsidRDefault="00091373" w:rsidP="00091373">
      <w:pPr>
        <w:pStyle w:val="SingleTxtGA"/>
        <w:rPr>
          <w:rFonts w:hint="cs"/>
          <w:rtl/>
          <w:lang w:val="fr-CH"/>
        </w:rPr>
      </w:pPr>
      <w:r w:rsidRPr="00FA0FC2">
        <w:rPr>
          <w:rFonts w:hint="cs"/>
          <w:rtl/>
          <w:lang w:val="fr-CH"/>
        </w:rPr>
        <w:t>4-2</w:t>
      </w:r>
      <w:r w:rsidRPr="00FA0FC2">
        <w:rPr>
          <w:rFonts w:hint="cs"/>
          <w:rtl/>
          <w:lang w:val="fr-CH"/>
        </w:rPr>
        <w:tab/>
        <w:t xml:space="preserve">وتدفع الدولة الطرف بأن النصوص الموجزة التي قدمها صاحب الشكوى عن قرار مجلس الهجرة وحكم محكمة الهجرة الصادرين في الأصل باللغة السويدية هي نصوص رديئة النوعية وحذفت منها بعض الأجزاء الهامة. ولذلك ترفق الدولة الطرف طي المعلومات التي قدمتها ترجمة للقرار والحكم المشار إليهما أعلاه. </w:t>
      </w:r>
    </w:p>
    <w:p w:rsidR="00091373" w:rsidRPr="00FA0FC2" w:rsidRDefault="00091373" w:rsidP="00091373">
      <w:pPr>
        <w:pStyle w:val="SingleTxtGA"/>
        <w:rPr>
          <w:rFonts w:hint="cs"/>
          <w:rtl/>
          <w:lang w:val="fr-CH"/>
        </w:rPr>
      </w:pPr>
      <w:r w:rsidRPr="00FA0FC2">
        <w:rPr>
          <w:rFonts w:hint="cs"/>
          <w:rtl/>
          <w:lang w:val="fr-CH"/>
        </w:rPr>
        <w:t>4-3</w:t>
      </w:r>
      <w:r w:rsidRPr="00FA0FC2">
        <w:rPr>
          <w:rFonts w:hint="cs"/>
          <w:rtl/>
          <w:lang w:val="fr-CH"/>
        </w:rPr>
        <w:tab/>
        <w:t>ولم تقدم إلى مجلس الهجرة المعلومات التي قدمها صاحب الشكوى إلى اللجنة والمتعلقة بالمكان الذي تلقى فيه هو ووحدته أوامر بإطلاق النار.</w:t>
      </w:r>
      <w:r>
        <w:rPr>
          <w:rFonts w:hint="cs"/>
          <w:rtl/>
          <w:lang w:val="fr-CH"/>
        </w:rPr>
        <w:t xml:space="preserve"> ولم</w:t>
      </w:r>
      <w:r>
        <w:rPr>
          <w:rtl/>
          <w:lang w:val="fr-CH"/>
        </w:rPr>
        <w:t> </w:t>
      </w:r>
      <w:r w:rsidRPr="00FA0FC2">
        <w:rPr>
          <w:rFonts w:hint="cs"/>
          <w:rtl/>
          <w:lang w:val="fr-CH"/>
        </w:rPr>
        <w:t>تظهر هذه المعلومات</w:t>
      </w:r>
      <w:r>
        <w:rPr>
          <w:rFonts w:hint="cs"/>
          <w:rtl/>
          <w:lang w:val="fr-CH"/>
        </w:rPr>
        <w:t xml:space="preserve"> إلا</w:t>
      </w:r>
      <w:r>
        <w:rPr>
          <w:rtl/>
          <w:lang w:val="fr-CH"/>
        </w:rPr>
        <w:t> </w:t>
      </w:r>
      <w:r w:rsidRPr="00FA0FC2">
        <w:rPr>
          <w:rFonts w:hint="cs"/>
          <w:rtl/>
          <w:lang w:val="fr-CH"/>
        </w:rPr>
        <w:t>في جلسة الاستماع الشفوية في محكمة الهجرة، ومن ثم في مرحلة لاحقة نوعاً</w:t>
      </w:r>
      <w:r>
        <w:rPr>
          <w:rFonts w:hint="cs"/>
          <w:rtl/>
          <w:lang w:val="fr-CH"/>
        </w:rPr>
        <w:t xml:space="preserve"> ما</w:t>
      </w:r>
      <w:r>
        <w:rPr>
          <w:rtl/>
          <w:lang w:val="fr-CH"/>
        </w:rPr>
        <w:t> </w:t>
      </w:r>
      <w:r w:rsidRPr="00FA0FC2">
        <w:rPr>
          <w:rFonts w:hint="cs"/>
          <w:rtl/>
          <w:lang w:val="fr-CH"/>
        </w:rPr>
        <w:t>من إجراءات اللجوء. وبالمثل، يرد في الشكوى المعروضة على اللجنة أن صاحبها تعرض لمعاملة تحط من شأنه وللإهانة والضرب والتهديد على أيدي حراس السجن خلال فترة احتجازه في سجن كشكاداريا. بيد أن المعلومات الخطية التي قدمها إلى مجلس الهجرة</w:t>
      </w:r>
      <w:r>
        <w:rPr>
          <w:rFonts w:hint="cs"/>
          <w:rtl/>
          <w:lang w:val="fr-CH"/>
        </w:rPr>
        <w:t xml:space="preserve"> لا</w:t>
      </w:r>
      <w:r>
        <w:rPr>
          <w:rtl/>
          <w:lang w:val="fr-CH"/>
        </w:rPr>
        <w:t> </w:t>
      </w:r>
      <w:r w:rsidRPr="00FA0FC2">
        <w:rPr>
          <w:rFonts w:hint="cs"/>
          <w:rtl/>
          <w:lang w:val="fr-CH"/>
        </w:rPr>
        <w:t>تذكر سوى أنه تعرض للضرب في تلك الفترة.</w:t>
      </w:r>
    </w:p>
    <w:p w:rsidR="00091373" w:rsidRPr="00635785" w:rsidRDefault="00091373" w:rsidP="00091373">
      <w:pPr>
        <w:pStyle w:val="SingleTxtGA"/>
        <w:rPr>
          <w:rFonts w:hint="cs"/>
          <w:rtl/>
          <w:lang w:val="fr-CH"/>
        </w:rPr>
      </w:pPr>
      <w:r w:rsidRPr="00635785">
        <w:rPr>
          <w:rFonts w:hint="cs"/>
          <w:rtl/>
          <w:lang w:val="fr-CH"/>
        </w:rPr>
        <w:t>4-4</w:t>
      </w:r>
      <w:r w:rsidRPr="00635785">
        <w:rPr>
          <w:rFonts w:hint="cs"/>
          <w:rtl/>
          <w:lang w:val="fr-CH"/>
        </w:rPr>
        <w:tab/>
        <w:t>وتدفع الدولة الطرف بأنه إذا خلصت اللجنة إلى أن البلاغ مقبول، فإن المسألة المعروضة على اللجنة بشأن الأسس الموضوعية هي تحديد ما</w:t>
      </w:r>
      <w:r w:rsidRPr="00635785">
        <w:rPr>
          <w:rtl/>
          <w:lang w:val="fr-CH"/>
        </w:rPr>
        <w:t> </w:t>
      </w:r>
      <w:r w:rsidRPr="00635785">
        <w:rPr>
          <w:rFonts w:hint="cs"/>
          <w:rtl/>
          <w:lang w:val="fr-CH"/>
        </w:rPr>
        <w:t>إذا كان طرد صاحب الشكوى سيشكل انتهاكاً لالتزام السويد بموجب المادة</w:t>
      </w:r>
      <w:r w:rsidRPr="00635785">
        <w:rPr>
          <w:rtl/>
          <w:lang w:val="fr-CH"/>
        </w:rPr>
        <w:t> </w:t>
      </w:r>
      <w:r w:rsidRPr="00635785">
        <w:rPr>
          <w:rFonts w:hint="cs"/>
          <w:rtl/>
          <w:lang w:val="fr-CH"/>
        </w:rPr>
        <w:t>3 من الاتفاقية بعدم طرد أو</w:t>
      </w:r>
      <w:r w:rsidRPr="00635785">
        <w:rPr>
          <w:rtl/>
          <w:lang w:val="fr-CH"/>
        </w:rPr>
        <w:t> </w:t>
      </w:r>
      <w:r w:rsidRPr="00635785">
        <w:rPr>
          <w:rFonts w:hint="cs"/>
          <w:rtl/>
          <w:lang w:val="fr-CH"/>
        </w:rPr>
        <w:t>ترحيل شخص إلى دولة أخرى توجد فيها من الأسباب المعقولة ما</w:t>
      </w:r>
      <w:r w:rsidRPr="00635785">
        <w:rPr>
          <w:rtl/>
          <w:lang w:val="fr-CH"/>
        </w:rPr>
        <w:t> </w:t>
      </w:r>
      <w:r w:rsidRPr="00635785">
        <w:rPr>
          <w:rFonts w:hint="cs"/>
          <w:rtl/>
          <w:lang w:val="fr-CH"/>
        </w:rPr>
        <w:t xml:space="preserve">يحمل على الاعتقاد بأن هذا الشخص سيتعرض لخطر التعذيب. </w:t>
      </w:r>
    </w:p>
    <w:p w:rsidR="00091373" w:rsidRPr="00FA0FC2" w:rsidRDefault="00091373" w:rsidP="00635785">
      <w:pPr>
        <w:pStyle w:val="SingleTxtGA"/>
        <w:rPr>
          <w:rFonts w:hint="cs"/>
          <w:spacing w:val="-4"/>
          <w:rtl/>
          <w:lang w:val="fr-CH"/>
        </w:rPr>
      </w:pPr>
      <w:r w:rsidRPr="00FA0FC2">
        <w:rPr>
          <w:rFonts w:hint="cs"/>
          <w:spacing w:val="-4"/>
          <w:rtl/>
          <w:lang w:val="fr-CH"/>
        </w:rPr>
        <w:t>4-5</w:t>
      </w:r>
      <w:r w:rsidRPr="00FA0FC2">
        <w:rPr>
          <w:rFonts w:hint="cs"/>
          <w:spacing w:val="-4"/>
          <w:rtl/>
          <w:lang w:val="fr-CH"/>
        </w:rPr>
        <w:tab/>
        <w:t>وفيما يخص الحالة العامة لحقوق الإنسان في أوزبكستان، تفيد الدولة الطرف بأن أوزبكستان طرف في الاتفاقية منذ</w:t>
      </w:r>
      <w:r>
        <w:rPr>
          <w:rFonts w:hint="cs"/>
          <w:spacing w:val="-4"/>
          <w:rtl/>
          <w:lang w:val="fr-CH"/>
        </w:rPr>
        <w:t xml:space="preserve"> عام</w:t>
      </w:r>
      <w:r>
        <w:rPr>
          <w:spacing w:val="-4"/>
          <w:rtl/>
          <w:lang w:val="fr-CH"/>
        </w:rPr>
        <w:t> </w:t>
      </w:r>
      <w:r w:rsidRPr="00FA0FC2">
        <w:rPr>
          <w:rFonts w:hint="cs"/>
          <w:spacing w:val="-4"/>
          <w:rtl/>
          <w:lang w:val="fr-CH"/>
        </w:rPr>
        <w:t>1995، وبالتالي يُفترض أن تكون اللجنة على علم تام بالحالة العامة لحقوق الإنسان في هذه الدولة الطرف. ووفقاً للتقارير الصادرة عن دول أخرى من الواضح أن الحالة العامة لحقوق الإنسان تطرح إشكالية</w:t>
      </w:r>
      <w:r w:rsidRPr="00FA0FC2">
        <w:rPr>
          <w:spacing w:val="-4"/>
          <w:vertAlign w:val="superscript"/>
          <w:rtl/>
          <w:lang w:val="fr-CH"/>
        </w:rPr>
        <w:t>(</w:t>
      </w:r>
      <w:r w:rsidRPr="00FA0FC2">
        <w:rPr>
          <w:rStyle w:val="FootnoteReference"/>
          <w:spacing w:val="-4"/>
          <w:rtl/>
          <w:lang w:val="fr-CH"/>
        </w:rPr>
        <w:footnoteReference w:id="235"/>
      </w:r>
      <w:r w:rsidRPr="00FA0FC2">
        <w:rPr>
          <w:spacing w:val="-4"/>
          <w:vertAlign w:val="superscript"/>
          <w:rtl/>
          <w:lang w:val="fr-CH"/>
        </w:rPr>
        <w:t>)</w:t>
      </w:r>
      <w:r w:rsidRPr="00FA0FC2">
        <w:rPr>
          <w:rFonts w:hint="cs"/>
          <w:spacing w:val="-4"/>
          <w:rtl/>
          <w:lang w:val="fr-CH"/>
        </w:rPr>
        <w:t>. وتشير الدولة الطرف أيضاً إلى</w:t>
      </w:r>
      <w:r>
        <w:rPr>
          <w:rFonts w:hint="cs"/>
          <w:spacing w:val="-4"/>
          <w:rtl/>
          <w:lang w:val="fr-CH"/>
        </w:rPr>
        <w:t xml:space="preserve"> ما</w:t>
      </w:r>
      <w:r>
        <w:rPr>
          <w:spacing w:val="-4"/>
          <w:rtl/>
          <w:lang w:val="fr-CH"/>
        </w:rPr>
        <w:t> </w:t>
      </w:r>
      <w:r w:rsidRPr="00FA0FC2">
        <w:rPr>
          <w:rFonts w:hint="cs"/>
          <w:spacing w:val="-4"/>
          <w:rtl/>
          <w:lang w:val="fr-CH"/>
        </w:rPr>
        <w:t>ذكره المدير العام للشؤون القانونية في مجلس الهجرة السويدي من أنه يجب توخي الحذر الشديد في تقييم المخاطر التي يتعرض لها مقدمو طلبات ينتمون إلى فئات معينة في أوزبكستان ممن</w:t>
      </w:r>
      <w:r w:rsidRPr="00FA0FC2">
        <w:rPr>
          <w:rFonts w:hint="eastAsia"/>
          <w:spacing w:val="-4"/>
          <w:rtl/>
          <w:lang w:val="fr-CH"/>
        </w:rPr>
        <w:t> </w:t>
      </w:r>
      <w:r w:rsidRPr="00FA0FC2">
        <w:rPr>
          <w:rFonts w:hint="cs"/>
          <w:spacing w:val="-4"/>
          <w:rtl/>
          <w:lang w:val="fr-CH"/>
        </w:rPr>
        <w:t>هم أشد تعرضاً للاضطهاد، كالأشخاص الذين كانت لهم صلة بأحداث أنديجان. بيد أن التقييم يجب أن يشمل أيضاً كالمعتاد دراسة لمسألة</w:t>
      </w:r>
      <w:r>
        <w:rPr>
          <w:rFonts w:hint="cs"/>
          <w:spacing w:val="-4"/>
          <w:rtl/>
          <w:lang w:val="fr-CH"/>
        </w:rPr>
        <w:t xml:space="preserve"> ما</w:t>
      </w:r>
      <w:r>
        <w:rPr>
          <w:spacing w:val="-4"/>
          <w:rtl/>
          <w:lang w:val="fr-CH"/>
        </w:rPr>
        <w:t> </w:t>
      </w:r>
      <w:r w:rsidRPr="00FA0FC2">
        <w:rPr>
          <w:rFonts w:hint="cs"/>
          <w:spacing w:val="-4"/>
          <w:rtl/>
          <w:lang w:val="fr-CH"/>
        </w:rPr>
        <w:t>إذا الطلب المقدّم من ملتمس اللجوء يتسم</w:t>
      </w:r>
      <w:r w:rsidRPr="00FA0FC2">
        <w:rPr>
          <w:rFonts w:hint="eastAsia"/>
          <w:spacing w:val="-4"/>
          <w:rtl/>
          <w:lang w:val="fr-CH"/>
        </w:rPr>
        <w:t> </w:t>
      </w:r>
      <w:r w:rsidRPr="00FA0FC2">
        <w:rPr>
          <w:rFonts w:hint="cs"/>
          <w:spacing w:val="-4"/>
          <w:rtl/>
          <w:lang w:val="fr-CH"/>
        </w:rPr>
        <w:t>بالمصداقية</w:t>
      </w:r>
      <w:r w:rsidRPr="00FA0FC2">
        <w:rPr>
          <w:spacing w:val="-4"/>
          <w:vertAlign w:val="superscript"/>
          <w:rtl/>
          <w:lang w:val="fr-CH"/>
        </w:rPr>
        <w:t>(</w:t>
      </w:r>
      <w:r w:rsidRPr="00FA0FC2">
        <w:rPr>
          <w:rStyle w:val="FootnoteReference"/>
          <w:spacing w:val="-4"/>
          <w:rtl/>
          <w:lang w:val="fr-CH"/>
        </w:rPr>
        <w:footnoteReference w:id="236"/>
      </w:r>
      <w:r w:rsidRPr="00FA0FC2">
        <w:rPr>
          <w:spacing w:val="-4"/>
          <w:vertAlign w:val="superscript"/>
          <w:rtl/>
          <w:lang w:val="fr-CH"/>
        </w:rPr>
        <w:t>)</w:t>
      </w:r>
      <w:r w:rsidRPr="00FA0FC2">
        <w:rPr>
          <w:rFonts w:hint="cs"/>
          <w:spacing w:val="-4"/>
          <w:rtl/>
          <w:lang w:val="fr-CH"/>
        </w:rPr>
        <w:t xml:space="preserve">. </w:t>
      </w:r>
    </w:p>
    <w:p w:rsidR="00091373" w:rsidRPr="00FA0FC2" w:rsidRDefault="00091373" w:rsidP="00091373">
      <w:pPr>
        <w:pStyle w:val="SingleTxtGA"/>
        <w:rPr>
          <w:rFonts w:hint="cs"/>
          <w:rtl/>
          <w:lang w:val="fr-CH"/>
        </w:rPr>
      </w:pPr>
      <w:r w:rsidRPr="00FA0FC2">
        <w:rPr>
          <w:rFonts w:hint="cs"/>
          <w:rtl/>
          <w:lang w:val="fr-CH"/>
        </w:rPr>
        <w:t>4-6</w:t>
      </w:r>
      <w:r w:rsidRPr="00FA0FC2">
        <w:rPr>
          <w:rFonts w:hint="cs"/>
          <w:rtl/>
          <w:lang w:val="fr-CH"/>
        </w:rPr>
        <w:tab/>
        <w:t>وتفيد الدولة الطرف أنها</w:t>
      </w:r>
      <w:r>
        <w:rPr>
          <w:rFonts w:hint="cs"/>
          <w:rtl/>
          <w:lang w:val="fr-CH"/>
        </w:rPr>
        <w:t xml:space="preserve"> لا</w:t>
      </w:r>
      <w:r>
        <w:rPr>
          <w:rtl/>
          <w:lang w:val="fr-CH"/>
        </w:rPr>
        <w:t> </w:t>
      </w:r>
      <w:r w:rsidRPr="00FA0FC2">
        <w:rPr>
          <w:rFonts w:hint="cs"/>
          <w:rtl/>
          <w:lang w:val="fr-CH"/>
        </w:rPr>
        <w:t>ترغب في التقليل من شأن الشواغل المعبر عنها بصورة مشروعة إزاء الحالة الراهنة لحقوق الإنسان في أوزبكستان، غير أن الظروف المشار إليها في التقارير المذكورة أعلاه</w:t>
      </w:r>
      <w:r>
        <w:rPr>
          <w:rFonts w:hint="cs"/>
          <w:rtl/>
          <w:lang w:val="fr-CH"/>
        </w:rPr>
        <w:t xml:space="preserve"> لا</w:t>
      </w:r>
      <w:r>
        <w:rPr>
          <w:rtl/>
          <w:lang w:val="fr-CH"/>
        </w:rPr>
        <w:t> </w:t>
      </w:r>
      <w:r w:rsidRPr="00FA0FC2">
        <w:rPr>
          <w:rFonts w:hint="cs"/>
          <w:rtl/>
          <w:lang w:val="fr-CH"/>
        </w:rPr>
        <w:t>تكفي في حد ذاتها لإثبات أن العودة القسرية لصاحب الشكوى إلى أوزبكستان ستشكل انتهاكاً لل</w:t>
      </w:r>
      <w:r>
        <w:rPr>
          <w:rFonts w:hint="cs"/>
          <w:rtl/>
          <w:lang w:val="fr-CH"/>
        </w:rPr>
        <w:t>مادة</w:t>
      </w:r>
      <w:r>
        <w:rPr>
          <w:rtl/>
          <w:lang w:val="fr-CH"/>
        </w:rPr>
        <w:t> </w:t>
      </w:r>
      <w:r w:rsidRPr="00FA0FC2">
        <w:rPr>
          <w:rFonts w:hint="cs"/>
          <w:rtl/>
          <w:lang w:val="fr-CH"/>
        </w:rPr>
        <w:t>3 من الاتفاقية. فالفقرة 1 من ال</w:t>
      </w:r>
      <w:r>
        <w:rPr>
          <w:rFonts w:hint="cs"/>
          <w:rtl/>
          <w:lang w:val="fr-CH"/>
        </w:rPr>
        <w:t>مادة</w:t>
      </w:r>
      <w:r>
        <w:rPr>
          <w:rtl/>
          <w:lang w:val="fr-CH"/>
        </w:rPr>
        <w:t> </w:t>
      </w:r>
      <w:r w:rsidRPr="00FA0FC2">
        <w:rPr>
          <w:rFonts w:hint="cs"/>
          <w:rtl/>
          <w:lang w:val="fr-CH"/>
        </w:rPr>
        <w:t>3 من الاتفاقية تنص على أن الشخص المعني يجب أن يواجه خطراً متوقعاً وحقيقياً وشخصياً بالتعرض للتعذيب في البلد الذي سيعاد إليه وأنه يجب تقييم خطر التعذيب على أسس تتجاوز مجرد الافتراض</w:t>
      </w:r>
      <w:r>
        <w:rPr>
          <w:rFonts w:hint="cs"/>
          <w:rtl/>
          <w:lang w:val="fr-CH"/>
        </w:rPr>
        <w:t xml:space="preserve"> أو</w:t>
      </w:r>
      <w:r>
        <w:rPr>
          <w:rtl/>
          <w:lang w:val="fr-CH"/>
        </w:rPr>
        <w:t> </w:t>
      </w:r>
      <w:r w:rsidRPr="00FA0FC2">
        <w:rPr>
          <w:rFonts w:hint="cs"/>
          <w:rtl/>
          <w:lang w:val="fr-CH"/>
        </w:rPr>
        <w:t>الشك وإن كان</w:t>
      </w:r>
      <w:r>
        <w:rPr>
          <w:rFonts w:hint="cs"/>
          <w:rtl/>
          <w:lang w:val="fr-CH"/>
        </w:rPr>
        <w:t xml:space="preserve"> لا</w:t>
      </w:r>
      <w:r>
        <w:rPr>
          <w:rtl/>
          <w:lang w:val="fr-CH"/>
        </w:rPr>
        <w:t> </w:t>
      </w:r>
      <w:r w:rsidRPr="00FA0FC2">
        <w:rPr>
          <w:rFonts w:hint="cs"/>
          <w:rtl/>
          <w:lang w:val="fr-CH"/>
        </w:rPr>
        <w:t>يشترط إثبات أن يكون احتمال الخطر شديداً</w:t>
      </w:r>
      <w:r w:rsidRPr="00FA0FC2">
        <w:rPr>
          <w:vertAlign w:val="superscript"/>
          <w:rtl/>
          <w:lang w:val="fr-CH"/>
        </w:rPr>
        <w:t>(</w:t>
      </w:r>
      <w:r w:rsidRPr="00FA0FC2">
        <w:rPr>
          <w:rStyle w:val="FootnoteReference"/>
          <w:rtl/>
          <w:lang w:val="fr-CH"/>
        </w:rPr>
        <w:footnoteReference w:id="237"/>
      </w:r>
      <w:r w:rsidRPr="00FA0FC2">
        <w:rPr>
          <w:vertAlign w:val="superscript"/>
          <w:rtl/>
          <w:lang w:val="fr-CH"/>
        </w:rPr>
        <w:t>)</w:t>
      </w:r>
      <w:r w:rsidRPr="00FA0FC2">
        <w:rPr>
          <w:rFonts w:hint="cs"/>
          <w:rtl/>
          <w:lang w:val="fr-CH"/>
        </w:rPr>
        <w:t>.</w:t>
      </w:r>
    </w:p>
    <w:p w:rsidR="00091373" w:rsidRPr="00FA0FC2" w:rsidRDefault="00091373" w:rsidP="00091373">
      <w:pPr>
        <w:pStyle w:val="SingleTxtGA"/>
        <w:rPr>
          <w:rFonts w:hint="cs"/>
          <w:rtl/>
          <w:lang w:val="fr-CH"/>
        </w:rPr>
      </w:pPr>
      <w:r w:rsidRPr="00FA0FC2">
        <w:rPr>
          <w:rFonts w:hint="cs"/>
          <w:rtl/>
          <w:lang w:val="fr-CH"/>
        </w:rPr>
        <w:t>4-7</w:t>
      </w:r>
      <w:r w:rsidRPr="00FA0FC2">
        <w:rPr>
          <w:rFonts w:hint="cs"/>
          <w:rtl/>
          <w:lang w:val="fr-CH"/>
        </w:rPr>
        <w:tab/>
        <w:t>وتطبق السلطات والمحاكم السويدية المعنية بالهجرة في تقييمها خطر التعرض للتعذيب أثناء نظرها في طلب التماس اللجوء بموجب القانون المقياسَ نفسه الذي تطبقه اللجنة عندما تنظر في بلاغ لاحق بموجب الاتفاقية</w:t>
      </w:r>
      <w:r w:rsidRPr="00FA0FC2">
        <w:rPr>
          <w:vertAlign w:val="superscript"/>
          <w:rtl/>
          <w:lang w:val="fr-CH"/>
        </w:rPr>
        <w:t>(</w:t>
      </w:r>
      <w:r w:rsidRPr="00FA0FC2">
        <w:rPr>
          <w:rStyle w:val="FootnoteReference"/>
          <w:rtl/>
          <w:lang w:val="fr-CH"/>
        </w:rPr>
        <w:footnoteReference w:id="238"/>
      </w:r>
      <w:r w:rsidRPr="00FA0FC2">
        <w:rPr>
          <w:vertAlign w:val="superscript"/>
          <w:rtl/>
          <w:lang w:val="fr-CH"/>
        </w:rPr>
        <w:t>)</w:t>
      </w:r>
      <w:r w:rsidRPr="00FA0FC2">
        <w:rPr>
          <w:rFonts w:hint="cs"/>
          <w:rtl/>
          <w:lang w:val="fr-CH"/>
        </w:rPr>
        <w:t>.</w:t>
      </w:r>
      <w:r w:rsidRPr="00FA0FC2">
        <w:rPr>
          <w:rtl/>
          <w:lang w:val="fr-CH"/>
        </w:rPr>
        <w:t xml:space="preserve"> </w:t>
      </w:r>
      <w:r w:rsidRPr="00FA0FC2">
        <w:rPr>
          <w:rFonts w:hint="cs"/>
          <w:rtl/>
          <w:lang w:val="fr-CH"/>
        </w:rPr>
        <w:t>والسلطات الوطنية هي خير من يمكنه تقييم المعلومات المقدمة من ملتمس اللجوء وتقدير إفاداته وادعاءاته نظراً</w:t>
      </w:r>
      <w:r>
        <w:rPr>
          <w:rFonts w:hint="cs"/>
          <w:rtl/>
          <w:lang w:val="fr-CH"/>
        </w:rPr>
        <w:t xml:space="preserve"> لما</w:t>
      </w:r>
      <w:r>
        <w:rPr>
          <w:rtl/>
          <w:lang w:val="fr-CH"/>
        </w:rPr>
        <w:t> </w:t>
      </w:r>
      <w:r w:rsidRPr="00FA0FC2">
        <w:rPr>
          <w:rFonts w:hint="cs"/>
          <w:rtl/>
          <w:lang w:val="fr-CH"/>
        </w:rPr>
        <w:t>يتاح لها من فرصة</w:t>
      </w:r>
      <w:r>
        <w:rPr>
          <w:rFonts w:hint="cs"/>
          <w:rtl/>
          <w:lang w:val="fr-CH"/>
        </w:rPr>
        <w:t xml:space="preserve"> </w:t>
      </w:r>
      <w:r w:rsidRPr="00FA0FC2">
        <w:rPr>
          <w:rFonts w:hint="cs"/>
          <w:rtl/>
          <w:lang w:val="fr-CH"/>
        </w:rPr>
        <w:t>الاتصال المباشر بملتمس اللجوء المعني.</w:t>
      </w:r>
      <w:r>
        <w:rPr>
          <w:rFonts w:hint="cs"/>
          <w:rtl/>
          <w:lang w:val="fr-CH"/>
        </w:rPr>
        <w:t xml:space="preserve"> وفي</w:t>
      </w:r>
      <w:r>
        <w:rPr>
          <w:rtl/>
          <w:lang w:val="fr-CH"/>
        </w:rPr>
        <w:t> </w:t>
      </w:r>
      <w:r w:rsidRPr="00FA0FC2">
        <w:rPr>
          <w:rFonts w:hint="cs"/>
          <w:rtl/>
          <w:lang w:val="fr-CH"/>
        </w:rPr>
        <w:t>ضوء</w:t>
      </w:r>
      <w:r>
        <w:rPr>
          <w:rFonts w:hint="cs"/>
          <w:rtl/>
          <w:lang w:val="fr-CH"/>
        </w:rPr>
        <w:t xml:space="preserve"> ما</w:t>
      </w:r>
      <w:r>
        <w:rPr>
          <w:rtl/>
          <w:lang w:val="fr-CH"/>
        </w:rPr>
        <w:t> </w:t>
      </w:r>
      <w:r w:rsidRPr="00FA0FC2">
        <w:rPr>
          <w:rFonts w:hint="cs"/>
          <w:rtl/>
          <w:lang w:val="fr-CH"/>
        </w:rPr>
        <w:t>سبق، يجب إيلاء أهمية كبيرة للتقييم الذي أجرته سلطات الهجرة السويدية.</w:t>
      </w:r>
    </w:p>
    <w:p w:rsidR="00091373" w:rsidRPr="00FA0FC2" w:rsidRDefault="00091373" w:rsidP="00091373">
      <w:pPr>
        <w:pStyle w:val="SingleTxtGA"/>
        <w:rPr>
          <w:rFonts w:hint="cs"/>
          <w:rtl/>
        </w:rPr>
      </w:pPr>
      <w:r w:rsidRPr="00FA0FC2">
        <w:rPr>
          <w:rFonts w:hint="cs"/>
          <w:rtl/>
          <w:lang w:val="fr-CH"/>
        </w:rPr>
        <w:t>4-8</w:t>
      </w:r>
      <w:r w:rsidRPr="00FA0FC2">
        <w:rPr>
          <w:rFonts w:hint="cs"/>
          <w:rtl/>
          <w:lang w:val="fr-CH"/>
        </w:rPr>
        <w:tab/>
        <w:t>وفيما يتعلق بتقييم مدى مصداقية إفادات صاحب الشكوى، تستند الدولة الطرف أساساً إلى الاستدلال الوارد في قرار مجلس الهجرة المؤرخ 5 حزيران/يونيه 2009 وحكم محكمة الهجرة المؤرخ 14 حزيران/يونيه 2010. وتشير كذلك إلى أن صاحب الشكوى قدم في المرحلة الأولى طلب لجوئه بهوية اسم مستعار هو ج.</w:t>
      </w:r>
      <w:r>
        <w:rPr>
          <w:rFonts w:hint="eastAsia"/>
          <w:rtl/>
          <w:lang w:val="fr-CH"/>
        </w:rPr>
        <w:t> </w:t>
      </w:r>
      <w:r w:rsidRPr="00FA0FC2">
        <w:rPr>
          <w:rFonts w:hint="cs"/>
          <w:rtl/>
          <w:lang w:val="fr-CH"/>
        </w:rPr>
        <w:t>ب.</w:t>
      </w:r>
      <w:r>
        <w:rPr>
          <w:rFonts w:hint="eastAsia"/>
          <w:rtl/>
          <w:lang w:val="fr-CH"/>
        </w:rPr>
        <w:t> </w:t>
      </w:r>
      <w:r w:rsidRPr="00FA0FC2">
        <w:rPr>
          <w:rFonts w:hint="cs"/>
          <w:rtl/>
          <w:lang w:val="fr-CH"/>
        </w:rPr>
        <w:t>م. وقدم دعماً لذلك وثائق ثبُت أنها مزورة. وأكد بعد ذلك أمام محكمة الهجرة أن هويته الحقيقية هي د.</w:t>
      </w:r>
      <w:r>
        <w:rPr>
          <w:rFonts w:hint="eastAsia"/>
          <w:rtl/>
          <w:lang w:val="fr-CH"/>
        </w:rPr>
        <w:t> </w:t>
      </w:r>
      <w:r w:rsidRPr="00FA0FC2">
        <w:rPr>
          <w:rFonts w:hint="cs"/>
          <w:rtl/>
          <w:lang w:val="fr-CH"/>
        </w:rPr>
        <w:t xml:space="preserve">واي.، </w:t>
      </w:r>
      <w:r w:rsidRPr="00FA0FC2">
        <w:rPr>
          <w:rFonts w:hint="cs"/>
          <w:rtl/>
        </w:rPr>
        <w:t>وقدم نسخة من جواز سفره ونسخة من شهادة ميلاده ورخصة قيادة أصلية ودفتر الخدمة العسكرية. بيد أنه</w:t>
      </w:r>
      <w:r>
        <w:rPr>
          <w:rFonts w:hint="cs"/>
          <w:rtl/>
        </w:rPr>
        <w:t xml:space="preserve"> لم</w:t>
      </w:r>
      <w:r>
        <w:rPr>
          <w:rtl/>
        </w:rPr>
        <w:t> </w:t>
      </w:r>
      <w:r w:rsidRPr="00FA0FC2">
        <w:rPr>
          <w:rFonts w:hint="cs"/>
          <w:rtl/>
        </w:rPr>
        <w:t>يتمكن من تقديم تفسير معقول لكيفية حصوله على جواز سفر في</w:t>
      </w:r>
      <w:r>
        <w:rPr>
          <w:rFonts w:hint="cs"/>
          <w:rtl/>
        </w:rPr>
        <w:t xml:space="preserve"> عام</w:t>
      </w:r>
      <w:r>
        <w:rPr>
          <w:rtl/>
        </w:rPr>
        <w:t> </w:t>
      </w:r>
      <w:r w:rsidRPr="00FA0FC2">
        <w:rPr>
          <w:rFonts w:hint="cs"/>
          <w:rtl/>
        </w:rPr>
        <w:t>2006 بينما كان في السجن،</w:t>
      </w:r>
      <w:r>
        <w:rPr>
          <w:rFonts w:hint="cs"/>
          <w:rtl/>
        </w:rPr>
        <w:t xml:space="preserve"> ولا</w:t>
      </w:r>
      <w:r>
        <w:rPr>
          <w:rtl/>
        </w:rPr>
        <w:t> </w:t>
      </w:r>
      <w:r w:rsidRPr="00FA0FC2">
        <w:rPr>
          <w:rFonts w:hint="cs"/>
          <w:rtl/>
        </w:rPr>
        <w:t>سيما بالنظر إلى أنه كان ممنوعاً من مغادرة البلد.</w:t>
      </w:r>
      <w:r>
        <w:rPr>
          <w:rFonts w:hint="cs"/>
          <w:rtl/>
        </w:rPr>
        <w:t xml:space="preserve"> ولم</w:t>
      </w:r>
      <w:r>
        <w:rPr>
          <w:rtl/>
        </w:rPr>
        <w:t> </w:t>
      </w:r>
      <w:r w:rsidRPr="00FA0FC2">
        <w:rPr>
          <w:rFonts w:hint="cs"/>
          <w:rtl/>
        </w:rPr>
        <w:t>يتمكن صاحب الشكوى كذلك من توضيح كيفية حصوله على جواز السفر الثاني في</w:t>
      </w:r>
      <w:r>
        <w:rPr>
          <w:rFonts w:hint="cs"/>
          <w:rtl/>
        </w:rPr>
        <w:t xml:space="preserve"> عام</w:t>
      </w:r>
      <w:r>
        <w:rPr>
          <w:rtl/>
        </w:rPr>
        <w:t> </w:t>
      </w:r>
      <w:r w:rsidRPr="00FA0FC2">
        <w:rPr>
          <w:rFonts w:hint="cs"/>
          <w:rtl/>
        </w:rPr>
        <w:t>2003 عندما تزوج لأن جوازات السفر</w:t>
      </w:r>
      <w:r>
        <w:rPr>
          <w:rFonts w:hint="cs"/>
          <w:rtl/>
        </w:rPr>
        <w:t xml:space="preserve"> لا</w:t>
      </w:r>
      <w:r>
        <w:rPr>
          <w:rtl/>
        </w:rPr>
        <w:t> </w:t>
      </w:r>
      <w:r w:rsidRPr="00FA0FC2">
        <w:rPr>
          <w:rFonts w:hint="cs"/>
          <w:rtl/>
        </w:rPr>
        <w:t>تصدر بسبب عقد الزواج في أوزبكستان. وتوفر جميع هذه الأسباب أسساً قوية للتشكيك في مصداقيته بشكل</w:t>
      </w:r>
      <w:r>
        <w:rPr>
          <w:rFonts w:hint="cs"/>
          <w:rtl/>
        </w:rPr>
        <w:t xml:space="preserve"> عام</w:t>
      </w:r>
      <w:r>
        <w:rPr>
          <w:rtl/>
        </w:rPr>
        <w:t> </w:t>
      </w:r>
      <w:r w:rsidRPr="00FA0FC2">
        <w:rPr>
          <w:rFonts w:hint="cs"/>
          <w:rtl/>
        </w:rPr>
        <w:t>وصحة هويته إضافة إلى ادعاءاته في جوانب أخرى من القضية.</w:t>
      </w:r>
    </w:p>
    <w:p w:rsidR="00091373" w:rsidRPr="00FA0FC2" w:rsidRDefault="00091373" w:rsidP="00091373">
      <w:pPr>
        <w:pStyle w:val="SingleTxtGA"/>
        <w:rPr>
          <w:rFonts w:hint="cs"/>
          <w:rtl/>
        </w:rPr>
      </w:pPr>
      <w:r w:rsidRPr="00FA0FC2">
        <w:rPr>
          <w:rFonts w:hint="cs"/>
          <w:rtl/>
        </w:rPr>
        <w:t>4-9</w:t>
      </w:r>
      <w:r w:rsidRPr="00FA0FC2">
        <w:rPr>
          <w:rFonts w:hint="cs"/>
          <w:rtl/>
        </w:rPr>
        <w:tab/>
        <w:t>ووفقاً</w:t>
      </w:r>
      <w:r>
        <w:rPr>
          <w:rFonts w:hint="cs"/>
          <w:rtl/>
        </w:rPr>
        <w:t xml:space="preserve"> لما</w:t>
      </w:r>
      <w:r>
        <w:rPr>
          <w:rtl/>
        </w:rPr>
        <w:t> </w:t>
      </w:r>
      <w:r w:rsidRPr="00FA0FC2">
        <w:rPr>
          <w:rFonts w:hint="cs"/>
          <w:rtl/>
        </w:rPr>
        <w:t>جاء في الشهادة الطبية الصادرة عن طبيب الصليب الأحمر السويدي في 8 تشرين الثاني/نوفمبر 2010، قد تكون إصابات صاحب الشكوى والندوب التي تظهر على جسده ناشئة عن الأفعال التي يدعي أنه تعرض لها. ولذلك يتعذر التوصل إلى أية استنتاجات مؤكدة بخصوص إصابات صاحب الشكوى ويجب اعتبار هذه الإجابات ذات قيمة إثباتية ضعيفة. وبالمثل،</w:t>
      </w:r>
      <w:r>
        <w:rPr>
          <w:rFonts w:hint="cs"/>
          <w:rtl/>
        </w:rPr>
        <w:t xml:space="preserve"> لا</w:t>
      </w:r>
      <w:r>
        <w:rPr>
          <w:rtl/>
        </w:rPr>
        <w:t> </w:t>
      </w:r>
      <w:r w:rsidRPr="00FA0FC2">
        <w:rPr>
          <w:rFonts w:hint="cs"/>
          <w:rtl/>
        </w:rPr>
        <w:t>تمثل الشهادة الطبية التي تشير إلى أنه يعاني من اضطرابات نفسية لاحقة للإصابة دليلاً قاطعاً على صحة ادعاءاته.</w:t>
      </w:r>
    </w:p>
    <w:p w:rsidR="00091373" w:rsidRPr="00FA0FC2" w:rsidRDefault="00091373" w:rsidP="00091373">
      <w:pPr>
        <w:pStyle w:val="SingleTxtGA"/>
        <w:rPr>
          <w:rFonts w:hint="cs"/>
          <w:rtl/>
        </w:rPr>
      </w:pPr>
      <w:r w:rsidRPr="00FA0FC2">
        <w:rPr>
          <w:rFonts w:hint="cs"/>
          <w:rtl/>
        </w:rPr>
        <w:t>4-10</w:t>
      </w:r>
      <w:r w:rsidRPr="00FA0FC2">
        <w:rPr>
          <w:rFonts w:hint="cs"/>
          <w:rtl/>
        </w:rPr>
        <w:tab/>
        <w:t>ولم يقدم صاحب الشكوى أية وثيقة لأغراض إثبات</w:t>
      </w:r>
      <w:r>
        <w:rPr>
          <w:rFonts w:hint="cs"/>
          <w:rtl/>
        </w:rPr>
        <w:t xml:space="preserve"> ما</w:t>
      </w:r>
      <w:r>
        <w:rPr>
          <w:rtl/>
        </w:rPr>
        <w:t> </w:t>
      </w:r>
      <w:r w:rsidRPr="00FA0FC2">
        <w:rPr>
          <w:rFonts w:hint="cs"/>
          <w:rtl/>
        </w:rPr>
        <w:t>يزعمه من أنه قد أُدين بسبب خرق القانون العسكري.</w:t>
      </w:r>
      <w:r>
        <w:rPr>
          <w:rFonts w:hint="cs"/>
          <w:rtl/>
        </w:rPr>
        <w:t xml:space="preserve"> كما</w:t>
      </w:r>
      <w:r>
        <w:rPr>
          <w:rtl/>
        </w:rPr>
        <w:t> </w:t>
      </w:r>
      <w:r>
        <w:rPr>
          <w:rFonts w:hint="cs"/>
          <w:rtl/>
        </w:rPr>
        <w:t>لم</w:t>
      </w:r>
      <w:r>
        <w:rPr>
          <w:rtl/>
        </w:rPr>
        <w:t> </w:t>
      </w:r>
      <w:r w:rsidRPr="00FA0FC2">
        <w:rPr>
          <w:rFonts w:hint="cs"/>
          <w:rtl/>
        </w:rPr>
        <w:t>يقدم أية وثائق تتعلق بادعائه أنه مُنع من السفر ووضع تحت المراقبة. فقد أفاد صاحب الشكوى أنه كان يحمل وثيقة تثبت أنه تحت المراقبة لكنه سلمها إلى السلطات المحلية عندما ذهب إلى الشرطة. بيد أن الدولة الطرف تجد أن من الغريب أنه</w:t>
      </w:r>
      <w:r>
        <w:rPr>
          <w:rFonts w:hint="cs"/>
          <w:rtl/>
        </w:rPr>
        <w:t xml:space="preserve"> لم</w:t>
      </w:r>
      <w:r>
        <w:rPr>
          <w:rtl/>
        </w:rPr>
        <w:t> </w:t>
      </w:r>
      <w:r w:rsidRPr="00FA0FC2">
        <w:rPr>
          <w:rFonts w:hint="cs"/>
          <w:rtl/>
        </w:rPr>
        <w:t>يتمكن من تحديد محتوى هذه الوثيقة أثناء المقابلات.</w:t>
      </w:r>
    </w:p>
    <w:p w:rsidR="00091373" w:rsidRPr="007279DC" w:rsidRDefault="00091373" w:rsidP="00091373">
      <w:pPr>
        <w:pStyle w:val="SingleTxtGA"/>
        <w:rPr>
          <w:rFonts w:hint="cs"/>
          <w:spacing w:val="-2"/>
          <w:rtl/>
        </w:rPr>
      </w:pPr>
      <w:r w:rsidRPr="007279DC">
        <w:rPr>
          <w:rFonts w:hint="cs"/>
          <w:spacing w:val="-2"/>
          <w:rtl/>
        </w:rPr>
        <w:t>4-11</w:t>
      </w:r>
      <w:r w:rsidRPr="007279DC">
        <w:rPr>
          <w:rFonts w:hint="cs"/>
          <w:spacing w:val="-2"/>
          <w:rtl/>
        </w:rPr>
        <w:tab/>
        <w:t>وقدم صاحب الشكوى أثناء إجراءات اللجوء معلومات مبهمة أو</w:t>
      </w:r>
      <w:r w:rsidRPr="007279DC">
        <w:rPr>
          <w:spacing w:val="-2"/>
          <w:rtl/>
        </w:rPr>
        <w:t> </w:t>
      </w:r>
      <w:r w:rsidRPr="007279DC">
        <w:rPr>
          <w:rFonts w:hint="cs"/>
          <w:spacing w:val="-2"/>
          <w:rtl/>
        </w:rPr>
        <w:t>متناقضة عن الأحداث في أنديجان. وفي</w:t>
      </w:r>
      <w:r w:rsidRPr="007279DC">
        <w:rPr>
          <w:spacing w:val="-2"/>
          <w:rtl/>
        </w:rPr>
        <w:t> </w:t>
      </w:r>
      <w:r w:rsidRPr="007279DC">
        <w:rPr>
          <w:rFonts w:hint="cs"/>
          <w:spacing w:val="-2"/>
          <w:rtl/>
        </w:rPr>
        <w:t>المقابلة الأولى التي أجراها أمام مجلس الهجرة، لم</w:t>
      </w:r>
      <w:r w:rsidRPr="007279DC">
        <w:rPr>
          <w:spacing w:val="-2"/>
          <w:rtl/>
        </w:rPr>
        <w:t> </w:t>
      </w:r>
      <w:r w:rsidRPr="007279DC">
        <w:rPr>
          <w:rFonts w:hint="cs"/>
          <w:spacing w:val="-2"/>
          <w:rtl/>
        </w:rPr>
        <w:t>يذكر أنه كان متورطاً في هذه الأحداث. وبعد ذلك أخبر السلطات بأن كتيبته كانت متمركزة على بعد</w:t>
      </w:r>
      <w:r w:rsidRPr="007279DC">
        <w:rPr>
          <w:rFonts w:hint="eastAsia"/>
          <w:spacing w:val="-2"/>
          <w:rtl/>
        </w:rPr>
        <w:t> </w:t>
      </w:r>
      <w:r w:rsidRPr="007279DC">
        <w:rPr>
          <w:rFonts w:hint="cs"/>
          <w:spacing w:val="-2"/>
          <w:rtl/>
        </w:rPr>
        <w:t>500 إلى</w:t>
      </w:r>
      <w:r w:rsidR="00635785">
        <w:rPr>
          <w:rFonts w:hint="cs"/>
          <w:spacing w:val="-2"/>
          <w:rtl/>
        </w:rPr>
        <w:t xml:space="preserve"> </w:t>
      </w:r>
      <w:r w:rsidRPr="007279DC">
        <w:rPr>
          <w:rFonts w:hint="cs"/>
          <w:spacing w:val="-2"/>
          <w:rtl/>
        </w:rPr>
        <w:t>600 متر عن أنديجان، وأن المحتجين تجمعوا قرب هذه الكتيبة وأنه كان هناك سجن في مكان قريب من هذا الموقع. وفي</w:t>
      </w:r>
      <w:r w:rsidRPr="007279DC">
        <w:rPr>
          <w:spacing w:val="-2"/>
          <w:rtl/>
        </w:rPr>
        <w:t> </w:t>
      </w:r>
      <w:r w:rsidRPr="007279DC">
        <w:rPr>
          <w:rFonts w:hint="cs"/>
          <w:spacing w:val="-2"/>
          <w:rtl/>
        </w:rPr>
        <w:t>مرحلة لاحقة سحب أقواله وقال إن الذهاب من مكان تمركز كتيبته إلى مكان المظاهرة يستغرق حوالي 40 دقيقة إلى ساعة. ولم</w:t>
      </w:r>
      <w:r w:rsidRPr="007279DC">
        <w:rPr>
          <w:spacing w:val="-2"/>
          <w:rtl/>
        </w:rPr>
        <w:t> </w:t>
      </w:r>
      <w:r w:rsidRPr="007279DC">
        <w:rPr>
          <w:rFonts w:hint="cs"/>
          <w:spacing w:val="-2"/>
          <w:rtl/>
        </w:rPr>
        <w:t>يذكر بوضوح أن المظاهرة كانت في مركز أنديجان إلا</w:t>
      </w:r>
      <w:r w:rsidRPr="007279DC">
        <w:rPr>
          <w:spacing w:val="-2"/>
          <w:rtl/>
        </w:rPr>
        <w:t> </w:t>
      </w:r>
      <w:r w:rsidRPr="007279DC">
        <w:rPr>
          <w:rFonts w:hint="cs"/>
          <w:spacing w:val="-2"/>
          <w:rtl/>
        </w:rPr>
        <w:t>في جلسة الاستماع في محكمة الهجرة. زد</w:t>
      </w:r>
      <w:r w:rsidRPr="007279DC">
        <w:rPr>
          <w:rFonts w:hint="eastAsia"/>
          <w:spacing w:val="-2"/>
          <w:rtl/>
        </w:rPr>
        <w:t> </w:t>
      </w:r>
      <w:r w:rsidRPr="007279DC">
        <w:rPr>
          <w:rFonts w:hint="cs"/>
          <w:spacing w:val="-2"/>
          <w:rtl/>
        </w:rPr>
        <w:t>على ذلك أنه لم</w:t>
      </w:r>
      <w:r w:rsidRPr="007279DC">
        <w:rPr>
          <w:spacing w:val="-2"/>
          <w:rtl/>
        </w:rPr>
        <w:t> </w:t>
      </w:r>
      <w:r w:rsidRPr="007279DC">
        <w:rPr>
          <w:rFonts w:hint="cs"/>
          <w:spacing w:val="-2"/>
          <w:rtl/>
        </w:rPr>
        <w:t>يتمكن من إعطاء أسماء لأماكن رئيسية حدثت فيها المظاهرة، ولم</w:t>
      </w:r>
      <w:r w:rsidRPr="007279DC">
        <w:rPr>
          <w:spacing w:val="-2"/>
          <w:rtl/>
        </w:rPr>
        <w:t> </w:t>
      </w:r>
      <w:r w:rsidRPr="007279DC">
        <w:rPr>
          <w:rFonts w:hint="cs"/>
          <w:spacing w:val="-2"/>
          <w:rtl/>
        </w:rPr>
        <w:t>يؤكد أي تقرير أقواله التي تفيد قصف المتظاهرين بالمروحيات والطائرات العسكرية. وبما</w:t>
      </w:r>
      <w:r w:rsidRPr="007279DC">
        <w:rPr>
          <w:spacing w:val="-2"/>
          <w:rtl/>
        </w:rPr>
        <w:t> </w:t>
      </w:r>
      <w:r w:rsidRPr="007279DC">
        <w:rPr>
          <w:rFonts w:hint="cs"/>
          <w:spacing w:val="-2"/>
          <w:rtl/>
        </w:rPr>
        <w:t>أن عرضه للوقائع كان مبهماً وغير دقيق، فإنه لم</w:t>
      </w:r>
      <w:r w:rsidRPr="007279DC">
        <w:rPr>
          <w:spacing w:val="-2"/>
          <w:rtl/>
        </w:rPr>
        <w:t> </w:t>
      </w:r>
      <w:r w:rsidRPr="007279DC">
        <w:rPr>
          <w:rFonts w:hint="cs"/>
          <w:spacing w:val="-2"/>
          <w:rtl/>
        </w:rPr>
        <w:t>يتمكن من أن يثبت بشكل قاطع وجوده أثناء أحداث أنديجان.</w:t>
      </w:r>
    </w:p>
    <w:p w:rsidR="00091373" w:rsidRPr="00FA0FC2" w:rsidRDefault="00091373" w:rsidP="00091373">
      <w:pPr>
        <w:pStyle w:val="SingleTxtGA"/>
        <w:rPr>
          <w:rFonts w:hint="cs"/>
          <w:spacing w:val="-3"/>
          <w:rtl/>
        </w:rPr>
      </w:pPr>
      <w:r w:rsidRPr="00FA0FC2">
        <w:rPr>
          <w:rFonts w:hint="cs"/>
          <w:spacing w:val="-3"/>
          <w:rtl/>
        </w:rPr>
        <w:t>4-12</w:t>
      </w:r>
      <w:r w:rsidRPr="00FA0FC2">
        <w:rPr>
          <w:rFonts w:hint="cs"/>
          <w:spacing w:val="-3"/>
          <w:rtl/>
        </w:rPr>
        <w:tab/>
        <w:t>وغيَّر صاحب الشكوى أيضاً إفادته</w:t>
      </w:r>
      <w:r>
        <w:rPr>
          <w:rFonts w:hint="cs"/>
          <w:spacing w:val="-3"/>
          <w:rtl/>
        </w:rPr>
        <w:t xml:space="preserve"> فيما</w:t>
      </w:r>
      <w:r>
        <w:rPr>
          <w:spacing w:val="-3"/>
          <w:rtl/>
        </w:rPr>
        <w:t> </w:t>
      </w:r>
      <w:r w:rsidRPr="00FA0FC2">
        <w:rPr>
          <w:rFonts w:hint="cs"/>
          <w:spacing w:val="-3"/>
          <w:rtl/>
        </w:rPr>
        <w:t xml:space="preserve">يتعلق بمحاكمته. وأثناء المقابلة الثانية أمام مجلس الهجرة، قال إنه أودع السجن بدون توكيل محامي دفاع له وبدون إجراء محاكمة. ثم ذكر أثناء جلسة الاستماع الشفوية أمام محكمة الهجرة أن المحاكمة جرت، لكن في جلسة مغلقة. </w:t>
      </w:r>
    </w:p>
    <w:p w:rsidR="00091373" w:rsidRPr="007279DC" w:rsidRDefault="00091373" w:rsidP="00091373">
      <w:pPr>
        <w:pStyle w:val="SingleTxtGA"/>
        <w:rPr>
          <w:rFonts w:hint="cs"/>
          <w:spacing w:val="-2"/>
          <w:rtl/>
        </w:rPr>
      </w:pPr>
      <w:r w:rsidRPr="007279DC">
        <w:rPr>
          <w:rFonts w:hint="cs"/>
          <w:spacing w:val="-2"/>
          <w:rtl/>
        </w:rPr>
        <w:t>4-13</w:t>
      </w:r>
      <w:r w:rsidRPr="007279DC">
        <w:rPr>
          <w:rFonts w:hint="cs"/>
          <w:spacing w:val="-2"/>
          <w:rtl/>
        </w:rPr>
        <w:tab/>
        <w:t xml:space="preserve">ودفع صاحب الشكوى أمام مجلس الهجرة بأنه تعرّض لسوء المعاملة الجسدية على أيدي الحراس في سجن كشكاداريا في حين أنه ذكر في الجلسة الشفوية أمام محكمة الهجرة أنه خضع للتعذيب وأن حراس السجن استخدموا الكراسي والزجاجات كأدوات لتعذيبه. وبالمثل، ذكر صاحب الشكوى في المعلومات الخطية التي قدمها إلى مجلس الهجرة أنه تعرض في بضع مناسبات لسوء المعاملة الجسدية وللتهديد والإهانة على أيدي رجال الشرطة بينما كان يؤدي واجبه بالحضور إلى مركز الشرطة، غير أنه قال في جلسة الاستماع الشفوية في المحكمة إنه كان يتعرض لمضايقات الشرطة وإهانتها </w:t>
      </w:r>
      <w:r w:rsidRPr="007279DC">
        <w:rPr>
          <w:rFonts w:hint="cs"/>
          <w:i/>
          <w:iCs/>
          <w:spacing w:val="-2"/>
          <w:rtl/>
        </w:rPr>
        <w:t>في كل مرة</w:t>
      </w:r>
      <w:r w:rsidRPr="007279DC">
        <w:rPr>
          <w:rFonts w:hint="cs"/>
          <w:spacing w:val="-2"/>
          <w:rtl/>
        </w:rPr>
        <w:t xml:space="preserve"> يمثل فيها أمام سلطات الشرطة. ولذلك كان صاحب الشكوى يصف المعاملة التي يدعي أنه تعرض لها بعبارات أشد قوة مع تقدم سير الإجراءات. وهو أمر يحد من مصداقية ادعاء صاحب الشكوى في هذا الخصوص. </w:t>
      </w:r>
    </w:p>
    <w:p w:rsidR="00091373" w:rsidRPr="007279DC" w:rsidRDefault="00091373" w:rsidP="00091373">
      <w:pPr>
        <w:pStyle w:val="SingleTxtGA"/>
        <w:rPr>
          <w:rFonts w:hint="cs"/>
          <w:spacing w:val="-2"/>
          <w:rtl/>
        </w:rPr>
      </w:pPr>
      <w:r w:rsidRPr="007279DC">
        <w:rPr>
          <w:rFonts w:hint="cs"/>
          <w:spacing w:val="-2"/>
          <w:rtl/>
        </w:rPr>
        <w:t>4-14</w:t>
      </w:r>
      <w:r w:rsidRPr="007279DC">
        <w:rPr>
          <w:rFonts w:hint="cs"/>
          <w:spacing w:val="-2"/>
          <w:rtl/>
        </w:rPr>
        <w:tab/>
        <w:t>وفي ضوء ما</w:t>
      </w:r>
      <w:r w:rsidRPr="007279DC">
        <w:rPr>
          <w:spacing w:val="-2"/>
          <w:rtl/>
        </w:rPr>
        <w:t> </w:t>
      </w:r>
      <w:r w:rsidRPr="007279DC">
        <w:rPr>
          <w:rFonts w:hint="cs"/>
          <w:spacing w:val="-2"/>
          <w:rtl/>
        </w:rPr>
        <w:t>تقدم، وبالنظر إلى أوجه التضارب والتناقض في أقوال صاحب الشكوى التي أفاد بها أمام سلطات الدولة الطرف والغموض الذي يكتنف عناصر رئيسية من روايته بخصوص إجراء اللجوء وإلى أنه قدم وثائق مزورة عن هويته، فلا</w:t>
      </w:r>
      <w:r w:rsidRPr="007279DC">
        <w:rPr>
          <w:spacing w:val="-2"/>
          <w:rtl/>
        </w:rPr>
        <w:t> </w:t>
      </w:r>
      <w:r w:rsidRPr="007279DC">
        <w:rPr>
          <w:rFonts w:hint="cs"/>
          <w:spacing w:val="-2"/>
          <w:rtl/>
        </w:rPr>
        <w:t>يمكن الاستنتاج بأن صاحب البلاغ سيواجه خطر التعرض لمعاملة تتعارض مع أحكام الاتفاقية إن هو عاد إلى أوزبكستان.</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تعليقات صاحب الشكوى على ملاحظات الدولة الطرف</w:t>
      </w:r>
    </w:p>
    <w:p w:rsidR="00091373" w:rsidRPr="00FA0FC2" w:rsidRDefault="00091373" w:rsidP="00091373">
      <w:pPr>
        <w:pStyle w:val="SingleTxtGA"/>
        <w:rPr>
          <w:rFonts w:hint="cs"/>
          <w:rtl/>
          <w:lang w:val="fr-CH"/>
        </w:rPr>
      </w:pPr>
      <w:r w:rsidRPr="00FA0FC2">
        <w:rPr>
          <w:rFonts w:hint="cs"/>
          <w:rtl/>
          <w:lang w:val="fr-CH"/>
        </w:rPr>
        <w:t>5-1</w:t>
      </w:r>
      <w:r w:rsidRPr="00FA0FC2">
        <w:rPr>
          <w:rFonts w:hint="cs"/>
          <w:rtl/>
          <w:lang w:val="fr-CH"/>
        </w:rPr>
        <w:tab/>
        <w:t>قدّم صاحب الشكوى في 15 شباط/فبراير 2012 تعليقاته على ملاحظات الدولة</w:t>
      </w:r>
      <w:r>
        <w:rPr>
          <w:rFonts w:hint="eastAsia"/>
          <w:rtl/>
          <w:lang w:val="fr-CH"/>
        </w:rPr>
        <w:t> </w:t>
      </w:r>
      <w:r w:rsidRPr="00FA0FC2">
        <w:rPr>
          <w:rFonts w:hint="cs"/>
          <w:rtl/>
          <w:lang w:val="fr-CH"/>
        </w:rPr>
        <w:t>الطرف.</w:t>
      </w:r>
    </w:p>
    <w:p w:rsidR="00091373" w:rsidRPr="00FA0FC2" w:rsidRDefault="00091373" w:rsidP="00091373">
      <w:pPr>
        <w:pStyle w:val="SingleTxtGA"/>
        <w:rPr>
          <w:rFonts w:hint="cs"/>
          <w:rtl/>
          <w:lang w:val="fr-CH"/>
        </w:rPr>
      </w:pPr>
      <w:r w:rsidRPr="00FA0FC2">
        <w:rPr>
          <w:rFonts w:hint="cs"/>
          <w:rtl/>
          <w:lang w:val="fr-CH"/>
        </w:rPr>
        <w:t>5-2</w:t>
      </w:r>
      <w:r w:rsidRPr="00FA0FC2">
        <w:rPr>
          <w:rFonts w:hint="cs"/>
          <w:rtl/>
          <w:lang w:val="fr-CH"/>
        </w:rPr>
        <w:tab/>
        <w:t>ويشير صاحب الشكوى إلى أن هناك نمطاً متسقاً لوقوع انتهاكات جسيمة لحقوق الإنسان في أوزبكستان. وإن خطر التعرّض للتعذيب أثناء التوقيف</w:t>
      </w:r>
      <w:r>
        <w:rPr>
          <w:rFonts w:hint="cs"/>
          <w:rtl/>
          <w:lang w:val="fr-CH"/>
        </w:rPr>
        <w:t xml:space="preserve"> أو</w:t>
      </w:r>
      <w:r>
        <w:rPr>
          <w:rtl/>
          <w:lang w:val="fr-CH"/>
        </w:rPr>
        <w:t> </w:t>
      </w:r>
      <w:r w:rsidRPr="00FA0FC2">
        <w:rPr>
          <w:rFonts w:hint="cs"/>
          <w:rtl/>
          <w:lang w:val="fr-CH"/>
        </w:rPr>
        <w:t>الاحتجاز وارد جداً. ويقوم رجال الأمن والشرطة بشكل اعتيادي بضرب المحتجزين</w:t>
      </w:r>
      <w:r>
        <w:rPr>
          <w:rFonts w:hint="cs"/>
          <w:rtl/>
          <w:lang w:val="fr-CH"/>
        </w:rPr>
        <w:t xml:space="preserve"> أو</w:t>
      </w:r>
      <w:r>
        <w:rPr>
          <w:rtl/>
          <w:lang w:val="fr-CH"/>
        </w:rPr>
        <w:t> </w:t>
      </w:r>
      <w:r w:rsidRPr="00FA0FC2">
        <w:rPr>
          <w:rFonts w:hint="cs"/>
          <w:rtl/>
          <w:lang w:val="fr-CH"/>
        </w:rPr>
        <w:t>إساءة معاملتهم لانتزاع اعترافاتهم</w:t>
      </w:r>
      <w:r>
        <w:rPr>
          <w:rFonts w:hint="cs"/>
          <w:rtl/>
          <w:lang w:val="fr-CH"/>
        </w:rPr>
        <w:t xml:space="preserve"> أو</w:t>
      </w:r>
      <w:r>
        <w:rPr>
          <w:rtl/>
          <w:lang w:val="fr-CH"/>
        </w:rPr>
        <w:t> </w:t>
      </w:r>
      <w:r w:rsidRPr="00FA0FC2">
        <w:rPr>
          <w:rFonts w:hint="cs"/>
          <w:rtl/>
          <w:lang w:val="fr-CH"/>
        </w:rPr>
        <w:t>الحصول على معلومات تُثبت التهمة عليهم. ووفقاً لهيومن رايتس ووتش، تواصل الحكومة رفض التحقيق في أحداث</w:t>
      </w:r>
      <w:r>
        <w:rPr>
          <w:rFonts w:hint="cs"/>
          <w:rtl/>
          <w:lang w:val="fr-CH"/>
        </w:rPr>
        <w:t xml:space="preserve"> عام</w:t>
      </w:r>
      <w:r>
        <w:rPr>
          <w:rtl/>
          <w:lang w:val="fr-CH"/>
        </w:rPr>
        <w:t> </w:t>
      </w:r>
      <w:r w:rsidRPr="00FA0FC2">
        <w:rPr>
          <w:rFonts w:hint="cs"/>
          <w:rtl/>
          <w:lang w:val="fr-CH"/>
        </w:rPr>
        <w:t>2005 التي وقعت في أنديجان</w:t>
      </w:r>
      <w:r>
        <w:rPr>
          <w:rFonts w:hint="cs"/>
          <w:rtl/>
          <w:lang w:val="fr-CH"/>
        </w:rPr>
        <w:t xml:space="preserve"> أو</w:t>
      </w:r>
      <w:r>
        <w:rPr>
          <w:rtl/>
          <w:lang w:val="fr-CH"/>
        </w:rPr>
        <w:t> </w:t>
      </w:r>
      <w:r w:rsidRPr="00FA0FC2">
        <w:rPr>
          <w:rFonts w:hint="cs"/>
          <w:rtl/>
          <w:lang w:val="fr-CH"/>
        </w:rPr>
        <w:t>مقاضاة المسؤولين عنها. وتلاحق السلطات أي شخص يُشتبه في أنه شارك في الأعمال الوحشية</w:t>
      </w:r>
      <w:r>
        <w:rPr>
          <w:rFonts w:hint="cs"/>
          <w:rtl/>
          <w:lang w:val="fr-CH"/>
        </w:rPr>
        <w:t xml:space="preserve"> أو</w:t>
      </w:r>
      <w:r>
        <w:rPr>
          <w:rtl/>
          <w:lang w:val="fr-CH"/>
        </w:rPr>
        <w:t> </w:t>
      </w:r>
      <w:r w:rsidRPr="00FA0FC2">
        <w:rPr>
          <w:rFonts w:hint="cs"/>
          <w:rtl/>
          <w:lang w:val="fr-CH"/>
        </w:rPr>
        <w:t>كان شاهداً عليها.</w:t>
      </w:r>
      <w:r>
        <w:rPr>
          <w:rFonts w:hint="cs"/>
          <w:rtl/>
          <w:lang w:val="fr-CH"/>
        </w:rPr>
        <w:t xml:space="preserve"> وفي</w:t>
      </w:r>
      <w:r>
        <w:rPr>
          <w:rtl/>
          <w:lang w:val="fr-CH"/>
        </w:rPr>
        <w:t> </w:t>
      </w:r>
      <w:r w:rsidRPr="00FA0FC2">
        <w:rPr>
          <w:rFonts w:hint="cs"/>
          <w:rtl/>
          <w:lang w:val="fr-CH"/>
        </w:rPr>
        <w:t>30 نيسان/أبريل 2011، حُكم على السيدة د. أ.، وهي لاجئة من أنديجان عادت إلى أوزبكستان في كانون الثاني/يناير 2010، بالسجن لمدة عشر سنوات وشهرين بسبب عبورها للحدود بطريقة غير مشروعة وممارستها لنشاط مخالف للدستور على الرغم من الضمانات التي تلقتها أسرتها بعدم إيذائها لو عادت</w:t>
      </w:r>
      <w:r w:rsidRPr="00FA0FC2">
        <w:rPr>
          <w:vertAlign w:val="superscript"/>
          <w:rtl/>
          <w:lang w:val="fr-CH"/>
        </w:rPr>
        <w:t>(</w:t>
      </w:r>
      <w:r w:rsidRPr="00FA0FC2">
        <w:rPr>
          <w:rFonts w:hint="cs"/>
          <w:spacing w:val="-4"/>
          <w:sz w:val="30"/>
          <w:vertAlign w:val="superscript"/>
          <w:rtl/>
          <w:lang w:val="es-ES"/>
        </w:rPr>
        <w:t>ﻫ</w:t>
      </w:r>
      <w:r w:rsidRPr="004F40B8">
        <w:rPr>
          <w:rStyle w:val="FootnoteReference"/>
          <w:color w:val="FFFFFF"/>
          <w:spacing w:val="-10"/>
          <w:sz w:val="2"/>
          <w:szCs w:val="2"/>
          <w:rtl/>
          <w:lang w:val="fr-CH"/>
        </w:rPr>
        <w:footnoteReference w:id="239"/>
      </w:r>
      <w:r w:rsidRPr="00FA0FC2">
        <w:rPr>
          <w:vertAlign w:val="superscript"/>
          <w:rtl/>
          <w:lang w:val="fr-CH"/>
        </w:rPr>
        <w:t>)</w:t>
      </w:r>
      <w:r w:rsidRPr="00FA0FC2">
        <w:rPr>
          <w:rFonts w:hint="cs"/>
          <w:rtl/>
          <w:lang w:val="fr-CH"/>
        </w:rPr>
        <w:t>. ويُسجن الأشخاص الذين يعودون إلى أوزبكستان ويُقدَّمون إلى المحكمة في حبس انفرادي</w:t>
      </w:r>
      <w:r>
        <w:rPr>
          <w:rFonts w:hint="cs"/>
          <w:rtl/>
          <w:lang w:val="fr-CH"/>
        </w:rPr>
        <w:t xml:space="preserve"> مما</w:t>
      </w:r>
      <w:r>
        <w:rPr>
          <w:rtl/>
          <w:lang w:val="fr-CH"/>
        </w:rPr>
        <w:t> </w:t>
      </w:r>
      <w:r w:rsidRPr="00FA0FC2">
        <w:rPr>
          <w:rFonts w:hint="cs"/>
          <w:rtl/>
          <w:lang w:val="fr-CH"/>
        </w:rPr>
        <w:t>يزيد من خطر تعرّضهم للتعذيب</w:t>
      </w:r>
      <w:r>
        <w:rPr>
          <w:rFonts w:hint="cs"/>
          <w:rtl/>
          <w:lang w:val="fr-CH"/>
        </w:rPr>
        <w:t xml:space="preserve"> أو</w:t>
      </w:r>
      <w:r>
        <w:rPr>
          <w:rtl/>
          <w:lang w:val="fr-CH"/>
        </w:rPr>
        <w:t> </w:t>
      </w:r>
      <w:r w:rsidRPr="00FA0FC2">
        <w:rPr>
          <w:rFonts w:hint="cs"/>
          <w:rtl/>
          <w:lang w:val="fr-CH"/>
        </w:rPr>
        <w:t>لإساءة المعاملة وهم يخضعون لمحاكمة غير عادلة</w:t>
      </w:r>
      <w:r w:rsidRPr="00FA0FC2">
        <w:rPr>
          <w:vertAlign w:val="superscript"/>
          <w:rtl/>
          <w:lang w:val="fr-CH"/>
        </w:rPr>
        <w:t>(</w:t>
      </w:r>
      <w:r w:rsidRPr="00FA0FC2">
        <w:rPr>
          <w:rStyle w:val="FootnoteReference"/>
          <w:rtl/>
          <w:lang w:val="fr-CH"/>
        </w:rPr>
        <w:footnoteReference w:id="240"/>
      </w:r>
      <w:r w:rsidRPr="00FA0FC2">
        <w:rPr>
          <w:vertAlign w:val="superscript"/>
          <w:rtl/>
          <w:lang w:val="fr-CH"/>
        </w:rPr>
        <w:t>)</w:t>
      </w:r>
      <w:r w:rsidRPr="00FA0FC2">
        <w:rPr>
          <w:rFonts w:hint="cs"/>
          <w:rtl/>
          <w:lang w:val="fr-CH"/>
        </w:rPr>
        <w:t>. وإضافة إلى ذلك، تطبق الحكومة الأوزبكية</w:t>
      </w:r>
      <w:r>
        <w:rPr>
          <w:rFonts w:hint="cs"/>
          <w:rtl/>
          <w:lang w:val="fr-CH"/>
        </w:rPr>
        <w:t xml:space="preserve"> ما</w:t>
      </w:r>
      <w:r>
        <w:rPr>
          <w:rtl/>
          <w:lang w:val="fr-CH"/>
        </w:rPr>
        <w:t> </w:t>
      </w:r>
      <w:r w:rsidRPr="00FA0FC2">
        <w:rPr>
          <w:rFonts w:hint="cs"/>
          <w:rtl/>
          <w:lang w:val="fr-CH"/>
        </w:rPr>
        <w:t>يدعى "نظام المحلة" وهو نظام تتولى فيه اللجان المحلية لصالح الشرطة مراقبة الأشخاص المشتبه بهم وتحديد هويتهم،</w:t>
      </w:r>
      <w:r>
        <w:rPr>
          <w:rFonts w:hint="cs"/>
          <w:rtl/>
          <w:lang w:val="fr-CH"/>
        </w:rPr>
        <w:t xml:space="preserve"> ولا</w:t>
      </w:r>
      <w:r>
        <w:rPr>
          <w:rtl/>
          <w:lang w:val="fr-CH"/>
        </w:rPr>
        <w:t> </w:t>
      </w:r>
      <w:r w:rsidRPr="00FA0FC2">
        <w:rPr>
          <w:rFonts w:hint="cs"/>
          <w:rtl/>
          <w:lang w:val="fr-CH"/>
        </w:rPr>
        <w:t>سيما إذا كانوا من المحتجزين المستفيدين من عفو</w:t>
      </w:r>
      <w:r>
        <w:rPr>
          <w:rFonts w:hint="cs"/>
          <w:rtl/>
          <w:lang w:val="fr-CH"/>
        </w:rPr>
        <w:t xml:space="preserve"> عام</w:t>
      </w:r>
      <w:r>
        <w:rPr>
          <w:rtl/>
          <w:lang w:val="fr-CH"/>
        </w:rPr>
        <w:t> </w:t>
      </w:r>
      <w:r>
        <w:rPr>
          <w:rFonts w:hint="cs"/>
          <w:rtl/>
          <w:lang w:val="fr-CH"/>
        </w:rPr>
        <w:t>أو</w:t>
      </w:r>
      <w:r>
        <w:rPr>
          <w:rtl/>
          <w:lang w:val="fr-CH"/>
        </w:rPr>
        <w:t> </w:t>
      </w:r>
      <w:r w:rsidRPr="00FA0FC2">
        <w:rPr>
          <w:rFonts w:hint="cs"/>
          <w:rtl/>
          <w:lang w:val="fr-CH"/>
        </w:rPr>
        <w:t>من أقارب الأفراد المسجونين بتهمة التطرف المزعوم</w:t>
      </w:r>
      <w:r w:rsidRPr="00FA0FC2">
        <w:rPr>
          <w:vertAlign w:val="superscript"/>
          <w:rtl/>
          <w:lang w:val="fr-CH"/>
        </w:rPr>
        <w:t>(</w:t>
      </w:r>
      <w:r w:rsidRPr="00FA0FC2">
        <w:rPr>
          <w:rStyle w:val="FootnoteReference"/>
          <w:rtl/>
          <w:lang w:val="fr-CH"/>
        </w:rPr>
        <w:footnoteReference w:id="241"/>
      </w:r>
      <w:r w:rsidRPr="00FA0FC2">
        <w:rPr>
          <w:vertAlign w:val="superscript"/>
          <w:rtl/>
          <w:lang w:val="fr-CH"/>
        </w:rPr>
        <w:t>)</w:t>
      </w:r>
      <w:r w:rsidRPr="00FA0FC2">
        <w:rPr>
          <w:rFonts w:hint="cs"/>
          <w:rtl/>
          <w:lang w:val="fr-CH"/>
        </w:rPr>
        <w:t>.</w:t>
      </w:r>
    </w:p>
    <w:p w:rsidR="00091373" w:rsidRPr="00FA0FC2" w:rsidRDefault="00091373" w:rsidP="00091373">
      <w:pPr>
        <w:pStyle w:val="SingleTxtGA"/>
        <w:rPr>
          <w:rFonts w:hint="cs"/>
          <w:rtl/>
          <w:lang w:val="fr-CH"/>
        </w:rPr>
      </w:pPr>
      <w:r w:rsidRPr="00FA0FC2">
        <w:rPr>
          <w:rFonts w:hint="cs"/>
          <w:rtl/>
          <w:lang w:val="fr-CH"/>
        </w:rPr>
        <w:t>5-3</w:t>
      </w:r>
      <w:r w:rsidRPr="00FA0FC2">
        <w:rPr>
          <w:rFonts w:hint="cs"/>
          <w:rtl/>
          <w:lang w:val="fr-CH"/>
        </w:rPr>
        <w:tab/>
        <w:t>ويعترض صاحب الشكوى على تأكيد الدولة الطرف أنها طبّقت المقياس المنصوص عليه في الاتفاقية لدى نظرها في طلب لجوئه. وقد ركّز كلٌ من مجلس الهجرة ومحكمة الهجرة في دراستهما للقضية بشكل أساسي على عنصر وحيد يتمثل بوثائق الهوية المزورة التي قدمها صاحب الشكوى لدى وصوله إلى السويد. ويدفع صاحب الشكوى بأن التصريح الكاذب الذي قدمه</w:t>
      </w:r>
      <w:r>
        <w:rPr>
          <w:rFonts w:hint="cs"/>
          <w:rtl/>
          <w:lang w:val="fr-CH"/>
        </w:rPr>
        <w:t xml:space="preserve"> لا</w:t>
      </w:r>
      <w:r>
        <w:rPr>
          <w:rtl/>
          <w:lang w:val="fr-CH"/>
        </w:rPr>
        <w:t> </w:t>
      </w:r>
      <w:r w:rsidRPr="00FA0FC2">
        <w:rPr>
          <w:rFonts w:hint="cs"/>
          <w:rtl/>
          <w:lang w:val="fr-CH"/>
        </w:rPr>
        <w:t xml:space="preserve">يشكل في حد ذاته سبباً لرفض منحه وضع اللاجئ وأن من واجب السلطات أن تقيِّم هذا التصريح في ضوء جميع ملابسات القضية. </w:t>
      </w:r>
    </w:p>
    <w:p w:rsidR="00091373" w:rsidRPr="00FA0FC2" w:rsidRDefault="00091373" w:rsidP="00635785">
      <w:pPr>
        <w:pStyle w:val="SingleTxtGA"/>
        <w:rPr>
          <w:rFonts w:hint="cs"/>
          <w:rtl/>
          <w:lang w:val="fr-CH"/>
        </w:rPr>
      </w:pPr>
      <w:r w:rsidRPr="00FA0FC2">
        <w:rPr>
          <w:rFonts w:hint="cs"/>
          <w:rtl/>
          <w:lang w:val="fr-CH"/>
        </w:rPr>
        <w:t>5-4</w:t>
      </w:r>
      <w:r w:rsidRPr="00FA0FC2">
        <w:rPr>
          <w:rFonts w:hint="cs"/>
          <w:rtl/>
          <w:lang w:val="fr-CH"/>
        </w:rPr>
        <w:tab/>
        <w:t>وكان ينبغي لسلطات الدولة الطرف أن تأخذ في حسبانها أن المقابلة الأولى أمام</w:t>
      </w:r>
      <w:r w:rsidR="00635785">
        <w:rPr>
          <w:rFonts w:hint="eastAsia"/>
          <w:rtl/>
          <w:lang w:val="fr-CH"/>
        </w:rPr>
        <w:t> </w:t>
      </w:r>
      <w:r w:rsidRPr="00FA0FC2">
        <w:rPr>
          <w:rFonts w:hint="cs"/>
          <w:rtl/>
          <w:lang w:val="fr-CH"/>
        </w:rPr>
        <w:t>سلطات الهجرة كانت قصيرة وأن صاحب الشكوى</w:t>
      </w:r>
      <w:r>
        <w:rPr>
          <w:rFonts w:hint="cs"/>
          <w:rtl/>
          <w:lang w:val="fr-CH"/>
        </w:rPr>
        <w:t xml:space="preserve"> لم</w:t>
      </w:r>
      <w:r>
        <w:rPr>
          <w:rtl/>
          <w:lang w:val="fr-CH"/>
        </w:rPr>
        <w:t> </w:t>
      </w:r>
      <w:r w:rsidRPr="00FA0FC2">
        <w:rPr>
          <w:rFonts w:hint="cs"/>
          <w:rtl/>
          <w:lang w:val="fr-CH"/>
        </w:rPr>
        <w:t>يستعن بمحام. وبالمقابل، أجاب</w:t>
      </w:r>
      <w:r w:rsidR="00635785">
        <w:rPr>
          <w:rFonts w:hint="eastAsia"/>
          <w:rtl/>
          <w:lang w:val="fr-CH"/>
        </w:rPr>
        <w:t> </w:t>
      </w:r>
      <w:r w:rsidRPr="00FA0FC2">
        <w:rPr>
          <w:rFonts w:hint="cs"/>
          <w:rtl/>
          <w:lang w:val="fr-CH"/>
        </w:rPr>
        <w:t>صاحب الشكوى في المقابلة الثانية التي جرت في 17 نيسان/أبريل 2009، بعد أن استعان بالفعل بممثل قانوني، على جميع الأسئلة بالتفصيل وقدم وصفاً واضحاً</w:t>
      </w:r>
      <w:r>
        <w:rPr>
          <w:rFonts w:hint="cs"/>
          <w:rtl/>
          <w:lang w:val="fr-CH"/>
        </w:rPr>
        <w:t xml:space="preserve"> لما</w:t>
      </w:r>
      <w:r>
        <w:rPr>
          <w:rtl/>
          <w:lang w:val="fr-CH"/>
        </w:rPr>
        <w:t> </w:t>
      </w:r>
      <w:r w:rsidRPr="00FA0FC2">
        <w:rPr>
          <w:rFonts w:hint="cs"/>
          <w:rtl/>
          <w:lang w:val="fr-CH"/>
        </w:rPr>
        <w:t>حدث في أنديجان. وأخبر الشخص الذي أجرى المقابلة معه أنه تعرّض للتعذيب أثناء السجن. وأشار</w:t>
      </w:r>
      <w:r w:rsidR="00635785">
        <w:rPr>
          <w:rFonts w:hint="eastAsia"/>
          <w:rtl/>
          <w:lang w:val="fr-CH"/>
        </w:rPr>
        <w:t> </w:t>
      </w:r>
      <w:r w:rsidRPr="00FA0FC2">
        <w:rPr>
          <w:rFonts w:hint="cs"/>
          <w:rtl/>
          <w:lang w:val="fr-CH"/>
        </w:rPr>
        <w:t>صاحب الشكوى أيضاً إلى أنه تعرّض للضرب ولإساءة المعاملة. ولذلك كان ينبغي للشخص الذي استجوبه أن يطرح المزيد من الأسئلة بشأن هذه الادعاءات،</w:t>
      </w:r>
      <w:r>
        <w:rPr>
          <w:rFonts w:hint="cs"/>
          <w:rtl/>
          <w:lang w:val="fr-CH"/>
        </w:rPr>
        <w:t xml:space="preserve"> ولا</w:t>
      </w:r>
      <w:r>
        <w:rPr>
          <w:rtl/>
          <w:lang w:val="fr-CH"/>
        </w:rPr>
        <w:t> </w:t>
      </w:r>
      <w:r w:rsidRPr="00FA0FC2">
        <w:rPr>
          <w:rFonts w:hint="cs"/>
          <w:rtl/>
          <w:lang w:val="fr-CH"/>
        </w:rPr>
        <w:t>سيما وأنه جاء من بلد تحدث فيه انتهاكات جسيمة لحقوق الإنسان.</w:t>
      </w:r>
    </w:p>
    <w:p w:rsidR="00091373" w:rsidRPr="00FA0FC2" w:rsidRDefault="00091373" w:rsidP="00091373">
      <w:pPr>
        <w:pStyle w:val="SingleTxtGA"/>
        <w:rPr>
          <w:rFonts w:hint="cs"/>
          <w:rtl/>
          <w:lang w:val="fr-CH"/>
        </w:rPr>
      </w:pPr>
      <w:r w:rsidRPr="00FA0FC2">
        <w:rPr>
          <w:rFonts w:hint="cs"/>
          <w:rtl/>
          <w:lang w:val="fr-CH"/>
        </w:rPr>
        <w:t>5-5</w:t>
      </w:r>
      <w:r w:rsidRPr="00FA0FC2">
        <w:rPr>
          <w:rFonts w:hint="cs"/>
          <w:rtl/>
          <w:lang w:val="fr-CH"/>
        </w:rPr>
        <w:tab/>
        <w:t>وأشار صاحب الشكوى أيضاً إلى أنه كان يخشى من أن يكون المترجم الشفوي جاسوساً لحساب جهاز الأمن الأوزبكي بالنظر إلى أن هناك عدة تقارير تؤكد أن هذا الجهاز ناشط للغاية في البلدان التي يوجد فيها متلمسو اللجوء الأوزبكيون. ويوضّح هذا الخوف أيضاً السبب الذي جعل صاحب الشكوى يقدّم طلب لجوئه تحت اسم مستعار. بيد أن الدولة الطرف اعتمدت في تقييمها لمصداقيته على عنصر وحيد يتمثل بالوثائق المزورة التي قدمها لدى وصوله إلى السويد.</w:t>
      </w:r>
    </w:p>
    <w:p w:rsidR="00091373" w:rsidRPr="007279DC" w:rsidRDefault="00091373" w:rsidP="00091373">
      <w:pPr>
        <w:pStyle w:val="SingleTxtGA"/>
        <w:rPr>
          <w:rFonts w:hint="cs"/>
          <w:spacing w:val="-2"/>
          <w:rtl/>
          <w:lang w:val="fr-CH"/>
        </w:rPr>
      </w:pPr>
      <w:r w:rsidRPr="007279DC">
        <w:rPr>
          <w:rFonts w:hint="cs"/>
          <w:spacing w:val="-2"/>
          <w:rtl/>
          <w:lang w:val="fr-CH"/>
        </w:rPr>
        <w:t>5-6</w:t>
      </w:r>
      <w:r w:rsidRPr="007279DC">
        <w:rPr>
          <w:rFonts w:hint="cs"/>
          <w:spacing w:val="-2"/>
          <w:rtl/>
          <w:lang w:val="fr-CH"/>
        </w:rPr>
        <w:tab/>
        <w:t>وفيما يتعلق بوصف صاحب الشكوى للأحداث في أنديجان، فإنه يعترض على موقف الدولة الطرف بأنه قدّم معلومات مُبهمة ومتناقضة. ويظهر بوضوح من محضر المقابلة الثانية المؤرخ 17 نيسان/أبريل 2009 أن هناك سوء تفاهم منذ البداية تم تبديده في مرحلة لاحقة من المقابلة عندما أخبر السلطات أن كتيبته كانت توجد في منطقة يستغرق الذهاب منها إلى أنديجان مابين 40 دقيقة وساعة. وقد قدم المعلومات نفسها أثناء جلسات الاستماع في محكمة الهجرة. وردّ أيضاً بكل دقّة على الأسئلة التي طُرحت بشأن حادثة أنديجان انطلاقاً مما</w:t>
      </w:r>
      <w:r w:rsidRPr="007279DC">
        <w:rPr>
          <w:spacing w:val="-2"/>
          <w:rtl/>
          <w:lang w:val="fr-CH"/>
        </w:rPr>
        <w:t> </w:t>
      </w:r>
      <w:r w:rsidRPr="007279DC">
        <w:rPr>
          <w:rFonts w:hint="cs"/>
          <w:spacing w:val="-2"/>
          <w:rtl/>
          <w:lang w:val="fr-CH"/>
        </w:rPr>
        <w:t>شاهده ومما</w:t>
      </w:r>
      <w:r w:rsidRPr="007279DC">
        <w:rPr>
          <w:spacing w:val="-2"/>
          <w:rtl/>
          <w:lang w:val="fr-CH"/>
        </w:rPr>
        <w:t> </w:t>
      </w:r>
      <w:r w:rsidRPr="007279DC">
        <w:rPr>
          <w:rFonts w:hint="cs"/>
          <w:spacing w:val="-2"/>
          <w:rtl/>
          <w:lang w:val="fr-CH"/>
        </w:rPr>
        <w:t>حدث حوله. فهو ليس من بلدة أنديجان وهذا يفسّر سبب عدم معرفته بأسماء الشوارع.</w:t>
      </w:r>
    </w:p>
    <w:p w:rsidR="00091373" w:rsidRPr="00FA0FC2" w:rsidRDefault="00091373" w:rsidP="00091373">
      <w:pPr>
        <w:pStyle w:val="SingleTxtGA"/>
        <w:rPr>
          <w:rFonts w:hint="cs"/>
          <w:rtl/>
          <w:lang w:val="fr-CH"/>
        </w:rPr>
      </w:pPr>
      <w:r w:rsidRPr="00FA0FC2">
        <w:rPr>
          <w:rFonts w:hint="cs"/>
          <w:rtl/>
          <w:lang w:val="fr-CH"/>
        </w:rPr>
        <w:t>5-7</w:t>
      </w:r>
      <w:r w:rsidRPr="00FA0FC2">
        <w:rPr>
          <w:rFonts w:hint="cs"/>
          <w:rtl/>
          <w:lang w:val="fr-CH"/>
        </w:rPr>
        <w:tab/>
        <w:t>وإن دفع الدولة الطرف بأنه</w:t>
      </w:r>
      <w:r>
        <w:rPr>
          <w:rFonts w:hint="cs"/>
          <w:rtl/>
          <w:lang w:val="fr-CH"/>
        </w:rPr>
        <w:t xml:space="preserve"> لم</w:t>
      </w:r>
      <w:r>
        <w:rPr>
          <w:rtl/>
          <w:lang w:val="fr-CH"/>
        </w:rPr>
        <w:t> </w:t>
      </w:r>
      <w:r w:rsidRPr="00FA0FC2">
        <w:rPr>
          <w:rFonts w:hint="cs"/>
          <w:rtl/>
          <w:lang w:val="fr-CH"/>
        </w:rPr>
        <w:t>يحدث قصف من المروحيات والطائرات العسكرية في أحداث أنديجان يتعارض مع مقال نشرته بي بي سي نيوز في 17 أيار/مايو 2005 جاء فيه أن بعض الأشخاص أكّدوا تعرّضهم للقصف من المروحيات.</w:t>
      </w:r>
    </w:p>
    <w:p w:rsidR="00091373" w:rsidRPr="00FA0FC2" w:rsidRDefault="00091373" w:rsidP="00091373">
      <w:pPr>
        <w:pStyle w:val="SingleTxtGA"/>
        <w:rPr>
          <w:rFonts w:hint="cs"/>
          <w:rtl/>
          <w:lang w:val="fr-CH"/>
        </w:rPr>
      </w:pPr>
      <w:r w:rsidRPr="00FA0FC2">
        <w:rPr>
          <w:rFonts w:hint="cs"/>
          <w:rtl/>
          <w:lang w:val="fr-CH"/>
        </w:rPr>
        <w:t>5-8</w:t>
      </w:r>
      <w:r w:rsidRPr="00FA0FC2">
        <w:rPr>
          <w:rFonts w:hint="cs"/>
          <w:rtl/>
          <w:lang w:val="fr-CH"/>
        </w:rPr>
        <w:tab/>
        <w:t>وفيما يتعلق بالمعلومات المتناقضة لصاحب الشكوى عن كيفية سجنه،</w:t>
      </w:r>
      <w:r>
        <w:rPr>
          <w:rFonts w:hint="cs"/>
          <w:rtl/>
          <w:lang w:val="fr-CH"/>
        </w:rPr>
        <w:t xml:space="preserve"> وما</w:t>
      </w:r>
      <w:r>
        <w:rPr>
          <w:rtl/>
          <w:lang w:val="fr-CH"/>
        </w:rPr>
        <w:t> </w:t>
      </w:r>
      <w:r w:rsidRPr="00FA0FC2">
        <w:rPr>
          <w:rFonts w:hint="cs"/>
          <w:rtl/>
          <w:lang w:val="fr-CH"/>
        </w:rPr>
        <w:t>إذا كان قد خضع لمحاكمة، فإنه يدفع بأن الاختلاف بين أقواله في المقابلة الثانية أمام مجلس الهجرة التي جرت في 17 نيسان/أبريل 2009 والمعلومات المقدمة في جلسة الاستماع في المحكمة يعزى إلى افتقاره إلى خلفية قانونية وتدني مستواه التعليمي.</w:t>
      </w:r>
    </w:p>
    <w:p w:rsidR="00091373" w:rsidRPr="00FA0FC2" w:rsidRDefault="00091373" w:rsidP="00091373">
      <w:pPr>
        <w:pStyle w:val="SingleTxtGA"/>
        <w:rPr>
          <w:rFonts w:hint="cs"/>
          <w:rtl/>
          <w:lang w:val="fr-CH"/>
        </w:rPr>
      </w:pPr>
      <w:r w:rsidRPr="00FA0FC2">
        <w:rPr>
          <w:rFonts w:hint="cs"/>
          <w:rtl/>
          <w:lang w:val="fr-CH"/>
        </w:rPr>
        <w:t>5-9</w:t>
      </w:r>
      <w:r w:rsidRPr="00FA0FC2">
        <w:rPr>
          <w:rFonts w:hint="cs"/>
          <w:rtl/>
          <w:lang w:val="fr-CH"/>
        </w:rPr>
        <w:tab/>
        <w:t>وإن المعلومات التي قدمها عن حوادث أنديجان وعن حالته كانت كافية لسلطات مجلس الهجرة لكي تطرح المزيد من الأسئلة لو أنها شكّت في صدق أقواله</w:t>
      </w:r>
      <w:r w:rsidRPr="00FA0FC2">
        <w:rPr>
          <w:vertAlign w:val="superscript"/>
          <w:rtl/>
          <w:lang w:val="fr-CH"/>
        </w:rPr>
        <w:t>(</w:t>
      </w:r>
      <w:r w:rsidRPr="00FA0FC2">
        <w:rPr>
          <w:rStyle w:val="FootnoteReference"/>
          <w:rtl/>
          <w:lang w:val="fr-CH"/>
        </w:rPr>
        <w:footnoteReference w:id="242"/>
      </w:r>
      <w:r w:rsidRPr="00FA0FC2">
        <w:rPr>
          <w:vertAlign w:val="superscript"/>
          <w:rtl/>
          <w:lang w:val="fr-CH"/>
        </w:rPr>
        <w:t>)</w:t>
      </w:r>
      <w:r w:rsidRPr="00FA0FC2">
        <w:rPr>
          <w:rFonts w:hint="cs"/>
          <w:rtl/>
          <w:lang w:val="fr-CH"/>
        </w:rPr>
        <w:t xml:space="preserve">. </w:t>
      </w:r>
    </w:p>
    <w:p w:rsidR="00091373" w:rsidRPr="00FA0FC2" w:rsidRDefault="00091373" w:rsidP="00091373">
      <w:pPr>
        <w:pStyle w:val="SingleTxtGA"/>
        <w:rPr>
          <w:rFonts w:hint="cs"/>
          <w:rtl/>
          <w:lang w:val="fr-CH"/>
        </w:rPr>
      </w:pPr>
      <w:r w:rsidRPr="00FA0FC2">
        <w:rPr>
          <w:rFonts w:hint="cs"/>
          <w:rtl/>
          <w:lang w:val="fr-CH"/>
        </w:rPr>
        <w:t>5-10</w:t>
      </w:r>
      <w:r w:rsidRPr="00FA0FC2">
        <w:rPr>
          <w:rFonts w:hint="cs"/>
          <w:rtl/>
          <w:lang w:val="fr-CH"/>
        </w:rPr>
        <w:tab/>
        <w:t>وتُعزّز الشهادة الطبية الصادرة عن طبيب الصليب الأحمر السويدي ادعاءات صاحب الشكوى بخصوص منشأ الإصابات والندوب التي تظهر على جسده. وقد أثبت صاحب الشكوى احتمال وجوده أثناء وقوع حادثة أنديجان والحكم عليه بالسجن وإخضاعه للتعذيب أثناء احتجازه في أوزبكستان.</w:t>
      </w:r>
      <w:r>
        <w:rPr>
          <w:rFonts w:hint="cs"/>
          <w:rtl/>
          <w:lang w:val="fr-CH"/>
        </w:rPr>
        <w:t xml:space="preserve"> وفي</w:t>
      </w:r>
      <w:r>
        <w:rPr>
          <w:rtl/>
          <w:lang w:val="fr-CH"/>
        </w:rPr>
        <w:t> </w:t>
      </w:r>
      <w:r w:rsidRPr="00FA0FC2">
        <w:rPr>
          <w:rFonts w:hint="cs"/>
          <w:rtl/>
          <w:lang w:val="fr-CH"/>
        </w:rPr>
        <w:t>ضوء التقارير التي تشير إلى أن كل شخص له صلة بأحداث أنديجان لديه مخاوف مشروعة من التعرّض للاضطهاد</w:t>
      </w:r>
      <w:r>
        <w:rPr>
          <w:rFonts w:hint="cs"/>
          <w:rtl/>
          <w:lang w:val="fr-CH"/>
        </w:rPr>
        <w:t xml:space="preserve"> أو</w:t>
      </w:r>
      <w:r>
        <w:rPr>
          <w:rtl/>
          <w:lang w:val="fr-CH"/>
        </w:rPr>
        <w:t> </w:t>
      </w:r>
      <w:r w:rsidRPr="00FA0FC2">
        <w:rPr>
          <w:rFonts w:hint="cs"/>
          <w:rtl/>
          <w:lang w:val="fr-CH"/>
        </w:rPr>
        <w:t>للأذى لو عاد إلى أوزبكستان، يدعي صاحب الشكوى أن الدولة الطرف</w:t>
      </w:r>
      <w:r>
        <w:rPr>
          <w:rFonts w:hint="cs"/>
          <w:rtl/>
          <w:lang w:val="fr-CH"/>
        </w:rPr>
        <w:t xml:space="preserve"> لم</w:t>
      </w:r>
      <w:r>
        <w:rPr>
          <w:rtl/>
          <w:lang w:val="fr-CH"/>
        </w:rPr>
        <w:t> </w:t>
      </w:r>
      <w:r w:rsidRPr="00FA0FC2">
        <w:rPr>
          <w:rFonts w:hint="cs"/>
          <w:rtl/>
          <w:lang w:val="fr-CH"/>
        </w:rPr>
        <w:t>تقيّم بشكل مناسب الخطر الشديد الذي سيواجهه شخصياً لو عاد إلى هناك، وهو</w:t>
      </w:r>
      <w:r>
        <w:rPr>
          <w:rFonts w:hint="cs"/>
          <w:rtl/>
          <w:lang w:val="fr-CH"/>
        </w:rPr>
        <w:t xml:space="preserve"> ما</w:t>
      </w:r>
      <w:r>
        <w:rPr>
          <w:rtl/>
          <w:lang w:val="fr-CH"/>
        </w:rPr>
        <w:t> </w:t>
      </w:r>
      <w:r w:rsidRPr="00FA0FC2">
        <w:rPr>
          <w:rFonts w:hint="cs"/>
          <w:rtl/>
          <w:lang w:val="fr-CH"/>
        </w:rPr>
        <w:t>يشكل انتهاكاً لل</w:t>
      </w:r>
      <w:r>
        <w:rPr>
          <w:rFonts w:hint="cs"/>
          <w:rtl/>
          <w:lang w:val="fr-CH"/>
        </w:rPr>
        <w:t>مادة</w:t>
      </w:r>
      <w:r>
        <w:rPr>
          <w:rtl/>
          <w:lang w:val="fr-CH"/>
        </w:rPr>
        <w:t> </w:t>
      </w:r>
      <w:r w:rsidRPr="00FA0FC2">
        <w:rPr>
          <w:rFonts w:hint="cs"/>
          <w:rtl/>
          <w:lang w:val="fr-CH"/>
        </w:rPr>
        <w:t xml:space="preserve">3 من الاتفاقية. </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الملاحظات الإضافية للدولة الطرف وتعليقات صاحب البلاغ</w:t>
      </w:r>
    </w:p>
    <w:p w:rsidR="00091373" w:rsidRPr="00FA0FC2" w:rsidRDefault="00091373" w:rsidP="00091373">
      <w:pPr>
        <w:pStyle w:val="SingleTxtGA"/>
        <w:rPr>
          <w:rFonts w:hint="cs"/>
          <w:rtl/>
          <w:lang w:val="fr-CH"/>
        </w:rPr>
      </w:pPr>
      <w:r w:rsidRPr="00FA0FC2">
        <w:rPr>
          <w:rFonts w:hint="cs"/>
          <w:rtl/>
          <w:lang w:val="fr-CH"/>
        </w:rPr>
        <w:t>6-1</w:t>
      </w:r>
      <w:r w:rsidRPr="00FA0FC2">
        <w:rPr>
          <w:rFonts w:hint="cs"/>
          <w:rtl/>
          <w:lang w:val="fr-CH"/>
        </w:rPr>
        <w:tab/>
        <w:t>قدّمت الدولة الطرف في 5 كانون الأول/ديسمبر 2012 ملاحظات إضافية بشأن مقبولية الشكوى وأُسسها الموضوعية.</w:t>
      </w:r>
    </w:p>
    <w:p w:rsidR="00091373" w:rsidRPr="00FA0FC2" w:rsidRDefault="00091373" w:rsidP="00091373">
      <w:pPr>
        <w:pStyle w:val="SingleTxtGA"/>
        <w:rPr>
          <w:rFonts w:hint="cs"/>
          <w:rtl/>
          <w:lang w:val="fr-CH"/>
        </w:rPr>
      </w:pPr>
      <w:r w:rsidRPr="00FA0FC2">
        <w:rPr>
          <w:rFonts w:hint="cs"/>
          <w:rtl/>
          <w:lang w:val="fr-CH"/>
        </w:rPr>
        <w:t>6-2</w:t>
      </w:r>
      <w:r w:rsidRPr="00FA0FC2">
        <w:rPr>
          <w:rFonts w:hint="cs"/>
          <w:rtl/>
          <w:lang w:val="fr-CH"/>
        </w:rPr>
        <w:tab/>
        <w:t>وتكرر الدولة الطرف ملاحظاتها السابقة وتدفع بأنها نظرت أيضاً في تقارير المنظمات غير الحكومية والدول بشأن تدهور حالة حقوق الإنسان في أوزبكستان التي يشير إليها صاحب الشكوى. وعلى الرغم من سجل أوزبكستان في مجال حقوق الإنسان، فإن هذه التقارير</w:t>
      </w:r>
      <w:r>
        <w:rPr>
          <w:rFonts w:hint="cs"/>
          <w:rtl/>
          <w:lang w:val="fr-CH"/>
        </w:rPr>
        <w:t xml:space="preserve"> لا</w:t>
      </w:r>
      <w:r>
        <w:rPr>
          <w:rtl/>
          <w:lang w:val="fr-CH"/>
        </w:rPr>
        <w:t> </w:t>
      </w:r>
      <w:r w:rsidRPr="00FA0FC2">
        <w:rPr>
          <w:rFonts w:hint="cs"/>
          <w:rtl/>
          <w:lang w:val="fr-CH"/>
        </w:rPr>
        <w:t>تكفي في حد ذاتها للجزم بأن صاحب الشكوى سيتعرض لمعاملة مخالفة لل</w:t>
      </w:r>
      <w:r>
        <w:rPr>
          <w:rFonts w:hint="cs"/>
          <w:rtl/>
          <w:lang w:val="fr-CH"/>
        </w:rPr>
        <w:t>مادة</w:t>
      </w:r>
      <w:r>
        <w:rPr>
          <w:rtl/>
          <w:lang w:val="fr-CH"/>
        </w:rPr>
        <w:t> </w:t>
      </w:r>
      <w:r w:rsidRPr="00FA0FC2">
        <w:rPr>
          <w:rFonts w:hint="cs"/>
          <w:rtl/>
          <w:lang w:val="fr-CH"/>
        </w:rPr>
        <w:t xml:space="preserve">3 من الاتفاقية إن هو عاد إلى أوزبكستان. </w:t>
      </w:r>
    </w:p>
    <w:p w:rsidR="00091373" w:rsidRPr="00FA0FC2" w:rsidRDefault="00091373" w:rsidP="00091373">
      <w:pPr>
        <w:pStyle w:val="SingleTxtGA"/>
        <w:rPr>
          <w:rFonts w:hint="cs"/>
          <w:spacing w:val="-4"/>
          <w:rtl/>
          <w:lang w:val="fr-CH"/>
        </w:rPr>
      </w:pPr>
      <w:r w:rsidRPr="00FA0FC2">
        <w:rPr>
          <w:rFonts w:hint="cs"/>
          <w:spacing w:val="-4"/>
          <w:rtl/>
          <w:lang w:val="fr-CH"/>
        </w:rPr>
        <w:t>6-3</w:t>
      </w:r>
      <w:r w:rsidRPr="00FA0FC2">
        <w:rPr>
          <w:rFonts w:hint="cs"/>
          <w:spacing w:val="-4"/>
          <w:rtl/>
          <w:lang w:val="fr-CH"/>
        </w:rPr>
        <w:tab/>
        <w:t>وبعد أن قدم صاحب الشكوى طلب اللجوء في</w:t>
      </w:r>
      <w:r>
        <w:rPr>
          <w:rFonts w:hint="cs"/>
          <w:spacing w:val="-4"/>
          <w:rtl/>
          <w:lang w:val="fr-CH"/>
        </w:rPr>
        <w:t xml:space="preserve"> عام</w:t>
      </w:r>
      <w:r>
        <w:rPr>
          <w:spacing w:val="-4"/>
          <w:rtl/>
          <w:lang w:val="fr-CH"/>
        </w:rPr>
        <w:t> </w:t>
      </w:r>
      <w:r w:rsidRPr="00FA0FC2">
        <w:rPr>
          <w:rFonts w:hint="cs"/>
          <w:spacing w:val="-4"/>
          <w:rtl/>
          <w:lang w:val="fr-CH"/>
        </w:rPr>
        <w:t>2009، أبلغه مجلس الهجرة بأهمية</w:t>
      </w:r>
      <w:r w:rsidRPr="00FA0FC2">
        <w:rPr>
          <w:rFonts w:hint="eastAsia"/>
          <w:spacing w:val="-4"/>
          <w:rtl/>
          <w:lang w:val="fr-CH"/>
        </w:rPr>
        <w:t> </w:t>
      </w:r>
      <w:r w:rsidRPr="00FA0FC2">
        <w:rPr>
          <w:rFonts w:hint="cs"/>
          <w:spacing w:val="-4"/>
          <w:rtl/>
          <w:lang w:val="fr-CH"/>
        </w:rPr>
        <w:t>إثبات هويته. ومع ذلك قدم صاحب البلاغ وثائق هوية مزورة في آب/أغسطس</w:t>
      </w:r>
      <w:r w:rsidRPr="00FA0FC2">
        <w:rPr>
          <w:rFonts w:hint="eastAsia"/>
          <w:spacing w:val="-4"/>
          <w:rtl/>
          <w:lang w:val="fr-CH"/>
        </w:rPr>
        <w:t> </w:t>
      </w:r>
      <w:r w:rsidRPr="00FA0FC2">
        <w:rPr>
          <w:rFonts w:hint="cs"/>
          <w:spacing w:val="-4"/>
          <w:rtl/>
          <w:lang w:val="fr-CH"/>
        </w:rPr>
        <w:t>2009، أي بعد مرور عدة أشهر على وصوله إلى أراضي الدولة الطرف،</w:t>
      </w:r>
      <w:r>
        <w:rPr>
          <w:rFonts w:hint="cs"/>
          <w:spacing w:val="-4"/>
          <w:rtl/>
          <w:lang w:val="fr-CH"/>
        </w:rPr>
        <w:t xml:space="preserve"> ولم</w:t>
      </w:r>
      <w:r>
        <w:rPr>
          <w:spacing w:val="-4"/>
          <w:rtl/>
          <w:lang w:val="fr-CH"/>
        </w:rPr>
        <w:t> </w:t>
      </w:r>
      <w:r w:rsidRPr="00FA0FC2">
        <w:rPr>
          <w:rFonts w:hint="cs"/>
          <w:spacing w:val="-4"/>
          <w:rtl/>
          <w:lang w:val="fr-CH"/>
        </w:rPr>
        <w:t>يقدم دليلاً يثبت هوية أخرى</w:t>
      </w:r>
      <w:r>
        <w:rPr>
          <w:rFonts w:hint="cs"/>
          <w:spacing w:val="-4"/>
          <w:rtl/>
          <w:lang w:val="fr-CH"/>
        </w:rPr>
        <w:t xml:space="preserve"> إلا</w:t>
      </w:r>
      <w:r>
        <w:rPr>
          <w:spacing w:val="-4"/>
          <w:rtl/>
          <w:lang w:val="fr-CH"/>
        </w:rPr>
        <w:t> </w:t>
      </w:r>
      <w:r w:rsidRPr="00FA0FC2">
        <w:rPr>
          <w:rFonts w:hint="cs"/>
          <w:spacing w:val="-4"/>
          <w:rtl/>
          <w:lang w:val="fr-CH"/>
        </w:rPr>
        <w:t>في نيسان/أبريل 2010. وتؤكد الدولة الطرف كذلك على أن صاحب الشكوى</w:t>
      </w:r>
      <w:r>
        <w:rPr>
          <w:rFonts w:hint="cs"/>
          <w:spacing w:val="-4"/>
          <w:rtl/>
          <w:lang w:val="fr-CH"/>
        </w:rPr>
        <w:t xml:space="preserve"> لم</w:t>
      </w:r>
      <w:r>
        <w:rPr>
          <w:spacing w:val="-4"/>
          <w:rtl/>
          <w:lang w:val="fr-CH"/>
        </w:rPr>
        <w:t> </w:t>
      </w:r>
      <w:r w:rsidRPr="00FA0FC2">
        <w:rPr>
          <w:rFonts w:hint="cs"/>
          <w:spacing w:val="-4"/>
          <w:rtl/>
          <w:lang w:val="fr-CH"/>
        </w:rPr>
        <w:t>يعلق على صحة هذه الوثائق، وعلى وجه التحديد على الطريقة التي تدبر فيها أمره للحصول على جواز سفر جديد صادر في</w:t>
      </w:r>
      <w:r>
        <w:rPr>
          <w:rFonts w:hint="cs"/>
          <w:spacing w:val="-4"/>
          <w:rtl/>
          <w:lang w:val="fr-CH"/>
        </w:rPr>
        <w:t xml:space="preserve"> عام</w:t>
      </w:r>
      <w:r>
        <w:rPr>
          <w:spacing w:val="-4"/>
          <w:rtl/>
          <w:lang w:val="fr-CH"/>
        </w:rPr>
        <w:t> </w:t>
      </w:r>
      <w:r w:rsidRPr="00FA0FC2">
        <w:rPr>
          <w:rFonts w:hint="cs"/>
          <w:spacing w:val="-4"/>
          <w:rtl/>
          <w:lang w:val="fr-CH"/>
        </w:rPr>
        <w:t>2006 عندما ادعى أنه كان في السجن.</w:t>
      </w:r>
      <w:r>
        <w:rPr>
          <w:rFonts w:hint="cs"/>
          <w:spacing w:val="-4"/>
          <w:rtl/>
          <w:lang w:val="fr-CH"/>
        </w:rPr>
        <w:t xml:space="preserve"> ولم</w:t>
      </w:r>
      <w:r>
        <w:rPr>
          <w:spacing w:val="-4"/>
          <w:rtl/>
          <w:lang w:val="fr-CH"/>
        </w:rPr>
        <w:t> </w:t>
      </w:r>
      <w:r w:rsidRPr="00FA0FC2">
        <w:rPr>
          <w:rFonts w:hint="cs"/>
          <w:spacing w:val="-4"/>
          <w:rtl/>
          <w:lang w:val="fr-CH"/>
        </w:rPr>
        <w:t>يوضح كذلك كيف توصّل إلى تقديم نسخة من جواز سفره إلى سلطات الهجرة في نيسان/أبريل 2010. وإضافة إلى ذلك،</w:t>
      </w:r>
      <w:r>
        <w:rPr>
          <w:rFonts w:hint="cs"/>
          <w:spacing w:val="-4"/>
          <w:rtl/>
          <w:lang w:val="fr-CH"/>
        </w:rPr>
        <w:t xml:space="preserve"> لم</w:t>
      </w:r>
      <w:r>
        <w:rPr>
          <w:spacing w:val="-4"/>
          <w:rtl/>
          <w:lang w:val="fr-CH"/>
        </w:rPr>
        <w:t> </w:t>
      </w:r>
      <w:r w:rsidRPr="00FA0FC2">
        <w:rPr>
          <w:rFonts w:hint="cs"/>
          <w:spacing w:val="-4"/>
          <w:rtl/>
          <w:lang w:val="fr-CH"/>
        </w:rPr>
        <w:t xml:space="preserve">يقدم صاحب البلاغ بعد أدلة تثبت هويته. </w:t>
      </w:r>
    </w:p>
    <w:p w:rsidR="00091373" w:rsidRPr="00FA0FC2" w:rsidRDefault="00091373" w:rsidP="00091373">
      <w:pPr>
        <w:pStyle w:val="SingleTxtGA"/>
        <w:rPr>
          <w:rFonts w:hint="cs"/>
          <w:rtl/>
          <w:lang w:val="fr-CH"/>
        </w:rPr>
      </w:pPr>
      <w:r w:rsidRPr="00FA0FC2">
        <w:rPr>
          <w:rFonts w:hint="cs"/>
          <w:rtl/>
          <w:lang w:val="fr-CH"/>
        </w:rPr>
        <w:t>6-4</w:t>
      </w:r>
      <w:r w:rsidRPr="00FA0FC2">
        <w:rPr>
          <w:rFonts w:hint="cs"/>
          <w:rtl/>
          <w:lang w:val="fr-CH"/>
        </w:rPr>
        <w:tab/>
        <w:t>ويفتقر وصف صاحب الشكوى للأحداث التي وقعت في أنديجان والوقت الذي قضاه في السجن إلى التفاصيل، وهو يستند إلى معلومات متاحة للجمهور عبر التقارير الإخبارية الدولية.</w:t>
      </w:r>
      <w:r>
        <w:rPr>
          <w:rFonts w:hint="cs"/>
          <w:rtl/>
          <w:lang w:val="fr-CH"/>
        </w:rPr>
        <w:t xml:space="preserve"> ولا</w:t>
      </w:r>
      <w:r>
        <w:rPr>
          <w:rtl/>
          <w:lang w:val="fr-CH"/>
        </w:rPr>
        <w:t> </w:t>
      </w:r>
      <w:r w:rsidRPr="00FA0FC2">
        <w:rPr>
          <w:rFonts w:hint="cs"/>
          <w:rtl/>
          <w:lang w:val="fr-CH"/>
        </w:rPr>
        <w:t>تدعم تعليقاته المقدمة إلى اللجنة الأسباب التي قد تحمل السلطات الأوزبكية على أن تهتم به لضلوعه المزعوم في أحداث أنديجان. وقد اجتمع مجلس الهجرة ومحكمة الهجرة على السواء بصاحب الشكوى وعقدا جلسات استماع مطولة معه. بيد أن غموض روايته أفضى بهما إلى اعتبار ادعاءاته غير مدعمة بالقدر الكافي.</w:t>
      </w:r>
      <w:r>
        <w:rPr>
          <w:rFonts w:hint="cs"/>
          <w:rtl/>
          <w:lang w:val="fr-CH"/>
        </w:rPr>
        <w:t xml:space="preserve"> ولا</w:t>
      </w:r>
      <w:r>
        <w:rPr>
          <w:rtl/>
          <w:lang w:val="fr-CH"/>
        </w:rPr>
        <w:t> </w:t>
      </w:r>
      <w:r w:rsidRPr="00FA0FC2">
        <w:rPr>
          <w:rFonts w:hint="cs"/>
          <w:rtl/>
          <w:lang w:val="fr-CH"/>
        </w:rPr>
        <w:t>يوجد</w:t>
      </w:r>
      <w:r>
        <w:rPr>
          <w:rFonts w:hint="cs"/>
          <w:rtl/>
          <w:lang w:val="fr-CH"/>
        </w:rPr>
        <w:t xml:space="preserve"> ما</w:t>
      </w:r>
      <w:r>
        <w:rPr>
          <w:rtl/>
          <w:lang w:val="fr-CH"/>
        </w:rPr>
        <w:t> </w:t>
      </w:r>
      <w:r w:rsidRPr="00FA0FC2">
        <w:rPr>
          <w:rFonts w:hint="cs"/>
          <w:rtl/>
          <w:lang w:val="fr-CH"/>
        </w:rPr>
        <w:t>يدل على أن القرارات التي اتخذتها سلطات الهجرة بشأنه غير مناسبة</w:t>
      </w:r>
      <w:r>
        <w:rPr>
          <w:rFonts w:hint="cs"/>
          <w:rtl/>
          <w:lang w:val="fr-CH"/>
        </w:rPr>
        <w:t xml:space="preserve"> أو</w:t>
      </w:r>
      <w:r>
        <w:rPr>
          <w:rtl/>
          <w:lang w:val="fr-CH"/>
        </w:rPr>
        <w:t> </w:t>
      </w:r>
      <w:r w:rsidRPr="00FA0FC2">
        <w:rPr>
          <w:rFonts w:hint="cs"/>
          <w:rtl/>
          <w:lang w:val="fr-CH"/>
        </w:rPr>
        <w:t>تعسفية.</w:t>
      </w:r>
    </w:p>
    <w:p w:rsidR="00091373" w:rsidRPr="00FA0FC2" w:rsidRDefault="00091373" w:rsidP="00091373">
      <w:pPr>
        <w:pStyle w:val="SingleTxtGA"/>
        <w:rPr>
          <w:rFonts w:hint="cs"/>
          <w:rtl/>
          <w:lang w:val="fr-CH"/>
        </w:rPr>
      </w:pPr>
      <w:r w:rsidRPr="00FA0FC2">
        <w:rPr>
          <w:rFonts w:hint="cs"/>
          <w:rtl/>
          <w:lang w:val="fr-CH"/>
        </w:rPr>
        <w:t>6-5</w:t>
      </w:r>
      <w:r w:rsidRPr="00FA0FC2">
        <w:rPr>
          <w:rFonts w:hint="cs"/>
          <w:rtl/>
          <w:lang w:val="fr-CH"/>
        </w:rPr>
        <w:tab/>
        <w:t>ولا تعترض الدولة الطرف على أن صاحب الشكوى تعرّض لإساءة المعاملة على النحو المبين في التقارير الطبية. بيد أنه</w:t>
      </w:r>
      <w:r>
        <w:rPr>
          <w:rFonts w:hint="cs"/>
          <w:rtl/>
          <w:lang w:val="fr-CH"/>
        </w:rPr>
        <w:t xml:space="preserve"> لم</w:t>
      </w:r>
      <w:r>
        <w:rPr>
          <w:rtl/>
          <w:lang w:val="fr-CH"/>
        </w:rPr>
        <w:t> </w:t>
      </w:r>
      <w:r w:rsidRPr="00FA0FC2">
        <w:rPr>
          <w:rFonts w:hint="cs"/>
          <w:rtl/>
          <w:lang w:val="fr-CH"/>
        </w:rPr>
        <w:t>يدعِّم ادعاءه بأنه شارك في أحداث أنديجان</w:t>
      </w:r>
      <w:r>
        <w:rPr>
          <w:rFonts w:hint="cs"/>
          <w:rtl/>
          <w:lang w:val="fr-CH"/>
        </w:rPr>
        <w:t xml:space="preserve"> ولم</w:t>
      </w:r>
      <w:r>
        <w:rPr>
          <w:rtl/>
          <w:lang w:val="fr-CH"/>
        </w:rPr>
        <w:t> </w:t>
      </w:r>
      <w:r w:rsidRPr="00FA0FC2">
        <w:rPr>
          <w:rFonts w:hint="cs"/>
          <w:rtl/>
          <w:lang w:val="fr-CH"/>
        </w:rPr>
        <w:t xml:space="preserve">يقدم أية أسباب أخرى تفسّر اهتمام سلطات أوزبكستان به إن هو أُعيد إلى البلد. </w:t>
      </w:r>
    </w:p>
    <w:p w:rsidR="00091373" w:rsidRPr="00FB0666" w:rsidRDefault="00091373" w:rsidP="00091373">
      <w:pPr>
        <w:pStyle w:val="SingleTxtGA"/>
        <w:rPr>
          <w:rFonts w:hint="cs"/>
          <w:rtl/>
          <w:lang w:val="fr-CH"/>
        </w:rPr>
      </w:pPr>
      <w:r w:rsidRPr="00FB0666">
        <w:rPr>
          <w:rFonts w:hint="cs"/>
          <w:rtl/>
          <w:lang w:val="fr-CH"/>
        </w:rPr>
        <w:t>7-1</w:t>
      </w:r>
      <w:r w:rsidRPr="00FB0666">
        <w:rPr>
          <w:rFonts w:hint="cs"/>
          <w:rtl/>
          <w:lang w:val="fr-CH"/>
        </w:rPr>
        <w:tab/>
        <w:t>وفي 9 كانون الثاني/يناير 2013، قدم صاحب الشكوى تعليقات أخرى إلى اللجنة يؤكد فيها أنه أخبر السلطات أثناء جلسة الاستماع في محكمة الهجرة بأنه كان يملك جوازي</w:t>
      </w:r>
      <w:r w:rsidRPr="00FB0666">
        <w:rPr>
          <w:rFonts w:hint="eastAsia"/>
          <w:rtl/>
          <w:lang w:val="fr-CH"/>
        </w:rPr>
        <w:t> </w:t>
      </w:r>
      <w:r w:rsidRPr="00FB0666">
        <w:rPr>
          <w:rFonts w:hint="cs"/>
          <w:rtl/>
          <w:lang w:val="fr-CH"/>
        </w:rPr>
        <w:t>سفر، وأن السلطات قد احتفظت بجواز السفر الأول عندما استُدعي إلى تأدية الخدمة العسكرية. وقال إنه حصل على جواز السفر الثاني بعد زواجه مباشرة عن طريق الرشوة. وقد حصل على المساعدة من أجل تجديد جواز سفره الثاني ذاك بدفع رشوة في عام</w:t>
      </w:r>
      <w:r w:rsidRPr="00FB0666">
        <w:rPr>
          <w:rtl/>
          <w:lang w:val="fr-CH"/>
        </w:rPr>
        <w:t> </w:t>
      </w:r>
      <w:r w:rsidRPr="00FB0666">
        <w:rPr>
          <w:rFonts w:hint="cs"/>
          <w:rtl/>
          <w:lang w:val="fr-CH"/>
        </w:rPr>
        <w:t xml:space="preserve">2006 بعد أن أبلغ عن فقدانه. وتمكن بمساعدة أصدقائه من إخفاء دفتر الخدمة العسكرية ساعة القبض عليه. وأخيراً، أبلغ السلطات السويدية بأن السلطات الأوزبكية تمتلك النسختين الأصليتين لجوازي سفره. </w:t>
      </w:r>
    </w:p>
    <w:p w:rsidR="00091373" w:rsidRPr="00FA0FC2" w:rsidRDefault="00091373" w:rsidP="00635785">
      <w:pPr>
        <w:pStyle w:val="SingleTxtGA"/>
        <w:spacing w:line="364" w:lineRule="exact"/>
        <w:rPr>
          <w:rFonts w:hint="cs"/>
          <w:rtl/>
          <w:lang w:val="fr-CH"/>
        </w:rPr>
      </w:pPr>
      <w:r w:rsidRPr="00FA0FC2">
        <w:rPr>
          <w:rFonts w:hint="cs"/>
          <w:rtl/>
          <w:lang w:val="fr-CH"/>
        </w:rPr>
        <w:t>7-2</w:t>
      </w:r>
      <w:r w:rsidRPr="00FA0FC2">
        <w:rPr>
          <w:rFonts w:hint="cs"/>
          <w:rtl/>
          <w:lang w:val="fr-CH"/>
        </w:rPr>
        <w:tab/>
        <w:t>ويدفع صاحب الشكوى بأن تشخيص الطبيب أثبت إصابته باضطرابات نفسية لاحقة للإصابة بالصدمة وأن ضحايا التعذيب الذين يعانون من هذا الاضطراب نادراً</w:t>
      </w:r>
      <w:r>
        <w:rPr>
          <w:rFonts w:hint="cs"/>
          <w:rtl/>
          <w:lang w:val="fr-CH"/>
        </w:rPr>
        <w:t xml:space="preserve"> ما</w:t>
      </w:r>
      <w:r>
        <w:rPr>
          <w:rtl/>
          <w:lang w:val="fr-CH"/>
        </w:rPr>
        <w:t> </w:t>
      </w:r>
      <w:r w:rsidRPr="00FA0FC2">
        <w:rPr>
          <w:rFonts w:hint="cs"/>
          <w:rtl/>
          <w:lang w:val="fr-CH"/>
        </w:rPr>
        <w:t>يتذكرون جميع التفاصيل والظروف الخاصة بقضاياهم، وأن ذلك يفسر أيضاً أسباب خوفه الشديد من سلطات الهجرة وعدم ثقته بالمترجمين الشفويين أثناء المقابلات.</w:t>
      </w:r>
    </w:p>
    <w:p w:rsidR="00091373" w:rsidRPr="00FA0FC2" w:rsidRDefault="00091373" w:rsidP="00635785">
      <w:pPr>
        <w:pStyle w:val="H23GA"/>
        <w:spacing w:line="364" w:lineRule="exact"/>
        <w:rPr>
          <w:rFonts w:hint="cs"/>
          <w:rtl/>
          <w:lang w:val="fr-CH"/>
        </w:rPr>
      </w:pPr>
      <w:r w:rsidRPr="00FA0FC2">
        <w:rPr>
          <w:rFonts w:hint="cs"/>
          <w:rtl/>
          <w:lang w:val="fr-CH"/>
        </w:rPr>
        <w:tab/>
      </w:r>
      <w:r w:rsidRPr="00FA0FC2">
        <w:rPr>
          <w:rFonts w:hint="cs"/>
          <w:rtl/>
          <w:lang w:val="fr-CH"/>
        </w:rPr>
        <w:tab/>
        <w:t>المسائل والإجراءات المعروضة على اللجنة</w:t>
      </w:r>
    </w:p>
    <w:p w:rsidR="00091373" w:rsidRPr="00FA0FC2" w:rsidRDefault="00091373" w:rsidP="00635785">
      <w:pPr>
        <w:pStyle w:val="H4GA"/>
        <w:spacing w:line="364" w:lineRule="exact"/>
        <w:rPr>
          <w:rFonts w:hint="cs"/>
          <w:rtl/>
          <w:lang w:val="fr-CH"/>
        </w:rPr>
      </w:pPr>
      <w:r w:rsidRPr="00FA0FC2">
        <w:rPr>
          <w:rFonts w:hint="cs"/>
          <w:rtl/>
          <w:lang w:val="fr-CH"/>
        </w:rPr>
        <w:tab/>
      </w:r>
      <w:r w:rsidRPr="00FA0FC2">
        <w:rPr>
          <w:rFonts w:hint="cs"/>
          <w:rtl/>
          <w:lang w:val="fr-CH"/>
        </w:rPr>
        <w:tab/>
        <w:t>النظر في المقبولية</w:t>
      </w:r>
    </w:p>
    <w:p w:rsidR="00091373" w:rsidRPr="00FA0FC2" w:rsidRDefault="00091373" w:rsidP="00635785">
      <w:pPr>
        <w:pStyle w:val="SingleTxtGA"/>
        <w:spacing w:line="364" w:lineRule="exact"/>
        <w:rPr>
          <w:rFonts w:hint="cs"/>
          <w:rtl/>
          <w:lang w:val="fr-CH"/>
        </w:rPr>
      </w:pPr>
      <w:r w:rsidRPr="00FA0FC2">
        <w:rPr>
          <w:rFonts w:hint="cs"/>
          <w:rtl/>
          <w:lang w:val="fr-CH"/>
        </w:rPr>
        <w:t>8-1</w:t>
      </w:r>
      <w:r w:rsidRPr="00FA0FC2">
        <w:rPr>
          <w:rFonts w:hint="cs"/>
          <w:rtl/>
          <w:lang w:val="fr-CH"/>
        </w:rPr>
        <w:tab/>
        <w:t>قبل النظر في أية ادعاءات ترد في بلاغ</w:t>
      </w:r>
      <w:r>
        <w:rPr>
          <w:rFonts w:hint="cs"/>
          <w:rtl/>
          <w:lang w:val="fr-CH"/>
        </w:rPr>
        <w:t xml:space="preserve"> ما</w:t>
      </w:r>
      <w:r>
        <w:rPr>
          <w:rtl/>
          <w:lang w:val="fr-CH"/>
        </w:rPr>
        <w:t> </w:t>
      </w:r>
      <w:r w:rsidRPr="00FA0FC2">
        <w:rPr>
          <w:rFonts w:hint="cs"/>
          <w:rtl/>
          <w:lang w:val="fr-CH"/>
        </w:rPr>
        <w:t>يتعين على اللجنة أن تقرر</w:t>
      </w:r>
      <w:r>
        <w:rPr>
          <w:rFonts w:hint="cs"/>
          <w:rtl/>
          <w:lang w:val="fr-CH"/>
        </w:rPr>
        <w:t xml:space="preserve"> ما</w:t>
      </w:r>
      <w:r>
        <w:rPr>
          <w:rtl/>
          <w:lang w:val="fr-CH"/>
        </w:rPr>
        <w:t> </w:t>
      </w:r>
      <w:r w:rsidRPr="00FA0FC2">
        <w:rPr>
          <w:rFonts w:hint="cs"/>
          <w:rtl/>
          <w:lang w:val="fr-CH"/>
        </w:rPr>
        <w:t>إذا كان البلاغ مقبولاً</w:t>
      </w:r>
      <w:r>
        <w:rPr>
          <w:rFonts w:hint="cs"/>
          <w:rtl/>
          <w:lang w:val="fr-CH"/>
        </w:rPr>
        <w:t xml:space="preserve"> أم</w:t>
      </w:r>
      <w:r>
        <w:rPr>
          <w:rtl/>
          <w:lang w:val="fr-CH"/>
        </w:rPr>
        <w:t> </w:t>
      </w:r>
      <w:r>
        <w:rPr>
          <w:rFonts w:hint="cs"/>
          <w:rtl/>
          <w:lang w:val="fr-CH"/>
        </w:rPr>
        <w:t>لا</w:t>
      </w:r>
      <w:r>
        <w:rPr>
          <w:rtl/>
          <w:lang w:val="fr-CH"/>
        </w:rPr>
        <w:t> </w:t>
      </w:r>
      <w:r w:rsidRPr="00FA0FC2">
        <w:rPr>
          <w:rFonts w:hint="cs"/>
          <w:rtl/>
          <w:lang w:val="fr-CH"/>
        </w:rPr>
        <w:t>بموجب ال</w:t>
      </w:r>
      <w:r>
        <w:rPr>
          <w:rFonts w:hint="cs"/>
          <w:rtl/>
          <w:lang w:val="fr-CH"/>
        </w:rPr>
        <w:t>مادة</w:t>
      </w:r>
      <w:r>
        <w:rPr>
          <w:rtl/>
          <w:lang w:val="fr-CH"/>
        </w:rPr>
        <w:t> </w:t>
      </w:r>
      <w:r w:rsidRPr="00FA0FC2">
        <w:rPr>
          <w:rFonts w:hint="cs"/>
          <w:rtl/>
          <w:lang w:val="fr-CH"/>
        </w:rPr>
        <w:t>22 من الاتفاقية. وقد تأكدت اللجنة وفقاً لمقتضيات الفقرة</w:t>
      </w:r>
      <w:r w:rsidRPr="00FA0FC2">
        <w:rPr>
          <w:rFonts w:hint="eastAsia"/>
          <w:rtl/>
          <w:lang w:val="fr-CH"/>
        </w:rPr>
        <w:t> </w:t>
      </w:r>
      <w:r w:rsidRPr="00FA0FC2">
        <w:rPr>
          <w:rFonts w:hint="cs"/>
          <w:rtl/>
          <w:lang w:val="fr-CH"/>
        </w:rPr>
        <w:t>5(أ) من ال</w:t>
      </w:r>
      <w:r>
        <w:rPr>
          <w:rFonts w:hint="cs"/>
          <w:rtl/>
          <w:lang w:val="fr-CH"/>
        </w:rPr>
        <w:t>مادة</w:t>
      </w:r>
      <w:r>
        <w:rPr>
          <w:rtl/>
          <w:lang w:val="fr-CH"/>
        </w:rPr>
        <w:t> </w:t>
      </w:r>
      <w:r w:rsidRPr="00FA0FC2">
        <w:rPr>
          <w:rFonts w:hint="cs"/>
          <w:rtl/>
          <w:lang w:val="fr-CH"/>
        </w:rPr>
        <w:t>22 من الاتفاقية من أن المسألة ذاتها</w:t>
      </w:r>
      <w:r>
        <w:rPr>
          <w:rFonts w:hint="cs"/>
          <w:rtl/>
          <w:lang w:val="fr-CH"/>
        </w:rPr>
        <w:t xml:space="preserve"> لم</w:t>
      </w:r>
      <w:r>
        <w:rPr>
          <w:rtl/>
          <w:lang w:val="fr-CH"/>
        </w:rPr>
        <w:t> </w:t>
      </w:r>
      <w:r w:rsidRPr="00FA0FC2">
        <w:rPr>
          <w:rFonts w:hint="cs"/>
          <w:rtl/>
          <w:lang w:val="fr-CH"/>
        </w:rPr>
        <w:t>تُبحث</w:t>
      </w:r>
      <w:r>
        <w:rPr>
          <w:rFonts w:hint="cs"/>
          <w:rtl/>
          <w:lang w:val="fr-CH"/>
        </w:rPr>
        <w:t xml:space="preserve"> ولا</w:t>
      </w:r>
      <w:r>
        <w:rPr>
          <w:rtl/>
          <w:lang w:val="fr-CH"/>
        </w:rPr>
        <w:t> </w:t>
      </w:r>
      <w:r w:rsidRPr="00FA0FC2">
        <w:rPr>
          <w:rFonts w:hint="cs"/>
          <w:rtl/>
          <w:lang w:val="fr-CH"/>
        </w:rPr>
        <w:t>يجري بحثها في إطار أي إجراء آخر من إجراءات التحقيق الدولي</w:t>
      </w:r>
      <w:r>
        <w:rPr>
          <w:rFonts w:hint="cs"/>
          <w:rtl/>
          <w:lang w:val="fr-CH"/>
        </w:rPr>
        <w:t xml:space="preserve"> أو</w:t>
      </w:r>
      <w:r>
        <w:rPr>
          <w:rtl/>
          <w:lang w:val="fr-CH"/>
        </w:rPr>
        <w:t> </w:t>
      </w:r>
      <w:r w:rsidRPr="00FA0FC2">
        <w:rPr>
          <w:rFonts w:hint="cs"/>
          <w:rtl/>
          <w:lang w:val="fr-CH"/>
        </w:rPr>
        <w:t>التسوية الدولية.</w:t>
      </w:r>
    </w:p>
    <w:p w:rsidR="00091373" w:rsidRPr="00FA0FC2" w:rsidRDefault="00091373" w:rsidP="00635785">
      <w:pPr>
        <w:pStyle w:val="SingleTxtGA"/>
        <w:spacing w:line="364" w:lineRule="exact"/>
        <w:rPr>
          <w:rFonts w:hint="cs"/>
          <w:rtl/>
          <w:lang w:val="fr-CH"/>
        </w:rPr>
      </w:pPr>
      <w:r w:rsidRPr="00FA0FC2">
        <w:rPr>
          <w:rFonts w:hint="cs"/>
          <w:rtl/>
          <w:lang w:val="fr-CH"/>
        </w:rPr>
        <w:t>8-2</w:t>
      </w:r>
      <w:r w:rsidRPr="00FA0FC2">
        <w:rPr>
          <w:rFonts w:hint="cs"/>
          <w:rtl/>
          <w:lang w:val="fr-CH"/>
        </w:rPr>
        <w:tab/>
        <w:t>وتشير اللجنة إلى أنها</w:t>
      </w:r>
      <w:r>
        <w:rPr>
          <w:rFonts w:hint="cs"/>
          <w:rtl/>
          <w:lang w:val="fr-CH"/>
        </w:rPr>
        <w:t xml:space="preserve"> لا</w:t>
      </w:r>
      <w:r>
        <w:rPr>
          <w:rtl/>
          <w:lang w:val="fr-CH"/>
        </w:rPr>
        <w:t> </w:t>
      </w:r>
      <w:r w:rsidRPr="00FA0FC2">
        <w:rPr>
          <w:rFonts w:hint="cs"/>
          <w:rtl/>
          <w:lang w:val="fr-CH"/>
        </w:rPr>
        <w:t>تنظر وفقاً للفقرة 5(ب) من ال</w:t>
      </w:r>
      <w:r>
        <w:rPr>
          <w:rFonts w:hint="cs"/>
          <w:rtl/>
          <w:lang w:val="fr-CH"/>
        </w:rPr>
        <w:t>مادة</w:t>
      </w:r>
      <w:r>
        <w:rPr>
          <w:rtl/>
          <w:lang w:val="fr-CH"/>
        </w:rPr>
        <w:t> </w:t>
      </w:r>
      <w:r w:rsidRPr="00FA0FC2">
        <w:rPr>
          <w:rFonts w:hint="cs"/>
          <w:rtl/>
          <w:lang w:val="fr-CH"/>
        </w:rPr>
        <w:t>22 من الاتفاقية في أي بلاغ يقدمه أحد الأفراد</w:t>
      </w:r>
      <w:r>
        <w:rPr>
          <w:rFonts w:hint="cs"/>
          <w:rtl/>
          <w:lang w:val="fr-CH"/>
        </w:rPr>
        <w:t xml:space="preserve"> ما</w:t>
      </w:r>
      <w:r>
        <w:rPr>
          <w:rtl/>
          <w:lang w:val="fr-CH"/>
        </w:rPr>
        <w:t> </w:t>
      </w:r>
      <w:r>
        <w:rPr>
          <w:rFonts w:hint="cs"/>
          <w:rtl/>
          <w:lang w:val="fr-CH"/>
        </w:rPr>
        <w:t>لم</w:t>
      </w:r>
      <w:r>
        <w:rPr>
          <w:rtl/>
          <w:lang w:val="fr-CH"/>
        </w:rPr>
        <w:t> </w:t>
      </w:r>
      <w:r w:rsidRPr="00FA0FC2">
        <w:rPr>
          <w:rFonts w:hint="cs"/>
          <w:rtl/>
          <w:lang w:val="fr-CH"/>
        </w:rPr>
        <w:t xml:space="preserve">تتحقق من أن هذا الفرد قد استنفد جميع سبل الانتصاف المحلية المتاحة. وتلاحظ اللجنة أن الدولة الطرف قد أقرت في هذه القضية بأن صاحب الشكوى قد استنفد جميع سبل الانتصاف المحلية المتاحة. </w:t>
      </w:r>
    </w:p>
    <w:p w:rsidR="00091373" w:rsidRPr="00FA0FC2" w:rsidRDefault="00091373" w:rsidP="00635785">
      <w:pPr>
        <w:pStyle w:val="SingleTxtGA"/>
        <w:spacing w:line="364" w:lineRule="exact"/>
        <w:rPr>
          <w:rFonts w:hint="cs"/>
          <w:rtl/>
          <w:lang w:val="fr-CH"/>
        </w:rPr>
      </w:pPr>
      <w:r w:rsidRPr="00FA0FC2">
        <w:rPr>
          <w:rFonts w:hint="cs"/>
          <w:rtl/>
          <w:lang w:val="fr-CH"/>
        </w:rPr>
        <w:t>8-3</w:t>
      </w:r>
      <w:r w:rsidRPr="00FA0FC2">
        <w:rPr>
          <w:rFonts w:hint="cs"/>
          <w:rtl/>
          <w:lang w:val="fr-CH"/>
        </w:rPr>
        <w:tab/>
        <w:t>وتعتبر الدولة الطرف أن البلاغ غير مقبول لأن من الواضح أنه</w:t>
      </w:r>
      <w:r>
        <w:rPr>
          <w:rFonts w:hint="cs"/>
          <w:rtl/>
          <w:lang w:val="fr-CH"/>
        </w:rPr>
        <w:t xml:space="preserve"> لا</w:t>
      </w:r>
      <w:r>
        <w:rPr>
          <w:rtl/>
          <w:lang w:val="fr-CH"/>
        </w:rPr>
        <w:t> </w:t>
      </w:r>
      <w:r w:rsidRPr="00FA0FC2">
        <w:rPr>
          <w:rFonts w:hint="cs"/>
          <w:rtl/>
          <w:lang w:val="fr-CH"/>
        </w:rPr>
        <w:t xml:space="preserve">يستند إلى أي أساس. بيد أن اللجنة ترى أن الدفوع التي قدمها صاحب الشكوى تطرح مسائل موضوعية ينبغي معالجتها من حيث الأسس الموضوعية. وبالنظر إلى عدم وجود عوائق تحول دون قبول البلاغ تعلن اللجنة أنه مقبول. </w:t>
      </w:r>
    </w:p>
    <w:p w:rsidR="00091373" w:rsidRPr="00FA0FC2" w:rsidRDefault="00091373" w:rsidP="00635785">
      <w:pPr>
        <w:pStyle w:val="H4GA"/>
        <w:spacing w:line="364" w:lineRule="exact"/>
        <w:rPr>
          <w:rFonts w:hint="cs"/>
          <w:rtl/>
          <w:lang w:val="fr-CH"/>
        </w:rPr>
      </w:pPr>
      <w:r w:rsidRPr="00FA0FC2">
        <w:rPr>
          <w:rFonts w:hint="cs"/>
          <w:rtl/>
          <w:lang w:val="fr-CH"/>
        </w:rPr>
        <w:tab/>
      </w:r>
      <w:r w:rsidRPr="00FA0FC2">
        <w:rPr>
          <w:rFonts w:hint="cs"/>
          <w:rtl/>
          <w:lang w:val="fr-CH"/>
        </w:rPr>
        <w:tab/>
        <w:t>النظر في الأسس الموضوعية</w:t>
      </w:r>
    </w:p>
    <w:p w:rsidR="00091373" w:rsidRPr="00FA0FC2" w:rsidRDefault="00091373" w:rsidP="00635785">
      <w:pPr>
        <w:pStyle w:val="SingleTxtGA"/>
        <w:spacing w:line="364" w:lineRule="exact"/>
        <w:rPr>
          <w:rFonts w:hint="cs"/>
          <w:rtl/>
          <w:lang w:val="fr-CH"/>
        </w:rPr>
      </w:pPr>
      <w:r w:rsidRPr="00FA0FC2">
        <w:rPr>
          <w:rFonts w:hint="cs"/>
          <w:rtl/>
          <w:lang w:val="fr-CH"/>
        </w:rPr>
        <w:t>9-1</w:t>
      </w:r>
      <w:r w:rsidRPr="00FA0FC2">
        <w:rPr>
          <w:rFonts w:hint="cs"/>
          <w:rtl/>
          <w:lang w:val="fr-CH"/>
        </w:rPr>
        <w:tab/>
        <w:t>وفقاً للفقرة 4 من ال</w:t>
      </w:r>
      <w:r>
        <w:rPr>
          <w:rFonts w:hint="cs"/>
          <w:rtl/>
          <w:lang w:val="fr-CH"/>
        </w:rPr>
        <w:t>مادة</w:t>
      </w:r>
      <w:r>
        <w:rPr>
          <w:rtl/>
          <w:lang w:val="fr-CH"/>
        </w:rPr>
        <w:t> </w:t>
      </w:r>
      <w:r w:rsidRPr="00FA0FC2">
        <w:rPr>
          <w:rFonts w:hint="cs"/>
          <w:rtl/>
          <w:lang w:val="fr-CH"/>
        </w:rPr>
        <w:t xml:space="preserve">22 من الاتفاقية، نظرت اللجنة في هذا البلاغ في ضوء جميع المعلومات التي أتاحتها لها الأطراف المعنية. </w:t>
      </w:r>
    </w:p>
    <w:p w:rsidR="00091373" w:rsidRPr="00FA0FC2" w:rsidRDefault="00091373" w:rsidP="00635785">
      <w:pPr>
        <w:pStyle w:val="SingleTxtGA"/>
        <w:spacing w:line="364" w:lineRule="exact"/>
        <w:rPr>
          <w:rFonts w:hint="cs"/>
          <w:rtl/>
          <w:lang w:val="fr-CH"/>
        </w:rPr>
      </w:pPr>
      <w:r w:rsidRPr="00FA0FC2">
        <w:rPr>
          <w:rFonts w:hint="cs"/>
          <w:rtl/>
          <w:lang w:val="fr-CH"/>
        </w:rPr>
        <w:t>9-2</w:t>
      </w:r>
      <w:r w:rsidRPr="00FA0FC2">
        <w:rPr>
          <w:rFonts w:hint="cs"/>
          <w:rtl/>
          <w:lang w:val="fr-CH"/>
        </w:rPr>
        <w:tab/>
        <w:t>وتتمثل المسألة المعروضة على اللجنة</w:t>
      </w:r>
      <w:r>
        <w:rPr>
          <w:rFonts w:hint="cs"/>
          <w:rtl/>
          <w:lang w:val="fr-CH"/>
        </w:rPr>
        <w:t xml:space="preserve"> فيما</w:t>
      </w:r>
      <w:r>
        <w:rPr>
          <w:rtl/>
          <w:lang w:val="fr-CH"/>
        </w:rPr>
        <w:t> </w:t>
      </w:r>
      <w:r w:rsidRPr="00FA0FC2">
        <w:rPr>
          <w:rFonts w:hint="cs"/>
          <w:rtl/>
          <w:lang w:val="fr-CH"/>
        </w:rPr>
        <w:t>إذا كان طرد صاحب الشكوى إلى أوزبكستان سيشكل انتهاكاً لالتزام الدولة الطرف بموجب ال</w:t>
      </w:r>
      <w:r>
        <w:rPr>
          <w:rFonts w:hint="cs"/>
          <w:rtl/>
          <w:lang w:val="fr-CH"/>
        </w:rPr>
        <w:t>مادة</w:t>
      </w:r>
      <w:r>
        <w:rPr>
          <w:rtl/>
          <w:lang w:val="fr-CH"/>
        </w:rPr>
        <w:t> </w:t>
      </w:r>
      <w:r w:rsidRPr="00FA0FC2">
        <w:rPr>
          <w:rFonts w:hint="cs"/>
          <w:rtl/>
          <w:lang w:val="fr-CH"/>
        </w:rPr>
        <w:t>3 من الاتفاقية بألا تطرد أي شخص</w:t>
      </w:r>
      <w:r>
        <w:rPr>
          <w:rFonts w:hint="cs"/>
          <w:rtl/>
          <w:lang w:val="fr-CH"/>
        </w:rPr>
        <w:t xml:space="preserve"> أو</w:t>
      </w:r>
      <w:r>
        <w:rPr>
          <w:rtl/>
          <w:lang w:val="fr-CH"/>
        </w:rPr>
        <w:t> </w:t>
      </w:r>
      <w:r w:rsidRPr="00FA0FC2">
        <w:rPr>
          <w:rFonts w:hint="cs"/>
          <w:rtl/>
          <w:lang w:val="fr-CH"/>
        </w:rPr>
        <w:t>تعيده إلى دولة أخرى إذا توافرت لديها من الأسباب الحقيقية</w:t>
      </w:r>
      <w:r>
        <w:rPr>
          <w:rFonts w:hint="cs"/>
          <w:rtl/>
          <w:lang w:val="fr-CH"/>
        </w:rPr>
        <w:t xml:space="preserve"> ما</w:t>
      </w:r>
      <w:r>
        <w:rPr>
          <w:rtl/>
          <w:lang w:val="fr-CH"/>
        </w:rPr>
        <w:t> </w:t>
      </w:r>
      <w:r w:rsidRPr="00FA0FC2">
        <w:rPr>
          <w:rFonts w:hint="cs"/>
          <w:rtl/>
          <w:lang w:val="fr-CH"/>
        </w:rPr>
        <w:t>يحمل على الاعتقاد بأنه سيواجه خطر التعرض للتعذيب.</w:t>
      </w:r>
    </w:p>
    <w:p w:rsidR="00091373" w:rsidRPr="00FA0FC2" w:rsidRDefault="00091373" w:rsidP="00635785">
      <w:pPr>
        <w:pStyle w:val="SingleTxtGA"/>
        <w:spacing w:line="360" w:lineRule="exact"/>
        <w:rPr>
          <w:rFonts w:hint="cs"/>
          <w:rtl/>
          <w:lang w:val="fr-CH"/>
        </w:rPr>
      </w:pPr>
      <w:r w:rsidRPr="00FA0FC2">
        <w:rPr>
          <w:rFonts w:hint="cs"/>
          <w:rtl/>
          <w:lang w:val="fr-CH"/>
        </w:rPr>
        <w:t>9-3</w:t>
      </w:r>
      <w:r w:rsidRPr="00FA0FC2">
        <w:rPr>
          <w:rFonts w:hint="cs"/>
          <w:rtl/>
          <w:lang w:val="fr-CH"/>
        </w:rPr>
        <w:tab/>
        <w:t>وفيما يتعلق بادعاءات صاحب الشكوى أنه سيتعرض للسجن في أوزبكستان وأن سجنه سيفضي</w:t>
      </w:r>
      <w:r>
        <w:rPr>
          <w:rFonts w:hint="cs"/>
          <w:rtl/>
          <w:lang w:val="fr-CH"/>
        </w:rPr>
        <w:t xml:space="preserve"> لا</w:t>
      </w:r>
      <w:r>
        <w:rPr>
          <w:rtl/>
          <w:lang w:val="fr-CH"/>
        </w:rPr>
        <w:t> </w:t>
      </w:r>
      <w:r w:rsidRPr="00FA0FC2">
        <w:rPr>
          <w:rFonts w:hint="cs"/>
          <w:rtl/>
          <w:lang w:val="fr-CH"/>
        </w:rPr>
        <w:t>محالة إلى إساءة معاملته وتعذيبه مثلما حصل له في السجن في الفترة</w:t>
      </w:r>
      <w:r>
        <w:rPr>
          <w:rFonts w:hint="cs"/>
          <w:rtl/>
          <w:lang w:val="fr-CH"/>
        </w:rPr>
        <w:t xml:space="preserve"> ما</w:t>
      </w:r>
      <w:r>
        <w:rPr>
          <w:rtl/>
          <w:lang w:val="fr-CH"/>
        </w:rPr>
        <w:t> </w:t>
      </w:r>
      <w:r w:rsidRPr="00FA0FC2">
        <w:rPr>
          <w:rFonts w:hint="cs"/>
          <w:rtl/>
          <w:lang w:val="fr-CH"/>
        </w:rPr>
        <w:t>بين عامي 2005 و2008، يجب على اللجنة أن تقيّم</w:t>
      </w:r>
      <w:r>
        <w:rPr>
          <w:rFonts w:hint="cs"/>
          <w:rtl/>
          <w:lang w:val="fr-CH"/>
        </w:rPr>
        <w:t xml:space="preserve"> ما</w:t>
      </w:r>
      <w:r>
        <w:rPr>
          <w:rtl/>
          <w:lang w:val="fr-CH"/>
        </w:rPr>
        <w:t> </w:t>
      </w:r>
      <w:r w:rsidRPr="00FA0FC2">
        <w:rPr>
          <w:rFonts w:hint="cs"/>
          <w:rtl/>
          <w:lang w:val="fr-CH"/>
        </w:rPr>
        <w:t>إذا كانت هناك أسباب حقيقية تدعو إلى الاعتقاد بأن صاحب الشكوى سيتعرض شخصياً لخطر التعذيب لدى عودته إلى بلده الأصلي.</w:t>
      </w:r>
      <w:r>
        <w:rPr>
          <w:rFonts w:hint="cs"/>
          <w:rtl/>
          <w:lang w:val="fr-CH"/>
        </w:rPr>
        <w:t xml:space="preserve"> وفي</w:t>
      </w:r>
      <w:r>
        <w:rPr>
          <w:rtl/>
          <w:lang w:val="fr-CH"/>
        </w:rPr>
        <w:t> </w:t>
      </w:r>
      <w:r w:rsidRPr="00FA0FC2">
        <w:rPr>
          <w:rFonts w:hint="cs"/>
          <w:rtl/>
          <w:lang w:val="fr-CH"/>
        </w:rPr>
        <w:t>سياق تقييم هذا الخطر، يجب على اللجنة أن تراعي جميع الاعتبارات ذات الصلة عملاً بالفقرة 2 من ال</w:t>
      </w:r>
      <w:r>
        <w:rPr>
          <w:rFonts w:hint="cs"/>
          <w:rtl/>
          <w:lang w:val="fr-CH"/>
        </w:rPr>
        <w:t>مادة</w:t>
      </w:r>
      <w:r>
        <w:rPr>
          <w:rtl/>
          <w:lang w:val="fr-CH"/>
        </w:rPr>
        <w:t> </w:t>
      </w:r>
      <w:r w:rsidRPr="00FA0FC2">
        <w:rPr>
          <w:rFonts w:hint="cs"/>
          <w:rtl/>
          <w:lang w:val="fr-CH"/>
        </w:rPr>
        <w:t>3 من الاتفاقية،</w:t>
      </w:r>
      <w:r>
        <w:rPr>
          <w:rFonts w:hint="cs"/>
          <w:rtl/>
          <w:lang w:val="fr-CH"/>
        </w:rPr>
        <w:t xml:space="preserve"> بما</w:t>
      </w:r>
      <w:r>
        <w:rPr>
          <w:rtl/>
          <w:lang w:val="fr-CH"/>
        </w:rPr>
        <w:t> </w:t>
      </w:r>
      <w:r w:rsidRPr="00FA0FC2">
        <w:rPr>
          <w:rFonts w:hint="cs"/>
          <w:rtl/>
          <w:lang w:val="fr-CH"/>
        </w:rPr>
        <w:t>في ذلك وجود نمط ثابت من الانتهاكات الفادحة</w:t>
      </w:r>
      <w:r>
        <w:rPr>
          <w:rFonts w:hint="cs"/>
          <w:rtl/>
          <w:lang w:val="fr-CH"/>
        </w:rPr>
        <w:t xml:space="preserve"> أو</w:t>
      </w:r>
      <w:r>
        <w:rPr>
          <w:rtl/>
          <w:lang w:val="fr-CH"/>
        </w:rPr>
        <w:t> </w:t>
      </w:r>
      <w:r w:rsidRPr="00FA0FC2">
        <w:rPr>
          <w:rFonts w:hint="cs"/>
          <w:rtl/>
          <w:lang w:val="fr-CH"/>
        </w:rPr>
        <w:t>الصارخة</w:t>
      </w:r>
      <w:r>
        <w:rPr>
          <w:rFonts w:hint="cs"/>
          <w:rtl/>
          <w:lang w:val="fr-CH"/>
        </w:rPr>
        <w:t xml:space="preserve"> أو</w:t>
      </w:r>
      <w:r>
        <w:rPr>
          <w:rtl/>
          <w:lang w:val="fr-CH"/>
        </w:rPr>
        <w:t> </w:t>
      </w:r>
      <w:r w:rsidRPr="00FA0FC2">
        <w:rPr>
          <w:rFonts w:hint="cs"/>
          <w:rtl/>
          <w:lang w:val="fr-CH"/>
        </w:rPr>
        <w:t>الجماعية لحقوق الإنسان. بيد أن اللجنة تذّكر بأن الهدف من ذلك هو تحديد</w:t>
      </w:r>
      <w:r>
        <w:rPr>
          <w:rFonts w:hint="cs"/>
          <w:rtl/>
          <w:lang w:val="fr-CH"/>
        </w:rPr>
        <w:t xml:space="preserve"> ما</w:t>
      </w:r>
      <w:r>
        <w:rPr>
          <w:rtl/>
          <w:lang w:val="fr-CH"/>
        </w:rPr>
        <w:t> </w:t>
      </w:r>
      <w:r w:rsidRPr="00FA0FC2">
        <w:rPr>
          <w:rFonts w:hint="cs"/>
          <w:rtl/>
          <w:lang w:val="fr-CH"/>
        </w:rPr>
        <w:t>إذا كان صاحب الشكوى سيتعرض شخصياً وعلى نحو فعلي ومتوقع لخطر التعذيب في البلد الذي سيعاد إليه. ويعني ذلك أن وجود نمط من الانتهاكات الفادحة</w:t>
      </w:r>
      <w:r>
        <w:rPr>
          <w:rFonts w:hint="cs"/>
          <w:rtl/>
          <w:lang w:val="fr-CH"/>
        </w:rPr>
        <w:t xml:space="preserve"> أو</w:t>
      </w:r>
      <w:r>
        <w:rPr>
          <w:rtl/>
          <w:lang w:val="fr-CH"/>
        </w:rPr>
        <w:t> </w:t>
      </w:r>
      <w:r w:rsidRPr="00FA0FC2">
        <w:rPr>
          <w:rFonts w:hint="cs"/>
          <w:rtl/>
          <w:lang w:val="fr-CH"/>
        </w:rPr>
        <w:t>الصارخة</w:t>
      </w:r>
      <w:r>
        <w:rPr>
          <w:rFonts w:hint="cs"/>
          <w:rtl/>
          <w:lang w:val="fr-CH"/>
        </w:rPr>
        <w:t xml:space="preserve"> أو</w:t>
      </w:r>
      <w:r>
        <w:rPr>
          <w:rtl/>
          <w:lang w:val="fr-CH"/>
        </w:rPr>
        <w:t> </w:t>
      </w:r>
      <w:r w:rsidRPr="00FA0FC2">
        <w:rPr>
          <w:rFonts w:hint="cs"/>
          <w:rtl/>
          <w:lang w:val="fr-CH"/>
        </w:rPr>
        <w:t>الجماعية لحقوق الإنسان في بلد</w:t>
      </w:r>
      <w:r>
        <w:rPr>
          <w:rFonts w:hint="cs"/>
          <w:rtl/>
          <w:lang w:val="fr-CH"/>
        </w:rPr>
        <w:t xml:space="preserve"> ما</w:t>
      </w:r>
      <w:r>
        <w:rPr>
          <w:rtl/>
          <w:lang w:val="fr-CH"/>
        </w:rPr>
        <w:t> </w:t>
      </w:r>
      <w:r>
        <w:rPr>
          <w:rFonts w:hint="cs"/>
          <w:rtl/>
          <w:lang w:val="fr-CH"/>
        </w:rPr>
        <w:t>لا</w:t>
      </w:r>
      <w:r>
        <w:rPr>
          <w:rtl/>
          <w:lang w:val="fr-CH"/>
        </w:rPr>
        <w:t> </w:t>
      </w:r>
      <w:r w:rsidRPr="00FA0FC2">
        <w:rPr>
          <w:rFonts w:hint="cs"/>
          <w:rtl/>
          <w:lang w:val="fr-CH"/>
        </w:rPr>
        <w:t>يشكل في حد ذاته سبباً كافياً لأن تقرر اللجنة أن شخصاً بعينه سيتعرض لخطر التعذيب لدى عودته إلى ذلك البلد، ويجب أن تتوافر أسباب إضافية تبين أن الفرد المعني سيواجه شخصياً هذا الخطر.</w:t>
      </w:r>
      <w:r>
        <w:rPr>
          <w:rFonts w:hint="cs"/>
          <w:rtl/>
          <w:lang w:val="fr-CH"/>
        </w:rPr>
        <w:t xml:space="preserve"> وفي</w:t>
      </w:r>
      <w:r>
        <w:rPr>
          <w:rtl/>
          <w:lang w:val="fr-CH"/>
        </w:rPr>
        <w:t> </w:t>
      </w:r>
      <w:r w:rsidRPr="00FA0FC2">
        <w:rPr>
          <w:rFonts w:hint="cs"/>
          <w:rtl/>
          <w:lang w:val="fr-CH"/>
        </w:rPr>
        <w:t>المقابل، فإن عدم وجود نمط ثابت من الانتهاكات الصارخة لحقوق الإنسان</w:t>
      </w:r>
      <w:r>
        <w:rPr>
          <w:rFonts w:hint="cs"/>
          <w:rtl/>
          <w:lang w:val="fr-CH"/>
        </w:rPr>
        <w:t xml:space="preserve"> لا</w:t>
      </w:r>
      <w:r>
        <w:rPr>
          <w:rtl/>
          <w:lang w:val="fr-CH"/>
        </w:rPr>
        <w:t> </w:t>
      </w:r>
      <w:r w:rsidRPr="00FA0FC2">
        <w:rPr>
          <w:rFonts w:hint="cs"/>
          <w:rtl/>
          <w:lang w:val="fr-CH"/>
        </w:rPr>
        <w:t>يعني أن الشخص</w:t>
      </w:r>
      <w:r>
        <w:rPr>
          <w:rFonts w:hint="cs"/>
          <w:rtl/>
          <w:lang w:val="fr-CH"/>
        </w:rPr>
        <w:t xml:space="preserve"> لا</w:t>
      </w:r>
      <w:r>
        <w:rPr>
          <w:rtl/>
          <w:lang w:val="fr-CH"/>
        </w:rPr>
        <w:t> </w:t>
      </w:r>
      <w:r w:rsidRPr="00FA0FC2">
        <w:rPr>
          <w:rFonts w:hint="cs"/>
          <w:rtl/>
          <w:lang w:val="fr-CH"/>
        </w:rPr>
        <w:t xml:space="preserve">يمكن أن يتعرض للتعذيب بحكم ظروفه الخاصة. </w:t>
      </w:r>
    </w:p>
    <w:p w:rsidR="00091373" w:rsidRPr="00FA0FC2" w:rsidRDefault="00091373" w:rsidP="00635785">
      <w:pPr>
        <w:pStyle w:val="SingleTxtGA"/>
        <w:spacing w:line="360" w:lineRule="exact"/>
        <w:rPr>
          <w:rFonts w:hint="cs"/>
          <w:rtl/>
          <w:lang w:val="fr-CH"/>
        </w:rPr>
      </w:pPr>
      <w:r w:rsidRPr="00FA0FC2">
        <w:rPr>
          <w:rFonts w:hint="cs"/>
          <w:rtl/>
          <w:lang w:val="fr-CH"/>
        </w:rPr>
        <w:t>9-4</w:t>
      </w:r>
      <w:r w:rsidRPr="00FA0FC2">
        <w:rPr>
          <w:rFonts w:hint="cs"/>
          <w:rtl/>
          <w:lang w:val="fr-CH"/>
        </w:rPr>
        <w:tab/>
        <w:t>وتذكر اللجنة بتعليقها العام رقم 1(1997) بشأن تنفيذ ال</w:t>
      </w:r>
      <w:r>
        <w:rPr>
          <w:rFonts w:hint="cs"/>
          <w:rtl/>
          <w:lang w:val="fr-CH"/>
        </w:rPr>
        <w:t>مادة</w:t>
      </w:r>
      <w:r>
        <w:rPr>
          <w:rtl/>
          <w:lang w:val="fr-CH"/>
        </w:rPr>
        <w:t> </w:t>
      </w:r>
      <w:r w:rsidRPr="00FA0FC2">
        <w:rPr>
          <w:rFonts w:hint="cs"/>
          <w:rtl/>
          <w:lang w:val="fr-CH"/>
        </w:rPr>
        <w:t>3 من الاتفاقية في سياق ال</w:t>
      </w:r>
      <w:r>
        <w:rPr>
          <w:rFonts w:hint="cs"/>
          <w:rtl/>
          <w:lang w:val="fr-CH"/>
        </w:rPr>
        <w:t>مادة</w:t>
      </w:r>
      <w:r>
        <w:rPr>
          <w:rtl/>
          <w:lang w:val="fr-CH"/>
        </w:rPr>
        <w:t> </w:t>
      </w:r>
      <w:r w:rsidRPr="00FA0FC2">
        <w:rPr>
          <w:rFonts w:hint="cs"/>
          <w:rtl/>
          <w:lang w:val="fr-CH"/>
        </w:rPr>
        <w:t>22</w:t>
      </w:r>
      <w:r w:rsidRPr="00FA0FC2">
        <w:rPr>
          <w:vertAlign w:val="superscript"/>
          <w:rtl/>
          <w:lang w:val="fr-CH"/>
        </w:rPr>
        <w:t>(</w:t>
      </w:r>
      <w:r w:rsidRPr="00FA0FC2">
        <w:rPr>
          <w:rStyle w:val="FootnoteReference"/>
          <w:rtl/>
          <w:lang w:val="fr-CH"/>
        </w:rPr>
        <w:footnoteReference w:id="243"/>
      </w:r>
      <w:r w:rsidRPr="00FA0FC2">
        <w:rPr>
          <w:vertAlign w:val="superscript"/>
          <w:rtl/>
          <w:lang w:val="fr-CH"/>
        </w:rPr>
        <w:t>)</w:t>
      </w:r>
      <w:r w:rsidRPr="00FA0FC2">
        <w:rPr>
          <w:rFonts w:hint="cs"/>
          <w:rtl/>
          <w:lang w:val="fr-CH"/>
        </w:rPr>
        <w:t xml:space="preserve"> الذي جاء فيه أن خطر التعذيب يجب أن يقيّم على أسس تتجاوز مجرد الافتراض</w:t>
      </w:r>
      <w:r>
        <w:rPr>
          <w:rFonts w:hint="cs"/>
          <w:rtl/>
          <w:lang w:val="fr-CH"/>
        </w:rPr>
        <w:t xml:space="preserve"> أو</w:t>
      </w:r>
      <w:r>
        <w:rPr>
          <w:rtl/>
          <w:lang w:val="fr-CH"/>
        </w:rPr>
        <w:t> </w:t>
      </w:r>
      <w:r w:rsidRPr="00FA0FC2">
        <w:rPr>
          <w:rFonts w:hint="cs"/>
          <w:rtl/>
          <w:lang w:val="fr-CH"/>
        </w:rPr>
        <w:t>الشك.</w:t>
      </w:r>
      <w:r>
        <w:rPr>
          <w:rFonts w:hint="cs"/>
          <w:rtl/>
          <w:lang w:val="fr-CH"/>
        </w:rPr>
        <w:t xml:space="preserve"> ولا</w:t>
      </w:r>
      <w:r>
        <w:rPr>
          <w:rtl/>
          <w:lang w:val="fr-CH"/>
        </w:rPr>
        <w:t> </w:t>
      </w:r>
      <w:r w:rsidRPr="00FA0FC2">
        <w:rPr>
          <w:rFonts w:hint="cs"/>
          <w:rtl/>
          <w:lang w:val="fr-CH"/>
        </w:rPr>
        <w:t>يُشترط أن يكون احتمال الخطر شديداً لكن اللجنة تذكر بأن عبء الإثبات عادة</w:t>
      </w:r>
      <w:r>
        <w:rPr>
          <w:rFonts w:hint="cs"/>
          <w:rtl/>
          <w:lang w:val="fr-CH"/>
        </w:rPr>
        <w:t xml:space="preserve"> ما</w:t>
      </w:r>
      <w:r>
        <w:rPr>
          <w:rtl/>
          <w:lang w:val="fr-CH"/>
        </w:rPr>
        <w:t> </w:t>
      </w:r>
      <w:r w:rsidRPr="00FA0FC2">
        <w:rPr>
          <w:rFonts w:hint="cs"/>
          <w:rtl/>
          <w:lang w:val="fr-CH"/>
        </w:rPr>
        <w:t>يقع على صاحب الشكوى الذي يجب عليه تقديم حجج يمكن الدفاع عنها تثبت أنه يواجه خطراً متوقعاً وحقيقياً وشخصياً. وبينما للجنة أن تقّيم بحرية، وفقاً لتعليقها العام، وقائع كل قضية بالاستناد إلى مجموعة كاملة من حيثياتها، فإنها تذكر بأنها ليست هيئة قضائية</w:t>
      </w:r>
      <w:r>
        <w:rPr>
          <w:rFonts w:hint="cs"/>
          <w:rtl/>
          <w:lang w:val="fr-CH"/>
        </w:rPr>
        <w:t xml:space="preserve"> أو</w:t>
      </w:r>
      <w:r>
        <w:rPr>
          <w:rtl/>
          <w:lang w:val="fr-CH"/>
        </w:rPr>
        <w:t> </w:t>
      </w:r>
      <w:r w:rsidRPr="00FA0FC2">
        <w:rPr>
          <w:rFonts w:hint="cs"/>
          <w:rtl/>
          <w:lang w:val="fr-CH"/>
        </w:rPr>
        <w:t>هيئة استئناف وبأن عليها أن تعطي وزناً كبيراً لنتائج الوقائع التي توصلت إليها أجهزة الدولة الطرف المعنية.</w:t>
      </w:r>
    </w:p>
    <w:p w:rsidR="00091373" w:rsidRPr="00FA0FC2" w:rsidRDefault="00091373" w:rsidP="00635785">
      <w:pPr>
        <w:pStyle w:val="SingleTxtGA"/>
        <w:spacing w:line="360" w:lineRule="exact"/>
        <w:rPr>
          <w:rFonts w:hint="cs"/>
          <w:spacing w:val="-2"/>
          <w:rtl/>
          <w:lang w:val="fr-CH"/>
        </w:rPr>
      </w:pPr>
      <w:r w:rsidRPr="00FA0FC2">
        <w:rPr>
          <w:rFonts w:hint="cs"/>
          <w:spacing w:val="-2"/>
          <w:rtl/>
          <w:lang w:val="fr-CH"/>
        </w:rPr>
        <w:t>9-5</w:t>
      </w:r>
      <w:r w:rsidRPr="00FA0FC2">
        <w:rPr>
          <w:rFonts w:hint="cs"/>
          <w:spacing w:val="-2"/>
          <w:rtl/>
          <w:lang w:val="fr-CH"/>
        </w:rPr>
        <w:tab/>
        <w:t>وفي هذه القضية، تشير اللجنة إلى ملاحظات الدولة الطرف بشأن حالة حقوق الإنسان في أوزبكستان وإلى استنتاجات سلطات الهجرة ومحكمة الهجرة التي تفيد أن الظروف السائدة في هذا البلد ليست في حدِّ ذاتها كافية لإثبات أن العودة القسرية لصاحب الشكوى إلى أوزبكستان تشكِّل انتهاكاً لل</w:t>
      </w:r>
      <w:r>
        <w:rPr>
          <w:rFonts w:hint="cs"/>
          <w:spacing w:val="-2"/>
          <w:rtl/>
          <w:lang w:val="fr-CH"/>
        </w:rPr>
        <w:t>مادة</w:t>
      </w:r>
      <w:r>
        <w:rPr>
          <w:spacing w:val="-2"/>
          <w:rtl/>
          <w:lang w:val="fr-CH"/>
        </w:rPr>
        <w:t> </w:t>
      </w:r>
      <w:r w:rsidRPr="00FA0FC2">
        <w:rPr>
          <w:rFonts w:hint="cs"/>
          <w:spacing w:val="-2"/>
          <w:rtl/>
          <w:lang w:val="fr-CH"/>
        </w:rPr>
        <w:t>3 من الاتفاقية. وقد أعربت اللجنة أيضاً عن شواغلها إزاء الأحداث التي وقعت في أنديجان في أيار/مايو 2005 وتصرف السلطات في أعقاب ذلك</w:t>
      </w:r>
      <w:r w:rsidRPr="00FA0FC2">
        <w:rPr>
          <w:spacing w:val="-2"/>
          <w:vertAlign w:val="superscript"/>
          <w:rtl/>
          <w:lang w:val="fr-CH"/>
        </w:rPr>
        <w:t>(</w:t>
      </w:r>
      <w:r w:rsidRPr="00FA0FC2">
        <w:rPr>
          <w:rStyle w:val="FootnoteReference"/>
          <w:spacing w:val="-2"/>
          <w:rtl/>
          <w:lang w:val="fr-CH"/>
        </w:rPr>
        <w:footnoteReference w:id="244"/>
      </w:r>
      <w:r w:rsidRPr="00FA0FC2">
        <w:rPr>
          <w:spacing w:val="-2"/>
          <w:vertAlign w:val="superscript"/>
          <w:rtl/>
          <w:lang w:val="fr-CH"/>
        </w:rPr>
        <w:t>)</w:t>
      </w:r>
      <w:r w:rsidRPr="00FA0FC2">
        <w:rPr>
          <w:rFonts w:hint="cs"/>
          <w:spacing w:val="-2"/>
          <w:rtl/>
          <w:lang w:val="fr-CH"/>
        </w:rPr>
        <w:t>. وأشارت اللجنة إلى قلقها إزاء الادعاءات العديدة والمستمرة بشأن الاستخدام الروتيني للتعذيب وغيره من ضروب المعاملة</w:t>
      </w:r>
      <w:r>
        <w:rPr>
          <w:rFonts w:hint="cs"/>
          <w:spacing w:val="-2"/>
          <w:rtl/>
          <w:lang w:val="fr-CH"/>
        </w:rPr>
        <w:t xml:space="preserve"> أو</w:t>
      </w:r>
      <w:r>
        <w:rPr>
          <w:spacing w:val="-2"/>
          <w:rtl/>
          <w:lang w:val="fr-CH"/>
        </w:rPr>
        <w:t> </w:t>
      </w:r>
      <w:r w:rsidRPr="00FA0FC2">
        <w:rPr>
          <w:rFonts w:hint="cs"/>
          <w:spacing w:val="-2"/>
          <w:rtl/>
          <w:lang w:val="fr-CH"/>
        </w:rPr>
        <w:t>العقوبة القاسية</w:t>
      </w:r>
      <w:r>
        <w:rPr>
          <w:rFonts w:hint="cs"/>
          <w:spacing w:val="-2"/>
          <w:rtl/>
          <w:lang w:val="fr-CH"/>
        </w:rPr>
        <w:t xml:space="preserve"> أو</w:t>
      </w:r>
      <w:r>
        <w:rPr>
          <w:spacing w:val="-2"/>
          <w:rtl/>
          <w:lang w:val="fr-CH"/>
        </w:rPr>
        <w:t> </w:t>
      </w:r>
      <w:r w:rsidRPr="00FA0FC2">
        <w:rPr>
          <w:rFonts w:hint="cs"/>
          <w:spacing w:val="-2"/>
          <w:rtl/>
          <w:lang w:val="fr-CH"/>
        </w:rPr>
        <w:t>اللاإنسانية</w:t>
      </w:r>
      <w:r>
        <w:rPr>
          <w:rFonts w:hint="cs"/>
          <w:spacing w:val="-2"/>
          <w:rtl/>
          <w:lang w:val="fr-CH"/>
        </w:rPr>
        <w:t xml:space="preserve"> أو</w:t>
      </w:r>
      <w:r>
        <w:rPr>
          <w:spacing w:val="-2"/>
          <w:rtl/>
          <w:lang w:val="fr-CH"/>
        </w:rPr>
        <w:t> </w:t>
      </w:r>
      <w:r w:rsidRPr="00FA0FC2">
        <w:rPr>
          <w:rFonts w:hint="cs"/>
          <w:spacing w:val="-2"/>
          <w:rtl/>
          <w:lang w:val="fr-CH"/>
        </w:rPr>
        <w:t>المهينة من جانب موظفي إنفاذ القانون والمكلفين بالتحقيق</w:t>
      </w:r>
      <w:r>
        <w:rPr>
          <w:rFonts w:hint="cs"/>
          <w:spacing w:val="-2"/>
          <w:rtl/>
          <w:lang w:val="fr-CH"/>
        </w:rPr>
        <w:t xml:space="preserve"> أو</w:t>
      </w:r>
      <w:r>
        <w:rPr>
          <w:spacing w:val="-2"/>
          <w:rtl/>
          <w:lang w:val="fr-CH"/>
        </w:rPr>
        <w:t> </w:t>
      </w:r>
      <w:r w:rsidRPr="00FA0FC2">
        <w:rPr>
          <w:rFonts w:hint="cs"/>
          <w:spacing w:val="-2"/>
          <w:rtl/>
          <w:lang w:val="fr-CH"/>
        </w:rPr>
        <w:t>بتحريض منهم</w:t>
      </w:r>
      <w:r>
        <w:rPr>
          <w:rFonts w:hint="cs"/>
          <w:spacing w:val="-2"/>
          <w:rtl/>
          <w:lang w:val="fr-CH"/>
        </w:rPr>
        <w:t xml:space="preserve"> أو</w:t>
      </w:r>
      <w:r>
        <w:rPr>
          <w:spacing w:val="-2"/>
          <w:rtl/>
          <w:lang w:val="fr-CH"/>
        </w:rPr>
        <w:t> </w:t>
      </w:r>
      <w:r w:rsidRPr="00FA0FC2">
        <w:rPr>
          <w:rFonts w:hint="cs"/>
          <w:spacing w:val="-2"/>
          <w:rtl/>
          <w:lang w:val="fr-CH"/>
        </w:rPr>
        <w:t>برضاهم وذلك في معظم الأحيان لانتزاع الاعترافات</w:t>
      </w:r>
      <w:r>
        <w:rPr>
          <w:rFonts w:hint="cs"/>
          <w:spacing w:val="-2"/>
          <w:rtl/>
          <w:lang w:val="fr-CH"/>
        </w:rPr>
        <w:t xml:space="preserve"> أو</w:t>
      </w:r>
      <w:r>
        <w:rPr>
          <w:spacing w:val="-2"/>
          <w:rtl/>
          <w:lang w:val="fr-CH"/>
        </w:rPr>
        <w:t> </w:t>
      </w:r>
      <w:r w:rsidRPr="00FA0FC2">
        <w:rPr>
          <w:rFonts w:hint="cs"/>
          <w:spacing w:val="-2"/>
          <w:rtl/>
          <w:lang w:val="fr-CH"/>
        </w:rPr>
        <w:t>المعلومات من أجل استخدامها في الإجراءات الجنائية.</w:t>
      </w:r>
    </w:p>
    <w:p w:rsidR="00091373" w:rsidRPr="00FA0FC2" w:rsidRDefault="00091373" w:rsidP="00635785">
      <w:pPr>
        <w:pStyle w:val="SingleTxtGA"/>
        <w:rPr>
          <w:rFonts w:hint="cs"/>
          <w:rtl/>
          <w:lang w:val="fr-CH"/>
        </w:rPr>
      </w:pPr>
      <w:r w:rsidRPr="00FA0FC2">
        <w:rPr>
          <w:rFonts w:hint="cs"/>
          <w:rtl/>
          <w:lang w:val="fr-CH"/>
        </w:rPr>
        <w:t>9-6</w:t>
      </w:r>
      <w:r w:rsidRPr="00FA0FC2">
        <w:rPr>
          <w:rFonts w:hint="cs"/>
          <w:rtl/>
          <w:lang w:val="fr-CH"/>
        </w:rPr>
        <w:tab/>
        <w:t>وتلاحظ اللجنة أن الدولة الطرف قد وجهت الانتباه إلى أوجه تضارب وتناقض في رواية صاحب الشكوى وادعاءاته تشكِّك في مصداقيته بوجه</w:t>
      </w:r>
      <w:r>
        <w:rPr>
          <w:rFonts w:hint="cs"/>
          <w:rtl/>
          <w:lang w:val="fr-CH"/>
        </w:rPr>
        <w:t xml:space="preserve"> عام</w:t>
      </w:r>
      <w:r>
        <w:rPr>
          <w:rtl/>
          <w:lang w:val="fr-CH"/>
        </w:rPr>
        <w:t xml:space="preserve"> وفي </w:t>
      </w:r>
      <w:r w:rsidRPr="00FA0FC2">
        <w:rPr>
          <w:rFonts w:hint="cs"/>
          <w:rtl/>
          <w:lang w:val="fr-CH"/>
        </w:rPr>
        <w:t>صحة ادعاءاته. وعلى وجه التحديد، قدَّم صاحب الشكوى هوية ووثائق مزوَّرة لدعم طلب اللجوء الأصلي الذي قدمه إلى مجلس الهجرة، وكانت الوثائق التي قدَّمها إلى محكمة الهجرة من أجل إثبات هويته الحقيقية المزعومة هي الأخرى غير موثوقة. ولذلك</w:t>
      </w:r>
      <w:r>
        <w:rPr>
          <w:rFonts w:hint="cs"/>
          <w:rtl/>
          <w:lang w:val="fr-CH"/>
        </w:rPr>
        <w:t xml:space="preserve"> لا</w:t>
      </w:r>
      <w:r>
        <w:rPr>
          <w:rtl/>
          <w:lang w:val="fr-CH"/>
        </w:rPr>
        <w:t> </w:t>
      </w:r>
      <w:r w:rsidRPr="00FA0FC2">
        <w:rPr>
          <w:rFonts w:hint="cs"/>
          <w:rtl/>
          <w:lang w:val="fr-CH"/>
        </w:rPr>
        <w:t>تزال الشكوك تحوم حول هويته الحقيقية. ووفقاً للدولة الطرف فإنه</w:t>
      </w:r>
      <w:r>
        <w:rPr>
          <w:rFonts w:hint="cs"/>
          <w:rtl/>
          <w:lang w:val="fr-CH"/>
        </w:rPr>
        <w:t xml:space="preserve"> لم</w:t>
      </w:r>
      <w:r>
        <w:rPr>
          <w:rtl/>
          <w:lang w:val="fr-CH"/>
        </w:rPr>
        <w:t> </w:t>
      </w:r>
      <w:r w:rsidRPr="00FA0FC2">
        <w:rPr>
          <w:rFonts w:hint="cs"/>
          <w:rtl/>
          <w:lang w:val="fr-CH"/>
        </w:rPr>
        <w:t>يتمكَّن من تقديم عناصر إثبات مكتوبة لدعم ادعاءاته التي جاء فيها أنه أُدين بالسجن لمدة ثلاث سنوات ومُنِعَ من السفر وظل ملزماً بالحضور يومياً إلى مركز الشرطة.</w:t>
      </w:r>
      <w:r>
        <w:rPr>
          <w:rFonts w:hint="cs"/>
          <w:rtl/>
          <w:lang w:val="fr-CH"/>
        </w:rPr>
        <w:t xml:space="preserve"> وفيما</w:t>
      </w:r>
      <w:r>
        <w:rPr>
          <w:rtl/>
          <w:lang w:val="fr-CH"/>
        </w:rPr>
        <w:t> </w:t>
      </w:r>
      <w:r w:rsidRPr="00FA0FC2">
        <w:rPr>
          <w:rFonts w:hint="cs"/>
          <w:rtl/>
          <w:lang w:val="fr-CH"/>
        </w:rPr>
        <w:t>يتعلَّق بإساءة المعاملة التي تعرَّض لها، اختلفت تصريحاته مع تقدم سير الإجراءات وتناولت في البداية أفعالاً أخرى غير أفعال التعذيب.</w:t>
      </w:r>
      <w:r>
        <w:rPr>
          <w:rFonts w:hint="cs"/>
          <w:rtl/>
          <w:lang w:val="fr-CH"/>
        </w:rPr>
        <w:t xml:space="preserve"> ولم</w:t>
      </w:r>
      <w:r>
        <w:rPr>
          <w:rtl/>
          <w:lang w:val="fr-CH"/>
        </w:rPr>
        <w:t> </w:t>
      </w:r>
      <w:r w:rsidRPr="00FA0FC2">
        <w:rPr>
          <w:rFonts w:hint="cs"/>
          <w:rtl/>
          <w:lang w:val="fr-CH"/>
        </w:rPr>
        <w:t>يتمكَّن صاحب الشكوى من تقديم معلومات تفصيلية كافية عن الأحداث التي وقعت في أيار/مايو 2005 في أنديجان وتراجع عن إفاداته الأولية بخصوص المكان الذي كانت توجد فيه كتيبته.</w:t>
      </w:r>
    </w:p>
    <w:p w:rsidR="00091373" w:rsidRPr="00FA0FC2" w:rsidRDefault="00091373" w:rsidP="00635785">
      <w:pPr>
        <w:pStyle w:val="SingleTxtGA"/>
        <w:rPr>
          <w:rFonts w:hint="cs"/>
          <w:rtl/>
          <w:lang w:val="fr-CH"/>
        </w:rPr>
      </w:pPr>
      <w:r w:rsidRPr="00FA0FC2">
        <w:rPr>
          <w:rFonts w:hint="cs"/>
          <w:rtl/>
          <w:lang w:val="fr-CH"/>
        </w:rPr>
        <w:t>9-7</w:t>
      </w:r>
      <w:r w:rsidRPr="00FA0FC2">
        <w:rPr>
          <w:rFonts w:hint="cs"/>
          <w:rtl/>
          <w:lang w:val="fr-CH"/>
        </w:rPr>
        <w:tab/>
        <w:t>وتلاحظ اللجنة أيضاً أن صاحب الشكوى يعترض على تقييم الدولة الطرف ويدفع بأنه</w:t>
      </w:r>
      <w:r>
        <w:rPr>
          <w:rFonts w:hint="cs"/>
          <w:rtl/>
          <w:lang w:val="fr-CH"/>
        </w:rPr>
        <w:t xml:space="preserve"> لم</w:t>
      </w:r>
      <w:r>
        <w:rPr>
          <w:rtl/>
          <w:lang w:val="fr-CH"/>
        </w:rPr>
        <w:t> </w:t>
      </w:r>
      <w:r w:rsidRPr="00FA0FC2">
        <w:rPr>
          <w:rFonts w:hint="cs"/>
          <w:rtl/>
          <w:lang w:val="fr-CH"/>
        </w:rPr>
        <w:t>يتمكَّن من الإفصاح عن هويته الحقيقية قبل مثوله أمام محكمة الهجرة لأنه كان يخشى من أن يعثر عليه جهاز الأمن الأوزبكي وينتقم منه وأنه قدَّم تفاصيل كافية تتعلَّق بالأحداث في أنديجان في أيار/مايو 2005 ومشاركته فيها وسجنه وتعرضه للتعذيب وإساءة المعاملة. وإن اضطراره إلى توضيح أقواله الأصلية</w:t>
      </w:r>
      <w:r>
        <w:rPr>
          <w:rFonts w:hint="cs"/>
          <w:rtl/>
          <w:lang w:val="fr-CH"/>
        </w:rPr>
        <w:t xml:space="preserve"> أو</w:t>
      </w:r>
      <w:r>
        <w:rPr>
          <w:rtl/>
          <w:lang w:val="fr-CH"/>
        </w:rPr>
        <w:t> </w:t>
      </w:r>
      <w:r w:rsidRPr="00FA0FC2">
        <w:rPr>
          <w:rFonts w:hint="cs"/>
          <w:rtl/>
          <w:lang w:val="fr-CH"/>
        </w:rPr>
        <w:t>تغييرها يُعزى إلى افتقاره إلى خلفية قانونية وخوفه لدى وصوله إلى السويد وإلى كون سلطات الهجرة</w:t>
      </w:r>
      <w:r>
        <w:rPr>
          <w:rFonts w:hint="cs"/>
          <w:rtl/>
          <w:lang w:val="fr-CH"/>
        </w:rPr>
        <w:t xml:space="preserve"> لم</w:t>
      </w:r>
      <w:r>
        <w:rPr>
          <w:rtl/>
          <w:lang w:val="fr-CH"/>
        </w:rPr>
        <w:t> </w:t>
      </w:r>
      <w:r w:rsidRPr="00FA0FC2">
        <w:rPr>
          <w:rFonts w:hint="cs"/>
          <w:rtl/>
          <w:lang w:val="fr-CH"/>
        </w:rPr>
        <w:t>تطرح عليه أسئلة محددة بقدر أكبر. ويؤكد صاحب الشكوى أن الشهادة الطبية الصادرة عن الصليب الأحمر السويدي وجميع المعلومات التي قدمها تثبت دون أي شك معقول أنه خضع للتعذيب في السجن.</w:t>
      </w:r>
    </w:p>
    <w:p w:rsidR="00091373" w:rsidRPr="00FA0FC2" w:rsidRDefault="00091373" w:rsidP="00635785">
      <w:pPr>
        <w:pStyle w:val="SingleTxtGA"/>
        <w:rPr>
          <w:rFonts w:hint="cs"/>
          <w:rtl/>
          <w:lang w:val="fr-CH"/>
        </w:rPr>
      </w:pPr>
      <w:r w:rsidRPr="00FA0FC2">
        <w:rPr>
          <w:rFonts w:hint="cs"/>
          <w:rtl/>
          <w:lang w:val="fr-CH"/>
        </w:rPr>
        <w:t>9-8</w:t>
      </w:r>
      <w:r w:rsidRPr="00FA0FC2">
        <w:rPr>
          <w:rFonts w:hint="cs"/>
          <w:rtl/>
          <w:lang w:val="fr-CH"/>
        </w:rPr>
        <w:tab/>
        <w:t>وتحيط اللجنة علماً بملاحظات الدولة الطرف التي تفيد أن صاحب الشكوى قدَّم هوية مزورة إلى مجلس الهجرة وأن المحكمة</w:t>
      </w:r>
      <w:r>
        <w:rPr>
          <w:rFonts w:hint="cs"/>
          <w:rtl/>
          <w:lang w:val="fr-CH"/>
        </w:rPr>
        <w:t xml:space="preserve"> لم</w:t>
      </w:r>
      <w:r>
        <w:rPr>
          <w:rtl/>
          <w:lang w:val="fr-CH"/>
        </w:rPr>
        <w:t> </w:t>
      </w:r>
      <w:r w:rsidRPr="00FA0FC2">
        <w:rPr>
          <w:rFonts w:hint="cs"/>
          <w:rtl/>
          <w:lang w:val="fr-CH"/>
        </w:rPr>
        <w:t>تتمكَّن بعد ذلك من تأكيد هويته الحقيقية المزعومة وأن صاحب الشكوى تراجع عن أقواله الأصلية في أكثر من مناسبة وأنه</w:t>
      </w:r>
      <w:r>
        <w:rPr>
          <w:rFonts w:hint="cs"/>
          <w:rtl/>
          <w:lang w:val="fr-CH"/>
        </w:rPr>
        <w:t xml:space="preserve"> لم</w:t>
      </w:r>
      <w:r>
        <w:rPr>
          <w:rtl/>
          <w:lang w:val="fr-CH"/>
        </w:rPr>
        <w:t> </w:t>
      </w:r>
      <w:r w:rsidRPr="00FA0FC2">
        <w:rPr>
          <w:rFonts w:hint="cs"/>
          <w:rtl/>
          <w:lang w:val="fr-CH"/>
        </w:rPr>
        <w:t>يكن قادراً على تقديم بعض المعلومات الأساسية عن أحداث أنديجان، مثل اسم الساحة الرئيسية التي تجمَّعت فيها المظاهرة وأنه</w:t>
      </w:r>
      <w:r>
        <w:rPr>
          <w:rFonts w:hint="cs"/>
          <w:rtl/>
          <w:lang w:val="fr-CH"/>
        </w:rPr>
        <w:t xml:space="preserve"> لم</w:t>
      </w:r>
      <w:r>
        <w:rPr>
          <w:rtl/>
          <w:lang w:val="fr-CH"/>
        </w:rPr>
        <w:t> </w:t>
      </w:r>
      <w:r w:rsidRPr="00FA0FC2">
        <w:rPr>
          <w:rFonts w:hint="cs"/>
          <w:rtl/>
          <w:lang w:val="fr-CH"/>
        </w:rPr>
        <w:t>يقدِّم أية وثيقة تتعلَّق بإدانته من قبل محكمة عسكرية ومنعه من السفر</w:t>
      </w:r>
      <w:r>
        <w:rPr>
          <w:rFonts w:hint="cs"/>
          <w:rtl/>
          <w:lang w:val="fr-CH"/>
        </w:rPr>
        <w:t xml:space="preserve"> ولم</w:t>
      </w:r>
      <w:r>
        <w:rPr>
          <w:rtl/>
          <w:lang w:val="fr-CH"/>
        </w:rPr>
        <w:t> </w:t>
      </w:r>
      <w:r w:rsidRPr="00FA0FC2">
        <w:rPr>
          <w:rFonts w:hint="cs"/>
          <w:rtl/>
          <w:lang w:val="fr-CH"/>
        </w:rPr>
        <w:t>يتمكن من تقديم وصف لهذه الوثائق، وأن ادعاءاته المتعلِّقة بأفعال التعذيب كانت غامضة</w:t>
      </w:r>
      <w:r>
        <w:rPr>
          <w:rFonts w:hint="cs"/>
          <w:rtl/>
          <w:lang w:val="fr-CH"/>
        </w:rPr>
        <w:t xml:space="preserve"> ولا</w:t>
      </w:r>
      <w:r>
        <w:rPr>
          <w:rtl/>
          <w:lang w:val="fr-CH"/>
        </w:rPr>
        <w:t> </w:t>
      </w:r>
      <w:r w:rsidRPr="00FA0FC2">
        <w:rPr>
          <w:rFonts w:hint="cs"/>
          <w:rtl/>
          <w:lang w:val="fr-CH"/>
        </w:rPr>
        <w:t>تتضمن تفاصيل بشأن ملابسات أعمال التعذيب التي خضع لها. وعلى الرغم من أن التقارير الطبية للصليب الأحمر السويدي تشير إلى وجود علامات على جسد صاحب الشكوى قد تكون ناجمة عن التعذيب، ومن أن السلطات أجرت بحذرٍ شديد عملية تقييم للمخاطر التي يمكن أن يتعرّض لها طالبو اللجوء الذين ينتمون إلى فئات معينة من أوزبكستان،</w:t>
      </w:r>
      <w:r>
        <w:rPr>
          <w:rFonts w:hint="cs"/>
          <w:rtl/>
          <w:lang w:val="fr-CH"/>
        </w:rPr>
        <w:t xml:space="preserve"> ولا</w:t>
      </w:r>
      <w:r>
        <w:rPr>
          <w:rtl/>
          <w:lang w:val="fr-CH"/>
        </w:rPr>
        <w:t> </w:t>
      </w:r>
      <w:r w:rsidRPr="00FA0FC2">
        <w:rPr>
          <w:rFonts w:hint="cs"/>
          <w:rtl/>
          <w:lang w:val="fr-CH"/>
        </w:rPr>
        <w:t>سيما الأشخاص الذين لديهم صلة من أي نوع كان بالأحداث التي وقعت في أنديجان، فإن صاحب الشكوى</w:t>
      </w:r>
      <w:r>
        <w:rPr>
          <w:rFonts w:hint="cs"/>
          <w:rtl/>
          <w:lang w:val="fr-CH"/>
        </w:rPr>
        <w:t xml:space="preserve"> لم</w:t>
      </w:r>
      <w:r>
        <w:rPr>
          <w:rtl/>
          <w:lang w:val="fr-CH"/>
        </w:rPr>
        <w:t> </w:t>
      </w:r>
      <w:r w:rsidRPr="00FA0FC2">
        <w:rPr>
          <w:rFonts w:hint="cs"/>
          <w:rtl/>
          <w:lang w:val="fr-CH"/>
        </w:rPr>
        <w:t>يقدِّم أدلة تثبت ادعاءاته المشاركة في أحداث أنديجان وسجنه ومحاكمته وإدانته. وتلاحظ اللجنة أنه على الرغم من ادعاءات صاحب الشكوى، فإن طفليه اللذين فرا في البداية مع زوجته إلى كازاخستان قد عادا إلى أوزبكستان ويعيشان هناك مع والديه، وأنه</w:t>
      </w:r>
      <w:r>
        <w:rPr>
          <w:rFonts w:hint="cs"/>
          <w:rtl/>
          <w:lang w:val="fr-CH"/>
        </w:rPr>
        <w:t xml:space="preserve"> لم</w:t>
      </w:r>
      <w:r>
        <w:rPr>
          <w:rtl/>
          <w:lang w:val="fr-CH"/>
        </w:rPr>
        <w:t> </w:t>
      </w:r>
      <w:r w:rsidRPr="00FA0FC2">
        <w:rPr>
          <w:rFonts w:hint="cs"/>
          <w:rtl/>
          <w:lang w:val="fr-CH"/>
        </w:rPr>
        <w:t>يبلِّغ عن أية أفعال ضد أفراد أسرته سوى</w:t>
      </w:r>
      <w:r>
        <w:rPr>
          <w:rFonts w:hint="cs"/>
          <w:rtl/>
          <w:lang w:val="fr-CH"/>
        </w:rPr>
        <w:t xml:space="preserve"> ما</w:t>
      </w:r>
      <w:r>
        <w:rPr>
          <w:rtl/>
          <w:lang w:val="fr-CH"/>
        </w:rPr>
        <w:t> </w:t>
      </w:r>
      <w:r w:rsidRPr="00FA0FC2">
        <w:rPr>
          <w:rFonts w:hint="cs"/>
          <w:rtl/>
          <w:lang w:val="fr-CH"/>
        </w:rPr>
        <w:t>طلبته الشرطة من معلومات عن مكان وجوده. ووفقاً لذلك، ترى اللجنة أن صاحب الشكوى</w:t>
      </w:r>
      <w:r>
        <w:rPr>
          <w:rFonts w:hint="cs"/>
          <w:rtl/>
          <w:lang w:val="fr-CH"/>
        </w:rPr>
        <w:t xml:space="preserve"> لم</w:t>
      </w:r>
      <w:r>
        <w:rPr>
          <w:rtl/>
          <w:lang w:val="fr-CH"/>
        </w:rPr>
        <w:t> </w:t>
      </w:r>
      <w:r w:rsidRPr="00FA0FC2">
        <w:rPr>
          <w:rFonts w:hint="cs"/>
          <w:rtl/>
          <w:lang w:val="fr-CH"/>
        </w:rPr>
        <w:t>يثبت بأدلة كافية ادعاءاته أنه سيواجه خطراً حقيقياً بالتعذيب في حال ترحيله إلى أوزبكستان.</w:t>
      </w:r>
    </w:p>
    <w:p w:rsidR="00091373" w:rsidRPr="00FA0FC2" w:rsidRDefault="00091373" w:rsidP="00635785">
      <w:pPr>
        <w:pStyle w:val="SingleTxtGA"/>
        <w:rPr>
          <w:rFonts w:hint="cs"/>
          <w:rtl/>
          <w:lang w:val="fr-CH"/>
        </w:rPr>
      </w:pPr>
      <w:r w:rsidRPr="00FA0FC2">
        <w:rPr>
          <w:rFonts w:hint="cs"/>
          <w:rtl/>
          <w:lang w:val="fr-CH"/>
        </w:rPr>
        <w:t>9-9</w:t>
      </w:r>
      <w:r w:rsidRPr="00FA0FC2">
        <w:rPr>
          <w:rFonts w:hint="cs"/>
          <w:rtl/>
          <w:lang w:val="fr-CH"/>
        </w:rPr>
        <w:tab/>
        <w:t>وفي ضوء</w:t>
      </w:r>
      <w:r>
        <w:rPr>
          <w:rFonts w:hint="cs"/>
          <w:rtl/>
          <w:lang w:val="fr-CH"/>
        </w:rPr>
        <w:t xml:space="preserve"> ما</w:t>
      </w:r>
      <w:r>
        <w:rPr>
          <w:rtl/>
          <w:lang w:val="fr-CH"/>
        </w:rPr>
        <w:t> </w:t>
      </w:r>
      <w:r w:rsidRPr="00FA0FC2">
        <w:rPr>
          <w:rFonts w:hint="cs"/>
          <w:rtl/>
          <w:lang w:val="fr-CH"/>
        </w:rPr>
        <w:t>تقدَّم، تخلص اللجنة إلى أن صاحب الشكوى</w:t>
      </w:r>
      <w:r>
        <w:rPr>
          <w:rFonts w:hint="cs"/>
          <w:rtl/>
          <w:lang w:val="fr-CH"/>
        </w:rPr>
        <w:t xml:space="preserve"> لم</w:t>
      </w:r>
      <w:r>
        <w:rPr>
          <w:rtl/>
          <w:lang w:val="fr-CH"/>
        </w:rPr>
        <w:t> </w:t>
      </w:r>
      <w:r w:rsidRPr="00FA0FC2">
        <w:rPr>
          <w:rFonts w:hint="cs"/>
          <w:rtl/>
          <w:lang w:val="fr-CH"/>
        </w:rPr>
        <w:t>يثبت أنه سيواجه في حالة طرده إلى بلده الأصلي خطراً متوقعاً وحقيقياً وشخصياً بالتعرُّض للتعذيب بالمعنى المقصود في ال</w:t>
      </w:r>
      <w:r>
        <w:rPr>
          <w:rFonts w:hint="cs"/>
          <w:rtl/>
          <w:lang w:val="fr-CH"/>
        </w:rPr>
        <w:t>مادة</w:t>
      </w:r>
      <w:r>
        <w:rPr>
          <w:rtl/>
          <w:lang w:val="fr-CH"/>
        </w:rPr>
        <w:t> </w:t>
      </w:r>
      <w:r w:rsidRPr="00FA0FC2">
        <w:rPr>
          <w:rFonts w:hint="cs"/>
          <w:rtl/>
          <w:lang w:val="fr-CH"/>
        </w:rPr>
        <w:t>3 من الاتفاقية،</w:t>
      </w:r>
      <w:r>
        <w:rPr>
          <w:rFonts w:hint="cs"/>
          <w:rtl/>
          <w:lang w:val="fr-CH"/>
        </w:rPr>
        <w:t xml:space="preserve"> بما</w:t>
      </w:r>
      <w:r>
        <w:rPr>
          <w:rtl/>
          <w:lang w:val="fr-CH"/>
        </w:rPr>
        <w:t> </w:t>
      </w:r>
      <w:r w:rsidRPr="00FA0FC2">
        <w:rPr>
          <w:rFonts w:hint="cs"/>
          <w:rtl/>
          <w:lang w:val="fr-CH"/>
        </w:rPr>
        <w:t>يحمل اللجنة على أن تخلص إلى نتيجة مخالفة لتلك التي خلصت إليها سلطات الدولة الطرف ومحاكمها المختصة بالهجرة.</w:t>
      </w:r>
    </w:p>
    <w:p w:rsidR="00091373" w:rsidRPr="00FA0FC2" w:rsidRDefault="00091373" w:rsidP="00635785">
      <w:pPr>
        <w:pStyle w:val="SingleTxtGA"/>
        <w:rPr>
          <w:rFonts w:hint="cs"/>
          <w:rtl/>
          <w:lang w:val="fr-CH"/>
        </w:rPr>
      </w:pPr>
      <w:r w:rsidRPr="00FA0FC2">
        <w:rPr>
          <w:rFonts w:hint="cs"/>
          <w:rtl/>
          <w:lang w:val="fr-CH"/>
        </w:rPr>
        <w:t>10-</w:t>
      </w:r>
      <w:r w:rsidRPr="00FA0FC2">
        <w:rPr>
          <w:rFonts w:hint="cs"/>
          <w:rtl/>
          <w:lang w:val="fr-CH"/>
        </w:rPr>
        <w:tab/>
        <w:t>وبناءً على ذلك، فإن لجنة مناهضة التعذيب،</w:t>
      </w:r>
      <w:r>
        <w:rPr>
          <w:rFonts w:hint="cs"/>
          <w:rtl/>
          <w:lang w:val="fr-CH"/>
        </w:rPr>
        <w:t xml:space="preserve"> إذ</w:t>
      </w:r>
      <w:r>
        <w:rPr>
          <w:rtl/>
          <w:lang w:val="fr-CH"/>
        </w:rPr>
        <w:t> </w:t>
      </w:r>
      <w:r>
        <w:rPr>
          <w:rFonts w:hint="cs"/>
          <w:rtl/>
          <w:lang w:val="fr-CH"/>
        </w:rPr>
        <w:t xml:space="preserve">تتصرف </w:t>
      </w:r>
      <w:r w:rsidRPr="00FA0FC2">
        <w:rPr>
          <w:rFonts w:hint="cs"/>
          <w:rtl/>
          <w:lang w:val="fr-CH"/>
        </w:rPr>
        <w:t>بموجب الفقرة 7 من ال</w:t>
      </w:r>
      <w:r>
        <w:rPr>
          <w:rFonts w:hint="cs"/>
          <w:rtl/>
          <w:lang w:val="fr-CH"/>
        </w:rPr>
        <w:t>مادة</w:t>
      </w:r>
      <w:r>
        <w:rPr>
          <w:rtl/>
          <w:lang w:val="fr-CH"/>
        </w:rPr>
        <w:t> </w:t>
      </w:r>
      <w:r w:rsidRPr="00FA0FC2">
        <w:rPr>
          <w:rFonts w:hint="cs"/>
          <w:rtl/>
          <w:lang w:val="fr-CH"/>
        </w:rPr>
        <w:t>22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المهينة، ترى أن ترحيل الدولة الطرف لصاحب الشكوى إلى أوزبكستان</w:t>
      </w:r>
      <w:r>
        <w:rPr>
          <w:rFonts w:hint="cs"/>
          <w:rtl/>
          <w:lang w:val="fr-CH"/>
        </w:rPr>
        <w:t xml:space="preserve"> لا</w:t>
      </w:r>
      <w:r>
        <w:rPr>
          <w:rtl/>
          <w:lang w:val="fr-CH"/>
        </w:rPr>
        <w:t> </w:t>
      </w:r>
      <w:r w:rsidRPr="00FA0FC2">
        <w:rPr>
          <w:rFonts w:hint="cs"/>
          <w:rtl/>
          <w:lang w:val="fr-CH"/>
        </w:rPr>
        <w:t>يشكِّل خرقاً لل</w:t>
      </w:r>
      <w:r>
        <w:rPr>
          <w:rFonts w:hint="cs"/>
          <w:rtl/>
          <w:lang w:val="fr-CH"/>
        </w:rPr>
        <w:t>مادة</w:t>
      </w:r>
      <w:r>
        <w:rPr>
          <w:rtl/>
          <w:lang w:val="fr-CH"/>
        </w:rPr>
        <w:t> </w:t>
      </w:r>
      <w:r w:rsidRPr="00FA0FC2">
        <w:rPr>
          <w:rFonts w:hint="cs"/>
          <w:rtl/>
          <w:lang w:val="fr-CH"/>
        </w:rPr>
        <w:t>3 من الاتفاقية.</w:t>
      </w:r>
    </w:p>
    <w:p w:rsidR="00091373" w:rsidRPr="00FA0FC2" w:rsidRDefault="00091373" w:rsidP="00635785">
      <w:pPr>
        <w:pStyle w:val="SingleTxtGA"/>
        <w:rPr>
          <w:szCs w:val="20"/>
          <w:rtl/>
        </w:rPr>
        <w:sectPr w:rsidR="00091373" w:rsidRPr="00FA0FC2" w:rsidSect="00091373">
          <w:footnotePr>
            <w:numFmt w:val="arabicAbjad"/>
            <w:numRestart w:val="eachSect"/>
          </w:footnotePr>
          <w:endnotePr>
            <w:numFmt w:val="decimal"/>
          </w:endnotePr>
          <w:pgSz w:w="11906" w:h="16838" w:code="9"/>
          <w:pgMar w:top="1701" w:right="1134" w:bottom="2268" w:left="1134" w:header="1134" w:footer="1701" w:gutter="0"/>
          <w:cols w:space="708"/>
          <w:bidi/>
          <w:rtlGutter/>
          <w:docGrid w:linePitch="360"/>
        </w:sectPr>
      </w:pPr>
    </w:p>
    <w:p w:rsidR="00091373" w:rsidRPr="00B9089B" w:rsidRDefault="00091373" w:rsidP="00091373">
      <w:pPr>
        <w:pStyle w:val="H1GA"/>
        <w:spacing w:before="120"/>
        <w:rPr>
          <w:rFonts w:hint="cs"/>
          <w:i/>
          <w:iCs/>
          <w:rtl/>
          <w:lang w:val="fr-CH"/>
        </w:rPr>
      </w:pPr>
      <w:r w:rsidRPr="00FA0FC2">
        <w:rPr>
          <w:rtl/>
          <w:lang w:val="fr-CH"/>
        </w:rPr>
        <w:tab/>
      </w:r>
      <w:r>
        <w:rPr>
          <w:rFonts w:hint="cs"/>
          <w:rtl/>
          <w:lang w:val="fr-CH"/>
        </w:rPr>
        <w:tab/>
        <w:t xml:space="preserve">البلاغ رقم 464/2011: </w:t>
      </w:r>
      <w:r>
        <w:rPr>
          <w:rFonts w:hint="cs"/>
          <w:i/>
          <w:iCs/>
          <w:rtl/>
          <w:lang w:val="fr-CH"/>
        </w:rPr>
        <w:t xml:space="preserve">ك. </w:t>
      </w:r>
      <w:r w:rsidRPr="00B9089B">
        <w:rPr>
          <w:rFonts w:hint="cs"/>
          <w:i/>
          <w:iCs/>
          <w:sz w:val="30"/>
          <w:szCs w:val="30"/>
          <w:rtl/>
          <w:lang w:val="fr-CH"/>
        </w:rPr>
        <w:t>ﻫ</w:t>
      </w:r>
      <w:r>
        <w:rPr>
          <w:rFonts w:hint="cs"/>
          <w:i/>
          <w:iCs/>
          <w:rtl/>
          <w:lang w:val="fr-CH"/>
        </w:rPr>
        <w:t>. ضد الدانمرك</w:t>
      </w:r>
    </w:p>
    <w:p w:rsidR="00091373" w:rsidRPr="00635785" w:rsidRDefault="00091373" w:rsidP="00635785">
      <w:pPr>
        <w:bidi/>
        <w:spacing w:after="120" w:line="380" w:lineRule="exact"/>
        <w:ind w:left="4682" w:right="1247" w:hanging="2754"/>
        <w:rPr>
          <w:rFonts w:cs="Traditional Arabic" w:hint="cs"/>
          <w:sz w:val="20"/>
          <w:szCs w:val="30"/>
          <w:rtl/>
          <w:lang w:val="fr-CH"/>
        </w:rPr>
      </w:pPr>
      <w:r w:rsidRPr="00635785">
        <w:rPr>
          <w:rFonts w:cs="Traditional Arabic" w:hint="cs"/>
          <w:i/>
          <w:iCs/>
          <w:sz w:val="20"/>
          <w:szCs w:val="30"/>
          <w:rtl/>
          <w:lang w:val="fr-CH"/>
        </w:rPr>
        <w:t>المقدّم من</w:t>
      </w:r>
      <w:r w:rsidRPr="00635785">
        <w:rPr>
          <w:rFonts w:cs="Traditional Arabic" w:hint="cs"/>
          <w:sz w:val="20"/>
          <w:szCs w:val="30"/>
          <w:rtl/>
          <w:lang w:val="fr-CH"/>
        </w:rPr>
        <w:t>:</w:t>
      </w:r>
      <w:r w:rsidRPr="00635785">
        <w:rPr>
          <w:rFonts w:cs="Traditional Arabic" w:hint="cs"/>
          <w:sz w:val="20"/>
          <w:szCs w:val="30"/>
          <w:rtl/>
          <w:lang w:val="fr-CH"/>
        </w:rPr>
        <w:tab/>
        <w:t>ك. ﻫ. (يمثِّله المحامي نيلز إيريك هانسن)</w:t>
      </w:r>
    </w:p>
    <w:p w:rsidR="00091373" w:rsidRPr="00635785" w:rsidRDefault="00091373" w:rsidP="00635785">
      <w:pPr>
        <w:bidi/>
        <w:spacing w:after="120" w:line="380" w:lineRule="exact"/>
        <w:ind w:left="4682" w:right="1247" w:hanging="2754"/>
        <w:rPr>
          <w:rFonts w:cs="Traditional Arabic" w:hint="cs"/>
          <w:sz w:val="20"/>
          <w:szCs w:val="30"/>
          <w:rtl/>
          <w:lang w:val="fr-CH"/>
        </w:rPr>
      </w:pPr>
      <w:r w:rsidRPr="00635785">
        <w:rPr>
          <w:rFonts w:cs="Traditional Arabic" w:hint="cs"/>
          <w:i/>
          <w:iCs/>
          <w:sz w:val="20"/>
          <w:szCs w:val="30"/>
          <w:rtl/>
          <w:lang w:val="fr-CH"/>
        </w:rPr>
        <w:t>الشخص المدّعى أنه ضحية</w:t>
      </w:r>
      <w:r w:rsidRPr="00635785">
        <w:rPr>
          <w:rFonts w:cs="Traditional Arabic" w:hint="cs"/>
          <w:sz w:val="20"/>
          <w:szCs w:val="30"/>
          <w:rtl/>
          <w:lang w:val="fr-CH"/>
        </w:rPr>
        <w:t>:</w:t>
      </w:r>
      <w:r w:rsidRPr="00635785">
        <w:rPr>
          <w:rFonts w:cs="Traditional Arabic" w:hint="cs"/>
          <w:sz w:val="20"/>
          <w:szCs w:val="30"/>
          <w:rtl/>
          <w:lang w:val="fr-CH"/>
        </w:rPr>
        <w:tab/>
        <w:t>صاحب الشكوى</w:t>
      </w:r>
    </w:p>
    <w:p w:rsidR="00091373" w:rsidRPr="00635785" w:rsidRDefault="00091373" w:rsidP="00635785">
      <w:pPr>
        <w:bidi/>
        <w:spacing w:after="120" w:line="380" w:lineRule="exact"/>
        <w:ind w:left="4682" w:right="1247" w:hanging="2754"/>
        <w:rPr>
          <w:rFonts w:cs="Traditional Arabic" w:hint="cs"/>
          <w:sz w:val="20"/>
          <w:szCs w:val="30"/>
          <w:rtl/>
          <w:lang w:val="fr-CH"/>
        </w:rPr>
      </w:pPr>
      <w:r w:rsidRPr="00635785">
        <w:rPr>
          <w:rFonts w:cs="Traditional Arabic" w:hint="cs"/>
          <w:i/>
          <w:iCs/>
          <w:sz w:val="20"/>
          <w:szCs w:val="30"/>
          <w:rtl/>
          <w:lang w:val="fr-CH"/>
        </w:rPr>
        <w:t>الدولة الطرف</w:t>
      </w:r>
      <w:r w:rsidRPr="00635785">
        <w:rPr>
          <w:rFonts w:cs="Traditional Arabic" w:hint="cs"/>
          <w:sz w:val="20"/>
          <w:szCs w:val="30"/>
          <w:rtl/>
          <w:lang w:val="fr-CH"/>
        </w:rPr>
        <w:t>:</w:t>
      </w:r>
      <w:r w:rsidRPr="00635785">
        <w:rPr>
          <w:rFonts w:cs="Traditional Arabic" w:hint="cs"/>
          <w:sz w:val="20"/>
          <w:szCs w:val="30"/>
          <w:rtl/>
          <w:lang w:val="fr-CH"/>
        </w:rPr>
        <w:tab/>
        <w:t>الدانمرك</w:t>
      </w:r>
    </w:p>
    <w:p w:rsidR="00091373" w:rsidRPr="00635785" w:rsidRDefault="00091373" w:rsidP="00635785">
      <w:pPr>
        <w:bidi/>
        <w:spacing w:after="120" w:line="380" w:lineRule="exact"/>
        <w:ind w:left="4682" w:right="1247" w:hanging="2754"/>
        <w:rPr>
          <w:rFonts w:cs="Traditional Arabic" w:hint="cs"/>
          <w:sz w:val="20"/>
          <w:szCs w:val="30"/>
          <w:rtl/>
          <w:lang w:val="fr-CH"/>
        </w:rPr>
      </w:pPr>
      <w:r w:rsidRPr="00635785">
        <w:rPr>
          <w:rFonts w:cs="Traditional Arabic" w:hint="cs"/>
          <w:i/>
          <w:iCs/>
          <w:sz w:val="20"/>
          <w:szCs w:val="30"/>
          <w:rtl/>
          <w:lang w:val="fr-CH"/>
        </w:rPr>
        <w:t>تاريخ تقديم الشكوى</w:t>
      </w:r>
      <w:r w:rsidRPr="00635785">
        <w:rPr>
          <w:rFonts w:cs="Traditional Arabic" w:hint="cs"/>
          <w:sz w:val="20"/>
          <w:szCs w:val="30"/>
          <w:rtl/>
          <w:lang w:val="fr-CH"/>
        </w:rPr>
        <w:t>:</w:t>
      </w:r>
      <w:r w:rsidRPr="00635785">
        <w:rPr>
          <w:rFonts w:cs="Traditional Arabic" w:hint="cs"/>
          <w:sz w:val="20"/>
          <w:szCs w:val="30"/>
          <w:rtl/>
          <w:lang w:val="fr-CH"/>
        </w:rPr>
        <w:tab/>
        <w:t>7 شباط/فبراير 2011 (تاريخ الرسالة الأولى)</w:t>
      </w:r>
    </w:p>
    <w:p w:rsidR="00091373" w:rsidRPr="00FA0FC2" w:rsidRDefault="00091373" w:rsidP="00091373">
      <w:pPr>
        <w:pStyle w:val="SingleTxtGA"/>
        <w:rPr>
          <w:rFonts w:hint="cs"/>
          <w:rtl/>
          <w:lang w:val="fr-CH"/>
        </w:rPr>
      </w:pPr>
      <w:r w:rsidRPr="00FA0FC2">
        <w:rPr>
          <w:i/>
          <w:iCs/>
          <w:rtl/>
          <w:lang w:val="fr-CH"/>
        </w:rPr>
        <w:tab/>
      </w:r>
      <w:r w:rsidRPr="00FA0FC2">
        <w:rPr>
          <w:rFonts w:hint="cs"/>
          <w:i/>
          <w:iCs/>
          <w:rtl/>
          <w:lang w:val="fr-CH"/>
        </w:rPr>
        <w:t>إن لجنة مناهضة التعذيب</w:t>
      </w:r>
      <w:r w:rsidRPr="00FA0FC2">
        <w:rPr>
          <w:rFonts w:hint="cs"/>
          <w:rtl/>
          <w:lang w:val="fr-CH"/>
        </w:rPr>
        <w:t>، المنشأة بموجب ال</w:t>
      </w:r>
      <w:r>
        <w:rPr>
          <w:rFonts w:hint="cs"/>
          <w:rtl/>
          <w:lang w:val="fr-CH"/>
        </w:rPr>
        <w:t>مادة</w:t>
      </w:r>
      <w:r>
        <w:rPr>
          <w:rtl/>
          <w:lang w:val="fr-CH"/>
        </w:rPr>
        <w:t> </w:t>
      </w:r>
      <w:r w:rsidRPr="00FA0FC2">
        <w:rPr>
          <w:rFonts w:hint="cs"/>
          <w:rtl/>
          <w:lang w:val="fr-CH"/>
        </w:rPr>
        <w:t>17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المهينة،</w:t>
      </w:r>
    </w:p>
    <w:p w:rsidR="00091373" w:rsidRPr="00FA0FC2" w:rsidRDefault="00091373" w:rsidP="00091373">
      <w:pPr>
        <w:pStyle w:val="SingleTxtGA"/>
        <w:rPr>
          <w:rFonts w:hint="cs"/>
          <w:rtl/>
          <w:lang w:val="fr-CH"/>
        </w:rPr>
      </w:pPr>
      <w:r w:rsidRPr="00FA0FC2">
        <w:rPr>
          <w:i/>
          <w:iCs/>
          <w:rtl/>
          <w:lang w:val="fr-CH"/>
        </w:rPr>
        <w:tab/>
      </w:r>
      <w:r w:rsidRPr="00FA0FC2">
        <w:rPr>
          <w:rFonts w:hint="cs"/>
          <w:i/>
          <w:iCs/>
          <w:rtl/>
          <w:lang w:val="fr-CH"/>
        </w:rPr>
        <w:t>وقد اجتمعت</w:t>
      </w:r>
      <w:r w:rsidRPr="00FA0FC2">
        <w:rPr>
          <w:rFonts w:hint="cs"/>
          <w:rtl/>
          <w:lang w:val="fr-CH"/>
        </w:rPr>
        <w:t xml:space="preserve"> في 23 تشرين الثاني/نوفمبر 2012،</w:t>
      </w:r>
    </w:p>
    <w:p w:rsidR="00091373" w:rsidRPr="00FA0FC2" w:rsidRDefault="00091373" w:rsidP="00091373">
      <w:pPr>
        <w:pStyle w:val="SingleTxtGA"/>
        <w:rPr>
          <w:rFonts w:hint="cs"/>
          <w:rtl/>
          <w:lang w:val="fr-CH"/>
        </w:rPr>
      </w:pPr>
      <w:r w:rsidRPr="00FA0FC2">
        <w:rPr>
          <w:i/>
          <w:iCs/>
          <w:rtl/>
          <w:lang w:val="fr-CH"/>
        </w:rPr>
        <w:tab/>
      </w:r>
      <w:r w:rsidRPr="00FA0FC2">
        <w:rPr>
          <w:rFonts w:hint="cs"/>
          <w:i/>
          <w:iCs/>
          <w:rtl/>
          <w:lang w:val="fr-CH"/>
        </w:rPr>
        <w:t xml:space="preserve">وقد فرغت </w:t>
      </w:r>
      <w:r w:rsidRPr="00FA0FC2">
        <w:rPr>
          <w:rFonts w:hint="cs"/>
          <w:rtl/>
          <w:lang w:val="fr-CH"/>
        </w:rPr>
        <w:t xml:space="preserve">من النظر في الشكوى رقم 464/2011، المقدَّمة إلى لجنة مناهضة التعذيب من نيلز إيريك هانسن نيابة عن ك. </w:t>
      </w:r>
      <w:r w:rsidRPr="00FA0FC2">
        <w:rPr>
          <w:rFonts w:hint="cs"/>
          <w:sz w:val="30"/>
          <w:rtl/>
          <w:lang w:val="fr-CH"/>
        </w:rPr>
        <w:t>ﻫ</w:t>
      </w:r>
      <w:r w:rsidRPr="00FA0FC2">
        <w:rPr>
          <w:rFonts w:hint="cs"/>
          <w:rtl/>
          <w:lang w:val="fr-CH"/>
        </w:rPr>
        <w:t>. بموجب ال</w:t>
      </w:r>
      <w:r>
        <w:rPr>
          <w:rFonts w:hint="cs"/>
          <w:rtl/>
          <w:lang w:val="fr-CH"/>
        </w:rPr>
        <w:t>مادة</w:t>
      </w:r>
      <w:r>
        <w:rPr>
          <w:rtl/>
          <w:lang w:val="fr-CH"/>
        </w:rPr>
        <w:t> </w:t>
      </w:r>
      <w:r w:rsidRPr="00FA0FC2">
        <w:rPr>
          <w:rFonts w:hint="cs"/>
          <w:rtl/>
          <w:lang w:val="fr-CH"/>
        </w:rPr>
        <w:t>22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 xml:space="preserve">المهينة، </w:t>
      </w:r>
    </w:p>
    <w:p w:rsidR="00091373" w:rsidRPr="00FA0FC2" w:rsidRDefault="00091373" w:rsidP="00091373">
      <w:pPr>
        <w:pStyle w:val="SingleTxtGA"/>
        <w:rPr>
          <w:rFonts w:hint="cs"/>
          <w:rtl/>
          <w:lang w:val="fr-CH"/>
        </w:rPr>
      </w:pPr>
      <w:r w:rsidRPr="00FA0FC2">
        <w:rPr>
          <w:i/>
          <w:iCs/>
          <w:rtl/>
          <w:lang w:val="fr-CH"/>
        </w:rPr>
        <w:tab/>
      </w:r>
      <w:r w:rsidRPr="00FA0FC2">
        <w:rPr>
          <w:rFonts w:hint="cs"/>
          <w:i/>
          <w:iCs/>
          <w:rtl/>
          <w:lang w:val="fr-CH"/>
        </w:rPr>
        <w:t>وقد وضعت في اعتبارها</w:t>
      </w:r>
      <w:r w:rsidRPr="00FA0FC2">
        <w:rPr>
          <w:rFonts w:hint="cs"/>
          <w:rtl/>
          <w:lang w:val="fr-CH"/>
        </w:rPr>
        <w:t xml:space="preserve"> جميع المعلومات التي أتاحها لها صاحب الشكوى ومحاميه والدولة الطرف، </w:t>
      </w:r>
    </w:p>
    <w:p w:rsidR="00091373" w:rsidRPr="00FA0FC2" w:rsidRDefault="00091373" w:rsidP="00091373">
      <w:pPr>
        <w:pStyle w:val="SingleTxtGA"/>
        <w:rPr>
          <w:rFonts w:hint="cs"/>
          <w:rtl/>
          <w:lang w:val="fr-CH"/>
        </w:rPr>
      </w:pPr>
      <w:r w:rsidRPr="00FA0FC2">
        <w:rPr>
          <w:rFonts w:hint="cs"/>
          <w:rtl/>
          <w:lang w:val="fr-CH"/>
        </w:rPr>
        <w:tab/>
      </w:r>
      <w:r w:rsidRPr="00FA0FC2">
        <w:rPr>
          <w:rFonts w:hint="cs"/>
          <w:i/>
          <w:iCs/>
          <w:rtl/>
          <w:lang w:val="fr-CH"/>
        </w:rPr>
        <w:t>تعتمد</w:t>
      </w:r>
      <w:r>
        <w:rPr>
          <w:rFonts w:hint="cs"/>
          <w:i/>
          <w:iCs/>
          <w:rtl/>
          <w:lang w:val="fr-CH"/>
        </w:rPr>
        <w:t xml:space="preserve"> </w:t>
      </w:r>
      <w:r w:rsidRPr="002161DA">
        <w:rPr>
          <w:rFonts w:hint="cs"/>
          <w:rtl/>
          <w:lang w:val="fr-CH"/>
        </w:rPr>
        <w:t>ما</w:t>
      </w:r>
      <w:r>
        <w:rPr>
          <w:i/>
          <w:iCs/>
          <w:rtl/>
          <w:lang w:val="fr-CH"/>
        </w:rPr>
        <w:t> </w:t>
      </w:r>
      <w:r w:rsidRPr="00FA0FC2">
        <w:rPr>
          <w:rFonts w:hint="cs"/>
          <w:rtl/>
          <w:lang w:val="fr-CH"/>
        </w:rPr>
        <w:t>يلي:</w:t>
      </w:r>
    </w:p>
    <w:p w:rsidR="00091373" w:rsidRPr="00FA0FC2" w:rsidRDefault="00091373" w:rsidP="00091373">
      <w:pPr>
        <w:pStyle w:val="H1GA"/>
        <w:rPr>
          <w:rFonts w:hint="cs"/>
          <w:rtl/>
          <w:lang w:val="fr-CH"/>
        </w:rPr>
      </w:pPr>
      <w:r w:rsidRPr="00FA0FC2">
        <w:rPr>
          <w:rtl/>
          <w:lang w:val="fr-CH"/>
        </w:rPr>
        <w:tab/>
      </w:r>
      <w:r w:rsidRPr="00FA0FC2">
        <w:rPr>
          <w:rFonts w:hint="cs"/>
          <w:rtl/>
          <w:lang w:val="fr-CH"/>
        </w:rPr>
        <w:tab/>
        <w:t>قرار بموجب الفقرة 7 من ال</w:t>
      </w:r>
      <w:r>
        <w:rPr>
          <w:rFonts w:hint="cs"/>
          <w:rtl/>
          <w:lang w:val="fr-CH"/>
        </w:rPr>
        <w:t>مادة</w:t>
      </w:r>
      <w:r>
        <w:rPr>
          <w:rtl/>
          <w:lang w:val="fr-CH"/>
        </w:rPr>
        <w:t> </w:t>
      </w:r>
      <w:r w:rsidRPr="00FA0FC2">
        <w:rPr>
          <w:rFonts w:hint="cs"/>
          <w:rtl/>
          <w:lang w:val="fr-CH"/>
        </w:rPr>
        <w:t>22 من اتفاقية مناهضة التعذيب</w:t>
      </w:r>
    </w:p>
    <w:p w:rsidR="00091373" w:rsidRPr="00FA0FC2" w:rsidRDefault="00091373" w:rsidP="00091373">
      <w:pPr>
        <w:pStyle w:val="SingleTxtGA"/>
        <w:rPr>
          <w:rFonts w:hint="cs"/>
          <w:rtl/>
          <w:lang w:val="fr-CH"/>
        </w:rPr>
      </w:pPr>
      <w:r w:rsidRPr="00FA0FC2">
        <w:rPr>
          <w:rFonts w:hint="cs"/>
          <w:rtl/>
          <w:lang w:val="fr-CH"/>
        </w:rPr>
        <w:t>1-1</w:t>
      </w:r>
      <w:r w:rsidRPr="00FA0FC2">
        <w:rPr>
          <w:rFonts w:hint="cs"/>
          <w:rtl/>
          <w:lang w:val="fr-CH"/>
        </w:rPr>
        <w:tab/>
        <w:t xml:space="preserve">صاحب الشكوى هو ك. </w:t>
      </w:r>
      <w:r w:rsidRPr="00FA0FC2">
        <w:rPr>
          <w:rFonts w:hint="cs"/>
          <w:sz w:val="30"/>
          <w:rtl/>
          <w:lang w:val="fr-CH"/>
        </w:rPr>
        <w:t>ﻫ</w:t>
      </w:r>
      <w:r w:rsidRPr="00FA0FC2">
        <w:rPr>
          <w:rFonts w:hint="cs"/>
          <w:rtl/>
          <w:lang w:val="fr-CH"/>
        </w:rPr>
        <w:t>.، وهو مواطن من أفغانستان مولود في 26 تموز/</w:t>
      </w:r>
      <w:r>
        <w:rPr>
          <w:rFonts w:hint="cs"/>
          <w:rtl/>
          <w:lang w:val="fr-CH"/>
        </w:rPr>
        <w:t xml:space="preserve"> </w:t>
      </w:r>
      <w:r w:rsidRPr="00FA0FC2">
        <w:rPr>
          <w:rFonts w:hint="cs"/>
          <w:rtl/>
          <w:lang w:val="fr-CH"/>
        </w:rPr>
        <w:t>يوليه</w:t>
      </w:r>
      <w:r>
        <w:rPr>
          <w:rFonts w:hint="eastAsia"/>
          <w:rtl/>
          <w:lang w:val="fr-CH"/>
        </w:rPr>
        <w:t> </w:t>
      </w:r>
      <w:r w:rsidRPr="00FA0FC2">
        <w:rPr>
          <w:rFonts w:hint="cs"/>
          <w:rtl/>
          <w:lang w:val="fr-CH"/>
        </w:rPr>
        <w:t xml:space="preserve">1975. وهو يقيم حالياً في الدانمرك. ويدّعي صاحب الشكوى أن إعادته من الدانمرك إلى أفغانستان </w:t>
      </w:r>
      <w:r>
        <w:rPr>
          <w:rFonts w:hint="cs"/>
          <w:rtl/>
          <w:lang w:val="fr-CH"/>
        </w:rPr>
        <w:t xml:space="preserve">ستشكل </w:t>
      </w:r>
      <w:r w:rsidRPr="00FA0FC2">
        <w:rPr>
          <w:rFonts w:hint="cs"/>
          <w:rtl/>
          <w:lang w:val="fr-CH"/>
        </w:rPr>
        <w:t>انتهاك</w:t>
      </w:r>
      <w:r>
        <w:rPr>
          <w:rFonts w:hint="cs"/>
          <w:rtl/>
          <w:lang w:val="fr-CH"/>
        </w:rPr>
        <w:t>اً</w:t>
      </w:r>
      <w:r w:rsidRPr="00FA0FC2">
        <w:rPr>
          <w:rFonts w:hint="cs"/>
          <w:rtl/>
          <w:lang w:val="fr-CH"/>
        </w:rPr>
        <w:t xml:space="preserve"> لل</w:t>
      </w:r>
      <w:r>
        <w:rPr>
          <w:rFonts w:hint="cs"/>
          <w:rtl/>
          <w:lang w:val="fr-CH"/>
        </w:rPr>
        <w:t>مادة</w:t>
      </w:r>
      <w:r>
        <w:rPr>
          <w:rtl/>
          <w:lang w:val="fr-CH"/>
        </w:rPr>
        <w:t> </w:t>
      </w:r>
      <w:r w:rsidRPr="00FA0FC2">
        <w:rPr>
          <w:rFonts w:hint="cs"/>
          <w:rtl/>
          <w:lang w:val="fr-CH"/>
        </w:rPr>
        <w:t>3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المهينة. ويمثِّله المحامي نيلز إيريك هانسن.</w:t>
      </w:r>
    </w:p>
    <w:p w:rsidR="00091373" w:rsidRPr="00FA0FC2" w:rsidRDefault="00091373" w:rsidP="00265BE6">
      <w:pPr>
        <w:pStyle w:val="SingleTxtGA"/>
        <w:rPr>
          <w:rFonts w:hint="cs"/>
          <w:rtl/>
        </w:rPr>
      </w:pPr>
      <w:r w:rsidRPr="00FA0FC2">
        <w:rPr>
          <w:rFonts w:hint="cs"/>
          <w:rtl/>
          <w:lang w:val="fr-CH"/>
        </w:rPr>
        <w:t>1-2</w:t>
      </w:r>
      <w:r w:rsidRPr="00FA0FC2">
        <w:rPr>
          <w:rFonts w:hint="cs"/>
          <w:rtl/>
          <w:lang w:val="fr-CH"/>
        </w:rPr>
        <w:tab/>
        <w:t>وفي 15 حزيران/يونيه 2011 و8 حزيران/يونيه 2012، قرَّر المقرِّر المعني بالبلاغات الجديدة والتدابير المؤقتة، نيابة عن اللجنة، ألا يطلب اتخاذ تدابير مؤقتة عملاً بالمادة</w:t>
      </w:r>
      <w:r w:rsidR="00265BE6">
        <w:rPr>
          <w:rFonts w:hint="eastAsia"/>
          <w:rtl/>
          <w:lang w:val="fr-CH"/>
        </w:rPr>
        <w:t> </w:t>
      </w:r>
      <w:r w:rsidRPr="00FA0FC2">
        <w:rPr>
          <w:rFonts w:hint="cs"/>
          <w:rtl/>
          <w:lang w:val="fr-CH"/>
        </w:rPr>
        <w:t>114 (ال</w:t>
      </w:r>
      <w:r>
        <w:rPr>
          <w:rFonts w:hint="cs"/>
          <w:rtl/>
          <w:lang w:val="fr-CH"/>
        </w:rPr>
        <w:t>مادة</w:t>
      </w:r>
      <w:r>
        <w:rPr>
          <w:rtl/>
          <w:lang w:val="fr-CH"/>
        </w:rPr>
        <w:t> </w:t>
      </w:r>
      <w:r w:rsidRPr="00FA0FC2">
        <w:rPr>
          <w:rFonts w:hint="cs"/>
          <w:rtl/>
          <w:lang w:val="fr-CH"/>
        </w:rPr>
        <w:t>108 سابقاً) من نظام اللجنة الداخلي (</w:t>
      </w:r>
      <w:r w:rsidRPr="00FA0FC2">
        <w:t>CAT/C/3/Rev.5</w:t>
      </w:r>
      <w:r w:rsidRPr="00FA0FC2">
        <w:rPr>
          <w:rFonts w:hint="cs"/>
          <w:rtl/>
        </w:rPr>
        <w:t>).</w:t>
      </w:r>
    </w:p>
    <w:p w:rsidR="00091373" w:rsidRPr="00FA0FC2" w:rsidRDefault="00091373" w:rsidP="00091373">
      <w:pPr>
        <w:pStyle w:val="H23GA"/>
        <w:rPr>
          <w:rFonts w:hint="cs"/>
          <w:rtl/>
        </w:rPr>
      </w:pPr>
      <w:r w:rsidRPr="00FA0FC2">
        <w:rPr>
          <w:rtl/>
        </w:rPr>
        <w:tab/>
      </w:r>
      <w:r w:rsidRPr="00FA0FC2">
        <w:rPr>
          <w:rFonts w:hint="cs"/>
          <w:rtl/>
        </w:rPr>
        <w:tab/>
        <w:t>الوقائع</w:t>
      </w:r>
      <w:r>
        <w:rPr>
          <w:rFonts w:hint="cs"/>
          <w:rtl/>
        </w:rPr>
        <w:t xml:space="preserve"> كما</w:t>
      </w:r>
      <w:r>
        <w:rPr>
          <w:rtl/>
        </w:rPr>
        <w:t> </w:t>
      </w:r>
      <w:r w:rsidRPr="00FA0FC2">
        <w:rPr>
          <w:rFonts w:hint="cs"/>
          <w:rtl/>
        </w:rPr>
        <w:t>عرضها صاحب الشكوى</w:t>
      </w:r>
    </w:p>
    <w:p w:rsidR="00091373" w:rsidRPr="00265BE6" w:rsidRDefault="00091373" w:rsidP="00265BE6">
      <w:pPr>
        <w:pStyle w:val="SingleTxtGA"/>
        <w:rPr>
          <w:rFonts w:hint="cs"/>
          <w:rtl/>
          <w:lang w:val="fr-CH"/>
        </w:rPr>
      </w:pPr>
      <w:r w:rsidRPr="00265BE6">
        <w:rPr>
          <w:rFonts w:hint="cs"/>
          <w:rtl/>
        </w:rPr>
        <w:t>2-1</w:t>
      </w:r>
      <w:r w:rsidRPr="00265BE6">
        <w:rPr>
          <w:rFonts w:hint="cs"/>
          <w:rtl/>
          <w:lang w:val="fr-CH"/>
        </w:rPr>
        <w:tab/>
        <w:t>صاحب الشكوى مسلم سني من إثنية البشتون. وكان يعيش في قرية قلعة شيخ في إقليم شبرهار في مقاطعة ننغرهار بأفغانستان. وقد تزوّج مرتين وأنجب خمسة أبناء من زوجته</w:t>
      </w:r>
      <w:r w:rsidR="00265BE6">
        <w:rPr>
          <w:rFonts w:hint="eastAsia"/>
          <w:rtl/>
          <w:lang w:val="fr-CH"/>
        </w:rPr>
        <w:t> </w:t>
      </w:r>
      <w:r w:rsidRPr="00265BE6">
        <w:rPr>
          <w:rFonts w:hint="cs"/>
          <w:rtl/>
          <w:lang w:val="fr-CH"/>
        </w:rPr>
        <w:t>الثانية. وهو أميّ ولم</w:t>
      </w:r>
      <w:r w:rsidRPr="00265BE6">
        <w:rPr>
          <w:rtl/>
          <w:lang w:val="fr-CH"/>
        </w:rPr>
        <w:t> </w:t>
      </w:r>
      <w:r w:rsidRPr="00265BE6">
        <w:rPr>
          <w:rFonts w:hint="cs"/>
          <w:rtl/>
          <w:lang w:val="fr-CH"/>
        </w:rPr>
        <w:t>ينخرط قط في أي حزب سياسي أو</w:t>
      </w:r>
      <w:r w:rsidRPr="00265BE6">
        <w:rPr>
          <w:rtl/>
          <w:lang w:val="fr-CH"/>
        </w:rPr>
        <w:t> </w:t>
      </w:r>
      <w:r w:rsidRPr="00265BE6">
        <w:rPr>
          <w:rFonts w:hint="cs"/>
          <w:rtl/>
          <w:lang w:val="fr-CH"/>
        </w:rPr>
        <w:t>ديني، ولم</w:t>
      </w:r>
      <w:r w:rsidRPr="00265BE6">
        <w:rPr>
          <w:rtl/>
          <w:lang w:val="fr-CH"/>
        </w:rPr>
        <w:t> </w:t>
      </w:r>
      <w:r w:rsidRPr="00265BE6">
        <w:rPr>
          <w:rFonts w:hint="cs"/>
          <w:rtl/>
          <w:lang w:val="fr-CH"/>
        </w:rPr>
        <w:t>يشارك في مظاهرات. غير أن والده وأخاه كانا يعملان لفائدة الحكومة، إلى حين وصول المجاهدين إلى</w:t>
      </w:r>
      <w:r w:rsidR="00265BE6">
        <w:rPr>
          <w:rFonts w:hint="eastAsia"/>
          <w:rtl/>
          <w:lang w:val="fr-CH"/>
        </w:rPr>
        <w:t> </w:t>
      </w:r>
      <w:r w:rsidRPr="00265BE6">
        <w:rPr>
          <w:rFonts w:hint="cs"/>
          <w:rtl/>
          <w:lang w:val="fr-CH"/>
        </w:rPr>
        <w:t>السلطة وبدء صراعهم مع قوات الحزب الإسلامي. وهو يدّعي أن أحد إخوته احتُجِزَ عندما كان المجاهدون في السلطة ولم</w:t>
      </w:r>
      <w:r w:rsidRPr="00265BE6">
        <w:rPr>
          <w:rtl/>
          <w:lang w:val="fr-CH"/>
        </w:rPr>
        <w:t> </w:t>
      </w:r>
      <w:r w:rsidRPr="00265BE6">
        <w:rPr>
          <w:rFonts w:hint="cs"/>
          <w:rtl/>
          <w:lang w:val="fr-CH"/>
        </w:rPr>
        <w:t>يظهر بعد ذلك. وتقترن سمعة قرية شبرهار التي نشأ فيها بالنشاط الإرهابي.</w:t>
      </w:r>
    </w:p>
    <w:p w:rsidR="00091373" w:rsidRPr="00265BE6" w:rsidRDefault="00091373" w:rsidP="00265BE6">
      <w:pPr>
        <w:pStyle w:val="SingleTxtGA"/>
        <w:rPr>
          <w:rFonts w:hint="cs"/>
          <w:rtl/>
          <w:lang w:val="fr-CH"/>
        </w:rPr>
      </w:pPr>
      <w:r w:rsidRPr="00265BE6">
        <w:rPr>
          <w:rFonts w:hint="cs"/>
          <w:rtl/>
          <w:lang w:val="fr-CH"/>
        </w:rPr>
        <w:t>2-2</w:t>
      </w:r>
      <w:r w:rsidRPr="00265BE6">
        <w:rPr>
          <w:rFonts w:hint="cs"/>
          <w:rtl/>
          <w:lang w:val="fr-CH"/>
        </w:rPr>
        <w:tab/>
        <w:t>وقد تعرَّض صاحب الشكوى وأسرته لتهديدات من الطالبان. وفي</w:t>
      </w:r>
      <w:r w:rsidRPr="00265BE6">
        <w:rPr>
          <w:rtl/>
          <w:lang w:val="fr-CH"/>
        </w:rPr>
        <w:t> </w:t>
      </w:r>
      <w:r w:rsidRPr="00265BE6">
        <w:rPr>
          <w:rFonts w:hint="cs"/>
          <w:rtl/>
          <w:lang w:val="fr-CH"/>
        </w:rPr>
        <w:t>عام</w:t>
      </w:r>
      <w:r w:rsidRPr="00265BE6">
        <w:rPr>
          <w:rtl/>
          <w:lang w:val="fr-CH"/>
        </w:rPr>
        <w:t> </w:t>
      </w:r>
      <w:r w:rsidRPr="00265BE6">
        <w:rPr>
          <w:rFonts w:hint="cs"/>
          <w:rtl/>
          <w:lang w:val="fr-CH"/>
        </w:rPr>
        <w:t>2006 أو </w:t>
      </w:r>
      <w:r w:rsidRPr="00265BE6">
        <w:rPr>
          <w:rtl/>
          <w:lang w:val="fr-CH"/>
        </w:rPr>
        <w:t>عام </w:t>
      </w:r>
      <w:r w:rsidRPr="00265BE6">
        <w:rPr>
          <w:rFonts w:hint="cs"/>
          <w:rtl/>
          <w:lang w:val="fr-CH"/>
        </w:rPr>
        <w:t>2007، تعرَّض منزله لقصف أسفر عن وفاة والده وأخيه. واتهم الطالبان أسرته بالتجسس لفائدة الحكومة. واضّطر إلى الفرار من قريته إلى عاصمة المقاطعة جلال آباد. وفي</w:t>
      </w:r>
      <w:r w:rsidRPr="00265BE6">
        <w:rPr>
          <w:rtl/>
          <w:lang w:val="fr-CH"/>
        </w:rPr>
        <w:t> </w:t>
      </w:r>
      <w:r w:rsidRPr="00265BE6">
        <w:rPr>
          <w:rFonts w:hint="cs"/>
          <w:rtl/>
          <w:lang w:val="fr-CH"/>
        </w:rPr>
        <w:t>بداية عام</w:t>
      </w:r>
      <w:r w:rsidRPr="00265BE6">
        <w:rPr>
          <w:rtl/>
          <w:lang w:val="fr-CH"/>
        </w:rPr>
        <w:t> </w:t>
      </w:r>
      <w:r w:rsidRPr="00265BE6">
        <w:rPr>
          <w:rFonts w:hint="cs"/>
          <w:rtl/>
          <w:lang w:val="fr-CH"/>
        </w:rPr>
        <w:t>2010، كان يعمل في مشروع بناء طريق عندما حضر الطالبان واحتجزوه برفقة أشخاص آخرين كانوا معه. وقد كُتِّف وضُرِب بالعصي وبأعقاب البنادق. وأعطى صاحب الشكوى الطالبان اسماً زائفاً بما</w:t>
      </w:r>
      <w:r w:rsidRPr="00265BE6">
        <w:rPr>
          <w:rtl/>
          <w:lang w:val="fr-CH"/>
        </w:rPr>
        <w:t> </w:t>
      </w:r>
      <w:r w:rsidRPr="00265BE6">
        <w:rPr>
          <w:rFonts w:hint="cs"/>
          <w:rtl/>
          <w:lang w:val="fr-CH"/>
        </w:rPr>
        <w:t>أن اسم عائلته معروف لديهم بسبب ما</w:t>
      </w:r>
      <w:r w:rsidRPr="00265BE6">
        <w:rPr>
          <w:rtl/>
          <w:lang w:val="fr-CH"/>
        </w:rPr>
        <w:t> </w:t>
      </w:r>
      <w:r w:rsidRPr="00265BE6">
        <w:rPr>
          <w:rFonts w:hint="cs"/>
          <w:rtl/>
          <w:lang w:val="fr-CH"/>
        </w:rPr>
        <w:t>كان لوالده وأخيه من مشاكل مع الحزب الإسلامي. ولم</w:t>
      </w:r>
      <w:r w:rsidRPr="00265BE6">
        <w:rPr>
          <w:rtl/>
          <w:lang w:val="fr-CH"/>
        </w:rPr>
        <w:t> </w:t>
      </w:r>
      <w:r w:rsidRPr="00265BE6">
        <w:rPr>
          <w:rFonts w:hint="cs"/>
          <w:rtl/>
          <w:lang w:val="fr-CH"/>
        </w:rPr>
        <w:t>يكن له من خيار سوى الموافقة على التعاون مستقبلاً مع الطالبان. وتُرِكَ مربوطاً إلى شجرة وثلاثة من ضلوعه مكسورة. ولم</w:t>
      </w:r>
      <w:r w:rsidRPr="00265BE6">
        <w:rPr>
          <w:rtl/>
          <w:lang w:val="fr-CH"/>
        </w:rPr>
        <w:t> </w:t>
      </w:r>
      <w:r w:rsidRPr="00265BE6">
        <w:rPr>
          <w:rFonts w:hint="cs"/>
          <w:rtl/>
          <w:lang w:val="fr-CH"/>
        </w:rPr>
        <w:t>يعد إلى عمله خشية أن يأتي الطالبان مجدَّداً للبحث عنه.</w:t>
      </w:r>
    </w:p>
    <w:p w:rsidR="00091373" w:rsidRPr="00265BE6" w:rsidRDefault="00091373" w:rsidP="00265BE6">
      <w:pPr>
        <w:pStyle w:val="SingleTxtGA"/>
        <w:rPr>
          <w:rFonts w:hint="cs"/>
          <w:rtl/>
          <w:lang w:val="fr-CH"/>
        </w:rPr>
      </w:pPr>
      <w:r w:rsidRPr="00265BE6">
        <w:rPr>
          <w:rFonts w:hint="cs"/>
          <w:rtl/>
          <w:lang w:val="fr-CH"/>
        </w:rPr>
        <w:t>2-3</w:t>
      </w:r>
      <w:r w:rsidRPr="00265BE6">
        <w:rPr>
          <w:rFonts w:hint="cs"/>
          <w:rtl/>
          <w:lang w:val="fr-CH"/>
        </w:rPr>
        <w:tab/>
        <w:t>وعمل بعد ذلك في البناء. وفي</w:t>
      </w:r>
      <w:r w:rsidRPr="00265BE6">
        <w:rPr>
          <w:rtl/>
          <w:lang w:val="fr-CH"/>
        </w:rPr>
        <w:t> </w:t>
      </w:r>
      <w:r w:rsidRPr="00265BE6">
        <w:rPr>
          <w:rFonts w:hint="cs"/>
          <w:rtl/>
          <w:lang w:val="fr-CH"/>
        </w:rPr>
        <w:t>أحد الأيام، كان بصدد إنهاء عمله عندما حدث انفجار. فاحتجزته الشرطة برفقة أربعة من زملائه ووجِّهت إليه زوراً تهمة المشاركة في تفجير إرهابي في جلال آباد. واحتُجِزَ يومين استُجوب في كل منهما ثلاث مرات. وأُفرِجَ عن الزملاء الأربعة بعد يوم. أما</w:t>
      </w:r>
      <w:r w:rsidRPr="00265BE6">
        <w:rPr>
          <w:rtl/>
          <w:lang w:val="fr-CH"/>
        </w:rPr>
        <w:t> </w:t>
      </w:r>
      <w:r w:rsidRPr="00265BE6">
        <w:rPr>
          <w:rFonts w:hint="cs"/>
          <w:rtl/>
          <w:lang w:val="fr-CH"/>
        </w:rPr>
        <w:t>هو فقد بقي محتجزاً لأنه يتكلّم الباشتو وينحدر من قرية ينتمي إليها الكثيرون من الطالبان. وأثناء احتجازه، تعرَّض مجدّداً لسوء المعاملة والركل والضرب بأخشاب وبأعقاب البنادق. وقد أُصيب في يديه وإحدى رجليه. وتمكَّن، بمساعدة عمّ زوجته، من إرشاء الشرطة والفرار ليلاً من السجن. وهدّده رجال الشرطة بالقتل إن لم</w:t>
      </w:r>
      <w:r w:rsidRPr="00265BE6">
        <w:rPr>
          <w:rtl/>
          <w:lang w:val="fr-CH"/>
        </w:rPr>
        <w:t> </w:t>
      </w:r>
      <w:r w:rsidRPr="00265BE6">
        <w:rPr>
          <w:rFonts w:hint="cs"/>
          <w:rtl/>
          <w:lang w:val="fr-CH"/>
        </w:rPr>
        <w:t>يغادر أفغانستان. فقد كانوا يخافون أن يخبر أحداً بموضوع الرشوة. وتوجَّه بعد ذلك إلى بيشاور في باكستان وهو يقود حافلةً صغيرة. ومكث في باكستان أسبوعين قبل أن يسافر على متن شاحنات وعربات شحن صغيرة إلى جمهورية إيران الإسلامية ومن ثمّ إلى تركيا فاليونان فإيطاليا. وقد غادر باكستان حاملاً جواز سفر باكستانياً، لكن الجواز حُجِز في جمهورية إيران الإسلامية.</w:t>
      </w:r>
    </w:p>
    <w:p w:rsidR="00091373" w:rsidRPr="00265BE6" w:rsidRDefault="00091373" w:rsidP="00265BE6">
      <w:pPr>
        <w:pStyle w:val="SingleTxtGA"/>
        <w:rPr>
          <w:rFonts w:hint="cs"/>
          <w:rtl/>
          <w:lang w:val="fr-CH"/>
        </w:rPr>
      </w:pPr>
      <w:r w:rsidRPr="00265BE6">
        <w:rPr>
          <w:rFonts w:hint="cs"/>
          <w:rtl/>
          <w:lang w:val="fr-CH"/>
        </w:rPr>
        <w:t>2-4</w:t>
      </w:r>
      <w:r w:rsidRPr="00265BE6">
        <w:rPr>
          <w:rFonts w:hint="cs"/>
          <w:rtl/>
          <w:lang w:val="fr-CH"/>
        </w:rPr>
        <w:tab/>
        <w:t>وفي 25 تموز/يوليه 2010، وصل صاحب الشكوى إلى الدانمرك ولم</w:t>
      </w:r>
      <w:r w:rsidRPr="00265BE6">
        <w:rPr>
          <w:rtl/>
          <w:lang w:val="fr-CH"/>
        </w:rPr>
        <w:t> </w:t>
      </w:r>
      <w:r w:rsidRPr="00265BE6">
        <w:rPr>
          <w:rFonts w:hint="cs"/>
          <w:rtl/>
          <w:lang w:val="fr-CH"/>
        </w:rPr>
        <w:t>تكن في حوزته وثائق سفر صالحة، وطلب اللجوء في اليوم التالي. وبما</w:t>
      </w:r>
      <w:r w:rsidRPr="00265BE6">
        <w:rPr>
          <w:rtl/>
          <w:lang w:val="fr-CH"/>
        </w:rPr>
        <w:t> </w:t>
      </w:r>
      <w:r w:rsidRPr="00265BE6">
        <w:rPr>
          <w:rFonts w:hint="cs"/>
          <w:rtl/>
          <w:lang w:val="fr-CH"/>
        </w:rPr>
        <w:t>أنه كان أمياً فقد تعذَّر عليه ملء استمارة طلب اللجوء بنفسه. وادّعى أنه فارٌ من الطالبان ومن السلطات الأفغانية. وقال إن الطالبان احتجزوه ثم أوقفته السلطات واتّهمته زوراً بتنفيذ تفجير إرهابي؛ وقال إنه خضع أثناء احتجازه لسوء المعاملة والتعذيب إلى حدِّ كسر البعض من ضلوعه. وأضاف أن التعذيب متفشٍّ في أفغانستان وأن السلطات عاجزة عن حماية السكان من عنف الطالبان. وقال إنه خائف على حياته بما</w:t>
      </w:r>
      <w:r w:rsidRPr="00265BE6">
        <w:rPr>
          <w:rtl/>
          <w:lang w:val="fr-CH"/>
        </w:rPr>
        <w:t> </w:t>
      </w:r>
      <w:r w:rsidRPr="00265BE6">
        <w:rPr>
          <w:rFonts w:hint="cs"/>
          <w:rtl/>
          <w:lang w:val="fr-CH"/>
        </w:rPr>
        <w:t>أن السلطات أوقفته في قضية تفجير حدث في جلال آباد، وأن الطالبان أجبروه على التعاون معهم، وأنه فرَّ من السجن بعد أن دفع رشوة. وقال إنه في حال توقيفه سوف يخضع للتعذيب ويُقتَل. وهو يخشى المصير ذاته إذا ما</w:t>
      </w:r>
      <w:r w:rsidRPr="00265BE6">
        <w:rPr>
          <w:rtl/>
          <w:lang w:val="fr-CH"/>
        </w:rPr>
        <w:t> </w:t>
      </w:r>
      <w:r w:rsidRPr="00265BE6">
        <w:rPr>
          <w:rFonts w:hint="cs"/>
          <w:rtl/>
          <w:lang w:val="fr-CH"/>
        </w:rPr>
        <w:t>عثر عليه الطالبان، بما</w:t>
      </w:r>
      <w:r w:rsidRPr="00265BE6">
        <w:rPr>
          <w:rtl/>
          <w:lang w:val="fr-CH"/>
        </w:rPr>
        <w:t> </w:t>
      </w:r>
      <w:r w:rsidRPr="00265BE6">
        <w:rPr>
          <w:rFonts w:hint="cs"/>
          <w:rtl/>
          <w:lang w:val="fr-CH"/>
        </w:rPr>
        <w:t>أنهم ما</w:t>
      </w:r>
      <w:r w:rsidRPr="00265BE6">
        <w:rPr>
          <w:rtl/>
          <w:lang w:val="fr-CH"/>
        </w:rPr>
        <w:t> </w:t>
      </w:r>
      <w:r w:rsidRPr="00265BE6">
        <w:rPr>
          <w:rFonts w:hint="cs"/>
          <w:rtl/>
          <w:lang w:val="fr-CH"/>
        </w:rPr>
        <w:t>زالوا يعتقدون أنه جاسوس لفائدة الحكومة. ولا</w:t>
      </w:r>
      <w:r w:rsidRPr="00265BE6">
        <w:rPr>
          <w:rtl/>
          <w:lang w:val="fr-CH"/>
        </w:rPr>
        <w:t> </w:t>
      </w:r>
      <w:r w:rsidRPr="00265BE6">
        <w:rPr>
          <w:rFonts w:hint="cs"/>
          <w:rtl/>
          <w:lang w:val="fr-CH"/>
        </w:rPr>
        <w:t>يعرف صاحب الشكوى مكان أسرته ولا</w:t>
      </w:r>
      <w:r w:rsidRPr="00265BE6">
        <w:rPr>
          <w:rtl/>
          <w:lang w:val="fr-CH"/>
        </w:rPr>
        <w:t> </w:t>
      </w:r>
      <w:r w:rsidRPr="00265BE6">
        <w:rPr>
          <w:rFonts w:hint="cs"/>
          <w:rtl/>
          <w:lang w:val="fr-CH"/>
        </w:rPr>
        <w:t xml:space="preserve">يسعه تقديم شهادة جنسية صادرة عن بلد منشئه. </w:t>
      </w:r>
    </w:p>
    <w:p w:rsidR="00091373" w:rsidRPr="00FA0FC2" w:rsidRDefault="00091373" w:rsidP="00091373">
      <w:pPr>
        <w:pStyle w:val="SingleTxtGA"/>
        <w:rPr>
          <w:rFonts w:hint="cs"/>
          <w:rtl/>
          <w:lang w:val="fr-CH"/>
        </w:rPr>
      </w:pPr>
      <w:r w:rsidRPr="00FA0FC2">
        <w:rPr>
          <w:rFonts w:hint="cs"/>
          <w:rtl/>
          <w:lang w:val="fr-CH"/>
        </w:rPr>
        <w:t>2-5</w:t>
      </w:r>
      <w:r w:rsidRPr="00FA0FC2">
        <w:rPr>
          <w:rFonts w:hint="cs"/>
          <w:rtl/>
          <w:lang w:val="fr-CH"/>
        </w:rPr>
        <w:tab/>
        <w:t>وفي 28 تشرين الأول/أكتوبر 2010، رفضت إدارة الهجرة الدانمركية طلب اللجوء الذي قدَّمه صاحب الشكوى. وقالت إن على ملتمس اللجوء أن يقدِّم المعلومات اللازمة لتقييم طلبه والبتّ فيه. غير أن روايته كانت غامضةً واعترتها تناقضات في عدد من النقاط الحاسمة مثل ظروف احتجازه من قبل السلطات الأفغانية وفراره من السجن في مرحلة لاحقة. وطعن صاحب الشكوى في هذا القرار أمام مجلس طعون اللاجئين.</w:t>
      </w:r>
    </w:p>
    <w:p w:rsidR="00091373" w:rsidRPr="00FA0FC2" w:rsidRDefault="00091373" w:rsidP="00091373">
      <w:pPr>
        <w:pStyle w:val="SingleTxtGA"/>
        <w:rPr>
          <w:rFonts w:hint="cs"/>
          <w:rtl/>
          <w:lang w:val="fr-CH"/>
        </w:rPr>
      </w:pPr>
      <w:r w:rsidRPr="00FA0FC2">
        <w:rPr>
          <w:rFonts w:hint="cs"/>
          <w:rtl/>
          <w:lang w:val="fr-CH"/>
        </w:rPr>
        <w:t>2-6</w:t>
      </w:r>
      <w:r w:rsidRPr="00FA0FC2">
        <w:rPr>
          <w:rFonts w:hint="cs"/>
          <w:rtl/>
          <w:lang w:val="fr-CH"/>
        </w:rPr>
        <w:tab/>
        <w:t>وفي 17 كانون الثاني/يناير 2011، رفض مجلس طعون اللاجئين طلب صاحب الشكوى الخضوع لفحص طبي، ورفض طلب لجوئه، وأمر بترحيله عملاً بالفقرتين 1 و2 من ال</w:t>
      </w:r>
      <w:r>
        <w:rPr>
          <w:rFonts w:hint="cs"/>
          <w:rtl/>
          <w:lang w:val="fr-CH"/>
        </w:rPr>
        <w:t>مادة</w:t>
      </w:r>
      <w:r>
        <w:rPr>
          <w:rtl/>
          <w:lang w:val="fr-CH"/>
        </w:rPr>
        <w:t> </w:t>
      </w:r>
      <w:r w:rsidRPr="00FA0FC2">
        <w:rPr>
          <w:rFonts w:hint="cs"/>
          <w:rtl/>
          <w:lang w:val="fr-CH"/>
        </w:rPr>
        <w:t>33 من قانون الأجانب. وقبِلَ المجلس ادعاء صاحب الشكوى بخصوص</w:t>
      </w:r>
      <w:r>
        <w:rPr>
          <w:rFonts w:hint="cs"/>
          <w:rtl/>
          <w:lang w:val="fr-CH"/>
        </w:rPr>
        <w:t xml:space="preserve"> ما</w:t>
      </w:r>
      <w:r>
        <w:rPr>
          <w:rtl/>
          <w:lang w:val="fr-CH"/>
        </w:rPr>
        <w:t> </w:t>
      </w:r>
      <w:r w:rsidRPr="00FA0FC2">
        <w:rPr>
          <w:rFonts w:hint="cs"/>
          <w:rtl/>
          <w:lang w:val="fr-CH"/>
        </w:rPr>
        <w:t>حصل مع الطالبان. لكنه بيَّن أن صاحب الشكوى تمكن من العيش في أفغانستان سنة على الأقل دون أن يواجه أي مشكلة مع الطالبان، وأنه أعطى اسماً زائفاً، وأن الضربات التي تلقّاها والتي تسبّبت في كسر أحد ضلوعه</w:t>
      </w:r>
      <w:r>
        <w:rPr>
          <w:rFonts w:hint="cs"/>
          <w:rtl/>
          <w:lang w:val="fr-CH"/>
        </w:rPr>
        <w:t xml:space="preserve"> لا</w:t>
      </w:r>
      <w:r>
        <w:rPr>
          <w:rtl/>
          <w:lang w:val="fr-CH"/>
        </w:rPr>
        <w:t> </w:t>
      </w:r>
      <w:r w:rsidRPr="00FA0FC2">
        <w:rPr>
          <w:rFonts w:hint="cs"/>
          <w:rtl/>
          <w:lang w:val="fr-CH"/>
        </w:rPr>
        <w:t>تبرِّر طلبه</w:t>
      </w:r>
      <w:r>
        <w:rPr>
          <w:rFonts w:hint="cs"/>
          <w:rtl/>
          <w:lang w:val="fr-CH"/>
        </w:rPr>
        <w:t xml:space="preserve"> لا</w:t>
      </w:r>
      <w:r>
        <w:rPr>
          <w:rtl/>
          <w:lang w:val="fr-CH"/>
        </w:rPr>
        <w:t> </w:t>
      </w:r>
      <w:r w:rsidRPr="00FA0FC2">
        <w:rPr>
          <w:rFonts w:hint="cs"/>
          <w:rtl/>
          <w:lang w:val="fr-CH"/>
        </w:rPr>
        <w:t>من حيث طبيعتها</w:t>
      </w:r>
      <w:r>
        <w:rPr>
          <w:rFonts w:hint="cs"/>
          <w:rtl/>
          <w:lang w:val="fr-CH"/>
        </w:rPr>
        <w:t xml:space="preserve"> ولا</w:t>
      </w:r>
      <w:r>
        <w:rPr>
          <w:rtl/>
          <w:lang w:val="fr-CH"/>
        </w:rPr>
        <w:t> </w:t>
      </w:r>
      <w:r w:rsidRPr="00FA0FC2">
        <w:rPr>
          <w:rFonts w:hint="cs"/>
          <w:rtl/>
          <w:lang w:val="fr-CH"/>
        </w:rPr>
        <w:t>من حيث نطاقها. وقال المجلس أيضاً إن صاحب الشكوى قدَّم معلومات متضاربةً بشأن مكان منشئه وإن</w:t>
      </w:r>
      <w:r>
        <w:rPr>
          <w:rFonts w:hint="cs"/>
          <w:rtl/>
          <w:lang w:val="fr-CH"/>
        </w:rPr>
        <w:t xml:space="preserve"> ما</w:t>
      </w:r>
      <w:r>
        <w:rPr>
          <w:rtl/>
          <w:lang w:val="fr-CH"/>
        </w:rPr>
        <w:t> </w:t>
      </w:r>
      <w:r w:rsidRPr="00FA0FC2">
        <w:rPr>
          <w:rFonts w:hint="cs"/>
          <w:rtl/>
          <w:lang w:val="fr-CH"/>
        </w:rPr>
        <w:t>يدّعيه من احتجاز السلطات له بشبهة الإرهاب ومن تعرُّضه للإساءة الشديدة أمران</w:t>
      </w:r>
      <w:r>
        <w:rPr>
          <w:rFonts w:hint="cs"/>
          <w:rtl/>
          <w:lang w:val="fr-CH"/>
        </w:rPr>
        <w:t xml:space="preserve"> لا</w:t>
      </w:r>
      <w:r>
        <w:rPr>
          <w:rtl/>
          <w:lang w:val="fr-CH"/>
        </w:rPr>
        <w:t> </w:t>
      </w:r>
      <w:r w:rsidRPr="00FA0FC2">
        <w:rPr>
          <w:rFonts w:hint="cs"/>
          <w:rtl/>
          <w:lang w:val="fr-CH"/>
        </w:rPr>
        <w:t>يتفقان مع ظروف موقعه واحتجازه وفراره. لذا تُعتَبر بياناته خالية من المصداقية</w:t>
      </w:r>
      <w:r>
        <w:rPr>
          <w:rFonts w:hint="cs"/>
          <w:rtl/>
          <w:lang w:val="fr-CH"/>
        </w:rPr>
        <w:t xml:space="preserve"> ولا</w:t>
      </w:r>
      <w:r>
        <w:rPr>
          <w:rtl/>
          <w:lang w:val="fr-CH"/>
        </w:rPr>
        <w:t> </w:t>
      </w:r>
      <w:r w:rsidRPr="00FA0FC2">
        <w:rPr>
          <w:rFonts w:hint="cs"/>
          <w:rtl/>
          <w:lang w:val="fr-CH"/>
        </w:rPr>
        <w:t>يرجَّح أن يكون معرَّضاً للاضطهاد</w:t>
      </w:r>
      <w:r>
        <w:rPr>
          <w:rFonts w:hint="cs"/>
          <w:rtl/>
          <w:lang w:val="fr-CH"/>
        </w:rPr>
        <w:t xml:space="preserve"> أو</w:t>
      </w:r>
      <w:r>
        <w:rPr>
          <w:rtl/>
          <w:lang w:val="fr-CH"/>
        </w:rPr>
        <w:t> </w:t>
      </w:r>
      <w:r w:rsidRPr="00FA0FC2">
        <w:rPr>
          <w:rFonts w:hint="cs"/>
          <w:rtl/>
          <w:lang w:val="fr-CH"/>
        </w:rPr>
        <w:t>الأذى في حال إعادته إلى أفغانستان. ورغم أنه طلب مراراً الخضوع لفحص طبي، فقد رفض المجلس طلب لجوئه دون الأمر بأي فحص طبي كان من شأنه أن يكشف عن آثار تعذيب ممكنة.</w:t>
      </w:r>
    </w:p>
    <w:p w:rsidR="00091373" w:rsidRPr="00FA0FC2" w:rsidRDefault="00091373" w:rsidP="00091373">
      <w:pPr>
        <w:pStyle w:val="SingleTxtGA"/>
        <w:rPr>
          <w:rFonts w:hint="cs"/>
          <w:rtl/>
        </w:rPr>
      </w:pPr>
      <w:r w:rsidRPr="00FA0FC2">
        <w:rPr>
          <w:rFonts w:hint="cs"/>
          <w:rtl/>
          <w:lang w:val="fr-CH"/>
        </w:rPr>
        <w:t>2-7</w:t>
      </w:r>
      <w:r w:rsidRPr="00FA0FC2">
        <w:rPr>
          <w:rFonts w:hint="cs"/>
          <w:rtl/>
          <w:lang w:val="fr-CH"/>
        </w:rPr>
        <w:tab/>
        <w:t>ويدّعي صاحب الشكوى أن جميع</w:t>
      </w:r>
      <w:r w:rsidRPr="00FA0FC2">
        <w:rPr>
          <w:rFonts w:hint="cs"/>
          <w:rtl/>
        </w:rPr>
        <w:t xml:space="preserve"> سُبل الانتصاف المحلية تكون قد استُنفِذت بصدور قرار مجلس طعون اللاجئين.</w:t>
      </w:r>
    </w:p>
    <w:p w:rsidR="00091373" w:rsidRPr="00FA0FC2" w:rsidRDefault="00091373" w:rsidP="00091373">
      <w:pPr>
        <w:pStyle w:val="H23GA"/>
        <w:rPr>
          <w:rFonts w:hint="cs"/>
          <w:rtl/>
          <w:lang w:val="fr-CH"/>
        </w:rPr>
      </w:pPr>
      <w:r w:rsidRPr="00FA0FC2">
        <w:rPr>
          <w:rtl/>
          <w:lang w:val="fr-CH"/>
        </w:rPr>
        <w:tab/>
      </w:r>
      <w:r w:rsidRPr="00FA0FC2">
        <w:rPr>
          <w:rFonts w:hint="cs"/>
          <w:rtl/>
          <w:lang w:val="fr-CH"/>
        </w:rPr>
        <w:tab/>
        <w:t>الشكوى</w:t>
      </w:r>
    </w:p>
    <w:p w:rsidR="00091373" w:rsidRPr="00FA0FC2" w:rsidRDefault="00091373" w:rsidP="00091373">
      <w:pPr>
        <w:pStyle w:val="SingleTxtGA"/>
        <w:rPr>
          <w:rFonts w:hint="cs"/>
          <w:rtl/>
          <w:lang w:val="fr-CH"/>
        </w:rPr>
      </w:pPr>
      <w:r w:rsidRPr="00FA0FC2">
        <w:rPr>
          <w:rFonts w:hint="cs"/>
          <w:rtl/>
          <w:lang w:val="fr-CH"/>
        </w:rPr>
        <w:t>3-1</w:t>
      </w:r>
      <w:r w:rsidRPr="00FA0FC2">
        <w:rPr>
          <w:rFonts w:hint="cs"/>
          <w:rtl/>
          <w:lang w:val="fr-CH"/>
        </w:rPr>
        <w:tab/>
        <w:t>يدعي صاحب الشكوى أن الدولة الطرف</w:t>
      </w:r>
      <w:r>
        <w:rPr>
          <w:rFonts w:hint="cs"/>
          <w:rtl/>
          <w:lang w:val="fr-CH"/>
        </w:rPr>
        <w:t xml:space="preserve"> لم</w:t>
      </w:r>
      <w:r>
        <w:rPr>
          <w:rtl/>
          <w:lang w:val="fr-CH"/>
        </w:rPr>
        <w:t> </w:t>
      </w:r>
      <w:r w:rsidRPr="00FA0FC2">
        <w:rPr>
          <w:rFonts w:hint="cs"/>
          <w:rtl/>
          <w:lang w:val="fr-CH"/>
        </w:rPr>
        <w:t>تُقيِّم</w:t>
      </w:r>
      <w:r>
        <w:rPr>
          <w:rFonts w:hint="cs"/>
          <w:rtl/>
          <w:lang w:val="fr-CH"/>
        </w:rPr>
        <w:t xml:space="preserve"> بما</w:t>
      </w:r>
      <w:r>
        <w:rPr>
          <w:rtl/>
          <w:lang w:val="fr-CH"/>
        </w:rPr>
        <w:t> </w:t>
      </w:r>
      <w:r w:rsidRPr="00FA0FC2">
        <w:rPr>
          <w:rFonts w:hint="cs"/>
          <w:rtl/>
          <w:lang w:val="fr-CH"/>
        </w:rPr>
        <w:t>يكفي خطر تعرضه للتعذيب في حال إعادته إلى أفغانستان. وهو يدعي أنه سيكون معرضاً شخصيا للاضطهاد والتعذيب على أيدي السلطات الأفغانية</w:t>
      </w:r>
      <w:r>
        <w:rPr>
          <w:rFonts w:hint="cs"/>
          <w:rtl/>
          <w:lang w:val="fr-CH"/>
        </w:rPr>
        <w:t xml:space="preserve"> أو</w:t>
      </w:r>
      <w:r>
        <w:rPr>
          <w:rtl/>
          <w:lang w:val="fr-CH"/>
        </w:rPr>
        <w:t> </w:t>
      </w:r>
      <w:r w:rsidRPr="00FA0FC2">
        <w:rPr>
          <w:rFonts w:hint="cs"/>
          <w:rtl/>
          <w:lang w:val="fr-CH"/>
        </w:rPr>
        <w:t>الطالبان، وهو</w:t>
      </w:r>
      <w:r>
        <w:rPr>
          <w:rFonts w:hint="cs"/>
          <w:rtl/>
          <w:lang w:val="fr-CH"/>
        </w:rPr>
        <w:t xml:space="preserve"> ما</w:t>
      </w:r>
      <w:r>
        <w:rPr>
          <w:rtl/>
          <w:lang w:val="fr-CH"/>
        </w:rPr>
        <w:t> </w:t>
      </w:r>
      <w:r w:rsidRPr="00FA0FC2">
        <w:rPr>
          <w:rFonts w:hint="cs"/>
          <w:rtl/>
          <w:lang w:val="fr-CH"/>
        </w:rPr>
        <w:t>ينطوي على انتهاك لل</w:t>
      </w:r>
      <w:r>
        <w:rPr>
          <w:rFonts w:hint="cs"/>
          <w:rtl/>
          <w:lang w:val="fr-CH"/>
        </w:rPr>
        <w:t>مادة</w:t>
      </w:r>
      <w:r>
        <w:rPr>
          <w:rtl/>
          <w:lang w:val="fr-CH"/>
        </w:rPr>
        <w:t> </w:t>
      </w:r>
      <w:r w:rsidRPr="00FA0FC2">
        <w:rPr>
          <w:rFonts w:hint="cs"/>
          <w:rtl/>
          <w:lang w:val="fr-CH"/>
        </w:rPr>
        <w:t>3 من الاتفاقية.</w:t>
      </w:r>
    </w:p>
    <w:p w:rsidR="00091373" w:rsidRPr="00FA0FC2" w:rsidRDefault="00091373" w:rsidP="00091373">
      <w:pPr>
        <w:pStyle w:val="SingleTxtGA"/>
        <w:rPr>
          <w:rFonts w:hint="cs"/>
          <w:rtl/>
          <w:lang w:val="fr-CH"/>
        </w:rPr>
      </w:pPr>
      <w:r w:rsidRPr="00FA0FC2">
        <w:rPr>
          <w:rFonts w:hint="cs"/>
          <w:rtl/>
          <w:lang w:val="fr-CH"/>
        </w:rPr>
        <w:t>3-2</w:t>
      </w:r>
      <w:r w:rsidRPr="00FA0FC2">
        <w:rPr>
          <w:rFonts w:hint="cs"/>
          <w:rtl/>
          <w:lang w:val="fr-CH"/>
        </w:rPr>
        <w:tab/>
        <w:t>ويدفع صاحب الشكوى بأن مجلس طعون اللاجئين، رغم قبول ادعائه المتعلق باحتجازه من قبل الطالبان ومعاملته على نحو أسفر عن كسر أحد ضلوعه،</w:t>
      </w:r>
      <w:r>
        <w:rPr>
          <w:rFonts w:hint="cs"/>
          <w:rtl/>
          <w:lang w:val="fr-CH"/>
        </w:rPr>
        <w:t xml:space="preserve"> لم</w:t>
      </w:r>
      <w:r>
        <w:rPr>
          <w:rtl/>
          <w:lang w:val="fr-CH"/>
        </w:rPr>
        <w:t> </w:t>
      </w:r>
      <w:r w:rsidRPr="00FA0FC2">
        <w:rPr>
          <w:rFonts w:hint="cs"/>
          <w:rtl/>
          <w:lang w:val="fr-CH"/>
        </w:rPr>
        <w:t>يُقر بوجاهة هذا الأمر للفصل في طلب اللجوء الذي قدمه. بل إن الدولة الطرف</w:t>
      </w:r>
      <w:r>
        <w:rPr>
          <w:rFonts w:hint="cs"/>
          <w:rtl/>
          <w:lang w:val="fr-CH"/>
        </w:rPr>
        <w:t xml:space="preserve"> لم</w:t>
      </w:r>
      <w:r>
        <w:rPr>
          <w:rtl/>
          <w:lang w:val="fr-CH"/>
        </w:rPr>
        <w:t> </w:t>
      </w:r>
      <w:r w:rsidRPr="00FA0FC2">
        <w:rPr>
          <w:rFonts w:hint="cs"/>
          <w:rtl/>
          <w:lang w:val="fr-CH"/>
        </w:rPr>
        <w:t>تنظر حتى</w:t>
      </w:r>
      <w:r>
        <w:rPr>
          <w:rFonts w:hint="cs"/>
          <w:rtl/>
          <w:lang w:val="fr-CH"/>
        </w:rPr>
        <w:t xml:space="preserve"> فيما</w:t>
      </w:r>
      <w:r>
        <w:rPr>
          <w:rtl/>
          <w:lang w:val="fr-CH"/>
        </w:rPr>
        <w:t> </w:t>
      </w:r>
      <w:r w:rsidRPr="00FA0FC2">
        <w:rPr>
          <w:rFonts w:hint="cs"/>
          <w:rtl/>
          <w:lang w:val="fr-CH"/>
        </w:rPr>
        <w:t>إذا كانت السلطات الأفغانية قادرة على حمايته من عنف الطالبان. وقد ركّز المجلس أساساً، في تقييمه لادعاء صاحب الشكوى بخصوص أعمال العنف التي ارتكبتها السلطات، على بعض التناقضات التي اعترت أقواله والتي</w:t>
      </w:r>
      <w:r>
        <w:rPr>
          <w:rFonts w:hint="cs"/>
          <w:rtl/>
          <w:lang w:val="fr-CH"/>
        </w:rPr>
        <w:t xml:space="preserve"> لم</w:t>
      </w:r>
      <w:r>
        <w:rPr>
          <w:rtl/>
          <w:lang w:val="fr-CH"/>
        </w:rPr>
        <w:t> </w:t>
      </w:r>
      <w:r w:rsidRPr="00FA0FC2">
        <w:rPr>
          <w:rFonts w:hint="cs"/>
          <w:rtl/>
          <w:lang w:val="fr-CH"/>
        </w:rPr>
        <w:t>يكن لها من الأهمية</w:t>
      </w:r>
      <w:r>
        <w:rPr>
          <w:rFonts w:hint="cs"/>
          <w:rtl/>
          <w:lang w:val="fr-CH"/>
        </w:rPr>
        <w:t xml:space="preserve"> ما</w:t>
      </w:r>
      <w:r>
        <w:rPr>
          <w:rtl/>
          <w:lang w:val="fr-CH"/>
        </w:rPr>
        <w:t> </w:t>
      </w:r>
      <w:r w:rsidRPr="00FA0FC2">
        <w:rPr>
          <w:rFonts w:hint="cs"/>
          <w:rtl/>
          <w:lang w:val="fr-CH"/>
        </w:rPr>
        <w:t>يبرر رفض طلبه، وهي تُعزى إلى مشاكل في الترجمة. ورغم الأدلة الطبية المقدمة</w:t>
      </w:r>
      <w:r w:rsidRPr="00FA0FC2">
        <w:rPr>
          <w:vertAlign w:val="superscript"/>
          <w:rtl/>
          <w:lang w:val="fr-CH"/>
        </w:rPr>
        <w:t>(</w:t>
      </w:r>
      <w:r w:rsidRPr="00FA0FC2">
        <w:rPr>
          <w:rStyle w:val="FootnoteReference"/>
          <w:rtl/>
          <w:lang w:val="fr-CH"/>
        </w:rPr>
        <w:footnoteReference w:id="245"/>
      </w:r>
      <w:r w:rsidRPr="00FA0FC2">
        <w:rPr>
          <w:vertAlign w:val="superscript"/>
          <w:rtl/>
          <w:lang w:val="fr-CH"/>
        </w:rPr>
        <w:t>)</w:t>
      </w:r>
      <w:r w:rsidRPr="00FA0FC2">
        <w:rPr>
          <w:rtl/>
          <w:lang w:val="fr-CH"/>
        </w:rPr>
        <w:t xml:space="preserve"> </w:t>
      </w:r>
      <w:r w:rsidRPr="00FA0FC2">
        <w:rPr>
          <w:rFonts w:hint="cs"/>
          <w:rtl/>
          <w:lang w:val="fr-CH"/>
        </w:rPr>
        <w:t>وطلبه الخضوع للمزيد من الفحوصات الطبية المتخصصة، فقد رفض المجلس طلب لجوئه دون أن يأمر بإجراء ذلك الفحص. وبناءً عليه، يشكل تجاهل الدولة الطرف المعلومات الطبية المقدمة من صاحب الشكوى ورفضها إخضاعه للمزيد من الفحوصات الطبية انتهاكاً لل</w:t>
      </w:r>
      <w:r>
        <w:rPr>
          <w:rFonts w:hint="cs"/>
          <w:rtl/>
          <w:lang w:val="fr-CH"/>
        </w:rPr>
        <w:t>مادة</w:t>
      </w:r>
      <w:r>
        <w:rPr>
          <w:rtl/>
          <w:lang w:val="fr-CH"/>
        </w:rPr>
        <w:t> </w:t>
      </w:r>
      <w:r w:rsidRPr="00FA0FC2">
        <w:rPr>
          <w:rFonts w:hint="cs"/>
          <w:rtl/>
          <w:lang w:val="fr-CH"/>
        </w:rPr>
        <w:t>3 من الاتفاقية</w:t>
      </w:r>
      <w:r w:rsidRPr="00FA0FC2">
        <w:rPr>
          <w:sz w:val="28"/>
          <w:szCs w:val="28"/>
          <w:vertAlign w:val="superscript"/>
          <w:rtl/>
          <w:lang w:val="fr-CH"/>
        </w:rPr>
        <w:t>(</w:t>
      </w:r>
      <w:r w:rsidRPr="00FA0FC2">
        <w:rPr>
          <w:rStyle w:val="FootnoteReference"/>
          <w:sz w:val="28"/>
          <w:rtl/>
          <w:lang w:val="fr-CH"/>
        </w:rPr>
        <w:footnoteReference w:id="246"/>
      </w:r>
      <w:r w:rsidRPr="00FA0FC2">
        <w:rPr>
          <w:sz w:val="28"/>
          <w:szCs w:val="28"/>
          <w:vertAlign w:val="superscript"/>
          <w:rtl/>
          <w:lang w:val="fr-CH"/>
        </w:rPr>
        <w:t>)</w:t>
      </w:r>
      <w:r w:rsidRPr="00FA0FC2">
        <w:rPr>
          <w:rFonts w:hint="cs"/>
          <w:rtl/>
          <w:lang w:val="fr-CH"/>
        </w:rPr>
        <w:t>.</w:t>
      </w:r>
    </w:p>
    <w:p w:rsidR="00091373" w:rsidRPr="00FA0FC2" w:rsidRDefault="00091373" w:rsidP="00091373">
      <w:pPr>
        <w:pStyle w:val="SingleTxtGA"/>
        <w:rPr>
          <w:rFonts w:hint="cs"/>
          <w:rtl/>
          <w:lang w:val="fr-CH"/>
        </w:rPr>
      </w:pPr>
      <w:r w:rsidRPr="00FA0FC2">
        <w:rPr>
          <w:rFonts w:hint="cs"/>
          <w:rtl/>
          <w:lang w:val="fr-CH"/>
        </w:rPr>
        <w:t>3-3</w:t>
      </w:r>
      <w:r w:rsidRPr="00FA0FC2">
        <w:rPr>
          <w:rFonts w:hint="cs"/>
          <w:rtl/>
          <w:lang w:val="fr-CH"/>
        </w:rPr>
        <w:tab/>
        <w:t>ويدعي صاحب الشكوى أن الدولة الطرف أهملت أيضاً بحث ادعاءاته وتقييمها في ضوء حالة حقوق الإنسان في أفغانستان،</w:t>
      </w:r>
      <w:r>
        <w:rPr>
          <w:rFonts w:hint="cs"/>
          <w:rtl/>
          <w:lang w:val="fr-CH"/>
        </w:rPr>
        <w:t xml:space="preserve"> إذ</w:t>
      </w:r>
      <w:r>
        <w:rPr>
          <w:rtl/>
          <w:lang w:val="fr-CH"/>
        </w:rPr>
        <w:t> </w:t>
      </w:r>
      <w:r>
        <w:rPr>
          <w:rFonts w:hint="cs"/>
          <w:rtl/>
          <w:lang w:val="fr-CH"/>
        </w:rPr>
        <w:t>لم</w:t>
      </w:r>
      <w:r>
        <w:rPr>
          <w:rtl/>
          <w:lang w:val="fr-CH"/>
        </w:rPr>
        <w:t> </w:t>
      </w:r>
      <w:r w:rsidRPr="00FA0FC2">
        <w:rPr>
          <w:rFonts w:hint="cs"/>
          <w:rtl/>
          <w:lang w:val="fr-CH"/>
        </w:rPr>
        <w:t>تأخذ بعين الاعتبار على وجه الخصوص تفشي التعذيب في البلد وانهيار النظام القانوني وضلوع كل من السلطات الأفغانية والطالبان في أعمال عنف تستهدف السكان.</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 xml:space="preserve">ملاحظات الدولة الطرف على </w:t>
      </w:r>
      <w:r>
        <w:rPr>
          <w:rFonts w:hint="cs"/>
          <w:rtl/>
          <w:lang w:val="fr-CH"/>
        </w:rPr>
        <w:t>ال</w:t>
      </w:r>
      <w:r w:rsidRPr="00FA0FC2">
        <w:rPr>
          <w:rFonts w:hint="cs"/>
          <w:rtl/>
          <w:lang w:val="fr-CH"/>
        </w:rPr>
        <w:t xml:space="preserve">مقبولية </w:t>
      </w:r>
      <w:r>
        <w:rPr>
          <w:rFonts w:hint="cs"/>
          <w:rtl/>
          <w:lang w:val="fr-CH"/>
        </w:rPr>
        <w:t xml:space="preserve">والأسس </w:t>
      </w:r>
      <w:r w:rsidRPr="00FA0FC2">
        <w:rPr>
          <w:rFonts w:hint="cs"/>
          <w:rtl/>
          <w:lang w:val="fr-CH"/>
        </w:rPr>
        <w:t>الموضوعية</w:t>
      </w:r>
    </w:p>
    <w:p w:rsidR="00091373" w:rsidRPr="00FA0FC2" w:rsidRDefault="00091373" w:rsidP="00091373">
      <w:pPr>
        <w:pStyle w:val="SingleTxtGA"/>
        <w:rPr>
          <w:rFonts w:hint="cs"/>
          <w:rtl/>
          <w:lang w:val="fr-CH"/>
        </w:rPr>
      </w:pPr>
      <w:r w:rsidRPr="00FA0FC2">
        <w:rPr>
          <w:rFonts w:hint="cs"/>
          <w:rtl/>
          <w:lang w:val="fr-CH"/>
        </w:rPr>
        <w:t>4-1</w:t>
      </w:r>
      <w:r w:rsidRPr="00FA0FC2">
        <w:rPr>
          <w:rFonts w:hint="cs"/>
          <w:rtl/>
          <w:lang w:val="fr-CH"/>
        </w:rPr>
        <w:tab/>
        <w:t>في 15 كانون الأول/ديسمبر 2011، قدمت الدولة الطرف ملاحظاتها على مقبولية الشكوى وأسسها الموضوعية وطلبت إلى اللجنة أن تعلن عدم مقبولية الشكوى</w:t>
      </w:r>
      <w:r>
        <w:rPr>
          <w:rFonts w:hint="cs"/>
          <w:rtl/>
          <w:lang w:val="fr-CH"/>
        </w:rPr>
        <w:t xml:space="preserve"> إذ</w:t>
      </w:r>
      <w:r>
        <w:rPr>
          <w:rtl/>
          <w:lang w:val="fr-CH"/>
        </w:rPr>
        <w:t> </w:t>
      </w:r>
      <w:r w:rsidRPr="00FA0FC2">
        <w:rPr>
          <w:rFonts w:hint="cs"/>
          <w:rtl/>
          <w:lang w:val="fr-CH"/>
        </w:rPr>
        <w:t>يتضح أنها</w:t>
      </w:r>
      <w:r>
        <w:rPr>
          <w:rFonts w:hint="cs"/>
          <w:rtl/>
          <w:lang w:val="fr-CH"/>
        </w:rPr>
        <w:t xml:space="preserve"> بلا</w:t>
      </w:r>
      <w:r>
        <w:rPr>
          <w:rtl/>
          <w:lang w:val="fr-CH"/>
        </w:rPr>
        <w:t> </w:t>
      </w:r>
      <w:r w:rsidRPr="00FA0FC2">
        <w:rPr>
          <w:rFonts w:hint="cs"/>
          <w:rtl/>
          <w:lang w:val="fr-CH"/>
        </w:rPr>
        <w:t>أساس وفقاً للفقرة 2 من ال</w:t>
      </w:r>
      <w:r>
        <w:rPr>
          <w:rFonts w:hint="cs"/>
          <w:rtl/>
          <w:lang w:val="fr-CH"/>
        </w:rPr>
        <w:t>مادة</w:t>
      </w:r>
      <w:r>
        <w:rPr>
          <w:rtl/>
          <w:lang w:val="fr-CH"/>
        </w:rPr>
        <w:t> </w:t>
      </w:r>
      <w:r w:rsidRPr="00FA0FC2">
        <w:rPr>
          <w:rFonts w:hint="cs"/>
          <w:rtl/>
          <w:lang w:val="fr-CH"/>
        </w:rPr>
        <w:t>22 من الاتفاقية،</w:t>
      </w:r>
      <w:r>
        <w:rPr>
          <w:rFonts w:hint="cs"/>
          <w:rtl/>
          <w:lang w:val="fr-CH"/>
        </w:rPr>
        <w:t xml:space="preserve"> أو</w:t>
      </w:r>
      <w:r>
        <w:rPr>
          <w:rtl/>
          <w:lang w:val="fr-CH"/>
        </w:rPr>
        <w:t> </w:t>
      </w:r>
      <w:r w:rsidRPr="00FA0FC2">
        <w:rPr>
          <w:rFonts w:hint="cs"/>
          <w:rtl/>
          <w:lang w:val="fr-CH"/>
        </w:rPr>
        <w:t>أن تعلن أن الشكوى</w:t>
      </w:r>
      <w:r>
        <w:rPr>
          <w:rFonts w:hint="cs"/>
          <w:rtl/>
          <w:lang w:val="fr-CH"/>
        </w:rPr>
        <w:t xml:space="preserve"> لا</w:t>
      </w:r>
      <w:r>
        <w:rPr>
          <w:rtl/>
          <w:lang w:val="fr-CH"/>
        </w:rPr>
        <w:t> </w:t>
      </w:r>
      <w:r w:rsidRPr="00FA0FC2">
        <w:rPr>
          <w:rFonts w:hint="cs"/>
          <w:rtl/>
          <w:lang w:val="fr-CH"/>
        </w:rPr>
        <w:t>تكشف عن انتهاك لل</w:t>
      </w:r>
      <w:r>
        <w:rPr>
          <w:rFonts w:hint="cs"/>
          <w:rtl/>
          <w:lang w:val="fr-CH"/>
        </w:rPr>
        <w:t>مادة</w:t>
      </w:r>
      <w:r>
        <w:rPr>
          <w:rtl/>
          <w:lang w:val="fr-CH"/>
        </w:rPr>
        <w:t> </w:t>
      </w:r>
      <w:r w:rsidRPr="00FA0FC2">
        <w:rPr>
          <w:rFonts w:hint="cs"/>
          <w:rtl/>
          <w:lang w:val="fr-CH"/>
        </w:rPr>
        <w:t xml:space="preserve">3 من الاتفاقية. </w:t>
      </w:r>
    </w:p>
    <w:p w:rsidR="00091373" w:rsidRPr="00FA0FC2" w:rsidRDefault="00091373" w:rsidP="00091373">
      <w:pPr>
        <w:pStyle w:val="SingleTxtGA"/>
        <w:rPr>
          <w:rFonts w:hint="cs"/>
          <w:rtl/>
          <w:lang w:val="fr-CH"/>
        </w:rPr>
      </w:pPr>
      <w:r w:rsidRPr="00FA0FC2">
        <w:rPr>
          <w:rFonts w:hint="cs"/>
          <w:rtl/>
          <w:lang w:val="fr-CH"/>
        </w:rPr>
        <w:t>4-2</w:t>
      </w:r>
      <w:r w:rsidRPr="00FA0FC2">
        <w:rPr>
          <w:rFonts w:hint="cs"/>
          <w:rtl/>
          <w:lang w:val="fr-CH"/>
        </w:rPr>
        <w:tab/>
        <w:t>وقدمت الدولة الطرف معلومات عن إجراءات اللجوء التي اضطلع بها كل من إدارة الهجرة الدانمركية ومجلس طعون اللاجئين. ففي 23 آب/أغسطس 2010، ادعى صاحب الشكوى أنه احتُجز مرتين: مرة من قبل الطالبان ومرة من قبل السلطات الأفغانية. واتهمته السلطات بتنظيم تفجير وقع في جلال آباد. ودفع عم زوجته رشوة إلى السلطا</w:t>
      </w:r>
      <w:r w:rsidRPr="00FA0FC2">
        <w:rPr>
          <w:rFonts w:hint="eastAsia"/>
          <w:rtl/>
          <w:lang w:val="fr-CH"/>
        </w:rPr>
        <w:t>ت</w:t>
      </w:r>
      <w:r w:rsidRPr="00FA0FC2">
        <w:rPr>
          <w:rFonts w:hint="cs"/>
          <w:rtl/>
          <w:lang w:val="fr-CH"/>
        </w:rPr>
        <w:t xml:space="preserve"> لتمكينه من الفرار. وقال إن الشرطة تبحث عنه ويُحتمل أن تقتله في حال توقيفه مرة أخرى.</w:t>
      </w:r>
      <w:r>
        <w:rPr>
          <w:rFonts w:hint="cs"/>
          <w:rtl/>
          <w:lang w:val="fr-CH"/>
        </w:rPr>
        <w:t xml:space="preserve"> أما</w:t>
      </w:r>
      <w:r>
        <w:rPr>
          <w:rtl/>
          <w:lang w:val="fr-CH"/>
        </w:rPr>
        <w:t> </w:t>
      </w:r>
      <w:r w:rsidRPr="00FA0FC2">
        <w:rPr>
          <w:rFonts w:hint="cs"/>
          <w:rtl/>
          <w:lang w:val="fr-CH"/>
        </w:rPr>
        <w:t>بخصوص الطالبان، فيقول صاحب الشكوى إنه تعرض وأسرته لتهديدات من الطالبان في شبرهار، وكان هؤلاء يعتقدون أنهم جواسيس لدى الحكومة. وأفاد بأن منزله قُصف قبل ثلاثة أعوام</w:t>
      </w:r>
      <w:r>
        <w:rPr>
          <w:rFonts w:hint="cs"/>
          <w:rtl/>
          <w:lang w:val="fr-CH"/>
        </w:rPr>
        <w:t xml:space="preserve"> أو</w:t>
      </w:r>
      <w:r>
        <w:rPr>
          <w:rtl/>
          <w:lang w:val="fr-CH"/>
        </w:rPr>
        <w:t> </w:t>
      </w:r>
      <w:r w:rsidRPr="00FA0FC2">
        <w:rPr>
          <w:rFonts w:hint="cs"/>
          <w:rtl/>
          <w:lang w:val="fr-CH"/>
        </w:rPr>
        <w:t xml:space="preserve">أربعة وأن والده وشقيقه قُتلا في هذه الحادثة. </w:t>
      </w:r>
    </w:p>
    <w:p w:rsidR="00091373" w:rsidRPr="00FA0FC2" w:rsidRDefault="00091373" w:rsidP="00C00C0D">
      <w:pPr>
        <w:pStyle w:val="SingleTxtGA"/>
        <w:spacing w:line="370" w:lineRule="exact"/>
        <w:rPr>
          <w:rFonts w:hint="cs"/>
          <w:rtl/>
          <w:lang w:val="fr-CH"/>
        </w:rPr>
      </w:pPr>
      <w:r w:rsidRPr="00C00C0D">
        <w:rPr>
          <w:rFonts w:hint="cs"/>
          <w:spacing w:val="-2"/>
          <w:rtl/>
          <w:lang w:val="fr-CH"/>
        </w:rPr>
        <w:t>4-3</w:t>
      </w:r>
      <w:r w:rsidRPr="00C00C0D">
        <w:rPr>
          <w:rFonts w:hint="cs"/>
          <w:spacing w:val="-2"/>
          <w:rtl/>
          <w:lang w:val="fr-CH"/>
        </w:rPr>
        <w:tab/>
        <w:t>وفي 2 أيلول/سبتمبر 2010، أجرت إدارة الهجرة مقابلة مع صاحب الشكوى. وادعى أنه قبل ستة أشهر، كان يغادر المبنى الذي يعمل فيه عندما حدث انفجار بالقرب من مطار جلال آباد، ما</w:t>
      </w:r>
      <w:r w:rsidRPr="00C00C0D">
        <w:rPr>
          <w:spacing w:val="-2"/>
          <w:rtl/>
          <w:lang w:val="fr-CH"/>
        </w:rPr>
        <w:t> </w:t>
      </w:r>
      <w:r w:rsidRPr="00C00C0D">
        <w:rPr>
          <w:rFonts w:hint="cs"/>
          <w:spacing w:val="-2"/>
          <w:rtl/>
          <w:lang w:val="fr-CH"/>
        </w:rPr>
        <w:t>دفعه إلى البقاء داخل المبنى قبل الخروج بعد برهة. غير أن الشرطة حضرت واحتجزته برفقة أربعة من زملائه. واقتادتهم جميعاً إلى مركز شرطة إقليمي في جلال</w:t>
      </w:r>
      <w:r w:rsidRPr="00FA0FC2">
        <w:rPr>
          <w:rFonts w:hint="cs"/>
          <w:rtl/>
          <w:lang w:val="fr-CH"/>
        </w:rPr>
        <w:t xml:space="preserve"> آباد واحتجزتهم في زنزانة مع آخرين. وقضوا يومين في الاحتجاز. وأثناء هذه الفترة، استُجوب صاحب الشكوى ثلاث مرات في اليوم وتعرض للعنف من قبل رجال الشرطة الذين ركلوه وضربوه بأعقاب البنادق. وأُفرج عن زملائه، لكنه ظل محتجزاً لأنه من قرية شبرهار التي ينتمي إليها إرهابيون كثيرون. ثم أُفرج عنه بعد أن دفع رشوة كبيرة. غير أن السلطات أخبرته بضرورة مغادرة البلد. وقد روى لإدارة الهجرة أيضاً أنه قبل ذلك وبينما كان يساعد في بناء طريق جديد، قدم الطالبان في إحدى الليالي واحتجزوه برفقة سبعة آخرين. وقد ربطوه إلى شجرة وضربوه بأخشاب وبأعقاب بنادقهم. وأُفرج عنه في صباح اليوم التالي، عند وصول سكان القرية إلى المكان الذي تُرك فيه ومن معه. وعندما سُئل قال إنه</w:t>
      </w:r>
      <w:r>
        <w:rPr>
          <w:rFonts w:hint="cs"/>
          <w:rtl/>
          <w:lang w:val="fr-CH"/>
        </w:rPr>
        <w:t xml:space="preserve"> لم</w:t>
      </w:r>
      <w:r>
        <w:rPr>
          <w:rtl/>
          <w:lang w:val="fr-CH"/>
        </w:rPr>
        <w:t> </w:t>
      </w:r>
      <w:r w:rsidRPr="00FA0FC2">
        <w:rPr>
          <w:rFonts w:hint="cs"/>
          <w:rtl/>
          <w:lang w:val="fr-CH"/>
        </w:rPr>
        <w:t>يُحتجز بعد ذلك</w:t>
      </w:r>
      <w:r>
        <w:rPr>
          <w:rFonts w:hint="cs"/>
          <w:rtl/>
          <w:lang w:val="fr-CH"/>
        </w:rPr>
        <w:t xml:space="preserve"> أو</w:t>
      </w:r>
      <w:r>
        <w:rPr>
          <w:rtl/>
          <w:lang w:val="fr-CH"/>
        </w:rPr>
        <w:t> </w:t>
      </w:r>
      <w:r w:rsidRPr="00FA0FC2">
        <w:rPr>
          <w:rFonts w:hint="cs"/>
          <w:rtl/>
          <w:lang w:val="fr-CH"/>
        </w:rPr>
        <w:t>واجه أي مشكلة أخرى في أفغانستان. وذكر أيضاً أنه شارك في مظاهرات احتجاج على الطالبان قبل ثلاث سنوات</w:t>
      </w:r>
      <w:r>
        <w:rPr>
          <w:rFonts w:hint="cs"/>
          <w:rtl/>
          <w:lang w:val="fr-CH"/>
        </w:rPr>
        <w:t xml:space="preserve"> أو</w:t>
      </w:r>
      <w:r>
        <w:rPr>
          <w:rtl/>
          <w:lang w:val="fr-CH"/>
        </w:rPr>
        <w:t> </w:t>
      </w:r>
      <w:r w:rsidRPr="00FA0FC2">
        <w:rPr>
          <w:rFonts w:hint="cs"/>
          <w:rtl/>
          <w:lang w:val="fr-CH"/>
        </w:rPr>
        <w:t>أربع.</w:t>
      </w:r>
    </w:p>
    <w:p w:rsidR="00091373" w:rsidRPr="00FA0FC2" w:rsidRDefault="00091373" w:rsidP="00C00C0D">
      <w:pPr>
        <w:pStyle w:val="SingleTxtGA"/>
        <w:spacing w:line="370" w:lineRule="exact"/>
        <w:rPr>
          <w:rFonts w:hint="cs"/>
          <w:rtl/>
          <w:lang w:val="fr-CH"/>
        </w:rPr>
      </w:pPr>
      <w:r w:rsidRPr="00FA0FC2">
        <w:rPr>
          <w:rFonts w:hint="cs"/>
          <w:rtl/>
          <w:lang w:val="fr-CH"/>
        </w:rPr>
        <w:t>4-4</w:t>
      </w:r>
      <w:r w:rsidRPr="00FA0FC2">
        <w:rPr>
          <w:rFonts w:hint="cs"/>
          <w:rtl/>
          <w:lang w:val="fr-CH"/>
        </w:rPr>
        <w:tab/>
        <w:t>وفي 21 تشرين الأول/أكتوبر 2010، استجوبت سلطات الهجرة صاحب الشكوى مرة أخرى. وقد أكّد بداية أن سلطات أفغانستان</w:t>
      </w:r>
      <w:r>
        <w:rPr>
          <w:rFonts w:hint="cs"/>
          <w:rtl/>
          <w:lang w:val="fr-CH"/>
        </w:rPr>
        <w:t xml:space="preserve"> لم</w:t>
      </w:r>
      <w:r>
        <w:rPr>
          <w:rtl/>
          <w:lang w:val="fr-CH"/>
        </w:rPr>
        <w:t> </w:t>
      </w:r>
      <w:r w:rsidRPr="00FA0FC2">
        <w:rPr>
          <w:rFonts w:hint="cs"/>
          <w:rtl/>
          <w:lang w:val="fr-CH"/>
        </w:rPr>
        <w:t>تحتجزه</w:t>
      </w:r>
      <w:r>
        <w:rPr>
          <w:rFonts w:hint="cs"/>
          <w:rtl/>
          <w:lang w:val="fr-CH"/>
        </w:rPr>
        <w:t xml:space="preserve"> أو</w:t>
      </w:r>
      <w:r>
        <w:rPr>
          <w:rtl/>
          <w:lang w:val="fr-CH"/>
        </w:rPr>
        <w:t> </w:t>
      </w:r>
      <w:r w:rsidRPr="00FA0FC2">
        <w:rPr>
          <w:rFonts w:hint="cs"/>
          <w:rtl/>
          <w:lang w:val="fr-CH"/>
        </w:rPr>
        <w:t>تلق عليه القبض قط،</w:t>
      </w:r>
      <w:r>
        <w:rPr>
          <w:rFonts w:hint="cs"/>
          <w:rtl/>
          <w:lang w:val="fr-CH"/>
        </w:rPr>
        <w:t xml:space="preserve"> كما</w:t>
      </w:r>
      <w:r>
        <w:rPr>
          <w:rtl/>
          <w:lang w:val="fr-CH"/>
        </w:rPr>
        <w:t> </w:t>
      </w:r>
      <w:r w:rsidRPr="00FA0FC2">
        <w:rPr>
          <w:rFonts w:hint="cs"/>
          <w:rtl/>
          <w:lang w:val="fr-CH"/>
        </w:rPr>
        <w:t>أنها</w:t>
      </w:r>
      <w:r>
        <w:rPr>
          <w:rFonts w:hint="cs"/>
          <w:rtl/>
          <w:lang w:val="fr-CH"/>
        </w:rPr>
        <w:t xml:space="preserve"> لا</w:t>
      </w:r>
      <w:r>
        <w:rPr>
          <w:rtl/>
          <w:lang w:val="fr-CH"/>
        </w:rPr>
        <w:t> </w:t>
      </w:r>
      <w:r w:rsidRPr="00FA0FC2">
        <w:rPr>
          <w:rFonts w:hint="cs"/>
          <w:rtl/>
          <w:lang w:val="fr-CH"/>
        </w:rPr>
        <w:t>تبحث عنه. ثم قال بعد ذلك إن الشرطة احتجزته أثناء احتفالات بأحد الأعياد قبل دخوله الدانمرك بستة أشهر. وعند مواجهته بإفادته السابقة، قال إنه ظن أن الغرض من السؤال كان يقتصر على معرفة</w:t>
      </w:r>
      <w:r>
        <w:rPr>
          <w:rFonts w:hint="cs"/>
          <w:rtl/>
          <w:lang w:val="fr-CH"/>
        </w:rPr>
        <w:t xml:space="preserve"> ما</w:t>
      </w:r>
      <w:r>
        <w:rPr>
          <w:rtl/>
          <w:lang w:val="fr-CH"/>
        </w:rPr>
        <w:t> </w:t>
      </w:r>
      <w:r w:rsidRPr="00FA0FC2">
        <w:rPr>
          <w:rFonts w:hint="cs"/>
          <w:rtl/>
          <w:lang w:val="fr-CH"/>
        </w:rPr>
        <w:t>إذا كان قد واجه مشاكل أيام حكم الرئيس نجيب الله وليس أيام حكم الرئيس قرضاي. وأثناء الاستجواب، صرح أيضاً بأنه كان يعمل خارج أحد المباني عند حدوث الانفجار في جلال آباد وأنه بدأ يركض في الاتجاه المعاكس لمكان رجال الشرطة لأنهم كانوا يطلقون النار وكان يخشى أن يصيبه رصاصهم. وعندما ذكرت السلطات أن هذه الأقوال</w:t>
      </w:r>
      <w:r>
        <w:rPr>
          <w:rFonts w:hint="cs"/>
          <w:rtl/>
          <w:lang w:val="fr-CH"/>
        </w:rPr>
        <w:t xml:space="preserve"> لا</w:t>
      </w:r>
      <w:r>
        <w:rPr>
          <w:rtl/>
          <w:lang w:val="fr-CH"/>
        </w:rPr>
        <w:t> </w:t>
      </w:r>
      <w:r w:rsidRPr="00FA0FC2">
        <w:rPr>
          <w:rFonts w:hint="cs"/>
          <w:rtl/>
          <w:lang w:val="fr-CH"/>
        </w:rPr>
        <w:t>تتفق مع إفادته السابقة، قال إنه بقي خارج المبنى. وعندما سألته السلطات</w:t>
      </w:r>
      <w:r>
        <w:rPr>
          <w:rFonts w:hint="cs"/>
          <w:rtl/>
          <w:lang w:val="fr-CH"/>
        </w:rPr>
        <w:t xml:space="preserve"> لم</w:t>
      </w:r>
      <w:r>
        <w:rPr>
          <w:rtl/>
          <w:lang w:val="fr-CH"/>
        </w:rPr>
        <w:t> </w:t>
      </w:r>
      <w:r w:rsidRPr="00FA0FC2">
        <w:rPr>
          <w:rFonts w:hint="cs"/>
          <w:rtl/>
          <w:lang w:val="fr-CH"/>
        </w:rPr>
        <w:t>لم يطلب إلى الشرطة الاتصال برئيسه في موقع البناء بغية تأكيد أقواله، رد قائلاً إنه</w:t>
      </w:r>
      <w:r>
        <w:rPr>
          <w:rFonts w:hint="cs"/>
          <w:rtl/>
          <w:lang w:val="fr-CH"/>
        </w:rPr>
        <w:t xml:space="preserve"> لم</w:t>
      </w:r>
      <w:r>
        <w:rPr>
          <w:rtl/>
          <w:lang w:val="fr-CH"/>
        </w:rPr>
        <w:t> </w:t>
      </w:r>
      <w:r w:rsidRPr="00FA0FC2">
        <w:rPr>
          <w:rFonts w:hint="cs"/>
          <w:rtl/>
          <w:lang w:val="fr-CH"/>
        </w:rPr>
        <w:t>يكن لديه رئيس فعلي وإن أحد المهندسين كان يأتي من حين إلى آخر لمراقبة الأشغال ودفع الأجور. وعندما سُئل عما إذا كان أفراد الشرطة المرتشون قد وضعوا شروطاً لإطلاق سراحه، رد بالنفي. وعندما وُوجه بأقواله السابقة، صرح أن عم زوجته هو الذي أوعز إليه بالرحيل، لكن الشرطة أيضاً كانت تريد منه مغادرة أفغانستان. وبخصوص</w:t>
      </w:r>
      <w:r>
        <w:rPr>
          <w:rFonts w:hint="cs"/>
          <w:rtl/>
          <w:lang w:val="fr-CH"/>
        </w:rPr>
        <w:t xml:space="preserve"> ما</w:t>
      </w:r>
      <w:r>
        <w:rPr>
          <w:rtl/>
          <w:lang w:val="fr-CH"/>
        </w:rPr>
        <w:t> </w:t>
      </w:r>
      <w:r w:rsidRPr="00FA0FC2">
        <w:rPr>
          <w:rFonts w:hint="cs"/>
          <w:rtl/>
          <w:lang w:val="fr-CH"/>
        </w:rPr>
        <w:t>يدعيه من أن الطالبان كانوا يبحثون عن أسرته، أوضح أن وظيفة كل من والده وشقيقه جعلت الطالبان يعتقدون أنهما جاسوسان لدى الحكومة.</w:t>
      </w:r>
    </w:p>
    <w:p w:rsidR="00091373" w:rsidRPr="00FA0FC2" w:rsidRDefault="00091373" w:rsidP="00C00C0D">
      <w:pPr>
        <w:pStyle w:val="SingleTxtGA"/>
        <w:spacing w:line="370" w:lineRule="exact"/>
        <w:rPr>
          <w:rFonts w:hint="cs"/>
          <w:rtl/>
          <w:lang w:val="fr-CH"/>
        </w:rPr>
      </w:pPr>
      <w:r w:rsidRPr="00FA0FC2">
        <w:rPr>
          <w:rFonts w:hint="cs"/>
          <w:rtl/>
          <w:lang w:val="fr-CH"/>
        </w:rPr>
        <w:t>4-5</w:t>
      </w:r>
      <w:r w:rsidRPr="00FA0FC2">
        <w:rPr>
          <w:rFonts w:hint="cs"/>
          <w:rtl/>
          <w:lang w:val="fr-CH"/>
        </w:rPr>
        <w:tab/>
        <w:t xml:space="preserve">وفي 17 كانون الثاني/يناير 2011، ادعى صاحب الشكوى، أمام مجلس طعون اللاجئين، أنه كان عائداً من العمل إلى المنزل، وكان قريباً من المطار بعد أن مشى حوالي 20 دقيقة، عندما حدث الانفجار. ولدى مواجهته بأقواله السابقة، رد قائلاً إنه كان يغادر المبنى عند حدوث الانفجار، وإنه فرّ من الموقع، وإن الشرطة أمرته بالتوقف لكنه واصل الركض فزعاً. وأفاد أيضاً أنه احتُجز لأنه كان يتكلم الباشتو وينحدر من تورا بورا. وعند مواجهته بأقواله السابقة دفع بأن شبرهار وتورا بورا منطقتان متجاورتان. وُوجه أيضاً بأقواله المتضاربة السابقة بخصوص ظروف الإفراج عنه، فأخبر السلطات أن الشرطة كانت تخشى أن يفشي موضوع الرشوة. ولهذا طلب منه رئيس الشرطة مغادرة البلد. </w:t>
      </w:r>
    </w:p>
    <w:p w:rsidR="00091373" w:rsidRPr="007279DC" w:rsidRDefault="00091373" w:rsidP="00091373">
      <w:pPr>
        <w:pStyle w:val="SingleTxtGA"/>
        <w:rPr>
          <w:rFonts w:hint="cs"/>
          <w:spacing w:val="-2"/>
          <w:rtl/>
          <w:lang w:val="fr-CH"/>
        </w:rPr>
      </w:pPr>
      <w:r w:rsidRPr="007279DC">
        <w:rPr>
          <w:rFonts w:hint="cs"/>
          <w:spacing w:val="-2"/>
          <w:rtl/>
          <w:lang w:val="fr-CH"/>
        </w:rPr>
        <w:t>4-6</w:t>
      </w:r>
      <w:r w:rsidRPr="007279DC">
        <w:rPr>
          <w:rFonts w:hint="cs"/>
          <w:spacing w:val="-2"/>
          <w:rtl/>
          <w:lang w:val="fr-CH"/>
        </w:rPr>
        <w:tab/>
        <w:t>وفي محضر طلب اللجوء، قال صاحب الشكوى إن ضلوعه السفلية أُصيبت برضوض قبل سنتين وإنه ينتظر الخضوع لفحص طبي. وعدا ذلك فهو في صحة جيدة. وأثناء مقابلته مع إدارة الهجرة في 21 تشرين الأول/أكتوبر 2010، أكّد أنه يخضع لعلاج في الدانمرك بسبب مشاكل في المعدة. وفي</w:t>
      </w:r>
      <w:r w:rsidRPr="007279DC">
        <w:rPr>
          <w:spacing w:val="-2"/>
          <w:rtl/>
          <w:lang w:val="fr-CH"/>
        </w:rPr>
        <w:t> </w:t>
      </w:r>
      <w:r w:rsidRPr="007279DC">
        <w:rPr>
          <w:rFonts w:hint="cs"/>
          <w:spacing w:val="-2"/>
          <w:rtl/>
          <w:lang w:val="fr-CH"/>
        </w:rPr>
        <w:t>الاعتراض المقدم إلى لجنة طعون اللاجئين في 10 كانون الثاني/</w:t>
      </w:r>
      <w:r>
        <w:rPr>
          <w:rFonts w:hint="cs"/>
          <w:spacing w:val="-2"/>
          <w:rtl/>
          <w:lang w:val="fr-CH"/>
        </w:rPr>
        <w:t xml:space="preserve"> </w:t>
      </w:r>
      <w:r w:rsidRPr="007279DC">
        <w:rPr>
          <w:rFonts w:hint="cs"/>
          <w:spacing w:val="-2"/>
          <w:rtl/>
          <w:lang w:val="fr-CH"/>
        </w:rPr>
        <w:t>يناير</w:t>
      </w:r>
      <w:r>
        <w:rPr>
          <w:rFonts w:hint="eastAsia"/>
          <w:spacing w:val="-2"/>
          <w:rtl/>
          <w:lang w:val="fr-CH"/>
        </w:rPr>
        <w:t> </w:t>
      </w:r>
      <w:r w:rsidRPr="007279DC">
        <w:rPr>
          <w:rFonts w:hint="cs"/>
          <w:spacing w:val="-2"/>
          <w:rtl/>
          <w:lang w:val="fr-CH"/>
        </w:rPr>
        <w:t>2011، طلب محاميه تعليق الإجراءات لتمكين موكله من الخضوع لفحص يكشف أمارات التعذيب، وأرفق بطلبه مذكرتين طبيّتين مؤرختين 11 تشرين الأول/أكتوبر و13 كانون الأول/ديسمبر 2010. وفي</w:t>
      </w:r>
      <w:r w:rsidRPr="007279DC">
        <w:rPr>
          <w:spacing w:val="-2"/>
          <w:rtl/>
          <w:lang w:val="fr-CH"/>
        </w:rPr>
        <w:t> </w:t>
      </w:r>
      <w:r w:rsidRPr="007279DC">
        <w:rPr>
          <w:rFonts w:hint="cs"/>
          <w:spacing w:val="-2"/>
          <w:rtl/>
          <w:lang w:val="fr-CH"/>
        </w:rPr>
        <w:t>17 كانون الثاني/يناير 2011، كرّر صاحب الشكوى أمام المجلس أقواله السابقة وقال إن الأطباء في الدانمرك لم</w:t>
      </w:r>
      <w:r w:rsidRPr="007279DC">
        <w:rPr>
          <w:spacing w:val="-2"/>
          <w:rtl/>
          <w:lang w:val="fr-CH"/>
        </w:rPr>
        <w:t> </w:t>
      </w:r>
      <w:r w:rsidRPr="007279DC">
        <w:rPr>
          <w:rFonts w:hint="cs"/>
          <w:spacing w:val="-2"/>
          <w:rtl/>
          <w:lang w:val="fr-CH"/>
        </w:rPr>
        <w:t>يتمكنوا من إخضاعه لعملية جراحة للضلوع، ما</w:t>
      </w:r>
      <w:r w:rsidRPr="007279DC">
        <w:rPr>
          <w:spacing w:val="-2"/>
          <w:rtl/>
          <w:lang w:val="fr-CH"/>
        </w:rPr>
        <w:t> </w:t>
      </w:r>
      <w:r w:rsidRPr="007279DC">
        <w:rPr>
          <w:rFonts w:hint="cs"/>
          <w:spacing w:val="-2"/>
          <w:rtl/>
          <w:lang w:val="fr-CH"/>
        </w:rPr>
        <w:t>دفعه إلى تناول المسكنات. وهو يتناول أيضا دواءً للتخلص من الكوابيس.</w:t>
      </w:r>
    </w:p>
    <w:p w:rsidR="00091373" w:rsidRPr="007279DC" w:rsidRDefault="00091373" w:rsidP="00091373">
      <w:pPr>
        <w:pStyle w:val="SingleTxtGA"/>
        <w:rPr>
          <w:rFonts w:hint="cs"/>
          <w:spacing w:val="-2"/>
          <w:rtl/>
          <w:lang w:val="fr-CH"/>
        </w:rPr>
      </w:pPr>
      <w:r w:rsidRPr="007279DC">
        <w:rPr>
          <w:rFonts w:hint="cs"/>
          <w:spacing w:val="-2"/>
          <w:rtl/>
          <w:lang w:val="fr-CH"/>
        </w:rPr>
        <w:t>4-7</w:t>
      </w:r>
      <w:r w:rsidRPr="007279DC">
        <w:rPr>
          <w:rFonts w:hint="cs"/>
          <w:spacing w:val="-2"/>
          <w:rtl/>
          <w:lang w:val="fr-CH"/>
        </w:rPr>
        <w:tab/>
        <w:t>وبخصوص التشريعات الوطنية الدانمركية، تفيد الدولة الطرف بأنه يمكن، وفقاً للفقرة</w:t>
      </w:r>
      <w:r w:rsidRPr="007279DC">
        <w:rPr>
          <w:rFonts w:hint="eastAsia"/>
          <w:spacing w:val="-2"/>
          <w:rtl/>
          <w:lang w:val="fr-CH"/>
        </w:rPr>
        <w:t> </w:t>
      </w:r>
      <w:r w:rsidRPr="007279DC">
        <w:rPr>
          <w:rFonts w:hint="cs"/>
          <w:spacing w:val="-2"/>
          <w:rtl/>
          <w:lang w:val="fr-CH"/>
        </w:rPr>
        <w:t>1 من المادة</w:t>
      </w:r>
      <w:r w:rsidRPr="007279DC">
        <w:rPr>
          <w:spacing w:val="-2"/>
          <w:rtl/>
          <w:lang w:val="fr-CH"/>
        </w:rPr>
        <w:t> </w:t>
      </w:r>
      <w:r w:rsidRPr="007279DC">
        <w:rPr>
          <w:rFonts w:hint="cs"/>
          <w:spacing w:val="-2"/>
          <w:rtl/>
          <w:lang w:val="fr-CH"/>
        </w:rPr>
        <w:t>7 من قانون الأجانب، منح الأجانب تصريح إقامة إذا كان الشخص المعني مشمولاً بأحكام الاتفاقية الخاصة بوضع اللاجئين. ولهذا الغرض أُدرجت المادة</w:t>
      </w:r>
      <w:r w:rsidRPr="007279DC">
        <w:rPr>
          <w:spacing w:val="-2"/>
          <w:rtl/>
          <w:lang w:val="fr-CH"/>
        </w:rPr>
        <w:t> </w:t>
      </w:r>
      <w:r w:rsidRPr="007279DC">
        <w:rPr>
          <w:rFonts w:hint="cs"/>
          <w:spacing w:val="-2"/>
          <w:rtl/>
          <w:lang w:val="fr-CH"/>
        </w:rPr>
        <w:t>1(أ) من تلك الاتفاقية في القانون الدانمركي. ورغم أن هذه المادة</w:t>
      </w:r>
      <w:r w:rsidRPr="007279DC">
        <w:rPr>
          <w:spacing w:val="-2"/>
          <w:rtl/>
          <w:lang w:val="fr-CH"/>
        </w:rPr>
        <w:t> </w:t>
      </w:r>
      <w:r w:rsidRPr="007279DC">
        <w:rPr>
          <w:rFonts w:hint="cs"/>
          <w:spacing w:val="-2"/>
          <w:rtl/>
          <w:lang w:val="fr-CH"/>
        </w:rPr>
        <w:t>لا</w:t>
      </w:r>
      <w:r w:rsidRPr="007279DC">
        <w:rPr>
          <w:spacing w:val="-2"/>
          <w:rtl/>
          <w:lang w:val="fr-CH"/>
        </w:rPr>
        <w:t> </w:t>
      </w:r>
      <w:r w:rsidRPr="007279DC">
        <w:rPr>
          <w:rFonts w:hint="cs"/>
          <w:spacing w:val="-2"/>
          <w:rtl/>
          <w:lang w:val="fr-CH"/>
        </w:rPr>
        <w:t>تذكر التعذيب من بين مبررات اللجوء، يمكن اعتبار التعذيب عنصراً من عناصر الاضطهاد. وبناءً عليه، يمكن منح تصريح إقامة في الحالات التي يُستنتج فيها أن ملتمس اللجوء خضع للتعذيب قبل دخول الدولة الطرف، وحيثما اعتُبر خوفه المكين الناتج عما تعرض له من تعديات خوفاً مسوغاً. ويُمنح هذا التصريح حتى عندما لا</w:t>
      </w:r>
      <w:r w:rsidRPr="007279DC">
        <w:rPr>
          <w:spacing w:val="-2"/>
          <w:rtl/>
          <w:lang w:val="fr-CH"/>
        </w:rPr>
        <w:t> </w:t>
      </w:r>
      <w:r w:rsidRPr="007279DC">
        <w:rPr>
          <w:rFonts w:hint="cs"/>
          <w:spacing w:val="-2"/>
          <w:rtl/>
          <w:lang w:val="fr-CH"/>
        </w:rPr>
        <w:t>تعتبر الإعادة الممكنة مصدراً محتملاً للمزيد من الاضطهاد. وبالمثل، تنص الفقرة 2 من المادة</w:t>
      </w:r>
      <w:r w:rsidRPr="007279DC">
        <w:rPr>
          <w:spacing w:val="-2"/>
          <w:rtl/>
          <w:lang w:val="fr-CH"/>
        </w:rPr>
        <w:t> </w:t>
      </w:r>
      <w:r w:rsidRPr="007279DC">
        <w:rPr>
          <w:rFonts w:hint="cs"/>
          <w:spacing w:val="-2"/>
          <w:rtl/>
          <w:lang w:val="fr-CH"/>
        </w:rPr>
        <w:t>7 من قانون الأجانب على إمكانية منح تصريح إقامة لملتمس أجنبي معرض لخطر عقوبة الإعدام أو</w:t>
      </w:r>
      <w:r w:rsidRPr="007279DC">
        <w:rPr>
          <w:spacing w:val="-2"/>
          <w:rtl/>
          <w:lang w:val="fr-CH"/>
        </w:rPr>
        <w:t> </w:t>
      </w:r>
      <w:r w:rsidRPr="007279DC">
        <w:rPr>
          <w:rFonts w:hint="cs"/>
          <w:spacing w:val="-2"/>
          <w:rtl/>
          <w:lang w:val="fr-CH"/>
        </w:rPr>
        <w:t>الخضوع للتعذيب أو</w:t>
      </w:r>
      <w:r w:rsidRPr="007279DC">
        <w:rPr>
          <w:spacing w:val="-2"/>
          <w:rtl/>
          <w:lang w:val="fr-CH"/>
        </w:rPr>
        <w:t> </w:t>
      </w:r>
      <w:r w:rsidRPr="007279DC">
        <w:rPr>
          <w:rFonts w:hint="cs"/>
          <w:spacing w:val="-2"/>
          <w:rtl/>
          <w:lang w:val="fr-CH"/>
        </w:rPr>
        <w:t>غيره من ضروب المعاملة أو</w:t>
      </w:r>
      <w:r w:rsidRPr="007279DC">
        <w:rPr>
          <w:spacing w:val="-2"/>
          <w:rtl/>
          <w:lang w:val="fr-CH"/>
        </w:rPr>
        <w:t> </w:t>
      </w:r>
      <w:r w:rsidRPr="007279DC">
        <w:rPr>
          <w:rFonts w:hint="cs"/>
          <w:spacing w:val="-2"/>
          <w:rtl/>
          <w:lang w:val="fr-CH"/>
        </w:rPr>
        <w:t>العقوبة اللاإنسانية أو</w:t>
      </w:r>
      <w:r w:rsidRPr="007279DC">
        <w:rPr>
          <w:spacing w:val="-2"/>
          <w:rtl/>
          <w:lang w:val="fr-CH"/>
        </w:rPr>
        <w:t> </w:t>
      </w:r>
      <w:r w:rsidRPr="007279DC">
        <w:rPr>
          <w:rFonts w:hint="cs"/>
          <w:spacing w:val="-2"/>
          <w:rtl/>
          <w:lang w:val="fr-CH"/>
        </w:rPr>
        <w:t>المهينة في حال عودته إلى بلد منشئه. وفي</w:t>
      </w:r>
      <w:r w:rsidRPr="007279DC">
        <w:rPr>
          <w:spacing w:val="-2"/>
          <w:rtl/>
          <w:lang w:val="fr-CH"/>
        </w:rPr>
        <w:t> </w:t>
      </w:r>
      <w:r w:rsidRPr="007279DC">
        <w:rPr>
          <w:rFonts w:hint="cs"/>
          <w:spacing w:val="-2"/>
          <w:rtl/>
          <w:lang w:val="fr-CH"/>
        </w:rPr>
        <w:t>الواقع، يعتبر مجلس طعون اللاجئين أن هذه الشروط مستوفاة عندما تتوفر عوامل محددة وفردية ترجح تعرض الشخص لخطر حقيقي.</w:t>
      </w:r>
    </w:p>
    <w:p w:rsidR="00091373" w:rsidRPr="00FA0FC2" w:rsidRDefault="00091373" w:rsidP="00091373">
      <w:pPr>
        <w:pStyle w:val="SingleTxtGA"/>
        <w:rPr>
          <w:rFonts w:hint="cs"/>
          <w:rtl/>
          <w:lang w:val="fr-CH"/>
        </w:rPr>
      </w:pPr>
      <w:r w:rsidRPr="00FA0FC2">
        <w:rPr>
          <w:rFonts w:hint="cs"/>
          <w:rtl/>
          <w:lang w:val="fr-CH"/>
        </w:rPr>
        <w:t>4-8</w:t>
      </w:r>
      <w:r w:rsidRPr="00FA0FC2">
        <w:rPr>
          <w:rFonts w:hint="cs"/>
          <w:rtl/>
          <w:lang w:val="fr-CH"/>
        </w:rPr>
        <w:tab/>
        <w:t>وتستند قرارات مجلس طعون اللاجئين إلى تقييم فردي ومحدد لكل حالة. وتُقيّم بيانات ملتمسي اللجوء بخصوص أسباب اللجوء في ضوء جميع القرائن الوجيهة،</w:t>
      </w:r>
      <w:r>
        <w:rPr>
          <w:rFonts w:hint="cs"/>
          <w:rtl/>
          <w:lang w:val="fr-CH"/>
        </w:rPr>
        <w:t xml:space="preserve"> بما</w:t>
      </w:r>
      <w:r>
        <w:rPr>
          <w:rtl/>
          <w:lang w:val="fr-CH"/>
        </w:rPr>
        <w:t> </w:t>
      </w:r>
      <w:r w:rsidRPr="00FA0FC2">
        <w:rPr>
          <w:rFonts w:hint="cs"/>
          <w:rtl/>
          <w:lang w:val="fr-CH"/>
        </w:rPr>
        <w:t>فيها المعلومات الأساسية العامة المتعلقة بحالة بلد المنشأ وظروفه، ويُنظر بالتحديد</w:t>
      </w:r>
      <w:r>
        <w:rPr>
          <w:rFonts w:hint="cs"/>
          <w:rtl/>
          <w:lang w:val="fr-CH"/>
        </w:rPr>
        <w:t xml:space="preserve"> فيما</w:t>
      </w:r>
      <w:r>
        <w:rPr>
          <w:rtl/>
          <w:lang w:val="fr-CH"/>
        </w:rPr>
        <w:t> </w:t>
      </w:r>
      <w:r w:rsidRPr="00FA0FC2">
        <w:rPr>
          <w:rFonts w:hint="cs"/>
          <w:rtl/>
          <w:lang w:val="fr-CH"/>
        </w:rPr>
        <w:t>إذا كان البلد يشهد بصورة منهجية حدوث انتهاكات جسيمة</w:t>
      </w:r>
      <w:r>
        <w:rPr>
          <w:rFonts w:hint="cs"/>
          <w:rtl/>
          <w:lang w:val="fr-CH"/>
        </w:rPr>
        <w:t xml:space="preserve"> أو</w:t>
      </w:r>
      <w:r>
        <w:rPr>
          <w:rtl/>
          <w:lang w:val="fr-CH"/>
        </w:rPr>
        <w:t> </w:t>
      </w:r>
      <w:r w:rsidRPr="00FA0FC2">
        <w:rPr>
          <w:rFonts w:hint="cs"/>
          <w:rtl/>
          <w:lang w:val="fr-CH"/>
        </w:rPr>
        <w:t>سافرة</w:t>
      </w:r>
      <w:r>
        <w:rPr>
          <w:rFonts w:hint="cs"/>
          <w:rtl/>
          <w:lang w:val="fr-CH"/>
        </w:rPr>
        <w:t xml:space="preserve"> أو</w:t>
      </w:r>
      <w:r>
        <w:rPr>
          <w:rtl/>
          <w:lang w:val="fr-CH"/>
        </w:rPr>
        <w:t> </w:t>
      </w:r>
      <w:r w:rsidRPr="00FA0FC2">
        <w:rPr>
          <w:rFonts w:hint="cs"/>
          <w:rtl/>
          <w:lang w:val="fr-CH"/>
        </w:rPr>
        <w:t>جماعية لحقوق الإنسان. وتُستمد المعلومات الأساسية من مصادر شتى</w:t>
      </w:r>
      <w:r>
        <w:rPr>
          <w:rFonts w:hint="cs"/>
          <w:rtl/>
          <w:lang w:val="fr-CH"/>
        </w:rPr>
        <w:t xml:space="preserve"> بما</w:t>
      </w:r>
      <w:r>
        <w:rPr>
          <w:rtl/>
          <w:lang w:val="fr-CH"/>
        </w:rPr>
        <w:t> </w:t>
      </w:r>
      <w:r w:rsidRPr="00FA0FC2">
        <w:rPr>
          <w:rFonts w:hint="cs"/>
          <w:rtl/>
          <w:lang w:val="fr-CH"/>
        </w:rPr>
        <w:t xml:space="preserve">فيها التقارير القطرية التي تعدها الحكومات الأخرى إلى جانب المعلومات المتاحة من مفوضية الأمم المتحدة لشؤون اللاجئين والمنظمات غير الحكومية البارزة. </w:t>
      </w:r>
    </w:p>
    <w:p w:rsidR="00091373" w:rsidRPr="007279DC" w:rsidRDefault="00091373" w:rsidP="00091373">
      <w:pPr>
        <w:pStyle w:val="SingleTxtGA"/>
        <w:rPr>
          <w:rFonts w:hint="cs"/>
          <w:spacing w:val="-4"/>
          <w:rtl/>
          <w:lang w:val="fr-CH"/>
        </w:rPr>
      </w:pPr>
      <w:r w:rsidRPr="007279DC">
        <w:rPr>
          <w:rFonts w:hint="cs"/>
          <w:spacing w:val="-4"/>
          <w:rtl/>
          <w:lang w:val="fr-CH"/>
        </w:rPr>
        <w:t>4-9</w:t>
      </w:r>
      <w:r w:rsidRPr="007279DC">
        <w:rPr>
          <w:rFonts w:hint="cs"/>
          <w:spacing w:val="-4"/>
          <w:rtl/>
          <w:lang w:val="fr-CH"/>
        </w:rPr>
        <w:tab/>
        <w:t>وفي الحالات التي يُتذرع فيها بالتعذيب كأساس من أسس التماس اللجوء، يمكن لمجلس طعون اللاجئين أن يطلب من ملتمس اللجوء الخضوع لفحص طبي بغية الكشف عن أمارات التعذيب. وقرار ما</w:t>
      </w:r>
      <w:r w:rsidRPr="007279DC">
        <w:rPr>
          <w:spacing w:val="-4"/>
          <w:rtl/>
          <w:lang w:val="fr-CH"/>
        </w:rPr>
        <w:t> </w:t>
      </w:r>
      <w:r w:rsidRPr="007279DC">
        <w:rPr>
          <w:rFonts w:hint="cs"/>
          <w:spacing w:val="-4"/>
          <w:rtl/>
          <w:lang w:val="fr-CH"/>
        </w:rPr>
        <w:t>إذا كان من اللازم إجراء الفحص الطبي يُتخذ في جلسة من جلسات المجلس ويتوقف على ملابسات الحالة المحددة وعلى مصداقية أقوال ملتمس اللجوء عن التعذيب.</w:t>
      </w:r>
    </w:p>
    <w:p w:rsidR="00091373" w:rsidRPr="005449FD" w:rsidRDefault="00091373" w:rsidP="005449FD">
      <w:pPr>
        <w:pStyle w:val="SingleTxtGA"/>
        <w:rPr>
          <w:rFonts w:hint="cs"/>
          <w:rtl/>
          <w:lang w:val="fr-CH"/>
        </w:rPr>
      </w:pPr>
      <w:r w:rsidRPr="005449FD">
        <w:rPr>
          <w:rFonts w:hint="cs"/>
          <w:rtl/>
          <w:lang w:val="fr-CH"/>
        </w:rPr>
        <w:t>4-10</w:t>
      </w:r>
      <w:r w:rsidRPr="005449FD">
        <w:rPr>
          <w:rFonts w:hint="cs"/>
          <w:rtl/>
          <w:lang w:val="fr-CH"/>
        </w:rPr>
        <w:tab/>
        <w:t>وتدفع الدولة الطرف بأن صاحب الشكوى مسؤول عن إثبات وجاهة قضيته بوضوح لأغراض اعتبار الشكوى مقبولة بموجب المادة</w:t>
      </w:r>
      <w:r w:rsidRPr="005449FD">
        <w:rPr>
          <w:rtl/>
          <w:lang w:val="fr-CH"/>
        </w:rPr>
        <w:t> </w:t>
      </w:r>
      <w:r w:rsidRPr="005449FD">
        <w:rPr>
          <w:rFonts w:hint="cs"/>
          <w:rtl/>
          <w:lang w:val="fr-CH"/>
        </w:rPr>
        <w:t>22 من الاتفاقية، ولم</w:t>
      </w:r>
      <w:r w:rsidRPr="005449FD">
        <w:rPr>
          <w:rtl/>
          <w:lang w:val="fr-CH"/>
        </w:rPr>
        <w:t> </w:t>
      </w:r>
      <w:r w:rsidRPr="005449FD">
        <w:rPr>
          <w:rFonts w:hint="cs"/>
          <w:rtl/>
          <w:lang w:val="fr-CH"/>
        </w:rPr>
        <w:t>يثبت في هذه الشكوى وجود أساس موضوعي لاعتقاد أن صاحب الشكوى سيتعرض لخطر التعذيب في حال إعادته إلى أفغانستان. ويُستنتج بوضوح أن الشكوى بلا</w:t>
      </w:r>
      <w:r w:rsidRPr="005449FD">
        <w:rPr>
          <w:rtl/>
          <w:lang w:val="fr-CH"/>
        </w:rPr>
        <w:t> </w:t>
      </w:r>
      <w:r w:rsidRPr="005449FD">
        <w:rPr>
          <w:rFonts w:hint="cs"/>
          <w:rtl/>
          <w:lang w:val="fr-CH"/>
        </w:rPr>
        <w:t xml:space="preserve">أساس وينبغي من ثم اعتبارها غير مقبولة. </w:t>
      </w:r>
    </w:p>
    <w:p w:rsidR="00091373" w:rsidRPr="005449FD" w:rsidRDefault="00091373" w:rsidP="005449FD">
      <w:pPr>
        <w:pStyle w:val="SingleTxtGA"/>
        <w:rPr>
          <w:rFonts w:hint="cs"/>
          <w:rtl/>
          <w:lang w:val="fr-CH"/>
        </w:rPr>
      </w:pPr>
      <w:r w:rsidRPr="005449FD">
        <w:rPr>
          <w:rFonts w:hint="cs"/>
          <w:rtl/>
          <w:lang w:val="fr-CH"/>
        </w:rPr>
        <w:t>4-11</w:t>
      </w:r>
      <w:r w:rsidRPr="005449FD">
        <w:rPr>
          <w:rFonts w:hint="cs"/>
          <w:rtl/>
          <w:lang w:val="fr-CH"/>
        </w:rPr>
        <w:tab/>
        <w:t>والغرض من هذه الشكوى هو استخدام اللجنة كهيئة استئناف تعيد تقييم الظروف</w:t>
      </w:r>
      <w:r w:rsidRPr="005449FD">
        <w:rPr>
          <w:rFonts w:hint="eastAsia"/>
          <w:rtl/>
          <w:lang w:val="fr-CH"/>
        </w:rPr>
        <w:t> </w:t>
      </w:r>
      <w:r w:rsidRPr="005449FD">
        <w:rPr>
          <w:rFonts w:hint="cs"/>
          <w:rtl/>
          <w:lang w:val="fr-CH"/>
        </w:rPr>
        <w:t>الوقائعية المدفوع بها لدعم طلب اللجوء. وتذكّر الدولة الطرف بتعليق اللجنة العام رقم 1(1997) بشأن تنفيذ المادة</w:t>
      </w:r>
      <w:r w:rsidRPr="005449FD">
        <w:rPr>
          <w:rtl/>
          <w:lang w:val="fr-CH"/>
        </w:rPr>
        <w:t> </w:t>
      </w:r>
      <w:r w:rsidRPr="005449FD">
        <w:rPr>
          <w:rFonts w:hint="cs"/>
          <w:rtl/>
          <w:lang w:val="fr-CH"/>
        </w:rPr>
        <w:t>3 من الاتفاقية</w:t>
      </w:r>
      <w:r w:rsidRPr="005449FD">
        <w:rPr>
          <w:vertAlign w:val="superscript"/>
          <w:rtl/>
          <w:lang w:val="fr-CH"/>
        </w:rPr>
        <w:t>(</w:t>
      </w:r>
      <w:r w:rsidRPr="005449FD">
        <w:rPr>
          <w:rStyle w:val="FootnoteReference"/>
          <w:rtl/>
          <w:lang w:val="fr-CH"/>
        </w:rPr>
        <w:footnoteReference w:id="247"/>
      </w:r>
      <w:r w:rsidRPr="005449FD">
        <w:rPr>
          <w:vertAlign w:val="superscript"/>
          <w:rtl/>
          <w:lang w:val="fr-CH"/>
        </w:rPr>
        <w:t>)</w:t>
      </w:r>
      <w:r w:rsidRPr="005449FD">
        <w:rPr>
          <w:rFonts w:hint="cs"/>
          <w:rtl/>
          <w:lang w:val="fr-CH"/>
        </w:rPr>
        <w:t>، وترى أن اللجنة ينبغي أن تعطي وزناً كبيراً للحيثيات الوقائعية التي تقدمها الدولة الطرف المعنية. وقد أُتيحت لصاحب الشكوى في هذه القضية فرصة تقديم آرائه كتابياً وشفوياً بمساعدة محام. ثم قام مجلس طعون اللاجئين بفحصٍ وافٍ وشامل للقرائن المعروضة في القضية. وبناءً عليه تدفع الدولة الطرف بأن من واجب اللجنة أن تعطي وزناً كبيراً لاستنتاجات المجلس.</w:t>
      </w:r>
    </w:p>
    <w:p w:rsidR="00091373" w:rsidRPr="005449FD" w:rsidRDefault="00091373" w:rsidP="005449FD">
      <w:pPr>
        <w:pStyle w:val="SingleTxtGA"/>
        <w:rPr>
          <w:rFonts w:hint="cs"/>
          <w:rtl/>
          <w:lang w:val="fr-CH"/>
        </w:rPr>
      </w:pPr>
      <w:r w:rsidRPr="005449FD">
        <w:rPr>
          <w:rFonts w:hint="cs"/>
          <w:rtl/>
          <w:lang w:val="fr-CH"/>
        </w:rPr>
        <w:t>4-12</w:t>
      </w:r>
      <w:r w:rsidRPr="005449FD">
        <w:rPr>
          <w:rFonts w:hint="cs"/>
          <w:rtl/>
          <w:lang w:val="fr-CH"/>
        </w:rPr>
        <w:tab/>
        <w:t>وقد رفض مجلس طعون اللاجئين طلب صاحب الشكوى على أساس أنه لم</w:t>
      </w:r>
      <w:r w:rsidRPr="005449FD">
        <w:rPr>
          <w:rtl/>
          <w:lang w:val="fr-CH"/>
        </w:rPr>
        <w:t> </w:t>
      </w:r>
      <w:r w:rsidRPr="005449FD">
        <w:rPr>
          <w:rFonts w:hint="cs"/>
          <w:rtl/>
          <w:lang w:val="fr-CH"/>
        </w:rPr>
        <w:t>يثبت إمكانية تعرضه لاعتداءات جديدة من جانب الطالبان في حال إعادته إلى أفغانستان. فقد صرح أثناء الإجراءات بأن الطالبان قاموا باستجواب جميع العمال وتفتيشهم. فهو إذاً ليس مستهدفاً بالاضطهاد شخصياً. وإضافة إلى ذلك، فقد سبق أن أعطى اسماً زائفاً وكان يعيش في أفغانستان دون مشاكل أخرى طيلة ما</w:t>
      </w:r>
      <w:r w:rsidRPr="005449FD">
        <w:rPr>
          <w:rtl/>
          <w:lang w:val="fr-CH"/>
        </w:rPr>
        <w:t> </w:t>
      </w:r>
      <w:r w:rsidRPr="005449FD">
        <w:rPr>
          <w:rFonts w:hint="cs"/>
          <w:rtl/>
          <w:lang w:val="fr-CH"/>
        </w:rPr>
        <w:t>لا</w:t>
      </w:r>
      <w:r w:rsidRPr="005449FD">
        <w:rPr>
          <w:rtl/>
          <w:lang w:val="fr-CH"/>
        </w:rPr>
        <w:t> </w:t>
      </w:r>
      <w:r w:rsidRPr="005449FD">
        <w:rPr>
          <w:rFonts w:hint="cs"/>
          <w:rtl/>
          <w:lang w:val="fr-CH"/>
        </w:rPr>
        <w:t xml:space="preserve">يقل عن سنة بعد وقوع الحادث. </w:t>
      </w:r>
    </w:p>
    <w:p w:rsidR="00091373" w:rsidRPr="005449FD" w:rsidRDefault="00091373" w:rsidP="005449FD">
      <w:pPr>
        <w:pStyle w:val="SingleTxtGA"/>
        <w:rPr>
          <w:rFonts w:hint="cs"/>
          <w:rtl/>
          <w:lang w:val="fr-CH"/>
        </w:rPr>
      </w:pPr>
      <w:r w:rsidRPr="005449FD">
        <w:rPr>
          <w:rFonts w:hint="cs"/>
          <w:rtl/>
          <w:lang w:val="fr-CH"/>
        </w:rPr>
        <w:t>4-13</w:t>
      </w:r>
      <w:r w:rsidRPr="005449FD">
        <w:rPr>
          <w:rFonts w:hint="cs"/>
          <w:rtl/>
          <w:lang w:val="fr-CH"/>
        </w:rPr>
        <w:tab/>
        <w:t>وبخصوص ما</w:t>
      </w:r>
      <w:r w:rsidRPr="005449FD">
        <w:rPr>
          <w:rtl/>
          <w:lang w:val="fr-CH"/>
        </w:rPr>
        <w:t> </w:t>
      </w:r>
      <w:r w:rsidRPr="005449FD">
        <w:rPr>
          <w:rFonts w:hint="cs"/>
          <w:rtl/>
          <w:lang w:val="fr-CH"/>
        </w:rPr>
        <w:t>يدعيه صاحب الشكوى من أنه خضع للتعذيب على أيدي السلطات الأفغانية، تدفع الدولة الطرف بأن ادعاءه أنه مطلوب من السلطات الأفغانية خال من المصداقية بما</w:t>
      </w:r>
      <w:r w:rsidRPr="005449FD">
        <w:rPr>
          <w:rtl/>
          <w:lang w:val="fr-CH"/>
        </w:rPr>
        <w:t> </w:t>
      </w:r>
      <w:r w:rsidRPr="005449FD">
        <w:rPr>
          <w:rFonts w:hint="cs"/>
          <w:rtl/>
          <w:lang w:val="fr-CH"/>
        </w:rPr>
        <w:t>أنه أدلى بأقوال متضاربة كل التضارب فيما</w:t>
      </w:r>
      <w:r w:rsidRPr="005449FD">
        <w:rPr>
          <w:rtl/>
          <w:lang w:val="fr-CH"/>
        </w:rPr>
        <w:t> </w:t>
      </w:r>
      <w:r w:rsidRPr="005449FD">
        <w:rPr>
          <w:rFonts w:hint="cs"/>
          <w:rtl/>
          <w:lang w:val="fr-CH"/>
        </w:rPr>
        <w:t>يتعلق بمنشئه وبمكان وجوده عند حدوث الانفجار في جلال آباد وبظروف احتجازه وشروط الإفراج عنه</w:t>
      </w:r>
      <w:r w:rsidRPr="005449FD">
        <w:rPr>
          <w:vertAlign w:val="superscript"/>
          <w:rtl/>
          <w:lang w:val="fr-CH"/>
        </w:rPr>
        <w:t>(</w:t>
      </w:r>
      <w:r w:rsidRPr="005449FD">
        <w:rPr>
          <w:rStyle w:val="FootnoteReference"/>
          <w:rtl/>
          <w:lang w:val="fr-CH"/>
        </w:rPr>
        <w:footnoteReference w:id="248"/>
      </w:r>
      <w:r w:rsidRPr="005449FD">
        <w:rPr>
          <w:vertAlign w:val="superscript"/>
          <w:rtl/>
          <w:lang w:val="fr-CH"/>
        </w:rPr>
        <w:t>)</w:t>
      </w:r>
      <w:r w:rsidRPr="005449FD">
        <w:rPr>
          <w:rFonts w:hint="cs"/>
          <w:rtl/>
          <w:lang w:val="fr-CH"/>
        </w:rPr>
        <w:t>.</w:t>
      </w:r>
    </w:p>
    <w:p w:rsidR="00091373" w:rsidRPr="005449FD" w:rsidRDefault="00091373" w:rsidP="005449FD">
      <w:pPr>
        <w:pStyle w:val="SingleTxtGA"/>
        <w:rPr>
          <w:rFonts w:hint="cs"/>
          <w:rtl/>
          <w:lang w:val="fr-CH"/>
        </w:rPr>
      </w:pPr>
      <w:r w:rsidRPr="005449FD">
        <w:rPr>
          <w:rFonts w:hint="cs"/>
          <w:rtl/>
          <w:lang w:val="fr-CH"/>
        </w:rPr>
        <w:t>4-14</w:t>
      </w:r>
      <w:r w:rsidRPr="005449FD">
        <w:rPr>
          <w:rFonts w:hint="cs"/>
          <w:rtl/>
          <w:lang w:val="fr-CH"/>
        </w:rPr>
        <w:tab/>
        <w:t>وبخصوص ما</w:t>
      </w:r>
      <w:r w:rsidRPr="005449FD">
        <w:rPr>
          <w:rtl/>
          <w:lang w:val="fr-CH"/>
        </w:rPr>
        <w:t> </w:t>
      </w:r>
      <w:r w:rsidRPr="005449FD">
        <w:rPr>
          <w:rFonts w:hint="cs"/>
          <w:rtl/>
          <w:lang w:val="fr-CH"/>
        </w:rPr>
        <w:t>يدعيه صاحب الشكوى من أن التناقضات التي اعترت أقواله تعزى إلى خدمة الترجمة، تفيد الدولة الطرف بأن صاحب الشكوى استفاد من ترجمة من الباشتو وإليها باعتبارها لغته الأم، وذلك طوال استجواباته من قبل الشرطة وسلطات الهجرة. وتفيد الدولة الطرف أيضاً بأن محضر اللجوء المؤرخ 23 آب/أغسطس 2010 قُرئ على صاحب الشكوى وأن صاحب الشكوى أكد أقواله ووقّع المحضر دون أن يذكر أي مشكلة لغوية في إطار الاستجواب من قبل الشرطة. وفي</w:t>
      </w:r>
      <w:r w:rsidRPr="005449FD">
        <w:rPr>
          <w:rtl/>
          <w:lang w:val="fr-CH"/>
        </w:rPr>
        <w:t> </w:t>
      </w:r>
      <w:r w:rsidRPr="005449FD">
        <w:rPr>
          <w:rFonts w:hint="cs"/>
          <w:rtl/>
          <w:lang w:val="fr-CH"/>
        </w:rPr>
        <w:t>أعقاب الاستجوابات التي أجرتها خدمة الهجرة، قام المترجم الشفوي بترجمة المحاضر، وعُرضت على صاحب الشكوى لمراجعتها والتعليق عليها في تلك المرحلة إن كانت لديه تعليقات. غير أنه لم</w:t>
      </w:r>
      <w:r w:rsidRPr="005449FD">
        <w:rPr>
          <w:rtl/>
          <w:lang w:val="fr-CH"/>
        </w:rPr>
        <w:t> </w:t>
      </w:r>
      <w:r w:rsidRPr="005449FD">
        <w:rPr>
          <w:rFonts w:hint="cs"/>
          <w:rtl/>
          <w:lang w:val="fr-CH"/>
        </w:rPr>
        <w:t>يبد أي تعليق بخصوص مشاكل في اللغة. وأثناء جلسة مجلس طعون اللاجئين، كان صاحب الشكوى ممثلاً بمحاميه، ولم</w:t>
      </w:r>
      <w:r w:rsidRPr="005449FD">
        <w:rPr>
          <w:rtl/>
          <w:lang w:val="fr-CH"/>
        </w:rPr>
        <w:t> </w:t>
      </w:r>
      <w:r w:rsidRPr="005449FD">
        <w:rPr>
          <w:rFonts w:hint="cs"/>
          <w:rtl/>
          <w:lang w:val="fr-CH"/>
        </w:rPr>
        <w:t xml:space="preserve">تقدم أيضاً أي اعتراضات على ترجمة أقواله. </w:t>
      </w:r>
    </w:p>
    <w:p w:rsidR="00091373" w:rsidRPr="005449FD" w:rsidRDefault="00091373" w:rsidP="005449FD">
      <w:pPr>
        <w:pStyle w:val="SingleTxtGA"/>
        <w:rPr>
          <w:rFonts w:hint="cs"/>
          <w:rtl/>
          <w:lang w:val="fr-CH"/>
        </w:rPr>
      </w:pPr>
      <w:r w:rsidRPr="005449FD">
        <w:rPr>
          <w:rFonts w:hint="cs"/>
          <w:rtl/>
          <w:lang w:val="fr-CH"/>
        </w:rPr>
        <w:t>4-15</w:t>
      </w:r>
      <w:r w:rsidRPr="005449FD">
        <w:rPr>
          <w:rFonts w:hint="cs"/>
          <w:rtl/>
          <w:lang w:val="fr-CH"/>
        </w:rPr>
        <w:tab/>
        <w:t>وتدفع الدولة الطرف بأنه لم</w:t>
      </w:r>
      <w:r w:rsidRPr="005449FD">
        <w:rPr>
          <w:rtl/>
          <w:lang w:val="fr-CH"/>
        </w:rPr>
        <w:t> </w:t>
      </w:r>
      <w:r w:rsidRPr="005449FD">
        <w:rPr>
          <w:rFonts w:hint="cs"/>
          <w:rtl/>
          <w:lang w:val="fr-CH"/>
        </w:rPr>
        <w:t>يكن من اللازم إخضاع صاحب الشكوى لفحص يكشف عن أمارات التعذيب، تلبية لطلبه، بما</w:t>
      </w:r>
      <w:r w:rsidRPr="005449FD">
        <w:rPr>
          <w:rtl/>
          <w:lang w:val="fr-CH"/>
        </w:rPr>
        <w:t> </w:t>
      </w:r>
      <w:r w:rsidRPr="005449FD">
        <w:rPr>
          <w:rFonts w:hint="cs"/>
          <w:rtl/>
          <w:lang w:val="fr-CH"/>
        </w:rPr>
        <w:t>أن أقواله كانت بلا</w:t>
      </w:r>
      <w:r w:rsidRPr="005449FD">
        <w:rPr>
          <w:rtl/>
          <w:lang w:val="fr-CH"/>
        </w:rPr>
        <w:t> </w:t>
      </w:r>
      <w:r w:rsidRPr="005449FD">
        <w:rPr>
          <w:rFonts w:hint="cs"/>
          <w:rtl/>
          <w:lang w:val="fr-CH"/>
        </w:rPr>
        <w:t>مصداقية. وقد قبلت سلطات الهجرة ما</w:t>
      </w:r>
      <w:r w:rsidRPr="005449FD">
        <w:rPr>
          <w:rtl/>
          <w:lang w:val="fr-CH"/>
        </w:rPr>
        <w:t> </w:t>
      </w:r>
      <w:r w:rsidRPr="005449FD">
        <w:rPr>
          <w:rFonts w:hint="cs"/>
          <w:rtl/>
          <w:lang w:val="fr-CH"/>
        </w:rPr>
        <w:t>ادعاه صاحب الشكوى من أنه تعرض لأعمال عنف أسفرت عن كسر أحد ضلوعه في سياق النزاع مع الطالبان، لكنها خلصت إلى أنه ليس مهدداً بالاضطهاد من قبل الطالبان ولن</w:t>
      </w:r>
      <w:r w:rsidRPr="005449FD">
        <w:rPr>
          <w:rtl/>
          <w:lang w:val="fr-CH"/>
        </w:rPr>
        <w:t> </w:t>
      </w:r>
      <w:r w:rsidRPr="005449FD">
        <w:rPr>
          <w:rFonts w:hint="cs"/>
          <w:rtl/>
          <w:lang w:val="fr-CH"/>
        </w:rPr>
        <w:t>يكون بذلك في خطر التعرض لاعتداءات جديدة على أيديهم. وفي</w:t>
      </w:r>
      <w:r w:rsidRPr="005449FD">
        <w:rPr>
          <w:rtl/>
          <w:lang w:val="fr-CH"/>
        </w:rPr>
        <w:t> </w:t>
      </w:r>
      <w:r w:rsidRPr="005449FD">
        <w:rPr>
          <w:rFonts w:hint="cs"/>
          <w:rtl/>
          <w:lang w:val="fr-CH"/>
        </w:rPr>
        <w:t>المقابل، لم</w:t>
      </w:r>
      <w:r w:rsidRPr="005449FD">
        <w:rPr>
          <w:rtl/>
          <w:lang w:val="fr-CH"/>
        </w:rPr>
        <w:t> </w:t>
      </w:r>
      <w:r w:rsidRPr="005449FD">
        <w:rPr>
          <w:rFonts w:hint="cs"/>
          <w:rtl/>
          <w:lang w:val="fr-CH"/>
        </w:rPr>
        <w:t>يقبل مجلس طعون اللاجئين ما</w:t>
      </w:r>
      <w:r w:rsidRPr="005449FD">
        <w:rPr>
          <w:rtl/>
          <w:lang w:val="fr-CH"/>
        </w:rPr>
        <w:t> </w:t>
      </w:r>
      <w:r w:rsidRPr="005449FD">
        <w:rPr>
          <w:rFonts w:hint="cs"/>
          <w:rtl/>
          <w:lang w:val="fr-CH"/>
        </w:rPr>
        <w:t>ادعاه صاحب الشكوى من تعرضه للاحتجاز ولأعمال عنف من جانب السلطات الأفغانية.</w:t>
      </w:r>
    </w:p>
    <w:p w:rsidR="00091373" w:rsidRPr="005449FD" w:rsidRDefault="00091373" w:rsidP="005449FD">
      <w:pPr>
        <w:pStyle w:val="SingleTxtGA"/>
        <w:rPr>
          <w:rFonts w:hint="cs"/>
          <w:rtl/>
          <w:lang w:val="fr-CH"/>
        </w:rPr>
      </w:pPr>
      <w:r w:rsidRPr="005449FD">
        <w:rPr>
          <w:rFonts w:hint="cs"/>
          <w:rtl/>
          <w:lang w:val="fr-CH"/>
        </w:rPr>
        <w:t>4-16</w:t>
      </w:r>
      <w:r w:rsidRPr="005449FD">
        <w:rPr>
          <w:rFonts w:hint="cs"/>
          <w:rtl/>
          <w:lang w:val="fr-CH"/>
        </w:rPr>
        <w:tab/>
        <w:t>وقدم صاحب الشكوى إلى اللجنة تفاصيل جديدة متنوعة، بما</w:t>
      </w:r>
      <w:r w:rsidRPr="005449FD">
        <w:rPr>
          <w:rtl/>
          <w:lang w:val="fr-CH"/>
        </w:rPr>
        <w:t> </w:t>
      </w:r>
      <w:r w:rsidRPr="005449FD">
        <w:rPr>
          <w:rFonts w:hint="cs"/>
          <w:rtl/>
          <w:lang w:val="fr-CH"/>
        </w:rPr>
        <w:t>فيها وثيقة يُدعى أنها تستنسخ مقالاً نشر في صحيفة محلية أفغانية يتضمن إشعاراً مفاده أنه مطلوب بتهمة الإرهاب. وتلاحظ الدولة الطرف أن هذه الوثيقة لم</w:t>
      </w:r>
      <w:r w:rsidRPr="005449FD">
        <w:rPr>
          <w:rtl/>
          <w:lang w:val="fr-CH"/>
        </w:rPr>
        <w:t> </w:t>
      </w:r>
      <w:r w:rsidRPr="005449FD">
        <w:rPr>
          <w:rFonts w:hint="cs"/>
          <w:rtl/>
          <w:lang w:val="fr-CH"/>
        </w:rPr>
        <w:t>تقدم أثناء إجراءات اللجوء. وتضيف أن هذه الوثيقة لا</w:t>
      </w:r>
      <w:r w:rsidRPr="005449FD">
        <w:rPr>
          <w:rtl/>
          <w:lang w:val="fr-CH"/>
        </w:rPr>
        <w:t> </w:t>
      </w:r>
      <w:r w:rsidRPr="005449FD">
        <w:rPr>
          <w:rFonts w:hint="cs"/>
          <w:rtl/>
          <w:lang w:val="fr-CH"/>
        </w:rPr>
        <w:t>توفر دليلاً ذا أهمية في القضية وأنه لا</w:t>
      </w:r>
      <w:r w:rsidRPr="005449FD">
        <w:rPr>
          <w:rtl/>
          <w:lang w:val="fr-CH"/>
        </w:rPr>
        <w:t> </w:t>
      </w:r>
      <w:r w:rsidRPr="005449FD">
        <w:rPr>
          <w:rFonts w:hint="cs"/>
          <w:rtl/>
          <w:lang w:val="fr-CH"/>
        </w:rPr>
        <w:t>يوجد تفسير ذو مصداقية لسبب عدم تقديم هذا المقال إلا</w:t>
      </w:r>
      <w:r w:rsidRPr="005449FD">
        <w:rPr>
          <w:rtl/>
          <w:lang w:val="fr-CH"/>
        </w:rPr>
        <w:t> </w:t>
      </w:r>
      <w:r w:rsidRPr="005449FD">
        <w:rPr>
          <w:rFonts w:hint="cs"/>
          <w:rtl/>
          <w:lang w:val="fr-CH"/>
        </w:rPr>
        <w:t xml:space="preserve">في هذه المرحلة المتأخرة. وتفيد الترجمة التي طلبها المجلس بأن هذا المقال نشر في صحيفة </w:t>
      </w:r>
      <w:r w:rsidRPr="005449FD">
        <w:rPr>
          <w:rFonts w:hint="cs"/>
          <w:i/>
          <w:iCs/>
          <w:rtl/>
          <w:lang w:val="fr-CH"/>
        </w:rPr>
        <w:t>ذي ننغرهار ديلي</w:t>
      </w:r>
      <w:r w:rsidRPr="005449FD">
        <w:rPr>
          <w:rFonts w:hint="cs"/>
          <w:rtl/>
          <w:lang w:val="fr-CH"/>
        </w:rPr>
        <w:t xml:space="preserve"> بتاريخ 15 تموز/يوليه 2010. ويظهر من المقال أن الشرطة الأمنية لمقاطعة ننغرهار أعلنت إلقاء قوات الأمن القبض على ك. </w:t>
      </w:r>
      <w:r w:rsidRPr="005449FD">
        <w:rPr>
          <w:rFonts w:hint="cs"/>
          <w:sz w:val="30"/>
          <w:rtl/>
          <w:lang w:val="fr-CH"/>
        </w:rPr>
        <w:t>ﻫ</w:t>
      </w:r>
      <w:r w:rsidRPr="005449FD">
        <w:rPr>
          <w:rFonts w:hint="cs"/>
          <w:rtl/>
          <w:lang w:val="fr-CH"/>
        </w:rPr>
        <w:t>.</w:t>
      </w:r>
      <w:r w:rsidRPr="005449FD">
        <w:rPr>
          <w:vertAlign w:val="superscript"/>
          <w:rtl/>
          <w:lang w:val="fr-CH"/>
        </w:rPr>
        <w:t>(</w:t>
      </w:r>
      <w:r w:rsidRPr="005449FD">
        <w:rPr>
          <w:rFonts w:hint="cs"/>
          <w:sz w:val="30"/>
          <w:vertAlign w:val="superscript"/>
          <w:rtl/>
          <w:lang w:val="es-ES"/>
        </w:rPr>
        <w:t>ﻫ</w:t>
      </w:r>
      <w:r w:rsidRPr="005449FD">
        <w:rPr>
          <w:rStyle w:val="FootnoteReference"/>
          <w:color w:val="FFFFFF"/>
          <w:sz w:val="2"/>
          <w:szCs w:val="2"/>
          <w:rtl/>
          <w:lang w:val="fr-CH"/>
        </w:rPr>
        <w:footnoteReference w:id="249"/>
      </w:r>
      <w:r w:rsidRPr="005449FD">
        <w:rPr>
          <w:vertAlign w:val="superscript"/>
          <w:rtl/>
          <w:lang w:val="fr-CH"/>
        </w:rPr>
        <w:t>)</w:t>
      </w:r>
      <w:r w:rsidRPr="005449FD">
        <w:rPr>
          <w:rFonts w:hint="cs"/>
          <w:rtl/>
          <w:lang w:val="fr-CH"/>
        </w:rPr>
        <w:t>، ابن ك. ر.، المقيم في مقاطعة ننغرهار بإقليم شبرهار، وعلى اثنين من رفاقه، بشبهة وضع قنابل على الطريق. غير أن الشخصين تمكنا من الفرار بعد يوم ثم ألقي عليهما القبض مرة أخرى. كذلك تقول الدولة الطرف إن من غير الممكن إثبات صحة هذه الوثيقة أو</w:t>
      </w:r>
      <w:r w:rsidRPr="005449FD">
        <w:rPr>
          <w:rtl/>
          <w:lang w:val="fr-CH"/>
        </w:rPr>
        <w:t> </w:t>
      </w:r>
      <w:r w:rsidRPr="005449FD">
        <w:rPr>
          <w:rFonts w:hint="cs"/>
          <w:rtl/>
          <w:lang w:val="fr-CH"/>
        </w:rPr>
        <w:t>التحقق مما</w:t>
      </w:r>
      <w:r w:rsidRPr="005449FD">
        <w:rPr>
          <w:rtl/>
          <w:lang w:val="fr-CH"/>
        </w:rPr>
        <w:t> </w:t>
      </w:r>
      <w:r w:rsidRPr="005449FD">
        <w:rPr>
          <w:rFonts w:hint="cs"/>
          <w:rtl/>
          <w:lang w:val="fr-CH"/>
        </w:rPr>
        <w:t>جاء فيها من معلومات. ومع ذلك، فإن الوثيقة، حتى وإن سُلّم بصحتها، لا</w:t>
      </w:r>
      <w:r w:rsidRPr="005449FD">
        <w:rPr>
          <w:rtl/>
          <w:lang w:val="fr-CH"/>
        </w:rPr>
        <w:t> </w:t>
      </w:r>
      <w:r w:rsidRPr="005449FD">
        <w:rPr>
          <w:rFonts w:hint="cs"/>
          <w:rtl/>
          <w:lang w:val="fr-CH"/>
        </w:rPr>
        <w:t>تبدو داعمة لمصداقية ما</w:t>
      </w:r>
      <w:r w:rsidRPr="005449FD">
        <w:rPr>
          <w:rtl/>
          <w:lang w:val="fr-CH"/>
        </w:rPr>
        <w:t> </w:t>
      </w:r>
      <w:r w:rsidRPr="005449FD">
        <w:rPr>
          <w:rFonts w:hint="cs"/>
          <w:rtl/>
          <w:lang w:val="fr-CH"/>
        </w:rPr>
        <w:t xml:space="preserve">أدلى به صاحب الشكوى من أقوال أثناء إجراءات اللجوء، بسبب عدد من التناقضات بين المعلومات الواردة فيها وأقوال صاحب الشكوى، مثل اسم الشخص المعني ومكان إقامته وظروف احتجاز الأشخاص الموقوفين الآخرين والإفراج عنهم وتاريخ الاحتجاز المزعوم وتاريخ نشر المقال. </w:t>
      </w:r>
    </w:p>
    <w:p w:rsidR="005449FD" w:rsidRDefault="00091373" w:rsidP="005449FD">
      <w:pPr>
        <w:pStyle w:val="SingleTxtGA"/>
        <w:rPr>
          <w:rFonts w:hint="cs"/>
          <w:rtl/>
          <w:lang w:val="fr-CH"/>
        </w:rPr>
      </w:pPr>
      <w:r w:rsidRPr="005449FD">
        <w:rPr>
          <w:rFonts w:hint="cs"/>
          <w:rtl/>
          <w:lang w:val="fr-CH"/>
        </w:rPr>
        <w:t>4-17</w:t>
      </w:r>
      <w:r w:rsidRPr="005449FD">
        <w:rPr>
          <w:rFonts w:hint="cs"/>
          <w:rtl/>
          <w:lang w:val="fr-CH"/>
        </w:rPr>
        <w:tab/>
        <w:t>وإذا ما</w:t>
      </w:r>
      <w:r w:rsidRPr="005449FD">
        <w:rPr>
          <w:rtl/>
          <w:lang w:val="fr-CH"/>
        </w:rPr>
        <w:t> </w:t>
      </w:r>
      <w:r w:rsidRPr="005449FD">
        <w:rPr>
          <w:rFonts w:hint="cs"/>
          <w:rtl/>
          <w:lang w:val="fr-CH"/>
        </w:rPr>
        <w:t>خلصت اللجنة إلى أن الشكوى مقبولة، فإن الدولة الطرف تدفع بأن صاحب الشكوى لم</w:t>
      </w:r>
      <w:r w:rsidRPr="005449FD">
        <w:rPr>
          <w:rtl/>
          <w:lang w:val="fr-CH"/>
        </w:rPr>
        <w:t> </w:t>
      </w:r>
      <w:r w:rsidRPr="005449FD">
        <w:rPr>
          <w:rFonts w:hint="cs"/>
          <w:rtl/>
          <w:lang w:val="fr-CH"/>
        </w:rPr>
        <w:t>يُثبت أن إعادته إلى أفغانستان ستشكل انتهاكاً للمادة</w:t>
      </w:r>
      <w:r w:rsidRPr="005449FD">
        <w:rPr>
          <w:rtl/>
          <w:lang w:val="fr-CH"/>
        </w:rPr>
        <w:t> </w:t>
      </w:r>
      <w:r w:rsidRPr="005449FD">
        <w:rPr>
          <w:rFonts w:hint="cs"/>
          <w:rtl/>
          <w:lang w:val="fr-CH"/>
        </w:rPr>
        <w:t>3 من الاتفاقية. وهي تفيد أيضاً بأن الفقرة 1 من المادة</w:t>
      </w:r>
      <w:r w:rsidRPr="005449FD">
        <w:rPr>
          <w:rtl/>
          <w:lang w:val="fr-CH"/>
        </w:rPr>
        <w:t> </w:t>
      </w:r>
      <w:r w:rsidRPr="005449FD">
        <w:rPr>
          <w:rFonts w:hint="cs"/>
          <w:rtl/>
          <w:lang w:val="fr-CH"/>
        </w:rPr>
        <w:t>3 من الاتفاقية تشترط أن يكون المعني بالأمر معرضاً شخصياً وعلى نحو فعلي ومتوقع لخطر التعذيب في البلد الذي سيعاد إليه وأن يقيم خطر التعذيب على أسس تتجاوز مجرد الافتراض أو</w:t>
      </w:r>
      <w:r w:rsidRPr="005449FD">
        <w:rPr>
          <w:rtl/>
          <w:lang w:val="fr-CH"/>
        </w:rPr>
        <w:t> </w:t>
      </w:r>
      <w:r w:rsidRPr="005449FD">
        <w:rPr>
          <w:rFonts w:hint="cs"/>
          <w:rtl/>
          <w:lang w:val="fr-CH"/>
        </w:rPr>
        <w:t>الشك، وإن كان لا</w:t>
      </w:r>
      <w:r w:rsidRPr="005449FD">
        <w:rPr>
          <w:rtl/>
          <w:lang w:val="fr-CH"/>
        </w:rPr>
        <w:t> </w:t>
      </w:r>
      <w:r w:rsidRPr="005449FD">
        <w:rPr>
          <w:rFonts w:hint="cs"/>
          <w:rtl/>
          <w:lang w:val="fr-CH"/>
        </w:rPr>
        <w:t xml:space="preserve">يُشترط أن يكون احتمال </w:t>
      </w:r>
      <w:r w:rsidR="005449FD">
        <w:rPr>
          <w:rtl/>
          <w:lang w:val="fr-CH"/>
        </w:rPr>
        <w:br/>
      </w:r>
    </w:p>
    <w:p w:rsidR="00091373" w:rsidRPr="00FA0FC2" w:rsidRDefault="00091373" w:rsidP="005449FD">
      <w:pPr>
        <w:pStyle w:val="SingleTxtGA"/>
        <w:rPr>
          <w:rFonts w:hint="cs"/>
          <w:rtl/>
          <w:lang w:val="fr-CH"/>
        </w:rPr>
      </w:pPr>
      <w:r w:rsidRPr="005449FD">
        <w:rPr>
          <w:rFonts w:hint="cs"/>
          <w:rtl/>
          <w:lang w:val="fr-CH"/>
        </w:rPr>
        <w:t>الخطر شديداً</w:t>
      </w:r>
      <w:r w:rsidRPr="005449FD">
        <w:rPr>
          <w:vertAlign w:val="superscript"/>
          <w:rtl/>
          <w:lang w:val="fr-CH"/>
        </w:rPr>
        <w:t>(</w:t>
      </w:r>
      <w:r w:rsidRPr="005449FD">
        <w:rPr>
          <w:rStyle w:val="FootnoteReference"/>
          <w:rtl/>
          <w:lang w:val="fr-CH"/>
        </w:rPr>
        <w:footnoteReference w:id="250"/>
      </w:r>
      <w:r w:rsidRPr="005449FD">
        <w:rPr>
          <w:vertAlign w:val="superscript"/>
          <w:rtl/>
          <w:lang w:val="fr-CH"/>
        </w:rPr>
        <w:t>)</w:t>
      </w:r>
      <w:r w:rsidRPr="005449FD">
        <w:rPr>
          <w:rFonts w:hint="cs"/>
          <w:rtl/>
          <w:lang w:val="fr-CH"/>
        </w:rPr>
        <w:t>. ووجود نمط ثابت من الانتهاكات الفادحة أو</w:t>
      </w:r>
      <w:r w:rsidRPr="005449FD">
        <w:rPr>
          <w:rtl/>
          <w:lang w:val="fr-CH"/>
        </w:rPr>
        <w:t> </w:t>
      </w:r>
      <w:r w:rsidRPr="005449FD">
        <w:rPr>
          <w:rFonts w:hint="cs"/>
          <w:rtl/>
          <w:lang w:val="fr-CH"/>
        </w:rPr>
        <w:t>الصارخة أو</w:t>
      </w:r>
      <w:r w:rsidRPr="005449FD">
        <w:rPr>
          <w:rtl/>
          <w:lang w:val="fr-CH"/>
        </w:rPr>
        <w:t> </w:t>
      </w:r>
      <w:r w:rsidRPr="005449FD">
        <w:rPr>
          <w:rFonts w:hint="cs"/>
          <w:rtl/>
          <w:lang w:val="fr-CH"/>
        </w:rPr>
        <w:t>الجماعية لحقوق</w:t>
      </w:r>
      <w:r w:rsidRPr="00FA0FC2">
        <w:rPr>
          <w:rFonts w:hint="cs"/>
          <w:rtl/>
          <w:lang w:val="fr-CH"/>
        </w:rPr>
        <w:t xml:space="preserve"> الإنسان في بلد</w:t>
      </w:r>
      <w:r>
        <w:rPr>
          <w:rFonts w:hint="cs"/>
          <w:rtl/>
          <w:lang w:val="fr-CH"/>
        </w:rPr>
        <w:t xml:space="preserve"> ما</w:t>
      </w:r>
      <w:r>
        <w:rPr>
          <w:rtl/>
          <w:lang w:val="fr-CH"/>
        </w:rPr>
        <w:t> </w:t>
      </w:r>
      <w:r>
        <w:rPr>
          <w:rFonts w:hint="cs"/>
          <w:rtl/>
          <w:lang w:val="fr-CH"/>
        </w:rPr>
        <w:t>لا</w:t>
      </w:r>
      <w:r>
        <w:rPr>
          <w:rtl/>
          <w:lang w:val="fr-CH"/>
        </w:rPr>
        <w:t> </w:t>
      </w:r>
      <w:r w:rsidRPr="00FA0FC2">
        <w:rPr>
          <w:rFonts w:hint="cs"/>
          <w:rtl/>
          <w:lang w:val="fr-CH"/>
        </w:rPr>
        <w:t>يشكل في حد ذاته سبباً كافياً للجزم بأن شخصاً معيناً سيكون في خطر التعرض للتعذيب عند إعادته إلى ذلك البلد</w:t>
      </w:r>
      <w:r w:rsidRPr="00FA0FC2">
        <w:rPr>
          <w:sz w:val="28"/>
          <w:szCs w:val="28"/>
          <w:vertAlign w:val="superscript"/>
          <w:rtl/>
          <w:lang w:val="fr-CH"/>
        </w:rPr>
        <w:t>(</w:t>
      </w:r>
      <w:r w:rsidRPr="00FA0FC2">
        <w:rPr>
          <w:rStyle w:val="FootnoteReference"/>
          <w:sz w:val="28"/>
          <w:rtl/>
          <w:lang w:val="fr-CH"/>
        </w:rPr>
        <w:footnoteReference w:id="251"/>
      </w:r>
      <w:r w:rsidRPr="00FA0FC2">
        <w:rPr>
          <w:sz w:val="28"/>
          <w:szCs w:val="28"/>
          <w:vertAlign w:val="superscript"/>
          <w:rtl/>
          <w:lang w:val="fr-CH"/>
        </w:rPr>
        <w:t>)</w:t>
      </w:r>
      <w:r w:rsidRPr="00FA0FC2">
        <w:rPr>
          <w:rFonts w:hint="cs"/>
          <w:rtl/>
          <w:lang w:val="fr-CH"/>
        </w:rPr>
        <w:t>.</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تعليقات صاحب الشكوى على ملاحظات الدولة الطرف</w:t>
      </w:r>
    </w:p>
    <w:p w:rsidR="00091373" w:rsidRPr="00FA0FC2" w:rsidRDefault="00091373" w:rsidP="00091373">
      <w:pPr>
        <w:pStyle w:val="SingleTxtGA"/>
        <w:rPr>
          <w:rFonts w:hint="cs"/>
          <w:rtl/>
          <w:lang w:val="fr-CH"/>
        </w:rPr>
      </w:pPr>
      <w:r w:rsidRPr="00FA0FC2">
        <w:rPr>
          <w:rFonts w:hint="cs"/>
          <w:rtl/>
          <w:lang w:val="fr-CH"/>
        </w:rPr>
        <w:t>5-1</w:t>
      </w:r>
      <w:r w:rsidRPr="00FA0FC2">
        <w:rPr>
          <w:rFonts w:hint="cs"/>
          <w:rtl/>
          <w:lang w:val="fr-CH"/>
        </w:rPr>
        <w:tab/>
        <w:t>في 3 شباط/فبراير 2012، قدَّم صاحب الشكوى تعليقاته على ملاحظات الدولة الطرف. وهو يؤكِّد أن الدولة الطرف، علاوةً على انتهاكها الفقرة 1 من ال</w:t>
      </w:r>
      <w:r>
        <w:rPr>
          <w:rFonts w:hint="cs"/>
          <w:rtl/>
          <w:lang w:val="fr-CH"/>
        </w:rPr>
        <w:t>مادة</w:t>
      </w:r>
      <w:r>
        <w:rPr>
          <w:rtl/>
          <w:lang w:val="fr-CH"/>
        </w:rPr>
        <w:t> </w:t>
      </w:r>
      <w:r w:rsidRPr="00FA0FC2">
        <w:rPr>
          <w:rFonts w:hint="cs"/>
          <w:rtl/>
          <w:lang w:val="fr-CH"/>
        </w:rPr>
        <w:t>3 انتهكت أيضاً الفقرة 2 من ال</w:t>
      </w:r>
      <w:r>
        <w:rPr>
          <w:rFonts w:hint="cs"/>
          <w:rtl/>
          <w:lang w:val="fr-CH"/>
        </w:rPr>
        <w:t>مادة</w:t>
      </w:r>
      <w:r>
        <w:rPr>
          <w:rtl/>
          <w:lang w:val="fr-CH"/>
        </w:rPr>
        <w:t> </w:t>
      </w:r>
      <w:r w:rsidRPr="00FA0FC2">
        <w:rPr>
          <w:rFonts w:hint="cs"/>
          <w:rtl/>
          <w:lang w:val="fr-CH"/>
        </w:rPr>
        <w:t>3 من الاتفاقية،</w:t>
      </w:r>
      <w:r>
        <w:rPr>
          <w:rFonts w:hint="cs"/>
          <w:rtl/>
          <w:lang w:val="fr-CH"/>
        </w:rPr>
        <w:t xml:space="preserve"> بما</w:t>
      </w:r>
      <w:r>
        <w:rPr>
          <w:rtl/>
          <w:lang w:val="fr-CH"/>
        </w:rPr>
        <w:t> </w:t>
      </w:r>
      <w:r w:rsidRPr="00FA0FC2">
        <w:rPr>
          <w:rFonts w:hint="cs"/>
          <w:rtl/>
          <w:lang w:val="fr-CH"/>
        </w:rPr>
        <w:t>أنها رفضت طلب صاحب الشكوى الخضوع لفحص طبي فلم تتمكّن بذلك من جمع المعلومات اللازمة لتقييم ادعاءاته المتعلِّقة بالتعذيب قبل اتخاذ قرار نهائي.</w:t>
      </w:r>
    </w:p>
    <w:p w:rsidR="00091373" w:rsidRPr="00FA0FC2" w:rsidRDefault="00091373" w:rsidP="00091373">
      <w:pPr>
        <w:pStyle w:val="SingleTxtGA"/>
        <w:rPr>
          <w:rFonts w:hint="cs"/>
          <w:rtl/>
          <w:lang w:val="fr-CH"/>
        </w:rPr>
      </w:pPr>
      <w:r w:rsidRPr="00FA0FC2">
        <w:rPr>
          <w:rFonts w:hint="cs"/>
          <w:rtl/>
          <w:lang w:val="fr-CH"/>
        </w:rPr>
        <w:t>5-2</w:t>
      </w:r>
      <w:r w:rsidRPr="00FA0FC2">
        <w:rPr>
          <w:rFonts w:hint="cs"/>
          <w:rtl/>
          <w:lang w:val="fr-CH"/>
        </w:rPr>
        <w:tab/>
        <w:t>ويتفق صاحب الشكوى مع رواية وقائع القضية</w:t>
      </w:r>
      <w:r>
        <w:rPr>
          <w:rFonts w:hint="cs"/>
          <w:rtl/>
          <w:lang w:val="fr-CH"/>
        </w:rPr>
        <w:t xml:space="preserve"> كما</w:t>
      </w:r>
      <w:r>
        <w:rPr>
          <w:rtl/>
          <w:lang w:val="fr-CH"/>
        </w:rPr>
        <w:t> </w:t>
      </w:r>
      <w:r w:rsidRPr="00FA0FC2">
        <w:rPr>
          <w:rFonts w:hint="cs"/>
          <w:rtl/>
          <w:lang w:val="fr-CH"/>
        </w:rPr>
        <w:t>عرضتها الدولة الطرف.</w:t>
      </w:r>
    </w:p>
    <w:p w:rsidR="00091373" w:rsidRPr="00FA0FC2" w:rsidRDefault="00091373" w:rsidP="00091373">
      <w:pPr>
        <w:pStyle w:val="SingleTxtGA"/>
        <w:rPr>
          <w:rFonts w:hint="cs"/>
          <w:rtl/>
          <w:lang w:val="fr-CH"/>
        </w:rPr>
      </w:pPr>
      <w:r w:rsidRPr="00FA0FC2">
        <w:rPr>
          <w:rFonts w:hint="cs"/>
          <w:rtl/>
          <w:lang w:val="fr-CH"/>
        </w:rPr>
        <w:t>5-3</w:t>
      </w:r>
      <w:r w:rsidRPr="00FA0FC2">
        <w:rPr>
          <w:rFonts w:hint="cs"/>
          <w:rtl/>
          <w:lang w:val="fr-CH"/>
        </w:rPr>
        <w:tab/>
        <w:t>ويؤكد صاحب الشكوى خوفه من التعرُّض للاضطهاد من قبل الطالبان وبصفة خاصة من قبل السلطات الأفغانية نظراً إلى أنه وافق إكراهاً على التعاون مع الطالبان عندما كان محتجزاً لديهم، وأن الشرطة الأفغانية قد تكون على علم بالأمر.</w:t>
      </w:r>
      <w:r>
        <w:rPr>
          <w:rFonts w:hint="cs"/>
          <w:rtl/>
          <w:lang w:val="fr-CH"/>
        </w:rPr>
        <w:t xml:space="preserve"> وفي</w:t>
      </w:r>
      <w:r>
        <w:rPr>
          <w:rtl/>
          <w:lang w:val="fr-CH"/>
        </w:rPr>
        <w:t> </w:t>
      </w:r>
      <w:r w:rsidRPr="00FA0FC2">
        <w:rPr>
          <w:rFonts w:hint="cs"/>
          <w:rtl/>
          <w:lang w:val="fr-CH"/>
        </w:rPr>
        <w:t>حال إعادته إلى أفغانستان، ستقوم السلطات بتعذيبه بغية حمله على الاعتراف بتعاونه مع الطالبان.</w:t>
      </w:r>
    </w:p>
    <w:p w:rsidR="00091373" w:rsidRPr="00FA0FC2" w:rsidRDefault="00091373" w:rsidP="00091373">
      <w:pPr>
        <w:pStyle w:val="SingleTxtGA"/>
        <w:rPr>
          <w:rFonts w:hint="cs"/>
          <w:spacing w:val="-2"/>
          <w:rtl/>
          <w:lang w:val="fr-CH"/>
        </w:rPr>
      </w:pPr>
      <w:r w:rsidRPr="00FA0FC2">
        <w:rPr>
          <w:rFonts w:hint="cs"/>
          <w:spacing w:val="-2"/>
          <w:rtl/>
          <w:lang w:val="fr-CH"/>
        </w:rPr>
        <w:t>5-4</w:t>
      </w:r>
      <w:r w:rsidRPr="00FA0FC2">
        <w:rPr>
          <w:rFonts w:hint="cs"/>
          <w:spacing w:val="-2"/>
          <w:rtl/>
          <w:lang w:val="fr-CH"/>
        </w:rPr>
        <w:tab/>
        <w:t>واستند تقييم السلطات الدانمركية لمصداقية شكواه إلى أقوال متضاربة أدلى بها في بداية إجراءات اللجوء. غير أن هذه المشكلة كثيراً</w:t>
      </w:r>
      <w:r>
        <w:rPr>
          <w:rFonts w:hint="cs"/>
          <w:spacing w:val="-2"/>
          <w:rtl/>
          <w:lang w:val="fr-CH"/>
        </w:rPr>
        <w:t xml:space="preserve"> ما</w:t>
      </w:r>
      <w:r>
        <w:rPr>
          <w:spacing w:val="-2"/>
          <w:rtl/>
          <w:lang w:val="fr-CH"/>
        </w:rPr>
        <w:t> </w:t>
      </w:r>
      <w:r w:rsidRPr="00FA0FC2">
        <w:rPr>
          <w:rFonts w:hint="cs"/>
          <w:spacing w:val="-2"/>
          <w:rtl/>
          <w:lang w:val="fr-CH"/>
        </w:rPr>
        <w:t>تحدث في أول مقابلة لملتمسي اللجوء،</w:t>
      </w:r>
      <w:r>
        <w:rPr>
          <w:rFonts w:hint="cs"/>
          <w:spacing w:val="-2"/>
          <w:rtl/>
          <w:lang w:val="fr-CH"/>
        </w:rPr>
        <w:t xml:space="preserve"> إذ</w:t>
      </w:r>
      <w:r>
        <w:rPr>
          <w:spacing w:val="-2"/>
          <w:rtl/>
          <w:lang w:val="fr-CH"/>
        </w:rPr>
        <w:t> </w:t>
      </w:r>
      <w:r w:rsidRPr="00FA0FC2">
        <w:rPr>
          <w:rFonts w:hint="cs"/>
          <w:spacing w:val="-2"/>
          <w:rtl/>
          <w:lang w:val="fr-CH"/>
        </w:rPr>
        <w:t>يخشون قول الحقيقة</w:t>
      </w:r>
      <w:r>
        <w:rPr>
          <w:rFonts w:hint="cs"/>
          <w:spacing w:val="-2"/>
          <w:rtl/>
          <w:lang w:val="fr-CH"/>
        </w:rPr>
        <w:t xml:space="preserve"> ولا</w:t>
      </w:r>
      <w:r>
        <w:rPr>
          <w:spacing w:val="-2"/>
          <w:rtl/>
          <w:lang w:val="fr-CH"/>
        </w:rPr>
        <w:t> </w:t>
      </w:r>
      <w:r w:rsidRPr="00FA0FC2">
        <w:rPr>
          <w:rFonts w:hint="cs"/>
          <w:spacing w:val="-2"/>
          <w:rtl/>
          <w:lang w:val="fr-CH"/>
        </w:rPr>
        <w:t>يشعرون بالأمان. ومع ذلك، شرح صاحب الشكوى لسلطات الهجرة ملابسات تعذيبه بل قدَّم قرائن طبيةً تدعم ادعاءه. وهو يكرِّر أن التناقضات التي اعترت أقواله تعزى إلى سوء الترجمة، وهو</w:t>
      </w:r>
      <w:r>
        <w:rPr>
          <w:rFonts w:hint="cs"/>
          <w:spacing w:val="-2"/>
          <w:rtl/>
          <w:lang w:val="fr-CH"/>
        </w:rPr>
        <w:t xml:space="preserve"> ما</w:t>
      </w:r>
      <w:r>
        <w:rPr>
          <w:spacing w:val="-2"/>
          <w:rtl/>
          <w:lang w:val="fr-CH"/>
        </w:rPr>
        <w:t> </w:t>
      </w:r>
      <w:r w:rsidRPr="00FA0FC2">
        <w:rPr>
          <w:rFonts w:hint="cs"/>
          <w:spacing w:val="-2"/>
          <w:rtl/>
          <w:lang w:val="fr-CH"/>
        </w:rPr>
        <w:t>يشكِّل في حالته حجةً ذات أهمية خاصة</w:t>
      </w:r>
      <w:r>
        <w:rPr>
          <w:rFonts w:hint="cs"/>
          <w:spacing w:val="-2"/>
          <w:rtl/>
          <w:lang w:val="fr-CH"/>
        </w:rPr>
        <w:t xml:space="preserve"> بما</w:t>
      </w:r>
      <w:r>
        <w:rPr>
          <w:spacing w:val="-2"/>
          <w:rtl/>
          <w:lang w:val="fr-CH"/>
        </w:rPr>
        <w:t> </w:t>
      </w:r>
      <w:r w:rsidRPr="00FA0FC2">
        <w:rPr>
          <w:rFonts w:hint="cs"/>
          <w:spacing w:val="-2"/>
          <w:rtl/>
          <w:lang w:val="fr-CH"/>
        </w:rPr>
        <w:t>أنه أميٌّ</w:t>
      </w:r>
      <w:r>
        <w:rPr>
          <w:rFonts w:hint="cs"/>
          <w:spacing w:val="-2"/>
          <w:rtl/>
          <w:lang w:val="fr-CH"/>
        </w:rPr>
        <w:t xml:space="preserve"> ولم</w:t>
      </w:r>
      <w:r>
        <w:rPr>
          <w:spacing w:val="-2"/>
          <w:rtl/>
          <w:lang w:val="fr-CH"/>
        </w:rPr>
        <w:t> </w:t>
      </w:r>
      <w:r w:rsidRPr="00FA0FC2">
        <w:rPr>
          <w:rFonts w:hint="cs"/>
          <w:spacing w:val="-2"/>
          <w:rtl/>
          <w:lang w:val="fr-CH"/>
        </w:rPr>
        <w:t>يكن يسعه القراءة وتأكيد</w:t>
      </w:r>
      <w:r>
        <w:rPr>
          <w:rFonts w:hint="cs"/>
          <w:spacing w:val="-2"/>
          <w:rtl/>
          <w:lang w:val="fr-CH"/>
        </w:rPr>
        <w:t xml:space="preserve"> ما</w:t>
      </w:r>
      <w:r>
        <w:rPr>
          <w:spacing w:val="-2"/>
          <w:rtl/>
          <w:lang w:val="fr-CH"/>
        </w:rPr>
        <w:t> </w:t>
      </w:r>
      <w:r w:rsidRPr="00FA0FC2">
        <w:rPr>
          <w:rFonts w:hint="cs"/>
          <w:spacing w:val="-2"/>
          <w:rtl/>
          <w:lang w:val="fr-CH"/>
        </w:rPr>
        <w:t>إذا كانت الترجمات قد عبَّرت بدقة عمّا كان يريد قوله.</w:t>
      </w:r>
      <w:r>
        <w:rPr>
          <w:rFonts w:hint="cs"/>
          <w:spacing w:val="-2"/>
          <w:rtl/>
          <w:lang w:val="fr-CH"/>
        </w:rPr>
        <w:t xml:space="preserve"> ولم</w:t>
      </w:r>
      <w:r>
        <w:rPr>
          <w:spacing w:val="-2"/>
          <w:rtl/>
          <w:lang w:val="fr-CH"/>
        </w:rPr>
        <w:t> </w:t>
      </w:r>
      <w:r w:rsidRPr="00FA0FC2">
        <w:rPr>
          <w:rFonts w:hint="cs"/>
          <w:spacing w:val="-2"/>
          <w:rtl/>
          <w:lang w:val="fr-CH"/>
        </w:rPr>
        <w:t>يكن باستطاعة محاميه التأكُّد من دقة الترجمة لأنه</w:t>
      </w:r>
      <w:r>
        <w:rPr>
          <w:rFonts w:hint="cs"/>
          <w:spacing w:val="-2"/>
          <w:rtl/>
          <w:lang w:val="fr-CH"/>
        </w:rPr>
        <w:t xml:space="preserve"> لا</w:t>
      </w:r>
      <w:r>
        <w:rPr>
          <w:spacing w:val="-2"/>
          <w:rtl/>
          <w:lang w:val="fr-CH"/>
        </w:rPr>
        <w:t> </w:t>
      </w:r>
      <w:r w:rsidRPr="00FA0FC2">
        <w:rPr>
          <w:rFonts w:hint="cs"/>
          <w:spacing w:val="-2"/>
          <w:rtl/>
          <w:lang w:val="fr-CH"/>
        </w:rPr>
        <w:t>يتكلم الباشتو. لذلك تعذّر التحقُّق من سلامة ودقة هذه الترجمات المذكورة في قرارات إدارة الهجرة ومجلس طعون اللاجئين.</w:t>
      </w:r>
    </w:p>
    <w:p w:rsidR="00091373" w:rsidRPr="007279DC" w:rsidRDefault="00091373" w:rsidP="00091373">
      <w:pPr>
        <w:pStyle w:val="SingleTxtGA"/>
        <w:rPr>
          <w:rFonts w:hint="cs"/>
          <w:spacing w:val="-2"/>
          <w:rtl/>
          <w:lang w:val="fr-CH"/>
        </w:rPr>
      </w:pPr>
      <w:r w:rsidRPr="007279DC">
        <w:rPr>
          <w:rFonts w:hint="cs"/>
          <w:spacing w:val="-2"/>
          <w:rtl/>
          <w:lang w:val="fr-CH"/>
        </w:rPr>
        <w:t>5-5</w:t>
      </w:r>
      <w:r w:rsidRPr="007279DC">
        <w:rPr>
          <w:rFonts w:hint="cs"/>
          <w:spacing w:val="-2"/>
          <w:rtl/>
          <w:lang w:val="fr-CH"/>
        </w:rPr>
        <w:tab/>
        <w:t>وتعذّر على صاحب الشكوى تقديم تقرير طبي سليم عن أمارات التعذيب المادية لأنه لم</w:t>
      </w:r>
      <w:r w:rsidRPr="007279DC">
        <w:rPr>
          <w:spacing w:val="-2"/>
          <w:rtl/>
          <w:lang w:val="fr-CH"/>
        </w:rPr>
        <w:t> </w:t>
      </w:r>
      <w:r w:rsidRPr="007279DC">
        <w:rPr>
          <w:rFonts w:hint="cs"/>
          <w:spacing w:val="-2"/>
          <w:rtl/>
          <w:lang w:val="fr-CH"/>
        </w:rPr>
        <w:t>يكن قادراً على دفع تكلفته. غير أنه قدَّم إلى السلطات "مذكرتين" أعدَّهما طبيب. ولا</w:t>
      </w:r>
      <w:r w:rsidRPr="007279DC">
        <w:rPr>
          <w:spacing w:val="-2"/>
          <w:rtl/>
          <w:lang w:val="fr-CH"/>
        </w:rPr>
        <w:t> </w:t>
      </w:r>
      <w:r w:rsidRPr="007279DC">
        <w:rPr>
          <w:rFonts w:hint="cs"/>
          <w:spacing w:val="-2"/>
          <w:rtl/>
          <w:lang w:val="fr-CH"/>
        </w:rPr>
        <w:t>تتعلَّق الوثيقتان بأمارات التعذيب لكنهما تضمنتا ما</w:t>
      </w:r>
      <w:r w:rsidRPr="007279DC">
        <w:rPr>
          <w:spacing w:val="-2"/>
          <w:rtl/>
          <w:lang w:val="fr-CH"/>
        </w:rPr>
        <w:t> </w:t>
      </w:r>
      <w:r w:rsidRPr="007279DC">
        <w:rPr>
          <w:rFonts w:hint="cs"/>
          <w:spacing w:val="-2"/>
          <w:rtl/>
          <w:lang w:val="fr-CH"/>
        </w:rPr>
        <w:t>يكفي من المعلومات لتبرير طلبه الخضوع لفحص طبي إضافي. وعلاوةً على ذلك، فقد بيَّن عند مثوله أمام مجلس طعون اللاجئين أن ثلاثة من ضلوعه مكسورة وكشف أيضاً عما تحمله يداه وإحدى رجليه من أمارات العنف الذي تعرَّض له من قبل السلطات. ويدّعي صاحب الشكوى أيضاً أنه كان ينبغي للسلطات الدانمركية، عند الشكّ في مصداقية أقواله، وفي</w:t>
      </w:r>
      <w:r w:rsidRPr="007279DC">
        <w:rPr>
          <w:spacing w:val="-2"/>
          <w:rtl/>
          <w:lang w:val="fr-CH"/>
        </w:rPr>
        <w:t> </w:t>
      </w:r>
      <w:r w:rsidRPr="007279DC">
        <w:rPr>
          <w:rFonts w:hint="cs"/>
          <w:spacing w:val="-2"/>
          <w:rtl/>
          <w:lang w:val="fr-CH"/>
        </w:rPr>
        <w:t xml:space="preserve">ضوء الأدلة الواضحة على وجود نمط ثابت من </w:t>
      </w:r>
      <w:r w:rsidRPr="007279DC">
        <w:rPr>
          <w:spacing w:val="-2"/>
          <w:rtl/>
          <w:lang w:val="fr-CH"/>
        </w:rPr>
        <w:t xml:space="preserve">الانتهاكات الفادحة أو الصارخة أو الجماعية </w:t>
      </w:r>
      <w:r w:rsidRPr="007279DC">
        <w:rPr>
          <w:rFonts w:hint="cs"/>
          <w:spacing w:val="-2"/>
          <w:rtl/>
          <w:lang w:val="fr-CH"/>
        </w:rPr>
        <w:t>لحقوق الإنسان في أفغانستان، أن تأمر بإجراء فحص طبي متخصِّص كما</w:t>
      </w:r>
      <w:r w:rsidRPr="007279DC">
        <w:rPr>
          <w:spacing w:val="-2"/>
          <w:rtl/>
          <w:lang w:val="fr-CH"/>
        </w:rPr>
        <w:t> </w:t>
      </w:r>
      <w:r w:rsidRPr="007279DC">
        <w:rPr>
          <w:rFonts w:hint="cs"/>
          <w:spacing w:val="-2"/>
          <w:rtl/>
          <w:lang w:val="fr-CH"/>
        </w:rPr>
        <w:t>طلبه صاحب الشكوى. وهو يدّعي أيضاً أنه قابل محاميه في 10 كانون الثاني/يناير 2011 وأنّ المحامي قدَّم في اليوم ذاته طلباً لتعليق الإجراءات والقيام بفحص طبي. وفي</w:t>
      </w:r>
      <w:r w:rsidRPr="007279DC">
        <w:rPr>
          <w:spacing w:val="-2"/>
          <w:rtl/>
          <w:lang w:val="fr-CH"/>
        </w:rPr>
        <w:t> </w:t>
      </w:r>
      <w:r w:rsidRPr="007279DC">
        <w:rPr>
          <w:rFonts w:hint="cs"/>
          <w:spacing w:val="-2"/>
          <w:rtl/>
          <w:lang w:val="fr-CH"/>
        </w:rPr>
        <w:t>17 كانون الثاني/يناير 2011، كُرِّر هذا الطلبُ شفوياً في بداية جلسة الاستماع التي عقدها المجلسُ. ومع ذلك، لم</w:t>
      </w:r>
      <w:r w:rsidRPr="007279DC">
        <w:rPr>
          <w:spacing w:val="-2"/>
          <w:rtl/>
          <w:lang w:val="fr-CH"/>
        </w:rPr>
        <w:t> </w:t>
      </w:r>
      <w:r w:rsidRPr="007279DC">
        <w:rPr>
          <w:rFonts w:hint="cs"/>
          <w:spacing w:val="-2"/>
          <w:rtl/>
          <w:lang w:val="fr-CH"/>
        </w:rPr>
        <w:t>يُتَّخذ أيُّ قرار أثناء الجلسة، وقرَّر المجلس بعد ذلك رفض طلب لجوء صاحب الشكوى دون الأمر بإجراء فحص طبي.</w:t>
      </w:r>
    </w:p>
    <w:p w:rsidR="00091373" w:rsidRPr="00FA0FC2" w:rsidRDefault="00091373" w:rsidP="00091373">
      <w:pPr>
        <w:pStyle w:val="SingleTxtGA"/>
        <w:rPr>
          <w:rFonts w:hint="cs"/>
          <w:rtl/>
          <w:lang w:val="fr-CH"/>
        </w:rPr>
      </w:pPr>
      <w:r w:rsidRPr="00FA0FC2">
        <w:rPr>
          <w:rFonts w:hint="cs"/>
          <w:rtl/>
          <w:lang w:val="fr-CH"/>
        </w:rPr>
        <w:t>5-6</w:t>
      </w:r>
      <w:r w:rsidRPr="00FA0FC2">
        <w:rPr>
          <w:rFonts w:hint="cs"/>
          <w:rtl/>
          <w:lang w:val="fr-CH"/>
        </w:rPr>
        <w:tab/>
        <w:t>ورغم قبول الدولة الطرف ادعاء صاحب الشكوى بخصوص أعمال العنف التي ارتكبها في حقه الطالبان، فإنها</w:t>
      </w:r>
      <w:r>
        <w:rPr>
          <w:rFonts w:hint="cs"/>
          <w:rtl/>
          <w:lang w:val="fr-CH"/>
        </w:rPr>
        <w:t xml:space="preserve"> لم</w:t>
      </w:r>
      <w:r>
        <w:rPr>
          <w:rtl/>
          <w:lang w:val="fr-CH"/>
        </w:rPr>
        <w:t> </w:t>
      </w:r>
      <w:r w:rsidRPr="00FA0FC2">
        <w:rPr>
          <w:rFonts w:hint="cs"/>
          <w:rtl/>
          <w:lang w:val="fr-CH"/>
        </w:rPr>
        <w:t>تفسِّر سبب عدم وجاهة هذا الادعاء بموجب قانون اللجوء لأغراض تحديد الخطر الشخصي الفعلي الذي سيتعرَّض له في حال إعادته إلى أفغانستان، بل اكتفت بنفي هذا الاحتمال. وعلاوةً على ذلك، سلَّمت السلطات بأن صاحب الشكوى تعرَّض لضرب من ضروب العنف على أيدي الطالبان، لكنها</w:t>
      </w:r>
      <w:r>
        <w:rPr>
          <w:rFonts w:hint="cs"/>
          <w:rtl/>
          <w:lang w:val="fr-CH"/>
        </w:rPr>
        <w:t xml:space="preserve"> لم</w:t>
      </w:r>
      <w:r>
        <w:rPr>
          <w:rtl/>
          <w:lang w:val="fr-CH"/>
        </w:rPr>
        <w:t> </w:t>
      </w:r>
      <w:r w:rsidRPr="00FA0FC2">
        <w:rPr>
          <w:rFonts w:hint="cs"/>
          <w:rtl/>
          <w:lang w:val="fr-CH"/>
        </w:rPr>
        <w:t>تقيِّم مدى قدرة الحكومة على حماية صاحب الشكوى من أعمال انتقام ممكنة من جانب الطالبان. ويذكِّر صاحب الشكوى بأن احتمال الخطر</w:t>
      </w:r>
      <w:r>
        <w:rPr>
          <w:rFonts w:hint="cs"/>
          <w:rtl/>
          <w:lang w:val="fr-CH"/>
        </w:rPr>
        <w:t xml:space="preserve"> لا</w:t>
      </w:r>
      <w:r>
        <w:rPr>
          <w:rtl/>
          <w:lang w:val="fr-CH"/>
        </w:rPr>
        <w:t> </w:t>
      </w:r>
      <w:r w:rsidRPr="00FA0FC2">
        <w:rPr>
          <w:rFonts w:hint="cs"/>
          <w:rtl/>
          <w:lang w:val="fr-CH"/>
        </w:rPr>
        <w:t>يشترط أن يكون شديدا</w:t>
      </w:r>
      <w:r>
        <w:rPr>
          <w:rFonts w:hint="cs"/>
          <w:rtl/>
          <w:lang w:val="fr-CH"/>
        </w:rPr>
        <w:t>ً</w:t>
      </w:r>
      <w:r w:rsidRPr="00FA0FC2">
        <w:rPr>
          <w:vertAlign w:val="superscript"/>
          <w:rtl/>
          <w:lang w:val="fr-CH"/>
        </w:rPr>
        <w:t>(</w:t>
      </w:r>
      <w:r w:rsidRPr="00FA0FC2">
        <w:rPr>
          <w:rStyle w:val="FootnoteReference"/>
          <w:rtl/>
          <w:lang w:val="fr-CH"/>
        </w:rPr>
        <w:footnoteReference w:id="252"/>
      </w:r>
      <w:r w:rsidRPr="00FA0FC2">
        <w:rPr>
          <w:vertAlign w:val="superscript"/>
          <w:rtl/>
          <w:lang w:val="fr-CH"/>
        </w:rPr>
        <w:t>)</w:t>
      </w:r>
      <w:r w:rsidRPr="00FA0FC2">
        <w:rPr>
          <w:rFonts w:hint="cs"/>
          <w:rtl/>
          <w:lang w:val="fr-CH"/>
        </w:rPr>
        <w:t>. وبالمثل، يدّعي صاحب الشكوى أن الدولة الطرف</w:t>
      </w:r>
      <w:r>
        <w:rPr>
          <w:rFonts w:hint="cs"/>
          <w:rtl/>
          <w:lang w:val="fr-CH"/>
        </w:rPr>
        <w:t xml:space="preserve"> لم</w:t>
      </w:r>
      <w:r>
        <w:rPr>
          <w:rtl/>
          <w:lang w:val="fr-CH"/>
        </w:rPr>
        <w:t> </w:t>
      </w:r>
      <w:r w:rsidRPr="00FA0FC2">
        <w:rPr>
          <w:rFonts w:hint="cs"/>
          <w:rtl/>
          <w:lang w:val="fr-CH"/>
        </w:rPr>
        <w:t>تقدِّم</w:t>
      </w:r>
      <w:r>
        <w:rPr>
          <w:rFonts w:hint="cs"/>
          <w:rtl/>
          <w:lang w:val="fr-CH"/>
        </w:rPr>
        <w:t xml:space="preserve"> ما</w:t>
      </w:r>
      <w:r>
        <w:rPr>
          <w:rtl/>
          <w:lang w:val="fr-CH"/>
        </w:rPr>
        <w:t> </w:t>
      </w:r>
      <w:r w:rsidRPr="00FA0FC2">
        <w:rPr>
          <w:rFonts w:hint="cs"/>
          <w:rtl/>
          <w:lang w:val="fr-CH"/>
        </w:rPr>
        <w:t>يكفي من التفاصيل عن الأقوال المتضاربة التي تنزع المصداقية عن ادعائه المتعلِّق بالتعذيب على أيدي السلطات الأفغانية</w:t>
      </w:r>
      <w:r w:rsidRPr="00FA0FC2">
        <w:rPr>
          <w:vertAlign w:val="superscript"/>
          <w:rtl/>
          <w:lang w:val="fr-CH"/>
        </w:rPr>
        <w:t>(</w:t>
      </w:r>
      <w:r w:rsidRPr="00FA0FC2">
        <w:rPr>
          <w:rStyle w:val="FootnoteReference"/>
          <w:rtl/>
          <w:lang w:val="fr-CH"/>
        </w:rPr>
        <w:footnoteReference w:id="253"/>
      </w:r>
      <w:r w:rsidRPr="00FA0FC2">
        <w:rPr>
          <w:vertAlign w:val="superscript"/>
          <w:rtl/>
          <w:lang w:val="fr-CH"/>
        </w:rPr>
        <w:t>)</w:t>
      </w:r>
      <w:r w:rsidRPr="00FA0FC2">
        <w:rPr>
          <w:rFonts w:hint="cs"/>
          <w:rtl/>
          <w:lang w:val="fr-CH"/>
        </w:rPr>
        <w:t>.</w:t>
      </w:r>
    </w:p>
    <w:p w:rsidR="00091373" w:rsidRPr="00FA0FC2" w:rsidRDefault="00091373" w:rsidP="00091373">
      <w:pPr>
        <w:pStyle w:val="SingleTxtGA"/>
        <w:rPr>
          <w:rFonts w:hint="cs"/>
          <w:rtl/>
          <w:lang w:val="fr-CH"/>
        </w:rPr>
      </w:pPr>
      <w:r w:rsidRPr="00FA0FC2">
        <w:rPr>
          <w:rFonts w:hint="cs"/>
          <w:rtl/>
          <w:lang w:val="fr-CH"/>
        </w:rPr>
        <w:t>5-7</w:t>
      </w:r>
      <w:r w:rsidRPr="00FA0FC2">
        <w:rPr>
          <w:rFonts w:hint="cs"/>
          <w:rtl/>
          <w:lang w:val="fr-CH"/>
        </w:rPr>
        <w:tab/>
        <w:t>وبخصوص إجراءات اللجوء، يلاحظ صاحب الشكوى أن قرار مجلس طعون اللاجئين</w:t>
      </w:r>
      <w:r>
        <w:rPr>
          <w:rFonts w:hint="cs"/>
          <w:rtl/>
          <w:lang w:val="fr-CH"/>
        </w:rPr>
        <w:t xml:space="preserve"> لا</w:t>
      </w:r>
      <w:r>
        <w:rPr>
          <w:rtl/>
          <w:lang w:val="fr-CH"/>
        </w:rPr>
        <w:t> </w:t>
      </w:r>
      <w:r w:rsidRPr="00FA0FC2">
        <w:rPr>
          <w:rFonts w:hint="cs"/>
          <w:rtl/>
          <w:lang w:val="fr-CH"/>
        </w:rPr>
        <w:t>يمكن استئنافه أمام محكمة أعلى درجة وأن أحد أعضاء المجلس الثلاثة موظّف في وزارة العدل الدانمركية، الأمر الذي يلقي بالشك على نزاهة المجلس واستقلاله. ويدّعي صاحب الشكوى كذلك أن تقييم سلطات الهجرة، في سياق فحص طلبات اللجوء،</w:t>
      </w:r>
      <w:r>
        <w:rPr>
          <w:rFonts w:hint="cs"/>
          <w:rtl/>
          <w:lang w:val="fr-CH"/>
        </w:rPr>
        <w:t xml:space="preserve"> لا</w:t>
      </w:r>
      <w:r>
        <w:rPr>
          <w:rtl/>
          <w:lang w:val="fr-CH"/>
        </w:rPr>
        <w:t> </w:t>
      </w:r>
      <w:r w:rsidRPr="00FA0FC2">
        <w:rPr>
          <w:rFonts w:hint="cs"/>
          <w:rtl/>
          <w:lang w:val="fr-CH"/>
        </w:rPr>
        <w:t>يمتثل بالضرورة المعايير المنصوص عليها في ال</w:t>
      </w:r>
      <w:r>
        <w:rPr>
          <w:rFonts w:hint="cs"/>
          <w:rtl/>
          <w:lang w:val="fr-CH"/>
        </w:rPr>
        <w:t>مادة</w:t>
      </w:r>
      <w:r>
        <w:rPr>
          <w:rtl/>
          <w:lang w:val="fr-CH"/>
        </w:rPr>
        <w:t> </w:t>
      </w:r>
      <w:r w:rsidRPr="00FA0FC2">
        <w:rPr>
          <w:rFonts w:hint="cs"/>
          <w:rtl/>
          <w:lang w:val="fr-CH"/>
        </w:rPr>
        <w:t>3 من الاتفاقية.</w:t>
      </w:r>
    </w:p>
    <w:p w:rsidR="00091373" w:rsidRPr="00FA0FC2" w:rsidRDefault="00091373" w:rsidP="00091373">
      <w:pPr>
        <w:pStyle w:val="SingleTxtGA"/>
        <w:rPr>
          <w:rFonts w:hint="cs"/>
          <w:rtl/>
          <w:lang w:val="fr-CH"/>
        </w:rPr>
      </w:pPr>
      <w:r w:rsidRPr="00FA0FC2">
        <w:rPr>
          <w:rFonts w:hint="cs"/>
          <w:rtl/>
          <w:lang w:val="fr-CH"/>
        </w:rPr>
        <w:t>5-8</w:t>
      </w:r>
      <w:r w:rsidRPr="00FA0FC2">
        <w:rPr>
          <w:rFonts w:hint="cs"/>
          <w:rtl/>
          <w:lang w:val="fr-CH"/>
        </w:rPr>
        <w:tab/>
        <w:t>وفي جلسة الاستماع التي عقدها مجلس طعون اللاجئين، طرح موظفو إدارة الهجرة وأعضاء المجلس أسئلةً كثيرةً في محاولة لبيان تناقضات أقوال صاحب الشكوى وعدم تحليه بالمصداقية. وطرح أعضاء المجلس هذه الأسئلة بأسلوب جعل صاحب الشكوى يشعر أنه كان في مواجهة الأشخاص ذاتهم الذين كان يتعيَّن عليهم الفصل في طلبه في ختام الجلسة.</w:t>
      </w:r>
    </w:p>
    <w:p w:rsidR="00091373" w:rsidRPr="007279DC" w:rsidRDefault="00091373" w:rsidP="00091373">
      <w:pPr>
        <w:pStyle w:val="SingleTxtGA"/>
        <w:rPr>
          <w:rFonts w:hint="cs"/>
          <w:spacing w:val="-2"/>
          <w:rtl/>
          <w:lang w:val="fr-CH"/>
        </w:rPr>
      </w:pPr>
      <w:r w:rsidRPr="007279DC">
        <w:rPr>
          <w:rFonts w:hint="cs"/>
          <w:spacing w:val="-2"/>
          <w:rtl/>
          <w:lang w:val="fr-CH"/>
        </w:rPr>
        <w:t>5-9</w:t>
      </w:r>
      <w:r w:rsidRPr="007279DC">
        <w:rPr>
          <w:rFonts w:hint="cs"/>
          <w:spacing w:val="-2"/>
          <w:rtl/>
          <w:lang w:val="fr-CH"/>
        </w:rPr>
        <w:tab/>
        <w:t>ورغم أن اللجنة ليست هيئة استئناف، على نحو ما</w:t>
      </w:r>
      <w:r w:rsidRPr="007279DC">
        <w:rPr>
          <w:spacing w:val="-2"/>
          <w:rtl/>
          <w:lang w:val="fr-CH"/>
        </w:rPr>
        <w:t> </w:t>
      </w:r>
      <w:r w:rsidRPr="007279DC">
        <w:rPr>
          <w:rFonts w:hint="cs"/>
          <w:spacing w:val="-2"/>
          <w:rtl/>
          <w:lang w:val="fr-CH"/>
        </w:rPr>
        <w:t>ورد في تعليقها العام رقم 1، فهي ليست ملزمة باستنتاجات وكالات الدولة الطرف ولها أن تقيِّم الوقائع بحرية بناء على مجموعة الحيثيات الكاملة في كل قضية، وفقاً لما</w:t>
      </w:r>
      <w:r w:rsidRPr="007279DC">
        <w:rPr>
          <w:spacing w:val="-2"/>
          <w:rtl/>
          <w:lang w:val="fr-CH"/>
        </w:rPr>
        <w:t> </w:t>
      </w:r>
      <w:r w:rsidRPr="007279DC">
        <w:rPr>
          <w:rFonts w:hint="cs"/>
          <w:spacing w:val="-2"/>
          <w:rtl/>
          <w:lang w:val="fr-CH"/>
        </w:rPr>
        <w:t>نصّت عليه الفقرة 4 من المادة</w:t>
      </w:r>
      <w:r w:rsidRPr="007279DC">
        <w:rPr>
          <w:spacing w:val="-2"/>
          <w:rtl/>
          <w:lang w:val="fr-CH"/>
        </w:rPr>
        <w:t> </w:t>
      </w:r>
      <w:r w:rsidRPr="007279DC">
        <w:rPr>
          <w:rFonts w:hint="cs"/>
          <w:spacing w:val="-2"/>
          <w:rtl/>
          <w:lang w:val="fr-CH"/>
        </w:rPr>
        <w:t>22 من الاتفاقية.</w:t>
      </w:r>
    </w:p>
    <w:p w:rsidR="00091373" w:rsidRPr="00FA0FC2" w:rsidRDefault="00091373" w:rsidP="00091373">
      <w:pPr>
        <w:pStyle w:val="SingleTxtGA"/>
        <w:rPr>
          <w:rFonts w:hint="cs"/>
          <w:rtl/>
          <w:lang w:val="fr-CH"/>
        </w:rPr>
      </w:pPr>
      <w:r w:rsidRPr="00FA0FC2">
        <w:rPr>
          <w:rFonts w:hint="cs"/>
          <w:rtl/>
          <w:lang w:val="fr-CH"/>
        </w:rPr>
        <w:t>5-10</w:t>
      </w:r>
      <w:r w:rsidRPr="00FA0FC2">
        <w:rPr>
          <w:rFonts w:hint="cs"/>
          <w:rtl/>
          <w:lang w:val="fr-CH"/>
        </w:rPr>
        <w:tab/>
        <w:t>ويشير صاحب الشكوى إلى أن الدولة الطرف سلَّمت بتعرُّضه للعنف الشديد على أيدي الطالبان. ومع ذلك</w:t>
      </w:r>
      <w:r>
        <w:rPr>
          <w:rFonts w:hint="cs"/>
          <w:rtl/>
          <w:lang w:val="fr-CH"/>
        </w:rPr>
        <w:t xml:space="preserve"> لم</w:t>
      </w:r>
      <w:r>
        <w:rPr>
          <w:rtl/>
          <w:lang w:val="fr-CH"/>
        </w:rPr>
        <w:t> </w:t>
      </w:r>
      <w:r w:rsidRPr="00FA0FC2">
        <w:rPr>
          <w:rFonts w:hint="cs"/>
          <w:rtl/>
          <w:lang w:val="fr-CH"/>
        </w:rPr>
        <w:t>تقيِّم سلطاتها مدى خطورة العنف المسلَّط لتُحدِّد</w:t>
      </w:r>
      <w:r>
        <w:rPr>
          <w:rFonts w:hint="cs"/>
          <w:rtl/>
          <w:lang w:val="fr-CH"/>
        </w:rPr>
        <w:t xml:space="preserve"> ما</w:t>
      </w:r>
      <w:r>
        <w:rPr>
          <w:rtl/>
          <w:lang w:val="fr-CH"/>
        </w:rPr>
        <w:t> </w:t>
      </w:r>
      <w:r w:rsidRPr="00FA0FC2">
        <w:rPr>
          <w:rFonts w:hint="cs"/>
          <w:rtl/>
          <w:lang w:val="fr-CH"/>
        </w:rPr>
        <w:t>إذا كان هذا العنف يبلغ حد التعذيب. وإضافة إلى ذلك، كان من الممكن للفحص الطبي أن يقدَّم المزيد من التفاصيل بشأن ادعاء صاحب الشكوى تعرُّضه للتعذيب على أيدي السلطات الأفغانية، لكنه مُنِعَ من تقديم هذه القرائن. وهو يؤكِّد كذلك أن حالة حقوق الإنسان في أفغانستان،</w:t>
      </w:r>
      <w:r>
        <w:rPr>
          <w:rFonts w:hint="cs"/>
          <w:rtl/>
          <w:lang w:val="fr-CH"/>
        </w:rPr>
        <w:t xml:space="preserve"> فيما</w:t>
      </w:r>
      <w:r>
        <w:rPr>
          <w:rtl/>
          <w:lang w:val="fr-CH"/>
        </w:rPr>
        <w:t> </w:t>
      </w:r>
      <w:r w:rsidRPr="00FA0FC2">
        <w:rPr>
          <w:rFonts w:hint="cs"/>
          <w:rtl/>
          <w:lang w:val="fr-CH"/>
        </w:rPr>
        <w:t>يتصل بالانتهاكات التي يرتكبها الطالبان،</w:t>
      </w:r>
      <w:r>
        <w:rPr>
          <w:rFonts w:hint="cs"/>
          <w:rtl/>
          <w:lang w:val="fr-CH"/>
        </w:rPr>
        <w:t xml:space="preserve"> لم</w:t>
      </w:r>
      <w:r>
        <w:rPr>
          <w:rtl/>
          <w:lang w:val="fr-CH"/>
        </w:rPr>
        <w:t> </w:t>
      </w:r>
      <w:r w:rsidRPr="00FA0FC2">
        <w:rPr>
          <w:rFonts w:hint="cs"/>
          <w:rtl/>
          <w:lang w:val="fr-CH"/>
        </w:rPr>
        <w:t>تتغيّر، وأن السلطات الحكومية عاجزةٌ عن توفير الحماية من عنف الطالبان.</w:t>
      </w:r>
    </w:p>
    <w:p w:rsidR="00091373" w:rsidRPr="00FA0FC2" w:rsidRDefault="00091373" w:rsidP="00091373">
      <w:pPr>
        <w:pStyle w:val="SingleTxtGA"/>
        <w:rPr>
          <w:rFonts w:hint="cs"/>
          <w:rtl/>
          <w:lang w:val="fr-CH"/>
        </w:rPr>
      </w:pPr>
      <w:r w:rsidRPr="00FA0FC2">
        <w:rPr>
          <w:rFonts w:hint="cs"/>
          <w:rtl/>
          <w:lang w:val="fr-CH"/>
        </w:rPr>
        <w:t>5-11</w:t>
      </w:r>
      <w:r w:rsidRPr="00FA0FC2">
        <w:rPr>
          <w:rFonts w:hint="cs"/>
          <w:rtl/>
          <w:lang w:val="fr-CH"/>
        </w:rPr>
        <w:tab/>
        <w:t>ويدفع صاحب الشكوى، بخصوص تقييم السلطات لادعائه المتعلِّق بالاحتجاز والتعذيب من قبل السلطات الأفغانية، بأن الأسباب التي حملت السلطات على أن تستنتج تضارب أقواله أسبابٌ خاليةٌ من الوجاهة</w:t>
      </w:r>
      <w:r>
        <w:rPr>
          <w:rFonts w:hint="cs"/>
          <w:rtl/>
          <w:lang w:val="fr-CH"/>
        </w:rPr>
        <w:t xml:space="preserve"> بما</w:t>
      </w:r>
      <w:r>
        <w:rPr>
          <w:rtl/>
          <w:lang w:val="fr-CH"/>
        </w:rPr>
        <w:t> </w:t>
      </w:r>
      <w:r w:rsidRPr="00FA0FC2">
        <w:rPr>
          <w:rFonts w:hint="cs"/>
          <w:rtl/>
          <w:lang w:val="fr-CH"/>
        </w:rPr>
        <w:t>أنها ركَّزت أساساً على تعارض أقواله</w:t>
      </w:r>
      <w:r>
        <w:rPr>
          <w:rFonts w:hint="cs"/>
          <w:rtl/>
          <w:lang w:val="fr-CH"/>
        </w:rPr>
        <w:t xml:space="preserve"> فيما</w:t>
      </w:r>
      <w:r>
        <w:rPr>
          <w:rtl/>
          <w:lang w:val="fr-CH"/>
        </w:rPr>
        <w:t> </w:t>
      </w:r>
      <w:r w:rsidRPr="00FA0FC2">
        <w:rPr>
          <w:rFonts w:hint="cs"/>
          <w:rtl/>
          <w:lang w:val="fr-CH"/>
        </w:rPr>
        <w:t>يتعلَّق بظروف احتجازه في أعقاب الانفجار الذي حدث في جلال آباد. وإضافة إلى ذلك،</w:t>
      </w:r>
      <w:r>
        <w:rPr>
          <w:rFonts w:hint="cs"/>
          <w:rtl/>
          <w:lang w:val="fr-CH"/>
        </w:rPr>
        <w:t xml:space="preserve"> لم</w:t>
      </w:r>
      <w:r>
        <w:rPr>
          <w:rtl/>
          <w:lang w:val="fr-CH"/>
        </w:rPr>
        <w:t> </w:t>
      </w:r>
      <w:r w:rsidRPr="00FA0FC2">
        <w:rPr>
          <w:rFonts w:hint="cs"/>
          <w:rtl/>
          <w:lang w:val="fr-CH"/>
        </w:rPr>
        <w:t>تُدرج الدولة الطرف في تقييمها</w:t>
      </w:r>
      <w:r>
        <w:rPr>
          <w:rFonts w:hint="cs"/>
          <w:rtl/>
          <w:lang w:val="fr-CH"/>
        </w:rPr>
        <w:t xml:space="preserve"> ما</w:t>
      </w:r>
      <w:r>
        <w:rPr>
          <w:rtl/>
          <w:lang w:val="fr-CH"/>
        </w:rPr>
        <w:t> </w:t>
      </w:r>
      <w:r w:rsidRPr="00FA0FC2">
        <w:rPr>
          <w:rFonts w:hint="cs"/>
          <w:rtl/>
          <w:lang w:val="fr-CH"/>
        </w:rPr>
        <w:t>ورد في تقارير عدد من المنظمات غير الحكومية البارزة بخصوص</w:t>
      </w:r>
      <w:r>
        <w:rPr>
          <w:rFonts w:hint="cs"/>
          <w:rtl/>
          <w:lang w:val="fr-CH"/>
        </w:rPr>
        <w:t xml:space="preserve"> ما</w:t>
      </w:r>
      <w:r>
        <w:rPr>
          <w:rtl/>
          <w:lang w:val="fr-CH"/>
        </w:rPr>
        <w:t> </w:t>
      </w:r>
      <w:r w:rsidRPr="00FA0FC2">
        <w:rPr>
          <w:rFonts w:hint="cs"/>
          <w:rtl/>
          <w:lang w:val="fr-CH"/>
        </w:rPr>
        <w:t>تمارسه الشرطة الأفغانية من تعذيب.</w:t>
      </w:r>
    </w:p>
    <w:p w:rsidR="00091373" w:rsidRPr="00FA0FC2" w:rsidRDefault="00091373" w:rsidP="00091373">
      <w:pPr>
        <w:pStyle w:val="SingleTxtGA"/>
        <w:rPr>
          <w:rFonts w:hint="cs"/>
          <w:rtl/>
          <w:lang w:val="fr-CH"/>
        </w:rPr>
      </w:pPr>
      <w:r w:rsidRPr="00FA0FC2">
        <w:rPr>
          <w:rFonts w:hint="cs"/>
          <w:rtl/>
          <w:lang w:val="fr-CH"/>
        </w:rPr>
        <w:t>5-12</w:t>
      </w:r>
      <w:r w:rsidRPr="00FA0FC2">
        <w:rPr>
          <w:rFonts w:hint="cs"/>
          <w:rtl/>
          <w:lang w:val="fr-CH"/>
        </w:rPr>
        <w:tab/>
        <w:t>ويفيد صاحب الشكوى بأنه من منطقة تورابورا التي يتحدَّر منها الكثيرون من الطالبان، وبأنه يتكلم الباشتو. وسيكون هذان الأمران كافيين لتستجوبه السلطات في حال إعادته إلى بلده. وسيكون في خطر التعرُّض للتعذيب لهذا السبب إلى جانب كونه قد وافق إكراهاً على مساعدة الطالبان وأن الشرطة في كابول قد تكون على علمٍ بفراره من السجن.</w:t>
      </w:r>
    </w:p>
    <w:p w:rsidR="00091373" w:rsidRPr="00FA0FC2" w:rsidRDefault="00091373" w:rsidP="00091373">
      <w:pPr>
        <w:pStyle w:val="SingleTxtGA"/>
        <w:rPr>
          <w:rFonts w:hint="cs"/>
          <w:rtl/>
          <w:lang w:val="fr-CH"/>
        </w:rPr>
      </w:pPr>
      <w:r w:rsidRPr="00FA0FC2">
        <w:rPr>
          <w:rFonts w:hint="cs"/>
          <w:rtl/>
          <w:lang w:val="fr-CH"/>
        </w:rPr>
        <w:t>5-13</w:t>
      </w:r>
      <w:r w:rsidRPr="00FA0FC2">
        <w:rPr>
          <w:rFonts w:hint="cs"/>
          <w:rtl/>
          <w:lang w:val="fr-CH"/>
        </w:rPr>
        <w:tab/>
        <w:t>وبخصوص نسخة المقال الصحفي المرفقة بالشكوى، يلاحظ صاحب الشكوى أن للجنة أن تقيِّم بحرية جميع الوقائع بالاستناد إلى مجموعة الحيثيات الكاملة في القضية وألاّ شيء يمنعها من فحص أدلة</w:t>
      </w:r>
      <w:r>
        <w:rPr>
          <w:rFonts w:hint="cs"/>
          <w:rtl/>
          <w:lang w:val="fr-CH"/>
        </w:rPr>
        <w:t xml:space="preserve"> لم</w:t>
      </w:r>
      <w:r>
        <w:rPr>
          <w:rtl/>
          <w:lang w:val="fr-CH"/>
        </w:rPr>
        <w:t> </w:t>
      </w:r>
      <w:r w:rsidRPr="00FA0FC2">
        <w:rPr>
          <w:rFonts w:hint="cs"/>
          <w:rtl/>
          <w:lang w:val="fr-CH"/>
        </w:rPr>
        <w:t>تُقدَّم في إطار إجراءات الدولة الطرف. وشرح كذلك أنه</w:t>
      </w:r>
      <w:r>
        <w:rPr>
          <w:rFonts w:hint="cs"/>
          <w:rtl/>
          <w:lang w:val="fr-CH"/>
        </w:rPr>
        <w:t xml:space="preserve"> لم</w:t>
      </w:r>
      <w:r>
        <w:rPr>
          <w:rtl/>
          <w:lang w:val="fr-CH"/>
        </w:rPr>
        <w:t> </w:t>
      </w:r>
      <w:r w:rsidRPr="00FA0FC2">
        <w:rPr>
          <w:rFonts w:hint="cs"/>
          <w:rtl/>
          <w:lang w:val="fr-CH"/>
        </w:rPr>
        <w:t>يتمكّن من تقديم هذه الوثيقة إلى السلطات لأنه</w:t>
      </w:r>
      <w:r>
        <w:rPr>
          <w:rFonts w:hint="cs"/>
          <w:rtl/>
          <w:lang w:val="fr-CH"/>
        </w:rPr>
        <w:t xml:space="preserve"> لم</w:t>
      </w:r>
      <w:r>
        <w:rPr>
          <w:rtl/>
          <w:lang w:val="fr-CH"/>
        </w:rPr>
        <w:t> </w:t>
      </w:r>
      <w:r w:rsidRPr="00FA0FC2">
        <w:rPr>
          <w:rFonts w:hint="cs"/>
          <w:rtl/>
          <w:lang w:val="fr-CH"/>
        </w:rPr>
        <w:t>يستلمها قبل أيار/مايو 2011. وهو يُشدِّد أيضاً على أن المقال يثبت أن السلطات الأفغانية على علم باحتجازه السابق وفراره من السجن،</w:t>
      </w:r>
      <w:r>
        <w:rPr>
          <w:rFonts w:hint="cs"/>
          <w:rtl/>
          <w:lang w:val="fr-CH"/>
        </w:rPr>
        <w:t xml:space="preserve"> ما</w:t>
      </w:r>
      <w:r>
        <w:rPr>
          <w:rtl/>
          <w:lang w:val="fr-CH"/>
        </w:rPr>
        <w:t> </w:t>
      </w:r>
      <w:r w:rsidRPr="00FA0FC2">
        <w:rPr>
          <w:rFonts w:hint="cs"/>
          <w:rtl/>
          <w:lang w:val="fr-CH"/>
        </w:rPr>
        <w:t>يجعله عُرضةً لخطر فعلي وشخصي في حال إعادته إلى أفغانستان.</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ملاحظات إضافية من الدولة الطرف</w:t>
      </w:r>
    </w:p>
    <w:p w:rsidR="00091373" w:rsidRPr="00FA0FC2" w:rsidRDefault="00091373" w:rsidP="00091373">
      <w:pPr>
        <w:pStyle w:val="SingleTxtGA"/>
        <w:rPr>
          <w:rFonts w:hint="cs"/>
          <w:rtl/>
          <w:lang w:val="fr-CH"/>
        </w:rPr>
      </w:pPr>
      <w:r w:rsidRPr="00FA0FC2">
        <w:rPr>
          <w:rFonts w:hint="cs"/>
          <w:rtl/>
          <w:lang w:val="fr-CH"/>
        </w:rPr>
        <w:t>6-1</w:t>
      </w:r>
      <w:r w:rsidRPr="00FA0FC2">
        <w:rPr>
          <w:rFonts w:hint="cs"/>
          <w:rtl/>
          <w:lang w:val="fr-CH"/>
        </w:rPr>
        <w:tab/>
        <w:t>في 11 نيسان/أبريل 2012، قدَّمت الدولة الطرف معلوماتٍ إضافيةً بخصوص تعليقات صاحب الشكوى على ملاحظاتها بشأن مقبولية الشكوى وأسسها الموضوعية.</w:t>
      </w:r>
    </w:p>
    <w:p w:rsidR="00091373" w:rsidRPr="00FA0FC2" w:rsidRDefault="00091373" w:rsidP="00091373">
      <w:pPr>
        <w:pStyle w:val="SingleTxtGA"/>
        <w:rPr>
          <w:rFonts w:hint="cs"/>
          <w:rtl/>
          <w:lang w:val="fr-CH"/>
        </w:rPr>
      </w:pPr>
      <w:r w:rsidRPr="00FA0FC2">
        <w:rPr>
          <w:rFonts w:hint="cs"/>
          <w:rtl/>
          <w:lang w:val="fr-CH"/>
        </w:rPr>
        <w:t>6-2</w:t>
      </w:r>
      <w:r w:rsidRPr="00FA0FC2">
        <w:rPr>
          <w:rFonts w:hint="cs"/>
          <w:rtl/>
          <w:lang w:val="fr-CH"/>
        </w:rPr>
        <w:tab/>
        <w:t>وتشير الدولة الطرف إلى أن مجلس طعون اللاجئين نظر على نحو شافٍ في ادعاء صاحب الشكوى بخصوص مشكلته مع الطالبان، وأن صاحب الشكوى ذاته أكَّد، على نحو</w:t>
      </w:r>
      <w:r>
        <w:rPr>
          <w:rFonts w:hint="cs"/>
          <w:rtl/>
          <w:lang w:val="fr-CH"/>
        </w:rPr>
        <w:t xml:space="preserve"> ما</w:t>
      </w:r>
      <w:r>
        <w:rPr>
          <w:rtl/>
          <w:lang w:val="fr-CH"/>
        </w:rPr>
        <w:t> </w:t>
      </w:r>
      <w:r w:rsidRPr="00FA0FC2">
        <w:rPr>
          <w:rFonts w:hint="cs"/>
          <w:rtl/>
          <w:lang w:val="fr-CH"/>
        </w:rPr>
        <w:t>ذُكِرَ في قرار المجلس، أنه أعطى اسماً زائفاً وأن جميع العمال خضعوا للاستجواب والتفتيش بصفة عامة وأنه استطاع العيش في أفغانستان طيلة سنة دون مواجهة مشاكل أخرى.</w:t>
      </w:r>
    </w:p>
    <w:p w:rsidR="00091373" w:rsidRPr="00FA0FC2" w:rsidRDefault="00091373" w:rsidP="00091373">
      <w:pPr>
        <w:pStyle w:val="SingleTxtGA"/>
        <w:rPr>
          <w:rFonts w:hint="cs"/>
          <w:rtl/>
          <w:lang w:val="fr-CH"/>
        </w:rPr>
      </w:pPr>
      <w:r w:rsidRPr="00FA0FC2">
        <w:rPr>
          <w:rFonts w:hint="cs"/>
          <w:rtl/>
          <w:lang w:val="fr-CH"/>
        </w:rPr>
        <w:t>6-3</w:t>
      </w:r>
      <w:r w:rsidRPr="00FA0FC2">
        <w:rPr>
          <w:rFonts w:hint="cs"/>
          <w:rtl/>
          <w:lang w:val="fr-CH"/>
        </w:rPr>
        <w:tab/>
        <w:t>ومجلس طعون اللاجئين ملتزم بإثبات الوقائع واتخاذ قرارات سليمة وموضوعية. وبحسب الظروف، يُفتَرض أن يطرح المجلس على ملتمسي اللجوء، أثناء جلسة الاستماع، أسئلةً تتيح كشف الوقائع على النحو المناسب دون أن يقوِّض ذلك نزاهة المجلس ومهنيته. وتلاحظ الدولة الطرف كذلك أن صاحب الشكوى ومحاميه</w:t>
      </w:r>
      <w:r>
        <w:rPr>
          <w:rFonts w:hint="cs"/>
          <w:rtl/>
          <w:lang w:val="fr-CH"/>
        </w:rPr>
        <w:t xml:space="preserve"> لم</w:t>
      </w:r>
      <w:r>
        <w:rPr>
          <w:rtl/>
          <w:lang w:val="fr-CH"/>
        </w:rPr>
        <w:t> </w:t>
      </w:r>
      <w:r w:rsidRPr="00FA0FC2">
        <w:rPr>
          <w:rFonts w:hint="cs"/>
          <w:rtl/>
          <w:lang w:val="fr-CH"/>
        </w:rPr>
        <w:t>يدّعيا أن أحد أعضاء المجلس ضايق صاحب الشكوى بأسئلته.</w:t>
      </w:r>
      <w:r>
        <w:rPr>
          <w:rFonts w:hint="cs"/>
          <w:rtl/>
          <w:lang w:val="fr-CH"/>
        </w:rPr>
        <w:t xml:space="preserve"> وفي</w:t>
      </w:r>
      <w:r>
        <w:rPr>
          <w:rtl/>
          <w:lang w:val="fr-CH"/>
        </w:rPr>
        <w:t> </w:t>
      </w:r>
      <w:r w:rsidRPr="00FA0FC2">
        <w:rPr>
          <w:rFonts w:hint="cs"/>
          <w:rtl/>
          <w:lang w:val="fr-CH"/>
        </w:rPr>
        <w:t xml:space="preserve">أعقاب الجلسة، سُئِلَ صاحبُ الشكوى عمّا إذا كانت لديه تعليقات أخرى فردّ بالنفي. </w:t>
      </w:r>
    </w:p>
    <w:p w:rsidR="00091373" w:rsidRPr="00FA0FC2" w:rsidRDefault="00091373" w:rsidP="00091373">
      <w:pPr>
        <w:pStyle w:val="SingleTxtGA"/>
        <w:rPr>
          <w:rFonts w:hint="cs"/>
          <w:rtl/>
          <w:lang w:val="fr-CH"/>
        </w:rPr>
      </w:pPr>
      <w:r w:rsidRPr="00FA0FC2">
        <w:rPr>
          <w:rFonts w:hint="cs"/>
          <w:rtl/>
          <w:lang w:val="fr-CH"/>
        </w:rPr>
        <w:t>6-4</w:t>
      </w:r>
      <w:r w:rsidRPr="00FA0FC2">
        <w:rPr>
          <w:rFonts w:hint="cs"/>
          <w:rtl/>
          <w:lang w:val="fr-CH"/>
        </w:rPr>
        <w:tab/>
        <w:t>ولم يشر مجلس طعون اللاجئين إشارة صريحة إلى الاتفاقية، لكن ذلك</w:t>
      </w:r>
      <w:r>
        <w:rPr>
          <w:rFonts w:hint="cs"/>
          <w:rtl/>
          <w:lang w:val="fr-CH"/>
        </w:rPr>
        <w:t xml:space="preserve"> لا</w:t>
      </w:r>
      <w:r>
        <w:rPr>
          <w:rtl/>
          <w:lang w:val="fr-CH"/>
        </w:rPr>
        <w:t> </w:t>
      </w:r>
      <w:r w:rsidRPr="00FA0FC2">
        <w:rPr>
          <w:rFonts w:hint="cs"/>
          <w:rtl/>
          <w:lang w:val="fr-CH"/>
        </w:rPr>
        <w:t>يمكن أن يعتبر تجاهلاً منه لالتزاماته في</w:t>
      </w:r>
      <w:r>
        <w:rPr>
          <w:rFonts w:hint="cs"/>
          <w:rtl/>
          <w:lang w:val="fr-CH"/>
        </w:rPr>
        <w:t xml:space="preserve"> ما</w:t>
      </w:r>
      <w:r>
        <w:rPr>
          <w:rtl/>
          <w:lang w:val="fr-CH"/>
        </w:rPr>
        <w:t> </w:t>
      </w:r>
      <w:r w:rsidRPr="00FA0FC2">
        <w:rPr>
          <w:rFonts w:hint="cs"/>
          <w:rtl/>
          <w:lang w:val="fr-CH"/>
        </w:rPr>
        <w:t>يتخذه من قرارات.</w:t>
      </w:r>
    </w:p>
    <w:p w:rsidR="00091373" w:rsidRPr="00FA0FC2" w:rsidRDefault="00091373" w:rsidP="00091373">
      <w:pPr>
        <w:pStyle w:val="SingleTxtGA"/>
        <w:rPr>
          <w:rFonts w:hint="cs"/>
          <w:rtl/>
          <w:lang w:val="fr-CH"/>
        </w:rPr>
      </w:pPr>
      <w:r w:rsidRPr="00FA0FC2">
        <w:rPr>
          <w:rFonts w:hint="cs"/>
          <w:rtl/>
          <w:lang w:val="fr-CH"/>
        </w:rPr>
        <w:t>6-5</w:t>
      </w:r>
      <w:r w:rsidRPr="00FA0FC2">
        <w:rPr>
          <w:rFonts w:hint="cs"/>
          <w:rtl/>
          <w:lang w:val="fr-CH"/>
        </w:rPr>
        <w:tab/>
        <w:t>وفي سياق استعراض طلبات اللجوء، يأخذ مجلس طعون اللاجئين بعين الاعتبار جميع المعلومات الوقائعية والأساسية المتاحة عند اتخاذ قراره.</w:t>
      </w:r>
    </w:p>
    <w:p w:rsidR="00091373" w:rsidRPr="00FA0FC2" w:rsidRDefault="00091373" w:rsidP="00091373">
      <w:pPr>
        <w:pStyle w:val="SingleTxtGA"/>
        <w:rPr>
          <w:rFonts w:hint="cs"/>
          <w:rtl/>
          <w:lang w:val="fr-CH"/>
        </w:rPr>
      </w:pPr>
      <w:r w:rsidRPr="00FA0FC2">
        <w:rPr>
          <w:rFonts w:hint="cs"/>
          <w:rtl/>
          <w:lang w:val="fr-CH"/>
        </w:rPr>
        <w:t>6-6</w:t>
      </w:r>
      <w:r w:rsidRPr="00FA0FC2">
        <w:rPr>
          <w:rFonts w:hint="cs"/>
          <w:rtl/>
          <w:lang w:val="fr-CH"/>
        </w:rPr>
        <w:tab/>
        <w:t>وتدفع الدولة الطرف بأن عدد الضلوع المكسورة جراء عنف الطالبان</w:t>
      </w:r>
      <w:r>
        <w:rPr>
          <w:rFonts w:hint="cs"/>
          <w:rtl/>
          <w:lang w:val="fr-CH"/>
        </w:rPr>
        <w:t xml:space="preserve"> لا</w:t>
      </w:r>
      <w:r>
        <w:rPr>
          <w:rtl/>
          <w:lang w:val="fr-CH"/>
        </w:rPr>
        <w:t> </w:t>
      </w:r>
      <w:r w:rsidRPr="00FA0FC2">
        <w:rPr>
          <w:rFonts w:hint="cs"/>
          <w:rtl/>
          <w:lang w:val="fr-CH"/>
        </w:rPr>
        <w:t>يؤثر، بموجب قانون اللجوء، في التقييم المحدد للاعتداء الذي يدّعى أن مقدِّم الطلب تعرض له.</w:t>
      </w:r>
    </w:p>
    <w:p w:rsidR="00091373" w:rsidRPr="00FA0FC2" w:rsidRDefault="00091373" w:rsidP="00091373">
      <w:pPr>
        <w:pStyle w:val="H23GA"/>
        <w:rPr>
          <w:rtl/>
          <w:lang w:val="fr-CH"/>
        </w:rPr>
      </w:pPr>
      <w:r w:rsidRPr="00FA0FC2">
        <w:rPr>
          <w:rFonts w:hint="cs"/>
          <w:rtl/>
          <w:lang w:val="fr-CH"/>
        </w:rPr>
        <w:tab/>
      </w:r>
      <w:r w:rsidRPr="00FA0FC2">
        <w:rPr>
          <w:rFonts w:hint="cs"/>
          <w:rtl/>
          <w:lang w:val="fr-CH"/>
        </w:rPr>
        <w:tab/>
      </w:r>
      <w:r w:rsidRPr="00FA0FC2">
        <w:rPr>
          <w:rtl/>
          <w:lang w:val="fr-CH"/>
        </w:rPr>
        <w:t>المسائل والإجراءات المعروضة على اللجنة</w:t>
      </w:r>
    </w:p>
    <w:p w:rsidR="00091373" w:rsidRPr="00FA0FC2" w:rsidRDefault="00091373" w:rsidP="00091373">
      <w:pPr>
        <w:pStyle w:val="H4GA"/>
        <w:rPr>
          <w:rtl/>
          <w:lang w:val="fr-CH"/>
        </w:rPr>
      </w:pPr>
      <w:r w:rsidRPr="00FA0FC2">
        <w:rPr>
          <w:rtl/>
          <w:lang w:val="fr-CH"/>
        </w:rPr>
        <w:tab/>
      </w:r>
      <w:r w:rsidRPr="00FA0FC2">
        <w:rPr>
          <w:rtl/>
          <w:lang w:val="fr-CH"/>
        </w:rPr>
        <w:tab/>
        <w:t>النظر في المقبولية</w:t>
      </w:r>
    </w:p>
    <w:p w:rsidR="00091373" w:rsidRPr="00FA0FC2" w:rsidRDefault="00091373" w:rsidP="00091373">
      <w:pPr>
        <w:pStyle w:val="SingleTxtGA"/>
        <w:rPr>
          <w:rtl/>
          <w:lang w:val="fr-CH"/>
        </w:rPr>
      </w:pPr>
      <w:r w:rsidRPr="00FA0FC2">
        <w:rPr>
          <w:rFonts w:hint="cs"/>
          <w:rtl/>
          <w:lang w:val="fr-CH"/>
        </w:rPr>
        <w:t>7</w:t>
      </w:r>
      <w:r w:rsidRPr="00FA0FC2">
        <w:rPr>
          <w:rtl/>
          <w:lang w:val="fr-CH"/>
        </w:rPr>
        <w:t>-1</w:t>
      </w:r>
      <w:r w:rsidRPr="00FA0FC2">
        <w:rPr>
          <w:rtl/>
          <w:lang w:val="fr-CH"/>
        </w:rPr>
        <w:tab/>
        <w:t>قبل النظر في أي ادعاءات ترد في شكوى ما، يتعين على لجنة مناهضة التعذيب أن ت</w:t>
      </w:r>
      <w:r w:rsidRPr="00FA0FC2">
        <w:rPr>
          <w:rFonts w:hint="cs"/>
          <w:rtl/>
          <w:lang w:val="fr-CH"/>
        </w:rPr>
        <w:t>قرر</w:t>
      </w:r>
      <w:r>
        <w:rPr>
          <w:rFonts w:hint="cs"/>
          <w:rtl/>
          <w:lang w:val="fr-CH"/>
        </w:rPr>
        <w:t xml:space="preserve"> ما</w:t>
      </w:r>
      <w:r>
        <w:rPr>
          <w:rtl/>
          <w:lang w:val="fr-CH"/>
        </w:rPr>
        <w:t> </w:t>
      </w:r>
      <w:r w:rsidRPr="00FA0FC2">
        <w:rPr>
          <w:rtl/>
          <w:lang w:val="fr-CH"/>
        </w:rPr>
        <w:t>إذا كان البلاغ مقبولاً</w:t>
      </w:r>
      <w:r>
        <w:rPr>
          <w:rtl/>
          <w:lang w:val="fr-CH"/>
        </w:rPr>
        <w:t xml:space="preserve"> أم لا </w:t>
      </w:r>
      <w:r w:rsidRPr="00FA0FC2">
        <w:rPr>
          <w:rtl/>
          <w:lang w:val="fr-CH"/>
        </w:rPr>
        <w:t>بموجب ال</w:t>
      </w:r>
      <w:r>
        <w:rPr>
          <w:rtl/>
          <w:lang w:val="fr-CH"/>
        </w:rPr>
        <w:t>مادة </w:t>
      </w:r>
      <w:r w:rsidRPr="00FA0FC2">
        <w:rPr>
          <w:rtl/>
          <w:lang w:val="fr-CH"/>
        </w:rPr>
        <w:t xml:space="preserve">22 من الاتفاقية. وقد تأكدت اللجنة، </w:t>
      </w:r>
      <w:r w:rsidRPr="00FA0FC2">
        <w:rPr>
          <w:rFonts w:hint="cs"/>
          <w:rtl/>
          <w:lang w:val="fr-CH"/>
        </w:rPr>
        <w:t>وفقا لمقتضيات</w:t>
      </w:r>
      <w:r w:rsidRPr="00FA0FC2">
        <w:rPr>
          <w:rtl/>
          <w:lang w:val="fr-CH"/>
        </w:rPr>
        <w:t xml:space="preserve"> الفقرة 5(أ) من ال</w:t>
      </w:r>
      <w:r>
        <w:rPr>
          <w:rtl/>
          <w:lang w:val="fr-CH"/>
        </w:rPr>
        <w:t>مادة </w:t>
      </w:r>
      <w:r w:rsidRPr="00FA0FC2">
        <w:rPr>
          <w:rtl/>
          <w:lang w:val="fr-CH"/>
        </w:rPr>
        <w:t xml:space="preserve">22 من الاتفاقية، من أن المسألة </w:t>
      </w:r>
      <w:r w:rsidRPr="00FA0FC2">
        <w:rPr>
          <w:rFonts w:hint="cs"/>
          <w:rtl/>
          <w:lang w:val="fr-CH"/>
        </w:rPr>
        <w:t>ذات</w:t>
      </w:r>
      <w:r w:rsidRPr="00FA0FC2">
        <w:rPr>
          <w:rtl/>
          <w:lang w:val="fr-CH"/>
        </w:rPr>
        <w:t>ها</w:t>
      </w:r>
      <w:r>
        <w:rPr>
          <w:rtl/>
          <w:lang w:val="fr-CH"/>
        </w:rPr>
        <w:t xml:space="preserve"> لم </w:t>
      </w:r>
      <w:r w:rsidRPr="00FA0FC2">
        <w:rPr>
          <w:rtl/>
          <w:lang w:val="fr-CH"/>
        </w:rPr>
        <w:t>تُبحث</w:t>
      </w:r>
      <w:r>
        <w:rPr>
          <w:rtl/>
          <w:lang w:val="fr-CH"/>
        </w:rPr>
        <w:t xml:space="preserve"> ولا </w:t>
      </w:r>
      <w:r w:rsidRPr="00FA0FC2">
        <w:rPr>
          <w:rtl/>
          <w:lang w:val="fr-CH"/>
        </w:rPr>
        <w:t>يجري بحثها في إطار أي إجراء آخر من إجراءات التحقيق الدولي</w:t>
      </w:r>
      <w:r>
        <w:rPr>
          <w:rtl/>
          <w:lang w:val="fr-CH"/>
        </w:rPr>
        <w:t xml:space="preserve"> أو </w:t>
      </w:r>
      <w:r w:rsidRPr="00FA0FC2">
        <w:rPr>
          <w:rtl/>
          <w:lang w:val="fr-CH"/>
        </w:rPr>
        <w:t>التسوية الدولية.</w:t>
      </w:r>
    </w:p>
    <w:p w:rsidR="00091373" w:rsidRPr="00FA0FC2" w:rsidRDefault="00091373" w:rsidP="00091373">
      <w:pPr>
        <w:pStyle w:val="SingleTxtGA"/>
        <w:rPr>
          <w:rtl/>
          <w:lang w:val="fr-CH"/>
        </w:rPr>
      </w:pPr>
      <w:r w:rsidRPr="00FA0FC2">
        <w:rPr>
          <w:rFonts w:hint="cs"/>
          <w:rtl/>
          <w:lang w:val="fr-CH"/>
        </w:rPr>
        <w:t>7</w:t>
      </w:r>
      <w:r w:rsidRPr="00FA0FC2">
        <w:rPr>
          <w:rtl/>
          <w:lang w:val="fr-CH"/>
        </w:rPr>
        <w:t>-2</w:t>
      </w:r>
      <w:r w:rsidRPr="00FA0FC2">
        <w:rPr>
          <w:rtl/>
          <w:lang w:val="fr-CH"/>
        </w:rPr>
        <w:tab/>
        <w:t>وتشير اللجنة إلى أنها</w:t>
      </w:r>
      <w:r>
        <w:rPr>
          <w:rtl/>
          <w:lang w:val="fr-CH"/>
        </w:rPr>
        <w:t xml:space="preserve"> لا </w:t>
      </w:r>
      <w:r w:rsidRPr="00FA0FC2">
        <w:rPr>
          <w:rtl/>
          <w:lang w:val="fr-CH"/>
        </w:rPr>
        <w:t>تنظر، وفقاً للفقرة 5(ب) من ال</w:t>
      </w:r>
      <w:r>
        <w:rPr>
          <w:rtl/>
          <w:lang w:val="fr-CH"/>
        </w:rPr>
        <w:t>مادة </w:t>
      </w:r>
      <w:r w:rsidRPr="00FA0FC2">
        <w:rPr>
          <w:rtl/>
          <w:lang w:val="fr-CH"/>
        </w:rPr>
        <w:t xml:space="preserve">22 من الاتفاقية، في أي بلاغ </w:t>
      </w:r>
      <w:r w:rsidRPr="00FA0FC2">
        <w:rPr>
          <w:rFonts w:hint="cs"/>
          <w:rtl/>
          <w:lang w:val="fr-CH"/>
        </w:rPr>
        <w:t>يقدمه</w:t>
      </w:r>
      <w:r w:rsidRPr="00FA0FC2">
        <w:rPr>
          <w:rtl/>
          <w:lang w:val="fr-CH"/>
        </w:rPr>
        <w:t xml:space="preserve"> أحد الأفراد</w:t>
      </w:r>
      <w:r>
        <w:rPr>
          <w:rtl/>
          <w:lang w:val="fr-CH"/>
        </w:rPr>
        <w:t xml:space="preserve"> ما لم </w:t>
      </w:r>
      <w:r w:rsidRPr="00FA0FC2">
        <w:rPr>
          <w:rtl/>
          <w:lang w:val="fr-CH"/>
        </w:rPr>
        <w:t>تتحقق من أن هذا الفرد قد استنفد جميع سبل الانتصاف المحلية المتاحة. وتلاحظ اللجنة أن الدولة الطرف أقرت، في هذه القضية، بأن صاحب الشكوى قد استنفد جميع سبل الانتصاف المحلية المتاحة.</w:t>
      </w:r>
    </w:p>
    <w:p w:rsidR="00091373" w:rsidRPr="00FA0FC2" w:rsidRDefault="00091373" w:rsidP="00091373">
      <w:pPr>
        <w:pStyle w:val="SingleTxtGA"/>
        <w:rPr>
          <w:rtl/>
          <w:lang w:val="fr-CH"/>
        </w:rPr>
      </w:pPr>
      <w:r w:rsidRPr="00FA0FC2">
        <w:rPr>
          <w:rFonts w:hint="cs"/>
          <w:rtl/>
          <w:lang w:val="fr-CH"/>
        </w:rPr>
        <w:t>7</w:t>
      </w:r>
      <w:r w:rsidRPr="00FA0FC2">
        <w:rPr>
          <w:rtl/>
          <w:lang w:val="fr-CH"/>
        </w:rPr>
        <w:t>-3</w:t>
      </w:r>
      <w:r w:rsidRPr="00FA0FC2">
        <w:rPr>
          <w:rtl/>
          <w:lang w:val="fr-CH"/>
        </w:rPr>
        <w:tab/>
      </w:r>
      <w:r w:rsidRPr="00FA0FC2">
        <w:rPr>
          <w:rFonts w:hint="cs"/>
          <w:rtl/>
          <w:lang w:val="fr-CH"/>
        </w:rPr>
        <w:t>وتعتبر</w:t>
      </w:r>
      <w:r w:rsidRPr="00FA0FC2">
        <w:rPr>
          <w:rtl/>
          <w:lang w:val="fr-CH"/>
        </w:rPr>
        <w:t xml:space="preserve"> الدولة الطرف أن ال</w:t>
      </w:r>
      <w:r w:rsidRPr="00FA0FC2">
        <w:rPr>
          <w:rFonts w:hint="cs"/>
          <w:rtl/>
          <w:lang w:val="fr-CH"/>
        </w:rPr>
        <w:t>شكوى</w:t>
      </w:r>
      <w:r w:rsidRPr="00FA0FC2">
        <w:rPr>
          <w:rtl/>
          <w:lang w:val="fr-CH"/>
        </w:rPr>
        <w:t xml:space="preserve"> غير مقبول</w:t>
      </w:r>
      <w:r w:rsidRPr="00FA0FC2">
        <w:rPr>
          <w:rFonts w:hint="cs"/>
          <w:rtl/>
          <w:lang w:val="fr-CH"/>
        </w:rPr>
        <w:t>ة</w:t>
      </w:r>
      <w:r w:rsidRPr="00FA0FC2">
        <w:rPr>
          <w:rtl/>
          <w:lang w:val="fr-CH"/>
        </w:rPr>
        <w:t xml:space="preserve"> لأن من الواضح أنه</w:t>
      </w:r>
      <w:r w:rsidRPr="00FA0FC2">
        <w:rPr>
          <w:rFonts w:hint="cs"/>
          <w:rtl/>
          <w:lang w:val="fr-CH"/>
        </w:rPr>
        <w:t>ا</w:t>
      </w:r>
      <w:r>
        <w:rPr>
          <w:rtl/>
          <w:lang w:val="fr-CH"/>
        </w:rPr>
        <w:t xml:space="preserve"> لا </w:t>
      </w:r>
      <w:r w:rsidRPr="00FA0FC2">
        <w:rPr>
          <w:rFonts w:hint="cs"/>
          <w:rtl/>
          <w:lang w:val="fr-CH"/>
        </w:rPr>
        <w:t>ت</w:t>
      </w:r>
      <w:r w:rsidRPr="00FA0FC2">
        <w:rPr>
          <w:rtl/>
          <w:lang w:val="fr-CH"/>
        </w:rPr>
        <w:t xml:space="preserve">ستند إلى أي أساس. بيد أن اللجنة ترى أن الحجج التي عرضها عليها صاحب الشكوى تثير مسائل موضوعية ينبغي معالجتها </w:t>
      </w:r>
      <w:r>
        <w:rPr>
          <w:rFonts w:hint="cs"/>
          <w:rtl/>
          <w:lang w:val="fr-CH"/>
        </w:rPr>
        <w:t xml:space="preserve">من حيث </w:t>
      </w:r>
      <w:r w:rsidRPr="00FA0FC2">
        <w:rPr>
          <w:rtl/>
          <w:lang w:val="fr-CH"/>
        </w:rPr>
        <w:t xml:space="preserve">الأسس الموضوعية. وبناءً على ذلك، تخلص اللجنة إلى عدم وجود عوائق </w:t>
      </w:r>
      <w:r w:rsidRPr="00FA0FC2">
        <w:rPr>
          <w:rFonts w:hint="cs"/>
          <w:rtl/>
          <w:lang w:val="fr-CH"/>
        </w:rPr>
        <w:t>تحول دون</w:t>
      </w:r>
      <w:r w:rsidRPr="00FA0FC2">
        <w:rPr>
          <w:rtl/>
          <w:lang w:val="fr-CH"/>
        </w:rPr>
        <w:t xml:space="preserve"> </w:t>
      </w:r>
      <w:r w:rsidRPr="00FA0FC2">
        <w:rPr>
          <w:rFonts w:hint="cs"/>
          <w:rtl/>
          <w:lang w:val="fr-CH"/>
        </w:rPr>
        <w:t xml:space="preserve">قبول البلاغ </w:t>
      </w:r>
      <w:r w:rsidRPr="00FA0FC2">
        <w:rPr>
          <w:rtl/>
          <w:lang w:val="fr-CH"/>
        </w:rPr>
        <w:t xml:space="preserve">وتعلن </w:t>
      </w:r>
      <w:r w:rsidRPr="00FA0FC2">
        <w:rPr>
          <w:rFonts w:hint="cs"/>
          <w:rtl/>
          <w:lang w:val="fr-CH"/>
        </w:rPr>
        <w:t>أنه مقبول</w:t>
      </w:r>
      <w:r w:rsidRPr="00FA0FC2">
        <w:rPr>
          <w:rtl/>
          <w:lang w:val="fr-CH"/>
        </w:rPr>
        <w:t>. وبالنظر إلى أن</w:t>
      </w:r>
      <w:r w:rsidRPr="00FA0FC2">
        <w:rPr>
          <w:rFonts w:hint="cs"/>
          <w:rtl/>
          <w:lang w:val="fr-CH"/>
        </w:rPr>
        <w:t xml:space="preserve"> كلا من</w:t>
      </w:r>
      <w:r w:rsidRPr="00FA0FC2">
        <w:rPr>
          <w:rtl/>
          <w:lang w:val="fr-CH"/>
        </w:rPr>
        <w:t xml:space="preserve"> الدولة الطرف وصاحب الشكوى قدم</w:t>
      </w:r>
      <w:r w:rsidRPr="00FA0FC2">
        <w:rPr>
          <w:rFonts w:hint="cs"/>
          <w:rtl/>
          <w:lang w:val="fr-CH"/>
        </w:rPr>
        <w:t>ا</w:t>
      </w:r>
      <w:r w:rsidRPr="00FA0FC2">
        <w:rPr>
          <w:rtl/>
          <w:lang w:val="fr-CH"/>
        </w:rPr>
        <w:t xml:space="preserve"> ملاحظات بشأن الأسس الموضوعية للبلاغ، فإن اللجنة س</w:t>
      </w:r>
      <w:r w:rsidRPr="00FA0FC2">
        <w:rPr>
          <w:rFonts w:hint="cs"/>
          <w:rtl/>
          <w:lang w:val="fr-CH"/>
        </w:rPr>
        <w:t>تباشر من حينها</w:t>
      </w:r>
      <w:r w:rsidRPr="00FA0FC2">
        <w:rPr>
          <w:rtl/>
          <w:lang w:val="fr-CH"/>
        </w:rPr>
        <w:t xml:space="preserve"> النظر في الأسس الموضوعية.</w:t>
      </w:r>
    </w:p>
    <w:p w:rsidR="00091373" w:rsidRPr="00FA0FC2" w:rsidRDefault="00091373" w:rsidP="00091373">
      <w:pPr>
        <w:pStyle w:val="H4GA"/>
        <w:rPr>
          <w:rtl/>
          <w:lang w:val="fr-CH"/>
        </w:rPr>
      </w:pPr>
      <w:r w:rsidRPr="00FA0FC2">
        <w:rPr>
          <w:rtl/>
          <w:lang w:val="fr-CH"/>
        </w:rPr>
        <w:tab/>
      </w:r>
      <w:r w:rsidRPr="00FA0FC2">
        <w:rPr>
          <w:rtl/>
          <w:lang w:val="fr-CH"/>
        </w:rPr>
        <w:tab/>
        <w:t>النظر في الأسس الموضوعية</w:t>
      </w:r>
    </w:p>
    <w:p w:rsidR="00091373" w:rsidRPr="00FA0FC2" w:rsidRDefault="00091373" w:rsidP="00091373">
      <w:pPr>
        <w:pStyle w:val="SingleTxtGA"/>
        <w:rPr>
          <w:rtl/>
          <w:lang w:val="fr-CH"/>
        </w:rPr>
      </w:pPr>
      <w:r w:rsidRPr="00FA0FC2">
        <w:rPr>
          <w:rFonts w:hint="cs"/>
          <w:rtl/>
          <w:lang w:val="fr-CH"/>
        </w:rPr>
        <w:t>8</w:t>
      </w:r>
      <w:r w:rsidRPr="00FA0FC2">
        <w:rPr>
          <w:rtl/>
          <w:lang w:val="fr-CH"/>
        </w:rPr>
        <w:t>-1</w:t>
      </w:r>
      <w:r w:rsidRPr="00FA0FC2">
        <w:rPr>
          <w:rtl/>
          <w:lang w:val="fr-CH"/>
        </w:rPr>
        <w:tab/>
        <w:t>وفقاً للفقرة 4 من ال</w:t>
      </w:r>
      <w:r>
        <w:rPr>
          <w:rtl/>
          <w:lang w:val="fr-CH"/>
        </w:rPr>
        <w:t>مادة </w:t>
      </w:r>
      <w:r w:rsidRPr="00FA0FC2">
        <w:rPr>
          <w:rtl/>
          <w:lang w:val="fr-CH"/>
        </w:rPr>
        <w:t xml:space="preserve">22 من الاتفاقية، نظرت اللجنة في </w:t>
      </w:r>
      <w:r w:rsidRPr="00FA0FC2">
        <w:rPr>
          <w:rFonts w:hint="cs"/>
          <w:rtl/>
          <w:lang w:val="fr-CH"/>
        </w:rPr>
        <w:t>هذه الشكوى</w:t>
      </w:r>
      <w:r w:rsidRPr="00FA0FC2">
        <w:rPr>
          <w:rtl/>
          <w:lang w:val="fr-CH"/>
        </w:rPr>
        <w:t xml:space="preserve"> في ضوء جميع المعلومات التي أتاحها لها الطرفان المعنيان.</w:t>
      </w:r>
    </w:p>
    <w:p w:rsidR="00091373" w:rsidRPr="00FA0FC2" w:rsidRDefault="00091373" w:rsidP="00091373">
      <w:pPr>
        <w:pStyle w:val="SingleTxtGA"/>
        <w:rPr>
          <w:rtl/>
          <w:lang w:val="fr-CH"/>
        </w:rPr>
      </w:pPr>
      <w:r w:rsidRPr="00FA0FC2">
        <w:rPr>
          <w:rFonts w:hint="cs"/>
          <w:rtl/>
          <w:lang w:val="fr-CH"/>
        </w:rPr>
        <w:t>8</w:t>
      </w:r>
      <w:r w:rsidRPr="00FA0FC2">
        <w:rPr>
          <w:rtl/>
          <w:lang w:val="fr-CH"/>
        </w:rPr>
        <w:t>-2</w:t>
      </w:r>
      <w:r w:rsidRPr="00FA0FC2">
        <w:rPr>
          <w:rtl/>
          <w:lang w:val="fr-CH"/>
        </w:rPr>
        <w:tab/>
        <w:t>و</w:t>
      </w:r>
      <w:r w:rsidRPr="00FA0FC2">
        <w:rPr>
          <w:rFonts w:hint="cs"/>
          <w:rtl/>
          <w:lang w:val="fr-CH"/>
        </w:rPr>
        <w:t xml:space="preserve">تتمثل </w:t>
      </w:r>
      <w:r w:rsidRPr="00FA0FC2">
        <w:rPr>
          <w:rtl/>
          <w:lang w:val="fr-CH"/>
        </w:rPr>
        <w:t xml:space="preserve">المسألة المعروضة على نظر اللجنة </w:t>
      </w:r>
      <w:r w:rsidRPr="00FA0FC2">
        <w:rPr>
          <w:rFonts w:hint="cs"/>
          <w:rtl/>
          <w:lang w:val="fr-CH"/>
        </w:rPr>
        <w:t>في</w:t>
      </w:r>
      <w:r>
        <w:rPr>
          <w:rFonts w:hint="cs"/>
          <w:rtl/>
          <w:lang w:val="fr-CH"/>
        </w:rPr>
        <w:t xml:space="preserve"> ما</w:t>
      </w:r>
      <w:r>
        <w:rPr>
          <w:rtl/>
          <w:lang w:val="fr-CH"/>
        </w:rPr>
        <w:t> </w:t>
      </w:r>
      <w:r w:rsidRPr="00FA0FC2">
        <w:rPr>
          <w:rtl/>
          <w:lang w:val="fr-CH"/>
        </w:rPr>
        <w:t xml:space="preserve">إذا كان طرد صاحب الشكوى إلى </w:t>
      </w:r>
      <w:r w:rsidRPr="00FA0FC2">
        <w:rPr>
          <w:rFonts w:hint="cs"/>
          <w:rtl/>
          <w:lang w:val="fr-CH"/>
        </w:rPr>
        <w:t>أفغانستان</w:t>
      </w:r>
      <w:r w:rsidRPr="00FA0FC2">
        <w:rPr>
          <w:rtl/>
          <w:lang w:val="fr-CH"/>
        </w:rPr>
        <w:t xml:space="preserve"> سيشكل انتهاكاً لالتزام الدولة الطرف بموجب ال</w:t>
      </w:r>
      <w:r>
        <w:rPr>
          <w:rtl/>
          <w:lang w:val="fr-CH"/>
        </w:rPr>
        <w:t>مادة </w:t>
      </w:r>
      <w:r w:rsidRPr="00FA0FC2">
        <w:rPr>
          <w:rtl/>
          <w:lang w:val="fr-CH"/>
        </w:rPr>
        <w:t>3 من الاتفاقية بألا تطرد أي شخص</w:t>
      </w:r>
      <w:r>
        <w:rPr>
          <w:rtl/>
          <w:lang w:val="fr-CH"/>
        </w:rPr>
        <w:t xml:space="preserve"> أو </w:t>
      </w:r>
      <w:r w:rsidRPr="00FA0FC2">
        <w:rPr>
          <w:rtl/>
          <w:lang w:val="fr-CH"/>
        </w:rPr>
        <w:t xml:space="preserve">تعيده إلى دولة أخرى إذا توافرت لديها أسباب حقيقية تدعو إلى اعتقاد أنه سيواجه خطر التعرض للتعذيب. </w:t>
      </w:r>
    </w:p>
    <w:p w:rsidR="00091373" w:rsidRPr="007279DC" w:rsidRDefault="00091373" w:rsidP="00091373">
      <w:pPr>
        <w:pStyle w:val="SingleTxtGA"/>
        <w:rPr>
          <w:rFonts w:hint="cs"/>
          <w:spacing w:val="-2"/>
          <w:rtl/>
          <w:lang w:val="fr-CH"/>
        </w:rPr>
      </w:pPr>
      <w:r w:rsidRPr="007279DC">
        <w:rPr>
          <w:rFonts w:hint="cs"/>
          <w:spacing w:val="-2"/>
          <w:rtl/>
          <w:lang w:val="fr-CH"/>
        </w:rPr>
        <w:t>8</w:t>
      </w:r>
      <w:r w:rsidRPr="007279DC">
        <w:rPr>
          <w:spacing w:val="-2"/>
          <w:rtl/>
          <w:lang w:val="fr-CH"/>
        </w:rPr>
        <w:t>-3</w:t>
      </w:r>
      <w:r w:rsidRPr="007279DC">
        <w:rPr>
          <w:spacing w:val="-2"/>
          <w:rtl/>
          <w:lang w:val="fr-CH"/>
        </w:rPr>
        <w:tab/>
        <w:t>وفيما يتعلق بادعاءات صاحب الشكوى أنه س</w:t>
      </w:r>
      <w:r w:rsidRPr="007279DC">
        <w:rPr>
          <w:rFonts w:hint="cs"/>
          <w:spacing w:val="-2"/>
          <w:rtl/>
          <w:lang w:val="fr-CH"/>
        </w:rPr>
        <w:t>ي</w:t>
      </w:r>
      <w:r w:rsidRPr="007279DC">
        <w:rPr>
          <w:spacing w:val="-2"/>
          <w:rtl/>
          <w:lang w:val="fr-CH"/>
        </w:rPr>
        <w:t>تعرض للسَّجن</w:t>
      </w:r>
      <w:r w:rsidRPr="007279DC">
        <w:rPr>
          <w:rFonts w:hint="cs"/>
          <w:spacing w:val="-2"/>
          <w:rtl/>
          <w:lang w:val="fr-CH"/>
        </w:rPr>
        <w:t xml:space="preserve"> والتعذيب عند عودته إلى أفغانستان</w:t>
      </w:r>
      <w:r w:rsidRPr="007279DC">
        <w:rPr>
          <w:spacing w:val="-2"/>
          <w:rtl/>
          <w:lang w:val="fr-CH"/>
        </w:rPr>
        <w:t>، يجب على اللجنة أن تقيّم ما إذا كانت هناك أسباب حقيقية تدعو إلى اعتقاد أن صاحب الشكوى س</w:t>
      </w:r>
      <w:r w:rsidRPr="007279DC">
        <w:rPr>
          <w:rFonts w:hint="cs"/>
          <w:spacing w:val="-2"/>
          <w:rtl/>
          <w:lang w:val="fr-CH"/>
        </w:rPr>
        <w:t>ي</w:t>
      </w:r>
      <w:r w:rsidRPr="007279DC">
        <w:rPr>
          <w:spacing w:val="-2"/>
          <w:rtl/>
          <w:lang w:val="fr-CH"/>
        </w:rPr>
        <w:t>تعرض شخصياً لخطر التعذيب لدى عودت</w:t>
      </w:r>
      <w:r w:rsidRPr="007279DC">
        <w:rPr>
          <w:rFonts w:hint="cs"/>
          <w:spacing w:val="-2"/>
          <w:rtl/>
          <w:lang w:val="fr-CH"/>
        </w:rPr>
        <w:t>ه</w:t>
      </w:r>
      <w:r w:rsidRPr="007279DC">
        <w:rPr>
          <w:spacing w:val="-2"/>
          <w:rtl/>
          <w:lang w:val="fr-CH"/>
        </w:rPr>
        <w:t xml:space="preserve"> إلى بلد </w:t>
      </w:r>
      <w:r w:rsidRPr="007279DC">
        <w:rPr>
          <w:rFonts w:hint="cs"/>
          <w:spacing w:val="-2"/>
          <w:rtl/>
          <w:lang w:val="fr-CH"/>
        </w:rPr>
        <w:t>منشئه</w:t>
      </w:r>
      <w:r w:rsidRPr="007279DC">
        <w:rPr>
          <w:spacing w:val="-2"/>
          <w:rtl/>
          <w:lang w:val="fr-CH"/>
        </w:rPr>
        <w:t>. وفي </w:t>
      </w:r>
      <w:r w:rsidRPr="007279DC">
        <w:rPr>
          <w:rFonts w:hint="cs"/>
          <w:spacing w:val="-2"/>
          <w:rtl/>
          <w:lang w:val="fr-CH"/>
        </w:rPr>
        <w:t xml:space="preserve">سياق </w:t>
      </w:r>
      <w:r w:rsidRPr="007279DC">
        <w:rPr>
          <w:spacing w:val="-2"/>
          <w:rtl/>
          <w:lang w:val="fr-CH"/>
        </w:rPr>
        <w:t xml:space="preserve">تقييم هذا الخطر، يجب على اللجنة أن تراعي جميع الاعتبارات ذات الصلة، عملاً بالفقرة 2 من المادة 3 من الاتفاقية، بما في ذلك وجود نمط ثابت من الانتهاكات الفادحة أو الصارخة أو الجماعية لحقوق الإنسان. </w:t>
      </w:r>
      <w:r w:rsidRPr="007279DC">
        <w:rPr>
          <w:rFonts w:hint="cs"/>
          <w:spacing w:val="-2"/>
          <w:rtl/>
          <w:lang w:val="fr-CH"/>
        </w:rPr>
        <w:t>ب</w:t>
      </w:r>
      <w:r w:rsidRPr="007279DC">
        <w:rPr>
          <w:spacing w:val="-2"/>
          <w:rtl/>
          <w:lang w:val="fr-CH"/>
        </w:rPr>
        <w:t xml:space="preserve">يد أن اللجنة تذكّر بأن الهدف من ذلك هو تحديد ما إذا كان صاحب الشكوى سيتعرض شخصياً </w:t>
      </w:r>
      <w:r w:rsidRPr="007279DC">
        <w:rPr>
          <w:rFonts w:hint="cs"/>
          <w:spacing w:val="-2"/>
          <w:rtl/>
          <w:lang w:val="fr-CH"/>
        </w:rPr>
        <w:t xml:space="preserve">وعلى نحو فعلي ومتوقع </w:t>
      </w:r>
      <w:r w:rsidRPr="007279DC">
        <w:rPr>
          <w:spacing w:val="-2"/>
          <w:rtl/>
          <w:lang w:val="fr-CH"/>
        </w:rPr>
        <w:t>لخطر التعذيب في البلد الذي سيُعاد إليه. ويعني ذلك أن وجود نمط من الانتهاكات الفادحة أو الصارخة أو الجماعية لحقوق الإنسان في بلد ما </w:t>
      </w:r>
      <w:r w:rsidRPr="007279DC">
        <w:rPr>
          <w:rFonts w:hint="cs"/>
          <w:spacing w:val="-2"/>
          <w:rtl/>
          <w:lang w:val="fr-CH"/>
        </w:rPr>
        <w:t>لا</w:t>
      </w:r>
      <w:r w:rsidRPr="007279DC">
        <w:rPr>
          <w:spacing w:val="-2"/>
          <w:rtl/>
          <w:lang w:val="fr-CH"/>
        </w:rPr>
        <w:t> يشكل في حد ذاته سبباً كافياً لأن تقرر اللجنة أن شخصاً بعينه سيتعرض لخطر التعذيب لدى عودته إلى ذلك البلد؛ ويجب أن ت</w:t>
      </w:r>
      <w:r w:rsidRPr="007279DC">
        <w:rPr>
          <w:rFonts w:hint="cs"/>
          <w:spacing w:val="-2"/>
          <w:rtl/>
          <w:lang w:val="fr-CH"/>
        </w:rPr>
        <w:t>توافر</w:t>
      </w:r>
      <w:r w:rsidRPr="007279DC">
        <w:rPr>
          <w:spacing w:val="-2"/>
          <w:rtl/>
          <w:lang w:val="fr-CH"/>
        </w:rPr>
        <w:t xml:space="preserve"> أسباب إضافية تبين أن الفرد المعني سيواجه شخصياً هذا الخطر. وفي المقابل، فإن عدم وجود نمط ثابت من الانتهاكات الصارخة لحقوق الإنسان لا يعني أن </w:t>
      </w:r>
      <w:r w:rsidRPr="007279DC">
        <w:rPr>
          <w:rFonts w:hint="cs"/>
          <w:spacing w:val="-2"/>
          <w:rtl/>
          <w:lang w:val="fr-CH"/>
        </w:rPr>
        <w:t>ال</w:t>
      </w:r>
      <w:r w:rsidRPr="007279DC">
        <w:rPr>
          <w:spacing w:val="-2"/>
          <w:rtl/>
          <w:lang w:val="fr-CH"/>
        </w:rPr>
        <w:t xml:space="preserve">شخص لا يمكن </w:t>
      </w:r>
      <w:r w:rsidRPr="007279DC">
        <w:rPr>
          <w:rFonts w:hint="cs"/>
          <w:spacing w:val="-2"/>
          <w:rtl/>
          <w:lang w:val="fr-CH"/>
        </w:rPr>
        <w:t>أن</w:t>
      </w:r>
      <w:r w:rsidRPr="007279DC">
        <w:rPr>
          <w:spacing w:val="-2"/>
          <w:rtl/>
          <w:lang w:val="fr-CH"/>
        </w:rPr>
        <w:t xml:space="preserve"> يتعرض للتعذيب بحكم ظروفه الخاصة.</w:t>
      </w:r>
    </w:p>
    <w:p w:rsidR="00091373" w:rsidRPr="00FA0FC2" w:rsidRDefault="00091373" w:rsidP="00091373">
      <w:pPr>
        <w:pStyle w:val="SingleTxtGA"/>
        <w:rPr>
          <w:rFonts w:hint="cs"/>
          <w:rtl/>
          <w:lang w:val="fr-CH"/>
        </w:rPr>
      </w:pPr>
      <w:r w:rsidRPr="00FA0FC2">
        <w:rPr>
          <w:rFonts w:hint="cs"/>
          <w:rtl/>
          <w:lang w:val="fr-CH"/>
        </w:rPr>
        <w:t>8-4</w:t>
      </w:r>
      <w:r w:rsidRPr="00FA0FC2">
        <w:rPr>
          <w:rFonts w:hint="cs"/>
          <w:rtl/>
          <w:lang w:val="fr-CH"/>
        </w:rPr>
        <w:tab/>
        <w:t>وتذكّر اللجنة بتعليقها العام رقم 1 بشأن تنفيذ ال</w:t>
      </w:r>
      <w:r>
        <w:rPr>
          <w:rFonts w:hint="cs"/>
          <w:rtl/>
          <w:lang w:val="fr-CH"/>
        </w:rPr>
        <w:t>مادة</w:t>
      </w:r>
      <w:r>
        <w:rPr>
          <w:rtl/>
          <w:lang w:val="fr-CH"/>
        </w:rPr>
        <w:t> </w:t>
      </w:r>
      <w:r w:rsidRPr="00FA0FC2">
        <w:rPr>
          <w:rFonts w:hint="cs"/>
          <w:rtl/>
          <w:lang w:val="fr-CH"/>
        </w:rPr>
        <w:t>3 من الاتفاقية، الذي جاء فيه أن خطر التعذيب يجب أن يُقيَّم على أسس تتجاوز مجرد الافتراض</w:t>
      </w:r>
      <w:r>
        <w:rPr>
          <w:rFonts w:hint="cs"/>
          <w:rtl/>
          <w:lang w:val="fr-CH"/>
        </w:rPr>
        <w:t xml:space="preserve"> أو</w:t>
      </w:r>
      <w:r>
        <w:rPr>
          <w:rtl/>
          <w:lang w:val="fr-CH"/>
        </w:rPr>
        <w:t> </w:t>
      </w:r>
      <w:r w:rsidRPr="00FA0FC2">
        <w:rPr>
          <w:rFonts w:hint="cs"/>
          <w:rtl/>
          <w:lang w:val="fr-CH"/>
        </w:rPr>
        <w:t>الشك.</w:t>
      </w:r>
      <w:r>
        <w:rPr>
          <w:rFonts w:hint="cs"/>
          <w:rtl/>
          <w:lang w:val="fr-CH"/>
        </w:rPr>
        <w:t xml:space="preserve"> ولا</w:t>
      </w:r>
      <w:r>
        <w:rPr>
          <w:rtl/>
          <w:lang w:val="fr-CH"/>
        </w:rPr>
        <w:t> </w:t>
      </w:r>
      <w:r w:rsidRPr="00FA0FC2">
        <w:rPr>
          <w:rFonts w:hint="cs"/>
          <w:rtl/>
          <w:lang w:val="fr-CH"/>
        </w:rPr>
        <w:t>يُشترط أن يكون احتمال الخطر شديداً، لكن اللجنة تذكّر بأن عبء الإثبات عادة</w:t>
      </w:r>
      <w:r>
        <w:rPr>
          <w:rFonts w:hint="cs"/>
          <w:rtl/>
          <w:lang w:val="fr-CH"/>
        </w:rPr>
        <w:t xml:space="preserve"> ما</w:t>
      </w:r>
      <w:r>
        <w:rPr>
          <w:rtl/>
          <w:lang w:val="fr-CH"/>
        </w:rPr>
        <w:t> </w:t>
      </w:r>
      <w:r w:rsidRPr="00FA0FC2">
        <w:rPr>
          <w:rFonts w:hint="cs"/>
          <w:rtl/>
          <w:lang w:val="fr-CH"/>
        </w:rPr>
        <w:t>يقع على صاحب الشكوى الذي يجب عليه تقديم حجج يمكن الدفاع عنها تثبت أنه يواجه خطراً "متوقَّعاً وحقيقياً وشخصياً". وتذكّر اللجنة أيضاً، على نحو</w:t>
      </w:r>
      <w:r>
        <w:rPr>
          <w:rFonts w:hint="cs"/>
          <w:rtl/>
          <w:lang w:val="fr-CH"/>
        </w:rPr>
        <w:t xml:space="preserve"> ما</w:t>
      </w:r>
      <w:r>
        <w:rPr>
          <w:rtl/>
          <w:lang w:val="fr-CH"/>
        </w:rPr>
        <w:t> </w:t>
      </w:r>
      <w:r w:rsidRPr="00FA0FC2">
        <w:rPr>
          <w:rFonts w:hint="cs"/>
          <w:rtl/>
          <w:lang w:val="fr-CH"/>
        </w:rPr>
        <w:t xml:space="preserve">جاء في تعليقها العام رقم 1، بأنها تعطي وزناً كبيراً لاستنتاجات هيئات الدولة الطرف، لكنها مخوَّلةٌ لتُقيِّم بحرية وقائع كل قضية بالاستناد إلى حيثياتها المحدَّدة. </w:t>
      </w:r>
    </w:p>
    <w:p w:rsidR="00091373" w:rsidRPr="00FA0FC2" w:rsidRDefault="00091373" w:rsidP="00091373">
      <w:pPr>
        <w:pStyle w:val="SingleTxtGA"/>
        <w:rPr>
          <w:rFonts w:hint="cs"/>
          <w:rtl/>
          <w:lang w:val="fr-CH"/>
        </w:rPr>
      </w:pPr>
      <w:r w:rsidRPr="00FA0FC2">
        <w:rPr>
          <w:rFonts w:hint="cs"/>
          <w:rtl/>
          <w:lang w:val="fr-CH"/>
        </w:rPr>
        <w:t>8-5</w:t>
      </w:r>
      <w:r w:rsidRPr="00FA0FC2">
        <w:rPr>
          <w:rFonts w:hint="cs"/>
          <w:rtl/>
          <w:lang w:val="fr-CH"/>
        </w:rPr>
        <w:tab/>
        <w:t>وفي هذه القضية، تلاحظ اللجنة أن الدولة الطرف سلَّمت بأن صاحب الشكوى احتُجز لدى الطالبان عندما كان يعمل في مشروع لبناء طريق، وأن الطالبانَ مارسوا عليه عنفاً شديداً تسبب في كسر أحد ضلوعه على الأقل. وتلاحظ اللجنة أيضاً أن الدولة الطرف اعتبرت صاحب الشكوى غير مُعرّض لخطر اعتداءات الطالبان لدى عودته إلى بلده</w:t>
      </w:r>
      <w:r>
        <w:rPr>
          <w:rFonts w:hint="cs"/>
          <w:rtl/>
          <w:lang w:val="fr-CH"/>
        </w:rPr>
        <w:t xml:space="preserve"> بما</w:t>
      </w:r>
      <w:r>
        <w:rPr>
          <w:rtl/>
          <w:lang w:val="fr-CH"/>
        </w:rPr>
        <w:t> </w:t>
      </w:r>
      <w:r w:rsidRPr="00FA0FC2">
        <w:rPr>
          <w:rFonts w:hint="cs"/>
          <w:rtl/>
          <w:lang w:val="fr-CH"/>
        </w:rPr>
        <w:t>أنه ليس مضطهداً كفرد وأنه أعطى هوية زائفة وأنه تمكن من العيش في أفغانستان دون أن يواجه مشاكل أخرى. وتلاحظ اللجنة أن الدولة الطرف تدفع بأن</w:t>
      </w:r>
      <w:r>
        <w:rPr>
          <w:rFonts w:hint="cs"/>
          <w:rtl/>
          <w:lang w:val="fr-CH"/>
        </w:rPr>
        <w:t xml:space="preserve"> ما</w:t>
      </w:r>
      <w:r>
        <w:rPr>
          <w:rtl/>
          <w:lang w:val="fr-CH"/>
        </w:rPr>
        <w:t> </w:t>
      </w:r>
      <w:r w:rsidRPr="00FA0FC2">
        <w:rPr>
          <w:rFonts w:hint="cs"/>
          <w:rtl/>
          <w:lang w:val="fr-CH"/>
        </w:rPr>
        <w:t>يدَّعيه صاحب الشكوى من خضوعه للتعذيب على أيدي السلطات الأفغانية كلام يفتقر إلى المصداقية بالنظر إلى تضارب أقواله بخصوص منشئه وظروف احتجازه وفراره من السجن. وتلاحظ اللجنة أيضاً دفع الدولة الطرف بأن مقابلات إدارة الهجرة وجلسة المجلس الدانمركي لطعون اللاجئين عُقدت بمساعدة مترجم شفوي يترجم من لغة الباشتو وإليها وبأن صاحب الشكوى</w:t>
      </w:r>
      <w:r>
        <w:rPr>
          <w:rFonts w:hint="cs"/>
          <w:rtl/>
          <w:lang w:val="fr-CH"/>
        </w:rPr>
        <w:t xml:space="preserve"> لم</w:t>
      </w:r>
      <w:r>
        <w:rPr>
          <w:rtl/>
          <w:lang w:val="fr-CH"/>
        </w:rPr>
        <w:t> </w:t>
      </w:r>
      <w:r w:rsidRPr="00FA0FC2">
        <w:rPr>
          <w:rFonts w:hint="cs"/>
          <w:rtl/>
          <w:lang w:val="fr-CH"/>
        </w:rPr>
        <w:t xml:space="preserve">يبد تعليقات بخصوص مشاكل في اللغة. وتلاحظ اللجنة كذلك أن مجلس طعون اللاجئين رفض طلب صاحب الشكوى معتبراً أن أقواله المتضاربةَ تغني عن إجراء فحص طبي متخصص. </w:t>
      </w:r>
    </w:p>
    <w:p w:rsidR="00091373" w:rsidRPr="00FA0FC2" w:rsidRDefault="00091373" w:rsidP="00091373">
      <w:pPr>
        <w:pStyle w:val="SingleTxtGA"/>
        <w:rPr>
          <w:rFonts w:hint="cs"/>
          <w:rtl/>
          <w:lang w:val="fr-CH"/>
        </w:rPr>
      </w:pPr>
      <w:r w:rsidRPr="00FA0FC2">
        <w:rPr>
          <w:rFonts w:hint="cs"/>
          <w:rtl/>
          <w:lang w:val="fr-CH"/>
        </w:rPr>
        <w:t>8-6</w:t>
      </w:r>
      <w:r w:rsidRPr="00FA0FC2">
        <w:rPr>
          <w:rFonts w:hint="cs"/>
          <w:rtl/>
          <w:lang w:val="fr-CH"/>
        </w:rPr>
        <w:tab/>
        <w:t>وتلاحظ اللجنة أن صاحب الشكوى يطعن في تقييم الدولة الطرف للخطر الذي سيواجهه في حال إعادته إلى أفغانستان. وهو يدَّعي أنه سيكون عرضةً لاضطهاد الطالبان والسلطات الأفغانية. وتلاحظ اللجنة أن صاحب الشكوى يدَّعي أن الدولة الطرف</w:t>
      </w:r>
      <w:r>
        <w:rPr>
          <w:rFonts w:hint="cs"/>
          <w:rtl/>
          <w:lang w:val="fr-CH"/>
        </w:rPr>
        <w:t xml:space="preserve"> لم</w:t>
      </w:r>
      <w:r>
        <w:rPr>
          <w:rtl/>
          <w:lang w:val="fr-CH"/>
        </w:rPr>
        <w:t> </w:t>
      </w:r>
      <w:r w:rsidRPr="00FA0FC2">
        <w:rPr>
          <w:rFonts w:hint="cs"/>
          <w:rtl/>
          <w:lang w:val="fr-CH"/>
        </w:rPr>
        <w:t>تشرح أسباب اعتبار العنف الذي تعرّض له على أيدي الطالبان حجةً</w:t>
      </w:r>
      <w:r>
        <w:rPr>
          <w:rFonts w:hint="cs"/>
          <w:rtl/>
          <w:lang w:val="fr-CH"/>
        </w:rPr>
        <w:t xml:space="preserve"> بلا</w:t>
      </w:r>
      <w:r>
        <w:rPr>
          <w:rtl/>
          <w:lang w:val="fr-CH"/>
        </w:rPr>
        <w:t> </w:t>
      </w:r>
      <w:r w:rsidRPr="00FA0FC2">
        <w:rPr>
          <w:rFonts w:hint="cs"/>
          <w:rtl/>
          <w:lang w:val="fr-CH"/>
        </w:rPr>
        <w:t>وجاهة في إطار قانون اللجوء، وأن السلطات الدانمركية</w:t>
      </w:r>
      <w:r>
        <w:rPr>
          <w:rFonts w:hint="cs"/>
          <w:rtl/>
          <w:lang w:val="fr-CH"/>
        </w:rPr>
        <w:t xml:space="preserve"> لم</w:t>
      </w:r>
      <w:r>
        <w:rPr>
          <w:rtl/>
          <w:lang w:val="fr-CH"/>
        </w:rPr>
        <w:t> </w:t>
      </w:r>
      <w:r w:rsidRPr="00FA0FC2">
        <w:rPr>
          <w:rFonts w:hint="cs"/>
          <w:rtl/>
          <w:lang w:val="fr-CH"/>
        </w:rPr>
        <w:t>تقيِّم مدى قدرة السلطات الأفغانية على حمايته من انتقام الطالبان الممكن. وبخصوص ادّعاء صاحب الشكوى تعرضه للعنف على أيدي السلطات الأفغانية، تلاحظ اللجنة أيضاً</w:t>
      </w:r>
      <w:r>
        <w:rPr>
          <w:rFonts w:hint="cs"/>
          <w:rtl/>
          <w:lang w:val="fr-CH"/>
        </w:rPr>
        <w:t xml:space="preserve"> ما</w:t>
      </w:r>
      <w:r>
        <w:rPr>
          <w:rtl/>
          <w:lang w:val="fr-CH"/>
        </w:rPr>
        <w:t> </w:t>
      </w:r>
      <w:r w:rsidRPr="00FA0FC2">
        <w:rPr>
          <w:rFonts w:hint="cs"/>
          <w:rtl/>
          <w:lang w:val="fr-CH"/>
        </w:rPr>
        <w:t>ادّعاه صاحب الشكوى من أن الدولة الطرف استندت في تقييمها لمصداقية ادّعائه إلى أقوال متضاربة أدلى بها في إطار إجراءات اللجوء، وأن تضارب أقواله هذا يعزى إلى سوء الترجمة، وأنه</w:t>
      </w:r>
      <w:r>
        <w:rPr>
          <w:rFonts w:hint="cs"/>
          <w:rtl/>
          <w:lang w:val="fr-CH"/>
        </w:rPr>
        <w:t xml:space="preserve"> لم</w:t>
      </w:r>
      <w:r>
        <w:rPr>
          <w:rtl/>
          <w:lang w:val="fr-CH"/>
        </w:rPr>
        <w:t> </w:t>
      </w:r>
      <w:r w:rsidRPr="00FA0FC2">
        <w:rPr>
          <w:rFonts w:hint="cs"/>
          <w:rtl/>
          <w:lang w:val="fr-CH"/>
        </w:rPr>
        <w:t>يقو على التحقق من الترجمة لأنه أمّيٌ. وهو يدّعي أيضاً أنه طلب إلى مجلس طعون اللاجئين إخضاعه لفحص طبي متخصص بهدف التحقق من أمارات التعذيب وكشف للمجلس عن أمارات تعذيب مزعومة في يديه وإحدى رجليه</w:t>
      </w:r>
      <w:r>
        <w:rPr>
          <w:rFonts w:hint="cs"/>
          <w:rtl/>
          <w:lang w:val="fr-CH"/>
        </w:rPr>
        <w:t xml:space="preserve"> أو</w:t>
      </w:r>
      <w:r>
        <w:rPr>
          <w:rtl/>
          <w:lang w:val="fr-CH"/>
        </w:rPr>
        <w:t> </w:t>
      </w:r>
      <w:r w:rsidRPr="00FA0FC2">
        <w:rPr>
          <w:rFonts w:hint="cs"/>
          <w:rtl/>
          <w:lang w:val="fr-CH"/>
        </w:rPr>
        <w:t>قدميه، لكن المجلس رفض طلب لجوئه دون أن يأمر بإجراء هذا الفحص.</w:t>
      </w:r>
    </w:p>
    <w:p w:rsidR="00091373" w:rsidRPr="00FA0FC2" w:rsidRDefault="00091373" w:rsidP="00091373">
      <w:pPr>
        <w:pStyle w:val="SingleTxtGA"/>
        <w:rPr>
          <w:rFonts w:hint="cs"/>
          <w:rtl/>
          <w:lang w:val="fr-CH"/>
        </w:rPr>
      </w:pPr>
      <w:r w:rsidRPr="00FA0FC2">
        <w:rPr>
          <w:rFonts w:hint="cs"/>
          <w:rtl/>
          <w:lang w:val="fr-CH"/>
        </w:rPr>
        <w:t>8-7</w:t>
      </w:r>
      <w:r w:rsidRPr="00FA0FC2">
        <w:rPr>
          <w:rFonts w:hint="cs"/>
          <w:rtl/>
          <w:lang w:val="fr-CH"/>
        </w:rPr>
        <w:tab/>
        <w:t>وتلاحظ اللجنة عدم التنازع في أن صاحب الشكوى كان محتجزاً لدى الطالبان وتعرض لعنف تسبب في كسر أحد ضلوعه على الأقل. غير أن اللجنة تلاحظ أيضاً أن ادعاء صاحب الشكوى بخصوص الاضطهاد من قبل الطالبان مرتبط أساساً بأنشطة والده وأخيه، اللذين قُتلا في</w:t>
      </w:r>
      <w:r>
        <w:rPr>
          <w:rFonts w:hint="cs"/>
          <w:rtl/>
          <w:lang w:val="fr-CH"/>
        </w:rPr>
        <w:t xml:space="preserve"> عام</w:t>
      </w:r>
      <w:r>
        <w:rPr>
          <w:rtl/>
          <w:lang w:val="fr-CH"/>
        </w:rPr>
        <w:t> </w:t>
      </w:r>
      <w:r w:rsidRPr="00FA0FC2">
        <w:rPr>
          <w:rFonts w:hint="cs"/>
          <w:rtl/>
          <w:lang w:val="fr-CH"/>
        </w:rPr>
        <w:t>2006</w:t>
      </w:r>
      <w:r>
        <w:rPr>
          <w:rFonts w:hint="cs"/>
          <w:rtl/>
          <w:lang w:val="fr-CH"/>
        </w:rPr>
        <w:t xml:space="preserve"> أو</w:t>
      </w:r>
      <w:r>
        <w:rPr>
          <w:rtl/>
          <w:lang w:val="fr-CH"/>
        </w:rPr>
        <w:t> </w:t>
      </w:r>
      <w:r w:rsidRPr="00FA0FC2">
        <w:rPr>
          <w:rFonts w:hint="cs"/>
          <w:rtl/>
          <w:lang w:val="fr-CH"/>
        </w:rPr>
        <w:t>2007، وأنه</w:t>
      </w:r>
      <w:r>
        <w:rPr>
          <w:rFonts w:hint="cs"/>
          <w:rtl/>
          <w:lang w:val="fr-CH"/>
        </w:rPr>
        <w:t xml:space="preserve"> لم</w:t>
      </w:r>
      <w:r>
        <w:rPr>
          <w:rtl/>
          <w:lang w:val="fr-CH"/>
        </w:rPr>
        <w:t> </w:t>
      </w:r>
      <w:r w:rsidRPr="00FA0FC2">
        <w:rPr>
          <w:rFonts w:hint="cs"/>
          <w:rtl/>
          <w:lang w:val="fr-CH"/>
        </w:rPr>
        <w:t>يُدّع أن هذا الاضطهاد</w:t>
      </w:r>
      <w:r>
        <w:rPr>
          <w:rFonts w:hint="cs"/>
          <w:rtl/>
          <w:lang w:val="fr-CH"/>
        </w:rPr>
        <w:t xml:space="preserve"> ما</w:t>
      </w:r>
      <w:r>
        <w:rPr>
          <w:rtl/>
          <w:lang w:val="fr-CH"/>
        </w:rPr>
        <w:t> </w:t>
      </w:r>
      <w:r w:rsidRPr="00FA0FC2">
        <w:rPr>
          <w:rFonts w:hint="cs"/>
          <w:rtl/>
          <w:lang w:val="fr-CH"/>
        </w:rPr>
        <w:t>زال يستهدف أياً من أفراد أسرته الآخرين، بمن فيهم هو نفسه، وأن احتجازه وإساءة معاملته غير مرتبطين باضطهاده شخصياً. وتلاحظ اللجنة كذلك أن صاحب الشكوى تمكن من العيش في أفغانستان بعد هذا الحادث طيلة</w:t>
      </w:r>
      <w:r>
        <w:rPr>
          <w:rFonts w:hint="cs"/>
          <w:rtl/>
          <w:lang w:val="fr-CH"/>
        </w:rPr>
        <w:t xml:space="preserve"> ما</w:t>
      </w:r>
      <w:r>
        <w:rPr>
          <w:rtl/>
          <w:lang w:val="fr-CH"/>
        </w:rPr>
        <w:t> </w:t>
      </w:r>
      <w:r>
        <w:rPr>
          <w:rFonts w:hint="cs"/>
          <w:rtl/>
          <w:lang w:val="fr-CH"/>
        </w:rPr>
        <w:t>لا</w:t>
      </w:r>
      <w:r>
        <w:rPr>
          <w:rtl/>
          <w:lang w:val="fr-CH"/>
        </w:rPr>
        <w:t> </w:t>
      </w:r>
      <w:r w:rsidRPr="00FA0FC2">
        <w:rPr>
          <w:rFonts w:hint="cs"/>
          <w:rtl/>
          <w:lang w:val="fr-CH"/>
        </w:rPr>
        <w:t>يقل عن سنة دون أن يواجه أية مشاكل أخرى</w:t>
      </w:r>
      <w:r>
        <w:rPr>
          <w:rFonts w:hint="cs"/>
          <w:rtl/>
          <w:lang w:val="fr-CH"/>
        </w:rPr>
        <w:t xml:space="preserve"> أو</w:t>
      </w:r>
      <w:r>
        <w:rPr>
          <w:rtl/>
          <w:lang w:val="fr-CH"/>
        </w:rPr>
        <w:t> </w:t>
      </w:r>
      <w:r w:rsidRPr="00FA0FC2">
        <w:rPr>
          <w:rFonts w:hint="cs"/>
          <w:rtl/>
          <w:lang w:val="fr-CH"/>
        </w:rPr>
        <w:t>يحتاجَ إلى حماية خاصة. وبناءً عليه، ترى اللجنة أن صاحب الشكوى</w:t>
      </w:r>
      <w:r>
        <w:rPr>
          <w:rFonts w:hint="cs"/>
          <w:rtl/>
          <w:lang w:val="fr-CH"/>
        </w:rPr>
        <w:t xml:space="preserve"> لم</w:t>
      </w:r>
      <w:r>
        <w:rPr>
          <w:rtl/>
          <w:lang w:val="fr-CH"/>
        </w:rPr>
        <w:t> </w:t>
      </w:r>
      <w:r w:rsidRPr="00FA0FC2">
        <w:rPr>
          <w:rFonts w:hint="cs"/>
          <w:rtl/>
          <w:lang w:val="fr-CH"/>
        </w:rPr>
        <w:t>يقدم</w:t>
      </w:r>
      <w:r>
        <w:rPr>
          <w:rFonts w:hint="cs"/>
          <w:rtl/>
          <w:lang w:val="fr-CH"/>
        </w:rPr>
        <w:t xml:space="preserve"> ما</w:t>
      </w:r>
      <w:r>
        <w:rPr>
          <w:rtl/>
          <w:lang w:val="fr-CH"/>
        </w:rPr>
        <w:t> </w:t>
      </w:r>
      <w:r w:rsidRPr="00FA0FC2">
        <w:rPr>
          <w:rFonts w:hint="cs"/>
          <w:rtl/>
          <w:lang w:val="fr-CH"/>
        </w:rPr>
        <w:t>يكفي من الأدلة لدعم</w:t>
      </w:r>
      <w:r>
        <w:rPr>
          <w:rFonts w:hint="cs"/>
          <w:rtl/>
          <w:lang w:val="fr-CH"/>
        </w:rPr>
        <w:t xml:space="preserve"> ما</w:t>
      </w:r>
      <w:r>
        <w:rPr>
          <w:rtl/>
          <w:lang w:val="fr-CH"/>
        </w:rPr>
        <w:t> </w:t>
      </w:r>
      <w:r w:rsidRPr="00FA0FC2">
        <w:rPr>
          <w:rFonts w:hint="cs"/>
          <w:rtl/>
          <w:lang w:val="fr-CH"/>
        </w:rPr>
        <w:t>يدعيه من أنه سيواجه فعلياً وشخصياً خطر التعذيب على أيدي الطالبان في حال إعادته إلى أفغانستان.</w:t>
      </w:r>
    </w:p>
    <w:p w:rsidR="00091373" w:rsidRPr="00FA0FC2" w:rsidRDefault="00091373" w:rsidP="00091373">
      <w:pPr>
        <w:pStyle w:val="SingleTxtGA"/>
        <w:rPr>
          <w:rFonts w:hint="cs"/>
          <w:rtl/>
          <w:lang w:val="fr-CH"/>
        </w:rPr>
      </w:pPr>
      <w:r w:rsidRPr="00FA0FC2">
        <w:rPr>
          <w:rFonts w:hint="cs"/>
          <w:rtl/>
          <w:lang w:val="fr-CH"/>
        </w:rPr>
        <w:t>8-8</w:t>
      </w:r>
      <w:r w:rsidRPr="00FA0FC2">
        <w:rPr>
          <w:rFonts w:hint="cs"/>
          <w:rtl/>
          <w:lang w:val="fr-CH"/>
        </w:rPr>
        <w:tab/>
        <w:t>وتلاحظ اللجنة أن صاحب الشكوى، وهو أميّ، أدلى، أمام إدارة الهجرة الدانمركية ومجلس طعون اللاجئين، بأقوال متضاربة عن مكان إقامته وظروف احتجازه لدى الشرطة الأفغانية وفراره من السجن؛ وأن الاستجوابات جرت بمساعدة مترجم من الباشتو وإليها؛ وأن صاحب الشكوى حاول توضيح أقواله في رده على أسئلة المجلس. وتلاحظ اللجنة أيضاً أن صاحب الشكوى طلب، في 10 كانون الثاني/يناير 2011 وأثناء جلسة المجلس المعقودة في</w:t>
      </w:r>
      <w:r w:rsidRPr="00FA0FC2">
        <w:rPr>
          <w:rFonts w:hint="eastAsia"/>
          <w:rtl/>
          <w:lang w:val="fr-CH"/>
        </w:rPr>
        <w:t> </w:t>
      </w:r>
      <w:r w:rsidRPr="00FA0FC2">
        <w:rPr>
          <w:rFonts w:hint="cs"/>
          <w:rtl/>
          <w:lang w:val="fr-CH"/>
        </w:rPr>
        <w:t>17 كانون الثاني/يناير 2011، إخضاعه لفحص طبي متخصص وادعى أنه</w:t>
      </w:r>
      <w:r>
        <w:rPr>
          <w:rFonts w:hint="cs"/>
          <w:rtl/>
          <w:lang w:val="fr-CH"/>
        </w:rPr>
        <w:t xml:space="preserve"> لا</w:t>
      </w:r>
      <w:r>
        <w:rPr>
          <w:rtl/>
          <w:lang w:val="fr-CH"/>
        </w:rPr>
        <w:t> </w:t>
      </w:r>
      <w:r w:rsidRPr="00FA0FC2">
        <w:rPr>
          <w:rFonts w:hint="cs"/>
          <w:rtl/>
          <w:lang w:val="fr-CH"/>
        </w:rPr>
        <w:t>يملك مالاً لدفع تكلفة الفحص بنفسه. وتلاحظ اللجنة كذلك أن الدولة الطرف</w:t>
      </w:r>
      <w:r>
        <w:rPr>
          <w:rFonts w:hint="cs"/>
          <w:rtl/>
          <w:lang w:val="fr-CH"/>
        </w:rPr>
        <w:t xml:space="preserve"> لم</w:t>
      </w:r>
      <w:r>
        <w:rPr>
          <w:rtl/>
          <w:lang w:val="fr-CH"/>
        </w:rPr>
        <w:t> </w:t>
      </w:r>
      <w:r w:rsidRPr="00FA0FC2">
        <w:rPr>
          <w:rFonts w:hint="cs"/>
          <w:rtl/>
          <w:lang w:val="fr-CH"/>
        </w:rPr>
        <w:t>تطعن في ادعاء صاحب البلاغ أنه كشف للمجلس عن الأمارات التي خلفها له عنف السلطات الأفغانية في يديه وإحدى رجليه</w:t>
      </w:r>
      <w:r>
        <w:rPr>
          <w:rFonts w:hint="cs"/>
          <w:rtl/>
          <w:lang w:val="fr-CH"/>
        </w:rPr>
        <w:t xml:space="preserve"> أو</w:t>
      </w:r>
      <w:r>
        <w:rPr>
          <w:rtl/>
          <w:lang w:val="fr-CH"/>
        </w:rPr>
        <w:t> </w:t>
      </w:r>
      <w:r w:rsidRPr="00FA0FC2">
        <w:rPr>
          <w:rFonts w:hint="cs"/>
          <w:rtl/>
          <w:lang w:val="fr-CH"/>
        </w:rPr>
        <w:t>قدميه. وترى اللجنة أن مطالبة صاحب الشكوى بإثبات وجاهة قضيته المتعلقة بطلب اللجوء</w:t>
      </w:r>
      <w:r>
        <w:rPr>
          <w:rFonts w:hint="cs"/>
          <w:rtl/>
          <w:lang w:val="fr-CH"/>
        </w:rPr>
        <w:t xml:space="preserve"> لا</w:t>
      </w:r>
      <w:r>
        <w:rPr>
          <w:rtl/>
          <w:lang w:val="fr-CH"/>
        </w:rPr>
        <w:t> </w:t>
      </w:r>
      <w:r w:rsidRPr="00FA0FC2">
        <w:rPr>
          <w:rFonts w:hint="cs"/>
          <w:rtl/>
          <w:lang w:val="fr-CH"/>
        </w:rPr>
        <w:t>يُعفي الدولة الطرف من بذل مساع كبيرة في سبيل تحديد</w:t>
      </w:r>
      <w:r>
        <w:rPr>
          <w:rFonts w:hint="cs"/>
          <w:rtl/>
          <w:lang w:val="fr-CH"/>
        </w:rPr>
        <w:t xml:space="preserve"> ما</w:t>
      </w:r>
      <w:r>
        <w:rPr>
          <w:rtl/>
          <w:lang w:val="fr-CH"/>
        </w:rPr>
        <w:t> </w:t>
      </w:r>
      <w:r w:rsidRPr="00FA0FC2">
        <w:rPr>
          <w:rFonts w:hint="cs"/>
          <w:rtl/>
          <w:lang w:val="fr-CH"/>
        </w:rPr>
        <w:t>إذا كانت هناك أسباب لاعتقاد أن صاحب الشكوى سيكون في خطر الخضوع للتعذيب في حال إعادته.</w:t>
      </w:r>
      <w:r>
        <w:rPr>
          <w:rFonts w:hint="cs"/>
          <w:rtl/>
          <w:lang w:val="fr-CH"/>
        </w:rPr>
        <w:t xml:space="preserve"> وفي</w:t>
      </w:r>
      <w:r>
        <w:rPr>
          <w:rtl/>
          <w:lang w:val="fr-CH"/>
        </w:rPr>
        <w:t> </w:t>
      </w:r>
      <w:r w:rsidRPr="00FA0FC2">
        <w:rPr>
          <w:rFonts w:hint="cs"/>
          <w:rtl/>
          <w:lang w:val="fr-CH"/>
        </w:rPr>
        <w:t>هذه القضية، ترى اللجنة أن صاحب الشكوى قدم إلى سلطات الدولة الطرف</w:t>
      </w:r>
      <w:r>
        <w:rPr>
          <w:rFonts w:hint="cs"/>
          <w:rtl/>
          <w:lang w:val="fr-CH"/>
        </w:rPr>
        <w:t xml:space="preserve"> ما</w:t>
      </w:r>
      <w:r>
        <w:rPr>
          <w:rtl/>
          <w:lang w:val="fr-CH"/>
        </w:rPr>
        <w:t> </w:t>
      </w:r>
      <w:r w:rsidRPr="00FA0FC2">
        <w:rPr>
          <w:rFonts w:hint="cs"/>
          <w:rtl/>
          <w:lang w:val="fr-CH"/>
        </w:rPr>
        <w:t>يكفي من الأدلة،</w:t>
      </w:r>
      <w:r>
        <w:rPr>
          <w:rFonts w:hint="cs"/>
          <w:rtl/>
          <w:lang w:val="fr-CH"/>
        </w:rPr>
        <w:t xml:space="preserve"> بما</w:t>
      </w:r>
      <w:r>
        <w:rPr>
          <w:rtl/>
          <w:lang w:val="fr-CH"/>
        </w:rPr>
        <w:t> </w:t>
      </w:r>
      <w:r w:rsidRPr="00FA0FC2">
        <w:rPr>
          <w:rFonts w:hint="cs"/>
          <w:rtl/>
          <w:lang w:val="fr-CH"/>
        </w:rPr>
        <w:t>فيها مذكرتان طبيتان، لدعم</w:t>
      </w:r>
      <w:r>
        <w:rPr>
          <w:rFonts w:hint="cs"/>
          <w:rtl/>
          <w:lang w:val="fr-CH"/>
        </w:rPr>
        <w:t xml:space="preserve"> ما</w:t>
      </w:r>
      <w:r>
        <w:rPr>
          <w:rtl/>
          <w:lang w:val="fr-CH"/>
        </w:rPr>
        <w:t> </w:t>
      </w:r>
      <w:r w:rsidRPr="00FA0FC2">
        <w:rPr>
          <w:rFonts w:hint="cs"/>
          <w:rtl/>
          <w:lang w:val="fr-CH"/>
        </w:rPr>
        <w:t>يدعيه من خضوعه للتعذيب، سعياً منه إلى مواصلة التحقيق في ادعاءاته بطرق منها إجراء فحص طبي متخصص. لذا، تخلص اللجنة إلى أن الدولة الطرف،</w:t>
      </w:r>
      <w:r>
        <w:rPr>
          <w:rFonts w:hint="cs"/>
          <w:rtl/>
          <w:lang w:val="fr-CH"/>
        </w:rPr>
        <w:t xml:space="preserve"> إذ</w:t>
      </w:r>
      <w:r>
        <w:rPr>
          <w:rtl/>
          <w:lang w:val="fr-CH"/>
        </w:rPr>
        <w:t> </w:t>
      </w:r>
      <w:r w:rsidRPr="00FA0FC2">
        <w:rPr>
          <w:rFonts w:hint="cs"/>
          <w:rtl/>
          <w:lang w:val="fr-CH"/>
        </w:rPr>
        <w:t>رفضت طلب لجوء صاحب الشكوى دون أن تسعى إلى التحقيق بقدر أكبر في ادعاءاته</w:t>
      </w:r>
      <w:r>
        <w:rPr>
          <w:rFonts w:hint="cs"/>
          <w:rtl/>
          <w:lang w:val="fr-CH"/>
        </w:rPr>
        <w:t xml:space="preserve"> أو</w:t>
      </w:r>
      <w:r>
        <w:rPr>
          <w:rtl/>
          <w:lang w:val="fr-CH"/>
        </w:rPr>
        <w:t> </w:t>
      </w:r>
      <w:r w:rsidRPr="00FA0FC2">
        <w:rPr>
          <w:rFonts w:hint="cs"/>
          <w:rtl/>
          <w:lang w:val="fr-CH"/>
        </w:rPr>
        <w:t>تأمر بفحص طبي،</w:t>
      </w:r>
      <w:r>
        <w:rPr>
          <w:rFonts w:hint="cs"/>
          <w:rtl/>
          <w:lang w:val="fr-CH"/>
        </w:rPr>
        <w:t xml:space="preserve"> لم</w:t>
      </w:r>
      <w:r>
        <w:rPr>
          <w:rtl/>
          <w:lang w:val="fr-CH"/>
        </w:rPr>
        <w:t> </w:t>
      </w:r>
      <w:r w:rsidRPr="00FA0FC2">
        <w:rPr>
          <w:rFonts w:hint="cs"/>
          <w:rtl/>
          <w:lang w:val="fr-CH"/>
        </w:rPr>
        <w:t>تحدد</w:t>
      </w:r>
      <w:r>
        <w:rPr>
          <w:rFonts w:hint="cs"/>
          <w:rtl/>
          <w:lang w:val="fr-CH"/>
        </w:rPr>
        <w:t xml:space="preserve"> ما</w:t>
      </w:r>
      <w:r>
        <w:rPr>
          <w:rtl/>
          <w:lang w:val="fr-CH"/>
        </w:rPr>
        <w:t> </w:t>
      </w:r>
      <w:r w:rsidRPr="00FA0FC2">
        <w:rPr>
          <w:rFonts w:hint="cs"/>
          <w:rtl/>
          <w:lang w:val="fr-CH"/>
        </w:rPr>
        <w:t>إذا كانت هناك أسباب جوهرية لاعتقاد أن صاحب الشكوى سيكون في خطر الخضوع للتعذيب في حال إعادته. وبناءً عليه، تخلص اللجنة في هذه الظروف إلى أن ترحيل صاحب الشكوى إلى بلد منشئه سيشكل انتهاكاً لل</w:t>
      </w:r>
      <w:r>
        <w:rPr>
          <w:rFonts w:hint="cs"/>
          <w:rtl/>
          <w:lang w:val="fr-CH"/>
        </w:rPr>
        <w:t>مادة</w:t>
      </w:r>
      <w:r>
        <w:rPr>
          <w:rtl/>
          <w:lang w:val="fr-CH"/>
        </w:rPr>
        <w:t> </w:t>
      </w:r>
      <w:r w:rsidRPr="00FA0FC2">
        <w:rPr>
          <w:rFonts w:hint="cs"/>
          <w:rtl/>
          <w:lang w:val="fr-CH"/>
        </w:rPr>
        <w:t xml:space="preserve">3 من الاتفاقية. </w:t>
      </w:r>
    </w:p>
    <w:p w:rsidR="00091373" w:rsidRPr="00FA0FC2" w:rsidRDefault="00091373" w:rsidP="00091373">
      <w:pPr>
        <w:pStyle w:val="SingleTxtGA"/>
        <w:rPr>
          <w:rFonts w:hint="cs"/>
          <w:rtl/>
          <w:lang w:val="fr-CH"/>
        </w:rPr>
      </w:pPr>
      <w:r w:rsidRPr="00FA0FC2">
        <w:rPr>
          <w:rFonts w:hint="cs"/>
          <w:rtl/>
          <w:lang w:val="fr-CH"/>
        </w:rPr>
        <w:t>9-</w:t>
      </w:r>
      <w:r w:rsidRPr="00FA0FC2">
        <w:rPr>
          <w:rFonts w:hint="cs"/>
          <w:rtl/>
          <w:lang w:val="fr-CH"/>
        </w:rPr>
        <w:tab/>
        <w:t>إن لجنة مناهضة التعذيب،</w:t>
      </w:r>
      <w:r>
        <w:rPr>
          <w:rFonts w:hint="cs"/>
          <w:rtl/>
          <w:lang w:val="fr-CH"/>
        </w:rPr>
        <w:t xml:space="preserve"> إذ</w:t>
      </w:r>
      <w:r>
        <w:rPr>
          <w:rtl/>
          <w:lang w:val="fr-CH"/>
        </w:rPr>
        <w:t> </w:t>
      </w:r>
      <w:r w:rsidRPr="00FA0FC2">
        <w:rPr>
          <w:rFonts w:hint="cs"/>
          <w:rtl/>
          <w:lang w:val="fr-CH"/>
        </w:rPr>
        <w:t>تتصرف بموجب الفقرة 7 من ال</w:t>
      </w:r>
      <w:r>
        <w:rPr>
          <w:rFonts w:hint="cs"/>
          <w:rtl/>
          <w:lang w:val="fr-CH"/>
        </w:rPr>
        <w:t>مادة</w:t>
      </w:r>
      <w:r>
        <w:rPr>
          <w:rtl/>
          <w:lang w:val="fr-CH"/>
        </w:rPr>
        <w:t> </w:t>
      </w:r>
      <w:r w:rsidRPr="00FA0FC2">
        <w:rPr>
          <w:rFonts w:hint="cs"/>
          <w:rtl/>
          <w:lang w:val="fr-CH"/>
        </w:rPr>
        <w:t>22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المهينة، تخلص</w:t>
      </w:r>
      <w:r>
        <w:rPr>
          <w:rFonts w:hint="eastAsia"/>
          <w:rtl/>
          <w:lang w:val="fr-CH"/>
        </w:rPr>
        <w:t> </w:t>
      </w:r>
      <w:r w:rsidRPr="00FA0FC2">
        <w:rPr>
          <w:rFonts w:hint="cs"/>
          <w:rtl/>
          <w:lang w:val="fr-CH"/>
        </w:rPr>
        <w:t>إلى أن قيام الدولة الطرف بإبعاد صاحب الشكوى إلى أفغانستان سيشكل خرقاً لل</w:t>
      </w:r>
      <w:r>
        <w:rPr>
          <w:rFonts w:hint="cs"/>
          <w:rtl/>
          <w:lang w:val="fr-CH"/>
        </w:rPr>
        <w:t>مادة</w:t>
      </w:r>
      <w:r>
        <w:rPr>
          <w:rtl/>
          <w:lang w:val="fr-CH"/>
        </w:rPr>
        <w:t> </w:t>
      </w:r>
      <w:r w:rsidRPr="00FA0FC2">
        <w:rPr>
          <w:rFonts w:hint="cs"/>
          <w:rtl/>
          <w:lang w:val="fr-CH"/>
        </w:rPr>
        <w:t xml:space="preserve">3 من الاتفاقية. </w:t>
      </w:r>
    </w:p>
    <w:p w:rsidR="00091373" w:rsidRDefault="00091373" w:rsidP="000D5189">
      <w:pPr>
        <w:pStyle w:val="SingleTxtGA"/>
        <w:rPr>
          <w:rFonts w:hint="cs"/>
          <w:rtl/>
          <w:lang w:val="fr-CH"/>
        </w:rPr>
      </w:pPr>
      <w:r w:rsidRPr="00FA0FC2">
        <w:rPr>
          <w:rFonts w:hint="cs"/>
          <w:rtl/>
          <w:lang w:val="fr-CH"/>
        </w:rPr>
        <w:t>10-</w:t>
      </w:r>
      <w:r w:rsidRPr="00FA0FC2">
        <w:rPr>
          <w:rFonts w:hint="cs"/>
          <w:rtl/>
          <w:lang w:val="fr-CH"/>
        </w:rPr>
        <w:tab/>
        <w:t>وعملاً بالفقرة 5 من ال</w:t>
      </w:r>
      <w:r>
        <w:rPr>
          <w:rFonts w:hint="cs"/>
          <w:rtl/>
          <w:lang w:val="fr-CH"/>
        </w:rPr>
        <w:t>مادة</w:t>
      </w:r>
      <w:r>
        <w:rPr>
          <w:rtl/>
          <w:lang w:val="fr-CH"/>
        </w:rPr>
        <w:t> </w:t>
      </w:r>
      <w:r w:rsidRPr="00FA0FC2">
        <w:rPr>
          <w:rFonts w:hint="cs"/>
          <w:rtl/>
          <w:lang w:val="fr-CH"/>
        </w:rPr>
        <w:t>118 من نظامها الداخلي، تطلب اللجنة إلى الدولة الطرف إعلامها، في غضون 90 يوماً من تاريخ إحالة هذا القرار، بالخطوات التي اتخذتها وفقاً</w:t>
      </w:r>
      <w:r w:rsidR="000D5189">
        <w:rPr>
          <w:rFonts w:hint="eastAsia"/>
          <w:rtl/>
          <w:lang w:val="fr-CH"/>
        </w:rPr>
        <w:t> </w:t>
      </w:r>
      <w:r w:rsidRPr="00FA0FC2">
        <w:rPr>
          <w:rFonts w:hint="cs"/>
          <w:rtl/>
          <w:lang w:val="fr-CH"/>
        </w:rPr>
        <w:t xml:space="preserve">للملاحظات المقدمة أعلاه. </w:t>
      </w:r>
    </w:p>
    <w:p w:rsidR="000D5189" w:rsidRPr="00FA0FC2" w:rsidRDefault="000D5189" w:rsidP="00091373">
      <w:pPr>
        <w:pStyle w:val="SingleTxtGA"/>
        <w:rPr>
          <w:rFonts w:hint="cs"/>
          <w:rtl/>
          <w:lang w:val="fr-CH"/>
        </w:rPr>
      </w:pPr>
    </w:p>
    <w:p w:rsidR="00091373" w:rsidRPr="00FA0FC2" w:rsidRDefault="00091373" w:rsidP="00091373">
      <w:pPr>
        <w:pStyle w:val="SingleTxtGA"/>
        <w:rPr>
          <w:rtl/>
          <w:lang w:val="fr-CH"/>
        </w:rPr>
        <w:sectPr w:rsidR="00091373" w:rsidRPr="00FA0FC2" w:rsidSect="00091373">
          <w:footnotePr>
            <w:numFmt w:val="arabicAbjad"/>
            <w:numRestart w:val="eachSect"/>
          </w:footnotePr>
          <w:endnotePr>
            <w:numFmt w:val="decimal"/>
          </w:endnotePr>
          <w:pgSz w:w="11906" w:h="16838" w:code="9"/>
          <w:pgMar w:top="1701" w:right="1134" w:bottom="2268" w:left="1134" w:header="1134" w:footer="1701" w:gutter="0"/>
          <w:cols w:space="708"/>
          <w:bidi/>
          <w:rtlGutter/>
          <w:docGrid w:linePitch="360"/>
        </w:sectPr>
      </w:pPr>
    </w:p>
    <w:p w:rsidR="00091373" w:rsidRPr="00232319" w:rsidRDefault="00091373" w:rsidP="00091373">
      <w:pPr>
        <w:pStyle w:val="H1GA"/>
        <w:spacing w:before="120"/>
        <w:rPr>
          <w:rFonts w:hint="cs"/>
          <w:i/>
          <w:iCs/>
          <w:rtl/>
          <w:lang w:val="fr-CH"/>
        </w:rPr>
      </w:pPr>
      <w:r w:rsidRPr="00FA0FC2">
        <w:rPr>
          <w:rFonts w:hint="cs"/>
          <w:rtl/>
          <w:lang w:val="fr-CH"/>
        </w:rPr>
        <w:tab/>
      </w:r>
      <w:r w:rsidRPr="00FA0FC2">
        <w:rPr>
          <w:rFonts w:hint="cs"/>
          <w:rtl/>
          <w:lang w:val="fr-CH"/>
        </w:rPr>
        <w:tab/>
        <w:t>البلاغ رقم 467/2011</w:t>
      </w:r>
      <w:r>
        <w:rPr>
          <w:rFonts w:hint="cs"/>
          <w:rtl/>
          <w:lang w:val="fr-CH"/>
        </w:rPr>
        <w:t>:</w:t>
      </w:r>
      <w:r>
        <w:rPr>
          <w:rFonts w:hint="cs"/>
          <w:i/>
          <w:iCs/>
          <w:rtl/>
          <w:lang w:val="fr-CH"/>
        </w:rPr>
        <w:t xml:space="preserve"> ي. ب. ف. وآخرون ضد سويسرا</w:t>
      </w:r>
    </w:p>
    <w:p w:rsidR="00091373" w:rsidRPr="00FA0FC2" w:rsidRDefault="00091373" w:rsidP="00A56C80">
      <w:pPr>
        <w:pStyle w:val="SingleTxtGA"/>
        <w:tabs>
          <w:tab w:val="clear" w:pos="4649"/>
          <w:tab w:val="left" w:pos="4598"/>
        </w:tabs>
        <w:spacing w:line="370" w:lineRule="exact"/>
        <w:ind w:left="4592" w:hanging="3345"/>
        <w:rPr>
          <w:rFonts w:hint="cs"/>
          <w:rtl/>
          <w:lang w:val="fr-CH"/>
        </w:rPr>
      </w:pPr>
      <w:r w:rsidRPr="00FA0FC2">
        <w:rPr>
          <w:rFonts w:hint="cs"/>
          <w:i/>
          <w:iCs/>
          <w:rtl/>
          <w:lang w:val="fr-CH"/>
        </w:rPr>
        <w:tab/>
        <w:t>المقدَّم من:</w:t>
      </w:r>
      <w:r w:rsidRPr="00FA0FC2">
        <w:rPr>
          <w:rFonts w:hint="cs"/>
          <w:rtl/>
          <w:lang w:val="fr-CH"/>
        </w:rPr>
        <w:tab/>
      </w:r>
      <w:r w:rsidRPr="00FA0FC2">
        <w:rPr>
          <w:rFonts w:hint="cs"/>
          <w:rtl/>
          <w:lang w:val="fr-CH"/>
        </w:rPr>
        <w:tab/>
      </w:r>
      <w:r w:rsidRPr="00FA0FC2">
        <w:rPr>
          <w:rFonts w:hint="cs"/>
          <w:rtl/>
          <w:lang w:val="fr-CH"/>
        </w:rPr>
        <w:tab/>
        <w:t>ي. ب. ف. وس. أ. ق. وي. ي. (يمثلهم المحامي طارق حسن)</w:t>
      </w:r>
    </w:p>
    <w:p w:rsidR="00091373" w:rsidRPr="00FA0FC2" w:rsidRDefault="00091373" w:rsidP="00A56C80">
      <w:pPr>
        <w:pStyle w:val="SingleTxtGA"/>
        <w:tabs>
          <w:tab w:val="clear" w:pos="4649"/>
          <w:tab w:val="left" w:pos="4598"/>
        </w:tabs>
        <w:spacing w:line="370" w:lineRule="exact"/>
        <w:ind w:left="4592" w:hanging="3345"/>
        <w:rPr>
          <w:rFonts w:hint="cs"/>
          <w:rtl/>
          <w:lang w:val="fr-CH"/>
        </w:rPr>
      </w:pPr>
      <w:r w:rsidRPr="00FA0FC2">
        <w:rPr>
          <w:rFonts w:hint="cs"/>
          <w:i/>
          <w:iCs/>
          <w:rtl/>
          <w:lang w:val="fr-CH"/>
        </w:rPr>
        <w:tab/>
        <w:t>الأشخاص المدّعى أنهم ضحايا:</w:t>
      </w:r>
      <w:r w:rsidRPr="00FA0FC2">
        <w:rPr>
          <w:rFonts w:hint="cs"/>
          <w:rtl/>
          <w:lang w:val="fr-CH"/>
        </w:rPr>
        <w:tab/>
        <w:t>أصحاب الشكوى</w:t>
      </w:r>
    </w:p>
    <w:p w:rsidR="00091373" w:rsidRPr="00FA0FC2" w:rsidRDefault="00091373" w:rsidP="00A56C80">
      <w:pPr>
        <w:pStyle w:val="SingleTxtGA"/>
        <w:tabs>
          <w:tab w:val="clear" w:pos="4649"/>
          <w:tab w:val="left" w:pos="4598"/>
        </w:tabs>
        <w:spacing w:line="370" w:lineRule="exact"/>
        <w:ind w:left="4592" w:hanging="3345"/>
        <w:rPr>
          <w:rFonts w:hint="cs"/>
          <w:rtl/>
          <w:lang w:val="fr-CH"/>
        </w:rPr>
      </w:pPr>
      <w:r w:rsidRPr="00FA0FC2">
        <w:rPr>
          <w:rFonts w:hint="cs"/>
          <w:i/>
          <w:iCs/>
          <w:rtl/>
          <w:lang w:val="fr-CH"/>
        </w:rPr>
        <w:tab/>
        <w:t>الدولة الطرف:</w:t>
      </w:r>
      <w:r w:rsidRPr="00FA0FC2">
        <w:rPr>
          <w:rFonts w:hint="cs"/>
          <w:rtl/>
          <w:lang w:val="fr-CH"/>
        </w:rPr>
        <w:tab/>
      </w:r>
      <w:r w:rsidRPr="00FA0FC2">
        <w:rPr>
          <w:rFonts w:hint="cs"/>
          <w:rtl/>
          <w:lang w:val="fr-CH"/>
        </w:rPr>
        <w:tab/>
      </w:r>
      <w:r w:rsidRPr="00FA0FC2">
        <w:rPr>
          <w:rFonts w:hint="cs"/>
          <w:rtl/>
          <w:lang w:val="fr-CH"/>
        </w:rPr>
        <w:tab/>
        <w:t>سويسرا</w:t>
      </w:r>
    </w:p>
    <w:p w:rsidR="00091373" w:rsidRPr="00A56C80" w:rsidRDefault="00091373" w:rsidP="00A56C80">
      <w:pPr>
        <w:pStyle w:val="SingleTxtGA"/>
        <w:tabs>
          <w:tab w:val="clear" w:pos="4649"/>
          <w:tab w:val="left" w:pos="4598"/>
        </w:tabs>
        <w:spacing w:line="370" w:lineRule="exact"/>
        <w:ind w:left="4592" w:hanging="3345"/>
        <w:rPr>
          <w:rFonts w:hint="cs"/>
          <w:spacing w:val="-4"/>
          <w:rtl/>
          <w:lang w:val="fr-CH"/>
        </w:rPr>
      </w:pPr>
      <w:r w:rsidRPr="00A56C80">
        <w:rPr>
          <w:rFonts w:hint="cs"/>
          <w:iCs/>
          <w:spacing w:val="-4"/>
          <w:rtl/>
          <w:lang w:val="fr-CH"/>
        </w:rPr>
        <w:tab/>
        <w:t>تاريخ تقديم الشكوى:</w:t>
      </w:r>
      <w:r w:rsidRPr="00A56C80">
        <w:rPr>
          <w:rFonts w:hint="cs"/>
          <w:iCs/>
          <w:spacing w:val="-4"/>
          <w:rtl/>
          <w:lang w:val="fr-CH"/>
        </w:rPr>
        <w:tab/>
      </w:r>
      <w:r w:rsidRPr="00A56C80">
        <w:rPr>
          <w:rFonts w:hint="cs"/>
          <w:iCs/>
          <w:spacing w:val="-4"/>
          <w:rtl/>
          <w:lang w:val="fr-CH"/>
        </w:rPr>
        <w:tab/>
      </w:r>
      <w:r w:rsidRPr="00A56C80">
        <w:rPr>
          <w:rFonts w:hint="cs"/>
          <w:spacing w:val="-4"/>
          <w:rtl/>
          <w:lang w:val="fr-CH"/>
        </w:rPr>
        <w:t>24 حزيران/يونيه 2011 (تاريخ الرسالة الأولى)</w:t>
      </w:r>
    </w:p>
    <w:p w:rsidR="00091373" w:rsidRPr="00FA0FC2" w:rsidRDefault="00091373" w:rsidP="00A56C80">
      <w:pPr>
        <w:pStyle w:val="SingleTxtGA"/>
        <w:spacing w:line="370" w:lineRule="exact"/>
        <w:rPr>
          <w:rFonts w:hint="cs"/>
          <w:rtl/>
          <w:lang w:val="fr-CH"/>
        </w:rPr>
      </w:pPr>
      <w:r w:rsidRPr="00FA0FC2">
        <w:rPr>
          <w:rFonts w:hint="cs"/>
          <w:rtl/>
          <w:lang w:val="fr-CH"/>
        </w:rPr>
        <w:tab/>
      </w:r>
      <w:r w:rsidRPr="00FA0FC2">
        <w:rPr>
          <w:rFonts w:hint="cs"/>
          <w:i/>
          <w:iCs/>
          <w:rtl/>
          <w:lang w:val="fr-CH"/>
        </w:rPr>
        <w:t>إن لجنة مناهضة التعذيب</w:t>
      </w:r>
      <w:r w:rsidRPr="00FA0FC2">
        <w:rPr>
          <w:rFonts w:hint="cs"/>
          <w:rtl/>
          <w:lang w:val="fr-CH"/>
        </w:rPr>
        <w:t>، المنشأة بموجب ال</w:t>
      </w:r>
      <w:r>
        <w:rPr>
          <w:rFonts w:hint="cs"/>
          <w:rtl/>
          <w:lang w:val="fr-CH"/>
        </w:rPr>
        <w:t>مادة</w:t>
      </w:r>
      <w:r>
        <w:rPr>
          <w:rtl/>
          <w:lang w:val="fr-CH"/>
        </w:rPr>
        <w:t> </w:t>
      </w:r>
      <w:r w:rsidRPr="00FA0FC2">
        <w:rPr>
          <w:rFonts w:hint="cs"/>
          <w:rtl/>
          <w:lang w:val="fr-CH"/>
        </w:rPr>
        <w:t>17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 xml:space="preserve">المهينة، </w:t>
      </w:r>
    </w:p>
    <w:p w:rsidR="00091373" w:rsidRPr="00FA0FC2" w:rsidRDefault="00091373" w:rsidP="00A56C80">
      <w:pPr>
        <w:pStyle w:val="SingleTxtGA"/>
        <w:spacing w:line="370" w:lineRule="exact"/>
        <w:rPr>
          <w:rFonts w:hint="cs"/>
          <w:rtl/>
          <w:lang w:val="fr-CH"/>
        </w:rPr>
      </w:pPr>
      <w:r w:rsidRPr="00FA0FC2">
        <w:rPr>
          <w:rFonts w:hint="cs"/>
          <w:rtl/>
          <w:lang w:val="fr-CH"/>
        </w:rPr>
        <w:tab/>
      </w:r>
      <w:r w:rsidRPr="00FA0FC2">
        <w:rPr>
          <w:rFonts w:hint="cs"/>
          <w:i/>
          <w:iCs/>
          <w:rtl/>
          <w:lang w:val="fr-CH"/>
        </w:rPr>
        <w:t>وقد اجتمعت</w:t>
      </w:r>
      <w:r w:rsidRPr="00FA0FC2">
        <w:rPr>
          <w:rFonts w:hint="cs"/>
          <w:rtl/>
          <w:lang w:val="fr-CH"/>
        </w:rPr>
        <w:t xml:space="preserve"> في 31 أيار/مايو 2013، </w:t>
      </w:r>
    </w:p>
    <w:p w:rsidR="00091373" w:rsidRPr="00FA0FC2" w:rsidRDefault="00091373" w:rsidP="00A56C80">
      <w:pPr>
        <w:pStyle w:val="SingleTxtGA"/>
        <w:spacing w:line="370" w:lineRule="exact"/>
        <w:rPr>
          <w:rFonts w:hint="cs"/>
          <w:rtl/>
          <w:lang w:val="fr-CH"/>
        </w:rPr>
      </w:pPr>
      <w:r w:rsidRPr="00FA0FC2">
        <w:rPr>
          <w:rFonts w:hint="cs"/>
          <w:rtl/>
          <w:lang w:val="fr-CH"/>
        </w:rPr>
        <w:tab/>
      </w:r>
      <w:r w:rsidRPr="00FA0FC2">
        <w:rPr>
          <w:rFonts w:hint="cs"/>
          <w:i/>
          <w:iCs/>
          <w:rtl/>
          <w:lang w:val="fr-CH"/>
        </w:rPr>
        <w:t>وقد فرغت</w:t>
      </w:r>
      <w:r w:rsidRPr="00FA0FC2">
        <w:rPr>
          <w:rFonts w:hint="cs"/>
          <w:rtl/>
          <w:lang w:val="fr-CH"/>
        </w:rPr>
        <w:t xml:space="preserve"> من النظر في الشكوى رقم 467/2011، المقدَّمة من ي. ب. ف. وس. أ. ق. وي. ي. بموجب ال</w:t>
      </w:r>
      <w:r>
        <w:rPr>
          <w:rFonts w:hint="cs"/>
          <w:rtl/>
          <w:lang w:val="fr-CH"/>
        </w:rPr>
        <w:t>مادة</w:t>
      </w:r>
      <w:r>
        <w:rPr>
          <w:rtl/>
          <w:lang w:val="fr-CH"/>
        </w:rPr>
        <w:t> </w:t>
      </w:r>
      <w:r w:rsidRPr="00FA0FC2">
        <w:rPr>
          <w:rFonts w:hint="cs"/>
          <w:rtl/>
          <w:lang w:val="fr-CH"/>
        </w:rPr>
        <w:t>22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 xml:space="preserve">المهينة، </w:t>
      </w:r>
    </w:p>
    <w:p w:rsidR="00091373" w:rsidRPr="00FA0FC2" w:rsidRDefault="00091373" w:rsidP="00A56C80">
      <w:pPr>
        <w:pStyle w:val="SingleTxtGA"/>
        <w:spacing w:line="370" w:lineRule="exact"/>
        <w:rPr>
          <w:rFonts w:hint="cs"/>
          <w:rtl/>
          <w:lang w:val="fr-CH"/>
        </w:rPr>
      </w:pPr>
      <w:r w:rsidRPr="00FA0FC2">
        <w:rPr>
          <w:rFonts w:hint="cs"/>
          <w:rtl/>
          <w:lang w:val="fr-CH"/>
        </w:rPr>
        <w:tab/>
      </w:r>
      <w:r w:rsidRPr="00FA0FC2">
        <w:rPr>
          <w:rFonts w:hint="cs"/>
          <w:i/>
          <w:iCs/>
          <w:rtl/>
          <w:lang w:val="fr-CH"/>
        </w:rPr>
        <w:t>وقد وضعت</w:t>
      </w:r>
      <w:r w:rsidRPr="00FA0FC2">
        <w:rPr>
          <w:rFonts w:hint="cs"/>
          <w:rtl/>
          <w:lang w:val="fr-CH"/>
        </w:rPr>
        <w:t xml:space="preserve"> في </w:t>
      </w:r>
      <w:r w:rsidRPr="00FA0FC2">
        <w:rPr>
          <w:rFonts w:hint="cs"/>
          <w:i/>
          <w:iCs/>
          <w:rtl/>
          <w:lang w:val="fr-CH"/>
        </w:rPr>
        <w:t>اعتبارها</w:t>
      </w:r>
      <w:r w:rsidRPr="00FA0FC2">
        <w:rPr>
          <w:rFonts w:hint="cs"/>
          <w:rtl/>
          <w:lang w:val="fr-CH"/>
        </w:rPr>
        <w:t xml:space="preserve"> جميع المعلومات التي أتاحها لها أصحاب الشكوى والدولة</w:t>
      </w:r>
      <w:r w:rsidRPr="00FA0FC2">
        <w:rPr>
          <w:rFonts w:hint="eastAsia"/>
          <w:rtl/>
          <w:lang w:val="fr-CH"/>
        </w:rPr>
        <w:t> </w:t>
      </w:r>
      <w:r w:rsidRPr="00FA0FC2">
        <w:rPr>
          <w:rFonts w:hint="cs"/>
          <w:rtl/>
          <w:lang w:val="fr-CH"/>
        </w:rPr>
        <w:t>الطرف،</w:t>
      </w:r>
    </w:p>
    <w:p w:rsidR="00091373" w:rsidRPr="00FA0FC2" w:rsidRDefault="00091373" w:rsidP="00A56C80">
      <w:pPr>
        <w:pStyle w:val="SingleTxtGA"/>
        <w:spacing w:line="370" w:lineRule="exact"/>
        <w:rPr>
          <w:rFonts w:hint="cs"/>
          <w:i/>
          <w:iCs/>
          <w:rtl/>
          <w:lang w:val="fr-CH"/>
        </w:rPr>
      </w:pPr>
      <w:r w:rsidRPr="00FA0FC2">
        <w:rPr>
          <w:rFonts w:hint="cs"/>
          <w:i/>
          <w:iCs/>
          <w:rtl/>
          <w:lang w:val="fr-CH"/>
        </w:rPr>
        <w:tab/>
        <w:t>تعتمد</w:t>
      </w:r>
      <w:r>
        <w:rPr>
          <w:rFonts w:hint="cs"/>
          <w:i/>
          <w:iCs/>
          <w:rtl/>
          <w:lang w:val="fr-CH"/>
        </w:rPr>
        <w:t xml:space="preserve"> </w:t>
      </w:r>
      <w:r w:rsidRPr="002161DA">
        <w:rPr>
          <w:rFonts w:hint="cs"/>
          <w:rtl/>
          <w:lang w:val="fr-CH"/>
        </w:rPr>
        <w:t>ما</w:t>
      </w:r>
      <w:r>
        <w:rPr>
          <w:i/>
          <w:iCs/>
          <w:rtl/>
          <w:lang w:val="fr-CH"/>
        </w:rPr>
        <w:t> </w:t>
      </w:r>
      <w:r w:rsidRPr="00FA0FC2">
        <w:rPr>
          <w:rFonts w:hint="cs"/>
          <w:rtl/>
          <w:lang w:val="fr-CH"/>
        </w:rPr>
        <w:t>يلي:</w:t>
      </w:r>
    </w:p>
    <w:p w:rsidR="00091373" w:rsidRPr="00FA0FC2" w:rsidRDefault="00091373" w:rsidP="00091373">
      <w:pPr>
        <w:pStyle w:val="H1GA"/>
        <w:rPr>
          <w:rFonts w:hint="cs"/>
          <w:rtl/>
          <w:lang w:val="fr-CH"/>
        </w:rPr>
      </w:pPr>
      <w:r w:rsidRPr="00FA0FC2">
        <w:rPr>
          <w:rFonts w:hint="cs"/>
          <w:rtl/>
          <w:lang w:val="fr-CH"/>
        </w:rPr>
        <w:tab/>
      </w:r>
      <w:r w:rsidRPr="00FA0FC2">
        <w:rPr>
          <w:rFonts w:hint="cs"/>
          <w:rtl/>
          <w:lang w:val="fr-CH"/>
        </w:rPr>
        <w:tab/>
        <w:t>قرار بموجب الفقرة 7 من ال</w:t>
      </w:r>
      <w:r>
        <w:rPr>
          <w:rFonts w:hint="cs"/>
          <w:rtl/>
          <w:lang w:val="fr-CH"/>
        </w:rPr>
        <w:t>مادة</w:t>
      </w:r>
      <w:r>
        <w:rPr>
          <w:rtl/>
          <w:lang w:val="fr-CH"/>
        </w:rPr>
        <w:t> </w:t>
      </w:r>
      <w:r w:rsidRPr="00FA0FC2">
        <w:rPr>
          <w:rFonts w:hint="cs"/>
          <w:rtl/>
          <w:lang w:val="fr-CH"/>
        </w:rPr>
        <w:t>22 من اتفاقية مناهضة التعذيب</w:t>
      </w:r>
    </w:p>
    <w:p w:rsidR="00091373" w:rsidRPr="007279DC" w:rsidRDefault="00091373" w:rsidP="00A56C80">
      <w:pPr>
        <w:pStyle w:val="SingleTxtGA"/>
        <w:spacing w:line="370" w:lineRule="exact"/>
        <w:rPr>
          <w:spacing w:val="-4"/>
          <w:sz w:val="30"/>
          <w:rtl/>
          <w:lang w:val="fr-CH"/>
        </w:rPr>
      </w:pPr>
      <w:r w:rsidRPr="007279DC">
        <w:rPr>
          <w:spacing w:val="-4"/>
          <w:sz w:val="30"/>
          <w:rtl/>
          <w:lang w:val="fr-CH"/>
        </w:rPr>
        <w:t>1-1</w:t>
      </w:r>
      <w:r w:rsidRPr="007279DC">
        <w:rPr>
          <w:spacing w:val="-4"/>
          <w:sz w:val="30"/>
          <w:rtl/>
          <w:lang w:val="fr-CH"/>
        </w:rPr>
        <w:tab/>
      </w:r>
      <w:r w:rsidRPr="007279DC">
        <w:rPr>
          <w:rFonts w:hint="cs"/>
          <w:spacing w:val="-4"/>
          <w:sz w:val="30"/>
          <w:rtl/>
          <w:lang w:val="fr-CH"/>
        </w:rPr>
        <w:t>أصحاب</w:t>
      </w:r>
      <w:r w:rsidRPr="007279DC">
        <w:rPr>
          <w:spacing w:val="-4"/>
          <w:sz w:val="30"/>
          <w:rtl/>
          <w:lang w:val="fr-CH"/>
        </w:rPr>
        <w:t xml:space="preserve"> الشكوى ه</w:t>
      </w:r>
      <w:r w:rsidRPr="007279DC">
        <w:rPr>
          <w:rFonts w:hint="cs"/>
          <w:spacing w:val="-4"/>
          <w:sz w:val="30"/>
          <w:rtl/>
          <w:lang w:val="fr-CH"/>
        </w:rPr>
        <w:t xml:space="preserve">م </w:t>
      </w:r>
      <w:r w:rsidRPr="007279DC">
        <w:rPr>
          <w:rFonts w:hint="cs"/>
          <w:spacing w:val="-4"/>
          <w:rtl/>
          <w:lang w:val="fr-CH"/>
        </w:rPr>
        <w:t>ي. ب. ف. (مولود في 17 نيسان/أبريل 1970) وزوجته س.</w:t>
      </w:r>
      <w:r w:rsidR="00A56C80">
        <w:rPr>
          <w:rFonts w:hint="eastAsia"/>
          <w:spacing w:val="-4"/>
          <w:rtl/>
          <w:lang w:val="fr-CH"/>
        </w:rPr>
        <w:t> </w:t>
      </w:r>
      <w:r w:rsidRPr="007279DC">
        <w:rPr>
          <w:rFonts w:hint="cs"/>
          <w:spacing w:val="-4"/>
          <w:rtl/>
          <w:lang w:val="fr-CH"/>
        </w:rPr>
        <w:t xml:space="preserve">أ. ق. (مولودة في 26 تشرين الأول/أكتوبر 1983) وابنهما ي. ي. (مولود في 30 آب/ أغسطس 2007)، وجميعهم من جنسية يمنية. </w:t>
      </w:r>
      <w:r w:rsidRPr="007279DC">
        <w:rPr>
          <w:rStyle w:val="hps"/>
          <w:rFonts w:hint="cs"/>
          <w:spacing w:val="-4"/>
          <w:sz w:val="30"/>
          <w:rtl/>
          <w:lang/>
        </w:rPr>
        <w:t>والمشتكيان</w:t>
      </w:r>
      <w:r w:rsidRPr="007279DC">
        <w:rPr>
          <w:spacing w:val="-4"/>
          <w:sz w:val="30"/>
          <w:rtl/>
          <w:lang/>
        </w:rPr>
        <w:t xml:space="preserve"> </w:t>
      </w:r>
      <w:r w:rsidRPr="007279DC">
        <w:rPr>
          <w:rStyle w:val="hps"/>
          <w:spacing w:val="-4"/>
          <w:sz w:val="30"/>
          <w:rtl/>
          <w:lang/>
        </w:rPr>
        <w:t>الأولان</w:t>
      </w:r>
      <w:r w:rsidRPr="007279DC">
        <w:rPr>
          <w:rStyle w:val="hps"/>
          <w:rFonts w:hint="cs"/>
          <w:spacing w:val="-4"/>
          <w:sz w:val="30"/>
          <w:rtl/>
          <w:lang/>
        </w:rPr>
        <w:t xml:space="preserve"> تقدما بطلب لجوء قوبل بالرفض، وقد كانا</w:t>
      </w:r>
      <w:r w:rsidRPr="007279DC">
        <w:rPr>
          <w:spacing w:val="-4"/>
          <w:sz w:val="30"/>
          <w:rtl/>
          <w:lang/>
        </w:rPr>
        <w:t xml:space="preserve">، </w:t>
      </w:r>
      <w:r w:rsidRPr="007279DC">
        <w:rPr>
          <w:rStyle w:val="hps"/>
          <w:spacing w:val="-4"/>
          <w:sz w:val="30"/>
          <w:rtl/>
          <w:lang/>
        </w:rPr>
        <w:t>في</w:t>
      </w:r>
      <w:r w:rsidRPr="007279DC">
        <w:rPr>
          <w:spacing w:val="-4"/>
          <w:sz w:val="30"/>
          <w:rtl/>
          <w:lang/>
        </w:rPr>
        <w:t xml:space="preserve"> </w:t>
      </w:r>
      <w:r w:rsidR="00A56C80">
        <w:rPr>
          <w:rFonts w:hint="cs"/>
          <w:spacing w:val="-4"/>
          <w:sz w:val="30"/>
          <w:rtl/>
          <w:lang/>
        </w:rPr>
        <w:t xml:space="preserve">وقت تقديم </w:t>
      </w:r>
      <w:r w:rsidRPr="007279DC">
        <w:rPr>
          <w:rStyle w:val="hps"/>
          <w:spacing w:val="-4"/>
          <w:sz w:val="30"/>
          <w:rtl/>
          <w:lang/>
        </w:rPr>
        <w:t>الشكوى</w:t>
      </w:r>
      <w:r w:rsidRPr="007279DC">
        <w:rPr>
          <w:spacing w:val="-4"/>
          <w:sz w:val="30"/>
          <w:rtl/>
          <w:lang/>
        </w:rPr>
        <w:t xml:space="preserve">، </w:t>
      </w:r>
      <w:r w:rsidRPr="007279DC">
        <w:rPr>
          <w:rStyle w:val="hps"/>
          <w:spacing w:val="-4"/>
          <w:sz w:val="30"/>
          <w:rtl/>
          <w:lang/>
        </w:rPr>
        <w:t>ينتظر</w:t>
      </w:r>
      <w:r w:rsidRPr="007279DC">
        <w:rPr>
          <w:rStyle w:val="hps"/>
          <w:rFonts w:hint="cs"/>
          <w:spacing w:val="-4"/>
          <w:sz w:val="30"/>
          <w:rtl/>
          <w:lang/>
        </w:rPr>
        <w:t>ا</w:t>
      </w:r>
      <w:r w:rsidRPr="007279DC">
        <w:rPr>
          <w:rStyle w:val="hps"/>
          <w:spacing w:val="-4"/>
          <w:sz w:val="30"/>
          <w:rtl/>
          <w:lang/>
        </w:rPr>
        <w:t>ن</w:t>
      </w:r>
      <w:r w:rsidRPr="007279DC">
        <w:rPr>
          <w:spacing w:val="-4"/>
          <w:sz w:val="30"/>
          <w:rtl/>
          <w:lang/>
        </w:rPr>
        <w:t xml:space="preserve"> </w:t>
      </w:r>
      <w:r w:rsidRPr="007279DC">
        <w:rPr>
          <w:rStyle w:val="hps"/>
          <w:rFonts w:hint="cs"/>
          <w:spacing w:val="-4"/>
          <w:sz w:val="30"/>
          <w:rtl/>
          <w:lang/>
        </w:rPr>
        <w:t>تنفيذ قرار الطرد</w:t>
      </w:r>
      <w:r w:rsidRPr="007279DC">
        <w:rPr>
          <w:rStyle w:val="hps"/>
          <w:spacing w:val="-4"/>
          <w:sz w:val="30"/>
          <w:rtl/>
          <w:lang/>
        </w:rPr>
        <w:t xml:space="preserve"> إلى</w:t>
      </w:r>
      <w:r w:rsidRPr="007279DC">
        <w:rPr>
          <w:spacing w:val="-4"/>
          <w:sz w:val="30"/>
          <w:rtl/>
          <w:lang/>
        </w:rPr>
        <w:t xml:space="preserve"> </w:t>
      </w:r>
      <w:r w:rsidRPr="007279DC">
        <w:rPr>
          <w:rStyle w:val="hps"/>
          <w:spacing w:val="-4"/>
          <w:sz w:val="30"/>
          <w:rtl/>
          <w:lang/>
        </w:rPr>
        <w:t>اليمن</w:t>
      </w:r>
      <w:r w:rsidRPr="007279DC">
        <w:rPr>
          <w:spacing w:val="-4"/>
          <w:sz w:val="30"/>
          <w:rtl/>
          <w:lang/>
        </w:rPr>
        <w:t xml:space="preserve">. </w:t>
      </w:r>
      <w:r w:rsidRPr="007279DC">
        <w:rPr>
          <w:rStyle w:val="hps"/>
          <w:spacing w:val="-4"/>
          <w:sz w:val="30"/>
          <w:rtl/>
          <w:lang/>
        </w:rPr>
        <w:t>و</w:t>
      </w:r>
      <w:r w:rsidRPr="007279DC">
        <w:rPr>
          <w:rStyle w:val="hps"/>
          <w:rFonts w:hint="cs"/>
          <w:spacing w:val="-4"/>
          <w:sz w:val="30"/>
          <w:rtl/>
          <w:lang/>
        </w:rPr>
        <w:t>هما يدعيّان</w:t>
      </w:r>
      <w:r w:rsidRPr="007279DC">
        <w:rPr>
          <w:rStyle w:val="hps"/>
          <w:spacing w:val="-4"/>
          <w:sz w:val="30"/>
          <w:rtl/>
          <w:lang/>
        </w:rPr>
        <w:t xml:space="preserve"> أن</w:t>
      </w:r>
      <w:r w:rsidRPr="007279DC">
        <w:rPr>
          <w:spacing w:val="-4"/>
          <w:sz w:val="30"/>
          <w:rtl/>
          <w:lang/>
        </w:rPr>
        <w:t xml:space="preserve"> </w:t>
      </w:r>
      <w:r w:rsidRPr="007279DC">
        <w:rPr>
          <w:rStyle w:val="hps"/>
          <w:spacing w:val="-4"/>
          <w:sz w:val="30"/>
          <w:rtl/>
          <w:lang/>
        </w:rPr>
        <w:t>طردهم</w:t>
      </w:r>
      <w:r w:rsidRPr="007279DC">
        <w:rPr>
          <w:rStyle w:val="hps"/>
          <w:rFonts w:hint="cs"/>
          <w:spacing w:val="-4"/>
          <w:sz w:val="30"/>
          <w:rtl/>
          <w:lang/>
        </w:rPr>
        <w:t>ا</w:t>
      </w:r>
      <w:r w:rsidRPr="007279DC">
        <w:rPr>
          <w:spacing w:val="-4"/>
          <w:sz w:val="30"/>
          <w:rtl/>
          <w:lang/>
        </w:rPr>
        <w:t xml:space="preserve"> </w:t>
      </w:r>
      <w:r w:rsidRPr="007279DC">
        <w:rPr>
          <w:rStyle w:val="hps"/>
          <w:spacing w:val="-4"/>
          <w:sz w:val="30"/>
          <w:rtl/>
          <w:lang/>
        </w:rPr>
        <w:t>إلى</w:t>
      </w:r>
      <w:r w:rsidRPr="007279DC">
        <w:rPr>
          <w:spacing w:val="-4"/>
          <w:sz w:val="30"/>
          <w:rtl/>
          <w:lang/>
        </w:rPr>
        <w:t xml:space="preserve"> </w:t>
      </w:r>
      <w:r w:rsidRPr="007279DC">
        <w:rPr>
          <w:rStyle w:val="hps"/>
          <w:spacing w:val="-4"/>
          <w:sz w:val="30"/>
          <w:rtl/>
          <w:lang/>
        </w:rPr>
        <w:t>اليمن</w:t>
      </w:r>
      <w:r w:rsidRPr="007279DC">
        <w:rPr>
          <w:spacing w:val="-4"/>
          <w:sz w:val="30"/>
          <w:rtl/>
          <w:lang/>
        </w:rPr>
        <w:t xml:space="preserve"> </w:t>
      </w:r>
      <w:r w:rsidRPr="007279DC">
        <w:rPr>
          <w:rStyle w:val="hps"/>
          <w:rFonts w:hint="cs"/>
          <w:spacing w:val="-4"/>
          <w:sz w:val="30"/>
          <w:rtl/>
          <w:lang/>
        </w:rPr>
        <w:t>س</w:t>
      </w:r>
      <w:r w:rsidRPr="007279DC">
        <w:rPr>
          <w:rStyle w:val="hps"/>
          <w:spacing w:val="-4"/>
          <w:sz w:val="30"/>
          <w:rtl/>
          <w:lang/>
        </w:rPr>
        <w:t>يشكل</w:t>
      </w:r>
      <w:r w:rsidRPr="007279DC">
        <w:rPr>
          <w:spacing w:val="-4"/>
          <w:sz w:val="30"/>
          <w:rtl/>
          <w:lang/>
        </w:rPr>
        <w:t xml:space="preserve"> </w:t>
      </w:r>
      <w:r w:rsidRPr="007279DC">
        <w:rPr>
          <w:rStyle w:val="hps"/>
          <w:spacing w:val="-4"/>
          <w:sz w:val="30"/>
          <w:rtl/>
          <w:lang/>
        </w:rPr>
        <w:t>انتهاكا</w:t>
      </w:r>
      <w:r w:rsidRPr="007279DC">
        <w:rPr>
          <w:rStyle w:val="hps"/>
          <w:rFonts w:hint="cs"/>
          <w:spacing w:val="-4"/>
          <w:sz w:val="30"/>
          <w:rtl/>
          <w:lang/>
        </w:rPr>
        <w:t>ً</w:t>
      </w:r>
      <w:r w:rsidRPr="007279DC">
        <w:rPr>
          <w:rStyle w:val="hps"/>
          <w:spacing w:val="-4"/>
          <w:sz w:val="30"/>
          <w:rtl/>
          <w:lang/>
        </w:rPr>
        <w:t xml:space="preserve"> من جانب سويسرا</w:t>
      </w:r>
      <w:r w:rsidRPr="007279DC">
        <w:rPr>
          <w:spacing w:val="-4"/>
          <w:sz w:val="30"/>
          <w:rtl/>
          <w:lang/>
        </w:rPr>
        <w:t xml:space="preserve"> </w:t>
      </w:r>
      <w:r w:rsidRPr="007279DC">
        <w:rPr>
          <w:rStyle w:val="hps"/>
          <w:spacing w:val="-4"/>
          <w:sz w:val="30"/>
          <w:rtl/>
          <w:lang/>
        </w:rPr>
        <w:t>للمادة 3</w:t>
      </w:r>
      <w:r w:rsidRPr="007279DC">
        <w:rPr>
          <w:spacing w:val="-4"/>
          <w:sz w:val="30"/>
          <w:rtl/>
          <w:lang/>
        </w:rPr>
        <w:t xml:space="preserve"> </w:t>
      </w:r>
      <w:r w:rsidRPr="007279DC">
        <w:rPr>
          <w:rStyle w:val="hps"/>
          <w:spacing w:val="-4"/>
          <w:sz w:val="30"/>
          <w:rtl/>
          <w:lang/>
        </w:rPr>
        <w:t>من اتفاقية مناهضة</w:t>
      </w:r>
      <w:r w:rsidRPr="007279DC">
        <w:rPr>
          <w:spacing w:val="-4"/>
          <w:sz w:val="30"/>
          <w:rtl/>
          <w:lang/>
        </w:rPr>
        <w:t xml:space="preserve"> </w:t>
      </w:r>
      <w:r w:rsidRPr="007279DC">
        <w:rPr>
          <w:rStyle w:val="hps"/>
          <w:spacing w:val="-4"/>
          <w:sz w:val="30"/>
          <w:rtl/>
          <w:lang/>
        </w:rPr>
        <w:t>التعذيب</w:t>
      </w:r>
      <w:r w:rsidRPr="007279DC">
        <w:rPr>
          <w:spacing w:val="-4"/>
          <w:sz w:val="30"/>
          <w:rtl/>
          <w:lang/>
        </w:rPr>
        <w:t xml:space="preserve"> </w:t>
      </w:r>
      <w:r w:rsidRPr="007279DC">
        <w:rPr>
          <w:rStyle w:val="hps"/>
          <w:spacing w:val="-4"/>
          <w:sz w:val="30"/>
          <w:rtl/>
          <w:lang/>
        </w:rPr>
        <w:t>وغيره من ضروب</w:t>
      </w:r>
      <w:r w:rsidRPr="007279DC">
        <w:rPr>
          <w:spacing w:val="-4"/>
          <w:sz w:val="30"/>
          <w:rtl/>
          <w:lang/>
        </w:rPr>
        <w:t xml:space="preserve"> </w:t>
      </w:r>
      <w:r w:rsidRPr="007279DC">
        <w:rPr>
          <w:rStyle w:val="hps"/>
          <w:spacing w:val="-4"/>
          <w:sz w:val="30"/>
          <w:rtl/>
          <w:lang/>
        </w:rPr>
        <w:t>المعاملة أو العقوبة القاسية</w:t>
      </w:r>
      <w:r w:rsidRPr="007279DC">
        <w:rPr>
          <w:spacing w:val="-4"/>
          <w:sz w:val="30"/>
          <w:rtl/>
          <w:lang/>
        </w:rPr>
        <w:t xml:space="preserve"> أو </w:t>
      </w:r>
      <w:r w:rsidRPr="007279DC">
        <w:rPr>
          <w:rStyle w:val="hps"/>
          <w:spacing w:val="-4"/>
          <w:sz w:val="30"/>
          <w:rtl/>
          <w:lang/>
        </w:rPr>
        <w:t>اللاإنسانية</w:t>
      </w:r>
      <w:r w:rsidRPr="007279DC">
        <w:rPr>
          <w:spacing w:val="-4"/>
          <w:sz w:val="30"/>
          <w:rtl/>
          <w:lang/>
        </w:rPr>
        <w:t xml:space="preserve"> أو </w:t>
      </w:r>
      <w:r w:rsidRPr="007279DC">
        <w:rPr>
          <w:rStyle w:val="hps"/>
          <w:spacing w:val="-4"/>
          <w:sz w:val="30"/>
          <w:rtl/>
          <w:lang/>
        </w:rPr>
        <w:t>المهينة</w:t>
      </w:r>
      <w:r w:rsidRPr="007279DC">
        <w:rPr>
          <w:spacing w:val="-4"/>
          <w:sz w:val="30"/>
          <w:rtl/>
          <w:lang/>
        </w:rPr>
        <w:t xml:space="preserve">. </w:t>
      </w:r>
      <w:r w:rsidRPr="007279DC">
        <w:rPr>
          <w:rStyle w:val="hps"/>
          <w:rFonts w:hint="cs"/>
          <w:spacing w:val="-4"/>
          <w:sz w:val="30"/>
          <w:rtl/>
          <w:lang/>
        </w:rPr>
        <w:t>ويمثل أصحاب الشكوى</w:t>
      </w:r>
      <w:r w:rsidRPr="007279DC">
        <w:rPr>
          <w:spacing w:val="-4"/>
          <w:sz w:val="30"/>
          <w:rtl/>
          <w:lang/>
        </w:rPr>
        <w:t xml:space="preserve"> </w:t>
      </w:r>
      <w:r w:rsidRPr="007279DC">
        <w:rPr>
          <w:rStyle w:val="hps"/>
          <w:spacing w:val="-4"/>
          <w:sz w:val="30"/>
          <w:rtl/>
          <w:lang/>
        </w:rPr>
        <w:t>المحامي</w:t>
      </w:r>
      <w:r w:rsidRPr="007279DC">
        <w:rPr>
          <w:spacing w:val="-4"/>
          <w:sz w:val="30"/>
          <w:rtl/>
          <w:lang/>
        </w:rPr>
        <w:t xml:space="preserve"> </w:t>
      </w:r>
      <w:r w:rsidRPr="007279DC">
        <w:rPr>
          <w:rStyle w:val="hps"/>
          <w:spacing w:val="-4"/>
          <w:sz w:val="30"/>
          <w:rtl/>
          <w:lang/>
        </w:rPr>
        <w:t>طارق</w:t>
      </w:r>
      <w:r w:rsidRPr="007279DC">
        <w:rPr>
          <w:spacing w:val="-4"/>
          <w:sz w:val="30"/>
          <w:rtl/>
          <w:lang/>
        </w:rPr>
        <w:t xml:space="preserve"> </w:t>
      </w:r>
      <w:r w:rsidRPr="007279DC">
        <w:rPr>
          <w:rStyle w:val="hps"/>
          <w:spacing w:val="-4"/>
          <w:sz w:val="30"/>
          <w:rtl/>
          <w:lang/>
        </w:rPr>
        <w:t>حسن</w:t>
      </w:r>
      <w:r w:rsidRPr="007279DC">
        <w:rPr>
          <w:spacing w:val="-4"/>
          <w:sz w:val="30"/>
          <w:rtl/>
          <w:lang/>
        </w:rPr>
        <w:t>.</w:t>
      </w:r>
    </w:p>
    <w:p w:rsidR="00091373" w:rsidRPr="00FA0FC2" w:rsidRDefault="00091373" w:rsidP="00A56C80">
      <w:pPr>
        <w:pStyle w:val="SingleTxtGA"/>
        <w:spacing w:line="370" w:lineRule="exact"/>
        <w:rPr>
          <w:rStyle w:val="hps"/>
          <w:sz w:val="30"/>
          <w:rtl/>
          <w:lang/>
        </w:rPr>
      </w:pPr>
      <w:r w:rsidRPr="00FA0FC2">
        <w:rPr>
          <w:sz w:val="30"/>
          <w:rtl/>
          <w:lang w:val="fr-CH"/>
        </w:rPr>
        <w:t>1-2</w:t>
      </w:r>
      <w:r w:rsidRPr="00FA0FC2">
        <w:rPr>
          <w:sz w:val="30"/>
          <w:rtl/>
          <w:lang w:val="fr-CH"/>
        </w:rPr>
        <w:tab/>
      </w:r>
      <w:r w:rsidRPr="00FA0FC2">
        <w:rPr>
          <w:sz w:val="30"/>
          <w:rtl/>
        </w:rPr>
        <w:t>وقد طلبت اللجنة إلى الدولة الطرف في 29 حزيران/يونيه 2011، بموجب الفقرة</w:t>
      </w:r>
      <w:r w:rsidRPr="00FA0FC2">
        <w:rPr>
          <w:rFonts w:hint="cs"/>
          <w:sz w:val="30"/>
          <w:rtl/>
        </w:rPr>
        <w:t> </w:t>
      </w:r>
      <w:r w:rsidRPr="00FA0FC2">
        <w:rPr>
          <w:sz w:val="30"/>
          <w:rtl/>
        </w:rPr>
        <w:t>1 من ال</w:t>
      </w:r>
      <w:r>
        <w:rPr>
          <w:sz w:val="30"/>
          <w:rtl/>
        </w:rPr>
        <w:t>مادة </w:t>
      </w:r>
      <w:r w:rsidRPr="00FA0FC2">
        <w:rPr>
          <w:sz w:val="30"/>
          <w:rtl/>
        </w:rPr>
        <w:t>114 (</w:t>
      </w:r>
      <w:r w:rsidRPr="00FA0FC2">
        <w:rPr>
          <w:rFonts w:hint="cs"/>
          <w:sz w:val="30"/>
          <w:rtl/>
        </w:rPr>
        <w:t>الفقرة</w:t>
      </w:r>
      <w:r w:rsidRPr="00FA0FC2">
        <w:rPr>
          <w:sz w:val="30"/>
          <w:rtl/>
        </w:rPr>
        <w:t xml:space="preserve"> 1 من ال</w:t>
      </w:r>
      <w:r>
        <w:rPr>
          <w:sz w:val="30"/>
          <w:rtl/>
        </w:rPr>
        <w:t>مادة </w:t>
      </w:r>
      <w:r w:rsidRPr="00FA0FC2">
        <w:rPr>
          <w:sz w:val="30"/>
          <w:rtl/>
        </w:rPr>
        <w:t>108 سابقاً) من نظامها الداخلي (</w:t>
      </w:r>
      <w:r w:rsidRPr="00FA0FC2">
        <w:rPr>
          <w:szCs w:val="20"/>
        </w:rPr>
        <w:t>CAT/C/3/Rev.5</w:t>
      </w:r>
      <w:r w:rsidRPr="00FA0FC2">
        <w:rPr>
          <w:sz w:val="30"/>
          <w:rtl/>
        </w:rPr>
        <w:t>)، عدم إبعاد أصحاب الشكوى إلى اليمن أثناء نظر اللجنة في شكواهم.</w:t>
      </w:r>
      <w:r>
        <w:rPr>
          <w:rStyle w:val="Header"/>
          <w:sz w:val="30"/>
          <w:rtl/>
          <w:lang/>
        </w:rPr>
        <w:t xml:space="preserve"> وفي </w:t>
      </w:r>
      <w:r w:rsidRPr="00FA0FC2">
        <w:rPr>
          <w:rStyle w:val="hps"/>
          <w:sz w:val="30"/>
          <w:rtl/>
          <w:lang/>
        </w:rPr>
        <w:t>12</w:t>
      </w:r>
      <w:r w:rsidRPr="00FA0FC2">
        <w:rPr>
          <w:sz w:val="30"/>
          <w:rtl/>
          <w:lang/>
        </w:rPr>
        <w:t xml:space="preserve"> </w:t>
      </w:r>
      <w:r w:rsidRPr="00FA0FC2">
        <w:rPr>
          <w:rStyle w:val="hps"/>
          <w:rFonts w:hint="cs"/>
          <w:sz w:val="30"/>
          <w:rtl/>
          <w:lang/>
        </w:rPr>
        <w:t>تموز/يوليه</w:t>
      </w:r>
      <w:r w:rsidRPr="00FA0FC2">
        <w:rPr>
          <w:rStyle w:val="hps"/>
          <w:sz w:val="30"/>
          <w:rtl/>
          <w:lang/>
        </w:rPr>
        <w:t xml:space="preserve"> 2011،</w:t>
      </w:r>
      <w:r w:rsidRPr="00FA0FC2">
        <w:rPr>
          <w:sz w:val="30"/>
          <w:rtl/>
          <w:lang/>
        </w:rPr>
        <w:t xml:space="preserve"> </w:t>
      </w:r>
      <w:r w:rsidRPr="00FA0FC2">
        <w:rPr>
          <w:rStyle w:val="hps"/>
          <w:sz w:val="30"/>
          <w:rtl/>
          <w:lang/>
        </w:rPr>
        <w:t>أبلغت الدولة</w:t>
      </w:r>
      <w:r w:rsidRPr="00FA0FC2">
        <w:rPr>
          <w:sz w:val="30"/>
          <w:rtl/>
          <w:lang/>
        </w:rPr>
        <w:t xml:space="preserve"> </w:t>
      </w:r>
      <w:r w:rsidRPr="00FA0FC2">
        <w:rPr>
          <w:rStyle w:val="hps"/>
          <w:sz w:val="30"/>
          <w:rtl/>
          <w:lang/>
        </w:rPr>
        <w:t>الطرف اللجنة بأن</w:t>
      </w:r>
      <w:r w:rsidRPr="00FA0FC2">
        <w:rPr>
          <w:sz w:val="30"/>
          <w:rtl/>
          <w:lang/>
        </w:rPr>
        <w:t xml:space="preserve"> </w:t>
      </w:r>
      <w:r w:rsidRPr="00FA0FC2">
        <w:rPr>
          <w:rStyle w:val="hps"/>
          <w:sz w:val="30"/>
          <w:rtl/>
          <w:lang/>
        </w:rPr>
        <w:t>المكتب الاتحادي</w:t>
      </w:r>
      <w:r w:rsidRPr="00FA0FC2">
        <w:rPr>
          <w:sz w:val="30"/>
          <w:rtl/>
          <w:lang/>
        </w:rPr>
        <w:t xml:space="preserve"> </w:t>
      </w:r>
      <w:r w:rsidRPr="00FA0FC2">
        <w:rPr>
          <w:rStyle w:val="hps"/>
          <w:sz w:val="30"/>
          <w:rtl/>
          <w:lang/>
        </w:rPr>
        <w:t>للهجرة</w:t>
      </w:r>
      <w:r w:rsidRPr="00FA0FC2">
        <w:rPr>
          <w:sz w:val="30"/>
          <w:rtl/>
          <w:lang/>
        </w:rPr>
        <w:t xml:space="preserve"> </w:t>
      </w:r>
      <w:r w:rsidRPr="00FA0FC2">
        <w:rPr>
          <w:rStyle w:val="hps"/>
          <w:rFonts w:hint="cs"/>
          <w:sz w:val="30"/>
          <w:rtl/>
          <w:lang/>
        </w:rPr>
        <w:t>في</w:t>
      </w:r>
      <w:r w:rsidRPr="00FA0FC2">
        <w:rPr>
          <w:sz w:val="30"/>
          <w:rtl/>
          <w:lang/>
        </w:rPr>
        <w:t xml:space="preserve"> </w:t>
      </w:r>
      <w:r w:rsidRPr="00FA0FC2">
        <w:rPr>
          <w:rStyle w:val="hps"/>
          <w:sz w:val="30"/>
          <w:rtl/>
          <w:lang/>
        </w:rPr>
        <w:t>سويسرا</w:t>
      </w:r>
      <w:r w:rsidRPr="00FA0FC2">
        <w:rPr>
          <w:sz w:val="30"/>
          <w:rtl/>
          <w:lang/>
        </w:rPr>
        <w:t xml:space="preserve"> </w:t>
      </w:r>
      <w:r w:rsidRPr="00FA0FC2">
        <w:rPr>
          <w:rStyle w:val="hps"/>
          <w:rFonts w:hint="cs"/>
          <w:sz w:val="30"/>
          <w:rtl/>
          <w:lang/>
        </w:rPr>
        <w:t>قد طلب إلى</w:t>
      </w:r>
      <w:r w:rsidRPr="00FA0FC2">
        <w:rPr>
          <w:sz w:val="30"/>
          <w:rtl/>
          <w:lang/>
        </w:rPr>
        <w:t xml:space="preserve"> </w:t>
      </w:r>
      <w:r w:rsidRPr="00FA0FC2">
        <w:rPr>
          <w:rStyle w:val="hps"/>
          <w:sz w:val="30"/>
          <w:rtl/>
          <w:lang/>
        </w:rPr>
        <w:t>السلطات</w:t>
      </w:r>
      <w:r w:rsidRPr="00FA0FC2">
        <w:rPr>
          <w:sz w:val="30"/>
          <w:rtl/>
          <w:lang/>
        </w:rPr>
        <w:t xml:space="preserve"> </w:t>
      </w:r>
      <w:r w:rsidRPr="00FA0FC2">
        <w:rPr>
          <w:rStyle w:val="hps"/>
          <w:sz w:val="30"/>
          <w:rtl/>
          <w:lang/>
        </w:rPr>
        <w:t>المختصة</w:t>
      </w:r>
      <w:r w:rsidRPr="00FA0FC2">
        <w:rPr>
          <w:sz w:val="30"/>
          <w:rtl/>
          <w:lang/>
        </w:rPr>
        <w:t xml:space="preserve"> </w:t>
      </w:r>
      <w:r w:rsidRPr="00FA0FC2">
        <w:rPr>
          <w:rStyle w:val="hps"/>
          <w:rFonts w:hint="cs"/>
          <w:sz w:val="30"/>
          <w:rtl/>
          <w:lang/>
        </w:rPr>
        <w:t>وقف</w:t>
      </w:r>
      <w:r w:rsidRPr="00FA0FC2">
        <w:rPr>
          <w:rStyle w:val="hps"/>
          <w:sz w:val="30"/>
          <w:rtl/>
          <w:lang/>
        </w:rPr>
        <w:t xml:space="preserve"> تنفيذ</w:t>
      </w:r>
      <w:r w:rsidRPr="00FA0FC2">
        <w:rPr>
          <w:sz w:val="30"/>
          <w:rtl/>
          <w:lang/>
        </w:rPr>
        <w:t xml:space="preserve"> </w:t>
      </w:r>
      <w:r w:rsidRPr="00FA0FC2">
        <w:rPr>
          <w:rStyle w:val="hps"/>
          <w:sz w:val="30"/>
          <w:rtl/>
          <w:lang/>
        </w:rPr>
        <w:t>أمر الطرد</w:t>
      </w:r>
      <w:r w:rsidRPr="00FA0FC2">
        <w:rPr>
          <w:sz w:val="30"/>
          <w:rtl/>
          <w:lang/>
        </w:rPr>
        <w:t xml:space="preserve"> </w:t>
      </w:r>
      <w:r w:rsidRPr="00FA0FC2">
        <w:rPr>
          <w:rStyle w:val="hps"/>
          <w:rFonts w:hint="cs"/>
          <w:sz w:val="30"/>
          <w:rtl/>
          <w:lang/>
        </w:rPr>
        <w:t>المتعلق بأصحاب الشكوى</w:t>
      </w:r>
      <w:r w:rsidRPr="00FA0FC2">
        <w:rPr>
          <w:sz w:val="30"/>
          <w:rtl/>
          <w:lang/>
        </w:rPr>
        <w:t xml:space="preserve"> </w:t>
      </w:r>
      <w:r w:rsidRPr="00FA0FC2">
        <w:rPr>
          <w:rStyle w:val="hps"/>
          <w:sz w:val="30"/>
          <w:rtl/>
          <w:lang/>
        </w:rPr>
        <w:t>حتى إشعار آخر</w:t>
      </w:r>
      <w:r w:rsidRPr="00FA0FC2">
        <w:rPr>
          <w:sz w:val="30"/>
          <w:rtl/>
          <w:lang/>
        </w:rPr>
        <w:t>.</w:t>
      </w:r>
      <w:r w:rsidRPr="00FA0FC2">
        <w:rPr>
          <w:sz w:val="30"/>
          <w:rtl/>
        </w:rPr>
        <w:t xml:space="preserve"> </w:t>
      </w:r>
    </w:p>
    <w:p w:rsidR="00091373" w:rsidRPr="00FA0FC2" w:rsidRDefault="00091373" w:rsidP="00091373">
      <w:pPr>
        <w:pStyle w:val="H23GA"/>
        <w:rPr>
          <w:sz w:val="30"/>
          <w:rtl/>
          <w:lang w:val="fr-CH"/>
        </w:rPr>
      </w:pPr>
      <w:r w:rsidRPr="00FA0FC2">
        <w:rPr>
          <w:sz w:val="30"/>
          <w:rtl/>
          <w:lang w:val="fr-CH"/>
        </w:rPr>
        <w:tab/>
      </w:r>
      <w:r w:rsidRPr="00FA0FC2">
        <w:rPr>
          <w:sz w:val="30"/>
          <w:rtl/>
          <w:lang w:val="fr-CH"/>
        </w:rPr>
        <w:tab/>
        <w:t>الوقائع</w:t>
      </w:r>
      <w:r>
        <w:rPr>
          <w:sz w:val="30"/>
          <w:rtl/>
          <w:lang w:val="fr-CH"/>
        </w:rPr>
        <w:t xml:space="preserve"> كما </w:t>
      </w:r>
      <w:r>
        <w:rPr>
          <w:rFonts w:hint="cs"/>
          <w:sz w:val="30"/>
          <w:rtl/>
          <w:lang w:val="fr-CH"/>
        </w:rPr>
        <w:t xml:space="preserve">عرضها </w:t>
      </w:r>
      <w:r w:rsidRPr="00FA0FC2">
        <w:rPr>
          <w:sz w:val="30"/>
          <w:rtl/>
          <w:lang w:val="fr-CH"/>
        </w:rPr>
        <w:t>أصحاب الشكوى</w:t>
      </w:r>
    </w:p>
    <w:p w:rsidR="00091373" w:rsidRPr="00FA0FC2" w:rsidRDefault="00091373" w:rsidP="00091373">
      <w:pPr>
        <w:pStyle w:val="SingleTxtGA"/>
        <w:rPr>
          <w:sz w:val="30"/>
          <w:rtl/>
          <w:lang/>
        </w:rPr>
      </w:pPr>
      <w:r w:rsidRPr="00FA0FC2">
        <w:rPr>
          <w:sz w:val="30"/>
          <w:rtl/>
          <w:lang w:val="fr-CH"/>
        </w:rPr>
        <w:t>2-1</w:t>
      </w:r>
      <w:r w:rsidRPr="00FA0FC2">
        <w:rPr>
          <w:sz w:val="30"/>
          <w:rtl/>
          <w:lang w:val="fr-CH"/>
        </w:rPr>
        <w:tab/>
      </w:r>
      <w:r w:rsidRPr="00FA0FC2">
        <w:rPr>
          <w:rStyle w:val="hps"/>
          <w:rFonts w:hint="cs"/>
          <w:sz w:val="30"/>
          <w:rtl/>
          <w:lang/>
        </w:rPr>
        <w:t>كان أصحاب الشكوى يعيشون</w:t>
      </w:r>
      <w:r w:rsidRPr="00FA0FC2">
        <w:rPr>
          <w:sz w:val="30"/>
          <w:rtl/>
          <w:lang/>
        </w:rPr>
        <w:t xml:space="preserve"> </w:t>
      </w:r>
      <w:r w:rsidRPr="00FA0FC2">
        <w:rPr>
          <w:rStyle w:val="hps"/>
          <w:sz w:val="30"/>
          <w:rtl/>
          <w:lang/>
        </w:rPr>
        <w:t>في مدينة</w:t>
      </w:r>
      <w:r w:rsidRPr="00FA0FC2">
        <w:rPr>
          <w:sz w:val="30"/>
          <w:rtl/>
          <w:lang/>
        </w:rPr>
        <w:t xml:space="preserve"> </w:t>
      </w:r>
      <w:r w:rsidRPr="00FA0FC2">
        <w:rPr>
          <w:rStyle w:val="hps"/>
          <w:sz w:val="30"/>
          <w:rtl/>
          <w:lang/>
        </w:rPr>
        <w:t>عدن</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الجزء الجنوبي من</w:t>
      </w:r>
      <w:r w:rsidRPr="00FA0FC2">
        <w:rPr>
          <w:sz w:val="30"/>
          <w:rtl/>
          <w:lang/>
        </w:rPr>
        <w:t xml:space="preserve"> </w:t>
      </w:r>
      <w:r w:rsidRPr="00FA0FC2">
        <w:rPr>
          <w:rStyle w:val="hps"/>
          <w:sz w:val="30"/>
          <w:rtl/>
          <w:lang/>
        </w:rPr>
        <w:t>اليمن</w:t>
      </w:r>
      <w:r w:rsidRPr="00FA0FC2">
        <w:rPr>
          <w:sz w:val="30"/>
          <w:rtl/>
          <w:lang/>
        </w:rPr>
        <w:t xml:space="preserve">. </w:t>
      </w:r>
      <w:r w:rsidRPr="00FA0FC2">
        <w:rPr>
          <w:rFonts w:hint="cs"/>
          <w:sz w:val="30"/>
          <w:rtl/>
          <w:lang/>
        </w:rPr>
        <w:t xml:space="preserve">وكان السيد ي. ب. ف. </w:t>
      </w:r>
      <w:r w:rsidRPr="00FA0FC2">
        <w:rPr>
          <w:rStyle w:val="hps"/>
          <w:sz w:val="30"/>
          <w:rtl/>
          <w:lang/>
        </w:rPr>
        <w:t>(</w:t>
      </w:r>
      <w:r w:rsidRPr="00FA0FC2">
        <w:rPr>
          <w:rFonts w:hint="cs"/>
          <w:sz w:val="30"/>
          <w:rtl/>
          <w:lang/>
        </w:rPr>
        <w:t>صاحب</w:t>
      </w:r>
      <w:r w:rsidRPr="00FA0FC2">
        <w:rPr>
          <w:sz w:val="30"/>
          <w:rtl/>
          <w:lang/>
        </w:rPr>
        <w:t xml:space="preserve"> الشكوى </w:t>
      </w:r>
      <w:r w:rsidRPr="00FA0FC2">
        <w:rPr>
          <w:rStyle w:val="hps"/>
          <w:sz w:val="30"/>
          <w:rtl/>
          <w:lang/>
        </w:rPr>
        <w:t>الأول</w:t>
      </w:r>
      <w:r w:rsidRPr="00FA0FC2">
        <w:rPr>
          <w:sz w:val="30"/>
          <w:rtl/>
          <w:lang/>
        </w:rPr>
        <w:t xml:space="preserve">) </w:t>
      </w:r>
      <w:r w:rsidRPr="00FA0FC2">
        <w:rPr>
          <w:rStyle w:val="hps"/>
          <w:sz w:val="30"/>
          <w:rtl/>
          <w:lang/>
        </w:rPr>
        <w:t xml:space="preserve">يعمل </w:t>
      </w:r>
      <w:r w:rsidRPr="00FA0FC2">
        <w:rPr>
          <w:rStyle w:val="hps"/>
          <w:rFonts w:hint="cs"/>
          <w:sz w:val="30"/>
          <w:rtl/>
          <w:lang/>
        </w:rPr>
        <w:t>أخصائياً تقنياً</w:t>
      </w:r>
      <w:r w:rsidRPr="00FA0FC2">
        <w:rPr>
          <w:sz w:val="30"/>
          <w:rtl/>
          <w:lang/>
        </w:rPr>
        <w:t xml:space="preserve"> </w:t>
      </w:r>
      <w:r w:rsidRPr="00FA0FC2">
        <w:rPr>
          <w:rStyle w:val="hps"/>
          <w:sz w:val="30"/>
          <w:rtl/>
          <w:lang/>
        </w:rPr>
        <w:t xml:space="preserve">في </w:t>
      </w:r>
      <w:r w:rsidRPr="00FA0FC2">
        <w:rPr>
          <w:rStyle w:val="hps"/>
          <w:rFonts w:hint="cs"/>
          <w:sz w:val="30"/>
          <w:rtl/>
          <w:lang/>
        </w:rPr>
        <w:t>أحد مصافي النفط</w:t>
      </w:r>
      <w:r w:rsidRPr="00FA0FC2">
        <w:rPr>
          <w:sz w:val="30"/>
          <w:rtl/>
          <w:lang/>
        </w:rPr>
        <w:t>.</w:t>
      </w:r>
    </w:p>
    <w:p w:rsidR="00091373" w:rsidRPr="00E64023" w:rsidRDefault="00091373" w:rsidP="00091373">
      <w:pPr>
        <w:pStyle w:val="SingleTxtGA"/>
        <w:rPr>
          <w:rStyle w:val="hps"/>
          <w:spacing w:val="-2"/>
          <w:sz w:val="30"/>
          <w:rtl/>
          <w:lang/>
        </w:rPr>
      </w:pPr>
      <w:r w:rsidRPr="00E64023">
        <w:rPr>
          <w:spacing w:val="-2"/>
          <w:sz w:val="30"/>
          <w:rtl/>
          <w:lang w:val="fr-CH"/>
        </w:rPr>
        <w:t>2-2</w:t>
      </w:r>
      <w:r w:rsidRPr="00E64023">
        <w:rPr>
          <w:spacing w:val="-2"/>
          <w:sz w:val="30"/>
          <w:rtl/>
          <w:lang w:val="fr-CH"/>
        </w:rPr>
        <w:tab/>
      </w:r>
      <w:r w:rsidRPr="00E64023">
        <w:rPr>
          <w:rFonts w:hint="cs"/>
          <w:spacing w:val="-2"/>
          <w:sz w:val="30"/>
          <w:rtl/>
          <w:lang w:val="fr-CH"/>
        </w:rPr>
        <w:t>و</w:t>
      </w:r>
      <w:r w:rsidRPr="00E64023">
        <w:rPr>
          <w:rStyle w:val="hps"/>
          <w:spacing w:val="-2"/>
          <w:sz w:val="30"/>
          <w:rtl/>
          <w:lang/>
        </w:rPr>
        <w:t xml:space="preserve">في 21 </w:t>
      </w:r>
      <w:r w:rsidRPr="00E64023">
        <w:rPr>
          <w:rStyle w:val="hps"/>
          <w:rFonts w:hint="cs"/>
          <w:spacing w:val="-2"/>
          <w:sz w:val="30"/>
          <w:rtl/>
          <w:lang/>
        </w:rPr>
        <w:t>أيار/</w:t>
      </w:r>
      <w:r w:rsidRPr="00E64023">
        <w:rPr>
          <w:rStyle w:val="hps"/>
          <w:spacing w:val="-2"/>
          <w:sz w:val="30"/>
          <w:rtl/>
          <w:lang/>
        </w:rPr>
        <w:t>مايو 2009</w:t>
      </w:r>
      <w:r w:rsidRPr="00E64023">
        <w:rPr>
          <w:spacing w:val="-2"/>
          <w:sz w:val="30"/>
          <w:rtl/>
          <w:lang/>
        </w:rPr>
        <w:t xml:space="preserve">، </w:t>
      </w:r>
      <w:r w:rsidRPr="00E64023">
        <w:rPr>
          <w:rStyle w:val="hps"/>
          <w:spacing w:val="-2"/>
          <w:sz w:val="30"/>
          <w:rtl/>
          <w:lang/>
        </w:rPr>
        <w:t>شارك</w:t>
      </w:r>
      <w:r w:rsidRPr="00E64023">
        <w:rPr>
          <w:spacing w:val="-2"/>
          <w:sz w:val="30"/>
          <w:rtl/>
          <w:lang/>
        </w:rPr>
        <w:t xml:space="preserve"> </w:t>
      </w:r>
      <w:r w:rsidRPr="00E64023">
        <w:rPr>
          <w:rStyle w:val="hps"/>
          <w:spacing w:val="-2"/>
          <w:sz w:val="30"/>
          <w:rtl/>
          <w:lang/>
        </w:rPr>
        <w:t>صاحب الشكوى</w:t>
      </w:r>
      <w:r w:rsidRPr="00E64023">
        <w:rPr>
          <w:spacing w:val="-2"/>
          <w:sz w:val="30"/>
          <w:rtl/>
          <w:lang/>
        </w:rPr>
        <w:t xml:space="preserve"> </w:t>
      </w:r>
      <w:r w:rsidRPr="00E64023">
        <w:rPr>
          <w:rFonts w:hint="cs"/>
          <w:spacing w:val="-2"/>
          <w:sz w:val="30"/>
          <w:rtl/>
          <w:lang/>
        </w:rPr>
        <w:t>ا</w:t>
      </w:r>
      <w:r w:rsidRPr="00E64023">
        <w:rPr>
          <w:rStyle w:val="hps"/>
          <w:spacing w:val="-2"/>
          <w:sz w:val="30"/>
          <w:rtl/>
          <w:lang/>
        </w:rPr>
        <w:t>لأول في</w:t>
      </w:r>
      <w:r w:rsidRPr="00E64023">
        <w:rPr>
          <w:spacing w:val="-2"/>
          <w:sz w:val="30"/>
          <w:rtl/>
          <w:lang/>
        </w:rPr>
        <w:t xml:space="preserve"> </w:t>
      </w:r>
      <w:r w:rsidRPr="00E64023">
        <w:rPr>
          <w:rStyle w:val="hps"/>
          <w:rFonts w:hint="cs"/>
          <w:spacing w:val="-2"/>
          <w:sz w:val="30"/>
          <w:rtl/>
          <w:lang/>
        </w:rPr>
        <w:t xml:space="preserve">مظاهرة </w:t>
      </w:r>
      <w:r w:rsidRPr="00E64023">
        <w:rPr>
          <w:rStyle w:val="hps"/>
          <w:spacing w:val="-2"/>
          <w:sz w:val="30"/>
          <w:rtl/>
          <w:lang/>
        </w:rPr>
        <w:t>نظمها</w:t>
      </w:r>
      <w:r w:rsidRPr="00E64023">
        <w:rPr>
          <w:spacing w:val="-2"/>
          <w:sz w:val="30"/>
          <w:rtl/>
          <w:lang/>
        </w:rPr>
        <w:t xml:space="preserve"> </w:t>
      </w:r>
      <w:r w:rsidRPr="00E64023">
        <w:rPr>
          <w:rStyle w:val="hps"/>
          <w:spacing w:val="-2"/>
          <w:sz w:val="30"/>
          <w:rtl/>
          <w:lang/>
        </w:rPr>
        <w:t>أنصار</w:t>
      </w:r>
      <w:r w:rsidRPr="00E64023">
        <w:rPr>
          <w:spacing w:val="-2"/>
          <w:sz w:val="30"/>
          <w:rtl/>
          <w:lang/>
        </w:rPr>
        <w:t xml:space="preserve"> </w:t>
      </w:r>
      <w:r w:rsidRPr="00E64023">
        <w:rPr>
          <w:rStyle w:val="hps"/>
          <w:spacing w:val="-2"/>
          <w:sz w:val="30"/>
          <w:rtl/>
          <w:lang/>
        </w:rPr>
        <w:t>الحراك الجنوبي</w:t>
      </w:r>
      <w:r w:rsidRPr="00E64023">
        <w:rPr>
          <w:spacing w:val="-2"/>
          <w:sz w:val="30"/>
          <w:rtl/>
          <w:lang/>
        </w:rPr>
        <w:t xml:space="preserve"> </w:t>
      </w:r>
      <w:r w:rsidRPr="00E64023">
        <w:rPr>
          <w:rStyle w:val="hps"/>
          <w:spacing w:val="-2"/>
          <w:sz w:val="30"/>
          <w:rtl/>
          <w:lang/>
        </w:rPr>
        <w:t>الذي يدعو إلى</w:t>
      </w:r>
      <w:r w:rsidRPr="00E64023">
        <w:rPr>
          <w:spacing w:val="-2"/>
          <w:sz w:val="30"/>
          <w:rtl/>
          <w:lang/>
        </w:rPr>
        <w:t xml:space="preserve"> </w:t>
      </w:r>
      <w:r w:rsidRPr="00E64023">
        <w:rPr>
          <w:rStyle w:val="hps"/>
          <w:spacing w:val="-2"/>
          <w:sz w:val="30"/>
          <w:rtl/>
          <w:lang/>
        </w:rPr>
        <w:t>استقلال</w:t>
      </w:r>
      <w:r w:rsidRPr="00E64023">
        <w:rPr>
          <w:spacing w:val="-2"/>
          <w:sz w:val="30"/>
          <w:rtl/>
          <w:lang/>
        </w:rPr>
        <w:t xml:space="preserve"> </w:t>
      </w:r>
      <w:r w:rsidRPr="00E64023">
        <w:rPr>
          <w:rStyle w:val="hps"/>
          <w:rFonts w:hint="cs"/>
          <w:spacing w:val="-2"/>
          <w:sz w:val="30"/>
          <w:rtl/>
          <w:lang/>
        </w:rPr>
        <w:t>الجنوب</w:t>
      </w:r>
      <w:r w:rsidRPr="00E64023">
        <w:rPr>
          <w:spacing w:val="-2"/>
          <w:sz w:val="30"/>
          <w:rtl/>
          <w:lang/>
        </w:rPr>
        <w:t xml:space="preserve"> </w:t>
      </w:r>
      <w:r w:rsidRPr="00E64023">
        <w:rPr>
          <w:rStyle w:val="hps"/>
          <w:spacing w:val="-2"/>
          <w:sz w:val="30"/>
          <w:rtl/>
          <w:lang/>
        </w:rPr>
        <w:t>(</w:t>
      </w:r>
      <w:r w:rsidRPr="00E64023">
        <w:rPr>
          <w:spacing w:val="-2"/>
          <w:sz w:val="30"/>
          <w:rtl/>
          <w:lang/>
        </w:rPr>
        <w:t xml:space="preserve">اليمن الجنوبي) </w:t>
      </w:r>
      <w:r w:rsidRPr="00E64023">
        <w:rPr>
          <w:rStyle w:val="hps"/>
          <w:rFonts w:hint="cs"/>
          <w:spacing w:val="-2"/>
          <w:sz w:val="30"/>
          <w:rtl/>
          <w:lang/>
        </w:rPr>
        <w:t>عن</w:t>
      </w:r>
      <w:r w:rsidRPr="00E64023">
        <w:rPr>
          <w:rStyle w:val="hps"/>
          <w:spacing w:val="-2"/>
          <w:sz w:val="30"/>
          <w:rtl/>
          <w:lang/>
        </w:rPr>
        <w:t xml:space="preserve"> اليمن</w:t>
      </w:r>
      <w:r w:rsidRPr="00E64023">
        <w:rPr>
          <w:spacing w:val="-2"/>
          <w:sz w:val="30"/>
          <w:rtl/>
          <w:lang/>
        </w:rPr>
        <w:t xml:space="preserve">. </w:t>
      </w:r>
      <w:r w:rsidRPr="00E64023">
        <w:rPr>
          <w:rStyle w:val="hps"/>
          <w:rFonts w:hint="cs"/>
          <w:spacing w:val="-2"/>
          <w:sz w:val="30"/>
          <w:rtl/>
          <w:lang/>
        </w:rPr>
        <w:t xml:space="preserve">وجرى هذا التجمع احتجاجاً على </w:t>
      </w:r>
      <w:r w:rsidRPr="00E64023">
        <w:rPr>
          <w:rStyle w:val="hps"/>
          <w:spacing w:val="-2"/>
          <w:sz w:val="30"/>
          <w:rtl/>
          <w:lang/>
        </w:rPr>
        <w:t>عدم المساواة في الأج</w:t>
      </w:r>
      <w:r w:rsidRPr="00E64023">
        <w:rPr>
          <w:rStyle w:val="hps"/>
          <w:rFonts w:hint="cs"/>
          <w:spacing w:val="-2"/>
          <w:sz w:val="30"/>
          <w:rtl/>
          <w:lang/>
        </w:rPr>
        <w:t>و</w:t>
      </w:r>
      <w:r w:rsidRPr="00E64023">
        <w:rPr>
          <w:rStyle w:val="hps"/>
          <w:spacing w:val="-2"/>
          <w:sz w:val="30"/>
          <w:rtl/>
          <w:lang/>
        </w:rPr>
        <w:t>ر</w:t>
      </w:r>
      <w:r w:rsidRPr="00E64023">
        <w:rPr>
          <w:spacing w:val="-2"/>
          <w:sz w:val="30"/>
          <w:rtl/>
          <w:lang/>
        </w:rPr>
        <w:t xml:space="preserve"> </w:t>
      </w:r>
      <w:r w:rsidRPr="00E64023">
        <w:rPr>
          <w:rStyle w:val="hps"/>
          <w:spacing w:val="-2"/>
          <w:sz w:val="30"/>
          <w:rtl/>
          <w:lang/>
        </w:rPr>
        <w:t>بين</w:t>
      </w:r>
      <w:r w:rsidRPr="00E64023">
        <w:rPr>
          <w:spacing w:val="-2"/>
          <w:sz w:val="30"/>
          <w:rtl/>
          <w:lang/>
        </w:rPr>
        <w:t xml:space="preserve"> </w:t>
      </w:r>
      <w:r w:rsidRPr="00E64023">
        <w:rPr>
          <w:rStyle w:val="hps"/>
          <w:spacing w:val="-2"/>
          <w:sz w:val="30"/>
          <w:rtl/>
          <w:lang/>
        </w:rPr>
        <w:t>العاملين في</w:t>
      </w:r>
      <w:r w:rsidRPr="00E64023">
        <w:rPr>
          <w:spacing w:val="-2"/>
          <w:sz w:val="30"/>
          <w:rtl/>
          <w:lang/>
        </w:rPr>
        <w:t xml:space="preserve"> </w:t>
      </w:r>
      <w:r w:rsidRPr="00E64023">
        <w:rPr>
          <w:rStyle w:val="hps"/>
          <w:spacing w:val="-2"/>
          <w:sz w:val="30"/>
          <w:rtl/>
          <w:lang/>
        </w:rPr>
        <w:t>مصافي</w:t>
      </w:r>
      <w:r w:rsidRPr="00E64023">
        <w:rPr>
          <w:spacing w:val="-2"/>
          <w:sz w:val="30"/>
          <w:rtl/>
          <w:lang/>
        </w:rPr>
        <w:t xml:space="preserve"> </w:t>
      </w:r>
      <w:r w:rsidRPr="00E64023">
        <w:rPr>
          <w:rStyle w:val="hps"/>
          <w:spacing w:val="-2"/>
          <w:sz w:val="30"/>
          <w:rtl/>
          <w:lang/>
        </w:rPr>
        <w:t>ال</w:t>
      </w:r>
      <w:r w:rsidRPr="00E64023">
        <w:rPr>
          <w:rStyle w:val="hps"/>
          <w:rFonts w:hint="cs"/>
          <w:spacing w:val="-2"/>
          <w:sz w:val="30"/>
          <w:rtl/>
          <w:lang/>
        </w:rPr>
        <w:t>نفط</w:t>
      </w:r>
      <w:r w:rsidRPr="00E64023">
        <w:rPr>
          <w:spacing w:val="-2"/>
          <w:sz w:val="30"/>
          <w:rtl/>
          <w:lang/>
        </w:rPr>
        <w:t xml:space="preserve"> </w:t>
      </w:r>
      <w:r w:rsidRPr="00E64023">
        <w:rPr>
          <w:rStyle w:val="hps"/>
          <w:spacing w:val="-2"/>
          <w:sz w:val="30"/>
          <w:rtl/>
          <w:lang/>
        </w:rPr>
        <w:t>في شمال</w:t>
      </w:r>
      <w:r w:rsidRPr="00E64023">
        <w:rPr>
          <w:rStyle w:val="hps"/>
          <w:rFonts w:hint="cs"/>
          <w:spacing w:val="-2"/>
          <w:sz w:val="30"/>
          <w:rtl/>
          <w:lang/>
        </w:rPr>
        <w:t xml:space="preserve"> اليمن</w:t>
      </w:r>
      <w:r w:rsidRPr="00E64023">
        <w:rPr>
          <w:rStyle w:val="hps"/>
          <w:spacing w:val="-2"/>
          <w:sz w:val="30"/>
          <w:rtl/>
          <w:lang/>
        </w:rPr>
        <w:t xml:space="preserve"> </w:t>
      </w:r>
      <w:r w:rsidRPr="00E64023">
        <w:rPr>
          <w:rStyle w:val="hps"/>
          <w:rFonts w:hint="cs"/>
          <w:spacing w:val="-2"/>
          <w:sz w:val="30"/>
          <w:rtl/>
          <w:lang/>
        </w:rPr>
        <w:t>وجنوبه</w:t>
      </w:r>
      <w:r w:rsidRPr="00E64023">
        <w:rPr>
          <w:spacing w:val="-2"/>
          <w:sz w:val="30"/>
          <w:rtl/>
          <w:lang/>
        </w:rPr>
        <w:t xml:space="preserve">، </w:t>
      </w:r>
      <w:r w:rsidRPr="00E64023">
        <w:rPr>
          <w:rStyle w:val="hps"/>
          <w:spacing w:val="-2"/>
          <w:sz w:val="30"/>
          <w:rtl/>
          <w:lang/>
        </w:rPr>
        <w:t>و</w:t>
      </w:r>
      <w:r w:rsidRPr="00E64023">
        <w:rPr>
          <w:rStyle w:val="hps"/>
          <w:rFonts w:hint="cs"/>
          <w:spacing w:val="-2"/>
          <w:sz w:val="30"/>
          <w:rtl/>
          <w:lang/>
        </w:rPr>
        <w:t>على أشكال</w:t>
      </w:r>
      <w:r w:rsidRPr="00E64023">
        <w:rPr>
          <w:spacing w:val="-2"/>
          <w:sz w:val="30"/>
          <w:rtl/>
          <w:lang/>
        </w:rPr>
        <w:t xml:space="preserve"> </w:t>
      </w:r>
      <w:r w:rsidRPr="00E64023">
        <w:rPr>
          <w:rStyle w:val="hps"/>
          <w:spacing w:val="-2"/>
          <w:sz w:val="30"/>
          <w:rtl/>
          <w:lang/>
        </w:rPr>
        <w:t>التمييز الأخرى</w:t>
      </w:r>
      <w:r w:rsidRPr="00E64023">
        <w:rPr>
          <w:spacing w:val="-2"/>
          <w:sz w:val="30"/>
          <w:rtl/>
          <w:lang/>
        </w:rPr>
        <w:t xml:space="preserve"> </w:t>
      </w:r>
      <w:r w:rsidRPr="00E64023">
        <w:rPr>
          <w:rStyle w:val="hps"/>
          <w:rFonts w:hint="cs"/>
          <w:spacing w:val="-2"/>
          <w:sz w:val="30"/>
          <w:rtl/>
          <w:lang/>
        </w:rPr>
        <w:t>التي تمارس ضد الجنوبيين. وبعد شروع</w:t>
      </w:r>
      <w:r w:rsidRPr="00E64023">
        <w:rPr>
          <w:rStyle w:val="hps"/>
          <w:spacing w:val="-2"/>
          <w:sz w:val="30"/>
          <w:rtl/>
          <w:lang/>
        </w:rPr>
        <w:t xml:space="preserve"> رجال الشرطة</w:t>
      </w:r>
      <w:r w:rsidRPr="00E64023">
        <w:rPr>
          <w:spacing w:val="-2"/>
          <w:sz w:val="30"/>
          <w:rtl/>
          <w:lang/>
        </w:rPr>
        <w:t xml:space="preserve"> </w:t>
      </w:r>
      <w:r w:rsidRPr="00E64023">
        <w:rPr>
          <w:rStyle w:val="hps"/>
          <w:rFonts w:hint="cs"/>
          <w:spacing w:val="-2"/>
          <w:sz w:val="30"/>
          <w:rtl/>
          <w:lang/>
        </w:rPr>
        <w:t xml:space="preserve">في </w:t>
      </w:r>
      <w:r w:rsidRPr="00E64023">
        <w:rPr>
          <w:rStyle w:val="hps"/>
          <w:spacing w:val="-2"/>
          <w:sz w:val="30"/>
          <w:rtl/>
          <w:lang/>
        </w:rPr>
        <w:t>تفريق المتظاهرين</w:t>
      </w:r>
      <w:r w:rsidRPr="00E64023">
        <w:rPr>
          <w:spacing w:val="-2"/>
          <w:sz w:val="30"/>
          <w:rtl/>
          <w:lang/>
        </w:rPr>
        <w:t xml:space="preserve">، </w:t>
      </w:r>
      <w:r w:rsidRPr="00E64023">
        <w:rPr>
          <w:rFonts w:hint="cs"/>
          <w:spacing w:val="-2"/>
          <w:sz w:val="30"/>
          <w:rtl/>
          <w:lang/>
        </w:rPr>
        <w:t>تلقى صاحب الشكوى</w:t>
      </w:r>
      <w:r w:rsidRPr="00E64023">
        <w:rPr>
          <w:spacing w:val="-2"/>
          <w:sz w:val="30"/>
          <w:rtl/>
          <w:lang/>
        </w:rPr>
        <w:t xml:space="preserve"> </w:t>
      </w:r>
      <w:r w:rsidRPr="00E64023">
        <w:rPr>
          <w:rStyle w:val="hps"/>
          <w:spacing w:val="-2"/>
          <w:sz w:val="30"/>
          <w:rtl/>
          <w:lang/>
        </w:rPr>
        <w:t>ضربة</w:t>
      </w:r>
      <w:r w:rsidRPr="00E64023">
        <w:rPr>
          <w:spacing w:val="-2"/>
          <w:sz w:val="30"/>
          <w:rtl/>
          <w:lang/>
        </w:rPr>
        <w:t xml:space="preserve"> </w:t>
      </w:r>
      <w:r w:rsidRPr="00E64023">
        <w:rPr>
          <w:rStyle w:val="hps"/>
          <w:spacing w:val="-2"/>
          <w:sz w:val="30"/>
          <w:rtl/>
          <w:lang/>
        </w:rPr>
        <w:t>بهراوة</w:t>
      </w:r>
      <w:r w:rsidRPr="00E64023">
        <w:rPr>
          <w:spacing w:val="-2"/>
          <w:sz w:val="30"/>
          <w:rtl/>
          <w:lang/>
        </w:rPr>
        <w:t xml:space="preserve"> </w:t>
      </w:r>
      <w:r w:rsidRPr="00E64023">
        <w:rPr>
          <w:rStyle w:val="hps"/>
          <w:rFonts w:hint="cs"/>
          <w:spacing w:val="-2"/>
          <w:sz w:val="30"/>
          <w:rtl/>
          <w:lang/>
        </w:rPr>
        <w:t>على</w:t>
      </w:r>
      <w:r w:rsidRPr="00E64023">
        <w:rPr>
          <w:rStyle w:val="hps"/>
          <w:spacing w:val="-2"/>
          <w:sz w:val="30"/>
          <w:rtl/>
          <w:lang/>
        </w:rPr>
        <w:t xml:space="preserve"> الأنف</w:t>
      </w:r>
      <w:r w:rsidRPr="00E64023">
        <w:rPr>
          <w:spacing w:val="-2"/>
          <w:sz w:val="30"/>
          <w:rtl/>
          <w:lang/>
        </w:rPr>
        <w:t xml:space="preserve"> </w:t>
      </w:r>
      <w:r w:rsidRPr="00E64023">
        <w:rPr>
          <w:rStyle w:val="hps"/>
          <w:spacing w:val="-2"/>
          <w:sz w:val="30"/>
          <w:rtl/>
          <w:lang/>
        </w:rPr>
        <w:t>وألقي القبض عليه</w:t>
      </w:r>
      <w:r w:rsidRPr="00E64023">
        <w:rPr>
          <w:spacing w:val="-2"/>
          <w:sz w:val="30"/>
          <w:rtl/>
          <w:lang/>
        </w:rPr>
        <w:t xml:space="preserve">. </w:t>
      </w:r>
      <w:r w:rsidRPr="00E64023">
        <w:rPr>
          <w:rStyle w:val="hps"/>
          <w:spacing w:val="-2"/>
          <w:sz w:val="30"/>
          <w:rtl/>
          <w:lang/>
        </w:rPr>
        <w:t>واحتجز</w:t>
      </w:r>
      <w:r w:rsidRPr="00E64023">
        <w:rPr>
          <w:spacing w:val="-2"/>
          <w:sz w:val="30"/>
          <w:rtl/>
          <w:lang/>
        </w:rPr>
        <w:t xml:space="preserve"> </w:t>
      </w:r>
      <w:r w:rsidRPr="00E64023">
        <w:rPr>
          <w:rStyle w:val="hps"/>
          <w:spacing w:val="-2"/>
          <w:sz w:val="30"/>
          <w:rtl/>
          <w:lang/>
        </w:rPr>
        <w:t>في سجن</w:t>
      </w:r>
      <w:r w:rsidRPr="00E64023">
        <w:rPr>
          <w:spacing w:val="-2"/>
          <w:sz w:val="30"/>
          <w:rtl/>
          <w:lang/>
        </w:rPr>
        <w:t xml:space="preserve"> </w:t>
      </w:r>
      <w:r w:rsidRPr="00E64023">
        <w:rPr>
          <w:rStyle w:val="hps"/>
          <w:spacing w:val="-2"/>
          <w:sz w:val="30"/>
          <w:rtl/>
          <w:lang/>
        </w:rPr>
        <w:t>المنصورة</w:t>
      </w:r>
      <w:r w:rsidRPr="00E64023">
        <w:rPr>
          <w:spacing w:val="-2"/>
          <w:sz w:val="30"/>
          <w:rtl/>
          <w:lang/>
        </w:rPr>
        <w:t xml:space="preserve"> </w:t>
      </w:r>
      <w:r w:rsidRPr="00E64023">
        <w:rPr>
          <w:rStyle w:val="hps"/>
          <w:spacing w:val="-2"/>
          <w:sz w:val="30"/>
          <w:rtl/>
          <w:lang/>
        </w:rPr>
        <w:t>في</w:t>
      </w:r>
      <w:r w:rsidRPr="00E64023">
        <w:rPr>
          <w:spacing w:val="-2"/>
          <w:sz w:val="30"/>
          <w:rtl/>
          <w:lang/>
        </w:rPr>
        <w:t xml:space="preserve"> </w:t>
      </w:r>
      <w:r w:rsidRPr="00E64023">
        <w:rPr>
          <w:rStyle w:val="hps"/>
          <w:spacing w:val="-2"/>
          <w:sz w:val="30"/>
          <w:rtl/>
          <w:lang/>
        </w:rPr>
        <w:t>عدن</w:t>
      </w:r>
      <w:r w:rsidRPr="00E64023">
        <w:rPr>
          <w:rStyle w:val="hps"/>
          <w:rFonts w:hint="cs"/>
          <w:spacing w:val="-2"/>
          <w:sz w:val="30"/>
          <w:rtl/>
          <w:lang/>
        </w:rPr>
        <w:t>،</w:t>
      </w:r>
      <w:r w:rsidRPr="00E64023">
        <w:rPr>
          <w:spacing w:val="-2"/>
          <w:sz w:val="30"/>
          <w:rtl/>
          <w:lang/>
        </w:rPr>
        <w:t xml:space="preserve"> </w:t>
      </w:r>
      <w:r w:rsidRPr="00E64023">
        <w:rPr>
          <w:rFonts w:hint="cs"/>
          <w:spacing w:val="-2"/>
          <w:sz w:val="30"/>
          <w:rtl/>
          <w:lang/>
        </w:rPr>
        <w:t>و</w:t>
      </w:r>
      <w:r w:rsidRPr="00E64023">
        <w:rPr>
          <w:rStyle w:val="hps"/>
          <w:spacing w:val="-2"/>
          <w:sz w:val="30"/>
          <w:rtl/>
          <w:lang/>
        </w:rPr>
        <w:t xml:space="preserve">اتهم </w:t>
      </w:r>
      <w:r w:rsidRPr="00E64023">
        <w:rPr>
          <w:rStyle w:val="hps"/>
          <w:rFonts w:hint="cs"/>
          <w:spacing w:val="-2"/>
          <w:sz w:val="30"/>
          <w:rtl/>
          <w:lang/>
        </w:rPr>
        <w:t>بأنه أحد مؤيدي "الحراك"، وجرى استنطاقه وترهيبه</w:t>
      </w:r>
      <w:r w:rsidRPr="00E64023">
        <w:rPr>
          <w:rStyle w:val="hps"/>
          <w:spacing w:val="-2"/>
          <w:sz w:val="30"/>
          <w:rtl/>
          <w:lang/>
        </w:rPr>
        <w:t>.</w:t>
      </w:r>
      <w:r w:rsidRPr="00E64023">
        <w:rPr>
          <w:spacing w:val="-2"/>
          <w:sz w:val="30"/>
          <w:rtl/>
          <w:lang/>
        </w:rPr>
        <w:t xml:space="preserve"> </w:t>
      </w:r>
      <w:r w:rsidRPr="00E64023">
        <w:rPr>
          <w:rFonts w:hint="cs"/>
          <w:spacing w:val="-2"/>
          <w:sz w:val="30"/>
          <w:rtl/>
          <w:lang/>
        </w:rPr>
        <w:t>و</w:t>
      </w:r>
      <w:r w:rsidRPr="00E64023">
        <w:rPr>
          <w:rStyle w:val="hps"/>
          <w:spacing w:val="-2"/>
          <w:sz w:val="30"/>
          <w:rtl/>
          <w:lang/>
        </w:rPr>
        <w:t xml:space="preserve">أثناء </w:t>
      </w:r>
      <w:r w:rsidRPr="00E64023">
        <w:rPr>
          <w:rStyle w:val="hps"/>
          <w:rFonts w:hint="cs"/>
          <w:spacing w:val="-2"/>
          <w:sz w:val="30"/>
          <w:rtl/>
          <w:lang/>
        </w:rPr>
        <w:t xml:space="preserve">فترة </w:t>
      </w:r>
      <w:r w:rsidRPr="00E64023">
        <w:rPr>
          <w:rStyle w:val="hps"/>
          <w:spacing w:val="-2"/>
          <w:sz w:val="30"/>
          <w:rtl/>
          <w:lang/>
        </w:rPr>
        <w:t>احتجازه</w:t>
      </w:r>
      <w:r w:rsidRPr="00E64023">
        <w:rPr>
          <w:rStyle w:val="hps"/>
          <w:rFonts w:hint="cs"/>
          <w:spacing w:val="-2"/>
          <w:sz w:val="30"/>
          <w:rtl/>
          <w:lang/>
        </w:rPr>
        <w:t>،</w:t>
      </w:r>
      <w:r w:rsidRPr="00E64023">
        <w:rPr>
          <w:spacing w:val="-2"/>
          <w:sz w:val="30"/>
          <w:rtl/>
          <w:lang/>
        </w:rPr>
        <w:t xml:space="preserve"> </w:t>
      </w:r>
      <w:r w:rsidRPr="00E64023">
        <w:rPr>
          <w:rStyle w:val="hps"/>
          <w:spacing w:val="-2"/>
          <w:sz w:val="30"/>
          <w:rtl/>
          <w:lang/>
        </w:rPr>
        <w:t>زار مندوبون من</w:t>
      </w:r>
      <w:r w:rsidRPr="00E64023">
        <w:rPr>
          <w:spacing w:val="-2"/>
          <w:sz w:val="30"/>
          <w:rtl/>
          <w:lang/>
        </w:rPr>
        <w:t xml:space="preserve"> </w:t>
      </w:r>
      <w:r w:rsidRPr="00E64023">
        <w:rPr>
          <w:rStyle w:val="hps"/>
          <w:spacing w:val="-2"/>
          <w:sz w:val="30"/>
          <w:rtl/>
          <w:lang/>
        </w:rPr>
        <w:t>منظمة</w:t>
      </w:r>
      <w:r w:rsidRPr="00E64023">
        <w:rPr>
          <w:rStyle w:val="hps"/>
          <w:rFonts w:hint="cs"/>
          <w:spacing w:val="-2"/>
          <w:sz w:val="30"/>
          <w:rtl/>
          <w:lang/>
        </w:rPr>
        <w:t xml:space="preserve"> المنى</w:t>
      </w:r>
      <w:r w:rsidRPr="00E64023">
        <w:rPr>
          <w:spacing w:val="-2"/>
          <w:sz w:val="30"/>
          <w:rtl/>
          <w:lang/>
        </w:rPr>
        <w:t xml:space="preserve"> </w:t>
      </w:r>
      <w:r w:rsidRPr="00E64023">
        <w:rPr>
          <w:rStyle w:val="hps"/>
          <w:spacing w:val="-2"/>
          <w:sz w:val="30"/>
          <w:rtl/>
          <w:lang/>
        </w:rPr>
        <w:t xml:space="preserve">غير </w:t>
      </w:r>
      <w:r w:rsidRPr="00E64023">
        <w:rPr>
          <w:rStyle w:val="hps"/>
          <w:rFonts w:hint="cs"/>
          <w:spacing w:val="-2"/>
          <w:sz w:val="30"/>
          <w:rtl/>
          <w:lang/>
        </w:rPr>
        <w:t>ال</w:t>
      </w:r>
      <w:r w:rsidRPr="00E64023">
        <w:rPr>
          <w:rStyle w:val="hps"/>
          <w:spacing w:val="-2"/>
          <w:sz w:val="30"/>
          <w:rtl/>
          <w:lang/>
        </w:rPr>
        <w:t>حكومية</w:t>
      </w:r>
      <w:r w:rsidRPr="00E64023">
        <w:rPr>
          <w:spacing w:val="-2"/>
          <w:sz w:val="30"/>
          <w:rtl/>
          <w:lang/>
        </w:rPr>
        <w:t xml:space="preserve"> </w:t>
      </w:r>
      <w:r w:rsidRPr="00E64023">
        <w:rPr>
          <w:rStyle w:val="hps"/>
          <w:spacing w:val="-2"/>
          <w:sz w:val="30"/>
          <w:rtl/>
          <w:lang/>
        </w:rPr>
        <w:t>السجن</w:t>
      </w:r>
      <w:r w:rsidRPr="00E64023">
        <w:rPr>
          <w:rStyle w:val="hps"/>
          <w:rFonts w:hint="cs"/>
          <w:spacing w:val="-2"/>
          <w:sz w:val="30"/>
          <w:rtl/>
          <w:lang/>
        </w:rPr>
        <w:t xml:space="preserve"> الذي ينزل فيه،</w:t>
      </w:r>
      <w:r w:rsidRPr="00E64023">
        <w:rPr>
          <w:spacing w:val="-2"/>
          <w:sz w:val="30"/>
          <w:rtl/>
          <w:lang/>
        </w:rPr>
        <w:t xml:space="preserve"> </w:t>
      </w:r>
      <w:r w:rsidRPr="00E64023">
        <w:rPr>
          <w:rStyle w:val="hps"/>
          <w:spacing w:val="-2"/>
          <w:sz w:val="30"/>
          <w:rtl/>
          <w:lang/>
        </w:rPr>
        <w:t>و</w:t>
      </w:r>
      <w:r w:rsidRPr="00E64023">
        <w:rPr>
          <w:rStyle w:val="hps"/>
          <w:rFonts w:hint="cs"/>
          <w:spacing w:val="-2"/>
          <w:sz w:val="30"/>
          <w:rtl/>
          <w:lang/>
        </w:rPr>
        <w:t>سجلوا</w:t>
      </w:r>
      <w:r w:rsidRPr="00E64023">
        <w:rPr>
          <w:spacing w:val="-2"/>
          <w:sz w:val="30"/>
          <w:rtl/>
          <w:lang/>
        </w:rPr>
        <w:t xml:space="preserve"> </w:t>
      </w:r>
      <w:r w:rsidRPr="00E64023">
        <w:rPr>
          <w:rStyle w:val="hps"/>
          <w:spacing w:val="-2"/>
          <w:sz w:val="30"/>
          <w:rtl/>
          <w:lang/>
        </w:rPr>
        <w:t>البيانات الشخصية</w:t>
      </w:r>
      <w:r w:rsidRPr="00E64023">
        <w:rPr>
          <w:spacing w:val="-2"/>
          <w:sz w:val="30"/>
          <w:rtl/>
          <w:lang/>
        </w:rPr>
        <w:t xml:space="preserve"> </w:t>
      </w:r>
      <w:r w:rsidRPr="00E64023">
        <w:rPr>
          <w:rFonts w:hint="cs"/>
          <w:spacing w:val="-2"/>
          <w:sz w:val="30"/>
          <w:rtl/>
          <w:lang/>
        </w:rPr>
        <w:t>ل</w:t>
      </w:r>
      <w:r w:rsidRPr="00E64023">
        <w:rPr>
          <w:rStyle w:val="hps"/>
          <w:spacing w:val="-2"/>
          <w:sz w:val="30"/>
          <w:rtl/>
          <w:lang/>
        </w:rPr>
        <w:t>صاحب ال</w:t>
      </w:r>
      <w:r w:rsidRPr="00E64023">
        <w:rPr>
          <w:rStyle w:val="hps"/>
          <w:rFonts w:hint="cs"/>
          <w:spacing w:val="-2"/>
          <w:sz w:val="30"/>
          <w:rtl/>
          <w:lang/>
        </w:rPr>
        <w:t>شكوى</w:t>
      </w:r>
      <w:r w:rsidRPr="00E64023">
        <w:rPr>
          <w:rStyle w:val="hps"/>
          <w:spacing w:val="-2"/>
          <w:sz w:val="30"/>
          <w:rtl/>
          <w:lang/>
        </w:rPr>
        <w:t xml:space="preserve"> الأول</w:t>
      </w:r>
      <w:r w:rsidRPr="00E64023">
        <w:rPr>
          <w:spacing w:val="-2"/>
          <w:sz w:val="30"/>
          <w:rtl/>
          <w:lang/>
        </w:rPr>
        <w:t xml:space="preserve">. </w:t>
      </w:r>
      <w:r w:rsidRPr="00E64023">
        <w:rPr>
          <w:rStyle w:val="hps"/>
          <w:spacing w:val="-2"/>
          <w:sz w:val="30"/>
          <w:rtl/>
          <w:lang/>
        </w:rPr>
        <w:t>وأفرج عنه في</w:t>
      </w:r>
      <w:r w:rsidRPr="00E64023">
        <w:rPr>
          <w:spacing w:val="-2"/>
          <w:sz w:val="30"/>
          <w:rtl/>
          <w:lang/>
        </w:rPr>
        <w:t xml:space="preserve"> </w:t>
      </w:r>
      <w:r w:rsidRPr="00E64023">
        <w:rPr>
          <w:rStyle w:val="hps"/>
          <w:spacing w:val="-2"/>
          <w:sz w:val="30"/>
          <w:rtl/>
          <w:lang/>
        </w:rPr>
        <w:t xml:space="preserve">30 </w:t>
      </w:r>
      <w:r w:rsidRPr="00E64023">
        <w:rPr>
          <w:rStyle w:val="hps"/>
          <w:rFonts w:hint="cs"/>
          <w:spacing w:val="-2"/>
          <w:sz w:val="30"/>
          <w:rtl/>
          <w:lang/>
        </w:rPr>
        <w:t>حزيران/يونيه </w:t>
      </w:r>
      <w:r w:rsidRPr="00E64023">
        <w:rPr>
          <w:rStyle w:val="hps"/>
          <w:spacing w:val="-2"/>
          <w:sz w:val="30"/>
          <w:rtl/>
          <w:lang/>
        </w:rPr>
        <w:t>2009</w:t>
      </w:r>
      <w:r w:rsidRPr="00E64023">
        <w:rPr>
          <w:rFonts w:hint="cs"/>
          <w:spacing w:val="-2"/>
          <w:sz w:val="30"/>
          <w:rtl/>
          <w:lang/>
        </w:rPr>
        <w:t>، غير أنه</w:t>
      </w:r>
      <w:r w:rsidRPr="00E64023">
        <w:rPr>
          <w:rStyle w:val="hps"/>
          <w:spacing w:val="-2"/>
          <w:sz w:val="30"/>
          <w:rtl/>
          <w:lang/>
        </w:rPr>
        <w:t xml:space="preserve"> بقي</w:t>
      </w:r>
      <w:r w:rsidRPr="00E64023">
        <w:rPr>
          <w:spacing w:val="-2"/>
          <w:sz w:val="30"/>
          <w:rtl/>
          <w:lang/>
        </w:rPr>
        <w:t xml:space="preserve"> </w:t>
      </w:r>
      <w:r w:rsidRPr="00E64023">
        <w:rPr>
          <w:rStyle w:val="hps"/>
          <w:spacing w:val="-2"/>
          <w:sz w:val="30"/>
          <w:rtl/>
          <w:lang/>
        </w:rPr>
        <w:t>تحت المراقبة.</w:t>
      </w:r>
    </w:p>
    <w:p w:rsidR="00091373" w:rsidRPr="00FA0FC2" w:rsidRDefault="00091373" w:rsidP="00091373">
      <w:pPr>
        <w:pStyle w:val="SingleTxtGA"/>
        <w:rPr>
          <w:sz w:val="30"/>
          <w:rtl/>
          <w:lang w:val="fr-CH"/>
        </w:rPr>
      </w:pPr>
      <w:r w:rsidRPr="00FA0FC2">
        <w:rPr>
          <w:sz w:val="30"/>
          <w:rtl/>
          <w:lang w:val="fr-CH"/>
        </w:rPr>
        <w:t>2-3</w:t>
      </w:r>
      <w:r w:rsidRPr="00FA0FC2">
        <w:rPr>
          <w:sz w:val="30"/>
          <w:rtl/>
          <w:lang w:val="fr-CH"/>
        </w:rPr>
        <w:tab/>
      </w:r>
      <w:r w:rsidRPr="00FA0FC2">
        <w:rPr>
          <w:rStyle w:val="hps"/>
          <w:rFonts w:hint="cs"/>
          <w:sz w:val="30"/>
          <w:rtl/>
          <w:lang/>
        </w:rPr>
        <w:t>وفي 6 تموز/يوليه</w:t>
      </w:r>
      <w:r w:rsidRPr="00FA0FC2">
        <w:rPr>
          <w:sz w:val="30"/>
          <w:rtl/>
          <w:lang/>
        </w:rPr>
        <w:t xml:space="preserve"> </w:t>
      </w:r>
      <w:r w:rsidRPr="00FA0FC2">
        <w:rPr>
          <w:rStyle w:val="hps"/>
          <w:sz w:val="30"/>
          <w:rtl/>
          <w:lang/>
        </w:rPr>
        <w:t>2009،</w:t>
      </w:r>
      <w:r w:rsidRPr="00FA0FC2">
        <w:rPr>
          <w:sz w:val="30"/>
          <w:rtl/>
          <w:lang/>
        </w:rPr>
        <w:t xml:space="preserve"> </w:t>
      </w:r>
      <w:r w:rsidRPr="00FA0FC2">
        <w:rPr>
          <w:rStyle w:val="hps"/>
          <w:sz w:val="30"/>
          <w:rtl/>
          <w:lang/>
        </w:rPr>
        <w:t>ألقي القبض على</w:t>
      </w:r>
      <w:r w:rsidRPr="00FA0FC2">
        <w:rPr>
          <w:sz w:val="30"/>
          <w:rtl/>
          <w:lang/>
        </w:rPr>
        <w:t xml:space="preserve">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sz w:val="30"/>
          <w:rtl/>
          <w:lang/>
        </w:rPr>
        <w:t>في منزله</w:t>
      </w:r>
      <w:r w:rsidRPr="00FA0FC2">
        <w:rPr>
          <w:sz w:val="30"/>
          <w:rtl/>
          <w:lang/>
        </w:rPr>
        <w:t xml:space="preserve"> </w:t>
      </w:r>
      <w:r w:rsidRPr="00FA0FC2">
        <w:rPr>
          <w:rStyle w:val="hps"/>
          <w:sz w:val="30"/>
          <w:rtl/>
          <w:lang/>
        </w:rPr>
        <w:t>وتعرض للضرب</w:t>
      </w:r>
      <w:r w:rsidRPr="00FA0FC2">
        <w:rPr>
          <w:sz w:val="30"/>
          <w:rtl/>
          <w:lang/>
        </w:rPr>
        <w:t xml:space="preserve">. </w:t>
      </w:r>
      <w:r w:rsidRPr="00FA0FC2">
        <w:rPr>
          <w:rStyle w:val="hps"/>
          <w:sz w:val="30"/>
          <w:rtl/>
          <w:lang/>
        </w:rPr>
        <w:t>ثم اقتيد</w:t>
      </w:r>
      <w:r w:rsidRPr="00FA0FC2">
        <w:rPr>
          <w:sz w:val="30"/>
          <w:rtl/>
          <w:lang/>
        </w:rPr>
        <w:t xml:space="preserve"> </w:t>
      </w:r>
      <w:r w:rsidRPr="00FA0FC2">
        <w:rPr>
          <w:rStyle w:val="hps"/>
          <w:sz w:val="30"/>
          <w:rtl/>
          <w:lang/>
        </w:rPr>
        <w:t>إلى</w:t>
      </w:r>
      <w:r w:rsidRPr="00FA0FC2">
        <w:rPr>
          <w:sz w:val="30"/>
          <w:rtl/>
          <w:lang/>
        </w:rPr>
        <w:t xml:space="preserve"> </w:t>
      </w:r>
      <w:r w:rsidRPr="00FA0FC2">
        <w:rPr>
          <w:rStyle w:val="hps"/>
          <w:sz w:val="30"/>
          <w:rtl/>
          <w:lang/>
        </w:rPr>
        <w:t>مركز</w:t>
      </w:r>
      <w:r w:rsidRPr="00FA0FC2">
        <w:rPr>
          <w:sz w:val="30"/>
          <w:rtl/>
          <w:lang/>
        </w:rPr>
        <w:t xml:space="preserve"> </w:t>
      </w:r>
      <w:r w:rsidRPr="00FA0FC2">
        <w:rPr>
          <w:rStyle w:val="hps"/>
          <w:rFonts w:hint="cs"/>
          <w:sz w:val="30"/>
          <w:rtl/>
          <w:lang/>
        </w:rPr>
        <w:t>شرطة البريقة</w:t>
      </w:r>
      <w:r w:rsidRPr="00FA0FC2">
        <w:rPr>
          <w:rFonts w:hint="cs"/>
          <w:sz w:val="30"/>
          <w:rtl/>
          <w:lang/>
        </w:rPr>
        <w:t xml:space="preserve"> الذي عادة</w:t>
      </w:r>
      <w:r>
        <w:rPr>
          <w:rFonts w:hint="cs"/>
          <w:sz w:val="30"/>
          <w:rtl/>
          <w:lang/>
        </w:rPr>
        <w:t xml:space="preserve"> ما</w:t>
      </w:r>
      <w:r>
        <w:rPr>
          <w:sz w:val="30"/>
          <w:rtl/>
          <w:lang/>
        </w:rPr>
        <w:t> </w:t>
      </w:r>
      <w:r w:rsidRPr="00FA0FC2">
        <w:rPr>
          <w:rFonts w:hint="cs"/>
          <w:sz w:val="30"/>
          <w:rtl/>
          <w:lang/>
        </w:rPr>
        <w:t>يحتجز فيه</w:t>
      </w:r>
      <w:r w:rsidRPr="00FA0FC2">
        <w:rPr>
          <w:sz w:val="30"/>
          <w:rtl/>
          <w:lang/>
        </w:rPr>
        <w:t xml:space="preserve"> </w:t>
      </w:r>
      <w:r w:rsidRPr="00FA0FC2">
        <w:rPr>
          <w:rStyle w:val="hps"/>
          <w:sz w:val="30"/>
          <w:rtl/>
          <w:lang/>
        </w:rPr>
        <w:t xml:space="preserve">الأفراد </w:t>
      </w:r>
      <w:r w:rsidRPr="00FA0FC2">
        <w:rPr>
          <w:rStyle w:val="hps"/>
          <w:rFonts w:hint="cs"/>
          <w:sz w:val="30"/>
          <w:rtl/>
          <w:lang/>
        </w:rPr>
        <w:t>المعتقلون</w:t>
      </w:r>
      <w:r w:rsidRPr="00FA0FC2">
        <w:rPr>
          <w:sz w:val="30"/>
          <w:rtl/>
          <w:lang/>
        </w:rPr>
        <w:t xml:space="preserve"> </w:t>
      </w:r>
      <w:r w:rsidRPr="00FA0FC2">
        <w:rPr>
          <w:rStyle w:val="hps"/>
          <w:sz w:val="30"/>
          <w:rtl/>
          <w:lang/>
        </w:rPr>
        <w:t>لأسباب سياسية</w:t>
      </w:r>
      <w:r w:rsidRPr="00FA0FC2">
        <w:rPr>
          <w:rStyle w:val="hps"/>
          <w:rFonts w:hint="cs"/>
          <w:sz w:val="30"/>
          <w:rtl/>
          <w:lang/>
        </w:rPr>
        <w:t>، وبقي هناك</w:t>
      </w:r>
      <w:r w:rsidRPr="00FA0FC2">
        <w:rPr>
          <w:sz w:val="30"/>
          <w:rtl/>
          <w:lang/>
        </w:rPr>
        <w:t xml:space="preserve"> </w:t>
      </w:r>
      <w:r w:rsidRPr="00FA0FC2">
        <w:rPr>
          <w:rStyle w:val="hps"/>
          <w:rFonts w:hint="cs"/>
          <w:sz w:val="30"/>
          <w:rtl/>
          <w:lang/>
        </w:rPr>
        <w:t>إلى غاية</w:t>
      </w:r>
      <w:r w:rsidRPr="00FA0FC2">
        <w:rPr>
          <w:rStyle w:val="hps"/>
          <w:sz w:val="30"/>
          <w:rtl/>
          <w:lang/>
        </w:rPr>
        <w:t xml:space="preserve"> مساء</w:t>
      </w:r>
      <w:r w:rsidRPr="00FA0FC2">
        <w:rPr>
          <w:sz w:val="30"/>
          <w:rtl/>
          <w:lang/>
        </w:rPr>
        <w:t xml:space="preserve"> </w:t>
      </w:r>
      <w:r w:rsidRPr="00FA0FC2">
        <w:rPr>
          <w:rStyle w:val="hps"/>
          <w:sz w:val="30"/>
          <w:rtl/>
          <w:lang/>
        </w:rPr>
        <w:t>اليوم التالي</w:t>
      </w:r>
      <w:r w:rsidRPr="00FA0FC2">
        <w:rPr>
          <w:sz w:val="30"/>
          <w:rtl/>
          <w:lang/>
        </w:rPr>
        <w:t xml:space="preserve"> </w:t>
      </w:r>
      <w:r w:rsidRPr="00FA0FC2">
        <w:rPr>
          <w:rStyle w:val="hps"/>
          <w:rFonts w:hint="cs"/>
          <w:sz w:val="30"/>
          <w:rtl/>
          <w:lang/>
        </w:rPr>
        <w:t>حيث كان</w:t>
      </w:r>
      <w:r w:rsidRPr="00FA0FC2">
        <w:rPr>
          <w:rStyle w:val="hps"/>
          <w:sz w:val="30"/>
          <w:rtl/>
          <w:lang/>
        </w:rPr>
        <w:t xml:space="preserve"> من المتوقع</w:t>
      </w:r>
      <w:r w:rsidRPr="00FA0FC2">
        <w:rPr>
          <w:sz w:val="30"/>
          <w:rtl/>
          <w:lang/>
        </w:rPr>
        <w:t xml:space="preserve"> </w:t>
      </w:r>
      <w:r w:rsidRPr="00FA0FC2">
        <w:rPr>
          <w:rFonts w:hint="cs"/>
          <w:sz w:val="30"/>
          <w:rtl/>
          <w:lang/>
        </w:rPr>
        <w:t>تنظيم الحراك الجنوبي ل</w:t>
      </w:r>
      <w:r w:rsidRPr="00FA0FC2">
        <w:rPr>
          <w:rStyle w:val="hps"/>
          <w:sz w:val="30"/>
          <w:rtl/>
          <w:lang/>
        </w:rPr>
        <w:t>مظاهرة أخرى</w:t>
      </w:r>
      <w:r w:rsidRPr="00FA0FC2">
        <w:rPr>
          <w:rFonts w:hint="cs"/>
          <w:sz w:val="30"/>
          <w:rtl/>
          <w:lang/>
        </w:rPr>
        <w:t>. و</w:t>
      </w:r>
      <w:r w:rsidRPr="00FA0FC2">
        <w:rPr>
          <w:rStyle w:val="hps"/>
          <w:sz w:val="30"/>
          <w:rtl/>
          <w:lang/>
        </w:rPr>
        <w:t>بعد</w:t>
      </w:r>
      <w:r w:rsidRPr="00FA0FC2">
        <w:rPr>
          <w:sz w:val="30"/>
          <w:rtl/>
          <w:lang/>
        </w:rPr>
        <w:t xml:space="preserve"> </w:t>
      </w:r>
      <w:r w:rsidRPr="00FA0FC2">
        <w:rPr>
          <w:rStyle w:val="hps"/>
          <w:sz w:val="30"/>
          <w:rtl/>
          <w:lang/>
        </w:rPr>
        <w:t>إطلاق سراح</w:t>
      </w:r>
      <w:r w:rsidRPr="00FA0FC2">
        <w:rPr>
          <w:rStyle w:val="hps"/>
          <w:rFonts w:hint="cs"/>
          <w:sz w:val="30"/>
          <w:rtl/>
          <w:lang/>
        </w:rPr>
        <w:t xml:space="preserve">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rFonts w:hint="cs"/>
          <w:sz w:val="30"/>
          <w:rtl/>
          <w:lang/>
        </w:rPr>
        <w:t>أبلغه صديق له</w:t>
      </w:r>
      <w:r w:rsidRPr="00FA0FC2">
        <w:rPr>
          <w:sz w:val="30"/>
          <w:rtl/>
          <w:lang/>
        </w:rPr>
        <w:t xml:space="preserve"> </w:t>
      </w:r>
      <w:r w:rsidRPr="00FA0FC2">
        <w:rPr>
          <w:rStyle w:val="hps"/>
          <w:sz w:val="30"/>
          <w:rtl/>
          <w:lang/>
        </w:rPr>
        <w:t>يعمل لحساب</w:t>
      </w:r>
      <w:r w:rsidRPr="00FA0FC2">
        <w:rPr>
          <w:sz w:val="30"/>
          <w:rtl/>
          <w:lang/>
        </w:rPr>
        <w:t xml:space="preserve"> </w:t>
      </w:r>
      <w:r w:rsidRPr="00FA0FC2">
        <w:rPr>
          <w:rStyle w:val="hps"/>
          <w:sz w:val="30"/>
          <w:rtl/>
          <w:lang/>
        </w:rPr>
        <w:t>جهاز المخابرات</w:t>
      </w:r>
      <w:r w:rsidRPr="00FA0FC2">
        <w:rPr>
          <w:sz w:val="30"/>
          <w:rtl/>
          <w:lang/>
        </w:rPr>
        <w:t xml:space="preserve"> </w:t>
      </w:r>
      <w:r w:rsidRPr="00FA0FC2">
        <w:rPr>
          <w:rStyle w:val="hps"/>
          <w:sz w:val="30"/>
          <w:rtl/>
          <w:lang/>
        </w:rPr>
        <w:t>أن</w:t>
      </w:r>
      <w:r w:rsidRPr="00FA0FC2">
        <w:rPr>
          <w:rFonts w:hint="cs"/>
          <w:sz w:val="30"/>
          <w:rtl/>
          <w:lang/>
        </w:rPr>
        <w:t xml:space="preserve"> جهاز</w:t>
      </w:r>
      <w:r w:rsidRPr="00FA0FC2">
        <w:rPr>
          <w:rStyle w:val="hps"/>
          <w:sz w:val="30"/>
          <w:rtl/>
          <w:lang/>
        </w:rPr>
        <w:t xml:space="preserve"> الأمن السياسي </w:t>
      </w:r>
      <w:r w:rsidRPr="00FA0FC2">
        <w:rPr>
          <w:rStyle w:val="hps"/>
          <w:rFonts w:hint="cs"/>
          <w:sz w:val="30"/>
          <w:rtl/>
          <w:lang/>
        </w:rPr>
        <w:t>قد سجله كأحد نشطاء</w:t>
      </w:r>
      <w:r w:rsidRPr="00FA0FC2">
        <w:rPr>
          <w:sz w:val="30"/>
          <w:rtl/>
          <w:lang/>
        </w:rPr>
        <w:t xml:space="preserve"> </w:t>
      </w:r>
      <w:r w:rsidRPr="00FA0FC2">
        <w:rPr>
          <w:rStyle w:val="hps"/>
          <w:sz w:val="30"/>
          <w:rtl/>
          <w:lang/>
        </w:rPr>
        <w:t>الحراك الجنوبي</w:t>
      </w:r>
      <w:r w:rsidRPr="00FA0FC2">
        <w:rPr>
          <w:rFonts w:hint="cs"/>
          <w:sz w:val="30"/>
          <w:rtl/>
          <w:lang/>
        </w:rPr>
        <w:t xml:space="preserve">، وأنه قد يقبض عليه </w:t>
      </w:r>
      <w:r w:rsidRPr="00FA0FC2">
        <w:rPr>
          <w:rStyle w:val="hps"/>
          <w:rFonts w:hint="cs"/>
          <w:sz w:val="30"/>
          <w:rtl/>
          <w:lang/>
        </w:rPr>
        <w:t>من جديد</w:t>
      </w:r>
      <w:r w:rsidRPr="00FA0FC2">
        <w:rPr>
          <w:sz w:val="30"/>
          <w:rtl/>
          <w:lang/>
        </w:rPr>
        <w:t xml:space="preserve"> </w:t>
      </w:r>
      <w:r w:rsidRPr="00FA0FC2">
        <w:rPr>
          <w:rStyle w:val="hps"/>
          <w:sz w:val="30"/>
          <w:rtl/>
          <w:lang/>
        </w:rPr>
        <w:t>في أي</w:t>
      </w:r>
      <w:r w:rsidRPr="00FA0FC2">
        <w:rPr>
          <w:rStyle w:val="hps"/>
          <w:rFonts w:hint="cs"/>
          <w:sz w:val="30"/>
          <w:rtl/>
          <w:lang/>
        </w:rPr>
        <w:t>ة</w:t>
      </w:r>
      <w:r w:rsidRPr="00FA0FC2">
        <w:rPr>
          <w:rStyle w:val="hps"/>
          <w:sz w:val="30"/>
          <w:rtl/>
          <w:lang/>
        </w:rPr>
        <w:t xml:space="preserve"> لحظة</w:t>
      </w:r>
      <w:r w:rsidRPr="00FA0FC2">
        <w:rPr>
          <w:sz w:val="30"/>
          <w:rtl/>
          <w:lang/>
        </w:rPr>
        <w:t xml:space="preserve">. </w:t>
      </w:r>
      <w:r w:rsidRPr="00FA0FC2">
        <w:rPr>
          <w:rStyle w:val="hps"/>
          <w:sz w:val="30"/>
          <w:rtl/>
          <w:lang/>
        </w:rPr>
        <w:t>ونتيجة لذلك</w:t>
      </w:r>
      <w:r w:rsidRPr="00FA0FC2">
        <w:rPr>
          <w:sz w:val="30"/>
          <w:rtl/>
          <w:lang/>
        </w:rPr>
        <w:t xml:space="preserve">، </w:t>
      </w:r>
      <w:r w:rsidRPr="00FA0FC2">
        <w:rPr>
          <w:rStyle w:val="hps"/>
          <w:sz w:val="30"/>
          <w:rtl/>
          <w:lang/>
        </w:rPr>
        <w:t>قرر</w:t>
      </w:r>
      <w:r w:rsidRPr="00FA0FC2">
        <w:rPr>
          <w:sz w:val="30"/>
          <w:rtl/>
          <w:lang/>
        </w:rPr>
        <w:t xml:space="preserve"> </w:t>
      </w:r>
      <w:r w:rsidRPr="00FA0FC2">
        <w:rPr>
          <w:rStyle w:val="hps"/>
          <w:sz w:val="30"/>
          <w:rtl/>
          <w:lang/>
        </w:rPr>
        <w:t>صاحب الشكوى</w:t>
      </w:r>
      <w:r w:rsidRPr="00FA0FC2">
        <w:rPr>
          <w:sz w:val="30"/>
          <w:rtl/>
          <w:lang/>
        </w:rPr>
        <w:t xml:space="preserve"> </w:t>
      </w:r>
      <w:r w:rsidRPr="00FA0FC2">
        <w:rPr>
          <w:rStyle w:val="hps"/>
          <w:sz w:val="30"/>
          <w:rtl/>
          <w:lang/>
        </w:rPr>
        <w:t xml:space="preserve">الأول </w:t>
      </w:r>
      <w:r w:rsidRPr="00FA0FC2">
        <w:rPr>
          <w:rStyle w:val="hps"/>
          <w:rFonts w:hint="cs"/>
          <w:sz w:val="30"/>
          <w:rtl/>
          <w:lang/>
        </w:rPr>
        <w:t>الشروع في</w:t>
      </w:r>
      <w:r w:rsidRPr="00FA0FC2">
        <w:rPr>
          <w:sz w:val="30"/>
          <w:rtl/>
          <w:lang/>
        </w:rPr>
        <w:t xml:space="preserve"> </w:t>
      </w:r>
      <w:r w:rsidRPr="00FA0FC2">
        <w:rPr>
          <w:rStyle w:val="hps"/>
          <w:sz w:val="30"/>
          <w:rtl/>
          <w:lang/>
        </w:rPr>
        <w:t>تنظيم</w:t>
      </w:r>
      <w:r w:rsidRPr="00FA0FC2">
        <w:rPr>
          <w:sz w:val="30"/>
          <w:rtl/>
          <w:lang/>
        </w:rPr>
        <w:t xml:space="preserve"> </w:t>
      </w:r>
      <w:r w:rsidRPr="00FA0FC2">
        <w:rPr>
          <w:rStyle w:val="hps"/>
          <w:sz w:val="30"/>
          <w:rtl/>
          <w:lang/>
        </w:rPr>
        <w:t>رحيل</w:t>
      </w:r>
      <w:r w:rsidRPr="00FA0FC2">
        <w:rPr>
          <w:sz w:val="30"/>
          <w:rtl/>
          <w:lang/>
        </w:rPr>
        <w:t xml:space="preserve"> </w:t>
      </w:r>
      <w:r w:rsidRPr="00FA0FC2">
        <w:rPr>
          <w:rStyle w:val="hps"/>
          <w:rFonts w:hint="cs"/>
          <w:sz w:val="30"/>
          <w:rtl/>
          <w:lang/>
        </w:rPr>
        <w:t>أسرته</w:t>
      </w:r>
      <w:r w:rsidRPr="00FA0FC2">
        <w:rPr>
          <w:sz w:val="30"/>
          <w:rtl/>
          <w:lang/>
        </w:rPr>
        <w:t>.</w:t>
      </w:r>
    </w:p>
    <w:p w:rsidR="00091373" w:rsidRPr="00FA0FC2" w:rsidRDefault="00091373" w:rsidP="00091373">
      <w:pPr>
        <w:pStyle w:val="SingleTxtGA"/>
        <w:rPr>
          <w:sz w:val="30"/>
          <w:rtl/>
          <w:lang/>
        </w:rPr>
      </w:pPr>
      <w:r w:rsidRPr="00FA0FC2">
        <w:rPr>
          <w:sz w:val="30"/>
          <w:rtl/>
          <w:lang w:val="fr-CH"/>
        </w:rPr>
        <w:t>2-4</w:t>
      </w:r>
      <w:r w:rsidRPr="00FA0FC2">
        <w:rPr>
          <w:sz w:val="30"/>
          <w:rtl/>
          <w:lang w:val="fr-CH"/>
        </w:rPr>
        <w:tab/>
      </w:r>
      <w:r w:rsidRPr="00FA0FC2">
        <w:rPr>
          <w:rFonts w:hint="cs"/>
          <w:sz w:val="30"/>
          <w:rtl/>
          <w:lang w:val="fr-CH"/>
        </w:rPr>
        <w:t>و</w:t>
      </w:r>
      <w:r w:rsidRPr="00FA0FC2">
        <w:rPr>
          <w:rStyle w:val="hps"/>
          <w:sz w:val="30"/>
          <w:rtl/>
          <w:lang/>
        </w:rPr>
        <w:t>في 12 كانون الثاني</w:t>
      </w:r>
      <w:r w:rsidRPr="00FA0FC2">
        <w:rPr>
          <w:rStyle w:val="hps"/>
          <w:rFonts w:hint="cs"/>
          <w:sz w:val="30"/>
          <w:rtl/>
          <w:lang/>
        </w:rPr>
        <w:t>/يناير</w:t>
      </w:r>
      <w:r w:rsidRPr="00FA0FC2">
        <w:rPr>
          <w:sz w:val="30"/>
          <w:rtl/>
          <w:lang/>
        </w:rPr>
        <w:t xml:space="preserve"> </w:t>
      </w:r>
      <w:r w:rsidRPr="00FA0FC2">
        <w:rPr>
          <w:rStyle w:val="hps"/>
          <w:sz w:val="30"/>
          <w:rtl/>
          <w:lang/>
        </w:rPr>
        <w:t>2010،</w:t>
      </w:r>
      <w:r w:rsidRPr="00FA0FC2">
        <w:rPr>
          <w:sz w:val="30"/>
          <w:rtl/>
          <w:lang/>
        </w:rPr>
        <w:t xml:space="preserve"> </w:t>
      </w:r>
      <w:r w:rsidRPr="00FA0FC2">
        <w:rPr>
          <w:rStyle w:val="hps"/>
          <w:sz w:val="30"/>
          <w:rtl/>
          <w:lang/>
        </w:rPr>
        <w:t>زار</w:t>
      </w:r>
      <w:r w:rsidRPr="00FA0FC2">
        <w:rPr>
          <w:sz w:val="30"/>
          <w:rtl/>
          <w:lang/>
        </w:rPr>
        <w:t xml:space="preserve"> </w:t>
      </w:r>
      <w:r w:rsidRPr="00FA0FC2">
        <w:rPr>
          <w:rStyle w:val="hps"/>
          <w:rFonts w:hint="cs"/>
          <w:sz w:val="30"/>
          <w:rtl/>
          <w:lang/>
        </w:rPr>
        <w:t>موظفون</w:t>
      </w:r>
      <w:r w:rsidRPr="00FA0FC2">
        <w:rPr>
          <w:sz w:val="30"/>
          <w:rtl/>
          <w:lang/>
        </w:rPr>
        <w:t xml:space="preserve"> </w:t>
      </w:r>
      <w:r w:rsidRPr="00FA0FC2">
        <w:rPr>
          <w:rStyle w:val="hps"/>
          <w:rFonts w:hint="cs"/>
          <w:sz w:val="30"/>
          <w:rtl/>
          <w:lang/>
        </w:rPr>
        <w:t>من جهاز الأمن منزل</w:t>
      </w:r>
      <w:r w:rsidRPr="00FA0FC2">
        <w:rPr>
          <w:sz w:val="30"/>
          <w:rtl/>
          <w:lang/>
        </w:rPr>
        <w:t xml:space="preserve">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عدن</w:t>
      </w:r>
      <w:r w:rsidRPr="00FA0FC2">
        <w:rPr>
          <w:sz w:val="30"/>
          <w:rtl/>
          <w:lang/>
        </w:rPr>
        <w:t xml:space="preserve">. </w:t>
      </w:r>
      <w:r w:rsidRPr="00FA0FC2">
        <w:rPr>
          <w:rStyle w:val="hps"/>
          <w:rFonts w:hint="cs"/>
          <w:sz w:val="30"/>
          <w:rtl/>
          <w:lang/>
        </w:rPr>
        <w:t>ونظراً لغيابه يومها،</w:t>
      </w:r>
      <w:r w:rsidRPr="00FA0FC2">
        <w:rPr>
          <w:sz w:val="30"/>
          <w:rtl/>
          <w:lang/>
        </w:rPr>
        <w:t xml:space="preserve"> تركوا</w:t>
      </w:r>
      <w:r w:rsidRPr="00FA0FC2">
        <w:rPr>
          <w:rFonts w:hint="cs"/>
          <w:sz w:val="30"/>
          <w:rtl/>
          <w:lang/>
        </w:rPr>
        <w:t xml:space="preserve"> له</w:t>
      </w:r>
      <w:r w:rsidRPr="00FA0FC2">
        <w:rPr>
          <w:sz w:val="30"/>
          <w:rtl/>
          <w:lang/>
        </w:rPr>
        <w:t xml:space="preserve"> </w:t>
      </w:r>
      <w:r w:rsidRPr="00FA0FC2">
        <w:rPr>
          <w:rStyle w:val="hps"/>
          <w:rFonts w:hint="cs"/>
          <w:sz w:val="30"/>
          <w:rtl/>
          <w:lang/>
        </w:rPr>
        <w:t xml:space="preserve">أمراً بالحضور </w:t>
      </w:r>
      <w:r w:rsidRPr="00FA0FC2">
        <w:rPr>
          <w:rStyle w:val="hps"/>
          <w:sz w:val="30"/>
          <w:rtl/>
          <w:lang/>
        </w:rPr>
        <w:t>صادر</w:t>
      </w:r>
      <w:r w:rsidRPr="00FA0FC2">
        <w:rPr>
          <w:rStyle w:val="hps"/>
          <w:rFonts w:hint="cs"/>
          <w:sz w:val="30"/>
          <w:rtl/>
          <w:lang/>
        </w:rPr>
        <w:t>اً</w:t>
      </w:r>
      <w:r w:rsidRPr="00FA0FC2">
        <w:rPr>
          <w:rStyle w:val="hps"/>
          <w:sz w:val="30"/>
          <w:rtl/>
          <w:lang/>
        </w:rPr>
        <w:t xml:space="preserve"> عن مديرية</w:t>
      </w:r>
      <w:r w:rsidRPr="00FA0FC2">
        <w:rPr>
          <w:sz w:val="30"/>
          <w:rtl/>
          <w:lang/>
        </w:rPr>
        <w:t xml:space="preserve"> </w:t>
      </w:r>
      <w:r w:rsidRPr="00FA0FC2">
        <w:rPr>
          <w:rStyle w:val="hps"/>
          <w:rFonts w:hint="cs"/>
          <w:sz w:val="30"/>
          <w:rtl/>
          <w:lang/>
        </w:rPr>
        <w:t>البريقة</w:t>
      </w:r>
      <w:r w:rsidRPr="00FA0FC2">
        <w:rPr>
          <w:rStyle w:val="hps"/>
          <w:sz w:val="30"/>
          <w:rtl/>
          <w:lang/>
        </w:rPr>
        <w:t xml:space="preserve"> </w:t>
      </w:r>
      <w:r w:rsidRPr="00FA0FC2">
        <w:rPr>
          <w:rStyle w:val="hps"/>
          <w:rFonts w:hint="cs"/>
          <w:sz w:val="30"/>
          <w:rtl/>
          <w:lang/>
        </w:rPr>
        <w:t>التابعة ل</w:t>
      </w:r>
      <w:r w:rsidRPr="00FA0FC2">
        <w:rPr>
          <w:rStyle w:val="hps"/>
          <w:sz w:val="30"/>
          <w:rtl/>
          <w:lang/>
        </w:rPr>
        <w:t>وزارة</w:t>
      </w:r>
      <w:r w:rsidRPr="00FA0FC2">
        <w:rPr>
          <w:sz w:val="30"/>
          <w:rtl/>
          <w:lang/>
        </w:rPr>
        <w:t xml:space="preserve"> </w:t>
      </w:r>
      <w:r w:rsidRPr="00FA0FC2">
        <w:rPr>
          <w:rStyle w:val="hps"/>
          <w:sz w:val="30"/>
          <w:rtl/>
          <w:lang/>
        </w:rPr>
        <w:t>الداخلية</w:t>
      </w:r>
      <w:r w:rsidRPr="00FA0FC2">
        <w:rPr>
          <w:sz w:val="30"/>
          <w:rtl/>
          <w:lang/>
        </w:rPr>
        <w:t xml:space="preserve">. </w:t>
      </w:r>
      <w:r w:rsidRPr="00FA0FC2">
        <w:rPr>
          <w:rStyle w:val="hps"/>
          <w:rFonts w:hint="cs"/>
          <w:sz w:val="30"/>
          <w:rtl/>
          <w:lang/>
        </w:rPr>
        <w:t>ويشير هذا الأمر إلى</w:t>
      </w:r>
      <w:r w:rsidRPr="00FA0FC2">
        <w:rPr>
          <w:rStyle w:val="hps"/>
          <w:sz w:val="30"/>
          <w:rtl/>
          <w:lang/>
        </w:rPr>
        <w:t xml:space="preserve"> ال</w:t>
      </w:r>
      <w:r>
        <w:rPr>
          <w:rStyle w:val="hps"/>
          <w:sz w:val="30"/>
          <w:rtl/>
          <w:lang/>
        </w:rPr>
        <w:t>مادة </w:t>
      </w:r>
      <w:r w:rsidRPr="00FA0FC2">
        <w:rPr>
          <w:rStyle w:val="hps"/>
          <w:sz w:val="30"/>
          <w:rtl/>
          <w:lang/>
        </w:rPr>
        <w:t>64</w:t>
      </w:r>
      <w:r w:rsidRPr="00FA0FC2">
        <w:rPr>
          <w:sz w:val="30"/>
          <w:rtl/>
          <w:lang/>
        </w:rPr>
        <w:t xml:space="preserve"> </w:t>
      </w:r>
      <w:r w:rsidRPr="00FA0FC2">
        <w:rPr>
          <w:rStyle w:val="hps"/>
          <w:sz w:val="30"/>
          <w:rtl/>
          <w:lang/>
        </w:rPr>
        <w:t>من القانون الجنائي</w:t>
      </w:r>
      <w:r w:rsidRPr="00FA0FC2">
        <w:rPr>
          <w:sz w:val="30"/>
          <w:rtl/>
          <w:lang/>
        </w:rPr>
        <w:t xml:space="preserve">. </w:t>
      </w:r>
      <w:r w:rsidRPr="00FA0FC2">
        <w:rPr>
          <w:rFonts w:hint="cs"/>
          <w:sz w:val="30"/>
          <w:rtl/>
          <w:lang/>
        </w:rPr>
        <w:t xml:space="preserve">وامتثل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sz w:val="30"/>
          <w:rtl/>
          <w:lang/>
        </w:rPr>
        <w:t>لل</w:t>
      </w:r>
      <w:r w:rsidRPr="00FA0FC2">
        <w:rPr>
          <w:sz w:val="30"/>
          <w:rtl/>
          <w:lang/>
        </w:rPr>
        <w:t>أمر</w:t>
      </w:r>
      <w:r w:rsidRPr="00FA0FC2">
        <w:rPr>
          <w:rFonts w:hint="cs"/>
          <w:sz w:val="30"/>
          <w:rtl/>
          <w:lang/>
        </w:rPr>
        <w:t xml:space="preserve">، وتوجه إلى مركز شرطة البريقة حيث تعرض للتهديد اللفظي </w:t>
      </w:r>
      <w:r w:rsidRPr="00FA0FC2">
        <w:rPr>
          <w:rStyle w:val="hps"/>
          <w:sz w:val="30"/>
          <w:rtl/>
          <w:lang/>
        </w:rPr>
        <w:t>واحتجز لمدة</w:t>
      </w:r>
      <w:r w:rsidRPr="00FA0FC2">
        <w:rPr>
          <w:sz w:val="30"/>
          <w:rtl/>
          <w:lang/>
        </w:rPr>
        <w:t xml:space="preserve"> </w:t>
      </w:r>
      <w:r w:rsidRPr="00FA0FC2">
        <w:rPr>
          <w:rStyle w:val="hps"/>
          <w:sz w:val="30"/>
          <w:rtl/>
          <w:lang/>
        </w:rPr>
        <w:t>24 ساعة</w:t>
      </w:r>
      <w:r w:rsidRPr="00FA0FC2">
        <w:rPr>
          <w:sz w:val="30"/>
          <w:rtl/>
          <w:lang/>
        </w:rPr>
        <w:t>.</w:t>
      </w:r>
    </w:p>
    <w:p w:rsidR="00091373" w:rsidRPr="00FA0FC2" w:rsidRDefault="00091373" w:rsidP="00091373">
      <w:pPr>
        <w:pStyle w:val="SingleTxtGA"/>
        <w:rPr>
          <w:rStyle w:val="hps"/>
          <w:rFonts w:hint="cs"/>
          <w:sz w:val="30"/>
          <w:rtl/>
          <w:lang/>
        </w:rPr>
      </w:pPr>
      <w:r w:rsidRPr="00FA0FC2">
        <w:rPr>
          <w:sz w:val="30"/>
          <w:rtl/>
          <w:lang w:val="fr-CH"/>
        </w:rPr>
        <w:t>2-5</w:t>
      </w:r>
      <w:r w:rsidRPr="00FA0FC2">
        <w:rPr>
          <w:sz w:val="30"/>
          <w:rtl/>
          <w:lang w:val="fr-CH"/>
        </w:rPr>
        <w:tab/>
      </w:r>
      <w:r w:rsidRPr="00FA0FC2">
        <w:rPr>
          <w:rFonts w:hint="cs"/>
          <w:sz w:val="30"/>
          <w:rtl/>
          <w:lang w:val="fr-CH"/>
        </w:rPr>
        <w:t>و</w:t>
      </w:r>
      <w:r w:rsidRPr="00FA0FC2">
        <w:rPr>
          <w:rStyle w:val="hps"/>
          <w:sz w:val="30"/>
          <w:rtl/>
          <w:lang/>
        </w:rPr>
        <w:t>في 19 كانون الثاني</w:t>
      </w:r>
      <w:r w:rsidRPr="00FA0FC2">
        <w:rPr>
          <w:rStyle w:val="hps"/>
          <w:rFonts w:hint="cs"/>
          <w:sz w:val="30"/>
          <w:rtl/>
          <w:lang/>
        </w:rPr>
        <w:t>/يناير</w:t>
      </w:r>
      <w:r w:rsidRPr="00FA0FC2">
        <w:rPr>
          <w:sz w:val="30"/>
          <w:rtl/>
          <w:lang/>
        </w:rPr>
        <w:t xml:space="preserve"> </w:t>
      </w:r>
      <w:r w:rsidRPr="00FA0FC2">
        <w:rPr>
          <w:rStyle w:val="hps"/>
          <w:sz w:val="30"/>
          <w:rtl/>
          <w:lang/>
        </w:rPr>
        <w:t>2010،</w:t>
      </w:r>
      <w:r w:rsidRPr="00FA0FC2">
        <w:rPr>
          <w:sz w:val="30"/>
          <w:rtl/>
          <w:lang/>
        </w:rPr>
        <w:t xml:space="preserve"> </w:t>
      </w:r>
      <w:r w:rsidRPr="00FA0FC2">
        <w:rPr>
          <w:rStyle w:val="hps"/>
          <w:sz w:val="30"/>
          <w:rtl/>
          <w:lang/>
        </w:rPr>
        <w:t>غادر</w:t>
      </w:r>
      <w:r w:rsidRPr="00FA0FC2">
        <w:rPr>
          <w:sz w:val="30"/>
          <w:rtl/>
          <w:lang/>
        </w:rPr>
        <w:t xml:space="preserve"> </w:t>
      </w:r>
      <w:r w:rsidRPr="00FA0FC2">
        <w:rPr>
          <w:rStyle w:val="hps"/>
          <w:rFonts w:hint="cs"/>
          <w:sz w:val="30"/>
          <w:rtl/>
          <w:lang/>
        </w:rPr>
        <w:t>أصحاب الشكوى</w:t>
      </w:r>
      <w:r w:rsidRPr="00FA0FC2">
        <w:rPr>
          <w:sz w:val="30"/>
          <w:rtl/>
          <w:lang/>
        </w:rPr>
        <w:t xml:space="preserve"> </w:t>
      </w:r>
      <w:r w:rsidRPr="00FA0FC2">
        <w:rPr>
          <w:rStyle w:val="hps"/>
          <w:sz w:val="30"/>
          <w:rtl/>
          <w:lang/>
        </w:rPr>
        <w:t>اليمن</w:t>
      </w:r>
      <w:r w:rsidRPr="00FA0FC2">
        <w:rPr>
          <w:sz w:val="30"/>
          <w:rtl/>
          <w:lang/>
        </w:rPr>
        <w:t xml:space="preserve"> </w:t>
      </w:r>
      <w:r w:rsidRPr="00FA0FC2">
        <w:rPr>
          <w:rStyle w:val="hps"/>
          <w:rFonts w:hint="cs"/>
          <w:sz w:val="30"/>
          <w:rtl/>
          <w:lang/>
        </w:rPr>
        <w:t xml:space="preserve">عن طريق الجو وبحوزتهم </w:t>
      </w:r>
      <w:r w:rsidRPr="00FA0FC2">
        <w:rPr>
          <w:rStyle w:val="hps"/>
          <w:sz w:val="30"/>
          <w:rtl/>
          <w:lang/>
        </w:rPr>
        <w:t>تأشيرة</w:t>
      </w:r>
      <w:r w:rsidRPr="00FA0FC2">
        <w:rPr>
          <w:sz w:val="30"/>
          <w:rtl/>
          <w:lang/>
        </w:rPr>
        <w:t xml:space="preserve"> </w:t>
      </w:r>
      <w:r w:rsidRPr="00FA0FC2">
        <w:rPr>
          <w:rStyle w:val="hps"/>
          <w:sz w:val="30"/>
          <w:rtl/>
          <w:lang/>
        </w:rPr>
        <w:t>شنغن</w:t>
      </w:r>
      <w:r w:rsidRPr="00FA0FC2">
        <w:rPr>
          <w:sz w:val="30"/>
          <w:rtl/>
          <w:lang/>
        </w:rPr>
        <w:t xml:space="preserve"> </w:t>
      </w:r>
      <w:r w:rsidRPr="00FA0FC2">
        <w:rPr>
          <w:rStyle w:val="hps"/>
          <w:sz w:val="30"/>
          <w:rtl/>
          <w:lang/>
        </w:rPr>
        <w:t>صادرة عن السفارة</w:t>
      </w:r>
      <w:r w:rsidRPr="00FA0FC2">
        <w:rPr>
          <w:sz w:val="30"/>
          <w:rtl/>
          <w:lang/>
        </w:rPr>
        <w:t xml:space="preserve"> </w:t>
      </w:r>
      <w:r w:rsidRPr="00FA0FC2">
        <w:rPr>
          <w:rStyle w:val="hps"/>
          <w:sz w:val="30"/>
          <w:rtl/>
          <w:lang/>
        </w:rPr>
        <w:t>الإيطالية</w:t>
      </w:r>
      <w:r w:rsidRPr="00FA0FC2">
        <w:rPr>
          <w:rStyle w:val="hps"/>
          <w:rFonts w:hint="cs"/>
          <w:sz w:val="30"/>
          <w:rtl/>
          <w:lang/>
        </w:rPr>
        <w:t xml:space="preserve">، </w:t>
      </w:r>
      <w:r w:rsidRPr="00FA0FC2">
        <w:rPr>
          <w:rFonts w:hint="cs"/>
          <w:sz w:val="30"/>
          <w:rtl/>
          <w:lang/>
        </w:rPr>
        <w:t>وتوجهوا</w:t>
      </w:r>
      <w:r w:rsidRPr="00FA0FC2">
        <w:rPr>
          <w:sz w:val="30"/>
          <w:rtl/>
          <w:lang/>
        </w:rPr>
        <w:t xml:space="preserve"> </w:t>
      </w:r>
      <w:r w:rsidRPr="00FA0FC2">
        <w:rPr>
          <w:rStyle w:val="hps"/>
          <w:sz w:val="30"/>
          <w:rtl/>
          <w:lang/>
        </w:rPr>
        <w:t>إلى ميلانو</w:t>
      </w:r>
      <w:r w:rsidRPr="00FA0FC2">
        <w:rPr>
          <w:rFonts w:hint="cs"/>
          <w:sz w:val="30"/>
          <w:rtl/>
          <w:lang/>
        </w:rPr>
        <w:t xml:space="preserve"> في رحلة مرت ب</w:t>
      </w:r>
      <w:r w:rsidRPr="00FA0FC2">
        <w:rPr>
          <w:rStyle w:val="hps"/>
          <w:sz w:val="30"/>
          <w:rtl/>
          <w:lang/>
        </w:rPr>
        <w:t>القاهرة</w:t>
      </w:r>
      <w:r w:rsidRPr="00FA0FC2">
        <w:rPr>
          <w:sz w:val="30"/>
          <w:rtl/>
          <w:lang/>
        </w:rPr>
        <w:t>.</w:t>
      </w:r>
      <w:r>
        <w:rPr>
          <w:sz w:val="30"/>
          <w:rtl/>
          <w:lang/>
        </w:rPr>
        <w:t xml:space="preserve"> وفي </w:t>
      </w:r>
      <w:r w:rsidRPr="00FA0FC2">
        <w:rPr>
          <w:rStyle w:val="hps"/>
          <w:sz w:val="30"/>
          <w:rtl/>
          <w:lang/>
        </w:rPr>
        <w:t>21 كانون الثاني</w:t>
      </w:r>
      <w:r w:rsidRPr="00FA0FC2">
        <w:rPr>
          <w:rStyle w:val="hps"/>
          <w:rFonts w:hint="cs"/>
          <w:sz w:val="30"/>
          <w:rtl/>
          <w:lang/>
        </w:rPr>
        <w:t>/يناير</w:t>
      </w:r>
      <w:r w:rsidRPr="00FA0FC2">
        <w:rPr>
          <w:sz w:val="30"/>
          <w:rtl/>
          <w:lang/>
        </w:rPr>
        <w:t xml:space="preserve"> </w:t>
      </w:r>
      <w:r w:rsidRPr="00FA0FC2">
        <w:rPr>
          <w:rStyle w:val="hps"/>
          <w:sz w:val="30"/>
          <w:rtl/>
          <w:lang/>
        </w:rPr>
        <w:t>2010،</w:t>
      </w:r>
      <w:r w:rsidRPr="00FA0FC2">
        <w:rPr>
          <w:sz w:val="30"/>
          <w:rtl/>
          <w:lang/>
        </w:rPr>
        <w:t xml:space="preserve"> </w:t>
      </w:r>
      <w:r w:rsidRPr="00FA0FC2">
        <w:rPr>
          <w:rStyle w:val="hps"/>
          <w:sz w:val="30"/>
          <w:rtl/>
          <w:lang/>
        </w:rPr>
        <w:t>وصلوا</w:t>
      </w:r>
      <w:r w:rsidRPr="00FA0FC2">
        <w:rPr>
          <w:sz w:val="30"/>
          <w:rtl/>
          <w:lang/>
        </w:rPr>
        <w:t xml:space="preserve"> </w:t>
      </w:r>
      <w:r w:rsidRPr="00FA0FC2">
        <w:rPr>
          <w:rStyle w:val="hps"/>
          <w:rFonts w:hint="cs"/>
          <w:sz w:val="30"/>
          <w:rtl/>
          <w:lang/>
        </w:rPr>
        <w:t>إلى</w:t>
      </w:r>
      <w:r w:rsidRPr="00FA0FC2">
        <w:rPr>
          <w:sz w:val="30"/>
          <w:rtl/>
          <w:lang/>
        </w:rPr>
        <w:t xml:space="preserve"> </w:t>
      </w:r>
      <w:r w:rsidRPr="00FA0FC2">
        <w:rPr>
          <w:rStyle w:val="hps"/>
          <w:sz w:val="30"/>
          <w:rtl/>
          <w:lang/>
        </w:rPr>
        <w:t>سويسرا</w:t>
      </w:r>
      <w:r w:rsidRPr="00FA0FC2">
        <w:rPr>
          <w:sz w:val="30"/>
          <w:rtl/>
          <w:lang/>
        </w:rPr>
        <w:t xml:space="preserve"> </w:t>
      </w:r>
      <w:r w:rsidRPr="00FA0FC2">
        <w:rPr>
          <w:rStyle w:val="hps"/>
          <w:sz w:val="30"/>
          <w:rtl/>
          <w:lang/>
        </w:rPr>
        <w:t>و</w:t>
      </w:r>
      <w:r w:rsidRPr="00FA0FC2">
        <w:rPr>
          <w:rStyle w:val="hps"/>
          <w:rFonts w:hint="cs"/>
          <w:sz w:val="30"/>
          <w:rtl/>
          <w:lang/>
        </w:rPr>
        <w:t>قدموا طلب</w:t>
      </w:r>
      <w:r w:rsidRPr="00FA0FC2">
        <w:rPr>
          <w:rStyle w:val="hps"/>
          <w:sz w:val="30"/>
          <w:rtl/>
          <w:lang/>
        </w:rPr>
        <w:t xml:space="preserve"> لجوء</w:t>
      </w:r>
      <w:r w:rsidRPr="00FA0FC2">
        <w:rPr>
          <w:sz w:val="30"/>
          <w:vertAlign w:val="superscript"/>
          <w:rtl/>
          <w:lang w:val="fr-CH"/>
        </w:rPr>
        <w:t>(</w:t>
      </w:r>
      <w:r w:rsidRPr="00FA0FC2">
        <w:rPr>
          <w:rStyle w:val="FootnoteReference"/>
          <w:sz w:val="30"/>
          <w:rtl/>
          <w:lang w:val="fr-CH"/>
        </w:rPr>
        <w:footnoteReference w:id="254"/>
      </w:r>
      <w:r w:rsidRPr="00FA0FC2">
        <w:rPr>
          <w:sz w:val="30"/>
          <w:vertAlign w:val="superscript"/>
          <w:rtl/>
          <w:lang w:val="fr-CH"/>
        </w:rPr>
        <w:t>)</w:t>
      </w:r>
      <w:r w:rsidRPr="00FA0FC2">
        <w:rPr>
          <w:rFonts w:hint="cs"/>
          <w:sz w:val="30"/>
          <w:rtl/>
          <w:lang w:val="fr-CH"/>
        </w:rPr>
        <w:t>.</w:t>
      </w:r>
    </w:p>
    <w:p w:rsidR="00091373" w:rsidRPr="00FA0FC2" w:rsidRDefault="00091373" w:rsidP="00091373">
      <w:pPr>
        <w:pStyle w:val="SingleTxtGA"/>
        <w:rPr>
          <w:rStyle w:val="hps"/>
          <w:sz w:val="30"/>
          <w:rtl/>
          <w:lang/>
        </w:rPr>
      </w:pPr>
      <w:r w:rsidRPr="00FA0FC2">
        <w:rPr>
          <w:sz w:val="30"/>
          <w:rtl/>
          <w:lang w:val="fr-CH"/>
        </w:rPr>
        <w:t>2-6</w:t>
      </w:r>
      <w:r w:rsidRPr="00FA0FC2">
        <w:rPr>
          <w:sz w:val="30"/>
          <w:rtl/>
          <w:lang w:val="fr-CH"/>
        </w:rPr>
        <w:tab/>
      </w:r>
      <w:r w:rsidRPr="00FA0FC2">
        <w:rPr>
          <w:rFonts w:hint="cs"/>
          <w:sz w:val="30"/>
          <w:rtl/>
          <w:lang w:val="fr-CH"/>
        </w:rPr>
        <w:t xml:space="preserve">فصاحب </w:t>
      </w:r>
      <w:r w:rsidRPr="00FA0FC2">
        <w:rPr>
          <w:rStyle w:val="hps"/>
          <w:sz w:val="30"/>
          <w:rtl/>
          <w:lang/>
        </w:rPr>
        <w:t>الشكوى</w:t>
      </w:r>
      <w:r w:rsidRPr="00FA0FC2">
        <w:rPr>
          <w:sz w:val="30"/>
          <w:rtl/>
          <w:lang/>
        </w:rPr>
        <w:t xml:space="preserve"> </w:t>
      </w:r>
      <w:r w:rsidRPr="00FA0FC2">
        <w:rPr>
          <w:rStyle w:val="hps"/>
          <w:sz w:val="30"/>
          <w:rtl/>
          <w:lang/>
        </w:rPr>
        <w:t>الأول</w:t>
      </w:r>
      <w:r w:rsidRPr="00FA0FC2">
        <w:rPr>
          <w:rStyle w:val="hps"/>
          <w:rFonts w:hint="cs"/>
          <w:sz w:val="30"/>
          <w:rtl/>
          <w:lang/>
        </w:rPr>
        <w:t xml:space="preserve"> هو</w:t>
      </w:r>
      <w:r w:rsidRPr="00FA0FC2">
        <w:rPr>
          <w:rStyle w:val="hps"/>
          <w:sz w:val="30"/>
          <w:rtl/>
          <w:lang/>
        </w:rPr>
        <w:t xml:space="preserve"> </w:t>
      </w:r>
      <w:r w:rsidRPr="00FA0FC2">
        <w:rPr>
          <w:rStyle w:val="hps"/>
          <w:rFonts w:hint="cs"/>
          <w:sz w:val="30"/>
          <w:rtl/>
          <w:lang/>
        </w:rPr>
        <w:t>أحد أعضاء</w:t>
      </w:r>
      <w:r w:rsidRPr="00FA0FC2">
        <w:rPr>
          <w:sz w:val="30"/>
          <w:rtl/>
          <w:lang/>
        </w:rPr>
        <w:t xml:space="preserve"> </w:t>
      </w:r>
      <w:r w:rsidRPr="00FA0FC2">
        <w:rPr>
          <w:rStyle w:val="hps"/>
          <w:sz w:val="30"/>
          <w:rtl/>
          <w:lang/>
        </w:rPr>
        <w:t>الحراك الجنوبي</w:t>
      </w:r>
      <w:r w:rsidRPr="00FA0FC2">
        <w:rPr>
          <w:rStyle w:val="hps"/>
          <w:rFonts w:hint="cs"/>
          <w:sz w:val="30"/>
          <w:rtl/>
          <w:lang/>
        </w:rPr>
        <w:t xml:space="preserve"> الفاعلين</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سويسرا</w:t>
      </w:r>
      <w:r w:rsidRPr="00FA0FC2">
        <w:rPr>
          <w:sz w:val="30"/>
          <w:rtl/>
          <w:lang/>
        </w:rPr>
        <w:t xml:space="preserve">، </w:t>
      </w:r>
      <w:r w:rsidRPr="00FA0FC2">
        <w:rPr>
          <w:rStyle w:val="hps"/>
          <w:rFonts w:hint="cs"/>
          <w:sz w:val="30"/>
          <w:rtl/>
          <w:lang/>
        </w:rPr>
        <w:t>وهو المنظمة التي يشير إليها أصحاب الشكوى مرة باسم</w:t>
      </w:r>
      <w:r w:rsidRPr="00FA0FC2">
        <w:rPr>
          <w:sz w:val="30"/>
          <w:rtl/>
          <w:lang/>
        </w:rPr>
        <w:t xml:space="preserve"> </w:t>
      </w:r>
      <w:r w:rsidRPr="00FA0FC2">
        <w:rPr>
          <w:rStyle w:val="hps"/>
          <w:sz w:val="30"/>
          <w:rtl/>
          <w:lang/>
        </w:rPr>
        <w:t>التجمع الديمقراطي الجنوبي</w:t>
      </w:r>
      <w:r w:rsidRPr="00FA0FC2">
        <w:rPr>
          <w:sz w:val="30"/>
          <w:rtl/>
          <w:lang/>
        </w:rPr>
        <w:t xml:space="preserve"> </w:t>
      </w:r>
      <w:r w:rsidRPr="00FA0FC2">
        <w:rPr>
          <w:rStyle w:val="hps"/>
          <w:rFonts w:hint="cs"/>
          <w:sz w:val="30"/>
          <w:rtl/>
          <w:lang/>
        </w:rPr>
        <w:t xml:space="preserve">ومرة باسم </w:t>
      </w:r>
      <w:r w:rsidRPr="00FA0FC2">
        <w:rPr>
          <w:sz w:val="30"/>
          <w:rtl/>
          <w:lang/>
        </w:rPr>
        <w:t xml:space="preserve">الحراك الجنوبي. </w:t>
      </w:r>
      <w:r w:rsidRPr="00FA0FC2">
        <w:rPr>
          <w:rStyle w:val="hps"/>
          <w:rFonts w:hint="cs"/>
          <w:sz w:val="30"/>
          <w:rtl/>
          <w:lang/>
        </w:rPr>
        <w:t xml:space="preserve">وصاحب الشكوى الأول مسؤول عن </w:t>
      </w:r>
      <w:r w:rsidRPr="00FA0FC2">
        <w:rPr>
          <w:rStyle w:val="hps"/>
          <w:sz w:val="30"/>
          <w:rtl/>
          <w:lang/>
        </w:rPr>
        <w:t>العلاقات العامة</w:t>
      </w:r>
      <w:r w:rsidRPr="00FA0FC2">
        <w:rPr>
          <w:sz w:val="30"/>
          <w:rtl/>
          <w:lang/>
        </w:rPr>
        <w:t xml:space="preserve"> </w:t>
      </w:r>
      <w:r w:rsidRPr="00FA0FC2">
        <w:rPr>
          <w:rStyle w:val="hps"/>
          <w:sz w:val="30"/>
          <w:rtl/>
          <w:lang/>
        </w:rPr>
        <w:t>لل</w:t>
      </w:r>
      <w:r w:rsidRPr="00FA0FC2">
        <w:rPr>
          <w:rStyle w:val="hps"/>
          <w:rFonts w:hint="cs"/>
          <w:sz w:val="30"/>
          <w:rtl/>
          <w:lang/>
        </w:rPr>
        <w:t>حراك</w:t>
      </w:r>
      <w:r w:rsidRPr="00FA0FC2">
        <w:rPr>
          <w:sz w:val="30"/>
          <w:rtl/>
          <w:lang/>
        </w:rPr>
        <w:t xml:space="preserve"> </w:t>
      </w:r>
      <w:r w:rsidRPr="00FA0FC2">
        <w:rPr>
          <w:rStyle w:val="hps"/>
          <w:sz w:val="30"/>
          <w:rtl/>
          <w:lang/>
        </w:rPr>
        <w:t>في كانتون</w:t>
      </w:r>
      <w:r w:rsidRPr="00FA0FC2">
        <w:rPr>
          <w:sz w:val="30"/>
          <w:rtl/>
          <w:lang/>
        </w:rPr>
        <w:t xml:space="preserve"> </w:t>
      </w:r>
      <w:r w:rsidRPr="00FA0FC2">
        <w:rPr>
          <w:rStyle w:val="hps"/>
          <w:sz w:val="30"/>
          <w:rtl/>
          <w:lang/>
        </w:rPr>
        <w:t>فريبورغ</w:t>
      </w:r>
      <w:r w:rsidRPr="00FA0FC2">
        <w:rPr>
          <w:sz w:val="30"/>
          <w:rtl/>
          <w:lang/>
        </w:rPr>
        <w:t xml:space="preserve">. </w:t>
      </w:r>
      <w:r w:rsidRPr="00FA0FC2">
        <w:rPr>
          <w:rFonts w:hint="cs"/>
          <w:sz w:val="30"/>
          <w:rtl/>
          <w:lang/>
        </w:rPr>
        <w:t xml:space="preserve">وكان </w:t>
      </w:r>
      <w:r w:rsidRPr="00FA0FC2">
        <w:rPr>
          <w:rStyle w:val="hps"/>
          <w:sz w:val="30"/>
          <w:rtl/>
          <w:lang/>
        </w:rPr>
        <w:t>يحضر</w:t>
      </w:r>
      <w:r w:rsidRPr="00FA0FC2">
        <w:rPr>
          <w:sz w:val="30"/>
          <w:rtl/>
          <w:lang/>
        </w:rPr>
        <w:t xml:space="preserve"> </w:t>
      </w:r>
      <w:r w:rsidRPr="00FA0FC2">
        <w:rPr>
          <w:rStyle w:val="hps"/>
          <w:sz w:val="30"/>
          <w:rtl/>
          <w:lang/>
        </w:rPr>
        <w:t>بانتظام</w:t>
      </w:r>
      <w:r w:rsidRPr="00FA0FC2">
        <w:rPr>
          <w:sz w:val="30"/>
          <w:rtl/>
          <w:lang/>
        </w:rPr>
        <w:t xml:space="preserve"> </w:t>
      </w:r>
      <w:r w:rsidRPr="00FA0FC2">
        <w:rPr>
          <w:rStyle w:val="hps"/>
          <w:sz w:val="30"/>
          <w:rtl/>
          <w:lang/>
        </w:rPr>
        <w:t>الاجتماعات و</w:t>
      </w:r>
      <w:r w:rsidRPr="00FA0FC2">
        <w:rPr>
          <w:sz w:val="30"/>
          <w:rtl/>
          <w:lang/>
        </w:rPr>
        <w:t xml:space="preserve">المظاهرات. </w:t>
      </w:r>
      <w:r w:rsidRPr="00FA0FC2">
        <w:rPr>
          <w:rStyle w:val="hps"/>
          <w:rFonts w:hint="cs"/>
          <w:sz w:val="30"/>
          <w:rtl/>
          <w:lang/>
        </w:rPr>
        <w:t>وبسبب</w:t>
      </w:r>
      <w:r w:rsidRPr="00FA0FC2">
        <w:rPr>
          <w:sz w:val="30"/>
          <w:rtl/>
          <w:lang/>
        </w:rPr>
        <w:t xml:space="preserve"> </w:t>
      </w:r>
      <w:r w:rsidRPr="00FA0FC2">
        <w:rPr>
          <w:rStyle w:val="hps"/>
          <w:sz w:val="30"/>
          <w:rtl/>
          <w:lang/>
        </w:rPr>
        <w:t>الاضطرابات</w:t>
      </w:r>
      <w:r w:rsidRPr="00FA0FC2">
        <w:rPr>
          <w:sz w:val="30"/>
          <w:rtl/>
          <w:lang/>
        </w:rPr>
        <w:t xml:space="preserve"> </w:t>
      </w:r>
      <w:r w:rsidRPr="00FA0FC2">
        <w:rPr>
          <w:rStyle w:val="hps"/>
          <w:rFonts w:hint="cs"/>
          <w:sz w:val="30"/>
          <w:rtl/>
          <w:lang/>
        </w:rPr>
        <w:t>التي شهدها</w:t>
      </w:r>
      <w:r w:rsidRPr="00FA0FC2">
        <w:rPr>
          <w:sz w:val="30"/>
          <w:rtl/>
          <w:lang/>
        </w:rPr>
        <w:t xml:space="preserve"> </w:t>
      </w:r>
      <w:r w:rsidRPr="00FA0FC2">
        <w:rPr>
          <w:rStyle w:val="hps"/>
          <w:sz w:val="30"/>
          <w:rtl/>
          <w:lang/>
        </w:rPr>
        <w:t>اليمن</w:t>
      </w:r>
      <w:r w:rsidRPr="00FA0FC2">
        <w:rPr>
          <w:sz w:val="30"/>
          <w:rtl/>
          <w:lang/>
        </w:rPr>
        <w:t xml:space="preserve">، </w:t>
      </w:r>
      <w:r w:rsidRPr="00FA0FC2">
        <w:rPr>
          <w:rFonts w:hint="cs"/>
          <w:sz w:val="30"/>
          <w:rtl/>
          <w:lang/>
        </w:rPr>
        <w:t xml:space="preserve">كثف </w:t>
      </w:r>
      <w:r w:rsidRPr="00FA0FC2">
        <w:rPr>
          <w:rStyle w:val="hps"/>
          <w:rFonts w:hint="cs"/>
          <w:sz w:val="30"/>
          <w:rtl/>
          <w:lang/>
        </w:rPr>
        <w:t>صاحب الشكوى الأول نشاطه</w:t>
      </w:r>
      <w:r w:rsidRPr="00FA0FC2">
        <w:rPr>
          <w:sz w:val="30"/>
          <w:rtl/>
          <w:lang/>
        </w:rPr>
        <w:t xml:space="preserve"> </w:t>
      </w:r>
      <w:r w:rsidRPr="00FA0FC2">
        <w:rPr>
          <w:rStyle w:val="hps"/>
          <w:sz w:val="30"/>
          <w:rtl/>
          <w:lang/>
        </w:rPr>
        <w:t>داخل</w:t>
      </w:r>
      <w:r w:rsidRPr="00FA0FC2">
        <w:rPr>
          <w:rStyle w:val="hps"/>
          <w:rFonts w:hint="cs"/>
          <w:sz w:val="30"/>
          <w:rtl/>
          <w:lang/>
        </w:rPr>
        <w:t xml:space="preserve"> هذه</w:t>
      </w:r>
      <w:r w:rsidRPr="00FA0FC2">
        <w:rPr>
          <w:rStyle w:val="hps"/>
          <w:sz w:val="30"/>
          <w:rtl/>
          <w:lang/>
        </w:rPr>
        <w:t xml:space="preserve"> المنظمة</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سويسرا</w:t>
      </w:r>
      <w:r w:rsidRPr="00FA0FC2">
        <w:rPr>
          <w:rFonts w:hint="cs"/>
          <w:sz w:val="30"/>
          <w:rtl/>
          <w:lang/>
        </w:rPr>
        <w:t>. وقد قدم</w:t>
      </w:r>
      <w:r w:rsidRPr="00FA0FC2">
        <w:rPr>
          <w:sz w:val="30"/>
          <w:rtl/>
          <w:lang/>
        </w:rPr>
        <w:t xml:space="preserve"> </w:t>
      </w:r>
      <w:r w:rsidRPr="00FA0FC2">
        <w:rPr>
          <w:rStyle w:val="hps"/>
          <w:sz w:val="30"/>
          <w:rtl/>
          <w:lang/>
        </w:rPr>
        <w:t xml:space="preserve">العديد من </w:t>
      </w:r>
      <w:r w:rsidRPr="00FA0FC2">
        <w:rPr>
          <w:rStyle w:val="hps"/>
          <w:rFonts w:hint="cs"/>
          <w:sz w:val="30"/>
          <w:rtl/>
          <w:lang/>
        </w:rPr>
        <w:t xml:space="preserve">الأعضاء البارزين في </w:t>
      </w:r>
      <w:r w:rsidRPr="00FA0FC2">
        <w:rPr>
          <w:rStyle w:val="hps"/>
          <w:sz w:val="30"/>
          <w:rtl/>
          <w:lang/>
        </w:rPr>
        <w:t>التجمع الديمقراطي الجنوبي</w:t>
      </w:r>
      <w:r w:rsidRPr="00FA0FC2">
        <w:rPr>
          <w:sz w:val="30"/>
          <w:rtl/>
          <w:lang/>
        </w:rPr>
        <w:t xml:space="preserve"> </w:t>
      </w:r>
      <w:r w:rsidRPr="00FA0FC2">
        <w:rPr>
          <w:rStyle w:val="hps"/>
          <w:sz w:val="30"/>
          <w:rtl/>
          <w:lang/>
        </w:rPr>
        <w:t>شهادات</w:t>
      </w:r>
      <w:r w:rsidRPr="00FA0FC2">
        <w:rPr>
          <w:sz w:val="30"/>
          <w:rtl/>
          <w:lang/>
        </w:rPr>
        <w:t xml:space="preserve"> </w:t>
      </w:r>
      <w:r w:rsidRPr="00FA0FC2">
        <w:rPr>
          <w:rStyle w:val="hps"/>
          <w:sz w:val="30"/>
          <w:rtl/>
          <w:lang/>
        </w:rPr>
        <w:t>و</w:t>
      </w:r>
      <w:r w:rsidRPr="00FA0FC2">
        <w:rPr>
          <w:rStyle w:val="hps"/>
          <w:rFonts w:hint="cs"/>
          <w:sz w:val="30"/>
          <w:rtl/>
          <w:lang/>
        </w:rPr>
        <w:t>رسائل</w:t>
      </w:r>
      <w:r w:rsidRPr="00FA0FC2">
        <w:rPr>
          <w:sz w:val="30"/>
          <w:rtl/>
          <w:lang/>
        </w:rPr>
        <w:t xml:space="preserve"> </w:t>
      </w:r>
      <w:r w:rsidRPr="00FA0FC2">
        <w:rPr>
          <w:rStyle w:val="hps"/>
          <w:sz w:val="30"/>
          <w:rtl/>
          <w:lang/>
        </w:rPr>
        <w:t>لدعم</w:t>
      </w:r>
      <w:r w:rsidRPr="00FA0FC2">
        <w:rPr>
          <w:sz w:val="30"/>
          <w:rtl/>
          <w:lang/>
        </w:rPr>
        <w:t xml:space="preserve"> </w:t>
      </w:r>
      <w:r w:rsidRPr="00FA0FC2">
        <w:rPr>
          <w:rStyle w:val="hps"/>
          <w:sz w:val="30"/>
          <w:rtl/>
          <w:lang/>
        </w:rPr>
        <w:t>طلب اللجوء</w:t>
      </w:r>
      <w:r w:rsidRPr="00FA0FC2">
        <w:rPr>
          <w:rStyle w:val="hps"/>
          <w:rFonts w:hint="cs"/>
          <w:sz w:val="30"/>
          <w:rtl/>
          <w:lang/>
        </w:rPr>
        <w:t xml:space="preserve"> الذي قدمه</w:t>
      </w:r>
      <w:r w:rsidRPr="00FA0FC2">
        <w:rPr>
          <w:sz w:val="30"/>
          <w:rtl/>
          <w:lang/>
        </w:rPr>
        <w:t xml:space="preserve">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w:t>
      </w:r>
    </w:p>
    <w:p w:rsidR="00091373" w:rsidRPr="00FA0FC2" w:rsidRDefault="00091373" w:rsidP="00091373">
      <w:pPr>
        <w:pStyle w:val="SingleTxtGA"/>
        <w:rPr>
          <w:rStyle w:val="hps"/>
          <w:sz w:val="30"/>
          <w:rtl/>
          <w:lang/>
        </w:rPr>
      </w:pPr>
      <w:r w:rsidRPr="00FA0FC2">
        <w:rPr>
          <w:sz w:val="30"/>
          <w:rtl/>
          <w:lang w:val="fr-CH"/>
        </w:rPr>
        <w:t>2-7</w:t>
      </w:r>
      <w:r w:rsidRPr="00FA0FC2">
        <w:rPr>
          <w:sz w:val="30"/>
          <w:rtl/>
          <w:lang w:val="fr-CH"/>
        </w:rPr>
        <w:tab/>
      </w:r>
      <w:r w:rsidRPr="00FA0FC2">
        <w:rPr>
          <w:rStyle w:val="hps"/>
          <w:rFonts w:hint="cs"/>
          <w:sz w:val="30"/>
          <w:rtl/>
          <w:lang/>
        </w:rPr>
        <w:t>وفي</w:t>
      </w:r>
      <w:r w:rsidRPr="00FA0FC2">
        <w:rPr>
          <w:rStyle w:val="hps"/>
          <w:sz w:val="30"/>
          <w:rtl/>
          <w:lang/>
        </w:rPr>
        <w:t xml:space="preserve"> 27 </w:t>
      </w:r>
      <w:r w:rsidRPr="00FA0FC2">
        <w:rPr>
          <w:rStyle w:val="hps"/>
          <w:rFonts w:hint="cs"/>
          <w:sz w:val="30"/>
          <w:rtl/>
          <w:lang/>
        </w:rPr>
        <w:t>كانون الثاني/</w:t>
      </w:r>
      <w:r w:rsidRPr="00FA0FC2">
        <w:rPr>
          <w:rStyle w:val="hps"/>
          <w:sz w:val="30"/>
          <w:rtl/>
          <w:lang/>
        </w:rPr>
        <w:t>يناير</w:t>
      </w:r>
      <w:r w:rsidRPr="00FA0FC2">
        <w:rPr>
          <w:sz w:val="30"/>
          <w:rtl/>
          <w:lang/>
        </w:rPr>
        <w:t xml:space="preserve"> </w:t>
      </w:r>
      <w:r w:rsidRPr="00FA0FC2">
        <w:rPr>
          <w:rStyle w:val="hps"/>
          <w:sz w:val="30"/>
          <w:rtl/>
          <w:lang/>
        </w:rPr>
        <w:t xml:space="preserve">2010 و10 </w:t>
      </w:r>
      <w:r w:rsidRPr="00FA0FC2">
        <w:rPr>
          <w:rStyle w:val="hps"/>
          <w:rFonts w:hint="cs"/>
          <w:sz w:val="30"/>
          <w:rtl/>
          <w:lang/>
        </w:rPr>
        <w:t>شباط/</w:t>
      </w:r>
      <w:r w:rsidRPr="00FA0FC2">
        <w:rPr>
          <w:rStyle w:val="hps"/>
          <w:sz w:val="30"/>
          <w:rtl/>
          <w:lang/>
        </w:rPr>
        <w:t>فبراير 2010</w:t>
      </w:r>
      <w:r w:rsidRPr="00FA0FC2">
        <w:rPr>
          <w:sz w:val="30"/>
          <w:rtl/>
          <w:lang/>
        </w:rPr>
        <w:t xml:space="preserve">، </w:t>
      </w:r>
      <w:r w:rsidRPr="00FA0FC2">
        <w:rPr>
          <w:rFonts w:hint="cs"/>
          <w:sz w:val="30"/>
          <w:rtl/>
          <w:lang/>
        </w:rPr>
        <w:t>أجرى</w:t>
      </w:r>
      <w:r w:rsidRPr="00FA0FC2">
        <w:rPr>
          <w:sz w:val="30"/>
          <w:rtl/>
          <w:lang/>
        </w:rPr>
        <w:t xml:space="preserve"> </w:t>
      </w:r>
      <w:r w:rsidRPr="00FA0FC2">
        <w:rPr>
          <w:rStyle w:val="hps"/>
          <w:sz w:val="30"/>
          <w:rtl/>
          <w:lang/>
        </w:rPr>
        <w:t>المكتب الاتحادي</w:t>
      </w:r>
      <w:r w:rsidRPr="00FA0FC2">
        <w:rPr>
          <w:sz w:val="30"/>
          <w:rtl/>
          <w:lang/>
        </w:rPr>
        <w:t xml:space="preserve"> </w:t>
      </w:r>
      <w:r w:rsidRPr="00FA0FC2">
        <w:rPr>
          <w:rStyle w:val="hps"/>
          <w:sz w:val="30"/>
          <w:rtl/>
          <w:lang/>
        </w:rPr>
        <w:t>للهجرة</w:t>
      </w:r>
      <w:r w:rsidRPr="00FA0FC2">
        <w:rPr>
          <w:sz w:val="30"/>
          <w:rtl/>
          <w:lang/>
        </w:rPr>
        <w:t xml:space="preserve"> </w:t>
      </w:r>
      <w:r w:rsidRPr="00FA0FC2">
        <w:rPr>
          <w:rStyle w:val="hps"/>
          <w:sz w:val="30"/>
          <w:rtl/>
          <w:lang/>
        </w:rPr>
        <w:t>مقابلات</w:t>
      </w:r>
      <w:r w:rsidRPr="00FA0FC2">
        <w:rPr>
          <w:rStyle w:val="hps"/>
          <w:rFonts w:hint="cs"/>
          <w:sz w:val="30"/>
          <w:rtl/>
          <w:lang/>
        </w:rPr>
        <w:t xml:space="preserve"> </w:t>
      </w:r>
      <w:r w:rsidRPr="00FA0FC2">
        <w:rPr>
          <w:rStyle w:val="hps"/>
          <w:sz w:val="30"/>
          <w:rtl/>
          <w:lang/>
        </w:rPr>
        <w:t>مع</w:t>
      </w:r>
      <w:r w:rsidRPr="00FA0FC2">
        <w:rPr>
          <w:sz w:val="30"/>
          <w:rtl/>
          <w:lang/>
        </w:rPr>
        <w:t xml:space="preserve"> </w:t>
      </w:r>
      <w:r w:rsidRPr="00FA0FC2">
        <w:rPr>
          <w:rStyle w:val="hps"/>
          <w:rFonts w:hint="cs"/>
          <w:sz w:val="30"/>
          <w:rtl/>
          <w:lang/>
        </w:rPr>
        <w:t>أصحاب الشكوى</w:t>
      </w:r>
      <w:r w:rsidRPr="00FA0FC2">
        <w:rPr>
          <w:rFonts w:hint="cs"/>
          <w:sz w:val="30"/>
          <w:rtl/>
          <w:lang/>
        </w:rPr>
        <w:t xml:space="preserve"> بخصوص طلبهم اللجوء</w:t>
      </w:r>
      <w:r w:rsidRPr="00FA0FC2">
        <w:rPr>
          <w:sz w:val="30"/>
          <w:rtl/>
          <w:lang/>
        </w:rPr>
        <w:t>.</w:t>
      </w:r>
      <w:r>
        <w:rPr>
          <w:sz w:val="30"/>
          <w:rtl/>
          <w:lang/>
        </w:rPr>
        <w:t xml:space="preserve"> وفي </w:t>
      </w:r>
      <w:r w:rsidRPr="00FA0FC2">
        <w:rPr>
          <w:rStyle w:val="hps"/>
          <w:sz w:val="30"/>
          <w:rtl/>
          <w:lang/>
        </w:rPr>
        <w:t>5</w:t>
      </w:r>
      <w:r w:rsidRPr="00FA0FC2">
        <w:rPr>
          <w:sz w:val="30"/>
          <w:rtl/>
          <w:lang/>
        </w:rPr>
        <w:t xml:space="preserve"> </w:t>
      </w:r>
      <w:r w:rsidRPr="00FA0FC2">
        <w:rPr>
          <w:rFonts w:hint="cs"/>
          <w:sz w:val="30"/>
          <w:rtl/>
          <w:lang/>
        </w:rPr>
        <w:t>أيار/</w:t>
      </w:r>
      <w:r>
        <w:rPr>
          <w:rFonts w:hint="cs"/>
          <w:sz w:val="30"/>
          <w:rtl/>
          <w:lang/>
        </w:rPr>
        <w:t xml:space="preserve"> </w:t>
      </w:r>
      <w:r w:rsidRPr="00FA0FC2">
        <w:rPr>
          <w:rStyle w:val="hps"/>
          <w:sz w:val="30"/>
          <w:rtl/>
          <w:lang/>
        </w:rPr>
        <w:t>مايو</w:t>
      </w:r>
      <w:r w:rsidRPr="00FA0FC2">
        <w:rPr>
          <w:rStyle w:val="hps"/>
          <w:rFonts w:hint="cs"/>
          <w:sz w:val="30"/>
          <w:rtl/>
          <w:lang/>
        </w:rPr>
        <w:t> </w:t>
      </w:r>
      <w:r w:rsidRPr="00FA0FC2">
        <w:rPr>
          <w:rStyle w:val="hps"/>
          <w:sz w:val="30"/>
          <w:rtl/>
          <w:lang/>
        </w:rPr>
        <w:t>2010،</w:t>
      </w:r>
      <w:r w:rsidRPr="00FA0FC2">
        <w:rPr>
          <w:sz w:val="30"/>
          <w:rtl/>
          <w:lang/>
        </w:rPr>
        <w:t xml:space="preserve"> </w:t>
      </w:r>
      <w:r w:rsidRPr="00FA0FC2">
        <w:rPr>
          <w:rStyle w:val="hps"/>
          <w:sz w:val="30"/>
          <w:rtl/>
          <w:lang/>
        </w:rPr>
        <w:t>رفض المكتب</w:t>
      </w:r>
      <w:r w:rsidRPr="00FA0FC2">
        <w:rPr>
          <w:sz w:val="30"/>
          <w:rtl/>
          <w:lang/>
        </w:rPr>
        <w:t xml:space="preserve"> </w:t>
      </w:r>
      <w:r w:rsidRPr="00FA0FC2">
        <w:rPr>
          <w:rFonts w:hint="cs"/>
          <w:sz w:val="30"/>
          <w:rtl/>
          <w:lang/>
        </w:rPr>
        <w:t>التماس</w:t>
      </w:r>
      <w:r w:rsidRPr="00FA0FC2">
        <w:rPr>
          <w:sz w:val="30"/>
          <w:rtl/>
          <w:lang/>
        </w:rPr>
        <w:t xml:space="preserve"> اللجوء </w:t>
      </w:r>
      <w:r w:rsidRPr="00FA0FC2">
        <w:rPr>
          <w:rStyle w:val="hps"/>
          <w:sz w:val="30"/>
          <w:rtl/>
          <w:lang/>
        </w:rPr>
        <w:t>وأمر</w:t>
      </w:r>
      <w:r w:rsidRPr="00FA0FC2">
        <w:rPr>
          <w:sz w:val="30"/>
          <w:rtl/>
          <w:lang/>
        </w:rPr>
        <w:t xml:space="preserve"> </w:t>
      </w:r>
      <w:r w:rsidRPr="00FA0FC2">
        <w:rPr>
          <w:rFonts w:hint="cs"/>
          <w:sz w:val="30"/>
          <w:rtl/>
          <w:lang/>
        </w:rPr>
        <w:t>ب</w:t>
      </w:r>
      <w:r w:rsidRPr="00FA0FC2">
        <w:rPr>
          <w:rStyle w:val="hps"/>
          <w:sz w:val="30"/>
          <w:rtl/>
          <w:lang/>
        </w:rPr>
        <w:t>طردهم</w:t>
      </w:r>
      <w:r w:rsidRPr="00FA0FC2">
        <w:rPr>
          <w:sz w:val="30"/>
          <w:rtl/>
          <w:lang/>
        </w:rPr>
        <w:t xml:space="preserve">، </w:t>
      </w:r>
      <w:r w:rsidRPr="00FA0FC2">
        <w:rPr>
          <w:rFonts w:hint="cs"/>
          <w:sz w:val="30"/>
          <w:rtl/>
          <w:lang/>
        </w:rPr>
        <w:t>وأشار إلى أن</w:t>
      </w:r>
      <w:r w:rsidRPr="00FA0FC2">
        <w:rPr>
          <w:sz w:val="30"/>
          <w:rtl/>
          <w:lang/>
        </w:rPr>
        <w:t xml:space="preserve"> </w:t>
      </w:r>
      <w:r w:rsidRPr="00FA0FC2">
        <w:rPr>
          <w:rStyle w:val="hps"/>
          <w:rFonts w:hint="cs"/>
          <w:sz w:val="30"/>
          <w:rtl/>
          <w:lang/>
        </w:rPr>
        <w:t>رواية أصحاب الشكوى تفتقد إلى المصداقية</w:t>
      </w:r>
      <w:r w:rsidRPr="00FA0FC2">
        <w:rPr>
          <w:sz w:val="30"/>
          <w:rtl/>
          <w:lang/>
        </w:rPr>
        <w:t xml:space="preserve">. </w:t>
      </w:r>
      <w:r w:rsidRPr="00FA0FC2">
        <w:rPr>
          <w:rStyle w:val="hps"/>
          <w:rFonts w:hint="cs"/>
          <w:sz w:val="30"/>
          <w:rtl/>
          <w:lang/>
        </w:rPr>
        <w:t>وبالنظر إلى</w:t>
      </w:r>
      <w:r w:rsidRPr="00FA0FC2">
        <w:rPr>
          <w:sz w:val="30"/>
          <w:rtl/>
          <w:lang/>
        </w:rPr>
        <w:t xml:space="preserve"> </w:t>
      </w:r>
      <w:r w:rsidRPr="00FA0FC2">
        <w:rPr>
          <w:rStyle w:val="hps"/>
          <w:sz w:val="30"/>
          <w:rtl/>
          <w:lang/>
        </w:rPr>
        <w:t>أن أصحاب الشكوى</w:t>
      </w:r>
      <w:r w:rsidRPr="00FA0FC2">
        <w:rPr>
          <w:sz w:val="30"/>
          <w:rtl/>
          <w:lang/>
        </w:rPr>
        <w:t xml:space="preserve"> </w:t>
      </w:r>
      <w:r w:rsidRPr="00FA0FC2">
        <w:rPr>
          <w:rStyle w:val="hps"/>
          <w:sz w:val="30"/>
          <w:rtl/>
          <w:lang/>
        </w:rPr>
        <w:t>غادر</w:t>
      </w:r>
      <w:r w:rsidRPr="00FA0FC2">
        <w:rPr>
          <w:rStyle w:val="hps"/>
          <w:rFonts w:hint="cs"/>
          <w:sz w:val="30"/>
          <w:rtl/>
          <w:lang/>
        </w:rPr>
        <w:t>وا</w:t>
      </w:r>
      <w:r w:rsidRPr="00FA0FC2">
        <w:rPr>
          <w:sz w:val="30"/>
          <w:rtl/>
          <w:lang/>
        </w:rPr>
        <w:t xml:space="preserve"> </w:t>
      </w:r>
      <w:r w:rsidRPr="00FA0FC2">
        <w:rPr>
          <w:rStyle w:val="hps"/>
          <w:sz w:val="30"/>
          <w:rtl/>
          <w:lang/>
        </w:rPr>
        <w:t>بصورة قانونية</w:t>
      </w:r>
      <w:r w:rsidRPr="00FA0FC2">
        <w:rPr>
          <w:sz w:val="30"/>
          <w:rtl/>
          <w:lang/>
        </w:rPr>
        <w:t xml:space="preserve"> </w:t>
      </w:r>
      <w:r w:rsidRPr="00FA0FC2">
        <w:rPr>
          <w:rStyle w:val="hps"/>
          <w:sz w:val="30"/>
          <w:rtl/>
          <w:lang/>
        </w:rPr>
        <w:t>اليمن</w:t>
      </w:r>
      <w:r w:rsidRPr="00FA0FC2">
        <w:rPr>
          <w:sz w:val="30"/>
          <w:rtl/>
          <w:lang/>
        </w:rPr>
        <w:t xml:space="preserve"> </w:t>
      </w:r>
      <w:r w:rsidRPr="00FA0FC2">
        <w:rPr>
          <w:rFonts w:hint="cs"/>
          <w:sz w:val="30"/>
          <w:rtl/>
          <w:lang/>
        </w:rPr>
        <w:t xml:space="preserve">على متن طائرة أقلعت </w:t>
      </w:r>
      <w:r w:rsidRPr="00FA0FC2">
        <w:rPr>
          <w:rStyle w:val="hps"/>
          <w:sz w:val="30"/>
          <w:rtl/>
          <w:lang/>
        </w:rPr>
        <w:t>من</w:t>
      </w:r>
      <w:r w:rsidRPr="00FA0FC2">
        <w:rPr>
          <w:sz w:val="30"/>
          <w:rtl/>
          <w:lang/>
        </w:rPr>
        <w:t xml:space="preserve"> </w:t>
      </w:r>
      <w:r w:rsidRPr="00FA0FC2">
        <w:rPr>
          <w:rStyle w:val="hps"/>
          <w:rFonts w:hint="cs"/>
          <w:sz w:val="30"/>
          <w:rtl/>
          <w:lang/>
        </w:rPr>
        <w:t>مطار</w:t>
      </w:r>
      <w:r w:rsidRPr="00FA0FC2">
        <w:rPr>
          <w:rStyle w:val="hps"/>
          <w:sz w:val="30"/>
          <w:rtl/>
          <w:lang/>
        </w:rPr>
        <w:t xml:space="preserve"> صنعاء</w:t>
      </w:r>
      <w:r w:rsidRPr="00FA0FC2">
        <w:rPr>
          <w:rStyle w:val="hps"/>
          <w:rFonts w:hint="cs"/>
          <w:sz w:val="30"/>
          <w:rtl/>
          <w:lang/>
        </w:rPr>
        <w:t xml:space="preserve"> الدولي</w:t>
      </w:r>
      <w:r w:rsidRPr="00FA0FC2">
        <w:rPr>
          <w:sz w:val="30"/>
          <w:rtl/>
          <w:lang/>
        </w:rPr>
        <w:t xml:space="preserve">، </w:t>
      </w:r>
      <w:r w:rsidRPr="00FA0FC2">
        <w:rPr>
          <w:rFonts w:hint="cs"/>
          <w:sz w:val="30"/>
          <w:rtl/>
          <w:lang/>
        </w:rPr>
        <w:t xml:space="preserve">فقد </w:t>
      </w:r>
      <w:r w:rsidRPr="00FA0FC2">
        <w:rPr>
          <w:rStyle w:val="hps"/>
          <w:sz w:val="30"/>
          <w:rtl/>
          <w:lang/>
        </w:rPr>
        <w:t>شكك المكتب الاتحادي</w:t>
      </w:r>
      <w:r w:rsidRPr="00FA0FC2">
        <w:rPr>
          <w:sz w:val="30"/>
          <w:rtl/>
          <w:lang/>
        </w:rPr>
        <w:t xml:space="preserve"> </w:t>
      </w:r>
      <w:r w:rsidRPr="00FA0FC2">
        <w:rPr>
          <w:rStyle w:val="hps"/>
          <w:sz w:val="30"/>
          <w:rtl/>
          <w:lang/>
        </w:rPr>
        <w:t>للهجرة</w:t>
      </w:r>
      <w:r w:rsidRPr="00FA0FC2">
        <w:rPr>
          <w:sz w:val="30"/>
          <w:rtl/>
          <w:lang/>
        </w:rPr>
        <w:t xml:space="preserve">، </w:t>
      </w:r>
      <w:r w:rsidRPr="00FA0FC2">
        <w:rPr>
          <w:rStyle w:val="hps"/>
          <w:sz w:val="30"/>
          <w:rtl/>
          <w:lang/>
        </w:rPr>
        <w:t>على وجه الخصوص،</w:t>
      </w:r>
      <w:r w:rsidRPr="00FA0FC2">
        <w:rPr>
          <w:sz w:val="30"/>
          <w:rtl/>
          <w:lang/>
        </w:rPr>
        <w:t xml:space="preserve"> </w:t>
      </w:r>
      <w:r w:rsidRPr="00FA0FC2">
        <w:rPr>
          <w:rFonts w:hint="cs"/>
          <w:sz w:val="30"/>
          <w:rtl/>
          <w:lang/>
        </w:rPr>
        <w:t xml:space="preserve">في </w:t>
      </w:r>
      <w:r w:rsidRPr="00FA0FC2">
        <w:rPr>
          <w:rStyle w:val="hps"/>
          <w:rFonts w:hint="cs"/>
          <w:sz w:val="30"/>
          <w:rtl/>
          <w:lang/>
        </w:rPr>
        <w:t>ادعاء صاحب الشكوى</w:t>
      </w:r>
      <w:r w:rsidRPr="00FA0FC2">
        <w:rPr>
          <w:rStyle w:val="hps"/>
          <w:sz w:val="30"/>
          <w:rtl/>
          <w:lang/>
        </w:rPr>
        <w:t xml:space="preserve"> الأول</w:t>
      </w:r>
      <w:r w:rsidRPr="00FA0FC2">
        <w:rPr>
          <w:sz w:val="30"/>
          <w:rtl/>
          <w:lang/>
        </w:rPr>
        <w:t xml:space="preserve"> </w:t>
      </w:r>
      <w:r w:rsidRPr="00FA0FC2">
        <w:rPr>
          <w:rStyle w:val="hps"/>
          <w:rFonts w:hint="cs"/>
          <w:sz w:val="30"/>
          <w:rtl/>
          <w:lang/>
        </w:rPr>
        <w:t>الذي زعم فيه بأن</w:t>
      </w:r>
      <w:r w:rsidRPr="00FA0FC2">
        <w:rPr>
          <w:rStyle w:val="hps"/>
          <w:sz w:val="30"/>
          <w:rtl/>
          <w:lang/>
        </w:rPr>
        <w:t xml:space="preserve"> الأجهزة الأمنية</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اليمن</w:t>
      </w:r>
      <w:r w:rsidRPr="00FA0FC2">
        <w:rPr>
          <w:sz w:val="30"/>
          <w:rtl/>
          <w:lang/>
        </w:rPr>
        <w:t xml:space="preserve"> </w:t>
      </w:r>
      <w:r w:rsidRPr="00FA0FC2">
        <w:rPr>
          <w:rStyle w:val="hps"/>
          <w:rFonts w:hint="cs"/>
          <w:sz w:val="30"/>
          <w:rtl/>
          <w:lang/>
        </w:rPr>
        <w:t>قد سجلته</w:t>
      </w:r>
      <w:r w:rsidRPr="00FA0FC2">
        <w:rPr>
          <w:sz w:val="30"/>
          <w:rtl/>
          <w:lang/>
        </w:rPr>
        <w:t xml:space="preserve"> </w:t>
      </w:r>
      <w:r w:rsidRPr="00FA0FC2">
        <w:rPr>
          <w:rFonts w:hint="cs"/>
          <w:sz w:val="30"/>
          <w:rtl/>
          <w:lang/>
        </w:rPr>
        <w:t>ك</w:t>
      </w:r>
      <w:r w:rsidRPr="00FA0FC2">
        <w:rPr>
          <w:rStyle w:val="hps"/>
          <w:sz w:val="30"/>
          <w:rtl/>
          <w:lang/>
        </w:rPr>
        <w:t>ناشط</w:t>
      </w:r>
      <w:r w:rsidRPr="00FA0FC2">
        <w:rPr>
          <w:sz w:val="30"/>
          <w:rtl/>
          <w:lang/>
        </w:rPr>
        <w:t xml:space="preserve"> </w:t>
      </w:r>
      <w:r w:rsidRPr="00FA0FC2">
        <w:rPr>
          <w:rStyle w:val="hps"/>
          <w:sz w:val="30"/>
          <w:rtl/>
          <w:lang/>
        </w:rPr>
        <w:t>من</w:t>
      </w:r>
      <w:r w:rsidRPr="00FA0FC2">
        <w:rPr>
          <w:rStyle w:val="hps"/>
          <w:rFonts w:hint="cs"/>
          <w:sz w:val="30"/>
          <w:rtl/>
          <w:lang/>
        </w:rPr>
        <w:t xml:space="preserve"> نشطاء</w:t>
      </w:r>
      <w:r w:rsidRPr="00FA0FC2">
        <w:rPr>
          <w:sz w:val="30"/>
          <w:rtl/>
          <w:lang/>
        </w:rPr>
        <w:t xml:space="preserve"> </w:t>
      </w:r>
      <w:r w:rsidRPr="00FA0FC2">
        <w:rPr>
          <w:rStyle w:val="hps"/>
          <w:sz w:val="30"/>
          <w:rtl/>
          <w:lang/>
        </w:rPr>
        <w:t>الحراك الجنوبي.</w:t>
      </w:r>
      <w:r w:rsidRPr="00FA0FC2">
        <w:rPr>
          <w:sz w:val="30"/>
          <w:rtl/>
          <w:lang/>
        </w:rPr>
        <w:t xml:space="preserve"> </w:t>
      </w:r>
      <w:r w:rsidRPr="00FA0FC2">
        <w:rPr>
          <w:rStyle w:val="hps"/>
          <w:sz w:val="30"/>
          <w:rtl/>
          <w:lang/>
        </w:rPr>
        <w:t>وعلاوة على ذلك</w:t>
      </w:r>
      <w:r w:rsidRPr="00FA0FC2">
        <w:rPr>
          <w:sz w:val="30"/>
          <w:rtl/>
          <w:lang/>
        </w:rPr>
        <w:t xml:space="preserve">، </w:t>
      </w:r>
      <w:r w:rsidRPr="00FA0FC2">
        <w:rPr>
          <w:rStyle w:val="hps"/>
          <w:sz w:val="30"/>
          <w:rtl/>
          <w:lang/>
        </w:rPr>
        <w:t>فسر المكتب الاتحادي</w:t>
      </w:r>
      <w:r w:rsidRPr="00FA0FC2">
        <w:rPr>
          <w:sz w:val="30"/>
          <w:rtl/>
          <w:lang/>
        </w:rPr>
        <w:t xml:space="preserve"> </w:t>
      </w:r>
      <w:r w:rsidRPr="00FA0FC2">
        <w:rPr>
          <w:rStyle w:val="hps"/>
          <w:sz w:val="30"/>
          <w:rtl/>
          <w:lang/>
        </w:rPr>
        <w:t>للهجرة</w:t>
      </w:r>
      <w:r w:rsidRPr="00FA0FC2">
        <w:rPr>
          <w:sz w:val="30"/>
          <w:rtl/>
          <w:lang/>
        </w:rPr>
        <w:t xml:space="preserve"> </w:t>
      </w:r>
      <w:r w:rsidRPr="00FA0FC2">
        <w:rPr>
          <w:rStyle w:val="hps"/>
          <w:rFonts w:hint="cs"/>
          <w:sz w:val="30"/>
          <w:rtl/>
          <w:lang/>
        </w:rPr>
        <w:t>ادعاء أصحاب الشكوى الذي مفاده أن أحد المهربين قد أتلف</w:t>
      </w:r>
      <w:r w:rsidRPr="00FA0FC2">
        <w:rPr>
          <w:sz w:val="30"/>
          <w:rtl/>
          <w:lang/>
        </w:rPr>
        <w:t xml:space="preserve"> </w:t>
      </w:r>
      <w:r w:rsidRPr="00FA0FC2">
        <w:rPr>
          <w:rStyle w:val="hps"/>
          <w:sz w:val="30"/>
          <w:rtl/>
          <w:lang/>
        </w:rPr>
        <w:t>جوازات سفرهم</w:t>
      </w:r>
      <w:r w:rsidRPr="00FA0FC2">
        <w:rPr>
          <w:sz w:val="30"/>
          <w:rtl/>
          <w:lang/>
        </w:rPr>
        <w:t xml:space="preserve"> </w:t>
      </w:r>
      <w:r w:rsidRPr="00FA0FC2">
        <w:rPr>
          <w:rStyle w:val="hps"/>
          <w:rFonts w:hint="cs"/>
          <w:sz w:val="30"/>
          <w:rtl/>
          <w:lang/>
        </w:rPr>
        <w:t xml:space="preserve">لدى </w:t>
      </w:r>
      <w:r w:rsidRPr="00FA0FC2">
        <w:rPr>
          <w:rStyle w:val="hps"/>
          <w:sz w:val="30"/>
          <w:rtl/>
          <w:lang/>
        </w:rPr>
        <w:t>وصولهم</w:t>
      </w:r>
      <w:r w:rsidRPr="00FA0FC2">
        <w:rPr>
          <w:sz w:val="30"/>
          <w:rtl/>
          <w:lang/>
        </w:rPr>
        <w:t xml:space="preserve"> </w:t>
      </w:r>
      <w:r w:rsidRPr="00FA0FC2">
        <w:rPr>
          <w:rStyle w:val="hps"/>
          <w:sz w:val="30"/>
          <w:rtl/>
          <w:lang/>
        </w:rPr>
        <w:t>إلى</w:t>
      </w:r>
      <w:r w:rsidRPr="00FA0FC2">
        <w:rPr>
          <w:sz w:val="30"/>
          <w:rtl/>
          <w:lang/>
        </w:rPr>
        <w:t xml:space="preserve"> </w:t>
      </w:r>
      <w:r w:rsidRPr="00FA0FC2">
        <w:rPr>
          <w:rStyle w:val="hps"/>
          <w:sz w:val="30"/>
          <w:rtl/>
          <w:lang/>
        </w:rPr>
        <w:t>سويسرا</w:t>
      </w:r>
      <w:r w:rsidRPr="00FA0FC2">
        <w:rPr>
          <w:sz w:val="30"/>
          <w:rtl/>
          <w:lang/>
        </w:rPr>
        <w:t xml:space="preserve"> </w:t>
      </w:r>
      <w:r w:rsidRPr="00FA0FC2">
        <w:rPr>
          <w:rStyle w:val="hps"/>
          <w:rFonts w:hint="cs"/>
          <w:sz w:val="30"/>
          <w:rtl/>
          <w:lang/>
        </w:rPr>
        <w:t>على أنه محاولة</w:t>
      </w:r>
      <w:r w:rsidRPr="00FA0FC2">
        <w:rPr>
          <w:sz w:val="30"/>
          <w:rtl/>
          <w:lang/>
        </w:rPr>
        <w:t xml:space="preserve"> لإخفاء </w:t>
      </w:r>
      <w:r w:rsidRPr="00FA0FC2">
        <w:rPr>
          <w:rStyle w:val="hps"/>
          <w:sz w:val="30"/>
          <w:rtl/>
          <w:lang/>
        </w:rPr>
        <w:t>التاريخ الحقيقي</w:t>
      </w:r>
      <w:r w:rsidRPr="00FA0FC2">
        <w:rPr>
          <w:sz w:val="30"/>
          <w:rtl/>
          <w:lang/>
        </w:rPr>
        <w:t xml:space="preserve"> </w:t>
      </w:r>
      <w:r w:rsidRPr="00FA0FC2">
        <w:rPr>
          <w:rFonts w:hint="cs"/>
          <w:sz w:val="30"/>
          <w:rtl/>
          <w:lang/>
        </w:rPr>
        <w:t>ل</w:t>
      </w:r>
      <w:r w:rsidRPr="00FA0FC2">
        <w:rPr>
          <w:rStyle w:val="hps"/>
          <w:sz w:val="30"/>
          <w:rtl/>
          <w:lang/>
        </w:rPr>
        <w:t>مغادرتهم</w:t>
      </w:r>
      <w:r w:rsidRPr="00FA0FC2">
        <w:rPr>
          <w:sz w:val="30"/>
          <w:rtl/>
          <w:lang/>
        </w:rPr>
        <w:t xml:space="preserve"> </w:t>
      </w:r>
      <w:r w:rsidRPr="00FA0FC2">
        <w:rPr>
          <w:rStyle w:val="hps"/>
          <w:sz w:val="30"/>
          <w:rtl/>
          <w:lang/>
        </w:rPr>
        <w:t>اليمن و</w:t>
      </w:r>
      <w:r w:rsidRPr="00FA0FC2">
        <w:rPr>
          <w:rStyle w:val="hps"/>
          <w:rFonts w:hint="cs"/>
          <w:sz w:val="30"/>
          <w:rtl/>
          <w:lang/>
        </w:rPr>
        <w:t>ل</w:t>
      </w:r>
      <w:r w:rsidRPr="00FA0FC2">
        <w:rPr>
          <w:rStyle w:val="hps"/>
          <w:sz w:val="30"/>
          <w:rtl/>
          <w:lang/>
        </w:rPr>
        <w:t>ظروف</w:t>
      </w:r>
      <w:r w:rsidRPr="00FA0FC2">
        <w:rPr>
          <w:rStyle w:val="hps"/>
          <w:rFonts w:hint="cs"/>
          <w:sz w:val="30"/>
          <w:rtl/>
          <w:lang/>
        </w:rPr>
        <w:t xml:space="preserve"> هذه المغادرة</w:t>
      </w:r>
      <w:r w:rsidRPr="00FA0FC2">
        <w:rPr>
          <w:sz w:val="30"/>
          <w:rtl/>
          <w:lang/>
        </w:rPr>
        <w:t xml:space="preserve">. </w:t>
      </w:r>
      <w:r w:rsidRPr="00FA0FC2">
        <w:rPr>
          <w:rStyle w:val="hps"/>
          <w:sz w:val="30"/>
          <w:rtl/>
          <w:lang/>
        </w:rPr>
        <w:t>وبالإضافة إلى ذلك</w:t>
      </w:r>
      <w:r w:rsidRPr="00FA0FC2">
        <w:rPr>
          <w:sz w:val="30"/>
          <w:rtl/>
          <w:lang/>
        </w:rPr>
        <w:t>،</w:t>
      </w:r>
      <w:r>
        <w:rPr>
          <w:sz w:val="30"/>
          <w:rtl/>
          <w:lang/>
        </w:rPr>
        <w:t xml:space="preserve"> لم </w:t>
      </w:r>
      <w:r w:rsidRPr="00FA0FC2">
        <w:rPr>
          <w:rStyle w:val="hps"/>
          <w:rFonts w:hint="cs"/>
          <w:sz w:val="30"/>
          <w:rtl/>
          <w:lang/>
        </w:rPr>
        <w:t>يقدم</w:t>
      </w:r>
      <w:r w:rsidRPr="00FA0FC2">
        <w:rPr>
          <w:sz w:val="30"/>
          <w:rtl/>
          <w:lang/>
        </w:rPr>
        <w:t xml:space="preserve"> </w:t>
      </w:r>
      <w:r w:rsidRPr="00FA0FC2">
        <w:rPr>
          <w:rStyle w:val="hps"/>
          <w:sz w:val="30"/>
          <w:rtl/>
          <w:lang/>
        </w:rPr>
        <w:t>صاحب الشكوى</w:t>
      </w:r>
      <w:r w:rsidRPr="00FA0FC2">
        <w:rPr>
          <w:sz w:val="30"/>
          <w:rtl/>
          <w:lang/>
        </w:rPr>
        <w:t xml:space="preserve"> </w:t>
      </w:r>
      <w:r w:rsidRPr="00FA0FC2">
        <w:rPr>
          <w:rStyle w:val="hps"/>
          <w:sz w:val="30"/>
          <w:rtl/>
          <w:lang/>
        </w:rPr>
        <w:t>الأول</w:t>
      </w:r>
      <w:r w:rsidRPr="00FA0FC2">
        <w:rPr>
          <w:sz w:val="30"/>
          <w:rtl/>
          <w:lang/>
        </w:rPr>
        <w:t xml:space="preserve"> </w:t>
      </w:r>
      <w:r w:rsidRPr="00FA0FC2">
        <w:rPr>
          <w:rStyle w:val="hps"/>
          <w:rFonts w:hint="cs"/>
          <w:sz w:val="30"/>
          <w:rtl/>
          <w:lang/>
        </w:rPr>
        <w:t>إلى</w:t>
      </w:r>
      <w:r w:rsidRPr="00FA0FC2">
        <w:rPr>
          <w:sz w:val="30"/>
          <w:rtl/>
          <w:lang/>
        </w:rPr>
        <w:t xml:space="preserve"> </w:t>
      </w:r>
      <w:r w:rsidRPr="00FA0FC2">
        <w:rPr>
          <w:rStyle w:val="hps"/>
          <w:sz w:val="30"/>
          <w:rtl/>
          <w:lang/>
        </w:rPr>
        <w:t>المكتب الاتحادي</w:t>
      </w:r>
      <w:r w:rsidRPr="00FA0FC2">
        <w:rPr>
          <w:sz w:val="30"/>
          <w:rtl/>
          <w:lang/>
        </w:rPr>
        <w:t xml:space="preserve"> </w:t>
      </w:r>
      <w:r w:rsidRPr="00FA0FC2">
        <w:rPr>
          <w:rStyle w:val="hps"/>
          <w:sz w:val="30"/>
          <w:rtl/>
          <w:lang/>
        </w:rPr>
        <w:t>للهجرة</w:t>
      </w:r>
      <w:r w:rsidRPr="00FA0FC2">
        <w:rPr>
          <w:sz w:val="30"/>
          <w:rtl/>
          <w:lang/>
        </w:rPr>
        <w:t xml:space="preserve"> </w:t>
      </w:r>
      <w:r w:rsidRPr="00FA0FC2">
        <w:rPr>
          <w:rStyle w:val="hps"/>
          <w:sz w:val="30"/>
          <w:rtl/>
          <w:lang/>
        </w:rPr>
        <w:t>شهادة</w:t>
      </w:r>
      <w:r w:rsidRPr="00FA0FC2">
        <w:rPr>
          <w:sz w:val="30"/>
          <w:rtl/>
          <w:lang/>
        </w:rPr>
        <w:t xml:space="preserve"> </w:t>
      </w:r>
      <w:r w:rsidRPr="00FA0FC2">
        <w:rPr>
          <w:rStyle w:val="hps"/>
          <w:sz w:val="30"/>
          <w:rtl/>
          <w:lang/>
        </w:rPr>
        <w:t>من</w:t>
      </w:r>
      <w:r w:rsidRPr="00FA0FC2">
        <w:rPr>
          <w:sz w:val="30"/>
          <w:rtl/>
          <w:lang/>
        </w:rPr>
        <w:t xml:space="preserve"> </w:t>
      </w:r>
      <w:r w:rsidRPr="00FA0FC2">
        <w:rPr>
          <w:rStyle w:val="hps"/>
          <w:sz w:val="30"/>
          <w:rtl/>
          <w:lang/>
        </w:rPr>
        <w:t>المنظمة غير</w:t>
      </w:r>
      <w:r w:rsidRPr="00FA0FC2">
        <w:rPr>
          <w:sz w:val="30"/>
          <w:rtl/>
          <w:lang/>
        </w:rPr>
        <w:t xml:space="preserve"> </w:t>
      </w:r>
      <w:r w:rsidRPr="00FA0FC2">
        <w:rPr>
          <w:rStyle w:val="hps"/>
          <w:sz w:val="30"/>
          <w:rtl/>
          <w:lang/>
        </w:rPr>
        <w:t>الحكومية التي</w:t>
      </w:r>
      <w:r w:rsidRPr="00FA0FC2">
        <w:rPr>
          <w:sz w:val="30"/>
          <w:rtl/>
          <w:lang/>
        </w:rPr>
        <w:t xml:space="preserve"> </w:t>
      </w:r>
      <w:r w:rsidRPr="00FA0FC2">
        <w:rPr>
          <w:rStyle w:val="hps"/>
          <w:sz w:val="30"/>
          <w:rtl/>
          <w:lang/>
        </w:rPr>
        <w:t>زارته في</w:t>
      </w:r>
      <w:r w:rsidRPr="00FA0FC2">
        <w:rPr>
          <w:sz w:val="30"/>
          <w:rtl/>
          <w:lang/>
        </w:rPr>
        <w:t xml:space="preserve"> </w:t>
      </w:r>
      <w:r w:rsidRPr="00FA0FC2">
        <w:rPr>
          <w:rStyle w:val="hps"/>
          <w:sz w:val="30"/>
          <w:rtl/>
          <w:lang/>
        </w:rPr>
        <w:t>سجن</w:t>
      </w:r>
      <w:r w:rsidRPr="00FA0FC2">
        <w:rPr>
          <w:sz w:val="30"/>
          <w:rtl/>
          <w:lang/>
        </w:rPr>
        <w:t xml:space="preserve"> </w:t>
      </w:r>
      <w:r w:rsidRPr="00FA0FC2">
        <w:rPr>
          <w:rStyle w:val="hps"/>
          <w:sz w:val="30"/>
          <w:rtl/>
          <w:lang/>
        </w:rPr>
        <w:t>المنصورة</w:t>
      </w:r>
      <w:r w:rsidRPr="00FA0FC2">
        <w:rPr>
          <w:sz w:val="30"/>
          <w:rtl/>
          <w:lang/>
        </w:rPr>
        <w:t xml:space="preserve">، </w:t>
      </w:r>
      <w:r w:rsidRPr="00FA0FC2">
        <w:rPr>
          <w:rStyle w:val="hps"/>
          <w:sz w:val="30"/>
          <w:rtl/>
          <w:lang/>
        </w:rPr>
        <w:t>على الرغم من</w:t>
      </w:r>
      <w:r w:rsidRPr="00FA0FC2">
        <w:rPr>
          <w:sz w:val="30"/>
          <w:rtl/>
          <w:lang/>
        </w:rPr>
        <w:t xml:space="preserve"> </w:t>
      </w:r>
      <w:r w:rsidRPr="00FA0FC2">
        <w:rPr>
          <w:rStyle w:val="hps"/>
          <w:rFonts w:hint="cs"/>
          <w:sz w:val="30"/>
          <w:rtl/>
          <w:lang/>
        </w:rPr>
        <w:t>ادعائه الأول الذي أشار فيه إلى إمكانية حصوله على هذه الشهادة بشكل أكيد.</w:t>
      </w:r>
    </w:p>
    <w:p w:rsidR="00091373" w:rsidRPr="00FA0FC2" w:rsidRDefault="00091373" w:rsidP="005D6C55">
      <w:pPr>
        <w:pStyle w:val="SingleTxtGA"/>
        <w:rPr>
          <w:rStyle w:val="hps"/>
          <w:sz w:val="30"/>
          <w:rtl/>
          <w:lang/>
        </w:rPr>
      </w:pPr>
      <w:r w:rsidRPr="00FA0FC2">
        <w:rPr>
          <w:sz w:val="30"/>
          <w:rtl/>
          <w:lang w:val="fr-CH"/>
        </w:rPr>
        <w:t>2-8</w:t>
      </w:r>
      <w:r w:rsidRPr="00FA0FC2">
        <w:rPr>
          <w:sz w:val="30"/>
          <w:rtl/>
          <w:lang w:val="fr-CH"/>
        </w:rPr>
        <w:tab/>
      </w:r>
      <w:r w:rsidRPr="00FA0FC2">
        <w:rPr>
          <w:rFonts w:hint="cs"/>
          <w:sz w:val="30"/>
          <w:rtl/>
          <w:lang w:val="fr-CH"/>
        </w:rPr>
        <w:t>و</w:t>
      </w:r>
      <w:r w:rsidRPr="00FA0FC2">
        <w:rPr>
          <w:sz w:val="30"/>
          <w:rtl/>
          <w:lang/>
        </w:rPr>
        <w:t>في 7 حزيران</w:t>
      </w:r>
      <w:r w:rsidRPr="00FA0FC2">
        <w:rPr>
          <w:rFonts w:hint="cs"/>
          <w:sz w:val="30"/>
          <w:rtl/>
          <w:lang/>
        </w:rPr>
        <w:t>/يونيه</w:t>
      </w:r>
      <w:r w:rsidRPr="00FA0FC2">
        <w:rPr>
          <w:sz w:val="30"/>
          <w:rtl/>
          <w:lang/>
        </w:rPr>
        <w:t xml:space="preserve"> 2010، </w:t>
      </w:r>
      <w:r w:rsidRPr="00FA0FC2">
        <w:rPr>
          <w:rFonts w:hint="cs"/>
          <w:sz w:val="30"/>
          <w:rtl/>
          <w:lang/>
        </w:rPr>
        <w:t>طعن أصحاب الشكوى في</w:t>
      </w:r>
      <w:r w:rsidRPr="00FA0FC2">
        <w:rPr>
          <w:sz w:val="30"/>
          <w:rtl/>
          <w:lang/>
        </w:rPr>
        <w:t xml:space="preserve"> قرار المكتب الاتحادي للهجرة </w:t>
      </w:r>
      <w:r w:rsidRPr="00FA0FC2">
        <w:rPr>
          <w:rFonts w:hint="cs"/>
          <w:sz w:val="30"/>
          <w:rtl/>
          <w:lang/>
        </w:rPr>
        <w:t>أمام</w:t>
      </w:r>
      <w:r w:rsidRPr="00FA0FC2">
        <w:rPr>
          <w:sz w:val="30"/>
          <w:rtl/>
          <w:lang/>
        </w:rPr>
        <w:t xml:space="preserve"> المحكمة الإدارية ال</w:t>
      </w:r>
      <w:r w:rsidRPr="00FA0FC2">
        <w:rPr>
          <w:rFonts w:hint="cs"/>
          <w:sz w:val="30"/>
          <w:rtl/>
          <w:lang/>
        </w:rPr>
        <w:t>اتحادية،</w:t>
      </w:r>
      <w:r w:rsidRPr="00FA0FC2">
        <w:rPr>
          <w:sz w:val="30"/>
          <w:rtl/>
          <w:lang/>
        </w:rPr>
        <w:t xml:space="preserve"> التي أيدت </w:t>
      </w:r>
      <w:r w:rsidRPr="00FA0FC2">
        <w:rPr>
          <w:rFonts w:hint="cs"/>
          <w:sz w:val="30"/>
          <w:rtl/>
          <w:lang/>
        </w:rPr>
        <w:t>القرار القاضي بطردهم</w:t>
      </w:r>
      <w:r w:rsidRPr="00FA0FC2">
        <w:rPr>
          <w:sz w:val="30"/>
          <w:rtl/>
          <w:lang/>
        </w:rPr>
        <w:t xml:space="preserve"> </w:t>
      </w:r>
      <w:r w:rsidRPr="00FA0FC2">
        <w:rPr>
          <w:rFonts w:hint="cs"/>
          <w:sz w:val="30"/>
          <w:rtl/>
          <w:lang/>
        </w:rPr>
        <w:t xml:space="preserve">والصادر </w:t>
      </w:r>
      <w:r w:rsidRPr="00FA0FC2">
        <w:rPr>
          <w:sz w:val="30"/>
          <w:rtl/>
          <w:lang/>
        </w:rPr>
        <w:t xml:space="preserve">في 4 </w:t>
      </w:r>
      <w:r w:rsidRPr="00FA0FC2">
        <w:rPr>
          <w:rFonts w:hint="cs"/>
          <w:sz w:val="30"/>
          <w:rtl/>
          <w:lang/>
        </w:rPr>
        <w:t>كانون الثاني/</w:t>
      </w:r>
      <w:r w:rsidRPr="00FA0FC2">
        <w:rPr>
          <w:sz w:val="30"/>
          <w:rtl/>
          <w:lang/>
        </w:rPr>
        <w:t xml:space="preserve">يناير 2011. </w:t>
      </w:r>
      <w:r w:rsidRPr="00FA0FC2">
        <w:rPr>
          <w:rFonts w:hint="cs"/>
          <w:sz w:val="30"/>
          <w:rtl/>
          <w:lang/>
        </w:rPr>
        <w:t>وأفادت</w:t>
      </w:r>
      <w:r w:rsidRPr="00FA0FC2">
        <w:rPr>
          <w:sz w:val="30"/>
          <w:rtl/>
          <w:lang/>
        </w:rPr>
        <w:t xml:space="preserve"> المحكمة الإدارية الاتحادية</w:t>
      </w:r>
      <w:r w:rsidRPr="00FA0FC2">
        <w:rPr>
          <w:rFonts w:hint="cs"/>
          <w:sz w:val="30"/>
          <w:rtl/>
          <w:lang/>
        </w:rPr>
        <w:t>، في معرض إشارتها إلى الوصف الذي قدمه صاحب الشكوى الأول بشأن توقيفه واعتقاله بعد 21 أيار/مايو 2009، ب</w:t>
      </w:r>
      <w:r w:rsidRPr="00FA0FC2">
        <w:rPr>
          <w:sz w:val="30"/>
          <w:rtl/>
          <w:lang/>
        </w:rPr>
        <w:t>أنه</w:t>
      </w:r>
      <w:r>
        <w:rPr>
          <w:sz w:val="30"/>
          <w:rtl/>
          <w:lang/>
        </w:rPr>
        <w:t xml:space="preserve"> لم </w:t>
      </w:r>
      <w:r w:rsidRPr="00FA0FC2">
        <w:rPr>
          <w:sz w:val="30"/>
          <w:rtl/>
          <w:lang/>
        </w:rPr>
        <w:t>يقدم</w:t>
      </w:r>
      <w:r>
        <w:rPr>
          <w:sz w:val="30"/>
          <w:rtl/>
          <w:lang/>
        </w:rPr>
        <w:t xml:space="preserve"> ما </w:t>
      </w:r>
      <w:r w:rsidRPr="00FA0FC2">
        <w:rPr>
          <w:sz w:val="30"/>
          <w:rtl/>
          <w:lang/>
        </w:rPr>
        <w:t>يكفي من التفاصيل</w:t>
      </w:r>
      <w:r w:rsidRPr="00FA0FC2">
        <w:rPr>
          <w:rFonts w:hint="cs"/>
          <w:sz w:val="30"/>
          <w:rtl/>
          <w:lang/>
        </w:rPr>
        <w:t xml:space="preserve"> في هذا الشأن</w:t>
      </w:r>
      <w:r w:rsidRPr="00FA0FC2">
        <w:rPr>
          <w:sz w:val="30"/>
          <w:rtl/>
          <w:lang/>
        </w:rPr>
        <w:t>.</w:t>
      </w:r>
      <w:r w:rsidRPr="00FA0FC2">
        <w:rPr>
          <w:rFonts w:hint="cs"/>
          <w:sz w:val="30"/>
          <w:rtl/>
          <w:lang/>
        </w:rPr>
        <w:t xml:space="preserve"> فهو</w:t>
      </w:r>
      <w:r>
        <w:rPr>
          <w:rFonts w:hint="cs"/>
          <w:sz w:val="30"/>
          <w:rtl/>
          <w:lang/>
        </w:rPr>
        <w:t xml:space="preserve"> لم</w:t>
      </w:r>
      <w:r>
        <w:rPr>
          <w:sz w:val="30"/>
          <w:rtl/>
          <w:lang/>
        </w:rPr>
        <w:t> </w:t>
      </w:r>
      <w:r w:rsidRPr="00FA0FC2">
        <w:rPr>
          <w:rFonts w:hint="cs"/>
          <w:sz w:val="30"/>
          <w:rtl/>
          <w:lang/>
        </w:rPr>
        <w:t>يكن قادراً، بوجه خاص، على تحديد اسم</w:t>
      </w:r>
      <w:r w:rsidRPr="00FA0FC2">
        <w:rPr>
          <w:sz w:val="30"/>
          <w:rtl/>
          <w:lang/>
        </w:rPr>
        <w:t xml:space="preserve"> المنظمة غير الحكومية التي يزعم أنها زار</w:t>
      </w:r>
      <w:r w:rsidRPr="00FA0FC2">
        <w:rPr>
          <w:rFonts w:hint="cs"/>
          <w:sz w:val="30"/>
          <w:rtl/>
          <w:lang/>
        </w:rPr>
        <w:t>ت</w:t>
      </w:r>
      <w:r w:rsidRPr="00FA0FC2">
        <w:rPr>
          <w:sz w:val="30"/>
          <w:rtl/>
          <w:lang/>
        </w:rPr>
        <w:t xml:space="preserve"> سجن المنصورة </w:t>
      </w:r>
      <w:r w:rsidRPr="00FA0FC2">
        <w:rPr>
          <w:rFonts w:hint="cs"/>
          <w:sz w:val="30"/>
          <w:rtl/>
          <w:lang/>
        </w:rPr>
        <w:t>الذي</w:t>
      </w:r>
      <w:r w:rsidRPr="00FA0FC2">
        <w:rPr>
          <w:sz w:val="30"/>
          <w:rtl/>
          <w:lang/>
        </w:rPr>
        <w:t xml:space="preserve"> كان معتقلا</w:t>
      </w:r>
      <w:r w:rsidRPr="00FA0FC2">
        <w:rPr>
          <w:rFonts w:hint="cs"/>
          <w:sz w:val="30"/>
          <w:rtl/>
          <w:lang/>
        </w:rPr>
        <w:t>ً</w:t>
      </w:r>
      <w:r w:rsidRPr="00FA0FC2">
        <w:rPr>
          <w:sz w:val="30"/>
          <w:rtl/>
          <w:lang/>
        </w:rPr>
        <w:t xml:space="preserve"> </w:t>
      </w:r>
      <w:r w:rsidRPr="00FA0FC2">
        <w:rPr>
          <w:rFonts w:hint="cs"/>
          <w:sz w:val="30"/>
          <w:rtl/>
          <w:lang/>
        </w:rPr>
        <w:t>فيه،</w:t>
      </w:r>
      <w:r>
        <w:rPr>
          <w:sz w:val="30"/>
          <w:rtl/>
          <w:lang/>
        </w:rPr>
        <w:t xml:space="preserve"> ولم </w:t>
      </w:r>
      <w:r w:rsidRPr="00FA0FC2">
        <w:rPr>
          <w:rFonts w:hint="cs"/>
          <w:sz w:val="30"/>
          <w:rtl/>
          <w:lang/>
        </w:rPr>
        <w:t>يتصل ب</w:t>
      </w:r>
      <w:r w:rsidRPr="00FA0FC2">
        <w:rPr>
          <w:sz w:val="30"/>
          <w:rtl/>
          <w:lang/>
        </w:rPr>
        <w:t xml:space="preserve">هذه المنظمة </w:t>
      </w:r>
      <w:r w:rsidRPr="00FA0FC2">
        <w:rPr>
          <w:rFonts w:hint="cs"/>
          <w:sz w:val="30"/>
          <w:rtl/>
          <w:lang/>
        </w:rPr>
        <w:t>لي</w:t>
      </w:r>
      <w:r w:rsidRPr="00FA0FC2">
        <w:rPr>
          <w:sz w:val="30"/>
          <w:rtl/>
          <w:lang/>
        </w:rPr>
        <w:t xml:space="preserve">طلب </w:t>
      </w:r>
      <w:r w:rsidRPr="00FA0FC2">
        <w:rPr>
          <w:rFonts w:hint="cs"/>
          <w:sz w:val="30"/>
          <w:rtl/>
          <w:lang/>
        </w:rPr>
        <w:t>منها موافاته</w:t>
      </w:r>
      <w:r w:rsidRPr="00FA0FC2">
        <w:rPr>
          <w:sz w:val="30"/>
          <w:rtl/>
          <w:lang/>
        </w:rPr>
        <w:t xml:space="preserve"> </w:t>
      </w:r>
      <w:r w:rsidRPr="00FA0FC2">
        <w:rPr>
          <w:rFonts w:hint="cs"/>
          <w:sz w:val="30"/>
          <w:rtl/>
          <w:lang/>
        </w:rPr>
        <w:t>ب</w:t>
      </w:r>
      <w:r w:rsidRPr="00FA0FC2">
        <w:rPr>
          <w:sz w:val="30"/>
          <w:rtl/>
          <w:lang/>
        </w:rPr>
        <w:t>شهادة</w:t>
      </w:r>
      <w:r w:rsidRPr="00FA0FC2">
        <w:rPr>
          <w:rFonts w:hint="cs"/>
          <w:sz w:val="30"/>
          <w:rtl/>
          <w:lang/>
        </w:rPr>
        <w:t xml:space="preserve"> تثبت هذه الزيارة إلاّ بعد إصدار</w:t>
      </w:r>
      <w:r w:rsidRPr="00FA0FC2">
        <w:rPr>
          <w:sz w:val="30"/>
          <w:rtl/>
          <w:lang/>
        </w:rPr>
        <w:t xml:space="preserve"> المكتب الاتحادي للهجرة </w:t>
      </w:r>
      <w:r w:rsidRPr="00FA0FC2">
        <w:rPr>
          <w:rFonts w:hint="cs"/>
          <w:sz w:val="30"/>
          <w:rtl/>
          <w:lang/>
        </w:rPr>
        <w:t>ل</w:t>
      </w:r>
      <w:r w:rsidRPr="00FA0FC2">
        <w:rPr>
          <w:sz w:val="30"/>
          <w:rtl/>
          <w:lang/>
        </w:rPr>
        <w:t xml:space="preserve">أول قرار </w:t>
      </w:r>
      <w:r w:rsidRPr="00FA0FC2">
        <w:rPr>
          <w:rFonts w:hint="cs"/>
          <w:sz w:val="30"/>
          <w:rtl/>
          <w:lang/>
        </w:rPr>
        <w:t>يرفض منحه مركز اللاجئ</w:t>
      </w:r>
      <w:r w:rsidRPr="00FA0FC2">
        <w:rPr>
          <w:sz w:val="30"/>
          <w:rtl/>
          <w:lang/>
        </w:rPr>
        <w:t>.</w:t>
      </w:r>
      <w:r>
        <w:rPr>
          <w:sz w:val="30"/>
          <w:rtl/>
          <w:lang/>
        </w:rPr>
        <w:t xml:space="preserve"> ولا </w:t>
      </w:r>
      <w:r w:rsidRPr="00FA0FC2">
        <w:rPr>
          <w:rFonts w:hint="cs"/>
          <w:sz w:val="30"/>
          <w:rtl/>
          <w:lang/>
        </w:rPr>
        <w:t>تتوافق</w:t>
      </w:r>
      <w:r w:rsidRPr="00FA0FC2">
        <w:rPr>
          <w:sz w:val="30"/>
          <w:rtl/>
          <w:lang/>
        </w:rPr>
        <w:t xml:space="preserve"> </w:t>
      </w:r>
      <w:r w:rsidRPr="00FA0FC2">
        <w:rPr>
          <w:rFonts w:hint="cs"/>
          <w:sz w:val="30"/>
          <w:rtl/>
          <w:lang/>
        </w:rPr>
        <w:t>ال</w:t>
      </w:r>
      <w:r w:rsidRPr="00FA0FC2">
        <w:rPr>
          <w:sz w:val="30"/>
          <w:rtl/>
          <w:lang/>
        </w:rPr>
        <w:t xml:space="preserve">شهادة </w:t>
      </w:r>
      <w:r w:rsidRPr="00FA0FC2">
        <w:rPr>
          <w:rFonts w:hint="cs"/>
          <w:sz w:val="30"/>
          <w:rtl/>
          <w:lang/>
        </w:rPr>
        <w:t xml:space="preserve">الصادرة عن منظمة المنى </w:t>
      </w:r>
      <w:r w:rsidRPr="00FA0FC2">
        <w:rPr>
          <w:sz w:val="30"/>
          <w:rtl/>
          <w:lang/>
        </w:rPr>
        <w:t xml:space="preserve">في 11 </w:t>
      </w:r>
      <w:r w:rsidRPr="00FA0FC2">
        <w:rPr>
          <w:rFonts w:hint="cs"/>
          <w:sz w:val="30"/>
          <w:rtl/>
          <w:lang/>
        </w:rPr>
        <w:t>أيار/</w:t>
      </w:r>
      <w:r w:rsidRPr="00FA0FC2">
        <w:rPr>
          <w:sz w:val="30"/>
          <w:rtl/>
          <w:lang/>
        </w:rPr>
        <w:t xml:space="preserve">مايو 2010، والمقدمة من صاحب الشكوى </w:t>
      </w:r>
      <w:r w:rsidRPr="00FA0FC2">
        <w:rPr>
          <w:rFonts w:hint="cs"/>
          <w:sz w:val="30"/>
          <w:rtl/>
          <w:lang/>
        </w:rPr>
        <w:t xml:space="preserve">الأول </w:t>
      </w:r>
      <w:r w:rsidRPr="00FA0FC2">
        <w:rPr>
          <w:sz w:val="30"/>
          <w:rtl/>
          <w:lang/>
        </w:rPr>
        <w:t>إلى المحكمة الإدارية</w:t>
      </w:r>
      <w:r w:rsidRPr="00FA0FC2">
        <w:rPr>
          <w:rFonts w:hint="cs"/>
          <w:sz w:val="30"/>
          <w:rtl/>
          <w:lang/>
        </w:rPr>
        <w:t xml:space="preserve"> الاتحادية توافقاً تاماً مع</w:t>
      </w:r>
      <w:r w:rsidRPr="00FA0FC2">
        <w:rPr>
          <w:sz w:val="30"/>
          <w:rtl/>
          <w:lang/>
        </w:rPr>
        <w:t xml:space="preserve"> </w:t>
      </w:r>
      <w:r w:rsidRPr="00FA0FC2">
        <w:rPr>
          <w:rFonts w:hint="cs"/>
          <w:sz w:val="30"/>
          <w:rtl/>
          <w:lang/>
        </w:rPr>
        <w:t>التصريحات التي أدلى بها</w:t>
      </w:r>
      <w:r w:rsidRPr="00FA0FC2">
        <w:rPr>
          <w:sz w:val="30"/>
          <w:rtl/>
          <w:lang/>
        </w:rPr>
        <w:t>، حيث إنه</w:t>
      </w:r>
      <w:r>
        <w:rPr>
          <w:sz w:val="30"/>
          <w:rtl/>
          <w:lang/>
        </w:rPr>
        <w:t xml:space="preserve"> لم </w:t>
      </w:r>
      <w:r w:rsidRPr="00FA0FC2">
        <w:rPr>
          <w:rFonts w:hint="cs"/>
          <w:sz w:val="30"/>
          <w:rtl/>
          <w:lang/>
        </w:rPr>
        <w:t xml:space="preserve">يدل أمام </w:t>
      </w:r>
      <w:r w:rsidRPr="00FA0FC2">
        <w:rPr>
          <w:sz w:val="30"/>
          <w:rtl/>
          <w:lang/>
        </w:rPr>
        <w:t xml:space="preserve">سلطات اللجوء </w:t>
      </w:r>
      <w:r w:rsidRPr="00FA0FC2">
        <w:rPr>
          <w:rFonts w:hint="cs"/>
          <w:sz w:val="30"/>
          <w:rtl/>
          <w:lang/>
        </w:rPr>
        <w:t>بأنه كان</w:t>
      </w:r>
      <w:r w:rsidRPr="00FA0FC2">
        <w:rPr>
          <w:sz w:val="30"/>
          <w:rtl/>
          <w:lang/>
        </w:rPr>
        <w:t xml:space="preserve"> ناشط</w:t>
      </w:r>
      <w:r w:rsidRPr="00FA0FC2">
        <w:rPr>
          <w:rFonts w:hint="cs"/>
          <w:sz w:val="30"/>
          <w:rtl/>
          <w:lang/>
        </w:rPr>
        <w:t>اً</w:t>
      </w:r>
      <w:r w:rsidRPr="00FA0FC2">
        <w:rPr>
          <w:sz w:val="30"/>
          <w:rtl/>
          <w:lang/>
        </w:rPr>
        <w:t xml:space="preserve"> في مجال حقوق الإنسان قبل </w:t>
      </w:r>
      <w:r w:rsidRPr="00FA0FC2">
        <w:rPr>
          <w:rFonts w:hint="cs"/>
          <w:sz w:val="30"/>
          <w:rtl/>
          <w:lang/>
        </w:rPr>
        <w:t>توقيفه</w:t>
      </w:r>
      <w:r w:rsidRPr="00FA0FC2">
        <w:rPr>
          <w:sz w:val="30"/>
          <w:rtl/>
          <w:lang/>
        </w:rPr>
        <w:t>. وعلاوة على ذلك</w:t>
      </w:r>
      <w:r w:rsidRPr="00FA0FC2">
        <w:rPr>
          <w:rFonts w:hint="cs"/>
          <w:sz w:val="30"/>
          <w:rtl/>
          <w:lang/>
        </w:rPr>
        <w:t xml:space="preserve">، قدم صاحب الشكوى ترجمتين متباينتين وغير رسميتين للأصل العربي لهذه الشهادة. </w:t>
      </w:r>
      <w:r w:rsidRPr="00FA0FC2">
        <w:rPr>
          <w:sz w:val="30"/>
          <w:rtl/>
          <w:lang/>
        </w:rPr>
        <w:t>و</w:t>
      </w:r>
      <w:r w:rsidRPr="00FA0FC2">
        <w:rPr>
          <w:rFonts w:hint="cs"/>
          <w:sz w:val="30"/>
          <w:rtl/>
          <w:lang/>
        </w:rPr>
        <w:t>بالإضافة إلى ذلك،</w:t>
      </w:r>
      <w:r>
        <w:rPr>
          <w:rFonts w:hint="cs"/>
          <w:sz w:val="30"/>
          <w:rtl/>
          <w:lang/>
        </w:rPr>
        <w:t xml:space="preserve"> لم</w:t>
      </w:r>
      <w:r>
        <w:rPr>
          <w:sz w:val="30"/>
          <w:rtl/>
          <w:lang/>
        </w:rPr>
        <w:t> </w:t>
      </w:r>
      <w:r w:rsidRPr="00FA0FC2">
        <w:rPr>
          <w:rFonts w:hint="cs"/>
          <w:sz w:val="30"/>
          <w:rtl/>
          <w:lang/>
        </w:rPr>
        <w:t>يتمكن صاحب</w:t>
      </w:r>
      <w:r w:rsidRPr="00FA0FC2">
        <w:rPr>
          <w:sz w:val="30"/>
          <w:rtl/>
          <w:lang/>
        </w:rPr>
        <w:t xml:space="preserve"> الشكوى الأول من ذكر أي</w:t>
      </w:r>
      <w:r w:rsidRPr="00FA0FC2">
        <w:rPr>
          <w:rFonts w:hint="cs"/>
          <w:sz w:val="30"/>
          <w:rtl/>
          <w:lang/>
        </w:rPr>
        <w:t>ة</w:t>
      </w:r>
      <w:r w:rsidRPr="00FA0FC2">
        <w:rPr>
          <w:sz w:val="30"/>
          <w:rtl/>
          <w:lang/>
        </w:rPr>
        <w:t xml:space="preserve"> مظاهرة عامة أخرى وقعت بعد إطلاق سراحه.</w:t>
      </w:r>
      <w:r w:rsidRPr="00FA0FC2">
        <w:rPr>
          <w:rFonts w:hint="cs"/>
          <w:sz w:val="30"/>
          <w:rtl/>
          <w:lang/>
        </w:rPr>
        <w:t xml:space="preserve"> </w:t>
      </w:r>
      <w:r w:rsidRPr="00FA0FC2">
        <w:rPr>
          <w:sz w:val="30"/>
          <w:rtl/>
          <w:lang/>
        </w:rPr>
        <w:t>و</w:t>
      </w:r>
      <w:r w:rsidRPr="00FA0FC2">
        <w:rPr>
          <w:rFonts w:hint="cs"/>
          <w:sz w:val="30"/>
          <w:rtl/>
          <w:lang/>
        </w:rPr>
        <w:t>أفادت</w:t>
      </w:r>
      <w:r w:rsidRPr="00FA0FC2">
        <w:rPr>
          <w:sz w:val="30"/>
          <w:rtl/>
          <w:lang/>
        </w:rPr>
        <w:t xml:space="preserve"> المحكمة الإدارية الاتحادية </w:t>
      </w:r>
      <w:r w:rsidRPr="00FA0FC2">
        <w:rPr>
          <w:rFonts w:hint="cs"/>
          <w:sz w:val="30"/>
          <w:rtl/>
          <w:lang/>
        </w:rPr>
        <w:t>ب</w:t>
      </w:r>
      <w:r w:rsidRPr="00FA0FC2">
        <w:rPr>
          <w:sz w:val="30"/>
          <w:rtl/>
          <w:lang/>
        </w:rPr>
        <w:t>أن جهود صاحب ال</w:t>
      </w:r>
      <w:r w:rsidRPr="00FA0FC2">
        <w:rPr>
          <w:rFonts w:hint="cs"/>
          <w:sz w:val="30"/>
          <w:rtl/>
          <w:lang/>
        </w:rPr>
        <w:t xml:space="preserve">شكوى </w:t>
      </w:r>
      <w:r w:rsidRPr="00FA0FC2">
        <w:rPr>
          <w:sz w:val="30"/>
          <w:rtl/>
          <w:lang/>
        </w:rPr>
        <w:t xml:space="preserve">الأول </w:t>
      </w:r>
      <w:r w:rsidRPr="00FA0FC2">
        <w:rPr>
          <w:rFonts w:hint="cs"/>
          <w:sz w:val="30"/>
          <w:rtl/>
          <w:lang/>
        </w:rPr>
        <w:t>من أجل ا</w:t>
      </w:r>
      <w:r w:rsidRPr="00FA0FC2">
        <w:rPr>
          <w:sz w:val="30"/>
          <w:rtl/>
          <w:lang/>
        </w:rPr>
        <w:t xml:space="preserve">لحصول على تأشيرات السفر وتنظيم </w:t>
      </w:r>
      <w:r w:rsidRPr="00FA0FC2">
        <w:rPr>
          <w:rFonts w:hint="cs"/>
          <w:sz w:val="30"/>
          <w:rtl/>
          <w:lang/>
        </w:rPr>
        <w:t>مغادرة أسرته</w:t>
      </w:r>
      <w:r w:rsidRPr="00FA0FC2">
        <w:rPr>
          <w:sz w:val="30"/>
          <w:rtl/>
          <w:lang/>
        </w:rPr>
        <w:t xml:space="preserve"> </w:t>
      </w:r>
      <w:r w:rsidRPr="00FA0FC2">
        <w:rPr>
          <w:rFonts w:hint="cs"/>
          <w:sz w:val="30"/>
          <w:rtl/>
          <w:lang/>
        </w:rPr>
        <w:t>ل</w:t>
      </w:r>
      <w:r w:rsidRPr="00FA0FC2">
        <w:rPr>
          <w:sz w:val="30"/>
          <w:rtl/>
          <w:lang/>
        </w:rPr>
        <w:t>ليمن تتعارض مع المراقبة المزعومة. وقد</w:t>
      </w:r>
      <w:r w:rsidR="005D6C55">
        <w:rPr>
          <w:rFonts w:hint="cs"/>
          <w:sz w:val="30"/>
          <w:rtl/>
          <w:lang/>
        </w:rPr>
        <w:t> </w:t>
      </w:r>
      <w:r w:rsidRPr="00FA0FC2">
        <w:rPr>
          <w:sz w:val="30"/>
          <w:rtl/>
          <w:lang/>
        </w:rPr>
        <w:t>غادر</w:t>
      </w:r>
      <w:r w:rsidRPr="00FA0FC2">
        <w:rPr>
          <w:rFonts w:hint="cs"/>
          <w:sz w:val="30"/>
          <w:rtl/>
          <w:lang/>
        </w:rPr>
        <w:t xml:space="preserve"> صاحب الشكوى الأول</w:t>
      </w:r>
      <w:r w:rsidRPr="00FA0FC2">
        <w:rPr>
          <w:sz w:val="30"/>
          <w:rtl/>
          <w:lang/>
        </w:rPr>
        <w:t xml:space="preserve"> اليمن </w:t>
      </w:r>
      <w:r w:rsidRPr="00FA0FC2">
        <w:rPr>
          <w:rFonts w:hint="cs"/>
          <w:sz w:val="30"/>
          <w:rtl/>
          <w:lang/>
        </w:rPr>
        <w:t>ب</w:t>
      </w:r>
      <w:r w:rsidRPr="00FA0FC2">
        <w:rPr>
          <w:sz w:val="30"/>
          <w:rtl/>
          <w:lang/>
        </w:rPr>
        <w:t>جواز سفر</w:t>
      </w:r>
      <w:r w:rsidRPr="00FA0FC2">
        <w:rPr>
          <w:rFonts w:hint="cs"/>
          <w:sz w:val="30"/>
          <w:rtl/>
          <w:lang/>
        </w:rPr>
        <w:t>ه وحصل على التأشيرة بصورة قانونية</w:t>
      </w:r>
      <w:r w:rsidRPr="00FA0FC2">
        <w:rPr>
          <w:sz w:val="30"/>
          <w:rtl/>
          <w:lang/>
        </w:rPr>
        <w:t xml:space="preserve">، </w:t>
      </w:r>
      <w:r w:rsidRPr="00FA0FC2">
        <w:rPr>
          <w:rFonts w:hint="cs"/>
          <w:sz w:val="30"/>
          <w:rtl/>
          <w:lang/>
        </w:rPr>
        <w:t>وهو</w:t>
      </w:r>
      <w:r w:rsidR="00A56C80">
        <w:rPr>
          <w:rFonts w:hint="eastAsia"/>
          <w:sz w:val="30"/>
          <w:rtl/>
          <w:lang/>
        </w:rPr>
        <w:t> </w:t>
      </w:r>
      <w:r>
        <w:rPr>
          <w:rFonts w:hint="cs"/>
          <w:sz w:val="30"/>
          <w:rtl/>
          <w:lang/>
        </w:rPr>
        <w:t>ما</w:t>
      </w:r>
      <w:r>
        <w:rPr>
          <w:sz w:val="30"/>
          <w:rtl/>
          <w:lang/>
        </w:rPr>
        <w:t> </w:t>
      </w:r>
      <w:r>
        <w:rPr>
          <w:rFonts w:hint="cs"/>
          <w:sz w:val="30"/>
          <w:rtl/>
          <w:lang/>
        </w:rPr>
        <w:t>لا</w:t>
      </w:r>
      <w:r>
        <w:rPr>
          <w:sz w:val="30"/>
          <w:rtl/>
          <w:lang/>
        </w:rPr>
        <w:t> </w:t>
      </w:r>
      <w:r w:rsidRPr="00FA0FC2">
        <w:rPr>
          <w:rFonts w:hint="cs"/>
          <w:sz w:val="30"/>
          <w:rtl/>
          <w:lang/>
        </w:rPr>
        <w:t>يكون ممكناً بالفعل</w:t>
      </w:r>
      <w:r w:rsidRPr="00FA0FC2">
        <w:rPr>
          <w:sz w:val="30"/>
          <w:rtl/>
          <w:lang/>
        </w:rPr>
        <w:t xml:space="preserve"> لو</w:t>
      </w:r>
      <w:r w:rsidRPr="00FA0FC2">
        <w:rPr>
          <w:rFonts w:hint="cs"/>
          <w:sz w:val="30"/>
          <w:rtl/>
          <w:lang/>
        </w:rPr>
        <w:t xml:space="preserve"> أنه كان مطلوباً من جهاز الأمن السياسي</w:t>
      </w:r>
      <w:r>
        <w:rPr>
          <w:rFonts w:hint="cs"/>
          <w:sz w:val="30"/>
          <w:rtl/>
          <w:lang/>
        </w:rPr>
        <w:t xml:space="preserve"> أو</w:t>
      </w:r>
      <w:r>
        <w:rPr>
          <w:sz w:val="30"/>
          <w:rtl/>
          <w:lang/>
        </w:rPr>
        <w:t> </w:t>
      </w:r>
      <w:r w:rsidRPr="00FA0FC2">
        <w:rPr>
          <w:rFonts w:hint="cs"/>
          <w:sz w:val="30"/>
          <w:rtl/>
          <w:lang/>
        </w:rPr>
        <w:t>موضوعاً تحت المراقبة</w:t>
      </w:r>
      <w:r w:rsidRPr="00FA0FC2">
        <w:rPr>
          <w:sz w:val="30"/>
          <w:rtl/>
          <w:lang/>
        </w:rPr>
        <w:t xml:space="preserve">. </w:t>
      </w:r>
      <w:r w:rsidRPr="00FA0FC2">
        <w:rPr>
          <w:rFonts w:hint="cs"/>
          <w:sz w:val="30"/>
          <w:rtl/>
          <w:lang/>
        </w:rPr>
        <w:t>وشككت</w:t>
      </w:r>
      <w:r w:rsidRPr="00FA0FC2">
        <w:rPr>
          <w:sz w:val="30"/>
          <w:rtl/>
          <w:lang/>
        </w:rPr>
        <w:t xml:space="preserve"> المحكمة الإدارية الاتحادية</w:t>
      </w:r>
      <w:r w:rsidRPr="00FA0FC2">
        <w:rPr>
          <w:rFonts w:hint="cs"/>
          <w:sz w:val="30"/>
          <w:rtl/>
          <w:lang/>
        </w:rPr>
        <w:t xml:space="preserve"> أيضاً</w:t>
      </w:r>
      <w:r w:rsidRPr="00FA0FC2">
        <w:rPr>
          <w:sz w:val="30"/>
          <w:rtl/>
          <w:lang/>
        </w:rPr>
        <w:t xml:space="preserve"> </w:t>
      </w:r>
      <w:r w:rsidRPr="00FA0FC2">
        <w:rPr>
          <w:rFonts w:hint="cs"/>
          <w:sz w:val="30"/>
          <w:rtl/>
          <w:lang/>
        </w:rPr>
        <w:t>في صحة أمر الحضور</w:t>
      </w:r>
      <w:r w:rsidRPr="00FA0FC2">
        <w:rPr>
          <w:sz w:val="30"/>
          <w:rtl/>
          <w:lang/>
        </w:rPr>
        <w:t xml:space="preserve"> </w:t>
      </w:r>
      <w:r w:rsidRPr="00FA0FC2">
        <w:rPr>
          <w:rFonts w:hint="cs"/>
          <w:sz w:val="30"/>
          <w:rtl/>
          <w:lang/>
        </w:rPr>
        <w:t>الصادر</w:t>
      </w:r>
      <w:r w:rsidRPr="00FA0FC2">
        <w:rPr>
          <w:sz w:val="30"/>
          <w:rtl/>
          <w:lang/>
        </w:rPr>
        <w:t xml:space="preserve"> عن</w:t>
      </w:r>
      <w:r w:rsidRPr="00FA0FC2">
        <w:rPr>
          <w:rFonts w:hint="cs"/>
          <w:sz w:val="30"/>
          <w:rtl/>
          <w:lang/>
        </w:rPr>
        <w:t xml:space="preserve"> مديرية البريقة التابعة</w:t>
      </w:r>
      <w:r w:rsidRPr="00FA0FC2">
        <w:rPr>
          <w:sz w:val="30"/>
          <w:rtl/>
          <w:lang/>
        </w:rPr>
        <w:t xml:space="preserve"> </w:t>
      </w:r>
      <w:r w:rsidRPr="00FA0FC2">
        <w:rPr>
          <w:rFonts w:hint="cs"/>
          <w:sz w:val="30"/>
          <w:rtl/>
          <w:lang/>
        </w:rPr>
        <w:t>ل</w:t>
      </w:r>
      <w:r w:rsidRPr="00FA0FC2">
        <w:rPr>
          <w:sz w:val="30"/>
          <w:rtl/>
          <w:lang/>
        </w:rPr>
        <w:t>وزارة الداخلية،</w:t>
      </w:r>
      <w:r w:rsidRPr="00FA0FC2">
        <w:rPr>
          <w:rFonts w:hint="cs"/>
          <w:sz w:val="30"/>
          <w:rtl/>
          <w:lang/>
        </w:rPr>
        <w:t xml:space="preserve"> والذي قدمه</w:t>
      </w:r>
      <w:r w:rsidRPr="00FA0FC2">
        <w:rPr>
          <w:sz w:val="30"/>
          <w:rtl/>
          <w:lang/>
        </w:rPr>
        <w:t xml:space="preserve"> صاحب الشكوى الأول مع طلب لجوئه. وعلاوة على ذلك، </w:t>
      </w:r>
      <w:r w:rsidRPr="00FA0FC2">
        <w:rPr>
          <w:rFonts w:hint="cs"/>
          <w:sz w:val="30"/>
          <w:rtl/>
          <w:lang/>
        </w:rPr>
        <w:t>فإن اليمن</w:t>
      </w:r>
      <w:r>
        <w:rPr>
          <w:rFonts w:hint="cs"/>
          <w:sz w:val="30"/>
          <w:rtl/>
          <w:lang/>
        </w:rPr>
        <w:t xml:space="preserve"> لا</w:t>
      </w:r>
      <w:r>
        <w:rPr>
          <w:sz w:val="30"/>
          <w:rtl/>
          <w:lang/>
        </w:rPr>
        <w:t> </w:t>
      </w:r>
      <w:r w:rsidRPr="00FA0FC2">
        <w:rPr>
          <w:rFonts w:hint="cs"/>
          <w:sz w:val="30"/>
          <w:rtl/>
          <w:lang/>
        </w:rPr>
        <w:t>يشهد أية</w:t>
      </w:r>
      <w:r w:rsidRPr="00FA0FC2">
        <w:rPr>
          <w:sz w:val="30"/>
          <w:rtl/>
          <w:lang/>
        </w:rPr>
        <w:t xml:space="preserve"> حرب</w:t>
      </w:r>
      <w:r>
        <w:rPr>
          <w:sz w:val="30"/>
          <w:rtl/>
          <w:lang/>
        </w:rPr>
        <w:t xml:space="preserve"> أو </w:t>
      </w:r>
      <w:r w:rsidRPr="00FA0FC2">
        <w:rPr>
          <w:sz w:val="30"/>
          <w:rtl/>
          <w:lang/>
        </w:rPr>
        <w:t>حرب أهلية</w:t>
      </w:r>
      <w:r>
        <w:rPr>
          <w:sz w:val="30"/>
          <w:rtl/>
          <w:lang/>
        </w:rPr>
        <w:t xml:space="preserve"> أو </w:t>
      </w:r>
      <w:r w:rsidRPr="00FA0FC2">
        <w:rPr>
          <w:sz w:val="30"/>
          <w:rtl/>
          <w:lang/>
        </w:rPr>
        <w:t xml:space="preserve">حالة </w:t>
      </w:r>
      <w:r w:rsidRPr="00FA0FC2">
        <w:rPr>
          <w:rFonts w:hint="cs"/>
          <w:sz w:val="30"/>
          <w:rtl/>
          <w:lang/>
        </w:rPr>
        <w:t>عنف متفشي</w:t>
      </w:r>
      <w:r w:rsidRPr="00FA0FC2">
        <w:rPr>
          <w:sz w:val="30"/>
          <w:rtl/>
          <w:lang/>
        </w:rPr>
        <w:t xml:space="preserve"> من شأنه</w:t>
      </w:r>
      <w:r w:rsidRPr="00FA0FC2">
        <w:rPr>
          <w:rFonts w:hint="cs"/>
          <w:sz w:val="30"/>
          <w:rtl/>
          <w:lang/>
        </w:rPr>
        <w:t>ا</w:t>
      </w:r>
      <w:r w:rsidRPr="00FA0FC2">
        <w:rPr>
          <w:sz w:val="30"/>
          <w:rtl/>
          <w:lang/>
        </w:rPr>
        <w:t xml:space="preserve"> أن </w:t>
      </w:r>
      <w:r w:rsidRPr="00FA0FC2">
        <w:rPr>
          <w:rFonts w:hint="cs"/>
          <w:sz w:val="30"/>
          <w:rtl/>
          <w:lang/>
        </w:rPr>
        <w:t>ت</w:t>
      </w:r>
      <w:r w:rsidRPr="00FA0FC2">
        <w:rPr>
          <w:sz w:val="30"/>
          <w:rtl/>
          <w:lang/>
        </w:rPr>
        <w:t xml:space="preserve">عرض للخطر أي شخص </w:t>
      </w:r>
      <w:r w:rsidRPr="00FA0FC2">
        <w:rPr>
          <w:rFonts w:hint="cs"/>
          <w:sz w:val="30"/>
          <w:rtl/>
          <w:lang/>
        </w:rPr>
        <w:t xml:space="preserve">أصيل </w:t>
      </w:r>
      <w:r w:rsidRPr="00FA0FC2">
        <w:rPr>
          <w:sz w:val="30"/>
          <w:rtl/>
          <w:lang/>
        </w:rPr>
        <w:t xml:space="preserve">هذا البلد بغض النظر عن </w:t>
      </w:r>
      <w:r w:rsidRPr="00FA0FC2">
        <w:rPr>
          <w:rFonts w:hint="cs"/>
          <w:sz w:val="30"/>
          <w:rtl/>
          <w:lang/>
        </w:rPr>
        <w:t>ظروفه الشخصية</w:t>
      </w:r>
      <w:r w:rsidRPr="00FA0FC2">
        <w:rPr>
          <w:sz w:val="30"/>
          <w:rtl/>
          <w:lang/>
        </w:rPr>
        <w:t xml:space="preserve">. </w:t>
      </w:r>
      <w:r w:rsidRPr="00FA0FC2">
        <w:rPr>
          <w:rFonts w:hint="cs"/>
          <w:sz w:val="30"/>
          <w:rtl/>
          <w:lang/>
        </w:rPr>
        <w:t>و</w:t>
      </w:r>
      <w:r w:rsidRPr="00FA0FC2">
        <w:rPr>
          <w:sz w:val="30"/>
          <w:rtl/>
          <w:lang/>
        </w:rPr>
        <w:t>خلصت</w:t>
      </w:r>
      <w:r w:rsidRPr="00FA0FC2">
        <w:rPr>
          <w:rFonts w:hint="cs"/>
          <w:sz w:val="30"/>
          <w:rtl/>
          <w:lang/>
        </w:rPr>
        <w:t xml:space="preserve"> </w:t>
      </w:r>
      <w:r w:rsidRPr="00FA0FC2">
        <w:rPr>
          <w:sz w:val="30"/>
          <w:rtl/>
          <w:lang/>
        </w:rPr>
        <w:t>المحكمة الإدارية الاتحادية</w:t>
      </w:r>
      <w:r w:rsidRPr="00FA0FC2">
        <w:rPr>
          <w:rFonts w:hint="cs"/>
          <w:sz w:val="30"/>
          <w:rtl/>
          <w:lang/>
        </w:rPr>
        <w:t xml:space="preserve"> في الأخير إلى</w:t>
      </w:r>
      <w:r w:rsidRPr="00FA0FC2">
        <w:rPr>
          <w:sz w:val="30"/>
          <w:rtl/>
          <w:lang/>
        </w:rPr>
        <w:t xml:space="preserve"> أن </w:t>
      </w:r>
      <w:r w:rsidRPr="00FA0FC2">
        <w:rPr>
          <w:rFonts w:hint="cs"/>
          <w:sz w:val="30"/>
          <w:rtl/>
          <w:lang/>
        </w:rPr>
        <w:t xml:space="preserve">صاحب </w:t>
      </w:r>
      <w:r w:rsidRPr="00FA0FC2">
        <w:rPr>
          <w:sz w:val="30"/>
          <w:rtl/>
          <w:lang/>
        </w:rPr>
        <w:t>الشكوى الأول</w:t>
      </w:r>
      <w:r>
        <w:rPr>
          <w:sz w:val="30"/>
          <w:rtl/>
          <w:lang/>
        </w:rPr>
        <w:t xml:space="preserve"> لم </w:t>
      </w:r>
      <w:r w:rsidRPr="00FA0FC2">
        <w:rPr>
          <w:rFonts w:hint="cs"/>
          <w:sz w:val="30"/>
          <w:rtl/>
          <w:lang/>
        </w:rPr>
        <w:t>يشارك</w:t>
      </w:r>
      <w:r w:rsidRPr="00FA0FC2">
        <w:rPr>
          <w:sz w:val="30"/>
          <w:rtl/>
          <w:lang/>
        </w:rPr>
        <w:t xml:space="preserve"> في أي نشاط سياسي ملموس منذ وصوله إلى سويسرا.</w:t>
      </w:r>
    </w:p>
    <w:p w:rsidR="00091373" w:rsidRPr="00E64023" w:rsidRDefault="00091373" w:rsidP="00091373">
      <w:pPr>
        <w:pStyle w:val="SingleTxtGA"/>
        <w:rPr>
          <w:spacing w:val="-2"/>
          <w:sz w:val="30"/>
          <w:rtl/>
          <w:lang/>
        </w:rPr>
      </w:pPr>
      <w:r w:rsidRPr="00E64023">
        <w:rPr>
          <w:spacing w:val="-2"/>
          <w:sz w:val="30"/>
          <w:rtl/>
          <w:lang w:val="fr-CH"/>
        </w:rPr>
        <w:t>2-9</w:t>
      </w:r>
      <w:r w:rsidRPr="00E64023">
        <w:rPr>
          <w:spacing w:val="-2"/>
          <w:sz w:val="30"/>
          <w:rtl/>
          <w:lang w:val="fr-CH"/>
        </w:rPr>
        <w:tab/>
      </w:r>
      <w:r w:rsidRPr="00E64023">
        <w:rPr>
          <w:rFonts w:hint="cs"/>
          <w:spacing w:val="-2"/>
          <w:sz w:val="30"/>
          <w:rtl/>
          <w:lang w:val="fr-CH"/>
        </w:rPr>
        <w:t>و</w:t>
      </w:r>
      <w:r w:rsidRPr="00E64023">
        <w:rPr>
          <w:rStyle w:val="hps"/>
          <w:spacing w:val="-2"/>
          <w:sz w:val="30"/>
          <w:rtl/>
          <w:lang/>
        </w:rPr>
        <w:t>في 28</w:t>
      </w:r>
      <w:r w:rsidRPr="00E64023">
        <w:rPr>
          <w:spacing w:val="-2"/>
          <w:sz w:val="30"/>
          <w:rtl/>
          <w:lang/>
        </w:rPr>
        <w:t xml:space="preserve"> </w:t>
      </w:r>
      <w:r w:rsidRPr="00E64023">
        <w:rPr>
          <w:rStyle w:val="hps"/>
          <w:spacing w:val="-2"/>
          <w:sz w:val="30"/>
          <w:rtl/>
          <w:lang/>
        </w:rPr>
        <w:t>كانون الثاني</w:t>
      </w:r>
      <w:r w:rsidRPr="00E64023">
        <w:rPr>
          <w:rStyle w:val="hps"/>
          <w:rFonts w:hint="cs"/>
          <w:spacing w:val="-2"/>
          <w:sz w:val="30"/>
          <w:rtl/>
          <w:lang/>
        </w:rPr>
        <w:t>/يناير</w:t>
      </w:r>
      <w:r w:rsidRPr="00E64023">
        <w:rPr>
          <w:rStyle w:val="hps"/>
          <w:spacing w:val="-2"/>
          <w:sz w:val="30"/>
          <w:rtl/>
          <w:lang/>
        </w:rPr>
        <w:t xml:space="preserve"> 2011،</w:t>
      </w:r>
      <w:r w:rsidRPr="00E64023">
        <w:rPr>
          <w:spacing w:val="-2"/>
          <w:sz w:val="30"/>
          <w:rtl/>
          <w:lang/>
        </w:rPr>
        <w:t xml:space="preserve"> </w:t>
      </w:r>
      <w:r w:rsidRPr="00E64023">
        <w:rPr>
          <w:rStyle w:val="hps"/>
          <w:spacing w:val="-2"/>
          <w:sz w:val="30"/>
          <w:rtl/>
          <w:lang/>
        </w:rPr>
        <w:t xml:space="preserve">طلب </w:t>
      </w:r>
      <w:r w:rsidRPr="00E64023">
        <w:rPr>
          <w:rStyle w:val="hps"/>
          <w:rFonts w:hint="cs"/>
          <w:spacing w:val="-2"/>
          <w:sz w:val="30"/>
          <w:rtl/>
          <w:lang/>
        </w:rPr>
        <w:t>أصحاب الشكوى مراجعة</w:t>
      </w:r>
      <w:r w:rsidRPr="00E64023">
        <w:rPr>
          <w:spacing w:val="-2"/>
          <w:sz w:val="30"/>
          <w:rtl/>
          <w:lang/>
        </w:rPr>
        <w:t xml:space="preserve"> </w:t>
      </w:r>
      <w:r w:rsidRPr="00E64023">
        <w:rPr>
          <w:rStyle w:val="hps"/>
          <w:spacing w:val="-2"/>
          <w:sz w:val="30"/>
          <w:rtl/>
          <w:lang/>
        </w:rPr>
        <w:t>الحكم الصادر</w:t>
      </w:r>
      <w:r w:rsidRPr="00E64023">
        <w:rPr>
          <w:spacing w:val="-2"/>
          <w:sz w:val="30"/>
          <w:rtl/>
          <w:lang/>
        </w:rPr>
        <w:t xml:space="preserve"> </w:t>
      </w:r>
      <w:r w:rsidRPr="00E64023">
        <w:rPr>
          <w:rStyle w:val="hps"/>
          <w:spacing w:val="-2"/>
          <w:sz w:val="30"/>
          <w:rtl/>
          <w:lang/>
        </w:rPr>
        <w:t>عن المحكمة</w:t>
      </w:r>
      <w:r w:rsidRPr="00E64023">
        <w:rPr>
          <w:spacing w:val="-2"/>
          <w:sz w:val="30"/>
          <w:rtl/>
          <w:lang/>
        </w:rPr>
        <w:t xml:space="preserve"> </w:t>
      </w:r>
      <w:r w:rsidRPr="00E64023">
        <w:rPr>
          <w:rStyle w:val="hps"/>
          <w:spacing w:val="-2"/>
          <w:sz w:val="30"/>
          <w:rtl/>
          <w:lang/>
        </w:rPr>
        <w:t>الإدارية الاتحادية</w:t>
      </w:r>
      <w:r w:rsidRPr="00E64023">
        <w:rPr>
          <w:spacing w:val="-2"/>
          <w:sz w:val="30"/>
          <w:rtl/>
          <w:lang/>
        </w:rPr>
        <w:t xml:space="preserve"> </w:t>
      </w:r>
      <w:r w:rsidRPr="00E64023">
        <w:rPr>
          <w:rStyle w:val="hps"/>
          <w:spacing w:val="-2"/>
          <w:sz w:val="30"/>
          <w:rtl/>
          <w:lang/>
        </w:rPr>
        <w:t>و</w:t>
      </w:r>
      <w:r w:rsidRPr="00E64023">
        <w:rPr>
          <w:rFonts w:hint="cs"/>
          <w:spacing w:val="-2"/>
          <w:sz w:val="30"/>
          <w:rtl/>
          <w:lang/>
        </w:rPr>
        <w:t>قدموا</w:t>
      </w:r>
      <w:r w:rsidRPr="00E64023">
        <w:rPr>
          <w:spacing w:val="-2"/>
          <w:sz w:val="30"/>
          <w:rtl/>
          <w:lang/>
        </w:rPr>
        <w:t xml:space="preserve"> </w:t>
      </w:r>
      <w:r w:rsidRPr="00E64023">
        <w:rPr>
          <w:rStyle w:val="hps"/>
          <w:spacing w:val="-2"/>
          <w:sz w:val="30"/>
          <w:rtl/>
          <w:lang/>
        </w:rPr>
        <w:t>أدلة جديدة</w:t>
      </w:r>
      <w:r w:rsidRPr="00E64023">
        <w:rPr>
          <w:spacing w:val="-2"/>
          <w:sz w:val="30"/>
          <w:rtl/>
          <w:lang/>
        </w:rPr>
        <w:t xml:space="preserve"> </w:t>
      </w:r>
      <w:r w:rsidRPr="00E64023">
        <w:rPr>
          <w:rStyle w:val="hps"/>
          <w:spacing w:val="-2"/>
          <w:sz w:val="30"/>
          <w:rtl/>
          <w:lang/>
        </w:rPr>
        <w:t>لدعم</w:t>
      </w:r>
      <w:r w:rsidRPr="00E64023">
        <w:rPr>
          <w:spacing w:val="-2"/>
          <w:sz w:val="30"/>
          <w:rtl/>
          <w:lang/>
        </w:rPr>
        <w:t xml:space="preserve"> </w:t>
      </w:r>
      <w:r w:rsidRPr="00E64023">
        <w:rPr>
          <w:rStyle w:val="hps"/>
          <w:rFonts w:hint="cs"/>
          <w:spacing w:val="-2"/>
          <w:sz w:val="30"/>
          <w:rtl/>
          <w:lang/>
        </w:rPr>
        <w:t>ادعاءاتهم</w:t>
      </w:r>
      <w:r w:rsidRPr="00E64023">
        <w:rPr>
          <w:spacing w:val="-2"/>
          <w:sz w:val="30"/>
          <w:rtl/>
          <w:lang/>
        </w:rPr>
        <w:t>، وهي</w:t>
      </w:r>
      <w:r w:rsidRPr="00E64023">
        <w:rPr>
          <w:rFonts w:hint="cs"/>
          <w:spacing w:val="-2"/>
          <w:sz w:val="30"/>
          <w:rtl/>
          <w:lang/>
        </w:rPr>
        <w:t xml:space="preserve"> تتمثل في</w:t>
      </w:r>
      <w:r w:rsidRPr="00E64023">
        <w:rPr>
          <w:spacing w:val="-2"/>
          <w:sz w:val="30"/>
          <w:rtl/>
          <w:lang/>
        </w:rPr>
        <w:t xml:space="preserve"> </w:t>
      </w:r>
      <w:r w:rsidRPr="00E64023">
        <w:rPr>
          <w:rStyle w:val="hps"/>
          <w:spacing w:val="-2"/>
          <w:sz w:val="30"/>
          <w:rtl/>
          <w:lang/>
        </w:rPr>
        <w:t>شهادة</w:t>
      </w:r>
      <w:r w:rsidRPr="00E64023">
        <w:rPr>
          <w:spacing w:val="-2"/>
          <w:sz w:val="30"/>
          <w:rtl/>
          <w:lang/>
        </w:rPr>
        <w:t xml:space="preserve"> </w:t>
      </w:r>
      <w:r w:rsidRPr="00E64023">
        <w:rPr>
          <w:rStyle w:val="hps"/>
          <w:rFonts w:hint="cs"/>
          <w:spacing w:val="-2"/>
          <w:sz w:val="30"/>
          <w:rtl/>
          <w:lang/>
        </w:rPr>
        <w:t>أصدرها</w:t>
      </w:r>
      <w:r w:rsidRPr="00E64023">
        <w:rPr>
          <w:spacing w:val="-2"/>
          <w:sz w:val="30"/>
          <w:rtl/>
          <w:lang/>
        </w:rPr>
        <w:t xml:space="preserve"> </w:t>
      </w:r>
      <w:r w:rsidRPr="00E64023">
        <w:rPr>
          <w:rStyle w:val="hps"/>
          <w:spacing w:val="-2"/>
          <w:sz w:val="30"/>
          <w:rtl/>
          <w:lang/>
        </w:rPr>
        <w:t>في 22 كانون الثاني</w:t>
      </w:r>
      <w:r w:rsidRPr="00E64023">
        <w:rPr>
          <w:rStyle w:val="hps"/>
          <w:rFonts w:hint="cs"/>
          <w:spacing w:val="-2"/>
          <w:sz w:val="30"/>
          <w:rtl/>
          <w:lang/>
        </w:rPr>
        <w:t>/يناير</w:t>
      </w:r>
      <w:r w:rsidRPr="00E64023">
        <w:rPr>
          <w:spacing w:val="-2"/>
          <w:sz w:val="30"/>
          <w:rtl/>
          <w:lang/>
        </w:rPr>
        <w:t xml:space="preserve"> </w:t>
      </w:r>
      <w:r w:rsidRPr="00E64023">
        <w:rPr>
          <w:rStyle w:val="hps"/>
          <w:spacing w:val="-2"/>
          <w:sz w:val="30"/>
          <w:rtl/>
          <w:lang/>
        </w:rPr>
        <w:t xml:space="preserve">2011 </w:t>
      </w:r>
      <w:r w:rsidRPr="00E64023">
        <w:rPr>
          <w:rStyle w:val="hps"/>
          <w:rFonts w:hint="cs"/>
          <w:spacing w:val="-2"/>
          <w:sz w:val="30"/>
          <w:rtl/>
          <w:lang/>
        </w:rPr>
        <w:t>أمين</w:t>
      </w:r>
      <w:r w:rsidRPr="00E64023">
        <w:rPr>
          <w:spacing w:val="-2"/>
          <w:sz w:val="30"/>
          <w:rtl/>
          <w:lang/>
        </w:rPr>
        <w:t xml:space="preserve"> </w:t>
      </w:r>
      <w:r w:rsidRPr="00E64023">
        <w:rPr>
          <w:rStyle w:val="hps"/>
          <w:spacing w:val="-2"/>
          <w:sz w:val="30"/>
          <w:rtl/>
          <w:lang/>
        </w:rPr>
        <w:t>الإعلام في</w:t>
      </w:r>
      <w:r w:rsidRPr="00E64023">
        <w:rPr>
          <w:spacing w:val="-2"/>
          <w:sz w:val="30"/>
          <w:rtl/>
          <w:lang/>
        </w:rPr>
        <w:t xml:space="preserve"> </w:t>
      </w:r>
      <w:r w:rsidRPr="00E64023">
        <w:rPr>
          <w:rStyle w:val="hps"/>
          <w:spacing w:val="-2"/>
          <w:sz w:val="30"/>
          <w:rtl/>
          <w:lang/>
        </w:rPr>
        <w:t>التجمع الديمقراطي الجنوبي</w:t>
      </w:r>
      <w:r w:rsidRPr="00E64023">
        <w:rPr>
          <w:spacing w:val="-2"/>
          <w:sz w:val="30"/>
          <w:rtl/>
          <w:lang/>
        </w:rPr>
        <w:t xml:space="preserve"> </w:t>
      </w:r>
      <w:r w:rsidRPr="00E64023">
        <w:rPr>
          <w:rStyle w:val="hps"/>
          <w:rFonts w:hint="cs"/>
          <w:spacing w:val="-2"/>
          <w:sz w:val="30"/>
          <w:rtl/>
          <w:lang/>
        </w:rPr>
        <w:t>الذي يوجد مقره في</w:t>
      </w:r>
      <w:r w:rsidRPr="00E64023">
        <w:rPr>
          <w:rStyle w:val="hps"/>
          <w:spacing w:val="-2"/>
          <w:sz w:val="30"/>
          <w:rtl/>
          <w:lang/>
        </w:rPr>
        <w:t xml:space="preserve"> المملكة</w:t>
      </w:r>
      <w:r w:rsidRPr="00E64023">
        <w:rPr>
          <w:spacing w:val="-2"/>
          <w:sz w:val="30"/>
          <w:rtl/>
          <w:lang/>
        </w:rPr>
        <w:t xml:space="preserve"> </w:t>
      </w:r>
      <w:r w:rsidRPr="00E64023">
        <w:rPr>
          <w:rStyle w:val="hps"/>
          <w:spacing w:val="-2"/>
          <w:sz w:val="30"/>
          <w:rtl/>
          <w:lang/>
        </w:rPr>
        <w:t>المتحدة</w:t>
      </w:r>
      <w:r w:rsidRPr="00E64023">
        <w:rPr>
          <w:spacing w:val="-2"/>
          <w:sz w:val="30"/>
          <w:rtl/>
          <w:lang/>
        </w:rPr>
        <w:t xml:space="preserve">، </w:t>
      </w:r>
      <w:r w:rsidRPr="00E64023">
        <w:rPr>
          <w:rStyle w:val="hps"/>
          <w:spacing w:val="-2"/>
          <w:sz w:val="30"/>
          <w:rtl/>
          <w:lang/>
        </w:rPr>
        <w:t>و</w:t>
      </w:r>
      <w:r w:rsidRPr="00E64023">
        <w:rPr>
          <w:spacing w:val="-2"/>
          <w:sz w:val="30"/>
          <w:rtl/>
          <w:lang/>
        </w:rPr>
        <w:t xml:space="preserve">شهادة </w:t>
      </w:r>
      <w:r w:rsidRPr="00E64023">
        <w:rPr>
          <w:rStyle w:val="hps"/>
          <w:spacing w:val="-2"/>
          <w:sz w:val="30"/>
          <w:rtl/>
          <w:lang/>
        </w:rPr>
        <w:t>أخرى</w:t>
      </w:r>
      <w:r w:rsidRPr="00E64023">
        <w:rPr>
          <w:spacing w:val="-2"/>
          <w:sz w:val="30"/>
          <w:rtl/>
          <w:lang/>
        </w:rPr>
        <w:t xml:space="preserve"> </w:t>
      </w:r>
      <w:r w:rsidRPr="00E64023">
        <w:rPr>
          <w:rStyle w:val="hps"/>
          <w:rFonts w:hint="cs"/>
          <w:spacing w:val="-2"/>
          <w:sz w:val="30"/>
          <w:rtl/>
          <w:lang/>
        </w:rPr>
        <w:t>صدرت في</w:t>
      </w:r>
      <w:r w:rsidRPr="00E64023">
        <w:rPr>
          <w:rStyle w:val="hps"/>
          <w:spacing w:val="-2"/>
          <w:sz w:val="30"/>
          <w:rtl/>
          <w:lang/>
        </w:rPr>
        <w:t xml:space="preserve"> 23 </w:t>
      </w:r>
      <w:r w:rsidRPr="00E64023">
        <w:rPr>
          <w:rStyle w:val="hps"/>
          <w:rFonts w:hint="cs"/>
          <w:spacing w:val="-2"/>
          <w:sz w:val="30"/>
          <w:rtl/>
          <w:lang/>
        </w:rPr>
        <w:t>كانون الثاني/</w:t>
      </w:r>
      <w:r w:rsidRPr="00E64023">
        <w:rPr>
          <w:rStyle w:val="hps"/>
          <w:spacing w:val="-2"/>
          <w:sz w:val="30"/>
          <w:rtl/>
          <w:lang/>
        </w:rPr>
        <w:t>يناير</w:t>
      </w:r>
      <w:r w:rsidRPr="00E64023">
        <w:rPr>
          <w:spacing w:val="-2"/>
          <w:sz w:val="30"/>
          <w:rtl/>
          <w:lang/>
        </w:rPr>
        <w:t xml:space="preserve"> </w:t>
      </w:r>
      <w:r w:rsidRPr="00E64023">
        <w:rPr>
          <w:rStyle w:val="hps"/>
          <w:spacing w:val="-2"/>
          <w:sz w:val="30"/>
          <w:rtl/>
          <w:lang/>
        </w:rPr>
        <w:t xml:space="preserve">2011 </w:t>
      </w:r>
      <w:r w:rsidRPr="00E64023">
        <w:rPr>
          <w:rStyle w:val="hps"/>
          <w:rFonts w:hint="cs"/>
          <w:spacing w:val="-2"/>
          <w:sz w:val="30"/>
          <w:rtl/>
          <w:lang/>
        </w:rPr>
        <w:t>عن</w:t>
      </w:r>
      <w:r w:rsidRPr="00E64023">
        <w:rPr>
          <w:spacing w:val="-2"/>
          <w:sz w:val="30"/>
          <w:rtl/>
          <w:lang/>
        </w:rPr>
        <w:t xml:space="preserve"> </w:t>
      </w:r>
      <w:r w:rsidRPr="00E64023">
        <w:rPr>
          <w:rStyle w:val="hps"/>
          <w:spacing w:val="-2"/>
          <w:sz w:val="30"/>
          <w:rtl/>
          <w:lang/>
        </w:rPr>
        <w:t>مكتب</w:t>
      </w:r>
      <w:r w:rsidRPr="00E64023">
        <w:rPr>
          <w:spacing w:val="-2"/>
          <w:sz w:val="30"/>
          <w:rtl/>
          <w:lang/>
        </w:rPr>
        <w:t xml:space="preserve"> </w:t>
      </w:r>
      <w:r w:rsidRPr="00E64023">
        <w:rPr>
          <w:rStyle w:val="hps"/>
          <w:spacing w:val="-2"/>
          <w:sz w:val="30"/>
          <w:rtl/>
          <w:lang/>
        </w:rPr>
        <w:t>الرئيس</w:t>
      </w:r>
      <w:r w:rsidRPr="00E64023">
        <w:rPr>
          <w:spacing w:val="-2"/>
          <w:sz w:val="30"/>
          <w:rtl/>
          <w:lang/>
        </w:rPr>
        <w:t xml:space="preserve"> </w:t>
      </w:r>
      <w:r w:rsidRPr="00E64023">
        <w:rPr>
          <w:rStyle w:val="hps"/>
          <w:spacing w:val="-2"/>
          <w:sz w:val="30"/>
          <w:rtl/>
          <w:lang/>
        </w:rPr>
        <w:t>السابق لجمهورية</w:t>
      </w:r>
      <w:r w:rsidRPr="00E64023">
        <w:rPr>
          <w:spacing w:val="-2"/>
          <w:sz w:val="30"/>
          <w:rtl/>
          <w:lang/>
        </w:rPr>
        <w:t xml:space="preserve"> </w:t>
      </w:r>
      <w:r w:rsidRPr="00E64023">
        <w:rPr>
          <w:rStyle w:val="hps"/>
          <w:spacing w:val="-2"/>
          <w:sz w:val="30"/>
          <w:rtl/>
          <w:lang/>
        </w:rPr>
        <w:t>اليمن الديمقراطية</w:t>
      </w:r>
      <w:r w:rsidRPr="00E64023">
        <w:rPr>
          <w:spacing w:val="-2"/>
          <w:sz w:val="30"/>
          <w:rtl/>
          <w:lang/>
        </w:rPr>
        <w:t xml:space="preserve">، </w:t>
      </w:r>
      <w:r w:rsidRPr="00E64023">
        <w:rPr>
          <w:rFonts w:hint="cs"/>
          <w:spacing w:val="-2"/>
          <w:sz w:val="30"/>
          <w:rtl/>
          <w:lang/>
        </w:rPr>
        <w:t xml:space="preserve">السيد </w:t>
      </w:r>
      <w:r w:rsidRPr="00E64023">
        <w:rPr>
          <w:rStyle w:val="hps"/>
          <w:spacing w:val="-2"/>
          <w:sz w:val="30"/>
          <w:rtl/>
          <w:lang/>
        </w:rPr>
        <w:t>علي سالم</w:t>
      </w:r>
      <w:r w:rsidRPr="00E64023">
        <w:rPr>
          <w:spacing w:val="-2"/>
          <w:sz w:val="30"/>
          <w:rtl/>
          <w:lang/>
        </w:rPr>
        <w:t xml:space="preserve"> </w:t>
      </w:r>
      <w:r w:rsidRPr="00E64023">
        <w:rPr>
          <w:rStyle w:val="hps"/>
          <w:spacing w:val="-2"/>
          <w:sz w:val="30"/>
          <w:rtl/>
          <w:lang/>
        </w:rPr>
        <w:t>البيض</w:t>
      </w:r>
      <w:r w:rsidRPr="00E64023">
        <w:rPr>
          <w:spacing w:val="-2"/>
          <w:sz w:val="30"/>
          <w:rtl/>
          <w:lang/>
        </w:rPr>
        <w:t>. وفي </w:t>
      </w:r>
      <w:r w:rsidRPr="00E64023">
        <w:rPr>
          <w:rStyle w:val="hps"/>
          <w:spacing w:val="-2"/>
          <w:sz w:val="30"/>
          <w:rtl/>
          <w:lang/>
        </w:rPr>
        <w:t>15 شباط</w:t>
      </w:r>
      <w:r w:rsidRPr="00E64023">
        <w:rPr>
          <w:rStyle w:val="hps"/>
          <w:rFonts w:hint="cs"/>
          <w:spacing w:val="-2"/>
          <w:sz w:val="30"/>
          <w:rtl/>
          <w:lang/>
        </w:rPr>
        <w:t>/</w:t>
      </w:r>
      <w:r>
        <w:rPr>
          <w:rStyle w:val="hps"/>
          <w:rFonts w:hint="cs"/>
          <w:spacing w:val="-2"/>
          <w:sz w:val="30"/>
          <w:rtl/>
          <w:lang/>
        </w:rPr>
        <w:t xml:space="preserve"> </w:t>
      </w:r>
      <w:r w:rsidRPr="00E64023">
        <w:rPr>
          <w:rStyle w:val="hps"/>
          <w:rFonts w:hint="cs"/>
          <w:spacing w:val="-2"/>
          <w:sz w:val="30"/>
          <w:rtl/>
          <w:lang/>
        </w:rPr>
        <w:t>فبراير</w:t>
      </w:r>
      <w:r w:rsidRPr="00E64023">
        <w:rPr>
          <w:spacing w:val="-2"/>
          <w:sz w:val="30"/>
          <w:rtl/>
          <w:lang/>
        </w:rPr>
        <w:t xml:space="preserve"> </w:t>
      </w:r>
      <w:r w:rsidRPr="00E64023">
        <w:rPr>
          <w:rStyle w:val="hps"/>
          <w:spacing w:val="-2"/>
          <w:sz w:val="30"/>
          <w:rtl/>
          <w:lang/>
        </w:rPr>
        <w:t>2011،</w:t>
      </w:r>
      <w:r w:rsidRPr="00E64023">
        <w:rPr>
          <w:spacing w:val="-2"/>
          <w:sz w:val="30"/>
          <w:rtl/>
          <w:lang/>
        </w:rPr>
        <w:t xml:space="preserve"> </w:t>
      </w:r>
      <w:r w:rsidRPr="00E64023">
        <w:rPr>
          <w:rStyle w:val="hps"/>
          <w:spacing w:val="-2"/>
          <w:sz w:val="30"/>
          <w:rtl/>
          <w:lang/>
        </w:rPr>
        <w:t>قدم</w:t>
      </w:r>
      <w:r w:rsidRPr="00E64023">
        <w:rPr>
          <w:spacing w:val="-2"/>
          <w:sz w:val="30"/>
          <w:rtl/>
          <w:lang/>
        </w:rPr>
        <w:t xml:space="preserve"> </w:t>
      </w:r>
      <w:r w:rsidRPr="00E64023">
        <w:rPr>
          <w:rFonts w:hint="cs"/>
          <w:spacing w:val="-2"/>
          <w:sz w:val="30"/>
          <w:rtl/>
          <w:lang/>
        </w:rPr>
        <w:t xml:space="preserve">أصحاب </w:t>
      </w:r>
      <w:r w:rsidRPr="00E64023">
        <w:rPr>
          <w:rStyle w:val="hps"/>
          <w:spacing w:val="-2"/>
          <w:sz w:val="30"/>
          <w:rtl/>
          <w:lang/>
        </w:rPr>
        <w:t>الشكوى</w:t>
      </w:r>
      <w:r w:rsidRPr="00E64023">
        <w:rPr>
          <w:spacing w:val="-2"/>
          <w:sz w:val="30"/>
          <w:rtl/>
          <w:lang/>
        </w:rPr>
        <w:t xml:space="preserve"> </w:t>
      </w:r>
      <w:r w:rsidRPr="00E64023">
        <w:rPr>
          <w:rStyle w:val="hps"/>
          <w:spacing w:val="-2"/>
          <w:sz w:val="30"/>
          <w:rtl/>
          <w:lang/>
        </w:rPr>
        <w:t xml:space="preserve">نسخة </w:t>
      </w:r>
      <w:r w:rsidRPr="00E64023">
        <w:rPr>
          <w:rStyle w:val="hps"/>
          <w:rFonts w:hint="cs"/>
          <w:spacing w:val="-2"/>
          <w:sz w:val="30"/>
          <w:rtl/>
          <w:lang/>
        </w:rPr>
        <w:t>مصورة</w:t>
      </w:r>
      <w:r w:rsidRPr="00E64023">
        <w:rPr>
          <w:spacing w:val="-2"/>
          <w:sz w:val="30"/>
          <w:rtl/>
          <w:lang/>
        </w:rPr>
        <w:t xml:space="preserve"> </w:t>
      </w:r>
      <w:r w:rsidRPr="00E64023">
        <w:rPr>
          <w:rStyle w:val="hps"/>
          <w:rFonts w:hint="cs"/>
          <w:spacing w:val="-2"/>
          <w:sz w:val="30"/>
          <w:rtl/>
          <w:lang/>
        </w:rPr>
        <w:t>من الشهادة</w:t>
      </w:r>
      <w:r w:rsidRPr="00E64023">
        <w:rPr>
          <w:rStyle w:val="hps"/>
          <w:spacing w:val="-2"/>
          <w:sz w:val="30"/>
          <w:rtl/>
          <w:lang/>
        </w:rPr>
        <w:t xml:space="preserve"> الصادرة</w:t>
      </w:r>
      <w:r w:rsidRPr="00E64023">
        <w:rPr>
          <w:spacing w:val="-2"/>
          <w:sz w:val="30"/>
          <w:rtl/>
          <w:lang/>
        </w:rPr>
        <w:t xml:space="preserve"> </w:t>
      </w:r>
      <w:r w:rsidRPr="00E64023">
        <w:rPr>
          <w:rStyle w:val="hps"/>
          <w:spacing w:val="-2"/>
          <w:sz w:val="30"/>
          <w:rtl/>
          <w:lang/>
        </w:rPr>
        <w:t>في 19 كانون الثاني</w:t>
      </w:r>
      <w:r w:rsidRPr="00E64023">
        <w:rPr>
          <w:rStyle w:val="hps"/>
          <w:rFonts w:hint="cs"/>
          <w:spacing w:val="-2"/>
          <w:sz w:val="30"/>
          <w:rtl/>
          <w:lang/>
        </w:rPr>
        <w:t>/يناير</w:t>
      </w:r>
      <w:r w:rsidRPr="00E64023">
        <w:rPr>
          <w:spacing w:val="-2"/>
          <w:sz w:val="30"/>
          <w:rtl/>
          <w:lang/>
        </w:rPr>
        <w:t xml:space="preserve"> </w:t>
      </w:r>
      <w:r w:rsidRPr="00E64023">
        <w:rPr>
          <w:rStyle w:val="hps"/>
          <w:spacing w:val="-2"/>
          <w:sz w:val="30"/>
          <w:rtl/>
          <w:lang/>
        </w:rPr>
        <w:t xml:space="preserve">2011 </w:t>
      </w:r>
      <w:r w:rsidRPr="00E64023">
        <w:rPr>
          <w:rStyle w:val="hps"/>
          <w:rFonts w:hint="cs"/>
          <w:spacing w:val="-2"/>
          <w:sz w:val="30"/>
          <w:rtl/>
          <w:lang/>
        </w:rPr>
        <w:t>عن</w:t>
      </w:r>
      <w:r w:rsidRPr="00E64023">
        <w:rPr>
          <w:spacing w:val="-2"/>
          <w:sz w:val="30"/>
          <w:rtl/>
          <w:lang/>
        </w:rPr>
        <w:t xml:space="preserve"> </w:t>
      </w:r>
      <w:r w:rsidRPr="00E64023">
        <w:rPr>
          <w:rStyle w:val="hps"/>
          <w:spacing w:val="-2"/>
          <w:sz w:val="30"/>
          <w:rtl/>
          <w:lang/>
        </w:rPr>
        <w:t>سلطات سجن</w:t>
      </w:r>
      <w:r w:rsidRPr="00E64023">
        <w:rPr>
          <w:spacing w:val="-2"/>
          <w:sz w:val="30"/>
          <w:rtl/>
          <w:lang/>
        </w:rPr>
        <w:t xml:space="preserve"> </w:t>
      </w:r>
      <w:r w:rsidRPr="00E64023">
        <w:rPr>
          <w:rStyle w:val="hps"/>
          <w:spacing w:val="-2"/>
          <w:sz w:val="30"/>
          <w:rtl/>
          <w:lang/>
        </w:rPr>
        <w:t>المنصورة</w:t>
      </w:r>
      <w:r w:rsidRPr="00E64023">
        <w:rPr>
          <w:spacing w:val="-2"/>
          <w:sz w:val="30"/>
          <w:rtl/>
          <w:lang/>
        </w:rPr>
        <w:t xml:space="preserve">، </w:t>
      </w:r>
      <w:r w:rsidRPr="00E64023">
        <w:rPr>
          <w:rFonts w:hint="cs"/>
          <w:spacing w:val="-2"/>
          <w:sz w:val="30"/>
          <w:rtl/>
          <w:lang/>
        </w:rPr>
        <w:t>والتي تؤكد</w:t>
      </w:r>
      <w:r w:rsidRPr="00E64023">
        <w:rPr>
          <w:spacing w:val="-2"/>
          <w:sz w:val="30"/>
          <w:rtl/>
          <w:lang/>
        </w:rPr>
        <w:t xml:space="preserve"> </w:t>
      </w:r>
      <w:r w:rsidRPr="00E64023">
        <w:rPr>
          <w:rStyle w:val="hps"/>
          <w:spacing w:val="-2"/>
          <w:sz w:val="30"/>
          <w:rtl/>
          <w:lang/>
        </w:rPr>
        <w:t>ا</w:t>
      </w:r>
      <w:r w:rsidRPr="00E64023">
        <w:rPr>
          <w:rStyle w:val="hps"/>
          <w:rFonts w:hint="cs"/>
          <w:spacing w:val="-2"/>
          <w:sz w:val="30"/>
          <w:rtl/>
          <w:lang/>
        </w:rPr>
        <w:t xml:space="preserve">حتجاز </w:t>
      </w:r>
      <w:r w:rsidRPr="00E64023">
        <w:rPr>
          <w:rStyle w:val="hps"/>
          <w:spacing w:val="-2"/>
          <w:sz w:val="30"/>
          <w:rtl/>
          <w:lang/>
        </w:rPr>
        <w:t>صاحب ال</w:t>
      </w:r>
      <w:r w:rsidRPr="00E64023">
        <w:rPr>
          <w:rStyle w:val="hps"/>
          <w:rFonts w:hint="cs"/>
          <w:spacing w:val="-2"/>
          <w:sz w:val="30"/>
          <w:rtl/>
          <w:lang/>
        </w:rPr>
        <w:t>شكوى</w:t>
      </w:r>
      <w:r w:rsidRPr="00E64023">
        <w:rPr>
          <w:rStyle w:val="hps"/>
          <w:spacing w:val="-2"/>
          <w:sz w:val="30"/>
          <w:rtl/>
          <w:lang/>
        </w:rPr>
        <w:t xml:space="preserve"> الأول</w:t>
      </w:r>
      <w:r w:rsidRPr="00E64023">
        <w:rPr>
          <w:spacing w:val="-2"/>
          <w:sz w:val="30"/>
          <w:rtl/>
          <w:lang/>
        </w:rPr>
        <w:t xml:space="preserve"> </w:t>
      </w:r>
      <w:r w:rsidRPr="00E64023">
        <w:rPr>
          <w:rStyle w:val="hps"/>
          <w:spacing w:val="-2"/>
          <w:sz w:val="30"/>
          <w:rtl/>
          <w:lang/>
        </w:rPr>
        <w:t>في الفترة من 21</w:t>
      </w:r>
      <w:r w:rsidRPr="00E64023">
        <w:rPr>
          <w:spacing w:val="-2"/>
          <w:sz w:val="30"/>
          <w:rtl/>
          <w:lang/>
        </w:rPr>
        <w:t xml:space="preserve"> </w:t>
      </w:r>
      <w:r w:rsidRPr="00E64023">
        <w:rPr>
          <w:rFonts w:hint="cs"/>
          <w:spacing w:val="-2"/>
          <w:sz w:val="30"/>
          <w:rtl/>
          <w:lang/>
        </w:rPr>
        <w:t>أيار/</w:t>
      </w:r>
      <w:r w:rsidRPr="00E64023">
        <w:rPr>
          <w:rStyle w:val="hps"/>
          <w:spacing w:val="-2"/>
          <w:sz w:val="30"/>
          <w:rtl/>
          <w:lang/>
        </w:rPr>
        <w:t>مايو 2009 إلى</w:t>
      </w:r>
      <w:r w:rsidRPr="00E64023">
        <w:rPr>
          <w:spacing w:val="-2"/>
          <w:sz w:val="30"/>
          <w:rtl/>
          <w:lang/>
        </w:rPr>
        <w:t xml:space="preserve"> </w:t>
      </w:r>
      <w:r w:rsidRPr="00E64023">
        <w:rPr>
          <w:rStyle w:val="hps"/>
          <w:spacing w:val="-2"/>
          <w:sz w:val="30"/>
          <w:rtl/>
          <w:lang/>
        </w:rPr>
        <w:t xml:space="preserve">30 </w:t>
      </w:r>
      <w:r w:rsidRPr="00E64023">
        <w:rPr>
          <w:rStyle w:val="hps"/>
          <w:rFonts w:hint="cs"/>
          <w:spacing w:val="-2"/>
          <w:sz w:val="30"/>
          <w:rtl/>
          <w:lang/>
        </w:rPr>
        <w:t>حزيران/يونيه</w:t>
      </w:r>
      <w:r w:rsidRPr="00E64023">
        <w:rPr>
          <w:rStyle w:val="hps"/>
          <w:spacing w:val="-2"/>
          <w:sz w:val="30"/>
          <w:rtl/>
          <w:lang/>
        </w:rPr>
        <w:t xml:space="preserve"> 2009</w:t>
      </w:r>
      <w:r w:rsidRPr="00E64023">
        <w:rPr>
          <w:spacing w:val="-2"/>
          <w:sz w:val="30"/>
          <w:rtl/>
          <w:lang/>
        </w:rPr>
        <w:t xml:space="preserve">. </w:t>
      </w:r>
      <w:r w:rsidRPr="00E64023">
        <w:rPr>
          <w:rStyle w:val="hps"/>
          <w:spacing w:val="-2"/>
          <w:sz w:val="30"/>
          <w:rtl/>
          <w:lang/>
        </w:rPr>
        <w:t>وبالإضافة إلى ذلك</w:t>
      </w:r>
      <w:r w:rsidRPr="00E64023">
        <w:rPr>
          <w:spacing w:val="-2"/>
          <w:sz w:val="30"/>
          <w:rtl/>
          <w:lang/>
        </w:rPr>
        <w:t>، قدم</w:t>
      </w:r>
      <w:r w:rsidRPr="00E64023">
        <w:rPr>
          <w:rFonts w:hint="cs"/>
          <w:spacing w:val="-2"/>
          <w:sz w:val="30"/>
          <w:rtl/>
          <w:lang/>
        </w:rPr>
        <w:t xml:space="preserve"> أصحاب </w:t>
      </w:r>
      <w:r w:rsidRPr="00E64023">
        <w:rPr>
          <w:rStyle w:val="hps"/>
          <w:spacing w:val="-2"/>
          <w:sz w:val="30"/>
          <w:rtl/>
          <w:lang/>
        </w:rPr>
        <w:t>الشكوى</w:t>
      </w:r>
      <w:r w:rsidRPr="00E64023">
        <w:rPr>
          <w:spacing w:val="-2"/>
          <w:sz w:val="30"/>
          <w:rtl/>
          <w:lang/>
        </w:rPr>
        <w:t xml:space="preserve"> </w:t>
      </w:r>
      <w:r w:rsidRPr="00E64023">
        <w:rPr>
          <w:rStyle w:val="hps"/>
          <w:spacing w:val="-2"/>
          <w:sz w:val="30"/>
          <w:rtl/>
          <w:lang/>
        </w:rPr>
        <w:t>عدد</w:t>
      </w:r>
      <w:r w:rsidRPr="00E64023">
        <w:rPr>
          <w:rStyle w:val="hps"/>
          <w:rFonts w:hint="cs"/>
          <w:spacing w:val="-2"/>
          <w:sz w:val="30"/>
          <w:rtl/>
          <w:lang/>
        </w:rPr>
        <w:t>اً</w:t>
      </w:r>
      <w:r w:rsidRPr="00E64023">
        <w:rPr>
          <w:rStyle w:val="hps"/>
          <w:spacing w:val="-2"/>
          <w:sz w:val="30"/>
          <w:rtl/>
          <w:lang/>
        </w:rPr>
        <w:t xml:space="preserve"> من الوثائق</w:t>
      </w:r>
      <w:r w:rsidRPr="00E64023">
        <w:rPr>
          <w:spacing w:val="-2"/>
          <w:sz w:val="30"/>
          <w:rtl/>
          <w:lang/>
        </w:rPr>
        <w:t xml:space="preserve"> </w:t>
      </w:r>
      <w:r w:rsidRPr="00E64023">
        <w:rPr>
          <w:rStyle w:val="hps"/>
          <w:spacing w:val="-2"/>
          <w:sz w:val="30"/>
          <w:rtl/>
          <w:lang/>
        </w:rPr>
        <w:t>المتعلقة بأنشطة</w:t>
      </w:r>
      <w:r w:rsidRPr="00E64023">
        <w:rPr>
          <w:spacing w:val="-2"/>
          <w:sz w:val="30"/>
          <w:rtl/>
          <w:lang/>
        </w:rPr>
        <w:t xml:space="preserve"> </w:t>
      </w:r>
      <w:r w:rsidRPr="00E64023">
        <w:rPr>
          <w:rStyle w:val="hps"/>
          <w:rFonts w:hint="cs"/>
          <w:spacing w:val="-2"/>
          <w:sz w:val="30"/>
          <w:rtl/>
          <w:lang/>
        </w:rPr>
        <w:t>صاحب</w:t>
      </w:r>
      <w:r w:rsidRPr="00E64023">
        <w:rPr>
          <w:rStyle w:val="hps"/>
          <w:spacing w:val="-2"/>
          <w:sz w:val="30"/>
          <w:rtl/>
          <w:lang/>
        </w:rPr>
        <w:t xml:space="preserve"> الشكوى</w:t>
      </w:r>
      <w:r w:rsidRPr="00E64023">
        <w:rPr>
          <w:spacing w:val="-2"/>
          <w:sz w:val="30"/>
          <w:rtl/>
          <w:lang/>
        </w:rPr>
        <w:t xml:space="preserve"> </w:t>
      </w:r>
      <w:r w:rsidRPr="00E64023">
        <w:rPr>
          <w:rStyle w:val="hps"/>
          <w:spacing w:val="-2"/>
          <w:sz w:val="30"/>
          <w:rtl/>
          <w:lang/>
        </w:rPr>
        <w:t>الأول في</w:t>
      </w:r>
      <w:r w:rsidRPr="00E64023">
        <w:rPr>
          <w:spacing w:val="-2"/>
          <w:sz w:val="30"/>
          <w:rtl/>
          <w:lang/>
        </w:rPr>
        <w:t xml:space="preserve"> </w:t>
      </w:r>
      <w:r w:rsidRPr="00E64023">
        <w:rPr>
          <w:rStyle w:val="hps"/>
          <w:spacing w:val="-2"/>
          <w:sz w:val="30"/>
          <w:rtl/>
          <w:lang/>
        </w:rPr>
        <w:t>سويسرا</w:t>
      </w:r>
      <w:r w:rsidRPr="00E64023">
        <w:rPr>
          <w:spacing w:val="-2"/>
          <w:sz w:val="30"/>
          <w:rtl/>
          <w:lang/>
        </w:rPr>
        <w:t xml:space="preserve">، </w:t>
      </w:r>
      <w:r w:rsidRPr="00E64023">
        <w:rPr>
          <w:rStyle w:val="hps"/>
          <w:rFonts w:hint="cs"/>
          <w:spacing w:val="-2"/>
          <w:sz w:val="30"/>
          <w:rtl/>
          <w:lang/>
        </w:rPr>
        <w:t>من قبيل مقالات</w:t>
      </w:r>
      <w:r w:rsidRPr="00E64023">
        <w:rPr>
          <w:spacing w:val="-2"/>
          <w:sz w:val="30"/>
          <w:rtl/>
          <w:lang/>
        </w:rPr>
        <w:t xml:space="preserve"> </w:t>
      </w:r>
      <w:r w:rsidRPr="00E64023">
        <w:rPr>
          <w:rStyle w:val="hps"/>
          <w:rFonts w:hint="cs"/>
          <w:spacing w:val="-2"/>
          <w:sz w:val="30"/>
          <w:rtl/>
          <w:lang/>
        </w:rPr>
        <w:t>منشورة على</w:t>
      </w:r>
      <w:r w:rsidRPr="00E64023">
        <w:rPr>
          <w:rStyle w:val="hps"/>
          <w:spacing w:val="-2"/>
          <w:sz w:val="30"/>
          <w:rtl/>
          <w:lang/>
        </w:rPr>
        <w:t xml:space="preserve"> الإنترنت</w:t>
      </w:r>
      <w:r w:rsidRPr="00E64023">
        <w:rPr>
          <w:spacing w:val="-2"/>
          <w:sz w:val="30"/>
          <w:rtl/>
          <w:lang/>
        </w:rPr>
        <w:t xml:space="preserve"> </w:t>
      </w:r>
      <w:r w:rsidRPr="00E64023">
        <w:rPr>
          <w:rStyle w:val="hps"/>
          <w:spacing w:val="-2"/>
          <w:sz w:val="30"/>
          <w:rtl/>
          <w:lang/>
        </w:rPr>
        <w:t>وصور</w:t>
      </w:r>
      <w:r w:rsidRPr="00E64023">
        <w:rPr>
          <w:rStyle w:val="hps"/>
          <w:rFonts w:hint="cs"/>
          <w:spacing w:val="-2"/>
          <w:sz w:val="30"/>
          <w:rtl/>
          <w:lang/>
        </w:rPr>
        <w:t xml:space="preserve"> فوتوغرافية</w:t>
      </w:r>
      <w:r w:rsidRPr="00E64023">
        <w:rPr>
          <w:spacing w:val="-2"/>
          <w:sz w:val="30"/>
          <w:rtl/>
          <w:lang/>
        </w:rPr>
        <w:t xml:space="preserve"> </w:t>
      </w:r>
      <w:r w:rsidRPr="00E64023">
        <w:rPr>
          <w:rStyle w:val="hps"/>
          <w:rFonts w:hint="cs"/>
          <w:spacing w:val="-2"/>
          <w:sz w:val="30"/>
          <w:rtl/>
          <w:lang/>
        </w:rPr>
        <w:t>لل</w:t>
      </w:r>
      <w:r w:rsidRPr="00E64023">
        <w:rPr>
          <w:rStyle w:val="hps"/>
          <w:spacing w:val="-2"/>
          <w:sz w:val="30"/>
          <w:rtl/>
          <w:lang/>
        </w:rPr>
        <w:t>مظاهرات التي</w:t>
      </w:r>
      <w:r w:rsidRPr="00E64023">
        <w:rPr>
          <w:spacing w:val="-2"/>
          <w:sz w:val="30"/>
          <w:rtl/>
          <w:lang/>
        </w:rPr>
        <w:t xml:space="preserve"> </w:t>
      </w:r>
      <w:r w:rsidRPr="00E64023">
        <w:rPr>
          <w:rStyle w:val="hps"/>
          <w:rFonts w:hint="cs"/>
          <w:spacing w:val="-2"/>
          <w:sz w:val="30"/>
          <w:rtl/>
          <w:lang/>
        </w:rPr>
        <w:t>شارك فيها</w:t>
      </w:r>
      <w:r w:rsidRPr="00E64023">
        <w:rPr>
          <w:rStyle w:val="hps"/>
          <w:spacing w:val="-2"/>
          <w:sz w:val="30"/>
          <w:rtl/>
          <w:lang/>
        </w:rPr>
        <w:t xml:space="preserve"> </w:t>
      </w:r>
      <w:r w:rsidRPr="00E64023">
        <w:rPr>
          <w:rStyle w:val="hps"/>
          <w:rFonts w:hint="cs"/>
          <w:spacing w:val="-2"/>
          <w:sz w:val="30"/>
          <w:rtl/>
          <w:lang/>
        </w:rPr>
        <w:t>طيلة عام</w:t>
      </w:r>
      <w:r w:rsidRPr="00E64023">
        <w:rPr>
          <w:rStyle w:val="hps"/>
          <w:spacing w:val="-2"/>
          <w:sz w:val="30"/>
          <w:rtl/>
          <w:lang/>
        </w:rPr>
        <w:t> 2010</w:t>
      </w:r>
      <w:r w:rsidRPr="00E64023">
        <w:rPr>
          <w:spacing w:val="-2"/>
          <w:sz w:val="30"/>
          <w:rtl/>
          <w:lang/>
        </w:rPr>
        <w:t xml:space="preserve"> وفي </w:t>
      </w:r>
      <w:r w:rsidRPr="00E64023">
        <w:rPr>
          <w:rStyle w:val="hps"/>
          <w:rFonts w:hint="cs"/>
          <w:spacing w:val="-2"/>
          <w:sz w:val="30"/>
          <w:rtl/>
          <w:lang/>
        </w:rPr>
        <w:t>آذار/</w:t>
      </w:r>
      <w:r w:rsidRPr="00E64023">
        <w:rPr>
          <w:spacing w:val="-2"/>
          <w:sz w:val="30"/>
          <w:rtl/>
          <w:lang/>
        </w:rPr>
        <w:t>مارس 2011</w:t>
      </w:r>
      <w:r w:rsidRPr="00E64023">
        <w:rPr>
          <w:rFonts w:hint="cs"/>
          <w:spacing w:val="-2"/>
          <w:sz w:val="30"/>
          <w:rtl/>
          <w:lang/>
        </w:rPr>
        <w:t>.</w:t>
      </w:r>
    </w:p>
    <w:p w:rsidR="00091373" w:rsidRPr="00FA0FC2" w:rsidRDefault="00091373" w:rsidP="00091373">
      <w:pPr>
        <w:pStyle w:val="SingleTxtGA"/>
        <w:rPr>
          <w:sz w:val="30"/>
          <w:rtl/>
          <w:lang/>
        </w:rPr>
      </w:pPr>
      <w:r w:rsidRPr="00FA0FC2">
        <w:rPr>
          <w:sz w:val="30"/>
          <w:rtl/>
          <w:lang w:val="fr-CH"/>
        </w:rPr>
        <w:t>2-10</w:t>
      </w:r>
      <w:r w:rsidRPr="00FA0FC2">
        <w:rPr>
          <w:sz w:val="30"/>
          <w:rtl/>
          <w:lang w:val="fr-CH"/>
        </w:rPr>
        <w:tab/>
      </w:r>
      <w:r w:rsidRPr="00FA0FC2">
        <w:rPr>
          <w:rFonts w:hint="cs"/>
          <w:sz w:val="30"/>
          <w:rtl/>
          <w:lang w:val="fr-CH"/>
        </w:rPr>
        <w:t>و</w:t>
      </w:r>
      <w:r w:rsidRPr="00FA0FC2">
        <w:rPr>
          <w:rStyle w:val="hps"/>
          <w:sz w:val="30"/>
          <w:rtl/>
          <w:lang/>
        </w:rPr>
        <w:t>في 27</w:t>
      </w:r>
      <w:r w:rsidRPr="00FA0FC2">
        <w:rPr>
          <w:sz w:val="30"/>
          <w:rtl/>
          <w:lang/>
        </w:rPr>
        <w:t xml:space="preserve"> </w:t>
      </w:r>
      <w:r w:rsidRPr="00FA0FC2">
        <w:rPr>
          <w:rFonts w:hint="cs"/>
          <w:sz w:val="30"/>
          <w:rtl/>
          <w:lang/>
        </w:rPr>
        <w:t>أيار/</w:t>
      </w:r>
      <w:r w:rsidRPr="00FA0FC2">
        <w:rPr>
          <w:rStyle w:val="hps"/>
          <w:sz w:val="30"/>
          <w:rtl/>
          <w:lang/>
        </w:rPr>
        <w:t>مايو 2011،</w:t>
      </w:r>
      <w:r w:rsidRPr="00FA0FC2">
        <w:rPr>
          <w:sz w:val="30"/>
          <w:rtl/>
          <w:lang/>
        </w:rPr>
        <w:t xml:space="preserve"> </w:t>
      </w:r>
      <w:r w:rsidRPr="00FA0FC2">
        <w:rPr>
          <w:rStyle w:val="hps"/>
          <w:sz w:val="30"/>
          <w:rtl/>
          <w:lang/>
        </w:rPr>
        <w:t>رفضت المحكمة</w:t>
      </w:r>
      <w:r w:rsidRPr="00FA0FC2">
        <w:rPr>
          <w:sz w:val="30"/>
          <w:rtl/>
          <w:lang/>
        </w:rPr>
        <w:t xml:space="preserve"> </w:t>
      </w:r>
      <w:r w:rsidRPr="00FA0FC2">
        <w:rPr>
          <w:rStyle w:val="hps"/>
          <w:sz w:val="30"/>
          <w:rtl/>
          <w:lang/>
        </w:rPr>
        <w:t>الإدارية الاتحادية</w:t>
      </w:r>
      <w:r w:rsidRPr="00FA0FC2">
        <w:rPr>
          <w:sz w:val="30"/>
          <w:rtl/>
          <w:lang/>
        </w:rPr>
        <w:t xml:space="preserve"> </w:t>
      </w:r>
      <w:r w:rsidRPr="00FA0FC2">
        <w:rPr>
          <w:rStyle w:val="hps"/>
          <w:sz w:val="30"/>
          <w:rtl/>
          <w:lang/>
        </w:rPr>
        <w:t>طلب</w:t>
      </w:r>
      <w:r w:rsidRPr="00FA0FC2">
        <w:rPr>
          <w:sz w:val="30"/>
          <w:rtl/>
          <w:lang/>
        </w:rPr>
        <w:t xml:space="preserve"> </w:t>
      </w:r>
      <w:r w:rsidRPr="00FA0FC2">
        <w:rPr>
          <w:rStyle w:val="hps"/>
          <w:rFonts w:hint="cs"/>
          <w:sz w:val="30"/>
          <w:rtl/>
          <w:lang/>
        </w:rPr>
        <w:t>أصحاب الشكوى بمراجعة</w:t>
      </w:r>
      <w:r w:rsidRPr="00FA0FC2">
        <w:rPr>
          <w:sz w:val="30"/>
          <w:rtl/>
          <w:lang/>
        </w:rPr>
        <w:t xml:space="preserve"> </w:t>
      </w:r>
      <w:r w:rsidRPr="00FA0FC2">
        <w:rPr>
          <w:rStyle w:val="hps"/>
          <w:rFonts w:hint="cs"/>
          <w:sz w:val="30"/>
          <w:rtl/>
          <w:lang/>
        </w:rPr>
        <w:t>الحكم</w:t>
      </w:r>
      <w:r w:rsidRPr="00FA0FC2">
        <w:rPr>
          <w:sz w:val="30"/>
          <w:rtl/>
          <w:lang/>
        </w:rPr>
        <w:t>.</w:t>
      </w:r>
      <w:r>
        <w:rPr>
          <w:sz w:val="30"/>
          <w:rtl/>
          <w:lang/>
        </w:rPr>
        <w:t xml:space="preserve"> وفيما </w:t>
      </w:r>
      <w:r w:rsidRPr="00FA0FC2">
        <w:rPr>
          <w:rStyle w:val="hps"/>
          <w:sz w:val="30"/>
          <w:rtl/>
          <w:lang/>
        </w:rPr>
        <w:t>يتعلق</w:t>
      </w:r>
      <w:r w:rsidRPr="00FA0FC2">
        <w:rPr>
          <w:sz w:val="30"/>
          <w:rtl/>
          <w:lang/>
        </w:rPr>
        <w:t xml:space="preserve"> </w:t>
      </w:r>
      <w:r w:rsidRPr="00FA0FC2">
        <w:rPr>
          <w:rFonts w:hint="cs"/>
          <w:sz w:val="30"/>
          <w:rtl/>
          <w:lang/>
        </w:rPr>
        <w:t>ب</w:t>
      </w:r>
      <w:r w:rsidRPr="00FA0FC2">
        <w:rPr>
          <w:rStyle w:val="hps"/>
          <w:rFonts w:hint="cs"/>
          <w:sz w:val="30"/>
          <w:rtl/>
          <w:lang/>
        </w:rPr>
        <w:t>الأدلة</w:t>
      </w:r>
      <w:r w:rsidRPr="00FA0FC2">
        <w:rPr>
          <w:rStyle w:val="hps"/>
          <w:sz w:val="30"/>
          <w:rtl/>
          <w:lang/>
        </w:rPr>
        <w:t xml:space="preserve"> الجديدة التي قدمها</w:t>
      </w:r>
      <w:r w:rsidRPr="00FA0FC2">
        <w:rPr>
          <w:sz w:val="30"/>
          <w:rtl/>
          <w:lang/>
        </w:rPr>
        <w:t xml:space="preserve">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sz w:val="30"/>
          <w:rtl/>
          <w:lang/>
        </w:rPr>
        <w:t>(انظر</w:t>
      </w:r>
      <w:r w:rsidRPr="00FA0FC2">
        <w:rPr>
          <w:sz w:val="30"/>
          <w:rtl/>
          <w:lang/>
        </w:rPr>
        <w:t xml:space="preserve"> </w:t>
      </w:r>
      <w:r w:rsidRPr="00FA0FC2">
        <w:rPr>
          <w:rStyle w:val="hps"/>
          <w:sz w:val="30"/>
          <w:rtl/>
          <w:lang/>
        </w:rPr>
        <w:t>الفقرة</w:t>
      </w:r>
      <w:r w:rsidRPr="00FA0FC2">
        <w:rPr>
          <w:sz w:val="30"/>
          <w:rtl/>
          <w:lang/>
        </w:rPr>
        <w:t xml:space="preserve"> </w:t>
      </w:r>
      <w:r w:rsidRPr="00FA0FC2">
        <w:rPr>
          <w:rStyle w:val="hps"/>
          <w:sz w:val="30"/>
          <w:rtl/>
          <w:lang/>
        </w:rPr>
        <w:t>2</w:t>
      </w:r>
      <w:r w:rsidRPr="00FA0FC2">
        <w:rPr>
          <w:rStyle w:val="hps"/>
          <w:rFonts w:hint="cs"/>
          <w:sz w:val="30"/>
          <w:rtl/>
          <w:lang/>
        </w:rPr>
        <w:t>-</w:t>
      </w:r>
      <w:r w:rsidRPr="00FA0FC2">
        <w:rPr>
          <w:rStyle w:val="hps"/>
          <w:sz w:val="30"/>
          <w:rtl/>
          <w:lang/>
        </w:rPr>
        <w:t>9</w:t>
      </w:r>
      <w:r w:rsidRPr="00FA0FC2">
        <w:rPr>
          <w:sz w:val="30"/>
          <w:rtl/>
          <w:lang/>
        </w:rPr>
        <w:t xml:space="preserve"> </w:t>
      </w:r>
      <w:r w:rsidRPr="00FA0FC2">
        <w:rPr>
          <w:rStyle w:val="hps"/>
          <w:sz w:val="30"/>
          <w:rtl/>
          <w:lang/>
        </w:rPr>
        <w:t>أعلاه)</w:t>
      </w:r>
      <w:r w:rsidRPr="00FA0FC2">
        <w:rPr>
          <w:sz w:val="30"/>
          <w:rtl/>
          <w:lang/>
        </w:rPr>
        <w:t xml:space="preserve">، </w:t>
      </w:r>
      <w:r w:rsidRPr="00FA0FC2">
        <w:rPr>
          <w:rStyle w:val="hps"/>
          <w:sz w:val="30"/>
          <w:rtl/>
          <w:lang/>
        </w:rPr>
        <w:t>قضت المحكمة</w:t>
      </w:r>
      <w:r w:rsidRPr="00FA0FC2">
        <w:rPr>
          <w:sz w:val="30"/>
          <w:rtl/>
          <w:lang/>
        </w:rPr>
        <w:t xml:space="preserve"> </w:t>
      </w:r>
      <w:r w:rsidRPr="00FA0FC2">
        <w:rPr>
          <w:rStyle w:val="hps"/>
          <w:sz w:val="30"/>
          <w:rtl/>
          <w:lang/>
        </w:rPr>
        <w:t>الإدارية الاتحادية</w:t>
      </w:r>
      <w:r w:rsidRPr="00FA0FC2">
        <w:rPr>
          <w:sz w:val="30"/>
          <w:rtl/>
          <w:lang/>
        </w:rPr>
        <w:t xml:space="preserve"> </w:t>
      </w:r>
      <w:r w:rsidRPr="00FA0FC2">
        <w:rPr>
          <w:rStyle w:val="hps"/>
          <w:sz w:val="30"/>
          <w:rtl/>
          <w:lang/>
        </w:rPr>
        <w:t>أنه حتى</w:t>
      </w:r>
      <w:r w:rsidRPr="00FA0FC2">
        <w:rPr>
          <w:sz w:val="30"/>
          <w:rtl/>
          <w:lang/>
        </w:rPr>
        <w:t xml:space="preserve"> </w:t>
      </w:r>
      <w:r w:rsidRPr="00FA0FC2">
        <w:rPr>
          <w:rStyle w:val="hps"/>
          <w:rFonts w:hint="cs"/>
          <w:sz w:val="30"/>
          <w:rtl/>
          <w:lang/>
        </w:rPr>
        <w:t xml:space="preserve">مع </w:t>
      </w:r>
      <w:r w:rsidRPr="00FA0FC2">
        <w:rPr>
          <w:rStyle w:val="hps"/>
          <w:sz w:val="30"/>
          <w:rtl/>
          <w:lang/>
        </w:rPr>
        <w:t xml:space="preserve">افتراض </w:t>
      </w:r>
      <w:r w:rsidRPr="00FA0FC2">
        <w:rPr>
          <w:rStyle w:val="hps"/>
          <w:rFonts w:hint="cs"/>
          <w:sz w:val="30"/>
          <w:rtl/>
          <w:lang/>
        </w:rPr>
        <w:t>صحة</w:t>
      </w:r>
      <w:r w:rsidRPr="00FA0FC2">
        <w:rPr>
          <w:sz w:val="30"/>
          <w:rtl/>
          <w:lang/>
        </w:rPr>
        <w:t xml:space="preserve"> </w:t>
      </w:r>
      <w:r w:rsidRPr="00FA0FC2">
        <w:rPr>
          <w:rStyle w:val="hps"/>
          <w:sz w:val="30"/>
          <w:rtl/>
          <w:lang/>
        </w:rPr>
        <w:t xml:space="preserve">الوثائق </w:t>
      </w:r>
      <w:r w:rsidRPr="00FA0FC2">
        <w:rPr>
          <w:rStyle w:val="hps"/>
          <w:rFonts w:hint="cs"/>
          <w:sz w:val="30"/>
          <w:rtl/>
          <w:lang/>
        </w:rPr>
        <w:t>وعدم تسليمها من باب المحاباة</w:t>
      </w:r>
      <w:r w:rsidRPr="00FA0FC2">
        <w:rPr>
          <w:sz w:val="30"/>
          <w:rtl/>
          <w:lang/>
        </w:rPr>
        <w:t xml:space="preserve">، </w:t>
      </w:r>
      <w:r w:rsidRPr="00FA0FC2">
        <w:rPr>
          <w:rFonts w:hint="cs"/>
          <w:sz w:val="30"/>
          <w:rtl/>
          <w:lang/>
        </w:rPr>
        <w:t>فإنها</w:t>
      </w:r>
      <w:r>
        <w:rPr>
          <w:rFonts w:hint="cs"/>
          <w:sz w:val="30"/>
          <w:rtl/>
          <w:lang/>
        </w:rPr>
        <w:t xml:space="preserve"> لا</w:t>
      </w:r>
      <w:r>
        <w:rPr>
          <w:sz w:val="30"/>
          <w:rtl/>
          <w:lang/>
        </w:rPr>
        <w:t> </w:t>
      </w:r>
      <w:r w:rsidRPr="00FA0FC2">
        <w:rPr>
          <w:rFonts w:hint="cs"/>
          <w:sz w:val="30"/>
          <w:rtl/>
          <w:lang/>
        </w:rPr>
        <w:t>تُعدّ دليلاً كافياً</w:t>
      </w:r>
      <w:r w:rsidRPr="00FA0FC2">
        <w:rPr>
          <w:sz w:val="30"/>
          <w:rtl/>
          <w:lang/>
        </w:rPr>
        <w:t xml:space="preserve"> </w:t>
      </w:r>
      <w:r w:rsidRPr="00FA0FC2">
        <w:rPr>
          <w:rStyle w:val="hps"/>
          <w:sz w:val="30"/>
          <w:rtl/>
          <w:lang/>
        </w:rPr>
        <w:t>لإثبات</w:t>
      </w:r>
      <w:r w:rsidRPr="00FA0FC2">
        <w:rPr>
          <w:sz w:val="30"/>
          <w:rtl/>
          <w:lang/>
        </w:rPr>
        <w:t xml:space="preserve"> </w:t>
      </w:r>
      <w:r w:rsidRPr="00FA0FC2">
        <w:rPr>
          <w:rStyle w:val="hps"/>
          <w:sz w:val="30"/>
          <w:rtl/>
          <w:lang/>
        </w:rPr>
        <w:t>الاضطهاد</w:t>
      </w:r>
      <w:r w:rsidRPr="00FA0FC2">
        <w:rPr>
          <w:sz w:val="30"/>
          <w:rtl/>
          <w:lang/>
        </w:rPr>
        <w:t xml:space="preserve"> </w:t>
      </w:r>
      <w:r w:rsidRPr="00FA0FC2">
        <w:rPr>
          <w:rStyle w:val="hps"/>
          <w:sz w:val="30"/>
          <w:rtl/>
          <w:lang/>
        </w:rPr>
        <w:t>المزعوم</w:t>
      </w:r>
      <w:r w:rsidRPr="00FA0FC2">
        <w:rPr>
          <w:sz w:val="30"/>
          <w:rtl/>
          <w:lang/>
        </w:rPr>
        <w:t>.</w:t>
      </w:r>
      <w:r>
        <w:rPr>
          <w:sz w:val="30"/>
          <w:rtl/>
          <w:lang/>
        </w:rPr>
        <w:t xml:space="preserve"> ولم </w:t>
      </w:r>
      <w:r w:rsidRPr="00FA0FC2">
        <w:rPr>
          <w:rFonts w:hint="cs"/>
          <w:sz w:val="30"/>
          <w:rtl/>
          <w:lang/>
        </w:rPr>
        <w:t>تحدد</w:t>
      </w:r>
      <w:r w:rsidRPr="00FA0FC2">
        <w:rPr>
          <w:sz w:val="30"/>
          <w:rtl/>
          <w:lang/>
        </w:rPr>
        <w:t xml:space="preserve"> </w:t>
      </w:r>
      <w:r w:rsidRPr="00FA0FC2">
        <w:rPr>
          <w:rFonts w:hint="cs"/>
          <w:sz w:val="30"/>
          <w:rtl/>
          <w:lang/>
        </w:rPr>
        <w:t>ال</w:t>
      </w:r>
      <w:r w:rsidRPr="00FA0FC2">
        <w:rPr>
          <w:rStyle w:val="hps"/>
          <w:sz w:val="30"/>
          <w:rtl/>
          <w:lang/>
        </w:rPr>
        <w:t>شهادة</w:t>
      </w:r>
      <w:r w:rsidRPr="00FA0FC2">
        <w:rPr>
          <w:sz w:val="30"/>
          <w:rtl/>
          <w:lang/>
        </w:rPr>
        <w:t xml:space="preserve"> </w:t>
      </w:r>
      <w:r w:rsidRPr="00FA0FC2">
        <w:rPr>
          <w:rFonts w:hint="cs"/>
          <w:sz w:val="30"/>
          <w:rtl/>
          <w:lang/>
        </w:rPr>
        <w:t>ال</w:t>
      </w:r>
      <w:r w:rsidRPr="00FA0FC2">
        <w:rPr>
          <w:rStyle w:val="hps"/>
          <w:sz w:val="30"/>
          <w:rtl/>
          <w:lang/>
        </w:rPr>
        <w:t>صادرة عن</w:t>
      </w:r>
      <w:r w:rsidRPr="00FA0FC2">
        <w:rPr>
          <w:sz w:val="30"/>
          <w:rtl/>
          <w:lang/>
        </w:rPr>
        <w:t xml:space="preserve"> </w:t>
      </w:r>
      <w:r w:rsidRPr="00FA0FC2">
        <w:rPr>
          <w:rStyle w:val="hps"/>
          <w:sz w:val="30"/>
          <w:rtl/>
          <w:lang/>
        </w:rPr>
        <w:t>سلطات سجن</w:t>
      </w:r>
      <w:r w:rsidRPr="00FA0FC2">
        <w:rPr>
          <w:sz w:val="30"/>
          <w:rtl/>
          <w:lang/>
        </w:rPr>
        <w:t xml:space="preserve"> </w:t>
      </w:r>
      <w:r w:rsidRPr="00FA0FC2">
        <w:rPr>
          <w:rStyle w:val="hps"/>
          <w:sz w:val="30"/>
          <w:rtl/>
          <w:lang/>
        </w:rPr>
        <w:t>المنصورة</w:t>
      </w:r>
      <w:r w:rsidRPr="00FA0FC2">
        <w:rPr>
          <w:rStyle w:val="hps"/>
          <w:rFonts w:hint="cs"/>
          <w:sz w:val="30"/>
          <w:rtl/>
          <w:lang/>
        </w:rPr>
        <w:t>، بوجه خاص،</w:t>
      </w:r>
      <w:r w:rsidRPr="00FA0FC2">
        <w:rPr>
          <w:sz w:val="30"/>
          <w:rtl/>
          <w:lang/>
        </w:rPr>
        <w:t xml:space="preserve"> </w:t>
      </w:r>
      <w:r w:rsidRPr="00FA0FC2">
        <w:rPr>
          <w:rStyle w:val="hps"/>
          <w:sz w:val="30"/>
          <w:rtl/>
          <w:lang/>
        </w:rPr>
        <w:t>أسباب احتجاز</w:t>
      </w:r>
      <w:r w:rsidRPr="00FA0FC2">
        <w:rPr>
          <w:sz w:val="30"/>
          <w:rtl/>
          <w:lang/>
        </w:rPr>
        <w:t xml:space="preserve">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sz w:val="30"/>
          <w:rtl/>
          <w:lang/>
        </w:rPr>
        <w:t>ولكن</w:t>
      </w:r>
      <w:r w:rsidRPr="00FA0FC2">
        <w:rPr>
          <w:sz w:val="30"/>
          <w:rtl/>
          <w:lang/>
        </w:rPr>
        <w:t xml:space="preserve"> </w:t>
      </w:r>
      <w:r w:rsidRPr="00FA0FC2">
        <w:rPr>
          <w:rStyle w:val="hps"/>
          <w:rFonts w:hint="cs"/>
          <w:sz w:val="30"/>
          <w:rtl/>
          <w:lang/>
        </w:rPr>
        <w:t>أشارت فقط إلى</w:t>
      </w:r>
      <w:r w:rsidRPr="00FA0FC2">
        <w:rPr>
          <w:sz w:val="30"/>
          <w:rtl/>
          <w:lang/>
        </w:rPr>
        <w:t xml:space="preserve"> </w:t>
      </w:r>
      <w:r w:rsidRPr="00FA0FC2">
        <w:rPr>
          <w:rStyle w:val="hps"/>
          <w:sz w:val="30"/>
          <w:rtl/>
          <w:lang/>
        </w:rPr>
        <w:t>"</w:t>
      </w:r>
      <w:r w:rsidRPr="00FA0FC2">
        <w:rPr>
          <w:rFonts w:hint="cs"/>
          <w:sz w:val="30"/>
          <w:rtl/>
          <w:lang/>
        </w:rPr>
        <w:t>دعوى جنائية</w:t>
      </w:r>
      <w:r w:rsidRPr="00FA0FC2">
        <w:rPr>
          <w:sz w:val="30"/>
          <w:rtl/>
          <w:lang/>
        </w:rPr>
        <w:t xml:space="preserve">". </w:t>
      </w:r>
      <w:r w:rsidRPr="00FA0FC2">
        <w:rPr>
          <w:rStyle w:val="hps"/>
          <w:rFonts w:hint="cs"/>
          <w:sz w:val="30"/>
          <w:rtl/>
          <w:lang/>
        </w:rPr>
        <w:t>ورأت</w:t>
      </w:r>
      <w:r w:rsidRPr="00FA0FC2">
        <w:rPr>
          <w:rStyle w:val="hps"/>
          <w:sz w:val="30"/>
          <w:rtl/>
          <w:lang/>
        </w:rPr>
        <w:t xml:space="preserve"> المحكمة الإدارية</w:t>
      </w:r>
      <w:r w:rsidRPr="00FA0FC2">
        <w:rPr>
          <w:sz w:val="30"/>
          <w:rtl/>
          <w:lang/>
        </w:rPr>
        <w:t xml:space="preserve"> </w:t>
      </w:r>
      <w:r w:rsidRPr="00FA0FC2">
        <w:rPr>
          <w:rStyle w:val="hps"/>
          <w:sz w:val="30"/>
          <w:rtl/>
          <w:lang/>
        </w:rPr>
        <w:t>الاتحادية</w:t>
      </w:r>
      <w:r w:rsidRPr="00FA0FC2">
        <w:rPr>
          <w:rStyle w:val="hps"/>
          <w:rFonts w:hint="cs"/>
          <w:sz w:val="30"/>
          <w:rtl/>
          <w:lang/>
        </w:rPr>
        <w:t xml:space="preserve"> </w:t>
      </w:r>
      <w:r w:rsidRPr="00FA0FC2">
        <w:rPr>
          <w:rStyle w:val="hps"/>
          <w:sz w:val="30"/>
          <w:rtl/>
          <w:lang/>
        </w:rPr>
        <w:t>أن تزامن اليوم الأول</w:t>
      </w:r>
      <w:r w:rsidRPr="00FA0FC2">
        <w:rPr>
          <w:sz w:val="30"/>
          <w:rtl/>
          <w:lang/>
        </w:rPr>
        <w:t xml:space="preserve"> </w:t>
      </w:r>
      <w:r w:rsidRPr="00FA0FC2">
        <w:rPr>
          <w:rStyle w:val="hps"/>
          <w:sz w:val="30"/>
          <w:rtl/>
          <w:lang/>
        </w:rPr>
        <w:t>من</w:t>
      </w:r>
      <w:r w:rsidRPr="00FA0FC2">
        <w:rPr>
          <w:sz w:val="30"/>
          <w:rtl/>
          <w:lang/>
        </w:rPr>
        <w:t xml:space="preserve"> </w:t>
      </w:r>
      <w:r w:rsidRPr="00FA0FC2">
        <w:rPr>
          <w:rStyle w:val="hps"/>
          <w:sz w:val="30"/>
          <w:rtl/>
          <w:lang/>
        </w:rPr>
        <w:t>احتجازه</w:t>
      </w:r>
      <w:r w:rsidRPr="00FA0FC2">
        <w:rPr>
          <w:sz w:val="30"/>
          <w:rtl/>
          <w:lang/>
        </w:rPr>
        <w:t xml:space="preserve"> </w:t>
      </w:r>
      <w:r w:rsidRPr="00FA0FC2">
        <w:rPr>
          <w:rStyle w:val="hps"/>
          <w:sz w:val="30"/>
          <w:rtl/>
          <w:lang/>
        </w:rPr>
        <w:t>مع</w:t>
      </w:r>
      <w:r w:rsidRPr="00FA0FC2">
        <w:rPr>
          <w:sz w:val="30"/>
          <w:rtl/>
          <w:lang/>
        </w:rPr>
        <w:t xml:space="preserve"> </w:t>
      </w:r>
      <w:r w:rsidRPr="00FA0FC2">
        <w:rPr>
          <w:rStyle w:val="hps"/>
          <w:sz w:val="30"/>
          <w:rtl/>
          <w:lang/>
        </w:rPr>
        <w:t>مظاهرة</w:t>
      </w:r>
      <w:r w:rsidRPr="00FA0FC2">
        <w:rPr>
          <w:sz w:val="30"/>
          <w:rtl/>
          <w:lang/>
        </w:rPr>
        <w:t xml:space="preserve"> </w:t>
      </w:r>
      <w:r w:rsidRPr="00FA0FC2">
        <w:rPr>
          <w:rStyle w:val="hps"/>
          <w:sz w:val="30"/>
          <w:rtl/>
          <w:lang/>
        </w:rPr>
        <w:t>نظمها</w:t>
      </w:r>
      <w:r w:rsidRPr="00FA0FC2">
        <w:rPr>
          <w:sz w:val="30"/>
          <w:rtl/>
          <w:lang/>
        </w:rPr>
        <w:t xml:space="preserve"> </w:t>
      </w:r>
      <w:r w:rsidRPr="00FA0FC2">
        <w:rPr>
          <w:rStyle w:val="hps"/>
          <w:sz w:val="30"/>
          <w:rtl/>
          <w:lang/>
        </w:rPr>
        <w:t>الحراك الجنوبي</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عدن</w:t>
      </w:r>
      <w:r w:rsidRPr="00FA0FC2">
        <w:rPr>
          <w:sz w:val="30"/>
          <w:rtl/>
          <w:lang/>
        </w:rPr>
        <w:t xml:space="preserve"> </w:t>
      </w:r>
      <w:r w:rsidRPr="00FA0FC2">
        <w:rPr>
          <w:rFonts w:hint="cs"/>
          <w:sz w:val="30"/>
          <w:rtl/>
          <w:lang/>
        </w:rPr>
        <w:t xml:space="preserve">هو دليل </w:t>
      </w:r>
      <w:r w:rsidRPr="00FA0FC2">
        <w:rPr>
          <w:rStyle w:val="hps"/>
          <w:sz w:val="30"/>
          <w:rtl/>
          <w:lang/>
        </w:rPr>
        <w:t>غير كاف</w:t>
      </w:r>
      <w:r w:rsidRPr="00FA0FC2">
        <w:rPr>
          <w:rFonts w:hint="cs"/>
          <w:sz w:val="30"/>
          <w:rtl/>
          <w:lang/>
        </w:rPr>
        <w:t xml:space="preserve"> ل</w:t>
      </w:r>
      <w:r w:rsidRPr="00FA0FC2">
        <w:rPr>
          <w:rStyle w:val="hps"/>
          <w:sz w:val="30"/>
          <w:rtl/>
          <w:lang/>
        </w:rPr>
        <w:t>إقامة صلة</w:t>
      </w:r>
      <w:r w:rsidRPr="00FA0FC2">
        <w:rPr>
          <w:sz w:val="30"/>
          <w:rtl/>
          <w:lang/>
        </w:rPr>
        <w:t xml:space="preserve"> </w:t>
      </w:r>
      <w:r w:rsidRPr="00FA0FC2">
        <w:rPr>
          <w:rStyle w:val="hps"/>
          <w:sz w:val="30"/>
          <w:rtl/>
          <w:lang/>
        </w:rPr>
        <w:t>سببية</w:t>
      </w:r>
      <w:r w:rsidRPr="00FA0FC2">
        <w:rPr>
          <w:sz w:val="30"/>
          <w:rtl/>
          <w:lang/>
        </w:rPr>
        <w:t xml:space="preserve"> </w:t>
      </w:r>
      <w:r w:rsidRPr="00FA0FC2">
        <w:rPr>
          <w:rStyle w:val="hps"/>
          <w:sz w:val="30"/>
          <w:rtl/>
          <w:lang/>
        </w:rPr>
        <w:t>بين الحدثين</w:t>
      </w:r>
      <w:r w:rsidRPr="00FA0FC2">
        <w:rPr>
          <w:sz w:val="30"/>
          <w:rtl/>
          <w:lang/>
        </w:rPr>
        <w:t>.</w:t>
      </w:r>
    </w:p>
    <w:p w:rsidR="00091373" w:rsidRPr="00E64023" w:rsidRDefault="00091373" w:rsidP="00091373">
      <w:pPr>
        <w:pStyle w:val="SingleTxtGA"/>
        <w:rPr>
          <w:spacing w:val="-2"/>
          <w:sz w:val="30"/>
          <w:rtl/>
          <w:lang/>
        </w:rPr>
      </w:pPr>
      <w:r w:rsidRPr="00E64023">
        <w:rPr>
          <w:spacing w:val="-2"/>
          <w:sz w:val="30"/>
          <w:rtl/>
          <w:lang w:val="fr-CH"/>
        </w:rPr>
        <w:t>2-11</w:t>
      </w:r>
      <w:r w:rsidRPr="00E64023">
        <w:rPr>
          <w:spacing w:val="-2"/>
          <w:sz w:val="30"/>
          <w:rtl/>
          <w:lang w:val="fr-CH"/>
        </w:rPr>
        <w:tab/>
      </w:r>
      <w:r w:rsidRPr="00E64023">
        <w:rPr>
          <w:rStyle w:val="hps"/>
          <w:rFonts w:hint="cs"/>
          <w:spacing w:val="-2"/>
          <w:sz w:val="30"/>
          <w:rtl/>
          <w:lang/>
        </w:rPr>
        <w:t>ولم تُقيّم</w:t>
      </w:r>
      <w:r w:rsidRPr="00E64023">
        <w:rPr>
          <w:spacing w:val="-2"/>
          <w:sz w:val="30"/>
          <w:rtl/>
          <w:lang/>
        </w:rPr>
        <w:t xml:space="preserve"> </w:t>
      </w:r>
      <w:r w:rsidRPr="00E64023">
        <w:rPr>
          <w:rStyle w:val="hps"/>
          <w:spacing w:val="-2"/>
          <w:sz w:val="30"/>
          <w:rtl/>
          <w:lang/>
        </w:rPr>
        <w:t>المحكمة</w:t>
      </w:r>
      <w:r w:rsidRPr="00E64023">
        <w:rPr>
          <w:spacing w:val="-2"/>
          <w:sz w:val="30"/>
          <w:rtl/>
          <w:lang/>
        </w:rPr>
        <w:t xml:space="preserve"> </w:t>
      </w:r>
      <w:r w:rsidRPr="00E64023">
        <w:rPr>
          <w:rStyle w:val="hps"/>
          <w:spacing w:val="-2"/>
          <w:sz w:val="30"/>
          <w:rtl/>
          <w:lang/>
        </w:rPr>
        <w:t>الإدارية الاتحادية</w:t>
      </w:r>
      <w:r w:rsidRPr="00E64023">
        <w:rPr>
          <w:spacing w:val="-2"/>
          <w:sz w:val="30"/>
          <w:rtl/>
          <w:lang/>
        </w:rPr>
        <w:t xml:space="preserve"> </w:t>
      </w:r>
      <w:r w:rsidRPr="00E64023">
        <w:rPr>
          <w:rStyle w:val="hps"/>
          <w:spacing w:val="-2"/>
          <w:sz w:val="30"/>
          <w:rtl/>
          <w:lang/>
        </w:rPr>
        <w:t>معظم الأدلة</w:t>
      </w:r>
      <w:r w:rsidRPr="00E64023">
        <w:rPr>
          <w:spacing w:val="-2"/>
          <w:sz w:val="30"/>
          <w:rtl/>
          <w:lang/>
        </w:rPr>
        <w:t xml:space="preserve"> </w:t>
      </w:r>
      <w:r w:rsidRPr="00E64023">
        <w:rPr>
          <w:rStyle w:val="hps"/>
          <w:spacing w:val="-2"/>
          <w:sz w:val="30"/>
          <w:rtl/>
          <w:lang/>
        </w:rPr>
        <w:t>المتعلقة بالأنشطة</w:t>
      </w:r>
      <w:r w:rsidRPr="00E64023">
        <w:rPr>
          <w:spacing w:val="-2"/>
          <w:sz w:val="30"/>
          <w:rtl/>
          <w:lang/>
        </w:rPr>
        <w:t xml:space="preserve"> </w:t>
      </w:r>
      <w:r w:rsidRPr="00E64023">
        <w:rPr>
          <w:rStyle w:val="hps"/>
          <w:spacing w:val="-2"/>
          <w:sz w:val="30"/>
          <w:rtl/>
          <w:lang/>
        </w:rPr>
        <w:t>السياسية</w:t>
      </w:r>
      <w:r w:rsidRPr="00E64023">
        <w:rPr>
          <w:spacing w:val="-2"/>
          <w:sz w:val="30"/>
          <w:rtl/>
          <w:lang/>
        </w:rPr>
        <w:t xml:space="preserve"> </w:t>
      </w:r>
      <w:r w:rsidRPr="00E64023">
        <w:rPr>
          <w:rStyle w:val="hps"/>
          <w:rFonts w:hint="cs"/>
          <w:spacing w:val="-2"/>
          <w:sz w:val="30"/>
          <w:rtl/>
          <w:lang/>
        </w:rPr>
        <w:t>لصاحب الشكوى الأول</w:t>
      </w:r>
      <w:r w:rsidRPr="00E64023">
        <w:rPr>
          <w:spacing w:val="-2"/>
          <w:sz w:val="30"/>
          <w:rtl/>
          <w:lang/>
        </w:rPr>
        <w:t xml:space="preserve"> </w:t>
      </w:r>
      <w:r w:rsidRPr="00E64023">
        <w:rPr>
          <w:rStyle w:val="hps"/>
          <w:spacing w:val="-2"/>
          <w:sz w:val="30"/>
          <w:rtl/>
          <w:lang/>
        </w:rPr>
        <w:t>في</w:t>
      </w:r>
      <w:r w:rsidRPr="00E64023">
        <w:rPr>
          <w:spacing w:val="-2"/>
          <w:sz w:val="30"/>
          <w:rtl/>
          <w:lang/>
        </w:rPr>
        <w:t xml:space="preserve"> </w:t>
      </w:r>
      <w:r w:rsidRPr="00E64023">
        <w:rPr>
          <w:rStyle w:val="hps"/>
          <w:spacing w:val="-2"/>
          <w:sz w:val="30"/>
          <w:rtl/>
          <w:lang/>
        </w:rPr>
        <w:t>سويسرا</w:t>
      </w:r>
      <w:r w:rsidRPr="00E64023">
        <w:rPr>
          <w:spacing w:val="-2"/>
          <w:sz w:val="30"/>
          <w:rtl/>
          <w:lang/>
        </w:rPr>
        <w:t xml:space="preserve"> </w:t>
      </w:r>
      <w:r w:rsidRPr="00E64023">
        <w:rPr>
          <w:rStyle w:val="hps"/>
          <w:spacing w:val="-2"/>
          <w:sz w:val="30"/>
          <w:rtl/>
          <w:lang/>
        </w:rPr>
        <w:t>لأسباب إجرائية</w:t>
      </w:r>
      <w:r w:rsidRPr="00E64023">
        <w:rPr>
          <w:spacing w:val="-2"/>
          <w:sz w:val="30"/>
          <w:rtl/>
          <w:lang/>
        </w:rPr>
        <w:t xml:space="preserve"> </w:t>
      </w:r>
      <w:r w:rsidRPr="00E64023">
        <w:rPr>
          <w:rStyle w:val="hps"/>
          <w:rFonts w:hint="cs"/>
          <w:spacing w:val="-2"/>
          <w:sz w:val="30"/>
          <w:rtl/>
          <w:lang/>
        </w:rPr>
        <w:t>تعزى إلى</w:t>
      </w:r>
      <w:r w:rsidRPr="00E64023">
        <w:rPr>
          <w:rStyle w:val="hps"/>
          <w:spacing w:val="-2"/>
          <w:sz w:val="30"/>
          <w:rtl/>
          <w:lang/>
        </w:rPr>
        <w:t xml:space="preserve"> تأخر</w:t>
      </w:r>
      <w:r w:rsidRPr="00E64023">
        <w:rPr>
          <w:spacing w:val="-2"/>
          <w:sz w:val="30"/>
          <w:rtl/>
          <w:lang/>
        </w:rPr>
        <w:t xml:space="preserve"> </w:t>
      </w:r>
      <w:r w:rsidRPr="00E64023">
        <w:rPr>
          <w:rStyle w:val="hps"/>
          <w:spacing w:val="-2"/>
          <w:sz w:val="30"/>
          <w:rtl/>
          <w:lang/>
        </w:rPr>
        <w:t>تقديمها</w:t>
      </w:r>
      <w:r w:rsidRPr="00E64023">
        <w:rPr>
          <w:spacing w:val="-2"/>
          <w:sz w:val="30"/>
          <w:rtl/>
          <w:lang/>
        </w:rPr>
        <w:t xml:space="preserve"> </w:t>
      </w:r>
      <w:r w:rsidRPr="00E64023">
        <w:rPr>
          <w:rStyle w:val="hps"/>
          <w:spacing w:val="-2"/>
          <w:sz w:val="30"/>
          <w:rtl/>
          <w:lang/>
        </w:rPr>
        <w:t>إلى السلطات</w:t>
      </w:r>
      <w:r w:rsidRPr="00E64023">
        <w:rPr>
          <w:spacing w:val="-2"/>
          <w:sz w:val="30"/>
          <w:rtl/>
          <w:lang/>
        </w:rPr>
        <w:t xml:space="preserve"> </w:t>
      </w:r>
      <w:r w:rsidRPr="00E64023">
        <w:rPr>
          <w:rFonts w:hint="cs"/>
          <w:spacing w:val="-2"/>
          <w:sz w:val="30"/>
          <w:rtl/>
          <w:lang/>
        </w:rPr>
        <w:t xml:space="preserve">المعنية بمسائل </w:t>
      </w:r>
      <w:r w:rsidRPr="00E64023">
        <w:rPr>
          <w:rStyle w:val="hps"/>
          <w:spacing w:val="-2"/>
          <w:sz w:val="30"/>
          <w:rtl/>
          <w:lang/>
        </w:rPr>
        <w:t>اللجوء</w:t>
      </w:r>
      <w:r w:rsidRPr="00E64023">
        <w:rPr>
          <w:spacing w:val="-2"/>
          <w:sz w:val="30"/>
          <w:vertAlign w:val="superscript"/>
          <w:rtl/>
          <w:lang w:val="fr-CH"/>
        </w:rPr>
        <w:t>(</w:t>
      </w:r>
      <w:r w:rsidRPr="00E64023">
        <w:rPr>
          <w:rStyle w:val="FootnoteReference"/>
          <w:spacing w:val="-2"/>
          <w:sz w:val="30"/>
          <w:rtl/>
          <w:lang w:val="fr-CH"/>
        </w:rPr>
        <w:footnoteReference w:id="255"/>
      </w:r>
      <w:r w:rsidRPr="00E64023">
        <w:rPr>
          <w:spacing w:val="-2"/>
          <w:sz w:val="30"/>
          <w:vertAlign w:val="superscript"/>
          <w:rtl/>
          <w:lang w:val="fr-CH"/>
        </w:rPr>
        <w:t>)</w:t>
      </w:r>
      <w:r w:rsidRPr="00E64023">
        <w:rPr>
          <w:rFonts w:hint="cs"/>
          <w:spacing w:val="-2"/>
          <w:sz w:val="30"/>
          <w:rtl/>
          <w:lang/>
        </w:rPr>
        <w:t>.</w:t>
      </w:r>
      <w:r w:rsidRPr="00E64023">
        <w:rPr>
          <w:spacing w:val="-2"/>
          <w:sz w:val="30"/>
          <w:rtl/>
          <w:lang/>
        </w:rPr>
        <w:t xml:space="preserve"> </w:t>
      </w:r>
      <w:r w:rsidRPr="00E64023">
        <w:rPr>
          <w:rStyle w:val="hps"/>
          <w:rFonts w:hint="cs"/>
          <w:spacing w:val="-2"/>
          <w:sz w:val="30"/>
          <w:rtl/>
          <w:lang/>
        </w:rPr>
        <w:t>ومع ذلك، فقد أشارت إلى عدم وجود سبب يدعو إلى افتراض</w:t>
      </w:r>
      <w:r w:rsidRPr="00E64023">
        <w:rPr>
          <w:rStyle w:val="hps"/>
          <w:spacing w:val="-2"/>
          <w:sz w:val="30"/>
          <w:rtl/>
          <w:lang/>
        </w:rPr>
        <w:t xml:space="preserve"> أن</w:t>
      </w:r>
      <w:r w:rsidRPr="00E64023">
        <w:rPr>
          <w:spacing w:val="-2"/>
          <w:sz w:val="30"/>
          <w:rtl/>
          <w:lang/>
        </w:rPr>
        <w:t xml:space="preserve"> </w:t>
      </w:r>
      <w:r w:rsidRPr="00E64023">
        <w:rPr>
          <w:rStyle w:val="hps"/>
          <w:spacing w:val="-2"/>
          <w:sz w:val="30"/>
          <w:rtl/>
          <w:lang/>
        </w:rPr>
        <w:t>صاحب ال</w:t>
      </w:r>
      <w:r w:rsidRPr="00E64023">
        <w:rPr>
          <w:rStyle w:val="hps"/>
          <w:rFonts w:hint="cs"/>
          <w:spacing w:val="-2"/>
          <w:sz w:val="30"/>
          <w:rtl/>
          <w:lang/>
        </w:rPr>
        <w:t>شكوى</w:t>
      </w:r>
      <w:r w:rsidRPr="00E64023">
        <w:rPr>
          <w:rStyle w:val="hps"/>
          <w:spacing w:val="-2"/>
          <w:sz w:val="30"/>
          <w:rtl/>
          <w:lang/>
        </w:rPr>
        <w:t xml:space="preserve"> الأول</w:t>
      </w:r>
      <w:r w:rsidRPr="00E64023">
        <w:rPr>
          <w:spacing w:val="-2"/>
          <w:sz w:val="30"/>
          <w:rtl/>
          <w:lang/>
        </w:rPr>
        <w:t xml:space="preserve"> </w:t>
      </w:r>
      <w:r w:rsidRPr="00E64023">
        <w:rPr>
          <w:rStyle w:val="hps"/>
          <w:rFonts w:hint="cs"/>
          <w:spacing w:val="-2"/>
          <w:sz w:val="30"/>
          <w:rtl/>
          <w:lang/>
        </w:rPr>
        <w:t>سيواجه خطر</w:t>
      </w:r>
      <w:r w:rsidRPr="00E64023">
        <w:rPr>
          <w:spacing w:val="-2"/>
          <w:sz w:val="30"/>
          <w:rtl/>
          <w:lang/>
        </w:rPr>
        <w:t xml:space="preserve"> </w:t>
      </w:r>
      <w:r w:rsidRPr="00E64023">
        <w:rPr>
          <w:rStyle w:val="hps"/>
          <w:rFonts w:hint="cs"/>
          <w:spacing w:val="-2"/>
          <w:sz w:val="30"/>
          <w:rtl/>
          <w:lang/>
        </w:rPr>
        <w:t>التعرض لمعاملة تتعارض</w:t>
      </w:r>
      <w:r w:rsidRPr="00E64023">
        <w:rPr>
          <w:spacing w:val="-2"/>
          <w:sz w:val="30"/>
          <w:rtl/>
          <w:lang/>
        </w:rPr>
        <w:t xml:space="preserve"> مع </w:t>
      </w:r>
      <w:r w:rsidRPr="00E64023">
        <w:rPr>
          <w:rStyle w:val="hps"/>
          <w:spacing w:val="-2"/>
          <w:sz w:val="30"/>
          <w:rtl/>
          <w:lang/>
        </w:rPr>
        <w:t>الاتفاقية</w:t>
      </w:r>
      <w:r w:rsidRPr="00E64023">
        <w:rPr>
          <w:spacing w:val="-2"/>
          <w:sz w:val="30"/>
          <w:rtl/>
          <w:lang/>
        </w:rPr>
        <w:t xml:space="preserve"> </w:t>
      </w:r>
      <w:r w:rsidRPr="00E64023">
        <w:rPr>
          <w:rStyle w:val="hps"/>
          <w:spacing w:val="-2"/>
          <w:sz w:val="30"/>
          <w:rtl/>
          <w:lang/>
        </w:rPr>
        <w:t>لدى عودته إلى</w:t>
      </w:r>
      <w:r w:rsidRPr="00E64023">
        <w:rPr>
          <w:spacing w:val="-2"/>
          <w:sz w:val="30"/>
          <w:rtl/>
          <w:lang/>
        </w:rPr>
        <w:t xml:space="preserve"> </w:t>
      </w:r>
      <w:r w:rsidRPr="00E64023">
        <w:rPr>
          <w:rStyle w:val="hps"/>
          <w:spacing w:val="-2"/>
          <w:sz w:val="30"/>
          <w:rtl/>
          <w:lang/>
        </w:rPr>
        <w:t>اليمن</w:t>
      </w:r>
      <w:r w:rsidRPr="00E64023">
        <w:rPr>
          <w:spacing w:val="-2"/>
          <w:sz w:val="30"/>
          <w:rtl/>
          <w:lang/>
        </w:rPr>
        <w:t xml:space="preserve"> </w:t>
      </w:r>
      <w:r w:rsidRPr="00E64023">
        <w:rPr>
          <w:rStyle w:val="hps"/>
          <w:spacing w:val="-2"/>
          <w:sz w:val="30"/>
          <w:rtl/>
          <w:lang/>
        </w:rPr>
        <w:t>بسبب</w:t>
      </w:r>
      <w:r w:rsidRPr="00E64023">
        <w:rPr>
          <w:spacing w:val="-2"/>
          <w:sz w:val="30"/>
          <w:rtl/>
          <w:lang/>
        </w:rPr>
        <w:t xml:space="preserve"> </w:t>
      </w:r>
      <w:r w:rsidRPr="00E64023">
        <w:rPr>
          <w:rStyle w:val="hps"/>
          <w:spacing w:val="-2"/>
          <w:sz w:val="30"/>
          <w:rtl/>
          <w:lang/>
        </w:rPr>
        <w:t>نشاطه السياسي</w:t>
      </w:r>
      <w:r w:rsidRPr="00E64023">
        <w:rPr>
          <w:spacing w:val="-2"/>
          <w:sz w:val="30"/>
          <w:rtl/>
          <w:lang/>
        </w:rPr>
        <w:t xml:space="preserve"> </w:t>
      </w:r>
      <w:r w:rsidRPr="00E64023">
        <w:rPr>
          <w:rStyle w:val="hps"/>
          <w:spacing w:val="-2"/>
          <w:sz w:val="30"/>
          <w:rtl/>
          <w:lang/>
        </w:rPr>
        <w:t>في</w:t>
      </w:r>
      <w:r w:rsidRPr="00E64023">
        <w:rPr>
          <w:spacing w:val="-2"/>
          <w:sz w:val="30"/>
          <w:rtl/>
          <w:lang/>
        </w:rPr>
        <w:t xml:space="preserve"> </w:t>
      </w:r>
      <w:r w:rsidRPr="00E64023">
        <w:rPr>
          <w:rStyle w:val="hps"/>
          <w:spacing w:val="-2"/>
          <w:sz w:val="30"/>
          <w:rtl/>
          <w:lang/>
        </w:rPr>
        <w:t>المنفى</w:t>
      </w:r>
      <w:r w:rsidRPr="00E64023">
        <w:rPr>
          <w:spacing w:val="-2"/>
          <w:sz w:val="30"/>
          <w:rtl/>
          <w:lang/>
        </w:rPr>
        <w:t xml:space="preserve">. </w:t>
      </w:r>
      <w:r w:rsidRPr="00E64023">
        <w:rPr>
          <w:rStyle w:val="hps"/>
          <w:spacing w:val="-2"/>
          <w:sz w:val="30"/>
          <w:rtl/>
          <w:lang/>
        </w:rPr>
        <w:t>و</w:t>
      </w:r>
      <w:r w:rsidRPr="00E64023">
        <w:rPr>
          <w:rStyle w:val="hps"/>
          <w:rFonts w:hint="cs"/>
          <w:spacing w:val="-2"/>
          <w:sz w:val="30"/>
          <w:rtl/>
          <w:lang/>
        </w:rPr>
        <w:t>من ثم</w:t>
      </w:r>
      <w:r w:rsidRPr="00E64023">
        <w:rPr>
          <w:spacing w:val="-2"/>
          <w:sz w:val="30"/>
          <w:rtl/>
          <w:lang/>
        </w:rPr>
        <w:t xml:space="preserve">، </w:t>
      </w:r>
      <w:r w:rsidRPr="00E64023">
        <w:rPr>
          <w:rFonts w:hint="cs"/>
          <w:spacing w:val="-2"/>
          <w:sz w:val="30"/>
          <w:rtl/>
          <w:lang/>
        </w:rPr>
        <w:t>فإن صاحب الشكوى الأول لم</w:t>
      </w:r>
      <w:r w:rsidRPr="00E64023">
        <w:rPr>
          <w:spacing w:val="-2"/>
          <w:sz w:val="30"/>
          <w:rtl/>
          <w:lang/>
        </w:rPr>
        <w:t> </w:t>
      </w:r>
      <w:r w:rsidRPr="00E64023">
        <w:rPr>
          <w:rFonts w:hint="cs"/>
          <w:spacing w:val="-2"/>
          <w:sz w:val="30"/>
          <w:rtl/>
          <w:lang/>
        </w:rPr>
        <w:t>يكن، فيما</w:t>
      </w:r>
      <w:r w:rsidRPr="00E64023">
        <w:rPr>
          <w:spacing w:val="-2"/>
          <w:sz w:val="30"/>
          <w:rtl/>
          <w:lang/>
        </w:rPr>
        <w:t> </w:t>
      </w:r>
      <w:r w:rsidRPr="00E64023">
        <w:rPr>
          <w:rFonts w:hint="cs"/>
          <w:spacing w:val="-2"/>
          <w:sz w:val="30"/>
          <w:rtl/>
          <w:lang/>
        </w:rPr>
        <w:t>يبدو، سوى</w:t>
      </w:r>
      <w:r w:rsidRPr="00E64023">
        <w:rPr>
          <w:spacing w:val="-2"/>
          <w:sz w:val="30"/>
          <w:rtl/>
          <w:lang/>
        </w:rPr>
        <w:t xml:space="preserve"> </w:t>
      </w:r>
      <w:r w:rsidRPr="00E64023">
        <w:rPr>
          <w:rStyle w:val="hps"/>
          <w:spacing w:val="-2"/>
          <w:sz w:val="30"/>
          <w:rtl/>
          <w:lang/>
        </w:rPr>
        <w:t>مجرد</w:t>
      </w:r>
      <w:r w:rsidRPr="00E64023">
        <w:rPr>
          <w:spacing w:val="-2"/>
          <w:sz w:val="30"/>
          <w:rtl/>
          <w:lang/>
        </w:rPr>
        <w:t xml:space="preserve"> </w:t>
      </w:r>
      <w:r w:rsidRPr="00E64023">
        <w:rPr>
          <w:rStyle w:val="hps"/>
          <w:spacing w:val="-2"/>
          <w:sz w:val="30"/>
          <w:rtl/>
          <w:lang/>
        </w:rPr>
        <w:t>مشارك</w:t>
      </w:r>
      <w:r w:rsidRPr="00E64023">
        <w:rPr>
          <w:spacing w:val="-2"/>
          <w:sz w:val="30"/>
          <w:rtl/>
          <w:lang/>
        </w:rPr>
        <w:t xml:space="preserve"> </w:t>
      </w:r>
      <w:r w:rsidRPr="00E64023">
        <w:rPr>
          <w:rStyle w:val="hps"/>
          <w:spacing w:val="-2"/>
          <w:sz w:val="30"/>
          <w:rtl/>
          <w:lang/>
        </w:rPr>
        <w:t>في</w:t>
      </w:r>
      <w:r w:rsidRPr="00E64023">
        <w:rPr>
          <w:spacing w:val="-2"/>
          <w:sz w:val="30"/>
          <w:rtl/>
          <w:lang/>
        </w:rPr>
        <w:t xml:space="preserve"> </w:t>
      </w:r>
      <w:r w:rsidRPr="00E64023">
        <w:rPr>
          <w:rStyle w:val="hps"/>
          <w:spacing w:val="-2"/>
          <w:sz w:val="30"/>
          <w:rtl/>
          <w:lang/>
        </w:rPr>
        <w:t>بعض</w:t>
      </w:r>
      <w:r w:rsidRPr="00E64023">
        <w:rPr>
          <w:spacing w:val="-2"/>
          <w:sz w:val="30"/>
          <w:rtl/>
          <w:lang/>
        </w:rPr>
        <w:t xml:space="preserve"> </w:t>
      </w:r>
      <w:r w:rsidRPr="00E64023">
        <w:rPr>
          <w:rStyle w:val="hps"/>
          <w:spacing w:val="-2"/>
          <w:sz w:val="30"/>
          <w:rtl/>
          <w:lang/>
        </w:rPr>
        <w:t>من</w:t>
      </w:r>
      <w:r w:rsidRPr="00E64023">
        <w:rPr>
          <w:spacing w:val="-2"/>
          <w:sz w:val="30"/>
          <w:rtl/>
          <w:lang/>
        </w:rPr>
        <w:t xml:space="preserve"> </w:t>
      </w:r>
      <w:r w:rsidRPr="00E64023">
        <w:rPr>
          <w:rStyle w:val="hps"/>
          <w:spacing w:val="-2"/>
          <w:sz w:val="30"/>
          <w:rtl/>
          <w:lang/>
        </w:rPr>
        <w:t>المظاهرات</w:t>
      </w:r>
      <w:r w:rsidRPr="00E64023">
        <w:rPr>
          <w:rStyle w:val="hps"/>
          <w:rFonts w:hint="cs"/>
          <w:spacing w:val="-2"/>
          <w:sz w:val="30"/>
          <w:rtl/>
          <w:lang/>
        </w:rPr>
        <w:t xml:space="preserve"> العديدة</w:t>
      </w:r>
      <w:r w:rsidRPr="00E64023">
        <w:rPr>
          <w:spacing w:val="-2"/>
          <w:sz w:val="30"/>
          <w:rtl/>
          <w:lang/>
        </w:rPr>
        <w:t xml:space="preserve"> </w:t>
      </w:r>
      <w:r w:rsidRPr="00E64023">
        <w:rPr>
          <w:rStyle w:val="hps"/>
          <w:spacing w:val="-2"/>
          <w:sz w:val="30"/>
          <w:rtl/>
          <w:lang/>
        </w:rPr>
        <w:t>التي نظمها</w:t>
      </w:r>
      <w:r w:rsidRPr="00E64023">
        <w:rPr>
          <w:spacing w:val="-2"/>
          <w:sz w:val="30"/>
          <w:rtl/>
          <w:lang/>
        </w:rPr>
        <w:t xml:space="preserve"> </w:t>
      </w:r>
      <w:r w:rsidRPr="00E64023">
        <w:rPr>
          <w:rStyle w:val="hps"/>
          <w:spacing w:val="-2"/>
          <w:sz w:val="30"/>
          <w:rtl/>
          <w:lang/>
        </w:rPr>
        <w:t>التجمع الديمقراطي الجنوبي</w:t>
      </w:r>
      <w:r w:rsidRPr="00E64023">
        <w:rPr>
          <w:spacing w:val="-2"/>
          <w:sz w:val="30"/>
          <w:rtl/>
          <w:lang/>
        </w:rPr>
        <w:t xml:space="preserve"> </w:t>
      </w:r>
      <w:r w:rsidRPr="00E64023">
        <w:rPr>
          <w:rStyle w:val="hps"/>
          <w:spacing w:val="-2"/>
          <w:sz w:val="30"/>
          <w:rtl/>
          <w:lang/>
        </w:rPr>
        <w:t>في</w:t>
      </w:r>
      <w:r w:rsidRPr="00E64023">
        <w:rPr>
          <w:spacing w:val="-2"/>
          <w:sz w:val="30"/>
          <w:rtl/>
          <w:lang/>
        </w:rPr>
        <w:t xml:space="preserve"> </w:t>
      </w:r>
      <w:r w:rsidRPr="00E64023">
        <w:rPr>
          <w:rStyle w:val="hps"/>
          <w:spacing w:val="-2"/>
          <w:sz w:val="30"/>
          <w:rtl/>
          <w:lang/>
        </w:rPr>
        <w:t>سويسرا</w:t>
      </w:r>
      <w:r w:rsidRPr="00E64023">
        <w:rPr>
          <w:rFonts w:hint="cs"/>
          <w:spacing w:val="-2"/>
          <w:sz w:val="30"/>
          <w:rtl/>
          <w:lang/>
        </w:rPr>
        <w:t xml:space="preserve">، </w:t>
      </w:r>
      <w:r w:rsidRPr="00E64023">
        <w:rPr>
          <w:rStyle w:val="hps"/>
          <w:spacing w:val="-2"/>
          <w:sz w:val="30"/>
          <w:rtl/>
          <w:lang/>
        </w:rPr>
        <w:t>و</w:t>
      </w:r>
      <w:r w:rsidRPr="00E64023">
        <w:rPr>
          <w:spacing w:val="-2"/>
          <w:sz w:val="30"/>
          <w:rtl/>
          <w:lang/>
        </w:rPr>
        <w:t xml:space="preserve">سيكون من المستحيل </w:t>
      </w:r>
      <w:r w:rsidRPr="00E64023">
        <w:rPr>
          <w:rStyle w:val="hps"/>
          <w:spacing w:val="-2"/>
          <w:sz w:val="30"/>
          <w:rtl/>
          <w:lang/>
        </w:rPr>
        <w:t>عمليا</w:t>
      </w:r>
      <w:r w:rsidRPr="00E64023">
        <w:rPr>
          <w:rStyle w:val="hps"/>
          <w:rFonts w:hint="cs"/>
          <w:spacing w:val="-2"/>
          <w:sz w:val="30"/>
          <w:rtl/>
          <w:lang/>
        </w:rPr>
        <w:t>ً أن تتمكن</w:t>
      </w:r>
      <w:r w:rsidRPr="00E64023">
        <w:rPr>
          <w:spacing w:val="-2"/>
          <w:sz w:val="30"/>
          <w:rtl/>
          <w:lang/>
        </w:rPr>
        <w:t xml:space="preserve"> </w:t>
      </w:r>
      <w:r w:rsidRPr="00E64023">
        <w:rPr>
          <w:rStyle w:val="hps"/>
          <w:rFonts w:hint="cs"/>
          <w:spacing w:val="-2"/>
          <w:sz w:val="30"/>
          <w:rtl/>
          <w:lang/>
        </w:rPr>
        <w:t>ا</w:t>
      </w:r>
      <w:r w:rsidRPr="00E64023">
        <w:rPr>
          <w:rStyle w:val="hps"/>
          <w:spacing w:val="-2"/>
          <w:sz w:val="30"/>
          <w:rtl/>
          <w:lang/>
        </w:rPr>
        <w:t>لسلطات</w:t>
      </w:r>
      <w:r w:rsidRPr="00E64023">
        <w:rPr>
          <w:spacing w:val="-2"/>
          <w:sz w:val="30"/>
          <w:rtl/>
          <w:lang/>
        </w:rPr>
        <w:t xml:space="preserve"> </w:t>
      </w:r>
      <w:r w:rsidRPr="00E64023">
        <w:rPr>
          <w:rStyle w:val="hps"/>
          <w:spacing w:val="-2"/>
          <w:sz w:val="30"/>
          <w:rtl/>
          <w:lang/>
        </w:rPr>
        <w:t>اليمنية</w:t>
      </w:r>
      <w:r w:rsidRPr="00E64023">
        <w:rPr>
          <w:spacing w:val="-2"/>
          <w:sz w:val="30"/>
          <w:rtl/>
          <w:lang/>
        </w:rPr>
        <w:t xml:space="preserve"> </w:t>
      </w:r>
      <w:r w:rsidRPr="00E64023">
        <w:rPr>
          <w:rStyle w:val="hps"/>
          <w:rFonts w:hint="cs"/>
          <w:spacing w:val="-2"/>
          <w:sz w:val="30"/>
          <w:rtl/>
          <w:lang/>
        </w:rPr>
        <w:t>من تحديد</w:t>
      </w:r>
      <w:r w:rsidRPr="00E64023">
        <w:rPr>
          <w:rStyle w:val="hps"/>
          <w:spacing w:val="-2"/>
          <w:sz w:val="30"/>
          <w:rtl/>
          <w:lang/>
        </w:rPr>
        <w:t xml:space="preserve"> </w:t>
      </w:r>
      <w:r w:rsidRPr="00E64023">
        <w:rPr>
          <w:rStyle w:val="hps"/>
          <w:rFonts w:hint="cs"/>
          <w:spacing w:val="-2"/>
          <w:sz w:val="30"/>
          <w:rtl/>
          <w:lang/>
        </w:rPr>
        <w:t>جميع</w:t>
      </w:r>
      <w:r w:rsidRPr="00E64023">
        <w:rPr>
          <w:rStyle w:val="hps"/>
          <w:spacing w:val="-2"/>
          <w:sz w:val="30"/>
          <w:rtl/>
          <w:lang/>
        </w:rPr>
        <w:t xml:space="preserve"> المشاركين</w:t>
      </w:r>
      <w:r w:rsidRPr="00E64023">
        <w:rPr>
          <w:spacing w:val="-2"/>
          <w:sz w:val="30"/>
          <w:rtl/>
          <w:lang/>
        </w:rPr>
        <w:t xml:space="preserve"> </w:t>
      </w:r>
      <w:r w:rsidRPr="00E64023">
        <w:rPr>
          <w:rStyle w:val="hps"/>
          <w:rFonts w:hint="cs"/>
          <w:spacing w:val="-2"/>
          <w:sz w:val="30"/>
          <w:rtl/>
          <w:lang/>
        </w:rPr>
        <w:t>فيها</w:t>
      </w:r>
      <w:r w:rsidRPr="00E64023">
        <w:rPr>
          <w:rStyle w:val="hps"/>
          <w:spacing w:val="-2"/>
          <w:sz w:val="30"/>
          <w:rtl/>
          <w:lang/>
        </w:rPr>
        <w:t>،</w:t>
      </w:r>
      <w:r w:rsidRPr="00E64023">
        <w:rPr>
          <w:spacing w:val="-2"/>
          <w:sz w:val="30"/>
          <w:rtl/>
          <w:lang/>
        </w:rPr>
        <w:t xml:space="preserve"> </w:t>
      </w:r>
      <w:r w:rsidRPr="00E64023">
        <w:rPr>
          <w:rStyle w:val="hps"/>
          <w:spacing w:val="-2"/>
          <w:sz w:val="30"/>
          <w:rtl/>
          <w:lang/>
        </w:rPr>
        <w:t>باستثناء</w:t>
      </w:r>
      <w:r w:rsidRPr="00E64023">
        <w:rPr>
          <w:spacing w:val="-2"/>
          <w:sz w:val="30"/>
          <w:rtl/>
          <w:lang/>
        </w:rPr>
        <w:t xml:space="preserve"> </w:t>
      </w:r>
      <w:r w:rsidRPr="00E64023">
        <w:rPr>
          <w:rStyle w:val="hps"/>
          <w:spacing w:val="-2"/>
          <w:sz w:val="30"/>
          <w:rtl/>
          <w:lang/>
        </w:rPr>
        <w:t>بعض</w:t>
      </w:r>
      <w:r w:rsidRPr="00E64023">
        <w:rPr>
          <w:spacing w:val="-2"/>
          <w:sz w:val="30"/>
          <w:rtl/>
          <w:lang/>
        </w:rPr>
        <w:t xml:space="preserve"> </w:t>
      </w:r>
      <w:r w:rsidRPr="00E64023">
        <w:rPr>
          <w:rStyle w:val="hps"/>
          <w:spacing w:val="-2"/>
          <w:sz w:val="30"/>
          <w:rtl/>
          <w:lang/>
        </w:rPr>
        <w:t>زعماء المعارضة</w:t>
      </w:r>
      <w:r w:rsidRPr="00E64023">
        <w:rPr>
          <w:spacing w:val="-2"/>
          <w:sz w:val="30"/>
          <w:rtl/>
          <w:lang/>
        </w:rPr>
        <w:t xml:space="preserve"> </w:t>
      </w:r>
      <w:r w:rsidRPr="00E64023">
        <w:rPr>
          <w:rStyle w:val="hps"/>
          <w:spacing w:val="-2"/>
          <w:sz w:val="30"/>
          <w:rtl/>
          <w:lang/>
        </w:rPr>
        <w:t>المعروف</w:t>
      </w:r>
      <w:r w:rsidRPr="00E64023">
        <w:rPr>
          <w:rStyle w:val="hps"/>
          <w:rFonts w:hint="cs"/>
          <w:spacing w:val="-2"/>
          <w:sz w:val="30"/>
          <w:rtl/>
          <w:lang/>
        </w:rPr>
        <w:t>ين</w:t>
      </w:r>
      <w:r w:rsidRPr="00E64023">
        <w:rPr>
          <w:rStyle w:val="hps"/>
          <w:spacing w:val="-2"/>
          <w:sz w:val="30"/>
          <w:rtl/>
          <w:lang/>
        </w:rPr>
        <w:t>.</w:t>
      </w:r>
      <w:r w:rsidRPr="00E64023">
        <w:rPr>
          <w:spacing w:val="-2"/>
          <w:sz w:val="30"/>
          <w:rtl/>
          <w:lang/>
        </w:rPr>
        <w:t xml:space="preserve"> </w:t>
      </w:r>
      <w:r w:rsidRPr="00E64023">
        <w:rPr>
          <w:rStyle w:val="hps"/>
          <w:spacing w:val="-2"/>
          <w:sz w:val="30"/>
          <w:rtl/>
          <w:lang/>
        </w:rPr>
        <w:t>وعلاوة على ذلك</w:t>
      </w:r>
      <w:r w:rsidRPr="00E64023">
        <w:rPr>
          <w:spacing w:val="-2"/>
          <w:sz w:val="30"/>
          <w:rtl/>
          <w:lang/>
        </w:rPr>
        <w:t>، لم </w:t>
      </w:r>
      <w:r w:rsidRPr="00E64023">
        <w:rPr>
          <w:rStyle w:val="hps"/>
          <w:spacing w:val="-2"/>
          <w:sz w:val="30"/>
          <w:rtl/>
          <w:lang/>
        </w:rPr>
        <w:t>يثبت</w:t>
      </w:r>
      <w:r w:rsidRPr="00E64023">
        <w:rPr>
          <w:rStyle w:val="hps"/>
          <w:rFonts w:hint="cs"/>
          <w:spacing w:val="-2"/>
          <w:sz w:val="30"/>
          <w:rtl/>
          <w:lang/>
        </w:rPr>
        <w:t xml:space="preserve"> أصحاب الشكوى</w:t>
      </w:r>
      <w:r w:rsidRPr="00E64023">
        <w:rPr>
          <w:rStyle w:val="hps"/>
          <w:spacing w:val="-2"/>
          <w:sz w:val="30"/>
          <w:rtl/>
          <w:lang/>
        </w:rPr>
        <w:t xml:space="preserve"> أن</w:t>
      </w:r>
      <w:r w:rsidRPr="00E64023">
        <w:rPr>
          <w:rStyle w:val="hps"/>
          <w:rFonts w:hint="cs"/>
          <w:spacing w:val="-2"/>
          <w:sz w:val="30"/>
          <w:rtl/>
          <w:lang/>
        </w:rPr>
        <w:t xml:space="preserve"> أنشطة صاحب الشكوى الأول في سويسرا قد أدت</w:t>
      </w:r>
      <w:r w:rsidRPr="00E64023">
        <w:rPr>
          <w:spacing w:val="-2"/>
          <w:sz w:val="30"/>
          <w:rtl/>
          <w:lang/>
        </w:rPr>
        <w:t xml:space="preserve">، </w:t>
      </w:r>
      <w:r w:rsidRPr="00E64023">
        <w:rPr>
          <w:rStyle w:val="hps"/>
          <w:spacing w:val="-2"/>
          <w:sz w:val="30"/>
          <w:rtl/>
          <w:lang/>
        </w:rPr>
        <w:t>بعد</w:t>
      </w:r>
      <w:r w:rsidRPr="00E64023">
        <w:rPr>
          <w:spacing w:val="-2"/>
          <w:sz w:val="30"/>
          <w:rtl/>
          <w:lang/>
        </w:rPr>
        <w:t xml:space="preserve"> </w:t>
      </w:r>
      <w:r w:rsidRPr="00E64023">
        <w:rPr>
          <w:rStyle w:val="hps"/>
          <w:spacing w:val="-2"/>
          <w:sz w:val="30"/>
          <w:rtl/>
          <w:lang/>
        </w:rPr>
        <w:t>التغييرات الأخيرة</w:t>
      </w:r>
      <w:r w:rsidRPr="00E64023">
        <w:rPr>
          <w:spacing w:val="-2"/>
          <w:sz w:val="30"/>
          <w:rtl/>
          <w:lang/>
        </w:rPr>
        <w:t xml:space="preserve"> </w:t>
      </w:r>
      <w:r w:rsidRPr="00E64023">
        <w:rPr>
          <w:rStyle w:val="hps"/>
          <w:rFonts w:hint="cs"/>
          <w:spacing w:val="-2"/>
          <w:sz w:val="30"/>
          <w:rtl/>
          <w:lang/>
        </w:rPr>
        <w:t>التي شهدتها</w:t>
      </w:r>
      <w:r w:rsidRPr="00E64023">
        <w:rPr>
          <w:spacing w:val="-2"/>
          <w:sz w:val="30"/>
          <w:rtl/>
          <w:lang/>
        </w:rPr>
        <w:t xml:space="preserve"> </w:t>
      </w:r>
      <w:r w:rsidRPr="00E64023">
        <w:rPr>
          <w:rStyle w:val="hps"/>
          <w:spacing w:val="-2"/>
          <w:sz w:val="30"/>
          <w:rtl/>
          <w:lang/>
        </w:rPr>
        <w:t>الحالة الاجتماعية و</w:t>
      </w:r>
      <w:r w:rsidRPr="00E64023">
        <w:rPr>
          <w:spacing w:val="-2"/>
          <w:sz w:val="30"/>
          <w:rtl/>
          <w:lang/>
        </w:rPr>
        <w:t xml:space="preserve">السياسية </w:t>
      </w:r>
      <w:r w:rsidRPr="00E64023">
        <w:rPr>
          <w:rStyle w:val="hps"/>
          <w:spacing w:val="-2"/>
          <w:sz w:val="30"/>
          <w:rtl/>
          <w:lang/>
        </w:rPr>
        <w:t>في</w:t>
      </w:r>
      <w:r w:rsidRPr="00E64023">
        <w:rPr>
          <w:spacing w:val="-2"/>
          <w:sz w:val="30"/>
          <w:rtl/>
          <w:lang/>
        </w:rPr>
        <w:t xml:space="preserve"> </w:t>
      </w:r>
      <w:r w:rsidRPr="00E64023">
        <w:rPr>
          <w:rStyle w:val="hps"/>
          <w:spacing w:val="-2"/>
          <w:sz w:val="30"/>
          <w:rtl/>
          <w:lang/>
        </w:rPr>
        <w:t>اليمن</w:t>
      </w:r>
      <w:r w:rsidRPr="00E64023">
        <w:rPr>
          <w:spacing w:val="-2"/>
          <w:sz w:val="30"/>
          <w:rtl/>
          <w:lang/>
        </w:rPr>
        <w:t>،</w:t>
      </w:r>
      <w:r w:rsidRPr="00E64023">
        <w:rPr>
          <w:rStyle w:val="hps"/>
          <w:spacing w:val="-2"/>
          <w:sz w:val="30"/>
          <w:rtl/>
          <w:lang/>
        </w:rPr>
        <w:t xml:space="preserve"> إلى</w:t>
      </w:r>
      <w:r w:rsidRPr="00E64023">
        <w:rPr>
          <w:rStyle w:val="hps"/>
          <w:rFonts w:hint="cs"/>
          <w:spacing w:val="-2"/>
          <w:sz w:val="30"/>
          <w:rtl/>
          <w:lang/>
        </w:rPr>
        <w:t xml:space="preserve"> إحداث</w:t>
      </w:r>
      <w:r w:rsidRPr="00E64023">
        <w:rPr>
          <w:spacing w:val="-2"/>
          <w:sz w:val="30"/>
          <w:rtl/>
          <w:lang/>
        </w:rPr>
        <w:t xml:space="preserve"> </w:t>
      </w:r>
      <w:r w:rsidRPr="00E64023">
        <w:rPr>
          <w:rStyle w:val="hps"/>
          <w:spacing w:val="-2"/>
          <w:sz w:val="30"/>
          <w:rtl/>
          <w:lang/>
        </w:rPr>
        <w:t>تغير ملموس في الظروف</w:t>
      </w:r>
      <w:r w:rsidRPr="00E64023">
        <w:rPr>
          <w:spacing w:val="-2"/>
          <w:sz w:val="30"/>
          <w:rtl/>
          <w:lang/>
        </w:rPr>
        <w:t xml:space="preserve"> </w:t>
      </w:r>
      <w:r w:rsidRPr="00E64023">
        <w:rPr>
          <w:rStyle w:val="hps"/>
          <w:rFonts w:hint="cs"/>
          <w:spacing w:val="-2"/>
          <w:sz w:val="30"/>
          <w:rtl/>
          <w:lang/>
        </w:rPr>
        <w:t>التي يمرون بها</w:t>
      </w:r>
      <w:r w:rsidRPr="00E64023">
        <w:rPr>
          <w:spacing w:val="-2"/>
          <w:sz w:val="30"/>
          <w:rtl/>
          <w:lang/>
        </w:rPr>
        <w:t xml:space="preserve"> </w:t>
      </w:r>
      <w:r w:rsidRPr="00E64023">
        <w:rPr>
          <w:rStyle w:val="hps"/>
          <w:spacing w:val="-2"/>
          <w:sz w:val="30"/>
          <w:rtl/>
          <w:lang/>
        </w:rPr>
        <w:t>بعد</w:t>
      </w:r>
      <w:r w:rsidRPr="00E64023">
        <w:rPr>
          <w:spacing w:val="-2"/>
          <w:sz w:val="30"/>
          <w:rtl/>
          <w:lang/>
        </w:rPr>
        <w:t xml:space="preserve"> </w:t>
      </w:r>
      <w:r w:rsidRPr="00E64023">
        <w:rPr>
          <w:rStyle w:val="hps"/>
          <w:spacing w:val="-2"/>
          <w:sz w:val="30"/>
          <w:rtl/>
          <w:lang/>
        </w:rPr>
        <w:t>الانتهاء من</w:t>
      </w:r>
      <w:r w:rsidRPr="00E64023">
        <w:rPr>
          <w:spacing w:val="-2"/>
          <w:sz w:val="30"/>
          <w:rtl/>
          <w:lang/>
        </w:rPr>
        <w:t xml:space="preserve"> </w:t>
      </w:r>
      <w:r w:rsidRPr="00E64023">
        <w:rPr>
          <w:rStyle w:val="hps"/>
          <w:spacing w:val="-2"/>
          <w:sz w:val="30"/>
          <w:rtl/>
          <w:lang/>
        </w:rPr>
        <w:t>إجراءات اللجوء</w:t>
      </w:r>
      <w:r w:rsidRPr="00E64023">
        <w:rPr>
          <w:spacing w:val="-2"/>
          <w:sz w:val="30"/>
          <w:rtl/>
          <w:lang/>
        </w:rPr>
        <w:t xml:space="preserve"> </w:t>
      </w:r>
      <w:r w:rsidRPr="00E64023">
        <w:rPr>
          <w:rStyle w:val="hps"/>
          <w:spacing w:val="-2"/>
          <w:sz w:val="30"/>
          <w:rtl/>
          <w:lang/>
        </w:rPr>
        <w:t>العادية</w:t>
      </w:r>
      <w:r w:rsidRPr="00E64023">
        <w:rPr>
          <w:spacing w:val="-2"/>
          <w:sz w:val="30"/>
          <w:rtl/>
          <w:lang/>
        </w:rPr>
        <w:t xml:space="preserve">. </w:t>
      </w:r>
      <w:r w:rsidRPr="00E64023">
        <w:rPr>
          <w:rStyle w:val="hps"/>
          <w:spacing w:val="-2"/>
          <w:sz w:val="30"/>
          <w:rtl/>
          <w:lang/>
        </w:rPr>
        <w:t>و</w:t>
      </w:r>
      <w:r w:rsidRPr="00E64023">
        <w:rPr>
          <w:rStyle w:val="hps"/>
          <w:rFonts w:hint="cs"/>
          <w:spacing w:val="-2"/>
          <w:sz w:val="30"/>
          <w:rtl/>
          <w:lang/>
        </w:rPr>
        <w:t xml:space="preserve">بناء عليه، </w:t>
      </w:r>
      <w:r w:rsidRPr="00E64023">
        <w:rPr>
          <w:rStyle w:val="hps"/>
          <w:spacing w:val="-2"/>
          <w:sz w:val="30"/>
          <w:rtl/>
          <w:lang/>
        </w:rPr>
        <w:t>خلصت المحكمة</w:t>
      </w:r>
      <w:r w:rsidRPr="00E64023">
        <w:rPr>
          <w:spacing w:val="-2"/>
          <w:sz w:val="30"/>
          <w:rtl/>
          <w:lang/>
        </w:rPr>
        <w:t xml:space="preserve"> </w:t>
      </w:r>
      <w:r w:rsidRPr="00E64023">
        <w:rPr>
          <w:rStyle w:val="hps"/>
          <w:spacing w:val="-2"/>
          <w:sz w:val="30"/>
          <w:rtl/>
          <w:lang/>
        </w:rPr>
        <w:t>الإدارية الاتحادية</w:t>
      </w:r>
      <w:r w:rsidRPr="00E64023">
        <w:rPr>
          <w:rFonts w:hint="cs"/>
          <w:spacing w:val="-2"/>
          <w:sz w:val="30"/>
          <w:rtl/>
          <w:lang/>
        </w:rPr>
        <w:t xml:space="preserve"> إلى </w:t>
      </w:r>
      <w:r w:rsidRPr="00E64023">
        <w:rPr>
          <w:spacing w:val="-2"/>
          <w:sz w:val="30"/>
          <w:rtl/>
          <w:lang/>
        </w:rPr>
        <w:t xml:space="preserve">أن </w:t>
      </w:r>
      <w:r w:rsidRPr="00E64023">
        <w:rPr>
          <w:rStyle w:val="hps"/>
          <w:spacing w:val="-2"/>
          <w:sz w:val="30"/>
          <w:rtl/>
          <w:lang/>
        </w:rPr>
        <w:t>تنفيذ</w:t>
      </w:r>
      <w:r w:rsidRPr="00E64023">
        <w:rPr>
          <w:spacing w:val="-2"/>
          <w:sz w:val="30"/>
          <w:rtl/>
          <w:lang/>
        </w:rPr>
        <w:t xml:space="preserve"> </w:t>
      </w:r>
      <w:r w:rsidRPr="00E64023">
        <w:rPr>
          <w:rStyle w:val="hps"/>
          <w:spacing w:val="-2"/>
          <w:sz w:val="30"/>
          <w:rtl/>
          <w:lang/>
        </w:rPr>
        <w:t>أمر الطرد</w:t>
      </w:r>
      <w:r w:rsidRPr="00E64023">
        <w:rPr>
          <w:spacing w:val="-2"/>
          <w:sz w:val="30"/>
          <w:rtl/>
          <w:lang/>
        </w:rPr>
        <w:t xml:space="preserve"> فيما </w:t>
      </w:r>
      <w:r w:rsidRPr="00E64023">
        <w:rPr>
          <w:rStyle w:val="hps"/>
          <w:spacing w:val="-2"/>
          <w:sz w:val="30"/>
          <w:rtl/>
          <w:lang/>
        </w:rPr>
        <w:t>يتعلق</w:t>
      </w:r>
      <w:r w:rsidRPr="00E64023">
        <w:rPr>
          <w:spacing w:val="-2"/>
          <w:sz w:val="30"/>
          <w:rtl/>
          <w:lang/>
        </w:rPr>
        <w:t xml:space="preserve"> </w:t>
      </w:r>
      <w:r w:rsidRPr="00E64023">
        <w:rPr>
          <w:rStyle w:val="hps"/>
          <w:rFonts w:hint="cs"/>
          <w:spacing w:val="-2"/>
          <w:sz w:val="30"/>
          <w:rtl/>
          <w:lang/>
        </w:rPr>
        <w:t>بأصحاب الشكوى</w:t>
      </w:r>
      <w:r w:rsidRPr="00E64023">
        <w:rPr>
          <w:spacing w:val="-2"/>
          <w:sz w:val="30"/>
          <w:rtl/>
          <w:lang/>
        </w:rPr>
        <w:t xml:space="preserve"> </w:t>
      </w:r>
      <w:r w:rsidRPr="00E64023">
        <w:rPr>
          <w:rStyle w:val="hps"/>
          <w:rFonts w:hint="cs"/>
          <w:spacing w:val="-2"/>
          <w:sz w:val="30"/>
          <w:rtl/>
          <w:lang/>
        </w:rPr>
        <w:t>هو إجراء</w:t>
      </w:r>
      <w:r w:rsidRPr="00E64023">
        <w:rPr>
          <w:rStyle w:val="hps"/>
          <w:spacing w:val="-2"/>
          <w:sz w:val="30"/>
          <w:rtl/>
          <w:lang/>
        </w:rPr>
        <w:t xml:space="preserve"> قانوني</w:t>
      </w:r>
      <w:r w:rsidRPr="00E64023">
        <w:rPr>
          <w:spacing w:val="-2"/>
          <w:sz w:val="30"/>
          <w:rtl/>
          <w:lang/>
        </w:rPr>
        <w:t xml:space="preserve"> </w:t>
      </w:r>
      <w:r w:rsidRPr="00E64023">
        <w:rPr>
          <w:rStyle w:val="hps"/>
          <w:spacing w:val="-2"/>
          <w:sz w:val="30"/>
          <w:rtl/>
          <w:lang/>
        </w:rPr>
        <w:t>ومعقول و</w:t>
      </w:r>
      <w:r w:rsidRPr="00E64023">
        <w:rPr>
          <w:spacing w:val="-2"/>
          <w:sz w:val="30"/>
          <w:rtl/>
          <w:lang/>
        </w:rPr>
        <w:t>ممكن.</w:t>
      </w:r>
    </w:p>
    <w:p w:rsidR="00091373" w:rsidRPr="00FA0FC2" w:rsidRDefault="00091373" w:rsidP="00091373">
      <w:pPr>
        <w:pStyle w:val="SingleTxtGA"/>
        <w:rPr>
          <w:sz w:val="30"/>
          <w:rtl/>
          <w:lang/>
        </w:rPr>
      </w:pPr>
      <w:r w:rsidRPr="00FA0FC2">
        <w:rPr>
          <w:sz w:val="30"/>
          <w:rtl/>
          <w:lang w:val="fr-CH"/>
        </w:rPr>
        <w:t>2-12</w:t>
      </w:r>
      <w:r w:rsidRPr="00FA0FC2">
        <w:rPr>
          <w:sz w:val="30"/>
          <w:rtl/>
          <w:lang w:val="fr-CH"/>
        </w:rPr>
        <w:tab/>
      </w:r>
      <w:r w:rsidRPr="00FA0FC2">
        <w:rPr>
          <w:rStyle w:val="hps"/>
          <w:rFonts w:hint="cs"/>
          <w:sz w:val="30"/>
          <w:rtl/>
          <w:lang/>
        </w:rPr>
        <w:t>وأفاد أصحاب الشكوى بأنهم</w:t>
      </w:r>
      <w:r w:rsidRPr="00FA0FC2">
        <w:rPr>
          <w:sz w:val="30"/>
          <w:rtl/>
          <w:lang/>
        </w:rPr>
        <w:t xml:space="preserve"> </w:t>
      </w:r>
      <w:r w:rsidRPr="00FA0FC2">
        <w:rPr>
          <w:rStyle w:val="hps"/>
          <w:sz w:val="30"/>
          <w:rtl/>
          <w:lang/>
        </w:rPr>
        <w:t>قد استنفدوا</w:t>
      </w:r>
      <w:r w:rsidRPr="00FA0FC2">
        <w:rPr>
          <w:sz w:val="30"/>
          <w:rtl/>
          <w:lang/>
        </w:rPr>
        <w:t xml:space="preserve"> </w:t>
      </w:r>
      <w:r w:rsidRPr="00FA0FC2">
        <w:rPr>
          <w:rStyle w:val="hps"/>
          <w:sz w:val="30"/>
          <w:rtl/>
          <w:lang/>
        </w:rPr>
        <w:t xml:space="preserve">جميع </w:t>
      </w:r>
      <w:r w:rsidRPr="00FA0FC2">
        <w:rPr>
          <w:rStyle w:val="hps"/>
          <w:rFonts w:hint="cs"/>
          <w:sz w:val="30"/>
          <w:rtl/>
          <w:lang/>
        </w:rPr>
        <w:t>سبل الانتصاف</w:t>
      </w:r>
      <w:r w:rsidRPr="00FA0FC2">
        <w:rPr>
          <w:sz w:val="30"/>
          <w:rtl/>
          <w:lang/>
        </w:rPr>
        <w:t xml:space="preserve"> </w:t>
      </w:r>
      <w:r w:rsidRPr="00FA0FC2">
        <w:rPr>
          <w:rStyle w:val="hps"/>
          <w:sz w:val="30"/>
          <w:rtl/>
          <w:lang/>
        </w:rPr>
        <w:t>المحلية المتاحة</w:t>
      </w:r>
      <w:r w:rsidRPr="00FA0FC2">
        <w:rPr>
          <w:sz w:val="30"/>
          <w:rtl/>
          <w:lang/>
        </w:rPr>
        <w:t xml:space="preserve"> </w:t>
      </w:r>
      <w:r w:rsidRPr="00FA0FC2">
        <w:rPr>
          <w:rStyle w:val="hps"/>
          <w:sz w:val="30"/>
          <w:rtl/>
          <w:lang/>
        </w:rPr>
        <w:t>للحصول على الإنصاف</w:t>
      </w:r>
      <w:r w:rsidRPr="00FA0FC2">
        <w:rPr>
          <w:sz w:val="30"/>
          <w:rtl/>
          <w:lang/>
        </w:rPr>
        <w:t xml:space="preserve"> </w:t>
      </w:r>
      <w:r w:rsidRPr="00FA0FC2">
        <w:rPr>
          <w:rStyle w:val="hps"/>
          <w:rFonts w:hint="cs"/>
          <w:sz w:val="30"/>
          <w:rtl/>
          <w:lang/>
        </w:rPr>
        <w:t>أمام</w:t>
      </w:r>
      <w:r w:rsidRPr="00FA0FC2">
        <w:rPr>
          <w:sz w:val="30"/>
          <w:rtl/>
          <w:lang/>
        </w:rPr>
        <w:t xml:space="preserve"> </w:t>
      </w:r>
      <w:r w:rsidRPr="00FA0FC2">
        <w:rPr>
          <w:rStyle w:val="hps"/>
          <w:sz w:val="30"/>
          <w:rtl/>
          <w:lang/>
        </w:rPr>
        <w:t>السلطات</w:t>
      </w:r>
      <w:r w:rsidRPr="00FA0FC2">
        <w:rPr>
          <w:rStyle w:val="hps"/>
          <w:rFonts w:hint="cs"/>
          <w:sz w:val="30"/>
          <w:rtl/>
          <w:lang/>
        </w:rPr>
        <w:t xml:space="preserve"> المعنية بمسائل</w:t>
      </w:r>
      <w:r w:rsidRPr="00FA0FC2">
        <w:rPr>
          <w:sz w:val="30"/>
          <w:rtl/>
          <w:lang/>
        </w:rPr>
        <w:t xml:space="preserve"> </w:t>
      </w:r>
      <w:r w:rsidRPr="00FA0FC2">
        <w:rPr>
          <w:rStyle w:val="hps"/>
          <w:sz w:val="30"/>
          <w:rtl/>
          <w:lang/>
        </w:rPr>
        <w:t>اللجوء</w:t>
      </w:r>
      <w:r w:rsidRPr="00FA0FC2">
        <w:rPr>
          <w:sz w:val="30"/>
          <w:rtl/>
          <w:lang/>
        </w:rPr>
        <w:t xml:space="preserve"> </w:t>
      </w:r>
      <w:r w:rsidRPr="00FA0FC2">
        <w:rPr>
          <w:rStyle w:val="hps"/>
          <w:sz w:val="30"/>
          <w:rtl/>
          <w:lang/>
        </w:rPr>
        <w:t>في الدولة الطرف</w:t>
      </w:r>
      <w:r w:rsidRPr="00FA0FC2">
        <w:rPr>
          <w:sz w:val="30"/>
          <w:rtl/>
          <w:lang/>
        </w:rPr>
        <w:t xml:space="preserve">. </w:t>
      </w:r>
      <w:r w:rsidRPr="00FA0FC2">
        <w:rPr>
          <w:rStyle w:val="hps"/>
          <w:rFonts w:hint="cs"/>
          <w:sz w:val="30"/>
          <w:rtl/>
          <w:lang/>
        </w:rPr>
        <w:t xml:space="preserve">وهم ملزمون </w:t>
      </w:r>
      <w:r w:rsidRPr="00FA0FC2">
        <w:rPr>
          <w:rStyle w:val="hps"/>
          <w:sz w:val="30"/>
          <w:rtl/>
          <w:lang/>
        </w:rPr>
        <w:t xml:space="preserve">بموجب القانون </w:t>
      </w:r>
      <w:r w:rsidRPr="00FA0FC2">
        <w:rPr>
          <w:rStyle w:val="hps"/>
          <w:rFonts w:hint="cs"/>
          <w:sz w:val="30"/>
          <w:rtl/>
          <w:lang/>
        </w:rPr>
        <w:t>بم</w:t>
      </w:r>
      <w:r w:rsidRPr="00FA0FC2">
        <w:rPr>
          <w:sz w:val="30"/>
          <w:rtl/>
          <w:lang/>
        </w:rPr>
        <w:t>غادرة سويسرا،</w:t>
      </w:r>
      <w:r>
        <w:rPr>
          <w:sz w:val="30"/>
          <w:rtl/>
          <w:lang/>
        </w:rPr>
        <w:t xml:space="preserve"> وفي </w:t>
      </w:r>
      <w:r w:rsidRPr="00FA0FC2">
        <w:rPr>
          <w:sz w:val="30"/>
          <w:rtl/>
          <w:lang/>
        </w:rPr>
        <w:t xml:space="preserve">حالة </w:t>
      </w:r>
      <w:r w:rsidRPr="00FA0FC2">
        <w:rPr>
          <w:rStyle w:val="hps"/>
          <w:sz w:val="30"/>
          <w:rtl/>
          <w:lang/>
        </w:rPr>
        <w:t>عدم الامتثال</w:t>
      </w:r>
      <w:r w:rsidRPr="00FA0FC2">
        <w:rPr>
          <w:rStyle w:val="hps"/>
          <w:rFonts w:hint="cs"/>
          <w:sz w:val="30"/>
          <w:rtl/>
          <w:lang/>
        </w:rPr>
        <w:t xml:space="preserve"> لذلك</w:t>
      </w:r>
      <w:r w:rsidRPr="00FA0FC2">
        <w:rPr>
          <w:sz w:val="30"/>
          <w:rtl/>
          <w:lang/>
        </w:rPr>
        <w:t>، فإنه</w:t>
      </w:r>
      <w:r w:rsidRPr="00FA0FC2">
        <w:rPr>
          <w:rFonts w:hint="cs"/>
          <w:sz w:val="30"/>
          <w:rtl/>
          <w:lang/>
        </w:rPr>
        <w:t xml:space="preserve">م سيبعدون </w:t>
      </w:r>
      <w:r w:rsidRPr="00FA0FC2">
        <w:rPr>
          <w:rStyle w:val="hps"/>
          <w:rFonts w:hint="cs"/>
          <w:sz w:val="30"/>
          <w:rtl/>
          <w:lang/>
        </w:rPr>
        <w:t>بصورة قسرية</w:t>
      </w:r>
      <w:r w:rsidRPr="00FA0FC2">
        <w:rPr>
          <w:rStyle w:val="hps"/>
          <w:sz w:val="30"/>
          <w:rtl/>
          <w:lang/>
        </w:rPr>
        <w:t xml:space="preserve"> إلى</w:t>
      </w:r>
      <w:r w:rsidRPr="00FA0FC2">
        <w:rPr>
          <w:sz w:val="30"/>
          <w:rtl/>
          <w:lang/>
        </w:rPr>
        <w:t xml:space="preserve"> </w:t>
      </w:r>
      <w:r w:rsidRPr="00FA0FC2">
        <w:rPr>
          <w:rStyle w:val="hps"/>
          <w:sz w:val="30"/>
          <w:rtl/>
          <w:lang/>
        </w:rPr>
        <w:t>اليمن.</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الشكوى</w:t>
      </w:r>
    </w:p>
    <w:p w:rsidR="00091373" w:rsidRPr="00FA0FC2" w:rsidRDefault="00091373" w:rsidP="00091373">
      <w:pPr>
        <w:pStyle w:val="SingleTxtGA"/>
        <w:rPr>
          <w:sz w:val="30"/>
          <w:rtl/>
          <w:lang w:val="fr-CH"/>
        </w:rPr>
      </w:pPr>
      <w:r w:rsidRPr="00FA0FC2">
        <w:rPr>
          <w:sz w:val="30"/>
          <w:rtl/>
          <w:lang w:val="fr-CH"/>
        </w:rPr>
        <w:t>3-1</w:t>
      </w:r>
      <w:r w:rsidRPr="00FA0FC2">
        <w:rPr>
          <w:sz w:val="30"/>
          <w:rtl/>
          <w:lang w:val="fr-CH"/>
        </w:rPr>
        <w:tab/>
      </w:r>
      <w:r w:rsidRPr="00FA0FC2">
        <w:rPr>
          <w:rFonts w:hint="cs"/>
          <w:sz w:val="30"/>
          <w:rtl/>
          <w:lang w:val="fr-CH"/>
        </w:rPr>
        <w:t xml:space="preserve">يؤكد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rFonts w:hint="cs"/>
          <w:sz w:val="30"/>
          <w:rtl/>
          <w:lang/>
        </w:rPr>
        <w:t>أنه</w:t>
      </w:r>
      <w:r w:rsidRPr="00FA0FC2">
        <w:rPr>
          <w:sz w:val="30"/>
          <w:rtl/>
          <w:lang/>
        </w:rPr>
        <w:t xml:space="preserve"> </w:t>
      </w:r>
      <w:r w:rsidRPr="00FA0FC2">
        <w:rPr>
          <w:rFonts w:hint="cs"/>
          <w:sz w:val="30"/>
          <w:rtl/>
          <w:lang/>
        </w:rPr>
        <w:t>سيواجه، في حالة إعادته قسراً إلى اليمن، خطراً</w:t>
      </w:r>
      <w:r w:rsidRPr="00FA0FC2">
        <w:rPr>
          <w:rStyle w:val="hps"/>
          <w:sz w:val="30"/>
          <w:rtl/>
          <w:lang/>
        </w:rPr>
        <w:t xml:space="preserve"> حقيقي</w:t>
      </w:r>
      <w:r w:rsidRPr="00FA0FC2">
        <w:rPr>
          <w:rStyle w:val="hps"/>
          <w:rFonts w:hint="cs"/>
          <w:sz w:val="30"/>
          <w:rtl/>
          <w:lang/>
        </w:rPr>
        <w:t>اً</w:t>
      </w:r>
      <w:r w:rsidRPr="00FA0FC2">
        <w:rPr>
          <w:sz w:val="30"/>
          <w:rtl/>
          <w:lang/>
        </w:rPr>
        <w:t xml:space="preserve"> </w:t>
      </w:r>
      <w:r w:rsidRPr="00FA0FC2">
        <w:rPr>
          <w:rStyle w:val="hps"/>
          <w:sz w:val="30"/>
          <w:rtl/>
          <w:lang/>
        </w:rPr>
        <w:t>و</w:t>
      </w:r>
      <w:r w:rsidRPr="00FA0FC2">
        <w:rPr>
          <w:rStyle w:val="hps"/>
          <w:rFonts w:hint="cs"/>
          <w:sz w:val="30"/>
          <w:rtl/>
          <w:lang/>
        </w:rPr>
        <w:t>وشيكاً بالتعرض</w:t>
      </w:r>
      <w:r w:rsidRPr="00FA0FC2">
        <w:rPr>
          <w:sz w:val="30"/>
          <w:rtl/>
          <w:lang/>
        </w:rPr>
        <w:t xml:space="preserve"> </w:t>
      </w:r>
      <w:r w:rsidRPr="00FA0FC2">
        <w:rPr>
          <w:rStyle w:val="hps"/>
          <w:sz w:val="30"/>
          <w:rtl/>
          <w:lang/>
        </w:rPr>
        <w:t>لل</w:t>
      </w:r>
      <w:r w:rsidRPr="00FA0FC2">
        <w:rPr>
          <w:sz w:val="30"/>
          <w:rtl/>
          <w:lang/>
        </w:rPr>
        <w:t>تعذيب</w:t>
      </w:r>
      <w:r>
        <w:rPr>
          <w:sz w:val="30"/>
          <w:rtl/>
          <w:lang/>
        </w:rPr>
        <w:t xml:space="preserve"> أو </w:t>
      </w:r>
      <w:r w:rsidRPr="00FA0FC2">
        <w:rPr>
          <w:rStyle w:val="hps"/>
          <w:sz w:val="30"/>
          <w:rtl/>
          <w:lang/>
        </w:rPr>
        <w:t>غيره من ضروب المعاملة</w:t>
      </w:r>
      <w:r w:rsidRPr="00FA0FC2">
        <w:rPr>
          <w:sz w:val="30"/>
          <w:rtl/>
          <w:lang/>
        </w:rPr>
        <w:t xml:space="preserve"> </w:t>
      </w:r>
      <w:r w:rsidRPr="00FA0FC2">
        <w:rPr>
          <w:rStyle w:val="hps"/>
          <w:sz w:val="30"/>
          <w:rtl/>
          <w:lang/>
        </w:rPr>
        <w:t>اللاإنسانية</w:t>
      </w:r>
      <w:r>
        <w:rPr>
          <w:rStyle w:val="hps"/>
          <w:sz w:val="30"/>
          <w:rtl/>
          <w:lang/>
        </w:rPr>
        <w:t xml:space="preserve"> أو </w:t>
      </w:r>
      <w:r w:rsidRPr="00FA0FC2">
        <w:rPr>
          <w:rStyle w:val="hps"/>
          <w:sz w:val="30"/>
          <w:rtl/>
          <w:lang/>
        </w:rPr>
        <w:t>المهينة</w:t>
      </w:r>
      <w:r w:rsidRPr="00FA0FC2">
        <w:rPr>
          <w:rFonts w:hint="cs"/>
          <w:sz w:val="30"/>
          <w:rtl/>
          <w:lang/>
        </w:rPr>
        <w:t xml:space="preserve">. </w:t>
      </w:r>
      <w:r w:rsidRPr="00FA0FC2">
        <w:rPr>
          <w:rStyle w:val="hps"/>
          <w:sz w:val="30"/>
          <w:rtl/>
          <w:lang/>
        </w:rPr>
        <w:t>ويضيف</w:t>
      </w:r>
      <w:r w:rsidRPr="00FA0FC2">
        <w:rPr>
          <w:sz w:val="30"/>
          <w:rtl/>
          <w:lang/>
        </w:rPr>
        <w:t xml:space="preserve"> </w:t>
      </w:r>
      <w:r w:rsidRPr="00FA0FC2">
        <w:rPr>
          <w:rStyle w:val="hps"/>
          <w:sz w:val="30"/>
          <w:rtl/>
          <w:lang/>
        </w:rPr>
        <w:t>أن</w:t>
      </w:r>
      <w:r w:rsidRPr="00FA0FC2">
        <w:rPr>
          <w:rStyle w:val="hps"/>
          <w:rFonts w:hint="cs"/>
          <w:sz w:val="30"/>
          <w:rtl/>
          <w:lang/>
        </w:rPr>
        <w:t>ه، بالنظر إلى</w:t>
      </w:r>
      <w:r>
        <w:rPr>
          <w:rStyle w:val="hps"/>
          <w:rFonts w:hint="cs"/>
          <w:sz w:val="30"/>
          <w:rtl/>
          <w:lang/>
        </w:rPr>
        <w:t xml:space="preserve"> ما</w:t>
      </w:r>
      <w:r>
        <w:rPr>
          <w:rStyle w:val="hps"/>
          <w:sz w:val="30"/>
          <w:rtl/>
          <w:lang/>
        </w:rPr>
        <w:t> </w:t>
      </w:r>
      <w:r w:rsidRPr="00FA0FC2">
        <w:rPr>
          <w:rStyle w:val="hps"/>
          <w:rFonts w:hint="cs"/>
          <w:sz w:val="30"/>
          <w:rtl/>
          <w:lang/>
        </w:rPr>
        <w:t>يشهده</w:t>
      </w:r>
      <w:r w:rsidRPr="00FA0FC2">
        <w:rPr>
          <w:rStyle w:val="hps"/>
          <w:sz w:val="30"/>
          <w:rtl/>
          <w:lang/>
        </w:rPr>
        <w:t xml:space="preserve"> </w:t>
      </w:r>
      <w:r w:rsidRPr="00FA0FC2">
        <w:rPr>
          <w:rStyle w:val="hps"/>
          <w:rFonts w:hint="cs"/>
          <w:sz w:val="30"/>
          <w:rtl/>
          <w:lang/>
        </w:rPr>
        <w:t>الوضع في اليمن من عنف شديد وعدم استقرار، فإن</w:t>
      </w:r>
      <w:r w:rsidRPr="00FA0FC2">
        <w:rPr>
          <w:sz w:val="30"/>
          <w:rtl/>
          <w:lang/>
        </w:rPr>
        <w:t xml:space="preserve"> زوجته وابنهما </w:t>
      </w:r>
      <w:r w:rsidRPr="00FA0FC2">
        <w:rPr>
          <w:rFonts w:hint="cs"/>
          <w:sz w:val="30"/>
          <w:rtl/>
          <w:lang/>
        </w:rPr>
        <w:t>س</w:t>
      </w:r>
      <w:r w:rsidRPr="00FA0FC2">
        <w:rPr>
          <w:rStyle w:val="hps"/>
          <w:rFonts w:hint="cs"/>
          <w:sz w:val="30"/>
          <w:rtl/>
          <w:lang/>
        </w:rPr>
        <w:t xml:space="preserve">يواجهان كذلك خطراً وشيكاً بالتعرض لأضرار جسيمة. </w:t>
      </w:r>
      <w:r w:rsidRPr="00FA0FC2">
        <w:rPr>
          <w:rStyle w:val="hps"/>
          <w:sz w:val="30"/>
          <w:rtl/>
          <w:lang/>
        </w:rPr>
        <w:t>وي</w:t>
      </w:r>
      <w:r w:rsidRPr="00FA0FC2">
        <w:rPr>
          <w:rStyle w:val="hps"/>
          <w:rFonts w:hint="cs"/>
          <w:sz w:val="30"/>
          <w:rtl/>
          <w:lang/>
        </w:rPr>
        <w:t>دفع ب</w:t>
      </w:r>
      <w:r w:rsidRPr="00FA0FC2">
        <w:rPr>
          <w:rStyle w:val="hps"/>
          <w:sz w:val="30"/>
          <w:rtl/>
          <w:lang/>
        </w:rPr>
        <w:t>أن</w:t>
      </w:r>
      <w:r w:rsidRPr="00FA0FC2">
        <w:rPr>
          <w:rStyle w:val="hps"/>
          <w:rFonts w:hint="cs"/>
          <w:sz w:val="30"/>
          <w:rtl/>
          <w:lang/>
        </w:rPr>
        <w:t xml:space="preserve"> سويسرا ستنتهك</w:t>
      </w:r>
      <w:r w:rsidRPr="00FA0FC2">
        <w:rPr>
          <w:sz w:val="30"/>
          <w:rtl/>
          <w:lang/>
        </w:rPr>
        <w:t xml:space="preserve">، من خلال </w:t>
      </w:r>
      <w:r w:rsidRPr="00FA0FC2">
        <w:rPr>
          <w:rStyle w:val="hps"/>
          <w:sz w:val="30"/>
          <w:rtl/>
          <w:lang/>
        </w:rPr>
        <w:t>طرده</w:t>
      </w:r>
      <w:r w:rsidRPr="00FA0FC2">
        <w:rPr>
          <w:sz w:val="30"/>
          <w:rtl/>
          <w:lang/>
        </w:rPr>
        <w:t xml:space="preserve"> </w:t>
      </w:r>
      <w:r w:rsidRPr="00FA0FC2">
        <w:rPr>
          <w:rStyle w:val="hps"/>
          <w:sz w:val="30"/>
          <w:rtl/>
          <w:lang/>
        </w:rPr>
        <w:t>وأسرته إلى</w:t>
      </w:r>
      <w:r w:rsidRPr="00FA0FC2">
        <w:rPr>
          <w:sz w:val="30"/>
          <w:rtl/>
          <w:lang/>
        </w:rPr>
        <w:t xml:space="preserve"> </w:t>
      </w:r>
      <w:r w:rsidRPr="00FA0FC2">
        <w:rPr>
          <w:rStyle w:val="hps"/>
          <w:sz w:val="30"/>
          <w:rtl/>
          <w:lang/>
        </w:rPr>
        <w:t>اليمن</w:t>
      </w:r>
      <w:r w:rsidRPr="00FA0FC2">
        <w:rPr>
          <w:sz w:val="30"/>
          <w:rtl/>
          <w:lang/>
        </w:rPr>
        <w:t xml:space="preserve">، </w:t>
      </w:r>
      <w:r w:rsidRPr="00FA0FC2">
        <w:rPr>
          <w:rStyle w:val="hps"/>
          <w:sz w:val="30"/>
          <w:rtl/>
          <w:lang/>
        </w:rPr>
        <w:t>التزاماتها بموجب ال</w:t>
      </w:r>
      <w:r>
        <w:rPr>
          <w:rStyle w:val="hps"/>
          <w:sz w:val="30"/>
          <w:rtl/>
          <w:lang/>
        </w:rPr>
        <w:t>مادة </w:t>
      </w:r>
      <w:r w:rsidRPr="00FA0FC2">
        <w:rPr>
          <w:rStyle w:val="hps"/>
          <w:sz w:val="30"/>
          <w:rtl/>
          <w:lang/>
        </w:rPr>
        <w:t>3 من الاتفاقية</w:t>
      </w:r>
      <w:r w:rsidRPr="00FA0FC2">
        <w:rPr>
          <w:sz w:val="30"/>
          <w:rtl/>
          <w:lang/>
        </w:rPr>
        <w:t>.</w:t>
      </w:r>
    </w:p>
    <w:p w:rsidR="00091373" w:rsidRPr="00FA0FC2" w:rsidRDefault="00091373" w:rsidP="00091373">
      <w:pPr>
        <w:pStyle w:val="SingleTxtGA"/>
        <w:rPr>
          <w:sz w:val="30"/>
          <w:rtl/>
          <w:lang/>
        </w:rPr>
      </w:pPr>
      <w:r w:rsidRPr="00FA0FC2">
        <w:rPr>
          <w:sz w:val="30"/>
          <w:rtl/>
          <w:lang w:val="fr-CH"/>
        </w:rPr>
        <w:t>3-2</w:t>
      </w:r>
      <w:r w:rsidRPr="00FA0FC2">
        <w:rPr>
          <w:sz w:val="30"/>
          <w:rtl/>
          <w:lang w:val="fr-CH"/>
        </w:rPr>
        <w:tab/>
      </w:r>
      <w:r w:rsidRPr="00FA0FC2">
        <w:rPr>
          <w:rStyle w:val="hps"/>
          <w:rFonts w:hint="cs"/>
          <w:sz w:val="30"/>
          <w:rtl/>
          <w:lang/>
        </w:rPr>
        <w:t>ويفيد أصحاب الشكوى أن الرواية التي قدموها في إطار إجراءات اللجوء كانت رواية مفصلة</w:t>
      </w:r>
      <w:r w:rsidRPr="00FA0FC2">
        <w:rPr>
          <w:sz w:val="30"/>
          <w:rtl/>
          <w:lang/>
        </w:rPr>
        <w:t xml:space="preserve"> </w:t>
      </w:r>
      <w:r w:rsidRPr="00FA0FC2">
        <w:rPr>
          <w:rStyle w:val="hps"/>
          <w:rFonts w:hint="cs"/>
          <w:sz w:val="30"/>
          <w:rtl/>
          <w:lang/>
        </w:rPr>
        <w:t xml:space="preserve">ومدعومة </w:t>
      </w:r>
      <w:r w:rsidRPr="00FA0FC2">
        <w:rPr>
          <w:rStyle w:val="hps"/>
          <w:sz w:val="30"/>
          <w:rtl/>
          <w:lang/>
        </w:rPr>
        <w:t>بالأدلة</w:t>
      </w:r>
      <w:r w:rsidRPr="00FA0FC2">
        <w:rPr>
          <w:sz w:val="30"/>
          <w:rtl/>
          <w:lang/>
        </w:rPr>
        <w:t xml:space="preserve"> </w:t>
      </w:r>
      <w:r w:rsidRPr="00FA0FC2">
        <w:rPr>
          <w:rStyle w:val="hps"/>
          <w:rFonts w:hint="cs"/>
          <w:sz w:val="30"/>
          <w:rtl/>
          <w:lang/>
        </w:rPr>
        <w:t>وموثوقة</w:t>
      </w:r>
      <w:r w:rsidRPr="00FA0FC2">
        <w:rPr>
          <w:sz w:val="30"/>
          <w:rtl/>
          <w:lang/>
        </w:rPr>
        <w:t xml:space="preserve">. </w:t>
      </w:r>
      <w:r w:rsidRPr="00FA0FC2">
        <w:rPr>
          <w:rStyle w:val="hps"/>
          <w:sz w:val="30"/>
          <w:rtl/>
          <w:lang/>
        </w:rPr>
        <w:t>وعلاوة على ذلك</w:t>
      </w:r>
      <w:r w:rsidRPr="00FA0FC2">
        <w:rPr>
          <w:sz w:val="30"/>
          <w:rtl/>
          <w:lang/>
        </w:rPr>
        <w:t>،</w:t>
      </w:r>
      <w:r w:rsidRPr="00FA0FC2">
        <w:rPr>
          <w:rFonts w:hint="cs"/>
          <w:sz w:val="30"/>
          <w:rtl/>
          <w:lang/>
        </w:rPr>
        <w:t xml:space="preserve"> فقد أكد</w:t>
      </w:r>
      <w:r w:rsidRPr="00FA0FC2">
        <w:rPr>
          <w:rStyle w:val="hps"/>
          <w:sz w:val="30"/>
          <w:rtl/>
          <w:lang/>
        </w:rPr>
        <w:t xml:space="preserve"> عدد من</w:t>
      </w:r>
      <w:r w:rsidRPr="00FA0FC2">
        <w:rPr>
          <w:sz w:val="30"/>
          <w:rtl/>
          <w:lang/>
        </w:rPr>
        <w:t xml:space="preserve"> </w:t>
      </w:r>
      <w:r w:rsidRPr="00FA0FC2">
        <w:rPr>
          <w:rStyle w:val="hps"/>
          <w:sz w:val="30"/>
          <w:rtl/>
          <w:lang/>
        </w:rPr>
        <w:t>التقارير المستقلة</w:t>
      </w:r>
      <w:r w:rsidRPr="00FA0FC2">
        <w:rPr>
          <w:sz w:val="30"/>
          <w:vertAlign w:val="superscript"/>
          <w:rtl/>
          <w:lang w:val="fr-CH"/>
        </w:rPr>
        <w:t>(</w:t>
      </w:r>
      <w:r w:rsidRPr="00FA0FC2">
        <w:rPr>
          <w:rStyle w:val="FootnoteReference"/>
          <w:sz w:val="30"/>
          <w:rtl/>
          <w:lang w:val="fr-CH"/>
        </w:rPr>
        <w:footnoteReference w:id="256"/>
      </w:r>
      <w:r w:rsidRPr="00FA0FC2">
        <w:rPr>
          <w:sz w:val="30"/>
          <w:vertAlign w:val="superscript"/>
          <w:rtl/>
          <w:lang w:val="fr-CH"/>
        </w:rPr>
        <w:t>)</w:t>
      </w:r>
      <w:r w:rsidRPr="00FA0FC2">
        <w:rPr>
          <w:rFonts w:hint="cs"/>
          <w:sz w:val="30"/>
          <w:rtl/>
          <w:lang/>
        </w:rPr>
        <w:t xml:space="preserve"> هذه الرواية</w:t>
      </w:r>
      <w:r w:rsidRPr="00FA0FC2">
        <w:rPr>
          <w:sz w:val="30"/>
          <w:rtl/>
          <w:lang/>
        </w:rPr>
        <w:t xml:space="preserve">. </w:t>
      </w:r>
      <w:r w:rsidRPr="00FA0FC2">
        <w:rPr>
          <w:rStyle w:val="hps"/>
          <w:sz w:val="30"/>
          <w:rtl/>
          <w:lang/>
        </w:rPr>
        <w:t>ويضيفون</w:t>
      </w:r>
      <w:r w:rsidRPr="00FA0FC2">
        <w:rPr>
          <w:sz w:val="30"/>
          <w:rtl/>
          <w:lang/>
        </w:rPr>
        <w:t xml:space="preserve"> </w:t>
      </w:r>
      <w:r w:rsidRPr="00FA0FC2">
        <w:rPr>
          <w:rStyle w:val="hps"/>
          <w:sz w:val="30"/>
          <w:rtl/>
          <w:lang/>
        </w:rPr>
        <w:t>أن</w:t>
      </w:r>
      <w:r w:rsidRPr="00FA0FC2">
        <w:rPr>
          <w:rStyle w:val="hps"/>
          <w:rFonts w:hint="cs"/>
          <w:sz w:val="30"/>
          <w:rtl/>
          <w:lang/>
        </w:rPr>
        <w:t xml:space="preserve"> صاحب</w:t>
      </w:r>
      <w:r w:rsidRPr="00FA0FC2">
        <w:rPr>
          <w:sz w:val="30"/>
          <w:rtl/>
          <w:lang/>
        </w:rPr>
        <w:t xml:space="preserve"> </w:t>
      </w:r>
      <w:r w:rsidRPr="00FA0FC2">
        <w:rPr>
          <w:rStyle w:val="hps"/>
          <w:sz w:val="30"/>
          <w:rtl/>
          <w:lang/>
        </w:rPr>
        <w:t>الشكوى</w:t>
      </w:r>
      <w:r w:rsidRPr="00FA0FC2">
        <w:rPr>
          <w:sz w:val="30"/>
          <w:rtl/>
          <w:lang/>
        </w:rPr>
        <w:t xml:space="preserve"> </w:t>
      </w:r>
      <w:r w:rsidRPr="00FA0FC2">
        <w:rPr>
          <w:rStyle w:val="hps"/>
          <w:sz w:val="30"/>
          <w:rtl/>
          <w:lang/>
        </w:rPr>
        <w:t>الأول</w:t>
      </w:r>
      <w:r>
        <w:rPr>
          <w:sz w:val="30"/>
          <w:rtl/>
          <w:lang/>
        </w:rPr>
        <w:t xml:space="preserve"> لم </w:t>
      </w:r>
      <w:r w:rsidRPr="00FA0FC2">
        <w:rPr>
          <w:rStyle w:val="hps"/>
          <w:rFonts w:hint="cs"/>
          <w:sz w:val="30"/>
          <w:rtl/>
          <w:lang/>
        </w:rPr>
        <w:t>يزعم البتة</w:t>
      </w:r>
      <w:r w:rsidRPr="00FA0FC2">
        <w:rPr>
          <w:rStyle w:val="hps"/>
          <w:sz w:val="30"/>
          <w:rtl/>
          <w:lang/>
        </w:rPr>
        <w:t xml:space="preserve"> أنه</w:t>
      </w:r>
      <w:r w:rsidRPr="00FA0FC2">
        <w:rPr>
          <w:sz w:val="30"/>
          <w:rtl/>
          <w:lang/>
        </w:rPr>
        <w:t xml:space="preserve"> </w:t>
      </w:r>
      <w:r w:rsidRPr="00FA0FC2">
        <w:rPr>
          <w:rStyle w:val="hps"/>
          <w:sz w:val="30"/>
          <w:rtl/>
          <w:lang/>
        </w:rPr>
        <w:t>كان عضوا</w:t>
      </w:r>
      <w:r w:rsidRPr="00FA0FC2">
        <w:rPr>
          <w:rStyle w:val="hps"/>
          <w:rFonts w:hint="cs"/>
          <w:sz w:val="30"/>
          <w:rtl/>
          <w:lang/>
        </w:rPr>
        <w:t>ً</w:t>
      </w:r>
      <w:r w:rsidRPr="00FA0FC2">
        <w:rPr>
          <w:sz w:val="30"/>
          <w:rtl/>
          <w:lang/>
        </w:rPr>
        <w:t xml:space="preserve"> </w:t>
      </w:r>
      <w:r w:rsidRPr="00FA0FC2">
        <w:rPr>
          <w:rStyle w:val="hps"/>
          <w:sz w:val="30"/>
          <w:rtl/>
          <w:lang/>
        </w:rPr>
        <w:t>رفيع المستوى</w:t>
      </w:r>
      <w:r w:rsidRPr="00FA0FC2">
        <w:rPr>
          <w:sz w:val="30"/>
          <w:rtl/>
          <w:lang/>
        </w:rPr>
        <w:t xml:space="preserve"> </w:t>
      </w:r>
      <w:r w:rsidRPr="00FA0FC2">
        <w:rPr>
          <w:rStyle w:val="hps"/>
          <w:rFonts w:hint="cs"/>
          <w:sz w:val="30"/>
          <w:rtl/>
          <w:lang/>
        </w:rPr>
        <w:t>في</w:t>
      </w:r>
      <w:r w:rsidRPr="00FA0FC2">
        <w:rPr>
          <w:sz w:val="30"/>
          <w:rtl/>
          <w:lang/>
        </w:rPr>
        <w:t xml:space="preserve"> </w:t>
      </w:r>
      <w:r w:rsidRPr="00FA0FC2">
        <w:rPr>
          <w:rStyle w:val="hps"/>
          <w:sz w:val="30"/>
          <w:rtl/>
          <w:lang/>
        </w:rPr>
        <w:t>الحراك الجنوبي.</w:t>
      </w:r>
      <w:r w:rsidRPr="00FA0FC2">
        <w:rPr>
          <w:sz w:val="30"/>
          <w:rtl/>
          <w:lang/>
        </w:rPr>
        <w:t xml:space="preserve"> </w:t>
      </w:r>
      <w:r w:rsidRPr="00FA0FC2">
        <w:rPr>
          <w:rStyle w:val="hps"/>
          <w:sz w:val="30"/>
          <w:rtl/>
          <w:lang/>
        </w:rPr>
        <w:t>ومع ذلك</w:t>
      </w:r>
      <w:r w:rsidRPr="00FA0FC2">
        <w:rPr>
          <w:sz w:val="30"/>
          <w:rtl/>
          <w:lang/>
        </w:rPr>
        <w:t xml:space="preserve">، </w:t>
      </w:r>
      <w:r w:rsidRPr="00FA0FC2">
        <w:rPr>
          <w:rFonts w:hint="cs"/>
          <w:sz w:val="30"/>
          <w:rtl/>
          <w:lang/>
        </w:rPr>
        <w:t xml:space="preserve">فقد </w:t>
      </w:r>
      <w:r w:rsidRPr="00FA0FC2">
        <w:rPr>
          <w:rStyle w:val="hps"/>
          <w:rFonts w:hint="cs"/>
          <w:sz w:val="30"/>
          <w:rtl/>
          <w:lang/>
        </w:rPr>
        <w:t>اعتبرته السلطات اليمنية</w:t>
      </w:r>
      <w:r w:rsidRPr="00FA0FC2">
        <w:rPr>
          <w:rStyle w:val="hps"/>
          <w:sz w:val="30"/>
          <w:rtl/>
          <w:lang/>
        </w:rPr>
        <w:t xml:space="preserve"> ناقد</w:t>
      </w:r>
      <w:r w:rsidRPr="00FA0FC2">
        <w:rPr>
          <w:rStyle w:val="hps"/>
          <w:rFonts w:hint="cs"/>
          <w:sz w:val="30"/>
          <w:rtl/>
          <w:lang/>
        </w:rPr>
        <w:t>اً</w:t>
      </w:r>
      <w:r w:rsidRPr="00FA0FC2">
        <w:rPr>
          <w:sz w:val="30"/>
          <w:rtl/>
          <w:lang/>
        </w:rPr>
        <w:t xml:space="preserve"> </w:t>
      </w:r>
      <w:r w:rsidRPr="00FA0FC2">
        <w:rPr>
          <w:rStyle w:val="hps"/>
          <w:sz w:val="30"/>
          <w:rtl/>
          <w:lang/>
        </w:rPr>
        <w:t>للحكومة</w:t>
      </w:r>
      <w:r w:rsidRPr="00FA0FC2">
        <w:rPr>
          <w:rFonts w:hint="cs"/>
          <w:sz w:val="30"/>
          <w:rtl/>
          <w:lang/>
        </w:rPr>
        <w:t>، ومارست عليه</w:t>
      </w:r>
      <w:r w:rsidRPr="00FA0FC2">
        <w:rPr>
          <w:sz w:val="30"/>
          <w:rtl/>
          <w:lang/>
        </w:rPr>
        <w:t xml:space="preserve"> </w:t>
      </w:r>
      <w:r w:rsidRPr="00FA0FC2">
        <w:rPr>
          <w:rStyle w:val="hps"/>
          <w:sz w:val="30"/>
          <w:rtl/>
          <w:lang/>
        </w:rPr>
        <w:t>ضغط</w:t>
      </w:r>
      <w:r w:rsidRPr="00FA0FC2">
        <w:rPr>
          <w:rStyle w:val="hps"/>
          <w:rFonts w:hint="cs"/>
          <w:sz w:val="30"/>
          <w:rtl/>
          <w:lang/>
        </w:rPr>
        <w:t>اً</w:t>
      </w:r>
      <w:r w:rsidRPr="00FA0FC2">
        <w:rPr>
          <w:rStyle w:val="hps"/>
          <w:sz w:val="30"/>
          <w:rtl/>
          <w:lang/>
        </w:rPr>
        <w:t xml:space="preserve"> شديد</w:t>
      </w:r>
      <w:r w:rsidRPr="00FA0FC2">
        <w:rPr>
          <w:rStyle w:val="hps"/>
          <w:rFonts w:hint="cs"/>
          <w:sz w:val="30"/>
          <w:rtl/>
          <w:lang/>
        </w:rPr>
        <w:t>اً</w:t>
      </w:r>
      <w:r w:rsidRPr="00FA0FC2">
        <w:rPr>
          <w:sz w:val="30"/>
          <w:rtl/>
          <w:lang/>
        </w:rPr>
        <w:t>.</w:t>
      </w:r>
      <w:r>
        <w:rPr>
          <w:sz w:val="30"/>
          <w:rtl/>
          <w:lang/>
        </w:rPr>
        <w:t xml:space="preserve"> ولم </w:t>
      </w:r>
      <w:r w:rsidRPr="00FA0FC2">
        <w:rPr>
          <w:rStyle w:val="hps"/>
          <w:rFonts w:hint="cs"/>
          <w:sz w:val="30"/>
          <w:rtl/>
          <w:lang/>
        </w:rPr>
        <w:t>تكن مغادرته لليمن</w:t>
      </w:r>
      <w:r w:rsidRPr="00FA0FC2">
        <w:rPr>
          <w:sz w:val="30"/>
          <w:rtl/>
          <w:lang/>
        </w:rPr>
        <w:t xml:space="preserve"> </w:t>
      </w:r>
      <w:r w:rsidRPr="00FA0FC2">
        <w:rPr>
          <w:rStyle w:val="hps"/>
          <w:sz w:val="30"/>
          <w:rtl/>
          <w:lang/>
        </w:rPr>
        <w:t>في كانون الثاني</w:t>
      </w:r>
      <w:r w:rsidRPr="00FA0FC2">
        <w:rPr>
          <w:rStyle w:val="hps"/>
          <w:rFonts w:hint="cs"/>
          <w:sz w:val="30"/>
          <w:rtl/>
          <w:lang/>
        </w:rPr>
        <w:t>/يناير</w:t>
      </w:r>
      <w:r w:rsidRPr="00FA0FC2">
        <w:rPr>
          <w:sz w:val="30"/>
          <w:rtl/>
          <w:lang/>
        </w:rPr>
        <w:t xml:space="preserve"> </w:t>
      </w:r>
      <w:r w:rsidRPr="00FA0FC2">
        <w:rPr>
          <w:rStyle w:val="hps"/>
          <w:sz w:val="30"/>
          <w:rtl/>
          <w:lang/>
        </w:rPr>
        <w:t xml:space="preserve">2010 </w:t>
      </w:r>
      <w:r w:rsidRPr="00FA0FC2">
        <w:rPr>
          <w:rStyle w:val="hps"/>
          <w:rFonts w:hint="cs"/>
          <w:sz w:val="30"/>
          <w:rtl/>
          <w:lang/>
        </w:rPr>
        <w:t>ممكنة إلاّ ب</w:t>
      </w:r>
      <w:r w:rsidRPr="00FA0FC2">
        <w:rPr>
          <w:rStyle w:val="hps"/>
          <w:sz w:val="30"/>
          <w:rtl/>
          <w:lang/>
        </w:rPr>
        <w:t>مساعدة</w:t>
      </w:r>
      <w:r w:rsidRPr="00FA0FC2">
        <w:rPr>
          <w:sz w:val="30"/>
          <w:rtl/>
          <w:lang/>
        </w:rPr>
        <w:t xml:space="preserve"> </w:t>
      </w:r>
      <w:r w:rsidRPr="00FA0FC2">
        <w:rPr>
          <w:rStyle w:val="hps"/>
          <w:sz w:val="30"/>
          <w:rtl/>
          <w:lang/>
        </w:rPr>
        <w:t>أحد الأصدقاء</w:t>
      </w:r>
      <w:r>
        <w:rPr>
          <w:rFonts w:hint="cs"/>
          <w:sz w:val="30"/>
          <w:rtl/>
          <w:lang/>
        </w:rPr>
        <w:t xml:space="preserve"> وبما</w:t>
      </w:r>
      <w:r>
        <w:rPr>
          <w:sz w:val="30"/>
          <w:rtl/>
          <w:lang/>
        </w:rPr>
        <w:t> </w:t>
      </w:r>
      <w:r w:rsidRPr="00FA0FC2">
        <w:rPr>
          <w:rFonts w:hint="cs"/>
          <w:sz w:val="30"/>
          <w:rtl/>
          <w:lang/>
        </w:rPr>
        <w:t>خصص لها من أموال كثيرة ولمكانته المتواضعة.</w:t>
      </w:r>
      <w:r w:rsidRPr="00FA0FC2">
        <w:rPr>
          <w:sz w:val="30"/>
          <w:rtl/>
          <w:lang/>
        </w:rPr>
        <w:t xml:space="preserve"> </w:t>
      </w:r>
    </w:p>
    <w:p w:rsidR="00091373" w:rsidRPr="00514AA5" w:rsidRDefault="00091373" w:rsidP="00514AA5">
      <w:pPr>
        <w:pStyle w:val="SingleTxtGA"/>
        <w:rPr>
          <w:sz w:val="30"/>
          <w:rtl/>
          <w:lang/>
        </w:rPr>
      </w:pPr>
      <w:r w:rsidRPr="00FA0FC2">
        <w:rPr>
          <w:spacing w:val="-2"/>
          <w:sz w:val="30"/>
          <w:rtl/>
          <w:lang w:val="fr-CH"/>
        </w:rPr>
        <w:t>3-3</w:t>
      </w:r>
      <w:r w:rsidRPr="00FA0FC2">
        <w:rPr>
          <w:spacing w:val="-2"/>
          <w:sz w:val="30"/>
          <w:rtl/>
          <w:lang w:val="fr-CH"/>
        </w:rPr>
        <w:tab/>
      </w:r>
      <w:r w:rsidRPr="00FA0FC2">
        <w:rPr>
          <w:rStyle w:val="hps"/>
          <w:rFonts w:hint="cs"/>
          <w:sz w:val="30"/>
          <w:rtl/>
          <w:lang/>
        </w:rPr>
        <w:t>وفيما يتعلق</w:t>
      </w:r>
      <w:r w:rsidRPr="00FA0FC2">
        <w:rPr>
          <w:sz w:val="30"/>
          <w:rtl/>
          <w:lang/>
        </w:rPr>
        <w:t xml:space="preserve"> </w:t>
      </w:r>
      <w:r w:rsidRPr="00FA0FC2">
        <w:rPr>
          <w:rFonts w:hint="cs"/>
          <w:sz w:val="30"/>
          <w:rtl/>
          <w:lang/>
        </w:rPr>
        <w:t>ب</w:t>
      </w:r>
      <w:r w:rsidRPr="00FA0FC2">
        <w:rPr>
          <w:rStyle w:val="hps"/>
          <w:rFonts w:hint="cs"/>
          <w:sz w:val="30"/>
          <w:rtl/>
          <w:lang/>
        </w:rPr>
        <w:t>المنطق الذي اعتمدته</w:t>
      </w:r>
      <w:r w:rsidRPr="00FA0FC2">
        <w:rPr>
          <w:sz w:val="30"/>
          <w:rtl/>
          <w:lang/>
        </w:rPr>
        <w:t xml:space="preserve"> </w:t>
      </w:r>
      <w:r w:rsidRPr="00FA0FC2">
        <w:rPr>
          <w:rStyle w:val="hps"/>
          <w:sz w:val="30"/>
          <w:rtl/>
          <w:lang/>
        </w:rPr>
        <w:t>المحكمة</w:t>
      </w:r>
      <w:r w:rsidRPr="00FA0FC2">
        <w:rPr>
          <w:sz w:val="30"/>
          <w:rtl/>
          <w:lang/>
        </w:rPr>
        <w:t xml:space="preserve"> </w:t>
      </w:r>
      <w:r w:rsidRPr="00FA0FC2">
        <w:rPr>
          <w:rStyle w:val="hps"/>
          <w:sz w:val="30"/>
          <w:rtl/>
          <w:lang/>
        </w:rPr>
        <w:t>الإدارية الاتحادية</w:t>
      </w:r>
      <w:r w:rsidRPr="00FA0FC2">
        <w:rPr>
          <w:sz w:val="30"/>
          <w:rtl/>
          <w:lang/>
        </w:rPr>
        <w:t xml:space="preserve"> </w:t>
      </w:r>
      <w:r w:rsidRPr="00FA0FC2">
        <w:rPr>
          <w:rStyle w:val="hps"/>
          <w:rFonts w:hint="cs"/>
          <w:sz w:val="30"/>
          <w:rtl/>
          <w:lang/>
        </w:rPr>
        <w:t>ورأت فيه أن الأمر بالحضور والشهادة</w:t>
      </w:r>
      <w:r w:rsidRPr="00FA0FC2">
        <w:rPr>
          <w:sz w:val="30"/>
          <w:rtl/>
          <w:lang/>
        </w:rPr>
        <w:t xml:space="preserve"> </w:t>
      </w:r>
      <w:r w:rsidRPr="00FA0FC2">
        <w:rPr>
          <w:rFonts w:hint="cs"/>
          <w:sz w:val="30"/>
          <w:rtl/>
          <w:lang/>
        </w:rPr>
        <w:t>ال</w:t>
      </w:r>
      <w:r w:rsidRPr="00FA0FC2">
        <w:rPr>
          <w:rStyle w:val="hps"/>
          <w:sz w:val="30"/>
          <w:rtl/>
          <w:lang/>
        </w:rPr>
        <w:t>صادرة عن</w:t>
      </w:r>
      <w:r w:rsidRPr="00FA0FC2">
        <w:rPr>
          <w:sz w:val="30"/>
          <w:rtl/>
          <w:lang/>
        </w:rPr>
        <w:t xml:space="preserve"> </w:t>
      </w:r>
      <w:r w:rsidRPr="00FA0FC2">
        <w:rPr>
          <w:rStyle w:val="hps"/>
          <w:sz w:val="30"/>
          <w:rtl/>
          <w:lang/>
        </w:rPr>
        <w:t>سلطات سجن</w:t>
      </w:r>
      <w:r w:rsidRPr="00FA0FC2">
        <w:rPr>
          <w:sz w:val="30"/>
          <w:rtl/>
          <w:lang/>
        </w:rPr>
        <w:t xml:space="preserve"> </w:t>
      </w:r>
      <w:r w:rsidRPr="00FA0FC2">
        <w:rPr>
          <w:rStyle w:val="hps"/>
          <w:sz w:val="30"/>
          <w:rtl/>
          <w:lang/>
        </w:rPr>
        <w:t>المنصورة</w:t>
      </w:r>
      <w:r>
        <w:rPr>
          <w:sz w:val="30"/>
          <w:rtl/>
          <w:lang/>
        </w:rPr>
        <w:t xml:space="preserve"> لم </w:t>
      </w:r>
      <w:r w:rsidRPr="00FA0FC2">
        <w:rPr>
          <w:rStyle w:val="hps"/>
          <w:sz w:val="30"/>
          <w:rtl/>
          <w:lang/>
        </w:rPr>
        <w:t>يحدد</w:t>
      </w:r>
      <w:r w:rsidRPr="00FA0FC2">
        <w:rPr>
          <w:rStyle w:val="hps"/>
          <w:rFonts w:hint="cs"/>
          <w:sz w:val="30"/>
          <w:rtl/>
          <w:lang/>
        </w:rPr>
        <w:t>ا</w:t>
      </w:r>
      <w:r w:rsidRPr="00FA0FC2">
        <w:rPr>
          <w:sz w:val="30"/>
          <w:rtl/>
          <w:lang/>
        </w:rPr>
        <w:t xml:space="preserve"> </w:t>
      </w:r>
      <w:r w:rsidRPr="00FA0FC2">
        <w:rPr>
          <w:rStyle w:val="hps"/>
          <w:sz w:val="30"/>
          <w:rtl/>
          <w:lang/>
        </w:rPr>
        <w:t>سبب</w:t>
      </w:r>
      <w:r w:rsidRPr="00FA0FC2">
        <w:rPr>
          <w:sz w:val="30"/>
          <w:rtl/>
          <w:lang/>
        </w:rPr>
        <w:t xml:space="preserve"> </w:t>
      </w:r>
      <w:r w:rsidRPr="00FA0FC2">
        <w:rPr>
          <w:rStyle w:val="hps"/>
          <w:sz w:val="30"/>
          <w:rtl/>
          <w:lang/>
        </w:rPr>
        <w:t>احتجاز</w:t>
      </w:r>
      <w:r w:rsidRPr="00FA0FC2">
        <w:rPr>
          <w:sz w:val="30"/>
          <w:rtl/>
          <w:lang/>
        </w:rPr>
        <w:t xml:space="preserve">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sz w:val="30"/>
          <w:rtl/>
          <w:lang/>
        </w:rPr>
        <w:t>(انظر</w:t>
      </w:r>
      <w:r w:rsidRPr="00FA0FC2">
        <w:rPr>
          <w:sz w:val="30"/>
          <w:rtl/>
          <w:lang/>
        </w:rPr>
        <w:t xml:space="preserve"> </w:t>
      </w:r>
      <w:r w:rsidRPr="00FA0FC2">
        <w:rPr>
          <w:rStyle w:val="hps"/>
          <w:sz w:val="30"/>
          <w:rtl/>
          <w:lang/>
        </w:rPr>
        <w:t>الفقرة</w:t>
      </w:r>
      <w:r w:rsidRPr="00FA0FC2">
        <w:rPr>
          <w:sz w:val="30"/>
          <w:rtl/>
          <w:lang/>
        </w:rPr>
        <w:t xml:space="preserve"> </w:t>
      </w:r>
      <w:r w:rsidRPr="00FA0FC2">
        <w:rPr>
          <w:rStyle w:val="hps"/>
          <w:sz w:val="30"/>
          <w:rtl/>
          <w:lang/>
        </w:rPr>
        <w:t>2</w:t>
      </w:r>
      <w:r w:rsidRPr="00FA0FC2">
        <w:rPr>
          <w:rStyle w:val="hps"/>
          <w:rFonts w:hint="cs"/>
          <w:sz w:val="30"/>
          <w:rtl/>
          <w:lang/>
        </w:rPr>
        <w:t>-</w:t>
      </w:r>
      <w:r w:rsidRPr="00FA0FC2">
        <w:rPr>
          <w:rStyle w:val="hps"/>
          <w:sz w:val="30"/>
          <w:rtl/>
          <w:lang/>
        </w:rPr>
        <w:t>9</w:t>
      </w:r>
      <w:r w:rsidRPr="00FA0FC2">
        <w:rPr>
          <w:sz w:val="30"/>
          <w:rtl/>
          <w:lang/>
        </w:rPr>
        <w:t xml:space="preserve"> </w:t>
      </w:r>
      <w:r w:rsidRPr="00FA0FC2">
        <w:rPr>
          <w:rStyle w:val="hps"/>
          <w:sz w:val="30"/>
          <w:rtl/>
          <w:lang/>
        </w:rPr>
        <w:t>أعلاه)</w:t>
      </w:r>
      <w:r w:rsidRPr="00FA0FC2">
        <w:rPr>
          <w:sz w:val="30"/>
          <w:rtl/>
          <w:lang/>
        </w:rPr>
        <w:t xml:space="preserve">، </w:t>
      </w:r>
      <w:r w:rsidRPr="00FA0FC2">
        <w:rPr>
          <w:rStyle w:val="hps"/>
          <w:rFonts w:hint="cs"/>
          <w:sz w:val="30"/>
          <w:rtl/>
          <w:lang/>
        </w:rPr>
        <w:t>فإن هذا الأخير يشير</w:t>
      </w:r>
      <w:r w:rsidRPr="00FA0FC2">
        <w:rPr>
          <w:rStyle w:val="hps"/>
          <w:sz w:val="30"/>
          <w:rtl/>
          <w:lang/>
        </w:rPr>
        <w:t xml:space="preserve"> إلى</w:t>
      </w:r>
      <w:r w:rsidRPr="00FA0FC2">
        <w:rPr>
          <w:sz w:val="30"/>
          <w:rtl/>
          <w:lang/>
        </w:rPr>
        <w:t xml:space="preserve"> </w:t>
      </w:r>
      <w:r w:rsidRPr="00FA0FC2">
        <w:rPr>
          <w:rFonts w:hint="cs"/>
          <w:sz w:val="30"/>
          <w:rtl/>
          <w:lang/>
        </w:rPr>
        <w:t>ال</w:t>
      </w:r>
      <w:r w:rsidRPr="00FA0FC2">
        <w:rPr>
          <w:rStyle w:val="hps"/>
          <w:sz w:val="30"/>
          <w:rtl/>
          <w:lang/>
        </w:rPr>
        <w:t>تقارير</w:t>
      </w:r>
      <w:r w:rsidRPr="00FA0FC2">
        <w:rPr>
          <w:rStyle w:val="hps"/>
          <w:rFonts w:hint="cs"/>
          <w:sz w:val="30"/>
          <w:rtl/>
          <w:lang/>
        </w:rPr>
        <w:t xml:space="preserve"> التي</w:t>
      </w:r>
      <w:r w:rsidRPr="00FA0FC2">
        <w:rPr>
          <w:rStyle w:val="hps"/>
          <w:sz w:val="30"/>
          <w:rtl/>
          <w:lang/>
        </w:rPr>
        <w:t xml:space="preserve"> </w:t>
      </w:r>
      <w:r w:rsidRPr="00FA0FC2">
        <w:rPr>
          <w:rStyle w:val="hps"/>
          <w:rFonts w:hint="cs"/>
          <w:sz w:val="30"/>
          <w:rtl/>
          <w:lang/>
        </w:rPr>
        <w:t xml:space="preserve">صدرت </w:t>
      </w:r>
      <w:r w:rsidRPr="00514AA5">
        <w:rPr>
          <w:rStyle w:val="hps"/>
          <w:rFonts w:hint="cs"/>
          <w:sz w:val="30"/>
          <w:rtl/>
          <w:lang/>
        </w:rPr>
        <w:t>عن</w:t>
      </w:r>
      <w:r w:rsidRPr="00514AA5">
        <w:rPr>
          <w:sz w:val="30"/>
          <w:rtl/>
          <w:lang/>
        </w:rPr>
        <w:t xml:space="preserve"> </w:t>
      </w:r>
      <w:r w:rsidRPr="00514AA5">
        <w:rPr>
          <w:rStyle w:val="hps"/>
          <w:sz w:val="30"/>
          <w:rtl/>
          <w:lang/>
        </w:rPr>
        <w:t>منظمة العفو الدولية</w:t>
      </w:r>
      <w:r w:rsidRPr="00514AA5">
        <w:rPr>
          <w:sz w:val="30"/>
          <w:vertAlign w:val="superscript"/>
          <w:rtl/>
          <w:lang w:val="fr-CH"/>
        </w:rPr>
        <w:t>(</w:t>
      </w:r>
      <w:r w:rsidRPr="00514AA5">
        <w:rPr>
          <w:rStyle w:val="FootnoteReference"/>
          <w:sz w:val="30"/>
          <w:rtl/>
          <w:lang w:val="fr-CH"/>
        </w:rPr>
        <w:footnoteReference w:id="257"/>
      </w:r>
      <w:r w:rsidRPr="00514AA5">
        <w:rPr>
          <w:sz w:val="30"/>
          <w:vertAlign w:val="superscript"/>
          <w:rtl/>
          <w:lang w:val="fr-CH"/>
        </w:rPr>
        <w:t>)</w:t>
      </w:r>
      <w:r w:rsidRPr="00514AA5">
        <w:rPr>
          <w:rStyle w:val="hps"/>
          <w:sz w:val="30"/>
          <w:rtl/>
          <w:lang/>
        </w:rPr>
        <w:t xml:space="preserve"> ووزارة خارجية الولايات</w:t>
      </w:r>
      <w:r w:rsidRPr="00514AA5">
        <w:rPr>
          <w:sz w:val="30"/>
          <w:rtl/>
          <w:lang/>
        </w:rPr>
        <w:t xml:space="preserve"> </w:t>
      </w:r>
      <w:r w:rsidRPr="00514AA5">
        <w:rPr>
          <w:rStyle w:val="hps"/>
          <w:sz w:val="30"/>
          <w:rtl/>
          <w:lang/>
        </w:rPr>
        <w:t>المتحدة الأمريكية</w:t>
      </w:r>
      <w:r w:rsidRPr="00514AA5">
        <w:rPr>
          <w:sz w:val="30"/>
          <w:vertAlign w:val="superscript"/>
          <w:rtl/>
          <w:lang w:val="fr-CH"/>
        </w:rPr>
        <w:t>(</w:t>
      </w:r>
      <w:r w:rsidRPr="00514AA5">
        <w:rPr>
          <w:rFonts w:hint="cs"/>
          <w:sz w:val="30"/>
          <w:vertAlign w:val="superscript"/>
          <w:rtl/>
          <w:lang w:val="es-ES"/>
        </w:rPr>
        <w:t>ﻫ</w:t>
      </w:r>
      <w:r w:rsidRPr="00514AA5">
        <w:rPr>
          <w:rStyle w:val="FootnoteReference"/>
          <w:color w:val="FFFFFF"/>
          <w:sz w:val="2"/>
          <w:szCs w:val="2"/>
          <w:rtl/>
          <w:lang w:val="fr-CH"/>
        </w:rPr>
        <w:footnoteReference w:id="258"/>
      </w:r>
      <w:r w:rsidRPr="00514AA5">
        <w:rPr>
          <w:sz w:val="30"/>
          <w:vertAlign w:val="superscript"/>
          <w:rtl/>
          <w:lang w:val="fr-CH"/>
        </w:rPr>
        <w:t>)</w:t>
      </w:r>
      <w:r w:rsidRPr="00514AA5">
        <w:rPr>
          <w:rFonts w:hint="cs"/>
          <w:sz w:val="30"/>
          <w:rtl/>
          <w:lang/>
        </w:rPr>
        <w:t>،</w:t>
      </w:r>
      <w:r w:rsidRPr="00514AA5">
        <w:rPr>
          <w:sz w:val="30"/>
          <w:rtl/>
          <w:lang/>
        </w:rPr>
        <w:t xml:space="preserve"> و</w:t>
      </w:r>
      <w:r w:rsidRPr="00514AA5">
        <w:rPr>
          <w:rFonts w:hint="cs"/>
          <w:sz w:val="30"/>
          <w:rtl/>
          <w:lang/>
        </w:rPr>
        <w:t>التي وثقت</w:t>
      </w:r>
      <w:r w:rsidRPr="00514AA5">
        <w:rPr>
          <w:sz w:val="30"/>
          <w:rtl/>
          <w:lang/>
        </w:rPr>
        <w:t xml:space="preserve"> </w:t>
      </w:r>
      <w:r w:rsidRPr="00514AA5">
        <w:rPr>
          <w:rFonts w:hint="cs"/>
          <w:sz w:val="30"/>
          <w:rtl/>
          <w:lang/>
        </w:rPr>
        <w:t>ال</w:t>
      </w:r>
      <w:r w:rsidRPr="00514AA5">
        <w:rPr>
          <w:rStyle w:val="hps"/>
          <w:sz w:val="30"/>
          <w:rtl/>
          <w:lang/>
        </w:rPr>
        <w:t>وحشية</w:t>
      </w:r>
      <w:r w:rsidRPr="00514AA5">
        <w:rPr>
          <w:rStyle w:val="hps"/>
          <w:rFonts w:hint="cs"/>
          <w:sz w:val="30"/>
          <w:rtl/>
          <w:lang/>
        </w:rPr>
        <w:t xml:space="preserve"> والتعذيب اللذين مارستهما الشرطة</w:t>
      </w:r>
      <w:r w:rsidRPr="00514AA5">
        <w:rPr>
          <w:sz w:val="30"/>
          <w:rtl/>
          <w:lang/>
        </w:rPr>
        <w:t xml:space="preserve"> </w:t>
      </w:r>
      <w:r w:rsidRPr="00514AA5">
        <w:rPr>
          <w:rStyle w:val="hps"/>
          <w:sz w:val="30"/>
          <w:rtl/>
          <w:lang/>
        </w:rPr>
        <w:t>على نطاق واسع</w:t>
      </w:r>
      <w:r w:rsidRPr="00514AA5">
        <w:rPr>
          <w:sz w:val="30"/>
          <w:rtl/>
          <w:lang/>
        </w:rPr>
        <w:t xml:space="preserve"> </w:t>
      </w:r>
      <w:r w:rsidRPr="00514AA5">
        <w:rPr>
          <w:rStyle w:val="hps"/>
          <w:rFonts w:hint="cs"/>
          <w:sz w:val="30"/>
          <w:rtl/>
          <w:lang/>
        </w:rPr>
        <w:t>ضد</w:t>
      </w:r>
      <w:r w:rsidRPr="00514AA5">
        <w:rPr>
          <w:sz w:val="30"/>
          <w:rtl/>
          <w:lang/>
        </w:rPr>
        <w:t xml:space="preserve"> </w:t>
      </w:r>
      <w:r w:rsidRPr="00514AA5">
        <w:rPr>
          <w:rStyle w:val="hps"/>
          <w:sz w:val="30"/>
          <w:rtl/>
          <w:lang/>
        </w:rPr>
        <w:t>أنصار</w:t>
      </w:r>
      <w:r w:rsidRPr="00514AA5">
        <w:rPr>
          <w:sz w:val="30"/>
          <w:rtl/>
          <w:lang/>
        </w:rPr>
        <w:t xml:space="preserve"> </w:t>
      </w:r>
      <w:r w:rsidRPr="00514AA5">
        <w:rPr>
          <w:rStyle w:val="hps"/>
          <w:sz w:val="30"/>
          <w:rtl/>
          <w:lang/>
        </w:rPr>
        <w:t>الحراك الجنوبي</w:t>
      </w:r>
      <w:r w:rsidRPr="00514AA5">
        <w:rPr>
          <w:sz w:val="30"/>
          <w:rtl/>
          <w:lang/>
        </w:rPr>
        <w:t xml:space="preserve">، </w:t>
      </w:r>
      <w:r w:rsidRPr="00514AA5">
        <w:rPr>
          <w:rStyle w:val="hps"/>
          <w:sz w:val="30"/>
          <w:rtl/>
          <w:lang/>
        </w:rPr>
        <w:t>وكذلك</w:t>
      </w:r>
      <w:r w:rsidRPr="00514AA5">
        <w:rPr>
          <w:sz w:val="30"/>
          <w:rtl/>
          <w:lang/>
        </w:rPr>
        <w:t xml:space="preserve"> </w:t>
      </w:r>
      <w:r w:rsidRPr="00514AA5">
        <w:rPr>
          <w:rStyle w:val="hps"/>
          <w:rFonts w:hint="cs"/>
          <w:sz w:val="30"/>
          <w:rtl/>
          <w:lang/>
        </w:rPr>
        <w:t>ضد</w:t>
      </w:r>
      <w:r w:rsidRPr="00514AA5">
        <w:rPr>
          <w:sz w:val="30"/>
          <w:rtl/>
          <w:lang/>
        </w:rPr>
        <w:t xml:space="preserve"> </w:t>
      </w:r>
      <w:r w:rsidRPr="00514AA5">
        <w:rPr>
          <w:rStyle w:val="hps"/>
          <w:rFonts w:hint="cs"/>
          <w:sz w:val="30"/>
          <w:rtl/>
          <w:lang/>
        </w:rPr>
        <w:t>المحتجزين المدانين بجرائم جنائية عادية في اليمن</w:t>
      </w:r>
      <w:r w:rsidRPr="00514AA5">
        <w:rPr>
          <w:sz w:val="30"/>
          <w:rtl/>
          <w:lang/>
        </w:rPr>
        <w:t xml:space="preserve">، </w:t>
      </w:r>
      <w:r w:rsidRPr="00514AA5">
        <w:rPr>
          <w:rStyle w:val="hps"/>
          <w:sz w:val="30"/>
          <w:rtl/>
          <w:lang/>
        </w:rPr>
        <w:t>و</w:t>
      </w:r>
      <w:r w:rsidRPr="00514AA5">
        <w:rPr>
          <w:sz w:val="30"/>
          <w:rtl/>
          <w:lang/>
        </w:rPr>
        <w:t xml:space="preserve">يؤكد أنه </w:t>
      </w:r>
      <w:r w:rsidRPr="00514AA5">
        <w:rPr>
          <w:rStyle w:val="hps"/>
          <w:sz w:val="30"/>
          <w:rtl/>
          <w:lang/>
        </w:rPr>
        <w:t xml:space="preserve">كان </w:t>
      </w:r>
      <w:r w:rsidRPr="00514AA5">
        <w:rPr>
          <w:rStyle w:val="hps"/>
          <w:rFonts w:hint="cs"/>
          <w:sz w:val="30"/>
          <w:rtl/>
          <w:lang/>
        </w:rPr>
        <w:t>سي</w:t>
      </w:r>
      <w:r w:rsidRPr="00514AA5">
        <w:rPr>
          <w:rStyle w:val="hps"/>
          <w:sz w:val="30"/>
          <w:rtl/>
          <w:lang/>
        </w:rPr>
        <w:t>تعرض</w:t>
      </w:r>
      <w:r w:rsidRPr="00514AA5">
        <w:rPr>
          <w:sz w:val="30"/>
          <w:rtl/>
          <w:lang/>
        </w:rPr>
        <w:t xml:space="preserve"> </w:t>
      </w:r>
      <w:r w:rsidRPr="00514AA5">
        <w:rPr>
          <w:rStyle w:val="hps"/>
          <w:sz w:val="30"/>
          <w:rtl/>
          <w:lang/>
        </w:rPr>
        <w:t xml:space="preserve">لسوء </w:t>
      </w:r>
      <w:r w:rsidRPr="00514AA5">
        <w:rPr>
          <w:rStyle w:val="hps"/>
          <w:rFonts w:hint="cs"/>
          <w:sz w:val="30"/>
          <w:rtl/>
          <w:lang/>
        </w:rPr>
        <w:t>معاملة حقيقية</w:t>
      </w:r>
      <w:r w:rsidRPr="00514AA5">
        <w:rPr>
          <w:sz w:val="30"/>
          <w:rtl/>
          <w:lang/>
        </w:rPr>
        <w:t xml:space="preserve"> </w:t>
      </w:r>
      <w:r w:rsidRPr="00514AA5">
        <w:rPr>
          <w:rStyle w:val="hps"/>
          <w:sz w:val="30"/>
          <w:rtl/>
          <w:lang/>
        </w:rPr>
        <w:t>حتى</w:t>
      </w:r>
      <w:r w:rsidRPr="00514AA5">
        <w:rPr>
          <w:sz w:val="30"/>
          <w:rtl/>
          <w:lang/>
        </w:rPr>
        <w:t xml:space="preserve"> </w:t>
      </w:r>
      <w:r w:rsidRPr="00514AA5">
        <w:rPr>
          <w:rStyle w:val="hps"/>
          <w:sz w:val="30"/>
          <w:rtl/>
          <w:lang/>
        </w:rPr>
        <w:t xml:space="preserve">لو لم يكن </w:t>
      </w:r>
      <w:r w:rsidRPr="00514AA5">
        <w:rPr>
          <w:rStyle w:val="hps"/>
          <w:rFonts w:hint="cs"/>
          <w:sz w:val="30"/>
          <w:rtl/>
          <w:lang/>
        </w:rPr>
        <w:t xml:space="preserve">مطلوباً </w:t>
      </w:r>
      <w:r w:rsidRPr="00514AA5">
        <w:rPr>
          <w:rStyle w:val="hps"/>
          <w:sz w:val="30"/>
          <w:rtl/>
          <w:lang/>
        </w:rPr>
        <w:t>لأسباب سياسية</w:t>
      </w:r>
      <w:r w:rsidRPr="00514AA5">
        <w:rPr>
          <w:sz w:val="30"/>
          <w:rtl/>
          <w:lang/>
        </w:rPr>
        <w:t>.</w:t>
      </w:r>
    </w:p>
    <w:p w:rsidR="00091373" w:rsidRPr="00514AA5" w:rsidRDefault="00091373" w:rsidP="00514AA5">
      <w:pPr>
        <w:pStyle w:val="SingleTxtGA"/>
        <w:rPr>
          <w:rStyle w:val="hps"/>
          <w:sz w:val="30"/>
          <w:rtl/>
          <w:lang/>
        </w:rPr>
      </w:pPr>
      <w:r w:rsidRPr="00514AA5">
        <w:rPr>
          <w:sz w:val="30"/>
          <w:rtl/>
          <w:lang w:val="fr-CH"/>
        </w:rPr>
        <w:t>3-4</w:t>
      </w:r>
      <w:r w:rsidRPr="00514AA5">
        <w:rPr>
          <w:sz w:val="30"/>
          <w:rtl/>
          <w:lang w:val="fr-CH"/>
        </w:rPr>
        <w:tab/>
      </w:r>
      <w:r w:rsidRPr="00514AA5">
        <w:rPr>
          <w:rStyle w:val="hps"/>
          <w:rFonts w:hint="cs"/>
          <w:sz w:val="30"/>
          <w:rtl/>
          <w:lang/>
        </w:rPr>
        <w:t>ويؤكد أصحاب الشكوى أن</w:t>
      </w:r>
      <w:r w:rsidRPr="00514AA5">
        <w:rPr>
          <w:rStyle w:val="hps"/>
          <w:sz w:val="30"/>
          <w:rtl/>
          <w:lang/>
        </w:rPr>
        <w:t xml:space="preserve"> خطر</w:t>
      </w:r>
      <w:r w:rsidRPr="00514AA5">
        <w:rPr>
          <w:sz w:val="30"/>
          <w:rtl/>
          <w:lang/>
        </w:rPr>
        <w:t xml:space="preserve"> </w:t>
      </w:r>
      <w:r w:rsidRPr="00514AA5">
        <w:rPr>
          <w:rStyle w:val="hps"/>
          <w:rFonts w:hint="cs"/>
          <w:sz w:val="30"/>
          <w:rtl/>
          <w:lang/>
        </w:rPr>
        <w:t>تعرضهم للاضطهاد في اليمن قد تفاقم بسبب</w:t>
      </w:r>
      <w:r w:rsidRPr="00514AA5">
        <w:rPr>
          <w:sz w:val="30"/>
          <w:rtl/>
          <w:lang/>
        </w:rPr>
        <w:t xml:space="preserve"> </w:t>
      </w:r>
      <w:r w:rsidRPr="00514AA5">
        <w:rPr>
          <w:rStyle w:val="hps"/>
          <w:sz w:val="30"/>
          <w:rtl/>
          <w:lang/>
        </w:rPr>
        <w:t>الأنشطة السياسية</w:t>
      </w:r>
      <w:r w:rsidRPr="00514AA5">
        <w:rPr>
          <w:sz w:val="30"/>
          <w:rtl/>
          <w:lang/>
        </w:rPr>
        <w:t xml:space="preserve"> </w:t>
      </w:r>
      <w:r w:rsidRPr="00514AA5">
        <w:rPr>
          <w:rStyle w:val="hps"/>
          <w:rFonts w:hint="cs"/>
          <w:sz w:val="30"/>
          <w:rtl/>
          <w:lang/>
        </w:rPr>
        <w:t xml:space="preserve">التي مارسها صاحب </w:t>
      </w:r>
      <w:r w:rsidRPr="00514AA5">
        <w:rPr>
          <w:rStyle w:val="hps"/>
          <w:sz w:val="30"/>
          <w:rtl/>
          <w:lang/>
        </w:rPr>
        <w:t>الشكوى</w:t>
      </w:r>
      <w:r w:rsidRPr="00514AA5">
        <w:rPr>
          <w:sz w:val="30"/>
          <w:rtl/>
          <w:lang/>
        </w:rPr>
        <w:t xml:space="preserve"> </w:t>
      </w:r>
      <w:r w:rsidRPr="00514AA5">
        <w:rPr>
          <w:rStyle w:val="hps"/>
          <w:sz w:val="30"/>
          <w:rtl/>
          <w:lang/>
        </w:rPr>
        <w:t>الأول</w:t>
      </w:r>
      <w:r w:rsidRPr="00514AA5">
        <w:rPr>
          <w:sz w:val="30"/>
          <w:rtl/>
          <w:lang/>
        </w:rPr>
        <w:t xml:space="preserve"> </w:t>
      </w:r>
      <w:r w:rsidRPr="00514AA5">
        <w:rPr>
          <w:rStyle w:val="hps"/>
          <w:sz w:val="30"/>
          <w:rtl/>
          <w:lang/>
        </w:rPr>
        <w:t>في</w:t>
      </w:r>
      <w:r w:rsidRPr="00514AA5">
        <w:rPr>
          <w:sz w:val="30"/>
          <w:rtl/>
          <w:lang/>
        </w:rPr>
        <w:t xml:space="preserve"> </w:t>
      </w:r>
      <w:r w:rsidRPr="00514AA5">
        <w:rPr>
          <w:rStyle w:val="hps"/>
          <w:sz w:val="30"/>
          <w:rtl/>
          <w:lang/>
        </w:rPr>
        <w:t>سويسرا</w:t>
      </w:r>
      <w:r w:rsidRPr="00514AA5">
        <w:rPr>
          <w:sz w:val="30"/>
          <w:rtl/>
          <w:lang/>
        </w:rPr>
        <w:t xml:space="preserve">. </w:t>
      </w:r>
      <w:r w:rsidRPr="00514AA5">
        <w:rPr>
          <w:rStyle w:val="hps"/>
          <w:sz w:val="30"/>
          <w:rtl/>
          <w:lang/>
        </w:rPr>
        <w:t>وهو</w:t>
      </w:r>
      <w:r w:rsidRPr="00514AA5">
        <w:rPr>
          <w:sz w:val="30"/>
          <w:rtl/>
          <w:lang/>
        </w:rPr>
        <w:t xml:space="preserve"> </w:t>
      </w:r>
      <w:r w:rsidRPr="00514AA5">
        <w:rPr>
          <w:rStyle w:val="hps"/>
          <w:sz w:val="30"/>
          <w:rtl/>
          <w:lang/>
        </w:rPr>
        <w:t>عضو في</w:t>
      </w:r>
      <w:r w:rsidRPr="00514AA5">
        <w:rPr>
          <w:sz w:val="30"/>
          <w:rtl/>
          <w:lang/>
        </w:rPr>
        <w:t xml:space="preserve"> </w:t>
      </w:r>
      <w:r w:rsidRPr="00514AA5">
        <w:rPr>
          <w:rStyle w:val="hps"/>
          <w:sz w:val="30"/>
          <w:rtl/>
          <w:lang/>
        </w:rPr>
        <w:t>التجمع الديمقراطي الجنوبي</w:t>
      </w:r>
      <w:r w:rsidRPr="00514AA5">
        <w:rPr>
          <w:sz w:val="30"/>
          <w:rtl/>
          <w:lang/>
        </w:rPr>
        <w:t xml:space="preserve"> </w:t>
      </w:r>
      <w:r w:rsidRPr="00514AA5">
        <w:rPr>
          <w:rStyle w:val="hps"/>
          <w:sz w:val="30"/>
          <w:rtl/>
          <w:lang/>
        </w:rPr>
        <w:t>في</w:t>
      </w:r>
      <w:r w:rsidRPr="00514AA5">
        <w:rPr>
          <w:sz w:val="30"/>
          <w:rtl/>
          <w:lang/>
        </w:rPr>
        <w:t xml:space="preserve"> </w:t>
      </w:r>
      <w:r w:rsidRPr="00514AA5">
        <w:rPr>
          <w:rStyle w:val="hps"/>
          <w:sz w:val="30"/>
          <w:rtl/>
          <w:lang/>
        </w:rPr>
        <w:t>سويسرا</w:t>
      </w:r>
      <w:r w:rsidRPr="00514AA5">
        <w:rPr>
          <w:rFonts w:hint="cs"/>
          <w:sz w:val="30"/>
          <w:rtl/>
          <w:lang/>
        </w:rPr>
        <w:t xml:space="preserve">، وقد </w:t>
      </w:r>
      <w:r w:rsidRPr="00514AA5">
        <w:rPr>
          <w:sz w:val="30"/>
          <w:rtl/>
          <w:lang/>
        </w:rPr>
        <w:t xml:space="preserve">ارتبط </w:t>
      </w:r>
      <w:r w:rsidRPr="00514AA5">
        <w:rPr>
          <w:rStyle w:val="hps"/>
          <w:sz w:val="30"/>
          <w:rtl/>
          <w:lang/>
        </w:rPr>
        <w:t xml:space="preserve">اسمه </w:t>
      </w:r>
      <w:r w:rsidRPr="00514AA5">
        <w:rPr>
          <w:rStyle w:val="hps"/>
          <w:rFonts w:hint="cs"/>
          <w:sz w:val="30"/>
          <w:rtl/>
          <w:lang/>
        </w:rPr>
        <w:t>وصوره بهذا التجمع،</w:t>
      </w:r>
      <w:r w:rsidRPr="00514AA5">
        <w:rPr>
          <w:rStyle w:val="hps"/>
          <w:sz w:val="30"/>
          <w:rtl/>
          <w:lang/>
        </w:rPr>
        <w:t xml:space="preserve"> و</w:t>
      </w:r>
      <w:r w:rsidRPr="00514AA5">
        <w:rPr>
          <w:sz w:val="30"/>
          <w:rtl/>
          <w:lang/>
        </w:rPr>
        <w:t>نشر</w:t>
      </w:r>
      <w:r w:rsidRPr="00514AA5">
        <w:rPr>
          <w:rFonts w:hint="cs"/>
          <w:sz w:val="30"/>
          <w:rtl/>
          <w:lang/>
        </w:rPr>
        <w:t xml:space="preserve"> ذلك</w:t>
      </w:r>
      <w:r w:rsidRPr="00514AA5">
        <w:rPr>
          <w:sz w:val="30"/>
          <w:rtl/>
          <w:lang/>
        </w:rPr>
        <w:t xml:space="preserve"> </w:t>
      </w:r>
      <w:r w:rsidRPr="00514AA5">
        <w:rPr>
          <w:rStyle w:val="hps"/>
          <w:sz w:val="30"/>
          <w:rtl/>
          <w:lang/>
        </w:rPr>
        <w:t>على الإنترنت.</w:t>
      </w:r>
      <w:r w:rsidRPr="00514AA5">
        <w:rPr>
          <w:sz w:val="30"/>
          <w:rtl/>
          <w:lang/>
        </w:rPr>
        <w:t xml:space="preserve"> </w:t>
      </w:r>
      <w:r w:rsidRPr="00514AA5">
        <w:rPr>
          <w:rStyle w:val="hps"/>
          <w:sz w:val="30"/>
          <w:rtl/>
          <w:lang/>
        </w:rPr>
        <w:t>وعلاوة على ذلك</w:t>
      </w:r>
      <w:r w:rsidRPr="00514AA5">
        <w:rPr>
          <w:sz w:val="30"/>
          <w:rtl/>
          <w:lang/>
        </w:rPr>
        <w:t xml:space="preserve">، </w:t>
      </w:r>
      <w:r w:rsidRPr="00514AA5">
        <w:rPr>
          <w:rFonts w:hint="cs"/>
          <w:sz w:val="30"/>
          <w:rtl/>
          <w:lang/>
        </w:rPr>
        <w:t xml:space="preserve">فهو يتولى منصباً هاماً </w:t>
      </w:r>
      <w:r w:rsidRPr="00514AA5">
        <w:rPr>
          <w:rStyle w:val="hps"/>
          <w:sz w:val="30"/>
          <w:rtl/>
          <w:lang/>
        </w:rPr>
        <w:t>في كانتون</w:t>
      </w:r>
      <w:r w:rsidRPr="00514AA5">
        <w:rPr>
          <w:sz w:val="30"/>
          <w:rtl/>
          <w:lang/>
        </w:rPr>
        <w:t xml:space="preserve"> </w:t>
      </w:r>
      <w:r w:rsidRPr="00514AA5">
        <w:rPr>
          <w:rStyle w:val="hps"/>
          <w:sz w:val="30"/>
          <w:rtl/>
          <w:lang/>
        </w:rPr>
        <w:t>فريبورغ</w:t>
      </w:r>
      <w:r w:rsidRPr="00514AA5">
        <w:rPr>
          <w:sz w:val="30"/>
          <w:rtl/>
          <w:lang/>
        </w:rPr>
        <w:t xml:space="preserve">. </w:t>
      </w:r>
      <w:r w:rsidRPr="00514AA5">
        <w:rPr>
          <w:rFonts w:hint="cs"/>
          <w:sz w:val="30"/>
          <w:rtl/>
          <w:lang/>
        </w:rPr>
        <w:t>و</w:t>
      </w:r>
      <w:r w:rsidRPr="00514AA5">
        <w:rPr>
          <w:rStyle w:val="hps"/>
          <w:sz w:val="30"/>
          <w:rtl/>
          <w:lang/>
        </w:rPr>
        <w:t>ت</w:t>
      </w:r>
      <w:r w:rsidRPr="00514AA5">
        <w:rPr>
          <w:rStyle w:val="hps"/>
          <w:rFonts w:hint="cs"/>
          <w:sz w:val="30"/>
          <w:rtl/>
          <w:lang/>
        </w:rPr>
        <w:t>قر</w:t>
      </w:r>
      <w:r w:rsidRPr="00514AA5">
        <w:rPr>
          <w:sz w:val="30"/>
          <w:rtl/>
          <w:lang/>
        </w:rPr>
        <w:t xml:space="preserve"> </w:t>
      </w:r>
      <w:r w:rsidRPr="00514AA5">
        <w:rPr>
          <w:rStyle w:val="hps"/>
          <w:sz w:val="30"/>
          <w:rtl/>
          <w:lang/>
        </w:rPr>
        <w:t>السلطات السويسرية</w:t>
      </w:r>
      <w:r w:rsidRPr="00514AA5">
        <w:rPr>
          <w:sz w:val="30"/>
          <w:rtl/>
          <w:lang/>
        </w:rPr>
        <w:t xml:space="preserve"> </w:t>
      </w:r>
      <w:r w:rsidRPr="00514AA5">
        <w:rPr>
          <w:rStyle w:val="hps"/>
          <w:rFonts w:hint="cs"/>
          <w:sz w:val="30"/>
          <w:rtl/>
          <w:lang/>
        </w:rPr>
        <w:t>في</w:t>
      </w:r>
      <w:r w:rsidRPr="00514AA5">
        <w:rPr>
          <w:sz w:val="30"/>
          <w:rtl/>
          <w:lang/>
        </w:rPr>
        <w:t xml:space="preserve"> </w:t>
      </w:r>
      <w:r w:rsidRPr="00514AA5">
        <w:rPr>
          <w:rStyle w:val="hps"/>
          <w:sz w:val="30"/>
          <w:rtl/>
          <w:lang/>
        </w:rPr>
        <w:t>الحكم الصادر عن</w:t>
      </w:r>
      <w:r w:rsidRPr="00514AA5">
        <w:rPr>
          <w:sz w:val="30"/>
          <w:rtl/>
          <w:lang/>
        </w:rPr>
        <w:t xml:space="preserve"> </w:t>
      </w:r>
      <w:r w:rsidRPr="00514AA5">
        <w:rPr>
          <w:rStyle w:val="hps"/>
          <w:sz w:val="30"/>
          <w:rtl/>
          <w:lang/>
        </w:rPr>
        <w:t>المحكمة</w:t>
      </w:r>
      <w:r w:rsidRPr="00514AA5">
        <w:rPr>
          <w:sz w:val="30"/>
          <w:rtl/>
          <w:lang/>
        </w:rPr>
        <w:t xml:space="preserve"> </w:t>
      </w:r>
      <w:r w:rsidRPr="00514AA5">
        <w:rPr>
          <w:rStyle w:val="hps"/>
          <w:sz w:val="30"/>
          <w:rtl/>
          <w:lang/>
        </w:rPr>
        <w:t>الإدارية الاتحادية</w:t>
      </w:r>
      <w:r w:rsidRPr="00514AA5">
        <w:rPr>
          <w:sz w:val="30"/>
          <w:rtl/>
          <w:lang/>
        </w:rPr>
        <w:t xml:space="preserve"> </w:t>
      </w:r>
      <w:r w:rsidRPr="00514AA5">
        <w:rPr>
          <w:rStyle w:val="hps"/>
          <w:rFonts w:hint="cs"/>
          <w:sz w:val="30"/>
          <w:rtl/>
          <w:lang/>
        </w:rPr>
        <w:t>في</w:t>
      </w:r>
      <w:r w:rsidRPr="00514AA5">
        <w:rPr>
          <w:sz w:val="30"/>
          <w:rtl/>
          <w:lang/>
        </w:rPr>
        <w:t xml:space="preserve"> </w:t>
      </w:r>
      <w:r w:rsidRPr="00514AA5">
        <w:rPr>
          <w:rStyle w:val="hps"/>
          <w:sz w:val="30"/>
          <w:rtl/>
          <w:lang/>
        </w:rPr>
        <w:t xml:space="preserve">27 </w:t>
      </w:r>
      <w:r w:rsidRPr="00514AA5">
        <w:rPr>
          <w:rStyle w:val="hps"/>
          <w:rFonts w:hint="cs"/>
          <w:sz w:val="30"/>
          <w:rtl/>
          <w:lang/>
        </w:rPr>
        <w:t>أيار/</w:t>
      </w:r>
      <w:r w:rsidRPr="00514AA5">
        <w:rPr>
          <w:rStyle w:val="hps"/>
          <w:sz w:val="30"/>
          <w:rtl/>
          <w:lang/>
        </w:rPr>
        <w:t>مايو 2011</w:t>
      </w:r>
      <w:r w:rsidRPr="00514AA5">
        <w:rPr>
          <w:sz w:val="30"/>
          <w:rtl/>
          <w:lang/>
        </w:rPr>
        <w:t xml:space="preserve"> </w:t>
      </w:r>
      <w:r w:rsidRPr="00514AA5">
        <w:rPr>
          <w:rStyle w:val="hps"/>
          <w:rFonts w:hint="cs"/>
          <w:sz w:val="30"/>
          <w:rtl/>
          <w:lang/>
        </w:rPr>
        <w:t>ب</w:t>
      </w:r>
      <w:r w:rsidRPr="00514AA5">
        <w:rPr>
          <w:rStyle w:val="hps"/>
          <w:sz w:val="30"/>
          <w:rtl/>
          <w:lang/>
        </w:rPr>
        <w:t>أن</w:t>
      </w:r>
      <w:r w:rsidRPr="00514AA5">
        <w:rPr>
          <w:rStyle w:val="hps"/>
          <w:rFonts w:hint="cs"/>
          <w:sz w:val="30"/>
          <w:rtl/>
          <w:lang/>
        </w:rPr>
        <w:t xml:space="preserve"> السلطات اليمنية قد راقبت أو</w:t>
      </w:r>
      <w:r w:rsidRPr="00514AA5">
        <w:rPr>
          <w:rStyle w:val="hps"/>
          <w:sz w:val="30"/>
          <w:rtl/>
          <w:lang/>
        </w:rPr>
        <w:t> </w:t>
      </w:r>
      <w:r w:rsidRPr="00514AA5">
        <w:rPr>
          <w:rStyle w:val="hps"/>
          <w:rFonts w:hint="cs"/>
          <w:sz w:val="30"/>
          <w:rtl/>
          <w:lang/>
        </w:rPr>
        <w:t>تراقب عن كثب</w:t>
      </w:r>
      <w:r w:rsidRPr="00514AA5">
        <w:rPr>
          <w:sz w:val="30"/>
          <w:rtl/>
          <w:lang/>
        </w:rPr>
        <w:t xml:space="preserve"> </w:t>
      </w:r>
      <w:r w:rsidRPr="00514AA5">
        <w:rPr>
          <w:rFonts w:hint="cs"/>
          <w:sz w:val="30"/>
          <w:rtl/>
          <w:lang/>
        </w:rPr>
        <w:t xml:space="preserve">أنشطة </w:t>
      </w:r>
      <w:r w:rsidRPr="00514AA5">
        <w:rPr>
          <w:rStyle w:val="hps"/>
          <w:sz w:val="30"/>
          <w:rtl/>
          <w:lang/>
        </w:rPr>
        <w:t>التجمع الديمقراطي الجنوبي</w:t>
      </w:r>
      <w:r w:rsidRPr="00514AA5">
        <w:rPr>
          <w:rFonts w:hint="cs"/>
          <w:sz w:val="30"/>
          <w:rtl/>
          <w:lang/>
        </w:rPr>
        <w:t xml:space="preserve">. </w:t>
      </w:r>
      <w:r w:rsidRPr="00514AA5">
        <w:rPr>
          <w:rStyle w:val="hps"/>
          <w:sz w:val="30"/>
          <w:rtl/>
          <w:lang/>
        </w:rPr>
        <w:t>و</w:t>
      </w:r>
      <w:r w:rsidRPr="00514AA5">
        <w:rPr>
          <w:rStyle w:val="hps"/>
          <w:rFonts w:hint="cs"/>
          <w:sz w:val="30"/>
          <w:rtl/>
          <w:lang/>
        </w:rPr>
        <w:t>هي تؤكد أن قادة هذه الحركة قد يكونون عرضة للاضطهاد في حالة عودتهم إلى اليمن.</w:t>
      </w:r>
      <w:r w:rsidRPr="00514AA5">
        <w:rPr>
          <w:rStyle w:val="hps"/>
          <w:sz w:val="30"/>
          <w:rtl/>
          <w:lang/>
        </w:rPr>
        <w:t xml:space="preserve"> </w:t>
      </w:r>
      <w:r w:rsidRPr="00514AA5">
        <w:rPr>
          <w:rStyle w:val="hps"/>
          <w:rFonts w:hint="cs"/>
          <w:sz w:val="30"/>
          <w:rtl/>
          <w:lang/>
        </w:rPr>
        <w:t xml:space="preserve">ومع ذلك، فقد اعتبرت </w:t>
      </w:r>
      <w:r w:rsidRPr="00514AA5">
        <w:rPr>
          <w:rStyle w:val="hps"/>
          <w:sz w:val="30"/>
          <w:rtl/>
          <w:lang/>
        </w:rPr>
        <w:t>المحكمة</w:t>
      </w:r>
      <w:r w:rsidRPr="00514AA5">
        <w:rPr>
          <w:sz w:val="30"/>
          <w:rtl/>
          <w:lang/>
        </w:rPr>
        <w:t xml:space="preserve"> </w:t>
      </w:r>
      <w:r w:rsidRPr="00514AA5">
        <w:rPr>
          <w:rStyle w:val="hps"/>
          <w:sz w:val="30"/>
          <w:rtl/>
          <w:lang/>
        </w:rPr>
        <w:t>الإدارية الاتحادية</w:t>
      </w:r>
      <w:r w:rsidRPr="00514AA5">
        <w:rPr>
          <w:rFonts w:hint="cs"/>
          <w:sz w:val="30"/>
          <w:rtl/>
          <w:lang/>
        </w:rPr>
        <w:t xml:space="preserve"> </w:t>
      </w:r>
      <w:r w:rsidRPr="00514AA5">
        <w:rPr>
          <w:rStyle w:val="hps"/>
          <w:sz w:val="30"/>
          <w:rtl/>
          <w:lang/>
        </w:rPr>
        <w:t>أن</w:t>
      </w:r>
      <w:r w:rsidRPr="00514AA5">
        <w:rPr>
          <w:sz w:val="30"/>
          <w:rtl/>
          <w:lang/>
        </w:rPr>
        <w:t xml:space="preserve"> </w:t>
      </w:r>
      <w:r w:rsidRPr="00514AA5">
        <w:rPr>
          <w:rStyle w:val="hps"/>
          <w:sz w:val="30"/>
          <w:rtl/>
          <w:lang/>
        </w:rPr>
        <w:t>أنشطة</w:t>
      </w:r>
      <w:r w:rsidRPr="00514AA5">
        <w:rPr>
          <w:sz w:val="30"/>
          <w:rtl/>
          <w:lang/>
        </w:rPr>
        <w:t xml:space="preserve"> </w:t>
      </w:r>
      <w:r w:rsidRPr="00514AA5">
        <w:rPr>
          <w:rStyle w:val="hps"/>
          <w:sz w:val="30"/>
          <w:rtl/>
          <w:lang/>
        </w:rPr>
        <w:t>صاحب ال</w:t>
      </w:r>
      <w:r w:rsidRPr="00514AA5">
        <w:rPr>
          <w:rStyle w:val="hps"/>
          <w:rFonts w:hint="cs"/>
          <w:sz w:val="30"/>
          <w:rtl/>
          <w:lang/>
        </w:rPr>
        <w:t>شكوى</w:t>
      </w:r>
      <w:r w:rsidRPr="00514AA5">
        <w:rPr>
          <w:rStyle w:val="hps"/>
          <w:sz w:val="30"/>
          <w:rtl/>
          <w:lang/>
        </w:rPr>
        <w:t xml:space="preserve"> الأول</w:t>
      </w:r>
      <w:r w:rsidRPr="00514AA5">
        <w:rPr>
          <w:rStyle w:val="hps"/>
          <w:rFonts w:hint="cs"/>
          <w:sz w:val="30"/>
          <w:rtl/>
          <w:lang/>
        </w:rPr>
        <w:t xml:space="preserve"> ومكانته لا</w:t>
      </w:r>
      <w:r w:rsidRPr="00514AA5">
        <w:rPr>
          <w:rStyle w:val="hps"/>
          <w:sz w:val="30"/>
          <w:rtl/>
          <w:lang/>
        </w:rPr>
        <w:t> </w:t>
      </w:r>
      <w:r w:rsidRPr="00514AA5">
        <w:rPr>
          <w:rStyle w:val="hps"/>
          <w:rFonts w:hint="cs"/>
          <w:sz w:val="30"/>
          <w:rtl/>
          <w:lang/>
        </w:rPr>
        <w:t>تكتسي أهمية كافية لتبرير الخوف من التعرض للاضطهاد. ويذكر</w:t>
      </w:r>
      <w:r w:rsidRPr="00514AA5">
        <w:rPr>
          <w:sz w:val="30"/>
          <w:rtl/>
          <w:lang/>
        </w:rPr>
        <w:t xml:space="preserve"> </w:t>
      </w:r>
      <w:r w:rsidRPr="00514AA5">
        <w:rPr>
          <w:rStyle w:val="hps"/>
          <w:sz w:val="30"/>
          <w:rtl/>
          <w:lang/>
        </w:rPr>
        <w:t>صاحب الشكوى</w:t>
      </w:r>
      <w:r w:rsidRPr="00514AA5">
        <w:rPr>
          <w:sz w:val="30"/>
          <w:rtl/>
          <w:lang/>
        </w:rPr>
        <w:t xml:space="preserve"> </w:t>
      </w:r>
      <w:r w:rsidRPr="00514AA5">
        <w:rPr>
          <w:rStyle w:val="hps"/>
          <w:sz w:val="30"/>
          <w:rtl/>
          <w:lang/>
        </w:rPr>
        <w:t>الأول</w:t>
      </w:r>
      <w:r w:rsidRPr="00514AA5">
        <w:rPr>
          <w:sz w:val="30"/>
          <w:rtl/>
          <w:lang/>
        </w:rPr>
        <w:t xml:space="preserve"> </w:t>
      </w:r>
      <w:r w:rsidRPr="00514AA5">
        <w:rPr>
          <w:rStyle w:val="hps"/>
          <w:sz w:val="30"/>
          <w:rtl/>
          <w:lang/>
        </w:rPr>
        <w:t>أن هناك أسبابا</w:t>
      </w:r>
      <w:r w:rsidRPr="00514AA5">
        <w:rPr>
          <w:rStyle w:val="hps"/>
          <w:rFonts w:hint="cs"/>
          <w:sz w:val="30"/>
          <w:rtl/>
          <w:lang/>
        </w:rPr>
        <w:t xml:space="preserve">ً تدعو إلى الاعتقاد بأنه سيعتقل بعد عودته بسبب تجاربه السابقة في اليمن وبسبب انتمائه إلى </w:t>
      </w:r>
      <w:r w:rsidRPr="00514AA5">
        <w:rPr>
          <w:rStyle w:val="hps"/>
          <w:sz w:val="30"/>
          <w:rtl/>
          <w:lang/>
        </w:rPr>
        <w:t>عائلة</w:t>
      </w:r>
      <w:r w:rsidRPr="00514AA5">
        <w:rPr>
          <w:sz w:val="30"/>
          <w:rtl/>
          <w:lang/>
        </w:rPr>
        <w:t xml:space="preserve"> </w:t>
      </w:r>
      <w:r w:rsidRPr="00514AA5">
        <w:rPr>
          <w:rStyle w:val="hps"/>
          <w:sz w:val="30"/>
          <w:rtl/>
          <w:lang/>
        </w:rPr>
        <w:t>ناشطة سياسيا</w:t>
      </w:r>
      <w:r w:rsidRPr="00514AA5">
        <w:rPr>
          <w:rStyle w:val="hps"/>
          <w:rFonts w:hint="cs"/>
          <w:sz w:val="30"/>
          <w:rtl/>
          <w:lang/>
        </w:rPr>
        <w:t>ً</w:t>
      </w:r>
      <w:r w:rsidRPr="00514AA5">
        <w:rPr>
          <w:sz w:val="30"/>
          <w:rtl/>
          <w:lang/>
        </w:rPr>
        <w:t xml:space="preserve">. </w:t>
      </w:r>
      <w:r w:rsidRPr="00514AA5">
        <w:rPr>
          <w:rFonts w:hint="cs"/>
          <w:sz w:val="30"/>
          <w:rtl/>
          <w:lang/>
        </w:rPr>
        <w:t xml:space="preserve">ومن ثم، فإنه </w:t>
      </w:r>
      <w:r w:rsidRPr="00514AA5">
        <w:rPr>
          <w:rStyle w:val="hps"/>
          <w:sz w:val="30"/>
          <w:rtl/>
          <w:lang/>
        </w:rPr>
        <w:t>ينبغي</w:t>
      </w:r>
      <w:r w:rsidRPr="00514AA5">
        <w:rPr>
          <w:sz w:val="30"/>
          <w:rtl/>
          <w:lang/>
        </w:rPr>
        <w:t xml:space="preserve"> </w:t>
      </w:r>
      <w:r w:rsidRPr="00514AA5">
        <w:rPr>
          <w:rStyle w:val="hps"/>
          <w:sz w:val="30"/>
          <w:rtl/>
          <w:lang/>
        </w:rPr>
        <w:t>أن يفترض</w:t>
      </w:r>
      <w:r w:rsidRPr="00514AA5">
        <w:rPr>
          <w:rFonts w:hint="cs"/>
          <w:sz w:val="30"/>
          <w:rtl/>
          <w:lang/>
        </w:rPr>
        <w:t xml:space="preserve"> </w:t>
      </w:r>
      <w:r w:rsidRPr="00514AA5">
        <w:rPr>
          <w:sz w:val="30"/>
          <w:rtl/>
          <w:lang/>
        </w:rPr>
        <w:t xml:space="preserve">أن </w:t>
      </w:r>
      <w:r w:rsidRPr="00514AA5">
        <w:rPr>
          <w:rStyle w:val="hps"/>
          <w:sz w:val="30"/>
          <w:rtl/>
          <w:lang/>
        </w:rPr>
        <w:t>اسم</w:t>
      </w:r>
      <w:r w:rsidRPr="00514AA5">
        <w:rPr>
          <w:rStyle w:val="hps"/>
          <w:rFonts w:hint="cs"/>
          <w:sz w:val="30"/>
          <w:rtl/>
          <w:lang/>
        </w:rPr>
        <w:t xml:space="preserve">ه العائلي سيكون وحده كافياً لإثارة الشبهات حوله لدى </w:t>
      </w:r>
      <w:r w:rsidRPr="00514AA5">
        <w:rPr>
          <w:rStyle w:val="hps"/>
          <w:sz w:val="30"/>
          <w:rtl/>
          <w:lang/>
        </w:rPr>
        <w:t>السلطات</w:t>
      </w:r>
      <w:r w:rsidRPr="00514AA5">
        <w:rPr>
          <w:sz w:val="30"/>
          <w:rtl/>
          <w:lang/>
        </w:rPr>
        <w:t xml:space="preserve"> </w:t>
      </w:r>
      <w:r w:rsidRPr="00514AA5">
        <w:rPr>
          <w:rStyle w:val="hps"/>
          <w:sz w:val="30"/>
          <w:rtl/>
          <w:lang/>
        </w:rPr>
        <w:t>اليمنية</w:t>
      </w:r>
      <w:r w:rsidRPr="00514AA5">
        <w:rPr>
          <w:sz w:val="30"/>
          <w:rtl/>
          <w:lang/>
        </w:rPr>
        <w:t>.</w:t>
      </w:r>
    </w:p>
    <w:p w:rsidR="00091373" w:rsidRPr="00514AA5" w:rsidRDefault="00091373" w:rsidP="00514AA5">
      <w:pPr>
        <w:pStyle w:val="SingleTxtGA"/>
        <w:rPr>
          <w:sz w:val="30"/>
          <w:rtl/>
          <w:lang/>
        </w:rPr>
      </w:pPr>
      <w:r w:rsidRPr="00514AA5">
        <w:rPr>
          <w:sz w:val="30"/>
          <w:rtl/>
          <w:lang w:val="fr-CH"/>
        </w:rPr>
        <w:t>3-5</w:t>
      </w:r>
      <w:r w:rsidRPr="00514AA5">
        <w:rPr>
          <w:sz w:val="30"/>
          <w:rtl/>
          <w:lang w:val="fr-CH"/>
        </w:rPr>
        <w:tab/>
      </w:r>
      <w:r w:rsidRPr="00514AA5">
        <w:rPr>
          <w:rFonts w:hint="cs"/>
          <w:sz w:val="30"/>
          <w:rtl/>
          <w:lang w:val="fr-CH"/>
        </w:rPr>
        <w:t>و</w:t>
      </w:r>
      <w:r w:rsidRPr="00514AA5">
        <w:rPr>
          <w:rStyle w:val="hps"/>
          <w:sz w:val="30"/>
          <w:rtl/>
          <w:lang/>
        </w:rPr>
        <w:t>يقول</w:t>
      </w:r>
      <w:r w:rsidRPr="00514AA5">
        <w:rPr>
          <w:sz w:val="30"/>
          <w:rtl/>
          <w:lang/>
        </w:rPr>
        <w:t xml:space="preserve"> </w:t>
      </w:r>
      <w:r w:rsidRPr="00514AA5">
        <w:rPr>
          <w:rStyle w:val="hps"/>
          <w:sz w:val="30"/>
          <w:rtl/>
          <w:lang/>
        </w:rPr>
        <w:t>أصحاب الشكوى</w:t>
      </w:r>
      <w:r w:rsidRPr="00514AA5">
        <w:rPr>
          <w:sz w:val="30"/>
          <w:rtl/>
          <w:lang/>
        </w:rPr>
        <w:t xml:space="preserve"> </w:t>
      </w:r>
      <w:r w:rsidRPr="00514AA5">
        <w:rPr>
          <w:rStyle w:val="hps"/>
          <w:rFonts w:hint="cs"/>
          <w:sz w:val="30"/>
          <w:rtl/>
          <w:lang/>
        </w:rPr>
        <w:t>إ</w:t>
      </w:r>
      <w:r w:rsidRPr="00514AA5">
        <w:rPr>
          <w:rStyle w:val="hps"/>
          <w:sz w:val="30"/>
          <w:rtl/>
          <w:lang/>
        </w:rPr>
        <w:t>ن الوضع السياسي</w:t>
      </w:r>
      <w:r w:rsidRPr="00514AA5">
        <w:rPr>
          <w:sz w:val="30"/>
          <w:rtl/>
          <w:lang/>
        </w:rPr>
        <w:t xml:space="preserve"> </w:t>
      </w:r>
      <w:r w:rsidRPr="00514AA5">
        <w:rPr>
          <w:rStyle w:val="hps"/>
          <w:sz w:val="30"/>
          <w:rtl/>
          <w:lang/>
        </w:rPr>
        <w:t>الحالي في</w:t>
      </w:r>
      <w:r w:rsidRPr="00514AA5">
        <w:rPr>
          <w:sz w:val="30"/>
          <w:rtl/>
          <w:lang/>
        </w:rPr>
        <w:t xml:space="preserve"> </w:t>
      </w:r>
      <w:r w:rsidRPr="00514AA5">
        <w:rPr>
          <w:rStyle w:val="hps"/>
          <w:sz w:val="30"/>
          <w:rtl/>
          <w:lang/>
        </w:rPr>
        <w:t>اليمن</w:t>
      </w:r>
      <w:r w:rsidRPr="00514AA5">
        <w:rPr>
          <w:sz w:val="30"/>
          <w:rtl/>
          <w:lang/>
        </w:rPr>
        <w:t xml:space="preserve"> </w:t>
      </w:r>
      <w:r w:rsidRPr="00514AA5">
        <w:rPr>
          <w:rStyle w:val="hps"/>
          <w:sz w:val="30"/>
          <w:rtl/>
          <w:lang/>
        </w:rPr>
        <w:t>غير مستقر</w:t>
      </w:r>
      <w:r w:rsidRPr="00514AA5">
        <w:rPr>
          <w:sz w:val="30"/>
          <w:rtl/>
          <w:lang/>
        </w:rPr>
        <w:t xml:space="preserve"> </w:t>
      </w:r>
      <w:r w:rsidRPr="00514AA5">
        <w:rPr>
          <w:rStyle w:val="hps"/>
          <w:sz w:val="30"/>
          <w:rtl/>
          <w:lang/>
        </w:rPr>
        <w:t>للغاية</w:t>
      </w:r>
      <w:r w:rsidRPr="00514AA5">
        <w:rPr>
          <w:sz w:val="30"/>
          <w:rtl/>
          <w:lang/>
        </w:rPr>
        <w:t xml:space="preserve"> </w:t>
      </w:r>
      <w:r w:rsidRPr="00514AA5">
        <w:rPr>
          <w:rStyle w:val="hps"/>
          <w:sz w:val="30"/>
          <w:rtl/>
          <w:lang/>
        </w:rPr>
        <w:t>وي</w:t>
      </w:r>
      <w:r w:rsidRPr="00514AA5">
        <w:rPr>
          <w:rStyle w:val="hps"/>
          <w:rFonts w:hint="cs"/>
          <w:sz w:val="30"/>
          <w:rtl/>
          <w:lang/>
        </w:rPr>
        <w:t>تسم</w:t>
      </w:r>
      <w:r w:rsidRPr="00514AA5">
        <w:rPr>
          <w:sz w:val="30"/>
          <w:rtl/>
          <w:lang/>
        </w:rPr>
        <w:t xml:space="preserve"> </w:t>
      </w:r>
      <w:r w:rsidRPr="00514AA5">
        <w:rPr>
          <w:rStyle w:val="hps"/>
          <w:rFonts w:hint="cs"/>
          <w:sz w:val="30"/>
          <w:rtl/>
          <w:lang/>
        </w:rPr>
        <w:t xml:space="preserve">بدرجة عالية من العنف وانعدام </w:t>
      </w:r>
      <w:r w:rsidRPr="00514AA5">
        <w:rPr>
          <w:rStyle w:val="hps"/>
          <w:sz w:val="30"/>
          <w:rtl/>
          <w:lang/>
        </w:rPr>
        <w:t>الأمن</w:t>
      </w:r>
      <w:r w:rsidRPr="00514AA5">
        <w:rPr>
          <w:sz w:val="30"/>
          <w:vertAlign w:val="superscript"/>
          <w:rtl/>
          <w:lang w:val="fr-CH"/>
        </w:rPr>
        <w:t>(</w:t>
      </w:r>
      <w:r w:rsidRPr="00514AA5">
        <w:rPr>
          <w:rStyle w:val="FootnoteReference"/>
          <w:sz w:val="30"/>
          <w:rtl/>
          <w:lang w:val="fr-CH"/>
        </w:rPr>
        <w:footnoteReference w:id="259"/>
      </w:r>
      <w:r w:rsidRPr="00514AA5">
        <w:rPr>
          <w:sz w:val="30"/>
          <w:vertAlign w:val="superscript"/>
          <w:rtl/>
          <w:lang w:val="fr-CH"/>
        </w:rPr>
        <w:t>)</w:t>
      </w:r>
      <w:r w:rsidRPr="00514AA5">
        <w:rPr>
          <w:rFonts w:hint="cs"/>
          <w:sz w:val="30"/>
          <w:rtl/>
          <w:lang/>
        </w:rPr>
        <w:t>.</w:t>
      </w:r>
      <w:r w:rsidRPr="00514AA5">
        <w:rPr>
          <w:sz w:val="30"/>
          <w:rtl/>
          <w:lang/>
        </w:rPr>
        <w:t xml:space="preserve"> </w:t>
      </w:r>
      <w:r w:rsidRPr="00514AA5">
        <w:rPr>
          <w:rFonts w:hint="cs"/>
          <w:sz w:val="30"/>
          <w:rtl/>
          <w:lang/>
        </w:rPr>
        <w:t xml:space="preserve">وقد تواصلت الاحتجاجات </w:t>
      </w:r>
      <w:r w:rsidRPr="00514AA5">
        <w:rPr>
          <w:rStyle w:val="hps"/>
          <w:sz w:val="30"/>
          <w:rtl/>
          <w:lang/>
        </w:rPr>
        <w:t>منذ</w:t>
      </w:r>
      <w:r w:rsidRPr="00514AA5">
        <w:rPr>
          <w:sz w:val="30"/>
          <w:rtl/>
          <w:lang/>
        </w:rPr>
        <w:t xml:space="preserve"> </w:t>
      </w:r>
      <w:r w:rsidRPr="00514AA5">
        <w:rPr>
          <w:rStyle w:val="hps"/>
          <w:sz w:val="30"/>
          <w:rtl/>
          <w:lang/>
        </w:rPr>
        <w:t>إصابة</w:t>
      </w:r>
      <w:r w:rsidRPr="00514AA5">
        <w:rPr>
          <w:sz w:val="30"/>
          <w:rtl/>
          <w:lang/>
        </w:rPr>
        <w:t xml:space="preserve"> </w:t>
      </w:r>
      <w:r w:rsidRPr="00514AA5">
        <w:rPr>
          <w:rStyle w:val="hps"/>
          <w:sz w:val="30"/>
          <w:rtl/>
          <w:lang/>
        </w:rPr>
        <w:t>الرئيس اليمني علي</w:t>
      </w:r>
      <w:r w:rsidRPr="00514AA5">
        <w:rPr>
          <w:sz w:val="30"/>
          <w:rtl/>
          <w:lang/>
        </w:rPr>
        <w:t xml:space="preserve"> </w:t>
      </w:r>
      <w:r w:rsidRPr="00514AA5">
        <w:rPr>
          <w:rStyle w:val="hps"/>
          <w:sz w:val="30"/>
          <w:rtl/>
          <w:lang/>
        </w:rPr>
        <w:t>عبد الله صالح</w:t>
      </w:r>
      <w:r w:rsidRPr="00514AA5">
        <w:rPr>
          <w:sz w:val="30"/>
          <w:rtl/>
          <w:lang/>
        </w:rPr>
        <w:t xml:space="preserve"> </w:t>
      </w:r>
      <w:r w:rsidRPr="00514AA5">
        <w:rPr>
          <w:rStyle w:val="hps"/>
          <w:sz w:val="30"/>
          <w:rtl/>
          <w:lang/>
        </w:rPr>
        <w:t>ومغادرته</w:t>
      </w:r>
      <w:r w:rsidRPr="00514AA5">
        <w:rPr>
          <w:sz w:val="30"/>
          <w:rtl/>
          <w:lang/>
        </w:rPr>
        <w:t xml:space="preserve"> </w:t>
      </w:r>
      <w:r w:rsidRPr="00514AA5">
        <w:rPr>
          <w:rStyle w:val="hps"/>
          <w:rFonts w:hint="cs"/>
          <w:sz w:val="30"/>
          <w:rtl/>
          <w:lang/>
        </w:rPr>
        <w:t>للبلد في وقت لاحق</w:t>
      </w:r>
      <w:r w:rsidRPr="00514AA5">
        <w:rPr>
          <w:rStyle w:val="hps"/>
          <w:sz w:val="30"/>
          <w:rtl/>
          <w:lang/>
        </w:rPr>
        <w:t>.</w:t>
      </w:r>
      <w:r w:rsidRPr="00514AA5">
        <w:rPr>
          <w:rStyle w:val="hps"/>
          <w:rFonts w:hint="cs"/>
          <w:sz w:val="30"/>
          <w:rtl/>
          <w:lang/>
        </w:rPr>
        <w:t xml:space="preserve"> ولا</w:t>
      </w:r>
      <w:r w:rsidRPr="00514AA5">
        <w:rPr>
          <w:rStyle w:val="hps"/>
          <w:sz w:val="30"/>
          <w:rtl/>
          <w:lang/>
        </w:rPr>
        <w:t> </w:t>
      </w:r>
      <w:r w:rsidRPr="00514AA5">
        <w:rPr>
          <w:rStyle w:val="hps"/>
          <w:rFonts w:hint="cs"/>
          <w:sz w:val="30"/>
          <w:rtl/>
          <w:lang/>
        </w:rPr>
        <w:t>يزال من غير الواضح</w:t>
      </w:r>
      <w:r w:rsidR="00514AA5">
        <w:rPr>
          <w:rStyle w:val="hps"/>
          <w:rFonts w:hint="eastAsia"/>
          <w:sz w:val="30"/>
          <w:rtl/>
          <w:lang/>
        </w:rPr>
        <w:t> </w:t>
      </w:r>
      <w:r w:rsidRPr="00514AA5">
        <w:rPr>
          <w:rStyle w:val="hps"/>
          <w:rFonts w:hint="cs"/>
          <w:sz w:val="30"/>
          <w:rtl/>
          <w:lang/>
        </w:rPr>
        <w:t>إن كان</w:t>
      </w:r>
      <w:r w:rsidRPr="00514AA5">
        <w:rPr>
          <w:sz w:val="30"/>
          <w:rtl/>
          <w:lang/>
        </w:rPr>
        <w:t xml:space="preserve"> </w:t>
      </w:r>
      <w:r w:rsidRPr="00514AA5">
        <w:rPr>
          <w:rStyle w:val="hps"/>
          <w:sz w:val="30"/>
          <w:rtl/>
          <w:lang/>
        </w:rPr>
        <w:t>سيعود</w:t>
      </w:r>
      <w:r w:rsidRPr="00514AA5">
        <w:rPr>
          <w:sz w:val="30"/>
          <w:rtl/>
          <w:lang/>
        </w:rPr>
        <w:t xml:space="preserve"> أو </w:t>
      </w:r>
      <w:r w:rsidRPr="00514AA5">
        <w:rPr>
          <w:rStyle w:val="hps"/>
          <w:rFonts w:hint="cs"/>
          <w:sz w:val="30"/>
          <w:rtl/>
          <w:lang/>
        </w:rPr>
        <w:t>أن النظام سيتغير.</w:t>
      </w:r>
      <w:r w:rsidRPr="00514AA5">
        <w:rPr>
          <w:sz w:val="30"/>
          <w:rtl/>
          <w:lang/>
        </w:rPr>
        <w:t xml:space="preserve"> </w:t>
      </w:r>
      <w:r w:rsidRPr="00514AA5">
        <w:rPr>
          <w:rStyle w:val="hps"/>
          <w:sz w:val="30"/>
          <w:rtl/>
          <w:lang/>
        </w:rPr>
        <w:t>ويضيفون</w:t>
      </w:r>
      <w:r w:rsidRPr="00514AA5">
        <w:rPr>
          <w:sz w:val="30"/>
          <w:rtl/>
          <w:lang/>
        </w:rPr>
        <w:t xml:space="preserve"> </w:t>
      </w:r>
      <w:r w:rsidRPr="00514AA5">
        <w:rPr>
          <w:rStyle w:val="hps"/>
          <w:sz w:val="30"/>
          <w:rtl/>
          <w:lang/>
        </w:rPr>
        <w:t>أن</w:t>
      </w:r>
      <w:r w:rsidRPr="00514AA5">
        <w:rPr>
          <w:sz w:val="30"/>
          <w:rtl/>
          <w:lang/>
        </w:rPr>
        <w:t xml:space="preserve"> </w:t>
      </w:r>
      <w:r w:rsidRPr="00514AA5">
        <w:rPr>
          <w:rStyle w:val="hps"/>
          <w:sz w:val="30"/>
          <w:rtl/>
          <w:lang/>
        </w:rPr>
        <w:t>الحراك الجنوبي</w:t>
      </w:r>
      <w:r w:rsidRPr="00514AA5">
        <w:rPr>
          <w:sz w:val="30"/>
          <w:rtl/>
          <w:lang/>
        </w:rPr>
        <w:t xml:space="preserve"> </w:t>
      </w:r>
      <w:r w:rsidRPr="00514AA5">
        <w:rPr>
          <w:rStyle w:val="hps"/>
          <w:rFonts w:hint="cs"/>
          <w:sz w:val="30"/>
          <w:rtl/>
          <w:lang/>
        </w:rPr>
        <w:t>يضطلع بدور</w:t>
      </w:r>
      <w:r w:rsidRPr="00514AA5">
        <w:rPr>
          <w:rStyle w:val="hps"/>
          <w:sz w:val="30"/>
          <w:rtl/>
          <w:lang/>
        </w:rPr>
        <w:t xml:space="preserve"> حاسم</w:t>
      </w:r>
      <w:r w:rsidRPr="00514AA5">
        <w:rPr>
          <w:sz w:val="30"/>
          <w:rtl/>
          <w:lang/>
        </w:rPr>
        <w:t xml:space="preserve"> </w:t>
      </w:r>
      <w:r w:rsidRPr="00514AA5">
        <w:rPr>
          <w:rStyle w:val="hps"/>
          <w:sz w:val="30"/>
          <w:rtl/>
          <w:lang/>
        </w:rPr>
        <w:t>في تنظيم الاحتجاجات</w:t>
      </w:r>
      <w:r w:rsidRPr="00514AA5">
        <w:rPr>
          <w:rStyle w:val="hps"/>
          <w:rFonts w:hint="cs"/>
          <w:sz w:val="30"/>
          <w:rtl/>
          <w:lang/>
        </w:rPr>
        <w:t xml:space="preserve"> واستمرارها</w:t>
      </w:r>
      <w:r w:rsidRPr="00514AA5">
        <w:rPr>
          <w:sz w:val="30"/>
          <w:vertAlign w:val="superscript"/>
          <w:rtl/>
          <w:lang w:val="fr-CH"/>
        </w:rPr>
        <w:t>(</w:t>
      </w:r>
      <w:r w:rsidRPr="00514AA5">
        <w:rPr>
          <w:rStyle w:val="FootnoteReference"/>
          <w:sz w:val="30"/>
          <w:rtl/>
          <w:lang w:val="fr-CH"/>
        </w:rPr>
        <w:footnoteReference w:id="260"/>
      </w:r>
      <w:r w:rsidRPr="00514AA5">
        <w:rPr>
          <w:sz w:val="30"/>
          <w:vertAlign w:val="superscript"/>
          <w:rtl/>
          <w:lang w:val="fr-CH"/>
        </w:rPr>
        <w:t>)</w:t>
      </w:r>
      <w:r w:rsidRPr="00514AA5">
        <w:rPr>
          <w:rFonts w:hint="cs"/>
          <w:sz w:val="30"/>
          <w:rtl/>
          <w:lang/>
        </w:rPr>
        <w:t>.</w:t>
      </w:r>
      <w:r w:rsidRPr="00514AA5">
        <w:rPr>
          <w:sz w:val="30"/>
          <w:rtl/>
          <w:lang/>
        </w:rPr>
        <w:t xml:space="preserve"> </w:t>
      </w:r>
      <w:r w:rsidRPr="00514AA5">
        <w:rPr>
          <w:rStyle w:val="hps"/>
          <w:rFonts w:hint="cs"/>
          <w:sz w:val="30"/>
          <w:rtl/>
          <w:lang/>
        </w:rPr>
        <w:t>ويرون</w:t>
      </w:r>
      <w:r w:rsidRPr="00514AA5">
        <w:rPr>
          <w:sz w:val="30"/>
          <w:rtl/>
          <w:lang/>
        </w:rPr>
        <w:t xml:space="preserve"> </w:t>
      </w:r>
      <w:r w:rsidRPr="00514AA5">
        <w:rPr>
          <w:rStyle w:val="hps"/>
          <w:sz w:val="30"/>
          <w:rtl/>
          <w:lang/>
        </w:rPr>
        <w:t>أنه</w:t>
      </w:r>
      <w:r w:rsidRPr="00514AA5">
        <w:rPr>
          <w:sz w:val="30"/>
          <w:rtl/>
          <w:lang/>
        </w:rPr>
        <w:t xml:space="preserve"> </w:t>
      </w:r>
      <w:r w:rsidRPr="00514AA5">
        <w:rPr>
          <w:rStyle w:val="hps"/>
          <w:sz w:val="30"/>
          <w:rtl/>
          <w:lang/>
        </w:rPr>
        <w:t>ينبغي افتراض</w:t>
      </w:r>
      <w:r w:rsidRPr="00514AA5">
        <w:rPr>
          <w:sz w:val="30"/>
          <w:rtl/>
          <w:lang/>
        </w:rPr>
        <w:t xml:space="preserve"> </w:t>
      </w:r>
      <w:r w:rsidRPr="00514AA5">
        <w:rPr>
          <w:rStyle w:val="hps"/>
          <w:sz w:val="30"/>
          <w:rtl/>
          <w:lang/>
        </w:rPr>
        <w:t>أنه إذا بقي</w:t>
      </w:r>
      <w:r w:rsidRPr="00514AA5">
        <w:rPr>
          <w:sz w:val="30"/>
          <w:rtl/>
          <w:lang/>
        </w:rPr>
        <w:t xml:space="preserve"> </w:t>
      </w:r>
      <w:r w:rsidRPr="00514AA5">
        <w:rPr>
          <w:rStyle w:val="hps"/>
          <w:sz w:val="30"/>
          <w:rtl/>
          <w:lang/>
        </w:rPr>
        <w:t>النظام الحالي في</w:t>
      </w:r>
      <w:r w:rsidRPr="00514AA5">
        <w:rPr>
          <w:sz w:val="30"/>
          <w:rtl/>
          <w:lang/>
        </w:rPr>
        <w:t xml:space="preserve"> </w:t>
      </w:r>
      <w:r w:rsidRPr="00514AA5">
        <w:rPr>
          <w:rStyle w:val="hps"/>
          <w:rFonts w:hint="cs"/>
          <w:sz w:val="30"/>
          <w:rtl/>
          <w:lang/>
        </w:rPr>
        <w:t>الحكم</w:t>
      </w:r>
      <w:r w:rsidRPr="00514AA5">
        <w:rPr>
          <w:sz w:val="30"/>
          <w:rtl/>
          <w:lang/>
        </w:rPr>
        <w:t xml:space="preserve">، </w:t>
      </w:r>
      <w:r w:rsidRPr="00514AA5">
        <w:rPr>
          <w:rFonts w:hint="cs"/>
          <w:sz w:val="30"/>
          <w:rtl/>
          <w:lang/>
        </w:rPr>
        <w:t xml:space="preserve">فإن </w:t>
      </w:r>
      <w:r w:rsidRPr="00514AA5">
        <w:rPr>
          <w:sz w:val="30"/>
          <w:rtl/>
          <w:lang/>
        </w:rPr>
        <w:t xml:space="preserve">أعضاء </w:t>
      </w:r>
      <w:r w:rsidRPr="00514AA5">
        <w:rPr>
          <w:rStyle w:val="hps"/>
          <w:sz w:val="30"/>
          <w:rtl/>
          <w:lang/>
        </w:rPr>
        <w:t>الحراك الجنوبي</w:t>
      </w:r>
      <w:r w:rsidRPr="00514AA5">
        <w:rPr>
          <w:sz w:val="30"/>
          <w:rtl/>
          <w:lang/>
        </w:rPr>
        <w:t xml:space="preserve"> </w:t>
      </w:r>
      <w:r w:rsidRPr="00514AA5">
        <w:rPr>
          <w:rStyle w:val="hps"/>
          <w:rFonts w:hint="cs"/>
          <w:sz w:val="30"/>
          <w:rtl/>
          <w:lang/>
        </w:rPr>
        <w:t>سيواجهون خطراً حقيقياً ووشيكاً بالتعرض</w:t>
      </w:r>
      <w:r w:rsidRPr="00514AA5">
        <w:rPr>
          <w:sz w:val="30"/>
          <w:rtl/>
          <w:lang/>
        </w:rPr>
        <w:t xml:space="preserve"> </w:t>
      </w:r>
      <w:r w:rsidRPr="00514AA5">
        <w:rPr>
          <w:rStyle w:val="hps"/>
          <w:sz w:val="30"/>
          <w:rtl/>
          <w:lang/>
        </w:rPr>
        <w:t>لأعمال انتقامية</w:t>
      </w:r>
      <w:r w:rsidRPr="00514AA5">
        <w:rPr>
          <w:sz w:val="30"/>
          <w:rtl/>
          <w:lang/>
        </w:rPr>
        <w:t>.</w:t>
      </w:r>
    </w:p>
    <w:p w:rsidR="00091373" w:rsidRPr="00FA0FC2" w:rsidRDefault="00091373" w:rsidP="00091373">
      <w:pPr>
        <w:pStyle w:val="H23GA"/>
        <w:rPr>
          <w:sz w:val="30"/>
          <w:rtl/>
          <w:lang w:val="fr-CH"/>
        </w:rPr>
      </w:pPr>
      <w:r w:rsidRPr="00FA0FC2">
        <w:rPr>
          <w:sz w:val="30"/>
          <w:rtl/>
          <w:lang w:val="fr-CH"/>
        </w:rPr>
        <w:tab/>
      </w:r>
      <w:r w:rsidRPr="00FA0FC2">
        <w:rPr>
          <w:sz w:val="30"/>
          <w:rtl/>
          <w:lang w:val="fr-CH"/>
        </w:rPr>
        <w:tab/>
        <w:t>ملاحظات الدولة الطرف بشأن ال</w:t>
      </w:r>
      <w:r w:rsidRPr="00FA0FC2">
        <w:rPr>
          <w:rFonts w:hint="cs"/>
          <w:sz w:val="30"/>
          <w:rtl/>
          <w:lang w:val="fr-CH"/>
        </w:rPr>
        <w:t>أسس الموضوعية</w:t>
      </w:r>
    </w:p>
    <w:p w:rsidR="00091373" w:rsidRPr="00FA0FC2" w:rsidRDefault="00091373" w:rsidP="00091373">
      <w:pPr>
        <w:pStyle w:val="SingleTxtGA"/>
        <w:rPr>
          <w:sz w:val="30"/>
          <w:rtl/>
          <w:lang w:val="fr-CH"/>
        </w:rPr>
      </w:pPr>
      <w:r w:rsidRPr="00FA0FC2">
        <w:rPr>
          <w:sz w:val="30"/>
          <w:rtl/>
          <w:lang w:val="fr-CH"/>
        </w:rPr>
        <w:t>4-1</w:t>
      </w:r>
      <w:r w:rsidRPr="00FA0FC2">
        <w:rPr>
          <w:sz w:val="30"/>
          <w:rtl/>
          <w:lang w:val="fr-CH"/>
        </w:rPr>
        <w:tab/>
      </w:r>
      <w:r w:rsidRPr="00FA0FC2">
        <w:rPr>
          <w:rFonts w:hint="cs"/>
          <w:rtl/>
          <w:lang/>
        </w:rPr>
        <w:t>قدمت الدولة الطرف ملاحظاتها بشأن الأسس الموضوعية للشكوى</w:t>
      </w:r>
      <w:r w:rsidRPr="00FA0FC2">
        <w:rPr>
          <w:rFonts w:hint="cs"/>
          <w:rtl/>
          <w:lang w:val="es-ES"/>
        </w:rPr>
        <w:t xml:space="preserve"> في 25 </w:t>
      </w:r>
      <w:r w:rsidRPr="00FA0FC2">
        <w:rPr>
          <w:rFonts w:hint="cs"/>
          <w:rtl/>
          <w:lang w:val="fr-CH"/>
        </w:rPr>
        <w:t>كانون الثاني/يناير</w:t>
      </w:r>
      <w:r w:rsidRPr="00FA0FC2">
        <w:rPr>
          <w:rFonts w:hint="eastAsia"/>
          <w:rtl/>
          <w:lang w:val="fr-CH"/>
        </w:rPr>
        <w:t> </w:t>
      </w:r>
      <w:r w:rsidRPr="00FA0FC2">
        <w:rPr>
          <w:rFonts w:hint="cs"/>
          <w:rtl/>
          <w:lang w:val="es-ES"/>
        </w:rPr>
        <w:t>2011. وتذكر بوقائع الشكوى وتحيط علماً بحجج صاحب الشكوى الأول المعروضة على اللجنة والمشيرة إلى احتمال تعرضه لخطر تعذيب شخصي وحقيقي جسيم في حال إعادته إلى بلده الأصلي</w:t>
      </w:r>
      <w:r w:rsidRPr="00FA0FC2">
        <w:rPr>
          <w:rFonts w:hint="cs"/>
          <w:rtl/>
          <w:lang w:val="fr-CH"/>
        </w:rPr>
        <w:t>.</w:t>
      </w:r>
      <w:r>
        <w:rPr>
          <w:rFonts w:hint="cs"/>
          <w:rtl/>
          <w:lang w:val="fr-CH"/>
        </w:rPr>
        <w:t xml:space="preserve"> ولا</w:t>
      </w:r>
      <w:r>
        <w:rPr>
          <w:rtl/>
          <w:lang w:val="fr-CH"/>
        </w:rPr>
        <w:t> </w:t>
      </w:r>
      <w:r w:rsidRPr="00FA0FC2">
        <w:rPr>
          <w:rFonts w:hint="cs"/>
          <w:rtl/>
          <w:lang w:val="fr-CH"/>
        </w:rPr>
        <w:t xml:space="preserve">يعرض صاحب الشكوى الأول أية عناصر جديدة من شأنها أن تشكك في صحة قرارات سلطات الدولة الطرف المعنية بمسائل اللجوء، غير أنه يجادل في تقييم تلك السلطات لوجاهة ادعاءاته. </w:t>
      </w:r>
    </w:p>
    <w:p w:rsidR="00091373" w:rsidRPr="00FA0FC2" w:rsidRDefault="00091373" w:rsidP="00091373">
      <w:pPr>
        <w:pStyle w:val="SingleTxtGA"/>
        <w:rPr>
          <w:rFonts w:hint="cs"/>
          <w:rtl/>
          <w:lang/>
        </w:rPr>
      </w:pPr>
      <w:r w:rsidRPr="00FA0FC2">
        <w:rPr>
          <w:sz w:val="30"/>
          <w:rtl/>
          <w:lang w:val="fr-CH"/>
        </w:rPr>
        <w:t>4-2</w:t>
      </w:r>
      <w:r w:rsidRPr="00FA0FC2">
        <w:rPr>
          <w:sz w:val="30"/>
          <w:rtl/>
          <w:lang w:val="fr-CH"/>
        </w:rPr>
        <w:tab/>
      </w:r>
      <w:r w:rsidRPr="00FA0FC2">
        <w:rPr>
          <w:rFonts w:hint="cs"/>
          <w:rtl/>
          <w:lang/>
        </w:rPr>
        <w:t>ووفقاً لل</w:t>
      </w:r>
      <w:r>
        <w:rPr>
          <w:rFonts w:hint="cs"/>
          <w:rtl/>
          <w:lang/>
        </w:rPr>
        <w:t>مادة</w:t>
      </w:r>
      <w:r>
        <w:rPr>
          <w:rtl/>
          <w:lang/>
        </w:rPr>
        <w:t> </w:t>
      </w:r>
      <w:r w:rsidRPr="00FA0FC2">
        <w:rPr>
          <w:rFonts w:hint="cs"/>
          <w:rtl/>
          <w:lang/>
        </w:rPr>
        <w:t>3 من الاتفاقية، يحظر على الدول الأطراف أن تطرد شخصاً</w:t>
      </w:r>
      <w:r>
        <w:rPr>
          <w:rFonts w:hint="cs"/>
          <w:rtl/>
          <w:lang/>
        </w:rPr>
        <w:t xml:space="preserve"> أو</w:t>
      </w:r>
      <w:r>
        <w:rPr>
          <w:rtl/>
          <w:lang/>
        </w:rPr>
        <w:t> </w:t>
      </w:r>
      <w:r w:rsidRPr="00FA0FC2">
        <w:rPr>
          <w:rFonts w:hint="cs"/>
          <w:rtl/>
          <w:lang/>
        </w:rPr>
        <w:t>تعيده</w:t>
      </w:r>
      <w:r>
        <w:rPr>
          <w:rFonts w:hint="cs"/>
          <w:rtl/>
          <w:lang/>
        </w:rPr>
        <w:t xml:space="preserve"> أو</w:t>
      </w:r>
      <w:r>
        <w:rPr>
          <w:rtl/>
          <w:lang/>
        </w:rPr>
        <w:t> </w:t>
      </w:r>
      <w:r w:rsidRPr="00FA0FC2">
        <w:rPr>
          <w:rFonts w:hint="cs"/>
          <w:rtl/>
          <w:lang/>
        </w:rPr>
        <w:t xml:space="preserve">تسلمه إلى دولة أخرى إذا توافرت لديها أسباب حقيقية للاعتقاد أنه سيتعرض فيها للتعذيب. </w:t>
      </w:r>
      <w:r w:rsidRPr="00FA0FC2">
        <w:rPr>
          <w:rFonts w:hint="cs"/>
          <w:rtl/>
          <w:lang w:val="fr-CH"/>
        </w:rPr>
        <w:t xml:space="preserve">ويجب على </w:t>
      </w:r>
      <w:r w:rsidRPr="00FA0FC2">
        <w:rPr>
          <w:rFonts w:hint="cs"/>
          <w:rtl/>
          <w:lang/>
        </w:rPr>
        <w:t>السلطات المختصة</w:t>
      </w:r>
      <w:r w:rsidRPr="00FA0FC2">
        <w:rPr>
          <w:rFonts w:hint="cs"/>
          <w:rtl/>
          <w:lang w:val="fr-CH"/>
        </w:rPr>
        <w:t xml:space="preserve">، سعياً إلى البت في </w:t>
      </w:r>
      <w:r w:rsidRPr="00FA0FC2">
        <w:rPr>
          <w:rFonts w:hint="cs"/>
          <w:rtl/>
          <w:lang/>
        </w:rPr>
        <w:t>وجود هذه الأسباب،</w:t>
      </w:r>
      <w:r w:rsidRPr="00FA0FC2">
        <w:rPr>
          <w:rFonts w:hint="cs"/>
          <w:rtl/>
          <w:lang w:val="fr-CH"/>
        </w:rPr>
        <w:t xml:space="preserve"> أن تراعي </w:t>
      </w:r>
      <w:r w:rsidRPr="00FA0FC2">
        <w:rPr>
          <w:rFonts w:hint="cs"/>
          <w:rtl/>
          <w:lang/>
        </w:rPr>
        <w:t>جميع الاعتبارات ذات الصلة</w:t>
      </w:r>
      <w:r>
        <w:rPr>
          <w:rFonts w:hint="cs"/>
          <w:rtl/>
          <w:lang/>
        </w:rPr>
        <w:t xml:space="preserve"> بما</w:t>
      </w:r>
      <w:r>
        <w:rPr>
          <w:rtl/>
          <w:lang/>
        </w:rPr>
        <w:t> </w:t>
      </w:r>
      <w:r w:rsidRPr="00FA0FC2">
        <w:rPr>
          <w:rFonts w:hint="cs"/>
          <w:rtl/>
          <w:lang/>
        </w:rPr>
        <w:t>في ذلك، عند الاقتضاء، وجود نمط ثابت من الانتهاكات الجسيمة</w:t>
      </w:r>
      <w:r>
        <w:rPr>
          <w:rFonts w:hint="cs"/>
          <w:rtl/>
          <w:lang/>
        </w:rPr>
        <w:t xml:space="preserve"> أو</w:t>
      </w:r>
      <w:r>
        <w:rPr>
          <w:rtl/>
          <w:lang/>
        </w:rPr>
        <w:t> </w:t>
      </w:r>
      <w:r w:rsidRPr="00FA0FC2">
        <w:rPr>
          <w:rFonts w:hint="cs"/>
          <w:rtl/>
          <w:lang/>
        </w:rPr>
        <w:t>الصارخة</w:t>
      </w:r>
      <w:r>
        <w:rPr>
          <w:rFonts w:hint="cs"/>
          <w:rtl/>
          <w:lang/>
        </w:rPr>
        <w:t xml:space="preserve"> أو</w:t>
      </w:r>
      <w:r>
        <w:rPr>
          <w:rtl/>
          <w:lang/>
        </w:rPr>
        <w:t> </w:t>
      </w:r>
      <w:r w:rsidRPr="00FA0FC2">
        <w:rPr>
          <w:rFonts w:hint="cs"/>
          <w:rtl/>
          <w:lang/>
        </w:rPr>
        <w:t>الجماعية لحقوق الإنسان في الدولة المعنية</w:t>
      </w:r>
      <w:r w:rsidRPr="00FA0FC2">
        <w:rPr>
          <w:sz w:val="30"/>
          <w:vertAlign w:val="superscript"/>
          <w:rtl/>
          <w:lang w:val="fr-CH"/>
        </w:rPr>
        <w:t>(</w:t>
      </w:r>
      <w:r w:rsidRPr="00FA0FC2">
        <w:rPr>
          <w:rStyle w:val="FootnoteReference"/>
          <w:sz w:val="30"/>
          <w:rtl/>
          <w:lang w:val="fr-CH"/>
        </w:rPr>
        <w:footnoteReference w:id="261"/>
      </w:r>
      <w:r w:rsidRPr="00FA0FC2">
        <w:rPr>
          <w:sz w:val="30"/>
          <w:vertAlign w:val="superscript"/>
          <w:rtl/>
          <w:lang w:val="fr-CH"/>
        </w:rPr>
        <w:t>)</w:t>
      </w:r>
      <w:r w:rsidRPr="00FA0FC2">
        <w:rPr>
          <w:rFonts w:hint="cs"/>
          <w:rtl/>
          <w:lang w:val="fr-CH"/>
        </w:rPr>
        <w:t xml:space="preserve">. </w:t>
      </w:r>
      <w:r w:rsidRPr="00FA0FC2">
        <w:rPr>
          <w:rFonts w:hint="cs"/>
          <w:rtl/>
          <w:lang/>
        </w:rPr>
        <w:t>ووجود انتهاكات جسيمة</w:t>
      </w:r>
      <w:r>
        <w:rPr>
          <w:rFonts w:hint="cs"/>
          <w:rtl/>
          <w:lang/>
        </w:rPr>
        <w:t xml:space="preserve"> أو</w:t>
      </w:r>
      <w:r>
        <w:rPr>
          <w:rtl/>
          <w:lang/>
        </w:rPr>
        <w:t> </w:t>
      </w:r>
      <w:r w:rsidRPr="00FA0FC2">
        <w:rPr>
          <w:rFonts w:hint="cs"/>
          <w:rtl/>
          <w:lang/>
        </w:rPr>
        <w:t>صارخة</w:t>
      </w:r>
      <w:r>
        <w:rPr>
          <w:rFonts w:hint="cs"/>
          <w:rtl/>
          <w:lang/>
        </w:rPr>
        <w:t xml:space="preserve"> أو</w:t>
      </w:r>
      <w:r>
        <w:rPr>
          <w:rtl/>
          <w:lang/>
        </w:rPr>
        <w:t> </w:t>
      </w:r>
      <w:r w:rsidRPr="00FA0FC2">
        <w:rPr>
          <w:rFonts w:hint="cs"/>
          <w:rtl/>
          <w:lang/>
        </w:rPr>
        <w:t>جماعية لحقوق الإنسان</w:t>
      </w:r>
      <w:r>
        <w:rPr>
          <w:rFonts w:hint="cs"/>
          <w:rtl/>
          <w:lang/>
        </w:rPr>
        <w:t xml:space="preserve"> لا</w:t>
      </w:r>
      <w:r>
        <w:rPr>
          <w:rtl/>
          <w:lang/>
        </w:rPr>
        <w:t> </w:t>
      </w:r>
      <w:r w:rsidRPr="00FA0FC2">
        <w:rPr>
          <w:rFonts w:hint="cs"/>
          <w:rtl/>
          <w:lang/>
        </w:rPr>
        <w:t>يكفي في حد ذاته كأساس لاستنتاج احتمال تعرض فرد</w:t>
      </w:r>
      <w:r>
        <w:rPr>
          <w:rFonts w:hint="cs"/>
          <w:rtl/>
          <w:lang/>
        </w:rPr>
        <w:t xml:space="preserve"> ما</w:t>
      </w:r>
      <w:r>
        <w:rPr>
          <w:rtl/>
          <w:lang/>
        </w:rPr>
        <w:t> </w:t>
      </w:r>
      <w:r w:rsidRPr="00FA0FC2">
        <w:rPr>
          <w:rFonts w:hint="cs"/>
          <w:rtl/>
          <w:lang/>
        </w:rPr>
        <w:t>للتعذيب بعد عودته إلى بلده</w:t>
      </w:r>
      <w:r w:rsidRPr="00FA0FC2">
        <w:rPr>
          <w:rFonts w:hint="cs"/>
          <w:rtl/>
          <w:lang w:val="fr-CH"/>
        </w:rPr>
        <w:t xml:space="preserve">، </w:t>
      </w:r>
      <w:r w:rsidRPr="00FA0FC2">
        <w:rPr>
          <w:rFonts w:hint="cs"/>
          <w:rtl/>
          <w:lang/>
        </w:rPr>
        <w:t>بل يجب أن توجد أسباب إضافية كي</w:t>
      </w:r>
      <w:r w:rsidRPr="00FA0FC2">
        <w:rPr>
          <w:rFonts w:hint="eastAsia"/>
          <w:rtl/>
          <w:lang/>
        </w:rPr>
        <w:t> </w:t>
      </w:r>
      <w:r w:rsidRPr="00FA0FC2">
        <w:rPr>
          <w:rFonts w:hint="cs"/>
          <w:rtl/>
          <w:lang/>
        </w:rPr>
        <w:t>يتسنى وصف خطر التعرض للتعذيب وفقاً للمعنى المقصود من ال</w:t>
      </w:r>
      <w:r>
        <w:rPr>
          <w:rFonts w:hint="cs"/>
          <w:rtl/>
          <w:lang/>
        </w:rPr>
        <w:t>مادة</w:t>
      </w:r>
      <w:r>
        <w:rPr>
          <w:rtl/>
          <w:lang/>
        </w:rPr>
        <w:t> </w:t>
      </w:r>
      <w:r w:rsidRPr="00FA0FC2">
        <w:rPr>
          <w:rFonts w:hint="cs"/>
          <w:rtl/>
          <w:lang/>
        </w:rPr>
        <w:t>3 على أنه "متوقع وحقيقي وشخصي".</w:t>
      </w:r>
    </w:p>
    <w:p w:rsidR="00091373" w:rsidRPr="00E04555" w:rsidRDefault="00091373" w:rsidP="00091373">
      <w:pPr>
        <w:pStyle w:val="SingleTxtGA"/>
        <w:rPr>
          <w:sz w:val="30"/>
          <w:rtl/>
          <w:lang/>
        </w:rPr>
      </w:pPr>
      <w:r w:rsidRPr="00FA0FC2">
        <w:rPr>
          <w:sz w:val="30"/>
          <w:rtl/>
          <w:lang w:val="fr-CH"/>
        </w:rPr>
        <w:t>4-3</w:t>
      </w:r>
      <w:r w:rsidRPr="00FA0FC2">
        <w:rPr>
          <w:sz w:val="30"/>
          <w:rtl/>
          <w:lang w:val="fr-CH"/>
        </w:rPr>
        <w:tab/>
      </w:r>
      <w:r w:rsidRPr="00FA0FC2">
        <w:rPr>
          <w:rStyle w:val="hps"/>
          <w:sz w:val="30"/>
          <w:rtl/>
          <w:lang/>
        </w:rPr>
        <w:t>وتؤكد الدولة</w:t>
      </w:r>
      <w:r w:rsidRPr="00FA0FC2">
        <w:rPr>
          <w:sz w:val="30"/>
          <w:rtl/>
          <w:lang/>
        </w:rPr>
        <w:t xml:space="preserve"> </w:t>
      </w:r>
      <w:r w:rsidRPr="00FA0FC2">
        <w:rPr>
          <w:rStyle w:val="hps"/>
          <w:sz w:val="30"/>
          <w:rtl/>
          <w:lang/>
        </w:rPr>
        <w:t>الطرف أنها</w:t>
      </w:r>
      <w:r w:rsidRPr="00FA0FC2">
        <w:rPr>
          <w:sz w:val="30"/>
          <w:rtl/>
          <w:lang/>
        </w:rPr>
        <w:t xml:space="preserve"> </w:t>
      </w:r>
      <w:r w:rsidRPr="00FA0FC2">
        <w:rPr>
          <w:rStyle w:val="hps"/>
          <w:sz w:val="30"/>
          <w:rtl/>
          <w:lang/>
        </w:rPr>
        <w:t>تدرك أن</w:t>
      </w:r>
      <w:r w:rsidRPr="00FA0FC2">
        <w:rPr>
          <w:sz w:val="30"/>
          <w:rtl/>
          <w:lang/>
        </w:rPr>
        <w:t xml:space="preserve"> </w:t>
      </w:r>
      <w:r w:rsidRPr="00FA0FC2">
        <w:rPr>
          <w:rStyle w:val="hps"/>
          <w:sz w:val="30"/>
          <w:rtl/>
          <w:lang/>
        </w:rPr>
        <w:t>الوضع العام</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اليمن</w:t>
      </w:r>
      <w:r w:rsidRPr="00FA0FC2">
        <w:rPr>
          <w:sz w:val="30"/>
          <w:rtl/>
          <w:lang/>
        </w:rPr>
        <w:t xml:space="preserve"> </w:t>
      </w:r>
      <w:r w:rsidRPr="00FA0FC2">
        <w:rPr>
          <w:rStyle w:val="hps"/>
          <w:rFonts w:hint="cs"/>
          <w:sz w:val="30"/>
          <w:rtl/>
          <w:lang/>
        </w:rPr>
        <w:t>يتسم</w:t>
      </w:r>
      <w:r w:rsidRPr="00FA0FC2">
        <w:rPr>
          <w:sz w:val="30"/>
          <w:rtl/>
          <w:lang/>
        </w:rPr>
        <w:t xml:space="preserve"> </w:t>
      </w:r>
      <w:r w:rsidRPr="00FA0FC2">
        <w:rPr>
          <w:rStyle w:val="hps"/>
          <w:sz w:val="30"/>
          <w:rtl/>
          <w:lang/>
        </w:rPr>
        <w:t>بعدم الاستقرار</w:t>
      </w:r>
      <w:r w:rsidRPr="00FA0FC2">
        <w:rPr>
          <w:sz w:val="30"/>
          <w:rtl/>
          <w:lang/>
        </w:rPr>
        <w:t xml:space="preserve"> </w:t>
      </w:r>
      <w:r w:rsidRPr="00FA0FC2">
        <w:rPr>
          <w:rStyle w:val="hps"/>
          <w:sz w:val="30"/>
          <w:rtl/>
          <w:lang/>
        </w:rPr>
        <w:t>منذ بداية</w:t>
      </w:r>
      <w:r w:rsidRPr="00FA0FC2">
        <w:rPr>
          <w:sz w:val="30"/>
          <w:rtl/>
          <w:lang/>
        </w:rPr>
        <w:t xml:space="preserve"> </w:t>
      </w:r>
      <w:r w:rsidRPr="00FA0FC2">
        <w:rPr>
          <w:rStyle w:val="hps"/>
          <w:sz w:val="30"/>
          <w:rtl/>
          <w:lang/>
        </w:rPr>
        <w:t>أعمال الشغب</w:t>
      </w:r>
      <w:r w:rsidRPr="00FA0FC2">
        <w:rPr>
          <w:sz w:val="30"/>
          <w:rtl/>
          <w:lang/>
        </w:rPr>
        <w:t xml:space="preserve"> </w:t>
      </w:r>
      <w:r w:rsidRPr="00FA0FC2">
        <w:rPr>
          <w:rStyle w:val="hps"/>
          <w:sz w:val="30"/>
          <w:rtl/>
          <w:lang/>
        </w:rPr>
        <w:t>في كانون الثاني</w:t>
      </w:r>
      <w:r w:rsidRPr="00FA0FC2">
        <w:rPr>
          <w:rStyle w:val="hps"/>
          <w:rFonts w:hint="cs"/>
          <w:sz w:val="30"/>
          <w:rtl/>
          <w:lang/>
        </w:rPr>
        <w:t>/يناير</w:t>
      </w:r>
      <w:r w:rsidRPr="00FA0FC2">
        <w:rPr>
          <w:sz w:val="30"/>
          <w:rtl/>
          <w:lang/>
        </w:rPr>
        <w:t xml:space="preserve"> </w:t>
      </w:r>
      <w:r w:rsidRPr="00FA0FC2">
        <w:rPr>
          <w:rStyle w:val="hps"/>
          <w:sz w:val="30"/>
          <w:rtl/>
          <w:lang/>
        </w:rPr>
        <w:t>2011،</w:t>
      </w:r>
      <w:r w:rsidRPr="00FA0FC2">
        <w:rPr>
          <w:sz w:val="30"/>
          <w:rtl/>
          <w:lang/>
        </w:rPr>
        <w:t xml:space="preserve"> </w:t>
      </w:r>
      <w:r w:rsidRPr="00FA0FC2">
        <w:rPr>
          <w:rStyle w:val="hps"/>
          <w:sz w:val="30"/>
          <w:rtl/>
          <w:lang/>
        </w:rPr>
        <w:t>و</w:t>
      </w:r>
      <w:r w:rsidRPr="00FA0FC2">
        <w:rPr>
          <w:sz w:val="30"/>
          <w:rtl/>
          <w:lang/>
        </w:rPr>
        <w:t>أن</w:t>
      </w:r>
      <w:r w:rsidRPr="00FA0FC2">
        <w:rPr>
          <w:rFonts w:hint="cs"/>
          <w:sz w:val="30"/>
          <w:rtl/>
          <w:lang/>
        </w:rPr>
        <w:t xml:space="preserve"> </w:t>
      </w:r>
      <w:r w:rsidRPr="00FA0FC2">
        <w:rPr>
          <w:rStyle w:val="hps"/>
          <w:sz w:val="30"/>
          <w:rtl/>
          <w:lang/>
        </w:rPr>
        <w:t>حالة حقوق الإنسان</w:t>
      </w:r>
      <w:r w:rsidRPr="00FA0FC2">
        <w:rPr>
          <w:rStyle w:val="hps"/>
          <w:rFonts w:hint="cs"/>
          <w:sz w:val="30"/>
          <w:rtl/>
          <w:lang/>
        </w:rPr>
        <w:t xml:space="preserve"> تتسم حتى الآن</w:t>
      </w:r>
      <w:r w:rsidRPr="00FA0FC2">
        <w:rPr>
          <w:rFonts w:hint="cs"/>
          <w:sz w:val="30"/>
          <w:rtl/>
          <w:lang/>
        </w:rPr>
        <w:t xml:space="preserve"> بسمات منها</w:t>
      </w:r>
      <w:r w:rsidRPr="00FA0FC2">
        <w:rPr>
          <w:sz w:val="30"/>
          <w:rtl/>
          <w:lang/>
        </w:rPr>
        <w:t xml:space="preserve"> </w:t>
      </w:r>
      <w:r w:rsidRPr="00FA0FC2">
        <w:rPr>
          <w:rStyle w:val="hps"/>
          <w:sz w:val="30"/>
          <w:rtl/>
          <w:lang/>
        </w:rPr>
        <w:t>الاعتقالات التعسفية</w:t>
      </w:r>
      <w:r w:rsidRPr="00FA0FC2">
        <w:rPr>
          <w:sz w:val="30"/>
          <w:rtl/>
          <w:lang/>
        </w:rPr>
        <w:t xml:space="preserve"> </w:t>
      </w:r>
      <w:r w:rsidRPr="00FA0FC2">
        <w:rPr>
          <w:rStyle w:val="hps"/>
          <w:rFonts w:hint="cs"/>
          <w:sz w:val="30"/>
          <w:rtl/>
          <w:lang/>
        </w:rPr>
        <w:t>التي تنفذها</w:t>
      </w:r>
      <w:r w:rsidRPr="00FA0FC2">
        <w:rPr>
          <w:rStyle w:val="hps"/>
          <w:sz w:val="30"/>
          <w:rtl/>
          <w:lang/>
        </w:rPr>
        <w:t xml:space="preserve"> الشرطة،</w:t>
      </w:r>
      <w:r w:rsidRPr="00FA0FC2">
        <w:rPr>
          <w:sz w:val="30"/>
          <w:rtl/>
          <w:lang/>
        </w:rPr>
        <w:t xml:space="preserve"> </w:t>
      </w:r>
      <w:r w:rsidRPr="00FA0FC2">
        <w:rPr>
          <w:rStyle w:val="hps"/>
          <w:sz w:val="30"/>
          <w:rtl/>
          <w:lang/>
        </w:rPr>
        <w:t xml:space="preserve">وخاصة </w:t>
      </w:r>
      <w:r w:rsidRPr="00FA0FC2">
        <w:rPr>
          <w:rStyle w:val="hps"/>
          <w:rFonts w:hint="cs"/>
          <w:sz w:val="30"/>
          <w:rtl/>
          <w:lang/>
        </w:rPr>
        <w:t>تلك التي ينفذها جهاز</w:t>
      </w:r>
      <w:r w:rsidRPr="00FA0FC2">
        <w:rPr>
          <w:sz w:val="30"/>
          <w:rtl/>
          <w:lang/>
        </w:rPr>
        <w:t xml:space="preserve"> </w:t>
      </w:r>
      <w:r w:rsidRPr="00FA0FC2">
        <w:rPr>
          <w:rStyle w:val="hps"/>
          <w:sz w:val="30"/>
          <w:rtl/>
          <w:lang/>
        </w:rPr>
        <w:t>المخابرات</w:t>
      </w:r>
      <w:r w:rsidRPr="00FA0FC2">
        <w:rPr>
          <w:sz w:val="30"/>
          <w:rtl/>
          <w:lang/>
        </w:rPr>
        <w:t xml:space="preserve">، </w:t>
      </w:r>
      <w:r w:rsidRPr="00FA0FC2">
        <w:rPr>
          <w:rStyle w:val="hps"/>
          <w:sz w:val="30"/>
          <w:rtl/>
          <w:lang/>
        </w:rPr>
        <w:t>و</w:t>
      </w:r>
      <w:r w:rsidRPr="00FA0FC2">
        <w:rPr>
          <w:sz w:val="30"/>
          <w:rtl/>
          <w:lang/>
        </w:rPr>
        <w:t xml:space="preserve">تكرار </w:t>
      </w:r>
      <w:r w:rsidRPr="00FA0FC2">
        <w:rPr>
          <w:rFonts w:hint="cs"/>
          <w:sz w:val="30"/>
          <w:rtl/>
          <w:lang/>
        </w:rPr>
        <w:t>حالات</w:t>
      </w:r>
      <w:r w:rsidRPr="00FA0FC2">
        <w:rPr>
          <w:sz w:val="30"/>
          <w:rtl/>
          <w:lang/>
        </w:rPr>
        <w:t xml:space="preserve"> </w:t>
      </w:r>
      <w:r w:rsidRPr="00FA0FC2">
        <w:rPr>
          <w:rStyle w:val="hps"/>
          <w:sz w:val="30"/>
          <w:rtl/>
          <w:lang/>
        </w:rPr>
        <w:t>التعذيب</w:t>
      </w:r>
      <w:r w:rsidRPr="00FA0FC2">
        <w:rPr>
          <w:sz w:val="30"/>
          <w:rtl/>
          <w:lang/>
        </w:rPr>
        <w:t xml:space="preserve"> </w:t>
      </w:r>
      <w:r w:rsidRPr="00FA0FC2">
        <w:rPr>
          <w:rStyle w:val="hps"/>
          <w:sz w:val="30"/>
          <w:rtl/>
          <w:lang/>
        </w:rPr>
        <w:t>وسوء</w:t>
      </w:r>
      <w:r w:rsidRPr="00FA0FC2">
        <w:rPr>
          <w:sz w:val="30"/>
          <w:rtl/>
          <w:lang/>
        </w:rPr>
        <w:t xml:space="preserve"> </w:t>
      </w:r>
      <w:r w:rsidRPr="00FA0FC2">
        <w:rPr>
          <w:rStyle w:val="hps"/>
          <w:sz w:val="30"/>
          <w:rtl/>
          <w:lang/>
        </w:rPr>
        <w:t>المعاملة أثناء الاحتجاز</w:t>
      </w:r>
      <w:r w:rsidRPr="00FA0FC2">
        <w:rPr>
          <w:sz w:val="30"/>
          <w:vertAlign w:val="superscript"/>
          <w:rtl/>
          <w:lang w:val="fr-CH"/>
        </w:rPr>
        <w:t>(</w:t>
      </w:r>
      <w:r w:rsidRPr="00FA0FC2">
        <w:rPr>
          <w:rStyle w:val="FootnoteReference"/>
          <w:sz w:val="30"/>
          <w:rtl/>
          <w:lang w:val="fr-CH"/>
        </w:rPr>
        <w:footnoteReference w:id="262"/>
      </w:r>
      <w:r w:rsidRPr="00FA0FC2">
        <w:rPr>
          <w:sz w:val="30"/>
          <w:vertAlign w:val="superscript"/>
          <w:rtl/>
          <w:lang w:val="fr-CH"/>
        </w:rPr>
        <w:t>)</w:t>
      </w:r>
      <w:r w:rsidRPr="00FA0FC2">
        <w:rPr>
          <w:rFonts w:hint="cs"/>
          <w:sz w:val="30"/>
          <w:rtl/>
          <w:lang/>
        </w:rPr>
        <w:t>.</w:t>
      </w:r>
      <w:r w:rsidRPr="00FA0FC2">
        <w:rPr>
          <w:sz w:val="30"/>
          <w:rtl/>
          <w:lang/>
        </w:rPr>
        <w:t xml:space="preserve"> </w:t>
      </w:r>
      <w:r w:rsidRPr="00FA0FC2">
        <w:rPr>
          <w:rStyle w:val="hps"/>
          <w:sz w:val="30"/>
          <w:rtl/>
          <w:lang/>
        </w:rPr>
        <w:t>ومع ذلك</w:t>
      </w:r>
      <w:r w:rsidRPr="00FA0FC2">
        <w:rPr>
          <w:sz w:val="30"/>
          <w:rtl/>
          <w:lang/>
        </w:rPr>
        <w:t xml:space="preserve">، </w:t>
      </w:r>
      <w:r w:rsidRPr="00FA0FC2">
        <w:rPr>
          <w:rFonts w:hint="cs"/>
          <w:sz w:val="30"/>
          <w:rtl/>
          <w:lang/>
        </w:rPr>
        <w:t>ف</w:t>
      </w:r>
      <w:r w:rsidRPr="00FA0FC2">
        <w:rPr>
          <w:rStyle w:val="hps"/>
          <w:sz w:val="30"/>
          <w:rtl/>
          <w:lang/>
        </w:rPr>
        <w:t>هذه الحقائق</w:t>
      </w:r>
      <w:r>
        <w:rPr>
          <w:sz w:val="30"/>
          <w:rtl/>
          <w:lang/>
        </w:rPr>
        <w:t xml:space="preserve"> لا </w:t>
      </w:r>
      <w:r w:rsidRPr="00FA0FC2">
        <w:rPr>
          <w:rStyle w:val="hps"/>
          <w:sz w:val="30"/>
          <w:rtl/>
          <w:lang/>
        </w:rPr>
        <w:t>تشكل</w:t>
      </w:r>
      <w:r w:rsidRPr="00FA0FC2">
        <w:rPr>
          <w:sz w:val="30"/>
          <w:rtl/>
          <w:lang/>
        </w:rPr>
        <w:t xml:space="preserve"> </w:t>
      </w:r>
      <w:r w:rsidRPr="00FA0FC2">
        <w:rPr>
          <w:rStyle w:val="hps"/>
          <w:sz w:val="30"/>
          <w:rtl/>
          <w:lang/>
        </w:rPr>
        <w:t>حالة</w:t>
      </w:r>
      <w:r w:rsidRPr="00FA0FC2">
        <w:rPr>
          <w:rStyle w:val="hps"/>
          <w:rFonts w:hint="cs"/>
          <w:sz w:val="30"/>
          <w:rtl/>
          <w:lang/>
        </w:rPr>
        <w:t xml:space="preserve"> من</w:t>
      </w:r>
      <w:r w:rsidRPr="00FA0FC2">
        <w:rPr>
          <w:rStyle w:val="hps"/>
          <w:sz w:val="30"/>
          <w:rtl/>
          <w:lang/>
        </w:rPr>
        <w:t xml:space="preserve"> العنف</w:t>
      </w:r>
      <w:r w:rsidRPr="00FA0FC2">
        <w:rPr>
          <w:sz w:val="30"/>
          <w:rtl/>
          <w:lang/>
        </w:rPr>
        <w:t xml:space="preserve"> </w:t>
      </w:r>
      <w:r w:rsidRPr="00FA0FC2">
        <w:rPr>
          <w:rStyle w:val="hps"/>
          <w:sz w:val="30"/>
          <w:rtl/>
          <w:lang/>
        </w:rPr>
        <w:t>الم</w:t>
      </w:r>
      <w:r w:rsidRPr="00FA0FC2">
        <w:rPr>
          <w:rStyle w:val="hps"/>
          <w:rFonts w:hint="cs"/>
          <w:sz w:val="30"/>
          <w:rtl/>
          <w:lang/>
        </w:rPr>
        <w:t>تفشي</w:t>
      </w:r>
      <w:r w:rsidRPr="00FA0FC2">
        <w:rPr>
          <w:rStyle w:val="hps"/>
          <w:sz w:val="30"/>
          <w:rtl/>
          <w:lang/>
        </w:rPr>
        <w:t>.</w:t>
      </w:r>
      <w:r>
        <w:rPr>
          <w:sz w:val="30"/>
          <w:rtl/>
          <w:lang/>
        </w:rPr>
        <w:t xml:space="preserve"> ولا </w:t>
      </w:r>
      <w:r w:rsidRPr="00FA0FC2">
        <w:rPr>
          <w:rStyle w:val="hps"/>
          <w:sz w:val="30"/>
          <w:rtl/>
          <w:lang/>
        </w:rPr>
        <w:t xml:space="preserve">يمكن </w:t>
      </w:r>
      <w:r w:rsidRPr="00FA0FC2">
        <w:rPr>
          <w:rStyle w:val="hps"/>
          <w:rFonts w:hint="cs"/>
          <w:sz w:val="30"/>
          <w:rtl/>
          <w:lang/>
        </w:rPr>
        <w:t>الجدال في حقيقة وجود</w:t>
      </w:r>
      <w:r w:rsidRPr="00FA0FC2">
        <w:rPr>
          <w:sz w:val="30"/>
          <w:rtl/>
          <w:lang/>
        </w:rPr>
        <w:t xml:space="preserve"> </w:t>
      </w:r>
      <w:r w:rsidRPr="00FA0FC2">
        <w:rPr>
          <w:rStyle w:val="hps"/>
          <w:sz w:val="30"/>
          <w:rtl/>
          <w:lang/>
        </w:rPr>
        <w:t>انتهاكات منتظمة و</w:t>
      </w:r>
      <w:r w:rsidRPr="00FA0FC2">
        <w:rPr>
          <w:sz w:val="30"/>
          <w:rtl/>
          <w:lang/>
        </w:rPr>
        <w:t>خطيرة</w:t>
      </w:r>
      <w:r>
        <w:rPr>
          <w:sz w:val="30"/>
          <w:rtl/>
          <w:lang/>
        </w:rPr>
        <w:t xml:space="preserve"> أو </w:t>
      </w:r>
      <w:r w:rsidRPr="00FA0FC2">
        <w:rPr>
          <w:rStyle w:val="hps"/>
          <w:sz w:val="30"/>
          <w:rtl/>
          <w:lang/>
        </w:rPr>
        <w:t>صارخة</w:t>
      </w:r>
      <w:r>
        <w:rPr>
          <w:rStyle w:val="hps"/>
          <w:sz w:val="30"/>
          <w:rtl/>
          <w:lang/>
        </w:rPr>
        <w:t xml:space="preserve"> أو </w:t>
      </w:r>
      <w:r w:rsidRPr="00FA0FC2">
        <w:rPr>
          <w:rStyle w:val="hps"/>
          <w:rFonts w:hint="cs"/>
          <w:sz w:val="30"/>
          <w:rtl/>
          <w:lang/>
        </w:rPr>
        <w:t>ج</w:t>
      </w:r>
      <w:r w:rsidRPr="00FA0FC2">
        <w:rPr>
          <w:rStyle w:val="hps"/>
          <w:sz w:val="30"/>
          <w:rtl/>
          <w:lang/>
        </w:rPr>
        <w:t>ماعية لحقوق</w:t>
      </w:r>
      <w:r w:rsidRPr="00FA0FC2">
        <w:rPr>
          <w:sz w:val="30"/>
          <w:rtl/>
          <w:lang/>
        </w:rPr>
        <w:t xml:space="preserve"> </w:t>
      </w:r>
      <w:r w:rsidRPr="00FA0FC2">
        <w:rPr>
          <w:rStyle w:val="hps"/>
          <w:sz w:val="30"/>
          <w:rtl/>
          <w:lang/>
        </w:rPr>
        <w:t>الإنسان بموجب الاتفاقية</w:t>
      </w:r>
      <w:r w:rsidRPr="00FA0FC2">
        <w:rPr>
          <w:sz w:val="30"/>
          <w:rtl/>
          <w:lang/>
        </w:rPr>
        <w:t xml:space="preserve">. </w:t>
      </w:r>
      <w:r w:rsidRPr="00FA0FC2">
        <w:rPr>
          <w:rFonts w:hint="cs"/>
          <w:sz w:val="30"/>
          <w:rtl/>
          <w:lang/>
        </w:rPr>
        <w:t>و</w:t>
      </w:r>
      <w:r w:rsidRPr="00FA0FC2">
        <w:rPr>
          <w:rStyle w:val="hps"/>
          <w:sz w:val="30"/>
          <w:rtl/>
          <w:lang/>
        </w:rPr>
        <w:t>من حيث المبدأ</w:t>
      </w:r>
      <w:r w:rsidRPr="00FA0FC2">
        <w:rPr>
          <w:rStyle w:val="hps"/>
          <w:rFonts w:hint="cs"/>
          <w:sz w:val="30"/>
          <w:rtl/>
          <w:lang/>
        </w:rPr>
        <w:t>،</w:t>
      </w:r>
      <w:r>
        <w:rPr>
          <w:rStyle w:val="hps"/>
          <w:rFonts w:hint="cs"/>
          <w:sz w:val="30"/>
          <w:rtl/>
          <w:lang/>
        </w:rPr>
        <w:t xml:space="preserve"> لم</w:t>
      </w:r>
      <w:r>
        <w:rPr>
          <w:rStyle w:val="hps"/>
          <w:sz w:val="30"/>
          <w:rtl/>
          <w:lang/>
        </w:rPr>
        <w:t> </w:t>
      </w:r>
      <w:r w:rsidRPr="00FA0FC2">
        <w:rPr>
          <w:rStyle w:val="hps"/>
          <w:rFonts w:hint="cs"/>
          <w:sz w:val="30"/>
          <w:rtl/>
          <w:lang/>
        </w:rPr>
        <w:t xml:space="preserve">تغير </w:t>
      </w:r>
      <w:r w:rsidRPr="00FA0FC2">
        <w:rPr>
          <w:rStyle w:val="hps"/>
          <w:sz w:val="30"/>
          <w:rtl/>
          <w:lang/>
        </w:rPr>
        <w:t>استقالة الرئيس</w:t>
      </w:r>
      <w:r w:rsidRPr="00FA0FC2">
        <w:rPr>
          <w:sz w:val="30"/>
          <w:rtl/>
          <w:lang/>
        </w:rPr>
        <w:t xml:space="preserve"> </w:t>
      </w:r>
      <w:r w:rsidRPr="00FA0FC2">
        <w:rPr>
          <w:rStyle w:val="hps"/>
          <w:sz w:val="30"/>
          <w:rtl/>
          <w:lang/>
        </w:rPr>
        <w:t>علي</w:t>
      </w:r>
      <w:r w:rsidRPr="00FA0FC2">
        <w:rPr>
          <w:sz w:val="30"/>
          <w:rtl/>
          <w:lang/>
        </w:rPr>
        <w:t xml:space="preserve"> </w:t>
      </w:r>
      <w:r w:rsidRPr="00FA0FC2">
        <w:rPr>
          <w:rStyle w:val="hps"/>
          <w:sz w:val="30"/>
          <w:rtl/>
          <w:lang/>
        </w:rPr>
        <w:t xml:space="preserve">عبد الله صالح </w:t>
      </w:r>
      <w:r w:rsidRPr="00FA0FC2">
        <w:rPr>
          <w:rStyle w:val="hps"/>
          <w:rFonts w:hint="cs"/>
          <w:sz w:val="30"/>
          <w:rtl/>
          <w:lang/>
        </w:rPr>
        <w:t>في</w:t>
      </w:r>
      <w:r w:rsidRPr="00FA0FC2">
        <w:rPr>
          <w:sz w:val="30"/>
          <w:rtl/>
          <w:lang/>
        </w:rPr>
        <w:t xml:space="preserve"> </w:t>
      </w:r>
      <w:r w:rsidRPr="00FA0FC2">
        <w:rPr>
          <w:rStyle w:val="hps"/>
          <w:sz w:val="30"/>
          <w:rtl/>
          <w:lang/>
        </w:rPr>
        <w:t xml:space="preserve">23 </w:t>
      </w:r>
      <w:r w:rsidRPr="00FA0FC2">
        <w:rPr>
          <w:rStyle w:val="hps"/>
          <w:rFonts w:hint="cs"/>
          <w:sz w:val="30"/>
          <w:rtl/>
          <w:lang/>
        </w:rPr>
        <w:t>تشرين الثاني/</w:t>
      </w:r>
      <w:r w:rsidRPr="00FA0FC2">
        <w:rPr>
          <w:rStyle w:val="hps"/>
          <w:sz w:val="30"/>
          <w:rtl/>
          <w:lang/>
        </w:rPr>
        <w:t>نوفمبر 2011</w:t>
      </w:r>
      <w:r w:rsidRPr="00FA0FC2">
        <w:rPr>
          <w:sz w:val="30"/>
          <w:rtl/>
          <w:lang/>
        </w:rPr>
        <w:t xml:space="preserve"> </w:t>
      </w:r>
      <w:r w:rsidRPr="00FA0FC2">
        <w:rPr>
          <w:rStyle w:val="hps"/>
          <w:rFonts w:hint="cs"/>
          <w:sz w:val="30"/>
          <w:rtl/>
          <w:lang/>
        </w:rPr>
        <w:t>من</w:t>
      </w:r>
      <w:r w:rsidRPr="00FA0FC2">
        <w:rPr>
          <w:sz w:val="30"/>
          <w:rtl/>
          <w:lang/>
        </w:rPr>
        <w:t xml:space="preserve"> </w:t>
      </w:r>
      <w:r w:rsidRPr="00FA0FC2">
        <w:rPr>
          <w:rStyle w:val="hps"/>
          <w:sz w:val="30"/>
          <w:rtl/>
          <w:lang/>
        </w:rPr>
        <w:t xml:space="preserve">الوضع </w:t>
      </w:r>
      <w:r w:rsidRPr="00E04555">
        <w:rPr>
          <w:rStyle w:val="hps"/>
          <w:sz w:val="30"/>
          <w:rtl/>
          <w:lang/>
        </w:rPr>
        <w:t>العام</w:t>
      </w:r>
      <w:r w:rsidRPr="00E04555">
        <w:rPr>
          <w:sz w:val="30"/>
          <w:rtl/>
          <w:lang/>
        </w:rPr>
        <w:t xml:space="preserve"> </w:t>
      </w:r>
      <w:r w:rsidRPr="00E04555">
        <w:rPr>
          <w:rStyle w:val="hps"/>
          <w:sz w:val="30"/>
          <w:rtl/>
          <w:lang/>
        </w:rPr>
        <w:t>في</w:t>
      </w:r>
      <w:r w:rsidRPr="00E04555">
        <w:rPr>
          <w:sz w:val="30"/>
          <w:rtl/>
          <w:lang/>
        </w:rPr>
        <w:t xml:space="preserve"> </w:t>
      </w:r>
      <w:r w:rsidRPr="00E04555">
        <w:rPr>
          <w:rStyle w:val="hps"/>
          <w:sz w:val="30"/>
          <w:rtl/>
          <w:lang/>
        </w:rPr>
        <w:t>اليمن</w:t>
      </w:r>
      <w:r w:rsidRPr="00E04555">
        <w:rPr>
          <w:sz w:val="30"/>
          <w:rtl/>
          <w:lang/>
        </w:rPr>
        <w:t>. ولم </w:t>
      </w:r>
      <w:r w:rsidRPr="00E04555">
        <w:rPr>
          <w:rStyle w:val="hps"/>
          <w:rFonts w:hint="cs"/>
          <w:sz w:val="30"/>
          <w:rtl/>
          <w:lang/>
        </w:rPr>
        <w:t>تؤد</w:t>
      </w:r>
      <w:r w:rsidRPr="00E04555">
        <w:rPr>
          <w:sz w:val="30"/>
          <w:rtl/>
          <w:lang/>
        </w:rPr>
        <w:t xml:space="preserve"> </w:t>
      </w:r>
      <w:r w:rsidRPr="00E04555">
        <w:rPr>
          <w:rStyle w:val="hps"/>
          <w:sz w:val="30"/>
          <w:rtl/>
          <w:lang/>
        </w:rPr>
        <w:t>استقالته</w:t>
      </w:r>
      <w:r w:rsidRPr="00E04555">
        <w:rPr>
          <w:sz w:val="30"/>
          <w:rtl/>
          <w:lang/>
        </w:rPr>
        <w:t xml:space="preserve"> </w:t>
      </w:r>
      <w:r w:rsidRPr="00E04555">
        <w:rPr>
          <w:rStyle w:val="hps"/>
          <w:rFonts w:hint="cs"/>
          <w:sz w:val="30"/>
          <w:rtl/>
          <w:lang/>
        </w:rPr>
        <w:t xml:space="preserve">إلى حدوث </w:t>
      </w:r>
      <w:r w:rsidRPr="00E04555">
        <w:rPr>
          <w:rStyle w:val="hps"/>
          <w:sz w:val="30"/>
          <w:rtl/>
          <w:lang/>
        </w:rPr>
        <w:t>أي</w:t>
      </w:r>
      <w:r w:rsidRPr="00E04555">
        <w:rPr>
          <w:sz w:val="30"/>
          <w:rtl/>
          <w:lang/>
        </w:rPr>
        <w:t xml:space="preserve"> </w:t>
      </w:r>
      <w:r w:rsidRPr="00E04555">
        <w:rPr>
          <w:rStyle w:val="hps"/>
          <w:sz w:val="30"/>
          <w:rtl/>
          <w:lang/>
        </w:rPr>
        <w:t>تدهور</w:t>
      </w:r>
      <w:r w:rsidRPr="00E04555">
        <w:rPr>
          <w:sz w:val="30"/>
          <w:rtl/>
          <w:lang/>
        </w:rPr>
        <w:t xml:space="preserve"> أو </w:t>
      </w:r>
      <w:r w:rsidRPr="00E04555">
        <w:rPr>
          <w:rStyle w:val="hps"/>
          <w:sz w:val="30"/>
          <w:rtl/>
          <w:lang/>
        </w:rPr>
        <w:t>تحسن ملحوظ</w:t>
      </w:r>
      <w:r w:rsidRPr="00E04555">
        <w:rPr>
          <w:sz w:val="30"/>
          <w:rtl/>
          <w:lang/>
        </w:rPr>
        <w:t xml:space="preserve"> </w:t>
      </w:r>
      <w:r w:rsidRPr="00E04555">
        <w:rPr>
          <w:rStyle w:val="hps"/>
          <w:sz w:val="30"/>
          <w:rtl/>
          <w:lang/>
        </w:rPr>
        <w:t>للوضع</w:t>
      </w:r>
      <w:r w:rsidRPr="00E04555">
        <w:rPr>
          <w:sz w:val="30"/>
          <w:rtl/>
          <w:lang/>
        </w:rPr>
        <w:t xml:space="preserve">. </w:t>
      </w:r>
      <w:r w:rsidRPr="00E04555">
        <w:rPr>
          <w:rStyle w:val="hps"/>
          <w:sz w:val="30"/>
          <w:rtl/>
          <w:lang/>
        </w:rPr>
        <w:t>وتضيف الدولة الطرف</w:t>
      </w:r>
      <w:r w:rsidRPr="00E04555">
        <w:rPr>
          <w:sz w:val="30"/>
          <w:rtl/>
          <w:lang/>
        </w:rPr>
        <w:t xml:space="preserve"> </w:t>
      </w:r>
      <w:r w:rsidRPr="00E04555">
        <w:rPr>
          <w:rStyle w:val="hps"/>
          <w:sz w:val="30"/>
          <w:rtl/>
          <w:lang/>
        </w:rPr>
        <w:t>أنه وفقا</w:t>
      </w:r>
      <w:r w:rsidRPr="00E04555">
        <w:rPr>
          <w:rStyle w:val="hps"/>
          <w:rFonts w:hint="cs"/>
          <w:sz w:val="30"/>
          <w:rtl/>
          <w:lang/>
        </w:rPr>
        <w:t>ً</w:t>
      </w:r>
      <w:r w:rsidRPr="00E04555">
        <w:rPr>
          <w:rStyle w:val="hps"/>
          <w:sz w:val="30"/>
          <w:rtl/>
          <w:lang/>
        </w:rPr>
        <w:t xml:space="preserve"> ل</w:t>
      </w:r>
      <w:r w:rsidRPr="00E04555">
        <w:rPr>
          <w:sz w:val="30"/>
          <w:rtl/>
          <w:lang/>
        </w:rPr>
        <w:t xml:space="preserve">اجتهاد اللجنة، فإن الوضع </w:t>
      </w:r>
      <w:r w:rsidRPr="00E04555">
        <w:rPr>
          <w:rStyle w:val="hps"/>
          <w:sz w:val="30"/>
          <w:rtl/>
          <w:lang/>
        </w:rPr>
        <w:t>في</w:t>
      </w:r>
      <w:r w:rsidRPr="00E04555">
        <w:rPr>
          <w:sz w:val="30"/>
          <w:rtl/>
          <w:lang/>
        </w:rPr>
        <w:t xml:space="preserve"> </w:t>
      </w:r>
      <w:r w:rsidRPr="00E04555">
        <w:rPr>
          <w:rStyle w:val="hps"/>
          <w:sz w:val="30"/>
          <w:rtl/>
          <w:lang/>
        </w:rPr>
        <w:t>اليمن</w:t>
      </w:r>
      <w:r w:rsidRPr="00E04555">
        <w:rPr>
          <w:rFonts w:hint="cs"/>
          <w:rtl/>
          <w:lang/>
        </w:rPr>
        <w:t xml:space="preserve"> لا</w:t>
      </w:r>
      <w:r w:rsidRPr="00E04555">
        <w:rPr>
          <w:rtl/>
          <w:lang/>
        </w:rPr>
        <w:t> </w:t>
      </w:r>
      <w:r w:rsidRPr="00E04555">
        <w:rPr>
          <w:rFonts w:hint="cs"/>
          <w:rtl/>
          <w:lang/>
        </w:rPr>
        <w:t xml:space="preserve">يكفي في حد ذاته كأساس لاستنتاج احتمال تعرض صاحب الشكوى للتعذيب بعد عودته </w:t>
      </w:r>
      <w:r w:rsidRPr="00E04555">
        <w:rPr>
          <w:rStyle w:val="hps"/>
          <w:sz w:val="30"/>
          <w:rtl/>
          <w:lang/>
        </w:rPr>
        <w:t xml:space="preserve">إلى </w:t>
      </w:r>
      <w:r w:rsidRPr="00E04555">
        <w:rPr>
          <w:rStyle w:val="hps"/>
          <w:rFonts w:hint="cs"/>
          <w:sz w:val="30"/>
          <w:rtl/>
          <w:lang/>
        </w:rPr>
        <w:t>هذا</w:t>
      </w:r>
      <w:r w:rsidRPr="00E04555">
        <w:rPr>
          <w:rStyle w:val="hps"/>
          <w:sz w:val="30"/>
          <w:rtl/>
          <w:lang/>
        </w:rPr>
        <w:t xml:space="preserve"> البلد</w:t>
      </w:r>
      <w:r w:rsidRPr="00E04555">
        <w:rPr>
          <w:sz w:val="30"/>
          <w:rtl/>
          <w:lang/>
        </w:rPr>
        <w:t xml:space="preserve">. </w:t>
      </w:r>
      <w:r w:rsidRPr="00E04555">
        <w:rPr>
          <w:rStyle w:val="hps"/>
          <w:sz w:val="30"/>
          <w:rtl/>
          <w:lang/>
        </w:rPr>
        <w:t>وت</w:t>
      </w:r>
      <w:r w:rsidRPr="00E04555">
        <w:rPr>
          <w:rStyle w:val="hps"/>
          <w:rFonts w:hint="cs"/>
          <w:sz w:val="30"/>
          <w:rtl/>
          <w:lang/>
        </w:rPr>
        <w:t>رى</w:t>
      </w:r>
      <w:r w:rsidRPr="00E04555">
        <w:rPr>
          <w:rStyle w:val="hps"/>
          <w:sz w:val="30"/>
          <w:rtl/>
          <w:lang/>
        </w:rPr>
        <w:t xml:space="preserve"> أن صاحب الشكوى</w:t>
      </w:r>
      <w:r w:rsidRPr="00E04555">
        <w:rPr>
          <w:sz w:val="30"/>
          <w:rtl/>
          <w:lang/>
        </w:rPr>
        <w:t xml:space="preserve"> لم </w:t>
      </w:r>
      <w:r w:rsidRPr="00E04555">
        <w:rPr>
          <w:rStyle w:val="hps"/>
          <w:sz w:val="30"/>
          <w:rtl/>
          <w:lang/>
        </w:rPr>
        <w:t>يثبت</w:t>
      </w:r>
      <w:r w:rsidRPr="00E04555">
        <w:rPr>
          <w:sz w:val="30"/>
          <w:rtl/>
          <w:lang/>
        </w:rPr>
        <w:t xml:space="preserve"> </w:t>
      </w:r>
      <w:r w:rsidRPr="00E04555">
        <w:rPr>
          <w:rStyle w:val="hps"/>
          <w:sz w:val="30"/>
          <w:rtl/>
          <w:lang/>
        </w:rPr>
        <w:t>بأنه سي</w:t>
      </w:r>
      <w:r w:rsidRPr="00E04555">
        <w:rPr>
          <w:rStyle w:val="hps"/>
          <w:rFonts w:hint="cs"/>
          <w:sz w:val="30"/>
          <w:rtl/>
          <w:lang/>
        </w:rPr>
        <w:t>تعرض</w:t>
      </w:r>
      <w:r w:rsidRPr="00E04555">
        <w:rPr>
          <w:rFonts w:hint="cs"/>
          <w:rtl/>
          <w:lang w:val="es-ES"/>
        </w:rPr>
        <w:t xml:space="preserve"> لخطر تعذيب متوقع وحقيقي وشخصي </w:t>
      </w:r>
      <w:r w:rsidRPr="00E04555">
        <w:rPr>
          <w:rStyle w:val="hps"/>
          <w:rFonts w:hint="cs"/>
          <w:sz w:val="30"/>
          <w:rtl/>
          <w:lang/>
        </w:rPr>
        <w:t>في حال إعادته إلى بلده</w:t>
      </w:r>
      <w:r w:rsidRPr="00E04555">
        <w:rPr>
          <w:sz w:val="30"/>
          <w:rtl/>
          <w:lang/>
        </w:rPr>
        <w:t>.</w:t>
      </w:r>
    </w:p>
    <w:p w:rsidR="00091373" w:rsidRPr="00E04555" w:rsidRDefault="00091373" w:rsidP="00091373">
      <w:pPr>
        <w:pStyle w:val="SingleTxtGA"/>
        <w:rPr>
          <w:sz w:val="30"/>
          <w:rtl/>
          <w:lang w:val="fr-CH"/>
        </w:rPr>
      </w:pPr>
      <w:r w:rsidRPr="00E04555">
        <w:rPr>
          <w:sz w:val="30"/>
          <w:rtl/>
          <w:lang w:val="fr-CH"/>
        </w:rPr>
        <w:t>4-4</w:t>
      </w:r>
      <w:r w:rsidRPr="00E04555">
        <w:rPr>
          <w:sz w:val="30"/>
          <w:rtl/>
          <w:lang w:val="fr-CH"/>
        </w:rPr>
        <w:tab/>
      </w:r>
      <w:r w:rsidRPr="00E04555">
        <w:rPr>
          <w:rFonts w:hint="cs"/>
          <w:rtl/>
        </w:rPr>
        <w:t>وبالإشارة إلى تعليق اللجنة العام رقم 1 (الفقرة 8(ب))، تفيد الدولة الطرف بأن ممارسات التعذيب أو</w:t>
      </w:r>
      <w:r w:rsidRPr="00E04555">
        <w:rPr>
          <w:rtl/>
        </w:rPr>
        <w:t> </w:t>
      </w:r>
      <w:r w:rsidRPr="00E04555">
        <w:rPr>
          <w:rFonts w:hint="cs"/>
          <w:rtl/>
        </w:rPr>
        <w:t>سوء المعاملة التي يدعي صاحب الشكوى أنه تعرض لها في الماضي هي عنصر من العناصر التي ينبغي أخذها في الحسبان لدى تقييم خطر تعرض شخص للتعذيب أو</w:t>
      </w:r>
      <w:r w:rsidRPr="00E04555">
        <w:rPr>
          <w:rtl/>
        </w:rPr>
        <w:t> </w:t>
      </w:r>
      <w:r w:rsidRPr="00E04555">
        <w:rPr>
          <w:rFonts w:hint="cs"/>
          <w:rtl/>
        </w:rPr>
        <w:t>سوء المعاملة في حال إعادته إلى بلده الأصلي. وفي</w:t>
      </w:r>
      <w:r w:rsidRPr="00E04555">
        <w:rPr>
          <w:rtl/>
        </w:rPr>
        <w:t> </w:t>
      </w:r>
      <w:r w:rsidRPr="00E04555">
        <w:rPr>
          <w:rFonts w:hint="cs"/>
          <w:rtl/>
        </w:rPr>
        <w:t xml:space="preserve">هذا الصدد، تُذكّر الدولة الطرف بادعاء صاحب الشكوى الذي مفاده </w:t>
      </w:r>
      <w:r w:rsidRPr="00E04555">
        <w:rPr>
          <w:rStyle w:val="hps"/>
          <w:sz w:val="30"/>
          <w:rtl/>
          <w:lang/>
        </w:rPr>
        <w:t>أنه اعتقل</w:t>
      </w:r>
      <w:r w:rsidRPr="00E04555">
        <w:rPr>
          <w:sz w:val="30"/>
          <w:rtl/>
          <w:lang/>
        </w:rPr>
        <w:t xml:space="preserve"> </w:t>
      </w:r>
      <w:r w:rsidRPr="00E04555">
        <w:rPr>
          <w:rStyle w:val="hps"/>
          <w:sz w:val="30"/>
          <w:rtl/>
          <w:lang/>
        </w:rPr>
        <w:t>واحتجز</w:t>
      </w:r>
      <w:r w:rsidRPr="00E04555">
        <w:rPr>
          <w:sz w:val="30"/>
          <w:rtl/>
          <w:lang/>
        </w:rPr>
        <w:t xml:space="preserve"> </w:t>
      </w:r>
      <w:r w:rsidRPr="00E04555">
        <w:rPr>
          <w:rStyle w:val="hps"/>
          <w:sz w:val="30"/>
          <w:rtl/>
          <w:lang/>
        </w:rPr>
        <w:t>في عام 2009</w:t>
      </w:r>
      <w:r w:rsidRPr="00E04555">
        <w:rPr>
          <w:sz w:val="30"/>
          <w:rtl/>
          <w:lang/>
        </w:rPr>
        <w:t xml:space="preserve"> </w:t>
      </w:r>
      <w:r w:rsidRPr="00E04555">
        <w:rPr>
          <w:rStyle w:val="hps"/>
          <w:sz w:val="30"/>
          <w:rtl/>
          <w:lang/>
        </w:rPr>
        <w:t>بعد مشاركته</w:t>
      </w:r>
      <w:r w:rsidRPr="00E04555">
        <w:rPr>
          <w:sz w:val="30"/>
          <w:rtl/>
          <w:lang/>
        </w:rPr>
        <w:t xml:space="preserve"> </w:t>
      </w:r>
      <w:r w:rsidRPr="00E04555">
        <w:rPr>
          <w:rStyle w:val="hps"/>
          <w:sz w:val="30"/>
          <w:rtl/>
          <w:lang/>
        </w:rPr>
        <w:t>في مظاهرة</w:t>
      </w:r>
      <w:r w:rsidRPr="00E04555">
        <w:rPr>
          <w:sz w:val="30"/>
          <w:rtl/>
          <w:lang/>
        </w:rPr>
        <w:t xml:space="preserve"> </w:t>
      </w:r>
      <w:r w:rsidRPr="00E04555">
        <w:rPr>
          <w:rStyle w:val="hps"/>
          <w:sz w:val="30"/>
          <w:rtl/>
          <w:lang/>
        </w:rPr>
        <w:t>نظمها</w:t>
      </w:r>
      <w:r w:rsidRPr="00E04555">
        <w:rPr>
          <w:sz w:val="30"/>
          <w:rtl/>
          <w:lang/>
        </w:rPr>
        <w:t xml:space="preserve"> </w:t>
      </w:r>
      <w:r w:rsidRPr="00E04555">
        <w:rPr>
          <w:rStyle w:val="hps"/>
          <w:sz w:val="30"/>
          <w:rtl/>
          <w:lang/>
        </w:rPr>
        <w:t>التجمع الديمقراطي الجنوبي</w:t>
      </w:r>
      <w:r w:rsidRPr="00E04555">
        <w:rPr>
          <w:sz w:val="30"/>
          <w:rtl/>
          <w:lang/>
        </w:rPr>
        <w:t xml:space="preserve">، </w:t>
      </w:r>
      <w:r w:rsidRPr="00E04555">
        <w:rPr>
          <w:rFonts w:hint="cs"/>
          <w:sz w:val="30"/>
          <w:rtl/>
          <w:lang/>
        </w:rPr>
        <w:t>و</w:t>
      </w:r>
      <w:r w:rsidRPr="00E04555">
        <w:rPr>
          <w:rStyle w:val="hps"/>
          <w:sz w:val="30"/>
          <w:rtl/>
          <w:lang/>
        </w:rPr>
        <w:t>أنه تلقى</w:t>
      </w:r>
      <w:r w:rsidRPr="00E04555">
        <w:rPr>
          <w:sz w:val="30"/>
          <w:rtl/>
          <w:lang/>
        </w:rPr>
        <w:t xml:space="preserve"> </w:t>
      </w:r>
      <w:r w:rsidRPr="00E04555">
        <w:rPr>
          <w:rStyle w:val="hps"/>
          <w:sz w:val="30"/>
          <w:rtl/>
          <w:lang/>
        </w:rPr>
        <w:t>ضربة</w:t>
      </w:r>
      <w:r w:rsidRPr="00E04555">
        <w:rPr>
          <w:sz w:val="30"/>
          <w:rtl/>
          <w:lang/>
        </w:rPr>
        <w:t xml:space="preserve"> </w:t>
      </w:r>
      <w:r w:rsidRPr="00E04555">
        <w:rPr>
          <w:rStyle w:val="hps"/>
          <w:sz w:val="30"/>
          <w:rtl/>
          <w:lang/>
        </w:rPr>
        <w:t>بهراوة</w:t>
      </w:r>
      <w:r w:rsidRPr="00E04555">
        <w:rPr>
          <w:sz w:val="30"/>
          <w:rtl/>
          <w:lang/>
        </w:rPr>
        <w:t xml:space="preserve"> </w:t>
      </w:r>
      <w:r w:rsidRPr="00E04555">
        <w:rPr>
          <w:rStyle w:val="hps"/>
          <w:sz w:val="30"/>
          <w:rtl/>
          <w:lang/>
        </w:rPr>
        <w:t>على الأنف</w:t>
      </w:r>
      <w:r w:rsidRPr="00E04555">
        <w:rPr>
          <w:sz w:val="30"/>
          <w:rtl/>
          <w:lang/>
        </w:rPr>
        <w:t xml:space="preserve"> </w:t>
      </w:r>
      <w:r w:rsidRPr="00E04555">
        <w:rPr>
          <w:rStyle w:val="hps"/>
          <w:sz w:val="30"/>
          <w:rtl/>
          <w:lang/>
        </w:rPr>
        <w:t>أثناء</w:t>
      </w:r>
      <w:r w:rsidRPr="00E04555">
        <w:rPr>
          <w:sz w:val="30"/>
          <w:rtl/>
          <w:lang/>
        </w:rPr>
        <w:t xml:space="preserve"> </w:t>
      </w:r>
      <w:r w:rsidRPr="00E04555">
        <w:rPr>
          <w:rStyle w:val="hps"/>
          <w:rFonts w:hint="cs"/>
          <w:sz w:val="30"/>
          <w:rtl/>
          <w:lang/>
        </w:rPr>
        <w:t>إلقاء القبض عليه</w:t>
      </w:r>
      <w:r w:rsidRPr="00E04555">
        <w:rPr>
          <w:sz w:val="30"/>
          <w:rtl/>
          <w:lang/>
        </w:rPr>
        <w:t xml:space="preserve">، </w:t>
      </w:r>
      <w:r w:rsidRPr="00E04555">
        <w:rPr>
          <w:rStyle w:val="hps"/>
          <w:rFonts w:hint="cs"/>
          <w:sz w:val="30"/>
          <w:rtl/>
          <w:lang/>
        </w:rPr>
        <w:t>وأنه استجوب</w:t>
      </w:r>
      <w:r w:rsidRPr="00E04555">
        <w:rPr>
          <w:sz w:val="30"/>
          <w:rtl/>
          <w:lang/>
        </w:rPr>
        <w:t xml:space="preserve"> </w:t>
      </w:r>
      <w:r w:rsidRPr="00E04555">
        <w:rPr>
          <w:rStyle w:val="hps"/>
          <w:sz w:val="30"/>
          <w:rtl/>
          <w:lang/>
        </w:rPr>
        <w:t>مرة واحدة خلال</w:t>
      </w:r>
      <w:r w:rsidRPr="00E04555">
        <w:rPr>
          <w:sz w:val="30"/>
          <w:rtl/>
          <w:lang/>
        </w:rPr>
        <w:t xml:space="preserve"> </w:t>
      </w:r>
      <w:r w:rsidRPr="00E04555">
        <w:rPr>
          <w:rStyle w:val="hps"/>
          <w:sz w:val="30"/>
          <w:rtl/>
          <w:lang/>
        </w:rPr>
        <w:t xml:space="preserve">اعتقاله، </w:t>
      </w:r>
      <w:r w:rsidRPr="00E04555">
        <w:rPr>
          <w:rStyle w:val="hps"/>
          <w:rFonts w:hint="cs"/>
          <w:sz w:val="30"/>
          <w:rtl/>
          <w:lang/>
        </w:rPr>
        <w:t>وتعرض لتهديد</w:t>
      </w:r>
      <w:r w:rsidRPr="00E04555">
        <w:rPr>
          <w:sz w:val="30"/>
          <w:rtl/>
          <w:lang/>
        </w:rPr>
        <w:t xml:space="preserve"> </w:t>
      </w:r>
      <w:r w:rsidRPr="00E04555">
        <w:rPr>
          <w:rStyle w:val="hps"/>
          <w:sz w:val="30"/>
          <w:rtl/>
          <w:lang/>
        </w:rPr>
        <w:t>لفظي</w:t>
      </w:r>
      <w:r w:rsidRPr="00E04555">
        <w:rPr>
          <w:sz w:val="30"/>
          <w:rtl/>
          <w:lang/>
        </w:rPr>
        <w:t xml:space="preserve">، </w:t>
      </w:r>
      <w:r w:rsidRPr="00E04555">
        <w:rPr>
          <w:rStyle w:val="hps"/>
          <w:rFonts w:hint="cs"/>
          <w:sz w:val="30"/>
          <w:rtl/>
          <w:lang/>
        </w:rPr>
        <w:t>و</w:t>
      </w:r>
      <w:r w:rsidRPr="00E04555">
        <w:rPr>
          <w:rStyle w:val="hps"/>
          <w:sz w:val="30"/>
          <w:rtl/>
          <w:lang/>
        </w:rPr>
        <w:t>أطلق سراحه</w:t>
      </w:r>
      <w:r w:rsidRPr="00E04555">
        <w:rPr>
          <w:sz w:val="30"/>
          <w:rtl/>
          <w:lang/>
        </w:rPr>
        <w:t xml:space="preserve"> </w:t>
      </w:r>
      <w:r w:rsidRPr="00E04555">
        <w:rPr>
          <w:rStyle w:val="hps"/>
          <w:sz w:val="30"/>
          <w:rtl/>
          <w:lang/>
        </w:rPr>
        <w:t xml:space="preserve">يوم 30 </w:t>
      </w:r>
      <w:r w:rsidRPr="00E04555">
        <w:rPr>
          <w:rStyle w:val="hps"/>
          <w:rFonts w:hint="cs"/>
          <w:sz w:val="30"/>
          <w:rtl/>
          <w:lang/>
        </w:rPr>
        <w:t>حزيران/يونيه</w:t>
      </w:r>
      <w:r w:rsidRPr="00E04555">
        <w:rPr>
          <w:sz w:val="30"/>
          <w:rtl/>
          <w:lang/>
        </w:rPr>
        <w:t xml:space="preserve"> </w:t>
      </w:r>
      <w:r w:rsidRPr="00E04555">
        <w:rPr>
          <w:rStyle w:val="hps"/>
          <w:sz w:val="30"/>
          <w:rtl/>
          <w:lang/>
        </w:rPr>
        <w:t>2009 بعد</w:t>
      </w:r>
      <w:r w:rsidRPr="00E04555">
        <w:rPr>
          <w:rStyle w:val="hps"/>
          <w:rFonts w:hint="cs"/>
          <w:sz w:val="30"/>
          <w:rtl/>
          <w:lang/>
        </w:rPr>
        <w:t xml:space="preserve"> أن أمضى</w:t>
      </w:r>
      <w:r w:rsidRPr="00E04555">
        <w:rPr>
          <w:sz w:val="30"/>
          <w:rtl/>
          <w:lang/>
        </w:rPr>
        <w:t xml:space="preserve"> </w:t>
      </w:r>
      <w:r w:rsidRPr="00E04555">
        <w:rPr>
          <w:rStyle w:val="hps"/>
          <w:sz w:val="30"/>
          <w:rtl/>
          <w:lang/>
        </w:rPr>
        <w:t>40 يوما</w:t>
      </w:r>
      <w:r w:rsidRPr="00E04555">
        <w:rPr>
          <w:rStyle w:val="hps"/>
          <w:rFonts w:hint="cs"/>
          <w:sz w:val="30"/>
          <w:rtl/>
          <w:lang/>
        </w:rPr>
        <w:t>ً</w:t>
      </w:r>
      <w:r w:rsidRPr="00E04555">
        <w:rPr>
          <w:sz w:val="30"/>
          <w:rtl/>
          <w:lang/>
        </w:rPr>
        <w:t xml:space="preserve"> </w:t>
      </w:r>
      <w:r w:rsidRPr="00E04555">
        <w:rPr>
          <w:rStyle w:val="hps"/>
          <w:sz w:val="30"/>
          <w:rtl/>
          <w:lang/>
        </w:rPr>
        <w:t>في</w:t>
      </w:r>
      <w:r w:rsidRPr="00E04555">
        <w:rPr>
          <w:sz w:val="30"/>
          <w:rtl/>
          <w:lang/>
        </w:rPr>
        <w:t xml:space="preserve"> </w:t>
      </w:r>
      <w:r w:rsidRPr="00E04555">
        <w:rPr>
          <w:rStyle w:val="hps"/>
          <w:sz w:val="30"/>
          <w:rtl/>
          <w:lang/>
        </w:rPr>
        <w:t>ال</w:t>
      </w:r>
      <w:r w:rsidRPr="00E04555">
        <w:rPr>
          <w:rStyle w:val="hps"/>
          <w:rFonts w:hint="cs"/>
          <w:sz w:val="30"/>
          <w:rtl/>
          <w:lang/>
        </w:rPr>
        <w:t>سجن</w:t>
      </w:r>
      <w:r w:rsidRPr="00E04555">
        <w:rPr>
          <w:sz w:val="30"/>
          <w:rtl/>
          <w:lang/>
        </w:rPr>
        <w:t xml:space="preserve">، </w:t>
      </w:r>
      <w:r w:rsidRPr="00E04555">
        <w:rPr>
          <w:rFonts w:hint="cs"/>
          <w:sz w:val="30"/>
          <w:rtl/>
          <w:lang/>
        </w:rPr>
        <w:t>و</w:t>
      </w:r>
      <w:r w:rsidRPr="00E04555">
        <w:rPr>
          <w:rStyle w:val="hps"/>
          <w:sz w:val="30"/>
          <w:rtl/>
          <w:lang/>
        </w:rPr>
        <w:t>أنه</w:t>
      </w:r>
      <w:r w:rsidRPr="00E04555">
        <w:rPr>
          <w:rStyle w:val="hps"/>
          <w:rFonts w:hint="cs"/>
          <w:sz w:val="30"/>
          <w:rtl/>
          <w:lang/>
        </w:rPr>
        <w:t xml:space="preserve"> قد اعتقل</w:t>
      </w:r>
      <w:r w:rsidRPr="00E04555">
        <w:rPr>
          <w:rStyle w:val="hps"/>
          <w:sz w:val="30"/>
          <w:rtl/>
          <w:lang/>
        </w:rPr>
        <w:t xml:space="preserve"> من جديد</w:t>
      </w:r>
      <w:r w:rsidRPr="00E04555">
        <w:rPr>
          <w:sz w:val="30"/>
          <w:rtl/>
          <w:lang/>
        </w:rPr>
        <w:t xml:space="preserve"> </w:t>
      </w:r>
      <w:r w:rsidRPr="00E04555">
        <w:rPr>
          <w:rStyle w:val="hps"/>
          <w:rFonts w:hint="cs"/>
          <w:sz w:val="30"/>
          <w:rtl/>
          <w:lang/>
        </w:rPr>
        <w:t>ليلة</w:t>
      </w:r>
      <w:r w:rsidRPr="00E04555">
        <w:rPr>
          <w:sz w:val="30"/>
          <w:rtl/>
          <w:lang/>
        </w:rPr>
        <w:t xml:space="preserve"> </w:t>
      </w:r>
      <w:r w:rsidRPr="00E04555">
        <w:rPr>
          <w:rStyle w:val="hps"/>
          <w:sz w:val="30"/>
          <w:rtl/>
          <w:lang/>
        </w:rPr>
        <w:t xml:space="preserve">6 </w:t>
      </w:r>
      <w:r w:rsidRPr="00E04555">
        <w:rPr>
          <w:rStyle w:val="hps"/>
          <w:rFonts w:hint="cs"/>
          <w:sz w:val="30"/>
          <w:rtl/>
          <w:lang/>
        </w:rPr>
        <w:t>تموز/يوليه</w:t>
      </w:r>
      <w:r w:rsidRPr="00E04555">
        <w:rPr>
          <w:rStyle w:val="hps"/>
          <w:sz w:val="30"/>
          <w:rtl/>
          <w:lang/>
        </w:rPr>
        <w:t xml:space="preserve"> 2009</w:t>
      </w:r>
      <w:r w:rsidRPr="00E04555">
        <w:rPr>
          <w:sz w:val="30"/>
          <w:rtl/>
          <w:lang/>
        </w:rPr>
        <w:t xml:space="preserve"> </w:t>
      </w:r>
      <w:r w:rsidRPr="00E04555">
        <w:rPr>
          <w:rStyle w:val="hps"/>
          <w:sz w:val="30"/>
          <w:rtl/>
          <w:lang/>
        </w:rPr>
        <w:t>عشية</w:t>
      </w:r>
      <w:r w:rsidRPr="00E04555">
        <w:rPr>
          <w:rStyle w:val="hps"/>
          <w:rFonts w:hint="cs"/>
          <w:sz w:val="30"/>
          <w:rtl/>
          <w:lang/>
        </w:rPr>
        <w:t xml:space="preserve"> تنظيم</w:t>
      </w:r>
      <w:r w:rsidRPr="00E04555">
        <w:rPr>
          <w:sz w:val="30"/>
          <w:rtl/>
          <w:lang/>
        </w:rPr>
        <w:t xml:space="preserve"> </w:t>
      </w:r>
      <w:r w:rsidRPr="00E04555">
        <w:rPr>
          <w:rStyle w:val="hps"/>
          <w:sz w:val="30"/>
          <w:rtl/>
          <w:lang/>
        </w:rPr>
        <w:t>مظاهرة أخرى</w:t>
      </w:r>
      <w:r w:rsidRPr="00E04555">
        <w:rPr>
          <w:sz w:val="30"/>
          <w:rtl/>
          <w:lang/>
        </w:rPr>
        <w:t xml:space="preserve">، </w:t>
      </w:r>
      <w:r w:rsidRPr="00E04555">
        <w:rPr>
          <w:rStyle w:val="hps"/>
          <w:rFonts w:hint="cs"/>
          <w:sz w:val="30"/>
          <w:rtl/>
          <w:lang/>
        </w:rPr>
        <w:t>وأن</w:t>
      </w:r>
      <w:r w:rsidRPr="00E04555">
        <w:rPr>
          <w:sz w:val="30"/>
          <w:rtl/>
          <w:lang/>
        </w:rPr>
        <w:t xml:space="preserve"> </w:t>
      </w:r>
      <w:r w:rsidRPr="00E04555">
        <w:rPr>
          <w:rStyle w:val="hps"/>
          <w:rFonts w:hint="cs"/>
          <w:sz w:val="30"/>
          <w:rtl/>
          <w:lang/>
        </w:rPr>
        <w:t>موظفي</w:t>
      </w:r>
      <w:r w:rsidRPr="00E04555">
        <w:rPr>
          <w:sz w:val="30"/>
          <w:rtl/>
          <w:lang/>
        </w:rPr>
        <w:t xml:space="preserve"> </w:t>
      </w:r>
      <w:r w:rsidRPr="00E04555">
        <w:rPr>
          <w:rStyle w:val="hps"/>
          <w:sz w:val="30"/>
          <w:rtl/>
          <w:lang/>
        </w:rPr>
        <w:t>جهاز الأمن</w:t>
      </w:r>
      <w:r w:rsidRPr="00E04555">
        <w:rPr>
          <w:rStyle w:val="hps"/>
          <w:rFonts w:hint="cs"/>
          <w:sz w:val="30"/>
          <w:rtl/>
          <w:lang/>
        </w:rPr>
        <w:t xml:space="preserve"> قد بحثوا عنه</w:t>
      </w:r>
      <w:r w:rsidRPr="00E04555">
        <w:rPr>
          <w:sz w:val="30"/>
          <w:rtl/>
          <w:lang/>
        </w:rPr>
        <w:t xml:space="preserve"> </w:t>
      </w:r>
      <w:r w:rsidRPr="00E04555">
        <w:rPr>
          <w:rStyle w:val="hps"/>
          <w:sz w:val="30"/>
          <w:rtl/>
          <w:lang/>
        </w:rPr>
        <w:t>في منزله</w:t>
      </w:r>
      <w:r w:rsidRPr="00E04555">
        <w:rPr>
          <w:sz w:val="30"/>
          <w:rtl/>
          <w:lang/>
        </w:rPr>
        <w:t xml:space="preserve"> </w:t>
      </w:r>
      <w:r w:rsidRPr="00E04555">
        <w:rPr>
          <w:rStyle w:val="hps"/>
          <w:sz w:val="30"/>
          <w:rtl/>
          <w:lang/>
        </w:rPr>
        <w:t>في 12 كانون الثاني</w:t>
      </w:r>
      <w:r w:rsidRPr="00E04555">
        <w:rPr>
          <w:rStyle w:val="hps"/>
          <w:rFonts w:hint="cs"/>
          <w:sz w:val="30"/>
          <w:rtl/>
          <w:lang/>
        </w:rPr>
        <w:t>/يناير</w:t>
      </w:r>
      <w:r w:rsidRPr="00E04555">
        <w:rPr>
          <w:sz w:val="30"/>
          <w:rtl/>
          <w:lang/>
        </w:rPr>
        <w:t xml:space="preserve"> </w:t>
      </w:r>
      <w:r w:rsidRPr="00E04555">
        <w:rPr>
          <w:rStyle w:val="hps"/>
          <w:sz w:val="30"/>
          <w:rtl/>
          <w:lang/>
        </w:rPr>
        <w:t>2010، واست</w:t>
      </w:r>
      <w:r w:rsidRPr="00E04555">
        <w:rPr>
          <w:rStyle w:val="hps"/>
          <w:rFonts w:hint="cs"/>
          <w:sz w:val="30"/>
          <w:rtl/>
          <w:lang/>
        </w:rPr>
        <w:t>ُ</w:t>
      </w:r>
      <w:r w:rsidRPr="00E04555">
        <w:rPr>
          <w:rStyle w:val="hps"/>
          <w:sz w:val="30"/>
          <w:rtl/>
          <w:lang/>
        </w:rPr>
        <w:t>دع</w:t>
      </w:r>
      <w:r w:rsidRPr="00E04555">
        <w:rPr>
          <w:rStyle w:val="hps"/>
          <w:rFonts w:hint="cs"/>
          <w:sz w:val="30"/>
          <w:rtl/>
          <w:lang/>
        </w:rPr>
        <w:t>ي</w:t>
      </w:r>
      <w:r w:rsidRPr="00E04555">
        <w:rPr>
          <w:sz w:val="30"/>
          <w:rtl/>
          <w:lang/>
        </w:rPr>
        <w:t xml:space="preserve"> </w:t>
      </w:r>
      <w:r w:rsidRPr="00E04555">
        <w:rPr>
          <w:rStyle w:val="hps"/>
          <w:rFonts w:hint="cs"/>
          <w:sz w:val="30"/>
          <w:rtl/>
          <w:lang/>
        </w:rPr>
        <w:t>إلى</w:t>
      </w:r>
      <w:r w:rsidRPr="00E04555">
        <w:rPr>
          <w:rStyle w:val="hps"/>
          <w:sz w:val="30"/>
          <w:rtl/>
          <w:lang/>
        </w:rPr>
        <w:t xml:space="preserve"> مركز</w:t>
      </w:r>
      <w:r w:rsidRPr="00E04555">
        <w:rPr>
          <w:sz w:val="30"/>
          <w:rtl/>
          <w:lang/>
        </w:rPr>
        <w:t xml:space="preserve"> </w:t>
      </w:r>
      <w:r w:rsidRPr="00E04555">
        <w:rPr>
          <w:rStyle w:val="hps"/>
          <w:rFonts w:hint="cs"/>
          <w:sz w:val="30"/>
          <w:rtl/>
          <w:lang/>
        </w:rPr>
        <w:t>شرطة البريقة</w:t>
      </w:r>
      <w:r w:rsidRPr="00E04555">
        <w:rPr>
          <w:sz w:val="30"/>
          <w:rtl/>
          <w:lang/>
        </w:rPr>
        <w:t xml:space="preserve">، </w:t>
      </w:r>
      <w:r w:rsidRPr="00E04555">
        <w:rPr>
          <w:rStyle w:val="hps"/>
          <w:sz w:val="30"/>
          <w:rtl/>
          <w:lang/>
        </w:rPr>
        <w:t xml:space="preserve">حيث </w:t>
      </w:r>
      <w:r w:rsidRPr="00E04555">
        <w:rPr>
          <w:rStyle w:val="hps"/>
          <w:rFonts w:hint="cs"/>
          <w:sz w:val="30"/>
          <w:rtl/>
          <w:lang/>
        </w:rPr>
        <w:t>احتجز</w:t>
      </w:r>
      <w:r w:rsidRPr="00E04555">
        <w:rPr>
          <w:sz w:val="30"/>
          <w:rtl/>
          <w:lang/>
        </w:rPr>
        <w:t xml:space="preserve"> </w:t>
      </w:r>
      <w:r w:rsidRPr="00E04555">
        <w:rPr>
          <w:rStyle w:val="hps"/>
          <w:sz w:val="30"/>
          <w:rtl/>
          <w:lang/>
        </w:rPr>
        <w:t>لمدة 24 ساعة</w:t>
      </w:r>
      <w:r w:rsidRPr="00E04555">
        <w:rPr>
          <w:sz w:val="30"/>
          <w:rtl/>
          <w:lang/>
        </w:rPr>
        <w:t xml:space="preserve"> </w:t>
      </w:r>
      <w:r w:rsidRPr="00E04555">
        <w:rPr>
          <w:rStyle w:val="hps"/>
          <w:sz w:val="30"/>
          <w:rtl/>
          <w:lang/>
        </w:rPr>
        <w:t>و</w:t>
      </w:r>
      <w:r w:rsidRPr="00E04555">
        <w:rPr>
          <w:rStyle w:val="hps"/>
          <w:rFonts w:hint="cs"/>
          <w:sz w:val="30"/>
          <w:rtl/>
          <w:lang/>
        </w:rPr>
        <w:t>تعرض للتهديد.</w:t>
      </w:r>
    </w:p>
    <w:p w:rsidR="00091373" w:rsidRPr="00E04555" w:rsidRDefault="00091373" w:rsidP="00091373">
      <w:pPr>
        <w:pStyle w:val="SingleTxtGA"/>
        <w:rPr>
          <w:sz w:val="30"/>
          <w:rtl/>
          <w:lang/>
        </w:rPr>
      </w:pPr>
      <w:r w:rsidRPr="00E04555">
        <w:rPr>
          <w:sz w:val="30"/>
          <w:rtl/>
          <w:lang w:val="fr-CH"/>
        </w:rPr>
        <w:t>4-5</w:t>
      </w:r>
      <w:r w:rsidRPr="00E04555">
        <w:rPr>
          <w:sz w:val="30"/>
          <w:rtl/>
          <w:lang w:val="fr-CH"/>
        </w:rPr>
        <w:tab/>
      </w:r>
      <w:r w:rsidRPr="00E04555">
        <w:rPr>
          <w:rStyle w:val="hps"/>
          <w:rFonts w:hint="cs"/>
          <w:sz w:val="30"/>
          <w:rtl/>
          <w:lang/>
        </w:rPr>
        <w:t>وفيما يتعلق بالشهادة الصادرة عن</w:t>
      </w:r>
      <w:r w:rsidRPr="00E04555">
        <w:rPr>
          <w:rStyle w:val="hps"/>
          <w:sz w:val="30"/>
          <w:rtl/>
          <w:lang/>
        </w:rPr>
        <w:t xml:space="preserve"> التجمع الديمقراطي الجنوبي</w:t>
      </w:r>
      <w:r w:rsidRPr="00E04555">
        <w:rPr>
          <w:sz w:val="30"/>
          <w:rtl/>
          <w:lang/>
        </w:rPr>
        <w:t xml:space="preserve"> </w:t>
      </w:r>
      <w:r w:rsidRPr="00E04555">
        <w:rPr>
          <w:rStyle w:val="hps"/>
          <w:sz w:val="30"/>
          <w:rtl/>
          <w:lang/>
        </w:rPr>
        <w:t>في 22 كانون الثاني</w:t>
      </w:r>
      <w:r w:rsidRPr="00E04555">
        <w:rPr>
          <w:rStyle w:val="hps"/>
          <w:rFonts w:hint="cs"/>
          <w:sz w:val="30"/>
          <w:rtl/>
          <w:lang/>
        </w:rPr>
        <w:t>/يناير</w:t>
      </w:r>
      <w:r w:rsidRPr="00E04555">
        <w:rPr>
          <w:sz w:val="30"/>
          <w:rtl/>
          <w:lang/>
        </w:rPr>
        <w:t xml:space="preserve"> </w:t>
      </w:r>
      <w:r w:rsidRPr="00E04555">
        <w:rPr>
          <w:rStyle w:val="hps"/>
          <w:sz w:val="30"/>
          <w:rtl/>
          <w:lang/>
        </w:rPr>
        <w:t>2011 (انظر</w:t>
      </w:r>
      <w:r w:rsidRPr="00E04555">
        <w:rPr>
          <w:sz w:val="30"/>
          <w:rtl/>
          <w:lang/>
        </w:rPr>
        <w:t xml:space="preserve"> </w:t>
      </w:r>
      <w:r w:rsidRPr="00E04555">
        <w:rPr>
          <w:rStyle w:val="hps"/>
          <w:sz w:val="30"/>
          <w:rtl/>
          <w:lang/>
        </w:rPr>
        <w:t>الفقرة</w:t>
      </w:r>
      <w:r w:rsidRPr="00E04555">
        <w:rPr>
          <w:sz w:val="30"/>
          <w:rtl/>
          <w:lang/>
        </w:rPr>
        <w:t xml:space="preserve"> </w:t>
      </w:r>
      <w:r w:rsidRPr="00E04555">
        <w:rPr>
          <w:rStyle w:val="hps"/>
          <w:sz w:val="30"/>
          <w:rtl/>
          <w:lang/>
        </w:rPr>
        <w:t>2</w:t>
      </w:r>
      <w:r w:rsidRPr="00E04555">
        <w:rPr>
          <w:rStyle w:val="hps"/>
          <w:rFonts w:hint="cs"/>
          <w:sz w:val="30"/>
          <w:rtl/>
          <w:lang/>
        </w:rPr>
        <w:t>-</w:t>
      </w:r>
      <w:r w:rsidRPr="00E04555">
        <w:rPr>
          <w:rStyle w:val="hps"/>
          <w:sz w:val="30"/>
          <w:rtl/>
          <w:lang/>
        </w:rPr>
        <w:t>9</w:t>
      </w:r>
      <w:r w:rsidRPr="00E04555">
        <w:rPr>
          <w:sz w:val="30"/>
          <w:rtl/>
          <w:lang/>
        </w:rPr>
        <w:t xml:space="preserve"> </w:t>
      </w:r>
      <w:r w:rsidRPr="00E04555">
        <w:rPr>
          <w:rStyle w:val="hps"/>
          <w:sz w:val="30"/>
          <w:rtl/>
          <w:lang/>
        </w:rPr>
        <w:t>أعلاه)</w:t>
      </w:r>
      <w:r w:rsidRPr="00E04555">
        <w:rPr>
          <w:sz w:val="30"/>
          <w:rtl/>
          <w:lang/>
        </w:rPr>
        <w:t xml:space="preserve">، </w:t>
      </w:r>
      <w:r w:rsidRPr="00E04555">
        <w:rPr>
          <w:rStyle w:val="hps"/>
          <w:sz w:val="30"/>
          <w:rtl/>
          <w:lang/>
        </w:rPr>
        <w:t>تؤكد الدولة الطرف</w:t>
      </w:r>
      <w:r w:rsidRPr="00E04555">
        <w:rPr>
          <w:sz w:val="30"/>
          <w:rtl/>
          <w:lang/>
        </w:rPr>
        <w:t xml:space="preserve"> </w:t>
      </w:r>
      <w:r w:rsidRPr="00E04555">
        <w:rPr>
          <w:rStyle w:val="hps"/>
          <w:rFonts w:hint="cs"/>
          <w:sz w:val="30"/>
          <w:rtl/>
          <w:lang/>
        </w:rPr>
        <w:t>أنها ليست شهادة قاطعة</w:t>
      </w:r>
      <w:r w:rsidRPr="00E04555">
        <w:rPr>
          <w:sz w:val="30"/>
          <w:rtl/>
          <w:lang/>
        </w:rPr>
        <w:t xml:space="preserve">، </w:t>
      </w:r>
      <w:r w:rsidRPr="00E04555">
        <w:rPr>
          <w:rStyle w:val="hps"/>
          <w:rFonts w:hint="cs"/>
          <w:sz w:val="30"/>
          <w:rtl/>
          <w:lang/>
        </w:rPr>
        <w:t>بالنظر إلى أنها لا</w:t>
      </w:r>
      <w:r w:rsidRPr="00E04555">
        <w:rPr>
          <w:rStyle w:val="hps"/>
          <w:sz w:val="30"/>
          <w:rtl/>
          <w:lang/>
        </w:rPr>
        <w:t> </w:t>
      </w:r>
      <w:r w:rsidRPr="00E04555">
        <w:rPr>
          <w:rStyle w:val="hps"/>
          <w:rFonts w:hint="cs"/>
          <w:sz w:val="30"/>
          <w:rtl/>
          <w:lang/>
        </w:rPr>
        <w:t>تتضمن</w:t>
      </w:r>
      <w:r w:rsidRPr="00E04555">
        <w:rPr>
          <w:sz w:val="30"/>
          <w:rtl/>
          <w:lang/>
        </w:rPr>
        <w:t xml:space="preserve"> </w:t>
      </w:r>
      <w:r w:rsidRPr="00E04555">
        <w:rPr>
          <w:rStyle w:val="hps"/>
          <w:sz w:val="30"/>
          <w:rtl/>
          <w:lang/>
        </w:rPr>
        <w:t>أي</w:t>
      </w:r>
      <w:r w:rsidRPr="00E04555">
        <w:rPr>
          <w:rStyle w:val="hps"/>
          <w:rFonts w:hint="cs"/>
          <w:sz w:val="30"/>
          <w:rtl/>
          <w:lang/>
        </w:rPr>
        <w:t>ة</w:t>
      </w:r>
      <w:r w:rsidRPr="00E04555">
        <w:rPr>
          <w:rStyle w:val="hps"/>
          <w:sz w:val="30"/>
          <w:rtl/>
          <w:lang/>
        </w:rPr>
        <w:t xml:space="preserve"> إشارة إلى</w:t>
      </w:r>
      <w:r w:rsidRPr="00E04555">
        <w:rPr>
          <w:sz w:val="30"/>
          <w:rtl/>
          <w:lang/>
        </w:rPr>
        <w:t xml:space="preserve"> </w:t>
      </w:r>
      <w:r w:rsidRPr="00E04555">
        <w:rPr>
          <w:rStyle w:val="hps"/>
          <w:sz w:val="30"/>
          <w:rtl/>
          <w:lang/>
        </w:rPr>
        <w:t>كيفية</w:t>
      </w:r>
      <w:r w:rsidRPr="00E04555">
        <w:rPr>
          <w:rStyle w:val="hps"/>
          <w:rFonts w:hint="cs"/>
          <w:sz w:val="30"/>
          <w:rtl/>
          <w:lang/>
        </w:rPr>
        <w:t xml:space="preserve"> الحصول على</w:t>
      </w:r>
      <w:r w:rsidRPr="00E04555">
        <w:rPr>
          <w:rStyle w:val="hps"/>
          <w:sz w:val="30"/>
          <w:rtl/>
          <w:lang/>
        </w:rPr>
        <w:t xml:space="preserve"> المعلومات</w:t>
      </w:r>
      <w:r w:rsidRPr="00E04555">
        <w:rPr>
          <w:sz w:val="30"/>
          <w:rtl/>
          <w:lang/>
        </w:rPr>
        <w:t xml:space="preserve"> </w:t>
      </w:r>
      <w:r w:rsidRPr="00E04555">
        <w:rPr>
          <w:rStyle w:val="hps"/>
          <w:rFonts w:hint="cs"/>
          <w:sz w:val="30"/>
          <w:rtl/>
          <w:lang/>
        </w:rPr>
        <w:t>المتعلقة</w:t>
      </w:r>
      <w:r w:rsidRPr="00E04555">
        <w:rPr>
          <w:sz w:val="30"/>
          <w:rtl/>
          <w:lang/>
        </w:rPr>
        <w:t xml:space="preserve"> </w:t>
      </w:r>
      <w:r w:rsidRPr="00E04555">
        <w:rPr>
          <w:rFonts w:hint="cs"/>
          <w:sz w:val="30"/>
          <w:rtl/>
          <w:lang/>
        </w:rPr>
        <w:t>ب</w:t>
      </w:r>
      <w:r w:rsidRPr="00E04555">
        <w:rPr>
          <w:rStyle w:val="hps"/>
          <w:sz w:val="30"/>
          <w:rtl/>
          <w:lang/>
        </w:rPr>
        <w:t>احتجاز</w:t>
      </w:r>
      <w:r w:rsidRPr="00E04555">
        <w:rPr>
          <w:sz w:val="30"/>
          <w:rtl/>
          <w:lang/>
        </w:rPr>
        <w:t xml:space="preserve"> </w:t>
      </w:r>
      <w:r w:rsidRPr="00E04555">
        <w:rPr>
          <w:rStyle w:val="hps"/>
          <w:sz w:val="30"/>
          <w:rtl/>
          <w:lang/>
        </w:rPr>
        <w:t>صاحب ال</w:t>
      </w:r>
      <w:r w:rsidRPr="00E04555">
        <w:rPr>
          <w:rStyle w:val="hps"/>
          <w:rFonts w:hint="cs"/>
          <w:sz w:val="30"/>
          <w:rtl/>
          <w:lang/>
        </w:rPr>
        <w:t>شكوى</w:t>
      </w:r>
      <w:r w:rsidRPr="00E04555">
        <w:rPr>
          <w:rStyle w:val="hps"/>
          <w:sz w:val="30"/>
          <w:rtl/>
          <w:lang/>
        </w:rPr>
        <w:t xml:space="preserve"> الأول</w:t>
      </w:r>
      <w:r w:rsidRPr="00E04555">
        <w:rPr>
          <w:sz w:val="30"/>
          <w:rtl/>
          <w:lang/>
        </w:rPr>
        <w:t xml:space="preserve"> </w:t>
      </w:r>
      <w:r w:rsidRPr="00E04555">
        <w:rPr>
          <w:rStyle w:val="hps"/>
          <w:sz w:val="30"/>
          <w:rtl/>
          <w:lang/>
        </w:rPr>
        <w:t>و</w:t>
      </w:r>
      <w:r w:rsidRPr="00E04555">
        <w:rPr>
          <w:rStyle w:val="hps"/>
          <w:rFonts w:hint="cs"/>
          <w:sz w:val="30"/>
          <w:rtl/>
          <w:lang/>
        </w:rPr>
        <w:t xml:space="preserve">كيفية </w:t>
      </w:r>
      <w:r w:rsidRPr="00E04555">
        <w:rPr>
          <w:rStyle w:val="hps"/>
          <w:sz w:val="30"/>
          <w:rtl/>
          <w:lang/>
        </w:rPr>
        <w:t>التحقق منها.</w:t>
      </w:r>
      <w:r w:rsidRPr="00E04555">
        <w:rPr>
          <w:sz w:val="30"/>
          <w:rtl/>
          <w:lang/>
        </w:rPr>
        <w:t xml:space="preserve"> </w:t>
      </w:r>
      <w:r w:rsidRPr="00E04555">
        <w:rPr>
          <w:rStyle w:val="hps"/>
          <w:sz w:val="30"/>
          <w:rtl/>
          <w:lang/>
        </w:rPr>
        <w:t>و</w:t>
      </w:r>
      <w:r w:rsidRPr="00E04555">
        <w:rPr>
          <w:rStyle w:val="hps"/>
          <w:rFonts w:hint="cs"/>
          <w:sz w:val="30"/>
          <w:rtl/>
          <w:lang/>
        </w:rPr>
        <w:t>من ثم</w:t>
      </w:r>
      <w:r w:rsidRPr="00E04555">
        <w:rPr>
          <w:rStyle w:val="hps"/>
          <w:sz w:val="30"/>
          <w:rtl/>
          <w:lang/>
        </w:rPr>
        <w:t>، فإنه</w:t>
      </w:r>
      <w:r w:rsidRPr="00E04555">
        <w:rPr>
          <w:sz w:val="30"/>
          <w:rtl/>
          <w:lang/>
        </w:rPr>
        <w:t xml:space="preserve"> لا </w:t>
      </w:r>
      <w:r w:rsidRPr="00E04555">
        <w:rPr>
          <w:rStyle w:val="hps"/>
          <w:sz w:val="30"/>
          <w:rtl/>
          <w:lang/>
        </w:rPr>
        <w:t>يمكن استبعاد</w:t>
      </w:r>
      <w:r w:rsidRPr="00E04555">
        <w:rPr>
          <w:sz w:val="30"/>
          <w:rtl/>
          <w:lang/>
        </w:rPr>
        <w:t xml:space="preserve"> </w:t>
      </w:r>
      <w:r w:rsidRPr="00E04555">
        <w:rPr>
          <w:rStyle w:val="hps"/>
          <w:sz w:val="30"/>
          <w:rtl/>
          <w:lang/>
        </w:rPr>
        <w:t>أن هذ</w:t>
      </w:r>
      <w:r w:rsidRPr="00E04555">
        <w:rPr>
          <w:rStyle w:val="hps"/>
          <w:rFonts w:hint="cs"/>
          <w:sz w:val="30"/>
          <w:rtl/>
          <w:lang/>
        </w:rPr>
        <w:t>ه الشهادة لم</w:t>
      </w:r>
      <w:r w:rsidRPr="00E04555">
        <w:rPr>
          <w:rStyle w:val="hps"/>
          <w:sz w:val="30"/>
          <w:rtl/>
          <w:lang/>
        </w:rPr>
        <w:t> </w:t>
      </w:r>
      <w:r w:rsidRPr="00E04555">
        <w:rPr>
          <w:rStyle w:val="hps"/>
          <w:rFonts w:hint="cs"/>
          <w:sz w:val="30"/>
          <w:rtl/>
          <w:lang/>
        </w:rPr>
        <w:t>تكتب إلاّ استناداً إلى</w:t>
      </w:r>
      <w:r w:rsidRPr="00E04555">
        <w:rPr>
          <w:rStyle w:val="hps"/>
          <w:sz w:val="30"/>
          <w:rtl/>
          <w:lang/>
        </w:rPr>
        <w:t xml:space="preserve"> </w:t>
      </w:r>
      <w:r w:rsidRPr="00E04555">
        <w:rPr>
          <w:rStyle w:val="hps"/>
          <w:rFonts w:hint="cs"/>
          <w:sz w:val="30"/>
          <w:rtl/>
          <w:lang/>
        </w:rPr>
        <w:t>تصريحات</w:t>
      </w:r>
      <w:r w:rsidRPr="00E04555">
        <w:rPr>
          <w:sz w:val="30"/>
          <w:rtl/>
          <w:lang/>
        </w:rPr>
        <w:t xml:space="preserve"> </w:t>
      </w:r>
      <w:r w:rsidRPr="00E04555">
        <w:rPr>
          <w:rStyle w:val="hps"/>
          <w:sz w:val="30"/>
          <w:rtl/>
          <w:lang/>
        </w:rPr>
        <w:t>صاحب ال</w:t>
      </w:r>
      <w:r w:rsidRPr="00E04555">
        <w:rPr>
          <w:rStyle w:val="hps"/>
          <w:rFonts w:hint="cs"/>
          <w:sz w:val="30"/>
          <w:rtl/>
          <w:lang/>
        </w:rPr>
        <w:t>شكوى</w:t>
      </w:r>
      <w:r w:rsidRPr="00E04555">
        <w:rPr>
          <w:rStyle w:val="hps"/>
          <w:sz w:val="30"/>
          <w:rtl/>
          <w:lang/>
        </w:rPr>
        <w:t xml:space="preserve"> الأول</w:t>
      </w:r>
      <w:r w:rsidRPr="00E04555">
        <w:rPr>
          <w:sz w:val="30"/>
          <w:rtl/>
          <w:lang/>
        </w:rPr>
        <w:t>.</w:t>
      </w:r>
    </w:p>
    <w:p w:rsidR="00091373" w:rsidRPr="00E04555" w:rsidRDefault="00091373" w:rsidP="00091373">
      <w:pPr>
        <w:pStyle w:val="SingleTxtGA"/>
        <w:rPr>
          <w:sz w:val="30"/>
          <w:rtl/>
          <w:lang/>
        </w:rPr>
      </w:pPr>
      <w:r w:rsidRPr="00E04555">
        <w:rPr>
          <w:sz w:val="30"/>
          <w:rtl/>
          <w:lang w:val="fr-CH"/>
        </w:rPr>
        <w:t>4-6</w:t>
      </w:r>
      <w:r w:rsidRPr="00E04555">
        <w:rPr>
          <w:sz w:val="30"/>
          <w:rtl/>
          <w:lang w:val="fr-CH"/>
        </w:rPr>
        <w:tab/>
      </w:r>
      <w:r w:rsidRPr="00E04555">
        <w:rPr>
          <w:rStyle w:val="hps"/>
          <w:sz w:val="30"/>
          <w:rtl/>
          <w:lang/>
        </w:rPr>
        <w:t>وتشير الدولة الطرف</w:t>
      </w:r>
      <w:r w:rsidRPr="00E04555">
        <w:rPr>
          <w:sz w:val="30"/>
          <w:rtl/>
          <w:lang/>
        </w:rPr>
        <w:t xml:space="preserve"> </w:t>
      </w:r>
      <w:r w:rsidRPr="00E04555">
        <w:rPr>
          <w:rStyle w:val="hps"/>
          <w:sz w:val="30"/>
          <w:rtl/>
          <w:lang/>
        </w:rPr>
        <w:t>كذلك إلى</w:t>
      </w:r>
      <w:r w:rsidRPr="00E04555">
        <w:rPr>
          <w:rStyle w:val="hps"/>
          <w:rFonts w:hint="cs"/>
          <w:sz w:val="30"/>
          <w:rtl/>
          <w:lang/>
        </w:rPr>
        <w:t xml:space="preserve"> أن صاحب الشكوى الأول قد قدم أيضاً </w:t>
      </w:r>
      <w:r w:rsidRPr="00E04555">
        <w:rPr>
          <w:rStyle w:val="hps"/>
          <w:sz w:val="30"/>
          <w:rtl/>
          <w:lang/>
        </w:rPr>
        <w:t>شهادة</w:t>
      </w:r>
      <w:r w:rsidRPr="00E04555">
        <w:rPr>
          <w:sz w:val="30"/>
          <w:rtl/>
          <w:lang/>
        </w:rPr>
        <w:t xml:space="preserve"> </w:t>
      </w:r>
      <w:r w:rsidRPr="00E04555">
        <w:rPr>
          <w:rStyle w:val="hps"/>
          <w:sz w:val="30"/>
          <w:rtl/>
          <w:lang/>
        </w:rPr>
        <w:t>أخرى</w:t>
      </w:r>
      <w:r w:rsidRPr="00E04555">
        <w:rPr>
          <w:sz w:val="30"/>
          <w:rtl/>
          <w:lang/>
        </w:rPr>
        <w:t xml:space="preserve"> </w:t>
      </w:r>
      <w:r w:rsidRPr="00E04555">
        <w:rPr>
          <w:rStyle w:val="hps"/>
          <w:sz w:val="30"/>
          <w:rtl/>
          <w:lang/>
        </w:rPr>
        <w:t>صادرة</w:t>
      </w:r>
      <w:r w:rsidRPr="00E04555">
        <w:rPr>
          <w:sz w:val="30"/>
          <w:rtl/>
          <w:lang/>
        </w:rPr>
        <w:t xml:space="preserve"> </w:t>
      </w:r>
      <w:r w:rsidRPr="00E04555">
        <w:rPr>
          <w:rStyle w:val="hps"/>
          <w:rFonts w:hint="cs"/>
          <w:sz w:val="30"/>
          <w:rtl/>
          <w:lang/>
        </w:rPr>
        <w:t xml:space="preserve">عن </w:t>
      </w:r>
      <w:r w:rsidRPr="00E04555">
        <w:rPr>
          <w:rStyle w:val="hps"/>
          <w:sz w:val="30"/>
          <w:rtl/>
          <w:lang/>
        </w:rPr>
        <w:t>مكتب</w:t>
      </w:r>
      <w:r w:rsidRPr="00E04555">
        <w:rPr>
          <w:sz w:val="30"/>
          <w:rtl/>
          <w:lang/>
        </w:rPr>
        <w:t xml:space="preserve"> </w:t>
      </w:r>
      <w:r w:rsidRPr="00E04555">
        <w:rPr>
          <w:rStyle w:val="hps"/>
          <w:sz w:val="30"/>
          <w:rtl/>
          <w:lang/>
        </w:rPr>
        <w:t>الرئيس</w:t>
      </w:r>
      <w:r w:rsidRPr="00E04555">
        <w:rPr>
          <w:sz w:val="30"/>
          <w:rtl/>
          <w:lang/>
        </w:rPr>
        <w:t xml:space="preserve"> </w:t>
      </w:r>
      <w:r w:rsidRPr="00E04555">
        <w:rPr>
          <w:rStyle w:val="hps"/>
          <w:sz w:val="30"/>
          <w:rtl/>
          <w:lang/>
        </w:rPr>
        <w:t>السابق لجمهورية</w:t>
      </w:r>
      <w:r w:rsidRPr="00E04555">
        <w:rPr>
          <w:sz w:val="30"/>
          <w:rtl/>
          <w:lang/>
        </w:rPr>
        <w:t xml:space="preserve"> </w:t>
      </w:r>
      <w:r w:rsidRPr="00E04555">
        <w:rPr>
          <w:rStyle w:val="hps"/>
          <w:sz w:val="30"/>
          <w:rtl/>
          <w:lang/>
        </w:rPr>
        <w:t>اليمن الديمقراطية</w:t>
      </w:r>
      <w:r w:rsidRPr="00E04555">
        <w:rPr>
          <w:rStyle w:val="hps"/>
          <w:rFonts w:hint="cs"/>
          <w:sz w:val="30"/>
          <w:rtl/>
          <w:lang/>
        </w:rPr>
        <w:t xml:space="preserve"> في</w:t>
      </w:r>
      <w:r w:rsidRPr="00E04555">
        <w:rPr>
          <w:rStyle w:val="hps"/>
          <w:sz w:val="30"/>
          <w:rtl/>
          <w:lang/>
        </w:rPr>
        <w:t xml:space="preserve"> 23 </w:t>
      </w:r>
      <w:r w:rsidRPr="00E04555">
        <w:rPr>
          <w:rStyle w:val="hps"/>
          <w:rFonts w:hint="cs"/>
          <w:sz w:val="30"/>
          <w:rtl/>
          <w:lang/>
        </w:rPr>
        <w:t>كانون الثاني/</w:t>
      </w:r>
      <w:r w:rsidR="00E04555">
        <w:rPr>
          <w:rStyle w:val="hps"/>
          <w:rFonts w:hint="cs"/>
          <w:sz w:val="30"/>
          <w:rtl/>
          <w:lang/>
        </w:rPr>
        <w:t xml:space="preserve"> </w:t>
      </w:r>
      <w:r w:rsidRPr="00E04555">
        <w:rPr>
          <w:rStyle w:val="hps"/>
          <w:sz w:val="30"/>
          <w:rtl/>
          <w:lang/>
        </w:rPr>
        <w:t>يناير</w:t>
      </w:r>
      <w:r w:rsidRPr="00E04555">
        <w:rPr>
          <w:sz w:val="30"/>
          <w:rtl/>
          <w:lang/>
        </w:rPr>
        <w:t xml:space="preserve"> </w:t>
      </w:r>
      <w:r w:rsidRPr="00E04555">
        <w:rPr>
          <w:rStyle w:val="hps"/>
          <w:sz w:val="30"/>
          <w:rtl/>
          <w:lang/>
        </w:rPr>
        <w:t>2011 (انظر</w:t>
      </w:r>
      <w:r w:rsidRPr="00E04555">
        <w:rPr>
          <w:sz w:val="30"/>
          <w:rtl/>
          <w:lang/>
        </w:rPr>
        <w:t xml:space="preserve"> </w:t>
      </w:r>
      <w:r w:rsidRPr="00E04555">
        <w:rPr>
          <w:rStyle w:val="hps"/>
          <w:sz w:val="30"/>
          <w:rtl/>
          <w:lang/>
        </w:rPr>
        <w:t>الفقرة</w:t>
      </w:r>
      <w:r w:rsidRPr="00E04555">
        <w:rPr>
          <w:sz w:val="30"/>
          <w:rtl/>
          <w:lang/>
        </w:rPr>
        <w:t xml:space="preserve"> </w:t>
      </w:r>
      <w:r w:rsidRPr="00E04555">
        <w:rPr>
          <w:rStyle w:val="hps"/>
          <w:sz w:val="30"/>
          <w:rtl/>
          <w:lang/>
        </w:rPr>
        <w:t>2</w:t>
      </w:r>
      <w:r w:rsidRPr="00E04555">
        <w:rPr>
          <w:rStyle w:val="hps"/>
          <w:rFonts w:hint="cs"/>
          <w:sz w:val="30"/>
          <w:rtl/>
          <w:lang/>
        </w:rPr>
        <w:t>-</w:t>
      </w:r>
      <w:r w:rsidRPr="00E04555">
        <w:rPr>
          <w:rStyle w:val="hps"/>
          <w:sz w:val="30"/>
          <w:rtl/>
          <w:lang/>
        </w:rPr>
        <w:t>9</w:t>
      </w:r>
      <w:r w:rsidRPr="00E04555">
        <w:rPr>
          <w:sz w:val="30"/>
          <w:rtl/>
          <w:lang/>
        </w:rPr>
        <w:t xml:space="preserve"> </w:t>
      </w:r>
      <w:r w:rsidRPr="00E04555">
        <w:rPr>
          <w:rStyle w:val="hps"/>
          <w:sz w:val="30"/>
          <w:rtl/>
          <w:lang/>
        </w:rPr>
        <w:t>أعلاه)</w:t>
      </w:r>
      <w:r w:rsidRPr="00E04555">
        <w:rPr>
          <w:rStyle w:val="hps"/>
          <w:rFonts w:hint="cs"/>
          <w:sz w:val="30"/>
          <w:rtl/>
          <w:lang/>
        </w:rPr>
        <w:t xml:space="preserve"> من أجل إثبات توقيفه</w:t>
      </w:r>
      <w:r w:rsidRPr="00E04555">
        <w:rPr>
          <w:rStyle w:val="hps"/>
          <w:sz w:val="30"/>
          <w:rtl/>
          <w:lang/>
        </w:rPr>
        <w:t xml:space="preserve"> وا</w:t>
      </w:r>
      <w:r w:rsidRPr="00E04555">
        <w:rPr>
          <w:rStyle w:val="hps"/>
          <w:rFonts w:hint="cs"/>
          <w:sz w:val="30"/>
          <w:rtl/>
          <w:lang/>
        </w:rPr>
        <w:t>عتقاله</w:t>
      </w:r>
      <w:r w:rsidRPr="00E04555">
        <w:rPr>
          <w:sz w:val="30"/>
          <w:rtl/>
          <w:lang/>
        </w:rPr>
        <w:t xml:space="preserve">. </w:t>
      </w:r>
      <w:r w:rsidRPr="00E04555">
        <w:rPr>
          <w:rStyle w:val="hps"/>
          <w:sz w:val="30"/>
          <w:rtl/>
          <w:lang/>
        </w:rPr>
        <w:t>ووفقا</w:t>
      </w:r>
      <w:r w:rsidRPr="00E04555">
        <w:rPr>
          <w:rStyle w:val="hps"/>
          <w:rFonts w:hint="cs"/>
          <w:sz w:val="30"/>
          <w:rtl/>
          <w:lang/>
        </w:rPr>
        <w:t>ً</w:t>
      </w:r>
      <w:r w:rsidRPr="00E04555">
        <w:rPr>
          <w:rStyle w:val="hps"/>
          <w:sz w:val="30"/>
          <w:rtl/>
          <w:lang/>
        </w:rPr>
        <w:t xml:space="preserve"> لهذ</w:t>
      </w:r>
      <w:r w:rsidRPr="00E04555">
        <w:rPr>
          <w:rStyle w:val="hps"/>
          <w:rFonts w:hint="cs"/>
          <w:sz w:val="30"/>
          <w:rtl/>
          <w:lang/>
        </w:rPr>
        <w:t>ه ال</w:t>
      </w:r>
      <w:r w:rsidRPr="00E04555">
        <w:rPr>
          <w:rStyle w:val="hps"/>
          <w:sz w:val="30"/>
          <w:rtl/>
          <w:lang/>
        </w:rPr>
        <w:t>شهادة</w:t>
      </w:r>
      <w:r w:rsidRPr="00E04555">
        <w:rPr>
          <w:sz w:val="30"/>
          <w:rtl/>
          <w:lang/>
        </w:rPr>
        <w:t xml:space="preserve">، </w:t>
      </w:r>
      <w:r w:rsidRPr="00E04555">
        <w:rPr>
          <w:rFonts w:hint="cs"/>
          <w:sz w:val="30"/>
          <w:rtl/>
          <w:lang/>
        </w:rPr>
        <w:t>ف</w:t>
      </w:r>
      <w:r w:rsidRPr="00E04555">
        <w:rPr>
          <w:rStyle w:val="hps"/>
          <w:sz w:val="30"/>
          <w:rtl/>
          <w:lang/>
        </w:rPr>
        <w:t>صاحب الشكوى</w:t>
      </w:r>
      <w:r w:rsidRPr="00E04555">
        <w:rPr>
          <w:sz w:val="30"/>
          <w:rtl/>
          <w:lang/>
        </w:rPr>
        <w:t xml:space="preserve"> </w:t>
      </w:r>
      <w:r w:rsidRPr="00E04555">
        <w:rPr>
          <w:rStyle w:val="hps"/>
          <w:sz w:val="30"/>
          <w:rtl/>
          <w:lang/>
        </w:rPr>
        <w:t>الأول شخصية</w:t>
      </w:r>
      <w:r w:rsidRPr="00E04555">
        <w:rPr>
          <w:sz w:val="30"/>
          <w:rtl/>
          <w:lang/>
        </w:rPr>
        <w:t xml:space="preserve"> </w:t>
      </w:r>
      <w:r w:rsidRPr="00E04555">
        <w:rPr>
          <w:rStyle w:val="hps"/>
          <w:sz w:val="30"/>
          <w:rtl/>
          <w:lang/>
        </w:rPr>
        <w:t>نشطة</w:t>
      </w:r>
      <w:r w:rsidRPr="00E04555">
        <w:rPr>
          <w:sz w:val="30"/>
          <w:rtl/>
          <w:lang/>
        </w:rPr>
        <w:t xml:space="preserve"> </w:t>
      </w:r>
      <w:r w:rsidRPr="00E04555">
        <w:rPr>
          <w:rStyle w:val="hps"/>
          <w:sz w:val="30"/>
          <w:rtl/>
          <w:lang/>
        </w:rPr>
        <w:t>في</w:t>
      </w:r>
      <w:r w:rsidRPr="00E04555">
        <w:rPr>
          <w:sz w:val="30"/>
          <w:rtl/>
          <w:lang/>
        </w:rPr>
        <w:t xml:space="preserve"> </w:t>
      </w:r>
      <w:r w:rsidRPr="00E04555">
        <w:rPr>
          <w:rStyle w:val="hps"/>
          <w:sz w:val="30"/>
          <w:rtl/>
          <w:lang/>
        </w:rPr>
        <w:t>الحراك الجنوبي</w:t>
      </w:r>
      <w:r w:rsidRPr="00E04555">
        <w:rPr>
          <w:sz w:val="30"/>
          <w:rtl/>
          <w:lang/>
        </w:rPr>
        <w:t xml:space="preserve"> </w:t>
      </w:r>
      <w:r w:rsidRPr="00E04555">
        <w:rPr>
          <w:rStyle w:val="hps"/>
          <w:rFonts w:hint="cs"/>
          <w:sz w:val="30"/>
          <w:rtl/>
          <w:lang/>
        </w:rPr>
        <w:t xml:space="preserve">وهو أحد الذين </w:t>
      </w:r>
      <w:r w:rsidRPr="00E04555">
        <w:rPr>
          <w:rStyle w:val="hps"/>
          <w:sz w:val="30"/>
          <w:rtl/>
          <w:lang/>
        </w:rPr>
        <w:t>"</w:t>
      </w:r>
      <w:r w:rsidRPr="00E04555">
        <w:rPr>
          <w:sz w:val="30"/>
          <w:rtl/>
          <w:lang/>
        </w:rPr>
        <w:t xml:space="preserve">طردوا من </w:t>
      </w:r>
      <w:r w:rsidRPr="00E04555">
        <w:rPr>
          <w:rStyle w:val="hps"/>
          <w:sz w:val="30"/>
          <w:rtl/>
          <w:lang/>
        </w:rPr>
        <w:t xml:space="preserve">عملهم </w:t>
      </w:r>
      <w:r w:rsidRPr="00E04555">
        <w:rPr>
          <w:rStyle w:val="hps"/>
          <w:rFonts w:hint="cs"/>
          <w:sz w:val="30"/>
          <w:rtl/>
          <w:lang/>
        </w:rPr>
        <w:t xml:space="preserve">وممن </w:t>
      </w:r>
      <w:r w:rsidRPr="00E04555">
        <w:rPr>
          <w:sz w:val="30"/>
          <w:rtl/>
          <w:lang/>
        </w:rPr>
        <w:t xml:space="preserve">عانوا من </w:t>
      </w:r>
      <w:r w:rsidRPr="00E04555">
        <w:rPr>
          <w:rStyle w:val="hps"/>
          <w:rFonts w:hint="cs"/>
          <w:sz w:val="30"/>
          <w:rtl/>
          <w:lang/>
        </w:rPr>
        <w:t>التحيز وتعرضوا لملاحقات الشرطة،</w:t>
      </w:r>
      <w:r w:rsidRPr="00E04555">
        <w:rPr>
          <w:rStyle w:val="hps"/>
          <w:sz w:val="30"/>
          <w:rtl/>
          <w:lang/>
        </w:rPr>
        <w:t xml:space="preserve"> وكذلك </w:t>
      </w:r>
      <w:r w:rsidRPr="00E04555">
        <w:rPr>
          <w:rStyle w:val="hps"/>
          <w:rFonts w:hint="cs"/>
          <w:sz w:val="30"/>
          <w:rtl/>
          <w:lang/>
        </w:rPr>
        <w:t>للاعتقال</w:t>
      </w:r>
      <w:r w:rsidRPr="00E04555">
        <w:rPr>
          <w:sz w:val="30"/>
          <w:rtl/>
          <w:lang/>
        </w:rPr>
        <w:t xml:space="preserve"> </w:t>
      </w:r>
      <w:r w:rsidRPr="00E04555">
        <w:rPr>
          <w:rStyle w:val="hps"/>
          <w:rFonts w:hint="cs"/>
          <w:sz w:val="30"/>
          <w:rtl/>
          <w:lang/>
        </w:rPr>
        <w:t>على يد</w:t>
      </w:r>
      <w:r w:rsidRPr="00E04555">
        <w:rPr>
          <w:rStyle w:val="hps"/>
          <w:sz w:val="30"/>
          <w:rtl/>
          <w:lang/>
        </w:rPr>
        <w:t xml:space="preserve"> أجهزة</w:t>
      </w:r>
      <w:r w:rsidRPr="00E04555">
        <w:rPr>
          <w:sz w:val="30"/>
          <w:rtl/>
          <w:lang/>
        </w:rPr>
        <w:t xml:space="preserve"> </w:t>
      </w:r>
      <w:r w:rsidRPr="00E04555">
        <w:rPr>
          <w:rStyle w:val="hps"/>
          <w:sz w:val="30"/>
          <w:rtl/>
          <w:lang/>
        </w:rPr>
        <w:t>النظام</w:t>
      </w:r>
      <w:r w:rsidRPr="00E04555">
        <w:rPr>
          <w:sz w:val="30"/>
          <w:rtl/>
          <w:lang/>
        </w:rPr>
        <w:t xml:space="preserve"> </w:t>
      </w:r>
      <w:r w:rsidRPr="00E04555">
        <w:rPr>
          <w:rStyle w:val="hps"/>
          <w:sz w:val="30"/>
          <w:rtl/>
          <w:lang/>
        </w:rPr>
        <w:t>"</w:t>
      </w:r>
      <w:r w:rsidRPr="00E04555">
        <w:rPr>
          <w:sz w:val="30"/>
          <w:rtl/>
          <w:lang/>
        </w:rPr>
        <w:t>. وفي </w:t>
      </w:r>
      <w:r w:rsidRPr="00E04555">
        <w:rPr>
          <w:rStyle w:val="hps"/>
          <w:sz w:val="30"/>
          <w:rtl/>
          <w:lang/>
        </w:rPr>
        <w:t>هذا الصدد</w:t>
      </w:r>
      <w:r w:rsidRPr="00E04555">
        <w:rPr>
          <w:sz w:val="30"/>
          <w:rtl/>
          <w:lang/>
        </w:rPr>
        <w:t xml:space="preserve">، </w:t>
      </w:r>
      <w:r w:rsidRPr="00E04555">
        <w:rPr>
          <w:rStyle w:val="hps"/>
          <w:sz w:val="30"/>
          <w:rtl/>
          <w:lang/>
        </w:rPr>
        <w:t>تؤكد الدولة الطرف</w:t>
      </w:r>
      <w:r w:rsidRPr="00E04555">
        <w:rPr>
          <w:sz w:val="30"/>
          <w:rtl/>
          <w:lang/>
        </w:rPr>
        <w:t xml:space="preserve"> </w:t>
      </w:r>
      <w:r w:rsidRPr="00E04555">
        <w:rPr>
          <w:rStyle w:val="hps"/>
          <w:sz w:val="30"/>
          <w:rtl/>
          <w:lang/>
        </w:rPr>
        <w:t>أن</w:t>
      </w:r>
      <w:r w:rsidRPr="00E04555">
        <w:rPr>
          <w:rStyle w:val="hps"/>
          <w:rFonts w:hint="cs"/>
          <w:sz w:val="30"/>
          <w:rtl/>
          <w:lang/>
        </w:rPr>
        <w:t xml:space="preserve"> هذه الوثيقة أيضاً قد صيغت</w:t>
      </w:r>
      <w:r w:rsidRPr="00E04555">
        <w:rPr>
          <w:sz w:val="30"/>
          <w:rtl/>
          <w:lang/>
        </w:rPr>
        <w:t xml:space="preserve">، على غرار </w:t>
      </w:r>
      <w:r w:rsidRPr="00E04555">
        <w:rPr>
          <w:rFonts w:hint="cs"/>
          <w:sz w:val="30"/>
          <w:rtl/>
          <w:lang/>
        </w:rPr>
        <w:t>ال</w:t>
      </w:r>
      <w:r w:rsidRPr="00E04555">
        <w:rPr>
          <w:rStyle w:val="hps"/>
          <w:sz w:val="30"/>
          <w:rtl/>
          <w:lang/>
        </w:rPr>
        <w:t>شهادة</w:t>
      </w:r>
      <w:r w:rsidRPr="00E04555">
        <w:rPr>
          <w:sz w:val="30"/>
          <w:rtl/>
          <w:lang/>
        </w:rPr>
        <w:t xml:space="preserve"> </w:t>
      </w:r>
      <w:r w:rsidRPr="00E04555">
        <w:rPr>
          <w:rFonts w:hint="cs"/>
          <w:sz w:val="30"/>
          <w:rtl/>
          <w:lang/>
        </w:rPr>
        <w:t>ال</w:t>
      </w:r>
      <w:r w:rsidRPr="00E04555">
        <w:rPr>
          <w:rStyle w:val="hps"/>
          <w:sz w:val="30"/>
          <w:rtl/>
          <w:lang/>
        </w:rPr>
        <w:t>صادرة عن</w:t>
      </w:r>
      <w:r w:rsidRPr="00E04555">
        <w:rPr>
          <w:sz w:val="30"/>
          <w:rtl/>
          <w:lang/>
        </w:rPr>
        <w:t xml:space="preserve"> </w:t>
      </w:r>
      <w:r w:rsidRPr="00E04555">
        <w:rPr>
          <w:rStyle w:val="hps"/>
          <w:sz w:val="30"/>
          <w:rtl/>
          <w:lang/>
        </w:rPr>
        <w:t>التجمع الديمقراطي الجنوبي</w:t>
      </w:r>
      <w:r w:rsidRPr="00E04555">
        <w:rPr>
          <w:sz w:val="30"/>
          <w:rtl/>
          <w:lang/>
        </w:rPr>
        <w:t xml:space="preserve">، </w:t>
      </w:r>
      <w:r w:rsidRPr="00E04555">
        <w:rPr>
          <w:rStyle w:val="hps"/>
          <w:sz w:val="30"/>
          <w:rtl/>
          <w:lang/>
        </w:rPr>
        <w:t>بعبارات عامة</w:t>
      </w:r>
      <w:r w:rsidRPr="00E04555">
        <w:rPr>
          <w:sz w:val="30"/>
          <w:rtl/>
          <w:lang/>
        </w:rPr>
        <w:t xml:space="preserve"> </w:t>
      </w:r>
      <w:r w:rsidRPr="00E04555">
        <w:rPr>
          <w:rStyle w:val="hps"/>
          <w:sz w:val="30"/>
          <w:rtl/>
          <w:lang/>
        </w:rPr>
        <w:t>وأنها لا تشير إلى</w:t>
      </w:r>
      <w:r w:rsidRPr="00E04555">
        <w:rPr>
          <w:sz w:val="30"/>
          <w:rtl/>
          <w:lang/>
        </w:rPr>
        <w:t xml:space="preserve"> </w:t>
      </w:r>
      <w:r w:rsidRPr="00E04555">
        <w:rPr>
          <w:rStyle w:val="hps"/>
          <w:sz w:val="30"/>
          <w:rtl/>
          <w:lang/>
        </w:rPr>
        <w:t>مصدر هذه</w:t>
      </w:r>
      <w:r w:rsidRPr="00E04555">
        <w:rPr>
          <w:sz w:val="30"/>
          <w:rtl/>
          <w:lang/>
        </w:rPr>
        <w:t xml:space="preserve"> </w:t>
      </w:r>
      <w:r w:rsidRPr="00E04555">
        <w:rPr>
          <w:rStyle w:val="hps"/>
          <w:sz w:val="30"/>
          <w:rtl/>
          <w:lang/>
        </w:rPr>
        <w:t>المعلومات.</w:t>
      </w:r>
      <w:r w:rsidRPr="00E04555">
        <w:rPr>
          <w:sz w:val="30"/>
          <w:rtl/>
          <w:lang/>
        </w:rPr>
        <w:t xml:space="preserve"> </w:t>
      </w:r>
      <w:r w:rsidRPr="00E04555">
        <w:rPr>
          <w:rStyle w:val="hps"/>
          <w:rFonts w:hint="cs"/>
          <w:sz w:val="30"/>
          <w:rtl/>
          <w:lang/>
        </w:rPr>
        <w:t>ومن ثم</w:t>
      </w:r>
      <w:r w:rsidRPr="00E04555">
        <w:rPr>
          <w:rStyle w:val="hps"/>
          <w:sz w:val="30"/>
          <w:rtl/>
          <w:lang/>
        </w:rPr>
        <w:t>، فلا يمكن اعتبار</w:t>
      </w:r>
      <w:r w:rsidRPr="00E04555">
        <w:rPr>
          <w:rStyle w:val="hps"/>
          <w:rFonts w:hint="cs"/>
          <w:sz w:val="30"/>
          <w:rtl/>
          <w:lang/>
        </w:rPr>
        <w:t xml:space="preserve">ها ذات قيمة إثباتية يجوز معها إبطال </w:t>
      </w:r>
      <w:r w:rsidRPr="00E04555">
        <w:rPr>
          <w:rStyle w:val="hps"/>
          <w:sz w:val="30"/>
          <w:rtl/>
          <w:lang/>
        </w:rPr>
        <w:t>الاستنتاج</w:t>
      </w:r>
      <w:r w:rsidRPr="00E04555">
        <w:rPr>
          <w:sz w:val="30"/>
          <w:rtl/>
          <w:lang/>
        </w:rPr>
        <w:t xml:space="preserve"> </w:t>
      </w:r>
      <w:r w:rsidRPr="00E04555">
        <w:rPr>
          <w:rStyle w:val="hps"/>
          <w:sz w:val="30"/>
          <w:rtl/>
          <w:lang/>
        </w:rPr>
        <w:t xml:space="preserve">الذي </w:t>
      </w:r>
      <w:r w:rsidRPr="00E04555">
        <w:rPr>
          <w:rStyle w:val="hps"/>
          <w:rFonts w:hint="cs"/>
          <w:sz w:val="30"/>
          <w:rtl/>
          <w:lang/>
        </w:rPr>
        <w:t xml:space="preserve">خلصت إليه </w:t>
      </w:r>
      <w:r w:rsidRPr="00E04555">
        <w:rPr>
          <w:rStyle w:val="hps"/>
          <w:sz w:val="30"/>
          <w:rtl/>
          <w:lang/>
        </w:rPr>
        <w:t>السلطات</w:t>
      </w:r>
      <w:r w:rsidRPr="00E04555">
        <w:rPr>
          <w:rStyle w:val="hps"/>
          <w:rFonts w:hint="cs"/>
          <w:sz w:val="30"/>
          <w:rtl/>
          <w:lang/>
        </w:rPr>
        <w:t xml:space="preserve"> المعنية بمسائل</w:t>
      </w:r>
      <w:r w:rsidRPr="00E04555">
        <w:rPr>
          <w:sz w:val="30"/>
          <w:rtl/>
          <w:lang/>
        </w:rPr>
        <w:t xml:space="preserve"> </w:t>
      </w:r>
      <w:r w:rsidRPr="00E04555">
        <w:rPr>
          <w:rStyle w:val="hps"/>
          <w:sz w:val="30"/>
          <w:rtl/>
          <w:lang/>
        </w:rPr>
        <w:t>اللجوء</w:t>
      </w:r>
      <w:r w:rsidRPr="00E04555">
        <w:rPr>
          <w:sz w:val="30"/>
          <w:rtl/>
          <w:lang/>
        </w:rPr>
        <w:t xml:space="preserve"> </w:t>
      </w:r>
      <w:r w:rsidRPr="00E04555">
        <w:rPr>
          <w:rStyle w:val="hps"/>
          <w:rFonts w:hint="cs"/>
          <w:sz w:val="30"/>
          <w:rtl/>
          <w:lang/>
        </w:rPr>
        <w:t>في ا</w:t>
      </w:r>
      <w:r w:rsidRPr="00E04555">
        <w:rPr>
          <w:rStyle w:val="hps"/>
          <w:sz w:val="30"/>
          <w:rtl/>
          <w:lang/>
        </w:rPr>
        <w:t>لدولة الطرف</w:t>
      </w:r>
      <w:r w:rsidRPr="00E04555">
        <w:rPr>
          <w:sz w:val="30"/>
          <w:rtl/>
          <w:lang/>
        </w:rPr>
        <w:t xml:space="preserve"> </w:t>
      </w:r>
      <w:r w:rsidRPr="00E04555">
        <w:rPr>
          <w:rStyle w:val="hps"/>
          <w:rFonts w:hint="cs"/>
          <w:sz w:val="30"/>
          <w:rtl/>
          <w:lang/>
        </w:rPr>
        <w:t>استناداً إلى</w:t>
      </w:r>
      <w:r w:rsidRPr="00E04555">
        <w:rPr>
          <w:sz w:val="30"/>
          <w:rtl/>
          <w:lang/>
        </w:rPr>
        <w:t xml:space="preserve"> </w:t>
      </w:r>
      <w:r w:rsidRPr="00E04555">
        <w:rPr>
          <w:rStyle w:val="hps"/>
          <w:rFonts w:hint="cs"/>
          <w:sz w:val="30"/>
          <w:rtl/>
          <w:lang/>
        </w:rPr>
        <w:t>تصريحات صاحب</w:t>
      </w:r>
      <w:r w:rsidRPr="00E04555">
        <w:rPr>
          <w:rStyle w:val="hps"/>
          <w:sz w:val="30"/>
          <w:rtl/>
          <w:lang/>
        </w:rPr>
        <w:t xml:space="preserve"> الشكوى</w:t>
      </w:r>
      <w:r w:rsidRPr="00E04555">
        <w:rPr>
          <w:sz w:val="30"/>
          <w:rtl/>
          <w:lang/>
        </w:rPr>
        <w:t xml:space="preserve"> </w:t>
      </w:r>
      <w:r w:rsidRPr="00E04555">
        <w:rPr>
          <w:rStyle w:val="hps"/>
          <w:sz w:val="30"/>
          <w:rtl/>
          <w:lang/>
        </w:rPr>
        <w:t>الأول</w:t>
      </w:r>
      <w:r w:rsidRPr="00E04555">
        <w:rPr>
          <w:sz w:val="30"/>
          <w:rtl/>
          <w:lang/>
        </w:rPr>
        <w:t>.</w:t>
      </w:r>
    </w:p>
    <w:p w:rsidR="00091373" w:rsidRPr="00FA0FC2" w:rsidRDefault="00091373" w:rsidP="00091373">
      <w:pPr>
        <w:pStyle w:val="SingleTxtGA"/>
        <w:rPr>
          <w:rStyle w:val="hps"/>
          <w:sz w:val="30"/>
          <w:rtl/>
          <w:lang/>
        </w:rPr>
      </w:pPr>
      <w:r w:rsidRPr="00FA0FC2">
        <w:rPr>
          <w:sz w:val="30"/>
          <w:rtl/>
          <w:lang w:val="fr-CH"/>
        </w:rPr>
        <w:t>4-7</w:t>
      </w:r>
      <w:r w:rsidRPr="00FA0FC2">
        <w:rPr>
          <w:sz w:val="30"/>
          <w:rtl/>
          <w:lang w:val="fr-CH"/>
        </w:rPr>
        <w:tab/>
      </w:r>
      <w:r w:rsidRPr="00FA0FC2">
        <w:rPr>
          <w:rStyle w:val="hps"/>
          <w:sz w:val="30"/>
          <w:rtl/>
          <w:lang/>
        </w:rPr>
        <w:t>أما بالنسبة لل</w:t>
      </w:r>
      <w:r w:rsidRPr="00FA0FC2">
        <w:rPr>
          <w:sz w:val="30"/>
          <w:rtl/>
          <w:lang/>
        </w:rPr>
        <w:t xml:space="preserve">شهادة </w:t>
      </w:r>
      <w:r w:rsidRPr="00FA0FC2">
        <w:rPr>
          <w:rStyle w:val="hps"/>
          <w:sz w:val="30"/>
          <w:rtl/>
          <w:lang/>
        </w:rPr>
        <w:t>الصادرة</w:t>
      </w:r>
      <w:r w:rsidRPr="00FA0FC2">
        <w:rPr>
          <w:rStyle w:val="hps"/>
          <w:rFonts w:hint="cs"/>
          <w:sz w:val="30"/>
          <w:rtl/>
          <w:lang/>
        </w:rPr>
        <w:t xml:space="preserve"> عن سلطات سجن المنصورة</w:t>
      </w:r>
      <w:r w:rsidRPr="00FA0FC2">
        <w:rPr>
          <w:sz w:val="30"/>
          <w:rtl/>
          <w:lang/>
        </w:rPr>
        <w:t xml:space="preserve"> </w:t>
      </w:r>
      <w:r w:rsidRPr="00FA0FC2">
        <w:rPr>
          <w:rStyle w:val="hps"/>
          <w:sz w:val="30"/>
          <w:rtl/>
          <w:lang/>
        </w:rPr>
        <w:t>في 19 كانون الثاني</w:t>
      </w:r>
      <w:r w:rsidRPr="00FA0FC2">
        <w:rPr>
          <w:rFonts w:hint="cs"/>
          <w:sz w:val="30"/>
          <w:rtl/>
          <w:lang/>
        </w:rPr>
        <w:t>/يناير</w:t>
      </w:r>
      <w:r w:rsidRPr="00FA0FC2">
        <w:rPr>
          <w:rFonts w:hint="eastAsia"/>
          <w:sz w:val="30"/>
          <w:rtl/>
          <w:lang/>
        </w:rPr>
        <w:t> </w:t>
      </w:r>
      <w:r w:rsidRPr="00FA0FC2">
        <w:rPr>
          <w:rStyle w:val="hps"/>
          <w:sz w:val="30"/>
          <w:rtl/>
          <w:lang/>
        </w:rPr>
        <w:t>2011 (انظر</w:t>
      </w:r>
      <w:r w:rsidRPr="00FA0FC2">
        <w:rPr>
          <w:sz w:val="30"/>
          <w:rtl/>
          <w:lang/>
        </w:rPr>
        <w:t xml:space="preserve"> </w:t>
      </w:r>
      <w:r w:rsidRPr="00FA0FC2">
        <w:rPr>
          <w:rStyle w:val="hps"/>
          <w:sz w:val="30"/>
          <w:rtl/>
          <w:lang/>
        </w:rPr>
        <w:t>الفقرة</w:t>
      </w:r>
      <w:r w:rsidRPr="00FA0FC2">
        <w:rPr>
          <w:sz w:val="30"/>
          <w:rtl/>
          <w:lang/>
        </w:rPr>
        <w:t xml:space="preserve"> </w:t>
      </w:r>
      <w:r w:rsidRPr="00FA0FC2">
        <w:rPr>
          <w:rStyle w:val="hps"/>
          <w:sz w:val="30"/>
          <w:rtl/>
          <w:lang/>
        </w:rPr>
        <w:t>2</w:t>
      </w:r>
      <w:r w:rsidRPr="00FA0FC2">
        <w:rPr>
          <w:rStyle w:val="hps"/>
          <w:rFonts w:hint="cs"/>
          <w:sz w:val="30"/>
          <w:rtl/>
          <w:lang/>
        </w:rPr>
        <w:t>-</w:t>
      </w:r>
      <w:r w:rsidRPr="00FA0FC2">
        <w:rPr>
          <w:rStyle w:val="hps"/>
          <w:sz w:val="30"/>
          <w:rtl/>
          <w:lang/>
        </w:rPr>
        <w:t>9</w:t>
      </w:r>
      <w:r w:rsidRPr="00FA0FC2">
        <w:rPr>
          <w:sz w:val="30"/>
          <w:rtl/>
          <w:lang/>
        </w:rPr>
        <w:t xml:space="preserve"> </w:t>
      </w:r>
      <w:r w:rsidRPr="00FA0FC2">
        <w:rPr>
          <w:rStyle w:val="hps"/>
          <w:sz w:val="30"/>
          <w:rtl/>
          <w:lang/>
        </w:rPr>
        <w:t>أعلاه)</w:t>
      </w:r>
      <w:r w:rsidRPr="00FA0FC2">
        <w:rPr>
          <w:sz w:val="30"/>
          <w:rtl/>
          <w:lang/>
        </w:rPr>
        <w:t xml:space="preserve">، </w:t>
      </w:r>
      <w:r w:rsidRPr="00FA0FC2">
        <w:rPr>
          <w:rStyle w:val="hps"/>
          <w:rFonts w:hint="cs"/>
          <w:sz w:val="30"/>
          <w:rtl/>
          <w:lang/>
        </w:rPr>
        <w:t>تؤكد</w:t>
      </w:r>
      <w:r w:rsidRPr="00FA0FC2">
        <w:rPr>
          <w:rStyle w:val="hps"/>
          <w:sz w:val="30"/>
          <w:rtl/>
          <w:lang/>
        </w:rPr>
        <w:t xml:space="preserve"> الدولة الطرف</w:t>
      </w:r>
      <w:r w:rsidRPr="00FA0FC2">
        <w:rPr>
          <w:sz w:val="30"/>
          <w:rtl/>
          <w:lang/>
        </w:rPr>
        <w:t xml:space="preserve"> </w:t>
      </w:r>
      <w:r w:rsidRPr="00FA0FC2">
        <w:rPr>
          <w:rStyle w:val="hps"/>
          <w:rFonts w:hint="cs"/>
          <w:sz w:val="30"/>
          <w:rtl/>
          <w:lang/>
        </w:rPr>
        <w:t xml:space="preserve">أن هذه الوثيقة تدل، </w:t>
      </w:r>
      <w:r w:rsidRPr="00FA0FC2">
        <w:rPr>
          <w:sz w:val="30"/>
          <w:rtl/>
          <w:lang/>
        </w:rPr>
        <w:t xml:space="preserve">بصرف النظر عن </w:t>
      </w:r>
      <w:r w:rsidRPr="00FA0FC2">
        <w:rPr>
          <w:rStyle w:val="hps"/>
          <w:sz w:val="30"/>
          <w:rtl/>
          <w:lang/>
        </w:rPr>
        <w:t>مسألة</w:t>
      </w:r>
      <w:r w:rsidRPr="00FA0FC2">
        <w:rPr>
          <w:sz w:val="30"/>
          <w:rtl/>
          <w:lang/>
        </w:rPr>
        <w:t xml:space="preserve"> </w:t>
      </w:r>
      <w:r w:rsidRPr="00FA0FC2">
        <w:rPr>
          <w:rStyle w:val="hps"/>
          <w:rFonts w:hint="cs"/>
          <w:sz w:val="30"/>
          <w:rtl/>
          <w:lang/>
        </w:rPr>
        <w:t>صحتها</w:t>
      </w:r>
      <w:r w:rsidRPr="00FA0FC2">
        <w:rPr>
          <w:sz w:val="30"/>
          <w:rtl/>
          <w:lang/>
        </w:rPr>
        <w:t xml:space="preserve">، </w:t>
      </w:r>
      <w:r w:rsidRPr="00FA0FC2">
        <w:rPr>
          <w:rStyle w:val="hps"/>
          <w:sz w:val="30"/>
          <w:rtl/>
          <w:lang/>
        </w:rPr>
        <w:t>على أن</w:t>
      </w:r>
      <w:r w:rsidRPr="00FA0FC2">
        <w:rPr>
          <w:sz w:val="30"/>
          <w:rtl/>
          <w:lang/>
        </w:rPr>
        <w:t xml:space="preserve"> </w:t>
      </w:r>
      <w:r w:rsidRPr="00FA0FC2">
        <w:rPr>
          <w:rStyle w:val="hps"/>
          <w:sz w:val="30"/>
          <w:rtl/>
          <w:lang/>
        </w:rPr>
        <w:t>صاحب الشكوى</w:t>
      </w:r>
      <w:r w:rsidRPr="00FA0FC2">
        <w:rPr>
          <w:sz w:val="30"/>
          <w:rtl/>
          <w:lang/>
        </w:rPr>
        <w:t xml:space="preserve"> </w:t>
      </w:r>
      <w:r w:rsidRPr="00FA0FC2">
        <w:rPr>
          <w:rStyle w:val="hps"/>
          <w:sz w:val="30"/>
          <w:rtl/>
          <w:lang/>
        </w:rPr>
        <w:t xml:space="preserve">الأول </w:t>
      </w:r>
      <w:r w:rsidRPr="00FA0FC2">
        <w:rPr>
          <w:rStyle w:val="hps"/>
          <w:rFonts w:hint="cs"/>
          <w:sz w:val="30"/>
          <w:rtl/>
          <w:lang/>
        </w:rPr>
        <w:t>قد تعرض</w:t>
      </w:r>
      <w:r w:rsidRPr="00FA0FC2">
        <w:rPr>
          <w:sz w:val="30"/>
          <w:rtl/>
          <w:lang/>
        </w:rPr>
        <w:t xml:space="preserve"> </w:t>
      </w:r>
      <w:r w:rsidRPr="00FA0FC2">
        <w:rPr>
          <w:rStyle w:val="hps"/>
          <w:rFonts w:hint="cs"/>
          <w:sz w:val="30"/>
          <w:rtl/>
          <w:lang/>
        </w:rPr>
        <w:t>بالفعل للاعتقال،</w:t>
      </w:r>
      <w:r w:rsidRPr="00FA0FC2">
        <w:rPr>
          <w:sz w:val="30"/>
          <w:rtl/>
          <w:lang/>
        </w:rPr>
        <w:t xml:space="preserve"> </w:t>
      </w:r>
      <w:r w:rsidRPr="00FA0FC2">
        <w:rPr>
          <w:rStyle w:val="hps"/>
          <w:sz w:val="30"/>
          <w:rtl/>
          <w:lang/>
        </w:rPr>
        <w:t>ولكن</w:t>
      </w:r>
      <w:r w:rsidRPr="00FA0FC2">
        <w:rPr>
          <w:rStyle w:val="hps"/>
          <w:rFonts w:hint="cs"/>
          <w:sz w:val="30"/>
          <w:rtl/>
          <w:lang/>
        </w:rPr>
        <w:t>ها</w:t>
      </w:r>
      <w:r>
        <w:rPr>
          <w:sz w:val="30"/>
          <w:rtl/>
          <w:lang/>
        </w:rPr>
        <w:t xml:space="preserve"> لا </w:t>
      </w:r>
      <w:r w:rsidRPr="00FA0FC2">
        <w:rPr>
          <w:rStyle w:val="hps"/>
          <w:rFonts w:hint="cs"/>
          <w:sz w:val="30"/>
          <w:rtl/>
          <w:lang/>
        </w:rPr>
        <w:t>تدعم</w:t>
      </w:r>
      <w:r w:rsidRPr="00FA0FC2">
        <w:rPr>
          <w:sz w:val="30"/>
          <w:rtl/>
          <w:lang/>
        </w:rPr>
        <w:t xml:space="preserve"> </w:t>
      </w:r>
      <w:r w:rsidRPr="00FA0FC2">
        <w:rPr>
          <w:rStyle w:val="hps"/>
          <w:sz w:val="30"/>
          <w:rtl/>
          <w:lang/>
        </w:rPr>
        <w:t>بالضرورة</w:t>
      </w:r>
      <w:r w:rsidRPr="00FA0FC2">
        <w:rPr>
          <w:sz w:val="30"/>
          <w:rtl/>
          <w:lang/>
        </w:rPr>
        <w:t xml:space="preserve"> </w:t>
      </w:r>
      <w:r w:rsidRPr="00FA0FC2">
        <w:rPr>
          <w:rStyle w:val="hps"/>
          <w:sz w:val="30"/>
          <w:rtl/>
          <w:lang/>
        </w:rPr>
        <w:t>الأسباب المزعومة</w:t>
      </w:r>
      <w:r w:rsidRPr="00FA0FC2">
        <w:rPr>
          <w:sz w:val="30"/>
          <w:rtl/>
          <w:lang/>
        </w:rPr>
        <w:t xml:space="preserve"> </w:t>
      </w:r>
      <w:r w:rsidRPr="00FA0FC2">
        <w:rPr>
          <w:rStyle w:val="hps"/>
          <w:rFonts w:hint="cs"/>
          <w:sz w:val="30"/>
          <w:rtl/>
          <w:lang/>
        </w:rPr>
        <w:t>التي قدمها</w:t>
      </w:r>
      <w:r w:rsidRPr="00FA0FC2">
        <w:rPr>
          <w:sz w:val="30"/>
          <w:rtl/>
          <w:lang/>
        </w:rPr>
        <w:t xml:space="preserve"> </w:t>
      </w:r>
      <w:r w:rsidRPr="00FA0FC2">
        <w:rPr>
          <w:rStyle w:val="hps"/>
          <w:sz w:val="30"/>
          <w:rtl/>
          <w:lang/>
        </w:rPr>
        <w:t>صاحب ال</w:t>
      </w:r>
      <w:r w:rsidRPr="00FA0FC2">
        <w:rPr>
          <w:rStyle w:val="hps"/>
          <w:rFonts w:hint="cs"/>
          <w:sz w:val="30"/>
          <w:rtl/>
          <w:lang/>
        </w:rPr>
        <w:t xml:space="preserve">شكوى </w:t>
      </w:r>
      <w:r w:rsidRPr="00FA0FC2">
        <w:rPr>
          <w:rStyle w:val="hps"/>
          <w:sz w:val="30"/>
          <w:rtl/>
          <w:lang/>
        </w:rPr>
        <w:t>الأول</w:t>
      </w:r>
      <w:r w:rsidRPr="00FA0FC2">
        <w:rPr>
          <w:rStyle w:val="hps"/>
          <w:rFonts w:hint="cs"/>
          <w:sz w:val="30"/>
          <w:rtl/>
          <w:lang/>
        </w:rPr>
        <w:t xml:space="preserve"> بخصوص اعتقاله</w:t>
      </w:r>
      <w:r w:rsidRPr="00FA0FC2">
        <w:rPr>
          <w:sz w:val="30"/>
          <w:rtl/>
          <w:lang/>
        </w:rPr>
        <w:t xml:space="preserve">. </w:t>
      </w:r>
      <w:r w:rsidRPr="00FA0FC2">
        <w:rPr>
          <w:rFonts w:hint="cs"/>
          <w:sz w:val="30"/>
          <w:rtl/>
          <w:lang/>
        </w:rPr>
        <w:t>و</w:t>
      </w:r>
      <w:r w:rsidRPr="00FA0FC2">
        <w:rPr>
          <w:rStyle w:val="hps"/>
          <w:sz w:val="30"/>
          <w:rtl/>
          <w:lang/>
        </w:rPr>
        <w:t>وفقا</w:t>
      </w:r>
      <w:r w:rsidRPr="00FA0FC2">
        <w:rPr>
          <w:rStyle w:val="hps"/>
          <w:rFonts w:hint="cs"/>
          <w:sz w:val="30"/>
          <w:rtl/>
          <w:lang/>
        </w:rPr>
        <w:t>ً</w:t>
      </w:r>
      <w:r w:rsidRPr="00FA0FC2">
        <w:rPr>
          <w:rStyle w:val="hps"/>
          <w:sz w:val="30"/>
          <w:rtl/>
          <w:lang/>
        </w:rPr>
        <w:t xml:space="preserve"> </w:t>
      </w:r>
      <w:r w:rsidRPr="00FA0FC2">
        <w:rPr>
          <w:rStyle w:val="hps"/>
          <w:rFonts w:hint="cs"/>
          <w:sz w:val="30"/>
          <w:rtl/>
          <w:lang/>
        </w:rPr>
        <w:t>ل</w:t>
      </w:r>
      <w:r w:rsidRPr="00FA0FC2">
        <w:rPr>
          <w:rStyle w:val="hps"/>
          <w:sz w:val="30"/>
          <w:rtl/>
          <w:lang/>
        </w:rPr>
        <w:t>ل</w:t>
      </w:r>
      <w:r w:rsidRPr="00FA0FC2">
        <w:rPr>
          <w:sz w:val="30"/>
          <w:rtl/>
          <w:lang/>
        </w:rPr>
        <w:t xml:space="preserve">ترجمة </w:t>
      </w:r>
      <w:r w:rsidRPr="00FA0FC2">
        <w:rPr>
          <w:rStyle w:val="hps"/>
          <w:sz w:val="30"/>
          <w:rtl/>
          <w:lang/>
        </w:rPr>
        <w:t>المقدمة،</w:t>
      </w:r>
      <w:r w:rsidRPr="00FA0FC2">
        <w:rPr>
          <w:sz w:val="30"/>
          <w:rtl/>
          <w:lang/>
        </w:rPr>
        <w:t xml:space="preserve"> </w:t>
      </w:r>
      <w:r w:rsidRPr="00FA0FC2">
        <w:rPr>
          <w:rFonts w:hint="cs"/>
          <w:sz w:val="30"/>
          <w:rtl/>
          <w:lang/>
        </w:rPr>
        <w:t xml:space="preserve">فقد </w:t>
      </w:r>
      <w:r w:rsidRPr="00FA0FC2">
        <w:rPr>
          <w:rStyle w:val="hps"/>
          <w:rFonts w:hint="cs"/>
          <w:sz w:val="30"/>
          <w:rtl/>
          <w:lang/>
        </w:rPr>
        <w:t>احتجز</w:t>
      </w:r>
      <w:r w:rsidRPr="00FA0FC2">
        <w:rPr>
          <w:sz w:val="30"/>
          <w:rtl/>
          <w:lang/>
        </w:rPr>
        <w:t xml:space="preserve"> </w:t>
      </w:r>
      <w:r w:rsidRPr="00FA0FC2">
        <w:rPr>
          <w:rStyle w:val="hps"/>
          <w:sz w:val="30"/>
          <w:rtl/>
          <w:lang/>
        </w:rPr>
        <w:t>بسبب</w:t>
      </w:r>
      <w:r w:rsidRPr="00FA0FC2">
        <w:rPr>
          <w:sz w:val="30"/>
          <w:rtl/>
          <w:lang/>
        </w:rPr>
        <w:t xml:space="preserve"> </w:t>
      </w:r>
      <w:r w:rsidRPr="00FA0FC2">
        <w:rPr>
          <w:rStyle w:val="hps"/>
          <w:rFonts w:hint="cs"/>
          <w:sz w:val="30"/>
          <w:rtl/>
          <w:lang/>
        </w:rPr>
        <w:t>دعوى جنائية</w:t>
      </w:r>
      <w:r w:rsidRPr="00FA0FC2">
        <w:rPr>
          <w:sz w:val="30"/>
          <w:rtl/>
          <w:lang/>
        </w:rPr>
        <w:t xml:space="preserve">. </w:t>
      </w:r>
      <w:r w:rsidRPr="00FA0FC2">
        <w:rPr>
          <w:rStyle w:val="hps"/>
          <w:sz w:val="30"/>
          <w:rtl/>
          <w:lang/>
        </w:rPr>
        <w:t>و</w:t>
      </w:r>
      <w:r w:rsidRPr="00FA0FC2">
        <w:rPr>
          <w:rStyle w:val="hps"/>
          <w:rFonts w:hint="cs"/>
          <w:sz w:val="30"/>
          <w:rtl/>
          <w:lang/>
        </w:rPr>
        <w:t xml:space="preserve">ترى </w:t>
      </w:r>
      <w:r w:rsidRPr="00FA0FC2">
        <w:rPr>
          <w:rStyle w:val="hps"/>
          <w:sz w:val="30"/>
          <w:rtl/>
          <w:lang/>
        </w:rPr>
        <w:t>الدولة</w:t>
      </w:r>
      <w:r w:rsidRPr="00FA0FC2">
        <w:rPr>
          <w:sz w:val="30"/>
          <w:rtl/>
          <w:lang/>
        </w:rPr>
        <w:t xml:space="preserve"> </w:t>
      </w:r>
      <w:r w:rsidRPr="00FA0FC2">
        <w:rPr>
          <w:rStyle w:val="hps"/>
          <w:sz w:val="30"/>
          <w:rtl/>
          <w:lang/>
        </w:rPr>
        <w:t>الطرف أن</w:t>
      </w:r>
      <w:r w:rsidRPr="00FA0FC2">
        <w:rPr>
          <w:sz w:val="30"/>
          <w:rtl/>
          <w:lang/>
        </w:rPr>
        <w:t xml:space="preserve"> </w:t>
      </w:r>
      <w:r w:rsidRPr="00FA0FC2">
        <w:rPr>
          <w:rStyle w:val="hps"/>
          <w:sz w:val="30"/>
          <w:rtl/>
          <w:lang/>
        </w:rPr>
        <w:t>هذه</w:t>
      </w:r>
      <w:r w:rsidRPr="00FA0FC2">
        <w:rPr>
          <w:sz w:val="30"/>
          <w:rtl/>
          <w:lang/>
        </w:rPr>
        <w:t xml:space="preserve"> </w:t>
      </w:r>
      <w:r w:rsidRPr="00FA0FC2">
        <w:rPr>
          <w:rFonts w:hint="cs"/>
          <w:sz w:val="30"/>
          <w:rtl/>
          <w:lang/>
        </w:rPr>
        <w:t>ال</w:t>
      </w:r>
      <w:r w:rsidRPr="00FA0FC2">
        <w:rPr>
          <w:rStyle w:val="hps"/>
          <w:sz w:val="30"/>
          <w:rtl/>
          <w:lang/>
        </w:rPr>
        <w:t>شهادة</w:t>
      </w:r>
      <w:r w:rsidRPr="00FA0FC2">
        <w:rPr>
          <w:sz w:val="30"/>
          <w:rtl/>
          <w:lang/>
        </w:rPr>
        <w:t xml:space="preserve"> </w:t>
      </w:r>
      <w:r w:rsidRPr="00FA0FC2">
        <w:rPr>
          <w:rStyle w:val="hps"/>
          <w:rFonts w:hint="cs"/>
          <w:sz w:val="30"/>
          <w:rtl/>
          <w:lang/>
        </w:rPr>
        <w:t>غير</w:t>
      </w:r>
      <w:r w:rsidRPr="00FA0FC2">
        <w:rPr>
          <w:sz w:val="30"/>
          <w:rtl/>
          <w:lang/>
        </w:rPr>
        <w:t xml:space="preserve"> </w:t>
      </w:r>
      <w:r w:rsidRPr="00FA0FC2">
        <w:rPr>
          <w:rStyle w:val="hps"/>
          <w:rFonts w:hint="cs"/>
          <w:sz w:val="30"/>
          <w:rtl/>
          <w:lang/>
        </w:rPr>
        <w:t>قاطعة</w:t>
      </w:r>
      <w:r w:rsidRPr="00FA0FC2">
        <w:rPr>
          <w:sz w:val="30"/>
          <w:rtl/>
          <w:lang/>
        </w:rPr>
        <w:t xml:space="preserve">. </w:t>
      </w:r>
      <w:r w:rsidRPr="00FA0FC2">
        <w:rPr>
          <w:rFonts w:hint="cs"/>
          <w:sz w:val="30"/>
          <w:rtl/>
          <w:lang/>
        </w:rPr>
        <w:t>وإن</w:t>
      </w:r>
      <w:r>
        <w:rPr>
          <w:rFonts w:hint="cs"/>
          <w:sz w:val="30"/>
          <w:rtl/>
          <w:lang/>
        </w:rPr>
        <w:t xml:space="preserve"> ما</w:t>
      </w:r>
      <w:r>
        <w:rPr>
          <w:sz w:val="30"/>
          <w:rtl/>
          <w:lang/>
        </w:rPr>
        <w:t> </w:t>
      </w:r>
      <w:r w:rsidRPr="00FA0FC2">
        <w:rPr>
          <w:rStyle w:val="hps"/>
          <w:rFonts w:hint="cs"/>
          <w:sz w:val="30"/>
          <w:rtl/>
          <w:lang/>
        </w:rPr>
        <w:t xml:space="preserve">أوردته هذه الشهادة عن تزامن </w:t>
      </w:r>
      <w:r w:rsidRPr="00FA0FC2">
        <w:rPr>
          <w:sz w:val="30"/>
          <w:rtl/>
          <w:lang/>
        </w:rPr>
        <w:t xml:space="preserve">اليوم </w:t>
      </w:r>
      <w:r w:rsidRPr="00FA0FC2">
        <w:rPr>
          <w:rStyle w:val="hps"/>
          <w:sz w:val="30"/>
          <w:rtl/>
          <w:lang/>
        </w:rPr>
        <w:t>الأول من</w:t>
      </w:r>
      <w:r w:rsidRPr="00FA0FC2">
        <w:rPr>
          <w:sz w:val="30"/>
          <w:rtl/>
          <w:lang/>
        </w:rPr>
        <w:t xml:space="preserve"> </w:t>
      </w:r>
      <w:r w:rsidRPr="00FA0FC2">
        <w:rPr>
          <w:rStyle w:val="hps"/>
          <w:sz w:val="30"/>
          <w:rtl/>
          <w:lang/>
        </w:rPr>
        <w:t>الاعتقال</w:t>
      </w:r>
      <w:r w:rsidRPr="00FA0FC2">
        <w:rPr>
          <w:sz w:val="30"/>
          <w:rtl/>
          <w:lang/>
        </w:rPr>
        <w:t>، وفقا</w:t>
      </w:r>
      <w:r w:rsidRPr="00FA0FC2">
        <w:rPr>
          <w:rFonts w:hint="cs"/>
          <w:sz w:val="30"/>
          <w:rtl/>
          <w:lang/>
        </w:rPr>
        <w:t>ً</w:t>
      </w:r>
      <w:r w:rsidRPr="00FA0FC2">
        <w:rPr>
          <w:sz w:val="30"/>
          <w:rtl/>
          <w:lang/>
        </w:rPr>
        <w:t xml:space="preserve"> </w:t>
      </w:r>
      <w:r w:rsidRPr="00FA0FC2">
        <w:rPr>
          <w:rStyle w:val="hps"/>
          <w:sz w:val="30"/>
          <w:rtl/>
          <w:lang/>
        </w:rPr>
        <w:t>لمصادر مختلفة</w:t>
      </w:r>
      <w:r w:rsidRPr="00FA0FC2">
        <w:rPr>
          <w:sz w:val="30"/>
          <w:rtl/>
          <w:lang/>
        </w:rPr>
        <w:t xml:space="preserve">، </w:t>
      </w:r>
      <w:r w:rsidRPr="00FA0FC2">
        <w:rPr>
          <w:rStyle w:val="hps"/>
          <w:rFonts w:hint="cs"/>
          <w:sz w:val="30"/>
          <w:rtl/>
          <w:lang/>
        </w:rPr>
        <w:t>مع تنظيم</w:t>
      </w:r>
      <w:r w:rsidRPr="00FA0FC2">
        <w:rPr>
          <w:rStyle w:val="hps"/>
          <w:sz w:val="30"/>
          <w:rtl/>
          <w:lang/>
        </w:rPr>
        <w:t xml:space="preserve"> مظاهرة</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عدن</w:t>
      </w:r>
      <w:r w:rsidRPr="00FA0FC2">
        <w:rPr>
          <w:rStyle w:val="hps"/>
          <w:rFonts w:hint="cs"/>
          <w:sz w:val="30"/>
          <w:rtl/>
          <w:lang/>
        </w:rPr>
        <w:t xml:space="preserve"> يعد دليلاً</w:t>
      </w:r>
      <w:r w:rsidRPr="00FA0FC2">
        <w:rPr>
          <w:sz w:val="30"/>
          <w:rtl/>
          <w:lang/>
        </w:rPr>
        <w:t xml:space="preserve"> </w:t>
      </w:r>
      <w:r w:rsidRPr="00FA0FC2">
        <w:rPr>
          <w:rStyle w:val="hps"/>
          <w:sz w:val="30"/>
          <w:rtl/>
          <w:lang/>
        </w:rPr>
        <w:t>غير كاف</w:t>
      </w:r>
      <w:r w:rsidRPr="00FA0FC2">
        <w:rPr>
          <w:sz w:val="30"/>
          <w:rtl/>
          <w:lang/>
        </w:rPr>
        <w:t xml:space="preserve"> </w:t>
      </w:r>
      <w:r w:rsidRPr="00FA0FC2">
        <w:rPr>
          <w:rStyle w:val="hps"/>
          <w:sz w:val="30"/>
          <w:rtl/>
          <w:lang/>
        </w:rPr>
        <w:t>لإثبات</w:t>
      </w:r>
      <w:r w:rsidRPr="00FA0FC2">
        <w:rPr>
          <w:sz w:val="30"/>
          <w:rtl/>
          <w:lang/>
        </w:rPr>
        <w:t xml:space="preserve"> </w:t>
      </w:r>
      <w:r w:rsidRPr="00FA0FC2">
        <w:rPr>
          <w:rStyle w:val="hps"/>
          <w:sz w:val="30"/>
          <w:rtl/>
          <w:lang/>
        </w:rPr>
        <w:t>صحة</w:t>
      </w:r>
      <w:r w:rsidRPr="00FA0FC2">
        <w:rPr>
          <w:sz w:val="30"/>
          <w:rtl/>
          <w:lang/>
        </w:rPr>
        <w:t xml:space="preserve"> </w:t>
      </w:r>
      <w:r w:rsidRPr="00FA0FC2">
        <w:rPr>
          <w:rStyle w:val="hps"/>
          <w:sz w:val="30"/>
          <w:rtl/>
          <w:lang/>
        </w:rPr>
        <w:t>تأكيدات</w:t>
      </w:r>
      <w:r w:rsidRPr="00FA0FC2">
        <w:rPr>
          <w:sz w:val="30"/>
          <w:rtl/>
          <w:lang/>
        </w:rPr>
        <w:t xml:space="preserve">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rFonts w:hint="cs"/>
          <w:sz w:val="30"/>
          <w:rtl/>
          <w:lang/>
        </w:rPr>
        <w:t>بشأن</w:t>
      </w:r>
      <w:r w:rsidRPr="00FA0FC2">
        <w:rPr>
          <w:rStyle w:val="hps"/>
          <w:sz w:val="30"/>
          <w:rtl/>
          <w:lang/>
        </w:rPr>
        <w:t xml:space="preserve"> أسباب</w:t>
      </w:r>
      <w:r w:rsidRPr="00FA0FC2">
        <w:rPr>
          <w:sz w:val="30"/>
          <w:rtl/>
          <w:lang/>
        </w:rPr>
        <w:t xml:space="preserve"> </w:t>
      </w:r>
      <w:r w:rsidRPr="00FA0FC2">
        <w:rPr>
          <w:rStyle w:val="hps"/>
          <w:sz w:val="30"/>
          <w:rtl/>
          <w:lang/>
        </w:rPr>
        <w:t>اعتقاله</w:t>
      </w:r>
      <w:r w:rsidRPr="00FA0FC2">
        <w:rPr>
          <w:sz w:val="30"/>
          <w:rtl/>
          <w:lang/>
        </w:rPr>
        <w:t xml:space="preserve"> </w:t>
      </w:r>
      <w:r w:rsidRPr="00FA0FC2">
        <w:rPr>
          <w:rStyle w:val="hps"/>
          <w:sz w:val="30"/>
          <w:rtl/>
          <w:lang/>
        </w:rPr>
        <w:t>المزعوم.</w:t>
      </w:r>
    </w:p>
    <w:p w:rsidR="00091373" w:rsidRPr="00FA0FC2" w:rsidRDefault="00091373" w:rsidP="00091373">
      <w:pPr>
        <w:pStyle w:val="SingleTxtGA"/>
        <w:rPr>
          <w:sz w:val="30"/>
          <w:rtl/>
          <w:lang w:val="fr-CH"/>
        </w:rPr>
      </w:pPr>
      <w:r w:rsidRPr="00FA0FC2">
        <w:rPr>
          <w:sz w:val="30"/>
          <w:rtl/>
          <w:lang w:val="fr-CH"/>
        </w:rPr>
        <w:t>4-8</w:t>
      </w:r>
      <w:r w:rsidRPr="00FA0FC2">
        <w:rPr>
          <w:sz w:val="30"/>
          <w:rtl/>
          <w:lang w:val="fr-CH"/>
        </w:rPr>
        <w:tab/>
      </w:r>
      <w:r w:rsidRPr="00FA0FC2">
        <w:rPr>
          <w:rStyle w:val="hps"/>
          <w:sz w:val="30"/>
          <w:rtl/>
          <w:lang/>
        </w:rPr>
        <w:t>وتخلص الدولة</w:t>
      </w:r>
      <w:r w:rsidRPr="00FA0FC2">
        <w:rPr>
          <w:sz w:val="30"/>
          <w:rtl/>
          <w:lang/>
        </w:rPr>
        <w:t xml:space="preserve"> </w:t>
      </w:r>
      <w:r w:rsidRPr="00FA0FC2">
        <w:rPr>
          <w:rStyle w:val="hps"/>
          <w:sz w:val="30"/>
          <w:rtl/>
          <w:lang/>
        </w:rPr>
        <w:t xml:space="preserve">الطرف </w:t>
      </w:r>
      <w:r w:rsidRPr="00FA0FC2">
        <w:rPr>
          <w:rStyle w:val="hps"/>
          <w:rFonts w:hint="cs"/>
          <w:sz w:val="30"/>
          <w:rtl/>
          <w:lang/>
        </w:rPr>
        <w:t>إلى أن</w:t>
      </w:r>
      <w:r w:rsidRPr="00FA0FC2">
        <w:rPr>
          <w:sz w:val="30"/>
          <w:rtl/>
          <w:lang/>
        </w:rPr>
        <w:t xml:space="preserve"> </w:t>
      </w:r>
      <w:r w:rsidRPr="00FA0FC2">
        <w:rPr>
          <w:rStyle w:val="hps"/>
          <w:sz w:val="30"/>
          <w:rtl/>
          <w:lang/>
        </w:rPr>
        <w:t>الأدلة التي قدمها</w:t>
      </w:r>
      <w:r w:rsidRPr="00FA0FC2">
        <w:rPr>
          <w:sz w:val="30"/>
          <w:rtl/>
          <w:lang/>
        </w:rPr>
        <w:t xml:space="preserve"> </w:t>
      </w:r>
      <w:r w:rsidRPr="00FA0FC2">
        <w:rPr>
          <w:rStyle w:val="hps"/>
          <w:rFonts w:hint="cs"/>
          <w:sz w:val="30"/>
          <w:rtl/>
          <w:lang/>
        </w:rPr>
        <w:t>صاحب</w:t>
      </w:r>
      <w:r w:rsidRPr="00FA0FC2">
        <w:rPr>
          <w:rStyle w:val="hps"/>
          <w:sz w:val="30"/>
          <w:rtl/>
          <w:lang/>
        </w:rPr>
        <w:t xml:space="preserve"> الشكوى</w:t>
      </w:r>
      <w:r w:rsidRPr="00FA0FC2">
        <w:rPr>
          <w:sz w:val="30"/>
          <w:rtl/>
          <w:lang/>
        </w:rPr>
        <w:t xml:space="preserve"> </w:t>
      </w:r>
      <w:r w:rsidRPr="00FA0FC2">
        <w:rPr>
          <w:rStyle w:val="hps"/>
          <w:sz w:val="30"/>
          <w:rtl/>
          <w:lang/>
        </w:rPr>
        <w:t>الأول ليست</w:t>
      </w:r>
      <w:r w:rsidRPr="00FA0FC2">
        <w:rPr>
          <w:sz w:val="30"/>
          <w:rtl/>
          <w:lang/>
        </w:rPr>
        <w:t xml:space="preserve"> </w:t>
      </w:r>
      <w:r w:rsidRPr="00FA0FC2">
        <w:rPr>
          <w:rStyle w:val="hps"/>
          <w:rFonts w:hint="cs"/>
          <w:sz w:val="30"/>
          <w:rtl/>
          <w:lang/>
        </w:rPr>
        <w:t>قاطعة</w:t>
      </w:r>
      <w:r w:rsidRPr="00FA0FC2">
        <w:rPr>
          <w:sz w:val="30"/>
          <w:rtl/>
          <w:lang/>
        </w:rPr>
        <w:t xml:space="preserve">، </w:t>
      </w:r>
      <w:r w:rsidRPr="00FA0FC2">
        <w:rPr>
          <w:rStyle w:val="hps"/>
          <w:sz w:val="30"/>
          <w:rtl/>
          <w:lang/>
        </w:rPr>
        <w:t>لأنه</w:t>
      </w:r>
      <w:r w:rsidRPr="00FA0FC2">
        <w:rPr>
          <w:rStyle w:val="hps"/>
          <w:rFonts w:hint="cs"/>
          <w:sz w:val="30"/>
          <w:rtl/>
          <w:lang/>
        </w:rPr>
        <w:t>ا</w:t>
      </w:r>
      <w:r>
        <w:rPr>
          <w:sz w:val="30"/>
          <w:rtl/>
          <w:lang/>
        </w:rPr>
        <w:t xml:space="preserve"> لا </w:t>
      </w:r>
      <w:r w:rsidRPr="00FA0FC2">
        <w:rPr>
          <w:rStyle w:val="hps"/>
          <w:rFonts w:hint="cs"/>
          <w:sz w:val="30"/>
          <w:rtl/>
          <w:lang/>
        </w:rPr>
        <w:t>تنطوي على</w:t>
      </w:r>
      <w:r w:rsidRPr="00FA0FC2">
        <w:rPr>
          <w:sz w:val="30"/>
          <w:rtl/>
          <w:lang/>
        </w:rPr>
        <w:t xml:space="preserve"> </w:t>
      </w:r>
      <w:r w:rsidRPr="00FA0FC2">
        <w:rPr>
          <w:rStyle w:val="hps"/>
          <w:sz w:val="30"/>
          <w:rtl/>
          <w:lang/>
        </w:rPr>
        <w:t>قيمة إثباتية</w:t>
      </w:r>
      <w:r w:rsidRPr="00FA0FC2">
        <w:rPr>
          <w:sz w:val="30"/>
          <w:rtl/>
          <w:lang/>
        </w:rPr>
        <w:t xml:space="preserve"> </w:t>
      </w:r>
      <w:r w:rsidRPr="00FA0FC2">
        <w:rPr>
          <w:rStyle w:val="hps"/>
          <w:sz w:val="30"/>
          <w:rtl/>
          <w:lang/>
        </w:rPr>
        <w:t xml:space="preserve">كافية </w:t>
      </w:r>
      <w:r w:rsidRPr="00FA0FC2">
        <w:rPr>
          <w:rStyle w:val="hps"/>
          <w:rFonts w:hint="cs"/>
          <w:sz w:val="30"/>
          <w:rtl/>
          <w:lang/>
        </w:rPr>
        <w:t>تجعلها ت</w:t>
      </w:r>
      <w:r w:rsidRPr="00FA0FC2">
        <w:rPr>
          <w:sz w:val="30"/>
          <w:rtl/>
          <w:lang/>
        </w:rPr>
        <w:t xml:space="preserve">تفوق </w:t>
      </w:r>
      <w:r w:rsidRPr="00FA0FC2">
        <w:rPr>
          <w:rFonts w:hint="cs"/>
          <w:sz w:val="30"/>
          <w:rtl/>
          <w:lang/>
        </w:rPr>
        <w:t>على ال</w:t>
      </w:r>
      <w:r w:rsidRPr="00FA0FC2">
        <w:rPr>
          <w:rStyle w:val="hps"/>
          <w:sz w:val="30"/>
          <w:rtl/>
          <w:lang/>
        </w:rPr>
        <w:t>عناصر</w:t>
      </w:r>
      <w:r w:rsidRPr="00FA0FC2">
        <w:rPr>
          <w:rStyle w:val="hps"/>
          <w:rFonts w:hint="cs"/>
          <w:sz w:val="30"/>
          <w:rtl/>
          <w:lang/>
        </w:rPr>
        <w:t xml:space="preserve"> التي أنبنى عليها الاستنتاج الذي خلصت إليه الهيئات المحلية المختصة بعدم احتمال تعرضه للتعذيب في حال إعادته إلى بلده. </w:t>
      </w:r>
      <w:r w:rsidRPr="00FA0FC2">
        <w:rPr>
          <w:rFonts w:hint="cs"/>
          <w:sz w:val="30"/>
          <w:rtl/>
          <w:lang/>
        </w:rPr>
        <w:t>و</w:t>
      </w:r>
      <w:r w:rsidRPr="00FA0FC2">
        <w:rPr>
          <w:rStyle w:val="hps"/>
          <w:sz w:val="30"/>
          <w:rtl/>
          <w:lang/>
        </w:rPr>
        <w:t>لنفس الأسباب</w:t>
      </w:r>
      <w:r w:rsidRPr="00FA0FC2">
        <w:rPr>
          <w:sz w:val="30"/>
          <w:rtl/>
          <w:lang/>
        </w:rPr>
        <w:t xml:space="preserve">، </w:t>
      </w:r>
      <w:r w:rsidRPr="00FA0FC2">
        <w:rPr>
          <w:rFonts w:hint="cs"/>
          <w:sz w:val="30"/>
          <w:rtl/>
          <w:lang/>
        </w:rPr>
        <w:t xml:space="preserve">فإن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sz w:val="30"/>
          <w:rtl/>
          <w:lang/>
        </w:rPr>
        <w:t>غير قادر على</w:t>
      </w:r>
      <w:r w:rsidRPr="00FA0FC2">
        <w:rPr>
          <w:sz w:val="30"/>
          <w:rtl/>
          <w:lang/>
        </w:rPr>
        <w:t xml:space="preserve"> </w:t>
      </w:r>
      <w:r w:rsidRPr="00FA0FC2">
        <w:rPr>
          <w:rStyle w:val="hps"/>
          <w:sz w:val="30"/>
          <w:rtl/>
          <w:lang/>
        </w:rPr>
        <w:t>إثبات</w:t>
      </w:r>
      <w:r w:rsidRPr="00FA0FC2">
        <w:rPr>
          <w:sz w:val="30"/>
          <w:rtl/>
          <w:lang/>
        </w:rPr>
        <w:t xml:space="preserve"> </w:t>
      </w:r>
      <w:r w:rsidRPr="00FA0FC2">
        <w:rPr>
          <w:rStyle w:val="hps"/>
          <w:sz w:val="30"/>
          <w:rtl/>
          <w:lang/>
        </w:rPr>
        <w:t>أنه</w:t>
      </w:r>
      <w:r w:rsidRPr="00FA0FC2">
        <w:rPr>
          <w:sz w:val="30"/>
          <w:rtl/>
          <w:lang/>
        </w:rPr>
        <w:t xml:space="preserve"> </w:t>
      </w:r>
      <w:r w:rsidRPr="00FA0FC2">
        <w:rPr>
          <w:rStyle w:val="hps"/>
          <w:sz w:val="30"/>
          <w:rtl/>
          <w:lang/>
        </w:rPr>
        <w:t>سي</w:t>
      </w:r>
      <w:r w:rsidRPr="00FA0FC2">
        <w:rPr>
          <w:rStyle w:val="hps"/>
          <w:rFonts w:hint="cs"/>
          <w:sz w:val="30"/>
          <w:rtl/>
          <w:lang/>
        </w:rPr>
        <w:t>واجه</w:t>
      </w:r>
      <w:r w:rsidRPr="00FA0FC2">
        <w:rPr>
          <w:rStyle w:val="hps"/>
          <w:sz w:val="30"/>
          <w:rtl/>
          <w:lang/>
        </w:rPr>
        <w:t xml:space="preserve"> شخصيا</w:t>
      </w:r>
      <w:r w:rsidRPr="00FA0FC2">
        <w:rPr>
          <w:rStyle w:val="hps"/>
          <w:rFonts w:hint="cs"/>
          <w:sz w:val="30"/>
          <w:rtl/>
          <w:lang/>
        </w:rPr>
        <w:t>ً</w:t>
      </w:r>
      <w:r w:rsidRPr="00FA0FC2">
        <w:rPr>
          <w:rStyle w:val="hps"/>
          <w:sz w:val="30"/>
          <w:rtl/>
          <w:lang/>
        </w:rPr>
        <w:t xml:space="preserve"> </w:t>
      </w:r>
      <w:r w:rsidRPr="00FA0FC2">
        <w:rPr>
          <w:sz w:val="30"/>
          <w:rtl/>
          <w:lang/>
        </w:rPr>
        <w:t>خطر</w:t>
      </w:r>
      <w:r w:rsidRPr="00FA0FC2">
        <w:rPr>
          <w:rFonts w:hint="cs"/>
          <w:sz w:val="30"/>
          <w:rtl/>
          <w:lang/>
        </w:rPr>
        <w:t>اً</w:t>
      </w:r>
      <w:r w:rsidRPr="00FA0FC2">
        <w:rPr>
          <w:sz w:val="30"/>
          <w:rtl/>
          <w:lang/>
        </w:rPr>
        <w:t xml:space="preserve"> </w:t>
      </w:r>
      <w:r w:rsidRPr="00FA0FC2">
        <w:rPr>
          <w:rStyle w:val="hps"/>
          <w:sz w:val="30"/>
          <w:rtl/>
          <w:lang/>
        </w:rPr>
        <w:t>ملموس</w:t>
      </w:r>
      <w:r w:rsidRPr="00FA0FC2">
        <w:rPr>
          <w:rStyle w:val="hps"/>
          <w:rFonts w:hint="cs"/>
          <w:sz w:val="30"/>
          <w:rtl/>
          <w:lang/>
        </w:rPr>
        <w:t>اً</w:t>
      </w:r>
      <w:r w:rsidRPr="00FA0FC2">
        <w:rPr>
          <w:sz w:val="30"/>
          <w:rtl/>
          <w:lang/>
        </w:rPr>
        <w:t xml:space="preserve"> </w:t>
      </w:r>
      <w:r w:rsidRPr="00FA0FC2">
        <w:rPr>
          <w:rStyle w:val="hps"/>
          <w:sz w:val="30"/>
          <w:rtl/>
          <w:lang/>
        </w:rPr>
        <w:t>و</w:t>
      </w:r>
      <w:r w:rsidRPr="00FA0FC2">
        <w:rPr>
          <w:rStyle w:val="hps"/>
          <w:rFonts w:hint="cs"/>
          <w:sz w:val="30"/>
          <w:rtl/>
          <w:lang/>
        </w:rPr>
        <w:t>حقيقياً بالتعرض</w:t>
      </w:r>
      <w:r w:rsidRPr="00FA0FC2">
        <w:rPr>
          <w:sz w:val="30"/>
          <w:rtl/>
          <w:lang/>
        </w:rPr>
        <w:t xml:space="preserve"> </w:t>
      </w:r>
      <w:r w:rsidRPr="00FA0FC2">
        <w:rPr>
          <w:rStyle w:val="hps"/>
          <w:sz w:val="30"/>
          <w:rtl/>
          <w:lang/>
        </w:rPr>
        <w:t>لأعمال</w:t>
      </w:r>
      <w:r w:rsidRPr="00FA0FC2">
        <w:rPr>
          <w:sz w:val="30"/>
          <w:rtl/>
          <w:lang/>
        </w:rPr>
        <w:t xml:space="preserve"> </w:t>
      </w:r>
      <w:r w:rsidRPr="00FA0FC2">
        <w:rPr>
          <w:rStyle w:val="hps"/>
          <w:sz w:val="30"/>
          <w:rtl/>
          <w:lang/>
        </w:rPr>
        <w:t>محظورة بموجب الاتفاقية</w:t>
      </w:r>
      <w:r w:rsidRPr="00FA0FC2">
        <w:rPr>
          <w:sz w:val="30"/>
          <w:rtl/>
          <w:lang/>
        </w:rPr>
        <w:t xml:space="preserve"> </w:t>
      </w:r>
      <w:r w:rsidRPr="00FA0FC2">
        <w:rPr>
          <w:rStyle w:val="hps"/>
          <w:sz w:val="30"/>
          <w:rtl/>
          <w:lang/>
        </w:rPr>
        <w:t>إذا أعيد إلى</w:t>
      </w:r>
      <w:r w:rsidRPr="00FA0FC2">
        <w:rPr>
          <w:sz w:val="30"/>
          <w:rtl/>
          <w:lang/>
        </w:rPr>
        <w:t xml:space="preserve"> </w:t>
      </w:r>
      <w:r w:rsidRPr="00FA0FC2">
        <w:rPr>
          <w:rStyle w:val="hps"/>
          <w:sz w:val="30"/>
          <w:rtl/>
          <w:lang/>
        </w:rPr>
        <w:t>بلده الأصلي</w:t>
      </w:r>
      <w:r w:rsidRPr="00FA0FC2">
        <w:rPr>
          <w:sz w:val="30"/>
          <w:rtl/>
          <w:lang/>
        </w:rPr>
        <w:t>.</w:t>
      </w:r>
    </w:p>
    <w:p w:rsidR="00091373" w:rsidRPr="00FA0FC2" w:rsidRDefault="00091373" w:rsidP="00091373">
      <w:pPr>
        <w:pStyle w:val="SingleTxtGA"/>
        <w:rPr>
          <w:sz w:val="30"/>
          <w:rtl/>
          <w:lang w:val="fr-CH"/>
        </w:rPr>
      </w:pPr>
      <w:r w:rsidRPr="00FA0FC2">
        <w:rPr>
          <w:sz w:val="30"/>
          <w:rtl/>
          <w:lang w:val="fr-CH"/>
        </w:rPr>
        <w:t>4-9</w:t>
      </w:r>
      <w:r w:rsidRPr="00FA0FC2">
        <w:rPr>
          <w:sz w:val="30"/>
          <w:rtl/>
          <w:lang w:val="fr-CH"/>
        </w:rPr>
        <w:tab/>
      </w:r>
      <w:r w:rsidRPr="00FA0FC2">
        <w:rPr>
          <w:rFonts w:hint="cs"/>
          <w:sz w:val="30"/>
          <w:rtl/>
          <w:lang/>
        </w:rPr>
        <w:t>و</w:t>
      </w:r>
      <w:r w:rsidRPr="00FA0FC2">
        <w:rPr>
          <w:rStyle w:val="hps"/>
          <w:rFonts w:hint="cs"/>
          <w:sz w:val="30"/>
          <w:rtl/>
          <w:lang/>
        </w:rPr>
        <w:t>ب</w:t>
      </w:r>
      <w:r w:rsidRPr="00FA0FC2">
        <w:rPr>
          <w:rStyle w:val="hps"/>
          <w:sz w:val="30"/>
          <w:rtl/>
          <w:lang/>
        </w:rPr>
        <w:t>الإشارة إلى</w:t>
      </w:r>
      <w:r w:rsidRPr="00FA0FC2">
        <w:rPr>
          <w:sz w:val="30"/>
          <w:rtl/>
          <w:lang/>
        </w:rPr>
        <w:t xml:space="preserve"> </w:t>
      </w:r>
      <w:r w:rsidRPr="00FA0FC2">
        <w:rPr>
          <w:rStyle w:val="hps"/>
          <w:sz w:val="30"/>
          <w:rtl/>
          <w:lang/>
        </w:rPr>
        <w:t>تعليق اللجنة</w:t>
      </w:r>
      <w:r w:rsidRPr="00FA0FC2">
        <w:rPr>
          <w:sz w:val="30"/>
          <w:rtl/>
          <w:lang/>
        </w:rPr>
        <w:t xml:space="preserve"> </w:t>
      </w:r>
      <w:r w:rsidRPr="00FA0FC2">
        <w:rPr>
          <w:rStyle w:val="hps"/>
          <w:sz w:val="30"/>
          <w:rtl/>
          <w:lang/>
        </w:rPr>
        <w:t>العام رقم</w:t>
      </w:r>
      <w:r w:rsidRPr="00FA0FC2">
        <w:rPr>
          <w:sz w:val="30"/>
          <w:rtl/>
          <w:lang/>
        </w:rPr>
        <w:t xml:space="preserve"> </w:t>
      </w:r>
      <w:r w:rsidRPr="00FA0FC2">
        <w:rPr>
          <w:rStyle w:val="hps"/>
          <w:sz w:val="30"/>
          <w:rtl/>
          <w:lang/>
        </w:rPr>
        <w:t>1</w:t>
      </w:r>
      <w:r w:rsidRPr="00FA0FC2">
        <w:rPr>
          <w:sz w:val="30"/>
          <w:rtl/>
          <w:lang/>
        </w:rPr>
        <w:t xml:space="preserve"> </w:t>
      </w:r>
      <w:r w:rsidRPr="00FA0FC2">
        <w:rPr>
          <w:rStyle w:val="hps"/>
          <w:sz w:val="30"/>
          <w:rtl/>
          <w:lang/>
        </w:rPr>
        <w:t>(الفقرة 8(</w:t>
      </w:r>
      <w:r w:rsidRPr="00FA0FC2">
        <w:rPr>
          <w:sz w:val="30"/>
          <w:rtl/>
        </w:rPr>
        <w:t>ﻫ</w:t>
      </w:r>
      <w:r w:rsidRPr="00FA0FC2">
        <w:rPr>
          <w:sz w:val="30"/>
          <w:rtl/>
          <w:lang/>
        </w:rPr>
        <w:t>))،</w:t>
      </w:r>
      <w:r w:rsidRPr="00FA0FC2">
        <w:rPr>
          <w:rStyle w:val="hps"/>
          <w:sz w:val="30"/>
          <w:rtl/>
          <w:lang/>
        </w:rPr>
        <w:t xml:space="preserve"> </w:t>
      </w:r>
      <w:r w:rsidRPr="00FA0FC2">
        <w:rPr>
          <w:rStyle w:val="hps"/>
          <w:rFonts w:hint="cs"/>
          <w:sz w:val="30"/>
          <w:rtl/>
          <w:lang/>
        </w:rPr>
        <w:t>ترى</w:t>
      </w:r>
      <w:r w:rsidRPr="00FA0FC2">
        <w:rPr>
          <w:rStyle w:val="hps"/>
          <w:sz w:val="30"/>
          <w:rtl/>
          <w:lang/>
        </w:rPr>
        <w:t xml:space="preserve"> الدولة</w:t>
      </w:r>
      <w:r w:rsidRPr="00FA0FC2">
        <w:rPr>
          <w:sz w:val="30"/>
          <w:rtl/>
          <w:lang/>
        </w:rPr>
        <w:t xml:space="preserve"> </w:t>
      </w:r>
      <w:r w:rsidRPr="00FA0FC2">
        <w:rPr>
          <w:rStyle w:val="hps"/>
          <w:sz w:val="30"/>
          <w:rtl/>
          <w:lang/>
        </w:rPr>
        <w:t xml:space="preserve">الطرف </w:t>
      </w:r>
      <w:r w:rsidRPr="00FA0FC2">
        <w:rPr>
          <w:rStyle w:val="hps"/>
          <w:rFonts w:hint="cs"/>
          <w:sz w:val="30"/>
          <w:rtl/>
          <w:lang/>
        </w:rPr>
        <w:t xml:space="preserve">كذلك </w:t>
      </w:r>
      <w:r w:rsidRPr="00FA0FC2">
        <w:rPr>
          <w:rStyle w:val="hps"/>
          <w:sz w:val="30"/>
          <w:rtl/>
          <w:lang/>
        </w:rPr>
        <w:t>أن هناك عنصرا</w:t>
      </w:r>
      <w:r w:rsidRPr="00FA0FC2">
        <w:rPr>
          <w:rStyle w:val="hps"/>
          <w:rFonts w:hint="cs"/>
          <w:sz w:val="30"/>
          <w:rtl/>
          <w:lang/>
        </w:rPr>
        <w:t>ً</w:t>
      </w:r>
      <w:r w:rsidRPr="00FA0FC2">
        <w:rPr>
          <w:rStyle w:val="hps"/>
          <w:sz w:val="30"/>
          <w:rtl/>
          <w:lang/>
        </w:rPr>
        <w:t xml:space="preserve"> آخر</w:t>
      </w:r>
      <w:r w:rsidRPr="00FA0FC2">
        <w:rPr>
          <w:sz w:val="30"/>
          <w:rtl/>
          <w:lang/>
        </w:rPr>
        <w:t xml:space="preserve"> </w:t>
      </w:r>
      <w:r w:rsidRPr="00FA0FC2">
        <w:rPr>
          <w:rStyle w:val="hps"/>
          <w:rFonts w:hint="cs"/>
          <w:sz w:val="30"/>
          <w:rtl/>
          <w:lang/>
        </w:rPr>
        <w:t>يتعين أخذه في الاعتبار</w:t>
      </w:r>
      <w:r w:rsidRPr="00FA0FC2">
        <w:rPr>
          <w:sz w:val="30"/>
          <w:rtl/>
          <w:lang/>
        </w:rPr>
        <w:t xml:space="preserve"> </w:t>
      </w:r>
      <w:r w:rsidRPr="00FA0FC2">
        <w:rPr>
          <w:rStyle w:val="hps"/>
          <w:rFonts w:hint="cs"/>
          <w:sz w:val="30"/>
          <w:rtl/>
          <w:lang/>
        </w:rPr>
        <w:t>لدى</w:t>
      </w:r>
      <w:r w:rsidRPr="00FA0FC2">
        <w:rPr>
          <w:rStyle w:val="hps"/>
          <w:sz w:val="30"/>
          <w:rtl/>
          <w:lang/>
        </w:rPr>
        <w:t xml:space="preserve"> تقييم</w:t>
      </w:r>
      <w:r w:rsidRPr="00FA0FC2">
        <w:rPr>
          <w:sz w:val="30"/>
          <w:rtl/>
          <w:lang/>
        </w:rPr>
        <w:t xml:space="preserve"> </w:t>
      </w:r>
      <w:r w:rsidRPr="00FA0FC2">
        <w:rPr>
          <w:rStyle w:val="hps"/>
          <w:rFonts w:hint="cs"/>
          <w:sz w:val="30"/>
          <w:rtl/>
          <w:lang/>
        </w:rPr>
        <w:t>خطر تعرض</w:t>
      </w:r>
      <w:r w:rsidRPr="00FA0FC2">
        <w:rPr>
          <w:sz w:val="30"/>
          <w:rtl/>
          <w:lang/>
        </w:rPr>
        <w:t xml:space="preserve"> </w:t>
      </w:r>
      <w:r w:rsidRPr="00FA0FC2">
        <w:rPr>
          <w:rStyle w:val="hps"/>
          <w:sz w:val="30"/>
          <w:rtl/>
          <w:lang/>
        </w:rPr>
        <w:t>صاحب ال</w:t>
      </w:r>
      <w:r w:rsidRPr="00FA0FC2">
        <w:rPr>
          <w:rStyle w:val="hps"/>
          <w:rFonts w:hint="cs"/>
          <w:sz w:val="30"/>
          <w:rtl/>
          <w:lang/>
        </w:rPr>
        <w:t xml:space="preserve">شكوى </w:t>
      </w:r>
      <w:r w:rsidRPr="00FA0FC2">
        <w:rPr>
          <w:rStyle w:val="hps"/>
          <w:sz w:val="30"/>
          <w:rtl/>
          <w:lang/>
        </w:rPr>
        <w:t>الأول</w:t>
      </w:r>
      <w:r w:rsidRPr="00FA0FC2">
        <w:rPr>
          <w:sz w:val="30"/>
          <w:rtl/>
          <w:lang/>
        </w:rPr>
        <w:t xml:space="preserve"> </w:t>
      </w:r>
      <w:r w:rsidRPr="00FA0FC2">
        <w:rPr>
          <w:rStyle w:val="hps"/>
          <w:sz w:val="30"/>
          <w:rtl/>
          <w:lang/>
        </w:rPr>
        <w:t>للتعذيب</w:t>
      </w:r>
      <w:r w:rsidRPr="00FA0FC2">
        <w:rPr>
          <w:sz w:val="30"/>
          <w:rtl/>
          <w:lang/>
        </w:rPr>
        <w:t xml:space="preserve"> </w:t>
      </w:r>
      <w:r w:rsidRPr="00FA0FC2">
        <w:rPr>
          <w:rStyle w:val="hps"/>
          <w:rFonts w:hint="cs"/>
          <w:sz w:val="30"/>
          <w:rtl/>
          <w:lang/>
        </w:rPr>
        <w:t>في حال عودته</w:t>
      </w:r>
      <w:r w:rsidRPr="00FA0FC2">
        <w:rPr>
          <w:sz w:val="30"/>
          <w:rtl/>
          <w:lang/>
        </w:rPr>
        <w:t xml:space="preserve"> </w:t>
      </w:r>
      <w:r w:rsidRPr="00FA0FC2">
        <w:rPr>
          <w:rStyle w:val="hps"/>
          <w:sz w:val="30"/>
          <w:rtl/>
          <w:lang/>
        </w:rPr>
        <w:t>إلى بلده</w:t>
      </w:r>
      <w:r w:rsidRPr="00FA0FC2">
        <w:rPr>
          <w:sz w:val="30"/>
          <w:rtl/>
          <w:lang/>
        </w:rPr>
        <w:t xml:space="preserve"> </w:t>
      </w:r>
      <w:r w:rsidRPr="00FA0FC2">
        <w:rPr>
          <w:rStyle w:val="hps"/>
          <w:sz w:val="30"/>
          <w:rtl/>
          <w:lang/>
        </w:rPr>
        <w:t>الأصل</w:t>
      </w:r>
      <w:r w:rsidRPr="00FA0FC2">
        <w:rPr>
          <w:rStyle w:val="hps"/>
          <w:rFonts w:hint="cs"/>
          <w:sz w:val="30"/>
          <w:rtl/>
          <w:lang/>
        </w:rPr>
        <w:t>ي</w:t>
      </w:r>
      <w:r w:rsidRPr="00FA0FC2">
        <w:rPr>
          <w:rFonts w:hint="cs"/>
          <w:sz w:val="30"/>
          <w:rtl/>
          <w:lang/>
        </w:rPr>
        <w:t>، وهو العنصر المتمثل في</w:t>
      </w:r>
      <w:r w:rsidRPr="00FA0FC2">
        <w:rPr>
          <w:rStyle w:val="hps"/>
          <w:rFonts w:hint="cs"/>
          <w:sz w:val="30"/>
          <w:rtl/>
          <w:lang/>
        </w:rPr>
        <w:t xml:space="preserve"> معرفة</w:t>
      </w:r>
      <w:r>
        <w:rPr>
          <w:rStyle w:val="hps"/>
          <w:rFonts w:hint="cs"/>
          <w:sz w:val="30"/>
          <w:rtl/>
          <w:lang/>
        </w:rPr>
        <w:t xml:space="preserve"> ما</w:t>
      </w:r>
      <w:r>
        <w:rPr>
          <w:rStyle w:val="hps"/>
          <w:sz w:val="30"/>
          <w:rtl/>
          <w:lang/>
        </w:rPr>
        <w:t> </w:t>
      </w:r>
      <w:r w:rsidRPr="00FA0FC2">
        <w:rPr>
          <w:rStyle w:val="hps"/>
          <w:rFonts w:hint="cs"/>
          <w:sz w:val="30"/>
          <w:rtl/>
          <w:lang/>
        </w:rPr>
        <w:t>إ</w:t>
      </w:r>
      <w:r w:rsidRPr="00FA0FC2">
        <w:rPr>
          <w:rStyle w:val="hps"/>
          <w:sz w:val="30"/>
          <w:rtl/>
          <w:lang/>
        </w:rPr>
        <w:t>ذا كان</w:t>
      </w:r>
      <w:r w:rsidRPr="00FA0FC2">
        <w:rPr>
          <w:rStyle w:val="hps"/>
          <w:rFonts w:hint="cs"/>
          <w:sz w:val="30"/>
          <w:rtl/>
          <w:lang/>
        </w:rPr>
        <w:t xml:space="preserve"> هذا الأخير</w:t>
      </w:r>
      <w:r w:rsidRPr="00FA0FC2">
        <w:rPr>
          <w:sz w:val="30"/>
          <w:rtl/>
          <w:lang/>
        </w:rPr>
        <w:t xml:space="preserve"> </w:t>
      </w:r>
      <w:r w:rsidRPr="00FA0FC2">
        <w:rPr>
          <w:rStyle w:val="hps"/>
          <w:sz w:val="30"/>
          <w:rtl/>
          <w:lang/>
        </w:rPr>
        <w:t xml:space="preserve">قد </w:t>
      </w:r>
      <w:r w:rsidRPr="00FA0FC2">
        <w:rPr>
          <w:rStyle w:val="hps"/>
          <w:rFonts w:hint="cs"/>
          <w:sz w:val="30"/>
          <w:rtl/>
          <w:lang/>
        </w:rPr>
        <w:t>شارك</w:t>
      </w:r>
      <w:r w:rsidRPr="00FA0FC2">
        <w:rPr>
          <w:rStyle w:val="hps"/>
          <w:sz w:val="30"/>
          <w:rtl/>
          <w:lang/>
        </w:rPr>
        <w:t xml:space="preserve"> في</w:t>
      </w:r>
      <w:r w:rsidRPr="00FA0FC2">
        <w:rPr>
          <w:sz w:val="30"/>
          <w:rtl/>
          <w:lang/>
        </w:rPr>
        <w:t xml:space="preserve"> </w:t>
      </w:r>
      <w:r w:rsidRPr="00FA0FC2">
        <w:rPr>
          <w:rStyle w:val="hps"/>
          <w:sz w:val="30"/>
          <w:rtl/>
          <w:lang/>
        </w:rPr>
        <w:t>أنشطة سياسية</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اليمن</w:t>
      </w:r>
      <w:r w:rsidRPr="00FA0FC2">
        <w:rPr>
          <w:sz w:val="30"/>
          <w:rtl/>
          <w:lang/>
        </w:rPr>
        <w:t xml:space="preserve">. </w:t>
      </w:r>
      <w:r w:rsidRPr="00FA0FC2">
        <w:rPr>
          <w:rStyle w:val="hps"/>
          <w:sz w:val="30"/>
          <w:rtl/>
          <w:lang/>
        </w:rPr>
        <w:t>وتلاحظ الدولة الطرف</w:t>
      </w:r>
      <w:r w:rsidRPr="00FA0FC2">
        <w:rPr>
          <w:sz w:val="30"/>
          <w:rtl/>
          <w:lang/>
        </w:rPr>
        <w:t xml:space="preserve"> </w:t>
      </w:r>
      <w:r w:rsidRPr="00FA0FC2">
        <w:rPr>
          <w:rStyle w:val="hps"/>
          <w:sz w:val="30"/>
          <w:rtl/>
          <w:lang/>
        </w:rPr>
        <w:t>في هذا الصدد أن صاحب الشكوى</w:t>
      </w:r>
      <w:r w:rsidRPr="00FA0FC2">
        <w:rPr>
          <w:sz w:val="30"/>
          <w:rtl/>
          <w:lang/>
        </w:rPr>
        <w:t xml:space="preserve"> </w:t>
      </w:r>
      <w:r w:rsidRPr="00FA0FC2">
        <w:rPr>
          <w:rStyle w:val="hps"/>
          <w:sz w:val="30"/>
          <w:rtl/>
          <w:lang/>
        </w:rPr>
        <w:t>الأول</w:t>
      </w:r>
      <w:r w:rsidRPr="00FA0FC2">
        <w:rPr>
          <w:rStyle w:val="hps"/>
          <w:rFonts w:hint="cs"/>
          <w:sz w:val="30"/>
          <w:rtl/>
          <w:lang/>
        </w:rPr>
        <w:t xml:space="preserve"> قد</w:t>
      </w:r>
      <w:r w:rsidRPr="00FA0FC2">
        <w:rPr>
          <w:sz w:val="30"/>
          <w:rtl/>
          <w:lang/>
        </w:rPr>
        <w:t xml:space="preserve"> </w:t>
      </w:r>
      <w:r w:rsidRPr="00FA0FC2">
        <w:rPr>
          <w:rStyle w:val="hps"/>
          <w:sz w:val="30"/>
          <w:rtl/>
          <w:lang/>
        </w:rPr>
        <w:t>صرح</w:t>
      </w:r>
      <w:r w:rsidRPr="00FA0FC2">
        <w:rPr>
          <w:sz w:val="30"/>
          <w:rtl/>
          <w:lang/>
        </w:rPr>
        <w:t xml:space="preserve"> </w:t>
      </w:r>
      <w:r w:rsidRPr="00FA0FC2">
        <w:rPr>
          <w:rStyle w:val="hps"/>
          <w:sz w:val="30"/>
          <w:rtl/>
          <w:lang/>
        </w:rPr>
        <w:t>خلال</w:t>
      </w:r>
      <w:r w:rsidRPr="00FA0FC2">
        <w:rPr>
          <w:sz w:val="30"/>
          <w:rtl/>
          <w:lang/>
        </w:rPr>
        <w:t xml:space="preserve"> </w:t>
      </w:r>
      <w:r w:rsidRPr="00FA0FC2">
        <w:rPr>
          <w:rFonts w:hint="cs"/>
          <w:sz w:val="30"/>
          <w:rtl/>
          <w:lang/>
        </w:rPr>
        <w:t>ال</w:t>
      </w:r>
      <w:r w:rsidRPr="00FA0FC2">
        <w:rPr>
          <w:rStyle w:val="hps"/>
          <w:sz w:val="30"/>
          <w:rtl/>
          <w:lang/>
        </w:rPr>
        <w:t>مقابلات</w:t>
      </w:r>
      <w:r w:rsidRPr="00FA0FC2">
        <w:rPr>
          <w:sz w:val="30"/>
          <w:rtl/>
          <w:lang/>
        </w:rPr>
        <w:t xml:space="preserve"> </w:t>
      </w:r>
      <w:r w:rsidRPr="00FA0FC2">
        <w:rPr>
          <w:rFonts w:hint="cs"/>
          <w:sz w:val="30"/>
          <w:rtl/>
          <w:lang/>
        </w:rPr>
        <w:t xml:space="preserve">التي أجريت معه في إطار إجراءات </w:t>
      </w:r>
      <w:r w:rsidRPr="00FA0FC2">
        <w:rPr>
          <w:rStyle w:val="hps"/>
          <w:sz w:val="30"/>
          <w:rtl/>
          <w:lang/>
        </w:rPr>
        <w:t>اللجوء أنه كان</w:t>
      </w:r>
      <w:r w:rsidRPr="00FA0FC2">
        <w:rPr>
          <w:sz w:val="30"/>
          <w:rtl/>
          <w:lang/>
        </w:rPr>
        <w:t xml:space="preserve"> </w:t>
      </w:r>
      <w:r w:rsidRPr="00FA0FC2">
        <w:rPr>
          <w:rStyle w:val="hps"/>
          <w:sz w:val="30"/>
          <w:rtl/>
          <w:lang/>
        </w:rPr>
        <w:t>عضوا في</w:t>
      </w:r>
      <w:r w:rsidRPr="00FA0FC2">
        <w:rPr>
          <w:sz w:val="30"/>
          <w:rtl/>
          <w:lang/>
        </w:rPr>
        <w:t xml:space="preserve"> </w:t>
      </w:r>
      <w:r w:rsidRPr="00FA0FC2">
        <w:rPr>
          <w:rStyle w:val="hps"/>
          <w:sz w:val="30"/>
          <w:rtl/>
          <w:lang/>
        </w:rPr>
        <w:t>الحزب الاشتراكي اليمني</w:t>
      </w:r>
      <w:r w:rsidRPr="00FA0FC2">
        <w:rPr>
          <w:sz w:val="30"/>
          <w:rtl/>
          <w:lang/>
        </w:rPr>
        <w:t xml:space="preserve"> </w:t>
      </w:r>
      <w:r w:rsidRPr="00FA0FC2">
        <w:rPr>
          <w:rStyle w:val="hps"/>
          <w:sz w:val="30"/>
          <w:rtl/>
          <w:lang/>
        </w:rPr>
        <w:t>قبل توحيد</w:t>
      </w:r>
      <w:r w:rsidRPr="00FA0FC2">
        <w:rPr>
          <w:sz w:val="30"/>
          <w:rtl/>
          <w:lang/>
        </w:rPr>
        <w:t xml:space="preserve"> </w:t>
      </w:r>
      <w:r w:rsidRPr="00FA0FC2">
        <w:rPr>
          <w:rStyle w:val="hps"/>
          <w:sz w:val="30"/>
          <w:rtl/>
          <w:lang/>
        </w:rPr>
        <w:t>اليمن</w:t>
      </w:r>
      <w:r w:rsidRPr="00FA0FC2">
        <w:rPr>
          <w:sz w:val="30"/>
          <w:rtl/>
          <w:lang/>
        </w:rPr>
        <w:t xml:space="preserve"> </w:t>
      </w:r>
      <w:r w:rsidRPr="00FA0FC2">
        <w:rPr>
          <w:rStyle w:val="hps"/>
          <w:sz w:val="30"/>
          <w:rtl/>
          <w:lang/>
        </w:rPr>
        <w:t>في</w:t>
      </w:r>
      <w:r>
        <w:rPr>
          <w:rStyle w:val="hps"/>
          <w:sz w:val="30"/>
          <w:rtl/>
          <w:lang/>
        </w:rPr>
        <w:t xml:space="preserve"> عام </w:t>
      </w:r>
      <w:r w:rsidRPr="00FA0FC2">
        <w:rPr>
          <w:rStyle w:val="hps"/>
          <w:sz w:val="30"/>
          <w:rtl/>
          <w:lang/>
        </w:rPr>
        <w:t>1990</w:t>
      </w:r>
      <w:r w:rsidRPr="00FA0FC2">
        <w:rPr>
          <w:sz w:val="30"/>
          <w:rtl/>
          <w:lang/>
        </w:rPr>
        <w:t xml:space="preserve">. </w:t>
      </w:r>
      <w:r w:rsidRPr="00FA0FC2">
        <w:rPr>
          <w:rStyle w:val="hps"/>
          <w:sz w:val="30"/>
          <w:rtl/>
          <w:lang/>
        </w:rPr>
        <w:t>وذكر</w:t>
      </w:r>
      <w:r w:rsidRPr="00FA0FC2">
        <w:rPr>
          <w:sz w:val="30"/>
          <w:rtl/>
          <w:lang/>
        </w:rPr>
        <w:t xml:space="preserve"> </w:t>
      </w:r>
      <w:r w:rsidRPr="00FA0FC2">
        <w:rPr>
          <w:rStyle w:val="hps"/>
          <w:rFonts w:hint="cs"/>
          <w:sz w:val="30"/>
          <w:rtl/>
          <w:lang/>
        </w:rPr>
        <w:t>صاحب</w:t>
      </w:r>
      <w:r w:rsidRPr="00FA0FC2">
        <w:rPr>
          <w:rStyle w:val="hps"/>
          <w:sz w:val="30"/>
          <w:rtl/>
          <w:lang/>
        </w:rPr>
        <w:t xml:space="preserve"> الشكوى</w:t>
      </w:r>
      <w:r w:rsidRPr="00FA0FC2">
        <w:rPr>
          <w:sz w:val="30"/>
          <w:rtl/>
          <w:lang/>
        </w:rPr>
        <w:t xml:space="preserve"> </w:t>
      </w:r>
      <w:r w:rsidRPr="00FA0FC2">
        <w:rPr>
          <w:rStyle w:val="hps"/>
          <w:sz w:val="30"/>
          <w:rtl/>
          <w:lang/>
        </w:rPr>
        <w:t>الأول</w:t>
      </w:r>
      <w:r w:rsidRPr="00FA0FC2">
        <w:rPr>
          <w:rStyle w:val="hps"/>
          <w:rFonts w:hint="cs"/>
          <w:sz w:val="30"/>
          <w:rtl/>
          <w:lang/>
        </w:rPr>
        <w:t xml:space="preserve"> </w:t>
      </w:r>
      <w:r w:rsidRPr="00FA0FC2">
        <w:rPr>
          <w:rStyle w:val="hps"/>
          <w:sz w:val="30"/>
          <w:rtl/>
          <w:lang/>
        </w:rPr>
        <w:t>بوضوح أن</w:t>
      </w:r>
      <w:r w:rsidRPr="00FA0FC2">
        <w:rPr>
          <w:rStyle w:val="hps"/>
          <w:rFonts w:hint="cs"/>
          <w:sz w:val="30"/>
          <w:rtl/>
          <w:lang/>
        </w:rPr>
        <w:t>ه</w:t>
      </w:r>
      <w:r w:rsidRPr="00FA0FC2">
        <w:rPr>
          <w:sz w:val="30"/>
          <w:rtl/>
          <w:lang/>
        </w:rPr>
        <w:t xml:space="preserve"> </w:t>
      </w:r>
      <w:r w:rsidRPr="00FA0FC2">
        <w:rPr>
          <w:rStyle w:val="hps"/>
          <w:sz w:val="30"/>
          <w:rtl/>
          <w:lang/>
        </w:rPr>
        <w:t>أصبح عضوا</w:t>
      </w:r>
      <w:r w:rsidRPr="00FA0FC2">
        <w:rPr>
          <w:rStyle w:val="hps"/>
          <w:rFonts w:hint="cs"/>
          <w:sz w:val="30"/>
          <w:rtl/>
          <w:lang/>
        </w:rPr>
        <w:t>ً في هذا الحزب</w:t>
      </w:r>
      <w:r w:rsidRPr="00FA0FC2">
        <w:rPr>
          <w:sz w:val="30"/>
          <w:rtl/>
          <w:lang/>
        </w:rPr>
        <w:t xml:space="preserve"> </w:t>
      </w:r>
      <w:r w:rsidRPr="00FA0FC2">
        <w:rPr>
          <w:rStyle w:val="hps"/>
          <w:rFonts w:hint="cs"/>
          <w:sz w:val="30"/>
          <w:rtl/>
          <w:lang/>
        </w:rPr>
        <w:t>ل</w:t>
      </w:r>
      <w:r w:rsidRPr="00FA0FC2">
        <w:rPr>
          <w:rStyle w:val="hps"/>
          <w:sz w:val="30"/>
          <w:rtl/>
          <w:lang/>
        </w:rPr>
        <w:t>لاستفادة</w:t>
      </w:r>
      <w:r w:rsidRPr="00FA0FC2">
        <w:rPr>
          <w:sz w:val="30"/>
          <w:rtl/>
          <w:lang/>
        </w:rPr>
        <w:t xml:space="preserve"> </w:t>
      </w:r>
      <w:r w:rsidRPr="00FA0FC2">
        <w:rPr>
          <w:rStyle w:val="hps"/>
          <w:sz w:val="30"/>
          <w:rtl/>
          <w:lang/>
        </w:rPr>
        <w:t>من بعض</w:t>
      </w:r>
      <w:r w:rsidRPr="00FA0FC2">
        <w:rPr>
          <w:sz w:val="30"/>
          <w:rtl/>
          <w:lang/>
        </w:rPr>
        <w:t xml:space="preserve"> </w:t>
      </w:r>
      <w:r w:rsidRPr="00FA0FC2">
        <w:rPr>
          <w:rStyle w:val="hps"/>
          <w:sz w:val="30"/>
          <w:rtl/>
          <w:lang/>
        </w:rPr>
        <w:t xml:space="preserve">الامتيازات </w:t>
      </w:r>
      <w:r w:rsidRPr="00FA0FC2">
        <w:rPr>
          <w:rStyle w:val="hps"/>
          <w:rFonts w:hint="cs"/>
          <w:sz w:val="30"/>
          <w:rtl/>
          <w:lang/>
        </w:rPr>
        <w:t>المترتبة على</w:t>
      </w:r>
      <w:r w:rsidRPr="00FA0FC2">
        <w:rPr>
          <w:rStyle w:val="hps"/>
          <w:sz w:val="30"/>
          <w:rtl/>
          <w:lang/>
        </w:rPr>
        <w:t xml:space="preserve"> </w:t>
      </w:r>
      <w:r w:rsidRPr="00FA0FC2">
        <w:rPr>
          <w:rStyle w:val="hps"/>
          <w:rFonts w:hint="cs"/>
          <w:sz w:val="30"/>
          <w:rtl/>
          <w:lang/>
        </w:rPr>
        <w:t>ال</w:t>
      </w:r>
      <w:r w:rsidRPr="00FA0FC2">
        <w:rPr>
          <w:rStyle w:val="hps"/>
          <w:sz w:val="30"/>
          <w:rtl/>
          <w:lang/>
        </w:rPr>
        <w:t>عضوية</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الحزب الاشتراكي اليمني.</w:t>
      </w:r>
      <w:r w:rsidRPr="00FA0FC2">
        <w:rPr>
          <w:sz w:val="30"/>
          <w:rtl/>
          <w:lang/>
        </w:rPr>
        <w:t xml:space="preserve"> </w:t>
      </w:r>
      <w:r w:rsidRPr="00FA0FC2">
        <w:rPr>
          <w:rStyle w:val="hps"/>
          <w:sz w:val="30"/>
          <w:rtl/>
          <w:lang/>
        </w:rPr>
        <w:t>وبالإضافة إلى ذلك</w:t>
      </w:r>
      <w:r w:rsidRPr="00FA0FC2">
        <w:rPr>
          <w:sz w:val="30"/>
          <w:rtl/>
          <w:lang/>
        </w:rPr>
        <w:t>،</w:t>
      </w:r>
      <w:r w:rsidRPr="00FA0FC2">
        <w:rPr>
          <w:rFonts w:hint="cs"/>
          <w:sz w:val="30"/>
          <w:rtl/>
          <w:lang/>
        </w:rPr>
        <w:t xml:space="preserve"> أفاد صاحب الشكوى الأول أن الوضع السائد قبل التوحيد</w:t>
      </w:r>
      <w:r>
        <w:rPr>
          <w:rFonts w:hint="cs"/>
          <w:sz w:val="30"/>
          <w:rtl/>
          <w:lang/>
        </w:rPr>
        <w:t xml:space="preserve"> لا</w:t>
      </w:r>
      <w:r>
        <w:rPr>
          <w:sz w:val="30"/>
          <w:rtl/>
          <w:lang/>
        </w:rPr>
        <w:t> </w:t>
      </w:r>
      <w:r w:rsidRPr="00FA0FC2">
        <w:rPr>
          <w:rFonts w:hint="cs"/>
          <w:sz w:val="30"/>
          <w:rtl/>
          <w:lang/>
        </w:rPr>
        <w:t>يشكل السبب الذي دفعه إلى تقديم طلب اللجوء.</w:t>
      </w:r>
      <w:r w:rsidRPr="00FA0FC2">
        <w:rPr>
          <w:sz w:val="30"/>
          <w:rtl/>
          <w:lang/>
        </w:rPr>
        <w:t xml:space="preserve"> </w:t>
      </w:r>
      <w:r w:rsidRPr="00FA0FC2">
        <w:rPr>
          <w:rStyle w:val="hps"/>
          <w:sz w:val="30"/>
          <w:rtl/>
          <w:lang/>
        </w:rPr>
        <w:t>واعترف</w:t>
      </w:r>
      <w:r w:rsidRPr="00FA0FC2">
        <w:rPr>
          <w:sz w:val="30"/>
          <w:rtl/>
          <w:lang/>
        </w:rPr>
        <w:t xml:space="preserve"> </w:t>
      </w:r>
      <w:r w:rsidRPr="00FA0FC2">
        <w:rPr>
          <w:rStyle w:val="hps"/>
          <w:sz w:val="30"/>
          <w:rtl/>
          <w:lang/>
        </w:rPr>
        <w:t>صاحب الشكوى</w:t>
      </w:r>
      <w:r w:rsidRPr="00FA0FC2">
        <w:rPr>
          <w:sz w:val="30"/>
          <w:rtl/>
          <w:lang/>
        </w:rPr>
        <w:t xml:space="preserve"> </w:t>
      </w:r>
      <w:r w:rsidRPr="00FA0FC2">
        <w:rPr>
          <w:rStyle w:val="hps"/>
          <w:sz w:val="30"/>
          <w:rtl/>
          <w:lang/>
        </w:rPr>
        <w:t xml:space="preserve">الأول </w:t>
      </w:r>
      <w:r w:rsidRPr="00FA0FC2">
        <w:rPr>
          <w:rStyle w:val="hps"/>
          <w:rFonts w:hint="cs"/>
          <w:sz w:val="30"/>
          <w:rtl/>
          <w:lang/>
        </w:rPr>
        <w:t>أنه</w:t>
      </w:r>
      <w:r>
        <w:rPr>
          <w:rStyle w:val="hps"/>
          <w:rFonts w:hint="cs"/>
          <w:sz w:val="30"/>
          <w:rtl/>
          <w:lang/>
        </w:rPr>
        <w:t xml:space="preserve"> لم</w:t>
      </w:r>
      <w:r>
        <w:rPr>
          <w:rStyle w:val="hps"/>
          <w:sz w:val="30"/>
          <w:rtl/>
          <w:lang/>
        </w:rPr>
        <w:t> </w:t>
      </w:r>
      <w:r w:rsidRPr="00FA0FC2">
        <w:rPr>
          <w:rStyle w:val="hps"/>
          <w:rFonts w:hint="cs"/>
          <w:sz w:val="30"/>
          <w:rtl/>
          <w:lang/>
        </w:rPr>
        <w:t>يكن، بعد توحيد اليمن،</w:t>
      </w:r>
      <w:r w:rsidRPr="00FA0FC2">
        <w:rPr>
          <w:sz w:val="30"/>
          <w:rtl/>
          <w:lang/>
        </w:rPr>
        <w:t xml:space="preserve"> </w:t>
      </w:r>
      <w:r w:rsidRPr="00FA0FC2">
        <w:rPr>
          <w:rStyle w:val="hps"/>
          <w:sz w:val="30"/>
          <w:rtl/>
          <w:lang/>
        </w:rPr>
        <w:t>عضوا</w:t>
      </w:r>
      <w:r w:rsidRPr="00FA0FC2">
        <w:rPr>
          <w:rStyle w:val="hps"/>
          <w:rFonts w:hint="cs"/>
          <w:sz w:val="30"/>
          <w:rtl/>
          <w:lang/>
        </w:rPr>
        <w:t>ً</w:t>
      </w:r>
      <w:r w:rsidRPr="00FA0FC2">
        <w:rPr>
          <w:rStyle w:val="hps"/>
          <w:sz w:val="30"/>
          <w:rtl/>
          <w:lang/>
        </w:rPr>
        <w:t xml:space="preserve"> في أي</w:t>
      </w:r>
      <w:r w:rsidRPr="00FA0FC2">
        <w:rPr>
          <w:sz w:val="30"/>
          <w:rtl/>
          <w:lang/>
        </w:rPr>
        <w:t xml:space="preserve"> </w:t>
      </w:r>
      <w:r w:rsidRPr="00FA0FC2">
        <w:rPr>
          <w:rStyle w:val="hps"/>
          <w:sz w:val="30"/>
          <w:rtl/>
          <w:lang/>
        </w:rPr>
        <w:t>حزب سياسي</w:t>
      </w:r>
      <w:r>
        <w:rPr>
          <w:sz w:val="30"/>
          <w:rtl/>
          <w:lang/>
        </w:rPr>
        <w:t xml:space="preserve"> ولم </w:t>
      </w:r>
      <w:r w:rsidRPr="00FA0FC2">
        <w:rPr>
          <w:rStyle w:val="hps"/>
          <w:rFonts w:hint="cs"/>
          <w:sz w:val="30"/>
          <w:rtl/>
          <w:lang/>
        </w:rPr>
        <w:t>يكن</w:t>
      </w:r>
      <w:r w:rsidRPr="00FA0FC2">
        <w:rPr>
          <w:sz w:val="30"/>
          <w:rtl/>
          <w:lang/>
        </w:rPr>
        <w:t xml:space="preserve"> </w:t>
      </w:r>
      <w:r w:rsidRPr="00FA0FC2">
        <w:rPr>
          <w:rStyle w:val="hps"/>
          <w:sz w:val="30"/>
          <w:rtl/>
          <w:lang/>
        </w:rPr>
        <w:t>ناشطا</w:t>
      </w:r>
      <w:r w:rsidRPr="00FA0FC2">
        <w:rPr>
          <w:rStyle w:val="hps"/>
          <w:rFonts w:hint="cs"/>
          <w:sz w:val="30"/>
          <w:rtl/>
          <w:lang/>
        </w:rPr>
        <w:t>ً</w:t>
      </w:r>
      <w:r w:rsidRPr="00FA0FC2">
        <w:rPr>
          <w:rStyle w:val="hps"/>
          <w:sz w:val="30"/>
          <w:rtl/>
          <w:lang/>
        </w:rPr>
        <w:t xml:space="preserve"> سياسيا</w:t>
      </w:r>
      <w:r w:rsidRPr="00FA0FC2">
        <w:rPr>
          <w:rStyle w:val="hps"/>
          <w:rFonts w:hint="cs"/>
          <w:sz w:val="30"/>
          <w:rtl/>
          <w:lang/>
        </w:rPr>
        <w:t>ً</w:t>
      </w:r>
      <w:r w:rsidRPr="00FA0FC2">
        <w:rPr>
          <w:sz w:val="30"/>
          <w:rtl/>
          <w:lang/>
        </w:rPr>
        <w:t xml:space="preserve">. </w:t>
      </w:r>
      <w:r w:rsidRPr="00FA0FC2">
        <w:rPr>
          <w:rStyle w:val="hps"/>
          <w:sz w:val="30"/>
          <w:rtl/>
          <w:lang/>
        </w:rPr>
        <w:t>وتضيف الدولة الطرف</w:t>
      </w:r>
      <w:r w:rsidRPr="00FA0FC2">
        <w:rPr>
          <w:sz w:val="30"/>
          <w:rtl/>
          <w:lang/>
        </w:rPr>
        <w:t xml:space="preserve"> </w:t>
      </w:r>
      <w:r w:rsidRPr="00FA0FC2">
        <w:rPr>
          <w:rStyle w:val="hps"/>
          <w:sz w:val="30"/>
          <w:rtl/>
          <w:lang/>
        </w:rPr>
        <w:t>أن</w:t>
      </w:r>
      <w:r w:rsidRPr="00FA0FC2">
        <w:rPr>
          <w:sz w:val="30"/>
          <w:rtl/>
          <w:lang/>
        </w:rPr>
        <w:t xml:space="preserve"> </w:t>
      </w:r>
      <w:r w:rsidRPr="00FA0FC2">
        <w:rPr>
          <w:rStyle w:val="hps"/>
          <w:rFonts w:hint="cs"/>
          <w:sz w:val="30"/>
          <w:rtl/>
          <w:lang/>
        </w:rPr>
        <w:t>النشاط</w:t>
      </w:r>
      <w:r w:rsidRPr="00FA0FC2">
        <w:rPr>
          <w:rStyle w:val="hps"/>
          <w:sz w:val="30"/>
          <w:rtl/>
          <w:lang/>
        </w:rPr>
        <w:t xml:space="preserve"> السياسي</w:t>
      </w:r>
      <w:r w:rsidRPr="00FA0FC2">
        <w:rPr>
          <w:sz w:val="30"/>
          <w:rtl/>
          <w:lang/>
        </w:rPr>
        <w:t xml:space="preserve"> </w:t>
      </w:r>
      <w:r w:rsidRPr="00FA0FC2">
        <w:rPr>
          <w:rStyle w:val="hps"/>
          <w:rFonts w:hint="cs"/>
          <w:sz w:val="30"/>
          <w:rtl/>
          <w:lang/>
        </w:rPr>
        <w:t>الوحيد الذي مارسه،</w:t>
      </w:r>
      <w:r>
        <w:rPr>
          <w:rStyle w:val="hps"/>
          <w:rFonts w:hint="cs"/>
          <w:sz w:val="30"/>
          <w:rtl/>
          <w:lang/>
        </w:rPr>
        <w:t xml:space="preserve"> فيما</w:t>
      </w:r>
      <w:r>
        <w:rPr>
          <w:rStyle w:val="hps"/>
          <w:sz w:val="30"/>
          <w:rtl/>
          <w:lang/>
        </w:rPr>
        <w:t> </w:t>
      </w:r>
      <w:r w:rsidRPr="00FA0FC2">
        <w:rPr>
          <w:rStyle w:val="hps"/>
          <w:sz w:val="30"/>
          <w:rtl/>
          <w:lang/>
        </w:rPr>
        <w:t>يبدو</w:t>
      </w:r>
      <w:r w:rsidRPr="00FA0FC2">
        <w:rPr>
          <w:rStyle w:val="hps"/>
          <w:rFonts w:hint="cs"/>
          <w:sz w:val="30"/>
          <w:rtl/>
          <w:lang/>
        </w:rPr>
        <w:t>، يتمثل في</w:t>
      </w:r>
      <w:r w:rsidRPr="00FA0FC2">
        <w:rPr>
          <w:rStyle w:val="hps"/>
          <w:sz w:val="30"/>
          <w:rtl/>
          <w:lang/>
        </w:rPr>
        <w:t xml:space="preserve"> مشاركته في</w:t>
      </w:r>
      <w:r w:rsidRPr="00FA0FC2">
        <w:rPr>
          <w:sz w:val="30"/>
          <w:rtl/>
          <w:lang/>
        </w:rPr>
        <w:t xml:space="preserve"> </w:t>
      </w:r>
      <w:r w:rsidRPr="00FA0FC2">
        <w:rPr>
          <w:rStyle w:val="hps"/>
          <w:rFonts w:hint="cs"/>
          <w:sz w:val="30"/>
          <w:rtl/>
          <w:lang/>
        </w:rPr>
        <w:t>المظاهرة التي نظمت</w:t>
      </w:r>
      <w:r w:rsidRPr="00FA0FC2">
        <w:rPr>
          <w:sz w:val="30"/>
          <w:rtl/>
          <w:lang/>
        </w:rPr>
        <w:t xml:space="preserve"> </w:t>
      </w:r>
      <w:r w:rsidRPr="00FA0FC2">
        <w:rPr>
          <w:rStyle w:val="hps"/>
          <w:sz w:val="30"/>
          <w:rtl/>
          <w:lang/>
        </w:rPr>
        <w:t xml:space="preserve">في 21 </w:t>
      </w:r>
      <w:r w:rsidRPr="00FA0FC2">
        <w:rPr>
          <w:rStyle w:val="hps"/>
          <w:rFonts w:hint="cs"/>
          <w:sz w:val="30"/>
          <w:rtl/>
          <w:lang/>
        </w:rPr>
        <w:t>أيار/</w:t>
      </w:r>
      <w:r>
        <w:rPr>
          <w:rStyle w:val="hps"/>
          <w:rFonts w:hint="cs"/>
          <w:sz w:val="30"/>
          <w:rtl/>
          <w:lang/>
        </w:rPr>
        <w:t xml:space="preserve"> </w:t>
      </w:r>
      <w:r w:rsidRPr="00FA0FC2">
        <w:rPr>
          <w:rStyle w:val="hps"/>
          <w:sz w:val="30"/>
          <w:rtl/>
          <w:lang/>
        </w:rPr>
        <w:t>مايو</w:t>
      </w:r>
      <w:r w:rsidRPr="00FA0FC2">
        <w:rPr>
          <w:rStyle w:val="hps"/>
          <w:rFonts w:hint="cs"/>
          <w:sz w:val="30"/>
          <w:rtl/>
          <w:lang/>
        </w:rPr>
        <w:t> </w:t>
      </w:r>
      <w:r w:rsidRPr="00FA0FC2">
        <w:rPr>
          <w:rStyle w:val="hps"/>
          <w:sz w:val="30"/>
          <w:rtl/>
          <w:lang/>
        </w:rPr>
        <w:t>2009</w:t>
      </w:r>
      <w:r w:rsidRPr="00FA0FC2">
        <w:rPr>
          <w:sz w:val="30"/>
          <w:rtl/>
          <w:lang/>
        </w:rPr>
        <w:t xml:space="preserve">، </w:t>
      </w:r>
      <w:r w:rsidRPr="00FA0FC2">
        <w:rPr>
          <w:rStyle w:val="hps"/>
          <w:sz w:val="30"/>
          <w:rtl/>
          <w:lang/>
        </w:rPr>
        <w:t>وهو</w:t>
      </w:r>
      <w:r>
        <w:rPr>
          <w:rStyle w:val="hps"/>
          <w:sz w:val="30"/>
          <w:rtl/>
          <w:lang/>
        </w:rPr>
        <w:t xml:space="preserve"> ما </w:t>
      </w:r>
      <w:r w:rsidRPr="00FA0FC2">
        <w:rPr>
          <w:rStyle w:val="hps"/>
          <w:sz w:val="30"/>
          <w:rtl/>
          <w:lang/>
        </w:rPr>
        <w:t>تؤكده</w:t>
      </w:r>
      <w:r w:rsidRPr="00FA0FC2">
        <w:rPr>
          <w:sz w:val="30"/>
          <w:rtl/>
          <w:lang/>
        </w:rPr>
        <w:t xml:space="preserve"> </w:t>
      </w:r>
      <w:r w:rsidRPr="00FA0FC2">
        <w:rPr>
          <w:rStyle w:val="hps"/>
          <w:sz w:val="30"/>
          <w:rtl/>
          <w:lang/>
        </w:rPr>
        <w:t>حقيقة أنه</w:t>
      </w:r>
      <w:r>
        <w:rPr>
          <w:sz w:val="30"/>
          <w:rtl/>
          <w:lang/>
        </w:rPr>
        <w:t xml:space="preserve"> لم </w:t>
      </w:r>
      <w:r w:rsidRPr="00FA0FC2">
        <w:rPr>
          <w:rStyle w:val="hps"/>
          <w:rFonts w:hint="cs"/>
          <w:sz w:val="30"/>
          <w:rtl/>
          <w:lang/>
        </w:rPr>
        <w:t xml:space="preserve">يتمكن من ذكر </w:t>
      </w:r>
      <w:r w:rsidRPr="00FA0FC2">
        <w:rPr>
          <w:rStyle w:val="hps"/>
          <w:sz w:val="30"/>
          <w:rtl/>
          <w:lang/>
        </w:rPr>
        <w:t>أي</w:t>
      </w:r>
      <w:r w:rsidRPr="00FA0FC2">
        <w:rPr>
          <w:rStyle w:val="hps"/>
          <w:rFonts w:hint="cs"/>
          <w:sz w:val="30"/>
          <w:rtl/>
          <w:lang/>
        </w:rPr>
        <w:t>ة</w:t>
      </w:r>
      <w:r w:rsidRPr="00FA0FC2">
        <w:rPr>
          <w:sz w:val="30"/>
          <w:rtl/>
          <w:lang/>
        </w:rPr>
        <w:t xml:space="preserve"> </w:t>
      </w:r>
      <w:r w:rsidRPr="00FA0FC2">
        <w:rPr>
          <w:rStyle w:val="hps"/>
          <w:rFonts w:hint="cs"/>
          <w:sz w:val="30"/>
          <w:rtl/>
          <w:lang/>
        </w:rPr>
        <w:t>م</w:t>
      </w:r>
      <w:r w:rsidRPr="00FA0FC2">
        <w:rPr>
          <w:rStyle w:val="hps"/>
          <w:sz w:val="30"/>
          <w:rtl/>
          <w:lang/>
        </w:rPr>
        <w:t>ظاهرات</w:t>
      </w:r>
      <w:r w:rsidRPr="00FA0FC2">
        <w:rPr>
          <w:sz w:val="30"/>
          <w:rtl/>
          <w:lang/>
        </w:rPr>
        <w:t xml:space="preserve"> </w:t>
      </w:r>
      <w:r w:rsidRPr="00FA0FC2">
        <w:rPr>
          <w:rStyle w:val="hps"/>
          <w:sz w:val="30"/>
          <w:rtl/>
          <w:lang/>
        </w:rPr>
        <w:t>أخرى وقعت</w:t>
      </w:r>
      <w:r w:rsidRPr="00FA0FC2">
        <w:rPr>
          <w:rStyle w:val="hps"/>
          <w:rFonts w:hint="cs"/>
          <w:sz w:val="30"/>
          <w:rtl/>
          <w:lang/>
        </w:rPr>
        <w:t xml:space="preserve"> في الفترة الممتدة</w:t>
      </w:r>
      <w:r>
        <w:rPr>
          <w:rStyle w:val="hps"/>
          <w:rFonts w:hint="cs"/>
          <w:sz w:val="30"/>
          <w:rtl/>
          <w:lang/>
        </w:rPr>
        <w:t xml:space="preserve"> ما</w:t>
      </w:r>
      <w:r>
        <w:rPr>
          <w:rStyle w:val="hps"/>
          <w:sz w:val="30"/>
          <w:rtl/>
          <w:lang/>
        </w:rPr>
        <w:t> </w:t>
      </w:r>
      <w:r w:rsidRPr="00FA0FC2">
        <w:rPr>
          <w:rStyle w:val="hps"/>
          <w:sz w:val="30"/>
          <w:rtl/>
          <w:lang/>
        </w:rPr>
        <w:t>بين</w:t>
      </w:r>
      <w:r w:rsidRPr="00FA0FC2">
        <w:rPr>
          <w:sz w:val="30"/>
          <w:rtl/>
          <w:lang/>
        </w:rPr>
        <w:t xml:space="preserve"> </w:t>
      </w:r>
      <w:r w:rsidRPr="00FA0FC2">
        <w:rPr>
          <w:rStyle w:val="hps"/>
          <w:sz w:val="30"/>
          <w:rtl/>
          <w:lang/>
        </w:rPr>
        <w:t>إطلاق سراحه</w:t>
      </w:r>
      <w:r w:rsidRPr="00FA0FC2">
        <w:rPr>
          <w:sz w:val="30"/>
          <w:rtl/>
          <w:lang/>
        </w:rPr>
        <w:t xml:space="preserve"> </w:t>
      </w:r>
      <w:r w:rsidRPr="00FA0FC2">
        <w:rPr>
          <w:rStyle w:val="hps"/>
          <w:rFonts w:hint="cs"/>
          <w:sz w:val="30"/>
          <w:rtl/>
          <w:lang/>
        </w:rPr>
        <w:t>ومغادرته للبلد</w:t>
      </w:r>
      <w:r w:rsidRPr="00FA0FC2">
        <w:rPr>
          <w:sz w:val="30"/>
          <w:rtl/>
          <w:lang/>
        </w:rPr>
        <w:t>.</w:t>
      </w:r>
    </w:p>
    <w:p w:rsidR="00091373" w:rsidRPr="00FA0FC2" w:rsidRDefault="00091373" w:rsidP="00091373">
      <w:pPr>
        <w:pStyle w:val="SingleTxtGA"/>
        <w:rPr>
          <w:rStyle w:val="hps"/>
          <w:sz w:val="30"/>
          <w:rtl/>
          <w:lang/>
        </w:rPr>
      </w:pPr>
      <w:r w:rsidRPr="00FA0FC2">
        <w:rPr>
          <w:sz w:val="30"/>
          <w:rtl/>
          <w:lang w:val="fr-CH"/>
        </w:rPr>
        <w:t>4-10</w:t>
      </w:r>
      <w:r w:rsidRPr="00FA0FC2">
        <w:rPr>
          <w:sz w:val="30"/>
          <w:rtl/>
          <w:lang w:val="fr-CH"/>
        </w:rPr>
        <w:tab/>
      </w:r>
      <w:r w:rsidRPr="00FA0FC2">
        <w:rPr>
          <w:rStyle w:val="hps"/>
          <w:sz w:val="30"/>
          <w:rtl/>
          <w:lang/>
        </w:rPr>
        <w:t>وتضيف الدولة الطرف</w:t>
      </w:r>
      <w:r w:rsidRPr="00FA0FC2">
        <w:rPr>
          <w:sz w:val="30"/>
          <w:rtl/>
          <w:lang/>
        </w:rPr>
        <w:t xml:space="preserve"> </w:t>
      </w:r>
      <w:r w:rsidRPr="00FA0FC2">
        <w:rPr>
          <w:rStyle w:val="hps"/>
          <w:sz w:val="30"/>
          <w:rtl/>
          <w:lang/>
        </w:rPr>
        <w:t>أن</w:t>
      </w:r>
      <w:r w:rsidRPr="00FA0FC2">
        <w:rPr>
          <w:rStyle w:val="hps"/>
          <w:rFonts w:hint="cs"/>
          <w:sz w:val="30"/>
          <w:rtl/>
          <w:lang/>
        </w:rPr>
        <w:t xml:space="preserve"> صاحب الشكوى الأول قدم، خلال إجراءات </w:t>
      </w:r>
      <w:r w:rsidRPr="00FA0FC2">
        <w:rPr>
          <w:rStyle w:val="hps"/>
          <w:sz w:val="30"/>
          <w:rtl/>
          <w:lang/>
        </w:rPr>
        <w:t>المكتب الاتحادي</w:t>
      </w:r>
      <w:r w:rsidRPr="00FA0FC2">
        <w:rPr>
          <w:sz w:val="30"/>
          <w:rtl/>
          <w:lang/>
        </w:rPr>
        <w:t xml:space="preserve"> </w:t>
      </w:r>
      <w:r w:rsidRPr="00FA0FC2">
        <w:rPr>
          <w:rStyle w:val="hps"/>
          <w:sz w:val="30"/>
          <w:rtl/>
          <w:lang/>
        </w:rPr>
        <w:t>للهجرة</w:t>
      </w:r>
      <w:r w:rsidRPr="00FA0FC2">
        <w:rPr>
          <w:sz w:val="30"/>
          <w:rtl/>
          <w:lang/>
        </w:rPr>
        <w:t xml:space="preserve">، </w:t>
      </w:r>
      <w:r w:rsidRPr="00FA0FC2">
        <w:rPr>
          <w:rStyle w:val="hps"/>
          <w:sz w:val="30"/>
          <w:rtl/>
          <w:lang/>
        </w:rPr>
        <w:t>شهادة</w:t>
      </w:r>
      <w:r w:rsidRPr="00FA0FC2">
        <w:rPr>
          <w:sz w:val="30"/>
          <w:rtl/>
          <w:lang/>
        </w:rPr>
        <w:t xml:space="preserve"> </w:t>
      </w:r>
      <w:r w:rsidRPr="00FA0FC2">
        <w:rPr>
          <w:rStyle w:val="hps"/>
          <w:rFonts w:hint="cs"/>
          <w:sz w:val="30"/>
          <w:rtl/>
          <w:lang/>
        </w:rPr>
        <w:t>صادرة عن</w:t>
      </w:r>
      <w:r w:rsidRPr="00FA0FC2">
        <w:rPr>
          <w:sz w:val="30"/>
          <w:rtl/>
          <w:lang/>
        </w:rPr>
        <w:t xml:space="preserve"> </w:t>
      </w:r>
      <w:r w:rsidRPr="00FA0FC2">
        <w:rPr>
          <w:rStyle w:val="hps"/>
          <w:sz w:val="30"/>
          <w:rtl/>
          <w:lang/>
        </w:rPr>
        <w:t>التجمع الديمقراطي الجنوبي</w:t>
      </w:r>
      <w:r w:rsidRPr="00FA0FC2">
        <w:rPr>
          <w:sz w:val="30"/>
          <w:rtl/>
          <w:lang/>
        </w:rPr>
        <w:t xml:space="preserve"> </w:t>
      </w:r>
      <w:r w:rsidRPr="00FA0FC2">
        <w:rPr>
          <w:rStyle w:val="hps"/>
          <w:sz w:val="30"/>
          <w:rtl/>
          <w:lang/>
        </w:rPr>
        <w:t>في المملكة</w:t>
      </w:r>
      <w:r w:rsidRPr="00FA0FC2">
        <w:rPr>
          <w:sz w:val="30"/>
          <w:rtl/>
          <w:lang/>
        </w:rPr>
        <w:t xml:space="preserve"> </w:t>
      </w:r>
      <w:r w:rsidRPr="00FA0FC2">
        <w:rPr>
          <w:rStyle w:val="hps"/>
          <w:sz w:val="30"/>
          <w:rtl/>
          <w:lang/>
        </w:rPr>
        <w:t xml:space="preserve">المتحدة </w:t>
      </w:r>
      <w:r w:rsidRPr="00FA0FC2">
        <w:rPr>
          <w:rStyle w:val="hps"/>
          <w:rFonts w:hint="cs"/>
          <w:sz w:val="30"/>
          <w:rtl/>
          <w:lang/>
        </w:rPr>
        <w:t>بتاريخ</w:t>
      </w:r>
      <w:r w:rsidRPr="00FA0FC2">
        <w:rPr>
          <w:rStyle w:val="hps"/>
          <w:rFonts w:hint="eastAsia"/>
          <w:sz w:val="30"/>
          <w:rtl/>
          <w:lang/>
        </w:rPr>
        <w:t> </w:t>
      </w:r>
      <w:r w:rsidRPr="00FA0FC2">
        <w:rPr>
          <w:rStyle w:val="hps"/>
          <w:sz w:val="30"/>
          <w:rtl/>
          <w:lang/>
        </w:rPr>
        <w:t xml:space="preserve">19 </w:t>
      </w:r>
      <w:r w:rsidRPr="00FA0FC2">
        <w:rPr>
          <w:rStyle w:val="hps"/>
          <w:rFonts w:hint="cs"/>
          <w:sz w:val="30"/>
          <w:rtl/>
          <w:lang/>
        </w:rPr>
        <w:t xml:space="preserve">نيسان/أبريل </w:t>
      </w:r>
      <w:r w:rsidRPr="00FA0FC2">
        <w:rPr>
          <w:rStyle w:val="hps"/>
          <w:sz w:val="30"/>
          <w:rtl/>
          <w:lang/>
        </w:rPr>
        <w:t>2010.</w:t>
      </w:r>
      <w:r w:rsidRPr="00FA0FC2">
        <w:rPr>
          <w:sz w:val="30"/>
          <w:rtl/>
          <w:lang/>
        </w:rPr>
        <w:t xml:space="preserve"> </w:t>
      </w:r>
      <w:r w:rsidRPr="00FA0FC2">
        <w:rPr>
          <w:rStyle w:val="hps"/>
          <w:rFonts w:hint="cs"/>
          <w:sz w:val="30"/>
          <w:rtl/>
          <w:lang/>
        </w:rPr>
        <w:t>ويفيد صاحب هذه الشهادة، السيد أ. ن.،</w:t>
      </w:r>
      <w:r w:rsidRPr="00FA0FC2">
        <w:rPr>
          <w:sz w:val="30"/>
          <w:rtl/>
          <w:lang/>
        </w:rPr>
        <w:t xml:space="preserve"> </w:t>
      </w:r>
      <w:r w:rsidRPr="00FA0FC2">
        <w:rPr>
          <w:rStyle w:val="hps"/>
          <w:sz w:val="30"/>
          <w:rtl/>
          <w:lang/>
        </w:rPr>
        <w:t>أن</w:t>
      </w:r>
      <w:r w:rsidRPr="00FA0FC2">
        <w:rPr>
          <w:rStyle w:val="hps"/>
          <w:rFonts w:hint="cs"/>
          <w:sz w:val="30"/>
          <w:rtl/>
          <w:lang/>
        </w:rPr>
        <w:t xml:space="preserve"> صاحب</w:t>
      </w:r>
      <w:r w:rsidRPr="00FA0FC2">
        <w:rPr>
          <w:sz w:val="30"/>
          <w:rtl/>
          <w:lang/>
        </w:rPr>
        <w:t xml:space="preserve"> </w:t>
      </w:r>
      <w:r w:rsidRPr="00FA0FC2">
        <w:rPr>
          <w:rStyle w:val="hps"/>
          <w:sz w:val="30"/>
          <w:rtl/>
          <w:lang/>
        </w:rPr>
        <w:t>الشكوى</w:t>
      </w:r>
      <w:r w:rsidRPr="00FA0FC2">
        <w:rPr>
          <w:sz w:val="30"/>
          <w:rtl/>
          <w:lang/>
        </w:rPr>
        <w:t xml:space="preserve"> </w:t>
      </w:r>
      <w:r w:rsidRPr="00FA0FC2">
        <w:rPr>
          <w:rStyle w:val="hps"/>
          <w:sz w:val="30"/>
          <w:rtl/>
          <w:lang/>
        </w:rPr>
        <w:t>الأول</w:t>
      </w:r>
      <w:r w:rsidRPr="00FA0FC2">
        <w:rPr>
          <w:sz w:val="30"/>
          <w:rtl/>
          <w:lang/>
        </w:rPr>
        <w:t xml:space="preserve"> </w:t>
      </w:r>
      <w:r w:rsidRPr="00FA0FC2">
        <w:rPr>
          <w:rStyle w:val="hps"/>
          <w:rFonts w:hint="cs"/>
          <w:sz w:val="30"/>
          <w:rtl/>
          <w:lang/>
        </w:rPr>
        <w:t>مواطن من</w:t>
      </w:r>
      <w:r w:rsidRPr="00FA0FC2">
        <w:rPr>
          <w:rStyle w:val="hps"/>
          <w:sz w:val="30"/>
          <w:rtl/>
          <w:lang/>
        </w:rPr>
        <w:t xml:space="preserve"> </w:t>
      </w:r>
      <w:r w:rsidRPr="00FA0FC2">
        <w:rPr>
          <w:rStyle w:val="hps"/>
          <w:rFonts w:hint="cs"/>
          <w:sz w:val="30"/>
          <w:rtl/>
          <w:lang/>
        </w:rPr>
        <w:t xml:space="preserve">جنوب اليمن، وهو أحد المشاركين </w:t>
      </w:r>
      <w:r w:rsidRPr="00FA0FC2">
        <w:rPr>
          <w:rStyle w:val="hps"/>
          <w:sz w:val="30"/>
          <w:rtl/>
          <w:lang/>
        </w:rPr>
        <w:t>في</w:t>
      </w:r>
      <w:r w:rsidRPr="00FA0FC2">
        <w:rPr>
          <w:sz w:val="30"/>
          <w:rtl/>
          <w:lang/>
        </w:rPr>
        <w:t xml:space="preserve"> </w:t>
      </w:r>
      <w:r w:rsidRPr="00FA0FC2">
        <w:rPr>
          <w:rStyle w:val="hps"/>
          <w:sz w:val="30"/>
          <w:rtl/>
          <w:lang/>
        </w:rPr>
        <w:t>أنشطة</w:t>
      </w:r>
      <w:r w:rsidRPr="00FA0FC2">
        <w:rPr>
          <w:sz w:val="30"/>
          <w:rtl/>
          <w:lang/>
        </w:rPr>
        <w:t xml:space="preserve"> </w:t>
      </w:r>
      <w:r w:rsidRPr="00FA0FC2">
        <w:rPr>
          <w:rStyle w:val="hps"/>
          <w:sz w:val="30"/>
          <w:rtl/>
          <w:lang/>
        </w:rPr>
        <w:t>الحراك الجنوبي</w:t>
      </w:r>
      <w:r w:rsidRPr="00FA0FC2">
        <w:rPr>
          <w:rStyle w:val="hps"/>
          <w:rFonts w:hint="cs"/>
          <w:sz w:val="30"/>
          <w:rtl/>
          <w:lang/>
        </w:rPr>
        <w:t>،</w:t>
      </w:r>
      <w:r w:rsidRPr="00FA0FC2">
        <w:rPr>
          <w:sz w:val="30"/>
          <w:rtl/>
          <w:lang/>
        </w:rPr>
        <w:t xml:space="preserve"> </w:t>
      </w:r>
      <w:r w:rsidRPr="00FA0FC2">
        <w:rPr>
          <w:rStyle w:val="hps"/>
          <w:rFonts w:hint="cs"/>
          <w:sz w:val="30"/>
          <w:rtl/>
          <w:lang/>
        </w:rPr>
        <w:t>وأنه كان عرضة</w:t>
      </w:r>
      <w:r w:rsidRPr="00FA0FC2">
        <w:rPr>
          <w:sz w:val="30"/>
          <w:rtl/>
          <w:lang/>
        </w:rPr>
        <w:t xml:space="preserve"> </w:t>
      </w:r>
      <w:r w:rsidRPr="00FA0FC2">
        <w:rPr>
          <w:rStyle w:val="hps"/>
          <w:sz w:val="30"/>
          <w:rtl/>
          <w:lang/>
        </w:rPr>
        <w:t>للاضطهاد</w:t>
      </w:r>
      <w:r w:rsidRPr="00FA0FC2">
        <w:rPr>
          <w:sz w:val="30"/>
          <w:rtl/>
          <w:lang/>
        </w:rPr>
        <w:t xml:space="preserve"> </w:t>
      </w:r>
      <w:r w:rsidRPr="00FA0FC2">
        <w:rPr>
          <w:rStyle w:val="hps"/>
          <w:sz w:val="30"/>
          <w:rtl/>
          <w:lang/>
        </w:rPr>
        <w:t>والاعتقال والتعذيب</w:t>
      </w:r>
      <w:r w:rsidRPr="00FA0FC2">
        <w:rPr>
          <w:sz w:val="30"/>
          <w:rtl/>
          <w:lang/>
        </w:rPr>
        <w:t xml:space="preserve">. </w:t>
      </w:r>
      <w:r w:rsidRPr="00FA0FC2">
        <w:rPr>
          <w:rStyle w:val="hps"/>
          <w:rFonts w:hint="cs"/>
          <w:sz w:val="30"/>
          <w:rtl/>
          <w:lang/>
        </w:rPr>
        <w:t>و</w:t>
      </w:r>
      <w:r w:rsidRPr="00FA0FC2">
        <w:rPr>
          <w:rStyle w:val="hps"/>
          <w:sz w:val="30"/>
          <w:rtl/>
          <w:lang/>
        </w:rPr>
        <w:t>ي</w:t>
      </w:r>
      <w:r w:rsidRPr="00FA0FC2">
        <w:rPr>
          <w:rStyle w:val="hps"/>
          <w:rFonts w:hint="cs"/>
          <w:sz w:val="30"/>
          <w:rtl/>
          <w:lang/>
        </w:rPr>
        <w:t>قدم</w:t>
      </w:r>
      <w:r w:rsidRPr="00FA0FC2">
        <w:rPr>
          <w:rStyle w:val="hps"/>
          <w:sz w:val="30"/>
          <w:rtl/>
          <w:lang/>
        </w:rPr>
        <w:t xml:space="preserve"> ال</w:t>
      </w:r>
      <w:r w:rsidRPr="00FA0FC2">
        <w:rPr>
          <w:rStyle w:val="hps"/>
          <w:rFonts w:hint="cs"/>
          <w:sz w:val="30"/>
          <w:rtl/>
          <w:lang/>
        </w:rPr>
        <w:t>سيد أ. ن.</w:t>
      </w:r>
      <w:r w:rsidRPr="00FA0FC2">
        <w:rPr>
          <w:rStyle w:val="hps"/>
          <w:sz w:val="30"/>
          <w:rtl/>
          <w:lang/>
        </w:rPr>
        <w:t xml:space="preserve"> أيضا</w:t>
      </w:r>
      <w:r w:rsidRPr="00FA0FC2">
        <w:rPr>
          <w:rStyle w:val="hps"/>
          <w:rFonts w:hint="cs"/>
          <w:sz w:val="30"/>
          <w:rtl/>
          <w:lang/>
        </w:rPr>
        <w:t>ً</w:t>
      </w:r>
      <w:r w:rsidRPr="00FA0FC2">
        <w:rPr>
          <w:sz w:val="30"/>
          <w:rtl/>
          <w:lang/>
        </w:rPr>
        <w:t xml:space="preserve"> </w:t>
      </w:r>
      <w:r w:rsidRPr="00FA0FC2">
        <w:rPr>
          <w:rStyle w:val="hps"/>
          <w:rFonts w:hint="cs"/>
          <w:sz w:val="30"/>
          <w:rtl/>
          <w:lang/>
        </w:rPr>
        <w:t>وصفاً ل</w:t>
      </w:r>
      <w:r w:rsidRPr="00FA0FC2">
        <w:rPr>
          <w:rStyle w:val="hps"/>
          <w:sz w:val="30"/>
          <w:rtl/>
          <w:lang/>
        </w:rPr>
        <w:t>لوضع السياسي</w:t>
      </w:r>
      <w:r w:rsidRPr="00FA0FC2">
        <w:rPr>
          <w:sz w:val="30"/>
          <w:rtl/>
          <w:lang/>
        </w:rPr>
        <w:t xml:space="preserve"> </w:t>
      </w:r>
      <w:r w:rsidRPr="00FA0FC2">
        <w:rPr>
          <w:rStyle w:val="hps"/>
          <w:sz w:val="30"/>
          <w:rtl/>
          <w:lang/>
        </w:rPr>
        <w:t>في اليمن على مدى</w:t>
      </w:r>
      <w:r w:rsidRPr="00FA0FC2">
        <w:rPr>
          <w:sz w:val="30"/>
          <w:rtl/>
          <w:lang/>
        </w:rPr>
        <w:t xml:space="preserve"> </w:t>
      </w:r>
      <w:r w:rsidRPr="00FA0FC2">
        <w:rPr>
          <w:rStyle w:val="hps"/>
          <w:sz w:val="30"/>
          <w:rtl/>
          <w:lang/>
        </w:rPr>
        <w:t>العامين الماضيين</w:t>
      </w:r>
      <w:r w:rsidRPr="00FA0FC2">
        <w:rPr>
          <w:sz w:val="30"/>
          <w:rtl/>
          <w:lang/>
        </w:rPr>
        <w:t xml:space="preserve">. </w:t>
      </w:r>
      <w:r w:rsidRPr="00FA0FC2">
        <w:rPr>
          <w:rStyle w:val="hps"/>
          <w:sz w:val="30"/>
          <w:rtl/>
          <w:lang/>
        </w:rPr>
        <w:t>وقد</w:t>
      </w:r>
      <w:r w:rsidRPr="00FA0FC2">
        <w:rPr>
          <w:sz w:val="30"/>
          <w:rtl/>
          <w:lang/>
        </w:rPr>
        <w:t xml:space="preserve"> </w:t>
      </w:r>
      <w:r w:rsidRPr="00FA0FC2">
        <w:rPr>
          <w:rStyle w:val="hps"/>
          <w:sz w:val="30"/>
          <w:rtl/>
          <w:lang/>
        </w:rPr>
        <w:t>نظرت</w:t>
      </w:r>
      <w:r w:rsidRPr="00FA0FC2">
        <w:rPr>
          <w:sz w:val="30"/>
          <w:rtl/>
          <w:lang/>
        </w:rPr>
        <w:t xml:space="preserve"> </w:t>
      </w:r>
      <w:r w:rsidRPr="00FA0FC2">
        <w:rPr>
          <w:rStyle w:val="hps"/>
          <w:sz w:val="30"/>
          <w:rtl/>
          <w:lang/>
        </w:rPr>
        <w:t>سلطات</w:t>
      </w:r>
      <w:r w:rsidRPr="00FA0FC2">
        <w:rPr>
          <w:sz w:val="30"/>
          <w:rtl/>
          <w:lang/>
        </w:rPr>
        <w:t xml:space="preserve"> </w:t>
      </w:r>
      <w:r w:rsidRPr="00FA0FC2">
        <w:rPr>
          <w:rStyle w:val="hps"/>
          <w:sz w:val="30"/>
          <w:rtl/>
          <w:lang/>
        </w:rPr>
        <w:t>الدولة الطرف</w:t>
      </w:r>
      <w:r w:rsidRPr="00FA0FC2">
        <w:rPr>
          <w:sz w:val="30"/>
          <w:rtl/>
          <w:lang/>
        </w:rPr>
        <w:t xml:space="preserve"> </w:t>
      </w:r>
      <w:r w:rsidRPr="00FA0FC2">
        <w:rPr>
          <w:rFonts w:hint="cs"/>
          <w:sz w:val="30"/>
          <w:rtl/>
          <w:lang/>
        </w:rPr>
        <w:t xml:space="preserve">إلى </w:t>
      </w:r>
      <w:r w:rsidRPr="00FA0FC2">
        <w:rPr>
          <w:rStyle w:val="hps"/>
          <w:sz w:val="30"/>
          <w:rtl/>
          <w:lang/>
        </w:rPr>
        <w:t>هذه</w:t>
      </w:r>
      <w:r w:rsidRPr="00FA0FC2">
        <w:rPr>
          <w:sz w:val="30"/>
          <w:rtl/>
          <w:lang/>
        </w:rPr>
        <w:t xml:space="preserve"> </w:t>
      </w:r>
      <w:r w:rsidRPr="00FA0FC2">
        <w:rPr>
          <w:rFonts w:hint="cs"/>
          <w:sz w:val="30"/>
          <w:rtl/>
          <w:lang/>
        </w:rPr>
        <w:t>ال</w:t>
      </w:r>
      <w:r w:rsidRPr="00FA0FC2">
        <w:rPr>
          <w:rStyle w:val="hps"/>
          <w:sz w:val="30"/>
          <w:rtl/>
          <w:lang/>
        </w:rPr>
        <w:t>شهادة</w:t>
      </w:r>
      <w:r w:rsidRPr="00FA0FC2">
        <w:rPr>
          <w:sz w:val="30"/>
          <w:rtl/>
          <w:lang/>
        </w:rPr>
        <w:t xml:space="preserve"> </w:t>
      </w:r>
      <w:r w:rsidRPr="00FA0FC2">
        <w:rPr>
          <w:rStyle w:val="hps"/>
          <w:rFonts w:hint="cs"/>
          <w:sz w:val="30"/>
          <w:rtl/>
          <w:lang/>
        </w:rPr>
        <w:t>على أنها وثيقة</w:t>
      </w:r>
      <w:r w:rsidRPr="00FA0FC2">
        <w:rPr>
          <w:sz w:val="30"/>
          <w:rtl/>
          <w:lang/>
        </w:rPr>
        <w:t xml:space="preserve"> </w:t>
      </w:r>
      <w:r w:rsidRPr="00FA0FC2">
        <w:rPr>
          <w:rStyle w:val="hps"/>
          <w:sz w:val="30"/>
          <w:rtl/>
          <w:lang/>
        </w:rPr>
        <w:t>"</w:t>
      </w:r>
      <w:r w:rsidRPr="00FA0FC2">
        <w:rPr>
          <w:rFonts w:hint="cs"/>
          <w:sz w:val="30"/>
          <w:rtl/>
          <w:lang/>
        </w:rPr>
        <w:t>محاباة</w:t>
      </w:r>
      <w:r w:rsidRPr="00FA0FC2">
        <w:rPr>
          <w:sz w:val="30"/>
          <w:rtl/>
          <w:lang/>
        </w:rPr>
        <w:t xml:space="preserve">" </w:t>
      </w:r>
      <w:r w:rsidRPr="00FA0FC2">
        <w:rPr>
          <w:rStyle w:val="hps"/>
          <w:rFonts w:hint="cs"/>
          <w:sz w:val="30"/>
          <w:rtl/>
          <w:lang/>
        </w:rPr>
        <w:t>تخلو من</w:t>
      </w:r>
      <w:r w:rsidRPr="00FA0FC2">
        <w:rPr>
          <w:sz w:val="30"/>
          <w:rtl/>
          <w:lang/>
        </w:rPr>
        <w:t xml:space="preserve"> </w:t>
      </w:r>
      <w:r w:rsidRPr="00FA0FC2">
        <w:rPr>
          <w:rStyle w:val="hps"/>
          <w:sz w:val="30"/>
          <w:rtl/>
          <w:lang/>
        </w:rPr>
        <w:t>أي</w:t>
      </w:r>
      <w:r w:rsidRPr="00FA0FC2">
        <w:rPr>
          <w:rStyle w:val="hps"/>
          <w:rFonts w:hint="cs"/>
          <w:sz w:val="30"/>
          <w:rtl/>
          <w:lang/>
        </w:rPr>
        <w:t>ة</w:t>
      </w:r>
      <w:r w:rsidRPr="00FA0FC2">
        <w:rPr>
          <w:sz w:val="30"/>
          <w:rtl/>
          <w:lang/>
        </w:rPr>
        <w:t xml:space="preserve"> </w:t>
      </w:r>
      <w:r w:rsidRPr="00FA0FC2">
        <w:rPr>
          <w:rStyle w:val="hps"/>
          <w:sz w:val="30"/>
          <w:rtl/>
          <w:lang/>
        </w:rPr>
        <w:t>قيمة إثباتية</w:t>
      </w:r>
      <w:r w:rsidRPr="00FA0FC2">
        <w:rPr>
          <w:rFonts w:hint="cs"/>
          <w:sz w:val="30"/>
          <w:rtl/>
          <w:lang/>
        </w:rPr>
        <w:t xml:space="preserve"> لكونها</w:t>
      </w:r>
      <w:r>
        <w:rPr>
          <w:rFonts w:hint="cs"/>
          <w:sz w:val="30"/>
          <w:rtl/>
          <w:lang/>
        </w:rPr>
        <w:t xml:space="preserve"> لا</w:t>
      </w:r>
      <w:r>
        <w:rPr>
          <w:sz w:val="30"/>
          <w:rtl/>
          <w:lang/>
        </w:rPr>
        <w:t> </w:t>
      </w:r>
      <w:r w:rsidRPr="00FA0FC2">
        <w:rPr>
          <w:rFonts w:hint="cs"/>
          <w:sz w:val="30"/>
          <w:rtl/>
          <w:lang/>
        </w:rPr>
        <w:t>تنطوي إلاّ على</w:t>
      </w:r>
      <w:r w:rsidRPr="00FA0FC2">
        <w:rPr>
          <w:rStyle w:val="hps"/>
          <w:sz w:val="30"/>
          <w:rtl/>
          <w:lang/>
        </w:rPr>
        <w:t xml:space="preserve"> معلومات</w:t>
      </w:r>
      <w:r w:rsidRPr="00FA0FC2">
        <w:rPr>
          <w:sz w:val="30"/>
          <w:rtl/>
          <w:lang/>
        </w:rPr>
        <w:t xml:space="preserve"> </w:t>
      </w:r>
      <w:r w:rsidRPr="00FA0FC2">
        <w:rPr>
          <w:rStyle w:val="hps"/>
          <w:sz w:val="30"/>
          <w:rtl/>
          <w:lang/>
        </w:rPr>
        <w:t>عامة</w:t>
      </w:r>
      <w:r w:rsidRPr="00FA0FC2">
        <w:rPr>
          <w:sz w:val="30"/>
          <w:rtl/>
          <w:lang/>
        </w:rPr>
        <w:t>،</w:t>
      </w:r>
      <w:r>
        <w:rPr>
          <w:sz w:val="30"/>
          <w:rtl/>
          <w:lang/>
        </w:rPr>
        <w:t xml:space="preserve"> ولا </w:t>
      </w:r>
      <w:r w:rsidRPr="00FA0FC2">
        <w:rPr>
          <w:rFonts w:hint="cs"/>
          <w:sz w:val="30"/>
          <w:rtl/>
          <w:lang/>
        </w:rPr>
        <w:t>تتوافق</w:t>
      </w:r>
      <w:r w:rsidRPr="00FA0FC2">
        <w:rPr>
          <w:rStyle w:val="hps"/>
          <w:sz w:val="30"/>
          <w:rtl/>
          <w:lang/>
        </w:rPr>
        <w:t xml:space="preserve"> مع</w:t>
      </w:r>
      <w:r w:rsidRPr="00FA0FC2">
        <w:rPr>
          <w:sz w:val="30"/>
          <w:rtl/>
          <w:lang/>
        </w:rPr>
        <w:t xml:space="preserve"> </w:t>
      </w:r>
      <w:r w:rsidRPr="00FA0FC2">
        <w:rPr>
          <w:rFonts w:hint="cs"/>
          <w:sz w:val="30"/>
          <w:rtl/>
          <w:lang/>
        </w:rPr>
        <w:t>ال</w:t>
      </w:r>
      <w:r w:rsidRPr="00FA0FC2">
        <w:rPr>
          <w:rStyle w:val="hps"/>
          <w:sz w:val="30"/>
          <w:rtl/>
          <w:lang/>
        </w:rPr>
        <w:t>بيانات</w:t>
      </w:r>
      <w:r w:rsidRPr="00FA0FC2">
        <w:rPr>
          <w:sz w:val="30"/>
          <w:rtl/>
          <w:lang/>
        </w:rPr>
        <w:t xml:space="preserve"> </w:t>
      </w:r>
      <w:r w:rsidRPr="00FA0FC2">
        <w:rPr>
          <w:rStyle w:val="hps"/>
          <w:rFonts w:hint="cs"/>
          <w:sz w:val="30"/>
          <w:rtl/>
          <w:lang/>
        </w:rPr>
        <w:t>التي قدمها صاحب</w:t>
      </w:r>
      <w:r w:rsidRPr="00FA0FC2">
        <w:rPr>
          <w:rStyle w:val="hps"/>
          <w:sz w:val="30"/>
          <w:rtl/>
          <w:lang/>
        </w:rPr>
        <w:t xml:space="preserve"> الشكوى</w:t>
      </w:r>
      <w:r w:rsidRPr="00FA0FC2">
        <w:rPr>
          <w:sz w:val="30"/>
          <w:rtl/>
          <w:lang/>
        </w:rPr>
        <w:t xml:space="preserve"> </w:t>
      </w:r>
      <w:r w:rsidRPr="00FA0FC2">
        <w:rPr>
          <w:rStyle w:val="hps"/>
          <w:sz w:val="30"/>
          <w:rtl/>
          <w:lang/>
        </w:rPr>
        <w:t>الأول</w:t>
      </w:r>
      <w:r w:rsidRPr="00FA0FC2">
        <w:rPr>
          <w:sz w:val="30"/>
          <w:rtl/>
          <w:lang/>
        </w:rPr>
        <w:t xml:space="preserve"> </w:t>
      </w:r>
      <w:r w:rsidRPr="00FA0FC2">
        <w:rPr>
          <w:rStyle w:val="hps"/>
          <w:rFonts w:hint="cs"/>
          <w:sz w:val="30"/>
          <w:rtl/>
          <w:lang/>
        </w:rPr>
        <w:t>بشأن اشتراكه</w:t>
      </w:r>
      <w:r w:rsidRPr="00FA0FC2">
        <w:rPr>
          <w:sz w:val="30"/>
          <w:rtl/>
          <w:lang/>
        </w:rPr>
        <w:t xml:space="preserve"> </w:t>
      </w:r>
      <w:r w:rsidRPr="00FA0FC2">
        <w:rPr>
          <w:rStyle w:val="hps"/>
          <w:sz w:val="30"/>
          <w:rtl/>
          <w:lang/>
        </w:rPr>
        <w:t>في أنشطة</w:t>
      </w:r>
      <w:r w:rsidRPr="00FA0FC2">
        <w:rPr>
          <w:sz w:val="30"/>
          <w:rtl/>
          <w:lang/>
        </w:rPr>
        <w:t xml:space="preserve"> </w:t>
      </w:r>
      <w:r w:rsidRPr="00FA0FC2">
        <w:rPr>
          <w:rStyle w:val="hps"/>
          <w:sz w:val="30"/>
          <w:rtl/>
          <w:lang/>
        </w:rPr>
        <w:t>الحراك الجنوبي.</w:t>
      </w:r>
    </w:p>
    <w:p w:rsidR="00091373" w:rsidRPr="00FA0FC2" w:rsidRDefault="00091373" w:rsidP="00091373">
      <w:pPr>
        <w:pStyle w:val="SingleTxtGA"/>
        <w:rPr>
          <w:sz w:val="30"/>
          <w:rtl/>
          <w:lang w:val="fr-CH"/>
        </w:rPr>
      </w:pPr>
      <w:r w:rsidRPr="00FA0FC2">
        <w:rPr>
          <w:sz w:val="30"/>
          <w:rtl/>
          <w:lang w:val="fr-CH"/>
        </w:rPr>
        <w:t>4-11</w:t>
      </w:r>
      <w:r w:rsidRPr="00FA0FC2">
        <w:rPr>
          <w:sz w:val="30"/>
          <w:rtl/>
          <w:lang w:val="fr-CH"/>
        </w:rPr>
        <w:tab/>
      </w:r>
      <w:r w:rsidRPr="00FA0FC2">
        <w:rPr>
          <w:rFonts w:hint="cs"/>
          <w:sz w:val="30"/>
          <w:rtl/>
          <w:lang w:val="fr-CH"/>
        </w:rPr>
        <w:t>و</w:t>
      </w:r>
      <w:r w:rsidRPr="00FA0FC2">
        <w:rPr>
          <w:rStyle w:val="hps"/>
          <w:sz w:val="30"/>
          <w:rtl/>
          <w:lang/>
        </w:rPr>
        <w:t>وفقا</w:t>
      </w:r>
      <w:r w:rsidRPr="00FA0FC2">
        <w:rPr>
          <w:rStyle w:val="hps"/>
          <w:rFonts w:hint="cs"/>
          <w:sz w:val="30"/>
          <w:rtl/>
          <w:lang/>
        </w:rPr>
        <w:t>ً</w:t>
      </w:r>
      <w:r w:rsidRPr="00FA0FC2">
        <w:rPr>
          <w:rStyle w:val="hps"/>
          <w:sz w:val="30"/>
          <w:rtl/>
          <w:lang/>
        </w:rPr>
        <w:t xml:space="preserve"> </w:t>
      </w:r>
      <w:r w:rsidRPr="00FA0FC2">
        <w:rPr>
          <w:rStyle w:val="hps"/>
          <w:rFonts w:hint="cs"/>
          <w:sz w:val="30"/>
          <w:rtl/>
          <w:lang/>
        </w:rPr>
        <w:t>ل</w:t>
      </w:r>
      <w:r w:rsidRPr="00FA0FC2">
        <w:rPr>
          <w:rStyle w:val="hps"/>
          <w:sz w:val="30"/>
          <w:rtl/>
          <w:lang/>
        </w:rPr>
        <w:t>ل</w:t>
      </w:r>
      <w:r w:rsidRPr="00FA0FC2">
        <w:rPr>
          <w:sz w:val="30"/>
          <w:rtl/>
          <w:lang/>
        </w:rPr>
        <w:t xml:space="preserve">شهادة </w:t>
      </w:r>
      <w:r w:rsidRPr="00FA0FC2">
        <w:rPr>
          <w:rStyle w:val="hps"/>
          <w:sz w:val="30"/>
          <w:rtl/>
          <w:lang/>
        </w:rPr>
        <w:t>الصادر</w:t>
      </w:r>
      <w:r w:rsidRPr="00FA0FC2">
        <w:rPr>
          <w:rStyle w:val="hps"/>
          <w:rFonts w:hint="cs"/>
          <w:sz w:val="30"/>
          <w:rtl/>
          <w:lang/>
        </w:rPr>
        <w:t>ة</w:t>
      </w:r>
      <w:r w:rsidRPr="00FA0FC2">
        <w:rPr>
          <w:rStyle w:val="hps"/>
          <w:sz w:val="30"/>
          <w:rtl/>
          <w:lang/>
        </w:rPr>
        <w:t xml:space="preserve"> </w:t>
      </w:r>
      <w:r w:rsidRPr="00FA0FC2">
        <w:rPr>
          <w:rStyle w:val="hps"/>
          <w:rFonts w:hint="cs"/>
          <w:sz w:val="30"/>
          <w:rtl/>
          <w:lang/>
        </w:rPr>
        <w:t>في</w:t>
      </w:r>
      <w:r w:rsidRPr="00FA0FC2">
        <w:rPr>
          <w:sz w:val="30"/>
          <w:rtl/>
          <w:lang/>
        </w:rPr>
        <w:t xml:space="preserve"> </w:t>
      </w:r>
      <w:r w:rsidRPr="00FA0FC2">
        <w:rPr>
          <w:rStyle w:val="hps"/>
          <w:sz w:val="30"/>
          <w:rtl/>
          <w:lang/>
        </w:rPr>
        <w:t xml:space="preserve">22 </w:t>
      </w:r>
      <w:r w:rsidRPr="00FA0FC2">
        <w:rPr>
          <w:rStyle w:val="hps"/>
          <w:rFonts w:hint="cs"/>
          <w:sz w:val="30"/>
          <w:rtl/>
          <w:lang/>
        </w:rPr>
        <w:t>كانون الثاني/</w:t>
      </w:r>
      <w:r w:rsidRPr="00FA0FC2">
        <w:rPr>
          <w:rStyle w:val="hps"/>
          <w:sz w:val="30"/>
          <w:rtl/>
          <w:lang/>
        </w:rPr>
        <w:t>يناير 2011</w:t>
      </w:r>
      <w:r w:rsidRPr="00FA0FC2">
        <w:rPr>
          <w:sz w:val="30"/>
          <w:rtl/>
          <w:lang/>
        </w:rPr>
        <w:t xml:space="preserve"> </w:t>
      </w:r>
      <w:r w:rsidRPr="00FA0FC2">
        <w:rPr>
          <w:rStyle w:val="hps"/>
          <w:rFonts w:hint="cs"/>
          <w:sz w:val="30"/>
          <w:rtl/>
          <w:lang/>
        </w:rPr>
        <w:t>والتي قدمها صاحب</w:t>
      </w:r>
      <w:r w:rsidRPr="00FA0FC2">
        <w:rPr>
          <w:rStyle w:val="hps"/>
          <w:sz w:val="30"/>
          <w:rtl/>
          <w:lang/>
        </w:rPr>
        <w:t xml:space="preserve"> الشكوى</w:t>
      </w:r>
      <w:r w:rsidRPr="00FA0FC2">
        <w:rPr>
          <w:sz w:val="30"/>
          <w:rtl/>
          <w:lang/>
        </w:rPr>
        <w:t xml:space="preserve"> </w:t>
      </w:r>
      <w:r w:rsidRPr="00FA0FC2">
        <w:rPr>
          <w:rStyle w:val="hps"/>
          <w:rFonts w:hint="cs"/>
          <w:sz w:val="30"/>
          <w:rtl/>
          <w:lang/>
        </w:rPr>
        <w:t xml:space="preserve">الأول </w:t>
      </w:r>
      <w:r w:rsidRPr="00FA0FC2">
        <w:rPr>
          <w:rStyle w:val="hps"/>
          <w:sz w:val="30"/>
          <w:rtl/>
          <w:lang/>
        </w:rPr>
        <w:t>إلى</w:t>
      </w:r>
      <w:r w:rsidRPr="00FA0FC2">
        <w:rPr>
          <w:sz w:val="30"/>
          <w:rtl/>
          <w:lang/>
        </w:rPr>
        <w:t xml:space="preserve"> </w:t>
      </w:r>
      <w:r w:rsidRPr="00FA0FC2">
        <w:rPr>
          <w:rStyle w:val="hps"/>
          <w:sz w:val="30"/>
          <w:rtl/>
          <w:lang/>
        </w:rPr>
        <w:t>المحكمة</w:t>
      </w:r>
      <w:r w:rsidRPr="00FA0FC2">
        <w:rPr>
          <w:sz w:val="30"/>
          <w:rtl/>
          <w:lang/>
        </w:rPr>
        <w:t xml:space="preserve"> </w:t>
      </w:r>
      <w:r w:rsidRPr="00FA0FC2">
        <w:rPr>
          <w:rStyle w:val="hps"/>
          <w:sz w:val="30"/>
          <w:rtl/>
          <w:lang/>
        </w:rPr>
        <w:t>الإدارية الاتحادية</w:t>
      </w:r>
      <w:r w:rsidRPr="00FA0FC2">
        <w:rPr>
          <w:sz w:val="30"/>
          <w:rtl/>
          <w:lang/>
        </w:rPr>
        <w:t xml:space="preserve">، </w:t>
      </w:r>
      <w:r w:rsidRPr="00FA0FC2">
        <w:rPr>
          <w:rStyle w:val="hps"/>
          <w:rFonts w:hint="cs"/>
          <w:sz w:val="30"/>
          <w:rtl/>
          <w:lang/>
        </w:rPr>
        <w:t>يؤكد السيد أ. ن. أن</w:t>
      </w:r>
      <w:r w:rsidRPr="00FA0FC2">
        <w:rPr>
          <w:sz w:val="30"/>
          <w:rtl/>
          <w:lang/>
        </w:rPr>
        <w:t xml:space="preserve"> </w:t>
      </w:r>
      <w:r w:rsidRPr="00FA0FC2">
        <w:rPr>
          <w:rStyle w:val="hps"/>
          <w:sz w:val="30"/>
          <w:rtl/>
          <w:lang/>
        </w:rPr>
        <w:t>مصادره</w:t>
      </w:r>
      <w:r w:rsidRPr="00FA0FC2">
        <w:rPr>
          <w:sz w:val="30"/>
          <w:rtl/>
          <w:lang/>
        </w:rPr>
        <w:t xml:space="preserve"> </w:t>
      </w:r>
      <w:r w:rsidRPr="00FA0FC2">
        <w:rPr>
          <w:rStyle w:val="hps"/>
          <w:sz w:val="30"/>
          <w:rtl/>
          <w:lang/>
        </w:rPr>
        <w:t>الخاصة</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اليمن</w:t>
      </w:r>
      <w:r w:rsidRPr="00FA0FC2">
        <w:rPr>
          <w:sz w:val="30"/>
          <w:rtl/>
          <w:lang/>
        </w:rPr>
        <w:t xml:space="preserve"> </w:t>
      </w:r>
      <w:r w:rsidRPr="00FA0FC2">
        <w:rPr>
          <w:rStyle w:val="hps"/>
          <w:rFonts w:hint="cs"/>
          <w:sz w:val="30"/>
          <w:rtl/>
          <w:lang/>
        </w:rPr>
        <w:t>قد أكدت أن صاحب</w:t>
      </w:r>
      <w:r w:rsidRPr="00FA0FC2">
        <w:rPr>
          <w:sz w:val="30"/>
          <w:rtl/>
          <w:lang/>
        </w:rPr>
        <w:t xml:space="preserve"> </w:t>
      </w:r>
      <w:r w:rsidRPr="00FA0FC2">
        <w:rPr>
          <w:rStyle w:val="hps"/>
          <w:sz w:val="30"/>
          <w:rtl/>
          <w:lang/>
        </w:rPr>
        <w:t>الشكوى</w:t>
      </w:r>
      <w:r w:rsidRPr="00FA0FC2">
        <w:rPr>
          <w:sz w:val="30"/>
          <w:rtl/>
          <w:lang/>
        </w:rPr>
        <w:t xml:space="preserve"> </w:t>
      </w:r>
      <w:r w:rsidRPr="00FA0FC2">
        <w:rPr>
          <w:rStyle w:val="hps"/>
          <w:sz w:val="30"/>
          <w:rtl/>
          <w:lang/>
        </w:rPr>
        <w:t>الأول</w:t>
      </w:r>
      <w:r w:rsidRPr="00FA0FC2">
        <w:rPr>
          <w:rStyle w:val="hps"/>
          <w:rFonts w:hint="cs"/>
          <w:sz w:val="30"/>
          <w:rtl/>
          <w:lang/>
        </w:rPr>
        <w:t xml:space="preserve"> كان يشارك بنشاط</w:t>
      </w:r>
      <w:r w:rsidRPr="00FA0FC2">
        <w:rPr>
          <w:rStyle w:val="hps"/>
          <w:sz w:val="30"/>
          <w:rtl/>
          <w:lang/>
        </w:rPr>
        <w:t xml:space="preserve"> في</w:t>
      </w:r>
      <w:r w:rsidRPr="00FA0FC2">
        <w:rPr>
          <w:sz w:val="30"/>
          <w:rtl/>
          <w:lang/>
        </w:rPr>
        <w:t xml:space="preserve"> </w:t>
      </w:r>
      <w:r w:rsidRPr="00FA0FC2">
        <w:rPr>
          <w:rStyle w:val="hps"/>
          <w:sz w:val="30"/>
          <w:rtl/>
          <w:lang/>
        </w:rPr>
        <w:t>الحراك الجنوبي</w:t>
      </w:r>
      <w:r w:rsidRPr="00FA0FC2">
        <w:rPr>
          <w:rStyle w:val="hps"/>
          <w:rFonts w:hint="cs"/>
          <w:sz w:val="30"/>
          <w:rtl/>
          <w:lang/>
        </w:rPr>
        <w:t>، وقد جرى توقيفه واعتقاله</w:t>
      </w:r>
      <w:r w:rsidRPr="00FA0FC2">
        <w:rPr>
          <w:sz w:val="30"/>
          <w:rtl/>
          <w:lang/>
        </w:rPr>
        <w:t xml:space="preserve"> </w:t>
      </w:r>
      <w:r w:rsidRPr="00FA0FC2">
        <w:rPr>
          <w:rStyle w:val="hps"/>
          <w:rFonts w:hint="cs"/>
          <w:sz w:val="30"/>
          <w:rtl/>
          <w:lang/>
        </w:rPr>
        <w:t>خلال</w:t>
      </w:r>
      <w:r w:rsidRPr="00FA0FC2">
        <w:rPr>
          <w:rStyle w:val="hps"/>
          <w:sz w:val="30"/>
          <w:rtl/>
          <w:lang/>
        </w:rPr>
        <w:t xml:space="preserve"> الفترة من 21</w:t>
      </w:r>
      <w:r w:rsidRPr="00FA0FC2">
        <w:rPr>
          <w:sz w:val="30"/>
          <w:rtl/>
          <w:lang/>
        </w:rPr>
        <w:t xml:space="preserve"> </w:t>
      </w:r>
      <w:r w:rsidRPr="00FA0FC2">
        <w:rPr>
          <w:rFonts w:hint="cs"/>
          <w:sz w:val="30"/>
          <w:rtl/>
          <w:lang/>
        </w:rPr>
        <w:t>أيار/</w:t>
      </w:r>
      <w:r w:rsidRPr="00FA0FC2">
        <w:rPr>
          <w:rStyle w:val="hps"/>
          <w:sz w:val="30"/>
          <w:rtl/>
          <w:lang/>
        </w:rPr>
        <w:t>مايو 2009 إلى</w:t>
      </w:r>
      <w:r w:rsidRPr="00FA0FC2">
        <w:rPr>
          <w:sz w:val="30"/>
          <w:rtl/>
          <w:lang/>
        </w:rPr>
        <w:t xml:space="preserve"> </w:t>
      </w:r>
      <w:r w:rsidRPr="00FA0FC2">
        <w:rPr>
          <w:rStyle w:val="hps"/>
          <w:sz w:val="30"/>
          <w:rtl/>
          <w:lang/>
        </w:rPr>
        <w:t xml:space="preserve">30 </w:t>
      </w:r>
      <w:r w:rsidRPr="00FA0FC2">
        <w:rPr>
          <w:rStyle w:val="hps"/>
          <w:rFonts w:hint="cs"/>
          <w:sz w:val="30"/>
          <w:rtl/>
          <w:lang/>
        </w:rPr>
        <w:t>حزيران/يونيه</w:t>
      </w:r>
      <w:r w:rsidRPr="00FA0FC2">
        <w:rPr>
          <w:rStyle w:val="hps"/>
          <w:sz w:val="30"/>
          <w:rtl/>
          <w:lang/>
        </w:rPr>
        <w:t xml:space="preserve"> 2009</w:t>
      </w:r>
      <w:r w:rsidRPr="00FA0FC2">
        <w:rPr>
          <w:sz w:val="30"/>
          <w:rtl/>
          <w:lang/>
        </w:rPr>
        <w:t xml:space="preserve"> </w:t>
      </w:r>
      <w:r w:rsidRPr="00FA0FC2">
        <w:rPr>
          <w:rStyle w:val="hps"/>
          <w:sz w:val="30"/>
          <w:rtl/>
          <w:lang/>
        </w:rPr>
        <w:t>بسبب</w:t>
      </w:r>
      <w:r w:rsidRPr="00FA0FC2">
        <w:rPr>
          <w:sz w:val="30"/>
          <w:rtl/>
          <w:lang/>
        </w:rPr>
        <w:t xml:space="preserve"> </w:t>
      </w:r>
      <w:r w:rsidRPr="00FA0FC2">
        <w:rPr>
          <w:rStyle w:val="hps"/>
          <w:sz w:val="30"/>
          <w:rtl/>
          <w:lang/>
        </w:rPr>
        <w:t>مشاركته</w:t>
      </w:r>
      <w:r w:rsidRPr="00FA0FC2">
        <w:rPr>
          <w:sz w:val="30"/>
          <w:rtl/>
          <w:lang/>
        </w:rPr>
        <w:t xml:space="preserve"> </w:t>
      </w:r>
      <w:r w:rsidRPr="00FA0FC2">
        <w:rPr>
          <w:rStyle w:val="hps"/>
          <w:sz w:val="30"/>
          <w:rtl/>
          <w:lang/>
        </w:rPr>
        <w:t>في مظاهرة</w:t>
      </w:r>
      <w:r w:rsidRPr="00FA0FC2">
        <w:rPr>
          <w:rStyle w:val="hps"/>
          <w:rFonts w:hint="cs"/>
          <w:sz w:val="30"/>
          <w:rtl/>
          <w:lang/>
        </w:rPr>
        <w:t xml:space="preserve"> جرت</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عدن</w:t>
      </w:r>
      <w:r w:rsidRPr="00FA0FC2">
        <w:rPr>
          <w:sz w:val="30"/>
          <w:rtl/>
          <w:lang/>
        </w:rPr>
        <w:t>.</w:t>
      </w:r>
      <w:r>
        <w:rPr>
          <w:sz w:val="30"/>
          <w:rtl/>
          <w:lang/>
        </w:rPr>
        <w:t xml:space="preserve"> وفي </w:t>
      </w:r>
      <w:r w:rsidRPr="00FA0FC2">
        <w:rPr>
          <w:rStyle w:val="hps"/>
          <w:sz w:val="30"/>
          <w:rtl/>
          <w:lang/>
        </w:rPr>
        <w:t>ضوء</w:t>
      </w:r>
      <w:r w:rsidRPr="00FA0FC2">
        <w:rPr>
          <w:sz w:val="30"/>
          <w:rtl/>
          <w:lang/>
        </w:rPr>
        <w:t xml:space="preserve"> </w:t>
      </w:r>
      <w:r w:rsidRPr="00FA0FC2">
        <w:rPr>
          <w:rStyle w:val="hps"/>
          <w:sz w:val="30"/>
          <w:rtl/>
          <w:lang/>
        </w:rPr>
        <w:t>الحجج</w:t>
      </w:r>
      <w:r w:rsidRPr="00FA0FC2">
        <w:rPr>
          <w:sz w:val="30"/>
          <w:rtl/>
          <w:lang/>
        </w:rPr>
        <w:t xml:space="preserve"> </w:t>
      </w:r>
      <w:r w:rsidRPr="00FA0FC2">
        <w:rPr>
          <w:rStyle w:val="hps"/>
          <w:sz w:val="30"/>
          <w:rtl/>
          <w:lang/>
        </w:rPr>
        <w:t xml:space="preserve">التي </w:t>
      </w:r>
      <w:r w:rsidRPr="00FA0FC2">
        <w:rPr>
          <w:rStyle w:val="hps"/>
          <w:rFonts w:hint="cs"/>
          <w:sz w:val="30"/>
          <w:rtl/>
          <w:lang/>
        </w:rPr>
        <w:t>ساقتها</w:t>
      </w:r>
      <w:r w:rsidRPr="00FA0FC2">
        <w:rPr>
          <w:sz w:val="30"/>
          <w:rtl/>
          <w:lang/>
        </w:rPr>
        <w:t xml:space="preserve"> </w:t>
      </w:r>
      <w:r w:rsidRPr="00FA0FC2">
        <w:rPr>
          <w:rStyle w:val="hps"/>
          <w:sz w:val="30"/>
          <w:rtl/>
          <w:lang/>
        </w:rPr>
        <w:t>السلطات</w:t>
      </w:r>
      <w:r w:rsidRPr="00FA0FC2">
        <w:rPr>
          <w:rStyle w:val="hps"/>
          <w:rFonts w:hint="cs"/>
          <w:sz w:val="30"/>
          <w:rtl/>
          <w:lang/>
        </w:rPr>
        <w:t xml:space="preserve"> المعنية بمسائل</w:t>
      </w:r>
      <w:r w:rsidRPr="00FA0FC2">
        <w:rPr>
          <w:sz w:val="30"/>
          <w:rtl/>
          <w:lang/>
        </w:rPr>
        <w:t xml:space="preserve"> </w:t>
      </w:r>
      <w:r w:rsidRPr="00FA0FC2">
        <w:rPr>
          <w:rStyle w:val="hps"/>
          <w:sz w:val="30"/>
          <w:rtl/>
          <w:lang/>
        </w:rPr>
        <w:t>اللجوء</w:t>
      </w:r>
      <w:r w:rsidRPr="00FA0FC2">
        <w:rPr>
          <w:rStyle w:val="hps"/>
          <w:rFonts w:hint="cs"/>
          <w:sz w:val="30"/>
          <w:rtl/>
          <w:lang/>
        </w:rPr>
        <w:t xml:space="preserve"> في</w:t>
      </w:r>
      <w:r w:rsidRPr="00FA0FC2">
        <w:rPr>
          <w:sz w:val="30"/>
          <w:rtl/>
          <w:lang/>
        </w:rPr>
        <w:t xml:space="preserve"> </w:t>
      </w:r>
      <w:r w:rsidRPr="00FA0FC2">
        <w:rPr>
          <w:rStyle w:val="hps"/>
          <w:sz w:val="30"/>
          <w:rtl/>
          <w:lang/>
        </w:rPr>
        <w:t>الدولة الطرف</w:t>
      </w:r>
      <w:r>
        <w:rPr>
          <w:sz w:val="30"/>
          <w:rtl/>
          <w:lang/>
        </w:rPr>
        <w:t xml:space="preserve"> فيما </w:t>
      </w:r>
      <w:r w:rsidRPr="00FA0FC2">
        <w:rPr>
          <w:rStyle w:val="hps"/>
          <w:sz w:val="30"/>
          <w:rtl/>
          <w:lang/>
        </w:rPr>
        <w:t>يتعلق</w:t>
      </w:r>
      <w:r w:rsidRPr="00FA0FC2">
        <w:rPr>
          <w:sz w:val="30"/>
          <w:rtl/>
          <w:lang/>
        </w:rPr>
        <w:t xml:space="preserve"> </w:t>
      </w:r>
      <w:r w:rsidRPr="00FA0FC2">
        <w:rPr>
          <w:rFonts w:hint="cs"/>
          <w:sz w:val="30"/>
          <w:rtl/>
          <w:lang/>
        </w:rPr>
        <w:t>بال</w:t>
      </w:r>
      <w:r w:rsidRPr="00FA0FC2">
        <w:rPr>
          <w:rStyle w:val="hps"/>
          <w:sz w:val="30"/>
          <w:rtl/>
          <w:lang/>
        </w:rPr>
        <w:t>شهادة</w:t>
      </w:r>
      <w:r w:rsidRPr="00FA0FC2">
        <w:rPr>
          <w:sz w:val="30"/>
          <w:rtl/>
          <w:lang/>
        </w:rPr>
        <w:t xml:space="preserve"> </w:t>
      </w:r>
      <w:r w:rsidRPr="00FA0FC2">
        <w:rPr>
          <w:rFonts w:hint="cs"/>
          <w:sz w:val="30"/>
          <w:rtl/>
          <w:lang/>
        </w:rPr>
        <w:t>ال</w:t>
      </w:r>
      <w:r w:rsidRPr="00FA0FC2">
        <w:rPr>
          <w:rStyle w:val="hps"/>
          <w:sz w:val="30"/>
          <w:rtl/>
          <w:lang/>
        </w:rPr>
        <w:t>صادرة عن</w:t>
      </w:r>
      <w:r w:rsidRPr="00FA0FC2">
        <w:rPr>
          <w:sz w:val="30"/>
          <w:rtl/>
          <w:lang/>
        </w:rPr>
        <w:t xml:space="preserve"> </w:t>
      </w:r>
      <w:r w:rsidRPr="00FA0FC2">
        <w:rPr>
          <w:rStyle w:val="hps"/>
          <w:sz w:val="30"/>
          <w:rtl/>
          <w:lang/>
        </w:rPr>
        <w:t>التجمع الديمقراطي الجنوبي</w:t>
      </w:r>
      <w:r w:rsidRPr="00FA0FC2">
        <w:rPr>
          <w:sz w:val="30"/>
          <w:rtl/>
          <w:lang/>
        </w:rPr>
        <w:t xml:space="preserve"> </w:t>
      </w:r>
      <w:r w:rsidRPr="00FA0FC2">
        <w:rPr>
          <w:rStyle w:val="hps"/>
          <w:sz w:val="30"/>
          <w:rtl/>
          <w:lang/>
        </w:rPr>
        <w:t xml:space="preserve">يوم 19 </w:t>
      </w:r>
      <w:r w:rsidRPr="00FA0FC2">
        <w:rPr>
          <w:rStyle w:val="hps"/>
          <w:rFonts w:hint="cs"/>
          <w:sz w:val="30"/>
          <w:rtl/>
          <w:lang/>
        </w:rPr>
        <w:t>نيسان/</w:t>
      </w:r>
      <w:r w:rsidRPr="00FA0FC2">
        <w:rPr>
          <w:rStyle w:val="hps"/>
          <w:sz w:val="30"/>
          <w:rtl/>
          <w:lang/>
        </w:rPr>
        <w:t>أبريل</w:t>
      </w:r>
      <w:r w:rsidRPr="00FA0FC2">
        <w:rPr>
          <w:sz w:val="30"/>
          <w:rtl/>
          <w:lang/>
        </w:rPr>
        <w:t xml:space="preserve"> </w:t>
      </w:r>
      <w:r w:rsidRPr="00FA0FC2">
        <w:rPr>
          <w:rStyle w:val="hps"/>
          <w:sz w:val="30"/>
          <w:rtl/>
          <w:lang/>
        </w:rPr>
        <w:t>2010،</w:t>
      </w:r>
      <w:r w:rsidRPr="00FA0FC2">
        <w:rPr>
          <w:sz w:val="30"/>
          <w:rtl/>
          <w:lang/>
        </w:rPr>
        <w:t xml:space="preserve"> </w:t>
      </w:r>
      <w:r w:rsidRPr="00FA0FC2">
        <w:rPr>
          <w:rStyle w:val="hps"/>
          <w:rFonts w:hint="cs"/>
          <w:sz w:val="30"/>
          <w:rtl/>
          <w:lang/>
        </w:rPr>
        <w:t>والتي أدت بها</w:t>
      </w:r>
      <w:r w:rsidRPr="00FA0FC2">
        <w:rPr>
          <w:rStyle w:val="hps"/>
          <w:sz w:val="30"/>
          <w:rtl/>
          <w:lang/>
        </w:rPr>
        <w:t xml:space="preserve"> إلى استنتاج</w:t>
      </w:r>
      <w:r w:rsidRPr="00FA0FC2">
        <w:rPr>
          <w:sz w:val="30"/>
          <w:rtl/>
          <w:lang/>
        </w:rPr>
        <w:t xml:space="preserve"> </w:t>
      </w:r>
      <w:r w:rsidRPr="00FA0FC2">
        <w:rPr>
          <w:rStyle w:val="hps"/>
          <w:sz w:val="30"/>
          <w:rtl/>
          <w:lang/>
        </w:rPr>
        <w:t>أن الوقائع</w:t>
      </w:r>
      <w:r w:rsidRPr="00FA0FC2">
        <w:rPr>
          <w:sz w:val="30"/>
          <w:rtl/>
          <w:lang/>
        </w:rPr>
        <w:t xml:space="preserve"> </w:t>
      </w:r>
      <w:r w:rsidRPr="00FA0FC2">
        <w:rPr>
          <w:rStyle w:val="hps"/>
          <w:rFonts w:hint="cs"/>
          <w:sz w:val="30"/>
          <w:rtl/>
          <w:lang/>
        </w:rPr>
        <w:t>المزعومة التي أفاد بها</w:t>
      </w:r>
      <w:r w:rsidRPr="00FA0FC2">
        <w:rPr>
          <w:rStyle w:val="hps"/>
          <w:sz w:val="30"/>
          <w:rtl/>
          <w:lang/>
        </w:rPr>
        <w:t xml:space="preserve"> </w:t>
      </w:r>
      <w:r w:rsidRPr="00FA0FC2">
        <w:rPr>
          <w:rStyle w:val="hps"/>
          <w:rFonts w:hint="cs"/>
          <w:sz w:val="30"/>
          <w:rtl/>
          <w:lang/>
        </w:rPr>
        <w:t>صاحب</w:t>
      </w:r>
      <w:r w:rsidRPr="00FA0FC2">
        <w:rPr>
          <w:rStyle w:val="hps"/>
          <w:sz w:val="30"/>
          <w:rtl/>
          <w:lang/>
        </w:rPr>
        <w:t xml:space="preserve"> الشكوى</w:t>
      </w:r>
      <w:r w:rsidRPr="00FA0FC2">
        <w:rPr>
          <w:sz w:val="30"/>
          <w:rtl/>
          <w:lang/>
        </w:rPr>
        <w:t xml:space="preserve"> </w:t>
      </w:r>
      <w:r w:rsidRPr="00FA0FC2">
        <w:rPr>
          <w:rStyle w:val="hps"/>
          <w:sz w:val="30"/>
          <w:rtl/>
          <w:lang/>
        </w:rPr>
        <w:t xml:space="preserve">الأول </w:t>
      </w:r>
      <w:r w:rsidRPr="00FA0FC2">
        <w:rPr>
          <w:rStyle w:val="hps"/>
          <w:rFonts w:hint="cs"/>
          <w:sz w:val="30"/>
          <w:rtl/>
          <w:lang/>
        </w:rPr>
        <w:t>هي وقائع</w:t>
      </w:r>
      <w:r w:rsidRPr="00FA0FC2">
        <w:rPr>
          <w:sz w:val="30"/>
          <w:rtl/>
          <w:lang/>
        </w:rPr>
        <w:t xml:space="preserve"> </w:t>
      </w:r>
      <w:r w:rsidRPr="00FA0FC2">
        <w:rPr>
          <w:rStyle w:val="hps"/>
          <w:sz w:val="30"/>
          <w:rtl/>
          <w:lang/>
        </w:rPr>
        <w:t>غير قابلة للتصديق</w:t>
      </w:r>
      <w:r w:rsidRPr="00FA0FC2">
        <w:rPr>
          <w:sz w:val="30"/>
          <w:rtl/>
          <w:lang/>
        </w:rPr>
        <w:t xml:space="preserve">، </w:t>
      </w:r>
      <w:r w:rsidRPr="00FA0FC2">
        <w:rPr>
          <w:rStyle w:val="hps"/>
          <w:rFonts w:hint="cs"/>
          <w:sz w:val="30"/>
          <w:rtl/>
          <w:lang/>
        </w:rPr>
        <w:t>ترى</w:t>
      </w:r>
      <w:r w:rsidRPr="00FA0FC2">
        <w:rPr>
          <w:rStyle w:val="hps"/>
          <w:sz w:val="30"/>
          <w:rtl/>
          <w:lang/>
        </w:rPr>
        <w:t xml:space="preserve"> الدولة</w:t>
      </w:r>
      <w:r w:rsidRPr="00FA0FC2">
        <w:rPr>
          <w:sz w:val="30"/>
          <w:rtl/>
          <w:lang/>
        </w:rPr>
        <w:t xml:space="preserve"> </w:t>
      </w:r>
      <w:r w:rsidRPr="00FA0FC2">
        <w:rPr>
          <w:rStyle w:val="hps"/>
          <w:sz w:val="30"/>
          <w:rtl/>
          <w:lang/>
        </w:rPr>
        <w:t xml:space="preserve">الطرف </w:t>
      </w:r>
      <w:r w:rsidRPr="00FA0FC2">
        <w:rPr>
          <w:rStyle w:val="hps"/>
          <w:rFonts w:hint="cs"/>
          <w:sz w:val="30"/>
          <w:rtl/>
          <w:lang/>
        </w:rPr>
        <w:t>أنه ينبغي أن يُنظر أيضاً إلى ال</w:t>
      </w:r>
      <w:r w:rsidRPr="00FA0FC2">
        <w:rPr>
          <w:rStyle w:val="hps"/>
          <w:sz w:val="30"/>
          <w:rtl/>
          <w:lang/>
        </w:rPr>
        <w:t>شهادة</w:t>
      </w:r>
      <w:r w:rsidRPr="00FA0FC2">
        <w:rPr>
          <w:sz w:val="30"/>
          <w:rtl/>
          <w:lang/>
        </w:rPr>
        <w:t xml:space="preserve"> </w:t>
      </w:r>
      <w:r w:rsidRPr="00FA0FC2">
        <w:rPr>
          <w:rFonts w:hint="cs"/>
          <w:sz w:val="30"/>
          <w:rtl/>
          <w:lang/>
        </w:rPr>
        <w:t>ال</w:t>
      </w:r>
      <w:r w:rsidRPr="00FA0FC2">
        <w:rPr>
          <w:rStyle w:val="hps"/>
          <w:sz w:val="30"/>
          <w:rtl/>
          <w:lang/>
        </w:rPr>
        <w:t>جديدة</w:t>
      </w:r>
      <w:r w:rsidRPr="00FA0FC2">
        <w:rPr>
          <w:sz w:val="30"/>
          <w:rtl/>
          <w:lang/>
        </w:rPr>
        <w:t xml:space="preserve"> </w:t>
      </w:r>
      <w:r w:rsidRPr="00FA0FC2">
        <w:rPr>
          <w:rStyle w:val="hps"/>
          <w:rFonts w:hint="cs"/>
          <w:sz w:val="30"/>
          <w:rtl/>
          <w:lang/>
        </w:rPr>
        <w:t>على أنها وثيقة حُرِّرت من باب المحاباة</w:t>
      </w:r>
      <w:r w:rsidRPr="00FA0FC2">
        <w:rPr>
          <w:sz w:val="30"/>
          <w:rtl/>
          <w:lang/>
        </w:rPr>
        <w:t xml:space="preserve">، </w:t>
      </w:r>
      <w:r w:rsidRPr="00FA0FC2">
        <w:rPr>
          <w:rStyle w:val="hps"/>
          <w:sz w:val="30"/>
          <w:rtl/>
          <w:lang/>
        </w:rPr>
        <w:t>لأنه</w:t>
      </w:r>
      <w:r w:rsidRPr="00FA0FC2">
        <w:rPr>
          <w:rStyle w:val="hps"/>
          <w:rFonts w:hint="cs"/>
          <w:sz w:val="30"/>
          <w:rtl/>
          <w:lang/>
        </w:rPr>
        <w:t>ا</w:t>
      </w:r>
      <w:r w:rsidRPr="00FA0FC2">
        <w:rPr>
          <w:sz w:val="30"/>
          <w:rtl/>
          <w:lang/>
        </w:rPr>
        <w:t xml:space="preserve"> </w:t>
      </w:r>
      <w:r w:rsidRPr="00FA0FC2">
        <w:rPr>
          <w:rStyle w:val="hps"/>
          <w:sz w:val="30"/>
          <w:rtl/>
          <w:lang/>
        </w:rPr>
        <w:t>تكرر</w:t>
      </w:r>
      <w:r w:rsidRPr="00FA0FC2">
        <w:rPr>
          <w:sz w:val="30"/>
          <w:rtl/>
          <w:lang/>
        </w:rPr>
        <w:t xml:space="preserve"> </w:t>
      </w:r>
      <w:r w:rsidRPr="00FA0FC2">
        <w:rPr>
          <w:rStyle w:val="hps"/>
          <w:rFonts w:hint="cs"/>
          <w:sz w:val="30"/>
          <w:rtl/>
          <w:lang/>
        </w:rPr>
        <w:t>الادعاء السابق الذي يؤكد اشتراك صاحب</w:t>
      </w:r>
      <w:r w:rsidRPr="00FA0FC2">
        <w:rPr>
          <w:rStyle w:val="hps"/>
          <w:sz w:val="30"/>
          <w:rtl/>
          <w:lang/>
        </w:rPr>
        <w:t xml:space="preserve"> </w:t>
      </w:r>
      <w:r w:rsidRPr="00FA0FC2">
        <w:rPr>
          <w:rStyle w:val="hps"/>
          <w:rFonts w:hint="cs"/>
          <w:sz w:val="30"/>
          <w:rtl/>
          <w:lang/>
        </w:rPr>
        <w:t>الشكوى</w:t>
      </w:r>
      <w:r w:rsidRPr="00FA0FC2">
        <w:rPr>
          <w:rStyle w:val="hps"/>
          <w:sz w:val="30"/>
          <w:rtl/>
          <w:lang/>
        </w:rPr>
        <w:t xml:space="preserve"> الأول</w:t>
      </w:r>
      <w:r w:rsidRPr="00FA0FC2">
        <w:rPr>
          <w:sz w:val="30"/>
          <w:rtl/>
          <w:lang/>
        </w:rPr>
        <w:t xml:space="preserve"> </w:t>
      </w:r>
      <w:r w:rsidRPr="00FA0FC2">
        <w:rPr>
          <w:rStyle w:val="hps"/>
          <w:sz w:val="30"/>
          <w:rtl/>
          <w:lang/>
        </w:rPr>
        <w:t>في أنشطة</w:t>
      </w:r>
      <w:r w:rsidRPr="00FA0FC2">
        <w:rPr>
          <w:sz w:val="30"/>
          <w:rtl/>
          <w:lang/>
        </w:rPr>
        <w:t xml:space="preserve"> </w:t>
      </w:r>
      <w:r w:rsidRPr="00FA0FC2">
        <w:rPr>
          <w:rStyle w:val="hps"/>
          <w:sz w:val="30"/>
          <w:rtl/>
          <w:lang/>
        </w:rPr>
        <w:t>الحراك الجنوبي.</w:t>
      </w:r>
      <w:r w:rsidRPr="00FA0FC2">
        <w:rPr>
          <w:sz w:val="30"/>
          <w:rtl/>
          <w:lang/>
        </w:rPr>
        <w:t xml:space="preserve"> </w:t>
      </w:r>
      <w:r w:rsidRPr="00FA0FC2">
        <w:rPr>
          <w:rStyle w:val="hps"/>
          <w:sz w:val="30"/>
          <w:rtl/>
          <w:lang/>
        </w:rPr>
        <w:t>و</w:t>
      </w:r>
      <w:r w:rsidRPr="00FA0FC2">
        <w:rPr>
          <w:rStyle w:val="hps"/>
          <w:rFonts w:hint="cs"/>
          <w:sz w:val="30"/>
          <w:rtl/>
          <w:lang/>
        </w:rPr>
        <w:t>مع ذلك، ف</w:t>
      </w:r>
      <w:r w:rsidRPr="00FA0FC2">
        <w:rPr>
          <w:rStyle w:val="hps"/>
          <w:sz w:val="30"/>
          <w:rtl/>
          <w:lang/>
        </w:rPr>
        <w:t>قد ذكر</w:t>
      </w:r>
      <w:r w:rsidRPr="00FA0FC2">
        <w:rPr>
          <w:sz w:val="30"/>
          <w:rtl/>
          <w:lang/>
        </w:rPr>
        <w:t xml:space="preserve">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rFonts w:hint="cs"/>
          <w:sz w:val="30"/>
          <w:rtl/>
          <w:lang/>
        </w:rPr>
        <w:t xml:space="preserve"> </w:t>
      </w:r>
      <w:r w:rsidRPr="00FA0FC2">
        <w:rPr>
          <w:rStyle w:val="hps"/>
          <w:sz w:val="30"/>
          <w:rtl/>
          <w:lang/>
        </w:rPr>
        <w:t>أنه</w:t>
      </w:r>
      <w:r>
        <w:rPr>
          <w:sz w:val="30"/>
          <w:rtl/>
          <w:lang/>
        </w:rPr>
        <w:t xml:space="preserve"> لم </w:t>
      </w:r>
      <w:r w:rsidRPr="00FA0FC2">
        <w:rPr>
          <w:rStyle w:val="hps"/>
          <w:rFonts w:hint="cs"/>
          <w:sz w:val="30"/>
          <w:rtl/>
          <w:lang/>
        </w:rPr>
        <w:t>ي</w:t>
      </w:r>
      <w:r w:rsidRPr="00FA0FC2">
        <w:rPr>
          <w:rStyle w:val="hps"/>
          <w:sz w:val="30"/>
          <w:rtl/>
          <w:lang/>
        </w:rPr>
        <w:t>شارك</w:t>
      </w:r>
      <w:r w:rsidRPr="00FA0FC2">
        <w:rPr>
          <w:sz w:val="30"/>
          <w:rtl/>
          <w:lang/>
        </w:rPr>
        <w:t xml:space="preserve"> </w:t>
      </w:r>
      <w:r w:rsidRPr="00FA0FC2">
        <w:rPr>
          <w:rStyle w:val="hps"/>
          <w:sz w:val="30"/>
          <w:rtl/>
          <w:lang/>
        </w:rPr>
        <w:t>بنشاط في</w:t>
      </w:r>
      <w:r w:rsidRPr="00FA0FC2">
        <w:rPr>
          <w:sz w:val="30"/>
          <w:rtl/>
          <w:lang/>
        </w:rPr>
        <w:t xml:space="preserve"> </w:t>
      </w:r>
      <w:r w:rsidRPr="00FA0FC2">
        <w:rPr>
          <w:rFonts w:hint="cs"/>
          <w:sz w:val="30"/>
          <w:rtl/>
          <w:lang/>
        </w:rPr>
        <w:t>ال</w:t>
      </w:r>
      <w:r w:rsidRPr="00FA0FC2">
        <w:rPr>
          <w:rStyle w:val="hps"/>
          <w:sz w:val="30"/>
          <w:rtl/>
          <w:lang/>
        </w:rPr>
        <w:t>حركات</w:t>
      </w:r>
      <w:r w:rsidRPr="00FA0FC2">
        <w:rPr>
          <w:sz w:val="30"/>
          <w:rtl/>
          <w:lang/>
        </w:rPr>
        <w:t xml:space="preserve"> </w:t>
      </w:r>
      <w:r w:rsidRPr="00FA0FC2">
        <w:rPr>
          <w:rStyle w:val="hps"/>
          <w:rFonts w:hint="cs"/>
          <w:sz w:val="30"/>
          <w:rtl/>
          <w:lang/>
        </w:rPr>
        <w:t>المناهضة للقمع في جنوب اليمن</w:t>
      </w:r>
      <w:r w:rsidRPr="00FA0FC2">
        <w:rPr>
          <w:sz w:val="30"/>
          <w:rtl/>
          <w:lang/>
        </w:rPr>
        <w:t xml:space="preserve"> </w:t>
      </w:r>
      <w:r w:rsidRPr="00FA0FC2">
        <w:rPr>
          <w:rStyle w:val="hps"/>
          <w:sz w:val="30"/>
          <w:rtl/>
          <w:lang/>
        </w:rPr>
        <w:t>قبل</w:t>
      </w:r>
      <w:r w:rsidRPr="00FA0FC2">
        <w:rPr>
          <w:sz w:val="30"/>
          <w:rtl/>
          <w:lang/>
        </w:rPr>
        <w:t xml:space="preserve"> </w:t>
      </w:r>
      <w:r w:rsidRPr="00FA0FC2">
        <w:rPr>
          <w:rStyle w:val="hps"/>
          <w:rFonts w:hint="cs"/>
          <w:sz w:val="30"/>
          <w:rtl/>
          <w:lang/>
        </w:rPr>
        <w:t xml:space="preserve">توقيفه المزعوم </w:t>
      </w:r>
      <w:r w:rsidRPr="00FA0FC2">
        <w:rPr>
          <w:rStyle w:val="hps"/>
          <w:sz w:val="30"/>
          <w:rtl/>
          <w:lang/>
        </w:rPr>
        <w:t xml:space="preserve">في 21 </w:t>
      </w:r>
      <w:r w:rsidRPr="00FA0FC2">
        <w:rPr>
          <w:rStyle w:val="hps"/>
          <w:rFonts w:hint="cs"/>
          <w:sz w:val="30"/>
          <w:rtl/>
          <w:lang/>
        </w:rPr>
        <w:t>أيار/</w:t>
      </w:r>
      <w:r w:rsidRPr="00FA0FC2">
        <w:rPr>
          <w:rStyle w:val="hps"/>
          <w:sz w:val="30"/>
          <w:rtl/>
          <w:lang/>
        </w:rPr>
        <w:t>مايو 2009</w:t>
      </w:r>
      <w:r w:rsidRPr="00FA0FC2">
        <w:rPr>
          <w:sz w:val="30"/>
          <w:rtl/>
          <w:lang/>
        </w:rPr>
        <w:t>.</w:t>
      </w:r>
    </w:p>
    <w:p w:rsidR="00091373" w:rsidRPr="00FA0FC2" w:rsidRDefault="00091373" w:rsidP="00091373">
      <w:pPr>
        <w:pStyle w:val="SingleTxtGA"/>
        <w:rPr>
          <w:sz w:val="30"/>
          <w:rtl/>
          <w:lang w:val="fr-CH"/>
        </w:rPr>
      </w:pPr>
      <w:r w:rsidRPr="00FA0FC2">
        <w:rPr>
          <w:sz w:val="30"/>
          <w:rtl/>
          <w:lang w:val="fr-CH"/>
        </w:rPr>
        <w:t>4-12</w:t>
      </w:r>
      <w:r w:rsidRPr="00FA0FC2">
        <w:rPr>
          <w:sz w:val="30"/>
          <w:rtl/>
          <w:lang w:val="fr-CH"/>
        </w:rPr>
        <w:tab/>
      </w:r>
      <w:r w:rsidRPr="00FA0FC2">
        <w:rPr>
          <w:rStyle w:val="hps"/>
          <w:sz w:val="30"/>
          <w:rtl/>
          <w:lang/>
        </w:rPr>
        <w:t>وتلاحظ</w:t>
      </w:r>
      <w:r w:rsidRPr="00FA0FC2">
        <w:rPr>
          <w:sz w:val="30"/>
          <w:rtl/>
          <w:lang/>
        </w:rPr>
        <w:t xml:space="preserve"> </w:t>
      </w:r>
      <w:r w:rsidRPr="00FA0FC2">
        <w:rPr>
          <w:rStyle w:val="hps"/>
          <w:sz w:val="30"/>
          <w:rtl/>
          <w:lang/>
        </w:rPr>
        <w:t>الدولة الطرف</w:t>
      </w:r>
      <w:r w:rsidRPr="00FA0FC2">
        <w:rPr>
          <w:sz w:val="30"/>
          <w:rtl/>
          <w:lang/>
        </w:rPr>
        <w:t xml:space="preserve"> </w:t>
      </w:r>
      <w:r w:rsidRPr="00FA0FC2">
        <w:rPr>
          <w:rStyle w:val="hps"/>
          <w:sz w:val="30"/>
          <w:rtl/>
          <w:lang/>
        </w:rPr>
        <w:t>أيضا</w:t>
      </w:r>
      <w:r w:rsidRPr="00FA0FC2">
        <w:rPr>
          <w:rStyle w:val="hps"/>
          <w:rFonts w:hint="cs"/>
          <w:sz w:val="30"/>
          <w:rtl/>
          <w:lang/>
        </w:rPr>
        <w:t>ً</w:t>
      </w:r>
      <w:r w:rsidRPr="00FA0FC2">
        <w:rPr>
          <w:sz w:val="30"/>
          <w:rtl/>
          <w:lang/>
        </w:rPr>
        <w:t xml:space="preserve"> </w:t>
      </w:r>
      <w:r w:rsidRPr="00FA0FC2">
        <w:rPr>
          <w:rStyle w:val="hps"/>
          <w:sz w:val="30"/>
          <w:rtl/>
          <w:lang/>
        </w:rPr>
        <w:t>تأكيد</w:t>
      </w:r>
      <w:r w:rsidRPr="00FA0FC2">
        <w:rPr>
          <w:sz w:val="30"/>
          <w:rtl/>
          <w:lang/>
        </w:rPr>
        <w:t xml:space="preserve"> </w:t>
      </w:r>
      <w:r w:rsidRPr="00FA0FC2">
        <w:rPr>
          <w:rFonts w:hint="cs"/>
          <w:sz w:val="30"/>
          <w:rtl/>
          <w:lang/>
        </w:rPr>
        <w:t xml:space="preserve">صاحبة </w:t>
      </w:r>
      <w:r w:rsidRPr="00FA0FC2">
        <w:rPr>
          <w:rStyle w:val="hps"/>
          <w:sz w:val="30"/>
          <w:rtl/>
          <w:lang/>
        </w:rPr>
        <w:t>الشكوى</w:t>
      </w:r>
      <w:r w:rsidRPr="00FA0FC2">
        <w:rPr>
          <w:sz w:val="30"/>
          <w:rtl/>
          <w:lang/>
        </w:rPr>
        <w:t xml:space="preserve"> </w:t>
      </w:r>
      <w:r w:rsidRPr="00FA0FC2">
        <w:rPr>
          <w:rStyle w:val="hps"/>
          <w:sz w:val="30"/>
          <w:rtl/>
          <w:lang/>
        </w:rPr>
        <w:t>الثانية</w:t>
      </w:r>
      <w:r w:rsidRPr="00FA0FC2">
        <w:rPr>
          <w:rFonts w:hint="cs"/>
          <w:sz w:val="30"/>
          <w:rtl/>
          <w:lang/>
        </w:rPr>
        <w:t xml:space="preserve">، والذي أفادت فيه بأنها </w:t>
      </w:r>
      <w:r w:rsidRPr="00FA0FC2">
        <w:rPr>
          <w:rStyle w:val="hps"/>
          <w:sz w:val="30"/>
          <w:rtl/>
          <w:lang/>
        </w:rPr>
        <w:t>قد غادرت</w:t>
      </w:r>
      <w:r w:rsidRPr="00FA0FC2">
        <w:rPr>
          <w:sz w:val="30"/>
          <w:rtl/>
          <w:lang/>
        </w:rPr>
        <w:t xml:space="preserve"> </w:t>
      </w:r>
      <w:r w:rsidRPr="00FA0FC2">
        <w:rPr>
          <w:rStyle w:val="hps"/>
          <w:sz w:val="30"/>
          <w:rtl/>
          <w:lang/>
        </w:rPr>
        <w:t>اليمن</w:t>
      </w:r>
      <w:r w:rsidRPr="00FA0FC2">
        <w:rPr>
          <w:sz w:val="30"/>
          <w:rtl/>
          <w:lang/>
        </w:rPr>
        <w:t xml:space="preserve"> </w:t>
      </w:r>
      <w:r w:rsidRPr="00FA0FC2">
        <w:rPr>
          <w:rStyle w:val="hps"/>
          <w:sz w:val="30"/>
          <w:rtl/>
          <w:lang/>
        </w:rPr>
        <w:t>لغرض وحيد</w:t>
      </w:r>
      <w:r w:rsidRPr="00FA0FC2">
        <w:rPr>
          <w:sz w:val="30"/>
          <w:rtl/>
          <w:lang/>
        </w:rPr>
        <w:t xml:space="preserve"> </w:t>
      </w:r>
      <w:r w:rsidRPr="00FA0FC2">
        <w:rPr>
          <w:rStyle w:val="hps"/>
          <w:rFonts w:hint="cs"/>
          <w:sz w:val="30"/>
          <w:rtl/>
          <w:lang/>
        </w:rPr>
        <w:t>يتمثل في</w:t>
      </w:r>
      <w:r w:rsidRPr="00FA0FC2">
        <w:rPr>
          <w:sz w:val="30"/>
          <w:rtl/>
          <w:lang/>
        </w:rPr>
        <w:t xml:space="preserve"> </w:t>
      </w:r>
      <w:r w:rsidRPr="00FA0FC2">
        <w:rPr>
          <w:rStyle w:val="hps"/>
          <w:sz w:val="30"/>
          <w:rtl/>
          <w:lang/>
        </w:rPr>
        <w:t>مرافقة</w:t>
      </w:r>
      <w:r w:rsidRPr="00FA0FC2">
        <w:rPr>
          <w:sz w:val="30"/>
          <w:rtl/>
          <w:lang/>
        </w:rPr>
        <w:t xml:space="preserve"> </w:t>
      </w:r>
      <w:r w:rsidRPr="00FA0FC2">
        <w:rPr>
          <w:rStyle w:val="hps"/>
          <w:sz w:val="30"/>
          <w:rtl/>
          <w:lang/>
        </w:rPr>
        <w:t>زوجها</w:t>
      </w:r>
      <w:r w:rsidRPr="00FA0FC2">
        <w:rPr>
          <w:sz w:val="30"/>
          <w:rtl/>
          <w:lang/>
        </w:rPr>
        <w:t>.</w:t>
      </w:r>
      <w:r>
        <w:rPr>
          <w:sz w:val="30"/>
          <w:rtl/>
          <w:lang/>
        </w:rPr>
        <w:t xml:space="preserve"> وفيما </w:t>
      </w:r>
      <w:r w:rsidRPr="00FA0FC2">
        <w:rPr>
          <w:rStyle w:val="hps"/>
          <w:rFonts w:hint="cs"/>
          <w:sz w:val="30"/>
          <w:rtl/>
          <w:lang/>
        </w:rPr>
        <w:t>يتعلق بها هي شخصياً</w:t>
      </w:r>
      <w:r w:rsidRPr="00FA0FC2">
        <w:rPr>
          <w:sz w:val="30"/>
          <w:rtl/>
          <w:lang/>
        </w:rPr>
        <w:t xml:space="preserve">، </w:t>
      </w:r>
      <w:r w:rsidRPr="00FA0FC2">
        <w:rPr>
          <w:rStyle w:val="hps"/>
          <w:rFonts w:hint="cs"/>
          <w:sz w:val="30"/>
          <w:rtl/>
          <w:lang/>
        </w:rPr>
        <w:t>قالت إ</w:t>
      </w:r>
      <w:r w:rsidRPr="00FA0FC2">
        <w:rPr>
          <w:rStyle w:val="hps"/>
          <w:sz w:val="30"/>
          <w:rtl/>
          <w:lang/>
        </w:rPr>
        <w:t>نها</w:t>
      </w:r>
      <w:r>
        <w:rPr>
          <w:rStyle w:val="hps"/>
          <w:sz w:val="30"/>
          <w:rtl/>
          <w:lang/>
        </w:rPr>
        <w:t xml:space="preserve"> لم </w:t>
      </w:r>
      <w:r w:rsidRPr="00FA0FC2">
        <w:rPr>
          <w:rStyle w:val="hps"/>
          <w:rFonts w:hint="cs"/>
          <w:sz w:val="30"/>
          <w:rtl/>
          <w:lang/>
        </w:rPr>
        <w:t>تتعرض لأية</w:t>
      </w:r>
      <w:r w:rsidRPr="00FA0FC2">
        <w:rPr>
          <w:sz w:val="30"/>
          <w:rtl/>
          <w:lang/>
        </w:rPr>
        <w:t xml:space="preserve"> </w:t>
      </w:r>
      <w:r w:rsidRPr="00FA0FC2">
        <w:rPr>
          <w:rStyle w:val="hps"/>
          <w:sz w:val="30"/>
          <w:rtl/>
          <w:lang/>
        </w:rPr>
        <w:t>مشاكل</w:t>
      </w:r>
      <w:r w:rsidRPr="00FA0FC2">
        <w:rPr>
          <w:sz w:val="30"/>
          <w:rtl/>
          <w:lang/>
        </w:rPr>
        <w:t xml:space="preserve"> </w:t>
      </w:r>
      <w:r w:rsidRPr="00FA0FC2">
        <w:rPr>
          <w:rStyle w:val="hps"/>
          <w:sz w:val="30"/>
          <w:rtl/>
          <w:lang/>
        </w:rPr>
        <w:t>م</w:t>
      </w:r>
      <w:r w:rsidRPr="00FA0FC2">
        <w:rPr>
          <w:rStyle w:val="hps"/>
          <w:rFonts w:hint="cs"/>
          <w:sz w:val="30"/>
          <w:rtl/>
          <w:lang/>
        </w:rPr>
        <w:t>ن</w:t>
      </w:r>
      <w:r w:rsidRPr="00FA0FC2">
        <w:rPr>
          <w:rStyle w:val="hps"/>
          <w:sz w:val="30"/>
          <w:rtl/>
          <w:lang/>
        </w:rPr>
        <w:t xml:space="preserve"> السلطات اليمنية</w:t>
      </w:r>
      <w:r w:rsidRPr="00FA0FC2">
        <w:rPr>
          <w:sz w:val="30"/>
          <w:rtl/>
          <w:lang/>
        </w:rPr>
        <w:t xml:space="preserve">، </w:t>
      </w:r>
      <w:r w:rsidRPr="00FA0FC2">
        <w:rPr>
          <w:rFonts w:hint="cs"/>
          <w:sz w:val="30"/>
          <w:rtl/>
          <w:lang/>
        </w:rPr>
        <w:t>غير أنها أصيبت بالخوف</w:t>
      </w:r>
      <w:r w:rsidRPr="00FA0FC2">
        <w:rPr>
          <w:sz w:val="30"/>
          <w:rtl/>
          <w:lang/>
        </w:rPr>
        <w:t xml:space="preserve"> </w:t>
      </w:r>
      <w:r w:rsidRPr="00FA0FC2">
        <w:rPr>
          <w:rStyle w:val="hps"/>
          <w:rFonts w:hint="cs"/>
          <w:sz w:val="30"/>
          <w:rtl/>
          <w:lang/>
        </w:rPr>
        <w:t xml:space="preserve">لدى زيارة رجال الأمن لمنزلها </w:t>
      </w:r>
      <w:r w:rsidRPr="00FA0FC2">
        <w:rPr>
          <w:rStyle w:val="hps"/>
          <w:sz w:val="30"/>
          <w:rtl/>
          <w:lang/>
        </w:rPr>
        <w:t>بحثا</w:t>
      </w:r>
      <w:r w:rsidRPr="00FA0FC2">
        <w:rPr>
          <w:rStyle w:val="hps"/>
          <w:rFonts w:hint="cs"/>
          <w:sz w:val="30"/>
          <w:rtl/>
          <w:lang/>
        </w:rPr>
        <w:t>ً</w:t>
      </w:r>
      <w:r w:rsidRPr="00FA0FC2">
        <w:rPr>
          <w:rStyle w:val="hps"/>
          <w:sz w:val="30"/>
          <w:rtl/>
          <w:lang/>
        </w:rPr>
        <w:t xml:space="preserve"> عن</w:t>
      </w:r>
      <w:r w:rsidRPr="00FA0FC2">
        <w:rPr>
          <w:sz w:val="30"/>
          <w:rtl/>
          <w:lang/>
        </w:rPr>
        <w:t xml:space="preserve"> </w:t>
      </w:r>
      <w:r w:rsidRPr="00FA0FC2">
        <w:rPr>
          <w:rStyle w:val="hps"/>
          <w:sz w:val="30"/>
          <w:rtl/>
          <w:lang/>
        </w:rPr>
        <w:t>زوجها</w:t>
      </w:r>
      <w:r w:rsidRPr="00FA0FC2">
        <w:rPr>
          <w:sz w:val="30"/>
          <w:rtl/>
          <w:lang/>
        </w:rPr>
        <w:t xml:space="preserve">. </w:t>
      </w:r>
      <w:r w:rsidRPr="00FA0FC2">
        <w:rPr>
          <w:rStyle w:val="hps"/>
          <w:sz w:val="30"/>
          <w:rtl/>
          <w:lang/>
        </w:rPr>
        <w:t>وبالإضافة إلى ذلك</w:t>
      </w:r>
      <w:r w:rsidRPr="00FA0FC2">
        <w:rPr>
          <w:sz w:val="30"/>
          <w:rtl/>
          <w:lang/>
        </w:rPr>
        <w:t xml:space="preserve">، </w:t>
      </w:r>
      <w:r w:rsidRPr="00FA0FC2">
        <w:rPr>
          <w:rFonts w:hint="cs"/>
          <w:sz w:val="30"/>
          <w:rtl/>
          <w:lang/>
        </w:rPr>
        <w:t>صرحت صاحبة الشكوى الثانية أنها</w:t>
      </w:r>
      <w:r>
        <w:rPr>
          <w:sz w:val="30"/>
          <w:rtl/>
          <w:lang/>
        </w:rPr>
        <w:t xml:space="preserve"> لم </w:t>
      </w:r>
      <w:r w:rsidRPr="00FA0FC2">
        <w:rPr>
          <w:rStyle w:val="hps"/>
          <w:sz w:val="30"/>
          <w:rtl/>
          <w:lang/>
        </w:rPr>
        <w:t>تكن</w:t>
      </w:r>
      <w:r w:rsidRPr="00FA0FC2">
        <w:rPr>
          <w:sz w:val="30"/>
          <w:rtl/>
          <w:lang/>
        </w:rPr>
        <w:t xml:space="preserve"> </w:t>
      </w:r>
      <w:r w:rsidRPr="00FA0FC2">
        <w:rPr>
          <w:rStyle w:val="hps"/>
          <w:sz w:val="30"/>
          <w:rtl/>
          <w:lang/>
        </w:rPr>
        <w:t>ناشطة سياسي</w:t>
      </w:r>
      <w:r w:rsidRPr="00FA0FC2">
        <w:rPr>
          <w:rStyle w:val="hps"/>
          <w:rFonts w:hint="cs"/>
          <w:sz w:val="30"/>
          <w:rtl/>
          <w:lang/>
        </w:rPr>
        <w:t>ة قط</w:t>
      </w:r>
      <w:r w:rsidRPr="00FA0FC2">
        <w:rPr>
          <w:sz w:val="30"/>
          <w:rtl/>
          <w:lang/>
        </w:rPr>
        <w:t>.</w:t>
      </w:r>
    </w:p>
    <w:p w:rsidR="00091373" w:rsidRPr="00FA0FC2" w:rsidRDefault="00091373" w:rsidP="00091373">
      <w:pPr>
        <w:pStyle w:val="SingleTxtGA"/>
        <w:rPr>
          <w:sz w:val="30"/>
          <w:rtl/>
          <w:lang w:val="fr-CH"/>
        </w:rPr>
      </w:pPr>
      <w:r w:rsidRPr="00FA0FC2">
        <w:rPr>
          <w:sz w:val="30"/>
          <w:rtl/>
          <w:lang w:val="fr-CH"/>
        </w:rPr>
        <w:t>4-13</w:t>
      </w:r>
      <w:r w:rsidRPr="00FA0FC2">
        <w:rPr>
          <w:sz w:val="30"/>
          <w:rtl/>
          <w:lang w:val="fr-CH"/>
        </w:rPr>
        <w:tab/>
      </w:r>
      <w:r w:rsidRPr="00FA0FC2">
        <w:rPr>
          <w:rStyle w:val="hps"/>
          <w:sz w:val="30"/>
          <w:rtl/>
          <w:lang/>
        </w:rPr>
        <w:t>وفيما يتعلق</w:t>
      </w:r>
      <w:r w:rsidRPr="00FA0FC2">
        <w:rPr>
          <w:sz w:val="30"/>
          <w:rtl/>
          <w:lang/>
        </w:rPr>
        <w:t xml:space="preserve"> </w:t>
      </w:r>
      <w:r w:rsidRPr="00FA0FC2">
        <w:rPr>
          <w:rStyle w:val="hps"/>
          <w:sz w:val="30"/>
          <w:rtl/>
          <w:lang/>
        </w:rPr>
        <w:t xml:space="preserve">بالأنشطة السياسية </w:t>
      </w:r>
      <w:r w:rsidRPr="00FA0FC2">
        <w:rPr>
          <w:rStyle w:val="hps"/>
          <w:rFonts w:hint="cs"/>
          <w:sz w:val="30"/>
          <w:rtl/>
          <w:lang/>
        </w:rPr>
        <w:t>التي مارسها صاحب</w:t>
      </w:r>
      <w:r w:rsidRPr="00FA0FC2">
        <w:rPr>
          <w:sz w:val="30"/>
          <w:rtl/>
          <w:lang/>
        </w:rPr>
        <w:t xml:space="preserve"> الشكوى </w:t>
      </w:r>
      <w:r w:rsidRPr="00FA0FC2">
        <w:rPr>
          <w:rStyle w:val="hps"/>
          <w:sz w:val="30"/>
          <w:rtl/>
          <w:lang/>
        </w:rPr>
        <w:t>الأول</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سويسرا</w:t>
      </w:r>
      <w:r w:rsidRPr="00FA0FC2">
        <w:rPr>
          <w:sz w:val="30"/>
          <w:rtl/>
          <w:lang/>
        </w:rPr>
        <w:t xml:space="preserve">، تلاحظ </w:t>
      </w:r>
      <w:r w:rsidRPr="00FA0FC2">
        <w:rPr>
          <w:rStyle w:val="hps"/>
          <w:sz w:val="30"/>
          <w:rtl/>
          <w:lang/>
        </w:rPr>
        <w:t>الدولة الطرف</w:t>
      </w:r>
      <w:r w:rsidRPr="00FA0FC2">
        <w:rPr>
          <w:sz w:val="30"/>
          <w:rtl/>
          <w:lang/>
        </w:rPr>
        <w:t xml:space="preserve"> </w:t>
      </w:r>
      <w:r w:rsidRPr="00FA0FC2">
        <w:rPr>
          <w:rStyle w:val="hps"/>
          <w:sz w:val="30"/>
          <w:rtl/>
          <w:lang/>
        </w:rPr>
        <w:t>أنه يدعي</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rFonts w:hint="cs"/>
          <w:sz w:val="30"/>
          <w:rtl/>
          <w:lang/>
        </w:rPr>
        <w:t>الشكوى التي قدمها</w:t>
      </w:r>
      <w:r w:rsidRPr="00FA0FC2">
        <w:rPr>
          <w:sz w:val="30"/>
          <w:rtl/>
          <w:lang/>
        </w:rPr>
        <w:t xml:space="preserve"> </w:t>
      </w:r>
      <w:r w:rsidRPr="00FA0FC2">
        <w:rPr>
          <w:rStyle w:val="hps"/>
          <w:sz w:val="30"/>
          <w:rtl/>
          <w:lang/>
        </w:rPr>
        <w:t>إلى اللجنة</w:t>
      </w:r>
      <w:r w:rsidRPr="00FA0FC2">
        <w:rPr>
          <w:sz w:val="30"/>
          <w:rtl/>
          <w:lang/>
        </w:rPr>
        <w:t xml:space="preserve"> </w:t>
      </w:r>
      <w:r w:rsidRPr="00FA0FC2">
        <w:rPr>
          <w:rStyle w:val="hps"/>
          <w:sz w:val="30"/>
          <w:rtl/>
          <w:lang/>
        </w:rPr>
        <w:t>أن</w:t>
      </w:r>
      <w:r w:rsidRPr="00FA0FC2">
        <w:rPr>
          <w:rStyle w:val="hps"/>
          <w:rFonts w:hint="cs"/>
          <w:sz w:val="30"/>
          <w:rtl/>
          <w:lang/>
        </w:rPr>
        <w:t>ه قد</w:t>
      </w:r>
      <w:r w:rsidRPr="00FA0FC2">
        <w:rPr>
          <w:sz w:val="30"/>
          <w:rtl/>
          <w:lang/>
        </w:rPr>
        <w:t xml:space="preserve"> </w:t>
      </w:r>
      <w:r w:rsidRPr="00FA0FC2">
        <w:rPr>
          <w:rStyle w:val="hps"/>
          <w:sz w:val="30"/>
          <w:rtl/>
          <w:lang/>
        </w:rPr>
        <w:t>دعم بنشاط منذ</w:t>
      </w:r>
      <w:r w:rsidRPr="00FA0FC2">
        <w:rPr>
          <w:sz w:val="30"/>
          <w:rtl/>
          <w:lang/>
        </w:rPr>
        <w:t xml:space="preserve"> </w:t>
      </w:r>
      <w:r w:rsidRPr="00FA0FC2">
        <w:rPr>
          <w:rStyle w:val="hps"/>
          <w:sz w:val="30"/>
          <w:rtl/>
          <w:lang/>
        </w:rPr>
        <w:t xml:space="preserve">وصوله إلى سويسرا </w:t>
      </w:r>
      <w:r w:rsidRPr="00FA0FC2">
        <w:rPr>
          <w:rStyle w:val="hps"/>
          <w:rFonts w:hint="cs"/>
          <w:sz w:val="30"/>
          <w:rtl/>
          <w:lang/>
        </w:rPr>
        <w:t>قضايا</w:t>
      </w:r>
      <w:r w:rsidRPr="00FA0FC2">
        <w:rPr>
          <w:sz w:val="30"/>
          <w:rtl/>
          <w:lang/>
        </w:rPr>
        <w:t xml:space="preserve"> </w:t>
      </w:r>
      <w:r w:rsidRPr="00FA0FC2">
        <w:rPr>
          <w:rStyle w:val="hps"/>
          <w:sz w:val="30"/>
          <w:rtl/>
          <w:lang/>
        </w:rPr>
        <w:t>الجالية اليمنية</w:t>
      </w:r>
      <w:r w:rsidRPr="00FA0FC2">
        <w:rPr>
          <w:sz w:val="30"/>
          <w:rtl/>
          <w:lang/>
        </w:rPr>
        <w:t xml:space="preserve"> </w:t>
      </w:r>
      <w:r w:rsidRPr="00FA0FC2">
        <w:rPr>
          <w:rStyle w:val="hps"/>
          <w:sz w:val="30"/>
          <w:rtl/>
          <w:lang/>
        </w:rPr>
        <w:t>الجنوبية</w:t>
      </w:r>
      <w:r w:rsidRPr="00FA0FC2">
        <w:rPr>
          <w:sz w:val="30"/>
          <w:rtl/>
          <w:lang/>
        </w:rPr>
        <w:t xml:space="preserve">. </w:t>
      </w:r>
      <w:r w:rsidRPr="00FA0FC2">
        <w:rPr>
          <w:rStyle w:val="hps"/>
          <w:sz w:val="30"/>
          <w:rtl/>
          <w:lang/>
        </w:rPr>
        <w:t>وهو يدعي أنه</w:t>
      </w:r>
      <w:r w:rsidRPr="00FA0FC2">
        <w:rPr>
          <w:sz w:val="30"/>
          <w:rtl/>
          <w:lang/>
        </w:rPr>
        <w:t xml:space="preserve"> </w:t>
      </w:r>
      <w:r w:rsidRPr="00FA0FC2">
        <w:rPr>
          <w:rStyle w:val="hps"/>
          <w:sz w:val="30"/>
          <w:rtl/>
          <w:lang/>
        </w:rPr>
        <w:t>عضو في</w:t>
      </w:r>
      <w:r w:rsidRPr="00FA0FC2">
        <w:rPr>
          <w:sz w:val="30"/>
          <w:rtl/>
          <w:lang/>
        </w:rPr>
        <w:t xml:space="preserve"> </w:t>
      </w:r>
      <w:r w:rsidRPr="00FA0FC2">
        <w:rPr>
          <w:rStyle w:val="hps"/>
          <w:sz w:val="30"/>
          <w:rtl/>
          <w:lang/>
        </w:rPr>
        <w:t>التجمع الديمقراطي الجنوبي</w:t>
      </w:r>
      <w:r w:rsidRPr="00FA0FC2">
        <w:rPr>
          <w:sz w:val="30"/>
          <w:rtl/>
          <w:lang/>
        </w:rPr>
        <w:t xml:space="preserve">، </w:t>
      </w:r>
      <w:r w:rsidRPr="00FA0FC2">
        <w:rPr>
          <w:rFonts w:hint="cs"/>
          <w:sz w:val="30"/>
          <w:rtl/>
          <w:lang/>
        </w:rPr>
        <w:t>وأنه المسؤول</w:t>
      </w:r>
      <w:r w:rsidRPr="00FA0FC2">
        <w:rPr>
          <w:sz w:val="30"/>
          <w:rtl/>
          <w:lang/>
        </w:rPr>
        <w:t xml:space="preserve"> عن </w:t>
      </w:r>
      <w:r w:rsidRPr="00FA0FC2">
        <w:rPr>
          <w:rStyle w:val="hps"/>
          <w:sz w:val="30"/>
          <w:rtl/>
          <w:lang/>
        </w:rPr>
        <w:t>العلاقات العامة</w:t>
      </w:r>
      <w:r w:rsidRPr="00FA0FC2">
        <w:rPr>
          <w:sz w:val="30"/>
          <w:rtl/>
          <w:lang/>
        </w:rPr>
        <w:t xml:space="preserve"> </w:t>
      </w:r>
      <w:r w:rsidRPr="00FA0FC2">
        <w:rPr>
          <w:rStyle w:val="hps"/>
          <w:rFonts w:hint="cs"/>
          <w:sz w:val="30"/>
          <w:rtl/>
          <w:lang/>
        </w:rPr>
        <w:t>للتجمع المذكور</w:t>
      </w:r>
      <w:r w:rsidRPr="00FA0FC2">
        <w:rPr>
          <w:sz w:val="30"/>
          <w:rtl/>
          <w:lang/>
        </w:rPr>
        <w:t xml:space="preserve"> </w:t>
      </w:r>
      <w:r w:rsidRPr="00FA0FC2">
        <w:rPr>
          <w:rStyle w:val="hps"/>
          <w:sz w:val="30"/>
          <w:rtl/>
          <w:lang/>
        </w:rPr>
        <w:t>في كانتون</w:t>
      </w:r>
      <w:r w:rsidRPr="00FA0FC2">
        <w:rPr>
          <w:sz w:val="30"/>
          <w:rtl/>
          <w:lang/>
        </w:rPr>
        <w:t xml:space="preserve"> </w:t>
      </w:r>
      <w:r w:rsidRPr="00FA0FC2">
        <w:rPr>
          <w:rStyle w:val="hps"/>
          <w:sz w:val="30"/>
          <w:rtl/>
          <w:lang/>
        </w:rPr>
        <w:t>فريبورغ</w:t>
      </w:r>
      <w:r w:rsidRPr="00FA0FC2">
        <w:rPr>
          <w:sz w:val="30"/>
          <w:rtl/>
          <w:lang/>
        </w:rPr>
        <w:t xml:space="preserve">. </w:t>
      </w:r>
      <w:r w:rsidRPr="00FA0FC2">
        <w:rPr>
          <w:rStyle w:val="hps"/>
          <w:rFonts w:hint="cs"/>
          <w:sz w:val="30"/>
          <w:rtl/>
          <w:lang/>
        </w:rPr>
        <w:t>وشارك، في إطار أنشطته</w:t>
      </w:r>
      <w:r w:rsidRPr="00FA0FC2">
        <w:rPr>
          <w:rStyle w:val="hps"/>
          <w:sz w:val="30"/>
          <w:rtl/>
          <w:lang/>
        </w:rPr>
        <w:t xml:space="preserve"> السياسية</w:t>
      </w:r>
      <w:r w:rsidRPr="00FA0FC2">
        <w:rPr>
          <w:sz w:val="30"/>
          <w:rtl/>
          <w:lang/>
        </w:rPr>
        <w:t xml:space="preserve">، </w:t>
      </w:r>
      <w:r w:rsidRPr="00FA0FC2">
        <w:rPr>
          <w:rStyle w:val="hps"/>
          <w:sz w:val="30"/>
          <w:rtl/>
          <w:lang/>
        </w:rPr>
        <w:t>في العديد من</w:t>
      </w:r>
      <w:r w:rsidRPr="00FA0FC2">
        <w:rPr>
          <w:sz w:val="30"/>
          <w:rtl/>
          <w:lang/>
        </w:rPr>
        <w:t xml:space="preserve"> </w:t>
      </w:r>
      <w:r w:rsidRPr="00FA0FC2">
        <w:rPr>
          <w:rStyle w:val="hps"/>
          <w:sz w:val="30"/>
          <w:rtl/>
          <w:lang/>
        </w:rPr>
        <w:t>اجتماعات</w:t>
      </w:r>
      <w:r w:rsidRPr="00FA0FC2">
        <w:rPr>
          <w:sz w:val="30"/>
          <w:rtl/>
          <w:lang/>
        </w:rPr>
        <w:t xml:space="preserve"> </w:t>
      </w:r>
      <w:r w:rsidRPr="00FA0FC2">
        <w:rPr>
          <w:rStyle w:val="hps"/>
          <w:sz w:val="30"/>
          <w:rtl/>
          <w:lang/>
        </w:rPr>
        <w:t>هذه المنظمة</w:t>
      </w:r>
      <w:r w:rsidRPr="00FA0FC2">
        <w:rPr>
          <w:sz w:val="30"/>
          <w:rtl/>
          <w:lang/>
        </w:rPr>
        <w:t xml:space="preserve"> </w:t>
      </w:r>
      <w:r w:rsidRPr="00FA0FC2">
        <w:rPr>
          <w:rStyle w:val="hps"/>
          <w:sz w:val="30"/>
          <w:rtl/>
          <w:lang/>
        </w:rPr>
        <w:t>وكذلك</w:t>
      </w:r>
      <w:r w:rsidRPr="00FA0FC2">
        <w:rPr>
          <w:rStyle w:val="hps"/>
          <w:rFonts w:hint="cs"/>
          <w:sz w:val="30"/>
          <w:rtl/>
          <w:lang/>
        </w:rPr>
        <w:t xml:space="preserve"> في</w:t>
      </w:r>
      <w:r w:rsidRPr="00FA0FC2">
        <w:rPr>
          <w:sz w:val="30"/>
          <w:rtl/>
          <w:lang/>
        </w:rPr>
        <w:t xml:space="preserve"> </w:t>
      </w:r>
      <w:r w:rsidRPr="00FA0FC2">
        <w:rPr>
          <w:rStyle w:val="hps"/>
          <w:sz w:val="30"/>
          <w:rtl/>
          <w:lang/>
        </w:rPr>
        <w:t>المظاهرات</w:t>
      </w:r>
      <w:r w:rsidRPr="00FA0FC2">
        <w:rPr>
          <w:sz w:val="30"/>
          <w:rtl/>
          <w:lang/>
        </w:rPr>
        <w:t xml:space="preserve"> </w:t>
      </w:r>
      <w:r w:rsidRPr="00FA0FC2">
        <w:rPr>
          <w:rStyle w:val="hps"/>
          <w:sz w:val="30"/>
          <w:rtl/>
          <w:lang/>
        </w:rPr>
        <w:t>التي نظمتها.</w:t>
      </w:r>
      <w:r>
        <w:rPr>
          <w:sz w:val="30"/>
          <w:rtl/>
          <w:lang/>
        </w:rPr>
        <w:t xml:space="preserve"> وفي </w:t>
      </w:r>
      <w:r w:rsidRPr="00FA0FC2">
        <w:rPr>
          <w:rStyle w:val="hps"/>
          <w:sz w:val="30"/>
          <w:rtl/>
          <w:lang/>
        </w:rPr>
        <w:t>هذا الصدد</w:t>
      </w:r>
      <w:r w:rsidRPr="00FA0FC2">
        <w:rPr>
          <w:sz w:val="30"/>
          <w:rtl/>
          <w:lang/>
        </w:rPr>
        <w:t>، قدم</w:t>
      </w:r>
      <w:r w:rsidRPr="00FA0FC2">
        <w:rPr>
          <w:rFonts w:hint="cs"/>
          <w:sz w:val="30"/>
          <w:rtl/>
          <w:lang/>
        </w:rPr>
        <w:t xml:space="preserve"> صاحب</w:t>
      </w:r>
      <w:r w:rsidRPr="00FA0FC2">
        <w:rPr>
          <w:sz w:val="30"/>
          <w:rtl/>
          <w:lang/>
        </w:rPr>
        <w:t xml:space="preserve"> </w:t>
      </w:r>
      <w:r w:rsidRPr="00FA0FC2">
        <w:rPr>
          <w:rStyle w:val="hps"/>
          <w:sz w:val="30"/>
          <w:rtl/>
          <w:lang/>
        </w:rPr>
        <w:t>الشكوى</w:t>
      </w:r>
      <w:r w:rsidRPr="00FA0FC2">
        <w:rPr>
          <w:sz w:val="30"/>
          <w:rtl/>
          <w:lang/>
        </w:rPr>
        <w:t xml:space="preserve"> </w:t>
      </w:r>
      <w:r w:rsidRPr="00FA0FC2">
        <w:rPr>
          <w:rStyle w:val="hps"/>
          <w:rFonts w:hint="cs"/>
          <w:sz w:val="30"/>
          <w:rtl/>
          <w:lang/>
        </w:rPr>
        <w:t>الأول</w:t>
      </w:r>
      <w:r w:rsidRPr="00FA0FC2">
        <w:rPr>
          <w:sz w:val="30"/>
          <w:rtl/>
          <w:lang/>
        </w:rPr>
        <w:t xml:space="preserve"> </w:t>
      </w:r>
      <w:r w:rsidRPr="00FA0FC2">
        <w:rPr>
          <w:rStyle w:val="hps"/>
          <w:sz w:val="30"/>
          <w:rtl/>
          <w:lang/>
        </w:rPr>
        <w:t>شهادة</w:t>
      </w:r>
      <w:r w:rsidRPr="00FA0FC2">
        <w:rPr>
          <w:rStyle w:val="hps"/>
          <w:rFonts w:hint="cs"/>
          <w:sz w:val="30"/>
          <w:rtl/>
          <w:lang/>
        </w:rPr>
        <w:t xml:space="preserve"> انتماء</w:t>
      </w:r>
      <w:r w:rsidRPr="00FA0FC2">
        <w:rPr>
          <w:sz w:val="30"/>
          <w:rtl/>
          <w:lang/>
        </w:rPr>
        <w:t xml:space="preserve"> </w:t>
      </w:r>
      <w:r w:rsidRPr="00FA0FC2">
        <w:rPr>
          <w:rStyle w:val="hps"/>
          <w:rFonts w:hint="cs"/>
          <w:sz w:val="30"/>
          <w:rtl/>
          <w:lang/>
        </w:rPr>
        <w:t>صادرة عن</w:t>
      </w:r>
      <w:r w:rsidRPr="00FA0FC2">
        <w:rPr>
          <w:rStyle w:val="hps"/>
          <w:sz w:val="30"/>
          <w:rtl/>
          <w:lang/>
        </w:rPr>
        <w:t xml:space="preserve"> التجمع الديمقراطي الجنوبي</w:t>
      </w:r>
      <w:r w:rsidRPr="00FA0FC2">
        <w:rPr>
          <w:sz w:val="30"/>
          <w:rtl/>
          <w:lang/>
        </w:rPr>
        <w:t xml:space="preserve"> </w:t>
      </w:r>
      <w:r w:rsidRPr="00FA0FC2">
        <w:rPr>
          <w:rStyle w:val="hps"/>
          <w:sz w:val="30"/>
          <w:rtl/>
          <w:lang/>
        </w:rPr>
        <w:t>في المملكة</w:t>
      </w:r>
      <w:r w:rsidRPr="00FA0FC2">
        <w:rPr>
          <w:sz w:val="30"/>
          <w:rtl/>
          <w:lang/>
        </w:rPr>
        <w:t xml:space="preserve"> </w:t>
      </w:r>
      <w:r w:rsidRPr="00FA0FC2">
        <w:rPr>
          <w:rStyle w:val="hps"/>
          <w:sz w:val="30"/>
          <w:rtl/>
          <w:lang/>
        </w:rPr>
        <w:t>المتحدة</w:t>
      </w:r>
      <w:r w:rsidRPr="00FA0FC2">
        <w:rPr>
          <w:sz w:val="30"/>
          <w:rtl/>
          <w:lang/>
        </w:rPr>
        <w:t xml:space="preserve"> </w:t>
      </w:r>
      <w:r w:rsidRPr="00FA0FC2">
        <w:rPr>
          <w:rStyle w:val="hps"/>
          <w:sz w:val="30"/>
          <w:rtl/>
          <w:lang/>
        </w:rPr>
        <w:t>في 22 كانون الثاني</w:t>
      </w:r>
      <w:r w:rsidRPr="00FA0FC2">
        <w:rPr>
          <w:rFonts w:hint="cs"/>
          <w:sz w:val="30"/>
          <w:rtl/>
          <w:lang/>
        </w:rPr>
        <w:t>/يناير 2011</w:t>
      </w:r>
      <w:r w:rsidRPr="00FA0FC2">
        <w:rPr>
          <w:sz w:val="30"/>
          <w:rtl/>
          <w:lang/>
        </w:rPr>
        <w:t xml:space="preserve">، </w:t>
      </w:r>
      <w:r w:rsidRPr="00FA0FC2">
        <w:rPr>
          <w:rStyle w:val="hps"/>
          <w:sz w:val="30"/>
          <w:rtl/>
          <w:lang/>
        </w:rPr>
        <w:t>و</w:t>
      </w:r>
      <w:r w:rsidRPr="00FA0FC2">
        <w:rPr>
          <w:sz w:val="30"/>
          <w:rtl/>
          <w:lang/>
        </w:rPr>
        <w:t xml:space="preserve">شهادة </w:t>
      </w:r>
      <w:r w:rsidRPr="00FA0FC2">
        <w:rPr>
          <w:rStyle w:val="hps"/>
          <w:sz w:val="30"/>
          <w:rtl/>
          <w:lang/>
        </w:rPr>
        <w:t>صادرة</w:t>
      </w:r>
      <w:r w:rsidRPr="00FA0FC2">
        <w:rPr>
          <w:rStyle w:val="hps"/>
          <w:rFonts w:hint="cs"/>
          <w:sz w:val="30"/>
          <w:rtl/>
          <w:lang/>
        </w:rPr>
        <w:t xml:space="preserve"> عن</w:t>
      </w:r>
      <w:r w:rsidRPr="00FA0FC2">
        <w:rPr>
          <w:rStyle w:val="hps"/>
          <w:sz w:val="30"/>
          <w:rtl/>
          <w:lang/>
        </w:rPr>
        <w:t xml:space="preserve"> مكتب</w:t>
      </w:r>
      <w:r w:rsidRPr="00FA0FC2">
        <w:rPr>
          <w:sz w:val="30"/>
          <w:rtl/>
          <w:lang/>
        </w:rPr>
        <w:t xml:space="preserve"> </w:t>
      </w:r>
      <w:r w:rsidRPr="00FA0FC2">
        <w:rPr>
          <w:rStyle w:val="hps"/>
          <w:sz w:val="30"/>
          <w:rtl/>
          <w:lang/>
        </w:rPr>
        <w:t>الرئيس</w:t>
      </w:r>
      <w:r w:rsidRPr="00FA0FC2">
        <w:rPr>
          <w:sz w:val="30"/>
          <w:rtl/>
          <w:lang/>
        </w:rPr>
        <w:t xml:space="preserve"> </w:t>
      </w:r>
      <w:r w:rsidRPr="00FA0FC2">
        <w:rPr>
          <w:rStyle w:val="hps"/>
          <w:sz w:val="30"/>
          <w:rtl/>
          <w:lang/>
        </w:rPr>
        <w:t>السابق لجمهورية</w:t>
      </w:r>
      <w:r w:rsidRPr="00FA0FC2">
        <w:rPr>
          <w:sz w:val="30"/>
          <w:rtl/>
          <w:lang/>
        </w:rPr>
        <w:t xml:space="preserve"> </w:t>
      </w:r>
      <w:r w:rsidRPr="00FA0FC2">
        <w:rPr>
          <w:rStyle w:val="hps"/>
          <w:sz w:val="30"/>
          <w:rtl/>
          <w:lang/>
        </w:rPr>
        <w:t>اليمن الديمقراطية</w:t>
      </w:r>
      <w:r w:rsidRPr="00FA0FC2">
        <w:rPr>
          <w:sz w:val="30"/>
          <w:rtl/>
          <w:lang/>
        </w:rPr>
        <w:t xml:space="preserve"> </w:t>
      </w:r>
      <w:r w:rsidRPr="00FA0FC2">
        <w:rPr>
          <w:rStyle w:val="hps"/>
          <w:rFonts w:hint="cs"/>
          <w:sz w:val="30"/>
          <w:rtl/>
          <w:lang/>
        </w:rPr>
        <w:t>في</w:t>
      </w:r>
      <w:r w:rsidRPr="00FA0FC2">
        <w:rPr>
          <w:rStyle w:val="hps"/>
          <w:sz w:val="30"/>
          <w:rtl/>
          <w:lang/>
        </w:rPr>
        <w:t xml:space="preserve"> 23 </w:t>
      </w:r>
      <w:r w:rsidRPr="00FA0FC2">
        <w:rPr>
          <w:rStyle w:val="hps"/>
          <w:rFonts w:hint="cs"/>
          <w:sz w:val="30"/>
          <w:rtl/>
          <w:lang/>
        </w:rPr>
        <w:t xml:space="preserve">كانون الثاني/يناير </w:t>
      </w:r>
      <w:r w:rsidRPr="00FA0FC2">
        <w:rPr>
          <w:rStyle w:val="hps"/>
          <w:sz w:val="30"/>
          <w:rtl/>
          <w:lang/>
        </w:rPr>
        <w:t>2011</w:t>
      </w:r>
      <w:r w:rsidRPr="00FA0FC2">
        <w:rPr>
          <w:sz w:val="30"/>
          <w:rtl/>
          <w:lang/>
        </w:rPr>
        <w:t xml:space="preserve">، </w:t>
      </w:r>
      <w:r w:rsidRPr="00FA0FC2">
        <w:rPr>
          <w:rStyle w:val="hps"/>
          <w:rFonts w:hint="cs"/>
          <w:sz w:val="30"/>
          <w:rtl/>
          <w:lang/>
        </w:rPr>
        <w:t>و</w:t>
      </w:r>
      <w:r w:rsidRPr="00FA0FC2">
        <w:rPr>
          <w:rStyle w:val="hps"/>
          <w:sz w:val="30"/>
          <w:rtl/>
          <w:lang/>
        </w:rPr>
        <w:t>كذلك صور</w:t>
      </w:r>
      <w:r w:rsidRPr="00FA0FC2">
        <w:rPr>
          <w:rStyle w:val="hps"/>
          <w:rFonts w:hint="cs"/>
          <w:sz w:val="30"/>
          <w:rtl/>
          <w:lang/>
        </w:rPr>
        <w:t>اً</w:t>
      </w:r>
      <w:r w:rsidRPr="00FA0FC2">
        <w:rPr>
          <w:rStyle w:val="hps"/>
          <w:sz w:val="30"/>
          <w:rtl/>
          <w:lang/>
        </w:rPr>
        <w:t xml:space="preserve"> فوتوغرافية</w:t>
      </w:r>
      <w:r w:rsidRPr="00FA0FC2">
        <w:rPr>
          <w:sz w:val="30"/>
          <w:rtl/>
          <w:lang/>
        </w:rPr>
        <w:t xml:space="preserve"> </w:t>
      </w:r>
      <w:r w:rsidRPr="00FA0FC2">
        <w:rPr>
          <w:rStyle w:val="hps"/>
          <w:sz w:val="30"/>
          <w:rtl/>
          <w:lang/>
        </w:rPr>
        <w:t>ومقالات عن</w:t>
      </w:r>
      <w:r w:rsidRPr="00FA0FC2">
        <w:rPr>
          <w:sz w:val="30"/>
          <w:rtl/>
          <w:lang/>
        </w:rPr>
        <w:t xml:space="preserve"> </w:t>
      </w:r>
      <w:r w:rsidRPr="00FA0FC2">
        <w:rPr>
          <w:rStyle w:val="hps"/>
          <w:sz w:val="30"/>
          <w:rtl/>
          <w:lang/>
        </w:rPr>
        <w:t>مظاهرات</w:t>
      </w:r>
      <w:r w:rsidRPr="00FA0FC2">
        <w:rPr>
          <w:sz w:val="30"/>
          <w:rtl/>
          <w:lang/>
        </w:rPr>
        <w:t xml:space="preserve"> </w:t>
      </w:r>
      <w:r w:rsidRPr="00FA0FC2">
        <w:rPr>
          <w:rStyle w:val="hps"/>
          <w:rFonts w:hint="cs"/>
          <w:sz w:val="30"/>
          <w:rtl/>
          <w:lang/>
        </w:rPr>
        <w:t>شارك فيها</w:t>
      </w:r>
      <w:r w:rsidRPr="00FA0FC2">
        <w:rPr>
          <w:sz w:val="30"/>
          <w:rtl/>
          <w:lang/>
        </w:rPr>
        <w:t>.</w:t>
      </w:r>
    </w:p>
    <w:p w:rsidR="00091373" w:rsidRPr="00FA0FC2" w:rsidRDefault="00091373" w:rsidP="00091373">
      <w:pPr>
        <w:pStyle w:val="SingleTxtGA"/>
        <w:rPr>
          <w:sz w:val="30"/>
          <w:rtl/>
          <w:lang w:val="fr-CH"/>
        </w:rPr>
      </w:pPr>
      <w:r w:rsidRPr="00FA0FC2">
        <w:rPr>
          <w:sz w:val="30"/>
          <w:rtl/>
          <w:lang w:val="fr-CH"/>
        </w:rPr>
        <w:t>4-14</w:t>
      </w:r>
      <w:r w:rsidRPr="00FA0FC2">
        <w:rPr>
          <w:sz w:val="30"/>
          <w:rtl/>
          <w:lang w:val="fr-CH"/>
        </w:rPr>
        <w:tab/>
      </w:r>
      <w:r w:rsidRPr="00FA0FC2">
        <w:rPr>
          <w:rStyle w:val="hps"/>
          <w:sz w:val="30"/>
          <w:rtl/>
          <w:lang/>
        </w:rPr>
        <w:t xml:space="preserve">وقد </w:t>
      </w:r>
      <w:r w:rsidRPr="00FA0FC2">
        <w:rPr>
          <w:rStyle w:val="hps"/>
          <w:rFonts w:hint="cs"/>
          <w:sz w:val="30"/>
          <w:rtl/>
          <w:lang/>
        </w:rPr>
        <w:t>خلصت</w:t>
      </w:r>
      <w:r w:rsidRPr="00FA0FC2">
        <w:rPr>
          <w:sz w:val="30"/>
          <w:rtl/>
          <w:lang/>
        </w:rPr>
        <w:t xml:space="preserve"> </w:t>
      </w:r>
      <w:r w:rsidRPr="00FA0FC2">
        <w:rPr>
          <w:rStyle w:val="hps"/>
          <w:sz w:val="30"/>
          <w:rtl/>
          <w:lang/>
        </w:rPr>
        <w:t>السلطات</w:t>
      </w:r>
      <w:r w:rsidRPr="00FA0FC2">
        <w:rPr>
          <w:rStyle w:val="hps"/>
          <w:rFonts w:hint="cs"/>
          <w:sz w:val="30"/>
          <w:rtl/>
          <w:lang/>
        </w:rPr>
        <w:t xml:space="preserve"> المعنية</w:t>
      </w:r>
      <w:r w:rsidRPr="00FA0FC2">
        <w:rPr>
          <w:sz w:val="30"/>
          <w:rtl/>
          <w:lang/>
        </w:rPr>
        <w:t xml:space="preserve"> </w:t>
      </w:r>
      <w:r w:rsidRPr="00FA0FC2">
        <w:rPr>
          <w:rFonts w:hint="cs"/>
          <w:sz w:val="30"/>
          <w:rtl/>
          <w:lang/>
        </w:rPr>
        <w:t>ب</w:t>
      </w:r>
      <w:r w:rsidRPr="00FA0FC2">
        <w:rPr>
          <w:rStyle w:val="hps"/>
          <w:sz w:val="30"/>
          <w:rtl/>
          <w:lang/>
        </w:rPr>
        <w:t>اللجوء</w:t>
      </w:r>
      <w:r w:rsidRPr="00FA0FC2">
        <w:rPr>
          <w:sz w:val="30"/>
          <w:rtl/>
          <w:lang/>
        </w:rPr>
        <w:t xml:space="preserve"> </w:t>
      </w:r>
      <w:r w:rsidRPr="00FA0FC2">
        <w:rPr>
          <w:rStyle w:val="hps"/>
          <w:rFonts w:hint="cs"/>
          <w:sz w:val="30"/>
          <w:rtl/>
          <w:lang/>
        </w:rPr>
        <w:t>في ا</w:t>
      </w:r>
      <w:r w:rsidRPr="00FA0FC2">
        <w:rPr>
          <w:rStyle w:val="hps"/>
          <w:sz w:val="30"/>
          <w:rtl/>
          <w:lang/>
        </w:rPr>
        <w:t>لدولة الطرف</w:t>
      </w:r>
      <w:r w:rsidRPr="00FA0FC2">
        <w:rPr>
          <w:rStyle w:val="hps"/>
          <w:rFonts w:hint="cs"/>
          <w:sz w:val="30"/>
          <w:rtl/>
          <w:lang/>
        </w:rPr>
        <w:t xml:space="preserve"> إلى</w:t>
      </w:r>
      <w:r w:rsidRPr="00FA0FC2">
        <w:rPr>
          <w:sz w:val="30"/>
          <w:rtl/>
          <w:lang/>
        </w:rPr>
        <w:t xml:space="preserve"> </w:t>
      </w:r>
      <w:r w:rsidRPr="00FA0FC2">
        <w:rPr>
          <w:rStyle w:val="hps"/>
          <w:sz w:val="30"/>
          <w:rtl/>
          <w:lang/>
        </w:rPr>
        <w:t>أن</w:t>
      </w:r>
      <w:r w:rsidRPr="00FA0FC2">
        <w:rPr>
          <w:sz w:val="30"/>
          <w:rtl/>
          <w:lang/>
        </w:rPr>
        <w:t xml:space="preserve"> </w:t>
      </w:r>
      <w:r w:rsidRPr="00FA0FC2">
        <w:rPr>
          <w:rStyle w:val="hps"/>
          <w:sz w:val="30"/>
          <w:rtl/>
          <w:lang/>
        </w:rPr>
        <w:t>الأدلة التي قدمها</w:t>
      </w:r>
      <w:r w:rsidRPr="00FA0FC2">
        <w:rPr>
          <w:sz w:val="30"/>
          <w:rtl/>
          <w:lang/>
        </w:rPr>
        <w:t xml:space="preserve">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rFonts w:hint="cs"/>
          <w:sz w:val="30"/>
          <w:rtl/>
          <w:lang/>
        </w:rPr>
        <w:t>هي أدلة غير كافية لإضفاء</w:t>
      </w:r>
      <w:r w:rsidRPr="00FA0FC2">
        <w:rPr>
          <w:sz w:val="30"/>
          <w:rtl/>
          <w:lang/>
        </w:rPr>
        <w:t xml:space="preserve"> </w:t>
      </w:r>
      <w:r w:rsidRPr="00FA0FC2">
        <w:rPr>
          <w:rStyle w:val="hps"/>
          <w:rFonts w:hint="cs"/>
          <w:sz w:val="30"/>
          <w:rtl/>
          <w:lang/>
        </w:rPr>
        <w:t>ال</w:t>
      </w:r>
      <w:r w:rsidRPr="00FA0FC2">
        <w:rPr>
          <w:rStyle w:val="hps"/>
          <w:sz w:val="30"/>
          <w:rtl/>
          <w:lang/>
        </w:rPr>
        <w:t>مصداقية</w:t>
      </w:r>
      <w:r w:rsidRPr="00FA0FC2">
        <w:rPr>
          <w:sz w:val="30"/>
          <w:rtl/>
          <w:lang/>
        </w:rPr>
        <w:t xml:space="preserve"> </w:t>
      </w:r>
      <w:r w:rsidRPr="00FA0FC2">
        <w:rPr>
          <w:rStyle w:val="hps"/>
          <w:rFonts w:hint="cs"/>
          <w:sz w:val="30"/>
          <w:rtl/>
          <w:lang/>
        </w:rPr>
        <w:t>على دعوى خطر</w:t>
      </w:r>
      <w:r w:rsidRPr="00FA0FC2">
        <w:rPr>
          <w:sz w:val="30"/>
          <w:rtl/>
          <w:lang/>
        </w:rPr>
        <w:t xml:space="preserve"> </w:t>
      </w:r>
      <w:r w:rsidRPr="00FA0FC2">
        <w:rPr>
          <w:rStyle w:val="hps"/>
          <w:rFonts w:hint="cs"/>
          <w:sz w:val="30"/>
          <w:rtl/>
          <w:lang/>
        </w:rPr>
        <w:t>تعرضه في المستقبل</w:t>
      </w:r>
      <w:r w:rsidRPr="00FA0FC2">
        <w:rPr>
          <w:sz w:val="30"/>
          <w:rtl/>
          <w:lang/>
        </w:rPr>
        <w:t xml:space="preserve"> </w:t>
      </w:r>
      <w:r w:rsidRPr="00FA0FC2">
        <w:rPr>
          <w:rStyle w:val="hps"/>
          <w:sz w:val="30"/>
          <w:rtl/>
          <w:lang/>
        </w:rPr>
        <w:t>لسوء المعاملة</w:t>
      </w:r>
      <w:r w:rsidRPr="00FA0FC2">
        <w:rPr>
          <w:sz w:val="30"/>
          <w:rtl/>
          <w:lang/>
        </w:rPr>
        <w:t xml:space="preserve">. </w:t>
      </w:r>
      <w:r w:rsidRPr="00FA0FC2">
        <w:rPr>
          <w:rStyle w:val="hps"/>
          <w:sz w:val="30"/>
          <w:rtl/>
          <w:lang/>
        </w:rPr>
        <w:t>وتضيف</w:t>
      </w:r>
      <w:r w:rsidRPr="00FA0FC2">
        <w:rPr>
          <w:sz w:val="30"/>
          <w:rtl/>
          <w:lang/>
        </w:rPr>
        <w:t xml:space="preserve"> </w:t>
      </w:r>
      <w:r w:rsidRPr="00FA0FC2">
        <w:rPr>
          <w:rStyle w:val="hps"/>
          <w:sz w:val="30"/>
          <w:rtl/>
          <w:lang/>
        </w:rPr>
        <w:t>أن</w:t>
      </w:r>
      <w:r w:rsidRPr="00FA0FC2">
        <w:rPr>
          <w:rStyle w:val="hps"/>
          <w:rFonts w:hint="cs"/>
          <w:sz w:val="30"/>
          <w:rtl/>
          <w:lang/>
        </w:rPr>
        <w:t>ه ينبغي اعتبار أن</w:t>
      </w:r>
      <w:r w:rsidRPr="00FA0FC2">
        <w:rPr>
          <w:rStyle w:val="hps"/>
          <w:sz w:val="30"/>
          <w:rtl/>
          <w:lang/>
        </w:rPr>
        <w:t xml:space="preserve"> كلا </w:t>
      </w:r>
      <w:r w:rsidRPr="00FA0FC2">
        <w:rPr>
          <w:rStyle w:val="hps"/>
          <w:rFonts w:hint="cs"/>
          <w:sz w:val="30"/>
          <w:rtl/>
          <w:lang/>
        </w:rPr>
        <w:t>الشهادتين الصادرتين</w:t>
      </w:r>
      <w:r w:rsidRPr="00FA0FC2">
        <w:rPr>
          <w:rStyle w:val="hps"/>
          <w:sz w:val="30"/>
          <w:rtl/>
          <w:lang/>
        </w:rPr>
        <w:t xml:space="preserve"> عن</w:t>
      </w:r>
      <w:r w:rsidRPr="00FA0FC2">
        <w:rPr>
          <w:sz w:val="30"/>
          <w:rtl/>
          <w:lang/>
        </w:rPr>
        <w:t xml:space="preserve"> </w:t>
      </w:r>
      <w:r w:rsidRPr="00FA0FC2">
        <w:rPr>
          <w:rStyle w:val="hps"/>
          <w:sz w:val="30"/>
          <w:rtl/>
          <w:lang/>
        </w:rPr>
        <w:t>التجمع الديمقراطي الجنوبي</w:t>
      </w:r>
      <w:r w:rsidRPr="00FA0FC2">
        <w:rPr>
          <w:sz w:val="30"/>
          <w:rtl/>
          <w:lang/>
        </w:rPr>
        <w:t xml:space="preserve"> </w:t>
      </w:r>
      <w:r w:rsidRPr="00FA0FC2">
        <w:rPr>
          <w:rStyle w:val="hps"/>
          <w:sz w:val="30"/>
          <w:rtl/>
          <w:lang/>
        </w:rPr>
        <w:t>في المملكة</w:t>
      </w:r>
      <w:r w:rsidRPr="00FA0FC2">
        <w:rPr>
          <w:sz w:val="30"/>
          <w:rtl/>
          <w:lang/>
        </w:rPr>
        <w:t xml:space="preserve"> </w:t>
      </w:r>
      <w:r w:rsidRPr="00FA0FC2">
        <w:rPr>
          <w:rStyle w:val="hps"/>
          <w:sz w:val="30"/>
          <w:rtl/>
          <w:lang/>
        </w:rPr>
        <w:t>المتحدة</w:t>
      </w:r>
      <w:r w:rsidRPr="00FA0FC2">
        <w:rPr>
          <w:sz w:val="30"/>
          <w:rtl/>
          <w:lang/>
        </w:rPr>
        <w:t xml:space="preserve"> </w:t>
      </w:r>
      <w:r w:rsidRPr="00FA0FC2">
        <w:rPr>
          <w:rStyle w:val="hps"/>
          <w:rFonts w:hint="cs"/>
          <w:sz w:val="30"/>
          <w:rtl/>
          <w:lang/>
        </w:rPr>
        <w:t>قد حُرِّرتا من باب المحاباة</w:t>
      </w:r>
      <w:r w:rsidRPr="00FA0FC2">
        <w:rPr>
          <w:sz w:val="30"/>
          <w:rtl/>
          <w:lang/>
        </w:rPr>
        <w:t xml:space="preserve">. </w:t>
      </w:r>
      <w:r w:rsidRPr="00FA0FC2">
        <w:rPr>
          <w:rFonts w:hint="cs"/>
          <w:sz w:val="30"/>
          <w:rtl/>
          <w:lang/>
        </w:rPr>
        <w:t>و</w:t>
      </w:r>
      <w:r w:rsidRPr="00FA0FC2">
        <w:rPr>
          <w:rStyle w:val="hps"/>
          <w:sz w:val="30"/>
          <w:rtl/>
          <w:lang/>
        </w:rPr>
        <w:t>على الرغم من أن</w:t>
      </w:r>
      <w:r w:rsidRPr="00FA0FC2">
        <w:rPr>
          <w:sz w:val="30"/>
          <w:rtl/>
          <w:lang/>
        </w:rPr>
        <w:t xml:space="preserve"> </w:t>
      </w:r>
      <w:r w:rsidRPr="00FA0FC2">
        <w:rPr>
          <w:rFonts w:hint="cs"/>
          <w:sz w:val="30"/>
          <w:rtl/>
          <w:lang/>
        </w:rPr>
        <w:t>ال</w:t>
      </w:r>
      <w:r w:rsidRPr="00FA0FC2">
        <w:rPr>
          <w:rStyle w:val="hps"/>
          <w:sz w:val="30"/>
          <w:rtl/>
          <w:lang/>
        </w:rPr>
        <w:t>شهادة</w:t>
      </w:r>
      <w:r w:rsidRPr="00FA0FC2">
        <w:rPr>
          <w:sz w:val="30"/>
          <w:rtl/>
          <w:lang/>
        </w:rPr>
        <w:t xml:space="preserve"> </w:t>
      </w:r>
      <w:r w:rsidRPr="00FA0FC2">
        <w:rPr>
          <w:rStyle w:val="hps"/>
          <w:sz w:val="30"/>
          <w:rtl/>
          <w:lang/>
        </w:rPr>
        <w:t>الثانية</w:t>
      </w:r>
      <w:r w:rsidRPr="00FA0FC2">
        <w:rPr>
          <w:sz w:val="30"/>
          <w:rtl/>
          <w:lang/>
        </w:rPr>
        <w:t xml:space="preserve"> </w:t>
      </w:r>
      <w:r w:rsidRPr="00FA0FC2">
        <w:rPr>
          <w:rStyle w:val="hps"/>
          <w:rFonts w:hint="cs"/>
          <w:sz w:val="30"/>
          <w:rtl/>
          <w:lang/>
        </w:rPr>
        <w:t>تشير إلى أن صاحب</w:t>
      </w:r>
      <w:r w:rsidRPr="00FA0FC2">
        <w:rPr>
          <w:sz w:val="30"/>
          <w:rtl/>
          <w:lang/>
        </w:rPr>
        <w:t xml:space="preserve"> </w:t>
      </w:r>
      <w:r w:rsidRPr="00FA0FC2">
        <w:rPr>
          <w:rStyle w:val="hps"/>
          <w:sz w:val="30"/>
          <w:rtl/>
          <w:lang/>
        </w:rPr>
        <w:t>الشكوى</w:t>
      </w:r>
      <w:r w:rsidRPr="00FA0FC2">
        <w:rPr>
          <w:sz w:val="30"/>
          <w:rtl/>
          <w:lang/>
        </w:rPr>
        <w:t xml:space="preserve"> </w:t>
      </w:r>
      <w:r w:rsidRPr="00FA0FC2">
        <w:rPr>
          <w:rStyle w:val="hps"/>
          <w:sz w:val="30"/>
          <w:rtl/>
          <w:lang/>
        </w:rPr>
        <w:t>الأول ه</w:t>
      </w:r>
      <w:r w:rsidRPr="00FA0FC2">
        <w:rPr>
          <w:rStyle w:val="hps"/>
          <w:rFonts w:hint="cs"/>
          <w:sz w:val="30"/>
          <w:rtl/>
          <w:lang/>
        </w:rPr>
        <w:t>و عضو</w:t>
      </w:r>
      <w:r w:rsidRPr="00FA0FC2">
        <w:rPr>
          <w:sz w:val="30"/>
          <w:rtl/>
          <w:lang/>
        </w:rPr>
        <w:t xml:space="preserve"> </w:t>
      </w:r>
      <w:r w:rsidRPr="00FA0FC2">
        <w:rPr>
          <w:rStyle w:val="hps"/>
          <w:sz w:val="30"/>
          <w:rtl/>
          <w:lang/>
        </w:rPr>
        <w:t>نشط</w:t>
      </w:r>
      <w:r w:rsidRPr="00FA0FC2">
        <w:rPr>
          <w:sz w:val="30"/>
          <w:rtl/>
          <w:lang/>
        </w:rPr>
        <w:t xml:space="preserve"> </w:t>
      </w:r>
      <w:r w:rsidRPr="00FA0FC2">
        <w:rPr>
          <w:rStyle w:val="hps"/>
          <w:sz w:val="30"/>
          <w:rtl/>
          <w:lang/>
        </w:rPr>
        <w:t>بالفعل</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هذه المنظمة</w:t>
      </w:r>
      <w:r w:rsidRPr="00FA0FC2">
        <w:rPr>
          <w:sz w:val="30"/>
          <w:rtl/>
          <w:lang/>
        </w:rPr>
        <w:t>، فإنه</w:t>
      </w:r>
      <w:r w:rsidRPr="00FA0FC2">
        <w:rPr>
          <w:rFonts w:hint="cs"/>
          <w:sz w:val="30"/>
          <w:rtl/>
          <w:lang/>
        </w:rPr>
        <w:t>ا</w:t>
      </w:r>
      <w:r>
        <w:rPr>
          <w:rFonts w:hint="cs"/>
          <w:sz w:val="30"/>
          <w:rtl/>
          <w:lang/>
        </w:rPr>
        <w:t xml:space="preserve"> لم</w:t>
      </w:r>
      <w:r>
        <w:rPr>
          <w:sz w:val="30"/>
          <w:rtl/>
          <w:lang/>
        </w:rPr>
        <w:t> </w:t>
      </w:r>
      <w:r w:rsidRPr="00FA0FC2">
        <w:rPr>
          <w:rFonts w:hint="cs"/>
          <w:sz w:val="30"/>
          <w:rtl/>
          <w:lang/>
        </w:rPr>
        <w:t>تحدد الأنشطة التي اضطلع بها</w:t>
      </w:r>
      <w:r>
        <w:rPr>
          <w:rFonts w:hint="cs"/>
          <w:sz w:val="30"/>
          <w:rtl/>
          <w:lang/>
        </w:rPr>
        <w:t xml:space="preserve"> أو</w:t>
      </w:r>
      <w:r>
        <w:rPr>
          <w:sz w:val="30"/>
          <w:rtl/>
          <w:lang/>
        </w:rPr>
        <w:t> </w:t>
      </w:r>
      <w:r w:rsidRPr="00FA0FC2">
        <w:rPr>
          <w:rFonts w:hint="cs"/>
          <w:sz w:val="30"/>
          <w:rtl/>
          <w:lang/>
        </w:rPr>
        <w:t>الدور الذي أداه.</w:t>
      </w:r>
      <w:r w:rsidRPr="00FA0FC2">
        <w:rPr>
          <w:sz w:val="30"/>
          <w:rtl/>
          <w:lang/>
        </w:rPr>
        <w:t xml:space="preserve"> </w:t>
      </w:r>
      <w:r w:rsidRPr="00FA0FC2">
        <w:rPr>
          <w:rStyle w:val="hps"/>
          <w:rFonts w:hint="cs"/>
          <w:sz w:val="30"/>
          <w:rtl/>
          <w:lang/>
        </w:rPr>
        <w:t>وهي تفيد</w:t>
      </w:r>
      <w:r w:rsidRPr="00FA0FC2">
        <w:rPr>
          <w:sz w:val="30"/>
          <w:rtl/>
          <w:lang/>
        </w:rPr>
        <w:t xml:space="preserve"> </w:t>
      </w:r>
      <w:r w:rsidRPr="00FA0FC2">
        <w:rPr>
          <w:rStyle w:val="hps"/>
          <w:sz w:val="30"/>
          <w:rtl/>
          <w:lang/>
        </w:rPr>
        <w:t>ببساطة</w:t>
      </w:r>
      <w:r w:rsidRPr="00FA0FC2">
        <w:rPr>
          <w:sz w:val="30"/>
          <w:rtl/>
          <w:lang/>
        </w:rPr>
        <w:t xml:space="preserve"> </w:t>
      </w:r>
      <w:r w:rsidRPr="00FA0FC2">
        <w:rPr>
          <w:rStyle w:val="hps"/>
          <w:sz w:val="30"/>
          <w:rtl/>
          <w:lang/>
        </w:rPr>
        <w:t>أن عودة</w:t>
      </w:r>
      <w:r w:rsidRPr="00FA0FC2">
        <w:rPr>
          <w:sz w:val="30"/>
          <w:rtl/>
          <w:lang/>
        </w:rPr>
        <w:t xml:space="preserve"> </w:t>
      </w:r>
      <w:r w:rsidRPr="00FA0FC2">
        <w:rPr>
          <w:rStyle w:val="hps"/>
          <w:sz w:val="30"/>
          <w:rtl/>
          <w:lang/>
        </w:rPr>
        <w:t>صاحب الشكوى</w:t>
      </w:r>
      <w:r w:rsidRPr="00FA0FC2">
        <w:rPr>
          <w:sz w:val="30"/>
          <w:rtl/>
          <w:lang/>
        </w:rPr>
        <w:t xml:space="preserve"> </w:t>
      </w:r>
      <w:r w:rsidRPr="00FA0FC2">
        <w:rPr>
          <w:rStyle w:val="hps"/>
          <w:sz w:val="30"/>
          <w:rtl/>
          <w:lang/>
        </w:rPr>
        <w:t>الأول</w:t>
      </w:r>
      <w:r w:rsidRPr="00FA0FC2">
        <w:rPr>
          <w:sz w:val="30"/>
          <w:rtl/>
          <w:lang/>
        </w:rPr>
        <w:t xml:space="preserve"> </w:t>
      </w:r>
      <w:r w:rsidRPr="00FA0FC2">
        <w:rPr>
          <w:rStyle w:val="hps"/>
          <w:sz w:val="30"/>
          <w:rtl/>
          <w:lang/>
        </w:rPr>
        <w:t>إلى</w:t>
      </w:r>
      <w:r w:rsidRPr="00FA0FC2">
        <w:rPr>
          <w:sz w:val="30"/>
          <w:rtl/>
          <w:lang/>
        </w:rPr>
        <w:t xml:space="preserve"> </w:t>
      </w:r>
      <w:r w:rsidRPr="00FA0FC2">
        <w:rPr>
          <w:rStyle w:val="hps"/>
          <w:sz w:val="30"/>
          <w:rtl/>
          <w:lang/>
        </w:rPr>
        <w:t>اليمن</w:t>
      </w:r>
      <w:r w:rsidRPr="00FA0FC2">
        <w:rPr>
          <w:sz w:val="30"/>
          <w:rtl/>
          <w:lang/>
        </w:rPr>
        <w:t xml:space="preserve"> </w:t>
      </w:r>
      <w:r w:rsidRPr="00FA0FC2">
        <w:rPr>
          <w:rStyle w:val="hps"/>
          <w:rFonts w:hint="cs"/>
          <w:sz w:val="30"/>
          <w:rtl/>
          <w:lang/>
        </w:rPr>
        <w:t>ت</w:t>
      </w:r>
      <w:r w:rsidRPr="00FA0FC2">
        <w:rPr>
          <w:rStyle w:val="hps"/>
          <w:sz w:val="30"/>
          <w:rtl/>
          <w:lang/>
        </w:rPr>
        <w:t>شكل</w:t>
      </w:r>
      <w:r w:rsidRPr="00FA0FC2">
        <w:rPr>
          <w:sz w:val="30"/>
          <w:rtl/>
          <w:lang/>
        </w:rPr>
        <w:t xml:space="preserve"> </w:t>
      </w:r>
      <w:r w:rsidRPr="00FA0FC2">
        <w:rPr>
          <w:rStyle w:val="hps"/>
          <w:sz w:val="30"/>
          <w:rtl/>
          <w:lang/>
        </w:rPr>
        <w:t>مخاطر عالية</w:t>
      </w:r>
      <w:r w:rsidRPr="00FA0FC2">
        <w:rPr>
          <w:sz w:val="30"/>
          <w:rtl/>
          <w:lang/>
        </w:rPr>
        <w:t>،</w:t>
      </w:r>
      <w:r>
        <w:rPr>
          <w:sz w:val="30"/>
          <w:rtl/>
          <w:lang/>
        </w:rPr>
        <w:t xml:space="preserve"> ولم </w:t>
      </w:r>
      <w:r w:rsidRPr="00FA0FC2">
        <w:rPr>
          <w:rStyle w:val="hps"/>
          <w:rFonts w:hint="cs"/>
          <w:sz w:val="30"/>
          <w:rtl/>
          <w:lang/>
        </w:rPr>
        <w:t>تقدم</w:t>
      </w:r>
      <w:r w:rsidRPr="00FA0FC2">
        <w:rPr>
          <w:sz w:val="30"/>
          <w:rtl/>
          <w:lang/>
        </w:rPr>
        <w:t xml:space="preserve"> </w:t>
      </w:r>
      <w:r w:rsidRPr="00FA0FC2">
        <w:rPr>
          <w:rStyle w:val="hps"/>
          <w:sz w:val="30"/>
          <w:rtl/>
          <w:lang/>
        </w:rPr>
        <w:t>أي</w:t>
      </w:r>
      <w:r w:rsidRPr="00FA0FC2">
        <w:rPr>
          <w:sz w:val="30"/>
          <w:rtl/>
          <w:lang/>
        </w:rPr>
        <w:t xml:space="preserve"> </w:t>
      </w:r>
      <w:r w:rsidRPr="00FA0FC2">
        <w:rPr>
          <w:rStyle w:val="hps"/>
          <w:sz w:val="30"/>
          <w:rtl/>
          <w:lang/>
        </w:rPr>
        <w:t>إثبات</w:t>
      </w:r>
      <w:r w:rsidRPr="00FA0FC2">
        <w:rPr>
          <w:sz w:val="30"/>
          <w:rtl/>
          <w:lang/>
        </w:rPr>
        <w:t xml:space="preserve"> </w:t>
      </w:r>
      <w:r w:rsidRPr="00FA0FC2">
        <w:rPr>
          <w:rStyle w:val="hps"/>
          <w:sz w:val="30"/>
          <w:rtl/>
          <w:lang/>
        </w:rPr>
        <w:t>لدعم</w:t>
      </w:r>
      <w:r w:rsidRPr="00FA0FC2">
        <w:rPr>
          <w:sz w:val="30"/>
          <w:rtl/>
          <w:lang/>
        </w:rPr>
        <w:t xml:space="preserve"> </w:t>
      </w:r>
      <w:r w:rsidRPr="00FA0FC2">
        <w:rPr>
          <w:rStyle w:val="hps"/>
          <w:sz w:val="30"/>
          <w:rtl/>
          <w:lang/>
        </w:rPr>
        <w:t>هذا البيان.</w:t>
      </w:r>
    </w:p>
    <w:p w:rsidR="00091373" w:rsidRPr="00FA0FC2" w:rsidRDefault="00091373" w:rsidP="00091373">
      <w:pPr>
        <w:pStyle w:val="SingleTxtGA"/>
        <w:rPr>
          <w:sz w:val="30"/>
          <w:rtl/>
          <w:lang w:val="fr-CH"/>
        </w:rPr>
      </w:pPr>
      <w:r w:rsidRPr="00FA0FC2">
        <w:rPr>
          <w:sz w:val="30"/>
          <w:rtl/>
          <w:lang w:val="fr-CH"/>
        </w:rPr>
        <w:t>4-15</w:t>
      </w:r>
      <w:r w:rsidRPr="00FA0FC2">
        <w:rPr>
          <w:sz w:val="30"/>
          <w:rtl/>
          <w:lang w:val="fr-CH"/>
        </w:rPr>
        <w:tab/>
      </w:r>
      <w:r w:rsidRPr="00FA0FC2">
        <w:rPr>
          <w:rFonts w:hint="cs"/>
          <w:sz w:val="30"/>
          <w:rtl/>
          <w:lang w:val="fr-CH"/>
        </w:rPr>
        <w:t>و</w:t>
      </w:r>
      <w:r w:rsidRPr="00FA0FC2">
        <w:rPr>
          <w:rStyle w:val="hps"/>
          <w:sz w:val="30"/>
          <w:rtl/>
          <w:lang/>
        </w:rPr>
        <w:t>وفقا</w:t>
      </w:r>
      <w:r w:rsidRPr="00FA0FC2">
        <w:rPr>
          <w:rStyle w:val="hps"/>
          <w:rFonts w:hint="cs"/>
          <w:sz w:val="30"/>
          <w:rtl/>
          <w:lang/>
        </w:rPr>
        <w:t>ً</w:t>
      </w:r>
      <w:r w:rsidRPr="00FA0FC2">
        <w:rPr>
          <w:rStyle w:val="hps"/>
          <w:sz w:val="30"/>
          <w:rtl/>
          <w:lang/>
        </w:rPr>
        <w:t xml:space="preserve"> للأدلة</w:t>
      </w:r>
      <w:r w:rsidRPr="00FA0FC2">
        <w:rPr>
          <w:sz w:val="30"/>
          <w:rtl/>
          <w:lang/>
        </w:rPr>
        <w:t xml:space="preserve"> </w:t>
      </w:r>
      <w:r w:rsidRPr="00FA0FC2">
        <w:rPr>
          <w:rStyle w:val="hps"/>
          <w:sz w:val="30"/>
          <w:rtl/>
          <w:lang/>
        </w:rPr>
        <w:t>المقدمة،</w:t>
      </w:r>
      <w:r w:rsidRPr="00FA0FC2">
        <w:rPr>
          <w:sz w:val="30"/>
          <w:rtl/>
          <w:lang/>
        </w:rPr>
        <w:t xml:space="preserve"> </w:t>
      </w:r>
      <w:r w:rsidRPr="00FA0FC2">
        <w:rPr>
          <w:rFonts w:hint="cs"/>
          <w:sz w:val="30"/>
          <w:rtl/>
          <w:lang/>
        </w:rPr>
        <w:t xml:space="preserve">فإن </w:t>
      </w:r>
      <w:r w:rsidRPr="00FA0FC2">
        <w:rPr>
          <w:rStyle w:val="hps"/>
          <w:sz w:val="30"/>
          <w:rtl/>
          <w:lang/>
        </w:rPr>
        <w:t>أنشطة</w:t>
      </w:r>
      <w:r w:rsidRPr="00FA0FC2">
        <w:rPr>
          <w:rStyle w:val="hps"/>
          <w:rFonts w:hint="cs"/>
          <w:sz w:val="30"/>
          <w:rtl/>
          <w:lang/>
        </w:rPr>
        <w:t xml:space="preserve"> صاحب</w:t>
      </w:r>
      <w:r w:rsidRPr="00FA0FC2">
        <w:rPr>
          <w:sz w:val="30"/>
          <w:rtl/>
          <w:lang/>
        </w:rPr>
        <w:t xml:space="preserve"> </w:t>
      </w:r>
      <w:r w:rsidRPr="00FA0FC2">
        <w:rPr>
          <w:rStyle w:val="hps"/>
          <w:sz w:val="30"/>
          <w:rtl/>
          <w:lang/>
        </w:rPr>
        <w:t>الشكوى</w:t>
      </w:r>
      <w:r w:rsidRPr="00FA0FC2">
        <w:rPr>
          <w:sz w:val="30"/>
          <w:rtl/>
          <w:lang/>
        </w:rPr>
        <w:t xml:space="preserve"> </w:t>
      </w:r>
      <w:r w:rsidRPr="00FA0FC2">
        <w:rPr>
          <w:rStyle w:val="hps"/>
          <w:sz w:val="30"/>
          <w:rtl/>
          <w:lang/>
        </w:rPr>
        <w:t>الأول</w:t>
      </w:r>
      <w:r w:rsidRPr="00FA0FC2">
        <w:rPr>
          <w:sz w:val="30"/>
          <w:rtl/>
          <w:lang/>
        </w:rPr>
        <w:t xml:space="preserve"> </w:t>
      </w:r>
      <w:r w:rsidRPr="00FA0FC2">
        <w:rPr>
          <w:rStyle w:val="hps"/>
          <w:sz w:val="30"/>
          <w:rtl/>
          <w:lang/>
        </w:rPr>
        <w:t>تقتصر</w:t>
      </w:r>
      <w:r w:rsidRPr="00FA0FC2">
        <w:rPr>
          <w:sz w:val="30"/>
          <w:rtl/>
          <w:lang/>
        </w:rPr>
        <w:t xml:space="preserve"> </w:t>
      </w:r>
      <w:r w:rsidRPr="00FA0FC2">
        <w:rPr>
          <w:rStyle w:val="hps"/>
          <w:sz w:val="30"/>
          <w:rtl/>
          <w:lang/>
        </w:rPr>
        <w:t>أساسا</w:t>
      </w:r>
      <w:r w:rsidRPr="00FA0FC2">
        <w:rPr>
          <w:rStyle w:val="hps"/>
          <w:rFonts w:hint="cs"/>
          <w:sz w:val="30"/>
          <w:rtl/>
          <w:lang/>
        </w:rPr>
        <w:t>ً</w:t>
      </w:r>
      <w:r w:rsidRPr="00FA0FC2">
        <w:rPr>
          <w:rStyle w:val="hps"/>
          <w:sz w:val="30"/>
          <w:rtl/>
          <w:lang/>
        </w:rPr>
        <w:t xml:space="preserve"> </w:t>
      </w:r>
      <w:r w:rsidRPr="00FA0FC2">
        <w:rPr>
          <w:rStyle w:val="hps"/>
          <w:rFonts w:hint="cs"/>
          <w:sz w:val="30"/>
          <w:rtl/>
          <w:lang/>
        </w:rPr>
        <w:t>على</w:t>
      </w:r>
      <w:r w:rsidRPr="00FA0FC2">
        <w:rPr>
          <w:sz w:val="30"/>
          <w:rtl/>
          <w:lang/>
        </w:rPr>
        <w:t xml:space="preserve"> </w:t>
      </w:r>
      <w:r w:rsidRPr="00FA0FC2">
        <w:rPr>
          <w:rStyle w:val="hps"/>
          <w:sz w:val="30"/>
          <w:rtl/>
          <w:lang/>
        </w:rPr>
        <w:t>مشاركته</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خمس</w:t>
      </w:r>
      <w:r w:rsidRPr="00FA0FC2">
        <w:rPr>
          <w:sz w:val="30"/>
          <w:rtl/>
          <w:lang/>
        </w:rPr>
        <w:t xml:space="preserve"> </w:t>
      </w:r>
      <w:r w:rsidRPr="00FA0FC2">
        <w:rPr>
          <w:rStyle w:val="hps"/>
          <w:rFonts w:hint="cs"/>
          <w:sz w:val="30"/>
          <w:rtl/>
          <w:lang/>
        </w:rPr>
        <w:t>م</w:t>
      </w:r>
      <w:r w:rsidRPr="00FA0FC2">
        <w:rPr>
          <w:rStyle w:val="hps"/>
          <w:sz w:val="30"/>
          <w:rtl/>
          <w:lang/>
        </w:rPr>
        <w:t>ظاهرات</w:t>
      </w:r>
      <w:r w:rsidRPr="00FA0FC2">
        <w:rPr>
          <w:sz w:val="30"/>
          <w:rtl/>
          <w:lang/>
        </w:rPr>
        <w:t xml:space="preserve"> </w:t>
      </w:r>
      <w:r w:rsidRPr="00FA0FC2">
        <w:rPr>
          <w:rStyle w:val="hps"/>
          <w:sz w:val="30"/>
          <w:rtl/>
          <w:lang/>
        </w:rPr>
        <w:t>نظمها</w:t>
      </w:r>
      <w:r w:rsidRPr="00FA0FC2">
        <w:rPr>
          <w:sz w:val="30"/>
          <w:rtl/>
          <w:lang/>
        </w:rPr>
        <w:t xml:space="preserve"> </w:t>
      </w:r>
      <w:r w:rsidRPr="00FA0FC2">
        <w:rPr>
          <w:rStyle w:val="hps"/>
          <w:sz w:val="30"/>
          <w:rtl/>
          <w:lang/>
        </w:rPr>
        <w:t>التجمع الديمقراطي الجنوبي</w:t>
      </w:r>
      <w:r>
        <w:rPr>
          <w:sz w:val="30"/>
          <w:rtl/>
          <w:lang/>
        </w:rPr>
        <w:t xml:space="preserve"> أو </w:t>
      </w:r>
      <w:r w:rsidRPr="00FA0FC2">
        <w:rPr>
          <w:rStyle w:val="hps"/>
          <w:rFonts w:hint="cs"/>
          <w:sz w:val="30"/>
          <w:rtl/>
          <w:lang/>
        </w:rPr>
        <w:t>م</w:t>
      </w:r>
      <w:r w:rsidRPr="00FA0FC2">
        <w:rPr>
          <w:rStyle w:val="hps"/>
          <w:sz w:val="30"/>
          <w:rtl/>
          <w:lang/>
        </w:rPr>
        <w:t>نفي</w:t>
      </w:r>
      <w:r w:rsidRPr="00FA0FC2">
        <w:rPr>
          <w:rStyle w:val="hps"/>
          <w:rFonts w:hint="cs"/>
          <w:sz w:val="30"/>
          <w:rtl/>
          <w:lang/>
        </w:rPr>
        <w:t>و</w:t>
      </w:r>
      <w:r w:rsidRPr="00FA0FC2">
        <w:rPr>
          <w:rStyle w:val="hps"/>
          <w:sz w:val="30"/>
          <w:rtl/>
          <w:lang/>
        </w:rPr>
        <w:t>ن</w:t>
      </w:r>
      <w:r w:rsidRPr="00FA0FC2">
        <w:rPr>
          <w:sz w:val="30"/>
          <w:rtl/>
          <w:lang/>
        </w:rPr>
        <w:t xml:space="preserve"> </w:t>
      </w:r>
      <w:r w:rsidRPr="00FA0FC2">
        <w:rPr>
          <w:rStyle w:val="hps"/>
          <w:rFonts w:hint="cs"/>
          <w:sz w:val="30"/>
          <w:rtl/>
          <w:lang/>
        </w:rPr>
        <w:t xml:space="preserve">آخرون </w:t>
      </w:r>
      <w:r w:rsidRPr="00FA0FC2">
        <w:rPr>
          <w:rStyle w:val="hps"/>
          <w:sz w:val="30"/>
          <w:rtl/>
          <w:lang/>
        </w:rPr>
        <w:t>من</w:t>
      </w:r>
      <w:r w:rsidRPr="00FA0FC2">
        <w:rPr>
          <w:sz w:val="30"/>
          <w:rtl/>
          <w:lang/>
        </w:rPr>
        <w:t xml:space="preserve"> </w:t>
      </w:r>
      <w:r w:rsidRPr="00FA0FC2">
        <w:rPr>
          <w:rStyle w:val="hps"/>
          <w:sz w:val="30"/>
          <w:rtl/>
          <w:lang/>
        </w:rPr>
        <w:t>جنوب</w:t>
      </w:r>
      <w:r w:rsidRPr="00FA0FC2">
        <w:rPr>
          <w:sz w:val="30"/>
          <w:rtl/>
          <w:lang/>
        </w:rPr>
        <w:t xml:space="preserve"> </w:t>
      </w:r>
      <w:r w:rsidRPr="00FA0FC2">
        <w:rPr>
          <w:rStyle w:val="hps"/>
          <w:sz w:val="30"/>
          <w:rtl/>
          <w:lang/>
        </w:rPr>
        <w:t>اليمن</w:t>
      </w:r>
      <w:r w:rsidRPr="00FA0FC2">
        <w:rPr>
          <w:sz w:val="30"/>
          <w:rtl/>
          <w:lang/>
        </w:rPr>
        <w:t xml:space="preserve">. </w:t>
      </w:r>
      <w:r w:rsidRPr="00FA0FC2">
        <w:rPr>
          <w:rStyle w:val="hps"/>
          <w:rFonts w:hint="cs"/>
          <w:sz w:val="30"/>
          <w:rtl/>
          <w:lang/>
        </w:rPr>
        <w:t>وب</w:t>
      </w:r>
      <w:r w:rsidRPr="00FA0FC2">
        <w:rPr>
          <w:rStyle w:val="hps"/>
          <w:sz w:val="30"/>
          <w:rtl/>
          <w:lang/>
        </w:rPr>
        <w:t>الإشارة إلى</w:t>
      </w:r>
      <w:r w:rsidRPr="00FA0FC2">
        <w:rPr>
          <w:sz w:val="30"/>
          <w:rtl/>
          <w:lang/>
        </w:rPr>
        <w:t xml:space="preserve"> </w:t>
      </w:r>
      <w:r w:rsidRPr="00FA0FC2">
        <w:rPr>
          <w:rStyle w:val="hps"/>
          <w:sz w:val="30"/>
          <w:rtl/>
          <w:lang/>
        </w:rPr>
        <w:t>الحكم الصادر عن</w:t>
      </w:r>
      <w:r w:rsidRPr="00FA0FC2">
        <w:rPr>
          <w:sz w:val="30"/>
          <w:rtl/>
          <w:lang/>
        </w:rPr>
        <w:t xml:space="preserve"> </w:t>
      </w:r>
      <w:r w:rsidRPr="00FA0FC2">
        <w:rPr>
          <w:rStyle w:val="hps"/>
          <w:sz w:val="30"/>
          <w:rtl/>
          <w:lang/>
        </w:rPr>
        <w:t>المحكمة</w:t>
      </w:r>
      <w:r w:rsidRPr="00FA0FC2">
        <w:rPr>
          <w:sz w:val="30"/>
          <w:rtl/>
          <w:lang/>
        </w:rPr>
        <w:t xml:space="preserve"> </w:t>
      </w:r>
      <w:r w:rsidRPr="00FA0FC2">
        <w:rPr>
          <w:rStyle w:val="hps"/>
          <w:sz w:val="30"/>
          <w:rtl/>
          <w:lang/>
        </w:rPr>
        <w:t>الإدارية الاتحادية</w:t>
      </w:r>
      <w:r w:rsidRPr="00FA0FC2">
        <w:rPr>
          <w:sz w:val="30"/>
          <w:rtl/>
          <w:lang/>
        </w:rPr>
        <w:t xml:space="preserve"> </w:t>
      </w:r>
      <w:r w:rsidRPr="00FA0FC2">
        <w:rPr>
          <w:rStyle w:val="hps"/>
          <w:sz w:val="30"/>
          <w:rtl/>
          <w:lang/>
        </w:rPr>
        <w:t>في 27</w:t>
      </w:r>
      <w:r w:rsidRPr="00FA0FC2">
        <w:rPr>
          <w:sz w:val="30"/>
          <w:rtl/>
          <w:lang/>
        </w:rPr>
        <w:t xml:space="preserve"> </w:t>
      </w:r>
      <w:r w:rsidRPr="00FA0FC2">
        <w:rPr>
          <w:rFonts w:hint="cs"/>
          <w:sz w:val="30"/>
          <w:rtl/>
          <w:lang/>
        </w:rPr>
        <w:t>أيار/</w:t>
      </w:r>
      <w:r>
        <w:rPr>
          <w:rStyle w:val="hps"/>
          <w:rFonts w:hint="cs"/>
          <w:sz w:val="30"/>
          <w:rtl/>
          <w:lang/>
        </w:rPr>
        <w:t xml:space="preserve"> </w:t>
      </w:r>
      <w:r w:rsidRPr="00FA0FC2">
        <w:rPr>
          <w:rStyle w:val="hps"/>
          <w:sz w:val="30"/>
          <w:rtl/>
          <w:lang/>
        </w:rPr>
        <w:t>مايو</w:t>
      </w:r>
      <w:r w:rsidRPr="00FA0FC2">
        <w:rPr>
          <w:rStyle w:val="hps"/>
          <w:rFonts w:hint="cs"/>
          <w:sz w:val="30"/>
          <w:rtl/>
          <w:lang/>
        </w:rPr>
        <w:t> </w:t>
      </w:r>
      <w:r w:rsidRPr="00FA0FC2">
        <w:rPr>
          <w:rStyle w:val="hps"/>
          <w:sz w:val="30"/>
          <w:rtl/>
          <w:lang/>
        </w:rPr>
        <w:t>2011،</w:t>
      </w:r>
      <w:r w:rsidRPr="00FA0FC2">
        <w:rPr>
          <w:sz w:val="30"/>
          <w:rtl/>
          <w:lang/>
        </w:rPr>
        <w:t xml:space="preserve"> </w:t>
      </w:r>
      <w:r w:rsidRPr="00FA0FC2">
        <w:rPr>
          <w:rStyle w:val="hps"/>
          <w:sz w:val="30"/>
          <w:rtl/>
          <w:lang/>
        </w:rPr>
        <w:t>تؤكد الدولة الطرف</w:t>
      </w:r>
      <w:r w:rsidRPr="00FA0FC2">
        <w:rPr>
          <w:sz w:val="30"/>
          <w:rtl/>
          <w:lang/>
        </w:rPr>
        <w:t xml:space="preserve"> </w:t>
      </w:r>
      <w:r w:rsidRPr="00FA0FC2">
        <w:rPr>
          <w:rStyle w:val="hps"/>
          <w:rFonts w:hint="cs"/>
          <w:sz w:val="30"/>
          <w:rtl/>
          <w:lang/>
        </w:rPr>
        <w:t>وجود</w:t>
      </w:r>
      <w:r w:rsidRPr="00FA0FC2">
        <w:rPr>
          <w:rStyle w:val="hps"/>
          <w:sz w:val="30"/>
          <w:rtl/>
          <w:lang/>
        </w:rPr>
        <w:t xml:space="preserve"> أدلة</w:t>
      </w:r>
      <w:r w:rsidRPr="00FA0FC2">
        <w:rPr>
          <w:sz w:val="30"/>
          <w:rtl/>
          <w:lang/>
        </w:rPr>
        <w:t xml:space="preserve"> </w:t>
      </w:r>
      <w:r w:rsidRPr="00FA0FC2">
        <w:rPr>
          <w:rStyle w:val="hps"/>
          <w:sz w:val="30"/>
          <w:rtl/>
          <w:lang/>
        </w:rPr>
        <w:t xml:space="preserve">ملموسة </w:t>
      </w:r>
      <w:r w:rsidRPr="00FA0FC2">
        <w:rPr>
          <w:rStyle w:val="hps"/>
          <w:rFonts w:hint="cs"/>
          <w:sz w:val="30"/>
          <w:rtl/>
          <w:lang/>
        </w:rPr>
        <w:t>تثبت مراقبة السلطات اليمنية عن كثب</w:t>
      </w:r>
      <w:r w:rsidRPr="00FA0FC2">
        <w:rPr>
          <w:rStyle w:val="hps"/>
          <w:sz w:val="30"/>
          <w:rtl/>
          <w:lang/>
        </w:rPr>
        <w:t xml:space="preserve"> </w:t>
      </w:r>
      <w:r w:rsidRPr="00FA0FC2">
        <w:rPr>
          <w:rStyle w:val="hps"/>
          <w:rFonts w:hint="cs"/>
          <w:sz w:val="30"/>
          <w:rtl/>
          <w:lang/>
        </w:rPr>
        <w:t>ل</w:t>
      </w:r>
      <w:r w:rsidRPr="00FA0FC2">
        <w:rPr>
          <w:rStyle w:val="hps"/>
          <w:sz w:val="30"/>
          <w:rtl/>
          <w:lang/>
        </w:rPr>
        <w:t>أنشطة</w:t>
      </w:r>
      <w:r w:rsidRPr="00FA0FC2">
        <w:rPr>
          <w:sz w:val="30"/>
          <w:rtl/>
          <w:lang/>
        </w:rPr>
        <w:t xml:space="preserve"> </w:t>
      </w:r>
      <w:r w:rsidRPr="00FA0FC2">
        <w:rPr>
          <w:rStyle w:val="hps"/>
          <w:sz w:val="30"/>
          <w:rtl/>
          <w:lang/>
        </w:rPr>
        <w:t>التجمع الديمقراطي الجنوبي</w:t>
      </w:r>
      <w:r w:rsidRPr="00FA0FC2">
        <w:rPr>
          <w:sz w:val="30"/>
          <w:rtl/>
          <w:lang/>
        </w:rPr>
        <w:t xml:space="preserve"> </w:t>
      </w:r>
      <w:r w:rsidRPr="00FA0FC2">
        <w:rPr>
          <w:rStyle w:val="hps"/>
          <w:sz w:val="30"/>
          <w:rtl/>
          <w:lang/>
        </w:rPr>
        <w:t>في الماضي</w:t>
      </w:r>
      <w:r w:rsidRPr="00FA0FC2">
        <w:rPr>
          <w:sz w:val="30"/>
          <w:rtl/>
          <w:lang/>
        </w:rPr>
        <w:t>، و</w:t>
      </w:r>
      <w:r w:rsidRPr="00FA0FC2">
        <w:rPr>
          <w:rFonts w:hint="cs"/>
          <w:sz w:val="30"/>
          <w:rtl/>
          <w:lang/>
        </w:rPr>
        <w:t>تعرض</w:t>
      </w:r>
      <w:r w:rsidRPr="00FA0FC2">
        <w:rPr>
          <w:sz w:val="30"/>
          <w:rtl/>
          <w:lang/>
        </w:rPr>
        <w:t xml:space="preserve"> بعض </w:t>
      </w:r>
      <w:r w:rsidRPr="00FA0FC2">
        <w:rPr>
          <w:rStyle w:val="hps"/>
          <w:sz w:val="30"/>
          <w:rtl/>
          <w:lang/>
        </w:rPr>
        <w:t>الأشخاص الناشطين</w:t>
      </w:r>
      <w:r w:rsidRPr="00FA0FC2">
        <w:rPr>
          <w:sz w:val="30"/>
          <w:rtl/>
          <w:lang/>
        </w:rPr>
        <w:t xml:space="preserve"> </w:t>
      </w:r>
      <w:r w:rsidRPr="00FA0FC2">
        <w:rPr>
          <w:rStyle w:val="hps"/>
          <w:sz w:val="30"/>
          <w:rtl/>
          <w:lang/>
        </w:rPr>
        <w:t>بشكل خاص</w:t>
      </w:r>
      <w:r>
        <w:rPr>
          <w:rStyle w:val="hps"/>
          <w:rFonts w:hint="cs"/>
          <w:sz w:val="30"/>
          <w:rtl/>
          <w:lang/>
        </w:rPr>
        <w:t xml:space="preserve"> أو</w:t>
      </w:r>
      <w:r>
        <w:rPr>
          <w:rStyle w:val="hps"/>
          <w:sz w:val="30"/>
          <w:rtl/>
          <w:lang/>
        </w:rPr>
        <w:t> </w:t>
      </w:r>
      <w:r w:rsidRPr="00FA0FC2">
        <w:rPr>
          <w:rStyle w:val="hps"/>
          <w:sz w:val="30"/>
          <w:rtl/>
          <w:lang/>
        </w:rPr>
        <w:t>أعضاء</w:t>
      </w:r>
      <w:r w:rsidRPr="00FA0FC2">
        <w:rPr>
          <w:sz w:val="30"/>
          <w:rtl/>
          <w:lang/>
        </w:rPr>
        <w:t xml:space="preserve"> </w:t>
      </w:r>
      <w:r w:rsidRPr="00FA0FC2">
        <w:rPr>
          <w:rStyle w:val="hps"/>
          <w:sz w:val="30"/>
          <w:rtl/>
          <w:lang/>
        </w:rPr>
        <w:t>الهياكل</w:t>
      </w:r>
      <w:r w:rsidRPr="00FA0FC2">
        <w:rPr>
          <w:sz w:val="30"/>
          <w:rtl/>
          <w:lang/>
        </w:rPr>
        <w:t xml:space="preserve"> </w:t>
      </w:r>
      <w:r w:rsidRPr="00FA0FC2">
        <w:rPr>
          <w:rStyle w:val="hps"/>
          <w:sz w:val="30"/>
          <w:rtl/>
          <w:lang/>
        </w:rPr>
        <w:t>الإدارية للمنظمة</w:t>
      </w:r>
      <w:r w:rsidRPr="00FA0FC2">
        <w:rPr>
          <w:sz w:val="30"/>
          <w:rtl/>
          <w:lang/>
        </w:rPr>
        <w:t xml:space="preserve"> </w:t>
      </w:r>
      <w:r w:rsidRPr="00FA0FC2">
        <w:rPr>
          <w:rStyle w:val="hps"/>
          <w:rFonts w:hint="cs"/>
          <w:sz w:val="30"/>
          <w:rtl/>
          <w:lang/>
        </w:rPr>
        <w:t>للأذى</w:t>
      </w:r>
      <w:r w:rsidRPr="00FA0FC2">
        <w:rPr>
          <w:sz w:val="30"/>
          <w:rtl/>
          <w:lang/>
        </w:rPr>
        <w:t xml:space="preserve"> </w:t>
      </w:r>
      <w:r w:rsidRPr="00FA0FC2">
        <w:rPr>
          <w:rStyle w:val="hps"/>
          <w:rFonts w:hint="cs"/>
          <w:sz w:val="30"/>
          <w:rtl/>
          <w:lang/>
        </w:rPr>
        <w:t>لدى</w:t>
      </w:r>
      <w:r w:rsidRPr="00FA0FC2">
        <w:rPr>
          <w:rStyle w:val="hps"/>
          <w:sz w:val="30"/>
          <w:rtl/>
          <w:lang/>
        </w:rPr>
        <w:t xml:space="preserve"> </w:t>
      </w:r>
      <w:r w:rsidRPr="00FA0FC2">
        <w:rPr>
          <w:rStyle w:val="hps"/>
          <w:rFonts w:hint="cs"/>
          <w:sz w:val="30"/>
          <w:rtl/>
          <w:lang/>
        </w:rPr>
        <w:t xml:space="preserve">عودتهم </w:t>
      </w:r>
      <w:r w:rsidRPr="00FA0FC2">
        <w:rPr>
          <w:rStyle w:val="hps"/>
          <w:sz w:val="30"/>
          <w:rtl/>
          <w:lang/>
        </w:rPr>
        <w:t>إلى</w:t>
      </w:r>
      <w:r w:rsidRPr="00FA0FC2">
        <w:rPr>
          <w:sz w:val="30"/>
          <w:rtl/>
          <w:lang/>
        </w:rPr>
        <w:t xml:space="preserve"> </w:t>
      </w:r>
      <w:r w:rsidRPr="00FA0FC2">
        <w:rPr>
          <w:rStyle w:val="hps"/>
          <w:sz w:val="30"/>
          <w:rtl/>
          <w:lang/>
        </w:rPr>
        <w:t>بلدهم الأصلي</w:t>
      </w:r>
      <w:r w:rsidRPr="00FA0FC2">
        <w:rPr>
          <w:sz w:val="30"/>
          <w:rtl/>
          <w:lang/>
        </w:rPr>
        <w:t xml:space="preserve">. </w:t>
      </w:r>
      <w:r w:rsidRPr="00FA0FC2">
        <w:rPr>
          <w:rStyle w:val="hps"/>
          <w:sz w:val="30"/>
          <w:rtl/>
          <w:lang/>
        </w:rPr>
        <w:t>ومع ذلك</w:t>
      </w:r>
      <w:r w:rsidRPr="00FA0FC2">
        <w:rPr>
          <w:sz w:val="30"/>
          <w:rtl/>
          <w:lang/>
        </w:rPr>
        <w:t>،</w:t>
      </w:r>
      <w:r>
        <w:rPr>
          <w:sz w:val="30"/>
          <w:rtl/>
          <w:lang/>
        </w:rPr>
        <w:t xml:space="preserve"> لم </w:t>
      </w:r>
      <w:r w:rsidRPr="00FA0FC2">
        <w:rPr>
          <w:rStyle w:val="hps"/>
          <w:sz w:val="30"/>
          <w:rtl/>
          <w:lang/>
        </w:rPr>
        <w:t>يثبت</w:t>
      </w:r>
      <w:r w:rsidRPr="00FA0FC2">
        <w:rPr>
          <w:sz w:val="30"/>
          <w:rtl/>
          <w:lang/>
        </w:rPr>
        <w:t xml:space="preserve"> </w:t>
      </w:r>
      <w:r w:rsidRPr="00FA0FC2">
        <w:rPr>
          <w:rStyle w:val="hps"/>
          <w:sz w:val="30"/>
          <w:rtl/>
          <w:lang/>
        </w:rPr>
        <w:t>صاحب الشكوى</w:t>
      </w:r>
      <w:r w:rsidRPr="00FA0FC2">
        <w:rPr>
          <w:sz w:val="30"/>
          <w:rtl/>
          <w:lang/>
        </w:rPr>
        <w:t xml:space="preserve"> </w:t>
      </w:r>
      <w:r w:rsidRPr="00FA0FC2">
        <w:rPr>
          <w:rStyle w:val="hps"/>
          <w:sz w:val="30"/>
          <w:rtl/>
          <w:lang/>
        </w:rPr>
        <w:t xml:space="preserve">الأول </w:t>
      </w:r>
      <w:r w:rsidRPr="00FA0FC2">
        <w:rPr>
          <w:rStyle w:val="hps"/>
          <w:rFonts w:hint="cs"/>
          <w:sz w:val="30"/>
          <w:rtl/>
          <w:lang/>
        </w:rPr>
        <w:t>أنه كان يضطلع</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هذه المنظمة</w:t>
      </w:r>
      <w:r w:rsidRPr="00FA0FC2">
        <w:rPr>
          <w:sz w:val="30"/>
          <w:rtl/>
          <w:lang/>
        </w:rPr>
        <w:t xml:space="preserve"> </w:t>
      </w:r>
      <w:r w:rsidRPr="00FA0FC2">
        <w:rPr>
          <w:rFonts w:hint="cs"/>
          <w:sz w:val="30"/>
          <w:rtl/>
          <w:lang/>
        </w:rPr>
        <w:t>ب</w:t>
      </w:r>
      <w:r w:rsidRPr="00FA0FC2">
        <w:rPr>
          <w:rStyle w:val="hps"/>
          <w:sz w:val="30"/>
          <w:rtl/>
          <w:lang/>
        </w:rPr>
        <w:t>دور</w:t>
      </w:r>
      <w:r w:rsidRPr="00FA0FC2">
        <w:rPr>
          <w:rStyle w:val="hps"/>
          <w:rFonts w:hint="cs"/>
          <w:sz w:val="30"/>
          <w:rtl/>
          <w:lang/>
        </w:rPr>
        <w:t xml:space="preserve"> قد يثير</w:t>
      </w:r>
      <w:r w:rsidRPr="00FA0FC2">
        <w:rPr>
          <w:sz w:val="30"/>
          <w:rtl/>
          <w:lang/>
        </w:rPr>
        <w:t xml:space="preserve"> </w:t>
      </w:r>
      <w:r w:rsidRPr="00FA0FC2">
        <w:rPr>
          <w:rStyle w:val="hps"/>
          <w:sz w:val="30"/>
          <w:rtl/>
          <w:lang/>
        </w:rPr>
        <w:t>انتباه السلطات</w:t>
      </w:r>
      <w:r w:rsidRPr="00FA0FC2">
        <w:rPr>
          <w:sz w:val="30"/>
          <w:rtl/>
          <w:lang/>
        </w:rPr>
        <w:t xml:space="preserve">. </w:t>
      </w:r>
      <w:r w:rsidRPr="00FA0FC2">
        <w:rPr>
          <w:rStyle w:val="hps"/>
          <w:sz w:val="30"/>
          <w:rtl/>
          <w:lang/>
        </w:rPr>
        <w:t>و</w:t>
      </w:r>
      <w:r w:rsidRPr="00FA0FC2">
        <w:rPr>
          <w:sz w:val="30"/>
          <w:rtl/>
          <w:lang/>
        </w:rPr>
        <w:t>يبدو أن</w:t>
      </w:r>
      <w:r w:rsidRPr="00FA0FC2">
        <w:rPr>
          <w:rFonts w:hint="cs"/>
          <w:sz w:val="30"/>
          <w:rtl/>
          <w:lang/>
        </w:rPr>
        <w:t>ه</w:t>
      </w:r>
      <w:r>
        <w:rPr>
          <w:rFonts w:hint="cs"/>
          <w:sz w:val="30"/>
          <w:rtl/>
          <w:lang/>
        </w:rPr>
        <w:t xml:space="preserve"> لم</w:t>
      </w:r>
      <w:r>
        <w:rPr>
          <w:sz w:val="30"/>
          <w:rtl/>
          <w:lang/>
        </w:rPr>
        <w:t> </w:t>
      </w:r>
      <w:r w:rsidRPr="00FA0FC2">
        <w:rPr>
          <w:rFonts w:hint="cs"/>
          <w:sz w:val="30"/>
          <w:rtl/>
          <w:lang/>
        </w:rPr>
        <w:t>يكن سوى</w:t>
      </w:r>
      <w:r w:rsidRPr="00FA0FC2">
        <w:rPr>
          <w:sz w:val="30"/>
          <w:rtl/>
          <w:lang/>
        </w:rPr>
        <w:t xml:space="preserve"> </w:t>
      </w:r>
      <w:r w:rsidRPr="00FA0FC2">
        <w:rPr>
          <w:rStyle w:val="hps"/>
          <w:sz w:val="30"/>
          <w:rtl/>
          <w:lang/>
        </w:rPr>
        <w:t>مجرد</w:t>
      </w:r>
      <w:r w:rsidRPr="00FA0FC2">
        <w:rPr>
          <w:sz w:val="30"/>
          <w:rtl/>
          <w:lang/>
        </w:rPr>
        <w:t xml:space="preserve"> </w:t>
      </w:r>
      <w:r w:rsidRPr="00FA0FC2">
        <w:rPr>
          <w:rStyle w:val="hps"/>
          <w:sz w:val="30"/>
          <w:rtl/>
          <w:lang/>
        </w:rPr>
        <w:t>مشارك</w:t>
      </w:r>
      <w:r w:rsidRPr="00FA0FC2">
        <w:rPr>
          <w:sz w:val="30"/>
          <w:rtl/>
          <w:lang/>
        </w:rPr>
        <w:t xml:space="preserve"> </w:t>
      </w:r>
      <w:r w:rsidRPr="00FA0FC2">
        <w:rPr>
          <w:rStyle w:val="hps"/>
          <w:rFonts w:hint="cs"/>
          <w:sz w:val="30"/>
          <w:rtl/>
          <w:lang/>
        </w:rPr>
        <w:t>في</w:t>
      </w:r>
      <w:r w:rsidRPr="00FA0FC2">
        <w:rPr>
          <w:rStyle w:val="hps"/>
          <w:sz w:val="30"/>
          <w:rtl/>
          <w:lang/>
        </w:rPr>
        <w:t xml:space="preserve"> المظاهرات</w:t>
      </w:r>
      <w:r w:rsidRPr="00FA0FC2">
        <w:rPr>
          <w:sz w:val="30"/>
          <w:rtl/>
          <w:lang/>
        </w:rPr>
        <w:t xml:space="preserve"> </w:t>
      </w:r>
      <w:r w:rsidRPr="00FA0FC2">
        <w:rPr>
          <w:rStyle w:val="hps"/>
          <w:sz w:val="30"/>
          <w:rtl/>
          <w:lang/>
        </w:rPr>
        <w:t>التي نظمها</w:t>
      </w:r>
      <w:r w:rsidRPr="00FA0FC2">
        <w:rPr>
          <w:sz w:val="30"/>
          <w:rtl/>
          <w:lang/>
        </w:rPr>
        <w:t xml:space="preserve"> </w:t>
      </w:r>
      <w:r w:rsidRPr="00FA0FC2">
        <w:rPr>
          <w:rStyle w:val="hps"/>
          <w:sz w:val="30"/>
          <w:rtl/>
          <w:lang/>
        </w:rPr>
        <w:t>الفرع السويسري</w:t>
      </w:r>
      <w:r w:rsidRPr="00FA0FC2">
        <w:rPr>
          <w:sz w:val="30"/>
          <w:rtl/>
          <w:lang/>
        </w:rPr>
        <w:t xml:space="preserve"> </w:t>
      </w:r>
      <w:r w:rsidRPr="00FA0FC2">
        <w:rPr>
          <w:rStyle w:val="hps"/>
          <w:sz w:val="30"/>
          <w:rtl/>
          <w:lang/>
        </w:rPr>
        <w:t>لل</w:t>
      </w:r>
      <w:r w:rsidRPr="00FA0FC2">
        <w:rPr>
          <w:rStyle w:val="hps"/>
          <w:rFonts w:hint="cs"/>
          <w:sz w:val="30"/>
          <w:rtl/>
          <w:lang/>
        </w:rPr>
        <w:t>تجمع</w:t>
      </w:r>
      <w:r w:rsidRPr="00FA0FC2">
        <w:rPr>
          <w:sz w:val="30"/>
          <w:rtl/>
          <w:lang/>
        </w:rPr>
        <w:t xml:space="preserve"> </w:t>
      </w:r>
      <w:r w:rsidRPr="00FA0FC2">
        <w:rPr>
          <w:rStyle w:val="hps"/>
          <w:sz w:val="30"/>
          <w:rtl/>
          <w:lang/>
        </w:rPr>
        <w:t>الديمقراطي الجنوبي</w:t>
      </w:r>
      <w:r w:rsidRPr="00FA0FC2">
        <w:rPr>
          <w:sz w:val="30"/>
          <w:rtl/>
          <w:lang/>
        </w:rPr>
        <w:t xml:space="preserve">. </w:t>
      </w:r>
      <w:r w:rsidRPr="00FA0FC2">
        <w:rPr>
          <w:rStyle w:val="hps"/>
          <w:rFonts w:hint="cs"/>
          <w:sz w:val="30"/>
          <w:rtl/>
          <w:lang/>
        </w:rPr>
        <w:t>بيد أنه وبالنظر إلى أن العديد</w:t>
      </w:r>
      <w:r w:rsidRPr="00FA0FC2">
        <w:rPr>
          <w:rStyle w:val="hps"/>
          <w:sz w:val="30"/>
          <w:rtl/>
          <w:lang/>
        </w:rPr>
        <w:t xml:space="preserve"> </w:t>
      </w:r>
      <w:r w:rsidRPr="00FA0FC2">
        <w:rPr>
          <w:rStyle w:val="hps"/>
          <w:rFonts w:hint="cs"/>
          <w:sz w:val="30"/>
          <w:rtl/>
          <w:lang/>
        </w:rPr>
        <w:t xml:space="preserve">من </w:t>
      </w:r>
      <w:r w:rsidRPr="00FA0FC2">
        <w:rPr>
          <w:rStyle w:val="hps"/>
          <w:sz w:val="30"/>
          <w:rtl/>
          <w:lang/>
        </w:rPr>
        <w:t>هذه المظاهرات</w:t>
      </w:r>
      <w:r>
        <w:rPr>
          <w:sz w:val="30"/>
          <w:rtl/>
          <w:lang/>
        </w:rPr>
        <w:t xml:space="preserve"> لم </w:t>
      </w:r>
      <w:r w:rsidRPr="00FA0FC2">
        <w:rPr>
          <w:rStyle w:val="hps"/>
          <w:rFonts w:hint="cs"/>
          <w:sz w:val="30"/>
          <w:rtl/>
          <w:lang/>
        </w:rPr>
        <w:t xml:space="preserve">يقتصر على </w:t>
      </w:r>
      <w:r w:rsidRPr="00FA0FC2">
        <w:rPr>
          <w:rStyle w:val="hps"/>
          <w:sz w:val="30"/>
          <w:rtl/>
          <w:lang/>
        </w:rPr>
        <w:t>سويسرا</w:t>
      </w:r>
      <w:r w:rsidRPr="00FA0FC2">
        <w:rPr>
          <w:sz w:val="30"/>
          <w:rtl/>
          <w:lang/>
        </w:rPr>
        <w:t xml:space="preserve"> </w:t>
      </w:r>
      <w:r w:rsidRPr="00FA0FC2">
        <w:rPr>
          <w:rStyle w:val="hps"/>
          <w:sz w:val="30"/>
          <w:rtl/>
          <w:lang/>
        </w:rPr>
        <w:t>ف</w:t>
      </w:r>
      <w:r w:rsidRPr="00FA0FC2">
        <w:rPr>
          <w:rStyle w:val="hps"/>
          <w:rFonts w:hint="cs"/>
          <w:sz w:val="30"/>
          <w:rtl/>
          <w:lang/>
        </w:rPr>
        <w:t>حسب، بل شمل</w:t>
      </w:r>
      <w:r w:rsidRPr="00FA0FC2">
        <w:rPr>
          <w:rStyle w:val="hps"/>
          <w:sz w:val="30"/>
          <w:rtl/>
          <w:lang/>
        </w:rPr>
        <w:t xml:space="preserve"> بلدان</w:t>
      </w:r>
      <w:r w:rsidRPr="00FA0FC2">
        <w:rPr>
          <w:rStyle w:val="hps"/>
          <w:rFonts w:hint="cs"/>
          <w:sz w:val="30"/>
          <w:rtl/>
          <w:lang/>
        </w:rPr>
        <w:t>اً</w:t>
      </w:r>
      <w:r w:rsidRPr="00FA0FC2">
        <w:rPr>
          <w:rStyle w:val="hps"/>
          <w:sz w:val="30"/>
          <w:rtl/>
          <w:lang/>
        </w:rPr>
        <w:t xml:space="preserve"> أخرى</w:t>
      </w:r>
      <w:r w:rsidRPr="00FA0FC2">
        <w:rPr>
          <w:rStyle w:val="hps"/>
          <w:rFonts w:hint="cs"/>
          <w:sz w:val="30"/>
          <w:rtl/>
          <w:lang/>
        </w:rPr>
        <w:t xml:space="preserve"> أيضاً</w:t>
      </w:r>
      <w:r w:rsidRPr="00FA0FC2">
        <w:rPr>
          <w:sz w:val="30"/>
          <w:rtl/>
          <w:lang/>
        </w:rPr>
        <w:t xml:space="preserve">، فإنه من </w:t>
      </w:r>
      <w:r w:rsidRPr="00FA0FC2">
        <w:rPr>
          <w:rFonts w:hint="cs"/>
          <w:sz w:val="30"/>
          <w:rtl/>
          <w:lang/>
        </w:rPr>
        <w:t>شبه المستحيل أن تركز</w:t>
      </w:r>
      <w:r w:rsidRPr="00FA0FC2">
        <w:rPr>
          <w:sz w:val="30"/>
          <w:rtl/>
          <w:lang/>
        </w:rPr>
        <w:t xml:space="preserve"> </w:t>
      </w:r>
      <w:r w:rsidRPr="00FA0FC2">
        <w:rPr>
          <w:rStyle w:val="hps"/>
          <w:rFonts w:hint="cs"/>
          <w:sz w:val="30"/>
          <w:rtl/>
          <w:lang/>
        </w:rPr>
        <w:t>السلطات</w:t>
      </w:r>
      <w:r w:rsidRPr="00FA0FC2">
        <w:rPr>
          <w:sz w:val="30"/>
          <w:rtl/>
          <w:lang/>
        </w:rPr>
        <w:t xml:space="preserve"> </w:t>
      </w:r>
      <w:r w:rsidRPr="00FA0FC2">
        <w:rPr>
          <w:rStyle w:val="hps"/>
          <w:sz w:val="30"/>
          <w:rtl/>
          <w:lang/>
        </w:rPr>
        <w:t>اليمنية</w:t>
      </w:r>
      <w:r w:rsidRPr="00FA0FC2">
        <w:rPr>
          <w:sz w:val="30"/>
          <w:rtl/>
          <w:lang/>
        </w:rPr>
        <w:t xml:space="preserve"> </w:t>
      </w:r>
      <w:r w:rsidRPr="00FA0FC2">
        <w:rPr>
          <w:rStyle w:val="hps"/>
          <w:rFonts w:hint="cs"/>
          <w:sz w:val="30"/>
          <w:rtl/>
          <w:lang/>
        </w:rPr>
        <w:t>على الأشخاص الذين يعتبرون</w:t>
      </w:r>
      <w:r w:rsidRPr="00FA0FC2">
        <w:rPr>
          <w:rStyle w:val="hps"/>
          <w:sz w:val="30"/>
          <w:rtl/>
          <w:lang/>
        </w:rPr>
        <w:t xml:space="preserve"> </w:t>
      </w:r>
      <w:r w:rsidRPr="00FA0FC2">
        <w:rPr>
          <w:rStyle w:val="hps"/>
          <w:rFonts w:hint="cs"/>
          <w:sz w:val="30"/>
          <w:rtl/>
          <w:lang/>
        </w:rPr>
        <w:t xml:space="preserve">من </w:t>
      </w:r>
      <w:r w:rsidRPr="00FA0FC2">
        <w:rPr>
          <w:rStyle w:val="hps"/>
          <w:sz w:val="30"/>
          <w:rtl/>
          <w:lang/>
        </w:rPr>
        <w:t>قادة</w:t>
      </w:r>
      <w:r w:rsidRPr="00FA0FC2">
        <w:rPr>
          <w:sz w:val="30"/>
          <w:rtl/>
          <w:lang/>
        </w:rPr>
        <w:t xml:space="preserve"> </w:t>
      </w:r>
      <w:r w:rsidRPr="00FA0FC2">
        <w:rPr>
          <w:rFonts w:hint="cs"/>
          <w:sz w:val="30"/>
          <w:rtl/>
          <w:lang/>
        </w:rPr>
        <w:t>ال</w:t>
      </w:r>
      <w:r w:rsidRPr="00FA0FC2">
        <w:rPr>
          <w:rStyle w:val="hps"/>
          <w:sz w:val="30"/>
          <w:rtl/>
          <w:lang/>
        </w:rPr>
        <w:t>رأي</w:t>
      </w:r>
      <w:r w:rsidRPr="00FA0FC2">
        <w:rPr>
          <w:sz w:val="30"/>
          <w:rtl/>
          <w:lang/>
        </w:rPr>
        <w:t>،</w:t>
      </w:r>
      <w:r w:rsidRPr="00FA0FC2">
        <w:rPr>
          <w:rFonts w:hint="cs"/>
          <w:sz w:val="30"/>
          <w:rtl/>
          <w:lang/>
        </w:rPr>
        <w:t xml:space="preserve"> وكذلك</w:t>
      </w:r>
      <w:r w:rsidRPr="00FA0FC2">
        <w:rPr>
          <w:sz w:val="30"/>
          <w:rtl/>
          <w:lang/>
        </w:rPr>
        <w:t xml:space="preserve"> </w:t>
      </w:r>
      <w:r w:rsidRPr="00FA0FC2">
        <w:rPr>
          <w:rStyle w:val="hps"/>
          <w:sz w:val="30"/>
          <w:rtl/>
          <w:lang/>
        </w:rPr>
        <w:t>على كل من</w:t>
      </w:r>
      <w:r w:rsidRPr="00FA0FC2">
        <w:rPr>
          <w:sz w:val="30"/>
          <w:rtl/>
          <w:lang/>
        </w:rPr>
        <w:t xml:space="preserve"> </w:t>
      </w:r>
      <w:r w:rsidRPr="00FA0FC2">
        <w:rPr>
          <w:rStyle w:val="hps"/>
          <w:rFonts w:hint="cs"/>
          <w:sz w:val="30"/>
          <w:rtl/>
          <w:lang/>
        </w:rPr>
        <w:t>متظاهر</w:t>
      </w:r>
      <w:r w:rsidRPr="00FA0FC2">
        <w:rPr>
          <w:sz w:val="30"/>
          <w:rtl/>
          <w:lang/>
        </w:rPr>
        <w:t xml:space="preserve"> </w:t>
      </w:r>
      <w:r w:rsidRPr="00FA0FC2">
        <w:rPr>
          <w:rStyle w:val="hps"/>
          <w:rFonts w:hint="cs"/>
          <w:sz w:val="30"/>
          <w:rtl/>
          <w:lang/>
        </w:rPr>
        <w:t>يبرز في</w:t>
      </w:r>
      <w:r w:rsidRPr="00FA0FC2">
        <w:rPr>
          <w:rStyle w:val="hps"/>
          <w:sz w:val="30"/>
          <w:rtl/>
          <w:lang/>
        </w:rPr>
        <w:t xml:space="preserve"> هذا السياق</w:t>
      </w:r>
      <w:r w:rsidRPr="00FA0FC2">
        <w:rPr>
          <w:sz w:val="30"/>
          <w:rtl/>
          <w:lang/>
        </w:rPr>
        <w:t xml:space="preserve">. </w:t>
      </w:r>
      <w:r w:rsidRPr="00FA0FC2">
        <w:rPr>
          <w:rStyle w:val="hps"/>
          <w:rFonts w:hint="cs"/>
          <w:sz w:val="30"/>
          <w:rtl/>
          <w:lang/>
        </w:rPr>
        <w:t>وأثبتت</w:t>
      </w:r>
      <w:r w:rsidRPr="00FA0FC2">
        <w:rPr>
          <w:sz w:val="30"/>
          <w:rtl/>
          <w:lang/>
        </w:rPr>
        <w:t xml:space="preserve"> </w:t>
      </w:r>
      <w:r w:rsidRPr="00FA0FC2">
        <w:rPr>
          <w:rStyle w:val="hps"/>
          <w:sz w:val="30"/>
          <w:rtl/>
          <w:lang/>
        </w:rPr>
        <w:t>السلطات</w:t>
      </w:r>
      <w:r w:rsidRPr="00FA0FC2">
        <w:rPr>
          <w:rStyle w:val="hps"/>
          <w:rFonts w:hint="cs"/>
          <w:sz w:val="30"/>
          <w:rtl/>
          <w:lang/>
        </w:rPr>
        <w:t xml:space="preserve"> المعنية بمسائل</w:t>
      </w:r>
      <w:r w:rsidRPr="00FA0FC2">
        <w:rPr>
          <w:sz w:val="30"/>
          <w:rtl/>
          <w:lang/>
        </w:rPr>
        <w:t xml:space="preserve"> </w:t>
      </w:r>
      <w:r w:rsidRPr="00FA0FC2">
        <w:rPr>
          <w:rStyle w:val="hps"/>
          <w:sz w:val="30"/>
          <w:rtl/>
          <w:lang/>
        </w:rPr>
        <w:t>اللجوء</w:t>
      </w:r>
      <w:r w:rsidRPr="00FA0FC2">
        <w:rPr>
          <w:sz w:val="30"/>
          <w:rtl/>
          <w:lang/>
        </w:rPr>
        <w:t xml:space="preserve"> </w:t>
      </w:r>
      <w:r w:rsidRPr="00FA0FC2">
        <w:rPr>
          <w:rStyle w:val="hps"/>
          <w:rFonts w:hint="cs"/>
          <w:sz w:val="30"/>
          <w:rtl/>
          <w:lang/>
        </w:rPr>
        <w:t>في ا</w:t>
      </w:r>
      <w:r w:rsidRPr="00FA0FC2">
        <w:rPr>
          <w:rStyle w:val="hps"/>
          <w:sz w:val="30"/>
          <w:rtl/>
          <w:lang/>
        </w:rPr>
        <w:t>لدولة الطرف</w:t>
      </w:r>
      <w:r w:rsidRPr="00FA0FC2">
        <w:rPr>
          <w:sz w:val="30"/>
          <w:rtl/>
          <w:lang/>
        </w:rPr>
        <w:t xml:space="preserve"> </w:t>
      </w:r>
      <w:r w:rsidRPr="00FA0FC2">
        <w:rPr>
          <w:rStyle w:val="hps"/>
          <w:sz w:val="30"/>
          <w:rtl/>
          <w:lang/>
        </w:rPr>
        <w:t>أن</w:t>
      </w:r>
      <w:r w:rsidRPr="00FA0FC2">
        <w:rPr>
          <w:sz w:val="30"/>
          <w:rtl/>
          <w:lang/>
        </w:rPr>
        <w:t xml:space="preserve"> </w:t>
      </w:r>
      <w:r w:rsidRPr="00FA0FC2">
        <w:rPr>
          <w:rStyle w:val="hps"/>
          <w:sz w:val="30"/>
          <w:rtl/>
          <w:lang/>
        </w:rPr>
        <w:t>أنشطته السياسية</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سويسرا</w:t>
      </w:r>
      <w:r>
        <w:rPr>
          <w:sz w:val="30"/>
          <w:rtl/>
          <w:lang/>
        </w:rPr>
        <w:t xml:space="preserve"> لم </w:t>
      </w:r>
      <w:r w:rsidRPr="00FA0FC2">
        <w:rPr>
          <w:rStyle w:val="hps"/>
          <w:sz w:val="30"/>
          <w:rtl/>
          <w:lang/>
        </w:rPr>
        <w:t>تكن</w:t>
      </w:r>
      <w:r w:rsidRPr="00FA0FC2">
        <w:rPr>
          <w:sz w:val="30"/>
          <w:rtl/>
          <w:lang/>
        </w:rPr>
        <w:t xml:space="preserve"> </w:t>
      </w:r>
      <w:r w:rsidRPr="00FA0FC2">
        <w:rPr>
          <w:rStyle w:val="hps"/>
          <w:rFonts w:hint="cs"/>
          <w:sz w:val="30"/>
          <w:rtl/>
          <w:lang/>
        </w:rPr>
        <w:t>من الأهمية التي قد</w:t>
      </w:r>
      <w:r w:rsidRPr="00FA0FC2">
        <w:rPr>
          <w:sz w:val="30"/>
          <w:rtl/>
          <w:lang/>
        </w:rPr>
        <w:t xml:space="preserve"> </w:t>
      </w:r>
      <w:r w:rsidRPr="00FA0FC2">
        <w:rPr>
          <w:rStyle w:val="hps"/>
          <w:rFonts w:hint="cs"/>
          <w:sz w:val="30"/>
          <w:rtl/>
          <w:lang/>
        </w:rPr>
        <w:t>تدفع بالسلطات اليمنية</w:t>
      </w:r>
      <w:r w:rsidRPr="00FA0FC2">
        <w:rPr>
          <w:rStyle w:val="hps"/>
          <w:sz w:val="30"/>
          <w:rtl/>
          <w:lang/>
        </w:rPr>
        <w:t xml:space="preserve"> </w:t>
      </w:r>
      <w:r w:rsidRPr="00FA0FC2">
        <w:rPr>
          <w:rStyle w:val="hps"/>
          <w:rFonts w:hint="cs"/>
          <w:sz w:val="30"/>
          <w:rtl/>
          <w:lang/>
        </w:rPr>
        <w:t>إلى اعتباره معارضاً</w:t>
      </w:r>
      <w:r w:rsidRPr="00FA0FC2">
        <w:rPr>
          <w:rFonts w:hint="cs"/>
          <w:sz w:val="30"/>
          <w:rtl/>
          <w:lang/>
        </w:rPr>
        <w:t xml:space="preserve"> معروفا</w:t>
      </w:r>
      <w:r w:rsidRPr="00FA0FC2">
        <w:rPr>
          <w:rStyle w:val="hps"/>
          <w:rFonts w:hint="cs"/>
          <w:sz w:val="30"/>
          <w:rtl/>
          <w:lang/>
        </w:rPr>
        <w:t>ً</w:t>
      </w:r>
      <w:r w:rsidRPr="00FA0FC2">
        <w:rPr>
          <w:rStyle w:val="hps"/>
          <w:sz w:val="30"/>
          <w:rtl/>
          <w:lang/>
        </w:rPr>
        <w:t xml:space="preserve"> </w:t>
      </w:r>
      <w:r w:rsidRPr="00FA0FC2">
        <w:rPr>
          <w:rStyle w:val="hps"/>
          <w:rFonts w:hint="cs"/>
          <w:sz w:val="30"/>
          <w:rtl/>
          <w:lang/>
        </w:rPr>
        <w:t>للنظام</w:t>
      </w:r>
      <w:r w:rsidRPr="00FA0FC2">
        <w:rPr>
          <w:rStyle w:val="hps"/>
          <w:sz w:val="30"/>
          <w:rtl/>
          <w:lang/>
        </w:rPr>
        <w:t xml:space="preserve"> القائم</w:t>
      </w:r>
      <w:r w:rsidRPr="00FA0FC2">
        <w:rPr>
          <w:sz w:val="30"/>
          <w:rtl/>
          <w:lang/>
        </w:rPr>
        <w:t xml:space="preserve">. </w:t>
      </w:r>
      <w:r w:rsidRPr="00FA0FC2">
        <w:rPr>
          <w:rStyle w:val="hps"/>
          <w:rFonts w:hint="cs"/>
          <w:sz w:val="30"/>
          <w:rtl/>
          <w:lang/>
        </w:rPr>
        <w:t xml:space="preserve">وتعتبر الدولة الطرف أيضاً أن منصب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sz w:val="30"/>
          <w:rtl/>
          <w:lang/>
        </w:rPr>
        <w:t>كرئيس</w:t>
      </w:r>
      <w:r w:rsidRPr="00FA0FC2">
        <w:rPr>
          <w:sz w:val="30"/>
          <w:rtl/>
          <w:lang/>
        </w:rPr>
        <w:t xml:space="preserve"> </w:t>
      </w:r>
      <w:r w:rsidRPr="00FA0FC2">
        <w:rPr>
          <w:rStyle w:val="hps"/>
          <w:sz w:val="30"/>
          <w:rtl/>
          <w:lang/>
        </w:rPr>
        <w:t>للعلاقات العامة</w:t>
      </w:r>
      <w:r w:rsidRPr="00FA0FC2">
        <w:rPr>
          <w:sz w:val="30"/>
          <w:rtl/>
          <w:lang/>
        </w:rPr>
        <w:t xml:space="preserve"> </w:t>
      </w:r>
      <w:r w:rsidRPr="00FA0FC2">
        <w:rPr>
          <w:rStyle w:val="hps"/>
          <w:rFonts w:hint="cs"/>
          <w:sz w:val="30"/>
          <w:rtl/>
          <w:lang/>
        </w:rPr>
        <w:t>في</w:t>
      </w:r>
      <w:r w:rsidRPr="00FA0FC2">
        <w:rPr>
          <w:sz w:val="30"/>
          <w:rtl/>
          <w:lang/>
        </w:rPr>
        <w:t xml:space="preserve"> </w:t>
      </w:r>
      <w:r w:rsidRPr="00FA0FC2">
        <w:rPr>
          <w:rStyle w:val="hps"/>
          <w:sz w:val="30"/>
          <w:rtl/>
          <w:lang/>
        </w:rPr>
        <w:t>التجمع الديمقراطي الجنوبي</w:t>
      </w:r>
      <w:r w:rsidRPr="00FA0FC2">
        <w:rPr>
          <w:sz w:val="30"/>
          <w:rtl/>
          <w:lang/>
        </w:rPr>
        <w:t xml:space="preserve"> </w:t>
      </w:r>
      <w:r w:rsidRPr="00FA0FC2">
        <w:rPr>
          <w:rStyle w:val="hps"/>
          <w:sz w:val="30"/>
          <w:rtl/>
          <w:lang/>
        </w:rPr>
        <w:t>في كانتون</w:t>
      </w:r>
      <w:r w:rsidRPr="00FA0FC2">
        <w:rPr>
          <w:sz w:val="30"/>
          <w:rtl/>
          <w:lang/>
        </w:rPr>
        <w:t xml:space="preserve"> </w:t>
      </w:r>
      <w:r w:rsidRPr="00FA0FC2">
        <w:rPr>
          <w:rStyle w:val="hps"/>
          <w:sz w:val="30"/>
          <w:rtl/>
          <w:lang/>
        </w:rPr>
        <w:t>فريبورغ</w:t>
      </w:r>
      <w:r>
        <w:rPr>
          <w:sz w:val="30"/>
          <w:rtl/>
          <w:lang/>
        </w:rPr>
        <w:t xml:space="preserve"> لا </w:t>
      </w:r>
      <w:r w:rsidRPr="00FA0FC2">
        <w:rPr>
          <w:rStyle w:val="hps"/>
          <w:rFonts w:hint="cs"/>
          <w:sz w:val="30"/>
          <w:rtl/>
          <w:lang/>
        </w:rPr>
        <w:t>يكتسي أهمية تجعله تحديداً عرضة</w:t>
      </w:r>
      <w:r w:rsidRPr="00FA0FC2">
        <w:rPr>
          <w:sz w:val="30"/>
          <w:rtl/>
          <w:lang/>
        </w:rPr>
        <w:t xml:space="preserve"> </w:t>
      </w:r>
      <w:r w:rsidRPr="00FA0FC2">
        <w:rPr>
          <w:rStyle w:val="hps"/>
          <w:rFonts w:hint="cs"/>
          <w:sz w:val="30"/>
          <w:rtl/>
          <w:lang/>
        </w:rPr>
        <w:t>للخطر.</w:t>
      </w:r>
    </w:p>
    <w:p w:rsidR="00091373" w:rsidRPr="00FA0FC2" w:rsidRDefault="00091373" w:rsidP="00091373">
      <w:pPr>
        <w:pStyle w:val="SingleTxtGA"/>
        <w:rPr>
          <w:sz w:val="30"/>
          <w:rtl/>
          <w:lang w:val="fr-CH"/>
        </w:rPr>
      </w:pPr>
      <w:r w:rsidRPr="00FA0FC2">
        <w:rPr>
          <w:sz w:val="30"/>
          <w:rtl/>
          <w:lang w:val="fr-CH"/>
        </w:rPr>
        <w:t>4-16</w:t>
      </w:r>
      <w:r w:rsidRPr="00FA0FC2">
        <w:rPr>
          <w:sz w:val="30"/>
          <w:rtl/>
          <w:lang w:val="fr-CH"/>
        </w:rPr>
        <w:tab/>
      </w:r>
      <w:r w:rsidRPr="00FA0FC2">
        <w:rPr>
          <w:rStyle w:val="hps"/>
          <w:sz w:val="30"/>
          <w:rtl/>
          <w:lang/>
        </w:rPr>
        <w:t>وعلاوة على ذلك</w:t>
      </w:r>
      <w:r w:rsidRPr="00FA0FC2">
        <w:rPr>
          <w:sz w:val="30"/>
          <w:rtl/>
          <w:lang/>
        </w:rPr>
        <w:t xml:space="preserve">، </w:t>
      </w:r>
      <w:r w:rsidRPr="00FA0FC2">
        <w:rPr>
          <w:rStyle w:val="hps"/>
          <w:sz w:val="30"/>
          <w:rtl/>
          <w:lang/>
        </w:rPr>
        <w:t>تضيف الدولة الطرف</w:t>
      </w:r>
      <w:r w:rsidRPr="00FA0FC2">
        <w:rPr>
          <w:sz w:val="30"/>
          <w:rtl/>
          <w:lang/>
        </w:rPr>
        <w:t xml:space="preserve"> </w:t>
      </w:r>
      <w:r w:rsidRPr="00FA0FC2">
        <w:rPr>
          <w:rStyle w:val="hps"/>
          <w:sz w:val="30"/>
          <w:rtl/>
          <w:lang/>
        </w:rPr>
        <w:t>أن صور</w:t>
      </w:r>
      <w:r w:rsidRPr="00FA0FC2">
        <w:rPr>
          <w:sz w:val="30"/>
          <w:rtl/>
          <w:lang/>
        </w:rPr>
        <w:t xml:space="preserve"> </w:t>
      </w:r>
      <w:r w:rsidRPr="00FA0FC2">
        <w:rPr>
          <w:rStyle w:val="hps"/>
          <w:rFonts w:hint="cs"/>
          <w:sz w:val="30"/>
          <w:rtl/>
          <w:lang/>
        </w:rPr>
        <w:t>المظاهرات المتاحة</w:t>
      </w:r>
      <w:r w:rsidRPr="00FA0FC2">
        <w:rPr>
          <w:rStyle w:val="hps"/>
          <w:sz w:val="30"/>
          <w:rtl/>
          <w:lang/>
        </w:rPr>
        <w:t xml:space="preserve"> على</w:t>
      </w:r>
      <w:r w:rsidRPr="00FA0FC2">
        <w:rPr>
          <w:sz w:val="30"/>
          <w:rtl/>
          <w:lang/>
        </w:rPr>
        <w:t xml:space="preserve"> </w:t>
      </w:r>
      <w:r w:rsidRPr="00FA0FC2">
        <w:rPr>
          <w:rStyle w:val="hps"/>
          <w:sz w:val="30"/>
          <w:rtl/>
          <w:lang/>
        </w:rPr>
        <w:t>شبكة الإنترنت</w:t>
      </w:r>
      <w:r>
        <w:rPr>
          <w:sz w:val="30"/>
          <w:rtl/>
          <w:lang/>
        </w:rPr>
        <w:t xml:space="preserve"> لا </w:t>
      </w:r>
      <w:r w:rsidRPr="00FA0FC2">
        <w:rPr>
          <w:rStyle w:val="hps"/>
          <w:sz w:val="30"/>
          <w:rtl/>
          <w:lang/>
        </w:rPr>
        <w:t>تسمح</w:t>
      </w:r>
      <w:r w:rsidRPr="00FA0FC2">
        <w:rPr>
          <w:sz w:val="30"/>
          <w:rtl/>
          <w:lang/>
        </w:rPr>
        <w:t xml:space="preserve"> </w:t>
      </w:r>
      <w:r w:rsidRPr="00FA0FC2">
        <w:rPr>
          <w:rFonts w:hint="cs"/>
          <w:sz w:val="30"/>
          <w:rtl/>
          <w:lang/>
        </w:rPr>
        <w:t>ب</w:t>
      </w:r>
      <w:r w:rsidRPr="00FA0FC2">
        <w:rPr>
          <w:rStyle w:val="hps"/>
          <w:sz w:val="30"/>
          <w:rtl/>
          <w:lang/>
        </w:rPr>
        <w:t>استنتاج أن</w:t>
      </w:r>
      <w:r w:rsidRPr="00FA0FC2">
        <w:rPr>
          <w:sz w:val="30"/>
          <w:rtl/>
          <w:lang/>
        </w:rPr>
        <w:t xml:space="preserve"> </w:t>
      </w:r>
      <w:r w:rsidRPr="00FA0FC2">
        <w:rPr>
          <w:rStyle w:val="hps"/>
          <w:sz w:val="30"/>
          <w:rtl/>
          <w:lang/>
        </w:rPr>
        <w:t>السلطات اليمنية</w:t>
      </w:r>
      <w:r w:rsidRPr="00FA0FC2">
        <w:rPr>
          <w:rStyle w:val="hps"/>
          <w:rFonts w:hint="cs"/>
          <w:sz w:val="30"/>
          <w:rtl/>
          <w:lang/>
        </w:rPr>
        <w:t xml:space="preserve"> قد</w:t>
      </w:r>
      <w:r w:rsidRPr="00FA0FC2">
        <w:rPr>
          <w:sz w:val="30"/>
          <w:rtl/>
          <w:lang/>
        </w:rPr>
        <w:t xml:space="preserve"> </w:t>
      </w:r>
      <w:r w:rsidRPr="00FA0FC2">
        <w:rPr>
          <w:rStyle w:val="hps"/>
          <w:sz w:val="30"/>
          <w:rtl/>
          <w:lang/>
        </w:rPr>
        <w:t>أ</w:t>
      </w:r>
      <w:r w:rsidRPr="00FA0FC2">
        <w:rPr>
          <w:rStyle w:val="hps"/>
          <w:rFonts w:hint="cs"/>
          <w:sz w:val="30"/>
          <w:rtl/>
          <w:lang/>
        </w:rPr>
        <w:t>حاطت</w:t>
      </w:r>
      <w:r w:rsidRPr="00FA0FC2">
        <w:rPr>
          <w:sz w:val="30"/>
          <w:rtl/>
          <w:lang/>
        </w:rPr>
        <w:t xml:space="preserve"> </w:t>
      </w:r>
      <w:r w:rsidRPr="00FA0FC2">
        <w:rPr>
          <w:rStyle w:val="hps"/>
          <w:sz w:val="30"/>
          <w:rtl/>
          <w:lang/>
        </w:rPr>
        <w:t>علما</w:t>
      </w:r>
      <w:r w:rsidRPr="00FA0FC2">
        <w:rPr>
          <w:rStyle w:val="hps"/>
          <w:rFonts w:hint="cs"/>
          <w:sz w:val="30"/>
          <w:rtl/>
          <w:lang/>
        </w:rPr>
        <w:t>ً</w:t>
      </w:r>
      <w:r w:rsidRPr="00FA0FC2">
        <w:rPr>
          <w:sz w:val="30"/>
          <w:rtl/>
          <w:lang/>
        </w:rPr>
        <w:t xml:space="preserve"> </w:t>
      </w:r>
      <w:r w:rsidRPr="00FA0FC2">
        <w:rPr>
          <w:rFonts w:hint="cs"/>
          <w:sz w:val="30"/>
          <w:rtl/>
          <w:lang/>
        </w:rPr>
        <w:t>ب</w:t>
      </w:r>
      <w:r w:rsidRPr="00FA0FC2">
        <w:rPr>
          <w:rStyle w:val="hps"/>
          <w:sz w:val="30"/>
          <w:rtl/>
          <w:lang/>
        </w:rPr>
        <w:t>أنشطة</w:t>
      </w:r>
      <w:r w:rsidRPr="00FA0FC2">
        <w:rPr>
          <w:rStyle w:val="hps"/>
          <w:rFonts w:hint="cs"/>
          <w:sz w:val="30"/>
          <w:rtl/>
          <w:lang/>
        </w:rPr>
        <w:t xml:space="preserve"> صاحب</w:t>
      </w:r>
      <w:r w:rsidRPr="00FA0FC2">
        <w:rPr>
          <w:sz w:val="30"/>
          <w:rtl/>
          <w:lang/>
        </w:rPr>
        <w:t xml:space="preserve"> </w:t>
      </w:r>
      <w:r w:rsidRPr="00FA0FC2">
        <w:rPr>
          <w:rStyle w:val="hps"/>
          <w:sz w:val="30"/>
          <w:rtl/>
          <w:lang/>
        </w:rPr>
        <w:t>الشكوى</w:t>
      </w:r>
      <w:r w:rsidRPr="00FA0FC2">
        <w:rPr>
          <w:sz w:val="30"/>
          <w:rtl/>
          <w:lang/>
        </w:rPr>
        <w:t xml:space="preserve"> </w:t>
      </w:r>
      <w:r w:rsidRPr="00FA0FC2">
        <w:rPr>
          <w:rStyle w:val="hps"/>
          <w:sz w:val="30"/>
          <w:rtl/>
          <w:lang/>
        </w:rPr>
        <w:t>الأول</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سويسرا</w:t>
      </w:r>
      <w:r w:rsidRPr="00FA0FC2">
        <w:rPr>
          <w:sz w:val="30"/>
          <w:rtl/>
          <w:lang/>
        </w:rPr>
        <w:t xml:space="preserve">. </w:t>
      </w:r>
      <w:r w:rsidRPr="00FA0FC2">
        <w:rPr>
          <w:rStyle w:val="hps"/>
          <w:rFonts w:hint="cs"/>
          <w:sz w:val="30"/>
          <w:rtl/>
          <w:lang/>
        </w:rPr>
        <w:t xml:space="preserve">وترى أن مجرّد التعرف عليه في </w:t>
      </w:r>
      <w:r w:rsidRPr="00FA0FC2">
        <w:rPr>
          <w:rStyle w:val="hps"/>
          <w:sz w:val="30"/>
          <w:rtl/>
          <w:lang/>
        </w:rPr>
        <w:t>الصور</w:t>
      </w:r>
      <w:r w:rsidRPr="00FA0FC2">
        <w:rPr>
          <w:sz w:val="30"/>
          <w:rtl/>
          <w:lang/>
        </w:rPr>
        <w:t xml:space="preserve"> </w:t>
      </w:r>
      <w:r w:rsidRPr="00FA0FC2">
        <w:rPr>
          <w:rStyle w:val="hps"/>
          <w:sz w:val="30"/>
          <w:rtl/>
          <w:lang/>
        </w:rPr>
        <w:t>ل</w:t>
      </w:r>
      <w:r w:rsidRPr="00FA0FC2">
        <w:rPr>
          <w:rStyle w:val="hps"/>
          <w:rFonts w:hint="cs"/>
          <w:sz w:val="30"/>
          <w:rtl/>
          <w:lang/>
        </w:rPr>
        <w:t>يس دليلاً</w:t>
      </w:r>
      <w:r w:rsidRPr="00FA0FC2">
        <w:rPr>
          <w:rStyle w:val="hps"/>
          <w:sz w:val="30"/>
          <w:rtl/>
          <w:lang/>
        </w:rPr>
        <w:t xml:space="preserve"> كافي</w:t>
      </w:r>
      <w:r w:rsidRPr="00FA0FC2">
        <w:rPr>
          <w:rStyle w:val="hps"/>
          <w:rFonts w:hint="cs"/>
          <w:sz w:val="30"/>
          <w:rtl/>
          <w:lang/>
        </w:rPr>
        <w:t>اً</w:t>
      </w:r>
      <w:r w:rsidRPr="00FA0FC2">
        <w:rPr>
          <w:rStyle w:val="hps"/>
          <w:sz w:val="30"/>
          <w:rtl/>
          <w:lang/>
        </w:rPr>
        <w:t xml:space="preserve"> ل</w:t>
      </w:r>
      <w:r w:rsidRPr="00FA0FC2">
        <w:rPr>
          <w:sz w:val="30"/>
          <w:rtl/>
          <w:lang/>
        </w:rPr>
        <w:t xml:space="preserve">إثبات وجود </w:t>
      </w:r>
      <w:r w:rsidRPr="00FA0FC2">
        <w:rPr>
          <w:rStyle w:val="hps"/>
          <w:sz w:val="30"/>
          <w:rtl/>
          <w:lang/>
        </w:rPr>
        <w:t xml:space="preserve">خطر </w:t>
      </w:r>
      <w:r w:rsidRPr="00FA0FC2">
        <w:rPr>
          <w:rStyle w:val="hps"/>
          <w:rFonts w:hint="cs"/>
          <w:sz w:val="30"/>
          <w:rtl/>
          <w:lang/>
        </w:rPr>
        <w:t>التعرض ل</w:t>
      </w:r>
      <w:r w:rsidRPr="00FA0FC2">
        <w:rPr>
          <w:rStyle w:val="hps"/>
          <w:sz w:val="30"/>
          <w:rtl/>
          <w:lang/>
        </w:rPr>
        <w:t>سوء</w:t>
      </w:r>
      <w:r w:rsidRPr="00FA0FC2">
        <w:rPr>
          <w:sz w:val="30"/>
          <w:rtl/>
          <w:lang/>
        </w:rPr>
        <w:t xml:space="preserve"> </w:t>
      </w:r>
      <w:r w:rsidRPr="00FA0FC2">
        <w:rPr>
          <w:rStyle w:val="hps"/>
          <w:sz w:val="30"/>
          <w:rtl/>
          <w:lang/>
        </w:rPr>
        <w:t>المعاملة في</w:t>
      </w:r>
      <w:r w:rsidRPr="00FA0FC2">
        <w:rPr>
          <w:sz w:val="30"/>
          <w:rtl/>
          <w:lang/>
        </w:rPr>
        <w:t xml:space="preserve"> </w:t>
      </w:r>
      <w:r w:rsidRPr="00FA0FC2">
        <w:rPr>
          <w:rStyle w:val="hps"/>
          <w:sz w:val="30"/>
          <w:rtl/>
          <w:lang/>
        </w:rPr>
        <w:t>حال عودته</w:t>
      </w:r>
      <w:r w:rsidRPr="00FA0FC2">
        <w:rPr>
          <w:sz w:val="30"/>
          <w:rtl/>
          <w:lang/>
        </w:rPr>
        <w:t>.</w:t>
      </w:r>
      <w:r>
        <w:rPr>
          <w:sz w:val="30"/>
          <w:rtl/>
          <w:lang/>
        </w:rPr>
        <w:t xml:space="preserve"> كما </w:t>
      </w:r>
      <w:r w:rsidRPr="00FA0FC2">
        <w:rPr>
          <w:rStyle w:val="hps"/>
          <w:rFonts w:hint="cs"/>
          <w:sz w:val="30"/>
          <w:rtl/>
          <w:lang/>
        </w:rPr>
        <w:t>أنه من الصعب</w:t>
      </w:r>
      <w:r w:rsidRPr="00FA0FC2">
        <w:rPr>
          <w:sz w:val="30"/>
          <w:rtl/>
          <w:lang/>
        </w:rPr>
        <w:t xml:space="preserve">، </w:t>
      </w:r>
      <w:r w:rsidRPr="00FA0FC2">
        <w:rPr>
          <w:rStyle w:val="hps"/>
          <w:sz w:val="30"/>
          <w:rtl/>
          <w:lang/>
        </w:rPr>
        <w:t>لأسباب عملية</w:t>
      </w:r>
      <w:r w:rsidRPr="00FA0FC2">
        <w:rPr>
          <w:sz w:val="30"/>
          <w:rtl/>
          <w:lang/>
        </w:rPr>
        <w:t xml:space="preserve"> </w:t>
      </w:r>
      <w:r w:rsidRPr="00FA0FC2">
        <w:rPr>
          <w:rStyle w:val="hps"/>
          <w:sz w:val="30"/>
          <w:rtl/>
          <w:lang/>
        </w:rPr>
        <w:t>واضحة،</w:t>
      </w:r>
      <w:r w:rsidRPr="00FA0FC2">
        <w:rPr>
          <w:sz w:val="30"/>
          <w:rtl/>
          <w:lang/>
        </w:rPr>
        <w:t xml:space="preserve"> </w:t>
      </w:r>
      <w:r w:rsidRPr="00FA0FC2">
        <w:rPr>
          <w:rStyle w:val="hps"/>
          <w:sz w:val="30"/>
          <w:rtl/>
          <w:lang/>
        </w:rPr>
        <w:t>تحديد</w:t>
      </w:r>
      <w:r w:rsidRPr="00FA0FC2">
        <w:rPr>
          <w:rStyle w:val="hps"/>
          <w:rFonts w:hint="cs"/>
          <w:sz w:val="30"/>
          <w:rtl/>
          <w:lang/>
        </w:rPr>
        <w:t xml:space="preserve"> هوية</w:t>
      </w:r>
      <w:r w:rsidRPr="00FA0FC2">
        <w:rPr>
          <w:sz w:val="30"/>
          <w:rtl/>
          <w:lang/>
        </w:rPr>
        <w:t xml:space="preserve"> </w:t>
      </w:r>
      <w:r w:rsidRPr="00FA0FC2">
        <w:rPr>
          <w:rStyle w:val="hps"/>
          <w:sz w:val="30"/>
          <w:rtl/>
          <w:lang/>
        </w:rPr>
        <w:t>الأفراد المشاركين</w:t>
      </w:r>
      <w:r w:rsidRPr="00FA0FC2">
        <w:rPr>
          <w:sz w:val="30"/>
          <w:rtl/>
          <w:lang/>
        </w:rPr>
        <w:t xml:space="preserve"> </w:t>
      </w:r>
      <w:r w:rsidRPr="00FA0FC2">
        <w:rPr>
          <w:rStyle w:val="hps"/>
          <w:sz w:val="30"/>
          <w:rtl/>
          <w:lang/>
        </w:rPr>
        <w:t>في مظاهرة</w:t>
      </w:r>
      <w:r w:rsidRPr="00FA0FC2">
        <w:rPr>
          <w:sz w:val="30"/>
          <w:rtl/>
          <w:lang/>
        </w:rPr>
        <w:t xml:space="preserve"> </w:t>
      </w:r>
      <w:r w:rsidRPr="00FA0FC2">
        <w:rPr>
          <w:rStyle w:val="hps"/>
          <w:sz w:val="30"/>
          <w:rtl/>
          <w:lang/>
        </w:rPr>
        <w:t>كبيرة</w:t>
      </w:r>
      <w:r w:rsidRPr="00FA0FC2">
        <w:rPr>
          <w:sz w:val="30"/>
          <w:rtl/>
          <w:lang/>
        </w:rPr>
        <w:t xml:space="preserve"> </w:t>
      </w:r>
      <w:r w:rsidRPr="00FA0FC2">
        <w:rPr>
          <w:rStyle w:val="hps"/>
          <w:sz w:val="30"/>
          <w:rtl/>
          <w:lang/>
        </w:rPr>
        <w:t>إذا</w:t>
      </w:r>
      <w:r>
        <w:rPr>
          <w:rStyle w:val="hps"/>
          <w:sz w:val="30"/>
          <w:rtl/>
          <w:lang/>
        </w:rPr>
        <w:t xml:space="preserve"> لم </w:t>
      </w:r>
      <w:r w:rsidRPr="00FA0FC2">
        <w:rPr>
          <w:rStyle w:val="hps"/>
          <w:rFonts w:hint="cs"/>
          <w:sz w:val="30"/>
          <w:rtl/>
          <w:lang/>
        </w:rPr>
        <w:t>يكونوا معروفين بشكل واضح لدى</w:t>
      </w:r>
      <w:r w:rsidRPr="00FA0FC2">
        <w:rPr>
          <w:rStyle w:val="hps"/>
          <w:sz w:val="30"/>
          <w:rtl/>
          <w:lang/>
        </w:rPr>
        <w:t xml:space="preserve"> السلطات اليمنية</w:t>
      </w:r>
      <w:r w:rsidRPr="00FA0FC2">
        <w:rPr>
          <w:sz w:val="30"/>
          <w:rtl/>
          <w:lang/>
        </w:rPr>
        <w:t xml:space="preserve">، </w:t>
      </w:r>
      <w:r w:rsidRPr="00FA0FC2">
        <w:rPr>
          <w:rStyle w:val="hps"/>
          <w:rFonts w:hint="cs"/>
          <w:sz w:val="30"/>
          <w:rtl/>
          <w:lang/>
        </w:rPr>
        <w:t>وهو</w:t>
      </w:r>
      <w:r>
        <w:rPr>
          <w:rStyle w:val="hps"/>
          <w:rFonts w:hint="cs"/>
          <w:sz w:val="30"/>
          <w:rtl/>
          <w:lang/>
        </w:rPr>
        <w:t xml:space="preserve"> ما</w:t>
      </w:r>
      <w:r>
        <w:rPr>
          <w:rStyle w:val="hps"/>
          <w:sz w:val="30"/>
          <w:rtl/>
          <w:lang/>
        </w:rPr>
        <w:t> </w:t>
      </w:r>
      <w:r>
        <w:rPr>
          <w:rStyle w:val="hps"/>
          <w:rFonts w:hint="cs"/>
          <w:sz w:val="30"/>
          <w:rtl/>
          <w:lang/>
        </w:rPr>
        <w:t>لا</w:t>
      </w:r>
      <w:r>
        <w:rPr>
          <w:rStyle w:val="hps"/>
          <w:sz w:val="30"/>
          <w:rtl/>
          <w:lang/>
        </w:rPr>
        <w:t> </w:t>
      </w:r>
      <w:r w:rsidRPr="00FA0FC2">
        <w:rPr>
          <w:rStyle w:val="hps"/>
          <w:rFonts w:hint="cs"/>
          <w:sz w:val="30"/>
          <w:rtl/>
          <w:lang/>
        </w:rPr>
        <w:t xml:space="preserve">ينطبق على هذه </w:t>
      </w:r>
      <w:r w:rsidRPr="00FA0FC2">
        <w:rPr>
          <w:rStyle w:val="hps"/>
          <w:sz w:val="30"/>
          <w:rtl/>
          <w:lang/>
        </w:rPr>
        <w:t>الشكوى</w:t>
      </w:r>
      <w:r>
        <w:rPr>
          <w:sz w:val="30"/>
          <w:rtl/>
          <w:lang/>
        </w:rPr>
        <w:t xml:space="preserve"> فيما </w:t>
      </w:r>
      <w:r w:rsidRPr="00FA0FC2">
        <w:rPr>
          <w:rStyle w:val="hps"/>
          <w:rFonts w:hint="cs"/>
          <w:sz w:val="30"/>
          <w:rtl/>
          <w:lang/>
        </w:rPr>
        <w:t>يبدو</w:t>
      </w:r>
      <w:r w:rsidRPr="00FA0FC2">
        <w:rPr>
          <w:sz w:val="30"/>
          <w:rtl/>
          <w:lang/>
        </w:rPr>
        <w:t>.</w:t>
      </w:r>
    </w:p>
    <w:p w:rsidR="00091373" w:rsidRPr="00FA0FC2" w:rsidRDefault="00091373" w:rsidP="000A5876">
      <w:pPr>
        <w:pStyle w:val="SingleTxtGA"/>
        <w:rPr>
          <w:sz w:val="30"/>
          <w:rtl/>
          <w:lang w:val="fr-CH"/>
        </w:rPr>
      </w:pPr>
      <w:r w:rsidRPr="00FA0FC2">
        <w:rPr>
          <w:sz w:val="30"/>
          <w:rtl/>
          <w:lang w:val="fr-CH"/>
        </w:rPr>
        <w:t>4-17</w:t>
      </w:r>
      <w:r w:rsidRPr="00FA0FC2">
        <w:rPr>
          <w:sz w:val="30"/>
          <w:rtl/>
          <w:lang w:val="fr-CH"/>
        </w:rPr>
        <w:tab/>
      </w:r>
      <w:r w:rsidRPr="00FA0FC2">
        <w:rPr>
          <w:rStyle w:val="hps"/>
          <w:sz w:val="30"/>
          <w:rtl/>
          <w:lang/>
        </w:rPr>
        <w:t>وتشير الدولة</w:t>
      </w:r>
      <w:r w:rsidRPr="00FA0FC2">
        <w:rPr>
          <w:sz w:val="30"/>
          <w:rtl/>
          <w:lang/>
        </w:rPr>
        <w:t xml:space="preserve"> </w:t>
      </w:r>
      <w:r w:rsidRPr="00FA0FC2">
        <w:rPr>
          <w:rStyle w:val="hps"/>
          <w:sz w:val="30"/>
          <w:rtl/>
          <w:lang/>
        </w:rPr>
        <w:t>الطرف أيضا</w:t>
      </w:r>
      <w:r w:rsidRPr="00FA0FC2">
        <w:rPr>
          <w:rStyle w:val="hps"/>
          <w:rFonts w:hint="cs"/>
          <w:sz w:val="30"/>
          <w:rtl/>
          <w:lang/>
        </w:rPr>
        <w:t>ً</w:t>
      </w:r>
      <w:r w:rsidRPr="00FA0FC2">
        <w:rPr>
          <w:sz w:val="30"/>
          <w:rtl/>
          <w:lang/>
        </w:rPr>
        <w:t xml:space="preserve"> </w:t>
      </w:r>
      <w:r w:rsidRPr="00FA0FC2">
        <w:rPr>
          <w:rStyle w:val="hps"/>
          <w:sz w:val="30"/>
          <w:rtl/>
          <w:lang/>
        </w:rPr>
        <w:t xml:space="preserve">إلى </w:t>
      </w:r>
      <w:r w:rsidRPr="00FA0FC2">
        <w:rPr>
          <w:rStyle w:val="hps"/>
          <w:rFonts w:hint="cs"/>
          <w:sz w:val="30"/>
          <w:rtl/>
          <w:lang/>
        </w:rPr>
        <w:t>أوجه عدم الاتساق التي تخللت رواية</w:t>
      </w:r>
      <w:r w:rsidRPr="00FA0FC2">
        <w:rPr>
          <w:sz w:val="30"/>
          <w:rtl/>
          <w:lang/>
        </w:rPr>
        <w:t xml:space="preserve">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rStyle w:val="hps"/>
          <w:rFonts w:hint="cs"/>
          <w:sz w:val="30"/>
          <w:rtl/>
          <w:lang/>
        </w:rPr>
        <w:t xml:space="preserve"> بخصوص الوقائع</w:t>
      </w:r>
      <w:r w:rsidRPr="00FA0FC2">
        <w:rPr>
          <w:sz w:val="30"/>
          <w:rtl/>
          <w:lang/>
        </w:rPr>
        <w:t xml:space="preserve">، </w:t>
      </w:r>
      <w:r w:rsidRPr="00FA0FC2">
        <w:rPr>
          <w:rStyle w:val="hps"/>
          <w:rFonts w:hint="cs"/>
          <w:sz w:val="30"/>
          <w:rtl/>
          <w:lang/>
        </w:rPr>
        <w:t>ومن ثم، فهي تشكك في</w:t>
      </w:r>
      <w:r w:rsidRPr="00FA0FC2">
        <w:rPr>
          <w:rStyle w:val="hps"/>
          <w:sz w:val="30"/>
          <w:rtl/>
          <w:lang/>
        </w:rPr>
        <w:t xml:space="preserve"> </w:t>
      </w:r>
      <w:r w:rsidRPr="00FA0FC2">
        <w:rPr>
          <w:rStyle w:val="hps"/>
          <w:rFonts w:hint="cs"/>
          <w:sz w:val="30"/>
          <w:rtl/>
          <w:lang/>
        </w:rPr>
        <w:t>مصداقيتها</w:t>
      </w:r>
      <w:r w:rsidRPr="00FA0FC2">
        <w:rPr>
          <w:sz w:val="30"/>
          <w:rtl/>
          <w:lang/>
        </w:rPr>
        <w:t xml:space="preserve">. </w:t>
      </w:r>
      <w:r w:rsidRPr="00FA0FC2">
        <w:rPr>
          <w:rStyle w:val="hps"/>
          <w:sz w:val="30"/>
          <w:rtl/>
          <w:lang/>
        </w:rPr>
        <w:t>وتلاحظ</w:t>
      </w:r>
      <w:r w:rsidRPr="00FA0FC2">
        <w:rPr>
          <w:sz w:val="30"/>
          <w:rtl/>
          <w:lang/>
        </w:rPr>
        <w:t xml:space="preserve">، </w:t>
      </w:r>
      <w:r w:rsidRPr="00FA0FC2">
        <w:rPr>
          <w:rStyle w:val="hps"/>
          <w:sz w:val="30"/>
          <w:rtl/>
          <w:lang/>
        </w:rPr>
        <w:t>على وجه ال</w:t>
      </w:r>
      <w:r w:rsidRPr="00FA0FC2">
        <w:rPr>
          <w:rStyle w:val="hps"/>
          <w:rFonts w:hint="cs"/>
          <w:sz w:val="30"/>
          <w:rtl/>
          <w:lang/>
        </w:rPr>
        <w:t>تحديد</w:t>
      </w:r>
      <w:r w:rsidRPr="00FA0FC2">
        <w:rPr>
          <w:rStyle w:val="hps"/>
          <w:sz w:val="30"/>
          <w:rtl/>
          <w:lang/>
        </w:rPr>
        <w:t>،</w:t>
      </w:r>
      <w:r w:rsidRPr="00FA0FC2">
        <w:rPr>
          <w:sz w:val="30"/>
          <w:rtl/>
          <w:lang/>
        </w:rPr>
        <w:t xml:space="preserve"> </w:t>
      </w:r>
      <w:r w:rsidRPr="00FA0FC2">
        <w:rPr>
          <w:rStyle w:val="hps"/>
          <w:sz w:val="30"/>
          <w:rtl/>
          <w:lang/>
        </w:rPr>
        <w:t xml:space="preserve">أنه </w:t>
      </w:r>
      <w:r w:rsidRPr="00FA0FC2">
        <w:rPr>
          <w:rStyle w:val="hps"/>
          <w:rFonts w:hint="cs"/>
          <w:sz w:val="30"/>
          <w:rtl/>
          <w:lang/>
        </w:rPr>
        <w:t xml:space="preserve">قد </w:t>
      </w:r>
      <w:r w:rsidRPr="00FA0FC2">
        <w:rPr>
          <w:rStyle w:val="hps"/>
          <w:sz w:val="30"/>
          <w:rtl/>
          <w:lang/>
        </w:rPr>
        <w:t>غادر</w:t>
      </w:r>
      <w:r w:rsidRPr="00FA0FC2">
        <w:rPr>
          <w:sz w:val="30"/>
          <w:rtl/>
          <w:lang/>
        </w:rPr>
        <w:t xml:space="preserve"> </w:t>
      </w:r>
      <w:r w:rsidRPr="00FA0FC2">
        <w:rPr>
          <w:rStyle w:val="hps"/>
          <w:sz w:val="30"/>
          <w:rtl/>
          <w:lang/>
        </w:rPr>
        <w:t>اليمن</w:t>
      </w:r>
      <w:r w:rsidRPr="00FA0FC2">
        <w:rPr>
          <w:sz w:val="30"/>
          <w:rtl/>
          <w:lang/>
        </w:rPr>
        <w:t xml:space="preserve"> </w:t>
      </w:r>
      <w:r w:rsidRPr="00FA0FC2">
        <w:rPr>
          <w:rStyle w:val="hps"/>
          <w:sz w:val="30"/>
          <w:rtl/>
          <w:lang/>
        </w:rPr>
        <w:t>بصورة قانونية</w:t>
      </w:r>
      <w:r w:rsidRPr="00FA0FC2">
        <w:rPr>
          <w:sz w:val="30"/>
          <w:rtl/>
          <w:lang/>
        </w:rPr>
        <w:t xml:space="preserve"> </w:t>
      </w:r>
      <w:r w:rsidRPr="00FA0FC2">
        <w:rPr>
          <w:rStyle w:val="hps"/>
          <w:rFonts w:hint="cs"/>
          <w:sz w:val="30"/>
          <w:rtl/>
          <w:lang/>
        </w:rPr>
        <w:t>على متن طائرة أقلعت</w:t>
      </w:r>
      <w:r w:rsidRPr="00FA0FC2">
        <w:rPr>
          <w:rStyle w:val="hps"/>
          <w:sz w:val="30"/>
          <w:rtl/>
          <w:lang/>
        </w:rPr>
        <w:t xml:space="preserve"> من</w:t>
      </w:r>
      <w:r w:rsidRPr="00FA0FC2">
        <w:rPr>
          <w:sz w:val="30"/>
          <w:rtl/>
          <w:lang/>
        </w:rPr>
        <w:t xml:space="preserve"> </w:t>
      </w:r>
      <w:r w:rsidRPr="00FA0FC2">
        <w:rPr>
          <w:rStyle w:val="hps"/>
          <w:sz w:val="30"/>
          <w:rtl/>
          <w:lang/>
        </w:rPr>
        <w:t>المطار الدولي</w:t>
      </w:r>
      <w:r w:rsidRPr="00FA0FC2">
        <w:rPr>
          <w:sz w:val="30"/>
          <w:rtl/>
          <w:lang/>
        </w:rPr>
        <w:t xml:space="preserve"> </w:t>
      </w:r>
      <w:r w:rsidRPr="00FA0FC2">
        <w:rPr>
          <w:rStyle w:val="hps"/>
          <w:rFonts w:hint="cs"/>
          <w:sz w:val="30"/>
          <w:rtl/>
          <w:lang/>
        </w:rPr>
        <w:t>الواقع في</w:t>
      </w:r>
      <w:r w:rsidR="000A5876">
        <w:rPr>
          <w:rStyle w:val="hps"/>
          <w:rFonts w:hint="eastAsia"/>
          <w:sz w:val="30"/>
          <w:rtl/>
          <w:lang/>
        </w:rPr>
        <w:t> </w:t>
      </w:r>
      <w:r w:rsidRPr="00FA0FC2">
        <w:rPr>
          <w:rStyle w:val="hps"/>
          <w:rFonts w:hint="cs"/>
          <w:sz w:val="30"/>
          <w:rtl/>
          <w:lang/>
        </w:rPr>
        <w:t>ا</w:t>
      </w:r>
      <w:r w:rsidRPr="00FA0FC2">
        <w:rPr>
          <w:rStyle w:val="hps"/>
          <w:sz w:val="30"/>
          <w:rtl/>
          <w:lang/>
        </w:rPr>
        <w:t>لعاصمة</w:t>
      </w:r>
      <w:r w:rsidRPr="00FA0FC2">
        <w:rPr>
          <w:sz w:val="30"/>
          <w:rtl/>
          <w:lang/>
        </w:rPr>
        <w:t xml:space="preserve">، </w:t>
      </w:r>
      <w:r w:rsidRPr="00FA0FC2">
        <w:rPr>
          <w:rFonts w:hint="cs"/>
          <w:sz w:val="30"/>
          <w:rtl/>
          <w:lang/>
        </w:rPr>
        <w:t>وهو</w:t>
      </w:r>
      <w:r>
        <w:rPr>
          <w:rFonts w:hint="cs"/>
          <w:sz w:val="30"/>
          <w:rtl/>
          <w:lang/>
        </w:rPr>
        <w:t xml:space="preserve"> ما</w:t>
      </w:r>
      <w:r>
        <w:rPr>
          <w:sz w:val="30"/>
          <w:rtl/>
          <w:lang/>
        </w:rPr>
        <w:t> </w:t>
      </w:r>
      <w:r>
        <w:rPr>
          <w:rFonts w:hint="cs"/>
          <w:sz w:val="30"/>
          <w:rtl/>
          <w:lang/>
        </w:rPr>
        <w:t>لا</w:t>
      </w:r>
      <w:r>
        <w:rPr>
          <w:sz w:val="30"/>
          <w:rtl/>
          <w:lang/>
        </w:rPr>
        <w:t> </w:t>
      </w:r>
      <w:r w:rsidRPr="00FA0FC2">
        <w:rPr>
          <w:rFonts w:hint="cs"/>
          <w:sz w:val="30"/>
          <w:rtl/>
          <w:lang/>
        </w:rPr>
        <w:t>يكون ممكناً بالفعل</w:t>
      </w:r>
      <w:r w:rsidRPr="00FA0FC2">
        <w:rPr>
          <w:sz w:val="30"/>
          <w:rtl/>
          <w:lang/>
        </w:rPr>
        <w:t xml:space="preserve"> لو</w:t>
      </w:r>
      <w:r w:rsidRPr="00FA0FC2">
        <w:rPr>
          <w:rFonts w:hint="cs"/>
          <w:sz w:val="30"/>
          <w:rtl/>
          <w:lang/>
        </w:rPr>
        <w:t xml:space="preserve"> أنه كان مطلوباً من جهاز الأمن السياسي</w:t>
      </w:r>
      <w:r>
        <w:rPr>
          <w:rFonts w:hint="cs"/>
          <w:sz w:val="30"/>
          <w:rtl/>
          <w:lang/>
        </w:rPr>
        <w:t xml:space="preserve"> أو</w:t>
      </w:r>
      <w:r>
        <w:rPr>
          <w:sz w:val="30"/>
          <w:rtl/>
          <w:lang/>
        </w:rPr>
        <w:t> </w:t>
      </w:r>
      <w:r w:rsidRPr="00FA0FC2">
        <w:rPr>
          <w:rFonts w:hint="cs"/>
          <w:sz w:val="30"/>
          <w:rtl/>
          <w:lang/>
        </w:rPr>
        <w:t>موضوعاً تحت المراقبة</w:t>
      </w:r>
      <w:r w:rsidRPr="00FA0FC2">
        <w:rPr>
          <w:rStyle w:val="hps"/>
          <w:sz w:val="30"/>
          <w:rtl/>
          <w:lang/>
        </w:rPr>
        <w:t>.</w:t>
      </w:r>
      <w:r w:rsidRPr="00FA0FC2">
        <w:rPr>
          <w:sz w:val="30"/>
          <w:rtl/>
          <w:lang/>
        </w:rPr>
        <w:t xml:space="preserve"> </w:t>
      </w:r>
      <w:r w:rsidRPr="00FA0FC2">
        <w:rPr>
          <w:rStyle w:val="hps"/>
          <w:sz w:val="30"/>
          <w:rtl/>
          <w:lang/>
        </w:rPr>
        <w:t>وعلاوة على ذلك</w:t>
      </w:r>
      <w:r w:rsidRPr="00FA0FC2">
        <w:rPr>
          <w:rStyle w:val="hps"/>
          <w:rFonts w:hint="cs"/>
          <w:sz w:val="30"/>
          <w:rtl/>
          <w:lang/>
        </w:rPr>
        <w:t>، وبالنظر إلى خبرة صاحب الشكوى الأول ومهنته، فهو ليس ممن يجازف بتعريض نفسه لخطر الاستجواب خلال عملية تفتيش الركاب في الرحلات الداخلية والخارجية، بل</w:t>
      </w:r>
      <w:r w:rsidRPr="00FA0FC2">
        <w:rPr>
          <w:rFonts w:hint="cs"/>
          <w:sz w:val="30"/>
          <w:rtl/>
          <w:lang/>
        </w:rPr>
        <w:t xml:space="preserve"> سيختار، عوضاً عن ذلك، مغادرة</w:t>
      </w:r>
      <w:r w:rsidRPr="00FA0FC2">
        <w:rPr>
          <w:sz w:val="30"/>
          <w:rtl/>
          <w:lang/>
        </w:rPr>
        <w:t xml:space="preserve"> </w:t>
      </w:r>
      <w:r w:rsidRPr="00FA0FC2">
        <w:rPr>
          <w:rStyle w:val="hps"/>
          <w:sz w:val="30"/>
          <w:rtl/>
          <w:lang/>
        </w:rPr>
        <w:t>اليمن</w:t>
      </w:r>
      <w:r w:rsidRPr="00FA0FC2">
        <w:rPr>
          <w:sz w:val="30"/>
          <w:rtl/>
          <w:lang/>
        </w:rPr>
        <w:t xml:space="preserve"> </w:t>
      </w:r>
      <w:r w:rsidRPr="00FA0FC2">
        <w:rPr>
          <w:rStyle w:val="hps"/>
          <w:rFonts w:hint="cs"/>
          <w:sz w:val="30"/>
          <w:rtl/>
          <w:lang/>
        </w:rPr>
        <w:t>باستخدام وسائل</w:t>
      </w:r>
      <w:r w:rsidRPr="00FA0FC2">
        <w:rPr>
          <w:sz w:val="30"/>
          <w:rtl/>
          <w:lang/>
        </w:rPr>
        <w:t xml:space="preserve"> </w:t>
      </w:r>
      <w:r w:rsidRPr="00FA0FC2">
        <w:rPr>
          <w:rStyle w:val="hps"/>
          <w:sz w:val="30"/>
          <w:rtl/>
          <w:lang/>
        </w:rPr>
        <w:t>النقل البري</w:t>
      </w:r>
      <w:r w:rsidRPr="00FA0FC2">
        <w:rPr>
          <w:sz w:val="30"/>
          <w:rtl/>
          <w:lang/>
        </w:rPr>
        <w:t>.</w:t>
      </w:r>
    </w:p>
    <w:p w:rsidR="00091373" w:rsidRPr="00FA0FC2" w:rsidRDefault="00091373" w:rsidP="00091373">
      <w:pPr>
        <w:pStyle w:val="SingleTxtGA"/>
        <w:rPr>
          <w:sz w:val="30"/>
          <w:rtl/>
          <w:lang w:val="fr-CH"/>
        </w:rPr>
      </w:pPr>
      <w:r w:rsidRPr="00FA0FC2">
        <w:rPr>
          <w:sz w:val="30"/>
          <w:rtl/>
          <w:lang w:val="fr-CH"/>
        </w:rPr>
        <w:t>4-18</w:t>
      </w:r>
      <w:r w:rsidRPr="00FA0FC2">
        <w:rPr>
          <w:sz w:val="30"/>
          <w:rtl/>
          <w:lang w:val="fr-CH"/>
        </w:rPr>
        <w:tab/>
      </w:r>
      <w:r w:rsidRPr="00FA0FC2">
        <w:rPr>
          <w:rStyle w:val="hps"/>
          <w:sz w:val="30"/>
          <w:rtl/>
          <w:lang/>
        </w:rPr>
        <w:t>وت</w:t>
      </w:r>
      <w:r w:rsidRPr="00FA0FC2">
        <w:rPr>
          <w:rStyle w:val="hps"/>
          <w:rFonts w:hint="cs"/>
          <w:sz w:val="30"/>
          <w:rtl/>
          <w:lang/>
        </w:rPr>
        <w:t>ؤكد</w:t>
      </w:r>
      <w:r w:rsidRPr="00FA0FC2">
        <w:rPr>
          <w:rStyle w:val="hps"/>
          <w:sz w:val="30"/>
          <w:rtl/>
          <w:lang/>
        </w:rPr>
        <w:t xml:space="preserve"> الدولة</w:t>
      </w:r>
      <w:r w:rsidRPr="00FA0FC2">
        <w:rPr>
          <w:sz w:val="30"/>
          <w:rtl/>
          <w:lang/>
        </w:rPr>
        <w:t xml:space="preserve"> </w:t>
      </w:r>
      <w:r w:rsidRPr="00FA0FC2">
        <w:rPr>
          <w:rStyle w:val="hps"/>
          <w:sz w:val="30"/>
          <w:rtl/>
          <w:lang/>
        </w:rPr>
        <w:t>الطرف أيضا</w:t>
      </w:r>
      <w:r w:rsidRPr="00FA0FC2">
        <w:rPr>
          <w:rStyle w:val="hps"/>
          <w:rFonts w:hint="cs"/>
          <w:sz w:val="30"/>
          <w:rtl/>
          <w:lang/>
        </w:rPr>
        <w:t>ً</w:t>
      </w:r>
      <w:r w:rsidRPr="00FA0FC2">
        <w:rPr>
          <w:sz w:val="30"/>
          <w:rtl/>
          <w:lang/>
        </w:rPr>
        <w:t xml:space="preserve"> </w:t>
      </w:r>
      <w:r w:rsidRPr="00FA0FC2">
        <w:rPr>
          <w:rStyle w:val="hps"/>
          <w:rFonts w:hint="cs"/>
          <w:sz w:val="30"/>
          <w:rtl/>
          <w:lang/>
        </w:rPr>
        <w:t>أن</w:t>
      </w:r>
      <w:r w:rsidRPr="00FA0FC2">
        <w:rPr>
          <w:rStyle w:val="hps"/>
          <w:sz w:val="30"/>
          <w:rtl/>
          <w:lang/>
        </w:rPr>
        <w:t xml:space="preserve"> </w:t>
      </w:r>
      <w:r w:rsidRPr="00FA0FC2">
        <w:rPr>
          <w:rStyle w:val="hps"/>
          <w:rFonts w:hint="cs"/>
          <w:sz w:val="30"/>
          <w:rtl/>
          <w:lang/>
        </w:rPr>
        <w:t>صاحب</w:t>
      </w:r>
      <w:r w:rsidRPr="00FA0FC2">
        <w:rPr>
          <w:rStyle w:val="hps"/>
          <w:sz w:val="30"/>
          <w:rtl/>
          <w:lang/>
        </w:rPr>
        <w:t xml:space="preserve"> الشكوى</w:t>
      </w:r>
      <w:r w:rsidRPr="00FA0FC2">
        <w:rPr>
          <w:sz w:val="30"/>
          <w:rtl/>
          <w:lang/>
        </w:rPr>
        <w:t xml:space="preserve"> </w:t>
      </w:r>
      <w:r w:rsidRPr="00FA0FC2">
        <w:rPr>
          <w:rStyle w:val="hps"/>
          <w:sz w:val="30"/>
          <w:rtl/>
          <w:lang/>
        </w:rPr>
        <w:t>الأول</w:t>
      </w:r>
      <w:r>
        <w:rPr>
          <w:rStyle w:val="hps"/>
          <w:rFonts w:hint="cs"/>
          <w:sz w:val="30"/>
          <w:rtl/>
          <w:lang/>
        </w:rPr>
        <w:t xml:space="preserve"> لم</w:t>
      </w:r>
      <w:r>
        <w:rPr>
          <w:rStyle w:val="hps"/>
          <w:sz w:val="30"/>
          <w:rtl/>
          <w:lang/>
        </w:rPr>
        <w:t> </w:t>
      </w:r>
      <w:r w:rsidRPr="00FA0FC2">
        <w:rPr>
          <w:rStyle w:val="hps"/>
          <w:rFonts w:hint="cs"/>
          <w:sz w:val="30"/>
          <w:rtl/>
          <w:lang/>
        </w:rPr>
        <w:t xml:space="preserve">يقدم </w:t>
      </w:r>
      <w:r w:rsidRPr="00FA0FC2">
        <w:rPr>
          <w:rStyle w:val="hps"/>
          <w:sz w:val="30"/>
          <w:rtl/>
          <w:lang/>
        </w:rPr>
        <w:t>سوى</w:t>
      </w:r>
      <w:r w:rsidRPr="00FA0FC2">
        <w:rPr>
          <w:rStyle w:val="hps"/>
          <w:rFonts w:hint="cs"/>
          <w:sz w:val="30"/>
          <w:rtl/>
          <w:lang/>
        </w:rPr>
        <w:t xml:space="preserve"> قدر محدود من</w:t>
      </w:r>
      <w:r w:rsidRPr="00FA0FC2">
        <w:rPr>
          <w:rStyle w:val="hps"/>
          <w:sz w:val="30"/>
          <w:rtl/>
          <w:lang/>
        </w:rPr>
        <w:t xml:space="preserve"> </w:t>
      </w:r>
      <w:r w:rsidRPr="00FA0FC2">
        <w:rPr>
          <w:rStyle w:val="hps"/>
          <w:rFonts w:hint="cs"/>
          <w:sz w:val="30"/>
          <w:rtl/>
          <w:lang/>
        </w:rPr>
        <w:t>ال</w:t>
      </w:r>
      <w:r w:rsidRPr="00FA0FC2">
        <w:rPr>
          <w:rStyle w:val="hps"/>
          <w:sz w:val="30"/>
          <w:rtl/>
          <w:lang/>
        </w:rPr>
        <w:t xml:space="preserve">معلومات </w:t>
      </w:r>
      <w:r w:rsidRPr="00FA0FC2">
        <w:rPr>
          <w:rStyle w:val="hps"/>
          <w:rFonts w:hint="cs"/>
          <w:sz w:val="30"/>
          <w:rtl/>
          <w:lang/>
        </w:rPr>
        <w:t>عن ظروف توقيفه</w:t>
      </w:r>
      <w:r w:rsidRPr="00FA0FC2">
        <w:rPr>
          <w:sz w:val="30"/>
          <w:rtl/>
          <w:lang/>
        </w:rPr>
        <w:t xml:space="preserve"> </w:t>
      </w:r>
      <w:r w:rsidRPr="00FA0FC2">
        <w:rPr>
          <w:rStyle w:val="hps"/>
          <w:sz w:val="30"/>
          <w:rtl/>
          <w:lang/>
        </w:rPr>
        <w:t xml:space="preserve">في 21 </w:t>
      </w:r>
      <w:r w:rsidRPr="00FA0FC2">
        <w:rPr>
          <w:rStyle w:val="hps"/>
          <w:rFonts w:hint="cs"/>
          <w:sz w:val="30"/>
          <w:rtl/>
          <w:lang/>
        </w:rPr>
        <w:t>أيار/</w:t>
      </w:r>
      <w:r w:rsidRPr="00FA0FC2">
        <w:rPr>
          <w:rStyle w:val="hps"/>
          <w:sz w:val="30"/>
          <w:rtl/>
          <w:lang/>
        </w:rPr>
        <w:t>مايو 2009</w:t>
      </w:r>
      <w:r w:rsidRPr="00FA0FC2">
        <w:rPr>
          <w:sz w:val="30"/>
          <w:rtl/>
          <w:lang/>
        </w:rPr>
        <w:t xml:space="preserve">، </w:t>
      </w:r>
      <w:r w:rsidRPr="00FA0FC2">
        <w:rPr>
          <w:rStyle w:val="hps"/>
          <w:rFonts w:hint="cs"/>
          <w:sz w:val="30"/>
          <w:rtl/>
          <w:lang/>
        </w:rPr>
        <w:t>واحتجازه</w:t>
      </w:r>
      <w:r w:rsidRPr="00FA0FC2">
        <w:rPr>
          <w:sz w:val="30"/>
          <w:rtl/>
          <w:lang/>
        </w:rPr>
        <w:t xml:space="preserve"> </w:t>
      </w:r>
      <w:r w:rsidRPr="00FA0FC2">
        <w:rPr>
          <w:rStyle w:val="hps"/>
          <w:sz w:val="30"/>
          <w:rtl/>
          <w:lang/>
        </w:rPr>
        <w:t>لمدة 40 يوما</w:t>
      </w:r>
      <w:r w:rsidRPr="00FA0FC2">
        <w:rPr>
          <w:sz w:val="30"/>
          <w:rtl/>
          <w:lang/>
        </w:rPr>
        <w:t xml:space="preserve"> </w:t>
      </w:r>
      <w:r w:rsidRPr="00FA0FC2">
        <w:rPr>
          <w:rStyle w:val="hps"/>
          <w:sz w:val="30"/>
          <w:rtl/>
          <w:lang/>
        </w:rPr>
        <w:t>في سجن</w:t>
      </w:r>
      <w:r w:rsidRPr="00FA0FC2">
        <w:rPr>
          <w:sz w:val="30"/>
          <w:rtl/>
          <w:lang/>
        </w:rPr>
        <w:t xml:space="preserve"> </w:t>
      </w:r>
      <w:r w:rsidRPr="00FA0FC2">
        <w:rPr>
          <w:rStyle w:val="hps"/>
          <w:sz w:val="30"/>
          <w:rtl/>
          <w:lang/>
        </w:rPr>
        <w:t>المنصورة</w:t>
      </w:r>
      <w:r w:rsidRPr="00FA0FC2">
        <w:rPr>
          <w:rStyle w:val="hps"/>
          <w:rFonts w:hint="cs"/>
          <w:sz w:val="30"/>
          <w:rtl/>
          <w:lang/>
        </w:rPr>
        <w:t>،</w:t>
      </w:r>
      <w:r w:rsidRPr="00FA0FC2">
        <w:rPr>
          <w:sz w:val="30"/>
          <w:rtl/>
          <w:lang/>
        </w:rPr>
        <w:t xml:space="preserve"> </w:t>
      </w:r>
      <w:r w:rsidRPr="00FA0FC2">
        <w:rPr>
          <w:rStyle w:val="hps"/>
          <w:sz w:val="30"/>
          <w:rtl/>
          <w:lang/>
        </w:rPr>
        <w:t>و</w:t>
      </w:r>
      <w:r w:rsidRPr="00FA0FC2">
        <w:rPr>
          <w:rStyle w:val="hps"/>
          <w:rFonts w:hint="cs"/>
          <w:sz w:val="30"/>
          <w:rtl/>
          <w:lang/>
        </w:rPr>
        <w:t xml:space="preserve">عن </w:t>
      </w:r>
      <w:r w:rsidRPr="00FA0FC2">
        <w:rPr>
          <w:sz w:val="30"/>
          <w:rtl/>
          <w:lang/>
        </w:rPr>
        <w:t xml:space="preserve">الاستجواب </w:t>
      </w:r>
      <w:r w:rsidRPr="00FA0FC2">
        <w:rPr>
          <w:rStyle w:val="hps"/>
          <w:sz w:val="30"/>
          <w:rtl/>
          <w:lang/>
        </w:rPr>
        <w:t>الذي</w:t>
      </w:r>
      <w:r w:rsidRPr="00FA0FC2">
        <w:rPr>
          <w:sz w:val="30"/>
          <w:rtl/>
          <w:lang/>
        </w:rPr>
        <w:t xml:space="preserve"> </w:t>
      </w:r>
      <w:r w:rsidRPr="00FA0FC2">
        <w:rPr>
          <w:rStyle w:val="hps"/>
          <w:rFonts w:hint="cs"/>
          <w:sz w:val="30"/>
          <w:rtl/>
          <w:lang/>
        </w:rPr>
        <w:t>خضع</w:t>
      </w:r>
      <w:r w:rsidRPr="00FA0FC2">
        <w:rPr>
          <w:rStyle w:val="hps"/>
          <w:sz w:val="30"/>
          <w:rtl/>
          <w:lang/>
        </w:rPr>
        <w:t xml:space="preserve"> له</w:t>
      </w:r>
      <w:r w:rsidRPr="00FA0FC2">
        <w:rPr>
          <w:sz w:val="30"/>
          <w:rtl/>
          <w:lang/>
        </w:rPr>
        <w:t xml:space="preserve">، </w:t>
      </w:r>
      <w:r w:rsidRPr="00FA0FC2">
        <w:rPr>
          <w:rStyle w:val="hps"/>
          <w:sz w:val="30"/>
          <w:rtl/>
          <w:lang/>
        </w:rPr>
        <w:t>وكذلك</w:t>
      </w:r>
      <w:r w:rsidRPr="00FA0FC2">
        <w:rPr>
          <w:sz w:val="30"/>
          <w:rtl/>
          <w:lang/>
        </w:rPr>
        <w:t xml:space="preserve"> </w:t>
      </w:r>
      <w:r w:rsidRPr="00FA0FC2">
        <w:rPr>
          <w:rStyle w:val="hps"/>
          <w:sz w:val="30"/>
          <w:rtl/>
          <w:lang/>
        </w:rPr>
        <w:t xml:space="preserve">عن </w:t>
      </w:r>
      <w:r w:rsidRPr="00FA0FC2">
        <w:rPr>
          <w:rStyle w:val="hps"/>
          <w:rFonts w:hint="cs"/>
          <w:sz w:val="30"/>
          <w:rtl/>
          <w:lang/>
        </w:rPr>
        <w:t xml:space="preserve">احتجازه مرتين لمدة </w:t>
      </w:r>
      <w:r w:rsidRPr="00FA0FC2">
        <w:rPr>
          <w:rFonts w:hint="cs"/>
          <w:sz w:val="30"/>
          <w:rtl/>
          <w:lang/>
        </w:rPr>
        <w:t>24</w:t>
      </w:r>
      <w:r w:rsidRPr="00FA0FC2">
        <w:rPr>
          <w:sz w:val="30"/>
          <w:rtl/>
          <w:lang/>
        </w:rPr>
        <w:t xml:space="preserve"> </w:t>
      </w:r>
      <w:r w:rsidRPr="00FA0FC2">
        <w:rPr>
          <w:rStyle w:val="hps"/>
          <w:sz w:val="30"/>
          <w:rtl/>
          <w:lang/>
        </w:rPr>
        <w:t>ساعة</w:t>
      </w:r>
      <w:r w:rsidRPr="00FA0FC2">
        <w:rPr>
          <w:sz w:val="30"/>
          <w:rtl/>
          <w:lang/>
        </w:rPr>
        <w:t xml:space="preserve">. </w:t>
      </w:r>
      <w:r w:rsidRPr="00FA0FC2">
        <w:rPr>
          <w:rStyle w:val="hps"/>
          <w:sz w:val="30"/>
          <w:rtl/>
          <w:lang/>
        </w:rPr>
        <w:t>وعلاوة على ذلك</w:t>
      </w:r>
      <w:r w:rsidRPr="00FA0FC2">
        <w:rPr>
          <w:sz w:val="30"/>
          <w:rtl/>
          <w:lang/>
        </w:rPr>
        <w:t>،</w:t>
      </w:r>
      <w:r>
        <w:rPr>
          <w:sz w:val="30"/>
          <w:rtl/>
          <w:lang/>
        </w:rPr>
        <w:t xml:space="preserve"> لم </w:t>
      </w:r>
      <w:r w:rsidRPr="00FA0FC2">
        <w:rPr>
          <w:rFonts w:hint="cs"/>
          <w:sz w:val="30"/>
          <w:rtl/>
          <w:lang/>
        </w:rPr>
        <w:t>يحدد</w:t>
      </w:r>
      <w:r w:rsidRPr="00FA0FC2">
        <w:rPr>
          <w:sz w:val="30"/>
          <w:rtl/>
          <w:lang/>
        </w:rPr>
        <w:t xml:space="preserve"> </w:t>
      </w:r>
      <w:r w:rsidRPr="00FA0FC2">
        <w:rPr>
          <w:rStyle w:val="hps"/>
          <w:rFonts w:hint="cs"/>
          <w:sz w:val="30"/>
          <w:rtl/>
          <w:lang/>
        </w:rPr>
        <w:t>أمر الحضور</w:t>
      </w:r>
      <w:r w:rsidRPr="00FA0FC2">
        <w:rPr>
          <w:sz w:val="30"/>
          <w:rtl/>
          <w:lang/>
        </w:rPr>
        <w:t xml:space="preserve"> </w:t>
      </w:r>
      <w:r w:rsidRPr="00FA0FC2">
        <w:rPr>
          <w:rStyle w:val="hps"/>
          <w:sz w:val="30"/>
          <w:rtl/>
          <w:lang/>
        </w:rPr>
        <w:t>الصادر عن</w:t>
      </w:r>
      <w:r w:rsidRPr="00FA0FC2">
        <w:rPr>
          <w:rStyle w:val="hps"/>
          <w:rFonts w:hint="cs"/>
          <w:sz w:val="30"/>
          <w:rtl/>
          <w:lang/>
        </w:rPr>
        <w:t xml:space="preserve"> مديرية البريقة التابعة</w:t>
      </w:r>
      <w:r w:rsidRPr="00FA0FC2">
        <w:rPr>
          <w:rStyle w:val="hps"/>
          <w:sz w:val="30"/>
          <w:rtl/>
          <w:lang/>
        </w:rPr>
        <w:t xml:space="preserve"> </w:t>
      </w:r>
      <w:r w:rsidRPr="00FA0FC2">
        <w:rPr>
          <w:rStyle w:val="hps"/>
          <w:rFonts w:hint="cs"/>
          <w:sz w:val="30"/>
          <w:rtl/>
          <w:lang/>
        </w:rPr>
        <w:t>ل</w:t>
      </w:r>
      <w:r w:rsidRPr="00FA0FC2">
        <w:rPr>
          <w:rStyle w:val="hps"/>
          <w:sz w:val="30"/>
          <w:rtl/>
          <w:lang/>
        </w:rPr>
        <w:t>وزارة</w:t>
      </w:r>
      <w:r w:rsidRPr="00FA0FC2">
        <w:rPr>
          <w:sz w:val="30"/>
          <w:rtl/>
          <w:lang/>
        </w:rPr>
        <w:t xml:space="preserve"> </w:t>
      </w:r>
      <w:r w:rsidRPr="00FA0FC2">
        <w:rPr>
          <w:rStyle w:val="hps"/>
          <w:sz w:val="30"/>
          <w:rtl/>
          <w:lang/>
        </w:rPr>
        <w:t>الداخلية</w:t>
      </w:r>
      <w:r w:rsidRPr="00FA0FC2">
        <w:rPr>
          <w:sz w:val="30"/>
          <w:rtl/>
          <w:lang/>
        </w:rPr>
        <w:t xml:space="preserve"> </w:t>
      </w:r>
      <w:r w:rsidRPr="00FA0FC2">
        <w:rPr>
          <w:rStyle w:val="hps"/>
          <w:sz w:val="30"/>
          <w:rtl/>
          <w:lang/>
        </w:rPr>
        <w:t>أسباب</w:t>
      </w:r>
      <w:r w:rsidRPr="00FA0FC2">
        <w:rPr>
          <w:sz w:val="30"/>
          <w:rtl/>
          <w:lang/>
        </w:rPr>
        <w:t xml:space="preserve"> </w:t>
      </w:r>
      <w:r w:rsidRPr="00FA0FC2">
        <w:rPr>
          <w:rStyle w:val="hps"/>
          <w:sz w:val="30"/>
          <w:rtl/>
          <w:lang/>
        </w:rPr>
        <w:t>استدعاء</w:t>
      </w:r>
      <w:r w:rsidRPr="00FA0FC2">
        <w:rPr>
          <w:sz w:val="30"/>
          <w:rtl/>
          <w:lang/>
        </w:rPr>
        <w:t xml:space="preserve"> </w:t>
      </w:r>
      <w:r w:rsidRPr="00FA0FC2">
        <w:rPr>
          <w:rStyle w:val="hps"/>
          <w:rFonts w:hint="cs"/>
          <w:sz w:val="30"/>
          <w:rtl/>
          <w:lang/>
        </w:rPr>
        <w:t>صاحب</w:t>
      </w:r>
      <w:r w:rsidRPr="00FA0FC2">
        <w:rPr>
          <w:rStyle w:val="hps"/>
          <w:sz w:val="30"/>
          <w:rtl/>
          <w:lang/>
        </w:rPr>
        <w:t xml:space="preserve"> الشكوى</w:t>
      </w:r>
      <w:r w:rsidRPr="00FA0FC2">
        <w:rPr>
          <w:sz w:val="30"/>
          <w:rtl/>
          <w:lang/>
        </w:rPr>
        <w:t xml:space="preserve"> </w:t>
      </w:r>
      <w:r w:rsidRPr="00FA0FC2">
        <w:rPr>
          <w:rStyle w:val="hps"/>
          <w:sz w:val="30"/>
          <w:rtl/>
          <w:lang/>
        </w:rPr>
        <w:t>الأول</w:t>
      </w:r>
      <w:r w:rsidRPr="00FA0FC2">
        <w:rPr>
          <w:sz w:val="30"/>
          <w:rtl/>
          <w:lang/>
        </w:rPr>
        <w:t xml:space="preserve">. </w:t>
      </w:r>
      <w:r w:rsidRPr="00FA0FC2">
        <w:rPr>
          <w:rStyle w:val="hps"/>
          <w:sz w:val="30"/>
          <w:rtl/>
          <w:lang/>
        </w:rPr>
        <w:t xml:space="preserve">وحتى </w:t>
      </w:r>
      <w:r w:rsidRPr="00FA0FC2">
        <w:rPr>
          <w:rStyle w:val="hps"/>
          <w:rFonts w:hint="cs"/>
          <w:sz w:val="30"/>
          <w:rtl/>
          <w:lang/>
        </w:rPr>
        <w:t>مع افتراض صحة</w:t>
      </w:r>
      <w:r w:rsidRPr="00FA0FC2">
        <w:rPr>
          <w:rStyle w:val="hps"/>
          <w:sz w:val="30"/>
          <w:rtl/>
          <w:lang/>
        </w:rPr>
        <w:t xml:space="preserve"> هذه الوثيقة</w:t>
      </w:r>
      <w:r w:rsidRPr="00FA0FC2">
        <w:rPr>
          <w:sz w:val="30"/>
          <w:rtl/>
          <w:lang/>
        </w:rPr>
        <w:t xml:space="preserve">، </w:t>
      </w:r>
      <w:r w:rsidRPr="00FA0FC2">
        <w:rPr>
          <w:rFonts w:hint="cs"/>
          <w:sz w:val="30"/>
          <w:rtl/>
          <w:lang/>
        </w:rPr>
        <w:t>فهي</w:t>
      </w:r>
      <w:r>
        <w:rPr>
          <w:rFonts w:hint="cs"/>
          <w:sz w:val="30"/>
          <w:rtl/>
          <w:lang/>
        </w:rPr>
        <w:t xml:space="preserve"> لا</w:t>
      </w:r>
      <w:r>
        <w:rPr>
          <w:sz w:val="30"/>
          <w:rtl/>
          <w:lang/>
        </w:rPr>
        <w:t> </w:t>
      </w:r>
      <w:r w:rsidRPr="00FA0FC2">
        <w:rPr>
          <w:rStyle w:val="hps"/>
          <w:rFonts w:hint="cs"/>
          <w:sz w:val="30"/>
          <w:rtl/>
          <w:lang/>
        </w:rPr>
        <w:t>ت</w:t>
      </w:r>
      <w:r w:rsidRPr="00FA0FC2">
        <w:rPr>
          <w:rStyle w:val="hps"/>
          <w:sz w:val="30"/>
          <w:rtl/>
          <w:lang/>
        </w:rPr>
        <w:t>كفي لإثبات</w:t>
      </w:r>
      <w:r w:rsidRPr="00FA0FC2">
        <w:rPr>
          <w:sz w:val="30"/>
          <w:rtl/>
          <w:lang/>
        </w:rPr>
        <w:t xml:space="preserve"> </w:t>
      </w:r>
      <w:r w:rsidRPr="00FA0FC2">
        <w:rPr>
          <w:rStyle w:val="hps"/>
          <w:rFonts w:hint="cs"/>
          <w:sz w:val="30"/>
          <w:rtl/>
          <w:lang/>
        </w:rPr>
        <w:t>وجود خطر بالتعرض</w:t>
      </w:r>
      <w:r w:rsidRPr="00FA0FC2">
        <w:rPr>
          <w:sz w:val="30"/>
          <w:rtl/>
          <w:lang/>
        </w:rPr>
        <w:t xml:space="preserve"> </w:t>
      </w:r>
      <w:r w:rsidRPr="00FA0FC2">
        <w:rPr>
          <w:rStyle w:val="hps"/>
          <w:rFonts w:hint="cs"/>
          <w:sz w:val="30"/>
          <w:rtl/>
          <w:lang/>
        </w:rPr>
        <w:t>ل</w:t>
      </w:r>
      <w:r w:rsidRPr="00FA0FC2">
        <w:rPr>
          <w:rStyle w:val="hps"/>
          <w:sz w:val="30"/>
          <w:rtl/>
          <w:lang/>
        </w:rPr>
        <w:t>لاضطهاد</w:t>
      </w:r>
      <w:r w:rsidRPr="00FA0FC2">
        <w:rPr>
          <w:rStyle w:val="hps"/>
          <w:rFonts w:hint="cs"/>
          <w:sz w:val="30"/>
          <w:rtl/>
          <w:lang/>
        </w:rPr>
        <w:t xml:space="preserve"> في نهاية المطاف</w:t>
      </w:r>
      <w:r w:rsidRPr="00FA0FC2">
        <w:rPr>
          <w:sz w:val="30"/>
          <w:rtl/>
          <w:lang/>
        </w:rPr>
        <w:t xml:space="preserve">، </w:t>
      </w:r>
      <w:r w:rsidRPr="00FA0FC2">
        <w:rPr>
          <w:rStyle w:val="hps"/>
          <w:rFonts w:hint="cs"/>
          <w:sz w:val="30"/>
          <w:rtl/>
          <w:lang/>
        </w:rPr>
        <w:t>بالنظر إلى أنه من الممكن أن يكون صاحب الشكوى الأول</w:t>
      </w:r>
      <w:r w:rsidRPr="00FA0FC2">
        <w:rPr>
          <w:sz w:val="30"/>
          <w:rtl/>
          <w:lang/>
        </w:rPr>
        <w:t xml:space="preserve"> </w:t>
      </w:r>
      <w:r w:rsidRPr="00FA0FC2">
        <w:rPr>
          <w:rStyle w:val="hps"/>
          <w:sz w:val="30"/>
          <w:rtl/>
          <w:lang/>
        </w:rPr>
        <w:t>قد</w:t>
      </w:r>
      <w:r w:rsidRPr="00FA0FC2">
        <w:rPr>
          <w:sz w:val="30"/>
          <w:rtl/>
          <w:lang/>
        </w:rPr>
        <w:t xml:space="preserve"> </w:t>
      </w:r>
      <w:r w:rsidRPr="00FA0FC2">
        <w:rPr>
          <w:rStyle w:val="hps"/>
          <w:rFonts w:hint="cs"/>
          <w:sz w:val="30"/>
          <w:rtl/>
          <w:lang/>
        </w:rPr>
        <w:t xml:space="preserve">استدعي لأي </w:t>
      </w:r>
      <w:r w:rsidRPr="00FA0FC2">
        <w:rPr>
          <w:rStyle w:val="hps"/>
          <w:sz w:val="30"/>
          <w:rtl/>
          <w:lang/>
        </w:rPr>
        <w:t>سبب آخر</w:t>
      </w:r>
      <w:r w:rsidRPr="00FA0FC2">
        <w:rPr>
          <w:rStyle w:val="hps"/>
          <w:rFonts w:hint="cs"/>
          <w:sz w:val="30"/>
          <w:rtl/>
          <w:lang/>
        </w:rPr>
        <w:t>،</w:t>
      </w:r>
      <w:r w:rsidRPr="00FA0FC2">
        <w:rPr>
          <w:sz w:val="30"/>
          <w:rtl/>
          <w:lang/>
        </w:rPr>
        <w:t xml:space="preserve"> </w:t>
      </w:r>
      <w:r w:rsidRPr="00FA0FC2">
        <w:rPr>
          <w:rStyle w:val="hps"/>
          <w:sz w:val="30"/>
          <w:rtl/>
          <w:lang/>
        </w:rPr>
        <w:t>ثم أطلق سراحه</w:t>
      </w:r>
      <w:r w:rsidRPr="00FA0FC2">
        <w:rPr>
          <w:sz w:val="30"/>
          <w:rtl/>
          <w:lang/>
        </w:rPr>
        <w:t xml:space="preserve"> </w:t>
      </w:r>
      <w:r w:rsidRPr="00FA0FC2">
        <w:rPr>
          <w:rStyle w:val="hps"/>
          <w:sz w:val="30"/>
          <w:rtl/>
          <w:lang/>
        </w:rPr>
        <w:t>بعد</w:t>
      </w:r>
      <w:r w:rsidRPr="00FA0FC2">
        <w:rPr>
          <w:sz w:val="30"/>
          <w:rtl/>
          <w:lang/>
        </w:rPr>
        <w:t xml:space="preserve"> </w:t>
      </w:r>
      <w:r w:rsidRPr="00FA0FC2">
        <w:rPr>
          <w:rStyle w:val="hps"/>
          <w:sz w:val="30"/>
          <w:rtl/>
          <w:lang/>
        </w:rPr>
        <w:t>احتجاز</w:t>
      </w:r>
      <w:r w:rsidRPr="00FA0FC2">
        <w:rPr>
          <w:rStyle w:val="hps"/>
          <w:rFonts w:hint="cs"/>
          <w:sz w:val="30"/>
          <w:rtl/>
          <w:lang/>
        </w:rPr>
        <w:t>ه لفترة</w:t>
      </w:r>
      <w:r w:rsidRPr="00FA0FC2">
        <w:rPr>
          <w:sz w:val="30"/>
          <w:rtl/>
          <w:lang/>
        </w:rPr>
        <w:t xml:space="preserve"> </w:t>
      </w:r>
      <w:r w:rsidRPr="00FA0FC2">
        <w:rPr>
          <w:rStyle w:val="hps"/>
          <w:sz w:val="30"/>
          <w:rtl/>
          <w:lang/>
        </w:rPr>
        <w:t>قصير</w:t>
      </w:r>
      <w:r w:rsidRPr="00FA0FC2">
        <w:rPr>
          <w:rStyle w:val="hps"/>
          <w:rFonts w:hint="cs"/>
          <w:sz w:val="30"/>
          <w:rtl/>
          <w:lang/>
        </w:rPr>
        <w:t>ة</w:t>
      </w:r>
      <w:r w:rsidRPr="00FA0FC2">
        <w:rPr>
          <w:sz w:val="30"/>
          <w:rtl/>
          <w:lang/>
        </w:rPr>
        <w:t>.</w:t>
      </w:r>
    </w:p>
    <w:p w:rsidR="00091373" w:rsidRPr="00FA0FC2" w:rsidRDefault="00091373" w:rsidP="00091373">
      <w:pPr>
        <w:pStyle w:val="SingleTxtGA"/>
        <w:rPr>
          <w:sz w:val="30"/>
          <w:rtl/>
          <w:lang w:val="fr-CH"/>
        </w:rPr>
      </w:pPr>
      <w:r w:rsidRPr="00FA0FC2">
        <w:rPr>
          <w:sz w:val="30"/>
          <w:rtl/>
          <w:lang w:val="fr-CH"/>
        </w:rPr>
        <w:t>4-19</w:t>
      </w:r>
      <w:r w:rsidRPr="00FA0FC2">
        <w:rPr>
          <w:sz w:val="30"/>
          <w:rtl/>
          <w:lang w:val="fr-CH"/>
        </w:rPr>
        <w:tab/>
      </w:r>
      <w:r w:rsidRPr="00FA0FC2">
        <w:rPr>
          <w:rStyle w:val="hps"/>
          <w:sz w:val="30"/>
          <w:rtl/>
          <w:lang/>
        </w:rPr>
        <w:t>وتشير الدولة</w:t>
      </w:r>
      <w:r w:rsidRPr="00FA0FC2">
        <w:rPr>
          <w:sz w:val="30"/>
          <w:rtl/>
          <w:lang/>
        </w:rPr>
        <w:t xml:space="preserve"> </w:t>
      </w:r>
      <w:r w:rsidRPr="00FA0FC2">
        <w:rPr>
          <w:rStyle w:val="hps"/>
          <w:sz w:val="30"/>
          <w:rtl/>
          <w:lang/>
        </w:rPr>
        <w:t>الطرف أيضا</w:t>
      </w:r>
      <w:r w:rsidRPr="00FA0FC2">
        <w:rPr>
          <w:rStyle w:val="hps"/>
          <w:rFonts w:hint="cs"/>
          <w:sz w:val="30"/>
          <w:rtl/>
          <w:lang/>
        </w:rPr>
        <w:t>ً</w:t>
      </w:r>
      <w:r w:rsidRPr="00FA0FC2">
        <w:rPr>
          <w:rStyle w:val="hps"/>
          <w:sz w:val="30"/>
          <w:rtl/>
          <w:lang/>
        </w:rPr>
        <w:t xml:space="preserve"> إلى أن</w:t>
      </w:r>
      <w:r w:rsidRPr="00FA0FC2">
        <w:rPr>
          <w:sz w:val="30"/>
          <w:rtl/>
          <w:lang/>
        </w:rPr>
        <w:t xml:space="preserve"> </w:t>
      </w:r>
      <w:r w:rsidRPr="00FA0FC2">
        <w:rPr>
          <w:rStyle w:val="hps"/>
          <w:rFonts w:hint="cs"/>
          <w:sz w:val="30"/>
          <w:rtl/>
          <w:lang/>
        </w:rPr>
        <w:t>صاحب الشكوى الأول</w:t>
      </w:r>
      <w:r>
        <w:rPr>
          <w:rStyle w:val="hps"/>
          <w:rFonts w:hint="cs"/>
          <w:sz w:val="30"/>
          <w:rtl/>
          <w:lang/>
        </w:rPr>
        <w:t xml:space="preserve"> لم</w:t>
      </w:r>
      <w:r>
        <w:rPr>
          <w:rStyle w:val="hps"/>
          <w:sz w:val="30"/>
          <w:rtl/>
          <w:lang/>
        </w:rPr>
        <w:t> </w:t>
      </w:r>
      <w:r w:rsidRPr="00FA0FC2">
        <w:rPr>
          <w:rStyle w:val="hps"/>
          <w:rFonts w:hint="cs"/>
          <w:sz w:val="30"/>
          <w:rtl/>
          <w:lang/>
        </w:rPr>
        <w:t>يقدم</w:t>
      </w:r>
      <w:r w:rsidRPr="00FA0FC2">
        <w:rPr>
          <w:sz w:val="30"/>
          <w:rtl/>
          <w:lang/>
        </w:rPr>
        <w:t xml:space="preserve"> </w:t>
      </w:r>
      <w:r w:rsidRPr="00FA0FC2">
        <w:rPr>
          <w:rStyle w:val="hps"/>
          <w:sz w:val="30"/>
          <w:rtl/>
          <w:lang/>
        </w:rPr>
        <w:t>سوى القليل من المعلومات</w:t>
      </w:r>
      <w:r w:rsidRPr="00FA0FC2">
        <w:rPr>
          <w:sz w:val="30"/>
          <w:rtl/>
          <w:lang/>
        </w:rPr>
        <w:t xml:space="preserve"> </w:t>
      </w:r>
      <w:r w:rsidRPr="00FA0FC2">
        <w:rPr>
          <w:rStyle w:val="hps"/>
          <w:sz w:val="30"/>
          <w:rtl/>
          <w:lang/>
        </w:rPr>
        <w:t>عن زيارة</w:t>
      </w:r>
      <w:r w:rsidRPr="00FA0FC2">
        <w:rPr>
          <w:sz w:val="30"/>
          <w:rtl/>
          <w:lang/>
        </w:rPr>
        <w:t xml:space="preserve"> </w:t>
      </w:r>
      <w:r w:rsidRPr="00FA0FC2">
        <w:rPr>
          <w:rStyle w:val="hps"/>
          <w:rFonts w:hint="cs"/>
          <w:sz w:val="30"/>
          <w:rtl/>
          <w:lang/>
        </w:rPr>
        <w:t>أحد أعضاء</w:t>
      </w:r>
      <w:r w:rsidRPr="00FA0FC2">
        <w:rPr>
          <w:sz w:val="30"/>
          <w:rtl/>
          <w:lang/>
        </w:rPr>
        <w:t xml:space="preserve"> </w:t>
      </w:r>
      <w:r w:rsidRPr="00FA0FC2">
        <w:rPr>
          <w:rStyle w:val="hps"/>
          <w:sz w:val="30"/>
          <w:rtl/>
          <w:lang/>
        </w:rPr>
        <w:t>المنظمة</w:t>
      </w:r>
      <w:r w:rsidRPr="00FA0FC2">
        <w:rPr>
          <w:sz w:val="30"/>
          <w:rtl/>
          <w:lang/>
        </w:rPr>
        <w:t xml:space="preserve"> </w:t>
      </w:r>
      <w:r w:rsidRPr="00FA0FC2">
        <w:rPr>
          <w:rStyle w:val="hps"/>
          <w:sz w:val="30"/>
          <w:rtl/>
          <w:lang/>
        </w:rPr>
        <w:t>التي</w:t>
      </w:r>
      <w:r w:rsidRPr="00FA0FC2">
        <w:rPr>
          <w:sz w:val="30"/>
          <w:rtl/>
          <w:lang/>
        </w:rPr>
        <w:t xml:space="preserve"> </w:t>
      </w:r>
      <w:r w:rsidRPr="00FA0FC2">
        <w:rPr>
          <w:rStyle w:val="hps"/>
          <w:sz w:val="30"/>
          <w:rtl/>
          <w:lang/>
        </w:rPr>
        <w:t>أد</w:t>
      </w:r>
      <w:r w:rsidRPr="00FA0FC2">
        <w:rPr>
          <w:rStyle w:val="hps"/>
          <w:rFonts w:hint="cs"/>
          <w:sz w:val="30"/>
          <w:rtl/>
          <w:lang/>
        </w:rPr>
        <w:t>ى تدخلها</w:t>
      </w:r>
      <w:r w:rsidRPr="00FA0FC2">
        <w:rPr>
          <w:rStyle w:val="hps"/>
          <w:sz w:val="30"/>
          <w:rtl/>
          <w:lang/>
        </w:rPr>
        <w:t xml:space="preserve"> إلى</w:t>
      </w:r>
      <w:r w:rsidRPr="00FA0FC2">
        <w:rPr>
          <w:sz w:val="30"/>
          <w:rtl/>
          <w:lang/>
        </w:rPr>
        <w:t xml:space="preserve"> </w:t>
      </w:r>
      <w:r w:rsidRPr="00FA0FC2">
        <w:rPr>
          <w:rStyle w:val="hps"/>
          <w:rFonts w:hint="cs"/>
          <w:sz w:val="30"/>
          <w:rtl/>
          <w:lang/>
        </w:rPr>
        <w:t>إطلاق سراحه، وأنه</w:t>
      </w:r>
      <w:r>
        <w:rPr>
          <w:rStyle w:val="hps"/>
          <w:rFonts w:hint="cs"/>
          <w:sz w:val="30"/>
          <w:rtl/>
          <w:lang/>
        </w:rPr>
        <w:t xml:space="preserve"> لم</w:t>
      </w:r>
      <w:r>
        <w:rPr>
          <w:rStyle w:val="hps"/>
          <w:sz w:val="30"/>
          <w:rtl/>
          <w:lang/>
        </w:rPr>
        <w:t> </w:t>
      </w:r>
      <w:r w:rsidRPr="00FA0FC2">
        <w:rPr>
          <w:rStyle w:val="hps"/>
          <w:sz w:val="30"/>
          <w:rtl/>
          <w:lang/>
        </w:rPr>
        <w:t>يكن</w:t>
      </w:r>
      <w:r w:rsidRPr="00FA0FC2">
        <w:rPr>
          <w:sz w:val="30"/>
          <w:rtl/>
          <w:lang/>
        </w:rPr>
        <w:t xml:space="preserve"> </w:t>
      </w:r>
      <w:r w:rsidRPr="00FA0FC2">
        <w:rPr>
          <w:rStyle w:val="hps"/>
          <w:sz w:val="30"/>
          <w:rtl/>
          <w:lang/>
        </w:rPr>
        <w:t>قادرا</w:t>
      </w:r>
      <w:r w:rsidRPr="00FA0FC2">
        <w:rPr>
          <w:rStyle w:val="hps"/>
          <w:rFonts w:hint="cs"/>
          <w:sz w:val="30"/>
          <w:rtl/>
          <w:lang/>
        </w:rPr>
        <w:t>ً</w:t>
      </w:r>
      <w:r w:rsidRPr="00FA0FC2">
        <w:rPr>
          <w:rStyle w:val="hps"/>
          <w:sz w:val="30"/>
          <w:rtl/>
          <w:lang/>
        </w:rPr>
        <w:t xml:space="preserve"> على</w:t>
      </w:r>
      <w:r w:rsidRPr="00FA0FC2">
        <w:rPr>
          <w:sz w:val="30"/>
          <w:rtl/>
          <w:lang/>
        </w:rPr>
        <w:t xml:space="preserve"> </w:t>
      </w:r>
      <w:r w:rsidRPr="00FA0FC2">
        <w:rPr>
          <w:rStyle w:val="hps"/>
          <w:sz w:val="30"/>
          <w:rtl/>
          <w:lang/>
        </w:rPr>
        <w:t>تسمية</w:t>
      </w:r>
      <w:r w:rsidRPr="00FA0FC2">
        <w:rPr>
          <w:sz w:val="30"/>
          <w:rtl/>
          <w:lang/>
        </w:rPr>
        <w:t xml:space="preserve"> </w:t>
      </w:r>
      <w:r w:rsidRPr="00FA0FC2">
        <w:rPr>
          <w:rStyle w:val="hps"/>
          <w:sz w:val="30"/>
          <w:rtl/>
          <w:lang/>
        </w:rPr>
        <w:t>هذه المنظمة</w:t>
      </w:r>
      <w:r w:rsidRPr="00FA0FC2">
        <w:rPr>
          <w:sz w:val="30"/>
          <w:rtl/>
          <w:lang/>
        </w:rPr>
        <w:t xml:space="preserve"> </w:t>
      </w:r>
      <w:r w:rsidRPr="00FA0FC2">
        <w:rPr>
          <w:rStyle w:val="hps"/>
          <w:sz w:val="30"/>
          <w:rtl/>
          <w:lang/>
        </w:rPr>
        <w:t>خلال</w:t>
      </w:r>
      <w:r w:rsidRPr="00FA0FC2">
        <w:rPr>
          <w:sz w:val="30"/>
          <w:rtl/>
          <w:lang/>
        </w:rPr>
        <w:t xml:space="preserve"> </w:t>
      </w:r>
      <w:r w:rsidRPr="00FA0FC2">
        <w:rPr>
          <w:rStyle w:val="hps"/>
          <w:rFonts w:hint="cs"/>
          <w:sz w:val="30"/>
          <w:rtl/>
          <w:lang/>
        </w:rPr>
        <w:t>المقابلات التي أجريت معه</w:t>
      </w:r>
      <w:r w:rsidRPr="00FA0FC2">
        <w:rPr>
          <w:sz w:val="30"/>
          <w:rtl/>
          <w:lang/>
        </w:rPr>
        <w:t xml:space="preserve">. </w:t>
      </w:r>
      <w:r w:rsidRPr="00FA0FC2">
        <w:rPr>
          <w:rStyle w:val="hps"/>
          <w:sz w:val="30"/>
          <w:rtl/>
          <w:lang/>
        </w:rPr>
        <w:t>وعلاوة على ذلك</w:t>
      </w:r>
      <w:r w:rsidRPr="00FA0FC2">
        <w:rPr>
          <w:sz w:val="30"/>
          <w:rtl/>
          <w:lang/>
        </w:rPr>
        <w:t xml:space="preserve">، </w:t>
      </w:r>
      <w:r w:rsidRPr="00FA0FC2">
        <w:rPr>
          <w:rFonts w:hint="cs"/>
          <w:sz w:val="30"/>
          <w:rtl/>
          <w:lang/>
        </w:rPr>
        <w:t>فإن صاحب</w:t>
      </w:r>
      <w:r w:rsidRPr="00FA0FC2">
        <w:rPr>
          <w:sz w:val="30"/>
          <w:rtl/>
          <w:lang/>
        </w:rPr>
        <w:t xml:space="preserve"> </w:t>
      </w:r>
      <w:r w:rsidRPr="00FA0FC2">
        <w:rPr>
          <w:rStyle w:val="hps"/>
          <w:sz w:val="30"/>
          <w:rtl/>
          <w:lang/>
        </w:rPr>
        <w:t>الشكوى</w:t>
      </w:r>
      <w:r w:rsidRPr="00FA0FC2">
        <w:rPr>
          <w:sz w:val="30"/>
          <w:rtl/>
          <w:lang/>
        </w:rPr>
        <w:t xml:space="preserve"> </w:t>
      </w:r>
      <w:r w:rsidRPr="00FA0FC2">
        <w:rPr>
          <w:rStyle w:val="hps"/>
          <w:sz w:val="30"/>
          <w:rtl/>
          <w:lang/>
        </w:rPr>
        <w:t>الأول</w:t>
      </w:r>
      <w:r>
        <w:rPr>
          <w:rStyle w:val="hps"/>
          <w:rFonts w:hint="cs"/>
          <w:sz w:val="30"/>
          <w:rtl/>
          <w:lang/>
        </w:rPr>
        <w:t xml:space="preserve"> لم</w:t>
      </w:r>
      <w:r>
        <w:rPr>
          <w:rStyle w:val="hps"/>
          <w:sz w:val="30"/>
          <w:rtl/>
          <w:lang/>
        </w:rPr>
        <w:t> </w:t>
      </w:r>
      <w:r w:rsidRPr="00FA0FC2">
        <w:rPr>
          <w:rStyle w:val="hps"/>
          <w:rFonts w:hint="cs"/>
          <w:sz w:val="30"/>
          <w:rtl/>
          <w:lang/>
        </w:rPr>
        <w:t>يتصل</w:t>
      </w:r>
      <w:r w:rsidRPr="00FA0FC2">
        <w:rPr>
          <w:sz w:val="30"/>
          <w:rtl/>
          <w:lang/>
        </w:rPr>
        <w:t xml:space="preserve"> </w:t>
      </w:r>
      <w:r w:rsidRPr="00FA0FC2">
        <w:rPr>
          <w:rFonts w:hint="cs"/>
          <w:sz w:val="30"/>
          <w:rtl/>
          <w:lang/>
        </w:rPr>
        <w:t>ب</w:t>
      </w:r>
      <w:r w:rsidRPr="00FA0FC2">
        <w:rPr>
          <w:rStyle w:val="hps"/>
          <w:sz w:val="30"/>
          <w:rtl/>
          <w:lang/>
        </w:rPr>
        <w:t>هذه المنظمة</w:t>
      </w:r>
      <w:r w:rsidRPr="00FA0FC2">
        <w:rPr>
          <w:sz w:val="30"/>
          <w:rtl/>
          <w:lang/>
        </w:rPr>
        <w:t xml:space="preserve"> </w:t>
      </w:r>
      <w:r w:rsidRPr="00FA0FC2">
        <w:rPr>
          <w:rStyle w:val="hps"/>
          <w:rFonts w:hint="cs"/>
          <w:sz w:val="30"/>
          <w:rtl/>
          <w:lang/>
        </w:rPr>
        <w:t>ليطلب منها تزويده بشهادة إلاّ بعد صدور قرار</w:t>
      </w:r>
      <w:r w:rsidRPr="00FA0FC2">
        <w:rPr>
          <w:rStyle w:val="hps"/>
          <w:sz w:val="30"/>
          <w:rtl/>
          <w:lang/>
        </w:rPr>
        <w:t xml:space="preserve"> المكتب الاتحادي</w:t>
      </w:r>
      <w:r w:rsidRPr="00FA0FC2">
        <w:rPr>
          <w:sz w:val="30"/>
          <w:rtl/>
          <w:lang/>
        </w:rPr>
        <w:t xml:space="preserve"> </w:t>
      </w:r>
      <w:r w:rsidRPr="00FA0FC2">
        <w:rPr>
          <w:rStyle w:val="hps"/>
          <w:sz w:val="30"/>
          <w:rtl/>
          <w:lang/>
        </w:rPr>
        <w:t>للهجرة</w:t>
      </w:r>
      <w:r w:rsidRPr="00FA0FC2">
        <w:rPr>
          <w:rStyle w:val="hps"/>
          <w:rFonts w:hint="cs"/>
          <w:sz w:val="30"/>
          <w:rtl/>
          <w:lang/>
        </w:rPr>
        <w:t xml:space="preserve"> برفض طلب اللجوء الذي قدمه</w:t>
      </w:r>
      <w:r w:rsidRPr="00FA0FC2">
        <w:rPr>
          <w:sz w:val="30"/>
          <w:rtl/>
          <w:lang/>
        </w:rPr>
        <w:t xml:space="preserve">، </w:t>
      </w:r>
      <w:r w:rsidRPr="00FA0FC2">
        <w:rPr>
          <w:rStyle w:val="hps"/>
          <w:sz w:val="30"/>
          <w:rtl/>
          <w:lang/>
        </w:rPr>
        <w:t>على الرغم من</w:t>
      </w:r>
      <w:r w:rsidRPr="00FA0FC2">
        <w:rPr>
          <w:rStyle w:val="hps"/>
          <w:rFonts w:hint="cs"/>
          <w:sz w:val="30"/>
          <w:rtl/>
          <w:lang/>
        </w:rPr>
        <w:t xml:space="preserve"> المهلة التي أتاحها له</w:t>
      </w:r>
      <w:r w:rsidRPr="00FA0FC2">
        <w:rPr>
          <w:rStyle w:val="hps"/>
          <w:sz w:val="30"/>
          <w:rtl/>
          <w:lang/>
        </w:rPr>
        <w:t xml:space="preserve"> </w:t>
      </w:r>
      <w:r w:rsidRPr="00FA0FC2">
        <w:rPr>
          <w:rStyle w:val="hps"/>
          <w:rFonts w:hint="cs"/>
          <w:sz w:val="30"/>
          <w:rtl/>
          <w:lang/>
        </w:rPr>
        <w:t>المكتب</w:t>
      </w:r>
      <w:r w:rsidRPr="00FA0FC2">
        <w:rPr>
          <w:sz w:val="30"/>
          <w:rtl/>
          <w:lang/>
        </w:rPr>
        <w:t xml:space="preserve"> </w:t>
      </w:r>
      <w:r w:rsidRPr="00FA0FC2">
        <w:rPr>
          <w:rStyle w:val="hps"/>
          <w:sz w:val="30"/>
          <w:rtl/>
          <w:lang/>
        </w:rPr>
        <w:t>لتقديم</w:t>
      </w:r>
      <w:r w:rsidRPr="00FA0FC2">
        <w:rPr>
          <w:sz w:val="30"/>
          <w:rtl/>
          <w:lang/>
        </w:rPr>
        <w:t xml:space="preserve"> </w:t>
      </w:r>
      <w:r w:rsidRPr="00FA0FC2">
        <w:rPr>
          <w:rStyle w:val="hps"/>
          <w:sz w:val="30"/>
          <w:rtl/>
          <w:lang/>
        </w:rPr>
        <w:t>هذه الوثيقة</w:t>
      </w:r>
      <w:r w:rsidRPr="00FA0FC2">
        <w:rPr>
          <w:sz w:val="30"/>
          <w:rtl/>
          <w:lang/>
        </w:rPr>
        <w:t xml:space="preserve">. </w:t>
      </w:r>
      <w:r w:rsidRPr="00FA0FC2">
        <w:rPr>
          <w:rStyle w:val="hps"/>
          <w:rFonts w:hint="cs"/>
          <w:sz w:val="30"/>
          <w:rtl/>
          <w:lang/>
        </w:rPr>
        <w:t>وزيادة على</w:t>
      </w:r>
      <w:r w:rsidRPr="00FA0FC2">
        <w:rPr>
          <w:rStyle w:val="hps"/>
          <w:sz w:val="30"/>
          <w:rtl/>
          <w:lang/>
        </w:rPr>
        <w:t xml:space="preserve"> ذلك</w:t>
      </w:r>
      <w:r w:rsidRPr="00FA0FC2">
        <w:rPr>
          <w:sz w:val="30"/>
          <w:rtl/>
          <w:lang/>
        </w:rPr>
        <w:t>،</w:t>
      </w:r>
      <w:r w:rsidRPr="00FA0FC2">
        <w:rPr>
          <w:rFonts w:hint="cs"/>
          <w:sz w:val="30"/>
          <w:rtl/>
          <w:lang/>
        </w:rPr>
        <w:t xml:space="preserve"> فقد قدم صاحب الشكوى الأول ترجمتين متباينتين وغير رسميتين لهذه الشهادة من الأصل العربي، </w:t>
      </w:r>
      <w:r w:rsidRPr="00FA0FC2">
        <w:rPr>
          <w:rStyle w:val="hps"/>
          <w:sz w:val="30"/>
          <w:rtl/>
          <w:lang/>
        </w:rPr>
        <w:t>مع</w:t>
      </w:r>
      <w:r w:rsidRPr="00FA0FC2">
        <w:rPr>
          <w:rStyle w:val="hps"/>
          <w:rFonts w:hint="cs"/>
          <w:sz w:val="30"/>
          <w:rtl/>
          <w:lang/>
        </w:rPr>
        <w:t xml:space="preserve"> "تصحيح"</w:t>
      </w:r>
      <w:r w:rsidRPr="00FA0FC2">
        <w:rPr>
          <w:sz w:val="30"/>
          <w:rtl/>
          <w:lang/>
        </w:rPr>
        <w:t xml:space="preserve"> </w:t>
      </w:r>
      <w:r w:rsidRPr="00FA0FC2">
        <w:rPr>
          <w:rFonts w:hint="cs"/>
          <w:sz w:val="30"/>
          <w:rtl/>
          <w:lang/>
        </w:rPr>
        <w:t>ال</w:t>
      </w:r>
      <w:r w:rsidRPr="00FA0FC2">
        <w:rPr>
          <w:rStyle w:val="hps"/>
          <w:sz w:val="30"/>
          <w:rtl/>
          <w:lang/>
        </w:rPr>
        <w:t>ترجمة</w:t>
      </w:r>
      <w:r w:rsidRPr="00FA0FC2">
        <w:rPr>
          <w:sz w:val="30"/>
          <w:rtl/>
          <w:lang/>
        </w:rPr>
        <w:t xml:space="preserve"> </w:t>
      </w:r>
      <w:r w:rsidRPr="00FA0FC2">
        <w:rPr>
          <w:rStyle w:val="hps"/>
          <w:sz w:val="30"/>
          <w:rtl/>
          <w:lang/>
        </w:rPr>
        <w:t>الثانية</w:t>
      </w:r>
      <w:r w:rsidRPr="00FA0FC2">
        <w:rPr>
          <w:sz w:val="30"/>
          <w:rtl/>
          <w:lang/>
        </w:rPr>
        <w:t xml:space="preserve"> </w:t>
      </w:r>
      <w:r w:rsidRPr="00FA0FC2">
        <w:rPr>
          <w:rStyle w:val="hps"/>
          <w:rFonts w:hint="cs"/>
          <w:sz w:val="30"/>
          <w:rtl/>
          <w:lang/>
        </w:rPr>
        <w:t>للترجمة الأولى</w:t>
      </w:r>
      <w:r w:rsidRPr="00FA0FC2">
        <w:rPr>
          <w:sz w:val="30"/>
          <w:rtl/>
          <w:lang/>
        </w:rPr>
        <w:t xml:space="preserve"> </w:t>
      </w:r>
      <w:r w:rsidRPr="00FA0FC2">
        <w:rPr>
          <w:rStyle w:val="hps"/>
          <w:rFonts w:hint="cs"/>
          <w:sz w:val="30"/>
          <w:rtl/>
          <w:lang/>
        </w:rPr>
        <w:t>استناداً إلى</w:t>
      </w:r>
      <w:r w:rsidRPr="00FA0FC2">
        <w:rPr>
          <w:sz w:val="30"/>
          <w:rtl/>
          <w:lang/>
        </w:rPr>
        <w:t xml:space="preserve"> </w:t>
      </w:r>
      <w:r w:rsidRPr="00FA0FC2">
        <w:rPr>
          <w:rStyle w:val="hps"/>
          <w:sz w:val="30"/>
          <w:rtl/>
          <w:lang/>
        </w:rPr>
        <w:t>الملاحظات التي أبداها</w:t>
      </w:r>
      <w:r w:rsidRPr="00FA0FC2">
        <w:rPr>
          <w:sz w:val="30"/>
          <w:rtl/>
          <w:lang/>
        </w:rPr>
        <w:t xml:space="preserve"> </w:t>
      </w:r>
      <w:r w:rsidRPr="00FA0FC2">
        <w:rPr>
          <w:rStyle w:val="hps"/>
          <w:sz w:val="30"/>
          <w:rtl/>
          <w:lang/>
        </w:rPr>
        <w:t>المكتب الاتحادي</w:t>
      </w:r>
      <w:r w:rsidRPr="00FA0FC2">
        <w:rPr>
          <w:sz w:val="30"/>
          <w:rtl/>
          <w:lang/>
        </w:rPr>
        <w:t xml:space="preserve"> </w:t>
      </w:r>
      <w:r w:rsidRPr="00FA0FC2">
        <w:rPr>
          <w:rStyle w:val="hps"/>
          <w:sz w:val="30"/>
          <w:rtl/>
          <w:lang/>
        </w:rPr>
        <w:t>للهجرة</w:t>
      </w:r>
      <w:r w:rsidRPr="00FA0FC2">
        <w:rPr>
          <w:sz w:val="30"/>
          <w:rtl/>
          <w:lang/>
        </w:rPr>
        <w:t xml:space="preserve">. </w:t>
      </w:r>
      <w:r w:rsidRPr="00FA0FC2">
        <w:rPr>
          <w:rStyle w:val="hps"/>
          <w:sz w:val="30"/>
          <w:rtl/>
          <w:lang/>
        </w:rPr>
        <w:t>ولاحظت</w:t>
      </w:r>
      <w:r w:rsidRPr="00FA0FC2">
        <w:rPr>
          <w:sz w:val="30"/>
          <w:rtl/>
          <w:lang/>
        </w:rPr>
        <w:t xml:space="preserve"> </w:t>
      </w:r>
      <w:r w:rsidRPr="00FA0FC2">
        <w:rPr>
          <w:rStyle w:val="hps"/>
          <w:sz w:val="30"/>
          <w:rtl/>
          <w:lang/>
        </w:rPr>
        <w:t>السلطات</w:t>
      </w:r>
      <w:r w:rsidRPr="00FA0FC2">
        <w:rPr>
          <w:rStyle w:val="hps"/>
          <w:rFonts w:hint="cs"/>
          <w:sz w:val="30"/>
          <w:rtl/>
          <w:lang/>
        </w:rPr>
        <w:t xml:space="preserve"> المعنية بمسائل</w:t>
      </w:r>
      <w:r w:rsidRPr="00FA0FC2">
        <w:rPr>
          <w:sz w:val="30"/>
          <w:rtl/>
          <w:lang/>
        </w:rPr>
        <w:t xml:space="preserve"> </w:t>
      </w:r>
      <w:r w:rsidRPr="00FA0FC2">
        <w:rPr>
          <w:rStyle w:val="hps"/>
          <w:sz w:val="30"/>
          <w:rtl/>
          <w:lang/>
        </w:rPr>
        <w:t>اللجوء</w:t>
      </w:r>
      <w:r w:rsidRPr="00FA0FC2">
        <w:rPr>
          <w:sz w:val="30"/>
          <w:rtl/>
          <w:lang/>
        </w:rPr>
        <w:t xml:space="preserve"> </w:t>
      </w:r>
      <w:r w:rsidRPr="00FA0FC2">
        <w:rPr>
          <w:rStyle w:val="hps"/>
          <w:rFonts w:hint="cs"/>
          <w:sz w:val="30"/>
          <w:rtl/>
          <w:lang/>
        </w:rPr>
        <w:t>في ا</w:t>
      </w:r>
      <w:r w:rsidRPr="00FA0FC2">
        <w:rPr>
          <w:rStyle w:val="hps"/>
          <w:sz w:val="30"/>
          <w:rtl/>
          <w:lang/>
        </w:rPr>
        <w:t>لدولة الطرف</w:t>
      </w:r>
      <w:r w:rsidRPr="00FA0FC2">
        <w:rPr>
          <w:sz w:val="30"/>
          <w:rtl/>
          <w:lang/>
        </w:rPr>
        <w:t xml:space="preserve"> </w:t>
      </w:r>
      <w:r w:rsidRPr="00FA0FC2">
        <w:rPr>
          <w:rStyle w:val="hps"/>
          <w:sz w:val="30"/>
          <w:rtl/>
          <w:lang/>
        </w:rPr>
        <w:t>أن</w:t>
      </w:r>
      <w:r w:rsidRPr="00FA0FC2">
        <w:rPr>
          <w:sz w:val="30"/>
          <w:rtl/>
          <w:lang/>
        </w:rPr>
        <w:t xml:space="preserve"> </w:t>
      </w:r>
      <w:r w:rsidRPr="00FA0FC2">
        <w:rPr>
          <w:rStyle w:val="hps"/>
          <w:sz w:val="30"/>
          <w:rtl/>
          <w:lang/>
        </w:rPr>
        <w:t>هذه</w:t>
      </w:r>
      <w:r w:rsidRPr="00FA0FC2">
        <w:rPr>
          <w:sz w:val="30"/>
          <w:rtl/>
          <w:lang/>
        </w:rPr>
        <w:t xml:space="preserve"> </w:t>
      </w:r>
      <w:r w:rsidRPr="00FA0FC2">
        <w:rPr>
          <w:rFonts w:hint="cs"/>
          <w:sz w:val="30"/>
          <w:rtl/>
          <w:lang/>
        </w:rPr>
        <w:t>ال</w:t>
      </w:r>
      <w:r w:rsidRPr="00FA0FC2">
        <w:rPr>
          <w:rStyle w:val="hps"/>
          <w:sz w:val="30"/>
          <w:rtl/>
          <w:lang/>
        </w:rPr>
        <w:t>شهادة</w:t>
      </w:r>
      <w:r>
        <w:rPr>
          <w:sz w:val="30"/>
          <w:rtl/>
          <w:lang/>
        </w:rPr>
        <w:t xml:space="preserve"> لا </w:t>
      </w:r>
      <w:r w:rsidRPr="00FA0FC2">
        <w:rPr>
          <w:rStyle w:val="hps"/>
          <w:rFonts w:hint="cs"/>
          <w:sz w:val="30"/>
          <w:rtl/>
          <w:lang/>
        </w:rPr>
        <w:t>تشير إلى</w:t>
      </w:r>
      <w:r w:rsidRPr="00FA0FC2">
        <w:rPr>
          <w:rStyle w:val="hps"/>
          <w:sz w:val="30"/>
          <w:rtl/>
          <w:lang/>
        </w:rPr>
        <w:t xml:space="preserve"> اسم</w:t>
      </w:r>
      <w:r w:rsidRPr="00FA0FC2">
        <w:rPr>
          <w:sz w:val="30"/>
          <w:rtl/>
          <w:lang/>
        </w:rPr>
        <w:t xml:space="preserve"> </w:t>
      </w:r>
      <w:r w:rsidRPr="00FA0FC2">
        <w:rPr>
          <w:rStyle w:val="hps"/>
          <w:rFonts w:hint="cs"/>
          <w:sz w:val="30"/>
          <w:rtl/>
          <w:lang/>
        </w:rPr>
        <w:t>صاحب</w:t>
      </w:r>
      <w:r w:rsidRPr="00FA0FC2">
        <w:rPr>
          <w:rStyle w:val="hps"/>
          <w:sz w:val="30"/>
          <w:rtl/>
          <w:lang/>
        </w:rPr>
        <w:t xml:space="preserve"> الشكوى</w:t>
      </w:r>
      <w:r w:rsidRPr="00FA0FC2">
        <w:rPr>
          <w:sz w:val="30"/>
          <w:rtl/>
          <w:lang/>
        </w:rPr>
        <w:t xml:space="preserve"> </w:t>
      </w:r>
      <w:r w:rsidRPr="00FA0FC2">
        <w:rPr>
          <w:rStyle w:val="hps"/>
          <w:sz w:val="30"/>
          <w:rtl/>
          <w:lang/>
        </w:rPr>
        <w:t>الأول</w:t>
      </w:r>
      <w:r>
        <w:rPr>
          <w:rStyle w:val="hps"/>
          <w:sz w:val="30"/>
          <w:rtl/>
          <w:lang/>
        </w:rPr>
        <w:t xml:space="preserve"> أو </w:t>
      </w:r>
      <w:r w:rsidRPr="00FA0FC2">
        <w:rPr>
          <w:rFonts w:hint="cs"/>
          <w:sz w:val="30"/>
          <w:rtl/>
          <w:lang/>
        </w:rPr>
        <w:t xml:space="preserve">إلى </w:t>
      </w:r>
      <w:r w:rsidRPr="00FA0FC2">
        <w:rPr>
          <w:rStyle w:val="hps"/>
          <w:sz w:val="30"/>
          <w:rtl/>
          <w:lang/>
        </w:rPr>
        <w:t>الطريقة</w:t>
      </w:r>
      <w:r w:rsidRPr="00FA0FC2">
        <w:rPr>
          <w:sz w:val="30"/>
          <w:rtl/>
          <w:lang/>
        </w:rPr>
        <w:t xml:space="preserve"> </w:t>
      </w:r>
      <w:r w:rsidRPr="00FA0FC2">
        <w:rPr>
          <w:rStyle w:val="hps"/>
          <w:sz w:val="30"/>
          <w:rtl/>
          <w:lang/>
        </w:rPr>
        <w:t>التي ت</w:t>
      </w:r>
      <w:r w:rsidRPr="00FA0FC2">
        <w:rPr>
          <w:rStyle w:val="hps"/>
          <w:rFonts w:hint="cs"/>
          <w:sz w:val="30"/>
          <w:rtl/>
          <w:lang/>
        </w:rPr>
        <w:t>سنى</w:t>
      </w:r>
      <w:r w:rsidRPr="00FA0FC2">
        <w:rPr>
          <w:rStyle w:val="hps"/>
          <w:sz w:val="30"/>
          <w:rtl/>
          <w:lang/>
        </w:rPr>
        <w:t xml:space="preserve"> بها</w:t>
      </w:r>
      <w:r w:rsidRPr="00FA0FC2">
        <w:rPr>
          <w:sz w:val="30"/>
          <w:rtl/>
          <w:lang/>
        </w:rPr>
        <w:t xml:space="preserve"> </w:t>
      </w:r>
      <w:r w:rsidRPr="00FA0FC2">
        <w:rPr>
          <w:rStyle w:val="hps"/>
          <w:sz w:val="30"/>
          <w:rtl/>
          <w:lang/>
        </w:rPr>
        <w:t>الحصول على المعلومات</w:t>
      </w:r>
      <w:r w:rsidRPr="00FA0FC2">
        <w:rPr>
          <w:sz w:val="30"/>
          <w:rtl/>
          <w:lang/>
        </w:rPr>
        <w:t xml:space="preserve">. </w:t>
      </w:r>
      <w:r w:rsidRPr="00FA0FC2">
        <w:rPr>
          <w:rStyle w:val="hps"/>
          <w:sz w:val="30"/>
          <w:rtl/>
          <w:lang/>
        </w:rPr>
        <w:t>وبالإضافة إلى ذلك</w:t>
      </w:r>
      <w:r w:rsidRPr="00FA0FC2">
        <w:rPr>
          <w:sz w:val="30"/>
          <w:rtl/>
          <w:lang/>
        </w:rPr>
        <w:t xml:space="preserve">، </w:t>
      </w:r>
      <w:r w:rsidRPr="00FA0FC2">
        <w:rPr>
          <w:rStyle w:val="hps"/>
          <w:rFonts w:hint="cs"/>
          <w:sz w:val="30"/>
          <w:rtl/>
          <w:lang/>
        </w:rPr>
        <w:t>فإن مضمون هذه الشهادة</w:t>
      </w:r>
      <w:r>
        <w:rPr>
          <w:sz w:val="30"/>
          <w:rtl/>
          <w:lang/>
        </w:rPr>
        <w:t xml:space="preserve"> لا </w:t>
      </w:r>
      <w:r w:rsidRPr="00FA0FC2">
        <w:rPr>
          <w:rStyle w:val="hps"/>
          <w:rFonts w:hint="cs"/>
          <w:sz w:val="30"/>
          <w:rtl/>
          <w:lang/>
        </w:rPr>
        <w:t>ي</w:t>
      </w:r>
      <w:r w:rsidRPr="00FA0FC2">
        <w:rPr>
          <w:rStyle w:val="hps"/>
          <w:sz w:val="30"/>
          <w:rtl/>
          <w:lang/>
        </w:rPr>
        <w:t>توافق</w:t>
      </w:r>
      <w:r w:rsidRPr="00FA0FC2">
        <w:rPr>
          <w:sz w:val="30"/>
          <w:rtl/>
          <w:lang/>
        </w:rPr>
        <w:t xml:space="preserve"> </w:t>
      </w:r>
      <w:r w:rsidRPr="00FA0FC2">
        <w:rPr>
          <w:rStyle w:val="hps"/>
          <w:sz w:val="30"/>
          <w:rtl/>
          <w:lang/>
        </w:rPr>
        <w:t>تماما</w:t>
      </w:r>
      <w:r w:rsidRPr="00FA0FC2">
        <w:rPr>
          <w:rStyle w:val="hps"/>
          <w:rFonts w:hint="cs"/>
          <w:sz w:val="30"/>
          <w:rtl/>
          <w:lang/>
        </w:rPr>
        <w:t>ً</w:t>
      </w:r>
      <w:r w:rsidRPr="00FA0FC2">
        <w:rPr>
          <w:sz w:val="30"/>
          <w:rtl/>
          <w:lang/>
        </w:rPr>
        <w:t xml:space="preserve"> </w:t>
      </w:r>
      <w:r w:rsidRPr="00FA0FC2">
        <w:rPr>
          <w:rStyle w:val="hps"/>
          <w:rFonts w:hint="cs"/>
          <w:sz w:val="30"/>
          <w:rtl/>
          <w:lang/>
        </w:rPr>
        <w:t>مع</w:t>
      </w:r>
      <w:r w:rsidRPr="00FA0FC2">
        <w:rPr>
          <w:rStyle w:val="hps"/>
          <w:sz w:val="30"/>
          <w:rtl/>
          <w:lang/>
        </w:rPr>
        <w:t xml:space="preserve"> تصريحات</w:t>
      </w:r>
      <w:r w:rsidRPr="00FA0FC2">
        <w:rPr>
          <w:sz w:val="30"/>
          <w:rtl/>
          <w:lang/>
        </w:rPr>
        <w:t xml:space="preserve"> </w:t>
      </w:r>
      <w:r w:rsidRPr="00FA0FC2">
        <w:rPr>
          <w:rStyle w:val="hps"/>
          <w:sz w:val="30"/>
          <w:rtl/>
          <w:lang/>
        </w:rPr>
        <w:t>صاحب ال</w:t>
      </w:r>
      <w:r w:rsidRPr="00FA0FC2">
        <w:rPr>
          <w:rStyle w:val="hps"/>
          <w:rFonts w:hint="cs"/>
          <w:sz w:val="30"/>
          <w:rtl/>
          <w:lang/>
        </w:rPr>
        <w:t xml:space="preserve">شكوى </w:t>
      </w:r>
      <w:r w:rsidRPr="00FA0FC2">
        <w:rPr>
          <w:rStyle w:val="hps"/>
          <w:sz w:val="30"/>
          <w:rtl/>
          <w:lang/>
        </w:rPr>
        <w:t>الأول</w:t>
      </w:r>
      <w:r w:rsidRPr="00FA0FC2">
        <w:rPr>
          <w:sz w:val="30"/>
          <w:rtl/>
          <w:lang/>
        </w:rPr>
        <w:t xml:space="preserve">، </w:t>
      </w:r>
      <w:r w:rsidRPr="00FA0FC2">
        <w:rPr>
          <w:rStyle w:val="hps"/>
          <w:sz w:val="30"/>
          <w:rtl/>
          <w:lang/>
        </w:rPr>
        <w:t>حيث إن</w:t>
      </w:r>
      <w:r w:rsidRPr="00FA0FC2">
        <w:rPr>
          <w:rStyle w:val="hps"/>
          <w:rFonts w:hint="cs"/>
          <w:sz w:val="30"/>
          <w:rtl/>
          <w:lang/>
        </w:rPr>
        <w:t>ه</w:t>
      </w:r>
      <w:r>
        <w:rPr>
          <w:rStyle w:val="hps"/>
          <w:rFonts w:hint="cs"/>
          <w:sz w:val="30"/>
          <w:rtl/>
          <w:lang/>
        </w:rPr>
        <w:t xml:space="preserve"> لم</w:t>
      </w:r>
      <w:r>
        <w:rPr>
          <w:rStyle w:val="hps"/>
          <w:sz w:val="30"/>
          <w:rtl/>
          <w:lang/>
        </w:rPr>
        <w:t> </w:t>
      </w:r>
      <w:r w:rsidRPr="00FA0FC2">
        <w:rPr>
          <w:rStyle w:val="hps"/>
          <w:rFonts w:hint="cs"/>
          <w:sz w:val="30"/>
          <w:rtl/>
          <w:lang/>
        </w:rPr>
        <w:t>يزعم قط أنه</w:t>
      </w:r>
      <w:r w:rsidRPr="00FA0FC2">
        <w:rPr>
          <w:sz w:val="30"/>
          <w:rtl/>
          <w:lang/>
        </w:rPr>
        <w:t xml:space="preserve"> </w:t>
      </w:r>
      <w:r w:rsidRPr="00FA0FC2">
        <w:rPr>
          <w:rStyle w:val="hps"/>
          <w:sz w:val="30"/>
          <w:rtl/>
          <w:lang/>
        </w:rPr>
        <w:t>ناشط في مجال حقوق</w:t>
      </w:r>
      <w:r w:rsidRPr="00FA0FC2">
        <w:rPr>
          <w:sz w:val="30"/>
          <w:rtl/>
          <w:lang/>
        </w:rPr>
        <w:t xml:space="preserve"> </w:t>
      </w:r>
      <w:r w:rsidRPr="00FA0FC2">
        <w:rPr>
          <w:rStyle w:val="hps"/>
          <w:sz w:val="30"/>
          <w:rtl/>
          <w:lang/>
        </w:rPr>
        <w:t>الإنسان</w:t>
      </w:r>
      <w:r>
        <w:rPr>
          <w:sz w:val="30"/>
          <w:rtl/>
          <w:lang/>
        </w:rPr>
        <w:t xml:space="preserve"> أو </w:t>
      </w:r>
      <w:r w:rsidRPr="00FA0FC2">
        <w:rPr>
          <w:rStyle w:val="hps"/>
          <w:sz w:val="30"/>
          <w:rtl/>
          <w:lang/>
        </w:rPr>
        <w:t>عضو في أي</w:t>
      </w:r>
      <w:r w:rsidRPr="00FA0FC2">
        <w:rPr>
          <w:sz w:val="30"/>
          <w:rtl/>
          <w:lang/>
        </w:rPr>
        <w:t xml:space="preserve"> </w:t>
      </w:r>
      <w:r w:rsidRPr="00FA0FC2">
        <w:rPr>
          <w:rStyle w:val="hps"/>
          <w:sz w:val="30"/>
          <w:rtl/>
          <w:lang/>
        </w:rPr>
        <w:t>تنظيم سياسي</w:t>
      </w:r>
      <w:r w:rsidRPr="00FA0FC2">
        <w:rPr>
          <w:sz w:val="30"/>
          <w:rtl/>
          <w:lang/>
        </w:rPr>
        <w:t>.</w:t>
      </w:r>
    </w:p>
    <w:p w:rsidR="00091373" w:rsidRPr="00E64023" w:rsidRDefault="00091373" w:rsidP="00091373">
      <w:pPr>
        <w:pStyle w:val="SingleTxtGA"/>
        <w:rPr>
          <w:spacing w:val="-2"/>
          <w:sz w:val="30"/>
          <w:rtl/>
          <w:lang w:val="fr-CH"/>
        </w:rPr>
      </w:pPr>
      <w:r w:rsidRPr="00E64023">
        <w:rPr>
          <w:spacing w:val="-2"/>
          <w:sz w:val="30"/>
          <w:rtl/>
          <w:lang w:val="fr-CH"/>
        </w:rPr>
        <w:t>4-20</w:t>
      </w:r>
      <w:r w:rsidRPr="00E64023">
        <w:rPr>
          <w:spacing w:val="-2"/>
          <w:sz w:val="30"/>
          <w:rtl/>
          <w:lang w:val="fr-CH"/>
        </w:rPr>
        <w:tab/>
      </w:r>
      <w:r w:rsidRPr="00E64023">
        <w:rPr>
          <w:rStyle w:val="hps"/>
          <w:spacing w:val="-2"/>
          <w:sz w:val="30"/>
          <w:rtl/>
          <w:lang/>
        </w:rPr>
        <w:t>وت</w:t>
      </w:r>
      <w:r w:rsidRPr="00E64023">
        <w:rPr>
          <w:rStyle w:val="hps"/>
          <w:rFonts w:hint="cs"/>
          <w:spacing w:val="-2"/>
          <w:sz w:val="30"/>
          <w:rtl/>
          <w:lang/>
        </w:rPr>
        <w:t>رى</w:t>
      </w:r>
      <w:r w:rsidRPr="00E64023">
        <w:rPr>
          <w:rStyle w:val="hps"/>
          <w:spacing w:val="-2"/>
          <w:sz w:val="30"/>
          <w:rtl/>
          <w:lang/>
        </w:rPr>
        <w:t xml:space="preserve"> الدولة</w:t>
      </w:r>
      <w:r w:rsidRPr="00E64023">
        <w:rPr>
          <w:spacing w:val="-2"/>
          <w:sz w:val="30"/>
          <w:rtl/>
          <w:lang/>
        </w:rPr>
        <w:t xml:space="preserve"> </w:t>
      </w:r>
      <w:r w:rsidRPr="00E64023">
        <w:rPr>
          <w:rStyle w:val="hps"/>
          <w:spacing w:val="-2"/>
          <w:sz w:val="30"/>
          <w:rtl/>
          <w:lang/>
        </w:rPr>
        <w:t xml:space="preserve">الطرف </w:t>
      </w:r>
      <w:r w:rsidRPr="00E64023">
        <w:rPr>
          <w:rStyle w:val="hps"/>
          <w:rFonts w:hint="cs"/>
          <w:spacing w:val="-2"/>
          <w:sz w:val="30"/>
          <w:rtl/>
          <w:lang/>
        </w:rPr>
        <w:t>أنه لا</w:t>
      </w:r>
      <w:r w:rsidRPr="00E64023">
        <w:rPr>
          <w:rStyle w:val="hps"/>
          <w:spacing w:val="-2"/>
          <w:sz w:val="30"/>
          <w:rtl/>
          <w:lang/>
        </w:rPr>
        <w:t> </w:t>
      </w:r>
      <w:r w:rsidRPr="00E64023">
        <w:rPr>
          <w:rStyle w:val="hps"/>
          <w:rFonts w:hint="cs"/>
          <w:spacing w:val="-2"/>
          <w:sz w:val="30"/>
          <w:rtl/>
          <w:lang/>
        </w:rPr>
        <w:t>يمكن</w:t>
      </w:r>
      <w:r w:rsidRPr="00E64023">
        <w:rPr>
          <w:rStyle w:val="hps"/>
          <w:spacing w:val="-2"/>
          <w:sz w:val="30"/>
          <w:rtl/>
          <w:lang/>
        </w:rPr>
        <w:t>،</w:t>
      </w:r>
      <w:r w:rsidRPr="00E64023">
        <w:rPr>
          <w:spacing w:val="-2"/>
          <w:sz w:val="30"/>
          <w:rtl/>
          <w:lang/>
        </w:rPr>
        <w:t xml:space="preserve"> </w:t>
      </w:r>
      <w:r w:rsidRPr="00E64023">
        <w:rPr>
          <w:rStyle w:val="hps"/>
          <w:spacing w:val="-2"/>
          <w:sz w:val="30"/>
          <w:rtl/>
          <w:lang/>
        </w:rPr>
        <w:t>في</w:t>
      </w:r>
      <w:r w:rsidRPr="00E64023">
        <w:rPr>
          <w:rStyle w:val="hps"/>
          <w:rFonts w:hint="cs"/>
          <w:spacing w:val="-2"/>
          <w:sz w:val="30"/>
          <w:rtl/>
          <w:lang/>
        </w:rPr>
        <w:t xml:space="preserve"> </w:t>
      </w:r>
      <w:r w:rsidRPr="00E64023">
        <w:rPr>
          <w:rStyle w:val="hps"/>
          <w:spacing w:val="-2"/>
          <w:sz w:val="30"/>
          <w:rtl/>
          <w:lang/>
        </w:rPr>
        <w:t>هذه الظروف</w:t>
      </w:r>
      <w:r w:rsidRPr="00E64023">
        <w:rPr>
          <w:spacing w:val="-2"/>
          <w:sz w:val="30"/>
          <w:rtl/>
          <w:lang/>
        </w:rPr>
        <w:t>،</w:t>
      </w:r>
      <w:r w:rsidRPr="00E64023">
        <w:rPr>
          <w:rFonts w:hint="cs"/>
          <w:spacing w:val="-2"/>
          <w:sz w:val="30"/>
          <w:rtl/>
          <w:lang/>
        </w:rPr>
        <w:t xml:space="preserve"> لوم السلطات المعنية بمسائل اللجوء</w:t>
      </w:r>
      <w:r w:rsidRPr="00E64023">
        <w:rPr>
          <w:spacing w:val="-2"/>
          <w:sz w:val="30"/>
          <w:rtl/>
          <w:lang/>
        </w:rPr>
        <w:t xml:space="preserve"> </w:t>
      </w:r>
      <w:r w:rsidRPr="00E64023">
        <w:rPr>
          <w:rFonts w:hint="cs"/>
          <w:spacing w:val="-2"/>
          <w:sz w:val="30"/>
          <w:rtl/>
          <w:lang/>
        </w:rPr>
        <w:t xml:space="preserve">لكونها اعتبرت </w:t>
      </w:r>
      <w:r w:rsidRPr="00E64023">
        <w:rPr>
          <w:rStyle w:val="hps"/>
          <w:spacing w:val="-2"/>
          <w:sz w:val="30"/>
          <w:rtl/>
          <w:lang/>
        </w:rPr>
        <w:t xml:space="preserve">ادعاءات </w:t>
      </w:r>
      <w:r w:rsidRPr="00E64023">
        <w:rPr>
          <w:rStyle w:val="hps"/>
          <w:rFonts w:hint="cs"/>
          <w:spacing w:val="-2"/>
          <w:sz w:val="30"/>
          <w:rtl/>
          <w:lang/>
        </w:rPr>
        <w:t>صاحب</w:t>
      </w:r>
      <w:r w:rsidRPr="00E64023">
        <w:rPr>
          <w:rStyle w:val="hps"/>
          <w:spacing w:val="-2"/>
          <w:sz w:val="30"/>
          <w:rtl/>
          <w:lang/>
        </w:rPr>
        <w:t xml:space="preserve"> الشكوى</w:t>
      </w:r>
      <w:r w:rsidRPr="00E64023">
        <w:rPr>
          <w:spacing w:val="-2"/>
          <w:sz w:val="30"/>
          <w:rtl/>
          <w:lang/>
        </w:rPr>
        <w:t xml:space="preserve"> </w:t>
      </w:r>
      <w:r w:rsidRPr="00E64023">
        <w:rPr>
          <w:rStyle w:val="hps"/>
          <w:spacing w:val="-2"/>
          <w:sz w:val="30"/>
          <w:rtl/>
          <w:lang/>
        </w:rPr>
        <w:t>الأول</w:t>
      </w:r>
      <w:r w:rsidRPr="00E64023">
        <w:rPr>
          <w:spacing w:val="-2"/>
          <w:sz w:val="30"/>
          <w:rtl/>
          <w:lang/>
        </w:rPr>
        <w:t xml:space="preserve"> </w:t>
      </w:r>
      <w:r w:rsidRPr="00E64023">
        <w:rPr>
          <w:rStyle w:val="hps"/>
          <w:spacing w:val="-2"/>
          <w:sz w:val="30"/>
          <w:rtl/>
          <w:lang/>
        </w:rPr>
        <w:t>غير قابلة للتصديق</w:t>
      </w:r>
      <w:r w:rsidRPr="00E64023">
        <w:rPr>
          <w:spacing w:val="-2"/>
          <w:sz w:val="30"/>
          <w:rtl/>
          <w:lang/>
        </w:rPr>
        <w:t xml:space="preserve"> </w:t>
      </w:r>
      <w:r w:rsidRPr="00E64023">
        <w:rPr>
          <w:rStyle w:val="hps"/>
          <w:spacing w:val="-2"/>
          <w:sz w:val="30"/>
          <w:rtl/>
          <w:lang/>
        </w:rPr>
        <w:t>و</w:t>
      </w:r>
      <w:r w:rsidRPr="00E64023">
        <w:rPr>
          <w:rStyle w:val="hps"/>
          <w:rFonts w:hint="cs"/>
          <w:spacing w:val="-2"/>
          <w:sz w:val="30"/>
          <w:rtl/>
          <w:lang/>
        </w:rPr>
        <w:t>رأت أن</w:t>
      </w:r>
      <w:r w:rsidRPr="00E64023">
        <w:rPr>
          <w:spacing w:val="-2"/>
          <w:sz w:val="30"/>
          <w:rtl/>
          <w:lang/>
        </w:rPr>
        <w:t xml:space="preserve"> </w:t>
      </w:r>
      <w:r w:rsidRPr="00E64023">
        <w:rPr>
          <w:rStyle w:val="hps"/>
          <w:rFonts w:hint="cs"/>
          <w:spacing w:val="-2"/>
          <w:sz w:val="30"/>
          <w:rtl/>
          <w:lang/>
        </w:rPr>
        <w:t>مزاعمه المتعلقة</w:t>
      </w:r>
      <w:r w:rsidRPr="00E64023">
        <w:rPr>
          <w:spacing w:val="-2"/>
          <w:sz w:val="30"/>
          <w:rtl/>
          <w:lang/>
        </w:rPr>
        <w:t xml:space="preserve"> </w:t>
      </w:r>
      <w:r w:rsidRPr="00E64023">
        <w:rPr>
          <w:rFonts w:hint="cs"/>
          <w:spacing w:val="-2"/>
          <w:sz w:val="30"/>
          <w:rtl/>
          <w:lang/>
        </w:rPr>
        <w:t>ب</w:t>
      </w:r>
      <w:r w:rsidRPr="00E64023">
        <w:rPr>
          <w:rStyle w:val="hps"/>
          <w:spacing w:val="-2"/>
          <w:sz w:val="30"/>
          <w:rtl/>
          <w:lang/>
        </w:rPr>
        <w:t>النقاط الرئيسية</w:t>
      </w:r>
      <w:r w:rsidRPr="00E64023">
        <w:rPr>
          <w:spacing w:val="-2"/>
          <w:sz w:val="30"/>
          <w:rtl/>
          <w:lang/>
        </w:rPr>
        <w:t xml:space="preserve"> </w:t>
      </w:r>
      <w:r w:rsidRPr="00E64023">
        <w:rPr>
          <w:rStyle w:val="hps"/>
          <w:spacing w:val="-2"/>
          <w:sz w:val="30"/>
          <w:rtl/>
          <w:lang/>
        </w:rPr>
        <w:t>تتعارض مع</w:t>
      </w:r>
      <w:r w:rsidRPr="00E64023">
        <w:rPr>
          <w:spacing w:val="-2"/>
          <w:sz w:val="30"/>
          <w:rtl/>
          <w:lang/>
        </w:rPr>
        <w:t xml:space="preserve"> </w:t>
      </w:r>
      <w:r w:rsidRPr="00E64023">
        <w:rPr>
          <w:rStyle w:val="hps"/>
          <w:spacing w:val="-2"/>
          <w:sz w:val="30"/>
          <w:rtl/>
          <w:lang/>
        </w:rPr>
        <w:t>المنطق و</w:t>
      </w:r>
      <w:r w:rsidRPr="00E64023">
        <w:rPr>
          <w:spacing w:val="-2"/>
          <w:sz w:val="30"/>
          <w:rtl/>
          <w:lang/>
        </w:rPr>
        <w:t>التجربة العامة، و</w:t>
      </w:r>
      <w:r w:rsidRPr="00E64023">
        <w:rPr>
          <w:rFonts w:hint="cs"/>
          <w:spacing w:val="-2"/>
          <w:sz w:val="30"/>
          <w:rtl/>
          <w:lang/>
        </w:rPr>
        <w:t>من ثم، فهي</w:t>
      </w:r>
      <w:r w:rsidRPr="00E64023">
        <w:rPr>
          <w:spacing w:val="-2"/>
          <w:sz w:val="30"/>
          <w:rtl/>
          <w:lang/>
        </w:rPr>
        <w:t xml:space="preserve"> </w:t>
      </w:r>
      <w:r w:rsidRPr="00E64023">
        <w:rPr>
          <w:rStyle w:val="hps"/>
          <w:rFonts w:hint="cs"/>
          <w:spacing w:val="-2"/>
          <w:sz w:val="30"/>
          <w:rtl/>
          <w:lang/>
        </w:rPr>
        <w:t xml:space="preserve">تفتقر إلى </w:t>
      </w:r>
      <w:r w:rsidRPr="00E64023">
        <w:rPr>
          <w:rStyle w:val="hps"/>
          <w:spacing w:val="-2"/>
          <w:sz w:val="30"/>
          <w:rtl/>
          <w:lang/>
        </w:rPr>
        <w:t>المصداقية.</w:t>
      </w:r>
    </w:p>
    <w:p w:rsidR="00091373" w:rsidRPr="00FA0FC2" w:rsidRDefault="00091373" w:rsidP="00091373">
      <w:pPr>
        <w:pStyle w:val="SingleTxtGA"/>
        <w:rPr>
          <w:sz w:val="30"/>
          <w:rtl/>
          <w:lang w:val="fr-CH"/>
        </w:rPr>
      </w:pPr>
      <w:r w:rsidRPr="00FA0FC2">
        <w:rPr>
          <w:sz w:val="30"/>
          <w:rtl/>
          <w:lang w:val="fr-CH"/>
        </w:rPr>
        <w:t>4-21</w:t>
      </w:r>
      <w:r w:rsidRPr="00FA0FC2">
        <w:rPr>
          <w:sz w:val="30"/>
          <w:rtl/>
          <w:lang w:val="fr-CH"/>
        </w:rPr>
        <w:tab/>
      </w:r>
      <w:r w:rsidRPr="00FA0FC2">
        <w:rPr>
          <w:rStyle w:val="hps"/>
          <w:sz w:val="30"/>
          <w:rtl/>
          <w:lang/>
        </w:rPr>
        <w:t>وتؤكد الدولة الطرف</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ضوء</w:t>
      </w:r>
      <w:r>
        <w:rPr>
          <w:rStyle w:val="hps"/>
          <w:sz w:val="30"/>
          <w:rtl/>
          <w:lang/>
        </w:rPr>
        <w:t xml:space="preserve"> ما </w:t>
      </w:r>
      <w:r w:rsidRPr="00FA0FC2">
        <w:rPr>
          <w:rFonts w:hint="cs"/>
          <w:rtl/>
        </w:rPr>
        <w:t xml:space="preserve">سبق عدم وجود </w:t>
      </w:r>
      <w:r w:rsidRPr="00FA0FC2">
        <w:rPr>
          <w:rFonts w:hint="cs"/>
          <w:rtl/>
          <w:lang w:val="fr-CH"/>
        </w:rPr>
        <w:t xml:space="preserve">أسباب حقيقية تبعث على الخوف من أن تؤدي عودة </w:t>
      </w:r>
      <w:r w:rsidRPr="00FA0FC2">
        <w:rPr>
          <w:rStyle w:val="hps"/>
          <w:rFonts w:hint="cs"/>
          <w:sz w:val="30"/>
          <w:rtl/>
          <w:lang/>
        </w:rPr>
        <w:t>صاحب</w:t>
      </w:r>
      <w:r w:rsidRPr="00FA0FC2">
        <w:rPr>
          <w:rStyle w:val="hps"/>
          <w:sz w:val="30"/>
          <w:rtl/>
          <w:lang/>
        </w:rPr>
        <w:t xml:space="preserve"> الشكوى</w:t>
      </w:r>
      <w:r w:rsidRPr="00FA0FC2">
        <w:rPr>
          <w:sz w:val="30"/>
          <w:rtl/>
          <w:lang/>
        </w:rPr>
        <w:t xml:space="preserve"> </w:t>
      </w:r>
      <w:r w:rsidRPr="00FA0FC2">
        <w:rPr>
          <w:rStyle w:val="hps"/>
          <w:sz w:val="30"/>
          <w:rtl/>
          <w:lang/>
        </w:rPr>
        <w:t>الأول</w:t>
      </w:r>
      <w:r w:rsidRPr="00FA0FC2">
        <w:rPr>
          <w:rFonts w:hint="cs"/>
          <w:rtl/>
          <w:lang w:val="fr-CH"/>
        </w:rPr>
        <w:t xml:space="preserve"> إلى اليمن إلى تعرضه لخطر تعذيب حقيقي وشخصي.</w:t>
      </w:r>
      <w:r>
        <w:rPr>
          <w:rFonts w:hint="cs"/>
          <w:rtl/>
          <w:lang w:val="fr-CH"/>
        </w:rPr>
        <w:t xml:space="preserve"> ولا</w:t>
      </w:r>
      <w:r>
        <w:rPr>
          <w:rtl/>
          <w:lang w:val="fr-CH"/>
        </w:rPr>
        <w:t> </w:t>
      </w:r>
      <w:r w:rsidRPr="00FA0FC2">
        <w:rPr>
          <w:rStyle w:val="hps"/>
          <w:rFonts w:hint="cs"/>
          <w:sz w:val="30"/>
          <w:rtl/>
          <w:lang/>
        </w:rPr>
        <w:t>تسمح الادعاءات و</w:t>
      </w:r>
      <w:r w:rsidRPr="00FA0FC2">
        <w:rPr>
          <w:rStyle w:val="hps"/>
          <w:sz w:val="30"/>
          <w:rtl/>
          <w:lang/>
        </w:rPr>
        <w:t>الأدلة</w:t>
      </w:r>
      <w:r w:rsidRPr="00FA0FC2">
        <w:rPr>
          <w:sz w:val="30"/>
          <w:rtl/>
          <w:lang/>
        </w:rPr>
        <w:t xml:space="preserve"> </w:t>
      </w:r>
      <w:r w:rsidRPr="00FA0FC2">
        <w:rPr>
          <w:rStyle w:val="hps"/>
          <w:sz w:val="30"/>
          <w:rtl/>
          <w:lang/>
        </w:rPr>
        <w:t>التي قدمها</w:t>
      </w:r>
      <w:r w:rsidRPr="00FA0FC2">
        <w:rPr>
          <w:sz w:val="30"/>
          <w:rtl/>
          <w:lang/>
        </w:rPr>
        <w:t xml:space="preserve"> </w:t>
      </w:r>
      <w:r w:rsidRPr="00FA0FC2">
        <w:rPr>
          <w:rStyle w:val="hps"/>
          <w:rFonts w:hint="cs"/>
          <w:sz w:val="30"/>
          <w:rtl/>
          <w:lang/>
        </w:rPr>
        <w:t>إلى استنتاج أن</w:t>
      </w:r>
      <w:r w:rsidRPr="00FA0FC2">
        <w:rPr>
          <w:sz w:val="30"/>
          <w:rtl/>
          <w:lang/>
        </w:rPr>
        <w:t xml:space="preserve"> </w:t>
      </w:r>
      <w:r w:rsidRPr="00FA0FC2">
        <w:rPr>
          <w:rStyle w:val="hps"/>
          <w:sz w:val="30"/>
          <w:rtl/>
          <w:lang/>
        </w:rPr>
        <w:t>عودته</w:t>
      </w:r>
      <w:r w:rsidRPr="00FA0FC2">
        <w:rPr>
          <w:sz w:val="30"/>
          <w:rtl/>
          <w:lang/>
        </w:rPr>
        <w:t xml:space="preserve"> </w:t>
      </w:r>
      <w:r w:rsidRPr="00FA0FC2">
        <w:rPr>
          <w:rStyle w:val="hps"/>
          <w:sz w:val="30"/>
          <w:rtl/>
          <w:lang/>
        </w:rPr>
        <w:t>س</w:t>
      </w:r>
      <w:r w:rsidRPr="00FA0FC2">
        <w:rPr>
          <w:rStyle w:val="hps"/>
          <w:rFonts w:hint="cs"/>
          <w:sz w:val="30"/>
          <w:rtl/>
          <w:lang/>
        </w:rPr>
        <w:t>ت</w:t>
      </w:r>
      <w:r w:rsidRPr="00FA0FC2">
        <w:rPr>
          <w:rStyle w:val="hps"/>
          <w:sz w:val="30"/>
          <w:rtl/>
          <w:lang/>
        </w:rPr>
        <w:t>عرضه</w:t>
      </w:r>
      <w:r w:rsidRPr="00FA0FC2">
        <w:rPr>
          <w:sz w:val="30"/>
          <w:rtl/>
          <w:lang/>
        </w:rPr>
        <w:t xml:space="preserve"> </w:t>
      </w:r>
      <w:r w:rsidRPr="00FA0FC2">
        <w:rPr>
          <w:rStyle w:val="hps"/>
          <w:sz w:val="30"/>
          <w:rtl/>
          <w:lang/>
        </w:rPr>
        <w:t>ل</w:t>
      </w:r>
      <w:r w:rsidRPr="00FA0FC2">
        <w:rPr>
          <w:sz w:val="30"/>
          <w:rtl/>
          <w:lang/>
        </w:rPr>
        <w:t xml:space="preserve">خطر </w:t>
      </w:r>
      <w:r w:rsidRPr="00FA0FC2">
        <w:rPr>
          <w:rFonts w:hint="cs"/>
          <w:sz w:val="30"/>
          <w:rtl/>
          <w:lang/>
        </w:rPr>
        <w:t xml:space="preserve">تعذيب </w:t>
      </w:r>
      <w:r w:rsidRPr="00FA0FC2">
        <w:rPr>
          <w:sz w:val="30"/>
          <w:rtl/>
          <w:lang/>
        </w:rPr>
        <w:t xml:space="preserve">متوقع </w:t>
      </w:r>
      <w:r w:rsidRPr="00FA0FC2">
        <w:rPr>
          <w:rStyle w:val="hps"/>
          <w:sz w:val="30"/>
          <w:rtl/>
          <w:lang/>
        </w:rPr>
        <w:t>وحقيقي وشخصي</w:t>
      </w:r>
      <w:r w:rsidRPr="00FA0FC2">
        <w:rPr>
          <w:sz w:val="30"/>
          <w:rtl/>
          <w:lang/>
        </w:rPr>
        <w:t xml:space="preserve"> </w:t>
      </w:r>
      <w:r w:rsidRPr="00FA0FC2">
        <w:rPr>
          <w:rStyle w:val="hps"/>
          <w:sz w:val="30"/>
          <w:rtl/>
          <w:lang/>
        </w:rPr>
        <w:t>من</w:t>
      </w:r>
      <w:r w:rsidRPr="00FA0FC2">
        <w:rPr>
          <w:sz w:val="30"/>
          <w:rtl/>
          <w:lang/>
        </w:rPr>
        <w:t xml:space="preserve"> </w:t>
      </w:r>
      <w:r w:rsidRPr="00FA0FC2">
        <w:rPr>
          <w:rStyle w:val="hps"/>
          <w:sz w:val="30"/>
          <w:rtl/>
          <w:lang/>
        </w:rPr>
        <w:t>التعذيب</w:t>
      </w:r>
      <w:r w:rsidRPr="00FA0FC2">
        <w:rPr>
          <w:sz w:val="30"/>
          <w:rtl/>
          <w:lang/>
        </w:rPr>
        <w:t xml:space="preserve">. </w:t>
      </w:r>
      <w:r w:rsidRPr="00FA0FC2">
        <w:rPr>
          <w:rStyle w:val="hps"/>
          <w:rFonts w:hint="cs"/>
          <w:sz w:val="30"/>
          <w:rtl/>
          <w:lang/>
        </w:rPr>
        <w:t>ومن ثم، فإن الدولة الطرف</w:t>
      </w:r>
      <w:r w:rsidRPr="00FA0FC2">
        <w:rPr>
          <w:sz w:val="30"/>
          <w:rtl/>
          <w:lang/>
        </w:rPr>
        <w:t xml:space="preserve"> تدعو اللجنة </w:t>
      </w:r>
      <w:r w:rsidRPr="00FA0FC2">
        <w:rPr>
          <w:rFonts w:hint="cs"/>
          <w:rtl/>
          <w:lang w:val="fr-CH"/>
        </w:rPr>
        <w:t xml:space="preserve">إلى التوصل إلى استنتاج مفاده أن عودة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sz w:val="30"/>
          <w:rtl/>
          <w:lang/>
        </w:rPr>
        <w:t>وأسرته إلى</w:t>
      </w:r>
      <w:r w:rsidRPr="00FA0FC2">
        <w:rPr>
          <w:sz w:val="30"/>
          <w:rtl/>
          <w:lang/>
        </w:rPr>
        <w:t xml:space="preserve"> </w:t>
      </w:r>
      <w:r w:rsidRPr="00FA0FC2">
        <w:rPr>
          <w:rStyle w:val="hps"/>
          <w:sz w:val="30"/>
          <w:rtl/>
          <w:lang/>
        </w:rPr>
        <w:t>اليمن</w:t>
      </w:r>
      <w:r>
        <w:rPr>
          <w:sz w:val="30"/>
          <w:rtl/>
          <w:lang/>
        </w:rPr>
        <w:t xml:space="preserve"> لن </w:t>
      </w:r>
      <w:r w:rsidRPr="00FA0FC2">
        <w:rPr>
          <w:rStyle w:val="hps"/>
          <w:rFonts w:hint="cs"/>
          <w:sz w:val="30"/>
          <w:rtl/>
          <w:lang/>
        </w:rPr>
        <w:t>ي</w:t>
      </w:r>
      <w:r w:rsidRPr="00FA0FC2">
        <w:rPr>
          <w:rStyle w:val="hps"/>
          <w:sz w:val="30"/>
          <w:rtl/>
          <w:lang/>
        </w:rPr>
        <w:t>شكل انتهاكا</w:t>
      </w:r>
      <w:r w:rsidRPr="00FA0FC2">
        <w:rPr>
          <w:rFonts w:hint="cs"/>
          <w:sz w:val="30"/>
          <w:rtl/>
          <w:lang/>
        </w:rPr>
        <w:t>ً</w:t>
      </w:r>
      <w:r w:rsidRPr="00FA0FC2">
        <w:rPr>
          <w:sz w:val="30"/>
          <w:rtl/>
          <w:lang/>
        </w:rPr>
        <w:t xml:space="preserve"> </w:t>
      </w:r>
      <w:r w:rsidRPr="00FA0FC2">
        <w:rPr>
          <w:rFonts w:hint="cs"/>
          <w:rtl/>
          <w:lang w:val="fr-CH"/>
        </w:rPr>
        <w:t xml:space="preserve">لالتزامات سويسرا الدولية </w:t>
      </w:r>
      <w:r w:rsidRPr="00FA0FC2">
        <w:rPr>
          <w:rStyle w:val="hps"/>
          <w:sz w:val="30"/>
          <w:rtl/>
          <w:lang/>
        </w:rPr>
        <w:t>بموجب ال</w:t>
      </w:r>
      <w:r>
        <w:rPr>
          <w:rStyle w:val="hps"/>
          <w:sz w:val="30"/>
          <w:rtl/>
          <w:lang/>
        </w:rPr>
        <w:t>مادة </w:t>
      </w:r>
      <w:r w:rsidRPr="00FA0FC2">
        <w:rPr>
          <w:rStyle w:val="hps"/>
          <w:sz w:val="30"/>
          <w:rtl/>
          <w:lang/>
        </w:rPr>
        <w:t>3 من الاتفاقية</w:t>
      </w:r>
      <w:r w:rsidRPr="00FA0FC2">
        <w:rPr>
          <w:sz w:val="30"/>
          <w:rtl/>
          <w:lang/>
        </w:rPr>
        <w:t>.</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تعليقات أصحاب الشكوى على ملاحظات الدولة الطرف</w:t>
      </w:r>
    </w:p>
    <w:p w:rsidR="00091373" w:rsidRPr="00FA0FC2" w:rsidRDefault="00091373" w:rsidP="00091373">
      <w:pPr>
        <w:pStyle w:val="SingleTxtGA"/>
        <w:rPr>
          <w:rStyle w:val="hps"/>
          <w:sz w:val="30"/>
          <w:rtl/>
          <w:lang/>
        </w:rPr>
      </w:pPr>
      <w:r w:rsidRPr="00FA0FC2">
        <w:rPr>
          <w:sz w:val="30"/>
          <w:rtl/>
          <w:lang w:val="fr-CH"/>
        </w:rPr>
        <w:t>5-1</w:t>
      </w:r>
      <w:r w:rsidRPr="00FA0FC2">
        <w:rPr>
          <w:sz w:val="30"/>
          <w:rtl/>
          <w:lang w:val="fr-CH"/>
        </w:rPr>
        <w:tab/>
      </w:r>
      <w:r w:rsidRPr="00FA0FC2">
        <w:rPr>
          <w:rStyle w:val="hps"/>
          <w:sz w:val="30"/>
          <w:rtl/>
          <w:lang/>
        </w:rPr>
        <w:t>في 2 نيسان/أبريل</w:t>
      </w:r>
      <w:r w:rsidRPr="00FA0FC2">
        <w:rPr>
          <w:sz w:val="30"/>
          <w:rtl/>
          <w:lang/>
        </w:rPr>
        <w:t xml:space="preserve"> </w:t>
      </w:r>
      <w:r w:rsidRPr="00FA0FC2">
        <w:rPr>
          <w:rStyle w:val="hps"/>
          <w:sz w:val="30"/>
          <w:rtl/>
          <w:lang/>
        </w:rPr>
        <w:t>2012،</w:t>
      </w:r>
      <w:r w:rsidRPr="00FA0FC2">
        <w:rPr>
          <w:sz w:val="30"/>
          <w:rtl/>
          <w:lang/>
        </w:rPr>
        <w:t xml:space="preserve"> </w:t>
      </w:r>
      <w:r w:rsidRPr="00FA0FC2">
        <w:rPr>
          <w:rStyle w:val="hps"/>
          <w:sz w:val="30"/>
          <w:rtl/>
          <w:lang/>
        </w:rPr>
        <w:t>قدم أصحاب الشكوى تعليقات</w:t>
      </w:r>
      <w:r w:rsidRPr="00FA0FC2">
        <w:rPr>
          <w:sz w:val="30"/>
          <w:rtl/>
          <w:lang/>
        </w:rPr>
        <w:t xml:space="preserve"> </w:t>
      </w:r>
      <w:r w:rsidRPr="00FA0FC2">
        <w:rPr>
          <w:rStyle w:val="hps"/>
          <w:sz w:val="30"/>
          <w:rtl/>
          <w:lang/>
        </w:rPr>
        <w:t>على ملاحظات الدولة</w:t>
      </w:r>
      <w:r w:rsidRPr="00FA0FC2">
        <w:rPr>
          <w:sz w:val="30"/>
          <w:rtl/>
          <w:lang/>
        </w:rPr>
        <w:t xml:space="preserve"> </w:t>
      </w:r>
      <w:r w:rsidRPr="00FA0FC2">
        <w:rPr>
          <w:rStyle w:val="hps"/>
          <w:sz w:val="30"/>
          <w:rtl/>
          <w:lang/>
        </w:rPr>
        <w:t>الطرف.</w:t>
      </w:r>
      <w:r>
        <w:rPr>
          <w:sz w:val="30"/>
          <w:rtl/>
          <w:lang/>
        </w:rPr>
        <w:t xml:space="preserve"> وفيما </w:t>
      </w:r>
      <w:r w:rsidRPr="00FA0FC2">
        <w:rPr>
          <w:rStyle w:val="hps"/>
          <w:rFonts w:hint="cs"/>
          <w:sz w:val="30"/>
          <w:rtl/>
          <w:lang/>
        </w:rPr>
        <w:t>يتعلق بحجج الدولة الطرف التي تؤكد عدم وجود</w:t>
      </w:r>
      <w:r w:rsidRPr="00FA0FC2">
        <w:rPr>
          <w:sz w:val="30"/>
          <w:rtl/>
          <w:lang/>
        </w:rPr>
        <w:t xml:space="preserve"> </w:t>
      </w:r>
      <w:r w:rsidRPr="00FA0FC2">
        <w:rPr>
          <w:rStyle w:val="hps"/>
          <w:sz w:val="30"/>
          <w:rtl/>
          <w:lang/>
        </w:rPr>
        <w:t>حالة</w:t>
      </w:r>
      <w:r w:rsidRPr="00FA0FC2">
        <w:rPr>
          <w:sz w:val="30"/>
          <w:rtl/>
          <w:lang/>
        </w:rPr>
        <w:t xml:space="preserve"> </w:t>
      </w:r>
      <w:r w:rsidRPr="00FA0FC2">
        <w:rPr>
          <w:rStyle w:val="hps"/>
          <w:sz w:val="30"/>
          <w:rtl/>
          <w:lang/>
        </w:rPr>
        <w:t>من</w:t>
      </w:r>
      <w:r w:rsidRPr="00FA0FC2">
        <w:rPr>
          <w:sz w:val="30"/>
          <w:rtl/>
          <w:lang/>
        </w:rPr>
        <w:t xml:space="preserve"> </w:t>
      </w:r>
      <w:r w:rsidRPr="00FA0FC2">
        <w:rPr>
          <w:rStyle w:val="hps"/>
          <w:sz w:val="30"/>
          <w:rtl/>
          <w:lang/>
        </w:rPr>
        <w:t>العنف الم</w:t>
      </w:r>
      <w:r w:rsidRPr="00FA0FC2">
        <w:rPr>
          <w:rStyle w:val="hps"/>
          <w:rFonts w:hint="cs"/>
          <w:sz w:val="30"/>
          <w:rtl/>
          <w:lang/>
        </w:rPr>
        <w:t xml:space="preserve">تفشي في اليمن وعدم وجود </w:t>
      </w:r>
      <w:r w:rsidRPr="00FA0FC2">
        <w:rPr>
          <w:sz w:val="30"/>
          <w:rtl/>
          <w:lang/>
        </w:rPr>
        <w:t>أي</w:t>
      </w:r>
      <w:r w:rsidRPr="00FA0FC2">
        <w:rPr>
          <w:rFonts w:hint="cs"/>
          <w:sz w:val="30"/>
          <w:rtl/>
          <w:lang/>
        </w:rPr>
        <w:t>ة</w:t>
      </w:r>
      <w:r w:rsidRPr="00FA0FC2">
        <w:rPr>
          <w:sz w:val="30"/>
          <w:rtl/>
          <w:lang/>
        </w:rPr>
        <w:t xml:space="preserve"> </w:t>
      </w:r>
      <w:r w:rsidRPr="00FA0FC2">
        <w:rPr>
          <w:rStyle w:val="hps"/>
          <w:rFonts w:hint="cs"/>
          <w:sz w:val="30"/>
          <w:rtl/>
          <w:lang/>
        </w:rPr>
        <w:t>انتهاكات منتظمة</w:t>
      </w:r>
      <w:r w:rsidRPr="00FA0FC2">
        <w:rPr>
          <w:rStyle w:val="hps"/>
          <w:sz w:val="30"/>
          <w:rtl/>
          <w:lang/>
        </w:rPr>
        <w:t xml:space="preserve"> لحقوق</w:t>
      </w:r>
      <w:r w:rsidRPr="00FA0FC2">
        <w:rPr>
          <w:sz w:val="30"/>
          <w:rtl/>
          <w:lang/>
        </w:rPr>
        <w:t xml:space="preserve"> </w:t>
      </w:r>
      <w:r w:rsidRPr="00FA0FC2">
        <w:rPr>
          <w:rStyle w:val="hps"/>
          <w:sz w:val="30"/>
          <w:rtl/>
          <w:lang/>
        </w:rPr>
        <w:t>الإنسان في</w:t>
      </w:r>
      <w:r w:rsidRPr="00FA0FC2">
        <w:rPr>
          <w:sz w:val="30"/>
          <w:rtl/>
          <w:lang/>
        </w:rPr>
        <w:t xml:space="preserve"> </w:t>
      </w:r>
      <w:r w:rsidRPr="00FA0FC2">
        <w:rPr>
          <w:rStyle w:val="hps"/>
          <w:rFonts w:hint="cs"/>
          <w:sz w:val="30"/>
          <w:rtl/>
          <w:lang/>
        </w:rPr>
        <w:t>هذا البلد</w:t>
      </w:r>
      <w:r w:rsidRPr="00FA0FC2">
        <w:rPr>
          <w:sz w:val="30"/>
          <w:rtl/>
          <w:lang/>
        </w:rPr>
        <w:t xml:space="preserve">، </w:t>
      </w:r>
      <w:r w:rsidRPr="00FA0FC2">
        <w:rPr>
          <w:rFonts w:hint="cs"/>
          <w:sz w:val="30"/>
          <w:rtl/>
          <w:lang/>
        </w:rPr>
        <w:t>ذكّر أصحاب</w:t>
      </w:r>
      <w:r w:rsidRPr="00FA0FC2">
        <w:rPr>
          <w:sz w:val="30"/>
          <w:rtl/>
          <w:lang/>
        </w:rPr>
        <w:t xml:space="preserve"> </w:t>
      </w:r>
      <w:r w:rsidRPr="00FA0FC2">
        <w:rPr>
          <w:rStyle w:val="hps"/>
          <w:sz w:val="30"/>
          <w:rtl/>
          <w:lang/>
        </w:rPr>
        <w:t>الشكوى</w:t>
      </w:r>
      <w:r w:rsidRPr="00FA0FC2">
        <w:rPr>
          <w:sz w:val="30"/>
          <w:rtl/>
          <w:lang/>
        </w:rPr>
        <w:t xml:space="preserve"> </w:t>
      </w:r>
      <w:r w:rsidRPr="00FA0FC2">
        <w:rPr>
          <w:rStyle w:val="hps"/>
          <w:rFonts w:hint="cs"/>
          <w:sz w:val="30"/>
          <w:rtl/>
          <w:lang/>
        </w:rPr>
        <w:t>برسالتهم الأولى المؤرخة</w:t>
      </w:r>
      <w:r w:rsidRPr="00FA0FC2">
        <w:rPr>
          <w:rStyle w:val="hps"/>
          <w:sz w:val="30"/>
          <w:rtl/>
          <w:lang/>
        </w:rPr>
        <w:t xml:space="preserve"> 24 حزيران</w:t>
      </w:r>
      <w:r w:rsidRPr="00FA0FC2">
        <w:rPr>
          <w:rStyle w:val="hps"/>
          <w:rFonts w:hint="cs"/>
          <w:sz w:val="30"/>
          <w:rtl/>
          <w:lang/>
        </w:rPr>
        <w:t>/يونيه</w:t>
      </w:r>
      <w:r w:rsidRPr="00FA0FC2">
        <w:rPr>
          <w:sz w:val="30"/>
          <w:rtl/>
          <w:lang/>
        </w:rPr>
        <w:t xml:space="preserve"> </w:t>
      </w:r>
      <w:r w:rsidRPr="00FA0FC2">
        <w:rPr>
          <w:rStyle w:val="hps"/>
          <w:sz w:val="30"/>
          <w:rtl/>
          <w:lang/>
        </w:rPr>
        <w:t>2011،</w:t>
      </w:r>
      <w:r w:rsidRPr="00FA0FC2">
        <w:rPr>
          <w:sz w:val="30"/>
          <w:rtl/>
          <w:lang/>
        </w:rPr>
        <w:t xml:space="preserve"> </w:t>
      </w:r>
      <w:r w:rsidRPr="00FA0FC2">
        <w:rPr>
          <w:rStyle w:val="hps"/>
          <w:sz w:val="30"/>
          <w:rtl/>
          <w:lang/>
        </w:rPr>
        <w:t>وال</w:t>
      </w:r>
      <w:r w:rsidRPr="00FA0FC2">
        <w:rPr>
          <w:rStyle w:val="hps"/>
          <w:rFonts w:hint="cs"/>
          <w:sz w:val="30"/>
          <w:rtl/>
          <w:lang/>
        </w:rPr>
        <w:t>تي</w:t>
      </w:r>
      <w:r w:rsidRPr="00FA0FC2">
        <w:rPr>
          <w:rStyle w:val="hps"/>
          <w:sz w:val="30"/>
          <w:rtl/>
          <w:lang/>
        </w:rPr>
        <w:t xml:space="preserve"> أشار</w:t>
      </w:r>
      <w:r w:rsidRPr="00FA0FC2">
        <w:rPr>
          <w:rStyle w:val="hps"/>
          <w:rFonts w:hint="cs"/>
          <w:sz w:val="30"/>
          <w:rtl/>
          <w:lang/>
        </w:rPr>
        <w:t>ت</w:t>
      </w:r>
      <w:r w:rsidRPr="00FA0FC2">
        <w:rPr>
          <w:rStyle w:val="hps"/>
          <w:sz w:val="30"/>
          <w:rtl/>
          <w:lang/>
        </w:rPr>
        <w:t xml:space="preserve"> إلى</w:t>
      </w:r>
      <w:r w:rsidRPr="00FA0FC2">
        <w:rPr>
          <w:sz w:val="30"/>
          <w:rtl/>
          <w:lang/>
        </w:rPr>
        <w:t xml:space="preserve"> </w:t>
      </w:r>
      <w:r w:rsidRPr="00FA0FC2">
        <w:rPr>
          <w:rStyle w:val="hps"/>
          <w:sz w:val="30"/>
          <w:rtl/>
          <w:lang/>
        </w:rPr>
        <w:t>مصادر مختلفة</w:t>
      </w:r>
      <w:r w:rsidRPr="00FA0FC2">
        <w:rPr>
          <w:sz w:val="30"/>
          <w:rtl/>
          <w:lang/>
        </w:rPr>
        <w:t xml:space="preserve"> </w:t>
      </w:r>
      <w:r w:rsidRPr="00FA0FC2">
        <w:rPr>
          <w:rStyle w:val="hps"/>
          <w:rFonts w:hint="cs"/>
          <w:sz w:val="30"/>
          <w:rtl/>
          <w:lang/>
        </w:rPr>
        <w:t>رأت</w:t>
      </w:r>
      <w:r w:rsidRPr="00FA0FC2">
        <w:rPr>
          <w:sz w:val="30"/>
          <w:rtl/>
          <w:lang/>
        </w:rPr>
        <w:t xml:space="preserve"> </w:t>
      </w:r>
      <w:r w:rsidRPr="00FA0FC2">
        <w:rPr>
          <w:rStyle w:val="hps"/>
          <w:sz w:val="30"/>
          <w:rtl/>
          <w:lang/>
        </w:rPr>
        <w:t>عكس ذلك.</w:t>
      </w:r>
      <w:r w:rsidRPr="00FA0FC2">
        <w:rPr>
          <w:sz w:val="30"/>
          <w:rtl/>
          <w:lang/>
        </w:rPr>
        <w:t xml:space="preserve"> </w:t>
      </w:r>
      <w:r w:rsidRPr="00FA0FC2">
        <w:rPr>
          <w:rStyle w:val="hps"/>
          <w:sz w:val="30"/>
          <w:rtl/>
          <w:lang/>
        </w:rPr>
        <w:t>وبالإضافة إلى ذلك</w:t>
      </w:r>
      <w:r w:rsidRPr="00FA0FC2">
        <w:rPr>
          <w:sz w:val="30"/>
          <w:rtl/>
          <w:lang/>
        </w:rPr>
        <w:t xml:space="preserve">، </w:t>
      </w:r>
      <w:r w:rsidRPr="00FA0FC2">
        <w:rPr>
          <w:rFonts w:hint="cs"/>
          <w:sz w:val="30"/>
          <w:rtl/>
          <w:lang/>
        </w:rPr>
        <w:t>أشار أصحاب الشكوى</w:t>
      </w:r>
      <w:r w:rsidRPr="00FA0FC2">
        <w:rPr>
          <w:sz w:val="30"/>
          <w:rtl/>
          <w:lang/>
        </w:rPr>
        <w:t xml:space="preserve"> </w:t>
      </w:r>
      <w:r w:rsidRPr="00FA0FC2">
        <w:rPr>
          <w:rStyle w:val="hps"/>
          <w:sz w:val="30"/>
          <w:rtl/>
          <w:lang/>
        </w:rPr>
        <w:t>إلى عدد من</w:t>
      </w:r>
      <w:r w:rsidRPr="00FA0FC2">
        <w:rPr>
          <w:sz w:val="30"/>
          <w:rtl/>
          <w:lang/>
        </w:rPr>
        <w:t xml:space="preserve"> </w:t>
      </w:r>
      <w:r w:rsidRPr="00FA0FC2">
        <w:rPr>
          <w:rStyle w:val="hps"/>
          <w:sz w:val="30"/>
          <w:rtl/>
          <w:lang/>
        </w:rPr>
        <w:t>التقارير الأخيرة</w:t>
      </w:r>
      <w:r w:rsidRPr="00FA0FC2">
        <w:rPr>
          <w:sz w:val="30"/>
          <w:vertAlign w:val="superscript"/>
          <w:rtl/>
          <w:lang w:val="fr-CH"/>
        </w:rPr>
        <w:t>(</w:t>
      </w:r>
      <w:r w:rsidRPr="00FA0FC2">
        <w:rPr>
          <w:rStyle w:val="FootnoteReference"/>
          <w:sz w:val="30"/>
          <w:rtl/>
          <w:lang w:val="fr-CH"/>
        </w:rPr>
        <w:footnoteReference w:id="263"/>
      </w:r>
      <w:r w:rsidRPr="00FA0FC2">
        <w:rPr>
          <w:sz w:val="30"/>
          <w:vertAlign w:val="superscript"/>
          <w:rtl/>
          <w:lang w:val="fr-CH"/>
        </w:rPr>
        <w:t>)</w:t>
      </w:r>
      <w:r w:rsidRPr="00FA0FC2">
        <w:rPr>
          <w:sz w:val="30"/>
          <w:rtl/>
          <w:lang/>
        </w:rPr>
        <w:t xml:space="preserve"> </w:t>
      </w:r>
      <w:r w:rsidRPr="00FA0FC2">
        <w:rPr>
          <w:rStyle w:val="hps"/>
          <w:rFonts w:hint="cs"/>
          <w:sz w:val="30"/>
          <w:rtl/>
          <w:lang/>
        </w:rPr>
        <w:t>التي تؤكد</w:t>
      </w:r>
      <w:r w:rsidRPr="00FA0FC2">
        <w:rPr>
          <w:rStyle w:val="hps"/>
          <w:sz w:val="30"/>
          <w:rtl/>
          <w:lang/>
        </w:rPr>
        <w:t xml:space="preserve"> أن التعذيب</w:t>
      </w:r>
      <w:r w:rsidRPr="00FA0FC2">
        <w:rPr>
          <w:sz w:val="30"/>
          <w:rtl/>
          <w:lang/>
        </w:rPr>
        <w:t xml:space="preserve"> </w:t>
      </w:r>
      <w:r w:rsidRPr="00FA0FC2">
        <w:rPr>
          <w:rStyle w:val="hps"/>
          <w:sz w:val="30"/>
          <w:rtl/>
          <w:lang/>
        </w:rPr>
        <w:t>و</w:t>
      </w:r>
      <w:r w:rsidRPr="00FA0FC2">
        <w:rPr>
          <w:sz w:val="30"/>
          <w:rtl/>
          <w:lang/>
        </w:rPr>
        <w:t xml:space="preserve">غيره من ضروب سوء </w:t>
      </w:r>
      <w:r w:rsidRPr="00FA0FC2">
        <w:rPr>
          <w:rStyle w:val="hps"/>
          <w:sz w:val="30"/>
          <w:rtl/>
          <w:lang/>
        </w:rPr>
        <w:t>المعاملة</w:t>
      </w:r>
      <w:r w:rsidRPr="00FA0FC2">
        <w:rPr>
          <w:sz w:val="30"/>
          <w:rtl/>
          <w:lang/>
        </w:rPr>
        <w:t xml:space="preserve"> </w:t>
      </w:r>
      <w:r w:rsidRPr="00FA0FC2">
        <w:rPr>
          <w:rStyle w:val="hps"/>
          <w:rFonts w:hint="cs"/>
          <w:sz w:val="30"/>
          <w:rtl/>
          <w:lang/>
        </w:rPr>
        <w:t>هي ممارسات منتشرة على</w:t>
      </w:r>
      <w:r w:rsidRPr="00FA0FC2">
        <w:rPr>
          <w:rStyle w:val="hps"/>
          <w:sz w:val="30"/>
          <w:rtl/>
          <w:lang/>
        </w:rPr>
        <w:t xml:space="preserve"> نطاق واسع</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اليمن</w:t>
      </w:r>
      <w:r w:rsidRPr="00FA0FC2">
        <w:rPr>
          <w:rFonts w:hint="cs"/>
          <w:sz w:val="30"/>
          <w:rtl/>
          <w:lang/>
        </w:rPr>
        <w:t>، وأنها ترتكب بوجه</w:t>
      </w:r>
      <w:r>
        <w:rPr>
          <w:rFonts w:hint="cs"/>
          <w:sz w:val="30"/>
          <w:rtl/>
          <w:lang/>
        </w:rPr>
        <w:t xml:space="preserve"> عام</w:t>
      </w:r>
      <w:r>
        <w:rPr>
          <w:sz w:val="30"/>
          <w:rtl/>
          <w:lang/>
        </w:rPr>
        <w:t> </w:t>
      </w:r>
      <w:r w:rsidRPr="00FA0FC2">
        <w:rPr>
          <w:rFonts w:hint="cs"/>
          <w:sz w:val="30"/>
          <w:rtl/>
          <w:lang/>
        </w:rPr>
        <w:t>بمأمن</w:t>
      </w:r>
      <w:r w:rsidRPr="00FA0FC2">
        <w:rPr>
          <w:rStyle w:val="hps"/>
          <w:sz w:val="30"/>
          <w:rtl/>
          <w:lang/>
        </w:rPr>
        <w:t xml:space="preserve"> من العقاب</w:t>
      </w:r>
      <w:r w:rsidRPr="00FA0FC2">
        <w:rPr>
          <w:sz w:val="30"/>
          <w:rtl/>
          <w:lang/>
        </w:rPr>
        <w:t xml:space="preserve"> </w:t>
      </w:r>
      <w:r w:rsidRPr="00FA0FC2">
        <w:rPr>
          <w:rStyle w:val="hps"/>
          <w:sz w:val="30"/>
          <w:rtl/>
          <w:lang/>
        </w:rPr>
        <w:t>ضد</w:t>
      </w:r>
      <w:r w:rsidRPr="00FA0FC2">
        <w:rPr>
          <w:sz w:val="30"/>
          <w:rtl/>
          <w:lang/>
        </w:rPr>
        <w:t xml:space="preserve"> </w:t>
      </w:r>
      <w:r w:rsidRPr="00FA0FC2">
        <w:rPr>
          <w:rStyle w:val="hps"/>
          <w:rFonts w:hint="cs"/>
          <w:sz w:val="30"/>
          <w:rtl/>
          <w:lang/>
        </w:rPr>
        <w:t>سجناء احتجزوا لقيامهم</w:t>
      </w:r>
      <w:r w:rsidRPr="00FA0FC2">
        <w:rPr>
          <w:sz w:val="30"/>
          <w:rtl/>
          <w:lang/>
        </w:rPr>
        <w:t xml:space="preserve"> </w:t>
      </w:r>
      <w:r w:rsidRPr="00FA0FC2">
        <w:rPr>
          <w:rStyle w:val="hps"/>
          <w:rFonts w:hint="cs"/>
          <w:sz w:val="30"/>
          <w:rtl/>
          <w:lang/>
        </w:rPr>
        <w:t>ب</w:t>
      </w:r>
      <w:r w:rsidRPr="00FA0FC2">
        <w:rPr>
          <w:rStyle w:val="hps"/>
          <w:sz w:val="30"/>
          <w:rtl/>
          <w:lang/>
        </w:rPr>
        <w:t>أ</w:t>
      </w:r>
      <w:r w:rsidRPr="00FA0FC2">
        <w:rPr>
          <w:rStyle w:val="hps"/>
          <w:rFonts w:hint="cs"/>
          <w:sz w:val="30"/>
          <w:rtl/>
          <w:lang/>
        </w:rPr>
        <w:t>فعال</w:t>
      </w:r>
      <w:r w:rsidRPr="00FA0FC2">
        <w:rPr>
          <w:sz w:val="30"/>
          <w:rtl/>
          <w:lang/>
        </w:rPr>
        <w:t xml:space="preserve"> </w:t>
      </w:r>
      <w:r w:rsidRPr="00FA0FC2">
        <w:rPr>
          <w:rStyle w:val="hps"/>
          <w:sz w:val="30"/>
          <w:rtl/>
          <w:lang/>
        </w:rPr>
        <w:t>ذات دوافع سياسية</w:t>
      </w:r>
      <w:r>
        <w:rPr>
          <w:sz w:val="30"/>
          <w:rtl/>
          <w:lang/>
        </w:rPr>
        <w:t xml:space="preserve"> أو </w:t>
      </w:r>
      <w:r w:rsidRPr="00FA0FC2">
        <w:rPr>
          <w:rStyle w:val="hps"/>
          <w:sz w:val="30"/>
          <w:rtl/>
          <w:lang/>
        </w:rPr>
        <w:t>مظاهرات سلمية</w:t>
      </w:r>
      <w:r>
        <w:rPr>
          <w:sz w:val="30"/>
          <w:rtl/>
          <w:lang/>
        </w:rPr>
        <w:t xml:space="preserve"> أو </w:t>
      </w:r>
      <w:r w:rsidRPr="00FA0FC2">
        <w:rPr>
          <w:rStyle w:val="hps"/>
          <w:sz w:val="30"/>
          <w:rtl/>
          <w:lang/>
        </w:rPr>
        <w:t>ا</w:t>
      </w:r>
      <w:r w:rsidRPr="00FA0FC2">
        <w:rPr>
          <w:rStyle w:val="hps"/>
          <w:rFonts w:hint="cs"/>
          <w:sz w:val="30"/>
          <w:rtl/>
          <w:lang/>
        </w:rPr>
        <w:t xml:space="preserve">رتكابهم </w:t>
      </w:r>
      <w:r w:rsidRPr="00FA0FC2">
        <w:rPr>
          <w:rStyle w:val="hps"/>
          <w:sz w:val="30"/>
          <w:rtl/>
          <w:lang/>
        </w:rPr>
        <w:t>لجرائم</w:t>
      </w:r>
      <w:r w:rsidRPr="00FA0FC2">
        <w:rPr>
          <w:sz w:val="30"/>
          <w:rtl/>
          <w:lang/>
        </w:rPr>
        <w:t xml:space="preserve"> </w:t>
      </w:r>
      <w:r w:rsidRPr="00FA0FC2">
        <w:rPr>
          <w:rStyle w:val="hps"/>
          <w:rFonts w:hint="cs"/>
          <w:sz w:val="30"/>
          <w:rtl/>
          <w:lang/>
        </w:rPr>
        <w:t>ج</w:t>
      </w:r>
      <w:r w:rsidRPr="00FA0FC2">
        <w:rPr>
          <w:rStyle w:val="hps"/>
          <w:sz w:val="30"/>
          <w:rtl/>
          <w:lang/>
        </w:rPr>
        <w:t>نائية عادية.</w:t>
      </w:r>
    </w:p>
    <w:p w:rsidR="00091373" w:rsidRPr="00FA0FC2" w:rsidRDefault="00091373" w:rsidP="00091373">
      <w:pPr>
        <w:pStyle w:val="SingleTxtGA"/>
        <w:rPr>
          <w:rStyle w:val="hps"/>
          <w:sz w:val="30"/>
          <w:rtl/>
          <w:lang/>
        </w:rPr>
      </w:pPr>
      <w:r w:rsidRPr="00FA0FC2">
        <w:rPr>
          <w:sz w:val="30"/>
          <w:rtl/>
          <w:lang w:val="fr-CH"/>
        </w:rPr>
        <w:t>5-2</w:t>
      </w:r>
      <w:r w:rsidRPr="00FA0FC2">
        <w:rPr>
          <w:sz w:val="30"/>
          <w:rtl/>
          <w:lang w:val="fr-CH"/>
        </w:rPr>
        <w:tab/>
      </w:r>
      <w:r w:rsidRPr="00FA0FC2">
        <w:rPr>
          <w:rStyle w:val="hps"/>
          <w:sz w:val="30"/>
          <w:rtl/>
          <w:lang/>
        </w:rPr>
        <w:t>وفيما يتعلق</w:t>
      </w:r>
      <w:r w:rsidRPr="00FA0FC2">
        <w:rPr>
          <w:sz w:val="30"/>
          <w:rtl/>
          <w:lang/>
        </w:rPr>
        <w:t xml:space="preserve"> </w:t>
      </w:r>
      <w:r w:rsidRPr="00FA0FC2">
        <w:rPr>
          <w:rFonts w:hint="cs"/>
          <w:sz w:val="30"/>
          <w:rtl/>
          <w:lang/>
        </w:rPr>
        <w:t>ب</w:t>
      </w:r>
      <w:r w:rsidRPr="00FA0FC2">
        <w:rPr>
          <w:rStyle w:val="hps"/>
          <w:sz w:val="30"/>
          <w:rtl/>
          <w:lang/>
        </w:rPr>
        <w:t>حجج الدولة</w:t>
      </w:r>
      <w:r w:rsidRPr="00FA0FC2">
        <w:rPr>
          <w:sz w:val="30"/>
          <w:rtl/>
          <w:lang/>
        </w:rPr>
        <w:t xml:space="preserve"> </w:t>
      </w:r>
      <w:r w:rsidRPr="00FA0FC2">
        <w:rPr>
          <w:rStyle w:val="hps"/>
          <w:sz w:val="30"/>
          <w:rtl/>
          <w:lang/>
        </w:rPr>
        <w:t>الطرف</w:t>
      </w:r>
      <w:r w:rsidRPr="00FA0FC2">
        <w:rPr>
          <w:rStyle w:val="hps"/>
          <w:rFonts w:hint="cs"/>
          <w:sz w:val="30"/>
          <w:rtl/>
          <w:lang/>
        </w:rPr>
        <w:t xml:space="preserve"> التي تفيد</w:t>
      </w:r>
      <w:r w:rsidRPr="00FA0FC2">
        <w:rPr>
          <w:rStyle w:val="hps"/>
          <w:sz w:val="30"/>
          <w:rtl/>
          <w:lang/>
        </w:rPr>
        <w:t xml:space="preserve"> بأن</w:t>
      </w:r>
      <w:r w:rsidRPr="00FA0FC2">
        <w:rPr>
          <w:sz w:val="30"/>
          <w:rtl/>
          <w:lang/>
        </w:rPr>
        <w:t xml:space="preserve"> </w:t>
      </w:r>
      <w:r w:rsidRPr="00FA0FC2">
        <w:rPr>
          <w:rStyle w:val="hps"/>
          <w:rFonts w:hint="cs"/>
          <w:sz w:val="30"/>
          <w:rtl/>
          <w:lang/>
        </w:rPr>
        <w:t>صاحب</w:t>
      </w:r>
      <w:r w:rsidRPr="00FA0FC2">
        <w:rPr>
          <w:rStyle w:val="hps"/>
          <w:sz w:val="30"/>
          <w:rtl/>
          <w:lang/>
        </w:rPr>
        <w:t xml:space="preserve"> الشكوى</w:t>
      </w:r>
      <w:r w:rsidRPr="00FA0FC2">
        <w:rPr>
          <w:sz w:val="30"/>
          <w:rtl/>
          <w:lang/>
        </w:rPr>
        <w:t xml:space="preserve"> </w:t>
      </w:r>
      <w:r w:rsidRPr="00FA0FC2">
        <w:rPr>
          <w:rStyle w:val="hps"/>
          <w:sz w:val="30"/>
          <w:rtl/>
          <w:lang/>
        </w:rPr>
        <w:t>الأول</w:t>
      </w:r>
      <w:r>
        <w:rPr>
          <w:rStyle w:val="hps"/>
          <w:sz w:val="30"/>
          <w:rtl/>
          <w:lang/>
        </w:rPr>
        <w:t xml:space="preserve"> لم </w:t>
      </w:r>
      <w:r w:rsidRPr="00FA0FC2">
        <w:rPr>
          <w:rStyle w:val="hps"/>
          <w:rFonts w:hint="cs"/>
          <w:sz w:val="30"/>
          <w:rtl/>
          <w:lang/>
        </w:rPr>
        <w:t>ي</w:t>
      </w:r>
      <w:r w:rsidRPr="00FA0FC2">
        <w:rPr>
          <w:rStyle w:val="hps"/>
          <w:sz w:val="30"/>
          <w:rtl/>
          <w:lang/>
        </w:rPr>
        <w:t>كن قادر</w:t>
      </w:r>
      <w:r w:rsidRPr="00FA0FC2">
        <w:rPr>
          <w:rStyle w:val="hps"/>
          <w:rFonts w:hint="cs"/>
          <w:sz w:val="30"/>
          <w:rtl/>
          <w:lang/>
        </w:rPr>
        <w:t>اً</w:t>
      </w:r>
      <w:r w:rsidRPr="00FA0FC2">
        <w:rPr>
          <w:rStyle w:val="hps"/>
          <w:sz w:val="30"/>
          <w:rtl/>
          <w:lang/>
        </w:rPr>
        <w:t xml:space="preserve"> على</w:t>
      </w:r>
      <w:r w:rsidRPr="00FA0FC2">
        <w:rPr>
          <w:sz w:val="30"/>
          <w:rtl/>
          <w:lang/>
        </w:rPr>
        <w:t xml:space="preserve"> </w:t>
      </w:r>
      <w:r w:rsidRPr="00FA0FC2">
        <w:rPr>
          <w:rStyle w:val="hps"/>
          <w:sz w:val="30"/>
          <w:rtl/>
          <w:lang/>
        </w:rPr>
        <w:t>إثبات أنه</w:t>
      </w:r>
      <w:r w:rsidRPr="00FA0FC2">
        <w:rPr>
          <w:sz w:val="30"/>
          <w:rtl/>
          <w:lang/>
        </w:rPr>
        <w:t xml:space="preserve"> </w:t>
      </w:r>
      <w:r w:rsidRPr="00FA0FC2">
        <w:rPr>
          <w:rStyle w:val="hps"/>
          <w:sz w:val="30"/>
          <w:rtl/>
          <w:lang/>
        </w:rPr>
        <w:t>سي</w:t>
      </w:r>
      <w:r w:rsidRPr="00FA0FC2">
        <w:rPr>
          <w:rStyle w:val="hps"/>
          <w:rFonts w:hint="cs"/>
          <w:sz w:val="30"/>
          <w:rtl/>
          <w:lang/>
        </w:rPr>
        <w:t>عرض لخطر تعذيب متوقع وشخصي وحقيقي في حال عودته</w:t>
      </w:r>
      <w:r w:rsidRPr="00FA0FC2">
        <w:rPr>
          <w:rStyle w:val="hps"/>
          <w:sz w:val="30"/>
          <w:rtl/>
          <w:lang/>
        </w:rPr>
        <w:t xml:space="preserve"> إلى</w:t>
      </w:r>
      <w:r w:rsidRPr="00FA0FC2">
        <w:rPr>
          <w:sz w:val="30"/>
          <w:rtl/>
          <w:lang/>
        </w:rPr>
        <w:t xml:space="preserve"> </w:t>
      </w:r>
      <w:r w:rsidRPr="00FA0FC2">
        <w:rPr>
          <w:rStyle w:val="hps"/>
          <w:sz w:val="30"/>
          <w:rtl/>
          <w:lang/>
        </w:rPr>
        <w:t>اليمن</w:t>
      </w:r>
      <w:r w:rsidRPr="00FA0FC2">
        <w:rPr>
          <w:sz w:val="30"/>
          <w:rtl/>
          <w:lang/>
        </w:rPr>
        <w:t xml:space="preserve">، </w:t>
      </w:r>
      <w:r w:rsidRPr="00FA0FC2">
        <w:rPr>
          <w:rStyle w:val="hps"/>
          <w:sz w:val="30"/>
          <w:rtl/>
          <w:lang/>
        </w:rPr>
        <w:t>وأن</w:t>
      </w:r>
      <w:r w:rsidRPr="00FA0FC2">
        <w:rPr>
          <w:sz w:val="30"/>
          <w:rtl/>
          <w:lang/>
        </w:rPr>
        <w:t xml:space="preserve"> </w:t>
      </w:r>
      <w:r w:rsidRPr="00FA0FC2">
        <w:rPr>
          <w:rStyle w:val="hps"/>
          <w:sz w:val="30"/>
          <w:rtl/>
          <w:lang/>
        </w:rPr>
        <w:t>الشهادات</w:t>
      </w:r>
      <w:r w:rsidRPr="00FA0FC2">
        <w:rPr>
          <w:sz w:val="30"/>
          <w:rtl/>
          <w:lang/>
        </w:rPr>
        <w:t xml:space="preserve"> </w:t>
      </w:r>
      <w:r w:rsidRPr="00FA0FC2">
        <w:rPr>
          <w:rStyle w:val="hps"/>
          <w:sz w:val="30"/>
          <w:rtl/>
          <w:lang/>
        </w:rPr>
        <w:t>التي قدمها</w:t>
      </w:r>
      <w:r w:rsidRPr="00FA0FC2">
        <w:rPr>
          <w:sz w:val="30"/>
          <w:rtl/>
          <w:lang/>
        </w:rPr>
        <w:t xml:space="preserve"> </w:t>
      </w:r>
      <w:r w:rsidRPr="00FA0FC2">
        <w:rPr>
          <w:rStyle w:val="hps"/>
          <w:sz w:val="30"/>
          <w:rtl/>
          <w:lang/>
        </w:rPr>
        <w:t>إلى السلطات</w:t>
      </w:r>
      <w:r w:rsidRPr="00FA0FC2">
        <w:rPr>
          <w:rStyle w:val="hps"/>
          <w:rFonts w:hint="cs"/>
          <w:sz w:val="30"/>
          <w:rtl/>
          <w:lang/>
        </w:rPr>
        <w:t xml:space="preserve"> المعنية بمسائل</w:t>
      </w:r>
      <w:r w:rsidRPr="00FA0FC2">
        <w:rPr>
          <w:sz w:val="30"/>
          <w:rtl/>
          <w:lang/>
        </w:rPr>
        <w:t xml:space="preserve"> </w:t>
      </w:r>
      <w:r w:rsidRPr="00FA0FC2">
        <w:rPr>
          <w:rStyle w:val="hps"/>
          <w:sz w:val="30"/>
          <w:rtl/>
          <w:lang/>
        </w:rPr>
        <w:t>اللجوء</w:t>
      </w:r>
      <w:r w:rsidRPr="00FA0FC2">
        <w:rPr>
          <w:sz w:val="30"/>
          <w:rtl/>
          <w:lang/>
        </w:rPr>
        <w:t xml:space="preserve"> </w:t>
      </w:r>
      <w:r w:rsidRPr="00FA0FC2">
        <w:rPr>
          <w:rStyle w:val="hps"/>
          <w:sz w:val="30"/>
          <w:rtl/>
          <w:lang/>
        </w:rPr>
        <w:t xml:space="preserve">قد </w:t>
      </w:r>
      <w:r w:rsidRPr="00FA0FC2">
        <w:rPr>
          <w:rStyle w:val="hps"/>
          <w:rFonts w:hint="cs"/>
          <w:sz w:val="30"/>
          <w:rtl/>
          <w:lang/>
        </w:rPr>
        <w:t>حُرِّرت من باب المحاباة،</w:t>
      </w:r>
      <w:r w:rsidRPr="00FA0FC2">
        <w:rPr>
          <w:sz w:val="30"/>
          <w:rtl/>
          <w:lang/>
        </w:rPr>
        <w:t xml:space="preserve"> </w:t>
      </w:r>
      <w:r w:rsidRPr="00FA0FC2">
        <w:rPr>
          <w:rStyle w:val="hps"/>
          <w:rFonts w:hint="cs"/>
          <w:sz w:val="30"/>
          <w:rtl/>
          <w:lang/>
        </w:rPr>
        <w:t>يُذكّر</w:t>
      </w:r>
      <w:r w:rsidRPr="00FA0FC2">
        <w:rPr>
          <w:sz w:val="30"/>
          <w:rtl/>
          <w:lang/>
        </w:rPr>
        <w:t xml:space="preserve">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rFonts w:hint="cs"/>
          <w:sz w:val="30"/>
          <w:rtl/>
          <w:lang/>
        </w:rPr>
        <w:t>أنه قد</w:t>
      </w:r>
      <w:r w:rsidRPr="00FA0FC2">
        <w:rPr>
          <w:rStyle w:val="hps"/>
          <w:sz w:val="30"/>
          <w:rtl/>
          <w:lang/>
        </w:rPr>
        <w:t xml:space="preserve"> سلم</w:t>
      </w:r>
      <w:r w:rsidRPr="00FA0FC2">
        <w:rPr>
          <w:sz w:val="30"/>
          <w:rtl/>
          <w:lang/>
        </w:rPr>
        <w:t xml:space="preserve"> </w:t>
      </w:r>
      <w:r w:rsidRPr="00FA0FC2">
        <w:rPr>
          <w:rStyle w:val="hps"/>
          <w:sz w:val="30"/>
          <w:rtl/>
          <w:lang/>
        </w:rPr>
        <w:t>عدة وثائق</w:t>
      </w:r>
      <w:r w:rsidRPr="00FA0FC2">
        <w:rPr>
          <w:sz w:val="30"/>
          <w:rtl/>
          <w:lang/>
        </w:rPr>
        <w:t xml:space="preserve"> </w:t>
      </w:r>
      <w:r w:rsidRPr="00FA0FC2">
        <w:rPr>
          <w:rStyle w:val="hps"/>
          <w:sz w:val="30"/>
          <w:rtl/>
          <w:lang/>
        </w:rPr>
        <w:t>رسمية</w:t>
      </w:r>
      <w:r w:rsidRPr="00FA0FC2">
        <w:rPr>
          <w:sz w:val="30"/>
          <w:rtl/>
          <w:lang/>
        </w:rPr>
        <w:t xml:space="preserve"> </w:t>
      </w:r>
      <w:r w:rsidRPr="00FA0FC2">
        <w:rPr>
          <w:rStyle w:val="hps"/>
          <w:sz w:val="30"/>
          <w:rtl/>
          <w:lang/>
        </w:rPr>
        <w:t>لدعم</w:t>
      </w:r>
      <w:r w:rsidRPr="00FA0FC2">
        <w:rPr>
          <w:sz w:val="30"/>
          <w:rtl/>
          <w:lang/>
        </w:rPr>
        <w:t xml:space="preserve"> </w:t>
      </w:r>
      <w:r w:rsidRPr="00FA0FC2">
        <w:rPr>
          <w:rStyle w:val="hps"/>
          <w:rFonts w:hint="cs"/>
          <w:sz w:val="30"/>
          <w:rtl/>
          <w:lang/>
        </w:rPr>
        <w:t>ادعاءاته</w:t>
      </w:r>
      <w:r w:rsidRPr="00FA0FC2">
        <w:rPr>
          <w:sz w:val="30"/>
          <w:rtl/>
          <w:lang/>
        </w:rPr>
        <w:t xml:space="preserve"> </w:t>
      </w:r>
      <w:r w:rsidRPr="00FA0FC2">
        <w:rPr>
          <w:rStyle w:val="hps"/>
          <w:sz w:val="30"/>
          <w:rtl/>
          <w:lang/>
        </w:rPr>
        <w:t>و</w:t>
      </w:r>
      <w:r w:rsidRPr="00FA0FC2">
        <w:rPr>
          <w:sz w:val="30"/>
          <w:rtl/>
          <w:lang/>
        </w:rPr>
        <w:t xml:space="preserve">أن هذه الادعاءات </w:t>
      </w:r>
      <w:r w:rsidRPr="00FA0FC2">
        <w:rPr>
          <w:rStyle w:val="hps"/>
          <w:rFonts w:hint="cs"/>
          <w:sz w:val="30"/>
          <w:rtl/>
          <w:lang/>
        </w:rPr>
        <w:t>قد تسنى تأكيدها</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تقارير مستقلة</w:t>
      </w:r>
      <w:r w:rsidRPr="00FA0FC2">
        <w:rPr>
          <w:sz w:val="30"/>
          <w:rtl/>
          <w:lang/>
        </w:rPr>
        <w:t xml:space="preserve">. </w:t>
      </w:r>
      <w:r w:rsidRPr="00FA0FC2">
        <w:rPr>
          <w:rFonts w:hint="cs"/>
          <w:sz w:val="30"/>
          <w:rtl/>
          <w:lang/>
        </w:rPr>
        <w:t xml:space="preserve">ومع ذلك، فإن </w:t>
      </w:r>
      <w:r w:rsidRPr="00FA0FC2">
        <w:rPr>
          <w:rStyle w:val="hps"/>
          <w:sz w:val="30"/>
          <w:rtl/>
          <w:lang/>
        </w:rPr>
        <w:t>الدولة الطرف</w:t>
      </w:r>
      <w:r>
        <w:rPr>
          <w:rFonts w:hint="cs"/>
          <w:sz w:val="30"/>
          <w:rtl/>
          <w:lang/>
        </w:rPr>
        <w:t xml:space="preserve"> لم</w:t>
      </w:r>
      <w:r>
        <w:rPr>
          <w:sz w:val="30"/>
          <w:rtl/>
          <w:lang/>
        </w:rPr>
        <w:t> </w:t>
      </w:r>
      <w:r w:rsidRPr="00FA0FC2">
        <w:rPr>
          <w:rStyle w:val="hps"/>
          <w:rFonts w:hint="cs"/>
          <w:sz w:val="30"/>
          <w:rtl/>
          <w:lang/>
        </w:rPr>
        <w:t>ت</w:t>
      </w:r>
      <w:r w:rsidRPr="00FA0FC2">
        <w:rPr>
          <w:rStyle w:val="hps"/>
          <w:sz w:val="30"/>
          <w:rtl/>
          <w:lang/>
        </w:rPr>
        <w:t>ثبت</w:t>
      </w:r>
      <w:r w:rsidRPr="00FA0FC2">
        <w:rPr>
          <w:sz w:val="30"/>
          <w:rtl/>
          <w:lang/>
        </w:rPr>
        <w:t xml:space="preserve"> </w:t>
      </w:r>
      <w:r w:rsidRPr="00FA0FC2">
        <w:rPr>
          <w:rStyle w:val="hps"/>
          <w:sz w:val="30"/>
          <w:rtl/>
          <w:lang/>
        </w:rPr>
        <w:t xml:space="preserve">ادعاءها </w:t>
      </w:r>
      <w:r w:rsidRPr="00FA0FC2">
        <w:rPr>
          <w:rStyle w:val="hps"/>
          <w:rFonts w:hint="cs"/>
          <w:sz w:val="30"/>
          <w:rtl/>
          <w:lang/>
        </w:rPr>
        <w:t>الذي يرجح زيف</w:t>
      </w:r>
      <w:r w:rsidRPr="00FA0FC2">
        <w:rPr>
          <w:sz w:val="30"/>
          <w:rtl/>
          <w:lang/>
        </w:rPr>
        <w:t xml:space="preserve"> </w:t>
      </w:r>
      <w:r w:rsidRPr="00FA0FC2">
        <w:rPr>
          <w:rStyle w:val="hps"/>
          <w:sz w:val="30"/>
          <w:rtl/>
          <w:lang/>
        </w:rPr>
        <w:t>هذه الوثائق</w:t>
      </w:r>
      <w:r w:rsidRPr="00FA0FC2">
        <w:rPr>
          <w:sz w:val="30"/>
          <w:rtl/>
          <w:lang/>
        </w:rPr>
        <w:t>.</w:t>
      </w:r>
      <w:r>
        <w:rPr>
          <w:sz w:val="30"/>
          <w:rtl/>
          <w:lang/>
        </w:rPr>
        <w:t xml:space="preserve"> ولا </w:t>
      </w:r>
      <w:r w:rsidRPr="00FA0FC2">
        <w:rPr>
          <w:rStyle w:val="hps"/>
          <w:sz w:val="30"/>
          <w:rtl/>
          <w:lang/>
        </w:rPr>
        <w:t>توجد</w:t>
      </w:r>
      <w:r w:rsidRPr="00FA0FC2">
        <w:rPr>
          <w:rStyle w:val="hps"/>
          <w:rFonts w:hint="cs"/>
          <w:sz w:val="30"/>
          <w:rtl/>
          <w:lang/>
        </w:rPr>
        <w:t>، على وجه التحديد،</w:t>
      </w:r>
      <w:r w:rsidRPr="00FA0FC2">
        <w:rPr>
          <w:sz w:val="30"/>
          <w:rtl/>
          <w:lang/>
        </w:rPr>
        <w:t xml:space="preserve"> </w:t>
      </w:r>
      <w:r w:rsidRPr="00FA0FC2">
        <w:rPr>
          <w:rStyle w:val="hps"/>
          <w:sz w:val="30"/>
          <w:rtl/>
          <w:lang/>
        </w:rPr>
        <w:t>مؤشرات م</w:t>
      </w:r>
      <w:r w:rsidRPr="00FA0FC2">
        <w:rPr>
          <w:rStyle w:val="hps"/>
          <w:rFonts w:hint="cs"/>
          <w:sz w:val="30"/>
          <w:rtl/>
          <w:lang/>
        </w:rPr>
        <w:t>لموسة</w:t>
      </w:r>
      <w:r w:rsidRPr="00FA0FC2">
        <w:rPr>
          <w:sz w:val="30"/>
          <w:rtl/>
          <w:lang/>
        </w:rPr>
        <w:t xml:space="preserve"> </w:t>
      </w:r>
      <w:r w:rsidRPr="00FA0FC2">
        <w:rPr>
          <w:rStyle w:val="hps"/>
          <w:rFonts w:hint="cs"/>
          <w:sz w:val="30"/>
          <w:rtl/>
          <w:lang/>
        </w:rPr>
        <w:t>تدل على</w:t>
      </w:r>
      <w:r w:rsidRPr="00FA0FC2">
        <w:rPr>
          <w:sz w:val="30"/>
          <w:rtl/>
          <w:lang/>
        </w:rPr>
        <w:t xml:space="preserve"> </w:t>
      </w:r>
      <w:r w:rsidRPr="00FA0FC2">
        <w:rPr>
          <w:rFonts w:hint="cs"/>
          <w:sz w:val="30"/>
          <w:rtl/>
          <w:lang/>
        </w:rPr>
        <w:t>ال</w:t>
      </w:r>
      <w:r w:rsidRPr="00FA0FC2">
        <w:rPr>
          <w:rStyle w:val="hps"/>
          <w:sz w:val="30"/>
          <w:rtl/>
          <w:lang/>
        </w:rPr>
        <w:t>تزوير</w:t>
      </w:r>
      <w:r w:rsidRPr="00FA0FC2">
        <w:rPr>
          <w:sz w:val="30"/>
          <w:rtl/>
          <w:lang/>
        </w:rPr>
        <w:t>.</w:t>
      </w:r>
      <w:r>
        <w:rPr>
          <w:sz w:val="30"/>
          <w:rtl/>
          <w:lang/>
        </w:rPr>
        <w:t xml:space="preserve"> وفيما </w:t>
      </w:r>
      <w:r w:rsidRPr="00FA0FC2">
        <w:rPr>
          <w:rStyle w:val="hps"/>
          <w:rFonts w:hint="cs"/>
          <w:sz w:val="30"/>
          <w:rtl/>
          <w:lang/>
        </w:rPr>
        <w:t>يتعلق بالانتقاد الذي أفادت فيه الدولة</w:t>
      </w:r>
      <w:r w:rsidRPr="00FA0FC2">
        <w:rPr>
          <w:rStyle w:val="hps"/>
          <w:sz w:val="30"/>
          <w:rtl/>
          <w:lang/>
        </w:rPr>
        <w:t xml:space="preserve"> الطرف</w:t>
      </w:r>
      <w:r w:rsidRPr="00FA0FC2">
        <w:rPr>
          <w:sz w:val="30"/>
          <w:rtl/>
          <w:lang/>
        </w:rPr>
        <w:t xml:space="preserve"> </w:t>
      </w:r>
      <w:r w:rsidRPr="00FA0FC2">
        <w:rPr>
          <w:rFonts w:hint="cs"/>
          <w:sz w:val="30"/>
          <w:rtl/>
          <w:lang/>
        </w:rPr>
        <w:t>ب</w:t>
      </w:r>
      <w:r w:rsidRPr="00FA0FC2">
        <w:rPr>
          <w:rStyle w:val="hps"/>
          <w:sz w:val="30"/>
          <w:rtl/>
          <w:lang/>
        </w:rPr>
        <w:t>أن</w:t>
      </w:r>
      <w:r w:rsidRPr="00FA0FC2">
        <w:rPr>
          <w:sz w:val="30"/>
          <w:rtl/>
          <w:lang/>
        </w:rPr>
        <w:t xml:space="preserve"> </w:t>
      </w:r>
      <w:r w:rsidRPr="00FA0FC2">
        <w:rPr>
          <w:rStyle w:val="hps"/>
          <w:sz w:val="30"/>
          <w:rtl/>
          <w:lang/>
        </w:rPr>
        <w:t>الشهادات</w:t>
      </w:r>
      <w:r>
        <w:rPr>
          <w:sz w:val="30"/>
          <w:rtl/>
          <w:lang/>
        </w:rPr>
        <w:t xml:space="preserve"> لا </w:t>
      </w:r>
      <w:r w:rsidRPr="00FA0FC2">
        <w:rPr>
          <w:rStyle w:val="hps"/>
          <w:sz w:val="30"/>
          <w:rtl/>
          <w:lang/>
        </w:rPr>
        <w:t>تشير إلى</w:t>
      </w:r>
      <w:r w:rsidRPr="00FA0FC2">
        <w:rPr>
          <w:sz w:val="30"/>
          <w:rtl/>
          <w:lang/>
        </w:rPr>
        <w:t xml:space="preserve"> </w:t>
      </w:r>
      <w:r w:rsidRPr="00FA0FC2">
        <w:rPr>
          <w:rStyle w:val="hps"/>
          <w:sz w:val="30"/>
          <w:rtl/>
          <w:lang/>
        </w:rPr>
        <w:t>مصدر المعلومات</w:t>
      </w:r>
      <w:r w:rsidRPr="00FA0FC2">
        <w:rPr>
          <w:sz w:val="30"/>
          <w:rtl/>
          <w:lang/>
        </w:rPr>
        <w:t xml:space="preserve"> </w:t>
      </w:r>
      <w:r w:rsidRPr="00FA0FC2">
        <w:rPr>
          <w:rStyle w:val="hps"/>
          <w:rFonts w:hint="cs"/>
          <w:sz w:val="30"/>
          <w:rtl/>
          <w:lang/>
        </w:rPr>
        <w:t>الواردة فيها</w:t>
      </w:r>
      <w:r w:rsidRPr="00FA0FC2">
        <w:rPr>
          <w:rStyle w:val="hps"/>
          <w:sz w:val="30"/>
          <w:rtl/>
          <w:lang/>
        </w:rPr>
        <w:t>،</w:t>
      </w:r>
      <w:r w:rsidRPr="00FA0FC2">
        <w:rPr>
          <w:sz w:val="30"/>
          <w:rtl/>
          <w:lang/>
        </w:rPr>
        <w:t xml:space="preserve"> </w:t>
      </w:r>
      <w:r w:rsidRPr="00FA0FC2">
        <w:rPr>
          <w:rStyle w:val="hps"/>
          <w:sz w:val="30"/>
          <w:rtl/>
          <w:lang/>
        </w:rPr>
        <w:t>ي</w:t>
      </w:r>
      <w:r w:rsidRPr="00FA0FC2">
        <w:rPr>
          <w:rStyle w:val="hps"/>
          <w:rFonts w:hint="cs"/>
          <w:sz w:val="30"/>
          <w:rtl/>
          <w:lang/>
        </w:rPr>
        <w:t>ؤكد</w:t>
      </w:r>
      <w:r w:rsidRPr="00FA0FC2">
        <w:rPr>
          <w:sz w:val="30"/>
          <w:rtl/>
          <w:lang/>
        </w:rPr>
        <w:t xml:space="preserve"> </w:t>
      </w:r>
      <w:r w:rsidRPr="00FA0FC2">
        <w:rPr>
          <w:rStyle w:val="hps"/>
          <w:sz w:val="30"/>
          <w:rtl/>
          <w:lang/>
        </w:rPr>
        <w:t>أصحاب الشكوى</w:t>
      </w:r>
      <w:r w:rsidRPr="00FA0FC2">
        <w:rPr>
          <w:sz w:val="30"/>
          <w:rtl/>
          <w:lang/>
        </w:rPr>
        <w:t xml:space="preserve"> </w:t>
      </w:r>
      <w:r w:rsidRPr="00FA0FC2">
        <w:rPr>
          <w:rStyle w:val="hps"/>
          <w:sz w:val="30"/>
          <w:rtl/>
          <w:lang/>
        </w:rPr>
        <w:t xml:space="preserve">أنه </w:t>
      </w:r>
      <w:r w:rsidRPr="00FA0FC2">
        <w:rPr>
          <w:rStyle w:val="hps"/>
          <w:rFonts w:hint="cs"/>
          <w:sz w:val="30"/>
          <w:rtl/>
          <w:lang/>
        </w:rPr>
        <w:t>بالنظر إلى استحالة قدرتهم على</w:t>
      </w:r>
      <w:r w:rsidRPr="00FA0FC2">
        <w:rPr>
          <w:sz w:val="30"/>
          <w:rtl/>
          <w:lang/>
        </w:rPr>
        <w:t xml:space="preserve"> </w:t>
      </w:r>
      <w:r w:rsidRPr="00FA0FC2">
        <w:rPr>
          <w:rStyle w:val="hps"/>
          <w:sz w:val="30"/>
          <w:rtl/>
          <w:lang/>
        </w:rPr>
        <w:t>إثبات</w:t>
      </w:r>
      <w:r w:rsidRPr="00FA0FC2">
        <w:rPr>
          <w:sz w:val="30"/>
          <w:rtl/>
          <w:lang/>
        </w:rPr>
        <w:t xml:space="preserve"> </w:t>
      </w:r>
      <w:r w:rsidRPr="00FA0FC2">
        <w:rPr>
          <w:rStyle w:val="hps"/>
          <w:sz w:val="30"/>
          <w:rtl/>
          <w:lang/>
        </w:rPr>
        <w:t>صحة هذه الوثائق</w:t>
      </w:r>
      <w:r w:rsidRPr="00FA0FC2">
        <w:rPr>
          <w:sz w:val="30"/>
          <w:rtl/>
          <w:lang/>
        </w:rPr>
        <w:t xml:space="preserve">، </w:t>
      </w:r>
      <w:r w:rsidRPr="00FA0FC2">
        <w:rPr>
          <w:rStyle w:val="hps"/>
          <w:rFonts w:hint="cs"/>
          <w:sz w:val="30"/>
          <w:rtl/>
          <w:lang/>
        </w:rPr>
        <w:t>فإنه يتعين</w:t>
      </w:r>
      <w:r w:rsidRPr="00FA0FC2">
        <w:rPr>
          <w:rStyle w:val="hps"/>
          <w:sz w:val="30"/>
          <w:rtl/>
          <w:lang/>
        </w:rPr>
        <w:t xml:space="preserve"> قبولها</w:t>
      </w:r>
      <w:r w:rsidRPr="00FA0FC2">
        <w:rPr>
          <w:sz w:val="30"/>
          <w:rtl/>
          <w:lang/>
        </w:rPr>
        <w:t xml:space="preserve"> </w:t>
      </w:r>
      <w:r w:rsidRPr="00FA0FC2">
        <w:rPr>
          <w:rStyle w:val="hps"/>
          <w:sz w:val="30"/>
          <w:rtl/>
          <w:lang/>
        </w:rPr>
        <w:t>كدليل</w:t>
      </w:r>
      <w:r w:rsidRPr="00FA0FC2">
        <w:rPr>
          <w:sz w:val="30"/>
          <w:rtl/>
          <w:lang/>
        </w:rPr>
        <w:t xml:space="preserve"> </w:t>
      </w:r>
      <w:r w:rsidRPr="00FA0FC2">
        <w:rPr>
          <w:rStyle w:val="hps"/>
          <w:sz w:val="30"/>
          <w:rtl/>
          <w:lang/>
        </w:rPr>
        <w:t>حتى</w:t>
      </w:r>
      <w:r w:rsidRPr="00FA0FC2">
        <w:rPr>
          <w:sz w:val="30"/>
          <w:rtl/>
          <w:lang/>
        </w:rPr>
        <w:t xml:space="preserve"> </w:t>
      </w:r>
      <w:r w:rsidRPr="00FA0FC2">
        <w:rPr>
          <w:rStyle w:val="hps"/>
          <w:rFonts w:hint="cs"/>
          <w:sz w:val="30"/>
          <w:rtl/>
          <w:lang/>
        </w:rPr>
        <w:t>يثبت زيفها</w:t>
      </w:r>
      <w:r w:rsidRPr="00FA0FC2">
        <w:rPr>
          <w:rStyle w:val="hps"/>
          <w:sz w:val="30"/>
          <w:rtl/>
          <w:lang/>
        </w:rPr>
        <w:t>.</w:t>
      </w:r>
    </w:p>
    <w:p w:rsidR="00091373" w:rsidRPr="000A5876" w:rsidRDefault="00091373" w:rsidP="00091373">
      <w:pPr>
        <w:pStyle w:val="SingleTxtGA"/>
        <w:rPr>
          <w:sz w:val="30"/>
          <w:rtl/>
          <w:lang/>
        </w:rPr>
      </w:pPr>
      <w:r w:rsidRPr="00FA0FC2">
        <w:rPr>
          <w:sz w:val="30"/>
          <w:rtl/>
          <w:lang w:val="fr-CH"/>
        </w:rPr>
        <w:t>5-3</w:t>
      </w:r>
      <w:r w:rsidRPr="00FA0FC2">
        <w:rPr>
          <w:sz w:val="30"/>
          <w:rtl/>
          <w:lang w:val="fr-CH"/>
        </w:rPr>
        <w:tab/>
      </w:r>
      <w:r w:rsidRPr="00FA0FC2">
        <w:rPr>
          <w:rFonts w:hint="cs"/>
          <w:sz w:val="30"/>
          <w:rtl/>
          <w:lang w:val="fr-CH"/>
        </w:rPr>
        <w:t>و</w:t>
      </w:r>
      <w:r w:rsidRPr="00FA0FC2">
        <w:rPr>
          <w:rStyle w:val="hps"/>
          <w:sz w:val="30"/>
          <w:rtl/>
          <w:lang/>
        </w:rPr>
        <w:t>فيما يتعلق</w:t>
      </w:r>
      <w:r w:rsidRPr="00FA0FC2">
        <w:rPr>
          <w:sz w:val="30"/>
          <w:rtl/>
          <w:lang/>
        </w:rPr>
        <w:t xml:space="preserve"> </w:t>
      </w:r>
      <w:r w:rsidRPr="00FA0FC2">
        <w:rPr>
          <w:rStyle w:val="hps"/>
          <w:sz w:val="30"/>
          <w:rtl/>
          <w:lang/>
        </w:rPr>
        <w:t>بتأكيد الدولة</w:t>
      </w:r>
      <w:r w:rsidRPr="00FA0FC2">
        <w:rPr>
          <w:sz w:val="30"/>
          <w:rtl/>
          <w:lang/>
        </w:rPr>
        <w:t xml:space="preserve"> </w:t>
      </w:r>
      <w:r w:rsidRPr="00FA0FC2">
        <w:rPr>
          <w:rStyle w:val="hps"/>
          <w:sz w:val="30"/>
          <w:rtl/>
          <w:lang/>
        </w:rPr>
        <w:t>الطرف</w:t>
      </w:r>
      <w:r w:rsidRPr="00FA0FC2">
        <w:rPr>
          <w:rStyle w:val="hps"/>
          <w:rFonts w:hint="cs"/>
          <w:sz w:val="30"/>
          <w:rtl/>
          <w:lang/>
        </w:rPr>
        <w:t xml:space="preserve"> القائل</w:t>
      </w:r>
      <w:r w:rsidRPr="00FA0FC2">
        <w:rPr>
          <w:rStyle w:val="hps"/>
          <w:sz w:val="30"/>
          <w:rtl/>
          <w:lang/>
        </w:rPr>
        <w:t xml:space="preserve"> بأن</w:t>
      </w:r>
      <w:r w:rsidRPr="00FA0FC2">
        <w:rPr>
          <w:sz w:val="30"/>
          <w:rtl/>
          <w:lang/>
        </w:rPr>
        <w:t xml:space="preserve"> </w:t>
      </w:r>
      <w:r w:rsidRPr="00FA0FC2">
        <w:rPr>
          <w:rStyle w:val="hps"/>
          <w:rFonts w:hint="cs"/>
          <w:sz w:val="30"/>
          <w:rtl/>
          <w:lang/>
        </w:rPr>
        <w:t>صاحب</w:t>
      </w:r>
      <w:r w:rsidRPr="00FA0FC2">
        <w:rPr>
          <w:rStyle w:val="hps"/>
          <w:sz w:val="30"/>
          <w:rtl/>
          <w:lang/>
        </w:rPr>
        <w:t xml:space="preserve"> الشكوى</w:t>
      </w:r>
      <w:r w:rsidRPr="00FA0FC2">
        <w:rPr>
          <w:sz w:val="30"/>
          <w:rtl/>
          <w:lang/>
        </w:rPr>
        <w:t xml:space="preserve"> </w:t>
      </w:r>
      <w:r w:rsidRPr="00FA0FC2">
        <w:rPr>
          <w:rStyle w:val="hps"/>
          <w:sz w:val="30"/>
          <w:rtl/>
          <w:lang/>
        </w:rPr>
        <w:t>الأول</w:t>
      </w:r>
      <w:r>
        <w:rPr>
          <w:sz w:val="30"/>
          <w:rtl/>
          <w:lang/>
        </w:rPr>
        <w:t xml:space="preserve"> لم </w:t>
      </w:r>
      <w:r w:rsidRPr="00FA0FC2">
        <w:rPr>
          <w:rStyle w:val="hps"/>
          <w:sz w:val="30"/>
          <w:rtl/>
          <w:lang/>
        </w:rPr>
        <w:t>يشارك</w:t>
      </w:r>
      <w:r w:rsidRPr="00FA0FC2">
        <w:rPr>
          <w:sz w:val="30"/>
          <w:rtl/>
          <w:lang/>
        </w:rPr>
        <w:t xml:space="preserve"> </w:t>
      </w:r>
      <w:r w:rsidRPr="00FA0FC2">
        <w:rPr>
          <w:rStyle w:val="hps"/>
          <w:sz w:val="30"/>
          <w:rtl/>
          <w:lang/>
        </w:rPr>
        <w:t>في أي نشاط سياسي</w:t>
      </w:r>
      <w:r w:rsidRPr="00FA0FC2">
        <w:rPr>
          <w:sz w:val="30"/>
          <w:rtl/>
          <w:lang/>
        </w:rPr>
        <w:t xml:space="preserve"> </w:t>
      </w:r>
      <w:r w:rsidRPr="00FA0FC2">
        <w:rPr>
          <w:rStyle w:val="hps"/>
          <w:rFonts w:hint="cs"/>
          <w:sz w:val="30"/>
          <w:rtl/>
          <w:lang/>
        </w:rPr>
        <w:t>هام</w:t>
      </w:r>
      <w:r w:rsidRPr="00FA0FC2">
        <w:rPr>
          <w:sz w:val="30"/>
          <w:rtl/>
          <w:lang/>
        </w:rPr>
        <w:t xml:space="preserve"> </w:t>
      </w:r>
      <w:r w:rsidRPr="00FA0FC2">
        <w:rPr>
          <w:rStyle w:val="hps"/>
          <w:sz w:val="30"/>
          <w:rtl/>
          <w:lang/>
        </w:rPr>
        <w:t>قبل</w:t>
      </w:r>
      <w:r w:rsidRPr="00FA0FC2">
        <w:rPr>
          <w:sz w:val="30"/>
          <w:rtl/>
          <w:lang/>
        </w:rPr>
        <w:t xml:space="preserve"> </w:t>
      </w:r>
      <w:r w:rsidRPr="00FA0FC2">
        <w:rPr>
          <w:rStyle w:val="hps"/>
          <w:rFonts w:hint="cs"/>
          <w:sz w:val="30"/>
          <w:rtl/>
          <w:lang/>
        </w:rPr>
        <w:t>مغادرته اليمن</w:t>
      </w:r>
      <w:r w:rsidRPr="00FA0FC2">
        <w:rPr>
          <w:sz w:val="30"/>
          <w:rtl/>
          <w:lang/>
        </w:rPr>
        <w:t xml:space="preserve">، </w:t>
      </w:r>
      <w:r w:rsidRPr="00FA0FC2">
        <w:rPr>
          <w:rStyle w:val="hps"/>
          <w:sz w:val="30"/>
          <w:rtl/>
          <w:lang/>
        </w:rPr>
        <w:t>باستثناء</w:t>
      </w:r>
      <w:r w:rsidRPr="00FA0FC2">
        <w:rPr>
          <w:sz w:val="30"/>
          <w:rtl/>
          <w:lang/>
        </w:rPr>
        <w:t xml:space="preserve"> </w:t>
      </w:r>
      <w:r w:rsidRPr="00FA0FC2">
        <w:rPr>
          <w:rStyle w:val="hps"/>
          <w:sz w:val="30"/>
          <w:rtl/>
          <w:lang/>
        </w:rPr>
        <w:t>المظاهرة</w:t>
      </w:r>
      <w:r w:rsidRPr="00FA0FC2">
        <w:rPr>
          <w:sz w:val="30"/>
          <w:rtl/>
          <w:lang/>
        </w:rPr>
        <w:t xml:space="preserve"> </w:t>
      </w:r>
      <w:r w:rsidRPr="00FA0FC2">
        <w:rPr>
          <w:rStyle w:val="hps"/>
          <w:sz w:val="30"/>
          <w:rtl/>
          <w:lang/>
        </w:rPr>
        <w:t xml:space="preserve">التي </w:t>
      </w:r>
      <w:r w:rsidRPr="00FA0FC2">
        <w:rPr>
          <w:rStyle w:val="hps"/>
          <w:rFonts w:hint="cs"/>
          <w:sz w:val="30"/>
          <w:rtl/>
          <w:lang/>
        </w:rPr>
        <w:t>تسببت في</w:t>
      </w:r>
      <w:r w:rsidRPr="00FA0FC2">
        <w:rPr>
          <w:sz w:val="30"/>
          <w:rtl/>
          <w:lang/>
        </w:rPr>
        <w:t xml:space="preserve"> </w:t>
      </w:r>
      <w:r w:rsidRPr="00FA0FC2">
        <w:rPr>
          <w:rStyle w:val="hps"/>
          <w:sz w:val="30"/>
          <w:rtl/>
          <w:lang/>
        </w:rPr>
        <w:t>اعتقاله</w:t>
      </w:r>
      <w:r w:rsidRPr="00FA0FC2">
        <w:rPr>
          <w:sz w:val="30"/>
          <w:rtl/>
          <w:lang/>
        </w:rPr>
        <w:t xml:space="preserve">، </w:t>
      </w:r>
      <w:r w:rsidRPr="00FA0FC2">
        <w:rPr>
          <w:rFonts w:hint="cs"/>
          <w:sz w:val="30"/>
          <w:rtl/>
          <w:lang/>
        </w:rPr>
        <w:t xml:space="preserve">يُذكّر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sz w:val="30"/>
          <w:rtl/>
          <w:lang/>
        </w:rPr>
        <w:t>أنه</w:t>
      </w:r>
      <w:r w:rsidRPr="00FA0FC2">
        <w:rPr>
          <w:sz w:val="30"/>
          <w:rtl/>
          <w:lang/>
        </w:rPr>
        <w:t xml:space="preserve"> </w:t>
      </w:r>
      <w:r w:rsidRPr="00FA0FC2">
        <w:rPr>
          <w:rStyle w:val="hps"/>
          <w:sz w:val="30"/>
          <w:rtl/>
          <w:lang/>
        </w:rPr>
        <w:t>كان عضوا</w:t>
      </w:r>
      <w:r w:rsidRPr="00FA0FC2">
        <w:rPr>
          <w:rStyle w:val="hps"/>
          <w:rFonts w:hint="cs"/>
          <w:sz w:val="30"/>
          <w:rtl/>
          <w:lang/>
        </w:rPr>
        <w:t>ً</w:t>
      </w:r>
      <w:r w:rsidRPr="00FA0FC2">
        <w:rPr>
          <w:rStyle w:val="hps"/>
          <w:sz w:val="30"/>
          <w:rtl/>
          <w:lang/>
        </w:rPr>
        <w:t xml:space="preserve"> في</w:t>
      </w:r>
      <w:r w:rsidRPr="00FA0FC2">
        <w:rPr>
          <w:sz w:val="30"/>
          <w:rtl/>
          <w:lang/>
        </w:rPr>
        <w:t xml:space="preserve"> </w:t>
      </w:r>
      <w:r w:rsidRPr="00FA0FC2">
        <w:rPr>
          <w:rStyle w:val="hps"/>
          <w:sz w:val="30"/>
          <w:rtl/>
          <w:lang/>
        </w:rPr>
        <w:t>الحزب الاشتراكي اليمني</w:t>
      </w:r>
      <w:r w:rsidRPr="00FA0FC2">
        <w:rPr>
          <w:sz w:val="30"/>
          <w:rtl/>
          <w:lang/>
        </w:rPr>
        <w:t xml:space="preserve"> </w:t>
      </w:r>
      <w:r w:rsidRPr="00FA0FC2">
        <w:rPr>
          <w:rStyle w:val="hps"/>
          <w:sz w:val="30"/>
          <w:rtl/>
          <w:lang/>
        </w:rPr>
        <w:t>قبل</w:t>
      </w:r>
      <w:r w:rsidRPr="00FA0FC2">
        <w:rPr>
          <w:sz w:val="30"/>
          <w:rtl/>
          <w:lang/>
        </w:rPr>
        <w:t xml:space="preserve"> </w:t>
      </w:r>
      <w:r w:rsidRPr="00FA0FC2">
        <w:rPr>
          <w:rStyle w:val="hps"/>
          <w:sz w:val="30"/>
          <w:rtl/>
          <w:lang/>
        </w:rPr>
        <w:t>توحيد اليمن</w:t>
      </w:r>
      <w:r w:rsidRPr="00FA0FC2">
        <w:rPr>
          <w:sz w:val="30"/>
          <w:rtl/>
          <w:lang/>
        </w:rPr>
        <w:t xml:space="preserve">. </w:t>
      </w:r>
      <w:r w:rsidRPr="00FA0FC2">
        <w:rPr>
          <w:rStyle w:val="hps"/>
          <w:sz w:val="30"/>
          <w:rtl/>
          <w:lang/>
        </w:rPr>
        <w:t>ويضيف</w:t>
      </w:r>
      <w:r w:rsidRPr="00FA0FC2">
        <w:rPr>
          <w:sz w:val="30"/>
          <w:rtl/>
          <w:lang/>
        </w:rPr>
        <w:t xml:space="preserve"> </w:t>
      </w:r>
      <w:r w:rsidRPr="00FA0FC2">
        <w:rPr>
          <w:rStyle w:val="hps"/>
          <w:sz w:val="30"/>
          <w:rtl/>
          <w:lang/>
        </w:rPr>
        <w:t>أنه على الرغم من</w:t>
      </w:r>
      <w:r w:rsidRPr="00FA0FC2">
        <w:rPr>
          <w:sz w:val="30"/>
          <w:rtl/>
          <w:lang/>
        </w:rPr>
        <w:t xml:space="preserve"> </w:t>
      </w:r>
      <w:r w:rsidRPr="00FA0FC2">
        <w:rPr>
          <w:rFonts w:hint="cs"/>
          <w:sz w:val="30"/>
          <w:rtl/>
          <w:lang/>
        </w:rPr>
        <w:t xml:space="preserve">أن </w:t>
      </w:r>
      <w:r w:rsidRPr="00FA0FC2">
        <w:rPr>
          <w:rStyle w:val="hps"/>
          <w:rFonts w:hint="cs"/>
          <w:sz w:val="30"/>
          <w:rtl/>
          <w:lang/>
        </w:rPr>
        <w:t>تصريحه</w:t>
      </w:r>
      <w:r w:rsidRPr="00FA0FC2">
        <w:rPr>
          <w:rStyle w:val="hps"/>
          <w:sz w:val="30"/>
          <w:rtl/>
          <w:lang/>
        </w:rPr>
        <w:t xml:space="preserve"> </w:t>
      </w:r>
      <w:r w:rsidRPr="00FA0FC2">
        <w:rPr>
          <w:rStyle w:val="hps"/>
          <w:rFonts w:hint="cs"/>
          <w:sz w:val="30"/>
          <w:rtl/>
          <w:lang/>
        </w:rPr>
        <w:t>ب</w:t>
      </w:r>
      <w:r w:rsidRPr="00FA0FC2">
        <w:rPr>
          <w:rStyle w:val="hps"/>
          <w:sz w:val="30"/>
          <w:rtl/>
          <w:lang/>
        </w:rPr>
        <w:t>أنه</w:t>
      </w:r>
      <w:r w:rsidRPr="00FA0FC2">
        <w:rPr>
          <w:sz w:val="30"/>
          <w:rtl/>
          <w:lang/>
        </w:rPr>
        <w:t xml:space="preserve"> </w:t>
      </w:r>
      <w:r w:rsidRPr="00FA0FC2">
        <w:rPr>
          <w:rStyle w:val="hps"/>
          <w:sz w:val="30"/>
          <w:rtl/>
          <w:lang/>
        </w:rPr>
        <w:t>كان عضوا</w:t>
      </w:r>
      <w:r w:rsidRPr="00FA0FC2">
        <w:rPr>
          <w:rStyle w:val="hps"/>
          <w:rFonts w:hint="cs"/>
          <w:sz w:val="30"/>
          <w:rtl/>
          <w:lang/>
        </w:rPr>
        <w:t>ً في</w:t>
      </w:r>
      <w:r w:rsidRPr="00FA0FC2">
        <w:rPr>
          <w:rStyle w:val="hps"/>
          <w:sz w:val="30"/>
          <w:rtl/>
          <w:lang/>
        </w:rPr>
        <w:t xml:space="preserve"> الحزب الاشتراكي اليمني</w:t>
      </w:r>
      <w:r w:rsidRPr="00FA0FC2">
        <w:rPr>
          <w:sz w:val="30"/>
          <w:rtl/>
          <w:lang/>
        </w:rPr>
        <w:t xml:space="preserve"> </w:t>
      </w:r>
      <w:r w:rsidRPr="00FA0FC2">
        <w:rPr>
          <w:rStyle w:val="hps"/>
          <w:sz w:val="30"/>
          <w:rtl/>
          <w:lang/>
        </w:rPr>
        <w:t>من أجل الحصول على</w:t>
      </w:r>
      <w:r w:rsidRPr="00FA0FC2">
        <w:rPr>
          <w:sz w:val="30"/>
          <w:rtl/>
          <w:lang/>
        </w:rPr>
        <w:t xml:space="preserve"> </w:t>
      </w:r>
      <w:r w:rsidRPr="00FA0FC2">
        <w:rPr>
          <w:rStyle w:val="hps"/>
          <w:sz w:val="30"/>
          <w:rtl/>
          <w:lang/>
        </w:rPr>
        <w:t>امتيازات معينة</w:t>
      </w:r>
      <w:r w:rsidRPr="00FA0FC2">
        <w:rPr>
          <w:sz w:val="30"/>
          <w:rtl/>
          <w:lang/>
        </w:rPr>
        <w:t xml:space="preserve"> </w:t>
      </w:r>
      <w:r w:rsidRPr="00FA0FC2">
        <w:rPr>
          <w:rStyle w:val="hps"/>
          <w:sz w:val="30"/>
          <w:rtl/>
          <w:lang/>
        </w:rPr>
        <w:t>يعني</w:t>
      </w:r>
      <w:r w:rsidRPr="00FA0FC2">
        <w:rPr>
          <w:sz w:val="30"/>
          <w:rtl/>
          <w:lang/>
        </w:rPr>
        <w:t xml:space="preserve"> </w:t>
      </w:r>
      <w:r w:rsidRPr="00FA0FC2">
        <w:rPr>
          <w:rStyle w:val="hps"/>
          <w:sz w:val="30"/>
          <w:rtl/>
          <w:lang/>
        </w:rPr>
        <w:t xml:space="preserve">بوضوح </w:t>
      </w:r>
      <w:r w:rsidRPr="00FA0FC2">
        <w:rPr>
          <w:rStyle w:val="hps"/>
          <w:rFonts w:hint="cs"/>
          <w:sz w:val="30"/>
          <w:rtl/>
          <w:lang/>
        </w:rPr>
        <w:t>أن</w:t>
      </w:r>
      <w:r w:rsidRPr="00FA0FC2">
        <w:rPr>
          <w:rStyle w:val="hps"/>
          <w:sz w:val="30"/>
          <w:rtl/>
          <w:lang/>
        </w:rPr>
        <w:t>ه</w:t>
      </w:r>
      <w:r>
        <w:rPr>
          <w:sz w:val="30"/>
          <w:rtl/>
          <w:lang/>
        </w:rPr>
        <w:t xml:space="preserve"> لا </w:t>
      </w:r>
      <w:r w:rsidRPr="00FA0FC2">
        <w:rPr>
          <w:rStyle w:val="hps"/>
          <w:sz w:val="30"/>
          <w:rtl/>
          <w:lang/>
        </w:rPr>
        <w:t>يتفق مع</w:t>
      </w:r>
      <w:r w:rsidRPr="00FA0FC2">
        <w:rPr>
          <w:sz w:val="30"/>
          <w:rtl/>
          <w:lang/>
        </w:rPr>
        <w:t xml:space="preserve"> </w:t>
      </w:r>
      <w:r w:rsidRPr="00FA0FC2">
        <w:rPr>
          <w:rStyle w:val="hps"/>
          <w:rFonts w:hint="cs"/>
          <w:sz w:val="30"/>
          <w:rtl/>
          <w:lang/>
        </w:rPr>
        <w:t>آراء هذا الحزب</w:t>
      </w:r>
      <w:r w:rsidRPr="00FA0FC2">
        <w:rPr>
          <w:sz w:val="30"/>
          <w:rtl/>
          <w:lang/>
        </w:rPr>
        <w:t xml:space="preserve">، </w:t>
      </w:r>
      <w:r w:rsidRPr="00FA0FC2">
        <w:rPr>
          <w:rFonts w:hint="cs"/>
          <w:sz w:val="30"/>
          <w:rtl/>
          <w:lang/>
        </w:rPr>
        <w:t>فإنه قد ذكر أيضاً</w:t>
      </w:r>
      <w:r w:rsidRPr="00FA0FC2">
        <w:rPr>
          <w:sz w:val="30"/>
          <w:rtl/>
          <w:lang/>
        </w:rPr>
        <w:t xml:space="preserve"> </w:t>
      </w:r>
      <w:r w:rsidRPr="00FA0FC2">
        <w:rPr>
          <w:rStyle w:val="hps"/>
          <w:sz w:val="30"/>
          <w:rtl/>
          <w:lang/>
        </w:rPr>
        <w:t>خلال</w:t>
      </w:r>
      <w:r w:rsidRPr="00FA0FC2">
        <w:rPr>
          <w:sz w:val="30"/>
          <w:rtl/>
          <w:lang/>
        </w:rPr>
        <w:t xml:space="preserve"> </w:t>
      </w:r>
      <w:r w:rsidRPr="00FA0FC2">
        <w:rPr>
          <w:rFonts w:hint="cs"/>
          <w:sz w:val="30"/>
          <w:rtl/>
          <w:lang/>
        </w:rPr>
        <w:t>ال</w:t>
      </w:r>
      <w:r w:rsidRPr="00FA0FC2">
        <w:rPr>
          <w:rStyle w:val="hps"/>
          <w:sz w:val="30"/>
          <w:rtl/>
          <w:lang/>
        </w:rPr>
        <w:t>مقابلات</w:t>
      </w:r>
      <w:r w:rsidRPr="00FA0FC2">
        <w:rPr>
          <w:rStyle w:val="hps"/>
          <w:rFonts w:hint="cs"/>
          <w:sz w:val="30"/>
          <w:rtl/>
          <w:lang/>
        </w:rPr>
        <w:t xml:space="preserve"> التي أجريت في إطار إجراءات</w:t>
      </w:r>
      <w:r w:rsidRPr="00FA0FC2">
        <w:rPr>
          <w:sz w:val="30"/>
          <w:rtl/>
          <w:lang/>
        </w:rPr>
        <w:t xml:space="preserve"> </w:t>
      </w:r>
      <w:r w:rsidRPr="00FA0FC2">
        <w:rPr>
          <w:rStyle w:val="hps"/>
          <w:sz w:val="30"/>
          <w:rtl/>
          <w:lang/>
        </w:rPr>
        <w:t>اللجوء</w:t>
      </w:r>
      <w:r w:rsidRPr="00FA0FC2">
        <w:rPr>
          <w:sz w:val="30"/>
          <w:rtl/>
          <w:lang/>
        </w:rPr>
        <w:t xml:space="preserve"> </w:t>
      </w:r>
      <w:r w:rsidRPr="00FA0FC2">
        <w:rPr>
          <w:rStyle w:val="hps"/>
          <w:sz w:val="30"/>
          <w:rtl/>
          <w:lang/>
        </w:rPr>
        <w:t>أنه</w:t>
      </w:r>
      <w:r w:rsidRPr="00FA0FC2">
        <w:rPr>
          <w:sz w:val="30"/>
          <w:rtl/>
          <w:lang/>
        </w:rPr>
        <w:t xml:space="preserve"> </w:t>
      </w:r>
      <w:r w:rsidRPr="00FA0FC2">
        <w:rPr>
          <w:rStyle w:val="hps"/>
          <w:sz w:val="30"/>
          <w:rtl/>
          <w:lang/>
        </w:rPr>
        <w:t>كان</w:t>
      </w:r>
      <w:r w:rsidRPr="00FA0FC2">
        <w:rPr>
          <w:rStyle w:val="hps"/>
          <w:rFonts w:hint="cs"/>
          <w:sz w:val="30"/>
          <w:rtl/>
          <w:lang/>
        </w:rPr>
        <w:t xml:space="preserve"> يكنّ</w:t>
      </w:r>
      <w:r w:rsidRPr="00FA0FC2">
        <w:rPr>
          <w:rStyle w:val="hps"/>
          <w:sz w:val="30"/>
          <w:rtl/>
          <w:lang/>
        </w:rPr>
        <w:t xml:space="preserve"> دائما</w:t>
      </w:r>
      <w:r w:rsidRPr="00FA0FC2">
        <w:rPr>
          <w:sz w:val="30"/>
          <w:rtl/>
          <w:lang/>
        </w:rPr>
        <w:t xml:space="preserve"> </w:t>
      </w:r>
      <w:r w:rsidRPr="00FA0FC2">
        <w:rPr>
          <w:rStyle w:val="hps"/>
          <w:sz w:val="30"/>
          <w:rtl/>
          <w:lang/>
        </w:rPr>
        <w:t>بعض</w:t>
      </w:r>
      <w:r w:rsidRPr="00FA0FC2">
        <w:rPr>
          <w:sz w:val="30"/>
          <w:rtl/>
          <w:lang/>
        </w:rPr>
        <w:t xml:space="preserve"> </w:t>
      </w:r>
      <w:r w:rsidRPr="00FA0FC2">
        <w:rPr>
          <w:rStyle w:val="hps"/>
          <w:sz w:val="30"/>
          <w:rtl/>
          <w:lang/>
        </w:rPr>
        <w:t>"</w:t>
      </w:r>
      <w:r w:rsidRPr="00FA0FC2">
        <w:rPr>
          <w:sz w:val="30"/>
          <w:rtl/>
          <w:lang/>
        </w:rPr>
        <w:t xml:space="preserve">الغضب </w:t>
      </w:r>
      <w:r w:rsidRPr="00FA0FC2">
        <w:rPr>
          <w:rStyle w:val="hps"/>
          <w:sz w:val="30"/>
          <w:rtl/>
          <w:lang/>
        </w:rPr>
        <w:t>الداخلي"</w:t>
      </w:r>
      <w:r w:rsidRPr="00FA0FC2">
        <w:rPr>
          <w:sz w:val="30"/>
          <w:rtl/>
          <w:lang/>
        </w:rPr>
        <w:t>، و</w:t>
      </w:r>
      <w:r w:rsidRPr="00FA0FC2">
        <w:rPr>
          <w:rFonts w:hint="cs"/>
          <w:sz w:val="30"/>
          <w:rtl/>
          <w:lang/>
        </w:rPr>
        <w:t>هو</w:t>
      </w:r>
      <w:r>
        <w:rPr>
          <w:rFonts w:hint="cs"/>
          <w:sz w:val="30"/>
          <w:rtl/>
          <w:lang/>
        </w:rPr>
        <w:t xml:space="preserve"> ما</w:t>
      </w:r>
      <w:r>
        <w:rPr>
          <w:sz w:val="30"/>
          <w:rtl/>
          <w:lang/>
        </w:rPr>
        <w:t> </w:t>
      </w:r>
      <w:r w:rsidRPr="00FA0FC2">
        <w:rPr>
          <w:sz w:val="30"/>
          <w:rtl/>
          <w:lang/>
        </w:rPr>
        <w:t xml:space="preserve">يعني </w:t>
      </w:r>
      <w:r w:rsidRPr="00FA0FC2">
        <w:rPr>
          <w:rStyle w:val="hps"/>
          <w:rFonts w:hint="cs"/>
          <w:sz w:val="30"/>
          <w:rtl/>
          <w:lang/>
        </w:rPr>
        <w:t>عدم رضاه</w:t>
      </w:r>
      <w:r w:rsidRPr="00FA0FC2">
        <w:rPr>
          <w:rStyle w:val="hps"/>
          <w:sz w:val="30"/>
          <w:rtl/>
          <w:lang/>
        </w:rPr>
        <w:t xml:space="preserve"> عن</w:t>
      </w:r>
      <w:r w:rsidRPr="00FA0FC2">
        <w:rPr>
          <w:sz w:val="30"/>
          <w:rtl/>
          <w:lang/>
        </w:rPr>
        <w:t xml:space="preserve"> </w:t>
      </w:r>
      <w:r w:rsidRPr="00FA0FC2">
        <w:rPr>
          <w:rStyle w:val="hps"/>
          <w:sz w:val="30"/>
          <w:rtl/>
          <w:lang/>
        </w:rPr>
        <w:t>الوضع السياسي</w:t>
      </w:r>
      <w:r w:rsidRPr="00FA0FC2">
        <w:rPr>
          <w:sz w:val="30"/>
          <w:rtl/>
          <w:lang/>
        </w:rPr>
        <w:t xml:space="preserve"> </w:t>
      </w:r>
      <w:r w:rsidRPr="00FA0FC2">
        <w:rPr>
          <w:rStyle w:val="hps"/>
          <w:rFonts w:hint="cs"/>
          <w:sz w:val="30"/>
          <w:rtl/>
          <w:lang/>
        </w:rPr>
        <w:t>ورغبته في تغيير الأمور</w:t>
      </w:r>
      <w:r w:rsidRPr="00FA0FC2">
        <w:rPr>
          <w:rStyle w:val="hps"/>
          <w:sz w:val="30"/>
          <w:rtl/>
          <w:lang/>
        </w:rPr>
        <w:t>.</w:t>
      </w:r>
      <w:r w:rsidRPr="00FA0FC2">
        <w:rPr>
          <w:sz w:val="30"/>
          <w:rtl/>
          <w:lang/>
        </w:rPr>
        <w:t xml:space="preserve"> </w:t>
      </w:r>
      <w:r w:rsidRPr="00FA0FC2">
        <w:rPr>
          <w:rFonts w:hint="cs"/>
          <w:sz w:val="30"/>
          <w:rtl/>
          <w:lang/>
        </w:rPr>
        <w:t xml:space="preserve">ويؤكد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rFonts w:hint="cs"/>
          <w:sz w:val="30"/>
          <w:rtl/>
          <w:lang/>
        </w:rPr>
        <w:t>أن مشاركته في</w:t>
      </w:r>
      <w:r w:rsidRPr="00FA0FC2">
        <w:rPr>
          <w:rStyle w:val="hps"/>
          <w:sz w:val="30"/>
          <w:rtl/>
          <w:lang/>
        </w:rPr>
        <w:t xml:space="preserve"> المظاهرة</w:t>
      </w:r>
      <w:r w:rsidRPr="00FA0FC2">
        <w:rPr>
          <w:sz w:val="30"/>
          <w:rtl/>
          <w:lang/>
        </w:rPr>
        <w:t xml:space="preserve"> </w:t>
      </w:r>
      <w:r w:rsidRPr="00FA0FC2">
        <w:rPr>
          <w:rStyle w:val="hps"/>
          <w:sz w:val="30"/>
          <w:rtl/>
          <w:lang/>
        </w:rPr>
        <w:t>ال</w:t>
      </w:r>
      <w:r w:rsidRPr="00FA0FC2">
        <w:rPr>
          <w:rStyle w:val="hps"/>
          <w:rFonts w:hint="cs"/>
          <w:sz w:val="30"/>
          <w:rtl/>
          <w:lang/>
        </w:rPr>
        <w:t>تي تعرض</w:t>
      </w:r>
      <w:r w:rsidRPr="00FA0FC2">
        <w:rPr>
          <w:rStyle w:val="hps"/>
          <w:sz w:val="30"/>
          <w:rtl/>
          <w:lang/>
        </w:rPr>
        <w:t xml:space="preserve"> </w:t>
      </w:r>
      <w:r w:rsidRPr="00FA0FC2">
        <w:rPr>
          <w:rStyle w:val="hps"/>
          <w:rFonts w:hint="cs"/>
          <w:sz w:val="30"/>
          <w:rtl/>
          <w:lang/>
        </w:rPr>
        <w:t>خلالها</w:t>
      </w:r>
      <w:r w:rsidRPr="00FA0FC2">
        <w:rPr>
          <w:rStyle w:val="hps"/>
          <w:sz w:val="30"/>
          <w:rtl/>
          <w:lang/>
        </w:rPr>
        <w:t xml:space="preserve"> للضرب </w:t>
      </w:r>
      <w:r w:rsidRPr="000A5876">
        <w:rPr>
          <w:rStyle w:val="hps"/>
          <w:sz w:val="30"/>
          <w:rtl/>
          <w:lang/>
        </w:rPr>
        <w:t>و</w:t>
      </w:r>
      <w:r w:rsidRPr="000A5876">
        <w:rPr>
          <w:sz w:val="30"/>
          <w:rtl/>
          <w:lang/>
        </w:rPr>
        <w:t>ا</w:t>
      </w:r>
      <w:r w:rsidRPr="000A5876">
        <w:rPr>
          <w:rFonts w:hint="cs"/>
          <w:sz w:val="30"/>
          <w:rtl/>
          <w:lang/>
        </w:rPr>
        <w:t>لاعتقال</w:t>
      </w:r>
      <w:r w:rsidRPr="000A5876">
        <w:rPr>
          <w:sz w:val="30"/>
          <w:rtl/>
          <w:lang/>
        </w:rPr>
        <w:t xml:space="preserve"> </w:t>
      </w:r>
      <w:r w:rsidRPr="000A5876">
        <w:rPr>
          <w:rStyle w:val="hps"/>
          <w:rFonts w:hint="cs"/>
          <w:sz w:val="30"/>
          <w:rtl/>
          <w:lang/>
        </w:rPr>
        <w:t>و</w:t>
      </w:r>
      <w:r w:rsidRPr="000A5876">
        <w:rPr>
          <w:rStyle w:val="hps"/>
          <w:sz w:val="30"/>
          <w:rtl/>
          <w:lang/>
        </w:rPr>
        <w:t>عضويته</w:t>
      </w:r>
      <w:r w:rsidRPr="000A5876">
        <w:rPr>
          <w:sz w:val="30"/>
          <w:rtl/>
          <w:lang/>
        </w:rPr>
        <w:t xml:space="preserve"> </w:t>
      </w:r>
      <w:r w:rsidRPr="000A5876">
        <w:rPr>
          <w:rStyle w:val="hps"/>
          <w:rFonts w:hint="cs"/>
          <w:sz w:val="30"/>
          <w:rtl/>
          <w:lang/>
        </w:rPr>
        <w:t>السابقة</w:t>
      </w:r>
      <w:r w:rsidRPr="000A5876">
        <w:rPr>
          <w:sz w:val="30"/>
          <w:rtl/>
          <w:lang/>
        </w:rPr>
        <w:t xml:space="preserve"> </w:t>
      </w:r>
      <w:r w:rsidRPr="000A5876">
        <w:rPr>
          <w:rStyle w:val="hps"/>
          <w:sz w:val="30"/>
          <w:rtl/>
          <w:lang/>
        </w:rPr>
        <w:t>في</w:t>
      </w:r>
      <w:r w:rsidRPr="000A5876">
        <w:rPr>
          <w:sz w:val="30"/>
          <w:rtl/>
          <w:lang/>
        </w:rPr>
        <w:t xml:space="preserve"> </w:t>
      </w:r>
      <w:r w:rsidRPr="000A5876">
        <w:rPr>
          <w:rStyle w:val="hps"/>
          <w:sz w:val="30"/>
          <w:rtl/>
          <w:lang/>
        </w:rPr>
        <w:t>الحزب الاشتراكي اليمني</w:t>
      </w:r>
      <w:r w:rsidRPr="000A5876">
        <w:rPr>
          <w:sz w:val="30"/>
          <w:rtl/>
          <w:lang/>
        </w:rPr>
        <w:t xml:space="preserve"> </w:t>
      </w:r>
      <w:r w:rsidRPr="000A5876">
        <w:rPr>
          <w:rFonts w:hint="cs"/>
          <w:sz w:val="30"/>
          <w:rtl/>
          <w:lang/>
        </w:rPr>
        <w:t>تشكلان سببين كافيين، فيما</w:t>
      </w:r>
      <w:r w:rsidRPr="000A5876">
        <w:rPr>
          <w:sz w:val="30"/>
          <w:rtl/>
          <w:lang/>
        </w:rPr>
        <w:t> </w:t>
      </w:r>
      <w:r w:rsidRPr="000A5876">
        <w:rPr>
          <w:rFonts w:hint="cs"/>
          <w:sz w:val="30"/>
          <w:rtl/>
          <w:lang/>
        </w:rPr>
        <w:t>يبدو، لاستهداف السلطات اليمنية له.</w:t>
      </w:r>
      <w:r w:rsidRPr="000A5876">
        <w:rPr>
          <w:sz w:val="30"/>
          <w:rtl/>
          <w:lang/>
        </w:rPr>
        <w:t xml:space="preserve"> </w:t>
      </w:r>
      <w:r w:rsidRPr="000A5876">
        <w:rPr>
          <w:rStyle w:val="hps"/>
          <w:sz w:val="30"/>
          <w:rtl/>
          <w:lang/>
        </w:rPr>
        <w:t>وعلاوة على ذلك</w:t>
      </w:r>
      <w:r w:rsidRPr="000A5876">
        <w:rPr>
          <w:sz w:val="30"/>
          <w:rtl/>
          <w:lang/>
        </w:rPr>
        <w:t xml:space="preserve">، </w:t>
      </w:r>
      <w:r w:rsidRPr="000A5876">
        <w:rPr>
          <w:rFonts w:hint="cs"/>
          <w:sz w:val="30"/>
          <w:rtl/>
          <w:lang/>
        </w:rPr>
        <w:t>و</w:t>
      </w:r>
      <w:r w:rsidRPr="000A5876">
        <w:rPr>
          <w:rStyle w:val="hps"/>
          <w:sz w:val="30"/>
          <w:rtl/>
          <w:lang/>
        </w:rPr>
        <w:t>بغض النظر عن</w:t>
      </w:r>
      <w:r w:rsidRPr="000A5876">
        <w:rPr>
          <w:sz w:val="30"/>
          <w:rtl/>
          <w:lang/>
        </w:rPr>
        <w:t xml:space="preserve"> </w:t>
      </w:r>
      <w:r w:rsidRPr="000A5876">
        <w:rPr>
          <w:rStyle w:val="hps"/>
          <w:sz w:val="30"/>
          <w:rtl/>
          <w:lang/>
        </w:rPr>
        <w:t>دوافعه</w:t>
      </w:r>
      <w:r w:rsidRPr="000A5876">
        <w:rPr>
          <w:sz w:val="30"/>
          <w:rtl/>
          <w:lang/>
        </w:rPr>
        <w:t xml:space="preserve"> </w:t>
      </w:r>
      <w:r w:rsidRPr="000A5876">
        <w:rPr>
          <w:rStyle w:val="hps"/>
          <w:sz w:val="30"/>
          <w:rtl/>
          <w:lang/>
        </w:rPr>
        <w:t>السياسية السابقة</w:t>
      </w:r>
      <w:r w:rsidRPr="000A5876">
        <w:rPr>
          <w:sz w:val="30"/>
          <w:rtl/>
          <w:lang/>
        </w:rPr>
        <w:t xml:space="preserve">، </w:t>
      </w:r>
      <w:r w:rsidRPr="000A5876">
        <w:rPr>
          <w:rStyle w:val="hps"/>
          <w:rFonts w:hint="cs"/>
          <w:sz w:val="30"/>
          <w:rtl/>
          <w:lang/>
        </w:rPr>
        <w:t>فإن الأمر لا</w:t>
      </w:r>
      <w:r w:rsidRPr="000A5876">
        <w:rPr>
          <w:rStyle w:val="hps"/>
          <w:sz w:val="30"/>
          <w:rtl/>
          <w:lang/>
        </w:rPr>
        <w:t> </w:t>
      </w:r>
      <w:r w:rsidRPr="000A5876">
        <w:rPr>
          <w:rStyle w:val="hps"/>
          <w:rFonts w:hint="cs"/>
          <w:sz w:val="30"/>
          <w:rtl/>
          <w:lang/>
        </w:rPr>
        <w:t>يحتاج إلى الكثير من الجهد لإثارة</w:t>
      </w:r>
      <w:r w:rsidRPr="000A5876">
        <w:rPr>
          <w:sz w:val="30"/>
          <w:rtl/>
          <w:lang/>
        </w:rPr>
        <w:t xml:space="preserve"> </w:t>
      </w:r>
      <w:r w:rsidRPr="000A5876">
        <w:rPr>
          <w:rStyle w:val="hps"/>
          <w:rFonts w:hint="cs"/>
          <w:sz w:val="30"/>
          <w:rtl/>
          <w:lang/>
        </w:rPr>
        <w:t>شبهات</w:t>
      </w:r>
      <w:r w:rsidRPr="000A5876">
        <w:rPr>
          <w:sz w:val="30"/>
          <w:rtl/>
          <w:lang/>
        </w:rPr>
        <w:t xml:space="preserve"> </w:t>
      </w:r>
      <w:r w:rsidRPr="000A5876">
        <w:rPr>
          <w:rStyle w:val="hps"/>
          <w:sz w:val="30"/>
          <w:rtl/>
          <w:lang/>
        </w:rPr>
        <w:t>السلطات</w:t>
      </w:r>
      <w:r w:rsidRPr="000A5876">
        <w:rPr>
          <w:sz w:val="30"/>
          <w:rtl/>
          <w:lang/>
        </w:rPr>
        <w:t xml:space="preserve"> </w:t>
      </w:r>
      <w:r w:rsidRPr="000A5876">
        <w:rPr>
          <w:rStyle w:val="hps"/>
          <w:sz w:val="30"/>
          <w:rtl/>
          <w:lang/>
        </w:rPr>
        <w:t>اليمنية</w:t>
      </w:r>
      <w:r w:rsidRPr="000A5876">
        <w:rPr>
          <w:rStyle w:val="hps"/>
          <w:rFonts w:hint="cs"/>
          <w:sz w:val="30"/>
          <w:rtl/>
          <w:lang/>
        </w:rPr>
        <w:t xml:space="preserve">، ومن ثم لمواجهة </w:t>
      </w:r>
      <w:r w:rsidRPr="000A5876">
        <w:rPr>
          <w:rStyle w:val="hps"/>
          <w:sz w:val="30"/>
          <w:rtl/>
          <w:lang/>
        </w:rPr>
        <w:t>التعذيب</w:t>
      </w:r>
      <w:r w:rsidRPr="000A5876">
        <w:rPr>
          <w:sz w:val="30"/>
          <w:rtl/>
          <w:lang/>
        </w:rPr>
        <w:t xml:space="preserve"> أو </w:t>
      </w:r>
      <w:r w:rsidRPr="000A5876">
        <w:rPr>
          <w:rStyle w:val="hps"/>
          <w:sz w:val="30"/>
          <w:rtl/>
          <w:lang/>
        </w:rPr>
        <w:t>غيره من ضروب سوء</w:t>
      </w:r>
      <w:r w:rsidRPr="000A5876">
        <w:rPr>
          <w:sz w:val="30"/>
          <w:rtl/>
          <w:lang/>
        </w:rPr>
        <w:t xml:space="preserve"> </w:t>
      </w:r>
      <w:r w:rsidRPr="000A5876">
        <w:rPr>
          <w:rStyle w:val="hps"/>
          <w:sz w:val="30"/>
          <w:rtl/>
          <w:lang/>
        </w:rPr>
        <w:t>المعاملة</w:t>
      </w:r>
      <w:r w:rsidRPr="000A5876">
        <w:rPr>
          <w:sz w:val="30"/>
          <w:rtl/>
          <w:lang/>
        </w:rPr>
        <w:t>.</w:t>
      </w:r>
    </w:p>
    <w:p w:rsidR="00091373" w:rsidRPr="000A5876" w:rsidRDefault="00091373" w:rsidP="00091373">
      <w:pPr>
        <w:pStyle w:val="SingleTxtGA"/>
        <w:rPr>
          <w:rStyle w:val="hps"/>
          <w:sz w:val="30"/>
          <w:rtl/>
          <w:lang/>
        </w:rPr>
      </w:pPr>
      <w:r w:rsidRPr="000A5876">
        <w:rPr>
          <w:sz w:val="30"/>
          <w:rtl/>
          <w:lang w:val="fr-CH"/>
        </w:rPr>
        <w:t>5-4</w:t>
      </w:r>
      <w:r w:rsidRPr="000A5876">
        <w:rPr>
          <w:sz w:val="30"/>
          <w:rtl/>
          <w:lang w:val="fr-CH"/>
        </w:rPr>
        <w:tab/>
      </w:r>
      <w:r w:rsidRPr="000A5876">
        <w:rPr>
          <w:rStyle w:val="hps"/>
          <w:rFonts w:hint="cs"/>
          <w:sz w:val="30"/>
          <w:rtl/>
          <w:lang/>
        </w:rPr>
        <w:t xml:space="preserve">ويؤكد صاحب </w:t>
      </w:r>
      <w:r w:rsidRPr="000A5876">
        <w:rPr>
          <w:rStyle w:val="hps"/>
          <w:sz w:val="30"/>
          <w:rtl/>
          <w:lang/>
        </w:rPr>
        <w:t>الشكوى</w:t>
      </w:r>
      <w:r w:rsidRPr="000A5876">
        <w:rPr>
          <w:sz w:val="30"/>
          <w:rtl/>
          <w:lang/>
        </w:rPr>
        <w:t xml:space="preserve"> </w:t>
      </w:r>
      <w:r w:rsidRPr="000A5876">
        <w:rPr>
          <w:rStyle w:val="hps"/>
          <w:sz w:val="30"/>
          <w:rtl/>
          <w:lang/>
        </w:rPr>
        <w:t>الأول</w:t>
      </w:r>
      <w:r w:rsidRPr="000A5876">
        <w:rPr>
          <w:sz w:val="30"/>
          <w:rtl/>
          <w:lang/>
        </w:rPr>
        <w:t xml:space="preserve"> </w:t>
      </w:r>
      <w:r w:rsidRPr="000A5876">
        <w:rPr>
          <w:rStyle w:val="hps"/>
          <w:sz w:val="30"/>
          <w:rtl/>
          <w:lang/>
        </w:rPr>
        <w:t>كذلك أن</w:t>
      </w:r>
      <w:r w:rsidRPr="000A5876">
        <w:rPr>
          <w:sz w:val="30"/>
          <w:rtl/>
          <w:lang/>
        </w:rPr>
        <w:t xml:space="preserve"> </w:t>
      </w:r>
      <w:r w:rsidRPr="000A5876">
        <w:rPr>
          <w:rStyle w:val="hps"/>
          <w:sz w:val="30"/>
          <w:rtl/>
          <w:lang/>
        </w:rPr>
        <w:t>الشهادة الصادرة</w:t>
      </w:r>
      <w:r w:rsidRPr="000A5876">
        <w:rPr>
          <w:rStyle w:val="hps"/>
          <w:rFonts w:hint="cs"/>
          <w:sz w:val="30"/>
          <w:rtl/>
          <w:lang/>
        </w:rPr>
        <w:t xml:space="preserve"> عن</w:t>
      </w:r>
      <w:r w:rsidRPr="000A5876">
        <w:rPr>
          <w:rStyle w:val="hps"/>
          <w:sz w:val="30"/>
          <w:rtl/>
          <w:lang/>
        </w:rPr>
        <w:t xml:space="preserve"> التجمع الديمقراطي الجنوبي</w:t>
      </w:r>
      <w:r w:rsidRPr="000A5876">
        <w:rPr>
          <w:sz w:val="30"/>
          <w:rtl/>
          <w:lang/>
        </w:rPr>
        <w:t xml:space="preserve"> </w:t>
      </w:r>
      <w:r w:rsidRPr="000A5876">
        <w:rPr>
          <w:rStyle w:val="hps"/>
          <w:sz w:val="30"/>
          <w:rtl/>
          <w:lang/>
        </w:rPr>
        <w:t>في</w:t>
      </w:r>
      <w:r w:rsidRPr="000A5876">
        <w:rPr>
          <w:sz w:val="30"/>
          <w:rtl/>
          <w:lang/>
        </w:rPr>
        <w:t xml:space="preserve"> </w:t>
      </w:r>
      <w:r w:rsidRPr="000A5876">
        <w:rPr>
          <w:rStyle w:val="hps"/>
          <w:sz w:val="30"/>
          <w:rtl/>
          <w:lang/>
        </w:rPr>
        <w:t>المملكة المتحدة</w:t>
      </w:r>
      <w:r w:rsidRPr="000A5876">
        <w:rPr>
          <w:rStyle w:val="hps"/>
          <w:rFonts w:hint="cs"/>
          <w:sz w:val="30"/>
          <w:rtl/>
          <w:lang/>
        </w:rPr>
        <w:t xml:space="preserve"> </w:t>
      </w:r>
      <w:r w:rsidRPr="000A5876">
        <w:rPr>
          <w:rStyle w:val="hps"/>
          <w:sz w:val="30"/>
          <w:rtl/>
          <w:lang/>
        </w:rPr>
        <w:t>في 22 كانون الثاني</w:t>
      </w:r>
      <w:r w:rsidRPr="000A5876">
        <w:rPr>
          <w:rStyle w:val="hps"/>
          <w:rFonts w:hint="cs"/>
          <w:sz w:val="30"/>
          <w:rtl/>
          <w:lang/>
        </w:rPr>
        <w:t>/يناير</w:t>
      </w:r>
      <w:r w:rsidRPr="000A5876">
        <w:rPr>
          <w:sz w:val="30"/>
          <w:rtl/>
          <w:lang/>
        </w:rPr>
        <w:t xml:space="preserve"> </w:t>
      </w:r>
      <w:r w:rsidRPr="000A5876">
        <w:rPr>
          <w:rStyle w:val="hps"/>
          <w:sz w:val="30"/>
          <w:rtl/>
          <w:lang/>
        </w:rPr>
        <w:t xml:space="preserve">2011 </w:t>
      </w:r>
      <w:r w:rsidRPr="000A5876">
        <w:rPr>
          <w:rStyle w:val="hps"/>
          <w:rFonts w:hint="cs"/>
          <w:sz w:val="30"/>
          <w:rtl/>
          <w:lang/>
        </w:rPr>
        <w:t>تشير</w:t>
      </w:r>
      <w:r w:rsidRPr="000A5876">
        <w:rPr>
          <w:sz w:val="30"/>
          <w:rtl/>
          <w:lang/>
        </w:rPr>
        <w:t xml:space="preserve">، في جملة أمور، </w:t>
      </w:r>
      <w:r w:rsidRPr="000A5876">
        <w:rPr>
          <w:rFonts w:hint="cs"/>
          <w:sz w:val="30"/>
          <w:rtl/>
          <w:lang/>
        </w:rPr>
        <w:t xml:space="preserve">إلى </w:t>
      </w:r>
      <w:r w:rsidRPr="000A5876">
        <w:rPr>
          <w:rStyle w:val="hps"/>
          <w:sz w:val="30"/>
          <w:rtl/>
          <w:lang/>
        </w:rPr>
        <w:t>أن</w:t>
      </w:r>
      <w:r w:rsidRPr="000A5876">
        <w:rPr>
          <w:sz w:val="30"/>
          <w:rtl/>
          <w:lang/>
        </w:rPr>
        <w:t xml:space="preserve"> </w:t>
      </w:r>
      <w:r w:rsidRPr="000A5876">
        <w:rPr>
          <w:rStyle w:val="hps"/>
          <w:sz w:val="30"/>
          <w:rtl/>
          <w:lang/>
        </w:rPr>
        <w:t>أنشطته السياسية</w:t>
      </w:r>
      <w:r w:rsidRPr="000A5876">
        <w:rPr>
          <w:sz w:val="30"/>
          <w:rtl/>
          <w:lang/>
        </w:rPr>
        <w:t xml:space="preserve"> </w:t>
      </w:r>
      <w:r w:rsidRPr="000A5876">
        <w:rPr>
          <w:rStyle w:val="hps"/>
          <w:sz w:val="30"/>
          <w:rtl/>
          <w:lang/>
        </w:rPr>
        <w:t>السابقة و</w:t>
      </w:r>
      <w:r w:rsidRPr="000A5876">
        <w:rPr>
          <w:sz w:val="30"/>
          <w:rtl/>
          <w:lang/>
        </w:rPr>
        <w:t xml:space="preserve">عضويته في </w:t>
      </w:r>
      <w:r w:rsidRPr="000A5876">
        <w:rPr>
          <w:rStyle w:val="hps"/>
          <w:sz w:val="30"/>
          <w:rtl/>
          <w:lang/>
        </w:rPr>
        <w:t>التجمع الديمقراطي الجنوبي</w:t>
      </w:r>
      <w:r w:rsidRPr="000A5876">
        <w:rPr>
          <w:sz w:val="30"/>
          <w:rtl/>
          <w:lang/>
        </w:rPr>
        <w:t xml:space="preserve"> </w:t>
      </w:r>
      <w:r w:rsidRPr="000A5876">
        <w:rPr>
          <w:rFonts w:hint="cs"/>
          <w:sz w:val="30"/>
          <w:rtl/>
          <w:lang/>
        </w:rPr>
        <w:t xml:space="preserve">قد </w:t>
      </w:r>
      <w:r w:rsidRPr="000A5876">
        <w:rPr>
          <w:rStyle w:val="hps"/>
          <w:sz w:val="30"/>
          <w:rtl/>
          <w:lang/>
        </w:rPr>
        <w:t>جعلت منه</w:t>
      </w:r>
      <w:r w:rsidRPr="000A5876">
        <w:rPr>
          <w:sz w:val="30"/>
          <w:rtl/>
          <w:lang/>
        </w:rPr>
        <w:t xml:space="preserve"> </w:t>
      </w:r>
      <w:r w:rsidRPr="000A5876">
        <w:rPr>
          <w:rStyle w:val="hps"/>
          <w:sz w:val="30"/>
          <w:rtl/>
          <w:lang/>
        </w:rPr>
        <w:t>هدفا</w:t>
      </w:r>
      <w:r w:rsidRPr="000A5876">
        <w:rPr>
          <w:rStyle w:val="hps"/>
          <w:rFonts w:hint="cs"/>
          <w:sz w:val="30"/>
          <w:rtl/>
          <w:lang/>
        </w:rPr>
        <w:t>ً</w:t>
      </w:r>
      <w:r w:rsidRPr="000A5876">
        <w:rPr>
          <w:rStyle w:val="hps"/>
          <w:sz w:val="30"/>
          <w:rtl/>
          <w:lang/>
        </w:rPr>
        <w:t xml:space="preserve"> ل</w:t>
      </w:r>
      <w:r w:rsidRPr="000A5876">
        <w:rPr>
          <w:rStyle w:val="hps"/>
          <w:rFonts w:hint="cs"/>
          <w:sz w:val="30"/>
          <w:rtl/>
          <w:lang/>
        </w:rPr>
        <w:t>جهاز</w:t>
      </w:r>
      <w:r w:rsidRPr="000A5876">
        <w:rPr>
          <w:sz w:val="30"/>
          <w:rtl/>
          <w:lang/>
        </w:rPr>
        <w:t xml:space="preserve"> </w:t>
      </w:r>
      <w:r w:rsidRPr="000A5876">
        <w:rPr>
          <w:rStyle w:val="hps"/>
          <w:sz w:val="30"/>
          <w:rtl/>
          <w:lang/>
        </w:rPr>
        <w:t>الأمن اليمني</w:t>
      </w:r>
      <w:r w:rsidRPr="000A5876">
        <w:rPr>
          <w:sz w:val="30"/>
          <w:rtl/>
          <w:lang/>
        </w:rPr>
        <w:t>.</w:t>
      </w:r>
    </w:p>
    <w:p w:rsidR="00091373" w:rsidRPr="000A5876" w:rsidRDefault="00091373" w:rsidP="00091373">
      <w:pPr>
        <w:pStyle w:val="SingleTxtGA"/>
        <w:rPr>
          <w:rStyle w:val="hps"/>
          <w:sz w:val="30"/>
          <w:rtl/>
          <w:lang/>
        </w:rPr>
      </w:pPr>
      <w:r w:rsidRPr="000A5876">
        <w:rPr>
          <w:sz w:val="30"/>
          <w:rtl/>
          <w:lang w:val="fr-CH"/>
        </w:rPr>
        <w:t>5-5</w:t>
      </w:r>
      <w:r w:rsidRPr="000A5876">
        <w:rPr>
          <w:sz w:val="30"/>
          <w:rtl/>
          <w:lang w:val="fr-CH"/>
        </w:rPr>
        <w:tab/>
      </w:r>
      <w:r w:rsidRPr="000A5876">
        <w:rPr>
          <w:rStyle w:val="hps"/>
          <w:rFonts w:hint="cs"/>
          <w:sz w:val="30"/>
          <w:rtl/>
          <w:lang/>
        </w:rPr>
        <w:t>وفيما يتعلق</w:t>
      </w:r>
      <w:r w:rsidRPr="000A5876">
        <w:rPr>
          <w:sz w:val="30"/>
          <w:rtl/>
          <w:lang/>
        </w:rPr>
        <w:t xml:space="preserve"> </w:t>
      </w:r>
      <w:r w:rsidRPr="000A5876">
        <w:rPr>
          <w:rFonts w:hint="cs"/>
          <w:sz w:val="30"/>
          <w:rtl/>
          <w:lang/>
        </w:rPr>
        <w:t xml:space="preserve">بدفوع </w:t>
      </w:r>
      <w:r w:rsidRPr="000A5876">
        <w:rPr>
          <w:rStyle w:val="hps"/>
          <w:sz w:val="30"/>
          <w:rtl/>
          <w:lang/>
        </w:rPr>
        <w:t>الدولة الطرف</w:t>
      </w:r>
      <w:r w:rsidRPr="000A5876">
        <w:rPr>
          <w:sz w:val="30"/>
          <w:rtl/>
          <w:lang/>
        </w:rPr>
        <w:t xml:space="preserve"> </w:t>
      </w:r>
      <w:r w:rsidRPr="000A5876">
        <w:rPr>
          <w:rFonts w:hint="cs"/>
          <w:sz w:val="30"/>
          <w:rtl/>
          <w:lang/>
        </w:rPr>
        <w:t xml:space="preserve">الملخصة </w:t>
      </w:r>
      <w:r w:rsidRPr="000A5876">
        <w:rPr>
          <w:rStyle w:val="hps"/>
          <w:sz w:val="30"/>
          <w:rtl/>
          <w:lang/>
        </w:rPr>
        <w:t>في الفقر</w:t>
      </w:r>
      <w:r w:rsidRPr="000A5876">
        <w:rPr>
          <w:rStyle w:val="hps"/>
          <w:rFonts w:hint="cs"/>
          <w:sz w:val="30"/>
          <w:rtl/>
          <w:lang/>
        </w:rPr>
        <w:t>تين 4-15 و4-16 أعلاه،</w:t>
      </w:r>
      <w:r w:rsidRPr="000A5876">
        <w:rPr>
          <w:sz w:val="30"/>
          <w:rtl/>
          <w:lang/>
        </w:rPr>
        <w:t xml:space="preserve"> </w:t>
      </w:r>
      <w:r w:rsidRPr="000A5876">
        <w:rPr>
          <w:rStyle w:val="hps"/>
          <w:rFonts w:hint="cs"/>
          <w:sz w:val="30"/>
          <w:rtl/>
          <w:lang/>
        </w:rPr>
        <w:t>يؤكد صاحب</w:t>
      </w:r>
      <w:r w:rsidRPr="000A5876">
        <w:rPr>
          <w:sz w:val="30"/>
          <w:rtl/>
          <w:lang/>
        </w:rPr>
        <w:t xml:space="preserve"> </w:t>
      </w:r>
      <w:r w:rsidRPr="000A5876">
        <w:rPr>
          <w:rStyle w:val="hps"/>
          <w:sz w:val="30"/>
          <w:rtl/>
          <w:lang/>
        </w:rPr>
        <w:t>الشكوى</w:t>
      </w:r>
      <w:r w:rsidRPr="000A5876">
        <w:rPr>
          <w:sz w:val="30"/>
          <w:rtl/>
          <w:lang/>
        </w:rPr>
        <w:t xml:space="preserve"> </w:t>
      </w:r>
      <w:r w:rsidRPr="000A5876">
        <w:rPr>
          <w:rStyle w:val="hps"/>
          <w:sz w:val="30"/>
          <w:rtl/>
          <w:lang/>
        </w:rPr>
        <w:t>الأول</w:t>
      </w:r>
      <w:r w:rsidRPr="000A5876">
        <w:rPr>
          <w:sz w:val="30"/>
          <w:rtl/>
          <w:lang/>
        </w:rPr>
        <w:t xml:space="preserve"> </w:t>
      </w:r>
      <w:r w:rsidRPr="000A5876">
        <w:rPr>
          <w:rStyle w:val="hps"/>
          <w:sz w:val="30"/>
          <w:rtl/>
          <w:lang/>
        </w:rPr>
        <w:t>أنه</w:t>
      </w:r>
      <w:r w:rsidRPr="000A5876">
        <w:rPr>
          <w:sz w:val="30"/>
          <w:rtl/>
          <w:lang/>
        </w:rPr>
        <w:t xml:space="preserve"> </w:t>
      </w:r>
      <w:r w:rsidRPr="000A5876">
        <w:rPr>
          <w:rStyle w:val="hps"/>
          <w:rFonts w:hint="cs"/>
          <w:sz w:val="30"/>
          <w:rtl/>
          <w:lang/>
        </w:rPr>
        <w:t>يتولى منصباً هاماً</w:t>
      </w:r>
      <w:r w:rsidRPr="000A5876">
        <w:rPr>
          <w:sz w:val="30"/>
          <w:rtl/>
          <w:lang/>
        </w:rPr>
        <w:t xml:space="preserve"> </w:t>
      </w:r>
      <w:r w:rsidRPr="000A5876">
        <w:rPr>
          <w:rStyle w:val="hps"/>
          <w:sz w:val="30"/>
          <w:rtl/>
          <w:lang/>
        </w:rPr>
        <w:t>في</w:t>
      </w:r>
      <w:r w:rsidRPr="000A5876">
        <w:rPr>
          <w:sz w:val="30"/>
          <w:rtl/>
          <w:lang/>
        </w:rPr>
        <w:t xml:space="preserve"> </w:t>
      </w:r>
      <w:r w:rsidRPr="000A5876">
        <w:rPr>
          <w:rStyle w:val="hps"/>
          <w:sz w:val="30"/>
          <w:rtl/>
          <w:lang/>
        </w:rPr>
        <w:t>التجمع الديمقراطي الجنوبي</w:t>
      </w:r>
      <w:r w:rsidRPr="000A5876">
        <w:rPr>
          <w:sz w:val="30"/>
          <w:rtl/>
          <w:lang/>
        </w:rPr>
        <w:t xml:space="preserve"> </w:t>
      </w:r>
      <w:r w:rsidRPr="000A5876">
        <w:rPr>
          <w:rStyle w:val="hps"/>
          <w:sz w:val="30"/>
          <w:rtl/>
          <w:lang/>
        </w:rPr>
        <w:t>في كانتون</w:t>
      </w:r>
      <w:r w:rsidRPr="000A5876">
        <w:rPr>
          <w:sz w:val="30"/>
          <w:rtl/>
          <w:lang/>
        </w:rPr>
        <w:t xml:space="preserve"> </w:t>
      </w:r>
      <w:r w:rsidRPr="000A5876">
        <w:rPr>
          <w:rStyle w:val="hps"/>
          <w:sz w:val="30"/>
          <w:rtl/>
          <w:lang/>
        </w:rPr>
        <w:t>فريبورغ</w:t>
      </w:r>
      <w:r w:rsidRPr="000A5876">
        <w:rPr>
          <w:sz w:val="30"/>
          <w:rtl/>
          <w:lang/>
        </w:rPr>
        <w:t xml:space="preserve">، ويضيف </w:t>
      </w:r>
      <w:r w:rsidRPr="000A5876">
        <w:rPr>
          <w:rStyle w:val="hps"/>
          <w:sz w:val="30"/>
          <w:rtl/>
          <w:lang/>
        </w:rPr>
        <w:t>أن هناك أسبابا</w:t>
      </w:r>
      <w:r w:rsidRPr="000A5876">
        <w:rPr>
          <w:rStyle w:val="hps"/>
          <w:rFonts w:hint="cs"/>
          <w:sz w:val="30"/>
          <w:rtl/>
          <w:lang/>
        </w:rPr>
        <w:t>ً تدعو إلى</w:t>
      </w:r>
      <w:r w:rsidRPr="000A5876">
        <w:rPr>
          <w:sz w:val="30"/>
          <w:rtl/>
          <w:lang/>
        </w:rPr>
        <w:t xml:space="preserve"> </w:t>
      </w:r>
      <w:r w:rsidRPr="000A5876">
        <w:rPr>
          <w:rStyle w:val="hps"/>
          <w:rFonts w:hint="cs"/>
          <w:sz w:val="30"/>
          <w:rtl/>
          <w:lang/>
        </w:rPr>
        <w:t>ا</w:t>
      </w:r>
      <w:r w:rsidRPr="000A5876">
        <w:rPr>
          <w:rStyle w:val="hps"/>
          <w:sz w:val="30"/>
          <w:rtl/>
          <w:lang/>
        </w:rPr>
        <w:t>لاعتقاد بأنه</w:t>
      </w:r>
      <w:r w:rsidRPr="000A5876">
        <w:rPr>
          <w:sz w:val="30"/>
          <w:rtl/>
          <w:lang/>
        </w:rPr>
        <w:t xml:space="preserve"> </w:t>
      </w:r>
      <w:r w:rsidRPr="000A5876">
        <w:rPr>
          <w:rStyle w:val="hps"/>
          <w:sz w:val="30"/>
          <w:rtl/>
          <w:lang/>
        </w:rPr>
        <w:t xml:space="preserve">سوف </w:t>
      </w:r>
      <w:r w:rsidRPr="000A5876">
        <w:rPr>
          <w:rStyle w:val="hps"/>
          <w:rFonts w:hint="cs"/>
          <w:sz w:val="30"/>
          <w:rtl/>
          <w:lang/>
        </w:rPr>
        <w:t>يجرى اعتقاله لدى</w:t>
      </w:r>
      <w:r w:rsidRPr="000A5876">
        <w:rPr>
          <w:rStyle w:val="hps"/>
          <w:sz w:val="30"/>
          <w:rtl/>
          <w:lang/>
        </w:rPr>
        <w:t xml:space="preserve"> عودته</w:t>
      </w:r>
      <w:r w:rsidRPr="000A5876">
        <w:rPr>
          <w:sz w:val="30"/>
          <w:rtl/>
          <w:lang/>
        </w:rPr>
        <w:t xml:space="preserve"> </w:t>
      </w:r>
      <w:r w:rsidRPr="000A5876">
        <w:rPr>
          <w:rStyle w:val="hps"/>
          <w:sz w:val="30"/>
          <w:rtl/>
          <w:lang/>
        </w:rPr>
        <w:t>إلى</w:t>
      </w:r>
      <w:r w:rsidRPr="000A5876">
        <w:rPr>
          <w:sz w:val="30"/>
          <w:rtl/>
          <w:lang/>
        </w:rPr>
        <w:t xml:space="preserve"> </w:t>
      </w:r>
      <w:r w:rsidRPr="000A5876">
        <w:rPr>
          <w:rStyle w:val="hps"/>
          <w:sz w:val="30"/>
          <w:rtl/>
          <w:lang/>
        </w:rPr>
        <w:t>اليمن</w:t>
      </w:r>
      <w:r w:rsidRPr="000A5876">
        <w:rPr>
          <w:sz w:val="30"/>
          <w:rtl/>
          <w:lang/>
        </w:rPr>
        <w:t xml:space="preserve"> </w:t>
      </w:r>
      <w:r w:rsidRPr="000A5876">
        <w:rPr>
          <w:rStyle w:val="hps"/>
          <w:sz w:val="30"/>
          <w:rtl/>
          <w:lang/>
        </w:rPr>
        <w:t>بسبب</w:t>
      </w:r>
      <w:r w:rsidRPr="000A5876">
        <w:rPr>
          <w:sz w:val="30"/>
          <w:rtl/>
          <w:lang/>
        </w:rPr>
        <w:t xml:space="preserve"> </w:t>
      </w:r>
      <w:r w:rsidRPr="000A5876">
        <w:rPr>
          <w:rStyle w:val="hps"/>
          <w:rFonts w:hint="cs"/>
          <w:sz w:val="30"/>
          <w:rtl/>
          <w:lang/>
        </w:rPr>
        <w:t>التجارب التي مر بها سابقاً</w:t>
      </w:r>
      <w:r w:rsidRPr="000A5876">
        <w:rPr>
          <w:rStyle w:val="hps"/>
          <w:sz w:val="30"/>
          <w:rtl/>
          <w:lang/>
        </w:rPr>
        <w:t xml:space="preserve"> في</w:t>
      </w:r>
      <w:r w:rsidRPr="000A5876">
        <w:rPr>
          <w:sz w:val="30"/>
          <w:rtl/>
          <w:lang/>
        </w:rPr>
        <w:t xml:space="preserve"> </w:t>
      </w:r>
      <w:r w:rsidRPr="000A5876">
        <w:rPr>
          <w:rStyle w:val="hps"/>
          <w:sz w:val="30"/>
          <w:rtl/>
          <w:lang/>
        </w:rPr>
        <w:t>هذا البلد</w:t>
      </w:r>
      <w:r w:rsidRPr="000A5876">
        <w:rPr>
          <w:sz w:val="30"/>
          <w:rtl/>
          <w:lang/>
        </w:rPr>
        <w:t xml:space="preserve">. </w:t>
      </w:r>
      <w:r w:rsidRPr="000A5876">
        <w:rPr>
          <w:rStyle w:val="hps"/>
          <w:sz w:val="30"/>
          <w:rtl/>
          <w:lang/>
        </w:rPr>
        <w:t>وعلاوة على ذلك</w:t>
      </w:r>
      <w:r w:rsidRPr="000A5876">
        <w:rPr>
          <w:sz w:val="30"/>
          <w:rtl/>
          <w:lang/>
        </w:rPr>
        <w:t xml:space="preserve">، </w:t>
      </w:r>
      <w:r w:rsidRPr="000A5876">
        <w:rPr>
          <w:rFonts w:hint="cs"/>
          <w:sz w:val="30"/>
          <w:rtl/>
          <w:lang/>
        </w:rPr>
        <w:t>فإن إجراء</w:t>
      </w:r>
      <w:r w:rsidRPr="000A5876">
        <w:rPr>
          <w:sz w:val="30"/>
          <w:rtl/>
          <w:lang/>
        </w:rPr>
        <w:t xml:space="preserve"> بحث بسيط على </w:t>
      </w:r>
      <w:r w:rsidRPr="000A5876">
        <w:rPr>
          <w:rStyle w:val="hps"/>
          <w:sz w:val="30"/>
          <w:rtl/>
          <w:lang/>
        </w:rPr>
        <w:t>الإنترنت</w:t>
      </w:r>
      <w:r w:rsidRPr="000A5876">
        <w:rPr>
          <w:sz w:val="30"/>
          <w:rtl/>
          <w:lang/>
        </w:rPr>
        <w:t xml:space="preserve"> </w:t>
      </w:r>
      <w:r w:rsidRPr="000A5876">
        <w:rPr>
          <w:rStyle w:val="hps"/>
          <w:rFonts w:hint="cs"/>
          <w:sz w:val="30"/>
          <w:rtl/>
          <w:lang/>
        </w:rPr>
        <w:t>ي</w:t>
      </w:r>
      <w:r w:rsidRPr="000A5876">
        <w:rPr>
          <w:rStyle w:val="hps"/>
          <w:sz w:val="30"/>
          <w:rtl/>
          <w:lang/>
        </w:rPr>
        <w:t>كشف عن</w:t>
      </w:r>
      <w:r w:rsidRPr="000A5876">
        <w:rPr>
          <w:sz w:val="30"/>
          <w:rtl/>
          <w:lang/>
        </w:rPr>
        <w:t xml:space="preserve"> </w:t>
      </w:r>
      <w:r w:rsidRPr="000A5876">
        <w:rPr>
          <w:rFonts w:hint="cs"/>
          <w:sz w:val="30"/>
          <w:rtl/>
          <w:lang/>
        </w:rPr>
        <w:t>ال</w:t>
      </w:r>
      <w:r w:rsidRPr="000A5876">
        <w:rPr>
          <w:rStyle w:val="hps"/>
          <w:sz w:val="30"/>
          <w:rtl/>
          <w:lang/>
        </w:rPr>
        <w:t>أنشط</w:t>
      </w:r>
      <w:r w:rsidRPr="000A5876">
        <w:rPr>
          <w:rStyle w:val="hps"/>
          <w:rFonts w:hint="cs"/>
          <w:sz w:val="30"/>
          <w:rtl/>
          <w:lang/>
        </w:rPr>
        <w:t>ة</w:t>
      </w:r>
      <w:r w:rsidRPr="000A5876">
        <w:rPr>
          <w:rStyle w:val="hps"/>
          <w:sz w:val="30"/>
          <w:rtl/>
          <w:lang/>
        </w:rPr>
        <w:t xml:space="preserve"> السياسية</w:t>
      </w:r>
      <w:r w:rsidRPr="000A5876">
        <w:rPr>
          <w:rStyle w:val="hps"/>
          <w:rFonts w:hint="cs"/>
          <w:sz w:val="30"/>
          <w:rtl/>
          <w:lang/>
        </w:rPr>
        <w:t xml:space="preserve"> التي اضطلع بها</w:t>
      </w:r>
      <w:r w:rsidRPr="000A5876">
        <w:rPr>
          <w:sz w:val="30"/>
          <w:rtl/>
          <w:lang/>
        </w:rPr>
        <w:t xml:space="preserve"> </w:t>
      </w:r>
      <w:r w:rsidRPr="000A5876">
        <w:rPr>
          <w:rStyle w:val="hps"/>
          <w:sz w:val="30"/>
          <w:rtl/>
          <w:lang/>
        </w:rPr>
        <w:t>في</w:t>
      </w:r>
      <w:r w:rsidRPr="000A5876">
        <w:rPr>
          <w:sz w:val="30"/>
          <w:rtl/>
          <w:lang/>
        </w:rPr>
        <w:t xml:space="preserve"> </w:t>
      </w:r>
      <w:r w:rsidRPr="000A5876">
        <w:rPr>
          <w:rStyle w:val="hps"/>
          <w:sz w:val="30"/>
          <w:rtl/>
          <w:lang/>
        </w:rPr>
        <w:t>المنفى</w:t>
      </w:r>
      <w:r w:rsidRPr="000A5876">
        <w:rPr>
          <w:sz w:val="30"/>
          <w:rtl/>
          <w:lang/>
        </w:rPr>
        <w:t xml:space="preserve">. </w:t>
      </w:r>
      <w:r w:rsidRPr="000A5876">
        <w:rPr>
          <w:rStyle w:val="hps"/>
          <w:rFonts w:hint="cs"/>
          <w:sz w:val="30"/>
          <w:rtl/>
          <w:lang/>
        </w:rPr>
        <w:t xml:space="preserve">ويُذكّر صاحب </w:t>
      </w:r>
      <w:r w:rsidRPr="000A5876">
        <w:rPr>
          <w:rStyle w:val="hps"/>
          <w:sz w:val="30"/>
          <w:rtl/>
          <w:lang/>
        </w:rPr>
        <w:t>الشكوى</w:t>
      </w:r>
      <w:r w:rsidRPr="000A5876">
        <w:rPr>
          <w:sz w:val="30"/>
          <w:rtl/>
          <w:lang/>
        </w:rPr>
        <w:t xml:space="preserve"> </w:t>
      </w:r>
      <w:r w:rsidRPr="000A5876">
        <w:rPr>
          <w:rStyle w:val="hps"/>
          <w:sz w:val="30"/>
          <w:rtl/>
          <w:lang/>
        </w:rPr>
        <w:t>الأول</w:t>
      </w:r>
      <w:r w:rsidRPr="000A5876">
        <w:rPr>
          <w:sz w:val="30"/>
          <w:rtl/>
          <w:lang/>
        </w:rPr>
        <w:t xml:space="preserve"> </w:t>
      </w:r>
      <w:r w:rsidRPr="000A5876">
        <w:rPr>
          <w:rStyle w:val="hps"/>
          <w:rFonts w:hint="cs"/>
          <w:sz w:val="30"/>
          <w:rtl/>
          <w:lang/>
        </w:rPr>
        <w:t>بالادعاءات الأولية التي أفاد فيها بأنه ينتمي إلى</w:t>
      </w:r>
      <w:r w:rsidRPr="000A5876">
        <w:rPr>
          <w:sz w:val="30"/>
          <w:rtl/>
          <w:lang/>
        </w:rPr>
        <w:t xml:space="preserve"> </w:t>
      </w:r>
      <w:r w:rsidRPr="000A5876">
        <w:rPr>
          <w:rStyle w:val="hps"/>
          <w:sz w:val="30"/>
          <w:rtl/>
          <w:lang/>
        </w:rPr>
        <w:t>عائلة</w:t>
      </w:r>
      <w:r w:rsidRPr="000A5876">
        <w:rPr>
          <w:sz w:val="30"/>
          <w:rtl/>
          <w:lang/>
        </w:rPr>
        <w:t xml:space="preserve"> </w:t>
      </w:r>
      <w:r w:rsidRPr="000A5876">
        <w:rPr>
          <w:rStyle w:val="hps"/>
          <w:sz w:val="30"/>
          <w:rtl/>
          <w:lang/>
        </w:rPr>
        <w:t>ناشطة سياسيا</w:t>
      </w:r>
      <w:r w:rsidRPr="000A5876">
        <w:rPr>
          <w:rStyle w:val="hps"/>
          <w:rFonts w:hint="cs"/>
          <w:sz w:val="30"/>
          <w:rtl/>
          <w:lang/>
        </w:rPr>
        <w:t>ً</w:t>
      </w:r>
      <w:r w:rsidRPr="000A5876">
        <w:rPr>
          <w:sz w:val="30"/>
          <w:rtl/>
          <w:lang/>
        </w:rPr>
        <w:t xml:space="preserve"> </w:t>
      </w:r>
      <w:r w:rsidRPr="000A5876">
        <w:rPr>
          <w:rStyle w:val="hps"/>
          <w:sz w:val="30"/>
          <w:rtl/>
          <w:lang/>
        </w:rPr>
        <w:t>و</w:t>
      </w:r>
      <w:r w:rsidRPr="000A5876">
        <w:rPr>
          <w:sz w:val="30"/>
          <w:rtl/>
          <w:lang/>
        </w:rPr>
        <w:t xml:space="preserve">أن </w:t>
      </w:r>
      <w:r w:rsidRPr="000A5876">
        <w:rPr>
          <w:rStyle w:val="hps"/>
          <w:sz w:val="30"/>
          <w:rtl/>
          <w:lang/>
        </w:rPr>
        <w:t>اسم</w:t>
      </w:r>
      <w:r w:rsidRPr="000A5876">
        <w:rPr>
          <w:rStyle w:val="hps"/>
          <w:rFonts w:hint="cs"/>
          <w:sz w:val="30"/>
          <w:rtl/>
          <w:lang/>
        </w:rPr>
        <w:t xml:space="preserve">ه العائلي سيكون وحده كافياً لإثارة شبهات </w:t>
      </w:r>
      <w:r w:rsidRPr="000A5876">
        <w:rPr>
          <w:rStyle w:val="hps"/>
          <w:sz w:val="30"/>
          <w:rtl/>
          <w:lang/>
        </w:rPr>
        <w:t>السلطات</w:t>
      </w:r>
      <w:r w:rsidRPr="000A5876">
        <w:rPr>
          <w:sz w:val="30"/>
          <w:rtl/>
          <w:lang/>
        </w:rPr>
        <w:t xml:space="preserve"> </w:t>
      </w:r>
      <w:r w:rsidRPr="000A5876">
        <w:rPr>
          <w:rStyle w:val="hps"/>
          <w:sz w:val="30"/>
          <w:rtl/>
          <w:lang/>
        </w:rPr>
        <w:t>اليمنية (انظر</w:t>
      </w:r>
      <w:r w:rsidRPr="000A5876">
        <w:rPr>
          <w:sz w:val="30"/>
          <w:rtl/>
          <w:lang/>
        </w:rPr>
        <w:t xml:space="preserve"> </w:t>
      </w:r>
      <w:r w:rsidRPr="000A5876">
        <w:rPr>
          <w:rStyle w:val="hps"/>
          <w:sz w:val="30"/>
          <w:rtl/>
          <w:lang/>
        </w:rPr>
        <w:t>الفقرة</w:t>
      </w:r>
      <w:r w:rsidRPr="000A5876">
        <w:rPr>
          <w:sz w:val="30"/>
          <w:rtl/>
          <w:lang/>
        </w:rPr>
        <w:t xml:space="preserve"> </w:t>
      </w:r>
      <w:r w:rsidRPr="000A5876">
        <w:rPr>
          <w:rStyle w:val="hps"/>
          <w:sz w:val="30"/>
          <w:rtl/>
          <w:lang/>
        </w:rPr>
        <w:t>3</w:t>
      </w:r>
      <w:r w:rsidRPr="000A5876">
        <w:rPr>
          <w:rStyle w:val="hps"/>
          <w:rFonts w:hint="cs"/>
          <w:sz w:val="30"/>
          <w:rtl/>
          <w:lang/>
        </w:rPr>
        <w:t>-</w:t>
      </w:r>
      <w:r w:rsidRPr="000A5876">
        <w:rPr>
          <w:rStyle w:val="hps"/>
          <w:sz w:val="30"/>
          <w:rtl/>
          <w:lang/>
        </w:rPr>
        <w:t>4</w:t>
      </w:r>
      <w:r w:rsidRPr="000A5876">
        <w:rPr>
          <w:sz w:val="30"/>
          <w:rtl/>
          <w:lang/>
        </w:rPr>
        <w:t xml:space="preserve"> </w:t>
      </w:r>
      <w:r w:rsidRPr="000A5876">
        <w:rPr>
          <w:rStyle w:val="hps"/>
          <w:sz w:val="30"/>
          <w:rtl/>
          <w:lang/>
        </w:rPr>
        <w:t>أعلاه)</w:t>
      </w:r>
      <w:r w:rsidRPr="000A5876">
        <w:rPr>
          <w:sz w:val="30"/>
          <w:rtl/>
          <w:lang/>
        </w:rPr>
        <w:t xml:space="preserve">. </w:t>
      </w:r>
      <w:r w:rsidRPr="000A5876">
        <w:rPr>
          <w:rStyle w:val="hps"/>
          <w:sz w:val="30"/>
          <w:rtl/>
          <w:lang/>
        </w:rPr>
        <w:t>وعلاوة على ذلك</w:t>
      </w:r>
      <w:r w:rsidRPr="000A5876">
        <w:rPr>
          <w:sz w:val="30"/>
          <w:rtl/>
          <w:lang/>
        </w:rPr>
        <w:t>،</w:t>
      </w:r>
      <w:r w:rsidRPr="000A5876">
        <w:rPr>
          <w:rFonts w:hint="cs"/>
          <w:sz w:val="30"/>
          <w:rtl/>
          <w:lang/>
        </w:rPr>
        <w:t xml:space="preserve"> فمن الوارد جداً أن يكون صاحب الشكوى الأول،</w:t>
      </w:r>
      <w:r w:rsidRPr="000A5876">
        <w:rPr>
          <w:sz w:val="30"/>
          <w:rtl/>
          <w:lang/>
        </w:rPr>
        <w:t xml:space="preserve"> </w:t>
      </w:r>
      <w:r w:rsidRPr="000A5876">
        <w:rPr>
          <w:rFonts w:hint="cs"/>
          <w:sz w:val="30"/>
          <w:rtl/>
          <w:lang/>
        </w:rPr>
        <w:t>الذي</w:t>
      </w:r>
      <w:r w:rsidRPr="000A5876">
        <w:rPr>
          <w:sz w:val="30"/>
          <w:rtl/>
          <w:lang/>
        </w:rPr>
        <w:t xml:space="preserve"> </w:t>
      </w:r>
      <w:r w:rsidRPr="000A5876">
        <w:rPr>
          <w:rStyle w:val="hps"/>
          <w:rFonts w:hint="cs"/>
          <w:sz w:val="30"/>
          <w:rtl/>
          <w:lang/>
        </w:rPr>
        <w:t>تعرض للاعتقال</w:t>
      </w:r>
      <w:r w:rsidRPr="000A5876">
        <w:rPr>
          <w:sz w:val="30"/>
          <w:rtl/>
          <w:lang/>
        </w:rPr>
        <w:t xml:space="preserve"> </w:t>
      </w:r>
      <w:r w:rsidRPr="000A5876">
        <w:rPr>
          <w:rStyle w:val="hps"/>
          <w:sz w:val="30"/>
          <w:rtl/>
          <w:lang/>
        </w:rPr>
        <w:t>في</w:t>
      </w:r>
      <w:r w:rsidRPr="000A5876">
        <w:rPr>
          <w:sz w:val="30"/>
          <w:rtl/>
          <w:lang/>
        </w:rPr>
        <w:t xml:space="preserve"> </w:t>
      </w:r>
      <w:r w:rsidRPr="000A5876">
        <w:rPr>
          <w:rStyle w:val="hps"/>
          <w:sz w:val="30"/>
          <w:rtl/>
          <w:lang/>
        </w:rPr>
        <w:t>اليمن</w:t>
      </w:r>
      <w:r w:rsidRPr="000A5876">
        <w:rPr>
          <w:sz w:val="30"/>
          <w:rtl/>
          <w:lang/>
        </w:rPr>
        <w:t xml:space="preserve"> </w:t>
      </w:r>
      <w:r w:rsidRPr="000A5876">
        <w:rPr>
          <w:rStyle w:val="hps"/>
          <w:sz w:val="30"/>
          <w:rtl/>
          <w:lang/>
        </w:rPr>
        <w:t>بعد</w:t>
      </w:r>
      <w:r w:rsidRPr="000A5876">
        <w:rPr>
          <w:sz w:val="30"/>
          <w:rtl/>
          <w:lang/>
        </w:rPr>
        <w:t xml:space="preserve"> </w:t>
      </w:r>
      <w:r w:rsidRPr="000A5876">
        <w:rPr>
          <w:rFonts w:hint="cs"/>
          <w:sz w:val="30"/>
          <w:rtl/>
          <w:lang/>
        </w:rPr>
        <w:t>ال</w:t>
      </w:r>
      <w:r w:rsidRPr="000A5876">
        <w:rPr>
          <w:rStyle w:val="hps"/>
          <w:sz w:val="30"/>
          <w:rtl/>
          <w:lang/>
        </w:rPr>
        <w:t>مظاهرة</w:t>
      </w:r>
      <w:r w:rsidRPr="000A5876">
        <w:rPr>
          <w:sz w:val="30"/>
          <w:rtl/>
          <w:lang/>
        </w:rPr>
        <w:t xml:space="preserve"> </w:t>
      </w:r>
      <w:r w:rsidRPr="000A5876">
        <w:rPr>
          <w:rFonts w:hint="cs"/>
          <w:sz w:val="30"/>
          <w:rtl/>
          <w:lang/>
        </w:rPr>
        <w:t xml:space="preserve">التي وقعت </w:t>
      </w:r>
      <w:r w:rsidRPr="000A5876">
        <w:rPr>
          <w:rStyle w:val="hps"/>
          <w:sz w:val="30"/>
          <w:rtl/>
          <w:lang/>
        </w:rPr>
        <w:t xml:space="preserve">في 21 </w:t>
      </w:r>
      <w:r w:rsidRPr="000A5876">
        <w:rPr>
          <w:rStyle w:val="hps"/>
          <w:rFonts w:hint="cs"/>
          <w:sz w:val="30"/>
          <w:rtl/>
          <w:lang/>
        </w:rPr>
        <w:t>أيار/</w:t>
      </w:r>
      <w:r w:rsidRPr="000A5876">
        <w:rPr>
          <w:rStyle w:val="hps"/>
          <w:sz w:val="30"/>
          <w:rtl/>
          <w:lang/>
        </w:rPr>
        <w:t>مايو</w:t>
      </w:r>
      <w:r w:rsidRPr="000A5876">
        <w:rPr>
          <w:sz w:val="30"/>
          <w:rtl/>
          <w:lang/>
        </w:rPr>
        <w:t xml:space="preserve"> </w:t>
      </w:r>
      <w:r w:rsidRPr="000A5876">
        <w:rPr>
          <w:rStyle w:val="hps"/>
          <w:sz w:val="30"/>
          <w:rtl/>
          <w:lang/>
        </w:rPr>
        <w:t>2009،</w:t>
      </w:r>
      <w:r w:rsidRPr="000A5876">
        <w:rPr>
          <w:sz w:val="30"/>
          <w:rtl/>
          <w:lang/>
        </w:rPr>
        <w:t xml:space="preserve"> </w:t>
      </w:r>
      <w:r w:rsidRPr="000A5876">
        <w:rPr>
          <w:rFonts w:hint="cs"/>
          <w:sz w:val="30"/>
          <w:rtl/>
          <w:lang/>
        </w:rPr>
        <w:t xml:space="preserve">معروفاً لدى السلطات اليمنية </w:t>
      </w:r>
      <w:r w:rsidRPr="000A5876">
        <w:rPr>
          <w:rStyle w:val="hps"/>
          <w:rFonts w:hint="cs"/>
          <w:sz w:val="30"/>
          <w:rtl/>
          <w:lang/>
        </w:rPr>
        <w:t>التي يمكنها بالتالي</w:t>
      </w:r>
      <w:r w:rsidRPr="000A5876">
        <w:rPr>
          <w:sz w:val="30"/>
          <w:rtl/>
          <w:lang/>
        </w:rPr>
        <w:t xml:space="preserve"> </w:t>
      </w:r>
      <w:r w:rsidRPr="000A5876">
        <w:rPr>
          <w:rStyle w:val="hps"/>
          <w:rFonts w:hint="cs"/>
          <w:sz w:val="30"/>
          <w:rtl/>
          <w:lang/>
        </w:rPr>
        <w:t>تحديد هويته</w:t>
      </w:r>
      <w:r w:rsidRPr="000A5876">
        <w:rPr>
          <w:sz w:val="30"/>
          <w:rtl/>
          <w:lang/>
        </w:rPr>
        <w:t xml:space="preserve"> </w:t>
      </w:r>
      <w:r w:rsidRPr="000A5876">
        <w:rPr>
          <w:rStyle w:val="hps"/>
          <w:rFonts w:hint="cs"/>
          <w:sz w:val="30"/>
          <w:rtl/>
          <w:lang/>
        </w:rPr>
        <w:t>بمجرد</w:t>
      </w:r>
      <w:r w:rsidRPr="000A5876">
        <w:rPr>
          <w:rStyle w:val="hps"/>
          <w:sz w:val="30"/>
          <w:rtl/>
          <w:lang/>
        </w:rPr>
        <w:t xml:space="preserve"> وصوله</w:t>
      </w:r>
      <w:r w:rsidRPr="000A5876">
        <w:rPr>
          <w:sz w:val="30"/>
          <w:rtl/>
          <w:lang/>
        </w:rPr>
        <w:t>.</w:t>
      </w:r>
    </w:p>
    <w:p w:rsidR="00091373" w:rsidRPr="000A5876" w:rsidRDefault="00091373" w:rsidP="00091373">
      <w:pPr>
        <w:pStyle w:val="SingleTxtGA"/>
        <w:rPr>
          <w:rStyle w:val="hps"/>
          <w:sz w:val="30"/>
          <w:rtl/>
          <w:lang/>
        </w:rPr>
      </w:pPr>
      <w:r w:rsidRPr="000A5876">
        <w:rPr>
          <w:sz w:val="30"/>
          <w:rtl/>
          <w:lang w:val="fr-CH"/>
        </w:rPr>
        <w:t>5-6</w:t>
      </w:r>
      <w:r w:rsidRPr="000A5876">
        <w:rPr>
          <w:sz w:val="30"/>
          <w:rtl/>
          <w:lang w:val="fr-CH"/>
        </w:rPr>
        <w:tab/>
      </w:r>
      <w:r w:rsidRPr="000A5876">
        <w:rPr>
          <w:rStyle w:val="hps"/>
          <w:sz w:val="30"/>
          <w:rtl/>
          <w:lang/>
        </w:rPr>
        <w:t>وفيما يتعلق</w:t>
      </w:r>
      <w:r w:rsidRPr="000A5876">
        <w:rPr>
          <w:sz w:val="30"/>
          <w:rtl/>
          <w:lang/>
        </w:rPr>
        <w:t xml:space="preserve"> </w:t>
      </w:r>
      <w:r w:rsidRPr="000A5876">
        <w:rPr>
          <w:rFonts w:hint="cs"/>
          <w:sz w:val="30"/>
          <w:rtl/>
          <w:lang/>
        </w:rPr>
        <w:t>ب</w:t>
      </w:r>
      <w:r w:rsidRPr="000A5876">
        <w:rPr>
          <w:rStyle w:val="hps"/>
          <w:sz w:val="30"/>
          <w:rtl/>
          <w:lang/>
        </w:rPr>
        <w:t>مصداقية</w:t>
      </w:r>
      <w:r w:rsidRPr="000A5876">
        <w:rPr>
          <w:sz w:val="30"/>
          <w:rtl/>
          <w:lang/>
        </w:rPr>
        <w:t xml:space="preserve"> </w:t>
      </w:r>
      <w:r w:rsidRPr="000A5876">
        <w:rPr>
          <w:rStyle w:val="hps"/>
          <w:sz w:val="30"/>
          <w:rtl/>
          <w:lang/>
        </w:rPr>
        <w:t>التفسيرات</w:t>
      </w:r>
      <w:r w:rsidRPr="000A5876">
        <w:rPr>
          <w:sz w:val="30"/>
          <w:rtl/>
          <w:lang/>
        </w:rPr>
        <w:t xml:space="preserve"> </w:t>
      </w:r>
      <w:r w:rsidRPr="000A5876">
        <w:rPr>
          <w:rStyle w:val="hps"/>
          <w:sz w:val="30"/>
          <w:rtl/>
          <w:lang/>
        </w:rPr>
        <w:t>التي قدمها</w:t>
      </w:r>
      <w:r w:rsidRPr="000A5876">
        <w:rPr>
          <w:sz w:val="30"/>
          <w:rtl/>
          <w:lang/>
        </w:rPr>
        <w:t xml:space="preserve"> </w:t>
      </w:r>
      <w:r w:rsidRPr="000A5876">
        <w:rPr>
          <w:rStyle w:val="hps"/>
          <w:sz w:val="30"/>
          <w:rtl/>
          <w:lang/>
        </w:rPr>
        <w:t>صاحب ال</w:t>
      </w:r>
      <w:r w:rsidRPr="000A5876">
        <w:rPr>
          <w:rStyle w:val="hps"/>
          <w:rFonts w:hint="cs"/>
          <w:sz w:val="30"/>
          <w:rtl/>
          <w:lang/>
        </w:rPr>
        <w:t>شكوى</w:t>
      </w:r>
      <w:r w:rsidRPr="000A5876">
        <w:rPr>
          <w:rStyle w:val="hps"/>
          <w:sz w:val="30"/>
          <w:rtl/>
          <w:lang/>
        </w:rPr>
        <w:t xml:space="preserve"> الأول</w:t>
      </w:r>
      <w:r w:rsidRPr="000A5876">
        <w:rPr>
          <w:sz w:val="30"/>
          <w:rtl/>
          <w:lang/>
        </w:rPr>
        <w:t xml:space="preserve"> </w:t>
      </w:r>
      <w:r w:rsidRPr="000A5876">
        <w:rPr>
          <w:rStyle w:val="hps"/>
          <w:rFonts w:hint="cs"/>
          <w:sz w:val="30"/>
          <w:rtl/>
          <w:lang/>
        </w:rPr>
        <w:t>بشأن</w:t>
      </w:r>
      <w:r w:rsidRPr="000A5876">
        <w:rPr>
          <w:rStyle w:val="hps"/>
          <w:sz w:val="30"/>
          <w:rtl/>
          <w:lang/>
        </w:rPr>
        <w:t xml:space="preserve"> كيفية</w:t>
      </w:r>
      <w:r w:rsidRPr="000A5876">
        <w:rPr>
          <w:sz w:val="30"/>
          <w:rtl/>
          <w:lang/>
        </w:rPr>
        <w:t xml:space="preserve"> </w:t>
      </w:r>
      <w:r w:rsidRPr="000A5876">
        <w:rPr>
          <w:rStyle w:val="hps"/>
          <w:sz w:val="30"/>
          <w:rtl/>
          <w:lang/>
        </w:rPr>
        <w:t>خروجه من</w:t>
      </w:r>
      <w:r w:rsidRPr="000A5876">
        <w:rPr>
          <w:sz w:val="30"/>
          <w:rtl/>
          <w:lang/>
        </w:rPr>
        <w:t xml:space="preserve"> </w:t>
      </w:r>
      <w:r w:rsidRPr="000A5876">
        <w:rPr>
          <w:rStyle w:val="hps"/>
          <w:sz w:val="30"/>
          <w:rtl/>
          <w:lang/>
        </w:rPr>
        <w:t>اليمن</w:t>
      </w:r>
      <w:r w:rsidRPr="000A5876">
        <w:rPr>
          <w:sz w:val="30"/>
          <w:rtl/>
          <w:lang/>
        </w:rPr>
        <w:t xml:space="preserve">، </w:t>
      </w:r>
      <w:r w:rsidRPr="000A5876">
        <w:rPr>
          <w:rFonts w:hint="cs"/>
          <w:sz w:val="30"/>
          <w:rtl/>
          <w:lang/>
        </w:rPr>
        <w:t>يؤكد هذا الأخير أن</w:t>
      </w:r>
      <w:r w:rsidRPr="000A5876">
        <w:rPr>
          <w:sz w:val="30"/>
          <w:rtl/>
          <w:lang/>
        </w:rPr>
        <w:t xml:space="preserve"> </w:t>
      </w:r>
      <w:r w:rsidRPr="000A5876">
        <w:rPr>
          <w:rStyle w:val="hps"/>
          <w:sz w:val="30"/>
          <w:rtl/>
          <w:lang/>
        </w:rPr>
        <w:t>الصديق الذي</w:t>
      </w:r>
      <w:r w:rsidRPr="000A5876">
        <w:rPr>
          <w:sz w:val="30"/>
          <w:rtl/>
          <w:lang/>
        </w:rPr>
        <w:t xml:space="preserve"> </w:t>
      </w:r>
      <w:r w:rsidRPr="000A5876">
        <w:rPr>
          <w:rStyle w:val="hps"/>
          <w:sz w:val="30"/>
          <w:rtl/>
          <w:lang/>
        </w:rPr>
        <w:t>ساعده على</w:t>
      </w:r>
      <w:r w:rsidRPr="000A5876">
        <w:rPr>
          <w:sz w:val="30"/>
          <w:rtl/>
          <w:lang/>
        </w:rPr>
        <w:t xml:space="preserve"> </w:t>
      </w:r>
      <w:r w:rsidRPr="000A5876">
        <w:rPr>
          <w:rStyle w:val="hps"/>
          <w:sz w:val="30"/>
          <w:rtl/>
          <w:lang/>
        </w:rPr>
        <w:t>تنظيم</w:t>
      </w:r>
      <w:r w:rsidRPr="000A5876">
        <w:rPr>
          <w:sz w:val="30"/>
          <w:rtl/>
          <w:lang/>
        </w:rPr>
        <w:t xml:space="preserve"> </w:t>
      </w:r>
      <w:r w:rsidRPr="000A5876">
        <w:rPr>
          <w:rStyle w:val="hps"/>
          <w:sz w:val="30"/>
          <w:rtl/>
          <w:lang/>
        </w:rPr>
        <w:t>رحيل</w:t>
      </w:r>
      <w:r w:rsidRPr="000A5876">
        <w:rPr>
          <w:rStyle w:val="hps"/>
          <w:rFonts w:hint="cs"/>
          <w:sz w:val="30"/>
          <w:rtl/>
          <w:lang/>
        </w:rPr>
        <w:t>ه</w:t>
      </w:r>
      <w:r w:rsidRPr="000A5876">
        <w:rPr>
          <w:sz w:val="30"/>
          <w:rtl/>
          <w:lang/>
        </w:rPr>
        <w:t xml:space="preserve"> </w:t>
      </w:r>
      <w:r w:rsidRPr="000A5876">
        <w:rPr>
          <w:rStyle w:val="hps"/>
          <w:rFonts w:hint="cs"/>
          <w:sz w:val="30"/>
          <w:rtl/>
          <w:lang/>
        </w:rPr>
        <w:t>قد عرض نفسه للخطر</w:t>
      </w:r>
      <w:r w:rsidRPr="000A5876">
        <w:rPr>
          <w:sz w:val="30"/>
          <w:rtl/>
          <w:lang/>
        </w:rPr>
        <w:t xml:space="preserve">. </w:t>
      </w:r>
      <w:r w:rsidRPr="000A5876">
        <w:rPr>
          <w:rStyle w:val="hps"/>
          <w:sz w:val="30"/>
          <w:rtl/>
          <w:lang/>
        </w:rPr>
        <w:t>وي</w:t>
      </w:r>
      <w:r w:rsidRPr="000A5876">
        <w:rPr>
          <w:rStyle w:val="hps"/>
          <w:rFonts w:hint="cs"/>
          <w:sz w:val="30"/>
          <w:rtl/>
          <w:lang/>
        </w:rPr>
        <w:t>ضيف</w:t>
      </w:r>
      <w:r w:rsidRPr="000A5876">
        <w:rPr>
          <w:sz w:val="30"/>
          <w:rtl/>
          <w:lang/>
        </w:rPr>
        <w:t xml:space="preserve"> </w:t>
      </w:r>
      <w:r w:rsidRPr="000A5876">
        <w:rPr>
          <w:rStyle w:val="hps"/>
          <w:sz w:val="30"/>
          <w:rtl/>
          <w:lang/>
        </w:rPr>
        <w:t>صاحب الشكوى</w:t>
      </w:r>
      <w:r w:rsidRPr="000A5876">
        <w:rPr>
          <w:sz w:val="30"/>
          <w:rtl/>
          <w:lang/>
        </w:rPr>
        <w:t xml:space="preserve"> </w:t>
      </w:r>
      <w:r w:rsidRPr="000A5876">
        <w:rPr>
          <w:rStyle w:val="hps"/>
          <w:sz w:val="30"/>
          <w:rtl/>
          <w:lang/>
        </w:rPr>
        <w:t xml:space="preserve">الأول </w:t>
      </w:r>
      <w:r w:rsidRPr="000A5876">
        <w:rPr>
          <w:rStyle w:val="hps"/>
          <w:rFonts w:hint="cs"/>
          <w:sz w:val="30"/>
          <w:rtl/>
          <w:lang/>
        </w:rPr>
        <w:t>أنه لا</w:t>
      </w:r>
      <w:r w:rsidRPr="000A5876">
        <w:rPr>
          <w:rStyle w:val="hps"/>
          <w:sz w:val="30"/>
          <w:rtl/>
          <w:lang/>
        </w:rPr>
        <w:t> </w:t>
      </w:r>
      <w:r w:rsidRPr="000A5876">
        <w:rPr>
          <w:rStyle w:val="hps"/>
          <w:rFonts w:hint="cs"/>
          <w:sz w:val="30"/>
          <w:rtl/>
          <w:lang/>
        </w:rPr>
        <w:t>يوجد</w:t>
      </w:r>
      <w:r w:rsidRPr="000A5876">
        <w:rPr>
          <w:rStyle w:val="hps"/>
          <w:sz w:val="30"/>
          <w:rtl/>
          <w:lang/>
        </w:rPr>
        <w:t xml:space="preserve"> أي سبب</w:t>
      </w:r>
      <w:r w:rsidRPr="000A5876">
        <w:rPr>
          <w:sz w:val="30"/>
          <w:rtl/>
          <w:lang/>
        </w:rPr>
        <w:t xml:space="preserve"> </w:t>
      </w:r>
      <w:r w:rsidRPr="000A5876">
        <w:rPr>
          <w:rStyle w:val="hps"/>
          <w:rFonts w:hint="cs"/>
          <w:sz w:val="30"/>
          <w:rtl/>
          <w:lang/>
        </w:rPr>
        <w:t>يدعو إلى الاعتقاد بأن هذا الأمر لا</w:t>
      </w:r>
      <w:r w:rsidRPr="000A5876">
        <w:rPr>
          <w:rStyle w:val="hps"/>
          <w:sz w:val="30"/>
          <w:rtl/>
          <w:lang/>
        </w:rPr>
        <w:t> </w:t>
      </w:r>
      <w:r w:rsidRPr="000A5876">
        <w:rPr>
          <w:rStyle w:val="hps"/>
          <w:rFonts w:hint="cs"/>
          <w:sz w:val="30"/>
          <w:rtl/>
          <w:lang/>
        </w:rPr>
        <w:t>يتوافق مع الواقع السائد</w:t>
      </w:r>
      <w:r w:rsidRPr="000A5876">
        <w:rPr>
          <w:rStyle w:val="hps"/>
          <w:sz w:val="30"/>
          <w:rtl/>
          <w:lang/>
        </w:rPr>
        <w:t xml:space="preserve"> في</w:t>
      </w:r>
      <w:r w:rsidRPr="000A5876">
        <w:rPr>
          <w:sz w:val="30"/>
          <w:rtl/>
          <w:lang/>
        </w:rPr>
        <w:t xml:space="preserve"> </w:t>
      </w:r>
      <w:r w:rsidRPr="000A5876">
        <w:rPr>
          <w:rStyle w:val="hps"/>
          <w:sz w:val="30"/>
          <w:rtl/>
          <w:lang/>
        </w:rPr>
        <w:t>اليمن</w:t>
      </w:r>
      <w:r w:rsidRPr="000A5876">
        <w:rPr>
          <w:sz w:val="30"/>
          <w:rtl/>
          <w:lang/>
        </w:rPr>
        <w:t xml:space="preserve">، </w:t>
      </w:r>
      <w:r w:rsidRPr="000A5876">
        <w:rPr>
          <w:rStyle w:val="hps"/>
          <w:rFonts w:hint="cs"/>
          <w:sz w:val="30"/>
          <w:rtl/>
          <w:lang/>
        </w:rPr>
        <w:t>على النحو الذي أكدته</w:t>
      </w:r>
      <w:r w:rsidRPr="000A5876">
        <w:rPr>
          <w:sz w:val="30"/>
          <w:rtl/>
          <w:lang/>
        </w:rPr>
        <w:t xml:space="preserve"> </w:t>
      </w:r>
      <w:r w:rsidRPr="000A5876">
        <w:rPr>
          <w:rStyle w:val="hps"/>
          <w:sz w:val="30"/>
          <w:rtl/>
          <w:lang/>
        </w:rPr>
        <w:t>الدولة الطرف.</w:t>
      </w:r>
      <w:r w:rsidRPr="000A5876">
        <w:rPr>
          <w:sz w:val="30"/>
          <w:rtl/>
          <w:lang/>
        </w:rPr>
        <w:t xml:space="preserve"> </w:t>
      </w:r>
      <w:r w:rsidRPr="000A5876">
        <w:rPr>
          <w:rStyle w:val="hps"/>
          <w:sz w:val="30"/>
          <w:rtl/>
          <w:lang/>
        </w:rPr>
        <w:t>وعلاوة على ذلك</w:t>
      </w:r>
      <w:r w:rsidRPr="000A5876">
        <w:rPr>
          <w:sz w:val="30"/>
          <w:rtl/>
          <w:lang/>
        </w:rPr>
        <w:t xml:space="preserve">، </w:t>
      </w:r>
      <w:r w:rsidRPr="000A5876">
        <w:rPr>
          <w:rStyle w:val="hps"/>
          <w:rFonts w:hint="cs"/>
          <w:sz w:val="30"/>
          <w:rtl/>
          <w:lang/>
        </w:rPr>
        <w:t>فهو يرى أن الرواية التي قدمها هي رواية مفصلة ومدعومة</w:t>
      </w:r>
      <w:r w:rsidRPr="000A5876">
        <w:rPr>
          <w:sz w:val="30"/>
          <w:rtl/>
          <w:lang/>
        </w:rPr>
        <w:t xml:space="preserve"> </w:t>
      </w:r>
      <w:r w:rsidRPr="000A5876">
        <w:rPr>
          <w:rStyle w:val="hps"/>
          <w:sz w:val="30"/>
          <w:rtl/>
          <w:lang/>
        </w:rPr>
        <w:t>بالأدلة</w:t>
      </w:r>
      <w:r w:rsidRPr="000A5876">
        <w:rPr>
          <w:sz w:val="30"/>
          <w:rtl/>
          <w:lang/>
        </w:rPr>
        <w:t xml:space="preserve"> </w:t>
      </w:r>
      <w:r w:rsidRPr="000A5876">
        <w:rPr>
          <w:rStyle w:val="hps"/>
          <w:sz w:val="30"/>
          <w:rtl/>
          <w:lang/>
        </w:rPr>
        <w:t>وذات مصداقية</w:t>
      </w:r>
      <w:r w:rsidRPr="000A5876">
        <w:rPr>
          <w:sz w:val="30"/>
          <w:rtl/>
          <w:lang/>
        </w:rPr>
        <w:t xml:space="preserve">. </w:t>
      </w:r>
      <w:r w:rsidRPr="000A5876">
        <w:rPr>
          <w:rFonts w:hint="cs"/>
          <w:sz w:val="30"/>
          <w:rtl/>
          <w:lang/>
        </w:rPr>
        <w:t xml:space="preserve">ويُذكّر </w:t>
      </w:r>
      <w:r w:rsidRPr="000A5876">
        <w:rPr>
          <w:rStyle w:val="hps"/>
          <w:sz w:val="30"/>
          <w:rtl/>
          <w:lang/>
        </w:rPr>
        <w:t>صاحب ال</w:t>
      </w:r>
      <w:r w:rsidRPr="000A5876">
        <w:rPr>
          <w:rStyle w:val="hps"/>
          <w:rFonts w:hint="cs"/>
          <w:sz w:val="30"/>
          <w:rtl/>
          <w:lang/>
        </w:rPr>
        <w:t>شكوى</w:t>
      </w:r>
      <w:r w:rsidRPr="000A5876">
        <w:rPr>
          <w:rStyle w:val="hps"/>
          <w:sz w:val="30"/>
          <w:rtl/>
          <w:lang/>
        </w:rPr>
        <w:t xml:space="preserve"> الأول</w:t>
      </w:r>
      <w:r w:rsidRPr="000A5876">
        <w:rPr>
          <w:sz w:val="30"/>
          <w:rtl/>
          <w:lang/>
        </w:rPr>
        <w:t xml:space="preserve"> </w:t>
      </w:r>
      <w:r w:rsidRPr="000A5876">
        <w:rPr>
          <w:rStyle w:val="hps"/>
          <w:sz w:val="30"/>
          <w:rtl/>
          <w:lang/>
        </w:rPr>
        <w:t>أنه</w:t>
      </w:r>
      <w:r w:rsidRPr="000A5876">
        <w:rPr>
          <w:sz w:val="30"/>
          <w:rtl/>
          <w:lang/>
        </w:rPr>
        <w:t xml:space="preserve"> لم </w:t>
      </w:r>
      <w:r w:rsidRPr="000A5876">
        <w:rPr>
          <w:rStyle w:val="hps"/>
          <w:rFonts w:hint="cs"/>
          <w:sz w:val="30"/>
          <w:rtl/>
          <w:lang/>
        </w:rPr>
        <w:t>يدعّ البته</w:t>
      </w:r>
      <w:r w:rsidRPr="000A5876">
        <w:rPr>
          <w:sz w:val="30"/>
          <w:rtl/>
          <w:lang/>
        </w:rPr>
        <w:t xml:space="preserve"> </w:t>
      </w:r>
      <w:r w:rsidRPr="000A5876">
        <w:rPr>
          <w:rStyle w:val="hps"/>
          <w:sz w:val="30"/>
          <w:rtl/>
          <w:lang/>
        </w:rPr>
        <w:t>أنه كان</w:t>
      </w:r>
      <w:r w:rsidRPr="000A5876">
        <w:rPr>
          <w:sz w:val="30"/>
          <w:rtl/>
          <w:lang/>
        </w:rPr>
        <w:t xml:space="preserve"> </w:t>
      </w:r>
      <w:r w:rsidRPr="000A5876">
        <w:rPr>
          <w:rStyle w:val="hps"/>
          <w:sz w:val="30"/>
          <w:rtl/>
          <w:lang/>
        </w:rPr>
        <w:t>عضوا</w:t>
      </w:r>
      <w:r w:rsidRPr="000A5876">
        <w:rPr>
          <w:rStyle w:val="hps"/>
          <w:rFonts w:hint="cs"/>
          <w:sz w:val="30"/>
          <w:rtl/>
          <w:lang/>
        </w:rPr>
        <w:t>ً</w:t>
      </w:r>
      <w:r w:rsidRPr="000A5876">
        <w:rPr>
          <w:sz w:val="30"/>
          <w:rtl/>
          <w:lang/>
        </w:rPr>
        <w:t xml:space="preserve"> </w:t>
      </w:r>
      <w:r w:rsidRPr="000A5876">
        <w:rPr>
          <w:rStyle w:val="hps"/>
          <w:sz w:val="30"/>
          <w:rtl/>
          <w:lang/>
        </w:rPr>
        <w:t>رفيع المستوى</w:t>
      </w:r>
      <w:r w:rsidRPr="000A5876">
        <w:rPr>
          <w:sz w:val="30"/>
          <w:rtl/>
          <w:lang/>
        </w:rPr>
        <w:t xml:space="preserve"> </w:t>
      </w:r>
      <w:r w:rsidRPr="000A5876">
        <w:rPr>
          <w:rStyle w:val="hps"/>
          <w:rFonts w:hint="cs"/>
          <w:sz w:val="30"/>
          <w:rtl/>
          <w:lang/>
        </w:rPr>
        <w:t>في</w:t>
      </w:r>
      <w:r w:rsidRPr="000A5876">
        <w:rPr>
          <w:sz w:val="30"/>
          <w:rtl/>
          <w:lang/>
        </w:rPr>
        <w:t xml:space="preserve"> </w:t>
      </w:r>
      <w:r w:rsidRPr="000A5876">
        <w:rPr>
          <w:rStyle w:val="hps"/>
          <w:sz w:val="30"/>
          <w:rtl/>
          <w:lang/>
        </w:rPr>
        <w:t>الحراك الجنوبي.</w:t>
      </w:r>
      <w:r w:rsidRPr="000A5876">
        <w:rPr>
          <w:sz w:val="30"/>
          <w:rtl/>
          <w:lang/>
        </w:rPr>
        <w:t xml:space="preserve"> </w:t>
      </w:r>
      <w:r w:rsidRPr="000A5876">
        <w:rPr>
          <w:rStyle w:val="hps"/>
          <w:sz w:val="30"/>
          <w:rtl/>
          <w:lang/>
        </w:rPr>
        <w:t>ومع ذلك</w:t>
      </w:r>
      <w:r w:rsidRPr="000A5876">
        <w:rPr>
          <w:sz w:val="30"/>
          <w:rtl/>
          <w:lang/>
        </w:rPr>
        <w:t xml:space="preserve">، </w:t>
      </w:r>
      <w:r w:rsidRPr="000A5876">
        <w:rPr>
          <w:rFonts w:hint="cs"/>
          <w:sz w:val="30"/>
          <w:rtl/>
          <w:lang/>
        </w:rPr>
        <w:t xml:space="preserve">فقد </w:t>
      </w:r>
      <w:r w:rsidRPr="000A5876">
        <w:rPr>
          <w:rStyle w:val="hps"/>
          <w:sz w:val="30"/>
          <w:rtl/>
          <w:lang/>
        </w:rPr>
        <w:t>كان</w:t>
      </w:r>
      <w:r w:rsidRPr="000A5876">
        <w:rPr>
          <w:rStyle w:val="hps"/>
          <w:rFonts w:hint="cs"/>
          <w:sz w:val="30"/>
          <w:rtl/>
          <w:lang/>
        </w:rPr>
        <w:t>ت السلطات اليمنية تعتبره</w:t>
      </w:r>
      <w:r w:rsidRPr="000A5876">
        <w:rPr>
          <w:rStyle w:val="hps"/>
          <w:sz w:val="30"/>
          <w:rtl/>
          <w:lang/>
        </w:rPr>
        <w:t xml:space="preserve"> ناقد</w:t>
      </w:r>
      <w:r w:rsidRPr="000A5876">
        <w:rPr>
          <w:rStyle w:val="hps"/>
          <w:rFonts w:hint="cs"/>
          <w:sz w:val="30"/>
          <w:rtl/>
          <w:lang/>
        </w:rPr>
        <w:t>اً</w:t>
      </w:r>
      <w:r w:rsidRPr="000A5876">
        <w:rPr>
          <w:sz w:val="30"/>
          <w:rtl/>
          <w:lang/>
        </w:rPr>
        <w:t xml:space="preserve"> </w:t>
      </w:r>
      <w:r w:rsidRPr="000A5876">
        <w:rPr>
          <w:rStyle w:val="hps"/>
          <w:sz w:val="30"/>
          <w:rtl/>
          <w:lang/>
        </w:rPr>
        <w:t>للحكومة</w:t>
      </w:r>
      <w:r w:rsidRPr="000A5876">
        <w:rPr>
          <w:sz w:val="30"/>
          <w:rtl/>
          <w:lang/>
        </w:rPr>
        <w:t xml:space="preserve"> </w:t>
      </w:r>
      <w:r w:rsidRPr="000A5876">
        <w:rPr>
          <w:rStyle w:val="hps"/>
          <w:rFonts w:hint="cs"/>
          <w:sz w:val="30"/>
          <w:rtl/>
          <w:lang/>
        </w:rPr>
        <w:t>ومورست عليه</w:t>
      </w:r>
      <w:r w:rsidRPr="000A5876">
        <w:rPr>
          <w:rFonts w:hint="cs"/>
          <w:sz w:val="30"/>
          <w:rtl/>
          <w:lang/>
        </w:rPr>
        <w:t xml:space="preserve"> ضغوط شديدة</w:t>
      </w:r>
      <w:r w:rsidRPr="000A5876">
        <w:rPr>
          <w:sz w:val="30"/>
          <w:rtl/>
          <w:lang/>
        </w:rPr>
        <w:t>. ولم </w:t>
      </w:r>
      <w:r w:rsidRPr="000A5876">
        <w:rPr>
          <w:rStyle w:val="hps"/>
          <w:rFonts w:hint="cs"/>
          <w:sz w:val="30"/>
          <w:rtl/>
          <w:lang/>
        </w:rPr>
        <w:t>تكن مغادرته لليمن</w:t>
      </w:r>
      <w:r w:rsidRPr="000A5876">
        <w:rPr>
          <w:sz w:val="30"/>
          <w:rtl/>
          <w:lang/>
        </w:rPr>
        <w:t xml:space="preserve"> </w:t>
      </w:r>
      <w:r w:rsidRPr="000A5876">
        <w:rPr>
          <w:rStyle w:val="hps"/>
          <w:sz w:val="30"/>
          <w:rtl/>
          <w:lang/>
        </w:rPr>
        <w:t>في كانون الثاني</w:t>
      </w:r>
      <w:r w:rsidRPr="000A5876">
        <w:rPr>
          <w:rStyle w:val="hps"/>
          <w:rFonts w:hint="cs"/>
          <w:sz w:val="30"/>
          <w:rtl/>
          <w:lang/>
        </w:rPr>
        <w:t>/يناير</w:t>
      </w:r>
      <w:r w:rsidRPr="000A5876">
        <w:rPr>
          <w:sz w:val="30"/>
          <w:rtl/>
          <w:lang/>
        </w:rPr>
        <w:t xml:space="preserve"> </w:t>
      </w:r>
      <w:r w:rsidRPr="000A5876">
        <w:rPr>
          <w:rStyle w:val="hps"/>
          <w:sz w:val="30"/>
          <w:rtl/>
          <w:lang/>
        </w:rPr>
        <w:t xml:space="preserve">2010 </w:t>
      </w:r>
      <w:r w:rsidRPr="000A5876">
        <w:rPr>
          <w:rStyle w:val="hps"/>
          <w:rFonts w:hint="cs"/>
          <w:sz w:val="30"/>
          <w:rtl/>
          <w:lang/>
        </w:rPr>
        <w:t>ممكنة إلاّ</w:t>
      </w:r>
      <w:r w:rsidRPr="000A5876">
        <w:rPr>
          <w:rStyle w:val="hps"/>
          <w:sz w:val="30"/>
          <w:rtl/>
          <w:lang/>
        </w:rPr>
        <w:t xml:space="preserve"> </w:t>
      </w:r>
      <w:r w:rsidRPr="000A5876">
        <w:rPr>
          <w:rStyle w:val="hps"/>
          <w:rFonts w:hint="cs"/>
          <w:sz w:val="30"/>
          <w:rtl/>
          <w:lang/>
        </w:rPr>
        <w:t>ب</w:t>
      </w:r>
      <w:r w:rsidRPr="000A5876">
        <w:rPr>
          <w:rStyle w:val="hps"/>
          <w:sz w:val="30"/>
          <w:rtl/>
          <w:lang/>
        </w:rPr>
        <w:t>مساعدة</w:t>
      </w:r>
      <w:r w:rsidRPr="000A5876">
        <w:rPr>
          <w:sz w:val="30"/>
          <w:rtl/>
          <w:lang/>
        </w:rPr>
        <w:t xml:space="preserve"> </w:t>
      </w:r>
      <w:r w:rsidRPr="000A5876">
        <w:rPr>
          <w:rStyle w:val="hps"/>
          <w:sz w:val="30"/>
          <w:rtl/>
          <w:lang/>
        </w:rPr>
        <w:t>أحد الأصدقاء</w:t>
      </w:r>
      <w:r w:rsidRPr="000A5876">
        <w:rPr>
          <w:rFonts w:hint="cs"/>
          <w:sz w:val="30"/>
          <w:rtl/>
          <w:lang/>
        </w:rPr>
        <w:t xml:space="preserve"> وبما</w:t>
      </w:r>
      <w:r w:rsidRPr="000A5876">
        <w:rPr>
          <w:sz w:val="30"/>
          <w:rtl/>
          <w:lang/>
        </w:rPr>
        <w:t> </w:t>
      </w:r>
      <w:r w:rsidRPr="000A5876">
        <w:rPr>
          <w:rFonts w:hint="cs"/>
          <w:sz w:val="30"/>
          <w:rtl/>
          <w:lang/>
        </w:rPr>
        <w:t>خصص لها من أموال كثيرة ولمكانته المتواضعة.</w:t>
      </w:r>
    </w:p>
    <w:p w:rsidR="00091373" w:rsidRPr="000A5876" w:rsidRDefault="00091373" w:rsidP="00091373">
      <w:pPr>
        <w:pStyle w:val="SingleTxtGA"/>
        <w:rPr>
          <w:rFonts w:hint="cs"/>
          <w:sz w:val="30"/>
          <w:rtl/>
          <w:lang/>
        </w:rPr>
      </w:pPr>
      <w:r w:rsidRPr="000A5876">
        <w:rPr>
          <w:sz w:val="30"/>
          <w:rtl/>
          <w:lang w:val="fr-CH"/>
        </w:rPr>
        <w:t>5-7</w:t>
      </w:r>
      <w:r w:rsidRPr="000A5876">
        <w:rPr>
          <w:sz w:val="30"/>
          <w:rtl/>
          <w:lang w:val="fr-CH"/>
        </w:rPr>
        <w:tab/>
      </w:r>
      <w:r w:rsidRPr="000A5876">
        <w:rPr>
          <w:rStyle w:val="hps"/>
          <w:rFonts w:hint="cs"/>
          <w:sz w:val="30"/>
          <w:rtl/>
          <w:lang/>
        </w:rPr>
        <w:t>ويؤكد</w:t>
      </w:r>
      <w:r w:rsidRPr="000A5876">
        <w:rPr>
          <w:sz w:val="30"/>
          <w:rtl/>
          <w:lang/>
        </w:rPr>
        <w:t xml:space="preserve"> </w:t>
      </w:r>
      <w:r w:rsidRPr="000A5876">
        <w:rPr>
          <w:rStyle w:val="hps"/>
          <w:sz w:val="30"/>
          <w:rtl/>
          <w:lang/>
        </w:rPr>
        <w:t>صاحب الشكوى</w:t>
      </w:r>
      <w:r w:rsidRPr="000A5876">
        <w:rPr>
          <w:sz w:val="30"/>
          <w:rtl/>
          <w:lang/>
        </w:rPr>
        <w:t xml:space="preserve"> </w:t>
      </w:r>
      <w:r w:rsidRPr="000A5876">
        <w:rPr>
          <w:rStyle w:val="hps"/>
          <w:sz w:val="30"/>
          <w:rtl/>
          <w:lang/>
        </w:rPr>
        <w:t>الأول</w:t>
      </w:r>
      <w:r w:rsidRPr="000A5876">
        <w:rPr>
          <w:sz w:val="30"/>
          <w:rtl/>
          <w:lang/>
        </w:rPr>
        <w:t xml:space="preserve"> </w:t>
      </w:r>
      <w:r w:rsidRPr="000A5876">
        <w:rPr>
          <w:rStyle w:val="hps"/>
          <w:sz w:val="30"/>
          <w:rtl/>
          <w:lang/>
        </w:rPr>
        <w:t>أن</w:t>
      </w:r>
      <w:r w:rsidRPr="000A5876">
        <w:rPr>
          <w:rStyle w:val="hps"/>
          <w:rFonts w:hint="cs"/>
          <w:sz w:val="30"/>
          <w:rtl/>
          <w:lang/>
        </w:rPr>
        <w:t xml:space="preserve">ه </w:t>
      </w:r>
      <w:r w:rsidRPr="000A5876">
        <w:rPr>
          <w:rStyle w:val="hps"/>
          <w:sz w:val="30"/>
          <w:rtl/>
          <w:lang/>
        </w:rPr>
        <w:t>س</w:t>
      </w:r>
      <w:r w:rsidRPr="000A5876">
        <w:rPr>
          <w:rStyle w:val="hps"/>
          <w:rFonts w:hint="cs"/>
          <w:sz w:val="30"/>
          <w:rtl/>
          <w:lang/>
        </w:rPr>
        <w:t>يواجه خطر التعرض</w:t>
      </w:r>
      <w:r w:rsidRPr="000A5876">
        <w:rPr>
          <w:rStyle w:val="hps"/>
          <w:sz w:val="30"/>
          <w:rtl/>
          <w:lang/>
        </w:rPr>
        <w:t xml:space="preserve"> ل</w:t>
      </w:r>
      <w:r w:rsidRPr="000A5876">
        <w:rPr>
          <w:sz w:val="30"/>
          <w:rtl/>
          <w:lang/>
        </w:rPr>
        <w:t>تعذيب</w:t>
      </w:r>
      <w:r w:rsidRPr="000A5876">
        <w:rPr>
          <w:rFonts w:hint="cs"/>
          <w:sz w:val="30"/>
          <w:rtl/>
          <w:lang/>
        </w:rPr>
        <w:t xml:space="preserve"> حقيقي ووشيك </w:t>
      </w:r>
      <w:r w:rsidRPr="000A5876">
        <w:rPr>
          <w:sz w:val="30"/>
          <w:rtl/>
          <w:lang/>
        </w:rPr>
        <w:t>أو </w:t>
      </w:r>
      <w:r w:rsidRPr="000A5876">
        <w:rPr>
          <w:rFonts w:hint="cs"/>
          <w:sz w:val="30"/>
          <w:rtl/>
          <w:lang/>
        </w:rPr>
        <w:t>ل</w:t>
      </w:r>
      <w:r w:rsidRPr="000A5876">
        <w:rPr>
          <w:rStyle w:val="hps"/>
          <w:sz w:val="30"/>
          <w:rtl/>
          <w:lang/>
        </w:rPr>
        <w:t>غيره من ضروب المعاملة</w:t>
      </w:r>
      <w:r w:rsidRPr="000A5876">
        <w:rPr>
          <w:sz w:val="30"/>
          <w:rtl/>
          <w:lang/>
        </w:rPr>
        <w:t xml:space="preserve"> </w:t>
      </w:r>
      <w:r w:rsidRPr="000A5876">
        <w:rPr>
          <w:rStyle w:val="hps"/>
          <w:sz w:val="30"/>
          <w:rtl/>
          <w:lang/>
        </w:rPr>
        <w:t>اللاإنسانية والمهينة</w:t>
      </w:r>
      <w:r w:rsidRPr="000A5876">
        <w:rPr>
          <w:sz w:val="30"/>
          <w:rtl/>
          <w:lang/>
        </w:rPr>
        <w:t xml:space="preserve"> </w:t>
      </w:r>
      <w:r w:rsidRPr="000A5876">
        <w:rPr>
          <w:rStyle w:val="hps"/>
          <w:sz w:val="30"/>
          <w:rtl/>
          <w:lang/>
        </w:rPr>
        <w:t>إذا أعيد</w:t>
      </w:r>
      <w:r w:rsidRPr="000A5876">
        <w:rPr>
          <w:sz w:val="30"/>
          <w:rtl/>
          <w:lang/>
        </w:rPr>
        <w:t xml:space="preserve"> </w:t>
      </w:r>
      <w:r w:rsidRPr="000A5876">
        <w:rPr>
          <w:rStyle w:val="hps"/>
          <w:sz w:val="30"/>
          <w:rtl/>
          <w:lang/>
        </w:rPr>
        <w:t>قسرا</w:t>
      </w:r>
      <w:r w:rsidRPr="000A5876">
        <w:rPr>
          <w:rStyle w:val="hps"/>
          <w:rFonts w:hint="cs"/>
          <w:sz w:val="30"/>
          <w:rtl/>
          <w:lang/>
        </w:rPr>
        <w:t>ً</w:t>
      </w:r>
      <w:r w:rsidRPr="000A5876">
        <w:rPr>
          <w:rStyle w:val="hps"/>
          <w:sz w:val="30"/>
          <w:rtl/>
          <w:lang/>
        </w:rPr>
        <w:t xml:space="preserve"> إلى</w:t>
      </w:r>
      <w:r w:rsidRPr="000A5876">
        <w:rPr>
          <w:sz w:val="30"/>
          <w:rtl/>
          <w:lang/>
        </w:rPr>
        <w:t xml:space="preserve"> </w:t>
      </w:r>
      <w:r w:rsidRPr="000A5876">
        <w:rPr>
          <w:rStyle w:val="hps"/>
          <w:sz w:val="30"/>
          <w:rtl/>
          <w:lang/>
        </w:rPr>
        <w:t>اليمن</w:t>
      </w:r>
      <w:r w:rsidRPr="000A5876">
        <w:rPr>
          <w:sz w:val="30"/>
          <w:rtl/>
          <w:lang/>
        </w:rPr>
        <w:t xml:space="preserve">. </w:t>
      </w:r>
      <w:r w:rsidRPr="000A5876">
        <w:rPr>
          <w:rStyle w:val="hps"/>
          <w:sz w:val="30"/>
          <w:rtl/>
          <w:lang/>
        </w:rPr>
        <w:t>ويضيف</w:t>
      </w:r>
      <w:r w:rsidRPr="000A5876">
        <w:rPr>
          <w:sz w:val="30"/>
          <w:rtl/>
          <w:lang/>
        </w:rPr>
        <w:t xml:space="preserve"> </w:t>
      </w:r>
      <w:r w:rsidRPr="000A5876">
        <w:rPr>
          <w:rStyle w:val="hps"/>
          <w:rFonts w:hint="cs"/>
          <w:sz w:val="30"/>
          <w:rtl/>
          <w:lang/>
        </w:rPr>
        <w:t>أن</w:t>
      </w:r>
      <w:r w:rsidRPr="000A5876">
        <w:rPr>
          <w:rStyle w:val="hps"/>
          <w:rFonts w:hint="eastAsia"/>
          <w:sz w:val="30"/>
          <w:rtl/>
          <w:lang/>
        </w:rPr>
        <w:t> </w:t>
      </w:r>
      <w:r w:rsidRPr="000A5876">
        <w:rPr>
          <w:rStyle w:val="hps"/>
          <w:rFonts w:hint="cs"/>
          <w:sz w:val="30"/>
          <w:rtl/>
          <w:lang/>
        </w:rPr>
        <w:t>سويسرا ستنتهك</w:t>
      </w:r>
      <w:r w:rsidRPr="000A5876">
        <w:rPr>
          <w:rFonts w:hint="cs"/>
          <w:sz w:val="30"/>
          <w:rtl/>
          <w:lang/>
        </w:rPr>
        <w:t xml:space="preserve">، من خلال </w:t>
      </w:r>
      <w:r w:rsidRPr="000A5876">
        <w:rPr>
          <w:rStyle w:val="hps"/>
          <w:sz w:val="30"/>
          <w:rtl/>
          <w:lang/>
        </w:rPr>
        <w:t>طرده</w:t>
      </w:r>
      <w:r w:rsidRPr="000A5876">
        <w:rPr>
          <w:sz w:val="30"/>
          <w:rtl/>
          <w:lang/>
        </w:rPr>
        <w:t xml:space="preserve"> </w:t>
      </w:r>
      <w:r w:rsidRPr="000A5876">
        <w:rPr>
          <w:rStyle w:val="hps"/>
          <w:rFonts w:hint="cs"/>
          <w:sz w:val="30"/>
          <w:rtl/>
          <w:lang/>
        </w:rPr>
        <w:t>هو وأسرته</w:t>
      </w:r>
      <w:r w:rsidRPr="000A5876">
        <w:rPr>
          <w:sz w:val="30"/>
          <w:rtl/>
          <w:lang/>
        </w:rPr>
        <w:t xml:space="preserve"> </w:t>
      </w:r>
      <w:r w:rsidRPr="000A5876">
        <w:rPr>
          <w:rStyle w:val="hps"/>
          <w:sz w:val="30"/>
          <w:rtl/>
          <w:lang/>
        </w:rPr>
        <w:t xml:space="preserve">إلى </w:t>
      </w:r>
      <w:r w:rsidRPr="000A5876">
        <w:rPr>
          <w:rStyle w:val="hps"/>
          <w:rFonts w:hint="cs"/>
          <w:sz w:val="30"/>
          <w:rtl/>
          <w:lang/>
        </w:rPr>
        <w:t>اليمن،</w:t>
      </w:r>
      <w:r w:rsidRPr="000A5876">
        <w:rPr>
          <w:sz w:val="30"/>
          <w:rtl/>
          <w:lang/>
        </w:rPr>
        <w:t xml:space="preserve"> </w:t>
      </w:r>
      <w:r w:rsidRPr="000A5876">
        <w:rPr>
          <w:rStyle w:val="hps"/>
          <w:sz w:val="30"/>
          <w:rtl/>
          <w:lang/>
        </w:rPr>
        <w:t>التزاماتها بموجب المادة 3 من</w:t>
      </w:r>
      <w:r w:rsidRPr="000A5876">
        <w:rPr>
          <w:rStyle w:val="hps"/>
          <w:rFonts w:hint="cs"/>
          <w:sz w:val="30"/>
          <w:rtl/>
          <w:lang/>
        </w:rPr>
        <w:t> </w:t>
      </w:r>
      <w:r w:rsidRPr="000A5876">
        <w:rPr>
          <w:rStyle w:val="hps"/>
          <w:sz w:val="30"/>
          <w:rtl/>
          <w:lang/>
        </w:rPr>
        <w:t>الاتفاقية</w:t>
      </w:r>
      <w:r w:rsidRPr="000A5876">
        <w:rPr>
          <w:sz w:val="30"/>
          <w:rtl/>
          <w:lang/>
        </w:rPr>
        <w:t>.</w:t>
      </w:r>
    </w:p>
    <w:p w:rsidR="00091373" w:rsidRPr="00FA0FC2" w:rsidRDefault="00091373" w:rsidP="000A5876">
      <w:pPr>
        <w:pStyle w:val="H23GA"/>
        <w:spacing w:line="360" w:lineRule="exact"/>
        <w:rPr>
          <w:rFonts w:hint="cs"/>
          <w:rtl/>
        </w:rPr>
      </w:pPr>
      <w:r w:rsidRPr="00FA0FC2">
        <w:rPr>
          <w:rFonts w:hint="cs"/>
          <w:rtl/>
        </w:rPr>
        <w:tab/>
      </w:r>
      <w:r w:rsidRPr="00FA0FC2">
        <w:rPr>
          <w:rFonts w:hint="cs"/>
          <w:rtl/>
        </w:rPr>
        <w:tab/>
        <w:t xml:space="preserve">المسائل والإجراءات المعروضة </w:t>
      </w:r>
      <w:r>
        <w:rPr>
          <w:rFonts w:hint="cs"/>
          <w:rtl/>
        </w:rPr>
        <w:t xml:space="preserve">على </w:t>
      </w:r>
      <w:r w:rsidRPr="00FA0FC2">
        <w:rPr>
          <w:rFonts w:hint="cs"/>
          <w:rtl/>
        </w:rPr>
        <w:t>اللجنة</w:t>
      </w:r>
    </w:p>
    <w:p w:rsidR="00091373" w:rsidRPr="00FA0FC2" w:rsidRDefault="00091373" w:rsidP="000A5876">
      <w:pPr>
        <w:pStyle w:val="H4GA"/>
        <w:spacing w:line="370" w:lineRule="exact"/>
        <w:rPr>
          <w:rFonts w:hint="cs"/>
          <w:rtl/>
        </w:rPr>
      </w:pPr>
      <w:r w:rsidRPr="00FA0FC2">
        <w:rPr>
          <w:rFonts w:hint="cs"/>
          <w:rtl/>
        </w:rPr>
        <w:tab/>
      </w:r>
      <w:r w:rsidRPr="00FA0FC2">
        <w:rPr>
          <w:rFonts w:hint="cs"/>
          <w:rtl/>
        </w:rPr>
        <w:tab/>
        <w:t>النظر في المقبولية</w:t>
      </w:r>
    </w:p>
    <w:p w:rsidR="00091373" w:rsidRPr="00FA0FC2" w:rsidRDefault="00091373" w:rsidP="000A5876">
      <w:pPr>
        <w:pStyle w:val="SingleTxtGA"/>
        <w:spacing w:line="370" w:lineRule="exact"/>
        <w:rPr>
          <w:rFonts w:hint="cs"/>
          <w:rtl/>
        </w:rPr>
      </w:pPr>
      <w:r w:rsidRPr="00FA0FC2">
        <w:rPr>
          <w:rFonts w:hint="cs"/>
          <w:rtl/>
        </w:rPr>
        <w:t>6-1</w:t>
      </w:r>
      <w:r w:rsidRPr="00FA0FC2">
        <w:rPr>
          <w:rFonts w:hint="cs"/>
          <w:rtl/>
        </w:rPr>
        <w:tab/>
        <w:t>قبل النظر في ادعاء يرد في بلاغ ما، يجب على اللجنة أن تقرر</w:t>
      </w:r>
      <w:r>
        <w:rPr>
          <w:rFonts w:hint="cs"/>
          <w:rtl/>
        </w:rPr>
        <w:t xml:space="preserve"> ما</w:t>
      </w:r>
      <w:r>
        <w:rPr>
          <w:rtl/>
        </w:rPr>
        <w:t> </w:t>
      </w:r>
      <w:r w:rsidRPr="00FA0FC2">
        <w:rPr>
          <w:rFonts w:hint="cs"/>
          <w:rtl/>
        </w:rPr>
        <w:t>إذا كان البلاغ مقبولاً</w:t>
      </w:r>
      <w:r>
        <w:rPr>
          <w:rFonts w:hint="cs"/>
          <w:rtl/>
        </w:rPr>
        <w:t xml:space="preserve"> أم</w:t>
      </w:r>
      <w:r>
        <w:rPr>
          <w:rtl/>
        </w:rPr>
        <w:t> </w:t>
      </w:r>
      <w:r>
        <w:rPr>
          <w:rFonts w:hint="cs"/>
          <w:rtl/>
        </w:rPr>
        <w:t>لا</w:t>
      </w:r>
      <w:r>
        <w:rPr>
          <w:rtl/>
        </w:rPr>
        <w:t> </w:t>
      </w:r>
      <w:r w:rsidRPr="00FA0FC2">
        <w:rPr>
          <w:rFonts w:hint="cs"/>
          <w:rtl/>
        </w:rPr>
        <w:t>بموجب ال</w:t>
      </w:r>
      <w:r>
        <w:rPr>
          <w:rFonts w:hint="cs"/>
          <w:rtl/>
        </w:rPr>
        <w:t>مادة</w:t>
      </w:r>
      <w:r>
        <w:rPr>
          <w:rtl/>
        </w:rPr>
        <w:t> </w:t>
      </w:r>
      <w:r w:rsidRPr="00FA0FC2">
        <w:rPr>
          <w:rFonts w:hint="cs"/>
          <w:rtl/>
        </w:rPr>
        <w:t>22 من الاتفاقية. وقد تأكدت اللجنة، وفقاً</w:t>
      </w:r>
      <w:r>
        <w:rPr>
          <w:rFonts w:hint="cs"/>
          <w:rtl/>
        </w:rPr>
        <w:t xml:space="preserve"> لما</w:t>
      </w:r>
      <w:r>
        <w:rPr>
          <w:rtl/>
        </w:rPr>
        <w:t> </w:t>
      </w:r>
      <w:r w:rsidRPr="00FA0FC2">
        <w:rPr>
          <w:rFonts w:hint="cs"/>
          <w:rtl/>
        </w:rPr>
        <w:t>تقتضيه الفقرة 5(أ) من ال</w:t>
      </w:r>
      <w:r>
        <w:rPr>
          <w:rFonts w:hint="cs"/>
          <w:rtl/>
        </w:rPr>
        <w:t>مادة</w:t>
      </w:r>
      <w:r>
        <w:rPr>
          <w:rtl/>
        </w:rPr>
        <w:t> </w:t>
      </w:r>
      <w:r w:rsidRPr="00FA0FC2">
        <w:rPr>
          <w:rFonts w:hint="cs"/>
          <w:rtl/>
        </w:rPr>
        <w:t>22 من الاتفاقية، من أن المسألة نفسها</w:t>
      </w:r>
      <w:r>
        <w:rPr>
          <w:rFonts w:hint="cs"/>
          <w:rtl/>
        </w:rPr>
        <w:t xml:space="preserve"> لم</w:t>
      </w:r>
      <w:r>
        <w:rPr>
          <w:rtl/>
        </w:rPr>
        <w:t> </w:t>
      </w:r>
      <w:r w:rsidRPr="00FA0FC2">
        <w:rPr>
          <w:rFonts w:hint="cs"/>
          <w:rtl/>
        </w:rPr>
        <w:t>تبحث</w:t>
      </w:r>
      <w:r>
        <w:rPr>
          <w:rFonts w:hint="cs"/>
          <w:rtl/>
        </w:rPr>
        <w:t xml:space="preserve"> ولا</w:t>
      </w:r>
      <w:r>
        <w:rPr>
          <w:rtl/>
        </w:rPr>
        <w:t> </w:t>
      </w:r>
      <w:r w:rsidRPr="00FA0FC2">
        <w:rPr>
          <w:rFonts w:hint="cs"/>
          <w:rtl/>
        </w:rPr>
        <w:t>يجري بحثها في إطار أي إجراء آخر من إجراءات التحقيق</w:t>
      </w:r>
      <w:r>
        <w:rPr>
          <w:rFonts w:hint="cs"/>
          <w:rtl/>
        </w:rPr>
        <w:t xml:space="preserve"> أو</w:t>
      </w:r>
      <w:r>
        <w:rPr>
          <w:rtl/>
        </w:rPr>
        <w:t> </w:t>
      </w:r>
      <w:r w:rsidRPr="00FA0FC2">
        <w:rPr>
          <w:rFonts w:hint="cs"/>
          <w:rtl/>
        </w:rPr>
        <w:t>التسوية الدوليين.</w:t>
      </w:r>
    </w:p>
    <w:p w:rsidR="00091373" w:rsidRPr="00FA0FC2" w:rsidRDefault="00091373" w:rsidP="000A5876">
      <w:pPr>
        <w:pStyle w:val="SingleTxtGA"/>
        <w:spacing w:line="370" w:lineRule="exact"/>
        <w:rPr>
          <w:rFonts w:hint="cs"/>
          <w:rtl/>
        </w:rPr>
      </w:pPr>
      <w:r w:rsidRPr="00FA0FC2">
        <w:rPr>
          <w:rFonts w:hint="cs"/>
          <w:rtl/>
        </w:rPr>
        <w:t>6-2</w:t>
      </w:r>
      <w:r w:rsidRPr="00FA0FC2">
        <w:rPr>
          <w:rFonts w:hint="cs"/>
          <w:rtl/>
        </w:rPr>
        <w:tab/>
        <w:t>وتذكّر اللجنة أنه وفقاً لأحكام الفقرة 5(ب) من ال</w:t>
      </w:r>
      <w:r>
        <w:rPr>
          <w:rFonts w:hint="cs"/>
          <w:rtl/>
        </w:rPr>
        <w:t>مادة</w:t>
      </w:r>
      <w:r>
        <w:rPr>
          <w:rtl/>
        </w:rPr>
        <w:t> </w:t>
      </w:r>
      <w:r w:rsidRPr="00FA0FC2">
        <w:rPr>
          <w:rFonts w:hint="cs"/>
          <w:rtl/>
        </w:rPr>
        <w:t>22 من الاتفاقية، فإنها</w:t>
      </w:r>
      <w:r>
        <w:rPr>
          <w:rFonts w:hint="cs"/>
          <w:rtl/>
        </w:rPr>
        <w:t xml:space="preserve"> لن</w:t>
      </w:r>
      <w:r>
        <w:rPr>
          <w:rtl/>
        </w:rPr>
        <w:t> </w:t>
      </w:r>
      <w:r w:rsidRPr="00FA0FC2">
        <w:rPr>
          <w:rFonts w:hint="cs"/>
          <w:rtl/>
        </w:rPr>
        <w:t>تنظر في أي بلاغ يرد من أي فرد</w:t>
      </w:r>
      <w:r>
        <w:rPr>
          <w:rFonts w:hint="cs"/>
          <w:rtl/>
        </w:rPr>
        <w:t xml:space="preserve"> ما</w:t>
      </w:r>
      <w:r>
        <w:rPr>
          <w:rtl/>
        </w:rPr>
        <w:t> </w:t>
      </w:r>
      <w:r>
        <w:rPr>
          <w:rFonts w:hint="cs"/>
          <w:rtl/>
        </w:rPr>
        <w:t>لم</w:t>
      </w:r>
      <w:r>
        <w:rPr>
          <w:rtl/>
        </w:rPr>
        <w:t> </w:t>
      </w:r>
      <w:r w:rsidRPr="00FA0FC2">
        <w:rPr>
          <w:rFonts w:hint="cs"/>
          <w:rtl/>
        </w:rPr>
        <w:t>تتحقق من أن هذا الفرد قد استنفد جميع سبل الانتصاف المحلية المتاحة. وتلاحظ اللجنة أنه في هذه القضية، اعترفت الدولة الطرف بأن أصحاب الشكوى قد استنفدوا جميع سبل الانتصاف المحلية المتاحة.</w:t>
      </w:r>
      <w:r>
        <w:rPr>
          <w:rFonts w:hint="cs"/>
          <w:rtl/>
        </w:rPr>
        <w:t xml:space="preserve"> وبما</w:t>
      </w:r>
      <w:r>
        <w:rPr>
          <w:rtl/>
        </w:rPr>
        <w:t> </w:t>
      </w:r>
      <w:r w:rsidRPr="00FA0FC2">
        <w:rPr>
          <w:rFonts w:hint="cs"/>
          <w:rtl/>
        </w:rPr>
        <w:t>أن اللجنة</w:t>
      </w:r>
      <w:r>
        <w:rPr>
          <w:rFonts w:hint="cs"/>
          <w:rtl/>
        </w:rPr>
        <w:t xml:space="preserve"> لا</w:t>
      </w:r>
      <w:r>
        <w:rPr>
          <w:rtl/>
        </w:rPr>
        <w:t> </w:t>
      </w:r>
      <w:r w:rsidRPr="00FA0FC2">
        <w:rPr>
          <w:rFonts w:hint="cs"/>
          <w:rtl/>
        </w:rPr>
        <w:t>تجد أي عقبات أخرى أمام مقبولية الشكوى، فإنها تعلن عن مقبوليتها.</w:t>
      </w:r>
    </w:p>
    <w:p w:rsidR="00091373" w:rsidRPr="00FA0FC2" w:rsidRDefault="00091373" w:rsidP="000A5876">
      <w:pPr>
        <w:pStyle w:val="H4GA"/>
        <w:spacing w:line="370" w:lineRule="exact"/>
        <w:rPr>
          <w:rFonts w:hint="cs"/>
          <w:rtl/>
        </w:rPr>
      </w:pPr>
      <w:r w:rsidRPr="00FA0FC2">
        <w:rPr>
          <w:rFonts w:hint="cs"/>
          <w:rtl/>
        </w:rPr>
        <w:tab/>
      </w:r>
      <w:r w:rsidRPr="00FA0FC2">
        <w:rPr>
          <w:rFonts w:hint="cs"/>
          <w:rtl/>
        </w:rPr>
        <w:tab/>
        <w:t>النظر في الأسس الموضوعية</w:t>
      </w:r>
    </w:p>
    <w:p w:rsidR="00091373" w:rsidRPr="00FA0FC2" w:rsidRDefault="00091373" w:rsidP="000A5876">
      <w:pPr>
        <w:pStyle w:val="SingleTxtGA"/>
        <w:spacing w:line="370" w:lineRule="exact"/>
        <w:rPr>
          <w:rFonts w:hint="cs"/>
          <w:rtl/>
        </w:rPr>
      </w:pPr>
      <w:r w:rsidRPr="00FA0FC2">
        <w:rPr>
          <w:rFonts w:hint="cs"/>
          <w:rtl/>
        </w:rPr>
        <w:t>7-1</w:t>
      </w:r>
      <w:r w:rsidRPr="00FA0FC2">
        <w:rPr>
          <w:rFonts w:hint="cs"/>
          <w:rtl/>
        </w:rPr>
        <w:tab/>
        <w:t>نظرت اللجنة في هذا البلاغ في ضوء جميع المعلومات التي أُتيحت لها من جانب الأطراف المعنية، وفقاً لأحكام الفقرة 4 من ال</w:t>
      </w:r>
      <w:r>
        <w:rPr>
          <w:rFonts w:hint="cs"/>
          <w:rtl/>
        </w:rPr>
        <w:t>مادة</w:t>
      </w:r>
      <w:r>
        <w:rPr>
          <w:rtl/>
        </w:rPr>
        <w:t> </w:t>
      </w:r>
      <w:r w:rsidRPr="00FA0FC2">
        <w:rPr>
          <w:rFonts w:hint="cs"/>
          <w:rtl/>
        </w:rPr>
        <w:t>22 من الاتفاقية.</w:t>
      </w:r>
    </w:p>
    <w:p w:rsidR="00091373" w:rsidRPr="00FA0FC2" w:rsidRDefault="00091373" w:rsidP="000A5876">
      <w:pPr>
        <w:pStyle w:val="SingleTxtGA"/>
        <w:spacing w:line="370" w:lineRule="exact"/>
        <w:rPr>
          <w:rFonts w:hint="cs"/>
          <w:rtl/>
        </w:rPr>
      </w:pPr>
      <w:r w:rsidRPr="00FA0FC2">
        <w:rPr>
          <w:rFonts w:hint="cs"/>
          <w:rtl/>
        </w:rPr>
        <w:t>7-2</w:t>
      </w:r>
      <w:r w:rsidRPr="00FA0FC2">
        <w:rPr>
          <w:rFonts w:hint="cs"/>
          <w:rtl/>
        </w:rPr>
        <w:tab/>
        <w:t>والموضوع المطروح أمام اللجنة هو</w:t>
      </w:r>
      <w:r>
        <w:rPr>
          <w:rFonts w:hint="cs"/>
          <w:rtl/>
        </w:rPr>
        <w:t xml:space="preserve"> ما</w:t>
      </w:r>
      <w:r>
        <w:rPr>
          <w:rtl/>
        </w:rPr>
        <w:t> </w:t>
      </w:r>
      <w:r w:rsidRPr="00FA0FC2">
        <w:rPr>
          <w:rFonts w:hint="cs"/>
          <w:rtl/>
        </w:rPr>
        <w:t>إذا كان ترحيل صاحب الشكوى الأول وأسرته إلى اليمن سيشكل انتهاكاً لالتزامات الدولة الطرف بموجب ال</w:t>
      </w:r>
      <w:r>
        <w:rPr>
          <w:rFonts w:hint="cs"/>
          <w:rtl/>
        </w:rPr>
        <w:t>مادة</w:t>
      </w:r>
      <w:r>
        <w:rPr>
          <w:rtl/>
        </w:rPr>
        <w:t> </w:t>
      </w:r>
      <w:r w:rsidRPr="00FA0FC2">
        <w:rPr>
          <w:rFonts w:hint="cs"/>
          <w:rtl/>
        </w:rPr>
        <w:t>3 من الاتفاقية بعدم طرد</w:t>
      </w:r>
      <w:r>
        <w:rPr>
          <w:rFonts w:hint="cs"/>
          <w:rtl/>
        </w:rPr>
        <w:t xml:space="preserve"> أو</w:t>
      </w:r>
      <w:r>
        <w:rPr>
          <w:rtl/>
        </w:rPr>
        <w:t> </w:t>
      </w:r>
      <w:r w:rsidRPr="00FA0FC2">
        <w:rPr>
          <w:rFonts w:hint="cs"/>
          <w:rtl/>
        </w:rPr>
        <w:t>إعادة (ردّ) شخص إلى دولة أخرى إذا كانت هناك أسباب حقيقية تدعو للاعتقاد بأنه سيكون معرضاً لخطر التعذيب. ويجب على اللجنة تقييم</w:t>
      </w:r>
      <w:r>
        <w:rPr>
          <w:rFonts w:hint="cs"/>
          <w:rtl/>
        </w:rPr>
        <w:t xml:space="preserve"> ما</w:t>
      </w:r>
      <w:r>
        <w:rPr>
          <w:rtl/>
        </w:rPr>
        <w:t> </w:t>
      </w:r>
      <w:r w:rsidRPr="00FA0FC2">
        <w:rPr>
          <w:rFonts w:hint="cs"/>
          <w:rtl/>
        </w:rPr>
        <w:t>إذا كانت هناك أسباب حقيقية تدعو إلى الاعتقاد بأن صاحب الشكوى الأول سيتعرض شخصياً لخطر التعذيب عند عودته إلى اليمن. ولتقييم هذا الخطر، على اللجنة أن تراعي جميع الاعتبارات ذات الصلة، عملاً بالفقرة 2 من ال</w:t>
      </w:r>
      <w:r>
        <w:rPr>
          <w:rFonts w:hint="cs"/>
          <w:rtl/>
        </w:rPr>
        <w:t>مادة</w:t>
      </w:r>
      <w:r>
        <w:rPr>
          <w:rtl/>
        </w:rPr>
        <w:t> </w:t>
      </w:r>
      <w:r w:rsidRPr="00FA0FC2">
        <w:rPr>
          <w:rFonts w:hint="cs"/>
          <w:rtl/>
        </w:rPr>
        <w:t>3 من الاتفاقية،</w:t>
      </w:r>
      <w:r>
        <w:rPr>
          <w:rFonts w:hint="cs"/>
          <w:rtl/>
        </w:rPr>
        <w:t xml:space="preserve"> بما</w:t>
      </w:r>
      <w:r>
        <w:rPr>
          <w:rtl/>
        </w:rPr>
        <w:t> </w:t>
      </w:r>
      <w:r w:rsidRPr="00FA0FC2">
        <w:rPr>
          <w:rFonts w:hint="cs"/>
          <w:rtl/>
        </w:rPr>
        <w:t>في ذلك مدى وجود نمط ثابت من الانتهاكات الفادحة</w:t>
      </w:r>
      <w:r>
        <w:rPr>
          <w:rFonts w:hint="cs"/>
          <w:rtl/>
        </w:rPr>
        <w:t xml:space="preserve"> أو</w:t>
      </w:r>
      <w:r>
        <w:rPr>
          <w:rtl/>
        </w:rPr>
        <w:t> </w:t>
      </w:r>
      <w:r w:rsidRPr="00FA0FC2">
        <w:rPr>
          <w:rFonts w:hint="cs"/>
          <w:rtl/>
        </w:rPr>
        <w:t>الصارخة</w:t>
      </w:r>
      <w:r>
        <w:rPr>
          <w:rFonts w:hint="cs"/>
          <w:rtl/>
        </w:rPr>
        <w:t xml:space="preserve"> أو</w:t>
      </w:r>
      <w:r>
        <w:rPr>
          <w:rtl/>
        </w:rPr>
        <w:t> </w:t>
      </w:r>
      <w:r w:rsidRPr="00FA0FC2">
        <w:rPr>
          <w:rFonts w:hint="cs"/>
          <w:rtl/>
        </w:rPr>
        <w:t>الجماعية لحقوق الإنسان. بيد أن اللجنة تذكّر بأن الهدف من ذلك هو التأكد من أن الفرد المعني سيواجه شخصياً خطراً متوقعاً وحقيقياً بالتعرض للتعذيب في البلد الذي سيعود إليه.</w:t>
      </w:r>
    </w:p>
    <w:p w:rsidR="00091373" w:rsidRPr="00FA0FC2" w:rsidRDefault="00091373" w:rsidP="000A5876">
      <w:pPr>
        <w:pStyle w:val="SingleTxtGA"/>
        <w:spacing w:line="370" w:lineRule="exact"/>
        <w:rPr>
          <w:rFonts w:hint="cs"/>
          <w:rtl/>
          <w:lang w:val="fr-CH"/>
        </w:rPr>
      </w:pPr>
      <w:r w:rsidRPr="000A5876">
        <w:rPr>
          <w:rFonts w:hint="cs"/>
          <w:spacing w:val="-2"/>
          <w:rtl/>
        </w:rPr>
        <w:t>7-3</w:t>
      </w:r>
      <w:r w:rsidRPr="000A5876">
        <w:rPr>
          <w:rFonts w:hint="cs"/>
          <w:spacing w:val="-2"/>
          <w:rtl/>
        </w:rPr>
        <w:tab/>
      </w:r>
      <w:r w:rsidRPr="000A5876">
        <w:rPr>
          <w:rFonts w:hint="cs"/>
          <w:spacing w:val="-2"/>
          <w:rtl/>
          <w:lang w:val="fr-CH"/>
        </w:rPr>
        <w:t>وتذكر اللجنة بتعليقها العام رقم 1 الذي جاء فيه أنّ خطر التعذيب يجب أن يقيّم على أسس تتجاوز مجرد الافتراض أو</w:t>
      </w:r>
      <w:r w:rsidRPr="000A5876">
        <w:rPr>
          <w:spacing w:val="-2"/>
          <w:rtl/>
          <w:lang w:val="fr-CH"/>
        </w:rPr>
        <w:t> </w:t>
      </w:r>
      <w:r w:rsidRPr="000A5876">
        <w:rPr>
          <w:rFonts w:hint="cs"/>
          <w:spacing w:val="-2"/>
          <w:rtl/>
          <w:lang w:val="fr-CH"/>
        </w:rPr>
        <w:t>الشك. ولا</w:t>
      </w:r>
      <w:r w:rsidRPr="000A5876">
        <w:rPr>
          <w:spacing w:val="-2"/>
          <w:rtl/>
          <w:lang w:val="fr-CH"/>
        </w:rPr>
        <w:t> </w:t>
      </w:r>
      <w:r w:rsidRPr="000A5876">
        <w:rPr>
          <w:rFonts w:hint="cs"/>
          <w:spacing w:val="-2"/>
          <w:rtl/>
          <w:lang w:val="fr-CH"/>
        </w:rPr>
        <w:t>يتحتم إثبات أن هذا الخطر "مرجح وقوعه بشدة" (الفقرة 6)، إلا</w:t>
      </w:r>
      <w:r w:rsidRPr="000A5876">
        <w:rPr>
          <w:spacing w:val="-2"/>
          <w:rtl/>
          <w:lang w:val="fr-CH"/>
        </w:rPr>
        <w:t> </w:t>
      </w:r>
      <w:r w:rsidRPr="000A5876">
        <w:rPr>
          <w:rFonts w:hint="cs"/>
          <w:spacing w:val="-2"/>
          <w:rtl/>
          <w:lang w:val="fr-CH"/>
        </w:rPr>
        <w:t>أن اللجنة تلاحظ أن عبء الإثبات يقع عامة على عاتق صاحب الشكوى الذي يجب عليه أن يرفع قضية مقنعة تدل على تعرضه لخطر "متوقع وحقيقي</w:t>
      </w:r>
      <w:r w:rsidRPr="00FA0FC2">
        <w:rPr>
          <w:rFonts w:hint="cs"/>
          <w:rtl/>
          <w:lang w:val="fr-CH"/>
        </w:rPr>
        <w:t xml:space="preserve"> وشخصي"</w:t>
      </w:r>
      <w:r w:rsidRPr="00FA0FC2">
        <w:rPr>
          <w:sz w:val="30"/>
          <w:vertAlign w:val="superscript"/>
          <w:rtl/>
          <w:lang w:val="fr-CH"/>
        </w:rPr>
        <w:t>(</w:t>
      </w:r>
      <w:r w:rsidRPr="00FA0FC2">
        <w:rPr>
          <w:rStyle w:val="FootnoteReference"/>
          <w:sz w:val="30"/>
          <w:rtl/>
          <w:lang w:val="fr-CH"/>
        </w:rPr>
        <w:footnoteReference w:id="264"/>
      </w:r>
      <w:r w:rsidRPr="00FA0FC2">
        <w:rPr>
          <w:sz w:val="30"/>
          <w:vertAlign w:val="superscript"/>
          <w:rtl/>
          <w:lang w:val="fr-CH"/>
        </w:rPr>
        <w:t>)</w:t>
      </w:r>
      <w:r w:rsidRPr="00FA0FC2">
        <w:rPr>
          <w:rFonts w:hint="cs"/>
          <w:rtl/>
          <w:lang w:val="fr-CH"/>
        </w:rPr>
        <w:t>. وتذكر اللجنة بأنها، وفقاً لتعليقها العام رقم 1، تولي أهمية كبيرة للنتائج الوقائعية التي تقدمها أجهزة الدولة الطرف المعنية</w:t>
      </w:r>
      <w:r w:rsidRPr="00FA0FC2">
        <w:rPr>
          <w:sz w:val="30"/>
          <w:vertAlign w:val="superscript"/>
          <w:rtl/>
          <w:lang w:val="fr-CH"/>
        </w:rPr>
        <w:t>(</w:t>
      </w:r>
      <w:r w:rsidRPr="00FA0FC2">
        <w:rPr>
          <w:rStyle w:val="FootnoteReference"/>
          <w:sz w:val="30"/>
          <w:rtl/>
          <w:lang w:val="fr-CH"/>
        </w:rPr>
        <w:footnoteReference w:id="265"/>
      </w:r>
      <w:r w:rsidRPr="00FA0FC2">
        <w:rPr>
          <w:sz w:val="30"/>
          <w:vertAlign w:val="superscript"/>
          <w:rtl/>
          <w:lang w:val="fr-CH"/>
        </w:rPr>
        <w:t>)</w:t>
      </w:r>
      <w:r w:rsidRPr="00FA0FC2">
        <w:rPr>
          <w:rFonts w:hint="cs"/>
          <w:rtl/>
          <w:lang w:val="fr-CH"/>
        </w:rPr>
        <w:t xml:space="preserve"> لكنها في الوقت نفسه ليست مقيدة بتلك النتائج بل تتمتع بسلطة تقييم الوقائع بحرية استناداً إلى كامل ملابسات كل قضية بمقتضى الفقرة 4 من ال</w:t>
      </w:r>
      <w:r>
        <w:rPr>
          <w:rFonts w:hint="cs"/>
          <w:rtl/>
          <w:lang w:val="fr-CH"/>
        </w:rPr>
        <w:t>مادة</w:t>
      </w:r>
      <w:r>
        <w:rPr>
          <w:rtl/>
          <w:lang w:val="fr-CH"/>
        </w:rPr>
        <w:t> </w:t>
      </w:r>
      <w:r w:rsidRPr="00FA0FC2">
        <w:rPr>
          <w:rFonts w:hint="cs"/>
          <w:rtl/>
          <w:lang w:val="fr-CH"/>
        </w:rPr>
        <w:t>22 من الاتفاقية.</w:t>
      </w:r>
    </w:p>
    <w:p w:rsidR="00091373" w:rsidRPr="00FA0FC2" w:rsidRDefault="00091373" w:rsidP="00091373">
      <w:pPr>
        <w:pStyle w:val="SingleTxtGA"/>
        <w:rPr>
          <w:sz w:val="30"/>
          <w:rtl/>
          <w:lang w:val="fr-CH"/>
        </w:rPr>
      </w:pPr>
      <w:r w:rsidRPr="00FA0FC2">
        <w:rPr>
          <w:spacing w:val="4"/>
          <w:sz w:val="30"/>
          <w:rtl/>
          <w:lang w:val="fr-CH"/>
        </w:rPr>
        <w:t>7-4</w:t>
      </w:r>
      <w:r w:rsidRPr="00FA0FC2">
        <w:rPr>
          <w:spacing w:val="4"/>
          <w:sz w:val="30"/>
          <w:rtl/>
          <w:lang w:val="fr-CH"/>
        </w:rPr>
        <w:tab/>
      </w:r>
      <w:r w:rsidRPr="00FA0FC2">
        <w:rPr>
          <w:rStyle w:val="hps"/>
          <w:sz w:val="30"/>
          <w:rtl/>
          <w:lang/>
        </w:rPr>
        <w:t>وتلاحظ اللجنة أن</w:t>
      </w:r>
      <w:r w:rsidRPr="00FA0FC2">
        <w:rPr>
          <w:sz w:val="30"/>
          <w:rtl/>
          <w:lang/>
        </w:rPr>
        <w:t xml:space="preserve"> </w:t>
      </w:r>
      <w:r w:rsidRPr="00FA0FC2">
        <w:rPr>
          <w:rStyle w:val="hps"/>
          <w:sz w:val="30"/>
          <w:rtl/>
          <w:lang/>
        </w:rPr>
        <w:t>الدولة الطرف قد</w:t>
      </w:r>
      <w:r w:rsidRPr="00FA0FC2">
        <w:rPr>
          <w:sz w:val="30"/>
          <w:rtl/>
          <w:lang/>
        </w:rPr>
        <w:t xml:space="preserve"> </w:t>
      </w:r>
      <w:r w:rsidRPr="00FA0FC2">
        <w:rPr>
          <w:rStyle w:val="hps"/>
          <w:rFonts w:hint="cs"/>
          <w:sz w:val="30"/>
          <w:rtl/>
          <w:lang/>
        </w:rPr>
        <w:t>وجهت</w:t>
      </w:r>
      <w:r w:rsidRPr="00FA0FC2">
        <w:rPr>
          <w:rStyle w:val="hps"/>
          <w:sz w:val="30"/>
          <w:rtl/>
          <w:lang/>
        </w:rPr>
        <w:t xml:space="preserve"> </w:t>
      </w:r>
      <w:r w:rsidRPr="00FA0FC2">
        <w:rPr>
          <w:rStyle w:val="hps"/>
          <w:rFonts w:hint="cs"/>
          <w:sz w:val="30"/>
          <w:rtl/>
          <w:lang/>
        </w:rPr>
        <w:t>انتباهها لتنظر في أوجه عدم الاتساق التي تضمنتها رواية صاحب الشكوى الأول بخصوص الوقائع</w:t>
      </w:r>
      <w:r w:rsidRPr="00FA0FC2">
        <w:rPr>
          <w:sz w:val="30"/>
          <w:rtl/>
          <w:lang/>
        </w:rPr>
        <w:t>.</w:t>
      </w:r>
      <w:r>
        <w:rPr>
          <w:sz w:val="30"/>
          <w:rtl/>
          <w:lang/>
        </w:rPr>
        <w:t xml:space="preserve"> كما </w:t>
      </w:r>
      <w:r w:rsidRPr="00FA0FC2">
        <w:rPr>
          <w:rStyle w:val="hps"/>
          <w:sz w:val="30"/>
          <w:rtl/>
          <w:lang/>
        </w:rPr>
        <w:t>تحيط اللجنة</w:t>
      </w:r>
      <w:r w:rsidRPr="00FA0FC2">
        <w:rPr>
          <w:sz w:val="30"/>
          <w:rtl/>
          <w:lang/>
        </w:rPr>
        <w:t xml:space="preserve"> </w:t>
      </w:r>
      <w:r w:rsidRPr="00FA0FC2">
        <w:rPr>
          <w:rStyle w:val="hps"/>
          <w:sz w:val="30"/>
          <w:rtl/>
          <w:lang/>
        </w:rPr>
        <w:t>علما</w:t>
      </w:r>
      <w:r w:rsidRPr="00FA0FC2">
        <w:rPr>
          <w:rStyle w:val="hps"/>
          <w:rFonts w:hint="cs"/>
          <w:sz w:val="30"/>
          <w:rtl/>
          <w:lang/>
        </w:rPr>
        <w:t>ً</w:t>
      </w:r>
      <w:r w:rsidRPr="00FA0FC2">
        <w:rPr>
          <w:rStyle w:val="hps"/>
          <w:sz w:val="30"/>
          <w:rtl/>
          <w:lang/>
        </w:rPr>
        <w:t xml:space="preserve"> بالمعلومات</w:t>
      </w:r>
      <w:r w:rsidRPr="00FA0FC2">
        <w:rPr>
          <w:sz w:val="30"/>
          <w:rtl/>
          <w:lang/>
        </w:rPr>
        <w:t xml:space="preserve"> </w:t>
      </w:r>
      <w:r w:rsidRPr="00FA0FC2">
        <w:rPr>
          <w:rStyle w:val="hps"/>
          <w:rFonts w:hint="cs"/>
          <w:sz w:val="30"/>
          <w:rtl/>
          <w:lang/>
        </w:rPr>
        <w:t>التي قدمها صاحب</w:t>
      </w:r>
      <w:r w:rsidRPr="00FA0FC2">
        <w:rPr>
          <w:sz w:val="30"/>
          <w:rtl/>
          <w:lang/>
        </w:rPr>
        <w:t xml:space="preserve"> </w:t>
      </w:r>
      <w:r w:rsidRPr="00FA0FC2">
        <w:rPr>
          <w:rStyle w:val="hps"/>
          <w:sz w:val="30"/>
          <w:rtl/>
          <w:lang/>
        </w:rPr>
        <w:t>الشكوى</w:t>
      </w:r>
      <w:r w:rsidRPr="00FA0FC2">
        <w:rPr>
          <w:sz w:val="30"/>
          <w:rtl/>
          <w:lang/>
        </w:rPr>
        <w:t xml:space="preserve"> </w:t>
      </w:r>
      <w:r w:rsidRPr="00FA0FC2">
        <w:rPr>
          <w:rStyle w:val="hps"/>
          <w:rFonts w:hint="cs"/>
          <w:sz w:val="30"/>
          <w:rtl/>
          <w:lang/>
        </w:rPr>
        <w:t>الأول</w:t>
      </w:r>
      <w:r w:rsidRPr="00FA0FC2">
        <w:rPr>
          <w:rStyle w:val="hps"/>
          <w:sz w:val="30"/>
          <w:rtl/>
          <w:lang/>
        </w:rPr>
        <w:t xml:space="preserve"> </w:t>
      </w:r>
      <w:r w:rsidRPr="00FA0FC2">
        <w:rPr>
          <w:rStyle w:val="hps"/>
          <w:rFonts w:hint="cs"/>
          <w:sz w:val="30"/>
          <w:rtl/>
          <w:lang/>
        </w:rPr>
        <w:t>بشأن</w:t>
      </w:r>
      <w:r w:rsidRPr="00FA0FC2">
        <w:rPr>
          <w:sz w:val="30"/>
          <w:rtl/>
          <w:lang/>
        </w:rPr>
        <w:t xml:space="preserve"> </w:t>
      </w:r>
      <w:r w:rsidRPr="00FA0FC2">
        <w:rPr>
          <w:rStyle w:val="hps"/>
          <w:sz w:val="30"/>
          <w:rtl/>
          <w:lang/>
        </w:rPr>
        <w:t>النقاط التي أثارتها</w:t>
      </w:r>
      <w:r w:rsidRPr="00FA0FC2">
        <w:rPr>
          <w:sz w:val="30"/>
          <w:rtl/>
          <w:lang/>
        </w:rPr>
        <w:t xml:space="preserve"> </w:t>
      </w:r>
      <w:r w:rsidRPr="00FA0FC2">
        <w:rPr>
          <w:rStyle w:val="hps"/>
          <w:sz w:val="30"/>
          <w:rtl/>
          <w:lang/>
        </w:rPr>
        <w:t>الدولة الطرف.</w:t>
      </w:r>
      <w:r w:rsidRPr="00FA0FC2">
        <w:rPr>
          <w:sz w:val="30"/>
          <w:rtl/>
          <w:lang/>
        </w:rPr>
        <w:t xml:space="preserve"> </w:t>
      </w:r>
      <w:r w:rsidRPr="00FA0FC2">
        <w:rPr>
          <w:rStyle w:val="hps"/>
          <w:sz w:val="30"/>
          <w:rtl/>
          <w:lang/>
        </w:rPr>
        <w:t>وهي ترى</w:t>
      </w:r>
      <w:r w:rsidRPr="00FA0FC2">
        <w:rPr>
          <w:sz w:val="30"/>
          <w:rtl/>
          <w:lang/>
        </w:rPr>
        <w:t xml:space="preserve">، </w:t>
      </w:r>
      <w:r w:rsidRPr="00FA0FC2">
        <w:rPr>
          <w:rStyle w:val="hps"/>
          <w:sz w:val="30"/>
          <w:rtl/>
          <w:lang/>
        </w:rPr>
        <w:t>مع ذلك، أن</w:t>
      </w:r>
      <w:r w:rsidRPr="00FA0FC2">
        <w:rPr>
          <w:sz w:val="30"/>
          <w:rtl/>
          <w:lang/>
        </w:rPr>
        <w:t xml:space="preserve"> </w:t>
      </w:r>
      <w:r w:rsidRPr="00FA0FC2">
        <w:rPr>
          <w:rStyle w:val="hps"/>
          <w:rFonts w:hint="cs"/>
          <w:sz w:val="30"/>
          <w:rtl/>
          <w:lang/>
        </w:rPr>
        <w:t>أوجه عدم الاتساق التي وردت في رواية صاحب الشكوى</w:t>
      </w:r>
      <w:r w:rsidRPr="00FA0FC2">
        <w:rPr>
          <w:rStyle w:val="hps"/>
          <w:sz w:val="30"/>
          <w:rtl/>
          <w:lang/>
        </w:rPr>
        <w:t xml:space="preserve"> الأول</w:t>
      </w:r>
      <w:r>
        <w:rPr>
          <w:sz w:val="30"/>
          <w:rtl/>
          <w:lang/>
        </w:rPr>
        <w:t xml:space="preserve"> لا </w:t>
      </w:r>
      <w:r w:rsidRPr="00FA0FC2">
        <w:rPr>
          <w:rStyle w:val="hps"/>
          <w:sz w:val="30"/>
          <w:rtl/>
          <w:lang/>
        </w:rPr>
        <w:t>تشكل</w:t>
      </w:r>
      <w:r w:rsidRPr="00FA0FC2">
        <w:rPr>
          <w:sz w:val="30"/>
          <w:rtl/>
          <w:lang/>
        </w:rPr>
        <w:t xml:space="preserve"> </w:t>
      </w:r>
      <w:r w:rsidRPr="00FA0FC2">
        <w:rPr>
          <w:rStyle w:val="hps"/>
          <w:sz w:val="30"/>
          <w:rtl/>
          <w:lang/>
        </w:rPr>
        <w:t>عائقا</w:t>
      </w:r>
      <w:r w:rsidRPr="00FA0FC2">
        <w:rPr>
          <w:rStyle w:val="hps"/>
          <w:rFonts w:hint="cs"/>
          <w:sz w:val="30"/>
          <w:rtl/>
          <w:lang/>
        </w:rPr>
        <w:t>ً</w:t>
      </w:r>
      <w:r w:rsidRPr="00FA0FC2">
        <w:rPr>
          <w:sz w:val="30"/>
          <w:rtl/>
          <w:lang/>
        </w:rPr>
        <w:t xml:space="preserve"> </w:t>
      </w:r>
      <w:r w:rsidRPr="00FA0FC2">
        <w:rPr>
          <w:rStyle w:val="hps"/>
          <w:rFonts w:hint="cs"/>
          <w:sz w:val="30"/>
          <w:rtl/>
          <w:lang/>
        </w:rPr>
        <w:t xml:space="preserve">أمام </w:t>
      </w:r>
      <w:r w:rsidRPr="00FA0FC2">
        <w:rPr>
          <w:rStyle w:val="hps"/>
          <w:sz w:val="30"/>
          <w:rtl/>
          <w:lang/>
        </w:rPr>
        <w:t>تقييم</w:t>
      </w:r>
      <w:r w:rsidRPr="00FA0FC2">
        <w:rPr>
          <w:sz w:val="30"/>
          <w:rtl/>
          <w:lang/>
        </w:rPr>
        <w:t xml:space="preserve"> </w:t>
      </w:r>
      <w:r w:rsidRPr="00FA0FC2">
        <w:rPr>
          <w:rStyle w:val="hps"/>
          <w:sz w:val="30"/>
          <w:rtl/>
          <w:lang/>
        </w:rPr>
        <w:t xml:space="preserve">اللجنة </w:t>
      </w:r>
      <w:r w:rsidRPr="00FA0FC2">
        <w:rPr>
          <w:rStyle w:val="hps"/>
          <w:rFonts w:hint="cs"/>
          <w:sz w:val="30"/>
          <w:rtl/>
          <w:lang/>
        </w:rPr>
        <w:t>ل</w:t>
      </w:r>
      <w:r w:rsidRPr="00FA0FC2">
        <w:rPr>
          <w:rStyle w:val="hps"/>
          <w:sz w:val="30"/>
          <w:rtl/>
          <w:lang/>
        </w:rPr>
        <w:t>خطر التعرض للتعذيب</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حال</w:t>
      </w:r>
      <w:r w:rsidRPr="00FA0FC2">
        <w:rPr>
          <w:sz w:val="30"/>
          <w:rtl/>
          <w:lang/>
        </w:rPr>
        <w:t xml:space="preserve"> </w:t>
      </w:r>
      <w:r w:rsidRPr="00FA0FC2">
        <w:rPr>
          <w:rStyle w:val="hps"/>
          <w:sz w:val="30"/>
          <w:rtl/>
          <w:lang/>
        </w:rPr>
        <w:t>طرده إلى</w:t>
      </w:r>
      <w:r w:rsidRPr="00FA0FC2">
        <w:rPr>
          <w:sz w:val="30"/>
          <w:rtl/>
          <w:lang/>
        </w:rPr>
        <w:t xml:space="preserve"> </w:t>
      </w:r>
      <w:r w:rsidRPr="00FA0FC2">
        <w:rPr>
          <w:rStyle w:val="hps"/>
          <w:sz w:val="30"/>
          <w:rtl/>
          <w:lang/>
        </w:rPr>
        <w:t>اليمن</w:t>
      </w:r>
      <w:r w:rsidRPr="00FA0FC2">
        <w:rPr>
          <w:sz w:val="30"/>
          <w:rtl/>
          <w:lang/>
        </w:rPr>
        <w:t>.</w:t>
      </w:r>
    </w:p>
    <w:p w:rsidR="00091373" w:rsidRPr="00FA0FC2" w:rsidRDefault="00091373" w:rsidP="00091373">
      <w:pPr>
        <w:pStyle w:val="SingleTxtGA"/>
        <w:rPr>
          <w:rStyle w:val="hps"/>
          <w:rFonts w:hint="cs"/>
          <w:sz w:val="30"/>
          <w:rtl/>
          <w:lang/>
        </w:rPr>
      </w:pPr>
      <w:r w:rsidRPr="00FA0FC2">
        <w:rPr>
          <w:spacing w:val="4"/>
          <w:sz w:val="30"/>
          <w:rtl/>
          <w:lang w:val="fr-CH"/>
        </w:rPr>
        <w:t>7-5</w:t>
      </w:r>
      <w:r w:rsidRPr="00FA0FC2">
        <w:rPr>
          <w:spacing w:val="4"/>
          <w:sz w:val="30"/>
          <w:rtl/>
          <w:lang w:val="fr-CH"/>
        </w:rPr>
        <w:tab/>
        <w:t>وفي إطار تقييم خطر التعرض للتعذيب في هذه القضية، تحيط اللجنة علماً بادعاءات صاحب الشكوى الأول التي تفيد بأن</w:t>
      </w:r>
      <w:r w:rsidRPr="00FA0FC2">
        <w:rPr>
          <w:rFonts w:hint="cs"/>
          <w:spacing w:val="4"/>
          <w:sz w:val="30"/>
          <w:rtl/>
          <w:lang w:val="fr-CH"/>
        </w:rPr>
        <w:t xml:space="preserve"> السلطات اليمنية قد أوقفته واعتقلته</w:t>
      </w:r>
      <w:r w:rsidRPr="00FA0FC2">
        <w:rPr>
          <w:rStyle w:val="hps"/>
          <w:sz w:val="30"/>
          <w:rtl/>
          <w:lang/>
        </w:rPr>
        <w:t xml:space="preserve"> في ثلاث مناسبات</w:t>
      </w:r>
      <w:r w:rsidRPr="00FA0FC2">
        <w:rPr>
          <w:sz w:val="30"/>
          <w:rtl/>
          <w:lang/>
        </w:rPr>
        <w:t xml:space="preserve"> </w:t>
      </w:r>
      <w:r w:rsidRPr="00FA0FC2">
        <w:rPr>
          <w:rStyle w:val="hps"/>
          <w:sz w:val="30"/>
          <w:rtl/>
          <w:lang/>
        </w:rPr>
        <w:t>منفصلة</w:t>
      </w:r>
      <w:r w:rsidRPr="00FA0FC2">
        <w:rPr>
          <w:spacing w:val="4"/>
          <w:sz w:val="30"/>
          <w:rtl/>
          <w:lang w:val="fr-CH"/>
        </w:rPr>
        <w:t xml:space="preserve"> </w:t>
      </w:r>
      <w:r w:rsidRPr="00FA0FC2">
        <w:rPr>
          <w:rStyle w:val="hps"/>
          <w:rFonts w:hint="cs"/>
          <w:sz w:val="30"/>
          <w:rtl/>
          <w:lang/>
        </w:rPr>
        <w:t>في الفترة</w:t>
      </w:r>
      <w:r>
        <w:rPr>
          <w:rStyle w:val="hps"/>
          <w:sz w:val="30"/>
          <w:rtl/>
          <w:lang/>
        </w:rPr>
        <w:t xml:space="preserve"> ما </w:t>
      </w:r>
      <w:r w:rsidRPr="00FA0FC2">
        <w:rPr>
          <w:rStyle w:val="hps"/>
          <w:sz w:val="30"/>
          <w:rtl/>
          <w:lang/>
        </w:rPr>
        <w:t>بين</w:t>
      </w:r>
      <w:r w:rsidRPr="00FA0FC2">
        <w:rPr>
          <w:sz w:val="30"/>
          <w:rtl/>
          <w:lang/>
        </w:rPr>
        <w:t xml:space="preserve"> </w:t>
      </w:r>
      <w:r w:rsidRPr="00FA0FC2">
        <w:rPr>
          <w:rFonts w:hint="cs"/>
          <w:sz w:val="30"/>
          <w:rtl/>
          <w:lang/>
        </w:rPr>
        <w:t>أيار/</w:t>
      </w:r>
      <w:r w:rsidRPr="00FA0FC2">
        <w:rPr>
          <w:rStyle w:val="hps"/>
          <w:sz w:val="30"/>
          <w:rtl/>
          <w:lang/>
        </w:rPr>
        <w:t>مايو 2009</w:t>
      </w:r>
      <w:r w:rsidRPr="00FA0FC2">
        <w:rPr>
          <w:sz w:val="30"/>
          <w:rtl/>
          <w:lang/>
        </w:rPr>
        <w:t xml:space="preserve"> </w:t>
      </w:r>
      <w:r w:rsidRPr="00FA0FC2">
        <w:rPr>
          <w:rStyle w:val="hps"/>
          <w:sz w:val="30"/>
          <w:rtl/>
          <w:lang/>
        </w:rPr>
        <w:t>و</w:t>
      </w:r>
      <w:r w:rsidRPr="00FA0FC2">
        <w:rPr>
          <w:rStyle w:val="hps"/>
          <w:rFonts w:hint="cs"/>
          <w:sz w:val="30"/>
          <w:rtl/>
          <w:lang/>
        </w:rPr>
        <w:t>كانون الثاني/</w:t>
      </w:r>
      <w:r w:rsidRPr="00FA0FC2">
        <w:rPr>
          <w:rStyle w:val="hps"/>
          <w:sz w:val="30"/>
          <w:rtl/>
          <w:lang/>
        </w:rPr>
        <w:t>يناير 2010</w:t>
      </w:r>
      <w:r w:rsidRPr="00FA0FC2">
        <w:rPr>
          <w:rStyle w:val="hps"/>
          <w:rFonts w:hint="cs"/>
          <w:sz w:val="30"/>
          <w:rtl/>
          <w:lang/>
        </w:rPr>
        <w:t xml:space="preserve">، </w:t>
      </w:r>
      <w:r w:rsidRPr="00FA0FC2">
        <w:rPr>
          <w:sz w:val="30"/>
          <w:rtl/>
          <w:lang/>
        </w:rPr>
        <w:t xml:space="preserve">وأنه </w:t>
      </w:r>
      <w:r w:rsidRPr="00FA0FC2">
        <w:rPr>
          <w:rStyle w:val="hps"/>
          <w:rFonts w:hint="cs"/>
          <w:sz w:val="30"/>
          <w:rtl/>
          <w:lang/>
        </w:rPr>
        <w:t>قد تعرض</w:t>
      </w:r>
      <w:r w:rsidRPr="00FA0FC2">
        <w:rPr>
          <w:rStyle w:val="hps"/>
          <w:sz w:val="30"/>
          <w:rtl/>
          <w:lang/>
        </w:rPr>
        <w:t xml:space="preserve"> أثناء</w:t>
      </w:r>
      <w:r w:rsidRPr="00FA0FC2">
        <w:rPr>
          <w:sz w:val="30"/>
          <w:rtl/>
          <w:lang/>
        </w:rPr>
        <w:t xml:space="preserve"> </w:t>
      </w:r>
      <w:r w:rsidRPr="00FA0FC2">
        <w:rPr>
          <w:rStyle w:val="hps"/>
          <w:sz w:val="30"/>
          <w:rtl/>
          <w:lang/>
        </w:rPr>
        <w:t>هذه الاعتقالات</w:t>
      </w:r>
      <w:r w:rsidRPr="00FA0FC2">
        <w:rPr>
          <w:sz w:val="30"/>
          <w:rtl/>
          <w:lang/>
        </w:rPr>
        <w:t xml:space="preserve"> </w:t>
      </w:r>
      <w:r w:rsidRPr="00FA0FC2">
        <w:rPr>
          <w:rStyle w:val="hps"/>
          <w:sz w:val="30"/>
          <w:rtl/>
          <w:lang/>
        </w:rPr>
        <w:t>للضرب</w:t>
      </w:r>
      <w:r w:rsidRPr="00FA0FC2">
        <w:rPr>
          <w:sz w:val="30"/>
          <w:rtl/>
          <w:lang/>
        </w:rPr>
        <w:t xml:space="preserve"> </w:t>
      </w:r>
      <w:r w:rsidRPr="00FA0FC2">
        <w:rPr>
          <w:rStyle w:val="hps"/>
          <w:sz w:val="30"/>
          <w:rtl/>
          <w:lang/>
        </w:rPr>
        <w:t>والتهديد.</w:t>
      </w:r>
      <w:r w:rsidRPr="00FA0FC2">
        <w:rPr>
          <w:sz w:val="30"/>
          <w:rtl/>
          <w:lang/>
        </w:rPr>
        <w:t xml:space="preserve"> </w:t>
      </w:r>
      <w:r w:rsidRPr="00FA0FC2">
        <w:rPr>
          <w:rStyle w:val="hps"/>
          <w:sz w:val="30"/>
          <w:rtl/>
          <w:lang/>
        </w:rPr>
        <w:t>وت</w:t>
      </w:r>
      <w:r w:rsidRPr="00FA0FC2">
        <w:rPr>
          <w:rStyle w:val="hps"/>
          <w:rFonts w:hint="cs"/>
          <w:sz w:val="30"/>
          <w:rtl/>
          <w:lang/>
        </w:rPr>
        <w:t>حيط</w:t>
      </w:r>
      <w:r w:rsidRPr="00FA0FC2">
        <w:rPr>
          <w:rStyle w:val="hps"/>
          <w:sz w:val="30"/>
          <w:rtl/>
          <w:lang/>
        </w:rPr>
        <w:t xml:space="preserve"> اللجنة</w:t>
      </w:r>
      <w:r w:rsidRPr="00FA0FC2">
        <w:rPr>
          <w:sz w:val="30"/>
          <w:rtl/>
          <w:lang/>
        </w:rPr>
        <w:t xml:space="preserve"> </w:t>
      </w:r>
      <w:r w:rsidRPr="00FA0FC2">
        <w:rPr>
          <w:rStyle w:val="hps"/>
          <w:rFonts w:hint="cs"/>
          <w:sz w:val="30"/>
          <w:rtl/>
          <w:lang/>
        </w:rPr>
        <w:t xml:space="preserve">كذلك علماً بدفوع </w:t>
      </w:r>
      <w:r w:rsidRPr="00FA0FC2">
        <w:rPr>
          <w:rStyle w:val="hps"/>
          <w:sz w:val="30"/>
          <w:rtl/>
          <w:lang/>
        </w:rPr>
        <w:t>الدولة</w:t>
      </w:r>
      <w:r w:rsidRPr="00FA0FC2">
        <w:rPr>
          <w:sz w:val="30"/>
          <w:rtl/>
          <w:lang/>
        </w:rPr>
        <w:t xml:space="preserve"> </w:t>
      </w:r>
      <w:r w:rsidRPr="00FA0FC2">
        <w:rPr>
          <w:rStyle w:val="hps"/>
          <w:sz w:val="30"/>
          <w:rtl/>
          <w:lang/>
        </w:rPr>
        <w:t>الطرف</w:t>
      </w:r>
      <w:r w:rsidRPr="00FA0FC2">
        <w:rPr>
          <w:rStyle w:val="hps"/>
          <w:rFonts w:hint="cs"/>
          <w:sz w:val="30"/>
          <w:rtl/>
          <w:lang/>
        </w:rPr>
        <w:t xml:space="preserve"> التي تفيد</w:t>
      </w:r>
      <w:r w:rsidRPr="00FA0FC2">
        <w:rPr>
          <w:rStyle w:val="hps"/>
          <w:sz w:val="30"/>
          <w:rtl/>
          <w:lang/>
        </w:rPr>
        <w:t xml:space="preserve"> بأن</w:t>
      </w:r>
      <w:r w:rsidRPr="00FA0FC2">
        <w:rPr>
          <w:rStyle w:val="hps"/>
          <w:rFonts w:hint="cs"/>
          <w:sz w:val="30"/>
          <w:rtl/>
          <w:lang/>
        </w:rPr>
        <w:t xml:space="preserve"> صاحب الشكوى الأول</w:t>
      </w:r>
      <w:r>
        <w:rPr>
          <w:rStyle w:val="hps"/>
          <w:rFonts w:hint="cs"/>
          <w:sz w:val="30"/>
          <w:rtl/>
          <w:lang/>
        </w:rPr>
        <w:t xml:space="preserve"> لم</w:t>
      </w:r>
      <w:r>
        <w:rPr>
          <w:rStyle w:val="hps"/>
          <w:sz w:val="30"/>
          <w:rtl/>
          <w:lang/>
        </w:rPr>
        <w:t> </w:t>
      </w:r>
      <w:r w:rsidRPr="00FA0FC2">
        <w:rPr>
          <w:rStyle w:val="hps"/>
          <w:rFonts w:hint="cs"/>
          <w:sz w:val="30"/>
          <w:rtl/>
          <w:lang/>
        </w:rPr>
        <w:t>يتمكن من إثبات</w:t>
      </w:r>
      <w:r w:rsidRPr="00FA0FC2">
        <w:rPr>
          <w:sz w:val="30"/>
          <w:rtl/>
          <w:lang/>
        </w:rPr>
        <w:t xml:space="preserve"> </w:t>
      </w:r>
      <w:r w:rsidRPr="00FA0FC2">
        <w:rPr>
          <w:rStyle w:val="hps"/>
          <w:sz w:val="30"/>
          <w:rtl/>
          <w:lang/>
        </w:rPr>
        <w:t>هذه الادعاءات</w:t>
      </w:r>
      <w:r w:rsidRPr="00FA0FC2">
        <w:rPr>
          <w:sz w:val="30"/>
          <w:rtl/>
          <w:lang/>
        </w:rPr>
        <w:t xml:space="preserve"> </w:t>
      </w:r>
      <w:r w:rsidRPr="00FA0FC2">
        <w:rPr>
          <w:rStyle w:val="hps"/>
          <w:rFonts w:hint="cs"/>
          <w:sz w:val="30"/>
          <w:rtl/>
          <w:lang/>
        </w:rPr>
        <w:t>أمام ال</w:t>
      </w:r>
      <w:r w:rsidRPr="00FA0FC2">
        <w:rPr>
          <w:rStyle w:val="hps"/>
          <w:sz w:val="30"/>
          <w:rtl/>
          <w:lang/>
        </w:rPr>
        <w:t>سلطات</w:t>
      </w:r>
      <w:r w:rsidRPr="00FA0FC2">
        <w:rPr>
          <w:rStyle w:val="hps"/>
          <w:rFonts w:hint="cs"/>
          <w:sz w:val="30"/>
          <w:rtl/>
          <w:lang/>
        </w:rPr>
        <w:t xml:space="preserve"> المعنية بمسائل</w:t>
      </w:r>
      <w:r w:rsidRPr="00FA0FC2">
        <w:rPr>
          <w:sz w:val="30"/>
          <w:rtl/>
          <w:lang/>
        </w:rPr>
        <w:t xml:space="preserve"> </w:t>
      </w:r>
      <w:r w:rsidRPr="00FA0FC2">
        <w:rPr>
          <w:rStyle w:val="hps"/>
          <w:sz w:val="30"/>
          <w:rtl/>
          <w:lang/>
        </w:rPr>
        <w:t>اللجوء</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الدولة الطرف</w:t>
      </w:r>
      <w:r w:rsidRPr="00FA0FC2">
        <w:rPr>
          <w:sz w:val="30"/>
          <w:rtl/>
          <w:lang/>
        </w:rPr>
        <w:t xml:space="preserve"> </w:t>
      </w:r>
      <w:r w:rsidRPr="00FA0FC2">
        <w:rPr>
          <w:rStyle w:val="hps"/>
          <w:sz w:val="30"/>
          <w:rtl/>
          <w:lang/>
        </w:rPr>
        <w:t>أثناء إجراءات</w:t>
      </w:r>
      <w:r w:rsidRPr="00FA0FC2">
        <w:rPr>
          <w:sz w:val="30"/>
          <w:rtl/>
          <w:lang/>
        </w:rPr>
        <w:t xml:space="preserve"> </w:t>
      </w:r>
      <w:r w:rsidRPr="00FA0FC2">
        <w:rPr>
          <w:rStyle w:val="hps"/>
          <w:sz w:val="30"/>
          <w:rtl/>
          <w:lang/>
        </w:rPr>
        <w:t>اللجوء</w:t>
      </w:r>
      <w:r w:rsidRPr="00FA0FC2">
        <w:rPr>
          <w:sz w:val="30"/>
          <w:rtl/>
          <w:lang/>
        </w:rPr>
        <w:t xml:space="preserve"> </w:t>
      </w:r>
      <w:r w:rsidRPr="00FA0FC2">
        <w:rPr>
          <w:rStyle w:val="hps"/>
          <w:sz w:val="30"/>
          <w:rtl/>
          <w:lang/>
        </w:rPr>
        <w:t>العادية</w:t>
      </w:r>
      <w:r w:rsidRPr="00FA0FC2">
        <w:rPr>
          <w:rStyle w:val="hps"/>
          <w:rFonts w:hint="cs"/>
          <w:sz w:val="30"/>
          <w:rtl/>
          <w:lang/>
        </w:rPr>
        <w:t xml:space="preserve">، وأن </w:t>
      </w:r>
      <w:r w:rsidRPr="00FA0FC2">
        <w:rPr>
          <w:rStyle w:val="hps"/>
          <w:sz w:val="30"/>
          <w:rtl/>
          <w:lang/>
        </w:rPr>
        <w:t>الأدلة التي قدمها</w:t>
      </w:r>
      <w:r>
        <w:rPr>
          <w:sz w:val="30"/>
          <w:rtl/>
          <w:lang/>
        </w:rPr>
        <w:t xml:space="preserve"> لم </w:t>
      </w:r>
      <w:r w:rsidRPr="00FA0FC2">
        <w:rPr>
          <w:rStyle w:val="hps"/>
          <w:sz w:val="30"/>
          <w:rtl/>
          <w:lang/>
        </w:rPr>
        <w:t>تحدد</w:t>
      </w:r>
      <w:r w:rsidRPr="00FA0FC2">
        <w:rPr>
          <w:sz w:val="30"/>
          <w:rtl/>
          <w:lang/>
        </w:rPr>
        <w:t xml:space="preserve"> </w:t>
      </w:r>
      <w:r w:rsidRPr="00FA0FC2">
        <w:rPr>
          <w:rStyle w:val="hps"/>
          <w:sz w:val="30"/>
          <w:rtl/>
          <w:lang/>
        </w:rPr>
        <w:t>أسباب</w:t>
      </w:r>
      <w:r w:rsidRPr="00FA0FC2">
        <w:rPr>
          <w:sz w:val="30"/>
          <w:rtl/>
          <w:lang/>
        </w:rPr>
        <w:t xml:space="preserve"> </w:t>
      </w:r>
      <w:r w:rsidRPr="00FA0FC2">
        <w:rPr>
          <w:rStyle w:val="hps"/>
          <w:sz w:val="30"/>
          <w:rtl/>
          <w:lang/>
        </w:rPr>
        <w:t>أي من هذه</w:t>
      </w:r>
      <w:r w:rsidRPr="00FA0FC2">
        <w:rPr>
          <w:sz w:val="30"/>
          <w:rtl/>
          <w:lang/>
        </w:rPr>
        <w:t xml:space="preserve"> </w:t>
      </w:r>
      <w:r w:rsidRPr="00FA0FC2">
        <w:rPr>
          <w:rStyle w:val="hps"/>
          <w:sz w:val="30"/>
          <w:rtl/>
          <w:lang/>
        </w:rPr>
        <w:t>الاعتقالات</w:t>
      </w:r>
      <w:r w:rsidRPr="00FA0FC2">
        <w:rPr>
          <w:sz w:val="30"/>
          <w:rtl/>
          <w:lang/>
        </w:rPr>
        <w:t xml:space="preserve">. </w:t>
      </w:r>
      <w:r w:rsidRPr="00FA0FC2">
        <w:rPr>
          <w:rStyle w:val="hps"/>
          <w:sz w:val="30"/>
          <w:rtl/>
          <w:lang/>
        </w:rPr>
        <w:t>وتلاحظ اللجنة أيضا</w:t>
      </w:r>
      <w:r w:rsidRPr="00FA0FC2">
        <w:rPr>
          <w:rStyle w:val="hps"/>
          <w:rFonts w:hint="cs"/>
          <w:sz w:val="30"/>
          <w:rtl/>
          <w:lang/>
        </w:rPr>
        <w:t>ً</w:t>
      </w:r>
      <w:r w:rsidRPr="00FA0FC2">
        <w:rPr>
          <w:sz w:val="30"/>
          <w:rtl/>
          <w:lang/>
        </w:rPr>
        <w:t xml:space="preserve"> </w:t>
      </w:r>
      <w:r w:rsidRPr="00FA0FC2">
        <w:rPr>
          <w:rStyle w:val="hps"/>
          <w:sz w:val="30"/>
          <w:rtl/>
          <w:lang/>
        </w:rPr>
        <w:t>أن الدولة الطرف</w:t>
      </w:r>
      <w:r w:rsidRPr="00FA0FC2">
        <w:rPr>
          <w:sz w:val="30"/>
          <w:rtl/>
          <w:lang/>
        </w:rPr>
        <w:t xml:space="preserve"> </w:t>
      </w:r>
      <w:r w:rsidRPr="00FA0FC2">
        <w:rPr>
          <w:rStyle w:val="hps"/>
          <w:rFonts w:hint="cs"/>
          <w:sz w:val="30"/>
          <w:rtl/>
          <w:lang/>
        </w:rPr>
        <w:t>تشكك في</w:t>
      </w:r>
      <w:r w:rsidRPr="00FA0FC2">
        <w:rPr>
          <w:rStyle w:val="hps"/>
          <w:sz w:val="30"/>
          <w:rtl/>
          <w:lang/>
        </w:rPr>
        <w:t xml:space="preserve"> صحة</w:t>
      </w:r>
      <w:r w:rsidRPr="00FA0FC2">
        <w:rPr>
          <w:sz w:val="30"/>
          <w:rtl/>
          <w:lang/>
        </w:rPr>
        <w:t xml:space="preserve"> </w:t>
      </w:r>
      <w:r w:rsidRPr="00FA0FC2">
        <w:rPr>
          <w:rStyle w:val="hps"/>
          <w:sz w:val="30"/>
          <w:rtl/>
          <w:lang/>
        </w:rPr>
        <w:t>الشهادات</w:t>
      </w:r>
      <w:r w:rsidRPr="00FA0FC2">
        <w:rPr>
          <w:sz w:val="30"/>
          <w:rtl/>
          <w:lang/>
        </w:rPr>
        <w:t xml:space="preserve"> </w:t>
      </w:r>
      <w:r w:rsidRPr="00FA0FC2">
        <w:rPr>
          <w:rStyle w:val="hps"/>
          <w:sz w:val="30"/>
          <w:rtl/>
          <w:lang/>
        </w:rPr>
        <w:t>الصادرة عن</w:t>
      </w:r>
      <w:r w:rsidRPr="00FA0FC2">
        <w:rPr>
          <w:sz w:val="30"/>
          <w:rtl/>
          <w:lang/>
        </w:rPr>
        <w:t xml:space="preserve"> </w:t>
      </w:r>
      <w:r w:rsidRPr="00FA0FC2">
        <w:rPr>
          <w:rStyle w:val="hps"/>
          <w:sz w:val="30"/>
          <w:rtl/>
          <w:lang/>
        </w:rPr>
        <w:t>سلطات سجن</w:t>
      </w:r>
      <w:r w:rsidRPr="00FA0FC2">
        <w:rPr>
          <w:sz w:val="30"/>
          <w:rtl/>
          <w:lang/>
        </w:rPr>
        <w:t xml:space="preserve"> </w:t>
      </w:r>
      <w:r w:rsidRPr="00FA0FC2">
        <w:rPr>
          <w:rStyle w:val="hps"/>
          <w:sz w:val="30"/>
          <w:rtl/>
          <w:lang/>
        </w:rPr>
        <w:t>المنصورة</w:t>
      </w:r>
      <w:r w:rsidRPr="00FA0FC2">
        <w:rPr>
          <w:rStyle w:val="hps"/>
          <w:rFonts w:hint="cs"/>
          <w:sz w:val="30"/>
          <w:rtl/>
          <w:lang/>
        </w:rPr>
        <w:t>،</w:t>
      </w:r>
      <w:r w:rsidRPr="00FA0FC2">
        <w:rPr>
          <w:rFonts w:hint="cs"/>
          <w:sz w:val="30"/>
          <w:rtl/>
          <w:lang/>
        </w:rPr>
        <w:t xml:space="preserve"> ومنظمة المنى،</w:t>
      </w:r>
      <w:r w:rsidRPr="00FA0FC2">
        <w:rPr>
          <w:sz w:val="30"/>
          <w:rtl/>
          <w:lang/>
        </w:rPr>
        <w:t xml:space="preserve"> والتجمع الديمقراطي الجنوبي </w:t>
      </w:r>
      <w:r w:rsidRPr="00FA0FC2">
        <w:rPr>
          <w:rStyle w:val="hps"/>
          <w:rFonts w:hint="cs"/>
          <w:sz w:val="30"/>
          <w:rtl/>
          <w:lang/>
        </w:rPr>
        <w:t>في</w:t>
      </w:r>
      <w:r w:rsidRPr="00FA0FC2">
        <w:rPr>
          <w:rStyle w:val="hps"/>
          <w:sz w:val="30"/>
          <w:rtl/>
          <w:lang/>
        </w:rPr>
        <w:t xml:space="preserve"> المملكة</w:t>
      </w:r>
      <w:r w:rsidRPr="00FA0FC2">
        <w:rPr>
          <w:sz w:val="30"/>
          <w:rtl/>
          <w:lang/>
        </w:rPr>
        <w:t xml:space="preserve"> </w:t>
      </w:r>
      <w:r w:rsidRPr="00FA0FC2">
        <w:rPr>
          <w:rStyle w:val="hps"/>
          <w:sz w:val="30"/>
          <w:rtl/>
          <w:lang/>
        </w:rPr>
        <w:t>المتحدة</w:t>
      </w:r>
      <w:r w:rsidRPr="00FA0FC2">
        <w:rPr>
          <w:rStyle w:val="hps"/>
          <w:rFonts w:hint="cs"/>
          <w:sz w:val="30"/>
          <w:rtl/>
          <w:lang/>
        </w:rPr>
        <w:t>،</w:t>
      </w:r>
      <w:r w:rsidRPr="00FA0FC2">
        <w:rPr>
          <w:rStyle w:val="hps"/>
          <w:sz w:val="30"/>
          <w:rtl/>
          <w:lang/>
        </w:rPr>
        <w:t xml:space="preserve"> و</w:t>
      </w:r>
      <w:r w:rsidRPr="00FA0FC2">
        <w:rPr>
          <w:sz w:val="30"/>
          <w:rtl/>
          <w:lang/>
        </w:rPr>
        <w:t xml:space="preserve">مكتب </w:t>
      </w:r>
      <w:r w:rsidRPr="00FA0FC2">
        <w:rPr>
          <w:rStyle w:val="hps"/>
          <w:sz w:val="30"/>
          <w:rtl/>
          <w:lang/>
        </w:rPr>
        <w:t>الرئيس</w:t>
      </w:r>
      <w:r w:rsidRPr="00FA0FC2">
        <w:rPr>
          <w:sz w:val="30"/>
          <w:rtl/>
          <w:lang/>
        </w:rPr>
        <w:t xml:space="preserve"> </w:t>
      </w:r>
      <w:r w:rsidRPr="00FA0FC2">
        <w:rPr>
          <w:rStyle w:val="hps"/>
          <w:sz w:val="30"/>
          <w:rtl/>
          <w:lang/>
        </w:rPr>
        <w:t>السابق لجمهورية</w:t>
      </w:r>
      <w:r w:rsidRPr="00FA0FC2">
        <w:rPr>
          <w:sz w:val="30"/>
          <w:rtl/>
          <w:lang/>
        </w:rPr>
        <w:t xml:space="preserve"> </w:t>
      </w:r>
      <w:r w:rsidRPr="00FA0FC2">
        <w:rPr>
          <w:rStyle w:val="hps"/>
          <w:sz w:val="30"/>
          <w:rtl/>
          <w:lang/>
        </w:rPr>
        <w:t>اليمن الديمقراطية</w:t>
      </w:r>
      <w:r w:rsidRPr="00FA0FC2">
        <w:rPr>
          <w:sz w:val="30"/>
          <w:rtl/>
          <w:lang/>
        </w:rPr>
        <w:t xml:space="preserve">، </w:t>
      </w:r>
      <w:r w:rsidRPr="00FA0FC2">
        <w:rPr>
          <w:rStyle w:val="hps"/>
          <w:sz w:val="30"/>
          <w:rtl/>
          <w:lang/>
        </w:rPr>
        <w:t>لأنه</w:t>
      </w:r>
      <w:r w:rsidRPr="00FA0FC2">
        <w:rPr>
          <w:rStyle w:val="hps"/>
          <w:rFonts w:hint="cs"/>
          <w:sz w:val="30"/>
          <w:rtl/>
          <w:lang/>
        </w:rPr>
        <w:t>ا</w:t>
      </w:r>
      <w:r>
        <w:rPr>
          <w:rStyle w:val="hps"/>
          <w:rFonts w:hint="cs"/>
          <w:sz w:val="30"/>
          <w:rtl/>
          <w:lang/>
        </w:rPr>
        <w:t xml:space="preserve"> لم</w:t>
      </w:r>
      <w:r>
        <w:rPr>
          <w:rStyle w:val="hps"/>
          <w:sz w:val="30"/>
          <w:rtl/>
          <w:lang/>
        </w:rPr>
        <w:t> </w:t>
      </w:r>
      <w:r w:rsidRPr="00FA0FC2">
        <w:rPr>
          <w:rStyle w:val="hps"/>
          <w:rFonts w:hint="cs"/>
          <w:sz w:val="30"/>
          <w:rtl/>
          <w:lang/>
        </w:rPr>
        <w:t>تشر</w:t>
      </w:r>
      <w:r w:rsidRPr="00FA0FC2">
        <w:rPr>
          <w:rStyle w:val="hps"/>
          <w:sz w:val="30"/>
          <w:rtl/>
          <w:lang/>
        </w:rPr>
        <w:t>،</w:t>
      </w:r>
      <w:r w:rsidRPr="00FA0FC2">
        <w:rPr>
          <w:sz w:val="30"/>
          <w:rtl/>
          <w:lang/>
        </w:rPr>
        <w:t xml:space="preserve"> </w:t>
      </w:r>
      <w:r w:rsidRPr="00FA0FC2">
        <w:rPr>
          <w:rStyle w:val="hps"/>
          <w:sz w:val="30"/>
          <w:rtl/>
          <w:lang/>
        </w:rPr>
        <w:t>في جملة أمور</w:t>
      </w:r>
      <w:r w:rsidRPr="00FA0FC2">
        <w:rPr>
          <w:sz w:val="30"/>
          <w:rtl/>
          <w:lang/>
        </w:rPr>
        <w:t xml:space="preserve">، </w:t>
      </w:r>
      <w:r w:rsidRPr="00FA0FC2">
        <w:rPr>
          <w:rStyle w:val="hps"/>
          <w:sz w:val="30"/>
          <w:rtl/>
          <w:lang/>
        </w:rPr>
        <w:t>إلى</w:t>
      </w:r>
      <w:r w:rsidRPr="00FA0FC2">
        <w:rPr>
          <w:sz w:val="30"/>
          <w:rtl/>
          <w:lang/>
        </w:rPr>
        <w:t xml:space="preserve"> </w:t>
      </w:r>
      <w:r w:rsidRPr="00FA0FC2">
        <w:rPr>
          <w:rStyle w:val="hps"/>
          <w:sz w:val="30"/>
          <w:rtl/>
          <w:lang/>
        </w:rPr>
        <w:t>مصدر</w:t>
      </w:r>
      <w:r w:rsidRPr="00FA0FC2">
        <w:rPr>
          <w:sz w:val="30"/>
          <w:rtl/>
          <w:lang/>
        </w:rPr>
        <w:t xml:space="preserve"> </w:t>
      </w:r>
      <w:r w:rsidRPr="00FA0FC2">
        <w:rPr>
          <w:rStyle w:val="hps"/>
          <w:sz w:val="30"/>
          <w:rtl/>
          <w:lang/>
        </w:rPr>
        <w:t xml:space="preserve">المعلومات </w:t>
      </w:r>
      <w:r w:rsidRPr="00FA0FC2">
        <w:rPr>
          <w:rStyle w:val="hps"/>
          <w:rFonts w:hint="cs"/>
          <w:sz w:val="30"/>
          <w:rtl/>
          <w:lang/>
        </w:rPr>
        <w:t>الواردة فيها</w:t>
      </w:r>
      <w:r w:rsidRPr="00FA0FC2">
        <w:rPr>
          <w:sz w:val="30"/>
          <w:rtl/>
          <w:lang/>
        </w:rPr>
        <w:t>،</w:t>
      </w:r>
      <w:r>
        <w:rPr>
          <w:sz w:val="30"/>
          <w:rtl/>
          <w:lang/>
        </w:rPr>
        <w:t xml:space="preserve"> ولا </w:t>
      </w:r>
      <w:r w:rsidRPr="00FA0FC2">
        <w:rPr>
          <w:rStyle w:val="hps"/>
          <w:sz w:val="30"/>
          <w:rtl/>
          <w:lang/>
        </w:rPr>
        <w:t>تتوافق</w:t>
      </w:r>
      <w:r w:rsidRPr="00FA0FC2">
        <w:rPr>
          <w:sz w:val="30"/>
          <w:rtl/>
          <w:lang/>
        </w:rPr>
        <w:t xml:space="preserve"> </w:t>
      </w:r>
      <w:r w:rsidRPr="00FA0FC2">
        <w:rPr>
          <w:rStyle w:val="hps"/>
          <w:sz w:val="30"/>
          <w:rtl/>
          <w:lang/>
        </w:rPr>
        <w:t>بالكامل</w:t>
      </w:r>
      <w:r w:rsidRPr="00FA0FC2">
        <w:rPr>
          <w:sz w:val="30"/>
          <w:rtl/>
          <w:lang/>
        </w:rPr>
        <w:t xml:space="preserve"> </w:t>
      </w:r>
      <w:r w:rsidRPr="00FA0FC2">
        <w:rPr>
          <w:rStyle w:val="hps"/>
          <w:rFonts w:hint="cs"/>
          <w:sz w:val="30"/>
          <w:rtl/>
          <w:lang/>
        </w:rPr>
        <w:t>مع الرواية التي قدمها</w:t>
      </w:r>
      <w:r w:rsidRPr="00FA0FC2">
        <w:rPr>
          <w:sz w:val="30"/>
          <w:rtl/>
          <w:lang/>
        </w:rPr>
        <w:t xml:space="preserve"> </w:t>
      </w:r>
      <w:r w:rsidRPr="00FA0FC2">
        <w:rPr>
          <w:rStyle w:val="hps"/>
          <w:sz w:val="30"/>
          <w:rtl/>
          <w:lang/>
        </w:rPr>
        <w:t>صاحب الشكوى</w:t>
      </w:r>
      <w:r w:rsidRPr="00FA0FC2">
        <w:rPr>
          <w:sz w:val="30"/>
          <w:rtl/>
          <w:lang/>
        </w:rPr>
        <w:t xml:space="preserve"> </w:t>
      </w:r>
      <w:r w:rsidRPr="00FA0FC2">
        <w:rPr>
          <w:rStyle w:val="hps"/>
          <w:sz w:val="30"/>
          <w:rtl/>
          <w:lang/>
        </w:rPr>
        <w:t>الأول</w:t>
      </w:r>
      <w:r w:rsidRPr="00FA0FC2">
        <w:rPr>
          <w:sz w:val="30"/>
          <w:rtl/>
          <w:lang/>
        </w:rPr>
        <w:t>.</w:t>
      </w:r>
      <w:r>
        <w:rPr>
          <w:sz w:val="30"/>
          <w:rtl/>
          <w:lang/>
        </w:rPr>
        <w:t xml:space="preserve"> كما </w:t>
      </w:r>
      <w:r w:rsidRPr="00FA0FC2">
        <w:rPr>
          <w:rStyle w:val="hps"/>
          <w:sz w:val="30"/>
          <w:rtl/>
          <w:lang/>
        </w:rPr>
        <w:t>تحيط اللجنة</w:t>
      </w:r>
      <w:r w:rsidRPr="00FA0FC2">
        <w:rPr>
          <w:sz w:val="30"/>
          <w:rtl/>
          <w:lang/>
        </w:rPr>
        <w:t xml:space="preserve"> </w:t>
      </w:r>
      <w:r w:rsidRPr="00FA0FC2">
        <w:rPr>
          <w:rStyle w:val="hps"/>
          <w:sz w:val="30"/>
          <w:rtl/>
          <w:lang/>
        </w:rPr>
        <w:t>علما</w:t>
      </w:r>
      <w:r w:rsidRPr="00FA0FC2">
        <w:rPr>
          <w:rStyle w:val="hps"/>
          <w:rFonts w:hint="cs"/>
          <w:sz w:val="30"/>
          <w:rtl/>
          <w:lang/>
        </w:rPr>
        <w:t>ً</w:t>
      </w:r>
      <w:r w:rsidRPr="00FA0FC2">
        <w:rPr>
          <w:rStyle w:val="hps"/>
          <w:sz w:val="30"/>
          <w:rtl/>
          <w:lang/>
        </w:rPr>
        <w:t xml:space="preserve"> بالمعلومات</w:t>
      </w:r>
      <w:r w:rsidRPr="00FA0FC2">
        <w:rPr>
          <w:sz w:val="30"/>
          <w:rtl/>
          <w:lang/>
        </w:rPr>
        <w:t xml:space="preserve"> </w:t>
      </w:r>
      <w:r w:rsidRPr="00FA0FC2">
        <w:rPr>
          <w:rStyle w:val="hps"/>
          <w:sz w:val="30"/>
          <w:rtl/>
          <w:lang/>
        </w:rPr>
        <w:t>التي قدمها</w:t>
      </w:r>
      <w:r w:rsidRPr="00FA0FC2">
        <w:rPr>
          <w:sz w:val="30"/>
          <w:rtl/>
          <w:lang/>
        </w:rPr>
        <w:t xml:space="preserve"> </w:t>
      </w:r>
      <w:r w:rsidRPr="00FA0FC2">
        <w:rPr>
          <w:rStyle w:val="hps"/>
          <w:rFonts w:hint="cs"/>
          <w:sz w:val="30"/>
          <w:rtl/>
          <w:lang/>
        </w:rPr>
        <w:t>بشأن</w:t>
      </w:r>
      <w:r w:rsidRPr="00FA0FC2">
        <w:rPr>
          <w:sz w:val="30"/>
          <w:rtl/>
          <w:lang/>
        </w:rPr>
        <w:t xml:space="preserve"> </w:t>
      </w:r>
      <w:r w:rsidRPr="00FA0FC2">
        <w:rPr>
          <w:rStyle w:val="hps"/>
          <w:sz w:val="30"/>
          <w:rtl/>
          <w:lang/>
        </w:rPr>
        <w:t>هذه النقاط</w:t>
      </w:r>
      <w:r w:rsidRPr="00FA0FC2">
        <w:rPr>
          <w:sz w:val="30"/>
          <w:rtl/>
          <w:lang/>
        </w:rPr>
        <w:t xml:space="preserve">. </w:t>
      </w:r>
      <w:r w:rsidRPr="00FA0FC2">
        <w:rPr>
          <w:rStyle w:val="hps"/>
          <w:sz w:val="30"/>
          <w:rtl/>
          <w:lang/>
        </w:rPr>
        <w:t>و</w:t>
      </w:r>
      <w:r w:rsidRPr="00FA0FC2">
        <w:rPr>
          <w:rStyle w:val="hps"/>
          <w:rFonts w:hint="cs"/>
          <w:sz w:val="30"/>
          <w:rtl/>
          <w:lang/>
        </w:rPr>
        <w:t>ت</w:t>
      </w:r>
      <w:r w:rsidRPr="00FA0FC2">
        <w:rPr>
          <w:rStyle w:val="hps"/>
          <w:sz w:val="30"/>
          <w:rtl/>
          <w:lang/>
        </w:rPr>
        <w:t>لاحظ</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هذا</w:t>
      </w:r>
      <w:r w:rsidRPr="00FA0FC2">
        <w:rPr>
          <w:sz w:val="30"/>
          <w:rtl/>
          <w:lang/>
        </w:rPr>
        <w:t xml:space="preserve"> </w:t>
      </w:r>
      <w:r w:rsidRPr="00FA0FC2">
        <w:rPr>
          <w:rStyle w:val="hps"/>
          <w:sz w:val="30"/>
          <w:rtl/>
          <w:lang/>
        </w:rPr>
        <w:t>الصدد أن</w:t>
      </w:r>
      <w:r w:rsidRPr="00FA0FC2">
        <w:rPr>
          <w:rStyle w:val="hps"/>
          <w:rFonts w:hint="cs"/>
          <w:sz w:val="30"/>
          <w:rtl/>
          <w:lang/>
        </w:rPr>
        <w:t xml:space="preserve"> صاحب</w:t>
      </w:r>
      <w:r w:rsidRPr="00FA0FC2">
        <w:rPr>
          <w:sz w:val="30"/>
          <w:rtl/>
          <w:lang/>
        </w:rPr>
        <w:t xml:space="preserve"> </w:t>
      </w:r>
      <w:r w:rsidRPr="00FA0FC2">
        <w:rPr>
          <w:rStyle w:val="hps"/>
          <w:sz w:val="30"/>
          <w:rtl/>
          <w:lang/>
        </w:rPr>
        <w:t>الشكوى</w:t>
      </w:r>
      <w:r w:rsidRPr="00FA0FC2">
        <w:rPr>
          <w:sz w:val="30"/>
          <w:rtl/>
          <w:lang/>
        </w:rPr>
        <w:t xml:space="preserve"> </w:t>
      </w:r>
      <w:r w:rsidRPr="00FA0FC2">
        <w:rPr>
          <w:rStyle w:val="hps"/>
          <w:sz w:val="30"/>
          <w:rtl/>
          <w:lang/>
        </w:rPr>
        <w:t>الأو</w:t>
      </w:r>
      <w:r w:rsidRPr="00FA0FC2">
        <w:rPr>
          <w:rStyle w:val="hps"/>
          <w:rFonts w:hint="cs"/>
          <w:sz w:val="30"/>
          <w:rtl/>
          <w:lang/>
        </w:rPr>
        <w:t>ل</w:t>
      </w:r>
      <w:r>
        <w:rPr>
          <w:sz w:val="30"/>
          <w:rtl/>
          <w:lang/>
        </w:rPr>
        <w:t xml:space="preserve"> لم </w:t>
      </w:r>
      <w:r w:rsidRPr="00FA0FC2">
        <w:rPr>
          <w:rStyle w:val="hps"/>
          <w:rFonts w:hint="cs"/>
          <w:sz w:val="30"/>
          <w:rtl/>
          <w:lang/>
        </w:rPr>
        <w:t>ي</w:t>
      </w:r>
      <w:r w:rsidRPr="00FA0FC2">
        <w:rPr>
          <w:rStyle w:val="hps"/>
          <w:sz w:val="30"/>
          <w:rtl/>
          <w:lang/>
        </w:rPr>
        <w:t>قدم</w:t>
      </w:r>
      <w:r w:rsidRPr="00FA0FC2">
        <w:rPr>
          <w:sz w:val="30"/>
          <w:rtl/>
          <w:lang/>
        </w:rPr>
        <w:t xml:space="preserve"> </w:t>
      </w:r>
      <w:r w:rsidRPr="00FA0FC2">
        <w:rPr>
          <w:rStyle w:val="hps"/>
          <w:sz w:val="30"/>
          <w:rtl/>
          <w:lang/>
        </w:rPr>
        <w:t>أي</w:t>
      </w:r>
      <w:r w:rsidRPr="00FA0FC2">
        <w:rPr>
          <w:rStyle w:val="hps"/>
          <w:rFonts w:hint="cs"/>
          <w:sz w:val="30"/>
          <w:rtl/>
          <w:lang/>
        </w:rPr>
        <w:t>ة</w:t>
      </w:r>
      <w:r w:rsidRPr="00FA0FC2">
        <w:rPr>
          <w:sz w:val="30"/>
          <w:rtl/>
          <w:lang/>
        </w:rPr>
        <w:t xml:space="preserve"> </w:t>
      </w:r>
      <w:r w:rsidRPr="00FA0FC2">
        <w:rPr>
          <w:rStyle w:val="hps"/>
          <w:sz w:val="30"/>
          <w:rtl/>
          <w:lang/>
        </w:rPr>
        <w:t>أدلة تدعم</w:t>
      </w:r>
      <w:r w:rsidRPr="00FA0FC2">
        <w:rPr>
          <w:sz w:val="30"/>
          <w:rtl/>
          <w:lang/>
        </w:rPr>
        <w:t xml:space="preserve"> </w:t>
      </w:r>
      <w:r w:rsidRPr="00FA0FC2">
        <w:rPr>
          <w:rStyle w:val="hps"/>
          <w:rFonts w:hint="cs"/>
          <w:sz w:val="30"/>
          <w:rtl/>
          <w:lang/>
        </w:rPr>
        <w:t>المزاعم التي أكد فيها</w:t>
      </w:r>
      <w:r w:rsidRPr="00FA0FC2">
        <w:rPr>
          <w:rStyle w:val="hps"/>
          <w:sz w:val="30"/>
          <w:rtl/>
          <w:lang/>
        </w:rPr>
        <w:t xml:space="preserve"> تعرضه</w:t>
      </w:r>
      <w:r w:rsidRPr="00FA0FC2">
        <w:rPr>
          <w:sz w:val="30"/>
          <w:rtl/>
          <w:lang/>
        </w:rPr>
        <w:t xml:space="preserve"> </w:t>
      </w:r>
      <w:r w:rsidRPr="00FA0FC2">
        <w:rPr>
          <w:rStyle w:val="hps"/>
          <w:sz w:val="30"/>
          <w:rtl/>
          <w:lang/>
        </w:rPr>
        <w:t>لسوء المعاملة</w:t>
      </w:r>
      <w:r w:rsidRPr="00FA0FC2">
        <w:rPr>
          <w:sz w:val="30"/>
          <w:rtl/>
          <w:lang/>
        </w:rPr>
        <w:t xml:space="preserve"> </w:t>
      </w:r>
      <w:r w:rsidRPr="00FA0FC2">
        <w:rPr>
          <w:rStyle w:val="hps"/>
          <w:sz w:val="30"/>
          <w:rtl/>
          <w:lang/>
        </w:rPr>
        <w:t xml:space="preserve">من </w:t>
      </w:r>
      <w:r w:rsidRPr="00FA0FC2">
        <w:rPr>
          <w:rStyle w:val="hps"/>
          <w:rFonts w:hint="cs"/>
          <w:sz w:val="30"/>
          <w:rtl/>
          <w:lang/>
        </w:rPr>
        <w:t>طرف</w:t>
      </w:r>
      <w:r w:rsidRPr="00FA0FC2">
        <w:rPr>
          <w:sz w:val="30"/>
          <w:rtl/>
          <w:lang/>
        </w:rPr>
        <w:t xml:space="preserve"> </w:t>
      </w:r>
      <w:r w:rsidRPr="00FA0FC2">
        <w:rPr>
          <w:rStyle w:val="hps"/>
          <w:sz w:val="30"/>
          <w:rtl/>
          <w:lang/>
        </w:rPr>
        <w:t>السلطات اليمنية</w:t>
      </w:r>
      <w:r w:rsidRPr="00FA0FC2">
        <w:rPr>
          <w:sz w:val="30"/>
          <w:rtl/>
          <w:lang/>
        </w:rPr>
        <w:t xml:space="preserve"> </w:t>
      </w:r>
      <w:r w:rsidRPr="00FA0FC2">
        <w:rPr>
          <w:rStyle w:val="hps"/>
          <w:sz w:val="30"/>
          <w:rtl/>
          <w:lang/>
        </w:rPr>
        <w:t>قبل</w:t>
      </w:r>
      <w:r w:rsidRPr="00FA0FC2">
        <w:rPr>
          <w:sz w:val="30"/>
          <w:rtl/>
          <w:lang/>
        </w:rPr>
        <w:t xml:space="preserve"> </w:t>
      </w:r>
      <w:r w:rsidRPr="00FA0FC2">
        <w:rPr>
          <w:rStyle w:val="hps"/>
          <w:sz w:val="30"/>
          <w:rtl/>
          <w:lang/>
        </w:rPr>
        <w:t>وصوله إلى سويسرا</w:t>
      </w:r>
      <w:r w:rsidRPr="00FA0FC2">
        <w:rPr>
          <w:sz w:val="30"/>
          <w:rtl/>
          <w:lang/>
        </w:rPr>
        <w:t>،</w:t>
      </w:r>
      <w:r>
        <w:rPr>
          <w:sz w:val="30"/>
          <w:rtl/>
          <w:lang/>
        </w:rPr>
        <w:t xml:space="preserve"> بما </w:t>
      </w:r>
      <w:r w:rsidRPr="00FA0FC2">
        <w:rPr>
          <w:rStyle w:val="hps"/>
          <w:sz w:val="30"/>
          <w:rtl/>
          <w:lang/>
        </w:rPr>
        <w:t xml:space="preserve">في ذلك </w:t>
      </w:r>
      <w:r w:rsidRPr="00FA0FC2">
        <w:rPr>
          <w:rStyle w:val="hps"/>
          <w:rFonts w:hint="cs"/>
          <w:sz w:val="30"/>
          <w:rtl/>
          <w:lang/>
        </w:rPr>
        <w:t>ال</w:t>
      </w:r>
      <w:r w:rsidRPr="00FA0FC2">
        <w:rPr>
          <w:rStyle w:val="hps"/>
          <w:sz w:val="30"/>
          <w:rtl/>
          <w:lang/>
        </w:rPr>
        <w:t>تقارير</w:t>
      </w:r>
      <w:r w:rsidRPr="00FA0FC2">
        <w:rPr>
          <w:sz w:val="30"/>
          <w:rtl/>
          <w:lang/>
        </w:rPr>
        <w:t xml:space="preserve"> </w:t>
      </w:r>
      <w:r w:rsidRPr="00FA0FC2">
        <w:rPr>
          <w:rFonts w:hint="cs"/>
          <w:sz w:val="30"/>
          <w:rtl/>
          <w:lang/>
        </w:rPr>
        <w:t>ال</w:t>
      </w:r>
      <w:r w:rsidRPr="00FA0FC2">
        <w:rPr>
          <w:rStyle w:val="hps"/>
          <w:sz w:val="30"/>
          <w:rtl/>
          <w:lang/>
        </w:rPr>
        <w:t xml:space="preserve">طبية </w:t>
      </w:r>
      <w:r w:rsidRPr="00FA0FC2">
        <w:rPr>
          <w:rStyle w:val="hps"/>
          <w:rFonts w:hint="cs"/>
          <w:sz w:val="30"/>
          <w:rtl/>
          <w:lang/>
        </w:rPr>
        <w:t xml:space="preserve">التي </w:t>
      </w:r>
      <w:r w:rsidRPr="00FA0FC2">
        <w:rPr>
          <w:rStyle w:val="hps"/>
          <w:sz w:val="30"/>
          <w:rtl/>
          <w:lang/>
        </w:rPr>
        <w:t>تثبت</w:t>
      </w:r>
      <w:r w:rsidRPr="00FA0FC2">
        <w:rPr>
          <w:sz w:val="30"/>
          <w:rtl/>
          <w:lang/>
        </w:rPr>
        <w:t xml:space="preserve"> </w:t>
      </w:r>
      <w:r w:rsidRPr="00FA0FC2">
        <w:rPr>
          <w:rStyle w:val="hps"/>
          <w:sz w:val="30"/>
          <w:rtl/>
          <w:lang/>
        </w:rPr>
        <w:t>أن</w:t>
      </w:r>
      <w:r w:rsidRPr="00FA0FC2">
        <w:rPr>
          <w:sz w:val="30"/>
          <w:rtl/>
          <w:lang/>
        </w:rPr>
        <w:t xml:space="preserve"> </w:t>
      </w:r>
      <w:r w:rsidRPr="00FA0FC2">
        <w:rPr>
          <w:rStyle w:val="hps"/>
          <w:sz w:val="30"/>
          <w:rtl/>
          <w:lang/>
        </w:rPr>
        <w:t>إصابته</w:t>
      </w:r>
      <w:r w:rsidRPr="00FA0FC2">
        <w:rPr>
          <w:rStyle w:val="hps"/>
          <w:rFonts w:hint="cs"/>
          <w:sz w:val="30"/>
          <w:rtl/>
          <w:lang/>
        </w:rPr>
        <w:t xml:space="preserve"> قد حدثت</w:t>
      </w:r>
      <w:r w:rsidRPr="00FA0FC2">
        <w:rPr>
          <w:sz w:val="30"/>
          <w:rtl/>
          <w:lang/>
        </w:rPr>
        <w:t xml:space="preserve"> </w:t>
      </w:r>
      <w:r w:rsidRPr="00FA0FC2">
        <w:rPr>
          <w:rStyle w:val="hps"/>
          <w:sz w:val="30"/>
          <w:rtl/>
          <w:lang/>
        </w:rPr>
        <w:t xml:space="preserve">نتيجة </w:t>
      </w:r>
      <w:r w:rsidRPr="00FA0FC2">
        <w:rPr>
          <w:rStyle w:val="hps"/>
          <w:rFonts w:hint="cs"/>
          <w:sz w:val="30"/>
          <w:rtl/>
          <w:lang/>
        </w:rPr>
        <w:t>تعرضه</w:t>
      </w:r>
      <w:r w:rsidRPr="00FA0FC2">
        <w:rPr>
          <w:sz w:val="30"/>
          <w:rtl/>
          <w:lang/>
        </w:rPr>
        <w:t xml:space="preserve"> </w:t>
      </w:r>
      <w:r w:rsidRPr="00FA0FC2">
        <w:rPr>
          <w:rFonts w:hint="cs"/>
          <w:sz w:val="30"/>
          <w:rtl/>
          <w:lang/>
        </w:rPr>
        <w:t>ل</w:t>
      </w:r>
      <w:r w:rsidRPr="00FA0FC2">
        <w:rPr>
          <w:rStyle w:val="hps"/>
          <w:sz w:val="30"/>
          <w:rtl/>
          <w:lang/>
        </w:rPr>
        <w:t>ضربة</w:t>
      </w:r>
      <w:r w:rsidRPr="00FA0FC2">
        <w:rPr>
          <w:sz w:val="30"/>
          <w:rtl/>
          <w:lang/>
        </w:rPr>
        <w:t xml:space="preserve"> </w:t>
      </w:r>
      <w:r w:rsidRPr="00FA0FC2">
        <w:rPr>
          <w:rStyle w:val="hps"/>
          <w:sz w:val="30"/>
          <w:rtl/>
          <w:lang/>
        </w:rPr>
        <w:t>بهراوة</w:t>
      </w:r>
      <w:r w:rsidRPr="00FA0FC2">
        <w:rPr>
          <w:sz w:val="30"/>
          <w:rtl/>
          <w:lang/>
        </w:rPr>
        <w:t xml:space="preserve"> </w:t>
      </w:r>
      <w:r w:rsidRPr="00FA0FC2">
        <w:rPr>
          <w:rStyle w:val="hps"/>
          <w:rFonts w:hint="cs"/>
          <w:sz w:val="30"/>
          <w:rtl/>
          <w:lang/>
        </w:rPr>
        <w:t>على الأنف</w:t>
      </w:r>
      <w:r w:rsidRPr="00FA0FC2">
        <w:rPr>
          <w:sz w:val="30"/>
          <w:rtl/>
          <w:lang/>
        </w:rPr>
        <w:t>،</w:t>
      </w:r>
      <w:r>
        <w:rPr>
          <w:sz w:val="30"/>
          <w:rtl/>
          <w:lang/>
        </w:rPr>
        <w:t xml:space="preserve"> أو </w:t>
      </w:r>
      <w:r w:rsidRPr="00FA0FC2">
        <w:rPr>
          <w:rStyle w:val="hps"/>
          <w:rFonts w:hint="cs"/>
          <w:sz w:val="30"/>
          <w:rtl/>
          <w:lang/>
        </w:rPr>
        <w:t>الأدلة التي تثبت بحث</w:t>
      </w:r>
      <w:r w:rsidRPr="00FA0FC2">
        <w:rPr>
          <w:rStyle w:val="hps"/>
          <w:sz w:val="30"/>
          <w:rtl/>
          <w:lang/>
        </w:rPr>
        <w:t xml:space="preserve"> </w:t>
      </w:r>
      <w:r w:rsidRPr="00FA0FC2">
        <w:rPr>
          <w:rStyle w:val="hps"/>
          <w:rFonts w:hint="cs"/>
          <w:sz w:val="30"/>
          <w:rtl/>
          <w:lang/>
        </w:rPr>
        <w:t>جهاز</w:t>
      </w:r>
      <w:r w:rsidRPr="00FA0FC2">
        <w:rPr>
          <w:sz w:val="30"/>
          <w:rtl/>
          <w:lang/>
        </w:rPr>
        <w:t xml:space="preserve"> </w:t>
      </w:r>
      <w:r w:rsidRPr="00FA0FC2">
        <w:rPr>
          <w:rStyle w:val="hps"/>
          <w:sz w:val="30"/>
          <w:rtl/>
          <w:lang/>
        </w:rPr>
        <w:t>الأمن السياسي</w:t>
      </w:r>
      <w:r>
        <w:rPr>
          <w:sz w:val="30"/>
          <w:rtl/>
          <w:lang/>
        </w:rPr>
        <w:t xml:space="preserve"> أو </w:t>
      </w:r>
      <w:r w:rsidRPr="00FA0FC2">
        <w:rPr>
          <w:rStyle w:val="hps"/>
          <w:sz w:val="30"/>
          <w:rtl/>
          <w:lang/>
        </w:rPr>
        <w:t>غيره من السلطات</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اليمن</w:t>
      </w:r>
      <w:r w:rsidRPr="00FA0FC2">
        <w:rPr>
          <w:sz w:val="30"/>
          <w:rtl/>
          <w:lang/>
        </w:rPr>
        <w:t xml:space="preserve"> </w:t>
      </w:r>
      <w:r w:rsidRPr="00FA0FC2">
        <w:rPr>
          <w:rStyle w:val="hps"/>
          <w:sz w:val="30"/>
          <w:rtl/>
          <w:lang/>
        </w:rPr>
        <w:t>عنه</w:t>
      </w:r>
      <w:r w:rsidRPr="00FA0FC2">
        <w:rPr>
          <w:sz w:val="30"/>
          <w:rtl/>
          <w:lang/>
        </w:rPr>
        <w:t xml:space="preserve"> </w:t>
      </w:r>
      <w:r w:rsidRPr="00FA0FC2">
        <w:rPr>
          <w:rStyle w:val="hps"/>
          <w:sz w:val="30"/>
          <w:rtl/>
          <w:lang/>
        </w:rPr>
        <w:t>منذ ذلك الحين.</w:t>
      </w:r>
    </w:p>
    <w:p w:rsidR="00091373" w:rsidRPr="00FA0FC2" w:rsidRDefault="00091373" w:rsidP="00091373">
      <w:pPr>
        <w:pStyle w:val="SingleTxtGA"/>
        <w:rPr>
          <w:rFonts w:hint="cs"/>
          <w:rtl/>
          <w:lang w:val="fr-CH"/>
        </w:rPr>
      </w:pPr>
      <w:r w:rsidRPr="00FA0FC2">
        <w:rPr>
          <w:spacing w:val="4"/>
          <w:sz w:val="30"/>
          <w:rtl/>
          <w:lang w:val="fr-CH"/>
        </w:rPr>
        <w:t>7-6</w:t>
      </w:r>
      <w:r w:rsidRPr="00FA0FC2">
        <w:rPr>
          <w:spacing w:val="4"/>
          <w:sz w:val="30"/>
          <w:rtl/>
          <w:lang w:val="fr-CH"/>
        </w:rPr>
        <w:tab/>
      </w:r>
      <w:r w:rsidRPr="00FA0FC2">
        <w:rPr>
          <w:rStyle w:val="hps"/>
          <w:sz w:val="30"/>
          <w:rtl/>
          <w:lang/>
        </w:rPr>
        <w:t xml:space="preserve">وتلاحظ اللجنة </w:t>
      </w:r>
      <w:r w:rsidRPr="00FA0FC2">
        <w:rPr>
          <w:rStyle w:val="hps"/>
          <w:rFonts w:hint="cs"/>
          <w:sz w:val="30"/>
          <w:rtl/>
          <w:lang/>
        </w:rPr>
        <w:t>كذلك</w:t>
      </w:r>
      <w:r w:rsidRPr="00FA0FC2">
        <w:rPr>
          <w:sz w:val="30"/>
          <w:rtl/>
          <w:lang/>
        </w:rPr>
        <w:t xml:space="preserve"> </w:t>
      </w:r>
      <w:r w:rsidRPr="00FA0FC2">
        <w:rPr>
          <w:rStyle w:val="hps"/>
          <w:sz w:val="30"/>
          <w:rtl/>
          <w:lang/>
        </w:rPr>
        <w:t>ادعاءات</w:t>
      </w:r>
      <w:r w:rsidRPr="00FA0FC2">
        <w:rPr>
          <w:sz w:val="30"/>
          <w:rtl/>
          <w:lang/>
        </w:rPr>
        <w:t xml:space="preserve"> </w:t>
      </w:r>
      <w:r w:rsidRPr="00FA0FC2">
        <w:rPr>
          <w:rStyle w:val="hps"/>
          <w:sz w:val="30"/>
          <w:rtl/>
          <w:lang/>
        </w:rPr>
        <w:t>صاحب ال</w:t>
      </w:r>
      <w:r w:rsidRPr="00FA0FC2">
        <w:rPr>
          <w:rStyle w:val="hps"/>
          <w:rFonts w:hint="cs"/>
          <w:sz w:val="30"/>
          <w:rtl/>
          <w:lang/>
        </w:rPr>
        <w:t>شكوى</w:t>
      </w:r>
      <w:r w:rsidRPr="00FA0FC2">
        <w:rPr>
          <w:rStyle w:val="hps"/>
          <w:sz w:val="30"/>
          <w:rtl/>
          <w:lang/>
        </w:rPr>
        <w:t xml:space="preserve"> الأول</w:t>
      </w:r>
      <w:r w:rsidRPr="00FA0FC2">
        <w:rPr>
          <w:sz w:val="30"/>
          <w:rtl/>
          <w:lang/>
        </w:rPr>
        <w:t xml:space="preserve"> </w:t>
      </w:r>
      <w:r w:rsidRPr="00FA0FC2">
        <w:rPr>
          <w:rStyle w:val="hps"/>
          <w:rFonts w:hint="cs"/>
          <w:sz w:val="30"/>
          <w:rtl/>
          <w:lang/>
        </w:rPr>
        <w:t>بشأن اشتراكه</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أنشطة</w:t>
      </w:r>
      <w:r w:rsidRPr="00FA0FC2">
        <w:rPr>
          <w:sz w:val="30"/>
          <w:rtl/>
          <w:lang/>
        </w:rPr>
        <w:t xml:space="preserve"> </w:t>
      </w:r>
      <w:r w:rsidRPr="00FA0FC2">
        <w:rPr>
          <w:rStyle w:val="hps"/>
          <w:sz w:val="30"/>
          <w:rtl/>
          <w:lang/>
        </w:rPr>
        <w:t>التجمع الديمقراطي الجنوبي</w:t>
      </w:r>
      <w:r w:rsidRPr="00FA0FC2">
        <w:rPr>
          <w:sz w:val="30"/>
          <w:rtl/>
          <w:lang/>
        </w:rPr>
        <w:t xml:space="preserve">. </w:t>
      </w:r>
      <w:r w:rsidRPr="00FA0FC2">
        <w:rPr>
          <w:rStyle w:val="hps"/>
          <w:sz w:val="30"/>
          <w:rtl/>
          <w:lang/>
        </w:rPr>
        <w:t>وتلاحظ اللجنة</w:t>
      </w:r>
      <w:r w:rsidRPr="00FA0FC2">
        <w:rPr>
          <w:sz w:val="30"/>
          <w:rtl/>
          <w:lang/>
        </w:rPr>
        <w:t xml:space="preserve">، </w:t>
      </w:r>
      <w:r w:rsidRPr="00FA0FC2">
        <w:rPr>
          <w:rStyle w:val="hps"/>
          <w:sz w:val="30"/>
          <w:rtl/>
          <w:lang/>
        </w:rPr>
        <w:t>على وجه ال</w:t>
      </w:r>
      <w:r w:rsidRPr="00FA0FC2">
        <w:rPr>
          <w:rStyle w:val="hps"/>
          <w:rFonts w:hint="cs"/>
          <w:sz w:val="30"/>
          <w:rtl/>
          <w:lang/>
        </w:rPr>
        <w:t>تحديد</w:t>
      </w:r>
      <w:r w:rsidRPr="00FA0FC2">
        <w:rPr>
          <w:rStyle w:val="hps"/>
          <w:sz w:val="30"/>
          <w:rtl/>
          <w:lang/>
        </w:rPr>
        <w:t>،</w:t>
      </w:r>
      <w:r w:rsidRPr="00FA0FC2">
        <w:rPr>
          <w:sz w:val="30"/>
          <w:rtl/>
          <w:lang/>
        </w:rPr>
        <w:t xml:space="preserve"> </w:t>
      </w:r>
      <w:r w:rsidRPr="00FA0FC2">
        <w:rPr>
          <w:rStyle w:val="hps"/>
          <w:sz w:val="30"/>
          <w:rtl/>
          <w:lang/>
        </w:rPr>
        <w:t>أن</w:t>
      </w:r>
      <w:r w:rsidRPr="00FA0FC2">
        <w:rPr>
          <w:rStyle w:val="hps"/>
          <w:rFonts w:hint="cs"/>
          <w:sz w:val="30"/>
          <w:rtl/>
          <w:lang/>
        </w:rPr>
        <w:t>ه</w:t>
      </w:r>
      <w:r w:rsidRPr="00FA0FC2">
        <w:rPr>
          <w:sz w:val="30"/>
          <w:rtl/>
          <w:lang/>
        </w:rPr>
        <w:t xml:space="preserve"> </w:t>
      </w:r>
      <w:r w:rsidRPr="00FA0FC2">
        <w:rPr>
          <w:rStyle w:val="hps"/>
          <w:sz w:val="30"/>
          <w:rtl/>
          <w:lang/>
        </w:rPr>
        <w:t>يدعي</w:t>
      </w:r>
      <w:r w:rsidRPr="00FA0FC2">
        <w:rPr>
          <w:sz w:val="30"/>
          <w:rtl/>
          <w:lang/>
        </w:rPr>
        <w:t xml:space="preserve"> </w:t>
      </w:r>
      <w:r w:rsidRPr="00FA0FC2">
        <w:rPr>
          <w:rStyle w:val="hps"/>
          <w:rFonts w:hint="cs"/>
          <w:sz w:val="30"/>
          <w:rtl/>
          <w:lang/>
        </w:rPr>
        <w:t>تولي منصب هام</w:t>
      </w:r>
      <w:r w:rsidRPr="00FA0FC2">
        <w:rPr>
          <w:sz w:val="30"/>
          <w:rtl/>
          <w:lang/>
        </w:rPr>
        <w:t xml:space="preserve"> </w:t>
      </w:r>
      <w:r w:rsidRPr="00FA0FC2">
        <w:rPr>
          <w:rStyle w:val="hps"/>
          <w:sz w:val="30"/>
          <w:rtl/>
          <w:lang/>
        </w:rPr>
        <w:t>في</w:t>
      </w:r>
      <w:r w:rsidRPr="00FA0FC2">
        <w:rPr>
          <w:sz w:val="30"/>
          <w:rtl/>
          <w:lang/>
        </w:rPr>
        <w:t xml:space="preserve"> </w:t>
      </w:r>
      <w:r w:rsidRPr="00FA0FC2">
        <w:rPr>
          <w:rStyle w:val="hps"/>
          <w:sz w:val="30"/>
          <w:rtl/>
          <w:lang/>
        </w:rPr>
        <w:t>التجمع الديمقراطي الجنوبي</w:t>
      </w:r>
      <w:r w:rsidRPr="00FA0FC2">
        <w:rPr>
          <w:sz w:val="30"/>
          <w:rtl/>
          <w:lang/>
        </w:rPr>
        <w:t xml:space="preserve"> </w:t>
      </w:r>
      <w:r w:rsidRPr="00FA0FC2">
        <w:rPr>
          <w:rStyle w:val="hps"/>
          <w:sz w:val="30"/>
          <w:rtl/>
          <w:lang/>
        </w:rPr>
        <w:t>في كانتون</w:t>
      </w:r>
      <w:r w:rsidRPr="00FA0FC2">
        <w:rPr>
          <w:sz w:val="30"/>
          <w:rtl/>
          <w:lang/>
        </w:rPr>
        <w:t xml:space="preserve"> </w:t>
      </w:r>
      <w:r w:rsidRPr="00FA0FC2">
        <w:rPr>
          <w:rStyle w:val="hps"/>
          <w:sz w:val="30"/>
          <w:rtl/>
          <w:lang/>
        </w:rPr>
        <w:t>فريبورغ</w:t>
      </w:r>
      <w:r w:rsidRPr="00FA0FC2">
        <w:rPr>
          <w:sz w:val="30"/>
          <w:rtl/>
          <w:lang/>
        </w:rPr>
        <w:t xml:space="preserve">، </w:t>
      </w:r>
      <w:r w:rsidRPr="00FA0FC2">
        <w:rPr>
          <w:rStyle w:val="hps"/>
          <w:sz w:val="30"/>
          <w:rtl/>
          <w:lang/>
        </w:rPr>
        <w:t>مع</w:t>
      </w:r>
      <w:r w:rsidRPr="00FA0FC2">
        <w:rPr>
          <w:rStyle w:val="hps"/>
          <w:rFonts w:hint="cs"/>
          <w:sz w:val="30"/>
          <w:rtl/>
          <w:lang/>
        </w:rPr>
        <w:t xml:space="preserve"> ارتباط</w:t>
      </w:r>
      <w:r w:rsidRPr="00FA0FC2">
        <w:rPr>
          <w:sz w:val="30"/>
          <w:rtl/>
          <w:lang/>
        </w:rPr>
        <w:t xml:space="preserve"> </w:t>
      </w:r>
      <w:r w:rsidRPr="00FA0FC2">
        <w:rPr>
          <w:rStyle w:val="hps"/>
          <w:sz w:val="30"/>
          <w:rtl/>
          <w:lang/>
        </w:rPr>
        <w:t xml:space="preserve">اسمه </w:t>
      </w:r>
      <w:r w:rsidRPr="00FA0FC2">
        <w:rPr>
          <w:rStyle w:val="hps"/>
          <w:rFonts w:hint="cs"/>
          <w:sz w:val="30"/>
          <w:rtl/>
          <w:lang/>
        </w:rPr>
        <w:t>وصوره</w:t>
      </w:r>
      <w:r w:rsidRPr="00FA0FC2">
        <w:rPr>
          <w:sz w:val="30"/>
          <w:rtl/>
          <w:lang/>
        </w:rPr>
        <w:t xml:space="preserve"> </w:t>
      </w:r>
      <w:r w:rsidRPr="00FA0FC2">
        <w:rPr>
          <w:rFonts w:hint="cs"/>
          <w:sz w:val="30"/>
          <w:rtl/>
          <w:lang/>
        </w:rPr>
        <w:t>ب</w:t>
      </w:r>
      <w:r w:rsidRPr="00FA0FC2">
        <w:rPr>
          <w:rStyle w:val="hps"/>
          <w:sz w:val="30"/>
          <w:rtl/>
          <w:lang/>
        </w:rPr>
        <w:t xml:space="preserve">هذه المنظمة </w:t>
      </w:r>
      <w:r w:rsidRPr="000A5876">
        <w:rPr>
          <w:rStyle w:val="hps"/>
          <w:spacing w:val="-2"/>
          <w:sz w:val="30"/>
          <w:rtl/>
          <w:lang/>
        </w:rPr>
        <w:t>و</w:t>
      </w:r>
      <w:r w:rsidRPr="000A5876">
        <w:rPr>
          <w:spacing w:val="-2"/>
          <w:sz w:val="30"/>
          <w:rtl/>
          <w:lang/>
        </w:rPr>
        <w:t>نشر</w:t>
      </w:r>
      <w:r w:rsidRPr="000A5876">
        <w:rPr>
          <w:rFonts w:hint="cs"/>
          <w:spacing w:val="-2"/>
          <w:sz w:val="30"/>
          <w:rtl/>
          <w:lang/>
        </w:rPr>
        <w:t xml:space="preserve"> ذلك</w:t>
      </w:r>
      <w:r w:rsidRPr="000A5876">
        <w:rPr>
          <w:spacing w:val="-2"/>
          <w:sz w:val="30"/>
          <w:rtl/>
          <w:lang/>
        </w:rPr>
        <w:t xml:space="preserve"> </w:t>
      </w:r>
      <w:r w:rsidRPr="000A5876">
        <w:rPr>
          <w:rStyle w:val="hps"/>
          <w:spacing w:val="-2"/>
          <w:sz w:val="30"/>
          <w:rtl/>
          <w:lang/>
        </w:rPr>
        <w:t>على الإنترنت.</w:t>
      </w:r>
      <w:r w:rsidRPr="000A5876">
        <w:rPr>
          <w:spacing w:val="-2"/>
          <w:sz w:val="30"/>
          <w:rtl/>
          <w:lang/>
        </w:rPr>
        <w:t xml:space="preserve"> </w:t>
      </w:r>
      <w:r w:rsidRPr="000A5876">
        <w:rPr>
          <w:rStyle w:val="hps"/>
          <w:spacing w:val="-2"/>
          <w:sz w:val="30"/>
          <w:rtl/>
          <w:lang/>
        </w:rPr>
        <w:t>وتلاحظ اللجنة كذلك</w:t>
      </w:r>
      <w:r w:rsidRPr="000A5876">
        <w:rPr>
          <w:spacing w:val="-2"/>
          <w:sz w:val="30"/>
          <w:rtl/>
          <w:lang/>
        </w:rPr>
        <w:t xml:space="preserve"> </w:t>
      </w:r>
      <w:r w:rsidRPr="000A5876">
        <w:rPr>
          <w:rStyle w:val="hps"/>
          <w:spacing w:val="-2"/>
          <w:sz w:val="30"/>
          <w:rtl/>
          <w:lang/>
        </w:rPr>
        <w:t>ادعاء</w:t>
      </w:r>
      <w:r w:rsidRPr="000A5876">
        <w:rPr>
          <w:spacing w:val="-2"/>
          <w:sz w:val="30"/>
          <w:rtl/>
          <w:lang/>
        </w:rPr>
        <w:t xml:space="preserve"> </w:t>
      </w:r>
      <w:r w:rsidRPr="000A5876">
        <w:rPr>
          <w:rStyle w:val="hps"/>
          <w:spacing w:val="-2"/>
          <w:sz w:val="30"/>
          <w:rtl/>
          <w:lang/>
        </w:rPr>
        <w:t>صاحب ال</w:t>
      </w:r>
      <w:r w:rsidRPr="000A5876">
        <w:rPr>
          <w:rStyle w:val="hps"/>
          <w:rFonts w:hint="cs"/>
          <w:spacing w:val="-2"/>
          <w:sz w:val="30"/>
          <w:rtl/>
          <w:lang/>
        </w:rPr>
        <w:t>شكوى</w:t>
      </w:r>
      <w:r w:rsidRPr="000A5876">
        <w:rPr>
          <w:rStyle w:val="hps"/>
          <w:spacing w:val="-2"/>
          <w:sz w:val="30"/>
          <w:rtl/>
          <w:lang/>
        </w:rPr>
        <w:t xml:space="preserve"> الأول</w:t>
      </w:r>
      <w:r w:rsidRPr="000A5876">
        <w:rPr>
          <w:spacing w:val="-2"/>
          <w:sz w:val="30"/>
          <w:rtl/>
          <w:lang/>
        </w:rPr>
        <w:t xml:space="preserve"> </w:t>
      </w:r>
      <w:r w:rsidRPr="000A5876">
        <w:rPr>
          <w:rStyle w:val="hps"/>
          <w:spacing w:val="-2"/>
          <w:sz w:val="30"/>
          <w:rtl/>
          <w:lang/>
        </w:rPr>
        <w:t>أنه</w:t>
      </w:r>
      <w:r w:rsidRPr="000A5876">
        <w:rPr>
          <w:spacing w:val="-2"/>
          <w:sz w:val="30"/>
          <w:rtl/>
          <w:lang/>
        </w:rPr>
        <w:t xml:space="preserve"> </w:t>
      </w:r>
      <w:r w:rsidRPr="000A5876">
        <w:rPr>
          <w:rStyle w:val="hps"/>
          <w:spacing w:val="-2"/>
          <w:sz w:val="30"/>
          <w:rtl/>
          <w:lang/>
        </w:rPr>
        <w:t>ي</w:t>
      </w:r>
      <w:r w:rsidRPr="000A5876">
        <w:rPr>
          <w:rStyle w:val="hps"/>
          <w:rFonts w:hint="cs"/>
          <w:spacing w:val="-2"/>
          <w:sz w:val="30"/>
          <w:rtl/>
          <w:lang/>
        </w:rPr>
        <w:t>نحدر</w:t>
      </w:r>
      <w:r w:rsidRPr="000A5876">
        <w:rPr>
          <w:rStyle w:val="hps"/>
          <w:spacing w:val="-2"/>
          <w:sz w:val="30"/>
          <w:rtl/>
          <w:lang/>
        </w:rPr>
        <w:t xml:space="preserve"> من عائلة</w:t>
      </w:r>
      <w:r w:rsidRPr="000A5876">
        <w:rPr>
          <w:spacing w:val="-2"/>
          <w:sz w:val="30"/>
          <w:rtl/>
          <w:lang/>
        </w:rPr>
        <w:t xml:space="preserve"> </w:t>
      </w:r>
      <w:r w:rsidRPr="000A5876">
        <w:rPr>
          <w:rStyle w:val="hps"/>
          <w:spacing w:val="-2"/>
          <w:sz w:val="30"/>
          <w:rtl/>
          <w:lang/>
        </w:rPr>
        <w:t>ناشطة سياسيا</w:t>
      </w:r>
      <w:r w:rsidRPr="000A5876">
        <w:rPr>
          <w:rStyle w:val="hps"/>
          <w:rFonts w:hint="cs"/>
          <w:spacing w:val="-2"/>
          <w:sz w:val="30"/>
          <w:rtl/>
          <w:lang/>
        </w:rPr>
        <w:t>ً</w:t>
      </w:r>
      <w:r w:rsidRPr="000A5876">
        <w:rPr>
          <w:spacing w:val="-2"/>
          <w:sz w:val="30"/>
          <w:rtl/>
          <w:lang/>
        </w:rPr>
        <w:t xml:space="preserve"> </w:t>
      </w:r>
      <w:r w:rsidRPr="000A5876">
        <w:rPr>
          <w:rStyle w:val="hps"/>
          <w:spacing w:val="-2"/>
          <w:sz w:val="30"/>
          <w:rtl/>
          <w:lang/>
        </w:rPr>
        <w:t>و</w:t>
      </w:r>
      <w:r w:rsidRPr="000A5876">
        <w:rPr>
          <w:spacing w:val="-2"/>
          <w:sz w:val="30"/>
          <w:rtl/>
          <w:lang/>
        </w:rPr>
        <w:t xml:space="preserve">أن </w:t>
      </w:r>
      <w:r w:rsidRPr="000A5876">
        <w:rPr>
          <w:rStyle w:val="hps"/>
          <w:spacing w:val="-2"/>
          <w:sz w:val="30"/>
          <w:rtl/>
          <w:lang/>
        </w:rPr>
        <w:t>اسم</w:t>
      </w:r>
      <w:r w:rsidRPr="000A5876">
        <w:rPr>
          <w:rStyle w:val="hps"/>
          <w:rFonts w:hint="cs"/>
          <w:spacing w:val="-2"/>
          <w:sz w:val="30"/>
          <w:rtl/>
          <w:lang/>
        </w:rPr>
        <w:t xml:space="preserve">ه العائلي سيكون وحده كافياً لإثارة شبهات </w:t>
      </w:r>
      <w:r w:rsidRPr="000A5876">
        <w:rPr>
          <w:rStyle w:val="hps"/>
          <w:spacing w:val="-2"/>
          <w:sz w:val="30"/>
          <w:rtl/>
          <w:lang/>
        </w:rPr>
        <w:t>السلطات</w:t>
      </w:r>
      <w:r w:rsidRPr="00FA0FC2">
        <w:rPr>
          <w:sz w:val="30"/>
          <w:rtl/>
          <w:lang/>
        </w:rPr>
        <w:t xml:space="preserve"> </w:t>
      </w:r>
      <w:r w:rsidRPr="00FA0FC2">
        <w:rPr>
          <w:rStyle w:val="hps"/>
          <w:sz w:val="30"/>
          <w:rtl/>
          <w:lang/>
        </w:rPr>
        <w:t>اليمنية</w:t>
      </w:r>
      <w:r w:rsidRPr="00FA0FC2">
        <w:rPr>
          <w:rFonts w:hint="cs"/>
          <w:sz w:val="30"/>
          <w:rtl/>
          <w:lang/>
        </w:rPr>
        <w:t>.</w:t>
      </w:r>
      <w:r>
        <w:rPr>
          <w:rFonts w:hint="cs"/>
          <w:rtl/>
          <w:lang w:val="fr-CH"/>
        </w:rPr>
        <w:t xml:space="preserve"> إلا</w:t>
      </w:r>
      <w:r>
        <w:rPr>
          <w:rtl/>
          <w:lang w:val="fr-CH"/>
        </w:rPr>
        <w:t> </w:t>
      </w:r>
      <w:r w:rsidRPr="00FA0FC2">
        <w:rPr>
          <w:rFonts w:hint="cs"/>
          <w:rtl/>
          <w:lang w:val="fr-CH"/>
        </w:rPr>
        <w:t>أنها تلاحظ أن صاحب الشكوى الأول</w:t>
      </w:r>
      <w:r>
        <w:rPr>
          <w:rFonts w:hint="cs"/>
          <w:rtl/>
          <w:lang w:val="fr-CH"/>
        </w:rPr>
        <w:t xml:space="preserve"> لم</w:t>
      </w:r>
      <w:r>
        <w:rPr>
          <w:rtl/>
          <w:lang w:val="fr-CH"/>
        </w:rPr>
        <w:t> </w:t>
      </w:r>
      <w:r w:rsidRPr="00FA0FC2">
        <w:rPr>
          <w:rFonts w:hint="cs"/>
          <w:rtl/>
          <w:lang w:val="fr-CH"/>
        </w:rPr>
        <w:t>يدعم هذا الادعاء بمزيد من التفاصيل</w:t>
      </w:r>
      <w:r>
        <w:rPr>
          <w:rFonts w:hint="cs"/>
          <w:rtl/>
          <w:lang w:val="fr-CH"/>
        </w:rPr>
        <w:t xml:space="preserve"> ولم</w:t>
      </w:r>
      <w:r>
        <w:rPr>
          <w:rtl/>
          <w:lang w:val="fr-CH"/>
        </w:rPr>
        <w:t> </w:t>
      </w:r>
      <w:r w:rsidRPr="00FA0FC2">
        <w:rPr>
          <w:rFonts w:hint="cs"/>
          <w:rtl/>
          <w:lang w:val="fr-CH"/>
        </w:rPr>
        <w:t>يقدم أي أدلة تثبته.</w:t>
      </w:r>
      <w:r>
        <w:rPr>
          <w:rFonts w:hint="cs"/>
          <w:rtl/>
          <w:lang w:val="fr-CH"/>
        </w:rPr>
        <w:t xml:space="preserve"> وفي</w:t>
      </w:r>
      <w:r>
        <w:rPr>
          <w:rtl/>
          <w:lang w:val="fr-CH"/>
        </w:rPr>
        <w:t> </w:t>
      </w:r>
      <w:r w:rsidRPr="00FA0FC2">
        <w:rPr>
          <w:rFonts w:hint="cs"/>
          <w:rtl/>
          <w:lang w:val="fr-CH"/>
        </w:rPr>
        <w:t>رأي اللجنة، فإنّ صاحب الشكوى الأول</w:t>
      </w:r>
      <w:r>
        <w:rPr>
          <w:rFonts w:hint="cs"/>
          <w:rtl/>
          <w:lang w:val="fr-CH"/>
        </w:rPr>
        <w:t xml:space="preserve"> لم</w:t>
      </w:r>
      <w:r>
        <w:rPr>
          <w:rtl/>
          <w:lang w:val="fr-CH"/>
        </w:rPr>
        <w:t> </w:t>
      </w:r>
      <w:r w:rsidRPr="00FA0FC2">
        <w:rPr>
          <w:rFonts w:hint="cs"/>
          <w:rtl/>
          <w:lang w:val="fr-CH"/>
        </w:rPr>
        <w:t>يقدم أدلة كافية على تنظيم أي نشاط سياسي في سويسرا يبلغ درجة من الأهمية يصبح معها صاحب الشكوى محل اهتمام السلطات اليمنية</w:t>
      </w:r>
      <w:r>
        <w:rPr>
          <w:rFonts w:hint="cs"/>
          <w:rtl/>
          <w:lang w:val="fr-CH"/>
        </w:rPr>
        <w:t xml:space="preserve"> أو</w:t>
      </w:r>
      <w:r>
        <w:rPr>
          <w:rtl/>
          <w:lang w:val="fr-CH"/>
        </w:rPr>
        <w:t> </w:t>
      </w:r>
      <w:r w:rsidRPr="00FA0FC2">
        <w:rPr>
          <w:rFonts w:hint="cs"/>
          <w:rtl/>
          <w:lang w:val="fr-CH"/>
        </w:rPr>
        <w:t>أية أدلة أخرى تثبت أن السلطات في وطنه تبحث عنه</w:t>
      </w:r>
      <w:r>
        <w:rPr>
          <w:rFonts w:hint="cs"/>
          <w:rtl/>
          <w:lang w:val="fr-CH"/>
        </w:rPr>
        <w:t xml:space="preserve"> أو</w:t>
      </w:r>
      <w:r>
        <w:rPr>
          <w:rtl/>
          <w:lang w:val="fr-CH"/>
        </w:rPr>
        <w:t> </w:t>
      </w:r>
      <w:r w:rsidRPr="00FA0FC2">
        <w:rPr>
          <w:rFonts w:hint="cs"/>
          <w:rtl/>
          <w:lang w:val="fr-CH"/>
        </w:rPr>
        <w:t>أنه سيواجه شخصياً خطر التعذيب في حال إعادته إلى اليمن.</w:t>
      </w:r>
    </w:p>
    <w:p w:rsidR="00091373" w:rsidRPr="00E64023" w:rsidRDefault="00091373" w:rsidP="00091373">
      <w:pPr>
        <w:pStyle w:val="SingleTxtGA"/>
        <w:rPr>
          <w:rStyle w:val="hps"/>
          <w:rFonts w:hint="cs"/>
          <w:spacing w:val="-4"/>
          <w:rtl/>
        </w:rPr>
      </w:pPr>
      <w:r w:rsidRPr="00E64023">
        <w:rPr>
          <w:spacing w:val="-4"/>
          <w:sz w:val="30"/>
          <w:rtl/>
          <w:lang w:val="fr-CH"/>
        </w:rPr>
        <w:t>7-</w:t>
      </w:r>
      <w:r w:rsidRPr="00E64023">
        <w:rPr>
          <w:rFonts w:hint="cs"/>
          <w:spacing w:val="-4"/>
          <w:sz w:val="30"/>
          <w:rtl/>
          <w:lang w:val="fr-CH"/>
        </w:rPr>
        <w:t>7</w:t>
      </w:r>
      <w:r w:rsidRPr="00E64023">
        <w:rPr>
          <w:spacing w:val="-4"/>
          <w:sz w:val="30"/>
          <w:rtl/>
          <w:lang w:val="fr-CH"/>
        </w:rPr>
        <w:tab/>
      </w:r>
      <w:r w:rsidRPr="00E64023">
        <w:rPr>
          <w:rFonts w:hint="cs"/>
          <w:spacing w:val="-4"/>
          <w:rtl/>
          <w:lang w:val="fr-CH"/>
        </w:rPr>
        <w:t>وعليه، تستنتج اللجنة أن المعلومات التي قدمها صاحب الشكوى الأول، وشملت أنشطته السياسية غير الواضحة في اليمن قبل مغادرته البلد وأنشطته السياسية القليلة الأهمية في سويسرا، ليست كافية لإثبات تعرضه شخصياً لخطر التعذيب في حال إعادته إلى اليمن. وتعبر اللجنة عن قلقها إزاء التقارير العديدة المقدمة عن انتهاكات حقوق الإنسان، بما</w:t>
      </w:r>
      <w:r w:rsidRPr="00E64023">
        <w:rPr>
          <w:spacing w:val="-4"/>
          <w:rtl/>
          <w:lang w:val="fr-CH"/>
        </w:rPr>
        <w:t> </w:t>
      </w:r>
      <w:r w:rsidRPr="00E64023">
        <w:rPr>
          <w:rFonts w:hint="cs"/>
          <w:spacing w:val="-4"/>
          <w:rtl/>
          <w:lang w:val="fr-CH"/>
        </w:rPr>
        <w:t>في ذلك اللجوء إلى التعذيب في اليمن</w:t>
      </w:r>
      <w:r w:rsidRPr="00E64023">
        <w:rPr>
          <w:spacing w:val="-4"/>
          <w:sz w:val="30"/>
          <w:vertAlign w:val="superscript"/>
          <w:rtl/>
          <w:lang w:val="fr-CH"/>
        </w:rPr>
        <w:t>(</w:t>
      </w:r>
      <w:r w:rsidRPr="00E64023">
        <w:rPr>
          <w:rStyle w:val="FootnoteReference"/>
          <w:spacing w:val="-4"/>
          <w:sz w:val="30"/>
          <w:rtl/>
          <w:lang w:val="fr-CH"/>
        </w:rPr>
        <w:footnoteReference w:id="266"/>
      </w:r>
      <w:r w:rsidRPr="00E64023">
        <w:rPr>
          <w:spacing w:val="-4"/>
          <w:sz w:val="30"/>
          <w:vertAlign w:val="superscript"/>
          <w:rtl/>
          <w:lang w:val="fr-CH"/>
        </w:rPr>
        <w:t>)</w:t>
      </w:r>
      <w:r w:rsidRPr="00E64023">
        <w:rPr>
          <w:rFonts w:hint="cs"/>
          <w:spacing w:val="-4"/>
          <w:rtl/>
          <w:lang w:val="fr-CH"/>
        </w:rPr>
        <w:t>، لكنها تذكر بأنه يجب أن يتعرض الفرد المعني لخطر تعذيب متوقع وحقيقي وشخصي في البلد الذي يعاد إليه لأغراض المادة</w:t>
      </w:r>
      <w:r w:rsidRPr="00E64023">
        <w:rPr>
          <w:spacing w:val="-4"/>
          <w:rtl/>
          <w:lang w:val="fr-CH"/>
        </w:rPr>
        <w:t> </w:t>
      </w:r>
      <w:r w:rsidRPr="00E64023">
        <w:rPr>
          <w:rFonts w:hint="cs"/>
          <w:spacing w:val="-4"/>
          <w:rtl/>
          <w:lang w:val="fr-CH"/>
        </w:rPr>
        <w:t>3 من الاتفاقية. وفي</w:t>
      </w:r>
      <w:r w:rsidRPr="00E64023">
        <w:rPr>
          <w:spacing w:val="-4"/>
          <w:rtl/>
          <w:lang w:val="fr-CH"/>
        </w:rPr>
        <w:t> </w:t>
      </w:r>
      <w:r w:rsidRPr="00E64023">
        <w:rPr>
          <w:rFonts w:hint="cs"/>
          <w:spacing w:val="-4"/>
          <w:rtl/>
          <w:lang w:val="fr-CH"/>
        </w:rPr>
        <w:t>ضوء ما</w:t>
      </w:r>
      <w:r w:rsidRPr="00E64023">
        <w:rPr>
          <w:spacing w:val="-4"/>
          <w:rtl/>
          <w:lang w:val="fr-CH"/>
        </w:rPr>
        <w:t> </w:t>
      </w:r>
      <w:r w:rsidRPr="00E64023">
        <w:rPr>
          <w:rFonts w:hint="cs"/>
          <w:spacing w:val="-4"/>
          <w:rtl/>
          <w:lang w:val="fr-CH"/>
        </w:rPr>
        <w:t>تقدَّم ذكره، ترى اللجنة أنه لم</w:t>
      </w:r>
      <w:r w:rsidRPr="00E64023">
        <w:rPr>
          <w:spacing w:val="-4"/>
          <w:rtl/>
          <w:lang w:val="fr-CH"/>
        </w:rPr>
        <w:t> </w:t>
      </w:r>
      <w:r w:rsidRPr="00E64023">
        <w:rPr>
          <w:rFonts w:hint="cs"/>
          <w:spacing w:val="-4"/>
          <w:rtl/>
          <w:lang w:val="fr-CH"/>
        </w:rPr>
        <w:t>يثبت وجود خطر من هذا القبيل.</w:t>
      </w:r>
    </w:p>
    <w:p w:rsidR="00091373" w:rsidRPr="00FA0FC2" w:rsidRDefault="00091373" w:rsidP="00091373">
      <w:pPr>
        <w:pStyle w:val="SingleTxtGA"/>
        <w:rPr>
          <w:rFonts w:hint="cs"/>
          <w:sz w:val="30"/>
          <w:rtl/>
          <w:lang/>
        </w:rPr>
      </w:pPr>
      <w:r w:rsidRPr="00FA0FC2">
        <w:rPr>
          <w:spacing w:val="4"/>
          <w:sz w:val="30"/>
          <w:rtl/>
          <w:lang w:val="fr-CH"/>
        </w:rPr>
        <w:t>7-</w:t>
      </w:r>
      <w:r w:rsidRPr="00FA0FC2">
        <w:rPr>
          <w:rFonts w:hint="cs"/>
          <w:spacing w:val="4"/>
          <w:sz w:val="30"/>
          <w:rtl/>
          <w:lang w:val="fr-CH"/>
        </w:rPr>
        <w:t>8</w:t>
      </w:r>
      <w:r w:rsidRPr="00FA0FC2">
        <w:rPr>
          <w:spacing w:val="4"/>
          <w:sz w:val="30"/>
          <w:rtl/>
          <w:lang w:val="fr-CH"/>
        </w:rPr>
        <w:tab/>
      </w:r>
      <w:r w:rsidRPr="00FA0FC2">
        <w:rPr>
          <w:rStyle w:val="hps"/>
          <w:rFonts w:hint="cs"/>
          <w:sz w:val="30"/>
          <w:rtl/>
          <w:lang/>
        </w:rPr>
        <w:t>وبالنظر إلى أن قضيتي</w:t>
      </w:r>
      <w:r w:rsidRPr="00FA0FC2">
        <w:rPr>
          <w:sz w:val="30"/>
          <w:rtl/>
          <w:lang/>
        </w:rPr>
        <w:t xml:space="preserve"> </w:t>
      </w:r>
      <w:r w:rsidRPr="00FA0FC2">
        <w:rPr>
          <w:rStyle w:val="hps"/>
          <w:sz w:val="30"/>
          <w:rtl/>
          <w:lang/>
        </w:rPr>
        <w:t>زوجة</w:t>
      </w:r>
      <w:r w:rsidRPr="00FA0FC2">
        <w:rPr>
          <w:sz w:val="30"/>
          <w:rtl/>
          <w:lang/>
        </w:rPr>
        <w:t xml:space="preserve"> </w:t>
      </w:r>
      <w:r w:rsidRPr="00FA0FC2">
        <w:rPr>
          <w:rStyle w:val="hps"/>
          <w:sz w:val="30"/>
          <w:rtl/>
          <w:lang/>
        </w:rPr>
        <w:t>صاحب الشكوى</w:t>
      </w:r>
      <w:r w:rsidRPr="00FA0FC2">
        <w:rPr>
          <w:sz w:val="30"/>
          <w:rtl/>
          <w:lang/>
        </w:rPr>
        <w:t xml:space="preserve"> </w:t>
      </w:r>
      <w:r w:rsidRPr="00FA0FC2">
        <w:rPr>
          <w:rStyle w:val="hps"/>
          <w:sz w:val="30"/>
          <w:rtl/>
          <w:lang/>
        </w:rPr>
        <w:t>الأول</w:t>
      </w:r>
      <w:r w:rsidRPr="00FA0FC2">
        <w:rPr>
          <w:sz w:val="30"/>
          <w:rtl/>
          <w:lang/>
        </w:rPr>
        <w:t xml:space="preserve"> </w:t>
      </w:r>
      <w:r w:rsidRPr="00FA0FC2">
        <w:rPr>
          <w:rStyle w:val="hps"/>
          <w:sz w:val="30"/>
          <w:rtl/>
          <w:lang/>
        </w:rPr>
        <w:t>و</w:t>
      </w:r>
      <w:r w:rsidRPr="00FA0FC2">
        <w:rPr>
          <w:sz w:val="30"/>
          <w:rtl/>
          <w:lang/>
        </w:rPr>
        <w:t xml:space="preserve">ابنهما </w:t>
      </w:r>
      <w:r w:rsidRPr="00FA0FC2">
        <w:rPr>
          <w:rStyle w:val="hps"/>
          <w:rFonts w:hint="cs"/>
          <w:sz w:val="30"/>
          <w:rtl/>
          <w:lang/>
        </w:rPr>
        <w:t>ترتبطان</w:t>
      </w:r>
      <w:r w:rsidRPr="00FA0FC2">
        <w:rPr>
          <w:sz w:val="30"/>
          <w:rtl/>
          <w:lang/>
        </w:rPr>
        <w:t xml:space="preserve"> </w:t>
      </w:r>
      <w:r w:rsidRPr="00FA0FC2">
        <w:rPr>
          <w:rFonts w:hint="cs"/>
          <w:sz w:val="30"/>
          <w:rtl/>
          <w:lang/>
        </w:rPr>
        <w:t>ب</w:t>
      </w:r>
      <w:r w:rsidRPr="00FA0FC2">
        <w:rPr>
          <w:rStyle w:val="hps"/>
          <w:sz w:val="30"/>
          <w:rtl/>
          <w:lang/>
        </w:rPr>
        <w:t>قضيته</w:t>
      </w:r>
      <w:r w:rsidRPr="00FA0FC2">
        <w:rPr>
          <w:sz w:val="30"/>
          <w:rtl/>
          <w:lang/>
        </w:rPr>
        <w:t xml:space="preserve">، </w:t>
      </w:r>
      <w:r w:rsidRPr="00FA0FC2">
        <w:rPr>
          <w:rStyle w:val="hps"/>
          <w:sz w:val="30"/>
          <w:rtl/>
          <w:lang/>
        </w:rPr>
        <w:t>فإن اللجنة</w:t>
      </w:r>
      <w:r>
        <w:rPr>
          <w:rStyle w:val="hps"/>
          <w:sz w:val="30"/>
          <w:rtl/>
          <w:lang/>
        </w:rPr>
        <w:t xml:space="preserve"> لا </w:t>
      </w:r>
      <w:r w:rsidRPr="00FA0FC2">
        <w:rPr>
          <w:rStyle w:val="hps"/>
          <w:sz w:val="30"/>
          <w:rtl/>
          <w:lang/>
        </w:rPr>
        <w:t>تجد أنه من</w:t>
      </w:r>
      <w:r w:rsidRPr="00FA0FC2">
        <w:rPr>
          <w:sz w:val="30"/>
          <w:rtl/>
          <w:lang/>
        </w:rPr>
        <w:t xml:space="preserve"> </w:t>
      </w:r>
      <w:r w:rsidRPr="00FA0FC2">
        <w:rPr>
          <w:rStyle w:val="hps"/>
          <w:sz w:val="30"/>
          <w:rtl/>
          <w:lang/>
        </w:rPr>
        <w:t>الضروري النظر في</w:t>
      </w:r>
      <w:r w:rsidRPr="00FA0FC2">
        <w:rPr>
          <w:sz w:val="30"/>
          <w:rtl/>
          <w:lang/>
        </w:rPr>
        <w:t xml:space="preserve"> </w:t>
      </w:r>
      <w:r w:rsidRPr="00FA0FC2">
        <w:rPr>
          <w:rStyle w:val="hps"/>
          <w:rFonts w:hint="cs"/>
          <w:sz w:val="30"/>
          <w:rtl/>
          <w:lang/>
        </w:rPr>
        <w:t>هاتين القضيتين بشكل مستقل.</w:t>
      </w:r>
      <w:r w:rsidRPr="00FA0FC2">
        <w:rPr>
          <w:sz w:val="30"/>
          <w:rtl/>
          <w:lang/>
        </w:rPr>
        <w:t xml:space="preserve"> </w:t>
      </w:r>
    </w:p>
    <w:p w:rsidR="00091373" w:rsidRPr="00FA0FC2" w:rsidRDefault="00091373" w:rsidP="00091373">
      <w:pPr>
        <w:pStyle w:val="SingleTxtGA"/>
        <w:rPr>
          <w:rFonts w:hint="cs"/>
          <w:rtl/>
          <w:lang w:val="fr-CH"/>
        </w:rPr>
      </w:pPr>
      <w:r w:rsidRPr="00FA0FC2">
        <w:rPr>
          <w:rFonts w:hint="cs"/>
          <w:sz w:val="30"/>
          <w:rtl/>
          <w:lang/>
        </w:rPr>
        <w:t>8-</w:t>
      </w:r>
      <w:r w:rsidRPr="00FA0FC2">
        <w:rPr>
          <w:rFonts w:hint="cs"/>
          <w:sz w:val="30"/>
          <w:rtl/>
          <w:lang/>
        </w:rPr>
        <w:tab/>
      </w:r>
      <w:r w:rsidRPr="00FA0FC2">
        <w:rPr>
          <w:rFonts w:hint="cs"/>
          <w:rtl/>
          <w:lang w:val="fr-CH"/>
        </w:rPr>
        <w:t>وفي ضوء</w:t>
      </w:r>
      <w:r>
        <w:rPr>
          <w:rFonts w:hint="cs"/>
          <w:rtl/>
          <w:lang w:val="fr-CH"/>
        </w:rPr>
        <w:t xml:space="preserve"> ما</w:t>
      </w:r>
      <w:r>
        <w:rPr>
          <w:rtl/>
          <w:lang w:val="fr-CH"/>
        </w:rPr>
        <w:t> </w:t>
      </w:r>
      <w:r w:rsidRPr="00FA0FC2">
        <w:rPr>
          <w:rFonts w:hint="cs"/>
          <w:rtl/>
          <w:lang w:val="fr-CH"/>
        </w:rPr>
        <w:t>ورد ذكره أعلاه، تخلص لجنة مناهضة التعذيب، وهي تتصرف عملاً بالفقرة 7 من ال</w:t>
      </w:r>
      <w:r>
        <w:rPr>
          <w:rFonts w:hint="cs"/>
          <w:rtl/>
          <w:lang w:val="fr-CH"/>
        </w:rPr>
        <w:t>مادة</w:t>
      </w:r>
      <w:r>
        <w:rPr>
          <w:rtl/>
          <w:lang w:val="fr-CH"/>
        </w:rPr>
        <w:t> </w:t>
      </w:r>
      <w:r w:rsidRPr="00FA0FC2">
        <w:rPr>
          <w:rFonts w:hint="cs"/>
          <w:rtl/>
          <w:lang w:val="fr-CH"/>
        </w:rPr>
        <w:t>22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المهينة، إلى أن القرار الذي اتخذته الدولة الطرف بشأن إعادة أصحاب الشكوى إلى اليمن</w:t>
      </w:r>
      <w:r>
        <w:rPr>
          <w:rFonts w:hint="cs"/>
          <w:rtl/>
          <w:lang w:val="fr-CH"/>
        </w:rPr>
        <w:t xml:space="preserve"> لا</w:t>
      </w:r>
      <w:r>
        <w:rPr>
          <w:rtl/>
          <w:lang w:val="fr-CH"/>
        </w:rPr>
        <w:t> </w:t>
      </w:r>
      <w:r w:rsidRPr="00FA0FC2">
        <w:rPr>
          <w:rFonts w:hint="cs"/>
          <w:rtl/>
          <w:lang w:val="fr-CH"/>
        </w:rPr>
        <w:t>يشكل انتهاكاً لل</w:t>
      </w:r>
      <w:r>
        <w:rPr>
          <w:rFonts w:hint="cs"/>
          <w:rtl/>
          <w:lang w:val="fr-CH"/>
        </w:rPr>
        <w:t>مادة</w:t>
      </w:r>
      <w:r>
        <w:rPr>
          <w:rtl/>
          <w:lang w:val="fr-CH"/>
        </w:rPr>
        <w:t> </w:t>
      </w:r>
      <w:r w:rsidRPr="00FA0FC2">
        <w:rPr>
          <w:rFonts w:hint="cs"/>
          <w:rtl/>
          <w:lang w:val="fr-CH"/>
        </w:rPr>
        <w:t>3 من الاتفاقية.</w:t>
      </w:r>
    </w:p>
    <w:p w:rsidR="00091373" w:rsidRDefault="00091373" w:rsidP="00091373">
      <w:pPr>
        <w:pStyle w:val="SingleTxtGA"/>
        <w:rPr>
          <w:rFonts w:hint="cs"/>
          <w:rtl/>
          <w:lang w:val="fr-CH"/>
        </w:rPr>
      </w:pPr>
    </w:p>
    <w:p w:rsidR="000A5876" w:rsidRDefault="000A5876" w:rsidP="00091373">
      <w:pPr>
        <w:pStyle w:val="SingleTxtGA"/>
        <w:rPr>
          <w:rFonts w:hint="cs"/>
          <w:rtl/>
          <w:lang w:val="fr-CH"/>
        </w:rPr>
      </w:pPr>
    </w:p>
    <w:p w:rsidR="000A5876" w:rsidRPr="00FA0FC2" w:rsidRDefault="000A5876" w:rsidP="00091373">
      <w:pPr>
        <w:pStyle w:val="SingleTxtGA"/>
        <w:rPr>
          <w:rFonts w:hint="cs"/>
          <w:rtl/>
          <w:lang w:val="fr-CH"/>
        </w:rPr>
        <w:sectPr w:rsidR="000A5876" w:rsidRPr="00FA0FC2" w:rsidSect="00091373">
          <w:footnotePr>
            <w:numFmt w:val="arabicAbjad"/>
            <w:numRestart w:val="eachSect"/>
          </w:footnotePr>
          <w:endnotePr>
            <w:numFmt w:val="decimal"/>
          </w:endnotePr>
          <w:pgSz w:w="11906" w:h="16838" w:code="9"/>
          <w:pgMar w:top="1701" w:right="1134" w:bottom="2268" w:left="1134" w:header="1134" w:footer="1701" w:gutter="0"/>
          <w:cols w:space="708"/>
          <w:bidi/>
          <w:rtlGutter/>
          <w:docGrid w:linePitch="360"/>
        </w:sectPr>
      </w:pPr>
    </w:p>
    <w:p w:rsidR="00675A35" w:rsidRDefault="00675A35" w:rsidP="00091373">
      <w:pPr>
        <w:pStyle w:val="H1GA"/>
        <w:spacing w:before="120"/>
        <w:rPr>
          <w:rFonts w:hint="cs"/>
          <w:rtl/>
          <w:lang w:val="fr-CH"/>
        </w:rPr>
      </w:pPr>
      <w:r>
        <w:rPr>
          <w:rFonts w:hint="cs"/>
          <w:rtl/>
          <w:lang w:val="fr-CH"/>
        </w:rPr>
        <w:tab/>
        <w:t>باء-</w:t>
      </w:r>
      <w:r>
        <w:rPr>
          <w:rFonts w:hint="cs"/>
          <w:rtl/>
          <w:lang w:val="fr-CH"/>
        </w:rPr>
        <w:tab/>
        <w:t>قرارات بشأن المقبولية</w:t>
      </w:r>
    </w:p>
    <w:p w:rsidR="00091373" w:rsidRPr="001A3F8C" w:rsidRDefault="00091373" w:rsidP="00675A35">
      <w:pPr>
        <w:pStyle w:val="H1GA"/>
        <w:rPr>
          <w:rFonts w:hint="cs"/>
          <w:i/>
          <w:iCs/>
          <w:rtl/>
          <w:lang w:val="fr-CH"/>
        </w:rPr>
      </w:pPr>
      <w:r w:rsidRPr="00FA0FC2">
        <w:rPr>
          <w:rFonts w:hint="cs"/>
          <w:rtl/>
          <w:lang w:val="fr-CH"/>
        </w:rPr>
        <w:tab/>
      </w:r>
      <w:r w:rsidRPr="00FA0FC2">
        <w:rPr>
          <w:rFonts w:hint="cs"/>
          <w:rtl/>
          <w:lang w:val="fr-CH"/>
        </w:rPr>
        <w:tab/>
        <w:t>البلاغ رقم 346/2008</w:t>
      </w:r>
      <w:r>
        <w:rPr>
          <w:rFonts w:hint="cs"/>
          <w:rtl/>
          <w:lang w:val="fr-CH"/>
        </w:rPr>
        <w:t xml:space="preserve">: </w:t>
      </w:r>
      <w:r>
        <w:rPr>
          <w:rFonts w:hint="cs"/>
          <w:i/>
          <w:iCs/>
          <w:rtl/>
          <w:lang w:val="fr-CH"/>
        </w:rPr>
        <w:t>س. أ. س. ضد موناكو</w:t>
      </w:r>
    </w:p>
    <w:p w:rsidR="00091373" w:rsidRPr="00FA0FC2" w:rsidRDefault="00091373" w:rsidP="00675A35">
      <w:pPr>
        <w:pStyle w:val="SingleTxtGA"/>
        <w:ind w:left="4649" w:hanging="3402"/>
        <w:rPr>
          <w:rFonts w:hint="cs"/>
          <w:rtl/>
          <w:lang w:val="fr-CH"/>
        </w:rPr>
      </w:pPr>
      <w:r w:rsidRPr="00FA0FC2">
        <w:rPr>
          <w:rFonts w:hint="cs"/>
          <w:i/>
          <w:iCs/>
          <w:rtl/>
          <w:lang w:val="fr-CH"/>
        </w:rPr>
        <w:tab/>
        <w:t>المقدَّم من</w:t>
      </w:r>
      <w:r w:rsidRPr="001F3891">
        <w:rPr>
          <w:rFonts w:hint="cs"/>
          <w:rtl/>
          <w:lang w:val="fr-CH"/>
        </w:rPr>
        <w:t>:</w:t>
      </w:r>
      <w:r w:rsidRPr="00FA0FC2">
        <w:rPr>
          <w:rFonts w:hint="cs"/>
          <w:rtl/>
          <w:lang w:val="fr-CH"/>
        </w:rPr>
        <w:tab/>
      </w:r>
      <w:r w:rsidRPr="00FA0FC2">
        <w:rPr>
          <w:rFonts w:hint="cs"/>
          <w:rtl/>
          <w:lang w:val="fr-CH"/>
        </w:rPr>
        <w:tab/>
      </w:r>
      <w:r w:rsidRPr="00FA0FC2">
        <w:rPr>
          <w:rFonts w:hint="cs"/>
          <w:rtl/>
          <w:lang w:val="fr-CH"/>
        </w:rPr>
        <w:tab/>
        <w:t>س. أ. س. (يمثِّله المحامي فرانك ميشيل)</w:t>
      </w:r>
    </w:p>
    <w:p w:rsidR="00091373" w:rsidRPr="00FA0FC2" w:rsidRDefault="00091373" w:rsidP="00675A35">
      <w:pPr>
        <w:pStyle w:val="SingleTxtGA"/>
        <w:ind w:left="4649" w:hanging="3402"/>
        <w:rPr>
          <w:rFonts w:hint="cs"/>
          <w:rtl/>
          <w:lang w:val="fr-CH"/>
        </w:rPr>
      </w:pPr>
      <w:r w:rsidRPr="00FA0FC2">
        <w:rPr>
          <w:rFonts w:hint="cs"/>
          <w:i/>
          <w:iCs/>
          <w:rtl/>
          <w:lang w:val="fr-CH"/>
        </w:rPr>
        <w:tab/>
        <w:t>الشخص المدّعى أنه ضحية</w:t>
      </w:r>
      <w:r w:rsidRPr="001F3891">
        <w:rPr>
          <w:rFonts w:hint="cs"/>
          <w:rtl/>
          <w:lang w:val="fr-CH"/>
        </w:rPr>
        <w:t>:</w:t>
      </w:r>
      <w:r w:rsidRPr="00FA0FC2">
        <w:rPr>
          <w:rFonts w:hint="cs"/>
          <w:rtl/>
          <w:lang w:val="fr-CH"/>
        </w:rPr>
        <w:tab/>
        <w:t>س. أ. س.</w:t>
      </w:r>
    </w:p>
    <w:p w:rsidR="00091373" w:rsidRPr="00FA0FC2" w:rsidRDefault="00091373" w:rsidP="00675A35">
      <w:pPr>
        <w:pStyle w:val="SingleTxtGA"/>
        <w:ind w:left="4649" w:hanging="3402"/>
        <w:rPr>
          <w:rFonts w:hint="cs"/>
          <w:rtl/>
          <w:lang w:val="fr-CH"/>
        </w:rPr>
      </w:pPr>
      <w:r w:rsidRPr="00FA0FC2">
        <w:rPr>
          <w:rFonts w:hint="cs"/>
          <w:i/>
          <w:iCs/>
          <w:rtl/>
          <w:lang w:val="fr-CH"/>
        </w:rPr>
        <w:tab/>
        <w:t>الدولة الطرف</w:t>
      </w:r>
      <w:r w:rsidRPr="001F3891">
        <w:rPr>
          <w:rFonts w:hint="cs"/>
          <w:rtl/>
          <w:lang w:val="fr-CH"/>
        </w:rPr>
        <w:t>:</w:t>
      </w:r>
      <w:r w:rsidRPr="00FA0FC2">
        <w:rPr>
          <w:rFonts w:hint="cs"/>
          <w:rtl/>
          <w:lang w:val="fr-CH"/>
        </w:rPr>
        <w:tab/>
      </w:r>
      <w:r w:rsidRPr="00FA0FC2">
        <w:rPr>
          <w:rFonts w:hint="cs"/>
          <w:rtl/>
          <w:lang w:val="fr-CH"/>
        </w:rPr>
        <w:tab/>
      </w:r>
      <w:r w:rsidRPr="00FA0FC2">
        <w:rPr>
          <w:rFonts w:hint="cs"/>
          <w:rtl/>
          <w:lang w:val="fr-CH"/>
        </w:rPr>
        <w:tab/>
        <w:t>موناكو</w:t>
      </w:r>
    </w:p>
    <w:p w:rsidR="00091373" w:rsidRPr="00FA0FC2" w:rsidRDefault="00091373" w:rsidP="00675A35">
      <w:pPr>
        <w:pStyle w:val="SingleTxtGA"/>
        <w:ind w:left="4649" w:hanging="3402"/>
        <w:rPr>
          <w:rFonts w:hint="cs"/>
          <w:spacing w:val="-4"/>
          <w:rtl/>
          <w:lang w:val="fr-CH"/>
        </w:rPr>
      </w:pPr>
      <w:r w:rsidRPr="00FA0FC2">
        <w:rPr>
          <w:rFonts w:hint="cs"/>
          <w:iCs/>
          <w:rtl/>
          <w:lang w:val="fr-CH"/>
        </w:rPr>
        <w:tab/>
        <w:t>تاريخ تقديم الشكوى</w:t>
      </w:r>
      <w:r w:rsidRPr="001F3891">
        <w:rPr>
          <w:rFonts w:hint="cs"/>
          <w:i/>
          <w:rtl/>
          <w:lang w:val="fr-CH"/>
        </w:rPr>
        <w:t>:</w:t>
      </w:r>
      <w:r w:rsidRPr="00FA0FC2">
        <w:rPr>
          <w:rFonts w:hint="cs"/>
          <w:iCs/>
          <w:rtl/>
          <w:lang w:val="fr-CH"/>
        </w:rPr>
        <w:tab/>
      </w:r>
      <w:r w:rsidRPr="00FA0FC2">
        <w:rPr>
          <w:rFonts w:hint="cs"/>
          <w:iCs/>
          <w:spacing w:val="-4"/>
          <w:rtl/>
          <w:lang w:val="fr-CH"/>
        </w:rPr>
        <w:tab/>
      </w:r>
      <w:r w:rsidRPr="00FA0FC2">
        <w:rPr>
          <w:rFonts w:hint="cs"/>
          <w:spacing w:val="-4"/>
          <w:rtl/>
          <w:lang w:val="fr-CH"/>
        </w:rPr>
        <w:t>8 تموز/يوليه 2008 (تاريخ الرسالة الأولى)</w:t>
      </w:r>
    </w:p>
    <w:p w:rsidR="00091373" w:rsidRPr="00FA0FC2" w:rsidRDefault="00091373" w:rsidP="00675A35">
      <w:pPr>
        <w:pStyle w:val="SingleTxtGA"/>
        <w:rPr>
          <w:rFonts w:hint="cs"/>
          <w:rtl/>
          <w:lang w:val="fr-CH"/>
        </w:rPr>
      </w:pPr>
      <w:r w:rsidRPr="00FA0FC2">
        <w:rPr>
          <w:rFonts w:hint="cs"/>
          <w:rtl/>
          <w:lang w:val="fr-CH"/>
        </w:rPr>
        <w:tab/>
      </w:r>
      <w:r w:rsidRPr="00FA0FC2">
        <w:rPr>
          <w:rFonts w:hint="cs"/>
          <w:i/>
          <w:iCs/>
          <w:rtl/>
          <w:lang w:val="fr-CH"/>
        </w:rPr>
        <w:t>إن لجنة مناهضة التعذيب</w:t>
      </w:r>
      <w:r w:rsidRPr="00FA0FC2">
        <w:rPr>
          <w:rFonts w:hint="cs"/>
          <w:rtl/>
          <w:lang w:val="fr-CH"/>
        </w:rPr>
        <w:t>، المنشأة بموجب ال</w:t>
      </w:r>
      <w:r>
        <w:rPr>
          <w:rFonts w:hint="cs"/>
          <w:rtl/>
          <w:lang w:val="fr-CH"/>
        </w:rPr>
        <w:t>مادة</w:t>
      </w:r>
      <w:r>
        <w:rPr>
          <w:rtl/>
          <w:lang w:val="fr-CH"/>
        </w:rPr>
        <w:t> </w:t>
      </w:r>
      <w:r w:rsidRPr="00FA0FC2">
        <w:rPr>
          <w:rFonts w:hint="cs"/>
          <w:rtl/>
          <w:lang w:val="fr-CH"/>
        </w:rPr>
        <w:t>17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 xml:space="preserve">المهينة، </w:t>
      </w:r>
    </w:p>
    <w:p w:rsidR="00091373" w:rsidRPr="00FA0FC2" w:rsidRDefault="00091373" w:rsidP="00675A35">
      <w:pPr>
        <w:pStyle w:val="SingleTxtGA"/>
        <w:rPr>
          <w:rFonts w:hint="cs"/>
          <w:rtl/>
          <w:lang w:val="fr-CH"/>
        </w:rPr>
      </w:pPr>
      <w:r w:rsidRPr="00FA0FC2">
        <w:rPr>
          <w:rFonts w:hint="cs"/>
          <w:rtl/>
          <w:lang w:val="fr-CH"/>
        </w:rPr>
        <w:tab/>
      </w:r>
      <w:r w:rsidRPr="00FA0FC2">
        <w:rPr>
          <w:rFonts w:hint="cs"/>
          <w:i/>
          <w:iCs/>
          <w:rtl/>
          <w:lang w:val="fr-CH"/>
        </w:rPr>
        <w:t>وقد اجتمعت</w:t>
      </w:r>
      <w:r w:rsidRPr="00FA0FC2">
        <w:rPr>
          <w:rFonts w:hint="cs"/>
          <w:rtl/>
          <w:lang w:val="fr-CH"/>
        </w:rPr>
        <w:t xml:space="preserve"> في 13 تشرين الثاني/نوفمبر 2012، </w:t>
      </w:r>
    </w:p>
    <w:p w:rsidR="00091373" w:rsidRPr="00FA0FC2" w:rsidRDefault="00091373" w:rsidP="00675A35">
      <w:pPr>
        <w:pStyle w:val="SingleTxtGA"/>
        <w:rPr>
          <w:rFonts w:hint="cs"/>
          <w:rtl/>
          <w:lang w:val="fr-CH"/>
        </w:rPr>
      </w:pPr>
      <w:r w:rsidRPr="00FA0FC2">
        <w:rPr>
          <w:rFonts w:hint="cs"/>
          <w:rtl/>
          <w:lang w:val="fr-CH"/>
        </w:rPr>
        <w:tab/>
      </w:r>
      <w:r w:rsidRPr="00FA0FC2">
        <w:rPr>
          <w:rFonts w:hint="cs"/>
          <w:i/>
          <w:iCs/>
          <w:rtl/>
          <w:lang w:val="fr-CH"/>
        </w:rPr>
        <w:t>وقد فرغت</w:t>
      </w:r>
      <w:r w:rsidRPr="00FA0FC2">
        <w:rPr>
          <w:rFonts w:hint="cs"/>
          <w:rtl/>
          <w:lang w:val="fr-CH"/>
        </w:rPr>
        <w:t xml:space="preserve"> من النظر في الشكوى رقم 346/2008، المقدَّمة من س. أ. س. بموجب ال</w:t>
      </w:r>
      <w:r>
        <w:rPr>
          <w:rFonts w:hint="cs"/>
          <w:rtl/>
          <w:lang w:val="fr-CH"/>
        </w:rPr>
        <w:t>مادة</w:t>
      </w:r>
      <w:r>
        <w:rPr>
          <w:rtl/>
          <w:lang w:val="fr-CH"/>
        </w:rPr>
        <w:t> </w:t>
      </w:r>
      <w:r w:rsidRPr="00FA0FC2">
        <w:rPr>
          <w:rFonts w:hint="cs"/>
          <w:rtl/>
          <w:lang w:val="fr-CH"/>
        </w:rPr>
        <w:t>22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 xml:space="preserve">المهينة، </w:t>
      </w:r>
    </w:p>
    <w:p w:rsidR="00091373" w:rsidRPr="00FA0FC2" w:rsidRDefault="00091373" w:rsidP="00675A35">
      <w:pPr>
        <w:pStyle w:val="SingleTxtGA"/>
        <w:rPr>
          <w:rFonts w:hint="cs"/>
          <w:rtl/>
          <w:lang w:val="fr-CH"/>
        </w:rPr>
      </w:pPr>
      <w:r w:rsidRPr="00FA0FC2">
        <w:rPr>
          <w:rFonts w:hint="cs"/>
          <w:rtl/>
          <w:lang w:val="fr-CH"/>
        </w:rPr>
        <w:tab/>
      </w:r>
      <w:r w:rsidRPr="00FA0FC2">
        <w:rPr>
          <w:rFonts w:hint="cs"/>
          <w:i/>
          <w:iCs/>
          <w:rtl/>
          <w:lang w:val="fr-CH"/>
        </w:rPr>
        <w:t>وقد وضعت</w:t>
      </w:r>
      <w:r w:rsidRPr="00FA0FC2">
        <w:rPr>
          <w:rFonts w:hint="cs"/>
          <w:rtl/>
          <w:lang w:val="fr-CH"/>
        </w:rPr>
        <w:t xml:space="preserve"> في اعتبارها جميع المعلومات التي أتاحها لها صاحب الشكوى والدولة</w:t>
      </w:r>
      <w:r w:rsidRPr="00FA0FC2">
        <w:rPr>
          <w:rFonts w:hint="eastAsia"/>
          <w:rtl/>
          <w:lang w:val="fr-CH"/>
        </w:rPr>
        <w:t> </w:t>
      </w:r>
      <w:r w:rsidRPr="00FA0FC2">
        <w:rPr>
          <w:rFonts w:hint="cs"/>
          <w:rtl/>
          <w:lang w:val="fr-CH"/>
        </w:rPr>
        <w:t>الطرف،</w:t>
      </w:r>
    </w:p>
    <w:p w:rsidR="00091373" w:rsidRPr="00FA0FC2" w:rsidRDefault="00091373" w:rsidP="00675A35">
      <w:pPr>
        <w:pStyle w:val="SingleTxtGA"/>
        <w:rPr>
          <w:rFonts w:hint="cs"/>
          <w:i/>
          <w:iCs/>
          <w:rtl/>
          <w:lang w:val="fr-CH"/>
        </w:rPr>
      </w:pPr>
      <w:r w:rsidRPr="00FA0FC2">
        <w:rPr>
          <w:rFonts w:hint="cs"/>
          <w:i/>
          <w:iCs/>
          <w:rtl/>
          <w:lang w:val="fr-CH"/>
        </w:rPr>
        <w:tab/>
        <w:t>تعتمد</w:t>
      </w:r>
      <w:r>
        <w:rPr>
          <w:rFonts w:hint="cs"/>
          <w:i/>
          <w:iCs/>
          <w:rtl/>
          <w:lang w:val="fr-CH"/>
        </w:rPr>
        <w:t xml:space="preserve"> </w:t>
      </w:r>
      <w:r w:rsidRPr="002161DA">
        <w:rPr>
          <w:rFonts w:hint="cs"/>
          <w:rtl/>
          <w:lang w:val="fr-CH"/>
        </w:rPr>
        <w:t>ما</w:t>
      </w:r>
      <w:r>
        <w:rPr>
          <w:i/>
          <w:iCs/>
          <w:rtl/>
          <w:lang w:val="fr-CH"/>
        </w:rPr>
        <w:t> </w:t>
      </w:r>
      <w:r w:rsidRPr="00FA0FC2">
        <w:rPr>
          <w:rFonts w:hint="cs"/>
          <w:rtl/>
          <w:lang w:val="fr-CH"/>
        </w:rPr>
        <w:t>يلي:</w:t>
      </w:r>
    </w:p>
    <w:p w:rsidR="00091373" w:rsidRPr="00FA0FC2" w:rsidRDefault="00091373" w:rsidP="00091373">
      <w:pPr>
        <w:pStyle w:val="H1GA"/>
        <w:rPr>
          <w:rFonts w:hint="cs"/>
          <w:rtl/>
          <w:lang w:val="fr-CH"/>
        </w:rPr>
      </w:pPr>
      <w:r w:rsidRPr="00FA0FC2">
        <w:rPr>
          <w:rFonts w:hint="cs"/>
          <w:rtl/>
          <w:lang w:val="fr-CH"/>
        </w:rPr>
        <w:tab/>
      </w:r>
      <w:r w:rsidRPr="00FA0FC2">
        <w:rPr>
          <w:rFonts w:hint="cs"/>
          <w:rtl/>
          <w:lang w:val="fr-CH"/>
        </w:rPr>
        <w:tab/>
        <w:t>قرار بموجب الفقرة 7 من ال</w:t>
      </w:r>
      <w:r>
        <w:rPr>
          <w:rFonts w:hint="cs"/>
          <w:rtl/>
          <w:lang w:val="fr-CH"/>
        </w:rPr>
        <w:t>مادة</w:t>
      </w:r>
      <w:r>
        <w:rPr>
          <w:rtl/>
          <w:lang w:val="fr-CH"/>
        </w:rPr>
        <w:t> </w:t>
      </w:r>
      <w:r w:rsidRPr="00FA0FC2">
        <w:rPr>
          <w:rFonts w:hint="cs"/>
          <w:rtl/>
          <w:lang w:val="fr-CH"/>
        </w:rPr>
        <w:t>22 من اتفاقية مناهضة التعذيب</w:t>
      </w:r>
    </w:p>
    <w:p w:rsidR="00091373" w:rsidRPr="00FA0FC2" w:rsidRDefault="00091373" w:rsidP="00675A35">
      <w:pPr>
        <w:pStyle w:val="SingleTxtGA"/>
        <w:rPr>
          <w:rFonts w:hint="cs"/>
          <w:rtl/>
          <w:lang w:val="fr-CH"/>
        </w:rPr>
      </w:pPr>
      <w:r w:rsidRPr="00FA0FC2">
        <w:rPr>
          <w:rFonts w:hint="cs"/>
          <w:rtl/>
          <w:lang w:val="fr-CH"/>
        </w:rPr>
        <w:t>1-1</w:t>
      </w:r>
      <w:r w:rsidRPr="00FA0FC2">
        <w:rPr>
          <w:rFonts w:hint="cs"/>
          <w:rtl/>
          <w:lang w:val="fr-CH"/>
        </w:rPr>
        <w:tab/>
        <w:t>صاحب الشكوى هو س. أ. س.، وُلِدَ في 7 كانون الثاني/يناير 1944 في تراداتي (إيطاليا)، ويحمل الجنسية المزدوجة البرازيلية والإيطالية. ويزعم صاحب الشكوى أن تسليمه إلى البرازيل سيشكِّل انتهاكاً لل</w:t>
      </w:r>
      <w:r>
        <w:rPr>
          <w:rFonts w:hint="cs"/>
          <w:rtl/>
          <w:lang w:val="fr-CH"/>
        </w:rPr>
        <w:t>مادة</w:t>
      </w:r>
      <w:r>
        <w:rPr>
          <w:rtl/>
          <w:lang w:val="fr-CH"/>
        </w:rPr>
        <w:t> </w:t>
      </w:r>
      <w:r w:rsidRPr="00FA0FC2">
        <w:rPr>
          <w:rFonts w:hint="cs"/>
          <w:rtl/>
          <w:lang w:val="fr-CH"/>
        </w:rPr>
        <w:t>3 من اتفاقية مناهضة التعذيب. ويمثِّل صاحب الشكوى المحامي فرانك ميشيل</w:t>
      </w:r>
      <w:r w:rsidRPr="00FA0FC2">
        <w:rPr>
          <w:vertAlign w:val="superscript"/>
          <w:rtl/>
          <w:lang w:val="fr-CH"/>
        </w:rPr>
        <w:t>(</w:t>
      </w:r>
      <w:r w:rsidRPr="00FA0FC2">
        <w:rPr>
          <w:rStyle w:val="FootnoteReference"/>
          <w:rtl/>
          <w:lang w:val="fr-CH"/>
        </w:rPr>
        <w:footnoteReference w:id="267"/>
      </w:r>
      <w:r w:rsidRPr="00FA0FC2">
        <w:rPr>
          <w:vertAlign w:val="superscript"/>
          <w:rtl/>
          <w:lang w:val="fr-CH"/>
        </w:rPr>
        <w:t>)</w:t>
      </w:r>
      <w:r w:rsidRPr="00FA0FC2">
        <w:rPr>
          <w:rFonts w:hint="cs"/>
          <w:rtl/>
          <w:lang w:val="fr-CH"/>
        </w:rPr>
        <w:t>.</w:t>
      </w:r>
    </w:p>
    <w:p w:rsidR="00091373" w:rsidRPr="00FA0FC2" w:rsidRDefault="00091373" w:rsidP="00675A35">
      <w:pPr>
        <w:pStyle w:val="SingleTxtGA"/>
        <w:rPr>
          <w:rFonts w:hint="cs"/>
          <w:rtl/>
          <w:lang w:val="fr-CH"/>
        </w:rPr>
      </w:pPr>
      <w:r w:rsidRPr="00FA0FC2">
        <w:rPr>
          <w:rFonts w:hint="cs"/>
          <w:rtl/>
          <w:lang w:val="fr-CH"/>
        </w:rPr>
        <w:t>1-2</w:t>
      </w:r>
      <w:r w:rsidRPr="00FA0FC2">
        <w:rPr>
          <w:rFonts w:hint="cs"/>
          <w:rtl/>
          <w:lang w:val="fr-CH"/>
        </w:rPr>
        <w:tab/>
        <w:t>وفي 11 تموز/يوليه 2008، قرَّر المقرِّر الخاص المعني بالشكاوى الجديدة وتدابير الحماية المؤقتة أن</w:t>
      </w:r>
      <w:r>
        <w:rPr>
          <w:rFonts w:hint="cs"/>
          <w:rtl/>
          <w:lang w:val="fr-CH"/>
        </w:rPr>
        <w:t xml:space="preserve"> لا</w:t>
      </w:r>
      <w:r>
        <w:rPr>
          <w:rtl/>
          <w:lang w:val="fr-CH"/>
        </w:rPr>
        <w:t> </w:t>
      </w:r>
      <w:r w:rsidRPr="00FA0FC2">
        <w:rPr>
          <w:rFonts w:hint="cs"/>
          <w:rtl/>
          <w:lang w:val="fr-CH"/>
        </w:rPr>
        <w:t>يطلب من الدولة الطرف اتخاذ أية تدابير مؤقتة بغرض وقف تنفيذ قرار التسليم إلى البرازيل.</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الوقائع</w:t>
      </w:r>
      <w:r>
        <w:rPr>
          <w:rFonts w:hint="cs"/>
          <w:rtl/>
          <w:lang w:val="fr-CH"/>
        </w:rPr>
        <w:t xml:space="preserve"> كما</w:t>
      </w:r>
      <w:r>
        <w:rPr>
          <w:rtl/>
          <w:lang w:val="fr-CH"/>
        </w:rPr>
        <w:t> </w:t>
      </w:r>
      <w:r>
        <w:rPr>
          <w:rFonts w:hint="cs"/>
          <w:rtl/>
          <w:lang w:val="fr-CH"/>
        </w:rPr>
        <w:t xml:space="preserve">عرضها </w:t>
      </w:r>
      <w:r w:rsidRPr="00FA0FC2">
        <w:rPr>
          <w:rFonts w:hint="cs"/>
          <w:rtl/>
          <w:lang w:val="fr-CH"/>
        </w:rPr>
        <w:t>صاحب الشكوى</w:t>
      </w:r>
    </w:p>
    <w:p w:rsidR="00091373" w:rsidRPr="00FA0FC2" w:rsidRDefault="00091373" w:rsidP="00675A35">
      <w:pPr>
        <w:pStyle w:val="SingleTxtGA"/>
        <w:spacing w:line="370" w:lineRule="exact"/>
        <w:rPr>
          <w:rFonts w:hint="cs"/>
          <w:rtl/>
          <w:lang w:val="fr-CH"/>
        </w:rPr>
      </w:pPr>
      <w:r w:rsidRPr="00FA0FC2">
        <w:rPr>
          <w:rFonts w:hint="cs"/>
          <w:rtl/>
          <w:lang w:val="fr-CH"/>
        </w:rPr>
        <w:t>2-1</w:t>
      </w:r>
      <w:r w:rsidRPr="00FA0FC2">
        <w:rPr>
          <w:rFonts w:hint="cs"/>
          <w:rtl/>
          <w:lang w:val="fr-CH"/>
        </w:rPr>
        <w:tab/>
        <w:t>كان صاحب الشكوى يقيم في البرازيل حيث كان يعمل في القطاع المصرفي.</w:t>
      </w:r>
      <w:r>
        <w:rPr>
          <w:rFonts w:hint="cs"/>
          <w:rtl/>
          <w:lang w:val="fr-CH"/>
        </w:rPr>
        <w:t xml:space="preserve"> وفي</w:t>
      </w:r>
      <w:r>
        <w:rPr>
          <w:rtl/>
          <w:lang w:val="fr-CH"/>
        </w:rPr>
        <w:t> </w:t>
      </w:r>
      <w:r w:rsidRPr="00FA0FC2">
        <w:rPr>
          <w:rFonts w:hint="cs"/>
          <w:rtl/>
          <w:lang w:val="fr-CH"/>
        </w:rPr>
        <w:t>31 آذار/مارس 2005، أصدر قاضٍ منفرد لدى محكمة العدل بولاية ريو دي جانيرو قراراً بسجنه لمدة 13 عاماً لارتكابه جريمة اختلاس أموال المصرف المركزي البرازيلي والتلاعب بإدارة أصوله. وعقب قرار بالإفراج المشروط، غادر صاحب الشكوى البرازيل متجهاً إلى إيطاليا التي اتخذها مقراً لإقامته.</w:t>
      </w:r>
      <w:r>
        <w:rPr>
          <w:rFonts w:hint="cs"/>
          <w:rtl/>
          <w:lang w:val="fr-CH"/>
        </w:rPr>
        <w:t xml:space="preserve"> وفي</w:t>
      </w:r>
      <w:r>
        <w:rPr>
          <w:rtl/>
          <w:lang w:val="fr-CH"/>
        </w:rPr>
        <w:t> </w:t>
      </w:r>
      <w:r w:rsidRPr="00FA0FC2">
        <w:rPr>
          <w:rFonts w:hint="cs"/>
          <w:rtl/>
          <w:lang w:val="fr-CH"/>
        </w:rPr>
        <w:t>وقت تالٍ، ألغى رئيس المحكمة العليا في البرازيل قرار الإفراج المشروط عندما كان صاحب الشكوى يقيم في إيطاليا.</w:t>
      </w:r>
    </w:p>
    <w:p w:rsidR="00091373" w:rsidRPr="00FA0FC2" w:rsidRDefault="00091373" w:rsidP="00675A35">
      <w:pPr>
        <w:pStyle w:val="SingleTxtGA"/>
        <w:spacing w:line="370" w:lineRule="exact"/>
        <w:rPr>
          <w:rFonts w:hint="cs"/>
          <w:spacing w:val="-2"/>
          <w:rtl/>
          <w:lang w:val="fr-CH"/>
        </w:rPr>
      </w:pPr>
      <w:r w:rsidRPr="00FA0FC2">
        <w:rPr>
          <w:rFonts w:hint="cs"/>
          <w:spacing w:val="-2"/>
          <w:rtl/>
          <w:lang w:val="fr-CH"/>
        </w:rPr>
        <w:t>2-2</w:t>
      </w:r>
      <w:r w:rsidRPr="00FA0FC2">
        <w:rPr>
          <w:rFonts w:hint="cs"/>
          <w:spacing w:val="-2"/>
          <w:rtl/>
          <w:lang w:val="fr-CH"/>
        </w:rPr>
        <w:tab/>
        <w:t>وفي 15 أيلول/سبتمبر 2007، قامت سلطات موناكو بتوقيف صاحب الشكوى ووضعته رهن الاعتقال المؤقت بناءً على طلب من السلطات البرازيلية وتنفيذاً لمذكرة توقيف</w:t>
      </w:r>
      <w:r>
        <w:rPr>
          <w:rFonts w:hint="eastAsia"/>
          <w:spacing w:val="-2"/>
          <w:rtl/>
          <w:lang w:val="fr-CH"/>
        </w:rPr>
        <w:t> </w:t>
      </w:r>
      <w:r w:rsidRPr="00FA0FC2">
        <w:rPr>
          <w:rFonts w:hint="cs"/>
          <w:spacing w:val="-2"/>
          <w:rtl/>
          <w:lang w:val="fr-CH"/>
        </w:rPr>
        <w:t>بتاريخ 19 تموز/يوليه 2000 صادرة عن قاضٍ في ريو دي جانيرو</w:t>
      </w:r>
      <w:r w:rsidRPr="00FA0FC2">
        <w:rPr>
          <w:spacing w:val="-2"/>
          <w:vertAlign w:val="superscript"/>
          <w:rtl/>
          <w:lang w:val="fr-CH"/>
        </w:rPr>
        <w:t>(</w:t>
      </w:r>
      <w:r w:rsidRPr="00FA0FC2">
        <w:rPr>
          <w:rStyle w:val="FootnoteReference"/>
          <w:spacing w:val="-2"/>
          <w:rtl/>
          <w:lang w:val="fr-CH"/>
        </w:rPr>
        <w:footnoteReference w:id="268"/>
      </w:r>
      <w:r w:rsidRPr="00FA0FC2">
        <w:rPr>
          <w:spacing w:val="-2"/>
          <w:vertAlign w:val="superscript"/>
          <w:rtl/>
          <w:lang w:val="fr-CH"/>
        </w:rPr>
        <w:t>)</w:t>
      </w:r>
      <w:r w:rsidRPr="00FA0FC2">
        <w:rPr>
          <w:rFonts w:hint="cs"/>
          <w:spacing w:val="-2"/>
          <w:rtl/>
          <w:lang w:val="fr-CH"/>
        </w:rPr>
        <w:t>. وبناءً على</w:t>
      </w:r>
      <w:r>
        <w:rPr>
          <w:rFonts w:hint="eastAsia"/>
          <w:spacing w:val="-2"/>
          <w:rtl/>
          <w:lang w:val="fr-CH"/>
        </w:rPr>
        <w:t> </w:t>
      </w:r>
      <w:r w:rsidRPr="00FA0FC2">
        <w:rPr>
          <w:rFonts w:hint="cs"/>
          <w:spacing w:val="-2"/>
          <w:rtl/>
          <w:lang w:val="fr-CH"/>
        </w:rPr>
        <w:t>مذكرة</w:t>
      </w:r>
      <w:r>
        <w:rPr>
          <w:rFonts w:hint="eastAsia"/>
          <w:spacing w:val="-2"/>
          <w:rtl/>
          <w:lang w:val="fr-CH"/>
        </w:rPr>
        <w:t> </w:t>
      </w:r>
      <w:r w:rsidRPr="00FA0FC2">
        <w:rPr>
          <w:rFonts w:hint="cs"/>
          <w:spacing w:val="-2"/>
          <w:rtl/>
          <w:lang w:val="fr-CH"/>
        </w:rPr>
        <w:t>التوقيف هذه وعلى الحكم الصادر عن محكمة العدل في ريو دي جانيرو بتاريخ</w:t>
      </w:r>
      <w:r>
        <w:rPr>
          <w:rFonts w:hint="eastAsia"/>
          <w:spacing w:val="-2"/>
          <w:rtl/>
          <w:lang w:val="fr-CH"/>
        </w:rPr>
        <w:t> </w:t>
      </w:r>
      <w:r w:rsidRPr="00FA0FC2">
        <w:rPr>
          <w:rFonts w:hint="cs"/>
          <w:spacing w:val="-2"/>
          <w:rtl/>
          <w:lang w:val="fr-CH"/>
        </w:rPr>
        <w:t>31 آذار/مارس</w:t>
      </w:r>
      <w:r w:rsidRPr="00FA0FC2">
        <w:rPr>
          <w:rFonts w:hint="eastAsia"/>
          <w:spacing w:val="-2"/>
          <w:rtl/>
          <w:lang w:val="fr-CH"/>
        </w:rPr>
        <w:t> </w:t>
      </w:r>
      <w:r w:rsidRPr="00FA0FC2">
        <w:rPr>
          <w:rFonts w:hint="cs"/>
          <w:spacing w:val="-2"/>
          <w:rtl/>
          <w:lang w:val="fr-CH"/>
        </w:rPr>
        <w:t>2005، أذنت غرفة المشورة لدى محكمة الاستئناف في موناكو، بموجب قرارها المؤرخ</w:t>
      </w:r>
      <w:r w:rsidRPr="00FA0FC2">
        <w:rPr>
          <w:rFonts w:hint="eastAsia"/>
          <w:spacing w:val="-2"/>
          <w:rtl/>
          <w:lang w:val="fr-CH"/>
        </w:rPr>
        <w:t> </w:t>
      </w:r>
      <w:r w:rsidRPr="00FA0FC2">
        <w:rPr>
          <w:rFonts w:hint="cs"/>
          <w:spacing w:val="-2"/>
          <w:rtl/>
          <w:lang w:val="fr-CH"/>
        </w:rPr>
        <w:t>15 نيسان/أبريل 2008، بتسليم صاحب الشكوى. وردَّت في القرار نفسه طلباً ثانياً</w:t>
      </w:r>
      <w:r>
        <w:rPr>
          <w:rFonts w:hint="eastAsia"/>
          <w:spacing w:val="-2"/>
          <w:rtl/>
          <w:lang w:val="fr-CH"/>
        </w:rPr>
        <w:t> </w:t>
      </w:r>
      <w:r w:rsidRPr="00FA0FC2">
        <w:rPr>
          <w:rFonts w:hint="cs"/>
          <w:spacing w:val="-2"/>
          <w:rtl/>
          <w:lang w:val="fr-CH"/>
        </w:rPr>
        <w:t>توجّهت به السلطات البرازيلية من أجل تسليم صاحب الشكوى بناءً على مذكرة توقيف</w:t>
      </w:r>
      <w:r>
        <w:rPr>
          <w:rFonts w:hint="eastAsia"/>
          <w:spacing w:val="-2"/>
          <w:rtl/>
          <w:lang w:val="fr-CH"/>
        </w:rPr>
        <w:t> </w:t>
      </w:r>
      <w:r w:rsidRPr="00FA0FC2">
        <w:rPr>
          <w:rFonts w:hint="cs"/>
          <w:spacing w:val="-2"/>
          <w:rtl/>
          <w:lang w:val="fr-CH"/>
        </w:rPr>
        <w:t>بتاريخ 21 أيلول/سبتمبر 2007</w:t>
      </w:r>
      <w:r>
        <w:rPr>
          <w:rFonts w:hint="cs"/>
          <w:spacing w:val="-2"/>
          <w:rtl/>
          <w:lang w:val="fr-CH"/>
        </w:rPr>
        <w:t xml:space="preserve"> فيما</w:t>
      </w:r>
      <w:r>
        <w:rPr>
          <w:spacing w:val="-2"/>
          <w:rtl/>
          <w:lang w:val="fr-CH"/>
        </w:rPr>
        <w:t> </w:t>
      </w:r>
      <w:r w:rsidRPr="00FA0FC2">
        <w:rPr>
          <w:rFonts w:hint="cs"/>
          <w:spacing w:val="-2"/>
          <w:rtl/>
          <w:lang w:val="fr-CH"/>
        </w:rPr>
        <w:t>يتعلَّق بوقائع أخرى</w:t>
      </w:r>
      <w:r>
        <w:rPr>
          <w:rFonts w:hint="cs"/>
          <w:spacing w:val="-2"/>
          <w:rtl/>
          <w:lang w:val="fr-CH"/>
        </w:rPr>
        <w:t xml:space="preserve"> لا</w:t>
      </w:r>
      <w:r>
        <w:rPr>
          <w:spacing w:val="-2"/>
          <w:rtl/>
          <w:lang w:val="fr-CH"/>
        </w:rPr>
        <w:t> </w:t>
      </w:r>
      <w:r w:rsidRPr="00FA0FC2">
        <w:rPr>
          <w:rFonts w:hint="cs"/>
          <w:spacing w:val="-2"/>
          <w:rtl/>
          <w:lang w:val="fr-CH"/>
        </w:rPr>
        <w:t>تخضع للعقاب بموجب قوانين</w:t>
      </w:r>
      <w:r w:rsidRPr="00FA0FC2">
        <w:rPr>
          <w:rFonts w:hint="eastAsia"/>
          <w:spacing w:val="-2"/>
          <w:rtl/>
          <w:lang w:val="fr-CH"/>
        </w:rPr>
        <w:t> </w:t>
      </w:r>
      <w:r w:rsidRPr="00FA0FC2">
        <w:rPr>
          <w:rFonts w:hint="cs"/>
          <w:spacing w:val="-2"/>
          <w:rtl/>
          <w:lang w:val="fr-CH"/>
        </w:rPr>
        <w:t>موناكو.</w:t>
      </w:r>
    </w:p>
    <w:p w:rsidR="00091373" w:rsidRPr="00184E91" w:rsidRDefault="00091373" w:rsidP="00675A35">
      <w:pPr>
        <w:pStyle w:val="SingleTxtGA"/>
        <w:spacing w:line="370" w:lineRule="exact"/>
        <w:rPr>
          <w:rFonts w:hint="cs"/>
          <w:spacing w:val="-2"/>
          <w:rtl/>
          <w:lang w:val="fr-CH"/>
        </w:rPr>
      </w:pPr>
      <w:r w:rsidRPr="00184E91">
        <w:rPr>
          <w:rFonts w:hint="cs"/>
          <w:spacing w:val="-2"/>
          <w:rtl/>
          <w:lang w:val="fr-CH"/>
        </w:rPr>
        <w:t>2-3</w:t>
      </w:r>
      <w:r w:rsidRPr="00184E91">
        <w:rPr>
          <w:rFonts w:hint="cs"/>
          <w:spacing w:val="-2"/>
          <w:rtl/>
          <w:lang w:val="fr-CH"/>
        </w:rPr>
        <w:tab/>
        <w:t>وقد أذنت محكمة الاستئناف بتسليم صاحب الشكوى بحجة أن مذكرة التوقيف الدولية الصادرة بناءً على حكم من القضاء البرازيلي مؤرخ 31 آذار/مارس 2005 تستوفي جميع الشروط القانونية؛ وأن القرار الذي أُدين بموجبه صاحب الشكوى في البرازيل لا</w:t>
      </w:r>
      <w:r w:rsidRPr="00184E91">
        <w:rPr>
          <w:spacing w:val="-2"/>
          <w:rtl/>
          <w:lang w:val="fr-CH"/>
        </w:rPr>
        <w:t> </w:t>
      </w:r>
      <w:r w:rsidRPr="00184E91">
        <w:rPr>
          <w:rFonts w:hint="cs"/>
          <w:spacing w:val="-2"/>
          <w:rtl/>
          <w:lang w:val="fr-CH"/>
        </w:rPr>
        <w:t>يتعارض مع النظام العام في موناكو لمجرد أنه صدر عن قاضٍ منفرد، ذلك أن تعدُّد القضاة لا</w:t>
      </w:r>
      <w:r w:rsidRPr="00184E91">
        <w:rPr>
          <w:spacing w:val="-2"/>
          <w:rtl/>
          <w:lang w:val="fr-CH"/>
        </w:rPr>
        <w:t> </w:t>
      </w:r>
      <w:r w:rsidRPr="00184E91">
        <w:rPr>
          <w:rFonts w:hint="cs"/>
          <w:spacing w:val="-2"/>
          <w:rtl/>
          <w:lang w:val="fr-CH"/>
        </w:rPr>
        <w:t>يمكن اعتباره شرطاً ضرورياً لاستيفاء معيار المحاكمة المنصفة؛ وأن القرار الصادر عن قاضٍ منفرد لم</w:t>
      </w:r>
      <w:r w:rsidRPr="00184E91">
        <w:rPr>
          <w:spacing w:val="-2"/>
          <w:rtl/>
          <w:lang w:val="fr-CH"/>
        </w:rPr>
        <w:t> </w:t>
      </w:r>
      <w:r w:rsidRPr="00184E91">
        <w:rPr>
          <w:rFonts w:hint="cs"/>
          <w:spacing w:val="-2"/>
          <w:rtl/>
          <w:lang w:val="fr-CH"/>
        </w:rPr>
        <w:t>يحد عن المبادئ الأساسية للمحاكمة المنصفة، بما</w:t>
      </w:r>
      <w:r w:rsidRPr="00184E91">
        <w:rPr>
          <w:spacing w:val="-2"/>
          <w:rtl/>
          <w:lang w:val="fr-CH"/>
        </w:rPr>
        <w:t> </w:t>
      </w:r>
      <w:r w:rsidRPr="00184E91">
        <w:rPr>
          <w:rFonts w:hint="cs"/>
          <w:spacing w:val="-2"/>
          <w:rtl/>
          <w:lang w:val="fr-CH"/>
        </w:rPr>
        <w:t>أن القاضي الذي أصدر القرار لم</w:t>
      </w:r>
      <w:r w:rsidRPr="00184E91">
        <w:rPr>
          <w:spacing w:val="-2"/>
          <w:rtl/>
          <w:lang w:val="fr-CH"/>
        </w:rPr>
        <w:t> </w:t>
      </w:r>
      <w:r w:rsidRPr="00184E91">
        <w:rPr>
          <w:rFonts w:hint="cs"/>
          <w:spacing w:val="-2"/>
          <w:rtl/>
          <w:lang w:val="fr-CH"/>
        </w:rPr>
        <w:t>يتدخل في إجراءات التحقيق وأن مبدأ الوجاهية في الإجراءات المنصوص عليه في المادة</w:t>
      </w:r>
      <w:r w:rsidRPr="00184E91">
        <w:rPr>
          <w:spacing w:val="-2"/>
          <w:rtl/>
          <w:lang w:val="fr-CH"/>
        </w:rPr>
        <w:t> </w:t>
      </w:r>
      <w:r w:rsidRPr="00184E91">
        <w:rPr>
          <w:rFonts w:hint="cs"/>
          <w:spacing w:val="-2"/>
          <w:rtl/>
          <w:lang w:val="fr-CH"/>
        </w:rPr>
        <w:t>6 من الاتفاقية الأوروبية لحقوق الإنسان قد احتُرم فيما</w:t>
      </w:r>
      <w:r w:rsidRPr="00184E91">
        <w:rPr>
          <w:spacing w:val="-2"/>
          <w:rtl/>
          <w:lang w:val="fr-CH"/>
        </w:rPr>
        <w:t> </w:t>
      </w:r>
      <w:r w:rsidRPr="00184E91">
        <w:rPr>
          <w:rFonts w:hint="cs"/>
          <w:spacing w:val="-2"/>
          <w:rtl/>
          <w:lang w:val="fr-CH"/>
        </w:rPr>
        <w:t>يبدو؛ ولأن إصدار مذكرة توقيف دولية عقب فرار شخص مدان في الدرجة الأولى لا</w:t>
      </w:r>
      <w:r w:rsidRPr="00184E91">
        <w:rPr>
          <w:spacing w:val="-2"/>
          <w:rtl/>
          <w:lang w:val="fr-CH"/>
        </w:rPr>
        <w:t> </w:t>
      </w:r>
      <w:r w:rsidRPr="00184E91">
        <w:rPr>
          <w:rFonts w:hint="cs"/>
          <w:spacing w:val="-2"/>
          <w:rtl/>
          <w:lang w:val="fr-CH"/>
        </w:rPr>
        <w:t>يحرم الشخص المدان من إمكانية الاستئناف، وبالتالي فإن قرار الدولة الطرف توقيفَ صاحب الشكوى وتسليمه لا</w:t>
      </w:r>
      <w:r w:rsidRPr="00184E91">
        <w:rPr>
          <w:spacing w:val="-2"/>
          <w:rtl/>
          <w:lang w:val="fr-CH"/>
        </w:rPr>
        <w:t> </w:t>
      </w:r>
      <w:r w:rsidRPr="00184E91">
        <w:rPr>
          <w:rFonts w:hint="cs"/>
          <w:spacing w:val="-2"/>
          <w:rtl/>
          <w:lang w:val="fr-CH"/>
        </w:rPr>
        <w:t>يشكِّل انتهاكاً للقانون</w:t>
      </w:r>
      <w:r w:rsidRPr="00184E91">
        <w:rPr>
          <w:rFonts w:hint="eastAsia"/>
          <w:spacing w:val="-2"/>
          <w:rtl/>
          <w:lang w:val="fr-CH"/>
        </w:rPr>
        <w:t> </w:t>
      </w:r>
      <w:r w:rsidRPr="00184E91">
        <w:rPr>
          <w:rFonts w:hint="cs"/>
          <w:spacing w:val="-2"/>
          <w:rtl/>
          <w:lang w:val="fr-CH"/>
        </w:rPr>
        <w:t>الدولي.</w:t>
      </w:r>
    </w:p>
    <w:p w:rsidR="00091373" w:rsidRPr="00FA0FC2" w:rsidRDefault="00091373" w:rsidP="00675A35">
      <w:pPr>
        <w:pStyle w:val="SingleTxtGA"/>
        <w:spacing w:line="370" w:lineRule="exact"/>
        <w:rPr>
          <w:rFonts w:hint="cs"/>
          <w:rtl/>
          <w:lang w:val="fr-CH"/>
        </w:rPr>
      </w:pPr>
      <w:r w:rsidRPr="00FA0FC2">
        <w:rPr>
          <w:rFonts w:hint="cs"/>
          <w:rtl/>
          <w:lang w:val="fr-CH"/>
        </w:rPr>
        <w:t>2-4</w:t>
      </w:r>
      <w:r w:rsidRPr="00FA0FC2">
        <w:rPr>
          <w:rFonts w:hint="cs"/>
          <w:rtl/>
          <w:lang w:val="fr-CH"/>
        </w:rPr>
        <w:tab/>
        <w:t>وفي 19 حزيران/يونيه 2008، ردّت محكمة النقض في إمارة موناكو الطعن الذي تقدَّم به صاحب الشكوى لنقض القرار المذكور.</w:t>
      </w:r>
      <w:r>
        <w:rPr>
          <w:rFonts w:hint="cs"/>
          <w:rtl/>
          <w:lang w:val="fr-CH"/>
        </w:rPr>
        <w:t xml:space="preserve"> وفي</w:t>
      </w:r>
      <w:r>
        <w:rPr>
          <w:rtl/>
          <w:lang w:val="fr-CH"/>
        </w:rPr>
        <w:t> </w:t>
      </w:r>
      <w:r w:rsidRPr="00FA0FC2">
        <w:rPr>
          <w:rFonts w:hint="cs"/>
          <w:rtl/>
          <w:lang w:val="fr-CH"/>
        </w:rPr>
        <w:t>2 تموز/يوليه 2008، أذن أمير موناكو بتسليم صاحب الشكوى. ووقت تقديم البلاغ إلى اللجنة، كانت السلطات على وشك إتمام عملية ترحيل صاحب الشكوى إلى البرازيل.</w:t>
      </w:r>
    </w:p>
    <w:p w:rsidR="00091373" w:rsidRPr="00FA0FC2" w:rsidRDefault="00091373" w:rsidP="00091373">
      <w:pPr>
        <w:pStyle w:val="SingleTxtGA"/>
        <w:rPr>
          <w:rFonts w:hint="cs"/>
          <w:rtl/>
          <w:lang w:val="fr-CH"/>
        </w:rPr>
      </w:pPr>
      <w:r w:rsidRPr="00FA0FC2">
        <w:rPr>
          <w:rFonts w:hint="cs"/>
          <w:rtl/>
          <w:lang w:val="fr-CH"/>
        </w:rPr>
        <w:t>2-5</w:t>
      </w:r>
      <w:r w:rsidRPr="00FA0FC2">
        <w:rPr>
          <w:rFonts w:hint="cs"/>
          <w:rtl/>
          <w:lang w:val="fr-CH"/>
        </w:rPr>
        <w:tab/>
        <w:t>وفي وقت تالٍ، ردّت المحكمة الأوروبية لحقوق الإنسان الدعوى التي رفعها إليها السيد س. أ. س. في 24 حزيران/يونيه 2008.</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الشكوى</w:t>
      </w:r>
    </w:p>
    <w:p w:rsidR="00091373" w:rsidRPr="001F3891" w:rsidRDefault="00091373" w:rsidP="00091373">
      <w:pPr>
        <w:pStyle w:val="SingleTxtGA"/>
        <w:rPr>
          <w:rFonts w:hint="cs"/>
          <w:rtl/>
          <w:lang w:val="fr-CH"/>
        </w:rPr>
      </w:pPr>
      <w:r w:rsidRPr="001F3891">
        <w:rPr>
          <w:rFonts w:hint="cs"/>
          <w:rtl/>
          <w:lang w:val="fr-CH"/>
        </w:rPr>
        <w:t>3-1</w:t>
      </w:r>
      <w:r w:rsidRPr="001F3891">
        <w:rPr>
          <w:rFonts w:hint="cs"/>
          <w:rtl/>
          <w:lang w:val="fr-CH"/>
        </w:rPr>
        <w:tab/>
        <w:t>يزعم صاحب الشكوى أن إبعاده إلى البرازيل يعني دخوله السجن ليقضي العقوبة التي صدرت بحقه. ويدّعي أنه سيتعرض لمعاملة لا</w:t>
      </w:r>
      <w:r w:rsidR="001F3891" w:rsidRPr="001F3891">
        <w:rPr>
          <w:rFonts w:hint="cs"/>
          <w:rtl/>
          <w:lang w:val="fr-CH"/>
        </w:rPr>
        <w:t xml:space="preserve"> </w:t>
      </w:r>
      <w:r w:rsidRPr="001F3891">
        <w:rPr>
          <w:rFonts w:hint="cs"/>
          <w:rtl/>
          <w:lang w:val="fr-CH"/>
        </w:rPr>
        <w:t xml:space="preserve">إنسانية ومهينة بالنظر إلى الأوضاع السائدة في السجون البرازيلية وإلى الطبيعة الخاصة لقضيته. </w:t>
      </w:r>
    </w:p>
    <w:p w:rsidR="00091373" w:rsidRPr="001F3891" w:rsidRDefault="00091373" w:rsidP="00091373">
      <w:pPr>
        <w:pStyle w:val="SingleTxtGA"/>
        <w:rPr>
          <w:rFonts w:hint="cs"/>
          <w:rtl/>
          <w:lang w:val="fr-CH"/>
        </w:rPr>
      </w:pPr>
      <w:r w:rsidRPr="001F3891">
        <w:rPr>
          <w:rFonts w:hint="cs"/>
          <w:rtl/>
          <w:lang w:val="fr-CH"/>
        </w:rPr>
        <w:t>3-2</w:t>
      </w:r>
      <w:r w:rsidRPr="001F3891">
        <w:rPr>
          <w:rFonts w:hint="cs"/>
          <w:rtl/>
          <w:lang w:val="fr-CH"/>
        </w:rPr>
        <w:tab/>
        <w:t>وقد قضت محكمة برازيلية بسجن صاحب الشكوى لمدة 13 عاماً لارتكابه جريمة مالية، وهي عقوبة يعتبرها صاحب الشكوى غير متناسبة مع طبيعة الأفعال، على افتراض أنه أذنب، وهو ما</w:t>
      </w:r>
      <w:r w:rsidRPr="001F3891">
        <w:rPr>
          <w:rtl/>
          <w:lang w:val="fr-CH"/>
        </w:rPr>
        <w:t> </w:t>
      </w:r>
      <w:r w:rsidRPr="001F3891">
        <w:rPr>
          <w:rFonts w:hint="cs"/>
          <w:rtl/>
          <w:lang w:val="fr-CH"/>
        </w:rPr>
        <w:t>ينفيه صاحب الشكوى. ويقدِّم مقتطفات مأخوذة من تقارير صادرة عن جمعيات ومنظمات، كمنظمة هيومن رايتس ووتش ومنظمة العفو الدولية، وتقارير سمعية بصرية تنقل صورة عن الأوضاع السيئة التي تسود في سجون البرازيل، ومن بينها الاكتظاظ (وقت تقديم الشكوى، كان عدد نزلاء السجون في البرازيل يفوق طاقة الاستيعاب أربع مرات)</w:t>
      </w:r>
      <w:r w:rsidRPr="001F3891">
        <w:rPr>
          <w:vertAlign w:val="superscript"/>
          <w:rtl/>
          <w:lang w:val="fr-CH"/>
        </w:rPr>
        <w:t>(</w:t>
      </w:r>
      <w:r w:rsidRPr="001F3891">
        <w:rPr>
          <w:rStyle w:val="FootnoteReference"/>
          <w:rtl/>
          <w:lang w:val="fr-CH"/>
        </w:rPr>
        <w:footnoteReference w:id="269"/>
      </w:r>
      <w:r w:rsidRPr="001F3891">
        <w:rPr>
          <w:vertAlign w:val="superscript"/>
          <w:rtl/>
          <w:lang w:val="fr-CH"/>
        </w:rPr>
        <w:t>)</w:t>
      </w:r>
      <w:r w:rsidRPr="001F3891">
        <w:rPr>
          <w:rFonts w:hint="cs"/>
          <w:rtl/>
        </w:rPr>
        <w:t>، وتردِّي أوضاع النظافة الصحية، وتفشّي ظاهرة العنف الجسدي والنفسي، بما</w:t>
      </w:r>
      <w:r w:rsidRPr="001F3891">
        <w:rPr>
          <w:rtl/>
        </w:rPr>
        <w:t> </w:t>
      </w:r>
      <w:r w:rsidRPr="001F3891">
        <w:rPr>
          <w:rFonts w:hint="cs"/>
          <w:rtl/>
        </w:rPr>
        <w:t>في ذلك لجوء أفراد الشرطة إلى التعذيب لانتزاع اعترافات السجناء أو</w:t>
      </w:r>
      <w:r w:rsidRPr="001F3891">
        <w:rPr>
          <w:rtl/>
        </w:rPr>
        <w:t> </w:t>
      </w:r>
      <w:r w:rsidRPr="001F3891">
        <w:rPr>
          <w:rFonts w:hint="cs"/>
          <w:rtl/>
        </w:rPr>
        <w:t>لتخويفهم أو</w:t>
      </w:r>
      <w:r w:rsidRPr="001F3891">
        <w:rPr>
          <w:rtl/>
        </w:rPr>
        <w:t> </w:t>
      </w:r>
      <w:r w:rsidRPr="001F3891">
        <w:rPr>
          <w:rFonts w:hint="cs"/>
          <w:rtl/>
        </w:rPr>
        <w:t>ابتزازهم</w:t>
      </w:r>
      <w:r w:rsidRPr="001F3891">
        <w:rPr>
          <w:vertAlign w:val="superscript"/>
          <w:rtl/>
        </w:rPr>
        <w:t>(</w:t>
      </w:r>
      <w:r w:rsidRPr="001F3891">
        <w:rPr>
          <w:rStyle w:val="FootnoteReference"/>
          <w:rtl/>
        </w:rPr>
        <w:footnoteReference w:id="270"/>
      </w:r>
      <w:r w:rsidRPr="001F3891">
        <w:rPr>
          <w:vertAlign w:val="superscript"/>
          <w:rtl/>
        </w:rPr>
        <w:t>)</w:t>
      </w:r>
      <w:r w:rsidRPr="001F3891">
        <w:rPr>
          <w:rFonts w:hint="cs"/>
          <w:rtl/>
        </w:rPr>
        <w:t>.</w:t>
      </w:r>
    </w:p>
    <w:p w:rsidR="00091373" w:rsidRPr="001F3891" w:rsidRDefault="00091373" w:rsidP="001F3891">
      <w:pPr>
        <w:pStyle w:val="SingleTxtGA"/>
        <w:rPr>
          <w:rFonts w:hint="cs"/>
          <w:rtl/>
          <w:lang w:val="fr-CH"/>
        </w:rPr>
      </w:pPr>
      <w:r w:rsidRPr="001F3891">
        <w:rPr>
          <w:rFonts w:hint="cs"/>
          <w:rtl/>
          <w:lang w:val="fr-CH"/>
        </w:rPr>
        <w:t>3-3</w:t>
      </w:r>
      <w:r w:rsidRPr="001F3891">
        <w:rPr>
          <w:rFonts w:hint="cs"/>
          <w:rtl/>
          <w:lang w:val="fr-CH"/>
        </w:rPr>
        <w:tab/>
        <w:t>ويشير صاحب الشكوى إلى مقال نشر على موقع "سجناء الصمت"، وهو موقع إلكتروني يختص بتناول حالة المواطنين الإيطاليين المعرضين لانتهاكات حقوق الإنسان والمحتجزين في الخارج. وجاء في هذا المقال أنه عقب طلب توجه به مواطن إيطالي محتجز في البرازيل إلى وزارة الشؤون الخارجية من أجل التدخل لصالحه، وقّعت إيطاليا اتفاقية ثنائية مع البرازيل تتيح للمواطنين الإيطاليين المحكوم عليهم في البرازيل إمكانية قضاء العقوبة المحكوم بها في أحد سجون بلدهم الأصل، أي إيطاليا. ويدفع صاحب الشكوى بأن هذه الاتفاقية الثنائية</w:t>
      </w:r>
      <w:r w:rsidR="001F3891">
        <w:rPr>
          <w:rFonts w:hint="eastAsia"/>
          <w:rtl/>
          <w:lang w:val="fr-CH"/>
        </w:rPr>
        <w:t> </w:t>
      </w:r>
      <w:r w:rsidRPr="001F3891">
        <w:rPr>
          <w:rFonts w:hint="cs"/>
          <w:rtl/>
          <w:lang w:val="fr-CH"/>
        </w:rPr>
        <w:t>قد تنطبق عليه في حال إدانته بموجب حكم نهائي يصدر عن القضاء البرازيلي، شرط أن تستوفي الإجراءات المقامة أمام القضاء البرازيلي الضمانات القضائية الضرورية المعمول بها في إيطاليا.</w:t>
      </w:r>
    </w:p>
    <w:p w:rsidR="00091373" w:rsidRPr="00FA0FC2" w:rsidRDefault="00091373" w:rsidP="00091373">
      <w:pPr>
        <w:pStyle w:val="SingleTxtGA"/>
        <w:rPr>
          <w:rFonts w:hint="cs"/>
          <w:rtl/>
          <w:lang w:val="fr-CH"/>
        </w:rPr>
      </w:pPr>
      <w:r w:rsidRPr="001F3891">
        <w:rPr>
          <w:rFonts w:hint="cs"/>
          <w:rtl/>
          <w:lang w:val="fr-CH"/>
        </w:rPr>
        <w:t>3-4</w:t>
      </w:r>
      <w:r w:rsidRPr="001F3891">
        <w:rPr>
          <w:rFonts w:hint="cs"/>
          <w:rtl/>
          <w:lang w:val="fr-CH"/>
        </w:rPr>
        <w:tab/>
        <w:t>ورغم أن غرفة المشورة لدى محكمة الاستئناف في موناكو قد اطلعت على الأوضاع السائدة داخل السجون البرازيلية، وتحديداً بالاستناد إلى التماس مُوقَّع من عدد من السجناء البرازيليين الذين ينددون بالأوضاع السائدة داخل السجون البرازيلية، وإلى رسالة موجهة إلى أمير موناكو من محام سابق محتجز في البرازيل، لم</w:t>
      </w:r>
      <w:r w:rsidRPr="001F3891">
        <w:rPr>
          <w:rtl/>
          <w:lang w:val="fr-CH"/>
        </w:rPr>
        <w:t> </w:t>
      </w:r>
      <w:r w:rsidRPr="001F3891">
        <w:rPr>
          <w:rFonts w:hint="cs"/>
          <w:rtl/>
          <w:lang w:val="fr-CH"/>
        </w:rPr>
        <w:t>تر محكمة الاستئناف أن من واجبها أن تشترط في قرارها التزام السلطات البرازيلية بتوفير الضمانات اللازمة بخصوص احترام المادة</w:t>
      </w:r>
      <w:r w:rsidRPr="001F3891">
        <w:rPr>
          <w:rtl/>
          <w:lang w:val="fr-CH"/>
        </w:rPr>
        <w:t> </w:t>
      </w:r>
      <w:r w:rsidRPr="001F3891">
        <w:rPr>
          <w:rFonts w:hint="cs"/>
          <w:rtl/>
          <w:lang w:val="fr-CH"/>
        </w:rPr>
        <w:t>3</w:t>
      </w:r>
      <w:r w:rsidRPr="00FA0FC2">
        <w:rPr>
          <w:rFonts w:hint="cs"/>
          <w:rtl/>
          <w:lang w:val="fr-CH"/>
        </w:rPr>
        <w:t xml:space="preserve"> من الاتفاقية في حال تسليم صاحب الشكوى. ويشير صاحب الشكوى إلى أنه في عمر متقدم وأنه يعاني من فرط ضغط الدم الذي يجعله عرضة لعدد من المخاطر الصحية.</w:t>
      </w:r>
    </w:p>
    <w:p w:rsidR="00091373" w:rsidRPr="00FA0FC2" w:rsidRDefault="00091373" w:rsidP="00091373">
      <w:pPr>
        <w:pStyle w:val="SingleTxtGA"/>
        <w:rPr>
          <w:rFonts w:hint="cs"/>
          <w:rtl/>
          <w:lang w:val="fr-CH"/>
        </w:rPr>
      </w:pPr>
      <w:r w:rsidRPr="00FA0FC2">
        <w:rPr>
          <w:rFonts w:hint="cs"/>
          <w:rtl/>
          <w:lang w:val="fr-CH"/>
        </w:rPr>
        <w:t>3-5</w:t>
      </w:r>
      <w:r w:rsidRPr="00FA0FC2">
        <w:rPr>
          <w:rFonts w:hint="cs"/>
          <w:rtl/>
          <w:lang w:val="fr-CH"/>
        </w:rPr>
        <w:tab/>
        <w:t>ومند عشر سنوات،</w:t>
      </w:r>
      <w:r>
        <w:rPr>
          <w:rFonts w:hint="cs"/>
          <w:rtl/>
          <w:lang w:val="fr-CH"/>
        </w:rPr>
        <w:t xml:space="preserve"> ما</w:t>
      </w:r>
      <w:r>
        <w:rPr>
          <w:rtl/>
          <w:lang w:val="fr-CH"/>
        </w:rPr>
        <w:t> </w:t>
      </w:r>
      <w:r w:rsidRPr="00FA0FC2">
        <w:rPr>
          <w:rFonts w:hint="cs"/>
          <w:rtl/>
          <w:lang w:val="fr-CH"/>
        </w:rPr>
        <w:t>فتئت الصحافة والسلطات البرازيلية تقدم صاحب الشكوى على أنه عدو المجتمع. وبناءً عليه، يخشى صاحب الشكوى أن يتعرض لأعمال انتقامية نظراً للصورة السلبية التي نُقلت عنه من خلال الحملة الإعلامية التي استهدفته. ويُرفق صاحب الشكوى كتاباً من تأليفه يوضح موقفه من القضية. ويزعم أن السياق الذي نشأت فيه هذه القضية هو سياق سياسي بالأساس لأن إجراءات الملاحقة التي استهدفت صاحب الشكوى ومسؤولين آخرين في المصرف المركزي البرازيلي انطلقت عندما كانت أصابع الاتهام موجهة إلى مسؤولين كبار في الدولة البرازيلية ولأن صاحب الشكوى نفسه كان قد وجه اتهامات في هذا الصدد. ويُذكّر أن صاحب الشكوى ندد، في كتابه، بفساد مسؤولين معينين في السلطة القضائية، ومن بينهم على وجه التحديد القاضي الذي أصدر بحقه مذكرة توقيف في</w:t>
      </w:r>
      <w:r>
        <w:rPr>
          <w:rFonts w:hint="cs"/>
          <w:rtl/>
          <w:lang w:val="fr-CH"/>
        </w:rPr>
        <w:t xml:space="preserve"> عام</w:t>
      </w:r>
      <w:r>
        <w:rPr>
          <w:rtl/>
          <w:lang w:val="fr-CH"/>
        </w:rPr>
        <w:t> </w:t>
      </w:r>
      <w:r w:rsidRPr="00FA0FC2">
        <w:rPr>
          <w:rFonts w:hint="cs"/>
          <w:rtl/>
          <w:lang w:val="fr-CH"/>
        </w:rPr>
        <w:t>2007، والذي تعرض في وقت تالٍ للملاحقة القضائية لضلوعه في جرائم فساد.</w:t>
      </w:r>
    </w:p>
    <w:p w:rsidR="00091373" w:rsidRPr="00FA0FC2" w:rsidRDefault="00091373" w:rsidP="00091373">
      <w:pPr>
        <w:pStyle w:val="SingleTxtGA"/>
        <w:rPr>
          <w:rFonts w:hint="cs"/>
          <w:rtl/>
          <w:lang w:val="fr-CH"/>
        </w:rPr>
      </w:pPr>
      <w:r w:rsidRPr="00FA0FC2">
        <w:rPr>
          <w:rFonts w:hint="cs"/>
          <w:rtl/>
          <w:lang w:val="fr-CH"/>
        </w:rPr>
        <w:t>3-6</w:t>
      </w:r>
      <w:r w:rsidRPr="00FA0FC2">
        <w:rPr>
          <w:rFonts w:hint="cs"/>
          <w:rtl/>
          <w:lang w:val="fr-CH"/>
        </w:rPr>
        <w:tab/>
        <w:t>ويعتبر صاحب الشكوى أن حقوقه الأساسية</w:t>
      </w:r>
      <w:r>
        <w:rPr>
          <w:rFonts w:hint="cs"/>
          <w:rtl/>
          <w:lang w:val="fr-CH"/>
        </w:rPr>
        <w:t xml:space="preserve"> لم</w:t>
      </w:r>
      <w:r>
        <w:rPr>
          <w:rtl/>
          <w:lang w:val="fr-CH"/>
        </w:rPr>
        <w:t> </w:t>
      </w:r>
      <w:r w:rsidRPr="00FA0FC2">
        <w:rPr>
          <w:rFonts w:hint="cs"/>
          <w:rtl/>
          <w:lang w:val="fr-CH"/>
        </w:rPr>
        <w:t>تُحتَرم في إطار الإجراءات القضائية في البرازيل، لأن قرار الإفراج المشروط عنه ألغي دون أن تتاح له إمكانية إعداد دفاعه. ويقول إنه تعرض لمضايقة شديدة إلى درجة أن ابنته قررت الانتحار. زد على ذلك أن البرازيل كانت تستعد، وقت تقديم الشكوى إلى اللجنة، لإجراء انتخابات وطنية وأن الصحافة والسلطات البرازيلية كانت تعتبر أن صاحب الشكوى يمتلك معلومات تدل على تورط السلطات القائمة آن ذاك على أعلى المستويات.</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ملاحظات الدولة الطرف بشأن المقبولية</w:t>
      </w:r>
    </w:p>
    <w:p w:rsidR="00091373" w:rsidRPr="00FA0FC2" w:rsidRDefault="00091373" w:rsidP="00091373">
      <w:pPr>
        <w:pStyle w:val="SingleTxtGA"/>
        <w:rPr>
          <w:rFonts w:hint="cs"/>
          <w:rtl/>
          <w:lang w:val="fr-CH"/>
        </w:rPr>
      </w:pPr>
      <w:r w:rsidRPr="00FA0FC2">
        <w:rPr>
          <w:rFonts w:hint="cs"/>
          <w:rtl/>
          <w:lang w:val="fr-CH"/>
        </w:rPr>
        <w:t>4-1</w:t>
      </w:r>
      <w:r w:rsidRPr="00FA0FC2">
        <w:rPr>
          <w:rFonts w:hint="cs"/>
          <w:rtl/>
          <w:lang w:val="fr-CH"/>
        </w:rPr>
        <w:tab/>
        <w:t>في 9 أيلول/سبتمبر 2008، اعترضت الدولة الطرف على مقبولية البلاغ بموجب الفقرتين الفرعيتين (أ) و(ب) من الفقرة 5 من ال</w:t>
      </w:r>
      <w:r>
        <w:rPr>
          <w:rFonts w:hint="cs"/>
          <w:rtl/>
          <w:lang w:val="fr-CH"/>
        </w:rPr>
        <w:t>مادة</w:t>
      </w:r>
      <w:r>
        <w:rPr>
          <w:rtl/>
          <w:lang w:val="fr-CH"/>
        </w:rPr>
        <w:t> </w:t>
      </w:r>
      <w:r w:rsidRPr="00FA0FC2">
        <w:rPr>
          <w:rFonts w:hint="cs"/>
          <w:rtl/>
          <w:lang w:val="fr-CH"/>
        </w:rPr>
        <w:t>22 من الاتفاقية.</w:t>
      </w:r>
    </w:p>
    <w:p w:rsidR="00091373" w:rsidRPr="00FA0FC2" w:rsidRDefault="00091373" w:rsidP="00091373">
      <w:pPr>
        <w:pStyle w:val="SingleTxtGA"/>
        <w:rPr>
          <w:rFonts w:hint="cs"/>
          <w:rtl/>
          <w:lang w:val="fr-CH"/>
        </w:rPr>
      </w:pPr>
      <w:r w:rsidRPr="00FA0FC2">
        <w:rPr>
          <w:rFonts w:hint="cs"/>
          <w:rtl/>
          <w:lang w:val="fr-CH"/>
        </w:rPr>
        <w:t>4-2</w:t>
      </w:r>
      <w:r w:rsidRPr="00FA0FC2">
        <w:rPr>
          <w:rFonts w:hint="cs"/>
          <w:rtl/>
          <w:lang w:val="fr-CH"/>
        </w:rPr>
        <w:tab/>
        <w:t>وتلاحظ الدولة الطرف أن المعلومات المقدمة من صاحب الشكوى نفسه تبين أن المسألة ذاتها قد أحيلت إلى المحكمة الأوروبية لحقوق الإنسان، وتشير إلى أن صاحب الشكوى قد احتج بال</w:t>
      </w:r>
      <w:r>
        <w:rPr>
          <w:rFonts w:hint="cs"/>
          <w:rtl/>
          <w:lang w:val="fr-CH"/>
        </w:rPr>
        <w:t>مادة</w:t>
      </w:r>
      <w:r>
        <w:rPr>
          <w:rtl/>
          <w:lang w:val="fr-CH"/>
        </w:rPr>
        <w:t> </w:t>
      </w:r>
      <w:r w:rsidRPr="00FA0FC2">
        <w:rPr>
          <w:rFonts w:hint="cs"/>
          <w:rtl/>
          <w:lang w:val="fr-CH"/>
        </w:rPr>
        <w:t>3 من الاتفاقية الأوروبية لحقوق الإنسان التي تحظر التعذيب وغيره من ضروب العقوبة والمعاملة اللاإنسانية</w:t>
      </w:r>
      <w:r>
        <w:rPr>
          <w:rFonts w:hint="cs"/>
          <w:rtl/>
          <w:lang w:val="fr-CH"/>
        </w:rPr>
        <w:t xml:space="preserve"> أو</w:t>
      </w:r>
      <w:r>
        <w:rPr>
          <w:rtl/>
          <w:lang w:val="fr-CH"/>
        </w:rPr>
        <w:t> </w:t>
      </w:r>
      <w:r w:rsidRPr="00FA0FC2">
        <w:rPr>
          <w:rFonts w:hint="cs"/>
          <w:rtl/>
          <w:lang w:val="fr-CH"/>
        </w:rPr>
        <w:t>المهينة. ويُستنتَج في مثل هذه الظروف أن المسألة نفسها قد أحيلت إلى هيئة دولية أخرى من أجل النظر فيها. زد على ذلك أن رئيس الدائرة الخامسة التابعة للمحكمة الأوروبية لحقوق الإنسان الذي تلقى طلباً لاتخاذ تدابير مؤقتة تهدف إلى وقف تنفيذ قرار تسليم صاحب الشكوى، قرّر في 24 حزيران/يونيه 2008 ألا يأمر الدولة الطرف باتخاذ التدبير المؤقت المطلوب.</w:t>
      </w:r>
    </w:p>
    <w:p w:rsidR="00091373" w:rsidRPr="00E64023" w:rsidRDefault="00091373" w:rsidP="00091373">
      <w:pPr>
        <w:pStyle w:val="SingleTxtGA"/>
        <w:rPr>
          <w:rFonts w:hint="cs"/>
          <w:spacing w:val="-2"/>
          <w:rtl/>
          <w:lang w:val="fr-CH"/>
        </w:rPr>
      </w:pPr>
      <w:r w:rsidRPr="00E64023">
        <w:rPr>
          <w:rFonts w:hint="cs"/>
          <w:spacing w:val="-2"/>
          <w:rtl/>
          <w:lang w:val="fr-CH"/>
        </w:rPr>
        <w:t>4-3</w:t>
      </w:r>
      <w:r w:rsidRPr="00E64023">
        <w:rPr>
          <w:rFonts w:hint="cs"/>
          <w:spacing w:val="-2"/>
          <w:rtl/>
          <w:lang w:val="fr-CH"/>
        </w:rPr>
        <w:tab/>
        <w:t>وتؤكد الدولة الطرف أيضاً أن على صاحب الشكوى أن يتحقق من استنفاد جميع سبل الانتصاف المتاحة محلياً قبل أن يرفع شكواه إلى اللجنة. وتشير إلى أن صاحب الشكوى كان بإمكانه أن يلجأ إلى المحكمة العليا ويطلب إلغاء قرار التسليم النهائي استناداً إلى المادة</w:t>
      </w:r>
      <w:r w:rsidRPr="00E64023">
        <w:rPr>
          <w:spacing w:val="-2"/>
          <w:rtl/>
          <w:lang w:val="fr-CH"/>
        </w:rPr>
        <w:t> </w:t>
      </w:r>
      <w:r w:rsidRPr="00E64023">
        <w:rPr>
          <w:rFonts w:hint="cs"/>
          <w:spacing w:val="-2"/>
          <w:rtl/>
          <w:lang w:val="fr-CH"/>
        </w:rPr>
        <w:t>90 من الدستور</w:t>
      </w:r>
      <w:r w:rsidRPr="00E64023">
        <w:rPr>
          <w:spacing w:val="-2"/>
          <w:vertAlign w:val="superscript"/>
          <w:rtl/>
          <w:lang w:val="fr-CH"/>
        </w:rPr>
        <w:t>(</w:t>
      </w:r>
      <w:r w:rsidRPr="00E64023">
        <w:rPr>
          <w:rFonts w:hint="cs"/>
          <w:spacing w:val="-2"/>
          <w:sz w:val="30"/>
          <w:vertAlign w:val="superscript"/>
          <w:rtl/>
          <w:lang w:val="es-ES"/>
        </w:rPr>
        <w:t>ﻫ</w:t>
      </w:r>
      <w:r w:rsidRPr="00E64023">
        <w:rPr>
          <w:rStyle w:val="FootnoteReference"/>
          <w:color w:val="FFFFFF"/>
          <w:spacing w:val="-2"/>
          <w:sz w:val="2"/>
          <w:szCs w:val="2"/>
          <w:rtl/>
          <w:lang w:val="fr-CH"/>
        </w:rPr>
        <w:footnoteReference w:id="271"/>
      </w:r>
      <w:r w:rsidRPr="00E64023">
        <w:rPr>
          <w:spacing w:val="-2"/>
          <w:vertAlign w:val="superscript"/>
          <w:rtl/>
          <w:lang w:val="fr-CH"/>
        </w:rPr>
        <w:t>)</w:t>
      </w:r>
      <w:r w:rsidRPr="00E64023">
        <w:rPr>
          <w:rFonts w:hint="cs"/>
          <w:spacing w:val="-2"/>
          <w:rtl/>
          <w:lang w:val="fr-CH"/>
        </w:rPr>
        <w:t>، ولكنه لم</w:t>
      </w:r>
      <w:r w:rsidRPr="00E64023">
        <w:rPr>
          <w:spacing w:val="-2"/>
          <w:rtl/>
          <w:lang w:val="fr-CH"/>
        </w:rPr>
        <w:t> </w:t>
      </w:r>
      <w:r w:rsidRPr="00E64023">
        <w:rPr>
          <w:rFonts w:hint="cs"/>
          <w:spacing w:val="-2"/>
          <w:rtl/>
          <w:lang w:val="fr-CH"/>
        </w:rPr>
        <w:t>يفعل. زد على ذلك أن لائحة 16 نيسان/أبريل 1963 المتعلقة بتنظيم المحكمة العليا وتسيير أعمالها تنص، في مادتيها 39 و44، على تدابير عاجلة فيما</w:t>
      </w:r>
      <w:r w:rsidRPr="00E64023">
        <w:rPr>
          <w:spacing w:val="-2"/>
          <w:rtl/>
          <w:lang w:val="fr-CH"/>
        </w:rPr>
        <w:t> </w:t>
      </w:r>
      <w:r w:rsidRPr="00E64023">
        <w:rPr>
          <w:rFonts w:hint="cs"/>
          <w:spacing w:val="-2"/>
          <w:rtl/>
          <w:lang w:val="fr-CH"/>
        </w:rPr>
        <w:t>يتعلق بتأجيل التنفيذ وبالقضايا الاستعجالية. وتتيح المادة</w:t>
      </w:r>
      <w:r w:rsidRPr="00E64023">
        <w:rPr>
          <w:spacing w:val="-2"/>
          <w:rtl/>
          <w:lang w:val="fr-CH"/>
        </w:rPr>
        <w:t> </w:t>
      </w:r>
      <w:r w:rsidRPr="00E64023">
        <w:rPr>
          <w:rFonts w:hint="cs"/>
          <w:spacing w:val="-2"/>
          <w:rtl/>
          <w:lang w:val="fr-CH"/>
        </w:rPr>
        <w:t>40 لصاحب الشكوى إمكانية طلب تأجيل التنفيذ ريثما تبت المحكمة العليا في أساس القضية. وبما</w:t>
      </w:r>
      <w:r w:rsidRPr="00E64023">
        <w:rPr>
          <w:spacing w:val="-2"/>
          <w:rtl/>
          <w:lang w:val="fr-CH"/>
        </w:rPr>
        <w:t> </w:t>
      </w:r>
      <w:r w:rsidRPr="00E64023">
        <w:rPr>
          <w:rFonts w:hint="cs"/>
          <w:spacing w:val="-2"/>
          <w:rtl/>
          <w:lang w:val="fr-CH"/>
        </w:rPr>
        <w:t>أن صاحب الشكوى لم</w:t>
      </w:r>
      <w:r w:rsidRPr="00E64023">
        <w:rPr>
          <w:spacing w:val="-2"/>
          <w:rtl/>
          <w:lang w:val="fr-CH"/>
        </w:rPr>
        <w:t> </w:t>
      </w:r>
      <w:r w:rsidRPr="00E64023">
        <w:rPr>
          <w:rFonts w:hint="cs"/>
          <w:spacing w:val="-2"/>
          <w:rtl/>
          <w:lang w:val="fr-CH"/>
        </w:rPr>
        <w:t>يقدم أي طلب من هذا القبيل، تعتبر الدولة الطرف أنه لم</w:t>
      </w:r>
      <w:r w:rsidRPr="00E64023">
        <w:rPr>
          <w:spacing w:val="-2"/>
          <w:rtl/>
          <w:lang w:val="fr-CH"/>
        </w:rPr>
        <w:t> </w:t>
      </w:r>
      <w:r w:rsidRPr="00E64023">
        <w:rPr>
          <w:rFonts w:hint="cs"/>
          <w:spacing w:val="-2"/>
          <w:rtl/>
          <w:lang w:val="fr-CH"/>
        </w:rPr>
        <w:t>يستنفذ سبل الانتصاف المتاحة</w:t>
      </w:r>
      <w:r w:rsidRPr="00E64023">
        <w:rPr>
          <w:rFonts w:hint="eastAsia"/>
          <w:spacing w:val="-2"/>
          <w:rtl/>
          <w:lang w:val="fr-CH"/>
        </w:rPr>
        <w:t> </w:t>
      </w:r>
      <w:r w:rsidRPr="00E64023">
        <w:rPr>
          <w:rFonts w:hint="cs"/>
          <w:spacing w:val="-2"/>
          <w:rtl/>
          <w:lang w:val="fr-CH"/>
        </w:rPr>
        <w:t>محلياً.</w:t>
      </w:r>
    </w:p>
    <w:p w:rsidR="00091373" w:rsidRPr="00FA0FC2" w:rsidRDefault="00091373" w:rsidP="00091373">
      <w:pPr>
        <w:pStyle w:val="SingleTxtGA"/>
        <w:rPr>
          <w:rFonts w:hint="cs"/>
          <w:rtl/>
          <w:lang w:val="fr-CH"/>
        </w:rPr>
      </w:pPr>
      <w:r w:rsidRPr="00FA0FC2">
        <w:rPr>
          <w:rFonts w:hint="cs"/>
          <w:rtl/>
          <w:lang w:val="fr-CH"/>
        </w:rPr>
        <w:t>4-4</w:t>
      </w:r>
      <w:r w:rsidRPr="00FA0FC2">
        <w:rPr>
          <w:rFonts w:hint="cs"/>
          <w:rtl/>
          <w:lang w:val="fr-CH"/>
        </w:rPr>
        <w:tab/>
        <w:t>وتعتبر الدولة الطرف أن صاحب البلاغ، الذي كان معرضاً للتسليم، كان عليه أن يمارس سبيل الانتصاف هذا بوصفه سبيلاً مجدياً. وعلى الرغم من أن إجراء التسليم يصنف حسب مبادئ القانون الدولي العام في فئة الإجراءات السيادية، فإن المحكمة العليا رأت أن إجراء التسليم يمكن أن يخضع لمراجعتها إذا تبين أن الإجراء "لا يستجيب لضرورات الممارسة العادية للتسليم"</w:t>
      </w:r>
      <w:r w:rsidRPr="00FA0FC2">
        <w:rPr>
          <w:vertAlign w:val="superscript"/>
          <w:rtl/>
          <w:lang w:val="fr-CH"/>
        </w:rPr>
        <w:t>(</w:t>
      </w:r>
      <w:r w:rsidRPr="00FA0FC2">
        <w:rPr>
          <w:rStyle w:val="FootnoteReference"/>
          <w:rtl/>
          <w:lang w:val="fr-CH"/>
        </w:rPr>
        <w:footnoteReference w:id="272"/>
      </w:r>
      <w:r w:rsidRPr="00FA0FC2">
        <w:rPr>
          <w:vertAlign w:val="superscript"/>
          <w:rtl/>
          <w:lang w:val="fr-CH"/>
        </w:rPr>
        <w:t>)</w:t>
      </w:r>
      <w:r w:rsidRPr="00FA0FC2">
        <w:rPr>
          <w:rFonts w:hint="cs"/>
          <w:rtl/>
          <w:lang w:val="fr-CH"/>
        </w:rPr>
        <w:t>، وهو</w:t>
      </w:r>
      <w:r>
        <w:rPr>
          <w:rFonts w:hint="cs"/>
          <w:rtl/>
          <w:lang w:val="fr-CH"/>
        </w:rPr>
        <w:t xml:space="preserve"> ما</w:t>
      </w:r>
      <w:r>
        <w:rPr>
          <w:rtl/>
          <w:lang w:val="fr-CH"/>
        </w:rPr>
        <w:t> </w:t>
      </w:r>
      <w:r w:rsidRPr="00FA0FC2">
        <w:rPr>
          <w:rFonts w:hint="cs"/>
          <w:rtl/>
          <w:lang w:val="fr-CH"/>
        </w:rPr>
        <w:t>يزعمه صاحب الشكوى الذي يدفع في مختلف الطلبات والالتماسات التي قدمها إلى السلطات القضائية بأن الإجراءات المتخذة بحقه غير مطابقة للقانون. وحتى على افتراض أن النصوص القانونية</w:t>
      </w:r>
      <w:r>
        <w:rPr>
          <w:rFonts w:hint="cs"/>
          <w:rtl/>
          <w:lang w:val="fr-CH"/>
        </w:rPr>
        <w:t xml:space="preserve"> لا</w:t>
      </w:r>
      <w:r>
        <w:rPr>
          <w:rtl/>
          <w:lang w:val="fr-CH"/>
        </w:rPr>
        <w:t> </w:t>
      </w:r>
      <w:r w:rsidRPr="00FA0FC2">
        <w:rPr>
          <w:rFonts w:hint="cs"/>
          <w:rtl/>
          <w:lang w:val="fr-CH"/>
        </w:rPr>
        <w:t>تتناول صراحةً إمكانية وقف التنفيذ، فإن قرار التسليم</w:t>
      </w:r>
      <w:r>
        <w:rPr>
          <w:rFonts w:hint="cs"/>
          <w:rtl/>
          <w:lang w:val="fr-CH"/>
        </w:rPr>
        <w:t xml:space="preserve"> لا</w:t>
      </w:r>
      <w:r>
        <w:rPr>
          <w:rtl/>
          <w:lang w:val="fr-CH"/>
        </w:rPr>
        <w:t> </w:t>
      </w:r>
      <w:r w:rsidRPr="00FA0FC2">
        <w:rPr>
          <w:rFonts w:hint="cs"/>
          <w:rtl/>
          <w:lang w:val="fr-CH"/>
        </w:rPr>
        <w:t>يمكن تنفيذه في الواقع</w:t>
      </w:r>
      <w:r>
        <w:rPr>
          <w:rFonts w:hint="cs"/>
          <w:rtl/>
          <w:lang w:val="fr-CH"/>
        </w:rPr>
        <w:t xml:space="preserve"> إلا</w:t>
      </w:r>
      <w:r>
        <w:rPr>
          <w:rtl/>
          <w:lang w:val="fr-CH"/>
        </w:rPr>
        <w:t> </w:t>
      </w:r>
      <w:r w:rsidRPr="00FA0FC2">
        <w:rPr>
          <w:rFonts w:hint="cs"/>
          <w:rtl/>
          <w:lang w:val="fr-CH"/>
        </w:rPr>
        <w:t>بعد أن يعدّ مدير الدوائر القضائية تقريراً شاملاً يقدمه إلى الأمير ويبين فيه مختلف العناصر المتعلقة بالقضية بموجب الإجراء المنصوص عليه في قانون 28 كانون الأول/ديسمبر 1999 المتعلق بالتسليم، وتحديداً ال</w:t>
      </w:r>
      <w:r>
        <w:rPr>
          <w:rFonts w:hint="cs"/>
          <w:rtl/>
          <w:lang w:val="fr-CH"/>
        </w:rPr>
        <w:t>مادة</w:t>
      </w:r>
      <w:r>
        <w:rPr>
          <w:rtl/>
          <w:lang w:val="fr-CH"/>
        </w:rPr>
        <w:t> </w:t>
      </w:r>
      <w:r w:rsidRPr="00FA0FC2">
        <w:rPr>
          <w:rFonts w:hint="cs"/>
          <w:rtl/>
          <w:lang w:val="fr-CH"/>
        </w:rPr>
        <w:t>17 من القانون المذكور،</w:t>
      </w:r>
      <w:r>
        <w:rPr>
          <w:rFonts w:hint="cs"/>
          <w:rtl/>
          <w:lang w:val="fr-CH"/>
        </w:rPr>
        <w:t xml:space="preserve"> ولا</w:t>
      </w:r>
      <w:r>
        <w:rPr>
          <w:rtl/>
          <w:lang w:val="fr-CH"/>
        </w:rPr>
        <w:t> </w:t>
      </w:r>
      <w:r w:rsidRPr="00FA0FC2">
        <w:rPr>
          <w:rFonts w:hint="cs"/>
          <w:rtl/>
          <w:lang w:val="fr-CH"/>
        </w:rPr>
        <w:t>سيما إذا تعلق الأمر بقرارات تدخل في نطاق قضايا</w:t>
      </w:r>
      <w:r>
        <w:rPr>
          <w:rFonts w:hint="cs"/>
          <w:rtl/>
          <w:lang w:val="fr-CH"/>
        </w:rPr>
        <w:t xml:space="preserve"> لا</w:t>
      </w:r>
      <w:r>
        <w:rPr>
          <w:rtl/>
          <w:lang w:val="fr-CH"/>
        </w:rPr>
        <w:t> </w:t>
      </w:r>
      <w:r w:rsidRPr="00FA0FC2">
        <w:rPr>
          <w:rFonts w:hint="cs"/>
          <w:rtl/>
          <w:lang w:val="fr-CH"/>
        </w:rPr>
        <w:t>تزال جارية. وعلى أي حال، تلاحظ الدولة الطرف أن الأمير</w:t>
      </w:r>
      <w:r>
        <w:rPr>
          <w:rFonts w:hint="cs"/>
          <w:rtl/>
          <w:lang w:val="fr-CH"/>
        </w:rPr>
        <w:t xml:space="preserve"> لم</w:t>
      </w:r>
      <w:r>
        <w:rPr>
          <w:rtl/>
          <w:lang w:val="fr-CH"/>
        </w:rPr>
        <w:t> </w:t>
      </w:r>
      <w:r w:rsidRPr="00FA0FC2">
        <w:rPr>
          <w:rFonts w:hint="cs"/>
          <w:rtl/>
          <w:lang w:val="fr-CH"/>
        </w:rPr>
        <w:t>يأذن بتسليم صاحب الشكوى</w:t>
      </w:r>
      <w:r>
        <w:rPr>
          <w:rFonts w:hint="cs"/>
          <w:rtl/>
          <w:lang w:val="fr-CH"/>
        </w:rPr>
        <w:t xml:space="preserve"> إلا</w:t>
      </w:r>
      <w:r>
        <w:rPr>
          <w:rtl/>
          <w:lang w:val="fr-CH"/>
        </w:rPr>
        <w:t> </w:t>
      </w:r>
      <w:r w:rsidRPr="00FA0FC2">
        <w:rPr>
          <w:rFonts w:hint="cs"/>
          <w:rtl/>
          <w:lang w:val="fr-CH"/>
        </w:rPr>
        <w:t>في 2 تموز/</w:t>
      </w:r>
      <w:r>
        <w:rPr>
          <w:rFonts w:hint="cs"/>
          <w:rtl/>
          <w:lang w:val="fr-CH"/>
        </w:rPr>
        <w:t>يوليه</w:t>
      </w:r>
      <w:r w:rsidRPr="00FA0FC2">
        <w:rPr>
          <w:rFonts w:hint="eastAsia"/>
          <w:rtl/>
          <w:lang w:val="fr-CH"/>
        </w:rPr>
        <w:t> </w:t>
      </w:r>
      <w:r w:rsidRPr="00FA0FC2">
        <w:rPr>
          <w:rFonts w:hint="cs"/>
          <w:rtl/>
          <w:lang w:val="fr-CH"/>
        </w:rPr>
        <w:t>2008، أي بعد أن ردت المحكمة الأوروبية لحقوق الإنسان، ثم اللجنة، الطلبات المتعلقة بمنح صاحب الشكوى تدابير حماية مؤقتة.</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ملاحظات الدولة الطرف بشأن الأسس الموضوعية</w:t>
      </w:r>
    </w:p>
    <w:p w:rsidR="00091373" w:rsidRPr="00804DAF" w:rsidRDefault="00091373" w:rsidP="00091373">
      <w:pPr>
        <w:pStyle w:val="SingleTxtGA"/>
        <w:spacing w:line="375" w:lineRule="exact"/>
        <w:rPr>
          <w:rFonts w:hint="cs"/>
          <w:spacing w:val="-2"/>
          <w:rtl/>
          <w:lang w:val="fr-CH"/>
        </w:rPr>
      </w:pPr>
      <w:r w:rsidRPr="00804DAF">
        <w:rPr>
          <w:rFonts w:hint="cs"/>
          <w:spacing w:val="-2"/>
          <w:rtl/>
          <w:lang w:val="fr-CH"/>
        </w:rPr>
        <w:t>5-1</w:t>
      </w:r>
      <w:r w:rsidRPr="00804DAF">
        <w:rPr>
          <w:rFonts w:hint="cs"/>
          <w:spacing w:val="-2"/>
          <w:rtl/>
          <w:lang w:val="fr-CH"/>
        </w:rPr>
        <w:tab/>
        <w:t>في 5 كانون الثاني/يناير 2009، قدمت الدولة الطرف ملاحظاتها بشأن الأسس الموضوعية. ففيما يتعلق أولاً بحالة حقوق الإنسان في البرازيل، تقر الدولة الطرف بصحة التعليقات الانتقادية الصادرة عن وسائط الإعلام بخصوص اكتظاظ السجون في البرازيل، مثلما أشارت إليه اللجنة نفسها في ملاحظاتها الختامية بشأن الحالة في البرازيل بتاريخ 16 أيار/</w:t>
      </w:r>
      <w:r>
        <w:rPr>
          <w:rFonts w:hint="cs"/>
          <w:spacing w:val="-2"/>
          <w:rtl/>
          <w:lang w:val="fr-CH"/>
        </w:rPr>
        <w:t xml:space="preserve"> </w:t>
      </w:r>
      <w:r w:rsidRPr="00804DAF">
        <w:rPr>
          <w:rFonts w:hint="cs"/>
          <w:spacing w:val="-2"/>
          <w:rtl/>
          <w:lang w:val="fr-CH"/>
        </w:rPr>
        <w:t>مايو</w:t>
      </w:r>
      <w:r>
        <w:rPr>
          <w:rFonts w:hint="eastAsia"/>
          <w:spacing w:val="-2"/>
          <w:rtl/>
          <w:lang w:val="fr-CH"/>
        </w:rPr>
        <w:t> </w:t>
      </w:r>
      <w:r w:rsidRPr="00804DAF">
        <w:rPr>
          <w:rFonts w:hint="cs"/>
          <w:spacing w:val="-2"/>
          <w:rtl/>
          <w:lang w:val="fr-CH"/>
        </w:rPr>
        <w:t>2001. غير أن الدولة الطرف تلاحظ أن اللجنة قد أقرت بعدد من الجوانب الإيجابية، ومن ذلك الإصلاحات التشريعية التي أجريت في نيسان/أبريل 1997 لتجريم أعمال التعذيب والمعاقبة عليها. وقد تجسد اهتمام السلطات البرازيلية بتحسين الوضع العام داخل السجون من خلال التصديق في 12 كانون الثاني/يناير 2007 على البروتوكول الاختياري لاتفاقية الأمم المتحدة لمناهضة التعذيب المؤرخ 18 كانون الأول/ديسمبر 2002. وبالتالي، كان على صاحب الشكوى أن يمارس سبيل الانتصاف الذي يتيحه قانون نيسان/أبريل 1997، بدلاً من أن يحكم مسبقاً على مدى استعداد البرازيل لوضع توصيات اللجنة موضع التنفيذ.</w:t>
      </w:r>
    </w:p>
    <w:p w:rsidR="00091373" w:rsidRPr="00804DAF" w:rsidRDefault="00091373" w:rsidP="00091373">
      <w:pPr>
        <w:pStyle w:val="SingleTxtGA"/>
        <w:spacing w:line="375" w:lineRule="exact"/>
        <w:rPr>
          <w:rFonts w:hint="cs"/>
          <w:spacing w:val="-2"/>
          <w:rtl/>
          <w:lang w:val="fr-CH"/>
        </w:rPr>
      </w:pPr>
      <w:r w:rsidRPr="00804DAF">
        <w:rPr>
          <w:rFonts w:hint="cs"/>
          <w:spacing w:val="-2"/>
          <w:rtl/>
          <w:lang w:val="fr-CH"/>
        </w:rPr>
        <w:t>5-2</w:t>
      </w:r>
      <w:r w:rsidRPr="00804DAF">
        <w:rPr>
          <w:rFonts w:hint="cs"/>
          <w:spacing w:val="-2"/>
          <w:rtl/>
          <w:lang w:val="fr-CH"/>
        </w:rPr>
        <w:tab/>
        <w:t>زد على ذلك أن وزارة العدل في البرازيل بينت، في طلبها الرسمي المتعلق بتسليم صاحب الشكوى والمؤرخ 20 أيلول/سبتمبر 2007، أن الدستور البرازيلي لا</w:t>
      </w:r>
      <w:r w:rsidRPr="00804DAF">
        <w:rPr>
          <w:spacing w:val="-2"/>
          <w:rtl/>
          <w:lang w:val="fr-CH"/>
        </w:rPr>
        <w:t> </w:t>
      </w:r>
      <w:r w:rsidRPr="00804DAF">
        <w:rPr>
          <w:rFonts w:hint="cs"/>
          <w:spacing w:val="-2"/>
          <w:rtl/>
          <w:lang w:val="fr-CH"/>
        </w:rPr>
        <w:t>يجيز عقوبة الإعدام وعقوبة السجن المؤبد وعقوبة الأشغال الشاقة وعقوبة النفي وأي شكل آخر من أشكال العقوبة القاسية، بحيث تصبح غير شرعية وغير قابلة للتنفيذ في الأراضي الوطنية أي عقوبات تنال من كرامة الذات البشرية باعتبارها مخالفة للدستور. وتلاحظ الدولة الطرف أيضاً</w:t>
      </w:r>
      <w:r>
        <w:rPr>
          <w:rFonts w:hint="eastAsia"/>
          <w:spacing w:val="-2"/>
          <w:rtl/>
          <w:lang w:val="fr-CH"/>
        </w:rPr>
        <w:t> </w:t>
      </w:r>
      <w:r w:rsidRPr="00804DAF">
        <w:rPr>
          <w:rFonts w:hint="cs"/>
          <w:spacing w:val="-2"/>
          <w:rtl/>
          <w:lang w:val="fr-CH"/>
        </w:rPr>
        <w:t>أن اللجنة لم</w:t>
      </w:r>
      <w:r w:rsidRPr="00804DAF">
        <w:rPr>
          <w:spacing w:val="-2"/>
          <w:rtl/>
          <w:lang w:val="fr-CH"/>
        </w:rPr>
        <w:t> </w:t>
      </w:r>
      <w:r w:rsidRPr="00804DAF">
        <w:rPr>
          <w:rFonts w:hint="cs"/>
          <w:spacing w:val="-2"/>
          <w:rtl/>
          <w:lang w:val="fr-CH"/>
        </w:rPr>
        <w:t>تتلق حتى الآن أي شكوى ضد البرازيل رغم أن هذا البلد قد قبل باختصاص اللجنة فيما</w:t>
      </w:r>
      <w:r w:rsidRPr="00804DAF">
        <w:rPr>
          <w:spacing w:val="-2"/>
          <w:rtl/>
          <w:lang w:val="fr-CH"/>
        </w:rPr>
        <w:t> </w:t>
      </w:r>
      <w:r w:rsidRPr="00804DAF">
        <w:rPr>
          <w:rFonts w:hint="cs"/>
          <w:spacing w:val="-2"/>
          <w:rtl/>
          <w:lang w:val="fr-CH"/>
        </w:rPr>
        <w:t>يتعلق بالنظر في شكاوى الأفراد.</w:t>
      </w:r>
    </w:p>
    <w:p w:rsidR="00091373" w:rsidRPr="00FA0FC2" w:rsidRDefault="00091373" w:rsidP="00091373">
      <w:pPr>
        <w:pStyle w:val="SingleTxtGA"/>
        <w:spacing w:line="375" w:lineRule="exact"/>
        <w:rPr>
          <w:rFonts w:hint="cs"/>
          <w:rtl/>
          <w:lang w:val="fr-CH"/>
        </w:rPr>
      </w:pPr>
      <w:r w:rsidRPr="00FA0FC2">
        <w:rPr>
          <w:rFonts w:hint="cs"/>
          <w:rtl/>
          <w:lang w:val="fr-CH"/>
        </w:rPr>
        <w:t>5-3</w:t>
      </w:r>
      <w:r w:rsidRPr="00FA0FC2">
        <w:rPr>
          <w:rFonts w:hint="cs"/>
          <w:rtl/>
          <w:lang w:val="fr-CH"/>
        </w:rPr>
        <w:tab/>
        <w:t>وتقول الدولة الطرف كذلك إن الانتهاكات، إن ثبت حدوثها،</w:t>
      </w:r>
      <w:r>
        <w:rPr>
          <w:rFonts w:hint="cs"/>
          <w:rtl/>
          <w:lang w:val="fr-CH"/>
        </w:rPr>
        <w:t xml:space="preserve"> لا</w:t>
      </w:r>
      <w:r>
        <w:rPr>
          <w:rtl/>
          <w:lang w:val="fr-CH"/>
        </w:rPr>
        <w:t> </w:t>
      </w:r>
      <w:r w:rsidRPr="00FA0FC2">
        <w:rPr>
          <w:rFonts w:hint="cs"/>
          <w:rtl/>
          <w:lang w:val="fr-CH"/>
        </w:rPr>
        <w:t>تشكل بحد ذاتها، حسب اجتهادات اللجنة، سبباً كافياً للوصول إلى نتيجة مفادها أن شخصاً</w:t>
      </w:r>
      <w:r>
        <w:rPr>
          <w:rFonts w:hint="cs"/>
          <w:rtl/>
          <w:lang w:val="fr-CH"/>
        </w:rPr>
        <w:t xml:space="preserve"> ما</w:t>
      </w:r>
      <w:r>
        <w:rPr>
          <w:rtl/>
          <w:lang w:val="fr-CH"/>
        </w:rPr>
        <w:t> </w:t>
      </w:r>
      <w:r w:rsidRPr="00FA0FC2">
        <w:rPr>
          <w:rFonts w:hint="cs"/>
          <w:rtl/>
          <w:lang w:val="fr-CH"/>
        </w:rPr>
        <w:t>معرض لخطر التعذيب، لأن هذا الخطر يجب أن يكون شخصياً. وبناء عليه، يتعين على صاحب الشكوى أن يقيم الدليل على هذا الخطر ويثبت أن الادعاء بوجود هذا الخطر</w:t>
      </w:r>
      <w:r>
        <w:rPr>
          <w:rFonts w:hint="cs"/>
          <w:rtl/>
          <w:lang w:val="fr-CH"/>
        </w:rPr>
        <w:t xml:space="preserve"> لا</w:t>
      </w:r>
      <w:r>
        <w:rPr>
          <w:rtl/>
          <w:lang w:val="fr-CH"/>
        </w:rPr>
        <w:t> </w:t>
      </w:r>
      <w:r w:rsidRPr="00FA0FC2">
        <w:rPr>
          <w:rFonts w:hint="cs"/>
          <w:rtl/>
          <w:lang w:val="fr-CH"/>
        </w:rPr>
        <w:t>يقوم على أساس مجرد افتراضات</w:t>
      </w:r>
      <w:r>
        <w:rPr>
          <w:rFonts w:hint="cs"/>
          <w:rtl/>
          <w:lang w:val="fr-CH"/>
        </w:rPr>
        <w:t xml:space="preserve"> أو</w:t>
      </w:r>
      <w:r>
        <w:rPr>
          <w:rtl/>
          <w:lang w:val="fr-CH"/>
        </w:rPr>
        <w:t> </w:t>
      </w:r>
      <w:r w:rsidRPr="00FA0FC2">
        <w:rPr>
          <w:rFonts w:hint="cs"/>
          <w:rtl/>
          <w:lang w:val="fr-CH"/>
        </w:rPr>
        <w:t>شكوك. وتلاحظ أن صاحب الشكوى</w:t>
      </w:r>
      <w:r>
        <w:rPr>
          <w:rFonts w:hint="cs"/>
          <w:rtl/>
          <w:lang w:val="fr-CH"/>
        </w:rPr>
        <w:t xml:space="preserve"> لم</w:t>
      </w:r>
      <w:r>
        <w:rPr>
          <w:rtl/>
          <w:lang w:val="fr-CH"/>
        </w:rPr>
        <w:t> </w:t>
      </w:r>
      <w:r w:rsidRPr="00FA0FC2">
        <w:rPr>
          <w:rFonts w:hint="cs"/>
          <w:rtl/>
          <w:lang w:val="fr-CH"/>
        </w:rPr>
        <w:t>يقدم هذا الدليل في إطار الشكوى التي رفعها للجنة،</w:t>
      </w:r>
      <w:r>
        <w:rPr>
          <w:rFonts w:hint="cs"/>
          <w:rtl/>
          <w:lang w:val="fr-CH"/>
        </w:rPr>
        <w:t xml:space="preserve"> كما</w:t>
      </w:r>
      <w:r>
        <w:rPr>
          <w:rtl/>
          <w:lang w:val="fr-CH"/>
        </w:rPr>
        <w:t> </w:t>
      </w:r>
      <w:r w:rsidRPr="00FA0FC2">
        <w:rPr>
          <w:rFonts w:hint="cs"/>
          <w:rtl/>
          <w:lang w:val="fr-CH"/>
        </w:rPr>
        <w:t>أنه</w:t>
      </w:r>
      <w:r>
        <w:rPr>
          <w:rFonts w:hint="cs"/>
          <w:rtl/>
          <w:lang w:val="fr-CH"/>
        </w:rPr>
        <w:t xml:space="preserve"> لم</w:t>
      </w:r>
      <w:r>
        <w:rPr>
          <w:rtl/>
          <w:lang w:val="fr-CH"/>
        </w:rPr>
        <w:t> </w:t>
      </w:r>
      <w:r w:rsidRPr="00FA0FC2">
        <w:rPr>
          <w:rFonts w:hint="cs"/>
          <w:rtl/>
          <w:lang w:val="fr-CH"/>
        </w:rPr>
        <w:t>يقدم أية عناصر تؤكد ادعاءاته أمام محاكم الدولة الطرف في إطار الإجراءات القضائية المحلية. فالمستندات التي قدمها صاحب الشكوى إلى الهيئات القضائية المحلية تقتصر على رسالتين من سجينين برازيليين تتضمنان ادعاءات عامة بشأن الظروف السائدة داخل السجون في البرازيل، إضافة إلى التماس يحمل توقيع عدد من السجناء.</w:t>
      </w:r>
      <w:r>
        <w:rPr>
          <w:rFonts w:hint="cs"/>
          <w:rtl/>
          <w:lang w:val="fr-CH"/>
        </w:rPr>
        <w:t xml:space="preserve"> وبما</w:t>
      </w:r>
      <w:r>
        <w:rPr>
          <w:rtl/>
          <w:lang w:val="fr-CH"/>
        </w:rPr>
        <w:t> </w:t>
      </w:r>
      <w:r w:rsidRPr="00FA0FC2">
        <w:rPr>
          <w:rFonts w:hint="cs"/>
          <w:rtl/>
          <w:lang w:val="fr-CH"/>
        </w:rPr>
        <w:t>أن هذه المستندات</w:t>
      </w:r>
      <w:r>
        <w:rPr>
          <w:rFonts w:hint="cs"/>
          <w:rtl/>
          <w:lang w:val="fr-CH"/>
        </w:rPr>
        <w:t xml:space="preserve"> لا</w:t>
      </w:r>
      <w:r>
        <w:rPr>
          <w:rtl/>
          <w:lang w:val="fr-CH"/>
        </w:rPr>
        <w:t> </w:t>
      </w:r>
      <w:r w:rsidRPr="00FA0FC2">
        <w:rPr>
          <w:rFonts w:hint="cs"/>
          <w:rtl/>
          <w:lang w:val="fr-CH"/>
        </w:rPr>
        <w:t>تفيد بأن الادعاءات الواردة فيها تتعلق بمركز من المراكز التي أودع فيها صاحب الشكوى، تقول الدولة الطرف إن من حقها أن تشكك في مدى حجية هذه المستندات.</w:t>
      </w:r>
    </w:p>
    <w:p w:rsidR="00091373" w:rsidRPr="00FA0FC2" w:rsidRDefault="00091373" w:rsidP="00091373">
      <w:pPr>
        <w:pStyle w:val="SingleTxtGA"/>
        <w:spacing w:line="375" w:lineRule="exact"/>
        <w:rPr>
          <w:rFonts w:hint="cs"/>
          <w:spacing w:val="-2"/>
          <w:rtl/>
        </w:rPr>
      </w:pPr>
      <w:r w:rsidRPr="00FA0FC2">
        <w:rPr>
          <w:rFonts w:hint="cs"/>
          <w:spacing w:val="-2"/>
          <w:rtl/>
          <w:lang w:val="fr-CH"/>
        </w:rPr>
        <w:t>5-4</w:t>
      </w:r>
      <w:r w:rsidRPr="00FA0FC2">
        <w:rPr>
          <w:rFonts w:hint="cs"/>
          <w:spacing w:val="-2"/>
          <w:rtl/>
          <w:lang w:val="fr-CH"/>
        </w:rPr>
        <w:tab/>
        <w:t>وتلاحظ الدولة الطرف أن صاحب الشكوى</w:t>
      </w:r>
      <w:r>
        <w:rPr>
          <w:rFonts w:hint="cs"/>
          <w:spacing w:val="-2"/>
          <w:rtl/>
          <w:lang w:val="fr-CH"/>
        </w:rPr>
        <w:t xml:space="preserve"> لم</w:t>
      </w:r>
      <w:r>
        <w:rPr>
          <w:spacing w:val="-2"/>
          <w:rtl/>
          <w:lang w:val="fr-CH"/>
        </w:rPr>
        <w:t> </w:t>
      </w:r>
      <w:r w:rsidRPr="00FA0FC2">
        <w:rPr>
          <w:rFonts w:hint="cs"/>
          <w:spacing w:val="-2"/>
          <w:rtl/>
          <w:lang w:val="fr-CH"/>
        </w:rPr>
        <w:t>يُثر مسألة تعرضه للتعذيب أمام غرفة المشورة لدى محكمة الاستئناف في حين أنه قدَّم التماساً إلى هذه الهيئة القضائية من أجل إبطال إجراء التسليم. فقد اكتفى صاحب الشكوى بالإشارة إلى الوثائق الآنفة الذكر (انظر الفقرة</w:t>
      </w:r>
      <w:r w:rsidRPr="00FA0FC2">
        <w:rPr>
          <w:rFonts w:hint="eastAsia"/>
          <w:spacing w:val="-2"/>
          <w:rtl/>
          <w:lang w:val="fr-CH"/>
        </w:rPr>
        <w:t> </w:t>
      </w:r>
      <w:r w:rsidRPr="00FA0FC2">
        <w:rPr>
          <w:rFonts w:hint="cs"/>
          <w:spacing w:val="-2"/>
          <w:rtl/>
          <w:lang w:val="fr-CH"/>
        </w:rPr>
        <w:t>5-3 أعلاه) ولكنه</w:t>
      </w:r>
      <w:r>
        <w:rPr>
          <w:rFonts w:hint="cs"/>
          <w:spacing w:val="-2"/>
          <w:rtl/>
          <w:lang w:val="fr-CH"/>
        </w:rPr>
        <w:t xml:space="preserve"> لم</w:t>
      </w:r>
      <w:r>
        <w:rPr>
          <w:spacing w:val="-2"/>
          <w:rtl/>
          <w:lang w:val="fr-CH"/>
        </w:rPr>
        <w:t> </w:t>
      </w:r>
      <w:r w:rsidRPr="00FA0FC2">
        <w:rPr>
          <w:rFonts w:hint="cs"/>
          <w:spacing w:val="-2"/>
          <w:rtl/>
          <w:lang w:val="fr-CH"/>
        </w:rPr>
        <w:t>يبيّن كيف يمكن الاعتماد على تلك الوثائق كأساس لطلب إبطال قرار التسليم في حين أن خطر التعرض للمعاملة السيئة</w:t>
      </w:r>
      <w:r>
        <w:rPr>
          <w:rFonts w:hint="cs"/>
          <w:spacing w:val="-2"/>
          <w:rtl/>
          <w:lang w:val="fr-CH"/>
        </w:rPr>
        <w:t xml:space="preserve"> أو</w:t>
      </w:r>
      <w:r>
        <w:rPr>
          <w:spacing w:val="-2"/>
          <w:rtl/>
          <w:lang w:val="fr-CH"/>
        </w:rPr>
        <w:t> </w:t>
      </w:r>
      <w:r w:rsidRPr="00FA0FC2">
        <w:rPr>
          <w:rFonts w:hint="cs"/>
          <w:spacing w:val="-2"/>
          <w:rtl/>
          <w:lang w:val="fr-CH"/>
        </w:rPr>
        <w:t>التعذيب يشكّل سبباً قانونياً لرفض التسليم بموجب ال</w:t>
      </w:r>
      <w:r>
        <w:rPr>
          <w:rFonts w:hint="cs"/>
          <w:spacing w:val="-2"/>
          <w:rtl/>
          <w:lang w:val="fr-CH"/>
        </w:rPr>
        <w:t>مادة</w:t>
      </w:r>
      <w:r>
        <w:rPr>
          <w:spacing w:val="-2"/>
          <w:rtl/>
          <w:lang w:val="fr-CH"/>
        </w:rPr>
        <w:t> </w:t>
      </w:r>
      <w:r w:rsidRPr="00FA0FC2">
        <w:rPr>
          <w:rFonts w:hint="cs"/>
          <w:spacing w:val="-2"/>
          <w:rtl/>
          <w:lang w:val="fr-CH"/>
        </w:rPr>
        <w:t xml:space="preserve">6 من القانون رقم 1-222 المؤرخ 28 </w:t>
      </w:r>
      <w:r w:rsidRPr="00FA0FC2">
        <w:rPr>
          <w:rFonts w:hint="cs"/>
          <w:spacing w:val="-2"/>
          <w:sz w:val="30"/>
          <w:rtl/>
          <w:lang w:val="fr-CH"/>
        </w:rPr>
        <w:t xml:space="preserve">كانون الأول/ديسمبر </w:t>
      </w:r>
      <w:r w:rsidRPr="00FA0FC2">
        <w:rPr>
          <w:rFonts w:hint="cs"/>
          <w:spacing w:val="-2"/>
          <w:rtl/>
          <w:lang w:val="fr-CH"/>
        </w:rPr>
        <w:t>1999 المتعلق بالتسليم. وبناءً عليه،</w:t>
      </w:r>
      <w:r>
        <w:rPr>
          <w:rFonts w:hint="cs"/>
          <w:spacing w:val="-2"/>
          <w:rtl/>
          <w:lang w:val="fr-CH"/>
        </w:rPr>
        <w:t xml:space="preserve"> لم</w:t>
      </w:r>
      <w:r>
        <w:rPr>
          <w:spacing w:val="-2"/>
          <w:rtl/>
          <w:lang w:val="fr-CH"/>
        </w:rPr>
        <w:t> </w:t>
      </w:r>
      <w:r w:rsidRPr="00FA0FC2">
        <w:rPr>
          <w:rFonts w:hint="cs"/>
          <w:spacing w:val="-2"/>
          <w:rtl/>
          <w:lang w:val="fr-CH"/>
        </w:rPr>
        <w:t>يقدم صاحب الشكوى الدفوع</w:t>
      </w:r>
      <w:r>
        <w:rPr>
          <w:rFonts w:hint="cs"/>
          <w:spacing w:val="-2"/>
          <w:rtl/>
          <w:lang w:val="fr-CH"/>
        </w:rPr>
        <w:t xml:space="preserve"> أو</w:t>
      </w:r>
      <w:r>
        <w:rPr>
          <w:spacing w:val="-2"/>
          <w:rtl/>
          <w:lang w:val="fr-CH"/>
        </w:rPr>
        <w:t> </w:t>
      </w:r>
      <w:r w:rsidRPr="00FA0FC2">
        <w:rPr>
          <w:rFonts w:hint="cs"/>
          <w:spacing w:val="-2"/>
          <w:rtl/>
          <w:lang w:val="fr-CH"/>
        </w:rPr>
        <w:t xml:space="preserve">الحجج الكافية كي تنظر الهيئات القضائية في هذه المسألة. </w:t>
      </w:r>
      <w:r w:rsidRPr="00FA0FC2">
        <w:rPr>
          <w:rFonts w:hint="cs"/>
          <w:spacing w:val="-2"/>
          <w:rtl/>
        </w:rPr>
        <w:t>وتشير الدولة الطرف إلى قضية سابقة تتعلق بتسليم شخص إلى الاتحاد الروسي، وتؤكد أن محكمة الاستئناف كانت قد طلبت إلى السلطات الروسية عدداً من الضمانات، وضمَّنت طلبها اشتراطات محددة كالحق في تلقي زيارة أفراد الأسرة وزيارة موظفي القنصلية بمجرد أن يُثبت الشخص المعني تعرُّضه لسوء المعاملة في الاتحاد الروسي</w:t>
      </w:r>
      <w:r w:rsidRPr="00FA0FC2">
        <w:rPr>
          <w:spacing w:val="-2"/>
          <w:vertAlign w:val="superscript"/>
          <w:rtl/>
        </w:rPr>
        <w:t>(</w:t>
      </w:r>
      <w:r w:rsidRPr="00FA0FC2">
        <w:rPr>
          <w:rStyle w:val="FootnoteReference"/>
          <w:spacing w:val="-2"/>
          <w:rtl/>
        </w:rPr>
        <w:footnoteReference w:id="273"/>
      </w:r>
      <w:r w:rsidRPr="00FA0FC2">
        <w:rPr>
          <w:spacing w:val="-2"/>
          <w:vertAlign w:val="superscript"/>
          <w:rtl/>
        </w:rPr>
        <w:t>)</w:t>
      </w:r>
      <w:r w:rsidRPr="00FA0FC2">
        <w:rPr>
          <w:rFonts w:hint="cs"/>
          <w:spacing w:val="-2"/>
          <w:rtl/>
        </w:rPr>
        <w:t>. وتشير إلى أن محامي صاحب الشكوى كان يُدرك اجتهاد محكمة الاستئناف في هذا الشأن،</w:t>
      </w:r>
      <w:r>
        <w:rPr>
          <w:rFonts w:hint="cs"/>
          <w:spacing w:val="-2"/>
          <w:rtl/>
        </w:rPr>
        <w:t xml:space="preserve"> بما</w:t>
      </w:r>
      <w:r>
        <w:rPr>
          <w:spacing w:val="-2"/>
          <w:rtl/>
        </w:rPr>
        <w:t> </w:t>
      </w:r>
      <w:r w:rsidRPr="00FA0FC2">
        <w:rPr>
          <w:rFonts w:hint="cs"/>
          <w:spacing w:val="-2"/>
          <w:rtl/>
        </w:rPr>
        <w:t>أنه هو من نَاب عن الشخص المعني بقضية التسليم إلى الاتحاد الروسي التي سبِقَت القضية المعروضة الآن على اللجنة. وتتساءل الدولة الطرف عن الأسباب التي جعلت نفس المحامي</w:t>
      </w:r>
      <w:r>
        <w:rPr>
          <w:rFonts w:hint="cs"/>
          <w:spacing w:val="-2"/>
          <w:rtl/>
        </w:rPr>
        <w:t xml:space="preserve"> لا</w:t>
      </w:r>
      <w:r>
        <w:rPr>
          <w:spacing w:val="-2"/>
          <w:rtl/>
        </w:rPr>
        <w:t> </w:t>
      </w:r>
      <w:r w:rsidRPr="00FA0FC2">
        <w:rPr>
          <w:rFonts w:hint="cs"/>
          <w:spacing w:val="-2"/>
          <w:rtl/>
        </w:rPr>
        <w:t>يُثير هذا الدفع في إطار قضية صاحب الشكوى. وهي تُوحي من خلال هذا التساؤل بأن غياب مثل هذه الدفوع يدلُّ على أن محامي صاحب الشكوى غير قادر على أن يُثبت أن صاحب الشكوى سيتعرض للتعذيب</w:t>
      </w:r>
      <w:r>
        <w:rPr>
          <w:rFonts w:hint="cs"/>
          <w:spacing w:val="-2"/>
          <w:rtl/>
        </w:rPr>
        <w:t xml:space="preserve"> أو</w:t>
      </w:r>
      <w:r>
        <w:rPr>
          <w:spacing w:val="-2"/>
          <w:rtl/>
        </w:rPr>
        <w:t> </w:t>
      </w:r>
      <w:r w:rsidRPr="00FA0FC2">
        <w:rPr>
          <w:rFonts w:hint="cs"/>
          <w:spacing w:val="-2"/>
          <w:rtl/>
        </w:rPr>
        <w:t>لسوء المعاملة في حال عودته إلى البرازيل.</w:t>
      </w:r>
    </w:p>
    <w:p w:rsidR="00091373" w:rsidRPr="00675A35" w:rsidRDefault="00091373" w:rsidP="00091373">
      <w:pPr>
        <w:pStyle w:val="SingleTxtGA"/>
        <w:spacing w:line="375" w:lineRule="exact"/>
        <w:rPr>
          <w:rFonts w:hint="cs"/>
          <w:spacing w:val="-2"/>
          <w:rtl/>
        </w:rPr>
      </w:pPr>
      <w:r w:rsidRPr="00675A35">
        <w:rPr>
          <w:rFonts w:hint="cs"/>
          <w:spacing w:val="-2"/>
          <w:rtl/>
        </w:rPr>
        <w:t>5-5</w:t>
      </w:r>
      <w:r w:rsidRPr="00675A35">
        <w:rPr>
          <w:rFonts w:hint="cs"/>
          <w:spacing w:val="-2"/>
          <w:rtl/>
        </w:rPr>
        <w:tab/>
        <w:t>وتلاحظ الدولة الطرف أيضاً أن المذكرات التي قدمها محامي صاحب الشكوى إلى محكمة الاستئناف في الإمارة قد أغرقت في العموميات وتناولت بوجه خاص بعض الانتهاكات الممكنة لحق الدفاع دون أن تُقدم حججاً قاطعة أو</w:t>
      </w:r>
      <w:r w:rsidRPr="00675A35">
        <w:rPr>
          <w:spacing w:val="-2"/>
          <w:rtl/>
        </w:rPr>
        <w:t> </w:t>
      </w:r>
      <w:r w:rsidRPr="00675A35">
        <w:rPr>
          <w:rFonts w:hint="cs"/>
          <w:spacing w:val="-2"/>
          <w:rtl/>
        </w:rPr>
        <w:t>أدلة حقيقية تكشف عن حالات سوء معاملة تشكِّل نمطاً من الانتهاكات الجسيمة أو</w:t>
      </w:r>
      <w:r w:rsidRPr="00675A35">
        <w:rPr>
          <w:spacing w:val="-2"/>
          <w:rtl/>
        </w:rPr>
        <w:t> </w:t>
      </w:r>
      <w:r w:rsidRPr="00675A35">
        <w:rPr>
          <w:rFonts w:hint="cs"/>
          <w:spacing w:val="-2"/>
          <w:rtl/>
        </w:rPr>
        <w:t>الصارخة أو</w:t>
      </w:r>
      <w:r w:rsidRPr="00675A35">
        <w:rPr>
          <w:spacing w:val="-2"/>
          <w:rtl/>
        </w:rPr>
        <w:t> </w:t>
      </w:r>
      <w:r w:rsidRPr="00675A35">
        <w:rPr>
          <w:rFonts w:hint="cs"/>
          <w:spacing w:val="-2"/>
          <w:rtl/>
        </w:rPr>
        <w:t>الجماعية لحقوق الإنسان. فالمحامي يلاحظ بوجه الخصوص أن صاحب الشكوى أُدين بدون وجه حق وأن العقوبة المحكوم بها عليه صدرت عن قاضٍ منفرد في سياق سياسي محض وجاءت غير متناسبة مع طبيعة الأفعال.</w:t>
      </w:r>
    </w:p>
    <w:p w:rsidR="00091373" w:rsidRPr="00FA0FC2" w:rsidRDefault="00091373" w:rsidP="00091373">
      <w:pPr>
        <w:pStyle w:val="SingleTxtGA"/>
        <w:spacing w:line="375" w:lineRule="exact"/>
        <w:rPr>
          <w:rFonts w:hint="cs"/>
          <w:rtl/>
        </w:rPr>
      </w:pPr>
      <w:r w:rsidRPr="00FA0FC2">
        <w:rPr>
          <w:rFonts w:hint="cs"/>
          <w:rtl/>
        </w:rPr>
        <w:t>5-6</w:t>
      </w:r>
      <w:r w:rsidRPr="00FA0FC2">
        <w:rPr>
          <w:rFonts w:hint="cs"/>
          <w:rtl/>
        </w:rPr>
        <w:tab/>
        <w:t xml:space="preserve">وتؤكد الدولة الطرف أيضاً أن غرفة المشورة لدى محكمة الاستئناف في موناكو طلبت، في 26 </w:t>
      </w:r>
      <w:r w:rsidRPr="00FA0FC2">
        <w:rPr>
          <w:rFonts w:hint="cs"/>
          <w:sz w:val="30"/>
          <w:rtl/>
        </w:rPr>
        <w:t xml:space="preserve">شباط/فبراير </w:t>
      </w:r>
      <w:r w:rsidRPr="00FA0FC2">
        <w:rPr>
          <w:rFonts w:hint="cs"/>
          <w:rtl/>
        </w:rPr>
        <w:t xml:space="preserve">2008، الحصول على جميع المواد التي من شأنها أن تمكنها من النظر في الطعون التي قدمها صاحب الشكوى لاستئناف حكم الإدانة الصادر في البرازيل، وطلبت إلى الدولة البرازيلية أن تكفَل دراسة الاستئناف في إطار إجراءات وجاهية في حال تسليم صاحب الشكوى بموجب مذكرة التوقيف. وردَّت السلطات البرازيلية على هذا الطلب في مذكرة شفوية بتاريخ 20 </w:t>
      </w:r>
      <w:r w:rsidRPr="00FA0FC2">
        <w:rPr>
          <w:rFonts w:hint="cs"/>
          <w:sz w:val="30"/>
          <w:rtl/>
        </w:rPr>
        <w:t xml:space="preserve">شباط/فبراير </w:t>
      </w:r>
      <w:r w:rsidRPr="00FA0FC2">
        <w:rPr>
          <w:rFonts w:hint="cs"/>
          <w:rtl/>
        </w:rPr>
        <w:t>2008، وأكدت أن جميع الطعون التي تُرفَع إلى السلطة القضائية في البرازيل ينظر فيها حسب مبدأ وجاهية الإجراءات، وأن الدولة البرازيلية تلتزم بدراسة الطعون المقدَّمة من صاحب الشكوى،</w:t>
      </w:r>
      <w:r>
        <w:rPr>
          <w:rFonts w:hint="cs"/>
          <w:rtl/>
        </w:rPr>
        <w:t xml:space="preserve"> بما</w:t>
      </w:r>
      <w:r>
        <w:rPr>
          <w:rtl/>
        </w:rPr>
        <w:t> </w:t>
      </w:r>
      <w:r w:rsidRPr="00FA0FC2">
        <w:rPr>
          <w:rFonts w:hint="cs"/>
          <w:rtl/>
        </w:rPr>
        <w:t>في ذلك طعنه في قرار إدانته.</w:t>
      </w:r>
    </w:p>
    <w:p w:rsidR="00091373" w:rsidRPr="00FA0FC2" w:rsidRDefault="00091373" w:rsidP="00EE55B8">
      <w:pPr>
        <w:pStyle w:val="SingleTxtGA"/>
        <w:rPr>
          <w:rFonts w:hint="cs"/>
          <w:rtl/>
        </w:rPr>
      </w:pPr>
      <w:r w:rsidRPr="00FA0FC2">
        <w:rPr>
          <w:rFonts w:hint="cs"/>
          <w:rtl/>
        </w:rPr>
        <w:t>5-7</w:t>
      </w:r>
      <w:r w:rsidRPr="00FA0FC2">
        <w:rPr>
          <w:rFonts w:hint="cs"/>
          <w:rtl/>
        </w:rPr>
        <w:tab/>
        <w:t>وتعتبر الدولة الطرف أن رفض اللجنة، ومن قبلها المحكمة الأوروبية لحقوق الإنسان، منح تدابير حماية مؤقتة في هذه القضية، يُدلِّل أيضاً على ضُعف الحجج التي قدمها صاحب الشكوى</w:t>
      </w:r>
      <w:r>
        <w:rPr>
          <w:rFonts w:hint="cs"/>
          <w:rtl/>
        </w:rPr>
        <w:t xml:space="preserve"> فيما</w:t>
      </w:r>
      <w:r>
        <w:rPr>
          <w:rtl/>
        </w:rPr>
        <w:t> </w:t>
      </w:r>
      <w:r w:rsidRPr="00FA0FC2">
        <w:rPr>
          <w:rFonts w:hint="cs"/>
          <w:rtl/>
        </w:rPr>
        <w:t>يتعلق بخطر تعرضه للتعذيب</w:t>
      </w:r>
      <w:r>
        <w:rPr>
          <w:rFonts w:hint="cs"/>
          <w:rtl/>
        </w:rPr>
        <w:t xml:space="preserve"> أو</w:t>
      </w:r>
      <w:r>
        <w:rPr>
          <w:rtl/>
        </w:rPr>
        <w:t> </w:t>
      </w:r>
      <w:r w:rsidRPr="00FA0FC2">
        <w:rPr>
          <w:rFonts w:hint="cs"/>
          <w:rtl/>
        </w:rPr>
        <w:t>لسوء المعاملة. وتذكِّر باجتهاد اللجنة الذي مفاده أن على صاحب الشكوى أن يقيم الدليل على أنه يواجه خطر التعرض للتعذيب وأن ثمة أسباباً قوية تدعو إلى الاعتقاد بأن الخطر شخصي وماثل</w:t>
      </w:r>
      <w:r w:rsidRPr="00FA0FC2">
        <w:rPr>
          <w:vertAlign w:val="superscript"/>
          <w:rtl/>
        </w:rPr>
        <w:t>(</w:t>
      </w:r>
      <w:r w:rsidRPr="00FA0FC2">
        <w:rPr>
          <w:rStyle w:val="FootnoteReference"/>
          <w:rtl/>
        </w:rPr>
        <w:footnoteReference w:id="274"/>
      </w:r>
      <w:r w:rsidRPr="00FA0FC2">
        <w:rPr>
          <w:vertAlign w:val="superscript"/>
          <w:rtl/>
        </w:rPr>
        <w:t>)</w:t>
      </w:r>
      <w:r w:rsidRPr="00FA0FC2">
        <w:rPr>
          <w:rFonts w:hint="cs"/>
          <w:rtl/>
        </w:rPr>
        <w:t>.</w:t>
      </w:r>
      <w:r>
        <w:rPr>
          <w:rFonts w:hint="cs"/>
          <w:rtl/>
        </w:rPr>
        <w:t xml:space="preserve"> وفيما</w:t>
      </w:r>
      <w:r>
        <w:rPr>
          <w:rtl/>
        </w:rPr>
        <w:t> </w:t>
      </w:r>
      <w:r w:rsidRPr="00FA0FC2">
        <w:rPr>
          <w:rFonts w:hint="cs"/>
          <w:rtl/>
        </w:rPr>
        <w:t xml:space="preserve">يتعلق بادعاء صاحب </w:t>
      </w:r>
      <w:r w:rsidRPr="00675A35">
        <w:rPr>
          <w:rFonts w:hint="cs"/>
          <w:spacing w:val="-2"/>
          <w:rtl/>
        </w:rPr>
        <w:t>الشكوى الذي مفاده أنه مُعرَّض شخصياً للخطر لأسباب سياسية، ما</w:t>
      </w:r>
      <w:r w:rsidRPr="00675A35">
        <w:rPr>
          <w:spacing w:val="-2"/>
          <w:rtl/>
        </w:rPr>
        <w:t> </w:t>
      </w:r>
      <w:r w:rsidRPr="00675A35">
        <w:rPr>
          <w:rFonts w:hint="cs"/>
          <w:spacing w:val="-2"/>
          <w:rtl/>
        </w:rPr>
        <w:t>يوحي بأنه ما</w:t>
      </w:r>
      <w:r w:rsidRPr="00675A35">
        <w:rPr>
          <w:spacing w:val="-2"/>
          <w:rtl/>
        </w:rPr>
        <w:t> </w:t>
      </w:r>
      <w:r w:rsidRPr="00675A35">
        <w:rPr>
          <w:rFonts w:hint="cs"/>
          <w:spacing w:val="-2"/>
          <w:rtl/>
        </w:rPr>
        <w:t>زال</w:t>
      </w:r>
      <w:r w:rsidRPr="00FA0FC2">
        <w:rPr>
          <w:rFonts w:hint="cs"/>
          <w:rtl/>
        </w:rPr>
        <w:t xml:space="preserve"> يمثّل، بعد مضي أكثر من 10 سنوات على الوقائع، عدو المجتمع رقم 1، وأنه مُعرَّض للخطر لأنه يمسك معلومات قد تنال من بعض الجهات، تعتبر الدولة الطرف أن الأمر</w:t>
      </w:r>
      <w:r>
        <w:rPr>
          <w:rFonts w:hint="cs"/>
          <w:rtl/>
        </w:rPr>
        <w:t xml:space="preserve"> لا</w:t>
      </w:r>
      <w:r>
        <w:rPr>
          <w:rtl/>
        </w:rPr>
        <w:t> </w:t>
      </w:r>
      <w:r w:rsidRPr="00FA0FC2">
        <w:rPr>
          <w:rFonts w:hint="cs"/>
          <w:rtl/>
        </w:rPr>
        <w:t>يعدو أن يكون مُجرَّد فرضيات</w:t>
      </w:r>
      <w:r>
        <w:rPr>
          <w:rFonts w:hint="cs"/>
          <w:rtl/>
        </w:rPr>
        <w:t xml:space="preserve"> أو</w:t>
      </w:r>
      <w:r>
        <w:rPr>
          <w:rtl/>
        </w:rPr>
        <w:t> </w:t>
      </w:r>
      <w:r w:rsidRPr="00FA0FC2">
        <w:rPr>
          <w:rFonts w:hint="cs"/>
          <w:rtl/>
        </w:rPr>
        <w:t>شكوك</w:t>
      </w:r>
      <w:r>
        <w:rPr>
          <w:rFonts w:hint="cs"/>
          <w:rtl/>
        </w:rPr>
        <w:t xml:space="preserve"> أو</w:t>
      </w:r>
      <w:r>
        <w:rPr>
          <w:rtl/>
        </w:rPr>
        <w:t> </w:t>
      </w:r>
      <w:r w:rsidRPr="00FA0FC2">
        <w:rPr>
          <w:rFonts w:hint="cs"/>
          <w:rtl/>
        </w:rPr>
        <w:t>تقديرات شخصية، لأن صاحب الشكوى</w:t>
      </w:r>
      <w:r>
        <w:rPr>
          <w:rFonts w:hint="cs"/>
          <w:rtl/>
        </w:rPr>
        <w:t xml:space="preserve"> لم</w:t>
      </w:r>
      <w:r>
        <w:rPr>
          <w:rtl/>
        </w:rPr>
        <w:t> </w:t>
      </w:r>
      <w:r w:rsidRPr="00FA0FC2">
        <w:rPr>
          <w:rFonts w:hint="cs"/>
          <w:rtl/>
        </w:rPr>
        <w:t>يقدم أي دليل قاطع يؤيد هذا الطرح.</w:t>
      </w:r>
    </w:p>
    <w:p w:rsidR="00091373" w:rsidRPr="00FA0FC2" w:rsidRDefault="00091373" w:rsidP="00EE55B8">
      <w:pPr>
        <w:pStyle w:val="SingleTxtGA"/>
        <w:rPr>
          <w:rFonts w:hint="cs"/>
          <w:rtl/>
        </w:rPr>
      </w:pPr>
      <w:r w:rsidRPr="00FA0FC2">
        <w:rPr>
          <w:rFonts w:hint="cs"/>
          <w:rtl/>
        </w:rPr>
        <w:t>5-8</w:t>
      </w:r>
      <w:r w:rsidRPr="00FA0FC2">
        <w:rPr>
          <w:rFonts w:hint="cs"/>
          <w:rtl/>
        </w:rPr>
        <w:tab/>
        <w:t>علاوة على ذلك، فعلى الرغم من أن تصوير صاحب الشكوى وهو مصفد اليدين خلال نقله من السجن إلى مقر المحكمة في البرازيل، يشكِّل بحد ذاته فعلاً مهيناً، فإن هذا الفعل</w:t>
      </w:r>
      <w:r>
        <w:rPr>
          <w:rFonts w:hint="cs"/>
          <w:rtl/>
        </w:rPr>
        <w:t xml:space="preserve"> لا</w:t>
      </w:r>
      <w:r>
        <w:rPr>
          <w:rtl/>
        </w:rPr>
        <w:t> </w:t>
      </w:r>
      <w:r w:rsidRPr="00FA0FC2">
        <w:rPr>
          <w:rFonts w:hint="cs"/>
          <w:rtl/>
        </w:rPr>
        <w:t>يصل إلى درجة من الخطورة يمكن معها تصنيفه في فئة المعاملة السيئة. وتؤكد الدولة الطرف أن صاحب الشكوى</w:t>
      </w:r>
      <w:r>
        <w:rPr>
          <w:rFonts w:hint="cs"/>
          <w:rtl/>
        </w:rPr>
        <w:t xml:space="preserve"> لم</w:t>
      </w:r>
      <w:r>
        <w:rPr>
          <w:rtl/>
        </w:rPr>
        <w:t> </w:t>
      </w:r>
      <w:r w:rsidRPr="00FA0FC2">
        <w:rPr>
          <w:rFonts w:hint="cs"/>
          <w:rtl/>
        </w:rPr>
        <w:t>يُثر أي معاملة مُهينة أخرى في شكواه، وتشير إلى أنه</w:t>
      </w:r>
      <w:r>
        <w:rPr>
          <w:rFonts w:hint="cs"/>
          <w:rtl/>
        </w:rPr>
        <w:t xml:space="preserve"> لم</w:t>
      </w:r>
      <w:r>
        <w:rPr>
          <w:rtl/>
        </w:rPr>
        <w:t> </w:t>
      </w:r>
      <w:r w:rsidRPr="00FA0FC2">
        <w:rPr>
          <w:rFonts w:hint="cs"/>
          <w:rtl/>
        </w:rPr>
        <w:t>يبين، بالنظر إلى ادعاءاته المتعلقة بعمره المتقدّم وحالته الصحية الهشة، أنه</w:t>
      </w:r>
      <w:r>
        <w:rPr>
          <w:rFonts w:hint="cs"/>
          <w:rtl/>
        </w:rPr>
        <w:t xml:space="preserve"> لم</w:t>
      </w:r>
      <w:r>
        <w:rPr>
          <w:rtl/>
        </w:rPr>
        <w:t> </w:t>
      </w:r>
      <w:r w:rsidRPr="00FA0FC2">
        <w:rPr>
          <w:rFonts w:hint="cs"/>
          <w:rtl/>
        </w:rPr>
        <w:t>يكن قادراً على تلقي العلاج الطبي المناسب في المركز الذي أُودع فيه في البرازيل. فهو</w:t>
      </w:r>
      <w:r>
        <w:rPr>
          <w:rFonts w:hint="cs"/>
          <w:rtl/>
        </w:rPr>
        <w:t xml:space="preserve"> لم</w:t>
      </w:r>
      <w:r>
        <w:rPr>
          <w:rtl/>
        </w:rPr>
        <w:t> </w:t>
      </w:r>
      <w:r w:rsidRPr="00FA0FC2">
        <w:rPr>
          <w:rFonts w:hint="cs"/>
          <w:rtl/>
        </w:rPr>
        <w:t>يقدم أية مواد تُثبت أن السلطات البرازيلية</w:t>
      </w:r>
      <w:r>
        <w:rPr>
          <w:rFonts w:hint="cs"/>
          <w:rtl/>
        </w:rPr>
        <w:t xml:space="preserve"> لم</w:t>
      </w:r>
      <w:r>
        <w:rPr>
          <w:rtl/>
        </w:rPr>
        <w:t> </w:t>
      </w:r>
      <w:r w:rsidRPr="00FA0FC2">
        <w:rPr>
          <w:rFonts w:hint="cs"/>
          <w:rtl/>
        </w:rPr>
        <w:t>تكن قادرة على أن توفر له الحماية المناسبة. وتلاحظ الدولة الطرف أن صاحب الشكوى</w:t>
      </w:r>
      <w:r>
        <w:rPr>
          <w:rFonts w:hint="cs"/>
          <w:rtl/>
        </w:rPr>
        <w:t xml:space="preserve"> لم</w:t>
      </w:r>
      <w:r>
        <w:rPr>
          <w:rtl/>
        </w:rPr>
        <w:t> </w:t>
      </w:r>
      <w:r w:rsidRPr="00FA0FC2">
        <w:rPr>
          <w:rFonts w:hint="cs"/>
          <w:rtl/>
        </w:rPr>
        <w:t xml:space="preserve">يشتكِ، منذ أن سُلِّم إلى البرازيل في منتصف </w:t>
      </w:r>
      <w:r w:rsidRPr="00FA0FC2">
        <w:rPr>
          <w:rFonts w:hint="cs"/>
          <w:sz w:val="30"/>
          <w:rtl/>
        </w:rPr>
        <w:t xml:space="preserve">تموز/يوليه </w:t>
      </w:r>
      <w:r w:rsidRPr="00FA0FC2">
        <w:rPr>
          <w:rFonts w:hint="cs"/>
          <w:rtl/>
        </w:rPr>
        <w:t>2008، من أية أعمال تعذيب</w:t>
      </w:r>
      <w:r>
        <w:rPr>
          <w:rFonts w:hint="cs"/>
          <w:rtl/>
        </w:rPr>
        <w:t xml:space="preserve"> أو</w:t>
      </w:r>
      <w:r>
        <w:rPr>
          <w:rtl/>
        </w:rPr>
        <w:t> </w:t>
      </w:r>
      <w:r w:rsidRPr="00FA0FC2">
        <w:rPr>
          <w:rFonts w:hint="cs"/>
          <w:rtl/>
        </w:rPr>
        <w:t xml:space="preserve">إساءة معاملة خطيرة ارتُكِبَت بحقه. </w:t>
      </w:r>
    </w:p>
    <w:p w:rsidR="00091373" w:rsidRPr="00FA0FC2" w:rsidRDefault="00091373" w:rsidP="00EE55B8">
      <w:pPr>
        <w:pStyle w:val="SingleTxtGA"/>
        <w:rPr>
          <w:rFonts w:hint="cs"/>
          <w:rtl/>
        </w:rPr>
      </w:pPr>
      <w:r w:rsidRPr="00FA0FC2">
        <w:rPr>
          <w:rFonts w:hint="cs"/>
          <w:rtl/>
        </w:rPr>
        <w:t>5-9</w:t>
      </w:r>
      <w:r w:rsidRPr="00FA0FC2">
        <w:rPr>
          <w:rFonts w:hint="cs"/>
          <w:rtl/>
        </w:rPr>
        <w:tab/>
        <w:t>وبناءً عليه، تدفع الدولة الطرف بأن صاحب الشكوى</w:t>
      </w:r>
      <w:r>
        <w:rPr>
          <w:rFonts w:hint="cs"/>
          <w:rtl/>
        </w:rPr>
        <w:t xml:space="preserve"> لم</w:t>
      </w:r>
      <w:r>
        <w:rPr>
          <w:rtl/>
        </w:rPr>
        <w:t> </w:t>
      </w:r>
      <w:r w:rsidRPr="00FA0FC2">
        <w:rPr>
          <w:rFonts w:hint="cs"/>
          <w:rtl/>
        </w:rPr>
        <w:t>يبين من خلال</w:t>
      </w:r>
      <w:r>
        <w:rPr>
          <w:rFonts w:hint="cs"/>
          <w:rtl/>
        </w:rPr>
        <w:t xml:space="preserve"> ما</w:t>
      </w:r>
      <w:r>
        <w:rPr>
          <w:rtl/>
        </w:rPr>
        <w:t> </w:t>
      </w:r>
      <w:r w:rsidRPr="00FA0FC2">
        <w:rPr>
          <w:rFonts w:hint="cs"/>
          <w:rtl/>
        </w:rPr>
        <w:t>قدمه من دفوع ومستندات أنه واجَه خطراً متوقَعاً وحقيقياً بأن يتعرض للتعذيب</w:t>
      </w:r>
      <w:r>
        <w:rPr>
          <w:rFonts w:hint="cs"/>
          <w:rtl/>
        </w:rPr>
        <w:t xml:space="preserve"> أو</w:t>
      </w:r>
      <w:r>
        <w:rPr>
          <w:rtl/>
        </w:rPr>
        <w:t> </w:t>
      </w:r>
      <w:r w:rsidRPr="00FA0FC2">
        <w:rPr>
          <w:rFonts w:hint="cs"/>
          <w:rtl/>
        </w:rPr>
        <w:t>سوء المعاملة في البرازيل نتيجة إجراء التسليم الذي نفذته الدولة الطرف بالاستناد إلى أُسس قانونية صحيحة ومع احترام المبادئ الأساسية للقانون الدولي.</w:t>
      </w:r>
    </w:p>
    <w:p w:rsidR="00091373" w:rsidRPr="00FA0FC2" w:rsidRDefault="00091373" w:rsidP="00091373">
      <w:pPr>
        <w:pStyle w:val="H23GA"/>
        <w:spacing w:line="375" w:lineRule="exact"/>
        <w:rPr>
          <w:rFonts w:hint="cs"/>
          <w:rtl/>
          <w:lang w:val="fr-CH"/>
        </w:rPr>
      </w:pPr>
      <w:r w:rsidRPr="00FA0FC2">
        <w:rPr>
          <w:rFonts w:hint="cs"/>
          <w:rtl/>
          <w:lang w:val="fr-CH"/>
        </w:rPr>
        <w:tab/>
      </w:r>
      <w:r w:rsidRPr="00FA0FC2">
        <w:rPr>
          <w:rFonts w:hint="cs"/>
          <w:rtl/>
          <w:lang w:val="fr-CH"/>
        </w:rPr>
        <w:tab/>
        <w:t>تعليقات صاحب الشكوى على ملاحظات الدولة الطرف</w:t>
      </w:r>
    </w:p>
    <w:p w:rsidR="00091373" w:rsidRPr="00FA0FC2" w:rsidRDefault="00091373" w:rsidP="00EE55B8">
      <w:pPr>
        <w:pStyle w:val="SingleTxtGA"/>
        <w:rPr>
          <w:rFonts w:hint="cs"/>
          <w:rtl/>
          <w:lang w:val="fr-CH"/>
        </w:rPr>
      </w:pPr>
      <w:r w:rsidRPr="00FA0FC2">
        <w:rPr>
          <w:rFonts w:hint="cs"/>
          <w:rtl/>
          <w:lang w:val="fr-CH"/>
        </w:rPr>
        <w:t>6-1</w:t>
      </w:r>
      <w:r w:rsidRPr="00FA0FC2">
        <w:rPr>
          <w:rFonts w:hint="cs"/>
          <w:rtl/>
          <w:lang w:val="fr-CH"/>
        </w:rPr>
        <w:tab/>
        <w:t xml:space="preserve">لا يُعلِّق صاحب الشكوى، في مذكرته المؤرخة 30 </w:t>
      </w:r>
      <w:r w:rsidRPr="00FA0FC2">
        <w:rPr>
          <w:rFonts w:hint="cs"/>
          <w:sz w:val="30"/>
          <w:rtl/>
          <w:lang w:val="fr-CH"/>
        </w:rPr>
        <w:t xml:space="preserve">حزيران/يونيه </w:t>
      </w:r>
      <w:r w:rsidRPr="00FA0FC2">
        <w:rPr>
          <w:rFonts w:hint="cs"/>
          <w:rtl/>
          <w:lang w:val="fr-CH"/>
        </w:rPr>
        <w:t>2009، على</w:t>
      </w:r>
      <w:r>
        <w:rPr>
          <w:rFonts w:hint="eastAsia"/>
          <w:rtl/>
          <w:lang w:val="fr-CH"/>
        </w:rPr>
        <w:t> </w:t>
      </w:r>
      <w:r w:rsidRPr="00FA0FC2">
        <w:rPr>
          <w:rFonts w:hint="cs"/>
          <w:rtl/>
          <w:lang w:val="fr-CH"/>
        </w:rPr>
        <w:t>ملاحظات الدولة الطرف بشأن مقبولية البلاغ، ويكتفي بتحديد موقفه بخصوص أُسسه</w:t>
      </w:r>
      <w:r>
        <w:rPr>
          <w:rFonts w:hint="eastAsia"/>
          <w:rtl/>
          <w:lang w:val="fr-CH"/>
        </w:rPr>
        <w:t> </w:t>
      </w:r>
      <w:r w:rsidRPr="00FA0FC2">
        <w:rPr>
          <w:rFonts w:hint="cs"/>
          <w:rtl/>
          <w:lang w:val="fr-CH"/>
        </w:rPr>
        <w:t>الموضوعية.</w:t>
      </w:r>
    </w:p>
    <w:p w:rsidR="00091373" w:rsidRPr="00FA0FC2" w:rsidRDefault="00091373" w:rsidP="00EE55B8">
      <w:pPr>
        <w:pStyle w:val="SingleTxtGA"/>
        <w:rPr>
          <w:rFonts w:hint="cs"/>
          <w:rtl/>
          <w:lang w:val="fr-CH"/>
        </w:rPr>
      </w:pPr>
      <w:r w:rsidRPr="00FA0FC2">
        <w:rPr>
          <w:rFonts w:hint="cs"/>
          <w:rtl/>
          <w:lang w:val="fr-CH"/>
        </w:rPr>
        <w:t>6-2</w:t>
      </w:r>
      <w:r w:rsidRPr="00FA0FC2">
        <w:rPr>
          <w:rFonts w:hint="cs"/>
          <w:rtl/>
          <w:lang w:val="fr-CH"/>
        </w:rPr>
        <w:tab/>
        <w:t>ويعترض صاحب الشكوى على دفع الدولة الطرف الذي مفاده أنه</w:t>
      </w:r>
      <w:r>
        <w:rPr>
          <w:rFonts w:hint="cs"/>
          <w:rtl/>
          <w:lang w:val="fr-CH"/>
        </w:rPr>
        <w:t xml:space="preserve"> لن</w:t>
      </w:r>
      <w:r>
        <w:rPr>
          <w:rtl/>
          <w:lang w:val="fr-CH"/>
        </w:rPr>
        <w:t> </w:t>
      </w:r>
      <w:r w:rsidRPr="00FA0FC2">
        <w:rPr>
          <w:rFonts w:hint="cs"/>
          <w:rtl/>
          <w:lang w:val="fr-CH"/>
        </w:rPr>
        <w:t>يواجه أي خطر بالمفهوم الوارد في ال</w:t>
      </w:r>
      <w:r>
        <w:rPr>
          <w:rFonts w:hint="cs"/>
          <w:rtl/>
          <w:lang w:val="fr-CH"/>
        </w:rPr>
        <w:t>مادة</w:t>
      </w:r>
      <w:r>
        <w:rPr>
          <w:rtl/>
          <w:lang w:val="fr-CH"/>
        </w:rPr>
        <w:t> </w:t>
      </w:r>
      <w:r w:rsidRPr="00FA0FC2">
        <w:rPr>
          <w:rFonts w:hint="cs"/>
          <w:rtl/>
          <w:lang w:val="fr-CH"/>
        </w:rPr>
        <w:t>3 من الاتفاقية في حال ترحيله إلى البرازيل، مؤكِداً أنه قدَّم</w:t>
      </w:r>
      <w:r>
        <w:rPr>
          <w:rFonts w:hint="cs"/>
          <w:rtl/>
          <w:lang w:val="fr-CH"/>
        </w:rPr>
        <w:t xml:space="preserve"> ما</w:t>
      </w:r>
      <w:r>
        <w:rPr>
          <w:rtl/>
          <w:lang w:val="fr-CH"/>
        </w:rPr>
        <w:t> </w:t>
      </w:r>
      <w:r w:rsidRPr="00FA0FC2">
        <w:rPr>
          <w:rFonts w:hint="cs"/>
          <w:rtl/>
          <w:lang w:val="fr-CH"/>
        </w:rPr>
        <w:t>يكفي من المعلومات المفصَّلة بشأن هذا الخطر في رسالته الأولى وكذلك في الطعون التي رفعها إلى المحاكم الوطنية. ويذكِّر صاحب الشكوى بأن قضيته هي قضية سياسية بالأساس</w:t>
      </w:r>
      <w:r>
        <w:rPr>
          <w:rFonts w:hint="cs"/>
          <w:rtl/>
          <w:lang w:val="fr-CH"/>
        </w:rPr>
        <w:t xml:space="preserve"> ولا</w:t>
      </w:r>
      <w:r>
        <w:rPr>
          <w:rtl/>
          <w:lang w:val="fr-CH"/>
        </w:rPr>
        <w:t> </w:t>
      </w:r>
      <w:r w:rsidRPr="00FA0FC2">
        <w:rPr>
          <w:rFonts w:hint="cs"/>
          <w:rtl/>
          <w:lang w:val="fr-CH"/>
        </w:rPr>
        <w:t>أحد يمكنه أن يُفنِّد ذلك، مؤكداً أنها تشكِّل قضية دولة في البرازيل كونها تتعلق بفضيحة مالية بعض أطرافها من القيادات التي كانت ماسكة للسلطة آنذاك.</w:t>
      </w:r>
    </w:p>
    <w:p w:rsidR="00091373" w:rsidRPr="00FA0FC2" w:rsidRDefault="00091373" w:rsidP="00EE55B8">
      <w:pPr>
        <w:pStyle w:val="SingleTxtGA"/>
        <w:rPr>
          <w:rFonts w:hint="cs"/>
          <w:rtl/>
          <w:lang w:val="fr-CH"/>
        </w:rPr>
      </w:pPr>
      <w:r w:rsidRPr="00FA0FC2">
        <w:rPr>
          <w:rFonts w:hint="cs"/>
          <w:rtl/>
          <w:lang w:val="fr-CH"/>
        </w:rPr>
        <w:t>6-3</w:t>
      </w:r>
      <w:r w:rsidRPr="00FA0FC2">
        <w:rPr>
          <w:rFonts w:hint="cs"/>
          <w:rtl/>
          <w:lang w:val="fr-CH"/>
        </w:rPr>
        <w:tab/>
        <w:t>ويعترض صاحب الشكوى أيضاً على الدفع المقدَّم من الدولة الطرف والذي مفاده أن محاميه</w:t>
      </w:r>
      <w:r>
        <w:rPr>
          <w:rFonts w:hint="cs"/>
          <w:rtl/>
          <w:lang w:val="fr-CH"/>
        </w:rPr>
        <w:t xml:space="preserve"> لم</w:t>
      </w:r>
      <w:r>
        <w:rPr>
          <w:rtl/>
          <w:lang w:val="fr-CH"/>
        </w:rPr>
        <w:t> </w:t>
      </w:r>
      <w:r w:rsidRPr="00FA0FC2">
        <w:rPr>
          <w:rFonts w:hint="cs"/>
          <w:rtl/>
          <w:lang w:val="fr-CH"/>
        </w:rPr>
        <w:t>يُثر أمام المحاكم الوطنية خطر تعرضّه للتعذيب في حين أنه قد فعل ذلك في قضية سابقة تتعلق بتسليم شخص إلى الاتحاد الروسي. ويؤكد أن محاميه قد أثار هذا الخطر أمام محكمة الاستئناف،</w:t>
      </w:r>
      <w:r>
        <w:rPr>
          <w:rFonts w:hint="cs"/>
          <w:rtl/>
          <w:lang w:val="fr-CH"/>
        </w:rPr>
        <w:t xml:space="preserve"> كما</w:t>
      </w:r>
      <w:r>
        <w:rPr>
          <w:rtl/>
          <w:lang w:val="fr-CH"/>
        </w:rPr>
        <w:t> </w:t>
      </w:r>
      <w:r w:rsidRPr="00FA0FC2">
        <w:rPr>
          <w:rFonts w:hint="cs"/>
          <w:rtl/>
          <w:lang w:val="fr-CH"/>
        </w:rPr>
        <w:t>أثاره في إطار التماس قدمه إلى المحكمة الأوروبية لحقوق الإنسان.</w:t>
      </w:r>
    </w:p>
    <w:p w:rsidR="00091373" w:rsidRPr="00FA0FC2" w:rsidRDefault="00091373" w:rsidP="00091373">
      <w:pPr>
        <w:pStyle w:val="H23GA"/>
        <w:spacing w:line="375" w:lineRule="exact"/>
        <w:rPr>
          <w:rFonts w:hint="cs"/>
          <w:rtl/>
          <w:lang w:val="fr-CH"/>
        </w:rPr>
      </w:pPr>
      <w:r w:rsidRPr="00FA0FC2">
        <w:rPr>
          <w:rFonts w:hint="cs"/>
          <w:rtl/>
          <w:lang w:val="fr-CH"/>
        </w:rPr>
        <w:tab/>
      </w:r>
      <w:r w:rsidRPr="00FA0FC2">
        <w:rPr>
          <w:rFonts w:hint="cs"/>
          <w:rtl/>
          <w:lang w:val="fr-CH"/>
        </w:rPr>
        <w:tab/>
        <w:t>المسائل والإجراءات المعروضة على اللجنة</w:t>
      </w:r>
    </w:p>
    <w:p w:rsidR="00091373" w:rsidRPr="00FA0FC2" w:rsidRDefault="00091373" w:rsidP="00091373">
      <w:pPr>
        <w:pStyle w:val="H4GA"/>
        <w:spacing w:line="375" w:lineRule="exact"/>
        <w:rPr>
          <w:rFonts w:hint="cs"/>
          <w:rtl/>
          <w:lang w:val="fr-CH"/>
        </w:rPr>
      </w:pPr>
      <w:r w:rsidRPr="00FA0FC2">
        <w:rPr>
          <w:rFonts w:hint="cs"/>
          <w:rtl/>
          <w:lang w:val="fr-CH"/>
        </w:rPr>
        <w:tab/>
      </w:r>
      <w:r w:rsidRPr="00FA0FC2">
        <w:rPr>
          <w:rFonts w:hint="cs"/>
          <w:rtl/>
          <w:lang w:val="fr-CH"/>
        </w:rPr>
        <w:tab/>
        <w:t>النظر في المقبولية</w:t>
      </w:r>
    </w:p>
    <w:p w:rsidR="00091373" w:rsidRPr="00FA0FC2" w:rsidRDefault="00091373" w:rsidP="00EE55B8">
      <w:pPr>
        <w:pStyle w:val="SingleTxtGA"/>
        <w:rPr>
          <w:rFonts w:hint="cs"/>
          <w:spacing w:val="-2"/>
          <w:rtl/>
          <w:lang w:val="fr-CH"/>
        </w:rPr>
      </w:pPr>
      <w:r w:rsidRPr="00FA0FC2">
        <w:rPr>
          <w:rFonts w:hint="cs"/>
          <w:spacing w:val="-2"/>
          <w:rtl/>
          <w:lang w:val="fr-CH"/>
        </w:rPr>
        <w:t>7-1</w:t>
      </w:r>
      <w:r w:rsidRPr="00FA0FC2">
        <w:rPr>
          <w:rFonts w:hint="cs"/>
          <w:spacing w:val="-2"/>
          <w:rtl/>
          <w:lang w:val="fr-CH"/>
        </w:rPr>
        <w:tab/>
        <w:t>قبل النظر في أي ادعاء يرد في شكوى ما، يجب على لجنة مناهضة التعذيب أن تُقرِّر</w:t>
      </w:r>
      <w:r>
        <w:rPr>
          <w:rFonts w:hint="cs"/>
          <w:spacing w:val="-2"/>
          <w:rtl/>
          <w:lang w:val="fr-CH"/>
        </w:rPr>
        <w:t xml:space="preserve"> ما</w:t>
      </w:r>
      <w:r>
        <w:rPr>
          <w:spacing w:val="-2"/>
          <w:rtl/>
          <w:lang w:val="fr-CH"/>
        </w:rPr>
        <w:t> </w:t>
      </w:r>
      <w:r w:rsidRPr="00FA0FC2">
        <w:rPr>
          <w:rFonts w:hint="cs"/>
          <w:spacing w:val="-2"/>
          <w:rtl/>
          <w:lang w:val="fr-CH"/>
        </w:rPr>
        <w:t>إذا كانت الشكوى مقبولة</w:t>
      </w:r>
      <w:r>
        <w:rPr>
          <w:rFonts w:hint="cs"/>
          <w:spacing w:val="-2"/>
          <w:rtl/>
          <w:lang w:val="fr-CH"/>
        </w:rPr>
        <w:t xml:space="preserve"> أم</w:t>
      </w:r>
      <w:r>
        <w:rPr>
          <w:spacing w:val="-2"/>
          <w:rtl/>
          <w:lang w:val="fr-CH"/>
        </w:rPr>
        <w:t> لا </w:t>
      </w:r>
      <w:r w:rsidRPr="00FA0FC2">
        <w:rPr>
          <w:rFonts w:hint="cs"/>
          <w:spacing w:val="-2"/>
          <w:rtl/>
          <w:lang w:val="fr-CH"/>
        </w:rPr>
        <w:t>بموجب ال</w:t>
      </w:r>
      <w:r>
        <w:rPr>
          <w:rFonts w:hint="cs"/>
          <w:spacing w:val="-2"/>
          <w:rtl/>
          <w:lang w:val="fr-CH"/>
        </w:rPr>
        <w:t>مادة</w:t>
      </w:r>
      <w:r>
        <w:rPr>
          <w:spacing w:val="-2"/>
          <w:rtl/>
          <w:lang w:val="fr-CH"/>
        </w:rPr>
        <w:t> </w:t>
      </w:r>
      <w:r w:rsidRPr="00FA0FC2">
        <w:rPr>
          <w:rFonts w:hint="cs"/>
          <w:spacing w:val="-2"/>
          <w:rtl/>
          <w:lang w:val="fr-CH"/>
        </w:rPr>
        <w:t xml:space="preserve">22 من الاتفاقية. وتلاحظ أن صاحب الشكوى رفع إلى المحكمة الأوروبية لحقوق الإنسان دعوى بتاريخ 25 </w:t>
      </w:r>
      <w:r w:rsidRPr="00FA0FC2">
        <w:rPr>
          <w:rFonts w:hint="cs"/>
          <w:spacing w:val="-2"/>
          <w:sz w:val="30"/>
          <w:rtl/>
          <w:lang w:val="fr-CH"/>
        </w:rPr>
        <w:t xml:space="preserve">حزيران/يونيه </w:t>
      </w:r>
      <w:r w:rsidRPr="00FA0FC2">
        <w:rPr>
          <w:rFonts w:hint="cs"/>
          <w:spacing w:val="-2"/>
          <w:rtl/>
          <w:lang w:val="fr-CH"/>
        </w:rPr>
        <w:t>2008، سُجِّلت تحت رقم 30114/08، وأن هذه الدعوى تتعلق، من حيث الأساس الموضوعي، بنفس الوقائع (تسليم شخص إلى البرازيل</w:t>
      </w:r>
      <w:r>
        <w:rPr>
          <w:rFonts w:hint="cs"/>
          <w:spacing w:val="-2"/>
          <w:rtl/>
          <w:lang w:val="fr-CH"/>
        </w:rPr>
        <w:t xml:space="preserve"> بما</w:t>
      </w:r>
      <w:r>
        <w:rPr>
          <w:spacing w:val="-2"/>
          <w:rtl/>
          <w:lang w:val="fr-CH"/>
        </w:rPr>
        <w:t> </w:t>
      </w:r>
      <w:r w:rsidRPr="00FA0FC2">
        <w:rPr>
          <w:rFonts w:hint="cs"/>
          <w:spacing w:val="-2"/>
          <w:rtl/>
          <w:lang w:val="fr-CH"/>
        </w:rPr>
        <w:t>يتعارض مع مبدأ عدم الإعادة القسرية). وتشير اللجنة إلى أن المحكمة الأوروبية ردَّت الدعوى دون أن تنظر في أسسها الموضوعية.</w:t>
      </w:r>
      <w:r>
        <w:rPr>
          <w:rFonts w:hint="cs"/>
          <w:spacing w:val="-2"/>
          <w:rtl/>
          <w:lang w:val="fr-CH"/>
        </w:rPr>
        <w:t xml:space="preserve"> وفي</w:t>
      </w:r>
      <w:r>
        <w:rPr>
          <w:spacing w:val="-2"/>
          <w:rtl/>
          <w:lang w:val="fr-CH"/>
        </w:rPr>
        <w:t> </w:t>
      </w:r>
      <w:r w:rsidRPr="00FA0FC2">
        <w:rPr>
          <w:rFonts w:hint="cs"/>
          <w:spacing w:val="-2"/>
          <w:rtl/>
          <w:lang w:val="fr-CH"/>
        </w:rPr>
        <w:t>ظل هذه الظروف، ترى اللجنة أنه</w:t>
      </w:r>
      <w:r>
        <w:rPr>
          <w:rFonts w:hint="cs"/>
          <w:spacing w:val="-2"/>
          <w:rtl/>
          <w:lang w:val="fr-CH"/>
        </w:rPr>
        <w:t xml:space="preserve"> لا</w:t>
      </w:r>
      <w:r>
        <w:rPr>
          <w:spacing w:val="-2"/>
          <w:rtl/>
          <w:lang w:val="fr-CH"/>
        </w:rPr>
        <w:t> </w:t>
      </w:r>
      <w:r w:rsidRPr="00FA0FC2">
        <w:rPr>
          <w:rFonts w:hint="cs"/>
          <w:spacing w:val="-2"/>
          <w:rtl/>
          <w:lang w:val="fr-CH"/>
        </w:rPr>
        <w:t>يمكن اعتبار القضية المعروضة أمامها قد "جرى" بحثها في إطار هيئة أخرى من هيئات التحقيق</w:t>
      </w:r>
      <w:r>
        <w:rPr>
          <w:rFonts w:hint="cs"/>
          <w:spacing w:val="-2"/>
          <w:rtl/>
          <w:lang w:val="fr-CH"/>
        </w:rPr>
        <w:t xml:space="preserve"> أو</w:t>
      </w:r>
      <w:r>
        <w:rPr>
          <w:spacing w:val="-2"/>
          <w:rtl/>
          <w:lang w:val="fr-CH"/>
        </w:rPr>
        <w:t> </w:t>
      </w:r>
      <w:r w:rsidRPr="00FA0FC2">
        <w:rPr>
          <w:rFonts w:hint="cs"/>
          <w:spacing w:val="-2"/>
          <w:rtl/>
          <w:lang w:val="fr-CH"/>
        </w:rPr>
        <w:t>التسوية الدولية بالمفهوم الوارد في الفقرة 5(أ) من ال</w:t>
      </w:r>
      <w:r>
        <w:rPr>
          <w:rFonts w:hint="cs"/>
          <w:spacing w:val="-2"/>
          <w:rtl/>
          <w:lang w:val="fr-CH"/>
        </w:rPr>
        <w:t>مادة</w:t>
      </w:r>
      <w:r>
        <w:rPr>
          <w:spacing w:val="-2"/>
          <w:rtl/>
          <w:lang w:val="fr-CH"/>
        </w:rPr>
        <w:t> </w:t>
      </w:r>
      <w:r w:rsidRPr="00FA0FC2">
        <w:rPr>
          <w:rFonts w:hint="cs"/>
          <w:spacing w:val="-2"/>
          <w:rtl/>
          <w:lang w:val="fr-CH"/>
        </w:rPr>
        <w:t>22 من الاتفاقية. وبالتالي، ليس هناك مانع أن تشرع اللجنة في بحث الشكوى.</w:t>
      </w:r>
    </w:p>
    <w:p w:rsidR="00091373" w:rsidRPr="00FA0FC2" w:rsidRDefault="00091373" w:rsidP="00EE55B8">
      <w:pPr>
        <w:pStyle w:val="SingleTxtGA"/>
        <w:rPr>
          <w:rFonts w:hint="cs"/>
          <w:rtl/>
        </w:rPr>
      </w:pPr>
      <w:r w:rsidRPr="00FA0FC2">
        <w:rPr>
          <w:rFonts w:hint="cs"/>
          <w:rtl/>
          <w:lang w:val="fr-CH"/>
        </w:rPr>
        <w:t>7-2</w:t>
      </w:r>
      <w:r w:rsidRPr="00FA0FC2">
        <w:rPr>
          <w:rFonts w:hint="cs"/>
          <w:rtl/>
          <w:lang w:val="fr-CH"/>
        </w:rPr>
        <w:tab/>
        <w:t>وتلاحظ اللجنة أن الدولة الطرف قد اعترضت على مقبولية الشكوى مُدَّعيةً أن صاحب الشكوى</w:t>
      </w:r>
      <w:r>
        <w:rPr>
          <w:rFonts w:hint="cs"/>
          <w:rtl/>
          <w:lang w:val="fr-CH"/>
        </w:rPr>
        <w:t xml:space="preserve"> لم</w:t>
      </w:r>
      <w:r>
        <w:rPr>
          <w:rtl/>
          <w:lang w:val="fr-CH"/>
        </w:rPr>
        <w:t> </w:t>
      </w:r>
      <w:r w:rsidRPr="00FA0FC2">
        <w:rPr>
          <w:rFonts w:hint="cs"/>
          <w:rtl/>
          <w:lang w:val="fr-CH"/>
        </w:rPr>
        <w:t>يستنفد جميع سُبُل الانتصاف المتاحة محلياً،</w:t>
      </w:r>
      <w:r>
        <w:rPr>
          <w:rFonts w:hint="cs"/>
          <w:rtl/>
          <w:lang w:val="fr-CH"/>
        </w:rPr>
        <w:t xml:space="preserve"> ولم</w:t>
      </w:r>
      <w:r>
        <w:rPr>
          <w:rtl/>
          <w:lang w:val="fr-CH"/>
        </w:rPr>
        <w:t> </w:t>
      </w:r>
      <w:r w:rsidRPr="00FA0FC2">
        <w:rPr>
          <w:rFonts w:hint="cs"/>
          <w:rtl/>
          <w:lang w:val="fr-CH"/>
        </w:rPr>
        <w:t>يقدم التماساً من أجل إبطال قرار التسليم النهائي إلى المحكمة العليا بالاستناد إلى ال</w:t>
      </w:r>
      <w:r>
        <w:rPr>
          <w:rFonts w:hint="cs"/>
          <w:rtl/>
          <w:lang w:val="fr-CH"/>
        </w:rPr>
        <w:t>مادة</w:t>
      </w:r>
      <w:r>
        <w:rPr>
          <w:rtl/>
          <w:lang w:val="fr-CH"/>
        </w:rPr>
        <w:t> </w:t>
      </w:r>
      <w:r w:rsidRPr="00FA0FC2">
        <w:rPr>
          <w:rFonts w:hint="cs"/>
          <w:rtl/>
          <w:lang w:val="fr-CH"/>
        </w:rPr>
        <w:t>90 من الدستور. وتلاحظ اللجنة أن صاحب الشكوى</w:t>
      </w:r>
      <w:r>
        <w:rPr>
          <w:rFonts w:hint="cs"/>
          <w:rtl/>
          <w:lang w:val="fr-CH"/>
        </w:rPr>
        <w:t xml:space="preserve"> لم</w:t>
      </w:r>
      <w:r>
        <w:rPr>
          <w:rtl/>
          <w:lang w:val="fr-CH"/>
        </w:rPr>
        <w:t> </w:t>
      </w:r>
      <w:r w:rsidRPr="00FA0FC2">
        <w:rPr>
          <w:rFonts w:hint="cs"/>
          <w:rtl/>
          <w:lang w:val="fr-CH"/>
        </w:rPr>
        <w:t>يُفنِّد دفع الدولة الطرف هذا</w:t>
      </w:r>
      <w:r>
        <w:rPr>
          <w:rFonts w:hint="cs"/>
          <w:rtl/>
          <w:lang w:val="fr-CH"/>
        </w:rPr>
        <w:t xml:space="preserve"> ولم</w:t>
      </w:r>
      <w:r>
        <w:rPr>
          <w:rtl/>
          <w:lang w:val="fr-CH"/>
        </w:rPr>
        <w:t> </w:t>
      </w:r>
      <w:r w:rsidRPr="00FA0FC2">
        <w:rPr>
          <w:rFonts w:hint="cs"/>
          <w:rtl/>
          <w:lang w:val="fr-CH"/>
        </w:rPr>
        <w:t>يعترض عليه.</w:t>
      </w:r>
      <w:r w:rsidRPr="00FA0FC2">
        <w:rPr>
          <w:rFonts w:hint="cs"/>
          <w:rtl/>
        </w:rPr>
        <w:t xml:space="preserve"> وتشير في هذا الصدد إلى أن الدولة الطرف كانت قد شرحت الإجراء المعمول به خلال استعراض التقريرين الدوريين الرابع والخامس المقدمين من موناكو إلى اللجنة بموجب ال</w:t>
      </w:r>
      <w:r>
        <w:rPr>
          <w:rFonts w:hint="cs"/>
          <w:rtl/>
        </w:rPr>
        <w:t>مادة</w:t>
      </w:r>
      <w:r>
        <w:rPr>
          <w:rtl/>
        </w:rPr>
        <w:t> </w:t>
      </w:r>
      <w:r w:rsidRPr="00FA0FC2">
        <w:rPr>
          <w:rFonts w:hint="cs"/>
          <w:rtl/>
        </w:rPr>
        <w:t>19 من الاتفاقية، وبيَّنت أن قرارات الإعادة القسرية والطرد ذات الطابع الإداري التي يتخذها وزير الدولة المختص يمكن الطعن فيها أمام المحكمة العليا.</w:t>
      </w:r>
      <w:r>
        <w:rPr>
          <w:rFonts w:hint="cs"/>
          <w:rtl/>
        </w:rPr>
        <w:t xml:space="preserve"> وبما</w:t>
      </w:r>
      <w:r>
        <w:rPr>
          <w:rtl/>
        </w:rPr>
        <w:t> </w:t>
      </w:r>
      <w:r w:rsidRPr="00FA0FC2">
        <w:rPr>
          <w:rFonts w:hint="cs"/>
          <w:rtl/>
        </w:rPr>
        <w:t>أن صاحب الشكوى</w:t>
      </w:r>
      <w:r>
        <w:rPr>
          <w:rFonts w:hint="cs"/>
          <w:rtl/>
        </w:rPr>
        <w:t xml:space="preserve"> لم</w:t>
      </w:r>
      <w:r>
        <w:rPr>
          <w:rtl/>
        </w:rPr>
        <w:t> </w:t>
      </w:r>
      <w:r w:rsidRPr="00FA0FC2">
        <w:rPr>
          <w:rFonts w:hint="cs"/>
          <w:rtl/>
        </w:rPr>
        <w:t>يبيّن خلاف ذلك، تخلص اللجنة إلى أن سبيل الانتصاف المذكور ينطبق، مع إجراء</w:t>
      </w:r>
      <w:r>
        <w:rPr>
          <w:rFonts w:hint="cs"/>
          <w:rtl/>
        </w:rPr>
        <w:t xml:space="preserve"> ما</w:t>
      </w:r>
      <w:r>
        <w:rPr>
          <w:rtl/>
        </w:rPr>
        <w:t> </w:t>
      </w:r>
      <w:r w:rsidRPr="00FA0FC2">
        <w:rPr>
          <w:rFonts w:hint="cs"/>
          <w:rtl/>
        </w:rPr>
        <w:t>يلزم من تعديل، على قرارات التسليم، ويشكِّل سبيل انتصاف فعالاً لأنه يسمح بوقف التنفيذ، مثلما بينت ذلك الدولة الطرف في ملاحظاتها على مقبولية البلاغ في الفقرة 4-4 من هذا القرار</w:t>
      </w:r>
      <w:r w:rsidRPr="00FA0FC2">
        <w:rPr>
          <w:vertAlign w:val="superscript"/>
          <w:rtl/>
        </w:rPr>
        <w:t>(</w:t>
      </w:r>
      <w:r w:rsidRPr="00FA0FC2">
        <w:rPr>
          <w:rStyle w:val="FootnoteReference"/>
          <w:rtl/>
        </w:rPr>
        <w:footnoteReference w:id="275"/>
      </w:r>
      <w:r w:rsidRPr="00FA0FC2">
        <w:rPr>
          <w:vertAlign w:val="superscript"/>
          <w:rtl/>
        </w:rPr>
        <w:t>)</w:t>
      </w:r>
      <w:r w:rsidRPr="00FA0FC2">
        <w:rPr>
          <w:rFonts w:hint="cs"/>
          <w:rtl/>
        </w:rPr>
        <w:t>.</w:t>
      </w:r>
    </w:p>
    <w:p w:rsidR="00091373" w:rsidRPr="00FA0FC2" w:rsidRDefault="00091373" w:rsidP="00EE55B8">
      <w:pPr>
        <w:pStyle w:val="SingleTxtGA"/>
        <w:rPr>
          <w:rFonts w:hint="cs"/>
          <w:rtl/>
        </w:rPr>
      </w:pPr>
      <w:r w:rsidRPr="00FA0FC2">
        <w:rPr>
          <w:rFonts w:hint="cs"/>
          <w:rtl/>
        </w:rPr>
        <w:t>7-3</w:t>
      </w:r>
      <w:r w:rsidRPr="00FA0FC2">
        <w:rPr>
          <w:rFonts w:hint="cs"/>
          <w:rtl/>
        </w:rPr>
        <w:tab/>
        <w:t>وتخلص اللجنة إلى أن صاحب الشكوى</w:t>
      </w:r>
      <w:r>
        <w:rPr>
          <w:rFonts w:hint="cs"/>
          <w:rtl/>
        </w:rPr>
        <w:t xml:space="preserve"> لم</w:t>
      </w:r>
      <w:r>
        <w:rPr>
          <w:rtl/>
        </w:rPr>
        <w:t> </w:t>
      </w:r>
      <w:r w:rsidRPr="00FA0FC2">
        <w:rPr>
          <w:rFonts w:hint="cs"/>
          <w:rtl/>
        </w:rPr>
        <w:t>يستنفد سُبُل الانتصاف المتاحة محلياً، وتُعلن هذه الشكوى غير مقبولة بموجب الفقرة 5(ب) من ال</w:t>
      </w:r>
      <w:r>
        <w:rPr>
          <w:rFonts w:hint="cs"/>
          <w:rtl/>
        </w:rPr>
        <w:t>مادة</w:t>
      </w:r>
      <w:r>
        <w:rPr>
          <w:rtl/>
        </w:rPr>
        <w:t> </w:t>
      </w:r>
      <w:r w:rsidRPr="00FA0FC2">
        <w:rPr>
          <w:rFonts w:hint="cs"/>
          <w:rtl/>
        </w:rPr>
        <w:t>22 من الاتفاقية.</w:t>
      </w:r>
    </w:p>
    <w:p w:rsidR="00091373" w:rsidRPr="00FA0FC2" w:rsidRDefault="00091373" w:rsidP="00EE55B8">
      <w:pPr>
        <w:pStyle w:val="SingleTxtGA"/>
        <w:rPr>
          <w:rFonts w:hint="cs"/>
          <w:rtl/>
        </w:rPr>
      </w:pPr>
      <w:r w:rsidRPr="00FA0FC2">
        <w:rPr>
          <w:rFonts w:hint="cs"/>
          <w:rtl/>
        </w:rPr>
        <w:t>7-4</w:t>
      </w:r>
      <w:r w:rsidRPr="00FA0FC2">
        <w:rPr>
          <w:rFonts w:hint="cs"/>
          <w:rtl/>
        </w:rPr>
        <w:tab/>
        <w:t>وعليه، تُقرّر اللجنة</w:t>
      </w:r>
      <w:r>
        <w:rPr>
          <w:rFonts w:hint="cs"/>
          <w:rtl/>
        </w:rPr>
        <w:t xml:space="preserve"> ما</w:t>
      </w:r>
      <w:r>
        <w:rPr>
          <w:rtl/>
        </w:rPr>
        <w:t> </w:t>
      </w:r>
      <w:r w:rsidRPr="00FA0FC2">
        <w:rPr>
          <w:rFonts w:hint="cs"/>
          <w:rtl/>
        </w:rPr>
        <w:t>يلي:</w:t>
      </w:r>
    </w:p>
    <w:p w:rsidR="00091373" w:rsidRPr="00FA0FC2" w:rsidRDefault="00091373" w:rsidP="00EE55B8">
      <w:pPr>
        <w:pStyle w:val="SingleTxtGA"/>
        <w:rPr>
          <w:rFonts w:hint="cs"/>
          <w:rtl/>
        </w:rPr>
      </w:pPr>
      <w:r w:rsidRPr="00FA0FC2">
        <w:rPr>
          <w:rFonts w:hint="cs"/>
          <w:rtl/>
        </w:rPr>
        <w:tab/>
        <w:t>(أ)</w:t>
      </w:r>
      <w:r w:rsidRPr="00FA0FC2">
        <w:rPr>
          <w:rFonts w:hint="cs"/>
          <w:rtl/>
        </w:rPr>
        <w:tab/>
        <w:t>أن البلاغ غير مقبول؛</w:t>
      </w:r>
    </w:p>
    <w:p w:rsidR="00091373" w:rsidRPr="00FA0FC2" w:rsidRDefault="00091373" w:rsidP="00EE55B8">
      <w:pPr>
        <w:pStyle w:val="SingleTxtGA"/>
        <w:rPr>
          <w:rFonts w:hint="cs"/>
          <w:rtl/>
          <w:lang w:val="fr-CH"/>
        </w:rPr>
      </w:pPr>
      <w:r w:rsidRPr="00FA0FC2">
        <w:rPr>
          <w:rFonts w:hint="cs"/>
          <w:rtl/>
        </w:rPr>
        <w:tab/>
        <w:t>(ب)</w:t>
      </w:r>
      <w:r w:rsidRPr="00FA0FC2">
        <w:rPr>
          <w:rFonts w:hint="cs"/>
          <w:rtl/>
        </w:rPr>
        <w:tab/>
        <w:t>أن يُبلَّغ كل من الدولة الطرف وصاحب الشكوى بهذا القرار.</w:t>
      </w:r>
    </w:p>
    <w:p w:rsidR="00091373" w:rsidRDefault="00091373" w:rsidP="00091373">
      <w:pPr>
        <w:pStyle w:val="SingleTxtGA"/>
        <w:rPr>
          <w:rFonts w:hint="cs"/>
          <w:rtl/>
          <w:lang w:val="fr-CH"/>
        </w:rPr>
      </w:pPr>
    </w:p>
    <w:p w:rsidR="00EE55B8" w:rsidRPr="00FA0FC2" w:rsidRDefault="00EE55B8" w:rsidP="00091373">
      <w:pPr>
        <w:pStyle w:val="SingleTxtGA"/>
        <w:rPr>
          <w:rFonts w:hint="cs"/>
          <w:rtl/>
          <w:lang w:val="fr-CH"/>
        </w:rPr>
        <w:sectPr w:rsidR="00EE55B8" w:rsidRPr="00FA0FC2" w:rsidSect="00091373">
          <w:footnotePr>
            <w:numFmt w:val="arabicAbjad"/>
            <w:numRestart w:val="eachSect"/>
          </w:footnotePr>
          <w:endnotePr>
            <w:numFmt w:val="decimal"/>
          </w:endnotePr>
          <w:pgSz w:w="11906" w:h="16838" w:code="9"/>
          <w:pgMar w:top="1701" w:right="1134" w:bottom="2268" w:left="1134" w:header="1134" w:footer="1701" w:gutter="0"/>
          <w:cols w:space="708"/>
          <w:bidi/>
          <w:rtlGutter/>
          <w:docGrid w:linePitch="360"/>
        </w:sectPr>
      </w:pPr>
    </w:p>
    <w:p w:rsidR="00091373" w:rsidRPr="000B538C" w:rsidRDefault="00091373" w:rsidP="00091373">
      <w:pPr>
        <w:pStyle w:val="H1GA"/>
        <w:spacing w:before="120"/>
        <w:rPr>
          <w:rFonts w:hint="cs"/>
          <w:i/>
          <w:iCs/>
          <w:rtl/>
        </w:rPr>
      </w:pPr>
      <w:r w:rsidRPr="00FA0FC2">
        <w:rPr>
          <w:rFonts w:hint="cs"/>
          <w:rtl/>
        </w:rPr>
        <w:tab/>
      </w:r>
      <w:r w:rsidRPr="00FA0FC2">
        <w:rPr>
          <w:rFonts w:hint="cs"/>
          <w:rtl/>
        </w:rPr>
        <w:tab/>
        <w:t>البلاغ رقم 425/2010</w:t>
      </w:r>
      <w:r>
        <w:rPr>
          <w:rFonts w:hint="cs"/>
          <w:rtl/>
        </w:rPr>
        <w:t xml:space="preserve">: </w:t>
      </w:r>
      <w:r>
        <w:rPr>
          <w:rFonts w:hint="cs"/>
          <w:i/>
          <w:iCs/>
          <w:rtl/>
        </w:rPr>
        <w:t>إ. أ. ف. ب. ضد السويد</w:t>
      </w:r>
    </w:p>
    <w:p w:rsidR="00091373" w:rsidRPr="00FA0FC2" w:rsidRDefault="00091373" w:rsidP="00EE55B8">
      <w:pPr>
        <w:pStyle w:val="SingleTxtGA"/>
        <w:tabs>
          <w:tab w:val="clear" w:pos="4649"/>
          <w:tab w:val="left" w:pos="4402"/>
        </w:tabs>
        <w:ind w:firstLine="678"/>
        <w:rPr>
          <w:rFonts w:hint="cs"/>
          <w:rtl/>
        </w:rPr>
      </w:pPr>
      <w:r w:rsidRPr="00FA0FC2">
        <w:rPr>
          <w:rFonts w:hint="cs"/>
          <w:i/>
          <w:iCs/>
          <w:rtl/>
        </w:rPr>
        <w:t>المقدم من</w:t>
      </w:r>
      <w:r w:rsidRPr="00EE55B8">
        <w:rPr>
          <w:rFonts w:hint="cs"/>
          <w:rtl/>
        </w:rPr>
        <w:t>:</w:t>
      </w:r>
      <w:r w:rsidRPr="00FA0FC2">
        <w:rPr>
          <w:rFonts w:hint="cs"/>
          <w:i/>
          <w:iCs/>
          <w:rtl/>
        </w:rPr>
        <w:tab/>
      </w:r>
      <w:r w:rsidRPr="00FA0FC2">
        <w:rPr>
          <w:rFonts w:hint="cs"/>
          <w:i/>
          <w:iCs/>
          <w:rtl/>
        </w:rPr>
        <w:tab/>
      </w:r>
      <w:r w:rsidRPr="00FA0FC2">
        <w:rPr>
          <w:rFonts w:hint="cs"/>
          <w:rtl/>
        </w:rPr>
        <w:tab/>
        <w:t>إ. أ. ف. ب. (لا يمثله محامٍ)</w:t>
      </w:r>
    </w:p>
    <w:p w:rsidR="00091373" w:rsidRPr="00FA0FC2" w:rsidRDefault="00091373" w:rsidP="00EE55B8">
      <w:pPr>
        <w:pStyle w:val="SingleTxtGA"/>
        <w:tabs>
          <w:tab w:val="clear" w:pos="4649"/>
          <w:tab w:val="left" w:pos="4402"/>
        </w:tabs>
        <w:ind w:firstLine="678"/>
        <w:rPr>
          <w:rFonts w:hint="cs"/>
          <w:rtl/>
        </w:rPr>
      </w:pPr>
      <w:r w:rsidRPr="00FA0FC2">
        <w:rPr>
          <w:rFonts w:hint="cs"/>
          <w:i/>
          <w:iCs/>
          <w:rtl/>
        </w:rPr>
        <w:t>الشخص المدعى أنه ضحية</w:t>
      </w:r>
      <w:r w:rsidRPr="00EE55B8">
        <w:rPr>
          <w:rFonts w:hint="cs"/>
          <w:rtl/>
        </w:rPr>
        <w:t>:</w:t>
      </w:r>
      <w:r w:rsidRPr="00FA0FC2">
        <w:rPr>
          <w:rFonts w:hint="cs"/>
          <w:i/>
          <w:iCs/>
          <w:rtl/>
        </w:rPr>
        <w:tab/>
      </w:r>
      <w:r w:rsidRPr="00FA0FC2">
        <w:rPr>
          <w:rFonts w:hint="cs"/>
          <w:rtl/>
        </w:rPr>
        <w:t>صاحب الشكوى</w:t>
      </w:r>
    </w:p>
    <w:p w:rsidR="00091373" w:rsidRPr="00FA0FC2" w:rsidRDefault="00091373" w:rsidP="00EE55B8">
      <w:pPr>
        <w:pStyle w:val="SingleTxtGA"/>
        <w:tabs>
          <w:tab w:val="clear" w:pos="4649"/>
          <w:tab w:val="left" w:pos="4402"/>
        </w:tabs>
        <w:ind w:firstLine="678"/>
        <w:rPr>
          <w:rFonts w:hint="cs"/>
          <w:rtl/>
        </w:rPr>
      </w:pPr>
      <w:r w:rsidRPr="00FA0FC2">
        <w:rPr>
          <w:rFonts w:hint="cs"/>
          <w:i/>
          <w:iCs/>
          <w:rtl/>
        </w:rPr>
        <w:t>الدولة الطرف</w:t>
      </w:r>
      <w:r w:rsidRPr="00EE55B8">
        <w:rPr>
          <w:rFonts w:hint="cs"/>
          <w:rtl/>
        </w:rPr>
        <w:t>:</w:t>
      </w:r>
      <w:r w:rsidRPr="00FA0FC2">
        <w:rPr>
          <w:rFonts w:hint="cs"/>
          <w:i/>
          <w:iCs/>
          <w:rtl/>
        </w:rPr>
        <w:tab/>
      </w:r>
      <w:r w:rsidRPr="00FA0FC2">
        <w:rPr>
          <w:rFonts w:hint="cs"/>
          <w:i/>
          <w:iCs/>
          <w:rtl/>
        </w:rPr>
        <w:tab/>
      </w:r>
      <w:r w:rsidRPr="00FA0FC2">
        <w:rPr>
          <w:rFonts w:hint="cs"/>
          <w:i/>
          <w:iCs/>
          <w:rtl/>
        </w:rPr>
        <w:tab/>
      </w:r>
      <w:r w:rsidRPr="00FA0FC2">
        <w:rPr>
          <w:rFonts w:hint="cs"/>
          <w:rtl/>
        </w:rPr>
        <w:t>السويد</w:t>
      </w:r>
    </w:p>
    <w:p w:rsidR="00091373" w:rsidRPr="00FA0FC2" w:rsidRDefault="00091373" w:rsidP="00EE55B8">
      <w:pPr>
        <w:pStyle w:val="SingleTxtGA"/>
        <w:tabs>
          <w:tab w:val="clear" w:pos="4649"/>
          <w:tab w:val="left" w:pos="4402"/>
        </w:tabs>
        <w:ind w:left="1928"/>
        <w:rPr>
          <w:rFonts w:hint="cs"/>
          <w:rtl/>
        </w:rPr>
      </w:pPr>
      <w:r w:rsidRPr="00FA0FC2">
        <w:rPr>
          <w:rFonts w:hint="cs"/>
          <w:i/>
          <w:iCs/>
          <w:rtl/>
        </w:rPr>
        <w:t>تاريخ تقديم الشكوى</w:t>
      </w:r>
      <w:r w:rsidRPr="00EE55B8">
        <w:rPr>
          <w:rFonts w:hint="cs"/>
          <w:rtl/>
        </w:rPr>
        <w:t>:</w:t>
      </w:r>
      <w:r w:rsidRPr="00FA0FC2">
        <w:rPr>
          <w:rFonts w:hint="cs"/>
          <w:i/>
          <w:iCs/>
          <w:rtl/>
        </w:rPr>
        <w:tab/>
      </w:r>
      <w:r w:rsidRPr="00FA0FC2">
        <w:rPr>
          <w:rFonts w:hint="cs"/>
          <w:i/>
          <w:iCs/>
          <w:rtl/>
        </w:rPr>
        <w:tab/>
      </w:r>
      <w:r w:rsidRPr="00FA0FC2">
        <w:rPr>
          <w:rFonts w:hint="cs"/>
          <w:rtl/>
        </w:rPr>
        <w:t>22 حزيران/يونيه 2010 (تاريخ الرسالة</w:t>
      </w:r>
      <w:r w:rsidRPr="00FA0FC2">
        <w:rPr>
          <w:rFonts w:hint="eastAsia"/>
          <w:rtl/>
        </w:rPr>
        <w:t> </w:t>
      </w:r>
      <w:r w:rsidRPr="00FA0FC2">
        <w:rPr>
          <w:rFonts w:hint="cs"/>
          <w:rtl/>
        </w:rPr>
        <w:t>الأولى)</w:t>
      </w:r>
    </w:p>
    <w:p w:rsidR="00091373" w:rsidRPr="00FA0FC2" w:rsidRDefault="00091373" w:rsidP="00091373">
      <w:pPr>
        <w:pStyle w:val="SingleTxtGA"/>
        <w:ind w:firstLine="678"/>
        <w:rPr>
          <w:rFonts w:hint="cs"/>
          <w:rtl/>
        </w:rPr>
      </w:pPr>
      <w:r w:rsidRPr="00FA0FC2">
        <w:rPr>
          <w:rFonts w:hint="cs"/>
          <w:i/>
          <w:iCs/>
          <w:rtl/>
        </w:rPr>
        <w:tab/>
        <w:t xml:space="preserve">إن لجنة مناهضة التعذيب، </w:t>
      </w:r>
      <w:r w:rsidRPr="00FA0FC2">
        <w:rPr>
          <w:rFonts w:hint="cs"/>
          <w:rtl/>
        </w:rPr>
        <w:t>المنشأة بموجب ال</w:t>
      </w:r>
      <w:r>
        <w:rPr>
          <w:rFonts w:hint="cs"/>
          <w:rtl/>
        </w:rPr>
        <w:t>مادة</w:t>
      </w:r>
      <w:r>
        <w:rPr>
          <w:rtl/>
        </w:rPr>
        <w:t> </w:t>
      </w:r>
      <w:r w:rsidRPr="00FA0FC2">
        <w:rPr>
          <w:rFonts w:hint="cs"/>
          <w:rtl/>
        </w:rPr>
        <w:t>17 من اتفاقية مناهضة التعذيب وغيره من ضروب المعاملة</w:t>
      </w:r>
      <w:r>
        <w:rPr>
          <w:rFonts w:hint="cs"/>
          <w:rtl/>
        </w:rPr>
        <w:t xml:space="preserve"> أو</w:t>
      </w:r>
      <w:r>
        <w:rPr>
          <w:rtl/>
        </w:rPr>
        <w:t> </w:t>
      </w:r>
      <w:r w:rsidRPr="00FA0FC2">
        <w:rPr>
          <w:rFonts w:hint="cs"/>
          <w:rtl/>
        </w:rPr>
        <w:t>العقوبة القاسية</w:t>
      </w:r>
      <w:r>
        <w:rPr>
          <w:rFonts w:hint="cs"/>
          <w:rtl/>
        </w:rPr>
        <w:t xml:space="preserve"> أو</w:t>
      </w:r>
      <w:r>
        <w:rPr>
          <w:rtl/>
        </w:rPr>
        <w:t> </w:t>
      </w:r>
      <w:r w:rsidRPr="00FA0FC2">
        <w:rPr>
          <w:rFonts w:hint="cs"/>
          <w:rtl/>
        </w:rPr>
        <w:t>اللاإنسانية</w:t>
      </w:r>
      <w:r>
        <w:rPr>
          <w:rFonts w:hint="cs"/>
          <w:rtl/>
        </w:rPr>
        <w:t xml:space="preserve"> أو</w:t>
      </w:r>
      <w:r>
        <w:rPr>
          <w:rtl/>
        </w:rPr>
        <w:t> </w:t>
      </w:r>
      <w:r w:rsidRPr="00FA0FC2">
        <w:rPr>
          <w:rFonts w:hint="cs"/>
          <w:rtl/>
        </w:rPr>
        <w:t xml:space="preserve">المهينة، </w:t>
      </w:r>
    </w:p>
    <w:p w:rsidR="00091373" w:rsidRPr="00FA0FC2" w:rsidRDefault="00091373" w:rsidP="00091373">
      <w:pPr>
        <w:pStyle w:val="SingleTxtGA"/>
        <w:rPr>
          <w:rFonts w:hint="cs"/>
          <w:rtl/>
          <w:lang w:val="fr-CH"/>
        </w:rPr>
      </w:pPr>
      <w:r w:rsidRPr="00FA0FC2">
        <w:rPr>
          <w:rFonts w:hint="cs"/>
          <w:rtl/>
          <w:lang w:val="fr-CH"/>
        </w:rPr>
        <w:tab/>
      </w:r>
      <w:r w:rsidRPr="00FA0FC2">
        <w:rPr>
          <w:rFonts w:hint="cs"/>
          <w:i/>
          <w:iCs/>
          <w:rtl/>
          <w:lang w:val="fr-CH"/>
        </w:rPr>
        <w:t>وقد اجتمعت</w:t>
      </w:r>
      <w:r w:rsidRPr="00FA0FC2">
        <w:rPr>
          <w:rFonts w:hint="cs"/>
          <w:rtl/>
          <w:lang w:val="fr-CH"/>
        </w:rPr>
        <w:t xml:space="preserve"> في 13 </w:t>
      </w:r>
      <w:r w:rsidRPr="00FA0FC2">
        <w:rPr>
          <w:rFonts w:hint="cs"/>
          <w:sz w:val="30"/>
          <w:rtl/>
          <w:lang w:val="fr-CH"/>
        </w:rPr>
        <w:t xml:space="preserve">تشرين الثاني/نوفمبر </w:t>
      </w:r>
      <w:r w:rsidRPr="00FA0FC2">
        <w:rPr>
          <w:rFonts w:hint="cs"/>
          <w:rtl/>
          <w:lang w:val="fr-CH"/>
        </w:rPr>
        <w:t>2012،</w:t>
      </w:r>
    </w:p>
    <w:p w:rsidR="00091373" w:rsidRPr="00FA0FC2" w:rsidRDefault="00091373" w:rsidP="00091373">
      <w:pPr>
        <w:pStyle w:val="SingleTxtGA"/>
        <w:rPr>
          <w:rFonts w:hint="cs"/>
          <w:rtl/>
          <w:lang w:val="fr-CH"/>
        </w:rPr>
      </w:pPr>
      <w:r w:rsidRPr="00FA0FC2">
        <w:rPr>
          <w:rFonts w:hint="cs"/>
          <w:rtl/>
          <w:lang w:val="fr-CH"/>
        </w:rPr>
        <w:tab/>
      </w:r>
      <w:r w:rsidRPr="00FA0FC2">
        <w:rPr>
          <w:rFonts w:hint="cs"/>
          <w:i/>
          <w:iCs/>
          <w:rtl/>
          <w:lang w:val="fr-CH"/>
        </w:rPr>
        <w:t xml:space="preserve">وقد فرغت </w:t>
      </w:r>
      <w:r w:rsidRPr="00FA0FC2">
        <w:rPr>
          <w:rFonts w:hint="cs"/>
          <w:rtl/>
          <w:lang w:val="fr-CH"/>
        </w:rPr>
        <w:t xml:space="preserve">من النظر في الشكوى رقم 425/2010، المقدمة إلى لجنة مناهضة التعذيب من </w:t>
      </w:r>
      <w:r w:rsidRPr="00FA0FC2">
        <w:rPr>
          <w:rFonts w:hint="cs"/>
          <w:rtl/>
        </w:rPr>
        <w:t xml:space="preserve">إ. أ. ف. ب. أصالة عن نفسه، </w:t>
      </w:r>
      <w:r w:rsidRPr="00FA0FC2">
        <w:rPr>
          <w:rFonts w:hint="cs"/>
          <w:rtl/>
          <w:lang w:val="fr-CH"/>
        </w:rPr>
        <w:t>بموجب ال</w:t>
      </w:r>
      <w:r>
        <w:rPr>
          <w:rFonts w:hint="cs"/>
          <w:rtl/>
          <w:lang w:val="fr-CH"/>
        </w:rPr>
        <w:t>مادة</w:t>
      </w:r>
      <w:r>
        <w:rPr>
          <w:rtl/>
          <w:lang w:val="fr-CH"/>
        </w:rPr>
        <w:t> </w:t>
      </w:r>
      <w:r w:rsidRPr="00FA0FC2">
        <w:rPr>
          <w:rFonts w:hint="cs"/>
          <w:rtl/>
          <w:lang w:val="fr-CH"/>
        </w:rPr>
        <w:t>22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المهينة،</w:t>
      </w:r>
    </w:p>
    <w:p w:rsidR="00091373" w:rsidRPr="00FA0FC2" w:rsidRDefault="00091373" w:rsidP="00091373">
      <w:pPr>
        <w:pStyle w:val="SingleTxtGA"/>
        <w:rPr>
          <w:rFonts w:hint="cs"/>
          <w:rtl/>
          <w:lang w:val="fr-CH"/>
        </w:rPr>
      </w:pPr>
      <w:r w:rsidRPr="00FA0FC2">
        <w:rPr>
          <w:rFonts w:hint="cs"/>
          <w:rtl/>
          <w:lang w:val="fr-CH"/>
        </w:rPr>
        <w:tab/>
      </w:r>
      <w:r w:rsidRPr="00FA0FC2">
        <w:rPr>
          <w:rFonts w:hint="cs"/>
          <w:i/>
          <w:iCs/>
          <w:rtl/>
          <w:lang w:val="fr-CH"/>
        </w:rPr>
        <w:t xml:space="preserve">وقد وضعت في اعتبارها </w:t>
      </w:r>
      <w:r w:rsidRPr="00FA0FC2">
        <w:rPr>
          <w:rFonts w:hint="cs"/>
          <w:rtl/>
          <w:lang w:val="fr-CH"/>
        </w:rPr>
        <w:t>جميع المعلومات التي أتاحها لها صاحب الشكوى والدولة</w:t>
      </w:r>
      <w:r>
        <w:rPr>
          <w:rFonts w:hint="eastAsia"/>
          <w:rtl/>
          <w:lang w:val="fr-CH"/>
        </w:rPr>
        <w:t> </w:t>
      </w:r>
      <w:r w:rsidRPr="00FA0FC2">
        <w:rPr>
          <w:rFonts w:hint="cs"/>
          <w:rtl/>
          <w:lang w:val="fr-CH"/>
        </w:rPr>
        <w:t xml:space="preserve">الطرف، </w:t>
      </w:r>
    </w:p>
    <w:p w:rsidR="00091373" w:rsidRPr="00FA0FC2" w:rsidRDefault="00091373" w:rsidP="00091373">
      <w:pPr>
        <w:pStyle w:val="SingleTxtGA"/>
        <w:rPr>
          <w:rFonts w:hint="cs"/>
          <w:i/>
          <w:iCs/>
          <w:rtl/>
          <w:lang w:val="fr-CH"/>
        </w:rPr>
      </w:pPr>
      <w:r w:rsidRPr="00FA0FC2">
        <w:rPr>
          <w:rFonts w:hint="cs"/>
          <w:rtl/>
          <w:lang w:val="fr-CH"/>
        </w:rPr>
        <w:tab/>
      </w:r>
      <w:r w:rsidRPr="00FA0FC2">
        <w:rPr>
          <w:rFonts w:hint="cs"/>
          <w:i/>
          <w:iCs/>
          <w:rtl/>
          <w:lang w:val="fr-CH"/>
        </w:rPr>
        <w:t>تعتمد</w:t>
      </w:r>
      <w:r>
        <w:rPr>
          <w:rFonts w:hint="cs"/>
          <w:i/>
          <w:iCs/>
          <w:rtl/>
          <w:lang w:val="fr-CH"/>
        </w:rPr>
        <w:t xml:space="preserve"> </w:t>
      </w:r>
      <w:r w:rsidRPr="002161DA">
        <w:rPr>
          <w:rFonts w:hint="cs"/>
          <w:rtl/>
          <w:lang w:val="fr-CH"/>
        </w:rPr>
        <w:t>ما</w:t>
      </w:r>
      <w:r>
        <w:rPr>
          <w:i/>
          <w:iCs/>
          <w:rtl/>
          <w:lang w:val="fr-CH"/>
        </w:rPr>
        <w:t> </w:t>
      </w:r>
      <w:r w:rsidRPr="00FA0FC2">
        <w:rPr>
          <w:rFonts w:hint="cs"/>
          <w:rtl/>
          <w:lang w:val="fr-CH"/>
        </w:rPr>
        <w:t>يلي:</w:t>
      </w:r>
    </w:p>
    <w:p w:rsidR="00091373" w:rsidRPr="00FA0FC2" w:rsidRDefault="00091373" w:rsidP="00091373">
      <w:pPr>
        <w:pStyle w:val="H1GA"/>
        <w:rPr>
          <w:rFonts w:hint="cs"/>
          <w:rtl/>
        </w:rPr>
      </w:pPr>
      <w:r w:rsidRPr="00FA0FC2">
        <w:rPr>
          <w:rFonts w:hint="cs"/>
          <w:rtl/>
        </w:rPr>
        <w:tab/>
      </w:r>
      <w:r w:rsidRPr="00FA0FC2">
        <w:rPr>
          <w:rFonts w:hint="cs"/>
          <w:rtl/>
        </w:rPr>
        <w:tab/>
        <w:t>قرار بموجب الفقرة 7 من ال</w:t>
      </w:r>
      <w:r>
        <w:rPr>
          <w:rFonts w:hint="cs"/>
          <w:rtl/>
        </w:rPr>
        <w:t>مادة</w:t>
      </w:r>
      <w:r>
        <w:rPr>
          <w:rtl/>
        </w:rPr>
        <w:t> </w:t>
      </w:r>
      <w:r w:rsidRPr="00FA0FC2">
        <w:rPr>
          <w:rFonts w:hint="cs"/>
          <w:rtl/>
        </w:rPr>
        <w:t>22 من اتفاقية مناهضة التعذيب</w:t>
      </w:r>
    </w:p>
    <w:p w:rsidR="00091373" w:rsidRPr="00FA0FC2" w:rsidRDefault="00091373" w:rsidP="00091373">
      <w:pPr>
        <w:pStyle w:val="SingleTxtGA"/>
        <w:rPr>
          <w:rFonts w:hint="cs"/>
          <w:rtl/>
          <w:lang w:val="fr-CH"/>
        </w:rPr>
      </w:pPr>
      <w:r w:rsidRPr="00FA0FC2">
        <w:rPr>
          <w:rFonts w:hint="cs"/>
          <w:rtl/>
          <w:lang w:val="fr-CH"/>
        </w:rPr>
        <w:t>1-1</w:t>
      </w:r>
      <w:r w:rsidRPr="00FA0FC2">
        <w:rPr>
          <w:rFonts w:hint="cs"/>
          <w:rtl/>
          <w:lang w:val="fr-CH"/>
        </w:rPr>
        <w:tab/>
        <w:t xml:space="preserve">صاحب الشكوى المؤرخة 22 حزيران/يونيه 2010 هو </w:t>
      </w:r>
      <w:r w:rsidRPr="00FA0FC2">
        <w:rPr>
          <w:rFonts w:hint="cs"/>
          <w:rtl/>
        </w:rPr>
        <w:t xml:space="preserve">إ. أ. ف. ب.، </w:t>
      </w:r>
      <w:r w:rsidRPr="00FA0FC2">
        <w:rPr>
          <w:rFonts w:hint="cs"/>
          <w:rtl/>
          <w:lang w:val="fr-CH"/>
        </w:rPr>
        <w:t>وهو مواطن جزائري مولود في 26 تشرين الأول/أكتوبر 1966. ويدعي أنه سيكون ضحية انتهاك الدولة الطرف لل</w:t>
      </w:r>
      <w:r>
        <w:rPr>
          <w:rFonts w:hint="cs"/>
          <w:rtl/>
          <w:lang w:val="fr-CH"/>
        </w:rPr>
        <w:t>مادة</w:t>
      </w:r>
      <w:r>
        <w:rPr>
          <w:rtl/>
          <w:lang w:val="fr-CH"/>
        </w:rPr>
        <w:t> </w:t>
      </w:r>
      <w:r w:rsidRPr="00FA0FC2">
        <w:rPr>
          <w:rFonts w:hint="cs"/>
          <w:rtl/>
          <w:lang w:val="fr-CH"/>
        </w:rPr>
        <w:t>3 من الاتفاقية في حال ترحيله من السويد إلى الجزائر.</w:t>
      </w:r>
      <w:r>
        <w:rPr>
          <w:rFonts w:hint="cs"/>
          <w:rtl/>
          <w:lang w:val="fr-CH"/>
        </w:rPr>
        <w:t xml:space="preserve"> ولا</w:t>
      </w:r>
      <w:r>
        <w:rPr>
          <w:rtl/>
          <w:lang w:val="fr-CH"/>
        </w:rPr>
        <w:t> </w:t>
      </w:r>
      <w:r w:rsidRPr="00FA0FC2">
        <w:rPr>
          <w:rFonts w:hint="cs"/>
          <w:rtl/>
          <w:lang w:val="fr-CH"/>
        </w:rPr>
        <w:t>يمثل صاحب الشكوى محامٍ.</w:t>
      </w:r>
    </w:p>
    <w:p w:rsidR="00091373" w:rsidRPr="00FA0FC2" w:rsidRDefault="00091373" w:rsidP="00091373">
      <w:pPr>
        <w:pStyle w:val="SingleTxtGA"/>
        <w:rPr>
          <w:rtl/>
        </w:rPr>
      </w:pPr>
      <w:r w:rsidRPr="00FA0FC2">
        <w:rPr>
          <w:rFonts w:hint="cs"/>
          <w:rtl/>
          <w:lang w:val="fr-CH"/>
        </w:rPr>
        <w:t>1-2</w:t>
      </w:r>
      <w:r w:rsidRPr="00FA0FC2">
        <w:rPr>
          <w:rFonts w:hint="cs"/>
          <w:rtl/>
          <w:lang w:val="fr-CH"/>
        </w:rPr>
        <w:tab/>
        <w:t>وبموجب ال</w:t>
      </w:r>
      <w:r>
        <w:rPr>
          <w:rFonts w:hint="cs"/>
          <w:rtl/>
          <w:lang w:val="fr-CH"/>
        </w:rPr>
        <w:t>مادة</w:t>
      </w:r>
      <w:r>
        <w:rPr>
          <w:rtl/>
          <w:lang w:val="fr-CH"/>
        </w:rPr>
        <w:t> </w:t>
      </w:r>
      <w:r w:rsidRPr="00FA0FC2">
        <w:rPr>
          <w:rFonts w:hint="cs"/>
          <w:rtl/>
          <w:lang w:val="fr-CH"/>
        </w:rPr>
        <w:t>114 (ال</w:t>
      </w:r>
      <w:r>
        <w:rPr>
          <w:rFonts w:hint="cs"/>
          <w:rtl/>
          <w:lang w:val="fr-CH"/>
        </w:rPr>
        <w:t>مادة</w:t>
      </w:r>
      <w:r>
        <w:rPr>
          <w:rtl/>
          <w:lang w:val="fr-CH"/>
        </w:rPr>
        <w:t> </w:t>
      </w:r>
      <w:r w:rsidRPr="00FA0FC2">
        <w:rPr>
          <w:rFonts w:hint="cs"/>
          <w:rtl/>
          <w:lang w:val="fr-CH"/>
        </w:rPr>
        <w:t xml:space="preserve">108 سابقاً) من النظام الداخلي للجنة </w:t>
      </w:r>
      <w:r w:rsidRPr="00FA0FC2">
        <w:t>(CAT/C/3/Rev.5)</w:t>
      </w:r>
      <w:r w:rsidRPr="00FA0FC2">
        <w:rPr>
          <w:rFonts w:hint="cs"/>
          <w:rtl/>
        </w:rPr>
        <w:t>، طلب المقرر المعني بالشكاوى الجديدة والتدابير المؤقتة، وهو يتصرف بالنيابة عن اللجنة، إلى الدولة الطرف، في 12 تموز/يوليه</w:t>
      </w:r>
      <w:r w:rsidRPr="00FA0FC2">
        <w:rPr>
          <w:rFonts w:hint="cs"/>
          <w:sz w:val="30"/>
          <w:rtl/>
        </w:rPr>
        <w:t xml:space="preserve"> </w:t>
      </w:r>
      <w:r w:rsidRPr="00FA0FC2">
        <w:rPr>
          <w:rFonts w:hint="cs"/>
          <w:rtl/>
        </w:rPr>
        <w:t xml:space="preserve">2010، أن تمتنع عن ترحيل صاحب الشكوى إلى </w:t>
      </w:r>
      <w:r w:rsidRPr="00FA0FC2">
        <w:rPr>
          <w:rFonts w:hint="cs"/>
          <w:rtl/>
          <w:lang w:val="fr-CH"/>
        </w:rPr>
        <w:t>الجزائر</w:t>
      </w:r>
      <w:r w:rsidRPr="00FA0FC2">
        <w:rPr>
          <w:rFonts w:hint="cs"/>
          <w:rtl/>
        </w:rPr>
        <w:t xml:space="preserve"> ريثما تنظر اللجنة في بلاغه. وقُدِّم هذا الطلب على أساس المعلومات الواردة في رسالة صاحب الشكوى وأُبلغت الدولة الطرف بإمكانية إعادة النظر فيه في ضوء المعلومات والوثائق التي ترد من الطرفين. </w:t>
      </w:r>
    </w:p>
    <w:p w:rsidR="00091373" w:rsidRPr="00FA0FC2" w:rsidRDefault="00091373" w:rsidP="00091373">
      <w:pPr>
        <w:pStyle w:val="SingleTxtGA"/>
        <w:rPr>
          <w:rFonts w:hint="cs"/>
          <w:rtl/>
          <w:lang w:val="fr-CH"/>
        </w:rPr>
      </w:pPr>
      <w:r w:rsidRPr="00FA0FC2">
        <w:rPr>
          <w:rFonts w:hint="cs"/>
          <w:rtl/>
          <w:lang w:val="fr-CH"/>
        </w:rPr>
        <w:t>1-3</w:t>
      </w:r>
      <w:r w:rsidRPr="00FA0FC2">
        <w:rPr>
          <w:rFonts w:hint="cs"/>
          <w:rtl/>
          <w:lang w:val="fr-CH"/>
        </w:rPr>
        <w:tab/>
        <w:t xml:space="preserve">وفي 13 نيسان/أبريل 2011، وبطلب من الدولة الطرف، قرر المقرر المعني بالشكاوى الجديدة والتدابير المؤقتة، وهو يتصرف بالنيابة عن اللجنة، رفع التدابير المؤقتة. </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الوقائع</w:t>
      </w:r>
      <w:r>
        <w:rPr>
          <w:rFonts w:hint="cs"/>
          <w:rtl/>
          <w:lang w:val="fr-CH"/>
        </w:rPr>
        <w:t xml:space="preserve"> كما</w:t>
      </w:r>
      <w:r>
        <w:rPr>
          <w:rtl/>
          <w:lang w:val="fr-CH"/>
        </w:rPr>
        <w:t> </w:t>
      </w:r>
      <w:r>
        <w:rPr>
          <w:rFonts w:hint="cs"/>
          <w:rtl/>
          <w:lang w:val="fr-CH"/>
        </w:rPr>
        <w:t xml:space="preserve">عرضها </w:t>
      </w:r>
      <w:r w:rsidRPr="00FA0FC2">
        <w:rPr>
          <w:rFonts w:hint="cs"/>
          <w:rtl/>
          <w:lang w:val="fr-CH"/>
        </w:rPr>
        <w:t>صاحب الشكوى</w:t>
      </w:r>
    </w:p>
    <w:p w:rsidR="00091373" w:rsidRPr="00FA0FC2" w:rsidRDefault="00091373" w:rsidP="00091373">
      <w:pPr>
        <w:pStyle w:val="SingleTxtGA"/>
        <w:rPr>
          <w:rFonts w:hint="cs"/>
          <w:rtl/>
          <w:lang w:val="fr-CH"/>
        </w:rPr>
      </w:pPr>
      <w:r w:rsidRPr="00FA0FC2">
        <w:rPr>
          <w:rFonts w:hint="cs"/>
          <w:rtl/>
          <w:lang w:val="fr-CH"/>
        </w:rPr>
        <w:t>2-1</w:t>
      </w:r>
      <w:r w:rsidRPr="00FA0FC2">
        <w:rPr>
          <w:rFonts w:hint="cs"/>
          <w:rtl/>
          <w:lang w:val="fr-CH"/>
        </w:rPr>
        <w:tab/>
        <w:t>خامرت صاحب الشكوى شكوك في</w:t>
      </w:r>
      <w:r>
        <w:rPr>
          <w:rFonts w:hint="cs"/>
          <w:rtl/>
          <w:lang w:val="fr-CH"/>
        </w:rPr>
        <w:t xml:space="preserve"> عام</w:t>
      </w:r>
      <w:r>
        <w:rPr>
          <w:rtl/>
          <w:lang w:val="fr-CH"/>
        </w:rPr>
        <w:t> </w:t>
      </w:r>
      <w:r w:rsidRPr="00FA0FC2">
        <w:rPr>
          <w:rFonts w:hint="cs"/>
          <w:rtl/>
          <w:lang w:val="fr-CH"/>
        </w:rPr>
        <w:t>1998 بشأن ملابسات وفاة والده في</w:t>
      </w:r>
      <w:r>
        <w:rPr>
          <w:rFonts w:hint="cs"/>
          <w:rtl/>
          <w:lang w:val="fr-CH"/>
        </w:rPr>
        <w:t xml:space="preserve"> عام</w:t>
      </w:r>
      <w:r>
        <w:rPr>
          <w:rtl/>
          <w:lang w:val="fr-CH"/>
        </w:rPr>
        <w:t> </w:t>
      </w:r>
      <w:r w:rsidRPr="00FA0FC2">
        <w:rPr>
          <w:rFonts w:hint="cs"/>
          <w:rtl/>
          <w:lang w:val="fr-CH"/>
        </w:rPr>
        <w:t>1986 فبادر إلى توجيه رسالة إلى الأمين العام لوزارة الدفاع في الجزائر يطلب فيها إليه التحقيق في الظروف المحيطة بوفاة والده. وكان والده قائداً في دوائر المخابرات ونائب مدير إدارة الاستخبارات والأمن، وكذلك ملحقاً عسكرياً سابقاً بسفارة الجزائر في دمشق. وأثناء احتفال صاحب الشكوى برأس السنة رفقة زملائه السابقين من الكلية العسكرية (غادر صاحب الشكوى الكلية قبل استكمال دراسته)، علم باغتيال والده. ووفقاً للمعلومات التي تلقاها من أحد أصدقائه، الذي كان يعمل في صفوف الجيش، تُوفي والده في المستشفى العسكري للأمراض العقلية بعد شجار مع طبيب عسكري يُزعم أن والد صاحب الشكوى أفشى خلاله أسراراً عسكرية. فقام الطبيب العسكري، وفقاً لتعليمات وزارة الدفاع، بإعطائه</w:t>
      </w:r>
      <w:r>
        <w:rPr>
          <w:rFonts w:hint="eastAsia"/>
          <w:rtl/>
          <w:lang w:val="fr-CH"/>
        </w:rPr>
        <w:t> </w:t>
      </w:r>
      <w:r w:rsidRPr="00FA0FC2">
        <w:rPr>
          <w:rFonts w:hint="cs"/>
          <w:rtl/>
          <w:lang w:val="fr-CH"/>
        </w:rPr>
        <w:t>مسكناً قوياً نتجت عنه أزمة قلبية.</w:t>
      </w:r>
      <w:r>
        <w:rPr>
          <w:rFonts w:hint="cs"/>
          <w:rtl/>
          <w:lang w:val="fr-CH"/>
        </w:rPr>
        <w:t xml:space="preserve"> وفي</w:t>
      </w:r>
      <w:r>
        <w:rPr>
          <w:rtl/>
          <w:lang w:val="fr-CH"/>
        </w:rPr>
        <w:t> </w:t>
      </w:r>
      <w:r w:rsidRPr="00FA0FC2">
        <w:rPr>
          <w:rFonts w:hint="cs"/>
          <w:rtl/>
          <w:lang w:val="fr-CH"/>
        </w:rPr>
        <w:t>رسالتين موجهتين إلى رئيس الدولة مؤرختين</w:t>
      </w:r>
      <w:r>
        <w:rPr>
          <w:rFonts w:hint="eastAsia"/>
          <w:rtl/>
          <w:lang w:val="fr-CH"/>
        </w:rPr>
        <w:t> </w:t>
      </w:r>
      <w:r w:rsidRPr="00FA0FC2">
        <w:rPr>
          <w:rFonts w:hint="cs"/>
          <w:rtl/>
          <w:lang w:val="fr-CH"/>
        </w:rPr>
        <w:t>11 شباط/فبراير و5 أيار/مايو 2005، طلب صاحب الشكوى إلى الرئيس أن يأمر بفتح تحقيق في وفاة والده. وبعد توجيه الرسالة الثانية زار شخصان بيت صاحب الشكوى في غيابه وقد تعرّف عليهما أحد أصدقائه من الجيش بصفتيهما عميلين من عملاء المخابرات العسكرية.</w:t>
      </w:r>
      <w:r>
        <w:rPr>
          <w:rFonts w:hint="cs"/>
          <w:rtl/>
          <w:lang w:val="fr-CH"/>
        </w:rPr>
        <w:t xml:space="preserve"> وفي</w:t>
      </w:r>
      <w:r>
        <w:rPr>
          <w:rtl/>
          <w:lang w:val="fr-CH"/>
        </w:rPr>
        <w:t> </w:t>
      </w:r>
      <w:r w:rsidRPr="00FA0FC2">
        <w:rPr>
          <w:rFonts w:hint="cs"/>
          <w:rtl/>
          <w:lang w:val="fr-CH"/>
        </w:rPr>
        <w:t>كانون الأول/ديسمبر 2005، وجّه صاحب الشكوى رسالة ثالثة إلى رئيس الدولة تضمنت توجيه نقد لاذع إلى السلطات والجيش ونددت به حيث اعتبرته مسؤولاً عن مذبحتين ذهب ضحيتهما سكان مدنيون، وشكّك في رواية اغتيال الرئيس الراحل بوضياف وأفشى أسماء المسؤولين عن الهجوم على قطار المسافرين التابع لشبكة القطارات الإقليمية السريعة في باريس.</w:t>
      </w:r>
      <w:r>
        <w:rPr>
          <w:rFonts w:hint="cs"/>
          <w:rtl/>
          <w:lang w:val="fr-CH"/>
        </w:rPr>
        <w:t xml:space="preserve"> وفي</w:t>
      </w:r>
      <w:r>
        <w:rPr>
          <w:rtl/>
          <w:lang w:val="fr-CH"/>
        </w:rPr>
        <w:t> </w:t>
      </w:r>
      <w:r w:rsidRPr="00FA0FC2">
        <w:rPr>
          <w:rFonts w:hint="cs"/>
          <w:rtl/>
          <w:lang w:val="fr-CH"/>
        </w:rPr>
        <w:t>15 كانون الأول/ديسمبر 2005، ألقت السلطات القبض على صاحب الشكوى وصادرت جواز سفره. وتعرض أثناء خمسة أيام للضرب وللتهديد بالقتل ولتبول مسؤولين عليه. واحتُجز صاحب الشكوى لمدة 20 يوماً، قبل إخلاء سبيله في 4 كانون الثاني/يناير 2006، حيث أُجبر، تحت التهديد بالقتل، على توقيع وثيقة يعترف فيها بأنه كان عضواً في مجموعة إسلامية ناشطة في الجزائر العاصمة. بيد أنه</w:t>
      </w:r>
      <w:r>
        <w:rPr>
          <w:rFonts w:hint="cs"/>
          <w:rtl/>
          <w:lang w:val="fr-CH"/>
        </w:rPr>
        <w:t xml:space="preserve"> لم</w:t>
      </w:r>
      <w:r>
        <w:rPr>
          <w:rtl/>
          <w:lang w:val="fr-CH"/>
        </w:rPr>
        <w:t> </w:t>
      </w:r>
      <w:r w:rsidRPr="00FA0FC2">
        <w:rPr>
          <w:rFonts w:hint="cs"/>
          <w:rtl/>
          <w:lang w:val="fr-CH"/>
        </w:rPr>
        <w:t xml:space="preserve">توجَّه إليه تهمة إطلاقاً بارتكاب أي جريمة وكان يتنقل بحرية، باستثناء وجوب الحضور إلى مخفر الشرطة أسبوعياً. وبعد إطلاق سراحه، التقطت زوجة صاحب الشكوى صوراً لكدماته، عُرضت على سلطات الهجرة السويدية. </w:t>
      </w:r>
    </w:p>
    <w:p w:rsidR="00091373" w:rsidRPr="00FA0FC2" w:rsidRDefault="00091373" w:rsidP="00EE55B8">
      <w:pPr>
        <w:pStyle w:val="SingleTxtGA"/>
        <w:rPr>
          <w:rFonts w:hint="cs"/>
          <w:rtl/>
          <w:lang w:val="fr-CH"/>
        </w:rPr>
      </w:pPr>
      <w:r w:rsidRPr="00FA0FC2">
        <w:rPr>
          <w:rFonts w:hint="cs"/>
          <w:rtl/>
          <w:lang w:val="fr-CH"/>
        </w:rPr>
        <w:t>2-2</w:t>
      </w:r>
      <w:r w:rsidRPr="00FA0FC2">
        <w:rPr>
          <w:rFonts w:hint="cs"/>
          <w:rtl/>
          <w:lang w:val="fr-CH"/>
        </w:rPr>
        <w:tab/>
        <w:t>وفي أعقاب مصادرة جواز سفره القديم في 15 كانون الأول/ديسمبر 2005، حصل صاحب الشكوى على جواز جديد من مسؤول مقابل دفع رشوة له.</w:t>
      </w:r>
      <w:r>
        <w:rPr>
          <w:rFonts w:hint="cs"/>
          <w:rtl/>
          <w:lang w:val="fr-CH"/>
        </w:rPr>
        <w:t xml:space="preserve"> وفي</w:t>
      </w:r>
      <w:r>
        <w:rPr>
          <w:rtl/>
          <w:lang w:val="fr-CH"/>
        </w:rPr>
        <w:t> </w:t>
      </w:r>
      <w:r>
        <w:rPr>
          <w:rFonts w:hint="cs"/>
          <w:rtl/>
          <w:lang w:val="fr-CH"/>
        </w:rPr>
        <w:t>عام</w:t>
      </w:r>
      <w:r>
        <w:rPr>
          <w:rtl/>
          <w:lang w:val="fr-CH"/>
        </w:rPr>
        <w:t> </w:t>
      </w:r>
      <w:r w:rsidRPr="00FA0FC2">
        <w:rPr>
          <w:rFonts w:hint="cs"/>
          <w:rtl/>
          <w:lang w:val="fr-CH"/>
        </w:rPr>
        <w:t>2007، زار صاحب الشكوى أمه في مصر.</w:t>
      </w:r>
      <w:r>
        <w:rPr>
          <w:rFonts w:hint="cs"/>
          <w:rtl/>
          <w:lang w:val="fr-CH"/>
        </w:rPr>
        <w:t xml:space="preserve"> وفي</w:t>
      </w:r>
      <w:r>
        <w:rPr>
          <w:rtl/>
          <w:lang w:val="fr-CH"/>
        </w:rPr>
        <w:t> </w:t>
      </w:r>
      <w:r w:rsidRPr="00FA0FC2">
        <w:rPr>
          <w:rFonts w:hint="cs"/>
          <w:rtl/>
          <w:lang w:val="fr-CH"/>
        </w:rPr>
        <w:t xml:space="preserve">20 آذار/مارس 2008، طلب منه أفراد شرطة المخفر الذي يتعين على صاحب الشكوى الحضور إليه أسبوعياً بعد إطلاق سراحه التوجه إلى المركز وبحوزته جواز سفره. وحيث كان صاحب الشكوى يخشى من </w:t>
      </w:r>
      <w:r w:rsidRPr="00FA0FC2">
        <w:rPr>
          <w:rFonts w:hint="cs"/>
          <w:spacing w:val="-4"/>
          <w:rtl/>
          <w:lang w:val="fr-CH"/>
        </w:rPr>
        <w:t>استمرار دوائر المخابرات البحث عنه قرر الفرار. ووصل إلى السويد في 27 آذار/مارس</w:t>
      </w:r>
      <w:r w:rsidRPr="00FA0FC2">
        <w:rPr>
          <w:rFonts w:hint="cs"/>
          <w:rtl/>
          <w:lang w:val="fr-CH"/>
        </w:rPr>
        <w:t xml:space="preserve"> 2008، حيث قدم طلب لجوء. وبعد أربعة أيام، صادرت السلطات الجزائرية جواز زوجته وكانت</w:t>
      </w:r>
      <w:r w:rsidR="00EE55B8">
        <w:rPr>
          <w:rFonts w:hint="eastAsia"/>
          <w:rtl/>
          <w:lang w:val="fr-CH"/>
        </w:rPr>
        <w:t> </w:t>
      </w:r>
      <w:r w:rsidRPr="00FA0FC2">
        <w:rPr>
          <w:rFonts w:hint="cs"/>
          <w:rtl/>
          <w:lang w:val="fr-CH"/>
        </w:rPr>
        <w:t>تتلقى لمدة سنة بعد رحيله زيارات منتظمة من أشخاص يرتدون زياً مدنياً يُدَّعى أنهم يهددونها في إطار بحثهم عن صاحب الشكوى.</w:t>
      </w:r>
    </w:p>
    <w:p w:rsidR="00091373" w:rsidRPr="00FA0FC2" w:rsidRDefault="00091373" w:rsidP="00091373">
      <w:pPr>
        <w:pStyle w:val="SingleTxtGA"/>
        <w:rPr>
          <w:rtl/>
          <w:lang w:val="fr-CH"/>
        </w:rPr>
      </w:pPr>
      <w:r w:rsidRPr="00FA0FC2">
        <w:rPr>
          <w:rFonts w:hint="cs"/>
          <w:rtl/>
          <w:lang w:val="fr-CH"/>
        </w:rPr>
        <w:t>2-3</w:t>
      </w:r>
      <w:r w:rsidRPr="00FA0FC2">
        <w:rPr>
          <w:rFonts w:hint="cs"/>
          <w:rtl/>
          <w:lang w:val="fr-CH"/>
        </w:rPr>
        <w:tab/>
        <w:t>وفي 17 كانون الأول/ديسمبر 2009، رفضت دوائر الهجرة طلب لجوء صاحب الشكوى، على أساس أن الوثائق التي قدمها</w:t>
      </w:r>
      <w:r>
        <w:rPr>
          <w:rFonts w:hint="cs"/>
          <w:rtl/>
          <w:lang w:val="fr-CH"/>
        </w:rPr>
        <w:t xml:space="preserve"> لا</w:t>
      </w:r>
      <w:r>
        <w:rPr>
          <w:rtl/>
          <w:lang w:val="fr-CH"/>
        </w:rPr>
        <w:t> </w:t>
      </w:r>
      <w:r w:rsidRPr="00FA0FC2">
        <w:rPr>
          <w:rFonts w:hint="cs"/>
          <w:rtl/>
          <w:lang w:val="fr-CH"/>
        </w:rPr>
        <w:t>تُثبت بصورة كافية أنه كان ضحية التعذيب في الماضي. ويُشير صاحب الشكوى إلى أن دوائر المخابرات حذّرته من إبلاغ أي شخص باحتجازه ومن استخراج أي شهادة طبية. واعترفت دوائر الهجرة بأنه وجّه عدة رسائل إلى رئيس الدولة، بيد أنها رأت أن ذلك</w:t>
      </w:r>
      <w:r>
        <w:rPr>
          <w:rFonts w:hint="cs"/>
          <w:rtl/>
          <w:lang w:val="fr-CH"/>
        </w:rPr>
        <w:t xml:space="preserve"> لا</w:t>
      </w:r>
      <w:r>
        <w:rPr>
          <w:rtl/>
          <w:lang w:val="fr-CH"/>
        </w:rPr>
        <w:t> </w:t>
      </w:r>
      <w:r w:rsidRPr="00FA0FC2">
        <w:rPr>
          <w:rFonts w:hint="cs"/>
          <w:rtl/>
          <w:lang w:val="fr-CH"/>
        </w:rPr>
        <w:t>يُشكل خطراً حقيقياً للتعرض للتعذيب لدى عودته. وأشارت السلطات السويدية أيضاً إلى أن صاحب الشكوى قرر التحرك فقط بعد 12 و19 عاماً من وفاة والده. ويشير صاحب الشكوى إلى أنه</w:t>
      </w:r>
      <w:r>
        <w:rPr>
          <w:rFonts w:hint="cs"/>
          <w:rtl/>
          <w:lang w:val="fr-CH"/>
        </w:rPr>
        <w:t xml:space="preserve"> لم</w:t>
      </w:r>
      <w:r>
        <w:rPr>
          <w:rtl/>
          <w:lang w:val="fr-CH"/>
        </w:rPr>
        <w:t> </w:t>
      </w:r>
      <w:r w:rsidRPr="00FA0FC2">
        <w:rPr>
          <w:rFonts w:hint="cs"/>
          <w:rtl/>
          <w:lang w:val="fr-CH"/>
        </w:rPr>
        <w:t>يكن يبلغ من العمر سوى 20 عاماً عند وفاة والده وإلى أنه كان يؤدي الخدمة العسكرية وقتئذٍ. وأوضح أنه قرر الاستفسار عن وفاة والده عندما غادر صفوف الجيش وبعد أن تلقى معلومات من أصدقائه في</w:t>
      </w:r>
      <w:r>
        <w:rPr>
          <w:rFonts w:hint="cs"/>
          <w:rtl/>
          <w:lang w:val="fr-CH"/>
        </w:rPr>
        <w:t xml:space="preserve"> عام</w:t>
      </w:r>
      <w:r>
        <w:rPr>
          <w:rtl/>
          <w:lang w:val="fr-CH"/>
        </w:rPr>
        <w:t> </w:t>
      </w:r>
      <w:r w:rsidRPr="00FA0FC2">
        <w:rPr>
          <w:rFonts w:hint="cs"/>
          <w:rtl/>
          <w:lang w:val="fr-CH"/>
        </w:rPr>
        <w:t>2005. ورأت دوائر الهجرة السويدية أن الأحداث التي أدت إلى وفاة والده ومزاعم صاحب الشكوى بأنه مطلوب انتقاماً منه بسبب توجيه رسائل إلى رئيس الدولة،</w:t>
      </w:r>
      <w:r>
        <w:rPr>
          <w:rFonts w:hint="cs"/>
          <w:rtl/>
          <w:lang w:val="fr-CH"/>
        </w:rPr>
        <w:t xml:space="preserve"> لا</w:t>
      </w:r>
      <w:r>
        <w:rPr>
          <w:rtl/>
          <w:lang w:val="fr-CH"/>
        </w:rPr>
        <w:t> </w:t>
      </w:r>
      <w:r w:rsidRPr="00FA0FC2">
        <w:rPr>
          <w:rFonts w:hint="cs"/>
          <w:rtl/>
          <w:lang w:val="fr-CH"/>
        </w:rPr>
        <w:t>تحظى بالمصداقية. ولاحظت أيضاً أن صاحب الشكوى سافر في</w:t>
      </w:r>
      <w:r>
        <w:rPr>
          <w:rFonts w:hint="cs"/>
          <w:rtl/>
          <w:lang w:val="fr-CH"/>
        </w:rPr>
        <w:t xml:space="preserve"> عام</w:t>
      </w:r>
      <w:r>
        <w:rPr>
          <w:rtl/>
          <w:lang w:val="fr-CH"/>
        </w:rPr>
        <w:t> </w:t>
      </w:r>
      <w:r w:rsidRPr="00FA0FC2">
        <w:rPr>
          <w:rFonts w:hint="cs"/>
          <w:rtl/>
          <w:lang w:val="fr-CH"/>
        </w:rPr>
        <w:t>2007 إلى السويد بالفعل لكنه</w:t>
      </w:r>
      <w:r>
        <w:rPr>
          <w:rFonts w:hint="cs"/>
          <w:rtl/>
          <w:lang w:val="fr-CH"/>
        </w:rPr>
        <w:t xml:space="preserve"> لم</w:t>
      </w:r>
      <w:r>
        <w:rPr>
          <w:rtl/>
          <w:lang w:val="fr-CH"/>
        </w:rPr>
        <w:t> </w:t>
      </w:r>
      <w:r w:rsidRPr="00FA0FC2">
        <w:rPr>
          <w:rFonts w:hint="cs"/>
          <w:rtl/>
          <w:lang w:val="fr-CH"/>
        </w:rPr>
        <w:t>يقدم طلب لجوء، الأمر الذي يثير شكوكاً بشأن خوفه المزعوم من الاضطهاد. ويشير صاحب الشكوى إلى أنه</w:t>
      </w:r>
      <w:r>
        <w:rPr>
          <w:rFonts w:hint="cs"/>
          <w:rtl/>
          <w:lang w:val="fr-CH"/>
        </w:rPr>
        <w:t xml:space="preserve"> لم</w:t>
      </w:r>
      <w:r>
        <w:rPr>
          <w:rtl/>
          <w:lang w:val="fr-CH"/>
        </w:rPr>
        <w:t> </w:t>
      </w:r>
      <w:r w:rsidRPr="00FA0FC2">
        <w:rPr>
          <w:rFonts w:hint="cs"/>
          <w:rtl/>
          <w:lang w:val="fr-CH"/>
        </w:rPr>
        <w:t>يكن يشعر وقتئذٍ بتعرضه للخطر لأنه</w:t>
      </w:r>
      <w:r>
        <w:rPr>
          <w:rFonts w:hint="cs"/>
          <w:rtl/>
          <w:lang w:val="fr-CH"/>
        </w:rPr>
        <w:t xml:space="preserve"> لم</w:t>
      </w:r>
      <w:r>
        <w:rPr>
          <w:rtl/>
          <w:lang w:val="fr-CH"/>
        </w:rPr>
        <w:t> </w:t>
      </w:r>
      <w:r w:rsidRPr="00FA0FC2">
        <w:rPr>
          <w:rFonts w:hint="cs"/>
          <w:rtl/>
          <w:lang w:val="fr-CH"/>
        </w:rPr>
        <w:t>يتلق أي استدعاء من الشرطة. ورأى مجلس الهجرة السويدي لاحقاً أن ادعاء صاحب الشكوى بتلقي زوجته زيارات منتظمة من جانب مسؤولين يرتدون الزي المدني بعد رحيله</w:t>
      </w:r>
      <w:r>
        <w:rPr>
          <w:rFonts w:hint="cs"/>
          <w:rtl/>
          <w:lang w:val="fr-CH"/>
        </w:rPr>
        <w:t xml:space="preserve"> لا</w:t>
      </w:r>
      <w:r>
        <w:rPr>
          <w:rtl/>
          <w:lang w:val="fr-CH"/>
        </w:rPr>
        <w:t> </w:t>
      </w:r>
      <w:r w:rsidRPr="00FA0FC2">
        <w:rPr>
          <w:rFonts w:hint="cs"/>
          <w:rtl/>
          <w:lang w:val="fr-CH"/>
        </w:rPr>
        <w:t>تحظى بالمصداقية، حيث إنه انفصل عن زوجته منذ</w:t>
      </w:r>
      <w:r>
        <w:rPr>
          <w:rFonts w:hint="cs"/>
          <w:rtl/>
          <w:lang w:val="fr-CH"/>
        </w:rPr>
        <w:t xml:space="preserve"> عام</w:t>
      </w:r>
      <w:r>
        <w:rPr>
          <w:rtl/>
          <w:lang w:val="fr-CH"/>
        </w:rPr>
        <w:t> </w:t>
      </w:r>
      <w:r w:rsidRPr="00FA0FC2">
        <w:rPr>
          <w:rFonts w:hint="cs"/>
          <w:rtl/>
          <w:lang w:val="fr-CH"/>
        </w:rPr>
        <w:t>2007 وأشار إلى عنوان مختلف عند تقديم طلبات إلى السلطات السويدية للحصول على تأشيرة.</w:t>
      </w:r>
      <w:r>
        <w:rPr>
          <w:rFonts w:hint="cs"/>
          <w:rtl/>
          <w:lang w:val="fr-CH"/>
        </w:rPr>
        <w:t xml:space="preserve"> وفي</w:t>
      </w:r>
      <w:r>
        <w:rPr>
          <w:rtl/>
          <w:lang w:val="fr-CH"/>
        </w:rPr>
        <w:t> </w:t>
      </w:r>
      <w:r w:rsidRPr="00FA0FC2">
        <w:rPr>
          <w:rFonts w:hint="cs"/>
          <w:rtl/>
          <w:lang w:val="fr-CH"/>
        </w:rPr>
        <w:t>هذا الصدد، أوضح صاحب الشكوى أنه كان على خلاف مع زوجته عند تقديم طلبات التأشيرة وأنهما طلقا وفقاً للشعائر الإسلامية، دون الإعلان عن ذلك رسمياً. وقبل مغادرة الجزائر، تصالحا وألغيا الطلاق ويشير الدفتر العائلي إلى أنه متزوج. بيد أنه ادعى أمام السلطات الجزائرية أنهما</w:t>
      </w:r>
      <w:r>
        <w:rPr>
          <w:rFonts w:hint="cs"/>
          <w:rtl/>
          <w:lang w:val="fr-CH"/>
        </w:rPr>
        <w:t xml:space="preserve"> لا</w:t>
      </w:r>
      <w:r>
        <w:rPr>
          <w:rtl/>
          <w:lang w:val="fr-CH"/>
        </w:rPr>
        <w:t> </w:t>
      </w:r>
      <w:r w:rsidRPr="00FA0FC2">
        <w:rPr>
          <w:rFonts w:hint="cs"/>
          <w:rtl/>
          <w:lang w:val="fr-CH"/>
        </w:rPr>
        <w:t>يزالان منفصلين سعياً لحماية زوجته من المضايقة. واستنتج مجلس الهجرة أيضاً أن ادعاء صاحب الشكوى مصادرة جوازه غير مرجح؛ بل يرجح أن يكون قد جدد جوازه القديم بسبب استنفاد صفحاته. ورد صاحب الشكوى على ذلك بأنه من غير المنطقي تجديد جواز سفر يتضمن تصريح إقامة مصري صالحاً حتى 23 آب/أغسطس 2008. وأوضح أيضاً أن انتظاره لمدة 14 شهراً قبل السفر يثبت خشيته من التوقيف.</w:t>
      </w:r>
      <w:r>
        <w:rPr>
          <w:rFonts w:hint="cs"/>
          <w:rtl/>
          <w:lang w:val="fr-CH"/>
        </w:rPr>
        <w:t xml:space="preserve"> وفي</w:t>
      </w:r>
      <w:r>
        <w:rPr>
          <w:rtl/>
          <w:lang w:val="fr-CH"/>
        </w:rPr>
        <w:t> </w:t>
      </w:r>
      <w:r w:rsidRPr="00FA0FC2">
        <w:rPr>
          <w:rFonts w:hint="cs"/>
          <w:rtl/>
          <w:lang w:val="fr-CH"/>
        </w:rPr>
        <w:t>16 آذار/مارس 2010، رفضت محكمة غوتنبرغ الإدارية الطعن الذي قدمه.</w:t>
      </w:r>
      <w:r>
        <w:rPr>
          <w:rFonts w:hint="cs"/>
          <w:rtl/>
          <w:lang w:val="fr-CH"/>
        </w:rPr>
        <w:t xml:space="preserve"> وفي</w:t>
      </w:r>
      <w:r>
        <w:rPr>
          <w:rtl/>
          <w:lang w:val="fr-CH"/>
        </w:rPr>
        <w:t> </w:t>
      </w:r>
      <w:r w:rsidRPr="00FA0FC2">
        <w:rPr>
          <w:rFonts w:hint="cs"/>
          <w:rtl/>
          <w:lang w:val="fr-CH"/>
        </w:rPr>
        <w:t>3 حزيران/يونيه 2010، رفضت محكمة الاستئناف أيضاً طعنه.</w:t>
      </w:r>
      <w:r>
        <w:rPr>
          <w:rFonts w:hint="cs"/>
          <w:rtl/>
          <w:lang w:val="fr-CH"/>
        </w:rPr>
        <w:t xml:space="preserve"> وفي</w:t>
      </w:r>
      <w:r>
        <w:rPr>
          <w:rtl/>
          <w:lang w:val="fr-CH"/>
        </w:rPr>
        <w:t> </w:t>
      </w:r>
      <w:r w:rsidRPr="00FA0FC2">
        <w:rPr>
          <w:rFonts w:hint="cs"/>
          <w:rtl/>
          <w:lang w:val="fr-CH"/>
        </w:rPr>
        <w:t>7 حزيران/يونيه 2010، أُبلغ بوجوب مغادرة السويد في غضون شهر،</w:t>
      </w:r>
      <w:r>
        <w:rPr>
          <w:rFonts w:hint="cs"/>
          <w:rtl/>
          <w:lang w:val="fr-CH"/>
        </w:rPr>
        <w:t xml:space="preserve"> وإلا</w:t>
      </w:r>
      <w:r>
        <w:rPr>
          <w:rtl/>
          <w:lang w:val="fr-CH"/>
        </w:rPr>
        <w:t> </w:t>
      </w:r>
      <w:r w:rsidRPr="00FA0FC2">
        <w:rPr>
          <w:rFonts w:hint="cs"/>
          <w:rtl/>
          <w:lang w:val="fr-CH"/>
        </w:rPr>
        <w:t>تعرض للطرد.</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الشكوى</w:t>
      </w:r>
    </w:p>
    <w:p w:rsidR="00091373" w:rsidRPr="00FA0FC2" w:rsidRDefault="00091373" w:rsidP="00091373">
      <w:pPr>
        <w:pStyle w:val="SingleTxtGA"/>
        <w:rPr>
          <w:rFonts w:hint="cs"/>
          <w:rtl/>
          <w:lang w:val="fr-CH"/>
        </w:rPr>
      </w:pPr>
      <w:r w:rsidRPr="00FA0FC2">
        <w:rPr>
          <w:rFonts w:hint="cs"/>
          <w:rtl/>
          <w:lang w:val="fr-CH"/>
        </w:rPr>
        <w:t>3-1</w:t>
      </w:r>
      <w:r w:rsidRPr="00FA0FC2">
        <w:rPr>
          <w:rFonts w:hint="cs"/>
          <w:rtl/>
          <w:lang w:val="fr-CH"/>
        </w:rPr>
        <w:tab/>
        <w:t>يدعي صاحب الشكوى أن ترحيله إلى الجزائر سينتهك أحكام ال</w:t>
      </w:r>
      <w:r>
        <w:rPr>
          <w:rFonts w:hint="cs"/>
          <w:rtl/>
          <w:lang w:val="fr-CH"/>
        </w:rPr>
        <w:t>مادة</w:t>
      </w:r>
      <w:r>
        <w:rPr>
          <w:rtl/>
          <w:lang w:val="fr-CH"/>
        </w:rPr>
        <w:t> </w:t>
      </w:r>
      <w:r w:rsidRPr="00FA0FC2">
        <w:rPr>
          <w:rFonts w:hint="cs"/>
          <w:rtl/>
          <w:lang w:val="fr-CH"/>
        </w:rPr>
        <w:t>3 من الاتفاقية. ويدعي أن السلطات السويدية</w:t>
      </w:r>
      <w:r>
        <w:rPr>
          <w:rFonts w:hint="cs"/>
          <w:rtl/>
          <w:lang w:val="fr-CH"/>
        </w:rPr>
        <w:t xml:space="preserve"> لم</w:t>
      </w:r>
      <w:r>
        <w:rPr>
          <w:rtl/>
          <w:lang w:val="fr-CH"/>
        </w:rPr>
        <w:t> </w:t>
      </w:r>
      <w:r w:rsidRPr="00FA0FC2">
        <w:rPr>
          <w:rFonts w:hint="cs"/>
          <w:rtl/>
          <w:lang w:val="fr-CH"/>
        </w:rPr>
        <w:t>تأخذ في الحسبان عدم احترام حقوق الإنسان في الجزائر التي</w:t>
      </w:r>
      <w:r>
        <w:rPr>
          <w:rFonts w:hint="cs"/>
          <w:rtl/>
          <w:lang w:val="fr-CH"/>
        </w:rPr>
        <w:t xml:space="preserve"> لا</w:t>
      </w:r>
      <w:r>
        <w:rPr>
          <w:rtl/>
          <w:lang w:val="fr-CH"/>
        </w:rPr>
        <w:t> </w:t>
      </w:r>
      <w:r w:rsidRPr="00FA0FC2">
        <w:rPr>
          <w:rFonts w:hint="cs"/>
          <w:rtl/>
          <w:lang w:val="fr-CH"/>
        </w:rPr>
        <w:t>تزال تشهد حالة طوارئ منذ 18 سنة. ويدعي أيضاً أن التعذيب يُمارس فيها بانتظام من جانب دوائر المخابرات وأن عملاءها يتصرفون في كنف الإفلات من العقاب. ويدفع بأنه سيتعرض لخطر التعذيب الحقيقي إذا أُعيد إلى الجزائر. ويؤكد أيضاً أنّ المواطنين الجزائريين الذين يعودون إلى الجزائر إثر عدم حصولهم على اللجوء في بلد ثالث عادة</w:t>
      </w:r>
      <w:r>
        <w:rPr>
          <w:rFonts w:hint="cs"/>
          <w:rtl/>
          <w:lang w:val="fr-CH"/>
        </w:rPr>
        <w:t xml:space="preserve"> ما</w:t>
      </w:r>
      <w:r>
        <w:rPr>
          <w:rtl/>
          <w:lang w:val="fr-CH"/>
        </w:rPr>
        <w:t> </w:t>
      </w:r>
      <w:r w:rsidRPr="00FA0FC2">
        <w:rPr>
          <w:rFonts w:hint="cs"/>
          <w:rtl/>
          <w:lang w:val="fr-CH"/>
        </w:rPr>
        <w:t>يشتبه في انتمائهم إلى الإرهابيين الإسلاميين،</w:t>
      </w:r>
      <w:r>
        <w:rPr>
          <w:rFonts w:hint="cs"/>
          <w:rtl/>
          <w:lang w:val="fr-CH"/>
        </w:rPr>
        <w:t xml:space="preserve"> مما</w:t>
      </w:r>
      <w:r>
        <w:rPr>
          <w:rtl/>
          <w:lang w:val="fr-CH"/>
        </w:rPr>
        <w:t> </w:t>
      </w:r>
      <w:r w:rsidRPr="00FA0FC2">
        <w:rPr>
          <w:rFonts w:hint="cs"/>
          <w:rtl/>
          <w:lang w:val="fr-CH"/>
        </w:rPr>
        <w:t xml:space="preserve">قد يعرضهم للانتقام. </w:t>
      </w:r>
    </w:p>
    <w:p w:rsidR="00091373" w:rsidRPr="00FA0FC2" w:rsidRDefault="00091373" w:rsidP="00091373">
      <w:pPr>
        <w:pStyle w:val="SingleTxtGA"/>
        <w:rPr>
          <w:rFonts w:hint="cs"/>
          <w:rtl/>
          <w:lang w:val="fr-CH"/>
        </w:rPr>
      </w:pPr>
      <w:r w:rsidRPr="00FA0FC2">
        <w:rPr>
          <w:rFonts w:hint="cs"/>
          <w:rtl/>
          <w:lang w:val="fr-CH"/>
        </w:rPr>
        <w:t>3-2</w:t>
      </w:r>
      <w:r w:rsidRPr="00FA0FC2">
        <w:rPr>
          <w:rFonts w:hint="cs"/>
          <w:rtl/>
          <w:lang w:val="fr-CH"/>
        </w:rPr>
        <w:tab/>
        <w:t>ويدعي صاحب الشكوى أيضاً أن سلطات الهجرة تأثرت برسالة موجهة إليها من سفارة السويد بالجزائر العاصمة، أبلغت فيها إحدى الموظفات مسؤولاً عن شؤون الهجرة بأنها رفضت منح تأشيرة إلى صاحب الشكوى في</w:t>
      </w:r>
      <w:r>
        <w:rPr>
          <w:rFonts w:hint="cs"/>
          <w:rtl/>
          <w:lang w:val="fr-CH"/>
        </w:rPr>
        <w:t xml:space="preserve"> عام</w:t>
      </w:r>
      <w:r>
        <w:rPr>
          <w:rtl/>
          <w:lang w:val="fr-CH"/>
        </w:rPr>
        <w:t> </w:t>
      </w:r>
      <w:r w:rsidRPr="00FA0FC2">
        <w:rPr>
          <w:rFonts w:hint="cs"/>
          <w:rtl/>
          <w:lang w:val="fr-CH"/>
        </w:rPr>
        <w:t>2007 وأعربت عن أسفها لمنح زميل آخر تأشيرة له في</w:t>
      </w:r>
      <w:r>
        <w:rPr>
          <w:rFonts w:hint="cs"/>
          <w:rtl/>
          <w:lang w:val="fr-CH"/>
        </w:rPr>
        <w:t xml:space="preserve"> عام</w:t>
      </w:r>
      <w:r>
        <w:rPr>
          <w:rtl/>
          <w:lang w:val="fr-CH"/>
        </w:rPr>
        <w:t> </w:t>
      </w:r>
      <w:r w:rsidRPr="00FA0FC2">
        <w:rPr>
          <w:rFonts w:hint="cs"/>
          <w:rtl/>
          <w:lang w:val="fr-CH"/>
        </w:rPr>
        <w:t>2008.</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ملاحظات الدولة الطرف بشأن المقبولية والأسس الموضوعية</w:t>
      </w:r>
    </w:p>
    <w:p w:rsidR="00091373" w:rsidRPr="00FA0FC2" w:rsidRDefault="00091373" w:rsidP="00091373">
      <w:pPr>
        <w:pStyle w:val="SingleTxtGA"/>
        <w:rPr>
          <w:rFonts w:hint="cs"/>
          <w:rtl/>
          <w:lang w:val="fr-CH"/>
        </w:rPr>
      </w:pPr>
      <w:r w:rsidRPr="00FA0FC2">
        <w:rPr>
          <w:rFonts w:hint="cs"/>
          <w:rtl/>
          <w:lang w:val="fr-CH"/>
        </w:rPr>
        <w:t>4-1</w:t>
      </w:r>
      <w:r w:rsidRPr="00FA0FC2">
        <w:rPr>
          <w:rFonts w:hint="cs"/>
          <w:rtl/>
          <w:lang w:val="fr-CH"/>
        </w:rPr>
        <w:tab/>
        <w:t xml:space="preserve">في 24 آذار/مارس 2011، قدمت الدولة الطرف ملاحظاتها بشأن المقبولية والأسس الموضوعية للشكوى وطلبت رفع التدابير المؤقتة. </w:t>
      </w:r>
    </w:p>
    <w:p w:rsidR="00091373" w:rsidRPr="00184E91" w:rsidRDefault="00091373" w:rsidP="00091373">
      <w:pPr>
        <w:pStyle w:val="SingleTxtGA"/>
        <w:rPr>
          <w:rFonts w:hint="cs"/>
          <w:spacing w:val="-4"/>
          <w:rtl/>
          <w:lang w:val="fr-CH"/>
        </w:rPr>
      </w:pPr>
      <w:r w:rsidRPr="00184E91">
        <w:rPr>
          <w:rFonts w:hint="cs"/>
          <w:spacing w:val="-4"/>
          <w:rtl/>
          <w:lang w:val="fr-CH"/>
        </w:rPr>
        <w:t>4-2</w:t>
      </w:r>
      <w:r w:rsidRPr="00184E91">
        <w:rPr>
          <w:rFonts w:hint="cs"/>
          <w:spacing w:val="-4"/>
          <w:rtl/>
          <w:lang w:val="fr-CH"/>
        </w:rPr>
        <w:tab/>
        <w:t>وأشارت الدولة الطرف إلى أن بعض الترجمات التي قدمها صاحب الشكوى لا</w:t>
      </w:r>
      <w:r w:rsidRPr="00184E91">
        <w:rPr>
          <w:spacing w:val="-4"/>
          <w:rtl/>
          <w:lang w:val="fr-CH"/>
        </w:rPr>
        <w:t> </w:t>
      </w:r>
      <w:r w:rsidRPr="00184E91">
        <w:rPr>
          <w:rFonts w:hint="cs"/>
          <w:spacing w:val="-4"/>
          <w:rtl/>
          <w:lang w:val="fr-CH"/>
        </w:rPr>
        <w:t>تعكس بدقة الإجراءات قيد نظر السلطات المحلية وانتقلت بالتالي إلى توضيح الوقائع. ففي</w:t>
      </w:r>
      <w:r w:rsidRPr="00184E91">
        <w:rPr>
          <w:rFonts w:hint="eastAsia"/>
          <w:spacing w:val="-4"/>
          <w:rtl/>
          <w:lang w:val="fr-CH"/>
        </w:rPr>
        <w:t> </w:t>
      </w:r>
      <w:r w:rsidRPr="00184E91">
        <w:rPr>
          <w:rFonts w:hint="cs"/>
          <w:spacing w:val="-4"/>
          <w:rtl/>
          <w:lang w:val="fr-CH"/>
        </w:rPr>
        <w:t>27 آذار/مارس 2008، قدم صاحب الشكوى إلى مجلس الهجرة طلبَ لجوء وجوازَ سفر صادراً في</w:t>
      </w:r>
      <w:r>
        <w:rPr>
          <w:rFonts w:hint="eastAsia"/>
          <w:spacing w:val="-4"/>
          <w:rtl/>
          <w:lang w:val="fr-CH"/>
        </w:rPr>
        <w:t> </w:t>
      </w:r>
      <w:r w:rsidRPr="00184E91">
        <w:rPr>
          <w:rFonts w:hint="cs"/>
          <w:spacing w:val="-4"/>
          <w:rtl/>
          <w:lang w:val="fr-CH"/>
        </w:rPr>
        <w:t>5 حزيران/يونيه 2006 صالحاً حتى 4 حزيران/يونيه 2011، وكان الجواز يحمل تأشيرة شينغين صالحة حتى 30 آذار/مارس 2008. وأثناء المقابلة الأولى، أفاد صاحب الشكوى بأنه مهدد من جانب دوائر المخابرات العسكرية بسبب توجيه رسائل تتعلق بالاستفسار عن أسباب وفاة والده. وادعى أنه تعرض للتوقيف والتعذيب نتيجة ذلك. وفي</w:t>
      </w:r>
      <w:r w:rsidRPr="00184E91">
        <w:rPr>
          <w:spacing w:val="-4"/>
          <w:rtl/>
          <w:lang w:val="fr-CH"/>
        </w:rPr>
        <w:t> </w:t>
      </w:r>
      <w:r w:rsidRPr="00184E91">
        <w:rPr>
          <w:rFonts w:hint="cs"/>
          <w:spacing w:val="-4"/>
          <w:rtl/>
          <w:lang w:val="fr-CH"/>
        </w:rPr>
        <w:t>الوثائق التي قدمها إلى مجلس الهجرة، ادعى صاحب الشكوى أنه قد يتعرض لعقوبة بالسجن لا</w:t>
      </w:r>
      <w:r w:rsidRPr="00184E91">
        <w:rPr>
          <w:spacing w:val="-4"/>
          <w:rtl/>
          <w:lang w:val="fr-CH"/>
        </w:rPr>
        <w:t> </w:t>
      </w:r>
      <w:r w:rsidRPr="00184E91">
        <w:rPr>
          <w:rFonts w:hint="cs"/>
          <w:spacing w:val="-4"/>
          <w:rtl/>
          <w:lang w:val="fr-CH"/>
        </w:rPr>
        <w:t>تقل عن 20 عاماً وسيخضع أثناءها للتعذيب. وادعى أيضاً أن سبب تهديده واضطهاده يعود إلى توجيهه رسائل إلى وزارة الدفاع في عام</w:t>
      </w:r>
      <w:r w:rsidRPr="00184E91">
        <w:rPr>
          <w:spacing w:val="-4"/>
          <w:rtl/>
          <w:lang w:val="fr-CH"/>
        </w:rPr>
        <w:t> </w:t>
      </w:r>
      <w:r w:rsidRPr="00184E91">
        <w:rPr>
          <w:rFonts w:hint="cs"/>
          <w:spacing w:val="-4"/>
          <w:rtl/>
          <w:lang w:val="fr-CH"/>
        </w:rPr>
        <w:t>1998 وإلى رئيس الدولة في</w:t>
      </w:r>
      <w:r w:rsidRPr="00184E91">
        <w:rPr>
          <w:rFonts w:hint="eastAsia"/>
          <w:spacing w:val="-4"/>
          <w:rtl/>
          <w:lang w:val="fr-CH"/>
        </w:rPr>
        <w:t> </w:t>
      </w:r>
      <w:r w:rsidRPr="00184E91">
        <w:rPr>
          <w:rFonts w:hint="cs"/>
          <w:spacing w:val="-4"/>
          <w:rtl/>
          <w:lang w:val="fr-CH"/>
        </w:rPr>
        <w:t>11 شباط/فبراير و5 أيار/مايو و4 كانون الأول/ديسمبر 2005 و22 آذار/مارس</w:t>
      </w:r>
      <w:r w:rsidRPr="00184E91">
        <w:rPr>
          <w:rFonts w:hint="eastAsia"/>
          <w:spacing w:val="-4"/>
          <w:rtl/>
          <w:lang w:val="fr-CH"/>
        </w:rPr>
        <w:t> </w:t>
      </w:r>
      <w:r w:rsidRPr="00184E91">
        <w:rPr>
          <w:rFonts w:hint="cs"/>
          <w:spacing w:val="-4"/>
          <w:rtl/>
          <w:lang w:val="fr-CH"/>
        </w:rPr>
        <w:t>2008، مطالباً فيها بتقديم توضيحات بشأن سبب وفاة والده. وفي</w:t>
      </w:r>
      <w:r w:rsidRPr="00184E91">
        <w:rPr>
          <w:spacing w:val="-4"/>
          <w:rtl/>
          <w:lang w:val="fr-CH"/>
        </w:rPr>
        <w:t> </w:t>
      </w:r>
      <w:r w:rsidRPr="00184E91">
        <w:rPr>
          <w:rFonts w:hint="cs"/>
          <w:spacing w:val="-4"/>
          <w:rtl/>
          <w:lang w:val="fr-CH"/>
        </w:rPr>
        <w:t>15 كانون الأول/ديسمبر 2005، ادعى صاحب الشكوى توقيفه وتعرضه لإساءة المعاملة البدنية. وادعى صاحب الشكوى أيضاً أنه أُجبر قبل الإفراج عنه في 4 كانون الثاني/</w:t>
      </w:r>
      <w:r>
        <w:rPr>
          <w:rFonts w:hint="cs"/>
          <w:spacing w:val="-4"/>
          <w:rtl/>
          <w:lang w:val="fr-CH"/>
        </w:rPr>
        <w:t xml:space="preserve"> </w:t>
      </w:r>
      <w:r w:rsidRPr="00184E91">
        <w:rPr>
          <w:rFonts w:hint="cs"/>
          <w:spacing w:val="-4"/>
          <w:rtl/>
          <w:lang w:val="fr-CH"/>
        </w:rPr>
        <w:t>يناير</w:t>
      </w:r>
      <w:r>
        <w:rPr>
          <w:rFonts w:hint="eastAsia"/>
          <w:spacing w:val="-4"/>
          <w:rtl/>
          <w:lang w:val="fr-CH"/>
        </w:rPr>
        <w:t> </w:t>
      </w:r>
      <w:r w:rsidRPr="00184E91">
        <w:rPr>
          <w:rFonts w:hint="cs"/>
          <w:spacing w:val="-4"/>
          <w:rtl/>
          <w:lang w:val="fr-CH"/>
        </w:rPr>
        <w:t>2006 على توقيع اعتراف بانتمائه إلى جماعة إسلامية، وبالتزامه بالحضور إلى مركز الشرطة أسبوعياً. وأشار صاحب الشكوى إلى أنه لم</w:t>
      </w:r>
      <w:r w:rsidRPr="00184E91">
        <w:rPr>
          <w:spacing w:val="-4"/>
          <w:rtl/>
          <w:lang w:val="fr-CH"/>
        </w:rPr>
        <w:t> </w:t>
      </w:r>
      <w:r w:rsidRPr="00184E91">
        <w:rPr>
          <w:rFonts w:hint="cs"/>
          <w:spacing w:val="-4"/>
          <w:rtl/>
          <w:lang w:val="fr-CH"/>
        </w:rPr>
        <w:t xml:space="preserve">يدن بأي جريمة بيد أنه كان يخضع لمراقبة الشرطة. ويدعي أنه استُدعي في 20 آذار/مارس 2008 إلى مركز الشرطة وطُلب إليه جلب جواز سفره. وحيث إن جواز سفره كان بحوزة السفارة المصرية، فقد وعد بجلبه في 27 آذار/مارس 2008. وبدل ذلك، غادر البلد. وأبلغ عن مصادرة جواز زوجته بعد أربعة أيام من مغادرته البلد. </w:t>
      </w:r>
    </w:p>
    <w:p w:rsidR="00091373" w:rsidRPr="00184E91" w:rsidRDefault="00091373" w:rsidP="00091373">
      <w:pPr>
        <w:pStyle w:val="SingleTxtGA"/>
        <w:rPr>
          <w:rFonts w:hint="cs"/>
          <w:spacing w:val="-2"/>
          <w:rtl/>
          <w:lang w:val="fr-CH"/>
        </w:rPr>
      </w:pPr>
      <w:r w:rsidRPr="00184E91">
        <w:rPr>
          <w:rFonts w:hint="cs"/>
          <w:spacing w:val="-2"/>
          <w:rtl/>
          <w:lang w:val="fr-CH"/>
        </w:rPr>
        <w:t>4-3</w:t>
      </w:r>
      <w:r w:rsidRPr="00184E91">
        <w:rPr>
          <w:rFonts w:hint="cs"/>
          <w:spacing w:val="-2"/>
          <w:rtl/>
          <w:lang w:val="fr-CH"/>
        </w:rPr>
        <w:tab/>
        <w:t>وفي 17 كانون الأول/ديسمبر 2009، رفض مجلس الهجرة طلب لجوء صاحب الشكوى، ورأى أن أوامر الحضور الصادرة عن الشرطة كانت ذات نوعية هزيلة ولم</w:t>
      </w:r>
      <w:r w:rsidRPr="00184E91">
        <w:rPr>
          <w:spacing w:val="-2"/>
          <w:rtl/>
          <w:lang w:val="fr-CH"/>
        </w:rPr>
        <w:t> </w:t>
      </w:r>
      <w:r w:rsidRPr="00184E91">
        <w:rPr>
          <w:rFonts w:hint="cs"/>
          <w:spacing w:val="-2"/>
          <w:rtl/>
          <w:lang w:val="fr-CH"/>
        </w:rPr>
        <w:t>يكن خطها واضحاً. واستغرب المجلس أيضاً من استدعاء الشرطة شخصاً يدعي أنه يحضر لديها أسبوعياً. واستناداً إلى الصور التي قدمها صاحب الشكوى كدليل على تعذيبه سابقاً، يستحيل استخلاص أي استنتاجات بشأن طبيعة الإصابات وتوقيت حدوثها، فضلاً عن عدم تقديم أي أدلة طبية عن ذلك. وسلّم مجلس الهجرة بتحرير صاحب الشكوى رسائل موجهة إلى رئيس الدولة. بيد أنه رأى أن هذا الدليل في حد ذاته لا</w:t>
      </w:r>
      <w:r w:rsidRPr="00184E91">
        <w:rPr>
          <w:spacing w:val="-2"/>
          <w:rtl/>
          <w:lang w:val="fr-CH"/>
        </w:rPr>
        <w:t> </w:t>
      </w:r>
      <w:r w:rsidRPr="00184E91">
        <w:rPr>
          <w:rFonts w:hint="cs"/>
          <w:spacing w:val="-2"/>
          <w:rtl/>
          <w:lang w:val="fr-CH"/>
        </w:rPr>
        <w:t>يؤيد خطر تعرضه للاضطهاد. ورأى أيضاً أنه من غير المحتمل أن يُصادَر جواز سفر صاحب الشكوى، نظراً إلى أن الجواز القديم يثبت أنه لم</w:t>
      </w:r>
      <w:r w:rsidRPr="00184E91">
        <w:rPr>
          <w:spacing w:val="-2"/>
          <w:rtl/>
          <w:lang w:val="fr-CH"/>
        </w:rPr>
        <w:t> </w:t>
      </w:r>
      <w:r w:rsidRPr="00184E91">
        <w:rPr>
          <w:rFonts w:hint="cs"/>
          <w:spacing w:val="-2"/>
          <w:rtl/>
          <w:lang w:val="fr-CH"/>
        </w:rPr>
        <w:t>تتبق فيه أي صفحات ومن الضروري تجديده. وأعرب عن استغرابه أيضاً من سعي صاحب الشكوى لتوضيح الظروف المحيطة بوفاة والده بعد مرور 12 و19 عاماً على ذلك. واعتبر المجلس ادعاءه أن الجيش أو</w:t>
      </w:r>
      <w:r w:rsidRPr="00184E91">
        <w:rPr>
          <w:spacing w:val="-2"/>
          <w:rtl/>
          <w:lang w:val="fr-CH"/>
        </w:rPr>
        <w:t> </w:t>
      </w:r>
      <w:r w:rsidRPr="00184E91">
        <w:rPr>
          <w:rFonts w:hint="cs"/>
          <w:spacing w:val="-2"/>
          <w:rtl/>
          <w:lang w:val="fr-CH"/>
        </w:rPr>
        <w:t>النظام اغتال والده ادعاءً ملفقاً وغير محتمل. وأشار مجلس الهجرة أيضاً إلى أن زيارة شرطيين يرتديان ملابس مدنية في غيابه في أيار/مايو</w:t>
      </w:r>
      <w:r w:rsidRPr="00184E91">
        <w:rPr>
          <w:rFonts w:hint="eastAsia"/>
          <w:spacing w:val="-2"/>
          <w:rtl/>
          <w:lang w:val="fr-CH"/>
        </w:rPr>
        <w:t> </w:t>
      </w:r>
      <w:r w:rsidRPr="00184E91">
        <w:rPr>
          <w:rFonts w:hint="cs"/>
          <w:spacing w:val="-2"/>
          <w:rtl/>
          <w:lang w:val="fr-CH"/>
        </w:rPr>
        <w:t>2005 لا</w:t>
      </w:r>
      <w:r w:rsidRPr="00184E91">
        <w:rPr>
          <w:spacing w:val="-2"/>
          <w:rtl/>
          <w:lang w:val="fr-CH"/>
        </w:rPr>
        <w:t> </w:t>
      </w:r>
      <w:r w:rsidRPr="00184E91">
        <w:rPr>
          <w:rFonts w:hint="cs"/>
          <w:spacing w:val="-2"/>
          <w:rtl/>
          <w:lang w:val="fr-CH"/>
        </w:rPr>
        <w:t>تحظى بالمصداقية. ولا</w:t>
      </w:r>
      <w:r w:rsidRPr="00184E91">
        <w:rPr>
          <w:spacing w:val="-2"/>
          <w:rtl/>
          <w:lang w:val="fr-CH"/>
        </w:rPr>
        <w:t> </w:t>
      </w:r>
      <w:r w:rsidRPr="00184E91">
        <w:rPr>
          <w:rFonts w:hint="cs"/>
          <w:spacing w:val="-2"/>
          <w:rtl/>
          <w:lang w:val="fr-CH"/>
        </w:rPr>
        <w:t>تحظى كذلك بالمصداقية روايته أن السلطات كانت تبحث عنه في المنزل الذي تقيم فيه زوجته. وأفاد المجلس أيضاً بأن صاحب الشكوى قضى وقتاً في منطقة شينغين دون التقدم بطلب لجوء وفي</w:t>
      </w:r>
      <w:r w:rsidRPr="00184E91">
        <w:rPr>
          <w:spacing w:val="-2"/>
          <w:rtl/>
          <w:lang w:val="fr-CH"/>
        </w:rPr>
        <w:t> </w:t>
      </w:r>
      <w:r w:rsidRPr="00184E91">
        <w:rPr>
          <w:rFonts w:hint="cs"/>
          <w:spacing w:val="-2"/>
          <w:rtl/>
          <w:lang w:val="fr-CH"/>
        </w:rPr>
        <w:t>ذلك إشارة إلى عدم شعوره بالحاجة إلى حماية. وقضى أيضاً سنتين في الجزائر بعد تعرّضه للتعذيب المزعوم. وفضلاً عن ذلك، رأى مجلس الهجرة أن صاحب الشكوى لن</w:t>
      </w:r>
      <w:r w:rsidRPr="00184E91">
        <w:rPr>
          <w:spacing w:val="-2"/>
          <w:rtl/>
          <w:lang w:val="fr-CH"/>
        </w:rPr>
        <w:t> </w:t>
      </w:r>
      <w:r w:rsidRPr="00184E91">
        <w:rPr>
          <w:rFonts w:hint="cs"/>
          <w:spacing w:val="-2"/>
          <w:rtl/>
          <w:lang w:val="fr-CH"/>
        </w:rPr>
        <w:t>يتعرض لأي عقاب شديد غير متناسب بسبب توجيه رسائل.</w:t>
      </w:r>
    </w:p>
    <w:p w:rsidR="00091373" w:rsidRPr="00184E91" w:rsidRDefault="00091373" w:rsidP="00091373">
      <w:pPr>
        <w:pStyle w:val="SingleTxtGA"/>
        <w:rPr>
          <w:rFonts w:hint="cs"/>
          <w:spacing w:val="-2"/>
          <w:rtl/>
          <w:lang w:val="fr-CH"/>
        </w:rPr>
      </w:pPr>
      <w:r w:rsidRPr="00184E91">
        <w:rPr>
          <w:rFonts w:hint="cs"/>
          <w:spacing w:val="-2"/>
          <w:rtl/>
          <w:lang w:val="fr-CH"/>
        </w:rPr>
        <w:t>4-4</w:t>
      </w:r>
      <w:r w:rsidRPr="00184E91">
        <w:rPr>
          <w:rFonts w:hint="cs"/>
          <w:spacing w:val="-2"/>
          <w:rtl/>
          <w:lang w:val="fr-CH"/>
        </w:rPr>
        <w:tab/>
        <w:t>وفي 16 آذار/مارس 2010، رفضت المحكمة المعنية بشؤون الهجرة طعن صاحب الشكوى، ورأت أنه لم</w:t>
      </w:r>
      <w:r w:rsidRPr="00184E91">
        <w:rPr>
          <w:spacing w:val="-2"/>
          <w:rtl/>
          <w:lang w:val="fr-CH"/>
        </w:rPr>
        <w:t> </w:t>
      </w:r>
      <w:r w:rsidRPr="00184E91">
        <w:rPr>
          <w:rFonts w:hint="cs"/>
          <w:spacing w:val="-2"/>
          <w:rtl/>
          <w:lang w:val="fr-CH"/>
        </w:rPr>
        <w:t>يثبت بصورة معقولة استدعاءه إلى مركز الشرطة بسبب محتوى الرسائل التي وجهها إلى السلطات، وأنه لن</w:t>
      </w:r>
      <w:r w:rsidRPr="00184E91">
        <w:rPr>
          <w:spacing w:val="-2"/>
          <w:rtl/>
          <w:lang w:val="fr-CH"/>
        </w:rPr>
        <w:t> </w:t>
      </w:r>
      <w:r w:rsidRPr="00184E91">
        <w:rPr>
          <w:rFonts w:hint="cs"/>
          <w:spacing w:val="-2"/>
          <w:rtl/>
          <w:lang w:val="fr-CH"/>
        </w:rPr>
        <w:t>يتعرض لعقاب شديد غير متناسب إن هو أُدين بجرائم تتعلق بهذه الادعاءات. وأخذت المحكمة في الحسبان تمكن صاحب الشكوى من السفر إلى مصر مراراً وتكراراً دون عراقيل في الفترة من 2006 إلى 2008، وبقاءه في منطقة شينغين عام</w:t>
      </w:r>
      <w:r w:rsidRPr="00184E91">
        <w:rPr>
          <w:spacing w:val="-2"/>
          <w:rtl/>
          <w:lang w:val="fr-CH"/>
        </w:rPr>
        <w:t> </w:t>
      </w:r>
      <w:r w:rsidRPr="00184E91">
        <w:rPr>
          <w:rFonts w:hint="cs"/>
          <w:spacing w:val="-2"/>
          <w:rtl/>
          <w:lang w:val="fr-CH"/>
        </w:rPr>
        <w:t>2007 دون التماس حماية دولية. ووقائع هذه القضية تجعل من غير المحتمل أن يكون محل اهتمام السلطات الجزائرية. وفيما</w:t>
      </w:r>
      <w:r w:rsidRPr="00184E91">
        <w:rPr>
          <w:spacing w:val="-2"/>
          <w:rtl/>
          <w:lang w:val="fr-CH"/>
        </w:rPr>
        <w:t> </w:t>
      </w:r>
      <w:r w:rsidRPr="00184E91">
        <w:rPr>
          <w:rFonts w:hint="cs"/>
          <w:spacing w:val="-2"/>
          <w:rtl/>
          <w:lang w:val="fr-CH"/>
        </w:rPr>
        <w:t>يتعلق بادعائه المزعوم أنه سيتعرض للخطر بسبب تقديم طلب لجوء في الخارج على أساس اشتباهه المزعوم وارتباطه بالإرهابيين الإسلاميين، رأت المحكمة أنه من غير المحتمل أن يتعرض صاحب الشكوى لأعمال انتقامية، نظراً إلى حمله المزعوم على توقيع اعتراف يفيد بأنه سلم نفسه طوعاً إلى الشرطة. ويعني ذلك أنه لم</w:t>
      </w:r>
      <w:r w:rsidRPr="00184E91">
        <w:rPr>
          <w:spacing w:val="-2"/>
          <w:rtl/>
          <w:lang w:val="fr-CH"/>
        </w:rPr>
        <w:t> </w:t>
      </w:r>
      <w:r w:rsidRPr="00184E91">
        <w:rPr>
          <w:rFonts w:hint="cs"/>
          <w:spacing w:val="-2"/>
          <w:rtl/>
          <w:lang w:val="fr-CH"/>
        </w:rPr>
        <w:t>يعد لصاحب الشكوى أي صلة بهذه الجماعات. وفي</w:t>
      </w:r>
      <w:r w:rsidRPr="00184E91">
        <w:rPr>
          <w:spacing w:val="-2"/>
          <w:rtl/>
          <w:lang w:val="fr-CH"/>
        </w:rPr>
        <w:t> </w:t>
      </w:r>
      <w:r w:rsidRPr="00184E91">
        <w:rPr>
          <w:rFonts w:hint="cs"/>
          <w:spacing w:val="-2"/>
          <w:rtl/>
          <w:lang w:val="fr-CH"/>
        </w:rPr>
        <w:t>3 حزيران/يونيه 2010، رفضت محكمة الاستئناف المعنية بشؤون الهجرة الطعن. وفي</w:t>
      </w:r>
      <w:r w:rsidRPr="00184E91">
        <w:rPr>
          <w:spacing w:val="-2"/>
          <w:rtl/>
          <w:lang w:val="fr-CH"/>
        </w:rPr>
        <w:t> </w:t>
      </w:r>
      <w:r w:rsidRPr="00184E91">
        <w:rPr>
          <w:rFonts w:hint="cs"/>
          <w:spacing w:val="-2"/>
          <w:rtl/>
          <w:lang w:val="fr-CH"/>
        </w:rPr>
        <w:t>23 حزيران/يونيه 2010، قرر مجلس الهجرة عدم منح صاحب الشكوى تصريح إقامة أو</w:t>
      </w:r>
      <w:r w:rsidRPr="00184E91">
        <w:rPr>
          <w:spacing w:val="-2"/>
          <w:rtl/>
          <w:lang w:val="fr-CH"/>
        </w:rPr>
        <w:t> </w:t>
      </w:r>
      <w:r w:rsidRPr="00184E91">
        <w:rPr>
          <w:rFonts w:hint="cs"/>
          <w:spacing w:val="-2"/>
          <w:rtl/>
          <w:lang w:val="fr-CH"/>
        </w:rPr>
        <w:t>إصدار أمر بإعادة النظر في قضيته. وفي</w:t>
      </w:r>
      <w:r w:rsidRPr="00184E91">
        <w:rPr>
          <w:spacing w:val="-2"/>
          <w:rtl/>
          <w:lang w:val="fr-CH"/>
        </w:rPr>
        <w:t> </w:t>
      </w:r>
      <w:r w:rsidRPr="00184E91">
        <w:rPr>
          <w:rFonts w:hint="cs"/>
          <w:spacing w:val="-2"/>
          <w:rtl/>
          <w:lang w:val="fr-CH"/>
        </w:rPr>
        <w:t>8 تموز/يوليه 2010، رأت محكمة الاستئناف المعنية بشؤون الهجرة أنه لم</w:t>
      </w:r>
      <w:r w:rsidRPr="00184E91">
        <w:rPr>
          <w:spacing w:val="-2"/>
          <w:rtl/>
          <w:lang w:val="fr-CH"/>
        </w:rPr>
        <w:t> </w:t>
      </w:r>
      <w:r w:rsidRPr="00184E91">
        <w:rPr>
          <w:rFonts w:hint="cs"/>
          <w:spacing w:val="-2"/>
          <w:rtl/>
          <w:lang w:val="fr-CH"/>
        </w:rPr>
        <w:t>يكن لرسالة السكرتيرة الأولى لسفارة السويد بالجزائر أي تأثير على عملية اللجوء ورفضت طلب صاحب الشكوى عقد جلسة سماع أخرى.</w:t>
      </w:r>
    </w:p>
    <w:p w:rsidR="00091373" w:rsidRPr="00184E91" w:rsidRDefault="00091373" w:rsidP="00091373">
      <w:pPr>
        <w:pStyle w:val="SingleTxtGA"/>
        <w:rPr>
          <w:rFonts w:hint="cs"/>
          <w:spacing w:val="-2"/>
          <w:rtl/>
          <w:lang w:val="fr-CH"/>
        </w:rPr>
      </w:pPr>
      <w:r w:rsidRPr="00184E91">
        <w:rPr>
          <w:rFonts w:hint="cs"/>
          <w:spacing w:val="-2"/>
          <w:rtl/>
          <w:lang w:val="fr-CH"/>
        </w:rPr>
        <w:t>4-5</w:t>
      </w:r>
      <w:r w:rsidRPr="00184E91">
        <w:rPr>
          <w:rFonts w:hint="cs"/>
          <w:spacing w:val="-2"/>
          <w:rtl/>
          <w:lang w:val="fr-CH"/>
        </w:rPr>
        <w:tab/>
        <w:t>وفيما يتعلق بالمقبولية، تسلّم الدولة الطرف بأن صاحب الشكوى قد استنفد جميع سُبُل الانتصاف المحلية المتاحة وتلاحظ أنها ليست على علم بأن هذه المسألة قد بُحثت أو</w:t>
      </w:r>
      <w:r w:rsidRPr="00184E91">
        <w:rPr>
          <w:spacing w:val="-2"/>
          <w:rtl/>
          <w:lang w:val="fr-CH"/>
        </w:rPr>
        <w:t> </w:t>
      </w:r>
      <w:r w:rsidRPr="00184E91">
        <w:rPr>
          <w:rFonts w:hint="cs"/>
          <w:spacing w:val="-2"/>
          <w:rtl/>
          <w:lang w:val="fr-CH"/>
        </w:rPr>
        <w:t>يجري بحثها في إطار أي إجراء آخر من إجراءات التحقيق الدولي أو</w:t>
      </w:r>
      <w:r w:rsidRPr="00184E91">
        <w:rPr>
          <w:spacing w:val="-2"/>
          <w:rtl/>
          <w:lang w:val="fr-CH"/>
        </w:rPr>
        <w:t> </w:t>
      </w:r>
      <w:r w:rsidRPr="00184E91">
        <w:rPr>
          <w:rFonts w:hint="cs"/>
          <w:spacing w:val="-2"/>
          <w:rtl/>
          <w:lang w:val="fr-CH"/>
        </w:rPr>
        <w:t>التسوية الدولية. وتدفع بأن تأكيد صاحب الشكوى أنه سيكون ضحية انتهاك الدولة الطرف للمادة</w:t>
      </w:r>
      <w:r w:rsidRPr="00184E91">
        <w:rPr>
          <w:spacing w:val="-2"/>
          <w:rtl/>
          <w:lang w:val="fr-CH"/>
        </w:rPr>
        <w:t> </w:t>
      </w:r>
      <w:r w:rsidRPr="00184E91">
        <w:rPr>
          <w:rFonts w:hint="cs"/>
          <w:spacing w:val="-2"/>
          <w:rtl/>
          <w:lang w:val="fr-CH"/>
        </w:rPr>
        <w:t>3 من الاتفاقية إذا أُعيد إلى الجزائر لا</w:t>
      </w:r>
      <w:r w:rsidRPr="00184E91">
        <w:rPr>
          <w:spacing w:val="-2"/>
          <w:rtl/>
          <w:lang w:val="fr-CH"/>
        </w:rPr>
        <w:t> </w:t>
      </w:r>
      <w:r w:rsidRPr="00184E91">
        <w:rPr>
          <w:rFonts w:hint="cs"/>
          <w:spacing w:val="-2"/>
          <w:rtl/>
          <w:lang w:val="fr-CH"/>
        </w:rPr>
        <w:t>تدعمه أدلة كافية لأغراض المقبولية وبالتالي فإن البلاغ يفتقر إلى سند صحيح، وينبغي اعتباره غير مقبول وفقاً لأحكام الفقرة 2 من المادة</w:t>
      </w:r>
      <w:r w:rsidRPr="00184E91">
        <w:rPr>
          <w:spacing w:val="-2"/>
          <w:rtl/>
          <w:lang w:val="fr-CH"/>
        </w:rPr>
        <w:t> </w:t>
      </w:r>
      <w:r w:rsidRPr="00184E91">
        <w:rPr>
          <w:rFonts w:hint="cs"/>
          <w:spacing w:val="-2"/>
          <w:rtl/>
          <w:lang w:val="fr-CH"/>
        </w:rPr>
        <w:t>22 من الاتفاقية</w:t>
      </w:r>
      <w:r w:rsidRPr="00184E91">
        <w:rPr>
          <w:spacing w:val="-2"/>
          <w:vertAlign w:val="superscript"/>
          <w:rtl/>
          <w:lang w:val="fr-CH"/>
        </w:rPr>
        <w:t>(</w:t>
      </w:r>
      <w:r w:rsidRPr="00184E91">
        <w:rPr>
          <w:rStyle w:val="FootnoteReference"/>
          <w:spacing w:val="-2"/>
          <w:rtl/>
          <w:lang w:val="fr-CH"/>
        </w:rPr>
        <w:footnoteReference w:id="276"/>
      </w:r>
      <w:r w:rsidRPr="00184E91">
        <w:rPr>
          <w:spacing w:val="-2"/>
          <w:vertAlign w:val="superscript"/>
          <w:rtl/>
          <w:lang w:val="fr-CH"/>
        </w:rPr>
        <w:t>)</w:t>
      </w:r>
      <w:r w:rsidRPr="00184E91">
        <w:rPr>
          <w:rFonts w:hint="cs"/>
          <w:spacing w:val="-2"/>
          <w:rtl/>
          <w:lang w:val="fr-CH"/>
        </w:rPr>
        <w:t xml:space="preserve">. </w:t>
      </w:r>
    </w:p>
    <w:p w:rsidR="00091373" w:rsidRPr="00FA0FC2" w:rsidRDefault="00091373" w:rsidP="00091373">
      <w:pPr>
        <w:pStyle w:val="SingleTxtGA"/>
        <w:rPr>
          <w:rFonts w:hint="cs"/>
          <w:rtl/>
          <w:lang w:val="fr-CH"/>
        </w:rPr>
      </w:pPr>
      <w:r w:rsidRPr="00FA0FC2">
        <w:rPr>
          <w:rFonts w:hint="cs"/>
          <w:rtl/>
          <w:lang w:val="fr-CH"/>
        </w:rPr>
        <w:t>4-6</w:t>
      </w:r>
      <w:r w:rsidRPr="00FA0FC2">
        <w:rPr>
          <w:rFonts w:hint="cs"/>
          <w:rtl/>
          <w:lang w:val="fr-CH"/>
        </w:rPr>
        <w:tab/>
        <w:t>وفيما يتعلق بالأسس الموضوعية، تدفع الدولة الطرف بأنها</w:t>
      </w:r>
      <w:r>
        <w:rPr>
          <w:rFonts w:hint="cs"/>
          <w:rtl/>
          <w:lang w:val="fr-CH"/>
        </w:rPr>
        <w:t xml:space="preserve"> لا</w:t>
      </w:r>
      <w:r>
        <w:rPr>
          <w:rtl/>
          <w:lang w:val="fr-CH"/>
        </w:rPr>
        <w:t> </w:t>
      </w:r>
      <w:r w:rsidRPr="00FA0FC2">
        <w:rPr>
          <w:rFonts w:hint="cs"/>
          <w:rtl/>
          <w:lang w:val="fr-CH"/>
        </w:rPr>
        <w:t>ترغب في التقليل من شأن الشواغل المشروعة التي يمكن الإعراب عنها</w:t>
      </w:r>
      <w:r>
        <w:rPr>
          <w:rFonts w:hint="cs"/>
          <w:rtl/>
          <w:lang w:val="fr-CH"/>
        </w:rPr>
        <w:t xml:space="preserve"> فيما</w:t>
      </w:r>
      <w:r>
        <w:rPr>
          <w:rtl/>
          <w:lang w:val="fr-CH"/>
        </w:rPr>
        <w:t> </w:t>
      </w:r>
      <w:r w:rsidRPr="00FA0FC2">
        <w:rPr>
          <w:rFonts w:hint="cs"/>
          <w:rtl/>
          <w:lang w:val="fr-CH"/>
        </w:rPr>
        <w:t xml:space="preserve">يتعلق </w:t>
      </w:r>
      <w:r w:rsidRPr="00FA0FC2">
        <w:rPr>
          <w:rFonts w:hint="cs"/>
          <w:spacing w:val="-2"/>
          <w:rtl/>
          <w:lang w:val="fr-CH"/>
        </w:rPr>
        <w:t>بالحالة الراهنة</w:t>
      </w:r>
      <w:r w:rsidRPr="00FA0FC2">
        <w:rPr>
          <w:rFonts w:hint="cs"/>
          <w:rtl/>
          <w:lang w:val="fr-CH"/>
        </w:rPr>
        <w:t xml:space="preserve"> لحقوق الإنسان في الجزائر، بالنظر إلى إعادة انتخاب الرئيس بوتفليقة في</w:t>
      </w:r>
      <w:r>
        <w:rPr>
          <w:rFonts w:hint="cs"/>
          <w:rtl/>
          <w:lang w:val="fr-CH"/>
        </w:rPr>
        <w:t xml:space="preserve"> عام</w:t>
      </w:r>
      <w:r>
        <w:rPr>
          <w:rtl/>
          <w:lang w:val="fr-CH"/>
        </w:rPr>
        <w:t> </w:t>
      </w:r>
      <w:r w:rsidRPr="00FA0FC2">
        <w:rPr>
          <w:rFonts w:hint="cs"/>
          <w:rtl/>
          <w:lang w:val="fr-CH"/>
        </w:rPr>
        <w:t xml:space="preserve">2009، وعدم إجراء محاكمات عادلة للأشخاص المشتبه فيهم بالإرهاب، وعدم التحقيق في ادعاءات التعذيب وإساءة المعاملة، وممارسة قبول الاعترافات المنتزعة </w:t>
      </w:r>
      <w:r w:rsidRPr="00FA0FC2">
        <w:rPr>
          <w:rFonts w:hint="cs"/>
          <w:rtl/>
          <w:lang/>
        </w:rPr>
        <w:t>تحت الإكراه، وتفريق الاحتجاجات بالرغم من إلغاء حالة الطوارئ في شباط/فبراير 2011</w:t>
      </w:r>
      <w:r w:rsidRPr="00FA0FC2">
        <w:rPr>
          <w:vertAlign w:val="superscript"/>
          <w:rtl/>
          <w:lang w:val="fr-CH"/>
        </w:rPr>
        <w:t>(</w:t>
      </w:r>
      <w:r w:rsidRPr="00FA0FC2">
        <w:rPr>
          <w:rStyle w:val="FootnoteReference"/>
          <w:rtl/>
          <w:lang w:val="fr-CH"/>
        </w:rPr>
        <w:footnoteReference w:id="277"/>
      </w:r>
      <w:r w:rsidRPr="00FA0FC2">
        <w:rPr>
          <w:vertAlign w:val="superscript"/>
          <w:rtl/>
          <w:lang w:val="fr-CH"/>
        </w:rPr>
        <w:t>)</w:t>
      </w:r>
      <w:r w:rsidRPr="00FA0FC2">
        <w:rPr>
          <w:rFonts w:hint="cs"/>
          <w:rtl/>
          <w:lang w:val="fr-CH"/>
        </w:rPr>
        <w:t>. بيد أن ظروف الحالة</w:t>
      </w:r>
      <w:r>
        <w:rPr>
          <w:rFonts w:hint="cs"/>
          <w:rtl/>
          <w:lang w:val="fr-CH"/>
        </w:rPr>
        <w:t xml:space="preserve"> لا</w:t>
      </w:r>
      <w:r>
        <w:rPr>
          <w:rtl/>
          <w:lang w:val="fr-CH"/>
        </w:rPr>
        <w:t> </w:t>
      </w:r>
      <w:r w:rsidRPr="00FA0FC2">
        <w:rPr>
          <w:rFonts w:hint="cs"/>
          <w:rtl/>
          <w:lang w:val="fr-CH"/>
        </w:rPr>
        <w:t>تكفي لإثبات أن ترحيل صاحب الشكوى إلى الجزائر سيترتب عليه انتهاك لل</w:t>
      </w:r>
      <w:r>
        <w:rPr>
          <w:rFonts w:hint="cs"/>
          <w:rtl/>
          <w:lang w:val="fr-CH"/>
        </w:rPr>
        <w:t>مادة</w:t>
      </w:r>
      <w:r>
        <w:rPr>
          <w:rtl/>
          <w:lang w:val="fr-CH"/>
        </w:rPr>
        <w:t> </w:t>
      </w:r>
      <w:r w:rsidRPr="00FA0FC2">
        <w:rPr>
          <w:rFonts w:hint="cs"/>
          <w:rtl/>
          <w:lang w:val="fr-CH"/>
        </w:rPr>
        <w:t>3 من الاتفاقية. ويتعين على صاحب الشكوى أن يثبت أنه سيتعرض شخصياً لمعاملة تتعارض مع أحكام ال</w:t>
      </w:r>
      <w:r>
        <w:rPr>
          <w:rFonts w:hint="cs"/>
          <w:rtl/>
          <w:lang w:val="fr-CH"/>
        </w:rPr>
        <w:t>مادة</w:t>
      </w:r>
      <w:r>
        <w:rPr>
          <w:rtl/>
          <w:lang w:val="fr-CH"/>
        </w:rPr>
        <w:t> </w:t>
      </w:r>
      <w:r w:rsidRPr="00FA0FC2">
        <w:rPr>
          <w:rFonts w:hint="cs"/>
          <w:rtl/>
          <w:lang w:val="fr-CH"/>
        </w:rPr>
        <w:t>1 من الاتفاقية.</w:t>
      </w:r>
      <w:r>
        <w:rPr>
          <w:rFonts w:hint="cs"/>
          <w:rtl/>
          <w:lang w:val="fr-CH"/>
        </w:rPr>
        <w:t xml:space="preserve"> وفيما</w:t>
      </w:r>
      <w:r>
        <w:rPr>
          <w:rtl/>
          <w:lang w:val="fr-CH"/>
        </w:rPr>
        <w:t> </w:t>
      </w:r>
      <w:r w:rsidRPr="00FA0FC2">
        <w:rPr>
          <w:rFonts w:hint="cs"/>
          <w:rtl/>
          <w:lang w:val="fr-CH"/>
        </w:rPr>
        <w:t>يتعلق بالخطر الشخصي لتعرض صاحب الشكوى للتعذيب في الجزائر، تدفع الدولة الطرف بأن مجلس الهجرة اتخذ قراره بعد أن أجرى مقابلتين مع صاحب الشكوى وأن مجلس الهجرة عقد جلسة سماع قبل إصدار قراره. وتلاحظ أيضاً أن التشريع الداخلي يتضمن نفس مبادئ الاتفاقية وبالتالي فإن سلطاتها للهجرة تُطبّق نفس معيار التقدير الذي تطبقه اللجنة لتحديد</w:t>
      </w:r>
      <w:r>
        <w:rPr>
          <w:rFonts w:hint="cs"/>
          <w:rtl/>
          <w:lang w:val="fr-CH"/>
        </w:rPr>
        <w:t xml:space="preserve"> ما</w:t>
      </w:r>
      <w:r>
        <w:rPr>
          <w:rtl/>
          <w:lang w:val="fr-CH"/>
        </w:rPr>
        <w:t> </w:t>
      </w:r>
      <w:r w:rsidRPr="00FA0FC2">
        <w:rPr>
          <w:rFonts w:hint="cs"/>
          <w:rtl/>
          <w:lang w:val="fr-CH"/>
        </w:rPr>
        <w:t>إذا كان صاحب الشكوى سيتعرض لخطر وشيك وفعلي وشخصي للتعذيب في حال ترحيله إلى الجزائر. ولذلك تؤكد أنه يجب إيلاء القدر الواجب من الاعتبار لتقييم سلطات الهجرة في الدولة</w:t>
      </w:r>
      <w:r w:rsidRPr="00FA0FC2">
        <w:rPr>
          <w:rFonts w:hint="eastAsia"/>
          <w:rtl/>
          <w:lang w:val="fr-CH"/>
        </w:rPr>
        <w:t> </w:t>
      </w:r>
      <w:r w:rsidRPr="00FA0FC2">
        <w:rPr>
          <w:rFonts w:hint="cs"/>
          <w:rtl/>
          <w:lang w:val="fr-CH"/>
        </w:rPr>
        <w:t xml:space="preserve">الطرف للوقائع. </w:t>
      </w:r>
    </w:p>
    <w:p w:rsidR="00091373" w:rsidRPr="00184E91" w:rsidRDefault="00091373" w:rsidP="00091373">
      <w:pPr>
        <w:pStyle w:val="SingleTxtGA"/>
        <w:rPr>
          <w:rFonts w:hint="cs"/>
          <w:spacing w:val="-4"/>
          <w:rtl/>
          <w:lang w:val="fr-CH"/>
        </w:rPr>
      </w:pPr>
      <w:r w:rsidRPr="00184E91">
        <w:rPr>
          <w:rFonts w:hint="cs"/>
          <w:spacing w:val="-4"/>
          <w:rtl/>
          <w:lang w:val="fr-CH"/>
        </w:rPr>
        <w:t>4-7</w:t>
      </w:r>
      <w:r w:rsidRPr="00184E91">
        <w:rPr>
          <w:rFonts w:hint="cs"/>
          <w:spacing w:val="-4"/>
          <w:rtl/>
          <w:lang w:val="fr-CH"/>
        </w:rPr>
        <w:tab/>
        <w:t>وتدفع الدولة الطرف بأن الشكوى التي قدمها صاحبها إلى اللجنة تستند إلى نفس الأسس والأدلة التي نظرت فيها سلطات الدولة الطرف. بيد أن صاحب الشكوى أضاف إليها تفسيرات تتعلق بعدم اتساق رواياته. وتدفع الدولة الطرف بوجود عدة أسباب للتشكيك في صحة مزاعم صاحب الشكوى. وتلاحظ أن ادعاءاته بزعم انفصاله عن زوجته لدرء المضايقة عنها لم</w:t>
      </w:r>
      <w:r w:rsidRPr="00184E91">
        <w:rPr>
          <w:spacing w:val="-4"/>
          <w:rtl/>
          <w:lang w:val="fr-CH"/>
        </w:rPr>
        <w:t> </w:t>
      </w:r>
      <w:r w:rsidRPr="00184E91">
        <w:rPr>
          <w:rFonts w:hint="cs"/>
          <w:spacing w:val="-4"/>
          <w:rtl/>
          <w:lang w:val="fr-CH"/>
        </w:rPr>
        <w:t>تُقدَّم سابقاً وتتعارض مع ما</w:t>
      </w:r>
      <w:r w:rsidRPr="00184E91">
        <w:rPr>
          <w:spacing w:val="-4"/>
          <w:rtl/>
          <w:lang w:val="fr-CH"/>
        </w:rPr>
        <w:t> </w:t>
      </w:r>
      <w:r w:rsidRPr="00184E91">
        <w:rPr>
          <w:rFonts w:hint="cs"/>
          <w:spacing w:val="-4"/>
          <w:rtl/>
          <w:lang w:val="fr-CH"/>
        </w:rPr>
        <w:t>ادعاه من قبل من أنه كان على خلاف مع زوجته في شباط/</w:t>
      </w:r>
      <w:r>
        <w:rPr>
          <w:rFonts w:hint="cs"/>
          <w:spacing w:val="-4"/>
          <w:rtl/>
          <w:lang w:val="fr-CH"/>
        </w:rPr>
        <w:t xml:space="preserve"> </w:t>
      </w:r>
      <w:r w:rsidRPr="00184E91">
        <w:rPr>
          <w:rFonts w:hint="cs"/>
          <w:spacing w:val="-4"/>
          <w:rtl/>
          <w:lang w:val="fr-CH"/>
        </w:rPr>
        <w:t>فبراير 2008، وهو خلاف سُوي بعد تقديم صاحب الشكوى طلباً للحصول على تأشيرة إلى السويد. وتؤكد الدولة الطرف أيضاً أن حجة صاحب الشكوى أنه من غير المنطقي استبدال جواز سفر يتضمن تصريح إقامة مصري صالحاً يتعارض مع ما</w:t>
      </w:r>
      <w:r w:rsidRPr="00184E91">
        <w:rPr>
          <w:spacing w:val="-4"/>
          <w:rtl/>
          <w:lang w:val="fr-CH"/>
        </w:rPr>
        <w:t> </w:t>
      </w:r>
      <w:r w:rsidRPr="00184E91">
        <w:rPr>
          <w:rFonts w:hint="cs"/>
          <w:spacing w:val="-4"/>
          <w:rtl/>
          <w:lang w:val="fr-CH"/>
        </w:rPr>
        <w:t>ذكره من قبل بأن تصريح الإقامة لم</w:t>
      </w:r>
      <w:r w:rsidRPr="00184E91">
        <w:rPr>
          <w:spacing w:val="-4"/>
          <w:rtl/>
          <w:lang w:val="fr-CH"/>
        </w:rPr>
        <w:t> </w:t>
      </w:r>
      <w:r w:rsidRPr="00184E91">
        <w:rPr>
          <w:rFonts w:hint="cs"/>
          <w:spacing w:val="-4"/>
          <w:rtl/>
          <w:lang w:val="fr-CH"/>
        </w:rPr>
        <w:t>يعد صالحاً حيث إنه أقام خارج مصر لفترة تجاوزت ستة أشهر. ويقوض ذلك مصداقية صاحب الشكوى بشأن ادعائه مصادرة الشرطة جواز سفره. وتلاحظ الدولة الطرف أيضاً أن الأختام التي يتضمنها جواز سفر صاحب الشكوى تُبين أنه تمكن من مغادرة الجزائر والعودة إليها مجدداً دون مشاكل تُذْكر. وتشير إلى أن صاحب الشكوى لم</w:t>
      </w:r>
      <w:r w:rsidRPr="00184E91">
        <w:rPr>
          <w:spacing w:val="-4"/>
          <w:rtl/>
          <w:lang w:val="fr-CH"/>
        </w:rPr>
        <w:t> </w:t>
      </w:r>
      <w:r w:rsidRPr="00184E91">
        <w:rPr>
          <w:rFonts w:hint="cs"/>
          <w:spacing w:val="-4"/>
          <w:rtl/>
          <w:lang w:val="fr-CH"/>
        </w:rPr>
        <w:t>يوضح كيفية مغادرته الجزائر والعودة إليها قبل دفع الرشوة المزعومة لمغادرة البلد في 27 آذار/مارس 2008. وفضلاً عن ذلك، أقر صاحب الشكوى بعدم توجيه تهمة إليه بارتكاب أي جريمة. وفي</w:t>
      </w:r>
      <w:r w:rsidRPr="00184E91">
        <w:rPr>
          <w:spacing w:val="-4"/>
          <w:rtl/>
          <w:lang w:val="fr-CH"/>
        </w:rPr>
        <w:t> </w:t>
      </w:r>
      <w:r w:rsidRPr="00184E91">
        <w:rPr>
          <w:rFonts w:hint="cs"/>
          <w:spacing w:val="-4"/>
          <w:rtl/>
          <w:lang w:val="fr-CH"/>
        </w:rPr>
        <w:t>صورة مصادرة جواز سفره لمنعه من مغادرة البلد، يبدو من غير المرجح أن يفعل ذلك دون أن يسترعي انتباه دوائر الأمن أو</w:t>
      </w:r>
      <w:r w:rsidRPr="00184E91">
        <w:rPr>
          <w:spacing w:val="-4"/>
          <w:rtl/>
          <w:lang w:val="fr-CH"/>
        </w:rPr>
        <w:t> </w:t>
      </w:r>
      <w:r w:rsidRPr="00184E91">
        <w:rPr>
          <w:rFonts w:hint="cs"/>
          <w:spacing w:val="-4"/>
          <w:rtl/>
          <w:lang w:val="fr-CH"/>
        </w:rPr>
        <w:t>الشرطة. وثمة عدد آخر من العناصر غير المنطقية، مثل بقاء صاحب الشكوى في الجزائر بعد تعرضه للتعذيب المزعوم في عام</w:t>
      </w:r>
      <w:r w:rsidRPr="00184E91">
        <w:rPr>
          <w:spacing w:val="-4"/>
          <w:rtl/>
          <w:lang w:val="fr-CH"/>
        </w:rPr>
        <w:t> </w:t>
      </w:r>
      <w:r w:rsidRPr="00184E91">
        <w:rPr>
          <w:rFonts w:hint="cs"/>
          <w:spacing w:val="-4"/>
          <w:rtl/>
          <w:lang w:val="fr-CH"/>
        </w:rPr>
        <w:t>2005؛ وتوفر فرص عديدة لمغادرة البلد، سواءٌ أكان ذلك إلى مصر، مكان إقامة أمه حيث حصل على تصريح إقامة، أم</w:t>
      </w:r>
      <w:r w:rsidRPr="00184E91">
        <w:rPr>
          <w:spacing w:val="-4"/>
          <w:rtl/>
          <w:lang w:val="fr-CH"/>
        </w:rPr>
        <w:t> </w:t>
      </w:r>
      <w:r w:rsidRPr="00184E91">
        <w:rPr>
          <w:rFonts w:hint="cs"/>
          <w:spacing w:val="-4"/>
          <w:rtl/>
          <w:lang w:val="fr-CH"/>
        </w:rPr>
        <w:t>إلى منطقة شينغين، بيد أنه لم</w:t>
      </w:r>
      <w:r w:rsidRPr="00184E91">
        <w:rPr>
          <w:spacing w:val="-4"/>
          <w:rtl/>
          <w:lang w:val="fr-CH"/>
        </w:rPr>
        <w:t> </w:t>
      </w:r>
      <w:r w:rsidRPr="00184E91">
        <w:rPr>
          <w:rFonts w:hint="cs"/>
          <w:spacing w:val="-4"/>
          <w:rtl/>
          <w:lang w:val="fr-CH"/>
        </w:rPr>
        <w:t>يفعل ذلك. وترى الدولة الطرف بالتالي أن التوضيح الذي قدمه صاحب الشكوى بشأن انتظار تاريخ آذار/مارس 2008 لالتماس الحماية وعدم قيامه بذلك أثناء سفره السابق خارج الجزائر، عندما ادعى أنه عُذّب في عام</w:t>
      </w:r>
      <w:r w:rsidRPr="00184E91">
        <w:rPr>
          <w:spacing w:val="-4"/>
          <w:rtl/>
          <w:lang w:val="fr-CH"/>
        </w:rPr>
        <w:t> </w:t>
      </w:r>
      <w:r w:rsidRPr="00184E91">
        <w:rPr>
          <w:rFonts w:hint="cs"/>
          <w:spacing w:val="-4"/>
          <w:rtl/>
          <w:lang w:val="fr-CH"/>
        </w:rPr>
        <w:t>2005، لا</w:t>
      </w:r>
      <w:r w:rsidRPr="00184E91">
        <w:rPr>
          <w:spacing w:val="-4"/>
          <w:rtl/>
          <w:lang w:val="fr-CH"/>
        </w:rPr>
        <w:t> </w:t>
      </w:r>
      <w:r w:rsidRPr="00184E91">
        <w:rPr>
          <w:rFonts w:hint="cs"/>
          <w:spacing w:val="-4"/>
          <w:rtl/>
          <w:lang w:val="fr-CH"/>
        </w:rPr>
        <w:t>يحظى بالمصداقية. وعليه، تدفع الدولة الطرف بأن صاحب الشكوى لم</w:t>
      </w:r>
      <w:r w:rsidRPr="00184E91">
        <w:rPr>
          <w:spacing w:val="-4"/>
          <w:rtl/>
          <w:lang w:val="fr-CH"/>
        </w:rPr>
        <w:t> </w:t>
      </w:r>
      <w:r w:rsidRPr="00184E91">
        <w:rPr>
          <w:rFonts w:hint="cs"/>
          <w:spacing w:val="-4"/>
          <w:rtl/>
          <w:lang w:val="fr-CH"/>
        </w:rPr>
        <w:t>يثبت ترجيح احتمال تعرضه للتعذيب في الماضي، ولا</w:t>
      </w:r>
      <w:r w:rsidRPr="00184E91">
        <w:rPr>
          <w:spacing w:val="-4"/>
          <w:rtl/>
          <w:lang w:val="fr-CH"/>
        </w:rPr>
        <w:t> </w:t>
      </w:r>
      <w:r w:rsidRPr="00184E91">
        <w:rPr>
          <w:rFonts w:hint="cs"/>
          <w:spacing w:val="-4"/>
          <w:rtl/>
          <w:lang w:val="fr-CH"/>
        </w:rPr>
        <w:t>سبب اهتمام السلطة المفاجئ به قبل مغادرة الجزائر وأنه سيغامر بذلك عند مغادرة البلد أو</w:t>
      </w:r>
      <w:r w:rsidRPr="00184E91">
        <w:rPr>
          <w:spacing w:val="-4"/>
          <w:rtl/>
          <w:lang w:val="fr-CH"/>
        </w:rPr>
        <w:t> </w:t>
      </w:r>
      <w:r w:rsidRPr="00184E91">
        <w:rPr>
          <w:rFonts w:hint="cs"/>
          <w:spacing w:val="-4"/>
          <w:rtl/>
          <w:lang w:val="fr-CH"/>
        </w:rPr>
        <w:t>عند عودته إليه.</w:t>
      </w:r>
    </w:p>
    <w:p w:rsidR="00091373" w:rsidRPr="00FA0FC2" w:rsidRDefault="00091373" w:rsidP="00091373">
      <w:pPr>
        <w:pStyle w:val="SingleTxtGA"/>
        <w:rPr>
          <w:rFonts w:hint="cs"/>
          <w:rtl/>
          <w:lang w:val="fr-CH"/>
        </w:rPr>
      </w:pPr>
      <w:r w:rsidRPr="00FA0FC2">
        <w:rPr>
          <w:rFonts w:hint="cs"/>
          <w:rtl/>
          <w:lang w:val="fr-CH"/>
        </w:rPr>
        <w:t>4-8</w:t>
      </w:r>
      <w:r w:rsidRPr="00FA0FC2">
        <w:rPr>
          <w:rFonts w:hint="cs"/>
          <w:rtl/>
          <w:lang w:val="fr-CH"/>
        </w:rPr>
        <w:tab/>
        <w:t>وتشير الدولة الطرف إلى أنه حتى في حالة اعتبار أن صاحب الشكوى قد وجّه الرسائل المزعومة إلى رئيس الدولة ووزير الدفاع، وبالرغم من التقارير الدولية لحقوق الإنسان التي تثبت إنزال عقوبة بالسجن بسبب القذف تصل إلى ستة أشهر في عامي 2008 و2009،</w:t>
      </w:r>
      <w:r>
        <w:rPr>
          <w:rFonts w:hint="cs"/>
          <w:rtl/>
          <w:lang w:val="fr-CH"/>
        </w:rPr>
        <w:t xml:space="preserve"> لم</w:t>
      </w:r>
      <w:r>
        <w:rPr>
          <w:rtl/>
          <w:lang w:val="fr-CH"/>
        </w:rPr>
        <w:t> </w:t>
      </w:r>
      <w:r w:rsidRPr="00FA0FC2">
        <w:rPr>
          <w:rFonts w:hint="cs"/>
          <w:rtl/>
          <w:lang w:val="fr-CH"/>
        </w:rPr>
        <w:t>تؤد رسائل صاحب الشكوى في</w:t>
      </w:r>
      <w:r>
        <w:rPr>
          <w:rFonts w:hint="cs"/>
          <w:rtl/>
          <w:lang w:val="fr-CH"/>
        </w:rPr>
        <w:t xml:space="preserve"> عام</w:t>
      </w:r>
      <w:r>
        <w:rPr>
          <w:rtl/>
          <w:lang w:val="fr-CH"/>
        </w:rPr>
        <w:t> </w:t>
      </w:r>
      <w:r w:rsidRPr="00FA0FC2">
        <w:rPr>
          <w:rFonts w:hint="cs"/>
          <w:rtl/>
          <w:lang w:val="fr-CH"/>
        </w:rPr>
        <w:t>2005 إلى المقاضاة وبالتالي فإنه من غير المحتمل أن تشكل رسالته المؤرخة 22 آذار/مارس 2008 أساساً مقبولاً للتعرض لهذا الخطر.</w:t>
      </w:r>
      <w:r>
        <w:rPr>
          <w:rFonts w:hint="cs"/>
          <w:rtl/>
          <w:lang w:val="fr-CH"/>
        </w:rPr>
        <w:t xml:space="preserve"> ولا</w:t>
      </w:r>
      <w:r>
        <w:rPr>
          <w:rtl/>
          <w:lang w:val="fr-CH"/>
        </w:rPr>
        <w:t> </w:t>
      </w:r>
      <w:r w:rsidRPr="00FA0FC2">
        <w:rPr>
          <w:rFonts w:hint="cs"/>
          <w:rtl/>
          <w:lang w:val="fr-CH"/>
        </w:rPr>
        <w:t>تتضمن الرسالة أي اعتراف بتلقيها</w:t>
      </w:r>
      <w:r>
        <w:rPr>
          <w:rFonts w:hint="cs"/>
          <w:rtl/>
          <w:lang w:val="fr-CH"/>
        </w:rPr>
        <w:t xml:space="preserve"> ولا</w:t>
      </w:r>
      <w:r>
        <w:rPr>
          <w:rtl/>
          <w:lang w:val="fr-CH"/>
        </w:rPr>
        <w:t> </w:t>
      </w:r>
      <w:r w:rsidRPr="00FA0FC2">
        <w:rPr>
          <w:rFonts w:hint="cs"/>
          <w:rtl/>
          <w:lang w:val="fr-CH"/>
        </w:rPr>
        <w:t xml:space="preserve">توجد أي معلومات تفيد بأنها أدت إلى مقاضاته. </w:t>
      </w:r>
    </w:p>
    <w:p w:rsidR="00091373" w:rsidRPr="00184E91" w:rsidRDefault="00091373" w:rsidP="00091373">
      <w:pPr>
        <w:pStyle w:val="SingleTxtGA"/>
        <w:rPr>
          <w:rFonts w:hint="cs"/>
          <w:spacing w:val="-2"/>
          <w:rtl/>
          <w:lang w:val="fr-CH"/>
        </w:rPr>
      </w:pPr>
      <w:r w:rsidRPr="00184E91">
        <w:rPr>
          <w:rFonts w:hint="cs"/>
          <w:spacing w:val="-2"/>
          <w:rtl/>
          <w:lang w:val="fr-CH"/>
        </w:rPr>
        <w:t>4-9</w:t>
      </w:r>
      <w:r w:rsidRPr="00184E91">
        <w:rPr>
          <w:rFonts w:hint="cs"/>
          <w:spacing w:val="-2"/>
          <w:rtl/>
          <w:lang w:val="fr-CH"/>
        </w:rPr>
        <w:tab/>
        <w:t>وتُسلم الدولة الطرف بأن القانون يعاقب على جريمة مغادرة الجزائر بصورة غير شرعية وباستخدام وثائق مزورة أو</w:t>
      </w:r>
      <w:r w:rsidRPr="00184E91">
        <w:rPr>
          <w:spacing w:val="-2"/>
          <w:rtl/>
          <w:lang w:val="fr-CH"/>
        </w:rPr>
        <w:t> </w:t>
      </w:r>
      <w:r w:rsidRPr="00184E91">
        <w:rPr>
          <w:rFonts w:hint="cs"/>
          <w:spacing w:val="-2"/>
          <w:rtl/>
          <w:lang w:val="fr-CH"/>
        </w:rPr>
        <w:t>على مغادرة البلد بطريقة أخرى غير المعابر الحدودية الرسمية. بيد أن الوقائع تثبت أن صاحب الشكوى غادر الجزائر من معبر عادي باستخدام جواز سفر حقيقي؛ وبالتالي لا</w:t>
      </w:r>
      <w:r w:rsidRPr="00184E91">
        <w:rPr>
          <w:spacing w:val="-2"/>
          <w:rtl/>
          <w:lang w:val="fr-CH"/>
        </w:rPr>
        <w:t> </w:t>
      </w:r>
      <w:r w:rsidRPr="00184E91">
        <w:rPr>
          <w:rFonts w:hint="cs"/>
          <w:spacing w:val="-2"/>
          <w:rtl/>
          <w:lang w:val="fr-CH"/>
        </w:rPr>
        <w:t>يوجد سبب لافتراض أنه سيتعرض لأي عقوبة بموجب هذا القانون.</w:t>
      </w:r>
    </w:p>
    <w:p w:rsidR="00091373" w:rsidRPr="00FA0FC2" w:rsidRDefault="00091373" w:rsidP="00091373">
      <w:pPr>
        <w:pStyle w:val="SingleTxtGA"/>
        <w:rPr>
          <w:rFonts w:hint="cs"/>
          <w:rtl/>
          <w:lang w:val="fr-CH"/>
        </w:rPr>
      </w:pPr>
      <w:r w:rsidRPr="00FA0FC2">
        <w:rPr>
          <w:rFonts w:hint="cs"/>
          <w:rtl/>
          <w:lang w:val="fr-CH"/>
        </w:rPr>
        <w:t>4-10</w:t>
      </w:r>
      <w:r w:rsidRPr="00FA0FC2">
        <w:rPr>
          <w:rFonts w:hint="cs"/>
          <w:rtl/>
          <w:lang w:val="fr-CH"/>
        </w:rPr>
        <w:tab/>
        <w:t>ووفقاً للمعلومات المتاحة عند تقديم الطلب،</w:t>
      </w:r>
      <w:r>
        <w:rPr>
          <w:rFonts w:hint="cs"/>
          <w:rtl/>
          <w:lang w:val="fr-CH"/>
        </w:rPr>
        <w:t xml:space="preserve"> لا</w:t>
      </w:r>
      <w:r>
        <w:rPr>
          <w:rtl/>
          <w:lang w:val="fr-CH"/>
        </w:rPr>
        <w:t> </w:t>
      </w:r>
      <w:r w:rsidRPr="00FA0FC2">
        <w:rPr>
          <w:rFonts w:hint="cs"/>
          <w:rtl/>
          <w:lang w:val="fr-CH"/>
        </w:rPr>
        <w:t>يُفترض أن يؤثر رفض طلب اللجوء في حد ذاته في عودته إلى الجزائر. وبالرغم من أن بعض المعلومات الواردة في تقارير تشير إلى وجود خطر بالنسبة إلى الأفراد الذين يعودون إلى الجزائر بعد رفض طلب اللجوء واشتباه السلطات الجزائرية فيهم بتورطهم في أعمال إرهابية، فإن ذلك يتعلق بأشخاص رُفض طلب لجوئهم على أسس تتعلق بالأمن الوطني</w:t>
      </w:r>
      <w:r w:rsidRPr="00FA0FC2">
        <w:rPr>
          <w:vertAlign w:val="superscript"/>
          <w:rtl/>
          <w:lang w:val="fr-CH"/>
        </w:rPr>
        <w:t>(</w:t>
      </w:r>
      <w:r w:rsidRPr="00FA0FC2">
        <w:rPr>
          <w:rStyle w:val="FootnoteReference"/>
          <w:rtl/>
          <w:lang w:val="fr-CH"/>
        </w:rPr>
        <w:footnoteReference w:id="278"/>
      </w:r>
      <w:r w:rsidRPr="00FA0FC2">
        <w:rPr>
          <w:vertAlign w:val="superscript"/>
          <w:rtl/>
          <w:lang w:val="fr-CH"/>
        </w:rPr>
        <w:t>)</w:t>
      </w:r>
      <w:r w:rsidRPr="00FA0FC2">
        <w:rPr>
          <w:rFonts w:hint="cs"/>
          <w:rtl/>
          <w:lang w:val="fr-CH"/>
        </w:rPr>
        <w:t>. وهو</w:t>
      </w:r>
      <w:r>
        <w:rPr>
          <w:rFonts w:hint="cs"/>
          <w:rtl/>
          <w:lang w:val="fr-CH"/>
        </w:rPr>
        <w:t xml:space="preserve"> ما</w:t>
      </w:r>
      <w:r>
        <w:rPr>
          <w:rtl/>
          <w:lang w:val="fr-CH"/>
        </w:rPr>
        <w:t> </w:t>
      </w:r>
      <w:r>
        <w:rPr>
          <w:rFonts w:hint="cs"/>
          <w:rtl/>
          <w:lang w:val="fr-CH"/>
        </w:rPr>
        <w:t>لا</w:t>
      </w:r>
      <w:r>
        <w:rPr>
          <w:rtl/>
          <w:lang w:val="fr-CH"/>
        </w:rPr>
        <w:t> </w:t>
      </w:r>
      <w:r w:rsidRPr="00FA0FC2">
        <w:rPr>
          <w:rFonts w:hint="cs"/>
          <w:rtl/>
          <w:lang w:val="fr-CH"/>
        </w:rPr>
        <w:t>ينطبق على حالة صاحب الشكوى.</w:t>
      </w:r>
      <w:r>
        <w:rPr>
          <w:rFonts w:hint="cs"/>
          <w:rtl/>
          <w:lang w:val="fr-CH"/>
        </w:rPr>
        <w:t xml:space="preserve"> ولا</w:t>
      </w:r>
      <w:r>
        <w:rPr>
          <w:rtl/>
          <w:lang w:val="fr-CH"/>
        </w:rPr>
        <w:t> </w:t>
      </w:r>
      <w:r w:rsidRPr="00FA0FC2">
        <w:rPr>
          <w:rFonts w:hint="cs"/>
          <w:rtl/>
          <w:lang w:val="fr-CH"/>
        </w:rPr>
        <w:t>توجد أي أدلة تشير إلى أن الأفراد الذين بقوا خارج الجزائر لأي فترة من الزمن</w:t>
      </w:r>
      <w:r>
        <w:rPr>
          <w:rFonts w:hint="cs"/>
          <w:rtl/>
          <w:lang w:val="fr-CH"/>
        </w:rPr>
        <w:t xml:space="preserve"> أو</w:t>
      </w:r>
      <w:r>
        <w:rPr>
          <w:rtl/>
          <w:lang w:val="fr-CH"/>
        </w:rPr>
        <w:t> </w:t>
      </w:r>
      <w:r w:rsidRPr="00FA0FC2">
        <w:rPr>
          <w:rFonts w:hint="cs"/>
          <w:rtl/>
          <w:lang w:val="fr-CH"/>
        </w:rPr>
        <w:t>الذين رُفض لهم طلب لجوء يتعرضون للتعذيب. وفضلاً عن ذلك، ليس ثمة</w:t>
      </w:r>
      <w:r>
        <w:rPr>
          <w:rFonts w:hint="cs"/>
          <w:rtl/>
          <w:lang w:val="fr-CH"/>
        </w:rPr>
        <w:t xml:space="preserve"> ما</w:t>
      </w:r>
      <w:r>
        <w:rPr>
          <w:rtl/>
          <w:lang w:val="fr-CH"/>
        </w:rPr>
        <w:t> </w:t>
      </w:r>
      <w:r w:rsidRPr="00FA0FC2">
        <w:rPr>
          <w:rFonts w:hint="cs"/>
          <w:rtl/>
          <w:lang w:val="fr-CH"/>
        </w:rPr>
        <w:t>يفيد بأن السلطات الجزائرية ستعلم بطلب صاحب الشكوى اللجوء ورفضه،</w:t>
      </w:r>
      <w:r>
        <w:rPr>
          <w:rFonts w:hint="cs"/>
          <w:rtl/>
          <w:lang w:val="fr-CH"/>
        </w:rPr>
        <w:t xml:space="preserve"> ولم</w:t>
      </w:r>
      <w:r>
        <w:rPr>
          <w:rtl/>
          <w:lang w:val="fr-CH"/>
        </w:rPr>
        <w:t> </w:t>
      </w:r>
      <w:r w:rsidRPr="00FA0FC2">
        <w:rPr>
          <w:rFonts w:hint="cs"/>
          <w:rtl/>
          <w:lang w:val="fr-CH"/>
        </w:rPr>
        <w:t>يواجه صاحب الشكوى أي مشاكل عندما عاد إلى الجزائر مراراً وتكراراً قادماً من أوروبا وغيرها من البلدان، رغم ادعائه بأنه وقّع على اعتراف بانتمائه إلى جماعة إسلامية.</w:t>
      </w:r>
    </w:p>
    <w:p w:rsidR="00091373" w:rsidRPr="00FA0FC2" w:rsidRDefault="00091373" w:rsidP="00091373">
      <w:pPr>
        <w:pStyle w:val="SingleTxtGA"/>
        <w:rPr>
          <w:rFonts w:hint="cs"/>
          <w:rtl/>
          <w:lang w:val="fr-CH"/>
        </w:rPr>
      </w:pPr>
      <w:r w:rsidRPr="00FA0FC2">
        <w:rPr>
          <w:rFonts w:hint="cs"/>
          <w:rtl/>
          <w:lang w:val="fr-CH"/>
        </w:rPr>
        <w:t>4-11</w:t>
      </w:r>
      <w:r w:rsidRPr="00FA0FC2">
        <w:rPr>
          <w:rFonts w:hint="cs"/>
          <w:rtl/>
          <w:lang w:val="fr-CH"/>
        </w:rPr>
        <w:tab/>
        <w:t>وأخيراً تدفع الدولة الطرف بأن التعذيب المزعوم جرى منذ</w:t>
      </w:r>
      <w:r>
        <w:rPr>
          <w:rFonts w:hint="cs"/>
          <w:rtl/>
          <w:lang w:val="fr-CH"/>
        </w:rPr>
        <w:t xml:space="preserve"> ما</w:t>
      </w:r>
      <w:r>
        <w:rPr>
          <w:rtl/>
          <w:lang w:val="fr-CH"/>
        </w:rPr>
        <w:t> </w:t>
      </w:r>
      <w:r w:rsidRPr="00FA0FC2">
        <w:rPr>
          <w:rFonts w:hint="cs"/>
          <w:rtl/>
          <w:lang w:val="fr-CH"/>
        </w:rPr>
        <w:t>يربو على خمس سنوات خلت، إن وجد؛ وعندما غادر صاحب الشكوى الجزائر تمكن من العيش فيها لفترة تربو على السنتين بعد تعذيبه المزعوم وتمكن كذلك من مغادرة الجزائر والعودة إليها دون أية مشاكل. وتلاحظ أنه</w:t>
      </w:r>
      <w:r>
        <w:rPr>
          <w:rFonts w:hint="cs"/>
          <w:rtl/>
          <w:lang w:val="fr-CH"/>
        </w:rPr>
        <w:t xml:space="preserve"> لا</w:t>
      </w:r>
      <w:r>
        <w:rPr>
          <w:rtl/>
          <w:lang w:val="fr-CH"/>
        </w:rPr>
        <w:t> </w:t>
      </w:r>
      <w:r w:rsidRPr="00FA0FC2">
        <w:rPr>
          <w:rFonts w:hint="cs"/>
          <w:rtl/>
          <w:lang w:val="fr-CH"/>
        </w:rPr>
        <w:t>يوجد</w:t>
      </w:r>
      <w:r>
        <w:rPr>
          <w:rFonts w:hint="cs"/>
          <w:rtl/>
          <w:lang w:val="fr-CH"/>
        </w:rPr>
        <w:t xml:space="preserve"> ما</w:t>
      </w:r>
      <w:r>
        <w:rPr>
          <w:rtl/>
          <w:lang w:val="fr-CH"/>
        </w:rPr>
        <w:t> </w:t>
      </w:r>
      <w:r w:rsidRPr="00FA0FC2">
        <w:rPr>
          <w:rFonts w:hint="cs"/>
          <w:rtl/>
          <w:lang w:val="fr-CH"/>
        </w:rPr>
        <w:t>يفيد بأن صاحب الشكوى</w:t>
      </w:r>
      <w:r>
        <w:rPr>
          <w:rFonts w:hint="cs"/>
          <w:rtl/>
          <w:lang w:val="fr-CH"/>
        </w:rPr>
        <w:t xml:space="preserve"> لا</w:t>
      </w:r>
      <w:r>
        <w:rPr>
          <w:rtl/>
          <w:lang w:val="fr-CH"/>
        </w:rPr>
        <w:t> </w:t>
      </w:r>
      <w:r w:rsidRPr="00FA0FC2">
        <w:rPr>
          <w:rFonts w:hint="cs"/>
          <w:rtl/>
          <w:lang w:val="fr-CH"/>
        </w:rPr>
        <w:t>يزال يحظى باهتمام السلطات في الجزائر. وتبعاً لذلك، تدفع الدولة الطرف بأن الأدلة والظروف التي تذرّع بها صاحب الشكوى</w:t>
      </w:r>
      <w:r>
        <w:rPr>
          <w:rFonts w:hint="cs"/>
          <w:rtl/>
          <w:lang w:val="fr-CH"/>
        </w:rPr>
        <w:t xml:space="preserve"> لا</w:t>
      </w:r>
      <w:r>
        <w:rPr>
          <w:rtl/>
          <w:lang w:val="fr-CH"/>
        </w:rPr>
        <w:t> </w:t>
      </w:r>
      <w:r w:rsidRPr="00FA0FC2">
        <w:rPr>
          <w:rFonts w:hint="cs"/>
          <w:rtl/>
          <w:lang w:val="fr-CH"/>
        </w:rPr>
        <w:t>تُبين أن خطر التعرض للتعذيب المزعوم يفي بمتطلبات أن يكون متوقعاً وحقيقياً وشخصياً. وتدفع بأن زعم انتهاك ال</w:t>
      </w:r>
      <w:r>
        <w:rPr>
          <w:rFonts w:hint="cs"/>
          <w:rtl/>
          <w:lang w:val="fr-CH"/>
        </w:rPr>
        <w:t>مادة</w:t>
      </w:r>
      <w:r>
        <w:rPr>
          <w:rtl/>
          <w:lang w:val="fr-CH"/>
        </w:rPr>
        <w:t> </w:t>
      </w:r>
      <w:r w:rsidRPr="00FA0FC2">
        <w:rPr>
          <w:rFonts w:hint="cs"/>
          <w:rtl/>
          <w:lang w:val="fr-CH"/>
        </w:rPr>
        <w:t xml:space="preserve">3 يفتقر بوضوح إلى سند صحيح. </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تعليقات صاحب الشكوى على ملاحظات الدولة الطرف</w:t>
      </w:r>
    </w:p>
    <w:p w:rsidR="00091373" w:rsidRPr="0064077B" w:rsidRDefault="00091373" w:rsidP="0064077B">
      <w:pPr>
        <w:pStyle w:val="SingleTxtGA"/>
        <w:rPr>
          <w:rFonts w:hint="cs"/>
          <w:rtl/>
          <w:lang w:val="fr-CH"/>
        </w:rPr>
      </w:pPr>
      <w:r w:rsidRPr="0064077B">
        <w:rPr>
          <w:rFonts w:hint="cs"/>
          <w:rtl/>
          <w:lang w:val="fr-CH"/>
        </w:rPr>
        <w:t>5-1</w:t>
      </w:r>
      <w:r w:rsidRPr="0064077B">
        <w:rPr>
          <w:rFonts w:hint="cs"/>
          <w:rtl/>
          <w:lang w:val="fr-CH"/>
        </w:rPr>
        <w:tab/>
        <w:t>في 3 أيار/مايو 2011، قدم صاحب الشكوى تعليقاته على ملاحظات الدولة الطرف، وأشار إلى أن الدولة الطرف لم</w:t>
      </w:r>
      <w:r w:rsidRPr="0064077B">
        <w:rPr>
          <w:rtl/>
          <w:lang w:val="fr-CH"/>
        </w:rPr>
        <w:t> </w:t>
      </w:r>
      <w:r w:rsidRPr="0064077B">
        <w:rPr>
          <w:rFonts w:hint="cs"/>
          <w:rtl/>
          <w:lang w:val="fr-CH"/>
        </w:rPr>
        <w:t>تتناول مسألة الرسالة التي وجّهتها السكرتيرة الأولى في سفارة السويد في الجزائر العاصمة، التي ينبغي أن تمنحه حق إعادة النظر في قضيته في المحاكم المحلية، وبخاصة إزاء عدم احترام مبدأي الاستقلال والحياد. ويشير إلى أنه كان لتدخل السكرتيرة الأولى تبعات بسبب إلحاحه على استرجاع وثائقه الأصلية بعد رفض طلبه تأشيرة</w:t>
      </w:r>
      <w:r w:rsidR="0064077B">
        <w:rPr>
          <w:rFonts w:hint="eastAsia"/>
          <w:rtl/>
          <w:lang w:val="fr-CH"/>
        </w:rPr>
        <w:t> </w:t>
      </w:r>
      <w:r w:rsidRPr="0064077B">
        <w:rPr>
          <w:rFonts w:hint="cs"/>
          <w:rtl/>
          <w:lang w:val="fr-CH"/>
        </w:rPr>
        <w:t>إلى السويد لأول مرة في 18 حزيران/يونيه 2007. ويشير إلى أن تعليقات السكرتيرة الأولى بشأن طبعه، والأسلوب المهين الذي حررتها به وكذلك الأحكام المسبقة الواردة فيها أثّرت في القرار الذي اتخذه مجلس الهجرة. ويشير صاحب الشكوى أيضاً إلى أن الدولة الطرف لم</w:t>
      </w:r>
      <w:r w:rsidRPr="0064077B">
        <w:rPr>
          <w:rtl/>
          <w:lang w:val="fr-CH"/>
        </w:rPr>
        <w:t> </w:t>
      </w:r>
      <w:r w:rsidRPr="0064077B">
        <w:rPr>
          <w:rFonts w:hint="cs"/>
          <w:rtl/>
          <w:lang w:val="fr-CH"/>
        </w:rPr>
        <w:t>توضح السبب الذي حال دون اتخاذ القرار من جانب مسؤول مجلس الهجرة الذي</w:t>
      </w:r>
      <w:r w:rsidR="0064077B">
        <w:rPr>
          <w:rFonts w:hint="eastAsia"/>
          <w:rtl/>
          <w:lang w:val="fr-CH"/>
        </w:rPr>
        <w:t> </w:t>
      </w:r>
      <w:r w:rsidRPr="0064077B">
        <w:rPr>
          <w:rFonts w:hint="cs"/>
          <w:rtl/>
          <w:lang w:val="fr-CH"/>
        </w:rPr>
        <w:t>استجوبه.</w:t>
      </w:r>
    </w:p>
    <w:p w:rsidR="00091373" w:rsidRPr="0064077B" w:rsidRDefault="00091373" w:rsidP="00091373">
      <w:pPr>
        <w:pStyle w:val="SingleTxtGA"/>
        <w:rPr>
          <w:rFonts w:hint="cs"/>
          <w:rtl/>
          <w:lang w:val="fr-CH"/>
        </w:rPr>
      </w:pPr>
      <w:r w:rsidRPr="00FA0FC2">
        <w:rPr>
          <w:rFonts w:hint="cs"/>
          <w:rtl/>
          <w:lang w:val="fr-CH"/>
        </w:rPr>
        <w:t>5-2</w:t>
      </w:r>
      <w:r w:rsidRPr="00FA0FC2">
        <w:rPr>
          <w:rFonts w:hint="cs"/>
          <w:rtl/>
          <w:lang w:val="fr-CH"/>
        </w:rPr>
        <w:tab/>
        <w:t>ويكرر صاحب الشكوى أن الأوضاع في الجزائر غير مستقرة،</w:t>
      </w:r>
      <w:r>
        <w:rPr>
          <w:rFonts w:hint="cs"/>
          <w:rtl/>
          <w:lang w:val="fr-CH"/>
        </w:rPr>
        <w:t xml:space="preserve"> ولا</w:t>
      </w:r>
      <w:r>
        <w:rPr>
          <w:rtl/>
          <w:lang w:val="fr-CH"/>
        </w:rPr>
        <w:t> </w:t>
      </w:r>
      <w:r w:rsidRPr="00FA0FC2">
        <w:rPr>
          <w:rFonts w:hint="cs"/>
          <w:rtl/>
          <w:lang w:val="fr-CH"/>
        </w:rPr>
        <w:t xml:space="preserve">سيما بسبب الأحداث التي تلت الثورات العربية. ويُكرر أنه أُجبر على توقيع اعتراف بانتمائه إلى جماعة إسلامية، وأنه عرض في الرسائل التي وجهها إلى رئيس الدولة تورط الجيش في مذابح ذهب </w:t>
      </w:r>
      <w:r w:rsidRPr="0064077B">
        <w:rPr>
          <w:rFonts w:hint="cs"/>
          <w:rtl/>
          <w:lang w:val="fr-CH"/>
        </w:rPr>
        <w:t>ضحيتها مدنيون، وكذلك اغتيال إدارة الاستخبارات والأمن الرئيس بوضياف وتورطها في الهجمات على قطار المسافرين في باريس.</w:t>
      </w:r>
    </w:p>
    <w:p w:rsidR="00091373" w:rsidRPr="0064077B" w:rsidRDefault="00091373" w:rsidP="00091373">
      <w:pPr>
        <w:pStyle w:val="SingleTxtGA"/>
        <w:rPr>
          <w:rFonts w:hint="cs"/>
          <w:rtl/>
          <w:lang w:val="fr-CH"/>
        </w:rPr>
      </w:pPr>
      <w:r w:rsidRPr="0064077B">
        <w:rPr>
          <w:rFonts w:hint="cs"/>
          <w:rtl/>
          <w:lang w:val="fr-CH"/>
        </w:rPr>
        <w:t>5-3</w:t>
      </w:r>
      <w:r w:rsidRPr="0064077B">
        <w:rPr>
          <w:rFonts w:hint="cs"/>
          <w:rtl/>
          <w:lang w:val="fr-CH"/>
        </w:rPr>
        <w:tab/>
        <w:t>وأشار صاحب الشكوى أيضاً إلى أن الصور التي قدمها تشكل دليلاً على إساءة معاملته وإلى أنه لم</w:t>
      </w:r>
      <w:r w:rsidRPr="0064077B">
        <w:rPr>
          <w:rtl/>
          <w:lang w:val="fr-CH"/>
        </w:rPr>
        <w:t> </w:t>
      </w:r>
      <w:r w:rsidRPr="0064077B">
        <w:rPr>
          <w:rFonts w:hint="cs"/>
          <w:rtl/>
          <w:lang w:val="fr-CH"/>
        </w:rPr>
        <w:t>يتمكن من الحصول على شهادة طبية بسبب التهديدات التي تلقاها، وبخاصة أن الشهادة الطبية كان يفترض أن تصدر عن طبيب شرعي يعمل في مستشفى عام. ولو فعل ذلك، لعلمت الشرطة، التي تحتفظ بمركز لها في كل مستشفى عام، بزيارته.</w:t>
      </w:r>
    </w:p>
    <w:p w:rsidR="00091373" w:rsidRPr="009146F4" w:rsidRDefault="00091373" w:rsidP="00091373">
      <w:pPr>
        <w:pStyle w:val="SingleTxtGA"/>
        <w:rPr>
          <w:rFonts w:hint="cs"/>
          <w:spacing w:val="-2"/>
          <w:rtl/>
          <w:lang w:val="fr-CH"/>
        </w:rPr>
      </w:pPr>
      <w:r w:rsidRPr="009146F4">
        <w:rPr>
          <w:rFonts w:hint="cs"/>
          <w:spacing w:val="-2"/>
          <w:rtl/>
          <w:lang w:val="fr-CH"/>
        </w:rPr>
        <w:t>5-4</w:t>
      </w:r>
      <w:r w:rsidRPr="009146F4">
        <w:rPr>
          <w:rFonts w:hint="cs"/>
          <w:spacing w:val="-2"/>
          <w:rtl/>
          <w:lang w:val="fr-CH"/>
        </w:rPr>
        <w:tab/>
        <w:t>وفيما يتعلق بمصادرة جواز سفره، يشير صاحب الشكوى إلى أن آخر ختم في جوازه القديم كان يحمل تاريخ تشرين الثاني/نوفمبر 2005، قبل شهر من مصادرته، وأنه لو جدده لتم ذلك أثناء فترة الشهر المعتادة. بيد أنه تلقى جواز سفره الجديد في 5 حزيران/يونيه 2006، بعد ستة أشهر من مصادرته. ويشير أيضاً إلى أنه انتظر فترة طويلة قبل مغادرة البلد في</w:t>
      </w:r>
      <w:r w:rsidRPr="009146F4">
        <w:rPr>
          <w:rFonts w:hint="eastAsia"/>
          <w:spacing w:val="-2"/>
          <w:rtl/>
          <w:lang w:val="fr-CH"/>
        </w:rPr>
        <w:t> </w:t>
      </w:r>
      <w:r w:rsidRPr="009146F4">
        <w:rPr>
          <w:rFonts w:hint="cs"/>
          <w:spacing w:val="-2"/>
          <w:rtl/>
          <w:lang w:val="fr-CH"/>
        </w:rPr>
        <w:t>24</w:t>
      </w:r>
      <w:r w:rsidRPr="009146F4">
        <w:rPr>
          <w:rFonts w:hint="eastAsia"/>
          <w:spacing w:val="-2"/>
          <w:rtl/>
          <w:lang w:val="fr-CH"/>
        </w:rPr>
        <w:t> </w:t>
      </w:r>
      <w:r w:rsidRPr="009146F4">
        <w:rPr>
          <w:rFonts w:hint="cs"/>
          <w:spacing w:val="-2"/>
          <w:rtl/>
          <w:lang w:val="fr-CH"/>
        </w:rPr>
        <w:t>آب/أغسطس 2007 لأنه كان يخشى اكتشاف السلطات جوازه الجديد وتوقيفه.</w:t>
      </w:r>
    </w:p>
    <w:p w:rsidR="00091373" w:rsidRPr="0064077B" w:rsidRDefault="00091373" w:rsidP="0064077B">
      <w:pPr>
        <w:pStyle w:val="SingleTxtGA"/>
        <w:rPr>
          <w:rFonts w:hint="cs"/>
          <w:rtl/>
          <w:lang w:val="fr-CH"/>
        </w:rPr>
      </w:pPr>
      <w:r w:rsidRPr="0064077B">
        <w:rPr>
          <w:rFonts w:hint="cs"/>
          <w:rtl/>
          <w:lang w:val="fr-CH"/>
        </w:rPr>
        <w:t>5-5</w:t>
      </w:r>
      <w:r w:rsidRPr="0064077B">
        <w:rPr>
          <w:rFonts w:hint="cs"/>
          <w:rtl/>
          <w:lang w:val="fr-CH"/>
        </w:rPr>
        <w:tab/>
        <w:t>وفيما يتعلق بحرية التنقل، يشير صاحب الشكوى إلى أن إدارة الاستخبارات والأمن لم</w:t>
      </w:r>
      <w:r w:rsidRPr="0064077B">
        <w:rPr>
          <w:rtl/>
          <w:lang w:val="fr-CH"/>
        </w:rPr>
        <w:t> </w:t>
      </w:r>
      <w:r w:rsidRPr="0064077B">
        <w:rPr>
          <w:rFonts w:hint="cs"/>
          <w:rtl/>
          <w:lang w:val="fr-CH"/>
        </w:rPr>
        <w:t>توجه إليه أي تهم وكانت تعتقد أنه لن</w:t>
      </w:r>
      <w:r w:rsidRPr="0064077B">
        <w:rPr>
          <w:rtl/>
          <w:lang w:val="fr-CH"/>
        </w:rPr>
        <w:t> </w:t>
      </w:r>
      <w:r w:rsidRPr="0064077B">
        <w:rPr>
          <w:rFonts w:hint="cs"/>
          <w:rtl/>
          <w:lang w:val="fr-CH"/>
        </w:rPr>
        <w:t>يتمكن بعد مصادرة جوازه من مغادرة الجزائر. وحيث إن السلطات لم</w:t>
      </w:r>
      <w:r w:rsidRPr="0064077B">
        <w:rPr>
          <w:rtl/>
          <w:lang w:val="fr-CH"/>
        </w:rPr>
        <w:t> </w:t>
      </w:r>
      <w:r w:rsidRPr="0064077B">
        <w:rPr>
          <w:rFonts w:hint="cs"/>
          <w:rtl/>
          <w:lang w:val="fr-CH"/>
        </w:rPr>
        <w:t>تكن على أي علم بجوازه الجديد، وإنه غير مطلوب وسافر خلسة، تمكن من القيام بذلك بحرية دون إثارة الشبهات. ويؤكد مجدداً أنه لم</w:t>
      </w:r>
      <w:r w:rsidRPr="0064077B">
        <w:rPr>
          <w:rtl/>
          <w:lang w:val="fr-CH"/>
        </w:rPr>
        <w:t> </w:t>
      </w:r>
      <w:r w:rsidRPr="0064077B">
        <w:rPr>
          <w:rFonts w:hint="cs"/>
          <w:rtl/>
          <w:lang w:val="fr-CH"/>
        </w:rPr>
        <w:t>يكن يشعر بالخطر أثناء</w:t>
      </w:r>
      <w:r w:rsidR="0064077B">
        <w:rPr>
          <w:rFonts w:hint="eastAsia"/>
          <w:rtl/>
          <w:lang w:val="fr-CH"/>
        </w:rPr>
        <w:t> </w:t>
      </w:r>
      <w:r w:rsidRPr="0064077B">
        <w:rPr>
          <w:rFonts w:hint="cs"/>
          <w:rtl/>
          <w:lang w:val="fr-CH"/>
        </w:rPr>
        <w:t>زيارته الأولى إلى منطقة شينغين، وأنه لم</w:t>
      </w:r>
      <w:r w:rsidRPr="0064077B">
        <w:rPr>
          <w:rtl/>
          <w:lang w:val="fr-CH"/>
        </w:rPr>
        <w:t> </w:t>
      </w:r>
      <w:r w:rsidRPr="0064077B">
        <w:rPr>
          <w:rFonts w:hint="cs"/>
          <w:rtl/>
          <w:lang w:val="fr-CH"/>
        </w:rPr>
        <w:t>يتلق استدعاء من الشرطة قبل 20 آذار/</w:t>
      </w:r>
      <w:r w:rsidR="0064077B">
        <w:rPr>
          <w:rFonts w:hint="cs"/>
          <w:rtl/>
          <w:lang w:val="fr-CH"/>
        </w:rPr>
        <w:t xml:space="preserve"> </w:t>
      </w:r>
      <w:r w:rsidRPr="0064077B">
        <w:rPr>
          <w:rFonts w:hint="cs"/>
          <w:rtl/>
          <w:lang w:val="fr-CH"/>
        </w:rPr>
        <w:t>مارس</w:t>
      </w:r>
      <w:r w:rsidR="0064077B">
        <w:rPr>
          <w:rFonts w:hint="eastAsia"/>
          <w:rtl/>
          <w:lang w:val="fr-CH"/>
        </w:rPr>
        <w:t> </w:t>
      </w:r>
      <w:r w:rsidRPr="0064077B">
        <w:rPr>
          <w:rFonts w:hint="cs"/>
          <w:rtl/>
          <w:lang w:val="fr-CH"/>
        </w:rPr>
        <w:t xml:space="preserve">2008. </w:t>
      </w:r>
    </w:p>
    <w:p w:rsidR="00091373" w:rsidRPr="0064077B" w:rsidRDefault="00091373" w:rsidP="00091373">
      <w:pPr>
        <w:pStyle w:val="SingleTxtGA"/>
        <w:rPr>
          <w:rFonts w:hint="cs"/>
          <w:rtl/>
          <w:lang w:val="fr-CH"/>
        </w:rPr>
      </w:pPr>
      <w:r w:rsidRPr="0064077B">
        <w:rPr>
          <w:rFonts w:hint="cs"/>
          <w:rtl/>
          <w:lang w:val="fr-CH"/>
        </w:rPr>
        <w:t>6-</w:t>
      </w:r>
      <w:r w:rsidRPr="0064077B">
        <w:rPr>
          <w:rFonts w:hint="cs"/>
          <w:rtl/>
          <w:lang w:val="fr-CH"/>
        </w:rPr>
        <w:tab/>
        <w:t>وفي 10 أيار/مايو 2011، أبلغ صاحب الشكوى اللجنة ببدء إجراء طرده إلى الجزائر. وفي</w:t>
      </w:r>
      <w:r w:rsidRPr="0064077B">
        <w:rPr>
          <w:rtl/>
          <w:lang w:val="fr-CH"/>
        </w:rPr>
        <w:t> </w:t>
      </w:r>
      <w:r w:rsidRPr="0064077B">
        <w:rPr>
          <w:rFonts w:hint="cs"/>
          <w:rtl/>
          <w:lang w:val="fr-CH"/>
        </w:rPr>
        <w:t>20 تموز/يوليه 2011، أبلغ صاحب الشكوى اللجنة بأنه غادر السويد طوعاً متجهاً إلى مصر، خوفاً من ترحيله إلى الجزائر.</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المسائل والإجراءات المعروضة على اللجنة</w:t>
      </w:r>
    </w:p>
    <w:p w:rsidR="00091373" w:rsidRPr="00FA0FC2" w:rsidRDefault="00091373" w:rsidP="00091373">
      <w:pPr>
        <w:pStyle w:val="H4GA"/>
        <w:rPr>
          <w:rFonts w:hint="cs"/>
          <w:rtl/>
          <w:lang w:val="fr-CH"/>
        </w:rPr>
      </w:pPr>
      <w:r w:rsidRPr="00FA0FC2">
        <w:rPr>
          <w:rFonts w:hint="cs"/>
          <w:rtl/>
          <w:lang w:val="fr-CH"/>
        </w:rPr>
        <w:tab/>
      </w:r>
      <w:r w:rsidRPr="00FA0FC2">
        <w:rPr>
          <w:rFonts w:hint="cs"/>
          <w:rtl/>
          <w:lang w:val="fr-CH"/>
        </w:rPr>
        <w:tab/>
        <w:t>النظر في المقبولية</w:t>
      </w:r>
    </w:p>
    <w:p w:rsidR="00091373" w:rsidRPr="00FA0FC2" w:rsidRDefault="00091373" w:rsidP="00091373">
      <w:pPr>
        <w:pStyle w:val="SingleTxtGA"/>
        <w:rPr>
          <w:rFonts w:hint="cs"/>
          <w:rtl/>
          <w:lang w:val="fr-CH"/>
        </w:rPr>
      </w:pPr>
      <w:r w:rsidRPr="00FA0FC2">
        <w:rPr>
          <w:rFonts w:hint="cs"/>
          <w:rtl/>
          <w:lang w:val="fr-CH"/>
        </w:rPr>
        <w:t>7-1</w:t>
      </w:r>
      <w:r w:rsidRPr="00FA0FC2">
        <w:rPr>
          <w:rFonts w:hint="cs"/>
          <w:rtl/>
          <w:lang w:val="fr-CH"/>
        </w:rPr>
        <w:tab/>
        <w:t>قبل النظر في أي ادعاء يرد في بلاغ ما، يجب أن تقرر لجنة مناهضة التعذيب</w:t>
      </w:r>
      <w:r>
        <w:rPr>
          <w:rFonts w:hint="cs"/>
          <w:rtl/>
          <w:lang w:val="fr-CH"/>
        </w:rPr>
        <w:t xml:space="preserve"> ما</w:t>
      </w:r>
      <w:r>
        <w:rPr>
          <w:rtl/>
          <w:lang w:val="fr-CH"/>
        </w:rPr>
        <w:t> </w:t>
      </w:r>
      <w:r w:rsidRPr="00FA0FC2">
        <w:rPr>
          <w:rFonts w:hint="cs"/>
          <w:rtl/>
          <w:lang w:val="fr-CH"/>
        </w:rPr>
        <w:t>إذا</w:t>
      </w:r>
      <w:r w:rsidRPr="00FA0FC2">
        <w:rPr>
          <w:rFonts w:hint="eastAsia"/>
          <w:rtl/>
          <w:lang w:val="fr-CH"/>
        </w:rPr>
        <w:t> </w:t>
      </w:r>
      <w:r w:rsidRPr="00FA0FC2">
        <w:rPr>
          <w:rFonts w:hint="cs"/>
          <w:rtl/>
          <w:lang w:val="fr-CH"/>
        </w:rPr>
        <w:t>كان البلاغ مقبولاً</w:t>
      </w:r>
      <w:r>
        <w:rPr>
          <w:rFonts w:hint="cs"/>
          <w:rtl/>
          <w:lang w:val="fr-CH"/>
        </w:rPr>
        <w:t xml:space="preserve"> أم</w:t>
      </w:r>
      <w:r>
        <w:rPr>
          <w:rtl/>
          <w:lang w:val="fr-CH"/>
        </w:rPr>
        <w:t> لا </w:t>
      </w:r>
      <w:r w:rsidRPr="00FA0FC2">
        <w:rPr>
          <w:rFonts w:hint="cs"/>
          <w:rtl/>
          <w:lang w:val="fr-CH"/>
        </w:rPr>
        <w:t>بموجب ال</w:t>
      </w:r>
      <w:r>
        <w:rPr>
          <w:rFonts w:hint="cs"/>
          <w:rtl/>
          <w:lang w:val="fr-CH"/>
        </w:rPr>
        <w:t>مادة</w:t>
      </w:r>
      <w:r>
        <w:rPr>
          <w:rtl/>
          <w:lang w:val="fr-CH"/>
        </w:rPr>
        <w:t> </w:t>
      </w:r>
      <w:r w:rsidRPr="00FA0FC2">
        <w:rPr>
          <w:rFonts w:hint="cs"/>
          <w:rtl/>
          <w:lang w:val="fr-CH"/>
        </w:rPr>
        <w:t>22 من الاتفاقية. وقد تأكدت اللجنة، وفقاً للفقرة 5(أ) من ال</w:t>
      </w:r>
      <w:r>
        <w:rPr>
          <w:rFonts w:hint="cs"/>
          <w:rtl/>
          <w:lang w:val="fr-CH"/>
        </w:rPr>
        <w:t>مادة</w:t>
      </w:r>
      <w:r>
        <w:rPr>
          <w:rtl/>
          <w:lang w:val="fr-CH"/>
        </w:rPr>
        <w:t> </w:t>
      </w:r>
      <w:r w:rsidRPr="00FA0FC2">
        <w:rPr>
          <w:rFonts w:hint="cs"/>
          <w:rtl/>
          <w:lang w:val="fr-CH"/>
        </w:rPr>
        <w:t>22 من الاتفاقية، من أن المسألة ذاتها</w:t>
      </w:r>
      <w:r>
        <w:rPr>
          <w:rFonts w:hint="cs"/>
          <w:rtl/>
          <w:lang w:val="fr-CH"/>
        </w:rPr>
        <w:t xml:space="preserve"> لم</w:t>
      </w:r>
      <w:r>
        <w:rPr>
          <w:rtl/>
          <w:lang w:val="fr-CH"/>
        </w:rPr>
        <w:t> </w:t>
      </w:r>
      <w:r w:rsidRPr="00FA0FC2">
        <w:rPr>
          <w:rFonts w:hint="cs"/>
          <w:rtl/>
          <w:lang w:val="fr-CH"/>
        </w:rPr>
        <w:t>تبُحث</w:t>
      </w:r>
      <w:r>
        <w:rPr>
          <w:rFonts w:hint="cs"/>
          <w:rtl/>
          <w:lang w:val="fr-CH"/>
        </w:rPr>
        <w:t xml:space="preserve"> ولا</w:t>
      </w:r>
      <w:r>
        <w:rPr>
          <w:rtl/>
          <w:lang w:val="fr-CH"/>
        </w:rPr>
        <w:t> </w:t>
      </w:r>
      <w:r w:rsidRPr="00FA0FC2">
        <w:rPr>
          <w:rFonts w:hint="cs"/>
          <w:rtl/>
          <w:lang w:val="fr-CH"/>
        </w:rPr>
        <w:t>يجري بحثها في إطار أي إجراء آخر من إجراءات التحقيق</w:t>
      </w:r>
      <w:r>
        <w:rPr>
          <w:rFonts w:hint="cs"/>
          <w:rtl/>
          <w:lang w:val="fr-CH"/>
        </w:rPr>
        <w:t xml:space="preserve"> أو</w:t>
      </w:r>
      <w:r>
        <w:rPr>
          <w:rtl/>
          <w:lang w:val="fr-CH"/>
        </w:rPr>
        <w:t> </w:t>
      </w:r>
      <w:r w:rsidRPr="00FA0FC2">
        <w:rPr>
          <w:rFonts w:hint="cs"/>
          <w:rtl/>
          <w:lang w:val="fr-CH"/>
        </w:rPr>
        <w:t>التسوية الدولية.</w:t>
      </w:r>
    </w:p>
    <w:p w:rsidR="00091373" w:rsidRPr="00FA0FC2" w:rsidRDefault="00091373" w:rsidP="00091373">
      <w:pPr>
        <w:pStyle w:val="SingleTxtGA"/>
        <w:rPr>
          <w:rFonts w:hint="cs"/>
          <w:rtl/>
          <w:lang w:val="fr-CH"/>
        </w:rPr>
      </w:pPr>
      <w:r w:rsidRPr="00FA0FC2">
        <w:rPr>
          <w:rFonts w:hint="cs"/>
          <w:rtl/>
          <w:lang w:val="fr-CH"/>
        </w:rPr>
        <w:t>7-2</w:t>
      </w:r>
      <w:r w:rsidRPr="00FA0FC2">
        <w:rPr>
          <w:rFonts w:hint="cs"/>
          <w:rtl/>
          <w:lang w:val="fr-CH"/>
        </w:rPr>
        <w:tab/>
        <w:t>وتشير اللجنة إلى أنها</w:t>
      </w:r>
      <w:r>
        <w:rPr>
          <w:rFonts w:hint="cs"/>
          <w:rtl/>
          <w:lang w:val="fr-CH"/>
        </w:rPr>
        <w:t xml:space="preserve"> لا</w:t>
      </w:r>
      <w:r>
        <w:rPr>
          <w:rtl/>
          <w:lang w:val="fr-CH"/>
        </w:rPr>
        <w:t> </w:t>
      </w:r>
      <w:r w:rsidRPr="00FA0FC2">
        <w:rPr>
          <w:rFonts w:hint="cs"/>
          <w:rtl/>
          <w:lang w:val="fr-CH"/>
        </w:rPr>
        <w:t xml:space="preserve">تنظر، </w:t>
      </w:r>
      <w:r w:rsidRPr="00FA0FC2">
        <w:rPr>
          <w:rFonts w:hint="cs"/>
          <w:rtl/>
          <w:lang/>
        </w:rPr>
        <w:t>وفقاً للفقرة 5(ب) من ال</w:t>
      </w:r>
      <w:r>
        <w:rPr>
          <w:rFonts w:hint="cs"/>
          <w:rtl/>
          <w:lang/>
        </w:rPr>
        <w:t>مادة</w:t>
      </w:r>
      <w:r>
        <w:rPr>
          <w:rtl/>
          <w:lang/>
        </w:rPr>
        <w:t> </w:t>
      </w:r>
      <w:r w:rsidRPr="00FA0FC2">
        <w:rPr>
          <w:rFonts w:hint="cs"/>
          <w:rtl/>
          <w:lang/>
        </w:rPr>
        <w:t>22 من الاتفاقية، في أي بلاغ مقدم من أحد الأفراد</w:t>
      </w:r>
      <w:r>
        <w:rPr>
          <w:rFonts w:hint="cs"/>
          <w:rtl/>
          <w:lang/>
        </w:rPr>
        <w:t xml:space="preserve"> ما</w:t>
      </w:r>
      <w:r>
        <w:rPr>
          <w:rtl/>
          <w:lang/>
        </w:rPr>
        <w:t> </w:t>
      </w:r>
      <w:r>
        <w:rPr>
          <w:rFonts w:hint="cs"/>
          <w:rtl/>
          <w:lang/>
        </w:rPr>
        <w:t>لم</w:t>
      </w:r>
      <w:r>
        <w:rPr>
          <w:rtl/>
          <w:lang/>
        </w:rPr>
        <w:t> </w:t>
      </w:r>
      <w:r w:rsidRPr="00FA0FC2">
        <w:rPr>
          <w:rFonts w:hint="cs"/>
          <w:rtl/>
          <w:lang/>
        </w:rPr>
        <w:t>تتحقق من أن هذا الفرد قد استنفد جميع سبل الانتصاف المحلية المتاحة. و</w:t>
      </w:r>
      <w:r w:rsidRPr="00FA0FC2">
        <w:rPr>
          <w:rFonts w:hint="cs"/>
          <w:rtl/>
          <w:lang w:val="fr-CH"/>
        </w:rPr>
        <w:t xml:space="preserve">تلاحظ اللجنة أن الدولة الطرف أقرت، في هذه القضية، بأن صاحب الشكوى قد استنفد جميع </w:t>
      </w:r>
      <w:r w:rsidRPr="00FA0FC2">
        <w:rPr>
          <w:rFonts w:hint="cs"/>
          <w:rtl/>
          <w:lang/>
        </w:rPr>
        <w:t>سبل الانتصاف المحلية المتاحة.</w:t>
      </w:r>
    </w:p>
    <w:p w:rsidR="00091373" w:rsidRPr="0064077B" w:rsidRDefault="00091373" w:rsidP="00091373">
      <w:pPr>
        <w:pStyle w:val="SingleTxtGA"/>
        <w:rPr>
          <w:rFonts w:hint="cs"/>
          <w:rtl/>
          <w:lang w:val="fr-CH"/>
        </w:rPr>
      </w:pPr>
      <w:r w:rsidRPr="0064077B">
        <w:rPr>
          <w:rFonts w:hint="cs"/>
          <w:rtl/>
          <w:lang w:val="fr-CH"/>
        </w:rPr>
        <w:t>7-3</w:t>
      </w:r>
      <w:r w:rsidRPr="0064077B">
        <w:rPr>
          <w:rFonts w:hint="cs"/>
          <w:rtl/>
          <w:lang w:val="fr-CH"/>
        </w:rPr>
        <w:tab/>
        <w:t xml:space="preserve">وتحيط اللجنة علماً بحجة الدولة الطرف أنه </w:t>
      </w:r>
      <w:r w:rsidRPr="0064077B">
        <w:rPr>
          <w:rFonts w:hint="cs"/>
          <w:rtl/>
          <w:lang/>
        </w:rPr>
        <w:t>ينبغي اعتبار البلاغ غير مقبول لأنه لا</w:t>
      </w:r>
      <w:r w:rsidRPr="0064077B">
        <w:rPr>
          <w:rtl/>
          <w:lang/>
        </w:rPr>
        <w:t> </w:t>
      </w:r>
      <w:r w:rsidRPr="0064077B">
        <w:rPr>
          <w:rFonts w:hint="cs"/>
          <w:rtl/>
          <w:lang/>
        </w:rPr>
        <w:t>أساس له على الإطلاق. وتشير اللجنة إلى أن صاحب الشكوى غادر طوعاً الدولة في 13 تموز/يوليه</w:t>
      </w:r>
      <w:r w:rsidRPr="0064077B">
        <w:rPr>
          <w:rFonts w:hint="eastAsia"/>
          <w:rtl/>
          <w:lang/>
        </w:rPr>
        <w:t> </w:t>
      </w:r>
      <w:r w:rsidRPr="0064077B">
        <w:rPr>
          <w:rFonts w:hint="cs"/>
          <w:rtl/>
          <w:lang/>
        </w:rPr>
        <w:t>2011 متجهاً إلى مصر وتخلص بالتالي إلى أنه برحيله إلى مصر لم</w:t>
      </w:r>
      <w:r w:rsidRPr="0064077B">
        <w:rPr>
          <w:rtl/>
          <w:lang/>
        </w:rPr>
        <w:t> </w:t>
      </w:r>
      <w:r w:rsidRPr="0064077B">
        <w:rPr>
          <w:rFonts w:hint="cs"/>
          <w:rtl/>
          <w:lang/>
        </w:rPr>
        <w:t>يعد للبلاغ قيد نظر اللجنة أي غرض وبذلك أصبح لا</w:t>
      </w:r>
      <w:r w:rsidRPr="0064077B">
        <w:rPr>
          <w:rtl/>
          <w:lang/>
        </w:rPr>
        <w:t> </w:t>
      </w:r>
      <w:r w:rsidRPr="0064077B">
        <w:rPr>
          <w:rFonts w:hint="cs"/>
          <w:rtl/>
          <w:lang/>
        </w:rPr>
        <w:t xml:space="preserve">يتماشى مع أحكام </w:t>
      </w:r>
      <w:r w:rsidRPr="0064077B">
        <w:rPr>
          <w:rFonts w:hint="cs"/>
          <w:rtl/>
          <w:lang w:val="fr-CH"/>
        </w:rPr>
        <w:t>الاتفاقية وفقاً للفقرة 2 من المادة</w:t>
      </w:r>
      <w:r w:rsidRPr="0064077B">
        <w:rPr>
          <w:rtl/>
          <w:lang w:val="fr-CH"/>
        </w:rPr>
        <w:t> </w:t>
      </w:r>
      <w:r w:rsidRPr="0064077B">
        <w:rPr>
          <w:rFonts w:hint="cs"/>
          <w:rtl/>
          <w:lang w:val="fr-CH"/>
        </w:rPr>
        <w:t>22، حيث لم</w:t>
      </w:r>
      <w:r w:rsidRPr="0064077B">
        <w:rPr>
          <w:rtl/>
          <w:lang w:val="fr-CH"/>
        </w:rPr>
        <w:t> </w:t>
      </w:r>
      <w:r w:rsidRPr="0064077B">
        <w:rPr>
          <w:rFonts w:hint="cs"/>
          <w:rtl/>
          <w:lang w:val="fr-CH"/>
        </w:rPr>
        <w:t xml:space="preserve">يعد معرضاً لخطر الترحيل من جانب الدولة الطرف إلى الجزائر. </w:t>
      </w:r>
    </w:p>
    <w:p w:rsidR="00091373" w:rsidRPr="0064077B" w:rsidRDefault="00091373" w:rsidP="00091373">
      <w:pPr>
        <w:pStyle w:val="SingleTxtGA"/>
        <w:rPr>
          <w:rFonts w:hint="cs"/>
          <w:rtl/>
          <w:lang w:val="fr-CH"/>
        </w:rPr>
      </w:pPr>
      <w:r w:rsidRPr="0064077B">
        <w:rPr>
          <w:rFonts w:hint="cs"/>
          <w:rtl/>
          <w:lang w:val="fr-CH"/>
        </w:rPr>
        <w:t>8-</w:t>
      </w:r>
      <w:r w:rsidRPr="0064077B">
        <w:rPr>
          <w:rFonts w:hint="cs"/>
          <w:rtl/>
          <w:lang w:val="fr-CH"/>
        </w:rPr>
        <w:tab/>
        <w:t xml:space="preserve">وعليه، </w:t>
      </w:r>
      <w:r w:rsidRPr="0064077B">
        <w:rPr>
          <w:rFonts w:hint="cs"/>
          <w:rtl/>
          <w:lang/>
        </w:rPr>
        <w:t>تقرر</w:t>
      </w:r>
      <w:r w:rsidRPr="0064077B">
        <w:rPr>
          <w:rFonts w:hint="cs"/>
          <w:rtl/>
          <w:lang w:val="fr-CH"/>
        </w:rPr>
        <w:t xml:space="preserve"> اللجنة ما</w:t>
      </w:r>
      <w:r w:rsidRPr="0064077B">
        <w:rPr>
          <w:rtl/>
          <w:lang w:val="fr-CH"/>
        </w:rPr>
        <w:t> </w:t>
      </w:r>
      <w:r w:rsidRPr="0064077B">
        <w:rPr>
          <w:rFonts w:hint="cs"/>
          <w:rtl/>
          <w:lang w:val="fr-CH"/>
        </w:rPr>
        <w:t>يلي:</w:t>
      </w:r>
    </w:p>
    <w:p w:rsidR="00091373" w:rsidRPr="0064077B" w:rsidRDefault="00091373" w:rsidP="00091373">
      <w:pPr>
        <w:pStyle w:val="SingleTxtGA"/>
        <w:rPr>
          <w:rFonts w:hint="cs"/>
          <w:rtl/>
          <w:lang w:val="fr-CH"/>
        </w:rPr>
      </w:pPr>
      <w:r w:rsidRPr="0064077B">
        <w:rPr>
          <w:rFonts w:hint="cs"/>
          <w:rtl/>
          <w:lang w:val="fr-CH"/>
        </w:rPr>
        <w:tab/>
        <w:t>(أ)</w:t>
      </w:r>
      <w:r w:rsidRPr="0064077B">
        <w:rPr>
          <w:rFonts w:hint="cs"/>
          <w:rtl/>
          <w:lang w:val="fr-CH"/>
        </w:rPr>
        <w:tab/>
        <w:t>أن البلاغ غير مقبول بموجب الفقرة 2 من المادة</w:t>
      </w:r>
      <w:r w:rsidRPr="0064077B">
        <w:rPr>
          <w:rtl/>
          <w:lang w:val="fr-CH"/>
        </w:rPr>
        <w:t> </w:t>
      </w:r>
      <w:r w:rsidRPr="0064077B">
        <w:rPr>
          <w:rFonts w:hint="cs"/>
          <w:rtl/>
          <w:lang w:val="fr-CH"/>
        </w:rPr>
        <w:t>22 من الاتفاقية؛</w:t>
      </w:r>
    </w:p>
    <w:p w:rsidR="00091373" w:rsidRPr="0064077B" w:rsidRDefault="00091373" w:rsidP="00091373">
      <w:pPr>
        <w:pStyle w:val="SingleTxtGA"/>
        <w:rPr>
          <w:rFonts w:hint="cs"/>
          <w:rtl/>
          <w:lang w:val="fr-CH"/>
        </w:rPr>
      </w:pPr>
      <w:r w:rsidRPr="0064077B">
        <w:rPr>
          <w:rFonts w:hint="cs"/>
          <w:rtl/>
          <w:lang w:val="fr-CH"/>
        </w:rPr>
        <w:tab/>
        <w:t>(ب)</w:t>
      </w:r>
      <w:r w:rsidRPr="0064077B">
        <w:rPr>
          <w:rFonts w:hint="cs"/>
          <w:rtl/>
          <w:lang w:val="fr-CH"/>
        </w:rPr>
        <w:tab/>
        <w:t>أن يبلّغ صاحب الشكوى والدولة الطرف بهذا القرار.</w:t>
      </w:r>
    </w:p>
    <w:p w:rsidR="00091373" w:rsidRDefault="00091373" w:rsidP="00091373">
      <w:pPr>
        <w:pStyle w:val="SingleTxtGA"/>
        <w:rPr>
          <w:rFonts w:hint="cs"/>
          <w:rtl/>
          <w:lang w:val="fr-CH"/>
        </w:rPr>
      </w:pPr>
    </w:p>
    <w:p w:rsidR="0064077B" w:rsidRPr="0064077B" w:rsidRDefault="0064077B" w:rsidP="00091373">
      <w:pPr>
        <w:pStyle w:val="SingleTxtGA"/>
        <w:rPr>
          <w:rFonts w:hint="cs"/>
          <w:rtl/>
          <w:lang w:val="fr-CH"/>
        </w:rPr>
        <w:sectPr w:rsidR="0064077B" w:rsidRPr="0064077B" w:rsidSect="00091373">
          <w:footnotePr>
            <w:numFmt w:val="arabicAbjad"/>
            <w:numRestart w:val="eachSect"/>
          </w:footnotePr>
          <w:endnotePr>
            <w:numFmt w:val="decimal"/>
          </w:endnotePr>
          <w:pgSz w:w="11906" w:h="16838" w:code="9"/>
          <w:pgMar w:top="1701" w:right="1134" w:bottom="2268" w:left="1134" w:header="1134" w:footer="1701" w:gutter="0"/>
          <w:cols w:space="708"/>
          <w:bidi/>
          <w:rtlGutter/>
          <w:docGrid w:linePitch="360"/>
        </w:sectPr>
      </w:pPr>
    </w:p>
    <w:p w:rsidR="00091373" w:rsidRPr="00F57CDC" w:rsidRDefault="00091373" w:rsidP="00091373">
      <w:pPr>
        <w:pStyle w:val="H1GA"/>
        <w:spacing w:before="120"/>
        <w:rPr>
          <w:rFonts w:hint="cs"/>
          <w:i/>
          <w:iCs/>
          <w:rtl/>
        </w:rPr>
      </w:pPr>
      <w:r w:rsidRPr="00FA0FC2">
        <w:rPr>
          <w:rFonts w:hint="cs"/>
          <w:rtl/>
        </w:rPr>
        <w:tab/>
      </w:r>
      <w:r w:rsidRPr="00FA0FC2">
        <w:rPr>
          <w:rFonts w:hint="cs"/>
          <w:rtl/>
        </w:rPr>
        <w:tab/>
        <w:t>البلاغ رقم 437/2010</w:t>
      </w:r>
      <w:r>
        <w:rPr>
          <w:rFonts w:hint="cs"/>
          <w:rtl/>
        </w:rPr>
        <w:t xml:space="preserve">: </w:t>
      </w:r>
      <w:r>
        <w:rPr>
          <w:rFonts w:hint="cs"/>
          <w:i/>
          <w:iCs/>
          <w:rtl/>
        </w:rPr>
        <w:t>ب. م. س. ضد السويد</w:t>
      </w:r>
    </w:p>
    <w:p w:rsidR="00091373" w:rsidRPr="00FA0FC2" w:rsidRDefault="00091373" w:rsidP="0028743F">
      <w:pPr>
        <w:pStyle w:val="SingleTxtGA"/>
        <w:tabs>
          <w:tab w:val="clear" w:pos="4649"/>
          <w:tab w:val="left" w:pos="4374"/>
        </w:tabs>
        <w:ind w:firstLine="678"/>
        <w:rPr>
          <w:rFonts w:hint="cs"/>
          <w:rtl/>
        </w:rPr>
      </w:pPr>
      <w:r w:rsidRPr="00FA0FC2">
        <w:rPr>
          <w:rFonts w:hint="cs"/>
          <w:i/>
          <w:iCs/>
          <w:rtl/>
        </w:rPr>
        <w:t>المقدم من</w:t>
      </w:r>
      <w:r w:rsidRPr="0028743F">
        <w:rPr>
          <w:rFonts w:hint="cs"/>
          <w:rtl/>
        </w:rPr>
        <w:t>:</w:t>
      </w:r>
      <w:r w:rsidRPr="00FA0FC2">
        <w:rPr>
          <w:rFonts w:hint="cs"/>
          <w:i/>
          <w:iCs/>
          <w:rtl/>
        </w:rPr>
        <w:tab/>
      </w:r>
      <w:r w:rsidRPr="00FA0FC2">
        <w:rPr>
          <w:rFonts w:hint="cs"/>
          <w:i/>
          <w:iCs/>
          <w:rtl/>
        </w:rPr>
        <w:tab/>
      </w:r>
      <w:r w:rsidRPr="00FA0FC2">
        <w:rPr>
          <w:rFonts w:hint="cs"/>
          <w:rtl/>
        </w:rPr>
        <w:tab/>
        <w:t>ب. م. س. (لا يمثله محامٍ)</w:t>
      </w:r>
    </w:p>
    <w:p w:rsidR="00091373" w:rsidRPr="00FA0FC2" w:rsidRDefault="00091373" w:rsidP="0028743F">
      <w:pPr>
        <w:pStyle w:val="SingleTxtGA"/>
        <w:tabs>
          <w:tab w:val="clear" w:pos="4649"/>
          <w:tab w:val="left" w:pos="4374"/>
        </w:tabs>
        <w:ind w:firstLine="678"/>
        <w:rPr>
          <w:rFonts w:hint="cs"/>
          <w:rtl/>
        </w:rPr>
      </w:pPr>
      <w:r w:rsidRPr="00FA0FC2">
        <w:rPr>
          <w:rFonts w:hint="cs"/>
          <w:i/>
          <w:iCs/>
          <w:rtl/>
        </w:rPr>
        <w:t>الشخص المدعى أنه ضحية</w:t>
      </w:r>
      <w:r w:rsidRPr="0028743F">
        <w:rPr>
          <w:rFonts w:hint="cs"/>
          <w:rtl/>
        </w:rPr>
        <w:t>:</w:t>
      </w:r>
      <w:r w:rsidRPr="00FA0FC2">
        <w:rPr>
          <w:rFonts w:hint="cs"/>
          <w:i/>
          <w:iCs/>
          <w:rtl/>
        </w:rPr>
        <w:tab/>
      </w:r>
      <w:r w:rsidRPr="00FA0FC2">
        <w:rPr>
          <w:rFonts w:hint="cs"/>
          <w:rtl/>
        </w:rPr>
        <w:t>صاحب الشكوى</w:t>
      </w:r>
    </w:p>
    <w:p w:rsidR="00091373" w:rsidRPr="00FA0FC2" w:rsidRDefault="00091373" w:rsidP="0028743F">
      <w:pPr>
        <w:pStyle w:val="SingleTxtGA"/>
        <w:tabs>
          <w:tab w:val="clear" w:pos="4649"/>
          <w:tab w:val="left" w:pos="4374"/>
        </w:tabs>
        <w:ind w:firstLine="678"/>
        <w:rPr>
          <w:rFonts w:hint="cs"/>
          <w:rtl/>
        </w:rPr>
      </w:pPr>
      <w:r w:rsidRPr="00FA0FC2">
        <w:rPr>
          <w:rFonts w:hint="cs"/>
          <w:i/>
          <w:iCs/>
          <w:rtl/>
        </w:rPr>
        <w:t>الدولة الطرف</w:t>
      </w:r>
      <w:r w:rsidRPr="0028743F">
        <w:rPr>
          <w:rFonts w:hint="cs"/>
          <w:rtl/>
        </w:rPr>
        <w:t>:</w:t>
      </w:r>
      <w:r w:rsidRPr="00FA0FC2">
        <w:rPr>
          <w:rFonts w:hint="cs"/>
          <w:i/>
          <w:iCs/>
          <w:rtl/>
        </w:rPr>
        <w:tab/>
      </w:r>
      <w:r w:rsidRPr="00FA0FC2">
        <w:rPr>
          <w:rFonts w:hint="cs"/>
          <w:i/>
          <w:iCs/>
          <w:rtl/>
        </w:rPr>
        <w:tab/>
      </w:r>
      <w:r w:rsidRPr="00FA0FC2">
        <w:rPr>
          <w:rFonts w:hint="cs"/>
          <w:i/>
          <w:iCs/>
          <w:rtl/>
        </w:rPr>
        <w:tab/>
      </w:r>
      <w:r w:rsidRPr="00FA0FC2">
        <w:rPr>
          <w:rFonts w:hint="cs"/>
          <w:rtl/>
        </w:rPr>
        <w:t>السويد</w:t>
      </w:r>
    </w:p>
    <w:p w:rsidR="00091373" w:rsidRPr="00FA0FC2" w:rsidRDefault="00091373" w:rsidP="0028743F">
      <w:pPr>
        <w:pStyle w:val="SingleTxtGA"/>
        <w:tabs>
          <w:tab w:val="clear" w:pos="4649"/>
          <w:tab w:val="left" w:pos="4374"/>
        </w:tabs>
        <w:ind w:left="4649" w:hanging="2724"/>
        <w:rPr>
          <w:rFonts w:hint="cs"/>
          <w:rtl/>
        </w:rPr>
      </w:pPr>
      <w:r w:rsidRPr="00FA0FC2">
        <w:rPr>
          <w:rFonts w:hint="cs"/>
          <w:i/>
          <w:iCs/>
          <w:rtl/>
        </w:rPr>
        <w:t>تاريخ تقديم الشكوى</w:t>
      </w:r>
      <w:r w:rsidRPr="0028743F">
        <w:rPr>
          <w:rFonts w:hint="cs"/>
          <w:rtl/>
        </w:rPr>
        <w:t>:</w:t>
      </w:r>
      <w:r w:rsidRPr="00FA0FC2">
        <w:rPr>
          <w:rFonts w:hint="cs"/>
          <w:i/>
          <w:iCs/>
          <w:rtl/>
        </w:rPr>
        <w:tab/>
      </w:r>
      <w:r w:rsidRPr="00FA0FC2">
        <w:rPr>
          <w:rFonts w:hint="cs"/>
          <w:i/>
          <w:iCs/>
          <w:rtl/>
        </w:rPr>
        <w:tab/>
      </w:r>
      <w:r w:rsidRPr="00FA0FC2">
        <w:rPr>
          <w:rFonts w:hint="cs"/>
          <w:rtl/>
        </w:rPr>
        <w:t>10 آب/أغسطس 2010 (تاريخ الرسالة</w:t>
      </w:r>
      <w:r w:rsidRPr="00FA0FC2">
        <w:rPr>
          <w:rFonts w:hint="eastAsia"/>
          <w:rtl/>
        </w:rPr>
        <w:t> </w:t>
      </w:r>
      <w:r w:rsidRPr="00FA0FC2">
        <w:rPr>
          <w:rFonts w:hint="cs"/>
          <w:rtl/>
        </w:rPr>
        <w:t>الأولى)</w:t>
      </w:r>
    </w:p>
    <w:p w:rsidR="00091373" w:rsidRPr="00FA0FC2" w:rsidRDefault="00091373" w:rsidP="00091373">
      <w:pPr>
        <w:pStyle w:val="SingleTxtGA"/>
        <w:ind w:firstLine="678"/>
        <w:rPr>
          <w:rFonts w:hint="cs"/>
          <w:rtl/>
        </w:rPr>
      </w:pPr>
      <w:r w:rsidRPr="00FA0FC2">
        <w:rPr>
          <w:rFonts w:hint="cs"/>
          <w:i/>
          <w:iCs/>
          <w:rtl/>
        </w:rPr>
        <w:tab/>
        <w:t xml:space="preserve">إن لجنة مناهضة التعذيب، </w:t>
      </w:r>
      <w:r w:rsidRPr="00FA0FC2">
        <w:rPr>
          <w:rFonts w:hint="cs"/>
          <w:rtl/>
        </w:rPr>
        <w:t>المنشأة بموجب ال</w:t>
      </w:r>
      <w:r>
        <w:rPr>
          <w:rFonts w:hint="cs"/>
          <w:rtl/>
        </w:rPr>
        <w:t>مادة</w:t>
      </w:r>
      <w:r>
        <w:rPr>
          <w:rtl/>
        </w:rPr>
        <w:t> </w:t>
      </w:r>
      <w:r w:rsidRPr="00FA0FC2">
        <w:rPr>
          <w:rFonts w:hint="cs"/>
          <w:rtl/>
        </w:rPr>
        <w:t>17 من اتفاقية مناهضة التعذيب وغيره من ضروب المعاملة</w:t>
      </w:r>
      <w:r>
        <w:rPr>
          <w:rFonts w:hint="cs"/>
          <w:rtl/>
        </w:rPr>
        <w:t xml:space="preserve"> أو</w:t>
      </w:r>
      <w:r>
        <w:rPr>
          <w:rtl/>
        </w:rPr>
        <w:t> </w:t>
      </w:r>
      <w:r w:rsidRPr="00FA0FC2">
        <w:rPr>
          <w:rFonts w:hint="cs"/>
          <w:rtl/>
        </w:rPr>
        <w:t>العقوبة القاسية</w:t>
      </w:r>
      <w:r>
        <w:rPr>
          <w:rFonts w:hint="cs"/>
          <w:rtl/>
        </w:rPr>
        <w:t xml:space="preserve"> أو</w:t>
      </w:r>
      <w:r>
        <w:rPr>
          <w:rtl/>
        </w:rPr>
        <w:t> </w:t>
      </w:r>
      <w:r w:rsidRPr="00FA0FC2">
        <w:rPr>
          <w:rFonts w:hint="cs"/>
          <w:rtl/>
        </w:rPr>
        <w:t>اللاإنسانية</w:t>
      </w:r>
      <w:r>
        <w:rPr>
          <w:rFonts w:hint="cs"/>
          <w:rtl/>
        </w:rPr>
        <w:t xml:space="preserve"> أو</w:t>
      </w:r>
      <w:r>
        <w:rPr>
          <w:rtl/>
        </w:rPr>
        <w:t> </w:t>
      </w:r>
      <w:r w:rsidRPr="00FA0FC2">
        <w:rPr>
          <w:rFonts w:hint="cs"/>
          <w:rtl/>
        </w:rPr>
        <w:t xml:space="preserve">المهينة، </w:t>
      </w:r>
    </w:p>
    <w:p w:rsidR="00091373" w:rsidRPr="00FA0FC2" w:rsidRDefault="00091373" w:rsidP="00091373">
      <w:pPr>
        <w:pStyle w:val="SingleTxtGA"/>
        <w:rPr>
          <w:rFonts w:hint="cs"/>
          <w:rtl/>
          <w:lang w:val="fr-CH"/>
        </w:rPr>
      </w:pPr>
      <w:r w:rsidRPr="00FA0FC2">
        <w:rPr>
          <w:rFonts w:hint="cs"/>
          <w:rtl/>
          <w:lang w:val="fr-CH"/>
        </w:rPr>
        <w:tab/>
      </w:r>
      <w:r w:rsidRPr="00FA0FC2">
        <w:rPr>
          <w:rFonts w:hint="cs"/>
          <w:i/>
          <w:iCs/>
          <w:rtl/>
          <w:lang w:val="fr-CH"/>
        </w:rPr>
        <w:t>وقد اجتمعت</w:t>
      </w:r>
      <w:r w:rsidRPr="00FA0FC2">
        <w:rPr>
          <w:rFonts w:hint="cs"/>
          <w:rtl/>
          <w:lang w:val="fr-CH"/>
        </w:rPr>
        <w:t xml:space="preserve"> في 12 </w:t>
      </w:r>
      <w:r w:rsidRPr="00FA0FC2">
        <w:rPr>
          <w:rFonts w:hint="cs"/>
          <w:sz w:val="30"/>
          <w:rtl/>
          <w:lang w:val="fr-CH"/>
        </w:rPr>
        <w:t xml:space="preserve">تشرين الثاني/نوفمبر </w:t>
      </w:r>
      <w:r w:rsidRPr="00FA0FC2">
        <w:rPr>
          <w:rFonts w:hint="cs"/>
          <w:rtl/>
          <w:lang w:val="fr-CH"/>
        </w:rPr>
        <w:t>2012،</w:t>
      </w:r>
    </w:p>
    <w:p w:rsidR="00091373" w:rsidRPr="00FA0FC2" w:rsidRDefault="00091373" w:rsidP="00091373">
      <w:pPr>
        <w:pStyle w:val="SingleTxtGA"/>
        <w:rPr>
          <w:rFonts w:hint="cs"/>
          <w:rtl/>
          <w:lang w:val="fr-CH"/>
        </w:rPr>
      </w:pPr>
      <w:r w:rsidRPr="00FA0FC2">
        <w:rPr>
          <w:rFonts w:hint="cs"/>
          <w:rtl/>
          <w:lang w:val="fr-CH"/>
        </w:rPr>
        <w:tab/>
      </w:r>
      <w:r w:rsidRPr="00FA0FC2">
        <w:rPr>
          <w:rFonts w:hint="cs"/>
          <w:i/>
          <w:iCs/>
          <w:rtl/>
          <w:lang w:val="fr-CH"/>
        </w:rPr>
        <w:t xml:space="preserve">وقد فرغت </w:t>
      </w:r>
      <w:r w:rsidRPr="00FA0FC2">
        <w:rPr>
          <w:rFonts w:hint="cs"/>
          <w:rtl/>
          <w:lang w:val="fr-CH"/>
        </w:rPr>
        <w:t>من النظر في الشكوى رقم 437/2010، المقدمة إلى لجنة</w:t>
      </w:r>
      <w:r>
        <w:rPr>
          <w:rFonts w:hint="cs"/>
          <w:rtl/>
          <w:lang w:val="fr-CH"/>
        </w:rPr>
        <w:t xml:space="preserve"> مناهضة التعذيب من ب. م. س. بالأص</w:t>
      </w:r>
      <w:r w:rsidRPr="00FA0FC2">
        <w:rPr>
          <w:rFonts w:hint="cs"/>
          <w:rtl/>
          <w:lang w:val="fr-CH"/>
        </w:rPr>
        <w:t>الة عن نفسه، بموجب ال</w:t>
      </w:r>
      <w:r>
        <w:rPr>
          <w:rFonts w:hint="cs"/>
          <w:rtl/>
          <w:lang w:val="fr-CH"/>
        </w:rPr>
        <w:t>مادة</w:t>
      </w:r>
      <w:r>
        <w:rPr>
          <w:rtl/>
          <w:lang w:val="fr-CH"/>
        </w:rPr>
        <w:t> </w:t>
      </w:r>
      <w:r w:rsidRPr="00FA0FC2">
        <w:rPr>
          <w:rFonts w:hint="cs"/>
          <w:rtl/>
          <w:lang w:val="fr-CH"/>
        </w:rPr>
        <w:t>22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المهينة،</w:t>
      </w:r>
    </w:p>
    <w:p w:rsidR="00091373" w:rsidRPr="00FA0FC2" w:rsidRDefault="00091373" w:rsidP="00091373">
      <w:pPr>
        <w:pStyle w:val="SingleTxtGA"/>
        <w:rPr>
          <w:rFonts w:hint="cs"/>
          <w:rtl/>
          <w:lang w:val="fr-CH"/>
        </w:rPr>
      </w:pPr>
      <w:r w:rsidRPr="00FA0FC2">
        <w:rPr>
          <w:rFonts w:hint="cs"/>
          <w:rtl/>
          <w:lang w:val="fr-CH"/>
        </w:rPr>
        <w:tab/>
      </w:r>
      <w:r w:rsidRPr="00FA0FC2">
        <w:rPr>
          <w:rFonts w:hint="cs"/>
          <w:i/>
          <w:iCs/>
          <w:rtl/>
          <w:lang w:val="fr-CH"/>
        </w:rPr>
        <w:t xml:space="preserve">وقد وضعت في اعتبارها </w:t>
      </w:r>
      <w:r w:rsidRPr="00FA0FC2">
        <w:rPr>
          <w:rFonts w:hint="cs"/>
          <w:rtl/>
          <w:lang w:val="fr-CH"/>
        </w:rPr>
        <w:t>جميع المعلومات التي أتاحها لها صاحب الشكوى والدولة</w:t>
      </w:r>
      <w:r>
        <w:rPr>
          <w:rFonts w:hint="eastAsia"/>
          <w:rtl/>
          <w:lang w:val="fr-CH"/>
        </w:rPr>
        <w:t> </w:t>
      </w:r>
      <w:r w:rsidRPr="00FA0FC2">
        <w:rPr>
          <w:rFonts w:hint="cs"/>
          <w:rtl/>
          <w:lang w:val="fr-CH"/>
        </w:rPr>
        <w:t xml:space="preserve">الطرف، </w:t>
      </w:r>
    </w:p>
    <w:p w:rsidR="00091373" w:rsidRPr="00FA0FC2" w:rsidRDefault="00091373" w:rsidP="00091373">
      <w:pPr>
        <w:pStyle w:val="SingleTxtGA"/>
        <w:rPr>
          <w:rFonts w:hint="cs"/>
          <w:i/>
          <w:iCs/>
          <w:rtl/>
          <w:lang w:val="fr-CH"/>
        </w:rPr>
      </w:pPr>
      <w:r w:rsidRPr="00FA0FC2">
        <w:rPr>
          <w:rFonts w:hint="cs"/>
          <w:rtl/>
          <w:lang w:val="fr-CH"/>
        </w:rPr>
        <w:tab/>
      </w:r>
      <w:r w:rsidRPr="00FA0FC2">
        <w:rPr>
          <w:rFonts w:hint="cs"/>
          <w:i/>
          <w:iCs/>
          <w:rtl/>
          <w:lang w:val="fr-CH"/>
        </w:rPr>
        <w:t>تعتمد</w:t>
      </w:r>
      <w:r>
        <w:rPr>
          <w:rFonts w:hint="cs"/>
          <w:i/>
          <w:iCs/>
          <w:rtl/>
          <w:lang w:val="fr-CH"/>
        </w:rPr>
        <w:t xml:space="preserve"> </w:t>
      </w:r>
      <w:r w:rsidRPr="002161DA">
        <w:rPr>
          <w:rFonts w:hint="cs"/>
          <w:rtl/>
          <w:lang w:val="fr-CH"/>
        </w:rPr>
        <w:t>ما</w:t>
      </w:r>
      <w:r>
        <w:rPr>
          <w:i/>
          <w:iCs/>
          <w:rtl/>
          <w:lang w:val="fr-CH"/>
        </w:rPr>
        <w:t> </w:t>
      </w:r>
      <w:r w:rsidRPr="00FA0FC2">
        <w:rPr>
          <w:rFonts w:hint="cs"/>
          <w:rtl/>
          <w:lang w:val="fr-CH"/>
        </w:rPr>
        <w:t>يلي:</w:t>
      </w:r>
    </w:p>
    <w:p w:rsidR="00091373" w:rsidRPr="00FA0FC2" w:rsidRDefault="00091373" w:rsidP="00091373">
      <w:pPr>
        <w:pStyle w:val="H1GA"/>
        <w:rPr>
          <w:rFonts w:hint="cs"/>
          <w:rtl/>
          <w:lang w:val="fr-CH"/>
        </w:rPr>
      </w:pPr>
      <w:r w:rsidRPr="00FA0FC2">
        <w:rPr>
          <w:rFonts w:hint="cs"/>
          <w:rtl/>
          <w:lang w:val="fr-CH"/>
        </w:rPr>
        <w:tab/>
      </w:r>
      <w:r w:rsidRPr="00FA0FC2">
        <w:rPr>
          <w:rFonts w:hint="cs"/>
          <w:rtl/>
          <w:lang w:val="fr-CH"/>
        </w:rPr>
        <w:tab/>
        <w:t>قرار بموجب الفقرة 7 من ال</w:t>
      </w:r>
      <w:r>
        <w:rPr>
          <w:rFonts w:hint="cs"/>
          <w:rtl/>
          <w:lang w:val="fr-CH"/>
        </w:rPr>
        <w:t>مادة</w:t>
      </w:r>
      <w:r>
        <w:rPr>
          <w:rtl/>
          <w:lang w:val="fr-CH"/>
        </w:rPr>
        <w:t> </w:t>
      </w:r>
      <w:r w:rsidRPr="00FA0FC2">
        <w:rPr>
          <w:rFonts w:hint="cs"/>
          <w:rtl/>
          <w:lang w:val="fr-CH"/>
        </w:rPr>
        <w:t>22 من اتفاقية مناهضة التعذيب</w:t>
      </w:r>
    </w:p>
    <w:p w:rsidR="00091373" w:rsidRPr="00FA0FC2" w:rsidRDefault="00091373" w:rsidP="00091373">
      <w:pPr>
        <w:pStyle w:val="SingleTxtGA"/>
        <w:rPr>
          <w:rFonts w:hint="cs"/>
          <w:rtl/>
          <w:lang w:val="fr-CH"/>
        </w:rPr>
      </w:pPr>
      <w:r w:rsidRPr="00FA0FC2">
        <w:rPr>
          <w:rFonts w:hint="cs"/>
          <w:rtl/>
          <w:lang w:val="fr-CH"/>
        </w:rPr>
        <w:t>1-1</w:t>
      </w:r>
      <w:r w:rsidRPr="00FA0FC2">
        <w:rPr>
          <w:rFonts w:hint="cs"/>
          <w:rtl/>
          <w:lang w:val="fr-CH"/>
        </w:rPr>
        <w:tab/>
        <w:t xml:space="preserve">صاحب الشكوى هو ب. م. س.، وهو مواطن جزائري مولود في 3 </w:t>
      </w:r>
      <w:r w:rsidRPr="00FA0FC2">
        <w:rPr>
          <w:rFonts w:hint="cs"/>
          <w:sz w:val="30"/>
          <w:rtl/>
          <w:lang w:val="fr-CH"/>
        </w:rPr>
        <w:t>أيلول/</w:t>
      </w:r>
      <w:r>
        <w:rPr>
          <w:rFonts w:hint="cs"/>
          <w:sz w:val="30"/>
          <w:rtl/>
          <w:lang w:val="fr-CH"/>
        </w:rPr>
        <w:t xml:space="preserve"> </w:t>
      </w:r>
      <w:r w:rsidRPr="00FA0FC2">
        <w:rPr>
          <w:rFonts w:hint="cs"/>
          <w:sz w:val="30"/>
          <w:rtl/>
          <w:lang w:val="fr-CH"/>
        </w:rPr>
        <w:t>سبتمبر</w:t>
      </w:r>
      <w:r w:rsidRPr="00FA0FC2">
        <w:rPr>
          <w:rFonts w:hint="eastAsia"/>
          <w:rtl/>
          <w:lang w:val="fr-CH"/>
        </w:rPr>
        <w:t> </w:t>
      </w:r>
      <w:r w:rsidRPr="00FA0FC2">
        <w:rPr>
          <w:rFonts w:hint="cs"/>
          <w:rtl/>
          <w:lang w:val="fr-CH"/>
        </w:rPr>
        <w:t>1978. ويدعي أنه سيكون ضحية انتهاك الدولة الطرف لل</w:t>
      </w:r>
      <w:r>
        <w:rPr>
          <w:rFonts w:hint="cs"/>
          <w:rtl/>
          <w:lang w:val="fr-CH"/>
        </w:rPr>
        <w:t>مادة</w:t>
      </w:r>
      <w:r>
        <w:rPr>
          <w:rtl/>
          <w:lang w:val="fr-CH"/>
        </w:rPr>
        <w:t> </w:t>
      </w:r>
      <w:r w:rsidRPr="00FA0FC2">
        <w:rPr>
          <w:rFonts w:hint="cs"/>
          <w:rtl/>
          <w:lang w:val="fr-CH"/>
        </w:rPr>
        <w:t>3 من الاتفاقية في حال ترحيله من السويد إلى الجزائر.</w:t>
      </w:r>
      <w:r>
        <w:rPr>
          <w:rFonts w:hint="cs"/>
          <w:rtl/>
          <w:lang w:val="fr-CH"/>
        </w:rPr>
        <w:t xml:space="preserve"> ولا</w:t>
      </w:r>
      <w:r>
        <w:rPr>
          <w:rtl/>
          <w:lang w:val="fr-CH"/>
        </w:rPr>
        <w:t> </w:t>
      </w:r>
      <w:r w:rsidRPr="00FA0FC2">
        <w:rPr>
          <w:rFonts w:hint="cs"/>
          <w:rtl/>
          <w:lang w:val="fr-CH"/>
        </w:rPr>
        <w:t>يمثل صاحب الشكوى محامٍ.</w:t>
      </w:r>
    </w:p>
    <w:p w:rsidR="00091373" w:rsidRPr="00FA0FC2" w:rsidRDefault="00091373" w:rsidP="00091373">
      <w:pPr>
        <w:pStyle w:val="SingleTxtGA"/>
        <w:rPr>
          <w:rFonts w:hint="cs"/>
          <w:rtl/>
        </w:rPr>
      </w:pPr>
      <w:r w:rsidRPr="00FA0FC2">
        <w:rPr>
          <w:rFonts w:hint="cs"/>
          <w:rtl/>
          <w:lang w:val="fr-CH"/>
        </w:rPr>
        <w:t>1-2</w:t>
      </w:r>
      <w:r w:rsidRPr="00FA0FC2">
        <w:rPr>
          <w:rFonts w:hint="cs"/>
          <w:rtl/>
          <w:lang w:val="fr-CH"/>
        </w:rPr>
        <w:tab/>
        <w:t>بموجب ال</w:t>
      </w:r>
      <w:r>
        <w:rPr>
          <w:rFonts w:hint="cs"/>
          <w:rtl/>
          <w:lang w:val="fr-CH"/>
        </w:rPr>
        <w:t>مادة</w:t>
      </w:r>
      <w:r>
        <w:rPr>
          <w:rtl/>
          <w:lang w:val="fr-CH"/>
        </w:rPr>
        <w:t> </w:t>
      </w:r>
      <w:r w:rsidRPr="00FA0FC2">
        <w:rPr>
          <w:rFonts w:hint="cs"/>
          <w:rtl/>
          <w:lang w:val="fr-CH"/>
        </w:rPr>
        <w:t>114 (ال</w:t>
      </w:r>
      <w:r>
        <w:rPr>
          <w:rFonts w:hint="cs"/>
          <w:rtl/>
          <w:lang w:val="fr-CH"/>
        </w:rPr>
        <w:t>مادة</w:t>
      </w:r>
      <w:r>
        <w:rPr>
          <w:rtl/>
          <w:lang w:val="fr-CH"/>
        </w:rPr>
        <w:t> </w:t>
      </w:r>
      <w:r w:rsidRPr="00FA0FC2">
        <w:rPr>
          <w:rFonts w:hint="cs"/>
          <w:rtl/>
          <w:lang w:val="fr-CH"/>
        </w:rPr>
        <w:t xml:space="preserve">108 سابقاً) من النظام الأساسي للجنة </w:t>
      </w:r>
      <w:r w:rsidRPr="00FA0FC2">
        <w:t>(CAT/C/3/Rev.5)</w:t>
      </w:r>
      <w:r w:rsidRPr="00FA0FC2">
        <w:rPr>
          <w:rFonts w:hint="cs"/>
          <w:rtl/>
        </w:rPr>
        <w:t xml:space="preserve"> طلب المقرر المعني بالشكاوى الجديدة والتدابير المؤقتة، وهو يتصرف بالنيابة عن اللجنة، من الدولة الطرف، في 19 </w:t>
      </w:r>
      <w:r w:rsidRPr="00FA0FC2">
        <w:rPr>
          <w:rFonts w:hint="cs"/>
          <w:sz w:val="30"/>
          <w:rtl/>
        </w:rPr>
        <w:t xml:space="preserve">تشرين الثاني/نوفمبر </w:t>
      </w:r>
      <w:r w:rsidRPr="00FA0FC2">
        <w:rPr>
          <w:rFonts w:hint="cs"/>
          <w:rtl/>
        </w:rPr>
        <w:t>2010، أن تمتنع عن ترحيل صاحب الشكوى إلى الجزائر ريثما تنظر اللجنة في بلاغه.</w:t>
      </w:r>
    </w:p>
    <w:p w:rsidR="00091373" w:rsidRPr="00FA0FC2" w:rsidRDefault="00091373" w:rsidP="00091373">
      <w:pPr>
        <w:pStyle w:val="H23GA"/>
        <w:rPr>
          <w:rFonts w:hint="cs"/>
          <w:rtl/>
        </w:rPr>
      </w:pPr>
      <w:r w:rsidRPr="00FA0FC2">
        <w:rPr>
          <w:rFonts w:hint="cs"/>
          <w:rtl/>
        </w:rPr>
        <w:tab/>
      </w:r>
      <w:r w:rsidRPr="00FA0FC2">
        <w:rPr>
          <w:rFonts w:hint="cs"/>
          <w:rtl/>
        </w:rPr>
        <w:tab/>
        <w:t>الوقائع</w:t>
      </w:r>
      <w:r>
        <w:rPr>
          <w:rFonts w:hint="cs"/>
          <w:rtl/>
        </w:rPr>
        <w:t xml:space="preserve"> كما</w:t>
      </w:r>
      <w:r>
        <w:rPr>
          <w:rtl/>
        </w:rPr>
        <w:t> </w:t>
      </w:r>
      <w:r>
        <w:rPr>
          <w:rFonts w:hint="cs"/>
          <w:rtl/>
        </w:rPr>
        <w:t xml:space="preserve">عرضها </w:t>
      </w:r>
      <w:r w:rsidRPr="00FA0FC2">
        <w:rPr>
          <w:rFonts w:hint="cs"/>
          <w:rtl/>
        </w:rPr>
        <w:t>صاحب الشكوى</w:t>
      </w:r>
    </w:p>
    <w:p w:rsidR="00091373" w:rsidRPr="00FA0FC2" w:rsidRDefault="00091373" w:rsidP="00091373">
      <w:pPr>
        <w:pStyle w:val="SingleTxtGA"/>
        <w:rPr>
          <w:rFonts w:hint="cs"/>
          <w:rtl/>
          <w:lang w:val="fr-CH"/>
        </w:rPr>
      </w:pPr>
      <w:r w:rsidRPr="00FA0FC2">
        <w:rPr>
          <w:rFonts w:hint="cs"/>
          <w:rtl/>
          <w:lang w:val="fr-CH"/>
        </w:rPr>
        <w:t>2-1</w:t>
      </w:r>
      <w:r w:rsidRPr="00FA0FC2">
        <w:rPr>
          <w:rFonts w:hint="cs"/>
          <w:rtl/>
          <w:lang w:val="fr-CH"/>
        </w:rPr>
        <w:tab/>
        <w:t>بين عامي 2004 و2005، اتصل بصاحب الشكوى أعضاء من مجموعة إرهابية هددوه بالقتل وطلبوا منه مساعدتهم لجمع معلومات عن الطرق التي يسلكها صاحب عمله في نقل الأموال. وصاحب الشكوى كان على علم بأن المجموعة الإرهابية كانت تخطط للقيام بهجوم. ومع ذلك، رفض مساعدتها واتصل بالشرطة يطلب منها حمايته. ورفضت الشرطة مساعدته وقالت إنه سيُتهم بأنه قدم معلومات إلى الإرهابيين إذا حدث أي شيء في نقل الأموال. وبعد مرور شهر تقريباً، تعرضت سيارة كانت تنقل أموالاً إلى مدينة بودفو للهجوم وقُتل إرهابيان وضابط شرطة. وعلى الرغم من أن صاحب الشكوى</w:t>
      </w:r>
      <w:r>
        <w:rPr>
          <w:rFonts w:hint="cs"/>
          <w:rtl/>
          <w:lang w:val="fr-CH"/>
        </w:rPr>
        <w:t xml:space="preserve"> لم</w:t>
      </w:r>
      <w:r>
        <w:rPr>
          <w:rtl/>
          <w:lang w:val="fr-CH"/>
        </w:rPr>
        <w:t> </w:t>
      </w:r>
      <w:r w:rsidRPr="00FA0FC2">
        <w:rPr>
          <w:rFonts w:hint="cs"/>
          <w:rtl/>
          <w:lang w:val="fr-CH"/>
        </w:rPr>
        <w:t>يكن بالقرب من مكان السطو المسلح، ادعى الإرهابيون أن صاحب الشكوى كان قد باع خطتهم إلى الشرطة وبدؤوا بالتفتيش عنه.</w:t>
      </w:r>
    </w:p>
    <w:p w:rsidR="00091373" w:rsidRPr="00FA0FC2" w:rsidRDefault="00091373" w:rsidP="00091373">
      <w:pPr>
        <w:pStyle w:val="SingleTxtGA"/>
        <w:rPr>
          <w:rFonts w:hint="cs"/>
          <w:rtl/>
          <w:lang w:val="fr-CH"/>
        </w:rPr>
      </w:pPr>
      <w:r w:rsidRPr="00FA0FC2">
        <w:rPr>
          <w:rFonts w:hint="cs"/>
          <w:rtl/>
          <w:lang w:val="fr-CH"/>
        </w:rPr>
        <w:t>2-2</w:t>
      </w:r>
      <w:r w:rsidRPr="00FA0FC2">
        <w:rPr>
          <w:rFonts w:hint="cs"/>
          <w:rtl/>
          <w:lang w:val="fr-CH"/>
        </w:rPr>
        <w:tab/>
        <w:t>واتصل صاحب الشكوى بالشرطة لإخبارها بحالته، غير أن ضابط الشرطة الذي كان صاحب الشكوى يخبره بقصته، انهال عليه ضرباً متهماً إياه بالإرهاب. وقد تعرض صاحب الشكوى للاحتجاز ليلة قبل أن يتمكن من الفرار.</w:t>
      </w:r>
    </w:p>
    <w:p w:rsidR="00091373" w:rsidRPr="00184E91" w:rsidRDefault="00091373" w:rsidP="00091373">
      <w:pPr>
        <w:pStyle w:val="SingleTxtGA"/>
        <w:rPr>
          <w:rFonts w:hint="cs"/>
          <w:spacing w:val="-4"/>
          <w:rtl/>
          <w:lang w:val="fr-CH"/>
        </w:rPr>
      </w:pPr>
      <w:r w:rsidRPr="00184E91">
        <w:rPr>
          <w:rFonts w:hint="cs"/>
          <w:spacing w:val="-4"/>
          <w:rtl/>
          <w:lang w:val="fr-CH"/>
        </w:rPr>
        <w:t>2-3</w:t>
      </w:r>
      <w:r w:rsidRPr="00184E91">
        <w:rPr>
          <w:rFonts w:hint="cs"/>
          <w:spacing w:val="-4"/>
          <w:rtl/>
          <w:lang w:val="fr-CH"/>
        </w:rPr>
        <w:tab/>
        <w:t>وبعد هذا الحادث، كان صاحب الشكوى مطلوباً من الجهتين: السلطات والإرهابيون. وتلقى صاحب الشكوى ثمانية أوامر بالحضور أمام الشرطة وكان أربعة منها يتعلق به وتعلقت الأوامر الأخرى بوالده وأخيه. وفي</w:t>
      </w:r>
      <w:r w:rsidRPr="00184E91">
        <w:rPr>
          <w:spacing w:val="-4"/>
          <w:rtl/>
          <w:lang w:val="fr-CH"/>
        </w:rPr>
        <w:t> </w:t>
      </w:r>
      <w:r w:rsidRPr="00184E91">
        <w:rPr>
          <w:rFonts w:hint="cs"/>
          <w:spacing w:val="-4"/>
          <w:rtl/>
          <w:lang w:val="fr-CH"/>
        </w:rPr>
        <w:t xml:space="preserve">7 </w:t>
      </w:r>
      <w:r w:rsidRPr="00184E91">
        <w:rPr>
          <w:rFonts w:hint="cs"/>
          <w:spacing w:val="-4"/>
          <w:sz w:val="30"/>
          <w:rtl/>
          <w:lang w:val="fr-CH"/>
        </w:rPr>
        <w:t xml:space="preserve">نيسان/أبريل </w:t>
      </w:r>
      <w:r w:rsidRPr="00184E91">
        <w:rPr>
          <w:rFonts w:hint="cs"/>
          <w:spacing w:val="-4"/>
          <w:rtl/>
          <w:lang w:val="fr-CH"/>
        </w:rPr>
        <w:t xml:space="preserve">2005، و28 </w:t>
      </w:r>
      <w:r w:rsidRPr="00184E91">
        <w:rPr>
          <w:rFonts w:hint="cs"/>
          <w:spacing w:val="-4"/>
          <w:sz w:val="30"/>
          <w:rtl/>
          <w:lang w:val="fr-CH"/>
        </w:rPr>
        <w:t xml:space="preserve">نيسان/أبريل </w:t>
      </w:r>
      <w:r w:rsidRPr="00184E91">
        <w:rPr>
          <w:rFonts w:hint="cs"/>
          <w:spacing w:val="-4"/>
          <w:rtl/>
          <w:lang w:val="fr-CH"/>
        </w:rPr>
        <w:t>2005 و15</w:t>
      </w:r>
      <w:r>
        <w:rPr>
          <w:rFonts w:hint="eastAsia"/>
          <w:spacing w:val="-4"/>
          <w:sz w:val="30"/>
          <w:rtl/>
          <w:lang w:val="fr-CH"/>
        </w:rPr>
        <w:t> </w:t>
      </w:r>
      <w:r w:rsidRPr="00184E91">
        <w:rPr>
          <w:rFonts w:hint="cs"/>
          <w:spacing w:val="-4"/>
          <w:sz w:val="30"/>
          <w:rtl/>
          <w:lang w:val="fr-CH"/>
        </w:rPr>
        <w:t xml:space="preserve">أيار/مايو </w:t>
      </w:r>
      <w:r w:rsidRPr="00184E91">
        <w:rPr>
          <w:rFonts w:hint="cs"/>
          <w:spacing w:val="-4"/>
          <w:rtl/>
          <w:lang w:val="fr-CH"/>
        </w:rPr>
        <w:t xml:space="preserve">2005 و26 </w:t>
      </w:r>
      <w:r w:rsidRPr="00184E91">
        <w:rPr>
          <w:rFonts w:hint="cs"/>
          <w:spacing w:val="-4"/>
          <w:sz w:val="30"/>
          <w:rtl/>
          <w:lang w:val="fr-CH"/>
        </w:rPr>
        <w:t xml:space="preserve">حزيران/يونيه </w:t>
      </w:r>
      <w:r w:rsidRPr="00184E91">
        <w:rPr>
          <w:rFonts w:hint="cs"/>
          <w:spacing w:val="-4"/>
          <w:rtl/>
          <w:lang w:val="fr-CH"/>
        </w:rPr>
        <w:t>2005، ذهب والد صاحب الشكوى إلى مخفر الشرطة للإبلاغ عن أن خمسة وستة وثلاثة من أعضاء مجموعة إرهابية على التوالي جاؤوا إلى منزله ليلاً بحثاً عن صاحب الشكوى. وفي</w:t>
      </w:r>
      <w:r w:rsidRPr="00184E91">
        <w:rPr>
          <w:spacing w:val="-4"/>
          <w:rtl/>
          <w:lang w:val="fr-CH"/>
        </w:rPr>
        <w:t> </w:t>
      </w:r>
      <w:r w:rsidRPr="00184E91">
        <w:rPr>
          <w:rFonts w:hint="cs"/>
          <w:spacing w:val="-4"/>
          <w:rtl/>
          <w:lang w:val="fr-CH"/>
        </w:rPr>
        <w:t xml:space="preserve">12 </w:t>
      </w:r>
      <w:r w:rsidRPr="00184E91">
        <w:rPr>
          <w:rFonts w:hint="cs"/>
          <w:spacing w:val="-4"/>
          <w:sz w:val="30"/>
          <w:rtl/>
          <w:lang w:val="fr-CH"/>
        </w:rPr>
        <w:t xml:space="preserve">كانون الثاني/يناير </w:t>
      </w:r>
      <w:r w:rsidRPr="00184E91">
        <w:rPr>
          <w:rFonts w:hint="cs"/>
          <w:spacing w:val="-4"/>
          <w:rtl/>
          <w:lang w:val="fr-CH"/>
        </w:rPr>
        <w:t>2008، صدر حكم غيابي بحق صاحب الشكوى لانتمائه لمجموعة إرهابية ولمشاركته في سطو مسلح أدى إلى وفاة مسؤول عن إنفاذ القانون. وحُكم عليه بالسجن لمدة 10 سنوات مع الأعمال الشاقة.</w:t>
      </w:r>
    </w:p>
    <w:p w:rsidR="00091373" w:rsidRPr="0044565E" w:rsidRDefault="00091373" w:rsidP="00091373">
      <w:pPr>
        <w:pStyle w:val="SingleTxtGA"/>
        <w:rPr>
          <w:rFonts w:hint="cs"/>
          <w:rtl/>
          <w:lang w:val="fr-CH"/>
        </w:rPr>
      </w:pPr>
      <w:r w:rsidRPr="0044565E">
        <w:rPr>
          <w:rFonts w:hint="cs"/>
          <w:rtl/>
          <w:lang w:val="fr-CH"/>
        </w:rPr>
        <w:t>2-4</w:t>
      </w:r>
      <w:r w:rsidRPr="0044565E">
        <w:rPr>
          <w:rFonts w:hint="cs"/>
          <w:rtl/>
          <w:lang w:val="fr-CH"/>
        </w:rPr>
        <w:tab/>
        <w:t xml:space="preserve">في 1 </w:t>
      </w:r>
      <w:r w:rsidRPr="0044565E">
        <w:rPr>
          <w:rFonts w:hint="cs"/>
          <w:sz w:val="30"/>
          <w:rtl/>
          <w:lang w:val="fr-CH"/>
        </w:rPr>
        <w:t xml:space="preserve">كانون الأول/ديسمبر </w:t>
      </w:r>
      <w:r w:rsidRPr="0044565E">
        <w:rPr>
          <w:rFonts w:hint="cs"/>
          <w:rtl/>
          <w:lang w:val="fr-CH"/>
        </w:rPr>
        <w:t>2005، وصل صاحب الشكوى إلى السويد، وفي</w:t>
      </w:r>
      <w:r w:rsidRPr="0044565E">
        <w:rPr>
          <w:rtl/>
          <w:lang w:val="fr-CH"/>
        </w:rPr>
        <w:t> </w:t>
      </w:r>
      <w:r w:rsidRPr="0044565E">
        <w:rPr>
          <w:rFonts w:hint="cs"/>
          <w:rtl/>
          <w:lang w:val="fr-CH"/>
        </w:rPr>
        <w:t>نفس اليوم طلب اللجوء. وفي</w:t>
      </w:r>
      <w:r w:rsidRPr="0044565E">
        <w:rPr>
          <w:rtl/>
          <w:lang w:val="fr-CH"/>
        </w:rPr>
        <w:t> </w:t>
      </w:r>
      <w:r w:rsidRPr="0044565E">
        <w:rPr>
          <w:rFonts w:hint="cs"/>
          <w:rtl/>
          <w:lang w:val="fr-CH"/>
        </w:rPr>
        <w:t xml:space="preserve">18 </w:t>
      </w:r>
      <w:r w:rsidRPr="0044565E">
        <w:rPr>
          <w:rFonts w:hint="cs"/>
          <w:sz w:val="30"/>
          <w:rtl/>
          <w:lang w:val="fr-CH"/>
        </w:rPr>
        <w:t xml:space="preserve">أيلول/سبتمبر </w:t>
      </w:r>
      <w:r w:rsidRPr="0044565E">
        <w:rPr>
          <w:rFonts w:hint="cs"/>
          <w:rtl/>
          <w:lang w:val="fr-CH"/>
        </w:rPr>
        <w:t>2007، رفض مجلس الهجرة طلبه اللجوء وإن اعترف بأن العنف الإرهابي في الجزائر لا</w:t>
      </w:r>
      <w:r w:rsidRPr="0044565E">
        <w:rPr>
          <w:rtl/>
          <w:lang w:val="fr-CH"/>
        </w:rPr>
        <w:t> </w:t>
      </w:r>
      <w:r w:rsidRPr="0044565E">
        <w:rPr>
          <w:rFonts w:hint="cs"/>
          <w:rtl/>
          <w:lang w:val="fr-CH"/>
        </w:rPr>
        <w:t>يزال مستمراً رغم التراجع المسجّل ولا</w:t>
      </w:r>
      <w:r w:rsidRPr="0044565E">
        <w:rPr>
          <w:rtl/>
          <w:lang w:val="fr-CH"/>
        </w:rPr>
        <w:t> </w:t>
      </w:r>
      <w:r w:rsidRPr="0044565E">
        <w:rPr>
          <w:rFonts w:hint="cs"/>
          <w:rtl/>
          <w:lang w:val="fr-CH"/>
        </w:rPr>
        <w:t>سيما في شرق الجزائر. ويصدق ذلك أيضاً على وحشية المكلفين بإنفاذ القانون. ولاحظ المجلس أن سرد صاحب الشكوى للوقائع لم</w:t>
      </w:r>
      <w:r w:rsidRPr="0044565E">
        <w:rPr>
          <w:rtl/>
          <w:lang w:val="fr-CH"/>
        </w:rPr>
        <w:t> </w:t>
      </w:r>
      <w:r w:rsidRPr="0044565E">
        <w:rPr>
          <w:rFonts w:hint="cs"/>
          <w:rtl/>
          <w:lang w:val="fr-CH"/>
        </w:rPr>
        <w:t>يكن متسقاً، وأن ضابط شرطة واحداً لا</w:t>
      </w:r>
      <w:r w:rsidRPr="0044565E">
        <w:rPr>
          <w:rtl/>
          <w:lang w:val="fr-CH"/>
        </w:rPr>
        <w:t> </w:t>
      </w:r>
      <w:r w:rsidRPr="0044565E">
        <w:rPr>
          <w:rFonts w:hint="cs"/>
          <w:rtl/>
          <w:lang w:val="fr-CH"/>
        </w:rPr>
        <w:t>يمكن أن يمثّل دولة بأكملها وأن صاحب الشكوى لم</w:t>
      </w:r>
      <w:r w:rsidRPr="0044565E">
        <w:rPr>
          <w:rtl/>
          <w:lang w:val="fr-CH"/>
        </w:rPr>
        <w:t> </w:t>
      </w:r>
      <w:r w:rsidRPr="0044565E">
        <w:rPr>
          <w:rFonts w:hint="cs"/>
          <w:rtl/>
          <w:lang w:val="fr-CH"/>
        </w:rPr>
        <w:t>يقدم شكواه إلى مسؤولين آخرين عن إنفاذ القانون. ولاحظ مجلس الهجرة أيضاً أن أوامر الإحضار التي قدمها صاحب الشكوى لم</w:t>
      </w:r>
      <w:r w:rsidRPr="0044565E">
        <w:rPr>
          <w:rtl/>
          <w:lang w:val="fr-CH"/>
        </w:rPr>
        <w:t> </w:t>
      </w:r>
      <w:r w:rsidRPr="0044565E">
        <w:rPr>
          <w:rFonts w:hint="cs"/>
          <w:rtl/>
          <w:lang w:val="fr-CH"/>
        </w:rPr>
        <w:t>تتضمن أي إشارة إلى اشتباهه في ارتكاب جريمة بل إنها مجرد دعوات للحضور إلى مخفر الشرطة. وفي</w:t>
      </w:r>
      <w:r w:rsidRPr="0044565E">
        <w:rPr>
          <w:rtl/>
          <w:lang w:val="fr-CH"/>
        </w:rPr>
        <w:t> </w:t>
      </w:r>
      <w:r w:rsidRPr="0044565E">
        <w:rPr>
          <w:rFonts w:hint="cs"/>
          <w:rtl/>
          <w:lang w:val="fr-CH"/>
        </w:rPr>
        <w:t xml:space="preserve">25 </w:t>
      </w:r>
      <w:r w:rsidRPr="0044565E">
        <w:rPr>
          <w:rFonts w:hint="cs"/>
          <w:sz w:val="30"/>
          <w:rtl/>
          <w:lang w:val="fr-CH"/>
        </w:rPr>
        <w:t xml:space="preserve">حزيران/يونيه </w:t>
      </w:r>
      <w:r w:rsidRPr="0044565E">
        <w:rPr>
          <w:rFonts w:hint="cs"/>
          <w:rtl/>
          <w:lang w:val="fr-CH"/>
        </w:rPr>
        <w:t>2008، رفضت محكمة الهجرة استئنافه، حيث رأت أن مصداقية الحكم الصادر بحقه مشكوك فيها. وفي</w:t>
      </w:r>
      <w:r w:rsidRPr="0044565E">
        <w:rPr>
          <w:rtl/>
          <w:lang w:val="fr-CH"/>
        </w:rPr>
        <w:t> </w:t>
      </w:r>
      <w:r w:rsidRPr="0044565E">
        <w:rPr>
          <w:rFonts w:hint="cs"/>
          <w:rtl/>
          <w:lang w:val="fr-CH"/>
        </w:rPr>
        <w:t xml:space="preserve">21 </w:t>
      </w:r>
      <w:r w:rsidRPr="0044565E">
        <w:rPr>
          <w:rFonts w:hint="cs"/>
          <w:sz w:val="30"/>
          <w:rtl/>
          <w:lang w:val="fr-CH"/>
        </w:rPr>
        <w:t xml:space="preserve">تشرين الأول/أكتوبر </w:t>
      </w:r>
      <w:r w:rsidRPr="0044565E">
        <w:rPr>
          <w:rFonts w:hint="cs"/>
          <w:rtl/>
          <w:lang w:val="fr-CH"/>
        </w:rPr>
        <w:t>2008، رفضت محكمة الاستئناف في استوكهلم السماح له بالاستئناف. وفي</w:t>
      </w:r>
      <w:r w:rsidRPr="0044565E">
        <w:rPr>
          <w:rtl/>
          <w:lang w:val="fr-CH"/>
        </w:rPr>
        <w:t> </w:t>
      </w:r>
      <w:r w:rsidRPr="0044565E">
        <w:rPr>
          <w:rFonts w:hint="cs"/>
          <w:rtl/>
          <w:lang w:val="fr-CH"/>
        </w:rPr>
        <w:t xml:space="preserve">26 </w:t>
      </w:r>
      <w:r w:rsidRPr="0044565E">
        <w:rPr>
          <w:rFonts w:hint="cs"/>
          <w:sz w:val="30"/>
          <w:rtl/>
          <w:lang w:val="fr-CH"/>
        </w:rPr>
        <w:t xml:space="preserve">تشرين الثاني/نوفمبر </w:t>
      </w:r>
      <w:r w:rsidRPr="0044565E">
        <w:rPr>
          <w:rFonts w:hint="cs"/>
          <w:rtl/>
          <w:lang w:val="fr-CH"/>
        </w:rPr>
        <w:t>2009، أُعلم أنه يجب أن يغادر السويد. وفي</w:t>
      </w:r>
      <w:r w:rsidRPr="0044565E">
        <w:rPr>
          <w:rtl/>
          <w:lang w:val="fr-CH"/>
        </w:rPr>
        <w:t> </w:t>
      </w:r>
      <w:r w:rsidRPr="0044565E">
        <w:rPr>
          <w:rFonts w:hint="cs"/>
          <w:rtl/>
          <w:lang w:val="fr-CH"/>
        </w:rPr>
        <w:t xml:space="preserve">24 </w:t>
      </w:r>
      <w:r w:rsidRPr="0044565E">
        <w:rPr>
          <w:rFonts w:hint="cs"/>
          <w:sz w:val="30"/>
          <w:rtl/>
          <w:lang w:val="fr-CH"/>
        </w:rPr>
        <w:t xml:space="preserve">شباط/فبراير </w:t>
      </w:r>
      <w:r w:rsidRPr="0044565E">
        <w:rPr>
          <w:rFonts w:hint="cs"/>
          <w:rtl/>
          <w:lang w:val="fr-CH"/>
        </w:rPr>
        <w:t>2010، احتُجز صاحب الشكوى في مركز احتجاز المهاجرين. وفي</w:t>
      </w:r>
      <w:r w:rsidRPr="0044565E">
        <w:rPr>
          <w:rtl/>
          <w:lang w:val="fr-CH"/>
        </w:rPr>
        <w:t> </w:t>
      </w:r>
      <w:r w:rsidRPr="0044565E">
        <w:rPr>
          <w:rFonts w:hint="cs"/>
          <w:rtl/>
          <w:lang w:val="fr-CH"/>
        </w:rPr>
        <w:t xml:space="preserve">18 </w:t>
      </w:r>
      <w:r w:rsidRPr="0044565E">
        <w:rPr>
          <w:rFonts w:hint="cs"/>
          <w:sz w:val="30"/>
          <w:rtl/>
          <w:lang w:val="fr-CH"/>
        </w:rPr>
        <w:t xml:space="preserve">تشرين الأول/أكتوبر </w:t>
      </w:r>
      <w:r w:rsidRPr="0044565E">
        <w:rPr>
          <w:rFonts w:hint="cs"/>
          <w:rtl/>
          <w:lang w:val="fr-CH"/>
        </w:rPr>
        <w:t xml:space="preserve">2010، رفض صاحب الشكوى الصعود إلى الطائرة دون وثائق سفر وحاولت السلطات إرغامه على الصعود إلى الطائرة دون أن تفلح في ذلك. </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الشكوى</w:t>
      </w:r>
    </w:p>
    <w:p w:rsidR="00091373" w:rsidRPr="00FA0FC2" w:rsidRDefault="00091373" w:rsidP="00091373">
      <w:pPr>
        <w:pStyle w:val="SingleTxtGA"/>
        <w:rPr>
          <w:rFonts w:hint="cs"/>
          <w:rtl/>
          <w:lang w:val="fr-CH"/>
        </w:rPr>
      </w:pPr>
      <w:r w:rsidRPr="00FA0FC2">
        <w:rPr>
          <w:rFonts w:hint="cs"/>
          <w:rtl/>
          <w:lang w:val="fr-CH"/>
        </w:rPr>
        <w:t>3-</w:t>
      </w:r>
      <w:r w:rsidRPr="00FA0FC2">
        <w:rPr>
          <w:rFonts w:hint="cs"/>
          <w:rtl/>
          <w:lang w:val="fr-CH"/>
        </w:rPr>
        <w:tab/>
        <w:t>يدعي صاحب الشكوى أن ترحيله إلى الجزائر سينتهك أحكام ال</w:t>
      </w:r>
      <w:r>
        <w:rPr>
          <w:rFonts w:hint="cs"/>
          <w:rtl/>
          <w:lang w:val="fr-CH"/>
        </w:rPr>
        <w:t>مادة</w:t>
      </w:r>
      <w:r>
        <w:rPr>
          <w:rtl/>
          <w:lang w:val="fr-CH"/>
        </w:rPr>
        <w:t> </w:t>
      </w:r>
      <w:r w:rsidRPr="00FA0FC2">
        <w:rPr>
          <w:rFonts w:hint="cs"/>
          <w:rtl/>
          <w:lang w:val="fr-CH"/>
        </w:rPr>
        <w:t>3 من الاتفاقية. ويدعي أنه سيتعرض لخطر فعلي وشخصي للسجن وأنه خلال وجوده في السجن سيتعرض بالتأكيد للتعذيب لأنه محكوم عليه بجريمة قتل ضابط شرطة. وفضلاً عن ذلك، يدعي صاحب الشكوى أنه معرض لخطر القتل خارج نطاق القضاء من جانب الإرهابيين الذين يبحثون عنه. والإرهابيون العازمون على الانتقام منه لأنهم يعتقدون أنه كشف خطتهم للسطو المسلح التي أدت إلى وفاة زميلين من زملائهم، سيتمكنون من العثور عليه في السجن</w:t>
      </w:r>
      <w:r>
        <w:rPr>
          <w:rFonts w:hint="cs"/>
          <w:rtl/>
          <w:lang w:val="fr-CH"/>
        </w:rPr>
        <w:t xml:space="preserve"> أو</w:t>
      </w:r>
      <w:r>
        <w:rPr>
          <w:rtl/>
          <w:lang w:val="fr-CH"/>
        </w:rPr>
        <w:t> </w:t>
      </w:r>
      <w:r w:rsidRPr="00FA0FC2">
        <w:rPr>
          <w:rFonts w:hint="cs"/>
          <w:rtl/>
          <w:lang w:val="fr-CH"/>
        </w:rPr>
        <w:t>ربما يكونون</w:t>
      </w:r>
      <w:r w:rsidRPr="00FA0FC2">
        <w:rPr>
          <w:rFonts w:hint="eastAsia"/>
          <w:rtl/>
          <w:lang w:val="fr-CH"/>
        </w:rPr>
        <w:t> </w:t>
      </w:r>
      <w:r w:rsidRPr="00FA0FC2">
        <w:rPr>
          <w:rFonts w:hint="cs"/>
          <w:rtl/>
          <w:lang w:val="fr-CH"/>
        </w:rPr>
        <w:t>معه في نفس السجن. ويدعي أيضاً أن انتهاكات حقوق الإنسان في الجزائر تتم بصورة منهجية.</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ملاحظات الدولة الطرف بشأن المقبولية والأسس الموضوعية</w:t>
      </w:r>
    </w:p>
    <w:p w:rsidR="00091373" w:rsidRPr="00FA0FC2" w:rsidRDefault="00091373" w:rsidP="00091373">
      <w:pPr>
        <w:pStyle w:val="SingleTxtGA"/>
        <w:rPr>
          <w:rFonts w:hint="cs"/>
          <w:rtl/>
          <w:lang w:val="fr-CH"/>
        </w:rPr>
      </w:pPr>
      <w:r w:rsidRPr="00FA0FC2">
        <w:rPr>
          <w:rFonts w:hint="cs"/>
          <w:rtl/>
          <w:lang w:val="fr-CH"/>
        </w:rPr>
        <w:t>4-1</w:t>
      </w:r>
      <w:r w:rsidRPr="00FA0FC2">
        <w:rPr>
          <w:rFonts w:hint="cs"/>
          <w:rtl/>
          <w:lang w:val="fr-CH"/>
        </w:rPr>
        <w:tab/>
        <w:t xml:space="preserve">في 18 </w:t>
      </w:r>
      <w:r w:rsidRPr="00FA0FC2">
        <w:rPr>
          <w:rFonts w:hint="cs"/>
          <w:sz w:val="30"/>
          <w:rtl/>
          <w:lang w:val="fr-CH"/>
        </w:rPr>
        <w:t xml:space="preserve">أيار/مايو </w:t>
      </w:r>
      <w:r w:rsidRPr="00FA0FC2">
        <w:rPr>
          <w:rFonts w:hint="cs"/>
          <w:rtl/>
          <w:lang w:val="fr-CH"/>
        </w:rPr>
        <w:t xml:space="preserve">2011، أعلمت الدولة الطرف اللجنة أنه تم إرجاء تنفيذ أمر ترحيل صاحب الشكوى في 19 </w:t>
      </w:r>
      <w:r w:rsidRPr="00FA0FC2">
        <w:rPr>
          <w:rFonts w:hint="cs"/>
          <w:sz w:val="30"/>
          <w:rtl/>
          <w:lang w:val="fr-CH"/>
        </w:rPr>
        <w:t xml:space="preserve">تشرين الثاني/نوفمبر </w:t>
      </w:r>
      <w:r w:rsidRPr="00FA0FC2">
        <w:rPr>
          <w:rFonts w:hint="cs"/>
          <w:rtl/>
          <w:lang w:val="fr-CH"/>
        </w:rPr>
        <w:t>2010.</w:t>
      </w:r>
    </w:p>
    <w:p w:rsidR="00091373" w:rsidRPr="00FA0FC2" w:rsidRDefault="00091373" w:rsidP="00091373">
      <w:pPr>
        <w:pStyle w:val="SingleTxtGA"/>
        <w:rPr>
          <w:rFonts w:hint="cs"/>
          <w:rtl/>
          <w:lang w:val="fr-CH"/>
        </w:rPr>
      </w:pPr>
      <w:r w:rsidRPr="00FA0FC2">
        <w:rPr>
          <w:rFonts w:hint="cs"/>
          <w:rtl/>
          <w:lang w:val="fr-CH"/>
        </w:rPr>
        <w:t>4-2</w:t>
      </w:r>
      <w:r w:rsidRPr="00FA0FC2">
        <w:rPr>
          <w:rFonts w:hint="cs"/>
          <w:rtl/>
          <w:lang w:val="fr-CH"/>
        </w:rPr>
        <w:tab/>
        <w:t xml:space="preserve">وفي 31 </w:t>
      </w:r>
      <w:r w:rsidRPr="00FA0FC2">
        <w:rPr>
          <w:rFonts w:hint="cs"/>
          <w:sz w:val="30"/>
          <w:rtl/>
          <w:lang w:val="fr-CH"/>
        </w:rPr>
        <w:t xml:space="preserve">آب/أغسطس </w:t>
      </w:r>
      <w:r w:rsidRPr="00FA0FC2">
        <w:rPr>
          <w:rFonts w:hint="cs"/>
          <w:rtl/>
          <w:lang w:val="fr-CH"/>
        </w:rPr>
        <w:t>2011، قدمت الدولة الطرف ملاحظاتها بشأن المقبولية والأسس الموضوعية للبلاغ. وشككت الدولة الطرف في ترجمة صاحب الشكوى لقرارات المحكمة السويدية، مشيرة إلى أن نوعيتها رديئة وإلى أنها</w:t>
      </w:r>
      <w:r>
        <w:rPr>
          <w:rFonts w:hint="cs"/>
          <w:rtl/>
          <w:lang w:val="fr-CH"/>
        </w:rPr>
        <w:t xml:space="preserve"> لا</w:t>
      </w:r>
      <w:r>
        <w:rPr>
          <w:rtl/>
          <w:lang w:val="fr-CH"/>
        </w:rPr>
        <w:t> </w:t>
      </w:r>
      <w:r w:rsidRPr="00FA0FC2">
        <w:rPr>
          <w:rFonts w:hint="cs"/>
          <w:rtl/>
          <w:lang w:val="fr-CH"/>
        </w:rPr>
        <w:t xml:space="preserve">تقدم صورة دقيقة عن نظر مجلس الهجرة ومحاكم الهجرة في القضية. ولاحظت أن قرار ترحيل صاحب الشكوى دخل حيز النفاذ في 24 </w:t>
      </w:r>
      <w:r w:rsidRPr="00FA0FC2">
        <w:rPr>
          <w:rFonts w:hint="cs"/>
          <w:sz w:val="30"/>
          <w:rtl/>
          <w:lang w:val="fr-CH"/>
        </w:rPr>
        <w:t xml:space="preserve">تشرين الأول/أكتوبر </w:t>
      </w:r>
      <w:r w:rsidRPr="00FA0FC2">
        <w:rPr>
          <w:rFonts w:hint="cs"/>
          <w:rtl/>
          <w:lang w:val="fr-CH"/>
        </w:rPr>
        <w:t>2010.</w:t>
      </w:r>
    </w:p>
    <w:p w:rsidR="00091373" w:rsidRPr="00FA0FC2" w:rsidRDefault="00091373" w:rsidP="00091373">
      <w:pPr>
        <w:pStyle w:val="SingleTxtGA"/>
        <w:rPr>
          <w:rFonts w:hint="cs"/>
          <w:rtl/>
          <w:lang w:val="fr-CH"/>
        </w:rPr>
      </w:pPr>
      <w:r w:rsidRPr="00FA0FC2">
        <w:rPr>
          <w:rFonts w:hint="cs"/>
          <w:rtl/>
          <w:lang w:val="fr-CH"/>
        </w:rPr>
        <w:t>4-3</w:t>
      </w:r>
      <w:r w:rsidRPr="00FA0FC2">
        <w:rPr>
          <w:rFonts w:hint="cs"/>
          <w:rtl/>
          <w:lang w:val="fr-CH"/>
        </w:rPr>
        <w:tab/>
        <w:t>وفيما يتعلق بالمقبولية، تلاحظ الدولة الطرف أنها ليست على علم بأن هذه المسألة قد بُحثت</w:t>
      </w:r>
      <w:r>
        <w:rPr>
          <w:rFonts w:hint="cs"/>
          <w:rtl/>
          <w:lang w:val="fr-CH"/>
        </w:rPr>
        <w:t xml:space="preserve"> أو</w:t>
      </w:r>
      <w:r>
        <w:rPr>
          <w:rtl/>
          <w:lang w:val="fr-CH"/>
        </w:rPr>
        <w:t> </w:t>
      </w:r>
      <w:r w:rsidRPr="00FA0FC2">
        <w:rPr>
          <w:rFonts w:hint="cs"/>
          <w:rtl/>
          <w:lang w:val="fr-CH"/>
        </w:rPr>
        <w:t>يجري بحثها في إطار أي إجراء آخر من إجراءات التحقيق الدولي</w:t>
      </w:r>
      <w:r>
        <w:rPr>
          <w:rFonts w:hint="cs"/>
          <w:rtl/>
          <w:lang w:val="fr-CH"/>
        </w:rPr>
        <w:t xml:space="preserve"> أو</w:t>
      </w:r>
      <w:r>
        <w:rPr>
          <w:rtl/>
          <w:lang w:val="fr-CH"/>
        </w:rPr>
        <w:t> </w:t>
      </w:r>
      <w:r w:rsidRPr="00FA0FC2">
        <w:rPr>
          <w:rFonts w:hint="cs"/>
          <w:rtl/>
          <w:lang w:val="fr-CH"/>
        </w:rPr>
        <w:t xml:space="preserve">التسوية </w:t>
      </w:r>
      <w:r w:rsidRPr="00FA0FC2">
        <w:rPr>
          <w:rFonts w:hint="cs"/>
          <w:spacing w:val="-2"/>
          <w:rtl/>
          <w:lang w:val="fr-CH"/>
        </w:rPr>
        <w:t>الدولية. وتسلم الدولة الطرف بأن صاحب الشكوى قد استنفد جميع سُبُل الانتصاف المحلية المتاحة بالمعنى الدقيق للعبارة. مع ذلك،</w:t>
      </w:r>
      <w:r>
        <w:rPr>
          <w:rFonts w:hint="cs"/>
          <w:spacing w:val="-2"/>
          <w:rtl/>
          <w:lang w:val="fr-CH"/>
        </w:rPr>
        <w:t xml:space="preserve"> وبما</w:t>
      </w:r>
      <w:r>
        <w:rPr>
          <w:spacing w:val="-2"/>
          <w:rtl/>
          <w:lang w:val="fr-CH"/>
        </w:rPr>
        <w:t> </w:t>
      </w:r>
      <w:r w:rsidRPr="00FA0FC2">
        <w:rPr>
          <w:rFonts w:hint="cs"/>
          <w:spacing w:val="-2"/>
          <w:rtl/>
          <w:lang w:val="fr-CH"/>
        </w:rPr>
        <w:t>أنه وفقاً للفقرة 1 من ال</w:t>
      </w:r>
      <w:r>
        <w:rPr>
          <w:rFonts w:hint="cs"/>
          <w:spacing w:val="-2"/>
          <w:rtl/>
          <w:lang w:val="fr-CH"/>
        </w:rPr>
        <w:t>مادة</w:t>
      </w:r>
      <w:r>
        <w:rPr>
          <w:spacing w:val="-2"/>
          <w:rtl/>
          <w:lang w:val="fr-CH"/>
        </w:rPr>
        <w:t> </w:t>
      </w:r>
      <w:r w:rsidRPr="00FA0FC2">
        <w:rPr>
          <w:rFonts w:hint="cs"/>
          <w:spacing w:val="-2"/>
          <w:rtl/>
          <w:lang w:val="fr-CH"/>
        </w:rPr>
        <w:t>22 من الفصل 12</w:t>
      </w:r>
      <w:r w:rsidRPr="00FA0FC2">
        <w:rPr>
          <w:rFonts w:hint="cs"/>
          <w:rtl/>
          <w:lang w:val="fr-CH"/>
        </w:rPr>
        <w:t xml:space="preserve"> من قانون الأجانب</w:t>
      </w:r>
      <w:r>
        <w:rPr>
          <w:rFonts w:hint="cs"/>
          <w:rtl/>
          <w:lang w:val="fr-CH"/>
        </w:rPr>
        <w:t xml:space="preserve"> لعام</w:t>
      </w:r>
      <w:r>
        <w:rPr>
          <w:rtl/>
          <w:lang w:val="fr-CH"/>
        </w:rPr>
        <w:t> </w:t>
      </w:r>
      <w:r w:rsidRPr="00FA0FC2">
        <w:rPr>
          <w:rFonts w:hint="cs"/>
          <w:rtl/>
          <w:lang w:val="fr-CH"/>
        </w:rPr>
        <w:t xml:space="preserve">2005، سقط قرار ترحيل صاحب الشكوى في 24 </w:t>
      </w:r>
      <w:r w:rsidRPr="00FA0FC2">
        <w:rPr>
          <w:rFonts w:hint="cs"/>
          <w:sz w:val="30"/>
          <w:rtl/>
          <w:lang w:val="fr-CH"/>
        </w:rPr>
        <w:t>تشرين الأول/أكتوبر 2012</w:t>
      </w:r>
      <w:r w:rsidRPr="00FA0FC2">
        <w:rPr>
          <w:rFonts w:hint="cs"/>
          <w:rtl/>
          <w:lang w:val="fr-CH"/>
        </w:rPr>
        <w:t>، فستكون هناك بالتالي أمام صاحب الشكوى فرصة لتقديم طلب جديد للجوء وللحصول على ترخيص إقامة،</w:t>
      </w:r>
      <w:r>
        <w:rPr>
          <w:rFonts w:hint="cs"/>
          <w:rtl/>
          <w:lang w:val="fr-CH"/>
        </w:rPr>
        <w:t xml:space="preserve"> مما</w:t>
      </w:r>
      <w:r>
        <w:rPr>
          <w:rtl/>
          <w:lang w:val="fr-CH"/>
        </w:rPr>
        <w:t> </w:t>
      </w:r>
      <w:r w:rsidRPr="00FA0FC2">
        <w:rPr>
          <w:rFonts w:hint="cs"/>
          <w:rtl/>
          <w:lang w:val="fr-CH"/>
        </w:rPr>
        <w:t xml:space="preserve">يعني نظر مجلس الهجرة بالكامل في الأسس التي يستند إليها الطلب وإمكانية الطعن في الرفض. ولذلك، وبعد 24 </w:t>
      </w:r>
      <w:r w:rsidRPr="00FA0FC2">
        <w:rPr>
          <w:rFonts w:hint="cs"/>
          <w:sz w:val="30"/>
          <w:rtl/>
          <w:lang w:val="fr-CH"/>
        </w:rPr>
        <w:t>تشرين الأول/أكتوبر</w:t>
      </w:r>
      <w:r w:rsidRPr="00FA0FC2">
        <w:rPr>
          <w:rFonts w:hint="eastAsia"/>
          <w:rtl/>
          <w:lang w:val="fr-CH"/>
        </w:rPr>
        <w:t> </w:t>
      </w:r>
      <w:r w:rsidRPr="00FA0FC2">
        <w:rPr>
          <w:rFonts w:hint="cs"/>
          <w:rtl/>
          <w:lang w:val="fr-CH"/>
        </w:rPr>
        <w:t>2012،</w:t>
      </w:r>
      <w:r>
        <w:rPr>
          <w:rFonts w:hint="cs"/>
          <w:rtl/>
          <w:lang w:val="fr-CH"/>
        </w:rPr>
        <w:t xml:space="preserve"> وفي</w:t>
      </w:r>
      <w:r>
        <w:rPr>
          <w:rtl/>
          <w:lang w:val="fr-CH"/>
        </w:rPr>
        <w:t> </w:t>
      </w:r>
      <w:r w:rsidRPr="00FA0FC2">
        <w:rPr>
          <w:rFonts w:hint="cs"/>
          <w:rtl/>
          <w:lang w:val="fr-CH"/>
        </w:rPr>
        <w:t>ضوء سبيل الانتصاف البديل الذي</w:t>
      </w:r>
      <w:r>
        <w:rPr>
          <w:rFonts w:hint="cs"/>
          <w:rtl/>
          <w:lang w:val="fr-CH"/>
        </w:rPr>
        <w:t xml:space="preserve"> لا</w:t>
      </w:r>
      <w:r>
        <w:rPr>
          <w:rtl/>
          <w:lang w:val="fr-CH"/>
        </w:rPr>
        <w:t> </w:t>
      </w:r>
      <w:r w:rsidRPr="00FA0FC2">
        <w:rPr>
          <w:rFonts w:hint="cs"/>
          <w:rtl/>
          <w:lang w:val="fr-CH"/>
        </w:rPr>
        <w:t>يزال متاحاً، يمكن القول أنه</w:t>
      </w:r>
      <w:r>
        <w:rPr>
          <w:rFonts w:hint="cs"/>
          <w:rtl/>
          <w:lang w:val="fr-CH"/>
        </w:rPr>
        <w:t xml:space="preserve"> لم</w:t>
      </w:r>
      <w:r>
        <w:rPr>
          <w:rtl/>
          <w:lang w:val="fr-CH"/>
        </w:rPr>
        <w:t> </w:t>
      </w:r>
      <w:r w:rsidRPr="00FA0FC2">
        <w:rPr>
          <w:rFonts w:hint="cs"/>
          <w:rtl/>
          <w:lang w:val="fr-CH"/>
        </w:rPr>
        <w:t xml:space="preserve">يتم استنفاد سُبُل الانتصاف المحلية كلها. وفضلاً عن ذلك، تدعي الدولة الطرف </w:t>
      </w:r>
      <w:r>
        <w:rPr>
          <w:rFonts w:hint="cs"/>
          <w:rtl/>
          <w:lang w:val="fr-CH"/>
        </w:rPr>
        <w:t>أ</w:t>
      </w:r>
      <w:r w:rsidRPr="00FA0FC2">
        <w:rPr>
          <w:rFonts w:hint="cs"/>
          <w:rtl/>
          <w:lang w:val="fr-CH"/>
        </w:rPr>
        <w:t>نه وفقاً لأحكام الفقرة 2 من ال</w:t>
      </w:r>
      <w:r>
        <w:rPr>
          <w:rFonts w:hint="cs"/>
          <w:rtl/>
          <w:lang w:val="fr-CH"/>
        </w:rPr>
        <w:t>مادة</w:t>
      </w:r>
      <w:r>
        <w:rPr>
          <w:rtl/>
          <w:lang w:val="fr-CH"/>
        </w:rPr>
        <w:t> </w:t>
      </w:r>
      <w:r w:rsidRPr="00FA0FC2">
        <w:rPr>
          <w:rFonts w:hint="cs"/>
          <w:rtl/>
          <w:lang w:val="fr-CH"/>
        </w:rPr>
        <w:t>22 من الاتفاقية، فإن ادعاء صاحب الشكوى أنه سيتعرض لخطر المعاملة بطريقة تبلغ حد انتهاك الاتفاقية</w:t>
      </w:r>
      <w:r>
        <w:rPr>
          <w:rFonts w:hint="cs"/>
          <w:rtl/>
          <w:lang w:val="fr-CH"/>
        </w:rPr>
        <w:t xml:space="preserve"> لا</w:t>
      </w:r>
      <w:r>
        <w:rPr>
          <w:rtl/>
          <w:lang w:val="fr-CH"/>
        </w:rPr>
        <w:t> </w:t>
      </w:r>
      <w:r w:rsidRPr="00FA0FC2">
        <w:rPr>
          <w:rFonts w:hint="cs"/>
          <w:rtl/>
          <w:lang w:val="fr-CH"/>
        </w:rPr>
        <w:t>تدعمه أدلة كافية. لذلك، ترى الدولة الطرف أن من الواضح أن البلاغ</w:t>
      </w:r>
      <w:r>
        <w:rPr>
          <w:rFonts w:hint="cs"/>
          <w:rtl/>
          <w:lang w:val="fr-CH"/>
        </w:rPr>
        <w:t xml:space="preserve"> لا</w:t>
      </w:r>
      <w:r>
        <w:rPr>
          <w:rtl/>
          <w:lang w:val="fr-CH"/>
        </w:rPr>
        <w:t> </w:t>
      </w:r>
      <w:r w:rsidRPr="00FA0FC2">
        <w:rPr>
          <w:rFonts w:hint="cs"/>
          <w:rtl/>
          <w:lang w:val="fr-CH"/>
        </w:rPr>
        <w:t xml:space="preserve">يستند إلى أي أساس سليم. </w:t>
      </w:r>
    </w:p>
    <w:p w:rsidR="00091373" w:rsidRPr="00C31DD5" w:rsidRDefault="00091373" w:rsidP="00091373">
      <w:pPr>
        <w:pStyle w:val="SingleTxtGA"/>
        <w:rPr>
          <w:rFonts w:hint="cs"/>
          <w:spacing w:val="-2"/>
          <w:rtl/>
          <w:lang w:val="fr-CH"/>
        </w:rPr>
      </w:pPr>
      <w:r w:rsidRPr="00C31DD5">
        <w:rPr>
          <w:rFonts w:hint="cs"/>
          <w:spacing w:val="-2"/>
          <w:rtl/>
          <w:lang w:val="fr-CH"/>
        </w:rPr>
        <w:t>4-4</w:t>
      </w:r>
      <w:r w:rsidRPr="00C31DD5">
        <w:rPr>
          <w:rFonts w:hint="cs"/>
          <w:spacing w:val="-2"/>
          <w:rtl/>
          <w:lang w:val="fr-CH"/>
        </w:rPr>
        <w:tab/>
        <w:t>وفيما يتعلق بالأسس الموضوعية، تلاحظ الدولة الطرف أنه على الرغم من الشواغل المشروعة التي يمكن الإعراب عنها فيما</w:t>
      </w:r>
      <w:r w:rsidRPr="00C31DD5">
        <w:rPr>
          <w:spacing w:val="-2"/>
          <w:rtl/>
          <w:lang w:val="fr-CH"/>
        </w:rPr>
        <w:t> </w:t>
      </w:r>
      <w:r w:rsidRPr="00C31DD5">
        <w:rPr>
          <w:rFonts w:hint="cs"/>
          <w:spacing w:val="-2"/>
          <w:rtl/>
          <w:lang w:val="fr-CH"/>
        </w:rPr>
        <w:t>يتعلق بحالة حقوق الإنسان في الجزائر</w:t>
      </w:r>
      <w:r w:rsidRPr="00C31DD5">
        <w:rPr>
          <w:spacing w:val="-2"/>
          <w:vertAlign w:val="superscript"/>
          <w:rtl/>
          <w:lang w:val="fr-CH"/>
        </w:rPr>
        <w:t>(</w:t>
      </w:r>
      <w:r w:rsidRPr="00C31DD5">
        <w:rPr>
          <w:rStyle w:val="FootnoteReference"/>
          <w:spacing w:val="-2"/>
          <w:rtl/>
          <w:lang w:val="fr-CH"/>
        </w:rPr>
        <w:footnoteReference w:id="279"/>
      </w:r>
      <w:r w:rsidRPr="00C31DD5">
        <w:rPr>
          <w:spacing w:val="-2"/>
          <w:vertAlign w:val="superscript"/>
          <w:rtl/>
          <w:lang w:val="fr-CH"/>
        </w:rPr>
        <w:t>)</w:t>
      </w:r>
      <w:r w:rsidRPr="00C31DD5">
        <w:rPr>
          <w:spacing w:val="-2"/>
          <w:rtl/>
          <w:lang w:val="fr-CH"/>
        </w:rPr>
        <w:t xml:space="preserve"> </w:t>
      </w:r>
      <w:r w:rsidRPr="00C31DD5">
        <w:rPr>
          <w:rFonts w:hint="cs"/>
          <w:spacing w:val="-2"/>
          <w:rtl/>
          <w:lang w:val="fr-CH"/>
        </w:rPr>
        <w:t>فإن ظروف الحالة لا</w:t>
      </w:r>
      <w:r w:rsidRPr="00C31DD5">
        <w:rPr>
          <w:spacing w:val="-2"/>
          <w:rtl/>
          <w:lang w:val="fr-CH"/>
        </w:rPr>
        <w:t> </w:t>
      </w:r>
      <w:r w:rsidRPr="00C31DD5">
        <w:rPr>
          <w:rFonts w:hint="cs"/>
          <w:spacing w:val="-2"/>
          <w:rtl/>
          <w:lang w:val="fr-CH"/>
        </w:rPr>
        <w:t>تكفي لإثبات أن ترحيل صاحب الشكوى سيترتب عليه انتهاك للمادة</w:t>
      </w:r>
      <w:r w:rsidRPr="00C31DD5">
        <w:rPr>
          <w:spacing w:val="-2"/>
          <w:rtl/>
          <w:lang w:val="fr-CH"/>
        </w:rPr>
        <w:t> </w:t>
      </w:r>
      <w:r w:rsidRPr="00C31DD5">
        <w:rPr>
          <w:rFonts w:hint="cs"/>
          <w:spacing w:val="-2"/>
          <w:rtl/>
          <w:lang w:val="fr-CH"/>
        </w:rPr>
        <w:t>3 من الاتفاقية. فيتعين على صاحب الشكوى أن يثبت أنه سيتعرض شخصياً لمعاملة تخالف أحكام المادة</w:t>
      </w:r>
      <w:r w:rsidRPr="00C31DD5">
        <w:rPr>
          <w:spacing w:val="-2"/>
          <w:rtl/>
          <w:lang w:val="fr-CH"/>
        </w:rPr>
        <w:t> </w:t>
      </w:r>
      <w:r w:rsidRPr="00C31DD5">
        <w:rPr>
          <w:rFonts w:hint="cs"/>
          <w:spacing w:val="-2"/>
          <w:rtl/>
          <w:lang w:val="fr-CH"/>
        </w:rPr>
        <w:t>1 من الاتفاقية. وفيما</w:t>
      </w:r>
      <w:r w:rsidRPr="00C31DD5">
        <w:rPr>
          <w:spacing w:val="-2"/>
          <w:rtl/>
          <w:lang w:val="fr-CH"/>
        </w:rPr>
        <w:t> </w:t>
      </w:r>
      <w:r w:rsidRPr="00C31DD5">
        <w:rPr>
          <w:rFonts w:hint="cs"/>
          <w:spacing w:val="-2"/>
          <w:rtl/>
          <w:lang w:val="fr-CH"/>
        </w:rPr>
        <w:t>يتعلق بالخطر الشخصي لتعرض صاحب الشكوى للتعذيب في الجزائر، تزعم الدولة الطرف: (أ) أن مجلس الهجرة اتخذ قراره بعد أن أجرى لقاءين مع صاحب الشكوى؛ و(ب) أن مجلس الهجرة عقد جلسة سماع قبل إصدار قراره. وتلاحظ أيضاً أن التشريع الداخلي يتضمن نفس مبادئ الاتفاقية وبالتالي فإن سلطاتها للهجرة تُطبق نفس معيار التقدير الذي تطبقه اللجنة لتحديد ما</w:t>
      </w:r>
      <w:r w:rsidRPr="00C31DD5">
        <w:rPr>
          <w:spacing w:val="-2"/>
          <w:rtl/>
          <w:lang w:val="fr-CH"/>
        </w:rPr>
        <w:t> </w:t>
      </w:r>
      <w:r w:rsidRPr="00C31DD5">
        <w:rPr>
          <w:rFonts w:hint="cs"/>
          <w:spacing w:val="-2"/>
          <w:rtl/>
          <w:lang w:val="fr-CH"/>
        </w:rPr>
        <w:t>إذا كان صاحب الشكوى سيتعرض لخطر وشيك وفعلي وشخصي للتعذيب في حال ترحيله إلى الجزائر. ولذلك تؤكد أنه يجب إيلاء القدر الواجب من الاعتبار لتقييم أسس المقبولية الذي أجرته سلطات الهجرة التابعة للدولة</w:t>
      </w:r>
      <w:r w:rsidRPr="00C31DD5">
        <w:rPr>
          <w:rFonts w:hint="eastAsia"/>
          <w:spacing w:val="-2"/>
          <w:rtl/>
          <w:lang w:val="fr-CH"/>
        </w:rPr>
        <w:t> </w:t>
      </w:r>
      <w:r w:rsidRPr="00C31DD5">
        <w:rPr>
          <w:rFonts w:hint="cs"/>
          <w:spacing w:val="-2"/>
          <w:rtl/>
          <w:lang w:val="fr-CH"/>
        </w:rPr>
        <w:t xml:space="preserve">الطرف. </w:t>
      </w:r>
    </w:p>
    <w:p w:rsidR="00091373" w:rsidRPr="00FA0FC2" w:rsidRDefault="00091373" w:rsidP="00091373">
      <w:pPr>
        <w:pStyle w:val="SingleTxtGA"/>
        <w:rPr>
          <w:rFonts w:hint="cs"/>
          <w:rtl/>
          <w:lang w:val="fr-CH"/>
        </w:rPr>
      </w:pPr>
      <w:r w:rsidRPr="00FA0FC2">
        <w:rPr>
          <w:rFonts w:hint="cs"/>
          <w:rtl/>
          <w:lang w:val="fr-CH"/>
        </w:rPr>
        <w:t>4-5</w:t>
      </w:r>
      <w:r w:rsidRPr="00FA0FC2">
        <w:rPr>
          <w:rFonts w:hint="cs"/>
          <w:rtl/>
          <w:lang w:val="fr-CH"/>
        </w:rPr>
        <w:tab/>
        <w:t xml:space="preserve">ودعماً لادعاء صاحب الشكوى أن السلطات الجزائرية تعتبره إرهابياً وأنه قد حُكم عليه بالسجن لمدة 10 سنوات مع الأشغال الشاقة، فإن صاحب الشكوى قدم أوامر بالإحضار وحكماً صادراً بحقه في 12 </w:t>
      </w:r>
      <w:r w:rsidRPr="00FA0FC2">
        <w:rPr>
          <w:rFonts w:hint="cs"/>
          <w:sz w:val="30"/>
          <w:rtl/>
          <w:lang w:val="fr-CH"/>
        </w:rPr>
        <w:t xml:space="preserve">كانون الثاني/يناير </w:t>
      </w:r>
      <w:r w:rsidRPr="00FA0FC2">
        <w:rPr>
          <w:rFonts w:hint="cs"/>
          <w:rtl/>
          <w:lang w:val="fr-CH"/>
        </w:rPr>
        <w:t>2008؛ وقدم صاحب الشكوى، دعماً لادعائه بتعرضه لخطر القتل من جانب الإرهابيين، إفادات كان والده قد قدمها إلى الشرطة بعد أن قام الإرهابيون بالتفتيش عنه في منزل والده. وشكّك كل من مجلس الهجرة ومحكمة الهجرة في مصداقية الوثائق الداعمة. ولاحظا أن أوامر الإحضار والإفادات المقدمة إلى الشرطة هي نُسخ عن وثائق عادية وأن عناصر الصور الملوّنة في جميع أختام النسخة الموثقة للحكم مختلفة، وخلصا إلى أن هذه الوثائق إما هي غير أصلية</w:t>
      </w:r>
      <w:r>
        <w:rPr>
          <w:rFonts w:hint="cs"/>
          <w:rtl/>
          <w:lang w:val="fr-CH"/>
        </w:rPr>
        <w:t xml:space="preserve"> أو</w:t>
      </w:r>
      <w:r>
        <w:rPr>
          <w:rtl/>
          <w:lang w:val="fr-CH"/>
        </w:rPr>
        <w:t> </w:t>
      </w:r>
      <w:r w:rsidRPr="00FA0FC2">
        <w:rPr>
          <w:rFonts w:hint="cs"/>
          <w:rtl/>
          <w:lang w:val="fr-CH"/>
        </w:rPr>
        <w:t>أنها بدون وزن إثباتي. وفضلاً عن ذلك، طلبت الدولة الطرف من سفارتها في الجزائر إجراء تقييم للنسخة الموثقة للحكم، وكلفت السفارة محامياً من ذوي الخبرة لتقييم مصداقية تلك النسخة. وأوضح التقييم أن الحكم مزور لأنه يفتقد لعبارات عديدة وللغة المستخدمة في القضايا الجنائية، ولأن اسم المتهم</w:t>
      </w:r>
      <w:r>
        <w:rPr>
          <w:rFonts w:hint="cs"/>
          <w:rtl/>
          <w:lang w:val="fr-CH"/>
        </w:rPr>
        <w:t xml:space="preserve"> لا</w:t>
      </w:r>
      <w:r>
        <w:rPr>
          <w:rtl/>
          <w:lang w:val="fr-CH"/>
        </w:rPr>
        <w:t> </w:t>
      </w:r>
      <w:r w:rsidRPr="00FA0FC2">
        <w:rPr>
          <w:rFonts w:hint="cs"/>
          <w:rtl/>
          <w:lang w:val="fr-CH"/>
        </w:rPr>
        <w:t xml:space="preserve">يظهر على قائمة </w:t>
      </w:r>
      <w:r>
        <w:rPr>
          <w:rFonts w:hint="cs"/>
          <w:rtl/>
          <w:lang w:val="fr-CH"/>
        </w:rPr>
        <w:t xml:space="preserve">الحضور في </w:t>
      </w:r>
      <w:r w:rsidRPr="00FA0FC2">
        <w:rPr>
          <w:rFonts w:hint="cs"/>
          <w:rtl/>
          <w:lang w:val="fr-CH"/>
        </w:rPr>
        <w:t>المحكمة ولأنه</w:t>
      </w:r>
      <w:r>
        <w:rPr>
          <w:rFonts w:hint="cs"/>
          <w:rtl/>
          <w:lang w:val="fr-CH"/>
        </w:rPr>
        <w:t xml:space="preserve"> لا</w:t>
      </w:r>
      <w:r>
        <w:rPr>
          <w:rtl/>
          <w:lang w:val="fr-CH"/>
        </w:rPr>
        <w:t> </w:t>
      </w:r>
      <w:r w:rsidRPr="00FA0FC2">
        <w:rPr>
          <w:rFonts w:hint="cs"/>
          <w:rtl/>
          <w:lang w:val="fr-CH"/>
        </w:rPr>
        <w:t xml:space="preserve">يتضمن أية إشارة إلى طلب الادعاء العام، ولأن </w:t>
      </w:r>
      <w:r>
        <w:rPr>
          <w:rFonts w:hint="cs"/>
          <w:rtl/>
          <w:lang w:val="fr-CH"/>
        </w:rPr>
        <w:t>مادة</w:t>
      </w:r>
      <w:r>
        <w:rPr>
          <w:rtl/>
          <w:lang w:val="fr-CH"/>
        </w:rPr>
        <w:t> </w:t>
      </w:r>
      <w:r w:rsidRPr="00FA0FC2">
        <w:rPr>
          <w:rFonts w:hint="cs"/>
          <w:rtl/>
          <w:lang w:val="fr-CH"/>
        </w:rPr>
        <w:t>القانون الجنائي غير كاملة ولأنه</w:t>
      </w:r>
      <w:r>
        <w:rPr>
          <w:rFonts w:hint="cs"/>
          <w:rtl/>
          <w:lang w:val="fr-CH"/>
        </w:rPr>
        <w:t xml:space="preserve"> لا</w:t>
      </w:r>
      <w:r>
        <w:rPr>
          <w:rtl/>
          <w:lang w:val="fr-CH"/>
        </w:rPr>
        <w:t> </w:t>
      </w:r>
      <w:r w:rsidRPr="00FA0FC2">
        <w:rPr>
          <w:rFonts w:hint="cs"/>
          <w:rtl/>
          <w:lang w:val="fr-CH"/>
        </w:rPr>
        <w:t>يشير إلى تعبير "غيابياً"، ولأن الأشغال الشاقة</w:t>
      </w:r>
      <w:r>
        <w:rPr>
          <w:rFonts w:hint="cs"/>
          <w:rtl/>
          <w:lang w:val="fr-CH"/>
        </w:rPr>
        <w:t xml:space="preserve"> لم</w:t>
      </w:r>
      <w:r>
        <w:rPr>
          <w:rtl/>
          <w:lang w:val="fr-CH"/>
        </w:rPr>
        <w:t> </w:t>
      </w:r>
      <w:r w:rsidRPr="00FA0FC2">
        <w:rPr>
          <w:rFonts w:hint="cs"/>
          <w:rtl/>
          <w:lang w:val="fr-CH"/>
        </w:rPr>
        <w:t>يرد ذكرها في جملة محددة. ولذلك تصر الدولة الطرف على أنه</w:t>
      </w:r>
      <w:r>
        <w:rPr>
          <w:rFonts w:hint="cs"/>
          <w:rtl/>
          <w:lang w:val="fr-CH"/>
        </w:rPr>
        <w:t xml:space="preserve"> لم</w:t>
      </w:r>
      <w:r>
        <w:rPr>
          <w:rtl/>
          <w:lang w:val="fr-CH"/>
        </w:rPr>
        <w:t> </w:t>
      </w:r>
      <w:r w:rsidRPr="00FA0FC2">
        <w:rPr>
          <w:rFonts w:hint="cs"/>
          <w:rtl/>
          <w:lang w:val="fr-CH"/>
        </w:rPr>
        <w:t>يصدر مطلقاً أي حكم بحق صاحب الشكوى.</w:t>
      </w:r>
    </w:p>
    <w:p w:rsidR="00091373" w:rsidRPr="00FA0FC2" w:rsidRDefault="00091373" w:rsidP="0044565E">
      <w:pPr>
        <w:pStyle w:val="SingleTxtGA"/>
        <w:rPr>
          <w:rFonts w:hint="cs"/>
          <w:rtl/>
          <w:lang w:val="fr-CH"/>
        </w:rPr>
      </w:pPr>
      <w:r w:rsidRPr="00FA0FC2">
        <w:rPr>
          <w:rFonts w:hint="cs"/>
          <w:rtl/>
          <w:lang w:val="fr-CH"/>
        </w:rPr>
        <w:t>4-6</w:t>
      </w:r>
      <w:r w:rsidRPr="00FA0FC2">
        <w:rPr>
          <w:rFonts w:hint="cs"/>
          <w:rtl/>
          <w:lang w:val="fr-CH"/>
        </w:rPr>
        <w:tab/>
        <w:t>وفيما يتعلق بمصداقية صاحب الشكوى وصحة ادعاءاته، تلاحظ الدولة الطرف أن صاحب الشكوى ادعى أمام مجلس الهجرة أولاً أن جواز سفره ورخصة السياقة موجودان في</w:t>
      </w:r>
      <w:r w:rsidR="0044565E">
        <w:rPr>
          <w:rFonts w:hint="eastAsia"/>
          <w:rtl/>
          <w:lang w:val="fr-CH"/>
        </w:rPr>
        <w:t> </w:t>
      </w:r>
      <w:r w:rsidRPr="00FA0FC2">
        <w:rPr>
          <w:rFonts w:hint="cs"/>
          <w:rtl/>
          <w:lang w:val="fr-CH"/>
        </w:rPr>
        <w:t>الجزائر. مع ذلك، وخلال الإجراءات، تبين أن صاحب الشكوى يملك تأشيرة دخول إلى فرنسا نافذة المفعول. ومن الجدير ملاحظة أن صاحب الشكوى</w:t>
      </w:r>
      <w:r>
        <w:rPr>
          <w:rFonts w:hint="cs"/>
          <w:rtl/>
          <w:lang w:val="fr-CH"/>
        </w:rPr>
        <w:t xml:space="preserve"> لم</w:t>
      </w:r>
      <w:r>
        <w:rPr>
          <w:rtl/>
          <w:lang w:val="fr-CH"/>
        </w:rPr>
        <w:t> </w:t>
      </w:r>
      <w:r w:rsidRPr="00FA0FC2">
        <w:rPr>
          <w:rFonts w:hint="cs"/>
          <w:rtl/>
          <w:lang w:val="fr-CH"/>
        </w:rPr>
        <w:t>يقدم مطلقاً جواز سفره إلى مجلس الهجرة.</w:t>
      </w:r>
      <w:r>
        <w:rPr>
          <w:rFonts w:hint="cs"/>
          <w:rtl/>
          <w:lang w:val="fr-CH"/>
        </w:rPr>
        <w:t xml:space="preserve"> كما</w:t>
      </w:r>
      <w:r>
        <w:rPr>
          <w:rtl/>
          <w:lang w:val="fr-CH"/>
        </w:rPr>
        <w:t> </w:t>
      </w:r>
      <w:r w:rsidRPr="00FA0FC2">
        <w:rPr>
          <w:rFonts w:hint="cs"/>
          <w:rtl/>
          <w:lang w:val="fr-CH"/>
        </w:rPr>
        <w:t>أنه</w:t>
      </w:r>
      <w:r>
        <w:rPr>
          <w:rFonts w:hint="cs"/>
          <w:rtl/>
          <w:lang w:val="fr-CH"/>
        </w:rPr>
        <w:t xml:space="preserve"> لم</w:t>
      </w:r>
      <w:r>
        <w:rPr>
          <w:rtl/>
          <w:lang w:val="fr-CH"/>
        </w:rPr>
        <w:t> </w:t>
      </w:r>
      <w:r w:rsidRPr="00FA0FC2">
        <w:rPr>
          <w:rFonts w:hint="cs"/>
          <w:rtl/>
          <w:lang w:val="fr-CH"/>
        </w:rPr>
        <w:t>يقدم جواز السفر الذي يدعي أنه اشتراه للسفر إلى السويد، مدعياً أنه كان يخشى استخدام جواز سفره الذي يحمل تأشيرة الدخول إلى فرنسا. ولتوضيح هذا الإغفال، يدعي صاحب الشكوى أن الشرطة طلبت من أخيه تقديم جواز سفره. وخلص مجلس الهجرة إلى أن صاحب الشكوى</w:t>
      </w:r>
      <w:r>
        <w:rPr>
          <w:rFonts w:hint="cs"/>
          <w:rtl/>
          <w:lang w:val="fr-CH"/>
        </w:rPr>
        <w:t xml:space="preserve"> لم</w:t>
      </w:r>
      <w:r>
        <w:rPr>
          <w:rtl/>
          <w:lang w:val="fr-CH"/>
        </w:rPr>
        <w:t> </w:t>
      </w:r>
      <w:r w:rsidRPr="00FA0FC2">
        <w:rPr>
          <w:rFonts w:hint="cs"/>
          <w:rtl/>
          <w:lang w:val="fr-CH"/>
        </w:rPr>
        <w:t>يبين سبب مغادرته الجزائر وبالتالي</w:t>
      </w:r>
      <w:r>
        <w:rPr>
          <w:rFonts w:hint="cs"/>
          <w:rtl/>
          <w:lang w:val="fr-CH"/>
        </w:rPr>
        <w:t xml:space="preserve"> لا</w:t>
      </w:r>
      <w:r>
        <w:rPr>
          <w:rtl/>
          <w:lang w:val="fr-CH"/>
        </w:rPr>
        <w:t> </w:t>
      </w:r>
      <w:r w:rsidRPr="00FA0FC2">
        <w:rPr>
          <w:rFonts w:hint="cs"/>
          <w:rtl/>
          <w:lang w:val="fr-CH"/>
        </w:rPr>
        <w:t>يمكن استبعاد احتمال سفره بتأشيرة صالحة للدخول. وتلاحظ الدولة الطرف أيضاً أن صاحب الشكوى ذكر أن الشرطة</w:t>
      </w:r>
      <w:r>
        <w:rPr>
          <w:rFonts w:hint="cs"/>
          <w:rtl/>
          <w:lang w:val="fr-CH"/>
        </w:rPr>
        <w:t xml:space="preserve"> لم</w:t>
      </w:r>
      <w:r>
        <w:rPr>
          <w:rtl/>
          <w:lang w:val="fr-CH"/>
        </w:rPr>
        <w:t> </w:t>
      </w:r>
      <w:r w:rsidRPr="00FA0FC2">
        <w:rPr>
          <w:rFonts w:hint="cs"/>
          <w:rtl/>
          <w:lang w:val="fr-CH"/>
        </w:rPr>
        <w:t xml:space="preserve">تأخذ جواز سفره عندما قامت بتفتيش منزله لأول مرة وهو أمر غريب نظراً للجريمة التي أدين بها. وتشير أيضاً إلى أن المعلومات التي قدمها لبيان أنه أصبح شخصاً مشتبهاً </w:t>
      </w:r>
      <w:r>
        <w:rPr>
          <w:rFonts w:hint="cs"/>
          <w:rtl/>
          <w:lang w:val="fr-CH"/>
        </w:rPr>
        <w:t xml:space="preserve">به </w:t>
      </w:r>
      <w:r w:rsidRPr="00FA0FC2">
        <w:rPr>
          <w:rFonts w:hint="cs"/>
          <w:rtl/>
          <w:lang w:val="fr-CH"/>
        </w:rPr>
        <w:t>عندما أراد تقديم معلومة سرية إلى الشرطة عن نشاط إرهابي هي معلومات</w:t>
      </w:r>
      <w:r>
        <w:rPr>
          <w:rFonts w:hint="cs"/>
          <w:rtl/>
          <w:lang w:val="fr-CH"/>
        </w:rPr>
        <w:t xml:space="preserve"> لا</w:t>
      </w:r>
      <w:r>
        <w:rPr>
          <w:rtl/>
          <w:lang w:val="fr-CH"/>
        </w:rPr>
        <w:t> </w:t>
      </w:r>
      <w:r w:rsidRPr="00FA0FC2">
        <w:rPr>
          <w:rFonts w:hint="cs"/>
          <w:rtl/>
          <w:lang w:val="fr-CH"/>
        </w:rPr>
        <w:t>يمكن تصديقها، وأن المعلومات التي قدمها لتفسير الطريقة التي استخدمها الإرهابيون للاتصال به</w:t>
      </w:r>
      <w:r>
        <w:rPr>
          <w:rFonts w:hint="cs"/>
          <w:rtl/>
          <w:lang w:val="fr-CH"/>
        </w:rPr>
        <w:t xml:space="preserve"> لا</w:t>
      </w:r>
      <w:r>
        <w:rPr>
          <w:rtl/>
          <w:lang w:val="fr-CH"/>
        </w:rPr>
        <w:t> </w:t>
      </w:r>
      <w:r w:rsidRPr="00FA0FC2">
        <w:rPr>
          <w:rFonts w:hint="cs"/>
          <w:rtl/>
          <w:lang w:val="fr-CH"/>
        </w:rPr>
        <w:t>تقوم على أية وقائع.</w:t>
      </w:r>
    </w:p>
    <w:p w:rsidR="00091373" w:rsidRPr="00FA0FC2" w:rsidRDefault="00091373" w:rsidP="00091373">
      <w:pPr>
        <w:pStyle w:val="SingleTxtGA"/>
        <w:rPr>
          <w:rFonts w:hint="cs"/>
          <w:rtl/>
          <w:lang w:val="fr-CH"/>
        </w:rPr>
      </w:pPr>
      <w:r w:rsidRPr="00FA0FC2">
        <w:rPr>
          <w:rFonts w:hint="cs"/>
          <w:rtl/>
          <w:lang w:val="fr-CH"/>
        </w:rPr>
        <w:t>4-7</w:t>
      </w:r>
      <w:r w:rsidRPr="00FA0FC2">
        <w:rPr>
          <w:rFonts w:hint="cs"/>
          <w:rtl/>
          <w:lang w:val="fr-CH"/>
        </w:rPr>
        <w:tab/>
        <w:t>وتلاحظ الدولة الطرف أيضاً أن صاحب الشكوى ادعى أنه قدم طلباً للجوء في 1 كانون الأول/ديسمبر 2005. ومع ذلك، تبين الوقائع أنه انتظر لمدة شهر ونصف بعد وصوله قبل أن يقدم مثل هذا الطلب، وهو</w:t>
      </w:r>
      <w:r>
        <w:rPr>
          <w:rFonts w:hint="cs"/>
          <w:rtl/>
          <w:lang w:val="fr-CH"/>
        </w:rPr>
        <w:t xml:space="preserve"> ما</w:t>
      </w:r>
      <w:r>
        <w:rPr>
          <w:rtl/>
          <w:lang w:val="fr-CH"/>
        </w:rPr>
        <w:t> </w:t>
      </w:r>
      <w:r w:rsidRPr="00FA0FC2">
        <w:rPr>
          <w:rFonts w:hint="cs"/>
          <w:rtl/>
          <w:lang w:val="fr-CH"/>
        </w:rPr>
        <w:t>يثير الشكوك</w:t>
      </w:r>
      <w:r>
        <w:rPr>
          <w:rFonts w:hint="cs"/>
          <w:rtl/>
          <w:lang w:val="fr-CH"/>
        </w:rPr>
        <w:t xml:space="preserve"> فيما</w:t>
      </w:r>
      <w:r>
        <w:rPr>
          <w:rtl/>
          <w:lang w:val="fr-CH"/>
        </w:rPr>
        <w:t> </w:t>
      </w:r>
      <w:r w:rsidRPr="00FA0FC2">
        <w:rPr>
          <w:rFonts w:hint="cs"/>
          <w:rtl/>
          <w:lang w:val="fr-CH"/>
        </w:rPr>
        <w:t>يتعلق بالحاجة للحماية. وتلاحظ أيضاً أن صاحب الشكوى ادعى أمام السلطات المحلية أنه أُطلق سراحه بعد ليلة من الاحتجاز، في حين أنه ادعى أمام اللجنة أنه تمكن من الفرار. وتلاحظ الدولة الطرف أيضاً أن صاحب الشكوى</w:t>
      </w:r>
      <w:r>
        <w:rPr>
          <w:rFonts w:hint="cs"/>
          <w:rtl/>
          <w:lang w:val="fr-CH"/>
        </w:rPr>
        <w:t xml:space="preserve"> لم</w:t>
      </w:r>
      <w:r>
        <w:rPr>
          <w:rtl/>
          <w:lang w:val="fr-CH"/>
        </w:rPr>
        <w:t> </w:t>
      </w:r>
      <w:r w:rsidRPr="00FA0FC2">
        <w:rPr>
          <w:rFonts w:hint="cs"/>
          <w:rtl/>
          <w:lang w:val="fr-CH"/>
        </w:rPr>
        <w:t>يتمكن من تسمية المجموعة الإرهابية التي يدعي أنها قامت بتهديده.</w:t>
      </w:r>
    </w:p>
    <w:p w:rsidR="00091373" w:rsidRPr="00FA0FC2" w:rsidRDefault="00091373" w:rsidP="00091373">
      <w:pPr>
        <w:pStyle w:val="SingleTxtGA"/>
        <w:rPr>
          <w:rFonts w:hint="cs"/>
          <w:spacing w:val="-2"/>
          <w:rtl/>
          <w:lang w:val="fr-CH"/>
        </w:rPr>
      </w:pPr>
      <w:r w:rsidRPr="00FA0FC2">
        <w:rPr>
          <w:rFonts w:hint="cs"/>
          <w:rtl/>
          <w:lang w:val="fr-CH"/>
        </w:rPr>
        <w:t>4-8</w:t>
      </w:r>
      <w:r w:rsidRPr="00FA0FC2">
        <w:rPr>
          <w:rFonts w:hint="cs"/>
          <w:rtl/>
          <w:lang w:val="fr-CH"/>
        </w:rPr>
        <w:tab/>
        <w:t>وترى الدولة الطرف أن صاحب الشكوى</w:t>
      </w:r>
      <w:r>
        <w:rPr>
          <w:rFonts w:hint="cs"/>
          <w:rtl/>
          <w:lang w:val="fr-CH"/>
        </w:rPr>
        <w:t xml:space="preserve"> لم</w:t>
      </w:r>
      <w:r>
        <w:rPr>
          <w:rtl/>
          <w:lang w:val="fr-CH"/>
        </w:rPr>
        <w:t> </w:t>
      </w:r>
      <w:r w:rsidRPr="00FA0FC2">
        <w:rPr>
          <w:rFonts w:hint="cs"/>
          <w:rtl/>
          <w:lang w:val="fr-CH"/>
        </w:rPr>
        <w:t>يتمكن من تقديم</w:t>
      </w:r>
      <w:r>
        <w:rPr>
          <w:rFonts w:hint="cs"/>
          <w:rtl/>
          <w:lang w:val="fr-CH"/>
        </w:rPr>
        <w:t xml:space="preserve"> ما</w:t>
      </w:r>
      <w:r>
        <w:rPr>
          <w:rtl/>
          <w:lang w:val="fr-CH"/>
        </w:rPr>
        <w:t> </w:t>
      </w:r>
      <w:r w:rsidRPr="00FA0FC2">
        <w:rPr>
          <w:rFonts w:hint="cs"/>
          <w:rtl/>
          <w:lang w:val="fr-CH"/>
        </w:rPr>
        <w:t>يثبت اشتباهه في التورط مع إرهابيين، وبالتالي</w:t>
      </w:r>
      <w:r>
        <w:rPr>
          <w:rFonts w:hint="cs"/>
          <w:rtl/>
          <w:lang w:val="fr-CH"/>
        </w:rPr>
        <w:t xml:space="preserve"> لا</w:t>
      </w:r>
      <w:r>
        <w:rPr>
          <w:rtl/>
          <w:lang w:val="fr-CH"/>
        </w:rPr>
        <w:t> </w:t>
      </w:r>
      <w:r w:rsidRPr="00FA0FC2">
        <w:rPr>
          <w:rFonts w:hint="cs"/>
          <w:rtl/>
          <w:lang w:val="fr-CH"/>
        </w:rPr>
        <w:t>يوجد سبب للاعتقاد بأنه سيودع في السجن عند عودته إلى الجزائر. لذلك، وحتى إذا خلصت اللجنة إلى أن صاحب الشكوى يخضع لتهديد فعلي بالتعذيب من جانب إرهابيين، وهو أمر ترفضه الدولة الطرف،</w:t>
      </w:r>
      <w:r>
        <w:rPr>
          <w:rFonts w:hint="cs"/>
          <w:rtl/>
          <w:lang w:val="fr-CH"/>
        </w:rPr>
        <w:t xml:space="preserve"> لا</w:t>
      </w:r>
      <w:r>
        <w:rPr>
          <w:rtl/>
          <w:lang w:val="fr-CH"/>
        </w:rPr>
        <w:t> </w:t>
      </w:r>
      <w:r w:rsidRPr="00FA0FC2">
        <w:rPr>
          <w:rFonts w:hint="cs"/>
          <w:rtl/>
          <w:lang w:val="fr-CH"/>
        </w:rPr>
        <w:t>يوجد</w:t>
      </w:r>
      <w:r>
        <w:rPr>
          <w:rFonts w:hint="cs"/>
          <w:rtl/>
          <w:lang w:val="fr-CH"/>
        </w:rPr>
        <w:t xml:space="preserve"> ما</w:t>
      </w:r>
      <w:r>
        <w:rPr>
          <w:rtl/>
          <w:lang w:val="fr-CH"/>
        </w:rPr>
        <w:t> </w:t>
      </w:r>
      <w:r w:rsidRPr="00FA0FC2">
        <w:rPr>
          <w:rFonts w:hint="cs"/>
          <w:rtl/>
          <w:lang w:val="fr-CH"/>
        </w:rPr>
        <w:t>يمنعه من العودة إلى السلطات الجزائرية لالتماس الحماية،</w:t>
      </w:r>
      <w:r>
        <w:rPr>
          <w:rFonts w:hint="cs"/>
          <w:rtl/>
          <w:lang w:val="fr-CH"/>
        </w:rPr>
        <w:t xml:space="preserve"> لا</w:t>
      </w:r>
      <w:r>
        <w:rPr>
          <w:rtl/>
          <w:lang w:val="fr-CH"/>
        </w:rPr>
        <w:t> </w:t>
      </w:r>
      <w:r w:rsidRPr="00FA0FC2">
        <w:rPr>
          <w:rFonts w:hint="cs"/>
          <w:rtl/>
          <w:lang w:val="fr-CH"/>
        </w:rPr>
        <w:t>سيما عندما تبيّن أنه غير مشتبه به في التورط مع إرهابيين</w:t>
      </w:r>
      <w:r>
        <w:rPr>
          <w:rFonts w:hint="cs"/>
          <w:rtl/>
          <w:lang w:val="fr-CH"/>
        </w:rPr>
        <w:t xml:space="preserve"> ولا</w:t>
      </w:r>
      <w:r>
        <w:rPr>
          <w:rtl/>
          <w:lang w:val="fr-CH"/>
        </w:rPr>
        <w:t> </w:t>
      </w:r>
      <w:r w:rsidRPr="00FA0FC2">
        <w:rPr>
          <w:rFonts w:hint="cs"/>
          <w:rtl/>
          <w:lang w:val="fr-CH"/>
        </w:rPr>
        <w:t>أنه محكوم عليه لتورطه معهم. وتلاحظ أيضاً أن الشكوى غير مدعومة بأدلة لإثبات تورطه مع الشرطة بعد أن اتصل به الإرهابيون حسبما يزعم. وأياً كان الحال، فإن الأمر</w:t>
      </w:r>
      <w:r>
        <w:rPr>
          <w:rFonts w:hint="cs"/>
          <w:rtl/>
          <w:lang w:val="fr-CH"/>
        </w:rPr>
        <w:t xml:space="preserve"> لا</w:t>
      </w:r>
      <w:r>
        <w:rPr>
          <w:rtl/>
          <w:lang w:val="fr-CH"/>
        </w:rPr>
        <w:t> </w:t>
      </w:r>
      <w:r w:rsidRPr="00FA0FC2">
        <w:rPr>
          <w:rFonts w:hint="cs"/>
          <w:rtl/>
          <w:lang w:val="fr-CH"/>
        </w:rPr>
        <w:t>يعدو أن يكون سوء تصرف من ضابط شرطة بمفرده. وفضلاً عن ذلك، تذكّر الدولة الطرف بأحكام ال</w:t>
      </w:r>
      <w:r>
        <w:rPr>
          <w:rFonts w:hint="cs"/>
          <w:rtl/>
          <w:lang w:val="fr-CH"/>
        </w:rPr>
        <w:t>مادة</w:t>
      </w:r>
      <w:r>
        <w:rPr>
          <w:rtl/>
          <w:lang w:val="fr-CH"/>
        </w:rPr>
        <w:t> </w:t>
      </w:r>
      <w:r w:rsidRPr="00FA0FC2">
        <w:rPr>
          <w:rFonts w:hint="cs"/>
          <w:rtl/>
          <w:lang w:val="fr-CH"/>
        </w:rPr>
        <w:t xml:space="preserve">1 من الاتفاقية، وترى أن ادعاء صاحب الشكوى تعرضه لخطر </w:t>
      </w:r>
      <w:r w:rsidRPr="00FA0FC2">
        <w:rPr>
          <w:rFonts w:hint="cs"/>
          <w:spacing w:val="-2"/>
          <w:rtl/>
          <w:lang w:val="fr-CH"/>
        </w:rPr>
        <w:t>القتل من جانب إرهابيين يخرج عن نطاق ال</w:t>
      </w:r>
      <w:r>
        <w:rPr>
          <w:rFonts w:hint="cs"/>
          <w:spacing w:val="-2"/>
          <w:rtl/>
          <w:lang w:val="fr-CH"/>
        </w:rPr>
        <w:t>مادة</w:t>
      </w:r>
      <w:r>
        <w:rPr>
          <w:spacing w:val="-2"/>
          <w:rtl/>
          <w:lang w:val="fr-CH"/>
        </w:rPr>
        <w:t> </w:t>
      </w:r>
      <w:r w:rsidRPr="00FA0FC2">
        <w:rPr>
          <w:rFonts w:hint="cs"/>
          <w:spacing w:val="-2"/>
          <w:rtl/>
          <w:lang w:val="fr-CH"/>
        </w:rPr>
        <w:t>3. وفضلاً عن ذلك، تلاحظ الدولة الطرف أن صاحب الشكوى غادر الجزائر قبل ست سنوات وأن تاريخ آخر بيان من الشرطة هو حزيران/</w:t>
      </w:r>
      <w:r>
        <w:rPr>
          <w:rFonts w:hint="cs"/>
          <w:spacing w:val="-2"/>
          <w:rtl/>
          <w:lang w:val="fr-CH"/>
        </w:rPr>
        <w:t xml:space="preserve"> </w:t>
      </w:r>
      <w:r w:rsidRPr="00FA0FC2">
        <w:rPr>
          <w:rFonts w:hint="cs"/>
          <w:spacing w:val="-2"/>
          <w:rtl/>
          <w:lang w:val="fr-CH"/>
        </w:rPr>
        <w:t>يونيه 2005. ونظراً لطول الوقت الذي مر فإن هناك القليل الذي يحمل على التصديق بأن الإرهابيين</w:t>
      </w:r>
      <w:r>
        <w:rPr>
          <w:rFonts w:hint="cs"/>
          <w:spacing w:val="-2"/>
          <w:rtl/>
          <w:lang w:val="fr-CH"/>
        </w:rPr>
        <w:t xml:space="preserve"> لا</w:t>
      </w:r>
      <w:r>
        <w:rPr>
          <w:spacing w:val="-2"/>
          <w:rtl/>
          <w:lang w:val="fr-CH"/>
        </w:rPr>
        <w:t> </w:t>
      </w:r>
      <w:r w:rsidRPr="00FA0FC2">
        <w:rPr>
          <w:rFonts w:hint="cs"/>
          <w:spacing w:val="-2"/>
          <w:rtl/>
          <w:lang w:val="fr-CH"/>
        </w:rPr>
        <w:t>يزالون مهتمين بصاحب الشكوى في حال عودته إلى الجزائر. وختاماً، تدعي الدولة الطرف أن الأدلة والظروف التي تذرع بها صاحب الشكوى ليست كافية لبيان أن خطر التعرض للتعذيب المزعوم يفي بمتطلبات أن يكون متوقعاً وحقيقياً وشخصياً.</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تعليقات صاحب الشكوى على ملاحظات الدولة الطرف</w:t>
      </w:r>
    </w:p>
    <w:p w:rsidR="00091373" w:rsidRPr="00FA0FC2" w:rsidRDefault="00091373" w:rsidP="00091373">
      <w:pPr>
        <w:pStyle w:val="SingleTxtGA"/>
        <w:rPr>
          <w:rFonts w:hint="cs"/>
          <w:rtl/>
          <w:lang w:val="fr-CH"/>
        </w:rPr>
      </w:pPr>
      <w:r w:rsidRPr="00FA0FC2">
        <w:rPr>
          <w:rFonts w:hint="cs"/>
          <w:rtl/>
          <w:lang w:val="fr-CH"/>
        </w:rPr>
        <w:t>5-1</w:t>
      </w:r>
      <w:r w:rsidRPr="00FA0FC2">
        <w:rPr>
          <w:rFonts w:hint="cs"/>
          <w:rtl/>
          <w:lang w:val="fr-CH"/>
        </w:rPr>
        <w:tab/>
        <w:t>في 22 تشرين الثاني/نوفمبر 2011، قدم صاحب الشكوى تعليقاته على ملاحظات الدولة الطرف. وقال إنها المرة الأولى التي يتمكن فيها من توضيح قضيته على أحسن وجه. فخلال الإجراءات الداخلية، إما أن المترجم الشفوي</w:t>
      </w:r>
      <w:r>
        <w:rPr>
          <w:rFonts w:hint="cs"/>
          <w:rtl/>
          <w:lang w:val="fr-CH"/>
        </w:rPr>
        <w:t xml:space="preserve"> لم</w:t>
      </w:r>
      <w:r>
        <w:rPr>
          <w:rtl/>
          <w:lang w:val="fr-CH"/>
        </w:rPr>
        <w:t> </w:t>
      </w:r>
      <w:r w:rsidRPr="00FA0FC2">
        <w:rPr>
          <w:rFonts w:hint="cs"/>
          <w:rtl/>
          <w:lang w:val="fr-CH"/>
        </w:rPr>
        <w:t>يكن متمرساً</w:t>
      </w:r>
      <w:r>
        <w:rPr>
          <w:rFonts w:hint="cs"/>
          <w:rtl/>
          <w:lang w:val="fr-CH"/>
        </w:rPr>
        <w:t xml:space="preserve"> أو</w:t>
      </w:r>
      <w:r>
        <w:rPr>
          <w:rtl/>
          <w:lang w:val="fr-CH"/>
        </w:rPr>
        <w:t> </w:t>
      </w:r>
      <w:r w:rsidRPr="00FA0FC2">
        <w:rPr>
          <w:rFonts w:hint="cs"/>
          <w:rtl/>
          <w:lang w:val="fr-CH"/>
        </w:rPr>
        <w:t>أنه تم تغ</w:t>
      </w:r>
      <w:r>
        <w:rPr>
          <w:rFonts w:hint="cs"/>
          <w:rtl/>
          <w:lang w:val="fr-CH"/>
        </w:rPr>
        <w:t>ي</w:t>
      </w:r>
      <w:r w:rsidRPr="00FA0FC2">
        <w:rPr>
          <w:rFonts w:hint="cs"/>
          <w:rtl/>
          <w:lang w:val="fr-CH"/>
        </w:rPr>
        <w:t>يره خلال الجلسة</w:t>
      </w:r>
      <w:r>
        <w:rPr>
          <w:rFonts w:hint="cs"/>
          <w:rtl/>
          <w:lang w:val="fr-CH"/>
        </w:rPr>
        <w:t xml:space="preserve"> أو</w:t>
      </w:r>
      <w:r>
        <w:rPr>
          <w:rtl/>
          <w:lang w:val="fr-CH"/>
        </w:rPr>
        <w:t> </w:t>
      </w:r>
      <w:r w:rsidRPr="00FA0FC2">
        <w:rPr>
          <w:rFonts w:hint="cs"/>
          <w:rtl/>
          <w:lang w:val="fr-CH"/>
        </w:rPr>
        <w:t>أن الترجمة الشفوية تمت من خلال تداول عبر الهاتف كان الاستقبال فيه أحياناً رديئاً. وفضلاً عن ذلك، يدعي صاحب الشكوى أن المعلومات التي قدمها عانت من صعوبات الترجمة من اللغة العربية إلى اللغة الفرنسية ومن ثم إلى اللغة الإنكليزية خلال اجتماع عقد على بعد 500 كيلو متر من مكان إقامته.</w:t>
      </w:r>
    </w:p>
    <w:p w:rsidR="00091373" w:rsidRPr="00FA0FC2" w:rsidRDefault="00091373" w:rsidP="00091373">
      <w:pPr>
        <w:pStyle w:val="SingleTxtGA"/>
        <w:rPr>
          <w:rFonts w:hint="cs"/>
          <w:rtl/>
          <w:lang w:val="fr-CH"/>
        </w:rPr>
      </w:pPr>
      <w:r w:rsidRPr="00FA0FC2">
        <w:rPr>
          <w:rFonts w:hint="cs"/>
          <w:rtl/>
          <w:lang w:val="fr-CH"/>
        </w:rPr>
        <w:t>5-2</w:t>
      </w:r>
      <w:r w:rsidRPr="00FA0FC2">
        <w:rPr>
          <w:rFonts w:hint="cs"/>
          <w:rtl/>
          <w:lang w:val="fr-CH"/>
        </w:rPr>
        <w:tab/>
        <w:t>وفيما يتعلق بالحالة العامة لحقوق الإنسان في الجزائر، يأخذ صاحب الشكوى علماً بالتقارير التي أشارت إليها الدولة الطرف ويصر على أن الحالة الراهنة هي أسوأ من ذلك،</w:t>
      </w:r>
      <w:r>
        <w:rPr>
          <w:rFonts w:hint="cs"/>
          <w:rtl/>
          <w:lang w:val="fr-CH"/>
        </w:rPr>
        <w:t xml:space="preserve"> ولا</w:t>
      </w:r>
      <w:r>
        <w:rPr>
          <w:rtl/>
          <w:lang w:val="fr-CH"/>
        </w:rPr>
        <w:t> </w:t>
      </w:r>
      <w:r w:rsidRPr="00FA0FC2">
        <w:rPr>
          <w:rFonts w:hint="cs"/>
          <w:rtl/>
          <w:lang w:val="fr-CH"/>
        </w:rPr>
        <w:t>سيما في أماكن الاحتجاز التي تتزايد فيها حالات التعذيب وسوء المعاملة.</w:t>
      </w:r>
    </w:p>
    <w:p w:rsidR="00091373" w:rsidRPr="00FA0FC2" w:rsidRDefault="00091373" w:rsidP="00091373">
      <w:pPr>
        <w:pStyle w:val="SingleTxtGA"/>
        <w:rPr>
          <w:rFonts w:hint="cs"/>
          <w:rtl/>
          <w:lang w:val="fr-CH"/>
        </w:rPr>
      </w:pPr>
      <w:r w:rsidRPr="00FA0FC2">
        <w:rPr>
          <w:rFonts w:hint="cs"/>
          <w:rtl/>
          <w:lang w:val="fr-CH"/>
        </w:rPr>
        <w:t>5-3</w:t>
      </w:r>
      <w:r w:rsidRPr="00FA0FC2">
        <w:rPr>
          <w:rFonts w:hint="cs"/>
          <w:rtl/>
          <w:lang w:val="fr-CH"/>
        </w:rPr>
        <w:tab/>
        <w:t>ويكرر ادعاءه أنه يخشى التعرض للتعذيب والقتل إما من جانب السلطات الجزائرية</w:t>
      </w:r>
      <w:r>
        <w:rPr>
          <w:rFonts w:hint="cs"/>
          <w:rtl/>
          <w:lang w:val="fr-CH"/>
        </w:rPr>
        <w:t xml:space="preserve"> أو</w:t>
      </w:r>
      <w:r>
        <w:rPr>
          <w:rtl/>
          <w:lang w:val="fr-CH"/>
        </w:rPr>
        <w:t> </w:t>
      </w:r>
      <w:r w:rsidRPr="00FA0FC2">
        <w:rPr>
          <w:rFonts w:hint="cs"/>
          <w:rtl/>
          <w:lang w:val="fr-CH"/>
        </w:rPr>
        <w:t>من جانب الإرهابيين داخل السجن. فالدافع وراء قيام السلطات الجزائرية بذلك هو أنه حكم عليه لأنه كان عضواً في منظمة إرهابية ولأنه كان مسؤولاً عن قتل ضابط شرطة؛ والدافع وراء قيام المجموعة الإرهابية بذلك هو لأنها تعتبره خائناً ومسؤولاً عن قتل إرهابييَنْ.</w:t>
      </w:r>
    </w:p>
    <w:p w:rsidR="00091373" w:rsidRPr="00C31DD5" w:rsidRDefault="00091373" w:rsidP="00091373">
      <w:pPr>
        <w:pStyle w:val="SingleTxtGA"/>
        <w:rPr>
          <w:rFonts w:hint="cs"/>
          <w:spacing w:val="-2"/>
          <w:rtl/>
          <w:lang w:val="fr-CH"/>
        </w:rPr>
      </w:pPr>
      <w:r w:rsidRPr="00C31DD5">
        <w:rPr>
          <w:rFonts w:hint="cs"/>
          <w:spacing w:val="-2"/>
          <w:rtl/>
          <w:lang w:val="fr-CH"/>
        </w:rPr>
        <w:t>5-4</w:t>
      </w:r>
      <w:r w:rsidRPr="00C31DD5">
        <w:rPr>
          <w:rFonts w:hint="cs"/>
          <w:spacing w:val="-2"/>
          <w:rtl/>
          <w:lang w:val="fr-CH"/>
        </w:rPr>
        <w:tab/>
        <w:t>ويصر صاحب الشكوى على أن أوامر الإحضار، وكذلك البيانات التي قدمها والده إلى الشرطة، صحيحة. وفيما</w:t>
      </w:r>
      <w:r w:rsidRPr="00C31DD5">
        <w:rPr>
          <w:spacing w:val="-2"/>
          <w:rtl/>
          <w:lang w:val="fr-CH"/>
        </w:rPr>
        <w:t> </w:t>
      </w:r>
      <w:r w:rsidRPr="00C31DD5">
        <w:rPr>
          <w:rFonts w:hint="cs"/>
          <w:spacing w:val="-2"/>
          <w:rtl/>
          <w:lang w:val="fr-CH"/>
        </w:rPr>
        <w:t>يتعلق بالحكم الصادر بحقه، يدعي صاحب الشكوى أن الدولة الطرف انتهكت مبدأ السرية عندما طلبت من السفارة السويدية في الجزائر التحقيق في حكم من خلال محامٍ جزائري. وذكر أن المواطنين الجزائريين العاملين في السفارة يخضعون للرقابة من جانب أجهزة الأمن وأن بعضهم يعملون لصالحها. ولذلك، فإن اسم صاحب الشكوى مدرج في قائمة الأجهزة الأمنية. ويدعي أن الدولة الطرف لا</w:t>
      </w:r>
      <w:r w:rsidRPr="00C31DD5">
        <w:rPr>
          <w:spacing w:val="-2"/>
          <w:rtl/>
          <w:lang w:val="fr-CH"/>
        </w:rPr>
        <w:t> </w:t>
      </w:r>
      <w:r w:rsidRPr="00C31DD5">
        <w:rPr>
          <w:rFonts w:hint="cs"/>
          <w:spacing w:val="-2"/>
          <w:rtl/>
          <w:lang w:val="fr-CH"/>
        </w:rPr>
        <w:t>تملك أي حق في إرسال وثيقة من وثائق ملف قضية تتعلق بملتمس لجوء إلى بلده الأصلي وأنه لا</w:t>
      </w:r>
      <w:r w:rsidRPr="00C31DD5">
        <w:rPr>
          <w:spacing w:val="-2"/>
          <w:rtl/>
          <w:lang w:val="fr-CH"/>
        </w:rPr>
        <w:t> </w:t>
      </w:r>
      <w:r w:rsidRPr="00C31DD5">
        <w:rPr>
          <w:rFonts w:hint="cs"/>
          <w:spacing w:val="-2"/>
          <w:rtl/>
          <w:lang w:val="fr-CH"/>
        </w:rPr>
        <w:t>يفهم لماذا لم</w:t>
      </w:r>
      <w:r w:rsidRPr="00C31DD5">
        <w:rPr>
          <w:spacing w:val="-2"/>
          <w:rtl/>
          <w:lang w:val="fr-CH"/>
        </w:rPr>
        <w:t> </w:t>
      </w:r>
      <w:r w:rsidRPr="00C31DD5">
        <w:rPr>
          <w:rFonts w:hint="cs"/>
          <w:spacing w:val="-2"/>
          <w:rtl/>
          <w:lang w:val="fr-CH"/>
        </w:rPr>
        <w:t>يتم إجراء تحقيقات إضافية في ذلك في عام</w:t>
      </w:r>
      <w:r w:rsidRPr="00C31DD5">
        <w:rPr>
          <w:spacing w:val="-2"/>
          <w:rtl/>
          <w:lang w:val="fr-CH"/>
        </w:rPr>
        <w:t> </w:t>
      </w:r>
      <w:r w:rsidRPr="00C31DD5">
        <w:rPr>
          <w:rFonts w:hint="cs"/>
          <w:spacing w:val="-2"/>
          <w:rtl/>
          <w:lang w:val="fr-CH"/>
        </w:rPr>
        <w:t>2008 عندما قدم هذه الوثيقة بل تم في 25 تموز/يوليه</w:t>
      </w:r>
      <w:r w:rsidRPr="00C31DD5">
        <w:rPr>
          <w:rFonts w:hint="eastAsia"/>
          <w:spacing w:val="-2"/>
          <w:rtl/>
          <w:lang w:val="fr-CH"/>
        </w:rPr>
        <w:t> </w:t>
      </w:r>
      <w:r w:rsidRPr="00C31DD5">
        <w:rPr>
          <w:rFonts w:hint="cs"/>
          <w:spacing w:val="-2"/>
          <w:rtl/>
          <w:lang w:val="fr-CH"/>
        </w:rPr>
        <w:t>2010. ويشكك صاحب الشكوى في صحة الوثيقة ويدعي أن 25 تموز/يوليه 2010 هو تاريخ خطأ وأن الوثيقة ليست وثيقة رسمية لأنها تفتقر لختم المحامي أو</w:t>
      </w:r>
      <w:r w:rsidRPr="00C31DD5">
        <w:rPr>
          <w:spacing w:val="-2"/>
          <w:rtl/>
          <w:lang w:val="fr-CH"/>
        </w:rPr>
        <w:t> </w:t>
      </w:r>
      <w:r w:rsidRPr="00C31DD5">
        <w:rPr>
          <w:rFonts w:hint="cs"/>
          <w:spacing w:val="-2"/>
          <w:rtl/>
          <w:lang w:val="fr-CH"/>
        </w:rPr>
        <w:t>السفارة ولأنه لا</w:t>
      </w:r>
      <w:r w:rsidRPr="00C31DD5">
        <w:rPr>
          <w:spacing w:val="-2"/>
          <w:rtl/>
          <w:lang w:val="fr-CH"/>
        </w:rPr>
        <w:t> </w:t>
      </w:r>
      <w:r w:rsidRPr="00C31DD5">
        <w:rPr>
          <w:rFonts w:hint="cs"/>
          <w:spacing w:val="-2"/>
          <w:rtl/>
          <w:lang w:val="fr-CH"/>
        </w:rPr>
        <w:t>يجوز لأي محامٍ أن يطلع على حكم سري إلا</w:t>
      </w:r>
      <w:r w:rsidRPr="00C31DD5">
        <w:rPr>
          <w:spacing w:val="-2"/>
          <w:rtl/>
          <w:lang w:val="fr-CH"/>
        </w:rPr>
        <w:t> </w:t>
      </w:r>
      <w:r w:rsidRPr="00C31DD5">
        <w:rPr>
          <w:rFonts w:hint="cs"/>
          <w:spacing w:val="-2"/>
          <w:rtl/>
          <w:lang w:val="fr-CH"/>
        </w:rPr>
        <w:t>بعد أن يحصل على توكيل عام</w:t>
      </w:r>
      <w:r w:rsidRPr="00C31DD5">
        <w:rPr>
          <w:spacing w:val="-2"/>
          <w:rtl/>
          <w:lang w:val="fr-CH"/>
        </w:rPr>
        <w:t> </w:t>
      </w:r>
      <w:r w:rsidRPr="00C31DD5">
        <w:rPr>
          <w:rFonts w:hint="cs"/>
          <w:spacing w:val="-2"/>
          <w:rtl/>
          <w:lang w:val="fr-CH"/>
        </w:rPr>
        <w:t>منه.</w:t>
      </w:r>
    </w:p>
    <w:p w:rsidR="00091373" w:rsidRPr="00FA0FC2" w:rsidRDefault="00091373" w:rsidP="00091373">
      <w:pPr>
        <w:pStyle w:val="SingleTxtGA"/>
        <w:rPr>
          <w:rFonts w:hint="cs"/>
          <w:rtl/>
          <w:lang w:val="fr-CH"/>
        </w:rPr>
      </w:pPr>
      <w:r w:rsidRPr="00FA0FC2">
        <w:rPr>
          <w:rFonts w:hint="cs"/>
          <w:rtl/>
          <w:lang w:val="fr-CH"/>
        </w:rPr>
        <w:t>5-5</w:t>
      </w:r>
      <w:r>
        <w:rPr>
          <w:rFonts w:hint="cs"/>
          <w:rtl/>
          <w:lang w:val="fr-CH"/>
        </w:rPr>
        <w:tab/>
        <w:t>وفيما</w:t>
      </w:r>
      <w:r>
        <w:rPr>
          <w:rtl/>
          <w:lang w:val="fr-CH"/>
        </w:rPr>
        <w:t> </w:t>
      </w:r>
      <w:r w:rsidRPr="00FA0FC2">
        <w:rPr>
          <w:rFonts w:hint="cs"/>
          <w:rtl/>
          <w:lang w:val="fr-CH"/>
        </w:rPr>
        <w:t>يتعلق بالتأخير بتقديم طلب اللجوء، يدعي صاحب الشكوى أنه كان يشعر بالأمان عندما وصل إلى السويد وأنه</w:t>
      </w:r>
      <w:r>
        <w:rPr>
          <w:rFonts w:hint="cs"/>
          <w:rtl/>
          <w:lang w:val="fr-CH"/>
        </w:rPr>
        <w:t xml:space="preserve"> لم</w:t>
      </w:r>
      <w:r>
        <w:rPr>
          <w:rtl/>
          <w:lang w:val="fr-CH"/>
        </w:rPr>
        <w:t> </w:t>
      </w:r>
      <w:r w:rsidRPr="00FA0FC2">
        <w:rPr>
          <w:rFonts w:hint="cs"/>
          <w:rtl/>
          <w:lang w:val="fr-CH"/>
        </w:rPr>
        <w:t>يكن لديه المعلومات اللازمة بشأن إجراءات اللجوء. وختاماً، يشير صاحب الشكوى إلى أن الأدلة والظروف التي تذرعت بها الدولة الطرف غير كافية لبيان أن البلاغ غير مقبول</w:t>
      </w:r>
      <w:r>
        <w:rPr>
          <w:rFonts w:hint="cs"/>
          <w:rtl/>
          <w:lang w:val="fr-CH"/>
        </w:rPr>
        <w:t xml:space="preserve"> أو</w:t>
      </w:r>
      <w:r>
        <w:rPr>
          <w:rtl/>
          <w:lang w:val="fr-CH"/>
        </w:rPr>
        <w:t> </w:t>
      </w:r>
      <w:r w:rsidRPr="00FA0FC2">
        <w:rPr>
          <w:rFonts w:hint="cs"/>
          <w:rtl/>
          <w:lang w:val="fr-CH"/>
        </w:rPr>
        <w:t xml:space="preserve">أنه يفتقر إلى أساس موضوعي. ويكرر أنه يواجه خطراً حقيقياً للتعذيب والمعاملة المهينة. </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المسائل والإجراءات المعروضة على اللجنة</w:t>
      </w:r>
    </w:p>
    <w:p w:rsidR="00091373" w:rsidRPr="00FA0FC2" w:rsidRDefault="00091373" w:rsidP="00091373">
      <w:pPr>
        <w:pStyle w:val="H4GA"/>
        <w:rPr>
          <w:rFonts w:hint="cs"/>
          <w:rtl/>
          <w:lang w:val="fr-CH"/>
        </w:rPr>
      </w:pPr>
      <w:r w:rsidRPr="00FA0FC2">
        <w:rPr>
          <w:rFonts w:hint="cs"/>
          <w:rtl/>
          <w:lang w:val="fr-CH"/>
        </w:rPr>
        <w:tab/>
      </w:r>
      <w:r w:rsidRPr="00FA0FC2">
        <w:rPr>
          <w:rFonts w:hint="cs"/>
          <w:rtl/>
          <w:lang w:val="fr-CH"/>
        </w:rPr>
        <w:tab/>
        <w:t>النظر في المقبولية</w:t>
      </w:r>
    </w:p>
    <w:p w:rsidR="00091373" w:rsidRPr="00FA0FC2" w:rsidRDefault="00091373" w:rsidP="00091373">
      <w:pPr>
        <w:pStyle w:val="SingleTxtGA"/>
        <w:rPr>
          <w:rFonts w:hint="cs"/>
          <w:rtl/>
          <w:lang w:val="fr-CH"/>
        </w:rPr>
      </w:pPr>
      <w:r w:rsidRPr="00FA0FC2">
        <w:rPr>
          <w:rFonts w:hint="cs"/>
          <w:rtl/>
          <w:lang w:val="fr-CH"/>
        </w:rPr>
        <w:t>6-1</w:t>
      </w:r>
      <w:r w:rsidRPr="00FA0FC2">
        <w:rPr>
          <w:rFonts w:hint="cs"/>
          <w:rtl/>
          <w:lang w:val="fr-CH"/>
        </w:rPr>
        <w:tab/>
        <w:t>قبل النظر في أي ادعاء يرد في بلاغ ما، يجب أن تقرر لجنة مناهضة التعذيب</w:t>
      </w:r>
      <w:r>
        <w:rPr>
          <w:rFonts w:hint="cs"/>
          <w:rtl/>
          <w:lang w:val="fr-CH"/>
        </w:rPr>
        <w:t xml:space="preserve"> ما</w:t>
      </w:r>
      <w:r>
        <w:rPr>
          <w:rtl/>
          <w:lang w:val="fr-CH"/>
        </w:rPr>
        <w:t> </w:t>
      </w:r>
      <w:r w:rsidRPr="00FA0FC2">
        <w:rPr>
          <w:rFonts w:hint="cs"/>
          <w:rtl/>
          <w:lang w:val="fr-CH"/>
        </w:rPr>
        <w:t>إذا</w:t>
      </w:r>
      <w:r w:rsidRPr="00FA0FC2">
        <w:rPr>
          <w:rFonts w:hint="eastAsia"/>
          <w:rtl/>
          <w:lang w:val="fr-CH"/>
        </w:rPr>
        <w:t> </w:t>
      </w:r>
      <w:r w:rsidRPr="00FA0FC2">
        <w:rPr>
          <w:rFonts w:hint="cs"/>
          <w:rtl/>
          <w:lang w:val="fr-CH"/>
        </w:rPr>
        <w:t>كان البلاغ مقبولاً</w:t>
      </w:r>
      <w:r>
        <w:rPr>
          <w:rFonts w:hint="cs"/>
          <w:rtl/>
          <w:lang w:val="fr-CH"/>
        </w:rPr>
        <w:t xml:space="preserve"> أم</w:t>
      </w:r>
      <w:r>
        <w:rPr>
          <w:rtl/>
          <w:lang w:val="fr-CH"/>
        </w:rPr>
        <w:t> لا </w:t>
      </w:r>
      <w:r w:rsidRPr="00FA0FC2">
        <w:rPr>
          <w:rFonts w:hint="cs"/>
          <w:rtl/>
          <w:lang w:val="fr-CH"/>
        </w:rPr>
        <w:t>بموجب ال</w:t>
      </w:r>
      <w:r>
        <w:rPr>
          <w:rFonts w:hint="cs"/>
          <w:rtl/>
          <w:lang w:val="fr-CH"/>
        </w:rPr>
        <w:t>مادة</w:t>
      </w:r>
      <w:r>
        <w:rPr>
          <w:rtl/>
          <w:lang w:val="fr-CH"/>
        </w:rPr>
        <w:t> </w:t>
      </w:r>
      <w:r w:rsidRPr="00FA0FC2">
        <w:rPr>
          <w:rFonts w:hint="cs"/>
          <w:rtl/>
          <w:lang w:val="fr-CH"/>
        </w:rPr>
        <w:t>22 من الاتفاقية. وقد تأكدت اللجنة، وفقاً للفقرة 5(أ) من ال</w:t>
      </w:r>
      <w:r>
        <w:rPr>
          <w:rFonts w:hint="cs"/>
          <w:rtl/>
          <w:lang w:val="fr-CH"/>
        </w:rPr>
        <w:t>مادة</w:t>
      </w:r>
      <w:r>
        <w:rPr>
          <w:rtl/>
          <w:lang w:val="fr-CH"/>
        </w:rPr>
        <w:t> </w:t>
      </w:r>
      <w:r w:rsidRPr="00FA0FC2">
        <w:rPr>
          <w:rFonts w:hint="cs"/>
          <w:rtl/>
          <w:lang w:val="fr-CH"/>
        </w:rPr>
        <w:t>22 من الاتفاقية، من أن المسألة ذاتها</w:t>
      </w:r>
      <w:r>
        <w:rPr>
          <w:rFonts w:hint="cs"/>
          <w:rtl/>
          <w:lang w:val="fr-CH"/>
        </w:rPr>
        <w:t xml:space="preserve"> لم</w:t>
      </w:r>
      <w:r>
        <w:rPr>
          <w:rtl/>
          <w:lang w:val="fr-CH"/>
        </w:rPr>
        <w:t> </w:t>
      </w:r>
      <w:r w:rsidRPr="00FA0FC2">
        <w:rPr>
          <w:rFonts w:hint="cs"/>
          <w:rtl/>
          <w:lang w:val="fr-CH"/>
        </w:rPr>
        <w:t>تبُحث</w:t>
      </w:r>
      <w:r>
        <w:rPr>
          <w:rFonts w:hint="cs"/>
          <w:rtl/>
          <w:lang w:val="fr-CH"/>
        </w:rPr>
        <w:t xml:space="preserve"> ولا</w:t>
      </w:r>
      <w:r>
        <w:rPr>
          <w:rtl/>
          <w:lang w:val="fr-CH"/>
        </w:rPr>
        <w:t> </w:t>
      </w:r>
      <w:r w:rsidRPr="00FA0FC2">
        <w:rPr>
          <w:rFonts w:hint="cs"/>
          <w:rtl/>
          <w:lang w:val="fr-CH"/>
        </w:rPr>
        <w:t xml:space="preserve">يجرى بحثها في إطار أي إجراء آخر من إجراءات التحقيق </w:t>
      </w:r>
      <w:r>
        <w:rPr>
          <w:rFonts w:hint="cs"/>
          <w:rtl/>
          <w:lang w:val="fr-CH"/>
        </w:rPr>
        <w:t>الدولي أو</w:t>
      </w:r>
      <w:r>
        <w:rPr>
          <w:rtl/>
          <w:lang w:val="fr-CH"/>
        </w:rPr>
        <w:t> </w:t>
      </w:r>
      <w:r w:rsidRPr="00FA0FC2">
        <w:rPr>
          <w:rFonts w:hint="cs"/>
          <w:rtl/>
          <w:lang w:val="fr-CH"/>
        </w:rPr>
        <w:t>التسوية الدولية.</w:t>
      </w:r>
    </w:p>
    <w:p w:rsidR="00091373" w:rsidRPr="00FA0FC2" w:rsidRDefault="00091373" w:rsidP="00091373">
      <w:pPr>
        <w:pStyle w:val="SingleTxtGA"/>
        <w:rPr>
          <w:rFonts w:hint="cs"/>
          <w:rtl/>
          <w:lang w:val="fr-CH"/>
        </w:rPr>
      </w:pPr>
      <w:r w:rsidRPr="00FA0FC2">
        <w:rPr>
          <w:rFonts w:hint="cs"/>
          <w:rtl/>
          <w:lang w:val="fr-CH"/>
        </w:rPr>
        <w:t>6-2</w:t>
      </w:r>
      <w:r w:rsidRPr="00FA0FC2">
        <w:rPr>
          <w:rFonts w:hint="cs"/>
          <w:rtl/>
          <w:lang w:val="fr-CH"/>
        </w:rPr>
        <w:tab/>
        <w:t>ووفقاً للفقرة 5(ب) من ال</w:t>
      </w:r>
      <w:r>
        <w:rPr>
          <w:rFonts w:hint="cs"/>
          <w:rtl/>
          <w:lang w:val="fr-CH"/>
        </w:rPr>
        <w:t>مادة</w:t>
      </w:r>
      <w:r>
        <w:rPr>
          <w:rtl/>
          <w:lang w:val="fr-CH"/>
        </w:rPr>
        <w:t> </w:t>
      </w:r>
      <w:r w:rsidRPr="00FA0FC2">
        <w:rPr>
          <w:rFonts w:hint="cs"/>
          <w:rtl/>
          <w:lang w:val="fr-CH"/>
        </w:rPr>
        <w:t>22 من الاتفاقية،</w:t>
      </w:r>
      <w:r>
        <w:rPr>
          <w:rFonts w:hint="cs"/>
          <w:rtl/>
          <w:lang w:val="fr-CH"/>
        </w:rPr>
        <w:t xml:space="preserve"> لا</w:t>
      </w:r>
      <w:r>
        <w:rPr>
          <w:rtl/>
          <w:lang w:val="fr-CH"/>
        </w:rPr>
        <w:t> </w:t>
      </w:r>
      <w:r w:rsidRPr="00FA0FC2">
        <w:rPr>
          <w:rFonts w:hint="cs"/>
          <w:rtl/>
          <w:lang w:val="fr-CH"/>
        </w:rPr>
        <w:t>تنظر اللجنة في أي بلاغ</w:t>
      </w:r>
      <w:r>
        <w:rPr>
          <w:rFonts w:hint="cs"/>
          <w:rtl/>
          <w:lang w:val="fr-CH"/>
        </w:rPr>
        <w:t xml:space="preserve"> إلا</w:t>
      </w:r>
      <w:r>
        <w:rPr>
          <w:rtl/>
          <w:lang w:val="fr-CH"/>
        </w:rPr>
        <w:t> </w:t>
      </w:r>
      <w:r w:rsidRPr="00FA0FC2">
        <w:rPr>
          <w:rFonts w:hint="cs"/>
          <w:rtl/>
          <w:lang w:val="fr-CH"/>
        </w:rPr>
        <w:t>إذا تحققت من أن صاحبه قد استنفذ جميع سبل الانتصاف المحلية المتاحة؛</w:t>
      </w:r>
      <w:r>
        <w:rPr>
          <w:rFonts w:hint="cs"/>
          <w:rtl/>
          <w:lang w:val="fr-CH"/>
        </w:rPr>
        <w:t xml:space="preserve"> ولا</w:t>
      </w:r>
      <w:r>
        <w:rPr>
          <w:rtl/>
          <w:lang w:val="fr-CH"/>
        </w:rPr>
        <w:t> </w:t>
      </w:r>
      <w:r w:rsidRPr="00FA0FC2">
        <w:rPr>
          <w:rFonts w:hint="cs"/>
          <w:rtl/>
          <w:lang w:val="fr-CH"/>
        </w:rPr>
        <w:t>تنطبق هذه القاعدة إذا ثبت أن تطبيق سبل الانتصاف المحلية قد استغرق</w:t>
      </w:r>
      <w:r>
        <w:rPr>
          <w:rFonts w:hint="cs"/>
          <w:rtl/>
          <w:lang w:val="fr-CH"/>
        </w:rPr>
        <w:t xml:space="preserve"> أو</w:t>
      </w:r>
      <w:r>
        <w:rPr>
          <w:rtl/>
          <w:lang w:val="fr-CH"/>
        </w:rPr>
        <w:t> </w:t>
      </w:r>
      <w:r w:rsidRPr="00FA0FC2">
        <w:rPr>
          <w:rFonts w:hint="cs"/>
          <w:rtl/>
          <w:lang w:val="fr-CH"/>
        </w:rPr>
        <w:t>سيستغرق وقتاً طويلاً على نحو غير معقول،</w:t>
      </w:r>
      <w:r>
        <w:rPr>
          <w:rFonts w:hint="cs"/>
          <w:rtl/>
          <w:lang w:val="fr-CH"/>
        </w:rPr>
        <w:t xml:space="preserve"> أو</w:t>
      </w:r>
      <w:r>
        <w:rPr>
          <w:rtl/>
          <w:lang w:val="fr-CH"/>
        </w:rPr>
        <w:t> </w:t>
      </w:r>
      <w:r w:rsidRPr="00FA0FC2">
        <w:rPr>
          <w:rFonts w:hint="cs"/>
          <w:rtl/>
          <w:lang w:val="fr-CH"/>
        </w:rPr>
        <w:t xml:space="preserve">أن من غير المحتمل أن يحقق هذا التطبيق إنصافاً فعالاً. وتشير اللجنة إلى المعلومات المقدمة من الدولة الطرف </w:t>
      </w:r>
      <w:r>
        <w:rPr>
          <w:rFonts w:hint="cs"/>
          <w:rtl/>
          <w:lang w:val="fr-CH"/>
        </w:rPr>
        <w:t xml:space="preserve">التي مفادها </w:t>
      </w:r>
      <w:r w:rsidRPr="00FA0FC2">
        <w:rPr>
          <w:rFonts w:hint="cs"/>
          <w:rtl/>
          <w:lang w:val="fr-CH"/>
        </w:rPr>
        <w:t>أن القرار الصادر بترحيل صاحب الشكوى سقط بقوة القانون في 24 تشرين الأول/أكتوبر 2012، وأصبح بالتالي غير قابل للتنفيذ، وبأنه</w:t>
      </w:r>
      <w:r>
        <w:rPr>
          <w:rFonts w:hint="cs"/>
          <w:rtl/>
          <w:lang w:val="fr-CH"/>
        </w:rPr>
        <w:t xml:space="preserve"> لم</w:t>
      </w:r>
      <w:r>
        <w:rPr>
          <w:rtl/>
          <w:lang w:val="fr-CH"/>
        </w:rPr>
        <w:t> </w:t>
      </w:r>
      <w:r w:rsidRPr="00FA0FC2">
        <w:rPr>
          <w:rFonts w:hint="cs"/>
          <w:rtl/>
          <w:lang w:val="fr-CH"/>
        </w:rPr>
        <w:t>يعد صاحب البلاغ مهدد</w:t>
      </w:r>
      <w:r>
        <w:rPr>
          <w:rFonts w:hint="cs"/>
          <w:rtl/>
          <w:lang w:val="fr-CH"/>
        </w:rPr>
        <w:t>اً</w:t>
      </w:r>
      <w:r w:rsidRPr="00FA0FC2">
        <w:rPr>
          <w:rFonts w:hint="cs"/>
          <w:rtl/>
          <w:lang w:val="fr-CH"/>
        </w:rPr>
        <w:t xml:space="preserve"> بالترحيل إلى الجزائر. وفضلاً عن ذلك، فإن أمامه الآن فرصة لتقديم طلب جديد للجوء، وأن مجلس الهجرة سينظر في هذا الطلب بأكمله من جديد، وأنه يجوز الطعن في قرار مجلس الهجرة أمام محكمة الهجرة ومن ثم أمام محكمة الاستئناف المعنية بشؤون الهجرة، عند اللزوم. وترى اللجنة أنه ليس هناك</w:t>
      </w:r>
      <w:r>
        <w:rPr>
          <w:rFonts w:hint="cs"/>
          <w:rtl/>
          <w:lang w:val="fr-CH"/>
        </w:rPr>
        <w:t xml:space="preserve"> ما</w:t>
      </w:r>
      <w:r>
        <w:rPr>
          <w:rtl/>
          <w:lang w:val="fr-CH"/>
        </w:rPr>
        <w:t> </w:t>
      </w:r>
      <w:r w:rsidRPr="00FA0FC2">
        <w:rPr>
          <w:rFonts w:hint="cs"/>
          <w:rtl/>
          <w:lang w:val="fr-CH"/>
        </w:rPr>
        <w:t>يدل على أن هذا الإجراء الجديد</w:t>
      </w:r>
      <w:r>
        <w:rPr>
          <w:rFonts w:hint="cs"/>
          <w:rtl/>
          <w:lang w:val="fr-CH"/>
        </w:rPr>
        <w:t xml:space="preserve"> لن</w:t>
      </w:r>
      <w:r>
        <w:rPr>
          <w:rtl/>
          <w:lang w:val="fr-CH"/>
        </w:rPr>
        <w:t> </w:t>
      </w:r>
      <w:r w:rsidRPr="00FA0FC2">
        <w:rPr>
          <w:rFonts w:hint="cs"/>
          <w:rtl/>
          <w:lang w:val="fr-CH"/>
        </w:rPr>
        <w:t>يكون فعالاً، في حال سحب الشكوى، إذا بررت الوقائع والظروف ذلك</w:t>
      </w:r>
      <w:r w:rsidRPr="00FA0FC2">
        <w:rPr>
          <w:vertAlign w:val="superscript"/>
          <w:rtl/>
          <w:lang w:val="fr-CH"/>
        </w:rPr>
        <w:t>(</w:t>
      </w:r>
      <w:r w:rsidRPr="00FA0FC2">
        <w:rPr>
          <w:rStyle w:val="FootnoteReference"/>
          <w:rtl/>
          <w:lang w:val="fr-CH"/>
        </w:rPr>
        <w:footnoteReference w:id="280"/>
      </w:r>
      <w:r w:rsidRPr="00FA0FC2">
        <w:rPr>
          <w:vertAlign w:val="superscript"/>
          <w:rtl/>
          <w:lang w:val="fr-CH"/>
        </w:rPr>
        <w:t>)</w:t>
      </w:r>
      <w:r w:rsidRPr="00FA0FC2">
        <w:rPr>
          <w:rFonts w:hint="cs"/>
          <w:rtl/>
          <w:lang w:val="fr-CH"/>
        </w:rPr>
        <w:t>.</w:t>
      </w:r>
    </w:p>
    <w:p w:rsidR="00091373" w:rsidRPr="00FA0FC2" w:rsidRDefault="00091373" w:rsidP="00091373">
      <w:pPr>
        <w:pStyle w:val="SingleTxtGA"/>
        <w:rPr>
          <w:rFonts w:hint="cs"/>
          <w:rtl/>
          <w:lang w:val="fr-CH"/>
        </w:rPr>
      </w:pPr>
      <w:r w:rsidRPr="00FA0FC2">
        <w:rPr>
          <w:rFonts w:hint="cs"/>
          <w:rtl/>
          <w:lang w:val="fr-CH"/>
        </w:rPr>
        <w:t>6-3</w:t>
      </w:r>
      <w:r w:rsidRPr="00FA0FC2">
        <w:rPr>
          <w:rFonts w:hint="cs"/>
          <w:rtl/>
          <w:lang w:val="fr-CH"/>
        </w:rPr>
        <w:tab/>
        <w:t>وفي ضوء</w:t>
      </w:r>
      <w:r>
        <w:rPr>
          <w:rFonts w:hint="cs"/>
          <w:rtl/>
          <w:lang w:val="fr-CH"/>
        </w:rPr>
        <w:t xml:space="preserve"> ما</w:t>
      </w:r>
      <w:r>
        <w:rPr>
          <w:rtl/>
          <w:lang w:val="fr-CH"/>
        </w:rPr>
        <w:t> </w:t>
      </w:r>
      <w:r w:rsidRPr="00FA0FC2">
        <w:rPr>
          <w:rFonts w:hint="cs"/>
          <w:rtl/>
          <w:lang w:val="fr-CH"/>
        </w:rPr>
        <w:t>تقدم، تخلص اللجنة إلى عدم مقبولية الشكوى بموجب الفقرة 5(ب) من ال</w:t>
      </w:r>
      <w:r>
        <w:rPr>
          <w:rFonts w:hint="cs"/>
          <w:rtl/>
          <w:lang w:val="fr-CH"/>
        </w:rPr>
        <w:t>مادة</w:t>
      </w:r>
      <w:r>
        <w:rPr>
          <w:rtl/>
          <w:lang w:val="fr-CH"/>
        </w:rPr>
        <w:t> </w:t>
      </w:r>
      <w:r w:rsidRPr="00FA0FC2">
        <w:rPr>
          <w:rFonts w:hint="cs"/>
          <w:rtl/>
          <w:lang w:val="fr-CH"/>
        </w:rPr>
        <w:t>22 من الاتفاقية بسبب عدم استنفاذ سبل الانتصاف المحلية بمعنى أنه</w:t>
      </w:r>
      <w:r>
        <w:rPr>
          <w:rFonts w:hint="cs"/>
          <w:rtl/>
          <w:lang w:val="fr-CH"/>
        </w:rPr>
        <w:t xml:space="preserve"> لا</w:t>
      </w:r>
      <w:r>
        <w:rPr>
          <w:rtl/>
          <w:lang w:val="fr-CH"/>
        </w:rPr>
        <w:t> </w:t>
      </w:r>
      <w:r w:rsidRPr="00FA0FC2">
        <w:rPr>
          <w:rFonts w:hint="cs"/>
          <w:rtl/>
          <w:lang w:val="fr-CH"/>
        </w:rPr>
        <w:t>يزال هناك سبيل انتصاف بديل محلياً.</w:t>
      </w:r>
    </w:p>
    <w:p w:rsidR="00091373" w:rsidRPr="00FA0FC2" w:rsidRDefault="00091373" w:rsidP="00091373">
      <w:pPr>
        <w:pStyle w:val="SingleTxtGA"/>
        <w:rPr>
          <w:rFonts w:hint="cs"/>
          <w:rtl/>
          <w:lang w:val="fr-CH"/>
        </w:rPr>
      </w:pPr>
      <w:r w:rsidRPr="00FA0FC2">
        <w:rPr>
          <w:rFonts w:hint="cs"/>
          <w:rtl/>
          <w:lang w:val="fr-CH"/>
        </w:rPr>
        <w:t>7-</w:t>
      </w:r>
      <w:r w:rsidRPr="00FA0FC2">
        <w:rPr>
          <w:rFonts w:hint="cs"/>
          <w:rtl/>
          <w:lang w:val="fr-CH"/>
        </w:rPr>
        <w:tab/>
        <w:t>وبناءً عليه، تقرر اللجنة</w:t>
      </w:r>
      <w:r>
        <w:rPr>
          <w:rFonts w:hint="cs"/>
          <w:rtl/>
          <w:lang w:val="fr-CH"/>
        </w:rPr>
        <w:t xml:space="preserve"> ما</w:t>
      </w:r>
      <w:r>
        <w:rPr>
          <w:rtl/>
          <w:lang w:val="fr-CH"/>
        </w:rPr>
        <w:t> </w:t>
      </w:r>
      <w:r w:rsidRPr="00FA0FC2">
        <w:rPr>
          <w:rFonts w:hint="cs"/>
          <w:rtl/>
          <w:lang w:val="fr-CH"/>
        </w:rPr>
        <w:t>يلي:</w:t>
      </w:r>
    </w:p>
    <w:p w:rsidR="00091373" w:rsidRPr="00FA0FC2" w:rsidRDefault="00091373" w:rsidP="00091373">
      <w:pPr>
        <w:pStyle w:val="SingleTxtGA"/>
        <w:rPr>
          <w:rFonts w:hint="cs"/>
          <w:rtl/>
          <w:lang w:val="fr-CH"/>
        </w:rPr>
      </w:pPr>
      <w:r w:rsidRPr="00FA0FC2">
        <w:rPr>
          <w:rFonts w:hint="cs"/>
          <w:rtl/>
          <w:lang w:val="fr-CH"/>
        </w:rPr>
        <w:tab/>
        <w:t>(أ)</w:t>
      </w:r>
      <w:r w:rsidRPr="00FA0FC2">
        <w:rPr>
          <w:rFonts w:hint="cs"/>
          <w:rtl/>
          <w:lang w:val="fr-CH"/>
        </w:rPr>
        <w:tab/>
      </w:r>
      <w:r>
        <w:rPr>
          <w:rFonts w:hint="cs"/>
          <w:rtl/>
          <w:lang w:val="fr-CH"/>
        </w:rPr>
        <w:t xml:space="preserve">أن </w:t>
      </w:r>
      <w:r w:rsidRPr="00FA0FC2">
        <w:rPr>
          <w:rFonts w:hint="cs"/>
          <w:rtl/>
          <w:lang w:val="fr-CH"/>
        </w:rPr>
        <w:t xml:space="preserve">البلاغ </w:t>
      </w:r>
      <w:r>
        <w:rPr>
          <w:rFonts w:hint="cs"/>
          <w:rtl/>
          <w:lang w:val="fr-CH"/>
        </w:rPr>
        <w:t xml:space="preserve">غير مقبول </w:t>
      </w:r>
      <w:r w:rsidRPr="00FA0FC2">
        <w:rPr>
          <w:rFonts w:hint="cs"/>
          <w:rtl/>
          <w:lang w:val="fr-CH"/>
        </w:rPr>
        <w:t>بموجب الفقرة 5(ب) من ال</w:t>
      </w:r>
      <w:r>
        <w:rPr>
          <w:rFonts w:hint="cs"/>
          <w:rtl/>
          <w:lang w:val="fr-CH"/>
        </w:rPr>
        <w:t>مادة</w:t>
      </w:r>
      <w:r>
        <w:rPr>
          <w:rtl/>
          <w:lang w:val="fr-CH"/>
        </w:rPr>
        <w:t> </w:t>
      </w:r>
      <w:r w:rsidRPr="00FA0FC2">
        <w:rPr>
          <w:rFonts w:hint="cs"/>
          <w:rtl/>
          <w:lang w:val="fr-CH"/>
        </w:rPr>
        <w:t>22 من الاتفاقية؛</w:t>
      </w:r>
    </w:p>
    <w:p w:rsidR="00091373" w:rsidRPr="00FA0FC2" w:rsidRDefault="00091373" w:rsidP="00091373">
      <w:pPr>
        <w:pStyle w:val="SingleTxtGA"/>
        <w:rPr>
          <w:rFonts w:hint="cs"/>
          <w:rtl/>
          <w:lang w:val="fr-CH"/>
        </w:rPr>
      </w:pPr>
      <w:r w:rsidRPr="00FA0FC2">
        <w:rPr>
          <w:rFonts w:hint="cs"/>
          <w:rtl/>
          <w:lang w:val="fr-CH"/>
        </w:rPr>
        <w:tab/>
        <w:t>(ب)</w:t>
      </w:r>
      <w:r w:rsidRPr="00FA0FC2">
        <w:rPr>
          <w:rFonts w:hint="cs"/>
          <w:rtl/>
          <w:lang w:val="fr-CH"/>
        </w:rPr>
        <w:tab/>
      </w:r>
      <w:r>
        <w:rPr>
          <w:rFonts w:hint="cs"/>
          <w:rtl/>
          <w:lang w:val="fr-CH"/>
        </w:rPr>
        <w:t xml:space="preserve">أنه يجوز إعادة </w:t>
      </w:r>
      <w:r w:rsidRPr="00FA0FC2">
        <w:rPr>
          <w:rFonts w:hint="cs"/>
          <w:rtl/>
          <w:lang w:val="fr-CH"/>
        </w:rPr>
        <w:t>النظر في هذا البلاغ بموجب الفقرة 2 من ال</w:t>
      </w:r>
      <w:r>
        <w:rPr>
          <w:rFonts w:hint="cs"/>
          <w:rtl/>
          <w:lang w:val="fr-CH"/>
        </w:rPr>
        <w:t>مادة</w:t>
      </w:r>
      <w:r>
        <w:rPr>
          <w:rtl/>
          <w:lang w:val="fr-CH"/>
        </w:rPr>
        <w:t> </w:t>
      </w:r>
      <w:r w:rsidRPr="00FA0FC2">
        <w:rPr>
          <w:rFonts w:hint="cs"/>
          <w:rtl/>
          <w:lang w:val="fr-CH"/>
        </w:rPr>
        <w:t>116 من نظامها الداخلي عندما تتلق</w:t>
      </w:r>
      <w:r>
        <w:rPr>
          <w:rFonts w:hint="cs"/>
          <w:rtl/>
          <w:lang w:val="fr-CH"/>
        </w:rPr>
        <w:t>ى</w:t>
      </w:r>
      <w:r w:rsidRPr="00FA0FC2">
        <w:rPr>
          <w:rFonts w:hint="cs"/>
          <w:rtl/>
          <w:lang w:val="fr-CH"/>
        </w:rPr>
        <w:t xml:space="preserve"> طلباً من صاحب الشكوى</w:t>
      </w:r>
      <w:r>
        <w:rPr>
          <w:rFonts w:hint="cs"/>
          <w:rtl/>
          <w:lang w:val="fr-CH"/>
        </w:rPr>
        <w:t xml:space="preserve"> أو</w:t>
      </w:r>
      <w:r>
        <w:rPr>
          <w:rtl/>
          <w:lang w:val="fr-CH"/>
        </w:rPr>
        <w:t> </w:t>
      </w:r>
      <w:r w:rsidRPr="00FA0FC2">
        <w:rPr>
          <w:rFonts w:hint="cs"/>
          <w:rtl/>
          <w:lang w:val="fr-CH"/>
        </w:rPr>
        <w:t xml:space="preserve">بالنيابة عنه </w:t>
      </w:r>
      <w:r>
        <w:rPr>
          <w:rFonts w:hint="cs"/>
          <w:rtl/>
          <w:lang w:val="fr-CH"/>
        </w:rPr>
        <w:t>يتضمَّن</w:t>
      </w:r>
      <w:r w:rsidRPr="00FA0FC2">
        <w:rPr>
          <w:rFonts w:hint="cs"/>
          <w:rtl/>
          <w:lang w:val="fr-CH"/>
        </w:rPr>
        <w:t xml:space="preserve"> معلومات تفيد بأن أسباب عدم المقبولية</w:t>
      </w:r>
      <w:r>
        <w:rPr>
          <w:rFonts w:hint="cs"/>
          <w:rtl/>
          <w:lang w:val="fr-CH"/>
        </w:rPr>
        <w:t xml:space="preserve"> لم</w:t>
      </w:r>
      <w:r>
        <w:rPr>
          <w:rtl/>
          <w:lang w:val="fr-CH"/>
        </w:rPr>
        <w:t> </w:t>
      </w:r>
      <w:r w:rsidRPr="00FA0FC2">
        <w:rPr>
          <w:rFonts w:hint="cs"/>
          <w:rtl/>
          <w:lang w:val="fr-CH"/>
        </w:rPr>
        <w:t>تعد قائمة؛</w:t>
      </w:r>
    </w:p>
    <w:p w:rsidR="00091373" w:rsidRPr="00FA0FC2" w:rsidRDefault="00091373" w:rsidP="00091373">
      <w:pPr>
        <w:pStyle w:val="SingleTxtGA"/>
        <w:rPr>
          <w:rFonts w:hint="cs"/>
          <w:rtl/>
          <w:lang w:val="fr-CH"/>
        </w:rPr>
      </w:pPr>
      <w:r w:rsidRPr="00FA0FC2">
        <w:rPr>
          <w:rFonts w:hint="cs"/>
          <w:rtl/>
          <w:lang w:val="fr-CH"/>
        </w:rPr>
        <w:tab/>
        <w:t>(ج)</w:t>
      </w:r>
      <w:r w:rsidRPr="00FA0FC2">
        <w:rPr>
          <w:rFonts w:hint="cs"/>
          <w:rtl/>
          <w:lang w:val="fr-CH"/>
        </w:rPr>
        <w:tab/>
      </w:r>
      <w:r>
        <w:rPr>
          <w:rFonts w:hint="cs"/>
          <w:rtl/>
          <w:lang w:val="fr-CH"/>
        </w:rPr>
        <w:t xml:space="preserve">أن يُبلَّغ </w:t>
      </w:r>
      <w:r w:rsidRPr="00FA0FC2">
        <w:rPr>
          <w:rFonts w:hint="cs"/>
          <w:rtl/>
          <w:lang w:val="fr-CH"/>
        </w:rPr>
        <w:t>صاحب الشكوى والدولة الطرف</w:t>
      </w:r>
      <w:r>
        <w:rPr>
          <w:rFonts w:hint="cs"/>
          <w:rtl/>
          <w:lang w:val="fr-CH"/>
        </w:rPr>
        <w:t xml:space="preserve"> بهذا القرار</w:t>
      </w:r>
      <w:r w:rsidRPr="00FA0FC2">
        <w:rPr>
          <w:rFonts w:hint="cs"/>
          <w:rtl/>
          <w:lang w:val="fr-CH"/>
        </w:rPr>
        <w:t>.</w:t>
      </w:r>
    </w:p>
    <w:p w:rsidR="00091373" w:rsidRDefault="00091373" w:rsidP="00091373">
      <w:pPr>
        <w:pStyle w:val="SingleTxtGA"/>
        <w:rPr>
          <w:rFonts w:hint="cs"/>
          <w:rtl/>
          <w:lang w:val="fr-CH"/>
        </w:rPr>
      </w:pPr>
    </w:p>
    <w:p w:rsidR="00E47CFB" w:rsidRPr="00FA0FC2" w:rsidRDefault="00E47CFB" w:rsidP="00091373">
      <w:pPr>
        <w:pStyle w:val="SingleTxtGA"/>
        <w:rPr>
          <w:rFonts w:hint="cs"/>
          <w:rtl/>
          <w:lang w:val="fr-CH"/>
        </w:rPr>
        <w:sectPr w:rsidR="00E47CFB" w:rsidRPr="00FA0FC2" w:rsidSect="00091373">
          <w:footnotePr>
            <w:numFmt w:val="arabicAbjad"/>
            <w:numRestart w:val="eachSect"/>
          </w:footnotePr>
          <w:endnotePr>
            <w:numFmt w:val="decimal"/>
          </w:endnotePr>
          <w:pgSz w:w="11906" w:h="16838" w:code="9"/>
          <w:pgMar w:top="1701" w:right="1134" w:bottom="2268" w:left="1134" w:header="1134" w:footer="1701" w:gutter="0"/>
          <w:cols w:space="708"/>
          <w:bidi/>
          <w:rtlGutter/>
          <w:docGrid w:linePitch="360"/>
        </w:sectPr>
      </w:pPr>
    </w:p>
    <w:p w:rsidR="00091373" w:rsidRPr="00D24D25" w:rsidRDefault="00091373" w:rsidP="00091373">
      <w:pPr>
        <w:pStyle w:val="H1GA"/>
        <w:spacing w:before="120"/>
        <w:rPr>
          <w:rFonts w:hint="cs"/>
          <w:i/>
          <w:iCs/>
          <w:rtl/>
          <w:lang w:val="fr-CH"/>
        </w:rPr>
      </w:pPr>
      <w:r w:rsidRPr="00FA0FC2">
        <w:rPr>
          <w:rFonts w:hint="cs"/>
          <w:rtl/>
          <w:lang w:val="fr-CH"/>
        </w:rPr>
        <w:tab/>
      </w:r>
      <w:r w:rsidRPr="00FA0FC2">
        <w:rPr>
          <w:rFonts w:hint="cs"/>
          <w:rtl/>
          <w:lang w:val="fr-CH"/>
        </w:rPr>
        <w:tab/>
        <w:t>البلاغ رقم 479/2011</w:t>
      </w:r>
      <w:r>
        <w:rPr>
          <w:rFonts w:hint="cs"/>
          <w:rtl/>
          <w:lang w:val="fr-CH"/>
        </w:rPr>
        <w:t xml:space="preserve">: </w:t>
      </w:r>
      <w:r>
        <w:rPr>
          <w:rFonts w:hint="cs"/>
          <w:i/>
          <w:iCs/>
          <w:rtl/>
          <w:lang w:val="fr-CH"/>
        </w:rPr>
        <w:t>ي. ي. ضد الاتحاد الروسي</w:t>
      </w:r>
    </w:p>
    <w:p w:rsidR="00091373" w:rsidRPr="00FA0FC2" w:rsidRDefault="00091373" w:rsidP="00091373">
      <w:pPr>
        <w:pStyle w:val="SingleTxtGA"/>
        <w:tabs>
          <w:tab w:val="clear" w:pos="1928"/>
          <w:tab w:val="clear" w:pos="2608"/>
          <w:tab w:val="clear" w:pos="3289"/>
          <w:tab w:val="clear" w:pos="3969"/>
          <w:tab w:val="clear" w:pos="4649"/>
          <w:tab w:val="clear" w:pos="5330"/>
        </w:tabs>
        <w:ind w:left="4402" w:hanging="2686"/>
        <w:rPr>
          <w:rFonts w:hint="cs"/>
          <w:rtl/>
          <w:lang w:val="fr-CH"/>
        </w:rPr>
      </w:pPr>
      <w:r w:rsidRPr="00FA0FC2">
        <w:rPr>
          <w:rFonts w:hint="cs"/>
          <w:i/>
          <w:iCs/>
          <w:rtl/>
          <w:lang w:val="fr-CH"/>
        </w:rPr>
        <w:t>المقدم من</w:t>
      </w:r>
      <w:r w:rsidRPr="0044565E">
        <w:rPr>
          <w:rFonts w:hint="cs"/>
          <w:rtl/>
          <w:lang w:val="fr-CH"/>
        </w:rPr>
        <w:t>:</w:t>
      </w:r>
      <w:r w:rsidRPr="00FA0FC2">
        <w:rPr>
          <w:rFonts w:hint="cs"/>
          <w:rtl/>
          <w:lang w:val="fr-CH"/>
        </w:rPr>
        <w:tab/>
        <w:t>ي. ي. (تمثله والدته ل. ي.)</w:t>
      </w:r>
    </w:p>
    <w:p w:rsidR="00091373" w:rsidRPr="00FA0FC2" w:rsidRDefault="00091373" w:rsidP="00091373">
      <w:pPr>
        <w:pStyle w:val="SingleTxtGA"/>
        <w:tabs>
          <w:tab w:val="clear" w:pos="1928"/>
          <w:tab w:val="clear" w:pos="2608"/>
          <w:tab w:val="clear" w:pos="3289"/>
          <w:tab w:val="clear" w:pos="3969"/>
          <w:tab w:val="clear" w:pos="4649"/>
          <w:tab w:val="clear" w:pos="5330"/>
        </w:tabs>
        <w:ind w:left="4402" w:hanging="2686"/>
        <w:rPr>
          <w:rFonts w:hint="cs"/>
          <w:rtl/>
          <w:lang w:val="fr-CH"/>
        </w:rPr>
      </w:pPr>
      <w:r w:rsidRPr="00FA0FC2">
        <w:rPr>
          <w:rFonts w:hint="cs"/>
          <w:i/>
          <w:iCs/>
          <w:rtl/>
          <w:lang w:val="fr-CH"/>
        </w:rPr>
        <w:t>الشخص المدعى أنه ضحية</w:t>
      </w:r>
      <w:r w:rsidRPr="0044565E">
        <w:rPr>
          <w:rFonts w:hint="cs"/>
          <w:rtl/>
          <w:lang w:val="fr-CH"/>
        </w:rPr>
        <w:t>:</w:t>
      </w:r>
      <w:r w:rsidRPr="00FA0FC2">
        <w:rPr>
          <w:rFonts w:hint="cs"/>
          <w:rtl/>
          <w:lang w:val="fr-CH"/>
        </w:rPr>
        <w:tab/>
        <w:t>صاحب الشكوى</w:t>
      </w:r>
    </w:p>
    <w:p w:rsidR="00091373" w:rsidRPr="00FA0FC2" w:rsidRDefault="00091373" w:rsidP="00091373">
      <w:pPr>
        <w:pStyle w:val="SingleTxtGA"/>
        <w:tabs>
          <w:tab w:val="clear" w:pos="1928"/>
          <w:tab w:val="clear" w:pos="2608"/>
          <w:tab w:val="clear" w:pos="3289"/>
          <w:tab w:val="clear" w:pos="3969"/>
          <w:tab w:val="clear" w:pos="4649"/>
          <w:tab w:val="clear" w:pos="5330"/>
        </w:tabs>
        <w:ind w:left="4402" w:hanging="2686"/>
        <w:rPr>
          <w:rFonts w:hint="cs"/>
          <w:rtl/>
          <w:lang w:val="fr-CH"/>
        </w:rPr>
      </w:pPr>
      <w:r w:rsidRPr="00FA0FC2">
        <w:rPr>
          <w:rFonts w:hint="cs"/>
          <w:i/>
          <w:iCs/>
          <w:rtl/>
          <w:lang w:val="fr-CH"/>
        </w:rPr>
        <w:t>الدولة الطرف</w:t>
      </w:r>
      <w:r w:rsidRPr="0044565E">
        <w:rPr>
          <w:rFonts w:hint="cs"/>
          <w:rtl/>
          <w:lang w:val="fr-CH"/>
        </w:rPr>
        <w:t>:</w:t>
      </w:r>
      <w:r w:rsidRPr="00FA0FC2">
        <w:rPr>
          <w:rFonts w:hint="cs"/>
          <w:rtl/>
          <w:lang w:val="fr-CH"/>
        </w:rPr>
        <w:tab/>
        <w:t>الاتحاد الروسي</w:t>
      </w:r>
    </w:p>
    <w:p w:rsidR="00091373" w:rsidRPr="00FA0FC2" w:rsidRDefault="00091373" w:rsidP="0044565E">
      <w:pPr>
        <w:pStyle w:val="SingleTxtGA"/>
        <w:tabs>
          <w:tab w:val="clear" w:pos="1928"/>
          <w:tab w:val="clear" w:pos="2608"/>
          <w:tab w:val="clear" w:pos="3289"/>
          <w:tab w:val="clear" w:pos="3969"/>
          <w:tab w:val="clear" w:pos="4649"/>
          <w:tab w:val="clear" w:pos="5330"/>
        </w:tabs>
        <w:ind w:left="4402" w:hanging="2686"/>
        <w:rPr>
          <w:rFonts w:hint="cs"/>
          <w:rtl/>
          <w:lang w:val="fr-CH"/>
        </w:rPr>
      </w:pPr>
      <w:r w:rsidRPr="00FA0FC2">
        <w:rPr>
          <w:rFonts w:hint="cs"/>
          <w:i/>
          <w:iCs/>
          <w:rtl/>
          <w:lang w:val="fr-CH"/>
        </w:rPr>
        <w:t>تاريخ تقديم الشكوى</w:t>
      </w:r>
      <w:r w:rsidRPr="0044565E">
        <w:rPr>
          <w:rFonts w:hint="cs"/>
          <w:rtl/>
          <w:lang w:val="fr-CH"/>
        </w:rPr>
        <w:t>:</w:t>
      </w:r>
      <w:r w:rsidRPr="00FA0FC2">
        <w:rPr>
          <w:rFonts w:hint="cs"/>
          <w:rtl/>
          <w:lang w:val="fr-CH"/>
        </w:rPr>
        <w:tab/>
        <w:t>26 آب/أغسطس 2010 (تاريخ الرسالة الأولى)</w:t>
      </w:r>
    </w:p>
    <w:p w:rsidR="00091373" w:rsidRPr="00FA0FC2" w:rsidRDefault="00091373" w:rsidP="00091373">
      <w:pPr>
        <w:pStyle w:val="SingleTxtGA"/>
        <w:rPr>
          <w:rFonts w:hint="cs"/>
          <w:rtl/>
          <w:lang w:val="fr-CH"/>
        </w:rPr>
      </w:pPr>
      <w:r w:rsidRPr="00FA0FC2">
        <w:rPr>
          <w:rFonts w:hint="cs"/>
          <w:rtl/>
          <w:lang w:val="fr-CH"/>
        </w:rPr>
        <w:tab/>
      </w:r>
      <w:r w:rsidRPr="00FA0FC2">
        <w:rPr>
          <w:rFonts w:hint="cs"/>
          <w:i/>
          <w:iCs/>
          <w:rtl/>
          <w:lang w:val="fr-CH"/>
        </w:rPr>
        <w:t>إن لجنة مناهضة التعذيب</w:t>
      </w:r>
      <w:r w:rsidRPr="00FA0FC2">
        <w:rPr>
          <w:rFonts w:hint="cs"/>
          <w:rtl/>
          <w:lang w:val="fr-CH"/>
        </w:rPr>
        <w:t>، المنشأة بموجب ال</w:t>
      </w:r>
      <w:r>
        <w:rPr>
          <w:rFonts w:hint="cs"/>
          <w:rtl/>
          <w:lang w:val="fr-CH"/>
        </w:rPr>
        <w:t>مادة</w:t>
      </w:r>
      <w:r>
        <w:rPr>
          <w:rtl/>
          <w:lang w:val="fr-CH"/>
        </w:rPr>
        <w:t> </w:t>
      </w:r>
      <w:r w:rsidRPr="00FA0FC2">
        <w:rPr>
          <w:rFonts w:hint="cs"/>
          <w:rtl/>
          <w:lang w:val="fr-CH"/>
        </w:rPr>
        <w:t>17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 xml:space="preserve">المهينة، </w:t>
      </w:r>
    </w:p>
    <w:p w:rsidR="00091373" w:rsidRPr="00FA0FC2" w:rsidRDefault="00091373" w:rsidP="00091373">
      <w:pPr>
        <w:pStyle w:val="SingleTxtGA"/>
        <w:rPr>
          <w:rFonts w:hint="cs"/>
          <w:rtl/>
          <w:lang w:val="fr-CH"/>
        </w:rPr>
      </w:pPr>
      <w:r w:rsidRPr="00FA0FC2">
        <w:rPr>
          <w:rFonts w:hint="cs"/>
          <w:rtl/>
          <w:lang w:val="fr-CH"/>
        </w:rPr>
        <w:tab/>
      </w:r>
      <w:r w:rsidRPr="00FA0FC2">
        <w:rPr>
          <w:rFonts w:hint="cs"/>
          <w:i/>
          <w:iCs/>
          <w:rtl/>
          <w:lang w:val="fr-CH"/>
        </w:rPr>
        <w:t>وقد اجتمعت</w:t>
      </w:r>
      <w:r w:rsidRPr="00FA0FC2">
        <w:rPr>
          <w:rFonts w:hint="cs"/>
          <w:rtl/>
          <w:lang w:val="fr-CH"/>
        </w:rPr>
        <w:t xml:space="preserve"> في 24 أيار/مايو 2013،</w:t>
      </w:r>
    </w:p>
    <w:p w:rsidR="00091373" w:rsidRPr="00FA0FC2" w:rsidRDefault="00091373" w:rsidP="00091373">
      <w:pPr>
        <w:pStyle w:val="SingleTxtGA"/>
        <w:rPr>
          <w:rFonts w:hint="cs"/>
          <w:rtl/>
          <w:lang w:val="fr-CH"/>
        </w:rPr>
      </w:pPr>
      <w:r w:rsidRPr="00FA0FC2">
        <w:rPr>
          <w:rFonts w:hint="cs"/>
          <w:i/>
          <w:iCs/>
          <w:rtl/>
          <w:lang w:val="fr-CH"/>
        </w:rPr>
        <w:tab/>
        <w:t>وقد فرغت</w:t>
      </w:r>
      <w:r w:rsidRPr="00FA0FC2">
        <w:rPr>
          <w:rFonts w:hint="cs"/>
          <w:rtl/>
          <w:lang w:val="fr-CH"/>
        </w:rPr>
        <w:t xml:space="preserve"> من النظر في الشكوى رقم 479/2011، المقدمة إلى لجنة مناهضة التعذيب بالنيابة عن ي. ي.، بموجب ال</w:t>
      </w:r>
      <w:r>
        <w:rPr>
          <w:rFonts w:hint="cs"/>
          <w:rtl/>
          <w:lang w:val="fr-CH"/>
        </w:rPr>
        <w:t>مادة</w:t>
      </w:r>
      <w:r>
        <w:rPr>
          <w:rtl/>
          <w:lang w:val="fr-CH"/>
        </w:rPr>
        <w:t> </w:t>
      </w:r>
      <w:r w:rsidRPr="00FA0FC2">
        <w:rPr>
          <w:rFonts w:hint="cs"/>
          <w:rtl/>
          <w:lang w:val="fr-CH"/>
        </w:rPr>
        <w:t>22 من اتفاقية مناهضة التعذيب وغيره من ضروب المعاملة</w:t>
      </w:r>
      <w:r>
        <w:rPr>
          <w:rFonts w:hint="cs"/>
          <w:rtl/>
          <w:lang w:val="fr-CH"/>
        </w:rPr>
        <w:t xml:space="preserve"> أو</w:t>
      </w:r>
      <w:r>
        <w:rPr>
          <w:rtl/>
          <w:lang w:val="fr-CH"/>
        </w:rPr>
        <w:t> </w:t>
      </w:r>
      <w:r w:rsidRPr="00FA0FC2">
        <w:rPr>
          <w:rFonts w:hint="cs"/>
          <w:rtl/>
          <w:lang w:val="fr-CH"/>
        </w:rPr>
        <w:t>العقوبة القاسية</w:t>
      </w:r>
      <w:r>
        <w:rPr>
          <w:rFonts w:hint="cs"/>
          <w:rtl/>
          <w:lang w:val="fr-CH"/>
        </w:rPr>
        <w:t xml:space="preserve"> أو</w:t>
      </w:r>
      <w:r>
        <w:rPr>
          <w:rtl/>
          <w:lang w:val="fr-CH"/>
        </w:rPr>
        <w:t> </w:t>
      </w:r>
      <w:r w:rsidRPr="00FA0FC2">
        <w:rPr>
          <w:rFonts w:hint="cs"/>
          <w:rtl/>
          <w:lang w:val="fr-CH"/>
        </w:rPr>
        <w:t>اللاإنسانية</w:t>
      </w:r>
      <w:r>
        <w:rPr>
          <w:rFonts w:hint="cs"/>
          <w:rtl/>
          <w:lang w:val="fr-CH"/>
        </w:rPr>
        <w:t xml:space="preserve"> أو</w:t>
      </w:r>
      <w:r>
        <w:rPr>
          <w:rtl/>
          <w:lang w:val="fr-CH"/>
        </w:rPr>
        <w:t> </w:t>
      </w:r>
      <w:r w:rsidRPr="00FA0FC2">
        <w:rPr>
          <w:rFonts w:hint="cs"/>
          <w:rtl/>
          <w:lang w:val="fr-CH"/>
        </w:rPr>
        <w:t xml:space="preserve">المهينة، </w:t>
      </w:r>
    </w:p>
    <w:p w:rsidR="00091373" w:rsidRPr="00FA0FC2" w:rsidRDefault="00091373" w:rsidP="00091373">
      <w:pPr>
        <w:pStyle w:val="SingleTxtGA"/>
        <w:rPr>
          <w:rFonts w:hint="cs"/>
          <w:rtl/>
          <w:lang w:val="fr-CH"/>
        </w:rPr>
      </w:pPr>
      <w:r w:rsidRPr="00FA0FC2">
        <w:rPr>
          <w:rFonts w:hint="cs"/>
          <w:rtl/>
          <w:lang w:val="fr-CH"/>
        </w:rPr>
        <w:tab/>
      </w:r>
      <w:r w:rsidRPr="00FA0FC2">
        <w:rPr>
          <w:rFonts w:hint="cs"/>
          <w:i/>
          <w:iCs/>
          <w:rtl/>
          <w:lang w:val="fr-CH"/>
        </w:rPr>
        <w:t>وقد وضعت</w:t>
      </w:r>
      <w:r w:rsidRPr="00FA0FC2">
        <w:rPr>
          <w:rFonts w:hint="cs"/>
          <w:rtl/>
          <w:lang w:val="fr-CH"/>
        </w:rPr>
        <w:t xml:space="preserve"> في اعتبارها جميع المعلومات التي أتاحها لها صاحب الشكوى والدولة</w:t>
      </w:r>
      <w:r>
        <w:rPr>
          <w:rFonts w:hint="eastAsia"/>
          <w:rtl/>
          <w:lang w:val="fr-CH"/>
        </w:rPr>
        <w:t> </w:t>
      </w:r>
      <w:r w:rsidRPr="00FA0FC2">
        <w:rPr>
          <w:rFonts w:hint="cs"/>
          <w:rtl/>
          <w:lang w:val="fr-CH"/>
        </w:rPr>
        <w:t xml:space="preserve">الطرف، </w:t>
      </w:r>
    </w:p>
    <w:p w:rsidR="00091373" w:rsidRPr="00FA0FC2" w:rsidRDefault="00091373" w:rsidP="00091373">
      <w:pPr>
        <w:pStyle w:val="SingleTxtGA"/>
        <w:rPr>
          <w:rFonts w:hint="cs"/>
          <w:rtl/>
          <w:lang w:val="fr-CH"/>
        </w:rPr>
      </w:pPr>
      <w:r w:rsidRPr="00FA0FC2">
        <w:rPr>
          <w:rFonts w:hint="cs"/>
          <w:rtl/>
          <w:lang w:val="fr-CH"/>
        </w:rPr>
        <w:tab/>
      </w:r>
      <w:r w:rsidRPr="00FA0FC2">
        <w:rPr>
          <w:rFonts w:hint="cs"/>
          <w:i/>
          <w:iCs/>
          <w:rtl/>
          <w:lang w:val="fr-CH"/>
        </w:rPr>
        <w:t>تعتمد</w:t>
      </w:r>
      <w:r>
        <w:rPr>
          <w:rFonts w:hint="cs"/>
          <w:rtl/>
          <w:lang w:val="fr-CH"/>
        </w:rPr>
        <w:t xml:space="preserve"> ما</w:t>
      </w:r>
      <w:r>
        <w:rPr>
          <w:rtl/>
          <w:lang w:val="fr-CH"/>
        </w:rPr>
        <w:t> </w:t>
      </w:r>
      <w:r w:rsidRPr="00FA0FC2">
        <w:rPr>
          <w:rFonts w:hint="cs"/>
          <w:rtl/>
          <w:lang w:val="fr-CH"/>
        </w:rPr>
        <w:t>يلي:</w:t>
      </w:r>
    </w:p>
    <w:p w:rsidR="00091373" w:rsidRPr="00FA0FC2" w:rsidRDefault="00091373" w:rsidP="00091373">
      <w:pPr>
        <w:pStyle w:val="H1GA"/>
        <w:rPr>
          <w:rFonts w:hint="cs"/>
          <w:rtl/>
          <w:lang w:val="fr-CH"/>
        </w:rPr>
      </w:pPr>
      <w:r w:rsidRPr="00FA0FC2">
        <w:rPr>
          <w:rFonts w:hint="cs"/>
          <w:rtl/>
          <w:lang w:val="fr-CH"/>
        </w:rPr>
        <w:tab/>
      </w:r>
      <w:r w:rsidRPr="00FA0FC2">
        <w:rPr>
          <w:rFonts w:hint="cs"/>
          <w:rtl/>
          <w:lang w:val="fr-CH"/>
        </w:rPr>
        <w:tab/>
        <w:t>قرار بموجب الفقرة 7 من ال</w:t>
      </w:r>
      <w:r>
        <w:rPr>
          <w:rFonts w:hint="cs"/>
          <w:rtl/>
          <w:lang w:val="fr-CH"/>
        </w:rPr>
        <w:t>مادة</w:t>
      </w:r>
      <w:r>
        <w:rPr>
          <w:rtl/>
          <w:lang w:val="fr-CH"/>
        </w:rPr>
        <w:t> </w:t>
      </w:r>
      <w:r w:rsidRPr="00FA0FC2">
        <w:rPr>
          <w:rFonts w:hint="cs"/>
          <w:rtl/>
          <w:lang w:val="fr-CH"/>
        </w:rPr>
        <w:t>22 من اتفاقية مناهضة التعذيب</w:t>
      </w:r>
    </w:p>
    <w:p w:rsidR="00091373" w:rsidRPr="00FA0FC2" w:rsidRDefault="00091373" w:rsidP="00091373">
      <w:pPr>
        <w:pStyle w:val="SingleTxtGA"/>
        <w:rPr>
          <w:rFonts w:hint="cs"/>
          <w:rtl/>
          <w:lang w:val="fr-CH"/>
        </w:rPr>
      </w:pPr>
      <w:r w:rsidRPr="00FA0FC2">
        <w:rPr>
          <w:rFonts w:hint="cs"/>
          <w:rtl/>
          <w:lang w:val="fr-CH"/>
        </w:rPr>
        <w:t>1-1</w:t>
      </w:r>
      <w:r w:rsidRPr="00FA0FC2">
        <w:rPr>
          <w:rFonts w:hint="cs"/>
          <w:rtl/>
          <w:lang w:val="fr-CH"/>
        </w:rPr>
        <w:tab/>
        <w:t>صاحب الشكوى هو ي. ي.، وهو مواطن من الاتحاد الروسي مولود في</w:t>
      </w:r>
      <w:r>
        <w:rPr>
          <w:rFonts w:hint="cs"/>
          <w:rtl/>
          <w:lang w:val="fr-CH"/>
        </w:rPr>
        <w:t xml:space="preserve"> عام</w:t>
      </w:r>
      <w:r>
        <w:rPr>
          <w:rtl/>
          <w:lang w:val="fr-CH"/>
        </w:rPr>
        <w:t> </w:t>
      </w:r>
      <w:r w:rsidRPr="00FA0FC2">
        <w:rPr>
          <w:rFonts w:hint="cs"/>
          <w:rtl/>
          <w:lang w:val="fr-CH"/>
        </w:rPr>
        <w:t>1966. ويدعي أنه ضحية انتهاك الدولة الطرف لحقوقه بموجب الفقرة 1 من ال</w:t>
      </w:r>
      <w:r>
        <w:rPr>
          <w:rFonts w:hint="cs"/>
          <w:rtl/>
          <w:lang w:val="fr-CH"/>
        </w:rPr>
        <w:t>مادة</w:t>
      </w:r>
      <w:r>
        <w:rPr>
          <w:rtl/>
          <w:lang w:val="fr-CH"/>
        </w:rPr>
        <w:t> </w:t>
      </w:r>
      <w:r w:rsidRPr="00FA0FC2">
        <w:rPr>
          <w:rFonts w:hint="cs"/>
          <w:rtl/>
          <w:lang w:val="fr-CH"/>
        </w:rPr>
        <w:t>1، والفقرة 3 من ال</w:t>
      </w:r>
      <w:r>
        <w:rPr>
          <w:rFonts w:hint="cs"/>
          <w:rtl/>
          <w:lang w:val="fr-CH"/>
        </w:rPr>
        <w:t>مادة</w:t>
      </w:r>
      <w:r>
        <w:rPr>
          <w:rtl/>
          <w:lang w:val="fr-CH"/>
        </w:rPr>
        <w:t> </w:t>
      </w:r>
      <w:r w:rsidRPr="00FA0FC2">
        <w:rPr>
          <w:rFonts w:hint="cs"/>
          <w:rtl/>
          <w:lang w:val="fr-CH"/>
        </w:rPr>
        <w:t>2، والفقرة 1 من ال</w:t>
      </w:r>
      <w:r>
        <w:rPr>
          <w:rFonts w:hint="cs"/>
          <w:rtl/>
          <w:lang w:val="fr-CH"/>
        </w:rPr>
        <w:t>مادة</w:t>
      </w:r>
      <w:r>
        <w:rPr>
          <w:rtl/>
          <w:lang w:val="fr-CH"/>
        </w:rPr>
        <w:t> </w:t>
      </w:r>
      <w:r w:rsidRPr="00FA0FC2">
        <w:rPr>
          <w:rFonts w:hint="cs"/>
          <w:rtl/>
          <w:lang w:val="fr-CH"/>
        </w:rPr>
        <w:t>4 وال</w:t>
      </w:r>
      <w:r>
        <w:rPr>
          <w:rFonts w:hint="cs"/>
          <w:rtl/>
          <w:lang w:val="fr-CH"/>
        </w:rPr>
        <w:t>مادة</w:t>
      </w:r>
      <w:r>
        <w:rPr>
          <w:rtl/>
          <w:lang w:val="fr-CH"/>
        </w:rPr>
        <w:t> </w:t>
      </w:r>
      <w:r w:rsidRPr="00FA0FC2">
        <w:rPr>
          <w:rFonts w:hint="cs"/>
          <w:rtl/>
          <w:lang w:val="fr-CH"/>
        </w:rPr>
        <w:t>15 من الاتفاقية. وتمثل صاحب الشكوى والدته ل. ي..</w:t>
      </w:r>
    </w:p>
    <w:p w:rsidR="00091373" w:rsidRPr="00C31DD5" w:rsidRDefault="00091373" w:rsidP="00600CDB">
      <w:pPr>
        <w:pStyle w:val="SingleTxtGA"/>
        <w:rPr>
          <w:rFonts w:hint="cs"/>
          <w:spacing w:val="-2"/>
          <w:rtl/>
          <w:lang w:val="fr-CH"/>
        </w:rPr>
      </w:pPr>
      <w:r w:rsidRPr="00C31DD5">
        <w:rPr>
          <w:rFonts w:hint="cs"/>
          <w:spacing w:val="-2"/>
          <w:rtl/>
          <w:lang w:val="fr-CH"/>
        </w:rPr>
        <w:t>1-2</w:t>
      </w:r>
      <w:r w:rsidRPr="00C31DD5">
        <w:rPr>
          <w:rFonts w:hint="cs"/>
          <w:spacing w:val="-2"/>
          <w:rtl/>
          <w:lang w:val="fr-CH"/>
        </w:rPr>
        <w:tab/>
        <w:t>في مذكرة شفوية مؤرخة 23 كانون الأول/ديسمبر 2011، اعترضت الدولة الطرف على مقبولية البلاغ لعدم استنفاد سبل الانتصاف المحلية ولأن المحكمة الأوروبية لحقوق الإنسان كانت قد نظرت من قبل في المسألة نفسها. وفي</w:t>
      </w:r>
      <w:r w:rsidRPr="00C31DD5">
        <w:rPr>
          <w:spacing w:val="-2"/>
          <w:rtl/>
          <w:lang w:val="fr-CH"/>
        </w:rPr>
        <w:t> </w:t>
      </w:r>
      <w:r w:rsidRPr="00C31DD5">
        <w:rPr>
          <w:rFonts w:hint="cs"/>
          <w:spacing w:val="-2"/>
          <w:rtl/>
          <w:lang w:val="fr-CH"/>
        </w:rPr>
        <w:t>16 أيار/مايو 2012، قررت اللجنة، وهي</w:t>
      </w:r>
      <w:r w:rsidR="00600CDB">
        <w:rPr>
          <w:rFonts w:hint="eastAsia"/>
          <w:spacing w:val="-2"/>
          <w:rtl/>
          <w:lang w:val="fr-CH"/>
        </w:rPr>
        <w:t> </w:t>
      </w:r>
      <w:r w:rsidRPr="00C31DD5">
        <w:rPr>
          <w:rFonts w:hint="cs"/>
          <w:spacing w:val="-2"/>
          <w:rtl/>
          <w:lang w:val="fr-CH"/>
        </w:rPr>
        <w:t>تتصرف عن طريق مقررها المعني بالشكاوى الجديدة والتدابير المؤقتة، الموافقة على طلب الدولة الطرف بأن يُنظر في مسألة مقبولية البلاغ أولاً، بمعزل عن أسسه الموضوعية.</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الوقائع</w:t>
      </w:r>
      <w:r>
        <w:rPr>
          <w:rFonts w:hint="cs"/>
          <w:rtl/>
          <w:lang w:val="fr-CH"/>
        </w:rPr>
        <w:t xml:space="preserve"> كما</w:t>
      </w:r>
      <w:r>
        <w:rPr>
          <w:rtl/>
          <w:lang w:val="fr-CH"/>
        </w:rPr>
        <w:t> </w:t>
      </w:r>
      <w:r>
        <w:rPr>
          <w:rFonts w:hint="cs"/>
          <w:rtl/>
          <w:lang w:val="fr-CH"/>
        </w:rPr>
        <w:t xml:space="preserve">عرضها </w:t>
      </w:r>
      <w:r w:rsidRPr="00FA0FC2">
        <w:rPr>
          <w:rFonts w:hint="cs"/>
          <w:rtl/>
          <w:lang w:val="fr-CH"/>
        </w:rPr>
        <w:t>صاحب الشكوى</w:t>
      </w:r>
    </w:p>
    <w:p w:rsidR="00091373" w:rsidRPr="00FA0FC2" w:rsidRDefault="00091373" w:rsidP="00091373">
      <w:pPr>
        <w:pStyle w:val="SingleTxtGA"/>
        <w:rPr>
          <w:rFonts w:hint="cs"/>
          <w:rtl/>
          <w:lang w:val="fr-CH"/>
        </w:rPr>
      </w:pPr>
      <w:r w:rsidRPr="00FA0FC2">
        <w:rPr>
          <w:rFonts w:hint="cs"/>
          <w:rtl/>
          <w:lang w:val="fr-CH"/>
        </w:rPr>
        <w:t>2-1</w:t>
      </w:r>
      <w:r w:rsidRPr="00FA0FC2">
        <w:rPr>
          <w:rFonts w:hint="cs"/>
          <w:rtl/>
          <w:lang w:val="fr-CH"/>
        </w:rPr>
        <w:tab/>
        <w:t>في 16 نيسان/أبريل 2012، تلقى صاحب الشكوى الذي كان آنذاك سائق حافلة تؤمن نقل المسافرين على الخط تشيكوف - موسكو - تشيكوف، مكالمة هاتفية من ضابط شرطة يعلمه بأن الشرطة تعتزم استجوابه.</w:t>
      </w:r>
      <w:r>
        <w:rPr>
          <w:rFonts w:hint="cs"/>
          <w:rtl/>
          <w:lang w:val="fr-CH"/>
        </w:rPr>
        <w:t xml:space="preserve"> وفي</w:t>
      </w:r>
      <w:r>
        <w:rPr>
          <w:rtl/>
          <w:lang w:val="fr-CH"/>
        </w:rPr>
        <w:t> </w:t>
      </w:r>
      <w:r w:rsidRPr="00FA0FC2">
        <w:rPr>
          <w:rFonts w:hint="cs"/>
          <w:rtl/>
          <w:lang w:val="fr-CH"/>
        </w:rPr>
        <w:t>وقت لاحق من نفس اليوم قام ضابطان من مخفر شرطة مقاطعة تشيكوف باعتقال صاحب الشكوى بالقرب من منزله دون أن يقدما معلومات أخرى.</w:t>
      </w:r>
    </w:p>
    <w:p w:rsidR="00091373" w:rsidRPr="00FA0FC2" w:rsidRDefault="00091373" w:rsidP="00091373">
      <w:pPr>
        <w:pStyle w:val="SingleTxtGA"/>
        <w:rPr>
          <w:rFonts w:hint="cs"/>
          <w:spacing w:val="-2"/>
          <w:rtl/>
          <w:lang w:val="fr-CH"/>
        </w:rPr>
      </w:pPr>
      <w:r w:rsidRPr="00FA0FC2">
        <w:rPr>
          <w:rFonts w:hint="cs"/>
          <w:spacing w:val="-2"/>
          <w:rtl/>
          <w:lang w:val="fr-CH"/>
        </w:rPr>
        <w:t>2-2</w:t>
      </w:r>
      <w:r w:rsidRPr="00FA0FC2">
        <w:rPr>
          <w:rFonts w:hint="cs"/>
          <w:spacing w:val="-2"/>
          <w:rtl/>
          <w:lang w:val="fr-CH"/>
        </w:rPr>
        <w:tab/>
        <w:t>واقتيد صاحب الشكوى إلى مخفر شرطة مقاطعة تشيكوف وهناك بدأ ضباط الشرطة بتهديده وضربه على الرأس. وطلبوا منه الاعتراف بقتل سيدة تُدعى أ. ب.، كانت قد اختفت في 15 نيسان/أبريل 2002، في طريقها من موسكو إلى تشيكوف على متن حافلة.</w:t>
      </w:r>
    </w:p>
    <w:p w:rsidR="00091373" w:rsidRPr="00FA0FC2" w:rsidRDefault="00091373" w:rsidP="00091373">
      <w:pPr>
        <w:pStyle w:val="SingleTxtGA"/>
        <w:rPr>
          <w:rFonts w:hint="cs"/>
          <w:rtl/>
          <w:lang w:val="fr-CH"/>
        </w:rPr>
      </w:pPr>
      <w:r w:rsidRPr="00FA0FC2">
        <w:rPr>
          <w:rFonts w:hint="cs"/>
          <w:rtl/>
          <w:lang w:val="fr-CH"/>
        </w:rPr>
        <w:t>2-3</w:t>
      </w:r>
      <w:r w:rsidRPr="00FA0FC2">
        <w:rPr>
          <w:rFonts w:hint="cs"/>
          <w:rtl/>
          <w:lang w:val="fr-CH"/>
        </w:rPr>
        <w:tab/>
        <w:t>ويدعي صاحب الشكوى أنه</w:t>
      </w:r>
      <w:r>
        <w:rPr>
          <w:rFonts w:hint="cs"/>
          <w:rtl/>
          <w:lang w:val="fr-CH"/>
        </w:rPr>
        <w:t xml:space="preserve"> لم</w:t>
      </w:r>
      <w:r>
        <w:rPr>
          <w:rtl/>
          <w:lang w:val="fr-CH"/>
        </w:rPr>
        <w:t> </w:t>
      </w:r>
      <w:r w:rsidRPr="00FA0FC2">
        <w:rPr>
          <w:rFonts w:hint="cs"/>
          <w:rtl/>
          <w:lang w:val="fr-CH"/>
        </w:rPr>
        <w:t>يُعلم بحقه في الاستعانة بمحامٍ،</w:t>
      </w:r>
      <w:r>
        <w:rPr>
          <w:rFonts w:hint="cs"/>
          <w:rtl/>
          <w:lang w:val="fr-CH"/>
        </w:rPr>
        <w:t xml:space="preserve"> ولم</w:t>
      </w:r>
      <w:r>
        <w:rPr>
          <w:rtl/>
          <w:lang w:val="fr-CH"/>
        </w:rPr>
        <w:t> </w:t>
      </w:r>
      <w:r w:rsidRPr="00FA0FC2">
        <w:rPr>
          <w:rFonts w:hint="cs"/>
          <w:rtl/>
          <w:lang w:val="fr-CH"/>
        </w:rPr>
        <w:t>توجه إليه بشكل رسمي أي تهم بارتكا</w:t>
      </w:r>
      <w:r w:rsidRPr="00FA0FC2">
        <w:rPr>
          <w:rFonts w:hint="eastAsia"/>
          <w:rtl/>
          <w:lang w:val="fr-CH"/>
        </w:rPr>
        <w:t>ب</w:t>
      </w:r>
      <w:r w:rsidRPr="00FA0FC2">
        <w:rPr>
          <w:rFonts w:hint="cs"/>
          <w:rtl/>
          <w:lang w:val="fr-CH"/>
        </w:rPr>
        <w:t xml:space="preserve"> جريمة،</w:t>
      </w:r>
      <w:r>
        <w:rPr>
          <w:rFonts w:hint="cs"/>
          <w:rtl/>
          <w:lang w:val="fr-CH"/>
        </w:rPr>
        <w:t xml:space="preserve"> ولم</w:t>
      </w:r>
      <w:r>
        <w:rPr>
          <w:rtl/>
          <w:lang w:val="fr-CH"/>
        </w:rPr>
        <w:t> </w:t>
      </w:r>
      <w:r w:rsidRPr="00FA0FC2">
        <w:rPr>
          <w:rFonts w:hint="cs"/>
          <w:rtl/>
          <w:lang w:val="fr-CH"/>
        </w:rPr>
        <w:t>يُسجَّل اعتقاله بسجلات مخفر الشرطة.</w:t>
      </w:r>
    </w:p>
    <w:p w:rsidR="00091373" w:rsidRPr="00FA0FC2" w:rsidRDefault="00091373" w:rsidP="00091373">
      <w:pPr>
        <w:pStyle w:val="SingleTxtGA"/>
        <w:rPr>
          <w:rFonts w:hint="cs"/>
          <w:rtl/>
          <w:lang w:val="fr-CH"/>
        </w:rPr>
      </w:pPr>
      <w:r w:rsidRPr="00FA0FC2">
        <w:rPr>
          <w:rFonts w:hint="cs"/>
          <w:rtl/>
          <w:lang w:val="fr-CH"/>
        </w:rPr>
        <w:t>2-4</w:t>
      </w:r>
      <w:r w:rsidRPr="00FA0FC2">
        <w:rPr>
          <w:rFonts w:hint="cs"/>
          <w:rtl/>
          <w:lang w:val="fr-CH"/>
        </w:rPr>
        <w:tab/>
        <w:t>وفي 18 نيسان/أبريل 2002، أُجري فحص طبي شرعي لصاحب الشكوى،</w:t>
      </w:r>
      <w:r>
        <w:rPr>
          <w:rFonts w:hint="cs"/>
          <w:rtl/>
          <w:lang w:val="fr-CH"/>
        </w:rPr>
        <w:t xml:space="preserve"> لم</w:t>
      </w:r>
      <w:r>
        <w:rPr>
          <w:rtl/>
          <w:lang w:val="fr-CH"/>
        </w:rPr>
        <w:t> </w:t>
      </w:r>
      <w:r w:rsidRPr="00FA0FC2">
        <w:rPr>
          <w:rFonts w:hint="cs"/>
          <w:rtl/>
          <w:lang w:val="fr-CH"/>
        </w:rPr>
        <w:t>يكشف أية إصابات على جسده.</w:t>
      </w:r>
    </w:p>
    <w:p w:rsidR="00091373" w:rsidRPr="00FA0FC2" w:rsidRDefault="00091373" w:rsidP="00091373">
      <w:pPr>
        <w:pStyle w:val="SingleTxtGA"/>
        <w:rPr>
          <w:rFonts w:hint="cs"/>
          <w:rtl/>
          <w:lang w:val="fr-CH"/>
        </w:rPr>
      </w:pPr>
      <w:r w:rsidRPr="00FA0FC2">
        <w:rPr>
          <w:rFonts w:hint="cs"/>
          <w:rtl/>
          <w:lang w:val="fr-CH"/>
        </w:rPr>
        <w:t>2-5</w:t>
      </w:r>
      <w:r w:rsidRPr="00FA0FC2">
        <w:rPr>
          <w:rFonts w:hint="cs"/>
          <w:rtl/>
          <w:lang w:val="fr-CH"/>
        </w:rPr>
        <w:tab/>
        <w:t xml:space="preserve">وفي ليلة 19/20 نيسان/أبريل 2002 اقتاد أربعة من ضباط الشرطة صاحب الشكوى إلى منطقة غابات نائية. ويدعي صاحب الشكوى أنه تم تكبيل يديه وتغطية رأسه بقناع وقيل له إن هذه هي "فرصته الأخيرة" للاعتراف بالذنب، وأنه إذا رفض فسيُقتل. وانهال ضباط الشرطة عليه بالضرب، ودفعوه على ركبتيه بالقرب من مشعلة، فأُصيب بحروق في مستوى إحدى الركبتين نتيجة لذلك. وتعرض أيضاً للضرب على مستوى الكليتين والكبد والظهر والأضلاع وهُدد من جديد بالقتل. وهدده ضباط الشرطة أيضاً بقتل زوجته وابنته. وبعد ذلك، أُعيد إلى جناح الحبس المؤقت في مخفر شرطة مقاطعة تشيكوف. </w:t>
      </w:r>
    </w:p>
    <w:p w:rsidR="00091373" w:rsidRPr="00FA0FC2" w:rsidRDefault="00091373" w:rsidP="00091373">
      <w:pPr>
        <w:pStyle w:val="SingleTxtGA"/>
        <w:rPr>
          <w:rFonts w:hint="cs"/>
          <w:spacing w:val="-2"/>
          <w:rtl/>
          <w:lang w:val="fr-CH"/>
        </w:rPr>
      </w:pPr>
      <w:r w:rsidRPr="00FA0FC2">
        <w:rPr>
          <w:rFonts w:hint="cs"/>
          <w:spacing w:val="-2"/>
          <w:rtl/>
          <w:lang w:val="fr-CH"/>
        </w:rPr>
        <w:t>2-6</w:t>
      </w:r>
      <w:r w:rsidRPr="00FA0FC2">
        <w:rPr>
          <w:rFonts w:hint="cs"/>
          <w:spacing w:val="-2"/>
          <w:rtl/>
          <w:lang w:val="fr-CH"/>
        </w:rPr>
        <w:tab/>
        <w:t>وفي 20 نيسان/أبريل 2002، تلقى صاحب الشكوى زيارة من محاميته التي أعلمها بمخاوفه لتعرضه بصورة مستمرة للتهديد. وأبلغها</w:t>
      </w:r>
      <w:r>
        <w:rPr>
          <w:rFonts w:hint="cs"/>
          <w:spacing w:val="-2"/>
          <w:rtl/>
          <w:lang w:val="fr-CH"/>
        </w:rPr>
        <w:t xml:space="preserve"> بما</w:t>
      </w:r>
      <w:r>
        <w:rPr>
          <w:spacing w:val="-2"/>
          <w:rtl/>
          <w:lang w:val="fr-CH"/>
        </w:rPr>
        <w:t> </w:t>
      </w:r>
      <w:r w:rsidRPr="00FA0FC2">
        <w:rPr>
          <w:rFonts w:hint="cs"/>
          <w:spacing w:val="-2"/>
          <w:rtl/>
          <w:lang w:val="fr-CH"/>
        </w:rPr>
        <w:t>جرى ليلة 19/20 نيسان/أبريل 2002.</w:t>
      </w:r>
      <w:r>
        <w:rPr>
          <w:rFonts w:hint="cs"/>
          <w:spacing w:val="-2"/>
          <w:rtl/>
          <w:lang w:val="fr-CH"/>
        </w:rPr>
        <w:t xml:space="preserve"> وفي</w:t>
      </w:r>
      <w:r>
        <w:rPr>
          <w:spacing w:val="-2"/>
          <w:rtl/>
          <w:lang w:val="fr-CH"/>
        </w:rPr>
        <w:t> </w:t>
      </w:r>
      <w:r w:rsidRPr="00FA0FC2">
        <w:rPr>
          <w:rFonts w:hint="cs"/>
          <w:spacing w:val="-2"/>
          <w:rtl/>
          <w:lang w:val="fr-CH"/>
        </w:rPr>
        <w:t>نفس اليوم، قدمت المحامية إلى مكتب المدعي العام في منطقة موسكو شكوى تتعلق بتعرض صاحب الشكوى لسوء المعاملة والتهديد.</w:t>
      </w:r>
    </w:p>
    <w:p w:rsidR="00091373" w:rsidRPr="00FA0FC2" w:rsidRDefault="00091373" w:rsidP="00091373">
      <w:pPr>
        <w:pStyle w:val="SingleTxtGA"/>
        <w:spacing w:line="370" w:lineRule="exact"/>
        <w:rPr>
          <w:rFonts w:hint="cs"/>
          <w:rtl/>
          <w:lang w:val="fr-CH"/>
        </w:rPr>
      </w:pPr>
      <w:r w:rsidRPr="00FA0FC2">
        <w:rPr>
          <w:rFonts w:hint="cs"/>
          <w:rtl/>
          <w:lang w:val="fr-CH"/>
        </w:rPr>
        <w:t>2-7</w:t>
      </w:r>
      <w:r w:rsidRPr="00FA0FC2">
        <w:rPr>
          <w:rFonts w:hint="cs"/>
          <w:rtl/>
          <w:lang w:val="fr-CH"/>
        </w:rPr>
        <w:tab/>
        <w:t>وفي الليلة الفاصلة بين يومي 21 و22 نيسان/أبريل 2002، دخل ثلاثة رجال مجهولي الهوية زنزانة صاحب الشكوى. وأوضح أحدهم أنه رئيس الشرطة الجنائية في مدينة تشيكوف. ثم، غادروا الزنزانة بعد أن وجهوا تهديداتهم لصاحب الشكوى وأسرته.</w:t>
      </w:r>
      <w:r>
        <w:rPr>
          <w:rFonts w:hint="cs"/>
          <w:rtl/>
          <w:lang w:val="fr-CH"/>
        </w:rPr>
        <w:t xml:space="preserve"> وفي</w:t>
      </w:r>
      <w:r>
        <w:rPr>
          <w:rtl/>
          <w:lang w:val="fr-CH"/>
        </w:rPr>
        <w:t> </w:t>
      </w:r>
      <w:r w:rsidRPr="00FA0FC2">
        <w:rPr>
          <w:rFonts w:hint="cs"/>
          <w:rtl/>
          <w:lang w:val="fr-CH"/>
        </w:rPr>
        <w:t>الليلة التالية، جاء عدة ضباط آخرين إلى زنزانته وهم مصحوبون بأقارب السيدة المفقودة أ. ب. وهددوه من جديد بالقتل في حال عدم اعترافه بالذنب.</w:t>
      </w:r>
    </w:p>
    <w:p w:rsidR="00091373" w:rsidRPr="00FA0FC2" w:rsidRDefault="00091373" w:rsidP="00C16093">
      <w:pPr>
        <w:pStyle w:val="SingleTxtGA"/>
        <w:spacing w:line="370" w:lineRule="exact"/>
        <w:rPr>
          <w:rFonts w:hint="cs"/>
          <w:spacing w:val="-2"/>
          <w:rtl/>
          <w:lang w:val="fr-CH"/>
        </w:rPr>
      </w:pPr>
      <w:r w:rsidRPr="00FA0FC2">
        <w:rPr>
          <w:rFonts w:hint="cs"/>
          <w:spacing w:val="-2"/>
          <w:rtl/>
          <w:lang w:val="fr-CH"/>
        </w:rPr>
        <w:t>2-8</w:t>
      </w:r>
      <w:r w:rsidRPr="00FA0FC2">
        <w:rPr>
          <w:rFonts w:hint="cs"/>
          <w:spacing w:val="-2"/>
          <w:rtl/>
          <w:lang w:val="fr-CH"/>
        </w:rPr>
        <w:tab/>
        <w:t>وفي 22 نيسان/أبريل 2002، أمر كبير المفتشين في مكتب المدعي العام بمنطقة موسكو التابع لمدينة تشيكوف بأن يجري خبير في الطب الشرعي فحصاً لصاحب الشكوى، وهو</w:t>
      </w:r>
      <w:r>
        <w:rPr>
          <w:rFonts w:hint="cs"/>
          <w:spacing w:val="-2"/>
          <w:rtl/>
          <w:lang w:val="fr-CH"/>
        </w:rPr>
        <w:t xml:space="preserve"> ما</w:t>
      </w:r>
      <w:r>
        <w:rPr>
          <w:spacing w:val="-2"/>
          <w:rtl/>
          <w:lang w:val="fr-CH"/>
        </w:rPr>
        <w:t> </w:t>
      </w:r>
      <w:r w:rsidRPr="00FA0FC2">
        <w:rPr>
          <w:rFonts w:hint="cs"/>
          <w:spacing w:val="-2"/>
          <w:rtl/>
          <w:lang w:val="fr-CH"/>
        </w:rPr>
        <w:t>تم يوم 7 أيار/مايو 2002. وخلال الفحص أعلم صاحب الشكوى خبير الطب الشرعي بأنه يعاني من ألم حاد في صدره وأنه يشعر بالدوار. ويدعي أن الخبير أعلمه شفوياً بأنه</w:t>
      </w:r>
      <w:r w:rsidRPr="00FA0FC2">
        <w:rPr>
          <w:rFonts w:hint="eastAsia"/>
          <w:spacing w:val="-2"/>
          <w:rtl/>
          <w:lang w:val="fr-CH"/>
        </w:rPr>
        <w:t> </w:t>
      </w:r>
      <w:r w:rsidRPr="00FA0FC2">
        <w:rPr>
          <w:rFonts w:hint="cs"/>
          <w:spacing w:val="-2"/>
          <w:rtl/>
          <w:lang w:val="fr-CH"/>
        </w:rPr>
        <w:t>يعاني من كسور في أضلاعه. ومع ذلك،</w:t>
      </w:r>
      <w:r>
        <w:rPr>
          <w:rFonts w:hint="cs"/>
          <w:spacing w:val="-2"/>
          <w:rtl/>
          <w:lang w:val="fr-CH"/>
        </w:rPr>
        <w:t xml:space="preserve"> لم</w:t>
      </w:r>
      <w:r>
        <w:rPr>
          <w:spacing w:val="-2"/>
          <w:rtl/>
          <w:lang w:val="fr-CH"/>
        </w:rPr>
        <w:t> </w:t>
      </w:r>
      <w:r w:rsidRPr="00FA0FC2">
        <w:rPr>
          <w:rFonts w:hint="cs"/>
          <w:spacing w:val="-2"/>
          <w:rtl/>
          <w:lang w:val="fr-CH"/>
        </w:rPr>
        <w:t>يشر تقرير فحص الطب الشرعي</w:t>
      </w:r>
      <w:r>
        <w:rPr>
          <w:rFonts w:hint="cs"/>
          <w:spacing w:val="-2"/>
          <w:rtl/>
          <w:lang w:val="fr-CH"/>
        </w:rPr>
        <w:t xml:space="preserve"> إلا</w:t>
      </w:r>
      <w:r>
        <w:rPr>
          <w:spacing w:val="-2"/>
          <w:rtl/>
          <w:lang w:val="fr-CH"/>
        </w:rPr>
        <w:t> </w:t>
      </w:r>
      <w:r>
        <w:rPr>
          <w:rFonts w:hint="cs"/>
          <w:spacing w:val="-2"/>
          <w:rtl/>
          <w:lang w:val="fr-CH"/>
        </w:rPr>
        <w:t xml:space="preserve">إلى جرح صغير في الركبة اليسرى </w:t>
      </w:r>
      <w:r w:rsidRPr="00FA0FC2">
        <w:rPr>
          <w:rFonts w:hint="cs"/>
          <w:spacing w:val="-2"/>
          <w:rtl/>
          <w:lang w:val="fr-CH"/>
        </w:rPr>
        <w:t>بدأ يلتئم. ووفقاً للتقرير يُعزى هذا الجرح إلى التعرض لدرجة حرارة عالية</w:t>
      </w:r>
      <w:r>
        <w:rPr>
          <w:rFonts w:hint="cs"/>
          <w:spacing w:val="-2"/>
          <w:rtl/>
          <w:lang w:val="fr-CH"/>
        </w:rPr>
        <w:t xml:space="preserve"> أو</w:t>
      </w:r>
      <w:r>
        <w:rPr>
          <w:spacing w:val="-2"/>
          <w:rtl/>
          <w:lang w:val="fr-CH"/>
        </w:rPr>
        <w:t> </w:t>
      </w:r>
      <w:r w:rsidRPr="00FA0FC2">
        <w:rPr>
          <w:rFonts w:hint="cs"/>
          <w:spacing w:val="-2"/>
          <w:rtl/>
          <w:lang w:val="fr-CH"/>
        </w:rPr>
        <w:t>منخفضة،</w:t>
      </w:r>
      <w:r>
        <w:rPr>
          <w:rFonts w:hint="cs"/>
          <w:spacing w:val="-2"/>
          <w:rtl/>
          <w:lang w:val="fr-CH"/>
        </w:rPr>
        <w:t xml:space="preserve"> أو</w:t>
      </w:r>
      <w:r>
        <w:rPr>
          <w:spacing w:val="-2"/>
          <w:rtl/>
          <w:lang w:val="fr-CH"/>
        </w:rPr>
        <w:t> </w:t>
      </w:r>
      <w:r w:rsidRPr="00FA0FC2">
        <w:rPr>
          <w:rFonts w:hint="cs"/>
          <w:spacing w:val="-2"/>
          <w:rtl/>
          <w:lang w:val="fr-CH"/>
        </w:rPr>
        <w:t>إلى أداة مقوّسة</w:t>
      </w:r>
      <w:r>
        <w:rPr>
          <w:rFonts w:hint="cs"/>
          <w:spacing w:val="-2"/>
          <w:rtl/>
          <w:lang w:val="fr-CH"/>
        </w:rPr>
        <w:t xml:space="preserve"> أو</w:t>
      </w:r>
      <w:r>
        <w:rPr>
          <w:spacing w:val="-2"/>
          <w:rtl/>
          <w:lang w:val="fr-CH"/>
        </w:rPr>
        <w:t> </w:t>
      </w:r>
      <w:r w:rsidRPr="00FA0FC2">
        <w:rPr>
          <w:rFonts w:hint="cs"/>
          <w:spacing w:val="-2"/>
          <w:rtl/>
          <w:lang w:val="fr-CH"/>
        </w:rPr>
        <w:t>مواد كيميائية. ونتيجة ذلك، رفض كبير المفتشين في</w:t>
      </w:r>
      <w:r w:rsidRPr="00FA0FC2">
        <w:rPr>
          <w:rFonts w:hint="eastAsia"/>
          <w:spacing w:val="-2"/>
          <w:rtl/>
          <w:lang w:val="fr-CH"/>
        </w:rPr>
        <w:t> </w:t>
      </w:r>
      <w:r w:rsidRPr="00FA0FC2">
        <w:rPr>
          <w:rFonts w:hint="cs"/>
          <w:spacing w:val="-2"/>
          <w:rtl/>
          <w:lang w:val="fr-CH"/>
        </w:rPr>
        <w:t>مكتب المدعي العام بمنطقة موسكو التابع لمدينة تشيكوف، في 28 حزيران/يونيه 2002، فتح تحقيق جنائي</w:t>
      </w:r>
      <w:r>
        <w:rPr>
          <w:rFonts w:hint="cs"/>
          <w:spacing w:val="-2"/>
          <w:rtl/>
          <w:lang w:val="fr-CH"/>
        </w:rPr>
        <w:t xml:space="preserve"> فيما</w:t>
      </w:r>
      <w:r>
        <w:rPr>
          <w:spacing w:val="-2"/>
          <w:rtl/>
          <w:lang w:val="fr-CH"/>
        </w:rPr>
        <w:t> </w:t>
      </w:r>
      <w:r w:rsidRPr="00FA0FC2">
        <w:rPr>
          <w:rFonts w:hint="cs"/>
          <w:spacing w:val="-2"/>
          <w:rtl/>
          <w:lang w:val="fr-CH"/>
        </w:rPr>
        <w:t xml:space="preserve">يتعلق بادعاءات صاحب الشكوى بالتعرض لسوء المعاملة. </w:t>
      </w:r>
    </w:p>
    <w:p w:rsidR="00091373" w:rsidRPr="00C31DD5" w:rsidRDefault="00091373" w:rsidP="00C16093">
      <w:pPr>
        <w:pStyle w:val="SingleTxtGA"/>
        <w:spacing w:line="370" w:lineRule="exact"/>
        <w:rPr>
          <w:rFonts w:hint="cs"/>
          <w:spacing w:val="-4"/>
          <w:rtl/>
          <w:lang w:val="fr-CH"/>
        </w:rPr>
      </w:pPr>
      <w:r w:rsidRPr="00C31DD5">
        <w:rPr>
          <w:rFonts w:hint="cs"/>
          <w:spacing w:val="-4"/>
          <w:rtl/>
          <w:lang w:val="fr-CH"/>
        </w:rPr>
        <w:t>2-9</w:t>
      </w:r>
      <w:r w:rsidRPr="00C31DD5">
        <w:rPr>
          <w:rFonts w:hint="cs"/>
          <w:spacing w:val="-4"/>
          <w:rtl/>
          <w:lang w:val="fr-CH"/>
        </w:rPr>
        <w:tab/>
        <w:t>ويدعي صاحب الشكوى أنه اعترف في نهاية المطاف وتحت التعذيب والتهديد وسوء المعاملة، بالجريمة التي اتُهم بارتكابها. وفي</w:t>
      </w:r>
      <w:r w:rsidRPr="00C31DD5">
        <w:rPr>
          <w:spacing w:val="-4"/>
          <w:rtl/>
          <w:lang w:val="fr-CH"/>
        </w:rPr>
        <w:t> </w:t>
      </w:r>
      <w:r w:rsidRPr="00C31DD5">
        <w:rPr>
          <w:rFonts w:hint="cs"/>
          <w:spacing w:val="-4"/>
          <w:rtl/>
          <w:lang w:val="fr-CH"/>
        </w:rPr>
        <w:t>تاريخ غير محدد في تشرين الثاني/نوفمبر 2002، نُقل</w:t>
      </w:r>
      <w:r w:rsidRPr="00C31DD5">
        <w:rPr>
          <w:rFonts w:hint="eastAsia"/>
          <w:spacing w:val="-4"/>
          <w:rtl/>
          <w:lang w:val="fr-CH"/>
        </w:rPr>
        <w:t> </w:t>
      </w:r>
      <w:r w:rsidRPr="00C31DD5">
        <w:rPr>
          <w:rFonts w:hint="cs"/>
          <w:spacing w:val="-4"/>
          <w:rtl/>
          <w:lang w:val="fr-CH"/>
        </w:rPr>
        <w:t>إلى سجن مدينة سيربوكوف، حيث استمر التعذيب وسوء المعاملة حسب مزاعم صاحب الشكوى.</w:t>
      </w:r>
    </w:p>
    <w:p w:rsidR="00091373" w:rsidRPr="00FA0FC2" w:rsidRDefault="00091373" w:rsidP="00C16093">
      <w:pPr>
        <w:pStyle w:val="SingleTxtGA"/>
        <w:spacing w:line="370" w:lineRule="exact"/>
        <w:rPr>
          <w:rFonts w:hint="cs"/>
          <w:spacing w:val="-2"/>
          <w:rtl/>
          <w:lang w:val="fr-CH"/>
        </w:rPr>
      </w:pPr>
      <w:r w:rsidRPr="00FA0FC2">
        <w:rPr>
          <w:rFonts w:hint="cs"/>
          <w:spacing w:val="-2"/>
          <w:rtl/>
          <w:lang w:val="fr-CH"/>
        </w:rPr>
        <w:t>2-10</w:t>
      </w:r>
      <w:r w:rsidRPr="00FA0FC2">
        <w:rPr>
          <w:rFonts w:hint="cs"/>
          <w:spacing w:val="-2"/>
          <w:rtl/>
          <w:lang w:val="fr-CH"/>
        </w:rPr>
        <w:tab/>
        <w:t>وفي 11 آذار/مارس 2003، أدانت محكمة موسكو الإقليمية صاحب الشكوى بارتكاب جرائم منها الاغتصاب بموجب الفقرة 3 من ال</w:t>
      </w:r>
      <w:r>
        <w:rPr>
          <w:rFonts w:hint="cs"/>
          <w:spacing w:val="-2"/>
          <w:rtl/>
          <w:lang w:val="fr-CH"/>
        </w:rPr>
        <w:t>مادة</w:t>
      </w:r>
      <w:r>
        <w:rPr>
          <w:spacing w:val="-2"/>
          <w:rtl/>
          <w:lang w:val="fr-CH"/>
        </w:rPr>
        <w:t> </w:t>
      </w:r>
      <w:r w:rsidRPr="00FA0FC2">
        <w:rPr>
          <w:rFonts w:hint="cs"/>
          <w:spacing w:val="-2"/>
          <w:rtl/>
          <w:lang w:val="fr-CH"/>
        </w:rPr>
        <w:t>131، والقتل بالاشتراك مع مجموعة من الأشخاص بموجب الفقرة 2 من ال</w:t>
      </w:r>
      <w:r>
        <w:rPr>
          <w:rFonts w:hint="cs"/>
          <w:spacing w:val="-2"/>
          <w:rtl/>
          <w:lang w:val="fr-CH"/>
        </w:rPr>
        <w:t>مادة</w:t>
      </w:r>
      <w:r>
        <w:rPr>
          <w:spacing w:val="-2"/>
          <w:rtl/>
          <w:lang w:val="fr-CH"/>
        </w:rPr>
        <w:t> </w:t>
      </w:r>
      <w:r w:rsidRPr="00FA0FC2">
        <w:rPr>
          <w:rFonts w:hint="cs"/>
          <w:spacing w:val="-2"/>
          <w:rtl/>
          <w:lang w:val="fr-CH"/>
        </w:rPr>
        <w:t>105 من القانون الجنائي وحكمت عليه بالسجن لمدة 21 عاماً. وعند استئنافه للحكم، أكدت المحكمة العليا، في 13 أيار/مايو 2003 الحكم الصادر في 11 آذار/مارس 2003. ويدعي صاحب الشكوى أن محاميته طلبت من محكمة إقليم موسكو، أثناء المحاكمة، أن تأخذ في الحسبان</w:t>
      </w:r>
      <w:r>
        <w:rPr>
          <w:rFonts w:hint="cs"/>
          <w:spacing w:val="-2"/>
          <w:rtl/>
          <w:lang w:val="fr-CH"/>
        </w:rPr>
        <w:t xml:space="preserve"> ما</w:t>
      </w:r>
      <w:r>
        <w:rPr>
          <w:spacing w:val="-2"/>
          <w:rtl/>
          <w:lang w:val="fr-CH"/>
        </w:rPr>
        <w:t> </w:t>
      </w:r>
      <w:r w:rsidRPr="00FA0FC2">
        <w:rPr>
          <w:rFonts w:hint="cs"/>
          <w:spacing w:val="-2"/>
          <w:rtl/>
          <w:lang w:val="fr-CH"/>
        </w:rPr>
        <w:t>تعرض له من تعذيب وإصابات، وفقاً</w:t>
      </w:r>
      <w:r>
        <w:rPr>
          <w:rFonts w:hint="cs"/>
          <w:spacing w:val="-2"/>
          <w:rtl/>
          <w:lang w:val="fr-CH"/>
        </w:rPr>
        <w:t xml:space="preserve"> لما</w:t>
      </w:r>
      <w:r>
        <w:rPr>
          <w:spacing w:val="-2"/>
          <w:rtl/>
          <w:lang w:val="fr-CH"/>
        </w:rPr>
        <w:t> </w:t>
      </w:r>
      <w:r w:rsidRPr="00FA0FC2">
        <w:rPr>
          <w:rFonts w:hint="cs"/>
          <w:spacing w:val="-2"/>
          <w:rtl/>
          <w:lang w:val="fr-CH"/>
        </w:rPr>
        <w:t xml:space="preserve">أقره خبير الطب الشرعي في 7 أيار/مايو 2002، لكن المحكمة رفضت هذا الطلب. </w:t>
      </w:r>
    </w:p>
    <w:p w:rsidR="00091373" w:rsidRPr="00FA0FC2" w:rsidRDefault="00091373" w:rsidP="00C16093">
      <w:pPr>
        <w:pStyle w:val="SingleTxtGA"/>
        <w:spacing w:line="370" w:lineRule="exact"/>
        <w:rPr>
          <w:rFonts w:hint="cs"/>
          <w:rtl/>
          <w:lang w:val="fr-CH"/>
        </w:rPr>
      </w:pPr>
      <w:r w:rsidRPr="00FA0FC2">
        <w:rPr>
          <w:rFonts w:hint="cs"/>
          <w:rtl/>
          <w:lang w:val="fr-CH"/>
        </w:rPr>
        <w:t>2-11</w:t>
      </w:r>
      <w:r w:rsidRPr="00FA0FC2">
        <w:rPr>
          <w:rFonts w:hint="cs"/>
          <w:rtl/>
          <w:lang w:val="fr-CH"/>
        </w:rPr>
        <w:tab/>
        <w:t>وفي حزيران/يونيه 2003 وأيار/مايو 2004 رفعت محامية صاحب الشكوى دعوى إلى المحكمة العليا بموجب إجراءات المراجعة القضائية، مطالبةً بمراجعة الدعوى الجنائية وذلك لأسباب منها تعرض صاحب الشكوى للتعذيب وسوء المعاملة أثناء الاحتجاز</w:t>
      </w:r>
      <w:r>
        <w:rPr>
          <w:rFonts w:hint="cs"/>
          <w:rtl/>
          <w:lang w:val="fr-CH"/>
        </w:rPr>
        <w:t xml:space="preserve"> ما</w:t>
      </w:r>
      <w:r>
        <w:rPr>
          <w:rtl/>
          <w:lang w:val="fr-CH"/>
        </w:rPr>
        <w:t> </w:t>
      </w:r>
      <w:r w:rsidRPr="00FA0FC2">
        <w:rPr>
          <w:rFonts w:hint="cs"/>
          <w:rtl/>
          <w:lang w:val="fr-CH"/>
        </w:rPr>
        <w:t>قبل المحاكمة واعترافه بالذنب نتيجة لذلك. ورفضت المحكمة الطلب.</w:t>
      </w:r>
    </w:p>
    <w:p w:rsidR="00091373" w:rsidRPr="00FA0FC2" w:rsidRDefault="00091373" w:rsidP="00C16093">
      <w:pPr>
        <w:pStyle w:val="SingleTxtGA"/>
        <w:spacing w:line="370" w:lineRule="exact"/>
        <w:rPr>
          <w:rFonts w:hint="cs"/>
          <w:rtl/>
          <w:lang w:val="fr-CH"/>
        </w:rPr>
      </w:pPr>
      <w:r w:rsidRPr="00FA0FC2">
        <w:rPr>
          <w:rFonts w:hint="cs"/>
          <w:rtl/>
          <w:lang w:val="fr-CH"/>
        </w:rPr>
        <w:t>2-12</w:t>
      </w:r>
      <w:r w:rsidRPr="00FA0FC2">
        <w:rPr>
          <w:rFonts w:hint="cs"/>
          <w:rtl/>
          <w:lang w:val="fr-CH"/>
        </w:rPr>
        <w:tab/>
        <w:t>وفي آذار/مارس 2004، رفعت والدة صاحب الشكوى، وبالنيابة عن ابنها، دعوى إلى المحكمة الأوروبية لحقوق الإنسان تتعلق بتعرض ابنها لسوء المعاملة وانتزاع اعترافاته بالإكراه.</w:t>
      </w:r>
      <w:r>
        <w:rPr>
          <w:rFonts w:hint="cs"/>
          <w:rtl/>
          <w:lang w:val="fr-CH"/>
        </w:rPr>
        <w:t xml:space="preserve"> وفي</w:t>
      </w:r>
      <w:r>
        <w:rPr>
          <w:rtl/>
          <w:lang w:val="fr-CH"/>
        </w:rPr>
        <w:t> </w:t>
      </w:r>
      <w:r w:rsidRPr="00FA0FC2">
        <w:rPr>
          <w:rFonts w:hint="cs"/>
          <w:rtl/>
          <w:lang w:val="fr-CH"/>
        </w:rPr>
        <w:t>آذار/مارس 2006، رأت المحكمة أن الشكوى غير مقبولة بموجب المادتين 34 و35 من اتفاقية حماية حقوق الإنسان والحريات الأساسية.</w:t>
      </w:r>
    </w:p>
    <w:p w:rsidR="00091373" w:rsidRPr="00FA0FC2" w:rsidRDefault="00091373" w:rsidP="00C16093">
      <w:pPr>
        <w:pStyle w:val="SingleTxtGA"/>
        <w:spacing w:line="370" w:lineRule="exact"/>
        <w:rPr>
          <w:rFonts w:hint="cs"/>
          <w:rtl/>
          <w:lang w:val="fr-CH"/>
        </w:rPr>
      </w:pPr>
      <w:r w:rsidRPr="00FA0FC2">
        <w:rPr>
          <w:rFonts w:hint="cs"/>
          <w:rtl/>
          <w:lang w:val="fr-CH"/>
        </w:rPr>
        <w:t>2-13</w:t>
      </w:r>
      <w:r w:rsidRPr="00FA0FC2">
        <w:rPr>
          <w:rFonts w:hint="cs"/>
          <w:rtl/>
          <w:lang w:val="fr-CH"/>
        </w:rPr>
        <w:tab/>
        <w:t>وفي 24 تشرين الثاني/نوفمبر 2006، رفع صاحب الشكوى دعوى إلى المدعي العام للاتحاد الروسي، يدعي فيها تعرضه للتعذيب وسوء المعاملة</w:t>
      </w:r>
      <w:r>
        <w:rPr>
          <w:rFonts w:hint="cs"/>
          <w:rtl/>
          <w:lang w:val="fr-CH"/>
        </w:rPr>
        <w:t xml:space="preserve"> وما</w:t>
      </w:r>
      <w:r>
        <w:rPr>
          <w:rtl/>
          <w:lang w:val="fr-CH"/>
        </w:rPr>
        <w:t> </w:t>
      </w:r>
      <w:r w:rsidRPr="00FA0FC2">
        <w:rPr>
          <w:rFonts w:hint="cs"/>
          <w:rtl/>
          <w:lang w:val="fr-CH"/>
        </w:rPr>
        <w:t>ترتب على ذلك من إدانة غير قانونية. ورُفضت الدعوى في 15 شباط/فبراير 2007.</w:t>
      </w:r>
      <w:r>
        <w:rPr>
          <w:rFonts w:hint="cs"/>
          <w:rtl/>
          <w:lang w:val="fr-CH"/>
        </w:rPr>
        <w:t xml:space="preserve"> وفي</w:t>
      </w:r>
      <w:r>
        <w:rPr>
          <w:rtl/>
          <w:lang w:val="fr-CH"/>
        </w:rPr>
        <w:t> </w:t>
      </w:r>
      <w:r w:rsidRPr="00FA0FC2">
        <w:rPr>
          <w:rFonts w:hint="cs"/>
          <w:rtl/>
          <w:lang w:val="fr-CH"/>
        </w:rPr>
        <w:t>الفترة بين 15 شباط/فبراير 2007 و3 آب/أغسطس 2009، رفع صاحب الشكوى دعاوى مماثلة إلى عدد من السلطات الوطنية، لكن دون جدوى.</w:t>
      </w:r>
    </w:p>
    <w:p w:rsidR="00091373" w:rsidRPr="00FA0FC2" w:rsidRDefault="00091373" w:rsidP="00091373">
      <w:pPr>
        <w:pStyle w:val="H23GA"/>
        <w:rPr>
          <w:rFonts w:hint="cs"/>
          <w:rtl/>
          <w:lang w:val="fr-CH"/>
        </w:rPr>
      </w:pPr>
      <w:r w:rsidRPr="00FA0FC2">
        <w:rPr>
          <w:rtl/>
          <w:lang w:val="fr-CH"/>
        </w:rPr>
        <w:tab/>
      </w:r>
      <w:r w:rsidRPr="00FA0FC2">
        <w:rPr>
          <w:rFonts w:hint="cs"/>
          <w:rtl/>
          <w:lang w:val="fr-CH"/>
        </w:rPr>
        <w:tab/>
        <w:t>الشكوى</w:t>
      </w:r>
    </w:p>
    <w:p w:rsidR="00091373" w:rsidRPr="00FA0FC2" w:rsidRDefault="00091373" w:rsidP="00091373">
      <w:pPr>
        <w:pStyle w:val="SingleTxtGA"/>
        <w:rPr>
          <w:rFonts w:hint="cs"/>
          <w:rtl/>
          <w:lang w:val="fr-CH"/>
        </w:rPr>
      </w:pPr>
      <w:r w:rsidRPr="00FA0FC2">
        <w:rPr>
          <w:rFonts w:hint="cs"/>
          <w:rtl/>
          <w:lang w:val="fr-CH"/>
        </w:rPr>
        <w:t>3-1</w:t>
      </w:r>
      <w:r w:rsidRPr="00FA0FC2">
        <w:rPr>
          <w:rFonts w:hint="cs"/>
          <w:rtl/>
          <w:lang w:val="fr-CH"/>
        </w:rPr>
        <w:tab/>
        <w:t>يدعي صاحب الشكوى أنه تعرض للتعذيب وسوء المعاملة أثناء المراحل الأولى من احتجازه، وكذا أثناء احتجازه</w:t>
      </w:r>
      <w:r>
        <w:rPr>
          <w:rFonts w:hint="cs"/>
          <w:rtl/>
          <w:lang w:val="fr-CH"/>
        </w:rPr>
        <w:t xml:space="preserve"> ما</w:t>
      </w:r>
      <w:r>
        <w:rPr>
          <w:rtl/>
          <w:lang w:val="fr-CH"/>
        </w:rPr>
        <w:t> </w:t>
      </w:r>
      <w:r w:rsidRPr="00FA0FC2">
        <w:rPr>
          <w:rFonts w:hint="cs"/>
          <w:rtl/>
          <w:lang w:val="fr-CH"/>
        </w:rPr>
        <w:t>قبل المحاكمة، وأن الفشل المتكرر في التحقيق في شكواه يمثل انتهاكاً من جانب الدولة الطرف لحقوقه بموجب الفقرة 1 من ال</w:t>
      </w:r>
      <w:r>
        <w:rPr>
          <w:rFonts w:hint="cs"/>
          <w:rtl/>
          <w:lang w:val="fr-CH"/>
        </w:rPr>
        <w:t>مادة</w:t>
      </w:r>
      <w:r>
        <w:rPr>
          <w:rtl/>
          <w:lang w:val="fr-CH"/>
        </w:rPr>
        <w:t> </w:t>
      </w:r>
      <w:r w:rsidRPr="00FA0FC2">
        <w:rPr>
          <w:rFonts w:hint="cs"/>
          <w:rtl/>
          <w:lang w:val="fr-CH"/>
        </w:rPr>
        <w:t>1، والفقرة 3 من ال</w:t>
      </w:r>
      <w:r>
        <w:rPr>
          <w:rFonts w:hint="cs"/>
          <w:rtl/>
          <w:lang w:val="fr-CH"/>
        </w:rPr>
        <w:t>مادة</w:t>
      </w:r>
      <w:r>
        <w:rPr>
          <w:rtl/>
          <w:lang w:val="fr-CH"/>
        </w:rPr>
        <w:t> </w:t>
      </w:r>
      <w:r w:rsidRPr="00FA0FC2">
        <w:rPr>
          <w:rFonts w:hint="cs"/>
          <w:rtl/>
          <w:lang w:val="fr-CH"/>
        </w:rPr>
        <w:t>2؛ وال</w:t>
      </w:r>
      <w:r>
        <w:rPr>
          <w:rFonts w:hint="cs"/>
          <w:rtl/>
          <w:lang w:val="fr-CH"/>
        </w:rPr>
        <w:t>مادة</w:t>
      </w:r>
      <w:r>
        <w:rPr>
          <w:rtl/>
          <w:lang w:val="fr-CH"/>
        </w:rPr>
        <w:t> </w:t>
      </w:r>
      <w:r w:rsidRPr="00FA0FC2">
        <w:rPr>
          <w:rFonts w:hint="cs"/>
          <w:rtl/>
          <w:lang w:val="fr-CH"/>
        </w:rPr>
        <w:t>3؛ والفقرة 1 من ال</w:t>
      </w:r>
      <w:r>
        <w:rPr>
          <w:rFonts w:hint="cs"/>
          <w:rtl/>
          <w:lang w:val="fr-CH"/>
        </w:rPr>
        <w:t>مادة</w:t>
      </w:r>
      <w:r>
        <w:rPr>
          <w:rtl/>
          <w:lang w:val="fr-CH"/>
        </w:rPr>
        <w:t> </w:t>
      </w:r>
      <w:r w:rsidRPr="00FA0FC2">
        <w:rPr>
          <w:rFonts w:hint="cs"/>
          <w:rtl/>
          <w:lang w:val="fr-CH"/>
        </w:rPr>
        <w:t>4 من الاتفاقية.</w:t>
      </w:r>
    </w:p>
    <w:p w:rsidR="00091373" w:rsidRPr="00FA0FC2" w:rsidRDefault="00091373" w:rsidP="00091373">
      <w:pPr>
        <w:pStyle w:val="SingleTxtGA"/>
        <w:rPr>
          <w:rFonts w:hint="cs"/>
          <w:rtl/>
          <w:lang w:val="fr-CH"/>
        </w:rPr>
      </w:pPr>
      <w:r w:rsidRPr="00FA0FC2">
        <w:rPr>
          <w:rFonts w:hint="cs"/>
          <w:rtl/>
          <w:lang w:val="fr-CH"/>
        </w:rPr>
        <w:t>3-2</w:t>
      </w:r>
      <w:r w:rsidRPr="00FA0FC2">
        <w:rPr>
          <w:rFonts w:hint="cs"/>
          <w:rtl/>
          <w:lang w:val="fr-CH"/>
        </w:rPr>
        <w:tab/>
        <w:t>ويدعي أيضاً أن تعرضه لسوء المعاملة في مخفر الشرطة</w:t>
      </w:r>
      <w:r>
        <w:rPr>
          <w:rFonts w:hint="cs"/>
          <w:rtl/>
          <w:lang w:val="fr-CH"/>
        </w:rPr>
        <w:t xml:space="preserve"> وفي</w:t>
      </w:r>
      <w:r>
        <w:rPr>
          <w:rtl/>
          <w:lang w:val="fr-CH"/>
        </w:rPr>
        <w:t> </w:t>
      </w:r>
      <w:r w:rsidRPr="00FA0FC2">
        <w:rPr>
          <w:rFonts w:hint="cs"/>
          <w:rtl/>
          <w:lang w:val="fr-CH"/>
        </w:rPr>
        <w:t>السجن يُعتبر بمثابة تعذيب بغرض الحصول على اعتراف، وهو</w:t>
      </w:r>
      <w:r>
        <w:rPr>
          <w:rFonts w:hint="cs"/>
          <w:rtl/>
          <w:lang w:val="fr-CH"/>
        </w:rPr>
        <w:t xml:space="preserve"> ما</w:t>
      </w:r>
      <w:r>
        <w:rPr>
          <w:rtl/>
          <w:lang w:val="fr-CH"/>
        </w:rPr>
        <w:t> </w:t>
      </w:r>
      <w:r w:rsidRPr="00FA0FC2">
        <w:rPr>
          <w:rFonts w:hint="cs"/>
          <w:rtl/>
          <w:lang w:val="fr-CH"/>
        </w:rPr>
        <w:t>يشكل انتهاكاً لأحكام ال</w:t>
      </w:r>
      <w:r>
        <w:rPr>
          <w:rFonts w:hint="cs"/>
          <w:rtl/>
          <w:lang w:val="fr-CH"/>
        </w:rPr>
        <w:t>مادة</w:t>
      </w:r>
      <w:r>
        <w:rPr>
          <w:rtl/>
          <w:lang w:val="fr-CH"/>
        </w:rPr>
        <w:t> </w:t>
      </w:r>
      <w:r w:rsidRPr="00FA0FC2">
        <w:rPr>
          <w:rFonts w:hint="cs"/>
          <w:rtl/>
          <w:lang w:val="fr-CH"/>
        </w:rPr>
        <w:t>15 من الاتفاقية.</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ملاحظات الدولة الطرف بشأن المقبولية</w:t>
      </w:r>
    </w:p>
    <w:p w:rsidR="00091373" w:rsidRPr="00FA0FC2" w:rsidRDefault="00091373" w:rsidP="00091373">
      <w:pPr>
        <w:pStyle w:val="SingleTxtGA"/>
        <w:rPr>
          <w:rFonts w:hint="cs"/>
          <w:rtl/>
          <w:lang w:val="fr-CH"/>
        </w:rPr>
      </w:pPr>
      <w:r w:rsidRPr="00FA0FC2">
        <w:rPr>
          <w:rFonts w:hint="cs"/>
          <w:rtl/>
          <w:lang w:val="fr-CH"/>
        </w:rPr>
        <w:t>4-1</w:t>
      </w:r>
      <w:r w:rsidRPr="00FA0FC2">
        <w:rPr>
          <w:rFonts w:hint="cs"/>
          <w:rtl/>
          <w:lang w:val="fr-CH"/>
        </w:rPr>
        <w:tab/>
        <w:t>في مذكرة شفوية مؤرخة 23 كانون الأول/ديسمبر 2011، قدمت الدولة الطرف ملاحظاتها بشأن مقبولية البلاغ. وذكرت بوقائع القضية: في 11 آذار/مارس 2003، أُدين صاحب الشكوى باغتصاب وقتل السيدة أ. ب.، بطريقة وحشية، وباستخدام العنف بهدف</w:t>
      </w:r>
      <w:r w:rsidRPr="00FA0FC2">
        <w:rPr>
          <w:rFonts w:hint="eastAsia"/>
          <w:rtl/>
          <w:lang w:val="fr-CH"/>
        </w:rPr>
        <w:t> </w:t>
      </w:r>
      <w:r w:rsidRPr="00FA0FC2">
        <w:rPr>
          <w:rFonts w:hint="cs"/>
          <w:rtl/>
          <w:lang w:val="fr-CH"/>
        </w:rPr>
        <w:t>إخفاء جريمة أخرى، وذلك بالاشتراك مع أعضاء عصابة منظمة. وحُكم عليه بالسجن لمدة</w:t>
      </w:r>
      <w:r w:rsidRPr="00FA0FC2">
        <w:rPr>
          <w:rFonts w:hint="eastAsia"/>
          <w:rtl/>
          <w:lang w:val="fr-CH"/>
        </w:rPr>
        <w:t> </w:t>
      </w:r>
      <w:r w:rsidRPr="00FA0FC2">
        <w:rPr>
          <w:rFonts w:hint="cs"/>
          <w:rtl/>
          <w:lang w:val="fr-CH"/>
        </w:rPr>
        <w:t>21 عاماً.</w:t>
      </w:r>
    </w:p>
    <w:p w:rsidR="00091373" w:rsidRPr="00FA0FC2" w:rsidRDefault="00091373" w:rsidP="00091373">
      <w:pPr>
        <w:pStyle w:val="SingleTxtGA"/>
        <w:rPr>
          <w:rFonts w:hint="cs"/>
          <w:rtl/>
          <w:lang w:val="fr-CH"/>
        </w:rPr>
      </w:pPr>
      <w:r w:rsidRPr="00FA0FC2">
        <w:rPr>
          <w:rFonts w:hint="cs"/>
          <w:rtl/>
          <w:lang w:val="fr-CH"/>
        </w:rPr>
        <w:t>4-2</w:t>
      </w:r>
      <w:r w:rsidRPr="00FA0FC2">
        <w:rPr>
          <w:rFonts w:hint="cs"/>
          <w:rtl/>
          <w:lang w:val="fr-CH"/>
        </w:rPr>
        <w:tab/>
        <w:t>وخلال التحقيق السابق للمحاكمة، قدمت محامية صاحب الشكوى طلباً إلى مكتب المدعي العام تدعي فيه تعرض صاحب الشكوى لسوء المعاملة. وقد فُتح تحقيق في هذا الشأن</w:t>
      </w:r>
      <w:r>
        <w:rPr>
          <w:rFonts w:hint="cs"/>
          <w:rtl/>
          <w:lang w:val="fr-CH"/>
        </w:rPr>
        <w:t xml:space="preserve"> لم</w:t>
      </w:r>
      <w:r>
        <w:rPr>
          <w:rtl/>
          <w:lang w:val="fr-CH"/>
        </w:rPr>
        <w:t> </w:t>
      </w:r>
      <w:r w:rsidRPr="00FA0FC2">
        <w:rPr>
          <w:rFonts w:hint="cs"/>
          <w:rtl/>
          <w:lang w:val="fr-CH"/>
        </w:rPr>
        <w:t>يؤكد الوقائع المتعلقة بسوء المعاملة. وبالتالي، رفض مكتب المدعي العام، في 29 حزيران/</w:t>
      </w:r>
      <w:r>
        <w:rPr>
          <w:rFonts w:hint="cs"/>
          <w:rtl/>
          <w:lang w:val="fr-CH"/>
        </w:rPr>
        <w:t xml:space="preserve"> </w:t>
      </w:r>
      <w:r w:rsidRPr="00FA0FC2">
        <w:rPr>
          <w:rFonts w:hint="cs"/>
          <w:rtl/>
          <w:lang w:val="fr-CH"/>
        </w:rPr>
        <w:t>يونيه 2002، الشروع في إجراءات جنائية في هذا الصدد. وتشير الدولة الطرف إلى أن هذا القرار ظل دون استئناف.</w:t>
      </w:r>
    </w:p>
    <w:p w:rsidR="00091373" w:rsidRPr="00FA0FC2" w:rsidRDefault="00091373" w:rsidP="00091373">
      <w:pPr>
        <w:pStyle w:val="SingleTxtGA"/>
        <w:rPr>
          <w:rFonts w:hint="cs"/>
          <w:rtl/>
          <w:lang w:val="fr-CH"/>
        </w:rPr>
      </w:pPr>
      <w:r w:rsidRPr="00FA0FC2">
        <w:rPr>
          <w:rFonts w:hint="cs"/>
          <w:rtl/>
          <w:lang w:val="fr-CH"/>
        </w:rPr>
        <w:t>4-3</w:t>
      </w:r>
      <w:r w:rsidRPr="00FA0FC2">
        <w:rPr>
          <w:rFonts w:hint="cs"/>
          <w:rtl/>
          <w:lang w:val="fr-CH"/>
        </w:rPr>
        <w:tab/>
        <w:t>وعلى الرغم من ذلك، ففي 25 تشرين الثاني/نوفمبر 2011، ألغى النائب الأول للمدعي العام بمنطقة موسكو القرار الصادر في 29 حزيران/يونيه 2002 وأُحيل ملف القضية إلى إدارة التحقيقات في منطقة موسكو التابعة للجنة التحقيق في الاتحاد الروسي، لإجراء مزيد من الأبحاث.</w:t>
      </w:r>
    </w:p>
    <w:p w:rsidR="00091373" w:rsidRPr="00FA0FC2" w:rsidRDefault="00091373" w:rsidP="00091373">
      <w:pPr>
        <w:pStyle w:val="SingleTxtGA"/>
        <w:rPr>
          <w:rFonts w:hint="cs"/>
          <w:rtl/>
          <w:lang w:val="fr-CH"/>
        </w:rPr>
      </w:pPr>
      <w:r w:rsidRPr="00FA0FC2">
        <w:rPr>
          <w:rFonts w:hint="cs"/>
          <w:rtl/>
          <w:lang w:val="fr-CH"/>
        </w:rPr>
        <w:t>4-4</w:t>
      </w:r>
      <w:r w:rsidRPr="00FA0FC2">
        <w:rPr>
          <w:rFonts w:hint="cs"/>
          <w:rtl/>
          <w:lang w:val="fr-CH"/>
        </w:rPr>
        <w:tab/>
        <w:t>وفي ضوء</w:t>
      </w:r>
      <w:r>
        <w:rPr>
          <w:rFonts w:hint="cs"/>
          <w:rtl/>
          <w:lang w:val="fr-CH"/>
        </w:rPr>
        <w:t xml:space="preserve"> ما</w:t>
      </w:r>
      <w:r>
        <w:rPr>
          <w:rtl/>
          <w:lang w:val="fr-CH"/>
        </w:rPr>
        <w:t> </w:t>
      </w:r>
      <w:r w:rsidRPr="00FA0FC2">
        <w:rPr>
          <w:rFonts w:hint="cs"/>
          <w:rtl/>
          <w:lang w:val="fr-CH"/>
        </w:rPr>
        <w:t>تقدم، تؤكد الدولة الطرف أن صاحب الشكوى</w:t>
      </w:r>
      <w:r>
        <w:rPr>
          <w:rFonts w:hint="cs"/>
          <w:rtl/>
          <w:lang w:val="fr-CH"/>
        </w:rPr>
        <w:t xml:space="preserve"> لم</w:t>
      </w:r>
      <w:r>
        <w:rPr>
          <w:rtl/>
          <w:lang w:val="fr-CH"/>
        </w:rPr>
        <w:t> </w:t>
      </w:r>
      <w:r w:rsidRPr="00FA0FC2">
        <w:rPr>
          <w:rFonts w:hint="cs"/>
          <w:rtl/>
          <w:lang w:val="fr-CH"/>
        </w:rPr>
        <w:t>يستنفد جميع سبل الانتصاف المحلية المتاحة، وأنه ينبغي إعلان البلاغ غير مقبول وفقاً لأحكام الفقرة 5(ب) من ال</w:t>
      </w:r>
      <w:r>
        <w:rPr>
          <w:rFonts w:hint="cs"/>
          <w:rtl/>
          <w:lang w:val="fr-CH"/>
        </w:rPr>
        <w:t>مادة</w:t>
      </w:r>
      <w:r>
        <w:rPr>
          <w:rtl/>
          <w:lang w:val="fr-CH"/>
        </w:rPr>
        <w:t> </w:t>
      </w:r>
      <w:r w:rsidRPr="00FA0FC2">
        <w:rPr>
          <w:rFonts w:hint="cs"/>
          <w:rtl/>
          <w:lang w:val="fr-CH"/>
        </w:rPr>
        <w:t>22 من الاتفاقية.</w:t>
      </w:r>
    </w:p>
    <w:p w:rsidR="00091373" w:rsidRPr="00FA0FC2" w:rsidRDefault="00091373" w:rsidP="00091373">
      <w:pPr>
        <w:pStyle w:val="SingleTxtGA"/>
        <w:rPr>
          <w:rFonts w:hint="cs"/>
          <w:rtl/>
          <w:lang w:val="fr-CH"/>
        </w:rPr>
      </w:pPr>
      <w:r w:rsidRPr="00FA0FC2">
        <w:rPr>
          <w:rFonts w:hint="cs"/>
          <w:rtl/>
          <w:lang w:val="fr-CH"/>
        </w:rPr>
        <w:t>4-5</w:t>
      </w:r>
      <w:r w:rsidRPr="00FA0FC2">
        <w:rPr>
          <w:rFonts w:hint="cs"/>
          <w:rtl/>
          <w:lang w:val="fr-CH"/>
        </w:rPr>
        <w:tab/>
        <w:t>وفضلاً عن ذلك، تلاحظ الدولة الطرف أنه وفقاً للمعلومات الواردة في ملف القضية، رفعت والدة صاحب الشكوى في آذار/مارس 2004 دعوى مماثلة، بالنيابة عن ابنها، إلى المحكمة الأوروبية لحقوق الإنسان، والتي أعلنت في وقت تال أن الدعوى غير مقبولة بموجب المادتين 34 و35 من اتفاقية حماية حقوق الإنسان والحريات الأساسية. وتؤكد الدولة الطرف أنه ينبغي أيضاً إعلان عدم مقبولية البلاغ الحالي عملاً بأحكام الفقرة</w:t>
      </w:r>
      <w:r w:rsidRPr="00FA0FC2">
        <w:rPr>
          <w:rFonts w:hint="eastAsia"/>
          <w:rtl/>
          <w:lang w:val="fr-CH"/>
        </w:rPr>
        <w:t> </w:t>
      </w:r>
      <w:r w:rsidRPr="00FA0FC2">
        <w:rPr>
          <w:rFonts w:hint="cs"/>
          <w:rtl/>
          <w:lang w:val="fr-CH"/>
        </w:rPr>
        <w:t>5(أ) من ال</w:t>
      </w:r>
      <w:r>
        <w:rPr>
          <w:rFonts w:hint="cs"/>
          <w:rtl/>
          <w:lang w:val="fr-CH"/>
        </w:rPr>
        <w:t>مادة</w:t>
      </w:r>
      <w:r>
        <w:rPr>
          <w:rtl/>
          <w:lang w:val="fr-CH"/>
        </w:rPr>
        <w:t> </w:t>
      </w:r>
      <w:r w:rsidRPr="00FA0FC2">
        <w:rPr>
          <w:rFonts w:hint="cs"/>
          <w:rtl/>
          <w:lang w:val="fr-CH"/>
        </w:rPr>
        <w:t>22 من الاتفاقية، لأن اللجنة</w:t>
      </w:r>
      <w:r>
        <w:rPr>
          <w:rFonts w:hint="cs"/>
          <w:rtl/>
          <w:lang w:val="fr-CH"/>
        </w:rPr>
        <w:t xml:space="preserve"> لا</w:t>
      </w:r>
      <w:r>
        <w:rPr>
          <w:rtl/>
          <w:lang w:val="fr-CH"/>
        </w:rPr>
        <w:t> </w:t>
      </w:r>
      <w:r w:rsidRPr="00FA0FC2">
        <w:rPr>
          <w:rFonts w:hint="cs"/>
          <w:rtl/>
          <w:lang w:val="fr-CH"/>
        </w:rPr>
        <w:t>تنظر في أي بلاغ جرى</w:t>
      </w:r>
      <w:r>
        <w:rPr>
          <w:rFonts w:hint="cs"/>
          <w:rtl/>
          <w:lang w:val="fr-CH"/>
        </w:rPr>
        <w:t xml:space="preserve"> أو</w:t>
      </w:r>
      <w:r>
        <w:rPr>
          <w:rtl/>
          <w:lang w:val="fr-CH"/>
        </w:rPr>
        <w:t> </w:t>
      </w:r>
      <w:r w:rsidRPr="00FA0FC2">
        <w:rPr>
          <w:rFonts w:hint="cs"/>
          <w:rtl/>
          <w:lang w:val="fr-CH"/>
        </w:rPr>
        <w:t xml:space="preserve">يجري بحثه من قبل هيئة أخرى من هيئات </w:t>
      </w:r>
      <w:r w:rsidRPr="00FA0FC2">
        <w:rPr>
          <w:rFonts w:hint="cs"/>
          <w:rtl/>
          <w:lang/>
        </w:rPr>
        <w:t>التحقيق الدولي</w:t>
      </w:r>
      <w:r>
        <w:rPr>
          <w:rFonts w:hint="cs"/>
          <w:rtl/>
          <w:lang/>
        </w:rPr>
        <w:t xml:space="preserve"> أو</w:t>
      </w:r>
      <w:r>
        <w:rPr>
          <w:rtl/>
          <w:lang/>
        </w:rPr>
        <w:t> </w:t>
      </w:r>
      <w:r w:rsidRPr="00FA0FC2">
        <w:rPr>
          <w:rFonts w:hint="cs"/>
          <w:rtl/>
          <w:lang/>
        </w:rPr>
        <w:t>التسوية الدولية</w:t>
      </w:r>
      <w:r w:rsidRPr="00FA0FC2">
        <w:rPr>
          <w:rFonts w:hint="cs"/>
          <w:rtl/>
          <w:lang w:val="fr-CH"/>
        </w:rPr>
        <w:t>.</w:t>
      </w:r>
    </w:p>
    <w:p w:rsidR="00091373" w:rsidRPr="00FA0FC2" w:rsidRDefault="00091373" w:rsidP="00091373">
      <w:pPr>
        <w:pStyle w:val="H23GA"/>
        <w:rPr>
          <w:rFonts w:hint="cs"/>
          <w:rtl/>
          <w:lang w:val="fr-CH"/>
        </w:rPr>
      </w:pPr>
      <w:r w:rsidRPr="00FA0FC2">
        <w:rPr>
          <w:rtl/>
          <w:lang w:val="fr-CH"/>
        </w:rPr>
        <w:tab/>
      </w:r>
      <w:r w:rsidRPr="00FA0FC2">
        <w:rPr>
          <w:rFonts w:hint="cs"/>
          <w:rtl/>
          <w:lang w:val="fr-CH"/>
        </w:rPr>
        <w:tab/>
        <w:t>تعليقات صاحب الشكوى على ملاحظات الدولة الطرف</w:t>
      </w:r>
    </w:p>
    <w:p w:rsidR="00091373" w:rsidRPr="00C31DD5" w:rsidRDefault="00091373" w:rsidP="00091373">
      <w:pPr>
        <w:pStyle w:val="SingleTxtGA"/>
        <w:rPr>
          <w:rFonts w:hint="cs"/>
          <w:spacing w:val="-4"/>
          <w:rtl/>
          <w:lang w:val="fr-CH"/>
        </w:rPr>
      </w:pPr>
      <w:r w:rsidRPr="00C31DD5">
        <w:rPr>
          <w:rFonts w:hint="cs"/>
          <w:spacing w:val="-4"/>
          <w:rtl/>
          <w:lang w:val="fr-CH"/>
        </w:rPr>
        <w:t>5-1</w:t>
      </w:r>
      <w:r w:rsidRPr="00C31DD5">
        <w:rPr>
          <w:rFonts w:hint="cs"/>
          <w:spacing w:val="-4"/>
          <w:rtl/>
          <w:lang w:val="fr-CH"/>
        </w:rPr>
        <w:tab/>
        <w:t xml:space="preserve">في 5 </w:t>
      </w:r>
      <w:r w:rsidRPr="00C31DD5">
        <w:rPr>
          <w:rFonts w:hint="cs"/>
          <w:spacing w:val="-4"/>
          <w:sz w:val="30"/>
          <w:rtl/>
          <w:lang w:val="fr-CH"/>
        </w:rPr>
        <w:t xml:space="preserve">نيسان/أبريل </w:t>
      </w:r>
      <w:r w:rsidRPr="00C31DD5">
        <w:rPr>
          <w:rFonts w:hint="cs"/>
          <w:spacing w:val="-4"/>
          <w:rtl/>
          <w:lang w:val="fr-CH"/>
        </w:rPr>
        <w:t>2012، أكد صاحب الشكوى من جديد أنه أُدين بالاستناد إلى اعترافات انتُزعت منه بالإكراه. وكانت محاميته قد طلبت من المحكمة الإقليمية بمنطقة موسكو أن تراعي ما</w:t>
      </w:r>
      <w:r w:rsidRPr="00C31DD5">
        <w:rPr>
          <w:spacing w:val="-4"/>
          <w:rtl/>
          <w:lang w:val="fr-CH"/>
        </w:rPr>
        <w:t> </w:t>
      </w:r>
      <w:r w:rsidRPr="00C31DD5">
        <w:rPr>
          <w:rFonts w:hint="cs"/>
          <w:spacing w:val="-4"/>
          <w:rtl/>
          <w:lang w:val="fr-CH"/>
        </w:rPr>
        <w:t xml:space="preserve">أكده فحص الطب الشرعي الذي أُجري في 7 </w:t>
      </w:r>
      <w:r w:rsidRPr="00C31DD5">
        <w:rPr>
          <w:rFonts w:hint="cs"/>
          <w:spacing w:val="-4"/>
          <w:sz w:val="30"/>
          <w:rtl/>
          <w:lang w:val="fr-CH"/>
        </w:rPr>
        <w:t xml:space="preserve">أيار/مايو </w:t>
      </w:r>
      <w:r w:rsidRPr="00C31DD5">
        <w:rPr>
          <w:rFonts w:hint="cs"/>
          <w:spacing w:val="-4"/>
          <w:rtl/>
          <w:lang w:val="fr-CH"/>
        </w:rPr>
        <w:t xml:space="preserve">2002، من أن صاحب الشكوى قد أُصيب بجروح على الرغم من أن فحص الطب الشرعي الذي أُجري في 18 </w:t>
      </w:r>
      <w:r w:rsidRPr="00C31DD5">
        <w:rPr>
          <w:rFonts w:hint="cs"/>
          <w:spacing w:val="-4"/>
          <w:sz w:val="30"/>
          <w:rtl/>
          <w:lang w:val="fr-CH"/>
        </w:rPr>
        <w:t>نيسان/</w:t>
      </w:r>
      <w:r>
        <w:rPr>
          <w:rFonts w:hint="cs"/>
          <w:spacing w:val="-4"/>
          <w:sz w:val="30"/>
          <w:rtl/>
          <w:lang w:val="fr-CH"/>
        </w:rPr>
        <w:t xml:space="preserve"> </w:t>
      </w:r>
      <w:r w:rsidRPr="00C31DD5">
        <w:rPr>
          <w:rFonts w:hint="cs"/>
          <w:spacing w:val="-4"/>
          <w:sz w:val="30"/>
          <w:rtl/>
          <w:lang w:val="fr-CH"/>
        </w:rPr>
        <w:t xml:space="preserve">أبريل </w:t>
      </w:r>
      <w:r w:rsidRPr="00C31DD5">
        <w:rPr>
          <w:rFonts w:hint="cs"/>
          <w:spacing w:val="-4"/>
          <w:rtl/>
          <w:lang w:val="fr-CH"/>
        </w:rPr>
        <w:t>2002 لا</w:t>
      </w:r>
      <w:r w:rsidRPr="00C31DD5">
        <w:rPr>
          <w:spacing w:val="-4"/>
          <w:rtl/>
          <w:lang w:val="fr-CH"/>
        </w:rPr>
        <w:t> </w:t>
      </w:r>
      <w:r w:rsidRPr="00C31DD5">
        <w:rPr>
          <w:rFonts w:hint="cs"/>
          <w:spacing w:val="-4"/>
          <w:rtl/>
          <w:lang w:val="fr-CH"/>
        </w:rPr>
        <w:t xml:space="preserve">يُقرّ بذلك، ولكن المحكمة رفضت هذا الطلب. ويشير أيضاً إلى أن فحص الطب الشرعي الذي أُجري له في 7 </w:t>
      </w:r>
      <w:r w:rsidRPr="00C31DD5">
        <w:rPr>
          <w:rFonts w:hint="cs"/>
          <w:spacing w:val="-4"/>
          <w:sz w:val="30"/>
          <w:rtl/>
          <w:lang w:val="fr-CH"/>
        </w:rPr>
        <w:t xml:space="preserve">أيار/مايو </w:t>
      </w:r>
      <w:r w:rsidRPr="00C31DD5">
        <w:rPr>
          <w:rFonts w:hint="cs"/>
          <w:spacing w:val="-4"/>
          <w:rtl/>
          <w:lang w:val="fr-CH"/>
        </w:rPr>
        <w:t>2002 تم بعد مضي 18 يوماً على تاريخ تعرضه لسوء المعاملة، وأن جراحه قد بدأت تلتئم آنذاك. وهو يرى أن السلطات أرجأت إجراء الفحص الطبي في عام</w:t>
      </w:r>
      <w:r w:rsidRPr="00C31DD5">
        <w:rPr>
          <w:spacing w:val="-4"/>
          <w:rtl/>
          <w:lang w:val="fr-CH"/>
        </w:rPr>
        <w:t> </w:t>
      </w:r>
      <w:r w:rsidRPr="00C31DD5">
        <w:rPr>
          <w:rFonts w:hint="cs"/>
          <w:spacing w:val="-4"/>
          <w:rtl/>
          <w:lang w:val="fr-CH"/>
        </w:rPr>
        <w:t>2002، في محاولة لعرقلة التحقيق في شكواه بتعرضه لسوء المعاملة.</w:t>
      </w:r>
    </w:p>
    <w:p w:rsidR="00091373" w:rsidRPr="00FA0FC2" w:rsidRDefault="00091373" w:rsidP="00091373">
      <w:pPr>
        <w:pStyle w:val="SingleTxtGA"/>
        <w:rPr>
          <w:rFonts w:hint="cs"/>
          <w:rtl/>
          <w:lang w:val="fr-CH"/>
        </w:rPr>
      </w:pPr>
      <w:r w:rsidRPr="00FA0FC2">
        <w:rPr>
          <w:rFonts w:hint="cs"/>
          <w:rtl/>
          <w:lang w:val="fr-CH"/>
        </w:rPr>
        <w:t>5-2</w:t>
      </w:r>
      <w:r w:rsidRPr="00FA0FC2">
        <w:rPr>
          <w:rFonts w:hint="cs"/>
          <w:rtl/>
          <w:lang w:val="fr-CH"/>
        </w:rPr>
        <w:tab/>
        <w:t>ويناقش صاحب الشكوى بشكل مستفيض طريقة تفسير المحاكم للوقائع والأدلة في الدعوى الجنائية ويُعدّد العيوب المزعومة التي تخللت الإجراءات أثناء المحاكمة.</w:t>
      </w:r>
    </w:p>
    <w:p w:rsidR="00091373" w:rsidRPr="00FA0FC2" w:rsidRDefault="00091373" w:rsidP="00091373">
      <w:pPr>
        <w:pStyle w:val="SingleTxtGA"/>
        <w:rPr>
          <w:rFonts w:hint="cs"/>
          <w:rtl/>
          <w:lang w:val="fr-CH"/>
        </w:rPr>
      </w:pPr>
      <w:r w:rsidRPr="00FA0FC2">
        <w:rPr>
          <w:rFonts w:hint="cs"/>
          <w:rtl/>
          <w:lang w:val="fr-CH"/>
        </w:rPr>
        <w:t>5-3</w:t>
      </w:r>
      <w:r w:rsidRPr="00FA0FC2">
        <w:rPr>
          <w:rFonts w:hint="cs"/>
          <w:rtl/>
          <w:lang w:val="fr-CH"/>
        </w:rPr>
        <w:tab/>
        <w:t>وأخيراً، يدعي صاحب الشكوى أن طلبه المقدم إلى المحكمة الأوروبية لحقوق الإنسان قد رُفض لعدم امتثال مهلة الستة شهور (ال</w:t>
      </w:r>
      <w:r>
        <w:rPr>
          <w:rFonts w:hint="cs"/>
          <w:rtl/>
          <w:lang w:val="fr-CH"/>
        </w:rPr>
        <w:t>مادة</w:t>
      </w:r>
      <w:r>
        <w:rPr>
          <w:rtl/>
          <w:lang w:val="fr-CH"/>
        </w:rPr>
        <w:t> </w:t>
      </w:r>
      <w:r w:rsidRPr="00FA0FC2">
        <w:rPr>
          <w:rFonts w:hint="cs"/>
          <w:rtl/>
          <w:lang w:val="fr-CH"/>
        </w:rPr>
        <w:t>35 من الاتفاقية الأوروبية).</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الملاحظات الإضافية للدولة الطرف</w:t>
      </w:r>
    </w:p>
    <w:p w:rsidR="00091373" w:rsidRPr="00FA0FC2" w:rsidRDefault="00091373" w:rsidP="00091373">
      <w:pPr>
        <w:pStyle w:val="SingleTxtGA"/>
        <w:rPr>
          <w:rFonts w:hint="cs"/>
          <w:rtl/>
          <w:lang w:val="fr-CH"/>
        </w:rPr>
      </w:pPr>
      <w:r w:rsidRPr="00FA0FC2">
        <w:rPr>
          <w:rFonts w:hint="cs"/>
          <w:rtl/>
          <w:lang w:val="fr-CH"/>
        </w:rPr>
        <w:t>6-1</w:t>
      </w:r>
      <w:r w:rsidRPr="00FA0FC2">
        <w:rPr>
          <w:rFonts w:hint="cs"/>
          <w:rtl/>
          <w:lang w:val="fr-CH"/>
        </w:rPr>
        <w:tab/>
        <w:t xml:space="preserve">في مذكرة شفوية مؤرخة 22 </w:t>
      </w:r>
      <w:r w:rsidRPr="00FA0FC2">
        <w:rPr>
          <w:rFonts w:hint="cs"/>
          <w:sz w:val="30"/>
          <w:rtl/>
          <w:lang w:val="fr-CH"/>
        </w:rPr>
        <w:t xml:space="preserve">أيار/مايو </w:t>
      </w:r>
      <w:r w:rsidRPr="00FA0FC2">
        <w:rPr>
          <w:rFonts w:hint="cs"/>
          <w:rtl/>
          <w:lang w:val="fr-CH"/>
        </w:rPr>
        <w:t xml:space="preserve">2012، أضافت الدولة الطرف أن السيد باء كان قد أعلم الشرطة في 16 </w:t>
      </w:r>
      <w:r w:rsidRPr="00FA0FC2">
        <w:rPr>
          <w:rFonts w:hint="cs"/>
          <w:sz w:val="30"/>
          <w:rtl/>
          <w:lang w:val="fr-CH"/>
        </w:rPr>
        <w:t xml:space="preserve">نيسان/أبريل </w:t>
      </w:r>
      <w:r w:rsidRPr="00FA0FC2">
        <w:rPr>
          <w:rFonts w:hint="cs"/>
          <w:rtl/>
          <w:lang w:val="fr-CH"/>
        </w:rPr>
        <w:t>2002 باختفاء ابنته.</w:t>
      </w:r>
      <w:r>
        <w:rPr>
          <w:rFonts w:hint="cs"/>
          <w:rtl/>
          <w:lang w:val="fr-CH"/>
        </w:rPr>
        <w:t xml:space="preserve"> وفي</w:t>
      </w:r>
      <w:r>
        <w:rPr>
          <w:rtl/>
          <w:lang w:val="fr-CH"/>
        </w:rPr>
        <w:t> </w:t>
      </w:r>
      <w:r w:rsidRPr="00FA0FC2">
        <w:rPr>
          <w:rFonts w:hint="cs"/>
          <w:rtl/>
          <w:lang w:val="fr-CH"/>
        </w:rPr>
        <w:t>نفس اليوم، استُدعي صاحب الشكوى إلى مخفر الشرطة في مقاطعة تشيكوف. وأوضح في إفادته أن جميع الركاب كانوا قد نزلوا من الحافلة في آخر محطة وقوف عند انتهاء آخر رحلة في اليوم السابق، وأن حافلته تعطلت في موقف الحافلات وأنه بعد أن قام بإصلاح العطب، اقتادها إلى موقف الحافلات حيث وجد رجلاً كان بانتظاره ليستفسر عن مكان وجود ابنته.</w:t>
      </w:r>
    </w:p>
    <w:p w:rsidR="00091373" w:rsidRPr="00FA0FC2" w:rsidRDefault="00091373" w:rsidP="00091373">
      <w:pPr>
        <w:pStyle w:val="SingleTxtGA"/>
        <w:rPr>
          <w:rFonts w:hint="cs"/>
          <w:rtl/>
          <w:lang w:val="fr-CH"/>
        </w:rPr>
      </w:pPr>
      <w:r w:rsidRPr="00FA0FC2">
        <w:rPr>
          <w:rFonts w:hint="cs"/>
          <w:rtl/>
          <w:lang w:val="fr-CH"/>
        </w:rPr>
        <w:t>6-2</w:t>
      </w:r>
      <w:r w:rsidRPr="00FA0FC2">
        <w:rPr>
          <w:rFonts w:hint="cs"/>
          <w:rtl/>
          <w:lang w:val="fr-CH"/>
        </w:rPr>
        <w:tab/>
        <w:t>وأوضحت الدولة الطرف أيضاً بشكل مفصل الإجراء المنصوص عليه في التشريع الوطني المعمول به وقت حدوث الوقائع</w:t>
      </w:r>
      <w:r>
        <w:rPr>
          <w:rFonts w:hint="cs"/>
          <w:rtl/>
          <w:lang w:val="fr-CH"/>
        </w:rPr>
        <w:t xml:space="preserve"> فيما</w:t>
      </w:r>
      <w:r>
        <w:rPr>
          <w:rtl/>
          <w:lang w:val="fr-CH"/>
        </w:rPr>
        <w:t> </w:t>
      </w:r>
      <w:r w:rsidRPr="00FA0FC2">
        <w:rPr>
          <w:rFonts w:hint="cs"/>
          <w:rtl/>
          <w:lang w:val="fr-CH"/>
        </w:rPr>
        <w:t>يتعلق بقرارات التوقيف والاحتجاز.</w:t>
      </w:r>
    </w:p>
    <w:p w:rsidR="00091373" w:rsidRPr="00FA0FC2" w:rsidRDefault="00091373" w:rsidP="00091373">
      <w:pPr>
        <w:pStyle w:val="SingleTxtGA"/>
        <w:rPr>
          <w:rFonts w:hint="cs"/>
          <w:rtl/>
          <w:lang w:val="fr-CH"/>
        </w:rPr>
      </w:pPr>
      <w:r w:rsidRPr="00FA0FC2">
        <w:rPr>
          <w:rFonts w:hint="cs"/>
          <w:rtl/>
          <w:lang w:val="fr-CH"/>
        </w:rPr>
        <w:t>6-3</w:t>
      </w:r>
      <w:r w:rsidRPr="00FA0FC2">
        <w:rPr>
          <w:rFonts w:hint="cs"/>
          <w:rtl/>
          <w:lang w:val="fr-CH"/>
        </w:rPr>
        <w:tab/>
        <w:t xml:space="preserve">وتضيف الدولة الطرف أن اعتقال صاحب الشكوى في 17 </w:t>
      </w:r>
      <w:r w:rsidRPr="00FA0FC2">
        <w:rPr>
          <w:rFonts w:hint="cs"/>
          <w:sz w:val="30"/>
          <w:rtl/>
          <w:lang w:val="fr-CH"/>
        </w:rPr>
        <w:t xml:space="preserve">نيسان/أبريل </w:t>
      </w:r>
      <w:r w:rsidRPr="00FA0FC2">
        <w:rPr>
          <w:rFonts w:hint="cs"/>
          <w:rtl/>
          <w:lang w:val="fr-CH"/>
        </w:rPr>
        <w:t>2002 جاء نتيجة الاشتباه في ارتكابه جريمة قتل. ووفقاً للمعلومات الواردة في ملف الدعوى الجنائية، تم إعلامه بحقه في عدم الشهادة ضد نفسه.</w:t>
      </w:r>
      <w:r>
        <w:rPr>
          <w:rFonts w:hint="cs"/>
          <w:rtl/>
          <w:lang w:val="fr-CH"/>
        </w:rPr>
        <w:t xml:space="preserve"> وفي</w:t>
      </w:r>
      <w:r>
        <w:rPr>
          <w:rtl/>
          <w:lang w:val="fr-CH"/>
        </w:rPr>
        <w:t> </w:t>
      </w:r>
      <w:r w:rsidRPr="00FA0FC2">
        <w:rPr>
          <w:rFonts w:hint="cs"/>
          <w:rtl/>
          <w:lang w:val="fr-CH"/>
        </w:rPr>
        <w:t xml:space="preserve">18 </w:t>
      </w:r>
      <w:r w:rsidRPr="00FA0FC2">
        <w:rPr>
          <w:rFonts w:hint="cs"/>
          <w:sz w:val="30"/>
          <w:rtl/>
          <w:lang w:val="fr-CH"/>
        </w:rPr>
        <w:t xml:space="preserve">نيسان/أبريل </w:t>
      </w:r>
      <w:r w:rsidRPr="00FA0FC2">
        <w:rPr>
          <w:rFonts w:hint="cs"/>
          <w:rtl/>
          <w:lang w:val="fr-CH"/>
        </w:rPr>
        <w:t>2002، تم</w:t>
      </w:r>
      <w:r w:rsidRPr="00FA0FC2">
        <w:rPr>
          <w:rFonts w:hint="eastAsia"/>
          <w:rtl/>
          <w:lang w:val="fr-CH"/>
        </w:rPr>
        <w:t> </w:t>
      </w:r>
      <w:r w:rsidRPr="00FA0FC2">
        <w:rPr>
          <w:rFonts w:hint="cs"/>
          <w:rtl/>
          <w:lang w:val="fr-CH"/>
        </w:rPr>
        <w:t>استجوابه، وخلال عملية الاستجواب،</w:t>
      </w:r>
      <w:r>
        <w:rPr>
          <w:rFonts w:hint="cs"/>
          <w:rtl/>
          <w:lang w:val="fr-CH"/>
        </w:rPr>
        <w:t xml:space="preserve"> لم</w:t>
      </w:r>
      <w:r>
        <w:rPr>
          <w:rtl/>
          <w:lang w:val="fr-CH"/>
        </w:rPr>
        <w:t> </w:t>
      </w:r>
      <w:r w:rsidRPr="00FA0FC2">
        <w:rPr>
          <w:rFonts w:hint="cs"/>
          <w:rtl/>
          <w:lang w:val="fr-CH"/>
        </w:rPr>
        <w:t>يشتك من تعرضه لأية معاملة سيئة.</w:t>
      </w:r>
      <w:r>
        <w:rPr>
          <w:rFonts w:hint="cs"/>
          <w:rtl/>
          <w:lang w:val="fr-CH"/>
        </w:rPr>
        <w:t xml:space="preserve"> وفي</w:t>
      </w:r>
      <w:r>
        <w:rPr>
          <w:rtl/>
          <w:lang w:val="fr-CH"/>
        </w:rPr>
        <w:t> </w:t>
      </w:r>
      <w:r w:rsidRPr="00FA0FC2">
        <w:rPr>
          <w:rFonts w:hint="cs"/>
          <w:rtl/>
          <w:lang w:val="fr-CH"/>
        </w:rPr>
        <w:t>نفس اليوم، أُجري عليه فحص طب شرعي</w:t>
      </w:r>
      <w:r>
        <w:rPr>
          <w:rFonts w:hint="cs"/>
          <w:rtl/>
          <w:lang w:val="fr-CH"/>
        </w:rPr>
        <w:t xml:space="preserve"> ولم</w:t>
      </w:r>
      <w:r>
        <w:rPr>
          <w:rtl/>
          <w:lang w:val="fr-CH"/>
        </w:rPr>
        <w:t> </w:t>
      </w:r>
      <w:r w:rsidRPr="00FA0FC2">
        <w:rPr>
          <w:rFonts w:hint="cs"/>
          <w:rtl/>
          <w:lang w:val="fr-CH"/>
        </w:rPr>
        <w:t>يبين أية إصابات.</w:t>
      </w:r>
      <w:r>
        <w:rPr>
          <w:rFonts w:hint="cs"/>
          <w:rtl/>
          <w:lang w:val="fr-CH"/>
        </w:rPr>
        <w:t xml:space="preserve"> وفي</w:t>
      </w:r>
      <w:r>
        <w:rPr>
          <w:rtl/>
          <w:lang w:val="fr-CH"/>
        </w:rPr>
        <w:t> </w:t>
      </w:r>
      <w:r w:rsidRPr="00FA0FC2">
        <w:rPr>
          <w:rFonts w:hint="cs"/>
          <w:rtl/>
          <w:lang w:val="fr-CH"/>
        </w:rPr>
        <w:t xml:space="preserve">19 </w:t>
      </w:r>
      <w:r w:rsidRPr="00FA0FC2">
        <w:rPr>
          <w:rFonts w:hint="cs"/>
          <w:sz w:val="30"/>
          <w:rtl/>
          <w:lang w:val="fr-CH"/>
        </w:rPr>
        <w:t xml:space="preserve">نيسان/أبريل </w:t>
      </w:r>
      <w:r w:rsidRPr="00FA0FC2">
        <w:rPr>
          <w:rFonts w:hint="cs"/>
          <w:rtl/>
          <w:lang w:val="fr-CH"/>
        </w:rPr>
        <w:t>2002، وخلال تفتيش منزل صاحب الشكوى،</w:t>
      </w:r>
      <w:r>
        <w:rPr>
          <w:rFonts w:hint="cs"/>
          <w:rtl/>
          <w:lang w:val="fr-CH"/>
        </w:rPr>
        <w:t xml:space="preserve"> لم</w:t>
      </w:r>
      <w:r>
        <w:rPr>
          <w:rtl/>
          <w:lang w:val="fr-CH"/>
        </w:rPr>
        <w:t> </w:t>
      </w:r>
      <w:r w:rsidRPr="00FA0FC2">
        <w:rPr>
          <w:rFonts w:hint="cs"/>
          <w:rtl/>
          <w:lang w:val="fr-CH"/>
        </w:rPr>
        <w:t>ترد أية شكاوى بشأن تعرضه لسوء المعاملة</w:t>
      </w:r>
      <w:r>
        <w:rPr>
          <w:rFonts w:hint="cs"/>
          <w:rtl/>
          <w:lang w:val="fr-CH"/>
        </w:rPr>
        <w:t xml:space="preserve"> لا</w:t>
      </w:r>
      <w:r>
        <w:rPr>
          <w:rtl/>
          <w:lang w:val="fr-CH"/>
        </w:rPr>
        <w:t> </w:t>
      </w:r>
      <w:r w:rsidRPr="00FA0FC2">
        <w:rPr>
          <w:rFonts w:hint="cs"/>
          <w:rtl/>
          <w:lang w:val="fr-CH"/>
        </w:rPr>
        <w:t>من والدته</w:t>
      </w:r>
      <w:r>
        <w:rPr>
          <w:rFonts w:hint="cs"/>
          <w:rtl/>
          <w:lang w:val="fr-CH"/>
        </w:rPr>
        <w:t xml:space="preserve"> ولا</w:t>
      </w:r>
      <w:r>
        <w:rPr>
          <w:rtl/>
          <w:lang w:val="fr-CH"/>
        </w:rPr>
        <w:t> </w:t>
      </w:r>
      <w:r w:rsidRPr="00FA0FC2">
        <w:rPr>
          <w:rFonts w:hint="cs"/>
          <w:rtl/>
          <w:lang w:val="fr-CH"/>
        </w:rPr>
        <w:t>من صاحب الشكوى نفسه.</w:t>
      </w:r>
      <w:r>
        <w:rPr>
          <w:rFonts w:hint="cs"/>
          <w:rtl/>
          <w:lang w:val="fr-CH"/>
        </w:rPr>
        <w:t xml:space="preserve"> وفي</w:t>
      </w:r>
      <w:r>
        <w:rPr>
          <w:rtl/>
          <w:lang w:val="fr-CH"/>
        </w:rPr>
        <w:t> </w:t>
      </w:r>
      <w:r w:rsidRPr="00FA0FC2">
        <w:rPr>
          <w:rFonts w:hint="cs"/>
          <w:rtl/>
          <w:lang w:val="fr-CH"/>
        </w:rPr>
        <w:t xml:space="preserve">20 </w:t>
      </w:r>
      <w:r w:rsidRPr="00FA0FC2">
        <w:rPr>
          <w:rFonts w:hint="cs"/>
          <w:sz w:val="30"/>
          <w:rtl/>
          <w:lang w:val="fr-CH"/>
        </w:rPr>
        <w:t xml:space="preserve">نيسان/أبريل </w:t>
      </w:r>
      <w:r w:rsidRPr="00FA0FC2">
        <w:rPr>
          <w:rFonts w:hint="cs"/>
          <w:rtl/>
          <w:lang w:val="fr-CH"/>
        </w:rPr>
        <w:t>2002، طلبت محامية صاحب الشكوى إجراء فحص طب شرعي آخر على صاحب الشكوى، وهو</w:t>
      </w:r>
      <w:r>
        <w:rPr>
          <w:rFonts w:hint="cs"/>
          <w:rtl/>
          <w:lang w:val="fr-CH"/>
        </w:rPr>
        <w:t xml:space="preserve"> ما</w:t>
      </w:r>
      <w:r>
        <w:rPr>
          <w:rtl/>
          <w:lang w:val="fr-CH"/>
        </w:rPr>
        <w:t> </w:t>
      </w:r>
      <w:r w:rsidRPr="00FA0FC2">
        <w:rPr>
          <w:rFonts w:hint="cs"/>
          <w:rtl/>
          <w:lang w:val="fr-CH"/>
        </w:rPr>
        <w:t xml:space="preserve">حصل </w:t>
      </w:r>
      <w:r w:rsidRPr="00FA0FC2">
        <w:rPr>
          <w:rFonts w:hint="cs"/>
          <w:spacing w:val="-2"/>
          <w:rtl/>
          <w:lang w:val="fr-CH"/>
        </w:rPr>
        <w:t>في</w:t>
      </w:r>
      <w:r w:rsidRPr="00FA0FC2">
        <w:rPr>
          <w:rFonts w:hint="eastAsia"/>
          <w:spacing w:val="-2"/>
          <w:rtl/>
          <w:lang w:val="fr-CH"/>
        </w:rPr>
        <w:t> </w:t>
      </w:r>
      <w:r w:rsidRPr="00FA0FC2">
        <w:rPr>
          <w:rFonts w:hint="cs"/>
          <w:spacing w:val="-2"/>
          <w:rtl/>
          <w:lang w:val="fr-CH"/>
        </w:rPr>
        <w:t xml:space="preserve">22 </w:t>
      </w:r>
      <w:r w:rsidRPr="00FA0FC2">
        <w:rPr>
          <w:rFonts w:hint="cs"/>
          <w:spacing w:val="-2"/>
          <w:sz w:val="30"/>
          <w:rtl/>
          <w:lang w:val="fr-CH"/>
        </w:rPr>
        <w:t xml:space="preserve">نيسان/أبريل </w:t>
      </w:r>
      <w:r w:rsidRPr="00FA0FC2">
        <w:rPr>
          <w:rFonts w:hint="cs"/>
          <w:spacing w:val="-2"/>
          <w:rtl/>
          <w:lang w:val="fr-CH"/>
        </w:rPr>
        <w:t>2002.</w:t>
      </w:r>
      <w:r>
        <w:rPr>
          <w:rFonts w:hint="cs"/>
          <w:spacing w:val="-2"/>
          <w:rtl/>
          <w:lang w:val="fr-CH"/>
        </w:rPr>
        <w:t xml:space="preserve"> وفي</w:t>
      </w:r>
      <w:r>
        <w:rPr>
          <w:spacing w:val="-2"/>
          <w:rtl/>
          <w:lang w:val="fr-CH"/>
        </w:rPr>
        <w:t> </w:t>
      </w:r>
      <w:r w:rsidRPr="00FA0FC2">
        <w:rPr>
          <w:rFonts w:hint="cs"/>
          <w:spacing w:val="-2"/>
          <w:rtl/>
          <w:lang w:val="fr-CH"/>
        </w:rPr>
        <w:t>نفس التاريخ، وخلال عملية استجواب أخرى،</w:t>
      </w:r>
      <w:r>
        <w:rPr>
          <w:rFonts w:hint="cs"/>
          <w:spacing w:val="-2"/>
          <w:rtl/>
          <w:lang w:val="fr-CH"/>
        </w:rPr>
        <w:t xml:space="preserve"> لم</w:t>
      </w:r>
      <w:r>
        <w:rPr>
          <w:spacing w:val="-2"/>
          <w:rtl/>
          <w:lang w:val="fr-CH"/>
        </w:rPr>
        <w:t> </w:t>
      </w:r>
      <w:r w:rsidRPr="00FA0FC2">
        <w:rPr>
          <w:rFonts w:hint="cs"/>
          <w:spacing w:val="-2"/>
          <w:rtl/>
          <w:lang w:val="fr-CH"/>
        </w:rPr>
        <w:t>يعترف صاحب الشكوى بالذنب وقال أن رجلاً يُدعى السيد يا هو الذي قام باغتصاب وقتل السيدة أ. ب.. وخلال عملية الاستجواب هذه،</w:t>
      </w:r>
      <w:r>
        <w:rPr>
          <w:rFonts w:hint="cs"/>
          <w:spacing w:val="-2"/>
          <w:rtl/>
          <w:lang w:val="fr-CH"/>
        </w:rPr>
        <w:t xml:space="preserve"> لم</w:t>
      </w:r>
      <w:r>
        <w:rPr>
          <w:spacing w:val="-2"/>
          <w:rtl/>
          <w:lang w:val="fr-CH"/>
        </w:rPr>
        <w:t> </w:t>
      </w:r>
      <w:r w:rsidRPr="00FA0FC2">
        <w:rPr>
          <w:rFonts w:hint="cs"/>
          <w:spacing w:val="-2"/>
          <w:rtl/>
          <w:lang w:val="fr-CH"/>
        </w:rPr>
        <w:t>يشتكِ، أيضاً من تعرضه لأي سوء معاملة.</w:t>
      </w:r>
    </w:p>
    <w:p w:rsidR="00091373" w:rsidRPr="00FA0FC2" w:rsidRDefault="00091373" w:rsidP="00600CDB">
      <w:pPr>
        <w:pStyle w:val="SingleTxtGA"/>
        <w:rPr>
          <w:rFonts w:hint="cs"/>
          <w:rtl/>
          <w:lang w:val="fr-CH"/>
        </w:rPr>
      </w:pPr>
      <w:r w:rsidRPr="00FA0FC2">
        <w:rPr>
          <w:rFonts w:hint="cs"/>
          <w:rtl/>
          <w:lang w:val="fr-CH"/>
        </w:rPr>
        <w:t>6-4</w:t>
      </w:r>
      <w:r w:rsidRPr="00FA0FC2">
        <w:rPr>
          <w:rFonts w:hint="cs"/>
          <w:rtl/>
          <w:lang w:val="fr-CH"/>
        </w:rPr>
        <w:tab/>
        <w:t xml:space="preserve">وفي 24 </w:t>
      </w:r>
      <w:r w:rsidRPr="00FA0FC2">
        <w:rPr>
          <w:rFonts w:hint="cs"/>
          <w:sz w:val="30"/>
          <w:rtl/>
          <w:lang w:val="fr-CH"/>
        </w:rPr>
        <w:t xml:space="preserve">نيسان/أبريل </w:t>
      </w:r>
      <w:r w:rsidRPr="00FA0FC2">
        <w:rPr>
          <w:rFonts w:hint="cs"/>
          <w:rtl/>
          <w:lang w:val="fr-CH"/>
        </w:rPr>
        <w:t>2002، أدلى السيد يا بشهادة بيّن فيها بشكل دقيق كيف ارتكب صاحب الشكوى الجريمتين بحق السيدة أ. ب. وبناء على ذلك، وجهت إلى صاحب الشكوى في 26 نيسان/أبريل 2002 تهمتا القتل والاغتصاب (الفقرة 2(ك) من ال</w:t>
      </w:r>
      <w:r>
        <w:rPr>
          <w:rFonts w:hint="cs"/>
          <w:rtl/>
          <w:lang w:val="fr-CH"/>
        </w:rPr>
        <w:t>مادة</w:t>
      </w:r>
      <w:r>
        <w:rPr>
          <w:rtl/>
          <w:lang w:val="fr-CH"/>
        </w:rPr>
        <w:t> </w:t>
      </w:r>
      <w:r w:rsidRPr="00FA0FC2">
        <w:rPr>
          <w:rFonts w:hint="cs"/>
          <w:rtl/>
          <w:lang w:val="fr-CH"/>
        </w:rPr>
        <w:t>105 والفقرة 1 من ال</w:t>
      </w:r>
      <w:r>
        <w:rPr>
          <w:rFonts w:hint="cs"/>
          <w:rtl/>
          <w:lang w:val="fr-CH"/>
        </w:rPr>
        <w:t>مادة</w:t>
      </w:r>
      <w:r>
        <w:rPr>
          <w:rtl/>
          <w:lang w:val="fr-CH"/>
        </w:rPr>
        <w:t> </w:t>
      </w:r>
      <w:r w:rsidRPr="00FA0FC2">
        <w:rPr>
          <w:rFonts w:hint="cs"/>
          <w:rtl/>
          <w:lang w:val="fr-CH"/>
        </w:rPr>
        <w:t>131 من القانون الجنائي).</w:t>
      </w:r>
    </w:p>
    <w:p w:rsidR="00091373" w:rsidRPr="00FA0FC2" w:rsidRDefault="00091373" w:rsidP="00600CDB">
      <w:pPr>
        <w:pStyle w:val="SingleTxtGA"/>
        <w:rPr>
          <w:rFonts w:hint="cs"/>
          <w:rtl/>
          <w:lang w:val="fr-CH"/>
        </w:rPr>
      </w:pPr>
      <w:r w:rsidRPr="00FA0FC2">
        <w:rPr>
          <w:rFonts w:hint="cs"/>
          <w:rtl/>
          <w:lang w:val="fr-CH"/>
        </w:rPr>
        <w:t>6-5</w:t>
      </w:r>
      <w:r w:rsidRPr="00FA0FC2">
        <w:rPr>
          <w:rFonts w:hint="cs"/>
          <w:rtl/>
          <w:lang w:val="fr-CH"/>
        </w:rPr>
        <w:tab/>
        <w:t xml:space="preserve">وخلال الاستجواب الذي أُجري في 26 </w:t>
      </w:r>
      <w:r w:rsidRPr="00FA0FC2">
        <w:rPr>
          <w:rFonts w:hint="cs"/>
          <w:sz w:val="30"/>
          <w:rtl/>
          <w:lang w:val="fr-CH"/>
        </w:rPr>
        <w:t xml:space="preserve">نيسان/أبريل </w:t>
      </w:r>
      <w:r w:rsidRPr="00FA0FC2">
        <w:rPr>
          <w:rFonts w:hint="cs"/>
          <w:rtl/>
          <w:lang w:val="fr-CH"/>
        </w:rPr>
        <w:t xml:space="preserve">2002، أكد صاحب الشكوى، مرة أخرى، أقواله التي أدلى بها في 22 </w:t>
      </w:r>
      <w:r w:rsidRPr="00FA0FC2">
        <w:rPr>
          <w:rFonts w:hint="cs"/>
          <w:sz w:val="30"/>
          <w:rtl/>
          <w:lang w:val="fr-CH"/>
        </w:rPr>
        <w:t xml:space="preserve">نيسان/أبريل </w:t>
      </w:r>
      <w:r w:rsidRPr="00FA0FC2">
        <w:rPr>
          <w:rFonts w:hint="cs"/>
          <w:rtl/>
          <w:lang w:val="fr-CH"/>
        </w:rPr>
        <w:t>2002، مدعياً أن السيد يا هو الذي ارتكب الجريمتين؛</w:t>
      </w:r>
      <w:r>
        <w:rPr>
          <w:rFonts w:hint="cs"/>
          <w:rtl/>
          <w:lang w:val="fr-CH"/>
        </w:rPr>
        <w:t xml:space="preserve"> ولم</w:t>
      </w:r>
      <w:r>
        <w:rPr>
          <w:rtl/>
          <w:lang w:val="fr-CH"/>
        </w:rPr>
        <w:t> </w:t>
      </w:r>
      <w:r w:rsidRPr="00FA0FC2">
        <w:rPr>
          <w:rFonts w:hint="cs"/>
          <w:rtl/>
          <w:lang w:val="fr-CH"/>
        </w:rPr>
        <w:t>يشتكِ من تعرضه لسوء المعاملة.</w:t>
      </w:r>
    </w:p>
    <w:p w:rsidR="00091373" w:rsidRPr="00FA0FC2" w:rsidRDefault="00091373" w:rsidP="00600CDB">
      <w:pPr>
        <w:pStyle w:val="SingleTxtGA"/>
        <w:rPr>
          <w:rFonts w:hint="cs"/>
          <w:spacing w:val="-2"/>
          <w:rtl/>
          <w:lang w:val="fr-CH"/>
        </w:rPr>
      </w:pPr>
      <w:r w:rsidRPr="00FA0FC2">
        <w:rPr>
          <w:rFonts w:hint="cs"/>
          <w:spacing w:val="-2"/>
          <w:rtl/>
          <w:lang w:val="fr-CH"/>
        </w:rPr>
        <w:t>6-6</w:t>
      </w:r>
      <w:r w:rsidRPr="00FA0FC2">
        <w:rPr>
          <w:rFonts w:hint="cs"/>
          <w:spacing w:val="-2"/>
          <w:rtl/>
          <w:lang w:val="fr-CH"/>
        </w:rPr>
        <w:tab/>
        <w:t xml:space="preserve">ووفقاً لفحص خبير الطب الشرعي الذي أُجري في 7 </w:t>
      </w:r>
      <w:r w:rsidRPr="00FA0FC2">
        <w:rPr>
          <w:rFonts w:hint="cs"/>
          <w:spacing w:val="-2"/>
          <w:sz w:val="30"/>
          <w:rtl/>
          <w:lang w:val="fr-CH"/>
        </w:rPr>
        <w:t xml:space="preserve">أيار/مايو </w:t>
      </w:r>
      <w:r w:rsidRPr="00FA0FC2">
        <w:rPr>
          <w:rFonts w:hint="cs"/>
          <w:spacing w:val="-2"/>
          <w:rtl/>
          <w:lang w:val="fr-CH"/>
        </w:rPr>
        <w:t>2002، تبيَّن أن صاحب الشكوى أُصيب بجرح في ركبته اليسرى، ولكن تعذر إثبات مصدر الجرح الذي قد</w:t>
      </w:r>
      <w:r w:rsidRPr="00FA0FC2">
        <w:rPr>
          <w:rFonts w:hint="eastAsia"/>
          <w:spacing w:val="-2"/>
          <w:rtl/>
          <w:lang w:val="fr-CH"/>
        </w:rPr>
        <w:t> </w:t>
      </w:r>
      <w:r w:rsidRPr="00FA0FC2">
        <w:rPr>
          <w:rFonts w:hint="cs"/>
          <w:spacing w:val="-2"/>
          <w:rtl/>
          <w:lang w:val="fr-CH"/>
        </w:rPr>
        <w:t>يكون ناجماً عن استخدام أداة مقوّسة</w:t>
      </w:r>
      <w:r>
        <w:rPr>
          <w:rFonts w:hint="cs"/>
          <w:spacing w:val="-2"/>
          <w:rtl/>
          <w:lang w:val="fr-CH"/>
        </w:rPr>
        <w:t xml:space="preserve"> أو</w:t>
      </w:r>
      <w:r>
        <w:rPr>
          <w:spacing w:val="-2"/>
          <w:rtl/>
          <w:lang w:val="fr-CH"/>
        </w:rPr>
        <w:t> </w:t>
      </w:r>
      <w:r w:rsidRPr="00FA0FC2">
        <w:rPr>
          <w:rFonts w:hint="cs"/>
          <w:spacing w:val="-2"/>
          <w:rtl/>
          <w:lang w:val="fr-CH"/>
        </w:rPr>
        <w:t>حادّة،</w:t>
      </w:r>
      <w:r>
        <w:rPr>
          <w:rFonts w:hint="cs"/>
          <w:spacing w:val="-2"/>
          <w:rtl/>
          <w:lang w:val="fr-CH"/>
        </w:rPr>
        <w:t xml:space="preserve"> أو</w:t>
      </w:r>
      <w:r>
        <w:rPr>
          <w:spacing w:val="-2"/>
          <w:rtl/>
          <w:lang w:val="fr-CH"/>
        </w:rPr>
        <w:t> </w:t>
      </w:r>
      <w:r w:rsidRPr="00FA0FC2">
        <w:rPr>
          <w:rFonts w:hint="cs"/>
          <w:spacing w:val="-2"/>
          <w:rtl/>
          <w:lang w:val="fr-CH"/>
        </w:rPr>
        <w:t>عن تعرضه لدرجة حرارة مرتفعة</w:t>
      </w:r>
      <w:r>
        <w:rPr>
          <w:rFonts w:hint="cs"/>
          <w:spacing w:val="-2"/>
          <w:rtl/>
          <w:lang w:val="fr-CH"/>
        </w:rPr>
        <w:t xml:space="preserve"> أو</w:t>
      </w:r>
      <w:r>
        <w:rPr>
          <w:spacing w:val="-2"/>
          <w:rtl/>
          <w:lang w:val="fr-CH"/>
        </w:rPr>
        <w:t> </w:t>
      </w:r>
      <w:r w:rsidRPr="00FA0FC2">
        <w:rPr>
          <w:rFonts w:hint="cs"/>
          <w:spacing w:val="-2"/>
          <w:rtl/>
          <w:lang w:val="fr-CH"/>
        </w:rPr>
        <w:t>منخفضة</w:t>
      </w:r>
      <w:r>
        <w:rPr>
          <w:rFonts w:hint="cs"/>
          <w:spacing w:val="-2"/>
          <w:rtl/>
          <w:lang w:val="fr-CH"/>
        </w:rPr>
        <w:t xml:space="preserve"> أو</w:t>
      </w:r>
      <w:r>
        <w:rPr>
          <w:spacing w:val="-2"/>
          <w:rtl/>
          <w:lang w:val="fr-CH"/>
        </w:rPr>
        <w:t> </w:t>
      </w:r>
      <w:r w:rsidRPr="00FA0FC2">
        <w:rPr>
          <w:rFonts w:hint="cs"/>
          <w:spacing w:val="-2"/>
          <w:rtl/>
          <w:lang w:val="fr-CH"/>
        </w:rPr>
        <w:t>عن مواد كيميائية.</w:t>
      </w:r>
      <w:r>
        <w:rPr>
          <w:rFonts w:hint="cs"/>
          <w:spacing w:val="-2"/>
          <w:rtl/>
          <w:lang w:val="fr-CH"/>
        </w:rPr>
        <w:t xml:space="preserve"> وفي</w:t>
      </w:r>
      <w:r>
        <w:rPr>
          <w:spacing w:val="-2"/>
          <w:rtl/>
          <w:lang w:val="fr-CH"/>
        </w:rPr>
        <w:t> </w:t>
      </w:r>
      <w:r w:rsidRPr="00FA0FC2">
        <w:rPr>
          <w:rFonts w:hint="cs"/>
          <w:spacing w:val="-2"/>
          <w:rtl/>
          <w:lang w:val="fr-CH"/>
        </w:rPr>
        <w:t>هذا الصدد، تلاحظ الدولة الطرف أنه</w:t>
      </w:r>
      <w:r>
        <w:rPr>
          <w:rFonts w:hint="cs"/>
          <w:spacing w:val="-2"/>
          <w:rtl/>
          <w:lang w:val="fr-CH"/>
        </w:rPr>
        <w:t xml:space="preserve"> لم</w:t>
      </w:r>
      <w:r>
        <w:rPr>
          <w:spacing w:val="-2"/>
          <w:rtl/>
          <w:lang w:val="fr-CH"/>
        </w:rPr>
        <w:t> </w:t>
      </w:r>
      <w:r w:rsidRPr="00FA0FC2">
        <w:rPr>
          <w:rFonts w:hint="cs"/>
          <w:spacing w:val="-2"/>
          <w:rtl/>
          <w:lang w:val="fr-CH"/>
        </w:rPr>
        <w:t>يُسجَّل أي اعتراض على نتائج تقرير هذا الفحص</w:t>
      </w:r>
      <w:r>
        <w:rPr>
          <w:rFonts w:hint="cs"/>
          <w:spacing w:val="-2"/>
          <w:rtl/>
          <w:lang w:val="fr-CH"/>
        </w:rPr>
        <w:t xml:space="preserve"> لا</w:t>
      </w:r>
      <w:r>
        <w:rPr>
          <w:spacing w:val="-2"/>
          <w:rtl/>
          <w:lang w:val="fr-CH"/>
        </w:rPr>
        <w:t> </w:t>
      </w:r>
      <w:r w:rsidRPr="00FA0FC2">
        <w:rPr>
          <w:rFonts w:hint="cs"/>
          <w:spacing w:val="-2"/>
          <w:rtl/>
          <w:lang w:val="fr-CH"/>
        </w:rPr>
        <w:t>من جانب صاحب الشكوى</w:t>
      </w:r>
      <w:r>
        <w:rPr>
          <w:rFonts w:hint="cs"/>
          <w:spacing w:val="-2"/>
          <w:rtl/>
          <w:lang w:val="fr-CH"/>
        </w:rPr>
        <w:t xml:space="preserve"> ولا</w:t>
      </w:r>
      <w:r>
        <w:rPr>
          <w:spacing w:val="-2"/>
          <w:rtl/>
          <w:lang w:val="fr-CH"/>
        </w:rPr>
        <w:t> </w:t>
      </w:r>
      <w:r w:rsidRPr="00FA0FC2">
        <w:rPr>
          <w:rFonts w:hint="cs"/>
          <w:spacing w:val="-2"/>
          <w:rtl/>
          <w:lang w:val="fr-CH"/>
        </w:rPr>
        <w:t>من جانب محاميته.</w:t>
      </w:r>
    </w:p>
    <w:p w:rsidR="00091373" w:rsidRPr="00FA0FC2" w:rsidRDefault="00091373" w:rsidP="00600CDB">
      <w:pPr>
        <w:pStyle w:val="SingleTxtGA"/>
        <w:rPr>
          <w:rFonts w:hint="cs"/>
          <w:rtl/>
          <w:lang w:val="fr-CH"/>
        </w:rPr>
      </w:pPr>
      <w:r w:rsidRPr="00FA0FC2">
        <w:rPr>
          <w:rFonts w:hint="cs"/>
          <w:rtl/>
          <w:lang w:val="fr-CH"/>
        </w:rPr>
        <w:t>6-7</w:t>
      </w:r>
      <w:r w:rsidRPr="00FA0FC2">
        <w:rPr>
          <w:rFonts w:hint="cs"/>
          <w:rtl/>
          <w:lang w:val="fr-CH"/>
        </w:rPr>
        <w:tab/>
        <w:t xml:space="preserve">وفي 8 </w:t>
      </w:r>
      <w:r w:rsidRPr="00FA0FC2">
        <w:rPr>
          <w:rFonts w:hint="cs"/>
          <w:sz w:val="30"/>
          <w:rtl/>
          <w:lang w:val="fr-CH"/>
        </w:rPr>
        <w:t xml:space="preserve">أيار/مايو </w:t>
      </w:r>
      <w:r w:rsidRPr="00FA0FC2">
        <w:rPr>
          <w:rFonts w:hint="cs"/>
          <w:rtl/>
          <w:lang w:val="fr-CH"/>
        </w:rPr>
        <w:t>2002، رفعت والدة صاحب الشكوى ومحاميته دعوى إلى مكتب المدعي العام بمنطقة موسكو بشأن تعرُّض صاحب الشكوى لسوء المعاملة.</w:t>
      </w:r>
    </w:p>
    <w:p w:rsidR="00091373" w:rsidRPr="00FA0FC2" w:rsidRDefault="00091373" w:rsidP="00600CDB">
      <w:pPr>
        <w:pStyle w:val="SingleTxtGA"/>
        <w:rPr>
          <w:rFonts w:hint="cs"/>
          <w:rtl/>
          <w:lang w:val="fr-CH"/>
        </w:rPr>
      </w:pPr>
      <w:r w:rsidRPr="00FA0FC2">
        <w:rPr>
          <w:rFonts w:hint="cs"/>
          <w:rtl/>
          <w:lang w:val="fr-CH"/>
        </w:rPr>
        <w:t>6-8</w:t>
      </w:r>
      <w:r w:rsidRPr="00FA0FC2">
        <w:rPr>
          <w:rFonts w:hint="cs"/>
          <w:rtl/>
          <w:lang w:val="fr-CH"/>
        </w:rPr>
        <w:tab/>
        <w:t xml:space="preserve">وخلال عملية الاستجواب التي أُجريت في 20 </w:t>
      </w:r>
      <w:r w:rsidRPr="00FA0FC2">
        <w:rPr>
          <w:rFonts w:hint="cs"/>
          <w:sz w:val="30"/>
          <w:rtl/>
          <w:lang w:val="fr-CH"/>
        </w:rPr>
        <w:t xml:space="preserve">أيار/مايو </w:t>
      </w:r>
      <w:r w:rsidRPr="00FA0FC2">
        <w:rPr>
          <w:rFonts w:hint="cs"/>
          <w:rtl/>
          <w:lang w:val="fr-CH"/>
        </w:rPr>
        <w:t>2002، نسب السيد يا</w:t>
      </w:r>
      <w:r w:rsidRPr="00FA0FC2">
        <w:rPr>
          <w:rFonts w:hint="eastAsia"/>
          <w:rtl/>
          <w:lang w:val="fr-CH"/>
        </w:rPr>
        <w:t> </w:t>
      </w:r>
      <w:r w:rsidRPr="00FA0FC2">
        <w:rPr>
          <w:rFonts w:hint="cs"/>
          <w:rtl/>
          <w:lang w:val="fr-CH"/>
        </w:rPr>
        <w:t xml:space="preserve">مرة أخرى الجريمة إلى صاحب الشكوى في حين أن هذا الأخير أكد من جديد في 21 و28 </w:t>
      </w:r>
      <w:r w:rsidRPr="00FA0FC2">
        <w:rPr>
          <w:rFonts w:hint="cs"/>
          <w:sz w:val="30"/>
          <w:rtl/>
          <w:lang w:val="fr-CH"/>
        </w:rPr>
        <w:t xml:space="preserve">أيار/مايو </w:t>
      </w:r>
      <w:r w:rsidRPr="00FA0FC2">
        <w:rPr>
          <w:rFonts w:hint="cs"/>
          <w:rtl/>
          <w:lang w:val="fr-CH"/>
        </w:rPr>
        <w:t>2002 أن السيد يا هو الذي ارتكب الجريمتين.</w:t>
      </w:r>
      <w:r>
        <w:rPr>
          <w:rFonts w:hint="cs"/>
          <w:rtl/>
          <w:lang w:val="fr-CH"/>
        </w:rPr>
        <w:t xml:space="preserve"> ولم</w:t>
      </w:r>
      <w:r>
        <w:rPr>
          <w:rtl/>
          <w:lang w:val="fr-CH"/>
        </w:rPr>
        <w:t> </w:t>
      </w:r>
      <w:r w:rsidRPr="00FA0FC2">
        <w:rPr>
          <w:rFonts w:hint="cs"/>
          <w:rtl/>
          <w:lang w:val="fr-CH"/>
        </w:rPr>
        <w:t>يشتكِ صاحب الشكوى من تعرضه لأي سوء معاملة في هاتين المناسبتين الأخيرتين.</w:t>
      </w:r>
    </w:p>
    <w:p w:rsidR="00091373" w:rsidRPr="00FA0FC2" w:rsidRDefault="00091373" w:rsidP="00600CDB">
      <w:pPr>
        <w:pStyle w:val="SingleTxtGA"/>
        <w:rPr>
          <w:rFonts w:hint="cs"/>
          <w:rtl/>
          <w:lang w:val="fr-CH"/>
        </w:rPr>
      </w:pPr>
      <w:r w:rsidRPr="00FA0FC2">
        <w:rPr>
          <w:rFonts w:hint="cs"/>
          <w:rtl/>
          <w:lang w:val="fr-CH"/>
        </w:rPr>
        <w:t>6-9</w:t>
      </w:r>
      <w:r w:rsidRPr="00FA0FC2">
        <w:rPr>
          <w:rFonts w:hint="cs"/>
          <w:rtl/>
          <w:lang w:val="fr-CH"/>
        </w:rPr>
        <w:tab/>
        <w:t xml:space="preserve">وفي 28 </w:t>
      </w:r>
      <w:r w:rsidRPr="00FA0FC2">
        <w:rPr>
          <w:rFonts w:hint="cs"/>
          <w:sz w:val="30"/>
          <w:rtl/>
          <w:lang w:val="fr-CH"/>
        </w:rPr>
        <w:t xml:space="preserve">حزيران/يونيه </w:t>
      </w:r>
      <w:r w:rsidRPr="00FA0FC2">
        <w:rPr>
          <w:rFonts w:hint="cs"/>
          <w:rtl/>
          <w:lang w:val="fr-CH"/>
        </w:rPr>
        <w:t>2002، اصدر مكتب المدعي العام قراراً بعدم بدء إجراءات جنائية بخصوص ادعاءات صاحب الشكوى بتعرضه لسوء المعاملة، لعدم ثبوتها.</w:t>
      </w:r>
    </w:p>
    <w:p w:rsidR="00091373" w:rsidRPr="00FA0FC2" w:rsidRDefault="00091373" w:rsidP="00600CDB">
      <w:pPr>
        <w:pStyle w:val="SingleTxtGA"/>
        <w:rPr>
          <w:rFonts w:hint="cs"/>
          <w:rtl/>
          <w:lang w:val="fr-CH"/>
        </w:rPr>
      </w:pPr>
      <w:r w:rsidRPr="00FA0FC2">
        <w:rPr>
          <w:rFonts w:hint="cs"/>
          <w:rtl/>
          <w:lang w:val="fr-CH"/>
        </w:rPr>
        <w:t>6-10</w:t>
      </w:r>
      <w:r w:rsidRPr="00FA0FC2">
        <w:rPr>
          <w:rFonts w:hint="cs"/>
          <w:rtl/>
          <w:lang w:val="fr-CH"/>
        </w:rPr>
        <w:tab/>
        <w:t xml:space="preserve">وفي 10 </w:t>
      </w:r>
      <w:r w:rsidRPr="00FA0FC2">
        <w:rPr>
          <w:rFonts w:hint="cs"/>
          <w:sz w:val="30"/>
          <w:rtl/>
          <w:lang w:val="fr-CH"/>
        </w:rPr>
        <w:t xml:space="preserve">أيلول/سبتمبر </w:t>
      </w:r>
      <w:r w:rsidRPr="00FA0FC2">
        <w:rPr>
          <w:rFonts w:hint="cs"/>
          <w:rtl/>
          <w:lang w:val="fr-CH"/>
        </w:rPr>
        <w:t>2002، تم استجواب صاحب الشكوى لكنه</w:t>
      </w:r>
      <w:r>
        <w:rPr>
          <w:rFonts w:hint="cs"/>
          <w:rtl/>
          <w:lang w:val="fr-CH"/>
        </w:rPr>
        <w:t xml:space="preserve"> لم</w:t>
      </w:r>
      <w:r>
        <w:rPr>
          <w:rtl/>
          <w:lang w:val="fr-CH"/>
        </w:rPr>
        <w:t> </w:t>
      </w:r>
      <w:r w:rsidRPr="00FA0FC2">
        <w:rPr>
          <w:rFonts w:hint="cs"/>
          <w:rtl/>
          <w:lang w:val="fr-CH"/>
        </w:rPr>
        <w:t>يشتكِ أثناء الاستجواب من تعرضه لسوء المعاملة.</w:t>
      </w:r>
      <w:r>
        <w:rPr>
          <w:rFonts w:hint="cs"/>
          <w:rtl/>
          <w:lang w:val="fr-CH"/>
        </w:rPr>
        <w:t xml:space="preserve"> وفي</w:t>
      </w:r>
      <w:r>
        <w:rPr>
          <w:rtl/>
          <w:lang w:val="fr-CH"/>
        </w:rPr>
        <w:t> </w:t>
      </w:r>
      <w:r w:rsidRPr="00FA0FC2">
        <w:rPr>
          <w:rFonts w:hint="cs"/>
          <w:rtl/>
          <w:lang w:val="fr-CH"/>
        </w:rPr>
        <w:t xml:space="preserve">14 </w:t>
      </w:r>
      <w:r w:rsidRPr="00FA0FC2">
        <w:rPr>
          <w:rFonts w:hint="cs"/>
          <w:sz w:val="30"/>
          <w:rtl/>
          <w:lang w:val="fr-CH"/>
        </w:rPr>
        <w:t xml:space="preserve">أيلول/سبتمبر </w:t>
      </w:r>
      <w:r w:rsidRPr="00FA0FC2">
        <w:rPr>
          <w:rFonts w:hint="cs"/>
          <w:rtl/>
          <w:lang w:val="fr-CH"/>
        </w:rPr>
        <w:t xml:space="preserve">2002، أكد السيد يا من جديد أقواله بأن صاحب الشكوى هو الذي ارتكب الجريمتين، في حين أن صاحب الشكوى ادعى في 17 </w:t>
      </w:r>
      <w:r w:rsidRPr="00FA0FC2">
        <w:rPr>
          <w:rFonts w:hint="cs"/>
          <w:sz w:val="30"/>
          <w:rtl/>
          <w:lang w:val="fr-CH"/>
        </w:rPr>
        <w:t xml:space="preserve">أيلول/سبتمبر </w:t>
      </w:r>
      <w:r w:rsidRPr="00FA0FC2">
        <w:rPr>
          <w:rFonts w:hint="cs"/>
          <w:rtl/>
          <w:lang w:val="fr-CH"/>
        </w:rPr>
        <w:t>2002 أنه</w:t>
      </w:r>
      <w:r>
        <w:rPr>
          <w:rFonts w:hint="cs"/>
          <w:rtl/>
          <w:lang w:val="fr-CH"/>
        </w:rPr>
        <w:t xml:space="preserve"> لم</w:t>
      </w:r>
      <w:r>
        <w:rPr>
          <w:rtl/>
          <w:lang w:val="fr-CH"/>
        </w:rPr>
        <w:t> </w:t>
      </w:r>
      <w:r w:rsidRPr="00FA0FC2">
        <w:rPr>
          <w:rFonts w:hint="cs"/>
          <w:rtl/>
          <w:lang w:val="fr-CH"/>
        </w:rPr>
        <w:t>يرتكب الجريمتين اللتين أُدين بارتكابهما، وأشار إلى أن السيد يا هو المجرم. وأكد من جديد نفس الأقوال في 17 تشرين الأول/أكتوبر 2002.</w:t>
      </w:r>
      <w:r>
        <w:rPr>
          <w:rFonts w:hint="cs"/>
          <w:rtl/>
          <w:lang w:val="fr-CH"/>
        </w:rPr>
        <w:t xml:space="preserve"> ولم</w:t>
      </w:r>
      <w:r>
        <w:rPr>
          <w:rtl/>
          <w:lang w:val="fr-CH"/>
        </w:rPr>
        <w:t> </w:t>
      </w:r>
      <w:r w:rsidRPr="00FA0FC2">
        <w:rPr>
          <w:rFonts w:hint="cs"/>
          <w:rtl/>
          <w:lang w:val="fr-CH"/>
        </w:rPr>
        <w:t>يشتكِ صاحب الشكوى من تعرضه لأي سوء معاملة</w:t>
      </w:r>
      <w:r>
        <w:rPr>
          <w:rFonts w:hint="cs"/>
          <w:rtl/>
          <w:lang w:val="fr-CH"/>
        </w:rPr>
        <w:t xml:space="preserve"> لا</w:t>
      </w:r>
      <w:r>
        <w:rPr>
          <w:rtl/>
          <w:lang w:val="fr-CH"/>
        </w:rPr>
        <w:t> </w:t>
      </w:r>
      <w:r w:rsidRPr="00FA0FC2">
        <w:rPr>
          <w:rFonts w:hint="cs"/>
          <w:rtl/>
          <w:lang w:val="fr-CH"/>
        </w:rPr>
        <w:t xml:space="preserve">في 17 </w:t>
      </w:r>
      <w:r w:rsidRPr="00FA0FC2">
        <w:rPr>
          <w:rFonts w:hint="cs"/>
          <w:sz w:val="30"/>
          <w:rtl/>
          <w:lang w:val="fr-CH"/>
        </w:rPr>
        <w:t xml:space="preserve">أيلول/سبتمبر </w:t>
      </w:r>
      <w:r w:rsidRPr="00FA0FC2">
        <w:rPr>
          <w:rFonts w:hint="cs"/>
          <w:rtl/>
          <w:lang w:val="fr-CH"/>
        </w:rPr>
        <w:t>2002</w:t>
      </w:r>
      <w:r>
        <w:rPr>
          <w:rFonts w:hint="cs"/>
          <w:rtl/>
          <w:lang w:val="fr-CH"/>
        </w:rPr>
        <w:t xml:space="preserve"> ولا</w:t>
      </w:r>
      <w:r>
        <w:rPr>
          <w:rtl/>
          <w:lang w:val="fr-CH"/>
        </w:rPr>
        <w:t> </w:t>
      </w:r>
      <w:r w:rsidRPr="00FA0FC2">
        <w:rPr>
          <w:rFonts w:hint="cs"/>
          <w:rtl/>
          <w:lang w:val="fr-CH"/>
        </w:rPr>
        <w:t xml:space="preserve">في 17 </w:t>
      </w:r>
      <w:r w:rsidRPr="00FA0FC2">
        <w:rPr>
          <w:rFonts w:hint="cs"/>
          <w:sz w:val="30"/>
          <w:rtl/>
          <w:lang w:val="fr-CH"/>
        </w:rPr>
        <w:t xml:space="preserve">تشرين الأول/أكتوبر </w:t>
      </w:r>
      <w:r w:rsidRPr="00FA0FC2">
        <w:rPr>
          <w:rFonts w:hint="cs"/>
          <w:rtl/>
          <w:lang w:val="fr-CH"/>
        </w:rPr>
        <w:t>2002.</w:t>
      </w:r>
    </w:p>
    <w:p w:rsidR="00091373" w:rsidRPr="00FA0FC2" w:rsidRDefault="00091373" w:rsidP="00600CDB">
      <w:pPr>
        <w:pStyle w:val="SingleTxtGA"/>
        <w:rPr>
          <w:rFonts w:hint="cs"/>
          <w:spacing w:val="-2"/>
          <w:rtl/>
          <w:lang w:val="fr-CH"/>
        </w:rPr>
      </w:pPr>
      <w:r w:rsidRPr="00FA0FC2">
        <w:rPr>
          <w:rFonts w:hint="cs"/>
          <w:spacing w:val="-2"/>
          <w:rtl/>
          <w:lang w:val="fr-CH"/>
        </w:rPr>
        <w:t>6-11</w:t>
      </w:r>
      <w:r w:rsidRPr="00FA0FC2">
        <w:rPr>
          <w:rFonts w:hint="cs"/>
          <w:spacing w:val="-2"/>
          <w:rtl/>
          <w:lang w:val="fr-CH"/>
        </w:rPr>
        <w:tab/>
        <w:t>وخلال المحاكمة، طلبت محامية صاحب الشكوى من محكمة منطقة موسكو أن تأخذ</w:t>
      </w:r>
      <w:r w:rsidRPr="00FA0FC2">
        <w:rPr>
          <w:rFonts w:hint="eastAsia"/>
          <w:spacing w:val="-2"/>
          <w:rtl/>
          <w:lang w:val="fr-CH"/>
        </w:rPr>
        <w:t> </w:t>
      </w:r>
      <w:r w:rsidRPr="00FA0FC2">
        <w:rPr>
          <w:rFonts w:hint="cs"/>
          <w:spacing w:val="-2"/>
          <w:rtl/>
          <w:lang w:val="fr-CH"/>
        </w:rPr>
        <w:t xml:space="preserve">في الحسبان النتائج التي أقرّها فحصا الطب الشرعي المؤرخان في 18 </w:t>
      </w:r>
      <w:r w:rsidRPr="00FA0FC2">
        <w:rPr>
          <w:rFonts w:hint="cs"/>
          <w:spacing w:val="-2"/>
          <w:sz w:val="30"/>
          <w:rtl/>
          <w:lang w:val="fr-CH"/>
        </w:rPr>
        <w:t xml:space="preserve">نيسان/أبريل </w:t>
      </w:r>
      <w:r w:rsidRPr="00FA0FC2">
        <w:rPr>
          <w:rFonts w:hint="cs"/>
          <w:spacing w:val="-2"/>
          <w:rtl/>
          <w:lang w:val="fr-CH"/>
        </w:rPr>
        <w:t xml:space="preserve">2002 و7 </w:t>
      </w:r>
      <w:r w:rsidRPr="00FA0FC2">
        <w:rPr>
          <w:rFonts w:hint="cs"/>
          <w:spacing w:val="-2"/>
          <w:sz w:val="30"/>
          <w:rtl/>
          <w:lang w:val="fr-CH"/>
        </w:rPr>
        <w:t xml:space="preserve">أيار/مايو </w:t>
      </w:r>
      <w:r w:rsidRPr="00FA0FC2">
        <w:rPr>
          <w:rFonts w:hint="cs"/>
          <w:spacing w:val="-2"/>
          <w:rtl/>
          <w:lang w:val="fr-CH"/>
        </w:rPr>
        <w:t>2002؛ لكن المحكمة رفضت الطلب.</w:t>
      </w:r>
    </w:p>
    <w:p w:rsidR="00091373" w:rsidRPr="00FA0FC2" w:rsidRDefault="00091373" w:rsidP="00091373">
      <w:pPr>
        <w:pStyle w:val="SingleTxtGA"/>
        <w:spacing w:line="370" w:lineRule="exact"/>
        <w:rPr>
          <w:rFonts w:hint="cs"/>
          <w:rtl/>
          <w:lang w:val="fr-CH"/>
        </w:rPr>
      </w:pPr>
      <w:r w:rsidRPr="00FA0FC2">
        <w:rPr>
          <w:rFonts w:hint="cs"/>
          <w:rtl/>
          <w:lang w:val="fr-CH"/>
        </w:rPr>
        <w:t>6-12</w:t>
      </w:r>
      <w:r w:rsidRPr="00FA0FC2">
        <w:rPr>
          <w:rFonts w:hint="cs"/>
          <w:rtl/>
          <w:lang w:val="fr-CH"/>
        </w:rPr>
        <w:tab/>
        <w:t>وتلاحظ الدولة الطرف أن صاحب الشكوى</w:t>
      </w:r>
      <w:r>
        <w:rPr>
          <w:rFonts w:hint="cs"/>
          <w:rtl/>
          <w:lang w:val="fr-CH"/>
        </w:rPr>
        <w:t xml:space="preserve"> لم</w:t>
      </w:r>
      <w:r>
        <w:rPr>
          <w:rtl/>
          <w:lang w:val="fr-CH"/>
        </w:rPr>
        <w:t> </w:t>
      </w:r>
      <w:r w:rsidRPr="00FA0FC2">
        <w:rPr>
          <w:rFonts w:hint="cs"/>
          <w:rtl/>
          <w:lang w:val="fr-CH"/>
        </w:rPr>
        <w:t>يشر مطلقاً</w:t>
      </w:r>
      <w:r>
        <w:rPr>
          <w:rFonts w:hint="cs"/>
          <w:rtl/>
          <w:lang w:val="fr-CH"/>
        </w:rPr>
        <w:t xml:space="preserve"> لا</w:t>
      </w:r>
      <w:r>
        <w:rPr>
          <w:rtl/>
          <w:lang w:val="fr-CH"/>
        </w:rPr>
        <w:t> </w:t>
      </w:r>
      <w:r w:rsidRPr="00FA0FC2">
        <w:rPr>
          <w:rFonts w:hint="cs"/>
          <w:rtl/>
          <w:lang w:val="fr-CH"/>
        </w:rPr>
        <w:t>في إطار إجراءات الطعن بالنقض</w:t>
      </w:r>
      <w:r>
        <w:rPr>
          <w:rFonts w:hint="cs"/>
          <w:rtl/>
          <w:lang w:val="fr-CH"/>
        </w:rPr>
        <w:t xml:space="preserve"> ولا</w:t>
      </w:r>
      <w:r>
        <w:rPr>
          <w:rtl/>
          <w:lang w:val="fr-CH"/>
        </w:rPr>
        <w:t> </w:t>
      </w:r>
      <w:r w:rsidRPr="00FA0FC2">
        <w:rPr>
          <w:rFonts w:hint="cs"/>
          <w:rtl/>
          <w:lang w:val="fr-CH"/>
        </w:rPr>
        <w:t>ضمن إجراءات المراجعة القضائية إلى تعرضه لسوء المعاملة أثناء التحقيق السابق للمحاكمة بهدف إرغامه على الاعتراف بالذنب</w:t>
      </w:r>
      <w:r>
        <w:rPr>
          <w:rFonts w:hint="cs"/>
          <w:rtl/>
          <w:lang w:val="fr-CH"/>
        </w:rPr>
        <w:t xml:space="preserve"> فيما</w:t>
      </w:r>
      <w:r>
        <w:rPr>
          <w:rtl/>
          <w:lang w:val="fr-CH"/>
        </w:rPr>
        <w:t> </w:t>
      </w:r>
      <w:r w:rsidRPr="00FA0FC2">
        <w:rPr>
          <w:rFonts w:hint="cs"/>
          <w:rtl/>
          <w:lang w:val="fr-CH"/>
        </w:rPr>
        <w:t>يتعلق باختفاء السيدة أ. ب..</w:t>
      </w:r>
    </w:p>
    <w:p w:rsidR="00091373" w:rsidRPr="00FA0FC2" w:rsidRDefault="00091373" w:rsidP="00091373">
      <w:pPr>
        <w:pStyle w:val="SingleTxtGA"/>
        <w:spacing w:line="370" w:lineRule="exact"/>
        <w:rPr>
          <w:rFonts w:hint="cs"/>
          <w:rtl/>
          <w:lang w:val="fr-CH"/>
        </w:rPr>
      </w:pPr>
      <w:r w:rsidRPr="00FA0FC2">
        <w:rPr>
          <w:rFonts w:hint="cs"/>
          <w:rtl/>
          <w:lang w:val="fr-CH"/>
        </w:rPr>
        <w:t>6-13</w:t>
      </w:r>
      <w:r w:rsidRPr="00FA0FC2">
        <w:rPr>
          <w:rFonts w:hint="cs"/>
          <w:rtl/>
          <w:lang w:val="fr-CH"/>
        </w:rPr>
        <w:tab/>
        <w:t>وأخيراً، تلاحظ الدولة الطرف أن صاحب الشكوى</w:t>
      </w:r>
      <w:r>
        <w:rPr>
          <w:rFonts w:hint="cs"/>
          <w:rtl/>
          <w:lang w:val="fr-CH"/>
        </w:rPr>
        <w:t xml:space="preserve"> لم</w:t>
      </w:r>
      <w:r>
        <w:rPr>
          <w:rtl/>
          <w:lang w:val="fr-CH"/>
        </w:rPr>
        <w:t> </w:t>
      </w:r>
      <w:r w:rsidRPr="00FA0FC2">
        <w:rPr>
          <w:rFonts w:hint="cs"/>
          <w:rtl/>
          <w:lang w:val="fr-CH"/>
        </w:rPr>
        <w:t>يعترف</w:t>
      </w:r>
      <w:r>
        <w:rPr>
          <w:rFonts w:hint="cs"/>
          <w:rtl/>
          <w:lang w:val="fr-CH"/>
        </w:rPr>
        <w:t xml:space="preserve"> لا</w:t>
      </w:r>
      <w:r>
        <w:rPr>
          <w:rtl/>
          <w:lang w:val="fr-CH"/>
        </w:rPr>
        <w:t> </w:t>
      </w:r>
      <w:r w:rsidRPr="00FA0FC2">
        <w:rPr>
          <w:rFonts w:hint="cs"/>
          <w:rtl/>
          <w:lang w:val="fr-CH"/>
        </w:rPr>
        <w:t>خلال عملية الاستجواب السابق للمحاكمة</w:t>
      </w:r>
      <w:r>
        <w:rPr>
          <w:rFonts w:hint="cs"/>
          <w:rtl/>
          <w:lang w:val="fr-CH"/>
        </w:rPr>
        <w:t xml:space="preserve"> ولا</w:t>
      </w:r>
      <w:r>
        <w:rPr>
          <w:rtl/>
          <w:lang w:val="fr-CH"/>
        </w:rPr>
        <w:t> </w:t>
      </w:r>
      <w:r w:rsidRPr="00FA0FC2">
        <w:rPr>
          <w:rFonts w:hint="cs"/>
          <w:rtl/>
          <w:lang w:val="fr-CH"/>
        </w:rPr>
        <w:t>خلال الإجراءات أمام المحاكم بارتكاب الجريمتين المنسوبتين إليه.</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تعليقات إضافية من صاحب الشكوى</w:t>
      </w:r>
    </w:p>
    <w:p w:rsidR="00091373" w:rsidRPr="00FA0FC2" w:rsidRDefault="00091373" w:rsidP="00091373">
      <w:pPr>
        <w:pStyle w:val="SingleTxtGA"/>
        <w:spacing w:line="370" w:lineRule="exact"/>
        <w:rPr>
          <w:rFonts w:hint="cs"/>
          <w:rtl/>
          <w:lang w:val="fr-CH"/>
        </w:rPr>
      </w:pPr>
      <w:r w:rsidRPr="00FA0FC2">
        <w:rPr>
          <w:rFonts w:hint="cs"/>
          <w:rtl/>
          <w:lang w:val="fr-CH"/>
        </w:rPr>
        <w:t>7-1</w:t>
      </w:r>
      <w:r w:rsidRPr="00FA0FC2">
        <w:rPr>
          <w:rFonts w:hint="cs"/>
          <w:rtl/>
          <w:lang w:val="fr-CH"/>
        </w:rPr>
        <w:tab/>
        <w:t xml:space="preserve">في 22 </w:t>
      </w:r>
      <w:r w:rsidRPr="00FA0FC2">
        <w:rPr>
          <w:rFonts w:hint="cs"/>
          <w:sz w:val="30"/>
          <w:rtl/>
          <w:lang w:val="fr-CH"/>
        </w:rPr>
        <w:t xml:space="preserve">أيار/مايو </w:t>
      </w:r>
      <w:r w:rsidRPr="00FA0FC2">
        <w:rPr>
          <w:rFonts w:hint="cs"/>
          <w:rtl/>
          <w:lang w:val="fr-CH"/>
        </w:rPr>
        <w:t>2012، أكد صاحب الشكوى من جديد أقواله السابقة</w:t>
      </w:r>
      <w:r>
        <w:rPr>
          <w:rFonts w:hint="cs"/>
          <w:rtl/>
          <w:lang w:val="fr-CH"/>
        </w:rPr>
        <w:t xml:space="preserve"> ولا</w:t>
      </w:r>
      <w:r>
        <w:rPr>
          <w:rtl/>
          <w:lang w:val="fr-CH"/>
        </w:rPr>
        <w:t> </w:t>
      </w:r>
      <w:r w:rsidRPr="00FA0FC2">
        <w:rPr>
          <w:rFonts w:hint="cs"/>
          <w:rtl/>
          <w:lang w:val="fr-CH"/>
        </w:rPr>
        <w:t>سيما</w:t>
      </w:r>
      <w:r>
        <w:rPr>
          <w:rFonts w:hint="cs"/>
          <w:rtl/>
          <w:lang w:val="fr-CH"/>
        </w:rPr>
        <w:t xml:space="preserve"> فيما</w:t>
      </w:r>
      <w:r>
        <w:rPr>
          <w:rtl/>
          <w:lang w:val="fr-CH"/>
        </w:rPr>
        <w:t> </w:t>
      </w:r>
      <w:r w:rsidRPr="00FA0FC2">
        <w:rPr>
          <w:rFonts w:hint="cs"/>
          <w:rtl/>
          <w:lang w:val="fr-CH"/>
        </w:rPr>
        <w:t>يتعلق بالعيوب المزعومة التي تخللت الإجراءات والمحاكمة.</w:t>
      </w:r>
    </w:p>
    <w:p w:rsidR="00091373" w:rsidRPr="00FA0FC2" w:rsidRDefault="00091373" w:rsidP="00091373">
      <w:pPr>
        <w:pStyle w:val="SingleTxtGA"/>
        <w:spacing w:line="370" w:lineRule="exact"/>
        <w:rPr>
          <w:rFonts w:hint="cs"/>
          <w:rtl/>
          <w:lang w:val="fr-CH"/>
        </w:rPr>
      </w:pPr>
      <w:r w:rsidRPr="00FA0FC2">
        <w:rPr>
          <w:rFonts w:hint="cs"/>
          <w:rtl/>
          <w:lang w:val="fr-CH"/>
        </w:rPr>
        <w:t>7-2</w:t>
      </w:r>
      <w:r w:rsidRPr="00FA0FC2">
        <w:rPr>
          <w:rFonts w:hint="cs"/>
          <w:rtl/>
          <w:lang w:val="fr-CH"/>
        </w:rPr>
        <w:tab/>
        <w:t xml:space="preserve">ويكرر أنه نتيجة تعرضه لسوء المعاملة في مخفر شرطة مقاطعة تشيكوف، اعترف بأن السيدة أ. ب. كانت بين ركَّاب حافلته في 15 </w:t>
      </w:r>
      <w:r w:rsidRPr="00FA0FC2">
        <w:rPr>
          <w:rFonts w:hint="cs"/>
          <w:sz w:val="30"/>
          <w:rtl/>
          <w:lang w:val="fr-CH"/>
        </w:rPr>
        <w:t xml:space="preserve">نيسان/أبريل </w:t>
      </w:r>
      <w:r w:rsidRPr="00FA0FC2">
        <w:rPr>
          <w:rFonts w:hint="cs"/>
          <w:rtl/>
          <w:lang w:val="fr-CH"/>
        </w:rPr>
        <w:t>2002. وأكد أيضاً أنه تعرَّض لسوء المعاملة في سجن مدينة س</w:t>
      </w:r>
      <w:r>
        <w:rPr>
          <w:rFonts w:hint="cs"/>
          <w:rtl/>
          <w:lang w:val="fr-CH"/>
        </w:rPr>
        <w:t>ي</w:t>
      </w:r>
      <w:r w:rsidRPr="00FA0FC2">
        <w:rPr>
          <w:rFonts w:hint="cs"/>
          <w:rtl/>
          <w:lang w:val="fr-CH"/>
        </w:rPr>
        <w:t>ربوكوف.</w:t>
      </w:r>
    </w:p>
    <w:p w:rsidR="00091373" w:rsidRPr="00FA0FC2" w:rsidRDefault="00091373" w:rsidP="00091373">
      <w:pPr>
        <w:pStyle w:val="SingleTxtGA"/>
        <w:spacing w:line="370" w:lineRule="exact"/>
        <w:rPr>
          <w:rFonts w:hint="cs"/>
          <w:rtl/>
          <w:lang w:val="fr-CH"/>
        </w:rPr>
      </w:pPr>
      <w:r w:rsidRPr="00FA0FC2">
        <w:rPr>
          <w:rFonts w:hint="cs"/>
          <w:rtl/>
          <w:lang w:val="fr-CH"/>
        </w:rPr>
        <w:t>7-3</w:t>
      </w:r>
      <w:r w:rsidRPr="00FA0FC2">
        <w:rPr>
          <w:rFonts w:hint="cs"/>
          <w:rtl/>
          <w:lang w:val="fr-CH"/>
        </w:rPr>
        <w:tab/>
        <w:t xml:space="preserve">وفي 23 </w:t>
      </w:r>
      <w:r w:rsidRPr="00FA0FC2">
        <w:rPr>
          <w:rFonts w:hint="cs"/>
          <w:sz w:val="30"/>
          <w:rtl/>
          <w:lang w:val="fr-CH"/>
        </w:rPr>
        <w:t xml:space="preserve">تموز/يوليه </w:t>
      </w:r>
      <w:r w:rsidRPr="00FA0FC2">
        <w:rPr>
          <w:rFonts w:hint="cs"/>
          <w:rtl/>
          <w:lang w:val="fr-CH"/>
        </w:rPr>
        <w:t>2012، أضاف صاحب الشكوى أنه استنفد جميع سبل الانتصاف المحلية المتاحة. وبصفة خاصة، أشار إلى أنه تعرَّض لسوء المعاملة لإكراهه على الاعتراف بالذنب أثناء إجراءات الطعن بالنقض وإجراءات المراجعة القضائية.</w:t>
      </w:r>
    </w:p>
    <w:p w:rsidR="00091373" w:rsidRPr="00FA0FC2" w:rsidRDefault="00091373" w:rsidP="00091373">
      <w:pPr>
        <w:pStyle w:val="H23GA"/>
        <w:rPr>
          <w:rFonts w:hint="cs"/>
          <w:rtl/>
          <w:lang w:val="fr-CH"/>
        </w:rPr>
      </w:pPr>
      <w:r w:rsidRPr="00FA0FC2">
        <w:rPr>
          <w:rFonts w:hint="cs"/>
          <w:rtl/>
          <w:lang w:val="fr-CH"/>
        </w:rPr>
        <w:tab/>
      </w:r>
      <w:r w:rsidRPr="00FA0FC2">
        <w:rPr>
          <w:rFonts w:hint="cs"/>
          <w:rtl/>
          <w:lang w:val="fr-CH"/>
        </w:rPr>
        <w:tab/>
        <w:t>المسائل والإجراءات المعروضة على اللجنة</w:t>
      </w:r>
    </w:p>
    <w:p w:rsidR="00091373" w:rsidRPr="00FA0FC2" w:rsidRDefault="00091373" w:rsidP="00091373">
      <w:pPr>
        <w:pStyle w:val="H4GA"/>
        <w:rPr>
          <w:rFonts w:hint="cs"/>
          <w:rtl/>
          <w:lang w:val="fr-CH"/>
        </w:rPr>
      </w:pPr>
      <w:r w:rsidRPr="00FA0FC2">
        <w:rPr>
          <w:rFonts w:hint="cs"/>
          <w:rtl/>
          <w:lang w:val="fr-CH"/>
        </w:rPr>
        <w:tab/>
      </w:r>
      <w:r w:rsidRPr="00FA0FC2">
        <w:rPr>
          <w:rFonts w:hint="cs"/>
          <w:rtl/>
          <w:lang w:val="fr-CH"/>
        </w:rPr>
        <w:tab/>
        <w:t>النظر في المقبولية</w:t>
      </w:r>
    </w:p>
    <w:p w:rsidR="00091373" w:rsidRPr="00FA0FC2" w:rsidRDefault="00091373" w:rsidP="00091373">
      <w:pPr>
        <w:pStyle w:val="SingleTxtGA"/>
        <w:spacing w:line="370" w:lineRule="exact"/>
        <w:rPr>
          <w:rFonts w:hint="cs"/>
          <w:rtl/>
          <w:lang w:val="fr-CH"/>
        </w:rPr>
      </w:pPr>
      <w:r w:rsidRPr="00FA0FC2">
        <w:rPr>
          <w:rFonts w:hint="cs"/>
          <w:rtl/>
          <w:lang w:val="fr-CH"/>
        </w:rPr>
        <w:t>8-1</w:t>
      </w:r>
      <w:r w:rsidRPr="00FA0FC2">
        <w:rPr>
          <w:rFonts w:hint="cs"/>
          <w:rtl/>
          <w:lang w:val="fr-CH"/>
        </w:rPr>
        <w:tab/>
        <w:t>قبل النظر في أي ادعاء يرد في بلاغ ما، يجب أن تقرر لجنة مناهضة التعذيب</w:t>
      </w:r>
      <w:r>
        <w:rPr>
          <w:rFonts w:hint="cs"/>
          <w:rtl/>
          <w:lang w:val="fr-CH"/>
        </w:rPr>
        <w:t xml:space="preserve"> ما</w:t>
      </w:r>
      <w:r>
        <w:rPr>
          <w:rtl/>
          <w:lang w:val="fr-CH"/>
        </w:rPr>
        <w:t> </w:t>
      </w:r>
      <w:r w:rsidRPr="00FA0FC2">
        <w:rPr>
          <w:rFonts w:hint="cs"/>
          <w:rtl/>
          <w:lang w:val="fr-CH"/>
        </w:rPr>
        <w:t>إذا كان البلاغ مقبولاً</w:t>
      </w:r>
      <w:r>
        <w:rPr>
          <w:rFonts w:hint="cs"/>
          <w:rtl/>
          <w:lang w:val="fr-CH"/>
        </w:rPr>
        <w:t xml:space="preserve"> أم</w:t>
      </w:r>
      <w:r>
        <w:rPr>
          <w:rtl/>
          <w:lang w:val="fr-CH"/>
        </w:rPr>
        <w:t> </w:t>
      </w:r>
      <w:r>
        <w:rPr>
          <w:rFonts w:hint="cs"/>
          <w:rtl/>
          <w:lang w:val="fr-CH"/>
        </w:rPr>
        <w:t>لا</w:t>
      </w:r>
      <w:r>
        <w:rPr>
          <w:rtl/>
          <w:lang w:val="fr-CH"/>
        </w:rPr>
        <w:t> </w:t>
      </w:r>
      <w:r w:rsidRPr="00FA0FC2">
        <w:rPr>
          <w:rFonts w:hint="cs"/>
          <w:rtl/>
          <w:lang w:val="fr-CH"/>
        </w:rPr>
        <w:t>بموجب ال</w:t>
      </w:r>
      <w:r>
        <w:rPr>
          <w:rFonts w:hint="cs"/>
          <w:rtl/>
          <w:lang w:val="fr-CH"/>
        </w:rPr>
        <w:t>مادة</w:t>
      </w:r>
      <w:r>
        <w:rPr>
          <w:rtl/>
          <w:lang w:val="fr-CH"/>
        </w:rPr>
        <w:t> </w:t>
      </w:r>
      <w:r w:rsidRPr="00FA0FC2">
        <w:rPr>
          <w:rFonts w:hint="cs"/>
          <w:rtl/>
          <w:lang w:val="fr-CH"/>
        </w:rPr>
        <w:t>22 من الاتفاقية.</w:t>
      </w:r>
    </w:p>
    <w:p w:rsidR="00091373" w:rsidRPr="00FA0FC2" w:rsidRDefault="00091373" w:rsidP="00091373">
      <w:pPr>
        <w:pStyle w:val="SingleTxtGA"/>
        <w:spacing w:line="370" w:lineRule="exact"/>
        <w:rPr>
          <w:rFonts w:hint="cs"/>
          <w:rtl/>
          <w:lang w:val="fr-CH"/>
        </w:rPr>
      </w:pPr>
      <w:r w:rsidRPr="00FA0FC2">
        <w:rPr>
          <w:rFonts w:hint="cs"/>
          <w:rtl/>
          <w:lang w:val="fr-CH"/>
        </w:rPr>
        <w:t>8-2</w:t>
      </w:r>
      <w:r w:rsidRPr="00FA0FC2">
        <w:rPr>
          <w:rFonts w:hint="cs"/>
          <w:rtl/>
          <w:lang w:val="fr-CH"/>
        </w:rPr>
        <w:tab/>
        <w:t xml:space="preserve">وقد أحاطت اللجنة علماً باعتراض الدولة الطرف على مقبولية البلاغ. وتلاحظ أولاً أن والدة صاحب الشكوى قدمت في </w:t>
      </w:r>
      <w:r w:rsidRPr="00FA0FC2">
        <w:rPr>
          <w:rFonts w:hint="cs"/>
          <w:sz w:val="30"/>
          <w:rtl/>
          <w:lang w:val="fr-CH"/>
        </w:rPr>
        <w:t xml:space="preserve">آذار/مارس </w:t>
      </w:r>
      <w:r w:rsidRPr="00FA0FC2">
        <w:rPr>
          <w:rFonts w:hint="cs"/>
          <w:rtl/>
          <w:lang w:val="fr-CH"/>
        </w:rPr>
        <w:t>2004، طلباً إلى المحكمة الأوروبية لحقوق الإنسان يتعلق بشكوى مماثلة بخصوص تعرض صاحب الشكوى لسوء المعاملة أثناء عملية التحقيق السابق للمحاكمة</w:t>
      </w:r>
      <w:r>
        <w:rPr>
          <w:rFonts w:hint="cs"/>
          <w:rtl/>
          <w:lang w:val="fr-CH"/>
        </w:rPr>
        <w:t xml:space="preserve"> وما</w:t>
      </w:r>
      <w:r>
        <w:rPr>
          <w:rtl/>
          <w:lang w:val="fr-CH"/>
        </w:rPr>
        <w:t> </w:t>
      </w:r>
      <w:r w:rsidRPr="00FA0FC2">
        <w:rPr>
          <w:rFonts w:hint="cs"/>
          <w:rtl/>
          <w:lang w:val="fr-CH"/>
        </w:rPr>
        <w:t xml:space="preserve">تلا ذلك من إدانة بالاستناد إلى الاعترافات التي انتُزعت منه بالإكراه. وقد رُفض هذا الطلب في 28 </w:t>
      </w:r>
      <w:r w:rsidRPr="00FA0FC2">
        <w:rPr>
          <w:rFonts w:hint="cs"/>
          <w:sz w:val="30"/>
          <w:rtl/>
          <w:lang w:val="fr-CH"/>
        </w:rPr>
        <w:t xml:space="preserve">آذار/مارس </w:t>
      </w:r>
      <w:r w:rsidRPr="00FA0FC2">
        <w:rPr>
          <w:rFonts w:hint="cs"/>
          <w:rtl/>
          <w:lang w:val="fr-CH"/>
        </w:rPr>
        <w:t>2006.</w:t>
      </w:r>
      <w:r>
        <w:rPr>
          <w:rFonts w:hint="cs"/>
          <w:rtl/>
          <w:lang w:val="fr-CH"/>
        </w:rPr>
        <w:t xml:space="preserve"> وفي</w:t>
      </w:r>
      <w:r>
        <w:rPr>
          <w:rtl/>
          <w:lang w:val="fr-CH"/>
        </w:rPr>
        <w:t> </w:t>
      </w:r>
      <w:r w:rsidRPr="00FA0FC2">
        <w:rPr>
          <w:rFonts w:hint="cs"/>
          <w:rtl/>
          <w:lang w:val="fr-CH"/>
        </w:rPr>
        <w:t>هذا الصدد، تلاحظ اللجنة أنه خلافاً لادعاء صاحب الشكوى بأن الطلب المقدَّم إلى المحكمة الأوروبية لحقوق الإنسان قد رُفض بسبب عدم احترام مهلة الستة شهور (انظر الفقرة 5-3 أعلاه)، فإن المعلومات الواردة في ملف القضية تُثبت أن المحكمة الأوروبية، وهي تتصرف من خلال لجنة مؤلفة من ثلاثة قضاة، أعلنت عدم مقبولية الادعاءات بالاستناد إلى أن المعلومات المقدمة إلى المحكمة</w:t>
      </w:r>
      <w:r>
        <w:rPr>
          <w:rFonts w:hint="cs"/>
          <w:rtl/>
          <w:lang w:val="fr-CH"/>
        </w:rPr>
        <w:t xml:space="preserve"> لم</w:t>
      </w:r>
      <w:r>
        <w:rPr>
          <w:rtl/>
          <w:lang w:val="fr-CH"/>
        </w:rPr>
        <w:t> </w:t>
      </w:r>
      <w:r w:rsidRPr="00FA0FC2">
        <w:rPr>
          <w:rFonts w:hint="cs"/>
          <w:rtl/>
          <w:lang w:val="fr-CH"/>
        </w:rPr>
        <w:t>تكشف عن أي انتهاك للحقوق والحريات التي تكفلها اتفاقية حماية حقوق الإنسان والحريات الأساسية.</w:t>
      </w:r>
    </w:p>
    <w:p w:rsidR="00091373" w:rsidRPr="00FA0FC2" w:rsidRDefault="00091373" w:rsidP="00091373">
      <w:pPr>
        <w:pStyle w:val="SingleTxtGA"/>
        <w:spacing w:line="370" w:lineRule="exact"/>
        <w:rPr>
          <w:rFonts w:hint="cs"/>
          <w:spacing w:val="-4"/>
          <w:rtl/>
          <w:lang w:val="fr-CH"/>
        </w:rPr>
      </w:pPr>
      <w:r w:rsidRPr="00FA0FC2">
        <w:rPr>
          <w:rFonts w:hint="cs"/>
          <w:spacing w:val="-4"/>
          <w:rtl/>
          <w:lang w:val="fr-CH"/>
        </w:rPr>
        <w:t>8-3</w:t>
      </w:r>
      <w:r w:rsidRPr="00FA0FC2">
        <w:rPr>
          <w:rFonts w:hint="cs"/>
          <w:spacing w:val="-4"/>
          <w:rtl/>
          <w:lang w:val="fr-CH"/>
        </w:rPr>
        <w:tab/>
        <w:t>وتُذكِّر اللجنة</w:t>
      </w:r>
      <w:r w:rsidRPr="00FA0FC2">
        <w:rPr>
          <w:spacing w:val="-4"/>
          <w:vertAlign w:val="superscript"/>
          <w:rtl/>
          <w:lang w:val="fr-CH"/>
        </w:rPr>
        <w:t>(</w:t>
      </w:r>
      <w:r w:rsidRPr="00FA0FC2">
        <w:rPr>
          <w:rStyle w:val="FootnoteReference"/>
          <w:spacing w:val="-4"/>
          <w:rtl/>
          <w:lang w:val="fr-CH"/>
        </w:rPr>
        <w:footnoteReference w:id="281"/>
      </w:r>
      <w:r w:rsidRPr="00FA0FC2">
        <w:rPr>
          <w:spacing w:val="-4"/>
          <w:vertAlign w:val="superscript"/>
          <w:rtl/>
          <w:lang w:val="fr-CH"/>
        </w:rPr>
        <w:t>)</w:t>
      </w:r>
      <w:r w:rsidRPr="00FA0FC2">
        <w:rPr>
          <w:spacing w:val="-4"/>
          <w:rtl/>
          <w:lang w:val="fr-CH"/>
        </w:rPr>
        <w:t xml:space="preserve"> </w:t>
      </w:r>
      <w:r w:rsidRPr="00FA0FC2">
        <w:rPr>
          <w:rFonts w:hint="cs"/>
          <w:spacing w:val="-4"/>
          <w:rtl/>
          <w:lang w:val="fr-CH"/>
        </w:rPr>
        <w:t>بأنها</w:t>
      </w:r>
      <w:r>
        <w:rPr>
          <w:rFonts w:hint="cs"/>
          <w:spacing w:val="-4"/>
          <w:rtl/>
          <w:lang w:val="fr-CH"/>
        </w:rPr>
        <w:t xml:space="preserve"> لا</w:t>
      </w:r>
      <w:r>
        <w:rPr>
          <w:spacing w:val="-4"/>
          <w:rtl/>
          <w:lang w:val="fr-CH"/>
        </w:rPr>
        <w:t> </w:t>
      </w:r>
      <w:r w:rsidRPr="00FA0FC2">
        <w:rPr>
          <w:rFonts w:hint="cs"/>
          <w:spacing w:val="-4"/>
          <w:rtl/>
          <w:lang w:val="fr-CH"/>
        </w:rPr>
        <w:t>تنظر في أي شكوى ترد من أي شخص بموجب الفقرة 5(أ) من ال</w:t>
      </w:r>
      <w:r>
        <w:rPr>
          <w:rFonts w:hint="cs"/>
          <w:spacing w:val="-4"/>
          <w:rtl/>
          <w:lang w:val="fr-CH"/>
        </w:rPr>
        <w:t>مادة</w:t>
      </w:r>
      <w:r>
        <w:rPr>
          <w:spacing w:val="-4"/>
          <w:rtl/>
          <w:lang w:val="fr-CH"/>
        </w:rPr>
        <w:t> </w:t>
      </w:r>
      <w:r w:rsidRPr="00FA0FC2">
        <w:rPr>
          <w:rFonts w:hint="cs"/>
          <w:spacing w:val="-4"/>
          <w:rtl/>
          <w:lang w:val="fr-CH"/>
        </w:rPr>
        <w:t>22 من الاتفاقية،</w:t>
      </w:r>
      <w:r>
        <w:rPr>
          <w:rFonts w:hint="cs"/>
          <w:spacing w:val="-4"/>
          <w:rtl/>
          <w:lang w:val="fr-CH"/>
        </w:rPr>
        <w:t xml:space="preserve"> إلا</w:t>
      </w:r>
      <w:r>
        <w:rPr>
          <w:spacing w:val="-4"/>
          <w:rtl/>
          <w:lang w:val="fr-CH"/>
        </w:rPr>
        <w:t> </w:t>
      </w:r>
      <w:r w:rsidRPr="00FA0FC2">
        <w:rPr>
          <w:rFonts w:hint="cs"/>
          <w:spacing w:val="-4"/>
          <w:rtl/>
          <w:lang w:val="fr-CH"/>
        </w:rPr>
        <w:t>بعد أن تتحقق من أن المسألة نفسها</w:t>
      </w:r>
      <w:r>
        <w:rPr>
          <w:rFonts w:hint="cs"/>
          <w:spacing w:val="-4"/>
          <w:rtl/>
          <w:lang w:val="fr-CH"/>
        </w:rPr>
        <w:t xml:space="preserve"> لم</w:t>
      </w:r>
      <w:r>
        <w:rPr>
          <w:spacing w:val="-4"/>
          <w:rtl/>
          <w:lang w:val="fr-CH"/>
        </w:rPr>
        <w:t> </w:t>
      </w:r>
      <w:r w:rsidRPr="00FA0FC2">
        <w:rPr>
          <w:rFonts w:hint="cs"/>
          <w:spacing w:val="-4"/>
          <w:rtl/>
          <w:lang w:val="fr-CH"/>
        </w:rPr>
        <w:t>تُبحث</w:t>
      </w:r>
      <w:r>
        <w:rPr>
          <w:rFonts w:hint="cs"/>
          <w:spacing w:val="-4"/>
          <w:rtl/>
          <w:lang w:val="fr-CH"/>
        </w:rPr>
        <w:t xml:space="preserve"> ولا</w:t>
      </w:r>
      <w:r>
        <w:rPr>
          <w:spacing w:val="-4"/>
          <w:rtl/>
          <w:lang w:val="fr-CH"/>
        </w:rPr>
        <w:t> </w:t>
      </w:r>
      <w:r w:rsidRPr="00FA0FC2">
        <w:rPr>
          <w:rFonts w:hint="cs"/>
          <w:spacing w:val="-4"/>
          <w:rtl/>
          <w:lang w:val="fr-CH"/>
        </w:rPr>
        <w:t>يجري بحثها في إطار إجراء آخر من إجراءات التحقيق الدولي</w:t>
      </w:r>
      <w:r>
        <w:rPr>
          <w:rFonts w:hint="cs"/>
          <w:spacing w:val="-4"/>
          <w:rtl/>
          <w:lang w:val="fr-CH"/>
        </w:rPr>
        <w:t xml:space="preserve"> أو</w:t>
      </w:r>
      <w:r>
        <w:rPr>
          <w:spacing w:val="-4"/>
          <w:rtl/>
          <w:lang w:val="fr-CH"/>
        </w:rPr>
        <w:t> </w:t>
      </w:r>
      <w:r w:rsidRPr="00FA0FC2">
        <w:rPr>
          <w:rFonts w:hint="cs"/>
          <w:spacing w:val="-4"/>
          <w:rtl/>
          <w:lang w:val="fr-CH"/>
        </w:rPr>
        <w:t>التسوية الدولية. وترى اللجنة أن نظر</w:t>
      </w:r>
      <w:r w:rsidRPr="00FA0FC2">
        <w:rPr>
          <w:rFonts w:hint="eastAsia"/>
          <w:spacing w:val="-4"/>
          <w:rtl/>
          <w:lang w:val="fr-CH"/>
        </w:rPr>
        <w:t> </w:t>
      </w:r>
      <w:r w:rsidRPr="00FA0FC2">
        <w:rPr>
          <w:rFonts w:hint="cs"/>
          <w:spacing w:val="-4"/>
          <w:rtl/>
          <w:lang w:val="fr-CH"/>
        </w:rPr>
        <w:t>المحكمة الأوروبية لحقوق الإنسان في هذه القضية يشكل بحثاً في القضية.</w:t>
      </w:r>
    </w:p>
    <w:p w:rsidR="00091373" w:rsidRPr="00FA0FC2" w:rsidRDefault="00091373" w:rsidP="00091373">
      <w:pPr>
        <w:pStyle w:val="SingleTxtGA"/>
        <w:spacing w:line="370" w:lineRule="exact"/>
        <w:rPr>
          <w:rFonts w:hint="cs"/>
          <w:rtl/>
          <w:lang w:val="fr-CH"/>
        </w:rPr>
      </w:pPr>
      <w:r w:rsidRPr="00FA0FC2">
        <w:rPr>
          <w:rFonts w:hint="cs"/>
          <w:rtl/>
          <w:lang w:val="fr-CH"/>
        </w:rPr>
        <w:t>8-4</w:t>
      </w:r>
      <w:r w:rsidRPr="00FA0FC2">
        <w:rPr>
          <w:rFonts w:hint="cs"/>
          <w:rtl/>
          <w:lang w:val="fr-CH"/>
        </w:rPr>
        <w:tab/>
        <w:t>وتعتبر اللجنة أن الشكوى "قد بُحثَت" و"يجري بحثها" في إطار إجراء آخر من إجراءات التحقيق الدولي</w:t>
      </w:r>
      <w:r>
        <w:rPr>
          <w:rFonts w:hint="cs"/>
          <w:rtl/>
          <w:lang w:val="fr-CH"/>
        </w:rPr>
        <w:t xml:space="preserve"> أو</w:t>
      </w:r>
      <w:r>
        <w:rPr>
          <w:rtl/>
          <w:lang w:val="fr-CH"/>
        </w:rPr>
        <w:t> </w:t>
      </w:r>
      <w:r w:rsidRPr="00FA0FC2">
        <w:rPr>
          <w:rFonts w:hint="cs"/>
          <w:rtl/>
          <w:lang w:val="fr-CH"/>
        </w:rPr>
        <w:t>التسوية الدولية إذا كان البحث في إجراء آخر من إجراءات التحقيق الدولي</w:t>
      </w:r>
      <w:r>
        <w:rPr>
          <w:rFonts w:hint="cs"/>
          <w:rtl/>
          <w:lang w:val="fr-CH"/>
        </w:rPr>
        <w:t xml:space="preserve"> أو</w:t>
      </w:r>
      <w:r>
        <w:rPr>
          <w:rtl/>
          <w:lang w:val="fr-CH"/>
        </w:rPr>
        <w:t> </w:t>
      </w:r>
      <w:r w:rsidRPr="00FA0FC2">
        <w:rPr>
          <w:rFonts w:hint="cs"/>
          <w:rtl/>
          <w:lang w:val="fr-CH"/>
        </w:rPr>
        <w:t>التسوية الدولية يتعلق</w:t>
      </w:r>
      <w:r>
        <w:rPr>
          <w:rFonts w:hint="cs"/>
          <w:rtl/>
          <w:lang w:val="fr-CH"/>
        </w:rPr>
        <w:t xml:space="preserve"> أو</w:t>
      </w:r>
      <w:r>
        <w:rPr>
          <w:rtl/>
          <w:lang w:val="fr-CH"/>
        </w:rPr>
        <w:t> </w:t>
      </w:r>
      <w:r w:rsidRPr="00FA0FC2">
        <w:rPr>
          <w:rFonts w:hint="cs"/>
          <w:rtl/>
          <w:lang w:val="fr-CH"/>
        </w:rPr>
        <w:t>تعلَّق "بالمسألة نفسها" ضمن المقصود من الفقرة</w:t>
      </w:r>
      <w:r w:rsidRPr="00FA0FC2">
        <w:rPr>
          <w:rFonts w:hint="eastAsia"/>
          <w:rtl/>
          <w:lang w:val="fr-CH"/>
        </w:rPr>
        <w:t> </w:t>
      </w:r>
      <w:r w:rsidRPr="00FA0FC2">
        <w:rPr>
          <w:rFonts w:hint="cs"/>
          <w:rtl/>
          <w:lang w:val="fr-CH"/>
        </w:rPr>
        <w:t>5(أ) من ال</w:t>
      </w:r>
      <w:r>
        <w:rPr>
          <w:rFonts w:hint="cs"/>
          <w:rtl/>
          <w:lang w:val="fr-CH"/>
        </w:rPr>
        <w:t>مادة</w:t>
      </w:r>
      <w:r>
        <w:rPr>
          <w:rtl/>
          <w:lang w:val="fr-CH"/>
        </w:rPr>
        <w:t> </w:t>
      </w:r>
      <w:r w:rsidRPr="00FA0FC2">
        <w:rPr>
          <w:rFonts w:hint="cs"/>
          <w:rtl/>
          <w:lang w:val="fr-CH"/>
        </w:rPr>
        <w:t>22، وهو</w:t>
      </w:r>
      <w:r>
        <w:rPr>
          <w:rFonts w:hint="cs"/>
          <w:rtl/>
          <w:lang w:val="fr-CH"/>
        </w:rPr>
        <w:t xml:space="preserve"> ما</w:t>
      </w:r>
      <w:r>
        <w:rPr>
          <w:rtl/>
          <w:lang w:val="fr-CH"/>
        </w:rPr>
        <w:t> </w:t>
      </w:r>
      <w:r w:rsidRPr="00FA0FC2">
        <w:rPr>
          <w:rFonts w:hint="cs"/>
          <w:rtl/>
          <w:lang w:val="fr-CH"/>
        </w:rPr>
        <w:t>يتعين أن يُفهم منه أنه يتعلق بنفس الأطراف، وبنفس الوقائع، وبنفس الحقوق الموضوعية. وتخلص من المعلومات الواردة في ملف الشكوى أن الطلب رقم 14986/04 المقدم إلى المحكمة الأوروبية في</w:t>
      </w:r>
      <w:r>
        <w:rPr>
          <w:rFonts w:hint="cs"/>
          <w:rtl/>
          <w:lang w:val="fr-CH"/>
        </w:rPr>
        <w:t xml:space="preserve"> عام</w:t>
      </w:r>
      <w:r>
        <w:rPr>
          <w:rtl/>
          <w:lang w:val="fr-CH"/>
        </w:rPr>
        <w:t> </w:t>
      </w:r>
      <w:r w:rsidRPr="00FA0FC2">
        <w:rPr>
          <w:rFonts w:hint="cs"/>
          <w:rtl/>
          <w:lang w:val="fr-CH"/>
        </w:rPr>
        <w:t>2004 بالنيابة عن صاحب الشكوى يتعلق بنفس الشخص، ويستند إلى نفس الوقائع، ويتعلق بنفس الحقوق الموضوعية التي سيقت في هذا البلاغ</w:t>
      </w:r>
      <w:r w:rsidRPr="00FA0FC2">
        <w:rPr>
          <w:vertAlign w:val="superscript"/>
          <w:rtl/>
          <w:lang w:val="fr-CH"/>
        </w:rPr>
        <w:t>(</w:t>
      </w:r>
      <w:r w:rsidRPr="00FA0FC2">
        <w:rPr>
          <w:rStyle w:val="FootnoteReference"/>
          <w:rtl/>
          <w:lang w:val="fr-CH"/>
        </w:rPr>
        <w:footnoteReference w:id="282"/>
      </w:r>
      <w:r w:rsidRPr="00FA0FC2">
        <w:rPr>
          <w:vertAlign w:val="superscript"/>
          <w:rtl/>
          <w:lang w:val="fr-CH"/>
        </w:rPr>
        <w:t>)</w:t>
      </w:r>
      <w:r w:rsidRPr="00FA0FC2">
        <w:rPr>
          <w:rFonts w:hint="cs"/>
          <w:rtl/>
          <w:lang w:val="fr-CH"/>
        </w:rPr>
        <w:t>.</w:t>
      </w:r>
    </w:p>
    <w:p w:rsidR="00091373" w:rsidRPr="00FA0FC2" w:rsidRDefault="00091373" w:rsidP="00091373">
      <w:pPr>
        <w:pStyle w:val="SingleTxtGA"/>
        <w:spacing w:line="370" w:lineRule="exact"/>
        <w:rPr>
          <w:rFonts w:hint="cs"/>
          <w:rtl/>
          <w:lang w:val="fr-CH"/>
        </w:rPr>
      </w:pPr>
      <w:r w:rsidRPr="00FA0FC2">
        <w:rPr>
          <w:rFonts w:hint="cs"/>
          <w:rtl/>
          <w:lang w:val="fr-CH"/>
        </w:rPr>
        <w:t>8-5</w:t>
      </w:r>
      <w:r w:rsidRPr="00FA0FC2">
        <w:rPr>
          <w:rFonts w:hint="cs"/>
          <w:rtl/>
          <w:lang w:val="fr-CH"/>
        </w:rPr>
        <w:tab/>
        <w:t>وفي ضوء</w:t>
      </w:r>
      <w:r>
        <w:rPr>
          <w:rFonts w:hint="cs"/>
          <w:rtl/>
          <w:lang w:val="fr-CH"/>
        </w:rPr>
        <w:t xml:space="preserve"> ما</w:t>
      </w:r>
      <w:r>
        <w:rPr>
          <w:rtl/>
          <w:lang w:val="fr-CH"/>
        </w:rPr>
        <w:t> </w:t>
      </w:r>
      <w:r w:rsidRPr="00FA0FC2">
        <w:rPr>
          <w:rFonts w:hint="cs"/>
          <w:rtl/>
          <w:lang w:val="fr-CH"/>
        </w:rPr>
        <w:t>تقدم، ترى اللجنة أن اشتراطات الفقرة 5(أ) من ال</w:t>
      </w:r>
      <w:r>
        <w:rPr>
          <w:rFonts w:hint="cs"/>
          <w:rtl/>
          <w:lang w:val="fr-CH"/>
        </w:rPr>
        <w:t>مادة</w:t>
      </w:r>
      <w:r>
        <w:rPr>
          <w:rtl/>
          <w:lang w:val="fr-CH"/>
        </w:rPr>
        <w:t> </w:t>
      </w:r>
      <w:r w:rsidRPr="00FA0FC2">
        <w:rPr>
          <w:rFonts w:hint="cs"/>
          <w:rtl/>
          <w:lang w:val="fr-CH"/>
        </w:rPr>
        <w:t>22</w:t>
      </w:r>
      <w:r>
        <w:rPr>
          <w:rFonts w:hint="cs"/>
          <w:rtl/>
          <w:lang w:val="fr-CH"/>
        </w:rPr>
        <w:t xml:space="preserve"> لم</w:t>
      </w:r>
      <w:r>
        <w:rPr>
          <w:rtl/>
          <w:lang w:val="fr-CH"/>
        </w:rPr>
        <w:t> </w:t>
      </w:r>
      <w:r w:rsidRPr="00FA0FC2">
        <w:rPr>
          <w:rFonts w:hint="cs"/>
          <w:rtl/>
          <w:lang w:val="fr-CH"/>
        </w:rPr>
        <w:t>ت</w:t>
      </w:r>
      <w:r>
        <w:rPr>
          <w:rFonts w:hint="cs"/>
          <w:rtl/>
          <w:lang w:val="fr-CH"/>
        </w:rPr>
        <w:t>ُ</w:t>
      </w:r>
      <w:r w:rsidRPr="00FA0FC2">
        <w:rPr>
          <w:rFonts w:hint="cs"/>
          <w:rtl/>
          <w:lang w:val="fr-CH"/>
        </w:rPr>
        <w:t>ستو</w:t>
      </w:r>
      <w:r>
        <w:rPr>
          <w:rFonts w:hint="cs"/>
          <w:rtl/>
          <w:lang w:val="fr-CH"/>
        </w:rPr>
        <w:t>ْ</w:t>
      </w:r>
      <w:r w:rsidRPr="00FA0FC2">
        <w:rPr>
          <w:rFonts w:hint="cs"/>
          <w:rtl/>
          <w:lang w:val="fr-CH"/>
        </w:rPr>
        <w:t>ف</w:t>
      </w:r>
      <w:r>
        <w:rPr>
          <w:rFonts w:hint="cs"/>
          <w:rtl/>
          <w:lang w:val="fr-CH"/>
        </w:rPr>
        <w:t>َ</w:t>
      </w:r>
      <w:r w:rsidRPr="00FA0FC2">
        <w:rPr>
          <w:rFonts w:hint="cs"/>
          <w:rtl/>
          <w:lang w:val="fr-CH"/>
        </w:rPr>
        <w:t xml:space="preserve"> في هذه الحالة.</w:t>
      </w:r>
      <w:r>
        <w:rPr>
          <w:rFonts w:hint="cs"/>
          <w:rtl/>
          <w:lang w:val="fr-CH"/>
        </w:rPr>
        <w:t xml:space="preserve"> وفي</w:t>
      </w:r>
      <w:r>
        <w:rPr>
          <w:rtl/>
          <w:lang w:val="fr-CH"/>
        </w:rPr>
        <w:t> </w:t>
      </w:r>
      <w:r w:rsidRPr="00FA0FC2">
        <w:rPr>
          <w:rFonts w:hint="cs"/>
          <w:rtl/>
          <w:lang w:val="fr-CH"/>
        </w:rPr>
        <w:t>ضوء هذا الاستنتاج،</w:t>
      </w:r>
      <w:r>
        <w:rPr>
          <w:rFonts w:hint="cs"/>
          <w:rtl/>
          <w:lang w:val="fr-CH"/>
        </w:rPr>
        <w:t xml:space="preserve"> لن</w:t>
      </w:r>
      <w:r>
        <w:rPr>
          <w:rtl/>
          <w:lang w:val="fr-CH"/>
        </w:rPr>
        <w:t> </w:t>
      </w:r>
      <w:r w:rsidRPr="00FA0FC2">
        <w:rPr>
          <w:rFonts w:hint="cs"/>
          <w:rtl/>
          <w:lang w:val="fr-CH"/>
        </w:rPr>
        <w:t>تنظر اللجنة في الأسس الأخرى التي أثارتها الدولة الطرف</w:t>
      </w:r>
      <w:r>
        <w:rPr>
          <w:rFonts w:hint="cs"/>
          <w:rtl/>
          <w:lang w:val="fr-CH"/>
        </w:rPr>
        <w:t xml:space="preserve"> فيما</w:t>
      </w:r>
      <w:r>
        <w:rPr>
          <w:rtl/>
          <w:lang w:val="fr-CH"/>
        </w:rPr>
        <w:t> </w:t>
      </w:r>
      <w:r w:rsidRPr="00FA0FC2">
        <w:rPr>
          <w:rFonts w:hint="cs"/>
          <w:rtl/>
          <w:lang w:val="fr-CH"/>
        </w:rPr>
        <w:t>يتعلق بعدم مقبولية البلاغ،</w:t>
      </w:r>
      <w:r>
        <w:rPr>
          <w:rFonts w:hint="cs"/>
          <w:rtl/>
          <w:lang w:val="fr-CH"/>
        </w:rPr>
        <w:t xml:space="preserve"> ولا</w:t>
      </w:r>
      <w:r>
        <w:rPr>
          <w:rtl/>
          <w:lang w:val="fr-CH"/>
        </w:rPr>
        <w:t> </w:t>
      </w:r>
      <w:r w:rsidRPr="00FA0FC2">
        <w:rPr>
          <w:rFonts w:hint="cs"/>
          <w:rtl/>
          <w:lang w:val="fr-CH"/>
        </w:rPr>
        <w:t>سيما تلك المتعلقة بعدم استنفاد سبل الانتصاف المحلية.</w:t>
      </w:r>
    </w:p>
    <w:p w:rsidR="00091373" w:rsidRPr="00FA0FC2" w:rsidRDefault="00091373" w:rsidP="00091373">
      <w:pPr>
        <w:pStyle w:val="SingleTxtGA"/>
        <w:spacing w:line="370" w:lineRule="exact"/>
        <w:rPr>
          <w:rFonts w:hint="cs"/>
          <w:rtl/>
          <w:lang w:val="fr-CH"/>
        </w:rPr>
      </w:pPr>
      <w:r w:rsidRPr="00FA0FC2">
        <w:rPr>
          <w:rFonts w:hint="cs"/>
          <w:rtl/>
          <w:lang w:val="fr-CH"/>
        </w:rPr>
        <w:t>9-</w:t>
      </w:r>
      <w:r w:rsidRPr="00FA0FC2">
        <w:rPr>
          <w:rFonts w:hint="cs"/>
          <w:rtl/>
          <w:lang w:val="fr-CH"/>
        </w:rPr>
        <w:tab/>
        <w:t>وعليه، تُقرر لجنة مناهضة التعذيب</w:t>
      </w:r>
      <w:r>
        <w:rPr>
          <w:rFonts w:hint="cs"/>
          <w:rtl/>
          <w:lang w:val="fr-CH"/>
        </w:rPr>
        <w:t xml:space="preserve"> ما</w:t>
      </w:r>
      <w:r>
        <w:rPr>
          <w:rtl/>
          <w:lang w:val="fr-CH"/>
        </w:rPr>
        <w:t> </w:t>
      </w:r>
      <w:r w:rsidRPr="00FA0FC2">
        <w:rPr>
          <w:rFonts w:hint="cs"/>
          <w:rtl/>
          <w:lang w:val="fr-CH"/>
        </w:rPr>
        <w:t>يلي:</w:t>
      </w:r>
    </w:p>
    <w:p w:rsidR="00091373" w:rsidRPr="00FA0FC2" w:rsidRDefault="00091373" w:rsidP="00091373">
      <w:pPr>
        <w:pStyle w:val="SingleTxtGA"/>
        <w:spacing w:line="370" w:lineRule="exact"/>
        <w:rPr>
          <w:rFonts w:hint="cs"/>
          <w:rtl/>
          <w:lang w:val="fr-CH"/>
        </w:rPr>
      </w:pPr>
      <w:r w:rsidRPr="00FA0FC2">
        <w:rPr>
          <w:rFonts w:hint="cs"/>
          <w:rtl/>
          <w:lang w:val="fr-CH"/>
        </w:rPr>
        <w:tab/>
        <w:t>(أ)</w:t>
      </w:r>
      <w:r w:rsidRPr="00FA0FC2">
        <w:rPr>
          <w:rFonts w:hint="cs"/>
          <w:rtl/>
          <w:lang w:val="fr-CH"/>
        </w:rPr>
        <w:tab/>
        <w:t>أن البلاغ غير مقبول بموجب أحكام الفقرة 5(أ) من ال</w:t>
      </w:r>
      <w:r>
        <w:rPr>
          <w:rFonts w:hint="cs"/>
          <w:rtl/>
          <w:lang w:val="fr-CH"/>
        </w:rPr>
        <w:t>مادة</w:t>
      </w:r>
      <w:r>
        <w:rPr>
          <w:rtl/>
          <w:lang w:val="fr-CH"/>
        </w:rPr>
        <w:t> </w:t>
      </w:r>
      <w:r w:rsidRPr="00FA0FC2">
        <w:rPr>
          <w:rFonts w:hint="cs"/>
          <w:rtl/>
          <w:lang w:val="fr-CH"/>
        </w:rPr>
        <w:t>22 من</w:t>
      </w:r>
      <w:r>
        <w:rPr>
          <w:rFonts w:hint="eastAsia"/>
          <w:rtl/>
          <w:lang w:val="fr-CH"/>
        </w:rPr>
        <w:t> </w:t>
      </w:r>
      <w:r w:rsidRPr="00FA0FC2">
        <w:rPr>
          <w:rFonts w:hint="cs"/>
          <w:rtl/>
          <w:lang w:val="fr-CH"/>
        </w:rPr>
        <w:t>الاتفاقية؛</w:t>
      </w:r>
    </w:p>
    <w:p w:rsidR="00091373" w:rsidRDefault="00091373" w:rsidP="00091373">
      <w:pPr>
        <w:pStyle w:val="SingleTxtGA"/>
        <w:spacing w:line="370" w:lineRule="exact"/>
        <w:rPr>
          <w:rFonts w:hint="cs"/>
          <w:rtl/>
          <w:lang w:val="fr-CH"/>
        </w:rPr>
      </w:pPr>
      <w:r w:rsidRPr="00FA0FC2">
        <w:rPr>
          <w:rFonts w:hint="cs"/>
          <w:rtl/>
          <w:lang w:val="fr-CH"/>
        </w:rPr>
        <w:tab/>
        <w:t>(ب)</w:t>
      </w:r>
      <w:r w:rsidRPr="00FA0FC2">
        <w:rPr>
          <w:rFonts w:hint="cs"/>
          <w:rtl/>
          <w:lang w:val="fr-CH"/>
        </w:rPr>
        <w:tab/>
      </w:r>
      <w:r>
        <w:rPr>
          <w:rFonts w:hint="cs"/>
          <w:rtl/>
          <w:lang w:val="fr-CH"/>
        </w:rPr>
        <w:t>أن يُبلَّغ صاحب الشكوى والدولة الطرف بهذا القرار.</w:t>
      </w:r>
    </w:p>
    <w:p w:rsidR="00091373" w:rsidRPr="001A3436" w:rsidRDefault="00091373" w:rsidP="00222E49">
      <w:pPr>
        <w:bidi/>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091373" w:rsidRPr="001A3436" w:rsidSect="00091373">
      <w:footerReference w:type="default" r:id="rId43"/>
      <w:footnotePr>
        <w:numFmt w:val="arabicAbjad"/>
        <w:numRestart w:val="eachSect"/>
      </w:footnotePr>
      <w:endnotePr>
        <w:numFmt w:val="decimal"/>
      </w:endnotePr>
      <w:pgSz w:w="11906" w:h="16838" w:code="9"/>
      <w:pgMar w:top="1701" w:right="1134" w:bottom="2268" w:left="1134" w:header="1134" w:footer="1701"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17FE" w:rsidRDefault="001A17FE">
      <w:r>
        <w:separator/>
      </w:r>
    </w:p>
  </w:endnote>
  <w:endnote w:type="continuationSeparator" w:id="0">
    <w:p w:rsidR="001A17FE" w:rsidRDefault="001A17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sig w:usb0="00000000" w:usb1="00000000" w:usb2="00000000" w:usb3="00000000" w:csb0="00000000"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4E0A37" w:rsidRDefault="00F815BA" w:rsidP="00776880">
    <w:pPr>
      <w:pStyle w:val="Footer"/>
      <w:tabs>
        <w:tab w:val="right" w:pos="9598"/>
      </w:tabs>
    </w:pPr>
    <w:r>
      <w:t>GE.12-44490</w:t>
    </w:r>
    <w:r>
      <w:tab/>
    </w:r>
    <w:r w:rsidRPr="004E0A37">
      <w:rPr>
        <w:b/>
        <w:sz w:val="18"/>
      </w:rPr>
      <w:fldChar w:fldCharType="begin"/>
    </w:r>
    <w:r w:rsidRPr="004E0A37">
      <w:rPr>
        <w:b/>
        <w:sz w:val="18"/>
      </w:rPr>
      <w:instrText xml:space="preserve"> PAGE  \* MERGEFORMAT </w:instrText>
    </w:r>
    <w:r w:rsidRPr="004E0A37">
      <w:rPr>
        <w:b/>
        <w:sz w:val="18"/>
      </w:rPr>
      <w:fldChar w:fldCharType="separate"/>
    </w:r>
    <w:r>
      <w:rPr>
        <w:b/>
        <w:noProof/>
        <w:sz w:val="18"/>
      </w:rPr>
      <w:t>734</w:t>
    </w:r>
    <w:r w:rsidRPr="004E0A37">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4E0A37" w:rsidRDefault="00F815BA" w:rsidP="00776880">
    <w:pPr>
      <w:pStyle w:val="Footer"/>
      <w:tabs>
        <w:tab w:val="right" w:pos="9598"/>
      </w:tabs>
      <w:rPr>
        <w:b/>
        <w:sz w:val="18"/>
      </w:rPr>
    </w:pPr>
    <w:r w:rsidRPr="004E0A37">
      <w:rPr>
        <w:b/>
        <w:sz w:val="18"/>
      </w:rPr>
      <w:fldChar w:fldCharType="begin"/>
    </w:r>
    <w:r w:rsidRPr="004E0A37">
      <w:rPr>
        <w:b/>
        <w:sz w:val="18"/>
      </w:rPr>
      <w:instrText xml:space="preserve"> PAGE  \* MERGEFORMAT </w:instrText>
    </w:r>
    <w:r w:rsidRPr="004E0A37">
      <w:rPr>
        <w:b/>
        <w:sz w:val="18"/>
      </w:rPr>
      <w:fldChar w:fldCharType="separate"/>
    </w:r>
    <w:r>
      <w:rPr>
        <w:b/>
        <w:noProof/>
        <w:sz w:val="18"/>
      </w:rPr>
      <w:t>ii</w:t>
    </w:r>
    <w:r w:rsidRPr="004E0A37">
      <w:rPr>
        <w:b/>
        <w:sz w:val="18"/>
      </w:rPr>
      <w:fldChar w:fldCharType="end"/>
    </w:r>
    <w:r>
      <w:rPr>
        <w:b/>
        <w:sz w:val="18"/>
      </w:rPr>
      <w:tab/>
    </w:r>
    <w:r>
      <w:t>GE.12-44490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AD7965" w:rsidRDefault="00F815BA" w:rsidP="0077688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AD7965" w:rsidRDefault="00F815BA" w:rsidP="0077688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4F087D" w:rsidRDefault="00F815BA" w:rsidP="00E470AE">
    <w:pPr>
      <w:pStyle w:val="Footer"/>
      <w:tabs>
        <w:tab w:val="right" w:pos="9598"/>
      </w:tabs>
    </w:pPr>
    <w:r>
      <w:t>GE.13-42371</w:t>
    </w:r>
    <w:r>
      <w:tab/>
    </w:r>
    <w:r w:rsidRPr="004F087D">
      <w:rPr>
        <w:b/>
        <w:sz w:val="18"/>
      </w:rPr>
      <w:fldChar w:fldCharType="begin"/>
    </w:r>
    <w:r w:rsidRPr="004F087D">
      <w:rPr>
        <w:b/>
        <w:sz w:val="18"/>
      </w:rPr>
      <w:instrText xml:space="preserve"> PAGE  \* MERGEFORMAT </w:instrText>
    </w:r>
    <w:r w:rsidRPr="004F087D">
      <w:rPr>
        <w:b/>
        <w:sz w:val="18"/>
      </w:rPr>
      <w:fldChar w:fldCharType="separate"/>
    </w:r>
    <w:r>
      <w:rPr>
        <w:b/>
        <w:noProof/>
        <w:sz w:val="18"/>
      </w:rPr>
      <w:t>iv</w:t>
    </w:r>
    <w:r w:rsidRPr="004F087D">
      <w:rPr>
        <w:b/>
        <w:sz w:val="18"/>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D913CB" w:rsidRDefault="00F815BA" w:rsidP="00D913CB">
    <w:pPr>
      <w:pStyle w:val="Footer"/>
      <w:tabs>
        <w:tab w:val="right" w:pos="9631"/>
      </w:tabs>
      <w:rPr>
        <w:lang w:val="en-US"/>
      </w:rPr>
    </w:pPr>
    <w:r w:rsidRPr="00D913CB">
      <w:rPr>
        <w:rStyle w:val="PageNumber"/>
        <w:b/>
        <w:bCs/>
        <w:sz w:val="18"/>
        <w:szCs w:val="24"/>
      </w:rPr>
      <w:fldChar w:fldCharType="begin"/>
    </w:r>
    <w:r w:rsidRPr="00D913CB">
      <w:rPr>
        <w:rStyle w:val="PageNumber"/>
        <w:b/>
        <w:bCs/>
        <w:sz w:val="18"/>
        <w:szCs w:val="24"/>
      </w:rPr>
      <w:instrText xml:space="preserve"> PAGE </w:instrText>
    </w:r>
    <w:r w:rsidRPr="00D913CB">
      <w:rPr>
        <w:rStyle w:val="PageNumber"/>
        <w:b/>
        <w:bCs/>
        <w:sz w:val="18"/>
        <w:szCs w:val="24"/>
      </w:rPr>
      <w:fldChar w:fldCharType="separate"/>
    </w:r>
    <w:r>
      <w:rPr>
        <w:rStyle w:val="PageNumber"/>
        <w:b/>
        <w:bCs/>
        <w:noProof/>
        <w:sz w:val="18"/>
        <w:szCs w:val="24"/>
      </w:rPr>
      <w:t>v</w:t>
    </w:r>
    <w:r w:rsidRPr="00D913CB">
      <w:rPr>
        <w:rStyle w:val="PageNumber"/>
        <w:b/>
        <w:bCs/>
        <w:sz w:val="18"/>
        <w:szCs w:val="24"/>
      </w:rPr>
      <w:fldChar w:fldCharType="end"/>
    </w:r>
    <w:r>
      <w:rPr>
        <w:rStyle w:val="PageNumber"/>
      </w:rPr>
      <w:tab/>
    </w:r>
    <w:r>
      <w:rPr>
        <w:sz w:val="20"/>
      </w:rPr>
      <w:t>(A)   GE.13-46041    270913    270913</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B927BD" w:rsidRDefault="00F815BA" w:rsidP="001B2734">
    <w:pPr>
      <w:pStyle w:val="Footer"/>
      <w:tabs>
        <w:tab w:val="right" w:pos="9598"/>
      </w:tabs>
      <w:rPr>
        <w:lang w:val="en-US"/>
      </w:rPr>
    </w:pPr>
    <w:r w:rsidRPr="00B927BD">
      <w:rPr>
        <w:rStyle w:val="PageNumber"/>
        <w:b/>
        <w:bCs/>
        <w:sz w:val="18"/>
        <w:szCs w:val="24"/>
      </w:rPr>
      <w:fldChar w:fldCharType="begin"/>
    </w:r>
    <w:r w:rsidRPr="00B927BD">
      <w:rPr>
        <w:rStyle w:val="PageNumber"/>
        <w:b/>
        <w:bCs/>
        <w:sz w:val="18"/>
        <w:szCs w:val="24"/>
      </w:rPr>
      <w:instrText xml:space="preserve"> PAGE </w:instrText>
    </w:r>
    <w:r w:rsidRPr="00B927BD">
      <w:rPr>
        <w:rStyle w:val="PageNumber"/>
        <w:b/>
        <w:bCs/>
        <w:sz w:val="18"/>
        <w:szCs w:val="24"/>
      </w:rPr>
      <w:fldChar w:fldCharType="separate"/>
    </w:r>
    <w:r w:rsidR="005F508E">
      <w:rPr>
        <w:rStyle w:val="PageNumber"/>
        <w:b/>
        <w:bCs/>
        <w:noProof/>
        <w:sz w:val="18"/>
        <w:szCs w:val="24"/>
      </w:rPr>
      <w:t>iii</w:t>
    </w:r>
    <w:r w:rsidRPr="00B927BD">
      <w:rPr>
        <w:rStyle w:val="PageNumber"/>
        <w:b/>
        <w:bCs/>
        <w:sz w:val="18"/>
        <w:szCs w:val="24"/>
      </w:rPr>
      <w:fldChar w:fldCharType="end"/>
    </w:r>
    <w:r>
      <w:rPr>
        <w:rStyle w:val="PageNumber"/>
      </w:rPr>
      <w:tab/>
    </w:r>
    <w:r>
      <w:rPr>
        <w:sz w:val="20"/>
      </w:rPr>
      <w:t>(A)   GE.13-46041    270913    041013</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4F087D" w:rsidRDefault="00F815BA" w:rsidP="00B927BD">
    <w:pPr>
      <w:pStyle w:val="Footer"/>
      <w:tabs>
        <w:tab w:val="right" w:pos="9598"/>
      </w:tabs>
    </w:pPr>
    <w:r>
      <w:t>GE.13-46041</w:t>
    </w:r>
    <w:r>
      <w:tab/>
    </w:r>
    <w:r w:rsidRPr="004F087D">
      <w:rPr>
        <w:b/>
        <w:sz w:val="18"/>
      </w:rPr>
      <w:fldChar w:fldCharType="begin"/>
    </w:r>
    <w:r w:rsidRPr="004F087D">
      <w:rPr>
        <w:b/>
        <w:sz w:val="18"/>
      </w:rPr>
      <w:instrText xml:space="preserve"> PAGE  \* MERGEFORMAT </w:instrText>
    </w:r>
    <w:r w:rsidRPr="004F087D">
      <w:rPr>
        <w:b/>
        <w:sz w:val="18"/>
      </w:rPr>
      <w:fldChar w:fldCharType="separate"/>
    </w:r>
    <w:r w:rsidR="005F508E">
      <w:rPr>
        <w:b/>
        <w:noProof/>
        <w:sz w:val="18"/>
      </w:rPr>
      <w:t>vi</w:t>
    </w:r>
    <w:r w:rsidRPr="004F087D">
      <w:rPr>
        <w:b/>
        <w:sz w:val="18"/>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D913CB" w:rsidRDefault="00F815BA" w:rsidP="00091373">
    <w:pPr>
      <w:pStyle w:val="Footer"/>
      <w:tabs>
        <w:tab w:val="right" w:pos="9631"/>
      </w:tabs>
      <w:rPr>
        <w:lang w:val="en-US"/>
      </w:rPr>
    </w:pPr>
    <w:r w:rsidRPr="00091373">
      <w:rPr>
        <w:rStyle w:val="PageNumber"/>
        <w:b/>
        <w:bCs/>
        <w:sz w:val="18"/>
        <w:szCs w:val="18"/>
      </w:rPr>
      <w:fldChar w:fldCharType="begin"/>
    </w:r>
    <w:r w:rsidRPr="00091373">
      <w:rPr>
        <w:rStyle w:val="PageNumber"/>
        <w:b/>
        <w:bCs/>
        <w:sz w:val="18"/>
        <w:szCs w:val="18"/>
      </w:rPr>
      <w:instrText xml:space="preserve"> PAGE </w:instrText>
    </w:r>
    <w:r w:rsidRPr="00091373">
      <w:rPr>
        <w:rStyle w:val="PageNumber"/>
        <w:b/>
        <w:bCs/>
        <w:sz w:val="18"/>
        <w:szCs w:val="18"/>
      </w:rPr>
      <w:fldChar w:fldCharType="separate"/>
    </w:r>
    <w:r w:rsidR="005F508E">
      <w:rPr>
        <w:rStyle w:val="PageNumber"/>
        <w:b/>
        <w:bCs/>
        <w:noProof/>
        <w:sz w:val="18"/>
        <w:szCs w:val="18"/>
      </w:rPr>
      <w:t>v</w:t>
    </w:r>
    <w:r w:rsidRPr="00091373">
      <w:rPr>
        <w:rStyle w:val="PageNumber"/>
        <w:b/>
        <w:bCs/>
        <w:sz w:val="18"/>
        <w:szCs w:val="18"/>
      </w:rPr>
      <w:fldChar w:fldCharType="end"/>
    </w:r>
    <w:r>
      <w:rPr>
        <w:rStyle w:val="PageNumber"/>
      </w:rPr>
      <w:tab/>
    </w:r>
    <w:r w:rsidRPr="0087140B">
      <w:rPr>
        <w:szCs w:val="18"/>
      </w:rPr>
      <w:t>GE.13-46041</w:t>
    </w:r>
    <w:r w:rsidRPr="00D913CB">
      <w:rPr>
        <w:lang w:val="en-US"/>
      </w:rPr>
      <w:t xml:space="preserve"> </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4F087D" w:rsidRDefault="00F815BA" w:rsidP="007E4A52">
    <w:pPr>
      <w:pStyle w:val="Footer"/>
      <w:tabs>
        <w:tab w:val="right" w:pos="9631"/>
      </w:tabs>
    </w:pPr>
    <w:r>
      <w:t>GE.13-46041</w:t>
    </w:r>
    <w:r>
      <w:tab/>
    </w:r>
    <w:r w:rsidRPr="004F087D">
      <w:rPr>
        <w:b/>
        <w:sz w:val="18"/>
      </w:rPr>
      <w:fldChar w:fldCharType="begin"/>
    </w:r>
    <w:r w:rsidRPr="004F087D">
      <w:rPr>
        <w:b/>
        <w:sz w:val="18"/>
      </w:rPr>
      <w:instrText xml:space="preserve"> PAGE  \* MERGEFORMAT </w:instrText>
    </w:r>
    <w:r w:rsidRPr="004F087D">
      <w:rPr>
        <w:b/>
        <w:sz w:val="18"/>
      </w:rPr>
      <w:fldChar w:fldCharType="separate"/>
    </w:r>
    <w:r w:rsidR="005F508E">
      <w:rPr>
        <w:b/>
        <w:noProof/>
        <w:sz w:val="18"/>
      </w:rPr>
      <w:t>496</w:t>
    </w:r>
    <w:r w:rsidRPr="004F087D">
      <w:rPr>
        <w:b/>
        <w:sz w:val="18"/>
      </w:rP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D913CB" w:rsidRDefault="00F815BA" w:rsidP="007E4A52">
    <w:pPr>
      <w:pStyle w:val="Footer"/>
      <w:tabs>
        <w:tab w:val="right" w:pos="9617"/>
      </w:tabs>
      <w:rPr>
        <w:lang w:val="en-US"/>
      </w:rPr>
    </w:pPr>
    <w:r w:rsidRPr="00B927BD">
      <w:rPr>
        <w:rStyle w:val="PageNumber"/>
        <w:b/>
        <w:bCs/>
        <w:sz w:val="18"/>
        <w:szCs w:val="24"/>
      </w:rPr>
      <w:fldChar w:fldCharType="begin"/>
    </w:r>
    <w:r w:rsidRPr="00B927BD">
      <w:rPr>
        <w:rStyle w:val="PageNumber"/>
        <w:b/>
        <w:bCs/>
        <w:sz w:val="18"/>
        <w:szCs w:val="24"/>
      </w:rPr>
      <w:instrText xml:space="preserve"> PAGE </w:instrText>
    </w:r>
    <w:r w:rsidRPr="00B927BD">
      <w:rPr>
        <w:rStyle w:val="PageNumber"/>
        <w:b/>
        <w:bCs/>
        <w:sz w:val="18"/>
        <w:szCs w:val="24"/>
      </w:rPr>
      <w:fldChar w:fldCharType="separate"/>
    </w:r>
    <w:r w:rsidR="005F508E">
      <w:rPr>
        <w:rStyle w:val="PageNumber"/>
        <w:b/>
        <w:bCs/>
        <w:noProof/>
        <w:sz w:val="18"/>
        <w:szCs w:val="24"/>
      </w:rPr>
      <w:t>299</w:t>
    </w:r>
    <w:r w:rsidRPr="00B927BD">
      <w:rPr>
        <w:rStyle w:val="PageNumber"/>
        <w:b/>
        <w:bCs/>
        <w:sz w:val="18"/>
        <w:szCs w:val="24"/>
      </w:rPr>
      <w:fldChar w:fldCharType="end"/>
    </w:r>
    <w:r>
      <w:rPr>
        <w:rStyle w:val="PageNumber"/>
      </w:rPr>
      <w:tab/>
    </w:r>
    <w:r w:rsidRPr="0087140B">
      <w:rPr>
        <w:szCs w:val="18"/>
      </w:rPr>
      <w:t>GE.13-46041</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D913CB" w:rsidRDefault="00F815BA" w:rsidP="007E4A52">
    <w:pPr>
      <w:pStyle w:val="Footer"/>
      <w:tabs>
        <w:tab w:val="right" w:pos="9617"/>
      </w:tabs>
      <w:rPr>
        <w:lang w:val="en-US"/>
      </w:rPr>
    </w:pPr>
    <w:r w:rsidRPr="00B927BD">
      <w:rPr>
        <w:rStyle w:val="PageNumber"/>
        <w:b/>
        <w:bCs/>
        <w:sz w:val="18"/>
        <w:szCs w:val="24"/>
      </w:rPr>
      <w:fldChar w:fldCharType="begin"/>
    </w:r>
    <w:r w:rsidRPr="00B927BD">
      <w:rPr>
        <w:rStyle w:val="PageNumber"/>
        <w:b/>
        <w:bCs/>
        <w:sz w:val="18"/>
        <w:szCs w:val="24"/>
      </w:rPr>
      <w:instrText xml:space="preserve"> PAGE </w:instrText>
    </w:r>
    <w:r w:rsidRPr="00B927BD">
      <w:rPr>
        <w:rStyle w:val="PageNumber"/>
        <w:b/>
        <w:bCs/>
        <w:sz w:val="18"/>
        <w:szCs w:val="24"/>
      </w:rPr>
      <w:fldChar w:fldCharType="separate"/>
    </w:r>
    <w:r w:rsidR="005F508E">
      <w:rPr>
        <w:rStyle w:val="PageNumber"/>
        <w:b/>
        <w:bCs/>
        <w:noProof/>
        <w:sz w:val="18"/>
        <w:szCs w:val="24"/>
      </w:rPr>
      <w:t>497</w:t>
    </w:r>
    <w:r w:rsidRPr="00B927BD">
      <w:rPr>
        <w:rStyle w:val="PageNumber"/>
        <w:b/>
        <w:bCs/>
        <w:sz w:val="18"/>
        <w:szCs w:val="24"/>
      </w:rPr>
      <w:fldChar w:fldCharType="end"/>
    </w:r>
    <w:r>
      <w:rPr>
        <w:rStyle w:val="PageNumber"/>
      </w:rPr>
      <w:tab/>
    </w:r>
    <w:r w:rsidRPr="0087140B">
      <w:rPr>
        <w:szCs w:val="18"/>
      </w:rPr>
      <w:t>GE.13-46041</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222E49" w:rsidRDefault="00F815BA" w:rsidP="00E37658">
    <w:pPr>
      <w:pStyle w:val="Footer"/>
      <w:tabs>
        <w:tab w:val="right" w:pos="9631"/>
      </w:tabs>
      <w:rPr>
        <w:b/>
        <w:bCs/>
      </w:rPr>
    </w:pPr>
    <w:r>
      <w:t>GE.13-46041</w:t>
    </w:r>
    <w:r>
      <w:tab/>
    </w:r>
    <w:r w:rsidRPr="00222E49">
      <w:rPr>
        <w:rStyle w:val="PageNumber"/>
        <w:b/>
        <w:bCs/>
      </w:rPr>
      <w:fldChar w:fldCharType="begin"/>
    </w:r>
    <w:r w:rsidRPr="00222E49">
      <w:rPr>
        <w:rStyle w:val="PageNumber"/>
        <w:b/>
        <w:bCs/>
        <w:rtl/>
      </w:rPr>
      <w:instrText xml:space="preserve"> </w:instrText>
    </w:r>
    <w:r w:rsidRPr="00222E49">
      <w:rPr>
        <w:rStyle w:val="PageNumber"/>
        <w:b/>
        <w:bCs/>
      </w:rPr>
      <w:instrText>PAGE</w:instrText>
    </w:r>
    <w:r w:rsidRPr="00222E49">
      <w:rPr>
        <w:rStyle w:val="PageNumber"/>
        <w:b/>
        <w:bCs/>
        <w:rtl/>
      </w:rPr>
      <w:instrText xml:space="preserve"> </w:instrText>
    </w:r>
    <w:r w:rsidRPr="00222E49">
      <w:rPr>
        <w:rStyle w:val="PageNumber"/>
        <w:b/>
        <w:bCs/>
      </w:rPr>
      <w:fldChar w:fldCharType="separate"/>
    </w:r>
    <w:r w:rsidR="005F508E">
      <w:rPr>
        <w:rStyle w:val="PageNumber"/>
        <w:b/>
        <w:bCs/>
        <w:noProof/>
      </w:rPr>
      <w:t>616</w:t>
    </w:r>
    <w:r w:rsidRPr="00222E49">
      <w:rPr>
        <w:rStyle w:val="PageNumber"/>
        <w:b/>
        <w:bCs/>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1B75EB" w:rsidRDefault="00F815BA" w:rsidP="00E37658">
    <w:pPr>
      <w:pStyle w:val="Footer"/>
      <w:tabs>
        <w:tab w:val="right" w:pos="9598"/>
      </w:tabs>
    </w:pPr>
    <w:r w:rsidRPr="00222E49">
      <w:rPr>
        <w:rStyle w:val="PageNumber"/>
        <w:b/>
        <w:bCs/>
      </w:rPr>
      <w:fldChar w:fldCharType="begin"/>
    </w:r>
    <w:r w:rsidRPr="00222E49">
      <w:rPr>
        <w:rStyle w:val="PageNumber"/>
        <w:b/>
        <w:bCs/>
        <w:rtl/>
      </w:rPr>
      <w:instrText xml:space="preserve"> </w:instrText>
    </w:r>
    <w:r w:rsidRPr="00222E49">
      <w:rPr>
        <w:rStyle w:val="PageNumber"/>
        <w:b/>
        <w:bCs/>
      </w:rPr>
      <w:instrText>PAGE</w:instrText>
    </w:r>
    <w:r w:rsidRPr="00222E49">
      <w:rPr>
        <w:rStyle w:val="PageNumber"/>
        <w:b/>
        <w:bCs/>
        <w:rtl/>
      </w:rPr>
      <w:instrText xml:space="preserve"> </w:instrText>
    </w:r>
    <w:r w:rsidRPr="00222E49">
      <w:rPr>
        <w:rStyle w:val="PageNumber"/>
        <w:b/>
        <w:bCs/>
      </w:rPr>
      <w:fldChar w:fldCharType="separate"/>
    </w:r>
    <w:r w:rsidR="005F508E">
      <w:rPr>
        <w:rStyle w:val="PageNumber"/>
        <w:b/>
        <w:bCs/>
        <w:noProof/>
      </w:rPr>
      <w:t>609</w:t>
    </w:r>
    <w:r w:rsidRPr="00222E49">
      <w:rPr>
        <w:rStyle w:val="PageNumber"/>
        <w:b/>
        <w:bCs/>
      </w:rPr>
      <w:fldChar w:fldCharType="end"/>
    </w:r>
    <w:r>
      <w:rPr>
        <w:rStyle w:val="PageNumber"/>
      </w:rPr>
      <w:tab/>
    </w:r>
    <w:r>
      <w:t>GE.13-46041</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EC02B8" w:rsidRDefault="00F815BA" w:rsidP="00091373">
    <w:pPr>
      <w:pStyle w:val="Footer"/>
      <w:tabs>
        <w:tab w:val="left" w:pos="7935"/>
        <w:tab w:val="right" w:pos="9598"/>
      </w:tabs>
    </w:pPr>
    <w:r>
      <w:rPr>
        <w:rStyle w:val="PageNumber"/>
      </w:rPr>
      <w:fldChar w:fldCharType="begin"/>
    </w:r>
    <w:r>
      <w:rPr>
        <w:rStyle w:val="PageNumber"/>
        <w:rtl/>
      </w:rPr>
      <w:instrText xml:space="preserve"> </w:instrText>
    </w:r>
    <w:r>
      <w:rPr>
        <w:rStyle w:val="PageNumber"/>
      </w:rPr>
      <w:instrText>PAGE</w:instrText>
    </w:r>
    <w:r>
      <w:rPr>
        <w:rStyle w:val="PageNumber"/>
        <w:rtl/>
      </w:rPr>
      <w:instrText xml:space="preserve"> </w:instrText>
    </w:r>
    <w:r>
      <w:rPr>
        <w:rStyle w:val="PageNumber"/>
      </w:rPr>
      <w:fldChar w:fldCharType="separate"/>
    </w:r>
    <w:r>
      <w:rPr>
        <w:rStyle w:val="PageNumber"/>
        <w:noProof/>
      </w:rPr>
      <w:t>1</w:t>
    </w:r>
    <w:r>
      <w:rPr>
        <w:rStyle w:val="PageNumber"/>
      </w:rPr>
      <w:fldChar w:fldCharType="end"/>
    </w:r>
    <w:r>
      <w:rPr>
        <w:rStyle w:val="PageNumber"/>
      </w:rPr>
      <w:tab/>
    </w:r>
    <w:r>
      <w:rPr>
        <w:rStyle w:val="PageNumber"/>
      </w:rPr>
      <w:tab/>
    </w:r>
    <w:r>
      <w:t>GE.13-46041</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1B75EB" w:rsidRDefault="00F815BA" w:rsidP="00E37658">
    <w:pPr>
      <w:pStyle w:val="Footer"/>
      <w:tabs>
        <w:tab w:val="right" w:pos="9598"/>
      </w:tabs>
    </w:pPr>
    <w:r w:rsidRPr="00222E49">
      <w:rPr>
        <w:rStyle w:val="PageNumber"/>
        <w:b/>
        <w:bCs/>
      </w:rPr>
      <w:fldChar w:fldCharType="begin"/>
    </w:r>
    <w:r w:rsidRPr="00222E49">
      <w:rPr>
        <w:rStyle w:val="PageNumber"/>
        <w:b/>
        <w:bCs/>
        <w:rtl/>
      </w:rPr>
      <w:instrText xml:space="preserve"> </w:instrText>
    </w:r>
    <w:r w:rsidRPr="00222E49">
      <w:rPr>
        <w:rStyle w:val="PageNumber"/>
        <w:b/>
        <w:bCs/>
      </w:rPr>
      <w:instrText>PAGE</w:instrText>
    </w:r>
    <w:r w:rsidRPr="00222E49">
      <w:rPr>
        <w:rStyle w:val="PageNumber"/>
        <w:b/>
        <w:bCs/>
        <w:rtl/>
      </w:rPr>
      <w:instrText xml:space="preserve"> </w:instrText>
    </w:r>
    <w:r w:rsidRPr="00222E49">
      <w:rPr>
        <w:rStyle w:val="PageNumber"/>
        <w:b/>
        <w:bCs/>
      </w:rPr>
      <w:fldChar w:fldCharType="separate"/>
    </w:r>
    <w:r w:rsidR="005F508E">
      <w:rPr>
        <w:rStyle w:val="PageNumber"/>
        <w:b/>
        <w:bCs/>
        <w:noProof/>
      </w:rPr>
      <w:t>617</w:t>
    </w:r>
    <w:r w:rsidRPr="00222E49">
      <w:rPr>
        <w:rStyle w:val="PageNumber"/>
        <w:b/>
        <w:bCs/>
      </w:rPr>
      <w:fldChar w:fldCharType="end"/>
    </w:r>
    <w:r>
      <w:rPr>
        <w:rStyle w:val="PageNumber"/>
      </w:rPr>
      <w:tab/>
    </w:r>
    <w:r>
      <w:t>GE.13-46041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17FE" w:rsidRPr="003B6DEC" w:rsidRDefault="001A17FE" w:rsidP="00A25D78">
      <w:pPr>
        <w:pStyle w:val="Footer"/>
        <w:bidi/>
        <w:spacing w:after="80" w:line="200" w:lineRule="exact"/>
        <w:ind w:left="680"/>
        <w:rPr>
          <w:rFonts w:hint="cs"/>
          <w:rtl/>
        </w:rPr>
      </w:pPr>
      <w:r w:rsidRPr="00C10C26">
        <w:rPr>
          <w:rtl/>
        </w:rPr>
        <w:t>__________</w:t>
      </w:r>
    </w:p>
  </w:footnote>
  <w:footnote w:type="continuationSeparator" w:id="0">
    <w:p w:rsidR="001A17FE" w:rsidRDefault="001A17FE">
      <w:r>
        <w:continuationSeparator/>
      </w:r>
    </w:p>
  </w:footnote>
  <w:footnote w:id="1">
    <w:p w:rsidR="00F815BA" w:rsidRPr="00A25D78" w:rsidRDefault="00F815BA" w:rsidP="00021691">
      <w:pPr>
        <w:pStyle w:val="FootnoteText"/>
        <w:numPr>
          <w:ilvl w:val="0"/>
          <w:numId w:val="26"/>
        </w:numPr>
        <w:tabs>
          <w:tab w:val="clear" w:pos="227"/>
          <w:tab w:val="left" w:pos="1254"/>
        </w:tabs>
        <w:bidi/>
        <w:spacing w:after="60" w:line="300" w:lineRule="exact"/>
        <w:ind w:left="1247" w:right="1247"/>
        <w:jc w:val="lowKashida"/>
        <w:rPr>
          <w:rFonts w:cs="Traditional Arabic"/>
          <w:sz w:val="18"/>
          <w:szCs w:val="26"/>
        </w:rPr>
      </w:pPr>
      <w:r w:rsidRPr="00A25D78">
        <w:rPr>
          <w:rFonts w:cs="Traditional Arabic"/>
          <w:i/>
          <w:iCs/>
          <w:sz w:val="18"/>
          <w:szCs w:val="26"/>
          <w:rtl/>
        </w:rPr>
        <w:t xml:space="preserve">الوثائق الرسمية للجمعية العامة، الدورة الخامسة والستون، الملحق </w:t>
      </w:r>
      <w:r>
        <w:rPr>
          <w:rFonts w:cs="Traditional Arabic" w:hint="cs"/>
          <w:i/>
          <w:iCs/>
          <w:sz w:val="18"/>
          <w:szCs w:val="26"/>
          <w:rtl/>
        </w:rPr>
        <w:t xml:space="preserve">رقم </w:t>
      </w:r>
      <w:r w:rsidRPr="00A25D78">
        <w:rPr>
          <w:rFonts w:cs="Traditional Arabic"/>
          <w:i/>
          <w:iCs/>
          <w:sz w:val="18"/>
          <w:szCs w:val="26"/>
          <w:rtl/>
        </w:rPr>
        <w:t>44</w:t>
      </w:r>
      <w:r w:rsidRPr="00A25D78">
        <w:rPr>
          <w:rFonts w:cs="Traditional Arabic"/>
          <w:sz w:val="18"/>
          <w:szCs w:val="26"/>
          <w:rtl/>
        </w:rPr>
        <w:t xml:space="preserve"> (</w:t>
      </w:r>
      <w:r w:rsidRPr="00A25D78">
        <w:rPr>
          <w:rFonts w:cs="Traditional Arabic"/>
          <w:sz w:val="18"/>
          <w:szCs w:val="26"/>
        </w:rPr>
        <w:t>A/65/44</w:t>
      </w:r>
      <w:r w:rsidRPr="00A25D78">
        <w:rPr>
          <w:rFonts w:cs="Traditional Arabic"/>
          <w:sz w:val="18"/>
          <w:szCs w:val="26"/>
          <w:rtl/>
        </w:rPr>
        <w:t>)، الفصل الأول، الفقرة 27.</w:t>
      </w:r>
    </w:p>
  </w:footnote>
  <w:footnote w:id="2">
    <w:p w:rsidR="00F815BA" w:rsidRPr="00347778" w:rsidRDefault="00F815BA" w:rsidP="00021691">
      <w:pPr>
        <w:pStyle w:val="FootnoteText"/>
        <w:numPr>
          <w:ilvl w:val="0"/>
          <w:numId w:val="26"/>
        </w:numPr>
        <w:tabs>
          <w:tab w:val="clear" w:pos="227"/>
          <w:tab w:val="left" w:pos="1254"/>
        </w:tabs>
        <w:bidi/>
        <w:spacing w:after="60" w:line="300" w:lineRule="exact"/>
        <w:ind w:left="1247" w:right="1247"/>
        <w:jc w:val="lowKashida"/>
        <w:rPr>
          <w:rFonts w:cs="Traditional Arabic"/>
          <w:sz w:val="18"/>
          <w:szCs w:val="26"/>
        </w:rPr>
      </w:pPr>
      <w:r w:rsidRPr="00347778">
        <w:rPr>
          <w:rFonts w:cs="Traditional Arabic"/>
          <w:i/>
          <w:iCs/>
          <w:sz w:val="18"/>
          <w:szCs w:val="26"/>
          <w:rtl/>
        </w:rPr>
        <w:t>الوثائق الرسمية للجمعية العامة، الدورة الثانية والستون، الملحق رقم 44</w:t>
      </w:r>
      <w:r w:rsidRPr="00347778">
        <w:rPr>
          <w:rFonts w:cs="Traditional Arabic"/>
          <w:sz w:val="18"/>
          <w:szCs w:val="26"/>
          <w:rtl/>
        </w:rPr>
        <w:t xml:space="preserve"> (</w:t>
      </w:r>
      <w:r w:rsidRPr="00347778">
        <w:rPr>
          <w:rFonts w:cs="Traditional Arabic"/>
          <w:sz w:val="18"/>
          <w:szCs w:val="26"/>
        </w:rPr>
        <w:t>A/62/44</w:t>
      </w:r>
      <w:r w:rsidRPr="00347778">
        <w:rPr>
          <w:rFonts w:cs="Traditional Arabic"/>
          <w:sz w:val="18"/>
          <w:szCs w:val="26"/>
          <w:rtl/>
        </w:rPr>
        <w:t>)، الفقرة 23.</w:t>
      </w:r>
    </w:p>
  </w:footnote>
  <w:footnote w:id="3">
    <w:p w:rsidR="00F815BA" w:rsidRPr="00347778" w:rsidRDefault="00F815BA" w:rsidP="00021691">
      <w:pPr>
        <w:pStyle w:val="FootnoteText"/>
        <w:numPr>
          <w:ilvl w:val="0"/>
          <w:numId w:val="26"/>
        </w:numPr>
        <w:tabs>
          <w:tab w:val="clear" w:pos="227"/>
          <w:tab w:val="left" w:pos="1254"/>
        </w:tabs>
        <w:bidi/>
        <w:spacing w:after="60" w:line="300" w:lineRule="exact"/>
        <w:ind w:left="1247" w:right="1247"/>
        <w:jc w:val="lowKashida"/>
        <w:rPr>
          <w:rFonts w:cs="Traditional Arabic"/>
          <w:sz w:val="18"/>
          <w:szCs w:val="26"/>
        </w:rPr>
      </w:pPr>
      <w:r w:rsidRPr="00347778">
        <w:rPr>
          <w:rFonts w:cs="Traditional Arabic" w:hint="cs"/>
          <w:i/>
          <w:iCs/>
          <w:sz w:val="18"/>
          <w:szCs w:val="26"/>
          <w:rtl/>
        </w:rPr>
        <w:t>الوثائق الرسمية للجمعية العامة، الدورة الرابعة والستون، الملحق رقم 44</w:t>
      </w:r>
      <w:r w:rsidRPr="00347778">
        <w:rPr>
          <w:rFonts w:cs="Traditional Arabic" w:hint="cs"/>
          <w:sz w:val="18"/>
          <w:szCs w:val="26"/>
          <w:rtl/>
        </w:rPr>
        <w:t xml:space="preserve"> (</w:t>
      </w:r>
      <w:r w:rsidRPr="00347778">
        <w:rPr>
          <w:rFonts w:cs="Traditional Arabic"/>
          <w:sz w:val="18"/>
          <w:szCs w:val="26"/>
        </w:rPr>
        <w:t>A/64/44</w:t>
      </w:r>
      <w:r w:rsidRPr="00347778">
        <w:rPr>
          <w:rFonts w:cs="Traditional Arabic" w:hint="cs"/>
          <w:sz w:val="18"/>
          <w:szCs w:val="26"/>
          <w:rtl/>
        </w:rPr>
        <w:t>)، الفقرة 26.</w:t>
      </w:r>
      <w:r w:rsidRPr="00347778">
        <w:rPr>
          <w:rFonts w:cs="Traditional Arabic"/>
          <w:sz w:val="18"/>
          <w:szCs w:val="26"/>
        </w:rPr>
        <w:t xml:space="preserve"> </w:t>
      </w:r>
    </w:p>
  </w:footnote>
  <w:footnote w:id="4">
    <w:p w:rsidR="00F815BA" w:rsidRPr="00347778" w:rsidRDefault="00F815BA" w:rsidP="00021691">
      <w:pPr>
        <w:pStyle w:val="FootnoteText"/>
        <w:numPr>
          <w:ilvl w:val="0"/>
          <w:numId w:val="26"/>
        </w:numPr>
        <w:tabs>
          <w:tab w:val="clear" w:pos="227"/>
          <w:tab w:val="left" w:pos="1254"/>
        </w:tabs>
        <w:bidi/>
        <w:spacing w:after="60" w:line="300" w:lineRule="exact"/>
        <w:ind w:left="1247" w:right="1247"/>
        <w:jc w:val="lowKashida"/>
        <w:rPr>
          <w:rFonts w:cs="Traditional Arabic"/>
          <w:sz w:val="18"/>
          <w:szCs w:val="26"/>
        </w:rPr>
      </w:pPr>
      <w:r w:rsidRPr="00347778">
        <w:rPr>
          <w:rFonts w:cs="Traditional Arabic" w:hint="cs"/>
          <w:sz w:val="18"/>
          <w:szCs w:val="26"/>
          <w:rtl/>
        </w:rPr>
        <w:t>المرجع نفسه، الدورة السابعة والستون، الملحق رقم 44 (</w:t>
      </w:r>
      <w:r w:rsidRPr="00347778">
        <w:rPr>
          <w:rFonts w:cs="Traditional Arabic"/>
          <w:sz w:val="18"/>
          <w:szCs w:val="26"/>
        </w:rPr>
        <w:t>A/67/44</w:t>
      </w:r>
      <w:r w:rsidRPr="00347778">
        <w:rPr>
          <w:rFonts w:cs="Traditional Arabic" w:hint="cs"/>
          <w:sz w:val="18"/>
          <w:szCs w:val="26"/>
          <w:rtl/>
        </w:rPr>
        <w:t>) الفقرة 33.</w:t>
      </w:r>
    </w:p>
  </w:footnote>
  <w:footnote w:id="5">
    <w:p w:rsidR="00F815BA" w:rsidRPr="00347778" w:rsidRDefault="00F815BA" w:rsidP="00021691">
      <w:pPr>
        <w:pStyle w:val="FootnoteText"/>
        <w:numPr>
          <w:ilvl w:val="0"/>
          <w:numId w:val="26"/>
        </w:numPr>
        <w:tabs>
          <w:tab w:val="clear" w:pos="227"/>
          <w:tab w:val="left" w:pos="1253"/>
        </w:tabs>
        <w:bidi/>
        <w:spacing w:after="60" w:line="300" w:lineRule="exact"/>
        <w:ind w:left="1247" w:right="1247"/>
        <w:jc w:val="lowKashida"/>
        <w:rPr>
          <w:rFonts w:cs="Traditional Arabic" w:hint="cs"/>
          <w:sz w:val="18"/>
          <w:szCs w:val="26"/>
        </w:rPr>
      </w:pPr>
      <w:r w:rsidRPr="00347778">
        <w:rPr>
          <w:rFonts w:cs="Traditional Arabic" w:hint="cs"/>
          <w:sz w:val="18"/>
          <w:szCs w:val="26"/>
          <w:rtl/>
        </w:rPr>
        <w:t>المرجع نفسه</w:t>
      </w:r>
      <w:r w:rsidRPr="00347778">
        <w:rPr>
          <w:rFonts w:cs="Traditional Arabic" w:hint="cs"/>
          <w:i/>
          <w:iCs/>
          <w:sz w:val="18"/>
          <w:szCs w:val="26"/>
          <w:rtl/>
        </w:rPr>
        <w:t xml:space="preserve">، </w:t>
      </w:r>
      <w:r w:rsidRPr="00347778">
        <w:rPr>
          <w:rFonts w:cs="Traditional Arabic" w:hint="cs"/>
          <w:sz w:val="18"/>
          <w:szCs w:val="26"/>
          <w:rtl/>
        </w:rPr>
        <w:t>الدورة</w:t>
      </w:r>
      <w:r w:rsidRPr="00347778">
        <w:rPr>
          <w:rFonts w:cs="Traditional Arabic" w:hint="cs"/>
          <w:i/>
          <w:iCs/>
          <w:sz w:val="18"/>
          <w:szCs w:val="26"/>
          <w:rtl/>
        </w:rPr>
        <w:t xml:space="preserve"> السادسة والستون، الملحق رقم 44</w:t>
      </w:r>
      <w:r w:rsidRPr="00347778">
        <w:rPr>
          <w:rFonts w:cs="Traditional Arabic" w:hint="cs"/>
          <w:sz w:val="18"/>
          <w:szCs w:val="26"/>
          <w:rtl/>
        </w:rPr>
        <w:t xml:space="preserve"> </w:t>
      </w:r>
      <w:r w:rsidRPr="00347778">
        <w:rPr>
          <w:rFonts w:cs="Traditional Arabic"/>
          <w:sz w:val="18"/>
          <w:szCs w:val="26"/>
        </w:rPr>
        <w:t>(A/66/44)</w:t>
      </w:r>
      <w:r w:rsidRPr="00347778">
        <w:rPr>
          <w:rFonts w:cs="Traditional Arabic" w:hint="cs"/>
          <w:sz w:val="18"/>
          <w:szCs w:val="26"/>
          <w:rtl/>
        </w:rPr>
        <w:t>، الفقرات من</w:t>
      </w:r>
      <w:r w:rsidRPr="00347778">
        <w:rPr>
          <w:rFonts w:cs="Traditional Arabic" w:hint="eastAsia"/>
          <w:sz w:val="18"/>
          <w:szCs w:val="26"/>
          <w:rtl/>
        </w:rPr>
        <w:t> </w:t>
      </w:r>
      <w:r w:rsidRPr="00347778">
        <w:rPr>
          <w:rFonts w:cs="Traditional Arabic" w:hint="cs"/>
          <w:sz w:val="18"/>
          <w:szCs w:val="26"/>
          <w:rtl/>
        </w:rPr>
        <w:t>28 إلى 35.</w:t>
      </w:r>
    </w:p>
  </w:footnote>
  <w:footnote w:id="6">
    <w:p w:rsidR="00F815BA" w:rsidRPr="00347778" w:rsidRDefault="00F815BA" w:rsidP="00021691">
      <w:pPr>
        <w:pStyle w:val="FootnoteText"/>
        <w:numPr>
          <w:ilvl w:val="0"/>
          <w:numId w:val="26"/>
        </w:numPr>
        <w:tabs>
          <w:tab w:val="clear" w:pos="227"/>
          <w:tab w:val="left" w:pos="1254"/>
        </w:tabs>
        <w:bidi/>
        <w:spacing w:after="60" w:line="300" w:lineRule="exact"/>
        <w:ind w:left="1247" w:right="1247"/>
        <w:jc w:val="lowKashida"/>
        <w:rPr>
          <w:rFonts w:cs="Traditional Arabic"/>
          <w:sz w:val="18"/>
          <w:szCs w:val="26"/>
        </w:rPr>
      </w:pPr>
      <w:r w:rsidRPr="00347778">
        <w:rPr>
          <w:rFonts w:cs="Traditional Arabic" w:hint="cs"/>
          <w:sz w:val="18"/>
          <w:szCs w:val="26"/>
          <w:rtl/>
        </w:rPr>
        <w:t>المرجع نفسه، الفقرة 36.</w:t>
      </w:r>
      <w:r w:rsidRPr="00347778">
        <w:rPr>
          <w:rFonts w:cs="Traditional Arabic"/>
          <w:sz w:val="18"/>
          <w:szCs w:val="26"/>
        </w:rPr>
        <w:t xml:space="preserve"> </w:t>
      </w:r>
    </w:p>
  </w:footnote>
  <w:footnote w:id="7">
    <w:p w:rsidR="00F815BA" w:rsidRPr="00347778" w:rsidRDefault="00F815BA" w:rsidP="00021691">
      <w:pPr>
        <w:pStyle w:val="FootnoteText"/>
        <w:numPr>
          <w:ilvl w:val="0"/>
          <w:numId w:val="26"/>
        </w:numPr>
        <w:tabs>
          <w:tab w:val="clear" w:pos="227"/>
          <w:tab w:val="left" w:pos="1253"/>
        </w:tabs>
        <w:bidi/>
        <w:spacing w:after="60" w:line="300" w:lineRule="exact"/>
        <w:ind w:left="1247" w:right="1247"/>
        <w:jc w:val="lowKashida"/>
        <w:rPr>
          <w:rFonts w:cs="Traditional Arabic" w:hint="cs"/>
          <w:sz w:val="18"/>
          <w:szCs w:val="26"/>
        </w:rPr>
      </w:pPr>
      <w:r w:rsidRPr="00347778">
        <w:rPr>
          <w:rFonts w:cs="Traditional Arabic" w:hint="cs"/>
          <w:sz w:val="18"/>
          <w:szCs w:val="26"/>
          <w:rtl/>
        </w:rPr>
        <w:t>المرجع نفسه، الفصل أولاً، الفقرة 38.</w:t>
      </w:r>
    </w:p>
  </w:footnote>
  <w:footnote w:id="8">
    <w:p w:rsidR="00F815BA" w:rsidRPr="00347778" w:rsidRDefault="00F815BA" w:rsidP="00021691">
      <w:pPr>
        <w:pStyle w:val="FootnoteText"/>
        <w:numPr>
          <w:ilvl w:val="0"/>
          <w:numId w:val="26"/>
        </w:numPr>
        <w:tabs>
          <w:tab w:val="clear" w:pos="227"/>
          <w:tab w:val="left" w:pos="1254"/>
        </w:tabs>
        <w:bidi/>
        <w:spacing w:after="60" w:line="300" w:lineRule="exact"/>
        <w:ind w:left="1247" w:right="1247"/>
        <w:jc w:val="lowKashida"/>
        <w:rPr>
          <w:rFonts w:cs="Traditional Arabic"/>
          <w:sz w:val="18"/>
          <w:szCs w:val="26"/>
        </w:rPr>
      </w:pPr>
      <w:r w:rsidRPr="00347778">
        <w:rPr>
          <w:rFonts w:cs="Traditional Arabic" w:hint="cs"/>
          <w:i/>
          <w:iCs/>
          <w:sz w:val="18"/>
          <w:szCs w:val="26"/>
          <w:rtl/>
        </w:rPr>
        <w:t>الوثائق الرسمية للجمعية العامة، الدورة الرابعة والستون، الملحق رقم 44</w:t>
      </w:r>
      <w:r w:rsidRPr="00347778">
        <w:rPr>
          <w:rFonts w:cs="Traditional Arabic" w:hint="cs"/>
          <w:sz w:val="18"/>
          <w:szCs w:val="26"/>
          <w:rtl/>
        </w:rPr>
        <w:t xml:space="preserve"> (</w:t>
      </w:r>
      <w:r w:rsidRPr="00347778">
        <w:rPr>
          <w:rFonts w:cs="Traditional Arabic"/>
          <w:sz w:val="18"/>
          <w:szCs w:val="26"/>
        </w:rPr>
        <w:t>A/64/44</w:t>
      </w:r>
      <w:r w:rsidRPr="00347778">
        <w:rPr>
          <w:rFonts w:cs="Traditional Arabic" w:hint="cs"/>
          <w:sz w:val="18"/>
          <w:szCs w:val="26"/>
          <w:rtl/>
        </w:rPr>
        <w:t>)، الفقرتان 28-29.</w:t>
      </w:r>
      <w:r w:rsidRPr="00347778">
        <w:rPr>
          <w:rFonts w:cs="Traditional Arabic"/>
          <w:sz w:val="18"/>
          <w:szCs w:val="26"/>
        </w:rPr>
        <w:t xml:space="preserve"> </w:t>
      </w:r>
    </w:p>
  </w:footnote>
  <w:footnote w:id="9">
    <w:p w:rsidR="00F815BA" w:rsidRPr="00A25D78" w:rsidRDefault="00F815BA" w:rsidP="00021691">
      <w:pPr>
        <w:pStyle w:val="FootnoteText"/>
        <w:numPr>
          <w:ilvl w:val="0"/>
          <w:numId w:val="26"/>
        </w:numPr>
        <w:tabs>
          <w:tab w:val="clear" w:pos="227"/>
          <w:tab w:val="left" w:pos="1254"/>
        </w:tabs>
        <w:bidi/>
        <w:spacing w:after="60" w:line="300" w:lineRule="exact"/>
        <w:ind w:left="1247" w:right="1247"/>
        <w:jc w:val="lowKashida"/>
        <w:rPr>
          <w:rFonts w:cs="Traditional Arabic"/>
          <w:sz w:val="18"/>
          <w:szCs w:val="26"/>
        </w:rPr>
      </w:pPr>
      <w:r w:rsidRPr="00B95ADB">
        <w:rPr>
          <w:rFonts w:cs="Traditional Arabic"/>
          <w:sz w:val="18"/>
          <w:szCs w:val="26"/>
          <w:rtl/>
        </w:rPr>
        <w:t>هناك نزاع قائم بين حكومتي الأرجنتين والمملكة المتحدة لبريطانيا العظمى و</w:t>
      </w:r>
      <w:r>
        <w:rPr>
          <w:rFonts w:cs="Traditional Arabic" w:hint="cs"/>
          <w:sz w:val="18"/>
          <w:szCs w:val="26"/>
          <w:rtl/>
        </w:rPr>
        <w:t>أ</w:t>
      </w:r>
      <w:r w:rsidRPr="00B95ADB">
        <w:rPr>
          <w:rFonts w:cs="Traditional Arabic"/>
          <w:sz w:val="18"/>
          <w:szCs w:val="26"/>
          <w:rtl/>
        </w:rPr>
        <w:t>يرلندا الشمالية بشأن السيادة على جزر فوكلاند (مالفيناس)</w:t>
      </w:r>
      <w:r w:rsidRPr="00A25D78">
        <w:rPr>
          <w:rFonts w:cs="Traditional Arabic"/>
          <w:sz w:val="18"/>
          <w:szCs w:val="26"/>
          <w:rtl/>
        </w:rPr>
        <w:t>.</w:t>
      </w:r>
    </w:p>
  </w:footnote>
  <w:footnote w:id="10">
    <w:p w:rsidR="00F815BA" w:rsidRPr="00C1733B" w:rsidRDefault="00F815BA" w:rsidP="00021691">
      <w:pPr>
        <w:pStyle w:val="FootnoteText"/>
        <w:numPr>
          <w:ilvl w:val="0"/>
          <w:numId w:val="26"/>
        </w:numPr>
        <w:tabs>
          <w:tab w:val="clear" w:pos="227"/>
          <w:tab w:val="left" w:pos="1254"/>
        </w:tabs>
        <w:bidi/>
        <w:spacing w:after="60" w:line="240" w:lineRule="exact"/>
        <w:ind w:left="1248" w:right="1247"/>
        <w:jc w:val="lowKashida"/>
        <w:rPr>
          <w:rFonts w:cs="Traditional Arabic"/>
          <w:sz w:val="18"/>
          <w:szCs w:val="26"/>
        </w:rPr>
      </w:pPr>
      <w:r w:rsidRPr="00C1733B">
        <w:rPr>
          <w:sz w:val="18"/>
          <w:szCs w:val="26"/>
        </w:rPr>
        <w:t>http://www.refworld.org/docid/499d4a1b2.html</w:t>
      </w:r>
      <w:r w:rsidRPr="00C1733B">
        <w:rPr>
          <w:rFonts w:cs="Traditional Arabic"/>
          <w:sz w:val="18"/>
          <w:szCs w:val="26"/>
          <w:rtl/>
        </w:rPr>
        <w:t>.</w:t>
      </w:r>
    </w:p>
  </w:footnote>
  <w:footnote w:id="11">
    <w:p w:rsidR="00F815BA" w:rsidRPr="00C1733B" w:rsidRDefault="00F815BA" w:rsidP="00021691">
      <w:pPr>
        <w:pStyle w:val="FootnoteText"/>
        <w:numPr>
          <w:ilvl w:val="0"/>
          <w:numId w:val="26"/>
        </w:numPr>
        <w:tabs>
          <w:tab w:val="clear" w:pos="227"/>
          <w:tab w:val="left" w:pos="1254"/>
        </w:tabs>
        <w:bidi/>
        <w:spacing w:after="60" w:line="240" w:lineRule="exact"/>
        <w:ind w:left="1248" w:right="1247"/>
        <w:jc w:val="lowKashida"/>
        <w:rPr>
          <w:rFonts w:cs="Traditional Arabic"/>
          <w:sz w:val="18"/>
          <w:szCs w:val="26"/>
        </w:rPr>
      </w:pPr>
      <w:r w:rsidRPr="00C1733B">
        <w:rPr>
          <w:sz w:val="18"/>
          <w:szCs w:val="26"/>
        </w:rPr>
        <w:t>http://www.internationallawbureau.com/index.php/un-special-rapporteur-on-torture-criticises-uk-secret-courts-plan/</w:t>
      </w:r>
      <w:r w:rsidRPr="00C1733B">
        <w:rPr>
          <w:rFonts w:cs="Traditional Arabic"/>
          <w:sz w:val="18"/>
          <w:szCs w:val="26"/>
          <w:rtl/>
        </w:rPr>
        <w:t>.</w:t>
      </w:r>
    </w:p>
  </w:footnote>
  <w:footnote w:id="12">
    <w:p w:rsidR="00F815BA" w:rsidRPr="00A25D78" w:rsidRDefault="00F815BA" w:rsidP="00021691">
      <w:pPr>
        <w:pStyle w:val="FootnoteText"/>
        <w:numPr>
          <w:ilvl w:val="0"/>
          <w:numId w:val="26"/>
        </w:numPr>
        <w:tabs>
          <w:tab w:val="clear" w:pos="227"/>
          <w:tab w:val="left" w:pos="1254"/>
        </w:tabs>
        <w:bidi/>
        <w:spacing w:after="60" w:line="300" w:lineRule="exact"/>
        <w:ind w:left="1247" w:right="1247"/>
        <w:jc w:val="lowKashida"/>
        <w:rPr>
          <w:rFonts w:cs="Traditional Arabic"/>
          <w:sz w:val="18"/>
          <w:szCs w:val="26"/>
        </w:rPr>
      </w:pPr>
      <w:r w:rsidRPr="00C54611">
        <w:rPr>
          <w:rFonts w:cs="Traditional Arabic"/>
          <w:sz w:val="18"/>
          <w:szCs w:val="26"/>
          <w:rtl/>
        </w:rPr>
        <w:t xml:space="preserve">المملكة المتحدة، اللجنة المشتركة لحقوق الإنسان، </w:t>
      </w:r>
      <w:r w:rsidRPr="0011126B">
        <w:rPr>
          <w:rFonts w:cs="Traditional Arabic"/>
          <w:i/>
          <w:iCs/>
          <w:sz w:val="18"/>
          <w:szCs w:val="26"/>
          <w:rtl/>
        </w:rPr>
        <w:t>سد ثغرة الإفلات من العقاب: قانون المملكة المتحدة</w:t>
      </w:r>
      <w:r>
        <w:rPr>
          <w:rFonts w:cs="Traditional Arabic" w:hint="cs"/>
          <w:i/>
          <w:iCs/>
          <w:sz w:val="18"/>
          <w:szCs w:val="26"/>
          <w:rtl/>
        </w:rPr>
        <w:t> </w:t>
      </w:r>
      <w:r w:rsidRPr="0011126B">
        <w:rPr>
          <w:rFonts w:cs="Traditional Arabic"/>
          <w:i/>
          <w:iCs/>
          <w:sz w:val="18"/>
          <w:szCs w:val="26"/>
          <w:rtl/>
        </w:rPr>
        <w:t>بشأن الإبادة الجماعية (والجرائم ذات الصلة)</w:t>
      </w:r>
      <w:r w:rsidRPr="00C54611">
        <w:rPr>
          <w:rFonts w:cs="Traditional Arabic"/>
          <w:sz w:val="18"/>
          <w:szCs w:val="26"/>
          <w:rtl/>
        </w:rPr>
        <w:t xml:space="preserve"> وإنصاف ضحايا التعذيب، 11 آب/أغسطس 2009 (</w:t>
      </w:r>
      <w:r w:rsidRPr="00C54611">
        <w:rPr>
          <w:rFonts w:cs="Traditional Arabic"/>
          <w:sz w:val="18"/>
          <w:szCs w:val="26"/>
        </w:rPr>
        <w:t>HL 153/HC 553</w:t>
      </w:r>
      <w:r w:rsidRPr="00C54611">
        <w:rPr>
          <w:rFonts w:cs="Traditional Arabic"/>
          <w:sz w:val="18"/>
          <w:szCs w:val="26"/>
          <w:rtl/>
        </w:rPr>
        <w:t>)، متاح على الرابط التالي</w:t>
      </w:r>
      <w:r>
        <w:rPr>
          <w:rFonts w:cs="Traditional Arabic" w:hint="cs"/>
          <w:sz w:val="18"/>
          <w:szCs w:val="26"/>
          <w:rtl/>
        </w:rPr>
        <w:t xml:space="preserve">: </w:t>
      </w:r>
      <w:r w:rsidRPr="00A3251F">
        <w:t>http://www.refworld.org/docid/4a81460c2.html</w:t>
      </w:r>
      <w:r w:rsidRPr="00F66167">
        <w:rPr>
          <w:rFonts w:cs="Traditional Arabic" w:hint="cs"/>
          <w:sz w:val="26"/>
          <w:szCs w:val="26"/>
          <w:rtl/>
        </w:rPr>
        <w:t>.</w:t>
      </w:r>
    </w:p>
  </w:footnote>
  <w:footnote w:id="13">
    <w:p w:rsidR="00F815BA" w:rsidRPr="00A25D78" w:rsidRDefault="00F815BA" w:rsidP="00444AF1">
      <w:pPr>
        <w:pStyle w:val="FootnoteText"/>
        <w:numPr>
          <w:ilvl w:val="0"/>
          <w:numId w:val="26"/>
        </w:numPr>
        <w:tabs>
          <w:tab w:val="clear" w:pos="227"/>
          <w:tab w:val="left" w:pos="1254"/>
        </w:tabs>
        <w:bidi/>
        <w:spacing w:after="60" w:line="300" w:lineRule="exact"/>
        <w:ind w:left="1247" w:right="1247"/>
        <w:jc w:val="lowKashida"/>
        <w:rPr>
          <w:rFonts w:cs="Traditional Arabic"/>
          <w:sz w:val="18"/>
          <w:szCs w:val="26"/>
        </w:rPr>
      </w:pPr>
      <w:r>
        <w:rPr>
          <w:rFonts w:cs="Traditional Arabic" w:hint="cs"/>
          <w:sz w:val="18"/>
          <w:szCs w:val="26"/>
          <w:rtl/>
        </w:rPr>
        <w:t xml:space="preserve">انظر </w:t>
      </w:r>
      <w:r w:rsidRPr="0011126B">
        <w:rPr>
          <w:rFonts w:cs="Traditional Arabic"/>
          <w:sz w:val="18"/>
          <w:szCs w:val="26"/>
        </w:rPr>
        <w:t>CRC/C/15/Add.135</w:t>
      </w:r>
      <w:r>
        <w:rPr>
          <w:rFonts w:cs="Traditional Arabic" w:hint="cs"/>
          <w:sz w:val="18"/>
          <w:szCs w:val="26"/>
          <w:rtl/>
        </w:rPr>
        <w:t xml:space="preserve">؛ </w:t>
      </w:r>
      <w:r w:rsidRPr="0011126B">
        <w:rPr>
          <w:rFonts w:cs="Traditional Arabic"/>
          <w:sz w:val="18"/>
          <w:szCs w:val="26"/>
        </w:rPr>
        <w:t>CRC/C/15/Add.188</w:t>
      </w:r>
      <w:r>
        <w:rPr>
          <w:rFonts w:cs="Traditional Arabic" w:hint="cs"/>
          <w:sz w:val="18"/>
          <w:szCs w:val="26"/>
          <w:rtl/>
        </w:rPr>
        <w:t xml:space="preserve">؛ </w:t>
      </w:r>
      <w:r w:rsidRPr="0011126B">
        <w:rPr>
          <w:rFonts w:cs="Traditional Arabic"/>
          <w:sz w:val="18"/>
          <w:szCs w:val="26"/>
        </w:rPr>
        <w:t>CRC/C/GBR/CO/4</w:t>
      </w:r>
      <w:r>
        <w:rPr>
          <w:rFonts w:cs="Traditional Arabic" w:hint="cs"/>
          <w:sz w:val="18"/>
          <w:szCs w:val="26"/>
          <w:rtl/>
        </w:rPr>
        <w:t>.</w:t>
      </w:r>
    </w:p>
  </w:footnote>
  <w:footnote w:id="14">
    <w:p w:rsidR="00F815BA" w:rsidRPr="00970856" w:rsidRDefault="00F815BA" w:rsidP="005E30E0">
      <w:pPr>
        <w:pStyle w:val="FootnoteText"/>
        <w:numPr>
          <w:ilvl w:val="0"/>
          <w:numId w:val="26"/>
        </w:numPr>
        <w:tabs>
          <w:tab w:val="clear" w:pos="227"/>
          <w:tab w:val="left" w:pos="1253"/>
        </w:tabs>
        <w:bidi/>
        <w:spacing w:after="60" w:line="280" w:lineRule="exact"/>
        <w:ind w:left="1248" w:right="1247"/>
        <w:jc w:val="lowKashida"/>
        <w:rPr>
          <w:rFonts w:cs="Traditional Arabic" w:hint="cs"/>
          <w:sz w:val="18"/>
          <w:szCs w:val="26"/>
        </w:rPr>
      </w:pPr>
      <w:r w:rsidRPr="00970856">
        <w:rPr>
          <w:rFonts w:cs="Traditional Arabic" w:hint="cs"/>
          <w:i/>
          <w:iCs/>
          <w:sz w:val="18"/>
          <w:szCs w:val="26"/>
          <w:rtl/>
          <w:lang/>
        </w:rPr>
        <w:t xml:space="preserve">الوثائق الرسمية للجمعية العامة، </w:t>
      </w:r>
      <w:bookmarkStart w:id="0" w:name="OLE_LINK1"/>
      <w:bookmarkStart w:id="1" w:name="OLE_LINK2"/>
      <w:r w:rsidRPr="00970856">
        <w:rPr>
          <w:rFonts w:cs="Traditional Arabic" w:hint="cs"/>
          <w:i/>
          <w:iCs/>
          <w:sz w:val="18"/>
          <w:szCs w:val="26"/>
          <w:rtl/>
          <w:lang/>
        </w:rPr>
        <w:t>الدورة الحادية والستون، الملحق رقم 44</w:t>
      </w:r>
      <w:r w:rsidRPr="00970856">
        <w:rPr>
          <w:rFonts w:cs="Traditional Arabic" w:hint="cs"/>
          <w:sz w:val="18"/>
          <w:szCs w:val="26"/>
          <w:rtl/>
          <w:lang/>
        </w:rPr>
        <w:t xml:space="preserve"> (</w:t>
      </w:r>
      <w:r w:rsidRPr="00970856">
        <w:rPr>
          <w:rFonts w:cs="Traditional Arabic"/>
          <w:sz w:val="18"/>
          <w:szCs w:val="26"/>
        </w:rPr>
        <w:t>A/61/44</w:t>
      </w:r>
      <w:r w:rsidRPr="00970856">
        <w:rPr>
          <w:rFonts w:cs="Traditional Arabic" w:hint="cs"/>
          <w:sz w:val="18"/>
          <w:szCs w:val="26"/>
          <w:rtl/>
        </w:rPr>
        <w:t>).</w:t>
      </w:r>
      <w:bookmarkEnd w:id="0"/>
      <w:bookmarkEnd w:id="1"/>
    </w:p>
  </w:footnote>
  <w:footnote w:id="15">
    <w:p w:rsidR="00F815BA" w:rsidRPr="00970856" w:rsidRDefault="00F815BA" w:rsidP="005E30E0">
      <w:pPr>
        <w:pStyle w:val="FootnoteText"/>
        <w:numPr>
          <w:ilvl w:val="0"/>
          <w:numId w:val="26"/>
        </w:numPr>
        <w:tabs>
          <w:tab w:val="clear" w:pos="227"/>
          <w:tab w:val="left" w:pos="1253"/>
        </w:tabs>
        <w:bidi/>
        <w:spacing w:after="60" w:line="280" w:lineRule="exact"/>
        <w:ind w:left="1248" w:right="1247"/>
        <w:jc w:val="lowKashida"/>
        <w:rPr>
          <w:rFonts w:cs="Traditional Arabic" w:hint="cs"/>
          <w:sz w:val="18"/>
          <w:szCs w:val="26"/>
          <w:rtl/>
        </w:rPr>
      </w:pPr>
      <w:r w:rsidRPr="00970856">
        <w:rPr>
          <w:rFonts w:cs="Traditional Arabic"/>
          <w:sz w:val="18"/>
          <w:szCs w:val="26"/>
          <w:rtl/>
        </w:rPr>
        <w:t xml:space="preserve">المرجع نفسه، </w:t>
      </w:r>
      <w:r w:rsidRPr="00970856">
        <w:rPr>
          <w:rFonts w:cs="Traditional Arabic"/>
          <w:i/>
          <w:iCs/>
          <w:sz w:val="18"/>
          <w:szCs w:val="26"/>
          <w:rtl/>
        </w:rPr>
        <w:t>الدورة السابعة والستون، الملحق رقم 44</w:t>
      </w:r>
      <w:r w:rsidRPr="00970856">
        <w:rPr>
          <w:rFonts w:cs="Traditional Arabic"/>
          <w:sz w:val="18"/>
          <w:szCs w:val="26"/>
          <w:rtl/>
        </w:rPr>
        <w:t xml:space="preserve"> (</w:t>
      </w:r>
      <w:r w:rsidRPr="00970856">
        <w:rPr>
          <w:rFonts w:cs="Traditional Arabic"/>
          <w:sz w:val="18"/>
          <w:szCs w:val="26"/>
        </w:rPr>
        <w:t>A/67/44</w:t>
      </w:r>
      <w:r w:rsidRPr="00970856">
        <w:rPr>
          <w:rFonts w:cs="Traditional Arabic"/>
          <w:sz w:val="18"/>
          <w:szCs w:val="26"/>
          <w:rtl/>
        </w:rPr>
        <w:t>)، الفقرة 80.</w:t>
      </w:r>
    </w:p>
  </w:footnote>
  <w:footnote w:id="16">
    <w:p w:rsidR="00F815BA" w:rsidRPr="00970856" w:rsidRDefault="00F815BA" w:rsidP="00B0289D">
      <w:pPr>
        <w:pStyle w:val="FootnoteText"/>
        <w:numPr>
          <w:ilvl w:val="0"/>
          <w:numId w:val="26"/>
        </w:numPr>
        <w:tabs>
          <w:tab w:val="clear" w:pos="227"/>
          <w:tab w:val="left" w:pos="1253"/>
        </w:tabs>
        <w:bidi/>
        <w:spacing w:after="60" w:line="300" w:lineRule="exact"/>
        <w:ind w:left="1247" w:right="1247"/>
        <w:jc w:val="lowKashida"/>
        <w:rPr>
          <w:rFonts w:cs="Traditional Arabic" w:hint="cs"/>
          <w:sz w:val="18"/>
          <w:szCs w:val="26"/>
        </w:rPr>
      </w:pPr>
      <w:r>
        <w:rPr>
          <w:rFonts w:cs="Traditional Arabic" w:hint="cs"/>
          <w:sz w:val="18"/>
          <w:szCs w:val="26"/>
          <w:rtl/>
        </w:rPr>
        <w:t>بلغاريا، التي لم تُقدم معلومات متابعة حل موعدها في الدورة الثانية والثلاثين، قدمت معلومات متابعة في كانون الأول/ديسمبر 2012 فيما يتعلق بتقريرها الدوري الذي استُعرض في الدورة السابعة والأربعين</w:t>
      </w:r>
      <w:r w:rsidRPr="00970856">
        <w:rPr>
          <w:rFonts w:cs="Traditional Arabic" w:hint="cs"/>
          <w:sz w:val="18"/>
          <w:szCs w:val="26"/>
          <w:rtl/>
        </w:rPr>
        <w:t>.</w:t>
      </w:r>
    </w:p>
  </w:footnote>
  <w:footnote w:id="17">
    <w:p w:rsidR="00F815BA" w:rsidRPr="00CF2669" w:rsidRDefault="00F815BA" w:rsidP="005E30E0">
      <w:pPr>
        <w:pStyle w:val="FootnoteText"/>
        <w:numPr>
          <w:ilvl w:val="0"/>
          <w:numId w:val="26"/>
        </w:numPr>
        <w:tabs>
          <w:tab w:val="clear" w:pos="227"/>
          <w:tab w:val="left" w:pos="1253"/>
        </w:tabs>
        <w:bidi/>
        <w:spacing w:after="60" w:line="300" w:lineRule="exact"/>
        <w:ind w:left="1247" w:right="1247"/>
        <w:jc w:val="lowKashida"/>
        <w:rPr>
          <w:rFonts w:cs="Traditional Arabic" w:hint="cs"/>
          <w:sz w:val="18"/>
          <w:szCs w:val="26"/>
        </w:rPr>
      </w:pPr>
      <w:r w:rsidRPr="00CF2669">
        <w:rPr>
          <w:rFonts w:cs="Traditional Arabic" w:hint="cs"/>
          <w:spacing w:val="6"/>
          <w:kern w:val="16"/>
          <w:sz w:val="18"/>
          <w:szCs w:val="26"/>
          <w:rtl/>
        </w:rPr>
        <w:t>قدمت الجمهورية التشيكية معلومات متابعتها في 20 حزيران/يونيه 2013.</w:t>
      </w:r>
      <w:r w:rsidRPr="00CF2669">
        <w:rPr>
          <w:rFonts w:cs="Traditional Arabic" w:hint="cs"/>
          <w:sz w:val="18"/>
          <w:szCs w:val="26"/>
          <w:rtl/>
        </w:rPr>
        <w:t xml:space="preserve"> انظر </w:t>
      </w:r>
      <w:r w:rsidRPr="00CF2669">
        <w:rPr>
          <w:rFonts w:cs="Traditional Arabic"/>
          <w:sz w:val="18"/>
          <w:szCs w:val="26"/>
        </w:rPr>
        <w:t>http://www2.ohchr.org/english/bodies/cat/docs/followup/CAT-C-CZE-CO-4-5-Add1.pdf</w:t>
      </w:r>
      <w:r w:rsidRPr="00CF2669">
        <w:rPr>
          <w:rFonts w:cs="Traditional Arabic" w:hint="cs"/>
          <w:sz w:val="18"/>
          <w:szCs w:val="26"/>
          <w:rtl/>
        </w:rPr>
        <w:t>.</w:t>
      </w:r>
    </w:p>
  </w:footnote>
  <w:footnote w:id="18">
    <w:p w:rsidR="00F815BA" w:rsidRPr="00CF2669" w:rsidRDefault="00F815BA" w:rsidP="005E30E0">
      <w:pPr>
        <w:pStyle w:val="FootnoteText"/>
        <w:numPr>
          <w:ilvl w:val="0"/>
          <w:numId w:val="26"/>
        </w:numPr>
        <w:tabs>
          <w:tab w:val="clear" w:pos="227"/>
          <w:tab w:val="left" w:pos="1253"/>
        </w:tabs>
        <w:bidi/>
        <w:spacing w:after="60" w:line="300" w:lineRule="exact"/>
        <w:ind w:left="1247" w:right="1247"/>
        <w:jc w:val="lowKashida"/>
        <w:rPr>
          <w:rFonts w:cs="Traditional Arabic" w:hint="cs"/>
          <w:sz w:val="18"/>
          <w:szCs w:val="26"/>
        </w:rPr>
      </w:pPr>
      <w:r w:rsidRPr="00CF2669">
        <w:rPr>
          <w:rFonts w:cs="Traditional Arabic" w:hint="cs"/>
          <w:spacing w:val="6"/>
          <w:kern w:val="16"/>
          <w:sz w:val="18"/>
          <w:szCs w:val="26"/>
          <w:rtl/>
        </w:rPr>
        <w:t>قدمت اليونان معلومات متابعتها في 5 حزيران/يونيه 2013.</w:t>
      </w:r>
      <w:r w:rsidRPr="00CF2669">
        <w:rPr>
          <w:rFonts w:cs="Traditional Arabic" w:hint="cs"/>
          <w:sz w:val="18"/>
          <w:szCs w:val="26"/>
          <w:rtl/>
        </w:rPr>
        <w:t xml:space="preserve"> انظر </w:t>
      </w:r>
      <w:r>
        <w:rPr>
          <w:rFonts w:cs="Traditional Arabic" w:hint="cs"/>
          <w:sz w:val="18"/>
          <w:szCs w:val="26"/>
          <w:rtl/>
        </w:rPr>
        <w:tab/>
      </w:r>
      <w:r>
        <w:rPr>
          <w:rFonts w:cs="Traditional Arabic"/>
          <w:sz w:val="18"/>
          <w:szCs w:val="26"/>
          <w:rtl/>
        </w:rPr>
        <w:br/>
      </w:r>
      <w:r w:rsidRPr="00CF2669">
        <w:rPr>
          <w:rFonts w:cs="Traditional Arabic"/>
          <w:sz w:val="18"/>
          <w:szCs w:val="26"/>
        </w:rPr>
        <w:t>http://www2.ohchr.org/english/bodies/cat/docs/followup/CAT-C-GRC-CO-5-6-Add1.pdf</w:t>
      </w:r>
      <w:r w:rsidRPr="00CF2669">
        <w:rPr>
          <w:rFonts w:cs="Traditional Arabic" w:hint="cs"/>
          <w:sz w:val="18"/>
          <w:szCs w:val="26"/>
          <w:rtl/>
        </w:rPr>
        <w:t>.</w:t>
      </w:r>
    </w:p>
  </w:footnote>
  <w:footnote w:id="19">
    <w:p w:rsidR="00F815BA" w:rsidRPr="005E30E0" w:rsidRDefault="00F815BA" w:rsidP="005E30E0">
      <w:pPr>
        <w:pStyle w:val="FootnoteText"/>
        <w:numPr>
          <w:ilvl w:val="0"/>
          <w:numId w:val="26"/>
        </w:numPr>
        <w:tabs>
          <w:tab w:val="clear" w:pos="227"/>
          <w:tab w:val="left" w:pos="1253"/>
        </w:tabs>
        <w:bidi/>
        <w:spacing w:after="60" w:line="300" w:lineRule="exact"/>
        <w:ind w:left="1247" w:right="1247"/>
        <w:jc w:val="lowKashida"/>
        <w:rPr>
          <w:rFonts w:cs="Traditional Arabic" w:hint="cs"/>
          <w:sz w:val="18"/>
          <w:szCs w:val="26"/>
        </w:rPr>
      </w:pPr>
      <w:r w:rsidRPr="005E30E0">
        <w:rPr>
          <w:rFonts w:cs="Traditional Arabic" w:hint="cs"/>
          <w:sz w:val="18"/>
          <w:szCs w:val="26"/>
          <w:rtl/>
        </w:rPr>
        <w:t xml:space="preserve">أنشأت اللجنة، في عام 2010، صفحة مستقلة خاصة بالمتابعة على الشبكة على العنوان التالي: </w:t>
      </w:r>
      <w:r>
        <w:rPr>
          <w:rFonts w:cs="Traditional Arabic"/>
          <w:sz w:val="18"/>
          <w:szCs w:val="26"/>
        </w:rPr>
        <w:t>http://tbinternet.ohchr.org/</w:t>
      </w:r>
      <w:r w:rsidRPr="005E30E0">
        <w:rPr>
          <w:rFonts w:cs="Traditional Arabic"/>
          <w:sz w:val="18"/>
          <w:szCs w:val="26"/>
        </w:rPr>
        <w:t>_layouts/TreatyBodyExternal</w:t>
      </w:r>
      <w:r w:rsidRPr="005E30E0">
        <w:rPr>
          <w:rFonts w:cs="Traditional Arabic"/>
          <w:sz w:val="18"/>
          <w:szCs w:val="26"/>
        </w:rPr>
        <w:t>/</w:t>
      </w:r>
      <w:r w:rsidRPr="005E30E0">
        <w:rPr>
          <w:rFonts w:cs="Traditional Arabic"/>
          <w:sz w:val="18"/>
          <w:szCs w:val="26"/>
        </w:rPr>
        <w:t>FollowUp.aspx?L</w:t>
      </w:r>
      <w:r w:rsidRPr="005E30E0">
        <w:rPr>
          <w:rFonts w:cs="Traditional Arabic"/>
          <w:sz w:val="18"/>
          <w:szCs w:val="26"/>
        </w:rPr>
        <w:t>a</w:t>
      </w:r>
      <w:r w:rsidRPr="005E30E0">
        <w:rPr>
          <w:rFonts w:cs="Traditional Arabic"/>
          <w:sz w:val="18"/>
          <w:szCs w:val="26"/>
        </w:rPr>
        <w:t>ng=En&amp;Tre</w:t>
      </w:r>
      <w:r w:rsidRPr="005E30E0">
        <w:rPr>
          <w:rFonts w:cs="Traditional Arabic"/>
          <w:sz w:val="18"/>
          <w:szCs w:val="26"/>
        </w:rPr>
        <w:t>a</w:t>
      </w:r>
      <w:r w:rsidRPr="005E30E0">
        <w:rPr>
          <w:rFonts w:cs="Traditional Arabic"/>
          <w:sz w:val="18"/>
          <w:szCs w:val="26"/>
        </w:rPr>
        <w:t>tyI</w:t>
      </w:r>
      <w:r w:rsidRPr="005E30E0">
        <w:rPr>
          <w:rFonts w:cs="Traditional Arabic"/>
          <w:sz w:val="18"/>
          <w:szCs w:val="26"/>
        </w:rPr>
        <w:t>D</w:t>
      </w:r>
      <w:r w:rsidRPr="005E30E0">
        <w:rPr>
          <w:rFonts w:cs="Traditional Arabic"/>
          <w:sz w:val="18"/>
          <w:szCs w:val="26"/>
        </w:rPr>
        <w:t>=1</w:t>
      </w:r>
      <w:r w:rsidRPr="005E30E0">
        <w:rPr>
          <w:rFonts w:cs="Traditional Arabic" w:hint="cs"/>
          <w:sz w:val="18"/>
          <w:szCs w:val="26"/>
          <w:rtl/>
        </w:rPr>
        <w:t>.</w:t>
      </w:r>
    </w:p>
  </w:footnote>
  <w:footnote w:id="20">
    <w:p w:rsidR="00F815BA" w:rsidRPr="00CF2669" w:rsidRDefault="00F815BA" w:rsidP="005E30E0">
      <w:pPr>
        <w:pStyle w:val="FootnoteText"/>
        <w:numPr>
          <w:ilvl w:val="0"/>
          <w:numId w:val="26"/>
        </w:numPr>
        <w:tabs>
          <w:tab w:val="clear" w:pos="227"/>
          <w:tab w:val="left" w:pos="1253"/>
        </w:tabs>
        <w:bidi/>
        <w:spacing w:after="60" w:line="300" w:lineRule="exact"/>
        <w:ind w:left="1247" w:right="1247"/>
        <w:jc w:val="lowKashida"/>
        <w:rPr>
          <w:rFonts w:cs="Traditional Arabic" w:hint="cs"/>
          <w:sz w:val="18"/>
          <w:szCs w:val="26"/>
        </w:rPr>
      </w:pPr>
      <w:r w:rsidRPr="00CF2669">
        <w:rPr>
          <w:rFonts w:cs="Traditional Arabic" w:hint="cs"/>
          <w:spacing w:val="6"/>
          <w:kern w:val="16"/>
          <w:sz w:val="18"/>
          <w:szCs w:val="26"/>
          <w:rtl/>
        </w:rPr>
        <w:t>توجد ردود المتابعة على الصفحة الشبكية المخصصة للمتابعة (المرجع نفسه).</w:t>
      </w:r>
    </w:p>
  </w:footnote>
  <w:footnote w:id="21">
    <w:p w:rsidR="00F815BA" w:rsidRPr="00CF2669" w:rsidRDefault="00F815BA" w:rsidP="005E30E0">
      <w:pPr>
        <w:pStyle w:val="FootnoteText"/>
        <w:numPr>
          <w:ilvl w:val="0"/>
          <w:numId w:val="26"/>
        </w:numPr>
        <w:tabs>
          <w:tab w:val="clear" w:pos="227"/>
          <w:tab w:val="left" w:pos="1253"/>
        </w:tabs>
        <w:bidi/>
        <w:spacing w:after="60" w:line="300" w:lineRule="exact"/>
        <w:ind w:left="1247" w:right="1247"/>
        <w:jc w:val="lowKashida"/>
        <w:rPr>
          <w:rFonts w:cs="Traditional Arabic" w:hint="cs"/>
          <w:spacing w:val="-4"/>
          <w:sz w:val="18"/>
          <w:szCs w:val="26"/>
        </w:rPr>
      </w:pPr>
      <w:r w:rsidRPr="00CF2669">
        <w:rPr>
          <w:rFonts w:cs="Traditional Arabic" w:hint="cs"/>
          <w:spacing w:val="-4"/>
          <w:sz w:val="18"/>
          <w:szCs w:val="26"/>
          <w:rtl/>
        </w:rPr>
        <w:t xml:space="preserve">انظر </w:t>
      </w:r>
      <w:hyperlink r:id="rId1" w:tgtFrame="_blank" w:history="1">
        <w:r w:rsidRPr="00CF2669">
          <w:rPr>
            <w:rFonts w:cs="Traditional Arabic"/>
            <w:color w:val="000000"/>
            <w:spacing w:val="-4"/>
            <w:sz w:val="18"/>
            <w:szCs w:val="26"/>
            <w:lang w:eastAsia="en-GB"/>
          </w:rPr>
          <w:t>http://tbinternet.ohchr.org/_layouts/TreatyBodyExternal/FollowUp.aspx?Lang=En&amp;TreatyID=1</w:t>
        </w:r>
      </w:hyperlink>
      <w:r w:rsidRPr="00CF2669">
        <w:rPr>
          <w:rFonts w:cs="Traditional Arabic" w:hint="cs"/>
          <w:spacing w:val="-4"/>
          <w:sz w:val="18"/>
          <w:szCs w:val="26"/>
          <w:rtl/>
        </w:rPr>
        <w:t>.</w:t>
      </w:r>
    </w:p>
  </w:footnote>
  <w:footnote w:id="22">
    <w:p w:rsidR="00F815BA" w:rsidRPr="00970856" w:rsidRDefault="00F815BA" w:rsidP="00970856">
      <w:pPr>
        <w:pStyle w:val="FootnoteText"/>
        <w:numPr>
          <w:ilvl w:val="0"/>
          <w:numId w:val="26"/>
        </w:numPr>
        <w:tabs>
          <w:tab w:val="clear" w:pos="227"/>
          <w:tab w:val="left" w:pos="1253"/>
        </w:tabs>
        <w:bidi/>
        <w:spacing w:after="60" w:line="300" w:lineRule="exact"/>
        <w:ind w:left="1247" w:right="1247"/>
        <w:jc w:val="lowKashida"/>
        <w:rPr>
          <w:rFonts w:cs="Traditional Arabic" w:hint="cs"/>
          <w:sz w:val="18"/>
          <w:szCs w:val="26"/>
        </w:rPr>
      </w:pPr>
      <w:r w:rsidRPr="00970856">
        <w:rPr>
          <w:rFonts w:cs="Traditional Arabic" w:hint="cs"/>
          <w:sz w:val="18"/>
          <w:szCs w:val="26"/>
          <w:rtl/>
        </w:rPr>
        <w:t>نُسبت الشكاوى التي بحثتها اللجنة فيما يخص جمهورية يوغوسلافيا الاتحادية، وكذلك صربيا والجبل الأسود، إلى صربيا لدواعي إحصائية.</w:t>
      </w:r>
    </w:p>
  </w:footnote>
  <w:footnote w:id="23">
    <w:p w:rsidR="00F815BA" w:rsidRPr="00D969E7" w:rsidRDefault="00F815BA" w:rsidP="00D969E7">
      <w:pPr>
        <w:pStyle w:val="FootnoteText"/>
        <w:numPr>
          <w:ilvl w:val="0"/>
          <w:numId w:val="26"/>
        </w:numPr>
        <w:tabs>
          <w:tab w:val="clear" w:pos="227"/>
          <w:tab w:val="left" w:pos="1253"/>
        </w:tabs>
        <w:bidi/>
        <w:spacing w:after="60" w:line="300" w:lineRule="exact"/>
        <w:ind w:left="1247" w:right="1247"/>
        <w:jc w:val="lowKashida"/>
        <w:rPr>
          <w:rFonts w:cs="Traditional Arabic"/>
          <w:sz w:val="18"/>
          <w:szCs w:val="26"/>
        </w:rPr>
      </w:pPr>
      <w:r w:rsidRPr="00D969E7">
        <w:rPr>
          <w:rFonts w:cs="Traditional Arabic" w:hint="cs"/>
          <w:sz w:val="18"/>
          <w:szCs w:val="26"/>
          <w:rtl/>
        </w:rPr>
        <w:t>في 17 أيار/مايو 2013، التقى المقرر الخاص المعني بمتابعة القرارات المتعلقة بالشكاوى مع أعضاء البعثة الدائمة لأستراليا لدى الأمم المتحدة في جنيف ونوقشت القضية. وكرر ممثلو الدولة الطرف تعهدهم بالامتثال لقرار اللجنة وبالتالي إيجاد حل مؤقت لتنفيذ القرار كاملا</w:t>
      </w:r>
      <w:r>
        <w:rPr>
          <w:rFonts w:cs="Traditional Arabic" w:hint="cs"/>
          <w:sz w:val="18"/>
          <w:szCs w:val="26"/>
          <w:rtl/>
        </w:rPr>
        <w:t>ً</w:t>
      </w:r>
      <w:r w:rsidRPr="00D969E7">
        <w:rPr>
          <w:rFonts w:cs="Traditional Arabic" w:hint="cs"/>
          <w:sz w:val="18"/>
          <w:szCs w:val="26"/>
          <w:rtl/>
        </w:rPr>
        <w:t xml:space="preserve"> عن طريق تدخل وزاري.</w:t>
      </w:r>
    </w:p>
  </w:footnote>
  <w:footnote w:id="24">
    <w:p w:rsidR="00F815BA" w:rsidRPr="00C9077E" w:rsidRDefault="00F815BA" w:rsidP="006F4680">
      <w:pPr>
        <w:pStyle w:val="FootnoteText"/>
        <w:numPr>
          <w:ilvl w:val="0"/>
          <w:numId w:val="26"/>
        </w:numPr>
        <w:tabs>
          <w:tab w:val="clear" w:pos="227"/>
          <w:tab w:val="left" w:pos="1253"/>
        </w:tabs>
        <w:bidi/>
        <w:spacing w:after="60" w:line="300" w:lineRule="exact"/>
        <w:ind w:left="1247" w:right="1247"/>
        <w:jc w:val="lowKashida"/>
        <w:rPr>
          <w:rFonts w:cs="Traditional Arabic" w:hint="cs"/>
          <w:sz w:val="18"/>
          <w:szCs w:val="26"/>
        </w:rPr>
      </w:pPr>
      <w:r w:rsidRPr="00C9077E">
        <w:rPr>
          <w:rFonts w:cs="Traditional Arabic" w:hint="cs"/>
          <w:sz w:val="18"/>
          <w:szCs w:val="26"/>
          <w:rtl/>
        </w:rPr>
        <w:t xml:space="preserve">انظر </w:t>
      </w:r>
      <w:r w:rsidRPr="00C9077E">
        <w:rPr>
          <w:rFonts w:cs="Traditional Arabic" w:hint="cs"/>
          <w:i/>
          <w:iCs/>
          <w:sz w:val="18"/>
          <w:szCs w:val="26"/>
          <w:rtl/>
          <w:lang/>
        </w:rPr>
        <w:t>الوثائق الرسمية للجمعية العامة، الدورة الخامسة والستون، الملحق رقم 44</w:t>
      </w:r>
      <w:r w:rsidRPr="00C9077E">
        <w:rPr>
          <w:rFonts w:cs="Traditional Arabic" w:hint="cs"/>
          <w:sz w:val="18"/>
          <w:szCs w:val="26"/>
          <w:rtl/>
          <w:lang/>
        </w:rPr>
        <w:t xml:space="preserve"> (</w:t>
      </w:r>
      <w:r w:rsidRPr="00C9077E">
        <w:rPr>
          <w:rFonts w:cs="Traditional Arabic"/>
          <w:sz w:val="18"/>
          <w:szCs w:val="26"/>
        </w:rPr>
        <w:t>A/65/44</w:t>
      </w:r>
      <w:r w:rsidRPr="00C9077E">
        <w:rPr>
          <w:rFonts w:cs="Traditional Arabic" w:hint="cs"/>
          <w:sz w:val="18"/>
          <w:szCs w:val="26"/>
          <w:rtl/>
          <w:lang/>
        </w:rPr>
        <w:t>)، المرفق التاسع.</w:t>
      </w:r>
    </w:p>
  </w:footnote>
  <w:footnote w:id="25">
    <w:p w:rsidR="00F815BA" w:rsidRPr="00E60B6F" w:rsidRDefault="00F815BA" w:rsidP="00631BFA">
      <w:pPr>
        <w:pStyle w:val="footnoteText0"/>
      </w:pPr>
      <w:r w:rsidRPr="00E60B6F">
        <w:rPr>
          <w:rtl/>
        </w:rPr>
        <w:tab/>
      </w:r>
      <w:r w:rsidRPr="00631BFA">
        <w:rPr>
          <w:rStyle w:val="FootnoteReference"/>
          <w:sz w:val="24"/>
          <w:szCs w:val="30"/>
          <w:vertAlign w:val="baseline"/>
          <w:rtl/>
        </w:rPr>
        <w:t>*</w:t>
      </w:r>
      <w:r w:rsidRPr="00E60B6F">
        <w:rPr>
          <w:rtl/>
        </w:rPr>
        <w:tab/>
        <w:t xml:space="preserve">صدر التقرير السنوي </w:t>
      </w:r>
      <w:r>
        <w:rPr>
          <w:rFonts w:hint="cs"/>
          <w:rtl/>
        </w:rPr>
        <w:t>السادس</w:t>
      </w:r>
      <w:r w:rsidRPr="00E60B6F">
        <w:rPr>
          <w:rtl/>
        </w:rPr>
        <w:t xml:space="preserve"> للجنة الفرعية بصورة مستقلة تحت الرمز </w:t>
      </w:r>
      <w:r w:rsidRPr="00E60B6F">
        <w:t>CAT/C/</w:t>
      </w:r>
      <w:r>
        <w:t>50</w:t>
      </w:r>
      <w:r w:rsidRPr="00E60B6F">
        <w:t>/2</w:t>
      </w:r>
      <w:r w:rsidRPr="00E60B6F">
        <w:rPr>
          <w:rtl/>
        </w:rPr>
        <w:t>.</w:t>
      </w:r>
    </w:p>
  </w:footnote>
  <w:footnote w:id="26">
    <w:p w:rsidR="00F815BA" w:rsidRPr="00631BFA" w:rsidRDefault="00F815BA" w:rsidP="00510C3D">
      <w:pPr>
        <w:pStyle w:val="FootnoteText"/>
        <w:numPr>
          <w:ilvl w:val="0"/>
          <w:numId w:val="37"/>
        </w:numPr>
        <w:tabs>
          <w:tab w:val="clear" w:pos="1301"/>
          <w:tab w:val="left" w:pos="1253"/>
        </w:tabs>
        <w:bidi/>
        <w:spacing w:after="60" w:line="300" w:lineRule="exact"/>
        <w:ind w:left="1248" w:right="1247"/>
        <w:jc w:val="lowKashida"/>
        <w:rPr>
          <w:rFonts w:cs="Traditional Arabic" w:hint="cs"/>
          <w:sz w:val="18"/>
          <w:szCs w:val="26"/>
        </w:rPr>
      </w:pPr>
      <w:r w:rsidRPr="00631BFA">
        <w:rPr>
          <w:rFonts w:cs="Traditional Arabic" w:hint="cs"/>
          <w:sz w:val="18"/>
          <w:szCs w:val="26"/>
          <w:rtl/>
        </w:rPr>
        <w:t>ترد قائمة بأسماء الدول الأطراف في البروتوكول الاختياري عل الموقع الشبكي للجنة الفرعية.</w:t>
      </w:r>
    </w:p>
  </w:footnote>
  <w:footnote w:id="27">
    <w:p w:rsidR="00F815BA" w:rsidRPr="00510C3D" w:rsidRDefault="00F815BA" w:rsidP="00510C3D">
      <w:pPr>
        <w:pStyle w:val="FootnoteText"/>
        <w:numPr>
          <w:ilvl w:val="0"/>
          <w:numId w:val="37"/>
        </w:numPr>
        <w:tabs>
          <w:tab w:val="clear" w:pos="1301"/>
          <w:tab w:val="left" w:pos="1253"/>
        </w:tabs>
        <w:bidi/>
        <w:spacing w:after="60" w:line="300" w:lineRule="exact"/>
        <w:ind w:left="1248" w:right="1247"/>
        <w:rPr>
          <w:rFonts w:cs="Traditional Arabic" w:hint="cs"/>
          <w:sz w:val="18"/>
          <w:szCs w:val="26"/>
        </w:rPr>
      </w:pPr>
      <w:r w:rsidRPr="00510C3D">
        <w:rPr>
          <w:rFonts w:cs="Traditional Arabic" w:hint="cs"/>
          <w:sz w:val="18"/>
          <w:szCs w:val="26"/>
          <w:rtl/>
        </w:rPr>
        <w:t xml:space="preserve">ترد قائمة بأسماء الأعضاء ومدة ولايتهم على الموقع الشبكي للجنة الفرعية </w:t>
      </w:r>
      <w:r w:rsidRPr="00510C3D">
        <w:rPr>
          <w:rFonts w:cs="Traditional Arabic"/>
          <w:sz w:val="18"/>
          <w:szCs w:val="26"/>
        </w:rPr>
        <w:t>(www2.ohchr.org/english/bodies/cat/opcat/index.htm)</w:t>
      </w:r>
      <w:r w:rsidRPr="00510C3D">
        <w:rPr>
          <w:rFonts w:cs="Traditional Arabic" w:hint="cs"/>
          <w:sz w:val="18"/>
          <w:szCs w:val="26"/>
          <w:rtl/>
        </w:rPr>
        <w:t>.</w:t>
      </w:r>
    </w:p>
  </w:footnote>
  <w:footnote w:id="28">
    <w:p w:rsidR="00F815BA" w:rsidRPr="007F0C4C" w:rsidRDefault="00F815BA" w:rsidP="00510C3D">
      <w:pPr>
        <w:pStyle w:val="FootnoteText"/>
        <w:numPr>
          <w:ilvl w:val="0"/>
          <w:numId w:val="37"/>
        </w:numPr>
        <w:tabs>
          <w:tab w:val="clear" w:pos="1301"/>
          <w:tab w:val="left" w:pos="1253"/>
        </w:tabs>
        <w:bidi/>
        <w:spacing w:after="60" w:line="280" w:lineRule="exact"/>
        <w:ind w:left="1248" w:right="1247"/>
        <w:jc w:val="lowKashida"/>
        <w:rPr>
          <w:rFonts w:cs="Traditional Arabic" w:hint="cs"/>
          <w:sz w:val="18"/>
          <w:szCs w:val="26"/>
          <w:lang w:val="fr-CH"/>
        </w:rPr>
      </w:pPr>
      <w:r w:rsidRPr="007F0C4C">
        <w:rPr>
          <w:rFonts w:cs="Traditional Arabic" w:hint="cs"/>
          <w:sz w:val="18"/>
          <w:szCs w:val="26"/>
          <w:rtl/>
          <w:lang w:val="fr-CH"/>
        </w:rPr>
        <w:t>للاطلاع على قائمة بأسماء الأعضاء، انظر الموقع الشبكي للجنة الفرعية.</w:t>
      </w:r>
    </w:p>
  </w:footnote>
  <w:footnote w:id="29">
    <w:p w:rsidR="00F815BA" w:rsidRPr="007F0C4C" w:rsidRDefault="00F815BA" w:rsidP="00510C3D">
      <w:pPr>
        <w:pStyle w:val="FootnoteText"/>
        <w:numPr>
          <w:ilvl w:val="0"/>
          <w:numId w:val="37"/>
        </w:numPr>
        <w:tabs>
          <w:tab w:val="clear" w:pos="1301"/>
          <w:tab w:val="left" w:pos="1253"/>
        </w:tabs>
        <w:bidi/>
        <w:spacing w:after="60" w:line="280" w:lineRule="exact"/>
        <w:ind w:left="1248" w:right="1247"/>
        <w:jc w:val="lowKashida"/>
        <w:rPr>
          <w:rFonts w:cs="Traditional Arabic" w:hint="cs"/>
          <w:sz w:val="18"/>
          <w:szCs w:val="26"/>
          <w:lang w:val="fr-CH"/>
        </w:rPr>
      </w:pPr>
      <w:r w:rsidRPr="007F0C4C">
        <w:rPr>
          <w:rFonts w:cs="Traditional Arabic" w:hint="cs"/>
          <w:sz w:val="18"/>
          <w:szCs w:val="26"/>
          <w:rtl/>
          <w:lang w:val="fr-CH"/>
        </w:rPr>
        <w:t>بموجب الفقرة 4 من المادة 13 من البروتوكول الاختياري.</w:t>
      </w:r>
    </w:p>
  </w:footnote>
  <w:footnote w:id="30">
    <w:p w:rsidR="00F815BA" w:rsidRPr="007F0C4C" w:rsidRDefault="00F815BA" w:rsidP="00510C3D">
      <w:pPr>
        <w:pStyle w:val="FootnoteText"/>
        <w:numPr>
          <w:ilvl w:val="0"/>
          <w:numId w:val="37"/>
        </w:numPr>
        <w:tabs>
          <w:tab w:val="clear" w:pos="1301"/>
          <w:tab w:val="left" w:pos="1253"/>
        </w:tabs>
        <w:bidi/>
        <w:spacing w:after="60" w:line="300" w:lineRule="exact"/>
        <w:ind w:left="1248" w:right="1247"/>
        <w:jc w:val="lowKashida"/>
        <w:rPr>
          <w:rFonts w:cs="Traditional Arabic" w:hint="cs"/>
          <w:sz w:val="18"/>
          <w:szCs w:val="26"/>
          <w:lang w:val="fr-CH"/>
        </w:rPr>
      </w:pPr>
      <w:r w:rsidRPr="007F0C4C">
        <w:rPr>
          <w:rFonts w:cs="Traditional Arabic" w:hint="cs"/>
          <w:sz w:val="18"/>
          <w:szCs w:val="26"/>
          <w:rtl/>
          <w:lang w:val="fr-CH"/>
        </w:rPr>
        <w:t>بموجب المادة 11(ب) من البروتوكول الاختياري.</w:t>
      </w:r>
    </w:p>
  </w:footnote>
  <w:footnote w:id="31">
    <w:p w:rsidR="00F815BA" w:rsidRPr="00D86241" w:rsidRDefault="00F815BA" w:rsidP="00D86241">
      <w:pPr>
        <w:pStyle w:val="FootnoteText"/>
        <w:numPr>
          <w:ilvl w:val="0"/>
          <w:numId w:val="37"/>
        </w:numPr>
        <w:tabs>
          <w:tab w:val="clear" w:pos="1301"/>
          <w:tab w:val="left" w:pos="1253"/>
        </w:tabs>
        <w:bidi/>
        <w:spacing w:after="60" w:line="300" w:lineRule="exact"/>
        <w:ind w:left="1248" w:right="1247"/>
        <w:jc w:val="lowKashida"/>
        <w:rPr>
          <w:rFonts w:cs="Traditional Arabic" w:hint="cs"/>
          <w:spacing w:val="-2"/>
          <w:sz w:val="18"/>
          <w:szCs w:val="26"/>
        </w:rPr>
      </w:pPr>
      <w:r w:rsidRPr="00D86241">
        <w:rPr>
          <w:rFonts w:cs="Traditional Arabic" w:hint="cs"/>
          <w:spacing w:val="-2"/>
          <w:sz w:val="18"/>
          <w:szCs w:val="26"/>
          <w:rtl/>
        </w:rPr>
        <w:t>يشمل ذلك رؤية "الاتجاهات السياسية والثقافية الثلاثة التي أسهمت في وضع الدستور [الإيطالي] وما تلا ذلك من إصلاح للسجون: الاتجاه الكاثوليكي، الذي ينظر إلى العقوبة بوصفها إصلاحاً للمجرم؛ والاتجاه الليبرالي المحافظ الذي ينظر إلى الوظائف العلاجية والإدماجية للعقوبة؛ والشيوعية بنسختيها اللينينة والغرامشية، المستوحاة من أنظمة العقوبة الرامية إلى تربية المجرم وإعادة إدماجه في المجتمع. وبتأييد من هذه الاتجاهات الثقافية المتلاقية، تحقق إصلاح السجون مقابل ثمن هو تحويل السجون إلى عقوبة ملتبسة وغير متساوية ولا</w:t>
      </w:r>
      <w:r>
        <w:rPr>
          <w:rFonts w:cs="Traditional Arabic" w:hint="eastAsia"/>
          <w:spacing w:val="-2"/>
          <w:sz w:val="18"/>
          <w:szCs w:val="26"/>
          <w:rtl/>
        </w:rPr>
        <w:t> </w:t>
      </w:r>
      <w:r w:rsidRPr="00D86241">
        <w:rPr>
          <w:rFonts w:cs="Traditional Arabic" w:hint="cs"/>
          <w:spacing w:val="-2"/>
          <w:sz w:val="18"/>
          <w:szCs w:val="26"/>
          <w:rtl/>
        </w:rPr>
        <w:t>نمطية، وما ينتج عن ذلك من انحلال للضمانات فيما يتعلق بالعقوبة"</w:t>
      </w:r>
      <w:r w:rsidRPr="00D86241">
        <w:rPr>
          <w:rFonts w:cs="Traditional Arabic"/>
          <w:spacing w:val="-2"/>
          <w:sz w:val="18"/>
          <w:szCs w:val="26"/>
        </w:rPr>
        <w:t xml:space="preserve">Luigi Ferrajoli, Derecho y razón </w:t>
      </w:r>
      <w:r>
        <w:rPr>
          <w:rFonts w:cs="Traditional Arabic"/>
          <w:spacing w:val="-2"/>
          <w:sz w:val="18"/>
          <w:szCs w:val="26"/>
        </w:rPr>
        <w:t>(</w:t>
      </w:r>
      <w:r w:rsidRPr="00D86241">
        <w:rPr>
          <w:rFonts w:cs="Traditional Arabic"/>
          <w:spacing w:val="-2"/>
          <w:sz w:val="18"/>
          <w:szCs w:val="26"/>
        </w:rPr>
        <w:t>Madrid, Trotta, 1995), p. 720</w:t>
      </w:r>
      <w:r w:rsidRPr="00D86241">
        <w:rPr>
          <w:rFonts w:cs="Traditional Arabic" w:hint="cs"/>
          <w:spacing w:val="-2"/>
          <w:sz w:val="18"/>
          <w:szCs w:val="26"/>
          <w:rtl/>
        </w:rPr>
        <w:t>.</w:t>
      </w:r>
    </w:p>
  </w:footnote>
  <w:footnote w:id="32">
    <w:p w:rsidR="00F815BA" w:rsidRPr="00D86241" w:rsidRDefault="00F815BA" w:rsidP="00510C3D">
      <w:pPr>
        <w:pStyle w:val="FootnoteText"/>
        <w:numPr>
          <w:ilvl w:val="0"/>
          <w:numId w:val="37"/>
        </w:numPr>
        <w:tabs>
          <w:tab w:val="clear" w:pos="1301"/>
          <w:tab w:val="left" w:pos="1253"/>
        </w:tabs>
        <w:bidi/>
        <w:spacing w:after="60" w:line="300" w:lineRule="exact"/>
        <w:ind w:left="1248" w:right="1247"/>
        <w:jc w:val="lowKashida"/>
        <w:rPr>
          <w:rFonts w:hint="cs"/>
          <w:sz w:val="18"/>
          <w:szCs w:val="26"/>
        </w:rPr>
      </w:pPr>
      <w:r w:rsidRPr="00D86241">
        <w:rPr>
          <w:rFonts w:cs="Traditional Arabic" w:hint="cs"/>
          <w:sz w:val="18"/>
          <w:szCs w:val="26"/>
          <w:rtl/>
        </w:rPr>
        <w:t>اتفاقية حماية وتعزيز تنوع أشكال التعبير الثقافي، المادة 2، الفقرة 3.</w:t>
      </w:r>
    </w:p>
  </w:footnote>
  <w:footnote w:id="33">
    <w:p w:rsidR="00F815BA" w:rsidRPr="00D86241" w:rsidRDefault="00F815BA" w:rsidP="00510C3D">
      <w:pPr>
        <w:pStyle w:val="FootnoteText"/>
        <w:numPr>
          <w:ilvl w:val="0"/>
          <w:numId w:val="37"/>
        </w:numPr>
        <w:tabs>
          <w:tab w:val="clear" w:pos="1301"/>
          <w:tab w:val="left" w:pos="1253"/>
        </w:tabs>
        <w:bidi/>
        <w:spacing w:after="60" w:line="300" w:lineRule="exact"/>
        <w:ind w:left="1248" w:right="1247"/>
        <w:jc w:val="lowKashida"/>
        <w:rPr>
          <w:rFonts w:cs="Traditional Arabic" w:hint="cs"/>
          <w:sz w:val="18"/>
          <w:szCs w:val="26"/>
          <w:lang w:val="fr-CH"/>
        </w:rPr>
      </w:pPr>
      <w:r w:rsidRPr="00D86241">
        <w:rPr>
          <w:rFonts w:cs="Traditional Arabic" w:hint="cs"/>
          <w:sz w:val="18"/>
          <w:szCs w:val="26"/>
          <w:rtl/>
          <w:lang w:val="fr-CH"/>
        </w:rPr>
        <w:t>انظر المبدأ 1 من المبادئ الأساسية لمعاملة السجناء التي اعتمدتها الجمعية العامة في قرارها 45/111.</w:t>
      </w:r>
    </w:p>
  </w:footnote>
  <w:footnote w:id="34">
    <w:p w:rsidR="00F815BA" w:rsidRPr="00B8750E" w:rsidRDefault="00F815BA" w:rsidP="00CC3672">
      <w:pPr>
        <w:pStyle w:val="FootnoteText"/>
        <w:numPr>
          <w:ilvl w:val="0"/>
          <w:numId w:val="64"/>
        </w:numPr>
        <w:tabs>
          <w:tab w:val="clear" w:pos="1354"/>
          <w:tab w:val="num" w:pos="1240"/>
        </w:tabs>
        <w:bidi/>
        <w:spacing w:after="60" w:line="300" w:lineRule="exact"/>
        <w:ind w:right="1247"/>
        <w:jc w:val="lowKashida"/>
        <w:rPr>
          <w:rFonts w:cs="Traditional Arabic" w:hint="cs"/>
          <w:sz w:val="18"/>
          <w:szCs w:val="26"/>
          <w:lang w:val="fr-CH"/>
        </w:rPr>
      </w:pPr>
      <w:r w:rsidRPr="00B8750E">
        <w:rPr>
          <w:rFonts w:cs="Traditional Arabic"/>
          <w:sz w:val="18"/>
          <w:szCs w:val="26"/>
          <w:rtl/>
        </w:rPr>
        <w:t>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الإنساني الدولي</w:t>
      </w:r>
      <w:r w:rsidRPr="00B8750E">
        <w:rPr>
          <w:rFonts w:cs="Traditional Arabic" w:hint="cs"/>
          <w:sz w:val="18"/>
          <w:szCs w:val="26"/>
          <w:rtl/>
        </w:rPr>
        <w:t>، قرار الجمعية العامة 60/147</w:t>
      </w:r>
      <w:r w:rsidRPr="00B8750E">
        <w:rPr>
          <w:rFonts w:cs="Traditional Arabic" w:hint="cs"/>
          <w:sz w:val="18"/>
          <w:szCs w:val="26"/>
          <w:rtl/>
          <w:lang w:val="fr-CH"/>
        </w:rPr>
        <w:t>.</w:t>
      </w:r>
    </w:p>
  </w:footnote>
  <w:footnote w:id="35">
    <w:p w:rsidR="00F815BA" w:rsidRPr="00327856" w:rsidRDefault="00F815BA" w:rsidP="00987BE9">
      <w:pPr>
        <w:pStyle w:val="FootnoteText"/>
        <w:numPr>
          <w:ilvl w:val="0"/>
          <w:numId w:val="39"/>
        </w:numPr>
        <w:tabs>
          <w:tab w:val="clear" w:pos="1301"/>
          <w:tab w:val="num" w:pos="1254"/>
        </w:tabs>
        <w:bidi/>
        <w:spacing w:after="60" w:line="300" w:lineRule="exact"/>
        <w:ind w:left="1248" w:right="1247" w:hanging="227"/>
        <w:jc w:val="lowKashida"/>
        <w:rPr>
          <w:rFonts w:cs="Traditional Arabic" w:hint="cs"/>
          <w:sz w:val="18"/>
          <w:szCs w:val="26"/>
          <w:lang w:val="fr-CH"/>
        </w:rPr>
      </w:pPr>
      <w:r w:rsidRPr="00327856">
        <w:rPr>
          <w:rFonts w:cs="Traditional Arabic"/>
          <w:sz w:val="18"/>
          <w:szCs w:val="26"/>
          <w:rtl/>
        </w:rPr>
        <w:t>تتولى كل هيئة من هيئات المعاهدات (باستثناء لجنة الحقوق الاقتصادية والاجتماعية والثقافية)</w:t>
      </w:r>
      <w:r w:rsidRPr="00327856">
        <w:rPr>
          <w:rFonts w:cs="Traditional Arabic" w:hint="cs"/>
          <w:sz w:val="18"/>
          <w:szCs w:val="26"/>
          <w:rtl/>
        </w:rPr>
        <w:t>،</w:t>
      </w:r>
      <w:r w:rsidRPr="00327856">
        <w:rPr>
          <w:rFonts w:cs="Traditional Arabic"/>
          <w:sz w:val="18"/>
          <w:szCs w:val="26"/>
          <w:rtl/>
        </w:rPr>
        <w:t xml:space="preserve"> </w:t>
      </w:r>
      <w:r w:rsidRPr="00327856">
        <w:rPr>
          <w:rFonts w:cs="Traditional Arabic" w:hint="cs"/>
          <w:sz w:val="18"/>
          <w:szCs w:val="26"/>
          <w:rtl/>
        </w:rPr>
        <w:t xml:space="preserve">بموجب </w:t>
      </w:r>
      <w:r w:rsidRPr="00327856">
        <w:rPr>
          <w:rFonts w:cs="Traditional Arabic"/>
          <w:sz w:val="18"/>
          <w:szCs w:val="26"/>
          <w:rtl/>
        </w:rPr>
        <w:t>المعاهدة نفسها</w:t>
      </w:r>
      <w:r w:rsidRPr="00327856">
        <w:rPr>
          <w:rFonts w:cs="Traditional Arabic" w:hint="cs"/>
          <w:sz w:val="18"/>
          <w:szCs w:val="26"/>
          <w:rtl/>
        </w:rPr>
        <w:t>،</w:t>
      </w:r>
      <w:r w:rsidRPr="00327856">
        <w:rPr>
          <w:rFonts w:cs="Traditional Arabic"/>
          <w:sz w:val="18"/>
          <w:szCs w:val="26"/>
          <w:rtl/>
        </w:rPr>
        <w:t xml:space="preserve"> </w:t>
      </w:r>
      <w:r w:rsidRPr="00327856">
        <w:rPr>
          <w:rFonts w:cs="Traditional Arabic" w:hint="cs"/>
          <w:sz w:val="18"/>
          <w:szCs w:val="26"/>
          <w:rtl/>
        </w:rPr>
        <w:t xml:space="preserve">اعتماد </w:t>
      </w:r>
      <w:r w:rsidRPr="00327856">
        <w:rPr>
          <w:rFonts w:cs="Traditional Arabic"/>
          <w:sz w:val="18"/>
          <w:szCs w:val="26"/>
          <w:rtl/>
        </w:rPr>
        <w:t>نظامها الداخلي. انظر اتفاقية مناهضة التعذيب وغيره من ضروب المعاملة أو</w:t>
      </w:r>
      <w:r>
        <w:rPr>
          <w:rFonts w:cs="Traditional Arabic" w:hint="cs"/>
          <w:sz w:val="18"/>
          <w:szCs w:val="26"/>
          <w:rtl/>
        </w:rPr>
        <w:t> </w:t>
      </w:r>
      <w:r w:rsidRPr="00327856">
        <w:rPr>
          <w:rFonts w:cs="Traditional Arabic"/>
          <w:sz w:val="18"/>
          <w:szCs w:val="26"/>
          <w:rtl/>
        </w:rPr>
        <w:t>العقوبة القاسية أو اللاإنسانية أو المهينة،</w:t>
      </w:r>
      <w:r w:rsidRPr="00327856">
        <w:rPr>
          <w:rFonts w:cs="Traditional Arabic" w:hint="cs"/>
          <w:sz w:val="18"/>
          <w:szCs w:val="26"/>
          <w:rtl/>
        </w:rPr>
        <w:t xml:space="preserve"> الفقرة 2 من</w:t>
      </w:r>
      <w:r w:rsidRPr="00327856">
        <w:rPr>
          <w:rFonts w:cs="Traditional Arabic"/>
          <w:sz w:val="18"/>
          <w:szCs w:val="26"/>
          <w:rtl/>
        </w:rPr>
        <w:t xml:space="preserve"> المادة 18؛ </w:t>
      </w:r>
      <w:r w:rsidRPr="00327856">
        <w:rPr>
          <w:rFonts w:cs="Traditional Arabic" w:hint="cs"/>
          <w:sz w:val="18"/>
          <w:szCs w:val="26"/>
          <w:rtl/>
        </w:rPr>
        <w:t>و</w:t>
      </w:r>
      <w:r w:rsidRPr="00327856">
        <w:rPr>
          <w:rFonts w:cs="Traditional Arabic"/>
          <w:sz w:val="18"/>
          <w:szCs w:val="26"/>
          <w:rtl/>
        </w:rPr>
        <w:t>العهد الدولي الخاص بالحقوق المدنية والسياسية، الفقرة 2</w:t>
      </w:r>
      <w:r w:rsidRPr="00327856">
        <w:rPr>
          <w:rFonts w:cs="Traditional Arabic" w:hint="cs"/>
          <w:sz w:val="18"/>
          <w:szCs w:val="26"/>
          <w:rtl/>
        </w:rPr>
        <w:t xml:space="preserve"> من </w:t>
      </w:r>
      <w:r w:rsidRPr="00327856">
        <w:rPr>
          <w:rFonts w:cs="Traditional Arabic"/>
          <w:sz w:val="18"/>
          <w:szCs w:val="26"/>
          <w:rtl/>
        </w:rPr>
        <w:t>المادة 39؛</w:t>
      </w:r>
      <w:r w:rsidRPr="00327856">
        <w:rPr>
          <w:rFonts w:cs="Traditional Arabic" w:hint="cs"/>
          <w:sz w:val="18"/>
          <w:szCs w:val="26"/>
          <w:rtl/>
        </w:rPr>
        <w:t xml:space="preserve"> و</w:t>
      </w:r>
      <w:r w:rsidRPr="00327856">
        <w:rPr>
          <w:rFonts w:cs="Traditional Arabic"/>
          <w:sz w:val="18"/>
          <w:szCs w:val="26"/>
          <w:rtl/>
        </w:rPr>
        <w:t xml:space="preserve">الاتفاقية الدولية للقضاء على جميع أشكال التمييز العنصري، </w:t>
      </w:r>
      <w:r w:rsidRPr="00327856">
        <w:rPr>
          <w:rFonts w:cs="Traditional Arabic" w:hint="cs"/>
          <w:sz w:val="18"/>
          <w:szCs w:val="26"/>
          <w:rtl/>
        </w:rPr>
        <w:t xml:space="preserve">الفقرة 1 من </w:t>
      </w:r>
      <w:r w:rsidRPr="00327856">
        <w:rPr>
          <w:rFonts w:cs="Traditional Arabic"/>
          <w:sz w:val="18"/>
          <w:szCs w:val="26"/>
          <w:rtl/>
        </w:rPr>
        <w:t>المادة 10</w:t>
      </w:r>
      <w:r w:rsidRPr="00327856">
        <w:rPr>
          <w:rFonts w:cs="Traditional Arabic" w:hint="cs"/>
          <w:sz w:val="18"/>
          <w:szCs w:val="26"/>
          <w:rtl/>
        </w:rPr>
        <w:t>؛</w:t>
      </w:r>
      <w:r w:rsidRPr="00327856">
        <w:rPr>
          <w:rFonts w:cs="Traditional Arabic"/>
          <w:sz w:val="18"/>
          <w:szCs w:val="26"/>
          <w:rtl/>
        </w:rPr>
        <w:t xml:space="preserve"> </w:t>
      </w:r>
      <w:r w:rsidRPr="00327856">
        <w:rPr>
          <w:rFonts w:cs="Traditional Arabic" w:hint="cs"/>
          <w:sz w:val="18"/>
          <w:szCs w:val="26"/>
          <w:rtl/>
        </w:rPr>
        <w:t>و</w:t>
      </w:r>
      <w:r w:rsidRPr="00327856">
        <w:rPr>
          <w:rFonts w:cs="Traditional Arabic"/>
          <w:sz w:val="18"/>
          <w:szCs w:val="26"/>
          <w:rtl/>
        </w:rPr>
        <w:t>اتفاقية القضاء على جميع أشكال التمييز ضد المرأة،</w:t>
      </w:r>
      <w:r w:rsidRPr="00327856">
        <w:rPr>
          <w:rFonts w:cs="Traditional Arabic" w:hint="cs"/>
          <w:sz w:val="18"/>
          <w:szCs w:val="26"/>
          <w:rtl/>
        </w:rPr>
        <w:t xml:space="preserve"> الفقرة 1 من</w:t>
      </w:r>
      <w:r w:rsidRPr="00327856">
        <w:rPr>
          <w:rFonts w:cs="Traditional Arabic"/>
          <w:sz w:val="18"/>
          <w:szCs w:val="26"/>
          <w:rtl/>
        </w:rPr>
        <w:t xml:space="preserve"> المادة 19</w:t>
      </w:r>
      <w:r w:rsidRPr="00327856">
        <w:rPr>
          <w:rFonts w:cs="Traditional Arabic" w:hint="cs"/>
          <w:sz w:val="18"/>
          <w:szCs w:val="26"/>
          <w:rtl/>
        </w:rPr>
        <w:t>؛</w:t>
      </w:r>
      <w:r w:rsidRPr="00327856">
        <w:rPr>
          <w:rFonts w:cs="Traditional Arabic"/>
          <w:sz w:val="18"/>
          <w:szCs w:val="26"/>
          <w:rtl/>
        </w:rPr>
        <w:t xml:space="preserve"> </w:t>
      </w:r>
      <w:r w:rsidRPr="00327856">
        <w:rPr>
          <w:rFonts w:cs="Traditional Arabic" w:hint="cs"/>
          <w:sz w:val="18"/>
          <w:szCs w:val="26"/>
          <w:rtl/>
        </w:rPr>
        <w:t>و</w:t>
      </w:r>
      <w:r w:rsidRPr="00327856">
        <w:rPr>
          <w:rFonts w:cs="Traditional Arabic"/>
          <w:sz w:val="18"/>
          <w:szCs w:val="26"/>
          <w:rtl/>
        </w:rPr>
        <w:t xml:space="preserve">اتفاقية حقوق الأشخاص ذوي الإعاقة، </w:t>
      </w:r>
      <w:r w:rsidRPr="00327856">
        <w:rPr>
          <w:rFonts w:cs="Traditional Arabic" w:hint="cs"/>
          <w:sz w:val="18"/>
          <w:szCs w:val="26"/>
          <w:rtl/>
        </w:rPr>
        <w:t xml:space="preserve">الفقرة 10 من المادة </w:t>
      </w:r>
      <w:r w:rsidRPr="00327856">
        <w:rPr>
          <w:rFonts w:cs="Traditional Arabic"/>
          <w:sz w:val="18"/>
          <w:szCs w:val="26"/>
          <w:rtl/>
        </w:rPr>
        <w:t>34</w:t>
      </w:r>
      <w:r w:rsidRPr="00327856">
        <w:rPr>
          <w:rFonts w:cs="Traditional Arabic" w:hint="cs"/>
          <w:sz w:val="18"/>
          <w:szCs w:val="26"/>
          <w:rtl/>
        </w:rPr>
        <w:t>؛ و</w:t>
      </w:r>
      <w:r w:rsidRPr="00327856">
        <w:rPr>
          <w:rFonts w:cs="Traditional Arabic"/>
          <w:sz w:val="18"/>
          <w:szCs w:val="26"/>
          <w:rtl/>
        </w:rPr>
        <w:t>الاتفاقية الدولية لحماية حقوق جميع العمال المهاجرين وأفراد أسرهم، الفقرة</w:t>
      </w:r>
      <w:r w:rsidRPr="00327856">
        <w:rPr>
          <w:rFonts w:cs="Traditional Arabic" w:hint="cs"/>
          <w:sz w:val="18"/>
          <w:szCs w:val="26"/>
          <w:rtl/>
        </w:rPr>
        <w:t xml:space="preserve"> 1 من المادة 75؛</w:t>
      </w:r>
      <w:r w:rsidRPr="00327856">
        <w:rPr>
          <w:rFonts w:cs="Traditional Arabic"/>
          <w:sz w:val="18"/>
          <w:szCs w:val="26"/>
          <w:rtl/>
        </w:rPr>
        <w:t xml:space="preserve"> </w:t>
      </w:r>
      <w:r w:rsidRPr="00327856">
        <w:rPr>
          <w:rFonts w:cs="Traditional Arabic" w:hint="cs"/>
          <w:sz w:val="18"/>
          <w:szCs w:val="26"/>
          <w:rtl/>
        </w:rPr>
        <w:t>و</w:t>
      </w:r>
      <w:r w:rsidRPr="00327856">
        <w:rPr>
          <w:rFonts w:cs="Traditional Arabic"/>
          <w:sz w:val="18"/>
          <w:szCs w:val="26"/>
          <w:rtl/>
        </w:rPr>
        <w:t xml:space="preserve">البروتوكول الاختياري لاتفاقية مناهضة التعذيب وغيره من ضروب المعاملة أو العقوبة القاسية أو اللاإنسانية أو المهينة، </w:t>
      </w:r>
      <w:r w:rsidRPr="00327856">
        <w:rPr>
          <w:rFonts w:cs="Traditional Arabic" w:hint="cs"/>
          <w:sz w:val="18"/>
          <w:szCs w:val="26"/>
          <w:rtl/>
        </w:rPr>
        <w:t xml:space="preserve">الفقرة 2 من </w:t>
      </w:r>
      <w:r w:rsidRPr="00327856">
        <w:rPr>
          <w:rFonts w:cs="Traditional Arabic"/>
          <w:sz w:val="18"/>
          <w:szCs w:val="26"/>
          <w:rtl/>
        </w:rPr>
        <w:t>المادة 10</w:t>
      </w:r>
      <w:r w:rsidRPr="00327856">
        <w:rPr>
          <w:rFonts w:cs="Traditional Arabic" w:hint="cs"/>
          <w:sz w:val="18"/>
          <w:szCs w:val="26"/>
          <w:rtl/>
        </w:rPr>
        <w:t>؛ و</w:t>
      </w:r>
      <w:r w:rsidRPr="00327856">
        <w:rPr>
          <w:rFonts w:cs="Traditional Arabic"/>
          <w:sz w:val="18"/>
          <w:szCs w:val="26"/>
          <w:rtl/>
        </w:rPr>
        <w:t xml:space="preserve">الاتفاقية الدولية لحماية جميع الأشخاص من الاختفاء القسري، </w:t>
      </w:r>
      <w:r w:rsidRPr="00327856">
        <w:rPr>
          <w:rFonts w:cs="Traditional Arabic" w:hint="cs"/>
          <w:sz w:val="18"/>
          <w:szCs w:val="26"/>
          <w:rtl/>
        </w:rPr>
        <w:t xml:space="preserve">الفقرة 6 من </w:t>
      </w:r>
      <w:r w:rsidRPr="00327856">
        <w:rPr>
          <w:rFonts w:cs="Traditional Arabic"/>
          <w:sz w:val="18"/>
          <w:szCs w:val="26"/>
          <w:rtl/>
        </w:rPr>
        <w:t>المادة 26</w:t>
      </w:r>
      <w:r w:rsidRPr="00327856">
        <w:rPr>
          <w:rFonts w:cs="Traditional Arabic" w:hint="cs"/>
          <w:sz w:val="18"/>
          <w:szCs w:val="26"/>
          <w:rtl/>
        </w:rPr>
        <w:t xml:space="preserve">. </w:t>
      </w:r>
      <w:r w:rsidRPr="00327856">
        <w:rPr>
          <w:rFonts w:cs="Traditional Arabic"/>
          <w:sz w:val="18"/>
          <w:szCs w:val="26"/>
          <w:rtl/>
        </w:rPr>
        <w:t xml:space="preserve">ملاحظة، </w:t>
      </w:r>
      <w:r w:rsidRPr="00327856">
        <w:rPr>
          <w:rFonts w:cs="Traditional Arabic" w:hint="cs"/>
          <w:sz w:val="18"/>
          <w:szCs w:val="26"/>
          <w:rtl/>
        </w:rPr>
        <w:t>لم يناقش النظام الداخلي</w:t>
      </w:r>
      <w:r w:rsidRPr="00327856">
        <w:rPr>
          <w:rFonts w:cs="Traditional Arabic"/>
          <w:sz w:val="18"/>
          <w:szCs w:val="26"/>
          <w:rtl/>
        </w:rPr>
        <w:t xml:space="preserve"> في العهد الدولي الخاص بالحقوق الاقتصادية والاجتماعية والثقافية، </w:t>
      </w:r>
      <w:r w:rsidRPr="00327856">
        <w:rPr>
          <w:rFonts w:cs="Traditional Arabic" w:hint="cs"/>
          <w:sz w:val="18"/>
          <w:szCs w:val="26"/>
          <w:rtl/>
        </w:rPr>
        <w:t>بيد أن</w:t>
      </w:r>
      <w:r w:rsidRPr="00327856">
        <w:rPr>
          <w:rFonts w:cs="Traditional Arabic"/>
          <w:sz w:val="18"/>
          <w:szCs w:val="26"/>
          <w:rtl/>
        </w:rPr>
        <w:t xml:space="preserve"> اللجنة </w:t>
      </w:r>
      <w:r w:rsidRPr="00327856">
        <w:rPr>
          <w:rFonts w:cs="Traditional Arabic" w:hint="cs"/>
          <w:sz w:val="18"/>
          <w:szCs w:val="26"/>
          <w:rtl/>
        </w:rPr>
        <w:t xml:space="preserve">اعتمدت نظامها الداخلي، انظر الوثيقة </w:t>
      </w:r>
      <w:r w:rsidRPr="00327856">
        <w:rPr>
          <w:rFonts w:cs="Traditional Arabic"/>
          <w:sz w:val="18"/>
          <w:szCs w:val="26"/>
        </w:rPr>
        <w:t>E/C.12/1990/4/Rev.1</w:t>
      </w:r>
      <w:r w:rsidRPr="00327856">
        <w:rPr>
          <w:rFonts w:cs="Traditional Arabic" w:hint="cs"/>
          <w:sz w:val="18"/>
          <w:szCs w:val="26"/>
          <w:rtl/>
        </w:rPr>
        <w:t>.</w:t>
      </w:r>
    </w:p>
  </w:footnote>
  <w:footnote w:id="36">
    <w:p w:rsidR="00F815BA" w:rsidRPr="008671F0" w:rsidRDefault="00F815BA" w:rsidP="00021691">
      <w:pPr>
        <w:pStyle w:val="FootnoteText"/>
        <w:numPr>
          <w:ilvl w:val="0"/>
          <w:numId w:val="27"/>
        </w:numPr>
        <w:tabs>
          <w:tab w:val="clear" w:pos="0"/>
          <w:tab w:val="left" w:pos="1239"/>
        </w:tabs>
        <w:bidi/>
        <w:spacing w:after="60" w:line="300" w:lineRule="exact"/>
        <w:ind w:left="1248" w:right="1247" w:hanging="227"/>
        <w:jc w:val="both"/>
        <w:rPr>
          <w:rFonts w:cs="Traditional Arabic" w:hint="cs"/>
          <w:sz w:val="18"/>
          <w:szCs w:val="26"/>
        </w:rPr>
      </w:pPr>
      <w:r w:rsidRPr="008671F0">
        <w:rPr>
          <w:rFonts w:cs="Traditional Arabic" w:hint="cs"/>
          <w:sz w:val="18"/>
          <w:szCs w:val="26"/>
          <w:rtl/>
          <w:lang w:val="en-CA"/>
        </w:rPr>
        <w:t xml:space="preserve">ترد هذه المادة الآن بوصفها الفقرة 1 من </w:t>
      </w:r>
      <w:r w:rsidRPr="008671F0">
        <w:rPr>
          <w:rFonts w:cs="Traditional Arabic"/>
          <w:sz w:val="18"/>
          <w:szCs w:val="26"/>
          <w:rtl/>
          <w:lang w:val="en-CA"/>
        </w:rPr>
        <w:t xml:space="preserve">المادة 114 من </w:t>
      </w:r>
      <w:r w:rsidRPr="008671F0">
        <w:rPr>
          <w:rFonts w:cs="Traditional Arabic" w:hint="cs"/>
          <w:sz w:val="18"/>
          <w:szCs w:val="26"/>
          <w:rtl/>
          <w:lang w:val="en-CA"/>
        </w:rPr>
        <w:t>ال</w:t>
      </w:r>
      <w:r w:rsidRPr="008671F0">
        <w:rPr>
          <w:rFonts w:cs="Traditional Arabic"/>
          <w:sz w:val="18"/>
          <w:szCs w:val="26"/>
          <w:rtl/>
          <w:lang w:val="en-CA"/>
        </w:rPr>
        <w:t>نظام الداخلي</w:t>
      </w:r>
      <w:r w:rsidRPr="008671F0">
        <w:rPr>
          <w:rFonts w:cs="Traditional Arabic" w:hint="cs"/>
          <w:sz w:val="18"/>
          <w:szCs w:val="26"/>
          <w:rtl/>
          <w:lang w:val="en-CA"/>
        </w:rPr>
        <w:t xml:space="preserve"> المنقح للجنة</w:t>
      </w:r>
      <w:r w:rsidRPr="008671F0">
        <w:rPr>
          <w:rFonts w:cs="Traditional Arabic"/>
          <w:sz w:val="18"/>
          <w:szCs w:val="26"/>
          <w:rtl/>
          <w:lang w:val="en-CA"/>
        </w:rPr>
        <w:t xml:space="preserve"> (</w:t>
      </w:r>
      <w:r w:rsidRPr="008671F0">
        <w:rPr>
          <w:rFonts w:cs="Traditional Arabic"/>
          <w:sz w:val="18"/>
          <w:szCs w:val="26"/>
          <w:lang w:val="en-CA"/>
        </w:rPr>
        <w:t>CAT/C/3/Rev.5</w:t>
      </w:r>
      <w:r w:rsidRPr="008671F0">
        <w:rPr>
          <w:rFonts w:cs="Traditional Arabic"/>
          <w:sz w:val="18"/>
          <w:szCs w:val="26"/>
          <w:rtl/>
          <w:lang w:val="en-CA"/>
        </w:rPr>
        <w:t>)</w:t>
      </w:r>
      <w:r w:rsidRPr="008671F0">
        <w:rPr>
          <w:rFonts w:cs="Traditional Arabic" w:hint="cs"/>
          <w:sz w:val="18"/>
          <w:szCs w:val="26"/>
          <w:rtl/>
          <w:lang w:val="en-CA"/>
        </w:rPr>
        <w:t>.</w:t>
      </w:r>
    </w:p>
  </w:footnote>
  <w:footnote w:id="37">
    <w:p w:rsidR="00F815BA" w:rsidRPr="008671F0" w:rsidRDefault="00F815BA" w:rsidP="00021691">
      <w:pPr>
        <w:pStyle w:val="FootnoteText"/>
        <w:numPr>
          <w:ilvl w:val="0"/>
          <w:numId w:val="27"/>
        </w:numPr>
        <w:tabs>
          <w:tab w:val="clear" w:pos="0"/>
          <w:tab w:val="left" w:pos="1239"/>
        </w:tabs>
        <w:bidi/>
        <w:spacing w:after="60" w:line="300" w:lineRule="exact"/>
        <w:ind w:left="1247" w:right="1247" w:hanging="227"/>
        <w:jc w:val="both"/>
        <w:rPr>
          <w:rFonts w:cs="Traditional Arabic" w:hint="cs"/>
          <w:sz w:val="18"/>
          <w:szCs w:val="26"/>
        </w:rPr>
      </w:pPr>
      <w:r w:rsidRPr="008671F0">
        <w:rPr>
          <w:rFonts w:cs="Traditional Arabic"/>
          <w:sz w:val="18"/>
          <w:szCs w:val="26"/>
          <w:rtl/>
          <w:lang w:val="en-CA"/>
        </w:rPr>
        <w:t xml:space="preserve">عملاً بالطلب </w:t>
      </w:r>
      <w:r w:rsidRPr="008671F0">
        <w:rPr>
          <w:rFonts w:cs="Traditional Arabic" w:hint="cs"/>
          <w:sz w:val="18"/>
          <w:szCs w:val="26"/>
          <w:rtl/>
          <w:lang w:val="en-CA"/>
        </w:rPr>
        <w:t>المقدم من</w:t>
      </w:r>
      <w:r w:rsidRPr="008671F0">
        <w:rPr>
          <w:rFonts w:cs="Traditional Arabic"/>
          <w:sz w:val="18"/>
          <w:szCs w:val="26"/>
          <w:rtl/>
          <w:lang w:val="en-CA"/>
        </w:rPr>
        <w:t xml:space="preserve"> المجلس الانتقالي الوطني في 16 أيلول/سبتمبر 2011، جرى تغيير الاسم الرسمي من "الجماهيرية العربية الليبية" إلى "ليبيا".</w:t>
      </w:r>
      <w:r w:rsidRPr="008671F0">
        <w:rPr>
          <w:rFonts w:cs="Traditional Arabic" w:hint="cs"/>
          <w:sz w:val="18"/>
          <w:szCs w:val="26"/>
          <w:rtl/>
          <w:lang w:val="en-CA"/>
        </w:rPr>
        <w:t xml:space="preserve"> وينبغي قراءة الإشارات إلى ليبيا في هذه الوثيقة وفقاً لذلك.</w:t>
      </w:r>
    </w:p>
  </w:footnote>
  <w:footnote w:id="38">
    <w:p w:rsidR="00F815BA" w:rsidRPr="008671F0" w:rsidRDefault="00F815BA" w:rsidP="00021691">
      <w:pPr>
        <w:pStyle w:val="FootnoteText"/>
        <w:numPr>
          <w:ilvl w:val="0"/>
          <w:numId w:val="27"/>
        </w:numPr>
        <w:tabs>
          <w:tab w:val="clear" w:pos="0"/>
          <w:tab w:val="left" w:pos="1239"/>
        </w:tabs>
        <w:bidi/>
        <w:spacing w:after="60" w:line="300" w:lineRule="exact"/>
        <w:ind w:left="1248" w:right="1247" w:hanging="227"/>
        <w:jc w:val="both"/>
        <w:rPr>
          <w:rFonts w:cs="Traditional Arabic" w:hint="cs"/>
          <w:sz w:val="18"/>
          <w:szCs w:val="26"/>
        </w:rPr>
      </w:pPr>
      <w:r w:rsidRPr="008671F0">
        <w:rPr>
          <w:rFonts w:cs="Traditional Arabic" w:hint="cs"/>
          <w:sz w:val="18"/>
          <w:szCs w:val="26"/>
          <w:rtl/>
          <w:lang w:val="en-CA"/>
        </w:rPr>
        <w:t xml:space="preserve">انظر، على سبيل المثال، البلاغ رقم 216/2002، </w:t>
      </w:r>
      <w:r w:rsidRPr="008671F0">
        <w:rPr>
          <w:rFonts w:cs="Traditional Arabic" w:hint="cs"/>
          <w:i/>
          <w:iCs/>
          <w:sz w:val="18"/>
          <w:szCs w:val="26"/>
          <w:rtl/>
          <w:lang w:val="en-CA"/>
        </w:rPr>
        <w:t>ح. إ. أ. ضد السويد</w:t>
      </w:r>
      <w:r w:rsidRPr="008671F0">
        <w:rPr>
          <w:rFonts w:cs="Traditional Arabic" w:hint="cs"/>
          <w:sz w:val="18"/>
          <w:szCs w:val="26"/>
          <w:rtl/>
          <w:lang w:val="en-CA"/>
        </w:rPr>
        <w:t>، القرار المعتمد في 2 أيار/ مايو</w:t>
      </w:r>
      <w:r w:rsidRPr="008671F0">
        <w:rPr>
          <w:rFonts w:cs="Traditional Arabic" w:hint="eastAsia"/>
          <w:sz w:val="18"/>
          <w:szCs w:val="26"/>
          <w:rtl/>
          <w:lang w:val="en-CA"/>
        </w:rPr>
        <w:t> </w:t>
      </w:r>
      <w:r w:rsidRPr="008671F0">
        <w:rPr>
          <w:rFonts w:cs="Traditional Arabic" w:hint="cs"/>
          <w:sz w:val="18"/>
          <w:szCs w:val="26"/>
          <w:rtl/>
          <w:lang w:val="en-CA"/>
        </w:rPr>
        <w:t>2003، الفقرة 6-2.</w:t>
      </w:r>
    </w:p>
  </w:footnote>
  <w:footnote w:id="39">
    <w:p w:rsidR="00F815BA" w:rsidRPr="008671F0" w:rsidRDefault="00F815BA" w:rsidP="001E45D5">
      <w:pPr>
        <w:pStyle w:val="FootnoteText"/>
        <w:numPr>
          <w:ilvl w:val="0"/>
          <w:numId w:val="27"/>
        </w:numPr>
        <w:tabs>
          <w:tab w:val="clear" w:pos="0"/>
          <w:tab w:val="left" w:pos="1239"/>
        </w:tabs>
        <w:bidi/>
        <w:spacing w:after="60" w:line="300" w:lineRule="exact"/>
        <w:ind w:left="1248" w:right="1247" w:hanging="227"/>
        <w:jc w:val="lowKashida"/>
        <w:rPr>
          <w:rFonts w:cs="Traditional Arabic"/>
          <w:sz w:val="18"/>
          <w:szCs w:val="26"/>
          <w:lang w:val="en-CA"/>
        </w:rPr>
      </w:pPr>
      <w:r w:rsidRPr="008671F0">
        <w:rPr>
          <w:rFonts w:cs="Traditional Arabic" w:hint="cs"/>
          <w:sz w:val="18"/>
          <w:szCs w:val="26"/>
          <w:rtl/>
          <w:lang w:val="en-CA"/>
        </w:rPr>
        <w:t xml:space="preserve">انظر </w:t>
      </w:r>
      <w:r w:rsidRPr="008671F0">
        <w:rPr>
          <w:rFonts w:cs="Traditional Arabic"/>
          <w:sz w:val="18"/>
          <w:szCs w:val="26"/>
          <w:rtl/>
        </w:rPr>
        <w:t>البلاغ</w:t>
      </w:r>
      <w:r w:rsidRPr="008671F0">
        <w:rPr>
          <w:rFonts w:cs="Traditional Arabic" w:hint="cs"/>
          <w:sz w:val="18"/>
          <w:szCs w:val="26"/>
          <w:rtl/>
        </w:rPr>
        <w:t>ات</w:t>
      </w:r>
      <w:r w:rsidRPr="008671F0">
        <w:rPr>
          <w:rFonts w:cs="Traditional Arabic"/>
          <w:sz w:val="18"/>
          <w:szCs w:val="26"/>
          <w:rtl/>
          <w:lang w:val="en-CA"/>
        </w:rPr>
        <w:t xml:space="preserve"> رقم </w:t>
      </w:r>
      <w:r w:rsidRPr="008671F0">
        <w:rPr>
          <w:rFonts w:cs="Traditional Arabic" w:hint="cs"/>
          <w:sz w:val="18"/>
          <w:szCs w:val="26"/>
          <w:rtl/>
          <w:lang w:val="en-CA"/>
        </w:rPr>
        <w:t>282</w:t>
      </w:r>
      <w:r w:rsidRPr="008671F0">
        <w:rPr>
          <w:rFonts w:cs="Traditional Arabic"/>
          <w:sz w:val="18"/>
          <w:szCs w:val="26"/>
          <w:rtl/>
          <w:lang w:val="en-CA"/>
        </w:rPr>
        <w:t>/</w:t>
      </w:r>
      <w:r w:rsidRPr="008671F0">
        <w:rPr>
          <w:rFonts w:cs="Traditional Arabic" w:hint="cs"/>
          <w:sz w:val="18"/>
          <w:szCs w:val="26"/>
          <w:rtl/>
          <w:lang w:val="en-CA"/>
        </w:rPr>
        <w:t>2005</w:t>
      </w:r>
      <w:r w:rsidRPr="008671F0">
        <w:rPr>
          <w:rFonts w:cs="Traditional Arabic"/>
          <w:sz w:val="18"/>
          <w:szCs w:val="26"/>
          <w:rtl/>
          <w:lang w:val="en-CA"/>
        </w:rPr>
        <w:t xml:space="preserve">، </w:t>
      </w:r>
      <w:r w:rsidRPr="008671F0">
        <w:rPr>
          <w:rFonts w:cs="Traditional Arabic" w:hint="cs"/>
          <w:i/>
          <w:iCs/>
          <w:sz w:val="18"/>
          <w:szCs w:val="26"/>
          <w:rtl/>
          <w:lang w:val="en-CA"/>
        </w:rPr>
        <w:t>س</w:t>
      </w:r>
      <w:r w:rsidRPr="008671F0">
        <w:rPr>
          <w:rFonts w:cs="Traditional Arabic"/>
          <w:i/>
          <w:iCs/>
          <w:sz w:val="18"/>
          <w:szCs w:val="26"/>
          <w:rtl/>
          <w:lang w:val="en-CA"/>
        </w:rPr>
        <w:t>.</w:t>
      </w:r>
      <w:r w:rsidRPr="008671F0">
        <w:rPr>
          <w:rFonts w:cs="Traditional Arabic" w:hint="cs"/>
          <w:i/>
          <w:iCs/>
          <w:sz w:val="18"/>
          <w:szCs w:val="26"/>
          <w:rtl/>
          <w:lang w:val="en-CA"/>
        </w:rPr>
        <w:t xml:space="preserve"> ب</w:t>
      </w:r>
      <w:r w:rsidRPr="008671F0">
        <w:rPr>
          <w:rFonts w:cs="Traditional Arabic"/>
          <w:i/>
          <w:iCs/>
          <w:sz w:val="18"/>
          <w:szCs w:val="26"/>
          <w:rtl/>
          <w:lang w:val="en-CA"/>
        </w:rPr>
        <w:t>.</w:t>
      </w:r>
      <w:r w:rsidRPr="008671F0">
        <w:rPr>
          <w:rFonts w:cs="Traditional Arabic" w:hint="cs"/>
          <w:i/>
          <w:iCs/>
          <w:sz w:val="18"/>
          <w:szCs w:val="26"/>
          <w:rtl/>
          <w:lang w:val="en-CA"/>
        </w:rPr>
        <w:t xml:space="preserve"> أ.</w:t>
      </w:r>
      <w:r w:rsidRPr="008671F0">
        <w:rPr>
          <w:rFonts w:cs="Traditional Arabic"/>
          <w:i/>
          <w:iCs/>
          <w:sz w:val="18"/>
          <w:szCs w:val="26"/>
          <w:rtl/>
          <w:lang w:val="en-CA"/>
        </w:rPr>
        <w:t xml:space="preserve"> ضد </w:t>
      </w:r>
      <w:r w:rsidRPr="008671F0">
        <w:rPr>
          <w:rFonts w:cs="Traditional Arabic" w:hint="cs"/>
          <w:i/>
          <w:iCs/>
          <w:sz w:val="18"/>
          <w:szCs w:val="26"/>
          <w:rtl/>
          <w:lang w:val="en-CA"/>
        </w:rPr>
        <w:t>كندا</w:t>
      </w:r>
      <w:r w:rsidRPr="008671F0">
        <w:rPr>
          <w:rFonts w:cs="Traditional Arabic"/>
          <w:sz w:val="18"/>
          <w:szCs w:val="26"/>
          <w:rtl/>
          <w:lang w:val="en-CA"/>
        </w:rPr>
        <w:t xml:space="preserve">، </w:t>
      </w:r>
      <w:r w:rsidRPr="008671F0">
        <w:rPr>
          <w:rFonts w:cs="Traditional Arabic" w:hint="cs"/>
          <w:sz w:val="18"/>
          <w:szCs w:val="26"/>
          <w:rtl/>
          <w:lang w:val="en-CA"/>
        </w:rPr>
        <w:t xml:space="preserve">القرار المعتمد </w:t>
      </w:r>
      <w:r w:rsidRPr="008671F0">
        <w:rPr>
          <w:rFonts w:cs="Traditional Arabic"/>
          <w:sz w:val="18"/>
          <w:szCs w:val="26"/>
          <w:rtl/>
          <w:lang w:val="en-CA"/>
        </w:rPr>
        <w:t xml:space="preserve">في </w:t>
      </w:r>
      <w:r w:rsidRPr="008671F0">
        <w:rPr>
          <w:rFonts w:cs="Traditional Arabic" w:hint="cs"/>
          <w:sz w:val="18"/>
          <w:szCs w:val="26"/>
          <w:rtl/>
          <w:lang w:val="en-CA"/>
        </w:rPr>
        <w:t>7</w:t>
      </w:r>
      <w:r w:rsidRPr="008671F0">
        <w:rPr>
          <w:rFonts w:cs="Traditional Arabic"/>
          <w:sz w:val="18"/>
          <w:szCs w:val="26"/>
          <w:rtl/>
          <w:lang w:val="en-CA"/>
        </w:rPr>
        <w:t xml:space="preserve"> تشرين الثاني/نوفمبر </w:t>
      </w:r>
      <w:r w:rsidRPr="008671F0">
        <w:rPr>
          <w:rFonts w:cs="Traditional Arabic" w:hint="cs"/>
          <w:sz w:val="18"/>
          <w:szCs w:val="26"/>
          <w:rtl/>
          <w:lang w:val="en-CA"/>
        </w:rPr>
        <w:t>2006؛ و</w:t>
      </w:r>
      <w:r w:rsidRPr="008671F0">
        <w:rPr>
          <w:rFonts w:cs="Traditional Arabic"/>
          <w:sz w:val="18"/>
          <w:szCs w:val="26"/>
          <w:rtl/>
          <w:lang w:val="en-CA"/>
        </w:rPr>
        <w:t xml:space="preserve">رقم </w:t>
      </w:r>
      <w:r w:rsidRPr="008671F0">
        <w:rPr>
          <w:rFonts w:cs="Traditional Arabic" w:hint="cs"/>
          <w:sz w:val="18"/>
          <w:szCs w:val="26"/>
          <w:rtl/>
          <w:lang w:val="en-CA"/>
        </w:rPr>
        <w:t>333</w:t>
      </w:r>
      <w:r w:rsidRPr="008671F0">
        <w:rPr>
          <w:rFonts w:cs="Traditional Arabic"/>
          <w:sz w:val="18"/>
          <w:szCs w:val="26"/>
          <w:rtl/>
          <w:lang w:val="en-CA"/>
        </w:rPr>
        <w:t>/</w:t>
      </w:r>
      <w:r w:rsidRPr="008671F0">
        <w:rPr>
          <w:rFonts w:cs="Traditional Arabic" w:hint="cs"/>
          <w:sz w:val="18"/>
          <w:szCs w:val="26"/>
          <w:rtl/>
          <w:lang w:val="en-CA"/>
        </w:rPr>
        <w:t>2007</w:t>
      </w:r>
      <w:r w:rsidRPr="008671F0">
        <w:rPr>
          <w:rFonts w:cs="Traditional Arabic"/>
          <w:sz w:val="18"/>
          <w:szCs w:val="26"/>
          <w:rtl/>
          <w:lang w:val="en-CA"/>
        </w:rPr>
        <w:t xml:space="preserve">، </w:t>
      </w:r>
      <w:r w:rsidRPr="008671F0">
        <w:rPr>
          <w:rFonts w:cs="Traditional Arabic" w:hint="cs"/>
          <w:i/>
          <w:iCs/>
          <w:sz w:val="18"/>
          <w:szCs w:val="26"/>
          <w:rtl/>
          <w:lang w:val="en-CA"/>
        </w:rPr>
        <w:t>ت. أ.</w:t>
      </w:r>
      <w:r w:rsidRPr="008671F0">
        <w:rPr>
          <w:rFonts w:cs="Traditional Arabic"/>
          <w:i/>
          <w:iCs/>
          <w:sz w:val="18"/>
          <w:szCs w:val="26"/>
          <w:rtl/>
          <w:lang w:val="en-CA"/>
        </w:rPr>
        <w:t xml:space="preserve"> ضد </w:t>
      </w:r>
      <w:r w:rsidRPr="008671F0">
        <w:rPr>
          <w:rFonts w:cs="Traditional Arabic" w:hint="cs"/>
          <w:i/>
          <w:iCs/>
          <w:sz w:val="18"/>
          <w:szCs w:val="26"/>
          <w:rtl/>
          <w:lang w:val="en-CA"/>
        </w:rPr>
        <w:t>كندا</w:t>
      </w:r>
      <w:r w:rsidRPr="008671F0">
        <w:rPr>
          <w:rFonts w:cs="Traditional Arabic"/>
          <w:sz w:val="18"/>
          <w:szCs w:val="26"/>
          <w:rtl/>
          <w:lang w:val="en-CA"/>
        </w:rPr>
        <w:t>، ال</w:t>
      </w:r>
      <w:r w:rsidRPr="008671F0">
        <w:rPr>
          <w:rFonts w:cs="Traditional Arabic" w:hint="cs"/>
          <w:sz w:val="18"/>
          <w:szCs w:val="26"/>
          <w:rtl/>
          <w:lang w:val="en-CA"/>
        </w:rPr>
        <w:t>قرار</w:t>
      </w:r>
      <w:r w:rsidRPr="008671F0">
        <w:rPr>
          <w:rFonts w:cs="Traditional Arabic"/>
          <w:sz w:val="18"/>
          <w:szCs w:val="26"/>
          <w:rtl/>
          <w:lang w:val="en-CA"/>
        </w:rPr>
        <w:t xml:space="preserve"> المعتمد في </w:t>
      </w:r>
      <w:r w:rsidRPr="008671F0">
        <w:rPr>
          <w:rFonts w:cs="Traditional Arabic" w:hint="cs"/>
          <w:sz w:val="18"/>
          <w:szCs w:val="26"/>
          <w:rtl/>
          <w:lang w:val="en-CA"/>
        </w:rPr>
        <w:t>15</w:t>
      </w:r>
      <w:r w:rsidRPr="008671F0">
        <w:rPr>
          <w:rFonts w:cs="Traditional Arabic"/>
          <w:sz w:val="18"/>
          <w:szCs w:val="26"/>
          <w:rtl/>
          <w:lang w:val="en-CA"/>
        </w:rPr>
        <w:t xml:space="preserve"> تشرين الثاني/نوفمبر</w:t>
      </w:r>
      <w:r w:rsidRPr="008671F0">
        <w:rPr>
          <w:rFonts w:cs="Traditional Arabic" w:hint="cs"/>
          <w:sz w:val="18"/>
          <w:szCs w:val="26"/>
          <w:rtl/>
          <w:lang w:val="en-CA"/>
        </w:rPr>
        <w:t xml:space="preserve"> 2010؛ ورقم</w:t>
      </w:r>
      <w:r>
        <w:rPr>
          <w:rFonts w:cs="Traditional Arabic" w:hint="eastAsia"/>
          <w:sz w:val="18"/>
          <w:szCs w:val="26"/>
          <w:rtl/>
          <w:lang w:val="en-CA"/>
        </w:rPr>
        <w:t> </w:t>
      </w:r>
      <w:r w:rsidRPr="008671F0">
        <w:rPr>
          <w:rFonts w:cs="Traditional Arabic" w:hint="cs"/>
          <w:sz w:val="18"/>
          <w:szCs w:val="26"/>
          <w:rtl/>
          <w:lang w:val="en-CA"/>
        </w:rPr>
        <w:t xml:space="preserve">344/2008، </w:t>
      </w:r>
      <w:r w:rsidRPr="008671F0">
        <w:rPr>
          <w:rFonts w:cs="Traditional Arabic" w:hint="cs"/>
          <w:i/>
          <w:iCs/>
          <w:sz w:val="18"/>
          <w:szCs w:val="26"/>
          <w:rtl/>
          <w:lang w:val="en-CA"/>
        </w:rPr>
        <w:t>أ. م. أ. ضد سويسرا</w:t>
      </w:r>
      <w:r w:rsidRPr="008671F0">
        <w:rPr>
          <w:rFonts w:cs="Traditional Arabic" w:hint="cs"/>
          <w:sz w:val="18"/>
          <w:szCs w:val="26"/>
          <w:rtl/>
          <w:lang w:val="en-CA"/>
        </w:rPr>
        <w:t xml:space="preserve">، </w:t>
      </w:r>
      <w:r w:rsidRPr="008671F0">
        <w:rPr>
          <w:rFonts w:cs="Traditional Arabic"/>
          <w:sz w:val="18"/>
          <w:szCs w:val="26"/>
          <w:rtl/>
          <w:lang w:val="en-CA"/>
        </w:rPr>
        <w:t>ال</w:t>
      </w:r>
      <w:r w:rsidRPr="008671F0">
        <w:rPr>
          <w:rFonts w:cs="Traditional Arabic" w:hint="cs"/>
          <w:sz w:val="18"/>
          <w:szCs w:val="26"/>
          <w:rtl/>
          <w:lang w:val="en-CA"/>
        </w:rPr>
        <w:t>قرار</w:t>
      </w:r>
      <w:r w:rsidRPr="008671F0">
        <w:rPr>
          <w:rFonts w:cs="Traditional Arabic"/>
          <w:sz w:val="18"/>
          <w:szCs w:val="26"/>
          <w:rtl/>
          <w:lang w:val="en-CA"/>
        </w:rPr>
        <w:t xml:space="preserve"> المعتمد في </w:t>
      </w:r>
      <w:r w:rsidRPr="008671F0">
        <w:rPr>
          <w:rFonts w:cs="Traditional Arabic" w:hint="cs"/>
          <w:sz w:val="18"/>
          <w:szCs w:val="26"/>
          <w:rtl/>
          <w:lang w:val="en-CA"/>
        </w:rPr>
        <w:t>12</w:t>
      </w:r>
      <w:r w:rsidRPr="008671F0">
        <w:rPr>
          <w:rFonts w:cs="Traditional Arabic"/>
          <w:sz w:val="18"/>
          <w:szCs w:val="26"/>
          <w:rtl/>
          <w:lang w:val="en-CA"/>
        </w:rPr>
        <w:t xml:space="preserve"> تشرين الثاني/نوفمبر</w:t>
      </w:r>
      <w:r w:rsidRPr="008671F0">
        <w:rPr>
          <w:rFonts w:cs="Traditional Arabic" w:hint="cs"/>
          <w:sz w:val="18"/>
          <w:szCs w:val="26"/>
          <w:rtl/>
          <w:lang w:val="en-CA"/>
        </w:rPr>
        <w:t xml:space="preserve"> 2010.</w:t>
      </w:r>
    </w:p>
  </w:footnote>
  <w:footnote w:id="40">
    <w:p w:rsidR="00F815BA" w:rsidRPr="008671F0" w:rsidRDefault="00F815BA" w:rsidP="009E6384">
      <w:pPr>
        <w:pStyle w:val="FootnoteText"/>
        <w:numPr>
          <w:ilvl w:val="0"/>
          <w:numId w:val="0"/>
        </w:numPr>
        <w:bidi/>
        <w:spacing w:after="60" w:line="300" w:lineRule="exact"/>
        <w:ind w:left="1212" w:right="1247" w:hanging="434"/>
        <w:jc w:val="lowKashida"/>
        <w:rPr>
          <w:rFonts w:cs="Traditional Arabic"/>
          <w:sz w:val="18"/>
          <w:szCs w:val="26"/>
          <w:lang w:val="en-CA"/>
        </w:rPr>
      </w:pPr>
      <w:r w:rsidRPr="0052191A">
        <w:rPr>
          <w:rFonts w:cs="Traditional Arabic" w:hint="cs"/>
          <w:sz w:val="18"/>
          <w:szCs w:val="26"/>
          <w:rtl/>
          <w:lang w:val="en-CA"/>
        </w:rPr>
        <w:t>(</w:t>
      </w:r>
      <w:r w:rsidRPr="0052191A">
        <w:rPr>
          <w:rFonts w:cs="Traditional Arabic" w:hint="cs"/>
          <w:sz w:val="26"/>
          <w:szCs w:val="26"/>
          <w:rtl/>
          <w:lang w:val="en-CA"/>
        </w:rPr>
        <w:t>ﻫ</w:t>
      </w:r>
      <w:r w:rsidRPr="0052191A">
        <w:rPr>
          <w:rFonts w:cs="Traditional Arabic" w:hint="cs"/>
          <w:sz w:val="18"/>
          <w:szCs w:val="26"/>
          <w:rtl/>
          <w:lang w:val="en-CA"/>
        </w:rPr>
        <w:t>)</w:t>
      </w:r>
      <w:r w:rsidRPr="0052191A">
        <w:rPr>
          <w:rFonts w:cs="Traditional Arabic" w:hint="cs"/>
          <w:sz w:val="18"/>
          <w:szCs w:val="26"/>
          <w:rtl/>
          <w:lang w:val="en-CA"/>
        </w:rPr>
        <w:tab/>
      </w:r>
      <w:r w:rsidRPr="008671F0">
        <w:rPr>
          <w:rFonts w:cs="Traditional Arabic" w:hint="cs"/>
          <w:i/>
          <w:iCs/>
          <w:sz w:val="18"/>
          <w:szCs w:val="26"/>
          <w:rtl/>
          <w:lang w:val="en-CA"/>
        </w:rPr>
        <w:t>الوثائق الرسمية للجمعية العامة، الدورة الثالثة والخمسون، الملحق رقم 44</w:t>
      </w:r>
      <w:r w:rsidRPr="008671F0">
        <w:rPr>
          <w:rFonts w:cs="Traditional Arabic" w:hint="cs"/>
          <w:sz w:val="18"/>
          <w:szCs w:val="26"/>
          <w:rtl/>
          <w:lang w:val="en-CA"/>
        </w:rPr>
        <w:t xml:space="preserve"> (</w:t>
      </w:r>
      <w:r w:rsidRPr="008671F0">
        <w:rPr>
          <w:rFonts w:cs="Traditional Arabic"/>
          <w:sz w:val="18"/>
          <w:szCs w:val="26"/>
          <w:lang w:val="en-CA"/>
        </w:rPr>
        <w:t>A/53/44</w:t>
      </w:r>
      <w:r w:rsidRPr="008671F0">
        <w:rPr>
          <w:rFonts w:cs="Traditional Arabic" w:hint="cs"/>
          <w:sz w:val="18"/>
          <w:szCs w:val="26"/>
          <w:rtl/>
          <w:lang w:val="en-CA" w:bidi="ar-EG"/>
        </w:rPr>
        <w:t xml:space="preserve"> و</w:t>
      </w:r>
      <w:r w:rsidRPr="008671F0">
        <w:rPr>
          <w:rFonts w:cs="Traditional Arabic"/>
          <w:sz w:val="18"/>
          <w:szCs w:val="26"/>
          <w:lang w:val="en-CA" w:bidi="ar-EG"/>
        </w:rPr>
        <w:t>Corr.1</w:t>
      </w:r>
      <w:r w:rsidRPr="008671F0">
        <w:rPr>
          <w:rFonts w:cs="Traditional Arabic" w:hint="cs"/>
          <w:sz w:val="18"/>
          <w:szCs w:val="26"/>
          <w:rtl/>
          <w:lang w:val="en-CA"/>
        </w:rPr>
        <w:t>)، الملحق التاسع.</w:t>
      </w:r>
    </w:p>
  </w:footnote>
  <w:footnote w:id="41">
    <w:p w:rsidR="00F815BA" w:rsidRPr="008671F0" w:rsidRDefault="00F815BA" w:rsidP="009E6384">
      <w:pPr>
        <w:pStyle w:val="FootnoteText"/>
        <w:numPr>
          <w:ilvl w:val="0"/>
          <w:numId w:val="0"/>
        </w:numPr>
        <w:bidi/>
        <w:spacing w:after="60" w:line="300" w:lineRule="exact"/>
        <w:ind w:left="1212" w:right="1247" w:hanging="434"/>
        <w:jc w:val="lowKashida"/>
        <w:rPr>
          <w:rFonts w:cs="Traditional Arabic"/>
          <w:sz w:val="18"/>
          <w:szCs w:val="26"/>
          <w:lang w:val="en-CA"/>
        </w:rPr>
      </w:pPr>
      <w:r w:rsidRPr="0052191A">
        <w:rPr>
          <w:rFonts w:cs="Traditional Arabic" w:hint="cs"/>
          <w:sz w:val="18"/>
          <w:szCs w:val="26"/>
          <w:rtl/>
          <w:lang w:val="en-CA"/>
        </w:rPr>
        <w:t>(</w:t>
      </w:r>
      <w:r w:rsidRPr="0052191A">
        <w:rPr>
          <w:rFonts w:cs="Traditional Arabic" w:hint="cs"/>
          <w:sz w:val="26"/>
          <w:szCs w:val="26"/>
          <w:rtl/>
          <w:lang w:val="en-CA"/>
        </w:rPr>
        <w:t>و</w:t>
      </w:r>
      <w:r w:rsidRPr="0052191A">
        <w:rPr>
          <w:rFonts w:cs="Traditional Arabic" w:hint="cs"/>
          <w:sz w:val="18"/>
          <w:szCs w:val="26"/>
          <w:rtl/>
          <w:lang w:val="en-CA"/>
        </w:rPr>
        <w:t>)</w:t>
      </w:r>
      <w:r w:rsidRPr="0052191A">
        <w:rPr>
          <w:rFonts w:cs="Traditional Arabic" w:hint="cs"/>
          <w:sz w:val="18"/>
          <w:szCs w:val="26"/>
          <w:rtl/>
          <w:lang w:val="en-CA"/>
        </w:rPr>
        <w:tab/>
      </w:r>
      <w:r w:rsidRPr="008671F0">
        <w:rPr>
          <w:rFonts w:cs="Traditional Arabic" w:hint="cs"/>
          <w:sz w:val="18"/>
          <w:szCs w:val="26"/>
          <w:rtl/>
          <w:lang w:val="en-CA"/>
        </w:rPr>
        <w:t xml:space="preserve">انظر </w:t>
      </w:r>
      <w:r w:rsidRPr="008671F0">
        <w:rPr>
          <w:rFonts w:cs="Traditional Arabic"/>
          <w:sz w:val="18"/>
          <w:szCs w:val="26"/>
          <w:rtl/>
          <w:lang w:val="en-CA"/>
        </w:rPr>
        <w:t>البلاغ</w:t>
      </w:r>
      <w:r w:rsidRPr="008671F0">
        <w:rPr>
          <w:rFonts w:cs="Traditional Arabic" w:hint="cs"/>
          <w:sz w:val="18"/>
          <w:szCs w:val="26"/>
          <w:rtl/>
          <w:lang w:val="en-CA"/>
        </w:rPr>
        <w:t>ات</w:t>
      </w:r>
      <w:r w:rsidRPr="008671F0">
        <w:rPr>
          <w:rFonts w:cs="Traditional Arabic"/>
          <w:sz w:val="18"/>
          <w:szCs w:val="26"/>
          <w:rtl/>
          <w:lang w:val="en-CA"/>
        </w:rPr>
        <w:t xml:space="preserve"> رقم 203/2002، </w:t>
      </w:r>
      <w:r w:rsidRPr="008671F0">
        <w:rPr>
          <w:rFonts w:cs="Traditional Arabic"/>
          <w:i/>
          <w:iCs/>
          <w:sz w:val="18"/>
          <w:szCs w:val="26"/>
          <w:rtl/>
          <w:lang w:val="en-CA"/>
        </w:rPr>
        <w:t>أ. ر. ضد هولندا</w:t>
      </w:r>
      <w:r w:rsidRPr="008671F0">
        <w:rPr>
          <w:rFonts w:cs="Traditional Arabic"/>
          <w:sz w:val="18"/>
          <w:szCs w:val="26"/>
          <w:rtl/>
          <w:lang w:val="en-CA"/>
        </w:rPr>
        <w:t>، ال</w:t>
      </w:r>
      <w:r w:rsidRPr="008671F0">
        <w:rPr>
          <w:rFonts w:cs="Traditional Arabic" w:hint="cs"/>
          <w:sz w:val="18"/>
          <w:szCs w:val="26"/>
          <w:rtl/>
          <w:lang w:val="en-CA"/>
        </w:rPr>
        <w:t xml:space="preserve">قرار المعتمد </w:t>
      </w:r>
      <w:r w:rsidRPr="008671F0">
        <w:rPr>
          <w:rFonts w:cs="Traditional Arabic"/>
          <w:sz w:val="18"/>
          <w:szCs w:val="26"/>
          <w:rtl/>
          <w:lang w:val="en-CA"/>
        </w:rPr>
        <w:t xml:space="preserve">في </w:t>
      </w:r>
      <w:r w:rsidRPr="008671F0">
        <w:rPr>
          <w:rFonts w:cs="Traditional Arabic" w:hint="cs"/>
          <w:sz w:val="18"/>
          <w:szCs w:val="26"/>
          <w:rtl/>
          <w:lang w:val="en-CA"/>
        </w:rPr>
        <w:t>14</w:t>
      </w:r>
      <w:r w:rsidRPr="008671F0">
        <w:rPr>
          <w:rFonts w:cs="Traditional Arabic"/>
          <w:sz w:val="18"/>
          <w:szCs w:val="26"/>
          <w:rtl/>
          <w:lang w:val="en-CA"/>
        </w:rPr>
        <w:t xml:space="preserve"> تشرين الثاني/نوفمبر 2003</w:t>
      </w:r>
      <w:r w:rsidRPr="008671F0">
        <w:rPr>
          <w:rFonts w:cs="Traditional Arabic" w:hint="cs"/>
          <w:sz w:val="18"/>
          <w:szCs w:val="26"/>
          <w:rtl/>
          <w:lang w:val="en-CA"/>
        </w:rPr>
        <w:t xml:space="preserve">، </w:t>
      </w:r>
      <w:r w:rsidRPr="008671F0">
        <w:rPr>
          <w:rFonts w:cs="Traditional Arabic"/>
          <w:sz w:val="18"/>
          <w:szCs w:val="26"/>
          <w:rtl/>
          <w:lang w:val="en-CA"/>
        </w:rPr>
        <w:t xml:space="preserve">الفقرة 7-3؛ </w:t>
      </w:r>
      <w:r w:rsidRPr="008671F0">
        <w:rPr>
          <w:rFonts w:cs="Traditional Arabic" w:hint="cs"/>
          <w:sz w:val="18"/>
          <w:szCs w:val="26"/>
          <w:rtl/>
          <w:lang w:val="en-CA"/>
        </w:rPr>
        <w:t>و</w:t>
      </w:r>
      <w:r w:rsidRPr="008671F0">
        <w:rPr>
          <w:rFonts w:cs="Traditional Arabic"/>
          <w:sz w:val="18"/>
          <w:szCs w:val="26"/>
          <w:rtl/>
          <w:lang w:val="en-CA"/>
        </w:rPr>
        <w:t>رقم</w:t>
      </w:r>
      <w:r w:rsidRPr="008671F0">
        <w:rPr>
          <w:rFonts w:cs="Traditional Arabic" w:hint="cs"/>
          <w:sz w:val="18"/>
          <w:szCs w:val="26"/>
          <w:rtl/>
          <w:lang w:val="en-CA"/>
        </w:rPr>
        <w:t xml:space="preserve"> </w:t>
      </w:r>
      <w:r w:rsidRPr="008671F0">
        <w:rPr>
          <w:rFonts w:cs="Traditional Arabic"/>
          <w:sz w:val="18"/>
          <w:szCs w:val="26"/>
          <w:rtl/>
          <w:lang w:val="en-CA"/>
        </w:rPr>
        <w:t xml:space="preserve">285/2006، </w:t>
      </w:r>
      <w:r w:rsidRPr="008671F0">
        <w:rPr>
          <w:rFonts w:cs="Traditional Arabic"/>
          <w:i/>
          <w:iCs/>
          <w:sz w:val="18"/>
          <w:szCs w:val="26"/>
          <w:rtl/>
          <w:lang w:val="en-CA"/>
        </w:rPr>
        <w:t>أ.</w:t>
      </w:r>
      <w:r w:rsidRPr="008671F0">
        <w:rPr>
          <w:rFonts w:cs="Traditional Arabic" w:hint="cs"/>
          <w:i/>
          <w:iCs/>
          <w:sz w:val="18"/>
          <w:szCs w:val="26"/>
          <w:rtl/>
          <w:lang w:val="en-CA"/>
        </w:rPr>
        <w:t xml:space="preserve"> </w:t>
      </w:r>
      <w:r w:rsidRPr="008671F0">
        <w:rPr>
          <w:rFonts w:cs="Traditional Arabic"/>
          <w:i/>
          <w:iCs/>
          <w:sz w:val="18"/>
          <w:szCs w:val="26"/>
          <w:rtl/>
          <w:lang w:val="en-CA"/>
        </w:rPr>
        <w:t>أ. وآخرون ضد سويسرا</w:t>
      </w:r>
      <w:r w:rsidRPr="008671F0">
        <w:rPr>
          <w:rFonts w:cs="Traditional Arabic"/>
          <w:sz w:val="18"/>
          <w:szCs w:val="26"/>
          <w:rtl/>
          <w:lang w:val="en-CA"/>
        </w:rPr>
        <w:t>، ال</w:t>
      </w:r>
      <w:r w:rsidRPr="008671F0">
        <w:rPr>
          <w:rFonts w:cs="Traditional Arabic" w:hint="cs"/>
          <w:sz w:val="18"/>
          <w:szCs w:val="26"/>
          <w:rtl/>
          <w:lang w:val="en-CA"/>
        </w:rPr>
        <w:t>قرار</w:t>
      </w:r>
      <w:r w:rsidRPr="008671F0">
        <w:rPr>
          <w:rFonts w:cs="Traditional Arabic"/>
          <w:sz w:val="18"/>
          <w:szCs w:val="26"/>
          <w:rtl/>
          <w:lang w:val="en-CA"/>
        </w:rPr>
        <w:t xml:space="preserve"> المعتمد في 10 تشرين الثاني/</w:t>
      </w:r>
      <w:r>
        <w:rPr>
          <w:rFonts w:cs="Traditional Arabic" w:hint="cs"/>
          <w:sz w:val="18"/>
          <w:szCs w:val="26"/>
          <w:rtl/>
          <w:lang w:val="en-CA"/>
        </w:rPr>
        <w:t xml:space="preserve"> </w:t>
      </w:r>
      <w:r w:rsidRPr="008671F0">
        <w:rPr>
          <w:rFonts w:cs="Traditional Arabic"/>
          <w:sz w:val="18"/>
          <w:szCs w:val="26"/>
          <w:rtl/>
          <w:lang w:val="en-CA"/>
        </w:rPr>
        <w:t>نوفمبر</w:t>
      </w:r>
      <w:r>
        <w:rPr>
          <w:rFonts w:cs="Traditional Arabic" w:hint="cs"/>
          <w:sz w:val="18"/>
          <w:szCs w:val="26"/>
          <w:rtl/>
          <w:lang w:val="en-CA"/>
        </w:rPr>
        <w:t> </w:t>
      </w:r>
      <w:r w:rsidRPr="008671F0">
        <w:rPr>
          <w:rFonts w:cs="Traditional Arabic"/>
          <w:sz w:val="18"/>
          <w:szCs w:val="26"/>
          <w:rtl/>
          <w:lang w:val="en-CA"/>
        </w:rPr>
        <w:t>2008 الفقرة 7-6</w:t>
      </w:r>
      <w:r w:rsidRPr="008671F0">
        <w:rPr>
          <w:rFonts w:cs="Traditional Arabic" w:hint="cs"/>
          <w:sz w:val="18"/>
          <w:szCs w:val="26"/>
          <w:rtl/>
          <w:lang w:val="en-CA"/>
        </w:rPr>
        <w:t xml:space="preserve">؛ ورقم 350/2008، </w:t>
      </w:r>
      <w:r w:rsidRPr="008671F0">
        <w:rPr>
          <w:rFonts w:cs="Traditional Arabic" w:hint="cs"/>
          <w:i/>
          <w:iCs/>
          <w:sz w:val="18"/>
          <w:szCs w:val="26"/>
          <w:rtl/>
          <w:lang w:val="en-CA"/>
        </w:rPr>
        <w:t>ر. ت. - ن. ضد سويسرا</w:t>
      </w:r>
      <w:r w:rsidRPr="008671F0">
        <w:rPr>
          <w:rFonts w:cs="Traditional Arabic" w:hint="cs"/>
          <w:sz w:val="18"/>
          <w:szCs w:val="26"/>
          <w:rtl/>
          <w:lang w:val="en-CA"/>
        </w:rPr>
        <w:t>، القرار المعتمد في 3 حزيران/يونيه 2011، الفقرة 8-4.</w:t>
      </w:r>
    </w:p>
  </w:footnote>
  <w:footnote w:id="42">
    <w:p w:rsidR="00F815BA" w:rsidRPr="00FD2944" w:rsidRDefault="00F815BA" w:rsidP="00FD2944">
      <w:pPr>
        <w:pStyle w:val="FootnoteText"/>
        <w:numPr>
          <w:ilvl w:val="0"/>
          <w:numId w:val="28"/>
        </w:numPr>
        <w:bidi/>
        <w:spacing w:after="60" w:line="300" w:lineRule="exact"/>
        <w:ind w:right="1247"/>
        <w:jc w:val="lowKashida"/>
        <w:rPr>
          <w:rFonts w:cs="Traditional Arabic" w:hint="cs"/>
          <w:sz w:val="18"/>
          <w:szCs w:val="26"/>
        </w:rPr>
      </w:pPr>
      <w:r w:rsidRPr="00FD2944">
        <w:rPr>
          <w:rFonts w:cs="Traditional Arabic" w:hint="cs"/>
          <w:sz w:val="18"/>
          <w:szCs w:val="26"/>
          <w:rtl/>
        </w:rPr>
        <w:t xml:space="preserve">تشير الدولة الطرف إلى البلاغ رقم 97/1997، </w:t>
      </w:r>
      <w:r w:rsidRPr="00FD2944">
        <w:rPr>
          <w:rFonts w:cs="Traditional Arabic" w:hint="cs"/>
          <w:i/>
          <w:iCs/>
          <w:sz w:val="18"/>
          <w:szCs w:val="26"/>
          <w:rtl/>
        </w:rPr>
        <w:t>أورهان أياس ضد السويد</w:t>
      </w:r>
      <w:r w:rsidRPr="00FD2944">
        <w:rPr>
          <w:rFonts w:cs="Traditional Arabic" w:hint="cs"/>
          <w:sz w:val="18"/>
          <w:szCs w:val="26"/>
          <w:rtl/>
        </w:rPr>
        <w:t xml:space="preserve">، </w:t>
      </w:r>
      <w:r>
        <w:rPr>
          <w:rFonts w:cs="Traditional Arabic" w:hint="cs"/>
          <w:sz w:val="18"/>
          <w:szCs w:val="26"/>
          <w:rtl/>
        </w:rPr>
        <w:t>ال</w:t>
      </w:r>
      <w:r w:rsidRPr="00FD2944">
        <w:rPr>
          <w:rFonts w:cs="Traditional Arabic" w:hint="cs"/>
          <w:sz w:val="18"/>
          <w:szCs w:val="26"/>
          <w:rtl/>
        </w:rPr>
        <w:t xml:space="preserve">آراء </w:t>
      </w:r>
      <w:r>
        <w:rPr>
          <w:rFonts w:cs="Traditional Arabic" w:hint="cs"/>
          <w:sz w:val="18"/>
          <w:szCs w:val="26"/>
          <w:rtl/>
        </w:rPr>
        <w:t>ال</w:t>
      </w:r>
      <w:r w:rsidRPr="00FD2944">
        <w:rPr>
          <w:rFonts w:cs="Traditional Arabic" w:hint="cs"/>
          <w:sz w:val="18"/>
          <w:szCs w:val="26"/>
          <w:rtl/>
        </w:rPr>
        <w:t>معتمدة في 12 تشرين الثاني/نوفمبر 1998، الفقرة 6-4.</w:t>
      </w:r>
    </w:p>
  </w:footnote>
  <w:footnote w:id="43">
    <w:p w:rsidR="00F815BA" w:rsidRPr="00FD2944" w:rsidRDefault="00F815BA" w:rsidP="00FD2944">
      <w:pPr>
        <w:pStyle w:val="FootnoteText"/>
        <w:numPr>
          <w:ilvl w:val="0"/>
          <w:numId w:val="28"/>
        </w:numPr>
        <w:bidi/>
        <w:spacing w:after="60" w:line="300" w:lineRule="exact"/>
        <w:ind w:right="1247"/>
        <w:jc w:val="lowKashida"/>
        <w:rPr>
          <w:rFonts w:cs="Traditional Arabic"/>
          <w:sz w:val="18"/>
          <w:szCs w:val="26"/>
        </w:rPr>
      </w:pPr>
      <w:r w:rsidRPr="00FD2944">
        <w:rPr>
          <w:rFonts w:cs="Traditional Arabic" w:hint="cs"/>
          <w:sz w:val="18"/>
          <w:szCs w:val="26"/>
          <w:rtl/>
        </w:rPr>
        <w:t xml:space="preserve">المرجع نفسه، الفقرة 6-5؛ انظر أيضاً البلاغ رقم 101/1997، </w:t>
      </w:r>
      <w:r w:rsidRPr="00FD2944">
        <w:rPr>
          <w:rFonts w:cs="Traditional Arabic" w:hint="cs"/>
          <w:i/>
          <w:iCs/>
          <w:sz w:val="18"/>
          <w:szCs w:val="26"/>
          <w:rtl/>
        </w:rPr>
        <w:t>خليل هايدن ضد السويد</w:t>
      </w:r>
      <w:r w:rsidRPr="00FD2944">
        <w:rPr>
          <w:rFonts w:cs="Traditional Arabic" w:hint="cs"/>
          <w:sz w:val="18"/>
          <w:szCs w:val="26"/>
          <w:rtl/>
        </w:rPr>
        <w:t xml:space="preserve">، </w:t>
      </w:r>
      <w:r>
        <w:rPr>
          <w:rFonts w:cs="Traditional Arabic" w:hint="cs"/>
          <w:sz w:val="18"/>
          <w:szCs w:val="26"/>
          <w:rtl/>
        </w:rPr>
        <w:t>ال</w:t>
      </w:r>
      <w:r w:rsidRPr="00FD2944">
        <w:rPr>
          <w:rFonts w:cs="Traditional Arabic" w:hint="cs"/>
          <w:sz w:val="18"/>
          <w:szCs w:val="26"/>
          <w:rtl/>
        </w:rPr>
        <w:t xml:space="preserve">آراء </w:t>
      </w:r>
      <w:r>
        <w:rPr>
          <w:rFonts w:cs="Traditional Arabic" w:hint="cs"/>
          <w:sz w:val="18"/>
          <w:szCs w:val="26"/>
          <w:rtl/>
        </w:rPr>
        <w:t>ال</w:t>
      </w:r>
      <w:r w:rsidRPr="00FD2944">
        <w:rPr>
          <w:rFonts w:cs="Traditional Arabic" w:hint="cs"/>
          <w:sz w:val="18"/>
          <w:szCs w:val="26"/>
          <w:rtl/>
        </w:rPr>
        <w:t>معتمدة في 20 تشرين الثاني/نوفمبر 1998، الفقرة 6-7.</w:t>
      </w:r>
    </w:p>
  </w:footnote>
  <w:footnote w:id="44">
    <w:p w:rsidR="00F815BA" w:rsidRPr="00FD2944" w:rsidRDefault="00F815BA" w:rsidP="00FD2944">
      <w:pPr>
        <w:pStyle w:val="FootnoteText"/>
        <w:numPr>
          <w:ilvl w:val="0"/>
          <w:numId w:val="28"/>
        </w:numPr>
        <w:bidi/>
        <w:spacing w:after="60" w:line="300" w:lineRule="exact"/>
        <w:ind w:right="1247"/>
        <w:jc w:val="lowKashida"/>
        <w:rPr>
          <w:rFonts w:cs="Traditional Arabic"/>
          <w:sz w:val="18"/>
          <w:szCs w:val="26"/>
        </w:rPr>
      </w:pPr>
      <w:r w:rsidRPr="00FD2944">
        <w:rPr>
          <w:rFonts w:cs="Traditional Arabic" w:hint="cs"/>
          <w:sz w:val="18"/>
          <w:szCs w:val="26"/>
          <w:rtl/>
        </w:rPr>
        <w:t xml:space="preserve">تشير الدولة الطرف إلى البلاغ رقم 112/1998، </w:t>
      </w:r>
      <w:r w:rsidRPr="00FD2944">
        <w:rPr>
          <w:rFonts w:cs="Traditional Arabic" w:hint="cs"/>
          <w:i/>
          <w:iCs/>
          <w:sz w:val="18"/>
          <w:szCs w:val="26"/>
          <w:rtl/>
        </w:rPr>
        <w:t>ﻫ. د. ضد سويسرا</w:t>
      </w:r>
      <w:r w:rsidRPr="00FD2944">
        <w:rPr>
          <w:rFonts w:cs="Traditional Arabic" w:hint="cs"/>
          <w:sz w:val="18"/>
          <w:szCs w:val="26"/>
          <w:rtl/>
        </w:rPr>
        <w:t xml:space="preserve">، </w:t>
      </w:r>
      <w:r>
        <w:rPr>
          <w:rFonts w:cs="Traditional Arabic" w:hint="cs"/>
          <w:sz w:val="18"/>
          <w:szCs w:val="26"/>
          <w:rtl/>
        </w:rPr>
        <w:t>ال</w:t>
      </w:r>
      <w:r w:rsidRPr="00FD2944">
        <w:rPr>
          <w:rFonts w:cs="Traditional Arabic" w:hint="cs"/>
          <w:sz w:val="18"/>
          <w:szCs w:val="26"/>
          <w:rtl/>
        </w:rPr>
        <w:t xml:space="preserve">آراء </w:t>
      </w:r>
      <w:r>
        <w:rPr>
          <w:rFonts w:cs="Traditional Arabic" w:hint="cs"/>
          <w:sz w:val="18"/>
          <w:szCs w:val="26"/>
          <w:rtl/>
        </w:rPr>
        <w:t>ال</w:t>
      </w:r>
      <w:r w:rsidRPr="00FD2944">
        <w:rPr>
          <w:rFonts w:cs="Traditional Arabic" w:hint="cs"/>
          <w:sz w:val="18"/>
          <w:szCs w:val="26"/>
          <w:rtl/>
        </w:rPr>
        <w:t>معتمدة في 30 نيسان/ أبريل</w:t>
      </w:r>
      <w:r w:rsidRPr="00FD2944">
        <w:rPr>
          <w:rFonts w:cs="Traditional Arabic" w:hint="eastAsia"/>
          <w:sz w:val="18"/>
          <w:szCs w:val="26"/>
          <w:rtl/>
        </w:rPr>
        <w:t> </w:t>
      </w:r>
      <w:r w:rsidRPr="00FD2944">
        <w:rPr>
          <w:rFonts w:cs="Traditional Arabic" w:hint="cs"/>
          <w:sz w:val="18"/>
          <w:szCs w:val="26"/>
          <w:rtl/>
        </w:rPr>
        <w:t xml:space="preserve">1999، الفقرة 6-5؛ والبلاغ رقم 107/1998، </w:t>
      </w:r>
      <w:r w:rsidRPr="00FD2944">
        <w:rPr>
          <w:rFonts w:cs="Traditional Arabic" w:hint="cs"/>
          <w:i/>
          <w:iCs/>
          <w:sz w:val="18"/>
          <w:szCs w:val="26"/>
          <w:rtl/>
        </w:rPr>
        <w:t>ك. م. ضد سويسرا</w:t>
      </w:r>
      <w:r w:rsidRPr="00FD2944">
        <w:rPr>
          <w:rFonts w:cs="Traditional Arabic" w:hint="cs"/>
          <w:sz w:val="18"/>
          <w:szCs w:val="26"/>
          <w:rtl/>
        </w:rPr>
        <w:t xml:space="preserve">، </w:t>
      </w:r>
      <w:r>
        <w:rPr>
          <w:rFonts w:cs="Traditional Arabic" w:hint="cs"/>
          <w:sz w:val="18"/>
          <w:szCs w:val="26"/>
          <w:rtl/>
        </w:rPr>
        <w:t>ال</w:t>
      </w:r>
      <w:r w:rsidRPr="00FD2944">
        <w:rPr>
          <w:rFonts w:cs="Traditional Arabic" w:hint="cs"/>
          <w:sz w:val="18"/>
          <w:szCs w:val="26"/>
          <w:rtl/>
        </w:rPr>
        <w:t xml:space="preserve">آراء </w:t>
      </w:r>
      <w:r>
        <w:rPr>
          <w:rFonts w:cs="Traditional Arabic" w:hint="cs"/>
          <w:sz w:val="18"/>
          <w:szCs w:val="26"/>
          <w:rtl/>
        </w:rPr>
        <w:t>ال</w:t>
      </w:r>
      <w:r w:rsidRPr="00FD2944">
        <w:rPr>
          <w:rFonts w:cs="Traditional Arabic" w:hint="cs"/>
          <w:sz w:val="18"/>
          <w:szCs w:val="26"/>
          <w:rtl/>
        </w:rPr>
        <w:t>معتمدة في 16 تشرين الثاني/نوفمبر 1999، الفقرة 6-6.</w:t>
      </w:r>
    </w:p>
  </w:footnote>
  <w:footnote w:id="45">
    <w:p w:rsidR="00F815BA" w:rsidRPr="00FD2944" w:rsidRDefault="00F815BA" w:rsidP="003A7509">
      <w:pPr>
        <w:pStyle w:val="FootnoteText"/>
        <w:numPr>
          <w:ilvl w:val="0"/>
          <w:numId w:val="28"/>
        </w:numPr>
        <w:bidi/>
        <w:spacing w:after="60" w:line="300" w:lineRule="exact"/>
        <w:ind w:right="1247"/>
        <w:jc w:val="lowKashida"/>
        <w:rPr>
          <w:rFonts w:cs="Traditional Arabic" w:hint="cs"/>
          <w:sz w:val="18"/>
          <w:szCs w:val="26"/>
        </w:rPr>
      </w:pPr>
      <w:r w:rsidRPr="00FD2944">
        <w:rPr>
          <w:rFonts w:cs="Traditional Arabic" w:hint="cs"/>
          <w:sz w:val="18"/>
          <w:szCs w:val="26"/>
          <w:rtl/>
        </w:rPr>
        <w:t>لم ينظر المكتب الاتحادي لشؤون الهجرة في هذه المقالات الصحفية الثلاث، لأن تاريخها يعود إلى 1995 و1999، أي قبل الطلب الأول للحصول على اللجوء. وعملاً بأحكام المادة 66، الفقرة 3، من القانون الاتحادي للإجراءا</w:t>
      </w:r>
      <w:r w:rsidRPr="00FD2944">
        <w:rPr>
          <w:rFonts w:cs="Traditional Arabic" w:hint="eastAsia"/>
          <w:sz w:val="18"/>
          <w:szCs w:val="26"/>
          <w:rtl/>
        </w:rPr>
        <w:t>ت</w:t>
      </w:r>
      <w:r w:rsidRPr="00FD2944">
        <w:rPr>
          <w:rFonts w:cs="Traditional Arabic" w:hint="cs"/>
          <w:sz w:val="18"/>
          <w:szCs w:val="26"/>
          <w:rtl/>
        </w:rPr>
        <w:t xml:space="preserve"> الإدارية، ليست السلطات السويسرية ملزمة بالنظر في هذه الأدلة. والواقع أن المكتب الاتحادي لشؤون الهجرة ذكر مع ذلك أن من </w:t>
      </w:r>
      <w:r>
        <w:rPr>
          <w:rFonts w:cs="Traditional Arabic" w:hint="cs"/>
          <w:sz w:val="18"/>
          <w:szCs w:val="26"/>
          <w:rtl/>
        </w:rPr>
        <w:t xml:space="preserve">المستبعد </w:t>
      </w:r>
      <w:r w:rsidRPr="00FD2944">
        <w:rPr>
          <w:rFonts w:cs="Traditional Arabic" w:hint="cs"/>
          <w:sz w:val="18"/>
          <w:szCs w:val="26"/>
          <w:rtl/>
        </w:rPr>
        <w:t xml:space="preserve">أن تؤثر تلك الوثائق في نتائج التحليل الذي سبق للسلطات أن أجرته. وأكدت المحكمة الإدارية الاتحادية حجج المكتب الاتحادي لشؤون الهجرة في </w:t>
      </w:r>
      <w:r>
        <w:rPr>
          <w:rFonts w:cs="Traditional Arabic" w:hint="cs"/>
          <w:sz w:val="18"/>
          <w:szCs w:val="26"/>
          <w:rtl/>
        </w:rPr>
        <w:t xml:space="preserve">قرارها </w:t>
      </w:r>
      <w:r w:rsidRPr="00FD2944">
        <w:rPr>
          <w:rFonts w:cs="Traditional Arabic" w:hint="cs"/>
          <w:sz w:val="18"/>
          <w:szCs w:val="26"/>
          <w:rtl/>
        </w:rPr>
        <w:t>الصادر بتاريخ 12 حزيران/يونيه 2009.</w:t>
      </w:r>
    </w:p>
  </w:footnote>
  <w:footnote w:id="46">
    <w:p w:rsidR="00F815BA" w:rsidRPr="00FD2944" w:rsidRDefault="00F815BA" w:rsidP="0065521B">
      <w:pPr>
        <w:pStyle w:val="FootnoteText"/>
        <w:numPr>
          <w:ilvl w:val="0"/>
          <w:numId w:val="0"/>
        </w:numPr>
        <w:tabs>
          <w:tab w:val="left" w:pos="1254"/>
        </w:tabs>
        <w:bidi/>
        <w:spacing w:after="60" w:line="300" w:lineRule="exact"/>
        <w:ind w:left="1254" w:right="1247" w:hanging="434"/>
        <w:jc w:val="lowKashida"/>
        <w:rPr>
          <w:rFonts w:cs="Traditional Arabic" w:hint="cs"/>
          <w:sz w:val="18"/>
          <w:szCs w:val="26"/>
        </w:rPr>
      </w:pPr>
      <w:r w:rsidRPr="006477A6">
        <w:rPr>
          <w:rFonts w:cs="Traditional Arabic" w:hint="cs"/>
          <w:sz w:val="26"/>
          <w:szCs w:val="26"/>
          <w:rtl/>
        </w:rPr>
        <w:t>(ﻫ)</w:t>
      </w:r>
      <w:r>
        <w:rPr>
          <w:rFonts w:cs="Traditional Arabic" w:hint="cs"/>
          <w:sz w:val="18"/>
          <w:szCs w:val="26"/>
          <w:rtl/>
        </w:rPr>
        <w:tab/>
      </w:r>
      <w:r w:rsidRPr="00FD2944">
        <w:rPr>
          <w:rFonts w:cs="Traditional Arabic" w:hint="cs"/>
          <w:sz w:val="18"/>
          <w:szCs w:val="26"/>
          <w:rtl/>
        </w:rPr>
        <w:t>يشير صاحب الشكوى إلى تقرير وزارة خارجية الولايات المتحدة المتعلق بممارسات حقوق الإنسان في</w:t>
      </w:r>
      <w:r w:rsidRPr="00FD2944">
        <w:rPr>
          <w:rFonts w:cs="Traditional Arabic" w:hint="eastAsia"/>
          <w:sz w:val="18"/>
          <w:szCs w:val="26"/>
          <w:rtl/>
        </w:rPr>
        <w:t> </w:t>
      </w:r>
      <w:r w:rsidRPr="00FD2944">
        <w:rPr>
          <w:rFonts w:cs="Traditional Arabic" w:hint="cs"/>
          <w:sz w:val="18"/>
          <w:szCs w:val="26"/>
          <w:rtl/>
        </w:rPr>
        <w:t xml:space="preserve">2008، الصادر بتاريخ 25 شباط/فبراير 2009. </w:t>
      </w:r>
    </w:p>
  </w:footnote>
  <w:footnote w:id="47">
    <w:p w:rsidR="00F815BA" w:rsidRPr="00FD2944" w:rsidRDefault="00F815BA" w:rsidP="0065521B">
      <w:pPr>
        <w:pStyle w:val="FootnoteText"/>
        <w:numPr>
          <w:ilvl w:val="0"/>
          <w:numId w:val="0"/>
        </w:numPr>
        <w:tabs>
          <w:tab w:val="left" w:pos="1268"/>
        </w:tabs>
        <w:bidi/>
        <w:spacing w:after="60" w:line="300" w:lineRule="exact"/>
        <w:ind w:left="1268" w:right="1247" w:hanging="448"/>
        <w:jc w:val="lowKashida"/>
        <w:rPr>
          <w:rFonts w:cs="Traditional Arabic" w:hint="cs"/>
          <w:sz w:val="18"/>
          <w:szCs w:val="26"/>
        </w:rPr>
      </w:pPr>
      <w:r w:rsidRPr="006477A6">
        <w:rPr>
          <w:rFonts w:cs="Traditional Arabic" w:hint="cs"/>
          <w:sz w:val="26"/>
          <w:szCs w:val="26"/>
          <w:rtl/>
        </w:rPr>
        <w:t>(</w:t>
      </w:r>
      <w:r>
        <w:rPr>
          <w:rFonts w:cs="Traditional Arabic" w:hint="cs"/>
          <w:sz w:val="26"/>
          <w:szCs w:val="26"/>
          <w:rtl/>
        </w:rPr>
        <w:t>و</w:t>
      </w:r>
      <w:r w:rsidRPr="006477A6">
        <w:rPr>
          <w:rFonts w:cs="Traditional Arabic" w:hint="cs"/>
          <w:sz w:val="26"/>
          <w:szCs w:val="26"/>
          <w:rtl/>
        </w:rPr>
        <w:t>)</w:t>
      </w:r>
      <w:r>
        <w:rPr>
          <w:rFonts w:cs="Traditional Arabic" w:hint="cs"/>
          <w:sz w:val="18"/>
          <w:szCs w:val="26"/>
          <w:rtl/>
        </w:rPr>
        <w:tab/>
      </w:r>
      <w:r w:rsidRPr="00FD2944">
        <w:rPr>
          <w:rFonts w:cs="Traditional Arabic" w:hint="cs"/>
          <w:i/>
          <w:iCs/>
          <w:sz w:val="18"/>
          <w:szCs w:val="26"/>
          <w:rtl/>
        </w:rPr>
        <w:t>الوثائق الرسمية للجمعية العامة، الدورة الثالثة والخمسون، الملحق رقم 44</w:t>
      </w:r>
      <w:r w:rsidRPr="00FD2944">
        <w:rPr>
          <w:rFonts w:cs="Traditional Arabic" w:hint="cs"/>
          <w:sz w:val="18"/>
          <w:szCs w:val="26"/>
          <w:rtl/>
        </w:rPr>
        <w:t xml:space="preserve"> (</w:t>
      </w:r>
      <w:r w:rsidRPr="00FD2944">
        <w:rPr>
          <w:rFonts w:cs="Traditional Arabic"/>
          <w:sz w:val="18"/>
          <w:szCs w:val="26"/>
        </w:rPr>
        <w:t>A/53/44</w:t>
      </w:r>
      <w:r w:rsidRPr="00FD2944">
        <w:rPr>
          <w:rFonts w:cs="Traditional Arabic" w:hint="cs"/>
          <w:sz w:val="18"/>
          <w:szCs w:val="26"/>
          <w:rtl/>
        </w:rPr>
        <w:t>).</w:t>
      </w:r>
    </w:p>
  </w:footnote>
  <w:footnote w:id="48">
    <w:p w:rsidR="00F815BA" w:rsidRPr="00F0073E" w:rsidRDefault="00F815BA" w:rsidP="00F0073E">
      <w:pPr>
        <w:pStyle w:val="FootnoteText"/>
        <w:numPr>
          <w:ilvl w:val="0"/>
          <w:numId w:val="29"/>
        </w:numPr>
        <w:bidi/>
        <w:spacing w:after="60" w:line="300" w:lineRule="exact"/>
        <w:ind w:right="1247"/>
        <w:jc w:val="lowKashida"/>
        <w:rPr>
          <w:rFonts w:cs="Traditional Arabic" w:hint="cs"/>
          <w:sz w:val="18"/>
          <w:szCs w:val="26"/>
        </w:rPr>
      </w:pPr>
      <w:r w:rsidRPr="00F0073E">
        <w:rPr>
          <w:rFonts w:cs="Traditional Arabic" w:hint="cs"/>
          <w:sz w:val="18"/>
          <w:szCs w:val="26"/>
          <w:rtl/>
        </w:rPr>
        <w:t>يشير المجلس، في قراره، الذي ترد نسخة منه في الملف، إلى تناقضات رواية صاحب الشكوى. فقد ادعى، مثلاً، أنه كان مطلوباً منذ عام 2002. ولما سئل عن أسباب عدم القبض عليه قبل عام 2005، وقد كان مستمراً في أنشطته السياسية، أجاب بأنه لم يكن ينام في بيته، مكتفياً بالتردد عليه، وأنه كان ينبغي الاستعانة بآلاف الجنود لدخول كل منزل من منازل حيّه للعثور عليه. ورفضت المحكمة هذه التفسيرات معتبرةً إياها غير معقولة، ولم تر أنه كان مستهدفاً في بلده قبل عام 2005. وقدم وثيقة بعنوان "تفويض ممثل التحالف" تحمل صورة توقيع رئيس التحالف. وقدم بطاقة الناخب الخاصة به حيث لاحظت المحكمة أخطاء بشأن عمره ومهنته. ونظراً إلى أنه ادعى أنه كان عليه، بصفته ممثل التحالف، الإشراف على تسجيل بطاقات الناخبين وإصدارها، طُلب إليه تعليل أسباب عدم تصحيحه الأخطاء الواردة في بطاقة الناخب الخاصة به، فأجاب بأنه لم يكن في وسعه فعل ذلك، وأنه بلّغ التحالف عن الأمر. واختلطت عليه الأمور كلياً عندما طُلب إليه أن يذكر متى كان ذلك الإبلاغ وكيف. واستنتجت المحكمة مما تَقدّم أن صاحب الشكوى لم يثبت أنه عُين ممثلاً للتحالف أثناء انتخابات عام 2005. ولم يستطع تقديم تفسير معقول لأسباب عدم إشارته، في روايته، إلى أنه بلّغ سلطات التحالف عن زيارة س. ت. الأولى أثناء اجتماع عقد في 7 نيسان/أبريل 2005، وأعقبه تعيين حراس شخصيين كي يحرسوه أثناء تحرّكاته، علماً بأنه تحدث إلى التحالف عن زيارة س. ت. الثانية. ولم تلتفت المحكمة ألبتة أيضاً إلى شهادة العضوية في اتحاد القوى من أجل التغيير، المؤرخة في 28 تموز/يوليه 2005، وهو التاريخ الذي يدعي أنه كان مسجوناً فيه. أضف إلى ذلك أن تفسيراته للطريقة التي حصل بها على هذه الشهادة كانت متناقضة.</w:t>
      </w:r>
    </w:p>
  </w:footnote>
  <w:footnote w:id="49">
    <w:p w:rsidR="00F815BA" w:rsidRPr="00F0073E" w:rsidRDefault="00F815BA" w:rsidP="006D2BE7">
      <w:pPr>
        <w:pStyle w:val="FootnoteText"/>
        <w:numPr>
          <w:ilvl w:val="0"/>
          <w:numId w:val="29"/>
        </w:numPr>
        <w:bidi/>
        <w:spacing w:after="60" w:line="260" w:lineRule="exact"/>
        <w:ind w:right="1247"/>
        <w:jc w:val="lowKashida"/>
        <w:rPr>
          <w:rFonts w:cs="Traditional Arabic"/>
          <w:sz w:val="18"/>
          <w:szCs w:val="26"/>
        </w:rPr>
      </w:pPr>
      <w:r w:rsidRPr="00F0073E">
        <w:rPr>
          <w:rFonts w:cs="Traditional Arabic"/>
          <w:sz w:val="18"/>
          <w:szCs w:val="26"/>
        </w:rPr>
        <w:t>A/HRC/7/3/Add.5</w:t>
      </w:r>
      <w:r w:rsidRPr="00F0073E">
        <w:rPr>
          <w:rFonts w:cs="Traditional Arabic" w:hint="cs"/>
          <w:sz w:val="18"/>
          <w:szCs w:val="26"/>
          <w:rtl/>
        </w:rPr>
        <w:t>.</w:t>
      </w:r>
    </w:p>
  </w:footnote>
  <w:footnote w:id="50">
    <w:p w:rsidR="00F815BA" w:rsidRPr="00F0073E" w:rsidRDefault="00F815BA" w:rsidP="006D2BE7">
      <w:pPr>
        <w:pStyle w:val="FootnoteText"/>
        <w:numPr>
          <w:ilvl w:val="0"/>
          <w:numId w:val="29"/>
        </w:numPr>
        <w:bidi/>
        <w:spacing w:after="60" w:line="260" w:lineRule="exact"/>
        <w:ind w:right="1247"/>
        <w:jc w:val="lowKashida"/>
        <w:rPr>
          <w:rFonts w:cs="Traditional Arabic"/>
          <w:sz w:val="18"/>
          <w:szCs w:val="26"/>
        </w:rPr>
      </w:pPr>
      <w:r w:rsidRPr="00F0073E">
        <w:rPr>
          <w:rFonts w:cs="Traditional Arabic"/>
          <w:sz w:val="18"/>
          <w:szCs w:val="26"/>
        </w:rPr>
        <w:t>A/HRC/10/44/Add.5</w:t>
      </w:r>
      <w:r w:rsidRPr="00F0073E">
        <w:rPr>
          <w:rFonts w:cs="Traditional Arabic" w:hint="cs"/>
          <w:sz w:val="18"/>
          <w:szCs w:val="26"/>
          <w:rtl/>
        </w:rPr>
        <w:t>.</w:t>
      </w:r>
    </w:p>
  </w:footnote>
  <w:footnote w:id="51">
    <w:p w:rsidR="00F815BA" w:rsidRPr="001E45D5" w:rsidRDefault="00F815BA" w:rsidP="006D2BE7">
      <w:pPr>
        <w:pStyle w:val="FootnoteText"/>
        <w:numPr>
          <w:ilvl w:val="0"/>
          <w:numId w:val="29"/>
        </w:numPr>
        <w:bidi/>
        <w:spacing w:after="60" w:line="300" w:lineRule="exact"/>
        <w:ind w:right="1247"/>
        <w:jc w:val="lowKashida"/>
        <w:rPr>
          <w:rFonts w:cs="Traditional Arabic"/>
          <w:spacing w:val="-4"/>
          <w:sz w:val="18"/>
          <w:szCs w:val="26"/>
        </w:rPr>
      </w:pPr>
      <w:r w:rsidRPr="001E45D5">
        <w:rPr>
          <w:rFonts w:cs="Traditional Arabic" w:hint="cs"/>
          <w:spacing w:val="-4"/>
          <w:sz w:val="18"/>
          <w:szCs w:val="26"/>
          <w:rtl/>
        </w:rPr>
        <w:t xml:space="preserve">انظر البلاغ رقم 133/1999، </w:t>
      </w:r>
      <w:r w:rsidRPr="001E45D5">
        <w:rPr>
          <w:rFonts w:cs="Traditional Arabic" w:hint="cs"/>
          <w:i/>
          <w:iCs/>
          <w:spacing w:val="-4"/>
          <w:sz w:val="18"/>
          <w:szCs w:val="26"/>
          <w:rtl/>
        </w:rPr>
        <w:t>فالكون ريوس ضد كندا</w:t>
      </w:r>
      <w:r w:rsidRPr="001E45D5">
        <w:rPr>
          <w:rFonts w:cs="Traditional Arabic" w:hint="cs"/>
          <w:spacing w:val="-4"/>
          <w:sz w:val="18"/>
          <w:szCs w:val="26"/>
          <w:rtl/>
        </w:rPr>
        <w:t>، القرار المعتمد في 23 تشرين الثاني/نوفمبر 2004،</w:t>
      </w:r>
      <w:r w:rsidRPr="00F0073E">
        <w:rPr>
          <w:rFonts w:cs="Traditional Arabic" w:hint="cs"/>
          <w:sz w:val="18"/>
          <w:szCs w:val="26"/>
          <w:rtl/>
        </w:rPr>
        <w:t xml:space="preserve"> </w:t>
      </w:r>
      <w:r w:rsidRPr="001E45D5">
        <w:rPr>
          <w:rFonts w:cs="Traditional Arabic" w:hint="cs"/>
          <w:spacing w:val="-4"/>
          <w:sz w:val="18"/>
          <w:szCs w:val="26"/>
          <w:rtl/>
        </w:rPr>
        <w:t xml:space="preserve">الفقرة 7-3؛ والبلاغ رقم 333/2007، </w:t>
      </w:r>
      <w:r w:rsidRPr="001E45D5">
        <w:rPr>
          <w:rFonts w:cs="Traditional Arabic" w:hint="cs"/>
          <w:i/>
          <w:iCs/>
          <w:spacing w:val="-4"/>
          <w:sz w:val="18"/>
          <w:szCs w:val="26"/>
          <w:rtl/>
        </w:rPr>
        <w:t>ت. م. ضد كندا</w:t>
      </w:r>
      <w:r w:rsidRPr="001E45D5">
        <w:rPr>
          <w:rFonts w:cs="Traditional Arabic" w:hint="cs"/>
          <w:spacing w:val="-4"/>
          <w:sz w:val="18"/>
          <w:szCs w:val="26"/>
          <w:rtl/>
        </w:rPr>
        <w:t>، القرار المعتمد في 15 تشرين الثاني/نوفمبر 2010، الفقرتان 6-3 و6-4.</w:t>
      </w:r>
    </w:p>
  </w:footnote>
  <w:footnote w:id="52">
    <w:p w:rsidR="00F815BA" w:rsidRPr="00F0073E" w:rsidRDefault="00F815BA" w:rsidP="00C46CC9">
      <w:pPr>
        <w:pStyle w:val="FootnoteText"/>
        <w:numPr>
          <w:ilvl w:val="0"/>
          <w:numId w:val="0"/>
        </w:numPr>
        <w:bidi/>
        <w:spacing w:after="60" w:line="300" w:lineRule="exact"/>
        <w:ind w:left="1254" w:right="1247" w:hanging="448"/>
        <w:jc w:val="lowKashida"/>
        <w:rPr>
          <w:rFonts w:cs="Traditional Arabic"/>
          <w:sz w:val="18"/>
          <w:szCs w:val="26"/>
        </w:rPr>
      </w:pPr>
      <w:r w:rsidRPr="00C46CC9">
        <w:rPr>
          <w:rFonts w:cs="Traditional Arabic" w:hint="cs"/>
          <w:sz w:val="26"/>
          <w:szCs w:val="26"/>
          <w:rtl/>
        </w:rPr>
        <w:t>(ﻫ)</w:t>
      </w:r>
      <w:r w:rsidRPr="00C46CC9">
        <w:rPr>
          <w:rFonts w:cs="Traditional Arabic" w:hint="cs"/>
          <w:sz w:val="26"/>
          <w:szCs w:val="26"/>
          <w:rtl/>
        </w:rPr>
        <w:tab/>
      </w:r>
      <w:r w:rsidRPr="00F0073E">
        <w:rPr>
          <w:rFonts w:cs="Traditional Arabic" w:hint="cs"/>
          <w:sz w:val="18"/>
          <w:szCs w:val="26"/>
          <w:rtl/>
        </w:rPr>
        <w:t xml:space="preserve">انظر البلاغ رقم 170/2000، </w:t>
      </w:r>
      <w:r w:rsidRPr="00C46CC9">
        <w:rPr>
          <w:rFonts w:cs="Traditional Arabic" w:hint="cs"/>
          <w:i/>
          <w:iCs/>
          <w:sz w:val="18"/>
          <w:szCs w:val="26"/>
          <w:rtl/>
        </w:rPr>
        <w:t>أ. ر. ضد السويد</w:t>
      </w:r>
      <w:r w:rsidRPr="00F0073E">
        <w:rPr>
          <w:rFonts w:cs="Traditional Arabic" w:hint="cs"/>
          <w:sz w:val="18"/>
          <w:szCs w:val="26"/>
          <w:rtl/>
        </w:rPr>
        <w:t>، القرار المعتمد في 23 تشرين الثاني/نوفمبر 2001، الفقرة 7-1.</w:t>
      </w:r>
    </w:p>
  </w:footnote>
  <w:footnote w:id="53">
    <w:p w:rsidR="00F815BA" w:rsidRPr="00F0073E" w:rsidRDefault="00F815BA" w:rsidP="00C46CC9">
      <w:pPr>
        <w:pStyle w:val="FootnoteText"/>
        <w:numPr>
          <w:ilvl w:val="0"/>
          <w:numId w:val="0"/>
        </w:numPr>
        <w:bidi/>
        <w:spacing w:after="60" w:line="300" w:lineRule="exact"/>
        <w:ind w:left="1268" w:right="1247" w:hanging="462"/>
        <w:jc w:val="lowKashida"/>
        <w:rPr>
          <w:rFonts w:cs="Traditional Arabic"/>
          <w:sz w:val="18"/>
          <w:szCs w:val="26"/>
        </w:rPr>
      </w:pPr>
      <w:r>
        <w:rPr>
          <w:rFonts w:cs="Traditional Arabic" w:hint="cs"/>
          <w:sz w:val="18"/>
          <w:szCs w:val="26"/>
          <w:rtl/>
        </w:rPr>
        <w:t>(و)</w:t>
      </w:r>
      <w:r>
        <w:rPr>
          <w:rFonts w:cs="Traditional Arabic" w:hint="cs"/>
          <w:sz w:val="18"/>
          <w:szCs w:val="26"/>
          <w:rtl/>
        </w:rPr>
        <w:tab/>
      </w:r>
      <w:r w:rsidRPr="00F0073E">
        <w:rPr>
          <w:rFonts w:cs="Traditional Arabic"/>
          <w:sz w:val="18"/>
          <w:szCs w:val="26"/>
        </w:rPr>
        <w:t>CAT/C/TGO/CO/2</w:t>
      </w:r>
      <w:r w:rsidRPr="00F0073E">
        <w:rPr>
          <w:rFonts w:cs="Traditional Arabic" w:hint="cs"/>
          <w:sz w:val="18"/>
          <w:szCs w:val="26"/>
          <w:rtl/>
        </w:rPr>
        <w:t>.</w:t>
      </w:r>
    </w:p>
  </w:footnote>
  <w:footnote w:id="54">
    <w:p w:rsidR="00F815BA" w:rsidRPr="004355F7" w:rsidRDefault="00F815BA" w:rsidP="004355F7">
      <w:pPr>
        <w:pStyle w:val="FootnoteText"/>
        <w:numPr>
          <w:ilvl w:val="0"/>
          <w:numId w:val="30"/>
        </w:numPr>
        <w:bidi/>
        <w:spacing w:after="60" w:line="300" w:lineRule="exact"/>
        <w:ind w:right="1247"/>
        <w:jc w:val="lowKashida"/>
        <w:rPr>
          <w:rFonts w:cs="Traditional Arabic" w:hint="cs"/>
          <w:sz w:val="18"/>
          <w:szCs w:val="26"/>
        </w:rPr>
      </w:pPr>
      <w:r w:rsidRPr="004355F7">
        <w:rPr>
          <w:rFonts w:cs="Traditional Arabic" w:hint="cs"/>
          <w:spacing w:val="-4"/>
          <w:sz w:val="18"/>
          <w:szCs w:val="26"/>
          <w:rtl/>
        </w:rPr>
        <w:t>ترد أربع</w:t>
      </w:r>
      <w:r w:rsidRPr="004355F7">
        <w:rPr>
          <w:rFonts w:cs="Traditional Arabic" w:hint="cs"/>
          <w:spacing w:val="-4"/>
          <w:sz w:val="18"/>
          <w:szCs w:val="26"/>
          <w:rtl/>
          <w:lang w:bidi="ar-EG"/>
        </w:rPr>
        <w:t xml:space="preserve"> طرائق مختلفة ل</w:t>
      </w:r>
      <w:r w:rsidRPr="004355F7">
        <w:rPr>
          <w:rFonts w:cs="Traditional Arabic" w:hint="cs"/>
          <w:spacing w:val="-4"/>
          <w:sz w:val="18"/>
          <w:szCs w:val="26"/>
          <w:rtl/>
        </w:rPr>
        <w:t>هجاء اسم صاحبة الشكوى ولقبها، وتاريخان مختلفان للميلاد، وجنسيتان لبلدين مختلفين،</w:t>
      </w:r>
      <w:r w:rsidRPr="004355F7">
        <w:rPr>
          <w:rFonts w:cs="Traditional Arabic" w:hint="cs"/>
          <w:sz w:val="18"/>
          <w:szCs w:val="26"/>
          <w:rtl/>
        </w:rPr>
        <w:t xml:space="preserve"> هما إثيوبيا والصومال، في </w:t>
      </w:r>
      <w:r w:rsidRPr="004355F7">
        <w:rPr>
          <w:rFonts w:cs="Traditional Arabic" w:hint="cs"/>
          <w:sz w:val="18"/>
          <w:szCs w:val="26"/>
          <w:rtl/>
          <w:lang w:val="en-CA" w:bidi="ar-EG"/>
        </w:rPr>
        <w:t>محضر المقابلة التي عقدها المكتب الاتحادي للهجرة في 29 آذار/مارس 2007 وقرار المكتب الاتحادي للهجرة الصادر في 22 حزيران/يونيه 2007 وحكم المحكمة الاتحادية الإدارية الصادر في 23 تشرين الأول/أكتوبر 2009.</w:t>
      </w:r>
    </w:p>
  </w:footnote>
  <w:footnote w:id="55">
    <w:p w:rsidR="00F815BA" w:rsidRPr="004355F7" w:rsidRDefault="00F815BA" w:rsidP="004355F7">
      <w:pPr>
        <w:pStyle w:val="FootnoteText"/>
        <w:numPr>
          <w:ilvl w:val="0"/>
          <w:numId w:val="30"/>
        </w:numPr>
        <w:bidi/>
        <w:spacing w:after="60" w:line="300" w:lineRule="exact"/>
        <w:ind w:right="1247"/>
        <w:jc w:val="lowKashida"/>
        <w:rPr>
          <w:rFonts w:cs="Traditional Arabic" w:hint="cs"/>
          <w:sz w:val="18"/>
          <w:szCs w:val="26"/>
        </w:rPr>
      </w:pPr>
      <w:r w:rsidRPr="004355F7">
        <w:rPr>
          <w:rFonts w:cs="Traditional Arabic" w:hint="cs"/>
          <w:sz w:val="18"/>
          <w:szCs w:val="26"/>
          <w:rtl/>
        </w:rPr>
        <w:t>الفقرة 1 من المادة 114 من النظام الداخلي الحالي (</w:t>
      </w:r>
      <w:r w:rsidRPr="004355F7">
        <w:rPr>
          <w:rFonts w:cs="Traditional Arabic"/>
          <w:sz w:val="18"/>
          <w:szCs w:val="26"/>
          <w:lang w:val="en-CA"/>
        </w:rPr>
        <w:t>CAT/C/3/Rev.5</w:t>
      </w:r>
      <w:r w:rsidRPr="004355F7">
        <w:rPr>
          <w:rFonts w:cs="Traditional Arabic" w:hint="cs"/>
          <w:sz w:val="18"/>
          <w:szCs w:val="26"/>
          <w:rtl/>
        </w:rPr>
        <w:t>)</w:t>
      </w:r>
      <w:r w:rsidRPr="004355F7">
        <w:rPr>
          <w:rFonts w:cs="Traditional Arabic" w:hint="cs"/>
          <w:sz w:val="18"/>
          <w:szCs w:val="26"/>
          <w:rtl/>
          <w:lang w:val="en-CA" w:bidi="ar-EG"/>
        </w:rPr>
        <w:t>.</w:t>
      </w:r>
    </w:p>
  </w:footnote>
  <w:footnote w:id="56">
    <w:p w:rsidR="00F815BA" w:rsidRPr="004355F7" w:rsidRDefault="00F815BA" w:rsidP="004355F7">
      <w:pPr>
        <w:pStyle w:val="FootnoteText"/>
        <w:numPr>
          <w:ilvl w:val="0"/>
          <w:numId w:val="30"/>
        </w:numPr>
        <w:bidi/>
        <w:spacing w:after="60" w:line="300" w:lineRule="exact"/>
        <w:ind w:right="1247"/>
        <w:jc w:val="lowKashida"/>
        <w:rPr>
          <w:rFonts w:cs="Traditional Arabic" w:hint="cs"/>
          <w:sz w:val="18"/>
          <w:szCs w:val="26"/>
        </w:rPr>
      </w:pPr>
      <w:r w:rsidRPr="004355F7">
        <w:rPr>
          <w:rFonts w:cs="Traditional Arabic" w:hint="cs"/>
          <w:sz w:val="18"/>
          <w:szCs w:val="26"/>
          <w:rtl/>
        </w:rPr>
        <w:t xml:space="preserve">يشار إلى حكم المحكمة الاتحادية الإدارية رقم </w:t>
      </w:r>
      <w:r w:rsidRPr="004355F7">
        <w:rPr>
          <w:rFonts w:cs="Traditional Arabic"/>
          <w:sz w:val="18"/>
          <w:szCs w:val="26"/>
          <w:lang w:val="en-CA"/>
        </w:rPr>
        <w:t>D-5398/2006</w:t>
      </w:r>
      <w:r w:rsidRPr="004355F7">
        <w:rPr>
          <w:rFonts w:cs="Traditional Arabic" w:hint="cs"/>
          <w:sz w:val="18"/>
          <w:szCs w:val="26"/>
          <w:rtl/>
          <w:lang w:val="en-CA" w:bidi="ar-EG"/>
        </w:rPr>
        <w:t>، الصادر في 24 حزيران/يونيه 2009، فيما</w:t>
      </w:r>
      <w:r w:rsidRPr="004355F7">
        <w:rPr>
          <w:rFonts w:cs="Traditional Arabic" w:hint="eastAsia"/>
          <w:sz w:val="18"/>
          <w:szCs w:val="26"/>
          <w:rtl/>
          <w:lang w:val="en-CA" w:bidi="ar-EG"/>
        </w:rPr>
        <w:t> </w:t>
      </w:r>
      <w:r w:rsidRPr="004355F7">
        <w:rPr>
          <w:rFonts w:cs="Traditional Arabic" w:hint="cs"/>
          <w:sz w:val="18"/>
          <w:szCs w:val="26"/>
          <w:rtl/>
          <w:lang w:val="en-CA" w:bidi="ar-EG"/>
        </w:rPr>
        <w:t>يتعلق بطلب لجوء "أ." ضد المكتب الاتحادي للهجرة.</w:t>
      </w:r>
    </w:p>
  </w:footnote>
  <w:footnote w:id="57">
    <w:p w:rsidR="00F815BA" w:rsidRPr="004355F7" w:rsidRDefault="00F815BA" w:rsidP="00174D90">
      <w:pPr>
        <w:pStyle w:val="FootnoteText"/>
        <w:numPr>
          <w:ilvl w:val="0"/>
          <w:numId w:val="30"/>
        </w:numPr>
        <w:bidi/>
        <w:spacing w:after="60" w:line="260" w:lineRule="exact"/>
        <w:ind w:right="1247"/>
        <w:jc w:val="lowKashida"/>
        <w:rPr>
          <w:rFonts w:cs="Traditional Arabic" w:hint="cs"/>
          <w:spacing w:val="-3"/>
          <w:sz w:val="18"/>
          <w:szCs w:val="26"/>
        </w:rPr>
      </w:pPr>
      <w:r>
        <w:rPr>
          <w:rFonts w:cs="Traditional Arabic" w:hint="cs"/>
          <w:spacing w:val="-3"/>
          <w:sz w:val="18"/>
          <w:szCs w:val="26"/>
          <w:rtl/>
        </w:rPr>
        <w:t>انظر</w:t>
      </w:r>
      <w:r w:rsidRPr="004355F7">
        <w:rPr>
          <w:rFonts w:cs="Traditional Arabic" w:hint="cs"/>
          <w:spacing w:val="-3"/>
          <w:sz w:val="18"/>
          <w:szCs w:val="26"/>
          <w:rtl/>
        </w:rPr>
        <w:t xml:space="preserve"> </w:t>
      </w:r>
      <w:r w:rsidRPr="004355F7">
        <w:rPr>
          <w:rFonts w:cs="Traditional Arabic"/>
          <w:spacing w:val="-3"/>
          <w:sz w:val="18"/>
          <w:szCs w:val="26"/>
        </w:rPr>
        <w:t xml:space="preserve">Human Rights Watch, “Analysis of Ethiopia’s draft anti-terrorism law”, 30 June 2009; Christian Ehret, “Ethiopia lawmakers pass controversial new anti-terrorism law”, </w:t>
      </w:r>
      <w:r w:rsidRPr="004355F7">
        <w:rPr>
          <w:rFonts w:cs="Traditional Arabic"/>
          <w:i/>
          <w:iCs/>
          <w:spacing w:val="-3"/>
          <w:sz w:val="18"/>
          <w:szCs w:val="26"/>
        </w:rPr>
        <w:t>Jurist,</w:t>
      </w:r>
      <w:r w:rsidRPr="004355F7">
        <w:rPr>
          <w:rFonts w:cs="Traditional Arabic"/>
          <w:spacing w:val="-3"/>
          <w:sz w:val="18"/>
          <w:szCs w:val="26"/>
        </w:rPr>
        <w:t xml:space="preserve"> 9 July 2009</w:t>
      </w:r>
      <w:r w:rsidRPr="004355F7">
        <w:rPr>
          <w:rFonts w:cs="Traditional Arabic" w:hint="cs"/>
          <w:spacing w:val="-3"/>
          <w:sz w:val="18"/>
          <w:szCs w:val="26"/>
          <w:rtl/>
        </w:rPr>
        <w:t>.</w:t>
      </w:r>
    </w:p>
  </w:footnote>
  <w:footnote w:id="58">
    <w:p w:rsidR="00F815BA" w:rsidRPr="004355F7" w:rsidRDefault="00F815BA" w:rsidP="00723441">
      <w:pPr>
        <w:pStyle w:val="FootnoteText"/>
        <w:numPr>
          <w:ilvl w:val="0"/>
          <w:numId w:val="0"/>
        </w:numPr>
        <w:tabs>
          <w:tab w:val="left" w:pos="1240"/>
        </w:tabs>
        <w:bidi/>
        <w:spacing w:after="60" w:line="300" w:lineRule="exact"/>
        <w:ind w:left="1240" w:right="1247" w:hanging="434"/>
        <w:jc w:val="lowKashida"/>
        <w:rPr>
          <w:rFonts w:cs="Traditional Arabic" w:hint="cs"/>
          <w:sz w:val="18"/>
          <w:szCs w:val="26"/>
        </w:rPr>
      </w:pPr>
      <w:r w:rsidRPr="004355F7">
        <w:rPr>
          <w:rFonts w:cs="Traditional Arabic" w:hint="cs"/>
          <w:sz w:val="26"/>
          <w:szCs w:val="26"/>
          <w:rtl/>
        </w:rPr>
        <w:t>(ﻫ)</w:t>
      </w:r>
      <w:r w:rsidRPr="004355F7">
        <w:rPr>
          <w:rFonts w:cs="Traditional Arabic" w:hint="cs"/>
          <w:sz w:val="26"/>
          <w:szCs w:val="26"/>
          <w:rtl/>
        </w:rPr>
        <w:tab/>
      </w:r>
      <w:r w:rsidRPr="004355F7">
        <w:rPr>
          <w:rFonts w:cs="Traditional Arabic" w:hint="cs"/>
          <w:sz w:val="18"/>
          <w:szCs w:val="26"/>
          <w:rtl/>
        </w:rPr>
        <w:t xml:space="preserve">انظر الحاشية </w:t>
      </w:r>
      <w:r>
        <w:rPr>
          <w:rFonts w:cs="Traditional Arabic" w:hint="cs"/>
          <w:sz w:val="18"/>
          <w:szCs w:val="26"/>
          <w:rtl/>
        </w:rPr>
        <w:t>(أ)</w:t>
      </w:r>
      <w:r w:rsidRPr="004355F7">
        <w:rPr>
          <w:rFonts w:cs="Traditional Arabic" w:hint="cs"/>
          <w:sz w:val="18"/>
          <w:szCs w:val="26"/>
          <w:rtl/>
        </w:rPr>
        <w:t xml:space="preserve"> أعلاه.</w:t>
      </w:r>
    </w:p>
  </w:footnote>
  <w:footnote w:id="59">
    <w:p w:rsidR="00F815BA" w:rsidRPr="004355F7" w:rsidRDefault="00F815BA" w:rsidP="00174D90">
      <w:pPr>
        <w:pStyle w:val="FootnoteText"/>
        <w:numPr>
          <w:ilvl w:val="0"/>
          <w:numId w:val="0"/>
        </w:numPr>
        <w:tabs>
          <w:tab w:val="left" w:pos="1240"/>
        </w:tabs>
        <w:bidi/>
        <w:spacing w:after="60" w:line="300" w:lineRule="exact"/>
        <w:ind w:left="1240" w:right="1247" w:hanging="434"/>
        <w:jc w:val="lowKashida"/>
        <w:rPr>
          <w:rFonts w:cs="Traditional Arabic" w:hint="cs"/>
          <w:sz w:val="18"/>
          <w:szCs w:val="26"/>
        </w:rPr>
      </w:pPr>
      <w:r w:rsidRPr="004355F7">
        <w:rPr>
          <w:rFonts w:cs="Traditional Arabic" w:hint="cs"/>
          <w:sz w:val="26"/>
          <w:szCs w:val="26"/>
          <w:rtl/>
        </w:rPr>
        <w:t>(</w:t>
      </w:r>
      <w:r>
        <w:rPr>
          <w:rFonts w:cs="Traditional Arabic" w:hint="cs"/>
          <w:sz w:val="26"/>
          <w:szCs w:val="26"/>
          <w:rtl/>
        </w:rPr>
        <w:t>و</w:t>
      </w:r>
      <w:r w:rsidRPr="004355F7">
        <w:rPr>
          <w:rFonts w:cs="Traditional Arabic" w:hint="cs"/>
          <w:sz w:val="26"/>
          <w:szCs w:val="26"/>
          <w:rtl/>
        </w:rPr>
        <w:t>)</w:t>
      </w:r>
      <w:r w:rsidRPr="004355F7">
        <w:rPr>
          <w:rFonts w:cs="Traditional Arabic" w:hint="cs"/>
          <w:sz w:val="26"/>
          <w:szCs w:val="26"/>
          <w:rtl/>
        </w:rPr>
        <w:tab/>
      </w:r>
      <w:r>
        <w:rPr>
          <w:rFonts w:cs="Traditional Arabic" w:hint="cs"/>
          <w:sz w:val="26"/>
          <w:szCs w:val="26"/>
          <w:rtl/>
        </w:rPr>
        <w:t>انظر</w:t>
      </w:r>
      <w:r w:rsidRPr="004355F7">
        <w:rPr>
          <w:rFonts w:cs="Traditional Arabic"/>
          <w:sz w:val="18"/>
          <w:szCs w:val="26"/>
        </w:rPr>
        <w:t>Human Rights Watch, “UK: Ethiopian ‘assurances’ no guarantee against torture”, 17 September 2009</w:t>
      </w:r>
      <w:r w:rsidRPr="004355F7">
        <w:rPr>
          <w:rFonts w:cs="Traditional Arabic" w:hint="cs"/>
          <w:sz w:val="18"/>
          <w:szCs w:val="26"/>
          <w:rtl/>
        </w:rPr>
        <w:t>.</w:t>
      </w:r>
    </w:p>
  </w:footnote>
  <w:footnote w:id="60">
    <w:p w:rsidR="00F815BA" w:rsidRPr="004355F7" w:rsidRDefault="00F815BA" w:rsidP="00174D90">
      <w:pPr>
        <w:pStyle w:val="FootnoteText"/>
        <w:numPr>
          <w:ilvl w:val="0"/>
          <w:numId w:val="0"/>
        </w:numPr>
        <w:tabs>
          <w:tab w:val="left" w:pos="1240"/>
        </w:tabs>
        <w:bidi/>
        <w:spacing w:after="60" w:line="300" w:lineRule="exact"/>
        <w:ind w:left="1240" w:right="1247" w:hanging="434"/>
        <w:jc w:val="lowKashida"/>
        <w:rPr>
          <w:rFonts w:cs="Traditional Arabic" w:hint="cs"/>
          <w:spacing w:val="-2"/>
          <w:sz w:val="18"/>
          <w:szCs w:val="26"/>
        </w:rPr>
      </w:pPr>
      <w:r w:rsidRPr="004355F7">
        <w:rPr>
          <w:rFonts w:cs="Traditional Arabic" w:hint="cs"/>
          <w:sz w:val="26"/>
          <w:szCs w:val="26"/>
          <w:rtl/>
        </w:rPr>
        <w:t>(</w:t>
      </w:r>
      <w:r>
        <w:rPr>
          <w:rFonts w:cs="Traditional Arabic" w:hint="cs"/>
          <w:sz w:val="26"/>
          <w:szCs w:val="26"/>
          <w:rtl/>
        </w:rPr>
        <w:t>ز</w:t>
      </w:r>
      <w:r w:rsidRPr="004355F7">
        <w:rPr>
          <w:rFonts w:cs="Traditional Arabic" w:hint="cs"/>
          <w:sz w:val="26"/>
          <w:szCs w:val="26"/>
          <w:rtl/>
        </w:rPr>
        <w:t>)</w:t>
      </w:r>
      <w:r w:rsidRPr="004355F7">
        <w:rPr>
          <w:rFonts w:cs="Traditional Arabic" w:hint="cs"/>
          <w:sz w:val="26"/>
          <w:szCs w:val="26"/>
          <w:rtl/>
        </w:rPr>
        <w:tab/>
      </w:r>
      <w:r w:rsidRPr="004355F7">
        <w:rPr>
          <w:rFonts w:cs="Traditional Arabic" w:hint="cs"/>
          <w:spacing w:val="-2"/>
          <w:sz w:val="18"/>
          <w:szCs w:val="26"/>
          <w:rtl/>
        </w:rPr>
        <w:t>تشير الدولة الطرف إلى تعليق اللجنة العام رقم 1(1997) بشأن تنفيذ المادة 3 من الاتفاقية في سياق المادة</w:t>
      </w:r>
      <w:r w:rsidRPr="004355F7">
        <w:rPr>
          <w:rFonts w:cs="Traditional Arabic" w:hint="eastAsia"/>
          <w:spacing w:val="-2"/>
          <w:sz w:val="18"/>
          <w:szCs w:val="26"/>
          <w:rtl/>
        </w:rPr>
        <w:t> </w:t>
      </w:r>
      <w:r w:rsidRPr="004355F7">
        <w:rPr>
          <w:rFonts w:cs="Traditional Arabic" w:hint="cs"/>
          <w:spacing w:val="-2"/>
          <w:sz w:val="18"/>
          <w:szCs w:val="26"/>
          <w:rtl/>
        </w:rPr>
        <w:t xml:space="preserve">22 </w:t>
      </w:r>
      <w:r w:rsidRPr="004355F7">
        <w:rPr>
          <w:rFonts w:cs="Traditional Arabic" w:hint="cs"/>
          <w:i/>
          <w:iCs/>
          <w:spacing w:val="-2"/>
          <w:sz w:val="18"/>
          <w:szCs w:val="26"/>
          <w:rtl/>
        </w:rPr>
        <w:t>(الوثائق الرسمية للجمعية العامة، الدورة الثالثة والخمسون، الملحق رقم 44</w:t>
      </w:r>
      <w:r w:rsidRPr="004355F7">
        <w:rPr>
          <w:rFonts w:cs="Traditional Arabic" w:hint="cs"/>
          <w:spacing w:val="-2"/>
          <w:sz w:val="18"/>
          <w:szCs w:val="26"/>
          <w:rtl/>
        </w:rPr>
        <w:t xml:space="preserve"> (</w:t>
      </w:r>
      <w:r w:rsidRPr="004355F7">
        <w:rPr>
          <w:rFonts w:cs="Traditional Arabic"/>
          <w:spacing w:val="-2"/>
          <w:sz w:val="18"/>
          <w:szCs w:val="26"/>
        </w:rPr>
        <w:t>A/53/44</w:t>
      </w:r>
      <w:r w:rsidRPr="004355F7">
        <w:rPr>
          <w:rFonts w:cs="Traditional Arabic" w:hint="cs"/>
          <w:spacing w:val="-2"/>
          <w:sz w:val="18"/>
          <w:szCs w:val="26"/>
          <w:rtl/>
        </w:rPr>
        <w:t xml:space="preserve"> و</w:t>
      </w:r>
      <w:r w:rsidRPr="004355F7">
        <w:rPr>
          <w:rFonts w:cs="Traditional Arabic"/>
          <w:spacing w:val="-2"/>
          <w:sz w:val="18"/>
          <w:szCs w:val="26"/>
        </w:rPr>
        <w:t>Corr.1</w:t>
      </w:r>
      <w:r w:rsidRPr="004355F7">
        <w:rPr>
          <w:rFonts w:cs="Traditional Arabic" w:hint="cs"/>
          <w:spacing w:val="-2"/>
          <w:sz w:val="18"/>
          <w:szCs w:val="26"/>
          <w:rtl/>
        </w:rPr>
        <w:t xml:space="preserve">)، </w:t>
      </w:r>
      <w:r w:rsidRPr="004355F7">
        <w:rPr>
          <w:rFonts w:cs="Traditional Arabic" w:hint="cs"/>
          <w:sz w:val="18"/>
          <w:szCs w:val="26"/>
          <w:rtl/>
        </w:rPr>
        <w:t>المرفق</w:t>
      </w:r>
      <w:r w:rsidRPr="004355F7">
        <w:rPr>
          <w:rFonts w:cs="Traditional Arabic" w:hint="cs"/>
          <w:spacing w:val="-2"/>
          <w:sz w:val="18"/>
          <w:szCs w:val="26"/>
          <w:rtl/>
        </w:rPr>
        <w:t xml:space="preserve"> التاسع)، الفقرتان 6 و8، </w:t>
      </w:r>
      <w:r>
        <w:rPr>
          <w:rFonts w:cs="Traditional Arabic" w:hint="cs"/>
          <w:spacing w:val="-2"/>
          <w:sz w:val="18"/>
          <w:szCs w:val="26"/>
          <w:rtl/>
        </w:rPr>
        <w:t xml:space="preserve">والآراء السابقة </w:t>
      </w:r>
      <w:r w:rsidRPr="004355F7">
        <w:rPr>
          <w:rFonts w:cs="Traditional Arabic" w:hint="cs"/>
          <w:spacing w:val="-2"/>
          <w:sz w:val="18"/>
          <w:szCs w:val="26"/>
          <w:rtl/>
        </w:rPr>
        <w:t>للجنة في البلاغ رقم</w:t>
      </w:r>
      <w:r w:rsidRPr="004355F7">
        <w:rPr>
          <w:rFonts w:cs="Traditional Arabic" w:hint="eastAsia"/>
          <w:spacing w:val="-2"/>
          <w:sz w:val="18"/>
          <w:szCs w:val="26"/>
          <w:rtl/>
        </w:rPr>
        <w:t> </w:t>
      </w:r>
      <w:r w:rsidRPr="004355F7">
        <w:rPr>
          <w:rFonts w:cs="Traditional Arabic" w:hint="cs"/>
          <w:spacing w:val="-2"/>
          <w:sz w:val="18"/>
          <w:szCs w:val="26"/>
          <w:rtl/>
        </w:rPr>
        <w:t xml:space="preserve">94/1997، </w:t>
      </w:r>
      <w:r w:rsidRPr="004355F7">
        <w:rPr>
          <w:rFonts w:cs="Traditional Arabic" w:hint="cs"/>
          <w:i/>
          <w:iCs/>
          <w:spacing w:val="-2"/>
          <w:sz w:val="18"/>
          <w:szCs w:val="26"/>
          <w:rtl/>
        </w:rPr>
        <w:t>ك.</w:t>
      </w:r>
      <w:r w:rsidRPr="004355F7">
        <w:rPr>
          <w:rFonts w:cs="Traditional Arabic" w:hint="eastAsia"/>
          <w:i/>
          <w:iCs/>
          <w:spacing w:val="-2"/>
          <w:sz w:val="18"/>
          <w:szCs w:val="26"/>
          <w:rtl/>
        </w:rPr>
        <w:t> </w:t>
      </w:r>
      <w:r w:rsidRPr="004355F7">
        <w:rPr>
          <w:rFonts w:cs="Traditional Arabic" w:hint="cs"/>
          <w:i/>
          <w:iCs/>
          <w:spacing w:val="-2"/>
          <w:sz w:val="18"/>
          <w:szCs w:val="26"/>
          <w:rtl/>
        </w:rPr>
        <w:t>ن. ضد سويسرا</w:t>
      </w:r>
      <w:r w:rsidRPr="004355F7">
        <w:rPr>
          <w:rFonts w:cs="Traditional Arabic" w:hint="cs"/>
          <w:spacing w:val="-2"/>
          <w:sz w:val="18"/>
          <w:szCs w:val="26"/>
          <w:rtl/>
        </w:rPr>
        <w:t xml:space="preserve">، الآراء المعتمدة في 19 أيار/مايو 1998، الفقرة 10-2؛ والبلاغ رقم 100/1997، </w:t>
      </w:r>
      <w:r w:rsidRPr="004355F7">
        <w:rPr>
          <w:rFonts w:cs="Traditional Arabic" w:hint="cs"/>
          <w:i/>
          <w:iCs/>
          <w:spacing w:val="-2"/>
          <w:sz w:val="18"/>
          <w:szCs w:val="26"/>
          <w:rtl/>
        </w:rPr>
        <w:t>ج. يو. أ. ضد سويسرا</w:t>
      </w:r>
      <w:r w:rsidRPr="004355F7">
        <w:rPr>
          <w:rFonts w:cs="Traditional Arabic" w:hint="cs"/>
          <w:spacing w:val="-2"/>
          <w:sz w:val="18"/>
          <w:szCs w:val="26"/>
          <w:rtl/>
        </w:rPr>
        <w:t>، الآراء المعتمدة في 10 تشرين الثاني/نوفمبر 1998، الفقرتان</w:t>
      </w:r>
      <w:r w:rsidRPr="004355F7">
        <w:rPr>
          <w:rFonts w:cs="Traditional Arabic" w:hint="eastAsia"/>
          <w:spacing w:val="-2"/>
          <w:sz w:val="18"/>
          <w:szCs w:val="26"/>
          <w:rtl/>
        </w:rPr>
        <w:t> </w:t>
      </w:r>
      <w:r w:rsidRPr="004355F7">
        <w:rPr>
          <w:rFonts w:cs="Traditional Arabic" w:hint="cs"/>
          <w:spacing w:val="-2"/>
          <w:sz w:val="18"/>
          <w:szCs w:val="26"/>
          <w:rtl/>
        </w:rPr>
        <w:t>6-3 و6-5.</w:t>
      </w:r>
    </w:p>
  </w:footnote>
  <w:footnote w:id="61">
    <w:p w:rsidR="00F815BA" w:rsidRPr="004355F7" w:rsidRDefault="00F815BA" w:rsidP="00174D90">
      <w:pPr>
        <w:pStyle w:val="FootnoteText"/>
        <w:numPr>
          <w:ilvl w:val="0"/>
          <w:numId w:val="0"/>
        </w:numPr>
        <w:tabs>
          <w:tab w:val="left" w:pos="1240"/>
        </w:tabs>
        <w:bidi/>
        <w:spacing w:after="60" w:line="300" w:lineRule="exact"/>
        <w:ind w:left="1240" w:right="1247" w:hanging="434"/>
        <w:jc w:val="lowKashida"/>
        <w:rPr>
          <w:rFonts w:cs="Traditional Arabic" w:hint="cs"/>
          <w:sz w:val="18"/>
          <w:szCs w:val="26"/>
        </w:rPr>
      </w:pPr>
      <w:r w:rsidRPr="004355F7">
        <w:rPr>
          <w:rFonts w:cs="Traditional Arabic" w:hint="cs"/>
          <w:sz w:val="26"/>
          <w:szCs w:val="26"/>
          <w:rtl/>
        </w:rPr>
        <w:t>(</w:t>
      </w:r>
      <w:r>
        <w:rPr>
          <w:rFonts w:cs="Traditional Arabic" w:hint="cs"/>
          <w:sz w:val="26"/>
          <w:szCs w:val="26"/>
          <w:rtl/>
        </w:rPr>
        <w:t>ح</w:t>
      </w:r>
      <w:r w:rsidRPr="004355F7">
        <w:rPr>
          <w:rFonts w:cs="Traditional Arabic" w:hint="cs"/>
          <w:sz w:val="26"/>
          <w:szCs w:val="26"/>
          <w:rtl/>
        </w:rPr>
        <w:t>)</w:t>
      </w:r>
      <w:r w:rsidRPr="004355F7">
        <w:rPr>
          <w:rFonts w:cs="Traditional Arabic" w:hint="cs"/>
          <w:sz w:val="26"/>
          <w:szCs w:val="26"/>
          <w:rtl/>
        </w:rPr>
        <w:tab/>
      </w:r>
      <w:r w:rsidRPr="004355F7">
        <w:rPr>
          <w:rFonts w:cs="Traditional Arabic" w:hint="cs"/>
          <w:sz w:val="18"/>
          <w:szCs w:val="26"/>
          <w:rtl/>
        </w:rPr>
        <w:t xml:space="preserve">تشير الدولة الطرف إلى مذكرة التوجيه التنفيذي بشأن إثيوبيا التي نشرتها وزارة الداخلية في المملكة المتحدة لبريطانيا </w:t>
      </w:r>
      <w:r w:rsidRPr="004355F7">
        <w:rPr>
          <w:rFonts w:cs="Traditional Arabic" w:hint="cs"/>
          <w:spacing w:val="-2"/>
          <w:sz w:val="18"/>
          <w:szCs w:val="26"/>
          <w:rtl/>
        </w:rPr>
        <w:t>العظمى</w:t>
      </w:r>
      <w:r w:rsidRPr="004355F7">
        <w:rPr>
          <w:rFonts w:cs="Traditional Arabic" w:hint="cs"/>
          <w:sz w:val="18"/>
          <w:szCs w:val="26"/>
          <w:rtl/>
        </w:rPr>
        <w:t xml:space="preserve"> وآيرلندا الشمالية في آذار/مارس 2009، الفقرة 3-7-9.</w:t>
      </w:r>
    </w:p>
  </w:footnote>
  <w:footnote w:id="62">
    <w:p w:rsidR="00F815BA" w:rsidRPr="004355F7" w:rsidRDefault="00F815BA" w:rsidP="00174D90">
      <w:pPr>
        <w:pStyle w:val="FootnoteText"/>
        <w:numPr>
          <w:ilvl w:val="0"/>
          <w:numId w:val="0"/>
        </w:numPr>
        <w:tabs>
          <w:tab w:val="left" w:pos="1240"/>
        </w:tabs>
        <w:bidi/>
        <w:spacing w:after="60" w:line="300" w:lineRule="exact"/>
        <w:ind w:left="1240" w:right="1247" w:hanging="434"/>
        <w:jc w:val="lowKashida"/>
        <w:rPr>
          <w:rFonts w:cs="Traditional Arabic" w:hint="cs"/>
          <w:sz w:val="18"/>
          <w:szCs w:val="26"/>
        </w:rPr>
      </w:pPr>
      <w:r w:rsidRPr="004355F7">
        <w:rPr>
          <w:rFonts w:cs="Traditional Arabic" w:hint="cs"/>
          <w:sz w:val="26"/>
          <w:szCs w:val="26"/>
          <w:rtl/>
        </w:rPr>
        <w:t>(</w:t>
      </w:r>
      <w:r>
        <w:rPr>
          <w:rFonts w:cs="Traditional Arabic" w:hint="cs"/>
          <w:sz w:val="26"/>
          <w:szCs w:val="26"/>
          <w:rtl/>
        </w:rPr>
        <w:t>ط</w:t>
      </w:r>
      <w:r w:rsidRPr="004355F7">
        <w:rPr>
          <w:rFonts w:cs="Traditional Arabic" w:hint="cs"/>
          <w:sz w:val="26"/>
          <w:szCs w:val="26"/>
          <w:rtl/>
        </w:rPr>
        <w:t>)</w:t>
      </w:r>
      <w:r w:rsidRPr="004355F7">
        <w:rPr>
          <w:rFonts w:cs="Traditional Arabic" w:hint="cs"/>
          <w:sz w:val="26"/>
          <w:szCs w:val="26"/>
          <w:rtl/>
        </w:rPr>
        <w:tab/>
      </w:r>
      <w:r w:rsidRPr="004355F7">
        <w:rPr>
          <w:rFonts w:cs="Traditional Arabic" w:hint="cs"/>
          <w:sz w:val="18"/>
          <w:szCs w:val="26"/>
          <w:rtl/>
        </w:rPr>
        <w:t xml:space="preserve">انظر </w:t>
      </w:r>
      <w:r w:rsidRPr="004355F7">
        <w:rPr>
          <w:rFonts w:cs="Traditional Arabic" w:hint="cs"/>
          <w:spacing w:val="-2"/>
          <w:sz w:val="18"/>
          <w:szCs w:val="26"/>
          <w:rtl/>
        </w:rPr>
        <w:t>الحاشية</w:t>
      </w:r>
      <w:r w:rsidRPr="004355F7">
        <w:rPr>
          <w:rFonts w:cs="Traditional Arabic" w:hint="cs"/>
          <w:sz w:val="18"/>
          <w:szCs w:val="26"/>
          <w:rtl/>
        </w:rPr>
        <w:t xml:space="preserve"> </w:t>
      </w:r>
      <w:r>
        <w:rPr>
          <w:rFonts w:cs="Traditional Arabic" w:hint="cs"/>
          <w:sz w:val="18"/>
          <w:szCs w:val="26"/>
          <w:rtl/>
        </w:rPr>
        <w:t>(ج)</w:t>
      </w:r>
      <w:r w:rsidRPr="004355F7">
        <w:rPr>
          <w:rFonts w:cs="Traditional Arabic" w:hint="cs"/>
          <w:sz w:val="18"/>
          <w:szCs w:val="26"/>
          <w:rtl/>
        </w:rPr>
        <w:t xml:space="preserve"> أعلاه. قدمت الدولة الطرف نسخة من الحكم وهي متاحة في الملف.</w:t>
      </w:r>
    </w:p>
  </w:footnote>
  <w:footnote w:id="63">
    <w:p w:rsidR="00F815BA" w:rsidRPr="004355F7" w:rsidRDefault="00F815BA" w:rsidP="00174D90">
      <w:pPr>
        <w:pStyle w:val="FootnoteText"/>
        <w:numPr>
          <w:ilvl w:val="0"/>
          <w:numId w:val="0"/>
        </w:numPr>
        <w:tabs>
          <w:tab w:val="left" w:pos="1240"/>
        </w:tabs>
        <w:bidi/>
        <w:spacing w:after="60" w:line="300" w:lineRule="exact"/>
        <w:ind w:left="1240" w:right="1247" w:hanging="434"/>
        <w:jc w:val="lowKashida"/>
        <w:rPr>
          <w:rFonts w:cs="Traditional Arabic" w:hint="cs"/>
          <w:sz w:val="18"/>
          <w:szCs w:val="26"/>
        </w:rPr>
      </w:pPr>
      <w:r w:rsidRPr="004355F7">
        <w:rPr>
          <w:rFonts w:cs="Traditional Arabic" w:hint="cs"/>
          <w:sz w:val="26"/>
          <w:szCs w:val="26"/>
          <w:rtl/>
        </w:rPr>
        <w:t>(</w:t>
      </w:r>
      <w:r>
        <w:rPr>
          <w:rFonts w:cs="Traditional Arabic" w:hint="cs"/>
          <w:sz w:val="26"/>
          <w:szCs w:val="26"/>
          <w:rtl/>
        </w:rPr>
        <w:t>ي</w:t>
      </w:r>
      <w:r w:rsidRPr="004355F7">
        <w:rPr>
          <w:rFonts w:cs="Traditional Arabic" w:hint="cs"/>
          <w:sz w:val="26"/>
          <w:szCs w:val="26"/>
          <w:rtl/>
        </w:rPr>
        <w:t>)</w:t>
      </w:r>
      <w:r w:rsidRPr="004355F7">
        <w:rPr>
          <w:rFonts w:cs="Traditional Arabic" w:hint="cs"/>
          <w:sz w:val="26"/>
          <w:szCs w:val="26"/>
          <w:rtl/>
        </w:rPr>
        <w:tab/>
      </w:r>
      <w:r w:rsidRPr="004355F7">
        <w:rPr>
          <w:rFonts w:cs="Traditional Arabic" w:hint="cs"/>
          <w:sz w:val="18"/>
          <w:szCs w:val="26"/>
          <w:rtl/>
        </w:rPr>
        <w:t xml:space="preserve">يشار أيضاً إلى جملة أمور، من بينها البلاغ رقم 375/2009، </w:t>
      </w:r>
      <w:r w:rsidRPr="004355F7">
        <w:rPr>
          <w:rFonts w:cs="Traditional Arabic" w:hint="cs"/>
          <w:i/>
          <w:iCs/>
          <w:sz w:val="18"/>
          <w:szCs w:val="26"/>
          <w:rtl/>
        </w:rPr>
        <w:t>ت. د. ضد سويسرا</w:t>
      </w:r>
      <w:r w:rsidRPr="004355F7">
        <w:rPr>
          <w:rFonts w:cs="Traditional Arabic" w:hint="cs"/>
          <w:sz w:val="18"/>
          <w:szCs w:val="26"/>
          <w:rtl/>
        </w:rPr>
        <w:t xml:space="preserve">، القرار المعتمد في 26 </w:t>
      </w:r>
      <w:r w:rsidRPr="004355F7">
        <w:rPr>
          <w:rFonts w:cs="Traditional Arabic" w:hint="cs"/>
          <w:spacing w:val="-4"/>
          <w:sz w:val="18"/>
          <w:szCs w:val="26"/>
          <w:rtl/>
        </w:rPr>
        <w:t xml:space="preserve">أيار/مايو 2011؛ والبلاغ رقم 393/2009، </w:t>
      </w:r>
      <w:r w:rsidRPr="004355F7">
        <w:rPr>
          <w:rFonts w:cs="Traditional Arabic" w:hint="cs"/>
          <w:i/>
          <w:iCs/>
          <w:spacing w:val="-4"/>
          <w:sz w:val="18"/>
          <w:szCs w:val="26"/>
          <w:rtl/>
        </w:rPr>
        <w:t>إ. ت. ضد سويسرا</w:t>
      </w:r>
      <w:r w:rsidRPr="004355F7">
        <w:rPr>
          <w:rFonts w:cs="Traditional Arabic" w:hint="cs"/>
          <w:spacing w:val="-4"/>
          <w:sz w:val="18"/>
          <w:szCs w:val="26"/>
          <w:rtl/>
        </w:rPr>
        <w:t>، القرار المعتمد في 23 أيار/مايو 2012؛</w:t>
      </w:r>
      <w:r w:rsidRPr="004355F7">
        <w:rPr>
          <w:rFonts w:cs="Traditional Arabic" w:hint="cs"/>
          <w:sz w:val="18"/>
          <w:szCs w:val="26"/>
          <w:rtl/>
          <w:lang w:bidi="ar-EG"/>
        </w:rPr>
        <w:t xml:space="preserve"> والبلاغ رقم 414/2010، </w:t>
      </w:r>
      <w:r w:rsidRPr="004355F7">
        <w:rPr>
          <w:rFonts w:cs="Traditional Arabic" w:hint="cs"/>
          <w:i/>
          <w:iCs/>
          <w:sz w:val="18"/>
          <w:szCs w:val="26"/>
          <w:rtl/>
          <w:lang w:bidi="ar-EG"/>
        </w:rPr>
        <w:t>ن. ت. و. ضد سويسرا</w:t>
      </w:r>
      <w:r w:rsidRPr="004355F7">
        <w:rPr>
          <w:rFonts w:cs="Traditional Arabic" w:hint="cs"/>
          <w:sz w:val="18"/>
          <w:szCs w:val="26"/>
          <w:rtl/>
          <w:lang w:bidi="ar-EG"/>
        </w:rPr>
        <w:t>، القرار المعتمد في 16 أيار/مايو 2012.</w:t>
      </w:r>
    </w:p>
  </w:footnote>
  <w:footnote w:id="64">
    <w:p w:rsidR="00F815BA" w:rsidRPr="004355F7" w:rsidRDefault="00F815BA" w:rsidP="00174D90">
      <w:pPr>
        <w:pStyle w:val="FootnoteText"/>
        <w:numPr>
          <w:ilvl w:val="0"/>
          <w:numId w:val="0"/>
        </w:numPr>
        <w:tabs>
          <w:tab w:val="left" w:pos="1240"/>
        </w:tabs>
        <w:bidi/>
        <w:spacing w:after="60" w:line="300" w:lineRule="exact"/>
        <w:ind w:left="1240" w:right="1247" w:hanging="434"/>
        <w:jc w:val="lowKashida"/>
        <w:rPr>
          <w:rFonts w:cs="Traditional Arabic" w:hint="cs"/>
          <w:sz w:val="18"/>
          <w:szCs w:val="26"/>
        </w:rPr>
      </w:pPr>
      <w:r w:rsidRPr="004355F7">
        <w:rPr>
          <w:rFonts w:cs="Traditional Arabic" w:hint="cs"/>
          <w:sz w:val="26"/>
          <w:szCs w:val="26"/>
          <w:rtl/>
        </w:rPr>
        <w:t>(</w:t>
      </w:r>
      <w:r>
        <w:rPr>
          <w:rFonts w:cs="Traditional Arabic" w:hint="cs"/>
          <w:sz w:val="26"/>
          <w:szCs w:val="26"/>
          <w:rtl/>
        </w:rPr>
        <w:t>ك</w:t>
      </w:r>
      <w:r w:rsidRPr="004355F7">
        <w:rPr>
          <w:rFonts w:cs="Traditional Arabic" w:hint="cs"/>
          <w:sz w:val="26"/>
          <w:szCs w:val="26"/>
          <w:rtl/>
        </w:rPr>
        <w:t>)</w:t>
      </w:r>
      <w:r w:rsidRPr="004355F7">
        <w:rPr>
          <w:rFonts w:cs="Traditional Arabic" w:hint="cs"/>
          <w:sz w:val="26"/>
          <w:szCs w:val="26"/>
          <w:rtl/>
        </w:rPr>
        <w:tab/>
      </w:r>
      <w:r>
        <w:rPr>
          <w:rFonts w:cs="Traditional Arabic" w:hint="cs"/>
          <w:sz w:val="18"/>
          <w:szCs w:val="26"/>
          <w:rtl/>
        </w:rPr>
        <w:t>انظر</w:t>
      </w:r>
      <w:r w:rsidRPr="004355F7">
        <w:rPr>
          <w:rFonts w:cs="Traditional Arabic" w:hint="cs"/>
          <w:sz w:val="18"/>
          <w:szCs w:val="26"/>
          <w:rtl/>
        </w:rPr>
        <w:t xml:space="preserve"> المراجع التالية: </w:t>
      </w:r>
      <w:r w:rsidRPr="004355F7">
        <w:rPr>
          <w:rFonts w:cs="Traditional Arabic"/>
          <w:sz w:val="18"/>
          <w:szCs w:val="26"/>
        </w:rPr>
        <w:t xml:space="preserve">United States Department of State, 2010 Country Reports on Human Rights Practices: Ethiopia, 8 April 2011; Human Rights Watch, </w:t>
      </w:r>
      <w:r w:rsidRPr="004355F7">
        <w:rPr>
          <w:rFonts w:cs="Traditional Arabic"/>
          <w:i/>
          <w:iCs/>
          <w:sz w:val="18"/>
          <w:szCs w:val="26"/>
        </w:rPr>
        <w:t>World Report 2011</w:t>
      </w:r>
      <w:r w:rsidRPr="004355F7">
        <w:rPr>
          <w:rFonts w:cs="Traditional Arabic"/>
          <w:sz w:val="18"/>
          <w:szCs w:val="26"/>
        </w:rPr>
        <w:t xml:space="preserve"> (New York, 2011), pp. 121-126; Freedom House, </w:t>
      </w:r>
      <w:r w:rsidRPr="004355F7">
        <w:rPr>
          <w:rFonts w:cs="Traditional Arabic"/>
          <w:i/>
          <w:iCs/>
          <w:sz w:val="18"/>
          <w:szCs w:val="26"/>
        </w:rPr>
        <w:t>Freedom on the Net 2011,</w:t>
      </w:r>
      <w:r w:rsidRPr="004355F7">
        <w:rPr>
          <w:rFonts w:cs="Traditional Arabic"/>
          <w:sz w:val="18"/>
          <w:szCs w:val="26"/>
        </w:rPr>
        <w:t xml:space="preserve"> pp. 132-140; The Economist Intelligence Unit Limited, “Country report: Ethiopia”, April 2011, p. 9</w:t>
      </w:r>
      <w:r w:rsidRPr="004355F7">
        <w:rPr>
          <w:rFonts w:cs="Traditional Arabic" w:hint="cs"/>
          <w:sz w:val="18"/>
          <w:szCs w:val="26"/>
          <w:rtl/>
        </w:rPr>
        <w:t>.</w:t>
      </w:r>
    </w:p>
  </w:footnote>
  <w:footnote w:id="65">
    <w:p w:rsidR="00F815BA" w:rsidRPr="004355F7" w:rsidRDefault="00F815BA" w:rsidP="00174D90">
      <w:pPr>
        <w:pStyle w:val="FootnoteText"/>
        <w:numPr>
          <w:ilvl w:val="0"/>
          <w:numId w:val="0"/>
        </w:numPr>
        <w:tabs>
          <w:tab w:val="left" w:pos="1240"/>
        </w:tabs>
        <w:bidi/>
        <w:spacing w:after="60" w:line="300" w:lineRule="exact"/>
        <w:ind w:left="1240" w:right="1247" w:hanging="434"/>
        <w:jc w:val="lowKashida"/>
        <w:rPr>
          <w:rFonts w:cs="Traditional Arabic" w:hint="cs"/>
          <w:sz w:val="18"/>
          <w:szCs w:val="26"/>
        </w:rPr>
      </w:pPr>
      <w:r w:rsidRPr="004355F7">
        <w:rPr>
          <w:rFonts w:cs="Traditional Arabic" w:hint="cs"/>
          <w:sz w:val="26"/>
          <w:szCs w:val="26"/>
          <w:rtl/>
        </w:rPr>
        <w:t>(</w:t>
      </w:r>
      <w:r>
        <w:rPr>
          <w:rFonts w:cs="Traditional Arabic" w:hint="cs"/>
          <w:sz w:val="26"/>
          <w:szCs w:val="26"/>
          <w:rtl/>
        </w:rPr>
        <w:t>ل</w:t>
      </w:r>
      <w:r w:rsidRPr="004355F7">
        <w:rPr>
          <w:rFonts w:cs="Traditional Arabic" w:hint="cs"/>
          <w:sz w:val="26"/>
          <w:szCs w:val="26"/>
          <w:rtl/>
        </w:rPr>
        <w:t>)</w:t>
      </w:r>
      <w:r w:rsidRPr="004355F7">
        <w:rPr>
          <w:rFonts w:cs="Traditional Arabic" w:hint="cs"/>
          <w:sz w:val="26"/>
          <w:szCs w:val="26"/>
          <w:rtl/>
        </w:rPr>
        <w:tab/>
      </w:r>
      <w:r w:rsidRPr="004355F7">
        <w:rPr>
          <w:rFonts w:cs="Traditional Arabic" w:hint="cs"/>
          <w:spacing w:val="-2"/>
          <w:sz w:val="18"/>
          <w:szCs w:val="26"/>
          <w:rtl/>
        </w:rPr>
        <w:t>التوكيد</w:t>
      </w:r>
      <w:r w:rsidRPr="004355F7">
        <w:rPr>
          <w:rFonts w:cs="Traditional Arabic" w:hint="cs"/>
          <w:sz w:val="18"/>
          <w:szCs w:val="26"/>
          <w:rtl/>
        </w:rPr>
        <w:t xml:space="preserve"> مضاف من صاحبة الشكوى.</w:t>
      </w:r>
    </w:p>
  </w:footnote>
  <w:footnote w:id="66">
    <w:p w:rsidR="00F815BA" w:rsidRPr="00C16AFF" w:rsidRDefault="00F815BA" w:rsidP="00723441">
      <w:pPr>
        <w:pStyle w:val="FootnoteText"/>
        <w:numPr>
          <w:ilvl w:val="0"/>
          <w:numId w:val="0"/>
        </w:numPr>
        <w:tabs>
          <w:tab w:val="left" w:pos="1240"/>
        </w:tabs>
        <w:bidi/>
        <w:spacing w:after="60" w:line="300" w:lineRule="exact"/>
        <w:ind w:left="1240" w:right="1247" w:hanging="434"/>
        <w:jc w:val="lowKashida"/>
        <w:rPr>
          <w:rFonts w:cs="Traditional Arabic" w:hint="cs"/>
          <w:spacing w:val="-4"/>
          <w:sz w:val="18"/>
          <w:szCs w:val="26"/>
        </w:rPr>
      </w:pPr>
      <w:r w:rsidRPr="00C16AFF">
        <w:rPr>
          <w:rFonts w:cs="Traditional Arabic" w:hint="cs"/>
          <w:spacing w:val="-4"/>
          <w:sz w:val="26"/>
          <w:szCs w:val="26"/>
          <w:rtl/>
        </w:rPr>
        <w:t>(م)</w:t>
      </w:r>
      <w:r w:rsidRPr="00C16AFF">
        <w:rPr>
          <w:rFonts w:cs="Traditional Arabic" w:hint="cs"/>
          <w:spacing w:val="-4"/>
          <w:sz w:val="26"/>
          <w:szCs w:val="26"/>
          <w:rtl/>
        </w:rPr>
        <w:tab/>
      </w:r>
      <w:r w:rsidRPr="00C16AFF">
        <w:rPr>
          <w:rFonts w:cs="Traditional Arabic" w:hint="cs"/>
          <w:spacing w:val="-4"/>
          <w:sz w:val="18"/>
          <w:szCs w:val="26"/>
          <w:rtl/>
        </w:rPr>
        <w:t xml:space="preserve">انظر المرجعين التاليين: </w:t>
      </w:r>
      <w:r w:rsidRPr="00C16AFF">
        <w:rPr>
          <w:rFonts w:cs="Traditional Arabic"/>
          <w:spacing w:val="-4"/>
          <w:sz w:val="18"/>
          <w:szCs w:val="26"/>
        </w:rPr>
        <w:t>United States Department of State, 2010 Country Reports (note 11 above); and Human Rights Watch, submission to the Committee against Torture on Ethiopia, September 2010</w:t>
      </w:r>
      <w:r w:rsidRPr="00C16AFF">
        <w:rPr>
          <w:rFonts w:cs="Traditional Arabic" w:hint="cs"/>
          <w:spacing w:val="-4"/>
          <w:sz w:val="18"/>
          <w:szCs w:val="26"/>
          <w:rtl/>
        </w:rPr>
        <w:t>.</w:t>
      </w:r>
    </w:p>
  </w:footnote>
  <w:footnote w:id="67">
    <w:p w:rsidR="00F815BA" w:rsidRPr="004355F7" w:rsidRDefault="00F815BA" w:rsidP="00C16AFF">
      <w:pPr>
        <w:pStyle w:val="FootnoteText"/>
        <w:numPr>
          <w:ilvl w:val="0"/>
          <w:numId w:val="0"/>
        </w:numPr>
        <w:tabs>
          <w:tab w:val="left" w:pos="1240"/>
        </w:tabs>
        <w:bidi/>
        <w:spacing w:after="60" w:line="300" w:lineRule="exact"/>
        <w:ind w:left="1240" w:right="1247" w:hanging="434"/>
        <w:jc w:val="lowKashida"/>
        <w:rPr>
          <w:rFonts w:cs="Traditional Arabic" w:hint="cs"/>
          <w:spacing w:val="-4"/>
          <w:sz w:val="18"/>
          <w:szCs w:val="26"/>
        </w:rPr>
      </w:pPr>
      <w:r w:rsidRPr="004355F7">
        <w:rPr>
          <w:rFonts w:cs="Traditional Arabic" w:hint="cs"/>
          <w:sz w:val="26"/>
          <w:szCs w:val="26"/>
          <w:rtl/>
        </w:rPr>
        <w:t>(</w:t>
      </w:r>
      <w:r>
        <w:rPr>
          <w:rFonts w:cs="Traditional Arabic" w:hint="cs"/>
          <w:sz w:val="26"/>
          <w:szCs w:val="26"/>
          <w:rtl/>
        </w:rPr>
        <w:t>ن</w:t>
      </w:r>
      <w:r w:rsidRPr="004355F7">
        <w:rPr>
          <w:rFonts w:cs="Traditional Arabic" w:hint="cs"/>
          <w:sz w:val="26"/>
          <w:szCs w:val="26"/>
          <w:rtl/>
        </w:rPr>
        <w:t>)</w:t>
      </w:r>
      <w:r w:rsidRPr="004355F7">
        <w:rPr>
          <w:rFonts w:cs="Traditional Arabic" w:hint="cs"/>
          <w:sz w:val="26"/>
          <w:szCs w:val="26"/>
          <w:rtl/>
        </w:rPr>
        <w:tab/>
      </w:r>
      <w:r w:rsidRPr="004355F7">
        <w:rPr>
          <w:rFonts w:cs="Traditional Arabic" w:hint="cs"/>
          <w:sz w:val="18"/>
          <w:szCs w:val="26"/>
          <w:rtl/>
        </w:rPr>
        <w:t xml:space="preserve">انظر، في جملة أمور، البلاغ رقم 203/2002، </w:t>
      </w:r>
      <w:r w:rsidRPr="004355F7">
        <w:rPr>
          <w:rFonts w:cs="Traditional Arabic" w:hint="cs"/>
          <w:i/>
          <w:iCs/>
          <w:sz w:val="18"/>
          <w:szCs w:val="26"/>
          <w:rtl/>
        </w:rPr>
        <w:t>أ. ر. ضد هولندا</w:t>
      </w:r>
      <w:r w:rsidRPr="004355F7">
        <w:rPr>
          <w:rFonts w:cs="Traditional Arabic" w:hint="cs"/>
          <w:sz w:val="18"/>
          <w:szCs w:val="26"/>
          <w:rtl/>
        </w:rPr>
        <w:t xml:space="preserve">، القرار المعتمد في 14 تشرين الثاني/ </w:t>
      </w:r>
      <w:r w:rsidRPr="004355F7">
        <w:rPr>
          <w:rFonts w:cs="Traditional Arabic" w:hint="cs"/>
          <w:spacing w:val="-4"/>
          <w:sz w:val="18"/>
          <w:szCs w:val="26"/>
          <w:rtl/>
        </w:rPr>
        <w:t xml:space="preserve">نوفمبر 2003؛ والبلاغ رقم 258/2004، </w:t>
      </w:r>
      <w:r w:rsidRPr="004355F7">
        <w:rPr>
          <w:rFonts w:cs="Traditional Arabic" w:hint="cs"/>
          <w:i/>
          <w:iCs/>
          <w:spacing w:val="-4"/>
          <w:sz w:val="18"/>
          <w:szCs w:val="26"/>
          <w:rtl/>
        </w:rPr>
        <w:t>دادار ضد كندا</w:t>
      </w:r>
      <w:r w:rsidRPr="004355F7">
        <w:rPr>
          <w:rFonts w:cs="Traditional Arabic" w:hint="cs"/>
          <w:spacing w:val="-4"/>
          <w:sz w:val="18"/>
          <w:szCs w:val="26"/>
          <w:rtl/>
        </w:rPr>
        <w:t>، القرار المعتمد في 23 تشرين الثاني/نوفمبر 2005.</w:t>
      </w:r>
    </w:p>
  </w:footnote>
  <w:footnote w:id="68">
    <w:p w:rsidR="00F815BA" w:rsidRPr="004355F7" w:rsidRDefault="00F815BA" w:rsidP="00C16AFF">
      <w:pPr>
        <w:pStyle w:val="FootnoteText"/>
        <w:numPr>
          <w:ilvl w:val="0"/>
          <w:numId w:val="0"/>
        </w:numPr>
        <w:tabs>
          <w:tab w:val="left" w:pos="1240"/>
        </w:tabs>
        <w:bidi/>
        <w:spacing w:after="60" w:line="300" w:lineRule="exact"/>
        <w:ind w:left="1240" w:right="1247" w:hanging="434"/>
        <w:jc w:val="lowKashida"/>
        <w:rPr>
          <w:rFonts w:cs="Traditional Arabic" w:hint="cs"/>
          <w:sz w:val="18"/>
          <w:szCs w:val="26"/>
        </w:rPr>
      </w:pPr>
      <w:r w:rsidRPr="004355F7">
        <w:rPr>
          <w:rFonts w:cs="Traditional Arabic" w:hint="cs"/>
          <w:sz w:val="26"/>
          <w:szCs w:val="26"/>
          <w:rtl/>
        </w:rPr>
        <w:t>(</w:t>
      </w:r>
      <w:r>
        <w:rPr>
          <w:rFonts w:cs="Traditional Arabic" w:hint="cs"/>
          <w:sz w:val="26"/>
          <w:szCs w:val="26"/>
          <w:rtl/>
        </w:rPr>
        <w:t>س</w:t>
      </w:r>
      <w:r w:rsidRPr="004355F7">
        <w:rPr>
          <w:rFonts w:cs="Traditional Arabic" w:hint="cs"/>
          <w:sz w:val="26"/>
          <w:szCs w:val="26"/>
          <w:rtl/>
        </w:rPr>
        <w:t>)</w:t>
      </w:r>
      <w:r w:rsidRPr="004355F7">
        <w:rPr>
          <w:rFonts w:cs="Traditional Arabic" w:hint="cs"/>
          <w:sz w:val="26"/>
          <w:szCs w:val="26"/>
          <w:rtl/>
        </w:rPr>
        <w:tab/>
      </w:r>
      <w:r w:rsidRPr="004355F7">
        <w:rPr>
          <w:rFonts w:cs="Traditional Arabic" w:hint="cs"/>
          <w:spacing w:val="-3"/>
          <w:sz w:val="18"/>
          <w:szCs w:val="26"/>
          <w:rtl/>
        </w:rPr>
        <w:t xml:space="preserve">انظر، في جملة أمور، البلاغ رقم 356/2008، </w:t>
      </w:r>
      <w:r w:rsidRPr="004355F7">
        <w:rPr>
          <w:rFonts w:cs="Traditional Arabic" w:hint="cs"/>
          <w:i/>
          <w:iCs/>
          <w:spacing w:val="-3"/>
          <w:sz w:val="18"/>
          <w:szCs w:val="26"/>
          <w:rtl/>
        </w:rPr>
        <w:t>ن. س. ضد سويسرا</w:t>
      </w:r>
      <w:r w:rsidRPr="004355F7">
        <w:rPr>
          <w:rFonts w:cs="Traditional Arabic" w:hint="cs"/>
          <w:spacing w:val="-3"/>
          <w:sz w:val="18"/>
          <w:szCs w:val="26"/>
          <w:rtl/>
        </w:rPr>
        <w:t>، القرار المعتمد في 6 أيار/مايو 2010،</w:t>
      </w:r>
      <w:r w:rsidRPr="004355F7">
        <w:rPr>
          <w:rFonts w:cs="Traditional Arabic" w:hint="cs"/>
          <w:sz w:val="18"/>
          <w:szCs w:val="26"/>
          <w:rtl/>
        </w:rPr>
        <w:t xml:space="preserve"> الفقرة 7-3.</w:t>
      </w:r>
    </w:p>
  </w:footnote>
  <w:footnote w:id="69">
    <w:p w:rsidR="00F815BA" w:rsidRPr="004355F7" w:rsidRDefault="00F815BA" w:rsidP="00C16AFF">
      <w:pPr>
        <w:pStyle w:val="FootnoteText"/>
        <w:numPr>
          <w:ilvl w:val="0"/>
          <w:numId w:val="0"/>
        </w:numPr>
        <w:tabs>
          <w:tab w:val="left" w:pos="1240"/>
        </w:tabs>
        <w:bidi/>
        <w:spacing w:after="60" w:line="300" w:lineRule="exact"/>
        <w:ind w:left="1240" w:right="1247" w:hanging="434"/>
        <w:jc w:val="lowKashida"/>
        <w:rPr>
          <w:rFonts w:cs="Traditional Arabic" w:hint="cs"/>
          <w:spacing w:val="-5"/>
          <w:sz w:val="18"/>
          <w:szCs w:val="26"/>
        </w:rPr>
      </w:pPr>
      <w:r w:rsidRPr="004355F7">
        <w:rPr>
          <w:rFonts w:cs="Traditional Arabic" w:hint="cs"/>
          <w:sz w:val="26"/>
          <w:szCs w:val="26"/>
          <w:rtl/>
        </w:rPr>
        <w:t>(</w:t>
      </w:r>
      <w:r>
        <w:rPr>
          <w:rFonts w:cs="Traditional Arabic" w:hint="cs"/>
          <w:sz w:val="26"/>
          <w:szCs w:val="26"/>
          <w:rtl/>
        </w:rPr>
        <w:t>ع</w:t>
      </w:r>
      <w:r w:rsidRPr="004355F7">
        <w:rPr>
          <w:rFonts w:cs="Traditional Arabic" w:hint="cs"/>
          <w:sz w:val="26"/>
          <w:szCs w:val="26"/>
          <w:rtl/>
        </w:rPr>
        <w:t>)</w:t>
      </w:r>
      <w:r w:rsidRPr="004355F7">
        <w:rPr>
          <w:rFonts w:cs="Traditional Arabic" w:hint="cs"/>
          <w:sz w:val="26"/>
          <w:szCs w:val="26"/>
          <w:rtl/>
        </w:rPr>
        <w:tab/>
      </w:r>
      <w:r w:rsidRPr="004355F7">
        <w:rPr>
          <w:rFonts w:cs="Traditional Arabic" w:hint="cs"/>
          <w:spacing w:val="-2"/>
          <w:sz w:val="18"/>
          <w:szCs w:val="26"/>
          <w:rtl/>
        </w:rPr>
        <w:t>تلاحظ</w:t>
      </w:r>
      <w:r w:rsidRPr="004355F7">
        <w:rPr>
          <w:rFonts w:cs="Traditional Arabic" w:hint="cs"/>
          <w:spacing w:val="-5"/>
          <w:sz w:val="18"/>
          <w:szCs w:val="26"/>
          <w:rtl/>
        </w:rPr>
        <w:t xml:space="preserve"> اللجنة أن إثيوبيا أيضاً دولة طرف في اتفاقية مناهضة التعذيب وغيره من ضروب المعاملة أو العقوبة القاسية أو اللاإنسانية أو المهينة، وتذكّر بملاحظاتها الختامية لعام 2011 (</w:t>
      </w:r>
      <w:r w:rsidRPr="004355F7">
        <w:rPr>
          <w:rFonts w:cs="Traditional Arabic"/>
          <w:spacing w:val="-5"/>
          <w:sz w:val="18"/>
          <w:szCs w:val="26"/>
        </w:rPr>
        <w:t>CAT/C/ETH/CO/1</w:t>
      </w:r>
      <w:r w:rsidRPr="004355F7">
        <w:rPr>
          <w:rFonts w:cs="Traditional Arabic" w:hint="cs"/>
          <w:spacing w:val="-5"/>
          <w:sz w:val="18"/>
          <w:szCs w:val="26"/>
          <w:rtl/>
        </w:rPr>
        <w:t>)، الفقرات 10-14.</w:t>
      </w:r>
    </w:p>
  </w:footnote>
  <w:footnote w:id="70">
    <w:p w:rsidR="00F815BA" w:rsidRPr="00094E50" w:rsidRDefault="00F815BA" w:rsidP="001E45D5">
      <w:pPr>
        <w:pStyle w:val="FootnoteText"/>
        <w:numPr>
          <w:ilvl w:val="0"/>
          <w:numId w:val="31"/>
        </w:numPr>
        <w:tabs>
          <w:tab w:val="clear" w:pos="314"/>
          <w:tab w:val="left" w:pos="1268"/>
        </w:tabs>
        <w:bidi/>
        <w:spacing w:after="60" w:line="300" w:lineRule="exact"/>
        <w:ind w:left="1268" w:right="1247" w:hanging="420"/>
        <w:jc w:val="lowKashida"/>
        <w:rPr>
          <w:rFonts w:cs="Traditional Arabic"/>
          <w:sz w:val="18"/>
          <w:szCs w:val="26"/>
        </w:rPr>
      </w:pPr>
      <w:r w:rsidRPr="00094E50">
        <w:rPr>
          <w:rFonts w:cs="Traditional Arabic"/>
          <w:sz w:val="18"/>
          <w:szCs w:val="26"/>
          <w:rtl/>
        </w:rPr>
        <w:t>مؤس</w:t>
      </w:r>
      <w:r w:rsidRPr="00094E50">
        <w:rPr>
          <w:rFonts w:cs="Traditional Arabic" w:hint="cs"/>
          <w:sz w:val="18"/>
          <w:szCs w:val="26"/>
          <w:rtl/>
        </w:rPr>
        <w:t>ِّ</w:t>
      </w:r>
      <w:r w:rsidRPr="00094E50">
        <w:rPr>
          <w:rFonts w:cs="Traditional Arabic"/>
          <w:sz w:val="18"/>
          <w:szCs w:val="26"/>
          <w:rtl/>
        </w:rPr>
        <w:t>س</w:t>
      </w:r>
      <w:r w:rsidRPr="00094E50">
        <w:rPr>
          <w:rFonts w:cs="Traditional Arabic" w:hint="cs"/>
          <w:sz w:val="18"/>
          <w:szCs w:val="26"/>
          <w:rtl/>
        </w:rPr>
        <w:t xml:space="preserve">ة </w:t>
      </w:r>
      <w:r w:rsidRPr="00094E50">
        <w:rPr>
          <w:rFonts w:cs="Traditional Arabic"/>
          <w:sz w:val="18"/>
          <w:szCs w:val="26"/>
          <w:rtl/>
        </w:rPr>
        <w:t>مركز علاج وتأهيل ضحايا التعذيب</w:t>
      </w:r>
      <w:r w:rsidRPr="00094E50">
        <w:rPr>
          <w:rFonts w:cs="Traditional Arabic" w:hint="cs"/>
          <w:sz w:val="18"/>
          <w:szCs w:val="26"/>
          <w:rtl/>
        </w:rPr>
        <w:t xml:space="preserve"> و</w:t>
      </w:r>
      <w:r w:rsidRPr="00094E50">
        <w:rPr>
          <w:rFonts w:cs="Traditional Arabic"/>
          <w:sz w:val="18"/>
          <w:szCs w:val="26"/>
          <w:rtl/>
        </w:rPr>
        <w:t>المجلس الدولي لإعادة تأهيل ضحايا التعذيب</w:t>
      </w:r>
      <w:r w:rsidRPr="00094E50">
        <w:rPr>
          <w:rFonts w:cs="Traditional Arabic" w:hint="cs"/>
          <w:sz w:val="18"/>
          <w:szCs w:val="26"/>
          <w:rtl/>
        </w:rPr>
        <w:t>.</w:t>
      </w:r>
    </w:p>
  </w:footnote>
  <w:footnote w:id="71">
    <w:p w:rsidR="00F815BA" w:rsidRPr="00094E50" w:rsidRDefault="00F815BA" w:rsidP="00021691">
      <w:pPr>
        <w:pStyle w:val="FootnoteText"/>
        <w:numPr>
          <w:ilvl w:val="0"/>
          <w:numId w:val="31"/>
        </w:numPr>
        <w:tabs>
          <w:tab w:val="clear" w:pos="314"/>
          <w:tab w:val="left" w:pos="1267"/>
        </w:tabs>
        <w:bidi/>
        <w:spacing w:after="60" w:line="300" w:lineRule="exact"/>
        <w:ind w:left="1268" w:right="1247" w:hanging="406"/>
        <w:jc w:val="lowKashida"/>
        <w:rPr>
          <w:rFonts w:cs="Traditional Arabic" w:hint="cs"/>
          <w:sz w:val="18"/>
          <w:szCs w:val="26"/>
        </w:rPr>
      </w:pPr>
      <w:r w:rsidRPr="00094E50">
        <w:rPr>
          <w:rFonts w:cs="Traditional Arabic" w:hint="cs"/>
          <w:sz w:val="18"/>
          <w:szCs w:val="26"/>
          <w:rtl/>
        </w:rPr>
        <w:t>عضو سابق في لجنة مناهضة التعذيب</w:t>
      </w:r>
      <w:r w:rsidRPr="00094E50">
        <w:rPr>
          <w:rFonts w:cs="Traditional Arabic"/>
          <w:sz w:val="18"/>
          <w:szCs w:val="26"/>
          <w:rtl/>
        </w:rPr>
        <w:t xml:space="preserve"> </w:t>
      </w:r>
      <w:r w:rsidRPr="00094E50">
        <w:rPr>
          <w:rFonts w:cs="Traditional Arabic" w:hint="cs"/>
          <w:sz w:val="18"/>
          <w:szCs w:val="26"/>
          <w:rtl/>
        </w:rPr>
        <w:t>و</w:t>
      </w:r>
      <w:r w:rsidRPr="00094E50">
        <w:rPr>
          <w:rFonts w:cs="Traditional Arabic"/>
          <w:sz w:val="18"/>
          <w:szCs w:val="26"/>
          <w:rtl/>
        </w:rPr>
        <w:t>اللجنة الأوروبية لمنع التعذيب والمعاملة أو العقوبة اللاإنسانية أو</w:t>
      </w:r>
      <w:r w:rsidRPr="00094E50">
        <w:rPr>
          <w:rFonts w:cs="Traditional Arabic" w:hint="cs"/>
          <w:sz w:val="18"/>
          <w:szCs w:val="26"/>
          <w:rtl/>
        </w:rPr>
        <w:t> </w:t>
      </w:r>
      <w:r w:rsidRPr="00094E50">
        <w:rPr>
          <w:rFonts w:cs="Traditional Arabic"/>
          <w:sz w:val="18"/>
          <w:szCs w:val="26"/>
          <w:rtl/>
        </w:rPr>
        <w:t>المهينة</w:t>
      </w:r>
      <w:r w:rsidRPr="00094E50">
        <w:rPr>
          <w:rFonts w:cs="Traditional Arabic" w:hint="cs"/>
          <w:sz w:val="18"/>
          <w:szCs w:val="26"/>
          <w:rtl/>
        </w:rPr>
        <w:t>.</w:t>
      </w:r>
    </w:p>
  </w:footnote>
  <w:footnote w:id="72">
    <w:p w:rsidR="00F815BA" w:rsidRPr="00094E50" w:rsidRDefault="00F815BA" w:rsidP="00021691">
      <w:pPr>
        <w:pStyle w:val="FootnoteText"/>
        <w:numPr>
          <w:ilvl w:val="0"/>
          <w:numId w:val="31"/>
        </w:numPr>
        <w:tabs>
          <w:tab w:val="clear" w:pos="314"/>
          <w:tab w:val="left" w:pos="1267"/>
        </w:tabs>
        <w:bidi/>
        <w:spacing w:after="60" w:line="300" w:lineRule="exact"/>
        <w:ind w:left="1268" w:right="1247" w:hanging="406"/>
        <w:jc w:val="lowKashida"/>
        <w:rPr>
          <w:rFonts w:cs="Traditional Arabic" w:hint="cs"/>
          <w:sz w:val="18"/>
          <w:szCs w:val="26"/>
        </w:rPr>
      </w:pPr>
      <w:r w:rsidRPr="00094E50">
        <w:rPr>
          <w:rFonts w:cs="Traditional Arabic" w:hint="cs"/>
          <w:sz w:val="18"/>
          <w:szCs w:val="26"/>
          <w:rtl/>
        </w:rPr>
        <w:t>لا يوضح الملف متى قدم صاحب الشكوى طلبه.</w:t>
      </w:r>
    </w:p>
  </w:footnote>
  <w:footnote w:id="73">
    <w:p w:rsidR="00F815BA" w:rsidRPr="00094E50" w:rsidRDefault="00F815BA" w:rsidP="00B93686">
      <w:pPr>
        <w:pStyle w:val="FootnoteText"/>
        <w:numPr>
          <w:ilvl w:val="0"/>
          <w:numId w:val="31"/>
        </w:numPr>
        <w:tabs>
          <w:tab w:val="clear" w:pos="314"/>
          <w:tab w:val="left" w:pos="1240"/>
        </w:tabs>
        <w:bidi/>
        <w:spacing w:after="60" w:line="300" w:lineRule="exact"/>
        <w:ind w:left="1254" w:right="1247" w:hanging="420"/>
        <w:jc w:val="lowKashida"/>
        <w:rPr>
          <w:rFonts w:cs="Traditional Arabic" w:hint="cs"/>
          <w:sz w:val="18"/>
          <w:szCs w:val="26"/>
        </w:rPr>
      </w:pPr>
      <w:r w:rsidRPr="00094E50">
        <w:rPr>
          <w:rFonts w:cs="Traditional Arabic" w:hint="cs"/>
          <w:b/>
          <w:sz w:val="18"/>
          <w:szCs w:val="26"/>
          <w:rtl/>
        </w:rPr>
        <w:t>اتخذ القرار عقب تعليق إجراءات لجوء المواطنين العراقيين بين 20 آذار/مارس 2003 و28 تشرين الأول/أكتوبر 2003.</w:t>
      </w:r>
      <w:r w:rsidRPr="00094E50">
        <w:rPr>
          <w:rFonts w:cs="Traditional Arabic"/>
          <w:sz w:val="18"/>
          <w:szCs w:val="26"/>
          <w:rtl/>
        </w:rPr>
        <w:t xml:space="preserve"> </w:t>
      </w:r>
    </w:p>
  </w:footnote>
  <w:footnote w:id="74">
    <w:p w:rsidR="00F815BA" w:rsidRPr="00094E50" w:rsidRDefault="00F815BA" w:rsidP="00B93686">
      <w:pPr>
        <w:pStyle w:val="FootnoteText"/>
        <w:numPr>
          <w:ilvl w:val="0"/>
          <w:numId w:val="0"/>
        </w:numPr>
        <w:tabs>
          <w:tab w:val="left" w:pos="1282"/>
        </w:tabs>
        <w:bidi/>
        <w:spacing w:after="60" w:line="300" w:lineRule="exact"/>
        <w:ind w:left="1268" w:right="1247" w:hanging="406"/>
        <w:jc w:val="lowKashida"/>
        <w:rPr>
          <w:rFonts w:cs="Traditional Arabic" w:hint="cs"/>
          <w:b/>
          <w:sz w:val="18"/>
          <w:szCs w:val="26"/>
        </w:rPr>
      </w:pPr>
      <w:r w:rsidRPr="00094E50">
        <w:rPr>
          <w:rFonts w:cs="Traditional Arabic" w:hint="cs"/>
          <w:b/>
          <w:sz w:val="26"/>
          <w:szCs w:val="26"/>
          <w:rtl/>
        </w:rPr>
        <w:t>(ﻫ)</w:t>
      </w:r>
      <w:r w:rsidRPr="00094E50">
        <w:rPr>
          <w:rFonts w:cs="Traditional Arabic" w:hint="cs"/>
          <w:b/>
          <w:sz w:val="26"/>
          <w:szCs w:val="26"/>
          <w:rtl/>
        </w:rPr>
        <w:tab/>
      </w:r>
      <w:r w:rsidRPr="00094E50">
        <w:rPr>
          <w:rFonts w:cs="Traditional Arabic" w:hint="cs"/>
          <w:b/>
          <w:sz w:val="18"/>
          <w:szCs w:val="26"/>
          <w:rtl/>
        </w:rPr>
        <w:t>وفقاً لتقرير الفريق الطبي لمنظمة العفو الدولية، كان صاحب الشكوى يعاني من ضعف الذاكرة وصعوبة التركيز وأرق وكوابيس و</w:t>
      </w:r>
      <w:r w:rsidRPr="00094E50">
        <w:rPr>
          <w:rFonts w:cs="Traditional Arabic" w:hint="cs"/>
          <w:b/>
          <w:sz w:val="18"/>
          <w:szCs w:val="26"/>
          <w:rtl/>
          <w:lang w:bidi="ar-EG"/>
        </w:rPr>
        <w:t xml:space="preserve">اكتئاب </w:t>
      </w:r>
      <w:r w:rsidRPr="00094E50">
        <w:rPr>
          <w:rFonts w:cs="Traditional Arabic" w:hint="cs"/>
          <w:b/>
          <w:sz w:val="18"/>
          <w:szCs w:val="26"/>
          <w:rtl/>
        </w:rPr>
        <w:t>المزاج، وتجنب الاتصال بالآخرين</w:t>
      </w:r>
      <w:r w:rsidRPr="00094E50">
        <w:rPr>
          <w:rFonts w:cs="Traditional Arabic"/>
          <w:b/>
          <w:sz w:val="18"/>
          <w:szCs w:val="26"/>
          <w:rtl/>
        </w:rPr>
        <w:t>، وكان متوترا</w:t>
      </w:r>
      <w:r w:rsidRPr="00094E50">
        <w:rPr>
          <w:rFonts w:cs="Traditional Arabic" w:hint="cs"/>
          <w:b/>
          <w:sz w:val="18"/>
          <w:szCs w:val="26"/>
          <w:rtl/>
        </w:rPr>
        <w:t>ً</w:t>
      </w:r>
      <w:r w:rsidRPr="00094E50">
        <w:rPr>
          <w:rFonts w:cs="Traditional Arabic"/>
          <w:b/>
          <w:sz w:val="18"/>
          <w:szCs w:val="26"/>
          <w:rtl/>
        </w:rPr>
        <w:t xml:space="preserve"> وسريع الغضب. </w:t>
      </w:r>
      <w:r w:rsidRPr="00094E50">
        <w:rPr>
          <w:rFonts w:cs="Traditional Arabic" w:hint="cs"/>
          <w:b/>
          <w:sz w:val="18"/>
          <w:szCs w:val="26"/>
          <w:rtl/>
        </w:rPr>
        <w:t>و</w:t>
      </w:r>
      <w:r w:rsidRPr="00094E50">
        <w:rPr>
          <w:rFonts w:cs="Traditional Arabic"/>
          <w:b/>
          <w:sz w:val="18"/>
          <w:szCs w:val="26"/>
          <w:rtl/>
        </w:rPr>
        <w:t>كانت هناك أيضا</w:t>
      </w:r>
      <w:r w:rsidRPr="00094E50">
        <w:rPr>
          <w:rFonts w:cs="Traditional Arabic" w:hint="cs"/>
          <w:b/>
          <w:sz w:val="18"/>
          <w:szCs w:val="26"/>
          <w:rtl/>
        </w:rPr>
        <w:t>ً</w:t>
      </w:r>
      <w:r w:rsidRPr="00094E50">
        <w:rPr>
          <w:rFonts w:cs="Traditional Arabic"/>
          <w:b/>
          <w:sz w:val="18"/>
          <w:szCs w:val="26"/>
          <w:rtl/>
        </w:rPr>
        <w:t xml:space="preserve"> أعراض جسدية </w:t>
      </w:r>
      <w:r w:rsidRPr="00094E50">
        <w:rPr>
          <w:rFonts w:cs="Traditional Arabic" w:hint="cs"/>
          <w:b/>
          <w:sz w:val="18"/>
          <w:szCs w:val="26"/>
          <w:rtl/>
        </w:rPr>
        <w:t>وهمية وحقيقية</w:t>
      </w:r>
      <w:r w:rsidRPr="00094E50">
        <w:rPr>
          <w:rFonts w:cs="Traditional Arabic"/>
          <w:b/>
          <w:sz w:val="18"/>
          <w:szCs w:val="26"/>
          <w:rtl/>
        </w:rPr>
        <w:t>: كان</w:t>
      </w:r>
      <w:r w:rsidRPr="00094E50">
        <w:rPr>
          <w:rFonts w:cs="Traditional Arabic" w:hint="cs"/>
          <w:b/>
          <w:sz w:val="18"/>
          <w:szCs w:val="26"/>
          <w:rtl/>
        </w:rPr>
        <w:t xml:space="preserve"> يعاني من آلام</w:t>
      </w:r>
      <w:r w:rsidRPr="00094E50">
        <w:rPr>
          <w:rFonts w:cs="Traditional Arabic"/>
          <w:b/>
          <w:sz w:val="18"/>
          <w:szCs w:val="26"/>
          <w:rtl/>
        </w:rPr>
        <w:t xml:space="preserve"> مستمر</w:t>
      </w:r>
      <w:r w:rsidRPr="00094E50">
        <w:rPr>
          <w:rFonts w:cs="Traditional Arabic" w:hint="cs"/>
          <w:b/>
          <w:sz w:val="18"/>
          <w:szCs w:val="26"/>
          <w:rtl/>
        </w:rPr>
        <w:t xml:space="preserve">ة في </w:t>
      </w:r>
      <w:r w:rsidRPr="00094E50">
        <w:rPr>
          <w:rFonts w:cs="Traditional Arabic"/>
          <w:b/>
          <w:sz w:val="18"/>
          <w:szCs w:val="26"/>
          <w:rtl/>
        </w:rPr>
        <w:t>كتفيه وذراعيه، وكان مصاب</w:t>
      </w:r>
      <w:r w:rsidRPr="00094E50">
        <w:rPr>
          <w:rFonts w:cs="Traditional Arabic" w:hint="cs"/>
          <w:b/>
          <w:sz w:val="18"/>
          <w:szCs w:val="26"/>
          <w:rtl/>
        </w:rPr>
        <w:t>اً</w:t>
      </w:r>
      <w:r w:rsidRPr="00094E50">
        <w:rPr>
          <w:rFonts w:cs="Traditional Arabic"/>
          <w:b/>
          <w:sz w:val="18"/>
          <w:szCs w:val="26"/>
          <w:rtl/>
        </w:rPr>
        <w:t xml:space="preserve"> بجروح في كتف</w:t>
      </w:r>
      <w:r w:rsidRPr="00094E50">
        <w:rPr>
          <w:rFonts w:cs="Traditional Arabic" w:hint="cs"/>
          <w:b/>
          <w:sz w:val="18"/>
          <w:szCs w:val="26"/>
          <w:rtl/>
        </w:rPr>
        <w:t>ي</w:t>
      </w:r>
      <w:r w:rsidRPr="00094E50">
        <w:rPr>
          <w:rFonts w:cs="Traditional Arabic"/>
          <w:b/>
          <w:sz w:val="18"/>
          <w:szCs w:val="26"/>
          <w:rtl/>
        </w:rPr>
        <w:t xml:space="preserve">ه </w:t>
      </w:r>
      <w:r w:rsidRPr="00094E50">
        <w:rPr>
          <w:rFonts w:cs="Traditional Arabic" w:hint="cs"/>
          <w:b/>
          <w:sz w:val="18"/>
          <w:szCs w:val="26"/>
          <w:rtl/>
        </w:rPr>
        <w:t>وأسفل ذراعيه</w:t>
      </w:r>
      <w:r w:rsidRPr="00094E50">
        <w:rPr>
          <w:rFonts w:cs="Traditional Arabic"/>
          <w:b/>
          <w:sz w:val="18"/>
          <w:szCs w:val="26"/>
          <w:rtl/>
        </w:rPr>
        <w:t>، ويعاني من مرض السكري.</w:t>
      </w:r>
    </w:p>
  </w:footnote>
  <w:footnote w:id="75">
    <w:p w:rsidR="00F815BA" w:rsidRPr="00094E50" w:rsidRDefault="00F815BA" w:rsidP="00B93686">
      <w:pPr>
        <w:pStyle w:val="FootnoteText"/>
        <w:numPr>
          <w:ilvl w:val="0"/>
          <w:numId w:val="0"/>
        </w:numPr>
        <w:tabs>
          <w:tab w:val="left" w:pos="1267"/>
        </w:tabs>
        <w:bidi/>
        <w:spacing w:after="60" w:line="300" w:lineRule="exact"/>
        <w:ind w:left="1268" w:right="1247" w:hanging="406"/>
        <w:jc w:val="lowKashida"/>
        <w:rPr>
          <w:rFonts w:cs="Traditional Arabic" w:hint="cs"/>
          <w:b/>
          <w:sz w:val="18"/>
          <w:szCs w:val="26"/>
        </w:rPr>
      </w:pPr>
      <w:r w:rsidRPr="00094E50">
        <w:rPr>
          <w:rFonts w:cs="Traditional Arabic" w:hint="cs"/>
          <w:b/>
          <w:sz w:val="26"/>
          <w:szCs w:val="26"/>
          <w:rtl/>
        </w:rPr>
        <w:t>(</w:t>
      </w:r>
      <w:r>
        <w:rPr>
          <w:rFonts w:cs="Traditional Arabic" w:hint="cs"/>
          <w:b/>
          <w:sz w:val="26"/>
          <w:szCs w:val="26"/>
          <w:rtl/>
        </w:rPr>
        <w:t>و</w:t>
      </w:r>
      <w:r w:rsidRPr="00094E50">
        <w:rPr>
          <w:rFonts w:cs="Traditional Arabic" w:hint="cs"/>
          <w:b/>
          <w:sz w:val="26"/>
          <w:szCs w:val="26"/>
          <w:rtl/>
        </w:rPr>
        <w:t>)</w:t>
      </w:r>
      <w:r w:rsidRPr="00094E50">
        <w:rPr>
          <w:rFonts w:cs="Traditional Arabic" w:hint="cs"/>
          <w:b/>
          <w:sz w:val="26"/>
          <w:szCs w:val="26"/>
          <w:rtl/>
        </w:rPr>
        <w:tab/>
      </w:r>
      <w:r w:rsidRPr="00094E50">
        <w:rPr>
          <w:rFonts w:cs="Traditional Arabic" w:hint="cs"/>
          <w:b/>
          <w:sz w:val="18"/>
          <w:szCs w:val="26"/>
          <w:rtl/>
        </w:rPr>
        <w:t>مَثل صاحب الشكوى، في 20 آب/أغسطس 2009،</w:t>
      </w:r>
      <w:r w:rsidRPr="00094E50">
        <w:rPr>
          <w:rFonts w:cs="Traditional Arabic"/>
          <w:b/>
          <w:sz w:val="18"/>
          <w:szCs w:val="26"/>
          <w:rtl/>
        </w:rPr>
        <w:t xml:space="preserve"> </w:t>
      </w:r>
      <w:r w:rsidRPr="00094E50">
        <w:rPr>
          <w:rFonts w:cs="Traditional Arabic" w:hint="cs"/>
          <w:b/>
          <w:sz w:val="18"/>
          <w:szCs w:val="26"/>
          <w:rtl/>
        </w:rPr>
        <w:t>أمام الوفد العراقي في الدانمرك، فأكد الوفد أنه مواطن عراقي.</w:t>
      </w:r>
    </w:p>
  </w:footnote>
  <w:footnote w:id="76">
    <w:p w:rsidR="00F815BA" w:rsidRPr="00A64097" w:rsidRDefault="00F815BA" w:rsidP="00A64097">
      <w:pPr>
        <w:pStyle w:val="FootnoteText"/>
        <w:numPr>
          <w:ilvl w:val="0"/>
          <w:numId w:val="0"/>
        </w:numPr>
        <w:tabs>
          <w:tab w:val="left" w:pos="1267"/>
        </w:tabs>
        <w:bidi/>
        <w:spacing w:after="60" w:line="300" w:lineRule="exact"/>
        <w:ind w:left="1268" w:right="1247" w:hanging="392"/>
        <w:jc w:val="lowKashida"/>
        <w:rPr>
          <w:rFonts w:ascii="Times New Roman Bold" w:hAnsi="Times New Roman Bold" w:cs="Traditional Arabic" w:hint="cs"/>
          <w:b/>
          <w:spacing w:val="-2"/>
          <w:sz w:val="18"/>
          <w:szCs w:val="26"/>
        </w:rPr>
      </w:pPr>
      <w:r w:rsidRPr="00A64097">
        <w:rPr>
          <w:rFonts w:ascii="Times New Roman Bold" w:hAnsi="Times New Roman Bold" w:cs="Traditional Arabic" w:hint="cs"/>
          <w:b/>
          <w:spacing w:val="-2"/>
          <w:sz w:val="26"/>
          <w:szCs w:val="26"/>
          <w:rtl/>
        </w:rPr>
        <w:t>(ز)</w:t>
      </w:r>
      <w:r w:rsidRPr="00A64097">
        <w:rPr>
          <w:rFonts w:ascii="Times New Roman Bold" w:hAnsi="Times New Roman Bold" w:cs="Traditional Arabic" w:hint="cs"/>
          <w:b/>
          <w:spacing w:val="-2"/>
          <w:sz w:val="26"/>
          <w:szCs w:val="26"/>
          <w:rtl/>
        </w:rPr>
        <w:tab/>
      </w:r>
      <w:r w:rsidRPr="00A64097">
        <w:rPr>
          <w:rFonts w:ascii="Times New Roman Bold" w:hAnsi="Times New Roman Bold" w:cs="Traditional Arabic" w:hint="cs"/>
          <w:b/>
          <w:spacing w:val="-2"/>
          <w:sz w:val="18"/>
          <w:szCs w:val="26"/>
          <w:rtl/>
        </w:rPr>
        <w:t>حُرم صاحب الشكوى مؤقتاً من مخالطة الآخرين عملاً بالقسم 63(2) و</w:t>
      </w:r>
      <w:r w:rsidRPr="00A64097">
        <w:rPr>
          <w:rFonts w:ascii="Times New Roman Bold" w:hAnsi="Times New Roman Bold" w:cs="Traditional Arabic" w:hint="cs"/>
          <w:b/>
          <w:spacing w:val="-2"/>
          <w:sz w:val="18"/>
          <w:szCs w:val="26"/>
          <w:rtl/>
          <w:lang w:bidi="ar-EG"/>
        </w:rPr>
        <w:t xml:space="preserve">أيضاً </w:t>
      </w:r>
      <w:r>
        <w:rPr>
          <w:rFonts w:ascii="Times New Roman Bold" w:hAnsi="Times New Roman Bold" w:cs="Traditional Arabic" w:hint="cs"/>
          <w:b/>
          <w:spacing w:val="-2"/>
          <w:sz w:val="18"/>
          <w:szCs w:val="26"/>
          <w:rtl/>
        </w:rPr>
        <w:t>القسم 63(1)</w:t>
      </w:r>
      <w:r w:rsidRPr="00A64097">
        <w:rPr>
          <w:rFonts w:ascii="Times New Roman Bold" w:hAnsi="Times New Roman Bold" w:cs="Traditional Arabic" w:hint="cs"/>
          <w:b/>
          <w:spacing w:val="-2"/>
          <w:sz w:val="18"/>
          <w:szCs w:val="26"/>
          <w:rtl/>
        </w:rPr>
        <w:t xml:space="preserve">‘1‘ و‘3‘ من القانون الدانمركي لإنفاذ العقوبات، نظراً لأن مؤسسة إليبايك رأت أن هناك أسباباً تدعو إلى افتراض أن من الضروري حرمانه من مخالطة الآخرين لمنع الأنشطة الإجرامية أو السلوك العنيف، ورأت المؤسسة أيضاً أن سلوكه الفظ أو غير المقبول والمتكرر باستمرار لا يتماشى بالطبع مع استمرار اختلاطه بالآخرين. ولم يكن بمؤسسة إليبايك ما يكفي من الأماكن لحرمان جميع المشاركين في الاضطرابات من مخالطة الآخرين، ولذلك وضع صاحب الشكوى في سجن فيستري من </w:t>
      </w:r>
      <w:r w:rsidRPr="00A64097">
        <w:rPr>
          <w:rFonts w:ascii="Times New Roman Bold" w:hAnsi="Times New Roman Bold" w:cs="Traditional Arabic"/>
          <w:b/>
          <w:spacing w:val="-2"/>
          <w:sz w:val="18"/>
          <w:szCs w:val="26"/>
          <w:rtl/>
        </w:rPr>
        <w:t>الساعة 8:30 من مساء 9 آب/أغسطس 2009 وحتى الساعة 4:</w:t>
      </w:r>
      <w:r w:rsidRPr="00A64097">
        <w:rPr>
          <w:rFonts w:ascii="Times New Roman Bold" w:hAnsi="Times New Roman Bold" w:cs="Traditional Arabic" w:hint="cs"/>
          <w:b/>
          <w:spacing w:val="-2"/>
          <w:sz w:val="18"/>
          <w:szCs w:val="26"/>
          <w:rtl/>
        </w:rPr>
        <w:t>43</w:t>
      </w:r>
      <w:r w:rsidRPr="00A64097">
        <w:rPr>
          <w:rFonts w:ascii="Times New Roman Bold" w:hAnsi="Times New Roman Bold" w:cs="Traditional Arabic"/>
          <w:b/>
          <w:spacing w:val="-2"/>
          <w:sz w:val="18"/>
          <w:szCs w:val="26"/>
          <w:rtl/>
        </w:rPr>
        <w:t xml:space="preserve"> من مساء </w:t>
      </w:r>
      <w:r w:rsidRPr="00A64097">
        <w:rPr>
          <w:rFonts w:ascii="Times New Roman Bold" w:hAnsi="Times New Roman Bold" w:cs="Traditional Arabic" w:hint="cs"/>
          <w:b/>
          <w:spacing w:val="-2"/>
          <w:sz w:val="18"/>
          <w:szCs w:val="26"/>
          <w:rtl/>
        </w:rPr>
        <w:t>اليوم التالي، عندما توافرت أماكن بعد إعادة تحديد موقع المحتجزين الآخرين. وانتهى حرمان صاحب الشكوى المؤقت من مخالطة الآخرين الساعة 4:20 من مساء 13 آب/أغسطس 2009، عندما رأت المؤسسة أن من الممكن إعادة المخالطة في الوحدة. وكان دور صاحب الشكوى في الاضطرابات موضع مقابلة تأديبية، وصدر أمر بعزله لمدة أربعة أيام لضلوعه في الاضطرابات. غير أن المؤسسة لم تنفذ العقوبة نظراً لأنه حُرم بالفعل مؤقتاً من مخالطة الآخرين لمدة أربعة أيام تقريباً أثناء التحقيق في الأحداث.</w:t>
      </w:r>
    </w:p>
  </w:footnote>
  <w:footnote w:id="77">
    <w:p w:rsidR="00F815BA" w:rsidRPr="00094E50" w:rsidRDefault="00F815BA" w:rsidP="00A64097">
      <w:pPr>
        <w:pStyle w:val="FootnoteText"/>
        <w:numPr>
          <w:ilvl w:val="0"/>
          <w:numId w:val="0"/>
        </w:numPr>
        <w:tabs>
          <w:tab w:val="left" w:pos="1267"/>
        </w:tabs>
        <w:bidi/>
        <w:spacing w:after="60" w:line="300" w:lineRule="exact"/>
        <w:ind w:left="1268" w:right="1247" w:hanging="448"/>
        <w:jc w:val="lowKashida"/>
        <w:rPr>
          <w:rFonts w:cs="Traditional Arabic" w:hint="cs"/>
          <w:b/>
          <w:sz w:val="18"/>
          <w:szCs w:val="26"/>
        </w:rPr>
      </w:pPr>
      <w:r w:rsidRPr="00094E50">
        <w:rPr>
          <w:rFonts w:cs="Traditional Arabic" w:hint="cs"/>
          <w:b/>
          <w:sz w:val="26"/>
          <w:szCs w:val="26"/>
          <w:rtl/>
        </w:rPr>
        <w:t>(</w:t>
      </w:r>
      <w:r>
        <w:rPr>
          <w:rFonts w:cs="Traditional Arabic" w:hint="cs"/>
          <w:b/>
          <w:sz w:val="26"/>
          <w:szCs w:val="26"/>
          <w:rtl/>
        </w:rPr>
        <w:t>ح</w:t>
      </w:r>
      <w:r w:rsidRPr="00094E50">
        <w:rPr>
          <w:rFonts w:cs="Traditional Arabic" w:hint="cs"/>
          <w:b/>
          <w:sz w:val="26"/>
          <w:szCs w:val="26"/>
          <w:rtl/>
        </w:rPr>
        <w:t>)</w:t>
      </w:r>
      <w:r w:rsidRPr="00094E50">
        <w:rPr>
          <w:rFonts w:cs="Traditional Arabic" w:hint="cs"/>
          <w:b/>
          <w:sz w:val="26"/>
          <w:szCs w:val="26"/>
          <w:rtl/>
        </w:rPr>
        <w:tab/>
      </w:r>
      <w:r w:rsidRPr="00094E50">
        <w:rPr>
          <w:rFonts w:cs="Traditional Arabic" w:hint="cs"/>
          <w:sz w:val="18"/>
          <w:szCs w:val="26"/>
          <w:rtl/>
        </w:rPr>
        <w:t>التعليق العام رقم 1(1997) للجنة مناهضة التعذيب</w:t>
      </w:r>
      <w:r w:rsidRPr="00094E50">
        <w:rPr>
          <w:rFonts w:cs="Traditional Arabic"/>
          <w:b/>
          <w:sz w:val="18"/>
          <w:szCs w:val="26"/>
          <w:rtl/>
        </w:rPr>
        <w:t xml:space="preserve"> </w:t>
      </w:r>
      <w:r w:rsidRPr="00094E50">
        <w:rPr>
          <w:rFonts w:cs="Traditional Arabic" w:hint="cs"/>
          <w:b/>
          <w:sz w:val="18"/>
          <w:szCs w:val="26"/>
          <w:rtl/>
        </w:rPr>
        <w:t xml:space="preserve">بشأن تنفيذ المادة 3 من الاتفاقية، </w:t>
      </w:r>
      <w:r w:rsidRPr="00094E50">
        <w:rPr>
          <w:rFonts w:cs="Traditional Arabic" w:hint="cs"/>
          <w:b/>
          <w:i/>
          <w:iCs/>
          <w:sz w:val="18"/>
          <w:szCs w:val="26"/>
          <w:rtl/>
        </w:rPr>
        <w:t xml:space="preserve">الوثائق الرسمية للجمعية العامة، الدورة الثالثة والخمسون، الملحق رقم 44 </w:t>
      </w:r>
      <w:r w:rsidRPr="00094E50">
        <w:rPr>
          <w:rFonts w:cs="Traditional Arabic" w:hint="cs"/>
          <w:b/>
          <w:sz w:val="18"/>
          <w:szCs w:val="26"/>
          <w:rtl/>
        </w:rPr>
        <w:t>(</w:t>
      </w:r>
      <w:r w:rsidRPr="00094E50">
        <w:rPr>
          <w:rFonts w:cs="Traditional Arabic"/>
          <w:bCs/>
          <w:sz w:val="18"/>
          <w:szCs w:val="26"/>
          <w:lang w:val="en-CA"/>
        </w:rPr>
        <w:t>A/53/44</w:t>
      </w:r>
      <w:r w:rsidRPr="00094E50">
        <w:rPr>
          <w:rFonts w:cs="Traditional Arabic" w:hint="cs"/>
          <w:b/>
          <w:sz w:val="18"/>
          <w:szCs w:val="26"/>
          <w:rtl/>
          <w:lang w:val="en-CA" w:bidi="ar-EG"/>
        </w:rPr>
        <w:t xml:space="preserve"> والتصويب 1</w:t>
      </w:r>
      <w:r w:rsidRPr="00094E50">
        <w:rPr>
          <w:rFonts w:cs="Traditional Arabic" w:hint="cs"/>
          <w:b/>
          <w:sz w:val="18"/>
          <w:szCs w:val="26"/>
          <w:rtl/>
        </w:rPr>
        <w:t>)، الفقرة 4 من الملحق التاسع.</w:t>
      </w:r>
    </w:p>
  </w:footnote>
  <w:footnote w:id="78">
    <w:p w:rsidR="00F815BA" w:rsidRPr="00094E50" w:rsidRDefault="00F815BA" w:rsidP="00A64097">
      <w:pPr>
        <w:pStyle w:val="FootnoteText"/>
        <w:numPr>
          <w:ilvl w:val="0"/>
          <w:numId w:val="0"/>
        </w:numPr>
        <w:tabs>
          <w:tab w:val="left" w:pos="1267"/>
        </w:tabs>
        <w:bidi/>
        <w:spacing w:after="60" w:line="300" w:lineRule="exact"/>
        <w:ind w:left="1268" w:right="1247" w:hanging="448"/>
        <w:jc w:val="lowKashida"/>
        <w:rPr>
          <w:rFonts w:cs="Traditional Arabic" w:hint="cs"/>
          <w:sz w:val="18"/>
          <w:szCs w:val="26"/>
        </w:rPr>
      </w:pPr>
      <w:r w:rsidRPr="00094E50">
        <w:rPr>
          <w:rFonts w:cs="Traditional Arabic" w:hint="cs"/>
          <w:b/>
          <w:sz w:val="26"/>
          <w:szCs w:val="26"/>
          <w:rtl/>
        </w:rPr>
        <w:t>(</w:t>
      </w:r>
      <w:r>
        <w:rPr>
          <w:rFonts w:cs="Traditional Arabic" w:hint="cs"/>
          <w:b/>
          <w:sz w:val="26"/>
          <w:szCs w:val="26"/>
          <w:rtl/>
        </w:rPr>
        <w:t>ط</w:t>
      </w:r>
      <w:r w:rsidRPr="00094E50">
        <w:rPr>
          <w:rFonts w:cs="Traditional Arabic" w:hint="cs"/>
          <w:b/>
          <w:sz w:val="26"/>
          <w:szCs w:val="26"/>
          <w:rtl/>
        </w:rPr>
        <w:t>)</w:t>
      </w:r>
      <w:r w:rsidRPr="00094E50">
        <w:rPr>
          <w:rFonts w:cs="Traditional Arabic" w:hint="cs"/>
          <w:b/>
          <w:sz w:val="26"/>
          <w:szCs w:val="26"/>
          <w:rtl/>
        </w:rPr>
        <w:tab/>
      </w:r>
      <w:r w:rsidRPr="00094E50">
        <w:rPr>
          <w:rFonts w:cs="Traditional Arabic" w:hint="cs"/>
          <w:sz w:val="18"/>
          <w:szCs w:val="26"/>
          <w:rtl/>
        </w:rPr>
        <w:t xml:space="preserve">المرجع نفسه، </w:t>
      </w:r>
      <w:r w:rsidRPr="00094E50">
        <w:rPr>
          <w:rFonts w:cs="Traditional Arabic" w:hint="cs"/>
          <w:b/>
          <w:sz w:val="18"/>
          <w:szCs w:val="26"/>
          <w:rtl/>
        </w:rPr>
        <w:t>الفقرة</w:t>
      </w:r>
      <w:r w:rsidRPr="00094E50">
        <w:rPr>
          <w:rFonts w:cs="Traditional Arabic" w:hint="cs"/>
          <w:sz w:val="18"/>
          <w:szCs w:val="26"/>
          <w:rtl/>
        </w:rPr>
        <w:t xml:space="preserve"> 5.</w:t>
      </w:r>
      <w:r w:rsidRPr="00094E50">
        <w:rPr>
          <w:rFonts w:cs="Traditional Arabic"/>
          <w:sz w:val="18"/>
          <w:szCs w:val="26"/>
          <w:rtl/>
        </w:rPr>
        <w:t xml:space="preserve"> </w:t>
      </w:r>
    </w:p>
  </w:footnote>
  <w:footnote w:id="79">
    <w:p w:rsidR="00F815BA" w:rsidRPr="00A64097" w:rsidRDefault="00F815BA" w:rsidP="00124D43">
      <w:pPr>
        <w:pStyle w:val="FootnoteText"/>
        <w:numPr>
          <w:ilvl w:val="0"/>
          <w:numId w:val="0"/>
        </w:numPr>
        <w:tabs>
          <w:tab w:val="left" w:pos="1267"/>
        </w:tabs>
        <w:bidi/>
        <w:spacing w:after="60" w:line="300" w:lineRule="exact"/>
        <w:ind w:left="1268" w:right="1247" w:hanging="448"/>
        <w:jc w:val="lowKashida"/>
        <w:rPr>
          <w:rFonts w:cs="Traditional Arabic" w:hint="cs"/>
          <w:spacing w:val="-2"/>
          <w:sz w:val="18"/>
          <w:szCs w:val="26"/>
        </w:rPr>
      </w:pPr>
      <w:r w:rsidRPr="00A64097">
        <w:rPr>
          <w:rFonts w:cs="Traditional Arabic" w:hint="cs"/>
          <w:b/>
          <w:spacing w:val="-2"/>
          <w:sz w:val="26"/>
          <w:szCs w:val="26"/>
          <w:rtl/>
        </w:rPr>
        <w:t>(ي)</w:t>
      </w:r>
      <w:r w:rsidRPr="00A64097">
        <w:rPr>
          <w:rFonts w:cs="Traditional Arabic" w:hint="cs"/>
          <w:b/>
          <w:spacing w:val="-2"/>
          <w:sz w:val="26"/>
          <w:szCs w:val="26"/>
          <w:rtl/>
        </w:rPr>
        <w:tab/>
      </w:r>
      <w:r w:rsidRPr="00A64097">
        <w:rPr>
          <w:rFonts w:cs="Traditional Arabic" w:hint="cs"/>
          <w:spacing w:val="-2"/>
          <w:sz w:val="18"/>
          <w:szCs w:val="26"/>
          <w:rtl/>
        </w:rPr>
        <w:t xml:space="preserve">المرجع نفسه، الفقرة 7؛ </w:t>
      </w:r>
      <w:r w:rsidRPr="00A64097">
        <w:rPr>
          <w:rFonts w:cs="Traditional Arabic" w:hint="cs"/>
          <w:b/>
          <w:spacing w:val="-2"/>
          <w:sz w:val="18"/>
          <w:szCs w:val="26"/>
          <w:rtl/>
        </w:rPr>
        <w:t>والبلاغات</w:t>
      </w:r>
      <w:r w:rsidRPr="00A64097">
        <w:rPr>
          <w:rFonts w:cs="Traditional Arabic" w:hint="cs"/>
          <w:spacing w:val="-2"/>
          <w:sz w:val="18"/>
          <w:szCs w:val="26"/>
          <w:rtl/>
        </w:rPr>
        <w:t xml:space="preserve"> رقم 270/2005 ورقم 271/2005، </w:t>
      </w:r>
      <w:r w:rsidRPr="00A64097">
        <w:rPr>
          <w:rFonts w:cs="Traditional Arabic" w:hint="cs"/>
          <w:i/>
          <w:iCs/>
          <w:spacing w:val="-2"/>
          <w:sz w:val="18"/>
          <w:szCs w:val="26"/>
          <w:rtl/>
        </w:rPr>
        <w:t>إ. ر. ك. وي. ك. ضد السويد،</w:t>
      </w:r>
      <w:r w:rsidRPr="00A64097">
        <w:rPr>
          <w:rFonts w:cs="Traditional Arabic" w:hint="cs"/>
          <w:spacing w:val="-2"/>
          <w:sz w:val="18"/>
          <w:szCs w:val="26"/>
          <w:rtl/>
        </w:rPr>
        <w:t xml:space="preserve"> القرار المعتمد في 30 نيسان/أبريل 2007، الفقرتان 7-2 و7-3؛ ورقم 282/2005، </w:t>
      </w:r>
      <w:r w:rsidRPr="00A64097">
        <w:rPr>
          <w:rFonts w:cs="Traditional Arabic" w:hint="cs"/>
          <w:i/>
          <w:iCs/>
          <w:spacing w:val="-2"/>
          <w:sz w:val="18"/>
          <w:szCs w:val="26"/>
          <w:rtl/>
        </w:rPr>
        <w:t>س. ب. أ. ضد كندا،</w:t>
      </w:r>
      <w:r w:rsidRPr="00A64097">
        <w:rPr>
          <w:rFonts w:cs="Traditional Arabic" w:hint="cs"/>
          <w:spacing w:val="-2"/>
          <w:sz w:val="18"/>
          <w:szCs w:val="26"/>
          <w:rtl/>
        </w:rPr>
        <w:t xml:space="preserve"> القرار المعتمد في 7 تشرين الثاني/نوفمبر 2006، الفقرتان 7-1 و7-2؛ ورقم 180/2001، </w:t>
      </w:r>
      <w:r w:rsidRPr="00A64097">
        <w:rPr>
          <w:rFonts w:cs="Traditional Arabic" w:hint="cs"/>
          <w:i/>
          <w:iCs/>
          <w:spacing w:val="-2"/>
          <w:sz w:val="18"/>
          <w:szCs w:val="26"/>
          <w:rtl/>
        </w:rPr>
        <w:t>ف.</w:t>
      </w:r>
      <w:r>
        <w:rPr>
          <w:rFonts w:cs="Traditional Arabic" w:hint="eastAsia"/>
          <w:i/>
          <w:iCs/>
          <w:spacing w:val="-2"/>
          <w:sz w:val="18"/>
          <w:szCs w:val="26"/>
          <w:rtl/>
        </w:rPr>
        <w:t> </w:t>
      </w:r>
      <w:r w:rsidRPr="00A64097">
        <w:rPr>
          <w:rFonts w:cs="Traditional Arabic" w:hint="cs"/>
          <w:i/>
          <w:iCs/>
          <w:spacing w:val="-2"/>
          <w:sz w:val="18"/>
          <w:szCs w:val="26"/>
          <w:rtl/>
        </w:rPr>
        <w:t>ف. ز. ضد الدانمرك</w:t>
      </w:r>
      <w:r w:rsidRPr="00A64097">
        <w:rPr>
          <w:rFonts w:cs="Traditional Arabic" w:hint="cs"/>
          <w:spacing w:val="-2"/>
          <w:sz w:val="18"/>
          <w:szCs w:val="26"/>
          <w:rtl/>
        </w:rPr>
        <w:t>، الآراء المعتمدة في 30 نيسان/أبريل 2002، الفقرتان 9 و10؛ ورقم</w:t>
      </w:r>
      <w:r w:rsidRPr="00A64097">
        <w:rPr>
          <w:rFonts w:cs="Traditional Arabic" w:hint="eastAsia"/>
          <w:spacing w:val="-2"/>
          <w:sz w:val="18"/>
          <w:szCs w:val="26"/>
          <w:rtl/>
        </w:rPr>
        <w:t> </w:t>
      </w:r>
      <w:r w:rsidRPr="00A64097">
        <w:rPr>
          <w:rFonts w:cs="Traditional Arabic" w:hint="cs"/>
          <w:spacing w:val="-2"/>
          <w:sz w:val="18"/>
          <w:szCs w:val="26"/>
          <w:rtl/>
        </w:rPr>
        <w:t xml:space="preserve">143/1999، </w:t>
      </w:r>
      <w:r w:rsidRPr="00A64097">
        <w:rPr>
          <w:rFonts w:cs="Traditional Arabic" w:hint="cs"/>
          <w:i/>
          <w:iCs/>
          <w:spacing w:val="-2"/>
          <w:sz w:val="18"/>
          <w:szCs w:val="26"/>
          <w:rtl/>
        </w:rPr>
        <w:t>س. ك.</w:t>
      </w:r>
      <w:r w:rsidRPr="00A64097">
        <w:rPr>
          <w:rFonts w:cs="Traditional Arabic" w:hint="cs"/>
          <w:i/>
          <w:iCs/>
          <w:spacing w:val="-2"/>
          <w:sz w:val="18"/>
          <w:szCs w:val="26"/>
          <w:rtl/>
          <w:lang w:bidi="ar-EG"/>
        </w:rPr>
        <w:t xml:space="preserve"> ضد الدانمرك</w:t>
      </w:r>
      <w:r w:rsidRPr="00A64097">
        <w:rPr>
          <w:rFonts w:cs="Traditional Arabic" w:hint="cs"/>
          <w:spacing w:val="-2"/>
          <w:sz w:val="18"/>
          <w:szCs w:val="26"/>
          <w:rtl/>
          <w:lang w:bidi="ar-EG"/>
        </w:rPr>
        <w:t>، الآراء المعتمدة في 10 أيار/مايو 2000، الفقرتان 6-4 و6-6.</w:t>
      </w:r>
      <w:r w:rsidRPr="00A64097">
        <w:rPr>
          <w:rFonts w:cs="Traditional Arabic" w:hint="cs"/>
          <w:i/>
          <w:iCs/>
          <w:spacing w:val="-2"/>
          <w:sz w:val="18"/>
          <w:szCs w:val="26"/>
          <w:rtl/>
        </w:rPr>
        <w:t xml:space="preserve"> </w:t>
      </w:r>
    </w:p>
  </w:footnote>
  <w:footnote w:id="80">
    <w:p w:rsidR="00F815BA" w:rsidRPr="00094E50" w:rsidRDefault="00F815BA" w:rsidP="00A64097">
      <w:pPr>
        <w:pStyle w:val="FootnoteText"/>
        <w:numPr>
          <w:ilvl w:val="0"/>
          <w:numId w:val="0"/>
        </w:numPr>
        <w:tabs>
          <w:tab w:val="left" w:pos="1267"/>
        </w:tabs>
        <w:bidi/>
        <w:spacing w:after="60" w:line="300" w:lineRule="exact"/>
        <w:ind w:left="1268" w:right="1247" w:hanging="448"/>
        <w:jc w:val="lowKashida"/>
        <w:rPr>
          <w:rFonts w:cs="Traditional Arabic" w:hint="cs"/>
          <w:sz w:val="18"/>
          <w:szCs w:val="26"/>
        </w:rPr>
      </w:pPr>
      <w:r w:rsidRPr="00094E50">
        <w:rPr>
          <w:rFonts w:cs="Traditional Arabic" w:hint="cs"/>
          <w:b/>
          <w:sz w:val="26"/>
          <w:szCs w:val="26"/>
          <w:rtl/>
        </w:rPr>
        <w:t>(</w:t>
      </w:r>
      <w:r>
        <w:rPr>
          <w:rFonts w:cs="Traditional Arabic" w:hint="cs"/>
          <w:b/>
          <w:sz w:val="26"/>
          <w:szCs w:val="26"/>
          <w:rtl/>
        </w:rPr>
        <w:t>ك</w:t>
      </w:r>
      <w:r w:rsidRPr="00094E50">
        <w:rPr>
          <w:rFonts w:cs="Traditional Arabic" w:hint="cs"/>
          <w:b/>
          <w:sz w:val="26"/>
          <w:szCs w:val="26"/>
          <w:rtl/>
        </w:rPr>
        <w:t>)</w:t>
      </w:r>
      <w:r w:rsidRPr="00094E50">
        <w:rPr>
          <w:rFonts w:cs="Traditional Arabic" w:hint="cs"/>
          <w:b/>
          <w:sz w:val="26"/>
          <w:szCs w:val="26"/>
          <w:rtl/>
        </w:rPr>
        <w:tab/>
      </w:r>
      <w:r w:rsidRPr="00094E50">
        <w:rPr>
          <w:rFonts w:cs="Traditional Arabic" w:hint="cs"/>
          <w:sz w:val="18"/>
          <w:szCs w:val="26"/>
          <w:rtl/>
        </w:rPr>
        <w:t>البلاغان رقم 235/</w:t>
      </w:r>
      <w:r w:rsidRPr="00094E50">
        <w:rPr>
          <w:rFonts w:cs="Traditional Arabic" w:hint="cs"/>
          <w:b/>
          <w:sz w:val="18"/>
          <w:szCs w:val="26"/>
          <w:rtl/>
        </w:rPr>
        <w:t>2003</w:t>
      </w:r>
      <w:r w:rsidRPr="00094E50">
        <w:rPr>
          <w:rFonts w:cs="Traditional Arabic" w:hint="cs"/>
          <w:sz w:val="18"/>
          <w:szCs w:val="26"/>
          <w:rtl/>
        </w:rPr>
        <w:t xml:space="preserve">، </w:t>
      </w:r>
      <w:r w:rsidRPr="00094E50">
        <w:rPr>
          <w:rFonts w:cs="Traditional Arabic" w:hint="cs"/>
          <w:i/>
          <w:iCs/>
          <w:sz w:val="18"/>
          <w:szCs w:val="26"/>
          <w:rtl/>
        </w:rPr>
        <w:t>م. س. ﻫ. ضد السويد</w:t>
      </w:r>
      <w:r w:rsidRPr="00094E50">
        <w:rPr>
          <w:rFonts w:cs="Traditional Arabic" w:hint="cs"/>
          <w:sz w:val="18"/>
          <w:szCs w:val="26"/>
          <w:rtl/>
        </w:rPr>
        <w:t>، القرار المعتمد في</w:t>
      </w:r>
      <w:r w:rsidRPr="00094E50">
        <w:rPr>
          <w:rFonts w:cs="Traditional Arabic" w:hint="cs"/>
          <w:sz w:val="18"/>
          <w:szCs w:val="26"/>
          <w:rtl/>
          <w:lang w:bidi="ar-EG"/>
        </w:rPr>
        <w:t xml:space="preserve"> 14 تشرين الثاني/نوفمبر 2005، الفقرة 6-5، ورقم 277/2005، </w:t>
      </w:r>
      <w:r w:rsidRPr="00094E50">
        <w:rPr>
          <w:rFonts w:cs="Traditional Arabic" w:hint="cs"/>
          <w:i/>
          <w:iCs/>
          <w:sz w:val="18"/>
          <w:szCs w:val="26"/>
          <w:rtl/>
          <w:lang w:bidi="ar-EG"/>
        </w:rPr>
        <w:t>ن. ز. س. ضد السويد</w:t>
      </w:r>
      <w:r w:rsidRPr="00094E50">
        <w:rPr>
          <w:rFonts w:cs="Traditional Arabic" w:hint="cs"/>
          <w:sz w:val="18"/>
          <w:szCs w:val="26"/>
          <w:rtl/>
          <w:lang w:bidi="ar-EG"/>
        </w:rPr>
        <w:t xml:space="preserve">، القرار المعتمد في </w:t>
      </w:r>
      <w:r w:rsidRPr="00094E50">
        <w:rPr>
          <w:rFonts w:cs="Traditional Arabic" w:hint="cs"/>
          <w:sz w:val="18"/>
          <w:szCs w:val="26"/>
          <w:rtl/>
        </w:rPr>
        <w:t>22 تشرين الثاني/ نوفمبر</w:t>
      </w:r>
      <w:r w:rsidRPr="00094E50">
        <w:rPr>
          <w:rFonts w:cs="Traditional Arabic" w:hint="eastAsia"/>
          <w:sz w:val="18"/>
          <w:szCs w:val="26"/>
          <w:rtl/>
        </w:rPr>
        <w:t> </w:t>
      </w:r>
      <w:r w:rsidRPr="00094E50">
        <w:rPr>
          <w:rFonts w:cs="Traditional Arabic" w:hint="cs"/>
          <w:sz w:val="18"/>
          <w:szCs w:val="26"/>
          <w:rtl/>
        </w:rPr>
        <w:t xml:space="preserve">2006، الفقرة 8-5. وانظر أيضاً البلاغات رقم 225/2003، </w:t>
      </w:r>
      <w:r w:rsidRPr="00094E50">
        <w:rPr>
          <w:rFonts w:cs="Traditional Arabic" w:hint="cs"/>
          <w:i/>
          <w:iCs/>
          <w:sz w:val="18"/>
          <w:szCs w:val="26"/>
          <w:rtl/>
        </w:rPr>
        <w:t>ر. س. ضد الدانمرك</w:t>
      </w:r>
      <w:r w:rsidRPr="00094E50">
        <w:rPr>
          <w:rFonts w:cs="Traditional Arabic" w:hint="cs"/>
          <w:sz w:val="18"/>
          <w:szCs w:val="26"/>
          <w:rtl/>
        </w:rPr>
        <w:t>، القرار المعتمد في</w:t>
      </w:r>
      <w:r w:rsidRPr="00094E50">
        <w:rPr>
          <w:rFonts w:cs="Traditional Arabic" w:hint="eastAsia"/>
          <w:sz w:val="18"/>
          <w:szCs w:val="26"/>
          <w:rtl/>
        </w:rPr>
        <w:t> </w:t>
      </w:r>
      <w:r w:rsidRPr="00094E50">
        <w:rPr>
          <w:rFonts w:cs="Traditional Arabic" w:hint="cs"/>
          <w:sz w:val="18"/>
          <w:szCs w:val="26"/>
          <w:rtl/>
        </w:rPr>
        <w:t xml:space="preserve">24 أيار/مايو 2004، الفقرة 6-2؛ ورقم 90/1997، </w:t>
      </w:r>
      <w:r w:rsidRPr="00094E50">
        <w:rPr>
          <w:rFonts w:cs="Traditional Arabic" w:hint="cs"/>
          <w:i/>
          <w:iCs/>
          <w:sz w:val="18"/>
          <w:szCs w:val="26"/>
          <w:rtl/>
        </w:rPr>
        <w:t>أ. ل. ن. ضد سويسرا</w:t>
      </w:r>
      <w:r w:rsidRPr="00094E50">
        <w:rPr>
          <w:rFonts w:cs="Traditional Arabic" w:hint="cs"/>
          <w:sz w:val="18"/>
          <w:szCs w:val="26"/>
          <w:rtl/>
        </w:rPr>
        <w:t>، الآراء المعتمدة في 19 أيار/مايو 1998، الفقرة 8-3؛ ورقم 61/1996، و</w:t>
      </w:r>
      <w:r w:rsidRPr="00094E50">
        <w:rPr>
          <w:rFonts w:cs="Traditional Arabic" w:hint="cs"/>
          <w:i/>
          <w:iCs/>
          <w:sz w:val="18"/>
          <w:szCs w:val="26"/>
          <w:rtl/>
        </w:rPr>
        <w:t>س. وص. وع. ضد السويد</w:t>
      </w:r>
      <w:r w:rsidRPr="00094E50">
        <w:rPr>
          <w:rFonts w:cs="Traditional Arabic" w:hint="cs"/>
          <w:sz w:val="18"/>
          <w:szCs w:val="26"/>
          <w:rtl/>
        </w:rPr>
        <w:t>، الآراء المعتمدة في 6 أيار/مايو 1998، الفقرة 11-2.</w:t>
      </w:r>
    </w:p>
  </w:footnote>
  <w:footnote w:id="81">
    <w:p w:rsidR="00F815BA" w:rsidRPr="00094E50" w:rsidRDefault="00F815BA" w:rsidP="00A64097">
      <w:pPr>
        <w:pStyle w:val="FootnoteText"/>
        <w:numPr>
          <w:ilvl w:val="0"/>
          <w:numId w:val="0"/>
        </w:numPr>
        <w:tabs>
          <w:tab w:val="left" w:pos="1267"/>
        </w:tabs>
        <w:bidi/>
        <w:spacing w:after="60" w:line="300" w:lineRule="exact"/>
        <w:ind w:left="1268" w:right="1247" w:hanging="448"/>
        <w:jc w:val="lowKashida"/>
        <w:rPr>
          <w:rFonts w:cs="Traditional Arabic" w:hint="cs"/>
          <w:sz w:val="18"/>
          <w:szCs w:val="26"/>
        </w:rPr>
      </w:pPr>
      <w:r w:rsidRPr="00094E50">
        <w:rPr>
          <w:rFonts w:cs="Traditional Arabic" w:hint="cs"/>
          <w:b/>
          <w:sz w:val="26"/>
          <w:szCs w:val="26"/>
          <w:rtl/>
        </w:rPr>
        <w:t>(</w:t>
      </w:r>
      <w:r>
        <w:rPr>
          <w:rFonts w:cs="Traditional Arabic" w:hint="cs"/>
          <w:b/>
          <w:sz w:val="26"/>
          <w:szCs w:val="26"/>
          <w:rtl/>
        </w:rPr>
        <w:t>ل</w:t>
      </w:r>
      <w:r w:rsidRPr="00094E50">
        <w:rPr>
          <w:rFonts w:cs="Traditional Arabic" w:hint="cs"/>
          <w:b/>
          <w:sz w:val="26"/>
          <w:szCs w:val="26"/>
          <w:rtl/>
        </w:rPr>
        <w:t>)</w:t>
      </w:r>
      <w:r w:rsidRPr="00094E50">
        <w:rPr>
          <w:rFonts w:cs="Traditional Arabic" w:hint="cs"/>
          <w:b/>
          <w:sz w:val="26"/>
          <w:szCs w:val="26"/>
          <w:rtl/>
        </w:rPr>
        <w:tab/>
      </w:r>
      <w:r w:rsidRPr="00094E50">
        <w:rPr>
          <w:rFonts w:cs="Traditional Arabic" w:hint="cs"/>
          <w:sz w:val="18"/>
          <w:szCs w:val="26"/>
          <w:rtl/>
        </w:rPr>
        <w:t xml:space="preserve">انظر </w:t>
      </w:r>
      <w:r w:rsidRPr="00094E50">
        <w:rPr>
          <w:rFonts w:cs="Traditional Arabic" w:hint="cs"/>
          <w:i/>
          <w:iCs/>
          <w:sz w:val="18"/>
          <w:szCs w:val="26"/>
          <w:rtl/>
        </w:rPr>
        <w:t>م. س. ﻫ. ضد السويد</w:t>
      </w:r>
      <w:r w:rsidRPr="00094E50">
        <w:rPr>
          <w:rFonts w:cs="Traditional Arabic" w:hint="cs"/>
          <w:sz w:val="18"/>
          <w:szCs w:val="26"/>
          <w:rtl/>
        </w:rPr>
        <w:t xml:space="preserve">، الفقرة 6-5. وتشير الحكومة أيضاً إلى البلاغين رقم 220/2002، </w:t>
      </w:r>
      <w:r w:rsidRPr="00094E50">
        <w:rPr>
          <w:rFonts w:cs="Traditional Arabic" w:hint="cs"/>
          <w:i/>
          <w:iCs/>
          <w:sz w:val="18"/>
          <w:szCs w:val="26"/>
          <w:rtl/>
        </w:rPr>
        <w:t>ر. د. ضد السويد</w:t>
      </w:r>
      <w:r w:rsidRPr="00094E50">
        <w:rPr>
          <w:rFonts w:cs="Traditional Arabic" w:hint="cs"/>
          <w:sz w:val="18"/>
          <w:szCs w:val="26"/>
          <w:rtl/>
        </w:rPr>
        <w:t xml:space="preserve">، القرار المعتمد في 2 أيار/مايو 2005، الفقرة 8-3؛ ورقم 245/2004، </w:t>
      </w:r>
      <w:r w:rsidRPr="00094E50">
        <w:rPr>
          <w:rFonts w:cs="Traditional Arabic" w:hint="cs"/>
          <w:i/>
          <w:iCs/>
          <w:sz w:val="18"/>
          <w:szCs w:val="26"/>
          <w:rtl/>
        </w:rPr>
        <w:t>س. س. س. ضد كندا</w:t>
      </w:r>
      <w:r w:rsidRPr="00094E50">
        <w:rPr>
          <w:rFonts w:cs="Traditional Arabic" w:hint="cs"/>
          <w:sz w:val="18"/>
          <w:szCs w:val="26"/>
          <w:rtl/>
        </w:rPr>
        <w:t>، القرار المعتمد في 16 تشرين الثاني/نوفمبر 2005، الفقرة 8-4.</w:t>
      </w:r>
    </w:p>
  </w:footnote>
  <w:footnote w:id="82">
    <w:p w:rsidR="00F815BA" w:rsidRPr="00094E50" w:rsidRDefault="00F815BA" w:rsidP="00A64097">
      <w:pPr>
        <w:pStyle w:val="FootnoteText"/>
        <w:numPr>
          <w:ilvl w:val="0"/>
          <w:numId w:val="0"/>
        </w:numPr>
        <w:tabs>
          <w:tab w:val="left" w:pos="1267"/>
        </w:tabs>
        <w:bidi/>
        <w:spacing w:after="60" w:line="300" w:lineRule="exact"/>
        <w:ind w:left="1268" w:right="1247" w:hanging="406"/>
        <w:jc w:val="lowKashida"/>
        <w:rPr>
          <w:rFonts w:cs="Traditional Arabic" w:hint="cs"/>
          <w:sz w:val="18"/>
          <w:szCs w:val="26"/>
        </w:rPr>
      </w:pPr>
      <w:r w:rsidRPr="00094E50">
        <w:rPr>
          <w:rFonts w:cs="Traditional Arabic" w:hint="cs"/>
          <w:b/>
          <w:sz w:val="26"/>
          <w:szCs w:val="26"/>
          <w:rtl/>
        </w:rPr>
        <w:t>(</w:t>
      </w:r>
      <w:r>
        <w:rPr>
          <w:rFonts w:cs="Traditional Arabic" w:hint="cs"/>
          <w:b/>
          <w:sz w:val="26"/>
          <w:szCs w:val="26"/>
          <w:rtl/>
        </w:rPr>
        <w:t>م</w:t>
      </w:r>
      <w:r w:rsidRPr="00094E50">
        <w:rPr>
          <w:rFonts w:cs="Traditional Arabic" w:hint="cs"/>
          <w:b/>
          <w:sz w:val="26"/>
          <w:szCs w:val="26"/>
          <w:rtl/>
        </w:rPr>
        <w:t>)</w:t>
      </w:r>
      <w:r w:rsidRPr="00094E50">
        <w:rPr>
          <w:rFonts w:cs="Traditional Arabic" w:hint="cs"/>
          <w:b/>
          <w:sz w:val="26"/>
          <w:szCs w:val="26"/>
          <w:rtl/>
        </w:rPr>
        <w:tab/>
      </w:r>
      <w:r w:rsidRPr="00094E50">
        <w:rPr>
          <w:rFonts w:cs="Traditional Arabic" w:hint="cs"/>
          <w:sz w:val="18"/>
          <w:szCs w:val="26"/>
          <w:rtl/>
        </w:rPr>
        <w:t xml:space="preserve">انظر القسم </w:t>
      </w:r>
      <w:r w:rsidRPr="00094E50">
        <w:rPr>
          <w:rFonts w:cs="Traditional Arabic" w:hint="cs"/>
          <w:b/>
          <w:sz w:val="18"/>
          <w:szCs w:val="26"/>
          <w:rtl/>
        </w:rPr>
        <w:t>97</w:t>
      </w:r>
      <w:r w:rsidRPr="00094E50">
        <w:rPr>
          <w:rFonts w:cs="Traditional Arabic" w:hint="cs"/>
          <w:sz w:val="18"/>
          <w:szCs w:val="26"/>
          <w:rtl/>
        </w:rPr>
        <w:t xml:space="preserve"> </w:t>
      </w:r>
      <w:r w:rsidRPr="00094E50">
        <w:rPr>
          <w:rFonts w:cs="Traditional Arabic" w:hint="cs"/>
          <w:sz w:val="18"/>
          <w:szCs w:val="26"/>
          <w:rtl/>
          <w:lang w:bidi="ar-EG"/>
        </w:rPr>
        <w:t>من أمر الحبس الاحتياطي. ويشار إلى القسم 2-3-2.</w:t>
      </w:r>
    </w:p>
  </w:footnote>
  <w:footnote w:id="83">
    <w:p w:rsidR="00F815BA" w:rsidRPr="00094E50" w:rsidRDefault="00F815BA" w:rsidP="00A64097">
      <w:pPr>
        <w:pStyle w:val="FootnoteText"/>
        <w:numPr>
          <w:ilvl w:val="0"/>
          <w:numId w:val="0"/>
        </w:numPr>
        <w:tabs>
          <w:tab w:val="left" w:pos="1267"/>
        </w:tabs>
        <w:bidi/>
        <w:spacing w:after="60" w:line="300" w:lineRule="exact"/>
        <w:ind w:left="1268" w:right="1247" w:hanging="406"/>
        <w:jc w:val="lowKashida"/>
        <w:rPr>
          <w:rFonts w:cs="Traditional Arabic" w:hint="cs"/>
          <w:sz w:val="18"/>
          <w:szCs w:val="26"/>
          <w:lang w:bidi="ar-EG"/>
        </w:rPr>
      </w:pPr>
      <w:r w:rsidRPr="00094E50">
        <w:rPr>
          <w:rFonts w:cs="Traditional Arabic" w:hint="cs"/>
          <w:b/>
          <w:sz w:val="26"/>
          <w:szCs w:val="26"/>
          <w:rtl/>
        </w:rPr>
        <w:t>(</w:t>
      </w:r>
      <w:r>
        <w:rPr>
          <w:rFonts w:cs="Traditional Arabic" w:hint="cs"/>
          <w:b/>
          <w:sz w:val="26"/>
          <w:szCs w:val="26"/>
          <w:rtl/>
        </w:rPr>
        <w:t>ن</w:t>
      </w:r>
      <w:r w:rsidRPr="00094E50">
        <w:rPr>
          <w:rFonts w:cs="Traditional Arabic" w:hint="cs"/>
          <w:b/>
          <w:sz w:val="26"/>
          <w:szCs w:val="26"/>
          <w:rtl/>
        </w:rPr>
        <w:t>)</w:t>
      </w:r>
      <w:r w:rsidRPr="00094E50">
        <w:rPr>
          <w:rFonts w:cs="Traditional Arabic" w:hint="cs"/>
          <w:b/>
          <w:sz w:val="26"/>
          <w:szCs w:val="26"/>
          <w:rtl/>
        </w:rPr>
        <w:tab/>
      </w:r>
      <w:r w:rsidRPr="00094E50">
        <w:rPr>
          <w:rFonts w:cs="Traditional Arabic" w:hint="cs"/>
          <w:sz w:val="18"/>
          <w:szCs w:val="26"/>
          <w:rtl/>
          <w:lang w:bidi="ar-EG"/>
        </w:rPr>
        <w:t>تشير الدولة الطرف إلى الملاحظات الختامية بشأن التقرير الدوري الخامس للدانمرك (</w:t>
      </w:r>
      <w:r w:rsidRPr="00094E50">
        <w:rPr>
          <w:rFonts w:cs="Traditional Arabic"/>
          <w:sz w:val="18"/>
          <w:szCs w:val="26"/>
          <w:lang w:val="en-CA" w:bidi="ar-EG"/>
        </w:rPr>
        <w:t>CAT/C/DNK/CO/5</w:t>
      </w:r>
      <w:r w:rsidRPr="00094E50">
        <w:rPr>
          <w:rFonts w:cs="Traditional Arabic" w:hint="cs"/>
          <w:sz w:val="18"/>
          <w:szCs w:val="26"/>
          <w:rtl/>
          <w:lang w:val="en-CA" w:bidi="ar-EG"/>
        </w:rPr>
        <w:t>، الفقرة 14)، التي أوصت فيها لجنة مناهضة التعذيب بأن الدانمرك "ينبغي أن تقيد استخدام الحبس الانفرادي كتدبير أخير ولأقصر مدة ممكنة وتحت إشراف صارم وإمكانية إجراء استعراض قضائي". وترى الدولة الطرف أن اللجنة لم تذكر أن الحبس الانفرادي بصفة عامة يقع ضمن تعريف التعذيب، ولا يمكن استنتاج ذلك من الاجتهادات القضائية للجنة، التي لم تتناول بالتحديد هذه المسألة.</w:t>
      </w:r>
    </w:p>
  </w:footnote>
  <w:footnote w:id="84">
    <w:p w:rsidR="00F815BA" w:rsidRPr="00094E50" w:rsidRDefault="00F815BA" w:rsidP="00A64097">
      <w:pPr>
        <w:pStyle w:val="FootnoteText"/>
        <w:numPr>
          <w:ilvl w:val="0"/>
          <w:numId w:val="0"/>
        </w:numPr>
        <w:tabs>
          <w:tab w:val="left" w:pos="1267"/>
        </w:tabs>
        <w:bidi/>
        <w:spacing w:after="60" w:line="300" w:lineRule="exact"/>
        <w:ind w:left="1268" w:right="1247" w:hanging="420"/>
        <w:jc w:val="lowKashida"/>
        <w:rPr>
          <w:rFonts w:cs="Traditional Arabic" w:hint="cs"/>
          <w:sz w:val="18"/>
          <w:szCs w:val="26"/>
          <w:lang w:val="en-CA" w:bidi="ar-EG"/>
        </w:rPr>
      </w:pPr>
      <w:r w:rsidRPr="00094E50">
        <w:rPr>
          <w:rFonts w:cs="Traditional Arabic" w:hint="cs"/>
          <w:b/>
          <w:sz w:val="26"/>
          <w:szCs w:val="26"/>
          <w:rtl/>
        </w:rPr>
        <w:t>(</w:t>
      </w:r>
      <w:r>
        <w:rPr>
          <w:rFonts w:cs="Traditional Arabic" w:hint="cs"/>
          <w:b/>
          <w:sz w:val="26"/>
          <w:szCs w:val="26"/>
          <w:rtl/>
        </w:rPr>
        <w:t>س</w:t>
      </w:r>
      <w:r w:rsidRPr="00094E50">
        <w:rPr>
          <w:rFonts w:cs="Traditional Arabic" w:hint="cs"/>
          <w:b/>
          <w:sz w:val="26"/>
          <w:szCs w:val="26"/>
          <w:rtl/>
        </w:rPr>
        <w:t>)</w:t>
      </w:r>
      <w:r w:rsidRPr="00094E50">
        <w:rPr>
          <w:rFonts w:cs="Traditional Arabic" w:hint="cs"/>
          <w:b/>
          <w:sz w:val="26"/>
          <w:szCs w:val="26"/>
          <w:rtl/>
        </w:rPr>
        <w:tab/>
      </w:r>
      <w:r w:rsidRPr="00094E50">
        <w:rPr>
          <w:rFonts w:cs="Traditional Arabic" w:hint="cs"/>
          <w:sz w:val="18"/>
          <w:szCs w:val="26"/>
          <w:rtl/>
          <w:lang w:val="en-CA" w:bidi="ar-EG"/>
        </w:rPr>
        <w:t xml:space="preserve">انظر البلاغ </w:t>
      </w:r>
      <w:r w:rsidRPr="00094E50">
        <w:rPr>
          <w:rFonts w:cs="Traditional Arabic" w:hint="cs"/>
          <w:b/>
          <w:sz w:val="18"/>
          <w:szCs w:val="26"/>
          <w:rtl/>
        </w:rPr>
        <w:t>رقم</w:t>
      </w:r>
      <w:r w:rsidRPr="00094E50">
        <w:rPr>
          <w:rFonts w:cs="Traditional Arabic" w:hint="cs"/>
          <w:sz w:val="18"/>
          <w:szCs w:val="26"/>
          <w:rtl/>
          <w:lang w:val="en-CA" w:bidi="ar-EG"/>
        </w:rPr>
        <w:t xml:space="preserve"> 59/1996، </w:t>
      </w:r>
      <w:r w:rsidRPr="00094E50">
        <w:rPr>
          <w:rFonts w:cs="Traditional Arabic" w:hint="cs"/>
          <w:i/>
          <w:iCs/>
          <w:sz w:val="18"/>
          <w:szCs w:val="26"/>
          <w:rtl/>
          <w:lang w:val="en-CA" w:bidi="ar-EG"/>
        </w:rPr>
        <w:t>أباد ضد إسبانيا</w:t>
      </w:r>
      <w:r w:rsidRPr="00094E50">
        <w:rPr>
          <w:rFonts w:cs="Traditional Arabic" w:hint="cs"/>
          <w:sz w:val="18"/>
          <w:szCs w:val="26"/>
          <w:rtl/>
          <w:lang w:val="en-CA" w:bidi="ar-EG"/>
        </w:rPr>
        <w:t>، الآراء المعتمدة في 14 أيار/مايو 1998.</w:t>
      </w:r>
    </w:p>
  </w:footnote>
  <w:footnote w:id="85">
    <w:p w:rsidR="00F815BA" w:rsidRPr="00A64097" w:rsidRDefault="00F815BA" w:rsidP="00A64097">
      <w:pPr>
        <w:pStyle w:val="FootnoteText"/>
        <w:numPr>
          <w:ilvl w:val="0"/>
          <w:numId w:val="0"/>
        </w:numPr>
        <w:tabs>
          <w:tab w:val="left" w:pos="1267"/>
        </w:tabs>
        <w:bidi/>
        <w:spacing w:after="60" w:line="300" w:lineRule="exact"/>
        <w:ind w:left="1268" w:right="1247" w:hanging="420"/>
        <w:jc w:val="lowKashida"/>
        <w:rPr>
          <w:rFonts w:cs="Traditional Arabic" w:hint="cs"/>
          <w:spacing w:val="-2"/>
          <w:sz w:val="18"/>
          <w:szCs w:val="26"/>
          <w:lang w:val="en-CA" w:bidi="ar-EG"/>
        </w:rPr>
      </w:pPr>
      <w:r w:rsidRPr="00A64097">
        <w:rPr>
          <w:rFonts w:cs="Traditional Arabic" w:hint="cs"/>
          <w:b/>
          <w:spacing w:val="-2"/>
          <w:sz w:val="26"/>
          <w:szCs w:val="26"/>
          <w:rtl/>
        </w:rPr>
        <w:t>(ع)</w:t>
      </w:r>
      <w:r w:rsidRPr="00A64097">
        <w:rPr>
          <w:rFonts w:cs="Traditional Arabic" w:hint="cs"/>
          <w:b/>
          <w:spacing w:val="-2"/>
          <w:sz w:val="26"/>
          <w:szCs w:val="26"/>
          <w:rtl/>
        </w:rPr>
        <w:tab/>
      </w:r>
      <w:r w:rsidRPr="00A64097">
        <w:rPr>
          <w:rFonts w:cs="Traditional Arabic" w:hint="cs"/>
          <w:spacing w:val="-2"/>
          <w:sz w:val="18"/>
          <w:szCs w:val="26"/>
          <w:rtl/>
          <w:lang w:val="en-CA" w:bidi="ar-EG"/>
        </w:rPr>
        <w:t xml:space="preserve">تشير الدولة </w:t>
      </w:r>
      <w:r w:rsidRPr="00A64097">
        <w:rPr>
          <w:rFonts w:cs="Traditional Arabic" w:hint="cs"/>
          <w:b/>
          <w:spacing w:val="-2"/>
          <w:sz w:val="18"/>
          <w:szCs w:val="26"/>
          <w:rtl/>
        </w:rPr>
        <w:t>الطرف</w:t>
      </w:r>
      <w:r w:rsidRPr="00A64097">
        <w:rPr>
          <w:rFonts w:cs="Traditional Arabic" w:hint="cs"/>
          <w:spacing w:val="-2"/>
          <w:sz w:val="18"/>
          <w:szCs w:val="26"/>
          <w:rtl/>
          <w:lang w:val="en-CA" w:bidi="ar-EG"/>
        </w:rPr>
        <w:t xml:space="preserve"> إلى أن صحة صاحب الشكوى فحصت عقب حرمانه مؤقتاً من مخالطة الآخرين، مع مراعاة أيضاً الشهادتين الطبيتين للدكتور أوستيرغارد </w:t>
      </w:r>
      <w:r w:rsidRPr="00A64097">
        <w:rPr>
          <w:rFonts w:cs="Traditional Arabic"/>
          <w:spacing w:val="-2"/>
          <w:sz w:val="18"/>
          <w:szCs w:val="26"/>
          <w:rtl/>
          <w:lang w:val="en-CA" w:bidi="ar-EG"/>
        </w:rPr>
        <w:t>المؤرختين 28 آب/أغسطس و7 أيلول/سبتمبر 2009</w:t>
      </w:r>
      <w:r w:rsidRPr="00A64097">
        <w:rPr>
          <w:rFonts w:cs="Traditional Arabic" w:hint="cs"/>
          <w:spacing w:val="-2"/>
          <w:sz w:val="18"/>
          <w:szCs w:val="26"/>
          <w:rtl/>
          <w:lang w:val="en-CA" w:bidi="ar-EG"/>
        </w:rPr>
        <w:t>، على التوالي، وذلك فيما يتصل ببت وزارة شؤون اللاجئين والهجرة والإدماج في طلب الحصول على تصريح إقامة لأسباب إنسانية الذي رُفض في 4 كانون الأول/ديسمبر 2009.</w:t>
      </w:r>
    </w:p>
  </w:footnote>
  <w:footnote w:id="86">
    <w:p w:rsidR="00F815BA" w:rsidRPr="00094E50" w:rsidRDefault="00F815BA" w:rsidP="00A64097">
      <w:pPr>
        <w:pStyle w:val="FootnoteText"/>
        <w:numPr>
          <w:ilvl w:val="0"/>
          <w:numId w:val="0"/>
        </w:numPr>
        <w:tabs>
          <w:tab w:val="left" w:pos="1267"/>
        </w:tabs>
        <w:bidi/>
        <w:spacing w:after="60" w:line="300" w:lineRule="exact"/>
        <w:ind w:left="1268" w:right="1247" w:hanging="490"/>
        <w:jc w:val="lowKashida"/>
        <w:rPr>
          <w:rFonts w:cs="Traditional Arabic" w:hint="cs"/>
          <w:sz w:val="18"/>
          <w:szCs w:val="26"/>
          <w:lang w:val="en-CA" w:bidi="ar-EG"/>
        </w:rPr>
      </w:pPr>
      <w:r w:rsidRPr="00094E50">
        <w:rPr>
          <w:rFonts w:cs="Traditional Arabic" w:hint="cs"/>
          <w:b/>
          <w:sz w:val="26"/>
          <w:szCs w:val="26"/>
          <w:rtl/>
        </w:rPr>
        <w:t>(</w:t>
      </w:r>
      <w:r>
        <w:rPr>
          <w:rFonts w:cs="Traditional Arabic" w:hint="cs"/>
          <w:b/>
          <w:sz w:val="26"/>
          <w:szCs w:val="26"/>
          <w:rtl/>
        </w:rPr>
        <w:t>ف</w:t>
      </w:r>
      <w:r w:rsidRPr="00094E50">
        <w:rPr>
          <w:rFonts w:cs="Traditional Arabic" w:hint="cs"/>
          <w:b/>
          <w:sz w:val="26"/>
          <w:szCs w:val="26"/>
          <w:rtl/>
        </w:rPr>
        <w:t>)</w:t>
      </w:r>
      <w:r w:rsidRPr="00094E50">
        <w:rPr>
          <w:rFonts w:cs="Traditional Arabic" w:hint="cs"/>
          <w:b/>
          <w:sz w:val="26"/>
          <w:szCs w:val="26"/>
          <w:rtl/>
        </w:rPr>
        <w:tab/>
      </w:r>
      <w:r w:rsidRPr="00094E50">
        <w:rPr>
          <w:rFonts w:cs="Traditional Arabic" w:hint="cs"/>
          <w:sz w:val="18"/>
          <w:szCs w:val="26"/>
          <w:rtl/>
          <w:lang w:val="en-CA" w:bidi="ar-EG"/>
        </w:rPr>
        <w:t>انظر، على سبيل المثال، الملاحظات الختامية للجنة مناهضة التعذيب بشأن التقرير الدوري الخامس لألمانيا (</w:t>
      </w:r>
      <w:r w:rsidRPr="00094E50">
        <w:rPr>
          <w:rFonts w:cs="Traditional Arabic"/>
          <w:sz w:val="18"/>
          <w:szCs w:val="26"/>
          <w:lang w:val="en-CA" w:bidi="ar-EG"/>
        </w:rPr>
        <w:t>CAT/C/DEU/CO/5</w:t>
      </w:r>
      <w:r w:rsidRPr="00094E50">
        <w:rPr>
          <w:rFonts w:cs="Traditional Arabic" w:hint="cs"/>
          <w:sz w:val="18"/>
          <w:szCs w:val="26"/>
          <w:rtl/>
          <w:lang w:val="en-CA" w:bidi="ar-EG"/>
        </w:rPr>
        <w:t>)، الفقرة 24(أ) و(ب) و(ج).</w:t>
      </w:r>
    </w:p>
  </w:footnote>
  <w:footnote w:id="87">
    <w:p w:rsidR="00F815BA" w:rsidRPr="00094E50" w:rsidRDefault="00F815BA" w:rsidP="00A64097">
      <w:pPr>
        <w:pStyle w:val="FootnoteText"/>
        <w:numPr>
          <w:ilvl w:val="0"/>
          <w:numId w:val="0"/>
        </w:numPr>
        <w:tabs>
          <w:tab w:val="left" w:pos="1267"/>
        </w:tabs>
        <w:bidi/>
        <w:spacing w:after="60" w:line="300" w:lineRule="exact"/>
        <w:ind w:left="1268" w:right="1247" w:hanging="546"/>
        <w:jc w:val="lowKashida"/>
        <w:rPr>
          <w:rFonts w:cs="Traditional Arabic" w:hint="cs"/>
          <w:sz w:val="18"/>
          <w:szCs w:val="26"/>
          <w:lang w:val="en-CA" w:bidi="ar-EG"/>
        </w:rPr>
      </w:pPr>
      <w:r w:rsidRPr="00094E50">
        <w:rPr>
          <w:rFonts w:cs="Traditional Arabic" w:hint="cs"/>
          <w:b/>
          <w:sz w:val="26"/>
          <w:szCs w:val="26"/>
          <w:rtl/>
        </w:rPr>
        <w:t>(</w:t>
      </w:r>
      <w:r>
        <w:rPr>
          <w:rFonts w:cs="Traditional Arabic" w:hint="cs"/>
          <w:b/>
          <w:sz w:val="26"/>
          <w:szCs w:val="26"/>
          <w:rtl/>
        </w:rPr>
        <w:t>ص</w:t>
      </w:r>
      <w:r w:rsidRPr="00094E50">
        <w:rPr>
          <w:rFonts w:cs="Traditional Arabic" w:hint="cs"/>
          <w:b/>
          <w:sz w:val="26"/>
          <w:szCs w:val="26"/>
          <w:rtl/>
        </w:rPr>
        <w:t>)</w:t>
      </w:r>
      <w:r w:rsidRPr="00094E50">
        <w:rPr>
          <w:rFonts w:cs="Traditional Arabic" w:hint="cs"/>
          <w:b/>
          <w:sz w:val="26"/>
          <w:szCs w:val="26"/>
          <w:rtl/>
        </w:rPr>
        <w:tab/>
      </w:r>
      <w:r w:rsidRPr="00094E50">
        <w:rPr>
          <w:rFonts w:cs="Traditional Arabic" w:hint="cs"/>
          <w:b/>
          <w:i/>
          <w:iCs/>
          <w:sz w:val="18"/>
          <w:szCs w:val="26"/>
          <w:rtl/>
          <w:lang w:val="en-CA" w:bidi="ar-EG"/>
        </w:rPr>
        <w:t>أباد ضد إسبانيا</w:t>
      </w:r>
      <w:r w:rsidRPr="00094E50">
        <w:rPr>
          <w:rFonts w:cs="Traditional Arabic" w:hint="cs"/>
          <w:b/>
          <w:sz w:val="18"/>
          <w:szCs w:val="26"/>
          <w:rtl/>
          <w:lang w:val="en-CA" w:bidi="ar-EG"/>
        </w:rPr>
        <w:t xml:space="preserve">، </w:t>
      </w:r>
      <w:r w:rsidRPr="00094E50">
        <w:rPr>
          <w:rFonts w:cs="Traditional Arabic" w:hint="cs"/>
          <w:b/>
          <w:sz w:val="18"/>
          <w:szCs w:val="26"/>
          <w:rtl/>
        </w:rPr>
        <w:t>الفقرة</w:t>
      </w:r>
      <w:r w:rsidRPr="00094E50">
        <w:rPr>
          <w:rFonts w:cs="Traditional Arabic" w:hint="cs"/>
          <w:b/>
          <w:sz w:val="18"/>
          <w:szCs w:val="26"/>
          <w:rtl/>
          <w:lang w:val="en-CA" w:bidi="ar-EG"/>
        </w:rPr>
        <w:t xml:space="preserve"> 8-2.</w:t>
      </w:r>
    </w:p>
  </w:footnote>
  <w:footnote w:id="88">
    <w:p w:rsidR="00F815BA" w:rsidRPr="00094E50" w:rsidRDefault="00F815BA" w:rsidP="00A64097">
      <w:pPr>
        <w:pStyle w:val="FootnoteText"/>
        <w:numPr>
          <w:ilvl w:val="0"/>
          <w:numId w:val="0"/>
        </w:numPr>
        <w:tabs>
          <w:tab w:val="left" w:pos="1267"/>
        </w:tabs>
        <w:bidi/>
        <w:spacing w:after="60" w:line="300" w:lineRule="exact"/>
        <w:ind w:left="1268" w:right="1247" w:hanging="490"/>
        <w:jc w:val="lowKashida"/>
        <w:rPr>
          <w:rFonts w:cs="Traditional Arabic" w:hint="cs"/>
          <w:b/>
          <w:sz w:val="18"/>
          <w:szCs w:val="26"/>
          <w:lang w:val="en-CA" w:bidi="ar-EG"/>
        </w:rPr>
      </w:pPr>
      <w:r w:rsidRPr="00094E50">
        <w:rPr>
          <w:rFonts w:cs="Traditional Arabic" w:hint="cs"/>
          <w:b/>
          <w:sz w:val="26"/>
          <w:szCs w:val="26"/>
          <w:rtl/>
        </w:rPr>
        <w:t>(</w:t>
      </w:r>
      <w:r>
        <w:rPr>
          <w:rFonts w:cs="Traditional Arabic" w:hint="cs"/>
          <w:b/>
          <w:sz w:val="26"/>
          <w:szCs w:val="26"/>
          <w:rtl/>
        </w:rPr>
        <w:t>ق</w:t>
      </w:r>
      <w:r w:rsidRPr="00094E50">
        <w:rPr>
          <w:rFonts w:cs="Traditional Arabic" w:hint="cs"/>
          <w:b/>
          <w:sz w:val="26"/>
          <w:szCs w:val="26"/>
          <w:rtl/>
        </w:rPr>
        <w:t>)</w:t>
      </w:r>
      <w:r w:rsidRPr="00094E50">
        <w:rPr>
          <w:rFonts w:cs="Traditional Arabic" w:hint="cs"/>
          <w:b/>
          <w:sz w:val="26"/>
          <w:szCs w:val="26"/>
          <w:rtl/>
        </w:rPr>
        <w:tab/>
      </w:r>
      <w:r w:rsidRPr="00094E50">
        <w:rPr>
          <w:rFonts w:cs="Traditional Arabic" w:hint="cs"/>
          <w:sz w:val="18"/>
          <w:szCs w:val="26"/>
          <w:rtl/>
          <w:lang w:val="en-CA" w:bidi="ar-EG"/>
        </w:rPr>
        <w:t xml:space="preserve">المرجع نفسه، الفقرة 8-8، والبلاغ رقم 161/2000، </w:t>
      </w:r>
      <w:r w:rsidRPr="00094E50">
        <w:rPr>
          <w:rFonts w:cs="Traditional Arabic"/>
          <w:i/>
          <w:iCs/>
          <w:sz w:val="18"/>
          <w:szCs w:val="26"/>
          <w:rtl/>
          <w:lang w:val="en-CA" w:bidi="ar-EG"/>
        </w:rPr>
        <w:t>دزيماجيل</w:t>
      </w:r>
      <w:r w:rsidRPr="00094E50">
        <w:rPr>
          <w:rFonts w:cs="Traditional Arabic" w:hint="cs"/>
          <w:i/>
          <w:iCs/>
          <w:sz w:val="18"/>
          <w:szCs w:val="26"/>
          <w:rtl/>
          <w:lang w:val="en-CA" w:bidi="ar-EG"/>
        </w:rPr>
        <w:t xml:space="preserve"> وآخرون ضد صربيا والجبل الأسود</w:t>
      </w:r>
      <w:r w:rsidRPr="00094E50">
        <w:rPr>
          <w:rFonts w:cs="Traditional Arabic" w:hint="cs"/>
          <w:sz w:val="18"/>
          <w:szCs w:val="26"/>
          <w:rtl/>
          <w:lang w:val="en-CA" w:bidi="ar-EG"/>
        </w:rPr>
        <w:t>، القرار المعتمد في 21 تشرين الثاني/نوفمبر 2002، الفقرة 9-4.</w:t>
      </w:r>
    </w:p>
  </w:footnote>
  <w:footnote w:id="89">
    <w:p w:rsidR="00F815BA" w:rsidRPr="00094E50" w:rsidRDefault="00F815BA" w:rsidP="00A64097">
      <w:pPr>
        <w:pStyle w:val="FootnoteText"/>
        <w:numPr>
          <w:ilvl w:val="0"/>
          <w:numId w:val="0"/>
        </w:numPr>
        <w:tabs>
          <w:tab w:val="left" w:pos="1267"/>
        </w:tabs>
        <w:bidi/>
        <w:spacing w:after="60" w:line="300" w:lineRule="exact"/>
        <w:ind w:left="1268" w:right="1247" w:hanging="476"/>
        <w:jc w:val="lowKashida"/>
        <w:rPr>
          <w:rFonts w:cs="Traditional Arabic" w:hint="cs"/>
          <w:b/>
          <w:sz w:val="18"/>
          <w:szCs w:val="26"/>
          <w:lang w:val="en-CA" w:bidi="ar-EG"/>
        </w:rPr>
      </w:pPr>
      <w:r w:rsidRPr="00094E50">
        <w:rPr>
          <w:rFonts w:cs="Traditional Arabic" w:hint="cs"/>
          <w:b/>
          <w:sz w:val="26"/>
          <w:szCs w:val="26"/>
          <w:rtl/>
        </w:rPr>
        <w:t>(</w:t>
      </w:r>
      <w:r>
        <w:rPr>
          <w:rFonts w:cs="Traditional Arabic" w:hint="cs"/>
          <w:b/>
          <w:sz w:val="26"/>
          <w:szCs w:val="26"/>
          <w:rtl/>
        </w:rPr>
        <w:t>ر</w:t>
      </w:r>
      <w:r w:rsidRPr="00094E50">
        <w:rPr>
          <w:rFonts w:cs="Traditional Arabic" w:hint="cs"/>
          <w:b/>
          <w:sz w:val="26"/>
          <w:szCs w:val="26"/>
          <w:rtl/>
        </w:rPr>
        <w:t>)</w:t>
      </w:r>
      <w:r w:rsidRPr="00094E50">
        <w:rPr>
          <w:rFonts w:cs="Traditional Arabic" w:hint="cs"/>
          <w:b/>
          <w:sz w:val="26"/>
          <w:szCs w:val="26"/>
          <w:rtl/>
        </w:rPr>
        <w:tab/>
      </w:r>
      <w:r w:rsidRPr="00094E50">
        <w:rPr>
          <w:rFonts w:cs="Traditional Arabic" w:hint="cs"/>
          <w:b/>
          <w:sz w:val="18"/>
          <w:szCs w:val="26"/>
          <w:rtl/>
          <w:lang w:val="en-CA" w:bidi="ar-EG"/>
        </w:rPr>
        <w:t xml:space="preserve">الفقرتان 6 </w:t>
      </w:r>
      <w:r w:rsidRPr="00094E50">
        <w:rPr>
          <w:rFonts w:cs="Traditional Arabic" w:hint="cs"/>
          <w:b/>
          <w:sz w:val="18"/>
          <w:szCs w:val="26"/>
          <w:rtl/>
        </w:rPr>
        <w:t>و7</w:t>
      </w:r>
      <w:r w:rsidRPr="00094E50">
        <w:rPr>
          <w:rFonts w:cs="Traditional Arabic" w:hint="cs"/>
          <w:b/>
          <w:sz w:val="18"/>
          <w:szCs w:val="26"/>
          <w:rtl/>
          <w:lang w:val="en-CA" w:bidi="ar-EG"/>
        </w:rPr>
        <w:t>.</w:t>
      </w:r>
    </w:p>
  </w:footnote>
  <w:footnote w:id="90">
    <w:p w:rsidR="00F815BA" w:rsidRPr="00A64097" w:rsidRDefault="00F815BA" w:rsidP="00A64097">
      <w:pPr>
        <w:pStyle w:val="FootnoteText"/>
        <w:numPr>
          <w:ilvl w:val="0"/>
          <w:numId w:val="0"/>
        </w:numPr>
        <w:tabs>
          <w:tab w:val="left" w:pos="1267"/>
        </w:tabs>
        <w:bidi/>
        <w:spacing w:after="60" w:line="300" w:lineRule="exact"/>
        <w:ind w:left="1268" w:right="1247" w:hanging="476"/>
        <w:jc w:val="lowKashida"/>
        <w:rPr>
          <w:rFonts w:cs="Traditional Arabic" w:hint="cs"/>
          <w:spacing w:val="-4"/>
          <w:sz w:val="18"/>
          <w:szCs w:val="26"/>
          <w:lang w:val="en-CA" w:bidi="ar-EG"/>
        </w:rPr>
      </w:pPr>
      <w:r w:rsidRPr="00A64097">
        <w:rPr>
          <w:rFonts w:cs="Traditional Arabic" w:hint="cs"/>
          <w:b/>
          <w:spacing w:val="-4"/>
          <w:sz w:val="26"/>
          <w:szCs w:val="26"/>
          <w:rtl/>
        </w:rPr>
        <w:t>(ش)</w:t>
      </w:r>
      <w:r w:rsidRPr="00A64097">
        <w:rPr>
          <w:rFonts w:cs="Traditional Arabic" w:hint="cs"/>
          <w:b/>
          <w:spacing w:val="-4"/>
          <w:sz w:val="26"/>
          <w:szCs w:val="26"/>
          <w:rtl/>
        </w:rPr>
        <w:tab/>
      </w:r>
      <w:r w:rsidRPr="00A64097">
        <w:rPr>
          <w:rFonts w:cs="Traditional Arabic" w:hint="cs"/>
          <w:spacing w:val="-4"/>
          <w:sz w:val="18"/>
          <w:szCs w:val="26"/>
          <w:rtl/>
          <w:lang w:val="en-CA" w:bidi="ar-EG"/>
        </w:rPr>
        <w:t xml:space="preserve">انظر، ضمن جملة أمور، </w:t>
      </w:r>
      <w:r w:rsidRPr="00A64097">
        <w:rPr>
          <w:rFonts w:cs="Traditional Arabic" w:hint="cs"/>
          <w:b/>
          <w:spacing w:val="-4"/>
          <w:sz w:val="18"/>
          <w:szCs w:val="26"/>
          <w:rtl/>
        </w:rPr>
        <w:t>البلاغين</w:t>
      </w:r>
      <w:r w:rsidRPr="00A64097">
        <w:rPr>
          <w:rFonts w:cs="Traditional Arabic" w:hint="cs"/>
          <w:spacing w:val="-4"/>
          <w:sz w:val="18"/>
          <w:szCs w:val="26"/>
          <w:rtl/>
          <w:lang w:val="en-CA" w:bidi="ar-EG"/>
        </w:rPr>
        <w:t xml:space="preserve"> رقم 258/2004، </w:t>
      </w:r>
      <w:r w:rsidRPr="00A64097">
        <w:rPr>
          <w:rFonts w:cs="Traditional Arabic" w:hint="cs"/>
          <w:i/>
          <w:iCs/>
          <w:spacing w:val="-4"/>
          <w:sz w:val="18"/>
          <w:szCs w:val="26"/>
          <w:rtl/>
          <w:lang w:val="en-CA" w:bidi="ar-EG"/>
        </w:rPr>
        <w:t>دادار ضد كندا</w:t>
      </w:r>
      <w:r w:rsidRPr="00A64097">
        <w:rPr>
          <w:rFonts w:cs="Traditional Arabic" w:hint="cs"/>
          <w:spacing w:val="-4"/>
          <w:sz w:val="18"/>
          <w:szCs w:val="26"/>
          <w:rtl/>
          <w:lang w:val="en-CA" w:bidi="ar-EG"/>
        </w:rPr>
        <w:t>، القرار المعتمد في 23 تشرين الثاني/</w:t>
      </w:r>
      <w:r>
        <w:rPr>
          <w:rFonts w:cs="Traditional Arabic" w:hint="cs"/>
          <w:spacing w:val="-4"/>
          <w:sz w:val="18"/>
          <w:szCs w:val="26"/>
          <w:rtl/>
          <w:lang w:val="en-CA" w:bidi="ar-EG"/>
        </w:rPr>
        <w:t xml:space="preserve"> </w:t>
      </w:r>
      <w:r w:rsidRPr="00A64097">
        <w:rPr>
          <w:rFonts w:cs="Traditional Arabic" w:hint="cs"/>
          <w:spacing w:val="-4"/>
          <w:sz w:val="18"/>
          <w:szCs w:val="26"/>
          <w:rtl/>
          <w:lang w:val="en-CA" w:bidi="ar-EG"/>
        </w:rPr>
        <w:t>نوفمبر</w:t>
      </w:r>
      <w:r>
        <w:rPr>
          <w:rFonts w:cs="Traditional Arabic" w:hint="eastAsia"/>
          <w:spacing w:val="-4"/>
          <w:sz w:val="18"/>
          <w:szCs w:val="26"/>
          <w:rtl/>
          <w:lang w:val="en-CA" w:bidi="ar-EG"/>
        </w:rPr>
        <w:t> </w:t>
      </w:r>
      <w:r w:rsidRPr="00A64097">
        <w:rPr>
          <w:rFonts w:cs="Traditional Arabic" w:hint="cs"/>
          <w:spacing w:val="-4"/>
          <w:sz w:val="18"/>
          <w:szCs w:val="26"/>
          <w:rtl/>
          <w:lang w:val="en-CA" w:bidi="ar-EG"/>
        </w:rPr>
        <w:t xml:space="preserve">2005، ورقم 226/2003، </w:t>
      </w:r>
      <w:r w:rsidRPr="00A64097">
        <w:rPr>
          <w:rFonts w:cs="Traditional Arabic" w:hint="cs"/>
          <w:i/>
          <w:iCs/>
          <w:spacing w:val="-4"/>
          <w:sz w:val="18"/>
          <w:szCs w:val="26"/>
          <w:rtl/>
          <w:lang w:val="en-CA" w:bidi="ar-EG"/>
        </w:rPr>
        <w:t>ت. أ. وس. ت. ضد سويسرا</w:t>
      </w:r>
      <w:r w:rsidRPr="00A64097">
        <w:rPr>
          <w:rFonts w:cs="Traditional Arabic" w:hint="cs"/>
          <w:spacing w:val="-4"/>
          <w:sz w:val="18"/>
          <w:szCs w:val="26"/>
          <w:rtl/>
          <w:lang w:val="en-CA" w:bidi="ar-EG"/>
        </w:rPr>
        <w:t>، القرار المعتمد في 6 أيار/مايو 2005.</w:t>
      </w:r>
    </w:p>
  </w:footnote>
  <w:footnote w:id="91">
    <w:p w:rsidR="00F815BA" w:rsidRPr="00094E50" w:rsidRDefault="00F815BA" w:rsidP="00A64097">
      <w:pPr>
        <w:pStyle w:val="FootnoteText"/>
        <w:numPr>
          <w:ilvl w:val="0"/>
          <w:numId w:val="0"/>
        </w:numPr>
        <w:tabs>
          <w:tab w:val="left" w:pos="1267"/>
        </w:tabs>
        <w:bidi/>
        <w:spacing w:after="60" w:line="300" w:lineRule="exact"/>
        <w:ind w:left="1268" w:right="1247" w:hanging="476"/>
        <w:jc w:val="lowKashida"/>
        <w:rPr>
          <w:rFonts w:cs="Traditional Arabic" w:hint="cs"/>
          <w:sz w:val="18"/>
          <w:szCs w:val="26"/>
          <w:lang w:val="en-CA" w:bidi="ar-EG"/>
        </w:rPr>
      </w:pPr>
      <w:r w:rsidRPr="00A64097">
        <w:rPr>
          <w:rFonts w:cs="Traditional Arabic" w:hint="cs"/>
          <w:b/>
          <w:spacing w:val="-4"/>
          <w:sz w:val="26"/>
          <w:szCs w:val="26"/>
          <w:rtl/>
        </w:rPr>
        <w:t>(ت)</w:t>
      </w:r>
      <w:r w:rsidRPr="00A64097">
        <w:rPr>
          <w:rFonts w:cs="Traditional Arabic" w:hint="cs"/>
          <w:b/>
          <w:spacing w:val="-4"/>
          <w:sz w:val="26"/>
          <w:szCs w:val="26"/>
          <w:rtl/>
        </w:rPr>
        <w:tab/>
      </w:r>
      <w:r w:rsidRPr="00A64097">
        <w:rPr>
          <w:rFonts w:cs="Traditional Arabic" w:hint="cs"/>
          <w:spacing w:val="-4"/>
          <w:sz w:val="18"/>
          <w:szCs w:val="26"/>
          <w:rtl/>
          <w:lang w:val="en-CA" w:bidi="ar-EG"/>
        </w:rPr>
        <w:t xml:space="preserve">انظر، ضمن جملة </w:t>
      </w:r>
      <w:r w:rsidRPr="00A64097">
        <w:rPr>
          <w:rFonts w:cs="Traditional Arabic" w:hint="cs"/>
          <w:b/>
          <w:spacing w:val="-4"/>
          <w:sz w:val="18"/>
          <w:szCs w:val="26"/>
          <w:rtl/>
        </w:rPr>
        <w:t>أمور</w:t>
      </w:r>
      <w:r w:rsidRPr="00A64097">
        <w:rPr>
          <w:rFonts w:cs="Traditional Arabic" w:hint="cs"/>
          <w:spacing w:val="-4"/>
          <w:sz w:val="18"/>
          <w:szCs w:val="26"/>
          <w:rtl/>
          <w:lang w:val="en-CA" w:bidi="ar-EG"/>
        </w:rPr>
        <w:t xml:space="preserve">، البلاغ رقم 356/2008، </w:t>
      </w:r>
      <w:r w:rsidRPr="00A64097">
        <w:rPr>
          <w:rFonts w:cs="Traditional Arabic" w:hint="cs"/>
          <w:i/>
          <w:iCs/>
          <w:spacing w:val="-4"/>
          <w:sz w:val="18"/>
          <w:szCs w:val="26"/>
          <w:rtl/>
          <w:lang w:val="en-CA" w:bidi="ar-EG"/>
        </w:rPr>
        <w:t>ن. س. ضد سويسرا</w:t>
      </w:r>
      <w:r w:rsidRPr="00A64097">
        <w:rPr>
          <w:rFonts w:cs="Traditional Arabic" w:hint="cs"/>
          <w:spacing w:val="-4"/>
          <w:sz w:val="18"/>
          <w:szCs w:val="26"/>
          <w:rtl/>
          <w:lang w:val="en-CA" w:bidi="ar-EG"/>
        </w:rPr>
        <w:t>، القرار المعتمد في 6 أيار/مايو 2010،</w:t>
      </w:r>
      <w:r w:rsidRPr="00094E50">
        <w:rPr>
          <w:rFonts w:cs="Traditional Arabic" w:hint="cs"/>
          <w:sz w:val="18"/>
          <w:szCs w:val="26"/>
          <w:rtl/>
          <w:lang w:val="en-CA" w:bidi="ar-EG"/>
        </w:rPr>
        <w:t xml:space="preserve"> الفقرة 7-3.</w:t>
      </w:r>
    </w:p>
  </w:footnote>
  <w:footnote w:id="92">
    <w:p w:rsidR="00F815BA" w:rsidRPr="00021691" w:rsidRDefault="00F815BA" w:rsidP="00021691">
      <w:pPr>
        <w:pStyle w:val="FootnoteText"/>
        <w:numPr>
          <w:ilvl w:val="0"/>
          <w:numId w:val="32"/>
        </w:numPr>
        <w:bidi/>
        <w:spacing w:after="60" w:line="300" w:lineRule="exact"/>
        <w:ind w:right="1247"/>
        <w:jc w:val="lowKashida"/>
        <w:rPr>
          <w:rFonts w:cs="Traditional Arabic" w:hint="cs"/>
          <w:sz w:val="18"/>
          <w:szCs w:val="26"/>
        </w:rPr>
      </w:pPr>
      <w:r w:rsidRPr="00021691">
        <w:rPr>
          <w:rFonts w:cs="Traditional Arabic" w:hint="cs"/>
          <w:sz w:val="18"/>
          <w:szCs w:val="26"/>
          <w:rtl/>
        </w:rPr>
        <w:t>حسب الموقع الرسمي لوزارة شؤون الهجرة والجنسية في الحكومة الأسترالية (</w:t>
      </w:r>
      <w:hyperlink r:id="rId2" w:history="1">
        <w:r w:rsidRPr="00021691">
          <w:rPr>
            <w:rStyle w:val="Hyperlink"/>
            <w:rFonts w:cs="Traditional Arabic"/>
            <w:sz w:val="18"/>
            <w:szCs w:val="26"/>
          </w:rPr>
          <w:t>www.mara.gov.au/</w:t>
        </w:r>
      </w:hyperlink>
      <w:r w:rsidRPr="00021691">
        <w:rPr>
          <w:rFonts w:cs="Traditional Arabic" w:hint="cs"/>
          <w:sz w:val="18"/>
          <w:szCs w:val="26"/>
          <w:rtl/>
        </w:rPr>
        <w:t>)، يجب أن يكون موظفو الهجرة معتمدين لدى مكتب الهيئة المعنية باعتماد موظفي الهجرة (</w:t>
      </w:r>
      <w:r w:rsidRPr="00021691">
        <w:rPr>
          <w:rFonts w:cs="Traditional Arabic"/>
          <w:sz w:val="18"/>
          <w:szCs w:val="26"/>
        </w:rPr>
        <w:t>MARA</w:t>
      </w:r>
      <w:r w:rsidRPr="00021691">
        <w:rPr>
          <w:rFonts w:cs="Traditional Arabic" w:hint="cs"/>
          <w:sz w:val="18"/>
          <w:szCs w:val="26"/>
          <w:rtl/>
        </w:rPr>
        <w:t>). ويعرَّف المكتب على أنه "مكتب منفصل تابع لوزارة شؤون الهجرة والجنسية" وحُدّدت مهامه في المادة 316 من قانون الهجرة لعام 1958. ويلتزم موظفو الهجرة المعتمدون بمدوّنة قواعد سلوك، ويجب أن يتحلوا بمعرفة متعمقة بالقوانين والإجراءات الأسترالية في مجال الهجرة وأن يفوا بمعايير مهنية وأخلاقية راقية. وينصح الموقع مقدمي طلبات التأشيرات أياً كان نوعها بالاستعانة بموظف هجرة لتقديم طلباتهم.</w:t>
      </w:r>
    </w:p>
  </w:footnote>
  <w:footnote w:id="93">
    <w:p w:rsidR="00F815BA" w:rsidRPr="00E55B21" w:rsidRDefault="00F815BA" w:rsidP="00E55B21">
      <w:pPr>
        <w:pStyle w:val="FootnoteText"/>
        <w:numPr>
          <w:ilvl w:val="0"/>
          <w:numId w:val="32"/>
        </w:numPr>
        <w:bidi/>
        <w:spacing w:after="60" w:line="300" w:lineRule="exact"/>
        <w:ind w:right="1247"/>
        <w:jc w:val="lowKashida"/>
        <w:rPr>
          <w:rFonts w:cs="Traditional Arabic" w:hint="cs"/>
          <w:spacing w:val="-2"/>
          <w:sz w:val="18"/>
          <w:szCs w:val="26"/>
        </w:rPr>
      </w:pPr>
      <w:r w:rsidRPr="00E55B21">
        <w:rPr>
          <w:rFonts w:cs="Traditional Arabic" w:hint="cs"/>
          <w:spacing w:val="-2"/>
          <w:sz w:val="18"/>
          <w:szCs w:val="26"/>
          <w:rtl/>
        </w:rPr>
        <w:t xml:space="preserve">تدفع الدولة الطرف </w:t>
      </w:r>
      <w:r w:rsidRPr="00E55B21">
        <w:rPr>
          <w:rFonts w:cs="Traditional Arabic" w:hint="cs"/>
          <w:spacing w:val="-2"/>
          <w:sz w:val="18"/>
          <w:szCs w:val="26"/>
          <w:rtl/>
          <w:lang/>
        </w:rPr>
        <w:t xml:space="preserve">بأن قانون الهجرة "يمنح الوزير سلطة تقديرية غير قابلة للتفويض وغير ملزمة تتيح له التدخل إذا اعتبر أن المصلحة العامة تقتضي ذلك". فالوزير مخوّلٌ </w:t>
      </w:r>
      <w:r w:rsidRPr="00E55B21">
        <w:rPr>
          <w:rFonts w:cs="Traditional Arabic" w:hint="cs"/>
          <w:spacing w:val="-2"/>
          <w:sz w:val="18"/>
          <w:szCs w:val="26"/>
          <w:rtl/>
        </w:rPr>
        <w:t>"الاستعاضة عن قرار صادر عن محكمة مراجعة القرارات الخاصة باللاجئين بقرار أصلح لمقدم الطلب"، وقد أصدر الوزير مبادئ توجيهية مفادها أنه لن ينظر بشكل عام في الطلبات "إلا في الحالات التي تنطوي على ظرف أو أكثر من الظروف الفريدة أو</w:t>
      </w:r>
      <w:r>
        <w:rPr>
          <w:rFonts w:cs="Traditional Arabic" w:hint="eastAsia"/>
          <w:spacing w:val="-2"/>
          <w:sz w:val="18"/>
          <w:szCs w:val="26"/>
          <w:rtl/>
        </w:rPr>
        <w:t> </w:t>
      </w:r>
      <w:r w:rsidRPr="00E55B21">
        <w:rPr>
          <w:rFonts w:cs="Traditional Arabic" w:hint="cs"/>
          <w:spacing w:val="-2"/>
          <w:sz w:val="18"/>
          <w:szCs w:val="26"/>
          <w:rtl/>
        </w:rPr>
        <w:t>الاستثنائية، بما في ذلك الحالات التي تشمل ظروفاً تشكل أساساً قوياً يدعو إلى الاعتقاد بوجود تهديد كبير لأمن الفرد الشخصي</w:t>
      </w:r>
      <w:r w:rsidRPr="00E55B21">
        <w:rPr>
          <w:rFonts w:cs="Traditional Arabic" w:hint="cs"/>
          <w:spacing w:val="-2"/>
          <w:sz w:val="18"/>
          <w:szCs w:val="26"/>
          <w:rtl/>
          <w:lang/>
        </w:rPr>
        <w:t xml:space="preserve"> أو لحقوق الإنسان الخاصة به أو لكرامته الإنسانية لدى عودته إلى بلده الأصلي، أو</w:t>
      </w:r>
      <w:r>
        <w:rPr>
          <w:rFonts w:cs="Traditional Arabic" w:hint="eastAsia"/>
          <w:spacing w:val="-2"/>
          <w:sz w:val="18"/>
          <w:szCs w:val="26"/>
          <w:rtl/>
          <w:lang/>
        </w:rPr>
        <w:t> </w:t>
      </w:r>
      <w:r w:rsidRPr="00E55B21">
        <w:rPr>
          <w:rFonts w:cs="Traditional Arabic" w:hint="cs"/>
          <w:spacing w:val="-2"/>
          <w:sz w:val="18"/>
          <w:szCs w:val="26"/>
          <w:rtl/>
          <w:lang/>
        </w:rPr>
        <w:t>حيث توجد ظروف قد</w:t>
      </w:r>
      <w:r w:rsidRPr="00E55B21">
        <w:rPr>
          <w:rFonts w:cs="Traditional Arabic" w:hint="cs"/>
          <w:spacing w:val="-2"/>
          <w:sz w:val="18"/>
          <w:szCs w:val="26"/>
          <w:rtl/>
        </w:rPr>
        <w:t xml:space="preserve"> </w:t>
      </w:r>
      <w:r w:rsidRPr="00E55B21">
        <w:rPr>
          <w:rFonts w:cs="Traditional Arabic" w:hint="cs"/>
          <w:spacing w:val="-2"/>
          <w:sz w:val="18"/>
          <w:szCs w:val="26"/>
          <w:rtl/>
          <w:lang/>
        </w:rPr>
        <w:t>تثير مسألة وفاء أستراليا بالتزاماتها بموجب المعاهدات".</w:t>
      </w:r>
    </w:p>
  </w:footnote>
  <w:footnote w:id="94">
    <w:p w:rsidR="00F815BA" w:rsidRPr="00021691" w:rsidRDefault="00F815BA" w:rsidP="00021691">
      <w:pPr>
        <w:pStyle w:val="FootnoteText"/>
        <w:numPr>
          <w:ilvl w:val="0"/>
          <w:numId w:val="32"/>
        </w:numPr>
        <w:bidi/>
        <w:spacing w:after="60" w:line="300" w:lineRule="exact"/>
        <w:ind w:right="1247"/>
        <w:jc w:val="lowKashida"/>
        <w:rPr>
          <w:rFonts w:cs="Traditional Arabic" w:hint="cs"/>
          <w:sz w:val="18"/>
          <w:szCs w:val="26"/>
        </w:rPr>
      </w:pPr>
      <w:r w:rsidRPr="00021691">
        <w:rPr>
          <w:rFonts w:cs="Traditional Arabic" w:hint="cs"/>
          <w:sz w:val="18"/>
          <w:szCs w:val="26"/>
          <w:rtl/>
        </w:rPr>
        <w:t>تبيّن الدولة الطرف أن صاحب الشكوى قد أدلى في إحدى إفاداته الشخصية بأنه إن أعيد إلى الصين سيتعرض لسوء معاملة قد تهدد حياته.</w:t>
      </w:r>
    </w:p>
  </w:footnote>
  <w:footnote w:id="95">
    <w:p w:rsidR="00F815BA" w:rsidRPr="00021691" w:rsidRDefault="00F815BA" w:rsidP="00021691">
      <w:pPr>
        <w:pStyle w:val="FootnoteText"/>
        <w:numPr>
          <w:ilvl w:val="0"/>
          <w:numId w:val="32"/>
        </w:numPr>
        <w:bidi/>
        <w:spacing w:after="60" w:line="300" w:lineRule="exact"/>
        <w:ind w:right="1247"/>
        <w:jc w:val="lowKashida"/>
        <w:rPr>
          <w:rFonts w:cs="Traditional Arabic" w:hint="cs"/>
          <w:sz w:val="18"/>
          <w:szCs w:val="26"/>
        </w:rPr>
      </w:pPr>
      <w:r w:rsidRPr="00021691">
        <w:rPr>
          <w:rFonts w:cs="Traditional Arabic" w:hint="cs"/>
          <w:sz w:val="18"/>
          <w:szCs w:val="26"/>
          <w:rtl/>
        </w:rPr>
        <w:t>قُدّمت إفادة والدة صاحب الشكوى لدعم أحد طلبات التدخل الوزاري التي قدمها.</w:t>
      </w:r>
    </w:p>
  </w:footnote>
  <w:footnote w:id="96">
    <w:p w:rsidR="00F815BA" w:rsidRPr="00021691" w:rsidRDefault="00F815BA" w:rsidP="002414F6">
      <w:pPr>
        <w:pStyle w:val="FootnoteText"/>
        <w:numPr>
          <w:ilvl w:val="0"/>
          <w:numId w:val="0"/>
        </w:numPr>
        <w:bidi/>
        <w:spacing w:after="60" w:line="300" w:lineRule="exact"/>
        <w:ind w:left="1240" w:right="1247" w:hanging="462"/>
        <w:jc w:val="lowKashida"/>
        <w:rPr>
          <w:rFonts w:cs="Traditional Arabic" w:hint="cs"/>
          <w:sz w:val="18"/>
          <w:szCs w:val="26"/>
        </w:rPr>
      </w:pPr>
      <w:r w:rsidRPr="002414F6">
        <w:rPr>
          <w:rFonts w:cs="Traditional Arabic" w:hint="cs"/>
          <w:sz w:val="26"/>
          <w:szCs w:val="26"/>
          <w:rtl/>
        </w:rPr>
        <w:t>(ﻫ)</w:t>
      </w:r>
      <w:r w:rsidRPr="002414F6">
        <w:rPr>
          <w:rFonts w:cs="Traditional Arabic" w:hint="cs"/>
          <w:sz w:val="26"/>
          <w:szCs w:val="26"/>
          <w:rtl/>
        </w:rPr>
        <w:tab/>
      </w:r>
      <w:r w:rsidRPr="00021691">
        <w:rPr>
          <w:rFonts w:cs="Traditional Arabic" w:hint="cs"/>
          <w:sz w:val="18"/>
          <w:szCs w:val="26"/>
          <w:rtl/>
        </w:rPr>
        <w:t>قدم صاحب الشكوى ما يلي: شهادة من والدته التي شهدت توقيفه في 15 آب/أغسطس 2001 والتي تؤكد احتجازه خلال 15 يوماً فضلاً عن قيام الشرطة بزيارتين إضافيتين أقدمت أثناءهما على تفتيش المنزل وسعت إلى تحديد مكان وجوده؛ وشهادة من ممارسين للفالون غونغ كانوا متواجدين عند توجهه إلى مخفر الشرطة المحلي لالتماس الإفراج عن شخص آخر يمارس الفالون غونغ؛ وشهادة</w:t>
      </w:r>
      <w:r w:rsidRPr="00021691">
        <w:rPr>
          <w:rFonts w:cs="Traditional Arabic" w:hint="cs"/>
          <w:b/>
          <w:bCs/>
          <w:sz w:val="18"/>
          <w:szCs w:val="26"/>
          <w:rtl/>
        </w:rPr>
        <w:t xml:space="preserve"> </w:t>
      </w:r>
      <w:r w:rsidRPr="00021691">
        <w:rPr>
          <w:rFonts w:cs="Traditional Arabic" w:hint="cs"/>
          <w:sz w:val="18"/>
          <w:szCs w:val="26"/>
          <w:rtl/>
        </w:rPr>
        <w:t>تؤكد توقيفه عام 2001؛ وشهادات من أفراد اشتركوا معه في ممارسة الفالون غونغ عامي 1995/1996؛ وإفادة من أحد ممارسي الفالون غونغ الذي نظم دفع الرشاوى للإفراج عنه.</w:t>
      </w:r>
    </w:p>
  </w:footnote>
  <w:footnote w:id="97">
    <w:p w:rsidR="00F815BA" w:rsidRPr="00021691" w:rsidRDefault="00F815BA" w:rsidP="002414F6">
      <w:pPr>
        <w:pStyle w:val="FootnoteText"/>
        <w:numPr>
          <w:ilvl w:val="0"/>
          <w:numId w:val="0"/>
        </w:numPr>
        <w:bidi/>
        <w:spacing w:after="60" w:line="300" w:lineRule="exact"/>
        <w:ind w:left="1240" w:right="1247" w:hanging="462"/>
        <w:jc w:val="lowKashida"/>
        <w:rPr>
          <w:rFonts w:cs="Traditional Arabic" w:hint="cs"/>
          <w:sz w:val="18"/>
          <w:szCs w:val="26"/>
        </w:rPr>
      </w:pPr>
      <w:r w:rsidRPr="002414F6">
        <w:rPr>
          <w:rFonts w:cs="Traditional Arabic" w:hint="cs"/>
          <w:sz w:val="26"/>
          <w:szCs w:val="26"/>
          <w:rtl/>
        </w:rPr>
        <w:t>(</w:t>
      </w:r>
      <w:r>
        <w:rPr>
          <w:rFonts w:cs="Traditional Arabic" w:hint="cs"/>
          <w:sz w:val="26"/>
          <w:szCs w:val="26"/>
          <w:rtl/>
        </w:rPr>
        <w:t>و</w:t>
      </w:r>
      <w:r w:rsidRPr="002414F6">
        <w:rPr>
          <w:rFonts w:cs="Traditional Arabic" w:hint="cs"/>
          <w:sz w:val="26"/>
          <w:szCs w:val="26"/>
          <w:rtl/>
        </w:rPr>
        <w:t>)</w:t>
      </w:r>
      <w:r w:rsidRPr="002414F6">
        <w:rPr>
          <w:rFonts w:cs="Traditional Arabic" w:hint="cs"/>
          <w:sz w:val="26"/>
          <w:szCs w:val="26"/>
          <w:rtl/>
        </w:rPr>
        <w:tab/>
      </w:r>
      <w:r w:rsidRPr="00021691">
        <w:rPr>
          <w:rFonts w:cs="Traditional Arabic" w:hint="cs"/>
          <w:sz w:val="18"/>
          <w:szCs w:val="26"/>
          <w:rtl/>
        </w:rPr>
        <w:t>قدم صاحب الشكوى شهادة طبية من الطبيب فليري العامل في "هيئة الخدمات الصحية والطبية الدولية"، ومؤرخة 1 شباط/فبراير 2010.</w:t>
      </w:r>
    </w:p>
  </w:footnote>
  <w:footnote w:id="98">
    <w:p w:rsidR="00F815BA" w:rsidRPr="00021691" w:rsidRDefault="00F815BA" w:rsidP="002414F6">
      <w:pPr>
        <w:pStyle w:val="FootnoteText"/>
        <w:numPr>
          <w:ilvl w:val="0"/>
          <w:numId w:val="0"/>
        </w:numPr>
        <w:bidi/>
        <w:spacing w:after="60" w:line="300" w:lineRule="exact"/>
        <w:ind w:left="1240" w:right="1247" w:hanging="462"/>
        <w:jc w:val="lowKashida"/>
        <w:rPr>
          <w:rFonts w:cs="Traditional Arabic" w:hint="cs"/>
          <w:sz w:val="18"/>
          <w:szCs w:val="26"/>
        </w:rPr>
      </w:pPr>
      <w:r w:rsidRPr="002414F6">
        <w:rPr>
          <w:rFonts w:cs="Traditional Arabic" w:hint="cs"/>
          <w:sz w:val="26"/>
          <w:szCs w:val="26"/>
          <w:rtl/>
        </w:rPr>
        <w:t>(</w:t>
      </w:r>
      <w:r>
        <w:rPr>
          <w:rFonts w:cs="Traditional Arabic" w:hint="cs"/>
          <w:sz w:val="26"/>
          <w:szCs w:val="26"/>
          <w:rtl/>
        </w:rPr>
        <w:t>ز</w:t>
      </w:r>
      <w:r w:rsidRPr="002414F6">
        <w:rPr>
          <w:rFonts w:cs="Traditional Arabic" w:hint="cs"/>
          <w:sz w:val="26"/>
          <w:szCs w:val="26"/>
          <w:rtl/>
        </w:rPr>
        <w:t>)</w:t>
      </w:r>
      <w:r w:rsidRPr="002414F6">
        <w:rPr>
          <w:rFonts w:cs="Traditional Arabic" w:hint="cs"/>
          <w:sz w:val="26"/>
          <w:szCs w:val="26"/>
          <w:rtl/>
        </w:rPr>
        <w:tab/>
      </w:r>
      <w:r w:rsidRPr="00021691">
        <w:rPr>
          <w:rFonts w:cs="Traditional Arabic" w:hint="cs"/>
          <w:sz w:val="18"/>
          <w:szCs w:val="26"/>
          <w:rtl/>
        </w:rPr>
        <w:t>قدّم صاحب الشكوى، حرصاً منه على إثبات استعانته بموظف هجرة معين، بطاقة التعريف المهنية الخاصة بالموظف وإيصالات دفع صادرة عن مكتبه مقابل ترجمة وثائق إلى الإنكليزية. ومع ذلك، فإن موظف الهجرة، حسب مزاعم صاحب الشكوى، لم يبلغه بإعداده الطلب والاستئناف. ويؤكد صاحب الشكوى أيضاً أنه على الرغم من قيامه بإخطار إدارة الهجرة بتغيير عنوانه في 14 آذار/مارس 2005، من خلال ملء الاستمارة الرسمية الخاصة بتغيير العنوان، فقد قام موظف الهجرة، عندما قُدّم الاستئناف أمام محكمة مراجعة الأحكام الخاصة باللاجئين في 6 نيسان/أبريل 2005، باستخدام العنوان القديم، وبالتالي العنوان الخطأ، الذي دُوّن على طلب تأشيرة الحماية.</w:t>
      </w:r>
    </w:p>
  </w:footnote>
  <w:footnote w:id="99">
    <w:p w:rsidR="00F815BA" w:rsidRPr="00021691" w:rsidRDefault="00F815BA" w:rsidP="002414F6">
      <w:pPr>
        <w:pStyle w:val="FootnoteText"/>
        <w:numPr>
          <w:ilvl w:val="0"/>
          <w:numId w:val="0"/>
        </w:numPr>
        <w:bidi/>
        <w:spacing w:after="60" w:line="300" w:lineRule="exact"/>
        <w:ind w:left="1240" w:right="1247" w:hanging="462"/>
        <w:jc w:val="lowKashida"/>
        <w:rPr>
          <w:rFonts w:cs="Traditional Arabic" w:hint="cs"/>
          <w:sz w:val="18"/>
          <w:szCs w:val="26"/>
        </w:rPr>
      </w:pPr>
      <w:r w:rsidRPr="002414F6">
        <w:rPr>
          <w:rFonts w:cs="Traditional Arabic" w:hint="cs"/>
          <w:sz w:val="26"/>
          <w:szCs w:val="26"/>
          <w:rtl/>
        </w:rPr>
        <w:t>(</w:t>
      </w:r>
      <w:r>
        <w:rPr>
          <w:rFonts w:cs="Traditional Arabic" w:hint="cs"/>
          <w:sz w:val="26"/>
          <w:szCs w:val="26"/>
          <w:rtl/>
        </w:rPr>
        <w:t>ح</w:t>
      </w:r>
      <w:r w:rsidRPr="002414F6">
        <w:rPr>
          <w:rFonts w:cs="Traditional Arabic" w:hint="cs"/>
          <w:sz w:val="26"/>
          <w:szCs w:val="26"/>
          <w:rtl/>
        </w:rPr>
        <w:t>)</w:t>
      </w:r>
      <w:r w:rsidRPr="002414F6">
        <w:rPr>
          <w:rFonts w:cs="Traditional Arabic" w:hint="cs"/>
          <w:sz w:val="26"/>
          <w:szCs w:val="26"/>
          <w:rtl/>
        </w:rPr>
        <w:tab/>
      </w:r>
      <w:r w:rsidRPr="00021691">
        <w:rPr>
          <w:rFonts w:cs="Traditional Arabic" w:hint="cs"/>
          <w:sz w:val="18"/>
          <w:szCs w:val="26"/>
          <w:rtl/>
        </w:rPr>
        <w:t xml:space="preserve">يشير صاحب الشكوى إلى الفقرة 30 من قرار محكمة الصلح الاتحادية، </w:t>
      </w:r>
      <w:r w:rsidRPr="00021691">
        <w:rPr>
          <w:rFonts w:cs="Traditional Arabic" w:hint="cs"/>
          <w:i/>
          <w:iCs/>
          <w:sz w:val="18"/>
          <w:szCs w:val="26"/>
          <w:rtl/>
        </w:rPr>
        <w:t>سزهي ضد وزير شؤون الهجرة والجنسية ومحكمة مراجعة القرارات الخاصة باللاجئين</w:t>
      </w:r>
      <w:r w:rsidRPr="00021691">
        <w:rPr>
          <w:rFonts w:cs="Traditional Arabic" w:hint="cs"/>
          <w:sz w:val="18"/>
          <w:szCs w:val="26"/>
          <w:rtl/>
        </w:rPr>
        <w:t xml:space="preserve">، رقم الملف </w:t>
      </w:r>
      <w:r w:rsidRPr="00021691">
        <w:rPr>
          <w:rFonts w:cs="Traditional Arabic"/>
          <w:bCs/>
          <w:sz w:val="18"/>
          <w:szCs w:val="26"/>
        </w:rPr>
        <w:t>SYG2929</w:t>
      </w:r>
      <w:r w:rsidRPr="00021691">
        <w:rPr>
          <w:rFonts w:cs="Traditional Arabic" w:hint="cs"/>
          <w:bCs/>
          <w:sz w:val="18"/>
          <w:szCs w:val="26"/>
          <w:rtl/>
        </w:rPr>
        <w:t xml:space="preserve"> </w:t>
      </w:r>
      <w:r w:rsidRPr="00021691">
        <w:rPr>
          <w:rFonts w:cs="Traditional Arabic" w:hint="cs"/>
          <w:b/>
          <w:sz w:val="18"/>
          <w:szCs w:val="26"/>
          <w:rtl/>
        </w:rPr>
        <w:t>لعام 2005، المؤرخ 13 آذار/</w:t>
      </w:r>
      <w:r w:rsidRPr="002414F6">
        <w:rPr>
          <w:rFonts w:cs="Traditional Arabic" w:hint="cs"/>
          <w:sz w:val="18"/>
          <w:szCs w:val="26"/>
          <w:rtl/>
        </w:rPr>
        <w:t>مارس</w:t>
      </w:r>
      <w:r w:rsidRPr="00021691">
        <w:rPr>
          <w:rFonts w:cs="Traditional Arabic" w:hint="cs"/>
          <w:b/>
          <w:sz w:val="18"/>
          <w:szCs w:val="26"/>
          <w:rtl/>
        </w:rPr>
        <w:t xml:space="preserve"> 2007 (نسخة مقدّمة من صاحب الشكوى).</w:t>
      </w:r>
    </w:p>
  </w:footnote>
  <w:footnote w:id="100">
    <w:p w:rsidR="00F815BA" w:rsidRPr="00021691" w:rsidRDefault="00F815BA" w:rsidP="002414F6">
      <w:pPr>
        <w:pStyle w:val="FootnoteText"/>
        <w:numPr>
          <w:ilvl w:val="0"/>
          <w:numId w:val="0"/>
        </w:numPr>
        <w:bidi/>
        <w:spacing w:after="60" w:line="300" w:lineRule="exact"/>
        <w:ind w:left="1240" w:right="1247" w:hanging="462"/>
        <w:jc w:val="lowKashida"/>
        <w:rPr>
          <w:rFonts w:cs="Traditional Arabic" w:hint="cs"/>
          <w:sz w:val="18"/>
          <w:szCs w:val="26"/>
        </w:rPr>
      </w:pPr>
      <w:r w:rsidRPr="002414F6">
        <w:rPr>
          <w:rFonts w:cs="Traditional Arabic" w:hint="cs"/>
          <w:sz w:val="26"/>
          <w:szCs w:val="26"/>
          <w:rtl/>
        </w:rPr>
        <w:t>(</w:t>
      </w:r>
      <w:r>
        <w:rPr>
          <w:rFonts w:cs="Traditional Arabic" w:hint="cs"/>
          <w:sz w:val="26"/>
          <w:szCs w:val="26"/>
          <w:rtl/>
        </w:rPr>
        <w:t>ط</w:t>
      </w:r>
      <w:r w:rsidRPr="002414F6">
        <w:rPr>
          <w:rFonts w:cs="Traditional Arabic" w:hint="cs"/>
          <w:sz w:val="26"/>
          <w:szCs w:val="26"/>
          <w:rtl/>
        </w:rPr>
        <w:t>)</w:t>
      </w:r>
      <w:r w:rsidRPr="002414F6">
        <w:rPr>
          <w:rFonts w:cs="Traditional Arabic" w:hint="cs"/>
          <w:sz w:val="26"/>
          <w:szCs w:val="26"/>
          <w:rtl/>
        </w:rPr>
        <w:tab/>
      </w:r>
      <w:r w:rsidRPr="00021691">
        <w:rPr>
          <w:rFonts w:cs="Traditional Arabic" w:hint="cs"/>
          <w:sz w:val="18"/>
          <w:szCs w:val="26"/>
          <w:rtl/>
        </w:rPr>
        <w:t xml:space="preserve">يشير صاحب الشكوى إلى الفقرة 30 من قرار محكمة الصلح الاتحادية (القرار نفسه) الذي جاء فيه أن "جهل مقدم الشكوى بالدعوة لا يعد خطأ من جانب محكمة مراجعة القرارات الخاصة باللاجئين"، ويشير إلى الفقرة 40 من قرار محكمة الصلح الاتحادية، قضية </w:t>
      </w:r>
      <w:r w:rsidRPr="00021691">
        <w:rPr>
          <w:rFonts w:cs="Traditional Arabic" w:hint="cs"/>
          <w:i/>
          <w:iCs/>
          <w:sz w:val="18"/>
          <w:szCs w:val="26"/>
          <w:rtl/>
        </w:rPr>
        <w:t>سزهي ضد وزير شؤون الهجرة والجنسية ومحكمة مراجعة القرارات الخاصة باللاجئين</w:t>
      </w:r>
      <w:r w:rsidRPr="00021691">
        <w:rPr>
          <w:rFonts w:cs="Traditional Arabic" w:hint="cs"/>
          <w:b/>
          <w:bCs/>
          <w:sz w:val="18"/>
          <w:szCs w:val="26"/>
          <w:rtl/>
        </w:rPr>
        <w:t xml:space="preserve">، </w:t>
      </w:r>
      <w:r w:rsidRPr="00021691">
        <w:rPr>
          <w:rFonts w:cs="Traditional Arabic" w:hint="cs"/>
          <w:sz w:val="18"/>
          <w:szCs w:val="26"/>
          <w:rtl/>
        </w:rPr>
        <w:t>رقم الملف</w:t>
      </w:r>
      <w:r w:rsidRPr="00021691">
        <w:rPr>
          <w:rFonts w:cs="Traditional Arabic" w:hint="cs"/>
          <w:b/>
          <w:bCs/>
          <w:sz w:val="18"/>
          <w:szCs w:val="26"/>
          <w:rtl/>
        </w:rPr>
        <w:t xml:space="preserve"> </w:t>
      </w:r>
      <w:r w:rsidRPr="00021691">
        <w:rPr>
          <w:rFonts w:cs="Traditional Arabic"/>
          <w:bCs/>
          <w:sz w:val="18"/>
          <w:szCs w:val="26"/>
        </w:rPr>
        <w:t>95</w:t>
      </w:r>
      <w:r w:rsidRPr="00021691">
        <w:rPr>
          <w:rFonts w:cs="Traditional Arabic" w:hint="cs"/>
          <w:b/>
          <w:bCs/>
          <w:sz w:val="18"/>
          <w:szCs w:val="26"/>
          <w:rtl/>
        </w:rPr>
        <w:t xml:space="preserve"> </w:t>
      </w:r>
      <w:r w:rsidRPr="00021691">
        <w:rPr>
          <w:rFonts w:cs="Traditional Arabic"/>
          <w:bCs/>
          <w:sz w:val="18"/>
          <w:szCs w:val="26"/>
        </w:rPr>
        <w:t>NSD</w:t>
      </w:r>
      <w:r w:rsidRPr="00021691">
        <w:rPr>
          <w:rFonts w:cs="Traditional Arabic" w:hint="cs"/>
          <w:sz w:val="18"/>
          <w:szCs w:val="26"/>
          <w:rtl/>
        </w:rPr>
        <w:t xml:space="preserve"> لعام 2010، المؤرخ 12 آذار/مارس 2010 والذي جاء فيه "أقبل وأستنتج أن صاحب الشكوى لم يبلَّغ من أي شخص بتاريخ ووقت ومكان انعقاد جلسة الاستماع في محكمة مراجعة الأحكام الخاصة </w:t>
      </w:r>
      <w:r>
        <w:rPr>
          <w:rFonts w:cs="Traditional Arabic" w:hint="cs"/>
          <w:sz w:val="18"/>
          <w:szCs w:val="26"/>
          <w:rtl/>
        </w:rPr>
        <w:t xml:space="preserve">باللاجئين وأنه لم يتلقَّ رسالة </w:t>
      </w:r>
      <w:r w:rsidRPr="00021691">
        <w:rPr>
          <w:rFonts w:cs="Traditional Arabic" w:hint="cs"/>
          <w:sz w:val="18"/>
          <w:szCs w:val="26"/>
          <w:rtl/>
        </w:rPr>
        <w:t>المحكمة المؤرخة 23 أيار/مايو 2005" (نسخة مقدّمة من صاحب الشكوى).</w:t>
      </w:r>
    </w:p>
  </w:footnote>
  <w:footnote w:id="101">
    <w:p w:rsidR="00F815BA" w:rsidRPr="00021691" w:rsidRDefault="00F815BA" w:rsidP="00CE592B">
      <w:pPr>
        <w:pStyle w:val="FootnoteText"/>
        <w:numPr>
          <w:ilvl w:val="0"/>
          <w:numId w:val="0"/>
        </w:numPr>
        <w:bidi/>
        <w:spacing w:after="60" w:line="300" w:lineRule="exact"/>
        <w:ind w:left="1240" w:right="1247" w:hanging="462"/>
        <w:jc w:val="lowKashida"/>
        <w:rPr>
          <w:rFonts w:cs="Traditional Arabic" w:hint="cs"/>
          <w:sz w:val="18"/>
          <w:szCs w:val="26"/>
        </w:rPr>
      </w:pPr>
      <w:r w:rsidRPr="002414F6">
        <w:rPr>
          <w:rFonts w:cs="Traditional Arabic" w:hint="cs"/>
          <w:sz w:val="26"/>
          <w:szCs w:val="26"/>
          <w:rtl/>
        </w:rPr>
        <w:t>(</w:t>
      </w:r>
      <w:r>
        <w:rPr>
          <w:rFonts w:cs="Traditional Arabic" w:hint="cs"/>
          <w:sz w:val="26"/>
          <w:szCs w:val="26"/>
          <w:rtl/>
        </w:rPr>
        <w:t>ي</w:t>
      </w:r>
      <w:r w:rsidRPr="002414F6">
        <w:rPr>
          <w:rFonts w:cs="Traditional Arabic" w:hint="cs"/>
          <w:sz w:val="26"/>
          <w:szCs w:val="26"/>
          <w:rtl/>
        </w:rPr>
        <w:t>)</w:t>
      </w:r>
      <w:r w:rsidRPr="002414F6">
        <w:rPr>
          <w:rFonts w:cs="Traditional Arabic" w:hint="cs"/>
          <w:sz w:val="26"/>
          <w:szCs w:val="26"/>
          <w:rtl/>
        </w:rPr>
        <w:tab/>
      </w:r>
      <w:r w:rsidRPr="00021691">
        <w:rPr>
          <w:rFonts w:cs="Traditional Arabic" w:hint="cs"/>
          <w:sz w:val="18"/>
          <w:szCs w:val="26"/>
          <w:rtl/>
        </w:rPr>
        <w:t xml:space="preserve">انظر الفقرة 5-2 والحاشية </w:t>
      </w:r>
      <w:r>
        <w:rPr>
          <w:rFonts w:cs="Traditional Arabic" w:hint="cs"/>
          <w:sz w:val="18"/>
          <w:szCs w:val="26"/>
          <w:rtl/>
        </w:rPr>
        <w:t>(د)</w:t>
      </w:r>
      <w:r w:rsidRPr="00021691">
        <w:rPr>
          <w:rFonts w:cs="Traditional Arabic" w:hint="cs"/>
          <w:sz w:val="18"/>
          <w:szCs w:val="26"/>
          <w:rtl/>
        </w:rPr>
        <w:t xml:space="preserve"> أعلاه.</w:t>
      </w:r>
    </w:p>
  </w:footnote>
  <w:footnote w:id="102">
    <w:p w:rsidR="00F815BA" w:rsidRPr="00021691" w:rsidRDefault="00F815BA" w:rsidP="002414F6">
      <w:pPr>
        <w:pStyle w:val="FootnoteText"/>
        <w:numPr>
          <w:ilvl w:val="0"/>
          <w:numId w:val="0"/>
        </w:numPr>
        <w:bidi/>
        <w:spacing w:after="60" w:line="300" w:lineRule="exact"/>
        <w:ind w:left="1240" w:right="1247" w:hanging="462"/>
        <w:jc w:val="lowKashida"/>
        <w:rPr>
          <w:rFonts w:cs="Traditional Arabic" w:hint="cs"/>
          <w:sz w:val="18"/>
          <w:szCs w:val="26"/>
        </w:rPr>
      </w:pPr>
      <w:r w:rsidRPr="002414F6">
        <w:rPr>
          <w:rFonts w:cs="Traditional Arabic" w:hint="cs"/>
          <w:sz w:val="26"/>
          <w:szCs w:val="26"/>
          <w:rtl/>
        </w:rPr>
        <w:t>(</w:t>
      </w:r>
      <w:r>
        <w:rPr>
          <w:rFonts w:cs="Traditional Arabic" w:hint="cs"/>
          <w:sz w:val="26"/>
          <w:szCs w:val="26"/>
          <w:rtl/>
        </w:rPr>
        <w:t>ك</w:t>
      </w:r>
      <w:r w:rsidRPr="002414F6">
        <w:rPr>
          <w:rFonts w:cs="Traditional Arabic" w:hint="cs"/>
          <w:sz w:val="26"/>
          <w:szCs w:val="26"/>
          <w:rtl/>
        </w:rPr>
        <w:t>)</w:t>
      </w:r>
      <w:r w:rsidRPr="002414F6">
        <w:rPr>
          <w:rFonts w:cs="Traditional Arabic" w:hint="cs"/>
          <w:sz w:val="26"/>
          <w:szCs w:val="26"/>
          <w:rtl/>
        </w:rPr>
        <w:tab/>
      </w:r>
      <w:r w:rsidRPr="00021691">
        <w:rPr>
          <w:rFonts w:cs="Traditional Arabic" w:hint="cs"/>
          <w:i/>
          <w:iCs/>
          <w:sz w:val="18"/>
          <w:szCs w:val="26"/>
          <w:rtl/>
          <w:lang w:val="en-CA"/>
        </w:rPr>
        <w:t>الوثائق الرسمية للجمعية العامة، الدورة الثالثة والخمسون، الملحق رقم 44</w:t>
      </w:r>
      <w:r w:rsidRPr="00021691">
        <w:rPr>
          <w:rFonts w:cs="Traditional Arabic" w:hint="cs"/>
          <w:sz w:val="18"/>
          <w:szCs w:val="26"/>
          <w:rtl/>
          <w:lang w:val="en-CA"/>
        </w:rPr>
        <w:t xml:space="preserve"> (</w:t>
      </w:r>
      <w:r w:rsidRPr="00021691">
        <w:rPr>
          <w:rFonts w:cs="Traditional Arabic"/>
          <w:sz w:val="18"/>
          <w:szCs w:val="26"/>
        </w:rPr>
        <w:t>A/53/44</w:t>
      </w:r>
      <w:r w:rsidRPr="00021691">
        <w:rPr>
          <w:rFonts w:cs="Traditional Arabic" w:hint="cs"/>
          <w:sz w:val="18"/>
          <w:szCs w:val="26"/>
          <w:rtl/>
          <w:lang w:val="en-CA"/>
        </w:rPr>
        <w:t xml:space="preserve"> و</w:t>
      </w:r>
      <w:r w:rsidRPr="00021691">
        <w:rPr>
          <w:rFonts w:cs="Traditional Arabic"/>
          <w:sz w:val="18"/>
          <w:szCs w:val="26"/>
        </w:rPr>
        <w:t>Corr.1</w:t>
      </w:r>
      <w:r w:rsidRPr="00021691">
        <w:rPr>
          <w:rFonts w:cs="Traditional Arabic" w:hint="cs"/>
          <w:sz w:val="18"/>
          <w:szCs w:val="26"/>
          <w:rtl/>
          <w:lang w:val="en-CA"/>
        </w:rPr>
        <w:t>)، المرفق التاسع)، الفقرة 6.</w:t>
      </w:r>
    </w:p>
  </w:footnote>
  <w:footnote w:id="103">
    <w:p w:rsidR="00F815BA" w:rsidRPr="002414F6" w:rsidRDefault="00F815BA" w:rsidP="002414F6">
      <w:pPr>
        <w:pStyle w:val="FootnoteText"/>
        <w:numPr>
          <w:ilvl w:val="0"/>
          <w:numId w:val="0"/>
        </w:numPr>
        <w:bidi/>
        <w:spacing w:after="60" w:line="300" w:lineRule="exact"/>
        <w:ind w:left="1240" w:right="1247" w:hanging="462"/>
        <w:jc w:val="lowKashida"/>
        <w:rPr>
          <w:rFonts w:cs="Traditional Arabic" w:hint="cs"/>
          <w:spacing w:val="-2"/>
          <w:sz w:val="18"/>
          <w:szCs w:val="26"/>
        </w:rPr>
      </w:pPr>
      <w:r w:rsidRPr="002414F6">
        <w:rPr>
          <w:rFonts w:cs="Traditional Arabic" w:hint="cs"/>
          <w:spacing w:val="-2"/>
          <w:sz w:val="26"/>
          <w:szCs w:val="26"/>
          <w:rtl/>
        </w:rPr>
        <w:t>(ل)</w:t>
      </w:r>
      <w:r w:rsidRPr="002414F6">
        <w:rPr>
          <w:rFonts w:cs="Traditional Arabic" w:hint="cs"/>
          <w:spacing w:val="-2"/>
          <w:sz w:val="26"/>
          <w:szCs w:val="26"/>
          <w:rtl/>
        </w:rPr>
        <w:tab/>
      </w:r>
      <w:r w:rsidRPr="002414F6">
        <w:rPr>
          <w:rFonts w:cs="Traditional Arabic" w:hint="cs"/>
          <w:spacing w:val="-2"/>
          <w:sz w:val="18"/>
          <w:szCs w:val="26"/>
          <w:rtl/>
        </w:rPr>
        <w:t xml:space="preserve">انظر، ضمن جملة أمور، البلاغين رقم 258/2004، </w:t>
      </w:r>
      <w:r w:rsidRPr="002414F6">
        <w:rPr>
          <w:rFonts w:cs="Traditional Arabic" w:hint="cs"/>
          <w:i/>
          <w:iCs/>
          <w:spacing w:val="-2"/>
          <w:sz w:val="18"/>
          <w:szCs w:val="26"/>
          <w:rtl/>
        </w:rPr>
        <w:t>دادار ضد كندا</w:t>
      </w:r>
      <w:r w:rsidRPr="002414F6">
        <w:rPr>
          <w:rFonts w:cs="Traditional Arabic" w:hint="cs"/>
          <w:spacing w:val="-2"/>
          <w:sz w:val="18"/>
          <w:szCs w:val="26"/>
          <w:rtl/>
        </w:rPr>
        <w:t>، القرار المعتمد في 23 تشرين الثاني/</w:t>
      </w:r>
      <w:r>
        <w:rPr>
          <w:rFonts w:cs="Traditional Arabic" w:hint="cs"/>
          <w:spacing w:val="-2"/>
          <w:sz w:val="18"/>
          <w:szCs w:val="26"/>
          <w:rtl/>
        </w:rPr>
        <w:t xml:space="preserve"> </w:t>
      </w:r>
      <w:r w:rsidRPr="002414F6">
        <w:rPr>
          <w:rFonts w:cs="Traditional Arabic" w:hint="cs"/>
          <w:spacing w:val="-2"/>
          <w:sz w:val="18"/>
          <w:szCs w:val="26"/>
          <w:rtl/>
        </w:rPr>
        <w:t xml:space="preserve">نوفمبر 2005؛ والبلاغ رقم 226/2003، </w:t>
      </w:r>
      <w:r w:rsidRPr="002414F6">
        <w:rPr>
          <w:rFonts w:cs="Traditional Arabic" w:hint="cs"/>
          <w:i/>
          <w:iCs/>
          <w:spacing w:val="-2"/>
          <w:sz w:val="18"/>
          <w:szCs w:val="26"/>
          <w:rtl/>
        </w:rPr>
        <w:t>ث. أ. ضد السويد،</w:t>
      </w:r>
      <w:r w:rsidRPr="002414F6">
        <w:rPr>
          <w:rFonts w:cs="Traditional Arabic" w:hint="cs"/>
          <w:spacing w:val="-2"/>
          <w:sz w:val="18"/>
          <w:szCs w:val="26"/>
          <w:rtl/>
        </w:rPr>
        <w:t xml:space="preserve"> القرار </w:t>
      </w:r>
      <w:r>
        <w:rPr>
          <w:rFonts w:cs="Traditional Arabic" w:hint="cs"/>
          <w:spacing w:val="-2"/>
          <w:sz w:val="18"/>
          <w:szCs w:val="26"/>
          <w:rtl/>
        </w:rPr>
        <w:t>المعتمد في 6 أيار/</w:t>
      </w:r>
      <w:r w:rsidRPr="002414F6">
        <w:rPr>
          <w:rFonts w:cs="Traditional Arabic" w:hint="cs"/>
          <w:spacing w:val="-2"/>
          <w:sz w:val="18"/>
          <w:szCs w:val="26"/>
          <w:rtl/>
        </w:rPr>
        <w:t>مايو 2005.</w:t>
      </w:r>
    </w:p>
  </w:footnote>
  <w:footnote w:id="104">
    <w:p w:rsidR="00F815BA" w:rsidRPr="00021691" w:rsidRDefault="00F815BA" w:rsidP="002414F6">
      <w:pPr>
        <w:pStyle w:val="FootnoteText"/>
        <w:numPr>
          <w:ilvl w:val="0"/>
          <w:numId w:val="0"/>
        </w:numPr>
        <w:bidi/>
        <w:spacing w:after="60" w:line="300" w:lineRule="exact"/>
        <w:ind w:left="1240" w:right="1247" w:hanging="462"/>
        <w:jc w:val="lowKashida"/>
        <w:rPr>
          <w:rFonts w:cs="Traditional Arabic" w:hint="cs"/>
          <w:sz w:val="18"/>
          <w:szCs w:val="26"/>
        </w:rPr>
      </w:pPr>
      <w:r w:rsidRPr="002414F6">
        <w:rPr>
          <w:rFonts w:cs="Traditional Arabic" w:hint="cs"/>
          <w:sz w:val="26"/>
          <w:szCs w:val="26"/>
          <w:rtl/>
        </w:rPr>
        <w:t>(</w:t>
      </w:r>
      <w:r>
        <w:rPr>
          <w:rFonts w:cs="Traditional Arabic" w:hint="cs"/>
          <w:sz w:val="26"/>
          <w:szCs w:val="26"/>
          <w:rtl/>
        </w:rPr>
        <w:t>م</w:t>
      </w:r>
      <w:r w:rsidRPr="002414F6">
        <w:rPr>
          <w:rFonts w:cs="Traditional Arabic" w:hint="cs"/>
          <w:sz w:val="26"/>
          <w:szCs w:val="26"/>
          <w:rtl/>
        </w:rPr>
        <w:t>)</w:t>
      </w:r>
      <w:r w:rsidRPr="002414F6">
        <w:rPr>
          <w:rFonts w:cs="Traditional Arabic" w:hint="cs"/>
          <w:sz w:val="26"/>
          <w:szCs w:val="26"/>
          <w:rtl/>
        </w:rPr>
        <w:tab/>
      </w:r>
      <w:r w:rsidRPr="00021691">
        <w:rPr>
          <w:rFonts w:cs="Traditional Arabic" w:hint="cs"/>
          <w:sz w:val="18"/>
          <w:szCs w:val="26"/>
          <w:rtl/>
        </w:rPr>
        <w:t>انظر</w:t>
      </w:r>
      <w:r w:rsidRPr="00021691">
        <w:rPr>
          <w:rFonts w:cs="Traditional Arabic" w:hint="cs"/>
          <w:i/>
          <w:iCs/>
          <w:sz w:val="18"/>
          <w:szCs w:val="26"/>
          <w:rtl/>
        </w:rPr>
        <w:t xml:space="preserve"> آلن ضد سويسرا</w:t>
      </w:r>
      <w:r w:rsidRPr="00021691">
        <w:rPr>
          <w:rFonts w:cs="Traditional Arabic" w:hint="cs"/>
          <w:sz w:val="18"/>
          <w:szCs w:val="26"/>
          <w:rtl/>
        </w:rPr>
        <w:t>، البلاغ رقم 21/1995، الآراء المعتمدة في 8 أيار/مايو 1996، الفقرة 11-3.</w:t>
      </w:r>
    </w:p>
  </w:footnote>
  <w:footnote w:id="105">
    <w:p w:rsidR="00F815BA" w:rsidRPr="00D0360A" w:rsidRDefault="00F815BA" w:rsidP="008302C2">
      <w:pPr>
        <w:pStyle w:val="FootnoteText"/>
        <w:keepLines/>
        <w:numPr>
          <w:ilvl w:val="0"/>
          <w:numId w:val="33"/>
        </w:numPr>
        <w:tabs>
          <w:tab w:val="clear" w:pos="0"/>
          <w:tab w:val="left" w:pos="1268"/>
        </w:tabs>
        <w:bidi/>
        <w:spacing w:after="60" w:line="300" w:lineRule="exact"/>
        <w:ind w:right="1247"/>
        <w:jc w:val="lowKashida"/>
        <w:rPr>
          <w:rFonts w:cs="Traditional Arabic" w:hint="cs"/>
          <w:sz w:val="18"/>
          <w:szCs w:val="26"/>
        </w:rPr>
      </w:pPr>
      <w:r w:rsidRPr="00D0360A">
        <w:rPr>
          <w:rFonts w:cs="Traditional Arabic" w:hint="cs"/>
          <w:sz w:val="18"/>
          <w:szCs w:val="26"/>
          <w:rtl/>
          <w:lang w:val="en-CA"/>
        </w:rPr>
        <w:t>وفقاً للقرار الصادر عن محكمة مراجعة الأحكام الخاصة باللاجئين (والمتاح في الملف)، لم يورد صاحب الشكوى أي معلومات تفصيلية عن طبيعة ممارسته للفالون غونغ أو عن مكان تمريناته أو عن وتيرتها. كما</w:t>
      </w:r>
      <w:r w:rsidRPr="00D0360A">
        <w:rPr>
          <w:rFonts w:cs="Traditional Arabic" w:hint="eastAsia"/>
          <w:sz w:val="18"/>
          <w:szCs w:val="26"/>
          <w:rtl/>
          <w:lang w:val="en-CA"/>
        </w:rPr>
        <w:t> </w:t>
      </w:r>
      <w:r w:rsidRPr="00D0360A">
        <w:rPr>
          <w:rFonts w:cs="Traditional Arabic" w:hint="cs"/>
          <w:sz w:val="18"/>
          <w:szCs w:val="26"/>
          <w:rtl/>
          <w:lang w:val="en-CA"/>
        </w:rPr>
        <w:t>ادعى أنه منظّم لتمرينات الفالون غونغ في منطقة سكنه المحلية ولكنه لم يقدم تفاصيل توضح متى أو</w:t>
      </w:r>
      <w:r w:rsidRPr="00D0360A">
        <w:rPr>
          <w:rFonts w:cs="Traditional Arabic" w:hint="eastAsia"/>
          <w:sz w:val="18"/>
          <w:szCs w:val="26"/>
          <w:rtl/>
          <w:lang w:val="en-CA"/>
        </w:rPr>
        <w:t> </w:t>
      </w:r>
      <w:r w:rsidRPr="00D0360A">
        <w:rPr>
          <w:rFonts w:cs="Traditional Arabic" w:hint="cs"/>
          <w:sz w:val="18"/>
          <w:szCs w:val="26"/>
          <w:rtl/>
          <w:lang w:val="en-CA"/>
        </w:rPr>
        <w:t xml:space="preserve">كيف أصبح منظم هذه التمرينات وتفاصيل عن عدد أعضاء مجموعته وعن الأماكن التي كانت تمارس فيها المجموعة تمريناتها. كما ادعى أنه بعد أن أخذت الحكومة تمنع ممارسة الفالون غونغ، تعرّضت الشرطة لمجموعاته مراراً وارتكبت ضدّها أعمال عنف وأتلفت كتبها وأشرطتها ووثائقها. غير أنه لم يوفر معلومات محددة عن طبيعة العنف المرتكب من قبل أفراد الشرطة أو عن وقت وقوع الحوادث المزعومة من أعمال عنف وتدمير للممتلكات. </w:t>
      </w:r>
    </w:p>
  </w:footnote>
  <w:footnote w:id="106">
    <w:p w:rsidR="00F815BA" w:rsidRPr="00D0360A" w:rsidRDefault="00F815BA" w:rsidP="008302C2">
      <w:pPr>
        <w:pStyle w:val="FootnoteText"/>
        <w:keepLines/>
        <w:numPr>
          <w:ilvl w:val="0"/>
          <w:numId w:val="33"/>
        </w:numPr>
        <w:tabs>
          <w:tab w:val="clear" w:pos="0"/>
          <w:tab w:val="left" w:pos="1268"/>
        </w:tabs>
        <w:bidi/>
        <w:spacing w:after="60" w:line="300" w:lineRule="exact"/>
        <w:ind w:right="1247"/>
        <w:jc w:val="lowKashida"/>
        <w:rPr>
          <w:rFonts w:cs="Traditional Arabic" w:hint="cs"/>
          <w:sz w:val="18"/>
          <w:szCs w:val="26"/>
        </w:rPr>
      </w:pPr>
      <w:r w:rsidRPr="00D0360A">
        <w:rPr>
          <w:rFonts w:cs="Traditional Arabic" w:hint="cs"/>
          <w:sz w:val="18"/>
          <w:szCs w:val="26"/>
          <w:rtl/>
          <w:lang w:val="en-CA"/>
        </w:rPr>
        <w:t>تَبيّن للمحكمة أن صاحب الشكوى قد وقّع على وثيقة "الرد على دعوة لحضور جلسة استماع" وذكر فيها: "لا أريد حضور جلسة الاستماع وأقبَل أن تقوم المحكمة باتخاذ قرار بشأن طلب المراجعة من دون أن اتخذ أي إجراءات إضافية تسمح أو تتيح لي المثول أمامها".</w:t>
      </w:r>
    </w:p>
  </w:footnote>
  <w:footnote w:id="107">
    <w:p w:rsidR="00F815BA" w:rsidRPr="00D0360A" w:rsidRDefault="00F815BA" w:rsidP="008302C2">
      <w:pPr>
        <w:pStyle w:val="FootnoteText"/>
        <w:keepLines/>
        <w:numPr>
          <w:ilvl w:val="0"/>
          <w:numId w:val="33"/>
        </w:numPr>
        <w:tabs>
          <w:tab w:val="clear" w:pos="0"/>
          <w:tab w:val="left" w:pos="1268"/>
        </w:tabs>
        <w:bidi/>
        <w:spacing w:after="60" w:line="300" w:lineRule="exact"/>
        <w:ind w:right="1247"/>
        <w:jc w:val="lowKashida"/>
        <w:rPr>
          <w:rFonts w:cs="Traditional Arabic" w:hint="cs"/>
          <w:sz w:val="18"/>
          <w:szCs w:val="26"/>
        </w:rPr>
      </w:pPr>
      <w:r w:rsidRPr="00D0360A">
        <w:rPr>
          <w:rFonts w:cs="Traditional Arabic" w:hint="cs"/>
          <w:sz w:val="18"/>
          <w:szCs w:val="26"/>
          <w:rtl/>
          <w:lang w:val="en-CA"/>
        </w:rPr>
        <w:t>حسب محاضر إدارة الهجرة (المتاحة في الملف)، كشفت سلطات الهجرة سلسلة من التناقضات في ادعاءات صاحب الشكوى. فقد بدأ في 11 أيار/مايو 2007 يلتمس من محكمة الصلح الاتحادية إجراء مراجعة قضائية للقرار الصادر عن محكمة مراجعة الأحكام الخاصة باللاجئين، أي بعد حوالي ثلاث سنوات على تأييد المحكمة لقرار إدارة الهجرة. واستند استئنافه أساساً إلى عدم تسلّمه رسالة الإخطار التي تدعوه إلى حضور جلسة الاستماع المنعقدة في محكمة مراجعة الأحكام الخاصة باللاجئين. وفي إفادة أخرى قدمت إلى محكمة الصلح الاتحادية في 27 آب/أغسطس 2007، أعلن صاحب الشكوى أنه لم يعلم إلا قبل بدء إجراءات التقاضي بفترة وجيزة أن ثمة طلباً للمراجعة قُدِّم إلى محكمة مراجعة الأحكام الخاصة باللاجئين ورُفِضَ. ولكن أثناء جلسة الاستماع التي دارت في محكمة الصلح الاتحادية بتاريخ 4 تشرين الأول/ أكتوبر</w:t>
      </w:r>
      <w:r w:rsidRPr="00D0360A">
        <w:rPr>
          <w:rFonts w:cs="Traditional Arabic" w:hint="eastAsia"/>
          <w:sz w:val="18"/>
          <w:szCs w:val="26"/>
          <w:rtl/>
          <w:lang w:val="en-CA"/>
        </w:rPr>
        <w:t> </w:t>
      </w:r>
      <w:r w:rsidRPr="00D0360A">
        <w:rPr>
          <w:rFonts w:cs="Traditional Arabic" w:hint="cs"/>
          <w:sz w:val="18"/>
          <w:szCs w:val="26"/>
          <w:rtl/>
          <w:lang w:val="en-CA"/>
        </w:rPr>
        <w:t xml:space="preserve">2007، أقرّ صاحب الشكوى بأنه وقّع على جميع الوثائق المتعلقة بالطلب الذي قدمه للحصول على تأشيرة للحماية وبأنه كان يعلم آنذاك أن طلبه يخضع لعملية مرحلية تتوخى دراسته. أما الأدلة التي قدّمها صاحب الشكوى خلال العملية المرتبطة بطلب تأشيرة الحماية، فقد تبيّن أن لا مصداقية لها، بما في ذلك ادعاؤه أن موظف الهجرة قد أساء تمثيله ونصحه بعدم حضور جلسة الاستماع التي انعقدت في محكمة مراجعة الأحكام الخاصة باللاجئين. </w:t>
      </w:r>
    </w:p>
  </w:footnote>
  <w:footnote w:id="108">
    <w:p w:rsidR="00F815BA" w:rsidRPr="00D0360A" w:rsidRDefault="00F815BA" w:rsidP="008302C2">
      <w:pPr>
        <w:pStyle w:val="FootnoteText"/>
        <w:numPr>
          <w:ilvl w:val="0"/>
          <w:numId w:val="33"/>
        </w:numPr>
        <w:tabs>
          <w:tab w:val="clear" w:pos="0"/>
          <w:tab w:val="left" w:pos="1268"/>
        </w:tabs>
        <w:bidi/>
        <w:spacing w:after="60" w:line="300" w:lineRule="exact"/>
        <w:ind w:left="1248" w:right="1247" w:hanging="227"/>
        <w:jc w:val="lowKashida"/>
        <w:rPr>
          <w:rFonts w:cs="Traditional Arabic" w:hint="cs"/>
          <w:sz w:val="18"/>
          <w:szCs w:val="26"/>
        </w:rPr>
      </w:pPr>
      <w:r w:rsidRPr="00D0360A">
        <w:rPr>
          <w:rFonts w:cs="Traditional Arabic" w:hint="cs"/>
          <w:color w:val="000000"/>
          <w:sz w:val="18"/>
          <w:szCs w:val="26"/>
          <w:rtl/>
        </w:rPr>
        <w:t xml:space="preserve">يشير التقرير الطبي الصادر عن "المستشفى الرابع" التابع للجامعة الطبية الصينية إلى التشخيص التالي: جرح قطعي في الساعد الأيسر وتمزّق عضلة مدّ الإبهام وعضلاته الطويلة، وتمزق العصب المبعد للإبهام وعضلاته الطويلة، </w:t>
      </w:r>
      <w:r w:rsidRPr="00D0360A">
        <w:rPr>
          <w:rFonts w:cs="Traditional Arabic" w:hint="cs"/>
          <w:sz w:val="18"/>
          <w:szCs w:val="26"/>
          <w:rtl/>
        </w:rPr>
        <w:t xml:space="preserve">وانفصال عصب في الساعد الأيسر. ويشير التقرير إلى أن هذه الإصابات وقعت نتيجة تشويه ذاتي. </w:t>
      </w:r>
    </w:p>
  </w:footnote>
  <w:footnote w:id="109">
    <w:p w:rsidR="00F815BA" w:rsidRPr="00D0360A" w:rsidRDefault="00F815BA" w:rsidP="00564059">
      <w:pPr>
        <w:pStyle w:val="FootnoteText"/>
        <w:numPr>
          <w:ilvl w:val="0"/>
          <w:numId w:val="0"/>
        </w:numPr>
        <w:bidi/>
        <w:spacing w:after="60" w:line="300" w:lineRule="exact"/>
        <w:ind w:left="1240" w:right="1247" w:hanging="462"/>
        <w:jc w:val="lowKashida"/>
        <w:rPr>
          <w:rFonts w:cs="Traditional Arabic" w:hint="cs"/>
          <w:sz w:val="18"/>
          <w:szCs w:val="26"/>
        </w:rPr>
      </w:pPr>
      <w:r w:rsidRPr="00564059">
        <w:rPr>
          <w:rFonts w:cs="Traditional Arabic" w:hint="cs"/>
          <w:sz w:val="26"/>
          <w:szCs w:val="26"/>
          <w:rtl/>
          <w:lang w:val="en-CA"/>
        </w:rPr>
        <w:t>(ﻫ)</w:t>
      </w:r>
      <w:r w:rsidRPr="00564059">
        <w:rPr>
          <w:rFonts w:cs="Traditional Arabic" w:hint="cs"/>
          <w:sz w:val="26"/>
          <w:szCs w:val="26"/>
          <w:rtl/>
          <w:lang w:val="en-CA"/>
        </w:rPr>
        <w:tab/>
      </w:r>
      <w:r w:rsidRPr="00D0360A">
        <w:rPr>
          <w:rFonts w:cs="Traditional Arabic" w:hint="cs"/>
          <w:i/>
          <w:iCs/>
          <w:sz w:val="18"/>
          <w:szCs w:val="26"/>
          <w:rtl/>
          <w:lang w:val="en-CA"/>
        </w:rPr>
        <w:t>الوثائق الرسمية للجمعية العامة، الدورة الثالثة والخمسون، الملحق رقم 44</w:t>
      </w:r>
      <w:r w:rsidRPr="00D0360A">
        <w:rPr>
          <w:rFonts w:cs="Traditional Arabic" w:hint="cs"/>
          <w:sz w:val="18"/>
          <w:szCs w:val="26"/>
          <w:rtl/>
          <w:lang w:val="en-CA"/>
        </w:rPr>
        <w:t xml:space="preserve"> (</w:t>
      </w:r>
      <w:r w:rsidRPr="00D0360A">
        <w:rPr>
          <w:rFonts w:cs="Traditional Arabic"/>
          <w:sz w:val="18"/>
          <w:szCs w:val="26"/>
        </w:rPr>
        <w:t>A/53/44</w:t>
      </w:r>
      <w:r w:rsidRPr="00D0360A">
        <w:rPr>
          <w:rFonts w:cs="Traditional Arabic" w:hint="cs"/>
          <w:sz w:val="18"/>
          <w:szCs w:val="26"/>
          <w:rtl/>
          <w:lang w:val="en-CA"/>
        </w:rPr>
        <w:t xml:space="preserve"> و</w:t>
      </w:r>
      <w:r w:rsidRPr="00D0360A">
        <w:rPr>
          <w:rFonts w:cs="Traditional Arabic"/>
          <w:sz w:val="18"/>
          <w:szCs w:val="26"/>
        </w:rPr>
        <w:t>Corr.1</w:t>
      </w:r>
      <w:r w:rsidRPr="00D0360A">
        <w:rPr>
          <w:rFonts w:cs="Traditional Arabic" w:hint="cs"/>
          <w:sz w:val="18"/>
          <w:szCs w:val="26"/>
          <w:rtl/>
          <w:lang w:val="en-CA"/>
        </w:rPr>
        <w:t>)، المرفق التاسع)، الفقرة 4.</w:t>
      </w:r>
    </w:p>
  </w:footnote>
  <w:footnote w:id="110">
    <w:p w:rsidR="00F815BA" w:rsidRPr="00D0360A" w:rsidRDefault="00F815BA" w:rsidP="00B93686">
      <w:pPr>
        <w:pStyle w:val="FootnoteText"/>
        <w:numPr>
          <w:ilvl w:val="0"/>
          <w:numId w:val="0"/>
        </w:numPr>
        <w:tabs>
          <w:tab w:val="left" w:pos="1240"/>
        </w:tabs>
        <w:bidi/>
        <w:spacing w:after="60" w:line="300" w:lineRule="exact"/>
        <w:ind w:left="1242" w:right="1247" w:hanging="450"/>
        <w:jc w:val="lowKashida"/>
        <w:rPr>
          <w:rFonts w:cs="Traditional Arabic" w:hint="cs"/>
          <w:sz w:val="18"/>
          <w:szCs w:val="26"/>
        </w:rPr>
      </w:pPr>
      <w:r w:rsidRPr="00564059">
        <w:rPr>
          <w:rFonts w:cs="Traditional Arabic" w:hint="cs"/>
          <w:sz w:val="26"/>
          <w:szCs w:val="26"/>
          <w:rtl/>
          <w:lang w:val="en-CA"/>
        </w:rPr>
        <w:t>(</w:t>
      </w:r>
      <w:r>
        <w:rPr>
          <w:rFonts w:cs="Traditional Arabic" w:hint="cs"/>
          <w:sz w:val="26"/>
          <w:szCs w:val="26"/>
          <w:rtl/>
          <w:lang w:val="en-CA"/>
        </w:rPr>
        <w:t>و</w:t>
      </w:r>
      <w:r w:rsidRPr="00564059">
        <w:rPr>
          <w:rFonts w:cs="Traditional Arabic" w:hint="cs"/>
          <w:sz w:val="26"/>
          <w:szCs w:val="26"/>
          <w:rtl/>
          <w:lang w:val="en-CA"/>
        </w:rPr>
        <w:t>)</w:t>
      </w:r>
      <w:r w:rsidRPr="00564059">
        <w:rPr>
          <w:rFonts w:cs="Traditional Arabic" w:hint="cs"/>
          <w:sz w:val="26"/>
          <w:szCs w:val="26"/>
          <w:rtl/>
          <w:lang w:val="en-CA"/>
        </w:rPr>
        <w:tab/>
      </w:r>
      <w:r w:rsidRPr="00D0360A">
        <w:rPr>
          <w:rFonts w:cs="Traditional Arabic" w:hint="cs"/>
          <w:sz w:val="18"/>
          <w:szCs w:val="26"/>
          <w:rtl/>
          <w:lang w:val="en-CA"/>
        </w:rPr>
        <w:t xml:space="preserve">إشارة إلى البلاغ رقم 83/1997، </w:t>
      </w:r>
      <w:r w:rsidRPr="00D0360A">
        <w:rPr>
          <w:rFonts w:cs="Traditional Arabic" w:hint="cs"/>
          <w:i/>
          <w:iCs/>
          <w:sz w:val="18"/>
          <w:szCs w:val="26"/>
          <w:rtl/>
          <w:lang w:val="en-CA"/>
        </w:rPr>
        <w:t>ج. ر. ب. ضد السويد</w:t>
      </w:r>
      <w:r w:rsidRPr="00D0360A">
        <w:rPr>
          <w:rFonts w:cs="Traditional Arabic" w:hint="cs"/>
          <w:sz w:val="18"/>
          <w:szCs w:val="26"/>
          <w:rtl/>
          <w:lang w:val="en-CA"/>
        </w:rPr>
        <w:t>، الآراء المعتمدة في 15 أيار/مايو 1998، الفقرة 6-5.</w:t>
      </w:r>
    </w:p>
  </w:footnote>
  <w:footnote w:id="111">
    <w:p w:rsidR="00F815BA" w:rsidRPr="00D0360A" w:rsidRDefault="00F815BA" w:rsidP="00B93686">
      <w:pPr>
        <w:pStyle w:val="FootnoteText"/>
        <w:numPr>
          <w:ilvl w:val="0"/>
          <w:numId w:val="0"/>
        </w:numPr>
        <w:tabs>
          <w:tab w:val="left" w:pos="1240"/>
        </w:tabs>
        <w:bidi/>
        <w:spacing w:after="60" w:line="300" w:lineRule="exact"/>
        <w:ind w:left="1242" w:right="1247" w:hanging="450"/>
        <w:jc w:val="lowKashida"/>
        <w:rPr>
          <w:rFonts w:cs="Traditional Arabic" w:hint="cs"/>
          <w:sz w:val="18"/>
          <w:szCs w:val="26"/>
        </w:rPr>
      </w:pPr>
      <w:r w:rsidRPr="00564059">
        <w:rPr>
          <w:rFonts w:cs="Traditional Arabic" w:hint="cs"/>
          <w:sz w:val="26"/>
          <w:szCs w:val="26"/>
          <w:rtl/>
          <w:lang w:val="en-CA"/>
        </w:rPr>
        <w:t>(</w:t>
      </w:r>
      <w:r>
        <w:rPr>
          <w:rFonts w:cs="Traditional Arabic" w:hint="cs"/>
          <w:sz w:val="26"/>
          <w:szCs w:val="26"/>
          <w:rtl/>
          <w:lang w:val="en-CA"/>
        </w:rPr>
        <w:t>ز</w:t>
      </w:r>
      <w:r w:rsidRPr="00564059">
        <w:rPr>
          <w:rFonts w:cs="Traditional Arabic" w:hint="cs"/>
          <w:sz w:val="26"/>
          <w:szCs w:val="26"/>
          <w:rtl/>
          <w:lang w:val="en-CA"/>
        </w:rPr>
        <w:t>)</w:t>
      </w:r>
      <w:r w:rsidRPr="00564059">
        <w:rPr>
          <w:rFonts w:cs="Traditional Arabic" w:hint="cs"/>
          <w:sz w:val="26"/>
          <w:szCs w:val="26"/>
          <w:rtl/>
          <w:lang w:val="en-CA"/>
        </w:rPr>
        <w:tab/>
      </w:r>
      <w:r w:rsidRPr="00D0360A">
        <w:rPr>
          <w:rFonts w:cs="Traditional Arabic" w:hint="cs"/>
          <w:sz w:val="18"/>
          <w:szCs w:val="26"/>
          <w:rtl/>
        </w:rPr>
        <w:t xml:space="preserve">تعليق اللجنة </w:t>
      </w:r>
      <w:r w:rsidRPr="00D0360A">
        <w:rPr>
          <w:rFonts w:cs="Traditional Arabic" w:hint="cs"/>
          <w:sz w:val="18"/>
          <w:szCs w:val="26"/>
          <w:rtl/>
          <w:lang w:val="en-CA"/>
        </w:rPr>
        <w:t>العام رقم 1، الفقرة 1.</w:t>
      </w:r>
    </w:p>
  </w:footnote>
  <w:footnote w:id="112">
    <w:p w:rsidR="00F815BA" w:rsidRPr="00D0360A" w:rsidRDefault="00F815BA" w:rsidP="00B93686">
      <w:pPr>
        <w:pStyle w:val="FootnoteText"/>
        <w:numPr>
          <w:ilvl w:val="0"/>
          <w:numId w:val="0"/>
        </w:numPr>
        <w:tabs>
          <w:tab w:val="left" w:pos="1240"/>
        </w:tabs>
        <w:bidi/>
        <w:spacing w:after="60" w:line="300" w:lineRule="exact"/>
        <w:ind w:left="1242" w:right="1247" w:hanging="450"/>
        <w:jc w:val="lowKashida"/>
        <w:rPr>
          <w:rFonts w:cs="Traditional Arabic" w:hint="cs"/>
          <w:sz w:val="18"/>
          <w:szCs w:val="26"/>
        </w:rPr>
      </w:pPr>
      <w:r w:rsidRPr="00564059">
        <w:rPr>
          <w:rFonts w:cs="Traditional Arabic" w:hint="cs"/>
          <w:sz w:val="26"/>
          <w:szCs w:val="26"/>
          <w:rtl/>
          <w:lang w:val="en-CA"/>
        </w:rPr>
        <w:t>(</w:t>
      </w:r>
      <w:r>
        <w:rPr>
          <w:rFonts w:cs="Traditional Arabic" w:hint="cs"/>
          <w:sz w:val="26"/>
          <w:szCs w:val="26"/>
          <w:rtl/>
          <w:lang w:val="en-CA"/>
        </w:rPr>
        <w:t>ح</w:t>
      </w:r>
      <w:r w:rsidRPr="00564059">
        <w:rPr>
          <w:rFonts w:cs="Traditional Arabic" w:hint="cs"/>
          <w:sz w:val="26"/>
          <w:szCs w:val="26"/>
          <w:rtl/>
          <w:lang w:val="en-CA"/>
        </w:rPr>
        <w:t>)</w:t>
      </w:r>
      <w:r w:rsidRPr="00564059">
        <w:rPr>
          <w:rFonts w:cs="Traditional Arabic" w:hint="cs"/>
          <w:sz w:val="26"/>
          <w:szCs w:val="26"/>
          <w:rtl/>
          <w:lang w:val="en-CA"/>
        </w:rPr>
        <w:tab/>
      </w:r>
      <w:r w:rsidRPr="00D0360A">
        <w:rPr>
          <w:rFonts w:cs="Traditional Arabic" w:hint="cs"/>
          <w:sz w:val="18"/>
          <w:szCs w:val="26"/>
          <w:rtl/>
          <w:lang w:val="en-CA"/>
        </w:rPr>
        <w:t>ورد التشديد في البلاغ الأصلي.</w:t>
      </w:r>
    </w:p>
  </w:footnote>
  <w:footnote w:id="113">
    <w:p w:rsidR="00F815BA" w:rsidRPr="00D0360A" w:rsidRDefault="00F815BA" w:rsidP="00B93686">
      <w:pPr>
        <w:pStyle w:val="FootnoteText"/>
        <w:numPr>
          <w:ilvl w:val="0"/>
          <w:numId w:val="0"/>
        </w:numPr>
        <w:tabs>
          <w:tab w:val="left" w:pos="1240"/>
        </w:tabs>
        <w:bidi/>
        <w:spacing w:after="60" w:line="300" w:lineRule="exact"/>
        <w:ind w:left="1242" w:right="1247" w:hanging="450"/>
        <w:jc w:val="lowKashida"/>
        <w:rPr>
          <w:rFonts w:cs="Traditional Arabic" w:hint="cs"/>
          <w:sz w:val="18"/>
          <w:szCs w:val="26"/>
        </w:rPr>
      </w:pPr>
      <w:r w:rsidRPr="00564059">
        <w:rPr>
          <w:rFonts w:cs="Traditional Arabic" w:hint="cs"/>
          <w:sz w:val="26"/>
          <w:szCs w:val="26"/>
          <w:rtl/>
          <w:lang w:val="en-CA"/>
        </w:rPr>
        <w:t>(</w:t>
      </w:r>
      <w:r>
        <w:rPr>
          <w:rFonts w:cs="Traditional Arabic" w:hint="cs"/>
          <w:sz w:val="26"/>
          <w:szCs w:val="26"/>
          <w:rtl/>
          <w:lang w:val="en-CA"/>
        </w:rPr>
        <w:t>ط</w:t>
      </w:r>
      <w:r w:rsidRPr="00564059">
        <w:rPr>
          <w:rFonts w:cs="Traditional Arabic" w:hint="cs"/>
          <w:sz w:val="26"/>
          <w:szCs w:val="26"/>
          <w:rtl/>
          <w:lang w:val="en-CA"/>
        </w:rPr>
        <w:t>)</w:t>
      </w:r>
      <w:r w:rsidRPr="00564059">
        <w:rPr>
          <w:rFonts w:cs="Traditional Arabic" w:hint="cs"/>
          <w:sz w:val="26"/>
          <w:szCs w:val="26"/>
          <w:rtl/>
          <w:lang w:val="en-CA"/>
        </w:rPr>
        <w:tab/>
      </w:r>
      <w:r w:rsidRPr="00D0360A">
        <w:rPr>
          <w:rFonts w:cs="Traditional Arabic" w:hint="cs"/>
          <w:sz w:val="18"/>
          <w:szCs w:val="26"/>
          <w:rtl/>
        </w:rPr>
        <w:t>يشار إلى البلاغ رقم 177/2001</w:t>
      </w:r>
      <w:r w:rsidRPr="00D0360A">
        <w:rPr>
          <w:rFonts w:cs="Traditional Arabic" w:hint="cs"/>
          <w:i/>
          <w:iCs/>
          <w:sz w:val="18"/>
          <w:szCs w:val="26"/>
          <w:rtl/>
        </w:rPr>
        <w:t>، ﻫ. م. ﻫ. أ. ضد أستراليا</w:t>
      </w:r>
      <w:r w:rsidRPr="00D0360A">
        <w:rPr>
          <w:rFonts w:cs="Traditional Arabic" w:hint="cs"/>
          <w:sz w:val="18"/>
          <w:szCs w:val="26"/>
          <w:rtl/>
        </w:rPr>
        <w:t xml:space="preserve">، </w:t>
      </w:r>
      <w:r w:rsidRPr="00D0360A">
        <w:rPr>
          <w:rFonts w:cs="Traditional Arabic" w:hint="cs"/>
          <w:sz w:val="18"/>
          <w:szCs w:val="26"/>
          <w:rtl/>
          <w:lang w:val="en-CA"/>
        </w:rPr>
        <w:t xml:space="preserve">الآراء المعتمدة في 1 أيار/مايو 2002، </w:t>
      </w:r>
      <w:r w:rsidRPr="00D0360A">
        <w:rPr>
          <w:rFonts w:cs="Traditional Arabic" w:hint="cs"/>
          <w:sz w:val="18"/>
          <w:szCs w:val="26"/>
          <w:rtl/>
        </w:rPr>
        <w:t>الفقرة</w:t>
      </w:r>
      <w:r w:rsidRPr="00D0360A">
        <w:rPr>
          <w:rFonts w:cs="Traditional Arabic" w:hint="eastAsia"/>
          <w:sz w:val="18"/>
          <w:szCs w:val="26"/>
          <w:rtl/>
        </w:rPr>
        <w:t> </w:t>
      </w:r>
      <w:r w:rsidRPr="00D0360A">
        <w:rPr>
          <w:rFonts w:cs="Traditional Arabic" w:hint="cs"/>
          <w:sz w:val="18"/>
          <w:szCs w:val="26"/>
          <w:rtl/>
        </w:rPr>
        <w:t>6-5</w:t>
      </w:r>
      <w:r w:rsidRPr="00D0360A">
        <w:rPr>
          <w:rFonts w:cs="Traditional Arabic" w:hint="cs"/>
          <w:sz w:val="18"/>
          <w:szCs w:val="26"/>
          <w:rtl/>
          <w:lang w:val="en-CA"/>
        </w:rPr>
        <w:t>.</w:t>
      </w:r>
    </w:p>
  </w:footnote>
  <w:footnote w:id="114">
    <w:p w:rsidR="00F815BA" w:rsidRPr="00D0360A" w:rsidRDefault="00F815BA" w:rsidP="00B93686">
      <w:pPr>
        <w:pStyle w:val="FootnoteText"/>
        <w:numPr>
          <w:ilvl w:val="0"/>
          <w:numId w:val="0"/>
        </w:numPr>
        <w:tabs>
          <w:tab w:val="left" w:pos="1240"/>
        </w:tabs>
        <w:bidi/>
        <w:spacing w:after="60" w:line="300" w:lineRule="exact"/>
        <w:ind w:left="1242" w:right="1247" w:hanging="450"/>
        <w:jc w:val="lowKashida"/>
        <w:rPr>
          <w:rFonts w:cs="Traditional Arabic" w:hint="cs"/>
          <w:sz w:val="18"/>
          <w:szCs w:val="26"/>
        </w:rPr>
      </w:pPr>
      <w:r w:rsidRPr="00564059">
        <w:rPr>
          <w:rFonts w:cs="Traditional Arabic" w:hint="cs"/>
          <w:sz w:val="26"/>
          <w:szCs w:val="26"/>
          <w:rtl/>
          <w:lang w:val="en-CA"/>
        </w:rPr>
        <w:t>(</w:t>
      </w:r>
      <w:r>
        <w:rPr>
          <w:rFonts w:cs="Traditional Arabic" w:hint="cs"/>
          <w:sz w:val="26"/>
          <w:szCs w:val="26"/>
          <w:rtl/>
          <w:lang w:val="en-CA"/>
        </w:rPr>
        <w:t>ي</w:t>
      </w:r>
      <w:r w:rsidRPr="00564059">
        <w:rPr>
          <w:rFonts w:cs="Traditional Arabic" w:hint="cs"/>
          <w:sz w:val="26"/>
          <w:szCs w:val="26"/>
          <w:rtl/>
          <w:lang w:val="en-CA"/>
        </w:rPr>
        <w:t>)</w:t>
      </w:r>
      <w:r w:rsidRPr="00564059">
        <w:rPr>
          <w:rFonts w:cs="Traditional Arabic" w:hint="cs"/>
          <w:sz w:val="26"/>
          <w:szCs w:val="26"/>
          <w:rtl/>
          <w:lang w:val="en-CA"/>
        </w:rPr>
        <w:tab/>
      </w:r>
      <w:r w:rsidRPr="00D0360A">
        <w:rPr>
          <w:rFonts w:cs="Traditional Arabic" w:hint="cs"/>
          <w:sz w:val="18"/>
          <w:szCs w:val="26"/>
          <w:rtl/>
        </w:rPr>
        <w:t xml:space="preserve">البلاغ رقم 203/2002، </w:t>
      </w:r>
      <w:r w:rsidRPr="00D0360A">
        <w:rPr>
          <w:rFonts w:cs="Traditional Arabic" w:hint="cs"/>
          <w:i/>
          <w:iCs/>
          <w:sz w:val="18"/>
          <w:szCs w:val="26"/>
          <w:rtl/>
        </w:rPr>
        <w:t>أ. ر. ضد هولندا</w:t>
      </w:r>
      <w:r w:rsidRPr="00D0360A">
        <w:rPr>
          <w:rFonts w:cs="Traditional Arabic" w:hint="cs"/>
          <w:sz w:val="18"/>
          <w:szCs w:val="26"/>
          <w:rtl/>
        </w:rPr>
        <w:t>، الآراء المعتمدة في 14 تشرين الثاني/نوفمبر 2003، الفقرة</w:t>
      </w:r>
      <w:r w:rsidRPr="00D0360A">
        <w:rPr>
          <w:rFonts w:cs="Traditional Arabic" w:hint="eastAsia"/>
          <w:sz w:val="18"/>
          <w:szCs w:val="26"/>
          <w:rtl/>
        </w:rPr>
        <w:t> </w:t>
      </w:r>
      <w:r w:rsidRPr="00D0360A">
        <w:rPr>
          <w:rFonts w:cs="Traditional Arabic" w:hint="cs"/>
          <w:sz w:val="18"/>
          <w:szCs w:val="26"/>
          <w:rtl/>
        </w:rPr>
        <w:t>7-3</w:t>
      </w:r>
      <w:r w:rsidRPr="00D0360A">
        <w:rPr>
          <w:rFonts w:cs="Traditional Arabic" w:hint="cs"/>
          <w:sz w:val="18"/>
          <w:szCs w:val="26"/>
          <w:rtl/>
          <w:lang w:val="en-CA"/>
        </w:rPr>
        <w:t>.</w:t>
      </w:r>
    </w:p>
  </w:footnote>
  <w:footnote w:id="115">
    <w:p w:rsidR="00F815BA" w:rsidRPr="00D0360A" w:rsidRDefault="00F815BA" w:rsidP="00B93686">
      <w:pPr>
        <w:pStyle w:val="FootnoteText"/>
        <w:numPr>
          <w:ilvl w:val="0"/>
          <w:numId w:val="0"/>
        </w:numPr>
        <w:tabs>
          <w:tab w:val="left" w:pos="1240"/>
        </w:tabs>
        <w:bidi/>
        <w:spacing w:after="60" w:line="300" w:lineRule="exact"/>
        <w:ind w:left="1242" w:right="1247" w:hanging="450"/>
        <w:jc w:val="lowKashida"/>
        <w:rPr>
          <w:rFonts w:cs="Traditional Arabic" w:hint="cs"/>
          <w:sz w:val="18"/>
          <w:szCs w:val="26"/>
        </w:rPr>
      </w:pPr>
      <w:r w:rsidRPr="00564059">
        <w:rPr>
          <w:rFonts w:cs="Traditional Arabic" w:hint="cs"/>
          <w:sz w:val="26"/>
          <w:szCs w:val="26"/>
          <w:rtl/>
          <w:lang w:val="en-CA"/>
        </w:rPr>
        <w:t>(</w:t>
      </w:r>
      <w:r>
        <w:rPr>
          <w:rFonts w:cs="Traditional Arabic" w:hint="cs"/>
          <w:sz w:val="26"/>
          <w:szCs w:val="26"/>
          <w:rtl/>
          <w:lang w:val="en-CA"/>
        </w:rPr>
        <w:t>ك</w:t>
      </w:r>
      <w:r w:rsidRPr="00564059">
        <w:rPr>
          <w:rFonts w:cs="Traditional Arabic" w:hint="cs"/>
          <w:sz w:val="26"/>
          <w:szCs w:val="26"/>
          <w:rtl/>
          <w:lang w:val="en-CA"/>
        </w:rPr>
        <w:t>)</w:t>
      </w:r>
      <w:r w:rsidRPr="00564059">
        <w:rPr>
          <w:rFonts w:cs="Traditional Arabic" w:hint="cs"/>
          <w:sz w:val="26"/>
          <w:szCs w:val="26"/>
          <w:rtl/>
          <w:lang w:val="en-CA"/>
        </w:rPr>
        <w:tab/>
      </w:r>
      <w:r w:rsidRPr="00D0360A">
        <w:rPr>
          <w:rFonts w:cs="Traditional Arabic" w:hint="cs"/>
          <w:sz w:val="18"/>
          <w:szCs w:val="26"/>
          <w:rtl/>
        </w:rPr>
        <w:t>المرجع نفسه</w:t>
      </w:r>
      <w:r w:rsidRPr="00D0360A">
        <w:rPr>
          <w:rFonts w:cs="Traditional Arabic" w:hint="cs"/>
          <w:sz w:val="18"/>
          <w:szCs w:val="26"/>
          <w:rtl/>
          <w:lang w:val="en-CA"/>
        </w:rPr>
        <w:t>.</w:t>
      </w:r>
    </w:p>
  </w:footnote>
  <w:footnote w:id="116">
    <w:p w:rsidR="00F815BA" w:rsidRPr="00D0360A" w:rsidRDefault="00F815BA" w:rsidP="00B93686">
      <w:pPr>
        <w:pStyle w:val="FootnoteText"/>
        <w:numPr>
          <w:ilvl w:val="0"/>
          <w:numId w:val="0"/>
        </w:numPr>
        <w:tabs>
          <w:tab w:val="left" w:pos="1240"/>
        </w:tabs>
        <w:bidi/>
        <w:spacing w:after="60" w:line="300" w:lineRule="exact"/>
        <w:ind w:left="1242" w:right="1247" w:hanging="450"/>
        <w:jc w:val="lowKashida"/>
        <w:rPr>
          <w:rFonts w:cs="Traditional Arabic" w:hint="cs"/>
          <w:sz w:val="18"/>
          <w:szCs w:val="26"/>
        </w:rPr>
      </w:pPr>
      <w:r w:rsidRPr="00564059">
        <w:rPr>
          <w:rFonts w:cs="Traditional Arabic" w:hint="cs"/>
          <w:sz w:val="26"/>
          <w:szCs w:val="26"/>
          <w:rtl/>
          <w:lang w:val="en-CA"/>
        </w:rPr>
        <w:t>(</w:t>
      </w:r>
      <w:r>
        <w:rPr>
          <w:rFonts w:cs="Traditional Arabic" w:hint="cs"/>
          <w:sz w:val="26"/>
          <w:szCs w:val="26"/>
          <w:rtl/>
          <w:lang w:val="en-CA"/>
        </w:rPr>
        <w:t>ل</w:t>
      </w:r>
      <w:r w:rsidRPr="00564059">
        <w:rPr>
          <w:rFonts w:cs="Traditional Arabic" w:hint="cs"/>
          <w:sz w:val="26"/>
          <w:szCs w:val="26"/>
          <w:rtl/>
          <w:lang w:val="en-CA"/>
        </w:rPr>
        <w:t>)</w:t>
      </w:r>
      <w:r w:rsidRPr="00564059">
        <w:rPr>
          <w:rFonts w:cs="Traditional Arabic" w:hint="cs"/>
          <w:sz w:val="26"/>
          <w:szCs w:val="26"/>
          <w:rtl/>
          <w:lang w:val="en-CA"/>
        </w:rPr>
        <w:tab/>
      </w:r>
      <w:r w:rsidRPr="00D0360A">
        <w:rPr>
          <w:rFonts w:cs="Traditional Arabic" w:hint="cs"/>
          <w:sz w:val="18"/>
          <w:szCs w:val="26"/>
          <w:rtl/>
        </w:rPr>
        <w:t xml:space="preserve">تعليق اللجنة </w:t>
      </w:r>
      <w:r w:rsidRPr="00D0360A">
        <w:rPr>
          <w:rFonts w:cs="Traditional Arabic" w:hint="cs"/>
          <w:sz w:val="18"/>
          <w:szCs w:val="26"/>
          <w:rtl/>
          <w:lang w:val="en-CA"/>
        </w:rPr>
        <w:t>العام رقم 1، الفقرة 7.</w:t>
      </w:r>
    </w:p>
  </w:footnote>
  <w:footnote w:id="117">
    <w:p w:rsidR="00F815BA" w:rsidRPr="00D0360A" w:rsidRDefault="00F815BA" w:rsidP="00B93686">
      <w:pPr>
        <w:pStyle w:val="FootnoteText"/>
        <w:numPr>
          <w:ilvl w:val="0"/>
          <w:numId w:val="0"/>
        </w:numPr>
        <w:tabs>
          <w:tab w:val="left" w:pos="1268"/>
        </w:tabs>
        <w:bidi/>
        <w:spacing w:after="60" w:line="300" w:lineRule="exact"/>
        <w:ind w:left="1253" w:right="1247" w:hanging="489"/>
        <w:jc w:val="lowKashida"/>
        <w:rPr>
          <w:rFonts w:cs="Traditional Arabic" w:hint="cs"/>
          <w:sz w:val="18"/>
          <w:szCs w:val="26"/>
        </w:rPr>
      </w:pPr>
      <w:r w:rsidRPr="00564059">
        <w:rPr>
          <w:rFonts w:cs="Traditional Arabic" w:hint="cs"/>
          <w:sz w:val="26"/>
          <w:szCs w:val="26"/>
          <w:rtl/>
          <w:lang w:val="en-CA"/>
        </w:rPr>
        <w:t>(</w:t>
      </w:r>
      <w:r>
        <w:rPr>
          <w:rFonts w:cs="Traditional Arabic" w:hint="cs"/>
          <w:sz w:val="26"/>
          <w:szCs w:val="26"/>
          <w:rtl/>
          <w:lang w:val="en-CA"/>
        </w:rPr>
        <w:t>م</w:t>
      </w:r>
      <w:r w:rsidRPr="00564059">
        <w:rPr>
          <w:rFonts w:cs="Traditional Arabic" w:hint="cs"/>
          <w:sz w:val="26"/>
          <w:szCs w:val="26"/>
          <w:rtl/>
          <w:lang w:val="en-CA"/>
        </w:rPr>
        <w:t>)</w:t>
      </w:r>
      <w:r w:rsidRPr="00564059">
        <w:rPr>
          <w:rFonts w:cs="Traditional Arabic" w:hint="cs"/>
          <w:sz w:val="26"/>
          <w:szCs w:val="26"/>
          <w:rtl/>
          <w:lang w:val="en-CA"/>
        </w:rPr>
        <w:tab/>
      </w:r>
      <w:r w:rsidRPr="00D0360A">
        <w:rPr>
          <w:rFonts w:cs="Traditional Arabic" w:hint="cs"/>
          <w:sz w:val="18"/>
          <w:szCs w:val="26"/>
          <w:rtl/>
        </w:rPr>
        <w:t>قرار محكمة مراجعة الأحكام الخاصة باللاجئين رقم 04/48189</w:t>
      </w:r>
      <w:r w:rsidRPr="00D0360A">
        <w:rPr>
          <w:rFonts w:cs="Traditional Arabic" w:hint="cs"/>
          <w:sz w:val="18"/>
          <w:szCs w:val="26"/>
          <w:rtl/>
          <w:lang w:val="en-CA"/>
        </w:rPr>
        <w:t>، الصادر في 24 آذار/مارس 2004، ص.</w:t>
      </w:r>
      <w:r w:rsidRPr="00D0360A">
        <w:rPr>
          <w:rFonts w:cs="Traditional Arabic" w:hint="eastAsia"/>
          <w:sz w:val="18"/>
          <w:szCs w:val="26"/>
          <w:rtl/>
          <w:lang w:val="en-CA"/>
        </w:rPr>
        <w:t> </w:t>
      </w:r>
      <w:r w:rsidRPr="00D0360A">
        <w:rPr>
          <w:rFonts w:cs="Traditional Arabic" w:hint="cs"/>
          <w:sz w:val="18"/>
          <w:szCs w:val="26"/>
          <w:rtl/>
          <w:lang w:val="en-CA"/>
        </w:rPr>
        <w:t>7-8.</w:t>
      </w:r>
    </w:p>
  </w:footnote>
  <w:footnote w:id="118">
    <w:p w:rsidR="00F815BA" w:rsidRPr="00D0360A" w:rsidRDefault="00F815BA" w:rsidP="00B93686">
      <w:pPr>
        <w:pStyle w:val="FootnoteText"/>
        <w:numPr>
          <w:ilvl w:val="0"/>
          <w:numId w:val="0"/>
        </w:numPr>
        <w:tabs>
          <w:tab w:val="left" w:pos="1268"/>
        </w:tabs>
        <w:bidi/>
        <w:spacing w:after="60" w:line="300" w:lineRule="exact"/>
        <w:ind w:left="1253" w:right="1247" w:hanging="489"/>
        <w:jc w:val="lowKashida"/>
        <w:rPr>
          <w:rFonts w:cs="Traditional Arabic" w:hint="cs"/>
          <w:sz w:val="18"/>
          <w:szCs w:val="26"/>
        </w:rPr>
      </w:pPr>
      <w:r w:rsidRPr="00564059">
        <w:rPr>
          <w:rFonts w:cs="Traditional Arabic" w:hint="cs"/>
          <w:sz w:val="26"/>
          <w:szCs w:val="26"/>
          <w:rtl/>
          <w:lang w:val="en-CA"/>
        </w:rPr>
        <w:t>(</w:t>
      </w:r>
      <w:r>
        <w:rPr>
          <w:rFonts w:cs="Traditional Arabic" w:hint="cs"/>
          <w:sz w:val="26"/>
          <w:szCs w:val="26"/>
          <w:rtl/>
          <w:lang w:val="en-CA"/>
        </w:rPr>
        <w:t>ن</w:t>
      </w:r>
      <w:r w:rsidRPr="00564059">
        <w:rPr>
          <w:rFonts w:cs="Traditional Arabic" w:hint="cs"/>
          <w:sz w:val="26"/>
          <w:szCs w:val="26"/>
          <w:rtl/>
          <w:lang w:val="en-CA"/>
        </w:rPr>
        <w:t>)</w:t>
      </w:r>
      <w:r w:rsidRPr="00564059">
        <w:rPr>
          <w:rFonts w:cs="Traditional Arabic" w:hint="cs"/>
          <w:sz w:val="26"/>
          <w:szCs w:val="26"/>
          <w:rtl/>
          <w:lang w:val="en-CA"/>
        </w:rPr>
        <w:tab/>
      </w:r>
      <w:r w:rsidRPr="00D0360A">
        <w:rPr>
          <w:rFonts w:cs="Traditional Arabic" w:hint="cs"/>
          <w:sz w:val="18"/>
          <w:szCs w:val="26"/>
          <w:rtl/>
          <w:lang w:val="en-CA"/>
        </w:rPr>
        <w:t>المرجع نفسه.</w:t>
      </w:r>
    </w:p>
  </w:footnote>
  <w:footnote w:id="119">
    <w:p w:rsidR="00F815BA" w:rsidRPr="00564059" w:rsidRDefault="00F815BA" w:rsidP="00B93686">
      <w:pPr>
        <w:pStyle w:val="FootnoteText"/>
        <w:numPr>
          <w:ilvl w:val="0"/>
          <w:numId w:val="0"/>
        </w:numPr>
        <w:tabs>
          <w:tab w:val="left" w:pos="1268"/>
        </w:tabs>
        <w:bidi/>
        <w:spacing w:after="60" w:line="300" w:lineRule="exact"/>
        <w:ind w:left="1253" w:right="1247" w:hanging="489"/>
        <w:jc w:val="lowKashida"/>
        <w:rPr>
          <w:rFonts w:cs="Traditional Arabic" w:hint="cs"/>
          <w:spacing w:val="-2"/>
          <w:sz w:val="18"/>
          <w:szCs w:val="26"/>
        </w:rPr>
      </w:pPr>
      <w:r w:rsidRPr="00564059">
        <w:rPr>
          <w:rFonts w:cs="Traditional Arabic" w:hint="cs"/>
          <w:spacing w:val="-2"/>
          <w:sz w:val="26"/>
          <w:szCs w:val="26"/>
          <w:rtl/>
          <w:lang w:val="en-CA"/>
        </w:rPr>
        <w:t>(س)</w:t>
      </w:r>
      <w:r w:rsidRPr="00564059">
        <w:rPr>
          <w:rFonts w:cs="Traditional Arabic" w:hint="cs"/>
          <w:spacing w:val="-2"/>
          <w:sz w:val="26"/>
          <w:szCs w:val="26"/>
          <w:rtl/>
          <w:lang w:val="en-CA"/>
        </w:rPr>
        <w:tab/>
      </w:r>
      <w:r w:rsidRPr="00564059">
        <w:rPr>
          <w:rFonts w:cs="Traditional Arabic" w:hint="cs"/>
          <w:i/>
          <w:iCs/>
          <w:spacing w:val="-2"/>
          <w:sz w:val="18"/>
          <w:szCs w:val="26"/>
          <w:rtl/>
          <w:lang w:val="en-CA"/>
        </w:rPr>
        <w:t>س. ز. ك. ب. إكس ضد وزارة الهجرة وآخرين</w:t>
      </w:r>
      <w:r w:rsidRPr="00564059">
        <w:rPr>
          <w:rFonts w:cs="Traditional Arabic" w:hint="cs"/>
          <w:spacing w:val="-2"/>
          <w:sz w:val="18"/>
          <w:szCs w:val="26"/>
          <w:rtl/>
          <w:lang w:val="en-CA"/>
        </w:rPr>
        <w:t xml:space="preserve"> [2007]، محكمة الصلح الاتحادية الأسترالية 1597، 10 أيلول/سبتمبر 2007.</w:t>
      </w:r>
    </w:p>
  </w:footnote>
  <w:footnote w:id="120">
    <w:p w:rsidR="00F815BA" w:rsidRPr="00D0360A" w:rsidRDefault="00F815BA" w:rsidP="00CE592B">
      <w:pPr>
        <w:pStyle w:val="FootnoteText"/>
        <w:keepLines/>
        <w:numPr>
          <w:ilvl w:val="0"/>
          <w:numId w:val="0"/>
        </w:numPr>
        <w:tabs>
          <w:tab w:val="left" w:pos="1254"/>
        </w:tabs>
        <w:bidi/>
        <w:spacing w:after="60" w:line="300" w:lineRule="exact"/>
        <w:ind w:left="1240" w:right="1247" w:hanging="434"/>
        <w:jc w:val="lowKashida"/>
        <w:rPr>
          <w:rFonts w:cs="Traditional Arabic" w:hint="cs"/>
          <w:sz w:val="18"/>
          <w:szCs w:val="26"/>
        </w:rPr>
      </w:pPr>
      <w:r w:rsidRPr="00564059">
        <w:rPr>
          <w:rFonts w:cs="Traditional Arabic" w:hint="cs"/>
          <w:sz w:val="26"/>
          <w:szCs w:val="26"/>
          <w:rtl/>
          <w:lang w:val="en-CA"/>
        </w:rPr>
        <w:t>(</w:t>
      </w:r>
      <w:r>
        <w:rPr>
          <w:rFonts w:cs="Traditional Arabic" w:hint="cs"/>
          <w:sz w:val="26"/>
          <w:szCs w:val="26"/>
          <w:rtl/>
          <w:lang w:val="en-CA"/>
        </w:rPr>
        <w:t>ع</w:t>
      </w:r>
      <w:r w:rsidRPr="00564059">
        <w:rPr>
          <w:rFonts w:cs="Traditional Arabic" w:hint="cs"/>
          <w:sz w:val="26"/>
          <w:szCs w:val="26"/>
          <w:rtl/>
          <w:lang w:val="en-CA"/>
        </w:rPr>
        <w:t>)</w:t>
      </w:r>
      <w:r w:rsidRPr="00564059">
        <w:rPr>
          <w:rFonts w:cs="Traditional Arabic" w:hint="cs"/>
          <w:sz w:val="26"/>
          <w:szCs w:val="26"/>
          <w:rtl/>
          <w:lang w:val="en-CA"/>
        </w:rPr>
        <w:tab/>
      </w:r>
      <w:r w:rsidRPr="00D0360A">
        <w:rPr>
          <w:rFonts w:cs="Traditional Arabic" w:hint="cs"/>
          <w:sz w:val="18"/>
          <w:szCs w:val="26"/>
          <w:rtl/>
          <w:lang w:val="en-CA"/>
        </w:rPr>
        <w:t xml:space="preserve">انظر الحاشية </w:t>
      </w:r>
      <w:r>
        <w:rPr>
          <w:rFonts w:cs="Traditional Arabic" w:hint="cs"/>
          <w:sz w:val="18"/>
          <w:szCs w:val="26"/>
          <w:rtl/>
          <w:lang w:val="en-CA"/>
        </w:rPr>
        <w:t>(د)</w:t>
      </w:r>
      <w:r w:rsidRPr="00D0360A">
        <w:rPr>
          <w:rFonts w:cs="Traditional Arabic" w:hint="cs"/>
          <w:sz w:val="18"/>
          <w:szCs w:val="26"/>
          <w:rtl/>
          <w:lang w:val="en-CA"/>
        </w:rPr>
        <w:t xml:space="preserve"> أعلاه.</w:t>
      </w:r>
    </w:p>
  </w:footnote>
  <w:footnote w:id="121">
    <w:p w:rsidR="00F815BA" w:rsidRPr="00D0360A" w:rsidRDefault="00F815BA" w:rsidP="001E45D5">
      <w:pPr>
        <w:pStyle w:val="FootnoteText"/>
        <w:keepLines/>
        <w:numPr>
          <w:ilvl w:val="0"/>
          <w:numId w:val="0"/>
        </w:numPr>
        <w:tabs>
          <w:tab w:val="left" w:pos="1240"/>
        </w:tabs>
        <w:bidi/>
        <w:spacing w:after="60" w:line="300" w:lineRule="exact"/>
        <w:ind w:left="1240" w:right="1247" w:hanging="490"/>
        <w:jc w:val="lowKashida"/>
        <w:rPr>
          <w:rFonts w:cs="Traditional Arabic" w:hint="cs"/>
          <w:sz w:val="18"/>
          <w:szCs w:val="26"/>
        </w:rPr>
      </w:pPr>
      <w:r w:rsidRPr="00564059">
        <w:rPr>
          <w:rFonts w:cs="Traditional Arabic" w:hint="cs"/>
          <w:sz w:val="26"/>
          <w:szCs w:val="26"/>
          <w:rtl/>
          <w:lang w:val="en-CA"/>
        </w:rPr>
        <w:t>(</w:t>
      </w:r>
      <w:r>
        <w:rPr>
          <w:rFonts w:cs="Traditional Arabic" w:hint="cs"/>
          <w:sz w:val="26"/>
          <w:szCs w:val="26"/>
          <w:rtl/>
          <w:lang w:val="en-CA"/>
        </w:rPr>
        <w:t>ف</w:t>
      </w:r>
      <w:r w:rsidRPr="00564059">
        <w:rPr>
          <w:rFonts w:cs="Traditional Arabic" w:hint="cs"/>
          <w:sz w:val="26"/>
          <w:szCs w:val="26"/>
          <w:rtl/>
          <w:lang w:val="en-CA"/>
        </w:rPr>
        <w:t>)</w:t>
      </w:r>
      <w:r w:rsidRPr="00564059">
        <w:rPr>
          <w:rFonts w:cs="Traditional Arabic" w:hint="cs"/>
          <w:sz w:val="26"/>
          <w:szCs w:val="26"/>
          <w:rtl/>
          <w:lang w:val="en-CA"/>
        </w:rPr>
        <w:tab/>
      </w:r>
      <w:r w:rsidRPr="00D0360A">
        <w:rPr>
          <w:rFonts w:cs="Traditional Arabic" w:hint="cs"/>
          <w:sz w:val="18"/>
          <w:szCs w:val="26"/>
          <w:rtl/>
          <w:lang w:val="en-CA"/>
        </w:rPr>
        <w:t>تفيد المحامية بأن اللجنة المعنية بالقضايا القانونية والدستورية، التابعة لمجلس الشيوخ، قد أجرت أكثر</w:t>
      </w:r>
      <w:r>
        <w:rPr>
          <w:rFonts w:cs="Traditional Arabic" w:hint="eastAsia"/>
          <w:sz w:val="18"/>
          <w:szCs w:val="26"/>
          <w:rtl/>
          <w:lang w:val="en-CA"/>
        </w:rPr>
        <w:t> </w:t>
      </w:r>
      <w:r w:rsidRPr="00D0360A">
        <w:rPr>
          <w:rFonts w:cs="Traditional Arabic" w:hint="cs"/>
          <w:sz w:val="18"/>
          <w:szCs w:val="26"/>
          <w:rtl/>
          <w:lang w:val="en-CA"/>
        </w:rPr>
        <w:t>الاستعراضات شمولاً في هذا الموض</w:t>
      </w:r>
      <w:r>
        <w:rPr>
          <w:rFonts w:cs="Traditional Arabic" w:hint="cs"/>
          <w:sz w:val="18"/>
          <w:szCs w:val="26"/>
          <w:rtl/>
          <w:lang w:val="en-CA"/>
        </w:rPr>
        <w:t>ـ</w:t>
      </w:r>
      <w:r w:rsidRPr="00D0360A">
        <w:rPr>
          <w:rFonts w:cs="Traditional Arabic" w:hint="cs"/>
          <w:sz w:val="18"/>
          <w:szCs w:val="26"/>
          <w:rtl/>
          <w:lang w:val="en-CA"/>
        </w:rPr>
        <w:t>وع في تقريرها الص</w:t>
      </w:r>
      <w:r>
        <w:rPr>
          <w:rFonts w:cs="Traditional Arabic" w:hint="cs"/>
          <w:sz w:val="18"/>
          <w:szCs w:val="26"/>
          <w:rtl/>
          <w:lang w:val="en-CA"/>
        </w:rPr>
        <w:t>ـ</w:t>
      </w:r>
      <w:r w:rsidRPr="00D0360A">
        <w:rPr>
          <w:rFonts w:cs="Traditional Arabic" w:hint="cs"/>
          <w:sz w:val="18"/>
          <w:szCs w:val="26"/>
          <w:rtl/>
          <w:lang w:val="en-CA"/>
        </w:rPr>
        <w:t>ادر في حزيران/يونيه 2000 تحت عن</w:t>
      </w:r>
      <w:r>
        <w:rPr>
          <w:rFonts w:cs="Traditional Arabic" w:hint="cs"/>
          <w:sz w:val="18"/>
          <w:szCs w:val="26"/>
          <w:rtl/>
          <w:lang w:val="en-CA"/>
        </w:rPr>
        <w:t>ـ</w:t>
      </w:r>
      <w:r w:rsidRPr="00D0360A">
        <w:rPr>
          <w:rFonts w:cs="Traditional Arabic" w:hint="cs"/>
          <w:sz w:val="18"/>
          <w:szCs w:val="26"/>
          <w:rtl/>
          <w:lang w:val="en-CA"/>
        </w:rPr>
        <w:t xml:space="preserve">وان </w:t>
      </w:r>
      <w:r w:rsidRPr="00564059">
        <w:rPr>
          <w:rFonts w:cs="Traditional Arabic"/>
          <w:i/>
          <w:spacing w:val="-2"/>
          <w:sz w:val="18"/>
          <w:szCs w:val="26"/>
        </w:rPr>
        <w:t>A Sanctuary under Review: An Examination of Australia’s Refugee and Humanitarian Determination Processes</w:t>
      </w:r>
      <w:r w:rsidRPr="00D0360A">
        <w:rPr>
          <w:rFonts w:cs="Traditional Arabic" w:hint="cs"/>
          <w:sz w:val="18"/>
          <w:szCs w:val="26"/>
          <w:rtl/>
        </w:rPr>
        <w:t xml:space="preserve"> (</w:t>
      </w:r>
      <w:r w:rsidRPr="00D0360A">
        <w:rPr>
          <w:rFonts w:cs="Traditional Arabic" w:hint="cs"/>
          <w:i/>
          <w:iCs/>
          <w:sz w:val="18"/>
          <w:szCs w:val="26"/>
          <w:rtl/>
        </w:rPr>
        <w:t>معبد تحت مجهر المراجعة: دراسة عن عمليات تحديد وضع اللاجئين والقضايا الإنسانية في أستراليا</w:t>
      </w:r>
      <w:r w:rsidRPr="00D0360A">
        <w:rPr>
          <w:rFonts w:cs="Traditional Arabic" w:hint="cs"/>
          <w:sz w:val="18"/>
          <w:szCs w:val="26"/>
          <w:rtl/>
        </w:rPr>
        <w:t xml:space="preserve">). ويكشف التقرير عن أوجه القصور في مسألة سلطة الوزير التقديرية، مشيراً إلى أن بعضاً من جوانب بنية سلطة الوزير التقديرية، المعتمدة حالياً بموجب المادة 417، يتناقض على ما يبدو مع الطابع المطلق للالتزام بعدم الإعادة القسرية بموجب </w:t>
      </w:r>
      <w:r w:rsidRPr="00D0360A">
        <w:rPr>
          <w:rFonts w:cs="Traditional Arabic"/>
          <w:sz w:val="18"/>
          <w:szCs w:val="26"/>
          <w:rtl/>
        </w:rPr>
        <w:t>اتفاقية مناهضة التعذيب وغيره من ضروب المعاملة أو العقوبة القاسية أو</w:t>
      </w:r>
      <w:r w:rsidRPr="00D0360A">
        <w:rPr>
          <w:rFonts w:cs="Traditional Arabic" w:hint="cs"/>
          <w:sz w:val="18"/>
          <w:szCs w:val="26"/>
          <w:rtl/>
        </w:rPr>
        <w:t> </w:t>
      </w:r>
      <w:r w:rsidRPr="00D0360A">
        <w:rPr>
          <w:rFonts w:cs="Traditional Arabic"/>
          <w:sz w:val="18"/>
          <w:szCs w:val="26"/>
          <w:rtl/>
        </w:rPr>
        <w:t>اللاإنسانية أو المهين</w:t>
      </w:r>
      <w:r w:rsidRPr="00D0360A">
        <w:rPr>
          <w:rFonts w:cs="Traditional Arabic" w:hint="cs"/>
          <w:sz w:val="18"/>
          <w:szCs w:val="26"/>
          <w:rtl/>
        </w:rPr>
        <w:t>ة. فيجوز للوزير أن يقرر ممارسة سلطته التقديرية للسماح لشخص قدَّم حججاً مقنعة في قضيته بموجب الاتفاقية بالبقاء في البلد، ولكن يحقّ له عدم ممارستها أيضاً. وعلاوة على ذلك، فإنه لا يجوز ممارسة السلطة التقديرية الممنوحة للوزير إلا إذا "ارتأى الوزير أن في ذلك خدمة للمصلحة العامة". ويستطيع الوزير نظرياً أن يقرر أنه لا يخدم المصلحة العامة إذا مارس سلطته التقديرية للسماح لشخص يخشى التعرض للتعذيب في بلده الأصلي بالبقاء في أستراليا.</w:t>
      </w:r>
    </w:p>
  </w:footnote>
  <w:footnote w:id="122">
    <w:p w:rsidR="00F815BA" w:rsidRPr="00D0360A" w:rsidRDefault="00F815BA" w:rsidP="00CE592B">
      <w:pPr>
        <w:pStyle w:val="FootnoteText"/>
        <w:numPr>
          <w:ilvl w:val="0"/>
          <w:numId w:val="0"/>
        </w:numPr>
        <w:tabs>
          <w:tab w:val="left" w:pos="1268"/>
        </w:tabs>
        <w:bidi/>
        <w:spacing w:after="60" w:line="300" w:lineRule="exact"/>
        <w:ind w:left="1259" w:right="1247" w:hanging="467"/>
        <w:jc w:val="lowKashida"/>
        <w:rPr>
          <w:rFonts w:cs="Traditional Arabic" w:hint="cs"/>
          <w:sz w:val="18"/>
          <w:szCs w:val="26"/>
        </w:rPr>
      </w:pPr>
      <w:r w:rsidRPr="00564059">
        <w:rPr>
          <w:rFonts w:cs="Traditional Arabic" w:hint="cs"/>
          <w:sz w:val="26"/>
          <w:szCs w:val="26"/>
          <w:rtl/>
          <w:lang w:val="en-CA"/>
        </w:rPr>
        <w:t>(</w:t>
      </w:r>
      <w:r>
        <w:rPr>
          <w:rFonts w:cs="Traditional Arabic" w:hint="cs"/>
          <w:sz w:val="26"/>
          <w:szCs w:val="26"/>
          <w:rtl/>
          <w:lang w:val="en-CA"/>
        </w:rPr>
        <w:t>ص</w:t>
      </w:r>
      <w:r w:rsidRPr="00564059">
        <w:rPr>
          <w:rFonts w:cs="Traditional Arabic" w:hint="cs"/>
          <w:sz w:val="26"/>
          <w:szCs w:val="26"/>
          <w:rtl/>
          <w:lang w:val="en-CA"/>
        </w:rPr>
        <w:t>)</w:t>
      </w:r>
      <w:r w:rsidRPr="00564059">
        <w:rPr>
          <w:rFonts w:cs="Traditional Arabic" w:hint="cs"/>
          <w:sz w:val="26"/>
          <w:szCs w:val="26"/>
          <w:rtl/>
          <w:lang w:val="en-CA"/>
        </w:rPr>
        <w:tab/>
      </w:r>
      <w:r w:rsidRPr="00D0360A">
        <w:rPr>
          <w:rFonts w:cs="Traditional Arabic" w:hint="cs"/>
          <w:sz w:val="18"/>
          <w:szCs w:val="26"/>
          <w:rtl/>
        </w:rPr>
        <w:t xml:space="preserve">انظر، ضمن جملة أمور، البلاغات رقم 203/2002، </w:t>
      </w:r>
      <w:r w:rsidRPr="00D0360A">
        <w:rPr>
          <w:rFonts w:cs="Traditional Arabic" w:hint="cs"/>
          <w:i/>
          <w:iCs/>
          <w:sz w:val="18"/>
          <w:szCs w:val="26"/>
          <w:rtl/>
        </w:rPr>
        <w:t>أ. ر. ضد هولندا</w:t>
      </w:r>
      <w:r w:rsidRPr="00D0360A">
        <w:rPr>
          <w:rFonts w:cs="Traditional Arabic" w:hint="cs"/>
          <w:sz w:val="18"/>
          <w:szCs w:val="26"/>
          <w:rtl/>
        </w:rPr>
        <w:t xml:space="preserve">، الآراء المعتمدة في 14 تشرين الثاني/نوفمبر 2003، الفقرة 7-3؛ ورقم 285/2006، </w:t>
      </w:r>
      <w:r w:rsidRPr="00D0360A">
        <w:rPr>
          <w:rFonts w:cs="Traditional Arabic" w:hint="cs"/>
          <w:i/>
          <w:iCs/>
          <w:sz w:val="18"/>
          <w:szCs w:val="26"/>
          <w:rtl/>
        </w:rPr>
        <w:t>أ. أ. وآخرون ضد سويسرا</w:t>
      </w:r>
      <w:r w:rsidRPr="00D0360A">
        <w:rPr>
          <w:rFonts w:cs="Traditional Arabic" w:hint="cs"/>
          <w:sz w:val="18"/>
          <w:szCs w:val="26"/>
          <w:rtl/>
        </w:rPr>
        <w:t>، القرار المعتمد في</w:t>
      </w:r>
      <w:r w:rsidRPr="00D0360A">
        <w:rPr>
          <w:rFonts w:cs="Traditional Arabic" w:hint="eastAsia"/>
          <w:sz w:val="18"/>
          <w:szCs w:val="26"/>
          <w:rtl/>
        </w:rPr>
        <w:t> </w:t>
      </w:r>
      <w:r w:rsidRPr="00D0360A">
        <w:rPr>
          <w:rFonts w:cs="Traditional Arabic" w:hint="cs"/>
          <w:sz w:val="18"/>
          <w:szCs w:val="26"/>
          <w:rtl/>
        </w:rPr>
        <w:t xml:space="preserve">10 تشرين الثاني/نوفمبر 2008، الفقرة 7-6؛ ورقم 322/2007، </w:t>
      </w:r>
      <w:r w:rsidRPr="00D0360A">
        <w:rPr>
          <w:rFonts w:cs="Traditional Arabic" w:hint="cs"/>
          <w:i/>
          <w:iCs/>
          <w:sz w:val="18"/>
          <w:szCs w:val="26"/>
          <w:rtl/>
        </w:rPr>
        <w:t>نجامبا وباليكوسا ضد السويد</w:t>
      </w:r>
      <w:r w:rsidRPr="00D0360A">
        <w:rPr>
          <w:rFonts w:cs="Traditional Arabic" w:hint="cs"/>
          <w:sz w:val="18"/>
          <w:szCs w:val="26"/>
          <w:rtl/>
        </w:rPr>
        <w:t>، القرار المعتمد في 14 أيار/مايو 2010، الفقرة 9-4.</w:t>
      </w:r>
    </w:p>
  </w:footnote>
  <w:footnote w:id="123">
    <w:p w:rsidR="00F815BA" w:rsidRPr="003379E2" w:rsidRDefault="00F815BA" w:rsidP="00CE592B">
      <w:pPr>
        <w:pStyle w:val="FootnoteText"/>
        <w:numPr>
          <w:ilvl w:val="0"/>
          <w:numId w:val="0"/>
        </w:numPr>
        <w:tabs>
          <w:tab w:val="left" w:pos="1268"/>
        </w:tabs>
        <w:bidi/>
        <w:spacing w:after="60" w:line="300" w:lineRule="exact"/>
        <w:ind w:left="1259" w:right="1247" w:hanging="467"/>
        <w:jc w:val="lowKashida"/>
        <w:rPr>
          <w:rFonts w:cs="Traditional Arabic" w:hint="cs"/>
          <w:spacing w:val="-2"/>
          <w:sz w:val="18"/>
          <w:szCs w:val="26"/>
        </w:rPr>
      </w:pPr>
      <w:r w:rsidRPr="003379E2">
        <w:rPr>
          <w:rFonts w:cs="Traditional Arabic" w:hint="cs"/>
          <w:spacing w:val="-2"/>
          <w:sz w:val="26"/>
          <w:szCs w:val="26"/>
          <w:rtl/>
          <w:lang w:val="en-CA"/>
        </w:rPr>
        <w:t>(</w:t>
      </w:r>
      <w:r>
        <w:rPr>
          <w:rFonts w:cs="Traditional Arabic" w:hint="cs"/>
          <w:spacing w:val="-2"/>
          <w:sz w:val="26"/>
          <w:szCs w:val="26"/>
          <w:rtl/>
          <w:lang w:val="en-CA"/>
        </w:rPr>
        <w:t>ق</w:t>
      </w:r>
      <w:r w:rsidRPr="003379E2">
        <w:rPr>
          <w:rFonts w:cs="Traditional Arabic" w:hint="cs"/>
          <w:spacing w:val="-2"/>
          <w:sz w:val="26"/>
          <w:szCs w:val="26"/>
          <w:rtl/>
          <w:lang w:val="en-CA"/>
        </w:rPr>
        <w:t>)</w:t>
      </w:r>
      <w:r w:rsidRPr="003379E2">
        <w:rPr>
          <w:rFonts w:cs="Traditional Arabic" w:hint="cs"/>
          <w:spacing w:val="-2"/>
          <w:sz w:val="26"/>
          <w:szCs w:val="26"/>
          <w:rtl/>
          <w:lang w:val="en-CA"/>
        </w:rPr>
        <w:tab/>
      </w:r>
      <w:r w:rsidRPr="003379E2">
        <w:rPr>
          <w:rFonts w:cs="Traditional Arabic" w:hint="cs"/>
          <w:spacing w:val="-2"/>
          <w:sz w:val="18"/>
          <w:szCs w:val="26"/>
          <w:rtl/>
        </w:rPr>
        <w:t xml:space="preserve">انظر، في جملة أمور، البلاغ رقم 356/2008، </w:t>
      </w:r>
      <w:r w:rsidRPr="003379E2">
        <w:rPr>
          <w:rFonts w:cs="Traditional Arabic" w:hint="cs"/>
          <w:i/>
          <w:iCs/>
          <w:spacing w:val="-2"/>
          <w:sz w:val="18"/>
          <w:szCs w:val="26"/>
          <w:rtl/>
        </w:rPr>
        <w:t>ن. س. ضد سويسرا</w:t>
      </w:r>
      <w:r w:rsidRPr="003379E2">
        <w:rPr>
          <w:rFonts w:cs="Traditional Arabic" w:hint="cs"/>
          <w:spacing w:val="-2"/>
          <w:sz w:val="18"/>
          <w:szCs w:val="26"/>
          <w:rtl/>
        </w:rPr>
        <w:t>، القرار المعتمد في 6 أيار/مايو 2010</w:t>
      </w:r>
      <w:r w:rsidRPr="003379E2">
        <w:rPr>
          <w:rFonts w:cs="Traditional Arabic" w:hint="cs"/>
          <w:spacing w:val="-2"/>
          <w:sz w:val="18"/>
          <w:szCs w:val="26"/>
          <w:rtl/>
          <w:lang w:val="en-CA"/>
        </w:rPr>
        <w:t>.</w:t>
      </w:r>
    </w:p>
  </w:footnote>
  <w:footnote w:id="124">
    <w:p w:rsidR="00F815BA" w:rsidRPr="00CE5BE5" w:rsidRDefault="00F815BA" w:rsidP="00CE5BE5">
      <w:pPr>
        <w:pStyle w:val="FootnoteText"/>
        <w:numPr>
          <w:ilvl w:val="0"/>
          <w:numId w:val="34"/>
        </w:numPr>
        <w:bidi/>
        <w:spacing w:after="60" w:line="300" w:lineRule="exact"/>
        <w:ind w:right="1247"/>
        <w:jc w:val="lowKashida"/>
        <w:rPr>
          <w:rFonts w:cs="Traditional Arabic" w:hint="cs"/>
          <w:sz w:val="18"/>
          <w:szCs w:val="26"/>
        </w:rPr>
      </w:pPr>
      <w:r w:rsidRPr="00CE5BE5">
        <w:rPr>
          <w:rFonts w:cs="Traditional Arabic" w:hint="cs"/>
          <w:sz w:val="18"/>
          <w:szCs w:val="26"/>
          <w:rtl/>
        </w:rPr>
        <w:t>في 19 تشرين الأول/أكتوبر 2001، اعترفت ألمانيا باختصاص لجنة مناهضة التعذيب في تلقي شكاوى الأفراد والنظر فيها بموجب المادة 22 من الاتفاقية.</w:t>
      </w:r>
    </w:p>
  </w:footnote>
  <w:footnote w:id="125">
    <w:p w:rsidR="00F815BA" w:rsidRPr="00CE5BE5" w:rsidRDefault="00F815BA" w:rsidP="005E110C">
      <w:pPr>
        <w:pStyle w:val="FootnoteText"/>
        <w:numPr>
          <w:ilvl w:val="0"/>
          <w:numId w:val="34"/>
        </w:numPr>
        <w:bidi/>
        <w:spacing w:after="60" w:line="300" w:lineRule="exact"/>
        <w:ind w:right="1247"/>
        <w:jc w:val="lowKashida"/>
        <w:rPr>
          <w:rFonts w:cs="Traditional Arabic" w:hint="cs"/>
          <w:sz w:val="18"/>
          <w:szCs w:val="26"/>
        </w:rPr>
      </w:pPr>
      <w:r w:rsidRPr="00CE5BE5">
        <w:rPr>
          <w:rFonts w:cs="Traditional Arabic" w:hint="cs"/>
          <w:sz w:val="18"/>
          <w:szCs w:val="26"/>
          <w:rtl/>
        </w:rPr>
        <w:t>بين علامتي اقتباس في الشكوى الأصلية.</w:t>
      </w:r>
    </w:p>
  </w:footnote>
  <w:footnote w:id="126">
    <w:p w:rsidR="00F815BA" w:rsidRPr="00CE5BE5" w:rsidRDefault="00F815BA" w:rsidP="005E110C">
      <w:pPr>
        <w:pStyle w:val="FootnoteText"/>
        <w:numPr>
          <w:ilvl w:val="0"/>
          <w:numId w:val="34"/>
        </w:numPr>
        <w:bidi/>
        <w:spacing w:after="60" w:line="300" w:lineRule="exact"/>
        <w:ind w:right="1247"/>
        <w:jc w:val="lowKashida"/>
        <w:rPr>
          <w:rFonts w:cs="Traditional Arabic" w:hint="cs"/>
          <w:sz w:val="18"/>
          <w:szCs w:val="26"/>
        </w:rPr>
      </w:pPr>
      <w:r w:rsidRPr="00CE5BE5">
        <w:rPr>
          <w:rFonts w:cs="Traditional Arabic" w:hint="cs"/>
          <w:sz w:val="18"/>
          <w:szCs w:val="26"/>
          <w:rtl/>
        </w:rPr>
        <w:t xml:space="preserve">القضيتان </w:t>
      </w:r>
      <w:r w:rsidRPr="00CE5BE5">
        <w:rPr>
          <w:rFonts w:cs="Traditional Arabic"/>
          <w:sz w:val="18"/>
          <w:szCs w:val="26"/>
        </w:rPr>
        <w:t>17911/09</w:t>
      </w:r>
      <w:r w:rsidRPr="00CE5BE5">
        <w:rPr>
          <w:rFonts w:cs="Traditional Arabic" w:hint="cs"/>
          <w:sz w:val="18"/>
          <w:szCs w:val="26"/>
          <w:rtl/>
        </w:rPr>
        <w:t xml:space="preserve"> و</w:t>
      </w:r>
      <w:r w:rsidRPr="00CE5BE5">
        <w:rPr>
          <w:rFonts w:cs="Traditional Arabic"/>
          <w:sz w:val="18"/>
          <w:szCs w:val="26"/>
        </w:rPr>
        <w:t>17946/09</w:t>
      </w:r>
      <w:r w:rsidRPr="00CE5BE5">
        <w:rPr>
          <w:rFonts w:cs="Traditional Arabic" w:hint="cs"/>
          <w:sz w:val="18"/>
          <w:szCs w:val="26"/>
          <w:rtl/>
        </w:rPr>
        <w:t>.</w:t>
      </w:r>
    </w:p>
  </w:footnote>
  <w:footnote w:id="127">
    <w:p w:rsidR="00F815BA" w:rsidRPr="00CE5BE5" w:rsidRDefault="00F815BA" w:rsidP="005E110C">
      <w:pPr>
        <w:pStyle w:val="FootnoteText"/>
        <w:numPr>
          <w:ilvl w:val="0"/>
          <w:numId w:val="34"/>
        </w:numPr>
        <w:bidi/>
        <w:spacing w:after="60" w:line="300" w:lineRule="exact"/>
        <w:ind w:right="1247"/>
        <w:jc w:val="lowKashida"/>
        <w:rPr>
          <w:rFonts w:cs="Traditional Arabic" w:hint="cs"/>
          <w:sz w:val="18"/>
          <w:szCs w:val="26"/>
        </w:rPr>
      </w:pPr>
      <w:r w:rsidRPr="00CE5BE5">
        <w:rPr>
          <w:rFonts w:cs="Traditional Arabic" w:hint="cs"/>
          <w:sz w:val="18"/>
          <w:szCs w:val="26"/>
          <w:rtl/>
        </w:rPr>
        <w:t>انظر الفقرة 2-3. وقد قرر القاضي الجمع بين العقوبتين عملاً بالمادة 56 من قانون العقوبات التونسي.</w:t>
      </w:r>
    </w:p>
  </w:footnote>
  <w:footnote w:id="128">
    <w:p w:rsidR="00F815BA" w:rsidRPr="00CE5BE5" w:rsidRDefault="00F815BA" w:rsidP="0077398F">
      <w:pPr>
        <w:pStyle w:val="FootnoteText"/>
        <w:numPr>
          <w:ilvl w:val="0"/>
          <w:numId w:val="0"/>
        </w:numPr>
        <w:bidi/>
        <w:spacing w:after="60" w:line="300" w:lineRule="exact"/>
        <w:ind w:left="1254" w:right="1247" w:hanging="462"/>
        <w:jc w:val="lowKashida"/>
        <w:rPr>
          <w:rFonts w:cs="Traditional Arabic" w:hint="cs"/>
          <w:sz w:val="18"/>
          <w:szCs w:val="26"/>
        </w:rPr>
      </w:pPr>
      <w:r w:rsidRPr="0077398F">
        <w:rPr>
          <w:rFonts w:cs="Traditional Arabic" w:hint="cs"/>
          <w:sz w:val="26"/>
          <w:szCs w:val="26"/>
          <w:rtl/>
        </w:rPr>
        <w:t>(ﻫ)</w:t>
      </w:r>
      <w:r w:rsidRPr="0077398F">
        <w:rPr>
          <w:rFonts w:cs="Traditional Arabic" w:hint="cs"/>
          <w:sz w:val="26"/>
          <w:szCs w:val="26"/>
          <w:rtl/>
        </w:rPr>
        <w:tab/>
      </w:r>
      <w:r w:rsidRPr="00CE5BE5">
        <w:rPr>
          <w:rFonts w:cs="Traditional Arabic" w:hint="cs"/>
          <w:sz w:val="18"/>
          <w:szCs w:val="26"/>
          <w:rtl/>
        </w:rPr>
        <w:t>تاريخهما غير مقروء (يبدو أنهما مؤرختان في 13 أيار/مايو 2010).</w:t>
      </w:r>
    </w:p>
  </w:footnote>
  <w:footnote w:id="129">
    <w:p w:rsidR="00F815BA" w:rsidRPr="00CE5BE5" w:rsidRDefault="00F815BA" w:rsidP="0077398F">
      <w:pPr>
        <w:pStyle w:val="FootnoteText"/>
        <w:numPr>
          <w:ilvl w:val="0"/>
          <w:numId w:val="0"/>
        </w:numPr>
        <w:tabs>
          <w:tab w:val="left" w:pos="1226"/>
        </w:tabs>
        <w:bidi/>
        <w:spacing w:after="60" w:line="300" w:lineRule="exact"/>
        <w:ind w:left="1226" w:right="1247" w:hanging="434"/>
        <w:jc w:val="lowKashida"/>
        <w:rPr>
          <w:rFonts w:cs="Traditional Arabic" w:hint="cs"/>
          <w:sz w:val="18"/>
          <w:szCs w:val="26"/>
        </w:rPr>
      </w:pPr>
      <w:r w:rsidRPr="0077398F">
        <w:rPr>
          <w:rFonts w:cs="Traditional Arabic" w:hint="cs"/>
          <w:sz w:val="26"/>
          <w:szCs w:val="26"/>
          <w:rtl/>
        </w:rPr>
        <w:t>(</w:t>
      </w:r>
      <w:r>
        <w:rPr>
          <w:rFonts w:cs="Traditional Arabic" w:hint="cs"/>
          <w:sz w:val="26"/>
          <w:szCs w:val="26"/>
          <w:rtl/>
        </w:rPr>
        <w:t>و</w:t>
      </w:r>
      <w:r w:rsidRPr="0077398F">
        <w:rPr>
          <w:rFonts w:cs="Traditional Arabic" w:hint="cs"/>
          <w:sz w:val="26"/>
          <w:szCs w:val="26"/>
          <w:rtl/>
        </w:rPr>
        <w:t>)</w:t>
      </w:r>
      <w:r w:rsidRPr="0077398F">
        <w:rPr>
          <w:rFonts w:cs="Traditional Arabic" w:hint="cs"/>
          <w:sz w:val="26"/>
          <w:szCs w:val="26"/>
          <w:rtl/>
        </w:rPr>
        <w:tab/>
      </w:r>
      <w:r w:rsidRPr="00CE5BE5">
        <w:rPr>
          <w:rFonts w:cs="Traditional Arabic" w:hint="cs"/>
          <w:sz w:val="18"/>
          <w:szCs w:val="26"/>
          <w:rtl/>
        </w:rPr>
        <w:t xml:space="preserve">أوضحت صاحبة الشكوى </w:t>
      </w:r>
      <w:r w:rsidRPr="00CE5BE5">
        <w:rPr>
          <w:rStyle w:val="hps"/>
          <w:rFonts w:cs="Traditional Arabic"/>
          <w:color w:val="222222"/>
          <w:sz w:val="18"/>
          <w:szCs w:val="26"/>
          <w:rtl/>
          <w:lang/>
        </w:rPr>
        <w:t>في</w:t>
      </w:r>
      <w:r w:rsidRPr="00CE5BE5">
        <w:rPr>
          <w:rFonts w:cs="Traditional Arabic"/>
          <w:color w:val="222222"/>
          <w:sz w:val="18"/>
          <w:szCs w:val="26"/>
          <w:rtl/>
          <w:lang/>
        </w:rPr>
        <w:t xml:space="preserve"> </w:t>
      </w:r>
      <w:r w:rsidRPr="00CE5BE5">
        <w:rPr>
          <w:rStyle w:val="hps"/>
          <w:rFonts w:cs="Traditional Arabic" w:hint="cs"/>
          <w:color w:val="222222"/>
          <w:sz w:val="18"/>
          <w:szCs w:val="26"/>
          <w:rtl/>
          <w:lang/>
        </w:rPr>
        <w:t>تعليقاتها</w:t>
      </w:r>
      <w:r w:rsidRPr="00CE5BE5">
        <w:rPr>
          <w:rFonts w:cs="Traditional Arabic"/>
          <w:color w:val="222222"/>
          <w:sz w:val="18"/>
          <w:szCs w:val="26"/>
          <w:rtl/>
          <w:lang/>
        </w:rPr>
        <w:t xml:space="preserve"> </w:t>
      </w:r>
      <w:r w:rsidRPr="00CE5BE5">
        <w:rPr>
          <w:rStyle w:val="hps"/>
          <w:rFonts w:cs="Traditional Arabic"/>
          <w:color w:val="222222"/>
          <w:sz w:val="18"/>
          <w:szCs w:val="26"/>
          <w:rtl/>
          <w:lang/>
        </w:rPr>
        <w:t>اللاحقة</w:t>
      </w:r>
      <w:r w:rsidRPr="00CE5BE5">
        <w:rPr>
          <w:rFonts w:cs="Traditional Arabic"/>
          <w:color w:val="222222"/>
          <w:sz w:val="18"/>
          <w:szCs w:val="26"/>
          <w:rtl/>
          <w:lang/>
        </w:rPr>
        <w:t xml:space="preserve"> </w:t>
      </w:r>
      <w:r w:rsidRPr="00CE5BE5">
        <w:rPr>
          <w:rStyle w:val="hps"/>
          <w:rFonts w:cs="Traditional Arabic"/>
          <w:color w:val="222222"/>
          <w:sz w:val="18"/>
          <w:szCs w:val="26"/>
          <w:rtl/>
          <w:lang/>
        </w:rPr>
        <w:t>على ملاحظات الدولة</w:t>
      </w:r>
      <w:r w:rsidRPr="00CE5BE5">
        <w:rPr>
          <w:rFonts w:cs="Traditional Arabic"/>
          <w:color w:val="222222"/>
          <w:sz w:val="18"/>
          <w:szCs w:val="26"/>
          <w:rtl/>
          <w:lang/>
        </w:rPr>
        <w:t xml:space="preserve"> </w:t>
      </w:r>
      <w:r w:rsidRPr="00CE5BE5">
        <w:rPr>
          <w:rStyle w:val="hps"/>
          <w:rFonts w:cs="Traditional Arabic"/>
          <w:color w:val="222222"/>
          <w:sz w:val="18"/>
          <w:szCs w:val="26"/>
          <w:rtl/>
          <w:lang/>
        </w:rPr>
        <w:t>الطرف بشأن</w:t>
      </w:r>
      <w:r w:rsidRPr="00CE5BE5">
        <w:rPr>
          <w:rFonts w:cs="Traditional Arabic"/>
          <w:color w:val="222222"/>
          <w:sz w:val="18"/>
          <w:szCs w:val="26"/>
          <w:rtl/>
          <w:lang/>
        </w:rPr>
        <w:t xml:space="preserve"> </w:t>
      </w:r>
      <w:r w:rsidRPr="00CE5BE5">
        <w:rPr>
          <w:rStyle w:val="hps"/>
          <w:rFonts w:cs="Traditional Arabic"/>
          <w:color w:val="222222"/>
          <w:sz w:val="18"/>
          <w:szCs w:val="26"/>
          <w:rtl/>
          <w:lang/>
        </w:rPr>
        <w:t>الأسس الموضوعية</w:t>
      </w:r>
      <w:r w:rsidRPr="00CE5BE5">
        <w:rPr>
          <w:rFonts w:cs="Traditional Arabic"/>
          <w:color w:val="222222"/>
          <w:sz w:val="18"/>
          <w:szCs w:val="26"/>
          <w:rtl/>
          <w:lang/>
        </w:rPr>
        <w:t xml:space="preserve"> </w:t>
      </w:r>
      <w:r w:rsidRPr="00CE5BE5">
        <w:rPr>
          <w:rFonts w:cs="Traditional Arabic" w:hint="cs"/>
          <w:color w:val="222222"/>
          <w:sz w:val="18"/>
          <w:szCs w:val="26"/>
          <w:rtl/>
          <w:lang/>
        </w:rPr>
        <w:t>بأن</w:t>
      </w:r>
      <w:r w:rsidRPr="00CE5BE5">
        <w:rPr>
          <w:rFonts w:cs="Traditional Arabic"/>
          <w:color w:val="222222"/>
          <w:sz w:val="18"/>
          <w:szCs w:val="26"/>
          <w:rtl/>
          <w:lang/>
        </w:rPr>
        <w:t xml:space="preserve"> </w:t>
      </w:r>
      <w:r w:rsidRPr="00CE5BE5">
        <w:rPr>
          <w:rStyle w:val="hps"/>
          <w:rFonts w:cs="Traditional Arabic"/>
          <w:color w:val="222222"/>
          <w:sz w:val="18"/>
          <w:szCs w:val="26"/>
          <w:rtl/>
          <w:lang/>
        </w:rPr>
        <w:t>الطلبين</w:t>
      </w:r>
      <w:r w:rsidRPr="00CE5BE5">
        <w:rPr>
          <w:rFonts w:cs="Traditional Arabic" w:hint="cs"/>
          <w:color w:val="222222"/>
          <w:sz w:val="18"/>
          <w:szCs w:val="26"/>
          <w:rtl/>
          <w:lang/>
        </w:rPr>
        <w:t xml:space="preserve"> العاجلين </w:t>
      </w:r>
      <w:r w:rsidRPr="00CE5BE5">
        <w:rPr>
          <w:rStyle w:val="hps"/>
          <w:rFonts w:cs="Traditional Arabic" w:hint="cs"/>
          <w:color w:val="222222"/>
          <w:sz w:val="18"/>
          <w:szCs w:val="26"/>
          <w:rtl/>
          <w:lang/>
        </w:rPr>
        <w:t>قدما</w:t>
      </w:r>
      <w:r w:rsidRPr="00CE5BE5">
        <w:rPr>
          <w:rFonts w:cs="Traditional Arabic"/>
          <w:color w:val="222222"/>
          <w:sz w:val="18"/>
          <w:szCs w:val="26"/>
          <w:rtl/>
          <w:lang/>
        </w:rPr>
        <w:t xml:space="preserve"> </w:t>
      </w:r>
      <w:r w:rsidRPr="00CE5BE5">
        <w:rPr>
          <w:rStyle w:val="hps"/>
          <w:rFonts w:cs="Traditional Arabic" w:hint="cs"/>
          <w:color w:val="222222"/>
          <w:sz w:val="18"/>
          <w:szCs w:val="26"/>
          <w:rtl/>
          <w:lang/>
        </w:rPr>
        <w:t>يومي</w:t>
      </w:r>
      <w:r w:rsidRPr="00CE5BE5">
        <w:rPr>
          <w:rStyle w:val="hps"/>
          <w:rFonts w:cs="Traditional Arabic"/>
          <w:color w:val="222222"/>
          <w:sz w:val="18"/>
          <w:szCs w:val="26"/>
          <w:rtl/>
          <w:lang/>
        </w:rPr>
        <w:t xml:space="preserve"> 3 و19 </w:t>
      </w:r>
      <w:r w:rsidRPr="00CE5BE5">
        <w:rPr>
          <w:rStyle w:val="hps"/>
          <w:rFonts w:cs="Traditional Arabic" w:hint="cs"/>
          <w:color w:val="222222"/>
          <w:sz w:val="18"/>
          <w:szCs w:val="26"/>
          <w:rtl/>
          <w:lang/>
        </w:rPr>
        <w:t>آب/</w:t>
      </w:r>
      <w:r w:rsidRPr="00CE5BE5">
        <w:rPr>
          <w:rStyle w:val="hps"/>
          <w:rFonts w:cs="Traditional Arabic"/>
          <w:color w:val="222222"/>
          <w:sz w:val="18"/>
          <w:szCs w:val="26"/>
          <w:rtl/>
          <w:lang/>
        </w:rPr>
        <w:t>أغسطس 2010</w:t>
      </w:r>
      <w:r w:rsidRPr="00CE5BE5">
        <w:rPr>
          <w:rStyle w:val="hps"/>
          <w:rFonts w:cs="Traditional Arabic" w:hint="cs"/>
          <w:color w:val="222222"/>
          <w:sz w:val="18"/>
          <w:szCs w:val="26"/>
          <w:rtl/>
          <w:lang/>
        </w:rPr>
        <w:t>.</w:t>
      </w:r>
    </w:p>
  </w:footnote>
  <w:footnote w:id="130">
    <w:p w:rsidR="00F815BA" w:rsidRPr="0077398F" w:rsidRDefault="00F815BA" w:rsidP="0077398F">
      <w:pPr>
        <w:pStyle w:val="FootnoteText"/>
        <w:numPr>
          <w:ilvl w:val="0"/>
          <w:numId w:val="0"/>
        </w:numPr>
        <w:tabs>
          <w:tab w:val="left" w:pos="1226"/>
        </w:tabs>
        <w:bidi/>
        <w:spacing w:after="60" w:line="300" w:lineRule="exact"/>
        <w:ind w:left="1226" w:right="1247" w:hanging="434"/>
        <w:jc w:val="lowKashida"/>
        <w:rPr>
          <w:rFonts w:cs="Traditional Arabic" w:hint="cs"/>
          <w:spacing w:val="-2"/>
          <w:sz w:val="18"/>
          <w:szCs w:val="26"/>
        </w:rPr>
      </w:pPr>
      <w:r w:rsidRPr="0077398F">
        <w:rPr>
          <w:rFonts w:cs="Traditional Arabic" w:hint="cs"/>
          <w:spacing w:val="-2"/>
          <w:sz w:val="26"/>
          <w:szCs w:val="26"/>
          <w:rtl/>
        </w:rPr>
        <w:t>(ز)</w:t>
      </w:r>
      <w:r w:rsidRPr="0077398F">
        <w:rPr>
          <w:rFonts w:cs="Traditional Arabic" w:hint="cs"/>
          <w:spacing w:val="-2"/>
          <w:sz w:val="26"/>
          <w:szCs w:val="26"/>
          <w:rtl/>
        </w:rPr>
        <w:tab/>
      </w:r>
      <w:r w:rsidRPr="0077398F">
        <w:rPr>
          <w:rFonts w:cs="Traditional Arabic" w:hint="cs"/>
          <w:spacing w:val="-2"/>
          <w:sz w:val="18"/>
          <w:szCs w:val="26"/>
          <w:rtl/>
        </w:rPr>
        <w:t>أفادت بأن اللجنة تشعر "بالقلق إزاء معلومات خطيرة ومتواترة تفيد بحدوث حالات تعذيب وضروب للمعاملة القاسية أو اللاإنسانية أو المهينة في إقليم الدولة الطرف. وتفيد بعض هذه المعلومات بما يلي: (أ)</w:t>
      </w:r>
      <w:r w:rsidRPr="0077398F">
        <w:rPr>
          <w:rFonts w:cs="Traditional Arabic" w:hint="eastAsia"/>
          <w:spacing w:val="-2"/>
          <w:sz w:val="18"/>
          <w:szCs w:val="26"/>
          <w:rtl/>
        </w:rPr>
        <w:t> </w:t>
      </w:r>
      <w:r w:rsidRPr="0077398F">
        <w:rPr>
          <w:rFonts w:cs="Traditional Arabic" w:hint="cs"/>
          <w:spacing w:val="-2"/>
          <w:sz w:val="18"/>
          <w:szCs w:val="26"/>
          <w:rtl/>
        </w:rPr>
        <w:t>إن بعض القضاة يرفضون تسجيل شكاوى تتعلق بحالات المعاملة السيئة أو التعذيب؛ (ب) إن التحقيقات التي أجريت على أثر هذه الشكاوى تتجاوز الآجال المعقولة؛ (ج) إن بعض كبار الموظفين المسؤولين عن سلوك أعوانهم الذي يشكل خرقاً لأحكام المادة 7 من العهد، لا يخضعون لأي تحقيق أو ملاحقة" (</w:t>
      </w:r>
      <w:r w:rsidRPr="0077398F">
        <w:rPr>
          <w:rFonts w:cs="Traditional Arabic"/>
          <w:spacing w:val="-2"/>
          <w:sz w:val="18"/>
          <w:szCs w:val="26"/>
        </w:rPr>
        <w:t>CCPR/C/TUN/CO/5</w:t>
      </w:r>
      <w:r w:rsidRPr="0077398F">
        <w:rPr>
          <w:rFonts w:cs="Traditional Arabic" w:hint="cs"/>
          <w:spacing w:val="-2"/>
          <w:sz w:val="18"/>
          <w:szCs w:val="26"/>
          <w:rtl/>
        </w:rPr>
        <w:t>، 28 آذار/مارس 2008، الفقرة 11).</w:t>
      </w:r>
    </w:p>
  </w:footnote>
  <w:footnote w:id="131">
    <w:p w:rsidR="00F815BA" w:rsidRPr="00CE5BE5" w:rsidRDefault="00F815BA" w:rsidP="0077398F">
      <w:pPr>
        <w:pStyle w:val="FootnoteText"/>
        <w:numPr>
          <w:ilvl w:val="0"/>
          <w:numId w:val="0"/>
        </w:numPr>
        <w:tabs>
          <w:tab w:val="left" w:pos="1226"/>
        </w:tabs>
        <w:bidi/>
        <w:spacing w:after="60" w:line="300" w:lineRule="exact"/>
        <w:ind w:left="1226" w:right="1247" w:hanging="434"/>
        <w:jc w:val="lowKashida"/>
        <w:rPr>
          <w:rFonts w:cs="Traditional Arabic" w:hint="cs"/>
          <w:sz w:val="18"/>
          <w:szCs w:val="26"/>
        </w:rPr>
      </w:pPr>
      <w:r w:rsidRPr="0077398F">
        <w:rPr>
          <w:rFonts w:cs="Traditional Arabic" w:hint="cs"/>
          <w:sz w:val="26"/>
          <w:szCs w:val="26"/>
          <w:rtl/>
        </w:rPr>
        <w:t>(</w:t>
      </w:r>
      <w:r>
        <w:rPr>
          <w:rFonts w:cs="Traditional Arabic" w:hint="cs"/>
          <w:sz w:val="26"/>
          <w:szCs w:val="26"/>
          <w:rtl/>
        </w:rPr>
        <w:t>ح</w:t>
      </w:r>
      <w:r w:rsidRPr="0077398F">
        <w:rPr>
          <w:rFonts w:cs="Traditional Arabic" w:hint="cs"/>
          <w:sz w:val="26"/>
          <w:szCs w:val="26"/>
          <w:rtl/>
        </w:rPr>
        <w:t>)</w:t>
      </w:r>
      <w:r w:rsidRPr="0077398F">
        <w:rPr>
          <w:rFonts w:cs="Traditional Arabic" w:hint="cs"/>
          <w:sz w:val="26"/>
          <w:szCs w:val="26"/>
          <w:rtl/>
        </w:rPr>
        <w:tab/>
      </w:r>
      <w:r w:rsidRPr="00CE5BE5">
        <w:rPr>
          <w:rFonts w:cs="Traditional Arabic" w:hint="cs"/>
          <w:sz w:val="18"/>
          <w:szCs w:val="26"/>
          <w:rtl/>
        </w:rPr>
        <w:t>تشير صاحبة الشكوى إلى تقرير للمنظمة العالمية لمناهضة التعذيب والجمعية التونسية لمناهضة التعذيب ("مذكرة</w:t>
      </w:r>
      <w:r w:rsidRPr="00CE5BE5">
        <w:rPr>
          <w:rFonts w:cs="Traditional Arabic" w:hint="eastAsia"/>
          <w:sz w:val="18"/>
          <w:szCs w:val="26"/>
          <w:rtl/>
        </w:rPr>
        <w:t> </w:t>
      </w:r>
      <w:r w:rsidRPr="00CE5BE5">
        <w:rPr>
          <w:rFonts w:cs="Traditional Arabic"/>
          <w:sz w:val="18"/>
          <w:szCs w:val="26"/>
          <w:rtl/>
        </w:rPr>
        <w:t>بشأن متابعة توصيات اللجنة المعنية بحقوق الإنسان</w:t>
      </w:r>
      <w:r w:rsidRPr="00CE5BE5">
        <w:rPr>
          <w:rFonts w:cs="Traditional Arabic" w:hint="cs"/>
          <w:sz w:val="18"/>
          <w:szCs w:val="26"/>
          <w:rtl/>
        </w:rPr>
        <w:t xml:space="preserve"> في تونس</w:t>
      </w:r>
      <w:r w:rsidRPr="00CE5BE5">
        <w:rPr>
          <w:rFonts w:cs="Traditional Arabic"/>
          <w:sz w:val="18"/>
          <w:szCs w:val="26"/>
          <w:rtl/>
        </w:rPr>
        <w:t xml:space="preserve">"، نشرت في آب/أغسطس 2009) </w:t>
      </w:r>
      <w:r w:rsidRPr="00CE5BE5">
        <w:rPr>
          <w:rFonts w:cs="Traditional Arabic" w:hint="cs"/>
          <w:sz w:val="18"/>
          <w:szCs w:val="26"/>
          <w:rtl/>
        </w:rPr>
        <w:t xml:space="preserve">لوحظ فيه </w:t>
      </w:r>
      <w:r w:rsidRPr="00CE5BE5">
        <w:rPr>
          <w:rFonts w:cs="Traditional Arabic"/>
          <w:sz w:val="18"/>
          <w:szCs w:val="26"/>
          <w:rtl/>
        </w:rPr>
        <w:t>"</w:t>
      </w:r>
      <w:r w:rsidRPr="00CE5BE5">
        <w:rPr>
          <w:rStyle w:val="hps"/>
          <w:rFonts w:cs="Traditional Arabic" w:hint="cs"/>
          <w:sz w:val="18"/>
          <w:szCs w:val="26"/>
          <w:rtl/>
          <w:lang/>
        </w:rPr>
        <w:t xml:space="preserve">شيوع </w:t>
      </w:r>
      <w:r w:rsidRPr="00CE5BE5">
        <w:rPr>
          <w:rStyle w:val="hps"/>
          <w:rFonts w:cs="Traditional Arabic"/>
          <w:sz w:val="18"/>
          <w:szCs w:val="26"/>
          <w:rtl/>
          <w:lang/>
        </w:rPr>
        <w:t>استخدام الشرطة و</w:t>
      </w:r>
      <w:r w:rsidRPr="00CE5BE5">
        <w:rPr>
          <w:rFonts w:cs="Traditional Arabic"/>
          <w:sz w:val="18"/>
          <w:szCs w:val="26"/>
          <w:rtl/>
          <w:lang/>
        </w:rPr>
        <w:t xml:space="preserve">حراس السجون </w:t>
      </w:r>
      <w:r w:rsidRPr="00CE5BE5">
        <w:rPr>
          <w:rStyle w:val="hps"/>
          <w:rFonts w:cs="Traditional Arabic" w:hint="cs"/>
          <w:sz w:val="18"/>
          <w:szCs w:val="26"/>
          <w:rtl/>
          <w:lang/>
        </w:rPr>
        <w:t>ل</w:t>
      </w:r>
      <w:r w:rsidRPr="00CE5BE5">
        <w:rPr>
          <w:rStyle w:val="hps"/>
          <w:rFonts w:cs="Traditional Arabic"/>
          <w:sz w:val="18"/>
          <w:szCs w:val="26"/>
          <w:rtl/>
          <w:lang/>
        </w:rPr>
        <w:t>لتعذيب ضد الأشخاص</w:t>
      </w:r>
      <w:r w:rsidRPr="00CE5BE5">
        <w:rPr>
          <w:rFonts w:cs="Traditional Arabic"/>
          <w:sz w:val="18"/>
          <w:szCs w:val="26"/>
          <w:rtl/>
          <w:lang/>
        </w:rPr>
        <w:t xml:space="preserve"> </w:t>
      </w:r>
      <w:r w:rsidRPr="00CE5BE5">
        <w:rPr>
          <w:rStyle w:val="hps"/>
          <w:rFonts w:cs="Traditional Arabic" w:hint="cs"/>
          <w:sz w:val="18"/>
          <w:szCs w:val="26"/>
          <w:rtl/>
          <w:lang/>
        </w:rPr>
        <w:t>الموقوفين</w:t>
      </w:r>
      <w:r w:rsidRPr="00CE5BE5">
        <w:rPr>
          <w:rFonts w:cs="Traditional Arabic"/>
          <w:sz w:val="18"/>
          <w:szCs w:val="26"/>
          <w:rtl/>
          <w:lang/>
        </w:rPr>
        <w:t xml:space="preserve"> </w:t>
      </w:r>
      <w:r w:rsidRPr="00CE5BE5">
        <w:rPr>
          <w:rStyle w:val="hps"/>
          <w:rFonts w:cs="Traditional Arabic"/>
          <w:sz w:val="18"/>
          <w:szCs w:val="26"/>
          <w:rtl/>
          <w:lang/>
        </w:rPr>
        <w:t>أو المدانين</w:t>
      </w:r>
      <w:r w:rsidRPr="00CE5BE5">
        <w:rPr>
          <w:rFonts w:cs="Traditional Arabic"/>
          <w:sz w:val="18"/>
          <w:szCs w:val="26"/>
          <w:rtl/>
          <w:lang/>
        </w:rPr>
        <w:t xml:space="preserve"> </w:t>
      </w:r>
      <w:r w:rsidRPr="00CE5BE5">
        <w:rPr>
          <w:rStyle w:val="hps"/>
          <w:rFonts w:cs="Traditional Arabic"/>
          <w:sz w:val="18"/>
          <w:szCs w:val="26"/>
          <w:rtl/>
          <w:lang/>
        </w:rPr>
        <w:t>والم</w:t>
      </w:r>
      <w:r w:rsidRPr="00CE5BE5">
        <w:rPr>
          <w:rStyle w:val="hps"/>
          <w:rFonts w:cs="Traditional Arabic" w:hint="cs"/>
          <w:sz w:val="18"/>
          <w:szCs w:val="26"/>
          <w:rtl/>
          <w:lang/>
        </w:rPr>
        <w:t xml:space="preserve">سجونين </w:t>
      </w:r>
      <w:r w:rsidRPr="00CE5BE5">
        <w:rPr>
          <w:rStyle w:val="hps"/>
          <w:rFonts w:cs="Traditional Arabic"/>
          <w:sz w:val="18"/>
          <w:szCs w:val="26"/>
          <w:rtl/>
          <w:lang/>
        </w:rPr>
        <w:t>في</w:t>
      </w:r>
      <w:r w:rsidRPr="00CE5BE5">
        <w:rPr>
          <w:rFonts w:cs="Traditional Arabic"/>
          <w:sz w:val="18"/>
          <w:szCs w:val="26"/>
          <w:rtl/>
          <w:lang/>
        </w:rPr>
        <w:t xml:space="preserve"> </w:t>
      </w:r>
      <w:r w:rsidRPr="00CE5BE5">
        <w:rPr>
          <w:rFonts w:cs="Traditional Arabic" w:hint="cs"/>
          <w:sz w:val="18"/>
          <w:szCs w:val="26"/>
          <w:rtl/>
          <w:lang/>
        </w:rPr>
        <w:t>ال</w:t>
      </w:r>
      <w:r w:rsidRPr="00CE5BE5">
        <w:rPr>
          <w:rStyle w:val="hps"/>
          <w:rFonts w:cs="Traditional Arabic"/>
          <w:sz w:val="18"/>
          <w:szCs w:val="26"/>
          <w:rtl/>
          <w:lang/>
        </w:rPr>
        <w:t>قضايا</w:t>
      </w:r>
      <w:r w:rsidRPr="00CE5BE5">
        <w:rPr>
          <w:rStyle w:val="hps"/>
          <w:rFonts w:cs="Traditional Arabic" w:hint="cs"/>
          <w:sz w:val="18"/>
          <w:szCs w:val="26"/>
          <w:rtl/>
          <w:lang/>
        </w:rPr>
        <w:t xml:space="preserve"> </w:t>
      </w:r>
      <w:r w:rsidRPr="00CE5BE5">
        <w:rPr>
          <w:rStyle w:val="hps"/>
          <w:rFonts w:cs="Traditional Arabic"/>
          <w:sz w:val="18"/>
          <w:szCs w:val="26"/>
          <w:rtl/>
          <w:lang/>
        </w:rPr>
        <w:t>العا</w:t>
      </w:r>
      <w:r w:rsidRPr="00CE5BE5">
        <w:rPr>
          <w:rStyle w:val="hps"/>
          <w:rFonts w:cs="Traditional Arabic" w:hint="cs"/>
          <w:sz w:val="18"/>
          <w:szCs w:val="26"/>
          <w:rtl/>
          <w:lang/>
        </w:rPr>
        <w:t>دية</w:t>
      </w:r>
      <w:r w:rsidRPr="00CE5BE5">
        <w:rPr>
          <w:rFonts w:cs="Traditional Arabic"/>
          <w:sz w:val="18"/>
          <w:szCs w:val="26"/>
          <w:rtl/>
        </w:rPr>
        <w:t>".</w:t>
      </w:r>
    </w:p>
  </w:footnote>
  <w:footnote w:id="132">
    <w:p w:rsidR="00F815BA" w:rsidRPr="00CE5BE5" w:rsidRDefault="00F815BA" w:rsidP="00FA645B">
      <w:pPr>
        <w:pStyle w:val="FootnoteText"/>
        <w:numPr>
          <w:ilvl w:val="0"/>
          <w:numId w:val="0"/>
        </w:numPr>
        <w:tabs>
          <w:tab w:val="left" w:pos="1240"/>
        </w:tabs>
        <w:bidi/>
        <w:spacing w:after="60" w:line="300" w:lineRule="exact"/>
        <w:ind w:left="1240" w:right="1247" w:hanging="420"/>
        <w:jc w:val="lowKashida"/>
        <w:rPr>
          <w:rFonts w:cs="Traditional Arabic"/>
          <w:sz w:val="18"/>
          <w:szCs w:val="26"/>
        </w:rPr>
      </w:pPr>
      <w:r w:rsidRPr="0077398F">
        <w:rPr>
          <w:rFonts w:cs="Traditional Arabic" w:hint="cs"/>
          <w:sz w:val="26"/>
          <w:szCs w:val="26"/>
          <w:rtl/>
        </w:rPr>
        <w:t>(</w:t>
      </w:r>
      <w:r>
        <w:rPr>
          <w:rFonts w:cs="Traditional Arabic" w:hint="cs"/>
          <w:sz w:val="26"/>
          <w:szCs w:val="26"/>
          <w:rtl/>
        </w:rPr>
        <w:t>ط</w:t>
      </w:r>
      <w:r w:rsidRPr="0077398F">
        <w:rPr>
          <w:rFonts w:cs="Traditional Arabic" w:hint="cs"/>
          <w:sz w:val="26"/>
          <w:szCs w:val="26"/>
          <w:rtl/>
        </w:rPr>
        <w:t>)</w:t>
      </w:r>
      <w:r w:rsidRPr="0077398F">
        <w:rPr>
          <w:rFonts w:cs="Traditional Arabic" w:hint="cs"/>
          <w:sz w:val="26"/>
          <w:szCs w:val="26"/>
          <w:rtl/>
        </w:rPr>
        <w:tab/>
      </w:r>
      <w:r w:rsidRPr="00CE5BE5">
        <w:rPr>
          <w:rFonts w:cs="Traditional Arabic"/>
          <w:sz w:val="18"/>
          <w:szCs w:val="26"/>
          <w:rtl/>
        </w:rPr>
        <w:t xml:space="preserve">تشير صاحبة الشكوى إلى قضية </w:t>
      </w:r>
      <w:r w:rsidRPr="00CE5BE5">
        <w:rPr>
          <w:rStyle w:val="hps"/>
          <w:rFonts w:cs="Traditional Arabic"/>
          <w:sz w:val="18"/>
          <w:szCs w:val="26"/>
          <w:rtl/>
          <w:lang/>
        </w:rPr>
        <w:t>سامي بن</w:t>
      </w:r>
      <w:r w:rsidRPr="00CE5BE5">
        <w:rPr>
          <w:rFonts w:cs="Traditional Arabic"/>
          <w:sz w:val="18"/>
          <w:szCs w:val="26"/>
          <w:rtl/>
          <w:lang/>
        </w:rPr>
        <w:t xml:space="preserve"> </w:t>
      </w:r>
      <w:r w:rsidRPr="00CE5BE5">
        <w:rPr>
          <w:rStyle w:val="hps"/>
          <w:rFonts w:cs="Traditional Arabic"/>
          <w:sz w:val="18"/>
          <w:szCs w:val="26"/>
          <w:rtl/>
          <w:lang/>
        </w:rPr>
        <w:t>خميس ال</w:t>
      </w:r>
      <w:r w:rsidRPr="00CE5BE5">
        <w:rPr>
          <w:rStyle w:val="hps"/>
          <w:rFonts w:cs="Traditional Arabic" w:hint="cs"/>
          <w:sz w:val="18"/>
          <w:szCs w:val="26"/>
          <w:rtl/>
          <w:lang/>
        </w:rPr>
        <w:t>س</w:t>
      </w:r>
      <w:r w:rsidRPr="00CE5BE5">
        <w:rPr>
          <w:rStyle w:val="hps"/>
          <w:rFonts w:cs="Traditional Arabic"/>
          <w:sz w:val="18"/>
          <w:szCs w:val="26"/>
          <w:rtl/>
          <w:lang/>
        </w:rPr>
        <w:t>يد</w:t>
      </w:r>
      <w:r w:rsidRPr="00CE5BE5">
        <w:rPr>
          <w:rFonts w:cs="Traditional Arabic"/>
          <w:sz w:val="18"/>
          <w:szCs w:val="26"/>
          <w:rtl/>
          <w:lang/>
        </w:rPr>
        <w:t xml:space="preserve"> </w:t>
      </w:r>
      <w:r w:rsidRPr="00CE5BE5">
        <w:rPr>
          <w:rStyle w:val="hps"/>
          <w:rFonts w:cs="Traditional Arabic"/>
          <w:sz w:val="18"/>
          <w:szCs w:val="26"/>
          <w:rtl/>
          <w:lang/>
        </w:rPr>
        <w:t xml:space="preserve">الذي </w:t>
      </w:r>
      <w:r w:rsidRPr="00CE5BE5">
        <w:rPr>
          <w:rStyle w:val="hps"/>
          <w:rFonts w:cs="Traditional Arabic" w:hint="cs"/>
          <w:sz w:val="18"/>
          <w:szCs w:val="26"/>
          <w:rtl/>
          <w:lang/>
        </w:rPr>
        <w:t xml:space="preserve">أُعيد </w:t>
      </w:r>
      <w:r w:rsidRPr="00CE5BE5">
        <w:rPr>
          <w:rStyle w:val="hps"/>
          <w:rFonts w:cs="Traditional Arabic"/>
          <w:sz w:val="18"/>
          <w:szCs w:val="26"/>
          <w:rtl/>
          <w:lang/>
        </w:rPr>
        <w:t>من</w:t>
      </w:r>
      <w:r w:rsidRPr="00CE5BE5">
        <w:rPr>
          <w:rFonts w:cs="Traditional Arabic"/>
          <w:sz w:val="18"/>
          <w:szCs w:val="26"/>
          <w:rtl/>
          <w:lang/>
        </w:rPr>
        <w:t xml:space="preserve"> </w:t>
      </w:r>
      <w:r w:rsidRPr="00CE5BE5">
        <w:rPr>
          <w:rStyle w:val="hps"/>
          <w:rFonts w:cs="Traditional Arabic"/>
          <w:sz w:val="18"/>
          <w:szCs w:val="26"/>
          <w:rtl/>
          <w:lang/>
        </w:rPr>
        <w:t>إيطاليا</w:t>
      </w:r>
      <w:r w:rsidRPr="00CE5BE5">
        <w:rPr>
          <w:rFonts w:cs="Traditional Arabic"/>
          <w:sz w:val="18"/>
          <w:szCs w:val="26"/>
          <w:rtl/>
          <w:lang/>
        </w:rPr>
        <w:t xml:space="preserve"> </w:t>
      </w:r>
      <w:r w:rsidRPr="00CE5BE5">
        <w:rPr>
          <w:rStyle w:val="hps"/>
          <w:rFonts w:cs="Traditional Arabic"/>
          <w:sz w:val="18"/>
          <w:szCs w:val="26"/>
          <w:rtl/>
          <w:lang/>
        </w:rPr>
        <w:t xml:space="preserve">في </w:t>
      </w:r>
      <w:r w:rsidRPr="00CE5BE5">
        <w:rPr>
          <w:rStyle w:val="hps"/>
          <w:rFonts w:cs="Traditional Arabic" w:hint="cs"/>
          <w:sz w:val="18"/>
          <w:szCs w:val="26"/>
          <w:rtl/>
          <w:lang/>
        </w:rPr>
        <w:t>حزيران/يونيه</w:t>
      </w:r>
      <w:r w:rsidRPr="00CE5BE5">
        <w:rPr>
          <w:rStyle w:val="hps"/>
          <w:rFonts w:cs="Traditional Arabic"/>
          <w:sz w:val="18"/>
          <w:szCs w:val="26"/>
          <w:rtl/>
          <w:lang/>
        </w:rPr>
        <w:t xml:space="preserve"> 2008</w:t>
      </w:r>
      <w:r w:rsidRPr="00CE5BE5">
        <w:rPr>
          <w:rFonts w:cs="Traditional Arabic"/>
          <w:sz w:val="18"/>
          <w:szCs w:val="26"/>
          <w:rtl/>
          <w:lang/>
        </w:rPr>
        <w:t xml:space="preserve"> </w:t>
      </w:r>
      <w:r w:rsidRPr="00CE5BE5">
        <w:rPr>
          <w:rStyle w:val="hps"/>
          <w:rFonts w:cs="Traditional Arabic"/>
          <w:sz w:val="18"/>
          <w:szCs w:val="26"/>
          <w:rtl/>
          <w:lang/>
        </w:rPr>
        <w:t>وتعرض للتعذيب</w:t>
      </w:r>
      <w:r w:rsidRPr="00CE5BE5">
        <w:rPr>
          <w:rFonts w:cs="Traditional Arabic"/>
          <w:sz w:val="18"/>
          <w:szCs w:val="26"/>
          <w:rtl/>
          <w:lang/>
        </w:rPr>
        <w:t xml:space="preserve"> </w:t>
      </w:r>
      <w:r w:rsidRPr="00CE5BE5">
        <w:rPr>
          <w:rStyle w:val="hps"/>
          <w:rFonts w:cs="Traditional Arabic"/>
          <w:sz w:val="18"/>
          <w:szCs w:val="26"/>
          <w:rtl/>
          <w:lang/>
        </w:rPr>
        <w:t>على أيدي م</w:t>
      </w:r>
      <w:r w:rsidRPr="00CE5BE5">
        <w:rPr>
          <w:rStyle w:val="hps"/>
          <w:rFonts w:cs="Traditional Arabic" w:hint="cs"/>
          <w:sz w:val="18"/>
          <w:szCs w:val="26"/>
          <w:rtl/>
          <w:lang/>
        </w:rPr>
        <w:t>وظفي</w:t>
      </w:r>
      <w:r w:rsidRPr="00CE5BE5">
        <w:rPr>
          <w:rStyle w:val="hps"/>
          <w:rFonts w:cs="Traditional Arabic"/>
          <w:sz w:val="18"/>
          <w:szCs w:val="26"/>
          <w:rtl/>
          <w:lang/>
        </w:rPr>
        <w:t xml:space="preserve"> أمن</w:t>
      </w:r>
      <w:r w:rsidRPr="00CE5BE5">
        <w:rPr>
          <w:rFonts w:cs="Traditional Arabic"/>
          <w:sz w:val="18"/>
          <w:szCs w:val="26"/>
          <w:rtl/>
          <w:lang/>
        </w:rPr>
        <w:t xml:space="preserve"> </w:t>
      </w:r>
      <w:r w:rsidRPr="00CE5BE5">
        <w:rPr>
          <w:rStyle w:val="hps"/>
          <w:rFonts w:cs="Traditional Arabic"/>
          <w:sz w:val="18"/>
          <w:szCs w:val="26"/>
          <w:rtl/>
          <w:lang/>
        </w:rPr>
        <w:t>الدولة</w:t>
      </w:r>
      <w:r w:rsidRPr="00CE5BE5">
        <w:rPr>
          <w:rFonts w:cs="Traditional Arabic"/>
          <w:sz w:val="18"/>
          <w:szCs w:val="26"/>
          <w:rtl/>
          <w:lang/>
        </w:rPr>
        <w:t xml:space="preserve"> </w:t>
      </w:r>
      <w:r w:rsidRPr="00CE5BE5">
        <w:rPr>
          <w:rStyle w:val="hps"/>
          <w:rFonts w:cs="Traditional Arabic"/>
          <w:sz w:val="18"/>
          <w:szCs w:val="26"/>
          <w:rtl/>
          <w:lang/>
        </w:rPr>
        <w:t>في وزارة</w:t>
      </w:r>
      <w:r w:rsidRPr="00CE5BE5">
        <w:rPr>
          <w:rFonts w:cs="Traditional Arabic"/>
          <w:sz w:val="18"/>
          <w:szCs w:val="26"/>
          <w:rtl/>
          <w:lang/>
        </w:rPr>
        <w:t xml:space="preserve"> </w:t>
      </w:r>
      <w:r w:rsidRPr="00CE5BE5">
        <w:rPr>
          <w:rStyle w:val="hps"/>
          <w:rFonts w:cs="Traditional Arabic"/>
          <w:sz w:val="18"/>
          <w:szCs w:val="26"/>
          <w:rtl/>
          <w:lang/>
        </w:rPr>
        <w:t>الداخلية</w:t>
      </w:r>
      <w:r w:rsidRPr="00CE5BE5">
        <w:rPr>
          <w:rFonts w:cs="Traditional Arabic"/>
          <w:sz w:val="18"/>
          <w:szCs w:val="26"/>
          <w:rtl/>
          <w:lang/>
        </w:rPr>
        <w:t xml:space="preserve"> </w:t>
      </w:r>
      <w:r w:rsidRPr="00CE5BE5">
        <w:rPr>
          <w:rStyle w:val="hps"/>
          <w:rFonts w:cs="Traditional Arabic"/>
          <w:sz w:val="18"/>
          <w:szCs w:val="26"/>
          <w:rtl/>
          <w:lang/>
        </w:rPr>
        <w:t>بعد</w:t>
      </w:r>
      <w:r w:rsidRPr="00CE5BE5">
        <w:rPr>
          <w:rFonts w:cs="Traditional Arabic"/>
          <w:sz w:val="18"/>
          <w:szCs w:val="26"/>
          <w:rtl/>
          <w:lang/>
        </w:rPr>
        <w:t xml:space="preserve"> </w:t>
      </w:r>
      <w:r w:rsidRPr="00CE5BE5">
        <w:rPr>
          <w:rFonts w:cs="Traditional Arabic" w:hint="cs"/>
          <w:sz w:val="18"/>
          <w:szCs w:val="26"/>
          <w:rtl/>
          <w:lang/>
        </w:rPr>
        <w:t>وصوله إلى تونس ب</w:t>
      </w:r>
      <w:r w:rsidRPr="00CE5BE5">
        <w:rPr>
          <w:rStyle w:val="hps"/>
          <w:rFonts w:cs="Traditional Arabic"/>
          <w:sz w:val="18"/>
          <w:szCs w:val="26"/>
          <w:rtl/>
          <w:lang/>
        </w:rPr>
        <w:t>بضعة أشهر</w:t>
      </w:r>
      <w:r w:rsidRPr="00CE5BE5">
        <w:rPr>
          <w:rFonts w:cs="Traditional Arabic"/>
          <w:sz w:val="18"/>
          <w:szCs w:val="26"/>
          <w:rtl/>
          <w:lang/>
        </w:rPr>
        <w:t xml:space="preserve">. </w:t>
      </w:r>
      <w:r w:rsidRPr="00CE5BE5">
        <w:rPr>
          <w:rStyle w:val="hps"/>
          <w:rFonts w:cs="Traditional Arabic"/>
          <w:sz w:val="18"/>
          <w:szCs w:val="26"/>
          <w:rtl/>
          <w:lang/>
        </w:rPr>
        <w:t>و</w:t>
      </w:r>
      <w:r w:rsidRPr="00CE5BE5">
        <w:rPr>
          <w:rStyle w:val="hps"/>
          <w:rFonts w:cs="Traditional Arabic" w:hint="cs"/>
          <w:sz w:val="18"/>
          <w:szCs w:val="26"/>
          <w:rtl/>
          <w:lang/>
        </w:rPr>
        <w:t xml:space="preserve">كانت </w:t>
      </w:r>
      <w:r w:rsidRPr="00CE5BE5">
        <w:rPr>
          <w:rStyle w:val="hps"/>
          <w:rFonts w:cs="Traditional Arabic"/>
          <w:sz w:val="18"/>
          <w:szCs w:val="26"/>
          <w:rtl/>
          <w:lang/>
        </w:rPr>
        <w:t>السلطات</w:t>
      </w:r>
      <w:r w:rsidRPr="00CE5BE5">
        <w:rPr>
          <w:rFonts w:cs="Traditional Arabic"/>
          <w:sz w:val="18"/>
          <w:szCs w:val="26"/>
          <w:rtl/>
          <w:lang/>
        </w:rPr>
        <w:t xml:space="preserve"> </w:t>
      </w:r>
      <w:r w:rsidRPr="00CE5BE5">
        <w:rPr>
          <w:rStyle w:val="hps"/>
          <w:rFonts w:cs="Traditional Arabic"/>
          <w:sz w:val="18"/>
          <w:szCs w:val="26"/>
          <w:rtl/>
          <w:lang/>
        </w:rPr>
        <w:t>الإيطالية</w:t>
      </w:r>
      <w:r w:rsidRPr="00CE5BE5">
        <w:rPr>
          <w:rStyle w:val="hps"/>
          <w:rFonts w:cs="Traditional Arabic" w:hint="cs"/>
          <w:sz w:val="18"/>
          <w:szCs w:val="26"/>
          <w:rtl/>
          <w:lang/>
        </w:rPr>
        <w:t xml:space="preserve"> قد بررت هذا التسليم بتلقيها ضمانات من</w:t>
      </w:r>
      <w:r w:rsidRPr="00CE5BE5">
        <w:rPr>
          <w:rFonts w:cs="Traditional Arabic"/>
          <w:sz w:val="18"/>
          <w:szCs w:val="26"/>
          <w:rtl/>
          <w:lang/>
        </w:rPr>
        <w:t xml:space="preserve"> </w:t>
      </w:r>
      <w:r w:rsidRPr="00CE5BE5">
        <w:rPr>
          <w:rStyle w:val="hps"/>
          <w:rFonts w:cs="Traditional Arabic"/>
          <w:sz w:val="18"/>
          <w:szCs w:val="26"/>
          <w:rtl/>
          <w:lang/>
        </w:rPr>
        <w:t>الحكومة التونسية</w:t>
      </w:r>
      <w:r w:rsidRPr="00CE5BE5">
        <w:rPr>
          <w:rFonts w:cs="Traditional Arabic"/>
          <w:sz w:val="18"/>
          <w:szCs w:val="26"/>
          <w:rtl/>
          <w:lang/>
        </w:rPr>
        <w:t xml:space="preserve"> </w:t>
      </w:r>
      <w:r w:rsidRPr="00CE5BE5">
        <w:rPr>
          <w:rStyle w:val="hps"/>
          <w:rFonts w:cs="Traditional Arabic"/>
          <w:sz w:val="18"/>
          <w:szCs w:val="26"/>
          <w:rtl/>
          <w:lang/>
        </w:rPr>
        <w:t>(</w:t>
      </w:r>
      <w:r w:rsidRPr="00CE5BE5">
        <w:rPr>
          <w:rFonts w:cs="Traditional Arabic"/>
          <w:sz w:val="18"/>
          <w:szCs w:val="26"/>
          <w:rtl/>
          <w:lang/>
        </w:rPr>
        <w:t xml:space="preserve">المحكمة الأوروبية لحقوق </w:t>
      </w:r>
      <w:r w:rsidRPr="00CE5BE5">
        <w:rPr>
          <w:rStyle w:val="hps"/>
          <w:rFonts w:cs="Traditional Arabic"/>
          <w:sz w:val="18"/>
          <w:szCs w:val="26"/>
          <w:rtl/>
          <w:lang/>
        </w:rPr>
        <w:t>الإنسان</w:t>
      </w:r>
      <w:r w:rsidRPr="00CE5BE5">
        <w:rPr>
          <w:rFonts w:cs="Traditional Arabic"/>
          <w:sz w:val="18"/>
          <w:szCs w:val="26"/>
          <w:rtl/>
          <w:lang/>
        </w:rPr>
        <w:t xml:space="preserve">، </w:t>
      </w:r>
      <w:r w:rsidRPr="00CE5BE5">
        <w:rPr>
          <w:rStyle w:val="hps"/>
          <w:rFonts w:cs="Traditional Arabic"/>
          <w:i/>
          <w:iCs/>
          <w:sz w:val="18"/>
          <w:szCs w:val="26"/>
          <w:rtl/>
          <w:lang/>
        </w:rPr>
        <w:t>بن خميس</w:t>
      </w:r>
      <w:r w:rsidRPr="00CE5BE5">
        <w:rPr>
          <w:rFonts w:cs="Traditional Arabic"/>
          <w:i/>
          <w:iCs/>
          <w:sz w:val="18"/>
          <w:szCs w:val="26"/>
          <w:rtl/>
          <w:lang/>
        </w:rPr>
        <w:t xml:space="preserve"> </w:t>
      </w:r>
      <w:r w:rsidRPr="00CE5BE5">
        <w:rPr>
          <w:rStyle w:val="hps"/>
          <w:rFonts w:cs="Traditional Arabic"/>
          <w:i/>
          <w:iCs/>
          <w:sz w:val="18"/>
          <w:szCs w:val="26"/>
          <w:rtl/>
          <w:lang/>
        </w:rPr>
        <w:t>ضد إيطاليا</w:t>
      </w:r>
      <w:r w:rsidRPr="00CE5BE5">
        <w:rPr>
          <w:rFonts w:cs="Traditional Arabic"/>
          <w:sz w:val="18"/>
          <w:szCs w:val="26"/>
          <w:rtl/>
          <w:lang/>
        </w:rPr>
        <w:t xml:space="preserve">، </w:t>
      </w:r>
      <w:r w:rsidRPr="00CE5BE5">
        <w:rPr>
          <w:rStyle w:val="hps"/>
          <w:rFonts w:cs="Traditional Arabic"/>
          <w:sz w:val="18"/>
          <w:szCs w:val="26"/>
          <w:rtl/>
          <w:lang/>
        </w:rPr>
        <w:t>القضية رقم</w:t>
      </w:r>
      <w:r w:rsidRPr="00CE5BE5">
        <w:rPr>
          <w:rFonts w:cs="Traditional Arabic"/>
          <w:sz w:val="18"/>
          <w:szCs w:val="26"/>
          <w:rtl/>
          <w:lang/>
        </w:rPr>
        <w:t xml:space="preserve"> </w:t>
      </w:r>
      <w:r w:rsidRPr="00CE5BE5">
        <w:rPr>
          <w:rStyle w:val="hps"/>
          <w:rFonts w:cs="Traditional Arabic"/>
          <w:sz w:val="18"/>
          <w:szCs w:val="26"/>
          <w:rtl/>
          <w:lang/>
        </w:rPr>
        <w:t>247</w:t>
      </w:r>
      <w:r w:rsidRPr="00CE5BE5">
        <w:rPr>
          <w:rStyle w:val="atn"/>
          <w:rFonts w:cs="Traditional Arabic"/>
          <w:sz w:val="18"/>
          <w:szCs w:val="26"/>
          <w:rtl/>
          <w:lang/>
        </w:rPr>
        <w:t>/</w:t>
      </w:r>
      <w:r w:rsidRPr="00CE5BE5">
        <w:rPr>
          <w:rFonts w:cs="Traditional Arabic"/>
          <w:sz w:val="18"/>
          <w:szCs w:val="26"/>
          <w:rtl/>
          <w:lang/>
        </w:rPr>
        <w:t xml:space="preserve">07، 24 </w:t>
      </w:r>
      <w:r w:rsidRPr="00CE5BE5">
        <w:rPr>
          <w:rFonts w:cs="Traditional Arabic" w:hint="cs"/>
          <w:sz w:val="18"/>
          <w:szCs w:val="26"/>
          <w:rtl/>
          <w:lang/>
        </w:rPr>
        <w:t>شباط/</w:t>
      </w:r>
      <w:r w:rsidRPr="00CE5BE5">
        <w:rPr>
          <w:rFonts w:cs="Traditional Arabic"/>
          <w:sz w:val="18"/>
          <w:szCs w:val="26"/>
          <w:rtl/>
          <w:lang/>
        </w:rPr>
        <w:t xml:space="preserve">فبراير </w:t>
      </w:r>
      <w:r w:rsidRPr="00CE5BE5">
        <w:rPr>
          <w:rStyle w:val="hps"/>
          <w:rFonts w:cs="Traditional Arabic"/>
          <w:sz w:val="18"/>
          <w:szCs w:val="26"/>
          <w:rtl/>
          <w:lang/>
        </w:rPr>
        <w:t>2009)</w:t>
      </w:r>
      <w:r w:rsidRPr="00CE5BE5">
        <w:rPr>
          <w:rFonts w:cs="Traditional Arabic"/>
          <w:sz w:val="18"/>
          <w:szCs w:val="26"/>
          <w:rtl/>
          <w:lang/>
        </w:rPr>
        <w:t>.</w:t>
      </w:r>
    </w:p>
  </w:footnote>
  <w:footnote w:id="133">
    <w:p w:rsidR="00F815BA" w:rsidRPr="00CE5BE5" w:rsidRDefault="00F815BA" w:rsidP="00FA645B">
      <w:pPr>
        <w:pStyle w:val="FootnoteText"/>
        <w:numPr>
          <w:ilvl w:val="0"/>
          <w:numId w:val="0"/>
        </w:numPr>
        <w:tabs>
          <w:tab w:val="left" w:pos="1240"/>
        </w:tabs>
        <w:bidi/>
        <w:spacing w:after="60" w:line="300" w:lineRule="exact"/>
        <w:ind w:left="1240" w:right="1247" w:hanging="420"/>
        <w:jc w:val="lowKashida"/>
        <w:rPr>
          <w:rFonts w:cs="Traditional Arabic"/>
          <w:sz w:val="18"/>
          <w:szCs w:val="26"/>
        </w:rPr>
      </w:pPr>
      <w:r w:rsidRPr="0077398F">
        <w:rPr>
          <w:rFonts w:cs="Traditional Arabic" w:hint="cs"/>
          <w:sz w:val="26"/>
          <w:szCs w:val="26"/>
          <w:rtl/>
        </w:rPr>
        <w:t>(</w:t>
      </w:r>
      <w:r>
        <w:rPr>
          <w:rFonts w:cs="Traditional Arabic" w:hint="cs"/>
          <w:sz w:val="26"/>
          <w:szCs w:val="26"/>
          <w:rtl/>
        </w:rPr>
        <w:t>ي</w:t>
      </w:r>
      <w:r w:rsidRPr="0077398F">
        <w:rPr>
          <w:rFonts w:cs="Traditional Arabic" w:hint="cs"/>
          <w:sz w:val="26"/>
          <w:szCs w:val="26"/>
          <w:rtl/>
        </w:rPr>
        <w:t>)</w:t>
      </w:r>
      <w:r w:rsidRPr="0077398F">
        <w:rPr>
          <w:rFonts w:cs="Traditional Arabic" w:hint="cs"/>
          <w:sz w:val="26"/>
          <w:szCs w:val="26"/>
          <w:rtl/>
        </w:rPr>
        <w:tab/>
      </w:r>
      <w:r w:rsidRPr="00CE5BE5">
        <w:rPr>
          <w:rFonts w:cs="Traditional Arabic"/>
          <w:i/>
          <w:iCs/>
          <w:sz w:val="18"/>
          <w:szCs w:val="26"/>
          <w:rtl/>
        </w:rPr>
        <w:t>القضية 17946</w:t>
      </w:r>
      <w:r w:rsidRPr="00CE5BE5">
        <w:rPr>
          <w:rFonts w:cs="Traditional Arabic"/>
          <w:sz w:val="18"/>
          <w:szCs w:val="26"/>
          <w:rtl/>
        </w:rPr>
        <w:t>: "</w:t>
      </w:r>
      <w:r w:rsidRPr="00CE5BE5">
        <w:rPr>
          <w:rStyle w:val="hps"/>
          <w:rFonts w:cs="Traditional Arabic" w:hint="cs"/>
          <w:sz w:val="18"/>
          <w:szCs w:val="26"/>
          <w:rtl/>
          <w:lang/>
        </w:rPr>
        <w:t xml:space="preserve">لما كان استناد </w:t>
      </w:r>
      <w:r w:rsidRPr="00CE5BE5">
        <w:rPr>
          <w:rStyle w:val="hps"/>
          <w:rFonts w:cs="Traditional Arabic"/>
          <w:sz w:val="18"/>
          <w:szCs w:val="26"/>
          <w:rtl/>
          <w:lang/>
        </w:rPr>
        <w:t>الدفاع</w:t>
      </w:r>
      <w:r w:rsidRPr="00CE5BE5">
        <w:rPr>
          <w:rFonts w:cs="Traditional Arabic"/>
          <w:sz w:val="18"/>
          <w:szCs w:val="26"/>
          <w:rtl/>
          <w:lang/>
        </w:rPr>
        <w:t xml:space="preserve"> </w:t>
      </w:r>
      <w:r w:rsidRPr="00CE5BE5">
        <w:rPr>
          <w:rStyle w:val="hps"/>
          <w:rFonts w:cs="Traditional Arabic" w:hint="cs"/>
          <w:sz w:val="18"/>
          <w:szCs w:val="26"/>
          <w:rtl/>
          <w:lang/>
        </w:rPr>
        <w:t xml:space="preserve">إلى </w:t>
      </w:r>
      <w:r w:rsidRPr="00CE5BE5">
        <w:rPr>
          <w:rFonts w:cs="Traditional Arabic" w:hint="cs"/>
          <w:sz w:val="18"/>
          <w:szCs w:val="26"/>
          <w:rtl/>
          <w:lang/>
        </w:rPr>
        <w:t xml:space="preserve">أن </w:t>
      </w:r>
      <w:r w:rsidRPr="00CE5BE5">
        <w:rPr>
          <w:rStyle w:val="hps"/>
          <w:rFonts w:cs="Traditional Arabic"/>
          <w:sz w:val="18"/>
          <w:szCs w:val="26"/>
          <w:rtl/>
          <w:lang/>
        </w:rPr>
        <w:t>الاعتراف</w:t>
      </w:r>
      <w:r w:rsidRPr="00CE5BE5">
        <w:rPr>
          <w:rFonts w:cs="Traditional Arabic"/>
          <w:sz w:val="18"/>
          <w:szCs w:val="26"/>
          <w:rtl/>
          <w:lang/>
        </w:rPr>
        <w:t xml:space="preserve"> </w:t>
      </w:r>
      <w:r w:rsidRPr="00CE5BE5">
        <w:rPr>
          <w:rStyle w:val="hps"/>
          <w:rFonts w:cs="Traditional Arabic" w:hint="cs"/>
          <w:sz w:val="18"/>
          <w:szCs w:val="26"/>
          <w:rtl/>
          <w:lang/>
        </w:rPr>
        <w:t xml:space="preserve">المستخدم ضد </w:t>
      </w:r>
      <w:r w:rsidRPr="00CE5BE5">
        <w:rPr>
          <w:rStyle w:val="hps"/>
          <w:rFonts w:cs="Traditional Arabic"/>
          <w:sz w:val="18"/>
          <w:szCs w:val="26"/>
          <w:rtl/>
          <w:lang/>
        </w:rPr>
        <w:t>المتهم</w:t>
      </w:r>
      <w:r w:rsidRPr="00CE5BE5">
        <w:rPr>
          <w:rFonts w:cs="Traditional Arabic"/>
          <w:sz w:val="18"/>
          <w:szCs w:val="26"/>
          <w:rtl/>
          <w:lang/>
        </w:rPr>
        <w:t xml:space="preserve"> </w:t>
      </w:r>
      <w:r w:rsidRPr="00CE5BE5">
        <w:rPr>
          <w:rStyle w:val="hps"/>
          <w:rFonts w:cs="Traditional Arabic"/>
          <w:sz w:val="18"/>
          <w:szCs w:val="26"/>
          <w:rtl/>
          <w:lang/>
        </w:rPr>
        <w:t>[</w:t>
      </w:r>
      <w:r w:rsidRPr="00CE5BE5">
        <w:rPr>
          <w:rFonts w:cs="Traditional Arabic"/>
          <w:sz w:val="18"/>
          <w:szCs w:val="26"/>
          <w:rtl/>
          <w:lang/>
        </w:rPr>
        <w:t xml:space="preserve">محمد </w:t>
      </w:r>
      <w:r w:rsidRPr="00CE5BE5">
        <w:rPr>
          <w:rStyle w:val="hps"/>
          <w:rFonts w:cs="Traditional Arabic"/>
          <w:sz w:val="18"/>
          <w:szCs w:val="26"/>
          <w:rtl/>
          <w:lang/>
        </w:rPr>
        <w:t>زايد</w:t>
      </w:r>
      <w:r w:rsidRPr="00CE5BE5">
        <w:rPr>
          <w:rFonts w:cs="Traditional Arabic"/>
          <w:sz w:val="18"/>
          <w:szCs w:val="26"/>
          <w:rtl/>
          <w:lang/>
        </w:rPr>
        <w:t xml:space="preserve">] </w:t>
      </w:r>
      <w:r w:rsidRPr="00CE5BE5">
        <w:rPr>
          <w:rStyle w:val="hps"/>
          <w:rFonts w:cs="Traditional Arabic"/>
          <w:sz w:val="18"/>
          <w:szCs w:val="26"/>
          <w:rtl/>
          <w:lang/>
        </w:rPr>
        <w:t>أثناء</w:t>
      </w:r>
      <w:r w:rsidRPr="00CE5BE5">
        <w:rPr>
          <w:rFonts w:cs="Traditional Arabic"/>
          <w:sz w:val="18"/>
          <w:szCs w:val="26"/>
          <w:rtl/>
          <w:lang/>
        </w:rPr>
        <w:t xml:space="preserve"> </w:t>
      </w:r>
      <w:r w:rsidRPr="00CE5BE5">
        <w:rPr>
          <w:rStyle w:val="hps"/>
          <w:rFonts w:cs="Traditional Arabic"/>
          <w:sz w:val="18"/>
          <w:szCs w:val="26"/>
          <w:rtl/>
          <w:lang/>
        </w:rPr>
        <w:t>التحقيق</w:t>
      </w:r>
      <w:r w:rsidRPr="00CE5BE5">
        <w:rPr>
          <w:rStyle w:val="hps"/>
          <w:rFonts w:cs="Traditional Arabic" w:hint="cs"/>
          <w:sz w:val="18"/>
          <w:szCs w:val="26"/>
          <w:rtl/>
          <w:lang/>
        </w:rPr>
        <w:t> </w:t>
      </w:r>
      <w:r w:rsidRPr="00CE5BE5">
        <w:rPr>
          <w:rStyle w:val="hps"/>
          <w:rFonts w:cs="Traditional Arabic"/>
          <w:sz w:val="18"/>
          <w:szCs w:val="26"/>
          <w:rtl/>
          <w:lang/>
        </w:rPr>
        <w:t>الأولي</w:t>
      </w:r>
      <w:r w:rsidRPr="00CE5BE5">
        <w:rPr>
          <w:rFonts w:cs="Traditional Arabic"/>
          <w:sz w:val="18"/>
          <w:szCs w:val="26"/>
          <w:rtl/>
          <w:lang/>
        </w:rPr>
        <w:t xml:space="preserve"> </w:t>
      </w:r>
      <w:r w:rsidRPr="00CE5BE5">
        <w:rPr>
          <w:rStyle w:val="hps"/>
          <w:rFonts w:cs="Traditional Arabic" w:hint="cs"/>
          <w:sz w:val="18"/>
          <w:szCs w:val="26"/>
          <w:rtl/>
          <w:lang/>
        </w:rPr>
        <w:t>يندرج في إطار</w:t>
      </w:r>
      <w:r w:rsidRPr="00CE5BE5">
        <w:rPr>
          <w:rStyle w:val="hps"/>
          <w:rFonts w:cs="Traditional Arabic"/>
          <w:sz w:val="18"/>
          <w:szCs w:val="26"/>
          <w:rtl/>
          <w:lang/>
        </w:rPr>
        <w:t xml:space="preserve"> الإكراه</w:t>
      </w:r>
      <w:r w:rsidRPr="00CE5BE5">
        <w:rPr>
          <w:rFonts w:cs="Traditional Arabic"/>
          <w:sz w:val="18"/>
          <w:szCs w:val="26"/>
          <w:rtl/>
          <w:lang/>
        </w:rPr>
        <w:t xml:space="preserve"> </w:t>
      </w:r>
      <w:r w:rsidRPr="00CE5BE5">
        <w:rPr>
          <w:rStyle w:val="hps"/>
          <w:rFonts w:cs="Traditional Arabic" w:hint="cs"/>
          <w:sz w:val="18"/>
          <w:szCs w:val="26"/>
          <w:rtl/>
          <w:lang/>
        </w:rPr>
        <w:t>غير مدعوم بأي سند</w:t>
      </w:r>
      <w:r w:rsidRPr="00CE5BE5">
        <w:rPr>
          <w:rFonts w:cs="Traditional Arabic"/>
          <w:sz w:val="18"/>
          <w:szCs w:val="26"/>
          <w:rtl/>
          <w:lang/>
        </w:rPr>
        <w:t>،</w:t>
      </w:r>
      <w:r w:rsidRPr="00CE5BE5">
        <w:rPr>
          <w:rFonts w:cs="Traditional Arabic" w:hint="cs"/>
          <w:sz w:val="18"/>
          <w:szCs w:val="26"/>
          <w:rtl/>
          <w:lang/>
        </w:rPr>
        <w:t xml:space="preserve"> ولما كان هذا </w:t>
      </w:r>
      <w:r w:rsidRPr="00CE5BE5">
        <w:rPr>
          <w:rStyle w:val="hps"/>
          <w:rFonts w:cs="Traditional Arabic"/>
          <w:sz w:val="18"/>
          <w:szCs w:val="26"/>
          <w:rtl/>
          <w:lang/>
        </w:rPr>
        <w:t>الاعتراف</w:t>
      </w:r>
      <w:r w:rsidRPr="00CE5BE5">
        <w:rPr>
          <w:rFonts w:cs="Traditional Arabic"/>
          <w:sz w:val="18"/>
          <w:szCs w:val="26"/>
          <w:rtl/>
          <w:lang/>
        </w:rPr>
        <w:t xml:space="preserve"> </w:t>
      </w:r>
      <w:r w:rsidRPr="00CE5BE5">
        <w:rPr>
          <w:rStyle w:val="hps"/>
          <w:rFonts w:cs="Traditional Arabic" w:hint="cs"/>
          <w:sz w:val="18"/>
          <w:szCs w:val="26"/>
          <w:rtl/>
          <w:lang/>
        </w:rPr>
        <w:t>تؤكده</w:t>
      </w:r>
      <w:r w:rsidRPr="00CE5BE5">
        <w:rPr>
          <w:rFonts w:cs="Traditional Arabic"/>
          <w:sz w:val="18"/>
          <w:szCs w:val="26"/>
          <w:rtl/>
          <w:lang/>
        </w:rPr>
        <w:t xml:space="preserve"> </w:t>
      </w:r>
      <w:r w:rsidRPr="00CE5BE5">
        <w:rPr>
          <w:rStyle w:val="hps"/>
          <w:rFonts w:cs="Traditional Arabic"/>
          <w:sz w:val="18"/>
          <w:szCs w:val="26"/>
          <w:rtl/>
          <w:lang/>
        </w:rPr>
        <w:t>الأدلة ال</w:t>
      </w:r>
      <w:r w:rsidRPr="00CE5BE5">
        <w:rPr>
          <w:rStyle w:val="hps"/>
          <w:rFonts w:cs="Traditional Arabic" w:hint="cs"/>
          <w:sz w:val="18"/>
          <w:szCs w:val="26"/>
          <w:rtl/>
          <w:lang/>
        </w:rPr>
        <w:t>خارجية</w:t>
      </w:r>
      <w:r w:rsidRPr="00CE5BE5">
        <w:rPr>
          <w:rFonts w:cs="Traditional Arabic"/>
          <w:sz w:val="18"/>
          <w:szCs w:val="26"/>
          <w:rtl/>
          <w:lang/>
        </w:rPr>
        <w:t xml:space="preserve"> </w:t>
      </w:r>
      <w:r w:rsidRPr="00CE5BE5">
        <w:rPr>
          <w:rStyle w:val="hps"/>
          <w:rFonts w:cs="Traditional Arabic"/>
          <w:sz w:val="18"/>
          <w:szCs w:val="26"/>
          <w:rtl/>
          <w:lang/>
        </w:rPr>
        <w:t>التي تتكون</w:t>
      </w:r>
      <w:r w:rsidRPr="00CE5BE5">
        <w:rPr>
          <w:rFonts w:cs="Traditional Arabic"/>
          <w:sz w:val="18"/>
          <w:szCs w:val="26"/>
          <w:rtl/>
          <w:lang/>
        </w:rPr>
        <w:t xml:space="preserve"> </w:t>
      </w:r>
      <w:r w:rsidRPr="00CE5BE5">
        <w:rPr>
          <w:rStyle w:val="hps"/>
          <w:rFonts w:cs="Traditional Arabic"/>
          <w:sz w:val="18"/>
          <w:szCs w:val="26"/>
          <w:rtl/>
          <w:lang/>
        </w:rPr>
        <w:t>أساسا</w:t>
      </w:r>
      <w:r w:rsidRPr="00CE5BE5">
        <w:rPr>
          <w:rStyle w:val="hps"/>
          <w:rFonts w:cs="Traditional Arabic" w:hint="cs"/>
          <w:sz w:val="18"/>
          <w:szCs w:val="26"/>
          <w:rtl/>
          <w:lang/>
        </w:rPr>
        <w:t>ً</w:t>
      </w:r>
      <w:r w:rsidRPr="00CE5BE5">
        <w:rPr>
          <w:rFonts w:cs="Traditional Arabic"/>
          <w:sz w:val="18"/>
          <w:szCs w:val="26"/>
          <w:rtl/>
          <w:lang/>
        </w:rPr>
        <w:t xml:space="preserve"> </w:t>
      </w:r>
      <w:r w:rsidRPr="00CE5BE5">
        <w:rPr>
          <w:rStyle w:val="hps"/>
          <w:rFonts w:cs="Traditional Arabic"/>
          <w:sz w:val="18"/>
          <w:szCs w:val="26"/>
          <w:rtl/>
          <w:lang/>
        </w:rPr>
        <w:t>من</w:t>
      </w:r>
      <w:r w:rsidRPr="00CE5BE5">
        <w:rPr>
          <w:rFonts w:cs="Traditional Arabic"/>
          <w:sz w:val="18"/>
          <w:szCs w:val="26"/>
          <w:rtl/>
          <w:lang/>
        </w:rPr>
        <w:t xml:space="preserve"> </w:t>
      </w:r>
      <w:r w:rsidRPr="00CE5BE5">
        <w:rPr>
          <w:rStyle w:val="hps"/>
          <w:rFonts w:cs="Traditional Arabic" w:hint="cs"/>
          <w:sz w:val="18"/>
          <w:szCs w:val="26"/>
          <w:rtl/>
          <w:lang/>
        </w:rPr>
        <w:t xml:space="preserve">المواد المصادرة في بيوت المتهمين وتوقيفهم بعد </w:t>
      </w:r>
      <w:r w:rsidRPr="00CE5BE5">
        <w:rPr>
          <w:rStyle w:val="hps"/>
          <w:rFonts w:cs="Traditional Arabic"/>
          <w:sz w:val="18"/>
          <w:szCs w:val="26"/>
          <w:rtl/>
          <w:lang/>
        </w:rPr>
        <w:t>أحداث هذه القضية</w:t>
      </w:r>
      <w:r w:rsidRPr="00CE5BE5">
        <w:rPr>
          <w:rFonts w:cs="Traditional Arabic" w:hint="cs"/>
          <w:sz w:val="18"/>
          <w:szCs w:val="26"/>
          <w:rtl/>
          <w:lang/>
        </w:rPr>
        <w:t>؛ ف</w:t>
      </w:r>
      <w:r w:rsidRPr="00CE5BE5">
        <w:rPr>
          <w:rStyle w:val="hps"/>
          <w:rFonts w:cs="Traditional Arabic" w:hint="cs"/>
          <w:sz w:val="18"/>
          <w:szCs w:val="26"/>
          <w:rtl/>
          <w:lang/>
        </w:rPr>
        <w:t>ل</w:t>
      </w:r>
      <w:r w:rsidRPr="00CE5BE5">
        <w:rPr>
          <w:rStyle w:val="hps"/>
          <w:rFonts w:cs="Traditional Arabic"/>
          <w:sz w:val="18"/>
          <w:szCs w:val="26"/>
          <w:rtl/>
          <w:lang/>
        </w:rPr>
        <w:t>لمحكمة</w:t>
      </w:r>
      <w:r w:rsidRPr="00CE5BE5">
        <w:rPr>
          <w:rFonts w:cs="Traditional Arabic"/>
          <w:sz w:val="18"/>
          <w:szCs w:val="26"/>
          <w:rtl/>
          <w:lang/>
        </w:rPr>
        <w:t xml:space="preserve"> </w:t>
      </w:r>
      <w:r w:rsidRPr="00CE5BE5">
        <w:rPr>
          <w:rStyle w:val="hps"/>
          <w:rFonts w:cs="Traditional Arabic"/>
          <w:sz w:val="18"/>
          <w:szCs w:val="26"/>
          <w:rtl/>
          <w:lang/>
        </w:rPr>
        <w:t>أن</w:t>
      </w:r>
      <w:r w:rsidRPr="00CE5BE5">
        <w:rPr>
          <w:rFonts w:cs="Traditional Arabic"/>
          <w:sz w:val="18"/>
          <w:szCs w:val="26"/>
          <w:rtl/>
          <w:lang/>
        </w:rPr>
        <w:t xml:space="preserve"> </w:t>
      </w:r>
      <w:r w:rsidRPr="00CE5BE5">
        <w:rPr>
          <w:rStyle w:val="hps"/>
          <w:rFonts w:cs="Traditional Arabic"/>
          <w:sz w:val="18"/>
          <w:szCs w:val="26"/>
          <w:rtl/>
          <w:lang/>
        </w:rPr>
        <w:t>ترفض</w:t>
      </w:r>
      <w:r w:rsidRPr="00CE5BE5">
        <w:rPr>
          <w:rFonts w:cs="Traditional Arabic"/>
          <w:sz w:val="18"/>
          <w:szCs w:val="26"/>
          <w:rtl/>
          <w:lang/>
        </w:rPr>
        <w:t xml:space="preserve"> </w:t>
      </w:r>
      <w:r w:rsidRPr="00CE5BE5">
        <w:rPr>
          <w:rStyle w:val="hps"/>
          <w:rFonts w:cs="Traditional Arabic" w:hint="cs"/>
          <w:sz w:val="18"/>
          <w:szCs w:val="26"/>
          <w:rtl/>
          <w:lang/>
        </w:rPr>
        <w:t>هذا الاستثناء</w:t>
      </w:r>
      <w:r w:rsidRPr="00CE5BE5">
        <w:rPr>
          <w:rFonts w:cs="Traditional Arabic"/>
          <w:sz w:val="18"/>
          <w:szCs w:val="26"/>
          <w:rtl/>
          <w:lang/>
        </w:rPr>
        <w:t xml:space="preserve"> </w:t>
      </w:r>
      <w:r w:rsidRPr="00CE5BE5">
        <w:rPr>
          <w:rStyle w:val="hps"/>
          <w:rFonts w:cs="Traditional Arabic"/>
          <w:sz w:val="18"/>
          <w:szCs w:val="26"/>
          <w:rtl/>
          <w:lang/>
        </w:rPr>
        <w:t>نظراً ل</w:t>
      </w:r>
      <w:r w:rsidRPr="00CE5BE5">
        <w:rPr>
          <w:rFonts w:cs="Traditional Arabic"/>
          <w:sz w:val="18"/>
          <w:szCs w:val="26"/>
          <w:rtl/>
          <w:lang/>
        </w:rPr>
        <w:t xml:space="preserve">ضعف </w:t>
      </w:r>
      <w:r w:rsidRPr="00CE5BE5">
        <w:rPr>
          <w:rFonts w:cs="Traditional Arabic" w:hint="cs"/>
          <w:sz w:val="18"/>
          <w:szCs w:val="26"/>
          <w:rtl/>
          <w:lang/>
        </w:rPr>
        <w:t>حجته</w:t>
      </w:r>
      <w:r w:rsidRPr="00CE5BE5">
        <w:rPr>
          <w:rFonts w:cs="Traditional Arabic"/>
          <w:sz w:val="18"/>
          <w:szCs w:val="26"/>
          <w:rtl/>
          <w:lang/>
        </w:rPr>
        <w:t xml:space="preserve"> </w:t>
      </w:r>
      <w:r w:rsidRPr="00CE5BE5">
        <w:rPr>
          <w:rStyle w:val="hps"/>
          <w:rFonts w:cs="Traditional Arabic"/>
          <w:sz w:val="18"/>
          <w:szCs w:val="26"/>
          <w:rtl/>
          <w:lang/>
        </w:rPr>
        <w:t>(</w:t>
      </w:r>
      <w:r w:rsidRPr="00CE5BE5">
        <w:rPr>
          <w:rFonts w:cs="Traditional Arabic"/>
          <w:sz w:val="18"/>
          <w:szCs w:val="26"/>
          <w:rtl/>
          <w:lang/>
        </w:rPr>
        <w:t xml:space="preserve">المحكمة </w:t>
      </w:r>
      <w:r w:rsidRPr="00CE5BE5">
        <w:rPr>
          <w:rStyle w:val="hps"/>
          <w:rFonts w:cs="Traditional Arabic"/>
          <w:sz w:val="18"/>
          <w:szCs w:val="26"/>
          <w:rtl/>
          <w:lang/>
        </w:rPr>
        <w:t>الابتدائية بتونس</w:t>
      </w:r>
      <w:r w:rsidRPr="00CE5BE5">
        <w:rPr>
          <w:rFonts w:cs="Traditional Arabic"/>
          <w:sz w:val="18"/>
          <w:szCs w:val="26"/>
          <w:rtl/>
          <w:lang/>
        </w:rPr>
        <w:t xml:space="preserve">، </w:t>
      </w:r>
      <w:r w:rsidRPr="00CE5BE5">
        <w:rPr>
          <w:rStyle w:val="hps"/>
          <w:rFonts w:cs="Traditional Arabic"/>
          <w:sz w:val="18"/>
          <w:szCs w:val="26"/>
          <w:rtl/>
          <w:lang/>
        </w:rPr>
        <w:t>في القضية رقم</w:t>
      </w:r>
      <w:r w:rsidRPr="00CE5BE5">
        <w:rPr>
          <w:rFonts w:cs="Traditional Arabic" w:hint="cs"/>
          <w:sz w:val="18"/>
          <w:szCs w:val="26"/>
          <w:rtl/>
          <w:lang/>
        </w:rPr>
        <w:t> </w:t>
      </w:r>
      <w:r w:rsidRPr="00CE5BE5">
        <w:rPr>
          <w:rStyle w:val="hps"/>
          <w:rFonts w:cs="Traditional Arabic"/>
          <w:sz w:val="18"/>
          <w:szCs w:val="26"/>
          <w:rtl/>
          <w:lang/>
        </w:rPr>
        <w:t>17946</w:t>
      </w:r>
      <w:r w:rsidRPr="00CE5BE5">
        <w:rPr>
          <w:rFonts w:cs="Traditional Arabic"/>
          <w:sz w:val="18"/>
          <w:szCs w:val="26"/>
          <w:rtl/>
          <w:lang/>
        </w:rPr>
        <w:t xml:space="preserve">، </w:t>
      </w:r>
      <w:r w:rsidRPr="00CE5BE5">
        <w:rPr>
          <w:rFonts w:cs="Traditional Arabic" w:hint="cs"/>
          <w:sz w:val="18"/>
          <w:szCs w:val="26"/>
          <w:rtl/>
          <w:lang/>
        </w:rPr>
        <w:t>جلسة</w:t>
      </w:r>
      <w:r w:rsidRPr="00CE5BE5">
        <w:rPr>
          <w:rFonts w:cs="Traditional Arabic"/>
          <w:sz w:val="18"/>
          <w:szCs w:val="26"/>
          <w:rtl/>
          <w:lang/>
        </w:rPr>
        <w:t xml:space="preserve"> </w:t>
      </w:r>
      <w:r w:rsidRPr="00CE5BE5">
        <w:rPr>
          <w:rFonts w:cs="Traditional Arabic" w:hint="cs"/>
          <w:sz w:val="18"/>
          <w:szCs w:val="26"/>
          <w:rtl/>
          <w:lang/>
        </w:rPr>
        <w:t xml:space="preserve">يوم </w:t>
      </w:r>
      <w:r w:rsidRPr="00CE5BE5">
        <w:rPr>
          <w:rStyle w:val="hps"/>
          <w:rFonts w:cs="Traditional Arabic"/>
          <w:sz w:val="18"/>
          <w:szCs w:val="26"/>
          <w:rtl/>
          <w:lang/>
        </w:rPr>
        <w:t xml:space="preserve">27 </w:t>
      </w:r>
      <w:r w:rsidRPr="00CE5BE5">
        <w:rPr>
          <w:rStyle w:val="hps"/>
          <w:rFonts w:cs="Traditional Arabic" w:hint="cs"/>
          <w:sz w:val="18"/>
          <w:szCs w:val="26"/>
          <w:rtl/>
          <w:lang/>
        </w:rPr>
        <w:t>حزيران/يونيه</w:t>
      </w:r>
      <w:r w:rsidRPr="00CE5BE5">
        <w:rPr>
          <w:rStyle w:val="hps"/>
          <w:rFonts w:cs="Traditional Arabic"/>
          <w:sz w:val="18"/>
          <w:szCs w:val="26"/>
          <w:rtl/>
          <w:lang/>
        </w:rPr>
        <w:t xml:space="preserve"> 2009</w:t>
      </w:r>
      <w:r w:rsidRPr="00CE5BE5">
        <w:rPr>
          <w:rFonts w:cs="Traditional Arabic"/>
          <w:sz w:val="18"/>
          <w:szCs w:val="26"/>
          <w:rtl/>
          <w:lang/>
        </w:rPr>
        <w:t xml:space="preserve">، </w:t>
      </w:r>
      <w:r w:rsidRPr="00CE5BE5">
        <w:rPr>
          <w:rStyle w:val="hps"/>
          <w:rFonts w:cs="Traditional Arabic"/>
          <w:sz w:val="18"/>
          <w:szCs w:val="26"/>
          <w:rtl/>
          <w:lang/>
        </w:rPr>
        <w:t>ص 22</w:t>
      </w:r>
      <w:r w:rsidRPr="00CE5BE5">
        <w:rPr>
          <w:rFonts w:cs="Traditional Arabic"/>
          <w:sz w:val="18"/>
          <w:szCs w:val="26"/>
          <w:rtl/>
          <w:lang/>
        </w:rPr>
        <w:t xml:space="preserve"> </w:t>
      </w:r>
      <w:r w:rsidRPr="00CE5BE5">
        <w:rPr>
          <w:rStyle w:val="hps"/>
          <w:rFonts w:cs="Traditional Arabic"/>
          <w:sz w:val="18"/>
          <w:szCs w:val="26"/>
          <w:rtl/>
          <w:lang/>
        </w:rPr>
        <w:t>من ترجمة</w:t>
      </w:r>
      <w:r w:rsidRPr="00CE5BE5">
        <w:rPr>
          <w:rFonts w:cs="Traditional Arabic"/>
          <w:sz w:val="18"/>
          <w:szCs w:val="26"/>
          <w:rtl/>
          <w:lang/>
        </w:rPr>
        <w:t xml:space="preserve"> </w:t>
      </w:r>
      <w:r w:rsidRPr="00CE5BE5">
        <w:rPr>
          <w:rFonts w:cs="Traditional Arabic" w:hint="cs"/>
          <w:sz w:val="18"/>
          <w:szCs w:val="26"/>
          <w:rtl/>
          <w:lang/>
        </w:rPr>
        <w:t xml:space="preserve">الحكم </w:t>
      </w:r>
      <w:r w:rsidRPr="00CE5BE5">
        <w:rPr>
          <w:rStyle w:val="hps"/>
          <w:rFonts w:cs="Traditional Arabic" w:hint="cs"/>
          <w:sz w:val="18"/>
          <w:szCs w:val="26"/>
          <w:rtl/>
          <w:lang/>
        </w:rPr>
        <w:t>التي قام بها مترجم محلف</w:t>
      </w:r>
      <w:r w:rsidRPr="00CE5BE5">
        <w:rPr>
          <w:rFonts w:cs="Traditional Arabic"/>
          <w:sz w:val="18"/>
          <w:szCs w:val="26"/>
          <w:rtl/>
          <w:lang/>
        </w:rPr>
        <w:t xml:space="preserve"> </w:t>
      </w:r>
      <w:r w:rsidRPr="00CE5BE5">
        <w:rPr>
          <w:rStyle w:val="hps"/>
          <w:rFonts w:cs="Traditional Arabic" w:hint="cs"/>
          <w:sz w:val="18"/>
          <w:szCs w:val="26"/>
          <w:rtl/>
          <w:lang/>
        </w:rPr>
        <w:t>والتي أدرجتها صاحبة الشكوى</w:t>
      </w:r>
      <w:r w:rsidRPr="00CE5BE5">
        <w:rPr>
          <w:rFonts w:cs="Traditional Arabic"/>
          <w:sz w:val="18"/>
          <w:szCs w:val="26"/>
          <w:rtl/>
          <w:lang/>
        </w:rPr>
        <w:t xml:space="preserve"> </w:t>
      </w:r>
      <w:r w:rsidRPr="00CE5BE5">
        <w:rPr>
          <w:rStyle w:val="hps"/>
          <w:rFonts w:cs="Traditional Arabic"/>
          <w:sz w:val="18"/>
          <w:szCs w:val="26"/>
          <w:rtl/>
          <w:lang/>
        </w:rPr>
        <w:t>في</w:t>
      </w:r>
      <w:r w:rsidRPr="00CE5BE5">
        <w:rPr>
          <w:rFonts w:cs="Traditional Arabic"/>
          <w:sz w:val="18"/>
          <w:szCs w:val="26"/>
          <w:rtl/>
          <w:lang/>
        </w:rPr>
        <w:t xml:space="preserve"> </w:t>
      </w:r>
      <w:r w:rsidRPr="00CE5BE5">
        <w:rPr>
          <w:rStyle w:val="hps"/>
          <w:rFonts w:cs="Traditional Arabic"/>
          <w:sz w:val="18"/>
          <w:szCs w:val="26"/>
          <w:rtl/>
          <w:lang/>
        </w:rPr>
        <w:t>ملف القضية</w:t>
      </w:r>
      <w:r w:rsidRPr="00CE5BE5">
        <w:rPr>
          <w:rFonts w:cs="Traditional Arabic"/>
          <w:sz w:val="18"/>
          <w:szCs w:val="26"/>
          <w:rtl/>
          <w:lang/>
        </w:rPr>
        <w:t>)</w:t>
      </w:r>
      <w:r w:rsidRPr="00CE5BE5">
        <w:rPr>
          <w:rFonts w:cs="Traditional Arabic" w:hint="cs"/>
          <w:sz w:val="18"/>
          <w:szCs w:val="26"/>
          <w:rtl/>
          <w:lang/>
        </w:rPr>
        <w:t xml:space="preserve">؛ </w:t>
      </w:r>
      <w:r w:rsidRPr="00CE5BE5">
        <w:rPr>
          <w:rStyle w:val="hps"/>
          <w:rFonts w:cs="Traditional Arabic"/>
          <w:i/>
          <w:iCs/>
          <w:sz w:val="18"/>
          <w:szCs w:val="26"/>
          <w:rtl/>
          <w:lang/>
        </w:rPr>
        <w:t>القضية رقم</w:t>
      </w:r>
      <w:r w:rsidRPr="00CE5BE5">
        <w:rPr>
          <w:rFonts w:cs="Traditional Arabic"/>
          <w:i/>
          <w:iCs/>
          <w:sz w:val="18"/>
          <w:szCs w:val="26"/>
          <w:rtl/>
          <w:lang/>
        </w:rPr>
        <w:t xml:space="preserve"> </w:t>
      </w:r>
      <w:r w:rsidRPr="00CE5BE5">
        <w:rPr>
          <w:rStyle w:val="hps"/>
          <w:rFonts w:cs="Traditional Arabic"/>
          <w:i/>
          <w:iCs/>
          <w:sz w:val="18"/>
          <w:szCs w:val="26"/>
          <w:rtl/>
          <w:lang/>
        </w:rPr>
        <w:t>17911</w:t>
      </w:r>
      <w:r w:rsidRPr="00CE5BE5">
        <w:rPr>
          <w:rFonts w:cs="Traditional Arabic"/>
          <w:sz w:val="18"/>
          <w:szCs w:val="26"/>
          <w:rtl/>
          <w:lang/>
        </w:rPr>
        <w:t xml:space="preserve">: </w:t>
      </w:r>
      <w:r w:rsidRPr="00CE5BE5">
        <w:rPr>
          <w:rFonts w:cs="Traditional Arabic" w:hint="cs"/>
          <w:sz w:val="18"/>
          <w:szCs w:val="26"/>
          <w:rtl/>
          <w:lang/>
        </w:rPr>
        <w:t>"</w:t>
      </w:r>
      <w:r w:rsidRPr="00CE5BE5">
        <w:rPr>
          <w:rStyle w:val="hps"/>
          <w:rFonts w:cs="Traditional Arabic" w:hint="cs"/>
          <w:sz w:val="18"/>
          <w:szCs w:val="26"/>
          <w:rtl/>
          <w:lang/>
        </w:rPr>
        <w:t xml:space="preserve">لما كان تأكيد </w:t>
      </w:r>
      <w:r w:rsidRPr="00CE5BE5">
        <w:rPr>
          <w:rStyle w:val="hps"/>
          <w:rFonts w:cs="Traditional Arabic"/>
          <w:sz w:val="18"/>
          <w:szCs w:val="26"/>
          <w:rtl/>
          <w:lang/>
        </w:rPr>
        <w:t>الدفاع</w:t>
      </w:r>
      <w:r w:rsidRPr="00CE5BE5">
        <w:rPr>
          <w:rFonts w:cs="Traditional Arabic"/>
          <w:sz w:val="18"/>
          <w:szCs w:val="26"/>
          <w:rtl/>
          <w:lang/>
        </w:rPr>
        <w:t xml:space="preserve"> </w:t>
      </w:r>
      <w:r w:rsidRPr="00CE5BE5">
        <w:rPr>
          <w:rStyle w:val="hps"/>
          <w:rFonts w:cs="Traditional Arabic"/>
          <w:sz w:val="18"/>
          <w:szCs w:val="26"/>
          <w:rtl/>
          <w:lang/>
        </w:rPr>
        <w:t>أن</w:t>
      </w:r>
      <w:r w:rsidRPr="00CE5BE5">
        <w:rPr>
          <w:rFonts w:cs="Traditional Arabic"/>
          <w:sz w:val="18"/>
          <w:szCs w:val="26"/>
          <w:rtl/>
          <w:lang/>
        </w:rPr>
        <w:t xml:space="preserve"> </w:t>
      </w:r>
      <w:r w:rsidRPr="00CE5BE5">
        <w:rPr>
          <w:rStyle w:val="hps"/>
          <w:rFonts w:cs="Traditional Arabic" w:hint="cs"/>
          <w:sz w:val="18"/>
          <w:szCs w:val="26"/>
          <w:rtl/>
          <w:lang/>
        </w:rPr>
        <w:t>الاعتراف بالجريمة</w:t>
      </w:r>
      <w:r w:rsidRPr="00CE5BE5">
        <w:rPr>
          <w:rFonts w:cs="Traditional Arabic"/>
          <w:sz w:val="18"/>
          <w:szCs w:val="26"/>
          <w:rtl/>
          <w:lang/>
        </w:rPr>
        <w:t xml:space="preserve"> </w:t>
      </w:r>
      <w:r w:rsidRPr="00CE5BE5">
        <w:rPr>
          <w:rStyle w:val="hps"/>
          <w:rFonts w:cs="Traditional Arabic" w:hint="cs"/>
          <w:sz w:val="18"/>
          <w:szCs w:val="26"/>
          <w:rtl/>
          <w:lang/>
        </w:rPr>
        <w:t xml:space="preserve">المسجل ضد المتهمين لدى </w:t>
      </w:r>
      <w:r w:rsidRPr="00CE5BE5">
        <w:rPr>
          <w:rStyle w:val="hps"/>
          <w:rFonts w:cs="Traditional Arabic"/>
          <w:sz w:val="18"/>
          <w:szCs w:val="26"/>
          <w:rtl/>
          <w:lang/>
        </w:rPr>
        <w:t>المحقق</w:t>
      </w:r>
      <w:r w:rsidRPr="00CE5BE5">
        <w:rPr>
          <w:rFonts w:cs="Traditional Arabic"/>
          <w:sz w:val="18"/>
          <w:szCs w:val="26"/>
          <w:rtl/>
          <w:lang/>
        </w:rPr>
        <w:t xml:space="preserve"> </w:t>
      </w:r>
      <w:r w:rsidRPr="00CE5BE5">
        <w:rPr>
          <w:rStyle w:val="hps"/>
          <w:rFonts w:cs="Traditional Arabic" w:hint="cs"/>
          <w:sz w:val="18"/>
          <w:szCs w:val="26"/>
          <w:rtl/>
          <w:lang/>
        </w:rPr>
        <w:t xml:space="preserve">قد انتزع </w:t>
      </w:r>
      <w:r w:rsidRPr="00CE5BE5">
        <w:rPr>
          <w:rStyle w:val="hps"/>
          <w:rFonts w:cs="Traditional Arabic"/>
          <w:sz w:val="18"/>
          <w:szCs w:val="26"/>
          <w:rtl/>
          <w:lang/>
        </w:rPr>
        <w:t xml:space="preserve">بالقوة، </w:t>
      </w:r>
      <w:r w:rsidRPr="00CE5BE5">
        <w:rPr>
          <w:rStyle w:val="hps"/>
          <w:rFonts w:cs="Traditional Arabic" w:hint="cs"/>
          <w:sz w:val="18"/>
          <w:szCs w:val="26"/>
          <w:rtl/>
          <w:lang/>
        </w:rPr>
        <w:t>يفتقر إلى دليل</w:t>
      </w:r>
      <w:r w:rsidRPr="00CE5BE5">
        <w:rPr>
          <w:rFonts w:cs="Traditional Arabic"/>
          <w:sz w:val="18"/>
          <w:szCs w:val="26"/>
          <w:rtl/>
          <w:lang/>
        </w:rPr>
        <w:t xml:space="preserve">، </w:t>
      </w:r>
      <w:r w:rsidRPr="00CE5BE5">
        <w:rPr>
          <w:rFonts w:cs="Traditional Arabic" w:hint="cs"/>
          <w:sz w:val="18"/>
          <w:szCs w:val="26"/>
          <w:rtl/>
          <w:lang/>
        </w:rPr>
        <w:t xml:space="preserve">ولما كان هذا </w:t>
      </w:r>
      <w:r w:rsidRPr="00CE5BE5">
        <w:rPr>
          <w:rStyle w:val="hps"/>
          <w:rFonts w:cs="Traditional Arabic"/>
          <w:sz w:val="18"/>
          <w:szCs w:val="26"/>
          <w:rtl/>
          <w:lang/>
        </w:rPr>
        <w:t>الاعتراف</w:t>
      </w:r>
      <w:r w:rsidRPr="00CE5BE5">
        <w:rPr>
          <w:rFonts w:cs="Traditional Arabic"/>
          <w:sz w:val="18"/>
          <w:szCs w:val="26"/>
          <w:rtl/>
          <w:lang/>
        </w:rPr>
        <w:t xml:space="preserve"> </w:t>
      </w:r>
      <w:r w:rsidRPr="00CE5BE5">
        <w:rPr>
          <w:rStyle w:val="hps"/>
          <w:rFonts w:cs="Traditional Arabic" w:hint="cs"/>
          <w:sz w:val="18"/>
          <w:szCs w:val="26"/>
          <w:rtl/>
          <w:lang/>
        </w:rPr>
        <w:t>تؤكده</w:t>
      </w:r>
      <w:r w:rsidRPr="00CE5BE5">
        <w:rPr>
          <w:rFonts w:cs="Traditional Arabic"/>
          <w:sz w:val="18"/>
          <w:szCs w:val="26"/>
          <w:rtl/>
          <w:lang/>
        </w:rPr>
        <w:t xml:space="preserve"> </w:t>
      </w:r>
      <w:r w:rsidRPr="00CE5BE5">
        <w:rPr>
          <w:rStyle w:val="hps"/>
          <w:rFonts w:cs="Traditional Arabic"/>
          <w:sz w:val="18"/>
          <w:szCs w:val="26"/>
          <w:rtl/>
          <w:lang/>
        </w:rPr>
        <w:t>الأدلة ال</w:t>
      </w:r>
      <w:r w:rsidRPr="00CE5BE5">
        <w:rPr>
          <w:rStyle w:val="hps"/>
          <w:rFonts w:cs="Traditional Arabic" w:hint="cs"/>
          <w:sz w:val="18"/>
          <w:szCs w:val="26"/>
          <w:rtl/>
          <w:lang/>
        </w:rPr>
        <w:t>خارجية</w:t>
      </w:r>
      <w:r w:rsidRPr="00CE5BE5">
        <w:rPr>
          <w:rFonts w:cs="Traditional Arabic"/>
          <w:sz w:val="18"/>
          <w:szCs w:val="26"/>
          <w:rtl/>
          <w:lang/>
        </w:rPr>
        <w:t xml:space="preserve"> </w:t>
      </w:r>
      <w:r w:rsidRPr="00CE5BE5">
        <w:rPr>
          <w:rStyle w:val="hps"/>
          <w:rFonts w:cs="Traditional Arabic"/>
          <w:sz w:val="18"/>
          <w:szCs w:val="26"/>
          <w:rtl/>
          <w:lang/>
        </w:rPr>
        <w:t>التي تتكون</w:t>
      </w:r>
      <w:r w:rsidRPr="00CE5BE5">
        <w:rPr>
          <w:rFonts w:cs="Traditional Arabic"/>
          <w:sz w:val="18"/>
          <w:szCs w:val="26"/>
          <w:rtl/>
          <w:lang/>
        </w:rPr>
        <w:t xml:space="preserve"> </w:t>
      </w:r>
      <w:r w:rsidRPr="00CE5BE5">
        <w:rPr>
          <w:rStyle w:val="hps"/>
          <w:rFonts w:cs="Traditional Arabic"/>
          <w:sz w:val="18"/>
          <w:szCs w:val="26"/>
          <w:rtl/>
          <w:lang/>
        </w:rPr>
        <w:t>أساساً من</w:t>
      </w:r>
      <w:r w:rsidRPr="00CE5BE5">
        <w:rPr>
          <w:rFonts w:cs="Traditional Arabic"/>
          <w:sz w:val="18"/>
          <w:szCs w:val="26"/>
          <w:rtl/>
          <w:lang/>
        </w:rPr>
        <w:t xml:space="preserve"> </w:t>
      </w:r>
      <w:r w:rsidRPr="00CE5BE5">
        <w:rPr>
          <w:rStyle w:val="hps"/>
          <w:rFonts w:cs="Traditional Arabic"/>
          <w:sz w:val="18"/>
          <w:szCs w:val="26"/>
          <w:rtl/>
          <w:lang/>
        </w:rPr>
        <w:t>ال</w:t>
      </w:r>
      <w:r w:rsidRPr="00CE5BE5">
        <w:rPr>
          <w:rStyle w:val="hps"/>
          <w:rFonts w:cs="Traditional Arabic" w:hint="cs"/>
          <w:sz w:val="18"/>
          <w:szCs w:val="26"/>
          <w:rtl/>
          <w:lang/>
        </w:rPr>
        <w:t>مواد</w:t>
      </w:r>
      <w:r w:rsidRPr="00CE5BE5">
        <w:rPr>
          <w:rFonts w:cs="Traditional Arabic"/>
          <w:sz w:val="18"/>
          <w:szCs w:val="26"/>
          <w:rtl/>
          <w:lang/>
        </w:rPr>
        <w:t xml:space="preserve"> </w:t>
      </w:r>
      <w:r w:rsidRPr="00CE5BE5">
        <w:rPr>
          <w:rStyle w:val="hps"/>
          <w:rFonts w:cs="Traditional Arabic"/>
          <w:sz w:val="18"/>
          <w:szCs w:val="26"/>
          <w:rtl/>
          <w:lang/>
        </w:rPr>
        <w:t>المضبوطة والمصادرة</w:t>
      </w:r>
      <w:r w:rsidRPr="00CE5BE5">
        <w:rPr>
          <w:rFonts w:cs="Traditional Arabic"/>
          <w:sz w:val="18"/>
          <w:szCs w:val="26"/>
          <w:rtl/>
          <w:lang/>
        </w:rPr>
        <w:t xml:space="preserve">، وكمية </w:t>
      </w:r>
      <w:r w:rsidRPr="00CE5BE5">
        <w:rPr>
          <w:rFonts w:cs="Traditional Arabic" w:hint="cs"/>
          <w:sz w:val="18"/>
          <w:szCs w:val="26"/>
          <w:rtl/>
          <w:lang/>
        </w:rPr>
        <w:t>المخدرات</w:t>
      </w:r>
      <w:r w:rsidRPr="00CE5BE5">
        <w:rPr>
          <w:rStyle w:val="hps"/>
          <w:rFonts w:cs="Traditional Arabic"/>
          <w:sz w:val="18"/>
          <w:szCs w:val="26"/>
          <w:rtl/>
          <w:lang/>
        </w:rPr>
        <w:t xml:space="preserve"> التي</w:t>
      </w:r>
      <w:r w:rsidRPr="00CE5BE5">
        <w:rPr>
          <w:rFonts w:cs="Traditional Arabic" w:hint="cs"/>
          <w:sz w:val="18"/>
          <w:szCs w:val="26"/>
          <w:rtl/>
          <w:lang/>
        </w:rPr>
        <w:t> </w:t>
      </w:r>
      <w:r w:rsidRPr="00CE5BE5">
        <w:rPr>
          <w:rStyle w:val="hps"/>
          <w:rFonts w:cs="Traditional Arabic" w:hint="cs"/>
          <w:sz w:val="18"/>
          <w:szCs w:val="26"/>
          <w:rtl/>
          <w:lang/>
        </w:rPr>
        <w:t xml:space="preserve">جرى وضعها في الشاحنة المجهزة </w:t>
      </w:r>
      <w:r w:rsidRPr="00CE5BE5">
        <w:rPr>
          <w:rStyle w:val="hps"/>
          <w:rFonts w:cs="Traditional Arabic"/>
          <w:sz w:val="18"/>
          <w:szCs w:val="26"/>
          <w:rtl/>
          <w:lang/>
        </w:rPr>
        <w:t>للتصدير</w:t>
      </w:r>
      <w:r w:rsidRPr="00CE5BE5">
        <w:rPr>
          <w:rStyle w:val="hps"/>
          <w:rFonts w:cs="Traditional Arabic" w:hint="cs"/>
          <w:sz w:val="18"/>
          <w:szCs w:val="26"/>
          <w:rtl/>
          <w:lang/>
        </w:rPr>
        <w:t xml:space="preserve">، فإن </w:t>
      </w:r>
      <w:r w:rsidRPr="00CE5BE5">
        <w:rPr>
          <w:rStyle w:val="hps"/>
          <w:rFonts w:cs="Traditional Arabic"/>
          <w:sz w:val="18"/>
          <w:szCs w:val="26"/>
          <w:rtl/>
          <w:lang/>
        </w:rPr>
        <w:t>المحكمة</w:t>
      </w:r>
      <w:r w:rsidRPr="00CE5BE5">
        <w:rPr>
          <w:rFonts w:cs="Traditional Arabic"/>
          <w:sz w:val="18"/>
          <w:szCs w:val="26"/>
          <w:rtl/>
          <w:lang/>
        </w:rPr>
        <w:t xml:space="preserve"> </w:t>
      </w:r>
      <w:r w:rsidRPr="00CE5BE5">
        <w:rPr>
          <w:rFonts w:cs="Traditional Arabic" w:hint="cs"/>
          <w:sz w:val="18"/>
          <w:szCs w:val="26"/>
          <w:rtl/>
          <w:lang/>
        </w:rPr>
        <w:t>ت</w:t>
      </w:r>
      <w:r w:rsidRPr="00CE5BE5">
        <w:rPr>
          <w:rStyle w:val="hps"/>
          <w:rFonts w:cs="Traditional Arabic" w:hint="cs"/>
          <w:sz w:val="18"/>
          <w:szCs w:val="26"/>
          <w:rtl/>
          <w:lang/>
        </w:rPr>
        <w:t>رفض</w:t>
      </w:r>
      <w:r w:rsidRPr="00CE5BE5">
        <w:rPr>
          <w:rFonts w:cs="Traditional Arabic"/>
          <w:sz w:val="18"/>
          <w:szCs w:val="26"/>
          <w:rtl/>
          <w:lang/>
        </w:rPr>
        <w:t xml:space="preserve"> </w:t>
      </w:r>
      <w:r w:rsidRPr="00CE5BE5">
        <w:rPr>
          <w:rStyle w:val="hps"/>
          <w:rFonts w:cs="Traditional Arabic"/>
          <w:sz w:val="18"/>
          <w:szCs w:val="26"/>
          <w:rtl/>
          <w:lang/>
        </w:rPr>
        <w:t>هذه الحجة</w:t>
      </w:r>
      <w:r w:rsidRPr="00CE5BE5">
        <w:rPr>
          <w:rFonts w:cs="Traditional Arabic"/>
          <w:sz w:val="18"/>
          <w:szCs w:val="26"/>
          <w:rtl/>
          <w:lang/>
        </w:rPr>
        <w:t xml:space="preserve"> </w:t>
      </w:r>
      <w:r w:rsidRPr="00CE5BE5">
        <w:rPr>
          <w:rStyle w:val="hps"/>
          <w:rFonts w:cs="Traditional Arabic"/>
          <w:sz w:val="18"/>
          <w:szCs w:val="26"/>
          <w:rtl/>
          <w:lang/>
        </w:rPr>
        <w:t>(</w:t>
      </w:r>
      <w:r w:rsidRPr="00CE5BE5">
        <w:rPr>
          <w:rFonts w:cs="Traditional Arabic"/>
          <w:sz w:val="18"/>
          <w:szCs w:val="26"/>
          <w:rtl/>
          <w:lang/>
        </w:rPr>
        <w:t xml:space="preserve">المحكمة </w:t>
      </w:r>
      <w:r w:rsidRPr="00CE5BE5">
        <w:rPr>
          <w:rStyle w:val="hps"/>
          <w:rFonts w:cs="Traditional Arabic"/>
          <w:sz w:val="18"/>
          <w:szCs w:val="26"/>
          <w:rtl/>
          <w:lang/>
        </w:rPr>
        <w:t>الابتدائية بتونس</w:t>
      </w:r>
      <w:r w:rsidRPr="00CE5BE5">
        <w:rPr>
          <w:rFonts w:cs="Traditional Arabic"/>
          <w:sz w:val="18"/>
          <w:szCs w:val="26"/>
          <w:rtl/>
          <w:lang/>
        </w:rPr>
        <w:t xml:space="preserve">، </w:t>
      </w:r>
      <w:r w:rsidRPr="00CE5BE5">
        <w:rPr>
          <w:rStyle w:val="hps"/>
          <w:rFonts w:cs="Traditional Arabic"/>
          <w:sz w:val="18"/>
          <w:szCs w:val="26"/>
          <w:rtl/>
          <w:lang/>
        </w:rPr>
        <w:t>القضية رقم</w:t>
      </w:r>
      <w:r w:rsidRPr="00CE5BE5">
        <w:rPr>
          <w:rFonts w:cs="Traditional Arabic"/>
          <w:sz w:val="18"/>
          <w:szCs w:val="26"/>
          <w:rtl/>
          <w:lang/>
        </w:rPr>
        <w:t xml:space="preserve"> </w:t>
      </w:r>
      <w:r w:rsidRPr="00CE5BE5">
        <w:rPr>
          <w:rStyle w:val="hps"/>
          <w:rFonts w:cs="Traditional Arabic"/>
          <w:sz w:val="18"/>
          <w:szCs w:val="26"/>
          <w:rtl/>
          <w:lang/>
        </w:rPr>
        <w:t>17911</w:t>
      </w:r>
      <w:r w:rsidRPr="00CE5BE5">
        <w:rPr>
          <w:rFonts w:cs="Traditional Arabic"/>
          <w:sz w:val="18"/>
          <w:szCs w:val="26"/>
          <w:rtl/>
          <w:lang/>
        </w:rPr>
        <w:t xml:space="preserve">، </w:t>
      </w:r>
      <w:r w:rsidRPr="00CE5BE5">
        <w:rPr>
          <w:rFonts w:cs="Traditional Arabic" w:hint="cs"/>
          <w:sz w:val="18"/>
          <w:szCs w:val="26"/>
          <w:rtl/>
          <w:lang/>
        </w:rPr>
        <w:t>جلسة يوم</w:t>
      </w:r>
      <w:r w:rsidRPr="00CE5BE5">
        <w:rPr>
          <w:rFonts w:cs="Traditional Arabic"/>
          <w:sz w:val="18"/>
          <w:szCs w:val="26"/>
          <w:rtl/>
          <w:lang/>
        </w:rPr>
        <w:t xml:space="preserve"> </w:t>
      </w:r>
      <w:r w:rsidRPr="00CE5BE5">
        <w:rPr>
          <w:rStyle w:val="hps"/>
          <w:rFonts w:cs="Traditional Arabic"/>
          <w:sz w:val="18"/>
          <w:szCs w:val="26"/>
          <w:rtl/>
          <w:lang/>
        </w:rPr>
        <w:t xml:space="preserve">27 </w:t>
      </w:r>
      <w:r w:rsidRPr="00CE5BE5">
        <w:rPr>
          <w:rStyle w:val="hps"/>
          <w:rFonts w:cs="Traditional Arabic" w:hint="cs"/>
          <w:sz w:val="18"/>
          <w:szCs w:val="26"/>
          <w:rtl/>
          <w:lang/>
        </w:rPr>
        <w:t>حزيران/يونيه</w:t>
      </w:r>
      <w:r w:rsidRPr="00CE5BE5">
        <w:rPr>
          <w:rStyle w:val="hps"/>
          <w:rFonts w:cs="Traditional Arabic"/>
          <w:sz w:val="18"/>
          <w:szCs w:val="26"/>
          <w:rtl/>
          <w:lang/>
        </w:rPr>
        <w:t xml:space="preserve"> 2009</w:t>
      </w:r>
      <w:r w:rsidRPr="00CE5BE5">
        <w:rPr>
          <w:rFonts w:cs="Traditional Arabic"/>
          <w:sz w:val="18"/>
          <w:szCs w:val="26"/>
          <w:rtl/>
          <w:lang/>
        </w:rPr>
        <w:t xml:space="preserve">، </w:t>
      </w:r>
      <w:r w:rsidRPr="00CE5BE5">
        <w:rPr>
          <w:rStyle w:val="hps"/>
          <w:rFonts w:cs="Traditional Arabic"/>
          <w:sz w:val="18"/>
          <w:szCs w:val="26"/>
          <w:rtl/>
          <w:lang/>
        </w:rPr>
        <w:t>ص 27</w:t>
      </w:r>
      <w:r w:rsidRPr="00CE5BE5">
        <w:rPr>
          <w:rFonts w:cs="Traditional Arabic"/>
          <w:sz w:val="18"/>
          <w:szCs w:val="26"/>
          <w:rtl/>
          <w:lang/>
        </w:rPr>
        <w:t xml:space="preserve"> </w:t>
      </w:r>
      <w:r w:rsidRPr="00CE5BE5">
        <w:rPr>
          <w:rStyle w:val="hps"/>
          <w:rFonts w:cs="Traditional Arabic"/>
          <w:sz w:val="18"/>
          <w:szCs w:val="26"/>
          <w:rtl/>
          <w:lang/>
        </w:rPr>
        <w:t>من ترجمة</w:t>
      </w:r>
      <w:r w:rsidRPr="00CE5BE5">
        <w:rPr>
          <w:rFonts w:cs="Traditional Arabic"/>
          <w:sz w:val="18"/>
          <w:szCs w:val="26"/>
          <w:rtl/>
          <w:lang/>
        </w:rPr>
        <w:t xml:space="preserve"> </w:t>
      </w:r>
      <w:r w:rsidRPr="00CE5BE5">
        <w:rPr>
          <w:rFonts w:cs="Traditional Arabic" w:hint="cs"/>
          <w:sz w:val="18"/>
          <w:szCs w:val="26"/>
          <w:rtl/>
          <w:lang/>
        </w:rPr>
        <w:t xml:space="preserve">الحكم </w:t>
      </w:r>
      <w:r w:rsidRPr="00CE5BE5">
        <w:rPr>
          <w:rStyle w:val="hps"/>
          <w:rFonts w:cs="Traditional Arabic" w:hint="cs"/>
          <w:sz w:val="18"/>
          <w:szCs w:val="26"/>
          <w:rtl/>
          <w:lang/>
        </w:rPr>
        <w:t>التي قام بها مترجم محلف</w:t>
      </w:r>
      <w:r w:rsidRPr="00CE5BE5">
        <w:rPr>
          <w:rFonts w:cs="Traditional Arabic"/>
          <w:sz w:val="18"/>
          <w:szCs w:val="26"/>
          <w:rtl/>
          <w:lang/>
        </w:rPr>
        <w:t xml:space="preserve"> </w:t>
      </w:r>
      <w:r w:rsidRPr="00CE5BE5">
        <w:rPr>
          <w:rStyle w:val="hps"/>
          <w:rFonts w:cs="Traditional Arabic" w:hint="cs"/>
          <w:sz w:val="18"/>
          <w:szCs w:val="26"/>
          <w:rtl/>
          <w:lang/>
        </w:rPr>
        <w:t>والتي أدرجتها صاحبة الشكوى</w:t>
      </w:r>
      <w:r w:rsidRPr="00CE5BE5">
        <w:rPr>
          <w:rFonts w:cs="Traditional Arabic"/>
          <w:sz w:val="18"/>
          <w:szCs w:val="26"/>
          <w:rtl/>
          <w:lang/>
        </w:rPr>
        <w:t xml:space="preserve"> </w:t>
      </w:r>
      <w:r w:rsidRPr="00CE5BE5">
        <w:rPr>
          <w:rStyle w:val="hps"/>
          <w:rFonts w:cs="Traditional Arabic"/>
          <w:sz w:val="18"/>
          <w:szCs w:val="26"/>
          <w:rtl/>
          <w:lang/>
        </w:rPr>
        <w:t>في</w:t>
      </w:r>
      <w:r w:rsidRPr="00CE5BE5">
        <w:rPr>
          <w:rFonts w:cs="Traditional Arabic"/>
          <w:sz w:val="18"/>
          <w:szCs w:val="26"/>
          <w:rtl/>
          <w:lang/>
        </w:rPr>
        <w:t xml:space="preserve"> </w:t>
      </w:r>
      <w:r w:rsidRPr="00CE5BE5">
        <w:rPr>
          <w:rStyle w:val="hps"/>
          <w:rFonts w:cs="Traditional Arabic"/>
          <w:sz w:val="18"/>
          <w:szCs w:val="26"/>
          <w:rtl/>
          <w:lang/>
        </w:rPr>
        <w:t>ملف القضية</w:t>
      </w:r>
      <w:r w:rsidRPr="00CE5BE5">
        <w:rPr>
          <w:rFonts w:cs="Traditional Arabic"/>
          <w:sz w:val="18"/>
          <w:szCs w:val="26"/>
          <w:rtl/>
          <w:lang/>
        </w:rPr>
        <w:t>)</w:t>
      </w:r>
      <w:r w:rsidRPr="00CE5BE5">
        <w:rPr>
          <w:rFonts w:cs="Traditional Arabic" w:hint="cs"/>
          <w:sz w:val="18"/>
          <w:szCs w:val="26"/>
          <w:rtl/>
          <w:lang/>
        </w:rPr>
        <w:t xml:space="preserve">. </w:t>
      </w:r>
    </w:p>
  </w:footnote>
  <w:footnote w:id="134">
    <w:p w:rsidR="00F815BA" w:rsidRPr="00CE5BE5" w:rsidRDefault="00F815BA" w:rsidP="0077398F">
      <w:pPr>
        <w:pStyle w:val="FootnoteText"/>
        <w:numPr>
          <w:ilvl w:val="0"/>
          <w:numId w:val="0"/>
        </w:numPr>
        <w:bidi/>
        <w:spacing w:after="60" w:line="300" w:lineRule="exact"/>
        <w:ind w:left="1240" w:right="1247" w:hanging="364"/>
        <w:jc w:val="lowKashida"/>
        <w:rPr>
          <w:rFonts w:cs="Traditional Arabic" w:hint="cs"/>
          <w:sz w:val="18"/>
          <w:szCs w:val="26"/>
        </w:rPr>
      </w:pPr>
      <w:r w:rsidRPr="0077398F">
        <w:rPr>
          <w:rFonts w:cs="Traditional Arabic" w:hint="cs"/>
          <w:sz w:val="26"/>
          <w:szCs w:val="26"/>
          <w:rtl/>
        </w:rPr>
        <w:t>(</w:t>
      </w:r>
      <w:r>
        <w:rPr>
          <w:rFonts w:cs="Traditional Arabic" w:hint="cs"/>
          <w:sz w:val="26"/>
          <w:szCs w:val="26"/>
          <w:rtl/>
        </w:rPr>
        <w:t>ك</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sz w:val="18"/>
          <w:szCs w:val="26"/>
          <w:rtl/>
          <w:lang/>
        </w:rPr>
        <w:t>وفقا</w:t>
      </w:r>
      <w:r w:rsidRPr="00CE5BE5">
        <w:rPr>
          <w:rStyle w:val="hps"/>
          <w:rFonts w:cs="Traditional Arabic" w:hint="cs"/>
          <w:sz w:val="18"/>
          <w:szCs w:val="26"/>
          <w:rtl/>
          <w:lang/>
        </w:rPr>
        <w:t>ً</w:t>
      </w:r>
      <w:r w:rsidRPr="00CE5BE5">
        <w:rPr>
          <w:rStyle w:val="hps"/>
          <w:rFonts w:cs="Traditional Arabic"/>
          <w:sz w:val="18"/>
          <w:szCs w:val="26"/>
          <w:rtl/>
          <w:lang/>
        </w:rPr>
        <w:t xml:space="preserve"> </w:t>
      </w:r>
      <w:r w:rsidRPr="00CE5BE5">
        <w:rPr>
          <w:rStyle w:val="hps"/>
          <w:rFonts w:cs="Traditional Arabic" w:hint="cs"/>
          <w:sz w:val="18"/>
          <w:szCs w:val="26"/>
          <w:rtl/>
          <w:lang/>
        </w:rPr>
        <w:t>للرسالة</w:t>
      </w:r>
      <w:r w:rsidRPr="00CE5BE5">
        <w:rPr>
          <w:rFonts w:cs="Traditional Arabic"/>
          <w:sz w:val="18"/>
          <w:szCs w:val="26"/>
          <w:rtl/>
          <w:lang/>
        </w:rPr>
        <w:t xml:space="preserve"> الأول</w:t>
      </w:r>
      <w:r w:rsidRPr="00CE5BE5">
        <w:rPr>
          <w:rFonts w:cs="Traditional Arabic" w:hint="cs"/>
          <w:sz w:val="18"/>
          <w:szCs w:val="26"/>
          <w:rtl/>
          <w:lang/>
        </w:rPr>
        <w:t>ى</w:t>
      </w:r>
      <w:r w:rsidRPr="00CE5BE5">
        <w:rPr>
          <w:rFonts w:cs="Traditional Arabic"/>
          <w:sz w:val="18"/>
          <w:szCs w:val="26"/>
          <w:rtl/>
          <w:lang/>
        </w:rPr>
        <w:t xml:space="preserve"> </w:t>
      </w:r>
      <w:r w:rsidRPr="00CE5BE5">
        <w:rPr>
          <w:rStyle w:val="hps"/>
          <w:rFonts w:cs="Traditional Arabic" w:hint="cs"/>
          <w:sz w:val="18"/>
          <w:szCs w:val="26"/>
          <w:rtl/>
          <w:lang/>
        </w:rPr>
        <w:t>لصاحبة</w:t>
      </w:r>
      <w:r w:rsidRPr="00CE5BE5">
        <w:rPr>
          <w:rStyle w:val="hps"/>
          <w:rFonts w:cs="Traditional Arabic"/>
          <w:sz w:val="18"/>
          <w:szCs w:val="26"/>
          <w:rtl/>
          <w:lang/>
        </w:rPr>
        <w:t xml:space="preserve"> الشكوى</w:t>
      </w:r>
      <w:r w:rsidRPr="00CE5BE5">
        <w:rPr>
          <w:rFonts w:cs="Traditional Arabic"/>
          <w:sz w:val="18"/>
          <w:szCs w:val="26"/>
          <w:rtl/>
          <w:lang/>
        </w:rPr>
        <w:t xml:space="preserve">، </w:t>
      </w:r>
      <w:r w:rsidRPr="00CE5BE5">
        <w:rPr>
          <w:rFonts w:cs="Traditional Arabic" w:hint="cs"/>
          <w:sz w:val="18"/>
          <w:szCs w:val="26"/>
          <w:rtl/>
          <w:lang/>
        </w:rPr>
        <w:t xml:space="preserve">عرضت </w:t>
      </w:r>
      <w:r w:rsidRPr="00CE5BE5">
        <w:rPr>
          <w:rStyle w:val="hps"/>
          <w:rFonts w:cs="Traditional Arabic"/>
          <w:sz w:val="18"/>
          <w:szCs w:val="26"/>
          <w:rtl/>
          <w:lang/>
        </w:rPr>
        <w:t>المسألة</w:t>
      </w:r>
      <w:r w:rsidRPr="00CE5BE5">
        <w:rPr>
          <w:rFonts w:cs="Traditional Arabic"/>
          <w:sz w:val="18"/>
          <w:szCs w:val="26"/>
          <w:rtl/>
          <w:lang/>
        </w:rPr>
        <w:t xml:space="preserve"> </w:t>
      </w:r>
      <w:r w:rsidRPr="00CE5BE5">
        <w:rPr>
          <w:rFonts w:cs="Traditional Arabic" w:hint="cs"/>
          <w:sz w:val="18"/>
          <w:szCs w:val="26"/>
          <w:rtl/>
          <w:lang/>
        </w:rPr>
        <w:t>ع</w:t>
      </w:r>
      <w:r w:rsidRPr="00CE5BE5">
        <w:rPr>
          <w:rFonts w:cs="Traditional Arabic"/>
          <w:sz w:val="18"/>
          <w:szCs w:val="26"/>
          <w:rtl/>
          <w:lang/>
        </w:rPr>
        <w:t xml:space="preserve">لى </w:t>
      </w:r>
      <w:r w:rsidRPr="00CE5BE5">
        <w:rPr>
          <w:rStyle w:val="hps"/>
          <w:rFonts w:cs="Traditional Arabic"/>
          <w:sz w:val="18"/>
          <w:szCs w:val="26"/>
          <w:rtl/>
          <w:lang/>
        </w:rPr>
        <w:t>المحكمة</w:t>
      </w:r>
      <w:r w:rsidRPr="00CE5BE5">
        <w:rPr>
          <w:rFonts w:cs="Traditional Arabic"/>
          <w:sz w:val="18"/>
          <w:szCs w:val="26"/>
          <w:rtl/>
          <w:lang/>
        </w:rPr>
        <w:t xml:space="preserve"> </w:t>
      </w:r>
      <w:r w:rsidRPr="00CE5BE5">
        <w:rPr>
          <w:rStyle w:val="hps"/>
          <w:rFonts w:cs="Traditional Arabic"/>
          <w:sz w:val="18"/>
          <w:szCs w:val="26"/>
          <w:rtl/>
          <w:lang/>
        </w:rPr>
        <w:t>الأوروبية لحقوق</w:t>
      </w:r>
      <w:r w:rsidRPr="00CE5BE5">
        <w:rPr>
          <w:rFonts w:cs="Traditional Arabic"/>
          <w:sz w:val="18"/>
          <w:szCs w:val="26"/>
          <w:rtl/>
          <w:lang/>
        </w:rPr>
        <w:t xml:space="preserve"> </w:t>
      </w:r>
      <w:r w:rsidRPr="00CE5BE5">
        <w:rPr>
          <w:rStyle w:val="hps"/>
          <w:rFonts w:cs="Traditional Arabic"/>
          <w:sz w:val="18"/>
          <w:szCs w:val="26"/>
          <w:rtl/>
          <w:lang/>
        </w:rPr>
        <w:t>الإنسان</w:t>
      </w:r>
      <w:r w:rsidRPr="00CE5BE5">
        <w:rPr>
          <w:rFonts w:cs="Traditional Arabic"/>
          <w:sz w:val="18"/>
          <w:szCs w:val="26"/>
          <w:rtl/>
          <w:lang/>
        </w:rPr>
        <w:t xml:space="preserve"> </w:t>
      </w:r>
      <w:r w:rsidRPr="00CE5BE5">
        <w:rPr>
          <w:rStyle w:val="hps"/>
          <w:rFonts w:cs="Traditional Arabic"/>
          <w:sz w:val="18"/>
          <w:szCs w:val="26"/>
          <w:rtl/>
          <w:lang/>
        </w:rPr>
        <w:t>في 20</w:t>
      </w:r>
      <w:r w:rsidRPr="00CE5BE5">
        <w:rPr>
          <w:rFonts w:cs="Traditional Arabic"/>
          <w:sz w:val="18"/>
          <w:szCs w:val="26"/>
          <w:rtl/>
          <w:lang/>
        </w:rPr>
        <w:t xml:space="preserve"> </w:t>
      </w:r>
      <w:r w:rsidRPr="00CE5BE5">
        <w:rPr>
          <w:rFonts w:cs="Traditional Arabic" w:hint="cs"/>
          <w:sz w:val="18"/>
          <w:szCs w:val="26"/>
          <w:rtl/>
          <w:lang/>
        </w:rPr>
        <w:t>آب/</w:t>
      </w:r>
      <w:r w:rsidRPr="00CE5BE5">
        <w:rPr>
          <w:rStyle w:val="hps"/>
          <w:rFonts w:cs="Traditional Arabic"/>
          <w:sz w:val="18"/>
          <w:szCs w:val="26"/>
          <w:rtl/>
          <w:lang/>
        </w:rPr>
        <w:t>أغسطس 2010.</w:t>
      </w:r>
    </w:p>
  </w:footnote>
  <w:footnote w:id="135">
    <w:p w:rsidR="00F815BA" w:rsidRPr="00CE5BE5" w:rsidRDefault="00F815BA" w:rsidP="00FA645B">
      <w:pPr>
        <w:pStyle w:val="FootnoteText"/>
        <w:numPr>
          <w:ilvl w:val="0"/>
          <w:numId w:val="0"/>
        </w:numPr>
        <w:tabs>
          <w:tab w:val="left" w:pos="1240"/>
        </w:tabs>
        <w:bidi/>
        <w:spacing w:after="60" w:line="300" w:lineRule="exact"/>
        <w:ind w:left="1226" w:right="1247" w:hanging="448"/>
        <w:jc w:val="lowKashida"/>
        <w:rPr>
          <w:rFonts w:cs="Traditional Arabic"/>
          <w:sz w:val="18"/>
          <w:szCs w:val="26"/>
        </w:rPr>
      </w:pPr>
      <w:r w:rsidRPr="0077398F">
        <w:rPr>
          <w:rFonts w:cs="Traditional Arabic" w:hint="cs"/>
          <w:sz w:val="26"/>
          <w:szCs w:val="26"/>
          <w:rtl/>
        </w:rPr>
        <w:t>(</w:t>
      </w:r>
      <w:r>
        <w:rPr>
          <w:rFonts w:cs="Traditional Arabic" w:hint="cs"/>
          <w:sz w:val="26"/>
          <w:szCs w:val="26"/>
          <w:rtl/>
        </w:rPr>
        <w:t>ل</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sz w:val="18"/>
          <w:szCs w:val="26"/>
          <w:rtl/>
          <w:lang/>
        </w:rPr>
        <w:t>تشير الدولة الطرف</w:t>
      </w:r>
      <w:r w:rsidRPr="00CE5BE5">
        <w:rPr>
          <w:rFonts w:cs="Traditional Arabic"/>
          <w:sz w:val="18"/>
          <w:szCs w:val="26"/>
          <w:rtl/>
          <w:lang/>
        </w:rPr>
        <w:t xml:space="preserve"> إلى </w:t>
      </w:r>
      <w:r w:rsidRPr="00CE5BE5">
        <w:rPr>
          <w:rStyle w:val="hps"/>
          <w:rFonts w:cs="Traditional Arabic"/>
          <w:sz w:val="18"/>
          <w:szCs w:val="26"/>
          <w:rtl/>
          <w:lang/>
        </w:rPr>
        <w:t>البلاغ رقم</w:t>
      </w:r>
      <w:r w:rsidRPr="00CE5BE5">
        <w:rPr>
          <w:rFonts w:cs="Traditional Arabic"/>
          <w:sz w:val="18"/>
          <w:szCs w:val="26"/>
          <w:rtl/>
          <w:lang/>
        </w:rPr>
        <w:t xml:space="preserve"> </w:t>
      </w:r>
      <w:r w:rsidRPr="00CE5BE5">
        <w:rPr>
          <w:rStyle w:val="hps"/>
          <w:rFonts w:cs="Traditional Arabic"/>
          <w:sz w:val="18"/>
          <w:szCs w:val="26"/>
          <w:rtl/>
          <w:lang/>
        </w:rPr>
        <w:t>305/2006</w:t>
      </w:r>
      <w:r w:rsidRPr="00CE5BE5">
        <w:rPr>
          <w:rFonts w:cs="Traditional Arabic"/>
          <w:sz w:val="18"/>
          <w:szCs w:val="26"/>
          <w:rtl/>
          <w:lang/>
        </w:rPr>
        <w:t xml:space="preserve">، </w:t>
      </w:r>
      <w:r w:rsidRPr="00CE5BE5">
        <w:rPr>
          <w:rStyle w:val="hps"/>
          <w:rFonts w:cs="Traditional Arabic" w:hint="cs"/>
          <w:i/>
          <w:iCs/>
          <w:sz w:val="18"/>
          <w:szCs w:val="26"/>
          <w:rtl/>
          <w:lang/>
        </w:rPr>
        <w:t>أ. ر. أ</w:t>
      </w:r>
      <w:r>
        <w:rPr>
          <w:rFonts w:cs="Traditional Arabic" w:hint="cs"/>
          <w:i/>
          <w:iCs/>
          <w:sz w:val="18"/>
          <w:szCs w:val="26"/>
          <w:rtl/>
          <w:lang/>
        </w:rPr>
        <w:t>.</w:t>
      </w:r>
      <w:r w:rsidRPr="00CE5BE5">
        <w:rPr>
          <w:rFonts w:cs="Traditional Arabic"/>
          <w:i/>
          <w:iCs/>
          <w:sz w:val="18"/>
          <w:szCs w:val="26"/>
          <w:rtl/>
          <w:lang/>
        </w:rPr>
        <w:t xml:space="preserve"> </w:t>
      </w:r>
      <w:r w:rsidRPr="00CE5BE5">
        <w:rPr>
          <w:rStyle w:val="hps"/>
          <w:rFonts w:cs="Traditional Arabic"/>
          <w:i/>
          <w:iCs/>
          <w:sz w:val="18"/>
          <w:szCs w:val="26"/>
          <w:rtl/>
          <w:lang/>
        </w:rPr>
        <w:t>ضد السويد</w:t>
      </w:r>
      <w:r w:rsidRPr="00CE5BE5">
        <w:rPr>
          <w:rFonts w:cs="Traditional Arabic"/>
          <w:sz w:val="18"/>
          <w:szCs w:val="26"/>
          <w:rtl/>
          <w:lang/>
        </w:rPr>
        <w:t xml:space="preserve">، </w:t>
      </w:r>
      <w:r w:rsidRPr="00CE5BE5">
        <w:rPr>
          <w:rFonts w:cs="Traditional Arabic" w:hint="cs"/>
          <w:sz w:val="18"/>
          <w:szCs w:val="26"/>
          <w:rtl/>
          <w:lang/>
        </w:rPr>
        <w:t>القرار المعتمد</w:t>
      </w:r>
      <w:r w:rsidRPr="00CE5BE5">
        <w:rPr>
          <w:rFonts w:cs="Traditional Arabic"/>
          <w:sz w:val="18"/>
          <w:szCs w:val="26"/>
          <w:rtl/>
          <w:lang/>
        </w:rPr>
        <w:t xml:space="preserve"> </w:t>
      </w:r>
      <w:r w:rsidRPr="00CE5BE5">
        <w:rPr>
          <w:rStyle w:val="hps"/>
          <w:rFonts w:cs="Traditional Arabic"/>
          <w:sz w:val="18"/>
          <w:szCs w:val="26"/>
          <w:rtl/>
          <w:lang/>
        </w:rPr>
        <w:t>في 30 نيسان</w:t>
      </w:r>
      <w:r>
        <w:rPr>
          <w:rStyle w:val="hps"/>
          <w:rFonts w:cs="Traditional Arabic" w:hint="cs"/>
          <w:sz w:val="18"/>
          <w:szCs w:val="26"/>
          <w:rtl/>
          <w:lang/>
        </w:rPr>
        <w:t xml:space="preserve">/ </w:t>
      </w:r>
      <w:r w:rsidRPr="00CE5BE5">
        <w:rPr>
          <w:rStyle w:val="hps"/>
          <w:rFonts w:cs="Traditional Arabic" w:hint="cs"/>
          <w:sz w:val="18"/>
          <w:szCs w:val="26"/>
          <w:rtl/>
          <w:lang/>
        </w:rPr>
        <w:t>أبريل</w:t>
      </w:r>
      <w:r>
        <w:rPr>
          <w:rFonts w:cs="Traditional Arabic" w:hint="cs"/>
          <w:sz w:val="18"/>
          <w:szCs w:val="26"/>
          <w:rtl/>
          <w:lang/>
        </w:rPr>
        <w:t> </w:t>
      </w:r>
      <w:r w:rsidRPr="00CE5BE5">
        <w:rPr>
          <w:rStyle w:val="hps"/>
          <w:rFonts w:cs="Traditional Arabic"/>
          <w:sz w:val="18"/>
          <w:szCs w:val="26"/>
          <w:rtl/>
          <w:lang/>
        </w:rPr>
        <w:t>2007،</w:t>
      </w:r>
      <w:r w:rsidRPr="00CE5BE5">
        <w:rPr>
          <w:rFonts w:cs="Traditional Arabic"/>
          <w:sz w:val="18"/>
          <w:szCs w:val="26"/>
          <w:rtl/>
          <w:lang/>
        </w:rPr>
        <w:t xml:space="preserve"> </w:t>
      </w:r>
      <w:r w:rsidRPr="00CE5BE5">
        <w:rPr>
          <w:rStyle w:val="hps"/>
          <w:rFonts w:cs="Traditional Arabic"/>
          <w:sz w:val="18"/>
          <w:szCs w:val="26"/>
          <w:rtl/>
          <w:lang/>
        </w:rPr>
        <w:t>الفقرة</w:t>
      </w:r>
      <w:r w:rsidRPr="00CE5BE5">
        <w:rPr>
          <w:rFonts w:cs="Traditional Arabic"/>
          <w:sz w:val="18"/>
          <w:szCs w:val="26"/>
          <w:rtl/>
          <w:lang/>
        </w:rPr>
        <w:t xml:space="preserve"> </w:t>
      </w:r>
      <w:r w:rsidRPr="00CE5BE5">
        <w:rPr>
          <w:rStyle w:val="hps"/>
          <w:rFonts w:cs="Traditional Arabic"/>
          <w:sz w:val="18"/>
          <w:szCs w:val="26"/>
          <w:rtl/>
          <w:lang/>
        </w:rPr>
        <w:t>6</w:t>
      </w:r>
      <w:r w:rsidRPr="00CE5BE5">
        <w:rPr>
          <w:rStyle w:val="hps"/>
          <w:rFonts w:cs="Traditional Arabic" w:hint="cs"/>
          <w:sz w:val="18"/>
          <w:szCs w:val="26"/>
          <w:rtl/>
          <w:lang/>
        </w:rPr>
        <w:t>-</w:t>
      </w:r>
      <w:r w:rsidRPr="00CE5BE5">
        <w:rPr>
          <w:rStyle w:val="hps"/>
          <w:rFonts w:cs="Traditional Arabic"/>
          <w:sz w:val="18"/>
          <w:szCs w:val="26"/>
          <w:rtl/>
          <w:lang/>
        </w:rPr>
        <w:t>2</w:t>
      </w:r>
      <w:r w:rsidRPr="00CE5BE5">
        <w:rPr>
          <w:rFonts w:cs="Traditional Arabic"/>
          <w:sz w:val="18"/>
          <w:szCs w:val="26"/>
          <w:rtl/>
          <w:lang/>
        </w:rPr>
        <w:t>.</w:t>
      </w:r>
    </w:p>
  </w:footnote>
  <w:footnote w:id="136">
    <w:p w:rsidR="00F815BA" w:rsidRPr="00CE5BE5" w:rsidRDefault="00F815BA" w:rsidP="00FA645B">
      <w:pPr>
        <w:pStyle w:val="FootnoteText"/>
        <w:numPr>
          <w:ilvl w:val="0"/>
          <w:numId w:val="0"/>
        </w:numPr>
        <w:tabs>
          <w:tab w:val="left" w:pos="1240"/>
        </w:tabs>
        <w:bidi/>
        <w:spacing w:after="60" w:line="300" w:lineRule="exact"/>
        <w:ind w:left="1226" w:right="1247" w:hanging="378"/>
        <w:jc w:val="lowKashida"/>
        <w:rPr>
          <w:rFonts w:cs="Traditional Arabic"/>
          <w:sz w:val="18"/>
          <w:szCs w:val="26"/>
        </w:rPr>
      </w:pPr>
      <w:r w:rsidRPr="0077398F">
        <w:rPr>
          <w:rFonts w:cs="Traditional Arabic" w:hint="cs"/>
          <w:sz w:val="26"/>
          <w:szCs w:val="26"/>
          <w:rtl/>
        </w:rPr>
        <w:t>(</w:t>
      </w:r>
      <w:r>
        <w:rPr>
          <w:rFonts w:cs="Traditional Arabic" w:hint="cs"/>
          <w:sz w:val="26"/>
          <w:szCs w:val="26"/>
          <w:rtl/>
        </w:rPr>
        <w:t>م</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sz w:val="18"/>
          <w:szCs w:val="26"/>
          <w:rtl/>
          <w:lang/>
        </w:rPr>
        <w:t>تشير صاحبة</w:t>
      </w:r>
      <w:r w:rsidRPr="00CE5BE5">
        <w:rPr>
          <w:rFonts w:cs="Traditional Arabic"/>
          <w:sz w:val="18"/>
          <w:szCs w:val="26"/>
          <w:rtl/>
          <w:lang/>
        </w:rPr>
        <w:t xml:space="preserve"> </w:t>
      </w:r>
      <w:r w:rsidRPr="00CE5BE5">
        <w:rPr>
          <w:rStyle w:val="hps"/>
          <w:rFonts w:cs="Traditional Arabic"/>
          <w:sz w:val="18"/>
          <w:szCs w:val="26"/>
          <w:rtl/>
          <w:lang/>
        </w:rPr>
        <w:t>الشكوى إلى رسالة</w:t>
      </w:r>
      <w:r w:rsidRPr="00CE5BE5">
        <w:rPr>
          <w:rFonts w:cs="Traditional Arabic"/>
          <w:sz w:val="18"/>
          <w:szCs w:val="26"/>
          <w:rtl/>
          <w:lang/>
        </w:rPr>
        <w:t xml:space="preserve"> </w:t>
      </w:r>
      <w:r w:rsidRPr="00CE5BE5">
        <w:rPr>
          <w:rStyle w:val="hps"/>
          <w:rFonts w:cs="Traditional Arabic"/>
          <w:sz w:val="18"/>
          <w:szCs w:val="26"/>
          <w:rtl/>
          <w:lang/>
        </w:rPr>
        <w:t>مؤرخة</w:t>
      </w:r>
      <w:r w:rsidRPr="00CE5BE5">
        <w:rPr>
          <w:rFonts w:cs="Traditional Arabic"/>
          <w:sz w:val="18"/>
          <w:szCs w:val="26"/>
          <w:rtl/>
          <w:lang/>
        </w:rPr>
        <w:t xml:space="preserve"> </w:t>
      </w:r>
      <w:r w:rsidRPr="00CE5BE5">
        <w:rPr>
          <w:rStyle w:val="hps"/>
          <w:rFonts w:cs="Traditional Arabic"/>
          <w:sz w:val="18"/>
          <w:szCs w:val="26"/>
          <w:rtl/>
          <w:lang/>
        </w:rPr>
        <w:t xml:space="preserve">28 </w:t>
      </w:r>
      <w:r w:rsidRPr="00CE5BE5">
        <w:rPr>
          <w:rStyle w:val="hps"/>
          <w:rFonts w:cs="Traditional Arabic" w:hint="cs"/>
          <w:sz w:val="18"/>
          <w:szCs w:val="26"/>
          <w:rtl/>
          <w:lang/>
        </w:rPr>
        <w:t>تموز/يوليه</w:t>
      </w:r>
      <w:r w:rsidRPr="00CE5BE5">
        <w:rPr>
          <w:rStyle w:val="hps"/>
          <w:rFonts w:cs="Traditional Arabic"/>
          <w:sz w:val="18"/>
          <w:szCs w:val="26"/>
          <w:rtl/>
          <w:lang/>
        </w:rPr>
        <w:t xml:space="preserve"> 2010</w:t>
      </w:r>
      <w:r w:rsidRPr="00CE5BE5">
        <w:rPr>
          <w:rFonts w:cs="Traditional Arabic" w:hint="cs"/>
          <w:sz w:val="18"/>
          <w:szCs w:val="26"/>
          <w:rtl/>
          <w:lang/>
        </w:rPr>
        <w:t xml:space="preserve">، </w:t>
      </w:r>
      <w:r w:rsidRPr="00CE5BE5">
        <w:rPr>
          <w:rStyle w:val="hps"/>
          <w:rFonts w:cs="Traditional Arabic" w:hint="cs"/>
          <w:sz w:val="18"/>
          <w:szCs w:val="26"/>
          <w:rtl/>
          <w:lang/>
        </w:rPr>
        <w:t xml:space="preserve">وجهها </w:t>
      </w:r>
      <w:r w:rsidRPr="00CE5BE5">
        <w:rPr>
          <w:rStyle w:val="hps"/>
          <w:rFonts w:cs="Traditional Arabic"/>
          <w:sz w:val="18"/>
          <w:szCs w:val="26"/>
          <w:rtl/>
          <w:lang/>
        </w:rPr>
        <w:t>المدعي العام</w:t>
      </w:r>
      <w:r w:rsidRPr="00CE5BE5">
        <w:rPr>
          <w:rFonts w:cs="Traditional Arabic"/>
          <w:sz w:val="18"/>
          <w:szCs w:val="26"/>
          <w:rtl/>
          <w:lang/>
        </w:rPr>
        <w:t xml:space="preserve"> </w:t>
      </w:r>
      <w:r w:rsidRPr="00CE5BE5">
        <w:rPr>
          <w:rFonts w:cs="Traditional Arabic" w:hint="cs"/>
          <w:sz w:val="18"/>
          <w:szCs w:val="26"/>
          <w:rtl/>
          <w:lang/>
        </w:rPr>
        <w:t>ل</w:t>
      </w:r>
      <w:r w:rsidRPr="00CE5BE5">
        <w:rPr>
          <w:rStyle w:val="hps"/>
          <w:rFonts w:cs="Traditional Arabic"/>
          <w:sz w:val="18"/>
          <w:szCs w:val="26"/>
          <w:rtl/>
          <w:lang/>
        </w:rPr>
        <w:t>ساربروكن</w:t>
      </w:r>
      <w:r w:rsidRPr="00CE5BE5">
        <w:rPr>
          <w:rFonts w:cs="Traditional Arabic"/>
          <w:sz w:val="18"/>
          <w:szCs w:val="26"/>
          <w:rtl/>
          <w:lang/>
        </w:rPr>
        <w:t xml:space="preserve"> إلى </w:t>
      </w:r>
      <w:r w:rsidRPr="00CE5BE5">
        <w:rPr>
          <w:rStyle w:val="hps"/>
          <w:rFonts w:cs="Traditional Arabic" w:hint="cs"/>
          <w:sz w:val="18"/>
          <w:szCs w:val="26"/>
          <w:rtl/>
          <w:lang/>
        </w:rPr>
        <w:t>الشرطة القضائية في</w:t>
      </w:r>
      <w:r w:rsidRPr="00CE5BE5">
        <w:rPr>
          <w:rFonts w:cs="Traditional Arabic"/>
          <w:sz w:val="18"/>
          <w:szCs w:val="26"/>
          <w:rtl/>
          <w:lang/>
        </w:rPr>
        <w:t xml:space="preserve"> </w:t>
      </w:r>
      <w:r w:rsidRPr="00CE5BE5">
        <w:rPr>
          <w:rStyle w:val="hps"/>
          <w:rFonts w:cs="Traditional Arabic"/>
          <w:sz w:val="18"/>
          <w:szCs w:val="26"/>
          <w:rtl/>
          <w:lang/>
        </w:rPr>
        <w:t>فيسبادن</w:t>
      </w:r>
      <w:r w:rsidRPr="00CE5BE5">
        <w:rPr>
          <w:rFonts w:cs="Traditional Arabic"/>
          <w:sz w:val="18"/>
          <w:szCs w:val="26"/>
          <w:rtl/>
          <w:lang/>
        </w:rPr>
        <w:t xml:space="preserve"> </w:t>
      </w:r>
      <w:r w:rsidRPr="00CE5BE5">
        <w:rPr>
          <w:rStyle w:val="hps"/>
          <w:rFonts w:cs="Traditional Arabic"/>
          <w:sz w:val="18"/>
          <w:szCs w:val="26"/>
          <w:rtl/>
          <w:lang/>
        </w:rPr>
        <w:t>بشأن</w:t>
      </w:r>
      <w:r w:rsidRPr="00CE5BE5">
        <w:rPr>
          <w:rStyle w:val="hps"/>
          <w:rFonts w:cs="Traditional Arabic" w:hint="cs"/>
          <w:sz w:val="18"/>
          <w:szCs w:val="26"/>
          <w:rtl/>
          <w:lang/>
        </w:rPr>
        <w:t xml:space="preserve"> الترتيبات والاستعدادات المتعلقة بتسليم</w:t>
      </w:r>
      <w:r w:rsidRPr="00CE5BE5">
        <w:rPr>
          <w:rFonts w:cs="Traditional Arabic"/>
          <w:sz w:val="18"/>
          <w:szCs w:val="26"/>
          <w:rtl/>
          <w:lang/>
        </w:rPr>
        <w:t xml:space="preserve"> السيد </w:t>
      </w:r>
      <w:r w:rsidRPr="00CE5BE5">
        <w:rPr>
          <w:rStyle w:val="hps"/>
          <w:rFonts w:cs="Traditional Arabic" w:hint="cs"/>
          <w:sz w:val="18"/>
          <w:szCs w:val="26"/>
          <w:rtl/>
          <w:lang/>
        </w:rPr>
        <w:t xml:space="preserve">أنسي عبيشو </w:t>
      </w:r>
      <w:r w:rsidRPr="00CE5BE5">
        <w:rPr>
          <w:rStyle w:val="hps"/>
          <w:rFonts w:cs="Traditional Arabic"/>
          <w:sz w:val="18"/>
          <w:szCs w:val="26"/>
          <w:rtl/>
          <w:lang/>
        </w:rPr>
        <w:t>(انظر</w:t>
      </w:r>
      <w:r w:rsidRPr="00CE5BE5">
        <w:rPr>
          <w:rFonts w:cs="Traditional Arabic"/>
          <w:sz w:val="18"/>
          <w:szCs w:val="26"/>
          <w:rtl/>
          <w:lang/>
        </w:rPr>
        <w:t xml:space="preserve"> </w:t>
      </w:r>
      <w:r w:rsidRPr="00CE5BE5">
        <w:rPr>
          <w:rStyle w:val="hps"/>
          <w:rFonts w:cs="Traditional Arabic"/>
          <w:sz w:val="18"/>
          <w:szCs w:val="26"/>
          <w:rtl/>
          <w:lang/>
        </w:rPr>
        <w:t>الفقرة</w:t>
      </w:r>
      <w:r w:rsidRPr="00CE5BE5">
        <w:rPr>
          <w:rFonts w:cs="Traditional Arabic" w:hint="cs"/>
          <w:sz w:val="18"/>
          <w:szCs w:val="26"/>
          <w:rtl/>
          <w:lang/>
        </w:rPr>
        <w:t> </w:t>
      </w:r>
      <w:r w:rsidRPr="00CE5BE5">
        <w:rPr>
          <w:rStyle w:val="hps"/>
          <w:rFonts w:cs="Traditional Arabic"/>
          <w:sz w:val="18"/>
          <w:szCs w:val="26"/>
          <w:rtl/>
          <w:lang/>
        </w:rPr>
        <w:t>2</w:t>
      </w:r>
      <w:r w:rsidRPr="00CE5BE5">
        <w:rPr>
          <w:rStyle w:val="hps"/>
          <w:rFonts w:cs="Traditional Arabic" w:hint="cs"/>
          <w:sz w:val="18"/>
          <w:szCs w:val="26"/>
          <w:rtl/>
          <w:lang/>
        </w:rPr>
        <w:t>-</w:t>
      </w:r>
      <w:r w:rsidRPr="00CE5BE5">
        <w:rPr>
          <w:rStyle w:val="hps"/>
          <w:rFonts w:cs="Traditional Arabic"/>
          <w:sz w:val="18"/>
          <w:szCs w:val="26"/>
          <w:rtl/>
          <w:lang/>
        </w:rPr>
        <w:t>10</w:t>
      </w:r>
      <w:r w:rsidRPr="00CE5BE5">
        <w:rPr>
          <w:rFonts w:cs="Traditional Arabic"/>
          <w:sz w:val="18"/>
          <w:szCs w:val="26"/>
          <w:rtl/>
          <w:lang/>
        </w:rPr>
        <w:t>).</w:t>
      </w:r>
    </w:p>
  </w:footnote>
  <w:footnote w:id="137">
    <w:p w:rsidR="00F815BA" w:rsidRPr="00CE5BE5" w:rsidRDefault="00F815BA" w:rsidP="00FA645B">
      <w:pPr>
        <w:pStyle w:val="FootnoteText"/>
        <w:numPr>
          <w:ilvl w:val="0"/>
          <w:numId w:val="0"/>
        </w:numPr>
        <w:tabs>
          <w:tab w:val="left" w:pos="1254"/>
        </w:tabs>
        <w:bidi/>
        <w:spacing w:after="60" w:line="300" w:lineRule="exact"/>
        <w:ind w:left="1226" w:right="1247" w:hanging="462"/>
        <w:jc w:val="lowKashida"/>
        <w:rPr>
          <w:rFonts w:cs="Traditional Arabic"/>
          <w:sz w:val="18"/>
          <w:szCs w:val="26"/>
        </w:rPr>
      </w:pPr>
      <w:r w:rsidRPr="0077398F">
        <w:rPr>
          <w:rFonts w:cs="Traditional Arabic" w:hint="cs"/>
          <w:sz w:val="26"/>
          <w:szCs w:val="26"/>
          <w:rtl/>
        </w:rPr>
        <w:t>(</w:t>
      </w:r>
      <w:r>
        <w:rPr>
          <w:rFonts w:cs="Traditional Arabic" w:hint="cs"/>
          <w:sz w:val="26"/>
          <w:szCs w:val="26"/>
          <w:rtl/>
        </w:rPr>
        <w:t>ن</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sz w:val="18"/>
          <w:szCs w:val="26"/>
          <w:rtl/>
          <w:lang/>
        </w:rPr>
        <w:t>تنص الفقرة</w:t>
      </w:r>
      <w:r w:rsidRPr="00CE5BE5">
        <w:rPr>
          <w:rFonts w:cs="Traditional Arabic"/>
          <w:sz w:val="18"/>
          <w:szCs w:val="26"/>
          <w:rtl/>
          <w:lang/>
        </w:rPr>
        <w:t xml:space="preserve"> </w:t>
      </w:r>
      <w:r w:rsidRPr="00CE5BE5">
        <w:rPr>
          <w:rStyle w:val="hps"/>
          <w:rFonts w:cs="Traditional Arabic"/>
          <w:sz w:val="18"/>
          <w:szCs w:val="26"/>
          <w:rtl/>
          <w:lang/>
        </w:rPr>
        <w:t>ذات الصلة</w:t>
      </w:r>
      <w:r w:rsidRPr="00CE5BE5">
        <w:rPr>
          <w:rFonts w:cs="Traditional Arabic"/>
          <w:sz w:val="18"/>
          <w:szCs w:val="26"/>
          <w:rtl/>
          <w:lang/>
        </w:rPr>
        <w:t xml:space="preserve"> </w:t>
      </w:r>
      <w:r w:rsidRPr="00CE5BE5">
        <w:rPr>
          <w:rStyle w:val="hps"/>
          <w:rFonts w:cs="Traditional Arabic"/>
          <w:sz w:val="18"/>
          <w:szCs w:val="26"/>
          <w:rtl/>
          <w:lang/>
        </w:rPr>
        <w:t>من ال</w:t>
      </w:r>
      <w:r w:rsidRPr="00CE5BE5">
        <w:rPr>
          <w:rStyle w:val="hps"/>
          <w:rFonts w:cs="Traditional Arabic" w:hint="cs"/>
          <w:sz w:val="18"/>
          <w:szCs w:val="26"/>
          <w:rtl/>
          <w:lang/>
        </w:rPr>
        <w:t>طلب</w:t>
      </w:r>
      <w:r w:rsidRPr="00CE5BE5">
        <w:rPr>
          <w:rFonts w:cs="Traditional Arabic"/>
          <w:sz w:val="18"/>
          <w:szCs w:val="26"/>
          <w:rtl/>
          <w:lang/>
        </w:rPr>
        <w:t xml:space="preserve"> </w:t>
      </w:r>
      <w:r w:rsidRPr="00CE5BE5">
        <w:rPr>
          <w:rStyle w:val="hps"/>
          <w:rFonts w:cs="Traditional Arabic"/>
          <w:sz w:val="18"/>
          <w:szCs w:val="26"/>
          <w:rtl/>
          <w:lang/>
        </w:rPr>
        <w:t>على ما</w:t>
      </w:r>
      <w:r w:rsidRPr="00CE5BE5">
        <w:rPr>
          <w:rFonts w:cs="Traditional Arabic"/>
          <w:sz w:val="18"/>
          <w:szCs w:val="26"/>
          <w:rtl/>
          <w:lang/>
        </w:rPr>
        <w:t xml:space="preserve"> </w:t>
      </w:r>
      <w:r w:rsidRPr="00CE5BE5">
        <w:rPr>
          <w:rStyle w:val="hps"/>
          <w:rFonts w:cs="Traditional Arabic"/>
          <w:sz w:val="18"/>
          <w:szCs w:val="26"/>
          <w:rtl/>
          <w:lang/>
        </w:rPr>
        <w:t>يلي: "</w:t>
      </w:r>
      <w:r w:rsidRPr="00CE5BE5">
        <w:rPr>
          <w:rStyle w:val="hps"/>
          <w:rFonts w:cs="Traditional Arabic" w:hint="cs"/>
          <w:sz w:val="18"/>
          <w:szCs w:val="26"/>
          <w:rtl/>
          <w:lang/>
        </w:rPr>
        <w:t xml:space="preserve">تقدم صاحبة الشكوى شكوى ضد </w:t>
      </w:r>
      <w:r w:rsidRPr="00CE5BE5">
        <w:rPr>
          <w:rStyle w:val="hps"/>
          <w:rFonts w:cs="Traditional Arabic"/>
          <w:sz w:val="18"/>
          <w:szCs w:val="26"/>
          <w:rtl/>
          <w:lang/>
        </w:rPr>
        <w:t>ألمانيا</w:t>
      </w:r>
      <w:r w:rsidRPr="00CE5BE5">
        <w:rPr>
          <w:rFonts w:cs="Traditional Arabic"/>
          <w:sz w:val="18"/>
          <w:szCs w:val="26"/>
          <w:rtl/>
          <w:lang/>
        </w:rPr>
        <w:t xml:space="preserve"> </w:t>
      </w:r>
      <w:r w:rsidRPr="00CE5BE5">
        <w:rPr>
          <w:rFonts w:cs="Traditional Arabic" w:hint="cs"/>
          <w:sz w:val="18"/>
          <w:szCs w:val="26"/>
          <w:rtl/>
          <w:lang/>
        </w:rPr>
        <w:t xml:space="preserve">لانتهاكها </w:t>
      </w:r>
      <w:r w:rsidRPr="00CE5BE5">
        <w:rPr>
          <w:rStyle w:val="hps"/>
          <w:rFonts w:cs="Traditional Arabic" w:hint="cs"/>
          <w:sz w:val="18"/>
          <w:szCs w:val="26"/>
          <w:rtl/>
          <w:lang/>
        </w:rPr>
        <w:t>ا</w:t>
      </w:r>
      <w:r w:rsidRPr="00CE5BE5">
        <w:rPr>
          <w:rStyle w:val="hps"/>
          <w:rFonts w:cs="Traditional Arabic"/>
          <w:sz w:val="18"/>
          <w:szCs w:val="26"/>
          <w:rtl/>
          <w:lang/>
        </w:rPr>
        <w:t>لمادة</w:t>
      </w:r>
      <w:r w:rsidRPr="00CE5BE5">
        <w:rPr>
          <w:rFonts w:cs="Traditional Arabic" w:hint="cs"/>
          <w:sz w:val="18"/>
          <w:szCs w:val="26"/>
          <w:rtl/>
          <w:lang/>
        </w:rPr>
        <w:t> </w:t>
      </w:r>
      <w:r w:rsidRPr="00CE5BE5">
        <w:rPr>
          <w:rStyle w:val="hps"/>
          <w:rFonts w:cs="Traditional Arabic"/>
          <w:sz w:val="18"/>
          <w:szCs w:val="26"/>
          <w:rtl/>
          <w:lang/>
        </w:rPr>
        <w:t>6 من الاتفاقية</w:t>
      </w:r>
      <w:r w:rsidRPr="00CE5BE5">
        <w:rPr>
          <w:rFonts w:cs="Traditional Arabic"/>
          <w:sz w:val="18"/>
          <w:szCs w:val="26"/>
          <w:rtl/>
          <w:lang/>
        </w:rPr>
        <w:t xml:space="preserve"> </w:t>
      </w:r>
      <w:r w:rsidRPr="00CE5BE5">
        <w:rPr>
          <w:rStyle w:val="hps"/>
          <w:rFonts w:cs="Traditional Arabic"/>
          <w:sz w:val="18"/>
          <w:szCs w:val="26"/>
          <w:rtl/>
          <w:lang/>
        </w:rPr>
        <w:t>الأوروبية ل</w:t>
      </w:r>
      <w:r w:rsidRPr="00CE5BE5">
        <w:rPr>
          <w:rFonts w:cs="Traditional Arabic"/>
          <w:sz w:val="18"/>
          <w:szCs w:val="26"/>
          <w:rtl/>
          <w:lang/>
        </w:rPr>
        <w:t xml:space="preserve">حماية حقوق الإنسان </w:t>
      </w:r>
      <w:r w:rsidRPr="00CE5BE5">
        <w:rPr>
          <w:rStyle w:val="hps"/>
          <w:rFonts w:cs="Traditional Arabic"/>
          <w:sz w:val="18"/>
          <w:szCs w:val="26"/>
          <w:rtl/>
          <w:lang/>
        </w:rPr>
        <w:t>والحريات الأساسية</w:t>
      </w:r>
      <w:r w:rsidRPr="00CE5BE5">
        <w:rPr>
          <w:rFonts w:cs="Traditional Arabic"/>
          <w:sz w:val="18"/>
          <w:szCs w:val="26"/>
          <w:rtl/>
          <w:lang/>
        </w:rPr>
        <w:t xml:space="preserve">، والمادة </w:t>
      </w:r>
      <w:r w:rsidRPr="00CE5BE5">
        <w:rPr>
          <w:rStyle w:val="hps"/>
          <w:rFonts w:cs="Traditional Arabic"/>
          <w:sz w:val="18"/>
          <w:szCs w:val="26"/>
          <w:rtl/>
          <w:lang/>
        </w:rPr>
        <w:t>4 من</w:t>
      </w:r>
      <w:r w:rsidRPr="00CE5BE5">
        <w:rPr>
          <w:rFonts w:cs="Traditional Arabic"/>
          <w:sz w:val="18"/>
          <w:szCs w:val="26"/>
          <w:rtl/>
          <w:lang/>
        </w:rPr>
        <w:t xml:space="preserve"> </w:t>
      </w:r>
      <w:r w:rsidRPr="00CE5BE5">
        <w:rPr>
          <w:rStyle w:val="hps"/>
          <w:rFonts w:cs="Traditional Arabic"/>
          <w:sz w:val="18"/>
          <w:szCs w:val="26"/>
          <w:rtl/>
          <w:lang/>
        </w:rPr>
        <w:t>البروتوكول رقم</w:t>
      </w:r>
      <w:r w:rsidRPr="00CE5BE5">
        <w:rPr>
          <w:rFonts w:cs="Traditional Arabic"/>
          <w:sz w:val="18"/>
          <w:szCs w:val="26"/>
          <w:rtl/>
          <w:lang/>
        </w:rPr>
        <w:t xml:space="preserve"> </w:t>
      </w:r>
      <w:r w:rsidRPr="00CE5BE5">
        <w:rPr>
          <w:rStyle w:val="hps"/>
          <w:rFonts w:cs="Traditional Arabic"/>
          <w:sz w:val="18"/>
          <w:szCs w:val="26"/>
          <w:rtl/>
          <w:lang/>
        </w:rPr>
        <w:t>7</w:t>
      </w:r>
      <w:r w:rsidRPr="00CE5BE5">
        <w:rPr>
          <w:rFonts w:cs="Traditional Arabic"/>
          <w:sz w:val="18"/>
          <w:szCs w:val="26"/>
          <w:rtl/>
          <w:lang/>
        </w:rPr>
        <w:t xml:space="preserve"> </w:t>
      </w:r>
      <w:r w:rsidRPr="00CE5BE5">
        <w:rPr>
          <w:rStyle w:val="hps"/>
          <w:rFonts w:cs="Traditional Arabic" w:hint="cs"/>
          <w:sz w:val="18"/>
          <w:szCs w:val="26"/>
          <w:rtl/>
          <w:lang/>
        </w:rPr>
        <w:t>ل</w:t>
      </w:r>
      <w:r w:rsidRPr="00CE5BE5">
        <w:rPr>
          <w:rStyle w:val="hps"/>
          <w:rFonts w:cs="Traditional Arabic"/>
          <w:sz w:val="18"/>
          <w:szCs w:val="26"/>
          <w:rtl/>
          <w:lang/>
        </w:rPr>
        <w:t>نفس الاتفاقية</w:t>
      </w:r>
      <w:r w:rsidRPr="00CE5BE5">
        <w:rPr>
          <w:rStyle w:val="hps"/>
          <w:rFonts w:cs="Traditional Arabic" w:hint="cs"/>
          <w:sz w:val="18"/>
          <w:szCs w:val="26"/>
          <w:rtl/>
          <w:lang/>
        </w:rPr>
        <w:t>،</w:t>
      </w:r>
      <w:r w:rsidRPr="00CE5BE5">
        <w:rPr>
          <w:rFonts w:cs="Traditional Arabic"/>
          <w:sz w:val="18"/>
          <w:szCs w:val="26"/>
          <w:rtl/>
          <w:lang/>
        </w:rPr>
        <w:t xml:space="preserve"> و</w:t>
      </w:r>
      <w:r w:rsidRPr="00CE5BE5">
        <w:rPr>
          <w:rStyle w:val="hps"/>
          <w:rFonts w:cs="Traditional Arabic"/>
          <w:sz w:val="18"/>
          <w:szCs w:val="26"/>
          <w:rtl/>
          <w:lang/>
        </w:rPr>
        <w:t>المادة 3</w:t>
      </w:r>
      <w:r w:rsidRPr="00CE5BE5">
        <w:rPr>
          <w:rFonts w:cs="Traditional Arabic"/>
          <w:sz w:val="18"/>
          <w:szCs w:val="26"/>
          <w:rtl/>
          <w:lang/>
        </w:rPr>
        <w:t xml:space="preserve"> </w:t>
      </w:r>
      <w:r w:rsidRPr="00CE5BE5">
        <w:rPr>
          <w:rStyle w:val="hps"/>
          <w:rFonts w:cs="Traditional Arabic"/>
          <w:sz w:val="18"/>
          <w:szCs w:val="26"/>
          <w:rtl/>
          <w:lang/>
        </w:rPr>
        <w:t>من اتفاقية مناهضة</w:t>
      </w:r>
      <w:r w:rsidRPr="00CE5BE5">
        <w:rPr>
          <w:rFonts w:cs="Traditional Arabic"/>
          <w:sz w:val="18"/>
          <w:szCs w:val="26"/>
          <w:rtl/>
          <w:lang/>
        </w:rPr>
        <w:t xml:space="preserve"> </w:t>
      </w:r>
      <w:r w:rsidRPr="00CE5BE5">
        <w:rPr>
          <w:rStyle w:val="hps"/>
          <w:rFonts w:cs="Traditional Arabic"/>
          <w:sz w:val="18"/>
          <w:szCs w:val="26"/>
          <w:rtl/>
          <w:lang/>
        </w:rPr>
        <w:t>التعذيب</w:t>
      </w:r>
      <w:r w:rsidRPr="00CE5BE5">
        <w:rPr>
          <w:rFonts w:cs="Traditional Arabic"/>
          <w:sz w:val="18"/>
          <w:szCs w:val="26"/>
          <w:rtl/>
          <w:lang/>
        </w:rPr>
        <w:t xml:space="preserve"> </w:t>
      </w:r>
      <w:r w:rsidRPr="00CE5BE5">
        <w:rPr>
          <w:rStyle w:val="hps"/>
          <w:rFonts w:cs="Traditional Arabic"/>
          <w:sz w:val="18"/>
          <w:szCs w:val="26"/>
          <w:rtl/>
          <w:lang/>
        </w:rPr>
        <w:t>وغيره من ضروب</w:t>
      </w:r>
      <w:r w:rsidRPr="00CE5BE5">
        <w:rPr>
          <w:rFonts w:cs="Traditional Arabic"/>
          <w:sz w:val="18"/>
          <w:szCs w:val="26"/>
          <w:rtl/>
          <w:lang/>
        </w:rPr>
        <w:t xml:space="preserve"> </w:t>
      </w:r>
      <w:r w:rsidRPr="00CE5BE5">
        <w:rPr>
          <w:rStyle w:val="hps"/>
          <w:rFonts w:cs="Traditional Arabic"/>
          <w:sz w:val="18"/>
          <w:szCs w:val="26"/>
          <w:rtl/>
          <w:lang/>
        </w:rPr>
        <w:t>المعاملة أو العقوبة القاسية</w:t>
      </w:r>
      <w:r w:rsidRPr="00CE5BE5">
        <w:rPr>
          <w:rFonts w:cs="Traditional Arabic"/>
          <w:sz w:val="18"/>
          <w:szCs w:val="26"/>
          <w:rtl/>
          <w:lang/>
        </w:rPr>
        <w:t xml:space="preserve"> </w:t>
      </w:r>
      <w:r w:rsidRPr="00CE5BE5">
        <w:rPr>
          <w:rStyle w:val="hps"/>
          <w:rFonts w:cs="Traditional Arabic"/>
          <w:sz w:val="18"/>
          <w:szCs w:val="26"/>
          <w:rtl/>
          <w:lang/>
        </w:rPr>
        <w:t>أو</w:t>
      </w:r>
      <w:r w:rsidRPr="00CE5BE5">
        <w:rPr>
          <w:rFonts w:cs="Traditional Arabic" w:hint="cs"/>
          <w:sz w:val="18"/>
          <w:szCs w:val="26"/>
          <w:rtl/>
          <w:lang/>
        </w:rPr>
        <w:t> </w:t>
      </w:r>
      <w:r w:rsidRPr="00CE5BE5">
        <w:rPr>
          <w:rStyle w:val="hps"/>
          <w:rFonts w:cs="Traditional Arabic"/>
          <w:sz w:val="18"/>
          <w:szCs w:val="26"/>
          <w:rtl/>
          <w:lang/>
        </w:rPr>
        <w:t>اللاإنسانية</w:t>
      </w:r>
      <w:r w:rsidRPr="00CE5BE5">
        <w:rPr>
          <w:rFonts w:cs="Traditional Arabic"/>
          <w:sz w:val="18"/>
          <w:szCs w:val="26"/>
          <w:rtl/>
          <w:lang/>
        </w:rPr>
        <w:t xml:space="preserve"> </w:t>
      </w:r>
      <w:r w:rsidRPr="00CE5BE5">
        <w:rPr>
          <w:rStyle w:val="hps"/>
          <w:rFonts w:cs="Traditional Arabic"/>
          <w:sz w:val="18"/>
          <w:szCs w:val="26"/>
          <w:rtl/>
          <w:lang/>
        </w:rPr>
        <w:t>أو المهينة"</w:t>
      </w:r>
      <w:r w:rsidRPr="00CE5BE5">
        <w:rPr>
          <w:rStyle w:val="hps"/>
          <w:rFonts w:cs="Traditional Arabic" w:hint="cs"/>
          <w:sz w:val="18"/>
          <w:szCs w:val="26"/>
          <w:rtl/>
          <w:lang/>
        </w:rPr>
        <w:t xml:space="preserve"> </w:t>
      </w:r>
      <w:r w:rsidRPr="00CE5BE5">
        <w:rPr>
          <w:rStyle w:val="hps"/>
          <w:rFonts w:cs="Traditional Arabic"/>
          <w:sz w:val="18"/>
          <w:szCs w:val="26"/>
          <w:rtl/>
          <w:lang/>
        </w:rPr>
        <w:t>(الفقرة</w:t>
      </w:r>
      <w:r w:rsidRPr="00CE5BE5">
        <w:rPr>
          <w:rFonts w:cs="Traditional Arabic"/>
          <w:sz w:val="18"/>
          <w:szCs w:val="26"/>
          <w:rtl/>
          <w:lang/>
        </w:rPr>
        <w:t xml:space="preserve"> </w:t>
      </w:r>
      <w:r w:rsidRPr="00CE5BE5">
        <w:rPr>
          <w:rStyle w:val="hps"/>
          <w:rFonts w:cs="Traditional Arabic"/>
          <w:sz w:val="18"/>
          <w:szCs w:val="26"/>
          <w:rtl/>
          <w:lang/>
        </w:rPr>
        <w:t>11)</w:t>
      </w:r>
      <w:r w:rsidRPr="00CE5BE5">
        <w:rPr>
          <w:rFonts w:cs="Traditional Arabic"/>
          <w:sz w:val="18"/>
          <w:szCs w:val="26"/>
          <w:rtl/>
          <w:lang/>
        </w:rPr>
        <w:t>.</w:t>
      </w:r>
    </w:p>
  </w:footnote>
  <w:footnote w:id="138">
    <w:p w:rsidR="00F815BA" w:rsidRPr="00CE5BE5" w:rsidRDefault="00F815BA" w:rsidP="0077398F">
      <w:pPr>
        <w:pStyle w:val="FootnoteText"/>
        <w:numPr>
          <w:ilvl w:val="0"/>
          <w:numId w:val="0"/>
        </w:numPr>
        <w:tabs>
          <w:tab w:val="left" w:pos="1254"/>
        </w:tabs>
        <w:bidi/>
        <w:spacing w:after="60" w:line="300" w:lineRule="exact"/>
        <w:ind w:left="1226" w:right="1247" w:hanging="504"/>
        <w:jc w:val="lowKashida"/>
        <w:rPr>
          <w:rFonts w:cs="Traditional Arabic"/>
          <w:sz w:val="18"/>
          <w:szCs w:val="26"/>
        </w:rPr>
      </w:pPr>
      <w:r w:rsidRPr="0077398F">
        <w:rPr>
          <w:rFonts w:cs="Traditional Arabic" w:hint="cs"/>
          <w:sz w:val="26"/>
          <w:szCs w:val="26"/>
          <w:rtl/>
        </w:rPr>
        <w:t>(</w:t>
      </w:r>
      <w:r>
        <w:rPr>
          <w:rFonts w:cs="Traditional Arabic" w:hint="cs"/>
          <w:sz w:val="26"/>
          <w:szCs w:val="26"/>
          <w:rtl/>
        </w:rPr>
        <w:t>س</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hint="cs"/>
          <w:sz w:val="18"/>
          <w:szCs w:val="26"/>
          <w:rtl/>
          <w:lang/>
        </w:rPr>
        <w:t>تتمثل الضمانات المقدمة فيما يلي</w:t>
      </w:r>
      <w:r w:rsidRPr="00CE5BE5">
        <w:rPr>
          <w:rFonts w:cs="Traditional Arabic"/>
          <w:sz w:val="18"/>
          <w:szCs w:val="26"/>
          <w:rtl/>
          <w:lang/>
        </w:rPr>
        <w:t xml:space="preserve">: </w:t>
      </w:r>
      <w:r w:rsidRPr="00CE5BE5">
        <w:rPr>
          <w:rStyle w:val="hps"/>
          <w:rFonts w:cs="Traditional Arabic"/>
          <w:sz w:val="18"/>
          <w:szCs w:val="26"/>
          <w:rtl/>
          <w:lang/>
        </w:rPr>
        <w:t>(</w:t>
      </w:r>
      <w:r w:rsidRPr="00CE5BE5">
        <w:rPr>
          <w:rFonts w:cs="Traditional Arabic" w:hint="cs"/>
          <w:sz w:val="18"/>
          <w:szCs w:val="26"/>
          <w:rtl/>
          <w:lang/>
        </w:rPr>
        <w:t>1</w:t>
      </w:r>
      <w:r w:rsidRPr="00CE5BE5">
        <w:rPr>
          <w:rFonts w:cs="Traditional Arabic"/>
          <w:sz w:val="18"/>
          <w:szCs w:val="26"/>
          <w:rtl/>
          <w:lang/>
        </w:rPr>
        <w:t xml:space="preserve">) </w:t>
      </w:r>
      <w:r w:rsidRPr="00CE5BE5">
        <w:rPr>
          <w:rFonts w:cs="Traditional Arabic" w:hint="cs"/>
          <w:sz w:val="18"/>
          <w:szCs w:val="26"/>
          <w:rtl/>
          <w:lang/>
        </w:rPr>
        <w:t xml:space="preserve">"بمجرد </w:t>
      </w:r>
      <w:r w:rsidRPr="00CE5BE5">
        <w:rPr>
          <w:rStyle w:val="hps"/>
          <w:rFonts w:cs="Traditional Arabic"/>
          <w:sz w:val="18"/>
          <w:szCs w:val="26"/>
          <w:rtl/>
          <w:lang/>
        </w:rPr>
        <w:t>الطعن في</w:t>
      </w:r>
      <w:r w:rsidRPr="00CE5BE5">
        <w:rPr>
          <w:rFonts w:cs="Traditional Arabic"/>
          <w:sz w:val="18"/>
          <w:szCs w:val="26"/>
          <w:rtl/>
          <w:lang/>
        </w:rPr>
        <w:t xml:space="preserve"> </w:t>
      </w:r>
      <w:r w:rsidRPr="00CE5BE5">
        <w:rPr>
          <w:rStyle w:val="hps"/>
          <w:rFonts w:cs="Traditional Arabic" w:hint="cs"/>
          <w:sz w:val="18"/>
          <w:szCs w:val="26"/>
          <w:rtl/>
          <w:lang/>
        </w:rPr>
        <w:t xml:space="preserve">الأحكام </w:t>
      </w:r>
      <w:r w:rsidRPr="00CE5BE5">
        <w:rPr>
          <w:rStyle w:val="hps"/>
          <w:rFonts w:cs="Traditional Arabic"/>
          <w:sz w:val="18"/>
          <w:szCs w:val="26"/>
          <w:rtl/>
          <w:lang/>
        </w:rPr>
        <w:t xml:space="preserve">التي </w:t>
      </w:r>
      <w:r w:rsidRPr="00CE5BE5">
        <w:rPr>
          <w:rStyle w:val="hps"/>
          <w:rFonts w:cs="Traditional Arabic" w:hint="cs"/>
          <w:sz w:val="18"/>
          <w:szCs w:val="26"/>
          <w:rtl/>
          <w:lang/>
        </w:rPr>
        <w:t>يستند إليها طلب</w:t>
      </w:r>
      <w:r w:rsidRPr="00CE5BE5">
        <w:rPr>
          <w:rFonts w:cs="Traditional Arabic"/>
          <w:sz w:val="18"/>
          <w:szCs w:val="26"/>
          <w:rtl/>
          <w:lang/>
        </w:rPr>
        <w:t xml:space="preserve"> تسليم </w:t>
      </w:r>
      <w:r w:rsidRPr="00CE5BE5">
        <w:rPr>
          <w:rStyle w:val="hps"/>
          <w:rFonts w:cs="Traditional Arabic"/>
          <w:sz w:val="18"/>
          <w:szCs w:val="26"/>
          <w:rtl/>
          <w:lang/>
        </w:rPr>
        <w:t>السيد</w:t>
      </w:r>
      <w:r w:rsidRPr="00CE5BE5">
        <w:rPr>
          <w:rFonts w:cs="Traditional Arabic"/>
          <w:sz w:val="18"/>
          <w:szCs w:val="26"/>
          <w:rtl/>
          <w:lang/>
        </w:rPr>
        <w:t xml:space="preserve"> </w:t>
      </w:r>
      <w:r w:rsidRPr="00CE5BE5">
        <w:rPr>
          <w:rStyle w:val="hps"/>
          <w:rFonts w:cs="Traditional Arabic" w:hint="cs"/>
          <w:sz w:val="18"/>
          <w:szCs w:val="26"/>
          <w:rtl/>
          <w:lang/>
        </w:rPr>
        <w:t>أنسي عبيشو</w:t>
      </w:r>
      <w:r w:rsidRPr="00CE5BE5">
        <w:rPr>
          <w:rFonts w:cs="Traditional Arabic"/>
          <w:sz w:val="18"/>
          <w:szCs w:val="26"/>
          <w:rtl/>
          <w:lang/>
        </w:rPr>
        <w:t>، سوف</w:t>
      </w:r>
      <w:r w:rsidRPr="00CE5BE5">
        <w:rPr>
          <w:rFonts w:cs="Traditional Arabic" w:hint="cs"/>
          <w:sz w:val="18"/>
          <w:szCs w:val="26"/>
          <w:rtl/>
          <w:lang/>
        </w:rPr>
        <w:t xml:space="preserve"> تستأنف</w:t>
      </w:r>
      <w:r w:rsidRPr="00CE5BE5">
        <w:rPr>
          <w:rFonts w:cs="Traditional Arabic"/>
          <w:sz w:val="18"/>
          <w:szCs w:val="26"/>
          <w:rtl/>
          <w:lang/>
        </w:rPr>
        <w:t xml:space="preserve"> </w:t>
      </w:r>
      <w:r w:rsidRPr="00CE5BE5">
        <w:rPr>
          <w:rStyle w:val="hps"/>
          <w:rFonts w:cs="Traditional Arabic" w:hint="cs"/>
          <w:sz w:val="18"/>
          <w:szCs w:val="26"/>
          <w:rtl/>
          <w:lang/>
        </w:rPr>
        <w:t>الدعوى فيما يتعلق ب</w:t>
      </w:r>
      <w:r w:rsidRPr="00CE5BE5">
        <w:rPr>
          <w:rStyle w:val="hps"/>
          <w:rFonts w:cs="Traditional Arabic"/>
          <w:sz w:val="18"/>
          <w:szCs w:val="26"/>
          <w:rtl/>
          <w:lang/>
        </w:rPr>
        <w:t>كل الحقائق</w:t>
      </w:r>
      <w:r w:rsidRPr="00CE5BE5">
        <w:rPr>
          <w:rFonts w:cs="Traditional Arabic"/>
          <w:sz w:val="18"/>
          <w:szCs w:val="26"/>
          <w:rtl/>
          <w:lang/>
        </w:rPr>
        <w:t xml:space="preserve"> </w:t>
      </w:r>
      <w:r w:rsidRPr="00CE5BE5">
        <w:rPr>
          <w:rStyle w:val="hps"/>
          <w:rFonts w:cs="Traditional Arabic"/>
          <w:sz w:val="18"/>
          <w:szCs w:val="26"/>
          <w:rtl/>
          <w:lang/>
        </w:rPr>
        <w:t xml:space="preserve">ذات الصلة </w:t>
      </w:r>
      <w:r w:rsidRPr="00CE5BE5">
        <w:rPr>
          <w:rStyle w:val="hps"/>
          <w:rFonts w:cs="Traditional Arabic" w:hint="cs"/>
          <w:sz w:val="18"/>
          <w:szCs w:val="26"/>
          <w:rtl/>
          <w:lang/>
        </w:rPr>
        <w:t>ب</w:t>
      </w:r>
      <w:r w:rsidRPr="00CE5BE5">
        <w:rPr>
          <w:rStyle w:val="hps"/>
          <w:rFonts w:cs="Traditional Arabic"/>
          <w:sz w:val="18"/>
          <w:szCs w:val="26"/>
          <w:rtl/>
          <w:lang/>
        </w:rPr>
        <w:t>القضية؛</w:t>
      </w:r>
      <w:r w:rsidRPr="00CE5BE5">
        <w:rPr>
          <w:rFonts w:cs="Traditional Arabic"/>
          <w:sz w:val="18"/>
          <w:szCs w:val="26"/>
          <w:rtl/>
          <w:lang/>
        </w:rPr>
        <w:t xml:space="preserve"> </w:t>
      </w:r>
      <w:r w:rsidRPr="00CE5BE5">
        <w:rPr>
          <w:rStyle w:val="hps"/>
          <w:rFonts w:cs="Traditional Arabic"/>
          <w:sz w:val="18"/>
          <w:szCs w:val="26"/>
          <w:rtl/>
          <w:lang/>
        </w:rPr>
        <w:t>(</w:t>
      </w:r>
      <w:r w:rsidRPr="00CE5BE5">
        <w:rPr>
          <w:rStyle w:val="hps"/>
          <w:rFonts w:cs="Traditional Arabic" w:hint="cs"/>
          <w:sz w:val="18"/>
          <w:szCs w:val="26"/>
          <w:rtl/>
          <w:lang/>
        </w:rPr>
        <w:t>2</w:t>
      </w:r>
      <w:r w:rsidRPr="00CE5BE5">
        <w:rPr>
          <w:rStyle w:val="hps"/>
          <w:rFonts w:cs="Traditional Arabic"/>
          <w:sz w:val="18"/>
          <w:szCs w:val="26"/>
          <w:rtl/>
          <w:lang/>
        </w:rPr>
        <w:t>)</w:t>
      </w:r>
      <w:r w:rsidRPr="00CE5BE5">
        <w:rPr>
          <w:rFonts w:cs="Traditional Arabic"/>
          <w:sz w:val="18"/>
          <w:szCs w:val="26"/>
          <w:rtl/>
          <w:lang/>
        </w:rPr>
        <w:t xml:space="preserve"> </w:t>
      </w:r>
      <w:r w:rsidRPr="00CE5BE5">
        <w:rPr>
          <w:rStyle w:val="hps"/>
          <w:rFonts w:cs="Traditional Arabic" w:hint="cs"/>
          <w:sz w:val="18"/>
          <w:szCs w:val="26"/>
          <w:rtl/>
          <w:lang/>
        </w:rPr>
        <w:t>تضمن "</w:t>
      </w:r>
      <w:r w:rsidRPr="00CE5BE5">
        <w:rPr>
          <w:rFonts w:cs="Traditional Arabic"/>
          <w:sz w:val="18"/>
          <w:szCs w:val="26"/>
          <w:rtl/>
          <w:lang/>
        </w:rPr>
        <w:t>الإجراءات</w:t>
      </w:r>
      <w:r w:rsidRPr="00CE5BE5">
        <w:rPr>
          <w:rFonts w:cs="Traditional Arabic" w:hint="cs"/>
          <w:sz w:val="18"/>
          <w:szCs w:val="26"/>
          <w:rtl/>
          <w:lang/>
        </w:rPr>
        <w:t xml:space="preserve"> </w:t>
      </w:r>
      <w:r w:rsidRPr="0077398F">
        <w:rPr>
          <w:rStyle w:val="hps"/>
          <w:rFonts w:hint="cs"/>
          <w:rtl/>
        </w:rPr>
        <w:t>الجديدة</w:t>
      </w:r>
      <w:r w:rsidRPr="00CE5BE5">
        <w:rPr>
          <w:rFonts w:cs="Traditional Arabic" w:hint="cs"/>
          <w:sz w:val="18"/>
          <w:szCs w:val="26"/>
          <w:rtl/>
          <w:lang/>
        </w:rPr>
        <w:t>" بوجه خاص إمكانية</w:t>
      </w:r>
      <w:r w:rsidRPr="00CE5BE5">
        <w:rPr>
          <w:rFonts w:cs="Traditional Arabic"/>
          <w:sz w:val="18"/>
          <w:szCs w:val="26"/>
          <w:rtl/>
          <w:lang/>
        </w:rPr>
        <w:t xml:space="preserve"> </w:t>
      </w:r>
      <w:r w:rsidRPr="00CE5BE5">
        <w:rPr>
          <w:rStyle w:val="hps"/>
          <w:rFonts w:cs="Traditional Arabic"/>
          <w:sz w:val="18"/>
          <w:szCs w:val="26"/>
          <w:rtl/>
          <w:lang/>
        </w:rPr>
        <w:t>استجواب</w:t>
      </w:r>
      <w:r w:rsidRPr="00CE5BE5">
        <w:rPr>
          <w:rStyle w:val="hps"/>
          <w:rFonts w:cs="Traditional Arabic" w:hint="cs"/>
          <w:sz w:val="18"/>
          <w:szCs w:val="26"/>
          <w:rtl/>
          <w:lang/>
        </w:rPr>
        <w:t xml:space="preserve"> المتهم</w:t>
      </w:r>
      <w:r w:rsidRPr="00CE5BE5">
        <w:rPr>
          <w:rFonts w:cs="Traditional Arabic"/>
          <w:sz w:val="18"/>
          <w:szCs w:val="26"/>
          <w:rtl/>
          <w:lang/>
        </w:rPr>
        <w:t xml:space="preserve"> </w:t>
      </w:r>
      <w:r w:rsidRPr="00CE5BE5">
        <w:rPr>
          <w:rStyle w:val="hps"/>
          <w:rFonts w:cs="Traditional Arabic" w:hint="cs"/>
          <w:sz w:val="18"/>
          <w:szCs w:val="26"/>
          <w:rtl/>
          <w:lang/>
        </w:rPr>
        <w:t>لشهود الادعاء</w:t>
      </w:r>
      <w:r w:rsidRPr="00CE5BE5">
        <w:rPr>
          <w:rFonts w:cs="Traditional Arabic"/>
          <w:sz w:val="18"/>
          <w:szCs w:val="26"/>
          <w:rtl/>
          <w:lang/>
        </w:rPr>
        <w:t xml:space="preserve"> </w:t>
      </w:r>
      <w:r w:rsidRPr="00CE5BE5">
        <w:rPr>
          <w:rStyle w:val="hps"/>
          <w:rFonts w:cs="Traditional Arabic" w:hint="cs"/>
          <w:sz w:val="18"/>
          <w:szCs w:val="26"/>
          <w:rtl/>
          <w:lang/>
        </w:rPr>
        <w:t>وكذلك للمتهمين الآخرين</w:t>
      </w:r>
      <w:r w:rsidRPr="00CE5BE5">
        <w:rPr>
          <w:rFonts w:cs="Traditional Arabic" w:hint="cs"/>
          <w:sz w:val="18"/>
          <w:szCs w:val="26"/>
          <w:rtl/>
          <w:lang/>
        </w:rPr>
        <w:t>؛</w:t>
      </w:r>
      <w:r w:rsidRPr="00CE5BE5">
        <w:rPr>
          <w:rFonts w:cs="Traditional Arabic"/>
          <w:sz w:val="18"/>
          <w:szCs w:val="26"/>
          <w:rtl/>
          <w:lang/>
        </w:rPr>
        <w:t xml:space="preserve"> </w:t>
      </w:r>
      <w:r w:rsidRPr="00CE5BE5">
        <w:rPr>
          <w:rStyle w:val="hps"/>
          <w:rFonts w:cs="Traditional Arabic"/>
          <w:sz w:val="18"/>
          <w:szCs w:val="26"/>
          <w:rtl/>
          <w:lang/>
        </w:rPr>
        <w:t>(</w:t>
      </w:r>
      <w:r w:rsidRPr="00CE5BE5">
        <w:rPr>
          <w:rFonts w:cs="Traditional Arabic" w:hint="cs"/>
          <w:sz w:val="18"/>
          <w:szCs w:val="26"/>
          <w:rtl/>
          <w:lang/>
        </w:rPr>
        <w:t>3</w:t>
      </w:r>
      <w:r w:rsidRPr="00CE5BE5">
        <w:rPr>
          <w:rFonts w:cs="Traditional Arabic"/>
          <w:sz w:val="18"/>
          <w:szCs w:val="26"/>
          <w:rtl/>
          <w:lang/>
        </w:rPr>
        <w:t xml:space="preserve">) </w:t>
      </w:r>
      <w:r w:rsidRPr="00CE5BE5">
        <w:rPr>
          <w:rStyle w:val="hps"/>
          <w:rFonts w:cs="Traditional Arabic"/>
          <w:sz w:val="18"/>
          <w:szCs w:val="26"/>
          <w:rtl/>
          <w:lang/>
        </w:rPr>
        <w:t>ت</w:t>
      </w:r>
      <w:r w:rsidRPr="00CE5BE5">
        <w:rPr>
          <w:rStyle w:val="hps"/>
          <w:rFonts w:cs="Traditional Arabic" w:hint="cs"/>
          <w:sz w:val="18"/>
          <w:szCs w:val="26"/>
          <w:rtl/>
          <w:lang/>
        </w:rPr>
        <w:t>راعي</w:t>
      </w:r>
      <w:r w:rsidRPr="00CE5BE5">
        <w:rPr>
          <w:rStyle w:val="hps"/>
          <w:rFonts w:cs="Traditional Arabic"/>
          <w:sz w:val="18"/>
          <w:szCs w:val="26"/>
          <w:rtl/>
          <w:lang/>
        </w:rPr>
        <w:t xml:space="preserve"> </w:t>
      </w:r>
      <w:r w:rsidRPr="00CE5BE5">
        <w:rPr>
          <w:rStyle w:val="hps"/>
          <w:rFonts w:cs="Traditional Arabic" w:hint="cs"/>
          <w:sz w:val="18"/>
          <w:szCs w:val="26"/>
          <w:rtl/>
          <w:lang/>
        </w:rPr>
        <w:t>المحاكمة الجديدة</w:t>
      </w:r>
      <w:r w:rsidRPr="00CE5BE5">
        <w:rPr>
          <w:rFonts w:cs="Traditional Arabic"/>
          <w:sz w:val="18"/>
          <w:szCs w:val="26"/>
          <w:rtl/>
          <w:lang/>
        </w:rPr>
        <w:t xml:space="preserve"> </w:t>
      </w:r>
      <w:r w:rsidRPr="00CE5BE5">
        <w:rPr>
          <w:rStyle w:val="hps"/>
          <w:rFonts w:cs="Traditional Arabic" w:hint="cs"/>
          <w:sz w:val="18"/>
          <w:szCs w:val="26"/>
          <w:rtl/>
          <w:lang/>
        </w:rPr>
        <w:t>معايير</w:t>
      </w:r>
      <w:r w:rsidRPr="00CE5BE5">
        <w:rPr>
          <w:rStyle w:val="hps"/>
          <w:rFonts w:cs="Traditional Arabic"/>
          <w:sz w:val="18"/>
          <w:szCs w:val="26"/>
          <w:rtl/>
          <w:lang/>
        </w:rPr>
        <w:t xml:space="preserve"> العهد</w:t>
      </w:r>
      <w:r w:rsidRPr="00CE5BE5">
        <w:rPr>
          <w:rFonts w:cs="Traditional Arabic"/>
          <w:sz w:val="18"/>
          <w:szCs w:val="26"/>
          <w:rtl/>
          <w:lang/>
        </w:rPr>
        <w:t xml:space="preserve"> </w:t>
      </w:r>
      <w:r w:rsidRPr="00CE5BE5">
        <w:rPr>
          <w:rStyle w:val="hps"/>
          <w:rFonts w:cs="Traditional Arabic"/>
          <w:sz w:val="18"/>
          <w:szCs w:val="26"/>
          <w:rtl/>
          <w:lang/>
        </w:rPr>
        <w:t>الدولي الخاص بالحقوق</w:t>
      </w:r>
      <w:r w:rsidRPr="00CE5BE5">
        <w:rPr>
          <w:rFonts w:cs="Traditional Arabic"/>
          <w:sz w:val="18"/>
          <w:szCs w:val="26"/>
          <w:rtl/>
          <w:lang/>
        </w:rPr>
        <w:t xml:space="preserve"> </w:t>
      </w:r>
      <w:r w:rsidRPr="00CE5BE5">
        <w:rPr>
          <w:rStyle w:val="hps"/>
          <w:rFonts w:cs="Traditional Arabic"/>
          <w:sz w:val="18"/>
          <w:szCs w:val="26"/>
          <w:rtl/>
          <w:lang/>
        </w:rPr>
        <w:t>المدنية والسياسية،</w:t>
      </w:r>
      <w:r w:rsidRPr="00CE5BE5">
        <w:rPr>
          <w:rFonts w:cs="Traditional Arabic"/>
          <w:sz w:val="18"/>
          <w:szCs w:val="26"/>
          <w:rtl/>
          <w:lang/>
        </w:rPr>
        <w:t xml:space="preserve"> </w:t>
      </w:r>
      <w:r w:rsidRPr="00CE5BE5">
        <w:rPr>
          <w:rFonts w:cs="Traditional Arabic" w:hint="cs"/>
          <w:sz w:val="18"/>
          <w:szCs w:val="26"/>
          <w:rtl/>
          <w:lang/>
        </w:rPr>
        <w:t xml:space="preserve">الذي </w:t>
      </w:r>
      <w:r w:rsidRPr="00CE5BE5">
        <w:rPr>
          <w:rStyle w:val="hps"/>
          <w:rFonts w:cs="Traditional Arabic"/>
          <w:sz w:val="18"/>
          <w:szCs w:val="26"/>
          <w:rtl/>
          <w:lang/>
        </w:rPr>
        <w:t>صدقت عليه</w:t>
      </w:r>
      <w:r w:rsidRPr="00CE5BE5">
        <w:rPr>
          <w:rFonts w:cs="Traditional Arabic"/>
          <w:sz w:val="18"/>
          <w:szCs w:val="26"/>
          <w:rtl/>
          <w:lang/>
        </w:rPr>
        <w:t xml:space="preserve"> </w:t>
      </w:r>
      <w:r w:rsidRPr="00CE5BE5">
        <w:rPr>
          <w:rStyle w:val="hps"/>
          <w:rFonts w:cs="Traditional Arabic"/>
          <w:sz w:val="18"/>
          <w:szCs w:val="26"/>
          <w:rtl/>
          <w:lang/>
        </w:rPr>
        <w:t>تونس</w:t>
      </w:r>
      <w:r w:rsidRPr="00CE5BE5">
        <w:rPr>
          <w:rStyle w:val="atn"/>
          <w:rFonts w:cs="Traditional Arabic" w:hint="cs"/>
          <w:sz w:val="18"/>
          <w:szCs w:val="26"/>
          <w:rtl/>
          <w:lang/>
        </w:rPr>
        <w:t>؛</w:t>
      </w:r>
      <w:r w:rsidRPr="00CE5BE5">
        <w:rPr>
          <w:rStyle w:val="atn"/>
          <w:rFonts w:cs="Traditional Arabic"/>
          <w:sz w:val="18"/>
          <w:szCs w:val="26"/>
          <w:rtl/>
          <w:lang/>
        </w:rPr>
        <w:t xml:space="preserve"> (</w:t>
      </w:r>
      <w:r w:rsidRPr="00CE5BE5">
        <w:rPr>
          <w:rFonts w:cs="Traditional Arabic" w:hint="cs"/>
          <w:sz w:val="18"/>
          <w:szCs w:val="26"/>
          <w:rtl/>
          <w:lang/>
        </w:rPr>
        <w:t>4</w:t>
      </w:r>
      <w:r w:rsidRPr="00CE5BE5">
        <w:rPr>
          <w:rFonts w:cs="Traditional Arabic"/>
          <w:sz w:val="18"/>
          <w:szCs w:val="26"/>
          <w:rtl/>
          <w:lang/>
        </w:rPr>
        <w:t xml:space="preserve">) إذا </w:t>
      </w:r>
      <w:r w:rsidRPr="00CE5BE5">
        <w:rPr>
          <w:rStyle w:val="hps"/>
          <w:rFonts w:cs="Traditional Arabic"/>
          <w:sz w:val="18"/>
          <w:szCs w:val="26"/>
          <w:rtl/>
          <w:lang/>
        </w:rPr>
        <w:t>أدين السيد</w:t>
      </w:r>
      <w:r w:rsidRPr="00CE5BE5">
        <w:rPr>
          <w:rFonts w:cs="Traditional Arabic"/>
          <w:sz w:val="18"/>
          <w:szCs w:val="26"/>
          <w:rtl/>
          <w:lang/>
        </w:rPr>
        <w:t xml:space="preserve"> </w:t>
      </w:r>
      <w:r w:rsidRPr="00CE5BE5">
        <w:rPr>
          <w:rStyle w:val="hps"/>
          <w:rFonts w:cs="Traditional Arabic" w:hint="cs"/>
          <w:sz w:val="18"/>
          <w:szCs w:val="26"/>
          <w:rtl/>
          <w:lang/>
        </w:rPr>
        <w:t>أنسي عبيشو، ف</w:t>
      </w:r>
      <w:r w:rsidRPr="00CE5BE5">
        <w:rPr>
          <w:rStyle w:val="hps"/>
          <w:rFonts w:cs="Traditional Arabic"/>
          <w:sz w:val="18"/>
          <w:szCs w:val="26"/>
          <w:rtl/>
          <w:lang/>
        </w:rPr>
        <w:t>سوف</w:t>
      </w:r>
      <w:r w:rsidRPr="00CE5BE5">
        <w:rPr>
          <w:rFonts w:cs="Traditional Arabic"/>
          <w:sz w:val="18"/>
          <w:szCs w:val="26"/>
          <w:rtl/>
          <w:lang/>
        </w:rPr>
        <w:t xml:space="preserve"> </w:t>
      </w:r>
      <w:r w:rsidRPr="00CE5BE5">
        <w:rPr>
          <w:rStyle w:val="hps"/>
          <w:rFonts w:cs="Traditional Arabic"/>
          <w:sz w:val="18"/>
          <w:szCs w:val="26"/>
          <w:rtl/>
          <w:lang/>
        </w:rPr>
        <w:t>يقضي عقوبته</w:t>
      </w:r>
      <w:r w:rsidRPr="00CE5BE5">
        <w:rPr>
          <w:rFonts w:cs="Traditional Arabic"/>
          <w:sz w:val="18"/>
          <w:szCs w:val="26"/>
          <w:rtl/>
          <w:lang/>
        </w:rPr>
        <w:t xml:space="preserve"> </w:t>
      </w:r>
      <w:r w:rsidRPr="00CE5BE5">
        <w:rPr>
          <w:rStyle w:val="hps"/>
          <w:rFonts w:cs="Traditional Arabic"/>
          <w:sz w:val="18"/>
          <w:szCs w:val="26"/>
          <w:rtl/>
          <w:lang/>
        </w:rPr>
        <w:t>في سجن</w:t>
      </w:r>
      <w:r w:rsidRPr="00CE5BE5">
        <w:rPr>
          <w:rFonts w:cs="Traditional Arabic"/>
          <w:sz w:val="18"/>
          <w:szCs w:val="26"/>
          <w:rtl/>
          <w:lang/>
        </w:rPr>
        <w:t xml:space="preserve"> </w:t>
      </w:r>
      <w:r w:rsidRPr="00CE5BE5">
        <w:rPr>
          <w:rStyle w:val="hps"/>
          <w:rFonts w:cs="Traditional Arabic" w:hint="cs"/>
          <w:sz w:val="18"/>
          <w:szCs w:val="26"/>
          <w:rtl/>
          <w:lang/>
        </w:rPr>
        <w:t xml:space="preserve">تراعى فيه القواعد </w:t>
      </w:r>
      <w:r w:rsidRPr="00CE5BE5">
        <w:rPr>
          <w:rStyle w:val="hps"/>
          <w:rFonts w:cs="Traditional Arabic"/>
          <w:sz w:val="18"/>
          <w:szCs w:val="26"/>
          <w:rtl/>
          <w:lang/>
        </w:rPr>
        <w:t>الدنيا</w:t>
      </w:r>
      <w:r w:rsidRPr="00CE5BE5">
        <w:rPr>
          <w:rFonts w:cs="Traditional Arabic"/>
          <w:sz w:val="18"/>
          <w:szCs w:val="26"/>
          <w:rtl/>
          <w:lang/>
        </w:rPr>
        <w:t xml:space="preserve"> </w:t>
      </w:r>
      <w:r w:rsidRPr="00CE5BE5">
        <w:rPr>
          <w:rStyle w:val="hps"/>
          <w:rFonts w:cs="Traditional Arabic"/>
          <w:sz w:val="18"/>
          <w:szCs w:val="26"/>
          <w:rtl/>
          <w:lang/>
        </w:rPr>
        <w:t>النموذجية لمعاملة</w:t>
      </w:r>
      <w:r w:rsidRPr="00CE5BE5">
        <w:rPr>
          <w:rFonts w:cs="Traditional Arabic"/>
          <w:sz w:val="18"/>
          <w:szCs w:val="26"/>
          <w:rtl/>
          <w:lang/>
        </w:rPr>
        <w:t xml:space="preserve"> </w:t>
      </w:r>
      <w:r w:rsidRPr="00CE5BE5">
        <w:rPr>
          <w:rStyle w:val="hps"/>
          <w:rFonts w:cs="Traditional Arabic"/>
          <w:sz w:val="18"/>
          <w:szCs w:val="26"/>
          <w:rtl/>
          <w:lang/>
        </w:rPr>
        <w:t>السجناء؛</w:t>
      </w:r>
      <w:r w:rsidRPr="00CE5BE5">
        <w:rPr>
          <w:rFonts w:cs="Traditional Arabic"/>
          <w:sz w:val="18"/>
          <w:szCs w:val="26"/>
          <w:rtl/>
          <w:lang/>
        </w:rPr>
        <w:t xml:space="preserve"> </w:t>
      </w:r>
      <w:r w:rsidRPr="00CE5BE5">
        <w:rPr>
          <w:rStyle w:val="hps"/>
          <w:rFonts w:cs="Traditional Arabic"/>
          <w:sz w:val="18"/>
          <w:szCs w:val="26"/>
          <w:rtl/>
          <w:lang/>
        </w:rPr>
        <w:t>(</w:t>
      </w:r>
      <w:r w:rsidRPr="00CE5BE5">
        <w:rPr>
          <w:rStyle w:val="hps"/>
          <w:rFonts w:cs="Traditional Arabic" w:hint="cs"/>
          <w:sz w:val="18"/>
          <w:szCs w:val="26"/>
          <w:rtl/>
          <w:lang/>
        </w:rPr>
        <w:t>5</w:t>
      </w:r>
      <w:r w:rsidRPr="00CE5BE5">
        <w:rPr>
          <w:rFonts w:cs="Traditional Arabic"/>
          <w:sz w:val="18"/>
          <w:szCs w:val="26"/>
          <w:rtl/>
          <w:lang/>
        </w:rPr>
        <w:t>) وفقا</w:t>
      </w:r>
      <w:r w:rsidRPr="00CE5BE5">
        <w:rPr>
          <w:rFonts w:cs="Traditional Arabic" w:hint="cs"/>
          <w:sz w:val="18"/>
          <w:szCs w:val="26"/>
          <w:rtl/>
          <w:lang/>
        </w:rPr>
        <w:t>ً لقاعدة التخصيص</w:t>
      </w:r>
      <w:r w:rsidRPr="00CE5BE5">
        <w:rPr>
          <w:rFonts w:cs="Traditional Arabic"/>
          <w:sz w:val="18"/>
          <w:szCs w:val="26"/>
          <w:rtl/>
          <w:lang/>
        </w:rPr>
        <w:t xml:space="preserve">، </w:t>
      </w:r>
      <w:r w:rsidRPr="00CE5BE5">
        <w:rPr>
          <w:rStyle w:val="hps"/>
          <w:rFonts w:cs="Traditional Arabic"/>
          <w:sz w:val="18"/>
          <w:szCs w:val="26"/>
          <w:rtl/>
          <w:lang/>
        </w:rPr>
        <w:t>لن</w:t>
      </w:r>
      <w:r w:rsidRPr="00CE5BE5">
        <w:rPr>
          <w:rFonts w:cs="Traditional Arabic"/>
          <w:sz w:val="18"/>
          <w:szCs w:val="26"/>
          <w:rtl/>
          <w:lang/>
        </w:rPr>
        <w:t xml:space="preserve"> </w:t>
      </w:r>
      <w:r w:rsidRPr="00CE5BE5">
        <w:rPr>
          <w:rStyle w:val="hps"/>
          <w:rFonts w:cs="Traditional Arabic"/>
          <w:sz w:val="18"/>
          <w:szCs w:val="26"/>
          <w:rtl/>
          <w:lang/>
        </w:rPr>
        <w:t>يحاكم</w:t>
      </w:r>
      <w:r w:rsidRPr="00CE5BE5">
        <w:rPr>
          <w:rFonts w:cs="Traditional Arabic"/>
          <w:sz w:val="18"/>
          <w:szCs w:val="26"/>
          <w:rtl/>
          <w:lang/>
        </w:rPr>
        <w:t xml:space="preserve"> </w:t>
      </w:r>
      <w:r w:rsidRPr="00CE5BE5">
        <w:rPr>
          <w:rStyle w:val="hps"/>
          <w:rFonts w:cs="Traditional Arabic"/>
          <w:sz w:val="18"/>
          <w:szCs w:val="26"/>
          <w:rtl/>
          <w:lang/>
        </w:rPr>
        <w:t>السيد</w:t>
      </w:r>
      <w:r w:rsidRPr="00CE5BE5">
        <w:rPr>
          <w:rFonts w:cs="Traditional Arabic"/>
          <w:sz w:val="18"/>
          <w:szCs w:val="26"/>
          <w:rtl/>
          <w:lang/>
        </w:rPr>
        <w:t xml:space="preserve"> </w:t>
      </w:r>
      <w:r w:rsidRPr="00CE5BE5">
        <w:rPr>
          <w:rStyle w:val="hps"/>
          <w:rFonts w:cs="Traditional Arabic" w:hint="cs"/>
          <w:sz w:val="18"/>
          <w:szCs w:val="26"/>
          <w:rtl/>
          <w:lang/>
        </w:rPr>
        <w:t>أنسي عبيشو</w:t>
      </w:r>
      <w:r w:rsidRPr="00CE5BE5">
        <w:rPr>
          <w:rFonts w:cs="Traditional Arabic"/>
          <w:sz w:val="18"/>
          <w:szCs w:val="26"/>
          <w:rtl/>
          <w:lang/>
        </w:rPr>
        <w:t xml:space="preserve"> </w:t>
      </w:r>
      <w:r w:rsidRPr="00CE5BE5">
        <w:rPr>
          <w:rStyle w:val="hps"/>
          <w:rFonts w:cs="Traditional Arabic" w:hint="cs"/>
          <w:sz w:val="18"/>
          <w:szCs w:val="26"/>
          <w:rtl/>
          <w:lang/>
        </w:rPr>
        <w:t xml:space="preserve">إلاّ على الوقائع </w:t>
      </w:r>
      <w:r w:rsidRPr="00CE5BE5">
        <w:rPr>
          <w:rStyle w:val="hps"/>
          <w:rFonts w:cs="Traditional Arabic"/>
          <w:sz w:val="18"/>
          <w:szCs w:val="26"/>
          <w:rtl/>
          <w:lang/>
        </w:rPr>
        <w:t>المشار إليها</w:t>
      </w:r>
      <w:r w:rsidRPr="00CE5BE5">
        <w:rPr>
          <w:rFonts w:cs="Traditional Arabic"/>
          <w:sz w:val="18"/>
          <w:szCs w:val="26"/>
          <w:rtl/>
          <w:lang/>
        </w:rPr>
        <w:t xml:space="preserve"> </w:t>
      </w:r>
      <w:r w:rsidRPr="00CE5BE5">
        <w:rPr>
          <w:rStyle w:val="hps"/>
          <w:rFonts w:cs="Traditional Arabic"/>
          <w:sz w:val="18"/>
          <w:szCs w:val="26"/>
          <w:rtl/>
          <w:lang/>
        </w:rPr>
        <w:t>في</w:t>
      </w:r>
      <w:r w:rsidRPr="00CE5BE5">
        <w:rPr>
          <w:rFonts w:cs="Traditional Arabic"/>
          <w:sz w:val="18"/>
          <w:szCs w:val="26"/>
          <w:rtl/>
          <w:lang/>
        </w:rPr>
        <w:t xml:space="preserve"> </w:t>
      </w:r>
      <w:r w:rsidRPr="00CE5BE5">
        <w:rPr>
          <w:rStyle w:val="hps"/>
          <w:rFonts w:cs="Traditional Arabic"/>
          <w:sz w:val="18"/>
          <w:szCs w:val="26"/>
          <w:rtl/>
          <w:lang/>
        </w:rPr>
        <w:t>طلب التسليم</w:t>
      </w:r>
      <w:r w:rsidRPr="00CE5BE5">
        <w:rPr>
          <w:rFonts w:cs="Traditional Arabic"/>
          <w:sz w:val="18"/>
          <w:szCs w:val="26"/>
          <w:rtl/>
          <w:lang/>
        </w:rPr>
        <w:t xml:space="preserve"> </w:t>
      </w:r>
      <w:r w:rsidRPr="00CE5BE5">
        <w:rPr>
          <w:rStyle w:val="hps"/>
          <w:rFonts w:cs="Traditional Arabic" w:hint="cs"/>
          <w:sz w:val="18"/>
          <w:szCs w:val="26"/>
          <w:rtl/>
          <w:lang/>
        </w:rPr>
        <w:t>المؤرخ</w:t>
      </w:r>
      <w:r w:rsidRPr="00CE5BE5">
        <w:rPr>
          <w:rFonts w:cs="Traditional Arabic"/>
          <w:sz w:val="18"/>
          <w:szCs w:val="26"/>
          <w:rtl/>
          <w:lang/>
        </w:rPr>
        <w:t xml:space="preserve"> </w:t>
      </w:r>
      <w:r w:rsidRPr="00CE5BE5">
        <w:rPr>
          <w:rStyle w:val="hps"/>
          <w:rFonts w:cs="Traditional Arabic"/>
          <w:sz w:val="18"/>
          <w:szCs w:val="26"/>
          <w:rtl/>
          <w:lang/>
        </w:rPr>
        <w:t xml:space="preserve">24 </w:t>
      </w:r>
      <w:r w:rsidRPr="00CE5BE5">
        <w:rPr>
          <w:rStyle w:val="hps"/>
          <w:rFonts w:cs="Traditional Arabic" w:hint="cs"/>
          <w:sz w:val="18"/>
          <w:szCs w:val="26"/>
          <w:rtl/>
          <w:lang/>
        </w:rPr>
        <w:t>تشرين الأول/</w:t>
      </w:r>
      <w:r w:rsidRPr="00CE5BE5">
        <w:rPr>
          <w:rStyle w:val="hps"/>
          <w:rFonts w:cs="Traditional Arabic"/>
          <w:sz w:val="18"/>
          <w:szCs w:val="26"/>
          <w:rtl/>
          <w:lang/>
        </w:rPr>
        <w:t>أكتوبر 2009</w:t>
      </w:r>
      <w:r w:rsidRPr="00CE5BE5">
        <w:rPr>
          <w:rStyle w:val="atn"/>
          <w:rFonts w:cs="Traditional Arabic" w:hint="cs"/>
          <w:sz w:val="18"/>
          <w:szCs w:val="26"/>
          <w:rtl/>
          <w:lang/>
        </w:rPr>
        <w:t>؛</w:t>
      </w:r>
      <w:r w:rsidRPr="00CE5BE5">
        <w:rPr>
          <w:rStyle w:val="atn"/>
          <w:rFonts w:cs="Traditional Arabic"/>
          <w:sz w:val="18"/>
          <w:szCs w:val="26"/>
          <w:rtl/>
          <w:lang/>
        </w:rPr>
        <w:t xml:space="preserve"> (</w:t>
      </w:r>
      <w:r w:rsidRPr="00CE5BE5">
        <w:rPr>
          <w:rFonts w:cs="Traditional Arabic" w:hint="cs"/>
          <w:sz w:val="18"/>
          <w:szCs w:val="26"/>
          <w:rtl/>
          <w:lang/>
        </w:rPr>
        <w:t>6</w:t>
      </w:r>
      <w:r w:rsidRPr="00CE5BE5">
        <w:rPr>
          <w:rFonts w:cs="Traditional Arabic"/>
          <w:sz w:val="18"/>
          <w:szCs w:val="26"/>
          <w:rtl/>
          <w:lang/>
        </w:rPr>
        <w:t xml:space="preserve">) </w:t>
      </w:r>
      <w:r w:rsidRPr="00CE5BE5">
        <w:rPr>
          <w:rFonts w:cs="Traditional Arabic" w:hint="cs"/>
          <w:sz w:val="18"/>
          <w:szCs w:val="26"/>
          <w:rtl/>
          <w:lang/>
        </w:rPr>
        <w:t xml:space="preserve">سترى </w:t>
      </w:r>
      <w:r w:rsidRPr="00CE5BE5">
        <w:rPr>
          <w:rStyle w:val="hps"/>
          <w:rFonts w:cs="Traditional Arabic" w:hint="cs"/>
          <w:sz w:val="18"/>
          <w:szCs w:val="26"/>
          <w:rtl/>
          <w:lang/>
        </w:rPr>
        <w:t>إمكانية الإفراج المشروط على السيد</w:t>
      </w:r>
      <w:r w:rsidRPr="00CE5BE5">
        <w:rPr>
          <w:rFonts w:cs="Traditional Arabic"/>
          <w:sz w:val="18"/>
          <w:szCs w:val="26"/>
          <w:rtl/>
          <w:lang/>
        </w:rPr>
        <w:t xml:space="preserve"> </w:t>
      </w:r>
      <w:r w:rsidRPr="00CE5BE5">
        <w:rPr>
          <w:rStyle w:val="hps"/>
          <w:rFonts w:cs="Traditional Arabic" w:hint="cs"/>
          <w:sz w:val="18"/>
          <w:szCs w:val="26"/>
          <w:rtl/>
          <w:lang/>
        </w:rPr>
        <w:t>أنسي عبيشو</w:t>
      </w:r>
      <w:r w:rsidRPr="00CE5BE5">
        <w:rPr>
          <w:rFonts w:cs="Traditional Arabic"/>
          <w:sz w:val="18"/>
          <w:szCs w:val="26"/>
          <w:rtl/>
          <w:lang/>
        </w:rPr>
        <w:t xml:space="preserve"> </w:t>
      </w:r>
      <w:r w:rsidRPr="00CE5BE5">
        <w:rPr>
          <w:rStyle w:val="hps"/>
          <w:rFonts w:cs="Traditional Arabic"/>
          <w:sz w:val="18"/>
          <w:szCs w:val="26"/>
          <w:rtl/>
          <w:lang/>
        </w:rPr>
        <w:t>بموجب الماد</w:t>
      </w:r>
      <w:r w:rsidRPr="00CE5BE5">
        <w:rPr>
          <w:rStyle w:val="hps"/>
          <w:rFonts w:cs="Traditional Arabic" w:hint="cs"/>
          <w:sz w:val="18"/>
          <w:szCs w:val="26"/>
          <w:rtl/>
          <w:lang/>
        </w:rPr>
        <w:t>ة</w:t>
      </w:r>
      <w:r w:rsidRPr="00CE5BE5">
        <w:rPr>
          <w:rFonts w:cs="Traditional Arabic"/>
          <w:sz w:val="18"/>
          <w:szCs w:val="26"/>
          <w:rtl/>
          <w:lang/>
        </w:rPr>
        <w:t xml:space="preserve"> </w:t>
      </w:r>
      <w:r w:rsidRPr="00CE5BE5">
        <w:rPr>
          <w:rStyle w:val="hps"/>
          <w:rFonts w:cs="Traditional Arabic"/>
          <w:sz w:val="18"/>
          <w:szCs w:val="26"/>
          <w:rtl/>
          <w:lang/>
        </w:rPr>
        <w:t>353</w:t>
      </w:r>
      <w:r w:rsidRPr="00CE5BE5">
        <w:rPr>
          <w:rFonts w:cs="Traditional Arabic"/>
          <w:sz w:val="18"/>
          <w:szCs w:val="26"/>
          <w:rtl/>
          <w:lang/>
        </w:rPr>
        <w:t xml:space="preserve"> </w:t>
      </w:r>
      <w:r w:rsidRPr="00CE5BE5">
        <w:rPr>
          <w:rStyle w:val="hps"/>
          <w:rFonts w:cs="Traditional Arabic"/>
          <w:sz w:val="18"/>
          <w:szCs w:val="26"/>
          <w:rtl/>
          <w:lang/>
        </w:rPr>
        <w:t>وما يليها</w:t>
      </w:r>
      <w:r w:rsidRPr="00CE5BE5">
        <w:rPr>
          <w:rFonts w:cs="Traditional Arabic"/>
          <w:sz w:val="18"/>
          <w:szCs w:val="26"/>
          <w:rtl/>
          <w:lang/>
        </w:rPr>
        <w:t xml:space="preserve"> </w:t>
      </w:r>
      <w:r w:rsidRPr="00CE5BE5">
        <w:rPr>
          <w:rStyle w:val="hps"/>
          <w:rFonts w:cs="Traditional Arabic"/>
          <w:sz w:val="18"/>
          <w:szCs w:val="26"/>
          <w:rtl/>
          <w:lang/>
        </w:rPr>
        <w:t>من</w:t>
      </w:r>
      <w:r w:rsidRPr="00CE5BE5">
        <w:rPr>
          <w:rFonts w:cs="Traditional Arabic"/>
          <w:sz w:val="18"/>
          <w:szCs w:val="26"/>
          <w:rtl/>
          <w:lang/>
        </w:rPr>
        <w:t xml:space="preserve"> </w:t>
      </w:r>
      <w:r w:rsidRPr="00CE5BE5">
        <w:rPr>
          <w:rStyle w:val="hps"/>
          <w:rFonts w:cs="Traditional Arabic"/>
          <w:sz w:val="18"/>
          <w:szCs w:val="26"/>
          <w:rtl/>
          <w:lang/>
        </w:rPr>
        <w:t>قانون الإجراءات</w:t>
      </w:r>
      <w:r w:rsidRPr="00CE5BE5">
        <w:rPr>
          <w:rFonts w:cs="Traditional Arabic"/>
          <w:sz w:val="18"/>
          <w:szCs w:val="26"/>
          <w:rtl/>
          <w:lang/>
        </w:rPr>
        <w:t xml:space="preserve"> </w:t>
      </w:r>
      <w:r w:rsidRPr="00CE5BE5">
        <w:rPr>
          <w:rStyle w:val="hps"/>
          <w:rFonts w:cs="Traditional Arabic"/>
          <w:sz w:val="18"/>
          <w:szCs w:val="26"/>
          <w:rtl/>
          <w:lang/>
        </w:rPr>
        <w:t>الجنائية</w:t>
      </w:r>
      <w:r w:rsidRPr="00CE5BE5">
        <w:rPr>
          <w:rFonts w:cs="Traditional Arabic"/>
          <w:sz w:val="18"/>
          <w:szCs w:val="26"/>
          <w:rtl/>
          <w:lang/>
        </w:rPr>
        <w:t>.</w:t>
      </w:r>
    </w:p>
  </w:footnote>
  <w:footnote w:id="139">
    <w:p w:rsidR="00F815BA" w:rsidRPr="00CE5BE5" w:rsidRDefault="00F815BA" w:rsidP="00FA645B">
      <w:pPr>
        <w:pStyle w:val="FootnoteText"/>
        <w:numPr>
          <w:ilvl w:val="0"/>
          <w:numId w:val="0"/>
        </w:numPr>
        <w:tabs>
          <w:tab w:val="left" w:pos="1240"/>
        </w:tabs>
        <w:bidi/>
        <w:spacing w:after="60" w:line="300" w:lineRule="exact"/>
        <w:ind w:left="1226" w:right="1247" w:hanging="462"/>
        <w:jc w:val="lowKashida"/>
        <w:rPr>
          <w:rFonts w:cs="Traditional Arabic"/>
          <w:sz w:val="18"/>
          <w:szCs w:val="26"/>
        </w:rPr>
      </w:pPr>
      <w:r w:rsidRPr="0077398F">
        <w:rPr>
          <w:rFonts w:cs="Traditional Arabic" w:hint="cs"/>
          <w:sz w:val="26"/>
          <w:szCs w:val="26"/>
          <w:rtl/>
        </w:rPr>
        <w:t>(</w:t>
      </w:r>
      <w:r>
        <w:rPr>
          <w:rFonts w:cs="Traditional Arabic" w:hint="cs"/>
          <w:sz w:val="26"/>
          <w:szCs w:val="26"/>
          <w:rtl/>
        </w:rPr>
        <w:t>ع</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hint="cs"/>
          <w:sz w:val="18"/>
          <w:szCs w:val="26"/>
          <w:rtl/>
          <w:lang/>
        </w:rPr>
        <w:t>لم تتوسع الدولة الطرف في تناول هذه النقطة</w:t>
      </w:r>
      <w:r w:rsidRPr="00CE5BE5">
        <w:rPr>
          <w:rFonts w:cs="Traditional Arabic"/>
          <w:sz w:val="18"/>
          <w:szCs w:val="26"/>
          <w:rtl/>
          <w:lang/>
        </w:rPr>
        <w:t>.</w:t>
      </w:r>
    </w:p>
  </w:footnote>
  <w:footnote w:id="140">
    <w:p w:rsidR="00F815BA" w:rsidRPr="00CE5BE5" w:rsidRDefault="00F815BA" w:rsidP="00FA645B">
      <w:pPr>
        <w:pStyle w:val="FootnoteText"/>
        <w:numPr>
          <w:ilvl w:val="0"/>
          <w:numId w:val="0"/>
        </w:numPr>
        <w:tabs>
          <w:tab w:val="left" w:pos="1240"/>
        </w:tabs>
        <w:bidi/>
        <w:spacing w:after="60" w:line="300" w:lineRule="exact"/>
        <w:ind w:left="1226" w:right="1247" w:hanging="462"/>
        <w:jc w:val="lowKashida"/>
        <w:rPr>
          <w:rFonts w:cs="Traditional Arabic"/>
          <w:sz w:val="18"/>
          <w:szCs w:val="26"/>
        </w:rPr>
      </w:pPr>
      <w:r w:rsidRPr="0077398F">
        <w:rPr>
          <w:rFonts w:cs="Traditional Arabic" w:hint="cs"/>
          <w:sz w:val="26"/>
          <w:szCs w:val="26"/>
          <w:rtl/>
        </w:rPr>
        <w:t>(</w:t>
      </w:r>
      <w:r>
        <w:rPr>
          <w:rFonts w:cs="Traditional Arabic" w:hint="cs"/>
          <w:sz w:val="26"/>
          <w:szCs w:val="26"/>
          <w:rtl/>
        </w:rPr>
        <w:t>ف</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sz w:val="18"/>
          <w:szCs w:val="26"/>
          <w:rtl/>
          <w:lang/>
        </w:rPr>
        <w:t>أصدرت محكمة</w:t>
      </w:r>
      <w:r w:rsidRPr="00CE5BE5">
        <w:rPr>
          <w:rFonts w:cs="Traditional Arabic"/>
          <w:sz w:val="18"/>
          <w:szCs w:val="26"/>
          <w:rtl/>
          <w:lang/>
        </w:rPr>
        <w:t xml:space="preserve"> </w:t>
      </w:r>
      <w:r w:rsidRPr="00CE5BE5">
        <w:rPr>
          <w:rStyle w:val="hps"/>
          <w:rFonts w:cs="Traditional Arabic"/>
          <w:sz w:val="18"/>
          <w:szCs w:val="26"/>
          <w:rtl/>
          <w:lang/>
        </w:rPr>
        <w:t>الاستئناف بتونس</w:t>
      </w:r>
      <w:r w:rsidRPr="00CE5BE5">
        <w:rPr>
          <w:rFonts w:cs="Traditional Arabic"/>
          <w:sz w:val="18"/>
          <w:szCs w:val="26"/>
          <w:rtl/>
          <w:lang/>
        </w:rPr>
        <w:t xml:space="preserve"> </w:t>
      </w:r>
      <w:r w:rsidRPr="00CE5BE5">
        <w:rPr>
          <w:rStyle w:val="hps"/>
          <w:rFonts w:cs="Traditional Arabic"/>
          <w:sz w:val="18"/>
          <w:szCs w:val="26"/>
          <w:rtl/>
          <w:lang/>
        </w:rPr>
        <w:t>حكمها</w:t>
      </w:r>
      <w:r w:rsidRPr="00CE5BE5">
        <w:rPr>
          <w:rFonts w:cs="Traditional Arabic"/>
          <w:sz w:val="18"/>
          <w:szCs w:val="26"/>
          <w:rtl/>
          <w:lang/>
        </w:rPr>
        <w:t xml:space="preserve"> </w:t>
      </w:r>
      <w:r w:rsidRPr="00CE5BE5">
        <w:rPr>
          <w:rStyle w:val="hps"/>
          <w:rFonts w:cs="Traditional Arabic"/>
          <w:sz w:val="18"/>
          <w:szCs w:val="26"/>
          <w:rtl/>
          <w:lang/>
        </w:rPr>
        <w:t>في 19</w:t>
      </w:r>
      <w:r w:rsidRPr="00CE5BE5">
        <w:rPr>
          <w:rFonts w:cs="Traditional Arabic"/>
          <w:sz w:val="18"/>
          <w:szCs w:val="26"/>
          <w:rtl/>
          <w:lang/>
        </w:rPr>
        <w:t xml:space="preserve"> </w:t>
      </w:r>
      <w:r w:rsidRPr="00CE5BE5">
        <w:rPr>
          <w:rFonts w:cs="Traditional Arabic" w:hint="cs"/>
          <w:sz w:val="18"/>
          <w:szCs w:val="26"/>
          <w:rtl/>
          <w:lang/>
        </w:rPr>
        <w:t>أيار/</w:t>
      </w:r>
      <w:r w:rsidRPr="00CE5BE5">
        <w:rPr>
          <w:rStyle w:val="hps"/>
          <w:rFonts w:cs="Traditional Arabic"/>
          <w:sz w:val="18"/>
          <w:szCs w:val="26"/>
          <w:rtl/>
          <w:lang/>
        </w:rPr>
        <w:t>مايو 2011 (</w:t>
      </w:r>
      <w:r w:rsidRPr="00CE5BE5">
        <w:rPr>
          <w:rFonts w:cs="Traditional Arabic"/>
          <w:sz w:val="18"/>
          <w:szCs w:val="26"/>
          <w:rtl/>
          <w:lang/>
        </w:rPr>
        <w:t xml:space="preserve">انظر الفقرة </w:t>
      </w:r>
      <w:r w:rsidRPr="00CE5BE5">
        <w:rPr>
          <w:rStyle w:val="hps"/>
          <w:rFonts w:cs="Traditional Arabic"/>
          <w:sz w:val="18"/>
          <w:szCs w:val="26"/>
          <w:rtl/>
          <w:lang/>
        </w:rPr>
        <w:t>7</w:t>
      </w:r>
      <w:r w:rsidRPr="00CE5BE5">
        <w:rPr>
          <w:rStyle w:val="hps"/>
          <w:rFonts w:cs="Traditional Arabic" w:hint="cs"/>
          <w:sz w:val="18"/>
          <w:szCs w:val="26"/>
          <w:rtl/>
          <w:lang/>
        </w:rPr>
        <w:t>-</w:t>
      </w:r>
      <w:r w:rsidRPr="00CE5BE5">
        <w:rPr>
          <w:rStyle w:val="hps"/>
          <w:rFonts w:cs="Traditional Arabic"/>
          <w:sz w:val="18"/>
          <w:szCs w:val="26"/>
          <w:rtl/>
          <w:lang/>
        </w:rPr>
        <w:t>1</w:t>
      </w:r>
      <w:r w:rsidRPr="00CE5BE5">
        <w:rPr>
          <w:rFonts w:cs="Traditional Arabic"/>
          <w:sz w:val="18"/>
          <w:szCs w:val="26"/>
          <w:rtl/>
          <w:lang/>
        </w:rPr>
        <w:t xml:space="preserve"> </w:t>
      </w:r>
      <w:r w:rsidRPr="00CE5BE5">
        <w:rPr>
          <w:rStyle w:val="hps"/>
          <w:rFonts w:cs="Traditional Arabic"/>
          <w:sz w:val="18"/>
          <w:szCs w:val="26"/>
          <w:rtl/>
          <w:lang/>
        </w:rPr>
        <w:t>أدناه)</w:t>
      </w:r>
      <w:r w:rsidRPr="00CE5BE5">
        <w:rPr>
          <w:rFonts w:cs="Traditional Arabic"/>
          <w:sz w:val="18"/>
          <w:szCs w:val="26"/>
          <w:rtl/>
          <w:lang/>
        </w:rPr>
        <w:t>.</w:t>
      </w:r>
    </w:p>
  </w:footnote>
  <w:footnote w:id="141">
    <w:p w:rsidR="00F815BA" w:rsidRPr="00CE5BE5" w:rsidRDefault="00F815BA" w:rsidP="00FA645B">
      <w:pPr>
        <w:pStyle w:val="FootnoteText"/>
        <w:numPr>
          <w:ilvl w:val="0"/>
          <w:numId w:val="0"/>
        </w:numPr>
        <w:tabs>
          <w:tab w:val="left" w:pos="1254"/>
        </w:tabs>
        <w:bidi/>
        <w:spacing w:after="60" w:line="300" w:lineRule="exact"/>
        <w:ind w:left="1226" w:right="1247" w:hanging="476"/>
        <w:jc w:val="lowKashida"/>
        <w:rPr>
          <w:rFonts w:cs="Traditional Arabic"/>
          <w:sz w:val="18"/>
          <w:szCs w:val="26"/>
        </w:rPr>
      </w:pPr>
      <w:r w:rsidRPr="0077398F">
        <w:rPr>
          <w:rFonts w:cs="Traditional Arabic" w:hint="cs"/>
          <w:sz w:val="26"/>
          <w:szCs w:val="26"/>
          <w:rtl/>
        </w:rPr>
        <w:t>(</w:t>
      </w:r>
      <w:r>
        <w:rPr>
          <w:rFonts w:cs="Traditional Arabic" w:hint="cs"/>
          <w:sz w:val="26"/>
          <w:szCs w:val="26"/>
          <w:rtl/>
        </w:rPr>
        <w:t>ص</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hint="cs"/>
          <w:sz w:val="18"/>
          <w:szCs w:val="26"/>
          <w:rtl/>
          <w:lang/>
        </w:rPr>
        <w:t>جرت الاستعانة بخدمات أحد المحامين لأن الشخص المكلف بملف السيد أنسي عبيشو في منظمة العمل المسيحي من أجل إلغاء التعذيب</w:t>
      </w:r>
      <w:r w:rsidRPr="00CE5BE5">
        <w:rPr>
          <w:rFonts w:cs="Traditional Arabic"/>
          <w:sz w:val="18"/>
          <w:szCs w:val="26"/>
          <w:vertAlign w:val="superscript"/>
          <w:rtl/>
          <w:lang w:val="fr-CH"/>
        </w:rPr>
        <w:t xml:space="preserve"> </w:t>
      </w:r>
      <w:r w:rsidRPr="00CE5BE5">
        <w:rPr>
          <w:rStyle w:val="hps"/>
          <w:rFonts w:cs="Traditional Arabic" w:hint="cs"/>
          <w:sz w:val="18"/>
          <w:szCs w:val="26"/>
          <w:rtl/>
          <w:lang/>
        </w:rPr>
        <w:t>ليس محامياً.</w:t>
      </w:r>
    </w:p>
  </w:footnote>
  <w:footnote w:id="142">
    <w:p w:rsidR="00F815BA" w:rsidRPr="00CE5BE5" w:rsidRDefault="00F815BA" w:rsidP="00FA645B">
      <w:pPr>
        <w:pStyle w:val="FootnoteText"/>
        <w:numPr>
          <w:ilvl w:val="0"/>
          <w:numId w:val="0"/>
        </w:numPr>
        <w:tabs>
          <w:tab w:val="left" w:pos="1254"/>
        </w:tabs>
        <w:bidi/>
        <w:spacing w:after="60" w:line="300" w:lineRule="exact"/>
        <w:ind w:left="1226" w:right="1247" w:hanging="476"/>
        <w:jc w:val="lowKashida"/>
        <w:rPr>
          <w:rFonts w:cs="Traditional Arabic"/>
          <w:sz w:val="18"/>
          <w:szCs w:val="26"/>
        </w:rPr>
      </w:pPr>
      <w:r w:rsidRPr="0077398F">
        <w:rPr>
          <w:rFonts w:cs="Traditional Arabic" w:hint="cs"/>
          <w:sz w:val="26"/>
          <w:szCs w:val="26"/>
          <w:rtl/>
        </w:rPr>
        <w:t>(</w:t>
      </w:r>
      <w:r>
        <w:rPr>
          <w:rFonts w:cs="Traditional Arabic" w:hint="cs"/>
          <w:sz w:val="26"/>
          <w:szCs w:val="26"/>
          <w:rtl/>
        </w:rPr>
        <w:t>ق</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hint="cs"/>
          <w:sz w:val="18"/>
          <w:szCs w:val="26"/>
          <w:rtl/>
          <w:lang/>
        </w:rPr>
        <w:t>أرفقت صاحبة الشكوى بالبلاغ قرار المحكمة المؤرخ 12 آب/أغسطس 2010.</w:t>
      </w:r>
    </w:p>
  </w:footnote>
  <w:footnote w:id="143">
    <w:p w:rsidR="00F815BA" w:rsidRPr="00CE5BE5" w:rsidRDefault="00F815BA" w:rsidP="007C1E0E">
      <w:pPr>
        <w:pStyle w:val="FootnoteText"/>
        <w:numPr>
          <w:ilvl w:val="0"/>
          <w:numId w:val="0"/>
        </w:numPr>
        <w:tabs>
          <w:tab w:val="left" w:pos="1212"/>
        </w:tabs>
        <w:bidi/>
        <w:spacing w:after="60" w:line="300" w:lineRule="exact"/>
        <w:ind w:left="1231" w:right="1247" w:hanging="380"/>
        <w:jc w:val="lowKashida"/>
        <w:rPr>
          <w:rFonts w:cs="Traditional Arabic"/>
          <w:sz w:val="18"/>
          <w:szCs w:val="26"/>
        </w:rPr>
      </w:pPr>
      <w:r w:rsidRPr="0077398F">
        <w:rPr>
          <w:rFonts w:cs="Traditional Arabic" w:hint="cs"/>
          <w:sz w:val="26"/>
          <w:szCs w:val="26"/>
          <w:rtl/>
        </w:rPr>
        <w:t>(</w:t>
      </w:r>
      <w:r>
        <w:rPr>
          <w:rFonts w:cs="Traditional Arabic" w:hint="cs"/>
          <w:sz w:val="26"/>
          <w:szCs w:val="26"/>
          <w:rtl/>
        </w:rPr>
        <w:t>ر</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sz w:val="18"/>
          <w:szCs w:val="26"/>
          <w:rtl/>
          <w:lang/>
        </w:rPr>
        <w:t>تقرير</w:t>
      </w:r>
      <w:r w:rsidRPr="00CE5BE5">
        <w:rPr>
          <w:rFonts w:cs="Traditional Arabic"/>
          <w:sz w:val="18"/>
          <w:szCs w:val="26"/>
          <w:rtl/>
          <w:lang/>
        </w:rPr>
        <w:t xml:space="preserve"> </w:t>
      </w:r>
      <w:r w:rsidRPr="00CE5BE5">
        <w:rPr>
          <w:rStyle w:val="hps"/>
          <w:rFonts w:cs="Traditional Arabic"/>
          <w:sz w:val="18"/>
          <w:szCs w:val="26"/>
          <w:rtl/>
          <w:lang/>
        </w:rPr>
        <w:t>عام 2009</w:t>
      </w:r>
      <w:r w:rsidRPr="00CE5BE5">
        <w:rPr>
          <w:rFonts w:cs="Traditional Arabic"/>
          <w:sz w:val="18"/>
          <w:szCs w:val="26"/>
          <w:rtl/>
          <w:lang/>
        </w:rPr>
        <w:t xml:space="preserve"> </w:t>
      </w:r>
      <w:r w:rsidRPr="00CE5BE5">
        <w:rPr>
          <w:rStyle w:val="hps"/>
          <w:rFonts w:cs="Traditional Arabic" w:hint="cs"/>
          <w:sz w:val="18"/>
          <w:szCs w:val="26"/>
          <w:rtl/>
          <w:lang/>
        </w:rPr>
        <w:t>الصادر عن</w:t>
      </w:r>
      <w:r w:rsidRPr="00CE5BE5">
        <w:rPr>
          <w:rFonts w:cs="Traditional Arabic"/>
          <w:sz w:val="18"/>
          <w:szCs w:val="26"/>
          <w:rtl/>
          <w:lang/>
        </w:rPr>
        <w:t xml:space="preserve"> </w:t>
      </w:r>
      <w:r w:rsidRPr="00CE5BE5">
        <w:rPr>
          <w:rStyle w:val="hps"/>
          <w:rFonts w:cs="Traditional Arabic"/>
          <w:sz w:val="18"/>
          <w:szCs w:val="26"/>
          <w:rtl/>
          <w:lang/>
        </w:rPr>
        <w:t>وزارة</w:t>
      </w:r>
      <w:r w:rsidRPr="00CE5BE5">
        <w:rPr>
          <w:rFonts w:cs="Traditional Arabic"/>
          <w:sz w:val="18"/>
          <w:szCs w:val="26"/>
          <w:rtl/>
          <w:lang/>
        </w:rPr>
        <w:t xml:space="preserve"> </w:t>
      </w:r>
      <w:r w:rsidRPr="00CE5BE5">
        <w:rPr>
          <w:rFonts w:cs="Traditional Arabic" w:hint="cs"/>
          <w:sz w:val="18"/>
          <w:szCs w:val="26"/>
          <w:rtl/>
          <w:lang/>
        </w:rPr>
        <w:t xml:space="preserve">خارجية </w:t>
      </w:r>
      <w:r w:rsidRPr="00CE5BE5">
        <w:rPr>
          <w:rStyle w:val="hps"/>
          <w:rFonts w:cs="Traditional Arabic"/>
          <w:sz w:val="18"/>
          <w:szCs w:val="26"/>
          <w:rtl/>
          <w:lang/>
        </w:rPr>
        <w:t>الولايات المتحدة الأمريكية</w:t>
      </w:r>
      <w:r w:rsidRPr="00CE5BE5">
        <w:rPr>
          <w:rFonts w:cs="Traditional Arabic"/>
          <w:sz w:val="18"/>
          <w:szCs w:val="26"/>
          <w:rtl/>
          <w:lang/>
        </w:rPr>
        <w:t xml:space="preserve">، </w:t>
      </w:r>
      <w:r w:rsidRPr="00CE5BE5">
        <w:rPr>
          <w:rStyle w:val="hps"/>
          <w:rFonts w:cs="Traditional Arabic" w:hint="cs"/>
          <w:sz w:val="18"/>
          <w:szCs w:val="26"/>
          <w:rtl/>
          <w:lang/>
        </w:rPr>
        <w:t>والذي</w:t>
      </w:r>
      <w:r w:rsidRPr="00CE5BE5">
        <w:rPr>
          <w:rStyle w:val="hps"/>
          <w:rFonts w:cs="Traditional Arabic"/>
          <w:sz w:val="18"/>
          <w:szCs w:val="26"/>
          <w:rtl/>
          <w:lang/>
        </w:rPr>
        <w:t xml:space="preserve"> استشهد</w:t>
      </w:r>
      <w:r w:rsidRPr="00CE5BE5">
        <w:rPr>
          <w:rStyle w:val="hps"/>
          <w:rFonts w:cs="Traditional Arabic" w:hint="cs"/>
          <w:sz w:val="18"/>
          <w:szCs w:val="26"/>
          <w:rtl/>
          <w:lang/>
        </w:rPr>
        <w:t xml:space="preserve">ت به </w:t>
      </w:r>
      <w:r w:rsidRPr="00CE5BE5">
        <w:rPr>
          <w:rStyle w:val="hps"/>
          <w:rFonts w:cs="Traditional Arabic"/>
          <w:sz w:val="18"/>
          <w:szCs w:val="26"/>
          <w:rtl/>
          <w:lang/>
        </w:rPr>
        <w:t>الدولة الطرف</w:t>
      </w:r>
      <w:r w:rsidRPr="00CE5BE5">
        <w:rPr>
          <w:rFonts w:cs="Traditional Arabic"/>
          <w:sz w:val="18"/>
          <w:szCs w:val="26"/>
          <w:rtl/>
          <w:lang/>
        </w:rPr>
        <w:t xml:space="preserve"> </w:t>
      </w:r>
      <w:r w:rsidRPr="00CE5BE5">
        <w:rPr>
          <w:rStyle w:val="hps"/>
          <w:rFonts w:cs="Traditional Arabic"/>
          <w:sz w:val="18"/>
          <w:szCs w:val="26"/>
          <w:rtl/>
          <w:lang/>
        </w:rPr>
        <w:t>في ملاحظاتها</w:t>
      </w:r>
      <w:r w:rsidRPr="00CE5BE5">
        <w:rPr>
          <w:rFonts w:cs="Traditional Arabic"/>
          <w:sz w:val="18"/>
          <w:szCs w:val="26"/>
          <w:rtl/>
          <w:lang/>
        </w:rPr>
        <w:t xml:space="preserve">، </w:t>
      </w:r>
      <w:r w:rsidRPr="00CE5BE5">
        <w:rPr>
          <w:rFonts w:cs="Traditional Arabic" w:hint="cs"/>
          <w:sz w:val="18"/>
          <w:szCs w:val="26"/>
          <w:rtl/>
          <w:lang/>
        </w:rPr>
        <w:t>وهو يشير</w:t>
      </w:r>
      <w:r w:rsidRPr="00CE5BE5">
        <w:rPr>
          <w:rFonts w:cs="Traditional Arabic"/>
          <w:sz w:val="18"/>
          <w:szCs w:val="26"/>
          <w:rtl/>
          <w:lang/>
        </w:rPr>
        <w:t xml:space="preserve"> إلى </w:t>
      </w:r>
      <w:r w:rsidRPr="00CE5BE5">
        <w:rPr>
          <w:rStyle w:val="hps"/>
          <w:rFonts w:cs="Traditional Arabic" w:hint="cs"/>
          <w:sz w:val="18"/>
          <w:szCs w:val="26"/>
          <w:rtl/>
          <w:lang/>
        </w:rPr>
        <w:t>قضية</w:t>
      </w:r>
      <w:r w:rsidRPr="00CE5BE5">
        <w:rPr>
          <w:rFonts w:cs="Traditional Arabic"/>
          <w:sz w:val="18"/>
          <w:szCs w:val="26"/>
          <w:rtl/>
          <w:lang/>
        </w:rPr>
        <w:t xml:space="preserve"> </w:t>
      </w:r>
      <w:r w:rsidRPr="00CE5BE5">
        <w:rPr>
          <w:rStyle w:val="hps"/>
          <w:rFonts w:cs="Traditional Arabic"/>
          <w:sz w:val="18"/>
          <w:szCs w:val="26"/>
          <w:rtl/>
          <w:lang/>
        </w:rPr>
        <w:t>عبد المطلب بن</w:t>
      </w:r>
      <w:r w:rsidRPr="00CE5BE5">
        <w:rPr>
          <w:rFonts w:cs="Traditional Arabic"/>
          <w:sz w:val="18"/>
          <w:szCs w:val="26"/>
          <w:rtl/>
          <w:lang/>
        </w:rPr>
        <w:t xml:space="preserve"> </w:t>
      </w:r>
      <w:r w:rsidRPr="00CE5BE5">
        <w:rPr>
          <w:rStyle w:val="hps"/>
          <w:rFonts w:cs="Traditional Arabic"/>
          <w:sz w:val="18"/>
          <w:szCs w:val="26"/>
          <w:rtl/>
          <w:lang/>
        </w:rPr>
        <w:t>مرزوق</w:t>
      </w:r>
      <w:r w:rsidRPr="00CE5BE5">
        <w:rPr>
          <w:rFonts w:cs="Traditional Arabic"/>
          <w:sz w:val="18"/>
          <w:szCs w:val="26"/>
          <w:rtl/>
          <w:lang/>
        </w:rPr>
        <w:t xml:space="preserve"> </w:t>
      </w:r>
      <w:r w:rsidRPr="00CE5BE5">
        <w:rPr>
          <w:rStyle w:val="hps"/>
          <w:rFonts w:cs="Traditional Arabic"/>
          <w:sz w:val="18"/>
          <w:szCs w:val="26"/>
          <w:rtl/>
          <w:lang/>
        </w:rPr>
        <w:t>الذي تعرض للتعذيب</w:t>
      </w:r>
      <w:r w:rsidRPr="00CE5BE5">
        <w:rPr>
          <w:rFonts w:cs="Traditional Arabic"/>
          <w:sz w:val="18"/>
          <w:szCs w:val="26"/>
          <w:rtl/>
          <w:lang/>
        </w:rPr>
        <w:t xml:space="preserve"> </w:t>
      </w:r>
      <w:r w:rsidRPr="00CE5BE5">
        <w:rPr>
          <w:rStyle w:val="hps"/>
          <w:rFonts w:cs="Traditional Arabic" w:hint="cs"/>
          <w:sz w:val="18"/>
          <w:szCs w:val="26"/>
          <w:rtl/>
          <w:lang/>
        </w:rPr>
        <w:t>في</w:t>
      </w:r>
      <w:r w:rsidRPr="00CE5BE5">
        <w:rPr>
          <w:rStyle w:val="hps"/>
          <w:rFonts w:cs="Traditional Arabic"/>
          <w:sz w:val="18"/>
          <w:szCs w:val="26"/>
          <w:rtl/>
          <w:lang/>
        </w:rPr>
        <w:t xml:space="preserve"> 12 </w:t>
      </w:r>
      <w:r w:rsidRPr="00CE5BE5">
        <w:rPr>
          <w:rStyle w:val="hps"/>
          <w:rFonts w:cs="Traditional Arabic" w:hint="cs"/>
          <w:sz w:val="18"/>
          <w:szCs w:val="26"/>
          <w:rtl/>
          <w:lang/>
        </w:rPr>
        <w:t>آذار/</w:t>
      </w:r>
      <w:r w:rsidRPr="00CE5BE5">
        <w:rPr>
          <w:rStyle w:val="hps"/>
          <w:rFonts w:cs="Traditional Arabic"/>
          <w:sz w:val="18"/>
          <w:szCs w:val="26"/>
          <w:rtl/>
          <w:lang/>
        </w:rPr>
        <w:t>مارس</w:t>
      </w:r>
      <w:r w:rsidRPr="00CE5BE5">
        <w:rPr>
          <w:rFonts w:cs="Traditional Arabic"/>
          <w:sz w:val="18"/>
          <w:szCs w:val="26"/>
          <w:rtl/>
          <w:lang/>
        </w:rPr>
        <w:t xml:space="preserve"> </w:t>
      </w:r>
      <w:r w:rsidRPr="00CE5BE5">
        <w:rPr>
          <w:rStyle w:val="hps"/>
          <w:rFonts w:cs="Traditional Arabic"/>
          <w:sz w:val="18"/>
          <w:szCs w:val="26"/>
          <w:rtl/>
          <w:lang/>
        </w:rPr>
        <w:t xml:space="preserve">2009 </w:t>
      </w:r>
      <w:r w:rsidRPr="00CE5BE5">
        <w:rPr>
          <w:rStyle w:val="hps"/>
          <w:rFonts w:cs="Traditional Arabic" w:hint="cs"/>
          <w:sz w:val="18"/>
          <w:szCs w:val="26"/>
          <w:rtl/>
          <w:lang/>
        </w:rPr>
        <w:t>على أيدي</w:t>
      </w:r>
      <w:r w:rsidRPr="00CE5BE5">
        <w:rPr>
          <w:rFonts w:cs="Traditional Arabic"/>
          <w:sz w:val="18"/>
          <w:szCs w:val="26"/>
          <w:rtl/>
          <w:lang/>
        </w:rPr>
        <w:t xml:space="preserve"> </w:t>
      </w:r>
      <w:r w:rsidRPr="00CE5BE5">
        <w:rPr>
          <w:rStyle w:val="hps"/>
          <w:rFonts w:cs="Traditional Arabic"/>
          <w:sz w:val="18"/>
          <w:szCs w:val="26"/>
          <w:rtl/>
          <w:lang/>
        </w:rPr>
        <w:t>قوات الأمن</w:t>
      </w:r>
      <w:r w:rsidRPr="00CE5BE5">
        <w:rPr>
          <w:rFonts w:cs="Traditional Arabic"/>
          <w:sz w:val="18"/>
          <w:szCs w:val="26"/>
          <w:rtl/>
          <w:lang/>
        </w:rPr>
        <w:t xml:space="preserve"> </w:t>
      </w:r>
      <w:r w:rsidRPr="00CE5BE5">
        <w:rPr>
          <w:rStyle w:val="hps"/>
          <w:rFonts w:cs="Traditional Arabic"/>
          <w:sz w:val="18"/>
          <w:szCs w:val="26"/>
          <w:rtl/>
          <w:lang/>
        </w:rPr>
        <w:t>ال</w:t>
      </w:r>
      <w:r w:rsidRPr="00CE5BE5">
        <w:rPr>
          <w:rStyle w:val="hps"/>
          <w:rFonts w:cs="Traditional Arabic" w:hint="cs"/>
          <w:sz w:val="18"/>
          <w:szCs w:val="26"/>
          <w:rtl/>
          <w:lang/>
        </w:rPr>
        <w:t xml:space="preserve">تي سعت إلى </w:t>
      </w:r>
      <w:r w:rsidRPr="00CE5BE5">
        <w:rPr>
          <w:rStyle w:val="hps"/>
          <w:rFonts w:cs="Traditional Arabic"/>
          <w:sz w:val="18"/>
          <w:szCs w:val="26"/>
          <w:rtl/>
          <w:lang/>
        </w:rPr>
        <w:t>إرغامه</w:t>
      </w:r>
      <w:r w:rsidRPr="00CE5BE5">
        <w:rPr>
          <w:rFonts w:cs="Traditional Arabic"/>
          <w:sz w:val="18"/>
          <w:szCs w:val="26"/>
          <w:rtl/>
          <w:lang/>
        </w:rPr>
        <w:t xml:space="preserve"> </w:t>
      </w:r>
      <w:r w:rsidRPr="00CE5BE5">
        <w:rPr>
          <w:rStyle w:val="hps"/>
          <w:rFonts w:cs="Traditional Arabic"/>
          <w:sz w:val="18"/>
          <w:szCs w:val="26"/>
          <w:rtl/>
          <w:lang/>
        </w:rPr>
        <w:t>على الاعتراف</w:t>
      </w:r>
      <w:r w:rsidRPr="00CE5BE5">
        <w:rPr>
          <w:rStyle w:val="hps"/>
          <w:rFonts w:cs="Traditional Arabic" w:hint="cs"/>
          <w:sz w:val="18"/>
          <w:szCs w:val="26"/>
          <w:rtl/>
          <w:lang/>
        </w:rPr>
        <w:t xml:space="preserve"> بمشاركته في عراك دار بأحد المقاهي</w:t>
      </w:r>
      <w:r w:rsidRPr="00CE5BE5">
        <w:rPr>
          <w:rFonts w:cs="Traditional Arabic"/>
          <w:sz w:val="18"/>
          <w:szCs w:val="26"/>
          <w:rtl/>
          <w:lang/>
        </w:rPr>
        <w:t xml:space="preserve">؛ </w:t>
      </w:r>
      <w:r w:rsidRPr="00CE5BE5">
        <w:rPr>
          <w:rStyle w:val="hps"/>
          <w:rFonts w:cs="Traditional Arabic"/>
          <w:sz w:val="18"/>
          <w:szCs w:val="26"/>
          <w:rtl/>
          <w:lang/>
        </w:rPr>
        <w:t>تقرير عام 2009</w:t>
      </w:r>
      <w:r w:rsidRPr="00CE5BE5">
        <w:rPr>
          <w:rFonts w:cs="Traditional Arabic"/>
          <w:sz w:val="18"/>
          <w:szCs w:val="26"/>
          <w:rtl/>
          <w:lang/>
        </w:rPr>
        <w:t xml:space="preserve"> </w:t>
      </w:r>
      <w:r w:rsidRPr="00CE5BE5">
        <w:rPr>
          <w:rStyle w:val="hps"/>
          <w:rFonts w:cs="Traditional Arabic" w:hint="cs"/>
          <w:sz w:val="18"/>
          <w:szCs w:val="26"/>
          <w:rtl/>
          <w:lang/>
        </w:rPr>
        <w:t>الصادر عن</w:t>
      </w:r>
      <w:r w:rsidRPr="00CE5BE5">
        <w:rPr>
          <w:rFonts w:cs="Traditional Arabic"/>
          <w:sz w:val="18"/>
          <w:szCs w:val="26"/>
          <w:rtl/>
          <w:lang/>
        </w:rPr>
        <w:t xml:space="preserve"> </w:t>
      </w:r>
      <w:r w:rsidRPr="00CE5BE5">
        <w:rPr>
          <w:rStyle w:val="hps"/>
          <w:rFonts w:cs="Traditional Arabic"/>
          <w:sz w:val="18"/>
          <w:szCs w:val="26"/>
          <w:rtl/>
          <w:lang/>
        </w:rPr>
        <w:t>المنظمة العالمية لمناهضة</w:t>
      </w:r>
      <w:r w:rsidRPr="00CE5BE5">
        <w:rPr>
          <w:rFonts w:cs="Traditional Arabic"/>
          <w:sz w:val="18"/>
          <w:szCs w:val="26"/>
          <w:rtl/>
          <w:lang/>
        </w:rPr>
        <w:t xml:space="preserve"> </w:t>
      </w:r>
      <w:r w:rsidRPr="00CE5BE5">
        <w:rPr>
          <w:rStyle w:val="hps"/>
          <w:rFonts w:cs="Traditional Arabic"/>
          <w:sz w:val="18"/>
          <w:szCs w:val="26"/>
          <w:rtl/>
          <w:lang/>
        </w:rPr>
        <w:t>التعذيب</w:t>
      </w:r>
      <w:r w:rsidRPr="00CE5BE5">
        <w:rPr>
          <w:rFonts w:cs="Traditional Arabic"/>
          <w:sz w:val="18"/>
          <w:szCs w:val="26"/>
          <w:rtl/>
          <w:lang/>
        </w:rPr>
        <w:t xml:space="preserve"> </w:t>
      </w:r>
      <w:r w:rsidRPr="00CE5BE5">
        <w:rPr>
          <w:rStyle w:val="hps"/>
          <w:rFonts w:cs="Traditional Arabic"/>
          <w:sz w:val="18"/>
          <w:szCs w:val="26"/>
          <w:rtl/>
          <w:lang/>
        </w:rPr>
        <w:t>و</w:t>
      </w:r>
      <w:r w:rsidRPr="00CE5BE5">
        <w:rPr>
          <w:rFonts w:cs="Traditional Arabic"/>
          <w:sz w:val="18"/>
          <w:szCs w:val="26"/>
          <w:rtl/>
          <w:lang/>
        </w:rPr>
        <w:t xml:space="preserve">الجمعية التونسية </w:t>
      </w:r>
      <w:r w:rsidRPr="00CE5BE5">
        <w:rPr>
          <w:rStyle w:val="hps"/>
          <w:rFonts w:cs="Traditional Arabic"/>
          <w:sz w:val="18"/>
          <w:szCs w:val="26"/>
          <w:rtl/>
          <w:lang/>
        </w:rPr>
        <w:t>لمناهضة التعذيب</w:t>
      </w:r>
      <w:r w:rsidRPr="00CE5BE5">
        <w:rPr>
          <w:rFonts w:cs="Traditional Arabic"/>
          <w:sz w:val="18"/>
          <w:szCs w:val="26"/>
          <w:rtl/>
          <w:lang/>
        </w:rPr>
        <w:t xml:space="preserve">، </w:t>
      </w:r>
      <w:r w:rsidRPr="00CE5BE5">
        <w:rPr>
          <w:rFonts w:cs="Traditional Arabic" w:hint="cs"/>
          <w:sz w:val="18"/>
          <w:szCs w:val="26"/>
          <w:rtl/>
          <w:lang/>
        </w:rPr>
        <w:t>والذي أشار مرات عديدة</w:t>
      </w:r>
      <w:r w:rsidRPr="00CE5BE5">
        <w:rPr>
          <w:rFonts w:cs="Traditional Arabic"/>
          <w:sz w:val="18"/>
          <w:szCs w:val="26"/>
          <w:rtl/>
          <w:lang/>
        </w:rPr>
        <w:t xml:space="preserve"> إلى </w:t>
      </w:r>
      <w:r w:rsidRPr="00CE5BE5">
        <w:rPr>
          <w:rFonts w:cs="Traditional Arabic" w:hint="cs"/>
          <w:sz w:val="18"/>
          <w:szCs w:val="26"/>
          <w:rtl/>
          <w:lang/>
        </w:rPr>
        <w:t>ال</w:t>
      </w:r>
      <w:r w:rsidRPr="00CE5BE5">
        <w:rPr>
          <w:rStyle w:val="hps"/>
          <w:rFonts w:cs="Traditional Arabic"/>
          <w:sz w:val="18"/>
          <w:szCs w:val="26"/>
          <w:rtl/>
          <w:lang/>
        </w:rPr>
        <w:t>تعذيب</w:t>
      </w:r>
      <w:r w:rsidRPr="00CE5BE5">
        <w:rPr>
          <w:rStyle w:val="hps"/>
          <w:rFonts w:cs="Traditional Arabic" w:hint="cs"/>
          <w:sz w:val="18"/>
          <w:szCs w:val="26"/>
          <w:rtl/>
          <w:lang/>
        </w:rPr>
        <w:t xml:space="preserve"> الممارس ضد</w:t>
      </w:r>
      <w:r w:rsidRPr="00CE5BE5">
        <w:rPr>
          <w:rStyle w:val="hps"/>
          <w:rFonts w:cs="Traditional Arabic"/>
          <w:sz w:val="18"/>
          <w:szCs w:val="26"/>
          <w:rtl/>
          <w:lang/>
        </w:rPr>
        <w:t xml:space="preserve"> السجناء</w:t>
      </w:r>
      <w:r w:rsidRPr="00CE5BE5">
        <w:rPr>
          <w:rFonts w:cs="Traditional Arabic"/>
          <w:sz w:val="18"/>
          <w:szCs w:val="26"/>
          <w:rtl/>
          <w:lang/>
        </w:rPr>
        <w:t xml:space="preserve"> </w:t>
      </w:r>
      <w:r w:rsidRPr="00CE5BE5">
        <w:rPr>
          <w:rStyle w:val="hps"/>
          <w:rFonts w:cs="Traditional Arabic"/>
          <w:sz w:val="18"/>
          <w:szCs w:val="26"/>
          <w:rtl/>
          <w:lang/>
        </w:rPr>
        <w:t>المدانين بجرائم</w:t>
      </w:r>
      <w:r w:rsidRPr="00CE5BE5">
        <w:rPr>
          <w:rFonts w:cs="Traditional Arabic"/>
          <w:sz w:val="18"/>
          <w:szCs w:val="26"/>
          <w:rtl/>
          <w:lang/>
        </w:rPr>
        <w:t xml:space="preserve"> </w:t>
      </w:r>
      <w:r w:rsidRPr="00CE5BE5">
        <w:rPr>
          <w:rStyle w:val="hps"/>
          <w:rFonts w:cs="Traditional Arabic"/>
          <w:sz w:val="18"/>
          <w:szCs w:val="26"/>
          <w:rtl/>
          <w:lang/>
        </w:rPr>
        <w:t>عادية</w:t>
      </w:r>
      <w:r w:rsidRPr="00CE5BE5">
        <w:rPr>
          <w:rFonts w:cs="Traditional Arabic"/>
          <w:sz w:val="18"/>
          <w:szCs w:val="26"/>
          <w:rtl/>
          <w:lang/>
        </w:rPr>
        <w:t>؛</w:t>
      </w:r>
      <w:r w:rsidRPr="00CE5BE5">
        <w:rPr>
          <w:rStyle w:val="hps"/>
          <w:rFonts w:cs="Traditional Arabic"/>
          <w:sz w:val="18"/>
          <w:szCs w:val="26"/>
          <w:rtl/>
          <w:lang/>
        </w:rPr>
        <w:t xml:space="preserve"> تقرير</w:t>
      </w:r>
      <w:r w:rsidRPr="00CE5BE5">
        <w:rPr>
          <w:rFonts w:cs="Traditional Arabic"/>
          <w:sz w:val="18"/>
          <w:szCs w:val="26"/>
          <w:rtl/>
          <w:lang/>
        </w:rPr>
        <w:t xml:space="preserve"> </w:t>
      </w:r>
      <w:r w:rsidRPr="00CE5BE5">
        <w:rPr>
          <w:rStyle w:val="hps"/>
          <w:rFonts w:cs="Traditional Arabic" w:hint="cs"/>
          <w:sz w:val="18"/>
          <w:szCs w:val="26"/>
          <w:rtl/>
          <w:lang/>
        </w:rPr>
        <w:t>منظمة العمل المسيحي من أجل إلغاء التعذيب - فرنسا المعنون</w:t>
      </w:r>
      <w:r w:rsidRPr="00CE5BE5">
        <w:rPr>
          <w:rFonts w:cs="Traditional Arabic"/>
          <w:sz w:val="18"/>
          <w:szCs w:val="26"/>
          <w:rtl/>
          <w:lang/>
        </w:rPr>
        <w:t xml:space="preserve"> </w:t>
      </w:r>
      <w:r w:rsidRPr="00CE5BE5">
        <w:rPr>
          <w:rFonts w:cs="Traditional Arabic" w:hint="cs"/>
          <w:sz w:val="18"/>
          <w:szCs w:val="26"/>
          <w:rtl/>
          <w:lang/>
        </w:rPr>
        <w:t>"</w:t>
      </w:r>
      <w:r w:rsidRPr="00CE5BE5">
        <w:rPr>
          <w:rFonts w:cs="Traditional Arabic"/>
          <w:sz w:val="18"/>
          <w:szCs w:val="26"/>
          <w:rtl/>
          <w:lang/>
        </w:rPr>
        <w:t xml:space="preserve">عالم </w:t>
      </w:r>
      <w:r w:rsidRPr="00CE5BE5">
        <w:rPr>
          <w:rStyle w:val="hps"/>
          <w:rFonts w:cs="Traditional Arabic" w:hint="cs"/>
          <w:sz w:val="18"/>
          <w:szCs w:val="26"/>
          <w:rtl/>
          <w:lang/>
        </w:rPr>
        <w:t>مليء</w:t>
      </w:r>
      <w:r w:rsidRPr="00CE5BE5">
        <w:rPr>
          <w:rFonts w:cs="Traditional Arabic"/>
          <w:sz w:val="18"/>
          <w:szCs w:val="26"/>
          <w:rtl/>
          <w:lang/>
        </w:rPr>
        <w:t xml:space="preserve"> </w:t>
      </w:r>
      <w:r w:rsidRPr="00CE5BE5">
        <w:rPr>
          <w:rFonts w:cs="Traditional Arabic" w:hint="cs"/>
          <w:sz w:val="18"/>
          <w:szCs w:val="26"/>
          <w:rtl/>
          <w:lang/>
        </w:rPr>
        <w:t>ب</w:t>
      </w:r>
      <w:r w:rsidRPr="00CE5BE5">
        <w:rPr>
          <w:rStyle w:val="hps"/>
          <w:rFonts w:cs="Traditional Arabic"/>
          <w:sz w:val="18"/>
          <w:szCs w:val="26"/>
          <w:rtl/>
          <w:lang/>
        </w:rPr>
        <w:t>التعذيب</w:t>
      </w:r>
      <w:r w:rsidRPr="00CE5BE5">
        <w:rPr>
          <w:rStyle w:val="hps"/>
          <w:rFonts w:cs="Traditional Arabic" w:hint="cs"/>
          <w:sz w:val="18"/>
          <w:szCs w:val="26"/>
          <w:rtl/>
          <w:lang/>
        </w:rPr>
        <w:t>" الصادر عام 2010</w:t>
      </w:r>
      <w:r w:rsidRPr="00CE5BE5">
        <w:rPr>
          <w:rFonts w:cs="Traditional Arabic"/>
          <w:sz w:val="18"/>
          <w:szCs w:val="26"/>
          <w:rtl/>
          <w:lang/>
        </w:rPr>
        <w:t>، وال</w:t>
      </w:r>
      <w:r w:rsidRPr="00CE5BE5">
        <w:rPr>
          <w:rFonts w:cs="Traditional Arabic" w:hint="cs"/>
          <w:sz w:val="18"/>
          <w:szCs w:val="26"/>
          <w:rtl/>
          <w:lang/>
        </w:rPr>
        <w:t>ذي </w:t>
      </w:r>
      <w:r w:rsidRPr="00CE5BE5">
        <w:rPr>
          <w:rStyle w:val="hps"/>
          <w:rFonts w:cs="Traditional Arabic" w:hint="cs"/>
          <w:sz w:val="18"/>
          <w:szCs w:val="26"/>
          <w:rtl/>
          <w:lang/>
        </w:rPr>
        <w:t>ي</w:t>
      </w:r>
      <w:r w:rsidRPr="00CE5BE5">
        <w:rPr>
          <w:rStyle w:val="hps"/>
          <w:rFonts w:cs="Traditional Arabic"/>
          <w:sz w:val="18"/>
          <w:szCs w:val="26"/>
          <w:rtl/>
          <w:lang/>
        </w:rPr>
        <w:t xml:space="preserve">شير إلى </w:t>
      </w:r>
      <w:r w:rsidRPr="00CE5BE5">
        <w:rPr>
          <w:rStyle w:val="hps"/>
          <w:rFonts w:cs="Traditional Arabic" w:hint="cs"/>
          <w:sz w:val="18"/>
          <w:szCs w:val="26"/>
          <w:rtl/>
          <w:lang/>
        </w:rPr>
        <w:t>"تعرض</w:t>
      </w:r>
      <w:r w:rsidRPr="00CE5BE5">
        <w:rPr>
          <w:rFonts w:cs="Traditional Arabic"/>
          <w:sz w:val="18"/>
          <w:szCs w:val="26"/>
          <w:rtl/>
          <w:lang/>
        </w:rPr>
        <w:t xml:space="preserve"> </w:t>
      </w:r>
      <w:r w:rsidRPr="00CE5BE5">
        <w:rPr>
          <w:rStyle w:val="hps"/>
          <w:rFonts w:cs="Traditional Arabic"/>
          <w:sz w:val="18"/>
          <w:szCs w:val="26"/>
          <w:rtl/>
          <w:lang/>
        </w:rPr>
        <w:t>الأشخاص المشتبه</w:t>
      </w:r>
      <w:r w:rsidRPr="00CE5BE5">
        <w:rPr>
          <w:rFonts w:cs="Traditional Arabic"/>
          <w:sz w:val="18"/>
          <w:szCs w:val="26"/>
          <w:rtl/>
          <w:lang/>
        </w:rPr>
        <w:t xml:space="preserve"> </w:t>
      </w:r>
      <w:r w:rsidRPr="00CE5BE5">
        <w:rPr>
          <w:rStyle w:val="hps"/>
          <w:rFonts w:cs="Traditional Arabic"/>
          <w:sz w:val="18"/>
          <w:szCs w:val="26"/>
          <w:rtl/>
          <w:lang/>
        </w:rPr>
        <w:t>في ارتكابهم</w:t>
      </w:r>
      <w:r w:rsidRPr="00CE5BE5">
        <w:rPr>
          <w:rFonts w:cs="Traditional Arabic"/>
          <w:sz w:val="18"/>
          <w:szCs w:val="26"/>
          <w:rtl/>
          <w:lang/>
        </w:rPr>
        <w:t xml:space="preserve"> </w:t>
      </w:r>
      <w:r w:rsidRPr="00CE5BE5">
        <w:rPr>
          <w:rStyle w:val="hps"/>
          <w:rFonts w:cs="Traditional Arabic"/>
          <w:sz w:val="18"/>
          <w:szCs w:val="26"/>
          <w:rtl/>
          <w:lang/>
        </w:rPr>
        <w:t>جريمة</w:t>
      </w:r>
      <w:r w:rsidRPr="00CE5BE5">
        <w:rPr>
          <w:rFonts w:cs="Traditional Arabic"/>
          <w:sz w:val="18"/>
          <w:szCs w:val="26"/>
          <w:rtl/>
          <w:lang/>
        </w:rPr>
        <w:t xml:space="preserve"> </w:t>
      </w:r>
      <w:r w:rsidRPr="00CE5BE5">
        <w:rPr>
          <w:rStyle w:val="hps"/>
          <w:rFonts w:cs="Traditional Arabic"/>
          <w:sz w:val="18"/>
          <w:szCs w:val="26"/>
          <w:rtl/>
          <w:lang/>
        </w:rPr>
        <w:t>عادية</w:t>
      </w:r>
      <w:r w:rsidRPr="00CE5BE5">
        <w:rPr>
          <w:rFonts w:cs="Traditional Arabic"/>
          <w:sz w:val="18"/>
          <w:szCs w:val="26"/>
          <w:rtl/>
          <w:lang/>
        </w:rPr>
        <w:t xml:space="preserve"> </w:t>
      </w:r>
      <w:r w:rsidRPr="00CE5BE5">
        <w:rPr>
          <w:rStyle w:val="hps"/>
          <w:rFonts w:cs="Traditional Arabic" w:hint="cs"/>
          <w:sz w:val="18"/>
          <w:szCs w:val="26"/>
          <w:rtl/>
          <w:lang/>
        </w:rPr>
        <w:t xml:space="preserve">[...] </w:t>
      </w:r>
      <w:r w:rsidRPr="00CE5BE5">
        <w:rPr>
          <w:rStyle w:val="hps"/>
          <w:rFonts w:cs="Traditional Arabic"/>
          <w:sz w:val="18"/>
          <w:szCs w:val="26"/>
          <w:rtl/>
          <w:lang/>
        </w:rPr>
        <w:t xml:space="preserve">بشكل </w:t>
      </w:r>
      <w:r w:rsidRPr="00CE5BE5">
        <w:rPr>
          <w:rStyle w:val="hps"/>
          <w:rFonts w:cs="Traditional Arabic" w:hint="cs"/>
          <w:sz w:val="18"/>
          <w:szCs w:val="26"/>
          <w:rtl/>
          <w:lang/>
        </w:rPr>
        <w:t>شبه منتظم أثناء استجوابهم</w:t>
      </w:r>
      <w:r w:rsidRPr="00CE5BE5">
        <w:rPr>
          <w:rFonts w:cs="Traditional Arabic"/>
          <w:sz w:val="18"/>
          <w:szCs w:val="26"/>
          <w:rtl/>
          <w:lang/>
        </w:rPr>
        <w:t xml:space="preserve"> </w:t>
      </w:r>
      <w:r w:rsidRPr="00CE5BE5">
        <w:rPr>
          <w:rStyle w:val="hps"/>
          <w:rFonts w:cs="Traditional Arabic" w:hint="cs"/>
          <w:sz w:val="18"/>
          <w:szCs w:val="26"/>
          <w:rtl/>
          <w:lang/>
        </w:rPr>
        <w:t>للمعاملة</w:t>
      </w:r>
      <w:r w:rsidRPr="00CE5BE5">
        <w:rPr>
          <w:rStyle w:val="hps"/>
          <w:rFonts w:cs="Traditional Arabic"/>
          <w:sz w:val="18"/>
          <w:szCs w:val="26"/>
          <w:rtl/>
          <w:lang/>
        </w:rPr>
        <w:t xml:space="preserve"> القاسية</w:t>
      </w:r>
      <w:r w:rsidRPr="00CE5BE5">
        <w:rPr>
          <w:rFonts w:cs="Traditional Arabic"/>
          <w:sz w:val="18"/>
          <w:szCs w:val="26"/>
          <w:rtl/>
          <w:lang/>
        </w:rPr>
        <w:t xml:space="preserve"> </w:t>
      </w:r>
      <w:r w:rsidRPr="00CE5BE5">
        <w:rPr>
          <w:rStyle w:val="hps"/>
          <w:rFonts w:cs="Traditional Arabic"/>
          <w:sz w:val="18"/>
          <w:szCs w:val="26"/>
          <w:rtl/>
          <w:lang/>
        </w:rPr>
        <w:t>أو اللاإنسانية أو المهينة</w:t>
      </w:r>
      <w:r w:rsidRPr="00CE5BE5">
        <w:rPr>
          <w:rFonts w:cs="Traditional Arabic"/>
          <w:sz w:val="18"/>
          <w:szCs w:val="26"/>
          <w:rtl/>
          <w:lang/>
        </w:rPr>
        <w:t xml:space="preserve">، </w:t>
      </w:r>
      <w:r w:rsidRPr="00CE5BE5">
        <w:rPr>
          <w:rStyle w:val="hps"/>
          <w:rFonts w:cs="Traditional Arabic"/>
          <w:sz w:val="18"/>
          <w:szCs w:val="26"/>
          <w:rtl/>
          <w:lang/>
        </w:rPr>
        <w:t>مثل</w:t>
      </w:r>
      <w:r w:rsidRPr="00CE5BE5">
        <w:rPr>
          <w:rFonts w:cs="Traditional Arabic"/>
          <w:sz w:val="18"/>
          <w:szCs w:val="26"/>
          <w:rtl/>
          <w:lang/>
        </w:rPr>
        <w:t xml:space="preserve"> </w:t>
      </w:r>
      <w:r w:rsidRPr="00CE5BE5">
        <w:rPr>
          <w:rStyle w:val="hps"/>
          <w:rFonts w:cs="Traditional Arabic"/>
          <w:sz w:val="18"/>
          <w:szCs w:val="26"/>
          <w:rtl/>
          <w:lang/>
        </w:rPr>
        <w:t>الركل و</w:t>
      </w:r>
      <w:r w:rsidRPr="00CE5BE5">
        <w:rPr>
          <w:rFonts w:cs="Traditional Arabic"/>
          <w:sz w:val="18"/>
          <w:szCs w:val="26"/>
          <w:rtl/>
          <w:lang/>
        </w:rPr>
        <w:t>الصفع أو اللكم</w:t>
      </w:r>
      <w:r w:rsidRPr="00CE5BE5">
        <w:rPr>
          <w:rStyle w:val="hps"/>
          <w:rFonts w:cs="Traditional Arabic"/>
          <w:sz w:val="18"/>
          <w:szCs w:val="26"/>
          <w:rtl/>
          <w:lang/>
        </w:rPr>
        <w:t>.</w:t>
      </w:r>
      <w:r w:rsidRPr="00CE5BE5">
        <w:rPr>
          <w:rFonts w:cs="Traditional Arabic"/>
          <w:sz w:val="18"/>
          <w:szCs w:val="26"/>
          <w:rtl/>
          <w:lang/>
        </w:rPr>
        <w:t xml:space="preserve"> </w:t>
      </w:r>
      <w:r w:rsidRPr="00CE5BE5">
        <w:rPr>
          <w:rStyle w:val="hps"/>
          <w:rFonts w:cs="Traditional Arabic" w:hint="cs"/>
          <w:sz w:val="18"/>
          <w:szCs w:val="26"/>
          <w:rtl/>
          <w:lang/>
        </w:rPr>
        <w:t>و</w:t>
      </w:r>
      <w:r w:rsidRPr="00CE5BE5">
        <w:rPr>
          <w:rStyle w:val="hps"/>
          <w:rFonts w:cs="Traditional Arabic"/>
          <w:sz w:val="18"/>
          <w:szCs w:val="26"/>
          <w:rtl/>
          <w:lang/>
        </w:rPr>
        <w:t>وفقا</w:t>
      </w:r>
      <w:r w:rsidRPr="00CE5BE5">
        <w:rPr>
          <w:rStyle w:val="hps"/>
          <w:rFonts w:cs="Traditional Arabic" w:hint="cs"/>
          <w:sz w:val="18"/>
          <w:szCs w:val="26"/>
          <w:rtl/>
          <w:lang/>
        </w:rPr>
        <w:t>ً</w:t>
      </w:r>
      <w:r w:rsidRPr="00CE5BE5">
        <w:rPr>
          <w:rStyle w:val="hps"/>
          <w:rFonts w:cs="Traditional Arabic"/>
          <w:sz w:val="18"/>
          <w:szCs w:val="26"/>
          <w:rtl/>
          <w:lang/>
        </w:rPr>
        <w:t xml:space="preserve"> </w:t>
      </w:r>
      <w:r w:rsidRPr="00CE5BE5">
        <w:rPr>
          <w:rStyle w:val="hps"/>
          <w:rFonts w:cs="Traditional Arabic" w:hint="cs"/>
          <w:sz w:val="18"/>
          <w:szCs w:val="26"/>
          <w:rtl/>
          <w:lang/>
        </w:rPr>
        <w:t>للشهادات التي</w:t>
      </w:r>
      <w:r w:rsidRPr="00CE5BE5">
        <w:rPr>
          <w:rStyle w:val="hps"/>
          <w:rFonts w:cs="Traditional Arabic" w:hint="eastAsia"/>
          <w:sz w:val="18"/>
          <w:szCs w:val="26"/>
          <w:rtl/>
          <w:lang/>
        </w:rPr>
        <w:t> </w:t>
      </w:r>
      <w:r w:rsidRPr="00CE5BE5">
        <w:rPr>
          <w:rStyle w:val="hps"/>
          <w:rFonts w:cs="Traditional Arabic" w:hint="cs"/>
          <w:sz w:val="18"/>
          <w:szCs w:val="26"/>
          <w:rtl/>
          <w:lang/>
        </w:rPr>
        <w:t>تسنى</w:t>
      </w:r>
      <w:r w:rsidRPr="00CE5BE5">
        <w:rPr>
          <w:rStyle w:val="hps"/>
          <w:rFonts w:cs="Traditional Arabic"/>
          <w:sz w:val="18"/>
          <w:szCs w:val="26"/>
          <w:rtl/>
          <w:lang/>
        </w:rPr>
        <w:t xml:space="preserve"> جمعها من</w:t>
      </w:r>
      <w:r w:rsidRPr="00CE5BE5">
        <w:rPr>
          <w:rFonts w:cs="Traditional Arabic"/>
          <w:sz w:val="18"/>
          <w:szCs w:val="26"/>
          <w:rtl/>
          <w:lang/>
        </w:rPr>
        <w:t xml:space="preserve"> </w:t>
      </w:r>
      <w:r w:rsidRPr="00CE5BE5">
        <w:rPr>
          <w:rStyle w:val="hps"/>
          <w:rFonts w:cs="Traditional Arabic"/>
          <w:sz w:val="18"/>
          <w:szCs w:val="26"/>
          <w:rtl/>
          <w:lang/>
        </w:rPr>
        <w:t>الضحايا و</w:t>
      </w:r>
      <w:r w:rsidRPr="00CE5BE5">
        <w:rPr>
          <w:rFonts w:cs="Traditional Arabic"/>
          <w:sz w:val="18"/>
          <w:szCs w:val="26"/>
          <w:rtl/>
          <w:lang/>
        </w:rPr>
        <w:t>المحامين</w:t>
      </w:r>
      <w:r w:rsidRPr="00CE5BE5">
        <w:rPr>
          <w:rFonts w:cs="Traditional Arabic" w:hint="cs"/>
          <w:sz w:val="18"/>
          <w:szCs w:val="26"/>
          <w:rtl/>
          <w:lang/>
        </w:rPr>
        <w:t>، تتعرض الغالبية العظمى من الموقوفين أثناء الاستجواب</w:t>
      </w:r>
      <w:r w:rsidRPr="00CE5BE5">
        <w:rPr>
          <w:rStyle w:val="hps"/>
          <w:rFonts w:cs="Traditional Arabic"/>
          <w:sz w:val="18"/>
          <w:szCs w:val="26"/>
          <w:rtl/>
          <w:lang/>
        </w:rPr>
        <w:t xml:space="preserve"> في</w:t>
      </w:r>
      <w:r w:rsidRPr="00CE5BE5">
        <w:rPr>
          <w:rFonts w:cs="Traditional Arabic"/>
          <w:sz w:val="18"/>
          <w:szCs w:val="26"/>
          <w:rtl/>
          <w:lang/>
        </w:rPr>
        <w:t xml:space="preserve"> </w:t>
      </w:r>
      <w:r w:rsidRPr="00CE5BE5">
        <w:rPr>
          <w:rStyle w:val="hps"/>
          <w:rFonts w:cs="Traditional Arabic"/>
          <w:sz w:val="18"/>
          <w:szCs w:val="26"/>
          <w:rtl/>
          <w:lang/>
        </w:rPr>
        <w:t>مراكز</w:t>
      </w:r>
      <w:r w:rsidRPr="00CE5BE5">
        <w:rPr>
          <w:rStyle w:val="hps"/>
          <w:rFonts w:cs="Traditional Arabic" w:hint="cs"/>
          <w:sz w:val="18"/>
          <w:szCs w:val="26"/>
          <w:rtl/>
          <w:lang/>
        </w:rPr>
        <w:t> </w:t>
      </w:r>
      <w:r w:rsidRPr="00CE5BE5">
        <w:rPr>
          <w:rStyle w:val="hps"/>
          <w:rFonts w:cs="Traditional Arabic"/>
          <w:sz w:val="18"/>
          <w:szCs w:val="26"/>
          <w:rtl/>
          <w:lang/>
        </w:rPr>
        <w:t>الشرطة أو</w:t>
      </w:r>
      <w:r w:rsidRPr="00CE5BE5">
        <w:rPr>
          <w:rFonts w:cs="Traditional Arabic"/>
          <w:sz w:val="18"/>
          <w:szCs w:val="26"/>
          <w:rtl/>
          <w:lang/>
        </w:rPr>
        <w:t xml:space="preserve"> </w:t>
      </w:r>
      <w:r w:rsidRPr="00CE5BE5">
        <w:rPr>
          <w:rStyle w:val="hps"/>
          <w:rFonts w:cs="Traditional Arabic"/>
          <w:sz w:val="18"/>
          <w:szCs w:val="26"/>
          <w:rtl/>
          <w:lang/>
        </w:rPr>
        <w:t>الحرس الوطني</w:t>
      </w:r>
      <w:r w:rsidRPr="00CE5BE5">
        <w:rPr>
          <w:rStyle w:val="hps"/>
          <w:rFonts w:cs="Traditional Arabic" w:hint="cs"/>
          <w:sz w:val="18"/>
          <w:szCs w:val="26"/>
          <w:rtl/>
          <w:lang/>
        </w:rPr>
        <w:t>،</w:t>
      </w:r>
      <w:r w:rsidRPr="00CE5BE5">
        <w:rPr>
          <w:rFonts w:cs="Traditional Arabic" w:hint="cs"/>
          <w:sz w:val="18"/>
          <w:szCs w:val="26"/>
          <w:rtl/>
          <w:lang/>
        </w:rPr>
        <w:t xml:space="preserve"> على الأقل،</w:t>
      </w:r>
      <w:r w:rsidRPr="00CE5BE5">
        <w:rPr>
          <w:rFonts w:cs="Traditional Arabic"/>
          <w:sz w:val="18"/>
          <w:szCs w:val="26"/>
          <w:rtl/>
          <w:lang/>
        </w:rPr>
        <w:t xml:space="preserve"> </w:t>
      </w:r>
      <w:r w:rsidRPr="00CE5BE5">
        <w:rPr>
          <w:rStyle w:val="hps"/>
          <w:rFonts w:cs="Traditional Arabic" w:hint="cs"/>
          <w:sz w:val="18"/>
          <w:szCs w:val="26"/>
          <w:rtl/>
          <w:lang/>
        </w:rPr>
        <w:t>ل</w:t>
      </w:r>
      <w:r w:rsidRPr="00CE5BE5">
        <w:rPr>
          <w:rStyle w:val="hps"/>
          <w:rFonts w:cs="Traditional Arabic"/>
          <w:sz w:val="18"/>
          <w:szCs w:val="26"/>
          <w:rtl/>
          <w:lang/>
        </w:rPr>
        <w:t>لشتائم</w:t>
      </w:r>
      <w:r w:rsidRPr="00CE5BE5">
        <w:rPr>
          <w:rFonts w:cs="Traditional Arabic"/>
          <w:sz w:val="18"/>
          <w:szCs w:val="26"/>
          <w:rtl/>
          <w:lang/>
        </w:rPr>
        <w:t xml:space="preserve"> </w:t>
      </w:r>
      <w:r w:rsidRPr="00CE5BE5">
        <w:rPr>
          <w:rFonts w:cs="Traditional Arabic" w:hint="cs"/>
          <w:sz w:val="18"/>
          <w:szCs w:val="26"/>
          <w:rtl/>
          <w:lang/>
        </w:rPr>
        <w:t>و</w:t>
      </w:r>
      <w:r w:rsidRPr="00CE5BE5">
        <w:rPr>
          <w:rStyle w:val="hps"/>
          <w:rFonts w:cs="Traditional Arabic"/>
          <w:sz w:val="18"/>
          <w:szCs w:val="26"/>
          <w:rtl/>
          <w:lang/>
        </w:rPr>
        <w:t>الصفعات</w:t>
      </w:r>
      <w:r w:rsidRPr="00CE5BE5">
        <w:rPr>
          <w:rFonts w:cs="Traditional Arabic"/>
          <w:sz w:val="18"/>
          <w:szCs w:val="26"/>
          <w:rtl/>
          <w:lang/>
        </w:rPr>
        <w:t xml:space="preserve"> </w:t>
      </w:r>
      <w:r w:rsidRPr="00CE5BE5">
        <w:rPr>
          <w:rStyle w:val="hps"/>
          <w:rFonts w:cs="Traditional Arabic"/>
          <w:sz w:val="18"/>
          <w:szCs w:val="26"/>
          <w:rtl/>
          <w:lang/>
        </w:rPr>
        <w:t>والركلات</w:t>
      </w:r>
      <w:r w:rsidRPr="00CE5BE5">
        <w:rPr>
          <w:rFonts w:cs="Traditional Arabic"/>
          <w:sz w:val="18"/>
          <w:szCs w:val="26"/>
          <w:rtl/>
          <w:lang/>
        </w:rPr>
        <w:t xml:space="preserve">. </w:t>
      </w:r>
      <w:r w:rsidRPr="00CE5BE5">
        <w:rPr>
          <w:rStyle w:val="hps"/>
          <w:rFonts w:cs="Traditional Arabic" w:hint="cs"/>
          <w:sz w:val="18"/>
          <w:szCs w:val="26"/>
          <w:rtl/>
          <w:lang/>
        </w:rPr>
        <w:t>وقد يتعرض</w:t>
      </w:r>
      <w:r w:rsidRPr="00CE5BE5">
        <w:rPr>
          <w:rFonts w:cs="Traditional Arabic"/>
          <w:sz w:val="18"/>
          <w:szCs w:val="26"/>
          <w:rtl/>
          <w:lang/>
        </w:rPr>
        <w:t xml:space="preserve"> </w:t>
      </w:r>
      <w:r w:rsidRPr="00CE5BE5">
        <w:rPr>
          <w:rStyle w:val="hps"/>
          <w:rFonts w:cs="Traditional Arabic"/>
          <w:sz w:val="18"/>
          <w:szCs w:val="26"/>
          <w:rtl/>
          <w:lang/>
        </w:rPr>
        <w:t>المشتبه بهم</w:t>
      </w:r>
      <w:r w:rsidRPr="00CE5BE5">
        <w:rPr>
          <w:rFonts w:cs="Traditional Arabic"/>
          <w:sz w:val="18"/>
          <w:szCs w:val="26"/>
          <w:rtl/>
          <w:lang/>
        </w:rPr>
        <w:t xml:space="preserve"> </w:t>
      </w:r>
      <w:r w:rsidRPr="00CE5BE5">
        <w:rPr>
          <w:rStyle w:val="hps"/>
          <w:rFonts w:cs="Traditional Arabic" w:hint="cs"/>
          <w:sz w:val="18"/>
          <w:szCs w:val="26"/>
          <w:rtl/>
          <w:lang/>
        </w:rPr>
        <w:t>غير</w:t>
      </w:r>
      <w:r w:rsidRPr="00CE5BE5">
        <w:rPr>
          <w:rStyle w:val="hps"/>
          <w:rFonts w:cs="Traditional Arabic" w:hint="eastAsia"/>
          <w:sz w:val="18"/>
          <w:szCs w:val="26"/>
          <w:rtl/>
          <w:lang/>
        </w:rPr>
        <w:t> </w:t>
      </w:r>
      <w:r w:rsidRPr="00CE5BE5">
        <w:rPr>
          <w:rStyle w:val="hps"/>
          <w:rFonts w:cs="Traditional Arabic" w:hint="cs"/>
          <w:sz w:val="18"/>
          <w:szCs w:val="26"/>
          <w:rtl/>
          <w:lang/>
        </w:rPr>
        <w:t>الطيعين</w:t>
      </w:r>
      <w:r w:rsidRPr="00CE5BE5">
        <w:rPr>
          <w:rFonts w:cs="Traditional Arabic" w:hint="cs"/>
          <w:sz w:val="18"/>
          <w:szCs w:val="26"/>
          <w:rtl/>
          <w:lang/>
        </w:rPr>
        <w:t xml:space="preserve"> </w:t>
      </w:r>
      <w:r w:rsidRPr="00CE5BE5">
        <w:rPr>
          <w:rStyle w:val="hps"/>
          <w:rFonts w:cs="Traditional Arabic"/>
          <w:sz w:val="18"/>
          <w:szCs w:val="26"/>
          <w:rtl/>
          <w:lang/>
        </w:rPr>
        <w:t>للتعذيب</w:t>
      </w:r>
      <w:r>
        <w:rPr>
          <w:rFonts w:cs="Traditional Arabic" w:hint="cs"/>
          <w:sz w:val="18"/>
          <w:szCs w:val="26"/>
          <w:rtl/>
          <w:lang/>
        </w:rPr>
        <w:t>،</w:t>
      </w:r>
      <w:r w:rsidRPr="00CE5BE5">
        <w:rPr>
          <w:rFonts w:cs="Traditional Arabic" w:hint="cs"/>
          <w:sz w:val="18"/>
          <w:szCs w:val="26"/>
          <w:rtl/>
          <w:lang/>
        </w:rPr>
        <w:t xml:space="preserve"> </w:t>
      </w:r>
      <w:r>
        <w:rPr>
          <w:rFonts w:cs="Traditional Arabic" w:hint="cs"/>
          <w:sz w:val="18"/>
          <w:szCs w:val="26"/>
          <w:rtl/>
          <w:lang/>
        </w:rPr>
        <w:t>(</w:t>
      </w:r>
      <w:r w:rsidRPr="00CE5BE5">
        <w:rPr>
          <w:rFonts w:cs="Traditional Arabic"/>
          <w:sz w:val="18"/>
          <w:szCs w:val="26"/>
          <w:rtl/>
          <w:lang/>
        </w:rPr>
        <w:t xml:space="preserve">بيان </w:t>
      </w:r>
      <w:r w:rsidRPr="00CE5BE5">
        <w:rPr>
          <w:rStyle w:val="hps"/>
          <w:rFonts w:cs="Traditional Arabic"/>
          <w:sz w:val="18"/>
          <w:szCs w:val="26"/>
          <w:rtl/>
          <w:lang/>
        </w:rPr>
        <w:t>المحامي</w:t>
      </w:r>
      <w:r w:rsidRPr="00CE5BE5">
        <w:rPr>
          <w:rFonts w:cs="Traditional Arabic"/>
          <w:sz w:val="18"/>
          <w:szCs w:val="26"/>
          <w:rtl/>
          <w:lang/>
        </w:rPr>
        <w:t xml:space="preserve"> </w:t>
      </w:r>
      <w:r w:rsidRPr="00CE5BE5">
        <w:rPr>
          <w:rStyle w:val="hps"/>
          <w:rFonts w:cs="Traditional Arabic"/>
          <w:sz w:val="18"/>
          <w:szCs w:val="26"/>
          <w:rtl/>
          <w:lang/>
        </w:rPr>
        <w:t>محمد</w:t>
      </w:r>
      <w:r w:rsidRPr="00CE5BE5">
        <w:rPr>
          <w:rFonts w:cs="Traditional Arabic"/>
          <w:sz w:val="18"/>
          <w:szCs w:val="26"/>
          <w:rtl/>
          <w:lang/>
        </w:rPr>
        <w:t xml:space="preserve"> </w:t>
      </w:r>
      <w:r w:rsidRPr="00CE5BE5">
        <w:rPr>
          <w:rStyle w:val="hps"/>
          <w:rFonts w:cs="Traditional Arabic"/>
          <w:sz w:val="18"/>
          <w:szCs w:val="26"/>
          <w:rtl/>
          <w:lang/>
        </w:rPr>
        <w:t>عبو</w:t>
      </w:r>
      <w:r w:rsidRPr="00CE5BE5">
        <w:rPr>
          <w:rFonts w:cs="Traditional Arabic"/>
          <w:sz w:val="18"/>
          <w:szCs w:val="26"/>
          <w:rtl/>
          <w:lang/>
        </w:rPr>
        <w:t xml:space="preserve">، </w:t>
      </w:r>
      <w:r w:rsidRPr="00CE5BE5">
        <w:rPr>
          <w:rStyle w:val="hps"/>
          <w:rFonts w:cs="Traditional Arabic"/>
          <w:sz w:val="18"/>
          <w:szCs w:val="26"/>
          <w:rtl/>
          <w:lang/>
        </w:rPr>
        <w:t>المؤرخ 18</w:t>
      </w:r>
      <w:r w:rsidRPr="00CE5BE5">
        <w:rPr>
          <w:rFonts w:cs="Traditional Arabic"/>
          <w:sz w:val="18"/>
          <w:szCs w:val="26"/>
          <w:rtl/>
          <w:lang/>
        </w:rPr>
        <w:t xml:space="preserve"> </w:t>
      </w:r>
      <w:r w:rsidRPr="00CE5BE5">
        <w:rPr>
          <w:rFonts w:cs="Traditional Arabic" w:hint="cs"/>
          <w:sz w:val="18"/>
          <w:szCs w:val="26"/>
          <w:rtl/>
          <w:lang/>
        </w:rPr>
        <w:t>آب/</w:t>
      </w:r>
      <w:r w:rsidRPr="00CE5BE5">
        <w:rPr>
          <w:rStyle w:val="hps"/>
          <w:rFonts w:cs="Traditional Arabic"/>
          <w:sz w:val="18"/>
          <w:szCs w:val="26"/>
          <w:rtl/>
          <w:lang/>
        </w:rPr>
        <w:t>أغسطس،</w:t>
      </w:r>
      <w:r w:rsidRPr="00CE5BE5">
        <w:rPr>
          <w:rFonts w:cs="Traditional Arabic"/>
          <w:sz w:val="18"/>
          <w:szCs w:val="26"/>
          <w:rtl/>
          <w:lang/>
        </w:rPr>
        <w:t xml:space="preserve"> </w:t>
      </w:r>
      <w:r w:rsidRPr="00CE5BE5">
        <w:rPr>
          <w:rStyle w:val="hps"/>
          <w:rFonts w:cs="Traditional Arabic" w:hint="cs"/>
          <w:sz w:val="18"/>
          <w:szCs w:val="26"/>
          <w:rtl/>
          <w:lang/>
        </w:rPr>
        <w:t>والمتعلق</w:t>
      </w:r>
      <w:r w:rsidRPr="00CE5BE5">
        <w:rPr>
          <w:rFonts w:cs="Traditional Arabic"/>
          <w:sz w:val="18"/>
          <w:szCs w:val="26"/>
          <w:rtl/>
          <w:lang/>
        </w:rPr>
        <w:t xml:space="preserve"> </w:t>
      </w:r>
      <w:r w:rsidRPr="00CE5BE5">
        <w:rPr>
          <w:rStyle w:val="hps"/>
          <w:rFonts w:cs="Traditional Arabic" w:hint="cs"/>
          <w:sz w:val="18"/>
          <w:szCs w:val="26"/>
          <w:rtl/>
          <w:lang/>
        </w:rPr>
        <w:t xml:space="preserve">باللجوء إلى </w:t>
      </w:r>
      <w:r w:rsidRPr="00CE5BE5">
        <w:rPr>
          <w:rStyle w:val="hps"/>
          <w:rFonts w:cs="Traditional Arabic"/>
          <w:sz w:val="18"/>
          <w:szCs w:val="26"/>
          <w:rtl/>
          <w:lang/>
        </w:rPr>
        <w:t>التعذيب</w:t>
      </w:r>
      <w:r w:rsidRPr="00CE5BE5">
        <w:rPr>
          <w:rFonts w:cs="Traditional Arabic"/>
          <w:sz w:val="18"/>
          <w:szCs w:val="26"/>
          <w:rtl/>
          <w:lang/>
        </w:rPr>
        <w:t xml:space="preserve"> </w:t>
      </w:r>
      <w:r w:rsidRPr="00CE5BE5">
        <w:rPr>
          <w:rStyle w:val="hps"/>
          <w:rFonts w:cs="Traditional Arabic"/>
          <w:sz w:val="18"/>
          <w:szCs w:val="26"/>
          <w:rtl/>
          <w:lang/>
        </w:rPr>
        <w:t>ضد</w:t>
      </w:r>
      <w:r w:rsidRPr="00CE5BE5">
        <w:rPr>
          <w:rFonts w:cs="Traditional Arabic"/>
          <w:sz w:val="18"/>
          <w:szCs w:val="26"/>
          <w:rtl/>
          <w:lang/>
        </w:rPr>
        <w:t xml:space="preserve"> </w:t>
      </w:r>
      <w:r w:rsidRPr="00CE5BE5">
        <w:rPr>
          <w:rStyle w:val="hps"/>
          <w:rFonts w:cs="Traditional Arabic"/>
          <w:sz w:val="18"/>
          <w:szCs w:val="26"/>
          <w:rtl/>
          <w:lang/>
        </w:rPr>
        <w:t>الأشخاص المشتبه في</w:t>
      </w:r>
      <w:r w:rsidRPr="00CE5BE5">
        <w:rPr>
          <w:rFonts w:cs="Traditional Arabic"/>
          <w:sz w:val="18"/>
          <w:szCs w:val="26"/>
          <w:rtl/>
          <w:lang/>
        </w:rPr>
        <w:t xml:space="preserve"> </w:t>
      </w:r>
      <w:r w:rsidRPr="00CE5BE5">
        <w:rPr>
          <w:rStyle w:val="hps"/>
          <w:rFonts w:cs="Traditional Arabic"/>
          <w:sz w:val="18"/>
          <w:szCs w:val="26"/>
          <w:rtl/>
          <w:lang/>
        </w:rPr>
        <w:t>اتجار</w:t>
      </w:r>
      <w:r w:rsidRPr="00CE5BE5">
        <w:rPr>
          <w:rStyle w:val="hps"/>
          <w:rFonts w:cs="Traditional Arabic" w:hint="cs"/>
          <w:sz w:val="18"/>
          <w:szCs w:val="26"/>
          <w:rtl/>
          <w:lang/>
        </w:rPr>
        <w:t>هم</w:t>
      </w:r>
      <w:r w:rsidRPr="00CE5BE5">
        <w:rPr>
          <w:rStyle w:val="hps"/>
          <w:rFonts w:cs="Traditional Arabic"/>
          <w:sz w:val="18"/>
          <w:szCs w:val="26"/>
          <w:rtl/>
          <w:lang/>
        </w:rPr>
        <w:t xml:space="preserve"> بالمخدرات</w:t>
      </w:r>
      <w:r>
        <w:rPr>
          <w:rFonts w:cs="Traditional Arabic" w:hint="cs"/>
          <w:sz w:val="18"/>
          <w:szCs w:val="26"/>
          <w:rtl/>
          <w:lang/>
        </w:rPr>
        <w:t>)</w:t>
      </w:r>
      <w:r w:rsidRPr="00CE5BE5">
        <w:rPr>
          <w:rFonts w:cs="Traditional Arabic"/>
          <w:sz w:val="18"/>
          <w:szCs w:val="26"/>
          <w:rtl/>
          <w:lang/>
        </w:rPr>
        <w:t>.</w:t>
      </w:r>
    </w:p>
  </w:footnote>
  <w:footnote w:id="144">
    <w:p w:rsidR="00F815BA" w:rsidRPr="00CE5BE5" w:rsidRDefault="00F815BA" w:rsidP="007C1E0E">
      <w:pPr>
        <w:pStyle w:val="FootnoteText"/>
        <w:numPr>
          <w:ilvl w:val="0"/>
          <w:numId w:val="0"/>
        </w:numPr>
        <w:tabs>
          <w:tab w:val="left" w:pos="1254"/>
        </w:tabs>
        <w:bidi/>
        <w:spacing w:after="60" w:line="300" w:lineRule="exact"/>
        <w:ind w:left="1226" w:right="1247" w:hanging="504"/>
        <w:jc w:val="lowKashida"/>
        <w:rPr>
          <w:rFonts w:cs="Traditional Arabic"/>
          <w:sz w:val="18"/>
          <w:szCs w:val="26"/>
        </w:rPr>
      </w:pPr>
      <w:r w:rsidRPr="0077398F">
        <w:rPr>
          <w:rFonts w:cs="Traditional Arabic" w:hint="cs"/>
          <w:sz w:val="26"/>
          <w:szCs w:val="26"/>
          <w:rtl/>
        </w:rPr>
        <w:t>(</w:t>
      </w:r>
      <w:r>
        <w:rPr>
          <w:rFonts w:cs="Traditional Arabic" w:hint="cs"/>
          <w:sz w:val="26"/>
          <w:szCs w:val="26"/>
          <w:rtl/>
        </w:rPr>
        <w:t>ش</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sz w:val="18"/>
          <w:szCs w:val="26"/>
          <w:rtl/>
          <w:lang/>
        </w:rPr>
        <w:t xml:space="preserve">وزارة خارجية الولايات المتحدة، ومنظمة العفو الدولية، </w:t>
      </w:r>
      <w:r w:rsidRPr="00CE5BE5">
        <w:rPr>
          <w:rFonts w:cs="Traditional Arabic"/>
          <w:sz w:val="18"/>
          <w:szCs w:val="26"/>
          <w:rtl/>
        </w:rPr>
        <w:t>و</w:t>
      </w:r>
      <w:r w:rsidRPr="00CE5BE5">
        <w:rPr>
          <w:rStyle w:val="hps"/>
          <w:rFonts w:cs="Traditional Arabic"/>
          <w:sz w:val="18"/>
          <w:szCs w:val="26"/>
          <w:rtl/>
          <w:lang/>
        </w:rPr>
        <w:t>منظمة العمل المسيحي من أجل إلغاء التعذيب - فرنسا، و</w:t>
      </w:r>
      <w:r w:rsidRPr="00CE5BE5">
        <w:rPr>
          <w:rFonts w:cs="Traditional Arabic"/>
          <w:sz w:val="18"/>
          <w:szCs w:val="26"/>
          <w:rtl/>
        </w:rPr>
        <w:t>الاتحاد الدولي لرابطات حقوق الإنسان، ومنظمة هيومن رايتس ووتش،</w:t>
      </w:r>
      <w:r w:rsidRPr="00CE5BE5">
        <w:rPr>
          <w:rStyle w:val="hps"/>
          <w:rFonts w:cs="Traditional Arabic"/>
          <w:sz w:val="18"/>
          <w:szCs w:val="26"/>
          <w:rtl/>
          <w:lang/>
        </w:rPr>
        <w:t xml:space="preserve"> و</w:t>
      </w:r>
      <w:r w:rsidRPr="00CE5BE5">
        <w:rPr>
          <w:rFonts w:cs="Traditional Arabic"/>
          <w:sz w:val="18"/>
          <w:szCs w:val="26"/>
          <w:rtl/>
          <w:lang/>
        </w:rPr>
        <w:t xml:space="preserve">الجمعية التونسية </w:t>
      </w:r>
      <w:r w:rsidRPr="00CE5BE5">
        <w:rPr>
          <w:rStyle w:val="hps"/>
          <w:rFonts w:cs="Traditional Arabic"/>
          <w:sz w:val="18"/>
          <w:szCs w:val="26"/>
          <w:rtl/>
          <w:lang/>
        </w:rPr>
        <w:t>لمناهضة</w:t>
      </w:r>
      <w:r w:rsidRPr="00CE5BE5">
        <w:rPr>
          <w:rStyle w:val="hps"/>
          <w:rFonts w:cs="Traditional Arabic" w:hint="cs"/>
          <w:sz w:val="18"/>
          <w:szCs w:val="26"/>
          <w:rtl/>
          <w:lang/>
        </w:rPr>
        <w:t> </w:t>
      </w:r>
      <w:r w:rsidRPr="00CE5BE5">
        <w:rPr>
          <w:rStyle w:val="hps"/>
          <w:rFonts w:cs="Traditional Arabic"/>
          <w:sz w:val="18"/>
          <w:szCs w:val="26"/>
          <w:rtl/>
          <w:lang/>
        </w:rPr>
        <w:t>التعذيب</w:t>
      </w:r>
      <w:r w:rsidRPr="00CE5BE5">
        <w:rPr>
          <w:rFonts w:cs="Traditional Arabic" w:hint="cs"/>
          <w:sz w:val="18"/>
          <w:szCs w:val="26"/>
          <w:rtl/>
          <w:lang/>
        </w:rPr>
        <w:t>.</w:t>
      </w:r>
    </w:p>
  </w:footnote>
  <w:footnote w:id="145">
    <w:p w:rsidR="00F815BA" w:rsidRPr="00CE5BE5" w:rsidRDefault="00F815BA" w:rsidP="008302C2">
      <w:pPr>
        <w:pStyle w:val="FootnoteText"/>
        <w:numPr>
          <w:ilvl w:val="0"/>
          <w:numId w:val="0"/>
        </w:numPr>
        <w:tabs>
          <w:tab w:val="left" w:pos="1254"/>
        </w:tabs>
        <w:bidi/>
        <w:spacing w:after="60" w:line="300" w:lineRule="exact"/>
        <w:ind w:left="1226" w:right="1247" w:hanging="504"/>
        <w:jc w:val="lowKashida"/>
        <w:rPr>
          <w:rFonts w:cs="Traditional Arabic"/>
          <w:sz w:val="18"/>
          <w:szCs w:val="26"/>
        </w:rPr>
      </w:pPr>
      <w:r w:rsidRPr="0077398F">
        <w:rPr>
          <w:rFonts w:cs="Traditional Arabic" w:hint="cs"/>
          <w:sz w:val="26"/>
          <w:szCs w:val="26"/>
          <w:rtl/>
        </w:rPr>
        <w:t>(</w:t>
      </w:r>
      <w:r>
        <w:rPr>
          <w:rFonts w:cs="Traditional Arabic" w:hint="cs"/>
          <w:sz w:val="26"/>
          <w:szCs w:val="26"/>
          <w:rtl/>
        </w:rPr>
        <w:t>ت</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sz w:val="18"/>
          <w:szCs w:val="26"/>
          <w:rtl/>
          <w:lang/>
        </w:rPr>
        <w:t>تشير صاحبة</w:t>
      </w:r>
      <w:r w:rsidRPr="00CE5BE5">
        <w:rPr>
          <w:rFonts w:cs="Traditional Arabic"/>
          <w:sz w:val="18"/>
          <w:szCs w:val="26"/>
          <w:rtl/>
          <w:lang/>
        </w:rPr>
        <w:t xml:space="preserve"> </w:t>
      </w:r>
      <w:r w:rsidRPr="00CE5BE5">
        <w:rPr>
          <w:rStyle w:val="hps"/>
          <w:rFonts w:cs="Traditional Arabic"/>
          <w:sz w:val="18"/>
          <w:szCs w:val="26"/>
          <w:rtl/>
          <w:lang/>
        </w:rPr>
        <w:t>الشكوى إلى بيان منظمة العمل المسيحي من أجل إلغاء التعذيب - فرنسا في</w:t>
      </w:r>
      <w:r w:rsidRPr="00CE5BE5">
        <w:rPr>
          <w:rFonts w:cs="Traditional Arabic"/>
          <w:sz w:val="18"/>
          <w:szCs w:val="26"/>
          <w:rtl/>
          <w:lang/>
        </w:rPr>
        <w:t xml:space="preserve"> </w:t>
      </w:r>
      <w:r w:rsidRPr="00CE5BE5">
        <w:rPr>
          <w:rStyle w:val="hps"/>
          <w:rFonts w:cs="Traditional Arabic"/>
          <w:sz w:val="18"/>
          <w:szCs w:val="26"/>
          <w:rtl/>
          <w:lang/>
        </w:rPr>
        <w:t>15</w:t>
      </w:r>
      <w:r w:rsidRPr="00CE5BE5">
        <w:rPr>
          <w:rStyle w:val="hps"/>
          <w:rFonts w:cs="Traditional Arabic" w:hint="cs"/>
          <w:sz w:val="18"/>
          <w:szCs w:val="26"/>
          <w:rtl/>
          <w:lang/>
        </w:rPr>
        <w:t xml:space="preserve"> كانون الأول/ديسمبر</w:t>
      </w:r>
      <w:r w:rsidRPr="00CE5BE5">
        <w:rPr>
          <w:rStyle w:val="hps"/>
          <w:rFonts w:cs="Traditional Arabic"/>
          <w:sz w:val="18"/>
          <w:szCs w:val="26"/>
          <w:rtl/>
          <w:lang/>
        </w:rPr>
        <w:t xml:space="preserve"> 2010</w:t>
      </w:r>
      <w:r w:rsidRPr="00CE5BE5">
        <w:rPr>
          <w:rFonts w:cs="Traditional Arabic"/>
          <w:sz w:val="18"/>
          <w:szCs w:val="26"/>
          <w:rtl/>
          <w:lang/>
        </w:rPr>
        <w:t xml:space="preserve"> </w:t>
      </w:r>
      <w:r w:rsidRPr="00CE5BE5">
        <w:rPr>
          <w:rStyle w:val="hps"/>
          <w:rFonts w:cs="Traditional Arabic"/>
          <w:sz w:val="18"/>
          <w:szCs w:val="26"/>
          <w:rtl/>
          <w:lang/>
        </w:rPr>
        <w:t>بعنوان "</w:t>
      </w:r>
      <w:r w:rsidRPr="00CE5BE5">
        <w:rPr>
          <w:rFonts w:cs="Traditional Arabic"/>
          <w:sz w:val="18"/>
          <w:szCs w:val="26"/>
          <w:rtl/>
          <w:lang/>
        </w:rPr>
        <w:t>محاك</w:t>
      </w:r>
      <w:r w:rsidRPr="00CE5BE5">
        <w:rPr>
          <w:rFonts w:cs="Traditional Arabic" w:hint="cs"/>
          <w:sz w:val="18"/>
          <w:szCs w:val="26"/>
          <w:rtl/>
          <w:lang/>
        </w:rPr>
        <w:t>م</w:t>
      </w:r>
      <w:r w:rsidRPr="00CE5BE5">
        <w:rPr>
          <w:rFonts w:cs="Traditional Arabic"/>
          <w:sz w:val="18"/>
          <w:szCs w:val="26"/>
          <w:rtl/>
          <w:lang/>
        </w:rPr>
        <w:t xml:space="preserve">ة </w:t>
      </w:r>
      <w:r w:rsidRPr="00CE5BE5">
        <w:rPr>
          <w:rFonts w:cs="Traditional Arabic" w:hint="cs"/>
          <w:sz w:val="18"/>
          <w:szCs w:val="26"/>
          <w:rtl/>
          <w:lang/>
        </w:rPr>
        <w:t>هزلية جديدة</w:t>
      </w:r>
      <w:r w:rsidRPr="00CE5BE5">
        <w:rPr>
          <w:rFonts w:cs="Traditional Arabic"/>
          <w:sz w:val="18"/>
          <w:szCs w:val="26"/>
          <w:rtl/>
          <w:lang/>
        </w:rPr>
        <w:t xml:space="preserve"> </w:t>
      </w:r>
      <w:r w:rsidRPr="00CE5BE5">
        <w:rPr>
          <w:rStyle w:val="hps"/>
          <w:rFonts w:cs="Traditional Arabic"/>
          <w:sz w:val="18"/>
          <w:szCs w:val="26"/>
          <w:rtl/>
          <w:lang/>
        </w:rPr>
        <w:t>في</w:t>
      </w:r>
      <w:r w:rsidRPr="00CE5BE5">
        <w:rPr>
          <w:rFonts w:cs="Traditional Arabic"/>
          <w:sz w:val="18"/>
          <w:szCs w:val="26"/>
          <w:rtl/>
          <w:lang/>
        </w:rPr>
        <w:t xml:space="preserve"> </w:t>
      </w:r>
      <w:r w:rsidRPr="00CE5BE5">
        <w:rPr>
          <w:rStyle w:val="hps"/>
          <w:rFonts w:cs="Traditional Arabic"/>
          <w:sz w:val="18"/>
          <w:szCs w:val="26"/>
          <w:rtl/>
          <w:lang/>
        </w:rPr>
        <w:t>تونس"</w:t>
      </w:r>
      <w:r w:rsidRPr="00CE5BE5">
        <w:rPr>
          <w:rFonts w:cs="Traditional Arabic"/>
          <w:sz w:val="18"/>
          <w:szCs w:val="26"/>
          <w:rtl/>
          <w:lang/>
        </w:rPr>
        <w:t>.</w:t>
      </w:r>
    </w:p>
  </w:footnote>
  <w:footnote w:id="146">
    <w:p w:rsidR="00F815BA" w:rsidRPr="00CE5BE5" w:rsidRDefault="00F815BA" w:rsidP="00F943C6">
      <w:pPr>
        <w:pStyle w:val="FootnoteText"/>
        <w:numPr>
          <w:ilvl w:val="0"/>
          <w:numId w:val="0"/>
        </w:numPr>
        <w:tabs>
          <w:tab w:val="left" w:pos="1254"/>
        </w:tabs>
        <w:bidi/>
        <w:spacing w:after="60" w:line="300" w:lineRule="exact"/>
        <w:ind w:left="1226" w:right="1247" w:hanging="448"/>
        <w:jc w:val="lowKashida"/>
        <w:rPr>
          <w:rFonts w:cs="Traditional Arabic"/>
          <w:sz w:val="18"/>
          <w:szCs w:val="26"/>
        </w:rPr>
      </w:pPr>
      <w:r w:rsidRPr="0077398F">
        <w:rPr>
          <w:rFonts w:cs="Traditional Arabic" w:hint="cs"/>
          <w:sz w:val="26"/>
          <w:szCs w:val="26"/>
          <w:rtl/>
        </w:rPr>
        <w:t>(</w:t>
      </w:r>
      <w:r>
        <w:rPr>
          <w:rFonts w:cs="Traditional Arabic" w:hint="cs"/>
          <w:sz w:val="26"/>
          <w:szCs w:val="26"/>
          <w:rtl/>
        </w:rPr>
        <w:t>ث</w:t>
      </w:r>
      <w:r w:rsidRPr="0077398F">
        <w:rPr>
          <w:rFonts w:cs="Traditional Arabic" w:hint="cs"/>
          <w:sz w:val="26"/>
          <w:szCs w:val="26"/>
          <w:rtl/>
        </w:rPr>
        <w:t>)</w:t>
      </w:r>
      <w:r w:rsidRPr="0077398F">
        <w:rPr>
          <w:rFonts w:cs="Traditional Arabic" w:hint="cs"/>
          <w:sz w:val="26"/>
          <w:szCs w:val="26"/>
          <w:rtl/>
        </w:rPr>
        <w:tab/>
      </w:r>
      <w:r w:rsidRPr="00CE5BE5">
        <w:rPr>
          <w:rFonts w:cs="Traditional Arabic"/>
          <w:sz w:val="18"/>
          <w:szCs w:val="26"/>
          <w:lang w:val="en-CA"/>
        </w:rPr>
        <w:t xml:space="preserve">ACAT-France, </w:t>
      </w:r>
      <w:r w:rsidRPr="00CE5BE5">
        <w:rPr>
          <w:rFonts w:cs="Traditional Arabic"/>
          <w:i/>
          <w:sz w:val="18"/>
          <w:szCs w:val="26"/>
          <w:lang w:val="en-CA"/>
        </w:rPr>
        <w:t>A World of Torture</w:t>
      </w:r>
      <w:r w:rsidRPr="00CE5BE5">
        <w:rPr>
          <w:rFonts w:cs="Traditional Arabic"/>
          <w:sz w:val="18"/>
          <w:szCs w:val="26"/>
          <w:lang w:val="en-CA"/>
        </w:rPr>
        <w:t xml:space="preserve"> (2010), p. 187</w:t>
      </w:r>
      <w:r w:rsidRPr="00CE5BE5">
        <w:rPr>
          <w:rStyle w:val="hps"/>
          <w:rFonts w:cs="Traditional Arabic"/>
          <w:sz w:val="18"/>
          <w:szCs w:val="26"/>
          <w:rtl/>
          <w:lang/>
        </w:rPr>
        <w:t>:</w:t>
      </w:r>
      <w:r w:rsidRPr="00CE5BE5">
        <w:rPr>
          <w:rFonts w:cs="Traditional Arabic"/>
          <w:sz w:val="18"/>
          <w:szCs w:val="26"/>
          <w:rtl/>
          <w:lang/>
        </w:rPr>
        <w:t xml:space="preserve"> </w:t>
      </w:r>
      <w:r w:rsidRPr="00CE5BE5">
        <w:rPr>
          <w:rFonts w:cs="Traditional Arabic" w:hint="cs"/>
          <w:sz w:val="18"/>
          <w:szCs w:val="26"/>
          <w:rtl/>
          <w:lang/>
        </w:rPr>
        <w:t xml:space="preserve">"إن </w:t>
      </w:r>
      <w:r w:rsidRPr="00CE5BE5">
        <w:rPr>
          <w:rStyle w:val="hps"/>
          <w:rFonts w:cs="Traditional Arabic"/>
          <w:sz w:val="18"/>
          <w:szCs w:val="26"/>
          <w:rtl/>
          <w:lang/>
        </w:rPr>
        <w:t>ظروف الاحتجاز في</w:t>
      </w:r>
      <w:r w:rsidRPr="00CE5BE5">
        <w:rPr>
          <w:rFonts w:cs="Traditional Arabic"/>
          <w:sz w:val="18"/>
          <w:szCs w:val="26"/>
          <w:rtl/>
          <w:lang/>
        </w:rPr>
        <w:t xml:space="preserve"> </w:t>
      </w:r>
      <w:r w:rsidRPr="00CE5BE5">
        <w:rPr>
          <w:rStyle w:val="hps"/>
          <w:rFonts w:cs="Traditional Arabic"/>
          <w:sz w:val="18"/>
          <w:szCs w:val="26"/>
          <w:rtl/>
          <w:lang/>
        </w:rPr>
        <w:t>السجون التونسية</w:t>
      </w:r>
      <w:r w:rsidRPr="00CE5BE5">
        <w:rPr>
          <w:rFonts w:cs="Traditional Arabic"/>
          <w:sz w:val="18"/>
          <w:szCs w:val="26"/>
          <w:rtl/>
          <w:lang/>
        </w:rPr>
        <w:t xml:space="preserve"> </w:t>
      </w:r>
      <w:r w:rsidRPr="00CE5BE5">
        <w:rPr>
          <w:rStyle w:val="hps"/>
          <w:rFonts w:cs="Traditional Arabic" w:hint="cs"/>
          <w:sz w:val="18"/>
          <w:szCs w:val="26"/>
          <w:rtl/>
          <w:lang/>
        </w:rPr>
        <w:t>سيئة من جميع النواحي</w:t>
      </w:r>
      <w:r w:rsidRPr="00CE5BE5">
        <w:rPr>
          <w:rStyle w:val="hps"/>
          <w:rFonts w:cs="Traditional Arabic"/>
          <w:sz w:val="18"/>
          <w:szCs w:val="26"/>
          <w:rtl/>
          <w:lang/>
        </w:rPr>
        <w:t>.</w:t>
      </w:r>
      <w:r w:rsidRPr="00CE5BE5">
        <w:rPr>
          <w:rFonts w:cs="Traditional Arabic"/>
          <w:sz w:val="18"/>
          <w:szCs w:val="26"/>
          <w:rtl/>
          <w:lang/>
        </w:rPr>
        <w:t xml:space="preserve"> </w:t>
      </w:r>
      <w:r w:rsidRPr="00CE5BE5">
        <w:rPr>
          <w:rFonts w:cs="Traditional Arabic" w:hint="cs"/>
          <w:sz w:val="18"/>
          <w:szCs w:val="26"/>
          <w:rtl/>
          <w:lang/>
        </w:rPr>
        <w:t>ف</w:t>
      </w:r>
      <w:r w:rsidRPr="00CE5BE5">
        <w:rPr>
          <w:rStyle w:val="hps"/>
          <w:rFonts w:cs="Traditional Arabic"/>
          <w:sz w:val="18"/>
          <w:szCs w:val="26"/>
          <w:rtl/>
          <w:lang/>
        </w:rPr>
        <w:t>الاكتظاظ</w:t>
      </w:r>
      <w:r w:rsidRPr="00CE5BE5">
        <w:rPr>
          <w:rFonts w:cs="Traditional Arabic"/>
          <w:sz w:val="18"/>
          <w:szCs w:val="26"/>
          <w:rtl/>
          <w:lang/>
        </w:rPr>
        <w:t xml:space="preserve"> </w:t>
      </w:r>
      <w:r w:rsidRPr="00CE5BE5">
        <w:rPr>
          <w:rStyle w:val="hps"/>
          <w:rFonts w:cs="Traditional Arabic"/>
          <w:sz w:val="18"/>
          <w:szCs w:val="26"/>
          <w:rtl/>
          <w:lang/>
        </w:rPr>
        <w:t>مشكلة</w:t>
      </w:r>
      <w:r w:rsidRPr="00CE5BE5">
        <w:rPr>
          <w:rFonts w:cs="Traditional Arabic"/>
          <w:sz w:val="18"/>
          <w:szCs w:val="26"/>
          <w:rtl/>
          <w:lang/>
        </w:rPr>
        <w:t xml:space="preserve"> </w:t>
      </w:r>
      <w:r w:rsidRPr="00CE5BE5">
        <w:rPr>
          <w:rStyle w:val="hps"/>
          <w:rFonts w:cs="Traditional Arabic"/>
          <w:sz w:val="18"/>
          <w:szCs w:val="26"/>
          <w:rtl/>
          <w:lang/>
        </w:rPr>
        <w:t>متكررة.</w:t>
      </w:r>
      <w:r w:rsidRPr="00CE5BE5">
        <w:rPr>
          <w:rFonts w:cs="Traditional Arabic"/>
          <w:sz w:val="18"/>
          <w:szCs w:val="26"/>
          <w:rtl/>
          <w:lang/>
        </w:rPr>
        <w:t xml:space="preserve"> </w:t>
      </w:r>
      <w:r w:rsidRPr="00CE5BE5">
        <w:rPr>
          <w:rFonts w:cs="Traditional Arabic" w:hint="cs"/>
          <w:sz w:val="18"/>
          <w:szCs w:val="26"/>
          <w:rtl/>
          <w:lang/>
        </w:rPr>
        <w:t>و</w:t>
      </w:r>
      <w:r w:rsidRPr="00CE5BE5">
        <w:rPr>
          <w:rStyle w:val="hps"/>
          <w:rFonts w:cs="Traditional Arabic"/>
          <w:sz w:val="18"/>
          <w:szCs w:val="26"/>
          <w:rtl/>
          <w:lang/>
        </w:rPr>
        <w:t>وفقا</w:t>
      </w:r>
      <w:r w:rsidRPr="00CE5BE5">
        <w:rPr>
          <w:rStyle w:val="hps"/>
          <w:rFonts w:cs="Traditional Arabic" w:hint="cs"/>
          <w:sz w:val="18"/>
          <w:szCs w:val="26"/>
          <w:rtl/>
          <w:lang/>
        </w:rPr>
        <w:t>ً</w:t>
      </w:r>
      <w:r w:rsidRPr="00CE5BE5">
        <w:rPr>
          <w:rStyle w:val="hps"/>
          <w:rFonts w:cs="Traditional Arabic"/>
          <w:sz w:val="18"/>
          <w:szCs w:val="26"/>
          <w:rtl/>
          <w:lang/>
        </w:rPr>
        <w:t xml:space="preserve"> </w:t>
      </w:r>
      <w:r w:rsidRPr="00CE5BE5">
        <w:rPr>
          <w:rStyle w:val="hps"/>
          <w:rFonts w:cs="Traditional Arabic" w:hint="cs"/>
          <w:sz w:val="18"/>
          <w:szCs w:val="26"/>
          <w:rtl/>
          <w:lang/>
        </w:rPr>
        <w:t>لشهادات جمعتها</w:t>
      </w:r>
      <w:r w:rsidRPr="00CE5BE5">
        <w:rPr>
          <w:rStyle w:val="hps"/>
          <w:rFonts w:cs="Traditional Arabic"/>
          <w:sz w:val="18"/>
          <w:szCs w:val="26"/>
          <w:rtl/>
          <w:lang/>
        </w:rPr>
        <w:t xml:space="preserve"> منظمة العمل المسيحي من أجل إلغاء التعذيب - فرنسا</w:t>
      </w:r>
      <w:r w:rsidRPr="00CE5BE5">
        <w:rPr>
          <w:rStyle w:val="hps"/>
          <w:rFonts w:cs="Traditional Arabic" w:hint="cs"/>
          <w:sz w:val="18"/>
          <w:szCs w:val="26"/>
          <w:rtl/>
          <w:lang/>
        </w:rPr>
        <w:t xml:space="preserve"> من سجناء سابقين</w:t>
      </w:r>
      <w:r w:rsidRPr="00CE5BE5">
        <w:rPr>
          <w:rFonts w:cs="Traditional Arabic"/>
          <w:sz w:val="18"/>
          <w:szCs w:val="26"/>
          <w:rtl/>
          <w:lang/>
        </w:rPr>
        <w:t xml:space="preserve">، </w:t>
      </w:r>
      <w:r w:rsidRPr="00CE5BE5">
        <w:rPr>
          <w:rStyle w:val="hps"/>
          <w:rFonts w:cs="Traditional Arabic" w:hint="cs"/>
          <w:sz w:val="18"/>
          <w:szCs w:val="26"/>
          <w:rtl/>
          <w:lang/>
        </w:rPr>
        <w:t>ف</w:t>
      </w:r>
      <w:r w:rsidRPr="00CE5BE5">
        <w:rPr>
          <w:rStyle w:val="hps"/>
          <w:rFonts w:cs="Traditional Arabic"/>
          <w:sz w:val="18"/>
          <w:szCs w:val="26"/>
          <w:rtl/>
          <w:lang/>
        </w:rPr>
        <w:t>غالبا</w:t>
      </w:r>
      <w:r w:rsidRPr="00CE5BE5">
        <w:rPr>
          <w:rStyle w:val="hps"/>
          <w:rFonts w:cs="Traditional Arabic" w:hint="cs"/>
          <w:sz w:val="18"/>
          <w:szCs w:val="26"/>
          <w:rtl/>
          <w:lang/>
        </w:rPr>
        <w:t>ً</w:t>
      </w:r>
      <w:r w:rsidRPr="00CE5BE5">
        <w:rPr>
          <w:rStyle w:val="hps"/>
          <w:rFonts w:cs="Traditional Arabic"/>
          <w:sz w:val="18"/>
          <w:szCs w:val="26"/>
          <w:rtl/>
          <w:lang/>
        </w:rPr>
        <w:t xml:space="preserve"> ما</w:t>
      </w:r>
      <w:r w:rsidRPr="00CE5BE5">
        <w:rPr>
          <w:rFonts w:cs="Traditional Arabic" w:hint="cs"/>
          <w:sz w:val="18"/>
          <w:szCs w:val="26"/>
          <w:rtl/>
          <w:lang/>
        </w:rPr>
        <w:t> </w:t>
      </w:r>
      <w:r w:rsidRPr="00CE5BE5">
        <w:rPr>
          <w:rStyle w:val="hps"/>
          <w:rFonts w:cs="Traditional Arabic" w:hint="cs"/>
          <w:sz w:val="18"/>
          <w:szCs w:val="26"/>
          <w:rtl/>
          <w:lang/>
        </w:rPr>
        <w:t>يرغم سجينان أو ثلاثة سجناء على تقاسم سرير</w:t>
      </w:r>
      <w:r w:rsidRPr="00CE5BE5">
        <w:rPr>
          <w:rStyle w:val="hps"/>
          <w:rFonts w:cs="Traditional Arabic"/>
          <w:sz w:val="18"/>
          <w:szCs w:val="26"/>
          <w:rtl/>
          <w:lang/>
        </w:rPr>
        <w:t xml:space="preserve"> </w:t>
      </w:r>
      <w:r w:rsidRPr="00CE5BE5">
        <w:rPr>
          <w:rStyle w:val="hps"/>
          <w:rFonts w:cs="Traditional Arabic" w:hint="cs"/>
          <w:sz w:val="18"/>
          <w:szCs w:val="26"/>
          <w:rtl/>
          <w:lang/>
        </w:rPr>
        <w:t>واحد</w:t>
      </w:r>
      <w:r w:rsidRPr="00CE5BE5">
        <w:rPr>
          <w:rFonts w:cs="Traditional Arabic"/>
          <w:sz w:val="18"/>
          <w:szCs w:val="26"/>
          <w:rtl/>
          <w:lang/>
        </w:rPr>
        <w:t xml:space="preserve">، </w:t>
      </w:r>
      <w:r w:rsidRPr="00CE5BE5">
        <w:rPr>
          <w:rStyle w:val="hps"/>
          <w:rFonts w:cs="Traditional Arabic"/>
          <w:sz w:val="18"/>
          <w:szCs w:val="26"/>
          <w:rtl/>
          <w:lang/>
        </w:rPr>
        <w:t>أو</w:t>
      </w:r>
      <w:r w:rsidRPr="00CE5BE5">
        <w:rPr>
          <w:rFonts w:cs="Traditional Arabic"/>
          <w:sz w:val="18"/>
          <w:szCs w:val="26"/>
          <w:rtl/>
          <w:lang/>
        </w:rPr>
        <w:t xml:space="preserve"> </w:t>
      </w:r>
      <w:r w:rsidRPr="00CE5BE5">
        <w:rPr>
          <w:rStyle w:val="hps"/>
          <w:rFonts w:cs="Traditional Arabic" w:hint="cs"/>
          <w:sz w:val="18"/>
          <w:szCs w:val="26"/>
          <w:rtl/>
          <w:lang/>
        </w:rPr>
        <w:t>النوم على</w:t>
      </w:r>
      <w:r w:rsidRPr="00CE5BE5">
        <w:rPr>
          <w:rStyle w:val="hps"/>
          <w:rFonts w:cs="Traditional Arabic"/>
          <w:sz w:val="18"/>
          <w:szCs w:val="26"/>
          <w:rtl/>
          <w:lang/>
        </w:rPr>
        <w:t xml:space="preserve"> الأرض.</w:t>
      </w:r>
      <w:r w:rsidRPr="00CE5BE5">
        <w:rPr>
          <w:rFonts w:cs="Traditional Arabic"/>
          <w:sz w:val="18"/>
          <w:szCs w:val="26"/>
          <w:rtl/>
          <w:lang/>
        </w:rPr>
        <w:t xml:space="preserve"> </w:t>
      </w:r>
      <w:r w:rsidRPr="00CE5BE5">
        <w:rPr>
          <w:rStyle w:val="hps"/>
          <w:rFonts w:cs="Traditional Arabic" w:hint="cs"/>
          <w:sz w:val="18"/>
          <w:szCs w:val="26"/>
          <w:rtl/>
          <w:lang/>
        </w:rPr>
        <w:t>ويشترك حوالي مائة من السجناء</w:t>
      </w:r>
      <w:r w:rsidRPr="00CE5BE5">
        <w:rPr>
          <w:rFonts w:cs="Traditional Arabic"/>
          <w:sz w:val="18"/>
          <w:szCs w:val="26"/>
          <w:rtl/>
          <w:lang/>
        </w:rPr>
        <w:t xml:space="preserve"> </w:t>
      </w:r>
      <w:r w:rsidRPr="00CE5BE5">
        <w:rPr>
          <w:rFonts w:cs="Traditional Arabic" w:hint="cs"/>
          <w:sz w:val="18"/>
          <w:szCs w:val="26"/>
          <w:rtl/>
          <w:lang/>
        </w:rPr>
        <w:t xml:space="preserve">في </w:t>
      </w:r>
      <w:r w:rsidRPr="00CE5BE5">
        <w:rPr>
          <w:rStyle w:val="hps"/>
          <w:rFonts w:cs="Traditional Arabic"/>
          <w:sz w:val="18"/>
          <w:szCs w:val="26"/>
          <w:rtl/>
          <w:lang/>
        </w:rPr>
        <w:t>مرافق الصرف الصحي</w:t>
      </w:r>
      <w:r w:rsidRPr="00CE5BE5">
        <w:rPr>
          <w:rFonts w:cs="Traditional Arabic" w:hint="cs"/>
          <w:sz w:val="18"/>
          <w:szCs w:val="26"/>
          <w:rtl/>
          <w:lang/>
        </w:rPr>
        <w:t xml:space="preserve"> المكونة من</w:t>
      </w:r>
      <w:r w:rsidRPr="00CE5BE5">
        <w:rPr>
          <w:rFonts w:cs="Traditional Arabic"/>
          <w:sz w:val="18"/>
          <w:szCs w:val="26"/>
          <w:rtl/>
          <w:lang/>
        </w:rPr>
        <w:t xml:space="preserve"> </w:t>
      </w:r>
      <w:r w:rsidRPr="00CE5BE5">
        <w:rPr>
          <w:rStyle w:val="hps"/>
          <w:rFonts w:cs="Traditional Arabic"/>
          <w:sz w:val="18"/>
          <w:szCs w:val="26"/>
          <w:rtl/>
          <w:lang/>
        </w:rPr>
        <w:t>صنبور</w:t>
      </w:r>
      <w:r w:rsidRPr="00CE5BE5">
        <w:rPr>
          <w:rStyle w:val="hps"/>
          <w:rFonts w:cs="Traditional Arabic" w:hint="cs"/>
          <w:sz w:val="18"/>
          <w:szCs w:val="26"/>
          <w:rtl/>
          <w:lang/>
        </w:rPr>
        <w:t xml:space="preserve"> واحد</w:t>
      </w:r>
      <w:r w:rsidRPr="00CE5BE5">
        <w:rPr>
          <w:rFonts w:cs="Traditional Arabic"/>
          <w:sz w:val="18"/>
          <w:szCs w:val="26"/>
          <w:rtl/>
          <w:lang/>
        </w:rPr>
        <w:t xml:space="preserve"> </w:t>
      </w:r>
      <w:r w:rsidRPr="00CE5BE5">
        <w:rPr>
          <w:rStyle w:val="hps"/>
          <w:rFonts w:cs="Traditional Arabic"/>
          <w:sz w:val="18"/>
          <w:szCs w:val="26"/>
          <w:rtl/>
          <w:lang/>
        </w:rPr>
        <w:t>ومرحاض</w:t>
      </w:r>
      <w:r w:rsidRPr="00CE5BE5">
        <w:rPr>
          <w:rStyle w:val="hps"/>
          <w:rFonts w:cs="Traditional Arabic" w:hint="cs"/>
          <w:sz w:val="18"/>
          <w:szCs w:val="26"/>
          <w:rtl/>
          <w:lang/>
        </w:rPr>
        <w:t xml:space="preserve"> واحد</w:t>
      </w:r>
      <w:r w:rsidRPr="00CE5BE5">
        <w:rPr>
          <w:rFonts w:cs="Traditional Arabic" w:hint="cs"/>
          <w:sz w:val="18"/>
          <w:szCs w:val="26"/>
          <w:rtl/>
          <w:lang/>
        </w:rPr>
        <w:t>. ويحق</w:t>
      </w:r>
      <w:r w:rsidRPr="00CE5BE5">
        <w:rPr>
          <w:rStyle w:val="hps"/>
          <w:rFonts w:cs="Traditional Arabic"/>
          <w:sz w:val="18"/>
          <w:szCs w:val="26"/>
          <w:rtl/>
          <w:lang/>
        </w:rPr>
        <w:t xml:space="preserve"> لكل</w:t>
      </w:r>
      <w:r w:rsidRPr="00CE5BE5">
        <w:rPr>
          <w:rFonts w:cs="Traditional Arabic"/>
          <w:sz w:val="18"/>
          <w:szCs w:val="26"/>
          <w:rtl/>
          <w:lang/>
        </w:rPr>
        <w:t xml:space="preserve"> </w:t>
      </w:r>
      <w:r w:rsidRPr="00CE5BE5">
        <w:rPr>
          <w:rStyle w:val="hps"/>
          <w:rFonts w:cs="Traditional Arabic"/>
          <w:sz w:val="18"/>
          <w:szCs w:val="26"/>
          <w:rtl/>
          <w:lang/>
        </w:rPr>
        <w:t>سجين</w:t>
      </w:r>
      <w:r w:rsidRPr="00CE5BE5">
        <w:rPr>
          <w:rFonts w:cs="Traditional Arabic"/>
          <w:sz w:val="18"/>
          <w:szCs w:val="26"/>
          <w:rtl/>
          <w:lang/>
        </w:rPr>
        <w:t xml:space="preserve"> </w:t>
      </w:r>
      <w:r w:rsidRPr="00CE5BE5">
        <w:rPr>
          <w:rStyle w:val="hps"/>
          <w:rFonts w:cs="Traditional Arabic" w:hint="cs"/>
          <w:sz w:val="18"/>
          <w:szCs w:val="26"/>
          <w:rtl/>
          <w:lang/>
        </w:rPr>
        <w:t>في العادة ا</w:t>
      </w:r>
      <w:r w:rsidRPr="00CE5BE5">
        <w:rPr>
          <w:rStyle w:val="hps"/>
          <w:rFonts w:cs="Traditional Arabic"/>
          <w:sz w:val="18"/>
          <w:szCs w:val="26"/>
          <w:rtl/>
          <w:lang/>
        </w:rPr>
        <w:t>لاستحمام</w:t>
      </w:r>
      <w:r w:rsidRPr="00CE5BE5">
        <w:rPr>
          <w:rFonts w:cs="Traditional Arabic"/>
          <w:sz w:val="18"/>
          <w:szCs w:val="26"/>
          <w:rtl/>
          <w:lang/>
        </w:rPr>
        <w:t xml:space="preserve"> </w:t>
      </w:r>
      <w:r w:rsidRPr="00CE5BE5">
        <w:rPr>
          <w:rStyle w:val="hps"/>
          <w:rFonts w:cs="Traditional Arabic"/>
          <w:sz w:val="18"/>
          <w:szCs w:val="26"/>
          <w:rtl/>
          <w:lang/>
        </w:rPr>
        <w:t>مرة واحدة في</w:t>
      </w:r>
      <w:r w:rsidRPr="00CE5BE5">
        <w:rPr>
          <w:rFonts w:cs="Traditional Arabic"/>
          <w:sz w:val="18"/>
          <w:szCs w:val="26"/>
          <w:rtl/>
          <w:lang/>
        </w:rPr>
        <w:t xml:space="preserve"> </w:t>
      </w:r>
      <w:r w:rsidRPr="00CE5BE5">
        <w:rPr>
          <w:rStyle w:val="hps"/>
          <w:rFonts w:cs="Traditional Arabic"/>
          <w:sz w:val="18"/>
          <w:szCs w:val="26"/>
          <w:rtl/>
          <w:lang/>
        </w:rPr>
        <w:t xml:space="preserve">الأسبوع، </w:t>
      </w:r>
      <w:r w:rsidRPr="00CE5BE5">
        <w:rPr>
          <w:rStyle w:val="hps"/>
          <w:rFonts w:cs="Traditional Arabic" w:hint="cs"/>
          <w:sz w:val="18"/>
          <w:szCs w:val="26"/>
          <w:rtl/>
          <w:lang/>
        </w:rPr>
        <w:t>غير أن هذا</w:t>
      </w:r>
      <w:r w:rsidRPr="00CE5BE5">
        <w:rPr>
          <w:rStyle w:val="hps"/>
          <w:rFonts w:cs="Traditional Arabic"/>
          <w:sz w:val="18"/>
          <w:szCs w:val="26"/>
          <w:rtl/>
          <w:lang/>
        </w:rPr>
        <w:t xml:space="preserve"> الحق</w:t>
      </w:r>
      <w:r w:rsidRPr="00CE5BE5">
        <w:rPr>
          <w:rFonts w:cs="Traditional Arabic"/>
          <w:sz w:val="18"/>
          <w:szCs w:val="26"/>
          <w:rtl/>
          <w:lang/>
        </w:rPr>
        <w:t xml:space="preserve"> لا </w:t>
      </w:r>
      <w:r w:rsidRPr="00CE5BE5">
        <w:rPr>
          <w:rStyle w:val="hps"/>
          <w:rFonts w:cs="Traditional Arabic" w:hint="cs"/>
          <w:sz w:val="18"/>
          <w:szCs w:val="26"/>
          <w:rtl/>
          <w:lang/>
        </w:rPr>
        <w:t>يراعى في بعض الأحيان</w:t>
      </w:r>
      <w:r w:rsidRPr="00CE5BE5">
        <w:rPr>
          <w:rFonts w:cs="Traditional Arabic"/>
          <w:sz w:val="18"/>
          <w:szCs w:val="26"/>
          <w:rtl/>
          <w:lang/>
        </w:rPr>
        <w:t xml:space="preserve">، </w:t>
      </w:r>
      <w:r w:rsidRPr="00CE5BE5">
        <w:rPr>
          <w:rStyle w:val="hps"/>
          <w:rFonts w:cs="Traditional Arabic"/>
          <w:sz w:val="18"/>
          <w:szCs w:val="26"/>
          <w:rtl/>
          <w:lang/>
        </w:rPr>
        <w:t>إما</w:t>
      </w:r>
      <w:r w:rsidRPr="00CE5BE5">
        <w:rPr>
          <w:rStyle w:val="hps"/>
          <w:rFonts w:cs="Traditional Arabic" w:hint="cs"/>
          <w:sz w:val="18"/>
          <w:szCs w:val="26"/>
          <w:rtl/>
          <w:lang/>
        </w:rPr>
        <w:t xml:space="preserve"> بسبب العدد الكبير</w:t>
      </w:r>
      <w:r w:rsidRPr="00CE5BE5">
        <w:rPr>
          <w:rStyle w:val="hps"/>
          <w:rFonts w:cs="Traditional Arabic"/>
          <w:sz w:val="18"/>
          <w:szCs w:val="26"/>
          <w:rtl/>
          <w:lang/>
        </w:rPr>
        <w:t xml:space="preserve"> </w:t>
      </w:r>
      <w:r w:rsidRPr="00CE5BE5">
        <w:rPr>
          <w:rStyle w:val="hps"/>
          <w:rFonts w:cs="Traditional Arabic" w:hint="cs"/>
          <w:sz w:val="18"/>
          <w:szCs w:val="26"/>
          <w:rtl/>
          <w:lang/>
        </w:rPr>
        <w:t>للسجناء</w:t>
      </w:r>
      <w:r w:rsidRPr="00CE5BE5">
        <w:rPr>
          <w:rFonts w:cs="Traditional Arabic"/>
          <w:sz w:val="18"/>
          <w:szCs w:val="26"/>
          <w:rtl/>
          <w:lang/>
        </w:rPr>
        <w:t xml:space="preserve"> </w:t>
      </w:r>
      <w:r w:rsidRPr="00CE5BE5">
        <w:rPr>
          <w:rStyle w:val="hps"/>
          <w:rFonts w:cs="Traditional Arabic"/>
          <w:sz w:val="18"/>
          <w:szCs w:val="26"/>
          <w:rtl/>
          <w:lang/>
        </w:rPr>
        <w:t>أو</w:t>
      </w:r>
      <w:r w:rsidRPr="00CE5BE5">
        <w:rPr>
          <w:rFonts w:cs="Traditional Arabic"/>
          <w:sz w:val="18"/>
          <w:szCs w:val="26"/>
          <w:rtl/>
          <w:lang/>
        </w:rPr>
        <w:t xml:space="preserve"> </w:t>
      </w:r>
      <w:r w:rsidRPr="00CE5BE5">
        <w:rPr>
          <w:rStyle w:val="hps"/>
          <w:rFonts w:cs="Traditional Arabic"/>
          <w:sz w:val="18"/>
          <w:szCs w:val="26"/>
          <w:rtl/>
          <w:lang/>
        </w:rPr>
        <w:t>من أجل معاقبة</w:t>
      </w:r>
      <w:r w:rsidRPr="00CE5BE5">
        <w:rPr>
          <w:rFonts w:cs="Traditional Arabic"/>
          <w:sz w:val="18"/>
          <w:szCs w:val="26"/>
          <w:rtl/>
          <w:lang/>
        </w:rPr>
        <w:t xml:space="preserve"> </w:t>
      </w:r>
      <w:r w:rsidRPr="00CE5BE5">
        <w:rPr>
          <w:rStyle w:val="hps"/>
          <w:rFonts w:cs="Traditional Arabic" w:hint="cs"/>
          <w:sz w:val="18"/>
          <w:szCs w:val="26"/>
          <w:rtl/>
          <w:lang/>
        </w:rPr>
        <w:t>أحد المحتجزين</w:t>
      </w:r>
      <w:r w:rsidRPr="00CE5BE5">
        <w:rPr>
          <w:rFonts w:cs="Traditional Arabic"/>
          <w:sz w:val="18"/>
          <w:szCs w:val="26"/>
          <w:rtl/>
          <w:lang/>
        </w:rPr>
        <w:t xml:space="preserve">. </w:t>
      </w:r>
      <w:r w:rsidRPr="00CE5BE5">
        <w:rPr>
          <w:rFonts w:cs="Traditional Arabic" w:hint="cs"/>
          <w:sz w:val="18"/>
          <w:szCs w:val="26"/>
          <w:rtl/>
          <w:lang/>
        </w:rPr>
        <w:t>و</w:t>
      </w:r>
      <w:r w:rsidRPr="00CE5BE5">
        <w:rPr>
          <w:rStyle w:val="hps"/>
          <w:rFonts w:cs="Traditional Arabic"/>
          <w:sz w:val="18"/>
          <w:szCs w:val="26"/>
          <w:rtl/>
          <w:lang/>
        </w:rPr>
        <w:t>بسبب</w:t>
      </w:r>
      <w:r w:rsidRPr="00CE5BE5">
        <w:rPr>
          <w:rFonts w:cs="Traditional Arabic"/>
          <w:sz w:val="18"/>
          <w:szCs w:val="26"/>
          <w:rtl/>
          <w:lang/>
        </w:rPr>
        <w:t xml:space="preserve"> </w:t>
      </w:r>
      <w:r w:rsidRPr="00CE5BE5">
        <w:rPr>
          <w:rStyle w:val="hps"/>
          <w:rFonts w:cs="Traditional Arabic" w:hint="cs"/>
          <w:sz w:val="18"/>
          <w:szCs w:val="26"/>
          <w:rtl/>
          <w:lang/>
        </w:rPr>
        <w:t>سوء</w:t>
      </w:r>
      <w:r w:rsidRPr="00CE5BE5">
        <w:rPr>
          <w:rStyle w:val="hps"/>
          <w:rFonts w:cs="Traditional Arabic"/>
          <w:sz w:val="18"/>
          <w:szCs w:val="26"/>
          <w:rtl/>
          <w:lang/>
        </w:rPr>
        <w:t xml:space="preserve"> الأوضاع الصحية</w:t>
      </w:r>
      <w:r w:rsidRPr="00CE5BE5">
        <w:rPr>
          <w:rFonts w:cs="Traditional Arabic"/>
          <w:sz w:val="18"/>
          <w:szCs w:val="26"/>
          <w:rtl/>
          <w:lang/>
        </w:rPr>
        <w:t xml:space="preserve">، </w:t>
      </w:r>
      <w:r w:rsidRPr="00CE5BE5">
        <w:rPr>
          <w:rFonts w:cs="Traditional Arabic" w:hint="cs"/>
          <w:sz w:val="18"/>
          <w:szCs w:val="26"/>
          <w:rtl/>
          <w:lang/>
        </w:rPr>
        <w:t>تنتشر</w:t>
      </w:r>
      <w:r w:rsidRPr="00CE5BE5">
        <w:rPr>
          <w:rFonts w:cs="Traditional Arabic"/>
          <w:sz w:val="18"/>
          <w:szCs w:val="26"/>
          <w:rtl/>
          <w:lang/>
        </w:rPr>
        <w:t xml:space="preserve"> </w:t>
      </w:r>
      <w:r w:rsidRPr="00CE5BE5">
        <w:rPr>
          <w:rStyle w:val="hps"/>
          <w:rFonts w:cs="Traditional Arabic"/>
          <w:sz w:val="18"/>
          <w:szCs w:val="26"/>
          <w:rtl/>
          <w:lang/>
        </w:rPr>
        <w:t>الأمراض</w:t>
      </w:r>
      <w:r w:rsidRPr="00CE5BE5">
        <w:rPr>
          <w:rFonts w:cs="Traditional Arabic"/>
          <w:sz w:val="18"/>
          <w:szCs w:val="26"/>
          <w:rtl/>
          <w:lang/>
        </w:rPr>
        <w:t xml:space="preserve"> </w:t>
      </w:r>
      <w:r w:rsidRPr="00CE5BE5">
        <w:rPr>
          <w:rStyle w:val="hps"/>
          <w:rFonts w:cs="Traditional Arabic"/>
          <w:sz w:val="18"/>
          <w:szCs w:val="26"/>
          <w:rtl/>
          <w:lang/>
        </w:rPr>
        <w:t>بسرعة</w:t>
      </w:r>
      <w:r w:rsidRPr="00CE5BE5">
        <w:rPr>
          <w:rFonts w:cs="Traditional Arabic"/>
          <w:sz w:val="18"/>
          <w:szCs w:val="26"/>
          <w:rtl/>
          <w:lang/>
        </w:rPr>
        <w:t xml:space="preserve"> </w:t>
      </w:r>
      <w:r w:rsidRPr="00CE5BE5">
        <w:rPr>
          <w:rStyle w:val="hps"/>
          <w:rFonts w:cs="Traditional Arabic" w:hint="cs"/>
          <w:sz w:val="18"/>
          <w:szCs w:val="26"/>
          <w:rtl/>
          <w:lang/>
        </w:rPr>
        <w:t>كبيرة للغاية</w:t>
      </w:r>
      <w:r w:rsidRPr="00CE5BE5">
        <w:rPr>
          <w:rFonts w:cs="Traditional Arabic"/>
          <w:sz w:val="18"/>
          <w:szCs w:val="26"/>
          <w:rtl/>
          <w:lang/>
        </w:rPr>
        <w:t xml:space="preserve">. </w:t>
      </w:r>
      <w:r w:rsidRPr="00CE5BE5">
        <w:rPr>
          <w:rFonts w:cs="Traditional Arabic" w:hint="cs"/>
          <w:sz w:val="18"/>
          <w:szCs w:val="26"/>
          <w:rtl/>
          <w:lang/>
        </w:rPr>
        <w:t xml:space="preserve">ويكون </w:t>
      </w:r>
      <w:r w:rsidRPr="00CE5BE5">
        <w:rPr>
          <w:rStyle w:val="hps"/>
          <w:rFonts w:cs="Traditional Arabic"/>
          <w:sz w:val="18"/>
          <w:szCs w:val="26"/>
          <w:rtl/>
          <w:lang/>
        </w:rPr>
        <w:t>الحصول على العلاج</w:t>
      </w:r>
      <w:r w:rsidRPr="00CE5BE5">
        <w:rPr>
          <w:rFonts w:cs="Traditional Arabic"/>
          <w:sz w:val="18"/>
          <w:szCs w:val="26"/>
          <w:rtl/>
          <w:lang/>
        </w:rPr>
        <w:t xml:space="preserve"> </w:t>
      </w:r>
      <w:r w:rsidRPr="00CE5BE5">
        <w:rPr>
          <w:rStyle w:val="hps"/>
          <w:rFonts w:cs="Traditional Arabic"/>
          <w:sz w:val="18"/>
          <w:szCs w:val="26"/>
          <w:rtl/>
          <w:lang/>
        </w:rPr>
        <w:t>محدود</w:t>
      </w:r>
      <w:r w:rsidRPr="00CE5BE5">
        <w:rPr>
          <w:rStyle w:val="hps"/>
          <w:rFonts w:cs="Traditional Arabic" w:hint="cs"/>
          <w:sz w:val="18"/>
          <w:szCs w:val="26"/>
          <w:rtl/>
          <w:lang/>
        </w:rPr>
        <w:t>اً،</w:t>
      </w:r>
      <w:r w:rsidRPr="00CE5BE5">
        <w:rPr>
          <w:rStyle w:val="hps"/>
          <w:rFonts w:cs="Traditional Arabic"/>
          <w:sz w:val="18"/>
          <w:szCs w:val="26"/>
          <w:rtl/>
          <w:lang/>
        </w:rPr>
        <w:t xml:space="preserve"> و</w:t>
      </w:r>
      <w:r w:rsidRPr="00CE5BE5">
        <w:rPr>
          <w:rFonts w:cs="Traditional Arabic"/>
          <w:sz w:val="18"/>
          <w:szCs w:val="26"/>
          <w:rtl/>
          <w:lang/>
        </w:rPr>
        <w:t xml:space="preserve">غالباً ما يستخدم </w:t>
      </w:r>
      <w:r w:rsidRPr="00CE5BE5">
        <w:rPr>
          <w:rStyle w:val="hps"/>
          <w:rFonts w:cs="Traditional Arabic"/>
          <w:sz w:val="18"/>
          <w:szCs w:val="26"/>
          <w:rtl/>
          <w:lang/>
        </w:rPr>
        <w:t>الحرمان من</w:t>
      </w:r>
      <w:r w:rsidRPr="00CE5BE5">
        <w:rPr>
          <w:rFonts w:cs="Traditional Arabic"/>
          <w:sz w:val="18"/>
          <w:szCs w:val="26"/>
          <w:rtl/>
          <w:lang/>
        </w:rPr>
        <w:t xml:space="preserve"> </w:t>
      </w:r>
      <w:r w:rsidRPr="00CE5BE5">
        <w:rPr>
          <w:rStyle w:val="hps"/>
          <w:rFonts w:cs="Traditional Arabic" w:hint="cs"/>
          <w:sz w:val="18"/>
          <w:szCs w:val="26"/>
          <w:rtl/>
          <w:lang/>
        </w:rPr>
        <w:t>العلاج وسيلة لل</w:t>
      </w:r>
      <w:r w:rsidRPr="00CE5BE5">
        <w:rPr>
          <w:rStyle w:val="hps"/>
          <w:rFonts w:cs="Traditional Arabic"/>
          <w:sz w:val="18"/>
          <w:szCs w:val="26"/>
          <w:rtl/>
          <w:lang/>
        </w:rPr>
        <w:t>عقاب</w:t>
      </w:r>
      <w:r w:rsidRPr="00CE5BE5">
        <w:rPr>
          <w:rFonts w:cs="Traditional Arabic"/>
          <w:sz w:val="18"/>
          <w:szCs w:val="26"/>
          <w:rtl/>
          <w:lang/>
        </w:rPr>
        <w:t xml:space="preserve">، </w:t>
      </w:r>
      <w:r w:rsidRPr="00CE5BE5">
        <w:rPr>
          <w:rStyle w:val="hps"/>
          <w:rFonts w:cs="Traditional Arabic"/>
          <w:sz w:val="18"/>
          <w:szCs w:val="26"/>
          <w:rtl/>
          <w:lang/>
        </w:rPr>
        <w:t xml:space="preserve">وخاصة </w:t>
      </w:r>
      <w:r w:rsidRPr="00CE5BE5">
        <w:rPr>
          <w:rStyle w:val="hps"/>
          <w:rFonts w:cs="Traditional Arabic" w:hint="cs"/>
          <w:sz w:val="18"/>
          <w:szCs w:val="26"/>
          <w:rtl/>
          <w:lang/>
        </w:rPr>
        <w:t>في حق السجناء</w:t>
      </w:r>
      <w:r w:rsidRPr="00CE5BE5">
        <w:rPr>
          <w:rFonts w:cs="Traditional Arabic"/>
          <w:sz w:val="18"/>
          <w:szCs w:val="26"/>
          <w:rtl/>
          <w:lang/>
        </w:rPr>
        <w:t xml:space="preserve"> السياسيين</w:t>
      </w:r>
      <w:r w:rsidRPr="00CE5BE5">
        <w:rPr>
          <w:rFonts w:cs="Traditional Arabic" w:hint="cs"/>
          <w:sz w:val="18"/>
          <w:szCs w:val="26"/>
          <w:rtl/>
          <w:lang/>
        </w:rPr>
        <w:t>"</w:t>
      </w:r>
      <w:r w:rsidRPr="00CE5BE5">
        <w:rPr>
          <w:rFonts w:cs="Traditional Arabic"/>
          <w:sz w:val="18"/>
          <w:szCs w:val="26"/>
          <w:rtl/>
          <w:lang/>
        </w:rPr>
        <w:t>.</w:t>
      </w:r>
    </w:p>
  </w:footnote>
  <w:footnote w:id="147">
    <w:p w:rsidR="00F815BA" w:rsidRPr="00CE5BE5" w:rsidRDefault="00F815BA" w:rsidP="007C1E0E">
      <w:pPr>
        <w:pStyle w:val="FootnoteText"/>
        <w:numPr>
          <w:ilvl w:val="0"/>
          <w:numId w:val="0"/>
        </w:numPr>
        <w:tabs>
          <w:tab w:val="left" w:pos="1254"/>
        </w:tabs>
        <w:bidi/>
        <w:spacing w:after="60" w:line="300" w:lineRule="exact"/>
        <w:ind w:left="1226" w:right="1247" w:hanging="448"/>
        <w:jc w:val="lowKashida"/>
        <w:rPr>
          <w:rFonts w:cs="Traditional Arabic"/>
          <w:sz w:val="18"/>
          <w:szCs w:val="26"/>
        </w:rPr>
      </w:pPr>
      <w:r w:rsidRPr="0077398F">
        <w:rPr>
          <w:rFonts w:cs="Traditional Arabic" w:hint="cs"/>
          <w:sz w:val="26"/>
          <w:szCs w:val="26"/>
          <w:rtl/>
        </w:rPr>
        <w:t>(</w:t>
      </w:r>
      <w:r>
        <w:rPr>
          <w:rFonts w:cs="Traditional Arabic" w:hint="cs"/>
          <w:sz w:val="26"/>
          <w:szCs w:val="26"/>
          <w:rtl/>
        </w:rPr>
        <w:t>خ</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hint="cs"/>
          <w:sz w:val="18"/>
          <w:szCs w:val="26"/>
          <w:rtl/>
          <w:lang/>
        </w:rPr>
        <w:t>انظر الفقرة 6-4 أعلاه.</w:t>
      </w:r>
    </w:p>
  </w:footnote>
  <w:footnote w:id="148">
    <w:p w:rsidR="00F815BA" w:rsidRPr="00CE5BE5" w:rsidRDefault="00F815BA" w:rsidP="00F40A83">
      <w:pPr>
        <w:pStyle w:val="FootnoteText"/>
        <w:numPr>
          <w:ilvl w:val="0"/>
          <w:numId w:val="0"/>
        </w:numPr>
        <w:tabs>
          <w:tab w:val="left" w:pos="1240"/>
        </w:tabs>
        <w:bidi/>
        <w:spacing w:after="60" w:line="300" w:lineRule="exact"/>
        <w:ind w:left="1226" w:right="1247" w:hanging="378"/>
        <w:jc w:val="lowKashida"/>
        <w:rPr>
          <w:rFonts w:cs="Traditional Arabic"/>
          <w:sz w:val="18"/>
          <w:szCs w:val="26"/>
        </w:rPr>
      </w:pPr>
      <w:r w:rsidRPr="00F40A83">
        <w:rPr>
          <w:rFonts w:cs="Traditional Arabic" w:hint="cs"/>
          <w:spacing w:val="-4"/>
          <w:sz w:val="26"/>
          <w:szCs w:val="26"/>
          <w:rtl/>
        </w:rPr>
        <w:t>(ذ)</w:t>
      </w:r>
      <w:r w:rsidRPr="00F40A83">
        <w:rPr>
          <w:rFonts w:cs="Traditional Arabic" w:hint="cs"/>
          <w:spacing w:val="-4"/>
          <w:sz w:val="26"/>
          <w:szCs w:val="26"/>
          <w:rtl/>
        </w:rPr>
        <w:tab/>
      </w:r>
      <w:r w:rsidRPr="00F40A83">
        <w:rPr>
          <w:rFonts w:cs="Traditional Arabic"/>
          <w:spacing w:val="-4"/>
          <w:sz w:val="18"/>
          <w:szCs w:val="26"/>
          <w:rtl/>
          <w:lang/>
        </w:rPr>
        <w:t>وفقا</w:t>
      </w:r>
      <w:r w:rsidRPr="00F40A83">
        <w:rPr>
          <w:rFonts w:cs="Traditional Arabic" w:hint="cs"/>
          <w:spacing w:val="-4"/>
          <w:sz w:val="18"/>
          <w:szCs w:val="26"/>
          <w:rtl/>
          <w:lang/>
        </w:rPr>
        <w:t>ً</w:t>
      </w:r>
      <w:r w:rsidRPr="00F40A83">
        <w:rPr>
          <w:rFonts w:cs="Traditional Arabic"/>
          <w:spacing w:val="-4"/>
          <w:sz w:val="18"/>
          <w:szCs w:val="26"/>
          <w:rtl/>
          <w:lang/>
        </w:rPr>
        <w:t xml:space="preserve"> </w:t>
      </w:r>
      <w:r w:rsidRPr="00F40A83">
        <w:rPr>
          <w:rFonts w:cs="Traditional Arabic" w:hint="cs"/>
          <w:spacing w:val="-4"/>
          <w:sz w:val="18"/>
          <w:szCs w:val="26"/>
          <w:rtl/>
          <w:lang/>
        </w:rPr>
        <w:t>للشهادة التي تسنى الحصول عليها</w:t>
      </w:r>
      <w:r w:rsidRPr="00F40A83">
        <w:rPr>
          <w:rFonts w:cs="Traditional Arabic"/>
          <w:spacing w:val="-4"/>
          <w:sz w:val="18"/>
          <w:szCs w:val="26"/>
          <w:rtl/>
          <w:lang/>
        </w:rPr>
        <w:t xml:space="preserve">، </w:t>
      </w:r>
      <w:r w:rsidRPr="00F40A83">
        <w:rPr>
          <w:rStyle w:val="hps"/>
          <w:rFonts w:cs="Traditional Arabic" w:hint="cs"/>
          <w:spacing w:val="-4"/>
          <w:sz w:val="18"/>
          <w:szCs w:val="26"/>
          <w:rtl/>
          <w:lang/>
        </w:rPr>
        <w:t>فقد تعرض المحتجزان</w:t>
      </w:r>
      <w:r w:rsidRPr="00F40A83">
        <w:rPr>
          <w:rStyle w:val="hps"/>
          <w:rFonts w:cs="Traditional Arabic"/>
          <w:spacing w:val="-4"/>
          <w:sz w:val="18"/>
          <w:szCs w:val="26"/>
          <w:rtl/>
          <w:lang/>
        </w:rPr>
        <w:t xml:space="preserve"> للضرب</w:t>
      </w:r>
      <w:r w:rsidRPr="00F40A83">
        <w:rPr>
          <w:rFonts w:cs="Traditional Arabic"/>
          <w:spacing w:val="-4"/>
          <w:sz w:val="18"/>
          <w:szCs w:val="26"/>
          <w:rtl/>
          <w:lang/>
        </w:rPr>
        <w:t xml:space="preserve"> </w:t>
      </w:r>
      <w:r w:rsidRPr="00F40A83">
        <w:rPr>
          <w:rStyle w:val="hps"/>
          <w:rFonts w:cs="Traditional Arabic" w:hint="cs"/>
          <w:spacing w:val="-4"/>
          <w:sz w:val="18"/>
          <w:szCs w:val="26"/>
          <w:rtl/>
          <w:lang/>
        </w:rPr>
        <w:t>منذ توقيفهما في</w:t>
      </w:r>
      <w:r w:rsidRPr="00F40A83">
        <w:rPr>
          <w:rStyle w:val="hps"/>
          <w:rFonts w:cs="Traditional Arabic"/>
          <w:spacing w:val="-4"/>
          <w:sz w:val="18"/>
          <w:szCs w:val="26"/>
          <w:rtl/>
          <w:lang/>
        </w:rPr>
        <w:t xml:space="preserve"> 15 </w:t>
      </w:r>
      <w:r w:rsidRPr="00F40A83">
        <w:rPr>
          <w:rStyle w:val="hps"/>
          <w:rFonts w:cs="Traditional Arabic" w:hint="cs"/>
          <w:spacing w:val="-4"/>
          <w:sz w:val="18"/>
          <w:szCs w:val="26"/>
          <w:rtl/>
          <w:lang/>
        </w:rPr>
        <w:t>شباط/</w:t>
      </w:r>
      <w:r w:rsidRPr="00F40A83">
        <w:rPr>
          <w:rStyle w:val="hps"/>
          <w:rFonts w:cs="Traditional Arabic"/>
          <w:spacing w:val="-4"/>
          <w:sz w:val="18"/>
          <w:szCs w:val="26"/>
          <w:rtl/>
          <w:lang/>
        </w:rPr>
        <w:t>فبراير</w:t>
      </w:r>
      <w:r w:rsidRPr="00F40A83">
        <w:rPr>
          <w:rFonts w:cs="Traditional Arabic"/>
          <w:spacing w:val="-4"/>
          <w:sz w:val="18"/>
          <w:szCs w:val="26"/>
          <w:rtl/>
          <w:lang/>
        </w:rPr>
        <w:t xml:space="preserve"> </w:t>
      </w:r>
      <w:r w:rsidRPr="00F40A83">
        <w:rPr>
          <w:rStyle w:val="hps"/>
          <w:rFonts w:cs="Traditional Arabic"/>
          <w:spacing w:val="-4"/>
          <w:sz w:val="18"/>
          <w:szCs w:val="26"/>
          <w:rtl/>
          <w:lang/>
        </w:rPr>
        <w:t>2008،</w:t>
      </w:r>
      <w:r w:rsidRPr="00CE5BE5">
        <w:rPr>
          <w:rStyle w:val="hps"/>
          <w:rFonts w:cs="Traditional Arabic"/>
          <w:sz w:val="18"/>
          <w:szCs w:val="26"/>
          <w:rtl/>
          <w:lang/>
        </w:rPr>
        <w:t xml:space="preserve"> </w:t>
      </w:r>
      <w:r w:rsidRPr="00CE5BE5">
        <w:rPr>
          <w:rStyle w:val="hps"/>
          <w:rFonts w:cs="Traditional Arabic" w:hint="cs"/>
          <w:sz w:val="18"/>
          <w:szCs w:val="26"/>
          <w:rtl/>
          <w:lang/>
        </w:rPr>
        <w:t>وتعرضا بعد ذلك</w:t>
      </w:r>
      <w:r w:rsidRPr="00CE5BE5">
        <w:rPr>
          <w:rStyle w:val="hps"/>
          <w:rFonts w:cs="Traditional Arabic"/>
          <w:sz w:val="18"/>
          <w:szCs w:val="26"/>
          <w:rtl/>
          <w:lang/>
        </w:rPr>
        <w:t xml:space="preserve"> للتعذيب</w:t>
      </w:r>
      <w:r w:rsidRPr="00CE5BE5">
        <w:rPr>
          <w:rFonts w:cs="Traditional Arabic"/>
          <w:sz w:val="18"/>
          <w:szCs w:val="26"/>
          <w:rtl/>
          <w:lang/>
        </w:rPr>
        <w:t xml:space="preserve"> </w:t>
      </w:r>
      <w:r w:rsidRPr="00CE5BE5">
        <w:rPr>
          <w:rStyle w:val="hps"/>
          <w:rFonts w:cs="Traditional Arabic" w:hint="cs"/>
          <w:sz w:val="18"/>
          <w:szCs w:val="26"/>
          <w:rtl/>
          <w:lang/>
        </w:rPr>
        <w:t>الوحشي</w:t>
      </w:r>
      <w:r w:rsidRPr="00CE5BE5">
        <w:rPr>
          <w:rFonts w:cs="Traditional Arabic"/>
          <w:sz w:val="18"/>
          <w:szCs w:val="26"/>
          <w:rtl/>
          <w:lang/>
        </w:rPr>
        <w:t xml:space="preserve"> </w:t>
      </w:r>
      <w:r w:rsidRPr="00CE5BE5">
        <w:rPr>
          <w:rStyle w:val="hps"/>
          <w:rFonts w:cs="Traditional Arabic"/>
          <w:sz w:val="18"/>
          <w:szCs w:val="26"/>
          <w:rtl/>
          <w:lang/>
        </w:rPr>
        <w:t>خلال</w:t>
      </w:r>
      <w:r w:rsidRPr="00CE5BE5">
        <w:rPr>
          <w:rFonts w:cs="Traditional Arabic"/>
          <w:sz w:val="18"/>
          <w:szCs w:val="26"/>
          <w:rtl/>
          <w:lang/>
        </w:rPr>
        <w:t xml:space="preserve"> </w:t>
      </w:r>
      <w:r w:rsidRPr="00CE5BE5">
        <w:rPr>
          <w:rStyle w:val="hps"/>
          <w:rFonts w:cs="Traditional Arabic"/>
          <w:sz w:val="18"/>
          <w:szCs w:val="26"/>
          <w:rtl/>
          <w:lang/>
        </w:rPr>
        <w:t xml:space="preserve">أيام </w:t>
      </w:r>
      <w:r w:rsidRPr="00CE5BE5">
        <w:rPr>
          <w:rStyle w:val="hps"/>
          <w:rFonts w:cs="Traditional Arabic" w:hint="cs"/>
          <w:sz w:val="18"/>
          <w:szCs w:val="26"/>
          <w:rtl/>
          <w:lang/>
        </w:rPr>
        <w:t xml:space="preserve">حبسهم </w:t>
      </w:r>
      <w:r w:rsidRPr="00CE5BE5">
        <w:rPr>
          <w:rStyle w:val="hps"/>
          <w:rFonts w:cs="Traditional Arabic"/>
          <w:sz w:val="18"/>
          <w:szCs w:val="26"/>
          <w:rtl/>
          <w:lang/>
        </w:rPr>
        <w:t>ال</w:t>
      </w:r>
      <w:r w:rsidRPr="00CE5BE5">
        <w:rPr>
          <w:rStyle w:val="hps"/>
          <w:rFonts w:cs="Traditional Arabic" w:hint="cs"/>
          <w:sz w:val="18"/>
          <w:szCs w:val="26"/>
          <w:rtl/>
          <w:lang/>
        </w:rPr>
        <w:t>عشرة في مركز فرقة الجمارك</w:t>
      </w:r>
      <w:r w:rsidRPr="00CE5BE5">
        <w:rPr>
          <w:rFonts w:cs="Traditional Arabic"/>
          <w:sz w:val="18"/>
          <w:szCs w:val="26"/>
          <w:rtl/>
          <w:lang/>
        </w:rPr>
        <w:t xml:space="preserve">. </w:t>
      </w:r>
      <w:r w:rsidRPr="00CE5BE5">
        <w:rPr>
          <w:rStyle w:val="hps"/>
          <w:rFonts w:cs="Traditional Arabic"/>
          <w:sz w:val="18"/>
          <w:szCs w:val="26"/>
          <w:rtl/>
          <w:lang/>
        </w:rPr>
        <w:t>وقد</w:t>
      </w:r>
      <w:r w:rsidRPr="00CE5BE5">
        <w:rPr>
          <w:rFonts w:cs="Traditional Arabic"/>
          <w:sz w:val="18"/>
          <w:szCs w:val="26"/>
          <w:rtl/>
          <w:lang/>
        </w:rPr>
        <w:t xml:space="preserve"> </w:t>
      </w:r>
      <w:r w:rsidRPr="00CE5BE5">
        <w:rPr>
          <w:rStyle w:val="hps"/>
          <w:rFonts w:cs="Traditional Arabic" w:hint="cs"/>
          <w:sz w:val="18"/>
          <w:szCs w:val="26"/>
          <w:rtl/>
          <w:lang/>
        </w:rPr>
        <w:t xml:space="preserve">عرضا في نهاية الأمر على </w:t>
      </w:r>
      <w:r w:rsidRPr="00CE5BE5">
        <w:rPr>
          <w:rStyle w:val="hps"/>
          <w:rFonts w:cs="Traditional Arabic"/>
          <w:sz w:val="18"/>
          <w:szCs w:val="26"/>
          <w:rtl/>
          <w:lang/>
        </w:rPr>
        <w:t>قاضي التحقيق</w:t>
      </w:r>
      <w:r w:rsidRPr="00CE5BE5">
        <w:rPr>
          <w:rFonts w:cs="Traditional Arabic"/>
          <w:sz w:val="18"/>
          <w:szCs w:val="26"/>
          <w:rtl/>
          <w:lang/>
        </w:rPr>
        <w:t xml:space="preserve"> </w:t>
      </w:r>
      <w:r w:rsidRPr="00CE5BE5">
        <w:rPr>
          <w:rStyle w:val="hps"/>
          <w:rFonts w:cs="Traditional Arabic"/>
          <w:sz w:val="18"/>
          <w:szCs w:val="26"/>
          <w:rtl/>
          <w:lang/>
        </w:rPr>
        <w:t xml:space="preserve">قبل </w:t>
      </w:r>
      <w:r w:rsidRPr="00CE5BE5">
        <w:rPr>
          <w:rStyle w:val="hps"/>
          <w:rFonts w:cs="Traditional Arabic" w:hint="cs"/>
          <w:sz w:val="18"/>
          <w:szCs w:val="26"/>
          <w:rtl/>
          <w:lang/>
        </w:rPr>
        <w:t>نقلهما</w:t>
      </w:r>
      <w:r w:rsidRPr="00CE5BE5">
        <w:rPr>
          <w:rStyle w:val="hps"/>
          <w:rFonts w:cs="Traditional Arabic"/>
          <w:sz w:val="18"/>
          <w:szCs w:val="26"/>
          <w:rtl/>
          <w:lang/>
        </w:rPr>
        <w:t xml:space="preserve"> إلى سجن</w:t>
      </w:r>
      <w:r w:rsidRPr="00CE5BE5">
        <w:rPr>
          <w:rFonts w:cs="Traditional Arabic"/>
          <w:sz w:val="18"/>
          <w:szCs w:val="26"/>
          <w:rtl/>
          <w:lang/>
        </w:rPr>
        <w:t xml:space="preserve"> </w:t>
      </w:r>
      <w:r w:rsidRPr="00CE5BE5">
        <w:rPr>
          <w:rStyle w:val="hps"/>
          <w:rFonts w:cs="Traditional Arabic"/>
          <w:sz w:val="18"/>
          <w:szCs w:val="26"/>
          <w:rtl/>
          <w:lang/>
        </w:rPr>
        <w:t>المرناقية</w:t>
      </w:r>
      <w:r w:rsidRPr="00CE5BE5">
        <w:rPr>
          <w:rFonts w:cs="Traditional Arabic"/>
          <w:sz w:val="18"/>
          <w:szCs w:val="26"/>
          <w:rtl/>
          <w:lang/>
        </w:rPr>
        <w:t xml:space="preserve">. </w:t>
      </w:r>
      <w:r w:rsidRPr="00CE5BE5">
        <w:rPr>
          <w:rFonts w:cs="Traditional Arabic" w:hint="cs"/>
          <w:sz w:val="18"/>
          <w:szCs w:val="26"/>
          <w:rtl/>
          <w:lang/>
        </w:rPr>
        <w:t>و</w:t>
      </w:r>
      <w:r w:rsidRPr="00CE5BE5">
        <w:rPr>
          <w:rStyle w:val="hps"/>
          <w:rFonts w:cs="Traditional Arabic"/>
          <w:sz w:val="18"/>
          <w:szCs w:val="26"/>
          <w:rtl/>
          <w:lang/>
        </w:rPr>
        <w:t>ل</w:t>
      </w:r>
      <w:r w:rsidRPr="00CE5BE5">
        <w:rPr>
          <w:rFonts w:cs="Traditional Arabic"/>
          <w:sz w:val="18"/>
          <w:szCs w:val="26"/>
          <w:rtl/>
          <w:lang/>
        </w:rPr>
        <w:t xml:space="preserve">أغراض </w:t>
      </w:r>
      <w:r w:rsidRPr="00CE5BE5">
        <w:rPr>
          <w:rFonts w:cs="Traditional Arabic" w:hint="cs"/>
          <w:sz w:val="18"/>
          <w:szCs w:val="26"/>
          <w:rtl/>
          <w:lang/>
        </w:rPr>
        <w:t xml:space="preserve">استكمال </w:t>
      </w:r>
      <w:r w:rsidRPr="00CE5BE5">
        <w:rPr>
          <w:rFonts w:cs="Traditional Arabic"/>
          <w:sz w:val="18"/>
          <w:szCs w:val="26"/>
          <w:rtl/>
          <w:lang/>
        </w:rPr>
        <w:t xml:space="preserve">التحقيق </w:t>
      </w:r>
      <w:r w:rsidRPr="00CE5BE5">
        <w:rPr>
          <w:rFonts w:cs="Traditional Arabic" w:hint="cs"/>
          <w:sz w:val="18"/>
          <w:szCs w:val="26"/>
          <w:rtl/>
          <w:lang/>
        </w:rPr>
        <w:t xml:space="preserve">كما طلب </w:t>
      </w:r>
      <w:r w:rsidRPr="00CE5BE5">
        <w:rPr>
          <w:rStyle w:val="hps"/>
          <w:rFonts w:cs="Traditional Arabic"/>
          <w:sz w:val="18"/>
          <w:szCs w:val="26"/>
          <w:rtl/>
          <w:lang/>
        </w:rPr>
        <w:t>القاضي</w:t>
      </w:r>
      <w:r w:rsidRPr="00CE5BE5">
        <w:rPr>
          <w:rFonts w:cs="Traditional Arabic" w:hint="cs"/>
          <w:sz w:val="18"/>
          <w:szCs w:val="26"/>
          <w:rtl/>
          <w:lang/>
        </w:rPr>
        <w:t xml:space="preserve">، أعيد المحتجزان في مناسبات عدة إلى دائرة فرقة </w:t>
      </w:r>
      <w:r w:rsidRPr="00CE5BE5">
        <w:rPr>
          <w:rStyle w:val="hps"/>
          <w:rFonts w:cs="Traditional Arabic"/>
          <w:sz w:val="18"/>
          <w:szCs w:val="26"/>
          <w:rtl/>
          <w:lang/>
        </w:rPr>
        <w:t>مكافحة المخدرات</w:t>
      </w:r>
      <w:r w:rsidRPr="00CE5BE5">
        <w:rPr>
          <w:rStyle w:val="hps"/>
          <w:rFonts w:cs="Traditional Arabic" w:hint="cs"/>
          <w:sz w:val="18"/>
          <w:szCs w:val="26"/>
          <w:rtl/>
          <w:lang/>
        </w:rPr>
        <w:t xml:space="preserve"> بمنطقة الكبارية</w:t>
      </w:r>
      <w:r w:rsidRPr="00CE5BE5">
        <w:rPr>
          <w:rFonts w:cs="Traditional Arabic"/>
          <w:sz w:val="18"/>
          <w:szCs w:val="26"/>
          <w:rtl/>
          <w:lang/>
        </w:rPr>
        <w:t xml:space="preserve">، </w:t>
      </w:r>
      <w:r w:rsidRPr="00CE5BE5">
        <w:rPr>
          <w:rStyle w:val="hps"/>
          <w:rFonts w:cs="Traditional Arabic"/>
          <w:sz w:val="18"/>
          <w:szCs w:val="26"/>
          <w:rtl/>
          <w:lang/>
        </w:rPr>
        <w:t>حيث تعرضا للتعذيب</w:t>
      </w:r>
      <w:r w:rsidRPr="00CE5BE5">
        <w:rPr>
          <w:rFonts w:cs="Traditional Arabic"/>
          <w:sz w:val="18"/>
          <w:szCs w:val="26"/>
          <w:rtl/>
          <w:lang/>
        </w:rPr>
        <w:t xml:space="preserve"> </w:t>
      </w:r>
      <w:r w:rsidRPr="00CE5BE5">
        <w:rPr>
          <w:rStyle w:val="hps"/>
          <w:rFonts w:cs="Traditional Arabic"/>
          <w:sz w:val="18"/>
          <w:szCs w:val="26"/>
          <w:rtl/>
          <w:lang/>
        </w:rPr>
        <w:t>مرة أخرى.</w:t>
      </w:r>
      <w:r w:rsidRPr="00CE5BE5">
        <w:rPr>
          <w:rFonts w:cs="Traditional Arabic"/>
          <w:sz w:val="18"/>
          <w:szCs w:val="26"/>
          <w:rtl/>
          <w:lang/>
        </w:rPr>
        <w:t xml:space="preserve"> </w:t>
      </w:r>
      <w:r w:rsidRPr="00CE5BE5">
        <w:rPr>
          <w:rStyle w:val="hps"/>
          <w:rFonts w:cs="Traditional Arabic"/>
          <w:sz w:val="18"/>
          <w:szCs w:val="26"/>
          <w:rtl/>
          <w:lang/>
        </w:rPr>
        <w:t>و</w:t>
      </w:r>
      <w:r w:rsidRPr="00CE5BE5">
        <w:rPr>
          <w:rStyle w:val="hps"/>
          <w:rFonts w:cs="Traditional Arabic" w:hint="cs"/>
          <w:sz w:val="18"/>
          <w:szCs w:val="26"/>
          <w:rtl/>
          <w:lang/>
        </w:rPr>
        <w:t xml:space="preserve">صدر </w:t>
      </w:r>
      <w:r w:rsidRPr="00CE5BE5">
        <w:rPr>
          <w:rStyle w:val="hps"/>
          <w:rFonts w:cs="Traditional Arabic"/>
          <w:sz w:val="18"/>
          <w:szCs w:val="26"/>
          <w:rtl/>
          <w:lang/>
        </w:rPr>
        <w:t>حكم على</w:t>
      </w:r>
      <w:r w:rsidRPr="00CE5BE5">
        <w:rPr>
          <w:rFonts w:cs="Traditional Arabic"/>
          <w:sz w:val="18"/>
          <w:szCs w:val="26"/>
          <w:rtl/>
          <w:lang/>
        </w:rPr>
        <w:t xml:space="preserve"> </w:t>
      </w:r>
      <w:r w:rsidRPr="00CE5BE5">
        <w:rPr>
          <w:rStyle w:val="hps"/>
          <w:rFonts w:cs="Traditional Arabic" w:hint="cs"/>
          <w:sz w:val="18"/>
          <w:szCs w:val="26"/>
          <w:rtl/>
          <w:lang/>
        </w:rPr>
        <w:t>هذين الشخصين</w:t>
      </w:r>
      <w:r w:rsidRPr="00CE5BE5">
        <w:rPr>
          <w:rFonts w:cs="Traditional Arabic"/>
          <w:sz w:val="18"/>
          <w:szCs w:val="26"/>
          <w:rtl/>
          <w:lang/>
        </w:rPr>
        <w:t xml:space="preserve"> </w:t>
      </w:r>
      <w:r w:rsidRPr="00CE5BE5">
        <w:rPr>
          <w:rStyle w:val="hps"/>
          <w:rFonts w:cs="Traditional Arabic"/>
          <w:sz w:val="18"/>
          <w:szCs w:val="26"/>
          <w:rtl/>
          <w:lang/>
        </w:rPr>
        <w:t>في نهاية المطاف</w:t>
      </w:r>
      <w:r w:rsidRPr="00CE5BE5">
        <w:rPr>
          <w:rFonts w:cs="Traditional Arabic"/>
          <w:sz w:val="18"/>
          <w:szCs w:val="26"/>
          <w:rtl/>
          <w:lang/>
        </w:rPr>
        <w:t xml:space="preserve"> </w:t>
      </w:r>
      <w:r w:rsidRPr="00CE5BE5">
        <w:rPr>
          <w:rStyle w:val="hps"/>
          <w:rFonts w:cs="Traditional Arabic"/>
          <w:sz w:val="18"/>
          <w:szCs w:val="26"/>
          <w:rtl/>
          <w:lang/>
        </w:rPr>
        <w:t xml:space="preserve">بالسجن </w:t>
      </w:r>
      <w:r w:rsidRPr="00CE5BE5">
        <w:rPr>
          <w:rStyle w:val="hps"/>
          <w:rFonts w:cs="Traditional Arabic" w:hint="cs"/>
          <w:sz w:val="18"/>
          <w:szCs w:val="26"/>
          <w:rtl/>
          <w:lang/>
        </w:rPr>
        <w:t xml:space="preserve">المؤبد من </w:t>
      </w:r>
      <w:r w:rsidRPr="00CE5BE5">
        <w:rPr>
          <w:rStyle w:val="hps"/>
          <w:rFonts w:cs="Traditional Arabic"/>
          <w:sz w:val="18"/>
          <w:szCs w:val="26"/>
          <w:rtl/>
          <w:lang/>
        </w:rPr>
        <w:t>المحكمة</w:t>
      </w:r>
      <w:r w:rsidRPr="00CE5BE5">
        <w:rPr>
          <w:rFonts w:cs="Traditional Arabic"/>
          <w:sz w:val="18"/>
          <w:szCs w:val="26"/>
          <w:rtl/>
          <w:lang/>
        </w:rPr>
        <w:t xml:space="preserve"> </w:t>
      </w:r>
      <w:r w:rsidRPr="00CE5BE5">
        <w:rPr>
          <w:rStyle w:val="hps"/>
          <w:rFonts w:cs="Traditional Arabic"/>
          <w:sz w:val="18"/>
          <w:szCs w:val="26"/>
          <w:rtl/>
          <w:lang/>
        </w:rPr>
        <w:t>الابتدائية بتونس</w:t>
      </w:r>
      <w:r w:rsidRPr="00CE5BE5">
        <w:rPr>
          <w:rFonts w:cs="Traditional Arabic"/>
          <w:sz w:val="18"/>
          <w:szCs w:val="26"/>
          <w:rtl/>
          <w:lang/>
        </w:rPr>
        <w:t xml:space="preserve"> </w:t>
      </w:r>
      <w:r w:rsidRPr="00CE5BE5">
        <w:rPr>
          <w:rStyle w:val="hps"/>
          <w:rFonts w:cs="Traditional Arabic" w:hint="cs"/>
          <w:sz w:val="18"/>
          <w:szCs w:val="26"/>
          <w:rtl/>
          <w:lang/>
        </w:rPr>
        <w:t xml:space="preserve">التي كان يرأسها </w:t>
      </w:r>
      <w:r w:rsidRPr="00CE5BE5">
        <w:rPr>
          <w:rStyle w:val="hps"/>
          <w:rFonts w:cs="Traditional Arabic"/>
          <w:sz w:val="18"/>
          <w:szCs w:val="26"/>
          <w:rtl/>
          <w:lang/>
        </w:rPr>
        <w:t>القاضي</w:t>
      </w:r>
      <w:r w:rsidRPr="00CE5BE5">
        <w:rPr>
          <w:rFonts w:cs="Traditional Arabic"/>
          <w:sz w:val="18"/>
          <w:szCs w:val="26"/>
          <w:rtl/>
          <w:lang/>
        </w:rPr>
        <w:t xml:space="preserve"> </w:t>
      </w:r>
      <w:r w:rsidRPr="00CE5BE5">
        <w:rPr>
          <w:rStyle w:val="hps"/>
          <w:rFonts w:cs="Traditional Arabic"/>
          <w:sz w:val="18"/>
          <w:szCs w:val="26"/>
          <w:rtl/>
          <w:lang/>
        </w:rPr>
        <w:t>محرز</w:t>
      </w:r>
      <w:r w:rsidRPr="00CE5BE5">
        <w:rPr>
          <w:rFonts w:cs="Traditional Arabic"/>
          <w:sz w:val="18"/>
          <w:szCs w:val="26"/>
          <w:rtl/>
          <w:lang/>
        </w:rPr>
        <w:t xml:space="preserve"> </w:t>
      </w:r>
      <w:r w:rsidRPr="00CE5BE5">
        <w:rPr>
          <w:rStyle w:val="hps"/>
          <w:rFonts w:cs="Traditional Arabic"/>
          <w:sz w:val="18"/>
          <w:szCs w:val="26"/>
          <w:rtl/>
          <w:lang/>
        </w:rPr>
        <w:t>الهمامي</w:t>
      </w:r>
      <w:r w:rsidRPr="00CE5BE5">
        <w:rPr>
          <w:rFonts w:cs="Traditional Arabic"/>
          <w:sz w:val="18"/>
          <w:szCs w:val="26"/>
          <w:rtl/>
          <w:lang/>
        </w:rPr>
        <w:t xml:space="preserve"> </w:t>
      </w:r>
      <w:r w:rsidRPr="00CE5BE5">
        <w:rPr>
          <w:rStyle w:val="hps"/>
          <w:rFonts w:cs="Traditional Arabic"/>
          <w:sz w:val="18"/>
          <w:szCs w:val="26"/>
          <w:rtl/>
          <w:lang/>
        </w:rPr>
        <w:t>الذي</w:t>
      </w:r>
      <w:r w:rsidRPr="00CE5BE5">
        <w:rPr>
          <w:rFonts w:cs="Traditional Arabic"/>
          <w:sz w:val="18"/>
          <w:szCs w:val="26"/>
          <w:rtl/>
          <w:lang/>
        </w:rPr>
        <w:t xml:space="preserve"> </w:t>
      </w:r>
      <w:r w:rsidRPr="00CE5BE5">
        <w:rPr>
          <w:rStyle w:val="hps"/>
          <w:rFonts w:cs="Traditional Arabic" w:hint="cs"/>
          <w:sz w:val="18"/>
          <w:szCs w:val="26"/>
          <w:rtl/>
          <w:lang/>
        </w:rPr>
        <w:t>أعفي</w:t>
      </w:r>
      <w:r w:rsidRPr="00CE5BE5">
        <w:rPr>
          <w:rFonts w:cs="Traditional Arabic"/>
          <w:sz w:val="18"/>
          <w:szCs w:val="26"/>
          <w:rtl/>
          <w:lang/>
        </w:rPr>
        <w:t xml:space="preserve"> </w:t>
      </w:r>
      <w:r w:rsidRPr="00CE5BE5">
        <w:rPr>
          <w:rStyle w:val="hps"/>
          <w:rFonts w:cs="Traditional Arabic"/>
          <w:sz w:val="18"/>
          <w:szCs w:val="26"/>
          <w:rtl/>
          <w:lang/>
        </w:rPr>
        <w:t>من مهامه</w:t>
      </w:r>
      <w:r w:rsidRPr="00CE5BE5">
        <w:rPr>
          <w:rFonts w:cs="Traditional Arabic"/>
          <w:sz w:val="18"/>
          <w:szCs w:val="26"/>
          <w:rtl/>
          <w:lang/>
        </w:rPr>
        <w:t xml:space="preserve"> </w:t>
      </w:r>
      <w:r w:rsidRPr="00CE5BE5">
        <w:rPr>
          <w:rStyle w:val="hps"/>
          <w:rFonts w:cs="Traditional Arabic"/>
          <w:sz w:val="18"/>
          <w:szCs w:val="26"/>
          <w:rtl/>
          <w:lang/>
        </w:rPr>
        <w:t>بعد</w:t>
      </w:r>
      <w:r w:rsidRPr="00CE5BE5">
        <w:rPr>
          <w:rFonts w:cs="Traditional Arabic"/>
          <w:sz w:val="18"/>
          <w:szCs w:val="26"/>
          <w:rtl/>
          <w:lang/>
        </w:rPr>
        <w:t xml:space="preserve"> </w:t>
      </w:r>
      <w:r w:rsidRPr="00CE5BE5">
        <w:rPr>
          <w:rStyle w:val="hps"/>
          <w:rFonts w:cs="Traditional Arabic"/>
          <w:sz w:val="18"/>
          <w:szCs w:val="26"/>
          <w:rtl/>
          <w:lang/>
        </w:rPr>
        <w:t>الثورة.</w:t>
      </w:r>
      <w:r w:rsidRPr="00CE5BE5">
        <w:rPr>
          <w:rFonts w:cs="Traditional Arabic"/>
          <w:sz w:val="18"/>
          <w:szCs w:val="26"/>
          <w:rtl/>
          <w:lang/>
        </w:rPr>
        <w:t xml:space="preserve"> </w:t>
      </w:r>
      <w:r w:rsidRPr="00CE5BE5">
        <w:rPr>
          <w:rStyle w:val="hps"/>
          <w:rFonts w:cs="Traditional Arabic" w:hint="cs"/>
          <w:sz w:val="18"/>
          <w:szCs w:val="26"/>
          <w:rtl/>
          <w:lang/>
        </w:rPr>
        <w:t>وحينما أخبر السيد</w:t>
      </w:r>
      <w:r w:rsidRPr="00CE5BE5">
        <w:rPr>
          <w:rStyle w:val="hps"/>
          <w:rFonts w:cs="Traditional Arabic"/>
          <w:sz w:val="18"/>
          <w:szCs w:val="26"/>
          <w:rtl/>
          <w:lang/>
        </w:rPr>
        <w:t xml:space="preserve"> محمد</w:t>
      </w:r>
      <w:r w:rsidRPr="00CE5BE5">
        <w:rPr>
          <w:rFonts w:cs="Traditional Arabic"/>
          <w:sz w:val="18"/>
          <w:szCs w:val="26"/>
          <w:rtl/>
          <w:lang/>
        </w:rPr>
        <w:t xml:space="preserve"> </w:t>
      </w:r>
      <w:r w:rsidRPr="00CE5BE5">
        <w:rPr>
          <w:rStyle w:val="hps"/>
          <w:rFonts w:cs="Traditional Arabic" w:hint="cs"/>
          <w:sz w:val="18"/>
          <w:szCs w:val="26"/>
          <w:rtl/>
          <w:lang/>
        </w:rPr>
        <w:t>جلوالي</w:t>
      </w:r>
      <w:r w:rsidRPr="00CE5BE5">
        <w:rPr>
          <w:rFonts w:cs="Traditional Arabic"/>
          <w:sz w:val="18"/>
          <w:szCs w:val="26"/>
          <w:rtl/>
          <w:lang/>
        </w:rPr>
        <w:t xml:space="preserve"> </w:t>
      </w:r>
      <w:r w:rsidRPr="00CE5BE5">
        <w:rPr>
          <w:rStyle w:val="hps"/>
          <w:rFonts w:cs="Traditional Arabic"/>
          <w:sz w:val="18"/>
          <w:szCs w:val="26"/>
          <w:rtl/>
          <w:lang/>
        </w:rPr>
        <w:t>قاضي التحقيق</w:t>
      </w:r>
      <w:r w:rsidRPr="00CE5BE5">
        <w:rPr>
          <w:rFonts w:cs="Traditional Arabic"/>
          <w:sz w:val="18"/>
          <w:szCs w:val="26"/>
          <w:rtl/>
          <w:lang/>
        </w:rPr>
        <w:t xml:space="preserve"> </w:t>
      </w:r>
      <w:r w:rsidRPr="00CE5BE5">
        <w:rPr>
          <w:rStyle w:val="hps"/>
          <w:rFonts w:cs="Traditional Arabic" w:hint="cs"/>
          <w:sz w:val="18"/>
          <w:szCs w:val="26"/>
          <w:rtl/>
          <w:lang/>
        </w:rPr>
        <w:t>ب</w:t>
      </w:r>
      <w:r w:rsidRPr="00CE5BE5">
        <w:rPr>
          <w:rStyle w:val="hps"/>
          <w:rFonts w:cs="Traditional Arabic"/>
          <w:sz w:val="18"/>
          <w:szCs w:val="26"/>
          <w:rtl/>
          <w:lang/>
        </w:rPr>
        <w:t>التعذيب الذي</w:t>
      </w:r>
      <w:r w:rsidRPr="00CE5BE5">
        <w:rPr>
          <w:rFonts w:cs="Traditional Arabic"/>
          <w:sz w:val="18"/>
          <w:szCs w:val="26"/>
          <w:rtl/>
          <w:lang/>
        </w:rPr>
        <w:t xml:space="preserve"> </w:t>
      </w:r>
      <w:r w:rsidRPr="00CE5BE5">
        <w:rPr>
          <w:rStyle w:val="hps"/>
          <w:rFonts w:cs="Traditional Arabic"/>
          <w:sz w:val="18"/>
          <w:szCs w:val="26"/>
          <w:rtl/>
          <w:lang/>
        </w:rPr>
        <w:t>تعرض له</w:t>
      </w:r>
      <w:r w:rsidRPr="00CE5BE5">
        <w:rPr>
          <w:rFonts w:cs="Traditional Arabic"/>
          <w:sz w:val="18"/>
          <w:szCs w:val="26"/>
          <w:rtl/>
          <w:lang/>
        </w:rPr>
        <w:t xml:space="preserve">، رد </w:t>
      </w:r>
      <w:r w:rsidRPr="00CE5BE5">
        <w:rPr>
          <w:rFonts w:cs="Traditional Arabic" w:hint="cs"/>
          <w:sz w:val="18"/>
          <w:szCs w:val="26"/>
          <w:rtl/>
          <w:lang/>
        </w:rPr>
        <w:t xml:space="preserve">عليه القاضي </w:t>
      </w:r>
      <w:r w:rsidRPr="00CE5BE5">
        <w:rPr>
          <w:rStyle w:val="hps"/>
          <w:rFonts w:cs="Traditional Arabic"/>
          <w:sz w:val="18"/>
          <w:szCs w:val="26"/>
          <w:rtl/>
          <w:lang/>
        </w:rPr>
        <w:t xml:space="preserve">بأنه </w:t>
      </w:r>
      <w:r w:rsidRPr="00CE5BE5">
        <w:rPr>
          <w:rStyle w:val="hps"/>
          <w:rFonts w:cs="Traditional Arabic" w:hint="cs"/>
          <w:sz w:val="18"/>
          <w:szCs w:val="26"/>
          <w:rtl/>
          <w:lang/>
        </w:rPr>
        <w:t>"</w:t>
      </w:r>
      <w:r w:rsidRPr="00CE5BE5">
        <w:rPr>
          <w:rStyle w:val="hps"/>
          <w:rFonts w:cs="Traditional Arabic"/>
          <w:sz w:val="18"/>
          <w:szCs w:val="26"/>
          <w:rtl/>
          <w:lang/>
        </w:rPr>
        <w:t>يستحق</w:t>
      </w:r>
      <w:r w:rsidRPr="00CE5BE5">
        <w:rPr>
          <w:rFonts w:cs="Traditional Arabic"/>
          <w:sz w:val="18"/>
          <w:szCs w:val="26"/>
          <w:rtl/>
          <w:lang/>
        </w:rPr>
        <w:t xml:space="preserve"> </w:t>
      </w:r>
      <w:r w:rsidRPr="00CE5BE5">
        <w:rPr>
          <w:rStyle w:val="hps"/>
          <w:rFonts w:cs="Traditional Arabic"/>
          <w:sz w:val="18"/>
          <w:szCs w:val="26"/>
          <w:rtl/>
          <w:lang/>
        </w:rPr>
        <w:t>ما</w:t>
      </w:r>
      <w:r w:rsidRPr="00CE5BE5">
        <w:rPr>
          <w:rFonts w:cs="Traditional Arabic"/>
          <w:sz w:val="18"/>
          <w:szCs w:val="26"/>
          <w:rtl/>
          <w:lang/>
        </w:rPr>
        <w:t xml:space="preserve"> </w:t>
      </w:r>
      <w:r w:rsidRPr="00CE5BE5">
        <w:rPr>
          <w:rStyle w:val="hps"/>
          <w:rFonts w:cs="Traditional Arabic" w:hint="cs"/>
          <w:sz w:val="18"/>
          <w:szCs w:val="26"/>
          <w:rtl/>
          <w:lang/>
        </w:rPr>
        <w:t>جرى له"</w:t>
      </w:r>
      <w:r w:rsidRPr="00CE5BE5">
        <w:rPr>
          <w:rFonts w:cs="Traditional Arabic"/>
          <w:sz w:val="18"/>
          <w:szCs w:val="26"/>
          <w:rtl/>
          <w:lang/>
        </w:rPr>
        <w:t xml:space="preserve">. </w:t>
      </w:r>
      <w:r w:rsidRPr="00CE5BE5">
        <w:rPr>
          <w:rStyle w:val="hps"/>
          <w:rFonts w:cs="Traditional Arabic" w:hint="cs"/>
          <w:sz w:val="18"/>
          <w:szCs w:val="26"/>
          <w:rtl/>
          <w:lang/>
        </w:rPr>
        <w:t>واستطاع الطبيب الذي التقى به السيد</w:t>
      </w:r>
      <w:r w:rsidRPr="00CE5BE5">
        <w:rPr>
          <w:rFonts w:cs="Traditional Arabic"/>
          <w:sz w:val="18"/>
          <w:szCs w:val="26"/>
          <w:rtl/>
          <w:lang/>
        </w:rPr>
        <w:t xml:space="preserve"> </w:t>
      </w:r>
      <w:r w:rsidRPr="00CE5BE5">
        <w:rPr>
          <w:rStyle w:val="hps"/>
          <w:rFonts w:cs="Traditional Arabic"/>
          <w:sz w:val="18"/>
          <w:szCs w:val="26"/>
          <w:rtl/>
          <w:lang/>
        </w:rPr>
        <w:t>محمد</w:t>
      </w:r>
      <w:r w:rsidRPr="00CE5BE5">
        <w:rPr>
          <w:rFonts w:cs="Traditional Arabic"/>
          <w:sz w:val="18"/>
          <w:szCs w:val="26"/>
          <w:rtl/>
          <w:lang/>
        </w:rPr>
        <w:t xml:space="preserve"> </w:t>
      </w:r>
      <w:r w:rsidRPr="00CE5BE5">
        <w:rPr>
          <w:rStyle w:val="hps"/>
          <w:rFonts w:cs="Traditional Arabic"/>
          <w:sz w:val="18"/>
          <w:szCs w:val="26"/>
          <w:rtl/>
          <w:lang/>
        </w:rPr>
        <w:t>زايد</w:t>
      </w:r>
      <w:r w:rsidRPr="00CE5BE5">
        <w:rPr>
          <w:rFonts w:cs="Traditional Arabic"/>
          <w:sz w:val="18"/>
          <w:szCs w:val="26"/>
          <w:rtl/>
          <w:lang/>
        </w:rPr>
        <w:t xml:space="preserve"> </w:t>
      </w:r>
      <w:r w:rsidRPr="00CE5BE5">
        <w:rPr>
          <w:rStyle w:val="hps"/>
          <w:rFonts w:cs="Traditional Arabic" w:hint="cs"/>
          <w:sz w:val="18"/>
          <w:szCs w:val="26"/>
          <w:rtl/>
          <w:lang/>
        </w:rPr>
        <w:t>لدى وصوله</w:t>
      </w:r>
      <w:r w:rsidRPr="00CE5BE5">
        <w:rPr>
          <w:rFonts w:cs="Traditional Arabic"/>
          <w:sz w:val="18"/>
          <w:szCs w:val="26"/>
          <w:rtl/>
          <w:lang/>
        </w:rPr>
        <w:t xml:space="preserve"> إلى </w:t>
      </w:r>
      <w:r w:rsidRPr="00CE5BE5">
        <w:rPr>
          <w:rStyle w:val="hps"/>
          <w:rFonts w:cs="Traditional Arabic"/>
          <w:sz w:val="18"/>
          <w:szCs w:val="26"/>
          <w:rtl/>
          <w:lang/>
        </w:rPr>
        <w:t>سجن المرناقية</w:t>
      </w:r>
      <w:r w:rsidRPr="00CE5BE5">
        <w:rPr>
          <w:rStyle w:val="hps"/>
          <w:rFonts w:cs="Traditional Arabic" w:hint="cs"/>
          <w:sz w:val="18"/>
          <w:szCs w:val="26"/>
          <w:rtl/>
          <w:lang/>
        </w:rPr>
        <w:t xml:space="preserve"> إقناعه بالعدول عن الحديث عن التعذيب الذي تعرض له. ويعاني السيدان</w:t>
      </w:r>
      <w:r w:rsidRPr="00CE5BE5">
        <w:rPr>
          <w:rFonts w:cs="Traditional Arabic"/>
          <w:sz w:val="18"/>
          <w:szCs w:val="26"/>
          <w:rtl/>
          <w:lang/>
        </w:rPr>
        <w:t xml:space="preserve"> </w:t>
      </w:r>
      <w:r w:rsidRPr="00CE5BE5">
        <w:rPr>
          <w:rStyle w:val="hps"/>
          <w:rFonts w:cs="Traditional Arabic"/>
          <w:sz w:val="18"/>
          <w:szCs w:val="26"/>
          <w:rtl/>
          <w:lang/>
        </w:rPr>
        <w:t>محمد</w:t>
      </w:r>
      <w:r w:rsidRPr="00CE5BE5">
        <w:rPr>
          <w:rFonts w:cs="Traditional Arabic"/>
          <w:sz w:val="18"/>
          <w:szCs w:val="26"/>
          <w:rtl/>
          <w:lang/>
        </w:rPr>
        <w:t xml:space="preserve"> </w:t>
      </w:r>
      <w:r w:rsidRPr="00CE5BE5">
        <w:rPr>
          <w:rStyle w:val="hps"/>
          <w:rFonts w:cs="Traditional Arabic"/>
          <w:sz w:val="18"/>
          <w:szCs w:val="26"/>
          <w:rtl/>
          <w:lang/>
        </w:rPr>
        <w:t>زايد</w:t>
      </w:r>
      <w:r w:rsidRPr="00CE5BE5">
        <w:rPr>
          <w:rFonts w:cs="Traditional Arabic"/>
          <w:sz w:val="18"/>
          <w:szCs w:val="26"/>
          <w:rtl/>
          <w:lang/>
        </w:rPr>
        <w:t xml:space="preserve"> </w:t>
      </w:r>
      <w:r w:rsidRPr="00CE5BE5">
        <w:rPr>
          <w:rStyle w:val="hps"/>
          <w:rFonts w:cs="Traditional Arabic"/>
          <w:sz w:val="18"/>
          <w:szCs w:val="26"/>
          <w:rtl/>
          <w:lang/>
        </w:rPr>
        <w:t>و</w:t>
      </w:r>
      <w:r w:rsidRPr="00CE5BE5">
        <w:rPr>
          <w:rFonts w:cs="Traditional Arabic"/>
          <w:sz w:val="18"/>
          <w:szCs w:val="26"/>
          <w:rtl/>
          <w:lang/>
        </w:rPr>
        <w:t xml:space="preserve">محمد </w:t>
      </w:r>
      <w:r w:rsidRPr="00CE5BE5">
        <w:rPr>
          <w:rStyle w:val="hps"/>
          <w:rFonts w:cs="Traditional Arabic" w:hint="cs"/>
          <w:sz w:val="18"/>
          <w:szCs w:val="26"/>
          <w:rtl/>
          <w:lang/>
        </w:rPr>
        <w:t>جلوالي</w:t>
      </w:r>
      <w:r w:rsidRPr="00CE5BE5">
        <w:rPr>
          <w:rStyle w:val="hps"/>
          <w:rFonts w:cs="Traditional Arabic"/>
          <w:sz w:val="18"/>
          <w:szCs w:val="26"/>
          <w:rtl/>
          <w:lang/>
        </w:rPr>
        <w:t xml:space="preserve"> </w:t>
      </w:r>
      <w:r w:rsidRPr="00CE5BE5">
        <w:rPr>
          <w:rStyle w:val="hps"/>
          <w:rFonts w:cs="Traditional Arabic" w:hint="cs"/>
          <w:sz w:val="18"/>
          <w:szCs w:val="26"/>
          <w:rtl/>
          <w:lang/>
        </w:rPr>
        <w:t>أضراراً جسدية ونفسية خطيرة نجمت</w:t>
      </w:r>
      <w:r w:rsidRPr="00CE5BE5">
        <w:rPr>
          <w:rFonts w:cs="Traditional Arabic"/>
          <w:sz w:val="18"/>
          <w:szCs w:val="26"/>
          <w:rtl/>
          <w:lang/>
        </w:rPr>
        <w:t xml:space="preserve"> عن </w:t>
      </w:r>
      <w:r w:rsidRPr="00CE5BE5">
        <w:rPr>
          <w:rStyle w:val="hps"/>
          <w:rFonts w:cs="Traditional Arabic"/>
          <w:sz w:val="18"/>
          <w:szCs w:val="26"/>
          <w:rtl/>
          <w:lang/>
        </w:rPr>
        <w:t>التعذيب الذي</w:t>
      </w:r>
      <w:r w:rsidRPr="00CE5BE5">
        <w:rPr>
          <w:rFonts w:cs="Traditional Arabic"/>
          <w:sz w:val="18"/>
          <w:szCs w:val="26"/>
          <w:rtl/>
          <w:lang/>
        </w:rPr>
        <w:t xml:space="preserve"> </w:t>
      </w:r>
      <w:r w:rsidRPr="00CE5BE5">
        <w:rPr>
          <w:rStyle w:val="hps"/>
          <w:rFonts w:cs="Traditional Arabic"/>
          <w:sz w:val="18"/>
          <w:szCs w:val="26"/>
          <w:rtl/>
          <w:lang/>
        </w:rPr>
        <w:t>تعرضا له.</w:t>
      </w:r>
    </w:p>
  </w:footnote>
  <w:footnote w:id="149">
    <w:p w:rsidR="00F815BA" w:rsidRPr="00CE5BE5" w:rsidRDefault="00F815BA" w:rsidP="00F40A83">
      <w:pPr>
        <w:pStyle w:val="FootnoteText"/>
        <w:numPr>
          <w:ilvl w:val="0"/>
          <w:numId w:val="0"/>
        </w:numPr>
        <w:tabs>
          <w:tab w:val="left" w:pos="1240"/>
        </w:tabs>
        <w:bidi/>
        <w:spacing w:after="60" w:line="300" w:lineRule="exact"/>
        <w:ind w:left="1226" w:right="1247" w:hanging="448"/>
        <w:jc w:val="lowKashida"/>
        <w:rPr>
          <w:rFonts w:cs="Traditional Arabic"/>
          <w:sz w:val="18"/>
          <w:szCs w:val="26"/>
        </w:rPr>
      </w:pPr>
      <w:r w:rsidRPr="0077398F">
        <w:rPr>
          <w:rFonts w:cs="Traditional Arabic" w:hint="cs"/>
          <w:sz w:val="26"/>
          <w:szCs w:val="26"/>
          <w:rtl/>
        </w:rPr>
        <w:t>(</w:t>
      </w:r>
      <w:r>
        <w:rPr>
          <w:rFonts w:cs="Traditional Arabic" w:hint="cs"/>
          <w:sz w:val="26"/>
          <w:szCs w:val="26"/>
          <w:rtl/>
        </w:rPr>
        <w:t>ض</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sz w:val="18"/>
          <w:szCs w:val="26"/>
          <w:rtl/>
          <w:lang/>
        </w:rPr>
        <w:t>انظر البلاغ رقم</w:t>
      </w:r>
      <w:r w:rsidRPr="00CE5BE5">
        <w:rPr>
          <w:rFonts w:cs="Traditional Arabic"/>
          <w:sz w:val="18"/>
          <w:szCs w:val="26"/>
          <w:rtl/>
          <w:lang/>
        </w:rPr>
        <w:t xml:space="preserve"> </w:t>
      </w:r>
      <w:r w:rsidRPr="00CE5BE5">
        <w:rPr>
          <w:rStyle w:val="hps"/>
          <w:rFonts w:cs="Traditional Arabic"/>
          <w:sz w:val="18"/>
          <w:szCs w:val="26"/>
          <w:rtl/>
          <w:lang/>
        </w:rPr>
        <w:t>215/2002</w:t>
      </w:r>
      <w:r w:rsidRPr="00CE5BE5">
        <w:rPr>
          <w:rFonts w:cs="Traditional Arabic"/>
          <w:sz w:val="18"/>
          <w:szCs w:val="26"/>
          <w:rtl/>
          <w:lang/>
        </w:rPr>
        <w:t>،</w:t>
      </w:r>
      <w:r w:rsidRPr="00CE5BE5">
        <w:rPr>
          <w:rFonts w:cs="Traditional Arabic" w:hint="cs"/>
          <w:sz w:val="18"/>
          <w:szCs w:val="26"/>
          <w:rtl/>
          <w:lang/>
        </w:rPr>
        <w:t xml:space="preserve"> </w:t>
      </w:r>
      <w:r w:rsidRPr="00CE5BE5">
        <w:rPr>
          <w:rFonts w:cs="Traditional Arabic" w:hint="cs"/>
          <w:i/>
          <w:iCs/>
          <w:sz w:val="18"/>
          <w:szCs w:val="26"/>
          <w:rtl/>
          <w:lang/>
        </w:rPr>
        <w:t>م.</w:t>
      </w:r>
      <w:r w:rsidRPr="00CE5BE5">
        <w:rPr>
          <w:rFonts w:cs="Traditional Arabic"/>
          <w:i/>
          <w:iCs/>
          <w:sz w:val="18"/>
          <w:szCs w:val="26"/>
          <w:rtl/>
          <w:lang/>
        </w:rPr>
        <w:t xml:space="preserve"> </w:t>
      </w:r>
      <w:r w:rsidRPr="00CE5BE5">
        <w:rPr>
          <w:rStyle w:val="hps"/>
          <w:rFonts w:cs="Traditional Arabic" w:hint="cs"/>
          <w:i/>
          <w:iCs/>
          <w:sz w:val="18"/>
          <w:szCs w:val="26"/>
          <w:rtl/>
          <w:lang/>
        </w:rPr>
        <w:t xml:space="preserve">أ. غ. ف. </w:t>
      </w:r>
      <w:r w:rsidRPr="00CE5BE5">
        <w:rPr>
          <w:rStyle w:val="hps"/>
          <w:rFonts w:cs="Traditional Arabic"/>
          <w:i/>
          <w:iCs/>
          <w:sz w:val="18"/>
          <w:szCs w:val="26"/>
          <w:rtl/>
          <w:lang/>
        </w:rPr>
        <w:t>ضد السويد</w:t>
      </w:r>
      <w:r w:rsidRPr="00CE5BE5">
        <w:rPr>
          <w:rFonts w:cs="Traditional Arabic"/>
          <w:sz w:val="18"/>
          <w:szCs w:val="26"/>
          <w:rtl/>
          <w:lang/>
        </w:rPr>
        <w:t>، ال</w:t>
      </w:r>
      <w:r w:rsidRPr="00CE5BE5">
        <w:rPr>
          <w:rFonts w:cs="Traditional Arabic" w:hint="cs"/>
          <w:sz w:val="18"/>
          <w:szCs w:val="26"/>
          <w:rtl/>
          <w:lang/>
        </w:rPr>
        <w:t>قرار</w:t>
      </w:r>
      <w:r w:rsidRPr="00CE5BE5">
        <w:rPr>
          <w:rFonts w:cs="Traditional Arabic"/>
          <w:sz w:val="18"/>
          <w:szCs w:val="26"/>
          <w:rtl/>
          <w:lang/>
        </w:rPr>
        <w:t xml:space="preserve"> المعتمد في </w:t>
      </w:r>
      <w:r w:rsidRPr="00CE5BE5">
        <w:rPr>
          <w:rStyle w:val="hps"/>
          <w:rFonts w:cs="Traditional Arabic"/>
          <w:sz w:val="18"/>
          <w:szCs w:val="26"/>
          <w:rtl/>
          <w:lang/>
        </w:rPr>
        <w:t xml:space="preserve">11 </w:t>
      </w:r>
      <w:r w:rsidRPr="00CE5BE5">
        <w:rPr>
          <w:rStyle w:val="hps"/>
          <w:rFonts w:cs="Traditional Arabic" w:hint="cs"/>
          <w:sz w:val="18"/>
          <w:szCs w:val="26"/>
          <w:rtl/>
          <w:lang/>
        </w:rPr>
        <w:t>تشرين الثاني/</w:t>
      </w:r>
      <w:r w:rsidRPr="00CE5BE5">
        <w:rPr>
          <w:rStyle w:val="hps"/>
          <w:rFonts w:cs="Traditional Arabic"/>
          <w:sz w:val="18"/>
          <w:szCs w:val="26"/>
          <w:rtl/>
          <w:lang/>
        </w:rPr>
        <w:t>نوفمبر 2003</w:t>
      </w:r>
      <w:r w:rsidRPr="00CE5BE5">
        <w:rPr>
          <w:rFonts w:cs="Traditional Arabic"/>
          <w:sz w:val="18"/>
          <w:szCs w:val="26"/>
          <w:rtl/>
          <w:lang/>
        </w:rPr>
        <w:t xml:space="preserve">، الفقرة </w:t>
      </w:r>
      <w:r w:rsidRPr="00CE5BE5">
        <w:rPr>
          <w:rStyle w:val="hps"/>
          <w:rFonts w:cs="Traditional Arabic"/>
          <w:sz w:val="18"/>
          <w:szCs w:val="26"/>
          <w:rtl/>
          <w:lang/>
        </w:rPr>
        <w:t>6</w:t>
      </w:r>
      <w:r w:rsidRPr="00CE5BE5">
        <w:rPr>
          <w:rStyle w:val="hps"/>
          <w:rFonts w:cs="Traditional Arabic" w:hint="cs"/>
          <w:sz w:val="18"/>
          <w:szCs w:val="26"/>
          <w:rtl/>
          <w:lang/>
        </w:rPr>
        <w:t>-</w:t>
      </w:r>
      <w:r w:rsidRPr="00CE5BE5">
        <w:rPr>
          <w:rStyle w:val="hps"/>
          <w:rFonts w:cs="Traditional Arabic"/>
          <w:sz w:val="18"/>
          <w:szCs w:val="26"/>
          <w:rtl/>
          <w:lang/>
        </w:rPr>
        <w:t>1</w:t>
      </w:r>
      <w:r w:rsidRPr="00CE5BE5">
        <w:rPr>
          <w:rFonts w:cs="Traditional Arabic"/>
          <w:sz w:val="18"/>
          <w:szCs w:val="26"/>
          <w:rtl/>
          <w:lang/>
        </w:rPr>
        <w:t>.</w:t>
      </w:r>
    </w:p>
  </w:footnote>
  <w:footnote w:id="150">
    <w:p w:rsidR="00F815BA" w:rsidRPr="00CE5BE5" w:rsidRDefault="00F815BA" w:rsidP="00F40A83">
      <w:pPr>
        <w:pStyle w:val="FootnoteText"/>
        <w:numPr>
          <w:ilvl w:val="0"/>
          <w:numId w:val="0"/>
        </w:numPr>
        <w:tabs>
          <w:tab w:val="left" w:pos="1240"/>
        </w:tabs>
        <w:bidi/>
        <w:spacing w:after="60" w:line="300" w:lineRule="exact"/>
        <w:ind w:left="1226" w:right="1247" w:hanging="448"/>
        <w:jc w:val="lowKashida"/>
        <w:rPr>
          <w:rFonts w:cs="Traditional Arabic"/>
          <w:sz w:val="18"/>
          <w:szCs w:val="26"/>
        </w:rPr>
      </w:pPr>
      <w:r w:rsidRPr="0077398F">
        <w:rPr>
          <w:rFonts w:cs="Traditional Arabic" w:hint="cs"/>
          <w:sz w:val="26"/>
          <w:szCs w:val="26"/>
          <w:rtl/>
        </w:rPr>
        <w:t>(</w:t>
      </w:r>
      <w:r>
        <w:rPr>
          <w:rFonts w:cs="Traditional Arabic" w:hint="cs"/>
          <w:sz w:val="26"/>
          <w:szCs w:val="26"/>
          <w:rtl/>
        </w:rPr>
        <w:t>أأ</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sz w:val="18"/>
          <w:szCs w:val="26"/>
          <w:rtl/>
          <w:lang/>
        </w:rPr>
        <w:t>انظر البلاغ رقم</w:t>
      </w:r>
      <w:r w:rsidRPr="00CE5BE5">
        <w:rPr>
          <w:rFonts w:cs="Traditional Arabic"/>
          <w:sz w:val="18"/>
          <w:szCs w:val="26"/>
          <w:rtl/>
          <w:lang/>
        </w:rPr>
        <w:t xml:space="preserve"> </w:t>
      </w:r>
      <w:r w:rsidRPr="00CE5BE5">
        <w:rPr>
          <w:rStyle w:val="hps"/>
          <w:rFonts w:cs="Traditional Arabic"/>
          <w:sz w:val="18"/>
          <w:szCs w:val="26"/>
          <w:rtl/>
          <w:lang/>
        </w:rPr>
        <w:t>428/2010</w:t>
      </w:r>
      <w:r w:rsidRPr="00CE5BE5">
        <w:rPr>
          <w:rFonts w:cs="Traditional Arabic"/>
          <w:sz w:val="18"/>
          <w:szCs w:val="26"/>
          <w:rtl/>
          <w:lang/>
        </w:rPr>
        <w:t xml:space="preserve">، </w:t>
      </w:r>
      <w:r w:rsidRPr="00CE5BE5">
        <w:rPr>
          <w:rFonts w:cs="Traditional Arabic" w:hint="cs"/>
          <w:i/>
          <w:iCs/>
          <w:sz w:val="18"/>
          <w:szCs w:val="26"/>
          <w:rtl/>
          <w:lang/>
        </w:rPr>
        <w:t>كالينيتشنكو ضد المغرب</w:t>
      </w:r>
      <w:r w:rsidRPr="00CE5BE5">
        <w:rPr>
          <w:rFonts w:cs="Traditional Arabic"/>
          <w:sz w:val="18"/>
          <w:szCs w:val="26"/>
          <w:rtl/>
          <w:lang/>
        </w:rPr>
        <w:t xml:space="preserve">، الفقرة </w:t>
      </w:r>
      <w:r w:rsidRPr="00CE5BE5">
        <w:rPr>
          <w:rStyle w:val="hps"/>
          <w:rFonts w:cs="Traditional Arabic"/>
          <w:sz w:val="18"/>
          <w:szCs w:val="26"/>
          <w:rtl/>
          <w:lang/>
        </w:rPr>
        <w:t>15</w:t>
      </w:r>
      <w:r w:rsidRPr="00CE5BE5">
        <w:rPr>
          <w:rStyle w:val="hps"/>
          <w:rFonts w:cs="Traditional Arabic" w:hint="cs"/>
          <w:sz w:val="18"/>
          <w:szCs w:val="26"/>
          <w:rtl/>
          <w:lang/>
        </w:rPr>
        <w:t>-</w:t>
      </w:r>
      <w:r w:rsidRPr="00CE5BE5">
        <w:rPr>
          <w:rStyle w:val="hps"/>
          <w:rFonts w:cs="Traditional Arabic"/>
          <w:sz w:val="18"/>
          <w:szCs w:val="26"/>
          <w:rtl/>
          <w:lang/>
        </w:rPr>
        <w:t>2</w:t>
      </w:r>
      <w:r w:rsidRPr="00CE5BE5">
        <w:rPr>
          <w:rFonts w:cs="Traditional Arabic" w:hint="cs"/>
          <w:sz w:val="18"/>
          <w:szCs w:val="26"/>
          <w:rtl/>
          <w:lang/>
        </w:rPr>
        <w:t xml:space="preserve">؛ </w:t>
      </w:r>
      <w:r w:rsidRPr="00CE5BE5">
        <w:rPr>
          <w:rStyle w:val="hps"/>
          <w:rFonts w:cs="Traditional Arabic"/>
          <w:sz w:val="18"/>
          <w:szCs w:val="26"/>
          <w:rtl/>
          <w:lang/>
        </w:rPr>
        <w:t>و</w:t>
      </w:r>
      <w:r w:rsidRPr="00CE5BE5">
        <w:rPr>
          <w:rFonts w:cs="Traditional Arabic"/>
          <w:sz w:val="18"/>
          <w:szCs w:val="26"/>
          <w:rtl/>
          <w:lang/>
        </w:rPr>
        <w:t xml:space="preserve">البلاغ رقم </w:t>
      </w:r>
      <w:r w:rsidRPr="00CE5BE5">
        <w:rPr>
          <w:rStyle w:val="hps"/>
          <w:rFonts w:cs="Traditional Arabic"/>
          <w:sz w:val="18"/>
          <w:szCs w:val="26"/>
          <w:rtl/>
          <w:lang/>
        </w:rPr>
        <w:t>233/2003</w:t>
      </w:r>
      <w:r w:rsidRPr="00CE5BE5">
        <w:rPr>
          <w:rFonts w:cs="Traditional Arabic"/>
          <w:sz w:val="18"/>
          <w:szCs w:val="26"/>
          <w:rtl/>
          <w:lang/>
        </w:rPr>
        <w:t xml:space="preserve">، </w:t>
      </w:r>
      <w:r w:rsidRPr="00CE5BE5">
        <w:rPr>
          <w:rStyle w:val="hps"/>
          <w:rFonts w:cs="Traditional Arabic"/>
          <w:i/>
          <w:iCs/>
          <w:sz w:val="18"/>
          <w:szCs w:val="26"/>
          <w:rtl/>
          <w:lang/>
        </w:rPr>
        <w:t>عجيزة</w:t>
      </w:r>
      <w:r w:rsidRPr="00CE5BE5">
        <w:rPr>
          <w:rFonts w:cs="Traditional Arabic"/>
          <w:i/>
          <w:iCs/>
          <w:sz w:val="18"/>
          <w:szCs w:val="26"/>
          <w:rtl/>
          <w:lang/>
        </w:rPr>
        <w:t xml:space="preserve"> </w:t>
      </w:r>
      <w:r w:rsidRPr="00CE5BE5">
        <w:rPr>
          <w:rStyle w:val="hps"/>
          <w:rFonts w:cs="Traditional Arabic"/>
          <w:i/>
          <w:iCs/>
          <w:sz w:val="18"/>
          <w:szCs w:val="26"/>
          <w:rtl/>
          <w:lang/>
        </w:rPr>
        <w:t>ضد السويد</w:t>
      </w:r>
      <w:r w:rsidRPr="00CE5BE5">
        <w:rPr>
          <w:rFonts w:cs="Traditional Arabic"/>
          <w:sz w:val="18"/>
          <w:szCs w:val="26"/>
          <w:rtl/>
          <w:lang/>
        </w:rPr>
        <w:t>، ال</w:t>
      </w:r>
      <w:r w:rsidRPr="00CE5BE5">
        <w:rPr>
          <w:rFonts w:cs="Traditional Arabic" w:hint="cs"/>
          <w:sz w:val="18"/>
          <w:szCs w:val="26"/>
          <w:rtl/>
          <w:lang/>
        </w:rPr>
        <w:t>قرار</w:t>
      </w:r>
      <w:r w:rsidRPr="00CE5BE5">
        <w:rPr>
          <w:rFonts w:cs="Traditional Arabic"/>
          <w:sz w:val="18"/>
          <w:szCs w:val="26"/>
          <w:rtl/>
          <w:lang/>
        </w:rPr>
        <w:t xml:space="preserve"> </w:t>
      </w:r>
      <w:r w:rsidRPr="00CE5BE5">
        <w:rPr>
          <w:rStyle w:val="hps"/>
          <w:rFonts w:cs="Traditional Arabic"/>
          <w:sz w:val="18"/>
          <w:szCs w:val="26"/>
          <w:rtl/>
          <w:lang/>
        </w:rPr>
        <w:t>المعتمد في 20</w:t>
      </w:r>
      <w:r w:rsidRPr="00CE5BE5">
        <w:rPr>
          <w:rFonts w:cs="Traditional Arabic"/>
          <w:sz w:val="18"/>
          <w:szCs w:val="26"/>
          <w:rtl/>
          <w:lang/>
        </w:rPr>
        <w:t xml:space="preserve"> </w:t>
      </w:r>
      <w:r w:rsidRPr="00CE5BE5">
        <w:rPr>
          <w:rStyle w:val="hps"/>
          <w:rFonts w:cs="Traditional Arabic"/>
          <w:sz w:val="18"/>
          <w:szCs w:val="26"/>
          <w:rtl/>
          <w:lang/>
        </w:rPr>
        <w:t>أيار</w:t>
      </w:r>
      <w:r w:rsidRPr="00CE5BE5">
        <w:rPr>
          <w:rStyle w:val="hps"/>
          <w:rFonts w:cs="Traditional Arabic" w:hint="cs"/>
          <w:sz w:val="18"/>
          <w:szCs w:val="26"/>
          <w:rtl/>
          <w:lang/>
        </w:rPr>
        <w:t>/مايو</w:t>
      </w:r>
      <w:r w:rsidRPr="00CE5BE5">
        <w:rPr>
          <w:rStyle w:val="hps"/>
          <w:rFonts w:cs="Traditional Arabic"/>
          <w:sz w:val="18"/>
          <w:szCs w:val="26"/>
          <w:rtl/>
          <w:lang/>
        </w:rPr>
        <w:t xml:space="preserve"> 2005،</w:t>
      </w:r>
      <w:r w:rsidRPr="00CE5BE5">
        <w:rPr>
          <w:rFonts w:cs="Traditional Arabic"/>
          <w:sz w:val="18"/>
          <w:szCs w:val="26"/>
          <w:rtl/>
          <w:lang/>
        </w:rPr>
        <w:t xml:space="preserve"> </w:t>
      </w:r>
      <w:r w:rsidRPr="00CE5BE5">
        <w:rPr>
          <w:rStyle w:val="hps"/>
          <w:rFonts w:cs="Traditional Arabic"/>
          <w:sz w:val="18"/>
          <w:szCs w:val="26"/>
          <w:rtl/>
          <w:lang/>
        </w:rPr>
        <w:t>الفقرة</w:t>
      </w:r>
      <w:r w:rsidRPr="00CE5BE5">
        <w:rPr>
          <w:rFonts w:cs="Traditional Arabic"/>
          <w:sz w:val="18"/>
          <w:szCs w:val="26"/>
          <w:rtl/>
          <w:lang/>
        </w:rPr>
        <w:t xml:space="preserve"> </w:t>
      </w:r>
      <w:r w:rsidRPr="00CE5BE5">
        <w:rPr>
          <w:rStyle w:val="hps"/>
          <w:rFonts w:cs="Traditional Arabic" w:hint="cs"/>
          <w:sz w:val="18"/>
          <w:szCs w:val="26"/>
          <w:rtl/>
          <w:lang/>
        </w:rPr>
        <w:t>13-</w:t>
      </w:r>
      <w:r w:rsidRPr="00CE5BE5">
        <w:rPr>
          <w:rStyle w:val="hps"/>
          <w:rFonts w:cs="Traditional Arabic"/>
          <w:sz w:val="18"/>
          <w:szCs w:val="26"/>
          <w:rtl/>
          <w:lang/>
        </w:rPr>
        <w:t>2</w:t>
      </w:r>
      <w:r w:rsidRPr="00CE5BE5">
        <w:rPr>
          <w:rFonts w:cs="Traditional Arabic"/>
          <w:sz w:val="18"/>
          <w:szCs w:val="26"/>
          <w:rtl/>
          <w:lang/>
        </w:rPr>
        <w:t>.</w:t>
      </w:r>
    </w:p>
  </w:footnote>
  <w:footnote w:id="151">
    <w:p w:rsidR="00F815BA" w:rsidRPr="00CE5BE5" w:rsidRDefault="00F815BA" w:rsidP="00D16875">
      <w:pPr>
        <w:pStyle w:val="FootnoteText"/>
        <w:numPr>
          <w:ilvl w:val="0"/>
          <w:numId w:val="0"/>
        </w:numPr>
        <w:tabs>
          <w:tab w:val="left" w:pos="1226"/>
        </w:tabs>
        <w:bidi/>
        <w:spacing w:after="60" w:line="300" w:lineRule="exact"/>
        <w:ind w:left="1226" w:right="1247" w:hanging="658"/>
        <w:jc w:val="lowKashida"/>
        <w:rPr>
          <w:rFonts w:cs="Traditional Arabic"/>
          <w:sz w:val="18"/>
          <w:szCs w:val="26"/>
        </w:rPr>
      </w:pPr>
      <w:r w:rsidRPr="0077398F">
        <w:rPr>
          <w:rFonts w:cs="Traditional Arabic" w:hint="cs"/>
          <w:sz w:val="26"/>
          <w:szCs w:val="26"/>
          <w:rtl/>
        </w:rPr>
        <w:t>(</w:t>
      </w:r>
      <w:r>
        <w:rPr>
          <w:rFonts w:cs="Traditional Arabic" w:hint="cs"/>
          <w:sz w:val="26"/>
          <w:szCs w:val="26"/>
          <w:rtl/>
        </w:rPr>
        <w:t>ب</w:t>
      </w:r>
      <w:r w:rsidRPr="00367067">
        <w:rPr>
          <w:rFonts w:cs="Traditional Arabic" w:hint="cs"/>
          <w:sz w:val="16"/>
          <w:szCs w:val="16"/>
          <w:rtl/>
        </w:rPr>
        <w:t xml:space="preserve"> </w:t>
      </w:r>
      <w:r>
        <w:rPr>
          <w:rFonts w:cs="Traditional Arabic" w:hint="cs"/>
          <w:sz w:val="26"/>
          <w:szCs w:val="26"/>
          <w:rtl/>
        </w:rPr>
        <w:t>ب</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i/>
          <w:iCs/>
          <w:sz w:val="18"/>
          <w:szCs w:val="26"/>
          <w:rtl/>
          <w:lang/>
        </w:rPr>
        <w:t>الوثائق الرسمية</w:t>
      </w:r>
      <w:r w:rsidRPr="00CE5BE5">
        <w:rPr>
          <w:rFonts w:cs="Traditional Arabic"/>
          <w:i/>
          <w:iCs/>
          <w:sz w:val="18"/>
          <w:szCs w:val="26"/>
          <w:rtl/>
          <w:lang/>
        </w:rPr>
        <w:t xml:space="preserve"> </w:t>
      </w:r>
      <w:r w:rsidRPr="00CE5BE5">
        <w:rPr>
          <w:rStyle w:val="hps"/>
          <w:rFonts w:cs="Traditional Arabic"/>
          <w:i/>
          <w:iCs/>
          <w:sz w:val="18"/>
          <w:szCs w:val="26"/>
          <w:rtl/>
          <w:lang/>
        </w:rPr>
        <w:t>للجمعية العامة،</w:t>
      </w:r>
      <w:r w:rsidRPr="00CE5BE5">
        <w:rPr>
          <w:rFonts w:cs="Traditional Arabic"/>
          <w:i/>
          <w:iCs/>
          <w:sz w:val="18"/>
          <w:szCs w:val="26"/>
          <w:rtl/>
          <w:lang/>
        </w:rPr>
        <w:t xml:space="preserve"> </w:t>
      </w:r>
      <w:r w:rsidRPr="00CE5BE5">
        <w:rPr>
          <w:rStyle w:val="hps"/>
          <w:rFonts w:cs="Traditional Arabic"/>
          <w:i/>
          <w:iCs/>
          <w:sz w:val="18"/>
          <w:szCs w:val="26"/>
          <w:rtl/>
          <w:lang/>
        </w:rPr>
        <w:t>الدورة الثالثة والخمسون، الملحق</w:t>
      </w:r>
      <w:r w:rsidRPr="00CE5BE5">
        <w:rPr>
          <w:rFonts w:cs="Traditional Arabic"/>
          <w:i/>
          <w:iCs/>
          <w:sz w:val="18"/>
          <w:szCs w:val="26"/>
          <w:rtl/>
          <w:lang/>
        </w:rPr>
        <w:t xml:space="preserve"> </w:t>
      </w:r>
      <w:r w:rsidRPr="00CE5BE5">
        <w:rPr>
          <w:rStyle w:val="hps"/>
          <w:rFonts w:cs="Traditional Arabic"/>
          <w:i/>
          <w:iCs/>
          <w:sz w:val="18"/>
          <w:szCs w:val="26"/>
          <w:rtl/>
          <w:lang/>
        </w:rPr>
        <w:t>رقم 44</w:t>
      </w:r>
      <w:r w:rsidRPr="00CE5BE5">
        <w:rPr>
          <w:rStyle w:val="hps"/>
          <w:rFonts w:cs="Traditional Arabic"/>
          <w:sz w:val="18"/>
          <w:szCs w:val="26"/>
          <w:rtl/>
          <w:lang/>
        </w:rPr>
        <w:t xml:space="preserve"> (</w:t>
      </w:r>
      <w:r w:rsidRPr="00CE5BE5">
        <w:rPr>
          <w:rFonts w:cs="Traditional Arabic"/>
          <w:sz w:val="18"/>
          <w:szCs w:val="26"/>
        </w:rPr>
        <w:t>A/53/44</w:t>
      </w:r>
      <w:r w:rsidRPr="00CE5BE5">
        <w:rPr>
          <w:rFonts w:cs="Traditional Arabic"/>
          <w:sz w:val="18"/>
          <w:szCs w:val="26"/>
          <w:rtl/>
          <w:lang/>
        </w:rPr>
        <w:t xml:space="preserve">)، </w:t>
      </w:r>
      <w:r w:rsidRPr="00CE5BE5">
        <w:rPr>
          <w:rStyle w:val="hps"/>
          <w:rFonts w:cs="Traditional Arabic"/>
          <w:sz w:val="18"/>
          <w:szCs w:val="26"/>
          <w:rtl/>
          <w:lang/>
        </w:rPr>
        <w:t>المرفق التاسع</w:t>
      </w:r>
      <w:r w:rsidRPr="00CE5BE5">
        <w:rPr>
          <w:rFonts w:cs="Traditional Arabic"/>
          <w:sz w:val="18"/>
          <w:szCs w:val="26"/>
          <w:rtl/>
          <w:lang/>
        </w:rPr>
        <w:t>، الفقرة</w:t>
      </w:r>
      <w:r w:rsidRPr="00CE5BE5">
        <w:rPr>
          <w:rFonts w:cs="Traditional Arabic" w:hint="cs"/>
          <w:sz w:val="18"/>
          <w:szCs w:val="26"/>
          <w:rtl/>
          <w:lang/>
        </w:rPr>
        <w:t> </w:t>
      </w:r>
      <w:r w:rsidRPr="00CE5BE5">
        <w:rPr>
          <w:rStyle w:val="hps"/>
          <w:rFonts w:cs="Traditional Arabic"/>
          <w:sz w:val="18"/>
          <w:szCs w:val="26"/>
          <w:rtl/>
          <w:lang/>
        </w:rPr>
        <w:t>6</w:t>
      </w:r>
      <w:r w:rsidRPr="00CE5BE5">
        <w:rPr>
          <w:rFonts w:cs="Traditional Arabic"/>
          <w:sz w:val="18"/>
          <w:szCs w:val="26"/>
          <w:rtl/>
          <w:lang/>
        </w:rPr>
        <w:t>.</w:t>
      </w:r>
    </w:p>
  </w:footnote>
  <w:footnote w:id="152">
    <w:p w:rsidR="00F815BA" w:rsidRPr="00CE5BE5" w:rsidRDefault="00F815BA" w:rsidP="005B7D22">
      <w:pPr>
        <w:pStyle w:val="FootnoteText"/>
        <w:numPr>
          <w:ilvl w:val="0"/>
          <w:numId w:val="0"/>
        </w:numPr>
        <w:tabs>
          <w:tab w:val="left" w:pos="1226"/>
        </w:tabs>
        <w:bidi/>
        <w:spacing w:after="60" w:line="300" w:lineRule="exact"/>
        <w:ind w:left="1226" w:right="1247" w:hanging="658"/>
        <w:jc w:val="lowKashida"/>
        <w:rPr>
          <w:rFonts w:cs="Traditional Arabic"/>
          <w:sz w:val="18"/>
          <w:szCs w:val="26"/>
        </w:rPr>
      </w:pPr>
      <w:r w:rsidRPr="0077398F">
        <w:rPr>
          <w:rFonts w:cs="Traditional Arabic" w:hint="cs"/>
          <w:sz w:val="26"/>
          <w:szCs w:val="26"/>
          <w:rtl/>
        </w:rPr>
        <w:t>(</w:t>
      </w:r>
      <w:r>
        <w:rPr>
          <w:rFonts w:cs="Traditional Arabic" w:hint="cs"/>
          <w:sz w:val="26"/>
          <w:szCs w:val="26"/>
          <w:rtl/>
        </w:rPr>
        <w:t>ج</w:t>
      </w:r>
      <w:r w:rsidRPr="00367067">
        <w:rPr>
          <w:rFonts w:cs="Traditional Arabic" w:hint="cs"/>
          <w:sz w:val="12"/>
          <w:szCs w:val="12"/>
          <w:rtl/>
        </w:rPr>
        <w:t xml:space="preserve"> </w:t>
      </w:r>
      <w:r>
        <w:rPr>
          <w:rFonts w:cs="Traditional Arabic" w:hint="cs"/>
          <w:sz w:val="26"/>
          <w:szCs w:val="26"/>
          <w:rtl/>
        </w:rPr>
        <w:t>ج</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sz w:val="18"/>
          <w:szCs w:val="26"/>
          <w:rtl/>
          <w:lang/>
        </w:rPr>
        <w:t xml:space="preserve">انظر، </w:t>
      </w:r>
      <w:r w:rsidRPr="00CE5BE5">
        <w:rPr>
          <w:rStyle w:val="hps"/>
          <w:rFonts w:cs="Traditional Arabic" w:hint="cs"/>
          <w:sz w:val="18"/>
          <w:szCs w:val="26"/>
          <w:rtl/>
          <w:lang/>
        </w:rPr>
        <w:t>مثلاً</w:t>
      </w:r>
      <w:r w:rsidRPr="00CE5BE5">
        <w:rPr>
          <w:rFonts w:cs="Traditional Arabic"/>
          <w:sz w:val="18"/>
          <w:szCs w:val="26"/>
          <w:rtl/>
          <w:lang/>
        </w:rPr>
        <w:t xml:space="preserve">، </w:t>
      </w:r>
      <w:r w:rsidRPr="00CE5BE5">
        <w:rPr>
          <w:rStyle w:val="hps"/>
          <w:rFonts w:cs="Traditional Arabic"/>
          <w:sz w:val="18"/>
          <w:szCs w:val="26"/>
          <w:rtl/>
          <w:lang/>
        </w:rPr>
        <w:t>البلاغ رقم</w:t>
      </w:r>
      <w:r w:rsidRPr="00CE5BE5">
        <w:rPr>
          <w:rFonts w:cs="Traditional Arabic"/>
          <w:sz w:val="18"/>
          <w:szCs w:val="26"/>
          <w:rtl/>
          <w:lang/>
        </w:rPr>
        <w:t xml:space="preserve"> </w:t>
      </w:r>
      <w:r w:rsidRPr="00CE5BE5">
        <w:rPr>
          <w:rStyle w:val="hps"/>
          <w:rFonts w:cs="Traditional Arabic"/>
          <w:sz w:val="18"/>
          <w:szCs w:val="26"/>
          <w:rtl/>
          <w:lang/>
        </w:rPr>
        <w:t>258/2004</w:t>
      </w:r>
      <w:r w:rsidRPr="00CE5BE5">
        <w:rPr>
          <w:rFonts w:cs="Traditional Arabic"/>
          <w:sz w:val="18"/>
          <w:szCs w:val="26"/>
          <w:rtl/>
          <w:lang/>
        </w:rPr>
        <w:t xml:space="preserve">، </w:t>
      </w:r>
      <w:r w:rsidRPr="00CE5BE5">
        <w:rPr>
          <w:rFonts w:cs="Traditional Arabic"/>
          <w:i/>
          <w:iCs/>
          <w:sz w:val="18"/>
          <w:szCs w:val="26"/>
          <w:rtl/>
          <w:lang/>
        </w:rPr>
        <w:t xml:space="preserve">مصطفى </w:t>
      </w:r>
      <w:r w:rsidRPr="00CE5BE5">
        <w:rPr>
          <w:rStyle w:val="hps"/>
          <w:rFonts w:cs="Traditional Arabic"/>
          <w:i/>
          <w:iCs/>
          <w:sz w:val="18"/>
          <w:szCs w:val="26"/>
          <w:rtl/>
          <w:lang/>
        </w:rPr>
        <w:t>دادا</w:t>
      </w:r>
      <w:r w:rsidRPr="00CE5BE5">
        <w:rPr>
          <w:rStyle w:val="hps"/>
          <w:rFonts w:cs="Traditional Arabic" w:hint="cs"/>
          <w:i/>
          <w:iCs/>
          <w:sz w:val="18"/>
          <w:szCs w:val="26"/>
          <w:rtl/>
          <w:lang/>
        </w:rPr>
        <w:t>ر</w:t>
      </w:r>
      <w:r w:rsidRPr="00CE5BE5">
        <w:rPr>
          <w:rFonts w:cs="Traditional Arabic"/>
          <w:i/>
          <w:iCs/>
          <w:sz w:val="18"/>
          <w:szCs w:val="26"/>
          <w:rtl/>
          <w:lang/>
        </w:rPr>
        <w:t xml:space="preserve"> </w:t>
      </w:r>
      <w:r w:rsidRPr="00CE5BE5">
        <w:rPr>
          <w:rStyle w:val="hps"/>
          <w:rFonts w:cs="Traditional Arabic"/>
          <w:i/>
          <w:iCs/>
          <w:sz w:val="18"/>
          <w:szCs w:val="26"/>
          <w:rtl/>
          <w:lang/>
        </w:rPr>
        <w:t>ضد كندا</w:t>
      </w:r>
      <w:r w:rsidRPr="00CE5BE5">
        <w:rPr>
          <w:rFonts w:cs="Traditional Arabic"/>
          <w:sz w:val="18"/>
          <w:szCs w:val="26"/>
          <w:rtl/>
          <w:lang/>
        </w:rPr>
        <w:t>، ال</w:t>
      </w:r>
      <w:r w:rsidRPr="00CE5BE5">
        <w:rPr>
          <w:rFonts w:cs="Traditional Arabic" w:hint="cs"/>
          <w:sz w:val="18"/>
          <w:szCs w:val="26"/>
          <w:rtl/>
          <w:lang/>
        </w:rPr>
        <w:t>قرار</w:t>
      </w:r>
      <w:r w:rsidRPr="00CE5BE5">
        <w:rPr>
          <w:rFonts w:cs="Traditional Arabic"/>
          <w:sz w:val="18"/>
          <w:szCs w:val="26"/>
          <w:rtl/>
          <w:lang/>
        </w:rPr>
        <w:t xml:space="preserve"> </w:t>
      </w:r>
      <w:r w:rsidRPr="00CE5BE5">
        <w:rPr>
          <w:rStyle w:val="hps"/>
          <w:rFonts w:cs="Traditional Arabic"/>
          <w:sz w:val="18"/>
          <w:szCs w:val="26"/>
          <w:rtl/>
          <w:lang/>
        </w:rPr>
        <w:t>المعتمد في 23</w:t>
      </w:r>
      <w:r w:rsidRPr="00CE5BE5">
        <w:rPr>
          <w:rFonts w:cs="Traditional Arabic"/>
          <w:sz w:val="18"/>
          <w:szCs w:val="26"/>
          <w:rtl/>
          <w:lang/>
        </w:rPr>
        <w:t xml:space="preserve"> </w:t>
      </w:r>
      <w:r w:rsidRPr="00CE5BE5">
        <w:rPr>
          <w:rStyle w:val="hps"/>
          <w:rFonts w:cs="Traditional Arabic"/>
          <w:sz w:val="18"/>
          <w:szCs w:val="26"/>
          <w:rtl/>
          <w:lang/>
        </w:rPr>
        <w:t>تشرين الثاني</w:t>
      </w:r>
      <w:r>
        <w:rPr>
          <w:rStyle w:val="hps"/>
          <w:rFonts w:cs="Traditional Arabic" w:hint="cs"/>
          <w:sz w:val="18"/>
          <w:szCs w:val="26"/>
          <w:rtl/>
          <w:lang/>
        </w:rPr>
        <w:t xml:space="preserve">/ </w:t>
      </w:r>
      <w:r w:rsidRPr="00CE5BE5">
        <w:rPr>
          <w:rStyle w:val="hps"/>
          <w:rFonts w:cs="Traditional Arabic" w:hint="cs"/>
          <w:sz w:val="18"/>
          <w:szCs w:val="26"/>
          <w:rtl/>
          <w:lang/>
        </w:rPr>
        <w:t>نوفمبر</w:t>
      </w:r>
      <w:r>
        <w:rPr>
          <w:rStyle w:val="hps"/>
          <w:rFonts w:cs="Traditional Arabic" w:hint="cs"/>
          <w:sz w:val="18"/>
          <w:szCs w:val="26"/>
          <w:rtl/>
          <w:lang/>
        </w:rPr>
        <w:t> </w:t>
      </w:r>
      <w:r w:rsidRPr="00CE5BE5">
        <w:rPr>
          <w:rStyle w:val="hps"/>
          <w:rFonts w:cs="Traditional Arabic"/>
          <w:sz w:val="18"/>
          <w:szCs w:val="26"/>
          <w:rtl/>
          <w:lang/>
        </w:rPr>
        <w:t>2005،</w:t>
      </w:r>
      <w:r w:rsidRPr="00CE5BE5">
        <w:rPr>
          <w:rFonts w:cs="Traditional Arabic"/>
          <w:sz w:val="18"/>
          <w:szCs w:val="26"/>
          <w:rtl/>
          <w:lang/>
        </w:rPr>
        <w:t xml:space="preserve"> </w:t>
      </w:r>
      <w:r w:rsidRPr="00CE5BE5">
        <w:rPr>
          <w:rStyle w:val="hps"/>
          <w:rFonts w:cs="Traditional Arabic"/>
          <w:sz w:val="18"/>
          <w:szCs w:val="26"/>
          <w:rtl/>
          <w:lang/>
        </w:rPr>
        <w:t>و</w:t>
      </w:r>
      <w:r w:rsidRPr="00CE5BE5">
        <w:rPr>
          <w:rFonts w:cs="Traditional Arabic"/>
          <w:sz w:val="18"/>
          <w:szCs w:val="26"/>
          <w:rtl/>
          <w:lang/>
        </w:rPr>
        <w:t xml:space="preserve">البلاغ رقم </w:t>
      </w:r>
      <w:r w:rsidRPr="00CE5BE5">
        <w:rPr>
          <w:rStyle w:val="hps"/>
          <w:rFonts w:cs="Traditional Arabic"/>
          <w:sz w:val="18"/>
          <w:szCs w:val="26"/>
          <w:rtl/>
          <w:lang/>
        </w:rPr>
        <w:t>226/2003</w:t>
      </w:r>
      <w:r w:rsidRPr="00CE5BE5">
        <w:rPr>
          <w:rFonts w:cs="Traditional Arabic"/>
          <w:sz w:val="18"/>
          <w:szCs w:val="26"/>
          <w:rtl/>
          <w:lang/>
        </w:rPr>
        <w:t xml:space="preserve">، </w:t>
      </w:r>
      <w:r w:rsidRPr="00CE5BE5">
        <w:rPr>
          <w:rStyle w:val="hps"/>
          <w:rFonts w:cs="Traditional Arabic" w:hint="cs"/>
          <w:i/>
          <w:iCs/>
          <w:sz w:val="18"/>
          <w:szCs w:val="26"/>
          <w:rtl/>
          <w:lang/>
        </w:rPr>
        <w:t>ت. أ.</w:t>
      </w:r>
      <w:r w:rsidRPr="00CE5BE5">
        <w:rPr>
          <w:rFonts w:cs="Traditional Arabic"/>
          <w:i/>
          <w:iCs/>
          <w:sz w:val="18"/>
          <w:szCs w:val="26"/>
          <w:rtl/>
          <w:lang/>
        </w:rPr>
        <w:t xml:space="preserve"> </w:t>
      </w:r>
      <w:r w:rsidRPr="00CE5BE5">
        <w:rPr>
          <w:rStyle w:val="hps"/>
          <w:rFonts w:cs="Traditional Arabic"/>
          <w:i/>
          <w:iCs/>
          <w:sz w:val="18"/>
          <w:szCs w:val="26"/>
          <w:rtl/>
          <w:lang/>
        </w:rPr>
        <w:t>ضد السويد</w:t>
      </w:r>
      <w:r w:rsidRPr="00CE5BE5">
        <w:rPr>
          <w:rFonts w:cs="Traditional Arabic"/>
          <w:sz w:val="18"/>
          <w:szCs w:val="26"/>
          <w:rtl/>
          <w:lang/>
        </w:rPr>
        <w:t xml:space="preserve">، </w:t>
      </w:r>
      <w:r w:rsidRPr="00CE5BE5">
        <w:rPr>
          <w:rFonts w:cs="Traditional Arabic" w:hint="cs"/>
          <w:sz w:val="18"/>
          <w:szCs w:val="26"/>
          <w:rtl/>
          <w:lang/>
        </w:rPr>
        <w:t>القرار</w:t>
      </w:r>
      <w:r w:rsidRPr="00CE5BE5">
        <w:rPr>
          <w:rFonts w:cs="Traditional Arabic"/>
          <w:sz w:val="18"/>
          <w:szCs w:val="26"/>
          <w:rtl/>
          <w:lang/>
        </w:rPr>
        <w:t xml:space="preserve"> </w:t>
      </w:r>
      <w:r w:rsidRPr="00CE5BE5">
        <w:rPr>
          <w:rStyle w:val="hps"/>
          <w:rFonts w:cs="Traditional Arabic"/>
          <w:sz w:val="18"/>
          <w:szCs w:val="26"/>
          <w:rtl/>
          <w:lang/>
        </w:rPr>
        <w:t>المعتمد في 6</w:t>
      </w:r>
      <w:r w:rsidRPr="00CE5BE5">
        <w:rPr>
          <w:rFonts w:cs="Traditional Arabic"/>
          <w:sz w:val="18"/>
          <w:szCs w:val="26"/>
          <w:rtl/>
          <w:lang/>
        </w:rPr>
        <w:t xml:space="preserve"> </w:t>
      </w:r>
      <w:r w:rsidRPr="00CE5BE5">
        <w:rPr>
          <w:rFonts w:cs="Traditional Arabic" w:hint="cs"/>
          <w:sz w:val="18"/>
          <w:szCs w:val="26"/>
          <w:rtl/>
          <w:lang/>
        </w:rPr>
        <w:t>أيار/</w:t>
      </w:r>
      <w:r w:rsidRPr="00CE5BE5">
        <w:rPr>
          <w:rStyle w:val="hps"/>
          <w:rFonts w:cs="Traditional Arabic"/>
          <w:sz w:val="18"/>
          <w:szCs w:val="26"/>
          <w:rtl/>
          <w:lang/>
        </w:rPr>
        <w:t>مايو 2005.</w:t>
      </w:r>
    </w:p>
  </w:footnote>
  <w:footnote w:id="153">
    <w:p w:rsidR="00F815BA" w:rsidRPr="00CE5BE5" w:rsidRDefault="00F815BA" w:rsidP="00D16875">
      <w:pPr>
        <w:pStyle w:val="FootnoteText"/>
        <w:numPr>
          <w:ilvl w:val="0"/>
          <w:numId w:val="0"/>
        </w:numPr>
        <w:tabs>
          <w:tab w:val="left" w:pos="1226"/>
        </w:tabs>
        <w:bidi/>
        <w:spacing w:after="60" w:line="300" w:lineRule="exact"/>
        <w:ind w:left="1226" w:right="1247" w:hanging="658"/>
        <w:jc w:val="lowKashida"/>
        <w:rPr>
          <w:rFonts w:cs="Traditional Arabic"/>
          <w:sz w:val="18"/>
          <w:szCs w:val="26"/>
        </w:rPr>
      </w:pPr>
      <w:r w:rsidRPr="0077398F">
        <w:rPr>
          <w:rFonts w:cs="Traditional Arabic" w:hint="cs"/>
          <w:sz w:val="26"/>
          <w:szCs w:val="26"/>
          <w:rtl/>
        </w:rPr>
        <w:t>(</w:t>
      </w:r>
      <w:r>
        <w:rPr>
          <w:rFonts w:cs="Traditional Arabic" w:hint="cs"/>
          <w:sz w:val="26"/>
          <w:szCs w:val="26"/>
          <w:rtl/>
        </w:rPr>
        <w:t>د</w:t>
      </w:r>
      <w:r w:rsidRPr="00367067">
        <w:rPr>
          <w:rFonts w:cs="Traditional Arabic" w:hint="cs"/>
          <w:sz w:val="12"/>
          <w:szCs w:val="12"/>
          <w:rtl/>
        </w:rPr>
        <w:t xml:space="preserve"> </w:t>
      </w:r>
      <w:r>
        <w:rPr>
          <w:rFonts w:cs="Traditional Arabic" w:hint="cs"/>
          <w:sz w:val="26"/>
          <w:szCs w:val="26"/>
          <w:rtl/>
        </w:rPr>
        <w:t>د</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sz w:val="18"/>
          <w:szCs w:val="26"/>
          <w:rtl/>
          <w:lang/>
        </w:rPr>
        <w:t>انظر، مثلاً</w:t>
      </w:r>
      <w:r w:rsidRPr="00CE5BE5">
        <w:rPr>
          <w:rFonts w:cs="Traditional Arabic"/>
          <w:sz w:val="18"/>
          <w:szCs w:val="26"/>
          <w:rtl/>
          <w:lang/>
        </w:rPr>
        <w:t xml:space="preserve">، </w:t>
      </w:r>
      <w:r w:rsidRPr="00CE5BE5">
        <w:rPr>
          <w:rStyle w:val="hps"/>
          <w:rFonts w:cs="Traditional Arabic"/>
          <w:sz w:val="18"/>
          <w:szCs w:val="26"/>
          <w:rtl/>
          <w:lang/>
        </w:rPr>
        <w:t>البلاغ رقم</w:t>
      </w:r>
      <w:r w:rsidRPr="00CE5BE5">
        <w:rPr>
          <w:rFonts w:cs="Traditional Arabic"/>
          <w:sz w:val="18"/>
          <w:szCs w:val="26"/>
          <w:rtl/>
          <w:lang/>
        </w:rPr>
        <w:t xml:space="preserve"> </w:t>
      </w:r>
      <w:r w:rsidRPr="00CE5BE5">
        <w:rPr>
          <w:rStyle w:val="hps"/>
          <w:rFonts w:cs="Traditional Arabic"/>
          <w:sz w:val="18"/>
          <w:szCs w:val="26"/>
          <w:rtl/>
          <w:lang/>
        </w:rPr>
        <w:t>356/2008</w:t>
      </w:r>
      <w:r w:rsidRPr="00CE5BE5">
        <w:rPr>
          <w:rFonts w:cs="Traditional Arabic"/>
          <w:sz w:val="18"/>
          <w:szCs w:val="26"/>
          <w:rtl/>
          <w:lang/>
        </w:rPr>
        <w:t xml:space="preserve">، </w:t>
      </w:r>
      <w:r w:rsidRPr="00CE5BE5">
        <w:rPr>
          <w:rStyle w:val="hps"/>
          <w:rFonts w:cs="Traditional Arabic" w:hint="cs"/>
          <w:i/>
          <w:iCs/>
          <w:sz w:val="18"/>
          <w:szCs w:val="26"/>
          <w:rtl/>
          <w:lang/>
        </w:rPr>
        <w:t xml:space="preserve">ن. س. </w:t>
      </w:r>
      <w:r w:rsidRPr="00CE5BE5">
        <w:rPr>
          <w:rStyle w:val="hps"/>
          <w:rFonts w:cs="Traditional Arabic"/>
          <w:i/>
          <w:iCs/>
          <w:sz w:val="18"/>
          <w:szCs w:val="26"/>
          <w:rtl/>
          <w:lang/>
        </w:rPr>
        <w:t>ضد سويسرا</w:t>
      </w:r>
      <w:r w:rsidRPr="00CE5BE5">
        <w:rPr>
          <w:rFonts w:cs="Traditional Arabic"/>
          <w:sz w:val="18"/>
          <w:szCs w:val="26"/>
          <w:rtl/>
          <w:lang/>
        </w:rPr>
        <w:t>، ال</w:t>
      </w:r>
      <w:r w:rsidRPr="00CE5BE5">
        <w:rPr>
          <w:rFonts w:cs="Traditional Arabic" w:hint="cs"/>
          <w:sz w:val="18"/>
          <w:szCs w:val="26"/>
          <w:rtl/>
          <w:lang/>
        </w:rPr>
        <w:t>قرار</w:t>
      </w:r>
      <w:r w:rsidRPr="00CE5BE5">
        <w:rPr>
          <w:rFonts w:cs="Traditional Arabic"/>
          <w:sz w:val="18"/>
          <w:szCs w:val="26"/>
          <w:rtl/>
          <w:lang/>
        </w:rPr>
        <w:t xml:space="preserve"> </w:t>
      </w:r>
      <w:r w:rsidRPr="00CE5BE5">
        <w:rPr>
          <w:rStyle w:val="hps"/>
          <w:rFonts w:cs="Traditional Arabic"/>
          <w:sz w:val="18"/>
          <w:szCs w:val="26"/>
          <w:rtl/>
          <w:lang/>
        </w:rPr>
        <w:t>المعتمد في 6</w:t>
      </w:r>
      <w:r w:rsidRPr="00CE5BE5">
        <w:rPr>
          <w:rFonts w:cs="Traditional Arabic"/>
          <w:sz w:val="18"/>
          <w:szCs w:val="26"/>
          <w:rtl/>
          <w:lang/>
        </w:rPr>
        <w:t xml:space="preserve"> </w:t>
      </w:r>
      <w:r w:rsidRPr="00CE5BE5">
        <w:rPr>
          <w:rFonts w:cs="Traditional Arabic" w:hint="cs"/>
          <w:sz w:val="18"/>
          <w:szCs w:val="26"/>
          <w:rtl/>
          <w:lang/>
        </w:rPr>
        <w:t>أيار/</w:t>
      </w:r>
      <w:r w:rsidRPr="00CE5BE5">
        <w:rPr>
          <w:rStyle w:val="hps"/>
          <w:rFonts w:cs="Traditional Arabic"/>
          <w:sz w:val="18"/>
          <w:szCs w:val="26"/>
          <w:rtl/>
          <w:lang/>
        </w:rPr>
        <w:t>مايو 2010،</w:t>
      </w:r>
      <w:r w:rsidRPr="00CE5BE5">
        <w:rPr>
          <w:rFonts w:cs="Traditional Arabic"/>
          <w:sz w:val="18"/>
          <w:szCs w:val="26"/>
          <w:rtl/>
          <w:lang/>
        </w:rPr>
        <w:t xml:space="preserve"> </w:t>
      </w:r>
      <w:r w:rsidRPr="00CE5BE5">
        <w:rPr>
          <w:rStyle w:val="hps"/>
          <w:rFonts w:cs="Traditional Arabic"/>
          <w:sz w:val="18"/>
          <w:szCs w:val="26"/>
          <w:rtl/>
          <w:lang/>
        </w:rPr>
        <w:t>الفقرة</w:t>
      </w:r>
      <w:r w:rsidRPr="00CE5BE5">
        <w:rPr>
          <w:rFonts w:cs="Traditional Arabic" w:hint="cs"/>
          <w:sz w:val="18"/>
          <w:szCs w:val="26"/>
          <w:rtl/>
          <w:lang/>
        </w:rPr>
        <w:t> </w:t>
      </w:r>
      <w:r w:rsidRPr="00CE5BE5">
        <w:rPr>
          <w:rStyle w:val="hps"/>
          <w:rFonts w:cs="Traditional Arabic"/>
          <w:sz w:val="18"/>
          <w:szCs w:val="26"/>
          <w:rtl/>
          <w:lang/>
        </w:rPr>
        <w:t>7</w:t>
      </w:r>
      <w:r w:rsidRPr="00CE5BE5">
        <w:rPr>
          <w:rStyle w:val="hps"/>
          <w:rFonts w:cs="Traditional Arabic" w:hint="cs"/>
          <w:sz w:val="18"/>
          <w:szCs w:val="26"/>
          <w:rtl/>
          <w:lang/>
        </w:rPr>
        <w:t>-</w:t>
      </w:r>
      <w:r w:rsidRPr="00CE5BE5">
        <w:rPr>
          <w:rStyle w:val="hps"/>
          <w:rFonts w:cs="Traditional Arabic"/>
          <w:sz w:val="18"/>
          <w:szCs w:val="26"/>
          <w:rtl/>
          <w:lang/>
        </w:rPr>
        <w:t>3</w:t>
      </w:r>
      <w:r w:rsidRPr="00CE5BE5">
        <w:rPr>
          <w:rFonts w:cs="Traditional Arabic"/>
          <w:sz w:val="18"/>
          <w:szCs w:val="26"/>
          <w:rtl/>
          <w:lang/>
        </w:rPr>
        <w:t>.</w:t>
      </w:r>
    </w:p>
  </w:footnote>
  <w:footnote w:id="154">
    <w:p w:rsidR="00F815BA" w:rsidRPr="00CE5BE5" w:rsidRDefault="00F815BA" w:rsidP="00D16875">
      <w:pPr>
        <w:pStyle w:val="FootnoteText"/>
        <w:numPr>
          <w:ilvl w:val="0"/>
          <w:numId w:val="0"/>
        </w:numPr>
        <w:tabs>
          <w:tab w:val="left" w:pos="1226"/>
        </w:tabs>
        <w:bidi/>
        <w:spacing w:after="60" w:line="300" w:lineRule="exact"/>
        <w:ind w:left="1226" w:right="1247" w:hanging="658"/>
        <w:jc w:val="lowKashida"/>
        <w:rPr>
          <w:rFonts w:cs="Traditional Arabic"/>
          <w:sz w:val="18"/>
          <w:szCs w:val="26"/>
        </w:rPr>
      </w:pPr>
      <w:r w:rsidRPr="0077398F">
        <w:rPr>
          <w:rFonts w:cs="Traditional Arabic" w:hint="cs"/>
          <w:sz w:val="26"/>
          <w:szCs w:val="26"/>
          <w:rtl/>
        </w:rPr>
        <w:t>(ﻫ</w:t>
      </w:r>
      <w:r w:rsidRPr="00367067">
        <w:rPr>
          <w:rFonts w:cs="Traditional Arabic" w:hint="cs"/>
          <w:sz w:val="12"/>
          <w:szCs w:val="12"/>
          <w:rtl/>
        </w:rPr>
        <w:t xml:space="preserve"> </w:t>
      </w:r>
      <w:r w:rsidRPr="0077398F">
        <w:rPr>
          <w:rFonts w:cs="Traditional Arabic" w:hint="cs"/>
          <w:sz w:val="26"/>
          <w:szCs w:val="26"/>
          <w:rtl/>
        </w:rPr>
        <w:t>ﻫ)</w:t>
      </w:r>
      <w:r w:rsidRPr="0077398F">
        <w:rPr>
          <w:rFonts w:cs="Traditional Arabic" w:hint="cs"/>
          <w:sz w:val="26"/>
          <w:szCs w:val="26"/>
          <w:rtl/>
        </w:rPr>
        <w:tab/>
      </w:r>
      <w:r w:rsidRPr="00CE5BE5">
        <w:rPr>
          <w:rStyle w:val="hps"/>
          <w:rFonts w:cs="Traditional Arabic"/>
          <w:sz w:val="18"/>
          <w:szCs w:val="26"/>
          <w:rtl/>
          <w:lang/>
        </w:rPr>
        <w:t>انظر لجنة</w:t>
      </w:r>
      <w:r w:rsidRPr="00CE5BE5">
        <w:rPr>
          <w:rFonts w:cs="Traditional Arabic"/>
          <w:sz w:val="18"/>
          <w:szCs w:val="26"/>
          <w:rtl/>
          <w:lang/>
        </w:rPr>
        <w:t xml:space="preserve"> </w:t>
      </w:r>
      <w:r w:rsidRPr="00CE5BE5">
        <w:rPr>
          <w:rStyle w:val="hps"/>
          <w:rFonts w:cs="Traditional Arabic"/>
          <w:sz w:val="18"/>
          <w:szCs w:val="26"/>
          <w:rtl/>
          <w:lang/>
        </w:rPr>
        <w:t>مناهضة التعذيب</w:t>
      </w:r>
      <w:r w:rsidRPr="00CE5BE5">
        <w:rPr>
          <w:rFonts w:cs="Traditional Arabic"/>
          <w:sz w:val="18"/>
          <w:szCs w:val="26"/>
          <w:rtl/>
          <w:lang/>
        </w:rPr>
        <w:t xml:space="preserve">، التعليق العام رقم </w:t>
      </w:r>
      <w:r w:rsidRPr="00CE5BE5">
        <w:rPr>
          <w:rStyle w:val="hps"/>
          <w:rFonts w:cs="Traditional Arabic"/>
          <w:sz w:val="18"/>
          <w:szCs w:val="26"/>
          <w:rtl/>
          <w:lang/>
        </w:rPr>
        <w:t>2(2007</w:t>
      </w:r>
      <w:r w:rsidRPr="00CE5BE5">
        <w:rPr>
          <w:rFonts w:cs="Traditional Arabic"/>
          <w:sz w:val="18"/>
          <w:szCs w:val="26"/>
          <w:rtl/>
          <w:lang/>
        </w:rPr>
        <w:t xml:space="preserve">) </w:t>
      </w:r>
      <w:r w:rsidRPr="00CE5BE5">
        <w:rPr>
          <w:rStyle w:val="hps"/>
          <w:rFonts w:cs="Traditional Arabic"/>
          <w:sz w:val="18"/>
          <w:szCs w:val="26"/>
          <w:rtl/>
          <w:lang/>
        </w:rPr>
        <w:t>بشأن تنفيذ</w:t>
      </w:r>
      <w:r w:rsidRPr="00CE5BE5">
        <w:rPr>
          <w:rFonts w:cs="Traditional Arabic"/>
          <w:sz w:val="18"/>
          <w:szCs w:val="26"/>
          <w:rtl/>
          <w:lang/>
        </w:rPr>
        <w:t xml:space="preserve"> </w:t>
      </w:r>
      <w:r w:rsidRPr="00CE5BE5">
        <w:rPr>
          <w:rFonts w:cs="Traditional Arabic" w:hint="cs"/>
          <w:sz w:val="18"/>
          <w:szCs w:val="26"/>
          <w:rtl/>
          <w:lang/>
        </w:rPr>
        <w:t>الدول الأطراف للمادة</w:t>
      </w:r>
      <w:r w:rsidRPr="00CE5BE5">
        <w:rPr>
          <w:rStyle w:val="hps"/>
          <w:rFonts w:cs="Traditional Arabic"/>
          <w:sz w:val="18"/>
          <w:szCs w:val="26"/>
          <w:rtl/>
          <w:lang/>
        </w:rPr>
        <w:t xml:space="preserve"> 2</w:t>
      </w:r>
      <w:r w:rsidRPr="00CE5BE5">
        <w:rPr>
          <w:rFonts w:cs="Traditional Arabic"/>
          <w:sz w:val="18"/>
          <w:szCs w:val="26"/>
          <w:rtl/>
          <w:lang/>
        </w:rPr>
        <w:t>،</w:t>
      </w:r>
      <w:r w:rsidRPr="00CE5BE5">
        <w:rPr>
          <w:rFonts w:cs="Traditional Arabic"/>
          <w:i/>
          <w:iCs/>
          <w:sz w:val="18"/>
          <w:szCs w:val="26"/>
          <w:rtl/>
          <w:lang/>
        </w:rPr>
        <w:t xml:space="preserve"> </w:t>
      </w:r>
      <w:r w:rsidRPr="00CE5BE5">
        <w:rPr>
          <w:rStyle w:val="hps"/>
          <w:rFonts w:cs="Traditional Arabic"/>
          <w:i/>
          <w:iCs/>
          <w:sz w:val="18"/>
          <w:szCs w:val="26"/>
          <w:rtl/>
          <w:lang/>
        </w:rPr>
        <w:t>الوثائق الرسمية</w:t>
      </w:r>
      <w:r w:rsidRPr="00CE5BE5">
        <w:rPr>
          <w:rFonts w:cs="Traditional Arabic"/>
          <w:i/>
          <w:iCs/>
          <w:sz w:val="18"/>
          <w:szCs w:val="26"/>
          <w:rtl/>
          <w:lang/>
        </w:rPr>
        <w:t xml:space="preserve"> </w:t>
      </w:r>
      <w:r w:rsidRPr="00CE5BE5">
        <w:rPr>
          <w:rStyle w:val="hps"/>
          <w:rFonts w:cs="Traditional Arabic"/>
          <w:i/>
          <w:iCs/>
          <w:sz w:val="18"/>
          <w:szCs w:val="26"/>
          <w:rtl/>
          <w:lang/>
        </w:rPr>
        <w:t>للجمعية العامة،</w:t>
      </w:r>
      <w:r w:rsidRPr="00CE5BE5">
        <w:rPr>
          <w:rFonts w:cs="Traditional Arabic"/>
          <w:i/>
          <w:iCs/>
          <w:sz w:val="18"/>
          <w:szCs w:val="26"/>
          <w:rtl/>
          <w:lang/>
        </w:rPr>
        <w:t xml:space="preserve"> </w:t>
      </w:r>
      <w:r w:rsidRPr="00CE5BE5">
        <w:rPr>
          <w:rStyle w:val="hps"/>
          <w:rFonts w:cs="Traditional Arabic"/>
          <w:i/>
          <w:iCs/>
          <w:sz w:val="18"/>
          <w:szCs w:val="26"/>
          <w:rtl/>
          <w:lang/>
        </w:rPr>
        <w:t>الدورة الثالثة والستون، الملحق</w:t>
      </w:r>
      <w:r w:rsidRPr="00CE5BE5">
        <w:rPr>
          <w:rFonts w:cs="Traditional Arabic"/>
          <w:i/>
          <w:iCs/>
          <w:sz w:val="18"/>
          <w:szCs w:val="26"/>
          <w:rtl/>
          <w:lang/>
        </w:rPr>
        <w:t xml:space="preserve"> </w:t>
      </w:r>
      <w:r w:rsidRPr="00CE5BE5">
        <w:rPr>
          <w:rStyle w:val="hps"/>
          <w:rFonts w:cs="Traditional Arabic"/>
          <w:i/>
          <w:iCs/>
          <w:sz w:val="18"/>
          <w:szCs w:val="26"/>
          <w:rtl/>
          <w:lang/>
        </w:rPr>
        <w:t xml:space="preserve">رقم 44 </w:t>
      </w:r>
      <w:r w:rsidRPr="00CE5BE5">
        <w:rPr>
          <w:rStyle w:val="hps"/>
          <w:rFonts w:cs="Traditional Arabic"/>
          <w:sz w:val="18"/>
          <w:szCs w:val="26"/>
          <w:rtl/>
          <w:lang/>
        </w:rPr>
        <w:t>(</w:t>
      </w:r>
      <w:r w:rsidRPr="00CE5BE5">
        <w:rPr>
          <w:rFonts w:cs="Traditional Arabic"/>
          <w:sz w:val="18"/>
          <w:szCs w:val="26"/>
        </w:rPr>
        <w:t>A/63/44</w:t>
      </w:r>
      <w:r w:rsidRPr="00CE5BE5">
        <w:rPr>
          <w:rFonts w:cs="Traditional Arabic"/>
          <w:sz w:val="18"/>
          <w:szCs w:val="26"/>
          <w:rtl/>
          <w:lang/>
        </w:rPr>
        <w:t xml:space="preserve">)، </w:t>
      </w:r>
      <w:r w:rsidRPr="00CE5BE5">
        <w:rPr>
          <w:rStyle w:val="hps"/>
          <w:rFonts w:cs="Traditional Arabic"/>
          <w:sz w:val="18"/>
          <w:szCs w:val="26"/>
          <w:rtl/>
          <w:lang/>
        </w:rPr>
        <w:t>المرفق السادس</w:t>
      </w:r>
      <w:r w:rsidRPr="00CE5BE5">
        <w:rPr>
          <w:rFonts w:cs="Traditional Arabic"/>
          <w:sz w:val="18"/>
          <w:szCs w:val="26"/>
          <w:rtl/>
          <w:lang/>
        </w:rPr>
        <w:t xml:space="preserve">، </w:t>
      </w:r>
      <w:r w:rsidRPr="00CE5BE5">
        <w:rPr>
          <w:rStyle w:val="hps"/>
          <w:rFonts w:cs="Traditional Arabic"/>
          <w:sz w:val="18"/>
          <w:szCs w:val="26"/>
          <w:rtl/>
          <w:lang/>
        </w:rPr>
        <w:t>الفقرة</w:t>
      </w:r>
      <w:r w:rsidRPr="00CE5BE5">
        <w:rPr>
          <w:rFonts w:cs="Traditional Arabic"/>
          <w:sz w:val="18"/>
          <w:szCs w:val="26"/>
          <w:rtl/>
          <w:lang/>
        </w:rPr>
        <w:t xml:space="preserve"> </w:t>
      </w:r>
      <w:r w:rsidRPr="00CE5BE5">
        <w:rPr>
          <w:rStyle w:val="hps"/>
          <w:rFonts w:cs="Traditional Arabic"/>
          <w:sz w:val="18"/>
          <w:szCs w:val="26"/>
          <w:rtl/>
          <w:lang/>
        </w:rPr>
        <w:t>5</w:t>
      </w:r>
      <w:r w:rsidRPr="00CE5BE5">
        <w:rPr>
          <w:rFonts w:cs="Traditional Arabic"/>
          <w:sz w:val="18"/>
          <w:szCs w:val="26"/>
          <w:rtl/>
          <w:lang/>
        </w:rPr>
        <w:t>.</w:t>
      </w:r>
    </w:p>
  </w:footnote>
  <w:footnote w:id="155">
    <w:p w:rsidR="00F815BA" w:rsidRPr="00CE5BE5" w:rsidRDefault="00F815BA" w:rsidP="00124D43">
      <w:pPr>
        <w:pStyle w:val="FootnoteText"/>
        <w:numPr>
          <w:ilvl w:val="0"/>
          <w:numId w:val="0"/>
        </w:numPr>
        <w:tabs>
          <w:tab w:val="left" w:pos="1226"/>
        </w:tabs>
        <w:bidi/>
        <w:spacing w:after="60" w:line="300" w:lineRule="exact"/>
        <w:ind w:left="1226" w:right="1247" w:hanging="658"/>
        <w:jc w:val="lowKashida"/>
        <w:rPr>
          <w:rFonts w:cs="Traditional Arabic"/>
          <w:sz w:val="18"/>
          <w:szCs w:val="26"/>
        </w:rPr>
      </w:pPr>
      <w:r w:rsidRPr="0077398F">
        <w:rPr>
          <w:rFonts w:cs="Traditional Arabic" w:hint="cs"/>
          <w:sz w:val="26"/>
          <w:szCs w:val="26"/>
          <w:rtl/>
        </w:rPr>
        <w:t>(</w:t>
      </w:r>
      <w:r>
        <w:rPr>
          <w:rFonts w:cs="Traditional Arabic" w:hint="cs"/>
          <w:sz w:val="26"/>
          <w:szCs w:val="26"/>
          <w:rtl/>
        </w:rPr>
        <w:t>و</w:t>
      </w:r>
      <w:r w:rsidRPr="00367067">
        <w:rPr>
          <w:rFonts w:cs="Traditional Arabic" w:hint="cs"/>
          <w:sz w:val="12"/>
          <w:szCs w:val="12"/>
          <w:rtl/>
        </w:rPr>
        <w:t xml:space="preserve"> </w:t>
      </w:r>
      <w:r>
        <w:rPr>
          <w:rFonts w:cs="Traditional Arabic" w:hint="cs"/>
          <w:sz w:val="26"/>
          <w:szCs w:val="26"/>
          <w:rtl/>
        </w:rPr>
        <w:t>و</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sz w:val="18"/>
          <w:szCs w:val="26"/>
          <w:rtl/>
          <w:lang/>
        </w:rPr>
        <w:t>انظر</w:t>
      </w:r>
      <w:r w:rsidRPr="00CE5BE5">
        <w:rPr>
          <w:rStyle w:val="hps"/>
          <w:rFonts w:cs="Traditional Arabic" w:hint="cs"/>
          <w:sz w:val="18"/>
          <w:szCs w:val="26"/>
          <w:rtl/>
          <w:lang/>
        </w:rPr>
        <w:t xml:space="preserve"> </w:t>
      </w:r>
      <w:r w:rsidRPr="00CE5BE5">
        <w:rPr>
          <w:rStyle w:val="hps"/>
          <w:rFonts w:cs="Traditional Arabic"/>
          <w:sz w:val="18"/>
          <w:szCs w:val="26"/>
          <w:rtl/>
          <w:lang/>
        </w:rPr>
        <w:t>البلاغ رقم</w:t>
      </w:r>
      <w:r w:rsidRPr="00CE5BE5">
        <w:rPr>
          <w:rFonts w:cs="Traditional Arabic"/>
          <w:sz w:val="18"/>
          <w:szCs w:val="26"/>
          <w:rtl/>
          <w:lang/>
        </w:rPr>
        <w:t xml:space="preserve"> </w:t>
      </w:r>
      <w:r w:rsidRPr="00CE5BE5">
        <w:rPr>
          <w:rStyle w:val="hps"/>
          <w:rFonts w:cs="Traditional Arabic" w:hint="cs"/>
          <w:sz w:val="18"/>
          <w:szCs w:val="26"/>
          <w:rtl/>
          <w:lang/>
        </w:rPr>
        <w:t>444</w:t>
      </w:r>
      <w:r w:rsidRPr="00CE5BE5">
        <w:rPr>
          <w:rStyle w:val="hps"/>
          <w:rFonts w:cs="Traditional Arabic"/>
          <w:sz w:val="18"/>
          <w:szCs w:val="26"/>
          <w:rtl/>
          <w:lang/>
        </w:rPr>
        <w:t>/20</w:t>
      </w:r>
      <w:r w:rsidRPr="00CE5BE5">
        <w:rPr>
          <w:rStyle w:val="hps"/>
          <w:rFonts w:cs="Traditional Arabic" w:hint="cs"/>
          <w:sz w:val="18"/>
          <w:szCs w:val="26"/>
          <w:rtl/>
          <w:lang/>
        </w:rPr>
        <w:t>10</w:t>
      </w:r>
      <w:r w:rsidRPr="00CE5BE5">
        <w:rPr>
          <w:rFonts w:cs="Traditional Arabic"/>
          <w:sz w:val="18"/>
          <w:szCs w:val="26"/>
          <w:rtl/>
          <w:lang/>
        </w:rPr>
        <w:t xml:space="preserve">، </w:t>
      </w:r>
      <w:r w:rsidRPr="00CE5BE5">
        <w:rPr>
          <w:rStyle w:val="hps"/>
          <w:rFonts w:cs="Traditional Arabic" w:hint="cs"/>
          <w:i/>
          <w:iCs/>
          <w:sz w:val="18"/>
          <w:szCs w:val="26"/>
          <w:rtl/>
          <w:lang/>
        </w:rPr>
        <w:t xml:space="preserve">عبد الصمتوف وآخرون </w:t>
      </w:r>
      <w:r w:rsidRPr="00CE5BE5">
        <w:rPr>
          <w:rStyle w:val="hps"/>
          <w:rFonts w:cs="Traditional Arabic"/>
          <w:i/>
          <w:iCs/>
          <w:sz w:val="18"/>
          <w:szCs w:val="26"/>
          <w:rtl/>
          <w:lang/>
        </w:rPr>
        <w:t>ضد</w:t>
      </w:r>
      <w:r w:rsidRPr="00CE5BE5">
        <w:rPr>
          <w:rStyle w:val="hps"/>
          <w:rFonts w:cs="Traditional Arabic" w:hint="cs"/>
          <w:i/>
          <w:iCs/>
          <w:sz w:val="18"/>
          <w:szCs w:val="26"/>
          <w:rtl/>
          <w:lang/>
        </w:rPr>
        <w:t xml:space="preserve"> كازاخستان</w:t>
      </w:r>
      <w:r w:rsidRPr="00CE5BE5">
        <w:rPr>
          <w:rFonts w:cs="Traditional Arabic"/>
          <w:sz w:val="18"/>
          <w:szCs w:val="26"/>
          <w:rtl/>
          <w:lang/>
        </w:rPr>
        <w:t>، ال</w:t>
      </w:r>
      <w:r w:rsidRPr="00CE5BE5">
        <w:rPr>
          <w:rFonts w:cs="Traditional Arabic" w:hint="cs"/>
          <w:sz w:val="18"/>
          <w:szCs w:val="26"/>
          <w:rtl/>
          <w:lang/>
        </w:rPr>
        <w:t>قرار</w:t>
      </w:r>
      <w:r w:rsidRPr="00CE5BE5">
        <w:rPr>
          <w:rFonts w:cs="Traditional Arabic"/>
          <w:sz w:val="18"/>
          <w:szCs w:val="26"/>
          <w:rtl/>
          <w:lang/>
        </w:rPr>
        <w:t xml:space="preserve"> </w:t>
      </w:r>
      <w:r w:rsidRPr="00CE5BE5">
        <w:rPr>
          <w:rStyle w:val="hps"/>
          <w:rFonts w:cs="Traditional Arabic"/>
          <w:sz w:val="18"/>
          <w:szCs w:val="26"/>
          <w:rtl/>
          <w:lang/>
        </w:rPr>
        <w:t xml:space="preserve">المعتمد في </w:t>
      </w:r>
      <w:r>
        <w:rPr>
          <w:rStyle w:val="hps"/>
          <w:rFonts w:cs="Traditional Arabic" w:hint="cs"/>
          <w:sz w:val="18"/>
          <w:szCs w:val="26"/>
          <w:rtl/>
          <w:lang/>
        </w:rPr>
        <w:t xml:space="preserve">1 حزيران/ </w:t>
      </w:r>
      <w:r w:rsidRPr="00CE5BE5">
        <w:rPr>
          <w:rStyle w:val="hps"/>
          <w:rFonts w:cs="Traditional Arabic" w:hint="cs"/>
          <w:sz w:val="18"/>
          <w:szCs w:val="26"/>
          <w:rtl/>
          <w:lang/>
        </w:rPr>
        <w:t>يونيه</w:t>
      </w:r>
      <w:r>
        <w:rPr>
          <w:rStyle w:val="hps"/>
          <w:rFonts w:cs="Traditional Arabic" w:hint="cs"/>
          <w:sz w:val="18"/>
          <w:szCs w:val="26"/>
          <w:rtl/>
          <w:lang/>
        </w:rPr>
        <w:t xml:space="preserve"> </w:t>
      </w:r>
      <w:r w:rsidRPr="00CE5BE5">
        <w:rPr>
          <w:rStyle w:val="hps"/>
          <w:rFonts w:cs="Traditional Arabic"/>
          <w:sz w:val="18"/>
          <w:szCs w:val="26"/>
          <w:rtl/>
          <w:lang/>
        </w:rPr>
        <w:t>201</w:t>
      </w:r>
      <w:r w:rsidRPr="00CE5BE5">
        <w:rPr>
          <w:rStyle w:val="hps"/>
          <w:rFonts w:cs="Traditional Arabic" w:hint="cs"/>
          <w:sz w:val="18"/>
          <w:szCs w:val="26"/>
          <w:rtl/>
          <w:lang/>
        </w:rPr>
        <w:t>2</w:t>
      </w:r>
      <w:r w:rsidRPr="00CE5BE5">
        <w:rPr>
          <w:rStyle w:val="hps"/>
          <w:rFonts w:cs="Traditional Arabic"/>
          <w:sz w:val="18"/>
          <w:szCs w:val="26"/>
          <w:rtl/>
          <w:lang/>
        </w:rPr>
        <w:t>،</w:t>
      </w:r>
      <w:r w:rsidRPr="00CE5BE5">
        <w:rPr>
          <w:rFonts w:cs="Traditional Arabic"/>
          <w:sz w:val="18"/>
          <w:szCs w:val="26"/>
          <w:rtl/>
          <w:lang/>
        </w:rPr>
        <w:t xml:space="preserve"> </w:t>
      </w:r>
      <w:r w:rsidRPr="00CE5BE5">
        <w:rPr>
          <w:rStyle w:val="hps"/>
          <w:rFonts w:cs="Traditional Arabic"/>
          <w:sz w:val="18"/>
          <w:szCs w:val="26"/>
          <w:rtl/>
          <w:lang/>
        </w:rPr>
        <w:t>الفقرة</w:t>
      </w:r>
      <w:r w:rsidRPr="00CE5BE5">
        <w:rPr>
          <w:rFonts w:cs="Traditional Arabic"/>
          <w:sz w:val="18"/>
          <w:szCs w:val="26"/>
          <w:rtl/>
          <w:lang/>
        </w:rPr>
        <w:t xml:space="preserve"> </w:t>
      </w:r>
      <w:r w:rsidRPr="00CE5BE5">
        <w:rPr>
          <w:rStyle w:val="hps"/>
          <w:rFonts w:cs="Traditional Arabic" w:hint="cs"/>
          <w:sz w:val="18"/>
          <w:szCs w:val="26"/>
          <w:rtl/>
          <w:lang/>
        </w:rPr>
        <w:t>13-10</w:t>
      </w:r>
      <w:r w:rsidRPr="00CE5BE5">
        <w:rPr>
          <w:rFonts w:cs="Traditional Arabic"/>
          <w:sz w:val="18"/>
          <w:szCs w:val="26"/>
          <w:rtl/>
          <w:lang/>
        </w:rPr>
        <w:t>.</w:t>
      </w:r>
    </w:p>
  </w:footnote>
  <w:footnote w:id="156">
    <w:p w:rsidR="00F815BA" w:rsidRPr="00CE5BE5" w:rsidRDefault="00F815BA" w:rsidP="005B7D22">
      <w:pPr>
        <w:pStyle w:val="FootnoteText"/>
        <w:numPr>
          <w:ilvl w:val="0"/>
          <w:numId w:val="0"/>
        </w:numPr>
        <w:tabs>
          <w:tab w:val="left" w:pos="1226"/>
        </w:tabs>
        <w:bidi/>
        <w:spacing w:after="60" w:line="300" w:lineRule="exact"/>
        <w:ind w:left="1226" w:right="1247" w:hanging="560"/>
        <w:jc w:val="lowKashida"/>
        <w:rPr>
          <w:rFonts w:cs="Traditional Arabic"/>
          <w:sz w:val="18"/>
          <w:szCs w:val="26"/>
        </w:rPr>
      </w:pPr>
      <w:r w:rsidRPr="0077398F">
        <w:rPr>
          <w:rFonts w:cs="Traditional Arabic" w:hint="cs"/>
          <w:sz w:val="26"/>
          <w:szCs w:val="26"/>
          <w:rtl/>
        </w:rPr>
        <w:t>(</w:t>
      </w:r>
      <w:r>
        <w:rPr>
          <w:rFonts w:cs="Traditional Arabic" w:hint="cs"/>
          <w:sz w:val="26"/>
          <w:szCs w:val="26"/>
          <w:rtl/>
        </w:rPr>
        <w:t>ز</w:t>
      </w:r>
      <w:r w:rsidRPr="00367067">
        <w:rPr>
          <w:rFonts w:cs="Traditional Arabic" w:hint="cs"/>
          <w:sz w:val="2"/>
          <w:szCs w:val="2"/>
          <w:rtl/>
        </w:rPr>
        <w:t xml:space="preserve"> </w:t>
      </w:r>
      <w:r>
        <w:rPr>
          <w:rFonts w:cs="Traditional Arabic" w:hint="cs"/>
          <w:sz w:val="26"/>
          <w:szCs w:val="26"/>
          <w:rtl/>
        </w:rPr>
        <w:t>ز</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i/>
          <w:iCs/>
          <w:sz w:val="18"/>
          <w:szCs w:val="26"/>
          <w:rtl/>
          <w:lang/>
        </w:rPr>
        <w:t>الوثائق الرسمية</w:t>
      </w:r>
      <w:r w:rsidRPr="00CE5BE5">
        <w:rPr>
          <w:rFonts w:cs="Traditional Arabic"/>
          <w:i/>
          <w:iCs/>
          <w:sz w:val="18"/>
          <w:szCs w:val="26"/>
          <w:rtl/>
          <w:lang/>
        </w:rPr>
        <w:t xml:space="preserve"> </w:t>
      </w:r>
      <w:r w:rsidRPr="00CE5BE5">
        <w:rPr>
          <w:rStyle w:val="hps"/>
          <w:rFonts w:cs="Traditional Arabic"/>
          <w:i/>
          <w:iCs/>
          <w:sz w:val="18"/>
          <w:szCs w:val="26"/>
          <w:rtl/>
          <w:lang/>
        </w:rPr>
        <w:t>للجمعية العامة،</w:t>
      </w:r>
      <w:r w:rsidRPr="00CE5BE5">
        <w:rPr>
          <w:rFonts w:cs="Traditional Arabic"/>
          <w:i/>
          <w:iCs/>
          <w:sz w:val="18"/>
          <w:szCs w:val="26"/>
          <w:rtl/>
          <w:lang/>
        </w:rPr>
        <w:t xml:space="preserve"> </w:t>
      </w:r>
      <w:r w:rsidRPr="00CE5BE5">
        <w:rPr>
          <w:rStyle w:val="hps"/>
          <w:rFonts w:cs="Traditional Arabic"/>
          <w:i/>
          <w:iCs/>
          <w:sz w:val="18"/>
          <w:szCs w:val="26"/>
          <w:rtl/>
          <w:lang/>
        </w:rPr>
        <w:t>الدورة الرابعة والخمسون، الملحق</w:t>
      </w:r>
      <w:r w:rsidRPr="00CE5BE5">
        <w:rPr>
          <w:rFonts w:cs="Traditional Arabic"/>
          <w:i/>
          <w:iCs/>
          <w:sz w:val="18"/>
          <w:szCs w:val="26"/>
          <w:rtl/>
          <w:lang/>
        </w:rPr>
        <w:t xml:space="preserve"> </w:t>
      </w:r>
      <w:r w:rsidRPr="00CE5BE5">
        <w:rPr>
          <w:rStyle w:val="hps"/>
          <w:rFonts w:cs="Traditional Arabic"/>
          <w:i/>
          <w:iCs/>
          <w:sz w:val="18"/>
          <w:szCs w:val="26"/>
          <w:rtl/>
          <w:lang/>
        </w:rPr>
        <w:t>رقم</w:t>
      </w:r>
      <w:r w:rsidRPr="00CE5BE5">
        <w:rPr>
          <w:rStyle w:val="hps"/>
          <w:rFonts w:cs="Traditional Arabic"/>
          <w:sz w:val="18"/>
          <w:szCs w:val="26"/>
          <w:rtl/>
          <w:lang/>
        </w:rPr>
        <w:t xml:space="preserve"> 44 (</w:t>
      </w:r>
      <w:r w:rsidRPr="00CE5BE5">
        <w:rPr>
          <w:rFonts w:cs="Traditional Arabic"/>
          <w:sz w:val="18"/>
          <w:szCs w:val="26"/>
          <w:lang w:val="en-CA"/>
        </w:rPr>
        <w:t>A/54/44</w:t>
      </w:r>
      <w:r w:rsidRPr="00CE5BE5">
        <w:rPr>
          <w:rFonts w:cs="Traditional Arabic"/>
          <w:sz w:val="18"/>
          <w:szCs w:val="26"/>
          <w:rtl/>
          <w:lang/>
        </w:rPr>
        <w:t xml:space="preserve">)، الفقرة </w:t>
      </w:r>
      <w:r w:rsidRPr="00CE5BE5">
        <w:rPr>
          <w:rStyle w:val="hps"/>
          <w:rFonts w:cs="Traditional Arabic"/>
          <w:sz w:val="18"/>
          <w:szCs w:val="26"/>
          <w:rtl/>
          <w:lang/>
        </w:rPr>
        <w:t>72</w:t>
      </w:r>
      <w:r w:rsidRPr="00CE5BE5">
        <w:rPr>
          <w:rFonts w:cs="Traditional Arabic"/>
          <w:sz w:val="18"/>
          <w:szCs w:val="26"/>
          <w:rtl/>
          <w:lang/>
        </w:rPr>
        <w:t>.</w:t>
      </w:r>
    </w:p>
  </w:footnote>
  <w:footnote w:id="157">
    <w:p w:rsidR="00F815BA" w:rsidRPr="00CE5BE5" w:rsidRDefault="00F815BA" w:rsidP="005B7D22">
      <w:pPr>
        <w:pStyle w:val="FootnoteText"/>
        <w:numPr>
          <w:ilvl w:val="0"/>
          <w:numId w:val="0"/>
        </w:numPr>
        <w:tabs>
          <w:tab w:val="left" w:pos="1226"/>
        </w:tabs>
        <w:bidi/>
        <w:spacing w:after="60" w:line="300" w:lineRule="exact"/>
        <w:ind w:left="1226" w:right="1247" w:hanging="560"/>
        <w:jc w:val="lowKashida"/>
        <w:rPr>
          <w:rFonts w:cs="Traditional Arabic"/>
          <w:sz w:val="18"/>
          <w:szCs w:val="26"/>
        </w:rPr>
      </w:pPr>
      <w:r w:rsidRPr="0077398F">
        <w:rPr>
          <w:rFonts w:cs="Traditional Arabic" w:hint="cs"/>
          <w:sz w:val="26"/>
          <w:szCs w:val="26"/>
          <w:rtl/>
        </w:rPr>
        <w:t>(</w:t>
      </w:r>
      <w:r>
        <w:rPr>
          <w:rFonts w:cs="Traditional Arabic" w:hint="cs"/>
          <w:sz w:val="26"/>
          <w:szCs w:val="26"/>
          <w:rtl/>
        </w:rPr>
        <w:t>ح</w:t>
      </w:r>
      <w:r w:rsidRPr="00367067">
        <w:rPr>
          <w:rFonts w:cs="Traditional Arabic" w:hint="cs"/>
          <w:sz w:val="2"/>
          <w:szCs w:val="2"/>
          <w:rtl/>
        </w:rPr>
        <w:t xml:space="preserve"> </w:t>
      </w:r>
      <w:r>
        <w:rPr>
          <w:rFonts w:cs="Traditional Arabic" w:hint="cs"/>
          <w:sz w:val="26"/>
          <w:szCs w:val="26"/>
          <w:rtl/>
        </w:rPr>
        <w:t>ح</w:t>
      </w:r>
      <w:r w:rsidRPr="0077398F">
        <w:rPr>
          <w:rFonts w:cs="Traditional Arabic" w:hint="cs"/>
          <w:sz w:val="26"/>
          <w:szCs w:val="26"/>
          <w:rtl/>
        </w:rPr>
        <w:t>)</w:t>
      </w:r>
      <w:r w:rsidRPr="0077398F">
        <w:rPr>
          <w:rFonts w:cs="Traditional Arabic" w:hint="cs"/>
          <w:sz w:val="26"/>
          <w:szCs w:val="26"/>
          <w:rtl/>
        </w:rPr>
        <w:tab/>
      </w:r>
      <w:r w:rsidRPr="00CE5BE5">
        <w:rPr>
          <w:rFonts w:cs="Traditional Arabic"/>
          <w:sz w:val="18"/>
          <w:szCs w:val="26"/>
          <w:lang w:val="en-CA"/>
        </w:rPr>
        <w:t>CCPR/C/TUN/CO/5</w:t>
      </w:r>
      <w:r w:rsidRPr="00CE5BE5">
        <w:rPr>
          <w:rStyle w:val="hps"/>
          <w:rFonts w:cs="Traditional Arabic"/>
          <w:sz w:val="18"/>
          <w:szCs w:val="26"/>
          <w:rtl/>
          <w:lang/>
        </w:rPr>
        <w:t>،</w:t>
      </w:r>
      <w:r w:rsidRPr="00CE5BE5">
        <w:rPr>
          <w:rFonts w:cs="Traditional Arabic"/>
          <w:sz w:val="18"/>
          <w:szCs w:val="26"/>
          <w:rtl/>
          <w:lang/>
        </w:rPr>
        <w:t xml:space="preserve"> </w:t>
      </w:r>
      <w:r w:rsidRPr="00CE5BE5">
        <w:rPr>
          <w:rStyle w:val="hps"/>
          <w:rFonts w:cs="Traditional Arabic"/>
          <w:sz w:val="18"/>
          <w:szCs w:val="26"/>
          <w:rtl/>
          <w:lang/>
        </w:rPr>
        <w:t>الفقرة</w:t>
      </w:r>
      <w:r w:rsidRPr="00CE5BE5">
        <w:rPr>
          <w:rFonts w:cs="Traditional Arabic"/>
          <w:sz w:val="18"/>
          <w:szCs w:val="26"/>
          <w:rtl/>
          <w:lang/>
        </w:rPr>
        <w:t xml:space="preserve"> </w:t>
      </w:r>
      <w:r w:rsidRPr="00CE5BE5">
        <w:rPr>
          <w:rStyle w:val="hps"/>
          <w:rFonts w:cs="Traditional Arabic" w:hint="cs"/>
          <w:sz w:val="18"/>
          <w:szCs w:val="26"/>
          <w:rtl/>
          <w:lang/>
        </w:rPr>
        <w:t xml:space="preserve">11 (انظر الحاشية </w:t>
      </w:r>
      <w:r>
        <w:rPr>
          <w:rStyle w:val="hps"/>
          <w:rFonts w:cs="Traditional Arabic" w:hint="cs"/>
          <w:sz w:val="18"/>
          <w:szCs w:val="26"/>
          <w:rtl/>
          <w:lang/>
        </w:rPr>
        <w:t>(ج)</w:t>
      </w:r>
      <w:r w:rsidRPr="00CE5BE5">
        <w:rPr>
          <w:rStyle w:val="hps"/>
          <w:rFonts w:cs="Traditional Arabic" w:hint="cs"/>
          <w:sz w:val="18"/>
          <w:szCs w:val="26"/>
          <w:rtl/>
          <w:lang/>
        </w:rPr>
        <w:t xml:space="preserve"> أعلاه)</w:t>
      </w:r>
      <w:r w:rsidRPr="00CE5BE5">
        <w:rPr>
          <w:rFonts w:cs="Traditional Arabic"/>
          <w:sz w:val="18"/>
          <w:szCs w:val="26"/>
          <w:rtl/>
          <w:lang/>
        </w:rPr>
        <w:t>.</w:t>
      </w:r>
    </w:p>
  </w:footnote>
  <w:footnote w:id="158">
    <w:p w:rsidR="00F815BA" w:rsidRPr="00CE5BE5" w:rsidRDefault="00F815BA" w:rsidP="005B7D22">
      <w:pPr>
        <w:pStyle w:val="FootnoteText"/>
        <w:numPr>
          <w:ilvl w:val="0"/>
          <w:numId w:val="0"/>
        </w:numPr>
        <w:tabs>
          <w:tab w:val="left" w:pos="1226"/>
        </w:tabs>
        <w:bidi/>
        <w:spacing w:after="60" w:line="300" w:lineRule="exact"/>
        <w:ind w:left="1226" w:right="1247" w:hanging="560"/>
        <w:jc w:val="lowKashida"/>
        <w:rPr>
          <w:rFonts w:cs="Traditional Arabic"/>
          <w:sz w:val="18"/>
          <w:szCs w:val="26"/>
        </w:rPr>
      </w:pPr>
      <w:r w:rsidRPr="0077398F">
        <w:rPr>
          <w:rFonts w:cs="Traditional Arabic" w:hint="cs"/>
          <w:sz w:val="26"/>
          <w:szCs w:val="26"/>
          <w:rtl/>
        </w:rPr>
        <w:t>(</w:t>
      </w:r>
      <w:r>
        <w:rPr>
          <w:rFonts w:cs="Traditional Arabic" w:hint="cs"/>
          <w:sz w:val="26"/>
          <w:szCs w:val="26"/>
          <w:rtl/>
        </w:rPr>
        <w:t>ط</w:t>
      </w:r>
      <w:r w:rsidRPr="00367067">
        <w:rPr>
          <w:rFonts w:cs="Traditional Arabic" w:hint="cs"/>
          <w:sz w:val="4"/>
          <w:szCs w:val="4"/>
          <w:rtl/>
        </w:rPr>
        <w:t xml:space="preserve"> </w:t>
      </w:r>
      <w:r>
        <w:rPr>
          <w:rFonts w:cs="Traditional Arabic" w:hint="cs"/>
          <w:sz w:val="26"/>
          <w:szCs w:val="26"/>
          <w:rtl/>
        </w:rPr>
        <w:t>ط</w:t>
      </w:r>
      <w:r w:rsidRPr="0077398F">
        <w:rPr>
          <w:rFonts w:cs="Traditional Arabic" w:hint="cs"/>
          <w:sz w:val="26"/>
          <w:szCs w:val="26"/>
          <w:rtl/>
        </w:rPr>
        <w:t>)</w:t>
      </w:r>
      <w:r w:rsidRPr="0077398F">
        <w:rPr>
          <w:rFonts w:cs="Traditional Arabic" w:hint="cs"/>
          <w:sz w:val="26"/>
          <w:szCs w:val="26"/>
          <w:rtl/>
        </w:rPr>
        <w:tab/>
      </w:r>
      <w:r w:rsidRPr="00CE5BE5">
        <w:rPr>
          <w:rStyle w:val="hps"/>
          <w:rFonts w:cs="Traditional Arabic" w:hint="cs"/>
          <w:sz w:val="18"/>
          <w:szCs w:val="26"/>
          <w:rtl/>
          <w:lang/>
        </w:rPr>
        <w:t>المرجع نفسه، الفقرة 12.</w:t>
      </w:r>
    </w:p>
  </w:footnote>
  <w:footnote w:id="159">
    <w:p w:rsidR="00F815BA" w:rsidRPr="00EF5503" w:rsidRDefault="00F815BA" w:rsidP="000241AA">
      <w:pPr>
        <w:pStyle w:val="footnoteText0"/>
        <w:rPr>
          <w:rFonts w:hint="cs"/>
          <w:rtl/>
        </w:rPr>
      </w:pPr>
      <w:r>
        <w:rPr>
          <w:rtl/>
        </w:rPr>
        <w:tab/>
      </w:r>
      <w:r w:rsidRPr="00F35EFF">
        <w:rPr>
          <w:rStyle w:val="FootnoteReference"/>
          <w:sz w:val="24"/>
          <w:szCs w:val="30"/>
          <w:vertAlign w:val="baseline"/>
          <w:rtl/>
        </w:rPr>
        <w:t>*</w:t>
      </w:r>
      <w:r>
        <w:rPr>
          <w:rtl/>
        </w:rPr>
        <w:tab/>
      </w:r>
      <w:r>
        <w:rPr>
          <w:rFonts w:hint="cs"/>
          <w:rtl/>
        </w:rPr>
        <w:t>يرد في تذييل هذه الوثيقة نص رأي فردي (مخالف) لعضو اللجنة السيد أليسيو بروني.</w:t>
      </w:r>
    </w:p>
  </w:footnote>
  <w:footnote w:id="160">
    <w:p w:rsidR="00F815BA" w:rsidRPr="00F35EFF" w:rsidRDefault="00F815BA" w:rsidP="00F35EFF">
      <w:pPr>
        <w:pStyle w:val="FootnoteText"/>
        <w:numPr>
          <w:ilvl w:val="0"/>
          <w:numId w:val="35"/>
        </w:numPr>
        <w:bidi/>
        <w:spacing w:after="60" w:line="300" w:lineRule="exact"/>
        <w:ind w:right="1247"/>
        <w:jc w:val="lowKashida"/>
        <w:rPr>
          <w:rFonts w:cs="Traditional Arabic" w:hint="cs"/>
          <w:sz w:val="18"/>
          <w:szCs w:val="26"/>
          <w:rtl/>
        </w:rPr>
      </w:pPr>
      <w:r w:rsidRPr="00F35EFF">
        <w:rPr>
          <w:rFonts w:cs="Traditional Arabic"/>
          <w:sz w:val="18"/>
          <w:szCs w:val="26"/>
          <w:rtl/>
        </w:rPr>
        <w:t xml:space="preserve">قدمت، في جملة أمور، قصاصات من الصحف عن </w:t>
      </w:r>
      <w:r w:rsidRPr="00F35EFF">
        <w:rPr>
          <w:rFonts w:cs="Traditional Arabic" w:hint="cs"/>
          <w:sz w:val="18"/>
          <w:szCs w:val="26"/>
          <w:rtl/>
        </w:rPr>
        <w:t>توقيف</w:t>
      </w:r>
      <w:r w:rsidRPr="00F35EFF">
        <w:rPr>
          <w:rFonts w:cs="Traditional Arabic"/>
          <w:sz w:val="18"/>
          <w:szCs w:val="26"/>
          <w:rtl/>
        </w:rPr>
        <w:t xml:space="preserve"> أعضاء مركز بلاد ما بين النهرين الثقافي؛ ونسخة عن التقرير الخاص بال</w:t>
      </w:r>
      <w:r w:rsidRPr="00F35EFF">
        <w:rPr>
          <w:rFonts w:cs="Traditional Arabic" w:hint="cs"/>
          <w:sz w:val="18"/>
          <w:szCs w:val="26"/>
          <w:rtl/>
        </w:rPr>
        <w:t>توقيف</w:t>
      </w:r>
      <w:r w:rsidRPr="00F35EFF">
        <w:rPr>
          <w:rFonts w:cs="Traditional Arabic"/>
          <w:sz w:val="18"/>
          <w:szCs w:val="26"/>
          <w:rtl/>
        </w:rPr>
        <w:t xml:space="preserve"> وتفتيش المنزل والمصادرة؛ ونسخة عن محضر التحقيق معها في قسم مكافحة الإرهاب، ولائحة الاتهام الصادرة بحقها عن المدعي العام للدولة في محكمة أمن الدولة في اسطنبول؛ ومقالات من الصحف عن إطلاق سراحها.</w:t>
      </w:r>
    </w:p>
  </w:footnote>
  <w:footnote w:id="161">
    <w:p w:rsidR="00F815BA" w:rsidRPr="00F35EFF" w:rsidRDefault="00F815BA" w:rsidP="00F35EFF">
      <w:pPr>
        <w:pStyle w:val="FootnoteText"/>
        <w:numPr>
          <w:ilvl w:val="0"/>
          <w:numId w:val="35"/>
        </w:numPr>
        <w:bidi/>
        <w:spacing w:after="60" w:line="300" w:lineRule="exact"/>
        <w:ind w:right="1247"/>
        <w:jc w:val="lowKashida"/>
        <w:rPr>
          <w:rFonts w:cs="Traditional Arabic" w:hint="cs"/>
          <w:sz w:val="18"/>
          <w:szCs w:val="26"/>
          <w:rtl/>
        </w:rPr>
      </w:pPr>
      <w:r w:rsidRPr="00F35EFF">
        <w:rPr>
          <w:rFonts w:cs="Traditional Arabic"/>
          <w:sz w:val="18"/>
          <w:szCs w:val="26"/>
          <w:rtl/>
        </w:rPr>
        <w:t xml:space="preserve">"تركيا"، في </w:t>
      </w:r>
      <w:r w:rsidRPr="00F35EFF">
        <w:rPr>
          <w:rFonts w:cs="Traditional Arabic"/>
          <w:i/>
          <w:iCs/>
          <w:sz w:val="18"/>
          <w:szCs w:val="26"/>
          <w:rtl/>
        </w:rPr>
        <w:t>تقرير منظمة العفو الدولية 2009: حالة حقوق الإنسان في العالم</w:t>
      </w:r>
      <w:r w:rsidRPr="00F35EFF">
        <w:rPr>
          <w:rFonts w:cs="Traditional Arabic"/>
          <w:sz w:val="18"/>
          <w:szCs w:val="26"/>
          <w:rtl/>
        </w:rPr>
        <w:t>.</w:t>
      </w:r>
    </w:p>
  </w:footnote>
  <w:footnote w:id="162">
    <w:p w:rsidR="00F815BA" w:rsidRPr="00F35EFF" w:rsidRDefault="00F815BA" w:rsidP="00F35EFF">
      <w:pPr>
        <w:pStyle w:val="FootnoteText"/>
        <w:numPr>
          <w:ilvl w:val="0"/>
          <w:numId w:val="35"/>
        </w:numPr>
        <w:bidi/>
        <w:spacing w:after="60" w:line="300" w:lineRule="exact"/>
        <w:ind w:right="1247"/>
        <w:jc w:val="lowKashida"/>
        <w:rPr>
          <w:rFonts w:cs="Traditional Arabic" w:hint="cs"/>
          <w:sz w:val="18"/>
          <w:szCs w:val="26"/>
        </w:rPr>
      </w:pPr>
      <w:r w:rsidRPr="00F35EFF">
        <w:rPr>
          <w:rFonts w:cs="Traditional Arabic"/>
          <w:sz w:val="18"/>
          <w:szCs w:val="26"/>
          <w:lang w:val="en-GB"/>
        </w:rPr>
        <w:t xml:space="preserve">Human Rights Watch, “Turkey”, in </w:t>
      </w:r>
      <w:r w:rsidRPr="00F35EFF">
        <w:rPr>
          <w:rFonts w:cs="Traditional Arabic"/>
          <w:i/>
          <w:sz w:val="18"/>
          <w:szCs w:val="26"/>
          <w:lang w:val="en-GB"/>
        </w:rPr>
        <w:t>World Report 2010</w:t>
      </w:r>
      <w:r w:rsidRPr="00F35EFF">
        <w:rPr>
          <w:rFonts w:cs="Traditional Arabic"/>
          <w:sz w:val="18"/>
          <w:szCs w:val="26"/>
          <w:lang w:val="en-GB"/>
        </w:rPr>
        <w:t>, pp. 455-459</w:t>
      </w:r>
      <w:r w:rsidRPr="00F35EFF">
        <w:rPr>
          <w:rFonts w:cs="Traditional Arabic" w:hint="cs"/>
          <w:sz w:val="18"/>
          <w:szCs w:val="26"/>
          <w:rtl/>
        </w:rPr>
        <w:t>.</w:t>
      </w:r>
    </w:p>
  </w:footnote>
  <w:footnote w:id="163">
    <w:p w:rsidR="00F815BA" w:rsidRPr="00F35EFF" w:rsidRDefault="00F815BA" w:rsidP="00F35EFF">
      <w:pPr>
        <w:pStyle w:val="FootnoteText"/>
        <w:numPr>
          <w:ilvl w:val="0"/>
          <w:numId w:val="35"/>
        </w:numPr>
        <w:bidi/>
        <w:spacing w:after="60" w:line="300" w:lineRule="exact"/>
        <w:ind w:right="1247"/>
        <w:jc w:val="lowKashida"/>
        <w:rPr>
          <w:rFonts w:cs="Traditional Arabic" w:hint="cs"/>
          <w:sz w:val="18"/>
          <w:szCs w:val="26"/>
        </w:rPr>
      </w:pPr>
      <w:r w:rsidRPr="00F35EFF">
        <w:rPr>
          <w:rFonts w:cs="Traditional Arabic" w:hint="cs"/>
          <w:sz w:val="18"/>
          <w:szCs w:val="26"/>
          <w:rtl/>
          <w:lang w:val="en-GB"/>
        </w:rPr>
        <w:t>المجلس السويسري للاجئين، التقرير القطري بشأن تركيا (2008).</w:t>
      </w:r>
    </w:p>
  </w:footnote>
  <w:footnote w:id="164">
    <w:p w:rsidR="00F815BA" w:rsidRPr="00F35EFF" w:rsidRDefault="00F815BA" w:rsidP="00367067">
      <w:pPr>
        <w:pStyle w:val="FootnoteText"/>
        <w:numPr>
          <w:ilvl w:val="0"/>
          <w:numId w:val="0"/>
        </w:numPr>
        <w:tabs>
          <w:tab w:val="left" w:pos="1240"/>
        </w:tabs>
        <w:bidi/>
        <w:spacing w:after="60" w:line="300" w:lineRule="exact"/>
        <w:ind w:left="1240" w:right="1247" w:hanging="434"/>
        <w:jc w:val="lowKashida"/>
        <w:rPr>
          <w:rFonts w:cs="Traditional Arabic" w:hint="cs"/>
          <w:spacing w:val="-4"/>
          <w:sz w:val="18"/>
          <w:szCs w:val="26"/>
        </w:rPr>
      </w:pPr>
      <w:r w:rsidRPr="00F35EFF">
        <w:rPr>
          <w:rFonts w:cs="Traditional Arabic" w:hint="cs"/>
          <w:spacing w:val="-4"/>
          <w:sz w:val="26"/>
          <w:szCs w:val="26"/>
          <w:rtl/>
        </w:rPr>
        <w:t>(ﻫ)</w:t>
      </w:r>
      <w:r w:rsidRPr="00F35EFF">
        <w:rPr>
          <w:rFonts w:cs="Traditional Arabic" w:hint="cs"/>
          <w:spacing w:val="-4"/>
          <w:sz w:val="26"/>
          <w:szCs w:val="26"/>
          <w:rtl/>
        </w:rPr>
        <w:tab/>
      </w:r>
      <w:r w:rsidRPr="00F35EFF">
        <w:rPr>
          <w:rFonts w:cs="Traditional Arabic"/>
          <w:i/>
          <w:iCs/>
          <w:spacing w:val="-4"/>
          <w:sz w:val="18"/>
          <w:szCs w:val="26"/>
          <w:rtl/>
        </w:rPr>
        <w:t xml:space="preserve">الوثائق الرسمية للجمعية العامة، الدورة الثالثة والخمسون، الملحق رقم </w:t>
      </w:r>
      <w:r w:rsidRPr="00F35EFF">
        <w:rPr>
          <w:rFonts w:cs="Traditional Arabic" w:hint="cs"/>
          <w:i/>
          <w:iCs/>
          <w:spacing w:val="-4"/>
          <w:sz w:val="18"/>
          <w:szCs w:val="26"/>
          <w:rtl/>
        </w:rPr>
        <w:t>44</w:t>
      </w:r>
      <w:r w:rsidRPr="00F35EFF">
        <w:rPr>
          <w:rFonts w:cs="Traditional Arabic" w:hint="cs"/>
          <w:spacing w:val="-4"/>
          <w:sz w:val="18"/>
          <w:szCs w:val="26"/>
          <w:rtl/>
        </w:rPr>
        <w:t xml:space="preserve"> </w:t>
      </w:r>
      <w:r w:rsidRPr="00F35EFF">
        <w:rPr>
          <w:rFonts w:cs="Traditional Arabic"/>
          <w:spacing w:val="-4"/>
          <w:sz w:val="18"/>
          <w:szCs w:val="26"/>
          <w:rtl/>
        </w:rPr>
        <w:t>(</w:t>
      </w:r>
      <w:r w:rsidRPr="00F35EFF">
        <w:rPr>
          <w:rFonts w:cs="Traditional Arabic"/>
          <w:spacing w:val="-4"/>
          <w:sz w:val="18"/>
          <w:szCs w:val="26"/>
        </w:rPr>
        <w:t>A/53/44</w:t>
      </w:r>
      <w:r w:rsidRPr="00F35EFF">
        <w:rPr>
          <w:rFonts w:cs="Traditional Arabic"/>
          <w:spacing w:val="-4"/>
          <w:sz w:val="18"/>
          <w:szCs w:val="26"/>
          <w:rtl/>
        </w:rPr>
        <w:t xml:space="preserve"> و</w:t>
      </w:r>
      <w:r w:rsidRPr="00F35EFF">
        <w:rPr>
          <w:rFonts w:cs="Traditional Arabic"/>
          <w:spacing w:val="-4"/>
          <w:sz w:val="18"/>
          <w:szCs w:val="26"/>
        </w:rPr>
        <w:t>Corr.1</w:t>
      </w:r>
      <w:r w:rsidRPr="00F35EFF">
        <w:rPr>
          <w:rFonts w:cs="Traditional Arabic"/>
          <w:spacing w:val="-4"/>
          <w:sz w:val="18"/>
          <w:szCs w:val="26"/>
          <w:rtl/>
        </w:rPr>
        <w:t>)، المرفق</w:t>
      </w:r>
      <w:r w:rsidRPr="00F35EFF">
        <w:rPr>
          <w:rFonts w:cs="Traditional Arabic" w:hint="cs"/>
          <w:spacing w:val="-4"/>
          <w:sz w:val="18"/>
          <w:szCs w:val="26"/>
          <w:rtl/>
        </w:rPr>
        <w:t> </w:t>
      </w:r>
      <w:r w:rsidRPr="00F35EFF">
        <w:rPr>
          <w:rFonts w:cs="Traditional Arabic"/>
          <w:spacing w:val="-4"/>
          <w:sz w:val="18"/>
          <w:szCs w:val="26"/>
          <w:rtl/>
        </w:rPr>
        <w:t>التاسع.</w:t>
      </w:r>
    </w:p>
  </w:footnote>
  <w:footnote w:id="165">
    <w:p w:rsidR="00F815BA" w:rsidRPr="00F35EFF" w:rsidRDefault="00F815BA" w:rsidP="00367067">
      <w:pPr>
        <w:pStyle w:val="FootnoteText"/>
        <w:numPr>
          <w:ilvl w:val="0"/>
          <w:numId w:val="0"/>
        </w:numPr>
        <w:tabs>
          <w:tab w:val="left" w:pos="1226"/>
        </w:tabs>
        <w:bidi/>
        <w:spacing w:after="60" w:line="300" w:lineRule="exact"/>
        <w:ind w:left="1226" w:right="1247" w:hanging="476"/>
        <w:jc w:val="lowKashida"/>
        <w:rPr>
          <w:rFonts w:cs="Traditional Arabic" w:hint="cs"/>
          <w:sz w:val="18"/>
          <w:szCs w:val="26"/>
        </w:rPr>
      </w:pPr>
      <w:r w:rsidRPr="00F35EFF">
        <w:rPr>
          <w:rFonts w:cs="Traditional Arabic" w:hint="cs"/>
          <w:sz w:val="26"/>
          <w:szCs w:val="26"/>
          <w:rtl/>
        </w:rPr>
        <w:t>(</w:t>
      </w:r>
      <w:r>
        <w:rPr>
          <w:rFonts w:cs="Traditional Arabic" w:hint="cs"/>
          <w:sz w:val="26"/>
          <w:szCs w:val="26"/>
          <w:rtl/>
        </w:rPr>
        <w:t>و</w:t>
      </w:r>
      <w:r w:rsidRPr="00F35EFF">
        <w:rPr>
          <w:rFonts w:cs="Traditional Arabic" w:hint="cs"/>
          <w:sz w:val="26"/>
          <w:szCs w:val="26"/>
          <w:rtl/>
        </w:rPr>
        <w:t>)</w:t>
      </w:r>
      <w:r w:rsidRPr="00F35EFF">
        <w:rPr>
          <w:rFonts w:cs="Traditional Arabic" w:hint="cs"/>
          <w:sz w:val="26"/>
          <w:szCs w:val="26"/>
          <w:rtl/>
        </w:rPr>
        <w:tab/>
      </w:r>
      <w:r w:rsidRPr="00F35EFF">
        <w:rPr>
          <w:rFonts w:cs="Traditional Arabic"/>
          <w:sz w:val="18"/>
          <w:szCs w:val="26"/>
          <w:rtl/>
        </w:rPr>
        <w:t>يرد التشديد في البلاغ الأصلي.</w:t>
      </w:r>
    </w:p>
  </w:footnote>
  <w:footnote w:id="166">
    <w:p w:rsidR="00F815BA" w:rsidRPr="00F35EFF" w:rsidRDefault="00F815BA" w:rsidP="00367067">
      <w:pPr>
        <w:pStyle w:val="FootnoteText"/>
        <w:numPr>
          <w:ilvl w:val="0"/>
          <w:numId w:val="0"/>
        </w:numPr>
        <w:tabs>
          <w:tab w:val="left" w:pos="1226"/>
        </w:tabs>
        <w:bidi/>
        <w:spacing w:after="60" w:line="300" w:lineRule="exact"/>
        <w:ind w:left="1226" w:right="1247" w:hanging="476"/>
        <w:jc w:val="lowKashida"/>
        <w:rPr>
          <w:rFonts w:cs="Traditional Arabic" w:hint="cs"/>
          <w:sz w:val="18"/>
          <w:szCs w:val="26"/>
          <w:rtl/>
        </w:rPr>
      </w:pPr>
      <w:r w:rsidRPr="00F35EFF">
        <w:rPr>
          <w:rFonts w:cs="Traditional Arabic" w:hint="cs"/>
          <w:sz w:val="26"/>
          <w:szCs w:val="26"/>
          <w:rtl/>
        </w:rPr>
        <w:t>(</w:t>
      </w:r>
      <w:r>
        <w:rPr>
          <w:rFonts w:cs="Traditional Arabic" w:hint="cs"/>
          <w:sz w:val="26"/>
          <w:szCs w:val="26"/>
          <w:rtl/>
        </w:rPr>
        <w:t>ز</w:t>
      </w:r>
      <w:r w:rsidRPr="00F35EFF">
        <w:rPr>
          <w:rFonts w:cs="Traditional Arabic" w:hint="cs"/>
          <w:sz w:val="26"/>
          <w:szCs w:val="26"/>
          <w:rtl/>
        </w:rPr>
        <w:t>)</w:t>
      </w:r>
      <w:r w:rsidRPr="00F35EFF">
        <w:rPr>
          <w:rFonts w:cs="Traditional Arabic" w:hint="cs"/>
          <w:sz w:val="26"/>
          <w:szCs w:val="26"/>
          <w:rtl/>
        </w:rPr>
        <w:tab/>
      </w:r>
      <w:r w:rsidRPr="00F35EFF">
        <w:rPr>
          <w:rFonts w:cs="Traditional Arabic" w:hint="cs"/>
          <w:b/>
          <w:sz w:val="18"/>
          <w:szCs w:val="26"/>
          <w:rtl/>
        </w:rPr>
        <w:t>انظر</w:t>
      </w:r>
      <w:r w:rsidRPr="00F35EFF">
        <w:rPr>
          <w:rFonts w:cs="Traditional Arabic"/>
          <w:sz w:val="18"/>
          <w:szCs w:val="26"/>
          <w:rtl/>
        </w:rPr>
        <w:t xml:space="preserve"> البلاغ رقم 356/2008،</w:t>
      </w:r>
      <w:r w:rsidRPr="00F35EFF">
        <w:rPr>
          <w:rFonts w:cs="Traditional Arabic" w:hint="cs"/>
          <w:sz w:val="18"/>
          <w:szCs w:val="26"/>
          <w:rtl/>
        </w:rPr>
        <w:t xml:space="preserve"> </w:t>
      </w:r>
      <w:r w:rsidRPr="00F35EFF">
        <w:rPr>
          <w:rFonts w:cs="Traditional Arabic"/>
          <w:i/>
          <w:iCs/>
          <w:sz w:val="18"/>
          <w:szCs w:val="26"/>
          <w:rtl/>
        </w:rPr>
        <w:t>ن.س. ضد سويسرا</w:t>
      </w:r>
      <w:r w:rsidRPr="00F35EFF">
        <w:rPr>
          <w:rFonts w:cs="Traditional Arabic"/>
          <w:sz w:val="18"/>
          <w:szCs w:val="26"/>
          <w:rtl/>
        </w:rPr>
        <w:t>، القرار المعتمد في 6 أيار/مايو 2010، الفقرة 7-2.</w:t>
      </w:r>
    </w:p>
  </w:footnote>
  <w:footnote w:id="167">
    <w:p w:rsidR="00F815BA" w:rsidRPr="00F35EFF" w:rsidRDefault="00F815BA" w:rsidP="00367067">
      <w:pPr>
        <w:pStyle w:val="FootnoteText"/>
        <w:numPr>
          <w:ilvl w:val="0"/>
          <w:numId w:val="0"/>
        </w:numPr>
        <w:tabs>
          <w:tab w:val="left" w:pos="1226"/>
        </w:tabs>
        <w:bidi/>
        <w:spacing w:after="60" w:line="300" w:lineRule="exact"/>
        <w:ind w:left="1226" w:right="1247" w:hanging="476"/>
        <w:jc w:val="lowKashida"/>
        <w:rPr>
          <w:rFonts w:cs="Traditional Arabic" w:hint="cs"/>
          <w:sz w:val="18"/>
          <w:szCs w:val="26"/>
        </w:rPr>
      </w:pPr>
      <w:r w:rsidRPr="00F35EFF">
        <w:rPr>
          <w:rFonts w:cs="Traditional Arabic" w:hint="cs"/>
          <w:sz w:val="26"/>
          <w:szCs w:val="26"/>
          <w:rtl/>
        </w:rPr>
        <w:t>(</w:t>
      </w:r>
      <w:r>
        <w:rPr>
          <w:rFonts w:cs="Traditional Arabic" w:hint="cs"/>
          <w:sz w:val="26"/>
          <w:szCs w:val="26"/>
          <w:rtl/>
        </w:rPr>
        <w:t>ح</w:t>
      </w:r>
      <w:r w:rsidRPr="00F35EFF">
        <w:rPr>
          <w:rFonts w:cs="Traditional Arabic" w:hint="cs"/>
          <w:sz w:val="26"/>
          <w:szCs w:val="26"/>
          <w:rtl/>
        </w:rPr>
        <w:t>)</w:t>
      </w:r>
      <w:r w:rsidRPr="00F35EFF">
        <w:rPr>
          <w:rFonts w:cs="Traditional Arabic" w:hint="cs"/>
          <w:sz w:val="26"/>
          <w:szCs w:val="26"/>
          <w:rtl/>
        </w:rPr>
        <w:tab/>
      </w:r>
      <w:r w:rsidRPr="00F35EFF">
        <w:rPr>
          <w:rFonts w:cs="Traditional Arabic" w:hint="cs"/>
          <w:b/>
          <w:sz w:val="18"/>
          <w:szCs w:val="26"/>
          <w:rtl/>
        </w:rPr>
        <w:t>انظر</w:t>
      </w:r>
      <w:r w:rsidRPr="00F35EFF">
        <w:rPr>
          <w:rFonts w:cs="Traditional Arabic"/>
          <w:sz w:val="18"/>
          <w:szCs w:val="26"/>
          <w:rtl/>
        </w:rPr>
        <w:t xml:space="preserve"> البلاغ رقم 373/2009، </w:t>
      </w:r>
      <w:r w:rsidRPr="00F35EFF">
        <w:rPr>
          <w:rFonts w:cs="Traditional Arabic"/>
          <w:i/>
          <w:iCs/>
          <w:sz w:val="18"/>
          <w:szCs w:val="26"/>
          <w:rtl/>
        </w:rPr>
        <w:t>أيتولون وغوكلو ضد السويد</w:t>
      </w:r>
      <w:r w:rsidRPr="00F35EFF">
        <w:rPr>
          <w:rFonts w:cs="Traditional Arabic"/>
          <w:sz w:val="18"/>
          <w:szCs w:val="26"/>
          <w:rtl/>
        </w:rPr>
        <w:t>، القرار المعتمد في 19 تشرين الثاني/</w:t>
      </w:r>
      <w:r w:rsidRPr="00F35EFF">
        <w:rPr>
          <w:rFonts w:cs="Traditional Arabic" w:hint="cs"/>
          <w:sz w:val="18"/>
          <w:szCs w:val="26"/>
          <w:rtl/>
        </w:rPr>
        <w:t xml:space="preserve"> نوفمبر </w:t>
      </w:r>
      <w:r w:rsidRPr="00F35EFF">
        <w:rPr>
          <w:rFonts w:cs="Traditional Arabic"/>
          <w:sz w:val="18"/>
          <w:szCs w:val="26"/>
          <w:rtl/>
        </w:rPr>
        <w:t>2010، الفقرتان 7-6 و7-7؛ والبلاغ رقم 281/2005،</w:t>
      </w:r>
      <w:r w:rsidRPr="00F35EFF">
        <w:rPr>
          <w:rFonts w:cs="Traditional Arabic"/>
          <w:i/>
          <w:iCs/>
          <w:sz w:val="18"/>
          <w:szCs w:val="26"/>
          <w:rtl/>
        </w:rPr>
        <w:t xml:space="preserve"> بليت ضد أذربيجان</w:t>
      </w:r>
      <w:r w:rsidRPr="00F35EFF">
        <w:rPr>
          <w:rFonts w:cs="Traditional Arabic"/>
          <w:sz w:val="18"/>
          <w:szCs w:val="26"/>
          <w:rtl/>
        </w:rPr>
        <w:t>، القرار المعتمد في</w:t>
      </w:r>
      <w:r w:rsidRPr="00F35EFF">
        <w:rPr>
          <w:rFonts w:cs="Traditional Arabic" w:hint="cs"/>
          <w:sz w:val="18"/>
          <w:szCs w:val="26"/>
          <w:rtl/>
        </w:rPr>
        <w:t> </w:t>
      </w:r>
      <w:r w:rsidRPr="00F35EFF">
        <w:rPr>
          <w:rFonts w:cs="Traditional Arabic"/>
          <w:sz w:val="18"/>
          <w:szCs w:val="26"/>
          <w:rtl/>
        </w:rPr>
        <w:t>1 أيار/مايو 2007، الفقرات 2-3 و</w:t>
      </w:r>
      <w:r w:rsidRPr="00F35EFF">
        <w:rPr>
          <w:rFonts w:cs="Traditional Arabic" w:hint="cs"/>
          <w:sz w:val="18"/>
          <w:szCs w:val="26"/>
          <w:rtl/>
        </w:rPr>
        <w:t>7-3</w:t>
      </w:r>
      <w:r w:rsidRPr="00F35EFF">
        <w:rPr>
          <w:rFonts w:cs="Traditional Arabic"/>
          <w:sz w:val="18"/>
          <w:szCs w:val="26"/>
          <w:rtl/>
        </w:rPr>
        <w:t xml:space="preserve"> و11؛ والبلاغ رقم 135/1999، </w:t>
      </w:r>
      <w:r w:rsidRPr="00F35EFF">
        <w:rPr>
          <w:rFonts w:cs="Traditional Arabic"/>
          <w:i/>
          <w:iCs/>
          <w:sz w:val="18"/>
          <w:szCs w:val="26"/>
          <w:rtl/>
        </w:rPr>
        <w:t>س.ج. ضد هولندا</w:t>
      </w:r>
      <w:r w:rsidRPr="00F35EFF">
        <w:rPr>
          <w:rFonts w:cs="Traditional Arabic"/>
          <w:sz w:val="18"/>
          <w:szCs w:val="26"/>
          <w:rtl/>
        </w:rPr>
        <w:t>، القرار المعتمد في 12 أيار/مايو 2004، الفقرة 6-5؛ والبلاغ رقم 214/2002،</w:t>
      </w:r>
      <w:r w:rsidRPr="00F35EFF">
        <w:rPr>
          <w:rFonts w:cs="Traditional Arabic"/>
          <w:i/>
          <w:iCs/>
          <w:sz w:val="18"/>
          <w:szCs w:val="26"/>
          <w:rtl/>
        </w:rPr>
        <w:t xml:space="preserve"> م.أ.ك. ضد ألمانيا</w:t>
      </w:r>
      <w:r w:rsidRPr="00F35EFF">
        <w:rPr>
          <w:rFonts w:cs="Traditional Arabic"/>
          <w:sz w:val="18"/>
          <w:szCs w:val="26"/>
          <w:rtl/>
        </w:rPr>
        <w:t>، القرار المعتمد في 10 أيلول/سبتمبر 2002، الفقرة 13-6.</w:t>
      </w:r>
    </w:p>
  </w:footnote>
  <w:footnote w:id="168">
    <w:p w:rsidR="00F815BA" w:rsidRPr="00F35EFF" w:rsidRDefault="00F815BA" w:rsidP="00367067">
      <w:pPr>
        <w:pStyle w:val="FootnoteText"/>
        <w:numPr>
          <w:ilvl w:val="0"/>
          <w:numId w:val="0"/>
        </w:numPr>
        <w:tabs>
          <w:tab w:val="left" w:pos="1226"/>
        </w:tabs>
        <w:bidi/>
        <w:spacing w:after="60" w:line="300" w:lineRule="exact"/>
        <w:ind w:left="1226" w:right="1247" w:hanging="476"/>
        <w:jc w:val="lowKashida"/>
        <w:rPr>
          <w:rFonts w:cs="Traditional Arabic" w:hint="cs"/>
          <w:sz w:val="18"/>
          <w:szCs w:val="26"/>
          <w:rtl/>
        </w:rPr>
      </w:pPr>
      <w:r w:rsidRPr="00F35EFF">
        <w:rPr>
          <w:rFonts w:cs="Traditional Arabic" w:hint="cs"/>
          <w:sz w:val="26"/>
          <w:szCs w:val="26"/>
          <w:rtl/>
        </w:rPr>
        <w:t>(</w:t>
      </w:r>
      <w:r>
        <w:rPr>
          <w:rFonts w:cs="Traditional Arabic" w:hint="cs"/>
          <w:sz w:val="26"/>
          <w:szCs w:val="26"/>
          <w:rtl/>
        </w:rPr>
        <w:t>ط</w:t>
      </w:r>
      <w:r w:rsidRPr="00F35EFF">
        <w:rPr>
          <w:rFonts w:cs="Traditional Arabic" w:hint="cs"/>
          <w:sz w:val="26"/>
          <w:szCs w:val="26"/>
          <w:rtl/>
        </w:rPr>
        <w:t>)</w:t>
      </w:r>
      <w:r w:rsidRPr="00F35EFF">
        <w:rPr>
          <w:rFonts w:cs="Traditional Arabic" w:hint="cs"/>
          <w:sz w:val="26"/>
          <w:szCs w:val="26"/>
          <w:rtl/>
        </w:rPr>
        <w:tab/>
      </w:r>
      <w:r w:rsidRPr="00F35EFF">
        <w:rPr>
          <w:rFonts w:cs="Traditional Arabic" w:hint="cs"/>
          <w:sz w:val="18"/>
          <w:szCs w:val="26"/>
          <w:rtl/>
        </w:rPr>
        <w:t>انظر قضية</w:t>
      </w:r>
      <w:r w:rsidRPr="00F35EFF">
        <w:rPr>
          <w:rFonts w:cs="Traditional Arabic"/>
          <w:sz w:val="18"/>
          <w:szCs w:val="26"/>
          <w:rtl/>
        </w:rPr>
        <w:t xml:space="preserve"> </w:t>
      </w:r>
      <w:r w:rsidRPr="00F35EFF">
        <w:rPr>
          <w:rFonts w:cs="Traditional Arabic"/>
          <w:i/>
          <w:iCs/>
          <w:sz w:val="18"/>
          <w:szCs w:val="26"/>
          <w:rtl/>
        </w:rPr>
        <w:t>ن.س. ضد سويسرا</w:t>
      </w:r>
      <w:r w:rsidRPr="00F35EFF">
        <w:rPr>
          <w:rFonts w:cs="Traditional Arabic"/>
          <w:sz w:val="18"/>
          <w:szCs w:val="26"/>
          <w:rtl/>
        </w:rPr>
        <w:t>، الفقرة 7-4؛ و</w:t>
      </w:r>
      <w:r w:rsidRPr="00F35EFF">
        <w:rPr>
          <w:rFonts w:cs="Traditional Arabic"/>
          <w:i/>
          <w:iCs/>
          <w:sz w:val="18"/>
          <w:szCs w:val="26"/>
          <w:rtl/>
        </w:rPr>
        <w:t>قضية م.أ.ك. ضد ألمانيا</w:t>
      </w:r>
      <w:r w:rsidRPr="00F35EFF">
        <w:rPr>
          <w:rFonts w:cs="Traditional Arabic"/>
          <w:sz w:val="18"/>
          <w:szCs w:val="26"/>
          <w:rtl/>
        </w:rPr>
        <w:t>، الفقرة 13-7.</w:t>
      </w:r>
    </w:p>
  </w:footnote>
  <w:footnote w:id="169">
    <w:p w:rsidR="00F815BA" w:rsidRPr="00F35EFF" w:rsidRDefault="00F815BA" w:rsidP="00367067">
      <w:pPr>
        <w:pStyle w:val="FootnoteText"/>
        <w:numPr>
          <w:ilvl w:val="0"/>
          <w:numId w:val="0"/>
        </w:numPr>
        <w:tabs>
          <w:tab w:val="left" w:pos="1240"/>
        </w:tabs>
        <w:bidi/>
        <w:spacing w:after="60" w:line="300" w:lineRule="exact"/>
        <w:ind w:left="1240" w:right="1247" w:hanging="434"/>
        <w:jc w:val="lowKashida"/>
        <w:rPr>
          <w:rFonts w:cs="Traditional Arabic" w:hint="cs"/>
          <w:sz w:val="18"/>
          <w:szCs w:val="26"/>
        </w:rPr>
      </w:pPr>
      <w:r w:rsidRPr="00F35EFF">
        <w:rPr>
          <w:rFonts w:cs="Traditional Arabic" w:hint="cs"/>
          <w:sz w:val="26"/>
          <w:szCs w:val="26"/>
          <w:rtl/>
        </w:rPr>
        <w:t>(</w:t>
      </w:r>
      <w:r>
        <w:rPr>
          <w:rFonts w:cs="Traditional Arabic" w:hint="cs"/>
          <w:sz w:val="26"/>
          <w:szCs w:val="26"/>
          <w:rtl/>
        </w:rPr>
        <w:t>ي</w:t>
      </w:r>
      <w:r w:rsidRPr="00F35EFF">
        <w:rPr>
          <w:rFonts w:cs="Traditional Arabic" w:hint="cs"/>
          <w:sz w:val="26"/>
          <w:szCs w:val="26"/>
          <w:rtl/>
        </w:rPr>
        <w:t>)</w:t>
      </w:r>
      <w:r w:rsidRPr="00F35EFF">
        <w:rPr>
          <w:rFonts w:cs="Traditional Arabic" w:hint="cs"/>
          <w:sz w:val="26"/>
          <w:szCs w:val="26"/>
          <w:rtl/>
        </w:rPr>
        <w:tab/>
      </w:r>
      <w:r w:rsidRPr="00F35EFF">
        <w:rPr>
          <w:rFonts w:cs="Traditional Arabic" w:hint="cs"/>
          <w:b/>
          <w:sz w:val="18"/>
          <w:szCs w:val="26"/>
          <w:rtl/>
        </w:rPr>
        <w:t xml:space="preserve">انظر </w:t>
      </w:r>
      <w:r w:rsidRPr="00F35EFF">
        <w:rPr>
          <w:rFonts w:cs="Traditional Arabic"/>
          <w:sz w:val="18"/>
          <w:szCs w:val="26"/>
          <w:rtl/>
        </w:rPr>
        <w:t xml:space="preserve">التعليق العام رقم 1، الفقرة 8(ج) [كما وردت]، والبلاغ رقم 326/2007، </w:t>
      </w:r>
      <w:r w:rsidRPr="00F35EFF">
        <w:rPr>
          <w:rFonts w:cs="Traditional Arabic"/>
          <w:i/>
          <w:iCs/>
          <w:sz w:val="18"/>
          <w:szCs w:val="26"/>
          <w:rtl/>
        </w:rPr>
        <w:t>م. ف. ضد السويد</w:t>
      </w:r>
      <w:r w:rsidRPr="00F35EFF">
        <w:rPr>
          <w:rFonts w:cs="Traditional Arabic"/>
          <w:sz w:val="18"/>
          <w:szCs w:val="26"/>
          <w:rtl/>
        </w:rPr>
        <w:t>، القرار المعتمد في 14 تشرين الثاني/نوفمبر 2008، الفقرة 7-6.</w:t>
      </w:r>
    </w:p>
  </w:footnote>
  <w:footnote w:id="170">
    <w:p w:rsidR="00F815BA" w:rsidRPr="00F35EFF" w:rsidRDefault="00F815BA" w:rsidP="00231234">
      <w:pPr>
        <w:pStyle w:val="FootnoteText"/>
        <w:numPr>
          <w:ilvl w:val="0"/>
          <w:numId w:val="0"/>
        </w:numPr>
        <w:tabs>
          <w:tab w:val="left" w:pos="1226"/>
        </w:tabs>
        <w:bidi/>
        <w:spacing w:after="60" w:line="280" w:lineRule="exact"/>
        <w:ind w:left="1224" w:right="1247" w:hanging="391"/>
        <w:jc w:val="lowKashida"/>
        <w:rPr>
          <w:rFonts w:cs="Traditional Arabic" w:hint="cs"/>
          <w:sz w:val="18"/>
          <w:szCs w:val="26"/>
          <w:rtl/>
        </w:rPr>
      </w:pPr>
      <w:r w:rsidRPr="00F35EFF">
        <w:rPr>
          <w:rFonts w:cs="Traditional Arabic" w:hint="cs"/>
          <w:sz w:val="26"/>
          <w:szCs w:val="26"/>
          <w:rtl/>
        </w:rPr>
        <w:t>(</w:t>
      </w:r>
      <w:r>
        <w:rPr>
          <w:rFonts w:cs="Traditional Arabic" w:hint="cs"/>
          <w:sz w:val="26"/>
          <w:szCs w:val="26"/>
          <w:rtl/>
        </w:rPr>
        <w:t>ك</w:t>
      </w:r>
      <w:r w:rsidRPr="00F35EFF">
        <w:rPr>
          <w:rFonts w:cs="Traditional Arabic" w:hint="cs"/>
          <w:sz w:val="26"/>
          <w:szCs w:val="26"/>
          <w:rtl/>
        </w:rPr>
        <w:t>)</w:t>
      </w:r>
      <w:r w:rsidRPr="00F35EFF">
        <w:rPr>
          <w:rFonts w:cs="Traditional Arabic" w:hint="cs"/>
          <w:sz w:val="26"/>
          <w:szCs w:val="26"/>
          <w:rtl/>
        </w:rPr>
        <w:tab/>
      </w:r>
      <w:r w:rsidRPr="00F35EFF">
        <w:rPr>
          <w:rFonts w:cs="Traditional Arabic" w:hint="cs"/>
          <w:b/>
          <w:sz w:val="18"/>
          <w:szCs w:val="26"/>
          <w:rtl/>
        </w:rPr>
        <w:t xml:space="preserve">انظر </w:t>
      </w:r>
      <w:r w:rsidRPr="00F35EFF">
        <w:rPr>
          <w:rFonts w:cs="Traditional Arabic"/>
          <w:sz w:val="18"/>
          <w:szCs w:val="26"/>
          <w:rtl/>
        </w:rPr>
        <w:t xml:space="preserve">البلاغ رقم 201/2002، </w:t>
      </w:r>
      <w:r w:rsidRPr="00F35EFF">
        <w:rPr>
          <w:rFonts w:cs="Traditional Arabic"/>
          <w:i/>
          <w:iCs/>
          <w:sz w:val="18"/>
          <w:szCs w:val="26"/>
          <w:rtl/>
        </w:rPr>
        <w:t>م.</w:t>
      </w:r>
      <w:r w:rsidRPr="00F35EFF">
        <w:rPr>
          <w:rFonts w:cs="Traditional Arabic" w:hint="cs"/>
          <w:i/>
          <w:iCs/>
          <w:sz w:val="18"/>
          <w:szCs w:val="26"/>
          <w:rtl/>
        </w:rPr>
        <w:t xml:space="preserve"> </w:t>
      </w:r>
      <w:r w:rsidRPr="00F35EFF">
        <w:rPr>
          <w:rFonts w:cs="Traditional Arabic"/>
          <w:i/>
          <w:iCs/>
          <w:sz w:val="18"/>
          <w:szCs w:val="26"/>
          <w:rtl/>
        </w:rPr>
        <w:t>ف ضد هولندا</w:t>
      </w:r>
      <w:r w:rsidRPr="00F35EFF">
        <w:rPr>
          <w:rFonts w:cs="Traditional Arabic"/>
          <w:sz w:val="18"/>
          <w:szCs w:val="26"/>
          <w:rtl/>
        </w:rPr>
        <w:t>، الآراء المعتمدة في 2 أيار/مايو 2003، الفقرة 6-2.</w:t>
      </w:r>
    </w:p>
  </w:footnote>
  <w:footnote w:id="171">
    <w:p w:rsidR="00F815BA" w:rsidRPr="00F35EFF" w:rsidRDefault="00F815BA" w:rsidP="00367067">
      <w:pPr>
        <w:pStyle w:val="FootnoteText"/>
        <w:numPr>
          <w:ilvl w:val="0"/>
          <w:numId w:val="0"/>
        </w:numPr>
        <w:tabs>
          <w:tab w:val="left" w:pos="1268"/>
        </w:tabs>
        <w:bidi/>
        <w:spacing w:after="60" w:line="300" w:lineRule="exact"/>
        <w:ind w:left="1254" w:right="1247" w:hanging="448"/>
        <w:jc w:val="lowKashida"/>
        <w:rPr>
          <w:rFonts w:cs="Traditional Arabic" w:hint="cs"/>
          <w:sz w:val="18"/>
          <w:szCs w:val="26"/>
          <w:rtl/>
        </w:rPr>
      </w:pPr>
      <w:r w:rsidRPr="00F35EFF">
        <w:rPr>
          <w:rFonts w:cs="Traditional Arabic" w:hint="cs"/>
          <w:sz w:val="26"/>
          <w:szCs w:val="26"/>
          <w:rtl/>
        </w:rPr>
        <w:t>(</w:t>
      </w:r>
      <w:r>
        <w:rPr>
          <w:rFonts w:cs="Traditional Arabic" w:hint="cs"/>
          <w:sz w:val="26"/>
          <w:szCs w:val="26"/>
          <w:rtl/>
        </w:rPr>
        <w:t>ل</w:t>
      </w:r>
      <w:r w:rsidRPr="00F35EFF">
        <w:rPr>
          <w:rFonts w:cs="Traditional Arabic" w:hint="cs"/>
          <w:sz w:val="26"/>
          <w:szCs w:val="26"/>
          <w:rtl/>
        </w:rPr>
        <w:t>)</w:t>
      </w:r>
      <w:r w:rsidRPr="00F35EFF">
        <w:rPr>
          <w:rFonts w:cs="Traditional Arabic" w:hint="cs"/>
          <w:sz w:val="26"/>
          <w:szCs w:val="26"/>
          <w:rtl/>
        </w:rPr>
        <w:tab/>
      </w:r>
      <w:r w:rsidRPr="00F35EFF">
        <w:rPr>
          <w:rFonts w:cs="Traditional Arabic" w:hint="cs"/>
          <w:b/>
          <w:sz w:val="18"/>
          <w:szCs w:val="26"/>
          <w:rtl/>
        </w:rPr>
        <w:t>انظر</w:t>
      </w:r>
      <w:r w:rsidRPr="00F35EFF">
        <w:rPr>
          <w:rFonts w:cs="Traditional Arabic"/>
          <w:sz w:val="18"/>
          <w:szCs w:val="26"/>
          <w:rtl/>
        </w:rPr>
        <w:t xml:space="preserve"> البلاغ رقم 228/2003، </w:t>
      </w:r>
      <w:r w:rsidRPr="00F35EFF">
        <w:rPr>
          <w:rFonts w:cs="Traditional Arabic"/>
          <w:i/>
          <w:iCs/>
          <w:sz w:val="18"/>
          <w:szCs w:val="26"/>
          <w:rtl/>
        </w:rPr>
        <w:t>ت.</w:t>
      </w:r>
      <w:r w:rsidRPr="00F35EFF">
        <w:rPr>
          <w:rFonts w:cs="Traditional Arabic" w:hint="cs"/>
          <w:i/>
          <w:iCs/>
          <w:sz w:val="18"/>
          <w:szCs w:val="26"/>
          <w:rtl/>
        </w:rPr>
        <w:t xml:space="preserve"> </w:t>
      </w:r>
      <w:r w:rsidRPr="00F35EFF">
        <w:rPr>
          <w:rFonts w:cs="Traditional Arabic"/>
          <w:i/>
          <w:iCs/>
          <w:sz w:val="18"/>
          <w:szCs w:val="26"/>
          <w:rtl/>
        </w:rPr>
        <w:t>م. ضد السويد</w:t>
      </w:r>
      <w:r w:rsidRPr="00F35EFF">
        <w:rPr>
          <w:rFonts w:cs="Traditional Arabic"/>
          <w:sz w:val="18"/>
          <w:szCs w:val="26"/>
          <w:rtl/>
        </w:rPr>
        <w:t xml:space="preserve">، الآراء المعتمدة في 18 تشرين الثاني/نوفمبر 2003، الفقرات 2-6 و2-8 و3-2 و6-2؛ والبلاغ رقم 220/2002، </w:t>
      </w:r>
      <w:r w:rsidRPr="00F35EFF">
        <w:rPr>
          <w:rFonts w:cs="Traditional Arabic"/>
          <w:i/>
          <w:iCs/>
          <w:sz w:val="18"/>
          <w:szCs w:val="26"/>
          <w:rtl/>
        </w:rPr>
        <w:t>ر.</w:t>
      </w:r>
      <w:r w:rsidRPr="00F35EFF">
        <w:rPr>
          <w:rFonts w:cs="Traditional Arabic" w:hint="cs"/>
          <w:i/>
          <w:iCs/>
          <w:sz w:val="18"/>
          <w:szCs w:val="26"/>
          <w:rtl/>
        </w:rPr>
        <w:t xml:space="preserve"> </w:t>
      </w:r>
      <w:r w:rsidRPr="00F35EFF">
        <w:rPr>
          <w:rFonts w:cs="Traditional Arabic"/>
          <w:i/>
          <w:iCs/>
          <w:sz w:val="18"/>
          <w:szCs w:val="26"/>
          <w:rtl/>
        </w:rPr>
        <w:t>د. ضد السويد</w:t>
      </w:r>
      <w:r w:rsidRPr="00F35EFF">
        <w:rPr>
          <w:rFonts w:cs="Traditional Arabic"/>
          <w:sz w:val="18"/>
          <w:szCs w:val="26"/>
          <w:rtl/>
        </w:rPr>
        <w:t>، القرار المعتمد في</w:t>
      </w:r>
      <w:r>
        <w:rPr>
          <w:rFonts w:cs="Traditional Arabic" w:hint="cs"/>
          <w:sz w:val="18"/>
          <w:szCs w:val="26"/>
          <w:rtl/>
        </w:rPr>
        <w:t> </w:t>
      </w:r>
      <w:r w:rsidRPr="00F35EFF">
        <w:rPr>
          <w:rFonts w:cs="Traditional Arabic"/>
          <w:sz w:val="18"/>
          <w:szCs w:val="26"/>
          <w:rtl/>
        </w:rPr>
        <w:t xml:space="preserve">2 أيار/مايو 2005، الفقرات 3-3 و5-1 و7-2؛ والبلاغ رقم 227/2003، </w:t>
      </w:r>
      <w:r w:rsidRPr="00F35EFF">
        <w:rPr>
          <w:rFonts w:cs="Traditional Arabic"/>
          <w:i/>
          <w:iCs/>
          <w:sz w:val="18"/>
          <w:szCs w:val="26"/>
          <w:rtl/>
        </w:rPr>
        <w:t>أ.</w:t>
      </w:r>
      <w:r w:rsidRPr="00F35EFF">
        <w:rPr>
          <w:rFonts w:cs="Traditional Arabic" w:hint="cs"/>
          <w:i/>
          <w:iCs/>
          <w:sz w:val="18"/>
          <w:szCs w:val="26"/>
          <w:rtl/>
        </w:rPr>
        <w:t xml:space="preserve"> </w:t>
      </w:r>
      <w:r w:rsidRPr="00F35EFF">
        <w:rPr>
          <w:rFonts w:cs="Traditional Arabic"/>
          <w:i/>
          <w:iCs/>
          <w:sz w:val="18"/>
          <w:szCs w:val="26"/>
          <w:rtl/>
        </w:rPr>
        <w:t>أ.</w:t>
      </w:r>
      <w:r w:rsidRPr="00F35EFF">
        <w:rPr>
          <w:rFonts w:cs="Traditional Arabic" w:hint="cs"/>
          <w:i/>
          <w:iCs/>
          <w:sz w:val="18"/>
          <w:szCs w:val="26"/>
          <w:rtl/>
        </w:rPr>
        <w:t xml:space="preserve"> </w:t>
      </w:r>
      <w:r w:rsidRPr="00F35EFF">
        <w:rPr>
          <w:rFonts w:cs="Traditional Arabic"/>
          <w:i/>
          <w:iCs/>
          <w:sz w:val="18"/>
          <w:szCs w:val="26"/>
          <w:rtl/>
        </w:rPr>
        <w:t>س. ضد السويد</w:t>
      </w:r>
      <w:r w:rsidRPr="00F35EFF">
        <w:rPr>
          <w:rFonts w:cs="Traditional Arabic"/>
          <w:sz w:val="18"/>
          <w:szCs w:val="26"/>
          <w:rtl/>
        </w:rPr>
        <w:t>، القرار</w:t>
      </w:r>
      <w:r w:rsidRPr="00F35EFF">
        <w:rPr>
          <w:rFonts w:cs="Traditional Arabic" w:hint="cs"/>
          <w:sz w:val="18"/>
          <w:szCs w:val="26"/>
          <w:rtl/>
        </w:rPr>
        <w:t> </w:t>
      </w:r>
      <w:r w:rsidRPr="00F35EFF">
        <w:rPr>
          <w:rFonts w:cs="Traditional Arabic"/>
          <w:sz w:val="18"/>
          <w:szCs w:val="26"/>
          <w:rtl/>
        </w:rPr>
        <w:t>المعتمد في 16 تشرين الثاني/نوفمبر 2006، الفقرة 7-3.</w:t>
      </w:r>
    </w:p>
  </w:footnote>
  <w:footnote w:id="172">
    <w:p w:rsidR="00F815BA" w:rsidRPr="00F35EFF" w:rsidRDefault="00F815BA" w:rsidP="00367067">
      <w:pPr>
        <w:pStyle w:val="FootnoteText"/>
        <w:numPr>
          <w:ilvl w:val="0"/>
          <w:numId w:val="0"/>
        </w:numPr>
        <w:tabs>
          <w:tab w:val="left" w:pos="1254"/>
        </w:tabs>
        <w:bidi/>
        <w:spacing w:after="60" w:line="300" w:lineRule="exact"/>
        <w:ind w:left="1240" w:right="1247" w:hanging="462"/>
        <w:jc w:val="lowKashida"/>
        <w:rPr>
          <w:rFonts w:cs="Traditional Arabic" w:hint="cs"/>
          <w:spacing w:val="-4"/>
          <w:sz w:val="18"/>
          <w:szCs w:val="26"/>
          <w:rtl/>
        </w:rPr>
      </w:pPr>
      <w:r w:rsidRPr="00F35EFF">
        <w:rPr>
          <w:rFonts w:cs="Traditional Arabic" w:hint="cs"/>
          <w:sz w:val="26"/>
          <w:szCs w:val="26"/>
          <w:rtl/>
        </w:rPr>
        <w:t>(</w:t>
      </w:r>
      <w:r>
        <w:rPr>
          <w:rFonts w:cs="Traditional Arabic" w:hint="cs"/>
          <w:sz w:val="26"/>
          <w:szCs w:val="26"/>
          <w:rtl/>
        </w:rPr>
        <w:t>م</w:t>
      </w:r>
      <w:r w:rsidRPr="00F35EFF">
        <w:rPr>
          <w:rFonts w:cs="Traditional Arabic" w:hint="cs"/>
          <w:sz w:val="26"/>
          <w:szCs w:val="26"/>
          <w:rtl/>
        </w:rPr>
        <w:t>)</w:t>
      </w:r>
      <w:r w:rsidRPr="00F35EFF">
        <w:rPr>
          <w:rFonts w:cs="Traditional Arabic" w:hint="cs"/>
          <w:sz w:val="26"/>
          <w:szCs w:val="26"/>
          <w:rtl/>
        </w:rPr>
        <w:tab/>
      </w:r>
      <w:r w:rsidRPr="00F35EFF">
        <w:rPr>
          <w:rFonts w:cs="Traditional Arabic" w:hint="cs"/>
          <w:spacing w:val="-4"/>
          <w:sz w:val="18"/>
          <w:szCs w:val="26"/>
          <w:rtl/>
        </w:rPr>
        <w:t>"</w:t>
      </w:r>
      <w:r w:rsidRPr="00F35EFF">
        <w:rPr>
          <w:rFonts w:cs="Traditional Arabic"/>
          <w:spacing w:val="-4"/>
          <w:sz w:val="18"/>
          <w:szCs w:val="26"/>
          <w:rtl/>
        </w:rPr>
        <w:t xml:space="preserve">تركيا"، في </w:t>
      </w:r>
      <w:r w:rsidRPr="00F35EFF">
        <w:rPr>
          <w:rFonts w:cs="Traditional Arabic"/>
          <w:i/>
          <w:iCs/>
          <w:spacing w:val="-4"/>
          <w:sz w:val="18"/>
          <w:szCs w:val="26"/>
          <w:rtl/>
        </w:rPr>
        <w:t>تقرير منظمة العفو الدولية لعام 2010: حالة حقوق الإنسان في العالم</w:t>
      </w:r>
      <w:r w:rsidRPr="00F35EFF">
        <w:rPr>
          <w:rFonts w:cs="Traditional Arabic"/>
          <w:spacing w:val="-4"/>
          <w:sz w:val="18"/>
          <w:szCs w:val="26"/>
          <w:rtl/>
        </w:rPr>
        <w:t xml:space="preserve">؛ </w:t>
      </w:r>
      <w:r w:rsidRPr="00F35EFF">
        <w:rPr>
          <w:rFonts w:cs="Traditional Arabic"/>
          <w:spacing w:val="-4"/>
          <w:sz w:val="18"/>
          <w:szCs w:val="26"/>
          <w:lang w:val="en-GB"/>
        </w:rPr>
        <w:t>Human Rights Watc</w:t>
      </w:r>
      <w:r w:rsidRPr="00F35EFF">
        <w:rPr>
          <w:rFonts w:cs="Traditional Arabic"/>
          <w:spacing w:val="-4"/>
          <w:sz w:val="18"/>
          <w:szCs w:val="26"/>
        </w:rPr>
        <w:t>h</w:t>
      </w:r>
      <w:r w:rsidRPr="00F35EFF">
        <w:rPr>
          <w:rFonts w:cs="Traditional Arabic"/>
          <w:spacing w:val="-4"/>
          <w:sz w:val="18"/>
          <w:szCs w:val="26"/>
          <w:rtl/>
        </w:rPr>
        <w:t xml:space="preserve">، (الحاشية 3 أعلاه)؛ </w:t>
      </w:r>
      <w:r w:rsidRPr="00F35EFF">
        <w:rPr>
          <w:rFonts w:cs="Traditional Arabic"/>
          <w:spacing w:val="-4"/>
          <w:sz w:val="18"/>
          <w:szCs w:val="26"/>
        </w:rPr>
        <w:t>“2010 human rights report: Turkey”</w:t>
      </w:r>
      <w:r w:rsidRPr="00F35EFF">
        <w:rPr>
          <w:rFonts w:cs="Traditional Arabic" w:hint="cs"/>
          <w:spacing w:val="-4"/>
          <w:sz w:val="18"/>
          <w:szCs w:val="26"/>
          <w:rtl/>
        </w:rPr>
        <w:t>.</w:t>
      </w:r>
    </w:p>
  </w:footnote>
  <w:footnote w:id="173">
    <w:p w:rsidR="00F815BA" w:rsidRPr="00F35EFF" w:rsidRDefault="00F815BA" w:rsidP="00367067">
      <w:pPr>
        <w:pStyle w:val="FootnoteText"/>
        <w:numPr>
          <w:ilvl w:val="0"/>
          <w:numId w:val="0"/>
        </w:numPr>
        <w:tabs>
          <w:tab w:val="left" w:pos="1254"/>
        </w:tabs>
        <w:bidi/>
        <w:spacing w:after="60" w:line="300" w:lineRule="exact"/>
        <w:ind w:left="1240" w:right="1247" w:hanging="462"/>
        <w:jc w:val="lowKashida"/>
        <w:rPr>
          <w:rFonts w:cs="Traditional Arabic" w:hint="cs"/>
          <w:sz w:val="18"/>
          <w:szCs w:val="26"/>
        </w:rPr>
      </w:pPr>
      <w:r w:rsidRPr="00F35EFF">
        <w:rPr>
          <w:rFonts w:cs="Traditional Arabic" w:hint="cs"/>
          <w:sz w:val="26"/>
          <w:szCs w:val="26"/>
          <w:rtl/>
        </w:rPr>
        <w:t>(</w:t>
      </w:r>
      <w:r>
        <w:rPr>
          <w:rFonts w:cs="Traditional Arabic" w:hint="cs"/>
          <w:sz w:val="26"/>
          <w:szCs w:val="26"/>
          <w:rtl/>
        </w:rPr>
        <w:t>ن</w:t>
      </w:r>
      <w:r w:rsidRPr="00F35EFF">
        <w:rPr>
          <w:rFonts w:cs="Traditional Arabic" w:hint="cs"/>
          <w:sz w:val="26"/>
          <w:szCs w:val="26"/>
          <w:rtl/>
        </w:rPr>
        <w:t>)</w:t>
      </w:r>
      <w:r w:rsidRPr="00F35EFF">
        <w:rPr>
          <w:rFonts w:cs="Traditional Arabic" w:hint="cs"/>
          <w:sz w:val="26"/>
          <w:szCs w:val="26"/>
          <w:rtl/>
        </w:rPr>
        <w:tab/>
      </w:r>
      <w:r w:rsidRPr="00F35EFF">
        <w:rPr>
          <w:rFonts w:cs="Traditional Arabic"/>
          <w:sz w:val="18"/>
          <w:szCs w:val="26"/>
          <w:rtl/>
        </w:rPr>
        <w:t>يبدو أن صاحبة الشكوى تشير إلى الملاحظات الختامية للجنة بشأن تركيا</w:t>
      </w:r>
      <w:r w:rsidRPr="00F35EFF">
        <w:rPr>
          <w:rFonts w:cs="Traditional Arabic" w:hint="cs"/>
          <w:sz w:val="18"/>
          <w:szCs w:val="26"/>
          <w:rtl/>
        </w:rPr>
        <w:t xml:space="preserve"> </w:t>
      </w:r>
      <w:r w:rsidRPr="00F35EFF">
        <w:rPr>
          <w:rFonts w:cs="Traditional Arabic"/>
          <w:sz w:val="18"/>
          <w:szCs w:val="26"/>
          <w:rtl/>
        </w:rPr>
        <w:t>(</w:t>
      </w:r>
      <w:r w:rsidRPr="00F35EFF">
        <w:rPr>
          <w:rFonts w:cs="Traditional Arabic"/>
          <w:sz w:val="18"/>
          <w:szCs w:val="26"/>
        </w:rPr>
        <w:t>CAT/C/TUR/CO/3</w:t>
      </w:r>
      <w:r w:rsidRPr="00F35EFF">
        <w:rPr>
          <w:rFonts w:cs="Traditional Arabic"/>
          <w:sz w:val="18"/>
          <w:szCs w:val="26"/>
          <w:rtl/>
        </w:rPr>
        <w:t>)</w:t>
      </w:r>
      <w:r w:rsidRPr="00F35EFF">
        <w:rPr>
          <w:rFonts w:cs="Traditional Arabic" w:hint="cs"/>
          <w:sz w:val="18"/>
          <w:szCs w:val="26"/>
          <w:rtl/>
        </w:rPr>
        <w:t>.</w:t>
      </w:r>
    </w:p>
  </w:footnote>
  <w:footnote w:id="174">
    <w:p w:rsidR="00F815BA" w:rsidRPr="00F35EFF" w:rsidRDefault="00F815BA" w:rsidP="00E37658">
      <w:pPr>
        <w:pStyle w:val="FootnoteText"/>
        <w:numPr>
          <w:ilvl w:val="0"/>
          <w:numId w:val="0"/>
        </w:numPr>
        <w:tabs>
          <w:tab w:val="left" w:pos="1226"/>
        </w:tabs>
        <w:bidi/>
        <w:spacing w:after="60" w:line="300" w:lineRule="exact"/>
        <w:ind w:left="1226" w:right="1247" w:hanging="490"/>
        <w:jc w:val="lowKashida"/>
        <w:rPr>
          <w:rFonts w:cs="Traditional Arabic" w:hint="cs"/>
          <w:sz w:val="18"/>
          <w:szCs w:val="26"/>
        </w:rPr>
      </w:pPr>
      <w:r w:rsidRPr="00F35EFF">
        <w:rPr>
          <w:rFonts w:cs="Traditional Arabic" w:hint="cs"/>
          <w:sz w:val="26"/>
          <w:szCs w:val="26"/>
          <w:rtl/>
        </w:rPr>
        <w:t>(</w:t>
      </w:r>
      <w:r>
        <w:rPr>
          <w:rFonts w:cs="Traditional Arabic" w:hint="cs"/>
          <w:sz w:val="26"/>
          <w:szCs w:val="26"/>
          <w:rtl/>
        </w:rPr>
        <w:t>س</w:t>
      </w:r>
      <w:r w:rsidRPr="00F35EFF">
        <w:rPr>
          <w:rFonts w:cs="Traditional Arabic" w:hint="cs"/>
          <w:sz w:val="26"/>
          <w:szCs w:val="26"/>
          <w:rtl/>
        </w:rPr>
        <w:t>)</w:t>
      </w:r>
      <w:r w:rsidRPr="00F35EFF">
        <w:rPr>
          <w:rFonts w:cs="Traditional Arabic" w:hint="cs"/>
          <w:sz w:val="26"/>
          <w:szCs w:val="26"/>
          <w:rtl/>
        </w:rPr>
        <w:tab/>
      </w:r>
      <w:r w:rsidRPr="00F35EFF">
        <w:rPr>
          <w:rFonts w:cs="Traditional Arabic"/>
          <w:sz w:val="18"/>
          <w:szCs w:val="26"/>
          <w:rtl/>
        </w:rPr>
        <w:t xml:space="preserve">انظر، في جملة أمور، البلاغ رقم 203/2002، </w:t>
      </w:r>
      <w:r w:rsidRPr="00F35EFF">
        <w:rPr>
          <w:rFonts w:cs="Traditional Arabic"/>
          <w:i/>
          <w:iCs/>
          <w:sz w:val="18"/>
          <w:szCs w:val="26"/>
          <w:rtl/>
        </w:rPr>
        <w:t>أ.</w:t>
      </w:r>
      <w:r w:rsidRPr="00F35EFF">
        <w:rPr>
          <w:rFonts w:cs="Traditional Arabic" w:hint="cs"/>
          <w:i/>
          <w:iCs/>
          <w:sz w:val="18"/>
          <w:szCs w:val="26"/>
          <w:rtl/>
        </w:rPr>
        <w:t xml:space="preserve"> </w:t>
      </w:r>
      <w:r w:rsidRPr="00F35EFF">
        <w:rPr>
          <w:rFonts w:cs="Traditional Arabic"/>
          <w:i/>
          <w:iCs/>
          <w:sz w:val="18"/>
          <w:szCs w:val="26"/>
          <w:rtl/>
        </w:rPr>
        <w:t>ر. ضد هولندا</w:t>
      </w:r>
      <w:r w:rsidRPr="00F35EFF">
        <w:rPr>
          <w:rFonts w:cs="Traditional Arabic"/>
          <w:sz w:val="18"/>
          <w:szCs w:val="26"/>
          <w:rtl/>
        </w:rPr>
        <w:t xml:space="preserve">، الآراء المعتمدة في 14 تشرين الثاني/نوفمبر 2003، الفقرة 7-3؛ والبلاغ رقم 285/2006، </w:t>
      </w:r>
      <w:r w:rsidRPr="00F35EFF">
        <w:rPr>
          <w:rFonts w:cs="Traditional Arabic"/>
          <w:i/>
          <w:iCs/>
          <w:sz w:val="18"/>
          <w:szCs w:val="26"/>
          <w:rtl/>
        </w:rPr>
        <w:t>أ. وأ. وآخرون ضد سويسرا</w:t>
      </w:r>
      <w:r w:rsidRPr="00F35EFF">
        <w:rPr>
          <w:rFonts w:cs="Traditional Arabic"/>
          <w:sz w:val="18"/>
          <w:szCs w:val="26"/>
          <w:rtl/>
        </w:rPr>
        <w:t>، القرار المعتمد في 10 تشرين</w:t>
      </w:r>
      <w:r>
        <w:rPr>
          <w:rFonts w:cs="Traditional Arabic"/>
          <w:sz w:val="18"/>
          <w:szCs w:val="26"/>
          <w:rtl/>
        </w:rPr>
        <w:t xml:space="preserve"> الثاني/نوفمبر 2008، الفقرة 7-6</w:t>
      </w:r>
      <w:r w:rsidRPr="00F35EFF">
        <w:rPr>
          <w:rFonts w:cs="Traditional Arabic"/>
          <w:sz w:val="18"/>
          <w:szCs w:val="26"/>
          <w:rtl/>
        </w:rPr>
        <w:t xml:space="preserve">؛ والبلاغ رقم 322/2007، </w:t>
      </w:r>
      <w:r w:rsidRPr="00F35EFF">
        <w:rPr>
          <w:rFonts w:cs="Traditional Arabic"/>
          <w:i/>
          <w:iCs/>
          <w:sz w:val="18"/>
          <w:szCs w:val="26"/>
          <w:rtl/>
        </w:rPr>
        <w:t>نجامبا وباليكوسا ضد السويد</w:t>
      </w:r>
      <w:r w:rsidRPr="00F35EFF">
        <w:rPr>
          <w:rFonts w:cs="Traditional Arabic"/>
          <w:sz w:val="18"/>
          <w:szCs w:val="26"/>
          <w:rtl/>
        </w:rPr>
        <w:t>، القرار المعتمد في 14 أيار/مايو 2010، الفقرة 9-4.</w:t>
      </w:r>
    </w:p>
  </w:footnote>
  <w:footnote w:id="175">
    <w:p w:rsidR="00F815BA" w:rsidRPr="00F35EFF" w:rsidRDefault="00F815BA" w:rsidP="00E37658">
      <w:pPr>
        <w:pStyle w:val="FootnoteText"/>
        <w:numPr>
          <w:ilvl w:val="0"/>
          <w:numId w:val="0"/>
        </w:numPr>
        <w:tabs>
          <w:tab w:val="left" w:pos="1226"/>
        </w:tabs>
        <w:bidi/>
        <w:spacing w:after="60" w:line="300" w:lineRule="exact"/>
        <w:ind w:left="1226" w:right="1247" w:hanging="490"/>
        <w:jc w:val="lowKashida"/>
        <w:rPr>
          <w:rFonts w:cs="Traditional Arabic" w:hint="cs"/>
          <w:sz w:val="18"/>
          <w:szCs w:val="26"/>
        </w:rPr>
      </w:pPr>
      <w:r w:rsidRPr="00F35EFF">
        <w:rPr>
          <w:rFonts w:cs="Traditional Arabic" w:hint="cs"/>
          <w:sz w:val="26"/>
          <w:szCs w:val="26"/>
          <w:rtl/>
        </w:rPr>
        <w:t>(</w:t>
      </w:r>
      <w:r>
        <w:rPr>
          <w:rFonts w:cs="Traditional Arabic" w:hint="cs"/>
          <w:sz w:val="26"/>
          <w:szCs w:val="26"/>
          <w:rtl/>
        </w:rPr>
        <w:t>ع</w:t>
      </w:r>
      <w:r w:rsidRPr="00F35EFF">
        <w:rPr>
          <w:rFonts w:cs="Traditional Arabic" w:hint="cs"/>
          <w:sz w:val="26"/>
          <w:szCs w:val="26"/>
          <w:rtl/>
        </w:rPr>
        <w:t>)</w:t>
      </w:r>
      <w:r w:rsidRPr="00F35EFF">
        <w:rPr>
          <w:rFonts w:cs="Traditional Arabic" w:hint="cs"/>
          <w:sz w:val="26"/>
          <w:szCs w:val="26"/>
          <w:rtl/>
        </w:rPr>
        <w:tab/>
      </w:r>
      <w:r w:rsidRPr="00F35EFF">
        <w:rPr>
          <w:rFonts w:cs="Traditional Arabic"/>
          <w:sz w:val="18"/>
          <w:szCs w:val="26"/>
          <w:rtl/>
        </w:rPr>
        <w:t>انظر، في جملة أمور،</w:t>
      </w:r>
      <w:r w:rsidRPr="00F35EFF">
        <w:rPr>
          <w:rFonts w:cs="Traditional Arabic" w:hint="cs"/>
          <w:sz w:val="18"/>
          <w:szCs w:val="26"/>
          <w:rtl/>
        </w:rPr>
        <w:t xml:space="preserve"> </w:t>
      </w:r>
      <w:r w:rsidRPr="00F35EFF">
        <w:rPr>
          <w:rFonts w:cs="Traditional Arabic" w:hint="cs"/>
          <w:i/>
          <w:iCs/>
          <w:sz w:val="18"/>
          <w:szCs w:val="26"/>
          <w:rtl/>
        </w:rPr>
        <w:t>ن.س.</w:t>
      </w:r>
      <w:r w:rsidRPr="00F35EFF">
        <w:rPr>
          <w:rFonts w:cs="Traditional Arabic"/>
          <w:i/>
          <w:iCs/>
          <w:sz w:val="18"/>
          <w:szCs w:val="26"/>
        </w:rPr>
        <w:t xml:space="preserve"> </w:t>
      </w:r>
      <w:r w:rsidRPr="00F35EFF">
        <w:rPr>
          <w:rFonts w:cs="Traditional Arabic"/>
          <w:i/>
          <w:iCs/>
          <w:sz w:val="18"/>
          <w:szCs w:val="26"/>
          <w:rtl/>
        </w:rPr>
        <w:t>ضد سويسرا</w:t>
      </w:r>
      <w:r w:rsidRPr="00F35EFF">
        <w:rPr>
          <w:rFonts w:cs="Traditional Arabic"/>
          <w:sz w:val="18"/>
          <w:szCs w:val="26"/>
          <w:rtl/>
        </w:rPr>
        <w:t>، الفقر</w:t>
      </w:r>
      <w:r w:rsidRPr="00F35EFF">
        <w:rPr>
          <w:rFonts w:cs="Traditional Arabic" w:hint="cs"/>
          <w:sz w:val="18"/>
          <w:szCs w:val="26"/>
          <w:rtl/>
        </w:rPr>
        <w:t>ة 7-3.</w:t>
      </w:r>
    </w:p>
  </w:footnote>
  <w:footnote w:id="176">
    <w:p w:rsidR="00F815BA" w:rsidRPr="00F35EFF" w:rsidRDefault="00F815BA" w:rsidP="00F35EFF">
      <w:pPr>
        <w:pStyle w:val="FootnoteText"/>
        <w:numPr>
          <w:ilvl w:val="0"/>
          <w:numId w:val="0"/>
        </w:numPr>
        <w:tabs>
          <w:tab w:val="left" w:pos="1226"/>
        </w:tabs>
        <w:bidi/>
        <w:spacing w:after="60" w:line="300" w:lineRule="exact"/>
        <w:ind w:left="1226" w:right="1247" w:hanging="476"/>
        <w:jc w:val="lowKashida"/>
        <w:rPr>
          <w:rFonts w:cs="Traditional Arabic" w:hint="cs"/>
          <w:sz w:val="18"/>
          <w:szCs w:val="26"/>
        </w:rPr>
      </w:pPr>
      <w:r w:rsidRPr="00F35EFF">
        <w:rPr>
          <w:rFonts w:cs="Traditional Arabic" w:hint="cs"/>
          <w:sz w:val="26"/>
          <w:szCs w:val="26"/>
          <w:rtl/>
        </w:rPr>
        <w:t>(</w:t>
      </w:r>
      <w:r>
        <w:rPr>
          <w:rFonts w:cs="Traditional Arabic" w:hint="cs"/>
          <w:sz w:val="26"/>
          <w:szCs w:val="26"/>
          <w:rtl/>
        </w:rPr>
        <w:t>ف</w:t>
      </w:r>
      <w:r w:rsidRPr="00F35EFF">
        <w:rPr>
          <w:rFonts w:cs="Traditional Arabic" w:hint="cs"/>
          <w:sz w:val="26"/>
          <w:szCs w:val="26"/>
          <w:rtl/>
        </w:rPr>
        <w:t>)</w:t>
      </w:r>
      <w:r w:rsidRPr="00F35EFF">
        <w:rPr>
          <w:rFonts w:cs="Traditional Arabic" w:hint="cs"/>
          <w:sz w:val="26"/>
          <w:szCs w:val="26"/>
          <w:rtl/>
        </w:rPr>
        <w:tab/>
      </w:r>
      <w:r w:rsidRPr="00F35EFF">
        <w:rPr>
          <w:rFonts w:cs="Traditional Arabic"/>
          <w:sz w:val="18"/>
          <w:szCs w:val="26"/>
          <w:rtl/>
        </w:rPr>
        <w:t xml:space="preserve">انظر، على سبيل المثال، البلاغ رقم </w:t>
      </w:r>
      <w:r w:rsidRPr="00F35EFF">
        <w:rPr>
          <w:rFonts w:cs="Traditional Arabic" w:hint="cs"/>
          <w:sz w:val="18"/>
          <w:szCs w:val="26"/>
          <w:rtl/>
        </w:rPr>
        <w:t>245/2004</w:t>
      </w:r>
      <w:r w:rsidRPr="00F35EFF">
        <w:rPr>
          <w:rFonts w:cs="Traditional Arabic"/>
          <w:sz w:val="18"/>
          <w:szCs w:val="26"/>
          <w:rtl/>
        </w:rPr>
        <w:t xml:space="preserve">، </w:t>
      </w:r>
      <w:r w:rsidRPr="00F35EFF">
        <w:rPr>
          <w:rFonts w:cs="Traditional Arabic" w:hint="cs"/>
          <w:i/>
          <w:iCs/>
          <w:sz w:val="18"/>
          <w:szCs w:val="26"/>
          <w:rtl/>
        </w:rPr>
        <w:t>س.</w:t>
      </w:r>
      <w:r>
        <w:rPr>
          <w:rFonts w:cs="Traditional Arabic" w:hint="cs"/>
          <w:i/>
          <w:iCs/>
          <w:sz w:val="18"/>
          <w:szCs w:val="26"/>
          <w:rtl/>
        </w:rPr>
        <w:t xml:space="preserve"> </w:t>
      </w:r>
      <w:r w:rsidRPr="00F35EFF">
        <w:rPr>
          <w:rFonts w:cs="Traditional Arabic" w:hint="cs"/>
          <w:i/>
          <w:iCs/>
          <w:sz w:val="18"/>
          <w:szCs w:val="26"/>
          <w:rtl/>
        </w:rPr>
        <w:t>س.</w:t>
      </w:r>
      <w:r>
        <w:rPr>
          <w:rFonts w:cs="Traditional Arabic" w:hint="cs"/>
          <w:i/>
          <w:iCs/>
          <w:sz w:val="18"/>
          <w:szCs w:val="26"/>
          <w:rtl/>
        </w:rPr>
        <w:t xml:space="preserve"> </w:t>
      </w:r>
      <w:r w:rsidRPr="00F35EFF">
        <w:rPr>
          <w:rFonts w:cs="Traditional Arabic" w:hint="cs"/>
          <w:i/>
          <w:iCs/>
          <w:sz w:val="18"/>
          <w:szCs w:val="26"/>
          <w:rtl/>
        </w:rPr>
        <w:t xml:space="preserve">س. </w:t>
      </w:r>
      <w:r w:rsidRPr="00F35EFF">
        <w:rPr>
          <w:rFonts w:cs="Traditional Arabic"/>
          <w:i/>
          <w:iCs/>
          <w:sz w:val="18"/>
          <w:szCs w:val="26"/>
          <w:rtl/>
        </w:rPr>
        <w:t>ضد كندا</w:t>
      </w:r>
      <w:r w:rsidRPr="00F35EFF">
        <w:rPr>
          <w:rFonts w:cs="Traditional Arabic"/>
          <w:sz w:val="18"/>
          <w:szCs w:val="26"/>
          <w:rtl/>
        </w:rPr>
        <w:t xml:space="preserve">، </w:t>
      </w:r>
      <w:r w:rsidRPr="00F35EFF">
        <w:rPr>
          <w:rFonts w:cs="Traditional Arabic" w:hint="cs"/>
          <w:sz w:val="18"/>
          <w:szCs w:val="26"/>
          <w:rtl/>
        </w:rPr>
        <w:t>القرار</w:t>
      </w:r>
      <w:r w:rsidRPr="00F35EFF">
        <w:rPr>
          <w:rFonts w:cs="Traditional Arabic"/>
          <w:sz w:val="18"/>
          <w:szCs w:val="26"/>
          <w:rtl/>
        </w:rPr>
        <w:t xml:space="preserve"> المعتمد في 16 </w:t>
      </w:r>
      <w:r w:rsidRPr="00F35EFF">
        <w:rPr>
          <w:rFonts w:cs="Traditional Arabic" w:hint="cs"/>
          <w:sz w:val="18"/>
          <w:szCs w:val="26"/>
          <w:rtl/>
        </w:rPr>
        <w:t xml:space="preserve">تشرين الثاني/نوفمبر </w:t>
      </w:r>
      <w:r w:rsidRPr="00F35EFF">
        <w:rPr>
          <w:rFonts w:cs="Traditional Arabic"/>
          <w:sz w:val="18"/>
          <w:szCs w:val="26"/>
          <w:rtl/>
        </w:rPr>
        <w:t>2005، الفقرة</w:t>
      </w:r>
      <w:r w:rsidRPr="00F35EFF">
        <w:rPr>
          <w:rFonts w:cs="Traditional Arabic" w:hint="cs"/>
          <w:sz w:val="18"/>
          <w:szCs w:val="26"/>
          <w:rtl/>
        </w:rPr>
        <w:t xml:space="preserve"> 8-4.</w:t>
      </w:r>
    </w:p>
  </w:footnote>
  <w:footnote w:id="177">
    <w:p w:rsidR="00F815BA" w:rsidRPr="00F35EFF" w:rsidRDefault="00F815BA" w:rsidP="00E37658">
      <w:pPr>
        <w:pStyle w:val="FootnoteText"/>
        <w:numPr>
          <w:ilvl w:val="0"/>
          <w:numId w:val="0"/>
        </w:numPr>
        <w:tabs>
          <w:tab w:val="left" w:pos="1226"/>
        </w:tabs>
        <w:bidi/>
        <w:spacing w:after="60" w:line="260" w:lineRule="exact"/>
        <w:ind w:left="1224" w:right="1247" w:hanging="502"/>
        <w:jc w:val="lowKashida"/>
        <w:rPr>
          <w:rFonts w:cs="Traditional Arabic" w:hint="cs"/>
          <w:sz w:val="18"/>
          <w:szCs w:val="26"/>
        </w:rPr>
      </w:pPr>
      <w:r w:rsidRPr="00F35EFF">
        <w:rPr>
          <w:rFonts w:cs="Traditional Arabic" w:hint="cs"/>
          <w:sz w:val="26"/>
          <w:szCs w:val="26"/>
          <w:rtl/>
        </w:rPr>
        <w:t>(</w:t>
      </w:r>
      <w:r>
        <w:rPr>
          <w:rFonts w:cs="Traditional Arabic" w:hint="cs"/>
          <w:sz w:val="26"/>
          <w:szCs w:val="26"/>
          <w:rtl/>
        </w:rPr>
        <w:t>ص</w:t>
      </w:r>
      <w:r w:rsidRPr="00F35EFF">
        <w:rPr>
          <w:rFonts w:cs="Traditional Arabic" w:hint="cs"/>
          <w:sz w:val="26"/>
          <w:szCs w:val="26"/>
          <w:rtl/>
        </w:rPr>
        <w:t>)</w:t>
      </w:r>
      <w:r w:rsidRPr="00F35EFF">
        <w:rPr>
          <w:rFonts w:cs="Traditional Arabic" w:hint="cs"/>
          <w:sz w:val="26"/>
          <w:szCs w:val="26"/>
          <w:rtl/>
        </w:rPr>
        <w:tab/>
      </w:r>
      <w:r w:rsidRPr="00F35EFF">
        <w:rPr>
          <w:rFonts w:cs="Traditional Arabic"/>
          <w:sz w:val="18"/>
          <w:szCs w:val="26"/>
        </w:rPr>
        <w:t>United States Department of State, “Turkey 2012 human rights report”, p. 5</w:t>
      </w:r>
      <w:r w:rsidRPr="00F35EFF">
        <w:rPr>
          <w:rFonts w:cs="Traditional Arabic" w:hint="cs"/>
          <w:sz w:val="18"/>
          <w:szCs w:val="26"/>
          <w:rtl/>
        </w:rPr>
        <w:t>.</w:t>
      </w:r>
    </w:p>
  </w:footnote>
  <w:footnote w:id="178">
    <w:p w:rsidR="00F815BA" w:rsidRPr="00F35EFF" w:rsidRDefault="00F815BA" w:rsidP="00E37658">
      <w:pPr>
        <w:pStyle w:val="FootnoteText"/>
        <w:numPr>
          <w:ilvl w:val="0"/>
          <w:numId w:val="0"/>
        </w:numPr>
        <w:tabs>
          <w:tab w:val="left" w:pos="1226"/>
        </w:tabs>
        <w:bidi/>
        <w:spacing w:after="60" w:line="260" w:lineRule="exact"/>
        <w:ind w:left="1224" w:right="1247" w:hanging="502"/>
        <w:jc w:val="lowKashida"/>
        <w:rPr>
          <w:rFonts w:cs="Traditional Arabic" w:hint="cs"/>
          <w:sz w:val="18"/>
          <w:szCs w:val="26"/>
        </w:rPr>
      </w:pPr>
      <w:r w:rsidRPr="00F35EFF">
        <w:rPr>
          <w:rFonts w:cs="Traditional Arabic" w:hint="cs"/>
          <w:sz w:val="26"/>
          <w:szCs w:val="26"/>
          <w:rtl/>
        </w:rPr>
        <w:t>(</w:t>
      </w:r>
      <w:r>
        <w:rPr>
          <w:rFonts w:cs="Traditional Arabic" w:hint="cs"/>
          <w:sz w:val="26"/>
          <w:szCs w:val="26"/>
          <w:rtl/>
        </w:rPr>
        <w:t>ق</w:t>
      </w:r>
      <w:r w:rsidRPr="00F35EFF">
        <w:rPr>
          <w:rFonts w:cs="Traditional Arabic" w:hint="cs"/>
          <w:sz w:val="26"/>
          <w:szCs w:val="26"/>
          <w:rtl/>
        </w:rPr>
        <w:t>)</w:t>
      </w:r>
      <w:r w:rsidRPr="00F35EFF">
        <w:rPr>
          <w:rFonts w:cs="Traditional Arabic" w:hint="cs"/>
          <w:sz w:val="26"/>
          <w:szCs w:val="26"/>
          <w:rtl/>
        </w:rPr>
        <w:tab/>
      </w:r>
      <w:r w:rsidRPr="00F35EFF">
        <w:rPr>
          <w:rFonts w:cs="Traditional Arabic"/>
          <w:sz w:val="18"/>
          <w:szCs w:val="26"/>
        </w:rPr>
        <w:t>European Commission, “</w:t>
      </w:r>
      <w:r w:rsidRPr="00F35EFF">
        <w:rPr>
          <w:rFonts w:cs="Traditional Arabic"/>
          <w:bCs/>
          <w:sz w:val="18"/>
          <w:szCs w:val="26"/>
          <w:lang w:eastAsia="en-GB"/>
        </w:rPr>
        <w:t xml:space="preserve">Turkey 2012 progress report” (10 October 2012), p. 19. Available from </w:t>
      </w:r>
      <w:hyperlink r:id="rId3" w:history="1">
        <w:r w:rsidRPr="00F35EFF">
          <w:rPr>
            <w:rStyle w:val="Hyperlink"/>
            <w:rFonts w:cs="Traditional Arabic"/>
            <w:bCs/>
            <w:sz w:val="18"/>
            <w:szCs w:val="26"/>
            <w:lang w:eastAsia="en-GB"/>
          </w:rPr>
          <w:t>http://ec.europa.eu/enlargement/pdf/key_documents/2012/package/tr_rapport_2012_en.pdf</w:t>
        </w:r>
      </w:hyperlink>
      <w:r w:rsidRPr="00F35EFF">
        <w:rPr>
          <w:rFonts w:cs="Traditional Arabic" w:hint="cs"/>
          <w:sz w:val="18"/>
          <w:szCs w:val="26"/>
          <w:rtl/>
        </w:rPr>
        <w:t>.</w:t>
      </w:r>
    </w:p>
  </w:footnote>
  <w:footnote w:id="179">
    <w:p w:rsidR="00F815BA" w:rsidRPr="00F35EFF" w:rsidRDefault="00F815BA" w:rsidP="00E37658">
      <w:pPr>
        <w:pStyle w:val="FootnoteText"/>
        <w:numPr>
          <w:ilvl w:val="0"/>
          <w:numId w:val="0"/>
        </w:numPr>
        <w:tabs>
          <w:tab w:val="left" w:pos="1226"/>
        </w:tabs>
        <w:bidi/>
        <w:spacing w:after="60" w:line="300" w:lineRule="exact"/>
        <w:ind w:left="1226" w:right="1247" w:hanging="502"/>
        <w:jc w:val="lowKashida"/>
        <w:rPr>
          <w:rFonts w:cs="Traditional Arabic" w:hint="cs"/>
          <w:sz w:val="18"/>
          <w:szCs w:val="26"/>
          <w:rtl/>
        </w:rPr>
      </w:pPr>
      <w:r w:rsidRPr="00F35EFF">
        <w:rPr>
          <w:rFonts w:cs="Traditional Arabic" w:hint="cs"/>
          <w:sz w:val="26"/>
          <w:szCs w:val="26"/>
          <w:rtl/>
        </w:rPr>
        <w:t>(</w:t>
      </w:r>
      <w:r>
        <w:rPr>
          <w:rFonts w:cs="Traditional Arabic" w:hint="cs"/>
          <w:sz w:val="26"/>
          <w:szCs w:val="26"/>
          <w:rtl/>
        </w:rPr>
        <w:t>ر</w:t>
      </w:r>
      <w:r w:rsidRPr="00F35EFF">
        <w:rPr>
          <w:rFonts w:cs="Traditional Arabic" w:hint="cs"/>
          <w:sz w:val="26"/>
          <w:szCs w:val="26"/>
          <w:rtl/>
        </w:rPr>
        <w:t>)</w:t>
      </w:r>
      <w:r w:rsidRPr="00F35EFF">
        <w:rPr>
          <w:rFonts w:cs="Traditional Arabic" w:hint="cs"/>
          <w:sz w:val="26"/>
          <w:szCs w:val="26"/>
          <w:rtl/>
        </w:rPr>
        <w:tab/>
      </w:r>
      <w:r w:rsidRPr="00F35EFF">
        <w:rPr>
          <w:rFonts w:cs="Traditional Arabic"/>
          <w:sz w:val="18"/>
          <w:szCs w:val="26"/>
          <w:rtl/>
        </w:rPr>
        <w:t xml:space="preserve">المرجع نفسه، </w:t>
      </w:r>
      <w:r w:rsidRPr="00F35EFF">
        <w:rPr>
          <w:rFonts w:cs="Traditional Arabic" w:hint="cs"/>
          <w:sz w:val="18"/>
          <w:szCs w:val="26"/>
          <w:rtl/>
        </w:rPr>
        <w:t>الفقرتان</w:t>
      </w:r>
      <w:r w:rsidRPr="00F35EFF">
        <w:rPr>
          <w:rFonts w:cs="Traditional Arabic"/>
          <w:sz w:val="18"/>
          <w:szCs w:val="26"/>
          <w:rtl/>
        </w:rPr>
        <w:t xml:space="preserve"> 19 و72</w:t>
      </w:r>
      <w:r w:rsidRPr="00F35EFF">
        <w:rPr>
          <w:rFonts w:cs="Traditional Arabic" w:hint="cs"/>
          <w:sz w:val="18"/>
          <w:szCs w:val="26"/>
          <w:rtl/>
        </w:rPr>
        <w:t>.</w:t>
      </w:r>
    </w:p>
  </w:footnote>
  <w:footnote w:id="180">
    <w:p w:rsidR="00F815BA" w:rsidRPr="00F35EFF" w:rsidRDefault="00F815BA" w:rsidP="00E37658">
      <w:pPr>
        <w:pStyle w:val="FootnoteText"/>
        <w:numPr>
          <w:ilvl w:val="0"/>
          <w:numId w:val="0"/>
        </w:numPr>
        <w:tabs>
          <w:tab w:val="left" w:pos="1226"/>
        </w:tabs>
        <w:bidi/>
        <w:spacing w:after="60" w:line="300" w:lineRule="exact"/>
        <w:ind w:left="1226" w:right="1247" w:hanging="502"/>
        <w:jc w:val="lowKashida"/>
        <w:rPr>
          <w:rFonts w:cs="Traditional Arabic" w:hint="cs"/>
          <w:sz w:val="18"/>
          <w:szCs w:val="26"/>
        </w:rPr>
      </w:pPr>
      <w:r w:rsidRPr="00F35EFF">
        <w:rPr>
          <w:rFonts w:cs="Traditional Arabic" w:hint="cs"/>
          <w:sz w:val="26"/>
          <w:szCs w:val="26"/>
          <w:rtl/>
        </w:rPr>
        <w:t>(</w:t>
      </w:r>
      <w:r>
        <w:rPr>
          <w:rFonts w:cs="Traditional Arabic" w:hint="cs"/>
          <w:sz w:val="26"/>
          <w:szCs w:val="26"/>
          <w:rtl/>
        </w:rPr>
        <w:t>ش</w:t>
      </w:r>
      <w:r w:rsidRPr="00F35EFF">
        <w:rPr>
          <w:rFonts w:cs="Traditional Arabic" w:hint="cs"/>
          <w:sz w:val="26"/>
          <w:szCs w:val="26"/>
          <w:rtl/>
        </w:rPr>
        <w:t>)</w:t>
      </w:r>
      <w:r w:rsidRPr="00F35EFF">
        <w:rPr>
          <w:rFonts w:cs="Traditional Arabic" w:hint="cs"/>
          <w:sz w:val="26"/>
          <w:szCs w:val="26"/>
          <w:rtl/>
        </w:rPr>
        <w:tab/>
      </w:r>
      <w:r w:rsidRPr="00F35EFF">
        <w:rPr>
          <w:rFonts w:cs="Traditional Arabic" w:hint="cs"/>
          <w:sz w:val="18"/>
          <w:szCs w:val="26"/>
          <w:rtl/>
        </w:rPr>
        <w:t xml:space="preserve">انظر </w:t>
      </w:r>
      <w:r w:rsidRPr="00F35EFF">
        <w:rPr>
          <w:rFonts w:cs="Traditional Arabic"/>
          <w:sz w:val="18"/>
          <w:szCs w:val="26"/>
        </w:rPr>
        <w:t>United States Department of State</w:t>
      </w:r>
      <w:r w:rsidRPr="00F35EFF">
        <w:rPr>
          <w:rFonts w:cs="Traditional Arabic"/>
          <w:sz w:val="18"/>
          <w:szCs w:val="26"/>
          <w:lang w:val="en-GB"/>
        </w:rPr>
        <w:t>, “Turkey 2012 human rights report”</w:t>
      </w:r>
      <w:r w:rsidRPr="00F35EFF">
        <w:rPr>
          <w:rFonts w:cs="Traditional Arabic" w:hint="cs"/>
          <w:sz w:val="18"/>
          <w:szCs w:val="26"/>
          <w:rtl/>
        </w:rPr>
        <w:t>.</w:t>
      </w:r>
    </w:p>
  </w:footnote>
  <w:footnote w:id="181">
    <w:p w:rsidR="00F815BA" w:rsidRPr="00F35EFF" w:rsidRDefault="00F815BA" w:rsidP="00E37658">
      <w:pPr>
        <w:pStyle w:val="FootnoteText"/>
        <w:numPr>
          <w:ilvl w:val="0"/>
          <w:numId w:val="0"/>
        </w:numPr>
        <w:tabs>
          <w:tab w:val="left" w:pos="1226"/>
        </w:tabs>
        <w:bidi/>
        <w:spacing w:after="60" w:line="300" w:lineRule="exact"/>
        <w:ind w:left="1226" w:right="1247" w:hanging="502"/>
        <w:jc w:val="lowKashida"/>
        <w:rPr>
          <w:rFonts w:cs="Traditional Arabic" w:hint="cs"/>
          <w:sz w:val="18"/>
          <w:szCs w:val="26"/>
        </w:rPr>
      </w:pPr>
      <w:r w:rsidRPr="00F35EFF">
        <w:rPr>
          <w:rFonts w:cs="Traditional Arabic" w:hint="cs"/>
          <w:sz w:val="26"/>
          <w:szCs w:val="26"/>
          <w:rtl/>
        </w:rPr>
        <w:t>(</w:t>
      </w:r>
      <w:r>
        <w:rPr>
          <w:rFonts w:cs="Traditional Arabic" w:hint="cs"/>
          <w:sz w:val="26"/>
          <w:szCs w:val="26"/>
          <w:rtl/>
        </w:rPr>
        <w:t>ت</w:t>
      </w:r>
      <w:r w:rsidRPr="00F35EFF">
        <w:rPr>
          <w:rFonts w:cs="Traditional Arabic" w:hint="cs"/>
          <w:sz w:val="26"/>
          <w:szCs w:val="26"/>
          <w:rtl/>
        </w:rPr>
        <w:t>)</w:t>
      </w:r>
      <w:r w:rsidRPr="00F35EFF">
        <w:rPr>
          <w:rFonts w:cs="Traditional Arabic" w:hint="cs"/>
          <w:sz w:val="26"/>
          <w:szCs w:val="26"/>
          <w:rtl/>
        </w:rPr>
        <w:tab/>
      </w:r>
      <w:r w:rsidRPr="00F35EFF">
        <w:rPr>
          <w:rFonts w:cs="Traditional Arabic"/>
          <w:sz w:val="18"/>
          <w:szCs w:val="26"/>
          <w:rtl/>
        </w:rPr>
        <w:t xml:space="preserve">البلاغ رقم 57/1996، </w:t>
      </w:r>
      <w:r w:rsidRPr="00F35EFF">
        <w:rPr>
          <w:rFonts w:cs="Traditional Arabic"/>
          <w:i/>
          <w:iCs/>
          <w:sz w:val="18"/>
          <w:szCs w:val="26"/>
          <w:rtl/>
        </w:rPr>
        <w:t>ب.ك.ل. ضد كندا</w:t>
      </w:r>
      <w:r w:rsidRPr="00F35EFF">
        <w:rPr>
          <w:rFonts w:cs="Traditional Arabic"/>
          <w:sz w:val="18"/>
          <w:szCs w:val="26"/>
          <w:rtl/>
        </w:rPr>
        <w:t>، الآراء المعتمدة في 17 تشرين الثاني/نوفمبر 1997، الفقرة</w:t>
      </w:r>
      <w:r w:rsidRPr="00F35EFF">
        <w:rPr>
          <w:rFonts w:cs="Traditional Arabic" w:hint="cs"/>
          <w:sz w:val="18"/>
          <w:szCs w:val="26"/>
          <w:rtl/>
        </w:rPr>
        <w:t> </w:t>
      </w:r>
      <w:r w:rsidRPr="00F35EFF">
        <w:rPr>
          <w:rFonts w:cs="Traditional Arabic"/>
          <w:sz w:val="18"/>
          <w:szCs w:val="26"/>
          <w:rtl/>
        </w:rPr>
        <w:t>10-5.</w:t>
      </w:r>
    </w:p>
  </w:footnote>
  <w:footnote w:id="182">
    <w:p w:rsidR="00F815BA" w:rsidRPr="00222E49" w:rsidRDefault="00F815BA" w:rsidP="00501408">
      <w:pPr>
        <w:pStyle w:val="FootnoteText"/>
        <w:numPr>
          <w:ilvl w:val="0"/>
          <w:numId w:val="41"/>
        </w:numPr>
        <w:tabs>
          <w:tab w:val="right" w:pos="1292"/>
        </w:tabs>
        <w:bidi/>
        <w:spacing w:after="60" w:line="300" w:lineRule="exact"/>
        <w:ind w:left="1293" w:right="1247" w:hanging="272"/>
        <w:jc w:val="lowKashida"/>
        <w:rPr>
          <w:rFonts w:cs="Traditional Arabic" w:hint="cs"/>
          <w:sz w:val="18"/>
          <w:szCs w:val="26"/>
        </w:rPr>
      </w:pPr>
      <w:r w:rsidRPr="00222E49">
        <w:rPr>
          <w:rFonts w:cs="Traditional Arabic" w:hint="cs"/>
          <w:sz w:val="18"/>
          <w:szCs w:val="26"/>
          <w:rtl/>
        </w:rPr>
        <w:t>الفقرة 1 من المادة</w:t>
      </w:r>
      <w:r w:rsidRPr="00222E49">
        <w:rPr>
          <w:rFonts w:cs="Traditional Arabic"/>
          <w:sz w:val="18"/>
          <w:szCs w:val="26"/>
          <w:rtl/>
        </w:rPr>
        <w:t> </w:t>
      </w:r>
      <w:r w:rsidRPr="00222E49">
        <w:rPr>
          <w:rFonts w:cs="Traditional Arabic" w:hint="cs"/>
          <w:sz w:val="18"/>
          <w:szCs w:val="26"/>
          <w:rtl/>
        </w:rPr>
        <w:t>114 من النظام الداخلي الحالي (</w:t>
      </w:r>
      <w:r w:rsidRPr="00222E49">
        <w:rPr>
          <w:rFonts w:cs="Traditional Arabic"/>
          <w:sz w:val="18"/>
          <w:szCs w:val="26"/>
        </w:rPr>
        <w:t>CAT/C/3/Rev.5</w:t>
      </w:r>
      <w:r w:rsidRPr="00222E49">
        <w:rPr>
          <w:rFonts w:cs="Traditional Arabic" w:hint="cs"/>
          <w:sz w:val="18"/>
          <w:szCs w:val="26"/>
          <w:rtl/>
        </w:rPr>
        <w:t>).</w:t>
      </w:r>
    </w:p>
  </w:footnote>
  <w:footnote w:id="183">
    <w:p w:rsidR="00F815BA" w:rsidRPr="00222E49" w:rsidRDefault="00F815BA" w:rsidP="00501408">
      <w:pPr>
        <w:pStyle w:val="FootnoteText"/>
        <w:numPr>
          <w:ilvl w:val="0"/>
          <w:numId w:val="41"/>
        </w:numPr>
        <w:tabs>
          <w:tab w:val="clear" w:pos="1292"/>
          <w:tab w:val="right" w:pos="1253"/>
        </w:tabs>
        <w:bidi/>
        <w:spacing w:after="60" w:line="300" w:lineRule="exact"/>
        <w:ind w:left="1248" w:right="1247"/>
        <w:jc w:val="lowKashida"/>
        <w:rPr>
          <w:rFonts w:cs="Traditional Arabic" w:hint="cs"/>
          <w:sz w:val="18"/>
          <w:szCs w:val="26"/>
        </w:rPr>
      </w:pPr>
      <w:r w:rsidRPr="00222E49">
        <w:rPr>
          <w:rFonts w:cs="Traditional Arabic" w:hint="cs"/>
          <w:sz w:val="18"/>
          <w:szCs w:val="26"/>
          <w:rtl/>
        </w:rPr>
        <w:t>قدمت صاحبة الشكوى نسخة عن الوثيقة الصادرة عن لجنة الشرطة التابعة لإدارة مدينة أديس</w:t>
      </w:r>
      <w:r w:rsidRPr="00222E49">
        <w:rPr>
          <w:rFonts w:cs="Traditional Arabic" w:hint="eastAsia"/>
          <w:sz w:val="18"/>
          <w:szCs w:val="26"/>
        </w:rPr>
        <w:t> </w:t>
      </w:r>
      <w:r w:rsidRPr="00222E49">
        <w:rPr>
          <w:rFonts w:cs="Traditional Arabic" w:hint="cs"/>
          <w:sz w:val="18"/>
          <w:szCs w:val="26"/>
          <w:rtl/>
        </w:rPr>
        <w:t>أبابا إلى اللجنة في 8 أيلول/سبتمبر 2010، وهذه النسخة متاحة في الملف باللغة الأصلية (الأمهرية) مشفوعة بترجمة غير رسمية إلى اللغة الإنكليزية.</w:t>
      </w:r>
    </w:p>
  </w:footnote>
  <w:footnote w:id="184">
    <w:p w:rsidR="00F815BA" w:rsidRPr="00222E49" w:rsidRDefault="00F815BA" w:rsidP="00501408">
      <w:pPr>
        <w:pStyle w:val="FootnoteText"/>
        <w:numPr>
          <w:ilvl w:val="0"/>
          <w:numId w:val="41"/>
        </w:numPr>
        <w:tabs>
          <w:tab w:val="clear" w:pos="1292"/>
          <w:tab w:val="right" w:pos="1253"/>
        </w:tabs>
        <w:bidi/>
        <w:spacing w:after="60" w:line="300" w:lineRule="exact"/>
        <w:ind w:left="1248" w:right="1247"/>
        <w:jc w:val="lowKashida"/>
        <w:rPr>
          <w:rFonts w:cs="Traditional Arabic" w:hint="cs"/>
          <w:spacing w:val="-4"/>
          <w:sz w:val="18"/>
          <w:szCs w:val="26"/>
        </w:rPr>
      </w:pPr>
      <w:r w:rsidRPr="00222E49">
        <w:rPr>
          <w:rFonts w:cs="Traditional Arabic" w:hint="cs"/>
          <w:spacing w:val="-4"/>
          <w:sz w:val="18"/>
          <w:szCs w:val="26"/>
          <w:rtl/>
        </w:rPr>
        <w:t>يشار إلى تقرير للجنة حماية الصحفيين، "هجمات على الصحافة في عام</w:t>
      </w:r>
      <w:r w:rsidRPr="00222E49">
        <w:rPr>
          <w:rFonts w:cs="Traditional Arabic"/>
          <w:spacing w:val="-4"/>
          <w:sz w:val="18"/>
          <w:szCs w:val="26"/>
          <w:rtl/>
        </w:rPr>
        <w:t> </w:t>
      </w:r>
      <w:r w:rsidRPr="00222E49">
        <w:rPr>
          <w:rFonts w:cs="Traditional Arabic" w:hint="cs"/>
          <w:spacing w:val="-4"/>
          <w:sz w:val="18"/>
          <w:szCs w:val="26"/>
          <w:rtl/>
        </w:rPr>
        <w:t>2008: إثيوبيا"، 10 شباط/فبراير</w:t>
      </w:r>
      <w:r w:rsidRPr="00222E49">
        <w:rPr>
          <w:rFonts w:cs="Traditional Arabic" w:hint="eastAsia"/>
          <w:spacing w:val="-4"/>
          <w:sz w:val="18"/>
          <w:szCs w:val="26"/>
          <w:rtl/>
        </w:rPr>
        <w:t> </w:t>
      </w:r>
      <w:r w:rsidRPr="00222E49">
        <w:rPr>
          <w:rFonts w:cs="Traditional Arabic" w:hint="cs"/>
          <w:spacing w:val="-4"/>
          <w:sz w:val="18"/>
          <w:szCs w:val="26"/>
          <w:rtl/>
        </w:rPr>
        <w:t>2009؛ ووزارة خارجية الولايات المتحدة 2009، التقارير القطرية عن ممارسات حقوق الإنسان في إثيوبيا، 11 آذار/مارس 2010؛ "إثيوبيا توقف 35 مشتبهاً في تورطهم في محاولة انقلاب مزعومة"، صوت أمريكا، 26 نيسان/أبريل 2009.</w:t>
      </w:r>
    </w:p>
  </w:footnote>
  <w:footnote w:id="185">
    <w:p w:rsidR="00F815BA" w:rsidRPr="00222E49" w:rsidRDefault="00F815BA" w:rsidP="00501408">
      <w:pPr>
        <w:pStyle w:val="FootnoteText"/>
        <w:numPr>
          <w:ilvl w:val="0"/>
          <w:numId w:val="41"/>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يشار إلى تقرير للجنة حماية الصحفيين، "هجمات على الصحافة في عام</w:t>
      </w:r>
      <w:r w:rsidRPr="00222E49">
        <w:rPr>
          <w:rFonts w:cs="Traditional Arabic"/>
          <w:sz w:val="18"/>
          <w:szCs w:val="26"/>
          <w:rtl/>
        </w:rPr>
        <w:t> </w:t>
      </w:r>
      <w:r w:rsidRPr="00222E49">
        <w:rPr>
          <w:rFonts w:cs="Traditional Arabic" w:hint="cs"/>
          <w:sz w:val="18"/>
          <w:szCs w:val="26"/>
          <w:rtl/>
        </w:rPr>
        <w:t>2009: إثيوبيا" (16 شباط/ فبراير</w:t>
      </w:r>
      <w:r w:rsidRPr="00222E49">
        <w:rPr>
          <w:rFonts w:cs="Traditional Arabic" w:hint="eastAsia"/>
          <w:sz w:val="18"/>
          <w:szCs w:val="26"/>
          <w:rtl/>
        </w:rPr>
        <w:t> </w:t>
      </w:r>
      <w:r w:rsidRPr="00222E49">
        <w:rPr>
          <w:rFonts w:cs="Traditional Arabic" w:hint="cs"/>
          <w:sz w:val="18"/>
          <w:szCs w:val="26"/>
          <w:rtl/>
        </w:rPr>
        <w:t>2010).</w:t>
      </w:r>
    </w:p>
  </w:footnote>
  <w:footnote w:id="186">
    <w:p w:rsidR="00F815BA" w:rsidRPr="00222E49" w:rsidRDefault="00F815BA" w:rsidP="00222E49">
      <w:pPr>
        <w:pStyle w:val="FootnoteText"/>
        <w:numPr>
          <w:ilvl w:val="0"/>
          <w:numId w:val="0"/>
        </w:numPr>
        <w:tabs>
          <w:tab w:val="left" w:pos="1239"/>
        </w:tabs>
        <w:bidi/>
        <w:spacing w:after="60" w:line="300" w:lineRule="exact"/>
        <w:ind w:left="737" w:right="1247"/>
        <w:rPr>
          <w:rFonts w:cs="Traditional Arabic" w:hint="cs"/>
          <w:sz w:val="18"/>
          <w:szCs w:val="26"/>
        </w:rPr>
      </w:pPr>
      <w:r w:rsidRPr="00222E49">
        <w:rPr>
          <w:rFonts w:cs="Traditional Arabic" w:hint="cs"/>
          <w:sz w:val="18"/>
          <w:szCs w:val="26"/>
          <w:rtl/>
        </w:rPr>
        <w:t>(ﻫ)</w:t>
      </w:r>
      <w:r w:rsidRPr="00222E49">
        <w:rPr>
          <w:rFonts w:cs="Traditional Arabic" w:hint="cs"/>
          <w:sz w:val="18"/>
          <w:szCs w:val="26"/>
          <w:rtl/>
        </w:rPr>
        <w:tab/>
        <w:t>المرجع نفسه.</w:t>
      </w:r>
    </w:p>
  </w:footnote>
  <w:footnote w:id="187">
    <w:p w:rsidR="00F815BA" w:rsidRPr="00222E49" w:rsidRDefault="00F815BA" w:rsidP="00501408">
      <w:pPr>
        <w:pStyle w:val="FootnoteText"/>
        <w:numPr>
          <w:ilvl w:val="0"/>
          <w:numId w:val="48"/>
        </w:numPr>
        <w:tabs>
          <w:tab w:val="clear" w:pos="1292"/>
          <w:tab w:val="right" w:pos="1253"/>
        </w:tabs>
        <w:bidi/>
        <w:spacing w:after="60" w:line="300" w:lineRule="exact"/>
        <w:ind w:left="1247" w:right="1247" w:hanging="272"/>
        <w:jc w:val="lowKashida"/>
        <w:rPr>
          <w:rFonts w:cs="Traditional Arabic" w:hint="cs"/>
          <w:spacing w:val="-2"/>
          <w:sz w:val="18"/>
          <w:szCs w:val="26"/>
        </w:rPr>
      </w:pPr>
      <w:r w:rsidRPr="00222E49">
        <w:rPr>
          <w:rFonts w:cs="Traditional Arabic" w:hint="cs"/>
          <w:spacing w:val="-2"/>
          <w:sz w:val="18"/>
          <w:szCs w:val="26"/>
          <w:rtl/>
        </w:rPr>
        <w:t>يشار إلى تقرير منظمة هيومن رايتس ووتش العالمي لعام</w:t>
      </w:r>
      <w:r w:rsidRPr="00222E49">
        <w:rPr>
          <w:rFonts w:cs="Traditional Arabic"/>
          <w:spacing w:val="-2"/>
          <w:sz w:val="18"/>
          <w:szCs w:val="26"/>
          <w:rtl/>
        </w:rPr>
        <w:t> </w:t>
      </w:r>
      <w:r w:rsidRPr="00222E49">
        <w:rPr>
          <w:rFonts w:cs="Traditional Arabic" w:hint="cs"/>
          <w:spacing w:val="-2"/>
          <w:sz w:val="18"/>
          <w:szCs w:val="26"/>
          <w:rtl/>
        </w:rPr>
        <w:t>2009 (نيويورك، 2009)، الصفحة 71.</w:t>
      </w:r>
    </w:p>
  </w:footnote>
  <w:footnote w:id="188">
    <w:p w:rsidR="00F815BA" w:rsidRPr="00222E49" w:rsidRDefault="00F815BA" w:rsidP="00501408">
      <w:pPr>
        <w:pStyle w:val="FootnoteText"/>
        <w:numPr>
          <w:ilvl w:val="0"/>
          <w:numId w:val="48"/>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وزارة خارجية الولايات المتحدة، التقارير القطرية لعام</w:t>
      </w:r>
      <w:r w:rsidRPr="00222E49">
        <w:rPr>
          <w:rFonts w:cs="Traditional Arabic"/>
          <w:sz w:val="18"/>
          <w:szCs w:val="26"/>
          <w:rtl/>
        </w:rPr>
        <w:t> </w:t>
      </w:r>
      <w:r w:rsidRPr="00222E49">
        <w:rPr>
          <w:rFonts w:cs="Traditional Arabic" w:hint="cs"/>
          <w:sz w:val="18"/>
          <w:szCs w:val="26"/>
          <w:rtl/>
        </w:rPr>
        <w:t>2009؛ منظمة هيومن رايتس ووتش، التقرير العالمي لعام</w:t>
      </w:r>
      <w:r w:rsidRPr="00222E49">
        <w:rPr>
          <w:rFonts w:cs="Traditional Arabic"/>
          <w:sz w:val="18"/>
          <w:szCs w:val="26"/>
          <w:rtl/>
        </w:rPr>
        <w:t> </w:t>
      </w:r>
      <w:r w:rsidRPr="00222E49">
        <w:rPr>
          <w:rFonts w:cs="Traditional Arabic" w:hint="cs"/>
          <w:sz w:val="18"/>
          <w:szCs w:val="26"/>
          <w:rtl/>
        </w:rPr>
        <w:t>2010 (نيويورك، 2010)، الصفحة 120.</w:t>
      </w:r>
    </w:p>
  </w:footnote>
  <w:footnote w:id="189">
    <w:p w:rsidR="00F815BA" w:rsidRPr="00222E49" w:rsidRDefault="00F815BA" w:rsidP="00501408">
      <w:pPr>
        <w:pStyle w:val="FootnoteText"/>
        <w:numPr>
          <w:ilvl w:val="0"/>
          <w:numId w:val="48"/>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المملكة المتحدة: تأكيدات "إثيوبيا بعدم وجود ضمانات حيال احتمال التعرض للتعذيب: 17 أيلول/ سبتمبر</w:t>
      </w:r>
      <w:r w:rsidRPr="00222E49">
        <w:rPr>
          <w:rFonts w:cs="Traditional Arabic" w:hint="eastAsia"/>
          <w:sz w:val="18"/>
          <w:szCs w:val="26"/>
          <w:rtl/>
        </w:rPr>
        <w:t> </w:t>
      </w:r>
      <w:r w:rsidRPr="00222E49">
        <w:rPr>
          <w:rFonts w:cs="Traditional Arabic" w:hint="cs"/>
          <w:sz w:val="18"/>
          <w:szCs w:val="26"/>
          <w:rtl/>
        </w:rPr>
        <w:t>2009.</w:t>
      </w:r>
    </w:p>
  </w:footnote>
  <w:footnote w:id="190">
    <w:p w:rsidR="00F815BA" w:rsidRPr="00222E49" w:rsidRDefault="00F815BA" w:rsidP="00501408">
      <w:pPr>
        <w:pStyle w:val="FootnoteText"/>
        <w:numPr>
          <w:ilvl w:val="0"/>
          <w:numId w:val="48"/>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تشير الدولة الطرف إلى تعليق اللجنة العام رقم 1(1997) بشأن تنفيذ المادة</w:t>
      </w:r>
      <w:r w:rsidRPr="00222E49">
        <w:rPr>
          <w:rFonts w:cs="Traditional Arabic"/>
          <w:sz w:val="18"/>
          <w:szCs w:val="26"/>
          <w:rtl/>
        </w:rPr>
        <w:t> </w:t>
      </w:r>
      <w:r w:rsidRPr="00222E49">
        <w:rPr>
          <w:rFonts w:cs="Traditional Arabic" w:hint="cs"/>
          <w:sz w:val="18"/>
          <w:szCs w:val="26"/>
          <w:rtl/>
        </w:rPr>
        <w:t>3 من الاتفاقية في سياق المادة</w:t>
      </w:r>
      <w:r w:rsidRPr="00222E49">
        <w:rPr>
          <w:rFonts w:cs="Traditional Arabic"/>
          <w:sz w:val="18"/>
          <w:szCs w:val="26"/>
          <w:rtl/>
        </w:rPr>
        <w:t> </w:t>
      </w:r>
      <w:r w:rsidRPr="00222E49">
        <w:rPr>
          <w:rFonts w:cs="Traditional Arabic" w:hint="cs"/>
          <w:sz w:val="18"/>
          <w:szCs w:val="26"/>
          <w:rtl/>
        </w:rPr>
        <w:t xml:space="preserve">22 </w:t>
      </w:r>
      <w:r w:rsidRPr="00E37658">
        <w:rPr>
          <w:rFonts w:cs="Traditional Arabic" w:hint="cs"/>
          <w:i/>
          <w:iCs/>
          <w:sz w:val="18"/>
          <w:szCs w:val="26"/>
          <w:rtl/>
        </w:rPr>
        <w:t>(</w:t>
      </w:r>
      <w:r w:rsidRPr="00222E49">
        <w:rPr>
          <w:rFonts w:cs="Traditional Arabic" w:hint="cs"/>
          <w:i/>
          <w:iCs/>
          <w:sz w:val="18"/>
          <w:szCs w:val="26"/>
          <w:rtl/>
          <w:lang w:val="fr-CH"/>
        </w:rPr>
        <w:t>الوثائق الرسمية للجمعية العامة، الدورة الثالثة والخمسون، الملحق رقم 44</w:t>
      </w:r>
      <w:r w:rsidRPr="00222E49">
        <w:rPr>
          <w:rFonts w:cs="Traditional Arabic" w:hint="cs"/>
          <w:sz w:val="18"/>
          <w:szCs w:val="26"/>
          <w:rtl/>
          <w:lang w:val="fr-CH"/>
        </w:rPr>
        <w:t xml:space="preserve"> (الوثيقتان </w:t>
      </w:r>
      <w:r w:rsidRPr="00222E49">
        <w:rPr>
          <w:rFonts w:cs="Traditional Arabic"/>
          <w:sz w:val="18"/>
          <w:szCs w:val="26"/>
        </w:rPr>
        <w:t>A/53/44</w:t>
      </w:r>
      <w:r w:rsidRPr="00222E49">
        <w:rPr>
          <w:rFonts w:cs="Traditional Arabic" w:hint="cs"/>
          <w:sz w:val="18"/>
          <w:szCs w:val="26"/>
          <w:rtl/>
          <w:lang w:val="fr-CH"/>
        </w:rPr>
        <w:t xml:space="preserve"> و</w:t>
      </w:r>
      <w:r w:rsidRPr="00222E49">
        <w:rPr>
          <w:rFonts w:cs="Traditional Arabic"/>
          <w:sz w:val="18"/>
          <w:szCs w:val="26"/>
          <w:lang w:val="fr-CH"/>
        </w:rPr>
        <w:t>A/53/44/Corr.1</w:t>
      </w:r>
      <w:r w:rsidRPr="00222E49">
        <w:rPr>
          <w:rFonts w:cs="Traditional Arabic" w:hint="cs"/>
          <w:sz w:val="18"/>
          <w:szCs w:val="26"/>
          <w:rtl/>
          <w:lang w:val="fr-CH"/>
        </w:rPr>
        <w:t>)</w:t>
      </w:r>
      <w:r w:rsidRPr="00222E49">
        <w:rPr>
          <w:rFonts w:cs="Traditional Arabic" w:hint="cs"/>
          <w:sz w:val="18"/>
          <w:szCs w:val="26"/>
          <w:rtl/>
        </w:rPr>
        <w:t xml:space="preserve">، المرفق التاسع، الفقرتان 6 و8)، </w:t>
      </w:r>
      <w:r w:rsidRPr="00222E49">
        <w:rPr>
          <w:rFonts w:cs="Traditional Arabic" w:hint="cs"/>
          <w:sz w:val="18"/>
          <w:szCs w:val="26"/>
          <w:rtl/>
          <w:lang/>
        </w:rPr>
        <w:t>والاجتهادات السابقة للجنة</w:t>
      </w:r>
      <w:r w:rsidRPr="00222E49">
        <w:rPr>
          <w:rFonts w:cs="Traditional Arabic" w:hint="cs"/>
          <w:sz w:val="18"/>
          <w:szCs w:val="26"/>
          <w:rtl/>
        </w:rPr>
        <w:t xml:space="preserve"> الواردة في البلاغ رقم 94/1997</w:t>
      </w:r>
      <w:r w:rsidRPr="00222E49">
        <w:rPr>
          <w:rFonts w:cs="Traditional Arabic" w:hint="cs"/>
          <w:i/>
          <w:iCs/>
          <w:sz w:val="18"/>
          <w:szCs w:val="26"/>
          <w:rtl/>
        </w:rPr>
        <w:t>، ك. ن. ضد سويسرا</w:t>
      </w:r>
      <w:r w:rsidRPr="00222E49">
        <w:rPr>
          <w:rFonts w:cs="Traditional Arabic" w:hint="cs"/>
          <w:sz w:val="18"/>
          <w:szCs w:val="26"/>
          <w:rtl/>
        </w:rPr>
        <w:t>، الآراء المعتمدة في 19 أيار/مايو</w:t>
      </w:r>
      <w:r w:rsidRPr="00222E49">
        <w:rPr>
          <w:rFonts w:cs="Traditional Arabic" w:hint="eastAsia"/>
          <w:sz w:val="18"/>
          <w:szCs w:val="26"/>
          <w:rtl/>
        </w:rPr>
        <w:t> </w:t>
      </w:r>
      <w:r w:rsidRPr="00222E49">
        <w:rPr>
          <w:rFonts w:cs="Traditional Arabic" w:hint="cs"/>
          <w:sz w:val="18"/>
          <w:szCs w:val="26"/>
          <w:rtl/>
        </w:rPr>
        <w:t>1998، الفقرة 10-2، وفي</w:t>
      </w:r>
      <w:r w:rsidRPr="00222E49">
        <w:rPr>
          <w:rFonts w:cs="Traditional Arabic"/>
          <w:sz w:val="18"/>
          <w:szCs w:val="26"/>
          <w:rtl/>
        </w:rPr>
        <w:t> </w:t>
      </w:r>
      <w:r w:rsidRPr="00222E49">
        <w:rPr>
          <w:rFonts w:cs="Traditional Arabic" w:hint="cs"/>
          <w:sz w:val="18"/>
          <w:szCs w:val="26"/>
          <w:rtl/>
        </w:rPr>
        <w:t>البلاغ رقم</w:t>
      </w:r>
      <w:r w:rsidRPr="00222E49">
        <w:rPr>
          <w:rFonts w:cs="Traditional Arabic" w:hint="eastAsia"/>
          <w:sz w:val="18"/>
          <w:szCs w:val="26"/>
          <w:rtl/>
        </w:rPr>
        <w:t> </w:t>
      </w:r>
      <w:r w:rsidRPr="00222E49">
        <w:rPr>
          <w:rFonts w:cs="Traditional Arabic" w:hint="cs"/>
          <w:sz w:val="18"/>
          <w:szCs w:val="26"/>
          <w:rtl/>
        </w:rPr>
        <w:t xml:space="preserve">100/1997، </w:t>
      </w:r>
      <w:r w:rsidRPr="00222E49">
        <w:rPr>
          <w:rFonts w:cs="Traditional Arabic" w:hint="cs"/>
          <w:i/>
          <w:iCs/>
          <w:sz w:val="18"/>
          <w:szCs w:val="26"/>
          <w:rtl/>
        </w:rPr>
        <w:t>ج. ي. أ. ضد سويسرا</w:t>
      </w:r>
      <w:r w:rsidRPr="00222E49">
        <w:rPr>
          <w:rFonts w:cs="Traditional Arabic" w:hint="cs"/>
          <w:sz w:val="18"/>
          <w:szCs w:val="26"/>
          <w:rtl/>
        </w:rPr>
        <w:t>، الآراء المعتمدة في 10 تشرين الثاني/نوفمبر 1998، الفقرتان</w:t>
      </w:r>
      <w:r w:rsidRPr="00222E49">
        <w:rPr>
          <w:rFonts w:cs="Traditional Arabic" w:hint="eastAsia"/>
          <w:sz w:val="18"/>
          <w:szCs w:val="26"/>
          <w:rtl/>
        </w:rPr>
        <w:t> </w:t>
      </w:r>
      <w:r w:rsidRPr="00222E49">
        <w:rPr>
          <w:rFonts w:cs="Traditional Arabic" w:hint="cs"/>
          <w:sz w:val="18"/>
          <w:szCs w:val="26"/>
          <w:rtl/>
        </w:rPr>
        <w:t>6-3 و6-5.</w:t>
      </w:r>
    </w:p>
  </w:footnote>
  <w:footnote w:id="191">
    <w:p w:rsidR="00F815BA" w:rsidRPr="00222E49" w:rsidRDefault="00F815BA" w:rsidP="00501408">
      <w:pPr>
        <w:pStyle w:val="FootnoteText"/>
        <w:numPr>
          <w:ilvl w:val="0"/>
          <w:numId w:val="48"/>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تشير الدولة الطرف إلى مذكرة التوجيهات العملية بشأن إثيوبيا، التي أصدرتها وزارة داخلية المملكة المتحدة لبريطانيا العظمى وأيرلندا الشمالية في آذار/مارس 2009، الفقرة 3-7-9.</w:t>
      </w:r>
    </w:p>
  </w:footnote>
  <w:footnote w:id="192">
    <w:p w:rsidR="00F815BA" w:rsidRPr="00222E49" w:rsidRDefault="00F815BA" w:rsidP="00501408">
      <w:pPr>
        <w:pStyle w:val="FootnoteText"/>
        <w:numPr>
          <w:ilvl w:val="0"/>
          <w:numId w:val="48"/>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يشار إلى المرجع التالي: مجلس الهجرة واللجوء الكندي، "إثيوبيا: معلومات عن وجود عناصر تثبت أن أعواناً تابعين للحكومة يراقبون التظاهرات المعادية لإثيوبيا في أوروبا وأمريكا اللاتينية (2006 - شباط/فبراير 2007)"، 13 آذار/مارس 2007.</w:t>
      </w:r>
    </w:p>
  </w:footnote>
  <w:footnote w:id="193">
    <w:p w:rsidR="00F815BA" w:rsidRPr="00222E49" w:rsidRDefault="00F815BA" w:rsidP="00501408">
      <w:pPr>
        <w:pStyle w:val="FootnoteText"/>
        <w:numPr>
          <w:ilvl w:val="0"/>
          <w:numId w:val="48"/>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انظر الحاشية ب أعلاه.</w:t>
      </w:r>
    </w:p>
  </w:footnote>
  <w:footnote w:id="194">
    <w:p w:rsidR="00F815BA" w:rsidRPr="00222E49" w:rsidRDefault="00F815BA" w:rsidP="00501408">
      <w:pPr>
        <w:pStyle w:val="FootnoteText"/>
        <w:numPr>
          <w:ilvl w:val="0"/>
          <w:numId w:val="48"/>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يشار إلى الحكم الصادر عن المحكمة الإدارية الاتحادية في 11 كانون الأول/ديسمبر 2008.</w:t>
      </w:r>
    </w:p>
  </w:footnote>
  <w:footnote w:id="195">
    <w:p w:rsidR="00F815BA" w:rsidRPr="00222E49" w:rsidRDefault="00F815BA" w:rsidP="00501408">
      <w:pPr>
        <w:pStyle w:val="FootnoteText"/>
        <w:numPr>
          <w:ilvl w:val="0"/>
          <w:numId w:val="48"/>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انظر الحاشية ب أعلاه.</w:t>
      </w:r>
    </w:p>
  </w:footnote>
  <w:footnote w:id="196">
    <w:p w:rsidR="00F815BA" w:rsidRPr="00222E49" w:rsidRDefault="00F815BA" w:rsidP="00501408">
      <w:pPr>
        <w:pStyle w:val="FootnoteText"/>
        <w:numPr>
          <w:ilvl w:val="0"/>
          <w:numId w:val="48"/>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انظر الحاشية م أعلاه.</w:t>
      </w:r>
    </w:p>
  </w:footnote>
  <w:footnote w:id="197">
    <w:p w:rsidR="00F815BA" w:rsidRPr="00222E49" w:rsidRDefault="00F815BA" w:rsidP="00501408">
      <w:pPr>
        <w:pStyle w:val="FootnoteText"/>
        <w:numPr>
          <w:ilvl w:val="0"/>
          <w:numId w:val="48"/>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التوكيد بالخط المائل مضاف من الدولة الطرف.</w:t>
      </w:r>
    </w:p>
  </w:footnote>
  <w:footnote w:id="198">
    <w:p w:rsidR="00F815BA" w:rsidRPr="00222E49" w:rsidRDefault="00F815BA" w:rsidP="00501408">
      <w:pPr>
        <w:pStyle w:val="FootnoteText"/>
        <w:numPr>
          <w:ilvl w:val="0"/>
          <w:numId w:val="48"/>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انظر الحاشية م أعلاه.</w:t>
      </w:r>
    </w:p>
  </w:footnote>
  <w:footnote w:id="199">
    <w:p w:rsidR="00F815BA" w:rsidRPr="00222E49" w:rsidRDefault="00F815BA" w:rsidP="00501408">
      <w:pPr>
        <w:pStyle w:val="FootnoteText"/>
        <w:numPr>
          <w:ilvl w:val="0"/>
          <w:numId w:val="48"/>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يشار إلى الحكم الصادر عن المحكمة الإدارية الاتحادية في 6 آب/أغسطس 2010.</w:t>
      </w:r>
    </w:p>
  </w:footnote>
  <w:footnote w:id="200">
    <w:p w:rsidR="00F815BA" w:rsidRPr="00222E49" w:rsidRDefault="00F815BA" w:rsidP="00501408">
      <w:pPr>
        <w:pStyle w:val="FootnoteText"/>
        <w:numPr>
          <w:ilvl w:val="0"/>
          <w:numId w:val="48"/>
        </w:numPr>
        <w:tabs>
          <w:tab w:val="clear" w:pos="1292"/>
          <w:tab w:val="left" w:pos="1253"/>
        </w:tabs>
        <w:bidi/>
        <w:spacing w:after="60" w:line="300" w:lineRule="exact"/>
        <w:ind w:left="1247" w:right="1247" w:hanging="272"/>
        <w:jc w:val="lowKashida"/>
        <w:rPr>
          <w:rFonts w:cs="Traditional Arabic" w:hint="cs"/>
          <w:spacing w:val="-4"/>
          <w:sz w:val="18"/>
          <w:szCs w:val="26"/>
        </w:rPr>
      </w:pPr>
      <w:r w:rsidRPr="00222E49">
        <w:rPr>
          <w:rFonts w:cs="Traditional Arabic" w:hint="cs"/>
          <w:spacing w:val="-4"/>
          <w:sz w:val="18"/>
          <w:szCs w:val="26"/>
          <w:rtl/>
        </w:rPr>
        <w:t xml:space="preserve">يشار أيضاً إلى بلاغات من بينها البلاغ رقم 375/2009، </w:t>
      </w:r>
      <w:r w:rsidRPr="00222E49">
        <w:rPr>
          <w:rFonts w:cs="Traditional Arabic" w:hint="cs"/>
          <w:i/>
          <w:iCs/>
          <w:spacing w:val="-4"/>
          <w:sz w:val="18"/>
          <w:szCs w:val="26"/>
          <w:rtl/>
        </w:rPr>
        <w:t>ت. د. ضد سويسرا</w:t>
      </w:r>
      <w:r w:rsidRPr="00222E49">
        <w:rPr>
          <w:rFonts w:cs="Traditional Arabic" w:hint="cs"/>
          <w:spacing w:val="-4"/>
          <w:sz w:val="18"/>
          <w:szCs w:val="26"/>
          <w:rtl/>
        </w:rPr>
        <w:t>، القرار المعتمد في</w:t>
      </w:r>
      <w:r w:rsidRPr="00222E49">
        <w:rPr>
          <w:rFonts w:cs="Traditional Arabic" w:hint="eastAsia"/>
          <w:spacing w:val="-4"/>
          <w:sz w:val="18"/>
          <w:szCs w:val="26"/>
          <w:rtl/>
        </w:rPr>
        <w:t> </w:t>
      </w:r>
      <w:r w:rsidRPr="00222E49">
        <w:rPr>
          <w:rFonts w:cs="Traditional Arabic" w:hint="cs"/>
          <w:spacing w:val="-4"/>
          <w:sz w:val="18"/>
          <w:szCs w:val="26"/>
          <w:rtl/>
        </w:rPr>
        <w:t>26 أيار/ مايو</w:t>
      </w:r>
      <w:r w:rsidRPr="00222E49">
        <w:rPr>
          <w:rFonts w:cs="Traditional Arabic" w:hint="eastAsia"/>
          <w:spacing w:val="-4"/>
          <w:sz w:val="18"/>
          <w:szCs w:val="26"/>
          <w:rtl/>
        </w:rPr>
        <w:t> </w:t>
      </w:r>
      <w:r w:rsidRPr="00222E49">
        <w:rPr>
          <w:rFonts w:cs="Traditional Arabic" w:hint="cs"/>
          <w:spacing w:val="-4"/>
          <w:sz w:val="18"/>
          <w:szCs w:val="26"/>
          <w:rtl/>
        </w:rPr>
        <w:t xml:space="preserve">2011؛ والبلاغ رقم 393/2009، </w:t>
      </w:r>
      <w:r w:rsidRPr="00222E49">
        <w:rPr>
          <w:rFonts w:cs="Traditional Arabic" w:hint="cs"/>
          <w:i/>
          <w:iCs/>
          <w:spacing w:val="-4"/>
          <w:sz w:val="18"/>
          <w:szCs w:val="26"/>
          <w:rtl/>
        </w:rPr>
        <w:t>إ.</w:t>
      </w:r>
      <w:r w:rsidRPr="00222E49">
        <w:rPr>
          <w:rFonts w:cs="Traditional Arabic" w:hint="eastAsia"/>
          <w:i/>
          <w:iCs/>
          <w:spacing w:val="-4"/>
          <w:sz w:val="18"/>
          <w:szCs w:val="26"/>
          <w:rtl/>
        </w:rPr>
        <w:t> </w:t>
      </w:r>
      <w:r w:rsidRPr="00222E49">
        <w:rPr>
          <w:rFonts w:cs="Traditional Arabic" w:hint="cs"/>
          <w:i/>
          <w:iCs/>
          <w:spacing w:val="-4"/>
          <w:sz w:val="18"/>
          <w:szCs w:val="26"/>
          <w:rtl/>
        </w:rPr>
        <w:t>ت. ضد سويسرا</w:t>
      </w:r>
      <w:r w:rsidRPr="00222E49">
        <w:rPr>
          <w:rFonts w:cs="Traditional Arabic" w:hint="cs"/>
          <w:spacing w:val="-4"/>
          <w:sz w:val="18"/>
          <w:szCs w:val="26"/>
          <w:rtl/>
        </w:rPr>
        <w:t xml:space="preserve">، القرار المعتمد في 23 أيار/مايو 2012؛ والبلاغ رقم 414/2010، </w:t>
      </w:r>
      <w:r w:rsidRPr="00222E49">
        <w:rPr>
          <w:rFonts w:cs="Traditional Arabic" w:hint="cs"/>
          <w:i/>
          <w:iCs/>
          <w:spacing w:val="-4"/>
          <w:sz w:val="18"/>
          <w:szCs w:val="26"/>
          <w:rtl/>
        </w:rPr>
        <w:t>ن. ت. و. ضد سويسرا</w:t>
      </w:r>
      <w:r w:rsidRPr="00222E49">
        <w:rPr>
          <w:rFonts w:cs="Traditional Arabic" w:hint="cs"/>
          <w:spacing w:val="-4"/>
          <w:sz w:val="18"/>
          <w:szCs w:val="26"/>
          <w:rtl/>
        </w:rPr>
        <w:t>، القرار المعتمد في 16 أيار/مايو 2012.</w:t>
      </w:r>
    </w:p>
  </w:footnote>
  <w:footnote w:id="201">
    <w:p w:rsidR="00F815BA" w:rsidRPr="00222E49" w:rsidRDefault="00F815BA" w:rsidP="00501408">
      <w:pPr>
        <w:pStyle w:val="FootnoteText"/>
        <w:numPr>
          <w:ilvl w:val="0"/>
          <w:numId w:val="48"/>
        </w:numPr>
        <w:tabs>
          <w:tab w:val="clear" w:pos="1292"/>
          <w:tab w:val="lef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يشار إلى المرجعين التاليين: وزارة خارجية الولايات المتحدة، التقارير القطرية لعام</w:t>
      </w:r>
      <w:r w:rsidRPr="00222E49">
        <w:rPr>
          <w:rFonts w:cs="Traditional Arabic"/>
          <w:sz w:val="18"/>
          <w:szCs w:val="26"/>
          <w:rtl/>
        </w:rPr>
        <w:t> </w:t>
      </w:r>
      <w:r w:rsidRPr="00222E49">
        <w:rPr>
          <w:rFonts w:cs="Traditional Arabic" w:hint="cs"/>
          <w:sz w:val="18"/>
          <w:szCs w:val="26"/>
          <w:rtl/>
        </w:rPr>
        <w:t xml:space="preserve">2010 بشأن ممارسات حقوق الإنسان: إثيوبيا، 8 نيسان/أبريل 2011. منظمة دار الحرية، </w:t>
      </w:r>
      <w:r w:rsidRPr="00222E49">
        <w:rPr>
          <w:rFonts w:cs="Traditional Arabic" w:hint="cs"/>
          <w:i/>
          <w:iCs/>
          <w:sz w:val="18"/>
          <w:szCs w:val="26"/>
          <w:rtl/>
        </w:rPr>
        <w:t>"الحرية على الشبكة"</w:t>
      </w:r>
      <w:r w:rsidRPr="00222E49">
        <w:rPr>
          <w:rFonts w:cs="Traditional Arabic" w:hint="cs"/>
          <w:sz w:val="18"/>
          <w:szCs w:val="26"/>
          <w:rtl/>
        </w:rPr>
        <w:t>، 2011، الصفحات 132-140.</w:t>
      </w:r>
    </w:p>
  </w:footnote>
  <w:footnote w:id="202">
    <w:p w:rsidR="00F815BA" w:rsidRPr="00222E49" w:rsidRDefault="00F815BA" w:rsidP="00501408">
      <w:pPr>
        <w:pStyle w:val="FootnoteText"/>
        <w:numPr>
          <w:ilvl w:val="0"/>
          <w:numId w:val="48"/>
        </w:numPr>
        <w:tabs>
          <w:tab w:val="clear" w:pos="1292"/>
          <w:tab w:val="lef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وزارة خارجية الولايات المتحدة، التقارير القطرية لعام</w:t>
      </w:r>
      <w:r w:rsidRPr="00222E49">
        <w:rPr>
          <w:rFonts w:cs="Traditional Arabic"/>
          <w:sz w:val="18"/>
          <w:szCs w:val="26"/>
          <w:rtl/>
        </w:rPr>
        <w:t> </w:t>
      </w:r>
      <w:r w:rsidRPr="00222E49">
        <w:rPr>
          <w:rFonts w:cs="Traditional Arabic" w:hint="cs"/>
          <w:sz w:val="18"/>
          <w:szCs w:val="26"/>
          <w:rtl/>
        </w:rPr>
        <w:t>2010.</w:t>
      </w:r>
    </w:p>
  </w:footnote>
  <w:footnote w:id="203">
    <w:p w:rsidR="00F815BA" w:rsidRPr="00222E49" w:rsidRDefault="00F815BA" w:rsidP="00501408">
      <w:pPr>
        <w:pStyle w:val="FootnoteText"/>
        <w:numPr>
          <w:ilvl w:val="0"/>
          <w:numId w:val="48"/>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يشار إلى المرجعين التاليين: مراسلون بلا</w:t>
      </w:r>
      <w:r w:rsidRPr="00222E49">
        <w:rPr>
          <w:rFonts w:cs="Traditional Arabic"/>
          <w:sz w:val="18"/>
          <w:szCs w:val="26"/>
          <w:rtl/>
        </w:rPr>
        <w:t> </w:t>
      </w:r>
      <w:r w:rsidRPr="00222E49">
        <w:rPr>
          <w:rFonts w:cs="Traditional Arabic" w:hint="cs"/>
          <w:sz w:val="18"/>
          <w:szCs w:val="26"/>
          <w:rtl/>
        </w:rPr>
        <w:t>حدود، "الصحف والصحفيون في مواجهة التهديدات والضغط القانوني"، 21 آذار/مارس 2011؛ ومنظمة هيومن رايتس ووتش، مائة طريقة للضغط: انتهاكات حرية التعبير وتكوين الجمعيات في إثيوبيا (2010).</w:t>
      </w:r>
    </w:p>
  </w:footnote>
  <w:footnote w:id="204">
    <w:p w:rsidR="00F815BA" w:rsidRPr="00222E49" w:rsidRDefault="00F815BA" w:rsidP="00501408">
      <w:pPr>
        <w:pStyle w:val="FootnoteText"/>
        <w:numPr>
          <w:ilvl w:val="0"/>
          <w:numId w:val="48"/>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 xml:space="preserve">انظر الحاشية </w:t>
      </w:r>
      <w:r>
        <w:rPr>
          <w:rFonts w:cs="Traditional Arabic" w:hint="cs"/>
          <w:sz w:val="18"/>
          <w:szCs w:val="26"/>
          <w:rtl/>
        </w:rPr>
        <w:t>(</w:t>
      </w:r>
      <w:r w:rsidRPr="00222E49">
        <w:rPr>
          <w:rFonts w:cs="Traditional Arabic" w:hint="cs"/>
          <w:sz w:val="18"/>
          <w:szCs w:val="26"/>
          <w:rtl/>
        </w:rPr>
        <w:t>ك</w:t>
      </w:r>
      <w:r>
        <w:rPr>
          <w:rFonts w:cs="Traditional Arabic" w:hint="cs"/>
          <w:sz w:val="18"/>
          <w:szCs w:val="26"/>
          <w:rtl/>
        </w:rPr>
        <w:t>)</w:t>
      </w:r>
      <w:r w:rsidRPr="00222E49">
        <w:rPr>
          <w:rFonts w:cs="Traditional Arabic" w:hint="cs"/>
          <w:sz w:val="18"/>
          <w:szCs w:val="26"/>
          <w:rtl/>
        </w:rPr>
        <w:t xml:space="preserve"> أعلاه.</w:t>
      </w:r>
    </w:p>
  </w:footnote>
  <w:footnote w:id="205">
    <w:p w:rsidR="00F815BA" w:rsidRPr="00222E49" w:rsidRDefault="00F815BA" w:rsidP="00501408">
      <w:pPr>
        <w:pStyle w:val="FootnoteText"/>
        <w:numPr>
          <w:ilvl w:val="0"/>
          <w:numId w:val="48"/>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التوكيد بالخط المائل مضاف من صاحبة الشكوى.</w:t>
      </w:r>
    </w:p>
  </w:footnote>
  <w:footnote w:id="206">
    <w:p w:rsidR="00F815BA" w:rsidRPr="00222E49" w:rsidRDefault="00F815BA" w:rsidP="00501408">
      <w:pPr>
        <w:pStyle w:val="FootnoteText"/>
        <w:numPr>
          <w:ilvl w:val="0"/>
          <w:numId w:val="48"/>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انظر الحاشية ب الواردة أعلاه.</w:t>
      </w:r>
    </w:p>
  </w:footnote>
  <w:footnote w:id="207">
    <w:p w:rsidR="00F815BA" w:rsidRPr="00222E49" w:rsidRDefault="00F815BA" w:rsidP="00501408">
      <w:pPr>
        <w:pStyle w:val="FootnoteText"/>
        <w:numPr>
          <w:ilvl w:val="0"/>
          <w:numId w:val="48"/>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 xml:space="preserve">انظر، في جملة أمور، البلاغ رقم 203/2002، </w:t>
      </w:r>
      <w:r w:rsidRPr="00222E49">
        <w:rPr>
          <w:rFonts w:cs="Traditional Arabic" w:hint="cs"/>
          <w:i/>
          <w:iCs/>
          <w:sz w:val="18"/>
          <w:szCs w:val="26"/>
          <w:rtl/>
        </w:rPr>
        <w:t>أ. ر. ضد هولندا</w:t>
      </w:r>
      <w:r w:rsidRPr="00222E49">
        <w:rPr>
          <w:rFonts w:cs="Traditional Arabic" w:hint="cs"/>
          <w:sz w:val="18"/>
          <w:szCs w:val="26"/>
          <w:rtl/>
        </w:rPr>
        <w:t xml:space="preserve">، القرار المعتمد في 14 تشرين الثاني/نوفمبر 2003؛ والبلاغ رقم 258/2004، </w:t>
      </w:r>
      <w:r w:rsidRPr="00222E49">
        <w:rPr>
          <w:rFonts w:cs="Traditional Arabic" w:hint="cs"/>
          <w:i/>
          <w:iCs/>
          <w:sz w:val="18"/>
          <w:szCs w:val="26"/>
          <w:rtl/>
        </w:rPr>
        <w:t>دادار ضد كندا</w:t>
      </w:r>
      <w:r w:rsidRPr="00222E49">
        <w:rPr>
          <w:rFonts w:cs="Traditional Arabic" w:hint="cs"/>
          <w:sz w:val="18"/>
          <w:szCs w:val="26"/>
          <w:rtl/>
        </w:rPr>
        <w:t>، القرار المعتمد في 23 تشرين الثاني/نوفمبر 2005.</w:t>
      </w:r>
    </w:p>
  </w:footnote>
  <w:footnote w:id="208">
    <w:p w:rsidR="00F815BA" w:rsidRPr="00222E49" w:rsidRDefault="00F815BA" w:rsidP="00501408">
      <w:pPr>
        <w:pStyle w:val="FootnoteText"/>
        <w:numPr>
          <w:ilvl w:val="0"/>
          <w:numId w:val="49"/>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 xml:space="preserve">انظر، في جملة أمور، البلاغ رقم 356/2008، </w:t>
      </w:r>
      <w:r w:rsidRPr="00222E49">
        <w:rPr>
          <w:rFonts w:cs="Traditional Arabic" w:hint="cs"/>
          <w:i/>
          <w:iCs/>
          <w:sz w:val="18"/>
          <w:szCs w:val="26"/>
          <w:rtl/>
        </w:rPr>
        <w:t>ن. س. ضد سويسرا</w:t>
      </w:r>
      <w:r w:rsidRPr="00222E49">
        <w:rPr>
          <w:rFonts w:cs="Traditional Arabic" w:hint="cs"/>
          <w:sz w:val="18"/>
          <w:szCs w:val="26"/>
          <w:rtl/>
        </w:rPr>
        <w:t>، القرار المعتمد في 6 أيار/مايو</w:t>
      </w:r>
      <w:r w:rsidRPr="00222E49">
        <w:rPr>
          <w:rFonts w:cs="Traditional Arabic" w:hint="eastAsia"/>
          <w:sz w:val="18"/>
          <w:szCs w:val="26"/>
          <w:rtl/>
        </w:rPr>
        <w:t> </w:t>
      </w:r>
      <w:r w:rsidRPr="00222E49">
        <w:rPr>
          <w:rFonts w:cs="Traditional Arabic" w:hint="cs"/>
          <w:sz w:val="18"/>
          <w:szCs w:val="26"/>
          <w:rtl/>
        </w:rPr>
        <w:t>2010، الفقرة 7-3.</w:t>
      </w:r>
    </w:p>
  </w:footnote>
  <w:footnote w:id="209">
    <w:p w:rsidR="00F815BA" w:rsidRPr="00222E49" w:rsidRDefault="00F815BA" w:rsidP="00501408">
      <w:pPr>
        <w:pStyle w:val="FootnoteText"/>
        <w:numPr>
          <w:ilvl w:val="0"/>
          <w:numId w:val="49"/>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تحيط اللجنة علماً بأن إثيوبيا هي أيضاً دولة طرف في اتفاقية مناهضة التعذيب وغيره من ضروب المعاملة أو</w:t>
      </w:r>
      <w:r w:rsidRPr="00222E49">
        <w:rPr>
          <w:rFonts w:cs="Traditional Arabic"/>
          <w:sz w:val="18"/>
          <w:szCs w:val="26"/>
          <w:rtl/>
        </w:rPr>
        <w:t> </w:t>
      </w:r>
      <w:r w:rsidRPr="00222E49">
        <w:rPr>
          <w:rFonts w:cs="Traditional Arabic" w:hint="cs"/>
          <w:sz w:val="18"/>
          <w:szCs w:val="26"/>
          <w:rtl/>
        </w:rPr>
        <w:t>العقوبة القاسية أو</w:t>
      </w:r>
      <w:r w:rsidRPr="00222E49">
        <w:rPr>
          <w:rFonts w:cs="Traditional Arabic"/>
          <w:sz w:val="18"/>
          <w:szCs w:val="26"/>
          <w:rtl/>
        </w:rPr>
        <w:t> </w:t>
      </w:r>
      <w:r w:rsidRPr="00222E49">
        <w:rPr>
          <w:rFonts w:cs="Traditional Arabic" w:hint="cs"/>
          <w:sz w:val="18"/>
          <w:szCs w:val="26"/>
          <w:rtl/>
        </w:rPr>
        <w:t>اللاإنسانية أو</w:t>
      </w:r>
      <w:r w:rsidRPr="00222E49">
        <w:rPr>
          <w:rFonts w:cs="Traditional Arabic"/>
          <w:sz w:val="18"/>
          <w:szCs w:val="26"/>
          <w:rtl/>
        </w:rPr>
        <w:t> </w:t>
      </w:r>
      <w:r w:rsidRPr="00222E49">
        <w:rPr>
          <w:rFonts w:cs="Traditional Arabic" w:hint="cs"/>
          <w:sz w:val="18"/>
          <w:szCs w:val="26"/>
          <w:rtl/>
        </w:rPr>
        <w:t>المهينة وتذكر بملاحظاتها الختامية لعام</w:t>
      </w:r>
      <w:r w:rsidRPr="00222E49">
        <w:rPr>
          <w:rFonts w:cs="Traditional Arabic"/>
          <w:sz w:val="18"/>
          <w:szCs w:val="26"/>
          <w:rtl/>
        </w:rPr>
        <w:t> </w:t>
      </w:r>
      <w:r w:rsidRPr="00222E49">
        <w:rPr>
          <w:rFonts w:cs="Traditional Arabic" w:hint="cs"/>
          <w:sz w:val="18"/>
          <w:szCs w:val="26"/>
          <w:rtl/>
        </w:rPr>
        <w:t xml:space="preserve">2011 </w:t>
      </w:r>
      <w:r w:rsidRPr="00222E49">
        <w:rPr>
          <w:rFonts w:cs="Traditional Arabic"/>
          <w:sz w:val="18"/>
          <w:szCs w:val="26"/>
        </w:rPr>
        <w:t>(CAT/C/ETH/CO/1)</w:t>
      </w:r>
      <w:r w:rsidRPr="00222E49">
        <w:rPr>
          <w:rFonts w:cs="Traditional Arabic" w:hint="cs"/>
          <w:sz w:val="18"/>
          <w:szCs w:val="26"/>
          <w:rtl/>
        </w:rPr>
        <w:t>، الفقرات من 10 إلى 14.</w:t>
      </w:r>
    </w:p>
  </w:footnote>
  <w:footnote w:id="210">
    <w:p w:rsidR="00F815BA" w:rsidRPr="00222E49" w:rsidRDefault="00F815BA" w:rsidP="00501408">
      <w:pPr>
        <w:pStyle w:val="FootnoteText"/>
        <w:numPr>
          <w:ilvl w:val="0"/>
          <w:numId w:val="42"/>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في هذا الصدد، انظر أيضاً الفقرتين 4-17 و5-1 أدناه.</w:t>
      </w:r>
    </w:p>
  </w:footnote>
  <w:footnote w:id="211">
    <w:p w:rsidR="00F815BA" w:rsidRPr="00222E49" w:rsidRDefault="00F815BA" w:rsidP="00501408">
      <w:pPr>
        <w:pStyle w:val="FootnoteText"/>
        <w:numPr>
          <w:ilvl w:val="0"/>
          <w:numId w:val="42"/>
        </w:numPr>
        <w:tabs>
          <w:tab w:val="clear" w:pos="1292"/>
          <w:tab w:val="num" w:pos="1253"/>
        </w:tabs>
        <w:bidi/>
        <w:spacing w:after="60" w:line="300" w:lineRule="exact"/>
        <w:ind w:left="1248" w:right="1247"/>
        <w:jc w:val="lowKashida"/>
        <w:rPr>
          <w:rFonts w:cs="Traditional Arabic"/>
          <w:sz w:val="18"/>
          <w:szCs w:val="26"/>
        </w:rPr>
      </w:pPr>
      <w:r w:rsidRPr="00222E49">
        <w:rPr>
          <w:rFonts w:cs="Traditional Arabic" w:hint="cs"/>
          <w:sz w:val="18"/>
          <w:szCs w:val="26"/>
          <w:rtl/>
        </w:rPr>
        <w:t>في هذا الصدد، قدَّم صاحب الشكوى إلى جانب هذا البلاغ نسخة من سجل طبي مؤرخ 20 تموز/ يوليه</w:t>
      </w:r>
      <w:r w:rsidRPr="00222E49">
        <w:rPr>
          <w:rFonts w:cs="Traditional Arabic" w:hint="eastAsia"/>
          <w:sz w:val="18"/>
          <w:szCs w:val="26"/>
          <w:rtl/>
        </w:rPr>
        <w:t> </w:t>
      </w:r>
      <w:r w:rsidRPr="00222E49">
        <w:rPr>
          <w:rFonts w:cs="Traditional Arabic" w:hint="cs"/>
          <w:sz w:val="18"/>
          <w:szCs w:val="26"/>
          <w:rtl/>
        </w:rPr>
        <w:t xml:space="preserve">2002 أصدره </w:t>
      </w:r>
      <w:r w:rsidRPr="00222E49">
        <w:rPr>
          <w:rFonts w:cs="Traditional Arabic" w:hint="cs"/>
          <w:sz w:val="18"/>
          <w:szCs w:val="26"/>
          <w:rtl/>
          <w:lang w:val="fr-CH" w:bidi="ar-MA"/>
        </w:rPr>
        <w:t>مستشفى مجلس مسوا في جمهورية تنزانيا المتحدة.</w:t>
      </w:r>
    </w:p>
  </w:footnote>
  <w:footnote w:id="212">
    <w:p w:rsidR="00F815BA" w:rsidRPr="00222E49" w:rsidRDefault="00F815BA" w:rsidP="00501408">
      <w:pPr>
        <w:pStyle w:val="FootnoteText"/>
        <w:numPr>
          <w:ilvl w:val="0"/>
          <w:numId w:val="42"/>
        </w:numPr>
        <w:tabs>
          <w:tab w:val="clear" w:pos="1292"/>
          <w:tab w:val="num" w:pos="1253"/>
        </w:tabs>
        <w:bidi/>
        <w:spacing w:after="60" w:line="300" w:lineRule="exact"/>
        <w:ind w:left="1248" w:right="1247"/>
        <w:jc w:val="lowKashida"/>
        <w:rPr>
          <w:rFonts w:cs="Traditional Arabic"/>
          <w:spacing w:val="-4"/>
          <w:sz w:val="18"/>
          <w:szCs w:val="26"/>
        </w:rPr>
      </w:pPr>
      <w:r w:rsidRPr="00222E49">
        <w:rPr>
          <w:rFonts w:cs="Traditional Arabic" w:hint="cs"/>
          <w:spacing w:val="-4"/>
          <w:sz w:val="18"/>
          <w:szCs w:val="26"/>
          <w:rtl/>
        </w:rPr>
        <w:t xml:space="preserve">في أيار/مايو / حزيران/يونيه 2012، أحاط صاحب الشكوى اللجنة علماً بأنه </w:t>
      </w:r>
      <w:r w:rsidRPr="00222E49">
        <w:rPr>
          <w:rFonts w:cs="Traditional Arabic" w:hint="cs"/>
          <w:spacing w:val="-4"/>
          <w:sz w:val="18"/>
          <w:szCs w:val="26"/>
          <w:rtl/>
          <w:lang w:val="fr-CH" w:bidi="ar-MA"/>
        </w:rPr>
        <w:t>طُرد قسراً من السويد، ولكنه استطاع الفرار في طريقه إلى جمهورية تنزانيا المتحدة وبأنه موجود حالياً في بلد ثالث - انظر الفقرة 5-1 أدناه.</w:t>
      </w:r>
    </w:p>
  </w:footnote>
  <w:footnote w:id="213">
    <w:p w:rsidR="00F815BA" w:rsidRPr="00222E49" w:rsidRDefault="00F815BA" w:rsidP="00501408">
      <w:pPr>
        <w:pStyle w:val="FootnoteText"/>
        <w:numPr>
          <w:ilvl w:val="0"/>
          <w:numId w:val="42"/>
        </w:numPr>
        <w:tabs>
          <w:tab w:val="clear" w:pos="1292"/>
          <w:tab w:val="num" w:pos="1253"/>
        </w:tabs>
        <w:bidi/>
        <w:spacing w:after="60" w:line="300" w:lineRule="exact"/>
        <w:ind w:left="1248" w:right="1247"/>
        <w:jc w:val="lowKashida"/>
        <w:rPr>
          <w:rFonts w:cs="Traditional Arabic"/>
          <w:sz w:val="18"/>
          <w:szCs w:val="26"/>
        </w:rPr>
      </w:pPr>
      <w:r w:rsidRPr="00222E49">
        <w:rPr>
          <w:rFonts w:cs="Traditional Arabic" w:hint="cs"/>
          <w:sz w:val="18"/>
          <w:szCs w:val="26"/>
          <w:rtl/>
        </w:rPr>
        <w:t>يُستشف من ملف القضية أن الأحداث المشار إليها هي الأحداث التي جرت في عام</w:t>
      </w:r>
      <w:r w:rsidRPr="00222E49">
        <w:rPr>
          <w:rFonts w:cs="Traditional Arabic"/>
          <w:sz w:val="18"/>
          <w:szCs w:val="26"/>
          <w:rtl/>
        </w:rPr>
        <w:t> </w:t>
      </w:r>
      <w:r w:rsidRPr="00222E49">
        <w:rPr>
          <w:rFonts w:cs="Traditional Arabic" w:hint="cs"/>
          <w:sz w:val="18"/>
          <w:szCs w:val="26"/>
          <w:rtl/>
        </w:rPr>
        <w:t>2002.</w:t>
      </w:r>
    </w:p>
  </w:footnote>
  <w:footnote w:id="214">
    <w:p w:rsidR="00F815BA" w:rsidRPr="00222E49" w:rsidRDefault="00F815BA" w:rsidP="00DE4AC4">
      <w:pPr>
        <w:pStyle w:val="FootnoteText"/>
        <w:numPr>
          <w:ilvl w:val="0"/>
          <w:numId w:val="0"/>
        </w:numPr>
        <w:tabs>
          <w:tab w:val="left" w:pos="1239"/>
        </w:tabs>
        <w:bidi/>
        <w:spacing w:after="60" w:line="300" w:lineRule="exact"/>
        <w:ind w:left="737" w:right="1247"/>
        <w:rPr>
          <w:rFonts w:cs="Traditional Arabic" w:hint="cs"/>
          <w:sz w:val="18"/>
          <w:szCs w:val="26"/>
        </w:rPr>
      </w:pPr>
      <w:r w:rsidRPr="00222E49">
        <w:rPr>
          <w:rFonts w:cs="Traditional Arabic" w:hint="cs"/>
          <w:sz w:val="18"/>
          <w:szCs w:val="26"/>
          <w:rtl/>
          <w:lang w:val="en-CA"/>
        </w:rPr>
        <w:t>(ﻫ)</w:t>
      </w:r>
      <w:r w:rsidRPr="00222E49">
        <w:rPr>
          <w:rFonts w:cs="Traditional Arabic" w:hint="cs"/>
          <w:sz w:val="18"/>
          <w:szCs w:val="26"/>
          <w:rtl/>
          <w:lang w:val="en-CA"/>
        </w:rPr>
        <w:tab/>
        <w:t>التأكيد بالحروف المائلة مُضاف من</w:t>
      </w:r>
      <w:r w:rsidRPr="00222E49">
        <w:rPr>
          <w:rFonts w:cs="Traditional Arabic" w:hint="cs"/>
          <w:sz w:val="18"/>
          <w:szCs w:val="26"/>
          <w:rtl/>
        </w:rPr>
        <w:t xml:space="preserve"> الدولة الطرف.</w:t>
      </w:r>
    </w:p>
  </w:footnote>
  <w:footnote w:id="215">
    <w:p w:rsidR="00F815BA" w:rsidRPr="00222E49" w:rsidRDefault="00F815BA" w:rsidP="00501408">
      <w:pPr>
        <w:pStyle w:val="FootnoteText"/>
        <w:numPr>
          <w:ilvl w:val="0"/>
          <w:numId w:val="50"/>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lang w:val="en-CA"/>
        </w:rPr>
        <w:t xml:space="preserve">البلاغان رقم 150/1999، </w:t>
      </w:r>
      <w:r w:rsidRPr="00222E49">
        <w:rPr>
          <w:rFonts w:cs="Traditional Arabic" w:hint="cs"/>
          <w:i/>
          <w:iCs/>
          <w:sz w:val="18"/>
          <w:szCs w:val="26"/>
          <w:rtl/>
          <w:lang w:val="en-CA"/>
        </w:rPr>
        <w:t>س. ل. ضد السويد</w:t>
      </w:r>
      <w:r w:rsidRPr="00222E49">
        <w:rPr>
          <w:rFonts w:cs="Traditional Arabic" w:hint="cs"/>
          <w:sz w:val="18"/>
          <w:szCs w:val="26"/>
          <w:rtl/>
          <w:lang w:val="en-CA"/>
        </w:rPr>
        <w:t xml:space="preserve">، الآراء المعتمدة في 11 أيار/مايو 2001، الفقرة 6-3؛ ورقم 213/2002، </w:t>
      </w:r>
      <w:r w:rsidRPr="00222E49">
        <w:rPr>
          <w:rFonts w:cs="Traditional Arabic" w:hint="cs"/>
          <w:i/>
          <w:iCs/>
          <w:sz w:val="18"/>
          <w:szCs w:val="26"/>
          <w:rtl/>
          <w:lang w:val="en-CA"/>
        </w:rPr>
        <w:t>إ. ج. ف. م. ضد السويد</w:t>
      </w:r>
      <w:r w:rsidRPr="00222E49">
        <w:rPr>
          <w:rFonts w:cs="Traditional Arabic" w:hint="cs"/>
          <w:sz w:val="18"/>
          <w:szCs w:val="26"/>
          <w:rtl/>
          <w:lang w:val="en-CA"/>
        </w:rPr>
        <w:t xml:space="preserve">، الآراء المعتمدة في 14 تشرين الثاني/نوفمبر 2003، الفقرة 8-3. </w:t>
      </w:r>
    </w:p>
  </w:footnote>
  <w:footnote w:id="216">
    <w:p w:rsidR="00F815BA" w:rsidRPr="00222E49" w:rsidRDefault="00F815BA" w:rsidP="00501408">
      <w:pPr>
        <w:pStyle w:val="FootnoteText"/>
        <w:numPr>
          <w:ilvl w:val="0"/>
          <w:numId w:val="50"/>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lang w:val="en-CA"/>
        </w:rPr>
        <w:t xml:space="preserve">الإشارة إلى البلاغ رقم 103/1998، </w:t>
      </w:r>
      <w:r>
        <w:rPr>
          <w:rFonts w:cs="Traditional Arabic" w:hint="cs"/>
          <w:i/>
          <w:iCs/>
          <w:sz w:val="18"/>
          <w:szCs w:val="26"/>
          <w:rtl/>
          <w:lang w:val="en-CA"/>
        </w:rPr>
        <w:t>س. م. ر. و</w:t>
      </w:r>
      <w:r w:rsidRPr="00222E49">
        <w:rPr>
          <w:rFonts w:cs="Traditional Arabic" w:hint="cs"/>
          <w:i/>
          <w:iCs/>
          <w:sz w:val="18"/>
          <w:szCs w:val="26"/>
          <w:rtl/>
          <w:lang w:val="en-CA"/>
        </w:rPr>
        <w:t>م. م. ر. ضد السويد</w:t>
      </w:r>
      <w:r w:rsidRPr="00222E49">
        <w:rPr>
          <w:rFonts w:cs="Traditional Arabic" w:hint="cs"/>
          <w:sz w:val="18"/>
          <w:szCs w:val="26"/>
          <w:rtl/>
          <w:lang w:val="en-CA"/>
        </w:rPr>
        <w:t>، الآراء المعتمدة في 5 أيار/ مايو</w:t>
      </w:r>
      <w:r w:rsidRPr="00222E49">
        <w:rPr>
          <w:rFonts w:cs="Traditional Arabic" w:hint="eastAsia"/>
          <w:sz w:val="18"/>
          <w:szCs w:val="26"/>
          <w:rtl/>
          <w:lang w:val="en-CA"/>
        </w:rPr>
        <w:t> </w:t>
      </w:r>
      <w:r w:rsidRPr="00222E49">
        <w:rPr>
          <w:rFonts w:cs="Traditional Arabic" w:hint="cs"/>
          <w:sz w:val="18"/>
          <w:szCs w:val="26"/>
          <w:rtl/>
          <w:lang w:val="en-CA"/>
        </w:rPr>
        <w:t>1999، الفقرة 9-7.</w:t>
      </w:r>
    </w:p>
  </w:footnote>
  <w:footnote w:id="217">
    <w:p w:rsidR="00F815BA" w:rsidRPr="00222E49" w:rsidRDefault="00F815BA" w:rsidP="00501408">
      <w:pPr>
        <w:pStyle w:val="FootnoteText"/>
        <w:numPr>
          <w:ilvl w:val="0"/>
          <w:numId w:val="50"/>
        </w:numPr>
        <w:tabs>
          <w:tab w:val="clear" w:pos="1292"/>
          <w:tab w:val="left" w:pos="1239"/>
        </w:tabs>
        <w:bidi/>
        <w:spacing w:after="60" w:line="300" w:lineRule="exact"/>
        <w:ind w:left="1247" w:right="1247" w:hanging="272"/>
        <w:jc w:val="lowKashida"/>
        <w:rPr>
          <w:rFonts w:cs="Traditional Arabic" w:hint="cs"/>
          <w:spacing w:val="-2"/>
          <w:sz w:val="18"/>
          <w:szCs w:val="26"/>
        </w:rPr>
      </w:pPr>
      <w:r w:rsidRPr="00222E49">
        <w:rPr>
          <w:rFonts w:cs="Traditional Arabic" w:hint="cs"/>
          <w:i/>
          <w:iCs/>
          <w:spacing w:val="-2"/>
          <w:sz w:val="18"/>
          <w:szCs w:val="26"/>
          <w:rtl/>
        </w:rPr>
        <w:t>الوثائق الرسمية للجمعية العامة، الدورة الثالثة والخمسون، الملحق رقم 44</w:t>
      </w:r>
      <w:r w:rsidRPr="00222E49">
        <w:rPr>
          <w:rFonts w:cs="Traditional Arabic" w:hint="cs"/>
          <w:spacing w:val="-2"/>
          <w:sz w:val="18"/>
          <w:szCs w:val="26"/>
          <w:rtl/>
        </w:rPr>
        <w:t xml:space="preserve"> (</w:t>
      </w:r>
      <w:r w:rsidRPr="00222E49">
        <w:rPr>
          <w:rFonts w:cs="Traditional Arabic"/>
          <w:spacing w:val="-2"/>
          <w:sz w:val="18"/>
          <w:szCs w:val="26"/>
        </w:rPr>
        <w:t>A/53/44</w:t>
      </w:r>
      <w:r w:rsidRPr="00222E49">
        <w:rPr>
          <w:rFonts w:cs="Traditional Arabic" w:hint="cs"/>
          <w:spacing w:val="-2"/>
          <w:sz w:val="18"/>
          <w:szCs w:val="26"/>
          <w:rtl/>
        </w:rPr>
        <w:t xml:space="preserve"> و</w:t>
      </w:r>
      <w:r w:rsidRPr="00222E49">
        <w:rPr>
          <w:rFonts w:cs="Traditional Arabic"/>
          <w:spacing w:val="-2"/>
          <w:sz w:val="18"/>
          <w:szCs w:val="26"/>
        </w:rPr>
        <w:t>Corr.1</w:t>
      </w:r>
      <w:r w:rsidRPr="00222E49">
        <w:rPr>
          <w:rFonts w:cs="Traditional Arabic" w:hint="cs"/>
          <w:spacing w:val="-2"/>
          <w:sz w:val="18"/>
          <w:szCs w:val="26"/>
          <w:rtl/>
        </w:rPr>
        <w:t>)، المرفق التاسع.</w:t>
      </w:r>
    </w:p>
  </w:footnote>
  <w:footnote w:id="218">
    <w:p w:rsidR="00F815BA" w:rsidRPr="00222E49" w:rsidRDefault="00F815BA" w:rsidP="00501408">
      <w:pPr>
        <w:pStyle w:val="FootnoteText"/>
        <w:numPr>
          <w:ilvl w:val="0"/>
          <w:numId w:val="50"/>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lang w:val="en-CA"/>
        </w:rPr>
        <w:t>يُشار إلى الجزأين 1 و2 من الفصل 4 من القانون.</w:t>
      </w:r>
    </w:p>
  </w:footnote>
  <w:footnote w:id="219">
    <w:p w:rsidR="00F815BA" w:rsidRPr="00222E49" w:rsidRDefault="00F815BA" w:rsidP="00501408">
      <w:pPr>
        <w:pStyle w:val="FootnoteText"/>
        <w:numPr>
          <w:ilvl w:val="0"/>
          <w:numId w:val="50"/>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lang w:val="en-CA"/>
        </w:rPr>
        <w:t xml:space="preserve">يُشار إلى البلاغ رقم 61/1996، </w:t>
      </w:r>
      <w:r w:rsidRPr="00222E49">
        <w:rPr>
          <w:rFonts w:cs="Traditional Arabic" w:hint="cs"/>
          <w:i/>
          <w:iCs/>
          <w:sz w:val="18"/>
          <w:szCs w:val="26"/>
          <w:rtl/>
          <w:lang w:val="en-CA"/>
        </w:rPr>
        <w:t>سين وصاد وعين ضد السويد</w:t>
      </w:r>
      <w:r w:rsidRPr="00222E49">
        <w:rPr>
          <w:rFonts w:cs="Traditional Arabic" w:hint="cs"/>
          <w:sz w:val="18"/>
          <w:szCs w:val="26"/>
          <w:rtl/>
          <w:lang w:val="en-CA"/>
        </w:rPr>
        <w:t>، الآراء المعتمدة في 6 أيار/مايو 1998، الفقرة 11-2.</w:t>
      </w:r>
    </w:p>
  </w:footnote>
  <w:footnote w:id="220">
    <w:p w:rsidR="00F815BA" w:rsidRPr="00222E49" w:rsidRDefault="00F815BA" w:rsidP="00501408">
      <w:pPr>
        <w:pStyle w:val="FootnoteText"/>
        <w:numPr>
          <w:ilvl w:val="0"/>
          <w:numId w:val="50"/>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lang w:val="en-CA"/>
        </w:rPr>
        <w:t>انظر الفقرة 4-8 أعلاه.</w:t>
      </w:r>
    </w:p>
  </w:footnote>
  <w:footnote w:id="221">
    <w:p w:rsidR="00F815BA" w:rsidRPr="00222E49" w:rsidRDefault="00F815BA" w:rsidP="00501408">
      <w:pPr>
        <w:pStyle w:val="FootnoteText"/>
        <w:numPr>
          <w:ilvl w:val="0"/>
          <w:numId w:val="50"/>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lang w:val="en-CA"/>
        </w:rPr>
        <w:t>التعليق العام رقم 1، الفقرة 6.</w:t>
      </w:r>
    </w:p>
  </w:footnote>
  <w:footnote w:id="222">
    <w:p w:rsidR="00F815BA" w:rsidRPr="00222E49" w:rsidRDefault="00F815BA" w:rsidP="00501408">
      <w:pPr>
        <w:pStyle w:val="FootnoteText"/>
        <w:numPr>
          <w:ilvl w:val="0"/>
          <w:numId w:val="50"/>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lang w:val="en-CA"/>
        </w:rPr>
        <w:t>المرجع نفسه، الفقرة 5. انظر أيضاً</w:t>
      </w:r>
      <w:r w:rsidRPr="00222E49">
        <w:rPr>
          <w:rFonts w:cs="Traditional Arabic" w:hint="cs"/>
          <w:sz w:val="18"/>
          <w:szCs w:val="26"/>
          <w:rtl/>
        </w:rPr>
        <w:t xml:space="preserve"> البلاغ رقم 203/2002، </w:t>
      </w:r>
      <w:r w:rsidRPr="00222E49">
        <w:rPr>
          <w:rFonts w:cs="Traditional Arabic" w:hint="cs"/>
          <w:i/>
          <w:iCs/>
          <w:sz w:val="18"/>
          <w:szCs w:val="26"/>
          <w:rtl/>
        </w:rPr>
        <w:t>أ. ر. ضد هولندا</w:t>
      </w:r>
      <w:r w:rsidRPr="00222E49">
        <w:rPr>
          <w:rFonts w:cs="Traditional Arabic" w:hint="cs"/>
          <w:sz w:val="18"/>
          <w:szCs w:val="26"/>
          <w:rtl/>
        </w:rPr>
        <w:t>، الآراء المعتمدة في 14 تشرين الثاني/نوفمبر 2003، الفقرة 7-3.</w:t>
      </w:r>
    </w:p>
  </w:footnote>
  <w:footnote w:id="223">
    <w:p w:rsidR="00F815BA" w:rsidRPr="00222E49" w:rsidRDefault="00F815BA" w:rsidP="00501408">
      <w:pPr>
        <w:pStyle w:val="FootnoteText"/>
        <w:numPr>
          <w:ilvl w:val="0"/>
          <w:numId w:val="50"/>
        </w:numPr>
        <w:tabs>
          <w:tab w:val="clear" w:pos="1292"/>
          <w:tab w:val="left" w:pos="1239"/>
        </w:tabs>
        <w:bidi/>
        <w:spacing w:after="60" w:line="300" w:lineRule="exact"/>
        <w:ind w:left="1247" w:right="1247" w:hanging="272"/>
        <w:jc w:val="lowKashida"/>
        <w:rPr>
          <w:rFonts w:cs="Traditional Arabic" w:hint="cs"/>
          <w:sz w:val="18"/>
          <w:szCs w:val="26"/>
          <w:rtl/>
          <w:lang w:val="en-CA"/>
        </w:rPr>
      </w:pPr>
      <w:r w:rsidRPr="00222E49">
        <w:rPr>
          <w:rFonts w:cs="Traditional Arabic" w:hint="cs"/>
          <w:sz w:val="18"/>
          <w:szCs w:val="26"/>
          <w:rtl/>
        </w:rPr>
        <w:t xml:space="preserve">انظر، في جملة أمور، البلاغ رقم 356/2008، </w:t>
      </w:r>
      <w:r w:rsidRPr="00222E49">
        <w:rPr>
          <w:rFonts w:cs="Traditional Arabic" w:hint="cs"/>
          <w:i/>
          <w:iCs/>
          <w:sz w:val="18"/>
          <w:szCs w:val="26"/>
          <w:rtl/>
        </w:rPr>
        <w:t>ن. س. ضد سويسرا</w:t>
      </w:r>
      <w:r w:rsidRPr="00222E49">
        <w:rPr>
          <w:rFonts w:cs="Traditional Arabic" w:hint="cs"/>
          <w:sz w:val="18"/>
          <w:szCs w:val="26"/>
          <w:rtl/>
        </w:rPr>
        <w:t>، القرار المعتمد في 6 أيار/ مايو</w:t>
      </w:r>
      <w:r w:rsidRPr="00222E49">
        <w:rPr>
          <w:rFonts w:cs="Traditional Arabic" w:hint="eastAsia"/>
          <w:sz w:val="18"/>
          <w:szCs w:val="26"/>
          <w:rtl/>
        </w:rPr>
        <w:t> </w:t>
      </w:r>
      <w:r w:rsidRPr="00222E49">
        <w:rPr>
          <w:rFonts w:cs="Traditional Arabic" w:hint="cs"/>
          <w:sz w:val="18"/>
          <w:szCs w:val="26"/>
          <w:rtl/>
        </w:rPr>
        <w:t>2010، الفقرة 7-3.</w:t>
      </w:r>
    </w:p>
  </w:footnote>
  <w:footnote w:id="224">
    <w:p w:rsidR="00F815BA" w:rsidRPr="00222E49" w:rsidRDefault="00F815BA" w:rsidP="00501408">
      <w:pPr>
        <w:pStyle w:val="FootnoteText"/>
        <w:numPr>
          <w:ilvl w:val="0"/>
          <w:numId w:val="50"/>
        </w:numPr>
        <w:tabs>
          <w:tab w:val="clear" w:pos="1292"/>
          <w:tab w:val="right" w:pos="1253"/>
        </w:tabs>
        <w:bidi/>
        <w:spacing w:after="60" w:line="300" w:lineRule="exact"/>
        <w:ind w:left="1247" w:right="1247" w:hanging="272"/>
        <w:jc w:val="lowKashida"/>
        <w:rPr>
          <w:rFonts w:cs="Traditional Arabic" w:hint="cs"/>
          <w:sz w:val="18"/>
          <w:szCs w:val="26"/>
          <w:rtl/>
          <w:lang w:val="en-CA"/>
        </w:rPr>
      </w:pPr>
      <w:r w:rsidRPr="00222E49">
        <w:rPr>
          <w:rFonts w:cs="Traditional Arabic" w:hint="cs"/>
          <w:sz w:val="18"/>
          <w:szCs w:val="26"/>
          <w:rtl/>
        </w:rPr>
        <w:t xml:space="preserve">يُشار إلى </w:t>
      </w:r>
      <w:r w:rsidRPr="00222E49">
        <w:rPr>
          <w:rFonts w:cs="Traditional Arabic" w:hint="cs"/>
          <w:i/>
          <w:iCs/>
          <w:sz w:val="18"/>
          <w:szCs w:val="26"/>
          <w:rtl/>
        </w:rPr>
        <w:t>سين وصاد وعين ضد السويد</w:t>
      </w:r>
      <w:r w:rsidRPr="00222E49">
        <w:rPr>
          <w:rFonts w:cs="Traditional Arabic" w:hint="cs"/>
          <w:sz w:val="18"/>
          <w:szCs w:val="26"/>
          <w:rtl/>
        </w:rPr>
        <w:t>، الفقرة 11-2.</w:t>
      </w:r>
    </w:p>
  </w:footnote>
  <w:footnote w:id="225">
    <w:p w:rsidR="00F815BA" w:rsidRPr="00222E49" w:rsidRDefault="00F815BA" w:rsidP="00501408">
      <w:pPr>
        <w:pStyle w:val="FootnoteText"/>
        <w:numPr>
          <w:ilvl w:val="0"/>
          <w:numId w:val="43"/>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يذكر صاحب الشكوى أنه لم</w:t>
      </w:r>
      <w:r w:rsidRPr="00222E49">
        <w:rPr>
          <w:rFonts w:cs="Traditional Arabic"/>
          <w:sz w:val="18"/>
          <w:szCs w:val="26"/>
          <w:rtl/>
        </w:rPr>
        <w:t> </w:t>
      </w:r>
      <w:r w:rsidRPr="00222E49">
        <w:rPr>
          <w:rFonts w:cs="Traditional Arabic" w:hint="cs"/>
          <w:sz w:val="18"/>
          <w:szCs w:val="26"/>
          <w:rtl/>
        </w:rPr>
        <w:t>يتمكن من بدء حياة جديدة في مكان آخر في إيران لأنه لم</w:t>
      </w:r>
      <w:r w:rsidRPr="00222E49">
        <w:rPr>
          <w:rFonts w:cs="Traditional Arabic"/>
          <w:sz w:val="18"/>
          <w:szCs w:val="26"/>
          <w:rtl/>
        </w:rPr>
        <w:t> </w:t>
      </w:r>
      <w:r w:rsidRPr="00222E49">
        <w:rPr>
          <w:rFonts w:cs="Traditional Arabic" w:hint="cs"/>
          <w:sz w:val="18"/>
          <w:szCs w:val="26"/>
          <w:rtl/>
        </w:rPr>
        <w:t>يكن متعلّماً ولا</w:t>
      </w:r>
      <w:r w:rsidRPr="00222E49">
        <w:rPr>
          <w:rFonts w:cs="Traditional Arabic"/>
          <w:sz w:val="18"/>
          <w:szCs w:val="26"/>
          <w:rtl/>
        </w:rPr>
        <w:t> </w:t>
      </w:r>
      <w:r w:rsidRPr="00222E49">
        <w:rPr>
          <w:rFonts w:cs="Traditional Arabic" w:hint="cs"/>
          <w:sz w:val="18"/>
          <w:szCs w:val="26"/>
          <w:rtl/>
        </w:rPr>
        <w:t>يتكلم اللغة الفارسية وينحدر من أقلية عربية، وخاصة بسبب البنية العشائرية للمجتمع الإيراني، الذي يصبح فيه المرء غريباً عندما يترك أسرته ومدينته ليستقر في مدينة أخرى بعيداً عن أقربائه. ويضيف أيضاً أنه لم</w:t>
      </w:r>
      <w:r w:rsidRPr="00222E49">
        <w:rPr>
          <w:rFonts w:cs="Traditional Arabic"/>
          <w:sz w:val="18"/>
          <w:szCs w:val="26"/>
          <w:rtl/>
        </w:rPr>
        <w:t> </w:t>
      </w:r>
      <w:r w:rsidRPr="00222E49">
        <w:rPr>
          <w:rFonts w:cs="Traditional Arabic" w:hint="cs"/>
          <w:sz w:val="18"/>
          <w:szCs w:val="26"/>
          <w:rtl/>
        </w:rPr>
        <w:t>يرد على دعوة الجيش.</w:t>
      </w:r>
    </w:p>
  </w:footnote>
  <w:footnote w:id="226">
    <w:p w:rsidR="00F815BA" w:rsidRPr="00222E49" w:rsidRDefault="00F815BA" w:rsidP="00501408">
      <w:pPr>
        <w:pStyle w:val="FootnoteText"/>
        <w:numPr>
          <w:ilvl w:val="0"/>
          <w:numId w:val="43"/>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لا يُقدم صاحب الشكوى إيضاحات بشأن أسباب احتجاز شقيقه واضطهاده.</w:t>
      </w:r>
    </w:p>
  </w:footnote>
  <w:footnote w:id="227">
    <w:p w:rsidR="00F815BA" w:rsidRPr="00222E49" w:rsidRDefault="00F815BA" w:rsidP="00501408">
      <w:pPr>
        <w:pStyle w:val="FootnoteText"/>
        <w:numPr>
          <w:ilvl w:val="0"/>
          <w:numId w:val="43"/>
        </w:numPr>
        <w:tabs>
          <w:tab w:val="clear" w:pos="1292"/>
          <w:tab w:val="left" w:pos="1225"/>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أفاد صاحب الشكوى أنه يمكن تقديم طلب مراجعة إلى السلطات خلال ال‍ 90 يوماً التي تلي اكتشاف سبب طلب المراجعة، أي إعداد التقرير الطبي المعني.</w:t>
      </w:r>
    </w:p>
  </w:footnote>
  <w:footnote w:id="228">
    <w:p w:rsidR="00F815BA" w:rsidRPr="00222E49" w:rsidRDefault="00F815BA" w:rsidP="00501408">
      <w:pPr>
        <w:pStyle w:val="FootnoteText"/>
        <w:numPr>
          <w:ilvl w:val="0"/>
          <w:numId w:val="43"/>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يشير صاحب الشكوى إلى تقرير وزارة خارجية الولايات المتحدة الأمريكية (2009) عن حالة حقوق الإنسان في إيران، الذي أورد، في جملة أمور، أن عدة انتهاكات ارتُكبت ضد الأقلية العربية، بما</w:t>
      </w:r>
      <w:r w:rsidRPr="00222E49">
        <w:rPr>
          <w:rFonts w:cs="Traditional Arabic"/>
          <w:sz w:val="18"/>
          <w:szCs w:val="26"/>
          <w:rtl/>
        </w:rPr>
        <w:t> </w:t>
      </w:r>
      <w:r w:rsidRPr="00222E49">
        <w:rPr>
          <w:rFonts w:cs="Traditional Arabic" w:hint="cs"/>
          <w:sz w:val="18"/>
          <w:szCs w:val="26"/>
          <w:rtl/>
        </w:rPr>
        <w:t>في ذلك ضد أفراد العشيرة ب..</w:t>
      </w:r>
    </w:p>
  </w:footnote>
  <w:footnote w:id="229">
    <w:p w:rsidR="00F815BA" w:rsidRPr="00222E49" w:rsidRDefault="00F815BA" w:rsidP="00DE4AC4">
      <w:pPr>
        <w:pStyle w:val="FootnoteText"/>
        <w:numPr>
          <w:ilvl w:val="0"/>
          <w:numId w:val="0"/>
        </w:numPr>
        <w:tabs>
          <w:tab w:val="left" w:pos="1253"/>
        </w:tabs>
        <w:bidi/>
        <w:spacing w:after="60" w:line="300" w:lineRule="exact"/>
        <w:ind w:left="1253" w:right="1247" w:hanging="476"/>
        <w:jc w:val="lowKashida"/>
        <w:rPr>
          <w:rFonts w:cs="Traditional Arabic" w:hint="cs"/>
          <w:sz w:val="18"/>
          <w:szCs w:val="26"/>
        </w:rPr>
      </w:pPr>
      <w:r w:rsidRPr="00222E49">
        <w:rPr>
          <w:rFonts w:cs="Traditional Arabic" w:hint="cs"/>
          <w:sz w:val="18"/>
          <w:szCs w:val="26"/>
          <w:rtl/>
        </w:rPr>
        <w:t>(ﻫ)</w:t>
      </w:r>
      <w:r w:rsidRPr="00222E49">
        <w:rPr>
          <w:rFonts w:cs="Traditional Arabic" w:hint="cs"/>
          <w:sz w:val="18"/>
          <w:szCs w:val="26"/>
          <w:rtl/>
        </w:rPr>
        <w:tab/>
      </w:r>
      <w:r w:rsidRPr="00222E49">
        <w:rPr>
          <w:rFonts w:cs="Traditional Arabic" w:hint="cs"/>
          <w:spacing w:val="-4"/>
          <w:sz w:val="18"/>
          <w:szCs w:val="26"/>
          <w:rtl/>
        </w:rPr>
        <w:t xml:space="preserve">تشير الدولة الطرف بشكل خاص إلى قرار اللجنة في قضية </w:t>
      </w:r>
      <w:r w:rsidRPr="00222E49">
        <w:rPr>
          <w:rFonts w:cs="Traditional Arabic" w:hint="cs"/>
          <w:i/>
          <w:iCs/>
          <w:spacing w:val="-4"/>
          <w:sz w:val="18"/>
          <w:szCs w:val="26"/>
          <w:rtl/>
        </w:rPr>
        <w:t>ر. س. أ. ن. ضد كندا</w:t>
      </w:r>
      <w:r w:rsidRPr="00222E49">
        <w:rPr>
          <w:rFonts w:cs="Traditional Arabic" w:hint="cs"/>
          <w:spacing w:val="-4"/>
          <w:sz w:val="18"/>
          <w:szCs w:val="26"/>
          <w:rtl/>
        </w:rPr>
        <w:t>، البلاغ رقم 284/2006، القرار المُعتمد في 17 تشرين الثاني/نوفمبر 2006، الفقرة 6-4</w:t>
      </w:r>
      <w:r w:rsidRPr="00222E49">
        <w:rPr>
          <w:rFonts w:cs="Traditional Arabic" w:hint="cs"/>
          <w:sz w:val="18"/>
          <w:szCs w:val="26"/>
          <w:rtl/>
        </w:rPr>
        <w:t>.</w:t>
      </w:r>
    </w:p>
  </w:footnote>
  <w:footnote w:id="230">
    <w:p w:rsidR="00F815BA" w:rsidRPr="00222E49" w:rsidRDefault="00F815BA" w:rsidP="00501408">
      <w:pPr>
        <w:pStyle w:val="FootnoteText"/>
        <w:numPr>
          <w:ilvl w:val="0"/>
          <w:numId w:val="51"/>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 xml:space="preserve">تشير الدولة الطرف، بوجه خاص، إلى القرار الذي اتخذته اللجنة في البلاغ رقم 220/2002، </w:t>
      </w:r>
      <w:r w:rsidRPr="00222E49">
        <w:rPr>
          <w:rFonts w:cs="Traditional Arabic" w:hint="cs"/>
          <w:i/>
          <w:iCs/>
          <w:sz w:val="18"/>
          <w:szCs w:val="26"/>
          <w:rtl/>
        </w:rPr>
        <w:t>ر. د. ضد السويد</w:t>
      </w:r>
      <w:r w:rsidRPr="00222E49">
        <w:rPr>
          <w:rFonts w:cs="Traditional Arabic" w:hint="cs"/>
          <w:sz w:val="18"/>
          <w:szCs w:val="26"/>
          <w:rtl/>
        </w:rPr>
        <w:t xml:space="preserve">، والمعتمد في 8 تشرين الثاني/نوفمبر 2002، الفقرة 7-2، والقرار رقم 227/2003، </w:t>
      </w:r>
      <w:r w:rsidRPr="00222E49">
        <w:rPr>
          <w:rFonts w:cs="Traditional Arabic" w:hint="cs"/>
          <w:i/>
          <w:iCs/>
          <w:sz w:val="18"/>
          <w:szCs w:val="26"/>
          <w:rtl/>
        </w:rPr>
        <w:t>أ. أ. ج. ضد السويد</w:t>
      </w:r>
      <w:r w:rsidRPr="00222E49">
        <w:rPr>
          <w:rFonts w:cs="Traditional Arabic" w:hint="cs"/>
          <w:sz w:val="18"/>
          <w:szCs w:val="26"/>
          <w:rtl/>
        </w:rPr>
        <w:t>، الذي اعتمدته في 6 شباط/فبراير 2003، الفقرة 7-3.</w:t>
      </w:r>
    </w:p>
  </w:footnote>
  <w:footnote w:id="231">
    <w:p w:rsidR="00F815BA" w:rsidRPr="00222E49" w:rsidRDefault="00F815BA" w:rsidP="00501408">
      <w:pPr>
        <w:pStyle w:val="FootnoteText"/>
        <w:numPr>
          <w:ilvl w:val="0"/>
          <w:numId w:val="51"/>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i/>
          <w:iCs/>
          <w:sz w:val="18"/>
          <w:szCs w:val="26"/>
          <w:rtl/>
        </w:rPr>
        <w:t>الوثائق الرسمية للجمعية العامة، الدورة الثالثة والخمسون، الملحق رقم 44</w:t>
      </w:r>
      <w:r w:rsidRPr="00222E49">
        <w:rPr>
          <w:rFonts w:cs="Traditional Arabic" w:hint="cs"/>
          <w:sz w:val="18"/>
          <w:szCs w:val="26"/>
          <w:rtl/>
        </w:rPr>
        <w:t xml:space="preserve"> (</w:t>
      </w:r>
      <w:r w:rsidRPr="00222E49">
        <w:rPr>
          <w:rFonts w:cs="Traditional Arabic"/>
          <w:sz w:val="18"/>
          <w:szCs w:val="26"/>
        </w:rPr>
        <w:t>A/53/44</w:t>
      </w:r>
      <w:r w:rsidRPr="00222E49">
        <w:rPr>
          <w:rFonts w:cs="Traditional Arabic" w:hint="cs"/>
          <w:sz w:val="18"/>
          <w:szCs w:val="26"/>
          <w:rtl/>
        </w:rPr>
        <w:t xml:space="preserve"> و</w:t>
      </w:r>
      <w:r w:rsidRPr="00222E49">
        <w:rPr>
          <w:rFonts w:cs="Traditional Arabic"/>
          <w:sz w:val="18"/>
          <w:szCs w:val="26"/>
        </w:rPr>
        <w:t>Corr.1</w:t>
      </w:r>
      <w:r w:rsidRPr="00222E49">
        <w:rPr>
          <w:rFonts w:cs="Traditional Arabic" w:hint="cs"/>
          <w:sz w:val="18"/>
          <w:szCs w:val="26"/>
          <w:rtl/>
        </w:rPr>
        <w:t>)، المرفق التاسع، ص 54.</w:t>
      </w:r>
    </w:p>
  </w:footnote>
  <w:footnote w:id="232">
    <w:p w:rsidR="00F815BA" w:rsidRPr="00222E49" w:rsidRDefault="00F815BA" w:rsidP="00501408">
      <w:pPr>
        <w:pStyle w:val="FootnoteText"/>
        <w:numPr>
          <w:ilvl w:val="0"/>
          <w:numId w:val="51"/>
        </w:numPr>
        <w:tabs>
          <w:tab w:val="clear" w:pos="1292"/>
          <w:tab w:val="left" w:pos="1225"/>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في 9 حزيران/يونيه 2005، صرّح صاحب الشكوى خلال جلسة الاستماع التي عُقدت له في إطار طلب اللجوء بأن عشيرته هي أكبر عشيرة في خوزستان وبالتالي، يمكن أن يسكن شقيقه في أي مكان. وأوضح أيضاً أنه كثيراً من أفراد الأسرة قُتلوا، وجلّهم من الشباب، وأن البعض قد اختفوا.</w:t>
      </w:r>
    </w:p>
  </w:footnote>
  <w:footnote w:id="233">
    <w:p w:rsidR="00F815BA" w:rsidRPr="00222E49" w:rsidRDefault="00F815BA" w:rsidP="00501408">
      <w:pPr>
        <w:pStyle w:val="FootnoteText"/>
        <w:numPr>
          <w:ilvl w:val="0"/>
          <w:numId w:val="51"/>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 xml:space="preserve">انظر البلاغ رقم 203/2002، </w:t>
      </w:r>
      <w:r w:rsidRPr="00222E49">
        <w:rPr>
          <w:rFonts w:cs="Traditional Arabic" w:hint="cs"/>
          <w:i/>
          <w:iCs/>
          <w:sz w:val="18"/>
          <w:szCs w:val="26"/>
          <w:rtl/>
        </w:rPr>
        <w:t>أ. ر. ضد هولندا</w:t>
      </w:r>
      <w:r w:rsidRPr="00222E49">
        <w:rPr>
          <w:rFonts w:cs="Traditional Arabic" w:hint="cs"/>
          <w:sz w:val="18"/>
          <w:szCs w:val="26"/>
          <w:rtl/>
        </w:rPr>
        <w:t xml:space="preserve">، القرار المعتمد في 14 تشرين الثاني/نوفمبر 2003، الفقرة 7-3، والبلاغ رقم 285/2006، </w:t>
      </w:r>
      <w:r w:rsidRPr="00222E49">
        <w:rPr>
          <w:rFonts w:cs="Traditional Arabic" w:hint="cs"/>
          <w:i/>
          <w:iCs/>
          <w:sz w:val="18"/>
          <w:szCs w:val="26"/>
          <w:rtl/>
        </w:rPr>
        <w:t>أ. أ. وآخرون ضد سويسرا</w:t>
      </w:r>
      <w:r w:rsidRPr="00222E49">
        <w:rPr>
          <w:rFonts w:cs="Traditional Arabic" w:hint="cs"/>
          <w:sz w:val="18"/>
          <w:szCs w:val="26"/>
          <w:rtl/>
        </w:rPr>
        <w:t>، القرار المعتمد في 10 تشرين الثاني/</w:t>
      </w:r>
      <w:r>
        <w:rPr>
          <w:rFonts w:cs="Traditional Arabic" w:hint="cs"/>
          <w:sz w:val="18"/>
          <w:szCs w:val="26"/>
          <w:rtl/>
        </w:rPr>
        <w:t xml:space="preserve"> </w:t>
      </w:r>
      <w:r w:rsidRPr="00222E49">
        <w:rPr>
          <w:rFonts w:cs="Traditional Arabic" w:hint="cs"/>
          <w:sz w:val="18"/>
          <w:szCs w:val="26"/>
          <w:rtl/>
        </w:rPr>
        <w:t>نوفمبر 2008، الفقرة 7-6.</w:t>
      </w:r>
    </w:p>
  </w:footnote>
  <w:footnote w:id="234">
    <w:p w:rsidR="00F815BA" w:rsidRPr="00222E49" w:rsidRDefault="00F815BA" w:rsidP="00E37658">
      <w:pPr>
        <w:pStyle w:val="FootnoteText"/>
        <w:numPr>
          <w:ilvl w:val="0"/>
          <w:numId w:val="51"/>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 xml:space="preserve">انظر، في جملة أمور، </w:t>
      </w:r>
      <w:r w:rsidRPr="00222E49">
        <w:rPr>
          <w:rFonts w:cs="Traditional Arabic" w:hint="cs"/>
          <w:i/>
          <w:iCs/>
          <w:sz w:val="18"/>
          <w:szCs w:val="26"/>
          <w:rtl/>
        </w:rPr>
        <w:t>م. ف. ضد السويد</w:t>
      </w:r>
      <w:r w:rsidRPr="00222E49">
        <w:rPr>
          <w:rFonts w:cs="Traditional Arabic" w:hint="cs"/>
          <w:sz w:val="18"/>
          <w:szCs w:val="26"/>
          <w:rtl/>
        </w:rPr>
        <w:t>، البلاغ رقم 326/2007، القرار المُعتمد في 14 تشرين الثاني/</w:t>
      </w:r>
      <w:r>
        <w:rPr>
          <w:rFonts w:cs="Traditional Arabic" w:hint="cs"/>
          <w:sz w:val="18"/>
          <w:szCs w:val="26"/>
          <w:rtl/>
        </w:rPr>
        <w:t xml:space="preserve"> </w:t>
      </w:r>
      <w:r w:rsidRPr="00222E49">
        <w:rPr>
          <w:rFonts w:cs="Traditional Arabic" w:hint="cs"/>
          <w:sz w:val="18"/>
          <w:szCs w:val="26"/>
          <w:rtl/>
        </w:rPr>
        <w:t>نوفمبر 2008، الفقرة 7-7؛ أو</w:t>
      </w:r>
      <w:r w:rsidRPr="00222E49">
        <w:rPr>
          <w:rFonts w:cs="Traditional Arabic"/>
          <w:sz w:val="18"/>
          <w:szCs w:val="26"/>
          <w:rtl/>
        </w:rPr>
        <w:t> </w:t>
      </w:r>
      <w:r w:rsidRPr="00222E49">
        <w:rPr>
          <w:rFonts w:cs="Traditional Arabic" w:hint="cs"/>
          <w:i/>
          <w:iCs/>
          <w:sz w:val="18"/>
          <w:szCs w:val="26"/>
          <w:rtl/>
        </w:rPr>
        <w:t>مهدي زاري ضد السويد</w:t>
      </w:r>
      <w:r w:rsidRPr="00222E49">
        <w:rPr>
          <w:rFonts w:cs="Traditional Arabic" w:hint="cs"/>
          <w:sz w:val="18"/>
          <w:szCs w:val="26"/>
          <w:rtl/>
        </w:rPr>
        <w:t>، البلاغ رقم 256/2004، القرار المُعتمد في</w:t>
      </w:r>
      <w:r>
        <w:rPr>
          <w:rFonts w:cs="Traditional Arabic" w:hint="eastAsia"/>
          <w:sz w:val="18"/>
          <w:szCs w:val="26"/>
          <w:rtl/>
        </w:rPr>
        <w:t> </w:t>
      </w:r>
      <w:r w:rsidRPr="00222E49">
        <w:rPr>
          <w:rFonts w:cs="Traditional Arabic" w:hint="cs"/>
          <w:sz w:val="18"/>
          <w:szCs w:val="26"/>
          <w:rtl/>
        </w:rPr>
        <w:t>12 أيار/مايو 2006، الفقرة 9-5.</w:t>
      </w:r>
    </w:p>
  </w:footnote>
  <w:footnote w:id="235">
    <w:p w:rsidR="00F815BA" w:rsidRPr="00222E49" w:rsidRDefault="00F815BA" w:rsidP="00501408">
      <w:pPr>
        <w:pStyle w:val="FootnoteText"/>
        <w:numPr>
          <w:ilvl w:val="0"/>
          <w:numId w:val="44"/>
        </w:numPr>
        <w:tabs>
          <w:tab w:val="clear" w:pos="1292"/>
          <w:tab w:val="left" w:pos="1239"/>
        </w:tabs>
        <w:bidi/>
        <w:spacing w:after="60" w:line="300" w:lineRule="exact"/>
        <w:ind w:left="1247" w:right="1247" w:hanging="272"/>
        <w:jc w:val="lowKashida"/>
        <w:rPr>
          <w:rFonts w:cs="Traditional Arabic" w:hint="cs"/>
          <w:spacing w:val="-2"/>
          <w:sz w:val="18"/>
          <w:szCs w:val="26"/>
        </w:rPr>
      </w:pPr>
      <w:r w:rsidRPr="00222E49">
        <w:rPr>
          <w:rFonts w:cs="Traditional Arabic" w:hint="cs"/>
          <w:spacing w:val="-4"/>
          <w:sz w:val="18"/>
          <w:szCs w:val="26"/>
          <w:rtl/>
        </w:rPr>
        <w:t>تشير الدولة الطرف إلى تقرير وزارة خارجية الولايات المتحدة الأمريكية الصادر في عام</w:t>
      </w:r>
      <w:r w:rsidRPr="00222E49">
        <w:rPr>
          <w:rFonts w:cs="Traditional Arabic"/>
          <w:spacing w:val="-4"/>
          <w:sz w:val="18"/>
          <w:szCs w:val="26"/>
          <w:rtl/>
        </w:rPr>
        <w:t> </w:t>
      </w:r>
      <w:r w:rsidRPr="00222E49">
        <w:rPr>
          <w:rFonts w:cs="Traditional Arabic" w:hint="cs"/>
          <w:spacing w:val="-4"/>
          <w:sz w:val="18"/>
          <w:szCs w:val="26"/>
          <w:rtl/>
        </w:rPr>
        <w:t>2010 المعنون</w:t>
      </w:r>
      <w:r w:rsidRPr="00222E49">
        <w:rPr>
          <w:rFonts w:cs="Traditional Arabic" w:hint="eastAsia"/>
          <w:spacing w:val="-4"/>
          <w:sz w:val="18"/>
          <w:szCs w:val="26"/>
          <w:rtl/>
        </w:rPr>
        <w:t> </w:t>
      </w:r>
      <w:r w:rsidRPr="00222E49">
        <w:rPr>
          <w:rFonts w:cs="Traditional Arabic" w:hint="cs"/>
          <w:spacing w:val="-4"/>
          <w:sz w:val="18"/>
          <w:szCs w:val="26"/>
          <w:rtl/>
        </w:rPr>
        <w:t>"</w:t>
      </w:r>
      <w:r w:rsidRPr="00222E49">
        <w:rPr>
          <w:rFonts w:cs="Traditional Arabic"/>
          <w:spacing w:val="-4"/>
          <w:sz w:val="18"/>
          <w:szCs w:val="26"/>
        </w:rPr>
        <w:t>Country Report on Human Rights Practice: Uzbekistan</w:t>
      </w:r>
      <w:r w:rsidRPr="00222E49">
        <w:rPr>
          <w:rFonts w:cs="Traditional Arabic" w:hint="cs"/>
          <w:spacing w:val="-4"/>
          <w:sz w:val="18"/>
          <w:szCs w:val="26"/>
          <w:rtl/>
        </w:rPr>
        <w:t>" (8 نيسان/أبريل 2011)؛ وتقرير</w:t>
      </w:r>
      <w:r w:rsidRPr="00222E49">
        <w:rPr>
          <w:rFonts w:cs="Traditional Arabic" w:hint="eastAsia"/>
          <w:spacing w:val="-4"/>
          <w:sz w:val="18"/>
          <w:szCs w:val="26"/>
          <w:rtl/>
        </w:rPr>
        <w:t> </w:t>
      </w:r>
      <w:r w:rsidRPr="00222E49">
        <w:rPr>
          <w:rFonts w:cs="Traditional Arabic" w:hint="cs"/>
          <w:spacing w:val="-4"/>
          <w:sz w:val="18"/>
          <w:szCs w:val="26"/>
          <w:rtl/>
        </w:rPr>
        <w:t>المملكة المتحدة لبريطانيا العظمى وأيرلندا الشمالية لعام</w:t>
      </w:r>
      <w:r w:rsidRPr="00222E49">
        <w:rPr>
          <w:rFonts w:cs="Traditional Arabic"/>
          <w:spacing w:val="-4"/>
          <w:sz w:val="18"/>
          <w:szCs w:val="26"/>
          <w:rtl/>
        </w:rPr>
        <w:t> </w:t>
      </w:r>
      <w:r w:rsidRPr="00222E49">
        <w:rPr>
          <w:rFonts w:cs="Traditional Arabic" w:hint="cs"/>
          <w:spacing w:val="-4"/>
          <w:sz w:val="18"/>
          <w:szCs w:val="26"/>
          <w:rtl/>
        </w:rPr>
        <w:t>2010 المعنون "</w:t>
      </w:r>
      <w:r w:rsidRPr="00222E49">
        <w:rPr>
          <w:rFonts w:cs="Traditional Arabic"/>
          <w:spacing w:val="-4"/>
          <w:sz w:val="18"/>
          <w:szCs w:val="26"/>
        </w:rPr>
        <w:t>Foreign and Commonwealth Office Report – Uzbekistan</w:t>
      </w:r>
      <w:r w:rsidRPr="00222E49">
        <w:rPr>
          <w:rFonts w:cs="Traditional Arabic" w:hint="cs"/>
          <w:spacing w:val="-4"/>
          <w:sz w:val="18"/>
          <w:szCs w:val="26"/>
          <w:rtl/>
        </w:rPr>
        <w:t>" (31 آذار/مارس 2011)؛ وتقرير</w:t>
      </w:r>
      <w:r w:rsidRPr="00222E49">
        <w:rPr>
          <w:rFonts w:cs="Traditional Arabic" w:hint="eastAsia"/>
          <w:spacing w:val="-4"/>
          <w:sz w:val="18"/>
          <w:szCs w:val="26"/>
          <w:rtl/>
        </w:rPr>
        <w:t> </w:t>
      </w:r>
      <w:r w:rsidRPr="00222E49">
        <w:rPr>
          <w:rFonts w:cs="Traditional Arabic" w:hint="cs"/>
          <w:spacing w:val="-4"/>
          <w:sz w:val="18"/>
          <w:szCs w:val="26"/>
          <w:rtl/>
        </w:rPr>
        <w:t>وزارة</w:t>
      </w:r>
      <w:r w:rsidRPr="00222E49">
        <w:rPr>
          <w:rFonts w:cs="Traditional Arabic" w:hint="eastAsia"/>
          <w:spacing w:val="-4"/>
          <w:sz w:val="18"/>
          <w:szCs w:val="26"/>
          <w:rtl/>
        </w:rPr>
        <w:t> </w:t>
      </w:r>
      <w:r w:rsidRPr="00222E49">
        <w:rPr>
          <w:rFonts w:cs="Traditional Arabic" w:hint="cs"/>
          <w:spacing w:val="-4"/>
          <w:sz w:val="18"/>
          <w:szCs w:val="26"/>
          <w:rtl/>
        </w:rPr>
        <w:t>الخارجية السويدية المتعلق بحقوق الإنسان في أوزبكستان "</w:t>
      </w:r>
      <w:r w:rsidRPr="00222E49">
        <w:rPr>
          <w:rFonts w:cs="Traditional Arabic"/>
          <w:spacing w:val="-4"/>
          <w:sz w:val="18"/>
          <w:szCs w:val="26"/>
        </w:rPr>
        <w:t>the </w:t>
      </w:r>
      <w:r w:rsidRPr="00222E49">
        <w:rPr>
          <w:rFonts w:cs="Traditional Arabic"/>
          <w:i/>
          <w:spacing w:val="-4"/>
          <w:sz w:val="18"/>
          <w:szCs w:val="26"/>
        </w:rPr>
        <w:t>Mänskliga rättigheter I Uzbekistan 2010</w:t>
      </w:r>
      <w:r w:rsidRPr="00222E49">
        <w:rPr>
          <w:rFonts w:cs="Traditional Arabic"/>
          <w:spacing w:val="-4"/>
          <w:sz w:val="18"/>
          <w:szCs w:val="26"/>
        </w:rPr>
        <w:t>-2010</w:t>
      </w:r>
      <w:r w:rsidRPr="00222E49">
        <w:rPr>
          <w:rFonts w:cs="Traditional Arabic" w:hint="cs"/>
          <w:spacing w:val="-4"/>
          <w:sz w:val="18"/>
          <w:szCs w:val="26"/>
          <w:rtl/>
        </w:rPr>
        <w:t>". وتشير الدولة الطرف أيضاً إلى تقرير هيومن</w:t>
      </w:r>
      <w:r w:rsidRPr="00222E49">
        <w:rPr>
          <w:rFonts w:cs="Traditional Arabic" w:hint="eastAsia"/>
          <w:spacing w:val="-4"/>
          <w:sz w:val="18"/>
          <w:szCs w:val="26"/>
          <w:rtl/>
        </w:rPr>
        <w:t> </w:t>
      </w:r>
      <w:r w:rsidRPr="00222E49">
        <w:rPr>
          <w:rFonts w:cs="Traditional Arabic" w:hint="cs"/>
          <w:spacing w:val="-4"/>
          <w:sz w:val="18"/>
          <w:szCs w:val="26"/>
          <w:rtl/>
        </w:rPr>
        <w:t>رايتس ووتش لعام</w:t>
      </w:r>
      <w:r w:rsidRPr="00222E49">
        <w:rPr>
          <w:rFonts w:cs="Traditional Arabic"/>
          <w:spacing w:val="-4"/>
          <w:sz w:val="18"/>
          <w:szCs w:val="26"/>
          <w:rtl/>
        </w:rPr>
        <w:t> </w:t>
      </w:r>
      <w:r w:rsidRPr="00222E49">
        <w:rPr>
          <w:rFonts w:cs="Traditional Arabic" w:hint="cs"/>
          <w:spacing w:val="-4"/>
          <w:sz w:val="18"/>
          <w:szCs w:val="26"/>
          <w:rtl/>
        </w:rPr>
        <w:t>2011 المعنون "</w:t>
      </w:r>
      <w:r w:rsidRPr="00222E49">
        <w:rPr>
          <w:rFonts w:cs="Traditional Arabic"/>
          <w:spacing w:val="-4"/>
          <w:sz w:val="18"/>
          <w:szCs w:val="26"/>
        </w:rPr>
        <w:t>World Report 2011: Uzbekistan</w:t>
      </w:r>
      <w:r w:rsidRPr="00222E49">
        <w:rPr>
          <w:rFonts w:cs="Traditional Arabic" w:hint="cs"/>
          <w:spacing w:val="-4"/>
          <w:sz w:val="18"/>
          <w:szCs w:val="26"/>
          <w:rtl/>
        </w:rPr>
        <w:t>". أما</w:t>
      </w:r>
      <w:r w:rsidRPr="00222E49">
        <w:rPr>
          <w:rFonts w:cs="Traditional Arabic"/>
          <w:spacing w:val="-4"/>
          <w:sz w:val="18"/>
          <w:szCs w:val="26"/>
          <w:rtl/>
        </w:rPr>
        <w:t xml:space="preserve"> فيما </w:t>
      </w:r>
      <w:r w:rsidRPr="00222E49">
        <w:rPr>
          <w:rFonts w:cs="Traditional Arabic" w:hint="cs"/>
          <w:spacing w:val="-4"/>
          <w:sz w:val="18"/>
          <w:szCs w:val="26"/>
          <w:rtl/>
        </w:rPr>
        <w:t>يتعلق بالأحداث التي</w:t>
      </w:r>
      <w:r w:rsidRPr="00222E49">
        <w:rPr>
          <w:rFonts w:cs="Traditional Arabic" w:hint="eastAsia"/>
          <w:spacing w:val="-4"/>
          <w:sz w:val="18"/>
          <w:szCs w:val="26"/>
          <w:rtl/>
        </w:rPr>
        <w:t> </w:t>
      </w:r>
      <w:r w:rsidRPr="00222E49">
        <w:rPr>
          <w:rFonts w:cs="Traditional Arabic" w:hint="cs"/>
          <w:spacing w:val="-4"/>
          <w:sz w:val="18"/>
          <w:szCs w:val="26"/>
          <w:rtl/>
        </w:rPr>
        <w:t>جرت</w:t>
      </w:r>
      <w:r>
        <w:rPr>
          <w:rFonts w:cs="Traditional Arabic" w:hint="cs"/>
          <w:spacing w:val="-4"/>
          <w:sz w:val="18"/>
          <w:szCs w:val="26"/>
          <w:rtl/>
        </w:rPr>
        <w:t xml:space="preserve"> </w:t>
      </w:r>
      <w:r w:rsidRPr="00222E49">
        <w:rPr>
          <w:rFonts w:cs="Traditional Arabic" w:hint="cs"/>
          <w:spacing w:val="-4"/>
          <w:sz w:val="18"/>
          <w:szCs w:val="26"/>
          <w:rtl/>
        </w:rPr>
        <w:t>في</w:t>
      </w:r>
      <w:r>
        <w:rPr>
          <w:rFonts w:cs="Traditional Arabic" w:hint="eastAsia"/>
          <w:spacing w:val="-4"/>
          <w:sz w:val="18"/>
          <w:szCs w:val="26"/>
          <w:rtl/>
        </w:rPr>
        <w:t> </w:t>
      </w:r>
      <w:r w:rsidRPr="00222E49">
        <w:rPr>
          <w:rFonts w:cs="Traditional Arabic" w:hint="cs"/>
          <w:spacing w:val="-4"/>
          <w:sz w:val="18"/>
          <w:szCs w:val="26"/>
          <w:rtl/>
        </w:rPr>
        <w:t>أنديجان وتبعاتها، تشير الدولة الطرف إلى التقرير الصادر عن مجلس الهجرة السويدي في 21 حزيران/</w:t>
      </w:r>
      <w:r>
        <w:rPr>
          <w:rFonts w:cs="Traditional Arabic" w:hint="cs"/>
          <w:spacing w:val="-4"/>
          <w:sz w:val="18"/>
          <w:szCs w:val="26"/>
          <w:rtl/>
        </w:rPr>
        <w:t xml:space="preserve"> </w:t>
      </w:r>
      <w:r w:rsidRPr="00222E49">
        <w:rPr>
          <w:rFonts w:cs="Traditional Arabic" w:hint="cs"/>
          <w:spacing w:val="-4"/>
          <w:sz w:val="18"/>
          <w:szCs w:val="26"/>
          <w:rtl/>
        </w:rPr>
        <w:t>يونيه</w:t>
      </w:r>
      <w:r>
        <w:rPr>
          <w:rFonts w:cs="Traditional Arabic" w:hint="eastAsia"/>
          <w:spacing w:val="-4"/>
          <w:sz w:val="18"/>
          <w:szCs w:val="26"/>
          <w:rtl/>
        </w:rPr>
        <w:t> </w:t>
      </w:r>
      <w:r w:rsidRPr="00222E49">
        <w:rPr>
          <w:rFonts w:cs="Traditional Arabic" w:hint="cs"/>
          <w:spacing w:val="-4"/>
          <w:sz w:val="18"/>
          <w:szCs w:val="26"/>
          <w:rtl/>
        </w:rPr>
        <w:t>2010 المعنون "</w:t>
      </w:r>
      <w:r w:rsidRPr="00222E49">
        <w:rPr>
          <w:rFonts w:cs="Traditional Arabic"/>
          <w:i/>
          <w:spacing w:val="-4"/>
          <w:sz w:val="18"/>
          <w:szCs w:val="26"/>
        </w:rPr>
        <w:t>Uzbekistan-Allmän background och aktuell situation</w:t>
      </w:r>
      <w:r w:rsidRPr="00222E49">
        <w:rPr>
          <w:rFonts w:cs="Traditional Arabic" w:hint="cs"/>
          <w:spacing w:val="-4"/>
          <w:sz w:val="18"/>
          <w:szCs w:val="26"/>
          <w:rtl/>
        </w:rPr>
        <w:t xml:space="preserve">" وإلى تقرير هيومن رايتس ووتش </w:t>
      </w:r>
      <w:r w:rsidRPr="00222E49">
        <w:rPr>
          <w:rFonts w:cs="Traditional Arabic"/>
          <w:i/>
          <w:spacing w:val="-4"/>
          <w:sz w:val="18"/>
          <w:szCs w:val="26"/>
        </w:rPr>
        <w:t>"Saving its Secrets"</w:t>
      </w:r>
      <w:r w:rsidRPr="00222E49">
        <w:rPr>
          <w:rFonts w:cs="Traditional Arabic" w:hint="cs"/>
          <w:spacing w:val="-4"/>
          <w:sz w:val="18"/>
          <w:szCs w:val="26"/>
          <w:rtl/>
        </w:rPr>
        <w:t xml:space="preserve">: </w:t>
      </w:r>
      <w:r w:rsidRPr="00222E49">
        <w:rPr>
          <w:rFonts w:cs="Traditional Arabic"/>
          <w:i/>
          <w:spacing w:val="-4"/>
          <w:sz w:val="18"/>
          <w:szCs w:val="26"/>
        </w:rPr>
        <w:t>Government Repression in Andijan</w:t>
      </w:r>
      <w:r w:rsidRPr="00222E49">
        <w:rPr>
          <w:rFonts w:cs="Traditional Arabic" w:hint="cs"/>
          <w:spacing w:val="-4"/>
          <w:sz w:val="18"/>
          <w:szCs w:val="26"/>
          <w:rtl/>
        </w:rPr>
        <w:t xml:space="preserve"> (أيار/مايو 2008)؛ وتقرير الفريق الدولي المعني بالأزمات المعنون </w:t>
      </w:r>
      <w:r w:rsidRPr="00222E49">
        <w:rPr>
          <w:rFonts w:cs="Traditional Arabic"/>
          <w:spacing w:val="-4"/>
          <w:sz w:val="18"/>
          <w:szCs w:val="26"/>
        </w:rPr>
        <w:t>"Uzbekistan: The Andijon Uprising"</w:t>
      </w:r>
      <w:r w:rsidRPr="00222E49">
        <w:rPr>
          <w:rFonts w:cs="Traditional Arabic" w:hint="cs"/>
          <w:spacing w:val="-4"/>
          <w:sz w:val="18"/>
          <w:szCs w:val="26"/>
          <w:rtl/>
        </w:rPr>
        <w:t xml:space="preserve"> (25 أيار/مايو 2005)</w:t>
      </w:r>
      <w:r w:rsidRPr="00222E49">
        <w:rPr>
          <w:rFonts w:cs="Traditional Arabic" w:hint="cs"/>
          <w:spacing w:val="-2"/>
          <w:sz w:val="18"/>
          <w:szCs w:val="26"/>
          <w:rtl/>
        </w:rPr>
        <w:t>.</w:t>
      </w:r>
    </w:p>
  </w:footnote>
  <w:footnote w:id="236">
    <w:p w:rsidR="00F815BA" w:rsidRPr="00222E49" w:rsidRDefault="00F815BA" w:rsidP="00501408">
      <w:pPr>
        <w:pStyle w:val="FootnoteText"/>
        <w:numPr>
          <w:ilvl w:val="0"/>
          <w:numId w:val="44"/>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تشير الدولة الطرف إلى وثي</w:t>
      </w:r>
      <w:r>
        <w:rPr>
          <w:rFonts w:cs="Traditional Arabic" w:hint="cs"/>
          <w:sz w:val="18"/>
          <w:szCs w:val="26"/>
          <w:rtl/>
        </w:rPr>
        <w:t>قـة مجلس الهجرة السويدي المعنونة</w:t>
      </w:r>
      <w:r w:rsidRPr="00222E49">
        <w:rPr>
          <w:rFonts w:cs="Traditional Arabic"/>
          <w:i/>
          <w:sz w:val="18"/>
          <w:szCs w:val="26"/>
        </w:rPr>
        <w:t>Rättschefens kommentar angående</w:t>
      </w:r>
      <w:r>
        <w:rPr>
          <w:rFonts w:cs="Traditional Arabic"/>
          <w:i/>
          <w:sz w:val="18"/>
          <w:szCs w:val="26"/>
        </w:rPr>
        <w:t>)</w:t>
      </w:r>
      <w:r w:rsidRPr="008B72C0">
        <w:rPr>
          <w:rFonts w:cs="Traditional Arabic"/>
          <w:i/>
          <w:sz w:val="16"/>
          <w:szCs w:val="24"/>
        </w:rPr>
        <w:t xml:space="preserve"> </w:t>
      </w:r>
      <w:r>
        <w:rPr>
          <w:rFonts w:cs="Traditional Arabic"/>
          <w:i/>
          <w:sz w:val="18"/>
          <w:szCs w:val="26"/>
        </w:rPr>
        <w:t>(</w:t>
      </w:r>
      <w:r w:rsidRPr="00222E49">
        <w:rPr>
          <w:rFonts w:cs="Traditional Arabic"/>
          <w:i/>
          <w:sz w:val="18"/>
          <w:szCs w:val="26"/>
        </w:rPr>
        <w:t>förhållandena i Uzbekistan</w:t>
      </w:r>
      <w:r w:rsidRPr="00222E49">
        <w:rPr>
          <w:rFonts w:cs="Traditional Arabic" w:hint="cs"/>
          <w:i/>
          <w:sz w:val="18"/>
          <w:szCs w:val="26"/>
          <w:rtl/>
        </w:rPr>
        <w:t xml:space="preserve"> الصادرة في 6 أيار/مايو 2011.</w:t>
      </w:r>
    </w:p>
  </w:footnote>
  <w:footnote w:id="237">
    <w:p w:rsidR="00F815BA" w:rsidRPr="00222E49" w:rsidRDefault="00F815BA" w:rsidP="00501408">
      <w:pPr>
        <w:pStyle w:val="FootnoteText"/>
        <w:numPr>
          <w:ilvl w:val="0"/>
          <w:numId w:val="44"/>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 xml:space="preserve">تشير الدولة الطرف إلى الشكوى رقم 103/1998، </w:t>
      </w:r>
      <w:r w:rsidRPr="00222E49">
        <w:rPr>
          <w:rFonts w:cs="Traditional Arabic" w:hint="cs"/>
          <w:i/>
          <w:iCs/>
          <w:sz w:val="18"/>
          <w:szCs w:val="26"/>
          <w:rtl/>
        </w:rPr>
        <w:t>س. م. ر. وم. م. ر. ضد السويد</w:t>
      </w:r>
      <w:r w:rsidRPr="00222E49">
        <w:rPr>
          <w:rFonts w:cs="Traditional Arabic" w:hint="cs"/>
          <w:sz w:val="18"/>
          <w:szCs w:val="26"/>
          <w:rtl/>
        </w:rPr>
        <w:t>، القرار المعتمد في</w:t>
      </w:r>
      <w:r w:rsidRPr="00222E49">
        <w:rPr>
          <w:rFonts w:cs="Traditional Arabic" w:hint="eastAsia"/>
          <w:sz w:val="18"/>
          <w:szCs w:val="26"/>
          <w:rtl/>
        </w:rPr>
        <w:t> </w:t>
      </w:r>
      <w:r w:rsidRPr="00222E49">
        <w:rPr>
          <w:rFonts w:cs="Traditional Arabic" w:hint="cs"/>
          <w:sz w:val="18"/>
          <w:szCs w:val="26"/>
          <w:rtl/>
        </w:rPr>
        <w:t>5 أيار/مايو 1999، الفقرة 9-7 وإلى تعليق اللجنة العام رقم 1(1997) بشأن تنفيذ المادة</w:t>
      </w:r>
      <w:r w:rsidRPr="00222E49">
        <w:rPr>
          <w:rFonts w:cs="Traditional Arabic"/>
          <w:sz w:val="18"/>
          <w:szCs w:val="26"/>
          <w:rtl/>
        </w:rPr>
        <w:t> </w:t>
      </w:r>
      <w:r w:rsidRPr="00222E49">
        <w:rPr>
          <w:rFonts w:cs="Traditional Arabic" w:hint="cs"/>
          <w:sz w:val="18"/>
          <w:szCs w:val="26"/>
          <w:rtl/>
        </w:rPr>
        <w:t xml:space="preserve">3 من الاتفاقية، </w:t>
      </w:r>
      <w:r w:rsidRPr="00222E49">
        <w:rPr>
          <w:rFonts w:cs="Traditional Arabic" w:hint="cs"/>
          <w:i/>
          <w:iCs/>
          <w:sz w:val="18"/>
          <w:szCs w:val="26"/>
          <w:rtl/>
        </w:rPr>
        <w:t>الوثائق الرسمية للجمعية العامة، الدورة الثالثة والخمسون، الملحق رقم 44</w:t>
      </w:r>
      <w:r w:rsidRPr="00222E49">
        <w:rPr>
          <w:rFonts w:cs="Traditional Arabic" w:hint="cs"/>
          <w:sz w:val="18"/>
          <w:szCs w:val="26"/>
          <w:rtl/>
        </w:rPr>
        <w:t xml:space="preserve"> (</w:t>
      </w:r>
      <w:r w:rsidRPr="00222E49">
        <w:rPr>
          <w:rFonts w:cs="Traditional Arabic"/>
          <w:sz w:val="18"/>
          <w:szCs w:val="26"/>
        </w:rPr>
        <w:t>A/53/44</w:t>
      </w:r>
      <w:r w:rsidRPr="00222E49">
        <w:rPr>
          <w:rFonts w:cs="Traditional Arabic" w:hint="cs"/>
          <w:sz w:val="18"/>
          <w:szCs w:val="26"/>
          <w:rtl/>
        </w:rPr>
        <w:t xml:space="preserve"> و</w:t>
      </w:r>
      <w:r w:rsidRPr="00222E49">
        <w:rPr>
          <w:rFonts w:cs="Traditional Arabic"/>
          <w:sz w:val="18"/>
          <w:szCs w:val="26"/>
        </w:rPr>
        <w:t>Corr.1</w:t>
      </w:r>
      <w:r w:rsidRPr="00222E49">
        <w:rPr>
          <w:rFonts w:cs="Traditional Arabic" w:hint="cs"/>
          <w:sz w:val="18"/>
          <w:szCs w:val="26"/>
          <w:rtl/>
        </w:rPr>
        <w:t xml:space="preserve">)، المرفق التاسع. </w:t>
      </w:r>
    </w:p>
  </w:footnote>
  <w:footnote w:id="238">
    <w:p w:rsidR="00F815BA" w:rsidRPr="00222E49" w:rsidRDefault="00F815BA" w:rsidP="00501408">
      <w:pPr>
        <w:pStyle w:val="FootnoteText"/>
        <w:numPr>
          <w:ilvl w:val="0"/>
          <w:numId w:val="44"/>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تشير الدولة الطرف إلى المادتين 1 و2 من الفصل 4 من قانون الأجانب الصادر قبل 1 كانون الثاني/يناير</w:t>
      </w:r>
      <w:r w:rsidRPr="00222E49">
        <w:rPr>
          <w:rFonts w:cs="Traditional Arabic" w:hint="eastAsia"/>
          <w:sz w:val="18"/>
          <w:szCs w:val="26"/>
          <w:rtl/>
        </w:rPr>
        <w:t> </w:t>
      </w:r>
      <w:r w:rsidRPr="00222E49">
        <w:rPr>
          <w:rFonts w:cs="Traditional Arabic" w:hint="cs"/>
          <w:sz w:val="18"/>
          <w:szCs w:val="26"/>
          <w:rtl/>
        </w:rPr>
        <w:t>2010 وإلى المواد 1 و2 و2(أ) من الفصل 4 من قانون الأجانب الصادر بعد 1 كانون الثاني/يناير</w:t>
      </w:r>
      <w:r w:rsidRPr="00222E49">
        <w:rPr>
          <w:rFonts w:cs="Traditional Arabic" w:hint="eastAsia"/>
          <w:sz w:val="18"/>
          <w:szCs w:val="26"/>
          <w:rtl/>
        </w:rPr>
        <w:t> </w:t>
      </w:r>
      <w:r w:rsidRPr="00222E49">
        <w:rPr>
          <w:rFonts w:cs="Traditional Arabic" w:hint="cs"/>
          <w:sz w:val="18"/>
          <w:szCs w:val="26"/>
          <w:rtl/>
        </w:rPr>
        <w:t>2010.</w:t>
      </w:r>
    </w:p>
  </w:footnote>
  <w:footnote w:id="239">
    <w:p w:rsidR="00F815BA" w:rsidRPr="00222E49" w:rsidRDefault="00F815BA" w:rsidP="00635785">
      <w:pPr>
        <w:pStyle w:val="FootnoteText"/>
        <w:numPr>
          <w:ilvl w:val="0"/>
          <w:numId w:val="0"/>
        </w:numPr>
        <w:tabs>
          <w:tab w:val="left" w:pos="1225"/>
        </w:tabs>
        <w:bidi/>
        <w:spacing w:after="60" w:line="300" w:lineRule="exact"/>
        <w:ind w:left="737" w:right="1247"/>
        <w:rPr>
          <w:rFonts w:cs="Traditional Arabic" w:hint="cs"/>
          <w:sz w:val="18"/>
          <w:szCs w:val="26"/>
        </w:rPr>
      </w:pPr>
      <w:r w:rsidRPr="00222E49">
        <w:rPr>
          <w:rFonts w:cs="Traditional Arabic" w:hint="cs"/>
          <w:sz w:val="18"/>
          <w:szCs w:val="26"/>
          <w:rtl/>
        </w:rPr>
        <w:t>(ﻫ)</w:t>
      </w:r>
      <w:r w:rsidRPr="00222E49">
        <w:rPr>
          <w:rFonts w:cs="Traditional Arabic" w:hint="cs"/>
          <w:sz w:val="18"/>
          <w:szCs w:val="26"/>
          <w:rtl/>
        </w:rPr>
        <w:tab/>
        <w:t xml:space="preserve">تشير الشكوى إلى </w:t>
      </w:r>
      <w:r w:rsidRPr="00222E49">
        <w:rPr>
          <w:rFonts w:cs="Traditional Arabic" w:hint="cs"/>
          <w:i/>
          <w:iCs/>
          <w:sz w:val="18"/>
          <w:szCs w:val="26"/>
          <w:rtl/>
        </w:rPr>
        <w:t>تقرير هيومن رايتس ووتش لعام</w:t>
      </w:r>
      <w:r w:rsidRPr="00222E49">
        <w:rPr>
          <w:rFonts w:cs="Traditional Arabic"/>
          <w:i/>
          <w:iCs/>
          <w:sz w:val="18"/>
          <w:szCs w:val="26"/>
          <w:rtl/>
        </w:rPr>
        <w:t> </w:t>
      </w:r>
      <w:r w:rsidRPr="00222E49">
        <w:rPr>
          <w:rFonts w:cs="Traditional Arabic" w:hint="cs"/>
          <w:i/>
          <w:iCs/>
          <w:sz w:val="18"/>
          <w:szCs w:val="26"/>
          <w:rtl/>
        </w:rPr>
        <w:t>2011</w:t>
      </w:r>
      <w:r w:rsidRPr="00222E49">
        <w:rPr>
          <w:rFonts w:cs="Traditional Arabic" w:hint="cs"/>
          <w:sz w:val="18"/>
          <w:szCs w:val="26"/>
          <w:rtl/>
        </w:rPr>
        <w:t xml:space="preserve">. </w:t>
      </w:r>
    </w:p>
  </w:footnote>
  <w:footnote w:id="240">
    <w:p w:rsidR="00F815BA" w:rsidRPr="00222E49" w:rsidRDefault="00F815BA" w:rsidP="00501408">
      <w:pPr>
        <w:pStyle w:val="FootnoteText"/>
        <w:numPr>
          <w:ilvl w:val="0"/>
          <w:numId w:val="52"/>
        </w:numPr>
        <w:tabs>
          <w:tab w:val="clear" w:pos="1292"/>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تشير الشكوى إلى تقرير منظمة العفو الدولية لعام</w:t>
      </w:r>
      <w:r w:rsidRPr="00222E49">
        <w:rPr>
          <w:rFonts w:cs="Traditional Arabic"/>
          <w:sz w:val="18"/>
          <w:szCs w:val="26"/>
          <w:rtl/>
        </w:rPr>
        <w:t> </w:t>
      </w:r>
      <w:r w:rsidRPr="00222E49">
        <w:rPr>
          <w:rFonts w:cs="Traditional Arabic" w:hint="cs"/>
          <w:sz w:val="18"/>
          <w:szCs w:val="26"/>
          <w:rtl/>
        </w:rPr>
        <w:t>2009 المقدّم إلى اللجنة المعنية بحقوق الإنسان.</w:t>
      </w:r>
    </w:p>
  </w:footnote>
  <w:footnote w:id="241">
    <w:p w:rsidR="00F815BA" w:rsidRPr="00222E49" w:rsidRDefault="00F815BA" w:rsidP="00501408">
      <w:pPr>
        <w:pStyle w:val="FootnoteText"/>
        <w:numPr>
          <w:ilvl w:val="0"/>
          <w:numId w:val="52"/>
        </w:numPr>
        <w:tabs>
          <w:tab w:val="clear" w:pos="1292"/>
          <w:tab w:val="right" w:pos="1253"/>
        </w:tabs>
        <w:bidi/>
        <w:spacing w:after="60" w:line="300" w:lineRule="exact"/>
        <w:ind w:left="1247" w:right="1247" w:hanging="272"/>
        <w:jc w:val="lowKashida"/>
        <w:rPr>
          <w:rFonts w:cs="Traditional Arabic" w:hint="cs"/>
          <w:spacing w:val="-4"/>
          <w:sz w:val="18"/>
          <w:szCs w:val="26"/>
        </w:rPr>
      </w:pPr>
      <w:r w:rsidRPr="00222E49">
        <w:rPr>
          <w:rFonts w:cs="Traditional Arabic" w:hint="cs"/>
          <w:spacing w:val="-4"/>
          <w:sz w:val="18"/>
          <w:szCs w:val="26"/>
          <w:rtl/>
        </w:rPr>
        <w:t>تشير الشكوى إلى تقرير وزارة خارجية الولايات المتحدة لعام</w:t>
      </w:r>
      <w:r w:rsidRPr="00222E49">
        <w:rPr>
          <w:rFonts w:cs="Traditional Arabic"/>
          <w:spacing w:val="-4"/>
          <w:sz w:val="18"/>
          <w:szCs w:val="26"/>
          <w:rtl/>
        </w:rPr>
        <w:t> </w:t>
      </w:r>
      <w:r w:rsidRPr="00222E49">
        <w:rPr>
          <w:rFonts w:cs="Traditional Arabic" w:hint="cs"/>
          <w:spacing w:val="-4"/>
          <w:sz w:val="18"/>
          <w:szCs w:val="26"/>
          <w:rtl/>
        </w:rPr>
        <w:t xml:space="preserve">2008 </w:t>
      </w:r>
      <w:r w:rsidRPr="00222E49">
        <w:rPr>
          <w:rFonts w:cs="Traditional Arabic"/>
          <w:spacing w:val="-4"/>
          <w:sz w:val="18"/>
          <w:szCs w:val="26"/>
        </w:rPr>
        <w:t>"Human Rights Report </w:t>
      </w:r>
      <w:r w:rsidRPr="00222E49">
        <w:rPr>
          <w:rFonts w:cs="Traditional Arabic"/>
          <w:spacing w:val="-4"/>
          <w:sz w:val="18"/>
          <w:szCs w:val="26"/>
        </w:rPr>
        <w:noBreakHyphen/>
        <w:t> Uzbekistan"</w:t>
      </w:r>
      <w:r w:rsidRPr="00222E49">
        <w:rPr>
          <w:rFonts w:cs="Traditional Arabic" w:hint="cs"/>
          <w:spacing w:val="-4"/>
          <w:sz w:val="18"/>
          <w:szCs w:val="26"/>
          <w:rtl/>
        </w:rPr>
        <w:t>.</w:t>
      </w:r>
    </w:p>
  </w:footnote>
  <w:footnote w:id="242">
    <w:p w:rsidR="00F815BA" w:rsidRPr="00222E49" w:rsidRDefault="00F815BA" w:rsidP="00501408">
      <w:pPr>
        <w:pStyle w:val="FootnoteText"/>
        <w:numPr>
          <w:ilvl w:val="0"/>
          <w:numId w:val="52"/>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 xml:space="preserve">تشير الشكوى إلى البلاغ رقم 149/199، </w:t>
      </w:r>
      <w:r w:rsidRPr="00222E49">
        <w:rPr>
          <w:rFonts w:cs="Traditional Arabic" w:hint="cs"/>
          <w:i/>
          <w:iCs/>
          <w:sz w:val="18"/>
          <w:szCs w:val="26"/>
          <w:rtl/>
        </w:rPr>
        <w:t>أ. س. ضد السويد</w:t>
      </w:r>
      <w:r w:rsidRPr="00222E49">
        <w:rPr>
          <w:rFonts w:cs="Traditional Arabic" w:hint="cs"/>
          <w:sz w:val="18"/>
          <w:szCs w:val="26"/>
          <w:rtl/>
        </w:rPr>
        <w:t>، الآراء المعتمدة في 24 تشرين الثاني/نوفمبر</w:t>
      </w:r>
      <w:r w:rsidRPr="00222E49">
        <w:rPr>
          <w:rFonts w:cs="Traditional Arabic" w:hint="eastAsia"/>
          <w:sz w:val="18"/>
          <w:szCs w:val="26"/>
          <w:rtl/>
        </w:rPr>
        <w:t> </w:t>
      </w:r>
      <w:r w:rsidRPr="00222E49">
        <w:rPr>
          <w:rFonts w:cs="Traditional Arabic" w:hint="cs"/>
          <w:sz w:val="18"/>
          <w:szCs w:val="26"/>
          <w:rtl/>
        </w:rPr>
        <w:t>2000.</w:t>
      </w:r>
    </w:p>
  </w:footnote>
  <w:footnote w:id="243">
    <w:p w:rsidR="00F815BA" w:rsidRPr="00222E49" w:rsidRDefault="00F815BA" w:rsidP="00501408">
      <w:pPr>
        <w:pStyle w:val="FootnoteText"/>
        <w:numPr>
          <w:ilvl w:val="0"/>
          <w:numId w:val="52"/>
        </w:numPr>
        <w:tabs>
          <w:tab w:val="clear" w:pos="1292"/>
          <w:tab w:val="left" w:pos="1239"/>
        </w:tabs>
        <w:bidi/>
        <w:spacing w:after="60" w:line="300" w:lineRule="exact"/>
        <w:ind w:left="1247" w:right="1247" w:hanging="272"/>
        <w:jc w:val="lowKashida"/>
        <w:rPr>
          <w:rFonts w:cs="Traditional Arabic" w:hint="cs"/>
          <w:spacing w:val="-4"/>
          <w:sz w:val="18"/>
          <w:szCs w:val="26"/>
        </w:rPr>
      </w:pPr>
      <w:r w:rsidRPr="00222E49">
        <w:rPr>
          <w:rFonts w:cs="Traditional Arabic" w:hint="cs"/>
          <w:i/>
          <w:iCs/>
          <w:spacing w:val="-4"/>
          <w:sz w:val="18"/>
          <w:szCs w:val="26"/>
          <w:rtl/>
        </w:rPr>
        <w:t>الوثائق الرسمية للجمعية العامة، الدورة الثالثة والخمسون، الملحق رقم 44</w:t>
      </w:r>
      <w:r w:rsidRPr="00222E49">
        <w:rPr>
          <w:rFonts w:cs="Traditional Arabic" w:hint="cs"/>
          <w:spacing w:val="-4"/>
          <w:sz w:val="18"/>
          <w:szCs w:val="26"/>
          <w:rtl/>
        </w:rPr>
        <w:t xml:space="preserve"> (</w:t>
      </w:r>
      <w:r w:rsidRPr="00222E49">
        <w:rPr>
          <w:rFonts w:cs="Traditional Arabic"/>
          <w:spacing w:val="-4"/>
          <w:sz w:val="18"/>
          <w:szCs w:val="26"/>
          <w:lang w:val="fr-CH"/>
        </w:rPr>
        <w:t>A/53/44</w:t>
      </w:r>
      <w:r w:rsidRPr="00222E49">
        <w:rPr>
          <w:rFonts w:cs="Traditional Arabic" w:hint="cs"/>
          <w:spacing w:val="-4"/>
          <w:sz w:val="18"/>
          <w:szCs w:val="26"/>
          <w:rtl/>
          <w:lang w:val="fr-CH"/>
        </w:rPr>
        <w:t xml:space="preserve"> و</w:t>
      </w:r>
      <w:r w:rsidRPr="00222E49">
        <w:rPr>
          <w:rFonts w:cs="Traditional Arabic"/>
          <w:spacing w:val="-4"/>
          <w:sz w:val="18"/>
          <w:szCs w:val="26"/>
          <w:lang w:val="fr-CH"/>
        </w:rPr>
        <w:t>Corr.1</w:t>
      </w:r>
      <w:r w:rsidRPr="00222E49">
        <w:rPr>
          <w:rFonts w:cs="Traditional Arabic" w:hint="cs"/>
          <w:spacing w:val="-4"/>
          <w:sz w:val="18"/>
          <w:szCs w:val="26"/>
          <w:rtl/>
          <w:lang w:val="fr-CH"/>
        </w:rPr>
        <w:t>)، المرفق التاسع.</w:t>
      </w:r>
    </w:p>
  </w:footnote>
  <w:footnote w:id="244">
    <w:p w:rsidR="00F815BA" w:rsidRPr="00222E49" w:rsidRDefault="00F815BA" w:rsidP="00501408">
      <w:pPr>
        <w:pStyle w:val="FootnoteText"/>
        <w:numPr>
          <w:ilvl w:val="0"/>
          <w:numId w:val="52"/>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 xml:space="preserve">استنتاجات وتوصيات لجنة مناهضة التعذيب، أوزبكستان، </w:t>
      </w:r>
      <w:r w:rsidRPr="00222E49">
        <w:rPr>
          <w:rFonts w:cs="Traditional Arabic"/>
          <w:sz w:val="18"/>
          <w:szCs w:val="26"/>
        </w:rPr>
        <w:t>CAT/C/UZB/CO/3</w:t>
      </w:r>
      <w:r w:rsidRPr="00222E49">
        <w:rPr>
          <w:rFonts w:cs="Traditional Arabic" w:hint="cs"/>
          <w:sz w:val="18"/>
          <w:szCs w:val="26"/>
          <w:rtl/>
        </w:rPr>
        <w:t xml:space="preserve">، الفقرات 6-9. انظر أيضاً الملاحظات الختامية للجنة المعنية بحقوق الإنسان - أوزبكستان، </w:t>
      </w:r>
      <w:r w:rsidRPr="00222E49">
        <w:rPr>
          <w:rFonts w:cs="Traditional Arabic"/>
          <w:sz w:val="18"/>
          <w:szCs w:val="26"/>
        </w:rPr>
        <w:t>CCPR/C/UZB/CO/3</w:t>
      </w:r>
      <w:r w:rsidRPr="00222E49">
        <w:rPr>
          <w:rFonts w:cs="Traditional Arabic" w:hint="cs"/>
          <w:sz w:val="18"/>
          <w:szCs w:val="26"/>
          <w:rtl/>
        </w:rPr>
        <w:t>، الفقرة 8.</w:t>
      </w:r>
    </w:p>
  </w:footnote>
  <w:footnote w:id="245">
    <w:p w:rsidR="00F815BA" w:rsidRPr="00222E49" w:rsidRDefault="00F815BA" w:rsidP="00501408">
      <w:pPr>
        <w:pStyle w:val="FootnoteText"/>
        <w:numPr>
          <w:ilvl w:val="0"/>
          <w:numId w:val="45"/>
        </w:numPr>
        <w:tabs>
          <w:tab w:val="clear" w:pos="1292"/>
          <w:tab w:val="lef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قدم صاحب الشكوى تقريرين طبيين، أو</w:t>
      </w:r>
      <w:r w:rsidRPr="00222E49">
        <w:rPr>
          <w:rFonts w:cs="Traditional Arabic"/>
          <w:sz w:val="18"/>
          <w:szCs w:val="26"/>
          <w:rtl/>
        </w:rPr>
        <w:t> </w:t>
      </w:r>
      <w:r w:rsidRPr="00222E49">
        <w:rPr>
          <w:rFonts w:cs="Traditional Arabic" w:hint="cs"/>
          <w:sz w:val="18"/>
          <w:szCs w:val="26"/>
          <w:rtl/>
        </w:rPr>
        <w:t>"مذكرتين" (ترجمة من الدانمركية إلى الإنكليزية)، بتاريخ 11 تشرين الأول/أكتوبر و13 كانون الأول/ديسمبر 2010، مفادهما أنه لم</w:t>
      </w:r>
      <w:r w:rsidRPr="00222E49">
        <w:rPr>
          <w:rFonts w:cs="Traditional Arabic"/>
          <w:sz w:val="18"/>
          <w:szCs w:val="26"/>
          <w:rtl/>
        </w:rPr>
        <w:t> </w:t>
      </w:r>
      <w:r w:rsidRPr="00222E49">
        <w:rPr>
          <w:rFonts w:cs="Traditional Arabic" w:hint="cs"/>
          <w:sz w:val="18"/>
          <w:szCs w:val="26"/>
          <w:rtl/>
        </w:rPr>
        <w:t>يستطع النوم منذ ما</w:t>
      </w:r>
      <w:r w:rsidRPr="00222E49">
        <w:rPr>
          <w:rFonts w:cs="Traditional Arabic"/>
          <w:sz w:val="18"/>
          <w:szCs w:val="26"/>
          <w:rtl/>
        </w:rPr>
        <w:t> </w:t>
      </w:r>
      <w:r w:rsidRPr="00222E49">
        <w:rPr>
          <w:rFonts w:cs="Traditional Arabic" w:hint="cs"/>
          <w:sz w:val="18"/>
          <w:szCs w:val="26"/>
          <w:rtl/>
        </w:rPr>
        <w:t>يزيد على سنة بسبب كوابيس ناتجة عما خضع له من تعذيب عندما كان في السجن. وجاء في التقريرين أيضاً أن صاحب الشكوى يشتكي آلاماً في الجانب الأيسر من صدره وقد طلب أدوية لهذا الغرض.</w:t>
      </w:r>
    </w:p>
  </w:footnote>
  <w:footnote w:id="246">
    <w:p w:rsidR="00F815BA" w:rsidRPr="00222E49" w:rsidRDefault="00F815BA" w:rsidP="00501408">
      <w:pPr>
        <w:pStyle w:val="FootnoteText"/>
        <w:numPr>
          <w:ilvl w:val="0"/>
          <w:numId w:val="45"/>
        </w:numPr>
        <w:tabs>
          <w:tab w:val="clear" w:pos="1292"/>
          <w:tab w:val="left" w:pos="1253"/>
        </w:tabs>
        <w:bidi/>
        <w:spacing w:after="60" w:line="300" w:lineRule="exact"/>
        <w:ind w:left="1247" w:right="1247" w:hanging="272"/>
        <w:jc w:val="lowKashida"/>
        <w:rPr>
          <w:rFonts w:cs="Traditional Arabic" w:hint="cs"/>
          <w:sz w:val="18"/>
          <w:szCs w:val="26"/>
        </w:rPr>
      </w:pPr>
      <w:r w:rsidRPr="00222E49">
        <w:rPr>
          <w:rFonts w:cs="Traditional Arabic" w:hint="cs"/>
          <w:spacing w:val="-2"/>
          <w:sz w:val="18"/>
          <w:szCs w:val="26"/>
          <w:rtl/>
        </w:rPr>
        <w:t xml:space="preserve">يشير صاحب الشكوى إلى قرار اللجنة في البلاغ رقم 339/2008، </w:t>
      </w:r>
      <w:r w:rsidRPr="00222E49">
        <w:rPr>
          <w:rFonts w:cs="Traditional Arabic" w:hint="cs"/>
          <w:i/>
          <w:iCs/>
          <w:spacing w:val="-2"/>
          <w:sz w:val="18"/>
          <w:szCs w:val="26"/>
          <w:rtl/>
        </w:rPr>
        <w:t>أميني ضد الدانمرك</w:t>
      </w:r>
      <w:r w:rsidRPr="00222E49">
        <w:rPr>
          <w:rFonts w:cs="Traditional Arabic" w:hint="cs"/>
          <w:spacing w:val="-2"/>
          <w:sz w:val="18"/>
          <w:szCs w:val="26"/>
          <w:rtl/>
        </w:rPr>
        <w:t>، قرار معتمد في</w:t>
      </w:r>
      <w:r w:rsidRPr="00222E49">
        <w:rPr>
          <w:rFonts w:cs="Traditional Arabic" w:hint="cs"/>
          <w:sz w:val="18"/>
          <w:szCs w:val="26"/>
          <w:rtl/>
        </w:rPr>
        <w:t xml:space="preserve"> 15 تشرين الثاني/نوفمبر 2010. </w:t>
      </w:r>
    </w:p>
  </w:footnote>
  <w:footnote w:id="247">
    <w:p w:rsidR="00F815BA" w:rsidRPr="00222E49" w:rsidRDefault="00F815BA" w:rsidP="00501408">
      <w:pPr>
        <w:pStyle w:val="FootnoteText"/>
        <w:numPr>
          <w:ilvl w:val="0"/>
          <w:numId w:val="45"/>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i/>
          <w:iCs/>
          <w:spacing w:val="-4"/>
          <w:sz w:val="18"/>
          <w:szCs w:val="26"/>
          <w:rtl/>
        </w:rPr>
        <w:t xml:space="preserve">الوثائق الرسمية للجمعية العامة، الدورة الثالثة والخمسون، الملحق رقم 44 </w:t>
      </w:r>
      <w:r w:rsidRPr="00222E49">
        <w:rPr>
          <w:rFonts w:cs="Traditional Arabic" w:hint="cs"/>
          <w:spacing w:val="-4"/>
          <w:sz w:val="18"/>
          <w:szCs w:val="26"/>
          <w:rtl/>
        </w:rPr>
        <w:t>(</w:t>
      </w:r>
      <w:r w:rsidRPr="00222E49">
        <w:rPr>
          <w:rFonts w:cs="Traditional Arabic"/>
          <w:spacing w:val="-4"/>
          <w:sz w:val="18"/>
          <w:szCs w:val="26"/>
          <w:lang w:val="fr-CH"/>
        </w:rPr>
        <w:t>A/53/44</w:t>
      </w:r>
      <w:r w:rsidRPr="00222E49">
        <w:rPr>
          <w:rFonts w:cs="Traditional Arabic" w:hint="cs"/>
          <w:spacing w:val="-4"/>
          <w:sz w:val="18"/>
          <w:szCs w:val="26"/>
          <w:rtl/>
          <w:lang w:val="fr-CH"/>
        </w:rPr>
        <w:t xml:space="preserve"> و</w:t>
      </w:r>
      <w:r w:rsidRPr="00222E49">
        <w:rPr>
          <w:rFonts w:cs="Traditional Arabic"/>
          <w:spacing w:val="-4"/>
          <w:sz w:val="18"/>
          <w:szCs w:val="26"/>
          <w:lang w:val="fr-CH"/>
        </w:rPr>
        <w:t>Corr.1</w:t>
      </w:r>
      <w:r w:rsidRPr="00222E49">
        <w:rPr>
          <w:rFonts w:cs="Traditional Arabic" w:hint="cs"/>
          <w:spacing w:val="-4"/>
          <w:sz w:val="18"/>
          <w:szCs w:val="26"/>
          <w:rtl/>
          <w:lang w:val="fr-CH"/>
        </w:rPr>
        <w:t>)، المرفق التاسع</w:t>
      </w:r>
      <w:r w:rsidRPr="00222E49">
        <w:rPr>
          <w:rFonts w:cs="Traditional Arabic" w:hint="cs"/>
          <w:sz w:val="18"/>
          <w:szCs w:val="26"/>
          <w:rtl/>
          <w:lang w:val="fr-CH"/>
        </w:rPr>
        <w:t>.</w:t>
      </w:r>
    </w:p>
  </w:footnote>
  <w:footnote w:id="248">
    <w:p w:rsidR="00F815BA" w:rsidRPr="00222E49" w:rsidRDefault="00F815BA" w:rsidP="00501408">
      <w:pPr>
        <w:pStyle w:val="FootnoteText"/>
        <w:numPr>
          <w:ilvl w:val="0"/>
          <w:numId w:val="45"/>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انظر الفقرات من 4-3 إلى 4-5 أعلاه.</w:t>
      </w:r>
    </w:p>
  </w:footnote>
  <w:footnote w:id="249">
    <w:p w:rsidR="00F815BA" w:rsidRPr="00222E49" w:rsidRDefault="00F815BA" w:rsidP="00C00C0D">
      <w:pPr>
        <w:pStyle w:val="FootnoteText"/>
        <w:numPr>
          <w:ilvl w:val="0"/>
          <w:numId w:val="0"/>
        </w:numPr>
        <w:tabs>
          <w:tab w:val="left" w:pos="1239"/>
        </w:tabs>
        <w:bidi/>
        <w:spacing w:after="60" w:line="300" w:lineRule="exact"/>
        <w:ind w:left="737" w:right="1247"/>
        <w:rPr>
          <w:rFonts w:cs="Traditional Arabic" w:hint="cs"/>
          <w:sz w:val="18"/>
          <w:szCs w:val="26"/>
        </w:rPr>
      </w:pPr>
      <w:r w:rsidRPr="00222E49">
        <w:rPr>
          <w:rFonts w:cs="Traditional Arabic" w:hint="cs"/>
          <w:sz w:val="18"/>
          <w:szCs w:val="26"/>
          <w:rtl/>
        </w:rPr>
        <w:t>(ﻫ)</w:t>
      </w:r>
      <w:r w:rsidRPr="00222E49">
        <w:rPr>
          <w:rFonts w:cs="Traditional Arabic" w:hint="cs"/>
          <w:sz w:val="18"/>
          <w:szCs w:val="26"/>
          <w:rtl/>
        </w:rPr>
        <w:tab/>
        <w:t>الاسم المقدم غير مطابق لاسم صاحب الشكوى.</w:t>
      </w:r>
    </w:p>
  </w:footnote>
  <w:footnote w:id="250">
    <w:p w:rsidR="00F815BA" w:rsidRPr="00222E49" w:rsidRDefault="00F815BA" w:rsidP="00501408">
      <w:pPr>
        <w:pStyle w:val="FootnoteText"/>
        <w:numPr>
          <w:ilvl w:val="0"/>
          <w:numId w:val="53"/>
        </w:numPr>
        <w:tabs>
          <w:tab w:val="clear" w:pos="1292"/>
          <w:tab w:val="left" w:pos="1225"/>
        </w:tabs>
        <w:bidi/>
        <w:spacing w:after="60" w:line="300" w:lineRule="exact"/>
        <w:ind w:left="1247" w:right="1247" w:hanging="272"/>
        <w:jc w:val="lowKashida"/>
        <w:rPr>
          <w:rFonts w:cs="Traditional Arabic" w:hint="cs"/>
          <w:sz w:val="18"/>
          <w:szCs w:val="26"/>
        </w:rPr>
      </w:pPr>
      <w:r w:rsidRPr="00222E49">
        <w:rPr>
          <w:rFonts w:cs="Traditional Arabic" w:hint="cs"/>
          <w:spacing w:val="-2"/>
          <w:sz w:val="18"/>
          <w:szCs w:val="26"/>
          <w:rtl/>
        </w:rPr>
        <w:t xml:space="preserve">تشير الدولة الطرف إلى البلاغين رقم 270/2005 ورقم 271/2005، </w:t>
      </w:r>
      <w:r w:rsidRPr="00222E49">
        <w:rPr>
          <w:rFonts w:cs="Traditional Arabic" w:hint="cs"/>
          <w:i/>
          <w:iCs/>
          <w:spacing w:val="-2"/>
          <w:sz w:val="18"/>
          <w:szCs w:val="26"/>
          <w:rtl/>
        </w:rPr>
        <w:t>إ. ر. ك. وإ. ك. ضد السويد</w:t>
      </w:r>
      <w:r w:rsidRPr="00222E49">
        <w:rPr>
          <w:rFonts w:cs="Traditional Arabic" w:hint="cs"/>
          <w:spacing w:val="-2"/>
          <w:sz w:val="18"/>
          <w:szCs w:val="26"/>
          <w:rtl/>
        </w:rPr>
        <w:t xml:space="preserve">، قرار معتمد في 30 نيسان/أبريل 2007، الفقرتين 7-2 و7-3؛ والبلاغ رقم 282/2005، </w:t>
      </w:r>
      <w:r w:rsidRPr="00222E49">
        <w:rPr>
          <w:rFonts w:cs="Traditional Arabic" w:hint="cs"/>
          <w:i/>
          <w:iCs/>
          <w:spacing w:val="-2"/>
          <w:sz w:val="18"/>
          <w:szCs w:val="26"/>
          <w:rtl/>
        </w:rPr>
        <w:t>س. ب. أ. ضد كندا</w:t>
      </w:r>
      <w:r w:rsidRPr="00222E49">
        <w:rPr>
          <w:rFonts w:cs="Traditional Arabic" w:hint="cs"/>
          <w:spacing w:val="-2"/>
          <w:sz w:val="18"/>
          <w:szCs w:val="26"/>
          <w:rtl/>
        </w:rPr>
        <w:t xml:space="preserve">، قرار معتمد في 7 تشرين الثاني/نوفمبر 2006، الفقرتان 7-1 و7-2؛ والبلاغ رقم 180/2001، </w:t>
      </w:r>
      <w:r w:rsidRPr="00222E49">
        <w:rPr>
          <w:rFonts w:cs="Traditional Arabic" w:hint="cs"/>
          <w:i/>
          <w:iCs/>
          <w:spacing w:val="-2"/>
          <w:sz w:val="18"/>
          <w:szCs w:val="26"/>
          <w:rtl/>
        </w:rPr>
        <w:t>ف. ف. ز. ضد الدانمرك</w:t>
      </w:r>
      <w:r w:rsidRPr="00222E49">
        <w:rPr>
          <w:rFonts w:cs="Traditional Arabic" w:hint="cs"/>
          <w:spacing w:val="-2"/>
          <w:sz w:val="18"/>
          <w:szCs w:val="26"/>
          <w:rtl/>
        </w:rPr>
        <w:t>، آراء معتمدة في 30 نيسان/أبريل 2002، الفقرتان 9 و10؛ والبلاغ رقم</w:t>
      </w:r>
      <w:r w:rsidRPr="00222E49">
        <w:rPr>
          <w:rFonts w:cs="Traditional Arabic" w:hint="eastAsia"/>
          <w:spacing w:val="-2"/>
          <w:sz w:val="18"/>
          <w:szCs w:val="26"/>
          <w:rtl/>
        </w:rPr>
        <w:t> </w:t>
      </w:r>
      <w:r w:rsidRPr="00222E49">
        <w:rPr>
          <w:rFonts w:cs="Traditional Arabic" w:hint="cs"/>
          <w:spacing w:val="-2"/>
          <w:sz w:val="18"/>
          <w:szCs w:val="26"/>
          <w:rtl/>
        </w:rPr>
        <w:t xml:space="preserve">143/1999، </w:t>
      </w:r>
      <w:r w:rsidRPr="00222E49">
        <w:rPr>
          <w:rFonts w:cs="Traditional Arabic" w:hint="cs"/>
          <w:i/>
          <w:iCs/>
          <w:spacing w:val="-2"/>
          <w:sz w:val="18"/>
          <w:szCs w:val="26"/>
          <w:rtl/>
        </w:rPr>
        <w:t>س. ك. ضد الدانمرك</w:t>
      </w:r>
      <w:r w:rsidRPr="00222E49">
        <w:rPr>
          <w:rFonts w:cs="Traditional Arabic" w:hint="cs"/>
          <w:spacing w:val="-2"/>
          <w:sz w:val="18"/>
          <w:szCs w:val="26"/>
          <w:rtl/>
        </w:rPr>
        <w:t>، آراء معتمدة في 10 أيار/مايو 2000، الفقرتان 6-4 و6-6. وتشير أيضاً إلى تعليق اللجنة العام رقم 1</w:t>
      </w:r>
      <w:r w:rsidRPr="00222E49">
        <w:rPr>
          <w:rFonts w:cs="Traditional Arabic" w:hint="cs"/>
          <w:sz w:val="18"/>
          <w:szCs w:val="26"/>
          <w:rtl/>
        </w:rPr>
        <w:t>.</w:t>
      </w:r>
    </w:p>
  </w:footnote>
  <w:footnote w:id="251">
    <w:p w:rsidR="00F815BA" w:rsidRPr="00222E49" w:rsidRDefault="00F815BA" w:rsidP="00501408">
      <w:pPr>
        <w:pStyle w:val="FootnoteText"/>
        <w:numPr>
          <w:ilvl w:val="0"/>
          <w:numId w:val="53"/>
        </w:numPr>
        <w:tabs>
          <w:tab w:val="clear" w:pos="1292"/>
          <w:tab w:val="left" w:pos="1225"/>
        </w:tabs>
        <w:bidi/>
        <w:spacing w:after="60" w:line="300" w:lineRule="exact"/>
        <w:ind w:left="1247" w:right="1247" w:hanging="272"/>
        <w:jc w:val="lowKashida"/>
        <w:rPr>
          <w:rFonts w:cs="Traditional Arabic" w:hint="cs"/>
          <w:spacing w:val="-2"/>
          <w:sz w:val="18"/>
          <w:szCs w:val="26"/>
        </w:rPr>
      </w:pPr>
      <w:r w:rsidRPr="00222E49">
        <w:rPr>
          <w:rFonts w:cs="Traditional Arabic" w:hint="cs"/>
          <w:spacing w:val="-2"/>
          <w:sz w:val="18"/>
          <w:szCs w:val="26"/>
          <w:rtl/>
        </w:rPr>
        <w:t>تشير الدولة الطرف إلى البلاغات رقم 220/2002،</w:t>
      </w:r>
      <w:r w:rsidRPr="00222E49">
        <w:rPr>
          <w:rFonts w:cs="Traditional Arabic" w:hint="cs"/>
          <w:i/>
          <w:iCs/>
          <w:spacing w:val="-2"/>
          <w:sz w:val="18"/>
          <w:szCs w:val="26"/>
          <w:rtl/>
        </w:rPr>
        <w:t xml:space="preserve"> ر. د. ضد السويد</w:t>
      </w:r>
      <w:r w:rsidRPr="00222E49">
        <w:rPr>
          <w:rFonts w:cs="Traditional Arabic" w:hint="cs"/>
          <w:spacing w:val="-2"/>
          <w:sz w:val="18"/>
          <w:szCs w:val="26"/>
          <w:rtl/>
        </w:rPr>
        <w:t>، آراء معتمدة في 2 أيار/ مايو</w:t>
      </w:r>
      <w:r w:rsidRPr="00222E49">
        <w:rPr>
          <w:rFonts w:cs="Traditional Arabic" w:hint="eastAsia"/>
          <w:spacing w:val="-2"/>
          <w:sz w:val="18"/>
          <w:szCs w:val="26"/>
          <w:rtl/>
        </w:rPr>
        <w:t> </w:t>
      </w:r>
      <w:r w:rsidRPr="00222E49">
        <w:rPr>
          <w:rFonts w:cs="Traditional Arabic" w:hint="cs"/>
          <w:spacing w:val="-2"/>
          <w:sz w:val="18"/>
          <w:szCs w:val="26"/>
          <w:rtl/>
        </w:rPr>
        <w:t xml:space="preserve">2005، الفقرة 8-2؛ ورقم 245/2004، </w:t>
      </w:r>
      <w:r w:rsidRPr="00222E49">
        <w:rPr>
          <w:rFonts w:cs="Traditional Arabic" w:hint="cs"/>
          <w:i/>
          <w:iCs/>
          <w:spacing w:val="-2"/>
          <w:sz w:val="18"/>
          <w:szCs w:val="26"/>
          <w:rtl/>
        </w:rPr>
        <w:t>س. س. س. ضد كندا</w:t>
      </w:r>
      <w:r w:rsidRPr="00222E49">
        <w:rPr>
          <w:rFonts w:cs="Traditional Arabic" w:hint="cs"/>
          <w:spacing w:val="-2"/>
          <w:sz w:val="18"/>
          <w:szCs w:val="26"/>
          <w:rtl/>
        </w:rPr>
        <w:t>، قرار معتمد في 16 تشرين الثاني/نوفمبر 2005، الفقرة 8-3؛ و</w:t>
      </w:r>
      <w:r w:rsidRPr="00222E49">
        <w:rPr>
          <w:rFonts w:cs="Traditional Arabic" w:hint="cs"/>
          <w:i/>
          <w:iCs/>
          <w:spacing w:val="-2"/>
          <w:sz w:val="18"/>
          <w:szCs w:val="26"/>
          <w:rtl/>
        </w:rPr>
        <w:t>إ. ر. ك. وإ. ك. ضد السويد</w:t>
      </w:r>
      <w:r w:rsidRPr="00222E49">
        <w:rPr>
          <w:rFonts w:cs="Traditional Arabic" w:hint="cs"/>
          <w:spacing w:val="-2"/>
          <w:sz w:val="18"/>
          <w:szCs w:val="26"/>
          <w:rtl/>
        </w:rPr>
        <w:t xml:space="preserve">، الفقرة 7-2؛ ورقم 286/2006، </w:t>
      </w:r>
      <w:r w:rsidRPr="00222E49">
        <w:rPr>
          <w:rFonts w:cs="Traditional Arabic" w:hint="cs"/>
          <w:i/>
          <w:iCs/>
          <w:spacing w:val="-2"/>
          <w:sz w:val="18"/>
          <w:szCs w:val="26"/>
          <w:rtl/>
        </w:rPr>
        <w:t>م.</w:t>
      </w:r>
      <w:r w:rsidRPr="00222E49">
        <w:rPr>
          <w:rFonts w:cs="Traditional Arabic" w:hint="eastAsia"/>
          <w:i/>
          <w:iCs/>
          <w:spacing w:val="-2"/>
          <w:sz w:val="18"/>
          <w:szCs w:val="26"/>
          <w:rtl/>
        </w:rPr>
        <w:t> </w:t>
      </w:r>
      <w:r w:rsidRPr="00222E49">
        <w:rPr>
          <w:rFonts w:cs="Traditional Arabic" w:hint="cs"/>
          <w:i/>
          <w:iCs/>
          <w:spacing w:val="-2"/>
          <w:sz w:val="18"/>
          <w:szCs w:val="26"/>
          <w:rtl/>
        </w:rPr>
        <w:t>ر. أ. ضد السويد</w:t>
      </w:r>
      <w:r w:rsidRPr="00222E49">
        <w:rPr>
          <w:rFonts w:cs="Traditional Arabic" w:hint="cs"/>
          <w:spacing w:val="-2"/>
          <w:sz w:val="18"/>
          <w:szCs w:val="26"/>
          <w:rtl/>
        </w:rPr>
        <w:t>، قرار معتمد في 17 تشرين الثاني/نوفمبر 2006، الفقرة 7-3.</w:t>
      </w:r>
    </w:p>
  </w:footnote>
  <w:footnote w:id="252">
    <w:p w:rsidR="00F815BA" w:rsidRPr="00222E49" w:rsidRDefault="00F815BA" w:rsidP="00501408">
      <w:pPr>
        <w:pStyle w:val="FootnoteText"/>
        <w:numPr>
          <w:ilvl w:val="0"/>
          <w:numId w:val="53"/>
        </w:numPr>
        <w:tabs>
          <w:tab w:val="clear" w:pos="1292"/>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يشير صاحب الشكوى إلى تعليق اللجنة العام رقم 1، الفقرة 6.</w:t>
      </w:r>
    </w:p>
  </w:footnote>
  <w:footnote w:id="253">
    <w:p w:rsidR="00F815BA" w:rsidRPr="00222E49" w:rsidRDefault="00F815BA" w:rsidP="00501408">
      <w:pPr>
        <w:pStyle w:val="FootnoteText"/>
        <w:numPr>
          <w:ilvl w:val="0"/>
          <w:numId w:val="53"/>
        </w:numPr>
        <w:tabs>
          <w:tab w:val="clear" w:pos="1292"/>
          <w:tab w:val="left" w:pos="1239"/>
        </w:tabs>
        <w:bidi/>
        <w:spacing w:after="60" w:line="300" w:lineRule="exact"/>
        <w:ind w:left="1247" w:right="1247" w:hanging="272"/>
        <w:jc w:val="lowKashida"/>
        <w:rPr>
          <w:rFonts w:cs="Traditional Arabic" w:hint="cs"/>
          <w:spacing w:val="-6"/>
          <w:sz w:val="18"/>
          <w:szCs w:val="26"/>
        </w:rPr>
      </w:pPr>
      <w:r w:rsidRPr="00222E49">
        <w:rPr>
          <w:rFonts w:cs="Traditional Arabic" w:hint="cs"/>
          <w:spacing w:val="-6"/>
          <w:sz w:val="18"/>
          <w:szCs w:val="26"/>
          <w:rtl/>
        </w:rPr>
        <w:t xml:space="preserve">يشير صاحب الشكوى إلى البلاغ رقم 120/1998، </w:t>
      </w:r>
      <w:r w:rsidRPr="00222E49">
        <w:rPr>
          <w:rFonts w:cs="Traditional Arabic" w:hint="cs"/>
          <w:i/>
          <w:iCs/>
          <w:spacing w:val="-6"/>
          <w:sz w:val="18"/>
          <w:szCs w:val="26"/>
          <w:rtl/>
        </w:rPr>
        <w:t>علمي ضد أستراليا</w:t>
      </w:r>
      <w:r w:rsidRPr="00222E49">
        <w:rPr>
          <w:rFonts w:cs="Traditional Arabic" w:hint="cs"/>
          <w:spacing w:val="-6"/>
          <w:sz w:val="18"/>
          <w:szCs w:val="26"/>
          <w:rtl/>
        </w:rPr>
        <w:t>، قرار معتمد في 14 أيار/مايو 2009.</w:t>
      </w:r>
    </w:p>
  </w:footnote>
  <w:footnote w:id="254">
    <w:p w:rsidR="00F815BA" w:rsidRPr="00222E49" w:rsidRDefault="00F815BA" w:rsidP="00501408">
      <w:pPr>
        <w:pStyle w:val="FootnoteText"/>
        <w:numPr>
          <w:ilvl w:val="0"/>
          <w:numId w:val="46"/>
        </w:numPr>
        <w:tabs>
          <w:tab w:val="clear" w:pos="1297"/>
          <w:tab w:val="left" w:pos="1239"/>
        </w:tabs>
        <w:bidi/>
        <w:spacing w:after="60" w:line="300" w:lineRule="exact"/>
        <w:ind w:left="1247" w:right="1247" w:hanging="272"/>
        <w:jc w:val="lowKashida"/>
        <w:rPr>
          <w:rFonts w:cs="Traditional Arabic"/>
          <w:spacing w:val="-4"/>
          <w:sz w:val="18"/>
          <w:szCs w:val="26"/>
        </w:rPr>
      </w:pPr>
      <w:r w:rsidRPr="00222E49">
        <w:rPr>
          <w:rFonts w:cs="Traditional Arabic" w:hint="cs"/>
          <w:spacing w:val="-4"/>
          <w:sz w:val="18"/>
          <w:szCs w:val="26"/>
          <w:rtl/>
        </w:rPr>
        <w:t>يستند طلب اللجوء الذي قدمته السيدة س. أ. ق.</w:t>
      </w:r>
      <w:r w:rsidRPr="00222E49">
        <w:rPr>
          <w:rFonts w:cs="Traditional Arabic"/>
          <w:spacing w:val="-4"/>
          <w:sz w:val="18"/>
          <w:szCs w:val="26"/>
          <w:rtl/>
        </w:rPr>
        <w:t xml:space="preserve"> في مجمله على ما </w:t>
      </w:r>
      <w:r w:rsidRPr="00222E49">
        <w:rPr>
          <w:rFonts w:cs="Traditional Arabic" w:hint="cs"/>
          <w:spacing w:val="-4"/>
          <w:sz w:val="18"/>
          <w:szCs w:val="26"/>
          <w:rtl/>
        </w:rPr>
        <w:t>تعرض له زوجها من اضطهاد مزعوم على يد</w:t>
      </w:r>
      <w:r w:rsidRPr="00222E49">
        <w:rPr>
          <w:rFonts w:cs="Traditional Arabic"/>
          <w:spacing w:val="-4"/>
          <w:sz w:val="18"/>
          <w:szCs w:val="26"/>
          <w:rtl/>
        </w:rPr>
        <w:t xml:space="preserve"> السلطات اليمنية.</w:t>
      </w:r>
    </w:p>
  </w:footnote>
  <w:footnote w:id="255">
    <w:p w:rsidR="00F815BA" w:rsidRPr="00222E49" w:rsidRDefault="00F815BA" w:rsidP="00501408">
      <w:pPr>
        <w:pStyle w:val="FootnoteText"/>
        <w:numPr>
          <w:ilvl w:val="0"/>
          <w:numId w:val="46"/>
        </w:numPr>
        <w:tabs>
          <w:tab w:val="clear" w:pos="1297"/>
          <w:tab w:val="left" w:pos="1239"/>
        </w:tabs>
        <w:bidi/>
        <w:spacing w:after="60" w:line="300" w:lineRule="exact"/>
        <w:ind w:left="1247" w:right="1247" w:hanging="272"/>
        <w:jc w:val="lowKashida"/>
        <w:rPr>
          <w:rFonts w:cs="Traditional Arabic"/>
          <w:spacing w:val="-4"/>
          <w:sz w:val="18"/>
          <w:szCs w:val="26"/>
        </w:rPr>
      </w:pPr>
      <w:r w:rsidRPr="00222E49">
        <w:rPr>
          <w:rFonts w:cs="Traditional Arabic" w:hint="cs"/>
          <w:spacing w:val="-4"/>
          <w:sz w:val="18"/>
          <w:szCs w:val="26"/>
          <w:rtl/>
        </w:rPr>
        <w:t>لم</w:t>
      </w:r>
      <w:r w:rsidRPr="00222E49">
        <w:rPr>
          <w:rFonts w:cs="Traditional Arabic"/>
          <w:spacing w:val="-4"/>
          <w:sz w:val="18"/>
          <w:szCs w:val="26"/>
          <w:rtl/>
        </w:rPr>
        <w:t xml:space="preserve"> </w:t>
      </w:r>
      <w:r w:rsidRPr="00222E49">
        <w:rPr>
          <w:rFonts w:cs="Traditional Arabic" w:hint="cs"/>
          <w:spacing w:val="-4"/>
          <w:sz w:val="18"/>
          <w:szCs w:val="26"/>
          <w:rtl/>
        </w:rPr>
        <w:t>ي</w:t>
      </w:r>
      <w:r w:rsidRPr="00222E49">
        <w:rPr>
          <w:rFonts w:cs="Traditional Arabic"/>
          <w:spacing w:val="-4"/>
          <w:sz w:val="18"/>
          <w:szCs w:val="26"/>
          <w:rtl/>
        </w:rPr>
        <w:t>ثبت</w:t>
      </w:r>
      <w:r w:rsidRPr="00222E49">
        <w:rPr>
          <w:rFonts w:cs="Traditional Arabic" w:hint="cs"/>
          <w:spacing w:val="-4"/>
          <w:sz w:val="18"/>
          <w:szCs w:val="26"/>
          <w:rtl/>
        </w:rPr>
        <w:t xml:space="preserve"> أصحاب الشكوى</w:t>
      </w:r>
      <w:r w:rsidRPr="00222E49">
        <w:rPr>
          <w:rFonts w:cs="Traditional Arabic"/>
          <w:spacing w:val="-4"/>
          <w:sz w:val="18"/>
          <w:szCs w:val="26"/>
          <w:rtl/>
        </w:rPr>
        <w:t>، في جملة أمور، أنه كان من المستحيل بالنسبة لهم تقديم هذه المعلومات في سياق إجراءات اللجوء العادية وقبل</w:t>
      </w:r>
      <w:r w:rsidRPr="00222E49">
        <w:rPr>
          <w:rFonts w:cs="Traditional Arabic" w:hint="cs"/>
          <w:spacing w:val="-4"/>
          <w:sz w:val="18"/>
          <w:szCs w:val="26"/>
          <w:rtl/>
        </w:rPr>
        <w:t xml:space="preserve"> صدور</w:t>
      </w:r>
      <w:r w:rsidRPr="00222E49">
        <w:rPr>
          <w:rFonts w:cs="Traditional Arabic"/>
          <w:spacing w:val="-4"/>
          <w:sz w:val="18"/>
          <w:szCs w:val="26"/>
          <w:rtl/>
        </w:rPr>
        <w:t xml:space="preserve"> قرار المحكمة الإدارية الاتحادية لسويسرا </w:t>
      </w:r>
      <w:r w:rsidRPr="00222E49">
        <w:rPr>
          <w:rFonts w:cs="Traditional Arabic" w:hint="cs"/>
          <w:spacing w:val="-4"/>
          <w:sz w:val="18"/>
          <w:szCs w:val="26"/>
          <w:rtl/>
        </w:rPr>
        <w:t>بخصوص طعنهم</w:t>
      </w:r>
      <w:r w:rsidRPr="00222E49">
        <w:rPr>
          <w:rFonts w:cs="Traditional Arabic"/>
          <w:spacing w:val="-4"/>
          <w:sz w:val="18"/>
          <w:szCs w:val="26"/>
          <w:rtl/>
        </w:rPr>
        <w:t xml:space="preserve"> </w:t>
      </w:r>
      <w:r w:rsidRPr="00222E49">
        <w:rPr>
          <w:rFonts w:cs="Traditional Arabic" w:hint="cs"/>
          <w:spacing w:val="-4"/>
          <w:sz w:val="18"/>
          <w:szCs w:val="26"/>
          <w:rtl/>
        </w:rPr>
        <w:t>في</w:t>
      </w:r>
      <w:r w:rsidRPr="00222E49">
        <w:rPr>
          <w:rFonts w:cs="Traditional Arabic"/>
          <w:spacing w:val="-4"/>
          <w:sz w:val="18"/>
          <w:szCs w:val="26"/>
          <w:rtl/>
        </w:rPr>
        <w:t xml:space="preserve"> 7 </w:t>
      </w:r>
      <w:r w:rsidRPr="00222E49">
        <w:rPr>
          <w:rFonts w:cs="Traditional Arabic" w:hint="cs"/>
          <w:spacing w:val="-4"/>
          <w:sz w:val="18"/>
          <w:szCs w:val="26"/>
          <w:rtl/>
        </w:rPr>
        <w:t>حزيران/ يونيه </w:t>
      </w:r>
      <w:r w:rsidRPr="00222E49">
        <w:rPr>
          <w:rFonts w:cs="Traditional Arabic"/>
          <w:spacing w:val="-4"/>
          <w:sz w:val="18"/>
          <w:szCs w:val="26"/>
          <w:rtl/>
        </w:rPr>
        <w:t>2010.</w:t>
      </w:r>
    </w:p>
  </w:footnote>
  <w:footnote w:id="256">
    <w:p w:rsidR="00F815BA" w:rsidRPr="00222E49" w:rsidRDefault="00F815BA" w:rsidP="00501408">
      <w:pPr>
        <w:pStyle w:val="FootnoteText"/>
        <w:numPr>
          <w:ilvl w:val="0"/>
          <w:numId w:val="46"/>
        </w:numPr>
        <w:tabs>
          <w:tab w:val="clear" w:pos="1297"/>
          <w:tab w:val="left" w:pos="1239"/>
        </w:tabs>
        <w:bidi/>
        <w:spacing w:after="60" w:line="300" w:lineRule="exact"/>
        <w:ind w:left="1247" w:right="1247" w:hanging="272"/>
        <w:jc w:val="lowKashida"/>
        <w:rPr>
          <w:rFonts w:cs="Traditional Arabic"/>
          <w:spacing w:val="-4"/>
          <w:sz w:val="18"/>
          <w:szCs w:val="26"/>
        </w:rPr>
      </w:pPr>
      <w:r w:rsidRPr="00222E49">
        <w:rPr>
          <w:rStyle w:val="hps"/>
          <w:rFonts w:cs="Traditional Arabic" w:hint="cs"/>
          <w:sz w:val="18"/>
          <w:szCs w:val="26"/>
          <w:rtl/>
          <w:lang/>
        </w:rPr>
        <w:t xml:space="preserve">انظر: </w:t>
      </w:r>
      <w:r w:rsidRPr="00222E49">
        <w:rPr>
          <w:rFonts w:cs="Traditional Arabic"/>
          <w:sz w:val="18"/>
          <w:szCs w:val="26"/>
        </w:rPr>
        <w:t xml:space="preserve">Amnesty International, </w:t>
      </w:r>
      <w:r w:rsidRPr="00222E49">
        <w:rPr>
          <w:rFonts w:cs="Traditional Arabic"/>
          <w:i/>
          <w:sz w:val="18"/>
          <w:szCs w:val="26"/>
        </w:rPr>
        <w:t>Yemen: Cracking Down Under Pressure</w:t>
      </w:r>
      <w:r w:rsidRPr="00222E49">
        <w:rPr>
          <w:rFonts w:cs="Traditional Arabic"/>
          <w:sz w:val="18"/>
          <w:szCs w:val="26"/>
        </w:rPr>
        <w:t>, London, 2010, p. 67</w:t>
      </w:r>
      <w:r w:rsidRPr="00222E49">
        <w:rPr>
          <w:rFonts w:cs="Traditional Arabic" w:hint="cs"/>
          <w:sz w:val="18"/>
          <w:szCs w:val="26"/>
          <w:rtl/>
        </w:rPr>
        <w:t>،</w:t>
      </w:r>
      <w:r w:rsidRPr="00222E49">
        <w:rPr>
          <w:rStyle w:val="hps"/>
          <w:rFonts w:cs="Traditional Arabic" w:hint="cs"/>
          <w:sz w:val="18"/>
          <w:szCs w:val="26"/>
          <w:rtl/>
          <w:lang/>
        </w:rPr>
        <w:t xml:space="preserve"> و</w:t>
      </w:r>
      <w:r w:rsidRPr="00222E49">
        <w:rPr>
          <w:rFonts w:cs="Traditional Arabic"/>
          <w:sz w:val="18"/>
          <w:szCs w:val="26"/>
        </w:rPr>
        <w:t>BBC, “Civil war fears as Yemen celebrates unity”</w:t>
      </w:r>
      <w:r w:rsidRPr="00222E49">
        <w:rPr>
          <w:rFonts w:cs="Traditional Arabic" w:hint="cs"/>
          <w:sz w:val="18"/>
          <w:szCs w:val="26"/>
          <w:rtl/>
        </w:rPr>
        <w:t xml:space="preserve">، 21 أيار/مايو 2009، متاح على الموقع التالي: </w:t>
      </w:r>
      <w:hyperlink r:id="rId4" w:history="1">
        <w:r w:rsidRPr="00222E49">
          <w:rPr>
            <w:rStyle w:val="hps"/>
            <w:rFonts w:cs="Traditional Arabic"/>
            <w:sz w:val="18"/>
            <w:szCs w:val="26"/>
            <w:lang/>
          </w:rPr>
          <w:t>http://news.bbc.co.uk/2/hi/middle_east/country_profiles/8062225.stm</w:t>
        </w:r>
      </w:hyperlink>
      <w:r w:rsidRPr="00222E49">
        <w:rPr>
          <w:rFonts w:cs="Traditional Arabic" w:hint="cs"/>
          <w:sz w:val="18"/>
          <w:szCs w:val="26"/>
          <w:rtl/>
        </w:rPr>
        <w:t>.</w:t>
      </w:r>
    </w:p>
  </w:footnote>
  <w:footnote w:id="257">
    <w:p w:rsidR="00F815BA" w:rsidRPr="00222E49" w:rsidRDefault="00F815BA" w:rsidP="00501408">
      <w:pPr>
        <w:pStyle w:val="FootnoteText"/>
        <w:numPr>
          <w:ilvl w:val="0"/>
          <w:numId w:val="46"/>
        </w:numPr>
        <w:tabs>
          <w:tab w:val="clear" w:pos="1297"/>
          <w:tab w:val="left" w:pos="1253"/>
        </w:tabs>
        <w:bidi/>
        <w:spacing w:after="60" w:line="300" w:lineRule="exact"/>
        <w:ind w:left="1247" w:right="1247" w:hanging="272"/>
        <w:jc w:val="lowKashida"/>
        <w:rPr>
          <w:rFonts w:cs="Traditional Arabic"/>
          <w:spacing w:val="-4"/>
          <w:sz w:val="18"/>
          <w:szCs w:val="26"/>
        </w:rPr>
      </w:pPr>
      <w:r w:rsidRPr="00222E49">
        <w:rPr>
          <w:rStyle w:val="hps"/>
          <w:rFonts w:cs="Traditional Arabic" w:hint="cs"/>
          <w:sz w:val="18"/>
          <w:szCs w:val="26"/>
          <w:rtl/>
          <w:lang/>
        </w:rPr>
        <w:t>انظر: منظمة العفو الدولية، "اليمن: تقرير منظمة العفو الدولية لعام</w:t>
      </w:r>
      <w:r w:rsidRPr="00222E49">
        <w:rPr>
          <w:rStyle w:val="hps"/>
          <w:rFonts w:cs="Traditional Arabic"/>
          <w:sz w:val="18"/>
          <w:szCs w:val="26"/>
          <w:rtl/>
          <w:lang/>
        </w:rPr>
        <w:t> </w:t>
      </w:r>
      <w:r w:rsidRPr="00222E49">
        <w:rPr>
          <w:rStyle w:val="hps"/>
          <w:rFonts w:cs="Traditional Arabic" w:hint="cs"/>
          <w:sz w:val="18"/>
          <w:szCs w:val="26"/>
          <w:rtl/>
          <w:lang/>
        </w:rPr>
        <w:t>2010"، متاح على الموقع التالي:</w:t>
      </w:r>
      <w:r>
        <w:rPr>
          <w:rFonts w:cs="Traditional Arabic" w:hint="cs"/>
          <w:sz w:val="18"/>
          <w:szCs w:val="26"/>
          <w:rtl/>
        </w:rPr>
        <w:t xml:space="preserve"> </w:t>
      </w:r>
      <w:r w:rsidRPr="00222E49">
        <w:rPr>
          <w:rStyle w:val="hps"/>
          <w:rFonts w:cs="Traditional Arabic"/>
          <w:sz w:val="18"/>
          <w:szCs w:val="26"/>
          <w:lang/>
        </w:rPr>
        <w:t>http://www.amnesty.org/ar/region/yemen/report-2010</w:t>
      </w:r>
      <w:r w:rsidRPr="00222E49">
        <w:rPr>
          <w:rStyle w:val="hps"/>
          <w:rFonts w:cs="Traditional Arabic" w:hint="cs"/>
          <w:sz w:val="18"/>
          <w:szCs w:val="26"/>
          <w:rtl/>
          <w:lang/>
        </w:rPr>
        <w:t>.</w:t>
      </w:r>
    </w:p>
  </w:footnote>
  <w:footnote w:id="258">
    <w:p w:rsidR="00F815BA" w:rsidRPr="00222E49" w:rsidRDefault="00F815BA" w:rsidP="005D6C55">
      <w:pPr>
        <w:pStyle w:val="FootnoteText"/>
        <w:numPr>
          <w:ilvl w:val="0"/>
          <w:numId w:val="0"/>
        </w:numPr>
        <w:tabs>
          <w:tab w:val="left" w:pos="1239"/>
        </w:tabs>
        <w:bidi/>
        <w:spacing w:after="60" w:line="300" w:lineRule="exact"/>
        <w:ind w:left="1239" w:right="1247" w:hanging="490"/>
        <w:jc w:val="lowKashida"/>
        <w:rPr>
          <w:rFonts w:cs="Traditional Arabic"/>
          <w:spacing w:val="-4"/>
          <w:sz w:val="18"/>
          <w:szCs w:val="26"/>
        </w:rPr>
      </w:pPr>
      <w:r w:rsidRPr="00222E49">
        <w:rPr>
          <w:rFonts w:cs="Traditional Arabic" w:hint="cs"/>
          <w:sz w:val="18"/>
          <w:szCs w:val="26"/>
          <w:rtl/>
        </w:rPr>
        <w:t>(ﻫ)</w:t>
      </w:r>
      <w:r w:rsidRPr="00222E49">
        <w:rPr>
          <w:rStyle w:val="hps"/>
          <w:rFonts w:cs="Traditional Arabic" w:hint="cs"/>
          <w:spacing w:val="-2"/>
          <w:sz w:val="18"/>
          <w:szCs w:val="26"/>
          <w:rtl/>
          <w:lang/>
        </w:rPr>
        <w:tab/>
        <w:t xml:space="preserve">انظر: </w:t>
      </w:r>
      <w:r w:rsidRPr="00222E49">
        <w:rPr>
          <w:rFonts w:cs="Traditional Arabic"/>
          <w:spacing w:val="-2"/>
          <w:sz w:val="18"/>
          <w:szCs w:val="26"/>
        </w:rPr>
        <w:t>the United States Department of State, “2009 Human Rights Report: Yemen”</w:t>
      </w:r>
      <w:r w:rsidRPr="00222E49">
        <w:rPr>
          <w:rFonts w:cs="Traditional Arabic" w:hint="cs"/>
          <w:spacing w:val="-2"/>
          <w:sz w:val="18"/>
          <w:szCs w:val="26"/>
          <w:rtl/>
        </w:rPr>
        <w:t>، 11 آذار/ مارس</w:t>
      </w:r>
      <w:r w:rsidRPr="00222E49">
        <w:rPr>
          <w:rFonts w:cs="Traditional Arabic" w:hint="eastAsia"/>
          <w:spacing w:val="-2"/>
          <w:sz w:val="18"/>
          <w:szCs w:val="26"/>
          <w:rtl/>
        </w:rPr>
        <w:t> </w:t>
      </w:r>
      <w:r w:rsidRPr="00222E49">
        <w:rPr>
          <w:rFonts w:cs="Traditional Arabic" w:hint="cs"/>
          <w:spacing w:val="-2"/>
          <w:sz w:val="18"/>
          <w:szCs w:val="26"/>
          <w:rtl/>
        </w:rPr>
        <w:t xml:space="preserve">2010، متاح على الموقع التالي: </w:t>
      </w:r>
      <w:r w:rsidRPr="00222E49">
        <w:rPr>
          <w:rFonts w:cs="Traditional Arabic"/>
          <w:spacing w:val="-2"/>
          <w:sz w:val="18"/>
          <w:szCs w:val="26"/>
        </w:rPr>
        <w:t>http://www.state.gov/j/drl/rls/hrrpt/2009/nea/136083.htm</w:t>
      </w:r>
      <w:r w:rsidRPr="00222E49">
        <w:rPr>
          <w:rFonts w:cs="Traditional Arabic" w:hint="cs"/>
          <w:sz w:val="18"/>
          <w:szCs w:val="26"/>
          <w:rtl/>
        </w:rPr>
        <w:t>.</w:t>
      </w:r>
    </w:p>
  </w:footnote>
  <w:footnote w:id="259">
    <w:p w:rsidR="00F815BA" w:rsidRPr="00222E49" w:rsidRDefault="00F815BA" w:rsidP="00501408">
      <w:pPr>
        <w:pStyle w:val="FootnoteText"/>
        <w:numPr>
          <w:ilvl w:val="0"/>
          <w:numId w:val="54"/>
        </w:numPr>
        <w:tabs>
          <w:tab w:val="clear" w:pos="1297"/>
          <w:tab w:val="left" w:pos="1253"/>
        </w:tabs>
        <w:bidi/>
        <w:spacing w:after="60" w:line="300" w:lineRule="exact"/>
        <w:ind w:left="1247" w:right="1247" w:hanging="272"/>
        <w:jc w:val="lowKashida"/>
        <w:rPr>
          <w:rFonts w:cs="Traditional Arabic"/>
          <w:spacing w:val="-4"/>
          <w:sz w:val="18"/>
          <w:szCs w:val="26"/>
        </w:rPr>
      </w:pPr>
      <w:r w:rsidRPr="00222E49">
        <w:rPr>
          <w:rStyle w:val="hps"/>
          <w:rFonts w:cs="Traditional Arabic" w:hint="cs"/>
          <w:sz w:val="18"/>
          <w:szCs w:val="26"/>
          <w:rtl/>
          <w:lang/>
        </w:rPr>
        <w:t xml:space="preserve">انظر: </w:t>
      </w:r>
      <w:r w:rsidRPr="00222E49">
        <w:rPr>
          <w:rFonts w:cs="Traditional Arabic"/>
          <w:sz w:val="18"/>
          <w:szCs w:val="26"/>
        </w:rPr>
        <w:t>Human Rights Watch, “Days of bloodshed in Aden”</w:t>
      </w:r>
      <w:r w:rsidRPr="00222E49">
        <w:rPr>
          <w:rFonts w:cs="Traditional Arabic" w:hint="cs"/>
          <w:sz w:val="18"/>
          <w:szCs w:val="26"/>
          <w:rtl/>
        </w:rPr>
        <w:t xml:space="preserve">، 9 آذار/مارس 2011، متاح على الموقع التالي: </w:t>
      </w:r>
      <w:r w:rsidRPr="00222E49">
        <w:rPr>
          <w:rFonts w:cs="Traditional Arabic"/>
          <w:sz w:val="18"/>
          <w:szCs w:val="26"/>
        </w:rPr>
        <w:t>http://www.hrw.org/reports/2011/03/09/days-bloodshed-aden-0</w:t>
      </w:r>
      <w:r w:rsidRPr="00222E49">
        <w:rPr>
          <w:rFonts w:cs="Traditional Arabic" w:hint="cs"/>
          <w:sz w:val="18"/>
          <w:szCs w:val="26"/>
          <w:rtl/>
        </w:rPr>
        <w:t>.</w:t>
      </w:r>
    </w:p>
  </w:footnote>
  <w:footnote w:id="260">
    <w:p w:rsidR="00F815BA" w:rsidRPr="00222E49" w:rsidRDefault="00F815BA" w:rsidP="00501408">
      <w:pPr>
        <w:pStyle w:val="FootnoteText"/>
        <w:numPr>
          <w:ilvl w:val="0"/>
          <w:numId w:val="54"/>
        </w:numPr>
        <w:tabs>
          <w:tab w:val="clear" w:pos="1297"/>
          <w:tab w:val="left" w:pos="1253"/>
        </w:tabs>
        <w:bidi/>
        <w:spacing w:after="60" w:line="300" w:lineRule="exact"/>
        <w:ind w:left="1247" w:right="1247" w:hanging="272"/>
        <w:jc w:val="lowKashida"/>
        <w:rPr>
          <w:rFonts w:cs="Traditional Arabic"/>
          <w:spacing w:val="-4"/>
          <w:sz w:val="18"/>
          <w:szCs w:val="26"/>
        </w:rPr>
      </w:pPr>
      <w:r w:rsidRPr="00222E49">
        <w:rPr>
          <w:rStyle w:val="hps"/>
          <w:rFonts w:cs="Traditional Arabic" w:hint="cs"/>
          <w:sz w:val="18"/>
          <w:szCs w:val="26"/>
          <w:rtl/>
          <w:lang/>
        </w:rPr>
        <w:t xml:space="preserve">انظر: </w:t>
      </w:r>
      <w:r w:rsidRPr="00222E49">
        <w:rPr>
          <w:rFonts w:cs="Traditional Arabic"/>
          <w:sz w:val="18"/>
          <w:szCs w:val="26"/>
        </w:rPr>
        <w:t>the Jamestown Foundation, “Filling the void: the Southern Mobility Movement in South Yemen”</w:t>
      </w:r>
      <w:r w:rsidRPr="00222E49">
        <w:rPr>
          <w:rFonts w:cs="Traditional Arabic" w:hint="cs"/>
          <w:sz w:val="18"/>
          <w:szCs w:val="26"/>
          <w:rtl/>
        </w:rPr>
        <w:t xml:space="preserve">، 25 نيسان/أبريل 2011، متاح على الموقع التالي: </w:t>
      </w:r>
      <w:r w:rsidRPr="00222E49">
        <w:rPr>
          <w:rFonts w:cs="Traditional Arabic"/>
          <w:sz w:val="18"/>
          <w:szCs w:val="26"/>
        </w:rPr>
        <w:t>http://www.jamestown.org/single/?</w:t>
      </w:r>
      <w:r w:rsidRPr="00222E49">
        <w:rPr>
          <w:rFonts w:cs="Traditional Arabic"/>
          <w:sz w:val="18"/>
          <w:szCs w:val="26"/>
        </w:rPr>
        <w:br/>
        <w:t>no_cache=1&amp;tx_ttnews%5Btt_news%5D=37845</w:t>
      </w:r>
      <w:r w:rsidRPr="00222E49">
        <w:rPr>
          <w:rFonts w:cs="Traditional Arabic" w:hint="cs"/>
          <w:sz w:val="18"/>
          <w:szCs w:val="26"/>
          <w:rtl/>
        </w:rPr>
        <w:t>.</w:t>
      </w:r>
    </w:p>
  </w:footnote>
  <w:footnote w:id="261">
    <w:p w:rsidR="00F815BA" w:rsidRPr="00222E49" w:rsidRDefault="00F815BA" w:rsidP="00501408">
      <w:pPr>
        <w:pStyle w:val="FootnoteText"/>
        <w:numPr>
          <w:ilvl w:val="0"/>
          <w:numId w:val="54"/>
        </w:numPr>
        <w:tabs>
          <w:tab w:val="clear" w:pos="1297"/>
          <w:tab w:val="left" w:pos="1239"/>
        </w:tabs>
        <w:bidi/>
        <w:spacing w:after="60" w:line="300" w:lineRule="exact"/>
        <w:ind w:left="1247" w:right="1247" w:hanging="272"/>
        <w:jc w:val="lowKashida"/>
        <w:rPr>
          <w:rFonts w:cs="Traditional Arabic"/>
          <w:spacing w:val="-4"/>
          <w:sz w:val="18"/>
          <w:szCs w:val="26"/>
        </w:rPr>
      </w:pPr>
      <w:r w:rsidRPr="00222E49">
        <w:rPr>
          <w:rFonts w:cs="Traditional Arabic" w:hint="cs"/>
          <w:spacing w:val="-2"/>
          <w:sz w:val="18"/>
          <w:szCs w:val="26"/>
          <w:rtl/>
        </w:rPr>
        <w:t>تشير الدولة الطرف إلى تعليق اللجنة العام رقم 1(1997) بشأن تنفيذ المادة</w:t>
      </w:r>
      <w:r w:rsidRPr="00222E49">
        <w:rPr>
          <w:rFonts w:cs="Traditional Arabic"/>
          <w:spacing w:val="-2"/>
          <w:sz w:val="18"/>
          <w:szCs w:val="26"/>
          <w:rtl/>
        </w:rPr>
        <w:t> </w:t>
      </w:r>
      <w:r w:rsidRPr="00222E49">
        <w:rPr>
          <w:rFonts w:cs="Traditional Arabic" w:hint="cs"/>
          <w:spacing w:val="-2"/>
          <w:sz w:val="18"/>
          <w:szCs w:val="26"/>
          <w:rtl/>
        </w:rPr>
        <w:t>3 من الاتفاقية في سياق المادة</w:t>
      </w:r>
      <w:r w:rsidRPr="00222E49">
        <w:rPr>
          <w:rFonts w:cs="Traditional Arabic"/>
          <w:spacing w:val="-2"/>
          <w:sz w:val="18"/>
          <w:szCs w:val="26"/>
          <w:rtl/>
        </w:rPr>
        <w:t> </w:t>
      </w:r>
      <w:r w:rsidRPr="00222E49">
        <w:rPr>
          <w:rFonts w:cs="Traditional Arabic" w:hint="cs"/>
          <w:spacing w:val="-2"/>
          <w:sz w:val="18"/>
          <w:szCs w:val="26"/>
          <w:rtl/>
        </w:rPr>
        <w:t>22 (</w:t>
      </w:r>
      <w:r w:rsidRPr="00222E49">
        <w:rPr>
          <w:rFonts w:cs="Traditional Arabic" w:hint="cs"/>
          <w:i/>
          <w:iCs/>
          <w:spacing w:val="-2"/>
          <w:sz w:val="18"/>
          <w:szCs w:val="26"/>
          <w:rtl/>
          <w:lang w:val="fr-CH"/>
        </w:rPr>
        <w:t>الوثائق الرسمية للجمعية العامة، الدورة الثالثة والخمسون، الملحق رقم 44</w:t>
      </w:r>
      <w:r w:rsidRPr="00222E49">
        <w:rPr>
          <w:rFonts w:cs="Traditional Arabic" w:hint="cs"/>
          <w:spacing w:val="-2"/>
          <w:sz w:val="18"/>
          <w:szCs w:val="26"/>
          <w:rtl/>
          <w:lang w:val="fr-CH"/>
        </w:rPr>
        <w:t xml:space="preserve"> (الوثيقتان </w:t>
      </w:r>
      <w:r w:rsidRPr="00222E49">
        <w:rPr>
          <w:rFonts w:cs="Traditional Arabic"/>
          <w:spacing w:val="-2"/>
          <w:sz w:val="18"/>
          <w:szCs w:val="26"/>
        </w:rPr>
        <w:t>A/53/44</w:t>
      </w:r>
      <w:r w:rsidRPr="00222E49">
        <w:rPr>
          <w:rFonts w:cs="Traditional Arabic" w:hint="cs"/>
          <w:spacing w:val="-2"/>
          <w:sz w:val="18"/>
          <w:szCs w:val="26"/>
          <w:rtl/>
          <w:lang w:val="fr-CH"/>
        </w:rPr>
        <w:t xml:space="preserve"> و</w:t>
      </w:r>
      <w:r w:rsidRPr="00222E49">
        <w:rPr>
          <w:rFonts w:cs="Traditional Arabic"/>
          <w:spacing w:val="-2"/>
          <w:sz w:val="18"/>
          <w:szCs w:val="26"/>
          <w:lang w:val="fr-CH"/>
        </w:rPr>
        <w:t>A/53/44/Corr.1</w:t>
      </w:r>
      <w:r w:rsidRPr="00222E49">
        <w:rPr>
          <w:rFonts w:cs="Traditional Arabic" w:hint="cs"/>
          <w:spacing w:val="-2"/>
          <w:sz w:val="18"/>
          <w:szCs w:val="26"/>
          <w:rtl/>
          <w:lang w:val="fr-CH"/>
        </w:rPr>
        <w:t>)</w:t>
      </w:r>
      <w:r w:rsidRPr="00222E49">
        <w:rPr>
          <w:rFonts w:cs="Traditional Arabic" w:hint="cs"/>
          <w:spacing w:val="-2"/>
          <w:sz w:val="18"/>
          <w:szCs w:val="26"/>
          <w:rtl/>
        </w:rPr>
        <w:t xml:space="preserve">، المرفق التاسع، الفقرتان 6 و8)، </w:t>
      </w:r>
      <w:r w:rsidRPr="00222E49">
        <w:rPr>
          <w:rFonts w:cs="Traditional Arabic" w:hint="cs"/>
          <w:spacing w:val="-2"/>
          <w:sz w:val="18"/>
          <w:szCs w:val="26"/>
          <w:rtl/>
          <w:lang/>
        </w:rPr>
        <w:t>و</w:t>
      </w:r>
      <w:r w:rsidRPr="00222E49">
        <w:rPr>
          <w:rFonts w:cs="Traditional Arabic" w:hint="cs"/>
          <w:spacing w:val="-2"/>
          <w:sz w:val="18"/>
          <w:szCs w:val="26"/>
          <w:rtl/>
        </w:rPr>
        <w:t>إلى اجتهادات اللجنة السابقة الواردة في البلاغ رقم</w:t>
      </w:r>
      <w:r w:rsidRPr="00222E49">
        <w:rPr>
          <w:rFonts w:cs="Traditional Arabic" w:hint="eastAsia"/>
          <w:spacing w:val="-2"/>
          <w:sz w:val="18"/>
          <w:szCs w:val="26"/>
          <w:rtl/>
        </w:rPr>
        <w:t> </w:t>
      </w:r>
      <w:r w:rsidRPr="00222E49">
        <w:rPr>
          <w:rFonts w:cs="Traditional Arabic" w:hint="cs"/>
          <w:spacing w:val="-2"/>
          <w:sz w:val="18"/>
          <w:szCs w:val="26"/>
          <w:rtl/>
        </w:rPr>
        <w:t>94/1997</w:t>
      </w:r>
      <w:r w:rsidRPr="00222E49">
        <w:rPr>
          <w:rFonts w:cs="Traditional Arabic" w:hint="cs"/>
          <w:i/>
          <w:iCs/>
          <w:spacing w:val="-2"/>
          <w:sz w:val="18"/>
          <w:szCs w:val="26"/>
          <w:rtl/>
        </w:rPr>
        <w:t>، ك. ن. ضد سويسرا</w:t>
      </w:r>
      <w:r w:rsidRPr="00222E49">
        <w:rPr>
          <w:rFonts w:cs="Traditional Arabic" w:hint="cs"/>
          <w:spacing w:val="-2"/>
          <w:sz w:val="18"/>
          <w:szCs w:val="26"/>
          <w:rtl/>
        </w:rPr>
        <w:t>، الآراء المعتمدة في 19 أيار/مايو</w:t>
      </w:r>
      <w:r w:rsidRPr="00222E49">
        <w:rPr>
          <w:rFonts w:cs="Traditional Arabic" w:hint="eastAsia"/>
          <w:spacing w:val="-2"/>
          <w:sz w:val="18"/>
          <w:szCs w:val="26"/>
          <w:rtl/>
        </w:rPr>
        <w:t> </w:t>
      </w:r>
      <w:r w:rsidRPr="00222E49">
        <w:rPr>
          <w:rFonts w:cs="Traditional Arabic" w:hint="cs"/>
          <w:spacing w:val="-2"/>
          <w:sz w:val="18"/>
          <w:szCs w:val="26"/>
          <w:rtl/>
        </w:rPr>
        <w:t>1998، الفقرة 10-2، وفي</w:t>
      </w:r>
      <w:r w:rsidRPr="00222E49">
        <w:rPr>
          <w:rFonts w:cs="Traditional Arabic"/>
          <w:spacing w:val="-2"/>
          <w:sz w:val="18"/>
          <w:szCs w:val="26"/>
          <w:rtl/>
        </w:rPr>
        <w:t> </w:t>
      </w:r>
      <w:r w:rsidRPr="00222E49">
        <w:rPr>
          <w:rFonts w:cs="Traditional Arabic" w:hint="cs"/>
          <w:spacing w:val="-2"/>
          <w:sz w:val="18"/>
          <w:szCs w:val="26"/>
          <w:rtl/>
        </w:rPr>
        <w:t>البلاغ رقم</w:t>
      </w:r>
      <w:r w:rsidRPr="00222E49">
        <w:rPr>
          <w:rFonts w:cs="Traditional Arabic" w:hint="eastAsia"/>
          <w:spacing w:val="-2"/>
          <w:sz w:val="18"/>
          <w:szCs w:val="26"/>
          <w:rtl/>
        </w:rPr>
        <w:t> </w:t>
      </w:r>
      <w:r w:rsidRPr="00222E49">
        <w:rPr>
          <w:rFonts w:cs="Traditional Arabic" w:hint="cs"/>
          <w:spacing w:val="-2"/>
          <w:sz w:val="18"/>
          <w:szCs w:val="26"/>
          <w:rtl/>
        </w:rPr>
        <w:t xml:space="preserve">100/1997، </w:t>
      </w:r>
      <w:r w:rsidRPr="00222E49">
        <w:rPr>
          <w:rFonts w:cs="Traditional Arabic" w:hint="cs"/>
          <w:i/>
          <w:iCs/>
          <w:spacing w:val="-2"/>
          <w:sz w:val="18"/>
          <w:szCs w:val="26"/>
          <w:rtl/>
        </w:rPr>
        <w:t>ج. ي. أ. ضد سويسرا</w:t>
      </w:r>
      <w:r w:rsidRPr="00222E49">
        <w:rPr>
          <w:rFonts w:cs="Traditional Arabic" w:hint="cs"/>
          <w:spacing w:val="-2"/>
          <w:sz w:val="18"/>
          <w:szCs w:val="26"/>
          <w:rtl/>
        </w:rPr>
        <w:t>، الآراء المعتمدة في 10 تشرين الثاني/نوفمبر</w:t>
      </w:r>
      <w:r w:rsidRPr="00222E49">
        <w:rPr>
          <w:rFonts w:cs="Traditional Arabic" w:hint="eastAsia"/>
          <w:spacing w:val="-2"/>
          <w:sz w:val="18"/>
          <w:szCs w:val="26"/>
          <w:rtl/>
        </w:rPr>
        <w:t> </w:t>
      </w:r>
      <w:r w:rsidRPr="00222E49">
        <w:rPr>
          <w:rFonts w:cs="Traditional Arabic" w:hint="cs"/>
          <w:spacing w:val="-2"/>
          <w:sz w:val="18"/>
          <w:szCs w:val="26"/>
          <w:rtl/>
        </w:rPr>
        <w:t>1998، الفقرتان</w:t>
      </w:r>
      <w:r w:rsidRPr="00222E49">
        <w:rPr>
          <w:rFonts w:cs="Traditional Arabic" w:hint="eastAsia"/>
          <w:spacing w:val="-2"/>
          <w:sz w:val="18"/>
          <w:szCs w:val="26"/>
          <w:rtl/>
        </w:rPr>
        <w:t> </w:t>
      </w:r>
      <w:r w:rsidRPr="00222E49">
        <w:rPr>
          <w:rFonts w:cs="Traditional Arabic" w:hint="cs"/>
          <w:spacing w:val="-2"/>
          <w:sz w:val="18"/>
          <w:szCs w:val="26"/>
          <w:rtl/>
        </w:rPr>
        <w:t>6-3 و6-5</w:t>
      </w:r>
      <w:r w:rsidRPr="00222E49">
        <w:rPr>
          <w:rFonts w:cs="Traditional Arabic" w:hint="cs"/>
          <w:sz w:val="18"/>
          <w:szCs w:val="26"/>
          <w:rtl/>
        </w:rPr>
        <w:t>.</w:t>
      </w:r>
    </w:p>
  </w:footnote>
  <w:footnote w:id="262">
    <w:p w:rsidR="00F815BA" w:rsidRPr="00222E49" w:rsidRDefault="00F815BA" w:rsidP="00501408">
      <w:pPr>
        <w:pStyle w:val="FootnoteText"/>
        <w:numPr>
          <w:ilvl w:val="0"/>
          <w:numId w:val="54"/>
        </w:numPr>
        <w:tabs>
          <w:tab w:val="clear" w:pos="1297"/>
          <w:tab w:val="left" w:pos="1239"/>
        </w:tabs>
        <w:bidi/>
        <w:spacing w:after="60" w:line="300" w:lineRule="exact"/>
        <w:ind w:left="1247" w:right="1247" w:hanging="272"/>
        <w:jc w:val="lowKashida"/>
        <w:rPr>
          <w:rFonts w:cs="Traditional Arabic"/>
          <w:spacing w:val="-4"/>
          <w:sz w:val="18"/>
          <w:szCs w:val="26"/>
        </w:rPr>
      </w:pPr>
      <w:r w:rsidRPr="00222E49">
        <w:rPr>
          <w:rStyle w:val="hps"/>
          <w:rFonts w:cs="Traditional Arabic" w:hint="cs"/>
          <w:sz w:val="18"/>
          <w:szCs w:val="26"/>
          <w:rtl/>
          <w:lang/>
        </w:rPr>
        <w:t xml:space="preserve">انظر: </w:t>
      </w:r>
      <w:r w:rsidRPr="00222E49">
        <w:rPr>
          <w:rFonts w:cs="Traditional Arabic"/>
          <w:sz w:val="18"/>
          <w:szCs w:val="26"/>
        </w:rPr>
        <w:t>Amnesty International, “Yemen – Amnesty International Report 2008”</w:t>
      </w:r>
      <w:r w:rsidRPr="00222E49">
        <w:rPr>
          <w:rStyle w:val="hps"/>
          <w:rFonts w:cs="Traditional Arabic" w:hint="cs"/>
          <w:sz w:val="18"/>
          <w:szCs w:val="26"/>
          <w:rtl/>
        </w:rPr>
        <w:t xml:space="preserve">، </w:t>
      </w:r>
      <w:r w:rsidRPr="00222E49">
        <w:rPr>
          <w:rStyle w:val="hps"/>
          <w:rFonts w:cs="Traditional Arabic" w:hint="cs"/>
          <w:sz w:val="18"/>
          <w:szCs w:val="26"/>
          <w:rtl/>
          <w:lang/>
        </w:rPr>
        <w:t xml:space="preserve">متاح على الموقع التالي </w:t>
      </w:r>
      <w:r w:rsidRPr="00222E49">
        <w:rPr>
          <w:rFonts w:cs="Traditional Arabic"/>
          <w:sz w:val="18"/>
          <w:szCs w:val="26"/>
        </w:rPr>
        <w:t>http://www.amnesty.org/en/region/yemen/report-2008</w:t>
      </w:r>
      <w:r w:rsidRPr="00222E49">
        <w:rPr>
          <w:rFonts w:cs="Traditional Arabic" w:hint="cs"/>
          <w:sz w:val="18"/>
          <w:szCs w:val="26"/>
          <w:rtl/>
        </w:rPr>
        <w:t>، و</w:t>
      </w:r>
      <w:r w:rsidRPr="00222E49">
        <w:rPr>
          <w:rFonts w:cs="Traditional Arabic"/>
          <w:sz w:val="18"/>
          <w:szCs w:val="26"/>
        </w:rPr>
        <w:t>United States Department of State, “2007 Country Reports on Human Rights Practices – Yemen”</w:t>
      </w:r>
      <w:r w:rsidRPr="00222E49">
        <w:rPr>
          <w:rFonts w:cs="Traditional Arabic" w:hint="cs"/>
          <w:sz w:val="18"/>
          <w:szCs w:val="26"/>
          <w:rtl/>
        </w:rPr>
        <w:t xml:space="preserve">، 11 آذار/مارس 2008، متاح على الموقع التالي: </w:t>
      </w:r>
      <w:r w:rsidRPr="00222E49">
        <w:rPr>
          <w:rFonts w:cs="Traditional Arabic"/>
          <w:sz w:val="18"/>
          <w:szCs w:val="26"/>
        </w:rPr>
        <w:t>http://www.state.gov/j/drl/rls/hrrpt/2007/100610.htm</w:t>
      </w:r>
      <w:r w:rsidRPr="00222E49">
        <w:rPr>
          <w:rFonts w:cs="Traditional Arabic" w:hint="cs"/>
          <w:sz w:val="18"/>
          <w:szCs w:val="26"/>
          <w:rtl/>
        </w:rPr>
        <w:t>.</w:t>
      </w:r>
    </w:p>
  </w:footnote>
  <w:footnote w:id="263">
    <w:p w:rsidR="00F815BA" w:rsidRPr="00222E49" w:rsidRDefault="00F815BA" w:rsidP="00501408">
      <w:pPr>
        <w:pStyle w:val="FootnoteText"/>
        <w:numPr>
          <w:ilvl w:val="0"/>
          <w:numId w:val="54"/>
        </w:numPr>
        <w:tabs>
          <w:tab w:val="clear" w:pos="1297"/>
          <w:tab w:val="left" w:pos="1239"/>
        </w:tabs>
        <w:bidi/>
        <w:spacing w:after="60" w:line="300" w:lineRule="exact"/>
        <w:ind w:left="1247" w:right="1247" w:hanging="272"/>
        <w:jc w:val="lowKashida"/>
        <w:rPr>
          <w:rFonts w:cs="Traditional Arabic"/>
          <w:spacing w:val="-4"/>
          <w:sz w:val="18"/>
          <w:szCs w:val="26"/>
        </w:rPr>
      </w:pPr>
      <w:r w:rsidRPr="00222E49">
        <w:rPr>
          <w:rStyle w:val="hps"/>
          <w:rFonts w:cs="Traditional Arabic" w:hint="cs"/>
          <w:sz w:val="18"/>
          <w:szCs w:val="26"/>
          <w:rtl/>
          <w:lang/>
        </w:rPr>
        <w:t xml:space="preserve">انظر: مركز أنباء الأمم المتحدة، </w:t>
      </w:r>
      <w:r w:rsidRPr="00222E49">
        <w:rPr>
          <w:rFonts w:cs="Traditional Arabic"/>
          <w:sz w:val="18"/>
          <w:szCs w:val="26"/>
        </w:rPr>
        <w:t>“New outbreak of violence displaces thousands more in Yemen – UN refugee agency”</w:t>
      </w:r>
      <w:r w:rsidRPr="00222E49">
        <w:rPr>
          <w:rFonts w:cs="Traditional Arabic" w:hint="cs"/>
          <w:sz w:val="18"/>
          <w:szCs w:val="26"/>
          <w:rtl/>
        </w:rPr>
        <w:t xml:space="preserve">، 9 آذار/مارس 2012، متاح على الموقع التالي: </w:t>
      </w:r>
      <w:r w:rsidRPr="00222E49">
        <w:rPr>
          <w:rFonts w:cs="Traditional Arabic"/>
          <w:sz w:val="18"/>
          <w:szCs w:val="26"/>
        </w:rPr>
        <w:t>http://www.un.org/apps/news/</w:t>
      </w:r>
      <w:r w:rsidRPr="00222E49">
        <w:rPr>
          <w:rFonts w:cs="Traditional Arabic"/>
          <w:sz w:val="18"/>
          <w:szCs w:val="26"/>
        </w:rPr>
        <w:br/>
        <w:t>story.asp?NewsID=41500</w:t>
      </w:r>
      <w:r w:rsidRPr="00222E49">
        <w:rPr>
          <w:rFonts w:cs="Traditional Arabic" w:hint="cs"/>
          <w:sz w:val="18"/>
          <w:szCs w:val="26"/>
          <w:rtl/>
        </w:rPr>
        <w:t>؛ و</w:t>
      </w:r>
      <w:r w:rsidRPr="00222E49">
        <w:rPr>
          <w:rFonts w:cs="Traditional Arabic"/>
          <w:sz w:val="18"/>
          <w:szCs w:val="26"/>
        </w:rPr>
        <w:t>Amnesty International, Y</w:t>
      </w:r>
      <w:r w:rsidRPr="00222E49">
        <w:rPr>
          <w:rFonts w:cs="Traditional Arabic"/>
          <w:i/>
          <w:sz w:val="18"/>
          <w:szCs w:val="26"/>
        </w:rPr>
        <w:t>emen: Submission to the UN Human Rights Committee, 104th session of the Human Rights Committee, 12–30 March 2012</w:t>
      </w:r>
      <w:r w:rsidRPr="00222E49">
        <w:rPr>
          <w:rFonts w:cs="Traditional Arabic"/>
          <w:sz w:val="18"/>
          <w:szCs w:val="26"/>
        </w:rPr>
        <w:t>, London, 2012</w:t>
      </w:r>
      <w:r w:rsidRPr="00222E49">
        <w:rPr>
          <w:rFonts w:cs="Traditional Arabic" w:hint="cs"/>
          <w:sz w:val="18"/>
          <w:szCs w:val="26"/>
          <w:rtl/>
        </w:rPr>
        <w:t>.</w:t>
      </w:r>
    </w:p>
  </w:footnote>
  <w:footnote w:id="264">
    <w:p w:rsidR="00F815BA" w:rsidRPr="00222E49" w:rsidRDefault="00F815BA" w:rsidP="00501408">
      <w:pPr>
        <w:pStyle w:val="FootnoteText"/>
        <w:numPr>
          <w:ilvl w:val="0"/>
          <w:numId w:val="54"/>
        </w:numPr>
        <w:tabs>
          <w:tab w:val="clear" w:pos="1297"/>
          <w:tab w:val="left" w:pos="1239"/>
        </w:tabs>
        <w:bidi/>
        <w:spacing w:after="60" w:line="300" w:lineRule="exact"/>
        <w:ind w:left="1247" w:right="1247" w:hanging="272"/>
        <w:jc w:val="lowKashida"/>
        <w:rPr>
          <w:rFonts w:cs="Traditional Arabic"/>
          <w:spacing w:val="-4"/>
          <w:sz w:val="18"/>
          <w:szCs w:val="26"/>
        </w:rPr>
      </w:pPr>
      <w:r w:rsidRPr="00222E49">
        <w:rPr>
          <w:rFonts w:cs="Traditional Arabic" w:hint="cs"/>
          <w:sz w:val="18"/>
          <w:szCs w:val="26"/>
          <w:rtl/>
        </w:rPr>
        <w:t xml:space="preserve">انظر، في جملة أمور، البلاغ رقم 203/2002، </w:t>
      </w:r>
      <w:r w:rsidRPr="00222E49">
        <w:rPr>
          <w:rFonts w:cs="Traditional Arabic" w:hint="cs"/>
          <w:i/>
          <w:iCs/>
          <w:sz w:val="18"/>
          <w:szCs w:val="26"/>
          <w:rtl/>
        </w:rPr>
        <w:t>أ. ر. ضد هولندا</w:t>
      </w:r>
      <w:r w:rsidRPr="00222E49">
        <w:rPr>
          <w:rFonts w:cs="Traditional Arabic" w:hint="cs"/>
          <w:sz w:val="18"/>
          <w:szCs w:val="26"/>
          <w:rtl/>
        </w:rPr>
        <w:t xml:space="preserve">، القرار المعتمد في 14 تشرين الثاني/نوفمبر 2003؛ والبلاغ رقم 258/2004، </w:t>
      </w:r>
      <w:r w:rsidRPr="00222E49">
        <w:rPr>
          <w:rFonts w:cs="Traditional Arabic" w:hint="cs"/>
          <w:i/>
          <w:iCs/>
          <w:sz w:val="18"/>
          <w:szCs w:val="26"/>
          <w:rtl/>
        </w:rPr>
        <w:t>مصطفى</w:t>
      </w:r>
      <w:r w:rsidRPr="00222E49">
        <w:rPr>
          <w:rFonts w:cs="Traditional Arabic" w:hint="cs"/>
          <w:sz w:val="18"/>
          <w:szCs w:val="26"/>
          <w:rtl/>
        </w:rPr>
        <w:t xml:space="preserve"> </w:t>
      </w:r>
      <w:r w:rsidRPr="00222E49">
        <w:rPr>
          <w:rFonts w:cs="Traditional Arabic" w:hint="cs"/>
          <w:i/>
          <w:iCs/>
          <w:sz w:val="18"/>
          <w:szCs w:val="26"/>
          <w:rtl/>
        </w:rPr>
        <w:t>دادار ضد كندا</w:t>
      </w:r>
      <w:r w:rsidRPr="00222E49">
        <w:rPr>
          <w:rFonts w:cs="Traditional Arabic" w:hint="cs"/>
          <w:sz w:val="18"/>
          <w:szCs w:val="26"/>
          <w:rtl/>
        </w:rPr>
        <w:t>، القرار المعتمد في 23 تشرين الثاني/نوفمبر 2005.</w:t>
      </w:r>
    </w:p>
  </w:footnote>
  <w:footnote w:id="265">
    <w:p w:rsidR="00F815BA" w:rsidRPr="00222E49" w:rsidRDefault="00F815BA" w:rsidP="00501408">
      <w:pPr>
        <w:pStyle w:val="FootnoteText"/>
        <w:numPr>
          <w:ilvl w:val="0"/>
          <w:numId w:val="54"/>
        </w:numPr>
        <w:tabs>
          <w:tab w:val="clear" w:pos="1297"/>
          <w:tab w:val="left" w:pos="1239"/>
        </w:tabs>
        <w:bidi/>
        <w:spacing w:after="60" w:line="300" w:lineRule="exact"/>
        <w:ind w:left="1247" w:right="1247" w:hanging="272"/>
        <w:jc w:val="lowKashida"/>
        <w:rPr>
          <w:rFonts w:cs="Traditional Arabic"/>
          <w:spacing w:val="-4"/>
          <w:sz w:val="18"/>
          <w:szCs w:val="26"/>
        </w:rPr>
      </w:pPr>
      <w:r w:rsidRPr="00222E49">
        <w:rPr>
          <w:rFonts w:cs="Traditional Arabic" w:hint="cs"/>
          <w:sz w:val="18"/>
          <w:szCs w:val="26"/>
          <w:rtl/>
        </w:rPr>
        <w:t xml:space="preserve">انظر، في جملة أمور، البلاغ رقم 356/2008، </w:t>
      </w:r>
      <w:r w:rsidRPr="00222E49">
        <w:rPr>
          <w:rFonts w:cs="Traditional Arabic" w:hint="cs"/>
          <w:i/>
          <w:iCs/>
          <w:sz w:val="18"/>
          <w:szCs w:val="26"/>
          <w:rtl/>
        </w:rPr>
        <w:t>ن. س. ضد سويسرا</w:t>
      </w:r>
      <w:r w:rsidRPr="00222E49">
        <w:rPr>
          <w:rFonts w:cs="Traditional Arabic" w:hint="cs"/>
          <w:sz w:val="18"/>
          <w:szCs w:val="26"/>
          <w:rtl/>
        </w:rPr>
        <w:t>، القرار المعتمد في 6 أيار/ مايو</w:t>
      </w:r>
      <w:r w:rsidRPr="00222E49">
        <w:rPr>
          <w:rFonts w:cs="Traditional Arabic" w:hint="eastAsia"/>
          <w:sz w:val="18"/>
          <w:szCs w:val="26"/>
          <w:rtl/>
        </w:rPr>
        <w:t> </w:t>
      </w:r>
      <w:r w:rsidRPr="00222E49">
        <w:rPr>
          <w:rFonts w:cs="Traditional Arabic" w:hint="cs"/>
          <w:sz w:val="18"/>
          <w:szCs w:val="26"/>
          <w:rtl/>
        </w:rPr>
        <w:t>2010، الفقرة 7-3.</w:t>
      </w:r>
    </w:p>
  </w:footnote>
  <w:footnote w:id="266">
    <w:p w:rsidR="00F815BA" w:rsidRPr="000A5876" w:rsidRDefault="00F815BA" w:rsidP="00501408">
      <w:pPr>
        <w:pStyle w:val="FootnoteText"/>
        <w:numPr>
          <w:ilvl w:val="0"/>
          <w:numId w:val="54"/>
        </w:numPr>
        <w:tabs>
          <w:tab w:val="clear" w:pos="1297"/>
          <w:tab w:val="left" w:pos="1239"/>
        </w:tabs>
        <w:bidi/>
        <w:spacing w:after="60" w:line="300" w:lineRule="exact"/>
        <w:ind w:left="1247" w:right="1247" w:hanging="272"/>
        <w:jc w:val="lowKashida"/>
        <w:rPr>
          <w:rFonts w:cs="Traditional Arabic"/>
          <w:sz w:val="18"/>
          <w:szCs w:val="26"/>
        </w:rPr>
      </w:pPr>
      <w:r w:rsidRPr="000A5876">
        <w:rPr>
          <w:rFonts w:cs="Traditional Arabic" w:hint="cs"/>
          <w:sz w:val="18"/>
          <w:szCs w:val="26"/>
          <w:rtl/>
        </w:rPr>
        <w:t>تحيط اللجنة علماً بأن اليمن هو أيضاً دولة طرف في اتفاقية مناهضة التعذيب وغيره من ضروب المعاملة أو</w:t>
      </w:r>
      <w:r>
        <w:rPr>
          <w:rFonts w:cs="Traditional Arabic" w:hint="eastAsia"/>
          <w:sz w:val="18"/>
          <w:szCs w:val="26"/>
          <w:rtl/>
        </w:rPr>
        <w:t> </w:t>
      </w:r>
      <w:r w:rsidRPr="000A5876">
        <w:rPr>
          <w:rFonts w:cs="Traditional Arabic" w:hint="cs"/>
          <w:sz w:val="18"/>
          <w:szCs w:val="26"/>
          <w:rtl/>
        </w:rPr>
        <w:t>العقوبة القاسية أو اللاإنسانية أو المهينة وتذكر بملاحظاتها الختامية لعام</w:t>
      </w:r>
      <w:r w:rsidRPr="000A5876">
        <w:rPr>
          <w:rFonts w:cs="Traditional Arabic"/>
          <w:sz w:val="18"/>
          <w:szCs w:val="26"/>
          <w:rtl/>
        </w:rPr>
        <w:t> </w:t>
      </w:r>
      <w:r w:rsidRPr="000A5876">
        <w:rPr>
          <w:rFonts w:cs="Traditional Arabic" w:hint="cs"/>
          <w:sz w:val="18"/>
          <w:szCs w:val="26"/>
          <w:rtl/>
        </w:rPr>
        <w:t xml:space="preserve">2010 </w:t>
      </w:r>
      <w:r w:rsidRPr="000A5876">
        <w:rPr>
          <w:rFonts w:cs="Traditional Arabic"/>
          <w:sz w:val="18"/>
          <w:szCs w:val="26"/>
        </w:rPr>
        <w:t>(CAT/C/YEM/CO/2/Rev.1)</w:t>
      </w:r>
      <w:r w:rsidRPr="000A5876">
        <w:rPr>
          <w:rFonts w:cs="Traditional Arabic" w:hint="cs"/>
          <w:sz w:val="18"/>
          <w:szCs w:val="26"/>
          <w:rtl/>
        </w:rPr>
        <w:t>، الفقرات 8 و12 و13.</w:t>
      </w:r>
    </w:p>
  </w:footnote>
  <w:footnote w:id="267">
    <w:p w:rsidR="00F815BA" w:rsidRPr="00222E49" w:rsidRDefault="00F815BA" w:rsidP="00501408">
      <w:pPr>
        <w:pStyle w:val="FootnoteText"/>
        <w:numPr>
          <w:ilvl w:val="0"/>
          <w:numId w:val="55"/>
        </w:numPr>
        <w:tabs>
          <w:tab w:val="clear" w:pos="1297"/>
          <w:tab w:val="right" w:pos="1253"/>
        </w:tabs>
        <w:bidi/>
        <w:spacing w:after="60" w:line="300" w:lineRule="exact"/>
        <w:ind w:left="1247" w:right="1247" w:hanging="272"/>
        <w:jc w:val="lowKashida"/>
        <w:rPr>
          <w:rFonts w:cs="Traditional Arabic" w:hint="cs"/>
          <w:spacing w:val="-4"/>
          <w:sz w:val="18"/>
          <w:szCs w:val="26"/>
        </w:rPr>
      </w:pPr>
      <w:r w:rsidRPr="00222E49">
        <w:rPr>
          <w:rFonts w:cs="Traditional Arabic" w:hint="cs"/>
          <w:spacing w:val="-4"/>
          <w:sz w:val="18"/>
          <w:szCs w:val="26"/>
          <w:rtl/>
        </w:rPr>
        <w:t>قامت الدولة الطرف بالإعلان المنصوص عليه في المادة</w:t>
      </w:r>
      <w:r w:rsidRPr="00222E49">
        <w:rPr>
          <w:rFonts w:cs="Traditional Arabic"/>
          <w:spacing w:val="-4"/>
          <w:sz w:val="18"/>
          <w:szCs w:val="26"/>
          <w:rtl/>
        </w:rPr>
        <w:t> </w:t>
      </w:r>
      <w:r w:rsidRPr="00222E49">
        <w:rPr>
          <w:rFonts w:cs="Traditional Arabic" w:hint="cs"/>
          <w:spacing w:val="-4"/>
          <w:sz w:val="18"/>
          <w:szCs w:val="26"/>
          <w:rtl/>
        </w:rPr>
        <w:t>22 من الاتفاقية بتاريخ 6 كانون الأول/ديسمبر 1991.</w:t>
      </w:r>
    </w:p>
  </w:footnote>
  <w:footnote w:id="268">
    <w:p w:rsidR="00F815BA" w:rsidRPr="00222E49" w:rsidRDefault="00F815BA" w:rsidP="00501408">
      <w:pPr>
        <w:pStyle w:val="FootnoteText"/>
        <w:numPr>
          <w:ilvl w:val="0"/>
          <w:numId w:val="55"/>
        </w:numPr>
        <w:tabs>
          <w:tab w:val="clear" w:pos="1297"/>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يشير قرار محكمة الاستئناف المؤرخ 15 نيسان/أبريل 2008 إلى أن مذكرة التوقيف الدولية سُلِّمت من قبل السلطات القضائية البرازيلية في 19 تموز/يوليه 2000، وحُدِّثت في 26 حزيران/يونيه 2006 بسبب فرار المعني إلى إيطاليا.</w:t>
      </w:r>
    </w:p>
  </w:footnote>
  <w:footnote w:id="269">
    <w:p w:rsidR="00F815BA" w:rsidRPr="00222E49" w:rsidRDefault="00F815BA" w:rsidP="00501408">
      <w:pPr>
        <w:pStyle w:val="FootnoteText"/>
        <w:numPr>
          <w:ilvl w:val="0"/>
          <w:numId w:val="55"/>
        </w:numPr>
        <w:tabs>
          <w:tab w:val="clear" w:pos="1297"/>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 xml:space="preserve">يشير صاحب الشكوى إلى المعلومات الواردة في الموقع الشبكي التالي: </w:t>
      </w:r>
      <w:hyperlink r:id="rId5" w:history="1">
        <w:r w:rsidRPr="00222E49">
          <w:rPr>
            <w:rFonts w:cs="Traditional Arabic"/>
            <w:sz w:val="18"/>
            <w:szCs w:val="26"/>
          </w:rPr>
          <w:t>www.leduecittà.it</w:t>
        </w:r>
      </w:hyperlink>
      <w:r w:rsidRPr="00222E49">
        <w:rPr>
          <w:rFonts w:cs="Traditional Arabic" w:hint="cs"/>
          <w:sz w:val="18"/>
          <w:szCs w:val="26"/>
          <w:rtl/>
        </w:rPr>
        <w:t xml:space="preserve"> (مجلة إدارة السجون في إيطاليا).</w:t>
      </w:r>
    </w:p>
  </w:footnote>
  <w:footnote w:id="270">
    <w:p w:rsidR="00F815BA" w:rsidRPr="00222E49" w:rsidRDefault="00F815BA" w:rsidP="00501408">
      <w:pPr>
        <w:pStyle w:val="FootnoteText"/>
        <w:numPr>
          <w:ilvl w:val="0"/>
          <w:numId w:val="55"/>
        </w:numPr>
        <w:tabs>
          <w:tab w:val="clear" w:pos="1297"/>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يشير صاحب الشكوى إلى وثائق عديدة صادرة عن منظمة هيومن رايتس ووتش، وعلى وجه التحديد الوثيقة "</w:t>
      </w:r>
      <w:r w:rsidRPr="00222E49">
        <w:rPr>
          <w:rFonts w:cs="Traditional Arabic"/>
          <w:sz w:val="18"/>
          <w:szCs w:val="26"/>
        </w:rPr>
        <w:t>Brazil: Investigate Killings of Brazilian Prisoners</w:t>
      </w:r>
      <w:r w:rsidRPr="00222E49">
        <w:rPr>
          <w:rFonts w:cs="Traditional Arabic" w:hint="cs"/>
          <w:sz w:val="18"/>
          <w:szCs w:val="26"/>
          <w:rtl/>
        </w:rPr>
        <w:t xml:space="preserve">"، المؤرخة 20 شباط/فبراير 2001، والتقرير المعنون </w:t>
      </w:r>
      <w:r w:rsidRPr="00222E49">
        <w:rPr>
          <w:rFonts w:cs="Traditional Arabic"/>
          <w:i/>
          <w:iCs/>
          <w:sz w:val="18"/>
          <w:szCs w:val="26"/>
        </w:rPr>
        <w:t>Behind Bars in Brazil</w:t>
      </w:r>
      <w:r w:rsidRPr="00222E49">
        <w:rPr>
          <w:rFonts w:cs="Traditional Arabic" w:hint="cs"/>
          <w:sz w:val="18"/>
          <w:szCs w:val="26"/>
          <w:rtl/>
        </w:rPr>
        <w:t>، ولا</w:t>
      </w:r>
      <w:r w:rsidRPr="00222E49">
        <w:rPr>
          <w:rFonts w:cs="Traditional Arabic"/>
          <w:sz w:val="18"/>
          <w:szCs w:val="26"/>
          <w:rtl/>
        </w:rPr>
        <w:t> </w:t>
      </w:r>
      <w:r w:rsidRPr="00222E49">
        <w:rPr>
          <w:rFonts w:cs="Traditional Arabic" w:hint="cs"/>
          <w:sz w:val="18"/>
          <w:szCs w:val="26"/>
          <w:rtl/>
        </w:rPr>
        <w:t>سيما الفصل السابع المعنون "</w:t>
      </w:r>
      <w:r w:rsidRPr="00222E49">
        <w:rPr>
          <w:rFonts w:cs="Traditional Arabic"/>
          <w:sz w:val="18"/>
          <w:szCs w:val="26"/>
        </w:rPr>
        <w:t>Prisoner-on-Prisoner Abuses</w:t>
      </w:r>
      <w:r w:rsidRPr="00222E49">
        <w:rPr>
          <w:rFonts w:cs="Traditional Arabic" w:hint="cs"/>
          <w:sz w:val="18"/>
          <w:szCs w:val="26"/>
          <w:rtl/>
        </w:rPr>
        <w:t>"، كانون الأول/ديسمبر 1998.</w:t>
      </w:r>
    </w:p>
  </w:footnote>
  <w:footnote w:id="271">
    <w:p w:rsidR="00F815BA" w:rsidRPr="00222E49" w:rsidRDefault="00F815BA" w:rsidP="00EE55B8">
      <w:pPr>
        <w:pStyle w:val="FootnoteText"/>
        <w:numPr>
          <w:ilvl w:val="0"/>
          <w:numId w:val="0"/>
        </w:numPr>
        <w:tabs>
          <w:tab w:val="left" w:pos="1225"/>
        </w:tabs>
        <w:bidi/>
        <w:spacing w:after="60" w:line="300" w:lineRule="exact"/>
        <w:ind w:left="1225" w:right="1247" w:hanging="488"/>
        <w:jc w:val="lowKashida"/>
        <w:rPr>
          <w:rFonts w:cs="Traditional Arabic" w:hint="cs"/>
          <w:sz w:val="18"/>
          <w:szCs w:val="26"/>
        </w:rPr>
      </w:pPr>
      <w:r w:rsidRPr="00222E49">
        <w:rPr>
          <w:rFonts w:cs="Traditional Arabic" w:hint="cs"/>
          <w:sz w:val="18"/>
          <w:szCs w:val="26"/>
          <w:rtl/>
        </w:rPr>
        <w:t>(ﻫ)</w:t>
      </w:r>
      <w:r w:rsidRPr="00222E49">
        <w:rPr>
          <w:rFonts w:cs="Traditional Arabic" w:hint="cs"/>
          <w:sz w:val="18"/>
          <w:szCs w:val="26"/>
          <w:rtl/>
        </w:rPr>
        <w:tab/>
        <w:t>تنص المادة</w:t>
      </w:r>
      <w:r w:rsidRPr="00222E49">
        <w:rPr>
          <w:rFonts w:cs="Traditional Arabic"/>
          <w:sz w:val="18"/>
          <w:szCs w:val="26"/>
          <w:rtl/>
        </w:rPr>
        <w:t> </w:t>
      </w:r>
      <w:r w:rsidRPr="00222E49">
        <w:rPr>
          <w:rFonts w:cs="Traditional Arabic" w:hint="cs"/>
          <w:sz w:val="18"/>
          <w:szCs w:val="26"/>
          <w:rtl/>
        </w:rPr>
        <w:t>90 من الدستور، التي تحدد اختصاص المحكمة العليا، بوجه الخصوص على أن المحكمة العليا هي صاحب القرار الأول والأخير في القضايا الإدارية، ولا</w:t>
      </w:r>
      <w:r w:rsidRPr="00222E49">
        <w:rPr>
          <w:rFonts w:cs="Traditional Arabic"/>
          <w:sz w:val="18"/>
          <w:szCs w:val="26"/>
          <w:rtl/>
        </w:rPr>
        <w:t> </w:t>
      </w:r>
      <w:r w:rsidRPr="00222E49">
        <w:rPr>
          <w:rFonts w:cs="Traditional Arabic" w:hint="cs"/>
          <w:sz w:val="18"/>
          <w:szCs w:val="26"/>
          <w:rtl/>
        </w:rPr>
        <w:t>سيما عندما يتعلق الأمر ب‍ "2- الطعون المرفوعة لنقض قرارات صادرة عن هيئة عليا للقضاء الإداري".</w:t>
      </w:r>
    </w:p>
  </w:footnote>
  <w:footnote w:id="272">
    <w:p w:rsidR="00F815BA" w:rsidRPr="00222E49" w:rsidRDefault="00F815BA" w:rsidP="00501408">
      <w:pPr>
        <w:pStyle w:val="FootnoteText"/>
        <w:numPr>
          <w:ilvl w:val="0"/>
          <w:numId w:val="56"/>
        </w:numPr>
        <w:tabs>
          <w:tab w:val="clear" w:pos="1297"/>
          <w:tab w:val="righ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انظر قرار المحكمة العليا في قضية فان تروا، المؤرخ 28 حزيران/يونيه 1986.</w:t>
      </w:r>
    </w:p>
  </w:footnote>
  <w:footnote w:id="273">
    <w:p w:rsidR="00F815BA" w:rsidRPr="00222E49" w:rsidRDefault="00F815BA" w:rsidP="00501408">
      <w:pPr>
        <w:pStyle w:val="FootnoteText"/>
        <w:numPr>
          <w:ilvl w:val="0"/>
          <w:numId w:val="56"/>
        </w:numPr>
        <w:tabs>
          <w:tab w:val="clear" w:pos="1297"/>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 xml:space="preserve">تشير الدولة الطرف إلى قرار صدر عن غرفة المشورة لدى محكمة الاستئناف بتاريخ 30 تشرين الثاني/ نوفمبر 2004 في قضية </w:t>
      </w:r>
      <w:r w:rsidRPr="00222E49">
        <w:rPr>
          <w:rFonts w:cs="Traditional Arabic" w:hint="cs"/>
          <w:i/>
          <w:iCs/>
          <w:sz w:val="18"/>
          <w:szCs w:val="26"/>
          <w:rtl/>
        </w:rPr>
        <w:t>إ. بورميغا</w:t>
      </w:r>
      <w:r w:rsidRPr="00222E49">
        <w:rPr>
          <w:rFonts w:cs="Traditional Arabic" w:hint="cs"/>
          <w:sz w:val="18"/>
          <w:szCs w:val="26"/>
          <w:rtl/>
        </w:rPr>
        <w:t xml:space="preserve"> وتزوِّد نسخة من القرار المذكور.</w:t>
      </w:r>
    </w:p>
  </w:footnote>
  <w:footnote w:id="274">
    <w:p w:rsidR="00F815BA" w:rsidRPr="00222E49" w:rsidRDefault="00F815BA" w:rsidP="00501408">
      <w:pPr>
        <w:pStyle w:val="FootnoteText"/>
        <w:numPr>
          <w:ilvl w:val="0"/>
          <w:numId w:val="56"/>
        </w:numPr>
        <w:tabs>
          <w:tab w:val="clear" w:pos="1297"/>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 xml:space="preserve">تشير الدولة الطرف بالتحديد إلى البلاغ رقم 245/2004، </w:t>
      </w:r>
      <w:r w:rsidRPr="00222E49">
        <w:rPr>
          <w:rFonts w:cs="Traditional Arabic" w:hint="cs"/>
          <w:i/>
          <w:iCs/>
          <w:sz w:val="18"/>
          <w:szCs w:val="26"/>
          <w:rtl/>
        </w:rPr>
        <w:t>س. س. س. ضد كندا</w:t>
      </w:r>
      <w:r w:rsidRPr="00222E49">
        <w:rPr>
          <w:rFonts w:cs="Traditional Arabic" w:hint="cs"/>
          <w:sz w:val="18"/>
          <w:szCs w:val="26"/>
          <w:rtl/>
        </w:rPr>
        <w:t>، قرار اعتُمِدَ في 16 تشرين الثاني/نوفمبر 2005، الفقرتان 8-3 و8-5.</w:t>
      </w:r>
    </w:p>
  </w:footnote>
  <w:footnote w:id="275">
    <w:p w:rsidR="00F815BA" w:rsidRPr="00222E49" w:rsidRDefault="00F815BA" w:rsidP="00501408">
      <w:pPr>
        <w:pStyle w:val="FootnoteText"/>
        <w:numPr>
          <w:ilvl w:val="0"/>
          <w:numId w:val="56"/>
        </w:numPr>
        <w:tabs>
          <w:tab w:val="clear" w:pos="1297"/>
          <w:tab w:val="left" w:pos="1239"/>
        </w:tabs>
        <w:bidi/>
        <w:spacing w:after="60" w:line="300" w:lineRule="exact"/>
        <w:ind w:left="1247" w:right="1247" w:hanging="272"/>
        <w:jc w:val="lowKashida"/>
        <w:rPr>
          <w:rFonts w:cs="Traditional Arabic" w:hint="cs"/>
          <w:spacing w:val="-2"/>
          <w:sz w:val="18"/>
          <w:szCs w:val="26"/>
        </w:rPr>
      </w:pPr>
      <w:r w:rsidRPr="00222E49">
        <w:rPr>
          <w:rFonts w:cs="Traditional Arabic" w:hint="cs"/>
          <w:spacing w:val="-2"/>
          <w:sz w:val="18"/>
          <w:szCs w:val="26"/>
          <w:rtl/>
        </w:rPr>
        <w:t xml:space="preserve">انظر التقرير الموحد الجامع للتقريرين الدوريين الرابع والخامس المقدَّم من موناكو إلى لجنة مناهضة التعذيب، </w:t>
      </w:r>
      <w:r w:rsidRPr="00222E49">
        <w:rPr>
          <w:rFonts w:cs="Traditional Arabic"/>
          <w:spacing w:val="-2"/>
          <w:sz w:val="18"/>
          <w:szCs w:val="26"/>
        </w:rPr>
        <w:t>CAT/C/MCO/4-5</w:t>
      </w:r>
      <w:r w:rsidRPr="00222E49">
        <w:rPr>
          <w:rFonts w:cs="Traditional Arabic" w:hint="cs"/>
          <w:spacing w:val="-2"/>
          <w:sz w:val="18"/>
          <w:szCs w:val="26"/>
          <w:rtl/>
        </w:rPr>
        <w:t>، الفقرة 13 وبعدها.</w:t>
      </w:r>
    </w:p>
  </w:footnote>
  <w:footnote w:id="276">
    <w:p w:rsidR="00F815BA" w:rsidRPr="00222E49" w:rsidRDefault="00F815BA" w:rsidP="00501408">
      <w:pPr>
        <w:pStyle w:val="FootnoteText"/>
        <w:numPr>
          <w:ilvl w:val="0"/>
          <w:numId w:val="47"/>
        </w:numPr>
        <w:tabs>
          <w:tab w:val="clear" w:pos="1297"/>
          <w:tab w:val="left" w:pos="1239"/>
        </w:tabs>
        <w:bidi/>
        <w:spacing w:after="60" w:line="300" w:lineRule="exact"/>
        <w:ind w:left="1247" w:right="1247" w:hanging="272"/>
        <w:jc w:val="lowKashida"/>
        <w:rPr>
          <w:rFonts w:cs="Traditional Arabic" w:hint="cs"/>
          <w:spacing w:val="-2"/>
          <w:sz w:val="18"/>
          <w:szCs w:val="26"/>
        </w:rPr>
      </w:pPr>
      <w:r w:rsidRPr="00222E49">
        <w:rPr>
          <w:rFonts w:cs="Traditional Arabic" w:hint="cs"/>
          <w:spacing w:val="-2"/>
          <w:sz w:val="18"/>
          <w:szCs w:val="26"/>
          <w:rtl/>
        </w:rPr>
        <w:t xml:space="preserve">انظر البلاغ رقم 216/2002، </w:t>
      </w:r>
      <w:r w:rsidRPr="00222E49">
        <w:rPr>
          <w:rFonts w:cs="Traditional Arabic" w:hint="cs"/>
          <w:i/>
          <w:iCs/>
          <w:spacing w:val="-2"/>
          <w:sz w:val="18"/>
          <w:szCs w:val="26"/>
          <w:rtl/>
        </w:rPr>
        <w:t xml:space="preserve">ح. إ. أ. </w:t>
      </w:r>
      <w:r w:rsidRPr="00222E49">
        <w:rPr>
          <w:rFonts w:cs="Traditional Arabic" w:hint="cs"/>
          <w:spacing w:val="-2"/>
          <w:sz w:val="18"/>
          <w:szCs w:val="26"/>
          <w:rtl/>
        </w:rPr>
        <w:t>ضد</w:t>
      </w:r>
      <w:r w:rsidRPr="00222E49">
        <w:rPr>
          <w:rFonts w:cs="Traditional Arabic" w:hint="cs"/>
          <w:i/>
          <w:iCs/>
          <w:spacing w:val="-2"/>
          <w:sz w:val="18"/>
          <w:szCs w:val="26"/>
          <w:rtl/>
        </w:rPr>
        <w:t xml:space="preserve"> السويد</w:t>
      </w:r>
      <w:r w:rsidRPr="00222E49">
        <w:rPr>
          <w:rFonts w:cs="Traditional Arabic" w:hint="cs"/>
          <w:spacing w:val="-2"/>
          <w:sz w:val="18"/>
          <w:szCs w:val="26"/>
          <w:rtl/>
        </w:rPr>
        <w:t xml:space="preserve">، القرار المعتمد في 2 أيار/مايو 2003، الفقرة 6-2. </w:t>
      </w:r>
    </w:p>
  </w:footnote>
  <w:footnote w:id="277">
    <w:p w:rsidR="00F815BA" w:rsidRPr="00222E49" w:rsidRDefault="00F815BA" w:rsidP="00501408">
      <w:pPr>
        <w:pStyle w:val="FootnoteText"/>
        <w:numPr>
          <w:ilvl w:val="0"/>
          <w:numId w:val="47"/>
        </w:numPr>
        <w:tabs>
          <w:tab w:val="clear" w:pos="1297"/>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انظر على سبيل المثال التقرير السنوي لمنظمة العفو الدولية لعام</w:t>
      </w:r>
      <w:r w:rsidRPr="00222E49">
        <w:rPr>
          <w:rFonts w:cs="Traditional Arabic"/>
          <w:sz w:val="18"/>
          <w:szCs w:val="26"/>
          <w:rtl/>
        </w:rPr>
        <w:t> </w:t>
      </w:r>
      <w:r w:rsidRPr="00222E49">
        <w:rPr>
          <w:rFonts w:cs="Traditional Arabic" w:hint="cs"/>
          <w:sz w:val="18"/>
          <w:szCs w:val="26"/>
          <w:rtl/>
        </w:rPr>
        <w:t>2010 بشأن الجزائر، و</w:t>
      </w:r>
      <w:r w:rsidRPr="00222E49">
        <w:rPr>
          <w:rFonts w:cs="Traditional Arabic" w:hint="cs"/>
          <w:i/>
          <w:iCs/>
          <w:sz w:val="18"/>
          <w:szCs w:val="26"/>
          <w:rtl/>
        </w:rPr>
        <w:t>التقرير العالمي لعامي</w:t>
      </w:r>
      <w:r w:rsidRPr="00222E49">
        <w:rPr>
          <w:rFonts w:cs="Traditional Arabic" w:hint="eastAsia"/>
          <w:i/>
          <w:iCs/>
          <w:sz w:val="18"/>
          <w:szCs w:val="26"/>
          <w:rtl/>
        </w:rPr>
        <w:t> </w:t>
      </w:r>
      <w:r w:rsidRPr="00222E49">
        <w:rPr>
          <w:rFonts w:cs="Traditional Arabic" w:hint="cs"/>
          <w:i/>
          <w:iCs/>
          <w:sz w:val="18"/>
          <w:szCs w:val="26"/>
          <w:rtl/>
        </w:rPr>
        <w:t>2010</w:t>
      </w:r>
      <w:r w:rsidRPr="00222E49">
        <w:rPr>
          <w:rFonts w:cs="Traditional Arabic" w:hint="cs"/>
          <w:sz w:val="18"/>
          <w:szCs w:val="26"/>
          <w:rtl/>
        </w:rPr>
        <w:t xml:space="preserve"> </w:t>
      </w:r>
      <w:r w:rsidRPr="00222E49">
        <w:rPr>
          <w:rFonts w:cs="Traditional Arabic" w:hint="cs"/>
          <w:i/>
          <w:iCs/>
          <w:sz w:val="18"/>
          <w:szCs w:val="26"/>
          <w:rtl/>
        </w:rPr>
        <w:t>و2011</w:t>
      </w:r>
      <w:r w:rsidRPr="00222E49">
        <w:rPr>
          <w:rFonts w:cs="Traditional Arabic" w:hint="cs"/>
          <w:sz w:val="18"/>
          <w:szCs w:val="26"/>
          <w:rtl/>
        </w:rPr>
        <w:t xml:space="preserve"> لمنظمة هيومن رايتس ووتش؛ ووزارة خارجية الولايات المتحدة، "تقارير قطرية عن ممارسات حقوق الإنسان في الجزائر" (11 آذار/مارس 2010)؛ والمملكة المتحدة لبريطانيا العظمى وأيرلندا الشمالية، وزارة الداخلية، </w:t>
      </w:r>
      <w:r w:rsidRPr="00222E49">
        <w:rPr>
          <w:rFonts w:cs="Traditional Arabic" w:hint="cs"/>
          <w:i/>
          <w:iCs/>
          <w:sz w:val="18"/>
          <w:szCs w:val="26"/>
          <w:rtl/>
        </w:rPr>
        <w:t>الجزائر: تقرير المعلومات المتعلقة بالبلد الأصلي</w:t>
      </w:r>
      <w:r w:rsidRPr="00222E49">
        <w:rPr>
          <w:rFonts w:cs="Traditional Arabic" w:hint="cs"/>
          <w:sz w:val="18"/>
          <w:szCs w:val="26"/>
          <w:rtl/>
        </w:rPr>
        <w:t xml:space="preserve"> (14 آذار/مارس 2011)؛ والتقرير عن حالة حقوق الإنسان في الجزائر لعام</w:t>
      </w:r>
      <w:r w:rsidRPr="00222E49">
        <w:rPr>
          <w:rFonts w:cs="Traditional Arabic"/>
          <w:sz w:val="18"/>
          <w:szCs w:val="26"/>
          <w:rtl/>
        </w:rPr>
        <w:t> </w:t>
      </w:r>
      <w:r w:rsidRPr="00222E49">
        <w:rPr>
          <w:rFonts w:cs="Traditional Arabic" w:hint="cs"/>
          <w:sz w:val="18"/>
          <w:szCs w:val="26"/>
          <w:rtl/>
        </w:rPr>
        <w:t xml:space="preserve">2007، الصادر عن وزارة خارجية السويد؛ ووزارة الداخلية للمملكة المتحدة، "مذكرة توجيه تنفيذية بشأن الجزائر" (22 أيار/مايو 2006). </w:t>
      </w:r>
    </w:p>
  </w:footnote>
  <w:footnote w:id="278">
    <w:p w:rsidR="00F815BA" w:rsidRPr="00222E49" w:rsidRDefault="00F815BA" w:rsidP="00501408">
      <w:pPr>
        <w:pStyle w:val="FootnoteText"/>
        <w:numPr>
          <w:ilvl w:val="0"/>
          <w:numId w:val="47"/>
        </w:numPr>
        <w:tabs>
          <w:tab w:val="clear" w:pos="1297"/>
          <w:tab w:val="left" w:pos="1253"/>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مشروع المعلومات المتعلقة ببلد العودة، "الوثيقة القطرية: الجزائر" (أيار/مايو 2009)، الصفحتان 12 و13؛ انظر كذلك منظمة العفو الدولية، "المملكة المتحدة: عمليات الترحيل إلى الجزائر مهما كان الثمن" (26 شباط/فبراير 2007).</w:t>
      </w:r>
    </w:p>
  </w:footnote>
  <w:footnote w:id="279">
    <w:p w:rsidR="00F815BA" w:rsidRPr="00222E49" w:rsidRDefault="00F815BA" w:rsidP="00501408">
      <w:pPr>
        <w:pStyle w:val="FootnoteText"/>
        <w:numPr>
          <w:ilvl w:val="0"/>
          <w:numId w:val="57"/>
        </w:numPr>
        <w:tabs>
          <w:tab w:val="clear" w:pos="1297"/>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انظر على سبيل المثال التقرير السنوي لمنظمة العفو الدولية بشأن الجزائر لعام</w:t>
      </w:r>
      <w:r w:rsidRPr="00222E49">
        <w:rPr>
          <w:rFonts w:cs="Traditional Arabic"/>
          <w:sz w:val="18"/>
          <w:szCs w:val="26"/>
          <w:rtl/>
        </w:rPr>
        <w:t> </w:t>
      </w:r>
      <w:r w:rsidRPr="00222E49">
        <w:rPr>
          <w:rFonts w:cs="Traditional Arabic" w:hint="cs"/>
          <w:sz w:val="18"/>
          <w:szCs w:val="26"/>
          <w:rtl/>
        </w:rPr>
        <w:t xml:space="preserve">2011؛ منظمة هيومن رايتس ووتش، </w:t>
      </w:r>
      <w:r w:rsidRPr="00222E49">
        <w:rPr>
          <w:rFonts w:cs="Traditional Arabic" w:hint="cs"/>
          <w:i/>
          <w:iCs/>
          <w:sz w:val="18"/>
          <w:szCs w:val="26"/>
          <w:rtl/>
        </w:rPr>
        <w:t>التقرير العالمي لعام</w:t>
      </w:r>
      <w:r w:rsidRPr="00222E49">
        <w:rPr>
          <w:rFonts w:cs="Traditional Arabic"/>
          <w:i/>
          <w:iCs/>
          <w:sz w:val="18"/>
          <w:szCs w:val="26"/>
          <w:rtl/>
        </w:rPr>
        <w:t> </w:t>
      </w:r>
      <w:r w:rsidRPr="00222E49">
        <w:rPr>
          <w:rFonts w:cs="Traditional Arabic" w:hint="cs"/>
          <w:i/>
          <w:iCs/>
          <w:sz w:val="18"/>
          <w:szCs w:val="26"/>
          <w:rtl/>
        </w:rPr>
        <w:t>2011</w:t>
      </w:r>
      <w:r w:rsidRPr="00222E49">
        <w:rPr>
          <w:rFonts w:cs="Traditional Arabic" w:hint="cs"/>
          <w:sz w:val="18"/>
          <w:szCs w:val="26"/>
          <w:rtl/>
        </w:rPr>
        <w:t xml:space="preserve">؛ ووزارة خارجية الولايات المتحدة، "تقارير قطرية عن ممارسات حقوق الإنسان في الجزائر" (8 نيسان/أبريل 2011)؛ والمملكة المتحدة لبريطانيا العظمى وأيرلندا الشمالية، وزارة الداخلية، </w:t>
      </w:r>
      <w:r w:rsidRPr="00222E49">
        <w:rPr>
          <w:rFonts w:cs="Traditional Arabic" w:hint="cs"/>
          <w:i/>
          <w:iCs/>
          <w:sz w:val="18"/>
          <w:szCs w:val="26"/>
          <w:rtl/>
        </w:rPr>
        <w:t>الجزائر: تقرير المعلومات المتعلقة بالبلد الأصلي</w:t>
      </w:r>
      <w:r w:rsidRPr="00222E49">
        <w:rPr>
          <w:rFonts w:cs="Traditional Arabic" w:hint="cs"/>
          <w:sz w:val="18"/>
          <w:szCs w:val="26"/>
          <w:rtl/>
        </w:rPr>
        <w:t xml:space="preserve"> (14 آذار/مارس 2011)؛ والتقرير عن حالة حقوق الإنسان في الجزائر لعام</w:t>
      </w:r>
      <w:r w:rsidRPr="00222E49">
        <w:rPr>
          <w:rFonts w:cs="Traditional Arabic"/>
          <w:sz w:val="18"/>
          <w:szCs w:val="26"/>
          <w:rtl/>
        </w:rPr>
        <w:t> </w:t>
      </w:r>
      <w:r w:rsidRPr="00222E49">
        <w:rPr>
          <w:rFonts w:cs="Traditional Arabic" w:hint="cs"/>
          <w:sz w:val="18"/>
          <w:szCs w:val="26"/>
          <w:rtl/>
        </w:rPr>
        <w:t>2010، صادر عن وزارة الخارجية السويدية، في تموز/يوليه 2011.</w:t>
      </w:r>
    </w:p>
  </w:footnote>
  <w:footnote w:id="280">
    <w:p w:rsidR="00F815BA" w:rsidRPr="00222E49" w:rsidRDefault="00F815BA" w:rsidP="00501408">
      <w:pPr>
        <w:pStyle w:val="FootnoteText"/>
        <w:numPr>
          <w:ilvl w:val="0"/>
          <w:numId w:val="57"/>
        </w:numPr>
        <w:tabs>
          <w:tab w:val="clear" w:pos="1297"/>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 xml:space="preserve">انظر البلاغ رقم 365/2008، </w:t>
      </w:r>
      <w:r w:rsidRPr="00222E49">
        <w:rPr>
          <w:rFonts w:cs="Traditional Arabic" w:hint="cs"/>
          <w:i/>
          <w:iCs/>
          <w:sz w:val="18"/>
          <w:szCs w:val="26"/>
          <w:rtl/>
        </w:rPr>
        <w:t xml:space="preserve">س. ك. ور. ك. ضد السويد، </w:t>
      </w:r>
      <w:r w:rsidRPr="00222E49">
        <w:rPr>
          <w:rFonts w:cs="Traditional Arabic" w:hint="cs"/>
          <w:sz w:val="18"/>
          <w:szCs w:val="26"/>
          <w:rtl/>
        </w:rPr>
        <w:t>القرار المعتمد في 21 تشرين الثاني/نوفمبر</w:t>
      </w:r>
      <w:r w:rsidRPr="00222E49">
        <w:rPr>
          <w:rFonts w:cs="Traditional Arabic" w:hint="eastAsia"/>
          <w:sz w:val="18"/>
          <w:szCs w:val="26"/>
          <w:rtl/>
        </w:rPr>
        <w:t> </w:t>
      </w:r>
      <w:r w:rsidRPr="00222E49">
        <w:rPr>
          <w:rFonts w:cs="Traditional Arabic" w:hint="cs"/>
          <w:sz w:val="18"/>
          <w:szCs w:val="26"/>
          <w:rtl/>
        </w:rPr>
        <w:t>2011، الفقرة 11-3.</w:t>
      </w:r>
    </w:p>
  </w:footnote>
  <w:footnote w:id="281">
    <w:p w:rsidR="00F815BA" w:rsidRPr="00222E49" w:rsidRDefault="00F815BA" w:rsidP="00501408">
      <w:pPr>
        <w:pStyle w:val="FootnoteText"/>
        <w:numPr>
          <w:ilvl w:val="0"/>
          <w:numId w:val="58"/>
        </w:numPr>
        <w:tabs>
          <w:tab w:val="clear" w:pos="1297"/>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 xml:space="preserve">انظر على سبيل المثال البلاغ رقم 305/2006، </w:t>
      </w:r>
      <w:r w:rsidRPr="00222E49">
        <w:rPr>
          <w:rFonts w:cs="Traditional Arabic" w:hint="cs"/>
          <w:i/>
          <w:iCs/>
          <w:sz w:val="18"/>
          <w:szCs w:val="26"/>
          <w:rtl/>
        </w:rPr>
        <w:t>أ. ر. أ. ضد السويد</w:t>
      </w:r>
      <w:r w:rsidRPr="00222E49">
        <w:rPr>
          <w:rFonts w:cs="Traditional Arabic" w:hint="cs"/>
          <w:sz w:val="18"/>
          <w:szCs w:val="26"/>
          <w:rtl/>
        </w:rPr>
        <w:t>، قرار بعدم المقبولية اعتُمد في 30 نيسان/أبريل 2007، الفقرة 6-1.</w:t>
      </w:r>
    </w:p>
  </w:footnote>
  <w:footnote w:id="282">
    <w:p w:rsidR="00F815BA" w:rsidRPr="00222E49" w:rsidRDefault="00F815BA" w:rsidP="00501408">
      <w:pPr>
        <w:pStyle w:val="FootnoteText"/>
        <w:numPr>
          <w:ilvl w:val="0"/>
          <w:numId w:val="58"/>
        </w:numPr>
        <w:tabs>
          <w:tab w:val="clear" w:pos="1297"/>
          <w:tab w:val="left" w:pos="1239"/>
        </w:tabs>
        <w:bidi/>
        <w:spacing w:after="60" w:line="300" w:lineRule="exact"/>
        <w:ind w:left="1247" w:right="1247" w:hanging="272"/>
        <w:jc w:val="lowKashida"/>
        <w:rPr>
          <w:rFonts w:cs="Traditional Arabic" w:hint="cs"/>
          <w:sz w:val="18"/>
          <w:szCs w:val="26"/>
        </w:rPr>
      </w:pPr>
      <w:r w:rsidRPr="00222E49">
        <w:rPr>
          <w:rFonts w:cs="Traditional Arabic" w:hint="cs"/>
          <w:sz w:val="18"/>
          <w:szCs w:val="26"/>
          <w:rtl/>
        </w:rPr>
        <w:t xml:space="preserve">انظر، على سبيل المثال، البلاغ رقم 247/2004، </w:t>
      </w:r>
      <w:r w:rsidRPr="00222E49">
        <w:rPr>
          <w:rFonts w:cs="Traditional Arabic" w:hint="cs"/>
          <w:i/>
          <w:iCs/>
          <w:sz w:val="18"/>
          <w:szCs w:val="26"/>
          <w:rtl/>
        </w:rPr>
        <w:t>أ. أ. ضد أذربيجان</w:t>
      </w:r>
      <w:r w:rsidRPr="00222E49">
        <w:rPr>
          <w:rFonts w:cs="Traditional Arabic" w:hint="cs"/>
          <w:sz w:val="18"/>
          <w:szCs w:val="26"/>
          <w:rtl/>
        </w:rPr>
        <w:t>، قرار بعدم المقبولية اعتُمد في 25 تشرين الثاني/نوفمبر 2005، الفقرات من 6-6 إلى 6-9.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4E0A37" w:rsidRDefault="00F815BA" w:rsidP="00776880">
    <w:pPr>
      <w:pStyle w:val="Header"/>
      <w:jc w:val="right"/>
    </w:pPr>
    <w:r w:rsidRPr="004E0A37">
      <w:t>A/67/44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4E0A37" w:rsidRDefault="00F815BA" w:rsidP="00776880">
    <w:pPr>
      <w:pStyle w:val="Header"/>
    </w:pPr>
    <w:r w:rsidRPr="004E0A37">
      <w:t>A/67/44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AD7965" w:rsidRDefault="00F815BA" w:rsidP="00776880">
    <w:pPr>
      <w:pStyle w:val="Header"/>
      <w:pBdr>
        <w:bottom w:val="none" w:sz="0" w:space="0" w:color="auto"/>
      </w:pBdr>
    </w:pPr>
    <w:r>
      <w:t>A/68/44</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AD7965" w:rsidRDefault="00F815BA" w:rsidP="00776880">
    <w:pPr>
      <w:pStyle w:val="Header"/>
      <w:pBdr>
        <w:bottom w:val="none" w:sz="0" w:space="0" w:color="auto"/>
      </w:pBd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7400F4" w:rsidRDefault="00F815BA" w:rsidP="00F77953">
    <w:pPr>
      <w:pStyle w:val="Header"/>
      <w:pBdr>
        <w:bottom w:val="none" w:sz="0" w:space="0" w:color="auto"/>
      </w:pBdr>
    </w:pPr>
    <w:r w:rsidRPr="007400F4">
      <w:t>A/</w:t>
    </w:r>
    <w:r>
      <w:t>68</w:t>
    </w:r>
    <w:r w:rsidRPr="007400F4">
      <w:t>/44</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AD7965" w:rsidRDefault="00F815BA" w:rsidP="00776880">
    <w:pPr>
      <w:pStyle w:val="Header"/>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4F087D" w:rsidRDefault="00F815BA" w:rsidP="00E470AE">
    <w:pPr>
      <w:pStyle w:val="Header"/>
      <w:jc w:val="right"/>
    </w:pPr>
    <w:r w:rsidRPr="004F087D">
      <w:t>CAT/C/50/R.1</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D913CB" w:rsidRDefault="00F815BA" w:rsidP="00D913CB">
    <w:pPr>
      <w:pStyle w:val="Header"/>
      <w:pBdr>
        <w:bottom w:val="single" w:sz="4" w:space="1" w:color="auto"/>
      </w:pBdr>
    </w:pPr>
    <w:r w:rsidRPr="007400F4">
      <w:t>A/</w:t>
    </w:r>
    <w:r>
      <w:t>68/44</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Default="00F815BA" w:rsidP="00403EEF">
    <w:pPr>
      <w:pStyle w:val="Header"/>
    </w:pPr>
    <w:r w:rsidRPr="007400F4">
      <w:t>A/</w:t>
    </w:r>
    <w:r>
      <w:t>68</w:t>
    </w:r>
    <w:r w:rsidRPr="007400F4">
      <w:t>/44</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4F087D" w:rsidRDefault="00F815BA" w:rsidP="00E470AE">
    <w:pPr>
      <w:pStyle w:val="Header"/>
      <w:jc w:val="right"/>
    </w:pPr>
    <w:r w:rsidRPr="007400F4">
      <w:t>A/</w:t>
    </w:r>
    <w:r>
      <w:t>68</w:t>
    </w:r>
    <w:r w:rsidRPr="007400F4">
      <w:t>/44</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D913CB" w:rsidRDefault="00F815BA" w:rsidP="00091373">
    <w:pPr>
      <w:pStyle w:val="Header"/>
      <w:pBdr>
        <w:bottom w:val="single" w:sz="4" w:space="1" w:color="auto"/>
      </w:pBdr>
      <w:jc w:val="left"/>
    </w:pPr>
    <w:r w:rsidRPr="007400F4">
      <w:t>A/</w:t>
    </w:r>
    <w:r>
      <w:t>68/44</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4F087D" w:rsidRDefault="00F815BA" w:rsidP="00E470AE">
    <w:pPr>
      <w:pStyle w:val="Header"/>
      <w:jc w:val="right"/>
    </w:pPr>
    <w:r w:rsidRPr="007400F4">
      <w:t>A/</w:t>
    </w:r>
    <w:r>
      <w:t>68</w:t>
    </w:r>
    <w:r w:rsidRPr="007400F4">
      <w:t>/44</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D913CB" w:rsidRDefault="00F815BA" w:rsidP="00403EEF">
    <w:pPr>
      <w:pStyle w:val="Header"/>
      <w:jc w:val="left"/>
    </w:pPr>
    <w:r w:rsidRPr="007400F4">
      <w:t>A/</w:t>
    </w:r>
    <w:r>
      <w:t>68/44</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D913CB" w:rsidRDefault="00F815BA" w:rsidP="00631BFA">
    <w:pPr>
      <w:pStyle w:val="Header"/>
      <w:jc w:val="left"/>
    </w:pPr>
    <w:r w:rsidRPr="007400F4">
      <w:t>A/</w:t>
    </w:r>
    <w:r>
      <w:t>68/44</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A86888" w:rsidRDefault="00F815BA" w:rsidP="00091373">
    <w:pPr>
      <w:pStyle w:val="Header"/>
      <w:jc w:val="right"/>
    </w:pPr>
    <w:r w:rsidRPr="00566DF9">
      <w:rPr>
        <w:rFonts w:cs="Times New Roman"/>
        <w:bCs w:val="0"/>
        <w:szCs w:val="20"/>
        <w:lang w:val="en-GB"/>
      </w:rPr>
      <w:t>A/</w:t>
    </w:r>
    <w:r>
      <w:rPr>
        <w:rFonts w:cs="Times New Roman"/>
        <w:bCs w:val="0"/>
        <w:szCs w:val="20"/>
        <w:lang w:val="en-GB"/>
      </w:rPr>
      <w:t>68</w:t>
    </w:r>
    <w:r w:rsidRPr="00566DF9">
      <w:rPr>
        <w:rFonts w:cs="Times New Roman"/>
        <w:bCs w:val="0"/>
        <w:szCs w:val="20"/>
        <w:lang w:val="en-GB"/>
      </w:rPr>
      <w:t>/</w:t>
    </w:r>
    <w:r>
      <w:rPr>
        <w:rFonts w:cs="Times New Roman"/>
        <w:bCs w:val="0"/>
        <w:szCs w:val="20"/>
        <w:lang w:val="en-GB"/>
      </w:rPr>
      <w:t>44</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1B75EB" w:rsidRDefault="00F815BA" w:rsidP="00091373">
    <w:pPr>
      <w:pStyle w:val="Header"/>
      <w:rPr>
        <w:lang w:val="en-GB"/>
      </w:rPr>
    </w:pPr>
    <w:r w:rsidRPr="00566DF9">
      <w:rPr>
        <w:rFonts w:cs="Times New Roman"/>
        <w:bCs w:val="0"/>
        <w:szCs w:val="20"/>
        <w:lang w:val="en-GB"/>
      </w:rPr>
      <w:t>A/</w:t>
    </w:r>
    <w:r>
      <w:rPr>
        <w:rFonts w:cs="Times New Roman"/>
        <w:bCs w:val="0"/>
        <w:szCs w:val="20"/>
        <w:lang w:val="en-GB"/>
      </w:rPr>
      <w:t>68</w:t>
    </w:r>
    <w:r w:rsidRPr="00566DF9">
      <w:rPr>
        <w:rFonts w:cs="Times New Roman"/>
        <w:bCs w:val="0"/>
        <w:szCs w:val="20"/>
        <w:lang w:val="en-GB"/>
      </w:rPr>
      <w:t>/</w:t>
    </w:r>
    <w:r>
      <w:rPr>
        <w:rFonts w:cs="Times New Roman"/>
        <w:bCs w:val="0"/>
        <w:szCs w:val="20"/>
        <w:lang w:val="en-GB"/>
      </w:rPr>
      <w:t>44</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5BA" w:rsidRPr="001F4AA5" w:rsidRDefault="00F815BA" w:rsidP="00091373">
    <w:pPr>
      <w:pStyle w:val="Header"/>
      <w:jc w:val="left"/>
    </w:pPr>
    <w:r w:rsidRPr="00566DF9">
      <w:rPr>
        <w:rFonts w:cs="Times New Roman"/>
        <w:bCs w:val="0"/>
        <w:szCs w:val="20"/>
        <w:lang w:val="en-GB"/>
      </w:rPr>
      <w:t>A/</w:t>
    </w:r>
    <w:r>
      <w:rPr>
        <w:rFonts w:cs="Times New Roman"/>
        <w:bCs w:val="0"/>
        <w:szCs w:val="20"/>
        <w:lang w:val="en-GB"/>
      </w:rPr>
      <w:t>68</w:t>
    </w:r>
    <w:r w:rsidRPr="00566DF9">
      <w:rPr>
        <w:rFonts w:cs="Times New Roman"/>
        <w:bCs w:val="0"/>
        <w:szCs w:val="20"/>
        <w:lang w:val="en-GB"/>
      </w:rPr>
      <w:t>/4</w:t>
    </w:r>
    <w:r>
      <w:rPr>
        <w:rFonts w:cs="Times New Roman"/>
        <w:bCs w:val="0"/>
        <w:szCs w:val="20"/>
        <w:lang w:val="en-GB"/>
      </w:rPr>
      <w:t>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BEEE2B90"/>
    <w:styleLink w:val="1111111"/>
    <w:lvl w:ilvl="0">
      <w:start w:val="1"/>
      <w:numFmt w:val="decimal"/>
      <w:lvlText w:val="%1."/>
      <w:lvlJc w:val="left"/>
      <w:pPr>
        <w:tabs>
          <w:tab w:val="num" w:pos="1209"/>
        </w:tabs>
        <w:ind w:left="1209" w:hanging="360"/>
      </w:pPr>
    </w:lvl>
  </w:abstractNum>
  <w:abstractNum w:abstractNumId="1">
    <w:nsid w:val="FFFFFF82"/>
    <w:multiLevelType w:val="singleLevel"/>
    <w:tmpl w:val="23D85662"/>
    <w:styleLink w:val="1ai2"/>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F4B43BDC"/>
    <w:styleLink w:val="1111112"/>
    <w:lvl w:ilvl="0">
      <w:start w:val="1"/>
      <w:numFmt w:val="bullet"/>
      <w:lvlText w:val=""/>
      <w:lvlJc w:val="left"/>
      <w:pPr>
        <w:tabs>
          <w:tab w:val="num" w:pos="643"/>
        </w:tabs>
        <w:ind w:left="643" w:hanging="360"/>
      </w:pPr>
      <w:rPr>
        <w:rFonts w:ascii="Symbol" w:hAnsi="Symbol" w:hint="default"/>
      </w:rPr>
    </w:lvl>
  </w:abstractNum>
  <w:abstractNum w:abstractNumId="3">
    <w:nsid w:val="FFFFFF89"/>
    <w:multiLevelType w:val="singleLevel"/>
    <w:tmpl w:val="DCA084A0"/>
    <w:styleLink w:val="111111111"/>
    <w:lvl w:ilvl="0">
      <w:start w:val="1"/>
      <w:numFmt w:val="bullet"/>
      <w:lvlText w:val=""/>
      <w:lvlJc w:val="left"/>
      <w:pPr>
        <w:tabs>
          <w:tab w:val="num" w:pos="360"/>
        </w:tabs>
        <w:ind w:left="360" w:hanging="360"/>
      </w:pPr>
      <w:rPr>
        <w:rFonts w:ascii="Symbol" w:hAnsi="Symbol" w:hint="default"/>
      </w:rPr>
    </w:lvl>
  </w:abstractNum>
  <w:abstractNum w:abstractNumId="4">
    <w:nsid w:val="00740E46"/>
    <w:multiLevelType w:val="hybridMultilevel"/>
    <w:tmpl w:val="4B58F12E"/>
    <w:lvl w:ilvl="0" w:tplc="8440FC68">
      <w:start w:val="1"/>
      <w:numFmt w:val="decimal"/>
      <w:lvlRestart w:val="0"/>
      <w:lvlText w:val="(%1)"/>
      <w:lvlJc w:val="right"/>
      <w:pPr>
        <w:tabs>
          <w:tab w:val="num" w:pos="227"/>
        </w:tabs>
        <w:ind w:left="227"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420"/>
        </w:tabs>
        <w:ind w:left="420" w:hanging="360"/>
      </w:pPr>
    </w:lvl>
    <w:lvl w:ilvl="2" w:tplc="0409001B" w:tentative="1">
      <w:start w:val="1"/>
      <w:numFmt w:val="lowerRoman"/>
      <w:lvlText w:val="%3."/>
      <w:lvlJc w:val="right"/>
      <w:pPr>
        <w:tabs>
          <w:tab w:val="num" w:pos="1140"/>
        </w:tabs>
        <w:ind w:left="1140" w:hanging="180"/>
      </w:pPr>
    </w:lvl>
    <w:lvl w:ilvl="3" w:tplc="0409000F" w:tentative="1">
      <w:start w:val="1"/>
      <w:numFmt w:val="decimal"/>
      <w:lvlText w:val="%4."/>
      <w:lvlJc w:val="left"/>
      <w:pPr>
        <w:tabs>
          <w:tab w:val="num" w:pos="1860"/>
        </w:tabs>
        <w:ind w:left="1860" w:hanging="360"/>
      </w:pPr>
    </w:lvl>
    <w:lvl w:ilvl="4" w:tplc="04090019" w:tentative="1">
      <w:start w:val="1"/>
      <w:numFmt w:val="lowerLetter"/>
      <w:lvlText w:val="%5."/>
      <w:lvlJc w:val="left"/>
      <w:pPr>
        <w:tabs>
          <w:tab w:val="num" w:pos="2580"/>
        </w:tabs>
        <w:ind w:left="2580" w:hanging="360"/>
      </w:pPr>
    </w:lvl>
    <w:lvl w:ilvl="5" w:tplc="0409001B" w:tentative="1">
      <w:start w:val="1"/>
      <w:numFmt w:val="lowerRoman"/>
      <w:lvlText w:val="%6."/>
      <w:lvlJc w:val="right"/>
      <w:pPr>
        <w:tabs>
          <w:tab w:val="num" w:pos="3300"/>
        </w:tabs>
        <w:ind w:left="3300" w:hanging="180"/>
      </w:pPr>
    </w:lvl>
    <w:lvl w:ilvl="6" w:tplc="0409000F" w:tentative="1">
      <w:start w:val="1"/>
      <w:numFmt w:val="decimal"/>
      <w:lvlText w:val="%7."/>
      <w:lvlJc w:val="left"/>
      <w:pPr>
        <w:tabs>
          <w:tab w:val="num" w:pos="4020"/>
        </w:tabs>
        <w:ind w:left="4020" w:hanging="360"/>
      </w:pPr>
    </w:lvl>
    <w:lvl w:ilvl="7" w:tplc="04090019" w:tentative="1">
      <w:start w:val="1"/>
      <w:numFmt w:val="lowerLetter"/>
      <w:lvlText w:val="%8."/>
      <w:lvlJc w:val="left"/>
      <w:pPr>
        <w:tabs>
          <w:tab w:val="num" w:pos="4740"/>
        </w:tabs>
        <w:ind w:left="4740" w:hanging="360"/>
      </w:pPr>
    </w:lvl>
    <w:lvl w:ilvl="8" w:tplc="0409001B" w:tentative="1">
      <w:start w:val="1"/>
      <w:numFmt w:val="lowerRoman"/>
      <w:lvlText w:val="%9."/>
      <w:lvlJc w:val="right"/>
      <w:pPr>
        <w:tabs>
          <w:tab w:val="num" w:pos="5460"/>
        </w:tabs>
        <w:ind w:left="5460" w:hanging="180"/>
      </w:pPr>
    </w:lvl>
  </w:abstractNum>
  <w:abstractNum w:abstractNumId="5">
    <w:nsid w:val="01AC4B9A"/>
    <w:multiLevelType w:val="hybridMultilevel"/>
    <w:tmpl w:val="4EDEF336"/>
    <w:lvl w:ilvl="0" w:tplc="55D8CD84">
      <w:start w:val="1"/>
      <w:numFmt w:val="decimal"/>
      <w:lvlRestart w:val="0"/>
      <w:lvlText w:val="(%1)"/>
      <w:lvlJc w:val="right"/>
      <w:pPr>
        <w:tabs>
          <w:tab w:val="num" w:pos="1354"/>
        </w:tabs>
        <w:ind w:left="1247" w:hanging="226"/>
      </w:pPr>
      <w:rPr>
        <w:rFonts w:ascii="Traditional Arabic" w:hAnsi="Traditional Arabic" w:cs="Traditional Arabic" w:hint="default"/>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2911CB4"/>
    <w:multiLevelType w:val="hybridMultilevel"/>
    <w:tmpl w:val="6B2838E0"/>
    <w:lvl w:ilvl="0" w:tplc="2FB47626">
      <w:start w:val="1"/>
      <w:numFmt w:val="arabicAbjad"/>
      <w:lvlText w:val="(%1)"/>
      <w:lvlJc w:val="right"/>
      <w:pPr>
        <w:tabs>
          <w:tab w:val="num" w:pos="0"/>
        </w:tabs>
        <w:ind w:left="1854" w:hanging="833"/>
      </w:pPr>
      <w:rPr>
        <w:rFonts w:ascii="Traditional Arabic" w:hAnsi="Traditional Arabic" w:cs="Traditional Arabic" w:hint="default"/>
        <w:sz w:val="26"/>
        <w:szCs w:val="26"/>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nsid w:val="02B91CB6"/>
    <w:multiLevelType w:val="hybridMultilevel"/>
    <w:tmpl w:val="E4EE165C"/>
    <w:styleLink w:val="ArticleSection2"/>
    <w:lvl w:ilvl="0" w:tplc="2FB47626">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03BD138A"/>
    <w:multiLevelType w:val="hybridMultilevel"/>
    <w:tmpl w:val="76344600"/>
    <w:lvl w:ilvl="0" w:tplc="D1B211CC">
      <w:start w:val="1"/>
      <w:numFmt w:val="decimal"/>
      <w:lvlRestart w:val="0"/>
      <w:pStyle w:val="FootnoteText"/>
      <w:lvlText w:val="(%1)"/>
      <w:lvlJc w:val="left"/>
      <w:pPr>
        <w:tabs>
          <w:tab w:val="num" w:pos="720"/>
        </w:tabs>
        <w:ind w:left="0" w:firstLine="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9">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0">
    <w:nsid w:val="09703BFD"/>
    <w:multiLevelType w:val="hybridMultilevel"/>
    <w:tmpl w:val="222694BC"/>
    <w:lvl w:ilvl="0" w:tplc="C0A02CF2">
      <w:start w:val="1"/>
      <w:numFmt w:val="arabicAbjad"/>
      <w:lvlRestart w:val="0"/>
      <w:lvlText w:val="(%1)"/>
      <w:lvlJc w:val="right"/>
      <w:pPr>
        <w:tabs>
          <w:tab w:val="num" w:pos="1292"/>
        </w:tabs>
        <w:ind w:left="1292" w:hanging="227"/>
      </w:pPr>
      <w:rPr>
        <w:rFonts w:ascii="Traditional Arabic" w:hAnsi="Traditional Arabic" w:cs="Traditional Arabic" w:hint="default"/>
        <w:b w:val="0"/>
        <w:bCs w:val="0"/>
        <w:sz w:val="26"/>
        <w:szCs w:val="26"/>
      </w:rPr>
    </w:lvl>
    <w:lvl w:ilvl="1" w:tplc="FDFE8E66">
      <w:start w:val="1"/>
      <w:numFmt w:val="decimal"/>
      <w:lvlRestart w:val="0"/>
      <w:lvlText w:val="(%2)"/>
      <w:lvlJc w:val="right"/>
      <w:pPr>
        <w:tabs>
          <w:tab w:val="num" w:pos="1352"/>
        </w:tabs>
        <w:ind w:left="1352" w:hanging="227"/>
      </w:pPr>
      <w:rPr>
        <w:rFonts w:ascii="Helvetica" w:hAnsi="Helvetica" w:cs="Traditional Arabic" w:hint="default"/>
        <w:b w:val="0"/>
        <w:bCs w:val="0"/>
        <w:sz w:val="20"/>
        <w:szCs w:val="28"/>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1">
    <w:nsid w:val="0B851AF4"/>
    <w:multiLevelType w:val="hybridMultilevel"/>
    <w:tmpl w:val="DAE891C4"/>
    <w:styleLink w:val="1ai12"/>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0C91531A"/>
    <w:multiLevelType w:val="multilevel"/>
    <w:tmpl w:val="0409001D"/>
    <w:styleLink w:val="1111111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0066FFC"/>
    <w:multiLevelType w:val="multilevel"/>
    <w:tmpl w:val="0409001D"/>
    <w:styleLink w:val="11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07D4613"/>
    <w:multiLevelType w:val="hybridMultilevel"/>
    <w:tmpl w:val="0BA86D28"/>
    <w:lvl w:ilvl="0" w:tplc="F37EE056">
      <w:start w:val="1"/>
      <w:numFmt w:val="arabicAbjad"/>
      <w:lvlRestart w:val="0"/>
      <w:lvlText w:val="(%1)"/>
      <w:lvlJc w:val="right"/>
      <w:pPr>
        <w:tabs>
          <w:tab w:val="num" w:pos="1297"/>
        </w:tabs>
        <w:ind w:left="1297"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4E00676"/>
    <w:multiLevelType w:val="hybridMultilevel"/>
    <w:tmpl w:val="B71EACF4"/>
    <w:lvl w:ilvl="0" w:tplc="E2D241CC">
      <w:start w:val="1"/>
      <w:numFmt w:val="arabicAbjad"/>
      <w:lvlRestart w:val="0"/>
      <w:lvlText w:val="(%1)"/>
      <w:lvlJc w:val="right"/>
      <w:pPr>
        <w:tabs>
          <w:tab w:val="num" w:pos="1292"/>
        </w:tabs>
        <w:ind w:left="1292" w:hanging="227"/>
      </w:pPr>
      <w:rPr>
        <w:rFonts w:ascii="Traditional Arabic" w:hAnsi="Traditional Arabic" w:cs="Traditional Arabic" w:hint="default"/>
        <w:b w:val="0"/>
        <w:bCs w:val="0"/>
        <w:sz w:val="26"/>
        <w:szCs w:val="26"/>
      </w:rPr>
    </w:lvl>
    <w:lvl w:ilvl="1" w:tplc="9B266C88">
      <w:start w:val="1"/>
      <w:numFmt w:val="decimal"/>
      <w:lvlRestart w:val="0"/>
      <w:lvlText w:val="(%2)"/>
      <w:lvlJc w:val="right"/>
      <w:pPr>
        <w:tabs>
          <w:tab w:val="num" w:pos="1352"/>
        </w:tabs>
        <w:ind w:left="1352" w:hanging="227"/>
      </w:pPr>
      <w:rPr>
        <w:rFonts w:ascii="Traditional Arabic" w:hAnsi="Traditional Arabic" w:cs="Traditional Arabic" w:hint="default"/>
        <w:b w:val="0"/>
        <w:bCs w:val="0"/>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6">
    <w:nsid w:val="1825016C"/>
    <w:multiLevelType w:val="hybridMultilevel"/>
    <w:tmpl w:val="55540C6A"/>
    <w:lvl w:ilvl="0" w:tplc="B6FA477A">
      <w:start w:val="6"/>
      <w:numFmt w:val="arabicAbjad"/>
      <w:lvlRestart w:val="0"/>
      <w:lvlText w:val="(%1)"/>
      <w:lvlJc w:val="right"/>
      <w:pPr>
        <w:tabs>
          <w:tab w:val="num" w:pos="1292"/>
        </w:tabs>
        <w:ind w:left="1292"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AE85FC1"/>
    <w:multiLevelType w:val="hybridMultilevel"/>
    <w:tmpl w:val="8A2EA578"/>
    <w:lvl w:ilvl="0" w:tplc="5F2CA6FC">
      <w:start w:val="1"/>
      <w:numFmt w:val="arabicAbjad"/>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8">
    <w:nsid w:val="1C830610"/>
    <w:multiLevelType w:val="hybridMultilevel"/>
    <w:tmpl w:val="D2DC0266"/>
    <w:lvl w:ilvl="0" w:tplc="A82E9430">
      <w:start w:val="1"/>
      <w:numFmt w:val="decimal"/>
      <w:lvlRestart w:val="0"/>
      <w:pStyle w:val="FootnoteText2"/>
      <w:lvlText w:val="(%1)"/>
      <w:lvlJc w:val="left"/>
      <w:pPr>
        <w:tabs>
          <w:tab w:val="num" w:pos="0"/>
        </w:tabs>
        <w:ind w:left="0" w:firstLine="0"/>
      </w:pPr>
      <w:rPr>
        <w:rFonts w:hint="default"/>
      </w:rPr>
    </w:lvl>
    <w:lvl w:ilvl="1" w:tplc="04090019">
      <w:start w:val="1"/>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CCA263C"/>
    <w:multiLevelType w:val="hybridMultilevel"/>
    <w:tmpl w:val="2D4650B4"/>
    <w:lvl w:ilvl="0">
      <w:start w:val="1"/>
      <w:numFmt w:val="arabicAbjad"/>
      <w:lvlRestart w:val="0"/>
      <w:lvlText w:val="(%1)"/>
      <w:lvlJc w:val="right"/>
      <w:pPr>
        <w:tabs>
          <w:tab w:val="num" w:pos="1248"/>
        </w:tabs>
        <w:ind w:left="1248" w:hanging="227"/>
      </w:pPr>
      <w:rPr>
        <w:rFonts w:ascii="Traditional Arabic" w:hAnsi="Traditional Arabic" w:cs="Traditional Arabic" w:hint="default"/>
        <w:sz w:val="26"/>
        <w:szCs w:val="26"/>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3437523"/>
    <w:multiLevelType w:val="hybridMultilevel"/>
    <w:tmpl w:val="31F84742"/>
    <w:lvl w:ilvl="0">
      <w:start w:val="1"/>
      <w:numFmt w:val="decimal"/>
      <w:lvlRestart w:val="0"/>
      <w:lvlText w:val="(%1)"/>
      <w:lvlJc w:val="right"/>
      <w:pPr>
        <w:tabs>
          <w:tab w:val="num" w:pos="1301"/>
        </w:tabs>
        <w:ind w:left="1301" w:hanging="227"/>
      </w:pPr>
      <w:rPr>
        <w:rFonts w:ascii="Traditional Arabic" w:hAnsi="Traditional Arabic" w:cs="Traditional Arabic" w:hint="default"/>
        <w:sz w:val="26"/>
        <w:szCs w:val="26"/>
      </w:rPr>
    </w:lvl>
    <w:lvl w:ilvl="1">
      <w:start w:val="1"/>
      <w:numFmt w:val="decimal"/>
      <w:lvlRestart w:val="0"/>
      <w:lvlText w:val="(%2)"/>
      <w:lvlJc w:val="right"/>
      <w:pPr>
        <w:tabs>
          <w:tab w:val="num" w:pos="1361"/>
        </w:tabs>
        <w:ind w:left="1361" w:hanging="227"/>
      </w:pPr>
      <w:rPr>
        <w:rFonts w:ascii="Times New Roman" w:hAnsi="Times New Roman" w:cs="Traditional Arabic" w:hint="default"/>
        <w:sz w:val="20"/>
        <w:szCs w:val="28"/>
      </w:rPr>
    </w:lvl>
    <w:lvl w:ilvl="2" w:tentative="1">
      <w:start w:val="1"/>
      <w:numFmt w:val="lowerRoman"/>
      <w:lvlText w:val="%3."/>
      <w:lvlJc w:val="right"/>
      <w:pPr>
        <w:tabs>
          <w:tab w:val="num" w:pos="2214"/>
        </w:tabs>
        <w:ind w:left="2214" w:hanging="180"/>
      </w:pPr>
    </w:lvl>
    <w:lvl w:ilvl="3" w:tentative="1">
      <w:start w:val="1"/>
      <w:numFmt w:val="decimal"/>
      <w:lvlText w:val="%4."/>
      <w:lvlJc w:val="left"/>
      <w:pPr>
        <w:tabs>
          <w:tab w:val="num" w:pos="2934"/>
        </w:tabs>
        <w:ind w:left="2934" w:hanging="360"/>
      </w:pPr>
    </w:lvl>
    <w:lvl w:ilvl="4" w:tentative="1">
      <w:start w:val="1"/>
      <w:numFmt w:val="lowerLetter"/>
      <w:lvlText w:val="%5."/>
      <w:lvlJc w:val="left"/>
      <w:pPr>
        <w:tabs>
          <w:tab w:val="num" w:pos="3654"/>
        </w:tabs>
        <w:ind w:left="3654" w:hanging="360"/>
      </w:pPr>
    </w:lvl>
    <w:lvl w:ilvl="5" w:tentative="1">
      <w:start w:val="1"/>
      <w:numFmt w:val="lowerRoman"/>
      <w:lvlText w:val="%6."/>
      <w:lvlJc w:val="right"/>
      <w:pPr>
        <w:tabs>
          <w:tab w:val="num" w:pos="4374"/>
        </w:tabs>
        <w:ind w:left="4374" w:hanging="180"/>
      </w:pPr>
    </w:lvl>
    <w:lvl w:ilvl="6" w:tentative="1">
      <w:start w:val="1"/>
      <w:numFmt w:val="decimal"/>
      <w:lvlText w:val="%7."/>
      <w:lvlJc w:val="left"/>
      <w:pPr>
        <w:tabs>
          <w:tab w:val="num" w:pos="5094"/>
        </w:tabs>
        <w:ind w:left="5094" w:hanging="360"/>
      </w:pPr>
    </w:lvl>
    <w:lvl w:ilvl="7" w:tentative="1">
      <w:start w:val="1"/>
      <w:numFmt w:val="lowerLetter"/>
      <w:lvlText w:val="%8."/>
      <w:lvlJc w:val="left"/>
      <w:pPr>
        <w:tabs>
          <w:tab w:val="num" w:pos="5814"/>
        </w:tabs>
        <w:ind w:left="5814" w:hanging="360"/>
      </w:pPr>
    </w:lvl>
    <w:lvl w:ilvl="8" w:tentative="1">
      <w:start w:val="1"/>
      <w:numFmt w:val="lowerRoman"/>
      <w:lvlText w:val="%9."/>
      <w:lvlJc w:val="right"/>
      <w:pPr>
        <w:tabs>
          <w:tab w:val="num" w:pos="6534"/>
        </w:tabs>
        <w:ind w:left="6534" w:hanging="180"/>
      </w:pPr>
    </w:lvl>
  </w:abstractNum>
  <w:abstractNum w:abstractNumId="21">
    <w:nsid w:val="25F272F0"/>
    <w:multiLevelType w:val="hybridMultilevel"/>
    <w:tmpl w:val="E56E57B8"/>
    <w:lvl w:ilvl="0" w:tplc="38C2DAB6">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19" w:tentative="1">
      <w:start w:val="1"/>
      <w:numFmt w:val="bullet"/>
      <w:lvlText w:val="o"/>
      <w:lvlJc w:val="left"/>
      <w:pPr>
        <w:tabs>
          <w:tab w:val="num" w:pos="3028"/>
        </w:tabs>
        <w:ind w:left="3028" w:hanging="360"/>
      </w:pPr>
      <w:rPr>
        <w:rFonts w:ascii="Courier New" w:hAnsi="Courier New" w:cs="Courier New" w:hint="default"/>
      </w:rPr>
    </w:lvl>
    <w:lvl w:ilvl="2" w:tplc="0409001B" w:tentative="1">
      <w:start w:val="1"/>
      <w:numFmt w:val="bullet"/>
      <w:lvlText w:val=""/>
      <w:lvlJc w:val="left"/>
      <w:pPr>
        <w:tabs>
          <w:tab w:val="num" w:pos="3748"/>
        </w:tabs>
        <w:ind w:left="3748" w:hanging="360"/>
      </w:pPr>
      <w:rPr>
        <w:rFonts w:ascii="Wingdings" w:hAnsi="Wingdings" w:hint="default"/>
      </w:rPr>
    </w:lvl>
    <w:lvl w:ilvl="3" w:tplc="0409000F" w:tentative="1">
      <w:start w:val="1"/>
      <w:numFmt w:val="bullet"/>
      <w:lvlText w:val=""/>
      <w:lvlJc w:val="left"/>
      <w:pPr>
        <w:tabs>
          <w:tab w:val="num" w:pos="4468"/>
        </w:tabs>
        <w:ind w:left="4468" w:hanging="360"/>
      </w:pPr>
      <w:rPr>
        <w:rFonts w:ascii="Symbol" w:hAnsi="Symbol" w:hint="default"/>
      </w:rPr>
    </w:lvl>
    <w:lvl w:ilvl="4" w:tplc="04090019" w:tentative="1">
      <w:start w:val="1"/>
      <w:numFmt w:val="bullet"/>
      <w:lvlText w:val="o"/>
      <w:lvlJc w:val="left"/>
      <w:pPr>
        <w:tabs>
          <w:tab w:val="num" w:pos="5188"/>
        </w:tabs>
        <w:ind w:left="5188" w:hanging="360"/>
      </w:pPr>
      <w:rPr>
        <w:rFonts w:ascii="Courier New" w:hAnsi="Courier New" w:cs="Courier New" w:hint="default"/>
      </w:rPr>
    </w:lvl>
    <w:lvl w:ilvl="5" w:tplc="0409001B" w:tentative="1">
      <w:start w:val="1"/>
      <w:numFmt w:val="bullet"/>
      <w:lvlText w:val=""/>
      <w:lvlJc w:val="left"/>
      <w:pPr>
        <w:tabs>
          <w:tab w:val="num" w:pos="5908"/>
        </w:tabs>
        <w:ind w:left="5908" w:hanging="360"/>
      </w:pPr>
      <w:rPr>
        <w:rFonts w:ascii="Wingdings" w:hAnsi="Wingdings" w:hint="default"/>
      </w:rPr>
    </w:lvl>
    <w:lvl w:ilvl="6" w:tplc="0409000F" w:tentative="1">
      <w:start w:val="1"/>
      <w:numFmt w:val="bullet"/>
      <w:lvlText w:val=""/>
      <w:lvlJc w:val="left"/>
      <w:pPr>
        <w:tabs>
          <w:tab w:val="num" w:pos="6628"/>
        </w:tabs>
        <w:ind w:left="6628" w:hanging="360"/>
      </w:pPr>
      <w:rPr>
        <w:rFonts w:ascii="Symbol" w:hAnsi="Symbol" w:hint="default"/>
      </w:rPr>
    </w:lvl>
    <w:lvl w:ilvl="7" w:tplc="04090019" w:tentative="1">
      <w:start w:val="1"/>
      <w:numFmt w:val="bullet"/>
      <w:lvlText w:val="o"/>
      <w:lvlJc w:val="left"/>
      <w:pPr>
        <w:tabs>
          <w:tab w:val="num" w:pos="7348"/>
        </w:tabs>
        <w:ind w:left="7348" w:hanging="360"/>
      </w:pPr>
      <w:rPr>
        <w:rFonts w:ascii="Courier New" w:hAnsi="Courier New" w:cs="Courier New" w:hint="default"/>
      </w:rPr>
    </w:lvl>
    <w:lvl w:ilvl="8" w:tplc="0409001B" w:tentative="1">
      <w:start w:val="1"/>
      <w:numFmt w:val="bullet"/>
      <w:lvlText w:val=""/>
      <w:lvlJc w:val="left"/>
      <w:pPr>
        <w:tabs>
          <w:tab w:val="num" w:pos="8068"/>
        </w:tabs>
        <w:ind w:left="8068" w:hanging="360"/>
      </w:pPr>
      <w:rPr>
        <w:rFonts w:ascii="Wingdings" w:hAnsi="Wingdings" w:hint="default"/>
      </w:rPr>
    </w:lvl>
  </w:abstractNum>
  <w:abstractNum w:abstractNumId="22">
    <w:nsid w:val="264A0C2E"/>
    <w:multiLevelType w:val="hybridMultilevel"/>
    <w:tmpl w:val="0840CBB8"/>
    <w:lvl w:ilvl="0" w:tplc="FAE4B376">
      <w:start w:val="1"/>
      <w:numFmt w:val="arabicAbjad"/>
      <w:lvlRestart w:val="0"/>
      <w:lvlText w:val="(%1)"/>
      <w:lvlJc w:val="right"/>
      <w:pPr>
        <w:tabs>
          <w:tab w:val="num" w:pos="1301"/>
        </w:tabs>
        <w:ind w:left="1247" w:hanging="226"/>
      </w:pPr>
      <w:rPr>
        <w:rFonts w:ascii="Traditional Arabic" w:hAnsi="Traditional Arabic" w:cs="Traditional Arabic" w:hint="default"/>
        <w:sz w:val="26"/>
        <w:szCs w:val="26"/>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3">
    <w:nsid w:val="275D6062"/>
    <w:multiLevelType w:val="hybridMultilevel"/>
    <w:tmpl w:val="A468A642"/>
    <w:lvl w:ilvl="0" w:tplc="C18CC1FE">
      <w:start w:val="6"/>
      <w:numFmt w:val="arabicAbjad"/>
      <w:lvlRestart w:val="0"/>
      <w:lvlText w:val="(%1)"/>
      <w:lvlJc w:val="right"/>
      <w:pPr>
        <w:tabs>
          <w:tab w:val="num" w:pos="1297"/>
        </w:tabs>
        <w:ind w:left="1297"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97E7A78"/>
    <w:multiLevelType w:val="hybridMultilevel"/>
    <w:tmpl w:val="4D0C23B0"/>
    <w:lvl w:ilvl="0" w:tplc="044C2BD8">
      <w:start w:val="1"/>
      <w:numFmt w:val="arabicAbjad"/>
      <w:lvlRestart w:val="0"/>
      <w:lvlText w:val="(%1)"/>
      <w:lvlJc w:val="right"/>
      <w:pPr>
        <w:tabs>
          <w:tab w:val="num" w:pos="1297"/>
        </w:tabs>
        <w:ind w:left="1297"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98347E6"/>
    <w:multiLevelType w:val="hybridMultilevel"/>
    <w:tmpl w:val="68C6F41C"/>
    <w:styleLink w:val="ArticleSection1"/>
    <w:lvl w:ilvl="0" w:tplc="FAE4B376">
      <w:start w:val="1"/>
      <w:numFmt w:val="arabicAlpha"/>
      <w:lvlText w:val="(%1)"/>
      <w:lvlJc w:val="left"/>
      <w:pPr>
        <w:tabs>
          <w:tab w:val="num" w:pos="1967"/>
        </w:tabs>
        <w:ind w:left="1967" w:hanging="720"/>
      </w:pPr>
      <w:rPr>
        <w:rFonts w:hint="default"/>
      </w:rPr>
    </w:lvl>
    <w:lvl w:ilvl="1" w:tplc="04090003" w:tentative="1">
      <w:start w:val="1"/>
      <w:numFmt w:val="lowerLetter"/>
      <w:lvlText w:val="%2."/>
      <w:lvlJc w:val="left"/>
      <w:pPr>
        <w:tabs>
          <w:tab w:val="num" w:pos="2327"/>
        </w:tabs>
        <w:ind w:left="2327" w:hanging="360"/>
      </w:pPr>
    </w:lvl>
    <w:lvl w:ilvl="2" w:tplc="04090005" w:tentative="1">
      <w:start w:val="1"/>
      <w:numFmt w:val="lowerRoman"/>
      <w:lvlText w:val="%3."/>
      <w:lvlJc w:val="right"/>
      <w:pPr>
        <w:tabs>
          <w:tab w:val="num" w:pos="3047"/>
        </w:tabs>
        <w:ind w:left="3047" w:hanging="180"/>
      </w:pPr>
    </w:lvl>
    <w:lvl w:ilvl="3" w:tplc="04090001" w:tentative="1">
      <w:start w:val="1"/>
      <w:numFmt w:val="decimal"/>
      <w:lvlText w:val="%4."/>
      <w:lvlJc w:val="left"/>
      <w:pPr>
        <w:tabs>
          <w:tab w:val="num" w:pos="3767"/>
        </w:tabs>
        <w:ind w:left="3767" w:hanging="360"/>
      </w:pPr>
    </w:lvl>
    <w:lvl w:ilvl="4" w:tplc="04090003" w:tentative="1">
      <w:start w:val="1"/>
      <w:numFmt w:val="lowerLetter"/>
      <w:lvlText w:val="%5."/>
      <w:lvlJc w:val="left"/>
      <w:pPr>
        <w:tabs>
          <w:tab w:val="num" w:pos="4487"/>
        </w:tabs>
        <w:ind w:left="4487" w:hanging="360"/>
      </w:pPr>
    </w:lvl>
    <w:lvl w:ilvl="5" w:tplc="04090005" w:tentative="1">
      <w:start w:val="1"/>
      <w:numFmt w:val="lowerRoman"/>
      <w:lvlText w:val="%6."/>
      <w:lvlJc w:val="right"/>
      <w:pPr>
        <w:tabs>
          <w:tab w:val="num" w:pos="5207"/>
        </w:tabs>
        <w:ind w:left="5207" w:hanging="180"/>
      </w:pPr>
    </w:lvl>
    <w:lvl w:ilvl="6" w:tplc="04090001" w:tentative="1">
      <w:start w:val="1"/>
      <w:numFmt w:val="decimal"/>
      <w:lvlText w:val="%7."/>
      <w:lvlJc w:val="left"/>
      <w:pPr>
        <w:tabs>
          <w:tab w:val="num" w:pos="5927"/>
        </w:tabs>
        <w:ind w:left="5927" w:hanging="360"/>
      </w:pPr>
    </w:lvl>
    <w:lvl w:ilvl="7" w:tplc="04090003" w:tentative="1">
      <w:start w:val="1"/>
      <w:numFmt w:val="lowerLetter"/>
      <w:lvlText w:val="%8."/>
      <w:lvlJc w:val="left"/>
      <w:pPr>
        <w:tabs>
          <w:tab w:val="num" w:pos="6647"/>
        </w:tabs>
        <w:ind w:left="6647" w:hanging="360"/>
      </w:pPr>
    </w:lvl>
    <w:lvl w:ilvl="8" w:tplc="04090005" w:tentative="1">
      <w:start w:val="1"/>
      <w:numFmt w:val="lowerRoman"/>
      <w:lvlText w:val="%9."/>
      <w:lvlJc w:val="right"/>
      <w:pPr>
        <w:tabs>
          <w:tab w:val="num" w:pos="7367"/>
        </w:tabs>
        <w:ind w:left="7367" w:hanging="180"/>
      </w:pPr>
    </w:lvl>
  </w:abstractNum>
  <w:abstractNum w:abstractNumId="26">
    <w:nsid w:val="2A31567B"/>
    <w:multiLevelType w:val="multilevel"/>
    <w:tmpl w:val="0409001F"/>
    <w:styleLink w:val="11111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2AA9450C"/>
    <w:multiLevelType w:val="hybridMultilevel"/>
    <w:tmpl w:val="60A89F02"/>
    <w:lvl w:ilvl="0" w:tplc="A81E2736">
      <w:start w:val="1"/>
      <w:numFmt w:val="arabicAbjad"/>
      <w:lvlRestart w:val="0"/>
      <w:lvlText w:val="(%1)"/>
      <w:lvlJc w:val="right"/>
      <w:pPr>
        <w:tabs>
          <w:tab w:val="num" w:pos="1248"/>
        </w:tabs>
        <w:ind w:left="1248"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D426896"/>
    <w:multiLevelType w:val="hybridMultilevel"/>
    <w:tmpl w:val="0D001774"/>
    <w:lvl w:ilvl="0" w:tplc="C254B404">
      <w:start w:val="6"/>
      <w:numFmt w:val="arabicAbjad"/>
      <w:lvlRestart w:val="0"/>
      <w:lvlText w:val="(%1)"/>
      <w:lvlJc w:val="right"/>
      <w:pPr>
        <w:tabs>
          <w:tab w:val="num" w:pos="1297"/>
        </w:tabs>
        <w:ind w:left="1297"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30">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33655D9C"/>
    <w:multiLevelType w:val="hybridMultilevel"/>
    <w:tmpl w:val="C9DCA460"/>
    <w:lvl w:ilvl="0" w:tplc="793A4228">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2">
    <w:nsid w:val="34560DD1"/>
    <w:multiLevelType w:val="hybridMultilevel"/>
    <w:tmpl w:val="8A80E00C"/>
    <w:lvl w:ilvl="0" w:tplc="9E6C33DE">
      <w:start w:val="6"/>
      <w:numFmt w:val="arabicAbjad"/>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7A4443B"/>
    <w:multiLevelType w:val="hybridMultilevel"/>
    <w:tmpl w:val="B268BD0E"/>
    <w:lvl w:ilvl="0" w:tplc="75B649AC">
      <w:start w:val="6"/>
      <w:numFmt w:val="arabicAbjad"/>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81E11E1"/>
    <w:multiLevelType w:val="hybridMultilevel"/>
    <w:tmpl w:val="8AB0E38A"/>
    <w:lvl w:ilvl="0" w:tplc="59B27128">
      <w:start w:val="1"/>
      <w:numFmt w:val="arabicAbjad"/>
      <w:lvlRestart w:val="0"/>
      <w:lvlText w:val="(%1)"/>
      <w:lvlJc w:val="right"/>
      <w:pPr>
        <w:tabs>
          <w:tab w:val="num" w:pos="1292"/>
        </w:tabs>
        <w:ind w:left="1292" w:hanging="227"/>
      </w:pPr>
      <w:rPr>
        <w:rFonts w:ascii="Traditional Arabic" w:hAnsi="Traditional Arabic" w:cs="Traditional Arabic" w:hint="default"/>
        <w:sz w:val="26"/>
        <w:szCs w:val="26"/>
      </w:rPr>
    </w:lvl>
    <w:lvl w:ilvl="1" w:tplc="2D765FE4">
      <w:start w:val="1"/>
      <w:numFmt w:val="decimal"/>
      <w:lvlRestart w:val="0"/>
      <w:lvlText w:val="(%2)"/>
      <w:lvlJc w:val="right"/>
      <w:pPr>
        <w:tabs>
          <w:tab w:val="num" w:pos="1352"/>
        </w:tabs>
        <w:ind w:left="1352" w:hanging="227"/>
      </w:pPr>
      <w:rPr>
        <w:rFonts w:hint="default"/>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5">
    <w:nsid w:val="394C6AF4"/>
    <w:multiLevelType w:val="hybridMultilevel"/>
    <w:tmpl w:val="B4F25B64"/>
    <w:lvl w:ilvl="0" w:tplc="6D5E22D8">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90003" w:tentative="1">
      <w:start w:val="1"/>
      <w:numFmt w:val="lowerLetter"/>
      <w:lvlText w:val="%2."/>
      <w:lvlJc w:val="left"/>
      <w:pPr>
        <w:tabs>
          <w:tab w:val="num" w:pos="1440"/>
        </w:tabs>
        <w:ind w:left="1440" w:right="1440" w:hanging="360"/>
      </w:pPr>
    </w:lvl>
    <w:lvl w:ilvl="2" w:tplc="04090005" w:tentative="1">
      <w:start w:val="1"/>
      <w:numFmt w:val="lowerRoman"/>
      <w:lvlText w:val="%3."/>
      <w:lvlJc w:val="right"/>
      <w:pPr>
        <w:tabs>
          <w:tab w:val="num" w:pos="2160"/>
        </w:tabs>
        <w:ind w:left="2160" w:right="2160" w:hanging="180"/>
      </w:pPr>
    </w:lvl>
    <w:lvl w:ilvl="3" w:tplc="04090001" w:tentative="1">
      <w:start w:val="1"/>
      <w:numFmt w:val="decimal"/>
      <w:lvlText w:val="%4."/>
      <w:lvlJc w:val="left"/>
      <w:pPr>
        <w:tabs>
          <w:tab w:val="num" w:pos="2880"/>
        </w:tabs>
        <w:ind w:left="2880" w:right="2880" w:hanging="360"/>
      </w:pPr>
    </w:lvl>
    <w:lvl w:ilvl="4" w:tplc="04090003" w:tentative="1">
      <w:start w:val="1"/>
      <w:numFmt w:val="lowerLetter"/>
      <w:lvlText w:val="%5."/>
      <w:lvlJc w:val="left"/>
      <w:pPr>
        <w:tabs>
          <w:tab w:val="num" w:pos="3600"/>
        </w:tabs>
        <w:ind w:left="3600" w:right="3600" w:hanging="360"/>
      </w:pPr>
    </w:lvl>
    <w:lvl w:ilvl="5" w:tplc="04090005" w:tentative="1">
      <w:start w:val="1"/>
      <w:numFmt w:val="lowerRoman"/>
      <w:lvlText w:val="%6."/>
      <w:lvlJc w:val="right"/>
      <w:pPr>
        <w:tabs>
          <w:tab w:val="num" w:pos="4320"/>
        </w:tabs>
        <w:ind w:left="4320" w:right="4320" w:hanging="180"/>
      </w:pPr>
    </w:lvl>
    <w:lvl w:ilvl="6" w:tplc="04090001" w:tentative="1">
      <w:start w:val="1"/>
      <w:numFmt w:val="decimal"/>
      <w:lvlText w:val="%7."/>
      <w:lvlJc w:val="left"/>
      <w:pPr>
        <w:tabs>
          <w:tab w:val="num" w:pos="5040"/>
        </w:tabs>
        <w:ind w:left="5040" w:right="5040" w:hanging="360"/>
      </w:pPr>
    </w:lvl>
    <w:lvl w:ilvl="7" w:tplc="04090003" w:tentative="1">
      <w:start w:val="1"/>
      <w:numFmt w:val="lowerLetter"/>
      <w:lvlText w:val="%8."/>
      <w:lvlJc w:val="left"/>
      <w:pPr>
        <w:tabs>
          <w:tab w:val="num" w:pos="5760"/>
        </w:tabs>
        <w:ind w:left="5760" w:right="5760" w:hanging="360"/>
      </w:pPr>
    </w:lvl>
    <w:lvl w:ilvl="8" w:tplc="04090005" w:tentative="1">
      <w:start w:val="1"/>
      <w:numFmt w:val="lowerRoman"/>
      <w:lvlText w:val="%9."/>
      <w:lvlJc w:val="right"/>
      <w:pPr>
        <w:tabs>
          <w:tab w:val="num" w:pos="6480"/>
        </w:tabs>
        <w:ind w:left="6480" w:right="6480" w:hanging="180"/>
      </w:pPr>
    </w:lvl>
  </w:abstractNum>
  <w:abstractNum w:abstractNumId="36">
    <w:nsid w:val="3A837539"/>
    <w:multiLevelType w:val="hybridMultilevel"/>
    <w:tmpl w:val="CD54C88E"/>
    <w:lvl w:ilvl="0" w:tplc="FFFFFFFF">
      <w:start w:val="1"/>
      <w:numFmt w:val="arabicAbjad"/>
      <w:lvlRestart w:val="0"/>
      <w:lvlText w:val="(%1)"/>
      <w:lvlJc w:val="right"/>
      <w:pPr>
        <w:tabs>
          <w:tab w:val="num" w:pos="1248"/>
        </w:tabs>
        <w:ind w:left="1248" w:hanging="227"/>
      </w:pPr>
      <w:rPr>
        <w:rFonts w:ascii="Traditional Arabic" w:hAnsi="Traditional Arabic" w:cs="Traditional Arabic" w:hint="default"/>
        <w:b w:val="0"/>
        <w:i w:val="0"/>
        <w:sz w:val="26"/>
        <w:szCs w:val="26"/>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DEF3F8B"/>
    <w:multiLevelType w:val="hybridMultilevel"/>
    <w:tmpl w:val="A072E08C"/>
    <w:lvl w:ilvl="0" w:tplc="308CB36A">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8">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3F1E1156"/>
    <w:multiLevelType w:val="hybridMultilevel"/>
    <w:tmpl w:val="8632BE1C"/>
    <w:lvl w:ilvl="0" w:tplc="FA8A0820">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0">
    <w:nsid w:val="40B06C04"/>
    <w:multiLevelType w:val="hybridMultilevel"/>
    <w:tmpl w:val="A27051CA"/>
    <w:lvl w:ilvl="0" w:tplc="EAF2F174">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90019">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1">
    <w:nsid w:val="42046530"/>
    <w:multiLevelType w:val="hybridMultilevel"/>
    <w:tmpl w:val="2BCC87AE"/>
    <w:lvl w:ilvl="0" w:tplc="28303EC2">
      <w:start w:val="142"/>
      <w:numFmt w:val="decimal"/>
      <w:lvlText w:val="%1-"/>
      <w:lvlJc w:val="left"/>
      <w:pPr>
        <w:tabs>
          <w:tab w:val="num" w:pos="1787"/>
        </w:tabs>
        <w:ind w:left="1787" w:hanging="54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42">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43">
    <w:nsid w:val="45A351BD"/>
    <w:multiLevelType w:val="hybridMultilevel"/>
    <w:tmpl w:val="02C0C20C"/>
    <w:lvl w:ilvl="0" w:tplc="02C0FDAA">
      <w:start w:val="1"/>
      <w:numFmt w:val="arabicAbjad"/>
      <w:lvlText w:val="(%1)"/>
      <w:lvlJc w:val="right"/>
      <w:pPr>
        <w:tabs>
          <w:tab w:val="num" w:pos="0"/>
        </w:tabs>
        <w:ind w:left="1247" w:hanging="226"/>
      </w:pPr>
      <w:rPr>
        <w:rFonts w:ascii="Traditional Arabic" w:hAnsi="Traditional Arabic" w:cs="Traditional Arabic" w:hint="default"/>
        <w:sz w:val="26"/>
        <w:szCs w:val="26"/>
      </w:rPr>
    </w:lvl>
    <w:lvl w:ilvl="1" w:tplc="30C0B8A8"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46685317"/>
    <w:multiLevelType w:val="hybridMultilevel"/>
    <w:tmpl w:val="59D6FB38"/>
    <w:lvl w:ilvl="0" w:tplc="3E5A8D2C">
      <w:start w:val="1"/>
      <w:numFmt w:val="arabicAbjad"/>
      <w:lvlRestart w:val="0"/>
      <w:lvlText w:val="(%1)"/>
      <w:lvlJc w:val="right"/>
      <w:pPr>
        <w:tabs>
          <w:tab w:val="num" w:pos="1297"/>
        </w:tabs>
        <w:ind w:left="1297" w:hanging="227"/>
      </w:pPr>
      <w:rPr>
        <w:rFonts w:ascii="Traditional Arabic" w:hAnsi="Traditional Arabic" w:cs="Traditional Arabic" w:hint="default"/>
        <w:sz w:val="26"/>
        <w:szCs w:val="26"/>
        <w:vertAlign w:val="baseline"/>
      </w:rPr>
    </w:lvl>
    <w:lvl w:ilvl="1" w:tplc="C8D2AC30">
      <w:start w:val="1"/>
      <w:numFmt w:val="decimal"/>
      <w:lvlRestart w:val="0"/>
      <w:lvlText w:val="(%2)"/>
      <w:lvlJc w:val="right"/>
      <w:pPr>
        <w:tabs>
          <w:tab w:val="num" w:pos="1357"/>
        </w:tabs>
        <w:ind w:left="1357" w:hanging="227"/>
      </w:pPr>
      <w:rPr>
        <w:rFonts w:ascii="Traditional Arabic" w:hAnsi="Traditional Arabic" w:cs="Traditional Arabic" w:hint="default"/>
        <w:sz w:val="26"/>
        <w:szCs w:val="26"/>
        <w:vertAlign w:val="baseline"/>
      </w:r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45">
    <w:nsid w:val="47F13371"/>
    <w:multiLevelType w:val="hybridMultilevel"/>
    <w:tmpl w:val="E0A84CC8"/>
    <w:lvl w:ilvl="0" w:tplc="EC6A37EA">
      <w:start w:val="6"/>
      <w:numFmt w:val="arabicAbjad"/>
      <w:lvlRestart w:val="0"/>
      <w:lvlText w:val="(%1)"/>
      <w:lvlJc w:val="right"/>
      <w:pPr>
        <w:tabs>
          <w:tab w:val="num" w:pos="1292"/>
        </w:tabs>
        <w:ind w:left="1292" w:hanging="271"/>
      </w:pPr>
      <w:rPr>
        <w:rFonts w:ascii="Traditional Arabic" w:hAnsi="Traditional Arabic" w:cs="Traditional Arabic" w:hint="default"/>
        <w:sz w:val="26"/>
        <w:szCs w:val="26"/>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4851190D"/>
    <w:multiLevelType w:val="hybridMultilevel"/>
    <w:tmpl w:val="6F3E13F4"/>
    <w:lvl w:ilvl="0" w:tplc="F37EE056">
      <w:start w:val="1"/>
      <w:numFmt w:val="arabicAbjad"/>
      <w:lvlRestart w:val="0"/>
      <w:lvlText w:val="(%1)"/>
      <w:lvlJc w:val="right"/>
      <w:pPr>
        <w:tabs>
          <w:tab w:val="num" w:pos="1297"/>
        </w:tabs>
        <w:ind w:left="1297"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50DC52C0"/>
    <w:multiLevelType w:val="hybridMultilevel"/>
    <w:tmpl w:val="962CC00A"/>
    <w:lvl w:ilvl="0" w:tplc="F52EABAE">
      <w:start w:val="1"/>
      <w:numFmt w:val="arabicAbjad"/>
      <w:lvlRestart w:val="0"/>
      <w:lvlText w:val="(%1)"/>
      <w:lvlJc w:val="right"/>
      <w:pPr>
        <w:tabs>
          <w:tab w:val="num" w:pos="1248"/>
        </w:tabs>
        <w:ind w:left="1248" w:hanging="227"/>
      </w:pPr>
      <w:rPr>
        <w:rFonts w:ascii="Traditional Arabic" w:hAnsi="Traditional Arabic" w:cs="Traditional Arabic" w:hint="default"/>
        <w:sz w:val="26"/>
        <w:szCs w:val="26"/>
      </w:rPr>
    </w:lvl>
    <w:lvl w:ilvl="1" w:tplc="0409000F"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53483BAD"/>
    <w:multiLevelType w:val="hybridMultilevel"/>
    <w:tmpl w:val="181C32C2"/>
    <w:lvl w:ilvl="0" w:tplc="FA649C04">
      <w:start w:val="29"/>
      <w:numFmt w:val="arabicAbjad"/>
      <w:lvlRestart w:val="0"/>
      <w:lvlText w:val="(%1)"/>
      <w:lvlJc w:val="right"/>
      <w:pPr>
        <w:tabs>
          <w:tab w:val="num" w:pos="1292"/>
        </w:tabs>
        <w:ind w:left="1292" w:hanging="271"/>
      </w:pPr>
      <w:rPr>
        <w:rFonts w:ascii="Traditional Arabic" w:hAnsi="Traditional Arabic" w:cs="Traditional Arabic" w:hint="default"/>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55F154E5"/>
    <w:multiLevelType w:val="hybridMultilevel"/>
    <w:tmpl w:val="2B00EFB4"/>
    <w:lvl w:ilvl="0" w:tplc="F04074DC">
      <w:start w:val="1"/>
      <w:numFmt w:val="arabicAbjad"/>
      <w:lvlRestart w:val="0"/>
      <w:lvlText w:val="(%1)"/>
      <w:lvlJc w:val="right"/>
      <w:pPr>
        <w:tabs>
          <w:tab w:val="num" w:pos="1297"/>
        </w:tabs>
        <w:ind w:left="1297"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1490"/>
        </w:tabs>
        <w:ind w:left="1490" w:hanging="360"/>
      </w:p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50">
    <w:nsid w:val="565F3741"/>
    <w:multiLevelType w:val="hybridMultilevel"/>
    <w:tmpl w:val="DEEA4F22"/>
    <w:lvl w:ilvl="0" w:tplc="BE16E52E">
      <w:start w:val="1"/>
      <w:numFmt w:val="arabicAbjad"/>
      <w:lvlRestart w:val="0"/>
      <w:lvlText w:val="(%1)"/>
      <w:lvlJc w:val="right"/>
      <w:pPr>
        <w:tabs>
          <w:tab w:val="num" w:pos="1301"/>
        </w:tabs>
        <w:ind w:left="1247" w:hanging="226"/>
      </w:pPr>
      <w:rPr>
        <w:rFonts w:ascii="Traditional Arabic" w:hAnsi="Traditional Arabic" w:cs="Traditional Arabic" w:hint="default"/>
        <w:sz w:val="26"/>
        <w:szCs w:val="26"/>
      </w:rPr>
    </w:lvl>
    <w:lvl w:ilvl="1" w:tplc="A8B4B362"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62A04F87"/>
    <w:multiLevelType w:val="hybridMultilevel"/>
    <w:tmpl w:val="518CCD78"/>
    <w:lvl w:ilvl="0" w:tplc="C316C474">
      <w:start w:val="1"/>
      <w:numFmt w:val="arabicAbjad"/>
      <w:lvlRestart w:val="0"/>
      <w:lvlText w:val="(%1)"/>
      <w:lvlJc w:val="right"/>
      <w:pPr>
        <w:tabs>
          <w:tab w:val="num" w:pos="1248"/>
        </w:tabs>
        <w:ind w:left="1248"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636438EB"/>
    <w:multiLevelType w:val="hybridMultilevel"/>
    <w:tmpl w:val="7B4EC7F6"/>
    <w:styleLink w:val="1ai1"/>
    <w:lvl w:ilvl="0" w:tplc="CA4EBF2C">
      <w:start w:val="1"/>
      <w:numFmt w:val="decimal"/>
      <w:lvlText w:val="(%1)"/>
      <w:lvlJc w:val="right"/>
      <w:pPr>
        <w:tabs>
          <w:tab w:val="num" w:pos="1238"/>
        </w:tabs>
        <w:ind w:left="1238" w:hanging="227"/>
      </w:pPr>
      <w:rPr>
        <w:rFonts w:ascii="Times New Roman" w:hAnsi="Times New Roman" w:cs="Traditional Arabic" w:hint="default"/>
        <w:sz w:val="18"/>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3">
    <w:nsid w:val="68BA734C"/>
    <w:multiLevelType w:val="hybridMultilevel"/>
    <w:tmpl w:val="ED70A02E"/>
    <w:lvl w:ilvl="0" w:tplc="05D06C7C">
      <w:start w:val="6"/>
      <w:numFmt w:val="arabicAbjad"/>
      <w:lvlRestart w:val="0"/>
      <w:lvlText w:val="(%1)"/>
      <w:lvlJc w:val="right"/>
      <w:pPr>
        <w:tabs>
          <w:tab w:val="num" w:pos="1292"/>
        </w:tabs>
        <w:ind w:left="1292"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6F2D6E1B"/>
    <w:multiLevelType w:val="hybridMultilevel"/>
    <w:tmpl w:val="AB58FF06"/>
    <w:lvl w:ilvl="0" w:tplc="1E22665A">
      <w:start w:val="1"/>
      <w:numFmt w:val="arabicAbjad"/>
      <w:lvlText w:val="(%1)"/>
      <w:lvlJc w:val="left"/>
      <w:pPr>
        <w:tabs>
          <w:tab w:val="num" w:pos="314"/>
        </w:tabs>
        <w:ind w:left="1381"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6FC818B7"/>
    <w:multiLevelType w:val="hybridMultilevel"/>
    <w:tmpl w:val="39B2CC8C"/>
    <w:lvl w:ilvl="0" w:tplc="58A63FBE">
      <w:start w:val="1"/>
      <w:numFmt w:val="arabicAbjad"/>
      <w:lvlRestart w:val="0"/>
      <w:lvlText w:val="(%1)"/>
      <w:lvlJc w:val="right"/>
      <w:pPr>
        <w:tabs>
          <w:tab w:val="num" w:pos="1292"/>
        </w:tabs>
        <w:ind w:left="1292" w:hanging="271"/>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56">
    <w:nsid w:val="7041468A"/>
    <w:multiLevelType w:val="hybridMultilevel"/>
    <w:tmpl w:val="CFF0B8B0"/>
    <w:lvl w:ilvl="0" w:tplc="10422384">
      <w:start w:val="1"/>
      <w:numFmt w:val="arabicAbjad"/>
      <w:lvlRestart w:val="0"/>
      <w:lvlText w:val="(%1)"/>
      <w:lvlJc w:val="right"/>
      <w:pPr>
        <w:tabs>
          <w:tab w:val="num" w:pos="1248"/>
        </w:tabs>
        <w:ind w:left="1248"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73B70A33"/>
    <w:multiLevelType w:val="multilevel"/>
    <w:tmpl w:val="0840CBB8"/>
    <w:lvl w:ilvl="0">
      <w:start w:val="1"/>
      <w:numFmt w:val="arabicAbjad"/>
      <w:lvlRestart w:val="0"/>
      <w:lvlText w:val="(%1)"/>
      <w:lvlJc w:val="right"/>
      <w:pPr>
        <w:tabs>
          <w:tab w:val="num" w:pos="1301"/>
        </w:tabs>
        <w:ind w:left="1247" w:hanging="226"/>
      </w:pPr>
      <w:rPr>
        <w:rFonts w:ascii="Traditional Arabic" w:hAnsi="Traditional Arabic" w:cs="Traditional Arabic" w:hint="default"/>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78D00C1C"/>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9">
    <w:nsid w:val="7AE32A09"/>
    <w:multiLevelType w:val="hybridMultilevel"/>
    <w:tmpl w:val="9C5295AC"/>
    <w:lvl w:ilvl="0" w:tplc="E5BE4D9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808E47C6" w:tentative="1">
      <w:start w:val="1"/>
      <w:numFmt w:val="bullet"/>
      <w:lvlText w:val="o"/>
      <w:lvlJc w:val="left"/>
      <w:pPr>
        <w:tabs>
          <w:tab w:val="num" w:pos="3595"/>
        </w:tabs>
        <w:ind w:left="3595" w:hanging="360"/>
      </w:pPr>
      <w:rPr>
        <w:rFonts w:ascii="Courier New" w:hAnsi="Courier New" w:cs="Courier New" w:hint="default"/>
      </w:rPr>
    </w:lvl>
    <w:lvl w:ilvl="2" w:tplc="0409001B" w:tentative="1">
      <w:start w:val="1"/>
      <w:numFmt w:val="bullet"/>
      <w:lvlText w:val=""/>
      <w:lvlJc w:val="left"/>
      <w:pPr>
        <w:tabs>
          <w:tab w:val="num" w:pos="4315"/>
        </w:tabs>
        <w:ind w:left="4315" w:hanging="360"/>
      </w:pPr>
      <w:rPr>
        <w:rFonts w:ascii="Wingdings" w:hAnsi="Wingdings" w:hint="default"/>
      </w:rPr>
    </w:lvl>
    <w:lvl w:ilvl="3" w:tplc="0409000F" w:tentative="1">
      <w:start w:val="1"/>
      <w:numFmt w:val="bullet"/>
      <w:lvlText w:val=""/>
      <w:lvlJc w:val="left"/>
      <w:pPr>
        <w:tabs>
          <w:tab w:val="num" w:pos="5035"/>
        </w:tabs>
        <w:ind w:left="5035" w:hanging="360"/>
      </w:pPr>
      <w:rPr>
        <w:rFonts w:ascii="Symbol" w:hAnsi="Symbol" w:hint="default"/>
      </w:rPr>
    </w:lvl>
    <w:lvl w:ilvl="4" w:tplc="04090019" w:tentative="1">
      <w:start w:val="1"/>
      <w:numFmt w:val="bullet"/>
      <w:lvlText w:val="o"/>
      <w:lvlJc w:val="left"/>
      <w:pPr>
        <w:tabs>
          <w:tab w:val="num" w:pos="5755"/>
        </w:tabs>
        <w:ind w:left="5755" w:hanging="360"/>
      </w:pPr>
      <w:rPr>
        <w:rFonts w:ascii="Courier New" w:hAnsi="Courier New" w:cs="Courier New" w:hint="default"/>
      </w:rPr>
    </w:lvl>
    <w:lvl w:ilvl="5" w:tplc="0409001B" w:tentative="1">
      <w:start w:val="1"/>
      <w:numFmt w:val="bullet"/>
      <w:lvlText w:val=""/>
      <w:lvlJc w:val="left"/>
      <w:pPr>
        <w:tabs>
          <w:tab w:val="num" w:pos="6475"/>
        </w:tabs>
        <w:ind w:left="6475" w:hanging="360"/>
      </w:pPr>
      <w:rPr>
        <w:rFonts w:ascii="Wingdings" w:hAnsi="Wingdings" w:hint="default"/>
      </w:rPr>
    </w:lvl>
    <w:lvl w:ilvl="6" w:tplc="0409000F" w:tentative="1">
      <w:start w:val="1"/>
      <w:numFmt w:val="bullet"/>
      <w:lvlText w:val=""/>
      <w:lvlJc w:val="left"/>
      <w:pPr>
        <w:tabs>
          <w:tab w:val="num" w:pos="7195"/>
        </w:tabs>
        <w:ind w:left="7195" w:hanging="360"/>
      </w:pPr>
      <w:rPr>
        <w:rFonts w:ascii="Symbol" w:hAnsi="Symbol" w:hint="default"/>
      </w:rPr>
    </w:lvl>
    <w:lvl w:ilvl="7" w:tplc="04090019" w:tentative="1">
      <w:start w:val="1"/>
      <w:numFmt w:val="bullet"/>
      <w:lvlText w:val="o"/>
      <w:lvlJc w:val="left"/>
      <w:pPr>
        <w:tabs>
          <w:tab w:val="num" w:pos="7915"/>
        </w:tabs>
        <w:ind w:left="7915" w:hanging="360"/>
      </w:pPr>
      <w:rPr>
        <w:rFonts w:ascii="Courier New" w:hAnsi="Courier New" w:cs="Courier New" w:hint="default"/>
      </w:rPr>
    </w:lvl>
    <w:lvl w:ilvl="8" w:tplc="0409001B" w:tentative="1">
      <w:start w:val="1"/>
      <w:numFmt w:val="bullet"/>
      <w:lvlText w:val=""/>
      <w:lvlJc w:val="left"/>
      <w:pPr>
        <w:tabs>
          <w:tab w:val="num" w:pos="8635"/>
        </w:tabs>
        <w:ind w:left="8635"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30"/>
  </w:num>
  <w:num w:numId="7">
    <w:abstractNumId w:val="25"/>
  </w:num>
  <w:num w:numId="8">
    <w:abstractNumId w:val="11"/>
  </w:num>
  <w:num w:numId="9">
    <w:abstractNumId w:val="26"/>
  </w:num>
  <w:num w:numId="10">
    <w:abstractNumId w:val="58"/>
  </w:num>
  <w:num w:numId="11">
    <w:abstractNumId w:val="21"/>
  </w:num>
  <w:num w:numId="12">
    <w:abstractNumId w:val="59"/>
  </w:num>
  <w:num w:numId="13">
    <w:abstractNumId w:val="42"/>
  </w:num>
  <w:num w:numId="14">
    <w:abstractNumId w:val="12"/>
  </w:num>
  <w:num w:numId="15">
    <w:abstractNumId w:val="18"/>
  </w:num>
  <w:num w:numId="16">
    <w:abstractNumId w:val="9"/>
  </w:num>
  <w:num w:numId="17">
    <w:abstractNumId w:val="7"/>
  </w:num>
  <w:num w:numId="18">
    <w:abstractNumId w:val="40"/>
  </w:num>
  <w:num w:numId="19">
    <w:abstractNumId w:val="37"/>
  </w:num>
  <w:num w:numId="20">
    <w:abstractNumId w:val="35"/>
  </w:num>
  <w:num w:numId="21">
    <w:abstractNumId w:val="31"/>
  </w:num>
  <w:num w:numId="22">
    <w:abstractNumId w:val="39"/>
  </w:num>
  <w:num w:numId="23">
    <w:abstractNumId w:val="13"/>
  </w:num>
  <w:num w:numId="24">
    <w:abstractNumId w:val="29"/>
  </w:num>
  <w:num w:numId="25">
    <w:abstractNumId w:val="38"/>
  </w:num>
  <w:num w:numId="26">
    <w:abstractNumId w:val="4"/>
  </w:num>
  <w:num w:numId="27">
    <w:abstractNumId w:val="6"/>
  </w:num>
  <w:num w:numId="28">
    <w:abstractNumId w:val="56"/>
  </w:num>
  <w:num w:numId="29">
    <w:abstractNumId w:val="51"/>
  </w:num>
  <w:num w:numId="30">
    <w:abstractNumId w:val="27"/>
  </w:num>
  <w:num w:numId="31">
    <w:abstractNumId w:val="54"/>
  </w:num>
  <w:num w:numId="32">
    <w:abstractNumId w:val="36"/>
  </w:num>
  <w:num w:numId="33">
    <w:abstractNumId w:val="43"/>
  </w:num>
  <w:num w:numId="34">
    <w:abstractNumId w:val="47"/>
  </w:num>
  <w:num w:numId="35">
    <w:abstractNumId w:val="19"/>
  </w:num>
  <w:num w:numId="36">
    <w:abstractNumId w:val="21"/>
    <w:lvlOverride w:ilvl="0">
      <w:startOverride w:val="1"/>
    </w:lvlOverride>
  </w:num>
  <w:num w:numId="37">
    <w:abstractNumId w:val="20"/>
  </w:num>
  <w:num w:numId="38">
    <w:abstractNumId w:val="22"/>
  </w:num>
  <w:num w:numId="39">
    <w:abstractNumId w:val="50"/>
  </w:num>
  <w:num w:numId="4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5"/>
  </w:num>
  <w:num w:numId="42">
    <w:abstractNumId w:val="15"/>
  </w:num>
  <w:num w:numId="43">
    <w:abstractNumId w:val="17"/>
  </w:num>
  <w:num w:numId="44">
    <w:abstractNumId w:val="10"/>
  </w:num>
  <w:num w:numId="45">
    <w:abstractNumId w:val="34"/>
  </w:num>
  <w:num w:numId="46">
    <w:abstractNumId w:val="49"/>
  </w:num>
  <w:num w:numId="47">
    <w:abstractNumId w:val="44"/>
  </w:num>
  <w:num w:numId="48">
    <w:abstractNumId w:val="45"/>
  </w:num>
  <w:num w:numId="49">
    <w:abstractNumId w:val="48"/>
  </w:num>
  <w:num w:numId="50">
    <w:abstractNumId w:val="16"/>
  </w:num>
  <w:num w:numId="51">
    <w:abstractNumId w:val="32"/>
  </w:num>
  <w:num w:numId="52">
    <w:abstractNumId w:val="53"/>
  </w:num>
  <w:num w:numId="53">
    <w:abstractNumId w:val="33"/>
  </w:num>
  <w:num w:numId="54">
    <w:abstractNumId w:val="23"/>
  </w:num>
  <w:num w:numId="55">
    <w:abstractNumId w:val="24"/>
  </w:num>
  <w:num w:numId="56">
    <w:abstractNumId w:val="28"/>
  </w:num>
  <w:num w:numId="57">
    <w:abstractNumId w:val="14"/>
  </w:num>
  <w:num w:numId="58">
    <w:abstractNumId w:val="46"/>
  </w:num>
  <w:num w:numId="59">
    <w:abstractNumId w:val="41"/>
  </w:num>
  <w:num w:numId="60">
    <w:abstractNumId w:val="8"/>
  </w:num>
  <w:num w:numId="61">
    <w:abstractNumId w:val="52"/>
  </w:num>
  <w:num w:numId="62">
    <w:abstractNumId w:val="8"/>
  </w:num>
  <w:num w:numId="63">
    <w:abstractNumId w:val="57"/>
  </w:num>
  <w:num w:numId="64">
    <w:abstractNumId w:val="5"/>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GrammaticalErrors/>
  <w:stylePaneFormatFilter w:val="0004"/>
  <w:doNotTrackMoves/>
  <w:defaultTabStop w:val="680"/>
  <w:evenAndOddHeaders/>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06AB"/>
    <w:rsid w:val="00000C7C"/>
    <w:rsid w:val="0001007E"/>
    <w:rsid w:val="0001312C"/>
    <w:rsid w:val="00015B0E"/>
    <w:rsid w:val="00016640"/>
    <w:rsid w:val="000210D0"/>
    <w:rsid w:val="00021691"/>
    <w:rsid w:val="000241AA"/>
    <w:rsid w:val="00036EB5"/>
    <w:rsid w:val="00040E72"/>
    <w:rsid w:val="0004410F"/>
    <w:rsid w:val="000469F1"/>
    <w:rsid w:val="00052B12"/>
    <w:rsid w:val="0005706C"/>
    <w:rsid w:val="00065A50"/>
    <w:rsid w:val="00074268"/>
    <w:rsid w:val="00076D94"/>
    <w:rsid w:val="0008063F"/>
    <w:rsid w:val="00081D94"/>
    <w:rsid w:val="00082F53"/>
    <w:rsid w:val="0008310A"/>
    <w:rsid w:val="00086AA1"/>
    <w:rsid w:val="00091373"/>
    <w:rsid w:val="00094E50"/>
    <w:rsid w:val="00095D2A"/>
    <w:rsid w:val="000A5876"/>
    <w:rsid w:val="000B1767"/>
    <w:rsid w:val="000B2E1E"/>
    <w:rsid w:val="000C1F8B"/>
    <w:rsid w:val="000D4227"/>
    <w:rsid w:val="000D5189"/>
    <w:rsid w:val="000E23CB"/>
    <w:rsid w:val="000E5565"/>
    <w:rsid w:val="000F18B7"/>
    <w:rsid w:val="000F411B"/>
    <w:rsid w:val="00104EE7"/>
    <w:rsid w:val="001058C8"/>
    <w:rsid w:val="00105D4A"/>
    <w:rsid w:val="0010745C"/>
    <w:rsid w:val="0011126B"/>
    <w:rsid w:val="0011282D"/>
    <w:rsid w:val="0011369C"/>
    <w:rsid w:val="00120327"/>
    <w:rsid w:val="00123BBF"/>
    <w:rsid w:val="00124AEF"/>
    <w:rsid w:val="00124D43"/>
    <w:rsid w:val="001333A0"/>
    <w:rsid w:val="00160B35"/>
    <w:rsid w:val="00174D90"/>
    <w:rsid w:val="00175A28"/>
    <w:rsid w:val="0018433A"/>
    <w:rsid w:val="001A17FE"/>
    <w:rsid w:val="001B2734"/>
    <w:rsid w:val="001B47DC"/>
    <w:rsid w:val="001B47EE"/>
    <w:rsid w:val="001B5E7D"/>
    <w:rsid w:val="001C2582"/>
    <w:rsid w:val="001C5B89"/>
    <w:rsid w:val="001C7C70"/>
    <w:rsid w:val="001D0812"/>
    <w:rsid w:val="001D59C7"/>
    <w:rsid w:val="001E45D5"/>
    <w:rsid w:val="001F3891"/>
    <w:rsid w:val="001F7117"/>
    <w:rsid w:val="0020038B"/>
    <w:rsid w:val="0020469C"/>
    <w:rsid w:val="0020632F"/>
    <w:rsid w:val="00222E49"/>
    <w:rsid w:val="00231234"/>
    <w:rsid w:val="00232971"/>
    <w:rsid w:val="00232CB3"/>
    <w:rsid w:val="002414F6"/>
    <w:rsid w:val="00243439"/>
    <w:rsid w:val="00255B48"/>
    <w:rsid w:val="00261406"/>
    <w:rsid w:val="0026323C"/>
    <w:rsid w:val="0026457D"/>
    <w:rsid w:val="00265BE6"/>
    <w:rsid w:val="00266725"/>
    <w:rsid w:val="00266CAF"/>
    <w:rsid w:val="00280D8A"/>
    <w:rsid w:val="00282AAC"/>
    <w:rsid w:val="002844CB"/>
    <w:rsid w:val="0028743F"/>
    <w:rsid w:val="002949BC"/>
    <w:rsid w:val="00297786"/>
    <w:rsid w:val="002A6884"/>
    <w:rsid w:val="002B1043"/>
    <w:rsid w:val="002B1494"/>
    <w:rsid w:val="002B4F5C"/>
    <w:rsid w:val="002B6DD7"/>
    <w:rsid w:val="002C1BA8"/>
    <w:rsid w:val="002C7932"/>
    <w:rsid w:val="002E1C58"/>
    <w:rsid w:val="002E4865"/>
    <w:rsid w:val="002F4035"/>
    <w:rsid w:val="002F48A4"/>
    <w:rsid w:val="002F691F"/>
    <w:rsid w:val="00300C67"/>
    <w:rsid w:val="003101C1"/>
    <w:rsid w:val="00320E91"/>
    <w:rsid w:val="00321D1C"/>
    <w:rsid w:val="003241B0"/>
    <w:rsid w:val="0032483C"/>
    <w:rsid w:val="00325B78"/>
    <w:rsid w:val="00327856"/>
    <w:rsid w:val="00330027"/>
    <w:rsid w:val="00332E8E"/>
    <w:rsid w:val="0033659F"/>
    <w:rsid w:val="003379E2"/>
    <w:rsid w:val="00347778"/>
    <w:rsid w:val="0035612B"/>
    <w:rsid w:val="0035639B"/>
    <w:rsid w:val="00363456"/>
    <w:rsid w:val="0036489C"/>
    <w:rsid w:val="00365CF8"/>
    <w:rsid w:val="00367067"/>
    <w:rsid w:val="0037416F"/>
    <w:rsid w:val="00381B57"/>
    <w:rsid w:val="00381D79"/>
    <w:rsid w:val="00386BD9"/>
    <w:rsid w:val="00386EE5"/>
    <w:rsid w:val="00394787"/>
    <w:rsid w:val="003956A8"/>
    <w:rsid w:val="003A10A1"/>
    <w:rsid w:val="003A2516"/>
    <w:rsid w:val="003A3B78"/>
    <w:rsid w:val="003A42D1"/>
    <w:rsid w:val="003A4F40"/>
    <w:rsid w:val="003A7509"/>
    <w:rsid w:val="003B00D1"/>
    <w:rsid w:val="003B2CC1"/>
    <w:rsid w:val="003D19D4"/>
    <w:rsid w:val="003E6A26"/>
    <w:rsid w:val="003F0BC7"/>
    <w:rsid w:val="003F651F"/>
    <w:rsid w:val="003F7D5F"/>
    <w:rsid w:val="00403EEF"/>
    <w:rsid w:val="00404C06"/>
    <w:rsid w:val="004069A7"/>
    <w:rsid w:val="00417321"/>
    <w:rsid w:val="00426C4B"/>
    <w:rsid w:val="00426FC6"/>
    <w:rsid w:val="00433B32"/>
    <w:rsid w:val="004355F7"/>
    <w:rsid w:val="00444AF1"/>
    <w:rsid w:val="0044565E"/>
    <w:rsid w:val="004506EA"/>
    <w:rsid w:val="00452F2A"/>
    <w:rsid w:val="004531EB"/>
    <w:rsid w:val="00453CA7"/>
    <w:rsid w:val="00457E3D"/>
    <w:rsid w:val="00464673"/>
    <w:rsid w:val="004659C7"/>
    <w:rsid w:val="00480F53"/>
    <w:rsid w:val="004967CD"/>
    <w:rsid w:val="004A319D"/>
    <w:rsid w:val="004B27AA"/>
    <w:rsid w:val="004C3E0C"/>
    <w:rsid w:val="004D6BF1"/>
    <w:rsid w:val="004E66F8"/>
    <w:rsid w:val="004E730E"/>
    <w:rsid w:val="004F4A19"/>
    <w:rsid w:val="00501408"/>
    <w:rsid w:val="00510C3D"/>
    <w:rsid w:val="00514AA5"/>
    <w:rsid w:val="0052191A"/>
    <w:rsid w:val="005228CD"/>
    <w:rsid w:val="0052601A"/>
    <w:rsid w:val="00532AEE"/>
    <w:rsid w:val="005332AA"/>
    <w:rsid w:val="005449FD"/>
    <w:rsid w:val="00551E54"/>
    <w:rsid w:val="00560456"/>
    <w:rsid w:val="00564059"/>
    <w:rsid w:val="0056406A"/>
    <w:rsid w:val="00583DBD"/>
    <w:rsid w:val="00586CA6"/>
    <w:rsid w:val="00592655"/>
    <w:rsid w:val="005A1D9E"/>
    <w:rsid w:val="005A3CED"/>
    <w:rsid w:val="005B77D0"/>
    <w:rsid w:val="005B7D22"/>
    <w:rsid w:val="005C4AA8"/>
    <w:rsid w:val="005D0BB3"/>
    <w:rsid w:val="005D6C55"/>
    <w:rsid w:val="005E110C"/>
    <w:rsid w:val="005E2281"/>
    <w:rsid w:val="005E30E0"/>
    <w:rsid w:val="005E4BCD"/>
    <w:rsid w:val="005E625C"/>
    <w:rsid w:val="005F06BD"/>
    <w:rsid w:val="005F44C1"/>
    <w:rsid w:val="005F508E"/>
    <w:rsid w:val="00600CDB"/>
    <w:rsid w:val="006011DB"/>
    <w:rsid w:val="00602A12"/>
    <w:rsid w:val="0060624F"/>
    <w:rsid w:val="00610111"/>
    <w:rsid w:val="0061041F"/>
    <w:rsid w:val="006239A6"/>
    <w:rsid w:val="006308CA"/>
    <w:rsid w:val="00631659"/>
    <w:rsid w:val="00631BFA"/>
    <w:rsid w:val="00635785"/>
    <w:rsid w:val="0064077B"/>
    <w:rsid w:val="00645AB2"/>
    <w:rsid w:val="006477A6"/>
    <w:rsid w:val="00651B4B"/>
    <w:rsid w:val="0065521B"/>
    <w:rsid w:val="0066270D"/>
    <w:rsid w:val="00671B4F"/>
    <w:rsid w:val="00672E96"/>
    <w:rsid w:val="00673633"/>
    <w:rsid w:val="00675A35"/>
    <w:rsid w:val="0068416F"/>
    <w:rsid w:val="00685F6F"/>
    <w:rsid w:val="00690FDB"/>
    <w:rsid w:val="006A241A"/>
    <w:rsid w:val="006B79F0"/>
    <w:rsid w:val="006C307C"/>
    <w:rsid w:val="006D0355"/>
    <w:rsid w:val="006D1DAF"/>
    <w:rsid w:val="006D2BE7"/>
    <w:rsid w:val="006D4A8E"/>
    <w:rsid w:val="006D578B"/>
    <w:rsid w:val="006D675E"/>
    <w:rsid w:val="006D74A8"/>
    <w:rsid w:val="006F4680"/>
    <w:rsid w:val="00714CB5"/>
    <w:rsid w:val="0071636F"/>
    <w:rsid w:val="00717B7F"/>
    <w:rsid w:val="00723441"/>
    <w:rsid w:val="007237A1"/>
    <w:rsid w:val="0072535D"/>
    <w:rsid w:val="007400FE"/>
    <w:rsid w:val="00745279"/>
    <w:rsid w:val="00745A9C"/>
    <w:rsid w:val="007504CA"/>
    <w:rsid w:val="00751C6B"/>
    <w:rsid w:val="007525FC"/>
    <w:rsid w:val="00754193"/>
    <w:rsid w:val="00754543"/>
    <w:rsid w:val="00761DC0"/>
    <w:rsid w:val="00770F75"/>
    <w:rsid w:val="0077398F"/>
    <w:rsid w:val="00774AE8"/>
    <w:rsid w:val="00775784"/>
    <w:rsid w:val="00776880"/>
    <w:rsid w:val="00777841"/>
    <w:rsid w:val="00781EE0"/>
    <w:rsid w:val="00784A7D"/>
    <w:rsid w:val="007972FD"/>
    <w:rsid w:val="007A1F1A"/>
    <w:rsid w:val="007A57B3"/>
    <w:rsid w:val="007B74CA"/>
    <w:rsid w:val="007C1E0E"/>
    <w:rsid w:val="007C2A1D"/>
    <w:rsid w:val="007C5F1F"/>
    <w:rsid w:val="007C6CEB"/>
    <w:rsid w:val="007D035D"/>
    <w:rsid w:val="007D7226"/>
    <w:rsid w:val="007E4A52"/>
    <w:rsid w:val="007E679E"/>
    <w:rsid w:val="007E7DF9"/>
    <w:rsid w:val="007F00F4"/>
    <w:rsid w:val="007F0C4C"/>
    <w:rsid w:val="007F1BF8"/>
    <w:rsid w:val="007F2890"/>
    <w:rsid w:val="007F4786"/>
    <w:rsid w:val="007F4ECB"/>
    <w:rsid w:val="00804F9C"/>
    <w:rsid w:val="0080695A"/>
    <w:rsid w:val="0081190D"/>
    <w:rsid w:val="00812590"/>
    <w:rsid w:val="0082210C"/>
    <w:rsid w:val="00823B8F"/>
    <w:rsid w:val="008302C2"/>
    <w:rsid w:val="00833AA7"/>
    <w:rsid w:val="008459D0"/>
    <w:rsid w:val="00846181"/>
    <w:rsid w:val="00846BE3"/>
    <w:rsid w:val="008608DA"/>
    <w:rsid w:val="008671F0"/>
    <w:rsid w:val="0087140B"/>
    <w:rsid w:val="00883037"/>
    <w:rsid w:val="00884532"/>
    <w:rsid w:val="0088544E"/>
    <w:rsid w:val="008861AE"/>
    <w:rsid w:val="00893EB0"/>
    <w:rsid w:val="00896F95"/>
    <w:rsid w:val="008B72C0"/>
    <w:rsid w:val="008C1B26"/>
    <w:rsid w:val="008C2620"/>
    <w:rsid w:val="008C49E6"/>
    <w:rsid w:val="008C6C78"/>
    <w:rsid w:val="008D1E15"/>
    <w:rsid w:val="008D5230"/>
    <w:rsid w:val="008D66CD"/>
    <w:rsid w:val="008F12F4"/>
    <w:rsid w:val="008F32B2"/>
    <w:rsid w:val="009037B3"/>
    <w:rsid w:val="00910C20"/>
    <w:rsid w:val="009146F4"/>
    <w:rsid w:val="00920327"/>
    <w:rsid w:val="00932064"/>
    <w:rsid w:val="0093701B"/>
    <w:rsid w:val="00942F8B"/>
    <w:rsid w:val="00946DD9"/>
    <w:rsid w:val="00951720"/>
    <w:rsid w:val="009539ED"/>
    <w:rsid w:val="00957BDD"/>
    <w:rsid w:val="00970856"/>
    <w:rsid w:val="0097411B"/>
    <w:rsid w:val="00977626"/>
    <w:rsid w:val="00987BE9"/>
    <w:rsid w:val="009912C3"/>
    <w:rsid w:val="009929D8"/>
    <w:rsid w:val="009948BE"/>
    <w:rsid w:val="00996FE3"/>
    <w:rsid w:val="009A0A19"/>
    <w:rsid w:val="009A3270"/>
    <w:rsid w:val="009A767D"/>
    <w:rsid w:val="009B0506"/>
    <w:rsid w:val="009B0D18"/>
    <w:rsid w:val="009B214B"/>
    <w:rsid w:val="009B758C"/>
    <w:rsid w:val="009C5D54"/>
    <w:rsid w:val="009C7E58"/>
    <w:rsid w:val="009D2431"/>
    <w:rsid w:val="009D60FC"/>
    <w:rsid w:val="009E2EBC"/>
    <w:rsid w:val="009E5E6E"/>
    <w:rsid w:val="009E6384"/>
    <w:rsid w:val="009F2FC3"/>
    <w:rsid w:val="009F6B7E"/>
    <w:rsid w:val="00A00BC9"/>
    <w:rsid w:val="00A126DC"/>
    <w:rsid w:val="00A25D78"/>
    <w:rsid w:val="00A32823"/>
    <w:rsid w:val="00A32C35"/>
    <w:rsid w:val="00A42CC7"/>
    <w:rsid w:val="00A444EC"/>
    <w:rsid w:val="00A4527E"/>
    <w:rsid w:val="00A474CC"/>
    <w:rsid w:val="00A50ED1"/>
    <w:rsid w:val="00A56C80"/>
    <w:rsid w:val="00A64097"/>
    <w:rsid w:val="00A65F62"/>
    <w:rsid w:val="00A66CBB"/>
    <w:rsid w:val="00A822DC"/>
    <w:rsid w:val="00A83CF9"/>
    <w:rsid w:val="00A84348"/>
    <w:rsid w:val="00A90CA1"/>
    <w:rsid w:val="00A94BC6"/>
    <w:rsid w:val="00A97F91"/>
    <w:rsid w:val="00AA34F8"/>
    <w:rsid w:val="00AA45B7"/>
    <w:rsid w:val="00AA6123"/>
    <w:rsid w:val="00AA79FF"/>
    <w:rsid w:val="00AB0FAD"/>
    <w:rsid w:val="00AC358D"/>
    <w:rsid w:val="00AC478E"/>
    <w:rsid w:val="00AC7E1F"/>
    <w:rsid w:val="00AD0A6A"/>
    <w:rsid w:val="00AD18A8"/>
    <w:rsid w:val="00AD2BE8"/>
    <w:rsid w:val="00AD3FDC"/>
    <w:rsid w:val="00AD730F"/>
    <w:rsid w:val="00AF2776"/>
    <w:rsid w:val="00AF676A"/>
    <w:rsid w:val="00AF7D72"/>
    <w:rsid w:val="00B0289D"/>
    <w:rsid w:val="00B06952"/>
    <w:rsid w:val="00B15675"/>
    <w:rsid w:val="00B17117"/>
    <w:rsid w:val="00B23BB0"/>
    <w:rsid w:val="00B252D0"/>
    <w:rsid w:val="00B346D4"/>
    <w:rsid w:val="00B37E0D"/>
    <w:rsid w:val="00B42F87"/>
    <w:rsid w:val="00B44BC5"/>
    <w:rsid w:val="00B62681"/>
    <w:rsid w:val="00B80DAE"/>
    <w:rsid w:val="00B81503"/>
    <w:rsid w:val="00B84194"/>
    <w:rsid w:val="00B8750E"/>
    <w:rsid w:val="00B927BD"/>
    <w:rsid w:val="00B93686"/>
    <w:rsid w:val="00B95ADB"/>
    <w:rsid w:val="00BA6708"/>
    <w:rsid w:val="00BB43DB"/>
    <w:rsid w:val="00BC346F"/>
    <w:rsid w:val="00BC369A"/>
    <w:rsid w:val="00BC7AC8"/>
    <w:rsid w:val="00BD1F3C"/>
    <w:rsid w:val="00BD34C6"/>
    <w:rsid w:val="00BD3EB1"/>
    <w:rsid w:val="00BE6C28"/>
    <w:rsid w:val="00BF207A"/>
    <w:rsid w:val="00BF46C4"/>
    <w:rsid w:val="00C00C0D"/>
    <w:rsid w:val="00C03094"/>
    <w:rsid w:val="00C03C80"/>
    <w:rsid w:val="00C15611"/>
    <w:rsid w:val="00C15690"/>
    <w:rsid w:val="00C16093"/>
    <w:rsid w:val="00C16AFF"/>
    <w:rsid w:val="00C1733B"/>
    <w:rsid w:val="00C26843"/>
    <w:rsid w:val="00C30464"/>
    <w:rsid w:val="00C34211"/>
    <w:rsid w:val="00C4543B"/>
    <w:rsid w:val="00C46CC9"/>
    <w:rsid w:val="00C471A9"/>
    <w:rsid w:val="00C51691"/>
    <w:rsid w:val="00C54611"/>
    <w:rsid w:val="00C6098B"/>
    <w:rsid w:val="00C71A42"/>
    <w:rsid w:val="00C72EB7"/>
    <w:rsid w:val="00C94E14"/>
    <w:rsid w:val="00CA05A5"/>
    <w:rsid w:val="00CB11DE"/>
    <w:rsid w:val="00CC3672"/>
    <w:rsid w:val="00CE592B"/>
    <w:rsid w:val="00CE5BE5"/>
    <w:rsid w:val="00CF0720"/>
    <w:rsid w:val="00CF2669"/>
    <w:rsid w:val="00D0360A"/>
    <w:rsid w:val="00D11BDB"/>
    <w:rsid w:val="00D140BB"/>
    <w:rsid w:val="00D15963"/>
    <w:rsid w:val="00D16875"/>
    <w:rsid w:val="00D32736"/>
    <w:rsid w:val="00D37BEC"/>
    <w:rsid w:val="00D41A3E"/>
    <w:rsid w:val="00D4253A"/>
    <w:rsid w:val="00D43E1F"/>
    <w:rsid w:val="00D4415C"/>
    <w:rsid w:val="00D44F9A"/>
    <w:rsid w:val="00D5428E"/>
    <w:rsid w:val="00D560C9"/>
    <w:rsid w:val="00D61FD7"/>
    <w:rsid w:val="00D67D47"/>
    <w:rsid w:val="00D71C3E"/>
    <w:rsid w:val="00D74060"/>
    <w:rsid w:val="00D75706"/>
    <w:rsid w:val="00D76739"/>
    <w:rsid w:val="00D81CF6"/>
    <w:rsid w:val="00D86241"/>
    <w:rsid w:val="00D86284"/>
    <w:rsid w:val="00D913CB"/>
    <w:rsid w:val="00D93A19"/>
    <w:rsid w:val="00D969E7"/>
    <w:rsid w:val="00DA5E6F"/>
    <w:rsid w:val="00DB5483"/>
    <w:rsid w:val="00DB5A0F"/>
    <w:rsid w:val="00DE1C5D"/>
    <w:rsid w:val="00DE4AC4"/>
    <w:rsid w:val="00DF33D4"/>
    <w:rsid w:val="00DF34AB"/>
    <w:rsid w:val="00DF6FC8"/>
    <w:rsid w:val="00E04555"/>
    <w:rsid w:val="00E105A3"/>
    <w:rsid w:val="00E15079"/>
    <w:rsid w:val="00E22A1A"/>
    <w:rsid w:val="00E23CF3"/>
    <w:rsid w:val="00E2580D"/>
    <w:rsid w:val="00E37658"/>
    <w:rsid w:val="00E445D9"/>
    <w:rsid w:val="00E464F2"/>
    <w:rsid w:val="00E470AE"/>
    <w:rsid w:val="00E47CFB"/>
    <w:rsid w:val="00E55B21"/>
    <w:rsid w:val="00E57A5B"/>
    <w:rsid w:val="00E658DF"/>
    <w:rsid w:val="00E76C26"/>
    <w:rsid w:val="00E80DD0"/>
    <w:rsid w:val="00E81A2B"/>
    <w:rsid w:val="00E84AE2"/>
    <w:rsid w:val="00E92C78"/>
    <w:rsid w:val="00E930B7"/>
    <w:rsid w:val="00E95F45"/>
    <w:rsid w:val="00E97F79"/>
    <w:rsid w:val="00EA06AB"/>
    <w:rsid w:val="00EB68DC"/>
    <w:rsid w:val="00EC0393"/>
    <w:rsid w:val="00EC36BE"/>
    <w:rsid w:val="00EC582F"/>
    <w:rsid w:val="00ED1C5C"/>
    <w:rsid w:val="00ED2F77"/>
    <w:rsid w:val="00ED4A52"/>
    <w:rsid w:val="00ED5E28"/>
    <w:rsid w:val="00ED7D19"/>
    <w:rsid w:val="00EE25A5"/>
    <w:rsid w:val="00EE55B8"/>
    <w:rsid w:val="00EE5D7D"/>
    <w:rsid w:val="00EF08EF"/>
    <w:rsid w:val="00EF26DD"/>
    <w:rsid w:val="00EF7160"/>
    <w:rsid w:val="00EF77AA"/>
    <w:rsid w:val="00F0073E"/>
    <w:rsid w:val="00F049F9"/>
    <w:rsid w:val="00F159C8"/>
    <w:rsid w:val="00F1742A"/>
    <w:rsid w:val="00F24564"/>
    <w:rsid w:val="00F30123"/>
    <w:rsid w:val="00F315D8"/>
    <w:rsid w:val="00F35EFF"/>
    <w:rsid w:val="00F36856"/>
    <w:rsid w:val="00F37BC5"/>
    <w:rsid w:val="00F40A83"/>
    <w:rsid w:val="00F41C55"/>
    <w:rsid w:val="00F47787"/>
    <w:rsid w:val="00F5005F"/>
    <w:rsid w:val="00F50F4E"/>
    <w:rsid w:val="00F5611B"/>
    <w:rsid w:val="00F66167"/>
    <w:rsid w:val="00F66E8F"/>
    <w:rsid w:val="00F70D12"/>
    <w:rsid w:val="00F72BDC"/>
    <w:rsid w:val="00F77953"/>
    <w:rsid w:val="00F815BA"/>
    <w:rsid w:val="00F82F4E"/>
    <w:rsid w:val="00F85581"/>
    <w:rsid w:val="00F92508"/>
    <w:rsid w:val="00F943C6"/>
    <w:rsid w:val="00FA309D"/>
    <w:rsid w:val="00FA367A"/>
    <w:rsid w:val="00FA645B"/>
    <w:rsid w:val="00FA74D8"/>
    <w:rsid w:val="00FB491A"/>
    <w:rsid w:val="00FC0CAE"/>
    <w:rsid w:val="00FC2685"/>
    <w:rsid w:val="00FC59C9"/>
    <w:rsid w:val="00FC75CA"/>
    <w:rsid w:val="00FD2944"/>
    <w:rsid w:val="00FD6CDE"/>
    <w:rsid w:val="00FE65C0"/>
    <w:rsid w:val="00FE6867"/>
    <w:rsid w:val="00FE6A89"/>
    <w:rsid w:val="00FE7AD5"/>
    <w:rsid w:val="00FF02F0"/>
    <w:rsid w:val="00FF1B9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2"/>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aliases w:val="Table_GA,Table_G"/>
    <w:basedOn w:val="SingleTxtGA"/>
    <w:next w:val="Normal"/>
    <w:link w:val="Heading1Char"/>
    <w:qFormat/>
    <w:rsid w:val="002C7932"/>
    <w:pPr>
      <w:suppressAutoHyphens/>
      <w:bidi w:val="0"/>
      <w:jc w:val="left"/>
      <w:outlineLvl w:val="0"/>
    </w:pPr>
    <w:rPr>
      <w:spacing w:val="6"/>
      <w:kern w:val="16"/>
      <w:sz w:val="22"/>
      <w:lang w:eastAsia="ar-SA"/>
    </w:rPr>
  </w:style>
  <w:style w:type="paragraph" w:styleId="Heading2">
    <w:name w:val="heading 2"/>
    <w:basedOn w:val="Normal"/>
    <w:next w:val="Normal"/>
    <w:link w:val="Heading2Char"/>
    <w:qFormat/>
    <w:rsid w:val="002C7932"/>
    <w:pPr>
      <w:keepNext/>
      <w:bidi/>
      <w:spacing w:before="240" w:after="60"/>
      <w:outlineLvl w:val="1"/>
    </w:pPr>
    <w:rPr>
      <w:rFonts w:ascii="Arial" w:hAnsi="Arial" w:cs="Arial"/>
      <w:b/>
      <w:bCs/>
      <w:i/>
      <w:iCs/>
      <w:spacing w:val="6"/>
      <w:kern w:val="16"/>
      <w:sz w:val="28"/>
      <w:szCs w:val="28"/>
      <w:lang w:eastAsia="ar-SA"/>
    </w:rPr>
  </w:style>
  <w:style w:type="paragraph" w:styleId="Heading3">
    <w:name w:val="heading 3"/>
    <w:basedOn w:val="Normal"/>
    <w:next w:val="Normal"/>
    <w:link w:val="Heading3Char"/>
    <w:qFormat/>
    <w:rsid w:val="002C7932"/>
    <w:pPr>
      <w:keepNext/>
      <w:bidi/>
      <w:spacing w:before="240" w:after="60"/>
      <w:outlineLvl w:val="2"/>
    </w:pPr>
    <w:rPr>
      <w:rFonts w:ascii="Arial" w:hAnsi="Arial" w:cs="Arial"/>
      <w:b/>
      <w:bCs/>
      <w:spacing w:val="6"/>
      <w:kern w:val="16"/>
      <w:sz w:val="26"/>
      <w:szCs w:val="26"/>
      <w:lang w:eastAsia="ar-SA"/>
    </w:rPr>
  </w:style>
  <w:style w:type="paragraph" w:styleId="Heading4">
    <w:name w:val="heading 4"/>
    <w:basedOn w:val="Normal"/>
    <w:next w:val="Normal"/>
    <w:link w:val="Heading4Char"/>
    <w:qFormat/>
    <w:rsid w:val="002C7932"/>
    <w:pPr>
      <w:suppressAutoHyphens/>
      <w:outlineLvl w:val="3"/>
    </w:pPr>
    <w:rPr>
      <w:snapToGrid w:val="0"/>
      <w:sz w:val="20"/>
      <w:szCs w:val="20"/>
      <w:lang w:val="en-GB"/>
    </w:rPr>
  </w:style>
  <w:style w:type="paragraph" w:styleId="Heading5">
    <w:name w:val="heading 5"/>
    <w:basedOn w:val="Normal"/>
    <w:next w:val="Normal"/>
    <w:link w:val="Heading5Char"/>
    <w:qFormat/>
    <w:rsid w:val="002C7932"/>
    <w:pPr>
      <w:suppressAutoHyphens/>
      <w:outlineLvl w:val="4"/>
    </w:pPr>
    <w:rPr>
      <w:snapToGrid w:val="0"/>
      <w:sz w:val="20"/>
      <w:szCs w:val="20"/>
      <w:lang w:val="en-GB"/>
    </w:rPr>
  </w:style>
  <w:style w:type="paragraph" w:styleId="Heading6">
    <w:name w:val="heading 6"/>
    <w:basedOn w:val="Normal"/>
    <w:next w:val="Normal"/>
    <w:link w:val="Heading6Char"/>
    <w:qFormat/>
    <w:rsid w:val="002C7932"/>
    <w:pPr>
      <w:suppressAutoHyphens/>
      <w:outlineLvl w:val="5"/>
    </w:pPr>
    <w:rPr>
      <w:snapToGrid w:val="0"/>
      <w:sz w:val="20"/>
      <w:szCs w:val="20"/>
      <w:lang w:val="en-GB"/>
    </w:rPr>
  </w:style>
  <w:style w:type="paragraph" w:styleId="Heading7">
    <w:name w:val="heading 7"/>
    <w:basedOn w:val="Normal"/>
    <w:next w:val="Normal"/>
    <w:link w:val="Heading7Char"/>
    <w:qFormat/>
    <w:rsid w:val="002C7932"/>
    <w:pPr>
      <w:suppressAutoHyphens/>
      <w:outlineLvl w:val="6"/>
    </w:pPr>
    <w:rPr>
      <w:snapToGrid w:val="0"/>
      <w:sz w:val="20"/>
      <w:szCs w:val="20"/>
      <w:lang w:val="en-GB"/>
    </w:rPr>
  </w:style>
  <w:style w:type="paragraph" w:styleId="Heading8">
    <w:name w:val="heading 8"/>
    <w:basedOn w:val="Normal"/>
    <w:next w:val="Normal"/>
    <w:link w:val="Heading8Char"/>
    <w:qFormat/>
    <w:rsid w:val="002C7932"/>
    <w:pPr>
      <w:suppressAutoHyphens/>
      <w:outlineLvl w:val="7"/>
    </w:pPr>
    <w:rPr>
      <w:snapToGrid w:val="0"/>
      <w:sz w:val="20"/>
      <w:szCs w:val="20"/>
      <w:lang w:val="en-GB"/>
    </w:rPr>
  </w:style>
  <w:style w:type="paragraph" w:styleId="Heading9">
    <w:name w:val="heading 9"/>
    <w:basedOn w:val="Normal"/>
    <w:next w:val="Normal"/>
    <w:link w:val="Heading9Char"/>
    <w:qFormat/>
    <w:rsid w:val="002C7932"/>
    <w:pPr>
      <w:suppressAutoHyphens/>
      <w:outlineLvl w:val="8"/>
    </w:pPr>
    <w:rPr>
      <w:snapToGrid w:val="0"/>
      <w:sz w:val="20"/>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aliases w:val="Footnote Text_a,5_G,Footnote Text Char Char1,Footnote Text Char1 Char Char1,Footnote Text Char Char1 Char Char,Footnote Text Char1 Char Char1 Char Char,ft Char Char Char Char Char,Geneva 9 Char Char Char Char Char,stile 1,Footnote referenc"/>
    <w:basedOn w:val="Normal"/>
    <w:link w:val="FootnoteTextChar"/>
    <w:semiHidden/>
    <w:rsid w:val="00A474CC"/>
    <w:pPr>
      <w:numPr>
        <w:numId w:val="1"/>
      </w:numPr>
    </w:pPr>
    <w:rPr>
      <w:sz w:val="20"/>
      <w:szCs w:val="20"/>
    </w:rPr>
  </w:style>
  <w:style w:type="character" w:styleId="FootnoteReference">
    <w:name w:val="footnote reference"/>
    <w:aliases w:val="4_GA,Footnote Reference_a,4_G,4_G Char1 Char,Footnote number Char Char,4_G Char Char Char Char Char,4_G Char Char Char Char Char Char,ftref Char Char Char Char Char Char Char,ftref Char Char Char Char Char Char Char Char,Footnote numb"/>
    <w:basedOn w:val="DefaultParagraphFont"/>
    <w:link w:val="4GChar1"/>
    <w:semiHidden/>
    <w:rsid w:val="00A474CC"/>
    <w:rPr>
      <w:vertAlign w:val="superscript"/>
    </w:rPr>
  </w:style>
  <w:style w:type="paragraph" w:styleId="EndnoteText">
    <w:name w:val="endnote text"/>
    <w:aliases w:val="2_ GA,2_G"/>
    <w:basedOn w:val="Normal"/>
    <w:link w:val="EndnoteTextChar"/>
    <w:semiHidden/>
    <w:rsid w:val="00EB68DC"/>
    <w:rPr>
      <w:sz w:val="20"/>
      <w:szCs w:val="20"/>
    </w:rPr>
  </w:style>
  <w:style w:type="character" w:styleId="EndnoteReference">
    <w:name w:val="endnote reference"/>
    <w:aliases w:val="1_G"/>
    <w:basedOn w:val="DefaultParagraphFont"/>
    <w:semiHidden/>
    <w:rsid w:val="00EB68DC"/>
    <w:rPr>
      <w:vertAlign w:val="superscript"/>
    </w:rPr>
  </w:style>
  <w:style w:type="paragraph" w:styleId="Header">
    <w:name w:val="header"/>
    <w:aliases w:val="6_GA,6_G"/>
    <w:basedOn w:val="Normal"/>
    <w:link w:val="HeaderChar2"/>
    <w:rsid w:val="008D66CD"/>
    <w:pPr>
      <w:pBdr>
        <w:bottom w:val="single" w:sz="4" w:space="4" w:color="auto"/>
      </w:pBdr>
      <w:suppressAutoHyphens/>
      <w:spacing w:line="240" w:lineRule="atLeast"/>
      <w:jc w:val="lowKashida"/>
    </w:pPr>
    <w:rPr>
      <w:rFonts w:cs="Traditional Arabic"/>
      <w:b/>
      <w:bCs/>
      <w:sz w:val="18"/>
      <w:szCs w:val="26"/>
    </w:rPr>
  </w:style>
  <w:style w:type="paragraph" w:styleId="Footer">
    <w:name w:val="footer"/>
    <w:aliases w:val="3_GA,3_G"/>
    <w:basedOn w:val="Normal"/>
    <w:link w:val="FooterChar2"/>
    <w:rsid w:val="008D66CD"/>
    <w:pPr>
      <w:suppressAutoHyphens/>
      <w:jc w:val="lowKashida"/>
    </w:pPr>
    <w:rPr>
      <w:rFonts w:cs="Traditional Arabic"/>
      <w:sz w:val="16"/>
      <w:szCs w:val="22"/>
      <w:lang w:val="en-GB"/>
    </w:rPr>
  </w:style>
  <w:style w:type="table" w:styleId="TableGrid">
    <w:name w:val="Table Grid"/>
    <w:basedOn w:val="TableNormal"/>
    <w:semiHidden/>
    <w:rsid w:val="008D66CD"/>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A">
    <w:name w:val="_ H _Ch_GA"/>
    <w:basedOn w:val="Normal"/>
    <w:next w:val="Normal"/>
    <w:link w:val="HChGAChar"/>
    <w:rsid w:val="008D66CD"/>
    <w:pPr>
      <w:keepNext/>
      <w:keepLines/>
      <w:tabs>
        <w:tab w:val="right" w:pos="1021"/>
      </w:tabs>
      <w:suppressAutoHyphens/>
      <w:bidi/>
      <w:spacing w:before="360" w:after="240" w:line="440" w:lineRule="exact"/>
      <w:ind w:left="1247" w:right="1247" w:hanging="1247"/>
      <w:jc w:val="lowKashida"/>
    </w:pPr>
    <w:rPr>
      <w:rFonts w:cs="Traditional Arabic"/>
      <w:b/>
      <w:bCs/>
      <w:sz w:val="28"/>
      <w:szCs w:val="38"/>
    </w:rPr>
  </w:style>
  <w:style w:type="paragraph" w:customStyle="1" w:styleId="H1GA">
    <w:name w:val="_ H_1_GA"/>
    <w:basedOn w:val="Normal"/>
    <w:next w:val="Normal"/>
    <w:link w:val="H1GAChar"/>
    <w:rsid w:val="008D66CD"/>
    <w:pPr>
      <w:keepNext/>
      <w:keepLines/>
      <w:tabs>
        <w:tab w:val="right" w:pos="1021"/>
      </w:tabs>
      <w:suppressAutoHyphens/>
      <w:bidi/>
      <w:spacing w:before="240" w:after="240" w:line="400" w:lineRule="exact"/>
      <w:ind w:left="1247" w:right="1247" w:hanging="1247"/>
      <w:jc w:val="lowKashida"/>
    </w:pPr>
    <w:rPr>
      <w:rFonts w:cs="Traditional Arabic"/>
      <w:b/>
      <w:bCs/>
      <w:szCs w:val="34"/>
    </w:rPr>
  </w:style>
  <w:style w:type="paragraph" w:customStyle="1" w:styleId="H23GA">
    <w:name w:val="_ H_2/3_GA"/>
    <w:basedOn w:val="Normal"/>
    <w:next w:val="Normal"/>
    <w:link w:val="H23GAChar"/>
    <w:rsid w:val="008D66CD"/>
    <w:pPr>
      <w:keepNext/>
      <w:keepLines/>
      <w:tabs>
        <w:tab w:val="right" w:pos="1021"/>
      </w:tabs>
      <w:bidi/>
      <w:spacing w:before="120" w:after="120" w:line="380" w:lineRule="exact"/>
      <w:ind w:left="1247" w:right="1247" w:hanging="1247"/>
      <w:jc w:val="lowKashida"/>
    </w:pPr>
    <w:rPr>
      <w:rFonts w:cs="Traditional Arabic"/>
      <w:b/>
      <w:bCs/>
      <w:sz w:val="20"/>
      <w:szCs w:val="30"/>
      <w:lang w:eastAsia="ar-SA"/>
    </w:rPr>
  </w:style>
  <w:style w:type="paragraph" w:customStyle="1" w:styleId="SingleTxtGA">
    <w:name w:val="_ Single Txt_GA"/>
    <w:basedOn w:val="Normal"/>
    <w:link w:val="SingleTxtGAChar"/>
    <w:rsid w:val="008D66CD"/>
    <w:pPr>
      <w:tabs>
        <w:tab w:val="left" w:pos="1928"/>
        <w:tab w:val="left" w:pos="2608"/>
        <w:tab w:val="left" w:pos="3289"/>
        <w:tab w:val="left" w:pos="3969"/>
        <w:tab w:val="left" w:pos="4649"/>
        <w:tab w:val="left" w:pos="5330"/>
      </w:tabs>
      <w:bidi/>
      <w:spacing w:after="120" w:line="380" w:lineRule="exact"/>
      <w:ind w:left="1247" w:right="1247"/>
      <w:jc w:val="lowKashida"/>
    </w:pPr>
    <w:rPr>
      <w:rFonts w:cs="Traditional Arabic"/>
      <w:sz w:val="20"/>
      <w:szCs w:val="30"/>
    </w:rPr>
  </w:style>
  <w:style w:type="paragraph" w:customStyle="1" w:styleId="ParaNoGA">
    <w:name w:val="_ParaNo._GA"/>
    <w:basedOn w:val="SingleTxtGA"/>
    <w:rsid w:val="008D66CD"/>
    <w:pPr>
      <w:numPr>
        <w:numId w:val="6"/>
      </w:numPr>
      <w:tabs>
        <w:tab w:val="clear" w:pos="1361"/>
        <w:tab w:val="num" w:pos="360"/>
      </w:tabs>
      <w:suppressAutoHyphens/>
      <w:bidi w:val="0"/>
    </w:pPr>
  </w:style>
  <w:style w:type="paragraph" w:customStyle="1" w:styleId="footnoteText0">
    <w:name w:val="footnote Text"/>
    <w:aliases w:val="5_GA"/>
    <w:basedOn w:val="Normal"/>
    <w:rsid w:val="008D66CD"/>
    <w:pPr>
      <w:tabs>
        <w:tab w:val="right" w:pos="1021"/>
      </w:tabs>
      <w:bidi/>
      <w:spacing w:after="60" w:line="300" w:lineRule="exact"/>
      <w:ind w:left="1247" w:right="1247" w:hanging="1247"/>
      <w:jc w:val="lowKashida"/>
    </w:pPr>
    <w:rPr>
      <w:rFonts w:cs="Traditional Arabic"/>
      <w:sz w:val="18"/>
      <w:szCs w:val="26"/>
    </w:rPr>
  </w:style>
  <w:style w:type="character" w:customStyle="1" w:styleId="SingleTxtGAChar">
    <w:name w:val="_ Single Txt_GA Char"/>
    <w:basedOn w:val="DefaultParagraphFont"/>
    <w:link w:val="SingleTxtGA"/>
    <w:rsid w:val="008D66CD"/>
    <w:rPr>
      <w:rFonts w:cs="Traditional Arabic"/>
      <w:szCs w:val="30"/>
      <w:lang w:val="en-US" w:eastAsia="en-US" w:bidi="ar-SA"/>
    </w:rPr>
  </w:style>
  <w:style w:type="character" w:customStyle="1" w:styleId="FootnoteTextChar">
    <w:name w:val="Footnote Text Char"/>
    <w:aliases w:val="Footnote Text_a Char,5_G Char3,Footnote Text Char Char1 Char1,Footnote Text Char1 Char Char1 Char1,Footnote Text Char Char1 Char Char Char1,Footnote Text Char1 Char Char1 Char Char Char1,ft Char Char Char Char Char Char1,stile 1 Char"/>
    <w:basedOn w:val="DefaultParagraphFont"/>
    <w:link w:val="FootnoteText"/>
    <w:rsid w:val="008D66CD"/>
    <w:rPr>
      <w:lang w:val="en-US" w:eastAsia="en-US" w:bidi="ar-SA"/>
    </w:rPr>
  </w:style>
  <w:style w:type="character" w:customStyle="1" w:styleId="HChGAChar">
    <w:name w:val="_ H _Ch_GA Char"/>
    <w:basedOn w:val="DefaultParagraphFont"/>
    <w:link w:val="HChGA"/>
    <w:rsid w:val="008D66CD"/>
    <w:rPr>
      <w:rFonts w:cs="Traditional Arabic"/>
      <w:b/>
      <w:bCs/>
      <w:sz w:val="28"/>
      <w:szCs w:val="38"/>
      <w:lang w:val="en-US" w:eastAsia="en-US" w:bidi="ar-SA"/>
    </w:rPr>
  </w:style>
  <w:style w:type="character" w:customStyle="1" w:styleId="H1GAChar">
    <w:name w:val="_ H_1_GA Char"/>
    <w:basedOn w:val="DefaultParagraphFont"/>
    <w:link w:val="H1GA"/>
    <w:rsid w:val="008D66CD"/>
    <w:rPr>
      <w:rFonts w:cs="Traditional Arabic"/>
      <w:b/>
      <w:bCs/>
      <w:sz w:val="24"/>
      <w:szCs w:val="34"/>
      <w:lang w:val="en-US" w:eastAsia="en-US" w:bidi="ar-SA"/>
    </w:rPr>
  </w:style>
  <w:style w:type="paragraph" w:customStyle="1" w:styleId="SLGA">
    <w:name w:val="__S_L_GA"/>
    <w:basedOn w:val="Normal"/>
    <w:next w:val="Normal"/>
    <w:rsid w:val="00E470AE"/>
    <w:pPr>
      <w:keepNext/>
      <w:keepLines/>
      <w:suppressAutoHyphens/>
      <w:spacing w:before="240" w:after="240" w:line="800" w:lineRule="exact"/>
      <w:ind w:left="1247" w:right="1247"/>
      <w:jc w:val="lowKashida"/>
    </w:pPr>
    <w:rPr>
      <w:rFonts w:cs="Traditional Arabic"/>
      <w:b/>
      <w:bCs/>
      <w:sz w:val="56"/>
      <w:szCs w:val="84"/>
    </w:rPr>
  </w:style>
  <w:style w:type="character" w:customStyle="1" w:styleId="H23GAChar">
    <w:name w:val="_ H_2/3_GA Char"/>
    <w:link w:val="H23GA"/>
    <w:rsid w:val="00BD1F3C"/>
    <w:rPr>
      <w:rFonts w:cs="Traditional Arabic"/>
      <w:b/>
      <w:bCs/>
      <w:szCs w:val="30"/>
      <w:lang w:val="en-US" w:eastAsia="ar-SA" w:bidi="ar-SA"/>
    </w:rPr>
  </w:style>
  <w:style w:type="paragraph" w:customStyle="1" w:styleId="SingleTxtG">
    <w:name w:val="_ Single Txt_G"/>
    <w:basedOn w:val="Normal"/>
    <w:link w:val="SingleTxtGChar"/>
    <w:rsid w:val="00846181"/>
    <w:pPr>
      <w:suppressAutoHyphens/>
      <w:spacing w:after="120" w:line="240" w:lineRule="atLeast"/>
      <w:ind w:left="1134" w:right="1134"/>
      <w:jc w:val="both"/>
    </w:pPr>
    <w:rPr>
      <w:sz w:val="20"/>
      <w:szCs w:val="20"/>
      <w:lang w:val="en-GB"/>
    </w:rPr>
  </w:style>
  <w:style w:type="character" w:styleId="Hyperlink">
    <w:name w:val="Hyperlink"/>
    <w:semiHidden/>
    <w:rsid w:val="00846181"/>
    <w:rPr>
      <w:color w:val="auto"/>
      <w:u w:val="none"/>
    </w:rPr>
  </w:style>
  <w:style w:type="paragraph" w:customStyle="1" w:styleId="H1G">
    <w:name w:val="_ H_1_G"/>
    <w:basedOn w:val="Normal"/>
    <w:next w:val="Normal"/>
    <w:link w:val="H1GChar"/>
    <w:rsid w:val="00846181"/>
    <w:pPr>
      <w:keepNext/>
      <w:keepLines/>
      <w:tabs>
        <w:tab w:val="right" w:pos="851"/>
      </w:tabs>
      <w:suppressAutoHyphens/>
      <w:spacing w:before="360" w:after="240" w:line="270" w:lineRule="exact"/>
      <w:ind w:left="1134" w:right="1134" w:hanging="1134"/>
    </w:pPr>
    <w:rPr>
      <w:b/>
      <w:szCs w:val="20"/>
      <w:lang w:val="en-GB"/>
    </w:rPr>
  </w:style>
  <w:style w:type="paragraph" w:customStyle="1" w:styleId="H23G">
    <w:name w:val="_ H_2/3_G"/>
    <w:basedOn w:val="Normal"/>
    <w:next w:val="Normal"/>
    <w:link w:val="H23GChar"/>
    <w:rsid w:val="00846181"/>
    <w:pPr>
      <w:keepNext/>
      <w:keepLines/>
      <w:tabs>
        <w:tab w:val="right" w:pos="851"/>
      </w:tabs>
      <w:suppressAutoHyphens/>
      <w:spacing w:before="240" w:after="120" w:line="240" w:lineRule="exact"/>
      <w:ind w:left="1134" w:right="1134" w:hanging="1134"/>
    </w:pPr>
    <w:rPr>
      <w:b/>
      <w:sz w:val="20"/>
      <w:szCs w:val="20"/>
      <w:lang w:val="en-GB"/>
    </w:rPr>
  </w:style>
  <w:style w:type="character" w:customStyle="1" w:styleId="5GChar">
    <w:name w:val="5_G Char"/>
    <w:aliases w:val="Footnote Text Char Char1 Char,Footnote Text Char1 Char Char1 Char,Footnote Text Char Char1 Char Char Char,Footnote Text Char1 Char Char1 Char Char Char,ft Char Char Char Char Char Char,Geneva 9 Char Char Char Char Char Char Char,FA Fu Char"/>
    <w:locked/>
    <w:rsid w:val="00846181"/>
    <w:rPr>
      <w:rFonts w:cs="Traditional Arabic"/>
      <w:lang w:val="en-US" w:eastAsia="en-US" w:bidi="ar-SA"/>
    </w:rPr>
  </w:style>
  <w:style w:type="character" w:customStyle="1" w:styleId="SingleTxtGChar">
    <w:name w:val="_ Single Txt_G Char"/>
    <w:link w:val="SingleTxtG"/>
    <w:locked/>
    <w:rsid w:val="00846181"/>
    <w:rPr>
      <w:lang w:val="en-GB" w:eastAsia="en-US" w:bidi="ar-SA"/>
    </w:rPr>
  </w:style>
  <w:style w:type="character" w:styleId="PageNumber">
    <w:name w:val="page number"/>
    <w:aliases w:val="7_GA,7_G"/>
    <w:basedOn w:val="DefaultParagraphFont"/>
    <w:rsid w:val="00081D94"/>
  </w:style>
  <w:style w:type="paragraph" w:customStyle="1" w:styleId="HMGA">
    <w:name w:val="_ H __M_GA"/>
    <w:basedOn w:val="Normal"/>
    <w:next w:val="Normal"/>
    <w:rsid w:val="002C7932"/>
    <w:pPr>
      <w:keepNext/>
      <w:keepLines/>
      <w:tabs>
        <w:tab w:val="right" w:pos="1021"/>
      </w:tabs>
      <w:suppressAutoHyphens/>
      <w:bidi/>
      <w:spacing w:before="360" w:after="240" w:line="480" w:lineRule="exact"/>
      <w:ind w:left="1247" w:right="1247" w:hanging="1247"/>
    </w:pPr>
    <w:rPr>
      <w:rFonts w:cs="Traditional Arabic"/>
      <w:b/>
      <w:bCs/>
      <w:spacing w:val="6"/>
      <w:kern w:val="16"/>
      <w:sz w:val="34"/>
      <w:szCs w:val="44"/>
      <w:lang w:eastAsia="ar-SA"/>
    </w:rPr>
  </w:style>
  <w:style w:type="paragraph" w:customStyle="1" w:styleId="H4GA">
    <w:name w:val="_ H_4_GA"/>
    <w:basedOn w:val="Normal"/>
    <w:next w:val="Normal"/>
    <w:link w:val="H4GAChar"/>
    <w:rsid w:val="002C7932"/>
    <w:pPr>
      <w:keepNext/>
      <w:keepLines/>
      <w:tabs>
        <w:tab w:val="right" w:pos="1021"/>
      </w:tabs>
      <w:suppressAutoHyphens/>
      <w:bidi/>
      <w:spacing w:before="120" w:after="120" w:line="380" w:lineRule="exact"/>
      <w:ind w:left="1247" w:right="1247" w:hanging="1247"/>
    </w:pPr>
    <w:rPr>
      <w:rFonts w:cs="Traditional Arabic"/>
      <w:i/>
      <w:iCs/>
      <w:spacing w:val="6"/>
      <w:kern w:val="16"/>
      <w:sz w:val="22"/>
      <w:szCs w:val="30"/>
      <w:lang w:eastAsia="ar-SA"/>
    </w:rPr>
  </w:style>
  <w:style w:type="paragraph" w:customStyle="1" w:styleId="H56GA">
    <w:name w:val="_ H_5/6_GA"/>
    <w:basedOn w:val="Normal"/>
    <w:next w:val="Normal"/>
    <w:rsid w:val="002C7932"/>
    <w:pPr>
      <w:keepNext/>
      <w:keepLines/>
      <w:tabs>
        <w:tab w:val="right" w:pos="1021"/>
      </w:tabs>
      <w:suppressAutoHyphens/>
      <w:bidi/>
      <w:spacing w:before="120" w:after="120" w:line="380" w:lineRule="exact"/>
      <w:ind w:left="1247" w:right="1247" w:hanging="1247"/>
    </w:pPr>
    <w:rPr>
      <w:rFonts w:cs="Traditional Arabic"/>
      <w:spacing w:val="6"/>
      <w:kern w:val="16"/>
      <w:sz w:val="22"/>
      <w:szCs w:val="30"/>
      <w:lang w:eastAsia="ar-SA"/>
    </w:rPr>
  </w:style>
  <w:style w:type="paragraph" w:customStyle="1" w:styleId="SMGA">
    <w:name w:val="__S_M_GA"/>
    <w:basedOn w:val="Normal"/>
    <w:next w:val="Normal"/>
    <w:rsid w:val="002C7932"/>
    <w:pPr>
      <w:keepNext/>
      <w:keepLines/>
      <w:suppressAutoHyphens/>
      <w:spacing w:before="240" w:after="240" w:line="560" w:lineRule="exact"/>
      <w:ind w:left="1247" w:right="1247"/>
    </w:pPr>
    <w:rPr>
      <w:rFonts w:cs="Traditional Arabic"/>
      <w:b/>
      <w:bCs/>
      <w:spacing w:val="6"/>
      <w:kern w:val="16"/>
      <w:sz w:val="40"/>
      <w:szCs w:val="60"/>
      <w:lang w:eastAsia="ar-SA"/>
    </w:rPr>
  </w:style>
  <w:style w:type="paragraph" w:customStyle="1" w:styleId="SSGA">
    <w:name w:val="__S_S_GA"/>
    <w:basedOn w:val="Normal"/>
    <w:next w:val="Normal"/>
    <w:rsid w:val="002C7932"/>
    <w:pPr>
      <w:keepNext/>
      <w:keepLines/>
      <w:suppressAutoHyphens/>
      <w:spacing w:before="240" w:after="240" w:line="440" w:lineRule="exact"/>
      <w:ind w:left="1134" w:right="1134"/>
    </w:pPr>
    <w:rPr>
      <w:rFonts w:cs="Traditional Arabic"/>
      <w:b/>
      <w:bCs/>
      <w:spacing w:val="6"/>
      <w:kern w:val="16"/>
      <w:sz w:val="28"/>
      <w:szCs w:val="38"/>
      <w:lang w:eastAsia="ar-SA"/>
    </w:rPr>
  </w:style>
  <w:style w:type="paragraph" w:customStyle="1" w:styleId="XLargeGA">
    <w:name w:val="__XLarge_GA"/>
    <w:basedOn w:val="Normal"/>
    <w:rsid w:val="002C7932"/>
    <w:pPr>
      <w:keepNext/>
      <w:keepLines/>
      <w:tabs>
        <w:tab w:val="right" w:leader="dot" w:pos="360"/>
      </w:tabs>
      <w:suppressAutoHyphens/>
      <w:bidi/>
      <w:spacing w:before="240" w:after="240" w:line="580" w:lineRule="exact"/>
      <w:ind w:left="1247" w:right="1247"/>
    </w:pPr>
    <w:rPr>
      <w:rFonts w:cs="Traditional Arabic"/>
      <w:b/>
      <w:bCs/>
      <w:spacing w:val="6"/>
      <w:kern w:val="16"/>
      <w:sz w:val="40"/>
      <w:szCs w:val="60"/>
      <w:lang w:eastAsia="ar-SA"/>
    </w:rPr>
  </w:style>
  <w:style w:type="paragraph" w:customStyle="1" w:styleId="Bullet1GA">
    <w:name w:val="_Bullet 1_GA"/>
    <w:basedOn w:val="Normal"/>
    <w:rsid w:val="002C7932"/>
    <w:pPr>
      <w:numPr>
        <w:numId w:val="8"/>
      </w:numPr>
      <w:suppressAutoHyphens/>
      <w:spacing w:after="120" w:line="380" w:lineRule="exact"/>
      <w:ind w:right="1247"/>
    </w:pPr>
    <w:rPr>
      <w:rFonts w:cs="Traditional Arabic"/>
      <w:spacing w:val="6"/>
      <w:kern w:val="16"/>
      <w:sz w:val="22"/>
      <w:szCs w:val="30"/>
      <w:lang w:eastAsia="ar-SA"/>
    </w:rPr>
  </w:style>
  <w:style w:type="paragraph" w:customStyle="1" w:styleId="Bullet2GA">
    <w:name w:val="_Bullet 2_GA"/>
    <w:basedOn w:val="Normal"/>
    <w:rsid w:val="002C7932"/>
    <w:pPr>
      <w:numPr>
        <w:numId w:val="13"/>
      </w:numPr>
      <w:tabs>
        <w:tab w:val="clear" w:pos="1644"/>
        <w:tab w:val="left" w:pos="2438"/>
      </w:tabs>
      <w:suppressAutoHyphens/>
      <w:spacing w:after="120" w:line="380" w:lineRule="exact"/>
      <w:ind w:left="2438" w:right="1247" w:hanging="397"/>
    </w:pPr>
    <w:rPr>
      <w:rFonts w:cs="Traditional Arabic"/>
      <w:spacing w:val="6"/>
      <w:kern w:val="16"/>
      <w:sz w:val="22"/>
      <w:szCs w:val="30"/>
      <w:lang w:eastAsia="ar-SA"/>
    </w:rPr>
  </w:style>
  <w:style w:type="character" w:customStyle="1" w:styleId="EndtnoteReference">
    <w:name w:val="Endtnote Reference"/>
    <w:aliases w:val="1_GA"/>
    <w:basedOn w:val="DefaultParagraphFont"/>
    <w:rsid w:val="002C7932"/>
    <w:rPr>
      <w:rFonts w:ascii="Times New Roman" w:hAnsi="Times New Roman" w:cs="Traditional Arabic"/>
      <w:b/>
      <w:kern w:val="0"/>
      <w:sz w:val="18"/>
      <w:szCs w:val="28"/>
      <w:vertAlign w:val="superscript"/>
    </w:rPr>
  </w:style>
  <w:style w:type="paragraph" w:customStyle="1" w:styleId="XXLargeGA">
    <w:name w:val="XXLarge_GA"/>
    <w:basedOn w:val="XLargeGA"/>
    <w:next w:val="Normal"/>
    <w:rsid w:val="002C7932"/>
    <w:pPr>
      <w:spacing w:line="820" w:lineRule="exact"/>
    </w:pPr>
    <w:rPr>
      <w:spacing w:val="-8"/>
      <w:w w:val="96"/>
      <w:sz w:val="57"/>
      <w:szCs w:val="86"/>
    </w:rPr>
  </w:style>
  <w:style w:type="paragraph" w:customStyle="1" w:styleId="Roman1GA">
    <w:name w:val="_Roman 1_GA"/>
    <w:basedOn w:val="Normal"/>
    <w:rsid w:val="002C7932"/>
    <w:pPr>
      <w:numPr>
        <w:numId w:val="11"/>
      </w:numPr>
      <w:suppressAutoHyphens/>
      <w:spacing w:after="120" w:line="380" w:lineRule="exact"/>
      <w:ind w:right="1247"/>
    </w:pPr>
    <w:rPr>
      <w:rFonts w:cs="Traditional Arabic"/>
      <w:spacing w:val="6"/>
      <w:kern w:val="16"/>
      <w:sz w:val="22"/>
      <w:szCs w:val="30"/>
      <w:lang w:eastAsia="ar-SA"/>
    </w:rPr>
  </w:style>
  <w:style w:type="paragraph" w:customStyle="1" w:styleId="Roman2GA">
    <w:name w:val="_Roman 2_GA"/>
    <w:basedOn w:val="Normal"/>
    <w:next w:val="Normal"/>
    <w:rsid w:val="002C7932"/>
    <w:pPr>
      <w:numPr>
        <w:numId w:val="12"/>
      </w:numPr>
      <w:bidi/>
      <w:spacing w:after="120" w:line="380" w:lineRule="exact"/>
      <w:ind w:right="1247"/>
    </w:pPr>
    <w:rPr>
      <w:rFonts w:cs="Traditional Arabic"/>
      <w:spacing w:val="6"/>
      <w:kern w:val="16"/>
      <w:sz w:val="22"/>
      <w:szCs w:val="30"/>
      <w:lang w:eastAsia="ar-SA"/>
    </w:rPr>
  </w:style>
  <w:style w:type="numbering" w:styleId="111111">
    <w:name w:val="Outline List 2"/>
    <w:basedOn w:val="NoList"/>
    <w:semiHidden/>
    <w:rsid w:val="002C7932"/>
    <w:pPr>
      <w:numPr>
        <w:numId w:val="24"/>
      </w:numPr>
    </w:pPr>
  </w:style>
  <w:style w:type="numbering" w:styleId="1ai">
    <w:name w:val="Outline List 1"/>
    <w:basedOn w:val="NoList"/>
    <w:semiHidden/>
    <w:rsid w:val="002C7932"/>
    <w:pPr>
      <w:numPr>
        <w:numId w:val="25"/>
      </w:numPr>
    </w:pPr>
  </w:style>
  <w:style w:type="paragraph" w:customStyle="1" w:styleId="HCh">
    <w:name w:val="_ H _Ch"/>
    <w:basedOn w:val="Normal"/>
    <w:next w:val="Normal"/>
    <w:rsid w:val="002C7932"/>
    <w:pPr>
      <w:keepNext/>
      <w:keepLines/>
      <w:suppressAutoHyphens/>
      <w:bidi/>
      <w:spacing w:line="450" w:lineRule="exact"/>
      <w:jc w:val="lowKashida"/>
      <w:outlineLvl w:val="0"/>
    </w:pPr>
    <w:rPr>
      <w:rFonts w:cs="Traditional Arabic"/>
      <w:b/>
      <w:bCs/>
      <w:spacing w:val="-2"/>
      <w:w w:val="103"/>
      <w:kern w:val="14"/>
      <w:sz w:val="28"/>
      <w:szCs w:val="38"/>
    </w:rPr>
  </w:style>
  <w:style w:type="character" w:customStyle="1" w:styleId="FooterChar2">
    <w:name w:val="Footer Char2"/>
    <w:aliases w:val="3_GA Char,3_G Char2"/>
    <w:basedOn w:val="DefaultParagraphFont"/>
    <w:link w:val="Footer"/>
    <w:semiHidden/>
    <w:rsid w:val="002C7932"/>
    <w:rPr>
      <w:rFonts w:cs="Traditional Arabic"/>
      <w:sz w:val="16"/>
      <w:szCs w:val="22"/>
      <w:lang w:val="en-GB" w:eastAsia="en-US" w:bidi="ar-SA"/>
    </w:rPr>
  </w:style>
  <w:style w:type="character" w:customStyle="1" w:styleId="HeaderChar2">
    <w:name w:val="Header Char2"/>
    <w:aliases w:val="6_GA Char,6_G Char2"/>
    <w:basedOn w:val="DefaultParagraphFont"/>
    <w:link w:val="Header"/>
    <w:semiHidden/>
    <w:rsid w:val="002C7932"/>
    <w:rPr>
      <w:rFonts w:cs="Traditional Arabic"/>
      <w:b/>
      <w:bCs/>
      <w:sz w:val="18"/>
      <w:szCs w:val="26"/>
      <w:lang w:val="en-US" w:eastAsia="en-US" w:bidi="ar-SA"/>
    </w:rPr>
  </w:style>
  <w:style w:type="paragraph" w:customStyle="1" w:styleId="FootnoteText2">
    <w:name w:val="Footnote Text2"/>
    <w:basedOn w:val="Normal"/>
    <w:rsid w:val="002C7932"/>
    <w:pPr>
      <w:numPr>
        <w:numId w:val="15"/>
      </w:numPr>
      <w:bidi/>
      <w:jc w:val="lowKashida"/>
    </w:pPr>
    <w:rPr>
      <w:spacing w:val="6"/>
      <w:kern w:val="16"/>
    </w:rPr>
  </w:style>
  <w:style w:type="table" w:customStyle="1" w:styleId="1">
    <w:name w:val="شبكة جدول1"/>
    <w:basedOn w:val="TableNormal"/>
    <w:next w:val="TableGrid"/>
    <w:rsid w:val="002C7932"/>
    <w:pPr>
      <w:bidi/>
      <w:spacing w:before="240" w:after="240"/>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بلا قائمة1"/>
    <w:next w:val="NoList"/>
    <w:semiHidden/>
    <w:rsid w:val="002C7932"/>
  </w:style>
  <w:style w:type="numbering" w:customStyle="1" w:styleId="1111111">
    <w:name w:val="1 / 1.1 / 1.1.11"/>
    <w:basedOn w:val="NoList"/>
    <w:next w:val="111111"/>
    <w:semiHidden/>
    <w:rsid w:val="002C7932"/>
    <w:pPr>
      <w:numPr>
        <w:numId w:val="5"/>
      </w:numPr>
    </w:pPr>
  </w:style>
  <w:style w:type="numbering" w:customStyle="1" w:styleId="1ai1">
    <w:name w:val="1 / a / i1"/>
    <w:basedOn w:val="NoList"/>
    <w:next w:val="1ai"/>
    <w:semiHidden/>
    <w:rsid w:val="002C7932"/>
    <w:pPr>
      <w:numPr>
        <w:numId w:val="40"/>
      </w:numPr>
    </w:pPr>
  </w:style>
  <w:style w:type="character" w:customStyle="1" w:styleId="Heading1Char">
    <w:name w:val="Heading 1 Char"/>
    <w:aliases w:val="Table_GA Char,Table_G Char"/>
    <w:basedOn w:val="DefaultParagraphFont"/>
    <w:link w:val="Heading1"/>
    <w:rsid w:val="002C7932"/>
    <w:rPr>
      <w:rFonts w:cs="Traditional Arabic"/>
      <w:spacing w:val="6"/>
      <w:kern w:val="16"/>
      <w:sz w:val="22"/>
      <w:szCs w:val="30"/>
      <w:lang w:val="en-US" w:eastAsia="ar-SA" w:bidi="ar-SA"/>
    </w:rPr>
  </w:style>
  <w:style w:type="character" w:customStyle="1" w:styleId="Heading2Char">
    <w:name w:val="Heading 2 Char"/>
    <w:basedOn w:val="DefaultParagraphFont"/>
    <w:link w:val="Heading2"/>
    <w:semiHidden/>
    <w:rsid w:val="002C7932"/>
    <w:rPr>
      <w:rFonts w:ascii="Arial" w:hAnsi="Arial" w:cs="Arial"/>
      <w:b/>
      <w:bCs/>
      <w:i/>
      <w:iCs/>
      <w:spacing w:val="6"/>
      <w:kern w:val="16"/>
      <w:sz w:val="28"/>
      <w:szCs w:val="28"/>
      <w:lang w:val="en-US" w:eastAsia="ar-SA" w:bidi="ar-SA"/>
    </w:rPr>
  </w:style>
  <w:style w:type="character" w:customStyle="1" w:styleId="Heading3Char">
    <w:name w:val="Heading 3 Char"/>
    <w:basedOn w:val="DefaultParagraphFont"/>
    <w:link w:val="Heading3"/>
    <w:semiHidden/>
    <w:rsid w:val="002C7932"/>
    <w:rPr>
      <w:rFonts w:ascii="Arial" w:hAnsi="Arial" w:cs="Arial"/>
      <w:b/>
      <w:bCs/>
      <w:spacing w:val="6"/>
      <w:kern w:val="16"/>
      <w:sz w:val="26"/>
      <w:szCs w:val="26"/>
      <w:lang w:val="en-US" w:eastAsia="ar-SA" w:bidi="ar-SA"/>
    </w:rPr>
  </w:style>
  <w:style w:type="character" w:customStyle="1" w:styleId="Heading4Char">
    <w:name w:val="Heading 4 Char"/>
    <w:basedOn w:val="DefaultParagraphFont"/>
    <w:link w:val="Heading4"/>
    <w:semiHidden/>
    <w:rsid w:val="002C7932"/>
    <w:rPr>
      <w:snapToGrid w:val="0"/>
      <w:lang w:val="en-GB" w:eastAsia="en-US" w:bidi="ar-SA"/>
    </w:rPr>
  </w:style>
  <w:style w:type="character" w:customStyle="1" w:styleId="Heading5Char">
    <w:name w:val="Heading 5 Char"/>
    <w:basedOn w:val="DefaultParagraphFont"/>
    <w:link w:val="Heading5"/>
    <w:semiHidden/>
    <w:rsid w:val="002C7932"/>
    <w:rPr>
      <w:snapToGrid w:val="0"/>
      <w:lang w:val="en-GB" w:eastAsia="en-US" w:bidi="ar-SA"/>
    </w:rPr>
  </w:style>
  <w:style w:type="character" w:customStyle="1" w:styleId="Heading6Char">
    <w:name w:val="Heading 6 Char"/>
    <w:basedOn w:val="DefaultParagraphFont"/>
    <w:link w:val="Heading6"/>
    <w:semiHidden/>
    <w:rsid w:val="002C7932"/>
    <w:rPr>
      <w:snapToGrid w:val="0"/>
      <w:lang w:val="en-GB" w:eastAsia="en-US" w:bidi="ar-SA"/>
    </w:rPr>
  </w:style>
  <w:style w:type="character" w:customStyle="1" w:styleId="Heading7Char">
    <w:name w:val="Heading 7 Char"/>
    <w:basedOn w:val="DefaultParagraphFont"/>
    <w:link w:val="Heading7"/>
    <w:semiHidden/>
    <w:rsid w:val="002C7932"/>
    <w:rPr>
      <w:snapToGrid w:val="0"/>
      <w:lang w:val="en-GB" w:eastAsia="en-US" w:bidi="ar-SA"/>
    </w:rPr>
  </w:style>
  <w:style w:type="character" w:customStyle="1" w:styleId="Heading8Char">
    <w:name w:val="Heading 8 Char"/>
    <w:basedOn w:val="DefaultParagraphFont"/>
    <w:link w:val="Heading8"/>
    <w:semiHidden/>
    <w:rsid w:val="002C7932"/>
    <w:rPr>
      <w:snapToGrid w:val="0"/>
      <w:lang w:val="en-GB" w:eastAsia="en-US" w:bidi="ar-SA"/>
    </w:rPr>
  </w:style>
  <w:style w:type="character" w:customStyle="1" w:styleId="Heading9Char">
    <w:name w:val="Heading 9 Char"/>
    <w:basedOn w:val="DefaultParagraphFont"/>
    <w:link w:val="Heading9"/>
    <w:semiHidden/>
    <w:rsid w:val="002C7932"/>
    <w:rPr>
      <w:snapToGrid w:val="0"/>
      <w:lang w:val="en-GB" w:eastAsia="en-US" w:bidi="ar-SA"/>
    </w:rPr>
  </w:style>
  <w:style w:type="paragraph" w:customStyle="1" w:styleId="HMG">
    <w:name w:val="_ H __M_G"/>
    <w:basedOn w:val="Normal"/>
    <w:next w:val="Normal"/>
    <w:rsid w:val="002C7932"/>
    <w:pPr>
      <w:keepNext/>
      <w:keepLines/>
      <w:tabs>
        <w:tab w:val="right" w:pos="851"/>
      </w:tabs>
      <w:suppressAutoHyphens/>
      <w:spacing w:before="240" w:after="240" w:line="360" w:lineRule="exact"/>
      <w:ind w:left="1134" w:right="1134" w:hanging="1134"/>
    </w:pPr>
    <w:rPr>
      <w:b/>
      <w:snapToGrid w:val="0"/>
      <w:sz w:val="34"/>
      <w:szCs w:val="20"/>
      <w:lang w:val="en-GB"/>
    </w:rPr>
  </w:style>
  <w:style w:type="paragraph" w:customStyle="1" w:styleId="HChG">
    <w:name w:val="_ H _Ch_G"/>
    <w:basedOn w:val="Normal"/>
    <w:next w:val="Normal"/>
    <w:rsid w:val="002C7932"/>
    <w:pPr>
      <w:keepNext/>
      <w:keepLines/>
      <w:tabs>
        <w:tab w:val="right" w:pos="851"/>
      </w:tabs>
      <w:suppressAutoHyphens/>
      <w:spacing w:before="360" w:after="240" w:line="300" w:lineRule="exact"/>
      <w:ind w:left="1134" w:right="1134" w:hanging="1134"/>
    </w:pPr>
    <w:rPr>
      <w:b/>
      <w:snapToGrid w:val="0"/>
      <w:sz w:val="28"/>
      <w:szCs w:val="20"/>
      <w:lang w:val="en-GB"/>
    </w:rPr>
  </w:style>
  <w:style w:type="paragraph" w:customStyle="1" w:styleId="ParaNoG">
    <w:name w:val="_ParaNo._G"/>
    <w:basedOn w:val="SingleTxtG"/>
    <w:rsid w:val="002C7932"/>
    <w:rPr>
      <w:snapToGrid w:val="0"/>
    </w:rPr>
  </w:style>
  <w:style w:type="paragraph" w:styleId="PlainText">
    <w:name w:val="Plain Text"/>
    <w:basedOn w:val="Normal"/>
    <w:link w:val="PlainTextChar"/>
    <w:semiHidden/>
    <w:rsid w:val="002C7932"/>
    <w:pPr>
      <w:suppressAutoHyphens/>
      <w:spacing w:line="240" w:lineRule="atLeast"/>
    </w:pPr>
    <w:rPr>
      <w:rFonts w:cs="Courier New"/>
      <w:snapToGrid w:val="0"/>
      <w:sz w:val="20"/>
      <w:szCs w:val="20"/>
      <w:lang w:val="en-GB"/>
    </w:rPr>
  </w:style>
  <w:style w:type="character" w:customStyle="1" w:styleId="PlainTextChar">
    <w:name w:val="Plain Text Char"/>
    <w:basedOn w:val="DefaultParagraphFont"/>
    <w:link w:val="PlainText"/>
    <w:semiHidden/>
    <w:rsid w:val="002C7932"/>
    <w:rPr>
      <w:rFonts w:cs="Courier New"/>
      <w:snapToGrid w:val="0"/>
      <w:lang w:val="en-GB" w:eastAsia="en-US" w:bidi="ar-SA"/>
    </w:rPr>
  </w:style>
  <w:style w:type="paragraph" w:styleId="BodyText">
    <w:name w:val="Body Text"/>
    <w:basedOn w:val="Normal"/>
    <w:next w:val="Normal"/>
    <w:link w:val="BodyTextChar"/>
    <w:semiHidden/>
    <w:rsid w:val="002C7932"/>
    <w:pPr>
      <w:suppressAutoHyphens/>
      <w:spacing w:line="240" w:lineRule="atLeast"/>
    </w:pPr>
    <w:rPr>
      <w:snapToGrid w:val="0"/>
      <w:sz w:val="20"/>
      <w:szCs w:val="20"/>
      <w:lang w:val="en-GB"/>
    </w:rPr>
  </w:style>
  <w:style w:type="character" w:customStyle="1" w:styleId="BodyTextChar">
    <w:name w:val="Body Text Char"/>
    <w:basedOn w:val="DefaultParagraphFont"/>
    <w:link w:val="BodyText"/>
    <w:semiHidden/>
    <w:rsid w:val="002C7932"/>
    <w:rPr>
      <w:snapToGrid w:val="0"/>
      <w:lang w:val="en-GB" w:eastAsia="en-US" w:bidi="ar-SA"/>
    </w:rPr>
  </w:style>
  <w:style w:type="paragraph" w:styleId="BodyTextIndent">
    <w:name w:val="Body Text Indent"/>
    <w:basedOn w:val="Normal"/>
    <w:link w:val="BodyTextIndentChar"/>
    <w:semiHidden/>
    <w:rsid w:val="002C7932"/>
    <w:pPr>
      <w:suppressAutoHyphens/>
      <w:spacing w:after="120" w:line="240" w:lineRule="atLeast"/>
      <w:ind w:left="283"/>
    </w:pPr>
    <w:rPr>
      <w:snapToGrid w:val="0"/>
      <w:sz w:val="20"/>
      <w:szCs w:val="20"/>
      <w:lang w:val="en-GB"/>
    </w:rPr>
  </w:style>
  <w:style w:type="character" w:customStyle="1" w:styleId="BodyTextIndentChar">
    <w:name w:val="Body Text Indent Char"/>
    <w:basedOn w:val="DefaultParagraphFont"/>
    <w:link w:val="BodyTextIndent"/>
    <w:semiHidden/>
    <w:rsid w:val="002C7932"/>
    <w:rPr>
      <w:snapToGrid w:val="0"/>
      <w:lang w:val="en-GB" w:eastAsia="en-US" w:bidi="ar-SA"/>
    </w:rPr>
  </w:style>
  <w:style w:type="paragraph" w:styleId="BlockText">
    <w:name w:val="Block Text"/>
    <w:basedOn w:val="Normal"/>
    <w:semiHidden/>
    <w:rsid w:val="002C7932"/>
    <w:pPr>
      <w:suppressAutoHyphens/>
      <w:spacing w:line="240" w:lineRule="atLeast"/>
      <w:ind w:left="1440" w:right="1440"/>
    </w:pPr>
    <w:rPr>
      <w:snapToGrid w:val="0"/>
      <w:sz w:val="20"/>
      <w:szCs w:val="20"/>
      <w:lang w:val="en-GB"/>
    </w:rPr>
  </w:style>
  <w:style w:type="paragraph" w:customStyle="1" w:styleId="SMG">
    <w:name w:val="__S_M_G"/>
    <w:basedOn w:val="Normal"/>
    <w:next w:val="Normal"/>
    <w:link w:val="SMGChar"/>
    <w:rsid w:val="002C7932"/>
    <w:pPr>
      <w:keepNext/>
      <w:keepLines/>
      <w:suppressAutoHyphens/>
      <w:spacing w:before="240" w:after="240" w:line="420" w:lineRule="exact"/>
      <w:ind w:left="1134" w:right="1134"/>
    </w:pPr>
    <w:rPr>
      <w:b/>
      <w:snapToGrid w:val="0"/>
      <w:sz w:val="40"/>
      <w:szCs w:val="20"/>
      <w:lang w:val="en-GB"/>
    </w:rPr>
  </w:style>
  <w:style w:type="paragraph" w:customStyle="1" w:styleId="SLG">
    <w:name w:val="__S_L_G"/>
    <w:basedOn w:val="Normal"/>
    <w:next w:val="Normal"/>
    <w:rsid w:val="002C7932"/>
    <w:pPr>
      <w:keepNext/>
      <w:keepLines/>
      <w:suppressAutoHyphens/>
      <w:spacing w:before="240" w:after="240" w:line="580" w:lineRule="exact"/>
      <w:ind w:left="1134" w:right="1134"/>
    </w:pPr>
    <w:rPr>
      <w:b/>
      <w:snapToGrid w:val="0"/>
      <w:sz w:val="56"/>
      <w:szCs w:val="20"/>
      <w:lang w:val="en-GB"/>
    </w:rPr>
  </w:style>
  <w:style w:type="paragraph" w:customStyle="1" w:styleId="SSG">
    <w:name w:val="__S_S_G"/>
    <w:basedOn w:val="Normal"/>
    <w:next w:val="Normal"/>
    <w:rsid w:val="002C7932"/>
    <w:pPr>
      <w:keepNext/>
      <w:keepLines/>
      <w:suppressAutoHyphens/>
      <w:spacing w:before="240" w:after="240" w:line="300" w:lineRule="exact"/>
      <w:ind w:left="1134" w:right="1134"/>
    </w:pPr>
    <w:rPr>
      <w:b/>
      <w:snapToGrid w:val="0"/>
      <w:sz w:val="28"/>
      <w:szCs w:val="20"/>
      <w:lang w:val="en-GB"/>
    </w:rPr>
  </w:style>
  <w:style w:type="paragraph" w:customStyle="1" w:styleId="XLargeG">
    <w:name w:val="__XLarge_G"/>
    <w:basedOn w:val="Normal"/>
    <w:next w:val="Normal"/>
    <w:rsid w:val="002C7932"/>
    <w:pPr>
      <w:keepNext/>
      <w:keepLines/>
      <w:suppressAutoHyphens/>
      <w:spacing w:before="240" w:after="240" w:line="420" w:lineRule="exact"/>
      <w:ind w:left="1134" w:right="1134"/>
    </w:pPr>
    <w:rPr>
      <w:b/>
      <w:snapToGrid w:val="0"/>
      <w:sz w:val="40"/>
      <w:szCs w:val="20"/>
      <w:lang w:val="en-GB"/>
    </w:rPr>
  </w:style>
  <w:style w:type="paragraph" w:customStyle="1" w:styleId="Bullet1G">
    <w:name w:val="_Bullet 1_G"/>
    <w:basedOn w:val="Normal"/>
    <w:link w:val="Bullet1GChar"/>
    <w:rsid w:val="002C7932"/>
    <w:pPr>
      <w:tabs>
        <w:tab w:val="num" w:pos="1701"/>
      </w:tabs>
      <w:suppressAutoHyphens/>
      <w:spacing w:after="120" w:line="240" w:lineRule="atLeast"/>
      <w:ind w:left="1701" w:right="1134" w:hanging="170"/>
      <w:jc w:val="both"/>
    </w:pPr>
    <w:rPr>
      <w:snapToGrid w:val="0"/>
      <w:sz w:val="20"/>
      <w:szCs w:val="20"/>
      <w:lang w:val="en-GB"/>
    </w:rPr>
  </w:style>
  <w:style w:type="character" w:customStyle="1" w:styleId="EndnoteTextChar">
    <w:name w:val="Endnote Text Char"/>
    <w:aliases w:val="2_ GA Char,2_G Char1"/>
    <w:basedOn w:val="DefaultParagraphFont"/>
    <w:link w:val="EndnoteText"/>
    <w:semiHidden/>
    <w:rsid w:val="002C7932"/>
    <w:rPr>
      <w:lang w:val="en-US" w:eastAsia="en-US" w:bidi="ar-SA"/>
    </w:rPr>
  </w:style>
  <w:style w:type="character" w:styleId="CommentReference">
    <w:name w:val="annotation reference"/>
    <w:basedOn w:val="DefaultParagraphFont"/>
    <w:semiHidden/>
    <w:rsid w:val="002C7932"/>
    <w:rPr>
      <w:rFonts w:cs="Times New Roman"/>
      <w:sz w:val="6"/>
    </w:rPr>
  </w:style>
  <w:style w:type="paragraph" w:styleId="CommentText">
    <w:name w:val="annotation text"/>
    <w:basedOn w:val="Normal"/>
    <w:link w:val="CommentTextChar2"/>
    <w:semiHidden/>
    <w:rsid w:val="002C7932"/>
    <w:pPr>
      <w:suppressAutoHyphens/>
      <w:spacing w:line="240" w:lineRule="atLeast"/>
    </w:pPr>
    <w:rPr>
      <w:snapToGrid w:val="0"/>
      <w:sz w:val="20"/>
      <w:szCs w:val="20"/>
      <w:lang w:val="en-GB"/>
    </w:rPr>
  </w:style>
  <w:style w:type="character" w:customStyle="1" w:styleId="CommentTextChar2">
    <w:name w:val="Comment Text Char2"/>
    <w:basedOn w:val="DefaultParagraphFont"/>
    <w:link w:val="CommentText"/>
    <w:semiHidden/>
    <w:rsid w:val="002C7932"/>
    <w:rPr>
      <w:snapToGrid w:val="0"/>
      <w:lang w:val="en-GB" w:eastAsia="en-US" w:bidi="ar-SA"/>
    </w:rPr>
  </w:style>
  <w:style w:type="character" w:styleId="LineNumber">
    <w:name w:val="line number"/>
    <w:basedOn w:val="DefaultParagraphFont"/>
    <w:semiHidden/>
    <w:rsid w:val="002C7932"/>
    <w:rPr>
      <w:rFonts w:cs="Times New Roman"/>
      <w:sz w:val="14"/>
    </w:rPr>
  </w:style>
  <w:style w:type="paragraph" w:customStyle="1" w:styleId="Bullet2G">
    <w:name w:val="_Bullet 2_G"/>
    <w:basedOn w:val="Normal"/>
    <w:rsid w:val="002C7932"/>
    <w:pPr>
      <w:tabs>
        <w:tab w:val="num" w:pos="2268"/>
      </w:tabs>
      <w:suppressAutoHyphens/>
      <w:spacing w:after="120" w:line="240" w:lineRule="atLeast"/>
      <w:ind w:left="2268" w:right="1134" w:hanging="170"/>
      <w:jc w:val="both"/>
    </w:pPr>
    <w:rPr>
      <w:snapToGrid w:val="0"/>
      <w:sz w:val="20"/>
      <w:szCs w:val="20"/>
      <w:lang w:val="en-GB"/>
    </w:rPr>
  </w:style>
  <w:style w:type="paragraph" w:customStyle="1" w:styleId="H4G">
    <w:name w:val="_ H_4_G"/>
    <w:basedOn w:val="Normal"/>
    <w:next w:val="Normal"/>
    <w:link w:val="H4GChar"/>
    <w:rsid w:val="002C7932"/>
    <w:pPr>
      <w:keepNext/>
      <w:keepLines/>
      <w:tabs>
        <w:tab w:val="right" w:pos="851"/>
      </w:tabs>
      <w:suppressAutoHyphens/>
      <w:spacing w:before="240" w:after="120" w:line="240" w:lineRule="exact"/>
      <w:ind w:left="1134" w:right="1134" w:hanging="1134"/>
    </w:pPr>
    <w:rPr>
      <w:i/>
      <w:snapToGrid w:val="0"/>
      <w:sz w:val="20"/>
      <w:szCs w:val="20"/>
      <w:lang w:val="en-GB"/>
    </w:rPr>
  </w:style>
  <w:style w:type="paragraph" w:customStyle="1" w:styleId="H56G">
    <w:name w:val="_ H_5/6_G"/>
    <w:basedOn w:val="Normal"/>
    <w:next w:val="Normal"/>
    <w:rsid w:val="002C7932"/>
    <w:pPr>
      <w:keepNext/>
      <w:keepLines/>
      <w:tabs>
        <w:tab w:val="right" w:pos="851"/>
      </w:tabs>
      <w:suppressAutoHyphens/>
      <w:spacing w:before="240" w:after="120" w:line="240" w:lineRule="exact"/>
      <w:ind w:left="1134" w:right="1134" w:hanging="1134"/>
    </w:pPr>
    <w:rPr>
      <w:snapToGrid w:val="0"/>
      <w:sz w:val="20"/>
      <w:szCs w:val="20"/>
      <w:lang w:val="en-GB"/>
    </w:rPr>
  </w:style>
  <w:style w:type="paragraph" w:styleId="BodyText2">
    <w:name w:val="Body Text 2"/>
    <w:basedOn w:val="Normal"/>
    <w:link w:val="BodyText2Char"/>
    <w:semiHidden/>
    <w:rsid w:val="002C7932"/>
    <w:pPr>
      <w:suppressAutoHyphens/>
      <w:spacing w:after="120" w:line="480" w:lineRule="auto"/>
    </w:pPr>
    <w:rPr>
      <w:snapToGrid w:val="0"/>
      <w:sz w:val="20"/>
      <w:szCs w:val="20"/>
      <w:lang w:val="en-GB"/>
    </w:rPr>
  </w:style>
  <w:style w:type="character" w:customStyle="1" w:styleId="BodyText2Char">
    <w:name w:val="Body Text 2 Char"/>
    <w:basedOn w:val="DefaultParagraphFont"/>
    <w:link w:val="BodyText2"/>
    <w:semiHidden/>
    <w:rsid w:val="002C7932"/>
    <w:rPr>
      <w:snapToGrid w:val="0"/>
      <w:lang w:val="en-GB" w:eastAsia="en-US" w:bidi="ar-SA"/>
    </w:rPr>
  </w:style>
  <w:style w:type="paragraph" w:styleId="BodyText3">
    <w:name w:val="Body Text 3"/>
    <w:basedOn w:val="Normal"/>
    <w:link w:val="BodyText3Char"/>
    <w:semiHidden/>
    <w:rsid w:val="002C7932"/>
    <w:pPr>
      <w:suppressAutoHyphens/>
      <w:spacing w:after="120" w:line="240" w:lineRule="atLeast"/>
    </w:pPr>
    <w:rPr>
      <w:snapToGrid w:val="0"/>
      <w:sz w:val="16"/>
      <w:szCs w:val="16"/>
      <w:lang w:val="en-GB"/>
    </w:rPr>
  </w:style>
  <w:style w:type="character" w:customStyle="1" w:styleId="BodyText3Char">
    <w:name w:val="Body Text 3 Char"/>
    <w:basedOn w:val="DefaultParagraphFont"/>
    <w:link w:val="BodyText3"/>
    <w:semiHidden/>
    <w:rsid w:val="002C7932"/>
    <w:rPr>
      <w:snapToGrid w:val="0"/>
      <w:sz w:val="16"/>
      <w:szCs w:val="16"/>
      <w:lang w:val="en-GB" w:eastAsia="en-US" w:bidi="ar-SA"/>
    </w:rPr>
  </w:style>
  <w:style w:type="paragraph" w:styleId="BodyTextFirstIndent">
    <w:name w:val="Body Text First Indent"/>
    <w:basedOn w:val="BodyText"/>
    <w:link w:val="BodyTextFirstIndentChar"/>
    <w:semiHidden/>
    <w:rsid w:val="002C7932"/>
    <w:pPr>
      <w:spacing w:after="120"/>
      <w:ind w:firstLine="210"/>
    </w:pPr>
  </w:style>
  <w:style w:type="character" w:customStyle="1" w:styleId="BodyTextFirstIndentChar">
    <w:name w:val="Body Text First Indent Char"/>
    <w:basedOn w:val="BodyTextChar"/>
    <w:link w:val="BodyTextFirstIndent"/>
    <w:semiHidden/>
    <w:rsid w:val="002C7932"/>
  </w:style>
  <w:style w:type="paragraph" w:styleId="BodyTextFirstIndent2">
    <w:name w:val="Body Text First Indent 2"/>
    <w:basedOn w:val="BodyTextIndent"/>
    <w:link w:val="BodyTextFirstIndent2Char"/>
    <w:semiHidden/>
    <w:rsid w:val="002C7932"/>
    <w:pPr>
      <w:ind w:firstLine="210"/>
    </w:pPr>
  </w:style>
  <w:style w:type="character" w:customStyle="1" w:styleId="BodyTextFirstIndent2Char">
    <w:name w:val="Body Text First Indent 2 Char"/>
    <w:basedOn w:val="BodyTextIndentChar"/>
    <w:link w:val="BodyTextFirstIndent2"/>
    <w:semiHidden/>
    <w:rsid w:val="002C7932"/>
  </w:style>
  <w:style w:type="paragraph" w:styleId="BodyTextIndent2">
    <w:name w:val="Body Text Indent 2"/>
    <w:basedOn w:val="Normal"/>
    <w:link w:val="BodyTextIndent2Char"/>
    <w:semiHidden/>
    <w:rsid w:val="002C7932"/>
    <w:pPr>
      <w:suppressAutoHyphens/>
      <w:spacing w:after="120" w:line="480" w:lineRule="auto"/>
      <w:ind w:left="283"/>
    </w:pPr>
    <w:rPr>
      <w:snapToGrid w:val="0"/>
      <w:sz w:val="20"/>
      <w:szCs w:val="20"/>
      <w:lang w:val="en-GB"/>
    </w:rPr>
  </w:style>
  <w:style w:type="character" w:customStyle="1" w:styleId="BodyTextIndent2Char">
    <w:name w:val="Body Text Indent 2 Char"/>
    <w:basedOn w:val="DefaultParagraphFont"/>
    <w:link w:val="BodyTextIndent2"/>
    <w:semiHidden/>
    <w:rsid w:val="002C7932"/>
    <w:rPr>
      <w:snapToGrid w:val="0"/>
      <w:lang w:val="en-GB" w:eastAsia="en-US" w:bidi="ar-SA"/>
    </w:rPr>
  </w:style>
  <w:style w:type="paragraph" w:styleId="BodyTextIndent3">
    <w:name w:val="Body Text Indent 3"/>
    <w:basedOn w:val="Normal"/>
    <w:link w:val="BodyTextIndent3Char"/>
    <w:semiHidden/>
    <w:rsid w:val="002C7932"/>
    <w:pPr>
      <w:suppressAutoHyphens/>
      <w:spacing w:after="120" w:line="240" w:lineRule="atLeast"/>
      <w:ind w:left="283"/>
    </w:pPr>
    <w:rPr>
      <w:snapToGrid w:val="0"/>
      <w:sz w:val="16"/>
      <w:szCs w:val="16"/>
      <w:lang w:val="en-GB"/>
    </w:rPr>
  </w:style>
  <w:style w:type="character" w:customStyle="1" w:styleId="BodyTextIndent3Char">
    <w:name w:val="Body Text Indent 3 Char"/>
    <w:basedOn w:val="DefaultParagraphFont"/>
    <w:link w:val="BodyTextIndent3"/>
    <w:semiHidden/>
    <w:rsid w:val="002C7932"/>
    <w:rPr>
      <w:snapToGrid w:val="0"/>
      <w:sz w:val="16"/>
      <w:szCs w:val="16"/>
      <w:lang w:val="en-GB" w:eastAsia="en-US" w:bidi="ar-SA"/>
    </w:rPr>
  </w:style>
  <w:style w:type="paragraph" w:styleId="Closing">
    <w:name w:val="Closing"/>
    <w:basedOn w:val="Normal"/>
    <w:link w:val="ClosingChar"/>
    <w:semiHidden/>
    <w:rsid w:val="002C7932"/>
    <w:pPr>
      <w:suppressAutoHyphens/>
      <w:spacing w:line="240" w:lineRule="atLeast"/>
      <w:ind w:left="4252"/>
    </w:pPr>
    <w:rPr>
      <w:snapToGrid w:val="0"/>
      <w:sz w:val="20"/>
      <w:szCs w:val="20"/>
      <w:lang w:val="en-GB"/>
    </w:rPr>
  </w:style>
  <w:style w:type="character" w:customStyle="1" w:styleId="ClosingChar">
    <w:name w:val="Closing Char"/>
    <w:basedOn w:val="DefaultParagraphFont"/>
    <w:link w:val="Closing"/>
    <w:semiHidden/>
    <w:rsid w:val="002C7932"/>
    <w:rPr>
      <w:snapToGrid w:val="0"/>
      <w:lang w:val="en-GB" w:eastAsia="en-US" w:bidi="ar-SA"/>
    </w:rPr>
  </w:style>
  <w:style w:type="paragraph" w:styleId="Date">
    <w:name w:val="Date"/>
    <w:basedOn w:val="Normal"/>
    <w:next w:val="Normal"/>
    <w:link w:val="DateChar"/>
    <w:semiHidden/>
    <w:rsid w:val="002C7932"/>
    <w:pPr>
      <w:suppressAutoHyphens/>
      <w:spacing w:line="240" w:lineRule="atLeast"/>
    </w:pPr>
    <w:rPr>
      <w:snapToGrid w:val="0"/>
      <w:sz w:val="20"/>
      <w:szCs w:val="20"/>
      <w:lang w:val="en-GB"/>
    </w:rPr>
  </w:style>
  <w:style w:type="character" w:customStyle="1" w:styleId="DateChar">
    <w:name w:val="Date Char"/>
    <w:basedOn w:val="DefaultParagraphFont"/>
    <w:link w:val="Date"/>
    <w:semiHidden/>
    <w:rsid w:val="002C7932"/>
    <w:rPr>
      <w:snapToGrid w:val="0"/>
      <w:lang w:val="en-GB" w:eastAsia="en-US" w:bidi="ar-SA"/>
    </w:rPr>
  </w:style>
  <w:style w:type="paragraph" w:styleId="E-mailSignature">
    <w:name w:val="E-mail Signature"/>
    <w:basedOn w:val="Normal"/>
    <w:link w:val="E-mailSignatureChar"/>
    <w:semiHidden/>
    <w:rsid w:val="002C7932"/>
    <w:pPr>
      <w:suppressAutoHyphens/>
      <w:spacing w:line="240" w:lineRule="atLeast"/>
    </w:pPr>
    <w:rPr>
      <w:snapToGrid w:val="0"/>
      <w:sz w:val="20"/>
      <w:szCs w:val="20"/>
      <w:lang w:val="en-GB"/>
    </w:rPr>
  </w:style>
  <w:style w:type="character" w:customStyle="1" w:styleId="E-mailSignatureChar">
    <w:name w:val="E-mail Signature Char"/>
    <w:basedOn w:val="DefaultParagraphFont"/>
    <w:link w:val="E-mailSignature"/>
    <w:semiHidden/>
    <w:rsid w:val="002C7932"/>
    <w:rPr>
      <w:snapToGrid w:val="0"/>
      <w:lang w:val="en-GB" w:eastAsia="en-US" w:bidi="ar-SA"/>
    </w:rPr>
  </w:style>
  <w:style w:type="character" w:styleId="Emphasis">
    <w:name w:val="Emphasis"/>
    <w:basedOn w:val="DefaultParagraphFont"/>
    <w:qFormat/>
    <w:rsid w:val="002C7932"/>
    <w:rPr>
      <w:rFonts w:cs="Times New Roman"/>
      <w:i/>
      <w:iCs/>
    </w:rPr>
  </w:style>
  <w:style w:type="paragraph" w:styleId="EnvelopeReturn">
    <w:name w:val="envelope return"/>
    <w:basedOn w:val="Normal"/>
    <w:semiHidden/>
    <w:rsid w:val="002C7932"/>
    <w:pPr>
      <w:suppressAutoHyphens/>
      <w:spacing w:line="240" w:lineRule="atLeast"/>
    </w:pPr>
    <w:rPr>
      <w:rFonts w:ascii="Arial" w:hAnsi="Arial" w:cs="Arial"/>
      <w:snapToGrid w:val="0"/>
      <w:sz w:val="20"/>
      <w:szCs w:val="20"/>
      <w:lang w:val="en-GB"/>
    </w:rPr>
  </w:style>
  <w:style w:type="character" w:styleId="FollowedHyperlink">
    <w:name w:val="FollowedHyperlink"/>
    <w:basedOn w:val="DefaultParagraphFont"/>
    <w:semiHidden/>
    <w:rsid w:val="002C7932"/>
    <w:rPr>
      <w:rFonts w:cs="Times New Roman"/>
      <w:color w:val="800080"/>
      <w:u w:val="single"/>
    </w:rPr>
  </w:style>
  <w:style w:type="character" w:styleId="HTMLAcronym">
    <w:name w:val="HTML Acronym"/>
    <w:basedOn w:val="DefaultParagraphFont"/>
    <w:semiHidden/>
    <w:rsid w:val="002C7932"/>
    <w:rPr>
      <w:rFonts w:cs="Times New Roman"/>
    </w:rPr>
  </w:style>
  <w:style w:type="paragraph" w:styleId="HTMLAddress">
    <w:name w:val="HTML Address"/>
    <w:basedOn w:val="Normal"/>
    <w:link w:val="HTMLAddressChar"/>
    <w:semiHidden/>
    <w:rsid w:val="002C7932"/>
    <w:pPr>
      <w:suppressAutoHyphens/>
      <w:spacing w:line="240" w:lineRule="atLeast"/>
    </w:pPr>
    <w:rPr>
      <w:i/>
      <w:iCs/>
      <w:snapToGrid w:val="0"/>
      <w:sz w:val="20"/>
      <w:szCs w:val="20"/>
      <w:lang w:val="en-GB"/>
    </w:rPr>
  </w:style>
  <w:style w:type="character" w:customStyle="1" w:styleId="HTMLAddressChar">
    <w:name w:val="HTML Address Char"/>
    <w:basedOn w:val="DefaultParagraphFont"/>
    <w:link w:val="HTMLAddress"/>
    <w:semiHidden/>
    <w:rsid w:val="002C7932"/>
    <w:rPr>
      <w:i/>
      <w:iCs/>
      <w:snapToGrid w:val="0"/>
      <w:lang w:val="en-GB" w:eastAsia="en-US" w:bidi="ar-SA"/>
    </w:rPr>
  </w:style>
  <w:style w:type="character" w:styleId="HTMLCite">
    <w:name w:val="HTML Cite"/>
    <w:basedOn w:val="DefaultParagraphFont"/>
    <w:semiHidden/>
    <w:rsid w:val="002C7932"/>
    <w:rPr>
      <w:rFonts w:cs="Times New Roman"/>
      <w:i/>
      <w:iCs/>
    </w:rPr>
  </w:style>
  <w:style w:type="character" w:styleId="HTMLCode">
    <w:name w:val="HTML Code"/>
    <w:basedOn w:val="DefaultParagraphFont"/>
    <w:semiHidden/>
    <w:rsid w:val="002C7932"/>
    <w:rPr>
      <w:rFonts w:ascii="Courier New" w:hAnsi="Courier New" w:cs="Courier New"/>
      <w:sz w:val="20"/>
      <w:szCs w:val="20"/>
    </w:rPr>
  </w:style>
  <w:style w:type="character" w:styleId="HTMLDefinition">
    <w:name w:val="HTML Definition"/>
    <w:basedOn w:val="DefaultParagraphFont"/>
    <w:semiHidden/>
    <w:rsid w:val="002C7932"/>
    <w:rPr>
      <w:rFonts w:cs="Times New Roman"/>
      <w:i/>
      <w:iCs/>
    </w:rPr>
  </w:style>
  <w:style w:type="character" w:styleId="HTMLKeyboard">
    <w:name w:val="HTML Keyboard"/>
    <w:basedOn w:val="DefaultParagraphFont"/>
    <w:semiHidden/>
    <w:rsid w:val="002C7932"/>
    <w:rPr>
      <w:rFonts w:ascii="Courier New" w:hAnsi="Courier New" w:cs="Courier New"/>
      <w:sz w:val="20"/>
      <w:szCs w:val="20"/>
    </w:rPr>
  </w:style>
  <w:style w:type="paragraph" w:styleId="HTMLPreformatted">
    <w:name w:val="HTML Preformatted"/>
    <w:basedOn w:val="Normal"/>
    <w:link w:val="HTMLPreformattedChar"/>
    <w:semiHidden/>
    <w:rsid w:val="002C7932"/>
    <w:pPr>
      <w:suppressAutoHyphens/>
      <w:spacing w:line="240" w:lineRule="atLeast"/>
    </w:pPr>
    <w:rPr>
      <w:rFonts w:ascii="Courier New" w:hAnsi="Courier New" w:cs="Courier New"/>
      <w:snapToGrid w:val="0"/>
      <w:sz w:val="20"/>
      <w:szCs w:val="20"/>
      <w:lang w:val="en-GB"/>
    </w:rPr>
  </w:style>
  <w:style w:type="character" w:customStyle="1" w:styleId="HTMLPreformattedChar">
    <w:name w:val="HTML Preformatted Char"/>
    <w:basedOn w:val="DefaultParagraphFont"/>
    <w:link w:val="HTMLPreformatted"/>
    <w:semiHidden/>
    <w:rsid w:val="002C7932"/>
    <w:rPr>
      <w:rFonts w:ascii="Courier New" w:hAnsi="Courier New" w:cs="Courier New"/>
      <w:snapToGrid w:val="0"/>
      <w:lang w:val="en-GB" w:eastAsia="en-US" w:bidi="ar-SA"/>
    </w:rPr>
  </w:style>
  <w:style w:type="character" w:styleId="HTMLSample">
    <w:name w:val="HTML Sample"/>
    <w:basedOn w:val="DefaultParagraphFont"/>
    <w:semiHidden/>
    <w:rsid w:val="002C7932"/>
    <w:rPr>
      <w:rFonts w:ascii="Courier New" w:hAnsi="Courier New" w:cs="Courier New"/>
    </w:rPr>
  </w:style>
  <w:style w:type="character" w:styleId="HTMLTypewriter">
    <w:name w:val="HTML Typewriter"/>
    <w:basedOn w:val="DefaultParagraphFont"/>
    <w:semiHidden/>
    <w:rsid w:val="002C7932"/>
    <w:rPr>
      <w:rFonts w:ascii="Courier New" w:hAnsi="Courier New" w:cs="Courier New"/>
      <w:sz w:val="20"/>
      <w:szCs w:val="20"/>
    </w:rPr>
  </w:style>
  <w:style w:type="character" w:styleId="HTMLVariable">
    <w:name w:val="HTML Variable"/>
    <w:basedOn w:val="DefaultParagraphFont"/>
    <w:semiHidden/>
    <w:rsid w:val="002C7932"/>
    <w:rPr>
      <w:rFonts w:cs="Times New Roman"/>
      <w:i/>
      <w:iCs/>
    </w:rPr>
  </w:style>
  <w:style w:type="paragraph" w:styleId="List">
    <w:name w:val="List"/>
    <w:basedOn w:val="Normal"/>
    <w:semiHidden/>
    <w:rsid w:val="002C7932"/>
    <w:pPr>
      <w:suppressAutoHyphens/>
      <w:spacing w:line="240" w:lineRule="atLeast"/>
      <w:ind w:left="283" w:hanging="283"/>
    </w:pPr>
    <w:rPr>
      <w:snapToGrid w:val="0"/>
      <w:sz w:val="20"/>
      <w:szCs w:val="20"/>
      <w:lang w:val="en-GB"/>
    </w:rPr>
  </w:style>
  <w:style w:type="paragraph" w:styleId="List2">
    <w:name w:val="List 2"/>
    <w:basedOn w:val="Normal"/>
    <w:semiHidden/>
    <w:rsid w:val="002C7932"/>
    <w:pPr>
      <w:suppressAutoHyphens/>
      <w:spacing w:line="240" w:lineRule="atLeast"/>
      <w:ind w:left="566" w:hanging="283"/>
    </w:pPr>
    <w:rPr>
      <w:snapToGrid w:val="0"/>
      <w:sz w:val="20"/>
      <w:szCs w:val="20"/>
      <w:lang w:val="en-GB"/>
    </w:rPr>
  </w:style>
  <w:style w:type="paragraph" w:styleId="List3">
    <w:name w:val="List 3"/>
    <w:basedOn w:val="Normal"/>
    <w:semiHidden/>
    <w:rsid w:val="002C7932"/>
    <w:pPr>
      <w:suppressAutoHyphens/>
      <w:spacing w:line="240" w:lineRule="atLeast"/>
      <w:ind w:left="849" w:hanging="283"/>
    </w:pPr>
    <w:rPr>
      <w:snapToGrid w:val="0"/>
      <w:sz w:val="20"/>
      <w:szCs w:val="20"/>
      <w:lang w:val="en-GB"/>
    </w:rPr>
  </w:style>
  <w:style w:type="paragraph" w:styleId="List4">
    <w:name w:val="List 4"/>
    <w:basedOn w:val="Normal"/>
    <w:semiHidden/>
    <w:rsid w:val="002C7932"/>
    <w:pPr>
      <w:suppressAutoHyphens/>
      <w:spacing w:line="240" w:lineRule="atLeast"/>
      <w:ind w:left="1132" w:hanging="283"/>
    </w:pPr>
    <w:rPr>
      <w:snapToGrid w:val="0"/>
      <w:sz w:val="20"/>
      <w:szCs w:val="20"/>
      <w:lang w:val="en-GB"/>
    </w:rPr>
  </w:style>
  <w:style w:type="paragraph" w:styleId="List5">
    <w:name w:val="List 5"/>
    <w:basedOn w:val="Normal"/>
    <w:semiHidden/>
    <w:rsid w:val="002C7932"/>
    <w:pPr>
      <w:suppressAutoHyphens/>
      <w:spacing w:line="240" w:lineRule="atLeast"/>
      <w:ind w:left="1415" w:hanging="283"/>
    </w:pPr>
    <w:rPr>
      <w:snapToGrid w:val="0"/>
      <w:sz w:val="20"/>
      <w:szCs w:val="20"/>
      <w:lang w:val="en-GB"/>
    </w:rPr>
  </w:style>
  <w:style w:type="paragraph" w:styleId="ListBullet">
    <w:name w:val="List Bullet"/>
    <w:basedOn w:val="Normal"/>
    <w:semiHidden/>
    <w:rsid w:val="002C7932"/>
    <w:pPr>
      <w:tabs>
        <w:tab w:val="num" w:pos="360"/>
      </w:tabs>
      <w:suppressAutoHyphens/>
      <w:spacing w:line="240" w:lineRule="atLeast"/>
      <w:ind w:left="360" w:hanging="360"/>
    </w:pPr>
    <w:rPr>
      <w:snapToGrid w:val="0"/>
      <w:sz w:val="20"/>
      <w:szCs w:val="20"/>
      <w:lang w:val="en-GB"/>
    </w:rPr>
  </w:style>
  <w:style w:type="paragraph" w:styleId="ListBullet2">
    <w:name w:val="List Bullet 2"/>
    <w:basedOn w:val="Normal"/>
    <w:semiHidden/>
    <w:rsid w:val="002C7932"/>
    <w:pPr>
      <w:tabs>
        <w:tab w:val="num" w:pos="643"/>
      </w:tabs>
      <w:suppressAutoHyphens/>
      <w:spacing w:line="240" w:lineRule="atLeast"/>
      <w:ind w:left="643" w:hanging="360"/>
    </w:pPr>
    <w:rPr>
      <w:snapToGrid w:val="0"/>
      <w:sz w:val="20"/>
      <w:szCs w:val="20"/>
      <w:lang w:val="en-GB"/>
    </w:rPr>
  </w:style>
  <w:style w:type="paragraph" w:styleId="ListBullet3">
    <w:name w:val="List Bullet 3"/>
    <w:basedOn w:val="Normal"/>
    <w:semiHidden/>
    <w:rsid w:val="002C7932"/>
    <w:pPr>
      <w:tabs>
        <w:tab w:val="num" w:pos="926"/>
      </w:tabs>
      <w:suppressAutoHyphens/>
      <w:spacing w:line="240" w:lineRule="atLeast"/>
      <w:ind w:left="926" w:hanging="360"/>
    </w:pPr>
    <w:rPr>
      <w:snapToGrid w:val="0"/>
      <w:sz w:val="20"/>
      <w:szCs w:val="20"/>
      <w:lang w:val="en-GB"/>
    </w:rPr>
  </w:style>
  <w:style w:type="paragraph" w:styleId="ListBullet4">
    <w:name w:val="List Bullet 4"/>
    <w:basedOn w:val="Normal"/>
    <w:semiHidden/>
    <w:rsid w:val="002C7932"/>
    <w:pPr>
      <w:tabs>
        <w:tab w:val="num" w:pos="1209"/>
      </w:tabs>
      <w:suppressAutoHyphens/>
      <w:spacing w:line="240" w:lineRule="atLeast"/>
      <w:ind w:left="1209" w:hanging="360"/>
    </w:pPr>
    <w:rPr>
      <w:snapToGrid w:val="0"/>
      <w:sz w:val="20"/>
      <w:szCs w:val="20"/>
      <w:lang w:val="en-GB"/>
    </w:rPr>
  </w:style>
  <w:style w:type="paragraph" w:styleId="ListBullet5">
    <w:name w:val="List Bullet 5"/>
    <w:basedOn w:val="Normal"/>
    <w:semiHidden/>
    <w:rsid w:val="002C7932"/>
    <w:pPr>
      <w:tabs>
        <w:tab w:val="num" w:pos="1492"/>
      </w:tabs>
      <w:suppressAutoHyphens/>
      <w:spacing w:line="240" w:lineRule="atLeast"/>
      <w:ind w:left="1492" w:hanging="360"/>
    </w:pPr>
    <w:rPr>
      <w:snapToGrid w:val="0"/>
      <w:sz w:val="20"/>
      <w:szCs w:val="20"/>
      <w:lang w:val="en-GB"/>
    </w:rPr>
  </w:style>
  <w:style w:type="paragraph" w:styleId="ListContinue">
    <w:name w:val="List Continue"/>
    <w:basedOn w:val="Normal"/>
    <w:semiHidden/>
    <w:rsid w:val="002C7932"/>
    <w:pPr>
      <w:suppressAutoHyphens/>
      <w:spacing w:after="120" w:line="240" w:lineRule="atLeast"/>
      <w:ind w:left="283"/>
    </w:pPr>
    <w:rPr>
      <w:snapToGrid w:val="0"/>
      <w:sz w:val="20"/>
      <w:szCs w:val="20"/>
      <w:lang w:val="en-GB"/>
    </w:rPr>
  </w:style>
  <w:style w:type="paragraph" w:styleId="ListContinue2">
    <w:name w:val="List Continue 2"/>
    <w:basedOn w:val="Normal"/>
    <w:semiHidden/>
    <w:rsid w:val="002C7932"/>
    <w:pPr>
      <w:suppressAutoHyphens/>
      <w:spacing w:after="120" w:line="240" w:lineRule="atLeast"/>
      <w:ind w:left="566"/>
    </w:pPr>
    <w:rPr>
      <w:snapToGrid w:val="0"/>
      <w:sz w:val="20"/>
      <w:szCs w:val="20"/>
      <w:lang w:val="en-GB"/>
    </w:rPr>
  </w:style>
  <w:style w:type="paragraph" w:styleId="ListContinue3">
    <w:name w:val="List Continue 3"/>
    <w:basedOn w:val="Normal"/>
    <w:semiHidden/>
    <w:rsid w:val="002C7932"/>
    <w:pPr>
      <w:suppressAutoHyphens/>
      <w:spacing w:after="120" w:line="240" w:lineRule="atLeast"/>
      <w:ind w:left="849"/>
    </w:pPr>
    <w:rPr>
      <w:snapToGrid w:val="0"/>
      <w:sz w:val="20"/>
      <w:szCs w:val="20"/>
      <w:lang w:val="en-GB"/>
    </w:rPr>
  </w:style>
  <w:style w:type="paragraph" w:styleId="ListContinue4">
    <w:name w:val="List Continue 4"/>
    <w:basedOn w:val="Normal"/>
    <w:semiHidden/>
    <w:rsid w:val="002C7932"/>
    <w:pPr>
      <w:suppressAutoHyphens/>
      <w:spacing w:after="120" w:line="240" w:lineRule="atLeast"/>
      <w:ind w:left="1132"/>
    </w:pPr>
    <w:rPr>
      <w:snapToGrid w:val="0"/>
      <w:sz w:val="20"/>
      <w:szCs w:val="20"/>
      <w:lang w:val="en-GB"/>
    </w:rPr>
  </w:style>
  <w:style w:type="paragraph" w:styleId="ListContinue5">
    <w:name w:val="List Continue 5"/>
    <w:basedOn w:val="Normal"/>
    <w:semiHidden/>
    <w:rsid w:val="002C7932"/>
    <w:pPr>
      <w:suppressAutoHyphens/>
      <w:spacing w:after="120" w:line="240" w:lineRule="atLeast"/>
      <w:ind w:left="1415"/>
    </w:pPr>
    <w:rPr>
      <w:snapToGrid w:val="0"/>
      <w:sz w:val="20"/>
      <w:szCs w:val="20"/>
      <w:lang w:val="en-GB"/>
    </w:rPr>
  </w:style>
  <w:style w:type="paragraph" w:styleId="ListNumber">
    <w:name w:val="List Number"/>
    <w:basedOn w:val="Normal"/>
    <w:semiHidden/>
    <w:rsid w:val="002C7932"/>
    <w:pPr>
      <w:tabs>
        <w:tab w:val="num" w:pos="360"/>
      </w:tabs>
      <w:suppressAutoHyphens/>
      <w:spacing w:line="240" w:lineRule="atLeast"/>
      <w:ind w:left="360" w:hanging="360"/>
    </w:pPr>
    <w:rPr>
      <w:snapToGrid w:val="0"/>
      <w:sz w:val="20"/>
      <w:szCs w:val="20"/>
      <w:lang w:val="en-GB"/>
    </w:rPr>
  </w:style>
  <w:style w:type="paragraph" w:styleId="ListNumber2">
    <w:name w:val="List Number 2"/>
    <w:basedOn w:val="Normal"/>
    <w:semiHidden/>
    <w:rsid w:val="002C7932"/>
    <w:pPr>
      <w:tabs>
        <w:tab w:val="num" w:pos="643"/>
      </w:tabs>
      <w:suppressAutoHyphens/>
      <w:spacing w:line="240" w:lineRule="atLeast"/>
      <w:ind w:left="643" w:hanging="360"/>
    </w:pPr>
    <w:rPr>
      <w:snapToGrid w:val="0"/>
      <w:sz w:val="20"/>
      <w:szCs w:val="20"/>
      <w:lang w:val="en-GB"/>
    </w:rPr>
  </w:style>
  <w:style w:type="paragraph" w:styleId="ListNumber3">
    <w:name w:val="List Number 3"/>
    <w:basedOn w:val="Normal"/>
    <w:semiHidden/>
    <w:rsid w:val="002C7932"/>
    <w:pPr>
      <w:tabs>
        <w:tab w:val="num" w:pos="926"/>
      </w:tabs>
      <w:suppressAutoHyphens/>
      <w:spacing w:line="240" w:lineRule="atLeast"/>
      <w:ind w:left="926" w:hanging="360"/>
    </w:pPr>
    <w:rPr>
      <w:snapToGrid w:val="0"/>
      <w:sz w:val="20"/>
      <w:szCs w:val="20"/>
      <w:lang w:val="en-GB"/>
    </w:rPr>
  </w:style>
  <w:style w:type="paragraph" w:styleId="ListNumber4">
    <w:name w:val="List Number 4"/>
    <w:basedOn w:val="Normal"/>
    <w:semiHidden/>
    <w:rsid w:val="002C7932"/>
    <w:pPr>
      <w:tabs>
        <w:tab w:val="num" w:pos="1209"/>
      </w:tabs>
      <w:suppressAutoHyphens/>
      <w:spacing w:line="240" w:lineRule="atLeast"/>
      <w:ind w:left="1209" w:hanging="360"/>
    </w:pPr>
    <w:rPr>
      <w:snapToGrid w:val="0"/>
      <w:sz w:val="20"/>
      <w:szCs w:val="20"/>
      <w:lang w:val="en-GB"/>
    </w:rPr>
  </w:style>
  <w:style w:type="paragraph" w:styleId="ListNumber5">
    <w:name w:val="List Number 5"/>
    <w:basedOn w:val="Normal"/>
    <w:semiHidden/>
    <w:rsid w:val="002C7932"/>
    <w:pPr>
      <w:tabs>
        <w:tab w:val="num" w:pos="1492"/>
      </w:tabs>
      <w:suppressAutoHyphens/>
      <w:spacing w:line="240" w:lineRule="atLeast"/>
      <w:ind w:left="1492" w:hanging="360"/>
    </w:pPr>
    <w:rPr>
      <w:snapToGrid w:val="0"/>
      <w:sz w:val="20"/>
      <w:szCs w:val="20"/>
      <w:lang w:val="en-GB"/>
    </w:rPr>
  </w:style>
  <w:style w:type="paragraph" w:styleId="MessageHeader">
    <w:name w:val="Message Header"/>
    <w:basedOn w:val="Normal"/>
    <w:link w:val="MessageHeaderChar"/>
    <w:semiHidden/>
    <w:rsid w:val="002C7932"/>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hAnsi="Arial" w:cs="Arial"/>
      <w:snapToGrid w:val="0"/>
      <w:lang w:val="en-GB"/>
    </w:rPr>
  </w:style>
  <w:style w:type="character" w:customStyle="1" w:styleId="MessageHeaderChar">
    <w:name w:val="Message Header Char"/>
    <w:basedOn w:val="DefaultParagraphFont"/>
    <w:link w:val="MessageHeader"/>
    <w:semiHidden/>
    <w:rsid w:val="002C7932"/>
    <w:rPr>
      <w:rFonts w:ascii="Arial" w:hAnsi="Arial" w:cs="Arial"/>
      <w:snapToGrid w:val="0"/>
      <w:sz w:val="24"/>
      <w:szCs w:val="24"/>
      <w:lang w:val="en-GB" w:eastAsia="en-US" w:bidi="ar-SA"/>
    </w:rPr>
  </w:style>
  <w:style w:type="paragraph" w:styleId="NormalWeb">
    <w:name w:val="Normal (Web)"/>
    <w:basedOn w:val="Normal"/>
    <w:semiHidden/>
    <w:rsid w:val="002C7932"/>
    <w:pPr>
      <w:suppressAutoHyphens/>
      <w:spacing w:line="240" w:lineRule="atLeast"/>
    </w:pPr>
    <w:rPr>
      <w:snapToGrid w:val="0"/>
      <w:lang w:val="en-GB"/>
    </w:rPr>
  </w:style>
  <w:style w:type="paragraph" w:styleId="NormalIndent">
    <w:name w:val="Normal Indent"/>
    <w:basedOn w:val="Normal"/>
    <w:semiHidden/>
    <w:rsid w:val="002C7932"/>
    <w:pPr>
      <w:suppressAutoHyphens/>
      <w:spacing w:line="240" w:lineRule="atLeast"/>
      <w:ind w:left="567"/>
    </w:pPr>
    <w:rPr>
      <w:snapToGrid w:val="0"/>
      <w:sz w:val="20"/>
      <w:szCs w:val="20"/>
      <w:lang w:val="en-GB"/>
    </w:rPr>
  </w:style>
  <w:style w:type="paragraph" w:styleId="NoteHeading">
    <w:name w:val="Note Heading"/>
    <w:basedOn w:val="Normal"/>
    <w:next w:val="Normal"/>
    <w:link w:val="NoteHeadingChar"/>
    <w:semiHidden/>
    <w:rsid w:val="002C7932"/>
    <w:pPr>
      <w:suppressAutoHyphens/>
      <w:spacing w:line="240" w:lineRule="atLeast"/>
    </w:pPr>
    <w:rPr>
      <w:snapToGrid w:val="0"/>
      <w:sz w:val="20"/>
      <w:szCs w:val="20"/>
      <w:lang w:val="en-GB"/>
    </w:rPr>
  </w:style>
  <w:style w:type="character" w:customStyle="1" w:styleId="NoteHeadingChar">
    <w:name w:val="Note Heading Char"/>
    <w:basedOn w:val="DefaultParagraphFont"/>
    <w:link w:val="NoteHeading"/>
    <w:semiHidden/>
    <w:rsid w:val="002C7932"/>
    <w:rPr>
      <w:snapToGrid w:val="0"/>
      <w:lang w:val="en-GB" w:eastAsia="en-US" w:bidi="ar-SA"/>
    </w:rPr>
  </w:style>
  <w:style w:type="paragraph" w:styleId="Salutation">
    <w:name w:val="Salutation"/>
    <w:basedOn w:val="Normal"/>
    <w:next w:val="Normal"/>
    <w:link w:val="SalutationChar"/>
    <w:semiHidden/>
    <w:rsid w:val="002C7932"/>
    <w:pPr>
      <w:suppressAutoHyphens/>
      <w:spacing w:line="240" w:lineRule="atLeast"/>
    </w:pPr>
    <w:rPr>
      <w:snapToGrid w:val="0"/>
      <w:sz w:val="20"/>
      <w:szCs w:val="20"/>
      <w:lang w:val="en-GB"/>
    </w:rPr>
  </w:style>
  <w:style w:type="character" w:customStyle="1" w:styleId="SalutationChar">
    <w:name w:val="Salutation Char"/>
    <w:basedOn w:val="DefaultParagraphFont"/>
    <w:link w:val="Salutation"/>
    <w:semiHidden/>
    <w:rsid w:val="002C7932"/>
    <w:rPr>
      <w:snapToGrid w:val="0"/>
      <w:lang w:val="en-GB" w:eastAsia="en-US" w:bidi="ar-SA"/>
    </w:rPr>
  </w:style>
  <w:style w:type="paragraph" w:styleId="Signature">
    <w:name w:val="Signature"/>
    <w:basedOn w:val="Normal"/>
    <w:link w:val="SignatureChar"/>
    <w:semiHidden/>
    <w:rsid w:val="002C7932"/>
    <w:pPr>
      <w:suppressAutoHyphens/>
      <w:spacing w:line="240" w:lineRule="atLeast"/>
      <w:ind w:left="4252"/>
    </w:pPr>
    <w:rPr>
      <w:snapToGrid w:val="0"/>
      <w:sz w:val="20"/>
      <w:szCs w:val="20"/>
      <w:lang w:val="en-GB"/>
    </w:rPr>
  </w:style>
  <w:style w:type="character" w:customStyle="1" w:styleId="SignatureChar">
    <w:name w:val="Signature Char"/>
    <w:basedOn w:val="DefaultParagraphFont"/>
    <w:link w:val="Signature"/>
    <w:semiHidden/>
    <w:rsid w:val="002C7932"/>
    <w:rPr>
      <w:snapToGrid w:val="0"/>
      <w:lang w:val="en-GB" w:eastAsia="en-US" w:bidi="ar-SA"/>
    </w:rPr>
  </w:style>
  <w:style w:type="character" w:styleId="Strong">
    <w:name w:val="Strong"/>
    <w:basedOn w:val="DefaultParagraphFont"/>
    <w:qFormat/>
    <w:rsid w:val="002C7932"/>
    <w:rPr>
      <w:rFonts w:cs="Times New Roman"/>
      <w:b/>
      <w:bCs/>
    </w:rPr>
  </w:style>
  <w:style w:type="paragraph" w:styleId="Subtitle">
    <w:name w:val="Subtitle"/>
    <w:basedOn w:val="Normal"/>
    <w:link w:val="SubtitleChar"/>
    <w:qFormat/>
    <w:rsid w:val="002C7932"/>
    <w:pPr>
      <w:suppressAutoHyphens/>
      <w:spacing w:after="60" w:line="240" w:lineRule="atLeast"/>
      <w:jc w:val="center"/>
      <w:outlineLvl w:val="1"/>
    </w:pPr>
    <w:rPr>
      <w:rFonts w:ascii="Arial" w:hAnsi="Arial" w:cs="Arial"/>
      <w:snapToGrid w:val="0"/>
      <w:lang w:val="en-GB"/>
    </w:rPr>
  </w:style>
  <w:style w:type="character" w:customStyle="1" w:styleId="SubtitleChar">
    <w:name w:val="Subtitle Char"/>
    <w:basedOn w:val="DefaultParagraphFont"/>
    <w:link w:val="Subtitle"/>
    <w:rsid w:val="002C7932"/>
    <w:rPr>
      <w:rFonts w:ascii="Arial" w:hAnsi="Arial" w:cs="Arial"/>
      <w:snapToGrid w:val="0"/>
      <w:sz w:val="24"/>
      <w:szCs w:val="24"/>
      <w:lang w:val="en-GB" w:eastAsia="en-US" w:bidi="ar-SA"/>
    </w:rPr>
  </w:style>
  <w:style w:type="table" w:styleId="Table3Deffects1">
    <w:name w:val="Table 3D effects 1"/>
    <w:basedOn w:val="TableNormal"/>
    <w:semiHidden/>
    <w:rsid w:val="002C7932"/>
    <w:pPr>
      <w:suppressAutoHyphens/>
      <w:spacing w:line="240" w:lineRule="atLeast"/>
    </w:pPr>
    <w:rPr>
      <w:snapToGrid w:val="0"/>
    </w:rPr>
    <w:tblPr>
      <w:tblInd w:w="0" w:type="dxa"/>
      <w:tblCellMar>
        <w:top w:w="0" w:type="dxa"/>
        <w:left w:w="108" w:type="dxa"/>
        <w:bottom w:w="0" w:type="dxa"/>
        <w:right w:w="108" w:type="dxa"/>
      </w:tblCellMar>
    </w:tblPr>
    <w:tcPr>
      <w:shd w:val="solid" w:color="C0C0C0" w:fill="FFFFFF"/>
    </w:tcPr>
  </w:style>
  <w:style w:type="table" w:styleId="Table3Deffects2">
    <w:name w:val="Table 3D effects 2"/>
    <w:basedOn w:val="TableNormal"/>
    <w:semiHidden/>
    <w:rsid w:val="002C7932"/>
    <w:pPr>
      <w:suppressAutoHyphens/>
      <w:spacing w:line="240" w:lineRule="atLeast"/>
    </w:pPr>
    <w:rPr>
      <w:snapToGrid w:val="0"/>
    </w:rPr>
    <w:tblPr>
      <w:tblInd w:w="0" w:type="dxa"/>
      <w:tblCellMar>
        <w:top w:w="0" w:type="dxa"/>
        <w:left w:w="108" w:type="dxa"/>
        <w:bottom w:w="0" w:type="dxa"/>
        <w:right w:w="108" w:type="dxa"/>
      </w:tblCellMar>
    </w:tblPr>
    <w:tcPr>
      <w:shd w:val="solid" w:color="C0C0C0" w:fill="FFFFFF"/>
    </w:tcPr>
  </w:style>
  <w:style w:type="table" w:styleId="Table3Deffects3">
    <w:name w:val="Table 3D effects 3"/>
    <w:basedOn w:val="TableNormal"/>
    <w:semiHidden/>
    <w:rsid w:val="002C7932"/>
    <w:pPr>
      <w:suppressAutoHyphens/>
      <w:spacing w:line="240" w:lineRule="atLeast"/>
    </w:pPr>
    <w:rPr>
      <w:snapToGrid w:val="0"/>
    </w:rPr>
    <w:tblPr>
      <w:tblInd w:w="0" w:type="dxa"/>
      <w:tblCellMar>
        <w:top w:w="0" w:type="dxa"/>
        <w:left w:w="108" w:type="dxa"/>
        <w:bottom w:w="0" w:type="dxa"/>
        <w:right w:w="108" w:type="dxa"/>
      </w:tblCellMar>
    </w:tblPr>
  </w:style>
  <w:style w:type="table" w:styleId="TableClassic1">
    <w:name w:val="Table Classic 1"/>
    <w:basedOn w:val="TableNormal"/>
    <w:semiHidden/>
    <w:rsid w:val="002C7932"/>
    <w:pPr>
      <w:suppressAutoHyphens/>
      <w:spacing w:line="240" w:lineRule="atLeast"/>
    </w:pPr>
    <w:rPr>
      <w:snapToGrid w:val="0"/>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2">
    <w:name w:val="Table Classic 2"/>
    <w:basedOn w:val="TableNormal"/>
    <w:semiHidden/>
    <w:rsid w:val="002C7932"/>
    <w:pPr>
      <w:suppressAutoHyphens/>
      <w:spacing w:line="240" w:lineRule="atLeast"/>
    </w:pPr>
    <w:rPr>
      <w:snapToGrid w:val="0"/>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3">
    <w:name w:val="Table Classic 3"/>
    <w:basedOn w:val="TableNormal"/>
    <w:semiHidden/>
    <w:rsid w:val="002C7932"/>
    <w:pPr>
      <w:suppressAutoHyphens/>
      <w:spacing w:line="240" w:lineRule="atLeast"/>
    </w:pPr>
    <w:rPr>
      <w:snapToGrid w:val="0"/>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styleId="TableClassic4">
    <w:name w:val="Table Classic 4"/>
    <w:basedOn w:val="TableNormal"/>
    <w:semiHidden/>
    <w:rsid w:val="002C7932"/>
    <w:pPr>
      <w:suppressAutoHyphens/>
      <w:spacing w:line="240" w:lineRule="atLeast"/>
    </w:pPr>
    <w:rPr>
      <w:snapToGrid w:val="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styleId="TableColorful1">
    <w:name w:val="Table Colorful 1"/>
    <w:basedOn w:val="TableNormal"/>
    <w:semiHidden/>
    <w:rsid w:val="002C7932"/>
    <w:pPr>
      <w:suppressAutoHyphens/>
      <w:spacing w:line="240" w:lineRule="atLeast"/>
    </w:pPr>
    <w:rPr>
      <w:snapToGrid w:val="0"/>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styleId="TableColorful2">
    <w:name w:val="Table Colorful 2"/>
    <w:basedOn w:val="TableNormal"/>
    <w:semiHidden/>
    <w:rsid w:val="002C7932"/>
    <w:pPr>
      <w:suppressAutoHyphens/>
      <w:spacing w:line="240" w:lineRule="atLeast"/>
    </w:pPr>
    <w:rPr>
      <w:snapToGrid w:val="0"/>
    </w:rPr>
    <w:tblPr>
      <w:tblInd w:w="0" w:type="dxa"/>
      <w:tblBorders>
        <w:bottom w:val="single" w:sz="12" w:space="0" w:color="000000"/>
      </w:tblBorders>
      <w:tblCellMar>
        <w:top w:w="0" w:type="dxa"/>
        <w:left w:w="108" w:type="dxa"/>
        <w:bottom w:w="0" w:type="dxa"/>
        <w:right w:w="108" w:type="dxa"/>
      </w:tblCellMar>
    </w:tblPr>
    <w:tcPr>
      <w:shd w:val="pct20" w:color="FFFF00" w:fill="FFFFFF"/>
    </w:tcPr>
  </w:style>
  <w:style w:type="table" w:styleId="TableColorful3">
    <w:name w:val="Table Colorful 3"/>
    <w:basedOn w:val="TableNormal"/>
    <w:semiHidden/>
    <w:rsid w:val="002C7932"/>
    <w:pPr>
      <w:suppressAutoHyphens/>
      <w:spacing w:line="240" w:lineRule="atLeast"/>
    </w:pPr>
    <w:rPr>
      <w:snapToGrid w:val="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styleId="TableColumns1">
    <w:name w:val="Table Columns 1"/>
    <w:basedOn w:val="TableNormal"/>
    <w:semiHidden/>
    <w:rsid w:val="002C7932"/>
    <w:pPr>
      <w:suppressAutoHyphens/>
      <w:spacing w:line="240" w:lineRule="atLeast"/>
    </w:pPr>
    <w:rPr>
      <w:b/>
      <w:bCs/>
      <w:snapToGrid w:val="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Columns2">
    <w:name w:val="Table Columns 2"/>
    <w:basedOn w:val="TableNormal"/>
    <w:semiHidden/>
    <w:rsid w:val="002C7932"/>
    <w:pPr>
      <w:suppressAutoHyphens/>
      <w:spacing w:line="240" w:lineRule="atLeast"/>
    </w:pPr>
    <w:rPr>
      <w:b/>
      <w:bCs/>
      <w:snapToGrid w:val="0"/>
    </w:rPr>
    <w:tblPr>
      <w:tblInd w:w="0" w:type="dxa"/>
      <w:tblCellMar>
        <w:top w:w="0" w:type="dxa"/>
        <w:left w:w="108" w:type="dxa"/>
        <w:bottom w:w="0" w:type="dxa"/>
        <w:right w:w="108" w:type="dxa"/>
      </w:tblCellMar>
    </w:tblPr>
  </w:style>
  <w:style w:type="table" w:styleId="TableColumns3">
    <w:name w:val="Table Columns 3"/>
    <w:basedOn w:val="TableNormal"/>
    <w:semiHidden/>
    <w:rsid w:val="002C7932"/>
    <w:pPr>
      <w:suppressAutoHyphens/>
      <w:spacing w:line="240" w:lineRule="atLeast"/>
    </w:pPr>
    <w:rPr>
      <w:b/>
      <w:bCs/>
      <w:snapToGrid w:val="0"/>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styleId="TableColumns4">
    <w:name w:val="Table Columns 4"/>
    <w:basedOn w:val="TableNormal"/>
    <w:semiHidden/>
    <w:rsid w:val="002C7932"/>
    <w:pPr>
      <w:suppressAutoHyphens/>
      <w:spacing w:line="240" w:lineRule="atLeast"/>
    </w:pPr>
    <w:rPr>
      <w:snapToGrid w:val="0"/>
    </w:rPr>
    <w:tblPr>
      <w:tblInd w:w="0" w:type="dxa"/>
      <w:tblCellMar>
        <w:top w:w="0" w:type="dxa"/>
        <w:left w:w="108" w:type="dxa"/>
        <w:bottom w:w="0" w:type="dxa"/>
        <w:right w:w="108" w:type="dxa"/>
      </w:tblCellMar>
    </w:tblPr>
  </w:style>
  <w:style w:type="table" w:styleId="TableColumns5">
    <w:name w:val="Table Columns 5"/>
    <w:basedOn w:val="TableNormal"/>
    <w:semiHidden/>
    <w:rsid w:val="002C7932"/>
    <w:pPr>
      <w:suppressAutoHyphens/>
      <w:spacing w:line="240" w:lineRule="atLeast"/>
    </w:pPr>
    <w:rPr>
      <w:snapToGrid w:val="0"/>
    </w:r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styleId="TableContemporary">
    <w:name w:val="Table Contemporary"/>
    <w:basedOn w:val="TableNormal"/>
    <w:semiHidden/>
    <w:rsid w:val="002C7932"/>
    <w:pPr>
      <w:suppressAutoHyphens/>
      <w:spacing w:line="240" w:lineRule="atLeast"/>
    </w:pPr>
    <w:rPr>
      <w:snapToGrid w:val="0"/>
    </w:rPr>
    <w:tblPr>
      <w:tblInd w:w="0" w:type="dxa"/>
      <w:tblBorders>
        <w:insideH w:val="single" w:sz="18" w:space="0" w:color="FFFFFF"/>
        <w:insideV w:val="single" w:sz="18" w:space="0" w:color="FFFFFF"/>
      </w:tblBorders>
      <w:tblCellMar>
        <w:top w:w="0" w:type="dxa"/>
        <w:left w:w="108" w:type="dxa"/>
        <w:bottom w:w="0" w:type="dxa"/>
        <w:right w:w="108" w:type="dxa"/>
      </w:tblCellMar>
    </w:tblPr>
  </w:style>
  <w:style w:type="table" w:styleId="TableElegant">
    <w:name w:val="Table Elegant"/>
    <w:basedOn w:val="TableNormal"/>
    <w:semiHidden/>
    <w:rsid w:val="002C7932"/>
    <w:pPr>
      <w:suppressAutoHyphens/>
      <w:spacing w:line="240" w:lineRule="atLeast"/>
    </w:pPr>
    <w:rPr>
      <w:snapToGrid w:val="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1">
    <w:name w:val="Table Grid 1"/>
    <w:basedOn w:val="TableNormal"/>
    <w:semiHidden/>
    <w:rsid w:val="002C7932"/>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2">
    <w:name w:val="Table Grid 2"/>
    <w:basedOn w:val="TableNormal"/>
    <w:semiHidden/>
    <w:rsid w:val="002C7932"/>
    <w:pPr>
      <w:suppressAutoHyphens/>
      <w:spacing w:line="240" w:lineRule="atLeast"/>
    </w:pPr>
    <w:rPr>
      <w:snapToGrid w:val="0"/>
    </w:rPr>
    <w:tblPr>
      <w:tblInd w:w="0" w:type="dxa"/>
      <w:tblBorders>
        <w:insideH w:val="single" w:sz="6" w:space="0" w:color="000000"/>
        <w:insideV w:val="single" w:sz="6" w:space="0" w:color="000000"/>
      </w:tblBorders>
      <w:tblCellMar>
        <w:top w:w="0" w:type="dxa"/>
        <w:left w:w="108" w:type="dxa"/>
        <w:bottom w:w="0" w:type="dxa"/>
        <w:right w:w="108" w:type="dxa"/>
      </w:tblCellMar>
    </w:tblPr>
  </w:style>
  <w:style w:type="table" w:styleId="TableGrid3">
    <w:name w:val="Table Grid 3"/>
    <w:basedOn w:val="TableNormal"/>
    <w:semiHidden/>
    <w:rsid w:val="002C7932"/>
    <w:pPr>
      <w:suppressAutoHyphens/>
      <w:spacing w:line="240" w:lineRule="atLeast"/>
    </w:pPr>
    <w:rPr>
      <w:snapToGrid w:val="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4">
    <w:name w:val="Table Grid 4"/>
    <w:basedOn w:val="TableNormal"/>
    <w:semiHidden/>
    <w:rsid w:val="002C7932"/>
    <w:pPr>
      <w:suppressAutoHyphens/>
      <w:spacing w:line="240" w:lineRule="atLeast"/>
    </w:pPr>
    <w:rPr>
      <w:snapToGrid w:val="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5">
    <w:name w:val="Table Grid 5"/>
    <w:basedOn w:val="TableNormal"/>
    <w:semiHidden/>
    <w:rsid w:val="002C7932"/>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6">
    <w:name w:val="Table Grid 6"/>
    <w:basedOn w:val="TableNormal"/>
    <w:semiHidden/>
    <w:rsid w:val="002C7932"/>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7">
    <w:name w:val="Table Grid 7"/>
    <w:basedOn w:val="TableNormal"/>
    <w:semiHidden/>
    <w:rsid w:val="002C7932"/>
    <w:pPr>
      <w:suppressAutoHyphens/>
      <w:spacing w:line="240" w:lineRule="atLeast"/>
    </w:pPr>
    <w:rPr>
      <w:b/>
      <w:bCs/>
      <w:snapToGrid w:val="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8">
    <w:name w:val="Table Grid 8"/>
    <w:basedOn w:val="TableNormal"/>
    <w:semiHidden/>
    <w:rsid w:val="002C7932"/>
    <w:pPr>
      <w:suppressAutoHyphens/>
      <w:spacing w:line="240" w:lineRule="atLeast"/>
    </w:pPr>
    <w:rPr>
      <w:snapToGrid w:val="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styleId="TableList1">
    <w:name w:val="Table List 1"/>
    <w:basedOn w:val="TableNormal"/>
    <w:semiHidden/>
    <w:rsid w:val="002C7932"/>
    <w:pPr>
      <w:suppressAutoHyphens/>
      <w:spacing w:line="240" w:lineRule="atLeast"/>
    </w:pPr>
    <w:rPr>
      <w:snapToGrid w:val="0"/>
    </w:r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styleId="TableList2">
    <w:name w:val="Table List 2"/>
    <w:basedOn w:val="TableNormal"/>
    <w:semiHidden/>
    <w:rsid w:val="002C7932"/>
    <w:pPr>
      <w:suppressAutoHyphens/>
      <w:spacing w:line="240" w:lineRule="atLeast"/>
    </w:pPr>
    <w:rPr>
      <w:snapToGrid w:val="0"/>
    </w:rPr>
    <w:tblPr>
      <w:tblInd w:w="0" w:type="dxa"/>
      <w:tblBorders>
        <w:bottom w:val="single" w:sz="12" w:space="0" w:color="808080"/>
      </w:tblBorders>
      <w:tblCellMar>
        <w:top w:w="0" w:type="dxa"/>
        <w:left w:w="108" w:type="dxa"/>
        <w:bottom w:w="0" w:type="dxa"/>
        <w:right w:w="108" w:type="dxa"/>
      </w:tblCellMar>
    </w:tblPr>
  </w:style>
  <w:style w:type="table" w:styleId="TableList3">
    <w:name w:val="Table List 3"/>
    <w:basedOn w:val="TableNormal"/>
    <w:semiHidden/>
    <w:rsid w:val="002C7932"/>
    <w:pPr>
      <w:suppressAutoHyphens/>
      <w:spacing w:line="240" w:lineRule="atLeast"/>
    </w:pPr>
    <w:rPr>
      <w:snapToGrid w:val="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styleId="TableList4">
    <w:name w:val="Table List 4"/>
    <w:basedOn w:val="TableNormal"/>
    <w:semiHidden/>
    <w:rsid w:val="002C7932"/>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styleId="TableList5">
    <w:name w:val="Table List 5"/>
    <w:basedOn w:val="TableNormal"/>
    <w:semiHidden/>
    <w:rsid w:val="002C7932"/>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styleId="TableList6">
    <w:name w:val="Table List 6"/>
    <w:basedOn w:val="TableNormal"/>
    <w:semiHidden/>
    <w:rsid w:val="002C7932"/>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styleId="TableList7">
    <w:name w:val="Table List 7"/>
    <w:basedOn w:val="TableNormal"/>
    <w:semiHidden/>
    <w:rsid w:val="002C7932"/>
    <w:pPr>
      <w:suppressAutoHyphens/>
      <w:spacing w:line="240" w:lineRule="atLeast"/>
    </w:pPr>
    <w:rPr>
      <w:snapToGrid w:val="0"/>
    </w:r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styleId="TableList8">
    <w:name w:val="Table List 8"/>
    <w:basedOn w:val="TableNormal"/>
    <w:semiHidden/>
    <w:rsid w:val="002C7932"/>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styleId="TableProfessional">
    <w:name w:val="Table Professional"/>
    <w:basedOn w:val="TableNormal"/>
    <w:semiHidden/>
    <w:rsid w:val="002C7932"/>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Simple1">
    <w:name w:val="Table Simple 1"/>
    <w:basedOn w:val="TableNormal"/>
    <w:semiHidden/>
    <w:rsid w:val="002C7932"/>
    <w:pPr>
      <w:suppressAutoHyphens/>
      <w:spacing w:line="240" w:lineRule="atLeast"/>
    </w:pPr>
    <w:rPr>
      <w:snapToGrid w:val="0"/>
    </w:r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styleId="TableSimple2">
    <w:name w:val="Table Simple 2"/>
    <w:basedOn w:val="TableNormal"/>
    <w:semiHidden/>
    <w:rsid w:val="002C7932"/>
    <w:pPr>
      <w:suppressAutoHyphens/>
      <w:spacing w:line="240" w:lineRule="atLeast"/>
    </w:pPr>
    <w:rPr>
      <w:snapToGrid w:val="0"/>
    </w:rPr>
    <w:tblPr>
      <w:tblInd w:w="0" w:type="dxa"/>
      <w:tblCellMar>
        <w:top w:w="0" w:type="dxa"/>
        <w:left w:w="108" w:type="dxa"/>
        <w:bottom w:w="0" w:type="dxa"/>
        <w:right w:w="108" w:type="dxa"/>
      </w:tblCellMar>
    </w:tblPr>
  </w:style>
  <w:style w:type="table" w:styleId="TableSimple3">
    <w:name w:val="Table Simple 3"/>
    <w:basedOn w:val="TableNormal"/>
    <w:semiHidden/>
    <w:rsid w:val="002C7932"/>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Subtle1">
    <w:name w:val="Table Subtle 1"/>
    <w:basedOn w:val="TableNormal"/>
    <w:semiHidden/>
    <w:rsid w:val="002C7932"/>
    <w:pPr>
      <w:suppressAutoHyphens/>
      <w:spacing w:line="240" w:lineRule="atLeast"/>
    </w:pPr>
    <w:rPr>
      <w:snapToGrid w:val="0"/>
    </w:rPr>
    <w:tblPr>
      <w:tblInd w:w="0" w:type="dxa"/>
      <w:tblCellMar>
        <w:top w:w="0" w:type="dxa"/>
        <w:left w:w="108" w:type="dxa"/>
        <w:bottom w:w="0" w:type="dxa"/>
        <w:right w:w="108" w:type="dxa"/>
      </w:tblCellMar>
    </w:tblPr>
  </w:style>
  <w:style w:type="table" w:styleId="TableSubtle2">
    <w:name w:val="Table Subtle 2"/>
    <w:basedOn w:val="TableNormal"/>
    <w:semiHidden/>
    <w:rsid w:val="002C7932"/>
    <w:pPr>
      <w:suppressAutoHyphens/>
      <w:spacing w:line="240" w:lineRule="atLeast"/>
    </w:pPr>
    <w:rPr>
      <w:snapToGrid w:val="0"/>
    </w:rPr>
    <w:tblPr>
      <w:tblInd w:w="0" w:type="dxa"/>
      <w:tblBorders>
        <w:left w:val="single" w:sz="6" w:space="0" w:color="000000"/>
        <w:right w:val="single" w:sz="6" w:space="0" w:color="000000"/>
      </w:tblBorders>
      <w:tblCellMar>
        <w:top w:w="0" w:type="dxa"/>
        <w:left w:w="108" w:type="dxa"/>
        <w:bottom w:w="0" w:type="dxa"/>
        <w:right w:w="108" w:type="dxa"/>
      </w:tblCellMar>
    </w:tblPr>
  </w:style>
  <w:style w:type="table" w:styleId="TableTheme">
    <w:name w:val="Table Theme"/>
    <w:basedOn w:val="TableNormal"/>
    <w:semiHidden/>
    <w:rsid w:val="002C7932"/>
    <w:pPr>
      <w:suppressAutoHyphens/>
      <w:spacing w:line="240" w:lineRule="atLeast"/>
    </w:pPr>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C7932"/>
    <w:pPr>
      <w:suppressAutoHyphens/>
      <w:spacing w:line="240" w:lineRule="atLeast"/>
    </w:pPr>
    <w:rPr>
      <w:snapToGrid w:val="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styleId="TableWeb2">
    <w:name w:val="Table Web 2"/>
    <w:basedOn w:val="TableNormal"/>
    <w:semiHidden/>
    <w:rsid w:val="002C7932"/>
    <w:pPr>
      <w:suppressAutoHyphens/>
      <w:spacing w:line="240" w:lineRule="atLeast"/>
    </w:pPr>
    <w:rPr>
      <w:snapToGrid w:val="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styleId="TableWeb3">
    <w:name w:val="Table Web 3"/>
    <w:basedOn w:val="TableNormal"/>
    <w:semiHidden/>
    <w:rsid w:val="002C7932"/>
    <w:pPr>
      <w:suppressAutoHyphens/>
      <w:spacing w:line="240" w:lineRule="atLeast"/>
    </w:pPr>
    <w:rPr>
      <w:snapToGrid w:val="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styleId="Title">
    <w:name w:val="Title"/>
    <w:basedOn w:val="Normal"/>
    <w:link w:val="TitleChar"/>
    <w:qFormat/>
    <w:rsid w:val="002C7932"/>
    <w:pPr>
      <w:suppressAutoHyphens/>
      <w:spacing w:before="240" w:after="60" w:line="240" w:lineRule="atLeast"/>
      <w:jc w:val="center"/>
      <w:outlineLvl w:val="0"/>
    </w:pPr>
    <w:rPr>
      <w:rFonts w:ascii="Arial" w:hAnsi="Arial" w:cs="Arial"/>
      <w:b/>
      <w:bCs/>
      <w:snapToGrid w:val="0"/>
      <w:kern w:val="28"/>
      <w:sz w:val="32"/>
      <w:szCs w:val="32"/>
      <w:lang w:val="en-GB"/>
    </w:rPr>
  </w:style>
  <w:style w:type="character" w:customStyle="1" w:styleId="TitleChar">
    <w:name w:val="Title Char"/>
    <w:basedOn w:val="DefaultParagraphFont"/>
    <w:link w:val="Title"/>
    <w:rsid w:val="002C7932"/>
    <w:rPr>
      <w:rFonts w:ascii="Arial" w:hAnsi="Arial" w:cs="Arial"/>
      <w:b/>
      <w:bCs/>
      <w:snapToGrid w:val="0"/>
      <w:kern w:val="28"/>
      <w:sz w:val="32"/>
      <w:szCs w:val="32"/>
      <w:lang w:val="en-GB" w:eastAsia="en-US" w:bidi="ar-SA"/>
    </w:rPr>
  </w:style>
  <w:style w:type="paragraph" w:styleId="EnvelopeAddress">
    <w:name w:val="envelope address"/>
    <w:basedOn w:val="Normal"/>
    <w:semiHidden/>
    <w:rsid w:val="002C7932"/>
    <w:pPr>
      <w:framePr w:w="7920" w:h="1980" w:hRule="exact" w:hSpace="180" w:wrap="auto" w:hAnchor="page" w:xAlign="center" w:yAlign="bottom"/>
      <w:suppressAutoHyphens/>
      <w:spacing w:line="240" w:lineRule="atLeast"/>
      <w:ind w:left="2880"/>
    </w:pPr>
    <w:rPr>
      <w:rFonts w:ascii="Arial" w:hAnsi="Arial" w:cs="Arial"/>
      <w:snapToGrid w:val="0"/>
      <w:lang w:val="en-GB"/>
    </w:rPr>
  </w:style>
  <w:style w:type="character" w:customStyle="1" w:styleId="HChGChar">
    <w:name w:val="_ H _Ch_G Char"/>
    <w:basedOn w:val="DefaultParagraphFont"/>
    <w:locked/>
    <w:rsid w:val="002C7932"/>
    <w:rPr>
      <w:rFonts w:cs="Times New Roman"/>
      <w:b/>
      <w:sz w:val="28"/>
      <w:lang w:val="en-GB" w:bidi="ar-SA"/>
    </w:rPr>
  </w:style>
  <w:style w:type="character" w:customStyle="1" w:styleId="tw4winMark">
    <w:name w:val="tw4winMark"/>
    <w:rsid w:val="002C7932"/>
    <w:rPr>
      <w:rFonts w:ascii="Courier New" w:hAnsi="Courier New"/>
      <w:vanish/>
      <w:color w:val="800080"/>
      <w:sz w:val="24"/>
      <w:vertAlign w:val="subscript"/>
    </w:rPr>
  </w:style>
  <w:style w:type="character" w:customStyle="1" w:styleId="tw4winError">
    <w:name w:val="tw4winError"/>
    <w:rsid w:val="002C7932"/>
    <w:rPr>
      <w:rFonts w:ascii="Courier New" w:hAnsi="Courier New"/>
      <w:color w:val="00FF00"/>
      <w:sz w:val="40"/>
    </w:rPr>
  </w:style>
  <w:style w:type="character" w:customStyle="1" w:styleId="tw4winTerm">
    <w:name w:val="tw4winTerm"/>
    <w:rsid w:val="002C7932"/>
    <w:rPr>
      <w:color w:val="0000FF"/>
    </w:rPr>
  </w:style>
  <w:style w:type="character" w:customStyle="1" w:styleId="tw4winPopup">
    <w:name w:val="tw4winPopup"/>
    <w:rsid w:val="002C7932"/>
    <w:rPr>
      <w:rFonts w:ascii="Courier New" w:hAnsi="Courier New"/>
      <w:noProof/>
      <w:color w:val="008000"/>
    </w:rPr>
  </w:style>
  <w:style w:type="character" w:customStyle="1" w:styleId="tw4winJump">
    <w:name w:val="tw4winJump"/>
    <w:rsid w:val="002C7932"/>
    <w:rPr>
      <w:rFonts w:ascii="Courier New" w:hAnsi="Courier New"/>
      <w:noProof/>
      <w:color w:val="008080"/>
    </w:rPr>
  </w:style>
  <w:style w:type="character" w:customStyle="1" w:styleId="tw4winExternal">
    <w:name w:val="tw4winExternal"/>
    <w:rsid w:val="002C7932"/>
    <w:rPr>
      <w:rFonts w:ascii="Courier New" w:hAnsi="Courier New"/>
      <w:noProof/>
      <w:color w:val="808080"/>
    </w:rPr>
  </w:style>
  <w:style w:type="character" w:customStyle="1" w:styleId="tw4winInternal">
    <w:name w:val="tw4winInternal"/>
    <w:rsid w:val="002C7932"/>
    <w:rPr>
      <w:rFonts w:ascii="Courier New" w:hAnsi="Courier New"/>
      <w:noProof/>
      <w:color w:val="FF0000"/>
    </w:rPr>
  </w:style>
  <w:style w:type="character" w:customStyle="1" w:styleId="DONOTTRANSLATE">
    <w:name w:val="DO_NOT_TRANSLATE"/>
    <w:rsid w:val="002C7932"/>
    <w:rPr>
      <w:rFonts w:ascii="Courier New" w:hAnsi="Courier New"/>
      <w:noProof/>
      <w:color w:val="800000"/>
    </w:rPr>
  </w:style>
  <w:style w:type="numbering" w:styleId="ArticleSection">
    <w:name w:val="Outline List 3"/>
    <w:basedOn w:val="NoList"/>
    <w:semiHidden/>
    <w:unhideWhenUsed/>
    <w:rsid w:val="002C7932"/>
    <w:pPr>
      <w:numPr>
        <w:numId w:val="16"/>
      </w:numPr>
    </w:pPr>
  </w:style>
  <w:style w:type="paragraph" w:styleId="BalloonText">
    <w:name w:val="Balloon Text"/>
    <w:basedOn w:val="Normal"/>
    <w:semiHidden/>
    <w:rsid w:val="002C7932"/>
    <w:pPr>
      <w:suppressAutoHyphens/>
      <w:spacing w:line="240" w:lineRule="atLeast"/>
    </w:pPr>
    <w:rPr>
      <w:rFonts w:ascii="Tahoma" w:hAnsi="Tahoma" w:cs="Tahoma"/>
      <w:snapToGrid w:val="0"/>
      <w:sz w:val="16"/>
      <w:szCs w:val="16"/>
      <w:lang w:val="en-GB"/>
    </w:rPr>
  </w:style>
  <w:style w:type="paragraph" w:customStyle="1" w:styleId="SingleTxt">
    <w:name w:val="__Single Txt"/>
    <w:basedOn w:val="Normal"/>
    <w:link w:val="SingleTxtChar"/>
    <w:rsid w:val="002C7932"/>
    <w:pPr>
      <w:tabs>
        <w:tab w:val="left" w:pos="1267"/>
        <w:tab w:val="left" w:pos="1930"/>
        <w:tab w:val="left" w:pos="2592"/>
        <w:tab w:val="left" w:pos="3254"/>
        <w:tab w:val="left" w:pos="3917"/>
        <w:tab w:val="left" w:pos="4579"/>
        <w:tab w:val="left" w:pos="5242"/>
        <w:tab w:val="left" w:pos="5904"/>
        <w:tab w:val="left" w:pos="6566"/>
      </w:tabs>
      <w:bidi/>
      <w:spacing w:after="120" w:line="400" w:lineRule="exact"/>
      <w:ind w:left="1267" w:right="1267"/>
      <w:jc w:val="lowKashida"/>
    </w:pPr>
    <w:rPr>
      <w:rFonts w:cs="Traditional Arabic"/>
      <w:w w:val="103"/>
      <w:kern w:val="14"/>
      <w:sz w:val="20"/>
      <w:szCs w:val="30"/>
    </w:rPr>
  </w:style>
  <w:style w:type="paragraph" w:customStyle="1" w:styleId="a">
    <w:name w:val="(أ) إلى (د)"/>
    <w:basedOn w:val="Normal"/>
    <w:rsid w:val="002C7932"/>
    <w:pPr>
      <w:numPr>
        <w:numId w:val="17"/>
      </w:numPr>
      <w:bidi/>
      <w:ind w:firstLine="720"/>
      <w:jc w:val="both"/>
    </w:pPr>
    <w:rPr>
      <w:rFonts w:cs="Traditional Arabic"/>
      <w:spacing w:val="6"/>
      <w:kern w:val="16"/>
      <w:sz w:val="22"/>
      <w:szCs w:val="30"/>
      <w:lang w:eastAsia="ar-SA"/>
    </w:rPr>
  </w:style>
  <w:style w:type="paragraph" w:customStyle="1" w:styleId="a0">
    <w:name w:val="(ه‍)"/>
    <w:basedOn w:val="a"/>
    <w:rsid w:val="002C7932"/>
    <w:pPr>
      <w:numPr>
        <w:numId w:val="18"/>
      </w:numPr>
      <w:tabs>
        <w:tab w:val="clear" w:pos="1080"/>
        <w:tab w:val="left" w:pos="720"/>
      </w:tabs>
    </w:pPr>
  </w:style>
  <w:style w:type="paragraph" w:customStyle="1" w:styleId="parag">
    <w:name w:val="parag"/>
    <w:rsid w:val="002C7932"/>
    <w:pPr>
      <w:numPr>
        <w:numId w:val="19"/>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customStyle="1" w:styleId="Artic1-">
    <w:name w:val="Artic_1-"/>
    <w:basedOn w:val="Normal"/>
    <w:rsid w:val="002C7932"/>
    <w:pPr>
      <w:numPr>
        <w:numId w:val="21"/>
      </w:numPr>
      <w:bidi/>
      <w:jc w:val="both"/>
    </w:pPr>
    <w:rPr>
      <w:rFonts w:cs="Traditional Arabic"/>
      <w:spacing w:val="6"/>
      <w:kern w:val="16"/>
      <w:sz w:val="22"/>
      <w:szCs w:val="30"/>
      <w:lang w:eastAsia="ar-SA"/>
    </w:rPr>
  </w:style>
  <w:style w:type="paragraph" w:customStyle="1" w:styleId="-">
    <w:name w:val="(و) -"/>
    <w:basedOn w:val="Normal"/>
    <w:rsid w:val="002C7932"/>
    <w:pPr>
      <w:numPr>
        <w:numId w:val="20"/>
      </w:numPr>
      <w:tabs>
        <w:tab w:val="clear" w:pos="1080"/>
      </w:tabs>
      <w:bidi/>
      <w:jc w:val="both"/>
    </w:pPr>
    <w:rPr>
      <w:rFonts w:cs="Traditional Arabic"/>
      <w:spacing w:val="6"/>
      <w:kern w:val="16"/>
      <w:sz w:val="22"/>
      <w:szCs w:val="30"/>
      <w:lang w:eastAsia="ar-SA"/>
    </w:rPr>
  </w:style>
  <w:style w:type="paragraph" w:styleId="TOC9">
    <w:name w:val="toc 9"/>
    <w:basedOn w:val="Normal"/>
    <w:next w:val="Normal"/>
    <w:autoRedefine/>
    <w:semiHidden/>
    <w:rsid w:val="002C7932"/>
    <w:pPr>
      <w:bidi/>
      <w:ind w:left="1760"/>
      <w:jc w:val="both"/>
    </w:pPr>
    <w:rPr>
      <w:rFonts w:cs="Traditional Arabic"/>
      <w:spacing w:val="6"/>
      <w:kern w:val="16"/>
      <w:sz w:val="22"/>
      <w:szCs w:val="30"/>
      <w:lang w:eastAsia="ar-SA"/>
    </w:rPr>
  </w:style>
  <w:style w:type="paragraph" w:customStyle="1" w:styleId="Rom1-">
    <w:name w:val="Rom_'1'-"/>
    <w:basedOn w:val="Normal"/>
    <w:rsid w:val="002C7932"/>
    <w:pPr>
      <w:numPr>
        <w:numId w:val="22"/>
      </w:numPr>
      <w:bidi/>
      <w:ind w:right="0"/>
      <w:jc w:val="both"/>
    </w:pPr>
    <w:rPr>
      <w:rFonts w:cs="Traditional Arabic"/>
      <w:spacing w:val="6"/>
      <w:kern w:val="16"/>
      <w:sz w:val="22"/>
      <w:szCs w:val="30"/>
      <w:lang w:eastAsia="ar-SA"/>
    </w:rPr>
  </w:style>
  <w:style w:type="paragraph" w:customStyle="1" w:styleId="H1CLB">
    <w:name w:val="H1_C+L+B"/>
    <w:basedOn w:val="Normal"/>
    <w:rsid w:val="002C7932"/>
    <w:pPr>
      <w:bidi/>
      <w:jc w:val="center"/>
    </w:pPr>
    <w:rPr>
      <w:rFonts w:cs="Traditional Arabic"/>
      <w:bCs/>
      <w:spacing w:val="6"/>
      <w:kern w:val="16"/>
      <w:sz w:val="28"/>
      <w:szCs w:val="36"/>
      <w:lang w:eastAsia="ar-SA"/>
    </w:rPr>
  </w:style>
  <w:style w:type="paragraph" w:customStyle="1" w:styleId="H2CL">
    <w:name w:val="H2_C+L"/>
    <w:basedOn w:val="Normal"/>
    <w:rsid w:val="002C7932"/>
    <w:pPr>
      <w:bidi/>
      <w:jc w:val="center"/>
    </w:pPr>
    <w:rPr>
      <w:rFonts w:cs="Traditional Arabic"/>
      <w:spacing w:val="6"/>
      <w:kern w:val="16"/>
      <w:sz w:val="28"/>
      <w:szCs w:val="36"/>
      <w:lang w:eastAsia="ar-SA"/>
    </w:rPr>
  </w:style>
  <w:style w:type="paragraph" w:customStyle="1" w:styleId="H3CB">
    <w:name w:val="H3_C+B"/>
    <w:basedOn w:val="Normal"/>
    <w:rsid w:val="002C7932"/>
    <w:pPr>
      <w:bidi/>
      <w:jc w:val="center"/>
    </w:pPr>
    <w:rPr>
      <w:rFonts w:cs="Traditional Arabic"/>
      <w:b/>
      <w:bCs/>
      <w:spacing w:val="6"/>
      <w:kern w:val="16"/>
      <w:sz w:val="22"/>
      <w:szCs w:val="30"/>
      <w:lang w:eastAsia="ar-SA"/>
    </w:rPr>
  </w:style>
  <w:style w:type="paragraph" w:customStyle="1" w:styleId="H4CU">
    <w:name w:val="H4_C+U"/>
    <w:basedOn w:val="Normal"/>
    <w:rsid w:val="002C7932"/>
    <w:pPr>
      <w:bidi/>
      <w:jc w:val="center"/>
    </w:pPr>
    <w:rPr>
      <w:rFonts w:cs="Traditional Arabic"/>
      <w:spacing w:val="6"/>
      <w:kern w:val="16"/>
      <w:sz w:val="22"/>
      <w:szCs w:val="30"/>
      <w:u w:val="single"/>
      <w:lang w:eastAsia="ar-SA"/>
    </w:rPr>
  </w:style>
  <w:style w:type="paragraph" w:customStyle="1" w:styleId="H5RLB">
    <w:name w:val="H5_R+L+B"/>
    <w:basedOn w:val="Normal"/>
    <w:rsid w:val="002C7932"/>
    <w:pPr>
      <w:bidi/>
      <w:jc w:val="both"/>
    </w:pPr>
    <w:rPr>
      <w:rFonts w:cs="Traditional Arabic"/>
      <w:b/>
      <w:bCs/>
      <w:spacing w:val="6"/>
      <w:kern w:val="16"/>
      <w:sz w:val="28"/>
      <w:szCs w:val="36"/>
      <w:lang w:eastAsia="ar-SA"/>
    </w:rPr>
  </w:style>
  <w:style w:type="paragraph" w:customStyle="1" w:styleId="H6RL">
    <w:name w:val="H6_R+L"/>
    <w:basedOn w:val="Normal"/>
    <w:rsid w:val="002C7932"/>
    <w:pPr>
      <w:bidi/>
      <w:jc w:val="both"/>
    </w:pPr>
    <w:rPr>
      <w:rFonts w:cs="Traditional Arabic"/>
      <w:spacing w:val="6"/>
      <w:kern w:val="16"/>
      <w:sz w:val="28"/>
      <w:szCs w:val="36"/>
      <w:lang w:eastAsia="ar-SA"/>
    </w:rPr>
  </w:style>
  <w:style w:type="paragraph" w:customStyle="1" w:styleId="H7RBI">
    <w:name w:val="H7_R+B+I"/>
    <w:basedOn w:val="Normal"/>
    <w:rsid w:val="002C7932"/>
    <w:pPr>
      <w:bidi/>
      <w:jc w:val="both"/>
    </w:pPr>
    <w:rPr>
      <w:rFonts w:cs="Traditional Arabic"/>
      <w:b/>
      <w:bCs/>
      <w:i/>
      <w:iCs/>
      <w:spacing w:val="6"/>
      <w:kern w:val="16"/>
      <w:sz w:val="22"/>
      <w:szCs w:val="30"/>
      <w:lang w:eastAsia="ar-SA"/>
    </w:rPr>
  </w:style>
  <w:style w:type="paragraph" w:customStyle="1" w:styleId="H8">
    <w:name w:val="H8"/>
    <w:basedOn w:val="Normal"/>
    <w:rsid w:val="002C7932"/>
    <w:pPr>
      <w:bidi/>
      <w:jc w:val="both"/>
    </w:pPr>
    <w:rPr>
      <w:rFonts w:cs="Traditional Arabic"/>
      <w:i/>
      <w:iCs/>
      <w:spacing w:val="6"/>
      <w:kern w:val="16"/>
      <w:sz w:val="22"/>
      <w:szCs w:val="30"/>
      <w:lang w:eastAsia="ar-SA"/>
    </w:rPr>
  </w:style>
  <w:style w:type="paragraph" w:customStyle="1" w:styleId="H8RI">
    <w:name w:val="H8_R+I"/>
    <w:basedOn w:val="Normal"/>
    <w:rsid w:val="002C7932"/>
    <w:pPr>
      <w:bidi/>
      <w:jc w:val="both"/>
    </w:pPr>
    <w:rPr>
      <w:rFonts w:cs="Traditional Arabic"/>
      <w:i/>
      <w:iCs/>
      <w:spacing w:val="6"/>
      <w:kern w:val="16"/>
      <w:sz w:val="22"/>
      <w:szCs w:val="30"/>
      <w:lang w:eastAsia="ar-SA"/>
    </w:rPr>
  </w:style>
  <w:style w:type="paragraph" w:customStyle="1" w:styleId="H9RU">
    <w:name w:val="H9_R+U"/>
    <w:basedOn w:val="Normal"/>
    <w:rsid w:val="002C7932"/>
    <w:pPr>
      <w:bidi/>
      <w:jc w:val="both"/>
    </w:pPr>
    <w:rPr>
      <w:rFonts w:cs="Traditional Arabic"/>
      <w:spacing w:val="6"/>
      <w:kern w:val="16"/>
      <w:sz w:val="22"/>
      <w:szCs w:val="30"/>
      <w:u w:val="single"/>
      <w:lang w:eastAsia="ar-SA"/>
    </w:rPr>
  </w:style>
  <w:style w:type="paragraph" w:customStyle="1" w:styleId="HCCIn">
    <w:name w:val="HC_C+In."/>
    <w:basedOn w:val="Normal"/>
    <w:rsid w:val="002C7932"/>
    <w:pPr>
      <w:bidi/>
      <w:ind w:left="2705" w:right="1985" w:hanging="720"/>
      <w:jc w:val="both"/>
    </w:pPr>
    <w:rPr>
      <w:rFonts w:cs="Traditional Arabic"/>
      <w:spacing w:val="6"/>
      <w:kern w:val="16"/>
      <w:sz w:val="22"/>
      <w:szCs w:val="30"/>
      <w:lang w:eastAsia="ar-SA"/>
    </w:rPr>
  </w:style>
  <w:style w:type="paragraph" w:customStyle="1" w:styleId="HaRIn">
    <w:name w:val="Ha_R+In."/>
    <w:basedOn w:val="Normal"/>
    <w:rsid w:val="002C7932"/>
    <w:pPr>
      <w:bidi/>
      <w:ind w:left="720" w:hanging="720"/>
      <w:jc w:val="both"/>
    </w:pPr>
    <w:rPr>
      <w:rFonts w:cs="Traditional Arabic"/>
      <w:spacing w:val="6"/>
      <w:kern w:val="16"/>
      <w:sz w:val="22"/>
      <w:szCs w:val="30"/>
      <w:lang w:eastAsia="ar-SA"/>
    </w:rPr>
  </w:style>
  <w:style w:type="paragraph" w:customStyle="1" w:styleId="HCCCm">
    <w:name w:val="HCC_Cm"/>
    <w:basedOn w:val="Normal"/>
    <w:rsid w:val="002C7932"/>
    <w:pPr>
      <w:keepNext/>
      <w:bidi/>
      <w:ind w:left="1985" w:right="1985"/>
      <w:jc w:val="both"/>
    </w:pPr>
    <w:rPr>
      <w:rFonts w:cs="Traditional Arabic"/>
      <w:spacing w:val="6"/>
      <w:kern w:val="16"/>
      <w:sz w:val="22"/>
      <w:szCs w:val="30"/>
      <w:lang w:eastAsia="ar-SA"/>
    </w:rPr>
  </w:style>
  <w:style w:type="paragraph" w:customStyle="1" w:styleId="FootnoteText3">
    <w:name w:val="Footnote Text3"/>
    <w:basedOn w:val="Normal"/>
    <w:rsid w:val="002C7932"/>
    <w:pPr>
      <w:tabs>
        <w:tab w:val="num" w:pos="0"/>
      </w:tabs>
      <w:bidi/>
      <w:jc w:val="lowKashida"/>
    </w:pPr>
    <w:rPr>
      <w:spacing w:val="6"/>
      <w:kern w:val="16"/>
    </w:rPr>
  </w:style>
  <w:style w:type="paragraph" w:customStyle="1" w:styleId="H1">
    <w:name w:val="_ H_1"/>
    <w:basedOn w:val="Normal"/>
    <w:next w:val="Normal"/>
    <w:rsid w:val="002C7932"/>
    <w:pPr>
      <w:keepNext/>
      <w:keepLines/>
      <w:suppressAutoHyphens/>
      <w:bidi/>
      <w:spacing w:line="400" w:lineRule="exact"/>
      <w:jc w:val="lowKashida"/>
      <w:outlineLvl w:val="0"/>
    </w:pPr>
    <w:rPr>
      <w:rFonts w:cs="Traditional Arabic"/>
      <w:b/>
      <w:bCs/>
      <w:w w:val="103"/>
      <w:kern w:val="14"/>
      <w:szCs w:val="34"/>
    </w:rPr>
  </w:style>
  <w:style w:type="paragraph" w:customStyle="1" w:styleId="HM">
    <w:name w:val="_ H __M"/>
    <w:basedOn w:val="HCh"/>
    <w:next w:val="Normal"/>
    <w:rsid w:val="002C7932"/>
    <w:pPr>
      <w:spacing w:line="540" w:lineRule="exact"/>
    </w:pPr>
    <w:rPr>
      <w:spacing w:val="-3"/>
      <w:w w:val="99"/>
      <w:sz w:val="34"/>
      <w:szCs w:val="51"/>
    </w:rPr>
  </w:style>
  <w:style w:type="paragraph" w:customStyle="1" w:styleId="H23">
    <w:name w:val="_ H_2/3"/>
    <w:basedOn w:val="H1"/>
    <w:next w:val="SingleTxt"/>
    <w:rsid w:val="002C7932"/>
    <w:pPr>
      <w:jc w:val="both"/>
      <w:outlineLvl w:val="1"/>
    </w:pPr>
    <w:rPr>
      <w:spacing w:val="2"/>
      <w:sz w:val="20"/>
      <w:szCs w:val="30"/>
    </w:rPr>
  </w:style>
  <w:style w:type="paragraph" w:customStyle="1" w:styleId="H4">
    <w:name w:val="_ H_4"/>
    <w:basedOn w:val="Normal"/>
    <w:next w:val="Normal"/>
    <w:rsid w:val="002C7932"/>
    <w:pPr>
      <w:keepNext/>
      <w:keepLines/>
      <w:suppressAutoHyphens/>
      <w:bidi/>
      <w:spacing w:line="360" w:lineRule="exact"/>
      <w:jc w:val="lowKashida"/>
      <w:outlineLvl w:val="3"/>
    </w:pPr>
    <w:rPr>
      <w:rFonts w:cs="Traditional Arabic"/>
      <w:i/>
      <w:iCs/>
      <w:spacing w:val="3"/>
      <w:w w:val="103"/>
      <w:kern w:val="14"/>
      <w:sz w:val="20"/>
      <w:szCs w:val="30"/>
    </w:rPr>
  </w:style>
  <w:style w:type="paragraph" w:customStyle="1" w:styleId="H56">
    <w:name w:val="_ H_5/6"/>
    <w:basedOn w:val="Normal"/>
    <w:next w:val="Normal"/>
    <w:rsid w:val="002C7932"/>
    <w:pPr>
      <w:keepNext/>
      <w:keepLines/>
      <w:suppressAutoHyphens/>
      <w:bidi/>
      <w:spacing w:line="360" w:lineRule="exact"/>
      <w:jc w:val="lowKashida"/>
      <w:outlineLvl w:val="4"/>
    </w:pPr>
    <w:rPr>
      <w:rFonts w:cs="Traditional Arabic"/>
      <w:w w:val="103"/>
      <w:kern w:val="14"/>
      <w:sz w:val="20"/>
      <w:szCs w:val="30"/>
    </w:rPr>
  </w:style>
  <w:style w:type="paragraph" w:customStyle="1" w:styleId="DualTxt">
    <w:name w:val="__Dual Txt"/>
    <w:basedOn w:val="Normal"/>
    <w:rsid w:val="002C7932"/>
    <w:pPr>
      <w:tabs>
        <w:tab w:val="left" w:pos="662"/>
        <w:tab w:val="left" w:pos="1325"/>
        <w:tab w:val="left" w:pos="1987"/>
        <w:tab w:val="left" w:pos="2650"/>
        <w:tab w:val="left" w:pos="3312"/>
        <w:tab w:val="left" w:pos="3974"/>
        <w:tab w:val="left" w:pos="4637"/>
      </w:tabs>
      <w:bidi/>
      <w:spacing w:after="120" w:line="400" w:lineRule="exact"/>
      <w:jc w:val="lowKashida"/>
    </w:pPr>
    <w:rPr>
      <w:rFonts w:cs="Traditional Arabic"/>
      <w:w w:val="103"/>
      <w:kern w:val="14"/>
      <w:sz w:val="20"/>
      <w:szCs w:val="30"/>
    </w:rPr>
  </w:style>
  <w:style w:type="paragraph" w:customStyle="1" w:styleId="Small">
    <w:name w:val="Small"/>
    <w:basedOn w:val="Normal"/>
    <w:next w:val="Normal"/>
    <w:rsid w:val="002C7932"/>
    <w:pPr>
      <w:tabs>
        <w:tab w:val="right" w:leader="dot" w:pos="360"/>
      </w:tabs>
      <w:bidi/>
      <w:spacing w:line="310" w:lineRule="exact"/>
      <w:jc w:val="right"/>
    </w:pPr>
    <w:rPr>
      <w:rFonts w:cs="Traditional Arabic"/>
      <w:spacing w:val="5"/>
      <w:w w:val="104"/>
      <w:kern w:val="14"/>
      <w:sz w:val="17"/>
      <w:szCs w:val="25"/>
    </w:rPr>
  </w:style>
  <w:style w:type="paragraph" w:customStyle="1" w:styleId="SmallX">
    <w:name w:val="SmallX"/>
    <w:basedOn w:val="Small"/>
    <w:next w:val="Normal"/>
    <w:rsid w:val="002C7932"/>
    <w:pPr>
      <w:spacing w:line="240" w:lineRule="exact"/>
    </w:pPr>
    <w:rPr>
      <w:spacing w:val="6"/>
      <w:w w:val="106"/>
      <w:sz w:val="14"/>
      <w:szCs w:val="21"/>
    </w:rPr>
  </w:style>
  <w:style w:type="paragraph" w:customStyle="1" w:styleId="XLarge">
    <w:name w:val="XLarge"/>
    <w:basedOn w:val="HM"/>
    <w:rsid w:val="002C793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2C7932"/>
    <w:pPr>
      <w:spacing w:line="820" w:lineRule="exact"/>
    </w:pPr>
    <w:rPr>
      <w:spacing w:val="-8"/>
      <w:w w:val="96"/>
      <w:sz w:val="57"/>
      <w:szCs w:val="86"/>
    </w:rPr>
  </w:style>
  <w:style w:type="paragraph" w:customStyle="1" w:styleId="JDualTxt">
    <w:name w:val="J__Dual Txt"/>
    <w:basedOn w:val="Normal"/>
    <w:rsid w:val="002C7932"/>
    <w:pPr>
      <w:tabs>
        <w:tab w:val="left" w:pos="475"/>
        <w:tab w:val="left" w:pos="950"/>
        <w:tab w:val="left" w:pos="1426"/>
        <w:tab w:val="left" w:pos="1901"/>
        <w:tab w:val="center" w:pos="2563"/>
        <w:tab w:val="right" w:pos="5040"/>
      </w:tabs>
      <w:bidi/>
      <w:spacing w:after="80" w:line="300" w:lineRule="exact"/>
      <w:jc w:val="lowKashida"/>
    </w:pPr>
    <w:rPr>
      <w:rFonts w:cs="Traditional Arabic"/>
      <w:w w:val="103"/>
      <w:kern w:val="14"/>
      <w:sz w:val="17"/>
      <w:szCs w:val="26"/>
    </w:rPr>
  </w:style>
  <w:style w:type="paragraph" w:customStyle="1" w:styleId="JSingleTxt">
    <w:name w:val="J__Single Txt"/>
    <w:basedOn w:val="Normal"/>
    <w:rsid w:val="002C7932"/>
    <w:pPr>
      <w:tabs>
        <w:tab w:val="left" w:pos="1843"/>
        <w:tab w:val="left" w:pos="2419"/>
        <w:tab w:val="left" w:pos="2995"/>
        <w:tab w:val="left" w:pos="3571"/>
        <w:tab w:val="left" w:pos="4147"/>
        <w:tab w:val="left" w:pos="4723"/>
        <w:tab w:val="center" w:pos="5486"/>
        <w:tab w:val="right" w:pos="9547"/>
      </w:tabs>
      <w:bidi/>
      <w:spacing w:after="80" w:line="300" w:lineRule="exact"/>
      <w:ind w:left="1267" w:right="1267"/>
      <w:jc w:val="lowKashida"/>
    </w:pPr>
    <w:rPr>
      <w:rFonts w:cs="Traditional Arabic"/>
      <w:w w:val="103"/>
      <w:kern w:val="14"/>
      <w:sz w:val="17"/>
      <w:szCs w:val="26"/>
    </w:rPr>
  </w:style>
  <w:style w:type="paragraph" w:customStyle="1" w:styleId="JCH">
    <w:name w:val="J_C_H"/>
    <w:basedOn w:val="JSingleTxt"/>
    <w:rsid w:val="002C793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2C7932"/>
    <w:pPr>
      <w:spacing w:line="420" w:lineRule="exact"/>
    </w:pPr>
    <w:rPr>
      <w:sz w:val="23"/>
      <w:szCs w:val="34"/>
    </w:rPr>
  </w:style>
  <w:style w:type="paragraph" w:customStyle="1" w:styleId="JH2">
    <w:name w:val="J_H_2"/>
    <w:basedOn w:val="JH1"/>
    <w:rsid w:val="002C7932"/>
    <w:pPr>
      <w:spacing w:line="400" w:lineRule="exact"/>
    </w:pPr>
    <w:rPr>
      <w:sz w:val="20"/>
      <w:szCs w:val="30"/>
    </w:rPr>
  </w:style>
  <w:style w:type="paragraph" w:customStyle="1" w:styleId="JSmall">
    <w:name w:val="J_Small"/>
    <w:basedOn w:val="JSingleTxt"/>
    <w:next w:val="JSingleTxt"/>
    <w:rsid w:val="002C793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FootnoteText1">
    <w:name w:val="Footnote Text1"/>
    <w:basedOn w:val="Normal"/>
    <w:rsid w:val="002C7932"/>
    <w:pPr>
      <w:numPr>
        <w:ilvl w:val="1"/>
        <w:numId w:val="1"/>
      </w:numPr>
      <w:bidi/>
      <w:jc w:val="lowKashida"/>
    </w:pPr>
    <w:rPr>
      <w:rFonts w:cs="Traditional Arabic"/>
      <w:spacing w:val="6"/>
      <w:kern w:val="16"/>
      <w:sz w:val="22"/>
      <w:szCs w:val="30"/>
      <w:lang w:eastAsia="ar-SA"/>
    </w:rPr>
  </w:style>
  <w:style w:type="paragraph" w:customStyle="1" w:styleId="ParaNo">
    <w:name w:val="ParaNo."/>
    <w:basedOn w:val="Normal"/>
    <w:link w:val="ParaNoChar"/>
    <w:rsid w:val="002C7932"/>
    <w:pPr>
      <w:tabs>
        <w:tab w:val="left" w:pos="737"/>
      </w:tabs>
      <w:spacing w:after="240"/>
      <w:ind w:left="-1" w:firstLine="1"/>
    </w:pPr>
    <w:rPr>
      <w:szCs w:val="20"/>
      <w:lang w:val="fr-CH"/>
    </w:rPr>
  </w:style>
  <w:style w:type="character" w:customStyle="1" w:styleId="ParaNoChar">
    <w:name w:val="ParaNo. Char"/>
    <w:basedOn w:val="DefaultParagraphFont"/>
    <w:link w:val="ParaNo"/>
    <w:rsid w:val="002C7932"/>
    <w:rPr>
      <w:sz w:val="24"/>
      <w:lang w:val="fr-CH" w:eastAsia="en-US" w:bidi="ar-SA"/>
    </w:rPr>
  </w:style>
  <w:style w:type="paragraph" w:styleId="CommentSubject">
    <w:name w:val="annotation subject"/>
    <w:basedOn w:val="CommentText"/>
    <w:next w:val="CommentText"/>
    <w:semiHidden/>
    <w:rsid w:val="002C7932"/>
    <w:pPr>
      <w:suppressAutoHyphens w:val="0"/>
      <w:bidi/>
      <w:spacing w:line="400" w:lineRule="exact"/>
      <w:jc w:val="lowKashida"/>
    </w:pPr>
    <w:rPr>
      <w:rFonts w:cs="Traditional Arabic"/>
      <w:b/>
      <w:bCs/>
      <w:snapToGrid/>
      <w:w w:val="103"/>
      <w:kern w:val="14"/>
      <w:lang w:val="en-US"/>
    </w:rPr>
  </w:style>
  <w:style w:type="paragraph" w:customStyle="1" w:styleId="11">
    <w:name w:val="نمط1"/>
    <w:basedOn w:val="Normal"/>
    <w:rsid w:val="002C7932"/>
    <w:pPr>
      <w:bidi/>
      <w:spacing w:before="240" w:after="240"/>
      <w:jc w:val="both"/>
    </w:pPr>
    <w:rPr>
      <w:rFonts w:cs="Traditional Arabic"/>
      <w:spacing w:val="6"/>
      <w:kern w:val="16"/>
      <w:sz w:val="28"/>
      <w:szCs w:val="36"/>
      <w:lang w:eastAsia="ar-SA"/>
    </w:rPr>
  </w:style>
  <w:style w:type="character" w:customStyle="1" w:styleId="longtext">
    <w:name w:val="long_text"/>
    <w:basedOn w:val="DefaultParagraphFont"/>
    <w:rsid w:val="002C7932"/>
  </w:style>
  <w:style w:type="paragraph" w:styleId="TOC1">
    <w:name w:val="toc 1"/>
    <w:basedOn w:val="Normal"/>
    <w:next w:val="Normal"/>
    <w:autoRedefine/>
    <w:semiHidden/>
    <w:rsid w:val="002C7932"/>
    <w:pPr>
      <w:bidi/>
    </w:pPr>
    <w:rPr>
      <w:rFonts w:cs="Traditional Arabic"/>
      <w:spacing w:val="6"/>
      <w:kern w:val="16"/>
      <w:sz w:val="22"/>
      <w:szCs w:val="30"/>
      <w:lang w:eastAsia="ar-SA"/>
    </w:rPr>
  </w:style>
  <w:style w:type="paragraph" w:styleId="TOC2">
    <w:name w:val="toc 2"/>
    <w:basedOn w:val="Normal"/>
    <w:next w:val="Normal"/>
    <w:autoRedefine/>
    <w:semiHidden/>
    <w:rsid w:val="002C7932"/>
    <w:pPr>
      <w:bidi/>
      <w:ind w:left="220"/>
    </w:pPr>
    <w:rPr>
      <w:rFonts w:cs="Traditional Arabic"/>
      <w:spacing w:val="6"/>
      <w:kern w:val="16"/>
      <w:sz w:val="22"/>
      <w:szCs w:val="30"/>
      <w:lang w:eastAsia="ar-SA"/>
    </w:rPr>
  </w:style>
  <w:style w:type="character" w:customStyle="1" w:styleId="H23GChar">
    <w:name w:val="_ H_2/3_G Char"/>
    <w:link w:val="H23G"/>
    <w:rsid w:val="002C7932"/>
    <w:rPr>
      <w:b/>
      <w:lang w:val="en-GB" w:eastAsia="en-US" w:bidi="ar-SA"/>
    </w:rPr>
  </w:style>
  <w:style w:type="numbering" w:customStyle="1" w:styleId="NoList1">
    <w:name w:val="No List1"/>
    <w:next w:val="NoList"/>
    <w:semiHidden/>
    <w:rsid w:val="002C7932"/>
  </w:style>
  <w:style w:type="numbering" w:customStyle="1" w:styleId="1111112">
    <w:name w:val="1 / 1.1 / 1.1.12"/>
    <w:basedOn w:val="NoList"/>
    <w:next w:val="111111"/>
    <w:semiHidden/>
    <w:rsid w:val="002C7932"/>
    <w:pPr>
      <w:numPr>
        <w:numId w:val="3"/>
      </w:numPr>
    </w:pPr>
  </w:style>
  <w:style w:type="numbering" w:customStyle="1" w:styleId="1ai2">
    <w:name w:val="1 / a / i2"/>
    <w:basedOn w:val="NoList"/>
    <w:next w:val="1ai"/>
    <w:semiHidden/>
    <w:rsid w:val="002C7932"/>
    <w:pPr>
      <w:numPr>
        <w:numId w:val="4"/>
      </w:numPr>
    </w:pPr>
  </w:style>
  <w:style w:type="numbering" w:customStyle="1" w:styleId="110">
    <w:name w:val="بلا قائمة11"/>
    <w:next w:val="NoList"/>
    <w:semiHidden/>
    <w:rsid w:val="002C7932"/>
  </w:style>
  <w:style w:type="numbering" w:customStyle="1" w:styleId="11111111">
    <w:name w:val="1 / 1.1 / 1.1.111"/>
    <w:basedOn w:val="NoList"/>
    <w:next w:val="111111"/>
    <w:semiHidden/>
    <w:rsid w:val="002C7932"/>
    <w:pPr>
      <w:numPr>
        <w:numId w:val="23"/>
      </w:numPr>
    </w:pPr>
  </w:style>
  <w:style w:type="numbering" w:customStyle="1" w:styleId="1ai11">
    <w:name w:val="1 / a / i11"/>
    <w:basedOn w:val="NoList"/>
    <w:next w:val="1ai"/>
    <w:semiHidden/>
    <w:rsid w:val="002C7932"/>
    <w:pPr>
      <w:numPr>
        <w:numId w:val="2"/>
      </w:numPr>
    </w:pPr>
  </w:style>
  <w:style w:type="numbering" w:customStyle="1" w:styleId="ArticleSection1">
    <w:name w:val="Article / Section1"/>
    <w:basedOn w:val="NoList"/>
    <w:next w:val="ArticleSection"/>
    <w:semiHidden/>
    <w:unhideWhenUsed/>
    <w:rsid w:val="002C7932"/>
    <w:pPr>
      <w:numPr>
        <w:numId w:val="7"/>
      </w:numPr>
    </w:pPr>
  </w:style>
  <w:style w:type="numbering" w:customStyle="1" w:styleId="NoList2">
    <w:name w:val="No List2"/>
    <w:next w:val="NoList"/>
    <w:semiHidden/>
    <w:rsid w:val="002C7932"/>
  </w:style>
  <w:style w:type="numbering" w:customStyle="1" w:styleId="1111113">
    <w:name w:val="1 / 1.1 / 1.1.13"/>
    <w:basedOn w:val="NoList"/>
    <w:next w:val="111111"/>
    <w:semiHidden/>
    <w:rsid w:val="002C7932"/>
    <w:pPr>
      <w:numPr>
        <w:numId w:val="9"/>
      </w:numPr>
    </w:pPr>
  </w:style>
  <w:style w:type="numbering" w:customStyle="1" w:styleId="1ai3">
    <w:name w:val="1 / a / i3"/>
    <w:basedOn w:val="NoList"/>
    <w:next w:val="1ai"/>
    <w:semiHidden/>
    <w:rsid w:val="002C7932"/>
    <w:pPr>
      <w:numPr>
        <w:numId w:val="10"/>
      </w:numPr>
    </w:pPr>
  </w:style>
  <w:style w:type="numbering" w:customStyle="1" w:styleId="12">
    <w:name w:val="بلا قائمة12"/>
    <w:next w:val="NoList"/>
    <w:semiHidden/>
    <w:rsid w:val="002C7932"/>
  </w:style>
  <w:style w:type="numbering" w:customStyle="1" w:styleId="11111112">
    <w:name w:val="1 / 1.1 / 1.1.112"/>
    <w:basedOn w:val="NoList"/>
    <w:next w:val="111111"/>
    <w:semiHidden/>
    <w:rsid w:val="002C7932"/>
    <w:pPr>
      <w:numPr>
        <w:numId w:val="14"/>
      </w:numPr>
    </w:pPr>
  </w:style>
  <w:style w:type="numbering" w:customStyle="1" w:styleId="1ai12">
    <w:name w:val="1 / a / i12"/>
    <w:basedOn w:val="NoList"/>
    <w:next w:val="1ai"/>
    <w:semiHidden/>
    <w:rsid w:val="002C7932"/>
    <w:pPr>
      <w:numPr>
        <w:numId w:val="8"/>
      </w:numPr>
    </w:pPr>
  </w:style>
  <w:style w:type="numbering" w:customStyle="1" w:styleId="ArticleSection2">
    <w:name w:val="Article / Section2"/>
    <w:basedOn w:val="NoList"/>
    <w:next w:val="ArticleSection"/>
    <w:semiHidden/>
    <w:unhideWhenUsed/>
    <w:rsid w:val="002C7932"/>
    <w:pPr>
      <w:numPr>
        <w:numId w:val="17"/>
      </w:numPr>
    </w:pPr>
  </w:style>
  <w:style w:type="character" w:customStyle="1" w:styleId="symbol">
    <w:name w:val="symbol"/>
    <w:basedOn w:val="DefaultParagraphFont"/>
    <w:rsid w:val="00E105A3"/>
  </w:style>
  <w:style w:type="character" w:customStyle="1" w:styleId="stile1CharChar">
    <w:name w:val="stile 1 Char Char"/>
    <w:basedOn w:val="DefaultParagraphFont"/>
    <w:semiHidden/>
    <w:rsid w:val="005F06BD"/>
    <w:rPr>
      <w:rFonts w:cs="Traditional Arabic"/>
      <w:lang w:val="en-US" w:eastAsia="en-US" w:bidi="ar-SA"/>
    </w:rPr>
  </w:style>
  <w:style w:type="character" w:customStyle="1" w:styleId="H1GChar">
    <w:name w:val="_ H_1_G Char"/>
    <w:link w:val="H1G"/>
    <w:locked/>
    <w:rsid w:val="00690FDB"/>
    <w:rPr>
      <w:b/>
      <w:sz w:val="24"/>
      <w:lang w:val="en-GB" w:eastAsia="en-US" w:bidi="ar-SA"/>
    </w:rPr>
  </w:style>
  <w:style w:type="paragraph" w:customStyle="1" w:styleId="4GChar1">
    <w:name w:val="4_G Char1"/>
    <w:aliases w:val="Footnote number Char,4_G Char Char Char Char,ftref Char Char Char Char Char Char,Heading 2 Char1 Char Char Char Char Char Char Char"/>
    <w:basedOn w:val="Normal"/>
    <w:link w:val="FootnoteReference"/>
    <w:rsid w:val="00671B4F"/>
    <w:pPr>
      <w:spacing w:after="160" w:line="240" w:lineRule="exact"/>
    </w:pPr>
    <w:rPr>
      <w:sz w:val="20"/>
      <w:szCs w:val="20"/>
      <w:vertAlign w:val="superscript"/>
      <w:lang w:val="en-US" w:eastAsia="en-US"/>
    </w:rPr>
  </w:style>
  <w:style w:type="character" w:customStyle="1" w:styleId="hps">
    <w:name w:val="hps"/>
    <w:rsid w:val="007E7DF9"/>
  </w:style>
  <w:style w:type="character" w:customStyle="1" w:styleId="atn">
    <w:name w:val="atn"/>
    <w:rsid w:val="007E7DF9"/>
  </w:style>
  <w:style w:type="character" w:customStyle="1" w:styleId="SMGChar">
    <w:name w:val="__S_M_G Char"/>
    <w:basedOn w:val="DefaultParagraphFont"/>
    <w:link w:val="SMG"/>
    <w:rsid w:val="00987BE9"/>
    <w:rPr>
      <w:b/>
      <w:snapToGrid w:val="0"/>
      <w:sz w:val="40"/>
      <w:lang w:val="en-GB" w:eastAsia="en-US" w:bidi="ar-SA"/>
    </w:rPr>
  </w:style>
  <w:style w:type="paragraph" w:styleId="TOC3">
    <w:name w:val="toc 3"/>
    <w:basedOn w:val="Normal"/>
    <w:next w:val="Normal"/>
    <w:autoRedefine/>
    <w:semiHidden/>
    <w:rsid w:val="00987BE9"/>
    <w:pPr>
      <w:ind w:left="480"/>
    </w:pPr>
  </w:style>
  <w:style w:type="paragraph" w:styleId="TOC4">
    <w:name w:val="toc 4"/>
    <w:basedOn w:val="Normal"/>
    <w:next w:val="Normal"/>
    <w:autoRedefine/>
    <w:semiHidden/>
    <w:rsid w:val="00987BE9"/>
    <w:pPr>
      <w:ind w:left="720"/>
    </w:pPr>
  </w:style>
  <w:style w:type="paragraph" w:styleId="TOC5">
    <w:name w:val="toc 5"/>
    <w:basedOn w:val="Normal"/>
    <w:next w:val="Normal"/>
    <w:autoRedefine/>
    <w:semiHidden/>
    <w:rsid w:val="00987BE9"/>
    <w:pPr>
      <w:ind w:left="960"/>
    </w:pPr>
  </w:style>
  <w:style w:type="paragraph" w:styleId="TOC6">
    <w:name w:val="toc 6"/>
    <w:basedOn w:val="Normal"/>
    <w:next w:val="Normal"/>
    <w:autoRedefine/>
    <w:semiHidden/>
    <w:rsid w:val="00987BE9"/>
    <w:pPr>
      <w:ind w:left="1200"/>
    </w:pPr>
  </w:style>
  <w:style w:type="paragraph" w:styleId="TOC7">
    <w:name w:val="toc 7"/>
    <w:basedOn w:val="Normal"/>
    <w:next w:val="Normal"/>
    <w:autoRedefine/>
    <w:semiHidden/>
    <w:rsid w:val="00987BE9"/>
    <w:pPr>
      <w:ind w:left="1440"/>
    </w:pPr>
  </w:style>
  <w:style w:type="paragraph" w:styleId="TOC8">
    <w:name w:val="toc 8"/>
    <w:basedOn w:val="Normal"/>
    <w:next w:val="Normal"/>
    <w:autoRedefine/>
    <w:semiHidden/>
    <w:rsid w:val="00987BE9"/>
    <w:pPr>
      <w:ind w:left="1680"/>
    </w:pPr>
  </w:style>
  <w:style w:type="character" w:customStyle="1" w:styleId="HeaderChar">
    <w:name w:val="Header Char"/>
    <w:aliases w:val="6_G Char"/>
    <w:basedOn w:val="DefaultParagraphFont"/>
    <w:semiHidden/>
    <w:locked/>
    <w:rsid w:val="00091373"/>
    <w:rPr>
      <w:rFonts w:cs="Times New Roman"/>
      <w:sz w:val="20"/>
      <w:szCs w:val="20"/>
      <w:lang w:val="ar-SA" w:bidi="ar-SA"/>
    </w:rPr>
  </w:style>
  <w:style w:type="character" w:customStyle="1" w:styleId="FooterChar">
    <w:name w:val="Footer Char"/>
    <w:aliases w:val="3_G Char"/>
    <w:basedOn w:val="DefaultParagraphFont"/>
    <w:semiHidden/>
    <w:locked/>
    <w:rsid w:val="00091373"/>
    <w:rPr>
      <w:rFonts w:cs="Times New Roman"/>
      <w:sz w:val="20"/>
      <w:szCs w:val="20"/>
      <w:lang w:val="ar-SA" w:bidi="ar-SA"/>
    </w:rPr>
  </w:style>
  <w:style w:type="paragraph" w:styleId="ListParagraph">
    <w:name w:val="List Paragraph"/>
    <w:basedOn w:val="Normal"/>
    <w:qFormat/>
    <w:rsid w:val="00091373"/>
    <w:pPr>
      <w:bidi/>
      <w:ind w:left="720"/>
      <w:contextualSpacing/>
    </w:pPr>
    <w:rPr>
      <w:lang w:val="ar-SA" w:eastAsia="zh-CN"/>
    </w:rPr>
  </w:style>
  <w:style w:type="character" w:customStyle="1" w:styleId="BalloonTextChar">
    <w:name w:val="Balloon Text Char"/>
    <w:basedOn w:val="DefaultParagraphFont"/>
    <w:semiHidden/>
    <w:locked/>
    <w:rsid w:val="00091373"/>
    <w:rPr>
      <w:rFonts w:cs="Times New Roman"/>
      <w:sz w:val="2"/>
      <w:lang w:val="ar-SA" w:bidi="ar-SA"/>
    </w:rPr>
  </w:style>
  <w:style w:type="paragraph" w:customStyle="1" w:styleId="ecxmsonormal">
    <w:name w:val="ecxmsonormal"/>
    <w:basedOn w:val="Normal"/>
    <w:rsid w:val="00091373"/>
    <w:pPr>
      <w:bidi/>
      <w:spacing w:before="100" w:beforeAutospacing="1" w:after="100" w:afterAutospacing="1"/>
    </w:pPr>
    <w:rPr>
      <w:lang w:val="ar-SA" w:eastAsia="zh-CN"/>
    </w:rPr>
  </w:style>
  <w:style w:type="character" w:customStyle="1" w:styleId="ecxapple-style-span">
    <w:name w:val="ecxapple-style-span"/>
    <w:rsid w:val="00091373"/>
  </w:style>
  <w:style w:type="character" w:customStyle="1" w:styleId="apple-converted-space">
    <w:name w:val="apple-converted-space"/>
    <w:rsid w:val="00091373"/>
  </w:style>
  <w:style w:type="character" w:customStyle="1" w:styleId="ecxapple-converted-space">
    <w:name w:val="ecxapple-converted-space"/>
    <w:rsid w:val="00091373"/>
  </w:style>
  <w:style w:type="character" w:customStyle="1" w:styleId="apple-style-span">
    <w:name w:val="apple-style-span"/>
    <w:rsid w:val="00091373"/>
  </w:style>
  <w:style w:type="character" w:customStyle="1" w:styleId="CommentTextChar">
    <w:name w:val="Comment Text Char"/>
    <w:basedOn w:val="DefaultParagraphFont"/>
    <w:semiHidden/>
    <w:locked/>
    <w:rsid w:val="00091373"/>
    <w:rPr>
      <w:rFonts w:cs="Times New Roman"/>
      <w:sz w:val="20"/>
      <w:szCs w:val="20"/>
      <w:lang w:val="ar-SA" w:bidi="ar-SA"/>
    </w:rPr>
  </w:style>
  <w:style w:type="character" w:customStyle="1" w:styleId="CommentSubjectChar">
    <w:name w:val="Comment Subject Char"/>
    <w:basedOn w:val="SubtitleChar"/>
    <w:semiHidden/>
    <w:locked/>
    <w:rsid w:val="00091373"/>
    <w:rPr>
      <w:rFonts w:cs="Times New Roman"/>
      <w:b/>
      <w:bCs/>
      <w:szCs w:val="20"/>
      <w:lang w:val="ar-SA"/>
    </w:rPr>
  </w:style>
  <w:style w:type="paragraph" w:customStyle="1" w:styleId="Default">
    <w:name w:val="Default"/>
    <w:rsid w:val="00091373"/>
    <w:pPr>
      <w:autoSpaceDE w:val="0"/>
      <w:autoSpaceDN w:val="0"/>
      <w:bidi/>
      <w:adjustRightInd w:val="0"/>
    </w:pPr>
    <w:rPr>
      <w:color w:val="000000"/>
      <w:sz w:val="24"/>
      <w:szCs w:val="24"/>
      <w:lang w:val="ar-SA" w:eastAsia="en-GB"/>
    </w:rPr>
  </w:style>
  <w:style w:type="paragraph" w:styleId="Revision">
    <w:name w:val="Revision"/>
    <w:hidden/>
    <w:semiHidden/>
    <w:rsid w:val="00091373"/>
    <w:pPr>
      <w:bidi/>
    </w:pPr>
    <w:rPr>
      <w:sz w:val="22"/>
      <w:szCs w:val="22"/>
      <w:lang w:val="ar-SA"/>
    </w:rPr>
  </w:style>
  <w:style w:type="numbering" w:customStyle="1" w:styleId="111111111">
    <w:name w:val="1 / 1.1 / 1.1.1111"/>
    <w:basedOn w:val="NoList"/>
    <w:next w:val="111111"/>
    <w:semiHidden/>
    <w:rsid w:val="00091373"/>
    <w:pPr>
      <w:numPr>
        <w:numId w:val="2"/>
      </w:numPr>
    </w:pPr>
  </w:style>
  <w:style w:type="paragraph" w:customStyle="1" w:styleId="Rom1">
    <w:name w:val="Rom1"/>
    <w:basedOn w:val="Normal"/>
    <w:rsid w:val="00091373"/>
    <w:pPr>
      <w:tabs>
        <w:tab w:val="num" w:pos="1440"/>
      </w:tabs>
      <w:spacing w:after="240"/>
      <w:ind w:left="1135" w:hanging="284"/>
    </w:pPr>
    <w:rPr>
      <w:snapToGrid w:val="0"/>
      <w:szCs w:val="20"/>
      <w:lang w:val="en-GB"/>
    </w:rPr>
  </w:style>
  <w:style w:type="paragraph" w:customStyle="1" w:styleId="Rom2">
    <w:name w:val="Rom2"/>
    <w:basedOn w:val="Normal"/>
    <w:rsid w:val="00091373"/>
    <w:pPr>
      <w:tabs>
        <w:tab w:val="num" w:pos="2160"/>
      </w:tabs>
      <w:spacing w:after="240"/>
      <w:ind w:left="1702" w:hanging="284"/>
    </w:pPr>
    <w:rPr>
      <w:snapToGrid w:val="0"/>
      <w:szCs w:val="20"/>
      <w:lang w:val="en-GB"/>
    </w:rPr>
  </w:style>
  <w:style w:type="paragraph" w:customStyle="1" w:styleId="Dash">
    <w:name w:val="Dash"/>
    <w:basedOn w:val="Normal"/>
    <w:rsid w:val="00091373"/>
    <w:pPr>
      <w:adjustRightInd w:val="0"/>
      <w:snapToGrid w:val="0"/>
      <w:spacing w:after="240"/>
      <w:ind w:left="851" w:hanging="284"/>
    </w:pPr>
    <w:rPr>
      <w:snapToGrid w:val="0"/>
      <w:szCs w:val="20"/>
      <w:lang w:val="en-GB"/>
    </w:rPr>
  </w:style>
  <w:style w:type="paragraph" w:customStyle="1" w:styleId="Bullet">
    <w:name w:val="Bullet"/>
    <w:basedOn w:val="Normal"/>
    <w:rsid w:val="00091373"/>
    <w:pPr>
      <w:spacing w:after="240"/>
      <w:ind w:left="851" w:hanging="284"/>
    </w:pPr>
    <w:rPr>
      <w:snapToGrid w:val="0"/>
      <w:szCs w:val="20"/>
      <w:lang w:val="en-GB"/>
    </w:rPr>
  </w:style>
  <w:style w:type="numbering" w:customStyle="1" w:styleId="2">
    <w:name w:val="بلا قائمة2"/>
    <w:next w:val="NoList"/>
    <w:semiHidden/>
    <w:rsid w:val="00091373"/>
  </w:style>
  <w:style w:type="numbering" w:customStyle="1" w:styleId="3">
    <w:name w:val="بلا قائمة3"/>
    <w:next w:val="NoList"/>
    <w:semiHidden/>
    <w:rsid w:val="00091373"/>
  </w:style>
  <w:style w:type="character" w:customStyle="1" w:styleId="CharChar11">
    <w:name w:val="Char Char11"/>
    <w:locked/>
    <w:rsid w:val="00091373"/>
    <w:rPr>
      <w:lang w:val="fr-CH"/>
    </w:rPr>
  </w:style>
  <w:style w:type="character" w:customStyle="1" w:styleId="CharChar10">
    <w:name w:val="Char Char10"/>
    <w:locked/>
    <w:rsid w:val="00091373"/>
    <w:rPr>
      <w:lang w:val="fr-CH"/>
    </w:rPr>
  </w:style>
  <w:style w:type="character" w:customStyle="1" w:styleId="CharChar9">
    <w:name w:val="Char Char9"/>
    <w:locked/>
    <w:rsid w:val="00091373"/>
    <w:rPr>
      <w:lang w:val="fr-CH"/>
    </w:rPr>
  </w:style>
  <w:style w:type="character" w:customStyle="1" w:styleId="CharChar8">
    <w:name w:val="Char Char8"/>
    <w:locked/>
    <w:rsid w:val="00091373"/>
    <w:rPr>
      <w:lang w:val="fr-CH"/>
    </w:rPr>
  </w:style>
  <w:style w:type="character" w:customStyle="1" w:styleId="CharChar7">
    <w:name w:val="Char Char7"/>
    <w:locked/>
    <w:rsid w:val="00091373"/>
    <w:rPr>
      <w:lang w:val="fr-CH"/>
    </w:rPr>
  </w:style>
  <w:style w:type="character" w:customStyle="1" w:styleId="CharChar6">
    <w:name w:val="Char Char6"/>
    <w:locked/>
    <w:rsid w:val="00091373"/>
    <w:rPr>
      <w:lang w:val="fr-CH"/>
    </w:rPr>
  </w:style>
  <w:style w:type="character" w:customStyle="1" w:styleId="CharChar5">
    <w:name w:val="Char Char5"/>
    <w:locked/>
    <w:rsid w:val="00091373"/>
    <w:rPr>
      <w:lang w:val="fr-CH"/>
    </w:rPr>
  </w:style>
  <w:style w:type="character" w:customStyle="1" w:styleId="CharChar4">
    <w:name w:val="Char Char4"/>
    <w:locked/>
    <w:rsid w:val="00091373"/>
    <w:rPr>
      <w:lang w:val="fr-CH"/>
    </w:rPr>
  </w:style>
  <w:style w:type="character" w:customStyle="1" w:styleId="CharChar3">
    <w:name w:val="Char Char3"/>
    <w:locked/>
    <w:rsid w:val="00091373"/>
    <w:rPr>
      <w:rFonts w:ascii="Times New Roman" w:hAnsi="Times New Roman"/>
      <w:sz w:val="16"/>
      <w:lang w:val="fr-CH"/>
    </w:rPr>
  </w:style>
  <w:style w:type="paragraph" w:styleId="DocumentMap">
    <w:name w:val="Document Map"/>
    <w:basedOn w:val="Normal"/>
    <w:rsid w:val="00091373"/>
    <w:pPr>
      <w:shd w:val="clear" w:color="auto" w:fill="000080"/>
      <w:suppressAutoHyphens/>
      <w:spacing w:line="240" w:lineRule="atLeast"/>
    </w:pPr>
    <w:rPr>
      <w:snapToGrid w:val="0"/>
      <w:sz w:val="20"/>
      <w:szCs w:val="20"/>
      <w:lang w:val="fr-CH"/>
    </w:rPr>
  </w:style>
  <w:style w:type="character" w:customStyle="1" w:styleId="CharChar2">
    <w:name w:val="Char Char2"/>
    <w:locked/>
    <w:rsid w:val="00091373"/>
    <w:rPr>
      <w:rFonts w:ascii="Times New Roman" w:hAnsi="Times New Roman"/>
      <w:shd w:val="clear" w:color="auto" w:fill="000080"/>
      <w:lang w:val="fr-CH"/>
    </w:rPr>
  </w:style>
  <w:style w:type="character" w:customStyle="1" w:styleId="SingleTxtGCar">
    <w:name w:val="_ Single Txt_G Car"/>
    <w:rsid w:val="00091373"/>
    <w:rPr>
      <w:lang w:val="fr-CH"/>
    </w:rPr>
  </w:style>
  <w:style w:type="character" w:customStyle="1" w:styleId="CharChar1">
    <w:name w:val="Char Char1"/>
    <w:locked/>
    <w:rsid w:val="00091373"/>
    <w:rPr>
      <w:lang w:val="fr-CH"/>
    </w:rPr>
  </w:style>
  <w:style w:type="character" w:customStyle="1" w:styleId="CharChar">
    <w:name w:val="Char Char"/>
    <w:locked/>
    <w:rsid w:val="00091373"/>
    <w:rPr>
      <w:b/>
      <w:lang w:val="fr-CH"/>
    </w:rPr>
  </w:style>
  <w:style w:type="paragraph" w:customStyle="1" w:styleId="Prrafodelista">
    <w:name w:val="P?rrafo de lista"/>
    <w:basedOn w:val="Normal"/>
    <w:rsid w:val="00091373"/>
    <w:pPr>
      <w:spacing w:after="200" w:line="276" w:lineRule="auto"/>
      <w:ind w:left="720"/>
    </w:pPr>
    <w:rPr>
      <w:rFonts w:ascii="Calibri" w:hAnsi="Calibri"/>
      <w:snapToGrid w:val="0"/>
      <w:sz w:val="22"/>
      <w:szCs w:val="22"/>
      <w:lang w:val="en-GB"/>
    </w:rPr>
  </w:style>
  <w:style w:type="character" w:customStyle="1" w:styleId="HeaderChar1">
    <w:name w:val="Header Char1"/>
    <w:aliases w:val="6_G Char1"/>
    <w:locked/>
    <w:rsid w:val="00091373"/>
    <w:rPr>
      <w:b/>
      <w:sz w:val="18"/>
      <w:lang w:val="fr-CH"/>
    </w:rPr>
  </w:style>
  <w:style w:type="character" w:customStyle="1" w:styleId="FooterChar1">
    <w:name w:val="Footer Char1"/>
    <w:aliases w:val="3_G Char1"/>
    <w:locked/>
    <w:rsid w:val="00091373"/>
    <w:rPr>
      <w:sz w:val="16"/>
      <w:lang w:val="fr-CH"/>
    </w:rPr>
  </w:style>
  <w:style w:type="paragraph" w:customStyle="1" w:styleId="Style1">
    <w:name w:val="Style1"/>
    <w:basedOn w:val="Normal"/>
    <w:rsid w:val="00091373"/>
    <w:pPr>
      <w:pBdr>
        <w:top w:val="single" w:sz="4" w:space="1" w:color="auto"/>
        <w:left w:val="single" w:sz="4" w:space="1" w:color="auto"/>
        <w:bottom w:val="single" w:sz="4" w:space="1" w:color="auto"/>
        <w:right w:val="single" w:sz="4" w:space="1" w:color="auto"/>
      </w:pBdr>
      <w:spacing w:after="200" w:line="276" w:lineRule="auto"/>
      <w:jc w:val="both"/>
    </w:pPr>
    <w:rPr>
      <w:rFonts w:ascii="Calibri" w:hAnsi="Calibri"/>
      <w:b/>
      <w:snapToGrid w:val="0"/>
      <w:color w:val="1F497D"/>
      <w:sz w:val="22"/>
      <w:szCs w:val="20"/>
      <w:lang w:val="fr-CH"/>
    </w:rPr>
  </w:style>
  <w:style w:type="character" w:customStyle="1" w:styleId="Style1Char">
    <w:name w:val="Style1 Char"/>
    <w:locked/>
    <w:rsid w:val="00091373"/>
    <w:rPr>
      <w:rFonts w:ascii="Calibri" w:hAnsi="Calibri"/>
      <w:b/>
      <w:color w:val="1F497D"/>
      <w:sz w:val="22"/>
      <w:lang w:val="fr-CH"/>
    </w:rPr>
  </w:style>
  <w:style w:type="character" w:customStyle="1" w:styleId="FootnoteTextChar2">
    <w:name w:val="Footnote Text Char2"/>
    <w:aliases w:val="5_G Char2"/>
    <w:semiHidden/>
    <w:locked/>
    <w:rsid w:val="00091373"/>
    <w:rPr>
      <w:sz w:val="18"/>
      <w:lang w:val="fr-CH"/>
    </w:rPr>
  </w:style>
  <w:style w:type="character" w:customStyle="1" w:styleId="FootnoteTextChar1">
    <w:name w:val="Footnote Text Char1"/>
    <w:aliases w:val="5_G Char1,Footnote Text Char Char Char Char Char Char1,Footnote Text Char Char Char Char Char2,Footnote reference Char1,FA Fu Char1,Footnote Text Char Char Char Char2"/>
    <w:locked/>
    <w:rsid w:val="00091373"/>
    <w:rPr>
      <w:sz w:val="18"/>
      <w:lang/>
    </w:rPr>
  </w:style>
  <w:style w:type="character" w:customStyle="1" w:styleId="st">
    <w:name w:val="st"/>
    <w:rsid w:val="00091373"/>
  </w:style>
  <w:style w:type="character" w:customStyle="1" w:styleId="SingleTxtChar">
    <w:name w:val="__Single Txt Char"/>
    <w:basedOn w:val="DefaultParagraphFont"/>
    <w:link w:val="SingleTxt"/>
    <w:rsid w:val="00091373"/>
    <w:rPr>
      <w:rFonts w:cs="Traditional Arabic"/>
      <w:w w:val="103"/>
      <w:kern w:val="14"/>
      <w:szCs w:val="30"/>
      <w:lang w:val="en-US" w:eastAsia="en-US" w:bidi="ar-SA"/>
    </w:rPr>
  </w:style>
  <w:style w:type="paragraph" w:customStyle="1" w:styleId="Normal1">
    <w:name w:val="Normal+1"/>
    <w:basedOn w:val="Default"/>
    <w:next w:val="Default"/>
    <w:semiHidden/>
    <w:rsid w:val="00091373"/>
    <w:pPr>
      <w:bidi w:val="0"/>
    </w:pPr>
    <w:rPr>
      <w:rFonts w:eastAsia="SimSun"/>
      <w:color w:val="auto"/>
      <w:lang w:val="en-GB" w:eastAsia="zh-CN"/>
    </w:rPr>
  </w:style>
  <w:style w:type="character" w:customStyle="1" w:styleId="FootnoteReference1">
    <w:name w:val="Footnote Reference1"/>
    <w:semiHidden/>
    <w:rsid w:val="00091373"/>
    <w:rPr>
      <w:color w:val="000000"/>
    </w:rPr>
  </w:style>
  <w:style w:type="paragraph" w:customStyle="1" w:styleId="countryparagraph">
    <w:name w:val="countryparagraph"/>
    <w:basedOn w:val="Normal"/>
    <w:semiHidden/>
    <w:rsid w:val="00091373"/>
    <w:pPr>
      <w:spacing w:before="100" w:beforeAutospacing="1" w:after="100" w:afterAutospacing="1"/>
    </w:pPr>
    <w:rPr>
      <w:rFonts w:eastAsia="SimSun"/>
      <w:lang w:eastAsia="zh-CN"/>
    </w:rPr>
  </w:style>
  <w:style w:type="character" w:customStyle="1" w:styleId="CharChar32">
    <w:name w:val=" Char Char32"/>
    <w:rsid w:val="00091373"/>
    <w:rPr>
      <w:rFonts w:ascii="Arial" w:hAnsi="Arial" w:cs="Arial"/>
      <w:b/>
      <w:bCs/>
      <w:i/>
      <w:iCs/>
      <w:sz w:val="28"/>
      <w:szCs w:val="28"/>
      <w:lang w:val="en-GB" w:eastAsia="en-US" w:bidi="ar-SA"/>
    </w:rPr>
  </w:style>
  <w:style w:type="character" w:customStyle="1" w:styleId="CharChar31">
    <w:name w:val=" Char Char31"/>
    <w:rsid w:val="00091373"/>
    <w:rPr>
      <w:rFonts w:ascii="Arial" w:hAnsi="Arial" w:cs="Arial"/>
      <w:b/>
      <w:bCs/>
      <w:sz w:val="26"/>
      <w:szCs w:val="26"/>
      <w:lang w:val="en-GB" w:eastAsia="en-US" w:bidi="ar-SA"/>
    </w:rPr>
  </w:style>
  <w:style w:type="character" w:customStyle="1" w:styleId="CharChar30">
    <w:name w:val=" Char Char30"/>
    <w:rsid w:val="00091373"/>
    <w:rPr>
      <w:b/>
      <w:bCs/>
      <w:sz w:val="28"/>
      <w:szCs w:val="28"/>
      <w:lang w:val="en-GB" w:eastAsia="en-US" w:bidi="ar-SA"/>
    </w:rPr>
  </w:style>
  <w:style w:type="character" w:customStyle="1" w:styleId="CharChar29">
    <w:name w:val=" Char Char29"/>
    <w:rsid w:val="00091373"/>
    <w:rPr>
      <w:b/>
      <w:bCs/>
      <w:i/>
      <w:iCs/>
      <w:sz w:val="26"/>
      <w:szCs w:val="26"/>
      <w:lang w:val="en-GB" w:eastAsia="en-US" w:bidi="ar-SA"/>
    </w:rPr>
  </w:style>
  <w:style w:type="character" w:customStyle="1" w:styleId="EndnoteTextChar1">
    <w:name w:val="Endnote Text Char1"/>
    <w:aliases w:val="2_G Char"/>
    <w:semiHidden/>
    <w:rsid w:val="00091373"/>
    <w:rPr>
      <w:lang w:eastAsia="en-US"/>
    </w:rPr>
  </w:style>
  <w:style w:type="paragraph" w:styleId="NoSpacing">
    <w:name w:val="No Spacing"/>
    <w:qFormat/>
    <w:rsid w:val="00091373"/>
    <w:rPr>
      <w:rFonts w:ascii="Calibri" w:eastAsia="Calibri" w:hAnsi="Calibri"/>
      <w:sz w:val="22"/>
      <w:szCs w:val="22"/>
      <w:lang w:val="en-GB"/>
    </w:rPr>
  </w:style>
  <w:style w:type="character" w:customStyle="1" w:styleId="H4GChar">
    <w:name w:val="_ H_4_G Char"/>
    <w:link w:val="H4G"/>
    <w:locked/>
    <w:rsid w:val="00091373"/>
    <w:rPr>
      <w:i/>
      <w:snapToGrid w:val="0"/>
      <w:lang w:val="en-GB" w:eastAsia="en-US" w:bidi="ar-SA"/>
    </w:rPr>
  </w:style>
  <w:style w:type="character" w:customStyle="1" w:styleId="lblnewstitle1">
    <w:name w:val="lblnewstitle1"/>
    <w:rsid w:val="00091373"/>
    <w:rPr>
      <w:b/>
      <w:bCs/>
      <w:sz w:val="29"/>
      <w:szCs w:val="29"/>
    </w:rPr>
  </w:style>
  <w:style w:type="character" w:customStyle="1" w:styleId="lblnewsfulltext">
    <w:name w:val="lblnewsfulltext"/>
    <w:basedOn w:val="DefaultParagraphFont"/>
    <w:rsid w:val="00091373"/>
  </w:style>
  <w:style w:type="character" w:customStyle="1" w:styleId="Bullet1GChar">
    <w:name w:val="_Bullet 1_G Char"/>
    <w:link w:val="Bullet1G"/>
    <w:rsid w:val="00091373"/>
    <w:rPr>
      <w:snapToGrid w:val="0"/>
      <w:lang w:val="en-GB" w:eastAsia="en-US" w:bidi="ar-SA"/>
    </w:rPr>
  </w:style>
  <w:style w:type="character" w:customStyle="1" w:styleId="BalloonTextChar1">
    <w:name w:val="Balloon Text Char1"/>
    <w:locked/>
    <w:rsid w:val="00091373"/>
    <w:rPr>
      <w:rFonts w:ascii="Tahoma" w:hAnsi="Tahoma"/>
      <w:sz w:val="16"/>
      <w:lang w:val="fr-CH" w:eastAsia="en-US"/>
    </w:rPr>
  </w:style>
  <w:style w:type="character" w:customStyle="1" w:styleId="CommentTextChar1">
    <w:name w:val="Comment Text Char1"/>
    <w:locked/>
    <w:rsid w:val="00091373"/>
    <w:rPr>
      <w:lang w:val="fr-CH" w:eastAsia="en-US"/>
    </w:rPr>
  </w:style>
  <w:style w:type="character" w:customStyle="1" w:styleId="CommentSubjectChar1">
    <w:name w:val="Comment Subject Char1"/>
    <w:locked/>
    <w:rsid w:val="00091373"/>
    <w:rPr>
      <w:b/>
      <w:lang w:val="fr-CH" w:eastAsia="en-US"/>
    </w:rPr>
  </w:style>
  <w:style w:type="paragraph" w:customStyle="1" w:styleId="Prrafodelista0">
    <w:name w:val="Párrafo de lista"/>
    <w:basedOn w:val="Normal"/>
    <w:qFormat/>
    <w:rsid w:val="00091373"/>
    <w:pPr>
      <w:spacing w:after="200" w:line="276" w:lineRule="auto"/>
      <w:ind w:left="720"/>
    </w:pPr>
    <w:rPr>
      <w:rFonts w:ascii="Calibri" w:hAnsi="Calibri"/>
      <w:sz w:val="22"/>
      <w:szCs w:val="22"/>
      <w:lang w:val="en-GB"/>
    </w:rPr>
  </w:style>
  <w:style w:type="character" w:customStyle="1" w:styleId="normal--char">
    <w:name w:val="normal--char"/>
    <w:rsid w:val="00091373"/>
  </w:style>
  <w:style w:type="paragraph" w:customStyle="1" w:styleId="ara">
    <w:name w:val="ara"/>
    <w:basedOn w:val="Normal"/>
    <w:rsid w:val="00091373"/>
    <w:pPr>
      <w:spacing w:before="100" w:beforeAutospacing="1"/>
      <w:jc w:val="right"/>
    </w:pPr>
    <w:rPr>
      <w:color w:val="892210"/>
    </w:rPr>
  </w:style>
  <w:style w:type="character" w:customStyle="1" w:styleId="googqs-tidbit-0">
    <w:name w:val="goog_qs-tidbit-0"/>
    <w:basedOn w:val="DefaultParagraphFont"/>
    <w:rsid w:val="00091373"/>
  </w:style>
  <w:style w:type="character" w:customStyle="1" w:styleId="H4GAChar">
    <w:name w:val="_ H_4_GA Char"/>
    <w:basedOn w:val="DefaultParagraphFont"/>
    <w:link w:val="H4GA"/>
    <w:rsid w:val="00091373"/>
    <w:rPr>
      <w:rFonts w:cs="Traditional Arabic"/>
      <w:i/>
      <w:iCs/>
      <w:spacing w:val="6"/>
      <w:kern w:val="16"/>
      <w:sz w:val="22"/>
      <w:szCs w:val="30"/>
      <w:lang w:val="en-US" w:eastAsia="ar-SA" w:bidi="ar-SA"/>
    </w:rPr>
  </w:style>
</w:styles>
</file>

<file path=word/webSettings.xml><?xml version="1.0" encoding="utf-8"?>
<w:webSettings xmlns:r="http://schemas.openxmlformats.org/officeDocument/2006/relationships" xmlns:w="http://schemas.openxmlformats.org/wordprocessingml/2006/main">
  <w:divs>
    <w:div w:id="442115030">
      <w:bodyDiv w:val="1"/>
      <w:marLeft w:val="0"/>
      <w:marRight w:val="0"/>
      <w:marTop w:val="0"/>
      <w:marBottom w:val="0"/>
      <w:divBdr>
        <w:top w:val="none" w:sz="0" w:space="0" w:color="auto"/>
        <w:left w:val="none" w:sz="0" w:space="0" w:color="auto"/>
        <w:bottom w:val="none" w:sz="0" w:space="0" w:color="auto"/>
        <w:right w:val="none" w:sz="0" w:space="0" w:color="auto"/>
      </w:divBdr>
      <w:divsChild>
        <w:div w:id="976565259">
          <w:marLeft w:val="0"/>
          <w:marRight w:val="0"/>
          <w:marTop w:val="0"/>
          <w:marBottom w:val="0"/>
          <w:divBdr>
            <w:top w:val="none" w:sz="0" w:space="0" w:color="auto"/>
            <w:left w:val="none" w:sz="0" w:space="0" w:color="auto"/>
            <w:bottom w:val="none" w:sz="0" w:space="0" w:color="auto"/>
            <w:right w:val="none" w:sz="0" w:space="0" w:color="auto"/>
          </w:divBdr>
        </w:div>
      </w:divsChild>
    </w:div>
    <w:div w:id="1347251088">
      <w:bodyDiv w:val="1"/>
      <w:marLeft w:val="0"/>
      <w:marRight w:val="0"/>
      <w:marTop w:val="0"/>
      <w:marBottom w:val="0"/>
      <w:divBdr>
        <w:top w:val="none" w:sz="0" w:space="0" w:color="auto"/>
        <w:left w:val="none" w:sz="0" w:space="0" w:color="auto"/>
        <w:bottom w:val="none" w:sz="0" w:space="0" w:color="auto"/>
        <w:right w:val="none" w:sz="0" w:space="0" w:color="auto"/>
      </w:divBdr>
      <w:divsChild>
        <w:div w:id="31659545">
          <w:marLeft w:val="0"/>
          <w:marRight w:val="0"/>
          <w:marTop w:val="0"/>
          <w:marBottom w:val="0"/>
          <w:divBdr>
            <w:top w:val="none" w:sz="0" w:space="0" w:color="auto"/>
            <w:left w:val="none" w:sz="0" w:space="0" w:color="auto"/>
            <w:bottom w:val="none" w:sz="0" w:space="0" w:color="auto"/>
            <w:right w:val="none" w:sz="0" w:space="0" w:color="auto"/>
          </w:divBdr>
        </w:div>
      </w:divsChild>
    </w:div>
    <w:div w:id="202751530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footer" Target="footer8.xml"/><Relationship Id="rId39" Type="http://schemas.openxmlformats.org/officeDocument/2006/relationships/footer" Target="footer13.xml"/><Relationship Id="rId3" Type="http://schemas.openxmlformats.org/officeDocument/2006/relationships/settings" Target="settings.xml"/><Relationship Id="rId21" Type="http://schemas.openxmlformats.org/officeDocument/2006/relationships/footer" Target="footer6.xml"/><Relationship Id="rId34" Type="http://schemas.openxmlformats.org/officeDocument/2006/relationships/footer" Target="footer12.xml"/><Relationship Id="rId42" Type="http://schemas.openxmlformats.org/officeDocument/2006/relationships/footer" Target="footer15.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4.xml"/><Relationship Id="rId38" Type="http://schemas.openxmlformats.org/officeDocument/2006/relationships/header" Target="header16.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oter" Target="footer5.xml"/><Relationship Id="rId29" Type="http://schemas.openxmlformats.org/officeDocument/2006/relationships/header" Target="header13.xml"/><Relationship Id="rId41" Type="http://schemas.openxmlformats.org/officeDocument/2006/relationships/header" Target="header1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image" Target="media/image2.png"/><Relationship Id="rId37" Type="http://schemas.openxmlformats.org/officeDocument/2006/relationships/header" Target="header15.xml"/><Relationship Id="rId40" Type="http://schemas.openxmlformats.org/officeDocument/2006/relationships/footer" Target="footer14.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12.xml"/><Relationship Id="rId36" Type="http://schemas.openxmlformats.org/officeDocument/2006/relationships/hyperlink" Target="http://www.cyberethiopia.com" TargetMode="External"/><Relationship Id="rId10" Type="http://schemas.openxmlformats.org/officeDocument/2006/relationships/footer" Target="footer1.xml"/><Relationship Id="rId19" Type="http://schemas.openxmlformats.org/officeDocument/2006/relationships/header" Target="header8.xml"/><Relationship Id="rId31" Type="http://schemas.openxmlformats.org/officeDocument/2006/relationships/footer" Target="footer11.xm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header" Target="header9.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hyperlink" Target="http://www.cyberethiopia.com" TargetMode="External"/><Relationship Id="rId43" Type="http://schemas.openxmlformats.org/officeDocument/2006/relationships/footer" Target="footer16.xml"/></Relationships>
</file>

<file path=word/_rels/footnotes.xml.rels><?xml version="1.0" encoding="UTF-8" standalone="yes"?>
<Relationships xmlns="http://schemas.openxmlformats.org/package/2006/relationships"><Relationship Id="rId3" Type="http://schemas.openxmlformats.org/officeDocument/2006/relationships/hyperlink" Target="http://ec.europa.eu/enlargement/pdf/key_documents/2012/package/tr_rapport_2012_en.pdf" TargetMode="External"/><Relationship Id="rId2" Type="http://schemas.openxmlformats.org/officeDocument/2006/relationships/hyperlink" Target="https://www.mara.gov.au/" TargetMode="External"/><Relationship Id="rId1" Type="http://schemas.openxmlformats.org/officeDocument/2006/relationships/hyperlink" Target="https://webmail.ihostexchange.net/owa/redir.aspx?C=FTntQvgcRkiZ-ZmNxBMYECAqVC0WTdBIfN1Uv9kO0P5VDYHopdi5vlGox2PKXq9HRLkVhCyOOeA.&amp;URL=http%3a%2f%2ftbinternet.ohchr.org%2f_layouts%2fTreatyBodyExternal%2fFollowUp.aspx%3fLang%3dEn%26TreatyID%3d1" TargetMode="External"/><Relationship Id="rId5" Type="http://schemas.openxmlformats.org/officeDocument/2006/relationships/hyperlink" Target="http://www.leduecitt&#224;.it" TargetMode="External"/><Relationship Id="rId4" Type="http://schemas.openxmlformats.org/officeDocument/2006/relationships/hyperlink" Target="http://news.bbc.co.uk/2/hi/middle_east/country_profiles/8062225.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202998</Words>
  <Characters>1025144</Characters>
  <Application>Microsoft Office Outlook</Application>
  <DocSecurity>4</DocSecurity>
  <Lines>19714</Lines>
  <Paragraphs>7443</Paragraphs>
  <ScaleCrop>false</ScaleCrop>
  <HeadingPairs>
    <vt:vector size="2" baseType="variant">
      <vt:variant>
        <vt:lpstr>Title</vt:lpstr>
      </vt:variant>
      <vt:variant>
        <vt:i4>1</vt:i4>
      </vt:variant>
    </vt:vector>
  </HeadingPairs>
  <TitlesOfParts>
    <vt:vector size="1" baseType="lpstr">
      <vt:lpstr>A/68/44</vt:lpstr>
    </vt:vector>
  </TitlesOfParts>
  <Company>CSD</Company>
  <LinksUpToDate>false</LinksUpToDate>
  <CharactersWithSpaces>1220699</CharactersWithSpaces>
  <SharedDoc>false</SharedDoc>
  <HLinks>
    <vt:vector size="42" baseType="variant">
      <vt:variant>
        <vt:i4>5898246</vt:i4>
      </vt:variant>
      <vt:variant>
        <vt:i4>3</vt:i4>
      </vt:variant>
      <vt:variant>
        <vt:i4>0</vt:i4>
      </vt:variant>
      <vt:variant>
        <vt:i4>5</vt:i4>
      </vt:variant>
      <vt:variant>
        <vt:lpwstr>http://www.cyberethiopia.com/</vt:lpwstr>
      </vt:variant>
      <vt:variant>
        <vt:lpwstr/>
      </vt:variant>
      <vt:variant>
        <vt:i4>5898246</vt:i4>
      </vt:variant>
      <vt:variant>
        <vt:i4>0</vt:i4>
      </vt:variant>
      <vt:variant>
        <vt:i4>0</vt:i4>
      </vt:variant>
      <vt:variant>
        <vt:i4>5</vt:i4>
      </vt:variant>
      <vt:variant>
        <vt:lpwstr>http://www.cyberethiopia.com/</vt:lpwstr>
      </vt:variant>
      <vt:variant>
        <vt:lpwstr/>
      </vt:variant>
      <vt:variant>
        <vt:i4>65758</vt:i4>
      </vt:variant>
      <vt:variant>
        <vt:i4>12</vt:i4>
      </vt:variant>
      <vt:variant>
        <vt:i4>0</vt:i4>
      </vt:variant>
      <vt:variant>
        <vt:i4>5</vt:i4>
      </vt:variant>
      <vt:variant>
        <vt:lpwstr>http://www.leduecittà.it/</vt:lpwstr>
      </vt:variant>
      <vt:variant>
        <vt:lpwstr/>
      </vt:variant>
      <vt:variant>
        <vt:i4>4259905</vt:i4>
      </vt:variant>
      <vt:variant>
        <vt:i4>9</vt:i4>
      </vt:variant>
      <vt:variant>
        <vt:i4>0</vt:i4>
      </vt:variant>
      <vt:variant>
        <vt:i4>5</vt:i4>
      </vt:variant>
      <vt:variant>
        <vt:lpwstr>http://news.bbc.co.uk/2/hi/middle_east/country_profiles/8062225.stm</vt:lpwstr>
      </vt:variant>
      <vt:variant>
        <vt:lpwstr/>
      </vt:variant>
      <vt:variant>
        <vt:i4>7274605</vt:i4>
      </vt:variant>
      <vt:variant>
        <vt:i4>6</vt:i4>
      </vt:variant>
      <vt:variant>
        <vt:i4>0</vt:i4>
      </vt:variant>
      <vt:variant>
        <vt:i4>5</vt:i4>
      </vt:variant>
      <vt:variant>
        <vt:lpwstr>http://ec.europa.eu/enlargement/pdf/key_documents/2012/package/tr_rapport_2012_en.pdf</vt:lpwstr>
      </vt:variant>
      <vt:variant>
        <vt:lpwstr/>
      </vt:variant>
      <vt:variant>
        <vt:i4>1507397</vt:i4>
      </vt:variant>
      <vt:variant>
        <vt:i4>3</vt:i4>
      </vt:variant>
      <vt:variant>
        <vt:i4>0</vt:i4>
      </vt:variant>
      <vt:variant>
        <vt:i4>5</vt:i4>
      </vt:variant>
      <vt:variant>
        <vt:lpwstr>https://www.mara.gov.au/</vt:lpwstr>
      </vt:variant>
      <vt:variant>
        <vt:lpwstr/>
      </vt:variant>
      <vt:variant>
        <vt:i4>4784164</vt:i4>
      </vt:variant>
      <vt:variant>
        <vt:i4>0</vt:i4>
      </vt:variant>
      <vt:variant>
        <vt:i4>0</vt:i4>
      </vt:variant>
      <vt:variant>
        <vt:i4>5</vt:i4>
      </vt:variant>
      <vt:variant>
        <vt:lpwstr>https://webmail.ihostexchange.net/owa/redir.aspx?C=FTntQvgcRkiZ-ZmNxBMYECAqVC0WTdBIfN1Uv9kO0P5VDYHopdi5vlGox2PKXq9HRLkVhCyOOeA.&amp;URL=http%3a%2f%2ftbinternet.ohchr.org%2f_layouts%2fTreatyBodyExternal%2fFollowUp.aspx%3fLang%3dEn%26TreatyID%3d1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A/68/44</dc:title>
  <dc:subject>MAMOUN</dc:subject>
  <dc:creator>BALAN</dc:creator>
  <cp:keywords/>
  <dc:description/>
  <cp:lastModifiedBy>BALAN</cp:lastModifiedBy>
  <cp:revision>4</cp:revision>
  <cp:lastPrinted>2013-10-04T10:03:00Z</cp:lastPrinted>
  <dcterms:created xsi:type="dcterms:W3CDTF">2013-10-04T10:03:00Z</dcterms:created>
  <dcterms:modified xsi:type="dcterms:W3CDTF">2013-10-04T10:05:00Z</dcterms:modified>
</cp:coreProperties>
</file>